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CF4123" w:rsidRPr="0014123B" w:rsidP="0014123B">
      <w:pPr>
        <w:spacing w:line="240" w:lineRule="auto"/>
        <w:rPr>
          <w:rFonts w:ascii="Times New Roman" w:hAnsi="Times New Roman" w:cs="Times New Roman"/>
          <w:b/>
          <w:sz w:val="26"/>
          <w:szCs w:val="26"/>
        </w:rPr>
      </w:pPr>
      <w:r w:rsidRPr="0014123B" w:rsidR="0014123B">
        <w:rPr>
          <w:rFonts w:ascii="Times New Roman" w:hAnsi="Times New Roman" w:cs="Times New Roman"/>
          <w:sz w:val="26"/>
          <w:szCs w:val="26"/>
        </w:rPr>
        <w:t xml:space="preserve">Kapitola 29 – </w:t>
      </w:r>
      <w:r w:rsidRPr="0014123B">
        <w:rPr>
          <w:rFonts w:ascii="Times New Roman" w:hAnsi="Times New Roman" w:cs="Times New Roman"/>
          <w:b/>
          <w:sz w:val="26"/>
          <w:szCs w:val="26"/>
        </w:rPr>
        <w:t>Ministerstvo dopravy, pôšt a telekomunikácií Slovenskej republiky</w:t>
      </w:r>
    </w:p>
    <w:p w:rsidR="00CF4123" w:rsidRPr="0014123B" w:rsidP="00C362EA">
      <w:pPr>
        <w:spacing w:line="240" w:lineRule="auto"/>
        <w:rPr>
          <w:rFonts w:ascii="Times New Roman" w:hAnsi="Times New Roman" w:cs="Times New Roman"/>
          <w:sz w:val="24"/>
          <w:szCs w:val="24"/>
        </w:rPr>
      </w:pPr>
      <w:r w:rsidRPr="0014123B">
        <w:rPr>
          <w:rFonts w:ascii="Times New Roman" w:hAnsi="Times New Roman" w:cs="Times New Roman"/>
          <w:sz w:val="24"/>
          <w:szCs w:val="24"/>
        </w:rPr>
        <w:t xml:space="preserve">                                                                                        </w:t>
      </w:r>
    </w:p>
    <w:p w:rsidR="00CF4123" w:rsidP="00C362EA">
      <w:pPr>
        <w:spacing w:line="240" w:lineRule="auto"/>
        <w:rPr>
          <w:rFonts w:ascii="Times New Roman" w:hAnsi="Times New Roman" w:cs="Times New Roman"/>
          <w:sz w:val="24"/>
          <w:szCs w:val="24"/>
        </w:rPr>
      </w:pPr>
    </w:p>
    <w:p w:rsidR="00CF4123" w:rsidP="00C362EA">
      <w:pPr>
        <w:spacing w:line="240" w:lineRule="auto"/>
        <w:rPr>
          <w:rFonts w:ascii="Times New Roman" w:hAnsi="Times New Roman" w:cs="Times New Roman"/>
          <w:sz w:val="24"/>
          <w:szCs w:val="24"/>
        </w:rPr>
      </w:pPr>
    </w:p>
    <w:p w:rsidR="00374342" w:rsidP="00C362EA">
      <w:pPr>
        <w:spacing w:line="240" w:lineRule="auto"/>
        <w:rPr>
          <w:rFonts w:ascii="Times New Roman" w:hAnsi="Times New Roman" w:cs="Times New Roman"/>
          <w:sz w:val="24"/>
          <w:szCs w:val="24"/>
        </w:rPr>
      </w:pPr>
      <w:r w:rsidR="00CF4123">
        <w:rPr>
          <w:rFonts w:ascii="Times New Roman" w:hAnsi="Times New Roman" w:cs="Times New Roman"/>
          <w:sz w:val="24"/>
          <w:szCs w:val="24"/>
        </w:rPr>
        <w:t xml:space="preserve">                                          </w:t>
      </w:r>
      <w:r w:rsidR="00A204AD">
        <w:rPr>
          <w:rFonts w:ascii="Times New Roman" w:hAnsi="Times New Roman" w:cs="Times New Roman"/>
          <w:sz w:val="24"/>
          <w:szCs w:val="24"/>
        </w:rPr>
        <w:t xml:space="preserve">                </w:t>
      </w:r>
    </w:p>
    <w:p w:rsidR="00CF4123" w:rsidRPr="00B45FDC" w:rsidP="00374342">
      <w:pPr>
        <w:spacing w:line="240" w:lineRule="auto"/>
        <w:ind w:left="2127" w:firstLine="709"/>
        <w:rPr>
          <w:rFonts w:ascii="Times New Roman" w:hAnsi="Times New Roman" w:cs="Times New Roman"/>
          <w:sz w:val="24"/>
          <w:szCs w:val="24"/>
        </w:rPr>
      </w:pPr>
      <w:r w:rsidR="00374342">
        <w:rPr>
          <w:rFonts w:ascii="Times New Roman" w:hAnsi="Times New Roman" w:cs="Times New Roman"/>
          <w:sz w:val="24"/>
          <w:szCs w:val="24"/>
        </w:rPr>
        <w:t xml:space="preserve">                                   </w:t>
      </w:r>
      <w:r w:rsidR="00D6018E">
        <w:rPr>
          <w:rFonts w:ascii="Times New Roman" w:hAnsi="Times New Roman" w:cs="Times New Roman"/>
          <w:sz w:val="24"/>
          <w:szCs w:val="24"/>
        </w:rPr>
        <w:t xml:space="preserve">         </w:t>
      </w:r>
      <w:r w:rsidR="00D6018E">
        <w:rPr>
          <w:rFonts w:ascii="Times New Roman" w:hAnsi="Times New Roman" w:cs="Times New Roman"/>
          <w:sz w:val="24"/>
          <w:szCs w:val="24"/>
        </w:rPr>
        <w:t>Číslo: 102442/2008-SRVS/z.5314/M</w:t>
      </w:r>
    </w:p>
    <w:p w:rsidR="00CF4123" w:rsidP="00C362EA">
      <w:pPr>
        <w:spacing w:line="240" w:lineRule="auto"/>
        <w:rPr>
          <w:rFonts w:ascii="Times New Roman" w:hAnsi="Times New Roman" w:cs="Times New Roman"/>
        </w:rPr>
      </w:pPr>
      <w:r>
        <w:rPr>
          <w:rFonts w:ascii="Times New Roman" w:hAnsi="Times New Roman" w:cs="Times New Roman"/>
        </w:rPr>
        <w:t xml:space="preserve">                                                                                                                 </w:t>
      </w:r>
    </w:p>
    <w:p w:rsidR="00CF4123" w:rsidP="00C362EA">
      <w:pPr>
        <w:pStyle w:val="Heading4"/>
        <w:spacing w:line="240" w:lineRule="auto"/>
        <w:rPr>
          <w:rFonts w:ascii="Times New Roman" w:hAnsi="Times New Roman" w:cs="Times New Roman"/>
        </w:rPr>
      </w:pPr>
    </w:p>
    <w:p w:rsidR="00D27E26" w:rsidRPr="00D23807" w:rsidP="00C362EA">
      <w:pPr>
        <w:spacing w:line="240" w:lineRule="auto"/>
        <w:rPr>
          <w:rFonts w:ascii="Times New Roman" w:hAnsi="Times New Roman" w:cs="Times New Roman"/>
          <w:sz w:val="22"/>
        </w:rPr>
      </w:pPr>
    </w:p>
    <w:p w:rsidR="00D27E26" w:rsidRPr="00D23807" w:rsidP="00C362EA">
      <w:pPr>
        <w:spacing w:line="240" w:lineRule="auto"/>
        <w:rPr>
          <w:rFonts w:ascii="Times New Roman" w:hAnsi="Times New Roman" w:cs="Times New Roman"/>
          <w:sz w:val="22"/>
        </w:rPr>
      </w:pPr>
    </w:p>
    <w:p w:rsidR="00D27E26" w:rsidRPr="00D23807" w:rsidP="00C362EA">
      <w:pPr>
        <w:spacing w:line="240" w:lineRule="auto"/>
        <w:rPr>
          <w:rFonts w:ascii="Times New Roman" w:hAnsi="Times New Roman" w:cs="Times New Roman"/>
          <w:sz w:val="22"/>
        </w:rPr>
      </w:pPr>
    </w:p>
    <w:p w:rsidR="00D27E26" w:rsidP="00C362EA">
      <w:pPr>
        <w:spacing w:line="240" w:lineRule="auto"/>
        <w:rPr>
          <w:rFonts w:ascii="Times New Roman" w:hAnsi="Times New Roman" w:cs="Times New Roman"/>
          <w:sz w:val="22"/>
        </w:rPr>
      </w:pPr>
    </w:p>
    <w:p w:rsidR="00CF4123" w:rsidP="00C362EA">
      <w:pPr>
        <w:spacing w:line="240" w:lineRule="auto"/>
        <w:rPr>
          <w:rFonts w:ascii="Times New Roman" w:hAnsi="Times New Roman" w:cs="Times New Roman"/>
          <w:sz w:val="22"/>
        </w:rPr>
      </w:pPr>
    </w:p>
    <w:p w:rsidR="00CF4123" w:rsidP="00C362EA">
      <w:pPr>
        <w:spacing w:line="240" w:lineRule="auto"/>
        <w:rPr>
          <w:rFonts w:ascii="Times New Roman" w:hAnsi="Times New Roman" w:cs="Times New Roman"/>
          <w:sz w:val="22"/>
        </w:rPr>
      </w:pPr>
    </w:p>
    <w:p w:rsidR="00CF4123" w:rsidP="00C362EA">
      <w:pPr>
        <w:spacing w:line="240" w:lineRule="auto"/>
        <w:rPr>
          <w:rFonts w:ascii="Times New Roman" w:hAnsi="Times New Roman" w:cs="Times New Roman"/>
          <w:sz w:val="22"/>
        </w:rPr>
      </w:pPr>
    </w:p>
    <w:p w:rsidR="00CF4123" w:rsidP="00C362EA">
      <w:pPr>
        <w:spacing w:line="240" w:lineRule="auto"/>
        <w:rPr>
          <w:rFonts w:ascii="Times New Roman" w:hAnsi="Times New Roman" w:cs="Times New Roman"/>
          <w:sz w:val="22"/>
        </w:rPr>
      </w:pPr>
    </w:p>
    <w:p w:rsidR="00CF4123" w:rsidP="00C362EA">
      <w:pPr>
        <w:spacing w:line="240" w:lineRule="auto"/>
        <w:rPr>
          <w:rFonts w:ascii="Times New Roman" w:hAnsi="Times New Roman" w:cs="Times New Roman"/>
          <w:sz w:val="22"/>
        </w:rPr>
      </w:pPr>
    </w:p>
    <w:p w:rsidR="00CF4123" w:rsidRPr="00D23807" w:rsidP="00C362EA">
      <w:pPr>
        <w:spacing w:line="240" w:lineRule="auto"/>
        <w:rPr>
          <w:rFonts w:ascii="Times New Roman" w:hAnsi="Times New Roman" w:cs="Times New Roman"/>
          <w:sz w:val="22"/>
        </w:rPr>
      </w:pPr>
    </w:p>
    <w:p w:rsidR="00D27E26" w:rsidRPr="0014123B" w:rsidP="00C362EA">
      <w:pPr>
        <w:spacing w:line="240" w:lineRule="auto"/>
        <w:jc w:val="center"/>
        <w:rPr>
          <w:rFonts w:ascii="Times New Roman" w:hAnsi="Times New Roman" w:cs="Times New Roman"/>
          <w:b/>
          <w:sz w:val="40"/>
          <w:szCs w:val="40"/>
        </w:rPr>
      </w:pPr>
      <w:r w:rsidRPr="0014123B">
        <w:rPr>
          <w:rFonts w:ascii="Times New Roman" w:hAnsi="Times New Roman" w:cs="Times New Roman"/>
          <w:b/>
          <w:sz w:val="40"/>
          <w:szCs w:val="40"/>
        </w:rPr>
        <w:t>N Á V R H</w:t>
      </w:r>
    </w:p>
    <w:p w:rsidR="00D27E26" w:rsidRPr="0014123B" w:rsidP="00C362EA">
      <w:pPr>
        <w:spacing w:line="240" w:lineRule="auto"/>
        <w:jc w:val="center"/>
        <w:rPr>
          <w:rFonts w:ascii="Times New Roman" w:hAnsi="Times New Roman" w:cs="Times New Roman"/>
          <w:b/>
          <w:sz w:val="40"/>
          <w:szCs w:val="40"/>
        </w:rPr>
      </w:pPr>
    </w:p>
    <w:p w:rsidR="0014123B" w:rsidRPr="0014123B" w:rsidP="0014123B">
      <w:pPr>
        <w:spacing w:line="240" w:lineRule="auto"/>
        <w:jc w:val="center"/>
        <w:rPr>
          <w:rFonts w:ascii="Times New Roman" w:hAnsi="Times New Roman" w:cs="Times New Roman"/>
          <w:b/>
          <w:sz w:val="40"/>
          <w:szCs w:val="40"/>
        </w:rPr>
      </w:pPr>
      <w:r w:rsidRPr="0014123B">
        <w:rPr>
          <w:rFonts w:ascii="Times New Roman" w:hAnsi="Times New Roman" w:cs="Times New Roman"/>
          <w:b/>
          <w:sz w:val="40"/>
          <w:szCs w:val="40"/>
        </w:rPr>
        <w:t xml:space="preserve">ZÁVEREČNÉHO ÚČTU </w:t>
      </w:r>
    </w:p>
    <w:p w:rsidR="0014123B" w:rsidRPr="0014123B" w:rsidP="0014123B">
      <w:pPr>
        <w:spacing w:line="240" w:lineRule="auto"/>
        <w:jc w:val="center"/>
        <w:rPr>
          <w:rFonts w:ascii="Times New Roman" w:hAnsi="Times New Roman" w:cs="Times New Roman"/>
          <w:b/>
          <w:sz w:val="40"/>
          <w:szCs w:val="40"/>
        </w:rPr>
      </w:pPr>
    </w:p>
    <w:p w:rsidR="00D27E26" w:rsidRPr="0014123B" w:rsidP="0014123B">
      <w:pPr>
        <w:spacing w:line="240" w:lineRule="auto"/>
        <w:jc w:val="center"/>
        <w:rPr>
          <w:rFonts w:ascii="Times New Roman" w:hAnsi="Times New Roman" w:cs="Times New Roman"/>
          <w:b/>
          <w:sz w:val="40"/>
          <w:szCs w:val="40"/>
        </w:rPr>
      </w:pPr>
      <w:r w:rsidRPr="0014123B" w:rsidR="0014123B">
        <w:rPr>
          <w:rFonts w:ascii="Times New Roman" w:hAnsi="Times New Roman" w:cs="Times New Roman"/>
          <w:b/>
          <w:sz w:val="40"/>
          <w:szCs w:val="40"/>
        </w:rPr>
        <w:t xml:space="preserve">ZA ROK </w:t>
      </w:r>
      <w:r w:rsidR="00D6018E">
        <w:rPr>
          <w:rFonts w:ascii="Times New Roman" w:hAnsi="Times New Roman" w:cs="Times New Roman"/>
          <w:b/>
          <w:sz w:val="40"/>
          <w:szCs w:val="40"/>
        </w:rPr>
        <w:t>2007</w:t>
      </w:r>
    </w:p>
    <w:p w:rsidR="00D27E26" w:rsidRPr="00D23807" w:rsidP="00C362EA">
      <w:pPr>
        <w:spacing w:line="240" w:lineRule="auto"/>
        <w:jc w:val="center"/>
        <w:rPr>
          <w:rFonts w:ascii="Times New Roman" w:hAnsi="Times New Roman" w:cs="Times New Roman"/>
          <w:b/>
          <w:sz w:val="32"/>
          <w:szCs w:val="32"/>
        </w:rPr>
      </w:pPr>
    </w:p>
    <w:p w:rsidR="00D27E26" w:rsidRPr="00D23807" w:rsidP="00C362EA">
      <w:pPr>
        <w:spacing w:line="240" w:lineRule="auto"/>
        <w:rPr>
          <w:rFonts w:ascii="Times New Roman" w:hAnsi="Times New Roman" w:cs="Times New Roman"/>
          <w:b/>
          <w:sz w:val="32"/>
        </w:rPr>
      </w:pPr>
    </w:p>
    <w:p w:rsidR="00D27E26" w:rsidP="00C362EA">
      <w:pPr>
        <w:spacing w:line="240" w:lineRule="auto"/>
        <w:rPr>
          <w:rFonts w:ascii="Times New Roman" w:hAnsi="Times New Roman" w:cs="Times New Roman"/>
          <w:sz w:val="22"/>
        </w:rPr>
      </w:pPr>
    </w:p>
    <w:p w:rsidR="00CF4123" w:rsidP="00C362EA">
      <w:pPr>
        <w:spacing w:line="240" w:lineRule="auto"/>
        <w:rPr>
          <w:rFonts w:ascii="Times New Roman" w:hAnsi="Times New Roman" w:cs="Times New Roman"/>
          <w:sz w:val="22"/>
        </w:rPr>
      </w:pPr>
    </w:p>
    <w:p w:rsidR="00CF4123" w:rsidRPr="00D23807" w:rsidP="00C362EA">
      <w:pPr>
        <w:spacing w:line="240" w:lineRule="auto"/>
        <w:rPr>
          <w:rFonts w:ascii="Times New Roman" w:hAnsi="Times New Roman" w:cs="Times New Roman"/>
          <w:sz w:val="22"/>
        </w:rPr>
      </w:pPr>
    </w:p>
    <w:p w:rsidR="00D27E26" w:rsidRPr="0014123B" w:rsidP="0014123B">
      <w:pPr>
        <w:spacing w:line="240" w:lineRule="auto"/>
        <w:rPr>
          <w:rFonts w:ascii="Times New Roman" w:hAnsi="Times New Roman" w:cs="Times New Roman"/>
          <w:b/>
          <w:sz w:val="24"/>
        </w:rPr>
      </w:pPr>
      <w:r w:rsidRPr="0014123B" w:rsidR="0014123B">
        <w:rPr>
          <w:rFonts w:ascii="Times New Roman" w:hAnsi="Times New Roman" w:cs="Times New Roman"/>
          <w:b/>
          <w:sz w:val="24"/>
          <w:u w:val="single"/>
        </w:rPr>
        <w:t>PREDKLADÁ</w:t>
      </w:r>
      <w:r w:rsidRPr="0014123B">
        <w:rPr>
          <w:rFonts w:ascii="Times New Roman" w:hAnsi="Times New Roman" w:cs="Times New Roman"/>
          <w:b/>
          <w:sz w:val="24"/>
          <w:u w:val="single"/>
        </w:rPr>
        <w:t>:</w:t>
      </w:r>
    </w:p>
    <w:p w:rsidR="00D27E26" w:rsidRPr="00D23807" w:rsidP="00C362EA">
      <w:pPr>
        <w:spacing w:line="240" w:lineRule="auto"/>
        <w:rPr>
          <w:rFonts w:ascii="Times New Roman" w:hAnsi="Times New Roman" w:cs="Times New Roman"/>
          <w:sz w:val="24"/>
          <w:u w:val="single"/>
        </w:rPr>
      </w:pPr>
    </w:p>
    <w:p w:rsidR="00D27E26" w:rsidRPr="00D23807" w:rsidP="00C362EA">
      <w:pPr>
        <w:spacing w:line="240" w:lineRule="auto"/>
        <w:rPr>
          <w:rFonts w:ascii="Times New Roman" w:hAnsi="Times New Roman" w:cs="Times New Roman"/>
          <w:b/>
          <w:sz w:val="24"/>
        </w:rPr>
      </w:pPr>
      <w:r w:rsidR="0014123B">
        <w:rPr>
          <w:rFonts w:ascii="Times New Roman" w:hAnsi="Times New Roman" w:cs="Times New Roman"/>
          <w:b/>
          <w:sz w:val="24"/>
        </w:rPr>
        <w:t>Ľubomír Vážny</w:t>
      </w:r>
    </w:p>
    <w:p w:rsidR="00D27E26" w:rsidP="00C362EA">
      <w:pPr>
        <w:spacing w:line="240" w:lineRule="auto"/>
        <w:rPr>
          <w:rFonts w:ascii="Times New Roman" w:hAnsi="Times New Roman" w:cs="Times New Roman"/>
          <w:sz w:val="24"/>
        </w:rPr>
      </w:pPr>
      <w:r w:rsidR="0014123B">
        <w:rPr>
          <w:rFonts w:ascii="Times New Roman" w:hAnsi="Times New Roman" w:cs="Times New Roman"/>
          <w:sz w:val="24"/>
        </w:rPr>
        <w:t>minister dopravy, pôšt a </w:t>
      </w:r>
      <w:r w:rsidR="0014123B">
        <w:rPr>
          <w:rFonts w:ascii="Times New Roman" w:hAnsi="Times New Roman" w:cs="Times New Roman"/>
          <w:sz w:val="24"/>
        </w:rPr>
        <w:t>telekomunikácií</w:t>
      </w:r>
    </w:p>
    <w:p w:rsidR="0014123B" w:rsidRPr="00D23807" w:rsidP="00C362EA">
      <w:pPr>
        <w:spacing w:line="240" w:lineRule="auto"/>
        <w:rPr>
          <w:rFonts w:ascii="Times New Roman" w:hAnsi="Times New Roman" w:cs="Times New Roman"/>
          <w:sz w:val="24"/>
        </w:rPr>
      </w:pPr>
      <w:r>
        <w:rPr>
          <w:rFonts w:ascii="Times New Roman" w:hAnsi="Times New Roman" w:cs="Times New Roman"/>
          <w:sz w:val="24"/>
        </w:rPr>
        <w:t>Slovenskej republiky</w:t>
      </w:r>
    </w:p>
    <w:p w:rsidR="00D27E26" w:rsidRPr="00D23807" w:rsidP="00C362EA">
      <w:pPr>
        <w:spacing w:line="240" w:lineRule="auto"/>
        <w:rPr>
          <w:rFonts w:ascii="Times New Roman" w:hAnsi="Times New Roman" w:cs="Times New Roman"/>
          <w:sz w:val="24"/>
        </w:rPr>
      </w:pPr>
    </w:p>
    <w:p w:rsidR="0014123B" w:rsidP="0014123B">
      <w:pPr>
        <w:spacing w:line="240" w:lineRule="auto"/>
        <w:rPr>
          <w:rFonts w:ascii="Times New Roman" w:hAnsi="Times New Roman" w:cs="Times New Roman"/>
          <w:sz w:val="24"/>
        </w:rPr>
      </w:pPr>
    </w:p>
    <w:p w:rsidR="00C41F40" w:rsidP="0014123B">
      <w:pPr>
        <w:spacing w:line="240" w:lineRule="auto"/>
        <w:rPr>
          <w:rFonts w:ascii="Times New Roman" w:hAnsi="Times New Roman" w:cs="Times New Roman"/>
          <w:sz w:val="24"/>
        </w:rPr>
      </w:pPr>
    </w:p>
    <w:p w:rsidR="0014123B" w:rsidP="0014123B">
      <w:pPr>
        <w:spacing w:line="240" w:lineRule="auto"/>
        <w:rPr>
          <w:rFonts w:ascii="Times New Roman" w:hAnsi="Times New Roman" w:cs="Times New Roman"/>
          <w:b/>
          <w:sz w:val="24"/>
          <w:u w:val="single"/>
        </w:rPr>
      </w:pPr>
      <w:r>
        <w:rPr>
          <w:rFonts w:ascii="Times New Roman" w:hAnsi="Times New Roman" w:cs="Times New Roman"/>
          <w:b/>
          <w:sz w:val="24"/>
          <w:u w:val="single"/>
        </w:rPr>
        <w:t>OBSAH</w:t>
      </w:r>
      <w:r w:rsidRPr="0014123B">
        <w:rPr>
          <w:rFonts w:ascii="Times New Roman" w:hAnsi="Times New Roman" w:cs="Times New Roman"/>
          <w:b/>
          <w:sz w:val="24"/>
          <w:u w:val="single"/>
        </w:rPr>
        <w:t>:</w:t>
      </w:r>
    </w:p>
    <w:p w:rsidR="0014123B" w:rsidRPr="007F7C85" w:rsidP="0014123B">
      <w:pPr>
        <w:spacing w:line="240" w:lineRule="auto"/>
        <w:rPr>
          <w:rFonts w:ascii="Times New Roman" w:hAnsi="Times New Roman" w:cs="Times New Roman"/>
          <w:b/>
          <w:sz w:val="24"/>
        </w:rPr>
      </w:pPr>
    </w:p>
    <w:p w:rsidR="0014123B" w:rsidRPr="007F7C85" w:rsidP="001654CB">
      <w:pPr>
        <w:numPr>
          <w:ilvl w:val="0"/>
          <w:numId w:val="19"/>
        </w:numPr>
        <w:tabs>
          <w:tab w:val="clear" w:pos="720"/>
        </w:tabs>
        <w:spacing w:line="240" w:lineRule="auto"/>
        <w:ind w:left="360"/>
        <w:rPr>
          <w:rFonts w:ascii="Times New Roman" w:hAnsi="Times New Roman" w:cs="Times New Roman"/>
          <w:sz w:val="24"/>
        </w:rPr>
      </w:pPr>
      <w:r w:rsidRPr="007F7C85">
        <w:rPr>
          <w:rFonts w:ascii="Times New Roman" w:hAnsi="Times New Roman" w:cs="Times New Roman"/>
          <w:sz w:val="24"/>
        </w:rPr>
        <w:t>Správa k návrhu záverečného účtu</w:t>
      </w:r>
    </w:p>
    <w:p w:rsidR="0014123B" w:rsidRPr="007F7C85" w:rsidP="001654CB">
      <w:pPr>
        <w:numPr>
          <w:ilvl w:val="0"/>
          <w:numId w:val="19"/>
        </w:numPr>
        <w:tabs>
          <w:tab w:val="clear" w:pos="720"/>
        </w:tabs>
        <w:spacing w:line="240" w:lineRule="auto"/>
        <w:ind w:left="360"/>
        <w:rPr>
          <w:rFonts w:ascii="Times New Roman" w:hAnsi="Times New Roman" w:cs="Times New Roman"/>
          <w:sz w:val="24"/>
        </w:rPr>
      </w:pPr>
      <w:r w:rsidRPr="007F7C85">
        <w:rPr>
          <w:rFonts w:ascii="Times New Roman" w:hAnsi="Times New Roman" w:cs="Times New Roman"/>
          <w:sz w:val="24"/>
        </w:rPr>
        <w:t>Tabuľková časť</w:t>
      </w:r>
    </w:p>
    <w:p w:rsidR="0014123B" w:rsidRPr="007F7C85" w:rsidP="001654CB">
      <w:pPr>
        <w:numPr>
          <w:ilvl w:val="0"/>
          <w:numId w:val="19"/>
        </w:numPr>
        <w:tabs>
          <w:tab w:val="clear" w:pos="720"/>
        </w:tabs>
        <w:spacing w:line="240" w:lineRule="auto"/>
        <w:ind w:left="360"/>
        <w:rPr>
          <w:rFonts w:ascii="Times New Roman" w:hAnsi="Times New Roman" w:cs="Times New Roman"/>
          <w:sz w:val="24"/>
        </w:rPr>
      </w:pPr>
      <w:r w:rsidR="00CD4064">
        <w:rPr>
          <w:rFonts w:ascii="Times New Roman" w:hAnsi="Times New Roman" w:cs="Times New Roman"/>
          <w:sz w:val="24"/>
        </w:rPr>
        <w:t>Príloha</w:t>
      </w:r>
    </w:p>
    <w:p w:rsidR="0014123B" w:rsidRPr="0014123B" w:rsidP="0014123B">
      <w:pPr>
        <w:spacing w:line="240" w:lineRule="auto"/>
        <w:ind w:left="360"/>
        <w:rPr>
          <w:rFonts w:ascii="Times New Roman" w:hAnsi="Times New Roman" w:cs="Times New Roman"/>
          <w:sz w:val="24"/>
          <w:u w:val="single"/>
        </w:rPr>
      </w:pPr>
    </w:p>
    <w:p w:rsidR="0014123B" w:rsidP="0014123B">
      <w:pPr>
        <w:spacing w:line="240" w:lineRule="auto"/>
        <w:ind w:left="360"/>
        <w:rPr>
          <w:rFonts w:ascii="Times New Roman" w:hAnsi="Times New Roman" w:cs="Times New Roman"/>
          <w:b/>
          <w:sz w:val="24"/>
          <w:u w:val="single"/>
        </w:rPr>
      </w:pPr>
    </w:p>
    <w:p w:rsidR="0014123B" w:rsidP="00C362EA">
      <w:pPr>
        <w:spacing w:line="240" w:lineRule="auto"/>
        <w:rPr>
          <w:rFonts w:ascii="Times New Roman" w:hAnsi="Times New Roman" w:cs="Times New Roman"/>
          <w:b/>
          <w:sz w:val="24"/>
          <w:u w:val="single"/>
        </w:rPr>
      </w:pPr>
    </w:p>
    <w:p w:rsidR="00C41F40" w:rsidP="00C362EA">
      <w:pPr>
        <w:spacing w:line="240" w:lineRule="auto"/>
        <w:rPr>
          <w:rFonts w:ascii="Times New Roman" w:hAnsi="Times New Roman" w:cs="Times New Roman"/>
          <w:b/>
          <w:sz w:val="24"/>
          <w:u w:val="single"/>
        </w:rPr>
      </w:pPr>
    </w:p>
    <w:p w:rsidR="0014123B" w:rsidP="00C362EA">
      <w:pPr>
        <w:spacing w:line="240" w:lineRule="auto"/>
        <w:rPr>
          <w:rFonts w:ascii="Times New Roman" w:hAnsi="Times New Roman" w:cs="Times New Roman"/>
          <w:b/>
          <w:sz w:val="24"/>
          <w:u w:val="single"/>
        </w:rPr>
      </w:pPr>
    </w:p>
    <w:p w:rsidR="00FE1B1C" w:rsidRPr="00FE1B1C" w:rsidP="000212D7">
      <w:pPr>
        <w:spacing w:line="240" w:lineRule="auto"/>
        <w:jc w:val="center"/>
        <w:rPr>
          <w:rFonts w:ascii="Times New Roman" w:hAnsi="Times New Roman" w:cs="Times New Roman"/>
          <w:sz w:val="24"/>
        </w:rPr>
      </w:pPr>
      <w:r w:rsidR="0014123B">
        <w:rPr>
          <w:rFonts w:ascii="Times New Roman" w:hAnsi="Times New Roman" w:cs="Times New Roman"/>
          <w:sz w:val="24"/>
        </w:rPr>
        <w:t xml:space="preserve">Bratislava, apríl </w:t>
      </w:r>
      <w:r w:rsidR="00CF4123">
        <w:rPr>
          <w:rFonts w:ascii="Times New Roman" w:hAnsi="Times New Roman" w:cs="Times New Roman"/>
          <w:sz w:val="24"/>
        </w:rPr>
        <w:t>200</w:t>
      </w:r>
      <w:r w:rsidR="00FA241B">
        <w:rPr>
          <w:rFonts w:ascii="Times New Roman" w:hAnsi="Times New Roman" w:cs="Times New Roman"/>
          <w:sz w:val="24"/>
        </w:rPr>
        <w:t>8</w:t>
      </w:r>
    </w:p>
    <w:p w:rsidR="00D27E26" w:rsidRPr="00D23807" w:rsidP="00C362EA">
      <w:pPr>
        <w:pBdr>
          <w:top w:val="threeDEmboss" w:sz="24" w:space="1" w:color="auto"/>
          <w:left w:val="threeDEmboss" w:sz="24" w:space="1" w:color="auto"/>
          <w:bottom w:val="threeDEmboss" w:sz="24" w:space="1" w:color="auto"/>
          <w:right w:val="threeDEmboss" w:sz="24" w:space="1" w:color="auto"/>
        </w:pBdr>
        <w:shd w:val="pct15" w:color="000000" w:fill="FFFFFF"/>
        <w:spacing w:line="240" w:lineRule="auto"/>
        <w:rPr>
          <w:rFonts w:ascii="Times New Roman" w:hAnsi="Times New Roman" w:cs="Times New Roman"/>
          <w:b/>
          <w:sz w:val="28"/>
        </w:rPr>
      </w:pPr>
    </w:p>
    <w:p w:rsidR="00D27E26" w:rsidRPr="002E4468" w:rsidP="00C362EA">
      <w:pPr>
        <w:pBdr>
          <w:top w:val="threeDEmboss" w:sz="24" w:space="1" w:color="auto"/>
          <w:left w:val="threeDEmboss" w:sz="24" w:space="1" w:color="auto"/>
          <w:bottom w:val="threeDEmboss" w:sz="24" w:space="1" w:color="auto"/>
          <w:right w:val="threeDEmboss" w:sz="24" w:space="1" w:color="auto"/>
        </w:pBdr>
        <w:shd w:val="pct15" w:color="000000" w:fill="FFFFFF"/>
        <w:spacing w:line="240" w:lineRule="auto"/>
        <w:jc w:val="center"/>
        <w:rPr>
          <w:rFonts w:ascii="Times New Roman" w:hAnsi="Times New Roman" w:cs="Times New Roman"/>
          <w:b/>
          <w:sz w:val="36"/>
          <w:szCs w:val="36"/>
        </w:rPr>
      </w:pPr>
      <w:r w:rsidRPr="002E4468">
        <w:rPr>
          <w:rFonts w:ascii="Times New Roman" w:hAnsi="Times New Roman" w:cs="Times New Roman"/>
          <w:b/>
          <w:sz w:val="36"/>
          <w:szCs w:val="36"/>
        </w:rPr>
        <w:t>Návrh záverečného účtu rozpočtovej kapitoly</w:t>
      </w:r>
    </w:p>
    <w:p w:rsidR="002E4468" w:rsidP="00C362EA">
      <w:pPr>
        <w:pBdr>
          <w:top w:val="threeDEmboss" w:sz="24" w:space="1" w:color="auto"/>
          <w:left w:val="threeDEmboss" w:sz="24" w:space="1" w:color="auto"/>
          <w:bottom w:val="threeDEmboss" w:sz="24" w:space="1" w:color="auto"/>
          <w:right w:val="threeDEmboss" w:sz="24" w:space="1" w:color="auto"/>
        </w:pBdr>
        <w:shd w:val="pct15" w:color="000000" w:fill="FFFFFF"/>
        <w:spacing w:line="240" w:lineRule="auto"/>
        <w:jc w:val="center"/>
        <w:rPr>
          <w:rFonts w:ascii="Times New Roman" w:hAnsi="Times New Roman" w:cs="Times New Roman"/>
          <w:b/>
          <w:sz w:val="36"/>
          <w:szCs w:val="36"/>
        </w:rPr>
      </w:pPr>
      <w:r w:rsidRPr="002E4468" w:rsidR="00D27E26">
        <w:rPr>
          <w:rFonts w:ascii="Times New Roman" w:hAnsi="Times New Roman" w:cs="Times New Roman"/>
          <w:b/>
          <w:sz w:val="36"/>
          <w:szCs w:val="36"/>
        </w:rPr>
        <w:t xml:space="preserve">Ministerstva dopravy, pôšt </w:t>
      </w:r>
      <w:r w:rsidRPr="002E4468" w:rsidR="00657BE3">
        <w:rPr>
          <w:rFonts w:ascii="Times New Roman" w:hAnsi="Times New Roman" w:cs="Times New Roman"/>
          <w:b/>
          <w:sz w:val="36"/>
          <w:szCs w:val="36"/>
        </w:rPr>
        <w:t>a teleko</w:t>
      </w:r>
      <w:r w:rsidRPr="002E4468" w:rsidR="004E0781">
        <w:rPr>
          <w:rFonts w:ascii="Times New Roman" w:hAnsi="Times New Roman" w:cs="Times New Roman"/>
          <w:b/>
          <w:sz w:val="36"/>
          <w:szCs w:val="36"/>
        </w:rPr>
        <w:t xml:space="preserve">munikácií SR </w:t>
      </w:r>
    </w:p>
    <w:p w:rsidR="00D27E26" w:rsidP="000D68AA">
      <w:pPr>
        <w:pBdr>
          <w:top w:val="threeDEmboss" w:sz="24" w:space="1" w:color="auto"/>
          <w:left w:val="threeDEmboss" w:sz="24" w:space="1" w:color="auto"/>
          <w:bottom w:val="threeDEmboss" w:sz="24" w:space="1" w:color="auto"/>
          <w:right w:val="threeDEmboss" w:sz="24" w:space="1" w:color="auto"/>
        </w:pBdr>
        <w:shd w:val="pct15" w:color="000000" w:fill="FFFFFF"/>
        <w:spacing w:line="240" w:lineRule="auto"/>
        <w:jc w:val="center"/>
        <w:rPr>
          <w:rFonts w:ascii="Times New Roman" w:hAnsi="Times New Roman" w:cs="Times New Roman"/>
          <w:b/>
          <w:sz w:val="36"/>
          <w:szCs w:val="36"/>
        </w:rPr>
      </w:pPr>
      <w:r w:rsidR="00ED5169">
        <w:rPr>
          <w:rFonts w:ascii="Times New Roman" w:hAnsi="Times New Roman" w:cs="Times New Roman"/>
          <w:b/>
          <w:sz w:val="36"/>
          <w:szCs w:val="36"/>
        </w:rPr>
        <w:t>za rok 2007</w:t>
      </w:r>
    </w:p>
    <w:p w:rsidR="000D68AA" w:rsidRPr="000D68AA" w:rsidP="000D68AA">
      <w:pPr>
        <w:pBdr>
          <w:top w:val="threeDEmboss" w:sz="24" w:space="1" w:color="auto"/>
          <w:left w:val="threeDEmboss" w:sz="24" w:space="1" w:color="auto"/>
          <w:bottom w:val="threeDEmboss" w:sz="24" w:space="1" w:color="auto"/>
          <w:right w:val="threeDEmboss" w:sz="24" w:space="1" w:color="auto"/>
        </w:pBdr>
        <w:shd w:val="pct15" w:color="000000" w:fill="FFFFFF"/>
        <w:spacing w:line="240" w:lineRule="auto"/>
        <w:jc w:val="center"/>
        <w:rPr>
          <w:rFonts w:ascii="Times New Roman" w:hAnsi="Times New Roman" w:cs="Times New Roman"/>
          <w:b/>
          <w:sz w:val="16"/>
          <w:szCs w:val="16"/>
        </w:rPr>
      </w:pPr>
    </w:p>
    <w:p w:rsidR="00D27E26" w:rsidRPr="002E4468" w:rsidP="00C362EA">
      <w:pPr>
        <w:pBdr>
          <w:top w:val="threeDEmboss" w:sz="24" w:space="1" w:color="auto"/>
          <w:left w:val="threeDEmboss" w:sz="24" w:space="1" w:color="auto"/>
          <w:bottom w:val="threeDEmboss" w:sz="24" w:space="1" w:color="auto"/>
          <w:right w:val="threeDEmboss" w:sz="24" w:space="1" w:color="auto"/>
        </w:pBdr>
        <w:shd w:val="pct15" w:color="000000" w:fill="FFFFFF"/>
        <w:spacing w:line="240" w:lineRule="auto"/>
        <w:jc w:val="center"/>
        <w:rPr>
          <w:rFonts w:ascii="Times New Roman" w:hAnsi="Times New Roman" w:cs="Times New Roman"/>
          <w:b/>
          <w:sz w:val="36"/>
          <w:szCs w:val="36"/>
          <w:u w:val="single"/>
        </w:rPr>
      </w:pPr>
      <w:r w:rsidRPr="002E4468" w:rsidR="00241878">
        <w:rPr>
          <w:rFonts w:ascii="Times New Roman" w:hAnsi="Times New Roman" w:cs="Times New Roman"/>
          <w:b/>
          <w:sz w:val="36"/>
          <w:szCs w:val="36"/>
          <w:u w:val="single"/>
        </w:rPr>
        <w:t xml:space="preserve">1. </w:t>
      </w:r>
      <w:r w:rsidRPr="002E4468" w:rsidR="002E4468">
        <w:rPr>
          <w:rFonts w:ascii="Times New Roman" w:hAnsi="Times New Roman" w:cs="Times New Roman"/>
          <w:b/>
          <w:sz w:val="36"/>
          <w:szCs w:val="36"/>
          <w:u w:val="single"/>
        </w:rPr>
        <w:t xml:space="preserve"> </w:t>
      </w:r>
      <w:r w:rsidRPr="002E4468">
        <w:rPr>
          <w:rFonts w:ascii="Times New Roman" w:hAnsi="Times New Roman" w:cs="Times New Roman"/>
          <w:b/>
          <w:sz w:val="36"/>
          <w:szCs w:val="36"/>
          <w:u w:val="single"/>
        </w:rPr>
        <w:t xml:space="preserve">S p r á v a  </w:t>
      </w:r>
      <w:r w:rsidRPr="002E4468">
        <w:rPr>
          <w:rFonts w:ascii="Times New Roman" w:hAnsi="Times New Roman" w:cs="Times New Roman"/>
          <w:b/>
          <w:sz w:val="36"/>
          <w:szCs w:val="36"/>
          <w:u w:val="single"/>
        </w:rPr>
        <w:t xml:space="preserve"> o  </w:t>
      </w:r>
      <w:r w:rsidRPr="002E4468" w:rsidR="00870C58">
        <w:rPr>
          <w:rFonts w:ascii="Times New Roman" w:hAnsi="Times New Roman" w:cs="Times New Roman"/>
          <w:b/>
          <w:sz w:val="36"/>
          <w:szCs w:val="36"/>
          <w:u w:val="single"/>
        </w:rPr>
        <w:t xml:space="preserve"> </w:t>
      </w:r>
      <w:r w:rsidRPr="002E4468">
        <w:rPr>
          <w:rFonts w:ascii="Times New Roman" w:hAnsi="Times New Roman" w:cs="Times New Roman"/>
          <w:b/>
          <w:sz w:val="36"/>
          <w:szCs w:val="36"/>
          <w:u w:val="single"/>
        </w:rPr>
        <w:t>h o s p o d á r e n í</w:t>
      </w:r>
      <w:r w:rsidRPr="002E4468" w:rsidR="00870C58">
        <w:rPr>
          <w:rFonts w:ascii="Times New Roman" w:hAnsi="Times New Roman" w:cs="Times New Roman"/>
          <w:b/>
          <w:sz w:val="36"/>
          <w:szCs w:val="36"/>
          <w:u w:val="single"/>
        </w:rPr>
        <w:t xml:space="preserve">    k a p i t o ly</w:t>
      </w:r>
    </w:p>
    <w:p w:rsidR="00D27E26" w:rsidRPr="00D23807" w:rsidP="00C362EA">
      <w:pPr>
        <w:pBdr>
          <w:top w:val="threeDEmboss" w:sz="24" w:space="1" w:color="auto"/>
          <w:left w:val="threeDEmboss" w:sz="24" w:space="1" w:color="auto"/>
          <w:bottom w:val="threeDEmboss" w:sz="24" w:space="1" w:color="auto"/>
          <w:right w:val="threeDEmboss" w:sz="24" w:space="1" w:color="auto"/>
        </w:pBdr>
        <w:shd w:val="pct15" w:color="000000" w:fill="FFFFFF"/>
        <w:spacing w:line="240" w:lineRule="auto"/>
        <w:jc w:val="center"/>
        <w:rPr>
          <w:rFonts w:ascii="Times New Roman" w:hAnsi="Times New Roman" w:cs="Times New Roman"/>
          <w:b/>
          <w:sz w:val="28"/>
          <w:u w:val="single"/>
        </w:rPr>
      </w:pPr>
    </w:p>
    <w:p w:rsidR="00AE3AF3" w:rsidRPr="002F48BE" w:rsidP="00C362EA">
      <w:pPr>
        <w:spacing w:line="240" w:lineRule="auto"/>
        <w:rPr>
          <w:rFonts w:ascii="Times New Roman" w:hAnsi="Times New Roman" w:cs="Times New Roman"/>
          <w:sz w:val="28"/>
          <w:szCs w:val="28"/>
        </w:rPr>
      </w:pPr>
    </w:p>
    <w:p w:rsidR="002E4468" w:rsidRPr="000D68AA" w:rsidP="00C362EA">
      <w:pPr>
        <w:pStyle w:val="BodyTextIndent"/>
        <w:numPr>
          <w:ilvl w:val="1"/>
          <w:numId w:val="7"/>
        </w:numPr>
        <w:pBdr>
          <w:top w:val="threeDEmboss" w:sz="24" w:space="1" w:color="auto"/>
          <w:left w:val="threeDEmboss" w:sz="24" w:space="4" w:color="auto"/>
          <w:bottom w:val="threeDEmboss" w:sz="24" w:space="1" w:color="auto"/>
          <w:right w:val="threeDEmboss" w:sz="24" w:space="4" w:color="auto"/>
        </w:pBdr>
        <w:shd w:val="pct15" w:color="000000" w:fill="FFFFFF"/>
        <w:tabs>
          <w:tab w:val="left" w:pos="720"/>
        </w:tabs>
        <w:spacing w:line="240" w:lineRule="auto"/>
        <w:jc w:val="center"/>
        <w:rPr>
          <w:rFonts w:ascii="Times New Roman" w:hAnsi="Times New Roman" w:cs="Times New Roman"/>
          <w:b/>
          <w:sz w:val="32"/>
          <w:szCs w:val="32"/>
        </w:rPr>
      </w:pPr>
      <w:r w:rsidRPr="000D68AA" w:rsidR="006A0DDF">
        <w:rPr>
          <w:rFonts w:ascii="Times New Roman" w:hAnsi="Times New Roman" w:cs="Times New Roman"/>
          <w:b/>
          <w:sz w:val="32"/>
          <w:szCs w:val="32"/>
        </w:rPr>
        <w:t>Súhrnná charakteristika rozpo</w:t>
      </w:r>
      <w:r w:rsidRPr="000D68AA">
        <w:rPr>
          <w:rFonts w:ascii="Times New Roman" w:hAnsi="Times New Roman" w:cs="Times New Roman"/>
          <w:b/>
          <w:sz w:val="32"/>
          <w:szCs w:val="32"/>
        </w:rPr>
        <w:t xml:space="preserve">čtovej kapitoly </w:t>
      </w:r>
      <w:r w:rsidRPr="000D68AA" w:rsidR="006A0DDF">
        <w:rPr>
          <w:rFonts w:ascii="Times New Roman" w:hAnsi="Times New Roman" w:cs="Times New Roman"/>
          <w:b/>
          <w:sz w:val="32"/>
          <w:szCs w:val="32"/>
        </w:rPr>
        <w:t>a </w:t>
      </w:r>
    </w:p>
    <w:p w:rsidR="000D68AA" w:rsidRPr="000D68AA" w:rsidP="000D68AA">
      <w:pPr>
        <w:pStyle w:val="BodyTextIndent"/>
        <w:pBdr>
          <w:top w:val="threeDEmboss" w:sz="24" w:space="1" w:color="auto"/>
          <w:left w:val="threeDEmboss" w:sz="24" w:space="4" w:color="auto"/>
          <w:bottom w:val="threeDEmboss" w:sz="24" w:space="1" w:color="auto"/>
          <w:right w:val="threeDEmboss" w:sz="24" w:space="4" w:color="auto"/>
        </w:pBdr>
        <w:shd w:val="pct15" w:color="000000" w:fill="FFFFFF"/>
        <w:spacing w:line="240" w:lineRule="auto"/>
        <w:ind w:firstLine="0"/>
        <w:jc w:val="center"/>
        <w:rPr>
          <w:rFonts w:ascii="Times New Roman" w:hAnsi="Times New Roman" w:cs="Times New Roman"/>
          <w:b/>
          <w:sz w:val="32"/>
          <w:szCs w:val="32"/>
        </w:rPr>
      </w:pPr>
      <w:r w:rsidRPr="000D68AA" w:rsidR="00ED5169">
        <w:rPr>
          <w:rFonts w:ascii="Times New Roman" w:hAnsi="Times New Roman" w:cs="Times New Roman"/>
          <w:b/>
          <w:sz w:val="32"/>
          <w:szCs w:val="32"/>
        </w:rPr>
        <w:t>jej hospodárenia v roku 2007</w:t>
      </w:r>
    </w:p>
    <w:p w:rsidR="00AE3AF3" w:rsidP="00C362EA">
      <w:pPr>
        <w:spacing w:line="240" w:lineRule="auto"/>
        <w:rPr>
          <w:rFonts w:ascii="Times New Roman" w:hAnsi="Times New Roman" w:cs="Times New Roman"/>
          <w:sz w:val="26"/>
        </w:rPr>
      </w:pPr>
    </w:p>
    <w:p w:rsidR="00A67226" w:rsidRPr="00D23807" w:rsidP="00A67226">
      <w:pPr>
        <w:pStyle w:val="Heading7"/>
        <w:pBdr>
          <w:top w:val="thinThickLargeGap" w:sz="24" w:space="0" w:color="auto" w:shadow="1"/>
          <w:left w:val="thinThickLargeGap" w:sz="24" w:space="1" w:color="auto" w:shadow="1"/>
          <w:bottom w:val="thinThickLargeGap" w:sz="24" w:space="1" w:color="auto" w:shadow="1"/>
          <w:right w:val="thinThickLargeGap" w:sz="24" w:space="1" w:color="auto" w:shadow="1"/>
        </w:pBdr>
        <w:shd w:val="pct15" w:color="000000" w:fill="FFFFFF"/>
        <w:spacing w:line="240" w:lineRule="auto"/>
        <w:rPr>
          <w:rFonts w:ascii="Times New Roman" w:hAnsi="Times New Roman" w:cs="Times New Roman"/>
          <w:i w:val="0"/>
        </w:rPr>
      </w:pPr>
      <w:r>
        <w:rPr>
          <w:rFonts w:ascii="Times New Roman" w:hAnsi="Times New Roman" w:cs="Times New Roman"/>
          <w:i w:val="0"/>
        </w:rPr>
        <w:t>1.1.1. Charakteristika činnosti rozpočtovej kapitoly</w:t>
      </w:r>
    </w:p>
    <w:p w:rsidR="00AE3AF3" w:rsidRPr="00D23807" w:rsidP="00C362EA">
      <w:pPr>
        <w:spacing w:line="240" w:lineRule="auto"/>
        <w:rPr>
          <w:rFonts w:ascii="Times New Roman" w:hAnsi="Times New Roman" w:cs="Times New Roman"/>
          <w:sz w:val="26"/>
        </w:rPr>
      </w:pPr>
    </w:p>
    <w:p w:rsidR="00D27E26" w:rsidP="00C362EA">
      <w:pPr>
        <w:spacing w:line="240" w:lineRule="auto"/>
        <w:ind w:firstLine="708"/>
        <w:rPr>
          <w:rFonts w:ascii="Times New Roman" w:hAnsi="Times New Roman" w:cs="Times New Roman"/>
          <w:sz w:val="24"/>
          <w:szCs w:val="24"/>
        </w:rPr>
      </w:pPr>
      <w:r w:rsidRPr="00D23807">
        <w:rPr>
          <w:rFonts w:ascii="Times New Roman" w:hAnsi="Times New Roman" w:cs="Times New Roman"/>
          <w:sz w:val="24"/>
          <w:szCs w:val="24"/>
        </w:rPr>
        <w:t>V nadväznosti na Programové vyhlásenie v</w:t>
      </w:r>
      <w:r w:rsidR="00B727A5">
        <w:rPr>
          <w:rFonts w:ascii="Times New Roman" w:hAnsi="Times New Roman" w:cs="Times New Roman"/>
          <w:sz w:val="24"/>
          <w:szCs w:val="24"/>
        </w:rPr>
        <w:t xml:space="preserve">lády </w:t>
      </w:r>
      <w:r w:rsidR="00783AF4">
        <w:rPr>
          <w:rFonts w:ascii="Times New Roman" w:hAnsi="Times New Roman" w:cs="Times New Roman"/>
          <w:sz w:val="24"/>
          <w:szCs w:val="24"/>
        </w:rPr>
        <w:t>Ministerstvo dopravy, pôšt a tel</w:t>
      </w:r>
      <w:r w:rsidR="00783AF4">
        <w:rPr>
          <w:rFonts w:ascii="Times New Roman" w:hAnsi="Times New Roman" w:cs="Times New Roman"/>
          <w:sz w:val="24"/>
          <w:szCs w:val="24"/>
        </w:rPr>
        <w:t xml:space="preserve">ekomunikácií SR </w:t>
      </w:r>
      <w:r w:rsidR="00FA241B">
        <w:rPr>
          <w:rFonts w:ascii="Times New Roman" w:hAnsi="Times New Roman" w:cs="Times New Roman"/>
          <w:sz w:val="24"/>
          <w:szCs w:val="24"/>
        </w:rPr>
        <w:t xml:space="preserve">(ďalej len MDPT SR) </w:t>
      </w:r>
      <w:r w:rsidR="00ED5169">
        <w:rPr>
          <w:rFonts w:ascii="Times New Roman" w:hAnsi="Times New Roman" w:cs="Times New Roman"/>
          <w:sz w:val="24"/>
          <w:szCs w:val="24"/>
        </w:rPr>
        <w:t>v roku 2007</w:t>
      </w:r>
      <w:r w:rsidRPr="00D23807">
        <w:rPr>
          <w:rFonts w:ascii="Times New Roman" w:hAnsi="Times New Roman" w:cs="Times New Roman"/>
          <w:sz w:val="24"/>
          <w:szCs w:val="24"/>
        </w:rPr>
        <w:t xml:space="preserve"> plnilo nasledovné priority s dopadom na rozpočet kapitoly: </w:t>
      </w:r>
    </w:p>
    <w:p w:rsidR="002540FE" w:rsidRPr="00D23807" w:rsidP="00970993">
      <w:pPr>
        <w:spacing w:line="240" w:lineRule="auto"/>
        <w:rPr>
          <w:rFonts w:ascii="Times New Roman" w:hAnsi="Times New Roman" w:cs="Times New Roman"/>
          <w:sz w:val="24"/>
          <w:szCs w:val="24"/>
        </w:rPr>
      </w:pPr>
    </w:p>
    <w:p w:rsidR="00D27E26" w:rsidP="00C362EA">
      <w:pPr>
        <w:numPr>
          <w:ilvl w:val="0"/>
          <w:numId w:val="3"/>
        </w:numPr>
        <w:tabs>
          <w:tab w:val="left" w:pos="720"/>
        </w:tabs>
        <w:spacing w:line="240" w:lineRule="auto"/>
        <w:rPr>
          <w:rFonts w:ascii="Times New Roman" w:hAnsi="Times New Roman" w:cs="Times New Roman"/>
          <w:sz w:val="24"/>
          <w:szCs w:val="24"/>
        </w:rPr>
      </w:pPr>
      <w:r w:rsidR="00783AF4">
        <w:rPr>
          <w:rFonts w:ascii="Times New Roman" w:hAnsi="Times New Roman" w:cs="Times New Roman"/>
          <w:sz w:val="24"/>
          <w:szCs w:val="24"/>
        </w:rPr>
        <w:t>Ako ústredný orgán štátnej s</w:t>
      </w:r>
      <w:r w:rsidR="00ED5169">
        <w:rPr>
          <w:rFonts w:ascii="Times New Roman" w:hAnsi="Times New Roman" w:cs="Times New Roman"/>
          <w:sz w:val="24"/>
          <w:szCs w:val="24"/>
        </w:rPr>
        <w:t>právy plnilo MDPT SR v roku 2007</w:t>
      </w:r>
      <w:r w:rsidR="00783AF4">
        <w:rPr>
          <w:rFonts w:ascii="Times New Roman" w:hAnsi="Times New Roman" w:cs="Times New Roman"/>
          <w:sz w:val="24"/>
          <w:szCs w:val="24"/>
        </w:rPr>
        <w:t xml:space="preserve"> úlohy ustanovené v § 8 zákona č. 575/2001 Z. z. o organizácii činnosti vlády a organiz</w:t>
      </w:r>
      <w:r w:rsidR="00783AF4">
        <w:rPr>
          <w:rFonts w:ascii="Times New Roman" w:hAnsi="Times New Roman" w:cs="Times New Roman"/>
          <w:sz w:val="24"/>
          <w:szCs w:val="24"/>
        </w:rPr>
        <w:t>ácii ústrednej štátnej správy v znení neskorších predpisov.</w:t>
      </w:r>
    </w:p>
    <w:p w:rsidR="00783AF4" w:rsidRPr="00D23807" w:rsidP="00C362EA">
      <w:pPr>
        <w:spacing w:line="240" w:lineRule="auto"/>
        <w:rPr>
          <w:rFonts w:ascii="Times New Roman" w:hAnsi="Times New Roman" w:cs="Times New Roman"/>
          <w:sz w:val="24"/>
          <w:szCs w:val="24"/>
        </w:rPr>
      </w:pPr>
    </w:p>
    <w:p w:rsidR="00D1603A" w:rsidP="00D1603A">
      <w:pPr>
        <w:numPr>
          <w:ilvl w:val="0"/>
          <w:numId w:val="3"/>
        </w:numPr>
        <w:tabs>
          <w:tab w:val="left" w:pos="720"/>
        </w:tabs>
        <w:spacing w:line="240" w:lineRule="auto"/>
        <w:rPr>
          <w:rFonts w:ascii="Times New Roman" w:hAnsi="Times New Roman" w:cs="Times New Roman"/>
          <w:sz w:val="24"/>
          <w:szCs w:val="24"/>
        </w:rPr>
      </w:pPr>
      <w:r w:rsidRPr="002C7E22" w:rsidR="00783AF4">
        <w:rPr>
          <w:rFonts w:ascii="Times New Roman" w:hAnsi="Times New Roman" w:cs="Times New Roman"/>
          <w:sz w:val="24"/>
          <w:szCs w:val="24"/>
        </w:rPr>
        <w:t>P</w:t>
      </w:r>
      <w:r w:rsidRPr="002C7E22" w:rsidR="00B373EB">
        <w:rPr>
          <w:rFonts w:ascii="Times New Roman" w:hAnsi="Times New Roman" w:cs="Times New Roman"/>
          <w:sz w:val="24"/>
          <w:szCs w:val="24"/>
        </w:rPr>
        <w:t xml:space="preserve">okračovalo v modernizácii </w:t>
      </w:r>
      <w:r w:rsidRPr="002C7E22" w:rsidR="00026597">
        <w:rPr>
          <w:rFonts w:ascii="Times New Roman" w:hAnsi="Times New Roman" w:cs="Times New Roman"/>
          <w:sz w:val="24"/>
          <w:szCs w:val="24"/>
        </w:rPr>
        <w:t>a rozvoji dopravnej i</w:t>
      </w:r>
      <w:r w:rsidR="001C5680">
        <w:rPr>
          <w:rFonts w:ascii="Times New Roman" w:hAnsi="Times New Roman" w:cs="Times New Roman"/>
          <w:sz w:val="24"/>
          <w:szCs w:val="24"/>
        </w:rPr>
        <w:t xml:space="preserve">nfraštruktúry (podrobnejšie pozri </w:t>
      </w:r>
      <w:r w:rsidRPr="002C7E22" w:rsidR="00026597">
        <w:rPr>
          <w:rFonts w:ascii="Times New Roman" w:hAnsi="Times New Roman" w:cs="Times New Roman"/>
          <w:sz w:val="24"/>
          <w:szCs w:val="24"/>
        </w:rPr>
        <w:t>pri hodnotení výstavby diaľnic, rýchlostných ciest a ciest I. triedy, ako aj pri hodnotení investičných akcií Žel</w:t>
      </w:r>
      <w:r w:rsidRPr="002C7E22" w:rsidR="00026597">
        <w:rPr>
          <w:rFonts w:ascii="Times New Roman" w:hAnsi="Times New Roman" w:cs="Times New Roman"/>
          <w:sz w:val="24"/>
          <w:szCs w:val="24"/>
        </w:rPr>
        <w:t>ezníc SR).</w:t>
      </w:r>
    </w:p>
    <w:p w:rsidR="00D1603A" w:rsidP="00D1603A">
      <w:pPr>
        <w:spacing w:line="240" w:lineRule="auto"/>
        <w:rPr>
          <w:rFonts w:ascii="Times New Roman" w:hAnsi="Times New Roman" w:cs="Times New Roman"/>
          <w:sz w:val="24"/>
          <w:szCs w:val="24"/>
        </w:rPr>
      </w:pPr>
    </w:p>
    <w:p w:rsidR="00D1603A" w:rsidRPr="00D1603A" w:rsidP="00D1603A">
      <w:pPr>
        <w:numPr>
          <w:ilvl w:val="0"/>
          <w:numId w:val="3"/>
        </w:numPr>
        <w:tabs>
          <w:tab w:val="left" w:pos="720"/>
        </w:tabs>
        <w:spacing w:line="240" w:lineRule="auto"/>
        <w:rPr>
          <w:rFonts w:ascii="Times New Roman" w:hAnsi="Times New Roman" w:cs="Times New Roman"/>
          <w:sz w:val="24"/>
          <w:szCs w:val="24"/>
        </w:rPr>
      </w:pPr>
      <w:r w:rsidR="00970993">
        <w:rPr>
          <w:rFonts w:ascii="Times New Roman" w:hAnsi="Times New Roman" w:cs="Times New Roman"/>
          <w:sz w:val="24"/>
          <w:szCs w:val="24"/>
        </w:rPr>
        <w:t>Na základe uznesenia</w:t>
      </w:r>
      <w:r w:rsidRPr="00D1603A" w:rsidR="00970993">
        <w:rPr>
          <w:rFonts w:ascii="Times New Roman" w:hAnsi="Times New Roman" w:cs="Times New Roman"/>
          <w:sz w:val="24"/>
          <w:szCs w:val="24"/>
        </w:rPr>
        <w:t xml:space="preserve"> </w:t>
      </w:r>
      <w:r w:rsidR="00970993">
        <w:rPr>
          <w:rFonts w:ascii="Times New Roman" w:hAnsi="Times New Roman" w:cs="Times New Roman"/>
          <w:sz w:val="24"/>
          <w:szCs w:val="24"/>
        </w:rPr>
        <w:t xml:space="preserve">vlády SR </w:t>
      </w:r>
      <w:r w:rsidRPr="00D1603A" w:rsidR="00970993">
        <w:rPr>
          <w:rFonts w:ascii="Times New Roman" w:hAnsi="Times New Roman" w:cs="Times New Roman"/>
          <w:sz w:val="24"/>
          <w:szCs w:val="24"/>
        </w:rPr>
        <w:t xml:space="preserve">č. 704 z 15. augusta 2007 </w:t>
      </w:r>
      <w:r w:rsidR="00970993">
        <w:rPr>
          <w:rFonts w:ascii="Times New Roman" w:hAnsi="Times New Roman" w:cs="Times New Roman"/>
          <w:sz w:val="24"/>
          <w:szCs w:val="24"/>
        </w:rPr>
        <w:t xml:space="preserve">vláda SR </w:t>
      </w:r>
      <w:r w:rsidRPr="00D1603A" w:rsidR="00970993">
        <w:rPr>
          <w:rFonts w:ascii="Times New Roman" w:hAnsi="Times New Roman" w:cs="Times New Roman"/>
          <w:sz w:val="24"/>
          <w:szCs w:val="24"/>
        </w:rPr>
        <w:t>schválila urýchlenie postupu výstavby vybranej nadradenej cestnej dopravnej infraštruktúry na Slovensku do roku 2010</w:t>
      </w:r>
      <w:r w:rsidR="00970993">
        <w:rPr>
          <w:rFonts w:ascii="Times New Roman" w:hAnsi="Times New Roman" w:cs="Times New Roman"/>
          <w:sz w:val="24"/>
          <w:szCs w:val="24"/>
        </w:rPr>
        <w:t xml:space="preserve">. </w:t>
      </w:r>
      <w:r>
        <w:rPr>
          <w:rFonts w:ascii="Times New Roman" w:hAnsi="Times New Roman" w:cs="Times New Roman"/>
          <w:sz w:val="24"/>
          <w:szCs w:val="24"/>
        </w:rPr>
        <w:t>V</w:t>
      </w:r>
      <w:r w:rsidR="00970993">
        <w:rPr>
          <w:rFonts w:ascii="Times New Roman" w:hAnsi="Times New Roman" w:cs="Times New Roman"/>
          <w:sz w:val="24"/>
          <w:szCs w:val="24"/>
        </w:rPr>
        <w:t xml:space="preserve"> tejto súvislosti </w:t>
      </w:r>
      <w:r>
        <w:rPr>
          <w:rFonts w:ascii="Times New Roman" w:hAnsi="Times New Roman" w:cs="Times New Roman"/>
          <w:sz w:val="24"/>
          <w:szCs w:val="24"/>
        </w:rPr>
        <w:t xml:space="preserve">začalo MDPT SR v roku 2007 </w:t>
      </w:r>
      <w:r w:rsidRPr="00D1603A">
        <w:rPr>
          <w:rFonts w:ascii="Times New Roman" w:hAnsi="Times New Roman" w:cs="Times New Roman"/>
          <w:sz w:val="24"/>
          <w:szCs w:val="24"/>
        </w:rPr>
        <w:t>realizovať proj</w:t>
      </w:r>
      <w:r w:rsidRPr="00D1603A">
        <w:rPr>
          <w:rFonts w:ascii="Times New Roman" w:hAnsi="Times New Roman" w:cs="Times New Roman"/>
          <w:sz w:val="24"/>
          <w:szCs w:val="24"/>
        </w:rPr>
        <w:t>ekt</w:t>
      </w:r>
      <w:r w:rsidR="00970993">
        <w:rPr>
          <w:rFonts w:ascii="Times New Roman" w:hAnsi="Times New Roman" w:cs="Times New Roman"/>
          <w:sz w:val="24"/>
          <w:szCs w:val="24"/>
        </w:rPr>
        <w:t xml:space="preserve"> verejno-súkromného partnerstva, a to v zmysle uznesenia </w:t>
      </w:r>
      <w:r w:rsidRPr="00D1603A">
        <w:rPr>
          <w:rFonts w:ascii="Times New Roman" w:hAnsi="Times New Roman" w:cs="Times New Roman"/>
          <w:sz w:val="24"/>
          <w:szCs w:val="24"/>
        </w:rPr>
        <w:t>č. 753 zo</w:t>
      </w:r>
      <w:r w:rsidR="00970993">
        <w:rPr>
          <w:rFonts w:ascii="Times New Roman" w:hAnsi="Times New Roman" w:cs="Times New Roman"/>
          <w:sz w:val="24"/>
          <w:szCs w:val="24"/>
        </w:rPr>
        <w:t xml:space="preserve"> dňa 5. septembra 2007, ktorým vláda SR </w:t>
      </w:r>
      <w:r w:rsidRPr="00D1603A">
        <w:rPr>
          <w:rFonts w:ascii="Times New Roman" w:hAnsi="Times New Roman" w:cs="Times New Roman"/>
          <w:sz w:val="24"/>
          <w:szCs w:val="24"/>
        </w:rPr>
        <w:t xml:space="preserve">schválila Postup výstavby vybranej nadradenej cestnej dopravnej infraštruktúry formou projektu verejno-súkromného partnerstva (PPP) s harmonogramom budovania základnej siete diaľnic a rýchlostných komunikácií do roku 2010, resp. vybraných úsekov do roku 2012. </w:t>
      </w:r>
    </w:p>
    <w:p w:rsidR="002540FE" w:rsidRPr="002C7E22" w:rsidP="000D68AA">
      <w:pPr>
        <w:spacing w:line="240" w:lineRule="auto"/>
        <w:rPr>
          <w:rFonts w:ascii="Times New Roman" w:hAnsi="Times New Roman" w:cs="Times New Roman"/>
          <w:sz w:val="24"/>
          <w:szCs w:val="24"/>
        </w:rPr>
      </w:pPr>
    </w:p>
    <w:p w:rsidR="000F695D" w:rsidP="00FA241B">
      <w:pPr>
        <w:numPr>
          <w:ilvl w:val="0"/>
          <w:numId w:val="3"/>
        </w:numPr>
        <w:tabs>
          <w:tab w:val="left" w:pos="720"/>
        </w:tabs>
        <w:spacing w:line="240" w:lineRule="auto"/>
        <w:rPr>
          <w:rFonts w:ascii="Times New Roman" w:hAnsi="Times New Roman" w:cs="Times New Roman"/>
          <w:sz w:val="24"/>
          <w:szCs w:val="24"/>
        </w:rPr>
      </w:pPr>
      <w:r w:rsidRPr="002C7E22" w:rsidR="001A5008">
        <w:rPr>
          <w:rFonts w:ascii="Times New Roman" w:hAnsi="Times New Roman" w:cs="Times New Roman"/>
          <w:sz w:val="24"/>
          <w:szCs w:val="24"/>
        </w:rPr>
        <w:t>V r</w:t>
      </w:r>
      <w:r w:rsidR="00ED5169">
        <w:rPr>
          <w:rFonts w:ascii="Times New Roman" w:hAnsi="Times New Roman" w:cs="Times New Roman"/>
          <w:sz w:val="24"/>
          <w:szCs w:val="24"/>
        </w:rPr>
        <w:t>oku 2007</w:t>
      </w:r>
      <w:r w:rsidRPr="002C7E22" w:rsidR="001A5008">
        <w:rPr>
          <w:rFonts w:ascii="Times New Roman" w:hAnsi="Times New Roman" w:cs="Times New Roman"/>
          <w:sz w:val="24"/>
          <w:szCs w:val="24"/>
        </w:rPr>
        <w:t xml:space="preserve"> MDPT SR zabezpečilo v dostatočnom rozsahu železničnú osobnú a nákladnú dopravu, po prevádzkovo spôsobilých cestách I. tri</w:t>
      </w:r>
      <w:r w:rsidR="00ED5169">
        <w:rPr>
          <w:rFonts w:ascii="Times New Roman" w:hAnsi="Times New Roman" w:cs="Times New Roman"/>
          <w:sz w:val="24"/>
          <w:szCs w:val="24"/>
        </w:rPr>
        <w:t>edy, rýchlostných cestách a diaľ</w:t>
      </w:r>
      <w:r w:rsidRPr="002C7E22" w:rsidR="001A5008">
        <w:rPr>
          <w:rFonts w:ascii="Times New Roman" w:hAnsi="Times New Roman" w:cs="Times New Roman"/>
          <w:sz w:val="24"/>
          <w:szCs w:val="24"/>
        </w:rPr>
        <w:t>niciach cestnú dopravu a be</w:t>
      </w:r>
      <w:r w:rsidR="00FE1B1C">
        <w:rPr>
          <w:rFonts w:ascii="Times New Roman" w:hAnsi="Times New Roman" w:cs="Times New Roman"/>
          <w:sz w:val="24"/>
          <w:szCs w:val="24"/>
        </w:rPr>
        <w:t>zpečnú prevádzku letiskovej inf</w:t>
      </w:r>
      <w:r w:rsidRPr="002C7E22" w:rsidR="001A5008">
        <w:rPr>
          <w:rFonts w:ascii="Times New Roman" w:hAnsi="Times New Roman" w:cs="Times New Roman"/>
          <w:sz w:val="24"/>
          <w:szCs w:val="24"/>
        </w:rPr>
        <w:t>r</w:t>
      </w:r>
      <w:r w:rsidR="00FE1B1C">
        <w:rPr>
          <w:rFonts w:ascii="Times New Roman" w:hAnsi="Times New Roman" w:cs="Times New Roman"/>
          <w:sz w:val="24"/>
          <w:szCs w:val="24"/>
        </w:rPr>
        <w:t>a</w:t>
      </w:r>
      <w:r w:rsidRPr="002C7E22" w:rsidR="001A5008">
        <w:rPr>
          <w:rFonts w:ascii="Times New Roman" w:hAnsi="Times New Roman" w:cs="Times New Roman"/>
          <w:sz w:val="24"/>
          <w:szCs w:val="24"/>
        </w:rPr>
        <w:t xml:space="preserve">štruktúry a leteckej dopravy.  </w:t>
      </w:r>
    </w:p>
    <w:p w:rsidR="002540FE" w:rsidRPr="000F695D" w:rsidP="000212D7">
      <w:pPr>
        <w:spacing w:line="240" w:lineRule="auto"/>
        <w:rPr>
          <w:rFonts w:ascii="Times New Roman" w:hAnsi="Times New Roman" w:cs="Times New Roman"/>
          <w:sz w:val="24"/>
          <w:szCs w:val="24"/>
        </w:rPr>
      </w:pPr>
    </w:p>
    <w:p w:rsidR="002540FE" w:rsidP="002F48BE">
      <w:pPr>
        <w:numPr>
          <w:ilvl w:val="0"/>
          <w:numId w:val="3"/>
        </w:numPr>
        <w:tabs>
          <w:tab w:val="left" w:pos="720"/>
        </w:tabs>
        <w:spacing w:line="240" w:lineRule="auto"/>
        <w:rPr>
          <w:rFonts w:ascii="Times New Roman" w:hAnsi="Times New Roman" w:cs="Times New Roman"/>
          <w:sz w:val="24"/>
          <w:szCs w:val="24"/>
        </w:rPr>
      </w:pPr>
      <w:r w:rsidR="00A86A20">
        <w:rPr>
          <w:rFonts w:ascii="Times New Roman" w:hAnsi="Times New Roman" w:cs="Times New Roman"/>
          <w:sz w:val="24"/>
          <w:szCs w:val="24"/>
        </w:rPr>
        <w:t xml:space="preserve">V oblasti cestnej dopravy sa realizovali opatrenia s cieľom zvýšenia </w:t>
      </w:r>
      <w:r w:rsidRPr="002C7E22" w:rsidR="00A86A20">
        <w:rPr>
          <w:rFonts w:ascii="Times New Roman" w:hAnsi="Times New Roman" w:cs="Times New Roman"/>
          <w:sz w:val="24"/>
          <w:szCs w:val="24"/>
        </w:rPr>
        <w:t>bezpečnosti cestnej pr</w:t>
      </w:r>
      <w:r w:rsidR="00B70F56">
        <w:rPr>
          <w:rFonts w:ascii="Times New Roman" w:hAnsi="Times New Roman" w:cs="Times New Roman"/>
          <w:sz w:val="24"/>
          <w:szCs w:val="24"/>
        </w:rPr>
        <w:t>emávky, realizovalo sa zavedenie digitálnych tac</w:t>
      </w:r>
      <w:r w:rsidR="00B70F56">
        <w:rPr>
          <w:rFonts w:ascii="Times New Roman" w:hAnsi="Times New Roman" w:cs="Times New Roman"/>
          <w:sz w:val="24"/>
          <w:szCs w:val="24"/>
        </w:rPr>
        <w:t xml:space="preserve">hografov </w:t>
      </w:r>
      <w:r w:rsidRPr="002C7E22" w:rsidR="00A86A20">
        <w:rPr>
          <w:rFonts w:ascii="Times New Roman" w:hAnsi="Times New Roman" w:cs="Times New Roman"/>
          <w:sz w:val="24"/>
          <w:szCs w:val="24"/>
        </w:rPr>
        <w:t>a ostatné úlohy v zmysle Štatútu Ministerstva dopr</w:t>
      </w:r>
      <w:r w:rsidR="00E87DB4">
        <w:rPr>
          <w:rFonts w:ascii="Times New Roman" w:hAnsi="Times New Roman" w:cs="Times New Roman"/>
          <w:sz w:val="24"/>
          <w:szCs w:val="24"/>
        </w:rPr>
        <w:t>avy, pôšt a telekomunikácií SR.</w:t>
      </w:r>
    </w:p>
    <w:p w:rsidR="00AE3AF3" w:rsidRPr="002540FE" w:rsidP="00AE3AF3">
      <w:pPr>
        <w:spacing w:line="240" w:lineRule="auto"/>
        <w:rPr>
          <w:rFonts w:ascii="Times New Roman" w:hAnsi="Times New Roman" w:cs="Times New Roman"/>
          <w:sz w:val="24"/>
          <w:szCs w:val="24"/>
        </w:rPr>
      </w:pPr>
    </w:p>
    <w:p w:rsidR="00E8641A" w:rsidP="00E8641A">
      <w:pPr>
        <w:numPr>
          <w:ilvl w:val="0"/>
          <w:numId w:val="3"/>
        </w:numPr>
        <w:tabs>
          <w:tab w:val="left" w:pos="720"/>
        </w:tabs>
        <w:spacing w:line="240" w:lineRule="auto"/>
        <w:rPr>
          <w:rFonts w:ascii="Times New Roman" w:hAnsi="Times New Roman" w:cs="Times New Roman"/>
          <w:sz w:val="24"/>
          <w:szCs w:val="24"/>
        </w:rPr>
      </w:pPr>
      <w:r w:rsidRPr="002540FE" w:rsidR="002540FE">
        <w:rPr>
          <w:rFonts w:ascii="Times New Roman" w:hAnsi="Times New Roman" w:cs="Times New Roman"/>
          <w:sz w:val="24"/>
          <w:szCs w:val="24"/>
        </w:rPr>
        <w:t>Vytvorenie Centrálneho úradu TER (Trans-European Railways) v Bratislave (v budove úradu MDPT SR) na základe bodu B.1 uzne</w:t>
      </w:r>
      <w:r w:rsidR="00A21E8A">
        <w:rPr>
          <w:rFonts w:ascii="Times New Roman" w:hAnsi="Times New Roman" w:cs="Times New Roman"/>
          <w:sz w:val="24"/>
          <w:szCs w:val="24"/>
        </w:rPr>
        <w:t xml:space="preserve">senia vlády SR </w:t>
      </w:r>
      <w:r w:rsidRPr="002540FE" w:rsidR="002540FE">
        <w:rPr>
          <w:rFonts w:ascii="Times New Roman" w:hAnsi="Times New Roman" w:cs="Times New Roman"/>
          <w:sz w:val="24"/>
          <w:szCs w:val="24"/>
        </w:rPr>
        <w:t>č. 1</w:t>
      </w:r>
      <w:r w:rsidR="00A21E8A">
        <w:rPr>
          <w:rFonts w:ascii="Times New Roman" w:hAnsi="Times New Roman" w:cs="Times New Roman"/>
          <w:sz w:val="24"/>
          <w:szCs w:val="24"/>
        </w:rPr>
        <w:t>081/2007 z 20.12.</w:t>
      </w:r>
      <w:r w:rsidRPr="002540FE" w:rsidR="002540FE">
        <w:rPr>
          <w:rFonts w:ascii="Times New Roman" w:hAnsi="Times New Roman" w:cs="Times New Roman"/>
          <w:sz w:val="24"/>
          <w:szCs w:val="24"/>
        </w:rPr>
        <w:t xml:space="preserve">2007,  </w:t>
      </w:r>
      <w:r w:rsidRPr="002540FE" w:rsidR="002540FE">
        <w:rPr>
          <w:rFonts w:ascii="Times New Roman" w:hAnsi="Times New Roman" w:cs="Times New Roman"/>
          <w:sz w:val="24"/>
          <w:szCs w:val="24"/>
        </w:rPr>
        <w:t>ktorým vláda SR schválila organiza</w:t>
      </w:r>
      <w:r>
        <w:rPr>
          <w:rFonts w:ascii="Times New Roman" w:hAnsi="Times New Roman" w:cs="Times New Roman"/>
          <w:sz w:val="24"/>
          <w:szCs w:val="24"/>
        </w:rPr>
        <w:t>čné zabezpečenie projektu TER.</w:t>
      </w:r>
    </w:p>
    <w:p w:rsidR="00E8641A" w:rsidP="00E8641A">
      <w:pPr>
        <w:spacing w:line="240" w:lineRule="auto"/>
        <w:rPr>
          <w:rFonts w:ascii="Times New Roman" w:hAnsi="Times New Roman" w:cs="Times New Roman"/>
          <w:sz w:val="24"/>
          <w:szCs w:val="24"/>
        </w:rPr>
      </w:pPr>
    </w:p>
    <w:p w:rsidR="00FB4494" w:rsidP="00FB4494">
      <w:pPr>
        <w:numPr>
          <w:ilvl w:val="0"/>
          <w:numId w:val="3"/>
        </w:numPr>
        <w:tabs>
          <w:tab w:val="left" w:pos="720"/>
        </w:tabs>
        <w:spacing w:line="240" w:lineRule="auto"/>
        <w:rPr>
          <w:rFonts w:ascii="Times New Roman" w:hAnsi="Times New Roman" w:cs="Times New Roman"/>
          <w:sz w:val="24"/>
          <w:szCs w:val="24"/>
        </w:rPr>
      </w:pPr>
      <w:r w:rsidRPr="00D76933" w:rsidR="00D76933">
        <w:rPr>
          <w:rFonts w:ascii="Times New Roman" w:hAnsi="Times New Roman" w:cs="Times New Roman"/>
          <w:bCs/>
          <w:sz w:val="24"/>
          <w:szCs w:val="24"/>
        </w:rPr>
        <w:t>Uznesením vlády SR č. 930 zo dňa 24. októbra 2007 bol schválený projekt transformácie rozpočtovej organizácie Technická ochrana a obnova železníc so sídlom v Žiline. Súčasťou reali</w:t>
      </w:r>
      <w:r w:rsidR="00D76933">
        <w:rPr>
          <w:rFonts w:ascii="Times New Roman" w:hAnsi="Times New Roman" w:cs="Times New Roman"/>
          <w:bCs/>
          <w:sz w:val="24"/>
          <w:szCs w:val="24"/>
        </w:rPr>
        <w:t>zácie proj</w:t>
      </w:r>
      <w:r w:rsidR="00D76933">
        <w:rPr>
          <w:rFonts w:ascii="Times New Roman" w:hAnsi="Times New Roman" w:cs="Times New Roman"/>
          <w:bCs/>
          <w:sz w:val="24"/>
          <w:szCs w:val="24"/>
        </w:rPr>
        <w:t xml:space="preserve">ektu transformácie bolo </w:t>
      </w:r>
      <w:r w:rsidRPr="00D76933" w:rsidR="00D76933">
        <w:rPr>
          <w:rFonts w:ascii="Times New Roman" w:hAnsi="Times New Roman" w:cs="Times New Roman"/>
          <w:bCs/>
          <w:sz w:val="24"/>
          <w:szCs w:val="24"/>
        </w:rPr>
        <w:t>založenie akciovej spoločnosti so 100 % majetkovou účasťou štátu, a to z majetku štátu, ktorý sa nachádzal v správe rozpočtovej organizácie Technická ochra</w:t>
      </w:r>
      <w:r w:rsidR="00D76933">
        <w:rPr>
          <w:rFonts w:ascii="Times New Roman" w:hAnsi="Times New Roman" w:cs="Times New Roman"/>
          <w:bCs/>
          <w:sz w:val="24"/>
          <w:szCs w:val="24"/>
        </w:rPr>
        <w:t xml:space="preserve">na a obnova železníc. </w:t>
      </w:r>
      <w:r w:rsidRPr="00D76933" w:rsidR="00D76933">
        <w:rPr>
          <w:rFonts w:ascii="Times New Roman" w:hAnsi="Times New Roman" w:cs="Times New Roman"/>
          <w:sz w:val="24"/>
          <w:szCs w:val="24"/>
        </w:rPr>
        <w:t>Na základe § 21 ods. 11 a 13 zákona č. 523/2004 Z. z. o rozpočtových pravidlách verejnej správy a o zmene a doplnení niektorých zákonov v znení neskorších predpisov a súhlasu Ministerstva financií SR udeleného listom č. MF/028217/2007-441 zo dňa 19.</w:t>
      </w:r>
      <w:r w:rsidR="00D76933">
        <w:rPr>
          <w:rFonts w:ascii="Times New Roman" w:hAnsi="Times New Roman" w:cs="Times New Roman"/>
          <w:sz w:val="24"/>
          <w:szCs w:val="24"/>
        </w:rPr>
        <w:t xml:space="preserve"> </w:t>
      </w:r>
      <w:r w:rsidRPr="00D76933" w:rsidR="00D76933">
        <w:rPr>
          <w:rFonts w:ascii="Times New Roman" w:hAnsi="Times New Roman" w:cs="Times New Roman"/>
          <w:sz w:val="24"/>
          <w:szCs w:val="24"/>
        </w:rPr>
        <w:t>novembra 2007 bola Rozhodnutím ministra dopra</w:t>
      </w:r>
      <w:r w:rsidR="00D76933">
        <w:rPr>
          <w:rFonts w:ascii="Times New Roman" w:hAnsi="Times New Roman" w:cs="Times New Roman"/>
          <w:sz w:val="24"/>
          <w:szCs w:val="24"/>
        </w:rPr>
        <w:t xml:space="preserve">vy, pôšt a telekomunikácií č. </w:t>
      </w:r>
      <w:r w:rsidRPr="00D76933" w:rsidR="00D76933">
        <w:rPr>
          <w:rFonts w:ascii="Times New Roman" w:hAnsi="Times New Roman" w:cs="Times New Roman"/>
          <w:sz w:val="24"/>
          <w:szCs w:val="24"/>
        </w:rPr>
        <w:t>125 zo dňa 26. novembra</w:t>
      </w:r>
      <w:r w:rsidR="001C5680">
        <w:rPr>
          <w:rFonts w:ascii="Times New Roman" w:hAnsi="Times New Roman" w:cs="Times New Roman"/>
          <w:sz w:val="24"/>
          <w:szCs w:val="24"/>
        </w:rPr>
        <w:t xml:space="preserve"> 2007 k 1.1.</w:t>
      </w:r>
      <w:r w:rsidRPr="00D76933" w:rsidR="00D76933">
        <w:rPr>
          <w:rFonts w:ascii="Times New Roman" w:hAnsi="Times New Roman" w:cs="Times New Roman"/>
          <w:sz w:val="24"/>
          <w:szCs w:val="24"/>
        </w:rPr>
        <w:t xml:space="preserve">2008 </w:t>
      </w:r>
      <w:r w:rsidR="001C5680">
        <w:rPr>
          <w:rFonts w:ascii="Times New Roman" w:hAnsi="Times New Roman" w:cs="Times New Roman"/>
          <w:sz w:val="24"/>
          <w:szCs w:val="24"/>
        </w:rPr>
        <w:t xml:space="preserve">zrušená </w:t>
      </w:r>
      <w:r w:rsidRPr="00D76933" w:rsidR="00D76933">
        <w:rPr>
          <w:rFonts w:ascii="Times New Roman" w:hAnsi="Times New Roman" w:cs="Times New Roman"/>
          <w:sz w:val="24"/>
          <w:szCs w:val="24"/>
        </w:rPr>
        <w:t xml:space="preserve">rozpočtová organizácia Technická ochrana a obnova železníc bez právneho nástupcu. </w:t>
      </w:r>
      <w:r w:rsidRPr="00D76933" w:rsidR="00D76933">
        <w:rPr>
          <w:rFonts w:ascii="Times New Roman" w:hAnsi="Times New Roman" w:cs="Times New Roman"/>
          <w:bCs/>
          <w:sz w:val="24"/>
          <w:szCs w:val="24"/>
        </w:rPr>
        <w:t>Dňa 1.1.2008 vznikla akciová spoločnosť Tech</w:t>
      </w:r>
      <w:r w:rsidR="00D76933">
        <w:rPr>
          <w:rFonts w:ascii="Times New Roman" w:hAnsi="Times New Roman" w:cs="Times New Roman"/>
          <w:bCs/>
          <w:sz w:val="24"/>
          <w:szCs w:val="24"/>
        </w:rPr>
        <w:t xml:space="preserve">nická obnova a ochrana železníc </w:t>
      </w:r>
      <w:r w:rsidRPr="00D76933" w:rsidR="00D76933">
        <w:rPr>
          <w:rFonts w:ascii="Times New Roman" w:hAnsi="Times New Roman" w:cs="Times New Roman"/>
          <w:bCs/>
          <w:sz w:val="24"/>
          <w:szCs w:val="24"/>
        </w:rPr>
        <w:t>na základe V</w:t>
      </w:r>
      <w:r w:rsidR="00D76933">
        <w:rPr>
          <w:rFonts w:ascii="Times New Roman" w:hAnsi="Times New Roman" w:cs="Times New Roman"/>
          <w:bCs/>
          <w:sz w:val="24"/>
          <w:szCs w:val="24"/>
        </w:rPr>
        <w:t xml:space="preserve">yhlásenie zakladateľa </w:t>
      </w:r>
      <w:r w:rsidRPr="00D76933" w:rsidR="00D76933">
        <w:rPr>
          <w:rFonts w:ascii="Times New Roman" w:hAnsi="Times New Roman" w:cs="Times New Roman"/>
          <w:bCs/>
          <w:sz w:val="24"/>
          <w:szCs w:val="24"/>
        </w:rPr>
        <w:t xml:space="preserve">o založení akciovej spoločnosti spísanej v Notárskej zápisnici. </w:t>
      </w:r>
    </w:p>
    <w:p w:rsidR="00FB4494" w:rsidP="00FB4494">
      <w:pPr>
        <w:spacing w:line="240" w:lineRule="auto"/>
        <w:rPr>
          <w:rFonts w:ascii="Times New Roman" w:hAnsi="Times New Roman" w:cs="Times New Roman"/>
          <w:sz w:val="24"/>
          <w:szCs w:val="24"/>
        </w:rPr>
      </w:pPr>
    </w:p>
    <w:p w:rsidR="00FB4494" w:rsidRPr="007E590A" w:rsidP="00FB4494">
      <w:pPr>
        <w:numPr>
          <w:ilvl w:val="0"/>
          <w:numId w:val="3"/>
        </w:numPr>
        <w:tabs>
          <w:tab w:val="left" w:pos="720"/>
        </w:tabs>
        <w:spacing w:line="240" w:lineRule="auto"/>
        <w:rPr>
          <w:rFonts w:ascii="Times New Roman" w:hAnsi="Times New Roman" w:cs="Times New Roman"/>
          <w:sz w:val="24"/>
          <w:szCs w:val="24"/>
        </w:rPr>
      </w:pPr>
      <w:r w:rsidRPr="007E590A">
        <w:rPr>
          <w:rFonts w:ascii="Times New Roman" w:hAnsi="Times New Roman" w:cs="Times New Roman"/>
          <w:sz w:val="24"/>
          <w:szCs w:val="24"/>
        </w:rPr>
        <w:t>Rozhodnutím ministra dopravy, pôst a telekomun</w:t>
      </w:r>
      <w:r>
        <w:rPr>
          <w:rFonts w:ascii="Times New Roman" w:hAnsi="Times New Roman" w:cs="Times New Roman"/>
          <w:sz w:val="24"/>
          <w:szCs w:val="24"/>
        </w:rPr>
        <w:t xml:space="preserve">ikácií číslo 20 zo dňa 8.3.2007 o zániku </w:t>
      </w:r>
      <w:r w:rsidRPr="007E590A">
        <w:rPr>
          <w:rFonts w:ascii="Times New Roman" w:hAnsi="Times New Roman" w:cs="Times New Roman"/>
          <w:sz w:val="24"/>
          <w:szCs w:val="24"/>
        </w:rPr>
        <w:t xml:space="preserve">príspevkovej organizácie, bola na základe § 21 zákona č. 523/2004 Z.z. o rozpočtových </w:t>
      </w:r>
      <w:r>
        <w:rPr>
          <w:rFonts w:ascii="Times New Roman" w:hAnsi="Times New Roman" w:cs="Times New Roman"/>
          <w:sz w:val="24"/>
          <w:szCs w:val="24"/>
        </w:rPr>
        <w:t>pravidlách verejnej</w:t>
      </w:r>
      <w:r>
        <w:rPr>
          <w:rFonts w:ascii="Times New Roman" w:hAnsi="Times New Roman" w:cs="Times New Roman"/>
          <w:sz w:val="24"/>
          <w:szCs w:val="24"/>
        </w:rPr>
        <w:t xml:space="preserve"> správy </w:t>
      </w:r>
      <w:r w:rsidRPr="007E590A">
        <w:rPr>
          <w:rFonts w:ascii="Times New Roman" w:hAnsi="Times New Roman" w:cs="Times New Roman"/>
          <w:sz w:val="24"/>
          <w:szCs w:val="24"/>
        </w:rPr>
        <w:t>a</w:t>
      </w:r>
      <w:r>
        <w:rPr>
          <w:rFonts w:ascii="Times New Roman" w:hAnsi="Times New Roman" w:cs="Times New Roman"/>
          <w:sz w:val="24"/>
          <w:szCs w:val="24"/>
        </w:rPr>
        <w:t xml:space="preserve"> súhlasu MF </w:t>
      </w:r>
      <w:r w:rsidRPr="007E590A">
        <w:rPr>
          <w:rFonts w:ascii="Times New Roman" w:hAnsi="Times New Roman" w:cs="Times New Roman"/>
          <w:sz w:val="24"/>
          <w:szCs w:val="24"/>
        </w:rPr>
        <w:t>SR udeleného listom č. MF/012</w:t>
      </w:r>
      <w:r>
        <w:rPr>
          <w:rFonts w:ascii="Times New Roman" w:hAnsi="Times New Roman" w:cs="Times New Roman"/>
          <w:sz w:val="24"/>
          <w:szCs w:val="24"/>
        </w:rPr>
        <w:t>523/2007-441 zo dňa 26.2.</w:t>
      </w:r>
      <w:r w:rsidRPr="007E590A">
        <w:rPr>
          <w:rFonts w:ascii="Times New Roman" w:hAnsi="Times New Roman" w:cs="Times New Roman"/>
          <w:sz w:val="24"/>
          <w:szCs w:val="24"/>
        </w:rPr>
        <w:t xml:space="preserve">2007, ku dňu </w:t>
      </w:r>
      <w:r>
        <w:rPr>
          <w:rFonts w:ascii="Times New Roman" w:hAnsi="Times New Roman" w:cs="Times New Roman"/>
          <w:sz w:val="24"/>
          <w:szCs w:val="24"/>
        </w:rPr>
        <w:t xml:space="preserve">31.3.2007, </w:t>
      </w:r>
      <w:r w:rsidRPr="007E590A">
        <w:rPr>
          <w:rFonts w:ascii="Times New Roman" w:hAnsi="Times New Roman" w:cs="Times New Roman"/>
          <w:sz w:val="24"/>
          <w:szCs w:val="24"/>
        </w:rPr>
        <w:t>zrušená štátna príspevková organizácia Ústav cestnej dopravy a súčasne všetok majetok, vrátane súvisiacich práv a povinností Ústavu cestnej dopravy dňom 1. a</w:t>
      </w:r>
      <w:r w:rsidRPr="007E590A">
        <w:rPr>
          <w:rFonts w:ascii="Times New Roman" w:hAnsi="Times New Roman" w:cs="Times New Roman"/>
          <w:sz w:val="24"/>
          <w:szCs w:val="24"/>
        </w:rPr>
        <w:t>príla 2007 prešiel na nástupní</w:t>
      </w:r>
      <w:r w:rsidR="001C5680">
        <w:rPr>
          <w:rFonts w:ascii="Times New Roman" w:hAnsi="Times New Roman" w:cs="Times New Roman"/>
          <w:sz w:val="24"/>
          <w:szCs w:val="24"/>
        </w:rPr>
        <w:t xml:space="preserve">cku organizáciu, a to na </w:t>
      </w:r>
      <w:r w:rsidRPr="007E590A">
        <w:rPr>
          <w:rFonts w:ascii="Times New Roman" w:hAnsi="Times New Roman" w:cs="Times New Roman"/>
          <w:sz w:val="24"/>
          <w:szCs w:val="24"/>
        </w:rPr>
        <w:t xml:space="preserve">Slovenskú správu ciest. </w:t>
      </w:r>
    </w:p>
    <w:p w:rsidR="00D76933" w:rsidP="00FB4494">
      <w:pPr>
        <w:spacing w:line="240" w:lineRule="auto"/>
        <w:ind w:left="360"/>
        <w:rPr>
          <w:rFonts w:ascii="Times New Roman" w:hAnsi="Times New Roman" w:cs="Times New Roman"/>
          <w:sz w:val="24"/>
          <w:szCs w:val="24"/>
        </w:rPr>
      </w:pPr>
    </w:p>
    <w:p w:rsidR="00AE3AF3" w:rsidP="00AE3AF3">
      <w:pPr>
        <w:numPr>
          <w:ilvl w:val="0"/>
          <w:numId w:val="3"/>
        </w:numPr>
        <w:tabs>
          <w:tab w:val="left" w:pos="720"/>
        </w:tabs>
        <w:spacing w:line="240" w:lineRule="auto"/>
        <w:rPr>
          <w:rFonts w:ascii="Times New Roman" w:hAnsi="Times New Roman" w:cs="Times New Roman"/>
          <w:sz w:val="24"/>
          <w:szCs w:val="24"/>
        </w:rPr>
      </w:pPr>
      <w:r w:rsidRPr="00E87DB4" w:rsidR="001A5008">
        <w:rPr>
          <w:rFonts w:ascii="Times New Roman" w:hAnsi="Times New Roman" w:cs="Times New Roman"/>
          <w:sz w:val="24"/>
          <w:szCs w:val="24"/>
        </w:rPr>
        <w:t>V oblasti pošty</w:t>
      </w:r>
      <w:r w:rsidR="00E87DB4">
        <w:rPr>
          <w:rFonts w:ascii="Times New Roman" w:hAnsi="Times New Roman" w:cs="Times New Roman"/>
          <w:sz w:val="24"/>
          <w:szCs w:val="24"/>
        </w:rPr>
        <w:t xml:space="preserve"> sa </w:t>
      </w:r>
      <w:r w:rsidR="00E87DB4">
        <w:rPr>
          <w:rFonts w:ascii="Times New Roman" w:hAnsi="Times New Roman" w:cs="Times New Roman"/>
          <w:color w:val="000000"/>
          <w:sz w:val="24"/>
          <w:szCs w:val="24"/>
        </w:rPr>
        <w:t xml:space="preserve">v roku 2007 </w:t>
      </w:r>
      <w:r w:rsidRPr="00E87DB4" w:rsidR="00E87DB4">
        <w:rPr>
          <w:rFonts w:ascii="Times New Roman" w:hAnsi="Times New Roman" w:cs="Times New Roman"/>
          <w:color w:val="000000"/>
          <w:sz w:val="24"/>
          <w:szCs w:val="24"/>
        </w:rPr>
        <w:t xml:space="preserve">MDPT SR aktívne zúčastňovalo procesu schvaľovania smernice Európskeho parlamentu a Rady 2008/6/ES z 20. februára 2008, ktorou sa mení a dopĺňa smernica 97/67/ES s ohľadom na úplné dokončenie vnútorného trhu poštových služieb Spoločenstva (ďalej len „smernica“). Počas procesu schvaľovania smernice MDPT SR upozorňovalo najmä na problematiku financovania univerzálnej poštovej služby po zrušení poštovej výhrady a s tým súvisiacu otázku výpočtu čistých nákladov na poskytovanie univerzálnej služby. Smernica stanovila dátum úplnej liberalizácie trhu </w:t>
      </w:r>
      <w:r w:rsidR="00A817F0">
        <w:rPr>
          <w:rFonts w:ascii="Times New Roman" w:hAnsi="Times New Roman" w:cs="Times New Roman"/>
          <w:color w:val="000000"/>
          <w:sz w:val="24"/>
          <w:szCs w:val="24"/>
        </w:rPr>
        <w:t>s poštovými službami do 31.12.2010</w:t>
      </w:r>
      <w:r w:rsidRPr="00E87DB4" w:rsidR="00E87DB4">
        <w:rPr>
          <w:rFonts w:ascii="Times New Roman" w:hAnsi="Times New Roman" w:cs="Times New Roman"/>
          <w:color w:val="000000"/>
          <w:sz w:val="24"/>
          <w:szCs w:val="24"/>
        </w:rPr>
        <w:t xml:space="preserve"> s tým, že 11 členských štátov, vrátane SR, môžu uplatňovať poštovú vý</w:t>
      </w:r>
      <w:r w:rsidR="00A817F0">
        <w:rPr>
          <w:rFonts w:ascii="Times New Roman" w:hAnsi="Times New Roman" w:cs="Times New Roman"/>
          <w:color w:val="000000"/>
          <w:sz w:val="24"/>
          <w:szCs w:val="24"/>
        </w:rPr>
        <w:t>hra</w:t>
      </w:r>
      <w:r w:rsidR="00A817F0">
        <w:rPr>
          <w:rFonts w:ascii="Times New Roman" w:hAnsi="Times New Roman" w:cs="Times New Roman"/>
          <w:color w:val="000000"/>
          <w:sz w:val="24"/>
          <w:szCs w:val="24"/>
        </w:rPr>
        <w:t>du do 21.12.</w:t>
      </w:r>
      <w:r w:rsidRPr="00E87DB4" w:rsidR="00E87DB4">
        <w:rPr>
          <w:rFonts w:ascii="Times New Roman" w:hAnsi="Times New Roman" w:cs="Times New Roman"/>
          <w:color w:val="000000"/>
          <w:sz w:val="24"/>
          <w:szCs w:val="24"/>
        </w:rPr>
        <w:t>2012.</w:t>
      </w:r>
      <w:r w:rsidR="00E87DB4">
        <w:rPr>
          <w:rFonts w:ascii="Times New Roman" w:hAnsi="Times New Roman" w:cs="Times New Roman"/>
          <w:sz w:val="24"/>
          <w:szCs w:val="24"/>
        </w:rPr>
        <w:t xml:space="preserve"> </w:t>
      </w:r>
    </w:p>
    <w:p w:rsidR="00E87DB4" w:rsidP="00FA241B">
      <w:pPr>
        <w:spacing w:line="240" w:lineRule="auto"/>
        <w:ind w:left="709" w:firstLine="709"/>
        <w:rPr>
          <w:rFonts w:ascii="Times New Roman" w:hAnsi="Times New Roman" w:cs="Times New Roman"/>
          <w:sz w:val="24"/>
          <w:szCs w:val="24"/>
        </w:rPr>
      </w:pPr>
      <w:r w:rsidRPr="00E87DB4">
        <w:rPr>
          <w:rFonts w:ascii="Times New Roman" w:hAnsi="Times New Roman" w:cs="Times New Roman"/>
          <w:sz w:val="24"/>
          <w:szCs w:val="24"/>
        </w:rPr>
        <w:t>V tejto súvislosti bol v r. 2007 vypracovaný materiál „Informácia o Správe Európskej komisie Európskemu parlamentu a Rade o uplatňovaní poštovej smernice 97/67/ES v znení smernice 2002/39/ES“ a boli zadané dva výskumné projekty. Prvý projekt bol zameraný na výskum uplatnenia alternatívnych mechanizmov financovania univerzálnej služby v SR po zrušení poštovej výhrad</w:t>
      </w:r>
      <w:r w:rsidR="00176D67">
        <w:rPr>
          <w:rFonts w:ascii="Times New Roman" w:hAnsi="Times New Roman" w:cs="Times New Roman"/>
          <w:sz w:val="24"/>
          <w:szCs w:val="24"/>
        </w:rPr>
        <w:t xml:space="preserve">y a druhý projekt riešil systém </w:t>
      </w:r>
      <w:r w:rsidRPr="00E87DB4">
        <w:rPr>
          <w:rFonts w:ascii="Times New Roman" w:hAnsi="Times New Roman" w:cs="Times New Roman"/>
          <w:sz w:val="24"/>
          <w:szCs w:val="24"/>
        </w:rPr>
        <w:t>prístupových miest verejnej poštovej siete</w:t>
      </w:r>
      <w:r w:rsidR="00A817F0">
        <w:rPr>
          <w:rFonts w:ascii="Times New Roman" w:hAnsi="Times New Roman" w:cs="Times New Roman"/>
          <w:sz w:val="24"/>
          <w:szCs w:val="24"/>
        </w:rPr>
        <w:t xml:space="preserve"> na zmluvnom základe ako podpor</w:t>
      </w:r>
      <w:r w:rsidRPr="00E87DB4">
        <w:rPr>
          <w:rFonts w:ascii="Times New Roman" w:hAnsi="Times New Roman" w:cs="Times New Roman"/>
          <w:sz w:val="24"/>
          <w:szCs w:val="24"/>
        </w:rPr>
        <w:t>ného rie</w:t>
      </w:r>
      <w:r w:rsidR="00A817F0">
        <w:rPr>
          <w:rFonts w:ascii="Times New Roman" w:hAnsi="Times New Roman" w:cs="Times New Roman"/>
          <w:sz w:val="24"/>
          <w:szCs w:val="24"/>
        </w:rPr>
        <w:t>-</w:t>
      </w:r>
      <w:r w:rsidRPr="00E87DB4">
        <w:rPr>
          <w:rFonts w:ascii="Times New Roman" w:hAnsi="Times New Roman" w:cs="Times New Roman"/>
          <w:sz w:val="24"/>
          <w:szCs w:val="24"/>
        </w:rPr>
        <w:t>šenia zab</w:t>
      </w:r>
      <w:r w:rsidR="00A817F0">
        <w:rPr>
          <w:rFonts w:ascii="Times New Roman" w:hAnsi="Times New Roman" w:cs="Times New Roman"/>
          <w:sz w:val="24"/>
          <w:szCs w:val="24"/>
        </w:rPr>
        <w:t xml:space="preserve">ezpečenia univerzálnej </w:t>
      </w:r>
      <w:r w:rsidRPr="00E87DB4">
        <w:rPr>
          <w:rFonts w:ascii="Times New Roman" w:hAnsi="Times New Roman" w:cs="Times New Roman"/>
          <w:sz w:val="24"/>
          <w:szCs w:val="24"/>
        </w:rPr>
        <w:t>poštovej služby na úplne liberalizovanom trhu v SR.</w:t>
      </w:r>
    </w:p>
    <w:p w:rsidR="00E87DB4" w:rsidP="00E87DB4">
      <w:pPr>
        <w:spacing w:line="240" w:lineRule="auto"/>
        <w:rPr>
          <w:rFonts w:ascii="Times New Roman" w:hAnsi="Times New Roman" w:cs="Times New Roman"/>
          <w:color w:val="000000"/>
          <w:sz w:val="24"/>
          <w:szCs w:val="24"/>
        </w:rPr>
      </w:pPr>
    </w:p>
    <w:p w:rsidR="00BD15A3" w:rsidP="00BD15A3">
      <w:pPr>
        <w:numPr>
          <w:ilvl w:val="0"/>
          <w:numId w:val="3"/>
        </w:numPr>
        <w:tabs>
          <w:tab w:val="left" w:pos="720"/>
        </w:tabs>
        <w:spacing w:line="240" w:lineRule="auto"/>
        <w:rPr>
          <w:rFonts w:ascii="Times New Roman" w:hAnsi="Times New Roman" w:cs="Times New Roman"/>
          <w:sz w:val="24"/>
          <w:szCs w:val="24"/>
        </w:rPr>
      </w:pPr>
      <w:r w:rsidRPr="00E87DB4" w:rsidR="00E87DB4">
        <w:rPr>
          <w:rFonts w:ascii="Times New Roman" w:hAnsi="Times New Roman" w:cs="Times New Roman"/>
          <w:color w:val="000000"/>
          <w:sz w:val="24"/>
          <w:szCs w:val="24"/>
        </w:rPr>
        <w:t>V roku 2007 p</w:t>
      </w:r>
      <w:r w:rsidR="000212D7">
        <w:rPr>
          <w:rFonts w:ascii="Times New Roman" w:hAnsi="Times New Roman" w:cs="Times New Roman"/>
          <w:color w:val="000000"/>
          <w:sz w:val="24"/>
          <w:szCs w:val="24"/>
        </w:rPr>
        <w:t xml:space="preserve">okračovalo MDPT SR v spolupráci so </w:t>
      </w:r>
      <w:r w:rsidRPr="00E87DB4" w:rsidR="00E87DB4">
        <w:rPr>
          <w:rFonts w:ascii="Times New Roman" w:hAnsi="Times New Roman" w:cs="Times New Roman"/>
          <w:color w:val="000000"/>
          <w:sz w:val="24"/>
          <w:szCs w:val="24"/>
        </w:rPr>
        <w:t xml:space="preserve">Svetovou poštovou úniou </w:t>
      </w:r>
      <w:r w:rsidR="000212D7">
        <w:rPr>
          <w:rFonts w:ascii="Times New Roman" w:hAnsi="Times New Roman" w:cs="Times New Roman"/>
          <w:color w:val="000000"/>
          <w:sz w:val="24"/>
          <w:szCs w:val="24"/>
        </w:rPr>
        <w:t xml:space="preserve">(SPÚ) </w:t>
      </w:r>
      <w:r w:rsidRPr="00E87DB4" w:rsidR="00E87DB4">
        <w:rPr>
          <w:rFonts w:ascii="Times New Roman" w:hAnsi="Times New Roman" w:cs="Times New Roman"/>
          <w:color w:val="000000"/>
          <w:sz w:val="24"/>
          <w:szCs w:val="24"/>
        </w:rPr>
        <w:t>– najmä v rámci Skupiny Správnej rady pre Akty a Skupiny Správnej rady pre štruktúru a</w:t>
      </w:r>
      <w:r w:rsidR="000212D7">
        <w:rPr>
          <w:rFonts w:ascii="Times New Roman" w:hAnsi="Times New Roman" w:cs="Times New Roman"/>
          <w:color w:val="000000"/>
          <w:sz w:val="24"/>
          <w:szCs w:val="24"/>
        </w:rPr>
        <w:t xml:space="preserve"> zloženie SPÚ</w:t>
      </w:r>
      <w:r w:rsidRPr="00E87DB4" w:rsidR="00E87DB4">
        <w:rPr>
          <w:rFonts w:ascii="Times New Roman" w:hAnsi="Times New Roman" w:cs="Times New Roman"/>
          <w:color w:val="000000"/>
          <w:sz w:val="24"/>
          <w:szCs w:val="24"/>
        </w:rPr>
        <w:t>, ktor</w:t>
      </w:r>
      <w:r w:rsidRPr="00E87DB4" w:rsidR="00E87DB4">
        <w:rPr>
          <w:rFonts w:ascii="Times New Roman" w:hAnsi="Times New Roman" w:cs="Times New Roman"/>
          <w:color w:val="000000"/>
          <w:sz w:val="24"/>
          <w:szCs w:val="24"/>
        </w:rPr>
        <w:t>á sa zaoberá</w:t>
      </w:r>
      <w:r w:rsidR="000212D7">
        <w:rPr>
          <w:rFonts w:ascii="Times New Roman" w:hAnsi="Times New Roman" w:cs="Times New Roman"/>
          <w:color w:val="000000"/>
          <w:sz w:val="24"/>
          <w:szCs w:val="24"/>
        </w:rPr>
        <w:t xml:space="preserve"> reformou SPÚ</w:t>
      </w:r>
      <w:r w:rsidRPr="00E87DB4" w:rsidR="00E87DB4">
        <w:rPr>
          <w:rFonts w:ascii="Times New Roman" w:hAnsi="Times New Roman" w:cs="Times New Roman"/>
          <w:color w:val="000000"/>
          <w:sz w:val="24"/>
          <w:szCs w:val="24"/>
        </w:rPr>
        <w:t>. Činnosť uvedených skupín bola orientovaná najmä na prípravu návrhov na zmenu Aktov Svetovej poštovej únie, ktoré budú predložené na schválenie 24. Svetovému poštovému kongrese v Ženeve 2008. V tejto súvislosti spolupracovalo MDPT SR aj v rámci Európskeho výboru poštových regulátorov, a to na príprave spoločných európskych stanovísk</w:t>
      </w:r>
      <w:r w:rsidR="00520C2F">
        <w:rPr>
          <w:rFonts w:ascii="Times New Roman" w:hAnsi="Times New Roman" w:cs="Times New Roman"/>
          <w:color w:val="000000"/>
          <w:sz w:val="24"/>
          <w:szCs w:val="24"/>
        </w:rPr>
        <w:t>.</w:t>
      </w:r>
    </w:p>
    <w:p w:rsidR="00BD15A3" w:rsidP="00BD15A3">
      <w:pPr>
        <w:spacing w:line="240" w:lineRule="auto"/>
        <w:rPr>
          <w:rFonts w:ascii="Times New Roman" w:hAnsi="Times New Roman" w:cs="Times New Roman"/>
          <w:sz w:val="24"/>
          <w:szCs w:val="24"/>
        </w:rPr>
      </w:pPr>
    </w:p>
    <w:p w:rsidR="00200E21" w:rsidRPr="00200E21" w:rsidP="00BD15A3">
      <w:pPr>
        <w:numPr>
          <w:ilvl w:val="0"/>
          <w:numId w:val="3"/>
        </w:numPr>
        <w:tabs>
          <w:tab w:val="left" w:pos="720"/>
        </w:tabs>
        <w:spacing w:line="240" w:lineRule="auto"/>
        <w:rPr>
          <w:rFonts w:ascii="Times New Roman" w:hAnsi="Times New Roman" w:cs="Times New Roman"/>
          <w:sz w:val="24"/>
          <w:szCs w:val="24"/>
        </w:rPr>
      </w:pPr>
      <w:r w:rsidRPr="00200E21">
        <w:rPr>
          <w:rFonts w:ascii="Times New Roman" w:hAnsi="Times New Roman" w:cs="Times New Roman"/>
          <w:color w:val="000000"/>
          <w:sz w:val="24"/>
          <w:szCs w:val="24"/>
          <w:lang w:eastAsia="sk-SK"/>
        </w:rPr>
        <w:t xml:space="preserve">V oblasti elektronických komunikácií MDPT SR plnilo úlohy súvisiace so </w:t>
      </w:r>
      <w:r w:rsidRPr="00200E21">
        <w:rPr>
          <w:rFonts w:ascii="Times New Roman" w:hAnsi="Times New Roman" w:cs="Times New Roman"/>
          <w:sz w:val="24"/>
          <w:szCs w:val="24"/>
        </w:rPr>
        <w:t>zabezpečením kvalitných, spoľahlivých a široko dostupných služieb elektronických komunikácií v rozsahu zodpovedajúcom vyspelým štátom EÚ, ktorých plnenie bolo schválené priebežnými vyhodnoteniami plnenia:</w:t>
      </w:r>
    </w:p>
    <w:p w:rsidR="00D76933" w:rsidP="001654CB">
      <w:pPr>
        <w:numPr>
          <w:ilvl w:val="0"/>
          <w:numId w:val="20"/>
        </w:numPr>
        <w:tabs>
          <w:tab w:val="clear" w:pos="720"/>
        </w:tabs>
        <w:autoSpaceDE/>
        <w:autoSpaceDN/>
        <w:spacing w:line="240" w:lineRule="auto"/>
        <w:ind w:firstLine="0"/>
        <w:textAlignment w:val="auto"/>
        <w:rPr>
          <w:rFonts w:ascii="Times New Roman" w:hAnsi="Times New Roman" w:cs="Times New Roman"/>
          <w:sz w:val="24"/>
          <w:szCs w:val="24"/>
        </w:rPr>
      </w:pPr>
      <w:r w:rsidRPr="00200E21" w:rsidR="00200E21">
        <w:rPr>
          <w:rFonts w:ascii="Times New Roman" w:hAnsi="Times New Roman" w:cs="Times New Roman"/>
          <w:color w:val="000000"/>
          <w:sz w:val="24"/>
          <w:szCs w:val="24"/>
          <w:lang w:eastAsia="sk-SK"/>
        </w:rPr>
        <w:t>Národnej politiky pre elektronické komunikácie za rok 2006</w:t>
      </w:r>
      <w:r w:rsidR="00AA7BAA">
        <w:rPr>
          <w:rFonts w:ascii="Times New Roman" w:hAnsi="Times New Roman" w:cs="Times New Roman"/>
          <w:color w:val="000000"/>
          <w:sz w:val="24"/>
          <w:szCs w:val="24"/>
          <w:lang w:eastAsia="sk-SK"/>
        </w:rPr>
        <w:t xml:space="preserve"> </w:t>
      </w:r>
      <w:r w:rsidRPr="00200E21" w:rsidR="00200E21">
        <w:rPr>
          <w:rFonts w:ascii="Times New Roman" w:hAnsi="Times New Roman" w:cs="Times New Roman"/>
          <w:sz w:val="24"/>
          <w:szCs w:val="24"/>
        </w:rPr>
        <w:t>uznesením vlády SR č. 409/2007 zo dňa 2. mája 2007</w:t>
      </w:r>
      <w:r w:rsidR="00AA7BAA">
        <w:rPr>
          <w:rFonts w:ascii="Times New Roman" w:hAnsi="Times New Roman" w:cs="Times New Roman"/>
          <w:sz w:val="24"/>
          <w:szCs w:val="24"/>
        </w:rPr>
        <w:t>;</w:t>
      </w:r>
    </w:p>
    <w:p w:rsidR="00D76933" w:rsidP="001654CB">
      <w:pPr>
        <w:numPr>
          <w:ilvl w:val="0"/>
          <w:numId w:val="20"/>
        </w:numPr>
        <w:tabs>
          <w:tab w:val="clear" w:pos="720"/>
        </w:tabs>
        <w:autoSpaceDE/>
        <w:autoSpaceDN/>
        <w:spacing w:line="240" w:lineRule="auto"/>
        <w:ind w:firstLine="0"/>
        <w:textAlignment w:val="auto"/>
        <w:rPr>
          <w:rFonts w:ascii="Times New Roman" w:hAnsi="Times New Roman" w:cs="Times New Roman"/>
          <w:sz w:val="24"/>
          <w:szCs w:val="24"/>
        </w:rPr>
      </w:pPr>
      <w:r w:rsidRPr="00200E21" w:rsidR="00200E21">
        <w:rPr>
          <w:rFonts w:ascii="Times New Roman" w:hAnsi="Times New Roman" w:cs="Times New Roman"/>
          <w:sz w:val="24"/>
          <w:szCs w:val="24"/>
          <w:lang w:eastAsia="sk-SK"/>
        </w:rPr>
        <w:t>Národnej stratégie</w:t>
      </w:r>
      <w:r w:rsidRPr="00200E21" w:rsidR="00200E21">
        <w:rPr>
          <w:rFonts w:ascii="Times New Roman" w:hAnsi="Times New Roman" w:cs="Times New Roman"/>
          <w:sz w:val="24"/>
          <w:szCs w:val="24"/>
          <w:lang w:eastAsia="sk-SK"/>
        </w:rPr>
        <w:t xml:space="preserve"> pre širokopásmový prístup v SR za rok 2006 </w:t>
      </w:r>
      <w:r w:rsidRPr="00200E21" w:rsidR="00200E21">
        <w:rPr>
          <w:rFonts w:ascii="Times New Roman" w:hAnsi="Times New Roman" w:cs="Times New Roman"/>
          <w:sz w:val="24"/>
          <w:szCs w:val="24"/>
        </w:rPr>
        <w:t>uznesením vlády SR č. 397/2007 zo dňa 2. mája 2007</w:t>
      </w:r>
      <w:r w:rsidR="00AA7BAA">
        <w:rPr>
          <w:rFonts w:ascii="Times New Roman" w:hAnsi="Times New Roman" w:cs="Times New Roman"/>
          <w:sz w:val="24"/>
          <w:szCs w:val="24"/>
        </w:rPr>
        <w:t>;</w:t>
      </w:r>
    </w:p>
    <w:p w:rsidR="00D76933" w:rsidP="001654CB">
      <w:pPr>
        <w:numPr>
          <w:ilvl w:val="0"/>
          <w:numId w:val="20"/>
        </w:numPr>
        <w:tabs>
          <w:tab w:val="clear" w:pos="720"/>
        </w:tabs>
        <w:autoSpaceDE/>
        <w:autoSpaceDN/>
        <w:spacing w:line="240" w:lineRule="auto"/>
        <w:ind w:firstLine="0"/>
        <w:textAlignment w:val="auto"/>
        <w:rPr>
          <w:rFonts w:ascii="Times New Roman" w:hAnsi="Times New Roman" w:cs="Times New Roman"/>
          <w:sz w:val="24"/>
          <w:szCs w:val="24"/>
        </w:rPr>
      </w:pPr>
      <w:r w:rsidRPr="00200E21" w:rsidR="00200E21">
        <w:rPr>
          <w:rFonts w:ascii="Times New Roman" w:hAnsi="Times New Roman" w:cs="Times New Roman"/>
          <w:sz w:val="24"/>
          <w:szCs w:val="24"/>
        </w:rPr>
        <w:t>P</w:t>
      </w:r>
      <w:r w:rsidRPr="00200E21" w:rsidR="00200E21">
        <w:rPr>
          <w:rFonts w:ascii="Times New Roman" w:hAnsi="Times New Roman" w:cs="Times New Roman"/>
          <w:sz w:val="24"/>
          <w:szCs w:val="24"/>
        </w:rPr>
        <w:t xml:space="preserve">olitiky využívania frekvenčného spektra na širokopásmový prístup </w:t>
      </w:r>
      <w:r w:rsidRPr="00200E21" w:rsidR="00200E21">
        <w:rPr>
          <w:rFonts w:ascii="Times New Roman" w:hAnsi="Times New Roman" w:cs="Times New Roman"/>
          <w:sz w:val="24"/>
          <w:szCs w:val="24"/>
        </w:rPr>
        <w:t>uznesením vlády SR č. 580/2007 zo dňa 4. júla 2007</w:t>
      </w:r>
      <w:r w:rsidR="00AA7BAA">
        <w:rPr>
          <w:rFonts w:ascii="Times New Roman" w:hAnsi="Times New Roman" w:cs="Times New Roman"/>
          <w:sz w:val="24"/>
          <w:szCs w:val="24"/>
        </w:rPr>
        <w:t>;</w:t>
      </w:r>
    </w:p>
    <w:p w:rsidR="00200E21" w:rsidRPr="00BD15A3" w:rsidP="001654CB">
      <w:pPr>
        <w:numPr>
          <w:ilvl w:val="0"/>
          <w:numId w:val="20"/>
        </w:numPr>
        <w:tabs>
          <w:tab w:val="clear" w:pos="720"/>
        </w:tabs>
        <w:autoSpaceDE/>
        <w:autoSpaceDN/>
        <w:spacing w:line="240" w:lineRule="auto"/>
        <w:ind w:firstLine="0"/>
        <w:textAlignment w:val="auto"/>
        <w:rPr>
          <w:rFonts w:ascii="Times New Roman" w:hAnsi="Times New Roman" w:cs="Times New Roman"/>
          <w:sz w:val="24"/>
          <w:szCs w:val="24"/>
        </w:rPr>
      </w:pPr>
      <w:r w:rsidRPr="00200E21">
        <w:rPr>
          <w:rFonts w:ascii="Times New Roman" w:hAnsi="Times New Roman" w:cs="Times New Roman"/>
          <w:sz w:val="24"/>
          <w:szCs w:val="24"/>
        </w:rPr>
        <w:t>Stratégie prechodu z analógového na digitálne pozemské televízne vysielanie v SR uznesením vlády SR č. 70/2008 dňa 30. januára 2008.</w:t>
      </w:r>
    </w:p>
    <w:p w:rsidR="00BD15A3" w:rsidRPr="00200E21" w:rsidP="00BD15A3">
      <w:pPr>
        <w:autoSpaceDE/>
        <w:autoSpaceDN/>
        <w:spacing w:line="240" w:lineRule="auto"/>
        <w:ind w:left="720"/>
        <w:textAlignment w:val="auto"/>
        <w:rPr>
          <w:rFonts w:ascii="Times New Roman" w:hAnsi="Times New Roman" w:cs="Times New Roman"/>
          <w:sz w:val="24"/>
          <w:szCs w:val="24"/>
        </w:rPr>
      </w:pPr>
    </w:p>
    <w:p w:rsidR="000D68AA" w:rsidP="00A21E8A">
      <w:pPr>
        <w:numPr>
          <w:ilvl w:val="0"/>
          <w:numId w:val="3"/>
        </w:numPr>
        <w:tabs>
          <w:tab w:val="left" w:pos="720"/>
        </w:tabs>
        <w:spacing w:line="240" w:lineRule="auto"/>
        <w:rPr>
          <w:rFonts w:ascii="Times New Roman" w:hAnsi="Times New Roman" w:cs="Times New Roman"/>
          <w:sz w:val="24"/>
          <w:szCs w:val="24"/>
        </w:rPr>
      </w:pPr>
      <w:r w:rsidRPr="00BD15A3" w:rsidR="00BD15A3">
        <w:rPr>
          <w:rFonts w:ascii="Times New Roman" w:hAnsi="Times New Roman" w:cs="Times New Roman"/>
          <w:sz w:val="24"/>
          <w:szCs w:val="24"/>
        </w:rPr>
        <w:t xml:space="preserve">Z dôvodu potreby transponovania </w:t>
      </w:r>
      <w:r w:rsidRPr="00BD15A3" w:rsidR="00BD15A3">
        <w:rPr>
          <w:rFonts w:ascii="Times New Roman" w:hAnsi="Times New Roman" w:cs="Times New Roman"/>
          <w:sz w:val="24"/>
          <w:szCs w:val="24"/>
        </w:rPr>
        <w:t xml:space="preserve">novej </w:t>
      </w:r>
      <w:r w:rsidRPr="00BD15A3" w:rsidR="00BD15A3">
        <w:rPr>
          <w:rFonts w:ascii="Times New Roman" w:hAnsi="Times New Roman" w:cs="Times New Roman"/>
          <w:sz w:val="24"/>
          <w:szCs w:val="24"/>
        </w:rPr>
        <w:t>smernice o uchovávaní údajov pripravilo MDPT SR novelu zákona č. 610/2003 Z. z. o elektronických komunikáciách v znení neskorších predpisov, ktorá nadobudla účinnosť dňa 29. decembra 2007</w:t>
      </w:r>
      <w:r w:rsidRPr="00BD15A3" w:rsidR="00BD15A3">
        <w:rPr>
          <w:rFonts w:ascii="Times New Roman" w:hAnsi="Times New Roman" w:cs="Times New Roman"/>
          <w:sz w:val="24"/>
          <w:szCs w:val="24"/>
        </w:rPr>
        <w:t xml:space="preserve">. </w:t>
      </w:r>
      <w:r w:rsidRPr="00BD15A3" w:rsidR="00BD15A3">
        <w:rPr>
          <w:rFonts w:ascii="Times New Roman" w:hAnsi="Times New Roman" w:cs="Times New Roman"/>
          <w:sz w:val="24"/>
          <w:szCs w:val="24"/>
        </w:rPr>
        <w:t>Novela zákona vo svojom obsahu zahŕňa implementáciu uvedenej smernice spočívajúcej v upresnení pravidiel pre uchovávanie údajov spracúvaných v elektronických komunikačných sieťach a následné poskytovanie týchto údajov pre oprávnené orgány štátu na účely vyšetrovania a stíhania úmyselných trestných činov.</w:t>
      </w:r>
    </w:p>
    <w:p w:rsidR="00D76933" w:rsidRPr="00BD15A3" w:rsidP="00D76933">
      <w:pPr>
        <w:spacing w:line="240" w:lineRule="auto"/>
        <w:ind w:left="360"/>
        <w:rPr>
          <w:rFonts w:ascii="Times New Roman" w:hAnsi="Times New Roman" w:cs="Times New Roman"/>
          <w:sz w:val="24"/>
          <w:szCs w:val="24"/>
        </w:rPr>
      </w:pPr>
    </w:p>
    <w:p w:rsidR="00BD15A3" w:rsidRPr="00BD15A3" w:rsidP="00BD15A3">
      <w:pPr>
        <w:numPr>
          <w:ilvl w:val="0"/>
          <w:numId w:val="3"/>
        </w:numPr>
        <w:tabs>
          <w:tab w:val="left" w:pos="720"/>
        </w:tabs>
        <w:spacing w:line="240" w:lineRule="auto"/>
        <w:rPr>
          <w:rFonts w:ascii="Times New Roman" w:hAnsi="Times New Roman" w:cs="Times New Roman"/>
          <w:sz w:val="24"/>
          <w:szCs w:val="24"/>
        </w:rPr>
      </w:pPr>
      <w:r w:rsidRPr="00BD15A3" w:rsidR="00200E21">
        <w:rPr>
          <w:rFonts w:ascii="Times New Roman" w:hAnsi="Times New Roman" w:cs="Times New Roman"/>
          <w:sz w:val="24"/>
          <w:szCs w:val="24"/>
        </w:rPr>
        <w:t xml:space="preserve">Z dôvodu ďalšieho rozvoja elektronických komunikačných služieb vytvorilo MDPT SR vhodné podmienky na vstup 3. mobilného operátora. </w:t>
      </w:r>
      <w:r>
        <w:rPr>
          <w:rFonts w:ascii="Times New Roman" w:hAnsi="Times New Roman" w:cs="Times New Roman"/>
          <w:sz w:val="24"/>
          <w:szCs w:val="24"/>
        </w:rPr>
        <w:t xml:space="preserve">Telefónica </w:t>
      </w:r>
      <w:r>
        <w:rPr>
          <w:rFonts w:ascii="Times New Roman" w:hAnsi="Times New Roman" w:cs="Times New Roman"/>
          <w:sz w:val="24"/>
          <w:szCs w:val="24"/>
        </w:rPr>
        <w:t>O2 Slovakia, s.r.</w:t>
      </w:r>
      <w:r w:rsidR="00A817F0">
        <w:rPr>
          <w:rFonts w:ascii="Times New Roman" w:hAnsi="Times New Roman" w:cs="Times New Roman"/>
          <w:sz w:val="24"/>
          <w:szCs w:val="24"/>
        </w:rPr>
        <w:t xml:space="preserve">o., </w:t>
      </w:r>
      <w:r w:rsidRPr="00BD15A3" w:rsidR="00200E21">
        <w:rPr>
          <w:rFonts w:ascii="Times New Roman" w:hAnsi="Times New Roman" w:cs="Times New Roman"/>
          <w:sz w:val="24"/>
          <w:szCs w:val="24"/>
        </w:rPr>
        <w:t>spustila komerčnú prevádzku začiatkom februára 2007. Služby poskytuje na celom území SR.</w:t>
      </w:r>
    </w:p>
    <w:p w:rsidR="00BD15A3" w:rsidRPr="00BD15A3" w:rsidP="00BD15A3">
      <w:pPr>
        <w:spacing w:line="240" w:lineRule="auto"/>
        <w:rPr>
          <w:rFonts w:ascii="Times New Roman" w:hAnsi="Times New Roman" w:cs="Times New Roman"/>
          <w:bCs/>
          <w:sz w:val="24"/>
          <w:szCs w:val="24"/>
        </w:rPr>
      </w:pPr>
    </w:p>
    <w:p w:rsidR="00BD15A3" w:rsidRPr="00BD15A3" w:rsidP="00200E21">
      <w:pPr>
        <w:numPr>
          <w:ilvl w:val="0"/>
          <w:numId w:val="3"/>
        </w:numPr>
        <w:tabs>
          <w:tab w:val="left" w:pos="720"/>
        </w:tabs>
        <w:spacing w:line="240" w:lineRule="auto"/>
        <w:rPr>
          <w:rFonts w:ascii="Times New Roman" w:hAnsi="Times New Roman" w:cs="Times New Roman"/>
          <w:sz w:val="24"/>
          <w:szCs w:val="24"/>
        </w:rPr>
      </w:pPr>
      <w:r w:rsidRPr="00BD15A3" w:rsidR="00200E21">
        <w:rPr>
          <w:rFonts w:ascii="Times New Roman" w:hAnsi="Times New Roman" w:cs="Times New Roman"/>
          <w:bCs/>
          <w:sz w:val="24"/>
          <w:szCs w:val="24"/>
        </w:rPr>
        <w:t>V súlade s pravidelným, každoročným harmonizovaním Národnej tabuľky frekvenčného spektra bola uznesením vlády SR č. 638/2007 zo dňa 1. augusta 2007 schválená aktualizovaná Národná tabuľka frekvenčného spektra</w:t>
      </w:r>
      <w:r w:rsidRPr="00BD15A3">
        <w:rPr>
          <w:rFonts w:ascii="Times New Roman" w:hAnsi="Times New Roman" w:cs="Times New Roman"/>
          <w:bCs/>
          <w:sz w:val="24"/>
          <w:szCs w:val="24"/>
        </w:rPr>
        <w:t xml:space="preserve">. </w:t>
      </w:r>
    </w:p>
    <w:p w:rsidR="00BD15A3" w:rsidP="00BD15A3">
      <w:pPr>
        <w:spacing w:line="240" w:lineRule="auto"/>
        <w:rPr>
          <w:rFonts w:ascii="Times New Roman" w:hAnsi="Times New Roman" w:cs="Times New Roman"/>
          <w:sz w:val="24"/>
          <w:szCs w:val="24"/>
        </w:rPr>
      </w:pPr>
    </w:p>
    <w:p w:rsidR="00AE3AF3" w:rsidP="000212D7">
      <w:pPr>
        <w:numPr>
          <w:ilvl w:val="0"/>
          <w:numId w:val="3"/>
        </w:numPr>
        <w:tabs>
          <w:tab w:val="left" w:pos="720"/>
        </w:tabs>
        <w:spacing w:line="240" w:lineRule="auto"/>
        <w:rPr>
          <w:rFonts w:ascii="Times New Roman" w:hAnsi="Times New Roman" w:cs="Times New Roman"/>
          <w:sz w:val="24"/>
          <w:szCs w:val="24"/>
        </w:rPr>
      </w:pPr>
      <w:r w:rsidRPr="00200E21" w:rsidR="00200E21">
        <w:rPr>
          <w:rFonts w:ascii="Times New Roman" w:hAnsi="Times New Roman" w:cs="Times New Roman"/>
          <w:sz w:val="24"/>
          <w:szCs w:val="24"/>
        </w:rPr>
        <w:t>V oblasti digitálneho vysielania MDPT SR pripravilo materiál „Podpora pilotnej prevádzky digitálneho pozemského televízneho vysielania (DVB-T)“, ktorý bol schválený uznesením vlády SR č. 76</w:t>
      </w:r>
      <w:r w:rsidRPr="00200E21" w:rsidR="00200E21">
        <w:rPr>
          <w:rFonts w:ascii="Times New Roman" w:hAnsi="Times New Roman" w:cs="Times New Roman"/>
          <w:sz w:val="24"/>
          <w:szCs w:val="24"/>
        </w:rPr>
        <w:t>5/2007 z 12. septembra 200</w:t>
      </w:r>
      <w:r w:rsidR="00BD15A3">
        <w:rPr>
          <w:rFonts w:ascii="Times New Roman" w:hAnsi="Times New Roman" w:cs="Times New Roman"/>
          <w:sz w:val="24"/>
          <w:szCs w:val="24"/>
        </w:rPr>
        <w:t xml:space="preserve">7. V tejto súvislosti sa realizoval </w:t>
      </w:r>
      <w:r w:rsidRPr="00200E21" w:rsidR="00200E21">
        <w:rPr>
          <w:rFonts w:ascii="Times New Roman" w:hAnsi="Times New Roman" w:cs="Times New Roman"/>
          <w:sz w:val="24"/>
          <w:szCs w:val="24"/>
        </w:rPr>
        <w:t>aplikovaný výskum rozvojového projektu v rámci pokračovania programu rozvoja infraštruktúry výskumu pilotného DVB-T v podmienkach SR.</w:t>
      </w:r>
      <w:r w:rsidR="00BD15A3">
        <w:rPr>
          <w:rFonts w:ascii="Times New Roman" w:hAnsi="Times New Roman" w:cs="Times New Roman"/>
          <w:sz w:val="24"/>
          <w:szCs w:val="24"/>
        </w:rPr>
        <w:t xml:space="preserve"> </w:t>
      </w:r>
    </w:p>
    <w:p w:rsidR="000212D7" w:rsidP="000212D7">
      <w:pPr>
        <w:spacing w:line="240" w:lineRule="auto"/>
        <w:rPr>
          <w:rFonts w:ascii="Times New Roman" w:hAnsi="Times New Roman" w:cs="Times New Roman"/>
          <w:sz w:val="24"/>
          <w:szCs w:val="24"/>
        </w:rPr>
      </w:pPr>
    </w:p>
    <w:p w:rsidR="00BD15A3" w:rsidP="00D76933">
      <w:pPr>
        <w:spacing w:line="240" w:lineRule="auto"/>
        <w:ind w:left="720"/>
        <w:rPr>
          <w:rFonts w:ascii="Times New Roman" w:hAnsi="Times New Roman" w:cs="Times New Roman"/>
          <w:sz w:val="24"/>
          <w:szCs w:val="24"/>
        </w:rPr>
      </w:pPr>
      <w:r>
        <w:rPr>
          <w:rFonts w:ascii="Times New Roman" w:hAnsi="Times New Roman" w:cs="Times New Roman"/>
          <w:sz w:val="24"/>
          <w:szCs w:val="24"/>
        </w:rPr>
        <w:t>U</w:t>
      </w:r>
      <w:r w:rsidRPr="00200E21" w:rsidR="00200E21">
        <w:rPr>
          <w:rFonts w:ascii="Times New Roman" w:hAnsi="Times New Roman" w:cs="Times New Roman"/>
          <w:sz w:val="24"/>
          <w:szCs w:val="24"/>
        </w:rPr>
        <w:t xml:space="preserve">znesením vlády SR č. 1024/2007 </w:t>
      </w:r>
      <w:r>
        <w:rPr>
          <w:rFonts w:ascii="Times New Roman" w:hAnsi="Times New Roman" w:cs="Times New Roman"/>
          <w:sz w:val="24"/>
          <w:szCs w:val="24"/>
        </w:rPr>
        <w:t xml:space="preserve">bola </w:t>
      </w:r>
      <w:r w:rsidRPr="00200E21" w:rsidR="00200E21">
        <w:rPr>
          <w:rFonts w:ascii="Times New Roman" w:hAnsi="Times New Roman" w:cs="Times New Roman"/>
          <w:sz w:val="24"/>
          <w:szCs w:val="24"/>
        </w:rPr>
        <w:t>dňa 5. decembra 2007 schválená „Koncepcia informačnej kampane vo vzťahu k digitalizácii televízneho vysielania“.</w:t>
      </w:r>
      <w:r>
        <w:rPr>
          <w:rFonts w:ascii="Times New Roman" w:hAnsi="Times New Roman" w:cs="Times New Roman"/>
          <w:sz w:val="24"/>
          <w:szCs w:val="24"/>
        </w:rPr>
        <w:t xml:space="preserve"> Okrem uvedeného </w:t>
      </w:r>
      <w:r w:rsidRPr="00200E21" w:rsidR="00200E21">
        <w:rPr>
          <w:rFonts w:ascii="Times New Roman" w:hAnsi="Times New Roman" w:cs="Times New Roman"/>
          <w:kern w:val="28"/>
          <w:sz w:val="24"/>
          <w:szCs w:val="24"/>
        </w:rPr>
        <w:t>MDPT SR v roku 2007 pripravilo materiál „</w:t>
      </w:r>
      <w:r w:rsidRPr="00200E21" w:rsidR="00200E21">
        <w:rPr>
          <w:rFonts w:ascii="Times New Roman" w:hAnsi="Times New Roman" w:cs="Times New Roman"/>
          <w:sz w:val="24"/>
          <w:szCs w:val="24"/>
        </w:rPr>
        <w:t>Spôsoby riešenia zavádzania digitálneho vysielania v Slovenskej republike a kvantifikácia rozsahu finančnej podpory zo strany štátu v tomto procese vo vzťahu k obyvateľstvu a vo vzťahu k verejnoprávnym médiám“.</w:t>
      </w:r>
    </w:p>
    <w:p w:rsidR="00BD15A3" w:rsidP="00BD15A3">
      <w:pPr>
        <w:spacing w:line="240" w:lineRule="auto"/>
        <w:ind w:left="360"/>
        <w:rPr>
          <w:rFonts w:ascii="Times New Roman" w:hAnsi="Times New Roman" w:cs="Times New Roman"/>
          <w:sz w:val="24"/>
          <w:szCs w:val="24"/>
        </w:rPr>
      </w:pPr>
    </w:p>
    <w:p w:rsidR="00200E21" w:rsidRPr="00BD15A3" w:rsidP="00200E21">
      <w:pPr>
        <w:numPr>
          <w:ilvl w:val="0"/>
          <w:numId w:val="3"/>
        </w:numPr>
        <w:tabs>
          <w:tab w:val="left" w:pos="720"/>
        </w:tabs>
        <w:spacing w:line="240" w:lineRule="auto"/>
        <w:rPr>
          <w:rFonts w:ascii="Times New Roman" w:hAnsi="Times New Roman" w:cs="Times New Roman"/>
          <w:sz w:val="24"/>
          <w:szCs w:val="24"/>
        </w:rPr>
      </w:pPr>
      <w:r w:rsidRPr="00200E21">
        <w:rPr>
          <w:rFonts w:ascii="Times New Roman" w:hAnsi="Times New Roman" w:cs="Times New Roman"/>
          <w:sz w:val="24"/>
          <w:szCs w:val="24"/>
        </w:rPr>
        <w:t>V súvislosti s presadzovaním zahraničnopolitických, ale i ekonomických záujmov Slovenska v rámci medzinárodnej spolupráce v oblasti elektronických komu</w:t>
      </w:r>
      <w:r w:rsidRPr="00200E21">
        <w:rPr>
          <w:rFonts w:ascii="Times New Roman" w:hAnsi="Times New Roman" w:cs="Times New Roman"/>
          <w:sz w:val="24"/>
          <w:szCs w:val="24"/>
        </w:rPr>
        <w:t xml:space="preserve">nikácií MDPT SR aktívne spolupracovalo s medzinárodnými organizáciami na vládnej úrovni (ITU, EUTELSAT, IMSO, OECD, WTO), ako aj na rezortnej úrovni (CEPT a ETSI). </w:t>
      </w:r>
    </w:p>
    <w:p w:rsidR="00AE3AF3" w:rsidRPr="00783AF4" w:rsidP="00BD15A3">
      <w:pPr>
        <w:spacing w:line="240" w:lineRule="auto"/>
        <w:rPr>
          <w:rFonts w:ascii="Times New Roman" w:hAnsi="Times New Roman" w:cs="Times New Roman"/>
          <w:sz w:val="24"/>
          <w:szCs w:val="24"/>
        </w:rPr>
      </w:pPr>
    </w:p>
    <w:p w:rsidR="00D27E26" w:rsidRPr="00D23807" w:rsidP="00C362EA">
      <w:pPr>
        <w:pStyle w:val="Heading7"/>
        <w:pBdr>
          <w:top w:val="thinThickLargeGap" w:sz="24" w:space="0" w:color="auto" w:shadow="1"/>
          <w:left w:val="thinThickLargeGap" w:sz="24" w:space="1" w:color="auto" w:shadow="1"/>
          <w:bottom w:val="thinThickLargeGap" w:sz="24" w:space="1" w:color="auto" w:shadow="1"/>
          <w:right w:val="thinThickLargeGap" w:sz="24" w:space="1" w:color="auto" w:shadow="1"/>
        </w:pBdr>
        <w:shd w:val="pct15" w:color="000000" w:fill="FFFFFF"/>
        <w:spacing w:line="240" w:lineRule="auto"/>
        <w:rPr>
          <w:rFonts w:ascii="Times New Roman" w:hAnsi="Times New Roman" w:cs="Times New Roman"/>
          <w:i w:val="0"/>
        </w:rPr>
      </w:pPr>
      <w:r w:rsidRPr="00D23807">
        <w:rPr>
          <w:rFonts w:ascii="Times New Roman" w:hAnsi="Times New Roman" w:cs="Times New Roman"/>
          <w:i w:val="0"/>
        </w:rPr>
        <w:t>1.</w:t>
      </w:r>
      <w:r w:rsidR="006A0DDF">
        <w:rPr>
          <w:rFonts w:ascii="Times New Roman" w:hAnsi="Times New Roman" w:cs="Times New Roman"/>
          <w:i w:val="0"/>
        </w:rPr>
        <w:t>1.</w:t>
      </w:r>
      <w:r w:rsidRPr="00D23807">
        <w:rPr>
          <w:rFonts w:ascii="Times New Roman" w:hAnsi="Times New Roman" w:cs="Times New Roman"/>
          <w:i w:val="0"/>
        </w:rPr>
        <w:t>2</w:t>
      </w:r>
      <w:r w:rsidR="006A0DDF">
        <w:rPr>
          <w:rFonts w:ascii="Times New Roman" w:hAnsi="Times New Roman" w:cs="Times New Roman"/>
          <w:i w:val="0"/>
        </w:rPr>
        <w:t xml:space="preserve">. Zhodnotenie plnenia záväzných </w:t>
      </w:r>
      <w:r w:rsidRPr="00D23807">
        <w:rPr>
          <w:rFonts w:ascii="Times New Roman" w:hAnsi="Times New Roman" w:cs="Times New Roman"/>
          <w:i w:val="0"/>
        </w:rPr>
        <w:t>ukazov</w:t>
      </w:r>
      <w:r w:rsidR="006A0DDF">
        <w:rPr>
          <w:rFonts w:ascii="Times New Roman" w:hAnsi="Times New Roman" w:cs="Times New Roman"/>
          <w:i w:val="0"/>
        </w:rPr>
        <w:t>ateľov rozpočtu kapitoly</w:t>
      </w:r>
    </w:p>
    <w:p w:rsidR="00D76933" w:rsidRPr="00D23807" w:rsidP="00C362EA">
      <w:pPr>
        <w:spacing w:line="240" w:lineRule="auto"/>
        <w:rPr>
          <w:rFonts w:ascii="Times New Roman" w:hAnsi="Times New Roman" w:cs="Times New Roman"/>
          <w:sz w:val="24"/>
          <w:szCs w:val="24"/>
        </w:rPr>
      </w:pPr>
    </w:p>
    <w:p w:rsidR="00D76933" w:rsidP="00AE3AF3">
      <w:pPr>
        <w:spacing w:line="240" w:lineRule="auto"/>
        <w:ind w:firstLine="708"/>
        <w:rPr>
          <w:rFonts w:ascii="Times New Roman" w:hAnsi="Times New Roman" w:cs="Times New Roman"/>
          <w:sz w:val="24"/>
          <w:szCs w:val="24"/>
        </w:rPr>
      </w:pPr>
      <w:r w:rsidRPr="00D23807" w:rsidR="00D27E26">
        <w:rPr>
          <w:rFonts w:ascii="Times New Roman" w:hAnsi="Times New Roman" w:cs="Times New Roman"/>
          <w:sz w:val="24"/>
          <w:szCs w:val="24"/>
        </w:rPr>
        <w:t xml:space="preserve">Vládny návrh zákona o štátnom rozpočte </w:t>
      </w:r>
      <w:r w:rsidR="00970993">
        <w:rPr>
          <w:rFonts w:ascii="Times New Roman" w:hAnsi="Times New Roman" w:cs="Times New Roman"/>
          <w:sz w:val="24"/>
          <w:szCs w:val="24"/>
        </w:rPr>
        <w:t>na rok 2007</w:t>
      </w:r>
      <w:r w:rsidRPr="00D23807" w:rsidR="00D27E26">
        <w:rPr>
          <w:rFonts w:ascii="Times New Roman" w:hAnsi="Times New Roman" w:cs="Times New Roman"/>
          <w:sz w:val="24"/>
          <w:szCs w:val="24"/>
        </w:rPr>
        <w:t xml:space="preserve"> bol prerokovaný v orgánoch Národnej rady Slovenskej </w:t>
      </w:r>
      <w:r w:rsidR="00B373EB">
        <w:rPr>
          <w:rFonts w:ascii="Times New Roman" w:hAnsi="Times New Roman" w:cs="Times New Roman"/>
          <w:sz w:val="24"/>
          <w:szCs w:val="24"/>
        </w:rPr>
        <w:t>repu</w:t>
      </w:r>
      <w:r w:rsidR="00970993">
        <w:rPr>
          <w:rFonts w:ascii="Times New Roman" w:hAnsi="Times New Roman" w:cs="Times New Roman"/>
          <w:sz w:val="24"/>
          <w:szCs w:val="24"/>
        </w:rPr>
        <w:t>bliky a schválený zákonom č. 681/2006</w:t>
      </w:r>
      <w:r w:rsidRPr="00D23807" w:rsidR="00D27E26">
        <w:rPr>
          <w:rFonts w:ascii="Times New Roman" w:hAnsi="Times New Roman" w:cs="Times New Roman"/>
          <w:sz w:val="24"/>
          <w:szCs w:val="24"/>
        </w:rPr>
        <w:t xml:space="preserve"> Z.z. o štátnom </w:t>
      </w:r>
      <w:r w:rsidR="00970993">
        <w:rPr>
          <w:rFonts w:ascii="Times New Roman" w:hAnsi="Times New Roman" w:cs="Times New Roman"/>
          <w:sz w:val="24"/>
          <w:szCs w:val="24"/>
        </w:rPr>
        <w:t>rozpočte na rok 2007 dňa 12. decembra 2006</w:t>
      </w:r>
      <w:r w:rsidRPr="00D23807" w:rsidR="00D27E26">
        <w:rPr>
          <w:rFonts w:ascii="Times New Roman" w:hAnsi="Times New Roman" w:cs="Times New Roman"/>
          <w:sz w:val="24"/>
          <w:szCs w:val="24"/>
        </w:rPr>
        <w:t>.</w:t>
      </w:r>
    </w:p>
    <w:p w:rsidR="00383226" w:rsidP="000212D7">
      <w:pPr>
        <w:spacing w:line="240" w:lineRule="auto"/>
        <w:ind w:firstLine="708"/>
        <w:rPr>
          <w:rFonts w:ascii="Times New Roman" w:hAnsi="Times New Roman" w:cs="Times New Roman"/>
          <w:b/>
          <w:sz w:val="28"/>
        </w:rPr>
      </w:pPr>
      <w:r w:rsidRPr="00D23807" w:rsidR="00D27E26">
        <w:rPr>
          <w:rFonts w:ascii="Times New Roman" w:hAnsi="Times New Roman" w:cs="Times New Roman"/>
          <w:sz w:val="24"/>
          <w:szCs w:val="24"/>
        </w:rPr>
        <w:t>N</w:t>
      </w:r>
      <w:r w:rsidRPr="00D23807" w:rsidR="000672CD">
        <w:rPr>
          <w:rFonts w:ascii="Times New Roman" w:hAnsi="Times New Roman" w:cs="Times New Roman"/>
          <w:sz w:val="24"/>
          <w:szCs w:val="24"/>
        </w:rPr>
        <w:t>adväzne na bo</w:t>
      </w:r>
      <w:r w:rsidR="00970993">
        <w:rPr>
          <w:rFonts w:ascii="Times New Roman" w:hAnsi="Times New Roman" w:cs="Times New Roman"/>
          <w:sz w:val="24"/>
          <w:szCs w:val="24"/>
        </w:rPr>
        <w:t>d C.2. uznesenia vlády SR č. 856 zo dňa 11. októbra 2006</w:t>
      </w:r>
      <w:r w:rsidR="004E0618">
        <w:rPr>
          <w:rFonts w:ascii="Times New Roman" w:hAnsi="Times New Roman" w:cs="Times New Roman"/>
          <w:sz w:val="24"/>
          <w:szCs w:val="24"/>
        </w:rPr>
        <w:t xml:space="preserve"> k </w:t>
      </w:r>
      <w:r w:rsidR="004E0618">
        <w:rPr>
          <w:rFonts w:ascii="Times New Roman" w:hAnsi="Times New Roman" w:cs="Times New Roman"/>
          <w:sz w:val="24"/>
          <w:szCs w:val="24"/>
        </w:rPr>
        <w:t>návrhu rozpo</w:t>
      </w:r>
      <w:r w:rsidR="00970993">
        <w:rPr>
          <w:rFonts w:ascii="Times New Roman" w:hAnsi="Times New Roman" w:cs="Times New Roman"/>
          <w:sz w:val="24"/>
          <w:szCs w:val="24"/>
        </w:rPr>
        <w:t>čtu verejnej správy na roky 2007 až 2009</w:t>
      </w:r>
      <w:r w:rsidR="004E0618">
        <w:rPr>
          <w:rFonts w:ascii="Times New Roman" w:hAnsi="Times New Roman" w:cs="Times New Roman"/>
          <w:sz w:val="24"/>
          <w:szCs w:val="24"/>
        </w:rPr>
        <w:t xml:space="preserve"> </w:t>
      </w:r>
      <w:r w:rsidRPr="00D23807" w:rsidR="00D27E26">
        <w:rPr>
          <w:rFonts w:ascii="Times New Roman" w:hAnsi="Times New Roman" w:cs="Times New Roman"/>
          <w:sz w:val="24"/>
          <w:szCs w:val="24"/>
        </w:rPr>
        <w:t>nám Ministerstvo financií SR (ďalej len MF SR) rozpísalo záväzné ukazovatele rozpo</w:t>
      </w:r>
      <w:r w:rsidR="00970993">
        <w:rPr>
          <w:rFonts w:ascii="Times New Roman" w:hAnsi="Times New Roman" w:cs="Times New Roman"/>
          <w:sz w:val="24"/>
          <w:szCs w:val="24"/>
        </w:rPr>
        <w:t>čtu kapitoly MDPT SR na rok 2007</w:t>
      </w:r>
      <w:r w:rsidRPr="00D23807" w:rsidR="00D27E26">
        <w:rPr>
          <w:rFonts w:ascii="Times New Roman" w:hAnsi="Times New Roman" w:cs="Times New Roman"/>
          <w:sz w:val="24"/>
          <w:szCs w:val="24"/>
        </w:rPr>
        <w:t>. V nasledovnom texte sú uvedené záväzné a upravené ukazovatele rozpo</w:t>
      </w:r>
      <w:r w:rsidR="00970993">
        <w:rPr>
          <w:rFonts w:ascii="Times New Roman" w:hAnsi="Times New Roman" w:cs="Times New Roman"/>
          <w:sz w:val="24"/>
          <w:szCs w:val="24"/>
        </w:rPr>
        <w:t>čtu kapitoly MDPT SR</w:t>
      </w:r>
      <w:r w:rsidR="00970993">
        <w:rPr>
          <w:rFonts w:ascii="Times New Roman" w:hAnsi="Times New Roman" w:cs="Times New Roman"/>
          <w:sz w:val="24"/>
          <w:szCs w:val="24"/>
        </w:rPr>
        <w:t xml:space="preserve"> na rok 2007</w:t>
      </w:r>
      <w:r w:rsidRPr="00D23807" w:rsidR="00D27E26">
        <w:rPr>
          <w:rFonts w:ascii="Times New Roman" w:hAnsi="Times New Roman" w:cs="Times New Roman"/>
          <w:sz w:val="24"/>
          <w:szCs w:val="24"/>
        </w:rPr>
        <w:t xml:space="preserve">, ako aj skutočné plnenie príjmov a čerpanie výdavkov v členení podľa jednotlivých ukazovateľov:  </w:t>
      </w:r>
      <w:r w:rsidRPr="00D23807" w:rsidR="00D27E26">
        <w:rPr>
          <w:rFonts w:ascii="Times New Roman" w:hAnsi="Times New Roman" w:cs="Times New Roman"/>
          <w:b/>
          <w:sz w:val="28"/>
        </w:rPr>
        <w:t xml:space="preserve"> </w:t>
      </w:r>
    </w:p>
    <w:p w:rsidR="005A0FB7" w:rsidRPr="00383226" w:rsidP="005A0FB7">
      <w:pPr>
        <w:spacing w:line="240" w:lineRule="auto"/>
        <w:ind w:firstLine="708"/>
        <w:rPr>
          <w:rFonts w:ascii="Arial Narrow" w:hAnsi="Arial Narrow" w:cs="Times New Roman"/>
        </w:rPr>
      </w:pPr>
      <w:r w:rsidRPr="00383226" w:rsidR="00383226">
        <w:rPr>
          <w:rFonts w:ascii="Arial Narrow" w:hAnsi="Arial Narrow" w:cs="Times New Roman"/>
        </w:rPr>
        <w:t xml:space="preserve">                                                                                                 </w:t>
      </w:r>
      <w:r w:rsidR="00383226">
        <w:rPr>
          <w:rFonts w:ascii="Arial Narrow" w:hAnsi="Arial Narrow" w:cs="Times New Roman"/>
        </w:rPr>
        <w:t xml:space="preserve">                                               </w:t>
      </w:r>
      <w:r w:rsidR="00383226">
        <w:rPr>
          <w:rFonts w:ascii="Arial Narrow" w:hAnsi="Arial Narrow" w:cs="Times New Roman"/>
        </w:rPr>
        <w:t xml:space="preserve">                </w:t>
      </w:r>
      <w:r w:rsidRPr="00383226" w:rsidR="00383226">
        <w:rPr>
          <w:rFonts w:ascii="Arial Narrow" w:hAnsi="Arial Narrow" w:cs="Times New Roman"/>
        </w:rPr>
        <w:t xml:space="preserve">  (v tis. Sk)</w:t>
      </w:r>
    </w:p>
    <w:tbl>
      <w:tblPr>
        <w:tblW w:w="9135" w:type="dxa"/>
        <w:tblInd w:w="55" w:type="dxa"/>
        <w:tblCellMar>
          <w:left w:w="70" w:type="dxa"/>
          <w:right w:w="70" w:type="dxa"/>
        </w:tblCellMar>
      </w:tblPr>
      <w:tblGrid>
        <w:gridCol w:w="5775"/>
        <w:gridCol w:w="1120"/>
        <w:gridCol w:w="1120"/>
        <w:gridCol w:w="1120"/>
      </w:tblGrid>
      <w:tr>
        <w:tblPrEx>
          <w:tblW w:w="9135" w:type="dxa"/>
          <w:tblInd w:w="55" w:type="dxa"/>
          <w:tblCellMar>
            <w:left w:w="70" w:type="dxa"/>
            <w:right w:w="70" w:type="dxa"/>
          </w:tblCellMar>
        </w:tblPrEx>
        <w:trPr>
          <w:trHeight w:val="510"/>
        </w:trPr>
        <w:tc>
          <w:tcPr>
            <w:tcW w:w="5775" w:type="dxa"/>
            <w:tcBorders>
              <w:top w:val="single" w:sz="4" w:space="0" w:color="auto"/>
              <w:left w:val="single" w:sz="4" w:space="0" w:color="auto"/>
              <w:bottom w:val="single" w:sz="4" w:space="0" w:color="auto"/>
              <w:right w:val="single" w:sz="4" w:space="0" w:color="auto"/>
              <w:tl2br w:val="nil"/>
              <w:tr2bl w:val="nil"/>
            </w:tcBorders>
            <w:shd w:val="clear" w:color="auto" w:fill="999999"/>
            <w:noWrap/>
            <w:textDirection w:val="lrTb"/>
            <w:vAlign w:val="center"/>
          </w:tcPr>
          <w:p w:rsidR="005A0FB7" w:rsidRPr="005A0FB7" w:rsidP="005A0FB7">
            <w:pPr>
              <w:spacing w:line="240" w:lineRule="auto"/>
              <w:jc w:val="center"/>
              <w:rPr>
                <w:rFonts w:ascii="Arial Narrow" w:hAnsi="Arial Narrow" w:cs="Times New Roman"/>
                <w:b/>
                <w:bCs/>
                <w:lang w:eastAsia="sk-SK"/>
              </w:rPr>
            </w:pPr>
            <w:r w:rsidRPr="005A0FB7">
              <w:rPr>
                <w:rFonts w:ascii="Arial Narrow" w:hAnsi="Arial Narrow" w:cs="Times New Roman"/>
                <w:b/>
                <w:bCs/>
                <w:lang w:eastAsia="sk-SK"/>
              </w:rPr>
              <w:t>U k a z o v a t e ľ</w:t>
            </w:r>
          </w:p>
        </w:tc>
        <w:tc>
          <w:tcPr>
            <w:tcW w:w="1120" w:type="dxa"/>
            <w:tcBorders>
              <w:top w:val="single" w:sz="4" w:space="0" w:color="auto"/>
              <w:left w:val="nil"/>
              <w:bottom w:val="single" w:sz="4" w:space="0" w:color="auto"/>
              <w:right w:val="single" w:sz="4" w:space="0" w:color="auto"/>
              <w:tl2br w:val="nil"/>
              <w:tr2bl w:val="nil"/>
            </w:tcBorders>
            <w:shd w:val="clear" w:color="auto" w:fill="999999"/>
            <w:textDirection w:val="lrTb"/>
            <w:vAlign w:val="center"/>
          </w:tcPr>
          <w:p w:rsidR="005A0FB7" w:rsidRPr="005A0FB7" w:rsidP="005A0FB7">
            <w:pPr>
              <w:spacing w:line="240" w:lineRule="auto"/>
              <w:jc w:val="center"/>
              <w:rPr>
                <w:rFonts w:ascii="Arial Narrow" w:hAnsi="Arial Narrow" w:cs="Times New Roman"/>
                <w:b/>
                <w:bCs/>
                <w:lang w:eastAsia="sk-SK"/>
              </w:rPr>
            </w:pPr>
            <w:r w:rsidRPr="005A0FB7">
              <w:rPr>
                <w:rFonts w:ascii="Arial Narrow" w:hAnsi="Arial Narrow" w:cs="Times New Roman"/>
                <w:b/>
                <w:bCs/>
                <w:lang w:eastAsia="sk-SK"/>
              </w:rPr>
              <w:t xml:space="preserve">Schválený rozpočet </w:t>
            </w:r>
          </w:p>
        </w:tc>
        <w:tc>
          <w:tcPr>
            <w:tcW w:w="1120" w:type="dxa"/>
            <w:tcBorders>
              <w:top w:val="single" w:sz="4" w:space="0" w:color="auto"/>
              <w:left w:val="nil"/>
              <w:bottom w:val="single" w:sz="4" w:space="0" w:color="auto"/>
              <w:right w:val="single" w:sz="4" w:space="0" w:color="auto"/>
              <w:tl2br w:val="nil"/>
              <w:tr2bl w:val="nil"/>
            </w:tcBorders>
            <w:shd w:val="clear" w:color="auto" w:fill="999999"/>
            <w:textDirection w:val="lrTb"/>
            <w:vAlign w:val="center"/>
          </w:tcPr>
          <w:p w:rsidR="005A0FB7" w:rsidRPr="005A0FB7" w:rsidP="005A0FB7">
            <w:pPr>
              <w:spacing w:line="240" w:lineRule="auto"/>
              <w:jc w:val="center"/>
              <w:rPr>
                <w:rFonts w:ascii="Arial Narrow" w:hAnsi="Arial Narrow" w:cs="Times New Roman"/>
                <w:b/>
                <w:bCs/>
                <w:lang w:eastAsia="sk-SK"/>
              </w:rPr>
            </w:pPr>
            <w:r w:rsidRPr="005A0FB7">
              <w:rPr>
                <w:rFonts w:ascii="Arial Narrow" w:hAnsi="Arial Narrow" w:cs="Times New Roman"/>
                <w:b/>
                <w:bCs/>
                <w:lang w:eastAsia="sk-SK"/>
              </w:rPr>
              <w:t xml:space="preserve">Upravený rozpočet </w:t>
            </w:r>
          </w:p>
        </w:tc>
        <w:tc>
          <w:tcPr>
            <w:tcW w:w="1120" w:type="dxa"/>
            <w:tcBorders>
              <w:top w:val="single" w:sz="4" w:space="0" w:color="auto"/>
              <w:left w:val="nil"/>
              <w:bottom w:val="single" w:sz="4" w:space="0" w:color="auto"/>
              <w:right w:val="single" w:sz="4" w:space="0" w:color="auto"/>
              <w:tl2br w:val="nil"/>
              <w:tr2bl w:val="nil"/>
            </w:tcBorders>
            <w:shd w:val="clear" w:color="auto" w:fill="999999"/>
            <w:textDirection w:val="lrTb"/>
            <w:vAlign w:val="center"/>
          </w:tcPr>
          <w:p w:rsidR="005A0FB7" w:rsidRPr="005A0FB7" w:rsidP="005A0FB7">
            <w:pPr>
              <w:spacing w:line="240" w:lineRule="auto"/>
              <w:jc w:val="center"/>
              <w:rPr>
                <w:rFonts w:ascii="Arial Narrow" w:hAnsi="Arial Narrow" w:cs="Times New Roman"/>
                <w:b/>
                <w:bCs/>
                <w:lang w:eastAsia="sk-SK"/>
              </w:rPr>
            </w:pPr>
            <w:r w:rsidRPr="005A0FB7">
              <w:rPr>
                <w:rFonts w:ascii="Arial Narrow" w:hAnsi="Arial Narrow" w:cs="Times New Roman"/>
                <w:b/>
                <w:bCs/>
                <w:lang w:eastAsia="sk-SK"/>
              </w:rPr>
              <w:t>Skutočné čerpanie</w:t>
            </w:r>
          </w:p>
        </w:tc>
      </w:tr>
      <w:tr>
        <w:tblPrEx>
          <w:tblW w:w="9135" w:type="dxa"/>
          <w:tblInd w:w="55" w:type="dxa"/>
          <w:tblCellMar>
            <w:left w:w="70" w:type="dxa"/>
            <w:right w:w="70" w:type="dxa"/>
          </w:tblCellMar>
        </w:tblPrEx>
        <w:trPr>
          <w:trHeight w:hRule="exact" w:val="227"/>
        </w:trPr>
        <w:tc>
          <w:tcPr>
            <w:tcW w:w="5775" w:type="dxa"/>
            <w:tcBorders>
              <w:top w:val="single" w:sz="4" w:space="0" w:color="auto"/>
              <w:left w:val="single" w:sz="4" w:space="0" w:color="auto"/>
              <w:bottom w:val="single" w:sz="4" w:space="0" w:color="auto"/>
              <w:right w:val="single" w:sz="4" w:space="0" w:color="auto"/>
              <w:tl2br w:val="nil"/>
              <w:tr2bl w:val="nil"/>
            </w:tcBorders>
            <w:shd w:val="clear" w:color="auto" w:fill="C0C0C0"/>
            <w:noWrap/>
            <w:textDirection w:val="lrTb"/>
            <w:vAlign w:val="center"/>
          </w:tcPr>
          <w:p w:rsidR="005A0FB7" w:rsidRPr="005A0FB7" w:rsidP="005A0FB7">
            <w:pPr>
              <w:spacing w:line="240" w:lineRule="auto"/>
              <w:rPr>
                <w:rFonts w:ascii="Arial Narrow" w:hAnsi="Arial Narrow" w:cs="Times New Roman"/>
                <w:b/>
                <w:bCs/>
                <w:lang w:eastAsia="sk-SK"/>
              </w:rPr>
            </w:pPr>
            <w:r w:rsidRPr="005A0FB7">
              <w:rPr>
                <w:rFonts w:ascii="Arial Narrow" w:hAnsi="Arial Narrow" w:cs="Times New Roman"/>
                <w:b/>
                <w:bCs/>
                <w:lang w:eastAsia="sk-SK"/>
              </w:rPr>
              <w:t>I.    Príjmy kapitoly</w:t>
            </w:r>
          </w:p>
        </w:tc>
        <w:tc>
          <w:tcPr>
            <w:tcW w:w="1120" w:type="dxa"/>
            <w:tcBorders>
              <w:top w:val="single" w:sz="4" w:space="0" w:color="auto"/>
              <w:left w:val="nil"/>
              <w:bottom w:val="single" w:sz="4" w:space="0" w:color="auto"/>
              <w:right w:val="single" w:sz="4" w:space="0" w:color="auto"/>
              <w:tl2br w:val="nil"/>
              <w:tr2bl w:val="nil"/>
            </w:tcBorders>
            <w:shd w:val="clear" w:color="auto" w:fill="C0C0C0"/>
            <w:noWrap/>
            <w:textDirection w:val="lrTb"/>
            <w:vAlign w:val="center"/>
          </w:tcPr>
          <w:p w:rsidR="005A0FB7" w:rsidRPr="005A0FB7" w:rsidP="005A0FB7">
            <w:pPr>
              <w:spacing w:line="240" w:lineRule="auto"/>
              <w:jc w:val="right"/>
              <w:rPr>
                <w:rFonts w:ascii="Arial Narrow" w:hAnsi="Arial Narrow" w:cs="Times New Roman"/>
                <w:b/>
                <w:bCs/>
                <w:lang w:eastAsia="sk-SK"/>
              </w:rPr>
            </w:pPr>
            <w:r w:rsidRPr="005A0FB7">
              <w:rPr>
                <w:rFonts w:ascii="Arial Narrow" w:hAnsi="Arial Narrow" w:cs="Times New Roman"/>
                <w:b/>
                <w:bCs/>
                <w:lang w:eastAsia="sk-SK"/>
              </w:rPr>
              <w:t>7 424 931</w:t>
            </w:r>
          </w:p>
        </w:tc>
        <w:tc>
          <w:tcPr>
            <w:tcW w:w="1120" w:type="dxa"/>
            <w:tcBorders>
              <w:top w:val="single" w:sz="4" w:space="0" w:color="auto"/>
              <w:left w:val="nil"/>
              <w:bottom w:val="single" w:sz="4" w:space="0" w:color="auto"/>
              <w:right w:val="single" w:sz="4" w:space="0" w:color="auto"/>
              <w:tl2br w:val="nil"/>
              <w:tr2bl w:val="nil"/>
            </w:tcBorders>
            <w:shd w:val="clear" w:color="auto" w:fill="C0C0C0"/>
            <w:noWrap/>
            <w:textDirection w:val="lrTb"/>
            <w:vAlign w:val="center"/>
          </w:tcPr>
          <w:p w:rsidR="005A0FB7" w:rsidRPr="005A0FB7" w:rsidP="005A0FB7">
            <w:pPr>
              <w:spacing w:line="240" w:lineRule="auto"/>
              <w:jc w:val="right"/>
              <w:rPr>
                <w:rFonts w:ascii="Arial Narrow" w:hAnsi="Arial Narrow" w:cs="Times New Roman"/>
                <w:b/>
                <w:bCs/>
                <w:lang w:eastAsia="sk-SK"/>
              </w:rPr>
            </w:pPr>
            <w:r w:rsidRPr="005A0FB7">
              <w:rPr>
                <w:rFonts w:ascii="Arial Narrow" w:hAnsi="Arial Narrow" w:cs="Times New Roman"/>
                <w:b/>
                <w:bCs/>
                <w:lang w:eastAsia="sk-SK"/>
              </w:rPr>
              <w:t>7 749 708</w:t>
            </w:r>
          </w:p>
        </w:tc>
        <w:tc>
          <w:tcPr>
            <w:tcW w:w="1120" w:type="dxa"/>
            <w:tcBorders>
              <w:top w:val="single" w:sz="4" w:space="0" w:color="auto"/>
              <w:left w:val="nil"/>
              <w:bottom w:val="single" w:sz="4" w:space="0" w:color="auto"/>
              <w:right w:val="single" w:sz="4" w:space="0" w:color="auto"/>
              <w:tl2br w:val="nil"/>
              <w:tr2bl w:val="nil"/>
            </w:tcBorders>
            <w:shd w:val="clear" w:color="auto" w:fill="C0C0C0"/>
            <w:noWrap/>
            <w:textDirection w:val="lrTb"/>
            <w:vAlign w:val="center"/>
          </w:tcPr>
          <w:p w:rsidR="005A0FB7" w:rsidRPr="005A0FB7" w:rsidP="005A0FB7">
            <w:pPr>
              <w:spacing w:line="240" w:lineRule="auto"/>
              <w:jc w:val="right"/>
              <w:rPr>
                <w:rFonts w:ascii="Arial Narrow" w:hAnsi="Arial Narrow" w:cs="Times New Roman"/>
                <w:b/>
                <w:bCs/>
                <w:lang w:eastAsia="sk-SK"/>
              </w:rPr>
            </w:pPr>
            <w:r w:rsidR="00F07689">
              <w:rPr>
                <w:rFonts w:ascii="Arial Narrow" w:hAnsi="Arial Narrow" w:cs="Times New Roman"/>
                <w:b/>
                <w:bCs/>
                <w:lang w:eastAsia="sk-SK"/>
              </w:rPr>
              <w:t>6 439 698</w:t>
            </w:r>
          </w:p>
        </w:tc>
      </w:tr>
      <w:tr>
        <w:tblPrEx>
          <w:tblW w:w="9135" w:type="dxa"/>
          <w:tblInd w:w="55" w:type="dxa"/>
          <w:tblCellMar>
            <w:left w:w="70" w:type="dxa"/>
            <w:right w:w="70" w:type="dxa"/>
          </w:tblCellMar>
        </w:tblPrEx>
        <w:trPr>
          <w:trHeight w:hRule="exact" w:val="227"/>
        </w:trPr>
        <w:tc>
          <w:tcPr>
            <w:tcW w:w="5775" w:type="dxa"/>
            <w:tcBorders>
              <w:top w:val="nil"/>
              <w:left w:val="single" w:sz="4" w:space="0" w:color="auto"/>
              <w:bottom w:val="single" w:sz="4" w:space="0" w:color="auto"/>
              <w:right w:val="single" w:sz="4" w:space="0" w:color="auto"/>
              <w:tl2br w:val="nil"/>
              <w:tr2bl w:val="nil"/>
            </w:tcBorders>
            <w:noWrap/>
            <w:textDirection w:val="lrTb"/>
            <w:vAlign w:val="center"/>
          </w:tcPr>
          <w:p w:rsidR="005A0FB7" w:rsidRPr="005A0FB7" w:rsidP="005A0FB7">
            <w:pPr>
              <w:spacing w:line="240" w:lineRule="auto"/>
              <w:rPr>
                <w:rFonts w:ascii="Arial Narrow" w:hAnsi="Arial Narrow" w:cs="Times New Roman"/>
                <w:lang w:eastAsia="sk-SK"/>
              </w:rPr>
            </w:pPr>
            <w:r w:rsidRPr="005A0FB7">
              <w:rPr>
                <w:rFonts w:ascii="Arial Narrow" w:hAnsi="Arial Narrow" w:cs="Times New Roman"/>
                <w:lang w:eastAsia="sk-SK"/>
              </w:rPr>
              <w:t>A.  Záväzný ukazovateľ</w:t>
            </w:r>
          </w:p>
        </w:tc>
        <w:tc>
          <w:tcPr>
            <w:tcW w:w="1120" w:type="dxa"/>
            <w:tcBorders>
              <w:top w:val="nil"/>
              <w:left w:val="nil"/>
              <w:bottom w:val="single" w:sz="4" w:space="0" w:color="auto"/>
              <w:right w:val="single" w:sz="4" w:space="0" w:color="auto"/>
              <w:tl2br w:val="nil"/>
              <w:tr2bl w:val="nil"/>
            </w:tcBorders>
            <w:noWrap/>
            <w:textDirection w:val="lrTb"/>
            <w:vAlign w:val="center"/>
          </w:tcPr>
          <w:p w:rsidR="005A0FB7" w:rsidRPr="005A0FB7" w:rsidP="005A0FB7">
            <w:pPr>
              <w:spacing w:line="240" w:lineRule="auto"/>
              <w:jc w:val="right"/>
              <w:rPr>
                <w:rFonts w:ascii="Arial Narrow" w:hAnsi="Arial Narrow" w:cs="Times New Roman"/>
                <w:lang w:eastAsia="sk-SK"/>
              </w:rPr>
            </w:pPr>
            <w:r w:rsidRPr="005A0FB7">
              <w:rPr>
                <w:rFonts w:ascii="Arial Narrow" w:hAnsi="Arial Narrow" w:cs="Times New Roman"/>
                <w:lang w:eastAsia="sk-SK"/>
              </w:rPr>
              <w:t>2 705 000</w:t>
            </w:r>
          </w:p>
        </w:tc>
        <w:tc>
          <w:tcPr>
            <w:tcW w:w="1120" w:type="dxa"/>
            <w:tcBorders>
              <w:top w:val="nil"/>
              <w:left w:val="nil"/>
              <w:bottom w:val="single" w:sz="4" w:space="0" w:color="auto"/>
              <w:right w:val="single" w:sz="4" w:space="0" w:color="auto"/>
              <w:tl2br w:val="nil"/>
              <w:tr2bl w:val="nil"/>
            </w:tcBorders>
            <w:noWrap/>
            <w:textDirection w:val="lrTb"/>
            <w:vAlign w:val="center"/>
          </w:tcPr>
          <w:p w:rsidR="005A0FB7" w:rsidRPr="005A0FB7" w:rsidP="005A0FB7">
            <w:pPr>
              <w:spacing w:line="240" w:lineRule="auto"/>
              <w:jc w:val="right"/>
              <w:rPr>
                <w:rFonts w:ascii="Arial Narrow" w:hAnsi="Arial Narrow" w:cs="Times New Roman"/>
                <w:lang w:eastAsia="sk-SK"/>
              </w:rPr>
            </w:pPr>
            <w:r w:rsidRPr="005A0FB7">
              <w:rPr>
                <w:rFonts w:ascii="Arial Narrow" w:hAnsi="Arial Narrow" w:cs="Times New Roman"/>
                <w:lang w:eastAsia="sk-SK"/>
              </w:rPr>
              <w:t>2 705 000</w:t>
            </w:r>
          </w:p>
        </w:tc>
        <w:tc>
          <w:tcPr>
            <w:tcW w:w="1120" w:type="dxa"/>
            <w:tcBorders>
              <w:top w:val="nil"/>
              <w:left w:val="nil"/>
              <w:bottom w:val="single" w:sz="4" w:space="0" w:color="auto"/>
              <w:right w:val="single" w:sz="4" w:space="0" w:color="auto"/>
              <w:tl2br w:val="nil"/>
              <w:tr2bl w:val="nil"/>
            </w:tcBorders>
            <w:noWrap/>
            <w:textDirection w:val="lrTb"/>
            <w:vAlign w:val="center"/>
          </w:tcPr>
          <w:p w:rsidR="005A0FB7" w:rsidRPr="005A0FB7" w:rsidP="005A0FB7">
            <w:pPr>
              <w:spacing w:line="240" w:lineRule="auto"/>
              <w:jc w:val="right"/>
              <w:rPr>
                <w:rFonts w:ascii="Arial Narrow" w:hAnsi="Arial Narrow" w:cs="Times New Roman"/>
                <w:lang w:eastAsia="sk-SK"/>
              </w:rPr>
            </w:pPr>
            <w:r w:rsidRPr="005A0FB7">
              <w:rPr>
                <w:rFonts w:ascii="Arial Narrow" w:hAnsi="Arial Narrow" w:cs="Times New Roman"/>
                <w:lang w:eastAsia="sk-SK"/>
              </w:rPr>
              <w:t>2 73</w:t>
            </w:r>
            <w:r w:rsidR="00F07689">
              <w:rPr>
                <w:rFonts w:ascii="Arial Narrow" w:hAnsi="Arial Narrow" w:cs="Times New Roman"/>
                <w:lang w:eastAsia="sk-SK"/>
              </w:rPr>
              <w:t>5 117</w:t>
            </w:r>
          </w:p>
        </w:tc>
      </w:tr>
      <w:tr>
        <w:tblPrEx>
          <w:tblW w:w="9135" w:type="dxa"/>
          <w:tblInd w:w="55" w:type="dxa"/>
          <w:tblCellMar>
            <w:left w:w="70" w:type="dxa"/>
            <w:right w:w="70" w:type="dxa"/>
          </w:tblCellMar>
        </w:tblPrEx>
        <w:trPr>
          <w:trHeight w:hRule="exact" w:val="227"/>
        </w:trPr>
        <w:tc>
          <w:tcPr>
            <w:tcW w:w="5775" w:type="dxa"/>
            <w:tcBorders>
              <w:top w:val="nil"/>
              <w:left w:val="single" w:sz="4" w:space="0" w:color="auto"/>
              <w:bottom w:val="single" w:sz="4" w:space="0" w:color="auto"/>
              <w:right w:val="single" w:sz="4" w:space="0" w:color="auto"/>
              <w:tl2br w:val="nil"/>
              <w:tr2bl w:val="nil"/>
            </w:tcBorders>
            <w:noWrap/>
            <w:textDirection w:val="lrTb"/>
            <w:vAlign w:val="center"/>
          </w:tcPr>
          <w:p w:rsidR="005A0FB7" w:rsidRPr="005A0FB7" w:rsidP="005A0FB7">
            <w:pPr>
              <w:spacing w:line="240" w:lineRule="auto"/>
              <w:rPr>
                <w:rFonts w:ascii="Arial Narrow" w:hAnsi="Arial Narrow" w:cs="Times New Roman"/>
                <w:lang w:eastAsia="sk-SK"/>
              </w:rPr>
            </w:pPr>
            <w:r w:rsidRPr="005A0FB7">
              <w:rPr>
                <w:rFonts w:ascii="Arial Narrow" w:hAnsi="Arial Narrow" w:cs="Times New Roman"/>
                <w:lang w:eastAsia="sk-SK"/>
              </w:rPr>
              <w:t>B.  Prostriedky z rozpočtu EÚ</w:t>
            </w:r>
          </w:p>
        </w:tc>
        <w:tc>
          <w:tcPr>
            <w:tcW w:w="1120" w:type="dxa"/>
            <w:tcBorders>
              <w:top w:val="nil"/>
              <w:left w:val="nil"/>
              <w:bottom w:val="single" w:sz="4" w:space="0" w:color="auto"/>
              <w:right w:val="single" w:sz="4" w:space="0" w:color="auto"/>
              <w:tl2br w:val="nil"/>
              <w:tr2bl w:val="nil"/>
            </w:tcBorders>
            <w:noWrap/>
            <w:textDirection w:val="lrTb"/>
            <w:vAlign w:val="center"/>
          </w:tcPr>
          <w:p w:rsidR="005A0FB7" w:rsidRPr="005A0FB7" w:rsidP="005A0FB7">
            <w:pPr>
              <w:spacing w:line="240" w:lineRule="auto"/>
              <w:jc w:val="right"/>
              <w:rPr>
                <w:rFonts w:ascii="Arial Narrow" w:hAnsi="Arial Narrow" w:cs="Times New Roman"/>
                <w:lang w:eastAsia="sk-SK"/>
              </w:rPr>
            </w:pPr>
            <w:r w:rsidRPr="005A0FB7">
              <w:rPr>
                <w:rFonts w:ascii="Arial Narrow" w:hAnsi="Arial Narrow" w:cs="Times New Roman"/>
                <w:lang w:eastAsia="sk-SK"/>
              </w:rPr>
              <w:t>4 719 931</w:t>
            </w:r>
          </w:p>
        </w:tc>
        <w:tc>
          <w:tcPr>
            <w:tcW w:w="1120" w:type="dxa"/>
            <w:tcBorders>
              <w:top w:val="nil"/>
              <w:left w:val="nil"/>
              <w:bottom w:val="single" w:sz="4" w:space="0" w:color="auto"/>
              <w:right w:val="single" w:sz="4" w:space="0" w:color="auto"/>
              <w:tl2br w:val="nil"/>
              <w:tr2bl w:val="nil"/>
            </w:tcBorders>
            <w:noWrap/>
            <w:textDirection w:val="lrTb"/>
            <w:vAlign w:val="center"/>
          </w:tcPr>
          <w:p w:rsidR="005A0FB7" w:rsidRPr="005A0FB7" w:rsidP="005A0FB7">
            <w:pPr>
              <w:spacing w:line="240" w:lineRule="auto"/>
              <w:jc w:val="right"/>
              <w:rPr>
                <w:rFonts w:ascii="Arial Narrow" w:hAnsi="Arial Narrow" w:cs="Times New Roman"/>
                <w:lang w:eastAsia="sk-SK"/>
              </w:rPr>
            </w:pPr>
            <w:r w:rsidRPr="005A0FB7">
              <w:rPr>
                <w:rFonts w:ascii="Arial Narrow" w:hAnsi="Arial Narrow" w:cs="Times New Roman"/>
                <w:lang w:eastAsia="sk-SK"/>
              </w:rPr>
              <w:t>5</w:t>
            </w:r>
            <w:r w:rsidRPr="005A0FB7">
              <w:rPr>
                <w:rFonts w:ascii="Arial Narrow" w:hAnsi="Arial Narrow" w:cs="Times New Roman"/>
                <w:lang w:eastAsia="sk-SK"/>
              </w:rPr>
              <w:t xml:space="preserve"> 044 708</w:t>
            </w:r>
          </w:p>
        </w:tc>
        <w:tc>
          <w:tcPr>
            <w:tcW w:w="1120" w:type="dxa"/>
            <w:tcBorders>
              <w:top w:val="nil"/>
              <w:left w:val="nil"/>
              <w:bottom w:val="single" w:sz="4" w:space="0" w:color="auto"/>
              <w:right w:val="single" w:sz="4" w:space="0" w:color="auto"/>
              <w:tl2br w:val="nil"/>
              <w:tr2bl w:val="nil"/>
            </w:tcBorders>
            <w:noWrap/>
            <w:textDirection w:val="lrTb"/>
            <w:vAlign w:val="center"/>
          </w:tcPr>
          <w:p w:rsidR="005A0FB7" w:rsidRPr="005A0FB7" w:rsidP="005A0FB7">
            <w:pPr>
              <w:spacing w:line="240" w:lineRule="auto"/>
              <w:jc w:val="right"/>
              <w:rPr>
                <w:rFonts w:ascii="Arial Narrow" w:hAnsi="Arial Narrow" w:cs="Times New Roman"/>
                <w:lang w:eastAsia="sk-SK"/>
              </w:rPr>
            </w:pPr>
            <w:r w:rsidR="00F07689">
              <w:rPr>
                <w:rFonts w:ascii="Arial Narrow" w:hAnsi="Arial Narrow" w:cs="Times New Roman"/>
                <w:lang w:eastAsia="sk-SK"/>
              </w:rPr>
              <w:t>3 704 581</w:t>
            </w:r>
          </w:p>
        </w:tc>
      </w:tr>
      <w:tr>
        <w:tblPrEx>
          <w:tblW w:w="9135" w:type="dxa"/>
          <w:tblInd w:w="55" w:type="dxa"/>
          <w:tblCellMar>
            <w:left w:w="70" w:type="dxa"/>
            <w:right w:w="70" w:type="dxa"/>
          </w:tblCellMar>
        </w:tblPrEx>
        <w:trPr>
          <w:trHeight w:hRule="exact" w:val="227"/>
        </w:trPr>
        <w:tc>
          <w:tcPr>
            <w:tcW w:w="5775" w:type="dxa"/>
            <w:tcBorders>
              <w:top w:val="single" w:sz="4" w:space="0" w:color="auto"/>
              <w:left w:val="single" w:sz="4" w:space="0" w:color="auto"/>
              <w:bottom w:val="single" w:sz="4" w:space="0" w:color="auto"/>
              <w:right w:val="single" w:sz="4" w:space="0" w:color="auto"/>
              <w:tl2br w:val="nil"/>
              <w:tr2bl w:val="nil"/>
            </w:tcBorders>
            <w:shd w:val="clear" w:color="auto" w:fill="C0C0C0"/>
            <w:noWrap/>
            <w:textDirection w:val="lrTb"/>
            <w:vAlign w:val="center"/>
          </w:tcPr>
          <w:p w:rsidR="005A0FB7" w:rsidRPr="005A0FB7" w:rsidP="005A0FB7">
            <w:pPr>
              <w:spacing w:line="240" w:lineRule="auto"/>
              <w:rPr>
                <w:rFonts w:ascii="Arial Narrow" w:hAnsi="Arial Narrow" w:cs="Times New Roman"/>
                <w:b/>
                <w:bCs/>
                <w:lang w:eastAsia="sk-SK"/>
              </w:rPr>
            </w:pPr>
            <w:r w:rsidRPr="005A0FB7">
              <w:rPr>
                <w:rFonts w:ascii="Arial Narrow" w:hAnsi="Arial Narrow" w:cs="Times New Roman"/>
                <w:b/>
                <w:bCs/>
                <w:lang w:eastAsia="sk-SK"/>
              </w:rPr>
              <w:t>II.   Výdavky kapitoly Celkom (A+B)</w:t>
            </w:r>
          </w:p>
        </w:tc>
        <w:tc>
          <w:tcPr>
            <w:tcW w:w="1120" w:type="dxa"/>
            <w:tcBorders>
              <w:top w:val="single" w:sz="4" w:space="0" w:color="auto"/>
              <w:left w:val="nil"/>
              <w:bottom w:val="single" w:sz="4" w:space="0" w:color="auto"/>
              <w:right w:val="single" w:sz="4" w:space="0" w:color="auto"/>
              <w:tl2br w:val="nil"/>
              <w:tr2bl w:val="nil"/>
            </w:tcBorders>
            <w:shd w:val="clear" w:color="auto" w:fill="C0C0C0"/>
            <w:noWrap/>
            <w:textDirection w:val="lrTb"/>
            <w:vAlign w:val="center"/>
          </w:tcPr>
          <w:p w:rsidR="005A0FB7" w:rsidRPr="005A0FB7" w:rsidP="005A0FB7">
            <w:pPr>
              <w:spacing w:line="240" w:lineRule="auto"/>
              <w:jc w:val="right"/>
              <w:rPr>
                <w:rFonts w:ascii="Arial Narrow" w:hAnsi="Arial Narrow" w:cs="Times New Roman"/>
                <w:b/>
                <w:bCs/>
                <w:lang w:eastAsia="sk-SK"/>
              </w:rPr>
            </w:pPr>
            <w:r w:rsidRPr="005A0FB7">
              <w:rPr>
                <w:rFonts w:ascii="Arial Narrow" w:hAnsi="Arial Narrow" w:cs="Times New Roman"/>
                <w:b/>
                <w:bCs/>
                <w:lang w:eastAsia="sk-SK"/>
              </w:rPr>
              <w:t>27 261 462</w:t>
            </w:r>
          </w:p>
        </w:tc>
        <w:tc>
          <w:tcPr>
            <w:tcW w:w="1120" w:type="dxa"/>
            <w:tcBorders>
              <w:top w:val="single" w:sz="4" w:space="0" w:color="auto"/>
              <w:left w:val="nil"/>
              <w:bottom w:val="single" w:sz="4" w:space="0" w:color="auto"/>
              <w:right w:val="single" w:sz="4" w:space="0" w:color="auto"/>
              <w:tl2br w:val="nil"/>
              <w:tr2bl w:val="nil"/>
            </w:tcBorders>
            <w:shd w:val="clear" w:color="auto" w:fill="C0C0C0"/>
            <w:noWrap/>
            <w:textDirection w:val="lrTb"/>
            <w:vAlign w:val="center"/>
          </w:tcPr>
          <w:p w:rsidR="005A0FB7" w:rsidRPr="005A0FB7" w:rsidP="005A0FB7">
            <w:pPr>
              <w:spacing w:line="240" w:lineRule="auto"/>
              <w:jc w:val="right"/>
              <w:rPr>
                <w:rFonts w:ascii="Arial Narrow" w:hAnsi="Arial Narrow" w:cs="Times New Roman"/>
                <w:b/>
                <w:bCs/>
                <w:lang w:eastAsia="sk-SK"/>
              </w:rPr>
            </w:pPr>
            <w:r w:rsidRPr="005A0FB7">
              <w:rPr>
                <w:rFonts w:ascii="Arial Narrow" w:hAnsi="Arial Narrow" w:cs="Times New Roman"/>
                <w:b/>
                <w:bCs/>
                <w:lang w:eastAsia="sk-SK"/>
              </w:rPr>
              <w:t>31 513 181</w:t>
            </w:r>
          </w:p>
        </w:tc>
        <w:tc>
          <w:tcPr>
            <w:tcW w:w="1120" w:type="dxa"/>
            <w:tcBorders>
              <w:top w:val="single" w:sz="4" w:space="0" w:color="auto"/>
              <w:left w:val="nil"/>
              <w:bottom w:val="single" w:sz="4" w:space="0" w:color="auto"/>
              <w:right w:val="single" w:sz="4" w:space="0" w:color="auto"/>
              <w:tl2br w:val="nil"/>
              <w:tr2bl w:val="nil"/>
            </w:tcBorders>
            <w:shd w:val="clear" w:color="auto" w:fill="C0C0C0"/>
            <w:noWrap/>
            <w:textDirection w:val="lrTb"/>
            <w:vAlign w:val="center"/>
          </w:tcPr>
          <w:p w:rsidR="005A0FB7" w:rsidRPr="005A0FB7" w:rsidP="005A0FB7">
            <w:pPr>
              <w:spacing w:line="240" w:lineRule="auto"/>
              <w:jc w:val="right"/>
              <w:rPr>
                <w:rFonts w:ascii="Arial Narrow" w:hAnsi="Arial Narrow" w:cs="Times New Roman"/>
                <w:b/>
                <w:bCs/>
                <w:lang w:eastAsia="sk-SK"/>
              </w:rPr>
            </w:pPr>
            <w:r w:rsidRPr="005A0FB7">
              <w:rPr>
                <w:rFonts w:ascii="Arial Narrow" w:hAnsi="Arial Narrow" w:cs="Times New Roman"/>
                <w:b/>
                <w:bCs/>
                <w:lang w:eastAsia="sk-SK"/>
              </w:rPr>
              <w:t>31 561 721</w:t>
            </w:r>
          </w:p>
        </w:tc>
      </w:tr>
      <w:tr>
        <w:tblPrEx>
          <w:tblW w:w="9135" w:type="dxa"/>
          <w:tblInd w:w="55" w:type="dxa"/>
          <w:tblCellMar>
            <w:left w:w="70" w:type="dxa"/>
            <w:right w:w="70" w:type="dxa"/>
          </w:tblCellMar>
        </w:tblPrEx>
        <w:trPr>
          <w:trHeight w:hRule="exact" w:val="227"/>
        </w:trPr>
        <w:tc>
          <w:tcPr>
            <w:tcW w:w="5775" w:type="dxa"/>
            <w:tcBorders>
              <w:top w:val="nil"/>
              <w:left w:val="single" w:sz="4" w:space="0" w:color="auto"/>
              <w:bottom w:val="single" w:sz="4" w:space="0" w:color="auto"/>
              <w:right w:val="single" w:sz="4" w:space="0" w:color="auto"/>
              <w:tl2br w:val="nil"/>
              <w:tr2bl w:val="nil"/>
            </w:tcBorders>
            <w:noWrap/>
            <w:textDirection w:val="lrTb"/>
            <w:vAlign w:val="center"/>
          </w:tcPr>
          <w:p w:rsidR="005A0FB7" w:rsidRPr="005A0FB7" w:rsidP="005A0FB7">
            <w:pPr>
              <w:spacing w:line="240" w:lineRule="auto"/>
              <w:rPr>
                <w:rFonts w:ascii="Arial Narrow" w:hAnsi="Arial Narrow" w:cs="Times New Roman"/>
                <w:b/>
                <w:bCs/>
                <w:lang w:eastAsia="sk-SK"/>
              </w:rPr>
            </w:pPr>
            <w:r w:rsidRPr="005A0FB7">
              <w:rPr>
                <w:rFonts w:ascii="Arial Narrow" w:hAnsi="Arial Narrow" w:cs="Times New Roman"/>
                <w:b/>
                <w:bCs/>
                <w:lang w:eastAsia="sk-SK"/>
              </w:rPr>
              <w:t> </w:t>
            </w:r>
          </w:p>
        </w:tc>
        <w:tc>
          <w:tcPr>
            <w:tcW w:w="1120" w:type="dxa"/>
            <w:tcBorders>
              <w:top w:val="nil"/>
              <w:left w:val="nil"/>
              <w:bottom w:val="single" w:sz="4" w:space="0" w:color="auto"/>
              <w:right w:val="single" w:sz="4" w:space="0" w:color="auto"/>
              <w:tl2br w:val="nil"/>
              <w:tr2bl w:val="nil"/>
            </w:tcBorders>
            <w:noWrap/>
            <w:textDirection w:val="lrTb"/>
            <w:vAlign w:val="center"/>
          </w:tcPr>
          <w:p w:rsidR="005A0FB7" w:rsidRPr="005A0FB7" w:rsidP="005A0FB7">
            <w:pPr>
              <w:spacing w:line="240" w:lineRule="auto"/>
              <w:jc w:val="right"/>
              <w:rPr>
                <w:rFonts w:ascii="Arial Narrow" w:hAnsi="Arial Narrow" w:cs="Times New Roman"/>
                <w:b/>
                <w:bCs/>
                <w:lang w:eastAsia="sk-SK"/>
              </w:rPr>
            </w:pPr>
            <w:r w:rsidRPr="005A0FB7">
              <w:rPr>
                <w:rFonts w:ascii="Arial Narrow" w:hAnsi="Arial Narrow" w:cs="Times New Roman"/>
                <w:b/>
                <w:bCs/>
                <w:lang w:eastAsia="sk-SK"/>
              </w:rPr>
              <w:t> </w:t>
            </w:r>
          </w:p>
        </w:tc>
        <w:tc>
          <w:tcPr>
            <w:tcW w:w="1120" w:type="dxa"/>
            <w:tcBorders>
              <w:top w:val="nil"/>
              <w:left w:val="nil"/>
              <w:bottom w:val="single" w:sz="4" w:space="0" w:color="auto"/>
              <w:right w:val="single" w:sz="4" w:space="0" w:color="auto"/>
              <w:tl2br w:val="nil"/>
              <w:tr2bl w:val="nil"/>
            </w:tcBorders>
            <w:noWrap/>
            <w:textDirection w:val="lrTb"/>
            <w:vAlign w:val="center"/>
          </w:tcPr>
          <w:p w:rsidR="005A0FB7" w:rsidRPr="005A0FB7" w:rsidP="005A0FB7">
            <w:pPr>
              <w:spacing w:line="240" w:lineRule="auto"/>
              <w:jc w:val="right"/>
              <w:rPr>
                <w:rFonts w:ascii="Arial Narrow" w:hAnsi="Arial Narrow" w:cs="Times New Roman"/>
                <w:b/>
                <w:bCs/>
                <w:lang w:eastAsia="sk-SK"/>
              </w:rPr>
            </w:pPr>
            <w:r w:rsidRPr="005A0FB7">
              <w:rPr>
                <w:rFonts w:ascii="Arial Narrow" w:hAnsi="Arial Narrow" w:cs="Times New Roman"/>
                <w:b/>
                <w:bCs/>
                <w:lang w:eastAsia="sk-SK"/>
              </w:rPr>
              <w:t> </w:t>
            </w:r>
          </w:p>
        </w:tc>
        <w:tc>
          <w:tcPr>
            <w:tcW w:w="1120" w:type="dxa"/>
            <w:tcBorders>
              <w:top w:val="nil"/>
              <w:left w:val="nil"/>
              <w:bottom w:val="single" w:sz="4" w:space="0" w:color="auto"/>
              <w:right w:val="single" w:sz="4" w:space="0" w:color="auto"/>
              <w:tl2br w:val="nil"/>
              <w:tr2bl w:val="nil"/>
            </w:tcBorders>
            <w:noWrap/>
            <w:textDirection w:val="lrTb"/>
            <w:vAlign w:val="center"/>
          </w:tcPr>
          <w:p w:rsidR="005A0FB7" w:rsidRPr="005A0FB7" w:rsidP="005A0FB7">
            <w:pPr>
              <w:spacing w:line="240" w:lineRule="auto"/>
              <w:jc w:val="right"/>
              <w:rPr>
                <w:rFonts w:ascii="Arial Narrow" w:hAnsi="Arial Narrow" w:cs="Times New Roman"/>
                <w:b/>
                <w:bCs/>
                <w:lang w:eastAsia="sk-SK"/>
              </w:rPr>
            </w:pPr>
            <w:r w:rsidRPr="005A0FB7">
              <w:rPr>
                <w:rFonts w:ascii="Arial Narrow" w:hAnsi="Arial Narrow" w:cs="Times New Roman"/>
                <w:b/>
                <w:bCs/>
                <w:lang w:eastAsia="sk-SK"/>
              </w:rPr>
              <w:t> </w:t>
            </w:r>
          </w:p>
        </w:tc>
      </w:tr>
      <w:tr>
        <w:tblPrEx>
          <w:tblW w:w="9135" w:type="dxa"/>
          <w:tblInd w:w="55" w:type="dxa"/>
          <w:tblCellMar>
            <w:left w:w="70" w:type="dxa"/>
            <w:right w:w="70" w:type="dxa"/>
          </w:tblCellMar>
        </w:tblPrEx>
        <w:trPr>
          <w:trHeight w:hRule="exact" w:val="227"/>
        </w:trPr>
        <w:tc>
          <w:tcPr>
            <w:tcW w:w="5775" w:type="dxa"/>
            <w:tcBorders>
              <w:top w:val="nil"/>
              <w:left w:val="single" w:sz="4" w:space="0" w:color="auto"/>
              <w:bottom w:val="single" w:sz="4" w:space="0" w:color="auto"/>
              <w:right w:val="single" w:sz="4" w:space="0" w:color="auto"/>
              <w:tl2br w:val="nil"/>
              <w:tr2bl w:val="nil"/>
            </w:tcBorders>
            <w:noWrap/>
            <w:textDirection w:val="lrTb"/>
            <w:vAlign w:val="center"/>
          </w:tcPr>
          <w:p w:rsidR="005A0FB7" w:rsidRPr="005A0FB7" w:rsidP="005A0FB7">
            <w:pPr>
              <w:spacing w:line="240" w:lineRule="auto"/>
              <w:rPr>
                <w:rFonts w:ascii="Arial Narrow" w:hAnsi="Arial Narrow" w:cs="Times New Roman"/>
                <w:b/>
                <w:bCs/>
                <w:lang w:eastAsia="sk-SK"/>
              </w:rPr>
            </w:pPr>
            <w:r w:rsidRPr="005A0FB7">
              <w:rPr>
                <w:rFonts w:ascii="Arial Narrow" w:hAnsi="Arial Narrow" w:cs="Times New Roman"/>
                <w:b/>
                <w:bCs/>
                <w:lang w:eastAsia="sk-SK"/>
              </w:rPr>
              <w:t>A.  Výdavky spolu bez prostriedkov z rozpočtu EÚ</w:t>
            </w:r>
          </w:p>
        </w:tc>
        <w:tc>
          <w:tcPr>
            <w:tcW w:w="1120" w:type="dxa"/>
            <w:tcBorders>
              <w:top w:val="nil"/>
              <w:left w:val="nil"/>
              <w:bottom w:val="single" w:sz="4" w:space="0" w:color="auto"/>
              <w:right w:val="single" w:sz="4" w:space="0" w:color="auto"/>
              <w:tl2br w:val="nil"/>
              <w:tr2bl w:val="nil"/>
            </w:tcBorders>
            <w:noWrap/>
            <w:textDirection w:val="lrTb"/>
            <w:vAlign w:val="center"/>
          </w:tcPr>
          <w:p w:rsidR="005A0FB7" w:rsidRPr="005A0FB7" w:rsidP="005A0FB7">
            <w:pPr>
              <w:spacing w:line="240" w:lineRule="auto"/>
              <w:jc w:val="right"/>
              <w:rPr>
                <w:rFonts w:ascii="Arial Narrow" w:hAnsi="Arial Narrow" w:cs="Times New Roman"/>
                <w:b/>
                <w:bCs/>
                <w:lang w:eastAsia="sk-SK"/>
              </w:rPr>
            </w:pPr>
            <w:r w:rsidRPr="005A0FB7">
              <w:rPr>
                <w:rFonts w:ascii="Arial Narrow" w:hAnsi="Arial Narrow" w:cs="Times New Roman"/>
                <w:b/>
                <w:bCs/>
                <w:lang w:eastAsia="sk-SK"/>
              </w:rPr>
              <w:t>22 541 531</w:t>
            </w:r>
          </w:p>
        </w:tc>
        <w:tc>
          <w:tcPr>
            <w:tcW w:w="1120" w:type="dxa"/>
            <w:tcBorders>
              <w:top w:val="nil"/>
              <w:left w:val="nil"/>
              <w:bottom w:val="single" w:sz="4" w:space="0" w:color="auto"/>
              <w:right w:val="single" w:sz="4" w:space="0" w:color="auto"/>
              <w:tl2br w:val="nil"/>
              <w:tr2bl w:val="nil"/>
            </w:tcBorders>
            <w:noWrap/>
            <w:textDirection w:val="lrTb"/>
            <w:vAlign w:val="center"/>
          </w:tcPr>
          <w:p w:rsidR="005A0FB7" w:rsidRPr="005A0FB7" w:rsidP="005A0FB7">
            <w:pPr>
              <w:spacing w:line="240" w:lineRule="auto"/>
              <w:jc w:val="right"/>
              <w:rPr>
                <w:rFonts w:ascii="Arial Narrow" w:hAnsi="Arial Narrow" w:cs="Times New Roman"/>
                <w:b/>
                <w:bCs/>
                <w:lang w:eastAsia="sk-SK"/>
              </w:rPr>
            </w:pPr>
            <w:r w:rsidRPr="005A0FB7">
              <w:rPr>
                <w:rFonts w:ascii="Arial Narrow" w:hAnsi="Arial Narrow" w:cs="Times New Roman"/>
                <w:b/>
                <w:bCs/>
                <w:lang w:eastAsia="sk-SK"/>
              </w:rPr>
              <w:t>26 467 994</w:t>
            </w:r>
          </w:p>
        </w:tc>
        <w:tc>
          <w:tcPr>
            <w:tcW w:w="1120" w:type="dxa"/>
            <w:tcBorders>
              <w:top w:val="nil"/>
              <w:left w:val="nil"/>
              <w:bottom w:val="single" w:sz="4" w:space="0" w:color="auto"/>
              <w:right w:val="single" w:sz="4" w:space="0" w:color="auto"/>
              <w:tl2br w:val="nil"/>
              <w:tr2bl w:val="nil"/>
            </w:tcBorders>
            <w:noWrap/>
            <w:textDirection w:val="lrTb"/>
            <w:vAlign w:val="center"/>
          </w:tcPr>
          <w:p w:rsidR="005A0FB7" w:rsidRPr="005A0FB7" w:rsidP="005A0FB7">
            <w:pPr>
              <w:spacing w:line="240" w:lineRule="auto"/>
              <w:jc w:val="right"/>
              <w:rPr>
                <w:rFonts w:ascii="Arial Narrow" w:hAnsi="Arial Narrow" w:cs="Times New Roman"/>
                <w:b/>
                <w:bCs/>
                <w:lang w:eastAsia="sk-SK"/>
              </w:rPr>
            </w:pPr>
            <w:r w:rsidRPr="005A0FB7">
              <w:rPr>
                <w:rFonts w:ascii="Arial Narrow" w:hAnsi="Arial Narrow" w:cs="Times New Roman"/>
                <w:b/>
                <w:bCs/>
                <w:lang w:eastAsia="sk-SK"/>
              </w:rPr>
              <w:t>26 516 618</w:t>
            </w:r>
          </w:p>
        </w:tc>
      </w:tr>
      <w:tr>
        <w:tblPrEx>
          <w:tblW w:w="9135" w:type="dxa"/>
          <w:tblInd w:w="55" w:type="dxa"/>
          <w:tblCellMar>
            <w:left w:w="70" w:type="dxa"/>
            <w:right w:w="70" w:type="dxa"/>
          </w:tblCellMar>
        </w:tblPrEx>
        <w:trPr>
          <w:trHeight w:hRule="exact" w:val="227"/>
        </w:trPr>
        <w:tc>
          <w:tcPr>
            <w:tcW w:w="5775" w:type="dxa"/>
            <w:tcBorders>
              <w:top w:val="nil"/>
              <w:left w:val="single" w:sz="4" w:space="0" w:color="auto"/>
              <w:bottom w:val="single" w:sz="4" w:space="0" w:color="auto"/>
              <w:right w:val="single" w:sz="4" w:space="0" w:color="auto"/>
              <w:tl2br w:val="nil"/>
              <w:tr2bl w:val="nil"/>
            </w:tcBorders>
            <w:noWrap/>
            <w:textDirection w:val="lrTb"/>
            <w:vAlign w:val="center"/>
          </w:tcPr>
          <w:p w:rsidR="005A0FB7" w:rsidRPr="005A0FB7" w:rsidP="005A0FB7">
            <w:pPr>
              <w:spacing w:line="240" w:lineRule="auto"/>
              <w:rPr>
                <w:rFonts w:ascii="Arial Narrow" w:hAnsi="Arial Narrow" w:cs="Times New Roman"/>
                <w:lang w:eastAsia="sk-SK"/>
              </w:rPr>
            </w:pPr>
            <w:r w:rsidRPr="005A0FB7">
              <w:rPr>
                <w:rFonts w:ascii="Arial Narrow" w:hAnsi="Arial Narrow" w:cs="Times New Roman"/>
                <w:lang w:eastAsia="sk-SK"/>
              </w:rPr>
              <w:t xml:space="preserve">      z toho:</w:t>
            </w:r>
          </w:p>
        </w:tc>
        <w:tc>
          <w:tcPr>
            <w:tcW w:w="1120" w:type="dxa"/>
            <w:tcBorders>
              <w:top w:val="nil"/>
              <w:left w:val="nil"/>
              <w:bottom w:val="single" w:sz="4" w:space="0" w:color="auto"/>
              <w:right w:val="single" w:sz="4" w:space="0" w:color="auto"/>
              <w:tl2br w:val="nil"/>
              <w:tr2bl w:val="nil"/>
            </w:tcBorders>
            <w:noWrap/>
            <w:textDirection w:val="lrTb"/>
            <w:vAlign w:val="center"/>
          </w:tcPr>
          <w:p w:rsidR="005A0FB7" w:rsidRPr="005A0FB7" w:rsidP="005A0FB7">
            <w:pPr>
              <w:spacing w:line="240" w:lineRule="auto"/>
              <w:jc w:val="right"/>
              <w:rPr>
                <w:rFonts w:ascii="Arial Narrow" w:hAnsi="Arial Narrow" w:cs="Times New Roman"/>
                <w:lang w:eastAsia="sk-SK"/>
              </w:rPr>
            </w:pPr>
            <w:r w:rsidRPr="005A0FB7">
              <w:rPr>
                <w:rFonts w:ascii="Arial Narrow" w:hAnsi="Arial Narrow" w:cs="Times New Roman"/>
                <w:lang w:eastAsia="sk-SK"/>
              </w:rPr>
              <w:t> </w:t>
            </w:r>
          </w:p>
        </w:tc>
        <w:tc>
          <w:tcPr>
            <w:tcW w:w="1120" w:type="dxa"/>
            <w:tcBorders>
              <w:top w:val="nil"/>
              <w:left w:val="nil"/>
              <w:bottom w:val="single" w:sz="4" w:space="0" w:color="auto"/>
              <w:right w:val="single" w:sz="4" w:space="0" w:color="auto"/>
              <w:tl2br w:val="nil"/>
              <w:tr2bl w:val="nil"/>
            </w:tcBorders>
            <w:noWrap/>
            <w:textDirection w:val="lrTb"/>
            <w:vAlign w:val="center"/>
          </w:tcPr>
          <w:p w:rsidR="005A0FB7" w:rsidRPr="005A0FB7" w:rsidP="005A0FB7">
            <w:pPr>
              <w:spacing w:line="240" w:lineRule="auto"/>
              <w:jc w:val="right"/>
              <w:rPr>
                <w:rFonts w:ascii="Arial Narrow" w:hAnsi="Arial Narrow" w:cs="Times New Roman"/>
                <w:lang w:eastAsia="sk-SK"/>
              </w:rPr>
            </w:pPr>
            <w:r w:rsidRPr="005A0FB7">
              <w:rPr>
                <w:rFonts w:ascii="Arial Narrow" w:hAnsi="Arial Narrow" w:cs="Times New Roman"/>
                <w:lang w:eastAsia="sk-SK"/>
              </w:rPr>
              <w:t> </w:t>
            </w:r>
          </w:p>
        </w:tc>
        <w:tc>
          <w:tcPr>
            <w:tcW w:w="1120" w:type="dxa"/>
            <w:tcBorders>
              <w:top w:val="nil"/>
              <w:left w:val="nil"/>
              <w:bottom w:val="single" w:sz="4" w:space="0" w:color="auto"/>
              <w:right w:val="single" w:sz="4" w:space="0" w:color="auto"/>
              <w:tl2br w:val="nil"/>
              <w:tr2bl w:val="nil"/>
            </w:tcBorders>
            <w:noWrap/>
            <w:textDirection w:val="lrTb"/>
            <w:vAlign w:val="center"/>
          </w:tcPr>
          <w:p w:rsidR="005A0FB7" w:rsidRPr="005A0FB7" w:rsidP="005A0FB7">
            <w:pPr>
              <w:spacing w:line="240" w:lineRule="auto"/>
              <w:jc w:val="right"/>
              <w:rPr>
                <w:rFonts w:ascii="Arial Narrow" w:hAnsi="Arial Narrow" w:cs="Times New Roman"/>
                <w:lang w:eastAsia="sk-SK"/>
              </w:rPr>
            </w:pPr>
            <w:r w:rsidRPr="005A0FB7">
              <w:rPr>
                <w:rFonts w:ascii="Arial Narrow" w:hAnsi="Arial Narrow" w:cs="Times New Roman"/>
                <w:lang w:eastAsia="sk-SK"/>
              </w:rPr>
              <w:t> </w:t>
            </w:r>
          </w:p>
        </w:tc>
      </w:tr>
      <w:tr>
        <w:tblPrEx>
          <w:tblW w:w="9135" w:type="dxa"/>
          <w:tblInd w:w="55" w:type="dxa"/>
          <w:tblCellMar>
            <w:left w:w="70" w:type="dxa"/>
            <w:right w:w="70" w:type="dxa"/>
          </w:tblCellMar>
        </w:tblPrEx>
        <w:trPr>
          <w:trHeight w:hRule="exact" w:val="227"/>
        </w:trPr>
        <w:tc>
          <w:tcPr>
            <w:tcW w:w="5775" w:type="dxa"/>
            <w:tcBorders>
              <w:top w:val="nil"/>
              <w:left w:val="single" w:sz="4" w:space="0" w:color="auto"/>
              <w:bottom w:val="single" w:sz="4" w:space="0" w:color="auto"/>
              <w:right w:val="single" w:sz="4" w:space="0" w:color="auto"/>
              <w:tl2br w:val="nil"/>
              <w:tr2bl w:val="nil"/>
            </w:tcBorders>
            <w:noWrap/>
            <w:textDirection w:val="lrTb"/>
            <w:vAlign w:val="center"/>
          </w:tcPr>
          <w:p w:rsidR="005A0FB7" w:rsidRPr="005A0FB7" w:rsidP="005A0FB7">
            <w:pPr>
              <w:spacing w:line="240" w:lineRule="auto"/>
              <w:rPr>
                <w:rFonts w:ascii="Arial Narrow" w:hAnsi="Arial Narrow" w:cs="Times New Roman"/>
                <w:lang w:eastAsia="sk-SK"/>
              </w:rPr>
            </w:pPr>
            <w:r w:rsidRPr="005A0FB7">
              <w:rPr>
                <w:rFonts w:ascii="Arial Narrow" w:hAnsi="Arial Narrow" w:cs="Times New Roman"/>
                <w:lang w:eastAsia="sk-SK"/>
              </w:rPr>
              <w:t>A.1. prostriedky na spolufinancovanie</w:t>
            </w:r>
          </w:p>
        </w:tc>
        <w:tc>
          <w:tcPr>
            <w:tcW w:w="1120" w:type="dxa"/>
            <w:tcBorders>
              <w:top w:val="nil"/>
              <w:left w:val="nil"/>
              <w:bottom w:val="single" w:sz="4" w:space="0" w:color="auto"/>
              <w:right w:val="single" w:sz="4" w:space="0" w:color="auto"/>
              <w:tl2br w:val="nil"/>
              <w:tr2bl w:val="nil"/>
            </w:tcBorders>
            <w:noWrap/>
            <w:textDirection w:val="lrTb"/>
            <w:vAlign w:val="center"/>
          </w:tcPr>
          <w:p w:rsidR="005A0FB7" w:rsidRPr="005A0FB7" w:rsidP="005A0FB7">
            <w:pPr>
              <w:spacing w:line="240" w:lineRule="auto"/>
              <w:jc w:val="right"/>
              <w:rPr>
                <w:rFonts w:ascii="Arial Narrow" w:hAnsi="Arial Narrow" w:cs="Times New Roman"/>
                <w:lang w:eastAsia="sk-SK"/>
              </w:rPr>
            </w:pPr>
            <w:r w:rsidRPr="005A0FB7">
              <w:rPr>
                <w:rFonts w:ascii="Arial Narrow" w:hAnsi="Arial Narrow" w:cs="Times New Roman"/>
                <w:lang w:eastAsia="sk-SK"/>
              </w:rPr>
              <w:t>926 753</w:t>
            </w:r>
          </w:p>
        </w:tc>
        <w:tc>
          <w:tcPr>
            <w:tcW w:w="1120" w:type="dxa"/>
            <w:tcBorders>
              <w:top w:val="nil"/>
              <w:left w:val="nil"/>
              <w:bottom w:val="single" w:sz="4" w:space="0" w:color="auto"/>
              <w:right w:val="single" w:sz="4" w:space="0" w:color="auto"/>
              <w:tl2br w:val="nil"/>
              <w:tr2bl w:val="nil"/>
            </w:tcBorders>
            <w:shd w:val="clear" w:color="auto" w:fill="FFFFFF"/>
            <w:noWrap/>
            <w:textDirection w:val="lrTb"/>
            <w:vAlign w:val="center"/>
          </w:tcPr>
          <w:p w:rsidR="005A0FB7" w:rsidRPr="005A0FB7" w:rsidP="005A0FB7">
            <w:pPr>
              <w:spacing w:line="240" w:lineRule="auto"/>
              <w:jc w:val="right"/>
              <w:rPr>
                <w:rFonts w:ascii="Arial Narrow" w:hAnsi="Arial Narrow" w:cs="Times New Roman"/>
                <w:lang w:eastAsia="sk-SK"/>
              </w:rPr>
            </w:pPr>
            <w:r w:rsidRPr="005A0FB7">
              <w:rPr>
                <w:rFonts w:ascii="Arial Narrow" w:hAnsi="Arial Narrow" w:cs="Times New Roman"/>
                <w:lang w:eastAsia="sk-SK"/>
              </w:rPr>
              <w:t>189 497</w:t>
            </w:r>
          </w:p>
        </w:tc>
        <w:tc>
          <w:tcPr>
            <w:tcW w:w="1120" w:type="dxa"/>
            <w:tcBorders>
              <w:top w:val="nil"/>
              <w:left w:val="nil"/>
              <w:bottom w:val="single" w:sz="4" w:space="0" w:color="auto"/>
              <w:right w:val="single" w:sz="4" w:space="0" w:color="auto"/>
              <w:tl2br w:val="nil"/>
              <w:tr2bl w:val="nil"/>
            </w:tcBorders>
            <w:shd w:val="clear" w:color="auto" w:fill="FFFFFF"/>
            <w:noWrap/>
            <w:textDirection w:val="lrTb"/>
            <w:vAlign w:val="center"/>
          </w:tcPr>
          <w:p w:rsidR="005A0FB7" w:rsidRPr="005A0FB7" w:rsidP="005A0FB7">
            <w:pPr>
              <w:spacing w:line="240" w:lineRule="auto"/>
              <w:jc w:val="right"/>
              <w:rPr>
                <w:rFonts w:ascii="Arial Narrow" w:hAnsi="Arial Narrow" w:cs="Times New Roman"/>
                <w:lang w:eastAsia="sk-SK"/>
              </w:rPr>
            </w:pPr>
            <w:r w:rsidRPr="005A0FB7">
              <w:rPr>
                <w:rFonts w:ascii="Arial Narrow" w:hAnsi="Arial Narrow" w:cs="Times New Roman"/>
                <w:lang w:eastAsia="sk-SK"/>
              </w:rPr>
              <w:t>189 459</w:t>
            </w:r>
          </w:p>
        </w:tc>
      </w:tr>
      <w:tr>
        <w:tblPrEx>
          <w:tblW w:w="9135" w:type="dxa"/>
          <w:tblInd w:w="55" w:type="dxa"/>
          <w:tblCellMar>
            <w:left w:w="70" w:type="dxa"/>
            <w:right w:w="70" w:type="dxa"/>
          </w:tblCellMar>
        </w:tblPrEx>
        <w:trPr>
          <w:trHeight w:hRule="exact" w:val="227"/>
        </w:trPr>
        <w:tc>
          <w:tcPr>
            <w:tcW w:w="5775" w:type="dxa"/>
            <w:tcBorders>
              <w:top w:val="nil"/>
              <w:left w:val="single" w:sz="4" w:space="0" w:color="auto"/>
              <w:bottom w:val="single" w:sz="4" w:space="0" w:color="auto"/>
              <w:right w:val="single" w:sz="4" w:space="0" w:color="auto"/>
              <w:tl2br w:val="nil"/>
              <w:tr2bl w:val="nil"/>
            </w:tcBorders>
            <w:noWrap/>
            <w:textDirection w:val="lrTb"/>
            <w:vAlign w:val="center"/>
          </w:tcPr>
          <w:p w:rsidR="005A0FB7" w:rsidRPr="005A0FB7" w:rsidP="005A0FB7">
            <w:pPr>
              <w:spacing w:line="240" w:lineRule="auto"/>
              <w:rPr>
                <w:rFonts w:ascii="Arial Narrow" w:hAnsi="Arial Narrow" w:cs="Times New Roman"/>
                <w:lang w:eastAsia="sk-SK"/>
              </w:rPr>
            </w:pPr>
            <w:r w:rsidR="00383226">
              <w:rPr>
                <w:rFonts w:ascii="Arial Narrow" w:hAnsi="Arial Narrow" w:cs="Times New Roman"/>
                <w:lang w:eastAsia="sk-SK"/>
              </w:rPr>
              <w:t xml:space="preserve">       z predchádzajúcich </w:t>
            </w:r>
            <w:r w:rsidRPr="005A0FB7">
              <w:rPr>
                <w:rFonts w:ascii="Arial Narrow" w:hAnsi="Arial Narrow" w:cs="Times New Roman"/>
                <w:lang w:eastAsia="sk-SK"/>
              </w:rPr>
              <w:t>rokov (kód zdroja 1352,1392,13C5,1362)</w:t>
            </w:r>
          </w:p>
        </w:tc>
        <w:tc>
          <w:tcPr>
            <w:tcW w:w="1120" w:type="dxa"/>
            <w:tcBorders>
              <w:top w:val="nil"/>
              <w:left w:val="nil"/>
              <w:bottom w:val="single" w:sz="4" w:space="0" w:color="auto"/>
              <w:right w:val="single" w:sz="4" w:space="0" w:color="auto"/>
              <w:tl2br w:val="nil"/>
              <w:tr2bl w:val="nil"/>
            </w:tcBorders>
            <w:noWrap/>
            <w:textDirection w:val="lrTb"/>
            <w:vAlign w:val="center"/>
          </w:tcPr>
          <w:p w:rsidR="005A0FB7" w:rsidRPr="005A0FB7" w:rsidP="005A0FB7">
            <w:pPr>
              <w:spacing w:line="240" w:lineRule="auto"/>
              <w:jc w:val="right"/>
              <w:rPr>
                <w:rFonts w:ascii="Arial Narrow" w:hAnsi="Arial Narrow" w:cs="Times New Roman"/>
                <w:lang w:eastAsia="sk-SK"/>
              </w:rPr>
            </w:pPr>
            <w:r w:rsidRPr="005A0FB7">
              <w:rPr>
                <w:rFonts w:ascii="Arial Narrow" w:hAnsi="Arial Narrow" w:cs="Times New Roman"/>
                <w:lang w:eastAsia="sk-SK"/>
              </w:rPr>
              <w:t>0</w:t>
            </w:r>
          </w:p>
        </w:tc>
        <w:tc>
          <w:tcPr>
            <w:tcW w:w="1120" w:type="dxa"/>
            <w:tcBorders>
              <w:top w:val="nil"/>
              <w:left w:val="nil"/>
              <w:bottom w:val="single" w:sz="4" w:space="0" w:color="auto"/>
              <w:right w:val="single" w:sz="4" w:space="0" w:color="auto"/>
              <w:tl2br w:val="nil"/>
              <w:tr2bl w:val="nil"/>
            </w:tcBorders>
            <w:noWrap/>
            <w:textDirection w:val="lrTb"/>
            <w:vAlign w:val="center"/>
          </w:tcPr>
          <w:p w:rsidR="005A0FB7" w:rsidRPr="005A0FB7" w:rsidP="005A0FB7">
            <w:pPr>
              <w:spacing w:line="240" w:lineRule="auto"/>
              <w:jc w:val="right"/>
              <w:rPr>
                <w:rFonts w:ascii="Arial Narrow" w:hAnsi="Arial Narrow" w:cs="Times New Roman"/>
                <w:lang w:eastAsia="sk-SK"/>
              </w:rPr>
            </w:pPr>
            <w:r w:rsidRPr="005A0FB7">
              <w:rPr>
                <w:rFonts w:ascii="Arial Narrow" w:hAnsi="Arial Narrow" w:cs="Times New Roman"/>
                <w:lang w:eastAsia="sk-SK"/>
              </w:rPr>
              <w:t>1 502 373</w:t>
            </w:r>
          </w:p>
        </w:tc>
        <w:tc>
          <w:tcPr>
            <w:tcW w:w="1120" w:type="dxa"/>
            <w:tcBorders>
              <w:top w:val="nil"/>
              <w:left w:val="nil"/>
              <w:bottom w:val="single" w:sz="4" w:space="0" w:color="auto"/>
              <w:right w:val="single" w:sz="4" w:space="0" w:color="auto"/>
              <w:tl2br w:val="nil"/>
              <w:tr2bl w:val="nil"/>
            </w:tcBorders>
            <w:noWrap/>
            <w:textDirection w:val="lrTb"/>
            <w:vAlign w:val="center"/>
          </w:tcPr>
          <w:p w:rsidR="005A0FB7" w:rsidRPr="005A0FB7" w:rsidP="005A0FB7">
            <w:pPr>
              <w:spacing w:line="240" w:lineRule="auto"/>
              <w:jc w:val="right"/>
              <w:rPr>
                <w:rFonts w:ascii="Arial Narrow" w:hAnsi="Arial Narrow" w:cs="Times New Roman"/>
                <w:lang w:eastAsia="sk-SK"/>
              </w:rPr>
            </w:pPr>
            <w:r w:rsidRPr="005A0FB7">
              <w:rPr>
                <w:rFonts w:ascii="Arial Narrow" w:hAnsi="Arial Narrow" w:cs="Times New Roman"/>
                <w:lang w:eastAsia="sk-SK"/>
              </w:rPr>
              <w:t>1 502 358</w:t>
            </w:r>
          </w:p>
        </w:tc>
      </w:tr>
      <w:tr>
        <w:tblPrEx>
          <w:tblW w:w="9135" w:type="dxa"/>
          <w:tblInd w:w="55" w:type="dxa"/>
          <w:tblCellMar>
            <w:left w:w="70" w:type="dxa"/>
            <w:right w:w="70" w:type="dxa"/>
          </w:tblCellMar>
        </w:tblPrEx>
        <w:trPr>
          <w:trHeight w:hRule="exact" w:val="227"/>
        </w:trPr>
        <w:tc>
          <w:tcPr>
            <w:tcW w:w="5775" w:type="dxa"/>
            <w:tcBorders>
              <w:top w:val="nil"/>
              <w:left w:val="single" w:sz="4" w:space="0" w:color="auto"/>
              <w:bottom w:val="single" w:sz="4" w:space="0" w:color="auto"/>
              <w:right w:val="single" w:sz="4" w:space="0" w:color="auto"/>
              <w:tl2br w:val="nil"/>
              <w:tr2bl w:val="nil"/>
            </w:tcBorders>
            <w:noWrap/>
            <w:textDirection w:val="lrTb"/>
            <w:vAlign w:val="center"/>
          </w:tcPr>
          <w:p w:rsidR="00D87EEC" w:rsidP="005A0FB7">
            <w:pPr>
              <w:spacing w:line="240" w:lineRule="auto"/>
              <w:rPr>
                <w:rFonts w:ascii="Arial Narrow" w:hAnsi="Arial Narrow" w:cs="Times New Roman"/>
                <w:lang w:eastAsia="sk-SK"/>
              </w:rPr>
            </w:pPr>
            <w:r>
              <w:rPr>
                <w:rFonts w:ascii="Arial Narrow" w:hAnsi="Arial Narrow" w:cs="Times New Roman"/>
                <w:lang w:eastAsia="sk-SK"/>
              </w:rPr>
              <w:t xml:space="preserve">       na Schengenský priestor  (kód zdroja 11A6)</w:t>
            </w:r>
          </w:p>
        </w:tc>
        <w:tc>
          <w:tcPr>
            <w:tcW w:w="1120" w:type="dxa"/>
            <w:tcBorders>
              <w:top w:val="nil"/>
              <w:left w:val="nil"/>
              <w:bottom w:val="single" w:sz="4" w:space="0" w:color="auto"/>
              <w:right w:val="single" w:sz="4" w:space="0" w:color="auto"/>
              <w:tl2br w:val="nil"/>
              <w:tr2bl w:val="nil"/>
            </w:tcBorders>
            <w:noWrap/>
            <w:textDirection w:val="lrTb"/>
            <w:vAlign w:val="center"/>
          </w:tcPr>
          <w:p w:rsidR="00D87EEC" w:rsidRPr="005A0FB7" w:rsidP="005A0FB7">
            <w:pPr>
              <w:spacing w:line="240" w:lineRule="auto"/>
              <w:jc w:val="right"/>
              <w:rPr>
                <w:rFonts w:ascii="Arial Narrow" w:hAnsi="Arial Narrow" w:cs="Times New Roman"/>
                <w:lang w:eastAsia="sk-SK"/>
              </w:rPr>
            </w:pPr>
            <w:r>
              <w:rPr>
                <w:rFonts w:ascii="Arial Narrow" w:hAnsi="Arial Narrow" w:cs="Times New Roman"/>
                <w:lang w:eastAsia="sk-SK"/>
              </w:rPr>
              <w:t>0</w:t>
            </w:r>
          </w:p>
        </w:tc>
        <w:tc>
          <w:tcPr>
            <w:tcW w:w="1120" w:type="dxa"/>
            <w:tcBorders>
              <w:top w:val="nil"/>
              <w:left w:val="nil"/>
              <w:bottom w:val="single" w:sz="4" w:space="0" w:color="auto"/>
              <w:right w:val="single" w:sz="4" w:space="0" w:color="auto"/>
              <w:tl2br w:val="nil"/>
              <w:tr2bl w:val="nil"/>
            </w:tcBorders>
            <w:noWrap/>
            <w:textDirection w:val="lrTb"/>
            <w:vAlign w:val="center"/>
          </w:tcPr>
          <w:p w:rsidR="00D87EEC" w:rsidRPr="005A0FB7" w:rsidP="005A0FB7">
            <w:pPr>
              <w:spacing w:line="240" w:lineRule="auto"/>
              <w:jc w:val="right"/>
              <w:rPr>
                <w:rFonts w:ascii="Arial Narrow" w:hAnsi="Arial Narrow" w:cs="Times New Roman"/>
                <w:lang w:eastAsia="sk-SK"/>
              </w:rPr>
            </w:pPr>
            <w:r>
              <w:rPr>
                <w:rFonts w:ascii="Arial Narrow" w:hAnsi="Arial Narrow" w:cs="Times New Roman"/>
                <w:lang w:eastAsia="sk-SK"/>
              </w:rPr>
              <w:t>164 563</w:t>
            </w:r>
          </w:p>
        </w:tc>
        <w:tc>
          <w:tcPr>
            <w:tcW w:w="1120" w:type="dxa"/>
            <w:tcBorders>
              <w:top w:val="nil"/>
              <w:left w:val="nil"/>
              <w:bottom w:val="single" w:sz="4" w:space="0" w:color="auto"/>
              <w:right w:val="single" w:sz="4" w:space="0" w:color="auto"/>
              <w:tl2br w:val="nil"/>
              <w:tr2bl w:val="nil"/>
            </w:tcBorders>
            <w:noWrap/>
            <w:textDirection w:val="lrTb"/>
            <w:vAlign w:val="center"/>
          </w:tcPr>
          <w:p w:rsidR="00D87EEC" w:rsidRPr="005A0FB7" w:rsidP="005A0FB7">
            <w:pPr>
              <w:spacing w:line="240" w:lineRule="auto"/>
              <w:jc w:val="right"/>
              <w:rPr>
                <w:rFonts w:ascii="Arial Narrow" w:hAnsi="Arial Narrow" w:cs="Times New Roman"/>
                <w:lang w:eastAsia="sk-SK"/>
              </w:rPr>
            </w:pPr>
            <w:r>
              <w:rPr>
                <w:rFonts w:ascii="Arial Narrow" w:hAnsi="Arial Narrow" w:cs="Times New Roman"/>
                <w:lang w:eastAsia="sk-SK"/>
              </w:rPr>
              <w:t>164 563</w:t>
            </w:r>
          </w:p>
        </w:tc>
      </w:tr>
      <w:tr>
        <w:tblPrEx>
          <w:tblW w:w="9135" w:type="dxa"/>
          <w:tblInd w:w="55" w:type="dxa"/>
          <w:tblCellMar>
            <w:left w:w="70" w:type="dxa"/>
            <w:right w:w="70" w:type="dxa"/>
          </w:tblCellMar>
        </w:tblPrEx>
        <w:trPr>
          <w:trHeight w:hRule="exact" w:val="227"/>
        </w:trPr>
        <w:tc>
          <w:tcPr>
            <w:tcW w:w="5775" w:type="dxa"/>
            <w:tcBorders>
              <w:top w:val="nil"/>
              <w:left w:val="single" w:sz="4" w:space="0" w:color="auto"/>
              <w:bottom w:val="single" w:sz="4" w:space="0" w:color="auto"/>
              <w:right w:val="single" w:sz="4" w:space="0" w:color="auto"/>
              <w:tl2br w:val="nil"/>
              <w:tr2bl w:val="nil"/>
            </w:tcBorders>
            <w:noWrap/>
            <w:textDirection w:val="lrTb"/>
            <w:vAlign w:val="center"/>
          </w:tcPr>
          <w:p w:rsidR="005A0FB7" w:rsidRPr="005A0FB7" w:rsidP="005A0FB7">
            <w:pPr>
              <w:spacing w:line="240" w:lineRule="auto"/>
              <w:rPr>
                <w:rFonts w:ascii="Arial Narrow" w:hAnsi="Arial Narrow" w:cs="Times New Roman"/>
                <w:lang w:eastAsia="sk-SK"/>
              </w:rPr>
            </w:pPr>
            <w:r w:rsidRPr="005A0FB7">
              <w:rPr>
                <w:rFonts w:ascii="Arial Narrow" w:hAnsi="Arial Narrow" w:cs="Times New Roman"/>
                <w:lang w:eastAsia="sk-SK"/>
              </w:rPr>
              <w:t>A.2. mzdy, platy, služobné príjmy a</w:t>
            </w:r>
            <w:r w:rsidR="00383226">
              <w:rPr>
                <w:rFonts w:ascii="Arial Narrow" w:hAnsi="Arial Narrow" w:cs="Times New Roman"/>
                <w:lang w:eastAsia="sk-SK"/>
              </w:rPr>
              <w:t> </w:t>
            </w:r>
            <w:r w:rsidRPr="005A0FB7">
              <w:rPr>
                <w:rFonts w:ascii="Arial Narrow" w:hAnsi="Arial Narrow" w:cs="Times New Roman"/>
                <w:lang w:eastAsia="sk-SK"/>
              </w:rPr>
              <w:t>O</w:t>
            </w:r>
            <w:r w:rsidR="00383226">
              <w:rPr>
                <w:rFonts w:ascii="Arial Narrow" w:hAnsi="Arial Narrow" w:cs="Times New Roman"/>
                <w:lang w:eastAsia="sk-SK"/>
              </w:rPr>
              <w:t>OV</w:t>
            </w:r>
          </w:p>
        </w:tc>
        <w:tc>
          <w:tcPr>
            <w:tcW w:w="1120" w:type="dxa"/>
            <w:tcBorders>
              <w:top w:val="nil"/>
              <w:left w:val="nil"/>
              <w:bottom w:val="single" w:sz="4" w:space="0" w:color="auto"/>
              <w:right w:val="single" w:sz="4" w:space="0" w:color="auto"/>
              <w:tl2br w:val="nil"/>
              <w:tr2bl w:val="nil"/>
            </w:tcBorders>
            <w:noWrap/>
            <w:textDirection w:val="lrTb"/>
            <w:vAlign w:val="center"/>
          </w:tcPr>
          <w:p w:rsidR="005A0FB7" w:rsidRPr="005A0FB7" w:rsidP="005A0FB7">
            <w:pPr>
              <w:spacing w:line="240" w:lineRule="auto"/>
              <w:jc w:val="right"/>
              <w:rPr>
                <w:rFonts w:ascii="Arial Narrow" w:hAnsi="Arial Narrow" w:cs="Times New Roman"/>
                <w:lang w:eastAsia="sk-SK"/>
              </w:rPr>
            </w:pPr>
            <w:r w:rsidRPr="005A0FB7">
              <w:rPr>
                <w:rFonts w:ascii="Arial Narrow" w:hAnsi="Arial Narrow" w:cs="Times New Roman"/>
                <w:lang w:eastAsia="sk-SK"/>
              </w:rPr>
              <w:t> </w:t>
            </w:r>
          </w:p>
        </w:tc>
        <w:tc>
          <w:tcPr>
            <w:tcW w:w="1120" w:type="dxa"/>
            <w:tcBorders>
              <w:top w:val="nil"/>
              <w:left w:val="nil"/>
              <w:bottom w:val="single" w:sz="4" w:space="0" w:color="auto"/>
              <w:right w:val="single" w:sz="4" w:space="0" w:color="auto"/>
              <w:tl2br w:val="nil"/>
              <w:tr2bl w:val="nil"/>
            </w:tcBorders>
            <w:noWrap/>
            <w:textDirection w:val="lrTb"/>
            <w:vAlign w:val="center"/>
          </w:tcPr>
          <w:p w:rsidR="005A0FB7" w:rsidRPr="005A0FB7" w:rsidP="005A0FB7">
            <w:pPr>
              <w:spacing w:line="240" w:lineRule="auto"/>
              <w:jc w:val="right"/>
              <w:rPr>
                <w:rFonts w:ascii="Arial Narrow" w:hAnsi="Arial Narrow" w:cs="Times New Roman"/>
                <w:lang w:eastAsia="sk-SK"/>
              </w:rPr>
            </w:pPr>
            <w:r w:rsidRPr="005A0FB7">
              <w:rPr>
                <w:rFonts w:ascii="Arial Narrow" w:hAnsi="Arial Narrow" w:cs="Times New Roman"/>
                <w:lang w:eastAsia="sk-SK"/>
              </w:rPr>
              <w:t> </w:t>
            </w:r>
          </w:p>
        </w:tc>
        <w:tc>
          <w:tcPr>
            <w:tcW w:w="1120" w:type="dxa"/>
            <w:tcBorders>
              <w:top w:val="nil"/>
              <w:left w:val="nil"/>
              <w:bottom w:val="single" w:sz="4" w:space="0" w:color="auto"/>
              <w:right w:val="single" w:sz="4" w:space="0" w:color="auto"/>
              <w:tl2br w:val="nil"/>
              <w:tr2bl w:val="nil"/>
            </w:tcBorders>
            <w:noWrap/>
            <w:textDirection w:val="lrTb"/>
            <w:vAlign w:val="center"/>
          </w:tcPr>
          <w:p w:rsidR="005A0FB7" w:rsidRPr="005A0FB7" w:rsidP="005A0FB7">
            <w:pPr>
              <w:spacing w:line="240" w:lineRule="auto"/>
              <w:jc w:val="right"/>
              <w:rPr>
                <w:rFonts w:ascii="Arial Narrow" w:hAnsi="Arial Narrow" w:cs="Times New Roman"/>
                <w:lang w:eastAsia="sk-SK"/>
              </w:rPr>
            </w:pPr>
          </w:p>
        </w:tc>
      </w:tr>
      <w:tr>
        <w:tblPrEx>
          <w:tblW w:w="9135" w:type="dxa"/>
          <w:tblInd w:w="55" w:type="dxa"/>
          <w:tblCellMar>
            <w:left w:w="70" w:type="dxa"/>
            <w:right w:w="70" w:type="dxa"/>
          </w:tblCellMar>
        </w:tblPrEx>
        <w:trPr>
          <w:trHeight w:hRule="exact" w:val="227"/>
        </w:trPr>
        <w:tc>
          <w:tcPr>
            <w:tcW w:w="5775" w:type="dxa"/>
            <w:tcBorders>
              <w:top w:val="nil"/>
              <w:left w:val="single" w:sz="4" w:space="0" w:color="auto"/>
              <w:bottom w:val="single" w:sz="4" w:space="0" w:color="auto"/>
              <w:right w:val="single" w:sz="4" w:space="0" w:color="auto"/>
              <w:tl2br w:val="nil"/>
              <w:tr2bl w:val="nil"/>
            </w:tcBorders>
            <w:noWrap/>
            <w:textDirection w:val="lrTb"/>
            <w:vAlign w:val="center"/>
          </w:tcPr>
          <w:p w:rsidR="005A0FB7" w:rsidRPr="005A0FB7" w:rsidP="005A0FB7">
            <w:pPr>
              <w:spacing w:line="240" w:lineRule="auto"/>
              <w:rPr>
                <w:rFonts w:ascii="Arial Narrow" w:hAnsi="Arial Narrow" w:cs="Times New Roman"/>
                <w:lang w:eastAsia="sk-SK"/>
              </w:rPr>
            </w:pPr>
            <w:r w:rsidRPr="005A0FB7">
              <w:rPr>
                <w:rFonts w:ascii="Arial Narrow" w:hAnsi="Arial Narrow" w:cs="Times New Roman"/>
                <w:lang w:eastAsia="sk-SK"/>
              </w:rPr>
              <w:t xml:space="preserve">       (kód zdroja 111)</w:t>
            </w:r>
          </w:p>
        </w:tc>
        <w:tc>
          <w:tcPr>
            <w:tcW w:w="1120" w:type="dxa"/>
            <w:tcBorders>
              <w:top w:val="nil"/>
              <w:left w:val="nil"/>
              <w:bottom w:val="single" w:sz="4" w:space="0" w:color="auto"/>
              <w:right w:val="single" w:sz="4" w:space="0" w:color="auto"/>
              <w:tl2br w:val="nil"/>
              <w:tr2bl w:val="nil"/>
            </w:tcBorders>
            <w:noWrap/>
            <w:textDirection w:val="lrTb"/>
            <w:vAlign w:val="center"/>
          </w:tcPr>
          <w:p w:rsidR="005A0FB7" w:rsidRPr="005A0FB7" w:rsidP="005A0FB7">
            <w:pPr>
              <w:spacing w:line="240" w:lineRule="auto"/>
              <w:jc w:val="right"/>
              <w:rPr>
                <w:rFonts w:ascii="Arial Narrow" w:hAnsi="Arial Narrow" w:cs="Times New Roman"/>
                <w:lang w:eastAsia="sk-SK"/>
              </w:rPr>
            </w:pPr>
            <w:r w:rsidRPr="005A0FB7">
              <w:rPr>
                <w:rFonts w:ascii="Arial Narrow" w:hAnsi="Arial Narrow" w:cs="Times New Roman"/>
                <w:lang w:eastAsia="sk-SK"/>
              </w:rPr>
              <w:t>844 351</w:t>
            </w:r>
          </w:p>
        </w:tc>
        <w:tc>
          <w:tcPr>
            <w:tcW w:w="1120" w:type="dxa"/>
            <w:tcBorders>
              <w:top w:val="nil"/>
              <w:left w:val="nil"/>
              <w:bottom w:val="single" w:sz="4" w:space="0" w:color="auto"/>
              <w:right w:val="single" w:sz="4" w:space="0" w:color="auto"/>
              <w:tl2br w:val="nil"/>
              <w:tr2bl w:val="nil"/>
            </w:tcBorders>
            <w:noWrap/>
            <w:textDirection w:val="lrTb"/>
            <w:vAlign w:val="center"/>
          </w:tcPr>
          <w:p w:rsidR="005A0FB7" w:rsidRPr="005A0FB7" w:rsidP="005A0FB7">
            <w:pPr>
              <w:spacing w:line="240" w:lineRule="auto"/>
              <w:jc w:val="right"/>
              <w:rPr>
                <w:rFonts w:ascii="Arial Narrow" w:hAnsi="Arial Narrow" w:cs="Times New Roman"/>
                <w:lang w:eastAsia="sk-SK"/>
              </w:rPr>
            </w:pPr>
            <w:r w:rsidRPr="005A0FB7">
              <w:rPr>
                <w:rFonts w:ascii="Arial Narrow" w:hAnsi="Arial Narrow" w:cs="Times New Roman"/>
                <w:lang w:eastAsia="sk-SK"/>
              </w:rPr>
              <w:t>867 895</w:t>
            </w:r>
          </w:p>
        </w:tc>
        <w:tc>
          <w:tcPr>
            <w:tcW w:w="1120" w:type="dxa"/>
            <w:tcBorders>
              <w:top w:val="nil"/>
              <w:left w:val="nil"/>
              <w:bottom w:val="single" w:sz="4" w:space="0" w:color="auto"/>
              <w:right w:val="single" w:sz="4" w:space="0" w:color="auto"/>
              <w:tl2br w:val="nil"/>
              <w:tr2bl w:val="nil"/>
            </w:tcBorders>
            <w:noWrap/>
            <w:textDirection w:val="lrTb"/>
            <w:vAlign w:val="center"/>
          </w:tcPr>
          <w:p w:rsidR="005A0FB7" w:rsidRPr="005A0FB7" w:rsidP="005A0FB7">
            <w:pPr>
              <w:spacing w:line="240" w:lineRule="auto"/>
              <w:jc w:val="right"/>
              <w:rPr>
                <w:rFonts w:ascii="Arial Narrow" w:hAnsi="Arial Narrow" w:cs="Times New Roman"/>
                <w:lang w:eastAsia="sk-SK"/>
              </w:rPr>
            </w:pPr>
            <w:r w:rsidRPr="005A0FB7">
              <w:rPr>
                <w:rFonts w:ascii="Arial Narrow" w:hAnsi="Arial Narrow" w:cs="Times New Roman"/>
                <w:lang w:eastAsia="sk-SK"/>
              </w:rPr>
              <w:t>867</w:t>
            </w:r>
            <w:r w:rsidRPr="005A0FB7">
              <w:rPr>
                <w:rFonts w:ascii="Arial Narrow" w:hAnsi="Arial Narrow" w:cs="Times New Roman"/>
                <w:lang w:eastAsia="sk-SK"/>
              </w:rPr>
              <w:t xml:space="preserve"> 461</w:t>
            </w:r>
          </w:p>
        </w:tc>
      </w:tr>
      <w:tr>
        <w:tblPrEx>
          <w:tblW w:w="9135" w:type="dxa"/>
          <w:tblInd w:w="55" w:type="dxa"/>
          <w:tblCellMar>
            <w:left w:w="70" w:type="dxa"/>
            <w:right w:w="70" w:type="dxa"/>
          </w:tblCellMar>
        </w:tblPrEx>
        <w:trPr>
          <w:trHeight w:hRule="exact" w:val="227"/>
        </w:trPr>
        <w:tc>
          <w:tcPr>
            <w:tcW w:w="5775" w:type="dxa"/>
            <w:tcBorders>
              <w:top w:val="nil"/>
              <w:left w:val="single" w:sz="4" w:space="0" w:color="auto"/>
              <w:bottom w:val="single" w:sz="4" w:space="0" w:color="auto"/>
              <w:right w:val="single" w:sz="4" w:space="0" w:color="auto"/>
              <w:tl2br w:val="nil"/>
              <w:tr2bl w:val="nil"/>
            </w:tcBorders>
            <w:noWrap/>
            <w:textDirection w:val="lrTb"/>
            <w:vAlign w:val="center"/>
          </w:tcPr>
          <w:p w:rsidR="00403178" w:rsidRPr="005A0FB7" w:rsidP="005A0FB7">
            <w:pPr>
              <w:spacing w:line="240" w:lineRule="auto"/>
              <w:rPr>
                <w:rFonts w:ascii="Arial Narrow" w:hAnsi="Arial Narrow" w:cs="Times New Roman"/>
                <w:lang w:eastAsia="sk-SK"/>
              </w:rPr>
            </w:pPr>
            <w:r>
              <w:rPr>
                <w:rFonts w:ascii="Arial Narrow" w:hAnsi="Arial Narrow" w:cs="Times New Roman"/>
                <w:lang w:eastAsia="sk-SK"/>
              </w:rPr>
              <w:t xml:space="preserve">       (kód zdroja 1152</w:t>
            </w:r>
            <w:r w:rsidRPr="005A0FB7">
              <w:rPr>
                <w:rFonts w:ascii="Arial Narrow" w:hAnsi="Arial Narrow" w:cs="Times New Roman"/>
                <w:lang w:eastAsia="sk-SK"/>
              </w:rPr>
              <w:t>)</w:t>
            </w:r>
          </w:p>
        </w:tc>
        <w:tc>
          <w:tcPr>
            <w:tcW w:w="1120" w:type="dxa"/>
            <w:tcBorders>
              <w:top w:val="nil"/>
              <w:left w:val="nil"/>
              <w:bottom w:val="single" w:sz="4" w:space="0" w:color="auto"/>
              <w:right w:val="single" w:sz="4" w:space="0" w:color="auto"/>
              <w:tl2br w:val="nil"/>
              <w:tr2bl w:val="nil"/>
            </w:tcBorders>
            <w:noWrap/>
            <w:textDirection w:val="lrTb"/>
            <w:vAlign w:val="center"/>
          </w:tcPr>
          <w:p w:rsidR="00403178" w:rsidRPr="005A0FB7" w:rsidP="005A0FB7">
            <w:pPr>
              <w:spacing w:line="240" w:lineRule="auto"/>
              <w:jc w:val="right"/>
              <w:rPr>
                <w:rFonts w:ascii="Arial Narrow" w:hAnsi="Arial Narrow" w:cs="Times New Roman"/>
                <w:lang w:eastAsia="sk-SK"/>
              </w:rPr>
            </w:pPr>
            <w:r w:rsidR="001079AF">
              <w:rPr>
                <w:rFonts w:ascii="Arial Narrow" w:hAnsi="Arial Narrow" w:cs="Times New Roman"/>
                <w:lang w:eastAsia="sk-SK"/>
              </w:rPr>
              <w:t>0</w:t>
            </w:r>
          </w:p>
        </w:tc>
        <w:tc>
          <w:tcPr>
            <w:tcW w:w="1120" w:type="dxa"/>
            <w:tcBorders>
              <w:top w:val="nil"/>
              <w:left w:val="nil"/>
              <w:bottom w:val="single" w:sz="4" w:space="0" w:color="auto"/>
              <w:right w:val="single" w:sz="4" w:space="0" w:color="auto"/>
              <w:tl2br w:val="nil"/>
              <w:tr2bl w:val="nil"/>
            </w:tcBorders>
            <w:noWrap/>
            <w:textDirection w:val="lrTb"/>
            <w:vAlign w:val="center"/>
          </w:tcPr>
          <w:p w:rsidR="00403178" w:rsidRPr="005A0FB7" w:rsidP="005A0FB7">
            <w:pPr>
              <w:spacing w:line="240" w:lineRule="auto"/>
              <w:jc w:val="right"/>
              <w:rPr>
                <w:rFonts w:ascii="Arial Narrow" w:hAnsi="Arial Narrow" w:cs="Times New Roman"/>
                <w:lang w:eastAsia="sk-SK"/>
              </w:rPr>
            </w:pPr>
            <w:r w:rsidR="001079AF">
              <w:rPr>
                <w:rFonts w:ascii="Arial Narrow" w:hAnsi="Arial Narrow" w:cs="Times New Roman"/>
                <w:lang w:eastAsia="sk-SK"/>
              </w:rPr>
              <w:t>2 699</w:t>
            </w:r>
          </w:p>
        </w:tc>
        <w:tc>
          <w:tcPr>
            <w:tcW w:w="1120" w:type="dxa"/>
            <w:tcBorders>
              <w:top w:val="nil"/>
              <w:left w:val="nil"/>
              <w:bottom w:val="single" w:sz="4" w:space="0" w:color="auto"/>
              <w:right w:val="single" w:sz="4" w:space="0" w:color="auto"/>
              <w:tl2br w:val="nil"/>
              <w:tr2bl w:val="nil"/>
            </w:tcBorders>
            <w:noWrap/>
            <w:textDirection w:val="lrTb"/>
            <w:vAlign w:val="center"/>
          </w:tcPr>
          <w:p w:rsidR="00403178" w:rsidRPr="005A0FB7" w:rsidP="005A0FB7">
            <w:pPr>
              <w:spacing w:line="240" w:lineRule="auto"/>
              <w:jc w:val="right"/>
              <w:rPr>
                <w:rFonts w:ascii="Arial Narrow" w:hAnsi="Arial Narrow" w:cs="Times New Roman"/>
                <w:lang w:eastAsia="sk-SK"/>
              </w:rPr>
            </w:pPr>
            <w:r w:rsidR="001079AF">
              <w:rPr>
                <w:rFonts w:ascii="Arial Narrow" w:hAnsi="Arial Narrow" w:cs="Times New Roman"/>
                <w:lang w:eastAsia="sk-SK"/>
              </w:rPr>
              <w:t>2 699</w:t>
            </w:r>
          </w:p>
        </w:tc>
      </w:tr>
      <w:tr>
        <w:tblPrEx>
          <w:tblW w:w="9135" w:type="dxa"/>
          <w:tblInd w:w="55" w:type="dxa"/>
          <w:tblCellMar>
            <w:left w:w="70" w:type="dxa"/>
            <w:right w:w="70" w:type="dxa"/>
          </w:tblCellMar>
        </w:tblPrEx>
        <w:trPr>
          <w:trHeight w:hRule="exact" w:val="227"/>
        </w:trPr>
        <w:tc>
          <w:tcPr>
            <w:tcW w:w="5775" w:type="dxa"/>
            <w:tcBorders>
              <w:top w:val="nil"/>
              <w:left w:val="single" w:sz="4" w:space="0" w:color="auto"/>
              <w:bottom w:val="single" w:sz="4" w:space="0" w:color="auto"/>
              <w:right w:val="single" w:sz="4" w:space="0" w:color="auto"/>
              <w:tl2br w:val="nil"/>
              <w:tr2bl w:val="nil"/>
            </w:tcBorders>
            <w:noWrap/>
            <w:textDirection w:val="lrTb"/>
            <w:vAlign w:val="center"/>
          </w:tcPr>
          <w:p w:rsidR="00403178" w:rsidRPr="005A0FB7" w:rsidP="005A0FB7">
            <w:pPr>
              <w:spacing w:line="240" w:lineRule="auto"/>
              <w:rPr>
                <w:rFonts w:ascii="Arial Narrow" w:hAnsi="Arial Narrow" w:cs="Times New Roman"/>
                <w:lang w:eastAsia="sk-SK"/>
              </w:rPr>
            </w:pPr>
            <w:r>
              <w:rPr>
                <w:rFonts w:ascii="Arial Narrow" w:hAnsi="Arial Narrow" w:cs="Times New Roman"/>
                <w:lang w:eastAsia="sk-SK"/>
              </w:rPr>
              <w:t xml:space="preserve">       (kód zdroja 1352</w:t>
            </w:r>
            <w:r w:rsidRPr="005A0FB7">
              <w:rPr>
                <w:rFonts w:ascii="Arial Narrow" w:hAnsi="Arial Narrow" w:cs="Times New Roman"/>
                <w:lang w:eastAsia="sk-SK"/>
              </w:rPr>
              <w:t>)</w:t>
            </w:r>
          </w:p>
        </w:tc>
        <w:tc>
          <w:tcPr>
            <w:tcW w:w="1120" w:type="dxa"/>
            <w:tcBorders>
              <w:top w:val="nil"/>
              <w:left w:val="nil"/>
              <w:bottom w:val="single" w:sz="4" w:space="0" w:color="auto"/>
              <w:right w:val="single" w:sz="4" w:space="0" w:color="auto"/>
              <w:tl2br w:val="nil"/>
              <w:tr2bl w:val="nil"/>
            </w:tcBorders>
            <w:noWrap/>
            <w:textDirection w:val="lrTb"/>
            <w:vAlign w:val="center"/>
          </w:tcPr>
          <w:p w:rsidR="00403178" w:rsidRPr="005A0FB7" w:rsidP="005A0FB7">
            <w:pPr>
              <w:spacing w:line="240" w:lineRule="auto"/>
              <w:jc w:val="right"/>
              <w:rPr>
                <w:rFonts w:ascii="Arial Narrow" w:hAnsi="Arial Narrow" w:cs="Times New Roman"/>
                <w:lang w:eastAsia="sk-SK"/>
              </w:rPr>
            </w:pPr>
            <w:r w:rsidR="001079AF">
              <w:rPr>
                <w:rFonts w:ascii="Arial Narrow" w:hAnsi="Arial Narrow" w:cs="Times New Roman"/>
                <w:lang w:eastAsia="sk-SK"/>
              </w:rPr>
              <w:t>0</w:t>
            </w:r>
          </w:p>
        </w:tc>
        <w:tc>
          <w:tcPr>
            <w:tcW w:w="1120" w:type="dxa"/>
            <w:tcBorders>
              <w:top w:val="nil"/>
              <w:left w:val="nil"/>
              <w:bottom w:val="single" w:sz="4" w:space="0" w:color="auto"/>
              <w:right w:val="single" w:sz="4" w:space="0" w:color="auto"/>
              <w:tl2br w:val="nil"/>
              <w:tr2bl w:val="nil"/>
            </w:tcBorders>
            <w:noWrap/>
            <w:textDirection w:val="lrTb"/>
            <w:vAlign w:val="center"/>
          </w:tcPr>
          <w:p w:rsidR="00403178" w:rsidRPr="005A0FB7" w:rsidP="005A0FB7">
            <w:pPr>
              <w:spacing w:line="240" w:lineRule="auto"/>
              <w:jc w:val="right"/>
              <w:rPr>
                <w:rFonts w:ascii="Arial Narrow" w:hAnsi="Arial Narrow" w:cs="Times New Roman"/>
                <w:lang w:eastAsia="sk-SK"/>
              </w:rPr>
            </w:pPr>
            <w:r w:rsidR="001079AF">
              <w:rPr>
                <w:rFonts w:ascii="Arial Narrow" w:hAnsi="Arial Narrow" w:cs="Times New Roman"/>
                <w:lang w:eastAsia="sk-SK"/>
              </w:rPr>
              <w:t>481</w:t>
            </w:r>
          </w:p>
        </w:tc>
        <w:tc>
          <w:tcPr>
            <w:tcW w:w="1120" w:type="dxa"/>
            <w:tcBorders>
              <w:top w:val="nil"/>
              <w:left w:val="nil"/>
              <w:bottom w:val="single" w:sz="4" w:space="0" w:color="auto"/>
              <w:right w:val="single" w:sz="4" w:space="0" w:color="auto"/>
              <w:tl2br w:val="nil"/>
              <w:tr2bl w:val="nil"/>
            </w:tcBorders>
            <w:noWrap/>
            <w:textDirection w:val="lrTb"/>
            <w:vAlign w:val="center"/>
          </w:tcPr>
          <w:p w:rsidR="00403178" w:rsidRPr="005A0FB7" w:rsidP="005A0FB7">
            <w:pPr>
              <w:spacing w:line="240" w:lineRule="auto"/>
              <w:jc w:val="right"/>
              <w:rPr>
                <w:rFonts w:ascii="Arial Narrow" w:hAnsi="Arial Narrow" w:cs="Times New Roman"/>
                <w:lang w:eastAsia="sk-SK"/>
              </w:rPr>
            </w:pPr>
            <w:r w:rsidR="001079AF">
              <w:rPr>
                <w:rFonts w:ascii="Arial Narrow" w:hAnsi="Arial Narrow" w:cs="Times New Roman"/>
                <w:lang w:eastAsia="sk-SK"/>
              </w:rPr>
              <w:t>481</w:t>
            </w:r>
          </w:p>
        </w:tc>
      </w:tr>
      <w:tr>
        <w:tblPrEx>
          <w:tblW w:w="9135" w:type="dxa"/>
          <w:tblInd w:w="55" w:type="dxa"/>
          <w:tblCellMar>
            <w:left w:w="70" w:type="dxa"/>
            <w:right w:w="70" w:type="dxa"/>
          </w:tblCellMar>
        </w:tblPrEx>
        <w:trPr>
          <w:trHeight w:hRule="exact" w:val="227"/>
        </w:trPr>
        <w:tc>
          <w:tcPr>
            <w:tcW w:w="5775" w:type="dxa"/>
            <w:tcBorders>
              <w:top w:val="nil"/>
              <w:left w:val="single" w:sz="4" w:space="0" w:color="auto"/>
              <w:bottom w:val="single" w:sz="4" w:space="0" w:color="auto"/>
              <w:right w:val="single" w:sz="4" w:space="0" w:color="auto"/>
              <w:tl2br w:val="nil"/>
              <w:tr2bl w:val="nil"/>
            </w:tcBorders>
            <w:noWrap/>
            <w:textDirection w:val="lrTb"/>
            <w:vAlign w:val="center"/>
          </w:tcPr>
          <w:p w:rsidR="005A0FB7" w:rsidRPr="005A0FB7" w:rsidP="005A0FB7">
            <w:pPr>
              <w:spacing w:line="240" w:lineRule="auto"/>
              <w:rPr>
                <w:rFonts w:ascii="Arial Narrow" w:hAnsi="Arial Narrow" w:cs="Times New Roman"/>
                <w:lang w:eastAsia="sk-SK"/>
              </w:rPr>
            </w:pPr>
            <w:r w:rsidRPr="005A0FB7">
              <w:rPr>
                <w:rFonts w:ascii="Arial Narrow" w:hAnsi="Arial Narrow" w:cs="Times New Roman"/>
                <w:lang w:eastAsia="sk-SK"/>
              </w:rPr>
              <w:t xml:space="preserve">       (kód zdroja 72)</w:t>
            </w:r>
          </w:p>
        </w:tc>
        <w:tc>
          <w:tcPr>
            <w:tcW w:w="1120" w:type="dxa"/>
            <w:tcBorders>
              <w:top w:val="nil"/>
              <w:left w:val="nil"/>
              <w:bottom w:val="single" w:sz="4" w:space="0" w:color="auto"/>
              <w:right w:val="single" w:sz="4" w:space="0" w:color="auto"/>
              <w:tl2br w:val="nil"/>
              <w:tr2bl w:val="nil"/>
            </w:tcBorders>
            <w:noWrap/>
            <w:textDirection w:val="lrTb"/>
            <w:vAlign w:val="center"/>
          </w:tcPr>
          <w:p w:rsidR="005A0FB7" w:rsidRPr="005A0FB7" w:rsidP="005A0FB7">
            <w:pPr>
              <w:spacing w:line="240" w:lineRule="auto"/>
              <w:jc w:val="right"/>
              <w:rPr>
                <w:rFonts w:ascii="Arial Narrow" w:hAnsi="Arial Narrow" w:cs="Times New Roman"/>
                <w:lang w:eastAsia="sk-SK"/>
              </w:rPr>
            </w:pPr>
            <w:r w:rsidRPr="005A0FB7">
              <w:rPr>
                <w:rFonts w:ascii="Arial Narrow" w:hAnsi="Arial Narrow" w:cs="Times New Roman"/>
                <w:lang w:eastAsia="sk-SK"/>
              </w:rPr>
              <w:t>0</w:t>
            </w:r>
          </w:p>
        </w:tc>
        <w:tc>
          <w:tcPr>
            <w:tcW w:w="1120" w:type="dxa"/>
            <w:tcBorders>
              <w:top w:val="nil"/>
              <w:left w:val="nil"/>
              <w:bottom w:val="single" w:sz="4" w:space="0" w:color="auto"/>
              <w:right w:val="single" w:sz="4" w:space="0" w:color="auto"/>
              <w:tl2br w:val="nil"/>
              <w:tr2bl w:val="nil"/>
            </w:tcBorders>
            <w:noWrap/>
            <w:textDirection w:val="lrTb"/>
            <w:vAlign w:val="center"/>
          </w:tcPr>
          <w:p w:rsidR="005A0FB7" w:rsidRPr="005A0FB7" w:rsidP="005A0FB7">
            <w:pPr>
              <w:spacing w:line="240" w:lineRule="auto"/>
              <w:jc w:val="right"/>
              <w:rPr>
                <w:rFonts w:ascii="Arial Narrow" w:hAnsi="Arial Narrow" w:cs="Times New Roman"/>
                <w:lang w:eastAsia="sk-SK"/>
              </w:rPr>
            </w:pPr>
            <w:r w:rsidRPr="005A0FB7">
              <w:rPr>
                <w:rFonts w:ascii="Arial Narrow" w:hAnsi="Arial Narrow" w:cs="Times New Roman"/>
                <w:lang w:eastAsia="sk-SK"/>
              </w:rPr>
              <w:t>0</w:t>
            </w:r>
          </w:p>
        </w:tc>
        <w:tc>
          <w:tcPr>
            <w:tcW w:w="1120" w:type="dxa"/>
            <w:tcBorders>
              <w:top w:val="nil"/>
              <w:left w:val="nil"/>
              <w:bottom w:val="single" w:sz="4" w:space="0" w:color="auto"/>
              <w:right w:val="single" w:sz="4" w:space="0" w:color="auto"/>
              <w:tl2br w:val="nil"/>
              <w:tr2bl w:val="nil"/>
            </w:tcBorders>
            <w:noWrap/>
            <w:textDirection w:val="lrTb"/>
            <w:vAlign w:val="center"/>
          </w:tcPr>
          <w:p w:rsidR="005A0FB7" w:rsidRPr="005A0FB7" w:rsidP="005A0FB7">
            <w:pPr>
              <w:spacing w:line="240" w:lineRule="auto"/>
              <w:jc w:val="right"/>
              <w:rPr>
                <w:rFonts w:ascii="Arial Narrow" w:hAnsi="Arial Narrow" w:cs="Times New Roman"/>
                <w:lang w:eastAsia="sk-SK"/>
              </w:rPr>
            </w:pPr>
            <w:r w:rsidRPr="005A0FB7">
              <w:rPr>
                <w:rFonts w:ascii="Arial Narrow" w:hAnsi="Arial Narrow" w:cs="Times New Roman"/>
                <w:lang w:eastAsia="sk-SK"/>
              </w:rPr>
              <w:t>19</w:t>
            </w:r>
          </w:p>
        </w:tc>
      </w:tr>
      <w:tr>
        <w:tblPrEx>
          <w:tblW w:w="9135" w:type="dxa"/>
          <w:tblInd w:w="55" w:type="dxa"/>
          <w:tblCellMar>
            <w:left w:w="70" w:type="dxa"/>
            <w:right w:w="70" w:type="dxa"/>
          </w:tblCellMar>
        </w:tblPrEx>
        <w:trPr>
          <w:trHeight w:hRule="exact" w:val="227"/>
        </w:trPr>
        <w:tc>
          <w:tcPr>
            <w:tcW w:w="5775" w:type="dxa"/>
            <w:tcBorders>
              <w:top w:val="nil"/>
              <w:left w:val="single" w:sz="4" w:space="0" w:color="auto"/>
              <w:bottom w:val="single" w:sz="4" w:space="0" w:color="auto"/>
              <w:right w:val="single" w:sz="4" w:space="0" w:color="auto"/>
              <w:tl2br w:val="nil"/>
              <w:tr2bl w:val="nil"/>
            </w:tcBorders>
            <w:noWrap/>
            <w:textDirection w:val="lrTb"/>
            <w:vAlign w:val="center"/>
          </w:tcPr>
          <w:p w:rsidR="005A0FB7" w:rsidRPr="005A0FB7" w:rsidP="005A0FB7">
            <w:pPr>
              <w:spacing w:line="240" w:lineRule="auto"/>
              <w:rPr>
                <w:rFonts w:ascii="Arial Narrow" w:hAnsi="Arial Narrow" w:cs="Times New Roman"/>
                <w:lang w:eastAsia="sk-SK"/>
              </w:rPr>
            </w:pPr>
            <w:r w:rsidRPr="005A0FB7">
              <w:rPr>
                <w:rFonts w:ascii="Arial Narrow" w:hAnsi="Arial Narrow" w:cs="Times New Roman"/>
                <w:lang w:eastAsia="sk-SK"/>
              </w:rPr>
              <w:t xml:space="preserve">       z toho:</w:t>
            </w:r>
          </w:p>
        </w:tc>
        <w:tc>
          <w:tcPr>
            <w:tcW w:w="1120" w:type="dxa"/>
            <w:tcBorders>
              <w:top w:val="nil"/>
              <w:left w:val="nil"/>
              <w:bottom w:val="single" w:sz="4" w:space="0" w:color="auto"/>
              <w:right w:val="single" w:sz="4" w:space="0" w:color="auto"/>
              <w:tl2br w:val="nil"/>
              <w:tr2bl w:val="nil"/>
            </w:tcBorders>
            <w:noWrap/>
            <w:textDirection w:val="lrTb"/>
            <w:vAlign w:val="center"/>
          </w:tcPr>
          <w:p w:rsidR="005A0FB7" w:rsidRPr="005A0FB7" w:rsidP="005A0FB7">
            <w:pPr>
              <w:spacing w:line="240" w:lineRule="auto"/>
              <w:jc w:val="right"/>
              <w:rPr>
                <w:rFonts w:ascii="Arial Narrow" w:hAnsi="Arial Narrow" w:cs="Times New Roman"/>
                <w:lang w:eastAsia="sk-SK"/>
              </w:rPr>
            </w:pPr>
            <w:r w:rsidRPr="005A0FB7">
              <w:rPr>
                <w:rFonts w:ascii="Arial Narrow" w:hAnsi="Arial Narrow" w:cs="Times New Roman"/>
                <w:lang w:eastAsia="sk-SK"/>
              </w:rPr>
              <w:t> </w:t>
            </w:r>
          </w:p>
        </w:tc>
        <w:tc>
          <w:tcPr>
            <w:tcW w:w="1120" w:type="dxa"/>
            <w:tcBorders>
              <w:top w:val="nil"/>
              <w:left w:val="nil"/>
              <w:bottom w:val="single" w:sz="4" w:space="0" w:color="auto"/>
              <w:right w:val="single" w:sz="4" w:space="0" w:color="auto"/>
              <w:tl2br w:val="nil"/>
              <w:tr2bl w:val="nil"/>
            </w:tcBorders>
            <w:noWrap/>
            <w:textDirection w:val="lrTb"/>
            <w:vAlign w:val="center"/>
          </w:tcPr>
          <w:p w:rsidR="005A0FB7" w:rsidRPr="005A0FB7" w:rsidP="005A0FB7">
            <w:pPr>
              <w:spacing w:line="240" w:lineRule="auto"/>
              <w:jc w:val="right"/>
              <w:rPr>
                <w:rFonts w:ascii="Arial Narrow" w:hAnsi="Arial Narrow" w:cs="Times New Roman"/>
                <w:lang w:eastAsia="sk-SK"/>
              </w:rPr>
            </w:pPr>
            <w:r w:rsidRPr="005A0FB7">
              <w:rPr>
                <w:rFonts w:ascii="Arial Narrow" w:hAnsi="Arial Narrow" w:cs="Times New Roman"/>
                <w:lang w:eastAsia="sk-SK"/>
              </w:rPr>
              <w:t> </w:t>
            </w:r>
          </w:p>
        </w:tc>
        <w:tc>
          <w:tcPr>
            <w:tcW w:w="1120" w:type="dxa"/>
            <w:tcBorders>
              <w:top w:val="nil"/>
              <w:left w:val="nil"/>
              <w:bottom w:val="single" w:sz="4" w:space="0" w:color="auto"/>
              <w:right w:val="single" w:sz="4" w:space="0" w:color="auto"/>
              <w:tl2br w:val="nil"/>
              <w:tr2bl w:val="nil"/>
            </w:tcBorders>
            <w:noWrap/>
            <w:textDirection w:val="lrTb"/>
            <w:vAlign w:val="center"/>
          </w:tcPr>
          <w:p w:rsidR="005A0FB7" w:rsidRPr="005A0FB7" w:rsidP="005A0FB7">
            <w:pPr>
              <w:spacing w:line="240" w:lineRule="auto"/>
              <w:jc w:val="right"/>
              <w:rPr>
                <w:rFonts w:ascii="Arial Narrow" w:hAnsi="Arial Narrow" w:cs="Times New Roman"/>
                <w:lang w:eastAsia="sk-SK"/>
              </w:rPr>
            </w:pPr>
            <w:r w:rsidRPr="005A0FB7">
              <w:rPr>
                <w:rFonts w:ascii="Arial Narrow" w:hAnsi="Arial Narrow" w:cs="Times New Roman"/>
                <w:lang w:eastAsia="sk-SK"/>
              </w:rPr>
              <w:t> </w:t>
            </w:r>
          </w:p>
        </w:tc>
      </w:tr>
      <w:tr>
        <w:tblPrEx>
          <w:tblW w:w="9135" w:type="dxa"/>
          <w:tblInd w:w="55" w:type="dxa"/>
          <w:tblCellMar>
            <w:left w:w="70" w:type="dxa"/>
            <w:right w:w="70" w:type="dxa"/>
          </w:tblCellMar>
        </w:tblPrEx>
        <w:trPr>
          <w:trHeight w:hRule="exact" w:val="227"/>
        </w:trPr>
        <w:tc>
          <w:tcPr>
            <w:tcW w:w="5775" w:type="dxa"/>
            <w:tcBorders>
              <w:top w:val="nil"/>
              <w:left w:val="single" w:sz="4" w:space="0" w:color="auto"/>
              <w:bottom w:val="single" w:sz="4" w:space="0" w:color="auto"/>
              <w:right w:val="single" w:sz="4" w:space="0" w:color="auto"/>
              <w:tl2br w:val="nil"/>
              <w:tr2bl w:val="nil"/>
            </w:tcBorders>
            <w:noWrap/>
            <w:textDirection w:val="lrTb"/>
            <w:vAlign w:val="center"/>
          </w:tcPr>
          <w:p w:rsidR="005A0FB7" w:rsidRPr="005A0FB7" w:rsidP="005A0FB7">
            <w:pPr>
              <w:spacing w:line="240" w:lineRule="auto"/>
              <w:rPr>
                <w:rFonts w:ascii="Arial Narrow" w:hAnsi="Arial Narrow" w:cs="Times New Roman"/>
                <w:lang w:eastAsia="sk-SK"/>
              </w:rPr>
            </w:pPr>
            <w:r w:rsidR="00383226">
              <w:rPr>
                <w:rFonts w:ascii="Arial Narrow" w:hAnsi="Arial Narrow" w:cs="Times New Roman"/>
                <w:lang w:eastAsia="sk-SK"/>
              </w:rPr>
              <w:t xml:space="preserve">       mzdy, platy, s</w:t>
            </w:r>
            <w:r w:rsidR="00403178">
              <w:rPr>
                <w:rFonts w:ascii="Arial Narrow" w:hAnsi="Arial Narrow" w:cs="Times New Roman"/>
                <w:lang w:eastAsia="sk-SK"/>
              </w:rPr>
              <w:t xml:space="preserve">lužobné príjmy a OOV ústred. </w:t>
            </w:r>
            <w:r w:rsidRPr="005A0FB7">
              <w:rPr>
                <w:rFonts w:ascii="Arial Narrow" w:hAnsi="Arial Narrow" w:cs="Times New Roman"/>
                <w:lang w:eastAsia="sk-SK"/>
              </w:rPr>
              <w:t>orgánu (kód zdroja 111)</w:t>
            </w:r>
          </w:p>
        </w:tc>
        <w:tc>
          <w:tcPr>
            <w:tcW w:w="1120" w:type="dxa"/>
            <w:tcBorders>
              <w:top w:val="nil"/>
              <w:left w:val="nil"/>
              <w:bottom w:val="single" w:sz="4" w:space="0" w:color="auto"/>
              <w:right w:val="single" w:sz="4" w:space="0" w:color="auto"/>
              <w:tl2br w:val="nil"/>
              <w:tr2bl w:val="nil"/>
            </w:tcBorders>
            <w:noWrap/>
            <w:textDirection w:val="lrTb"/>
            <w:vAlign w:val="center"/>
          </w:tcPr>
          <w:p w:rsidR="005A0FB7" w:rsidRPr="005A0FB7" w:rsidP="005A0FB7">
            <w:pPr>
              <w:spacing w:line="240" w:lineRule="auto"/>
              <w:jc w:val="right"/>
              <w:rPr>
                <w:rFonts w:ascii="Arial Narrow" w:hAnsi="Arial Narrow" w:cs="Times New Roman"/>
                <w:lang w:eastAsia="sk-SK"/>
              </w:rPr>
            </w:pPr>
            <w:r w:rsidRPr="005A0FB7">
              <w:rPr>
                <w:rFonts w:ascii="Arial Narrow" w:hAnsi="Arial Narrow" w:cs="Times New Roman"/>
                <w:lang w:eastAsia="sk-SK"/>
              </w:rPr>
              <w:t>116 382</w:t>
            </w:r>
          </w:p>
        </w:tc>
        <w:tc>
          <w:tcPr>
            <w:tcW w:w="1120" w:type="dxa"/>
            <w:tcBorders>
              <w:top w:val="nil"/>
              <w:left w:val="nil"/>
              <w:bottom w:val="single" w:sz="4" w:space="0" w:color="auto"/>
              <w:right w:val="single" w:sz="4" w:space="0" w:color="auto"/>
              <w:tl2br w:val="nil"/>
              <w:tr2bl w:val="nil"/>
            </w:tcBorders>
            <w:noWrap/>
            <w:textDirection w:val="lrTb"/>
            <w:vAlign w:val="center"/>
          </w:tcPr>
          <w:p w:rsidR="005A0FB7" w:rsidRPr="005A0FB7" w:rsidP="005A0FB7">
            <w:pPr>
              <w:spacing w:line="240" w:lineRule="auto"/>
              <w:jc w:val="right"/>
              <w:rPr>
                <w:rFonts w:ascii="Arial Narrow" w:hAnsi="Arial Narrow" w:cs="Times New Roman"/>
                <w:lang w:eastAsia="sk-SK"/>
              </w:rPr>
            </w:pPr>
            <w:r w:rsidRPr="005A0FB7">
              <w:rPr>
                <w:rFonts w:ascii="Arial Narrow" w:hAnsi="Arial Narrow" w:cs="Times New Roman"/>
                <w:lang w:eastAsia="sk-SK"/>
              </w:rPr>
              <w:t>111 316</w:t>
            </w:r>
          </w:p>
        </w:tc>
        <w:tc>
          <w:tcPr>
            <w:tcW w:w="1120" w:type="dxa"/>
            <w:tcBorders>
              <w:top w:val="nil"/>
              <w:left w:val="nil"/>
              <w:bottom w:val="single" w:sz="4" w:space="0" w:color="auto"/>
              <w:right w:val="single" w:sz="4" w:space="0" w:color="auto"/>
              <w:tl2br w:val="nil"/>
              <w:tr2bl w:val="nil"/>
            </w:tcBorders>
            <w:noWrap/>
            <w:textDirection w:val="lrTb"/>
            <w:vAlign w:val="center"/>
          </w:tcPr>
          <w:p w:rsidR="005A0FB7" w:rsidRPr="005A0FB7" w:rsidP="005A0FB7">
            <w:pPr>
              <w:spacing w:line="240" w:lineRule="auto"/>
              <w:jc w:val="right"/>
              <w:rPr>
                <w:rFonts w:ascii="Arial Narrow" w:hAnsi="Arial Narrow" w:cs="Times New Roman"/>
                <w:lang w:eastAsia="sk-SK"/>
              </w:rPr>
            </w:pPr>
            <w:r w:rsidRPr="005A0FB7">
              <w:rPr>
                <w:rFonts w:ascii="Arial Narrow" w:hAnsi="Arial Narrow" w:cs="Times New Roman"/>
                <w:lang w:eastAsia="sk-SK"/>
              </w:rPr>
              <w:t>111 222</w:t>
            </w:r>
          </w:p>
        </w:tc>
      </w:tr>
      <w:tr>
        <w:tblPrEx>
          <w:tblW w:w="9135" w:type="dxa"/>
          <w:tblInd w:w="55" w:type="dxa"/>
          <w:tblCellMar>
            <w:left w:w="70" w:type="dxa"/>
            <w:right w:w="70" w:type="dxa"/>
          </w:tblCellMar>
        </w:tblPrEx>
        <w:trPr>
          <w:trHeight w:hRule="exact" w:val="227"/>
        </w:trPr>
        <w:tc>
          <w:tcPr>
            <w:tcW w:w="5775" w:type="dxa"/>
            <w:tcBorders>
              <w:top w:val="nil"/>
              <w:left w:val="single" w:sz="4" w:space="0" w:color="auto"/>
              <w:bottom w:val="single" w:sz="4" w:space="0" w:color="auto"/>
              <w:right w:val="single" w:sz="4" w:space="0" w:color="auto"/>
              <w:tl2br w:val="nil"/>
              <w:tr2bl w:val="nil"/>
            </w:tcBorders>
            <w:noWrap/>
            <w:textDirection w:val="lrTb"/>
            <w:vAlign w:val="center"/>
          </w:tcPr>
          <w:p w:rsidR="00403178" w:rsidRPr="005A0FB7" w:rsidP="00FD12C4">
            <w:pPr>
              <w:spacing w:line="240" w:lineRule="auto"/>
              <w:rPr>
                <w:rFonts w:ascii="Arial Narrow" w:hAnsi="Arial Narrow" w:cs="Times New Roman"/>
                <w:lang w:eastAsia="sk-SK"/>
              </w:rPr>
            </w:pPr>
            <w:r>
              <w:rPr>
                <w:rFonts w:ascii="Arial Narrow" w:hAnsi="Arial Narrow" w:cs="Times New Roman"/>
                <w:lang w:eastAsia="sk-SK"/>
              </w:rPr>
              <w:t xml:space="preserve">                      </w:t>
            </w:r>
            <w:r>
              <w:rPr>
                <w:rFonts w:ascii="Arial Narrow" w:hAnsi="Arial Narrow" w:cs="Times New Roman"/>
                <w:lang w:eastAsia="sk-SK"/>
              </w:rPr>
              <w:t xml:space="preserve">                                                                   (kód zdroja 1152</w:t>
            </w:r>
            <w:r w:rsidRPr="005A0FB7">
              <w:rPr>
                <w:rFonts w:ascii="Arial Narrow" w:hAnsi="Arial Narrow" w:cs="Times New Roman"/>
                <w:lang w:eastAsia="sk-SK"/>
              </w:rPr>
              <w:t>)</w:t>
            </w:r>
          </w:p>
        </w:tc>
        <w:tc>
          <w:tcPr>
            <w:tcW w:w="1120" w:type="dxa"/>
            <w:tcBorders>
              <w:top w:val="nil"/>
              <w:left w:val="nil"/>
              <w:bottom w:val="single" w:sz="4" w:space="0" w:color="auto"/>
              <w:right w:val="single" w:sz="4" w:space="0" w:color="auto"/>
              <w:tl2br w:val="nil"/>
              <w:tr2bl w:val="nil"/>
            </w:tcBorders>
            <w:noWrap/>
            <w:textDirection w:val="lrTb"/>
            <w:vAlign w:val="center"/>
          </w:tcPr>
          <w:p w:rsidR="00403178" w:rsidRPr="005A0FB7" w:rsidP="005A0FB7">
            <w:pPr>
              <w:spacing w:line="240" w:lineRule="auto"/>
              <w:jc w:val="right"/>
              <w:rPr>
                <w:rFonts w:ascii="Arial Narrow" w:hAnsi="Arial Narrow" w:cs="Times New Roman"/>
                <w:lang w:eastAsia="sk-SK"/>
              </w:rPr>
            </w:pPr>
          </w:p>
        </w:tc>
        <w:tc>
          <w:tcPr>
            <w:tcW w:w="1120" w:type="dxa"/>
            <w:tcBorders>
              <w:top w:val="nil"/>
              <w:left w:val="nil"/>
              <w:bottom w:val="single" w:sz="4" w:space="0" w:color="auto"/>
              <w:right w:val="single" w:sz="4" w:space="0" w:color="auto"/>
              <w:tl2br w:val="nil"/>
              <w:tr2bl w:val="nil"/>
            </w:tcBorders>
            <w:noWrap/>
            <w:textDirection w:val="lrTb"/>
            <w:vAlign w:val="center"/>
          </w:tcPr>
          <w:p w:rsidR="00403178" w:rsidRPr="005A0FB7" w:rsidP="005A0FB7">
            <w:pPr>
              <w:spacing w:line="240" w:lineRule="auto"/>
              <w:jc w:val="right"/>
              <w:rPr>
                <w:rFonts w:ascii="Arial Narrow" w:hAnsi="Arial Narrow" w:cs="Times New Roman"/>
                <w:lang w:eastAsia="sk-SK"/>
              </w:rPr>
            </w:pPr>
            <w:r w:rsidR="001079AF">
              <w:rPr>
                <w:rFonts w:ascii="Arial Narrow" w:hAnsi="Arial Narrow" w:cs="Times New Roman"/>
                <w:lang w:eastAsia="sk-SK"/>
              </w:rPr>
              <w:t>2 439</w:t>
            </w:r>
          </w:p>
        </w:tc>
        <w:tc>
          <w:tcPr>
            <w:tcW w:w="1120" w:type="dxa"/>
            <w:tcBorders>
              <w:top w:val="nil"/>
              <w:left w:val="nil"/>
              <w:bottom w:val="single" w:sz="4" w:space="0" w:color="auto"/>
              <w:right w:val="single" w:sz="4" w:space="0" w:color="auto"/>
              <w:tl2br w:val="nil"/>
              <w:tr2bl w:val="nil"/>
            </w:tcBorders>
            <w:noWrap/>
            <w:textDirection w:val="lrTb"/>
            <w:vAlign w:val="center"/>
          </w:tcPr>
          <w:p w:rsidR="00403178" w:rsidRPr="005A0FB7" w:rsidP="005A0FB7">
            <w:pPr>
              <w:spacing w:line="240" w:lineRule="auto"/>
              <w:jc w:val="right"/>
              <w:rPr>
                <w:rFonts w:ascii="Arial Narrow" w:hAnsi="Arial Narrow" w:cs="Times New Roman"/>
                <w:lang w:eastAsia="sk-SK"/>
              </w:rPr>
            </w:pPr>
            <w:r w:rsidR="001079AF">
              <w:rPr>
                <w:rFonts w:ascii="Arial Narrow" w:hAnsi="Arial Narrow" w:cs="Times New Roman"/>
                <w:lang w:eastAsia="sk-SK"/>
              </w:rPr>
              <w:t>2 439</w:t>
            </w:r>
          </w:p>
        </w:tc>
      </w:tr>
      <w:tr>
        <w:tblPrEx>
          <w:tblW w:w="9135" w:type="dxa"/>
          <w:tblInd w:w="55" w:type="dxa"/>
          <w:tblCellMar>
            <w:left w:w="70" w:type="dxa"/>
            <w:right w:w="70" w:type="dxa"/>
          </w:tblCellMar>
        </w:tblPrEx>
        <w:trPr>
          <w:trHeight w:hRule="exact" w:val="227"/>
        </w:trPr>
        <w:tc>
          <w:tcPr>
            <w:tcW w:w="5775" w:type="dxa"/>
            <w:tcBorders>
              <w:top w:val="nil"/>
              <w:left w:val="single" w:sz="4" w:space="0" w:color="auto"/>
              <w:bottom w:val="single" w:sz="4" w:space="0" w:color="auto"/>
              <w:right w:val="single" w:sz="4" w:space="0" w:color="auto"/>
              <w:tl2br w:val="nil"/>
              <w:tr2bl w:val="nil"/>
            </w:tcBorders>
            <w:noWrap/>
            <w:textDirection w:val="lrTb"/>
            <w:vAlign w:val="center"/>
          </w:tcPr>
          <w:p w:rsidR="00403178" w:rsidRPr="005A0FB7" w:rsidP="00FD12C4">
            <w:pPr>
              <w:spacing w:line="240" w:lineRule="auto"/>
              <w:rPr>
                <w:rFonts w:ascii="Arial Narrow" w:hAnsi="Arial Narrow" w:cs="Times New Roman"/>
                <w:lang w:eastAsia="sk-SK"/>
              </w:rPr>
            </w:pPr>
            <w:r>
              <w:rPr>
                <w:rFonts w:ascii="Arial Narrow" w:hAnsi="Arial Narrow" w:cs="Times New Roman"/>
                <w:lang w:eastAsia="sk-SK"/>
              </w:rPr>
              <w:t xml:space="preserve">                                                                                         (kód zdroja 1352</w:t>
            </w:r>
            <w:r w:rsidRPr="005A0FB7">
              <w:rPr>
                <w:rFonts w:ascii="Arial Narrow" w:hAnsi="Arial Narrow" w:cs="Times New Roman"/>
                <w:lang w:eastAsia="sk-SK"/>
              </w:rPr>
              <w:t>)</w:t>
            </w:r>
          </w:p>
        </w:tc>
        <w:tc>
          <w:tcPr>
            <w:tcW w:w="1120" w:type="dxa"/>
            <w:tcBorders>
              <w:top w:val="nil"/>
              <w:left w:val="nil"/>
              <w:bottom w:val="single" w:sz="4" w:space="0" w:color="auto"/>
              <w:right w:val="single" w:sz="4" w:space="0" w:color="auto"/>
              <w:tl2br w:val="nil"/>
              <w:tr2bl w:val="nil"/>
            </w:tcBorders>
            <w:noWrap/>
            <w:textDirection w:val="lrTb"/>
            <w:vAlign w:val="center"/>
          </w:tcPr>
          <w:p w:rsidR="00403178" w:rsidRPr="005A0FB7" w:rsidP="005A0FB7">
            <w:pPr>
              <w:spacing w:line="240" w:lineRule="auto"/>
              <w:jc w:val="right"/>
              <w:rPr>
                <w:rFonts w:ascii="Arial Narrow" w:hAnsi="Arial Narrow" w:cs="Times New Roman"/>
                <w:lang w:eastAsia="sk-SK"/>
              </w:rPr>
            </w:pPr>
          </w:p>
        </w:tc>
        <w:tc>
          <w:tcPr>
            <w:tcW w:w="1120" w:type="dxa"/>
            <w:tcBorders>
              <w:top w:val="nil"/>
              <w:left w:val="nil"/>
              <w:bottom w:val="single" w:sz="4" w:space="0" w:color="auto"/>
              <w:right w:val="single" w:sz="4" w:space="0" w:color="auto"/>
              <w:tl2br w:val="nil"/>
              <w:tr2bl w:val="nil"/>
            </w:tcBorders>
            <w:noWrap/>
            <w:textDirection w:val="lrTb"/>
            <w:vAlign w:val="center"/>
          </w:tcPr>
          <w:p w:rsidR="00403178" w:rsidRPr="005A0FB7" w:rsidP="005A0FB7">
            <w:pPr>
              <w:spacing w:line="240" w:lineRule="auto"/>
              <w:jc w:val="right"/>
              <w:rPr>
                <w:rFonts w:ascii="Arial Narrow" w:hAnsi="Arial Narrow" w:cs="Times New Roman"/>
                <w:lang w:eastAsia="sk-SK"/>
              </w:rPr>
            </w:pPr>
            <w:r w:rsidR="001079AF">
              <w:rPr>
                <w:rFonts w:ascii="Arial Narrow" w:hAnsi="Arial Narrow" w:cs="Times New Roman"/>
                <w:lang w:eastAsia="sk-SK"/>
              </w:rPr>
              <w:t>481</w:t>
            </w:r>
          </w:p>
        </w:tc>
        <w:tc>
          <w:tcPr>
            <w:tcW w:w="1120" w:type="dxa"/>
            <w:tcBorders>
              <w:top w:val="nil"/>
              <w:left w:val="nil"/>
              <w:bottom w:val="single" w:sz="4" w:space="0" w:color="auto"/>
              <w:right w:val="single" w:sz="4" w:space="0" w:color="auto"/>
              <w:tl2br w:val="nil"/>
              <w:tr2bl w:val="nil"/>
            </w:tcBorders>
            <w:noWrap/>
            <w:textDirection w:val="lrTb"/>
            <w:vAlign w:val="center"/>
          </w:tcPr>
          <w:p w:rsidR="00403178" w:rsidRPr="005A0FB7" w:rsidP="005A0FB7">
            <w:pPr>
              <w:spacing w:line="240" w:lineRule="auto"/>
              <w:jc w:val="right"/>
              <w:rPr>
                <w:rFonts w:ascii="Arial Narrow" w:hAnsi="Arial Narrow" w:cs="Times New Roman"/>
                <w:lang w:eastAsia="sk-SK"/>
              </w:rPr>
            </w:pPr>
            <w:r w:rsidR="001079AF">
              <w:rPr>
                <w:rFonts w:ascii="Arial Narrow" w:hAnsi="Arial Narrow" w:cs="Times New Roman"/>
                <w:lang w:eastAsia="sk-SK"/>
              </w:rPr>
              <w:t>481</w:t>
            </w:r>
          </w:p>
        </w:tc>
      </w:tr>
      <w:tr>
        <w:tblPrEx>
          <w:tblW w:w="9135" w:type="dxa"/>
          <w:tblInd w:w="55" w:type="dxa"/>
          <w:tblCellMar>
            <w:left w:w="70" w:type="dxa"/>
            <w:right w:w="70" w:type="dxa"/>
          </w:tblCellMar>
        </w:tblPrEx>
        <w:trPr>
          <w:trHeight w:hRule="exact" w:val="227"/>
        </w:trPr>
        <w:tc>
          <w:tcPr>
            <w:tcW w:w="5775" w:type="dxa"/>
            <w:tcBorders>
              <w:top w:val="nil"/>
              <w:left w:val="single" w:sz="4" w:space="0" w:color="auto"/>
              <w:bottom w:val="single" w:sz="4" w:space="0" w:color="auto"/>
              <w:right w:val="single" w:sz="4" w:space="0" w:color="auto"/>
              <w:tl2br w:val="nil"/>
              <w:tr2bl w:val="nil"/>
            </w:tcBorders>
            <w:noWrap/>
            <w:textDirection w:val="lrTb"/>
            <w:vAlign w:val="center"/>
          </w:tcPr>
          <w:p w:rsidR="00403178" w:rsidRPr="005A0FB7" w:rsidP="005A0FB7">
            <w:pPr>
              <w:spacing w:line="240" w:lineRule="auto"/>
              <w:rPr>
                <w:rFonts w:ascii="Arial Narrow" w:hAnsi="Arial Narrow" w:cs="Times New Roman"/>
                <w:lang w:eastAsia="sk-SK"/>
              </w:rPr>
            </w:pPr>
            <w:r w:rsidRPr="005A0FB7">
              <w:rPr>
                <w:rFonts w:ascii="Arial Narrow" w:hAnsi="Arial Narrow" w:cs="Times New Roman"/>
                <w:lang w:eastAsia="sk-SK"/>
              </w:rPr>
              <w:t xml:space="preserve">                                 </w:t>
            </w:r>
            <w:r>
              <w:rPr>
                <w:rFonts w:ascii="Arial Narrow" w:hAnsi="Arial Narrow" w:cs="Times New Roman"/>
                <w:lang w:eastAsia="sk-SK"/>
              </w:rPr>
              <w:t xml:space="preserve">                                                        </w:t>
            </w:r>
            <w:r w:rsidRPr="005A0FB7">
              <w:rPr>
                <w:rFonts w:ascii="Arial Narrow" w:hAnsi="Arial Narrow" w:cs="Times New Roman"/>
                <w:lang w:eastAsia="sk-SK"/>
              </w:rPr>
              <w:t>(kód zdroja  72)</w:t>
            </w:r>
          </w:p>
        </w:tc>
        <w:tc>
          <w:tcPr>
            <w:tcW w:w="1120" w:type="dxa"/>
            <w:tcBorders>
              <w:top w:val="nil"/>
              <w:left w:val="nil"/>
              <w:bottom w:val="single" w:sz="4" w:space="0" w:color="auto"/>
              <w:right w:val="single" w:sz="4" w:space="0" w:color="auto"/>
              <w:tl2br w:val="nil"/>
              <w:tr2bl w:val="nil"/>
            </w:tcBorders>
            <w:noWrap/>
            <w:textDirection w:val="lrTb"/>
            <w:vAlign w:val="center"/>
          </w:tcPr>
          <w:p w:rsidR="00403178" w:rsidRPr="005A0FB7" w:rsidP="005A0FB7">
            <w:pPr>
              <w:spacing w:line="240" w:lineRule="auto"/>
              <w:jc w:val="right"/>
              <w:rPr>
                <w:rFonts w:ascii="Arial Narrow" w:hAnsi="Arial Narrow" w:cs="Times New Roman"/>
                <w:lang w:eastAsia="sk-SK"/>
              </w:rPr>
            </w:pPr>
            <w:r w:rsidRPr="005A0FB7">
              <w:rPr>
                <w:rFonts w:ascii="Arial Narrow" w:hAnsi="Arial Narrow" w:cs="Times New Roman"/>
                <w:lang w:eastAsia="sk-SK"/>
              </w:rPr>
              <w:t>0</w:t>
            </w:r>
          </w:p>
        </w:tc>
        <w:tc>
          <w:tcPr>
            <w:tcW w:w="1120" w:type="dxa"/>
            <w:tcBorders>
              <w:top w:val="nil"/>
              <w:left w:val="nil"/>
              <w:bottom w:val="single" w:sz="4" w:space="0" w:color="auto"/>
              <w:right w:val="single" w:sz="4" w:space="0" w:color="auto"/>
              <w:tl2br w:val="nil"/>
              <w:tr2bl w:val="nil"/>
            </w:tcBorders>
            <w:noWrap/>
            <w:textDirection w:val="lrTb"/>
            <w:vAlign w:val="center"/>
          </w:tcPr>
          <w:p w:rsidR="00403178" w:rsidRPr="005A0FB7" w:rsidP="005A0FB7">
            <w:pPr>
              <w:spacing w:line="240" w:lineRule="auto"/>
              <w:jc w:val="right"/>
              <w:rPr>
                <w:rFonts w:ascii="Arial Narrow" w:hAnsi="Arial Narrow" w:cs="Times New Roman"/>
                <w:lang w:eastAsia="sk-SK"/>
              </w:rPr>
            </w:pPr>
            <w:r w:rsidRPr="005A0FB7">
              <w:rPr>
                <w:rFonts w:ascii="Arial Narrow" w:hAnsi="Arial Narrow" w:cs="Times New Roman"/>
                <w:lang w:eastAsia="sk-SK"/>
              </w:rPr>
              <w:t>0</w:t>
            </w:r>
          </w:p>
        </w:tc>
        <w:tc>
          <w:tcPr>
            <w:tcW w:w="1120" w:type="dxa"/>
            <w:tcBorders>
              <w:top w:val="nil"/>
              <w:left w:val="nil"/>
              <w:bottom w:val="single" w:sz="4" w:space="0" w:color="auto"/>
              <w:right w:val="single" w:sz="4" w:space="0" w:color="auto"/>
              <w:tl2br w:val="nil"/>
              <w:tr2bl w:val="nil"/>
            </w:tcBorders>
            <w:noWrap/>
            <w:textDirection w:val="lrTb"/>
            <w:vAlign w:val="center"/>
          </w:tcPr>
          <w:p w:rsidR="00403178" w:rsidRPr="005A0FB7" w:rsidP="005A0FB7">
            <w:pPr>
              <w:spacing w:line="240" w:lineRule="auto"/>
              <w:jc w:val="right"/>
              <w:rPr>
                <w:rFonts w:ascii="Arial Narrow" w:hAnsi="Arial Narrow" w:cs="Times New Roman"/>
                <w:lang w:eastAsia="sk-SK"/>
              </w:rPr>
            </w:pPr>
            <w:r w:rsidRPr="005A0FB7">
              <w:rPr>
                <w:rFonts w:ascii="Arial Narrow" w:hAnsi="Arial Narrow" w:cs="Times New Roman"/>
                <w:lang w:eastAsia="sk-SK"/>
              </w:rPr>
              <w:t>19</w:t>
            </w:r>
          </w:p>
        </w:tc>
      </w:tr>
      <w:tr>
        <w:tblPrEx>
          <w:tblW w:w="9135" w:type="dxa"/>
          <w:tblInd w:w="55" w:type="dxa"/>
          <w:tblCellMar>
            <w:left w:w="70" w:type="dxa"/>
            <w:right w:w="70" w:type="dxa"/>
          </w:tblCellMar>
        </w:tblPrEx>
        <w:trPr>
          <w:trHeight w:hRule="exact" w:val="227"/>
        </w:trPr>
        <w:tc>
          <w:tcPr>
            <w:tcW w:w="5775" w:type="dxa"/>
            <w:tcBorders>
              <w:top w:val="single" w:sz="4" w:space="0" w:color="auto"/>
              <w:left w:val="single" w:sz="4" w:space="0" w:color="auto"/>
              <w:bottom w:val="nil"/>
              <w:right w:val="nil"/>
              <w:tl2br w:val="nil"/>
              <w:tr2bl w:val="nil"/>
            </w:tcBorders>
            <w:noWrap/>
            <w:textDirection w:val="lrTb"/>
            <w:vAlign w:val="center"/>
          </w:tcPr>
          <w:p w:rsidR="00403178" w:rsidP="005A0FB7">
            <w:pPr>
              <w:spacing w:line="240" w:lineRule="auto"/>
              <w:rPr>
                <w:rFonts w:ascii="Arial Narrow" w:hAnsi="Arial Narrow" w:cs="Times New Roman"/>
                <w:lang w:eastAsia="sk-SK"/>
              </w:rPr>
            </w:pPr>
            <w:r w:rsidRPr="005A0FB7">
              <w:rPr>
                <w:rFonts w:ascii="Arial Narrow" w:hAnsi="Arial Narrow" w:cs="Times New Roman"/>
                <w:lang w:eastAsia="sk-SK"/>
              </w:rPr>
              <w:t xml:space="preserve">      Počet zamestnancov rozpočtových organizácií okrem štátnych</w:t>
            </w:r>
          </w:p>
          <w:p w:rsidR="00403178" w:rsidRPr="005A0FB7" w:rsidP="005A0FB7">
            <w:pPr>
              <w:spacing w:line="240" w:lineRule="auto"/>
              <w:rPr>
                <w:rFonts w:ascii="Arial Narrow" w:hAnsi="Arial Narrow" w:cs="Times New Roman"/>
                <w:lang w:eastAsia="sk-SK"/>
              </w:rPr>
            </w:pPr>
            <w:r w:rsidRPr="005A0FB7">
              <w:rPr>
                <w:rFonts w:ascii="Arial Narrow" w:hAnsi="Arial Narrow" w:cs="Times New Roman"/>
                <w:lang w:eastAsia="sk-SK"/>
              </w:rPr>
              <w:t xml:space="preserve"> zamestnancov,</w:t>
            </w:r>
          </w:p>
        </w:tc>
        <w:tc>
          <w:tcPr>
            <w:tcW w:w="1120" w:type="dxa"/>
            <w:tcBorders>
              <w:top w:val="nil"/>
              <w:left w:val="single" w:sz="4" w:space="0" w:color="auto"/>
              <w:bottom w:val="nil"/>
              <w:right w:val="nil"/>
              <w:tl2br w:val="nil"/>
              <w:tr2bl w:val="nil"/>
            </w:tcBorders>
            <w:noWrap/>
            <w:textDirection w:val="lrTb"/>
            <w:vAlign w:val="center"/>
          </w:tcPr>
          <w:p w:rsidR="00403178" w:rsidRPr="005A0FB7" w:rsidP="005A0FB7">
            <w:pPr>
              <w:spacing w:line="240" w:lineRule="auto"/>
              <w:jc w:val="right"/>
              <w:rPr>
                <w:rFonts w:ascii="Arial Narrow" w:hAnsi="Arial Narrow" w:cs="Times New Roman"/>
                <w:lang w:eastAsia="sk-SK"/>
              </w:rPr>
            </w:pPr>
            <w:r w:rsidRPr="005A0FB7">
              <w:rPr>
                <w:rFonts w:ascii="Arial Narrow" w:hAnsi="Arial Narrow" w:cs="Times New Roman"/>
                <w:lang w:eastAsia="sk-SK"/>
              </w:rPr>
              <w:t> </w:t>
            </w:r>
          </w:p>
        </w:tc>
        <w:tc>
          <w:tcPr>
            <w:tcW w:w="1120" w:type="dxa"/>
            <w:tcBorders>
              <w:top w:val="nil"/>
              <w:left w:val="single" w:sz="4" w:space="0" w:color="auto"/>
              <w:bottom w:val="nil"/>
              <w:right w:val="single" w:sz="4" w:space="0" w:color="auto"/>
              <w:tl2br w:val="nil"/>
              <w:tr2bl w:val="nil"/>
            </w:tcBorders>
            <w:noWrap/>
            <w:textDirection w:val="lrTb"/>
            <w:vAlign w:val="center"/>
          </w:tcPr>
          <w:p w:rsidR="00403178" w:rsidRPr="005A0FB7" w:rsidP="005A0FB7">
            <w:pPr>
              <w:spacing w:line="240" w:lineRule="auto"/>
              <w:jc w:val="right"/>
              <w:rPr>
                <w:rFonts w:ascii="Arial Narrow" w:hAnsi="Arial Narrow" w:cs="Times New Roman"/>
                <w:lang w:eastAsia="sk-SK"/>
              </w:rPr>
            </w:pPr>
            <w:r w:rsidRPr="005A0FB7">
              <w:rPr>
                <w:rFonts w:ascii="Arial Narrow" w:hAnsi="Arial Narrow" w:cs="Times New Roman"/>
                <w:lang w:eastAsia="sk-SK"/>
              </w:rPr>
              <w:t> </w:t>
            </w:r>
          </w:p>
        </w:tc>
        <w:tc>
          <w:tcPr>
            <w:tcW w:w="1120" w:type="dxa"/>
            <w:tcBorders>
              <w:top w:val="nil"/>
              <w:left w:val="nil"/>
              <w:bottom w:val="nil"/>
              <w:right w:val="single" w:sz="4" w:space="0" w:color="auto"/>
              <w:tl2br w:val="nil"/>
              <w:tr2bl w:val="nil"/>
            </w:tcBorders>
            <w:noWrap/>
            <w:textDirection w:val="lrTb"/>
            <w:vAlign w:val="center"/>
          </w:tcPr>
          <w:p w:rsidR="00403178" w:rsidRPr="005A0FB7" w:rsidP="005A0FB7">
            <w:pPr>
              <w:spacing w:line="240" w:lineRule="auto"/>
              <w:jc w:val="right"/>
              <w:rPr>
                <w:rFonts w:ascii="Arial Narrow" w:hAnsi="Arial Narrow" w:cs="Times New Roman"/>
                <w:lang w:eastAsia="sk-SK"/>
              </w:rPr>
            </w:pPr>
            <w:r w:rsidRPr="005A0FB7">
              <w:rPr>
                <w:rFonts w:ascii="Arial Narrow" w:hAnsi="Arial Narrow" w:cs="Times New Roman"/>
                <w:lang w:eastAsia="sk-SK"/>
              </w:rPr>
              <w:t> </w:t>
            </w:r>
          </w:p>
        </w:tc>
      </w:tr>
      <w:tr>
        <w:tblPrEx>
          <w:tblW w:w="9135" w:type="dxa"/>
          <w:tblInd w:w="55" w:type="dxa"/>
          <w:tblCellMar>
            <w:left w:w="70" w:type="dxa"/>
            <w:right w:w="70" w:type="dxa"/>
          </w:tblCellMar>
        </w:tblPrEx>
        <w:trPr>
          <w:trHeight w:hRule="exact" w:val="227"/>
        </w:trPr>
        <w:tc>
          <w:tcPr>
            <w:tcW w:w="5775" w:type="dxa"/>
            <w:tcBorders>
              <w:top w:val="nil"/>
              <w:left w:val="single" w:sz="4" w:space="0" w:color="auto"/>
              <w:bottom w:val="single" w:sz="4" w:space="0" w:color="auto"/>
              <w:right w:val="nil"/>
              <w:tl2br w:val="nil"/>
              <w:tr2bl w:val="nil"/>
            </w:tcBorders>
            <w:noWrap/>
            <w:textDirection w:val="lrTb"/>
            <w:vAlign w:val="center"/>
          </w:tcPr>
          <w:p w:rsidR="00403178" w:rsidRPr="005A0FB7" w:rsidP="005A0FB7">
            <w:pPr>
              <w:spacing w:line="240" w:lineRule="auto"/>
              <w:rPr>
                <w:rFonts w:ascii="Arial Narrow" w:hAnsi="Arial Narrow" w:cs="Times New Roman"/>
                <w:lang w:eastAsia="sk-SK"/>
              </w:rPr>
            </w:pPr>
            <w:r w:rsidRPr="005A0FB7">
              <w:rPr>
                <w:rFonts w:ascii="Arial Narrow" w:hAnsi="Arial Narrow" w:cs="Times New Roman"/>
                <w:lang w:eastAsia="sk-SK"/>
              </w:rPr>
              <w:t xml:space="preserve">      podľa prílohy č. 1 k uzneseniu vlády SR č. 856/2006</w:t>
            </w:r>
          </w:p>
        </w:tc>
        <w:tc>
          <w:tcPr>
            <w:tcW w:w="1120" w:type="dxa"/>
            <w:tcBorders>
              <w:top w:val="nil"/>
              <w:left w:val="single" w:sz="4" w:space="0" w:color="auto"/>
              <w:bottom w:val="single" w:sz="4" w:space="0" w:color="auto"/>
              <w:right w:val="nil"/>
              <w:tl2br w:val="nil"/>
              <w:tr2bl w:val="nil"/>
            </w:tcBorders>
            <w:noWrap/>
            <w:textDirection w:val="lrTb"/>
            <w:vAlign w:val="center"/>
          </w:tcPr>
          <w:p w:rsidR="00403178" w:rsidRPr="005A0FB7" w:rsidP="005A0FB7">
            <w:pPr>
              <w:spacing w:line="240" w:lineRule="auto"/>
              <w:jc w:val="right"/>
              <w:rPr>
                <w:rFonts w:ascii="Arial Narrow" w:hAnsi="Arial Narrow" w:cs="Times New Roman"/>
                <w:lang w:eastAsia="sk-SK"/>
              </w:rPr>
            </w:pPr>
            <w:r w:rsidRPr="005A0FB7">
              <w:rPr>
                <w:rFonts w:ascii="Arial Narrow" w:hAnsi="Arial Narrow" w:cs="Times New Roman"/>
                <w:lang w:eastAsia="sk-SK"/>
              </w:rPr>
              <w:t> </w:t>
            </w:r>
          </w:p>
        </w:tc>
        <w:tc>
          <w:tcPr>
            <w:tcW w:w="1120" w:type="dxa"/>
            <w:tcBorders>
              <w:top w:val="nil"/>
              <w:left w:val="single" w:sz="4" w:space="0" w:color="auto"/>
              <w:bottom w:val="single" w:sz="4" w:space="0" w:color="auto"/>
              <w:right w:val="single" w:sz="4" w:space="0" w:color="auto"/>
              <w:tl2br w:val="nil"/>
              <w:tr2bl w:val="nil"/>
            </w:tcBorders>
            <w:noWrap/>
            <w:textDirection w:val="lrTb"/>
            <w:vAlign w:val="center"/>
          </w:tcPr>
          <w:p w:rsidR="00403178" w:rsidRPr="005A0FB7" w:rsidP="005A0FB7">
            <w:pPr>
              <w:spacing w:line="240" w:lineRule="auto"/>
              <w:jc w:val="right"/>
              <w:rPr>
                <w:rFonts w:ascii="Arial Narrow" w:hAnsi="Arial Narrow" w:cs="Times New Roman"/>
                <w:lang w:eastAsia="sk-SK"/>
              </w:rPr>
            </w:pPr>
            <w:r w:rsidRPr="005A0FB7">
              <w:rPr>
                <w:rFonts w:ascii="Arial Narrow" w:hAnsi="Arial Narrow" w:cs="Times New Roman"/>
                <w:lang w:eastAsia="sk-SK"/>
              </w:rPr>
              <w:t> </w:t>
            </w:r>
          </w:p>
        </w:tc>
        <w:tc>
          <w:tcPr>
            <w:tcW w:w="1120" w:type="dxa"/>
            <w:tcBorders>
              <w:top w:val="nil"/>
              <w:left w:val="nil"/>
              <w:bottom w:val="single" w:sz="4" w:space="0" w:color="auto"/>
              <w:right w:val="single" w:sz="4" w:space="0" w:color="auto"/>
              <w:tl2br w:val="nil"/>
              <w:tr2bl w:val="nil"/>
            </w:tcBorders>
            <w:noWrap/>
            <w:textDirection w:val="lrTb"/>
            <w:vAlign w:val="center"/>
          </w:tcPr>
          <w:p w:rsidR="00403178" w:rsidRPr="005A0FB7" w:rsidP="005A0FB7">
            <w:pPr>
              <w:spacing w:line="240" w:lineRule="auto"/>
              <w:jc w:val="right"/>
              <w:rPr>
                <w:rFonts w:ascii="Arial Narrow" w:hAnsi="Arial Narrow" w:cs="Times New Roman"/>
                <w:lang w:eastAsia="sk-SK"/>
              </w:rPr>
            </w:pPr>
            <w:r w:rsidRPr="005A0FB7">
              <w:rPr>
                <w:rFonts w:ascii="Arial Narrow" w:hAnsi="Arial Narrow" w:cs="Times New Roman"/>
                <w:lang w:eastAsia="sk-SK"/>
              </w:rPr>
              <w:t> </w:t>
            </w:r>
          </w:p>
        </w:tc>
      </w:tr>
      <w:tr>
        <w:tblPrEx>
          <w:tblW w:w="9135" w:type="dxa"/>
          <w:tblInd w:w="55" w:type="dxa"/>
          <w:tblCellMar>
            <w:left w:w="70" w:type="dxa"/>
            <w:right w:w="70" w:type="dxa"/>
          </w:tblCellMar>
        </w:tblPrEx>
        <w:trPr>
          <w:trHeight w:hRule="exact" w:val="227"/>
        </w:trPr>
        <w:tc>
          <w:tcPr>
            <w:tcW w:w="5775" w:type="dxa"/>
            <w:tcBorders>
              <w:top w:val="nil"/>
              <w:left w:val="single" w:sz="4" w:space="0" w:color="auto"/>
              <w:bottom w:val="single" w:sz="4" w:space="0" w:color="auto"/>
              <w:right w:val="single" w:sz="4" w:space="0" w:color="auto"/>
              <w:tl2br w:val="nil"/>
              <w:tr2bl w:val="nil"/>
            </w:tcBorders>
            <w:noWrap/>
            <w:textDirection w:val="lrTb"/>
            <w:vAlign w:val="center"/>
          </w:tcPr>
          <w:p w:rsidR="00403178" w:rsidRPr="005A0FB7" w:rsidP="005A0FB7">
            <w:pPr>
              <w:spacing w:line="240" w:lineRule="auto"/>
              <w:rPr>
                <w:rFonts w:ascii="Arial Narrow" w:hAnsi="Arial Narrow" w:cs="Times New Roman"/>
                <w:lang w:eastAsia="sk-SK"/>
              </w:rPr>
            </w:pPr>
            <w:r w:rsidRPr="005A0FB7">
              <w:rPr>
                <w:rFonts w:ascii="Arial Narrow" w:hAnsi="Arial Narrow" w:cs="Times New Roman"/>
                <w:lang w:eastAsia="sk-SK"/>
              </w:rPr>
              <w:t xml:space="preserve">      (osoby)</w:t>
            </w:r>
          </w:p>
        </w:tc>
        <w:tc>
          <w:tcPr>
            <w:tcW w:w="1120" w:type="dxa"/>
            <w:tcBorders>
              <w:top w:val="nil"/>
              <w:left w:val="nil"/>
              <w:bottom w:val="single" w:sz="4" w:space="0" w:color="auto"/>
              <w:right w:val="single" w:sz="4" w:space="0" w:color="auto"/>
              <w:tl2br w:val="nil"/>
              <w:tr2bl w:val="nil"/>
            </w:tcBorders>
            <w:noWrap/>
            <w:textDirection w:val="lrTb"/>
            <w:vAlign w:val="center"/>
          </w:tcPr>
          <w:p w:rsidR="00403178" w:rsidRPr="005A0FB7" w:rsidP="005A0FB7">
            <w:pPr>
              <w:spacing w:line="240" w:lineRule="auto"/>
              <w:jc w:val="right"/>
              <w:rPr>
                <w:rFonts w:ascii="Arial Narrow" w:hAnsi="Arial Narrow" w:cs="Times New Roman"/>
                <w:lang w:eastAsia="sk-SK"/>
              </w:rPr>
            </w:pPr>
            <w:r w:rsidRPr="005A0FB7">
              <w:rPr>
                <w:rFonts w:ascii="Arial Narrow" w:hAnsi="Arial Narrow" w:cs="Times New Roman"/>
                <w:lang w:eastAsia="sk-SK"/>
              </w:rPr>
              <w:t>2 982</w:t>
            </w:r>
          </w:p>
        </w:tc>
        <w:tc>
          <w:tcPr>
            <w:tcW w:w="1120" w:type="dxa"/>
            <w:tcBorders>
              <w:top w:val="nil"/>
              <w:left w:val="nil"/>
              <w:bottom w:val="single" w:sz="4" w:space="0" w:color="auto"/>
              <w:right w:val="single" w:sz="4" w:space="0" w:color="auto"/>
              <w:tl2br w:val="nil"/>
              <w:tr2bl w:val="nil"/>
            </w:tcBorders>
            <w:shd w:val="clear" w:color="auto" w:fill="FFFFFF"/>
            <w:noWrap/>
            <w:textDirection w:val="lrTb"/>
            <w:vAlign w:val="center"/>
          </w:tcPr>
          <w:p w:rsidR="00403178" w:rsidRPr="005A0FB7" w:rsidP="005A0FB7">
            <w:pPr>
              <w:spacing w:line="240" w:lineRule="auto"/>
              <w:jc w:val="right"/>
              <w:rPr>
                <w:rFonts w:ascii="Arial Narrow" w:hAnsi="Arial Narrow" w:cs="Times New Roman"/>
                <w:lang w:eastAsia="sk-SK"/>
              </w:rPr>
            </w:pPr>
            <w:r w:rsidRPr="005A0FB7">
              <w:rPr>
                <w:rFonts w:ascii="Arial Narrow" w:hAnsi="Arial Narrow" w:cs="Times New Roman"/>
                <w:lang w:eastAsia="sk-SK"/>
              </w:rPr>
              <w:t>2 959</w:t>
            </w:r>
          </w:p>
        </w:tc>
        <w:tc>
          <w:tcPr>
            <w:tcW w:w="1120" w:type="dxa"/>
            <w:tcBorders>
              <w:top w:val="nil"/>
              <w:left w:val="nil"/>
              <w:bottom w:val="single" w:sz="4" w:space="0" w:color="auto"/>
              <w:right w:val="single" w:sz="4" w:space="0" w:color="auto"/>
              <w:tl2br w:val="nil"/>
              <w:tr2bl w:val="nil"/>
            </w:tcBorders>
            <w:shd w:val="clear" w:color="auto" w:fill="FFFFFF"/>
            <w:noWrap/>
            <w:textDirection w:val="lrTb"/>
            <w:vAlign w:val="center"/>
          </w:tcPr>
          <w:p w:rsidR="00403178" w:rsidRPr="005A0FB7" w:rsidP="005A0FB7">
            <w:pPr>
              <w:spacing w:line="240" w:lineRule="auto"/>
              <w:jc w:val="right"/>
              <w:rPr>
                <w:rFonts w:ascii="Arial Narrow" w:hAnsi="Arial Narrow" w:cs="Times New Roman"/>
                <w:lang w:eastAsia="sk-SK"/>
              </w:rPr>
            </w:pPr>
            <w:r w:rsidRPr="005A0FB7">
              <w:rPr>
                <w:rFonts w:ascii="Arial Narrow" w:hAnsi="Arial Narrow" w:cs="Times New Roman"/>
                <w:lang w:eastAsia="sk-SK"/>
              </w:rPr>
              <w:t>2 734</w:t>
            </w:r>
          </w:p>
        </w:tc>
      </w:tr>
      <w:tr>
        <w:tblPrEx>
          <w:tblW w:w="9135" w:type="dxa"/>
          <w:tblInd w:w="55" w:type="dxa"/>
          <w:tblCellMar>
            <w:left w:w="70" w:type="dxa"/>
            <w:right w:w="70" w:type="dxa"/>
          </w:tblCellMar>
        </w:tblPrEx>
        <w:trPr>
          <w:trHeight w:hRule="exact" w:val="227"/>
        </w:trPr>
        <w:tc>
          <w:tcPr>
            <w:tcW w:w="5775" w:type="dxa"/>
            <w:tcBorders>
              <w:top w:val="nil"/>
              <w:left w:val="single" w:sz="4" w:space="0" w:color="auto"/>
              <w:bottom w:val="single" w:sz="4" w:space="0" w:color="auto"/>
              <w:right w:val="single" w:sz="4" w:space="0" w:color="auto"/>
              <w:tl2br w:val="nil"/>
              <w:tr2bl w:val="nil"/>
            </w:tcBorders>
            <w:noWrap/>
            <w:textDirection w:val="lrTb"/>
            <w:vAlign w:val="center"/>
          </w:tcPr>
          <w:p w:rsidR="00403178" w:rsidRPr="005A0FB7" w:rsidP="005A0FB7">
            <w:pPr>
              <w:spacing w:line="240" w:lineRule="auto"/>
              <w:rPr>
                <w:rFonts w:ascii="Arial Narrow" w:hAnsi="Arial Narrow" w:cs="Times New Roman"/>
                <w:lang w:eastAsia="sk-SK"/>
              </w:rPr>
            </w:pPr>
            <w:r w:rsidRPr="005A0FB7">
              <w:rPr>
                <w:rFonts w:ascii="Arial Narrow" w:hAnsi="Arial Narrow" w:cs="Times New Roman"/>
                <w:lang w:eastAsia="sk-SK"/>
              </w:rPr>
              <w:t xml:space="preserve">      z toho:</w:t>
            </w:r>
          </w:p>
        </w:tc>
        <w:tc>
          <w:tcPr>
            <w:tcW w:w="1120" w:type="dxa"/>
            <w:tcBorders>
              <w:top w:val="nil"/>
              <w:left w:val="nil"/>
              <w:bottom w:val="single" w:sz="4" w:space="0" w:color="auto"/>
              <w:right w:val="single" w:sz="4" w:space="0" w:color="auto"/>
              <w:tl2br w:val="nil"/>
              <w:tr2bl w:val="nil"/>
            </w:tcBorders>
            <w:noWrap/>
            <w:textDirection w:val="lrTb"/>
            <w:vAlign w:val="center"/>
          </w:tcPr>
          <w:p w:rsidR="00403178" w:rsidRPr="005A0FB7" w:rsidP="005A0FB7">
            <w:pPr>
              <w:spacing w:line="240" w:lineRule="auto"/>
              <w:jc w:val="right"/>
              <w:rPr>
                <w:rFonts w:ascii="Arial Narrow" w:hAnsi="Arial Narrow" w:cs="Times New Roman"/>
                <w:lang w:eastAsia="sk-SK"/>
              </w:rPr>
            </w:pPr>
            <w:r w:rsidRPr="005A0FB7">
              <w:rPr>
                <w:rFonts w:ascii="Arial Narrow" w:hAnsi="Arial Narrow" w:cs="Times New Roman"/>
                <w:lang w:eastAsia="sk-SK"/>
              </w:rPr>
              <w:t> </w:t>
            </w:r>
          </w:p>
        </w:tc>
        <w:tc>
          <w:tcPr>
            <w:tcW w:w="1120" w:type="dxa"/>
            <w:tcBorders>
              <w:top w:val="nil"/>
              <w:left w:val="nil"/>
              <w:bottom w:val="single" w:sz="4" w:space="0" w:color="auto"/>
              <w:right w:val="single" w:sz="4" w:space="0" w:color="auto"/>
              <w:tl2br w:val="nil"/>
              <w:tr2bl w:val="nil"/>
            </w:tcBorders>
            <w:shd w:val="clear" w:color="auto" w:fill="FFFFFF"/>
            <w:noWrap/>
            <w:textDirection w:val="lrTb"/>
            <w:vAlign w:val="center"/>
          </w:tcPr>
          <w:p w:rsidR="00403178" w:rsidRPr="005A0FB7" w:rsidP="005A0FB7">
            <w:pPr>
              <w:spacing w:line="240" w:lineRule="auto"/>
              <w:jc w:val="right"/>
              <w:rPr>
                <w:rFonts w:ascii="Arial Narrow" w:hAnsi="Arial Narrow" w:cs="Times New Roman"/>
                <w:lang w:eastAsia="sk-SK"/>
              </w:rPr>
            </w:pPr>
            <w:r w:rsidRPr="005A0FB7">
              <w:rPr>
                <w:rFonts w:ascii="Arial Narrow" w:hAnsi="Arial Narrow" w:cs="Times New Roman"/>
                <w:lang w:eastAsia="sk-SK"/>
              </w:rPr>
              <w:t> </w:t>
            </w:r>
          </w:p>
        </w:tc>
        <w:tc>
          <w:tcPr>
            <w:tcW w:w="1120" w:type="dxa"/>
            <w:tcBorders>
              <w:top w:val="nil"/>
              <w:left w:val="nil"/>
              <w:bottom w:val="single" w:sz="4" w:space="0" w:color="auto"/>
              <w:right w:val="single" w:sz="4" w:space="0" w:color="auto"/>
              <w:tl2br w:val="nil"/>
              <w:tr2bl w:val="nil"/>
            </w:tcBorders>
            <w:shd w:val="clear" w:color="auto" w:fill="FFFFFF"/>
            <w:noWrap/>
            <w:textDirection w:val="lrTb"/>
            <w:vAlign w:val="center"/>
          </w:tcPr>
          <w:p w:rsidR="00403178" w:rsidRPr="005A0FB7" w:rsidP="005A0FB7">
            <w:pPr>
              <w:spacing w:line="240" w:lineRule="auto"/>
              <w:jc w:val="right"/>
              <w:rPr>
                <w:rFonts w:ascii="Arial Narrow" w:hAnsi="Arial Narrow" w:cs="Times New Roman"/>
                <w:lang w:eastAsia="sk-SK"/>
              </w:rPr>
            </w:pPr>
            <w:r w:rsidRPr="005A0FB7">
              <w:rPr>
                <w:rFonts w:ascii="Arial Narrow" w:hAnsi="Arial Narrow" w:cs="Times New Roman"/>
                <w:lang w:eastAsia="sk-SK"/>
              </w:rPr>
              <w:t> </w:t>
            </w:r>
          </w:p>
        </w:tc>
      </w:tr>
      <w:tr>
        <w:tblPrEx>
          <w:tblW w:w="9135" w:type="dxa"/>
          <w:tblInd w:w="55" w:type="dxa"/>
          <w:tblCellMar>
            <w:left w:w="70" w:type="dxa"/>
            <w:right w:w="70" w:type="dxa"/>
          </w:tblCellMar>
        </w:tblPrEx>
        <w:trPr>
          <w:trHeight w:hRule="exact" w:val="227"/>
        </w:trPr>
        <w:tc>
          <w:tcPr>
            <w:tcW w:w="5775" w:type="dxa"/>
            <w:tcBorders>
              <w:top w:val="nil"/>
              <w:left w:val="single" w:sz="4" w:space="0" w:color="auto"/>
              <w:bottom w:val="single" w:sz="4" w:space="0" w:color="auto"/>
              <w:right w:val="single" w:sz="4" w:space="0" w:color="auto"/>
              <w:tl2br w:val="nil"/>
              <w:tr2bl w:val="nil"/>
            </w:tcBorders>
            <w:noWrap/>
            <w:textDirection w:val="lrTb"/>
            <w:vAlign w:val="center"/>
          </w:tcPr>
          <w:p w:rsidR="00403178" w:rsidRPr="005A0FB7" w:rsidP="005A0FB7">
            <w:pPr>
              <w:spacing w:line="240" w:lineRule="auto"/>
              <w:rPr>
                <w:rFonts w:ascii="Arial Narrow" w:hAnsi="Arial Narrow" w:cs="Times New Roman"/>
                <w:lang w:eastAsia="sk-SK"/>
              </w:rPr>
            </w:pPr>
            <w:r w:rsidRPr="005A0FB7">
              <w:rPr>
                <w:rFonts w:ascii="Arial Narrow" w:hAnsi="Arial Narrow" w:cs="Times New Roman"/>
                <w:lang w:eastAsia="sk-SK"/>
              </w:rPr>
              <w:t xml:space="preserve">      aparát ústredného orgánu (osoby)</w:t>
            </w:r>
          </w:p>
        </w:tc>
        <w:tc>
          <w:tcPr>
            <w:tcW w:w="1120" w:type="dxa"/>
            <w:tcBorders>
              <w:top w:val="nil"/>
              <w:left w:val="nil"/>
              <w:bottom w:val="single" w:sz="4" w:space="0" w:color="auto"/>
              <w:right w:val="single" w:sz="4" w:space="0" w:color="auto"/>
              <w:tl2br w:val="nil"/>
              <w:tr2bl w:val="nil"/>
            </w:tcBorders>
            <w:noWrap/>
            <w:textDirection w:val="lrTb"/>
            <w:vAlign w:val="center"/>
          </w:tcPr>
          <w:p w:rsidR="00403178" w:rsidRPr="005A0FB7" w:rsidP="005A0FB7">
            <w:pPr>
              <w:spacing w:line="240" w:lineRule="auto"/>
              <w:jc w:val="right"/>
              <w:rPr>
                <w:rFonts w:ascii="Arial Narrow" w:hAnsi="Arial Narrow" w:cs="Times New Roman"/>
                <w:lang w:eastAsia="sk-SK"/>
              </w:rPr>
            </w:pPr>
            <w:r w:rsidRPr="005A0FB7">
              <w:rPr>
                <w:rFonts w:ascii="Arial Narrow" w:hAnsi="Arial Narrow" w:cs="Times New Roman"/>
                <w:lang w:eastAsia="sk-SK"/>
              </w:rPr>
              <w:t>330</w:t>
            </w:r>
          </w:p>
        </w:tc>
        <w:tc>
          <w:tcPr>
            <w:tcW w:w="1120" w:type="dxa"/>
            <w:tcBorders>
              <w:top w:val="nil"/>
              <w:left w:val="nil"/>
              <w:bottom w:val="single" w:sz="4" w:space="0" w:color="auto"/>
              <w:right w:val="single" w:sz="4" w:space="0" w:color="auto"/>
              <w:tl2br w:val="nil"/>
              <w:tr2bl w:val="nil"/>
            </w:tcBorders>
            <w:shd w:val="clear" w:color="auto" w:fill="FFFFFF"/>
            <w:noWrap/>
            <w:textDirection w:val="lrTb"/>
            <w:vAlign w:val="center"/>
          </w:tcPr>
          <w:p w:rsidR="00403178" w:rsidRPr="005A0FB7" w:rsidP="005A0FB7">
            <w:pPr>
              <w:spacing w:line="240" w:lineRule="auto"/>
              <w:jc w:val="right"/>
              <w:rPr>
                <w:rFonts w:ascii="Arial Narrow" w:hAnsi="Arial Narrow" w:cs="Times New Roman"/>
                <w:lang w:eastAsia="sk-SK"/>
              </w:rPr>
            </w:pPr>
            <w:r w:rsidRPr="005A0FB7">
              <w:rPr>
                <w:rFonts w:ascii="Arial Narrow" w:hAnsi="Arial Narrow" w:cs="Times New Roman"/>
                <w:lang w:eastAsia="sk-SK"/>
              </w:rPr>
              <w:t>313</w:t>
            </w:r>
          </w:p>
        </w:tc>
        <w:tc>
          <w:tcPr>
            <w:tcW w:w="1120" w:type="dxa"/>
            <w:tcBorders>
              <w:top w:val="nil"/>
              <w:left w:val="nil"/>
              <w:bottom w:val="single" w:sz="4" w:space="0" w:color="auto"/>
              <w:right w:val="single" w:sz="4" w:space="0" w:color="auto"/>
              <w:tl2br w:val="nil"/>
              <w:tr2bl w:val="nil"/>
            </w:tcBorders>
            <w:shd w:val="clear" w:color="auto" w:fill="FFFFFF"/>
            <w:noWrap/>
            <w:textDirection w:val="lrTb"/>
            <w:vAlign w:val="center"/>
          </w:tcPr>
          <w:p w:rsidR="00403178" w:rsidRPr="005A0FB7" w:rsidP="005A0FB7">
            <w:pPr>
              <w:spacing w:line="240" w:lineRule="auto"/>
              <w:jc w:val="right"/>
              <w:rPr>
                <w:rFonts w:ascii="Arial Narrow" w:hAnsi="Arial Narrow" w:cs="Times New Roman"/>
                <w:lang w:eastAsia="sk-SK"/>
              </w:rPr>
            </w:pPr>
            <w:r w:rsidRPr="005A0FB7">
              <w:rPr>
                <w:rFonts w:ascii="Arial Narrow" w:hAnsi="Arial Narrow" w:cs="Times New Roman"/>
                <w:lang w:eastAsia="sk-SK"/>
              </w:rPr>
              <w:t>289</w:t>
            </w:r>
          </w:p>
        </w:tc>
      </w:tr>
      <w:tr>
        <w:tblPrEx>
          <w:tblW w:w="9135" w:type="dxa"/>
          <w:tblInd w:w="55" w:type="dxa"/>
          <w:tblCellMar>
            <w:left w:w="70" w:type="dxa"/>
            <w:right w:w="70" w:type="dxa"/>
          </w:tblCellMar>
        </w:tblPrEx>
        <w:trPr>
          <w:trHeight w:hRule="exact" w:val="227"/>
        </w:trPr>
        <w:tc>
          <w:tcPr>
            <w:tcW w:w="5775" w:type="dxa"/>
            <w:tcBorders>
              <w:top w:val="nil"/>
              <w:left w:val="single" w:sz="4" w:space="0" w:color="auto"/>
              <w:bottom w:val="nil"/>
              <w:right w:val="single" w:sz="4" w:space="0" w:color="auto"/>
              <w:tl2br w:val="nil"/>
              <w:tr2bl w:val="nil"/>
            </w:tcBorders>
            <w:noWrap/>
            <w:textDirection w:val="lrTb"/>
            <w:vAlign w:val="center"/>
          </w:tcPr>
          <w:p w:rsidR="00403178" w:rsidRPr="005A0FB7" w:rsidP="005A0FB7">
            <w:pPr>
              <w:spacing w:line="240" w:lineRule="auto"/>
              <w:rPr>
                <w:rFonts w:ascii="Arial Narrow" w:hAnsi="Arial Narrow" w:cs="Times New Roman"/>
                <w:lang w:eastAsia="sk-SK"/>
              </w:rPr>
            </w:pPr>
            <w:r w:rsidRPr="005A0FB7">
              <w:rPr>
                <w:rFonts w:ascii="Arial Narrow" w:hAnsi="Arial Narrow" w:cs="Times New Roman"/>
                <w:lang w:eastAsia="sk-SK"/>
              </w:rPr>
              <w:t>A.3. kapitálové výdavky (700)(bez prostriedkov</w:t>
            </w:r>
            <w:r>
              <w:rPr>
                <w:rFonts w:ascii="Arial Narrow" w:hAnsi="Arial Narrow" w:cs="Times New Roman"/>
                <w:lang w:eastAsia="sk-SK"/>
              </w:rPr>
              <w:t xml:space="preserve"> </w:t>
            </w:r>
            <w:r w:rsidRPr="005A0FB7">
              <w:rPr>
                <w:rFonts w:ascii="Arial Narrow" w:hAnsi="Arial Narrow" w:cs="Times New Roman"/>
                <w:lang w:eastAsia="sk-SK"/>
              </w:rPr>
              <w:t xml:space="preserve">na spolufinancovanie)     </w:t>
            </w:r>
          </w:p>
        </w:tc>
        <w:tc>
          <w:tcPr>
            <w:tcW w:w="1120" w:type="dxa"/>
            <w:tcBorders>
              <w:top w:val="single" w:sz="4" w:space="0" w:color="auto"/>
              <w:left w:val="single" w:sz="4" w:space="0" w:color="auto"/>
              <w:bottom w:val="nil"/>
              <w:right w:val="single" w:sz="4" w:space="0" w:color="auto"/>
              <w:tl2br w:val="nil"/>
              <w:tr2bl w:val="nil"/>
            </w:tcBorders>
            <w:noWrap/>
            <w:textDirection w:val="lrTb"/>
            <w:vAlign w:val="center"/>
          </w:tcPr>
          <w:p w:rsidR="00403178" w:rsidRPr="005A0FB7" w:rsidP="00773604">
            <w:pPr>
              <w:spacing w:line="240" w:lineRule="auto"/>
              <w:jc w:val="right"/>
              <w:rPr>
                <w:rFonts w:ascii="Arial Narrow" w:hAnsi="Arial Narrow" w:cs="Times New Roman"/>
                <w:lang w:eastAsia="sk-SK"/>
              </w:rPr>
            </w:pPr>
            <w:r w:rsidRPr="005A0FB7">
              <w:rPr>
                <w:rFonts w:ascii="Arial Narrow" w:hAnsi="Arial Narrow" w:cs="Times New Roman"/>
                <w:lang w:eastAsia="sk-SK"/>
              </w:rPr>
              <w:t>9 359 573</w:t>
            </w:r>
          </w:p>
        </w:tc>
        <w:tc>
          <w:tcPr>
            <w:tcW w:w="1120" w:type="dxa"/>
            <w:tcBorders>
              <w:top w:val="single" w:sz="4" w:space="0" w:color="auto"/>
              <w:left w:val="single" w:sz="4" w:space="0" w:color="auto"/>
              <w:bottom w:val="nil"/>
              <w:right w:val="single" w:sz="4" w:space="0" w:color="auto"/>
              <w:tl2br w:val="nil"/>
              <w:tr2bl w:val="nil"/>
            </w:tcBorders>
            <w:noWrap/>
            <w:textDirection w:val="lrTb"/>
            <w:vAlign w:val="center"/>
          </w:tcPr>
          <w:p w:rsidR="00403178" w:rsidRPr="005A0FB7" w:rsidP="00773604">
            <w:pPr>
              <w:spacing w:line="240" w:lineRule="auto"/>
              <w:jc w:val="right"/>
              <w:rPr>
                <w:rFonts w:ascii="Arial Narrow" w:hAnsi="Arial Narrow" w:cs="Times New Roman"/>
                <w:lang w:eastAsia="sk-SK"/>
              </w:rPr>
            </w:pPr>
            <w:r w:rsidR="00760D84">
              <w:rPr>
                <w:rFonts w:ascii="Arial Narrow" w:hAnsi="Arial Narrow" w:cs="Times New Roman"/>
                <w:lang w:eastAsia="sk-SK"/>
              </w:rPr>
              <w:t>11 398 316</w:t>
            </w:r>
          </w:p>
        </w:tc>
        <w:tc>
          <w:tcPr>
            <w:tcW w:w="1120" w:type="dxa"/>
            <w:tcBorders>
              <w:top w:val="single" w:sz="4" w:space="0" w:color="auto"/>
              <w:left w:val="single" w:sz="4" w:space="0" w:color="auto"/>
              <w:bottom w:val="nil"/>
              <w:right w:val="single" w:sz="4" w:space="0" w:color="auto"/>
              <w:tl2br w:val="nil"/>
              <w:tr2bl w:val="nil"/>
            </w:tcBorders>
            <w:noWrap/>
            <w:textDirection w:val="lrTb"/>
            <w:vAlign w:val="center"/>
          </w:tcPr>
          <w:p w:rsidR="00403178" w:rsidRPr="005A0FB7" w:rsidP="00773604">
            <w:pPr>
              <w:spacing w:line="240" w:lineRule="auto"/>
              <w:jc w:val="right"/>
              <w:rPr>
                <w:rFonts w:ascii="Arial Narrow" w:hAnsi="Arial Narrow" w:cs="Times New Roman"/>
                <w:lang w:eastAsia="sk-SK"/>
              </w:rPr>
            </w:pPr>
            <w:r w:rsidRPr="005A0FB7">
              <w:rPr>
                <w:rFonts w:ascii="Arial Narrow" w:hAnsi="Arial Narrow" w:cs="Times New Roman"/>
                <w:lang w:eastAsia="sk-SK"/>
              </w:rPr>
              <w:t>11</w:t>
            </w:r>
            <w:r w:rsidR="00760D84">
              <w:rPr>
                <w:rFonts w:ascii="Arial Narrow" w:hAnsi="Arial Narrow" w:cs="Times New Roman"/>
                <w:lang w:eastAsia="sk-SK"/>
              </w:rPr>
              <w:t> 455 676</w:t>
            </w:r>
          </w:p>
        </w:tc>
      </w:tr>
      <w:tr>
        <w:tblPrEx>
          <w:tblW w:w="9135" w:type="dxa"/>
          <w:tblInd w:w="55" w:type="dxa"/>
          <w:tblCellMar>
            <w:left w:w="70" w:type="dxa"/>
            <w:right w:w="70" w:type="dxa"/>
          </w:tblCellMar>
        </w:tblPrEx>
        <w:trPr>
          <w:trHeight w:hRule="exact" w:val="227"/>
        </w:trPr>
        <w:tc>
          <w:tcPr>
            <w:tcW w:w="5775"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403178" w:rsidRPr="005A0FB7" w:rsidP="005A0FB7">
            <w:pPr>
              <w:spacing w:line="240" w:lineRule="auto"/>
              <w:rPr>
                <w:rFonts w:ascii="Arial Narrow" w:hAnsi="Arial Narrow" w:cs="Times New Roman"/>
                <w:lang w:eastAsia="sk-SK"/>
              </w:rPr>
            </w:pPr>
            <w:r w:rsidRPr="005A0FB7">
              <w:rPr>
                <w:rFonts w:ascii="Arial Narrow" w:hAnsi="Arial Narrow" w:cs="Times New Roman"/>
                <w:lang w:eastAsia="sk-SK"/>
              </w:rPr>
              <w:t xml:space="preserve">       z toho:                           </w:t>
            </w:r>
            <w:r>
              <w:rPr>
                <w:rFonts w:ascii="Arial Narrow" w:hAnsi="Arial Narrow" w:cs="Times New Roman"/>
                <w:lang w:eastAsia="sk-SK"/>
              </w:rPr>
              <w:t xml:space="preserve">   </w:t>
            </w:r>
            <w:r w:rsidRPr="005A0FB7">
              <w:rPr>
                <w:rFonts w:ascii="Arial Narrow" w:hAnsi="Arial Narrow" w:cs="Times New Roman"/>
                <w:lang w:eastAsia="sk-SK"/>
              </w:rPr>
              <w:t>(kód zdroja 111)</w:t>
            </w:r>
          </w:p>
        </w:tc>
        <w:tc>
          <w:tcPr>
            <w:tcW w:w="1120" w:type="dxa"/>
            <w:tcBorders>
              <w:top w:val="single" w:sz="4" w:space="0" w:color="auto"/>
              <w:left w:val="nil"/>
              <w:bottom w:val="single" w:sz="4" w:space="0" w:color="auto"/>
              <w:right w:val="single" w:sz="4" w:space="0" w:color="auto"/>
              <w:tl2br w:val="nil"/>
              <w:tr2bl w:val="nil"/>
            </w:tcBorders>
            <w:noWrap/>
            <w:textDirection w:val="lrTb"/>
            <w:vAlign w:val="center"/>
          </w:tcPr>
          <w:p w:rsidR="00403178" w:rsidRPr="005A0FB7" w:rsidP="005A0FB7">
            <w:pPr>
              <w:spacing w:line="240" w:lineRule="auto"/>
              <w:jc w:val="right"/>
              <w:rPr>
                <w:rFonts w:ascii="Arial Narrow" w:hAnsi="Arial Narrow" w:cs="Times New Roman"/>
                <w:lang w:eastAsia="sk-SK"/>
              </w:rPr>
            </w:pPr>
            <w:r w:rsidRPr="005A0FB7">
              <w:rPr>
                <w:rFonts w:ascii="Arial Narrow" w:hAnsi="Arial Narrow" w:cs="Times New Roman"/>
                <w:lang w:eastAsia="sk-SK"/>
              </w:rPr>
              <w:t>7 325 573</w:t>
            </w:r>
          </w:p>
        </w:tc>
        <w:tc>
          <w:tcPr>
            <w:tcW w:w="1120" w:type="dxa"/>
            <w:tcBorders>
              <w:top w:val="single" w:sz="4" w:space="0" w:color="auto"/>
              <w:left w:val="nil"/>
              <w:bottom w:val="single" w:sz="4" w:space="0" w:color="auto"/>
              <w:right w:val="single" w:sz="4" w:space="0" w:color="auto"/>
              <w:tl2br w:val="nil"/>
              <w:tr2bl w:val="nil"/>
            </w:tcBorders>
            <w:noWrap/>
            <w:textDirection w:val="lrTb"/>
            <w:vAlign w:val="center"/>
          </w:tcPr>
          <w:p w:rsidR="00403178" w:rsidRPr="005A0FB7" w:rsidP="005A0FB7">
            <w:pPr>
              <w:spacing w:line="240" w:lineRule="auto"/>
              <w:jc w:val="right"/>
              <w:rPr>
                <w:rFonts w:ascii="Arial Narrow" w:hAnsi="Arial Narrow" w:cs="Times New Roman"/>
                <w:lang w:eastAsia="sk-SK"/>
              </w:rPr>
            </w:pPr>
            <w:r w:rsidRPr="005A0FB7">
              <w:rPr>
                <w:rFonts w:ascii="Arial Narrow" w:hAnsi="Arial Narrow" w:cs="Times New Roman"/>
                <w:lang w:eastAsia="sk-SK"/>
              </w:rPr>
              <w:t>9 813 532</w:t>
            </w:r>
          </w:p>
        </w:tc>
        <w:tc>
          <w:tcPr>
            <w:tcW w:w="1120" w:type="dxa"/>
            <w:tcBorders>
              <w:top w:val="single" w:sz="4" w:space="0" w:color="auto"/>
              <w:left w:val="nil"/>
              <w:bottom w:val="single" w:sz="4" w:space="0" w:color="auto"/>
              <w:right w:val="single" w:sz="4" w:space="0" w:color="auto"/>
              <w:tl2br w:val="nil"/>
              <w:tr2bl w:val="nil"/>
            </w:tcBorders>
            <w:noWrap/>
            <w:textDirection w:val="lrTb"/>
            <w:vAlign w:val="center"/>
          </w:tcPr>
          <w:p w:rsidR="00403178" w:rsidRPr="005A0FB7" w:rsidP="005A0FB7">
            <w:pPr>
              <w:spacing w:line="240" w:lineRule="auto"/>
              <w:jc w:val="right"/>
              <w:rPr>
                <w:rFonts w:ascii="Arial Narrow" w:hAnsi="Arial Narrow" w:cs="Times New Roman"/>
                <w:lang w:eastAsia="sk-SK"/>
              </w:rPr>
            </w:pPr>
            <w:r w:rsidRPr="005A0FB7">
              <w:rPr>
                <w:rFonts w:ascii="Arial Narrow" w:hAnsi="Arial Narrow" w:cs="Times New Roman"/>
                <w:lang w:eastAsia="sk-SK"/>
              </w:rPr>
              <w:t>9 785 603</w:t>
            </w:r>
          </w:p>
        </w:tc>
      </w:tr>
      <w:tr>
        <w:tblPrEx>
          <w:tblW w:w="9135" w:type="dxa"/>
          <w:tblInd w:w="55" w:type="dxa"/>
          <w:tblCellMar>
            <w:left w:w="70" w:type="dxa"/>
            <w:right w:w="70" w:type="dxa"/>
          </w:tblCellMar>
        </w:tblPrEx>
        <w:trPr>
          <w:trHeight w:hRule="exact" w:val="227"/>
        </w:trPr>
        <w:tc>
          <w:tcPr>
            <w:tcW w:w="5775" w:type="dxa"/>
            <w:tcBorders>
              <w:top w:val="nil"/>
              <w:left w:val="single" w:sz="4" w:space="0" w:color="auto"/>
              <w:bottom w:val="single" w:sz="4" w:space="0" w:color="auto"/>
              <w:right w:val="single" w:sz="4" w:space="0" w:color="auto"/>
              <w:tl2br w:val="nil"/>
              <w:tr2bl w:val="nil"/>
            </w:tcBorders>
            <w:noWrap/>
            <w:textDirection w:val="lrTb"/>
            <w:vAlign w:val="center"/>
          </w:tcPr>
          <w:p w:rsidR="00403178" w:rsidRPr="005A0FB7" w:rsidP="005A0FB7">
            <w:pPr>
              <w:spacing w:line="240" w:lineRule="auto"/>
              <w:rPr>
                <w:rFonts w:ascii="Arial Narrow" w:hAnsi="Arial Narrow" w:cs="Times New Roman"/>
                <w:lang w:eastAsia="sk-SK"/>
              </w:rPr>
            </w:pPr>
            <w:r w:rsidRPr="005A0FB7">
              <w:rPr>
                <w:rFonts w:ascii="Arial Narrow" w:hAnsi="Arial Narrow" w:cs="Times New Roman"/>
                <w:lang w:eastAsia="sk-SK"/>
              </w:rPr>
              <w:t xml:space="preserve">                                           </w:t>
            </w:r>
            <w:r>
              <w:rPr>
                <w:rFonts w:ascii="Arial Narrow" w:hAnsi="Arial Narrow" w:cs="Times New Roman"/>
                <w:lang w:eastAsia="sk-SK"/>
              </w:rPr>
              <w:t xml:space="preserve">    </w:t>
            </w:r>
            <w:r w:rsidRPr="005A0FB7">
              <w:rPr>
                <w:rFonts w:ascii="Arial Narrow" w:hAnsi="Arial Narrow" w:cs="Times New Roman"/>
                <w:lang w:eastAsia="sk-SK"/>
              </w:rPr>
              <w:t xml:space="preserve"> (kód zdroja 131) </w:t>
            </w:r>
          </w:p>
        </w:tc>
        <w:tc>
          <w:tcPr>
            <w:tcW w:w="1120" w:type="dxa"/>
            <w:tcBorders>
              <w:top w:val="nil"/>
              <w:left w:val="nil"/>
              <w:bottom w:val="single" w:sz="4" w:space="0" w:color="auto"/>
              <w:right w:val="single" w:sz="4" w:space="0" w:color="auto"/>
              <w:tl2br w:val="nil"/>
              <w:tr2bl w:val="nil"/>
            </w:tcBorders>
            <w:noWrap/>
            <w:textDirection w:val="lrTb"/>
            <w:vAlign w:val="center"/>
          </w:tcPr>
          <w:p w:rsidR="00403178" w:rsidRPr="005A0FB7" w:rsidP="005A0FB7">
            <w:pPr>
              <w:spacing w:line="240" w:lineRule="auto"/>
              <w:jc w:val="right"/>
              <w:rPr>
                <w:rFonts w:ascii="Arial Narrow" w:hAnsi="Arial Narrow" w:cs="Times New Roman"/>
                <w:lang w:eastAsia="sk-SK"/>
              </w:rPr>
            </w:pPr>
            <w:r w:rsidRPr="005A0FB7">
              <w:rPr>
                <w:rFonts w:ascii="Arial Narrow" w:hAnsi="Arial Narrow" w:cs="Times New Roman"/>
                <w:lang w:eastAsia="sk-SK"/>
              </w:rPr>
              <w:t>0</w:t>
            </w:r>
          </w:p>
        </w:tc>
        <w:tc>
          <w:tcPr>
            <w:tcW w:w="1120" w:type="dxa"/>
            <w:tcBorders>
              <w:top w:val="nil"/>
              <w:left w:val="nil"/>
              <w:bottom w:val="single" w:sz="4" w:space="0" w:color="auto"/>
              <w:right w:val="single" w:sz="4" w:space="0" w:color="auto"/>
              <w:tl2br w:val="nil"/>
              <w:tr2bl w:val="nil"/>
            </w:tcBorders>
            <w:noWrap/>
            <w:textDirection w:val="lrTb"/>
            <w:vAlign w:val="center"/>
          </w:tcPr>
          <w:p w:rsidR="00403178" w:rsidRPr="005A0FB7" w:rsidP="005A0FB7">
            <w:pPr>
              <w:spacing w:line="240" w:lineRule="auto"/>
              <w:jc w:val="right"/>
              <w:rPr>
                <w:rFonts w:ascii="Arial Narrow" w:hAnsi="Arial Narrow" w:cs="Times New Roman"/>
                <w:lang w:eastAsia="sk-SK"/>
              </w:rPr>
            </w:pPr>
            <w:r w:rsidRPr="005A0FB7">
              <w:rPr>
                <w:rFonts w:ascii="Arial Narrow" w:hAnsi="Arial Narrow" w:cs="Times New Roman"/>
                <w:lang w:eastAsia="sk-SK"/>
              </w:rPr>
              <w:t>97 814</w:t>
            </w:r>
          </w:p>
        </w:tc>
        <w:tc>
          <w:tcPr>
            <w:tcW w:w="1120" w:type="dxa"/>
            <w:tcBorders>
              <w:top w:val="nil"/>
              <w:left w:val="nil"/>
              <w:bottom w:val="single" w:sz="4" w:space="0" w:color="auto"/>
              <w:right w:val="single" w:sz="4" w:space="0" w:color="auto"/>
              <w:tl2br w:val="nil"/>
              <w:tr2bl w:val="nil"/>
            </w:tcBorders>
            <w:noWrap/>
            <w:textDirection w:val="lrTb"/>
            <w:vAlign w:val="center"/>
          </w:tcPr>
          <w:p w:rsidR="00403178" w:rsidRPr="005A0FB7" w:rsidP="005A0FB7">
            <w:pPr>
              <w:spacing w:line="240" w:lineRule="auto"/>
              <w:jc w:val="right"/>
              <w:rPr>
                <w:rFonts w:ascii="Arial Narrow" w:hAnsi="Arial Narrow" w:cs="Times New Roman"/>
                <w:lang w:eastAsia="sk-SK"/>
              </w:rPr>
            </w:pPr>
            <w:r w:rsidRPr="005A0FB7">
              <w:rPr>
                <w:rFonts w:ascii="Arial Narrow" w:hAnsi="Arial Narrow" w:cs="Times New Roman"/>
                <w:lang w:eastAsia="sk-SK"/>
              </w:rPr>
              <w:t>88 947</w:t>
            </w:r>
          </w:p>
        </w:tc>
      </w:tr>
      <w:tr>
        <w:tblPrEx>
          <w:tblW w:w="9135" w:type="dxa"/>
          <w:tblInd w:w="55" w:type="dxa"/>
          <w:tblCellMar>
            <w:left w:w="70" w:type="dxa"/>
            <w:right w:w="70" w:type="dxa"/>
          </w:tblCellMar>
        </w:tblPrEx>
        <w:trPr>
          <w:trHeight w:hRule="exact" w:val="227"/>
        </w:trPr>
        <w:tc>
          <w:tcPr>
            <w:tcW w:w="5775" w:type="dxa"/>
            <w:tcBorders>
              <w:top w:val="nil"/>
              <w:left w:val="single" w:sz="4" w:space="0" w:color="auto"/>
              <w:bottom w:val="single" w:sz="4" w:space="0" w:color="auto"/>
              <w:right w:val="single" w:sz="4" w:space="0" w:color="auto"/>
              <w:tl2br w:val="nil"/>
              <w:tr2bl w:val="nil"/>
            </w:tcBorders>
            <w:noWrap/>
            <w:textDirection w:val="lrTb"/>
            <w:vAlign w:val="center"/>
          </w:tcPr>
          <w:p w:rsidR="00403178" w:rsidRPr="005A0FB7" w:rsidP="005A0FB7">
            <w:pPr>
              <w:spacing w:line="240" w:lineRule="auto"/>
              <w:rPr>
                <w:rFonts w:ascii="Arial Narrow" w:hAnsi="Arial Narrow" w:cs="Times New Roman"/>
                <w:lang w:eastAsia="sk-SK"/>
              </w:rPr>
            </w:pPr>
            <w:r w:rsidRPr="005A0FB7">
              <w:rPr>
                <w:rFonts w:ascii="Arial Narrow" w:hAnsi="Arial Narrow" w:cs="Times New Roman"/>
                <w:lang w:eastAsia="sk-SK"/>
              </w:rPr>
              <w:t xml:space="preserve">                                           </w:t>
            </w:r>
            <w:r>
              <w:rPr>
                <w:rFonts w:ascii="Arial Narrow" w:hAnsi="Arial Narrow" w:cs="Times New Roman"/>
                <w:lang w:eastAsia="sk-SK"/>
              </w:rPr>
              <w:t xml:space="preserve">    </w:t>
            </w:r>
            <w:r w:rsidRPr="005A0FB7">
              <w:rPr>
                <w:rFonts w:ascii="Arial Narrow" w:hAnsi="Arial Narrow" w:cs="Times New Roman"/>
                <w:lang w:eastAsia="sk-SK"/>
              </w:rPr>
              <w:t xml:space="preserve"> (kód zdroja 72) </w:t>
            </w:r>
          </w:p>
        </w:tc>
        <w:tc>
          <w:tcPr>
            <w:tcW w:w="1120" w:type="dxa"/>
            <w:tcBorders>
              <w:top w:val="nil"/>
              <w:left w:val="nil"/>
              <w:bottom w:val="single" w:sz="4" w:space="0" w:color="auto"/>
              <w:right w:val="single" w:sz="4" w:space="0" w:color="auto"/>
              <w:tl2br w:val="nil"/>
              <w:tr2bl w:val="nil"/>
            </w:tcBorders>
            <w:noWrap/>
            <w:textDirection w:val="lrTb"/>
            <w:vAlign w:val="center"/>
          </w:tcPr>
          <w:p w:rsidR="00403178" w:rsidRPr="005A0FB7" w:rsidP="005A0FB7">
            <w:pPr>
              <w:spacing w:line="240" w:lineRule="auto"/>
              <w:jc w:val="right"/>
              <w:rPr>
                <w:rFonts w:ascii="Arial Narrow" w:hAnsi="Arial Narrow" w:cs="Times New Roman"/>
                <w:lang w:eastAsia="sk-SK"/>
              </w:rPr>
            </w:pPr>
            <w:r w:rsidRPr="005A0FB7">
              <w:rPr>
                <w:rFonts w:ascii="Arial Narrow" w:hAnsi="Arial Narrow" w:cs="Times New Roman"/>
                <w:lang w:eastAsia="sk-SK"/>
              </w:rPr>
              <w:t>0</w:t>
            </w:r>
          </w:p>
        </w:tc>
        <w:tc>
          <w:tcPr>
            <w:tcW w:w="1120" w:type="dxa"/>
            <w:tcBorders>
              <w:top w:val="nil"/>
              <w:left w:val="nil"/>
              <w:bottom w:val="single" w:sz="4" w:space="0" w:color="auto"/>
              <w:right w:val="single" w:sz="4" w:space="0" w:color="auto"/>
              <w:tl2br w:val="nil"/>
              <w:tr2bl w:val="nil"/>
            </w:tcBorders>
            <w:noWrap/>
            <w:textDirection w:val="lrTb"/>
            <w:vAlign w:val="center"/>
          </w:tcPr>
          <w:p w:rsidR="00403178" w:rsidRPr="005A0FB7" w:rsidP="005A0FB7">
            <w:pPr>
              <w:spacing w:line="240" w:lineRule="auto"/>
              <w:jc w:val="right"/>
              <w:rPr>
                <w:rFonts w:ascii="Arial Narrow" w:hAnsi="Arial Narrow" w:cs="Times New Roman"/>
                <w:lang w:eastAsia="sk-SK"/>
              </w:rPr>
            </w:pPr>
            <w:r w:rsidRPr="005A0FB7">
              <w:rPr>
                <w:rFonts w:ascii="Arial Narrow" w:hAnsi="Arial Narrow" w:cs="Times New Roman"/>
                <w:lang w:eastAsia="sk-SK"/>
              </w:rPr>
              <w:t>0</w:t>
            </w:r>
          </w:p>
        </w:tc>
        <w:tc>
          <w:tcPr>
            <w:tcW w:w="1120" w:type="dxa"/>
            <w:tcBorders>
              <w:top w:val="nil"/>
              <w:left w:val="nil"/>
              <w:bottom w:val="single" w:sz="4" w:space="0" w:color="auto"/>
              <w:right w:val="single" w:sz="4" w:space="0" w:color="auto"/>
              <w:tl2br w:val="nil"/>
              <w:tr2bl w:val="nil"/>
            </w:tcBorders>
            <w:noWrap/>
            <w:textDirection w:val="lrTb"/>
            <w:vAlign w:val="center"/>
          </w:tcPr>
          <w:p w:rsidR="00403178" w:rsidRPr="005A0FB7" w:rsidP="005A0FB7">
            <w:pPr>
              <w:spacing w:line="240" w:lineRule="auto"/>
              <w:jc w:val="right"/>
              <w:rPr>
                <w:rFonts w:ascii="Arial Narrow" w:hAnsi="Arial Narrow" w:cs="Times New Roman"/>
                <w:lang w:eastAsia="sk-SK"/>
              </w:rPr>
            </w:pPr>
            <w:r w:rsidRPr="005A0FB7">
              <w:rPr>
                <w:rFonts w:ascii="Arial Narrow" w:hAnsi="Arial Narrow" w:cs="Times New Roman"/>
                <w:lang w:eastAsia="sk-SK"/>
              </w:rPr>
              <w:t>97 976</w:t>
            </w:r>
          </w:p>
        </w:tc>
      </w:tr>
      <w:tr>
        <w:tblPrEx>
          <w:tblW w:w="9135" w:type="dxa"/>
          <w:tblInd w:w="55" w:type="dxa"/>
          <w:tblCellMar>
            <w:left w:w="70" w:type="dxa"/>
            <w:right w:w="70" w:type="dxa"/>
          </w:tblCellMar>
        </w:tblPrEx>
        <w:trPr>
          <w:trHeight w:hRule="exact" w:val="227"/>
        </w:trPr>
        <w:tc>
          <w:tcPr>
            <w:tcW w:w="5775" w:type="dxa"/>
            <w:tcBorders>
              <w:top w:val="nil"/>
              <w:left w:val="single" w:sz="4" w:space="0" w:color="auto"/>
              <w:bottom w:val="single" w:sz="4" w:space="0" w:color="auto"/>
              <w:right w:val="single" w:sz="4" w:space="0" w:color="auto"/>
              <w:tl2br w:val="nil"/>
              <w:tr2bl w:val="nil"/>
            </w:tcBorders>
            <w:noWrap/>
            <w:textDirection w:val="lrTb"/>
            <w:vAlign w:val="center"/>
          </w:tcPr>
          <w:p w:rsidR="00403178" w:rsidRPr="005A0FB7" w:rsidP="005A0FB7">
            <w:pPr>
              <w:spacing w:line="240" w:lineRule="auto"/>
              <w:rPr>
                <w:rFonts w:ascii="Arial Narrow" w:hAnsi="Arial Narrow" w:cs="Times New Roman"/>
                <w:b/>
                <w:bCs/>
                <w:lang w:eastAsia="sk-SK"/>
              </w:rPr>
            </w:pPr>
            <w:r w:rsidRPr="005A0FB7">
              <w:rPr>
                <w:rFonts w:ascii="Arial Narrow" w:hAnsi="Arial Narrow" w:cs="Times New Roman"/>
                <w:b/>
                <w:bCs/>
                <w:lang w:eastAsia="sk-SK"/>
              </w:rPr>
              <w:t>B. Prostr</w:t>
            </w:r>
            <w:r w:rsidRPr="005A0FB7">
              <w:rPr>
                <w:rFonts w:ascii="Arial Narrow" w:hAnsi="Arial Narrow" w:cs="Times New Roman"/>
                <w:b/>
                <w:bCs/>
                <w:lang w:eastAsia="sk-SK"/>
              </w:rPr>
              <w:t>iedky z rozpočtu EÚ</w:t>
            </w:r>
          </w:p>
        </w:tc>
        <w:tc>
          <w:tcPr>
            <w:tcW w:w="1120" w:type="dxa"/>
            <w:tcBorders>
              <w:top w:val="nil"/>
              <w:left w:val="nil"/>
              <w:bottom w:val="single" w:sz="4" w:space="0" w:color="auto"/>
              <w:right w:val="single" w:sz="4" w:space="0" w:color="auto"/>
              <w:tl2br w:val="nil"/>
              <w:tr2bl w:val="nil"/>
            </w:tcBorders>
            <w:noWrap/>
            <w:textDirection w:val="lrTb"/>
            <w:vAlign w:val="center"/>
          </w:tcPr>
          <w:p w:rsidR="00403178" w:rsidRPr="005A0FB7" w:rsidP="005A0FB7">
            <w:pPr>
              <w:spacing w:line="240" w:lineRule="auto"/>
              <w:jc w:val="right"/>
              <w:rPr>
                <w:rFonts w:ascii="Arial Narrow" w:hAnsi="Arial Narrow" w:cs="Times New Roman"/>
                <w:b/>
                <w:bCs/>
                <w:lang w:eastAsia="sk-SK"/>
              </w:rPr>
            </w:pPr>
            <w:r w:rsidRPr="005A0FB7">
              <w:rPr>
                <w:rFonts w:ascii="Arial Narrow" w:hAnsi="Arial Narrow" w:cs="Times New Roman"/>
                <w:b/>
                <w:bCs/>
                <w:lang w:eastAsia="sk-SK"/>
              </w:rPr>
              <w:t>4 719 931</w:t>
            </w:r>
          </w:p>
        </w:tc>
        <w:tc>
          <w:tcPr>
            <w:tcW w:w="1120" w:type="dxa"/>
            <w:tcBorders>
              <w:top w:val="nil"/>
              <w:left w:val="nil"/>
              <w:bottom w:val="single" w:sz="4" w:space="0" w:color="auto"/>
              <w:right w:val="single" w:sz="4" w:space="0" w:color="auto"/>
              <w:tl2br w:val="nil"/>
              <w:tr2bl w:val="nil"/>
            </w:tcBorders>
            <w:shd w:val="clear" w:color="auto" w:fill="FFFFFF"/>
            <w:noWrap/>
            <w:textDirection w:val="lrTb"/>
            <w:vAlign w:val="center"/>
          </w:tcPr>
          <w:p w:rsidR="00403178" w:rsidRPr="005A0FB7" w:rsidP="005A0FB7">
            <w:pPr>
              <w:spacing w:line="240" w:lineRule="auto"/>
              <w:jc w:val="right"/>
              <w:rPr>
                <w:rFonts w:ascii="Arial Narrow" w:hAnsi="Arial Narrow" w:cs="Times New Roman"/>
                <w:b/>
                <w:bCs/>
                <w:lang w:eastAsia="sk-SK"/>
              </w:rPr>
            </w:pPr>
            <w:r w:rsidRPr="005A0FB7">
              <w:rPr>
                <w:rFonts w:ascii="Arial Narrow" w:hAnsi="Arial Narrow" w:cs="Times New Roman"/>
                <w:b/>
                <w:bCs/>
                <w:lang w:eastAsia="sk-SK"/>
              </w:rPr>
              <w:t>5 045 187</w:t>
            </w:r>
          </w:p>
        </w:tc>
        <w:tc>
          <w:tcPr>
            <w:tcW w:w="1120" w:type="dxa"/>
            <w:tcBorders>
              <w:top w:val="nil"/>
              <w:left w:val="nil"/>
              <w:bottom w:val="single" w:sz="4" w:space="0" w:color="auto"/>
              <w:right w:val="single" w:sz="4" w:space="0" w:color="auto"/>
              <w:tl2br w:val="nil"/>
              <w:tr2bl w:val="nil"/>
            </w:tcBorders>
            <w:shd w:val="clear" w:color="auto" w:fill="FFFFFF"/>
            <w:noWrap/>
            <w:textDirection w:val="lrTb"/>
            <w:vAlign w:val="center"/>
          </w:tcPr>
          <w:p w:rsidR="00403178" w:rsidRPr="005A0FB7" w:rsidP="005A0FB7">
            <w:pPr>
              <w:spacing w:line="240" w:lineRule="auto"/>
              <w:jc w:val="right"/>
              <w:rPr>
                <w:rFonts w:ascii="Arial Narrow" w:hAnsi="Arial Narrow" w:cs="Times New Roman"/>
                <w:b/>
                <w:bCs/>
                <w:lang w:eastAsia="sk-SK"/>
              </w:rPr>
            </w:pPr>
            <w:r w:rsidRPr="005A0FB7">
              <w:rPr>
                <w:rFonts w:ascii="Arial Narrow" w:hAnsi="Arial Narrow" w:cs="Times New Roman"/>
                <w:b/>
                <w:bCs/>
                <w:lang w:eastAsia="sk-SK"/>
              </w:rPr>
              <w:t>5 045 103</w:t>
            </w:r>
          </w:p>
        </w:tc>
      </w:tr>
      <w:tr>
        <w:tblPrEx>
          <w:tblW w:w="9135" w:type="dxa"/>
          <w:tblInd w:w="55" w:type="dxa"/>
          <w:tblCellMar>
            <w:left w:w="70" w:type="dxa"/>
            <w:right w:w="70" w:type="dxa"/>
          </w:tblCellMar>
        </w:tblPrEx>
        <w:trPr>
          <w:trHeight w:hRule="exact" w:val="227"/>
        </w:trPr>
        <w:tc>
          <w:tcPr>
            <w:tcW w:w="5775" w:type="dxa"/>
            <w:tcBorders>
              <w:top w:val="single" w:sz="4" w:space="0" w:color="auto"/>
              <w:left w:val="single" w:sz="4" w:space="0" w:color="auto"/>
              <w:bottom w:val="nil"/>
              <w:right w:val="single" w:sz="4" w:space="0" w:color="auto"/>
              <w:tl2br w:val="nil"/>
              <w:tr2bl w:val="nil"/>
            </w:tcBorders>
            <w:noWrap/>
            <w:textDirection w:val="lrTb"/>
            <w:vAlign w:val="center"/>
          </w:tcPr>
          <w:p w:rsidR="00403178" w:rsidRPr="005A0FB7" w:rsidP="005A0FB7">
            <w:pPr>
              <w:spacing w:line="240" w:lineRule="auto"/>
              <w:rPr>
                <w:rFonts w:ascii="Arial Narrow" w:hAnsi="Arial Narrow" w:cs="Times New Roman"/>
                <w:b/>
                <w:bCs/>
                <w:lang w:eastAsia="sk-SK"/>
              </w:rPr>
            </w:pPr>
            <w:r w:rsidRPr="005A0FB7">
              <w:rPr>
                <w:rFonts w:ascii="Arial Narrow" w:hAnsi="Arial Narrow" w:cs="Times New Roman"/>
                <w:b/>
                <w:bCs/>
                <w:lang w:eastAsia="sk-SK"/>
              </w:rPr>
              <w:t>C. Mzdy, platy, služobné príjmy a</w:t>
            </w:r>
            <w:r w:rsidR="001079AF">
              <w:rPr>
                <w:rFonts w:ascii="Arial Narrow" w:hAnsi="Arial Narrow" w:cs="Times New Roman"/>
                <w:b/>
                <w:bCs/>
                <w:lang w:eastAsia="sk-SK"/>
              </w:rPr>
              <w:t> </w:t>
            </w:r>
            <w:r w:rsidRPr="005A0FB7">
              <w:rPr>
                <w:rFonts w:ascii="Arial Narrow" w:hAnsi="Arial Narrow" w:cs="Times New Roman"/>
                <w:b/>
                <w:bCs/>
                <w:lang w:eastAsia="sk-SK"/>
              </w:rPr>
              <w:t>ostatné</w:t>
            </w:r>
          </w:p>
        </w:tc>
        <w:tc>
          <w:tcPr>
            <w:tcW w:w="1120" w:type="dxa"/>
            <w:tcBorders>
              <w:top w:val="single" w:sz="4" w:space="0" w:color="auto"/>
              <w:left w:val="nil"/>
              <w:bottom w:val="nil"/>
              <w:right w:val="single" w:sz="4" w:space="0" w:color="auto"/>
              <w:tl2br w:val="nil"/>
              <w:tr2bl w:val="nil"/>
            </w:tcBorders>
            <w:noWrap/>
            <w:textDirection w:val="lrTb"/>
            <w:vAlign w:val="center"/>
          </w:tcPr>
          <w:p w:rsidR="00403178" w:rsidRPr="005A0FB7" w:rsidP="005A0FB7">
            <w:pPr>
              <w:spacing w:line="240" w:lineRule="auto"/>
              <w:jc w:val="right"/>
              <w:rPr>
                <w:rFonts w:ascii="Arial Narrow" w:hAnsi="Arial Narrow" w:cs="Times New Roman"/>
                <w:lang w:eastAsia="sk-SK"/>
              </w:rPr>
            </w:pPr>
            <w:r w:rsidRPr="005A0FB7">
              <w:rPr>
                <w:rFonts w:ascii="Arial Narrow" w:hAnsi="Arial Narrow" w:cs="Times New Roman"/>
                <w:lang w:eastAsia="sk-SK"/>
              </w:rPr>
              <w:t> </w:t>
            </w:r>
          </w:p>
        </w:tc>
        <w:tc>
          <w:tcPr>
            <w:tcW w:w="1120" w:type="dxa"/>
            <w:tcBorders>
              <w:top w:val="single" w:sz="4" w:space="0" w:color="auto"/>
              <w:left w:val="nil"/>
              <w:bottom w:val="nil"/>
              <w:right w:val="nil"/>
              <w:tl2br w:val="nil"/>
              <w:tr2bl w:val="nil"/>
            </w:tcBorders>
            <w:noWrap/>
            <w:textDirection w:val="lrTb"/>
            <w:vAlign w:val="center"/>
          </w:tcPr>
          <w:p w:rsidR="00403178" w:rsidRPr="005A0FB7" w:rsidP="005A0FB7">
            <w:pPr>
              <w:spacing w:line="240" w:lineRule="auto"/>
              <w:jc w:val="right"/>
              <w:rPr>
                <w:rFonts w:ascii="Arial Narrow" w:hAnsi="Arial Narrow" w:cs="Times New Roman"/>
                <w:lang w:eastAsia="sk-SK"/>
              </w:rPr>
            </w:pPr>
          </w:p>
        </w:tc>
        <w:tc>
          <w:tcPr>
            <w:tcW w:w="1120" w:type="dxa"/>
            <w:tcBorders>
              <w:top w:val="single" w:sz="4" w:space="0" w:color="auto"/>
              <w:left w:val="single" w:sz="4" w:space="0" w:color="auto"/>
              <w:bottom w:val="nil"/>
              <w:right w:val="single" w:sz="4" w:space="0" w:color="auto"/>
              <w:tl2br w:val="nil"/>
              <w:tr2bl w:val="nil"/>
            </w:tcBorders>
            <w:noWrap/>
            <w:textDirection w:val="lrTb"/>
            <w:vAlign w:val="center"/>
          </w:tcPr>
          <w:p w:rsidR="00403178" w:rsidRPr="005A0FB7" w:rsidP="005A0FB7">
            <w:pPr>
              <w:spacing w:line="240" w:lineRule="auto"/>
              <w:jc w:val="right"/>
              <w:rPr>
                <w:rFonts w:ascii="Arial Narrow" w:hAnsi="Arial Narrow" w:cs="Times New Roman"/>
                <w:lang w:eastAsia="sk-SK"/>
              </w:rPr>
            </w:pPr>
            <w:r w:rsidRPr="005A0FB7">
              <w:rPr>
                <w:rFonts w:ascii="Arial Narrow" w:hAnsi="Arial Narrow" w:cs="Times New Roman"/>
                <w:lang w:eastAsia="sk-SK"/>
              </w:rPr>
              <w:t> </w:t>
            </w:r>
          </w:p>
        </w:tc>
      </w:tr>
      <w:tr>
        <w:tblPrEx>
          <w:tblW w:w="9135" w:type="dxa"/>
          <w:tblInd w:w="55" w:type="dxa"/>
          <w:tblCellMar>
            <w:left w:w="70" w:type="dxa"/>
            <w:right w:w="70" w:type="dxa"/>
          </w:tblCellMar>
        </w:tblPrEx>
        <w:trPr>
          <w:trHeight w:hRule="exact" w:val="227"/>
        </w:trPr>
        <w:tc>
          <w:tcPr>
            <w:tcW w:w="5775" w:type="dxa"/>
            <w:tcBorders>
              <w:top w:val="nil"/>
              <w:left w:val="single" w:sz="4" w:space="0" w:color="auto"/>
              <w:bottom w:val="nil"/>
              <w:right w:val="single" w:sz="4" w:space="0" w:color="auto"/>
              <w:tl2br w:val="nil"/>
              <w:tr2bl w:val="nil"/>
            </w:tcBorders>
            <w:noWrap/>
            <w:textDirection w:val="lrTb"/>
            <w:vAlign w:val="center"/>
          </w:tcPr>
          <w:p w:rsidR="00403178" w:rsidRPr="005A0FB7" w:rsidP="005A0FB7">
            <w:pPr>
              <w:spacing w:line="240" w:lineRule="auto"/>
              <w:rPr>
                <w:rFonts w:ascii="Arial Narrow" w:hAnsi="Arial Narrow" w:cs="Times New Roman"/>
                <w:b/>
                <w:bCs/>
                <w:lang w:eastAsia="sk-SK"/>
              </w:rPr>
            </w:pPr>
            <w:r w:rsidRPr="005A0FB7">
              <w:rPr>
                <w:rFonts w:ascii="Arial Narrow" w:hAnsi="Arial Narrow" w:cs="Times New Roman"/>
                <w:b/>
                <w:bCs/>
                <w:lang w:eastAsia="sk-SK"/>
              </w:rPr>
              <w:t xml:space="preserve">    osobné vyrovnania zo štátneho rozpočtu,</w:t>
            </w:r>
          </w:p>
        </w:tc>
        <w:tc>
          <w:tcPr>
            <w:tcW w:w="1120" w:type="dxa"/>
            <w:tcBorders>
              <w:top w:val="nil"/>
              <w:left w:val="nil"/>
              <w:bottom w:val="nil"/>
              <w:right w:val="single" w:sz="4" w:space="0" w:color="auto"/>
              <w:tl2br w:val="nil"/>
              <w:tr2bl w:val="nil"/>
            </w:tcBorders>
            <w:noWrap/>
            <w:textDirection w:val="lrTb"/>
            <w:vAlign w:val="center"/>
          </w:tcPr>
          <w:p w:rsidR="00403178" w:rsidRPr="005A0FB7" w:rsidP="005A0FB7">
            <w:pPr>
              <w:spacing w:line="240" w:lineRule="auto"/>
              <w:jc w:val="right"/>
              <w:rPr>
                <w:rFonts w:ascii="Arial Narrow" w:hAnsi="Arial Narrow" w:cs="Times New Roman"/>
                <w:lang w:eastAsia="sk-SK"/>
              </w:rPr>
            </w:pPr>
            <w:r w:rsidRPr="005A0FB7">
              <w:rPr>
                <w:rFonts w:ascii="Arial Narrow" w:hAnsi="Arial Narrow" w:cs="Times New Roman"/>
                <w:lang w:eastAsia="sk-SK"/>
              </w:rPr>
              <w:t> </w:t>
            </w:r>
          </w:p>
        </w:tc>
        <w:tc>
          <w:tcPr>
            <w:tcW w:w="1120" w:type="dxa"/>
            <w:tcBorders>
              <w:top w:val="nil"/>
              <w:left w:val="nil"/>
              <w:bottom w:val="nil"/>
              <w:right w:val="nil"/>
              <w:tl2br w:val="nil"/>
              <w:tr2bl w:val="nil"/>
            </w:tcBorders>
            <w:noWrap/>
            <w:textDirection w:val="lrTb"/>
            <w:vAlign w:val="center"/>
          </w:tcPr>
          <w:p w:rsidR="00403178" w:rsidRPr="005A0FB7" w:rsidP="005A0FB7">
            <w:pPr>
              <w:spacing w:line="240" w:lineRule="auto"/>
              <w:jc w:val="right"/>
              <w:rPr>
                <w:rFonts w:ascii="Arial Narrow" w:hAnsi="Arial Narrow" w:cs="Times New Roman"/>
                <w:lang w:eastAsia="sk-SK"/>
              </w:rPr>
            </w:pPr>
          </w:p>
        </w:tc>
        <w:tc>
          <w:tcPr>
            <w:tcW w:w="1120" w:type="dxa"/>
            <w:tcBorders>
              <w:top w:val="nil"/>
              <w:left w:val="single" w:sz="4" w:space="0" w:color="auto"/>
              <w:bottom w:val="nil"/>
              <w:right w:val="single" w:sz="4" w:space="0" w:color="auto"/>
              <w:tl2br w:val="nil"/>
              <w:tr2bl w:val="nil"/>
            </w:tcBorders>
            <w:noWrap/>
            <w:textDirection w:val="lrTb"/>
            <w:vAlign w:val="center"/>
          </w:tcPr>
          <w:p w:rsidR="00403178" w:rsidRPr="005A0FB7" w:rsidP="005A0FB7">
            <w:pPr>
              <w:spacing w:line="240" w:lineRule="auto"/>
              <w:jc w:val="right"/>
              <w:rPr>
                <w:rFonts w:ascii="Arial Narrow" w:hAnsi="Arial Narrow" w:cs="Times New Roman"/>
                <w:lang w:eastAsia="sk-SK"/>
              </w:rPr>
            </w:pPr>
            <w:r w:rsidRPr="005A0FB7">
              <w:rPr>
                <w:rFonts w:ascii="Arial Narrow" w:hAnsi="Arial Narrow" w:cs="Times New Roman"/>
                <w:lang w:eastAsia="sk-SK"/>
              </w:rPr>
              <w:t> </w:t>
            </w:r>
          </w:p>
        </w:tc>
      </w:tr>
      <w:tr>
        <w:tblPrEx>
          <w:tblW w:w="9135" w:type="dxa"/>
          <w:tblInd w:w="55" w:type="dxa"/>
          <w:tblCellMar>
            <w:left w:w="70" w:type="dxa"/>
            <w:right w:w="70" w:type="dxa"/>
          </w:tblCellMar>
        </w:tblPrEx>
        <w:trPr>
          <w:trHeight w:hRule="exact" w:val="227"/>
        </w:trPr>
        <w:tc>
          <w:tcPr>
            <w:tcW w:w="5775" w:type="dxa"/>
            <w:tcBorders>
              <w:top w:val="nil"/>
              <w:left w:val="single" w:sz="4" w:space="0" w:color="auto"/>
              <w:bottom w:val="single" w:sz="4" w:space="0" w:color="auto"/>
              <w:right w:val="single" w:sz="4" w:space="0" w:color="auto"/>
              <w:tl2br w:val="nil"/>
              <w:tr2bl w:val="nil"/>
            </w:tcBorders>
            <w:noWrap/>
            <w:textDirection w:val="lrTb"/>
            <w:vAlign w:val="center"/>
          </w:tcPr>
          <w:p w:rsidR="00403178" w:rsidRPr="005A0FB7" w:rsidP="005A0FB7">
            <w:pPr>
              <w:spacing w:line="240" w:lineRule="auto"/>
              <w:rPr>
                <w:rFonts w:ascii="Arial Narrow" w:hAnsi="Arial Narrow" w:cs="Times New Roman"/>
                <w:b/>
                <w:bCs/>
                <w:lang w:eastAsia="sk-SK"/>
              </w:rPr>
            </w:pPr>
            <w:r w:rsidRPr="005A0FB7">
              <w:rPr>
                <w:rFonts w:ascii="Arial Narrow" w:hAnsi="Arial Narrow" w:cs="Times New Roman"/>
                <w:b/>
                <w:bCs/>
                <w:lang w:eastAsia="sk-SK"/>
              </w:rPr>
              <w:t xml:space="preserve">    zo spolufinancovania ŠR a z rozpočtu EÚ</w:t>
            </w:r>
          </w:p>
        </w:tc>
        <w:tc>
          <w:tcPr>
            <w:tcW w:w="1120" w:type="dxa"/>
            <w:tcBorders>
              <w:top w:val="nil"/>
              <w:left w:val="nil"/>
              <w:bottom w:val="single" w:sz="4" w:space="0" w:color="auto"/>
              <w:right w:val="single" w:sz="4" w:space="0" w:color="auto"/>
              <w:tl2br w:val="nil"/>
              <w:tr2bl w:val="nil"/>
            </w:tcBorders>
            <w:noWrap/>
            <w:textDirection w:val="lrTb"/>
            <w:vAlign w:val="center"/>
          </w:tcPr>
          <w:p w:rsidR="00403178" w:rsidRPr="005A0FB7" w:rsidP="005A0FB7">
            <w:pPr>
              <w:spacing w:line="240" w:lineRule="auto"/>
              <w:jc w:val="right"/>
              <w:rPr>
                <w:rFonts w:ascii="Arial Narrow" w:hAnsi="Arial Narrow" w:cs="Times New Roman"/>
                <w:lang w:eastAsia="sk-SK"/>
              </w:rPr>
            </w:pPr>
            <w:r w:rsidRPr="005A0FB7">
              <w:rPr>
                <w:rFonts w:ascii="Arial Narrow" w:hAnsi="Arial Narrow" w:cs="Times New Roman"/>
                <w:lang w:eastAsia="sk-SK"/>
              </w:rPr>
              <w:t>844 351</w:t>
            </w:r>
          </w:p>
        </w:tc>
        <w:tc>
          <w:tcPr>
            <w:tcW w:w="1120" w:type="dxa"/>
            <w:tcBorders>
              <w:top w:val="nil"/>
              <w:left w:val="nil"/>
              <w:bottom w:val="single" w:sz="4" w:space="0" w:color="auto"/>
              <w:right w:val="nil"/>
              <w:tl2br w:val="nil"/>
              <w:tr2bl w:val="nil"/>
            </w:tcBorders>
            <w:noWrap/>
            <w:textDirection w:val="lrTb"/>
            <w:vAlign w:val="center"/>
          </w:tcPr>
          <w:p w:rsidR="00403178" w:rsidRPr="005A0FB7" w:rsidP="005A0FB7">
            <w:pPr>
              <w:spacing w:line="240" w:lineRule="auto"/>
              <w:jc w:val="right"/>
              <w:rPr>
                <w:rFonts w:ascii="Arial Narrow" w:hAnsi="Arial Narrow" w:cs="Times New Roman"/>
                <w:lang w:eastAsia="sk-SK"/>
              </w:rPr>
            </w:pPr>
            <w:r w:rsidRPr="005A0FB7">
              <w:rPr>
                <w:rFonts w:ascii="Arial Narrow" w:hAnsi="Arial Narrow" w:cs="Times New Roman"/>
                <w:lang w:eastAsia="sk-SK"/>
              </w:rPr>
              <w:t>880 615</w:t>
            </w:r>
          </w:p>
        </w:tc>
        <w:tc>
          <w:tcPr>
            <w:tcW w:w="1120" w:type="dxa"/>
            <w:tcBorders>
              <w:top w:val="nil"/>
              <w:left w:val="single" w:sz="4" w:space="0" w:color="auto"/>
              <w:bottom w:val="single" w:sz="4" w:space="0" w:color="auto"/>
              <w:right w:val="single" w:sz="4" w:space="0" w:color="auto"/>
              <w:tl2br w:val="nil"/>
              <w:tr2bl w:val="nil"/>
            </w:tcBorders>
            <w:noWrap/>
            <w:textDirection w:val="lrTb"/>
            <w:vAlign w:val="center"/>
          </w:tcPr>
          <w:p w:rsidR="00403178" w:rsidRPr="005A0FB7" w:rsidP="005A0FB7">
            <w:pPr>
              <w:spacing w:line="240" w:lineRule="auto"/>
              <w:jc w:val="right"/>
              <w:rPr>
                <w:rFonts w:ascii="Arial Narrow" w:hAnsi="Arial Narrow" w:cs="Times New Roman"/>
                <w:lang w:eastAsia="sk-SK"/>
              </w:rPr>
            </w:pPr>
            <w:r w:rsidRPr="005A0FB7">
              <w:rPr>
                <w:rFonts w:ascii="Arial Narrow" w:hAnsi="Arial Narrow" w:cs="Times New Roman"/>
                <w:lang w:eastAsia="sk-SK"/>
              </w:rPr>
              <w:t>880 200</w:t>
            </w:r>
          </w:p>
        </w:tc>
      </w:tr>
      <w:tr>
        <w:tblPrEx>
          <w:tblW w:w="9135" w:type="dxa"/>
          <w:tblInd w:w="55" w:type="dxa"/>
          <w:tblCellMar>
            <w:left w:w="70" w:type="dxa"/>
            <w:right w:w="70" w:type="dxa"/>
          </w:tblCellMar>
        </w:tblPrEx>
        <w:trPr>
          <w:trHeight w:hRule="exact" w:val="227"/>
        </w:trPr>
        <w:tc>
          <w:tcPr>
            <w:tcW w:w="5775"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403178" w:rsidRPr="005A0FB7" w:rsidP="005A0FB7">
            <w:pPr>
              <w:spacing w:line="240" w:lineRule="auto"/>
              <w:rPr>
                <w:rFonts w:ascii="Arial Narrow" w:hAnsi="Arial Narrow" w:cs="Times New Roman"/>
                <w:lang w:eastAsia="sk-SK"/>
              </w:rPr>
            </w:pPr>
            <w:r w:rsidRPr="005A0FB7">
              <w:rPr>
                <w:rFonts w:ascii="Arial Narrow" w:hAnsi="Arial Narrow" w:cs="Times New Roman"/>
                <w:lang w:eastAsia="sk-SK"/>
              </w:rPr>
              <w:t xml:space="preserve">    z toho: - spolufinancovanie ŠR</w:t>
            </w:r>
          </w:p>
        </w:tc>
        <w:tc>
          <w:tcPr>
            <w:tcW w:w="1120" w:type="dxa"/>
            <w:tcBorders>
              <w:top w:val="single" w:sz="4" w:space="0" w:color="auto"/>
              <w:left w:val="nil"/>
              <w:bottom w:val="single" w:sz="4" w:space="0" w:color="auto"/>
              <w:right w:val="single" w:sz="4" w:space="0" w:color="auto"/>
              <w:tl2br w:val="nil"/>
              <w:tr2bl w:val="nil"/>
            </w:tcBorders>
            <w:noWrap/>
            <w:textDirection w:val="lrTb"/>
            <w:vAlign w:val="center"/>
          </w:tcPr>
          <w:p w:rsidR="00403178" w:rsidRPr="005A0FB7" w:rsidP="005A0FB7">
            <w:pPr>
              <w:spacing w:line="240" w:lineRule="auto"/>
              <w:jc w:val="right"/>
              <w:rPr>
                <w:rFonts w:ascii="Arial Narrow" w:hAnsi="Arial Narrow" w:cs="Times New Roman"/>
                <w:lang w:eastAsia="sk-SK"/>
              </w:rPr>
            </w:pPr>
            <w:r w:rsidRPr="005A0FB7">
              <w:rPr>
                <w:rFonts w:ascii="Arial Narrow" w:hAnsi="Arial Narrow" w:cs="Times New Roman"/>
                <w:lang w:eastAsia="sk-SK"/>
              </w:rPr>
              <w:t>0</w:t>
            </w:r>
          </w:p>
        </w:tc>
        <w:tc>
          <w:tcPr>
            <w:tcW w:w="1120" w:type="dxa"/>
            <w:tcBorders>
              <w:top w:val="single" w:sz="4" w:space="0" w:color="auto"/>
              <w:left w:val="nil"/>
              <w:bottom w:val="single" w:sz="4" w:space="0" w:color="auto"/>
              <w:right w:val="single" w:sz="4" w:space="0" w:color="auto"/>
              <w:tl2br w:val="nil"/>
              <w:tr2bl w:val="nil"/>
            </w:tcBorders>
            <w:noWrap/>
            <w:textDirection w:val="lrTb"/>
            <w:vAlign w:val="center"/>
          </w:tcPr>
          <w:p w:rsidR="00403178" w:rsidRPr="005A0FB7" w:rsidP="005A0FB7">
            <w:pPr>
              <w:spacing w:line="240" w:lineRule="auto"/>
              <w:jc w:val="right"/>
              <w:rPr>
                <w:rFonts w:ascii="Arial Narrow" w:hAnsi="Arial Narrow" w:cs="Times New Roman"/>
                <w:lang w:eastAsia="sk-SK"/>
              </w:rPr>
            </w:pPr>
            <w:r w:rsidRPr="005A0FB7">
              <w:rPr>
                <w:rFonts w:ascii="Arial Narrow" w:hAnsi="Arial Narrow" w:cs="Times New Roman"/>
                <w:lang w:eastAsia="sk-SK"/>
              </w:rPr>
              <w:t>3</w:t>
            </w:r>
            <w:r w:rsidRPr="005A0FB7">
              <w:rPr>
                <w:rFonts w:ascii="Arial Narrow" w:hAnsi="Arial Narrow" w:cs="Times New Roman"/>
                <w:lang w:eastAsia="sk-SK"/>
              </w:rPr>
              <w:t xml:space="preserve"> 180</w:t>
            </w:r>
          </w:p>
        </w:tc>
        <w:tc>
          <w:tcPr>
            <w:tcW w:w="1120" w:type="dxa"/>
            <w:tcBorders>
              <w:top w:val="single" w:sz="4" w:space="0" w:color="auto"/>
              <w:left w:val="nil"/>
              <w:bottom w:val="single" w:sz="4" w:space="0" w:color="auto"/>
              <w:right w:val="single" w:sz="4" w:space="0" w:color="auto"/>
              <w:tl2br w:val="nil"/>
              <w:tr2bl w:val="nil"/>
            </w:tcBorders>
            <w:noWrap/>
            <w:textDirection w:val="lrTb"/>
            <w:vAlign w:val="center"/>
          </w:tcPr>
          <w:p w:rsidR="00403178" w:rsidRPr="005A0FB7" w:rsidP="005A0FB7">
            <w:pPr>
              <w:spacing w:line="240" w:lineRule="auto"/>
              <w:jc w:val="right"/>
              <w:rPr>
                <w:rFonts w:ascii="Arial Narrow" w:hAnsi="Arial Narrow" w:cs="Times New Roman"/>
                <w:lang w:eastAsia="sk-SK"/>
              </w:rPr>
            </w:pPr>
            <w:r w:rsidRPr="005A0FB7">
              <w:rPr>
                <w:rFonts w:ascii="Arial Narrow" w:hAnsi="Arial Narrow" w:cs="Times New Roman"/>
                <w:lang w:eastAsia="sk-SK"/>
              </w:rPr>
              <w:t>3 180</w:t>
            </w:r>
          </w:p>
        </w:tc>
      </w:tr>
      <w:tr>
        <w:tblPrEx>
          <w:tblW w:w="9135" w:type="dxa"/>
          <w:tblInd w:w="55" w:type="dxa"/>
          <w:tblCellMar>
            <w:left w:w="70" w:type="dxa"/>
            <w:right w:w="70" w:type="dxa"/>
          </w:tblCellMar>
        </w:tblPrEx>
        <w:trPr>
          <w:trHeight w:hRule="exact" w:val="227"/>
        </w:trPr>
        <w:tc>
          <w:tcPr>
            <w:tcW w:w="5775" w:type="dxa"/>
            <w:tcBorders>
              <w:top w:val="nil"/>
              <w:left w:val="single" w:sz="4" w:space="0" w:color="auto"/>
              <w:bottom w:val="single" w:sz="4" w:space="0" w:color="auto"/>
              <w:right w:val="single" w:sz="4" w:space="0" w:color="auto"/>
              <w:tl2br w:val="nil"/>
              <w:tr2bl w:val="nil"/>
            </w:tcBorders>
            <w:noWrap/>
            <w:textDirection w:val="lrTb"/>
            <w:vAlign w:val="center"/>
          </w:tcPr>
          <w:p w:rsidR="00403178" w:rsidRPr="005A0FB7" w:rsidP="005A0FB7">
            <w:pPr>
              <w:spacing w:line="240" w:lineRule="auto"/>
              <w:rPr>
                <w:rFonts w:ascii="Arial Narrow" w:hAnsi="Arial Narrow" w:cs="Times New Roman"/>
                <w:lang w:eastAsia="sk-SK"/>
              </w:rPr>
            </w:pPr>
            <w:r w:rsidRPr="005A0FB7">
              <w:rPr>
                <w:rFonts w:ascii="Arial Narrow" w:hAnsi="Arial Narrow" w:cs="Times New Roman"/>
                <w:lang w:eastAsia="sk-SK"/>
              </w:rPr>
              <w:t xml:space="preserve">               </w:t>
            </w:r>
            <w:r>
              <w:rPr>
                <w:rFonts w:ascii="Arial Narrow" w:hAnsi="Arial Narrow" w:cs="Times New Roman"/>
                <w:lang w:eastAsia="sk-SK"/>
              </w:rPr>
              <w:t xml:space="preserve"> </w:t>
            </w:r>
            <w:r w:rsidRPr="005A0FB7">
              <w:rPr>
                <w:rFonts w:ascii="Arial Narrow" w:hAnsi="Arial Narrow" w:cs="Times New Roman"/>
                <w:lang w:eastAsia="sk-SK"/>
              </w:rPr>
              <w:t>- prostriedky EÚ</w:t>
            </w:r>
          </w:p>
        </w:tc>
        <w:tc>
          <w:tcPr>
            <w:tcW w:w="1120" w:type="dxa"/>
            <w:tcBorders>
              <w:top w:val="nil"/>
              <w:left w:val="nil"/>
              <w:bottom w:val="single" w:sz="4" w:space="0" w:color="auto"/>
              <w:right w:val="single" w:sz="4" w:space="0" w:color="auto"/>
              <w:tl2br w:val="nil"/>
              <w:tr2bl w:val="nil"/>
            </w:tcBorders>
            <w:noWrap/>
            <w:textDirection w:val="lrTb"/>
            <w:vAlign w:val="center"/>
          </w:tcPr>
          <w:p w:rsidR="00403178" w:rsidRPr="005A0FB7" w:rsidP="005A0FB7">
            <w:pPr>
              <w:spacing w:line="240" w:lineRule="auto"/>
              <w:jc w:val="right"/>
              <w:rPr>
                <w:rFonts w:ascii="Arial Narrow" w:hAnsi="Arial Narrow" w:cs="Times New Roman"/>
                <w:lang w:eastAsia="sk-SK"/>
              </w:rPr>
            </w:pPr>
            <w:r w:rsidRPr="005A0FB7">
              <w:rPr>
                <w:rFonts w:ascii="Arial Narrow" w:hAnsi="Arial Narrow" w:cs="Times New Roman"/>
                <w:lang w:eastAsia="sk-SK"/>
              </w:rPr>
              <w:t>0</w:t>
            </w:r>
          </w:p>
        </w:tc>
        <w:tc>
          <w:tcPr>
            <w:tcW w:w="1120" w:type="dxa"/>
            <w:tcBorders>
              <w:top w:val="nil"/>
              <w:left w:val="nil"/>
              <w:bottom w:val="single" w:sz="4" w:space="0" w:color="auto"/>
              <w:right w:val="single" w:sz="4" w:space="0" w:color="auto"/>
              <w:tl2br w:val="nil"/>
              <w:tr2bl w:val="nil"/>
            </w:tcBorders>
            <w:noWrap/>
            <w:textDirection w:val="lrTb"/>
            <w:vAlign w:val="center"/>
          </w:tcPr>
          <w:p w:rsidR="00403178" w:rsidRPr="005A0FB7" w:rsidP="005A0FB7">
            <w:pPr>
              <w:spacing w:line="240" w:lineRule="auto"/>
              <w:jc w:val="right"/>
              <w:rPr>
                <w:rFonts w:ascii="Arial Narrow" w:hAnsi="Arial Narrow" w:cs="Times New Roman"/>
                <w:lang w:eastAsia="sk-SK"/>
              </w:rPr>
            </w:pPr>
            <w:r w:rsidRPr="005A0FB7">
              <w:rPr>
                <w:rFonts w:ascii="Arial Narrow" w:hAnsi="Arial Narrow" w:cs="Times New Roman"/>
                <w:lang w:eastAsia="sk-SK"/>
              </w:rPr>
              <w:t>9 540</w:t>
            </w:r>
          </w:p>
        </w:tc>
        <w:tc>
          <w:tcPr>
            <w:tcW w:w="1120" w:type="dxa"/>
            <w:tcBorders>
              <w:top w:val="nil"/>
              <w:left w:val="nil"/>
              <w:bottom w:val="single" w:sz="4" w:space="0" w:color="auto"/>
              <w:right w:val="single" w:sz="4" w:space="0" w:color="auto"/>
              <w:tl2br w:val="nil"/>
              <w:tr2bl w:val="nil"/>
            </w:tcBorders>
            <w:noWrap/>
            <w:textDirection w:val="lrTb"/>
            <w:vAlign w:val="center"/>
          </w:tcPr>
          <w:p w:rsidR="00403178" w:rsidRPr="005A0FB7" w:rsidP="005A0FB7">
            <w:pPr>
              <w:spacing w:line="240" w:lineRule="auto"/>
              <w:jc w:val="right"/>
              <w:rPr>
                <w:rFonts w:ascii="Arial Narrow" w:hAnsi="Arial Narrow" w:cs="Times New Roman"/>
                <w:lang w:eastAsia="sk-SK"/>
              </w:rPr>
            </w:pPr>
            <w:r w:rsidRPr="005A0FB7">
              <w:rPr>
                <w:rFonts w:ascii="Arial Narrow" w:hAnsi="Arial Narrow" w:cs="Times New Roman"/>
                <w:lang w:eastAsia="sk-SK"/>
              </w:rPr>
              <w:t>9 540</w:t>
            </w:r>
          </w:p>
        </w:tc>
      </w:tr>
      <w:tr>
        <w:tblPrEx>
          <w:tblW w:w="9135" w:type="dxa"/>
          <w:tblInd w:w="55" w:type="dxa"/>
          <w:tblCellMar>
            <w:left w:w="70" w:type="dxa"/>
            <w:right w:w="70" w:type="dxa"/>
          </w:tblCellMar>
        </w:tblPrEx>
        <w:trPr>
          <w:trHeight w:hRule="exact" w:val="227"/>
        </w:trPr>
        <w:tc>
          <w:tcPr>
            <w:tcW w:w="5775" w:type="dxa"/>
            <w:tcBorders>
              <w:top w:val="nil"/>
              <w:left w:val="single" w:sz="4" w:space="0" w:color="auto"/>
              <w:bottom w:val="single" w:sz="4" w:space="0" w:color="auto"/>
              <w:right w:val="single" w:sz="4" w:space="0" w:color="auto"/>
              <w:tl2br w:val="nil"/>
              <w:tr2bl w:val="nil"/>
            </w:tcBorders>
            <w:noWrap/>
            <w:textDirection w:val="lrTb"/>
            <w:vAlign w:val="center"/>
          </w:tcPr>
          <w:p w:rsidR="00403178" w:rsidRPr="005A0FB7" w:rsidP="005A0FB7">
            <w:pPr>
              <w:spacing w:line="240" w:lineRule="auto"/>
              <w:rPr>
                <w:rFonts w:ascii="Arial Narrow" w:hAnsi="Arial Narrow" w:cs="Times New Roman"/>
                <w:lang w:eastAsia="sk-SK"/>
              </w:rPr>
            </w:pPr>
            <w:r w:rsidRPr="005A0FB7">
              <w:rPr>
                <w:rFonts w:ascii="Arial Narrow" w:hAnsi="Arial Narrow" w:cs="Times New Roman"/>
                <w:lang w:eastAsia="sk-SK"/>
              </w:rPr>
              <w:t xml:space="preserve">    v tom: mzdy, platy, služobné príjmy a</w:t>
            </w:r>
            <w:r w:rsidR="001079AF">
              <w:rPr>
                <w:rFonts w:ascii="Arial Narrow" w:hAnsi="Arial Narrow" w:cs="Times New Roman"/>
                <w:lang w:eastAsia="sk-SK"/>
              </w:rPr>
              <w:t> </w:t>
            </w:r>
            <w:r w:rsidRPr="005A0FB7">
              <w:rPr>
                <w:rFonts w:ascii="Arial Narrow" w:hAnsi="Arial Narrow" w:cs="Times New Roman"/>
                <w:lang w:eastAsia="sk-SK"/>
              </w:rPr>
              <w:t>OOV</w:t>
            </w:r>
          </w:p>
        </w:tc>
        <w:tc>
          <w:tcPr>
            <w:tcW w:w="1120" w:type="dxa"/>
            <w:tcBorders>
              <w:top w:val="nil"/>
              <w:left w:val="nil"/>
              <w:bottom w:val="single" w:sz="4" w:space="0" w:color="auto"/>
              <w:right w:val="single" w:sz="4" w:space="0" w:color="auto"/>
              <w:tl2br w:val="nil"/>
              <w:tr2bl w:val="nil"/>
            </w:tcBorders>
            <w:noWrap/>
            <w:textDirection w:val="lrTb"/>
            <w:vAlign w:val="center"/>
          </w:tcPr>
          <w:p w:rsidR="00403178" w:rsidRPr="005A0FB7" w:rsidP="005A0FB7">
            <w:pPr>
              <w:spacing w:line="240" w:lineRule="auto"/>
              <w:jc w:val="right"/>
              <w:rPr>
                <w:rFonts w:ascii="Arial Narrow" w:hAnsi="Arial Narrow" w:cs="Times New Roman"/>
                <w:lang w:eastAsia="sk-SK"/>
              </w:rPr>
            </w:pPr>
            <w:r w:rsidRPr="005A0FB7">
              <w:rPr>
                <w:rFonts w:ascii="Arial Narrow" w:hAnsi="Arial Narrow" w:cs="Times New Roman"/>
                <w:lang w:eastAsia="sk-SK"/>
              </w:rPr>
              <w:t> </w:t>
            </w:r>
          </w:p>
        </w:tc>
        <w:tc>
          <w:tcPr>
            <w:tcW w:w="1120" w:type="dxa"/>
            <w:tcBorders>
              <w:top w:val="nil"/>
              <w:left w:val="nil"/>
              <w:bottom w:val="single" w:sz="4" w:space="0" w:color="auto"/>
              <w:right w:val="single" w:sz="4" w:space="0" w:color="auto"/>
              <w:tl2br w:val="nil"/>
              <w:tr2bl w:val="nil"/>
            </w:tcBorders>
            <w:shd w:val="clear" w:color="auto" w:fill="FFFFFF"/>
            <w:noWrap/>
            <w:textDirection w:val="lrTb"/>
            <w:vAlign w:val="center"/>
          </w:tcPr>
          <w:p w:rsidR="00403178" w:rsidRPr="005A0FB7" w:rsidP="005A0FB7">
            <w:pPr>
              <w:spacing w:line="240" w:lineRule="auto"/>
              <w:jc w:val="right"/>
              <w:rPr>
                <w:rFonts w:ascii="Arial Narrow" w:hAnsi="Arial Narrow" w:cs="Times New Roman"/>
                <w:lang w:eastAsia="sk-SK"/>
              </w:rPr>
            </w:pPr>
            <w:r w:rsidRPr="005A0FB7">
              <w:rPr>
                <w:rFonts w:ascii="Arial Narrow" w:hAnsi="Arial Narrow" w:cs="Times New Roman"/>
                <w:lang w:eastAsia="sk-SK"/>
              </w:rPr>
              <w:t> </w:t>
            </w:r>
          </w:p>
        </w:tc>
        <w:tc>
          <w:tcPr>
            <w:tcW w:w="1120" w:type="dxa"/>
            <w:tcBorders>
              <w:top w:val="nil"/>
              <w:left w:val="nil"/>
              <w:bottom w:val="single" w:sz="4" w:space="0" w:color="auto"/>
              <w:right w:val="single" w:sz="4" w:space="0" w:color="auto"/>
              <w:tl2br w:val="nil"/>
              <w:tr2bl w:val="nil"/>
            </w:tcBorders>
            <w:shd w:val="clear" w:color="auto" w:fill="FFFFFF"/>
            <w:noWrap/>
            <w:textDirection w:val="lrTb"/>
            <w:vAlign w:val="center"/>
          </w:tcPr>
          <w:p w:rsidR="00403178" w:rsidRPr="005A0FB7" w:rsidP="005A0FB7">
            <w:pPr>
              <w:spacing w:line="240" w:lineRule="auto"/>
              <w:jc w:val="right"/>
              <w:rPr>
                <w:rFonts w:ascii="Arial Narrow" w:hAnsi="Arial Narrow" w:cs="Times New Roman"/>
                <w:lang w:eastAsia="sk-SK"/>
              </w:rPr>
            </w:pPr>
            <w:r w:rsidRPr="005A0FB7">
              <w:rPr>
                <w:rFonts w:ascii="Arial Narrow" w:hAnsi="Arial Narrow" w:cs="Times New Roman"/>
                <w:lang w:eastAsia="sk-SK"/>
              </w:rPr>
              <w:t> </w:t>
            </w:r>
          </w:p>
        </w:tc>
      </w:tr>
      <w:tr>
        <w:tblPrEx>
          <w:tblW w:w="9135" w:type="dxa"/>
          <w:tblInd w:w="55" w:type="dxa"/>
          <w:tblCellMar>
            <w:left w:w="70" w:type="dxa"/>
            <w:right w:w="70" w:type="dxa"/>
          </w:tblCellMar>
        </w:tblPrEx>
        <w:trPr>
          <w:trHeight w:hRule="exact" w:val="227"/>
        </w:trPr>
        <w:tc>
          <w:tcPr>
            <w:tcW w:w="5775" w:type="dxa"/>
            <w:tcBorders>
              <w:top w:val="nil"/>
              <w:left w:val="single" w:sz="4" w:space="0" w:color="auto"/>
              <w:bottom w:val="single" w:sz="4" w:space="0" w:color="auto"/>
              <w:right w:val="single" w:sz="4" w:space="0" w:color="auto"/>
              <w:tl2br w:val="nil"/>
              <w:tr2bl w:val="nil"/>
            </w:tcBorders>
            <w:noWrap/>
            <w:textDirection w:val="lrTb"/>
            <w:vAlign w:val="center"/>
          </w:tcPr>
          <w:p w:rsidR="00403178" w:rsidRPr="005A0FB7" w:rsidP="005A0FB7">
            <w:pPr>
              <w:spacing w:line="240" w:lineRule="auto"/>
              <w:rPr>
                <w:rFonts w:ascii="Arial Narrow" w:hAnsi="Arial Narrow" w:cs="Times New Roman"/>
                <w:lang w:eastAsia="sk-SK"/>
              </w:rPr>
            </w:pPr>
            <w:r w:rsidRPr="005A0FB7">
              <w:rPr>
                <w:rFonts w:ascii="Arial Narrow" w:hAnsi="Arial Narrow" w:cs="Times New Roman"/>
                <w:lang w:eastAsia="sk-SK"/>
              </w:rPr>
              <w:t xml:space="preserve">         </w:t>
            </w:r>
            <w:r>
              <w:rPr>
                <w:rFonts w:ascii="Arial Narrow" w:hAnsi="Arial Narrow" w:cs="Times New Roman"/>
                <w:lang w:eastAsia="sk-SK"/>
              </w:rPr>
              <w:t xml:space="preserve">      </w:t>
            </w:r>
            <w:r w:rsidRPr="005A0FB7">
              <w:rPr>
                <w:rFonts w:ascii="Arial Narrow" w:hAnsi="Arial Narrow" w:cs="Times New Roman"/>
                <w:lang w:eastAsia="sk-SK"/>
              </w:rPr>
              <w:t>aparátu ústredného orgánu (610) (kód zdroja 111)</w:t>
            </w:r>
          </w:p>
        </w:tc>
        <w:tc>
          <w:tcPr>
            <w:tcW w:w="1120" w:type="dxa"/>
            <w:tcBorders>
              <w:top w:val="nil"/>
              <w:left w:val="nil"/>
              <w:bottom w:val="single" w:sz="4" w:space="0" w:color="auto"/>
              <w:right w:val="single" w:sz="4" w:space="0" w:color="auto"/>
              <w:tl2br w:val="nil"/>
              <w:tr2bl w:val="nil"/>
            </w:tcBorders>
            <w:noWrap/>
            <w:textDirection w:val="lrTb"/>
            <w:vAlign w:val="center"/>
          </w:tcPr>
          <w:p w:rsidR="00403178" w:rsidRPr="005A0FB7" w:rsidP="005A0FB7">
            <w:pPr>
              <w:spacing w:line="240" w:lineRule="auto"/>
              <w:jc w:val="right"/>
              <w:rPr>
                <w:rFonts w:ascii="Arial Narrow" w:hAnsi="Arial Narrow" w:cs="Times New Roman"/>
                <w:lang w:eastAsia="sk-SK"/>
              </w:rPr>
            </w:pPr>
            <w:r w:rsidRPr="005A0FB7">
              <w:rPr>
                <w:rFonts w:ascii="Arial Narrow" w:hAnsi="Arial Narrow" w:cs="Times New Roman"/>
                <w:lang w:eastAsia="sk-SK"/>
              </w:rPr>
              <w:t>116 382</w:t>
            </w:r>
          </w:p>
        </w:tc>
        <w:tc>
          <w:tcPr>
            <w:tcW w:w="1120" w:type="dxa"/>
            <w:tcBorders>
              <w:top w:val="nil"/>
              <w:left w:val="nil"/>
              <w:bottom w:val="single" w:sz="4" w:space="0" w:color="auto"/>
              <w:right w:val="single" w:sz="4" w:space="0" w:color="auto"/>
              <w:tl2br w:val="nil"/>
              <w:tr2bl w:val="nil"/>
            </w:tcBorders>
            <w:noWrap/>
            <w:textDirection w:val="lrTb"/>
            <w:vAlign w:val="center"/>
          </w:tcPr>
          <w:p w:rsidR="00403178" w:rsidRPr="005A0FB7" w:rsidP="005A0FB7">
            <w:pPr>
              <w:spacing w:line="240" w:lineRule="auto"/>
              <w:jc w:val="right"/>
              <w:rPr>
                <w:rFonts w:ascii="Arial Narrow" w:hAnsi="Arial Narrow" w:cs="Times New Roman"/>
                <w:lang w:eastAsia="sk-SK"/>
              </w:rPr>
            </w:pPr>
            <w:r>
              <w:rPr>
                <w:rFonts w:ascii="Arial Narrow" w:hAnsi="Arial Narrow" w:cs="Times New Roman"/>
                <w:lang w:eastAsia="sk-SK"/>
              </w:rPr>
              <w:t>111 316</w:t>
            </w:r>
          </w:p>
        </w:tc>
        <w:tc>
          <w:tcPr>
            <w:tcW w:w="1120" w:type="dxa"/>
            <w:tcBorders>
              <w:top w:val="nil"/>
              <w:left w:val="nil"/>
              <w:bottom w:val="single" w:sz="4" w:space="0" w:color="auto"/>
              <w:right w:val="single" w:sz="4" w:space="0" w:color="auto"/>
              <w:tl2br w:val="nil"/>
              <w:tr2bl w:val="nil"/>
            </w:tcBorders>
            <w:noWrap/>
            <w:textDirection w:val="lrTb"/>
            <w:vAlign w:val="center"/>
          </w:tcPr>
          <w:p w:rsidR="00403178" w:rsidRPr="005A0FB7" w:rsidP="005A0FB7">
            <w:pPr>
              <w:spacing w:line="240" w:lineRule="auto"/>
              <w:jc w:val="right"/>
              <w:rPr>
                <w:rFonts w:ascii="Arial Narrow" w:hAnsi="Arial Narrow" w:cs="Times New Roman"/>
                <w:lang w:eastAsia="sk-SK"/>
              </w:rPr>
            </w:pPr>
            <w:r>
              <w:rPr>
                <w:rFonts w:ascii="Arial Narrow" w:hAnsi="Arial Narrow" w:cs="Times New Roman"/>
                <w:lang w:eastAsia="sk-SK"/>
              </w:rPr>
              <w:t>111 222</w:t>
            </w:r>
          </w:p>
        </w:tc>
      </w:tr>
      <w:tr>
        <w:tblPrEx>
          <w:tblW w:w="9135" w:type="dxa"/>
          <w:tblInd w:w="55" w:type="dxa"/>
          <w:tblCellMar>
            <w:left w:w="70" w:type="dxa"/>
            <w:right w:w="70" w:type="dxa"/>
          </w:tblCellMar>
        </w:tblPrEx>
        <w:trPr>
          <w:trHeight w:hRule="exact" w:val="227"/>
        </w:trPr>
        <w:tc>
          <w:tcPr>
            <w:tcW w:w="5775" w:type="dxa"/>
            <w:tcBorders>
              <w:top w:val="nil"/>
              <w:left w:val="single" w:sz="4" w:space="0" w:color="auto"/>
              <w:bottom w:val="single" w:sz="4" w:space="0" w:color="auto"/>
              <w:right w:val="single" w:sz="4" w:space="0" w:color="auto"/>
              <w:tl2br w:val="nil"/>
              <w:tr2bl w:val="nil"/>
            </w:tcBorders>
            <w:noWrap/>
            <w:textDirection w:val="lrTb"/>
            <w:vAlign w:val="center"/>
          </w:tcPr>
          <w:p w:rsidR="00403178" w:rsidRPr="005A0FB7" w:rsidP="00FD12C4">
            <w:pPr>
              <w:spacing w:line="240" w:lineRule="auto"/>
              <w:rPr>
                <w:rFonts w:ascii="Arial Narrow" w:hAnsi="Arial Narrow" w:cs="Times New Roman"/>
                <w:lang w:eastAsia="sk-SK"/>
              </w:rPr>
            </w:pPr>
            <w:r>
              <w:rPr>
                <w:rFonts w:ascii="Arial Narrow" w:hAnsi="Arial Narrow" w:cs="Times New Roman"/>
                <w:lang w:eastAsia="sk-SK"/>
              </w:rPr>
              <w:t xml:space="preserve">                                                      </w:t>
            </w:r>
            <w:r>
              <w:rPr>
                <w:rFonts w:ascii="Arial Narrow" w:hAnsi="Arial Narrow" w:cs="Times New Roman"/>
                <w:lang w:eastAsia="sk-SK"/>
              </w:rPr>
              <w:t xml:space="preserve">               (kód zdroja 1151</w:t>
            </w:r>
            <w:r w:rsidRPr="005A0FB7">
              <w:rPr>
                <w:rFonts w:ascii="Arial Narrow" w:hAnsi="Arial Narrow" w:cs="Times New Roman"/>
                <w:lang w:eastAsia="sk-SK"/>
              </w:rPr>
              <w:t>)</w:t>
            </w:r>
          </w:p>
        </w:tc>
        <w:tc>
          <w:tcPr>
            <w:tcW w:w="1120" w:type="dxa"/>
            <w:tcBorders>
              <w:top w:val="nil"/>
              <w:left w:val="nil"/>
              <w:bottom w:val="single" w:sz="4" w:space="0" w:color="auto"/>
              <w:right w:val="single" w:sz="4" w:space="0" w:color="auto"/>
              <w:tl2br w:val="nil"/>
              <w:tr2bl w:val="nil"/>
            </w:tcBorders>
            <w:noWrap/>
            <w:textDirection w:val="lrTb"/>
            <w:vAlign w:val="center"/>
          </w:tcPr>
          <w:p w:rsidR="00403178" w:rsidRPr="005A0FB7" w:rsidP="005A0FB7">
            <w:pPr>
              <w:spacing w:line="240" w:lineRule="auto"/>
              <w:jc w:val="right"/>
              <w:rPr>
                <w:rFonts w:ascii="Arial Narrow" w:hAnsi="Arial Narrow" w:cs="Times New Roman"/>
                <w:lang w:eastAsia="sk-SK"/>
              </w:rPr>
            </w:pPr>
            <w:r w:rsidR="001079AF">
              <w:rPr>
                <w:rFonts w:ascii="Arial Narrow" w:hAnsi="Arial Narrow" w:cs="Times New Roman"/>
                <w:lang w:eastAsia="sk-SK"/>
              </w:rPr>
              <w:t>0</w:t>
            </w:r>
          </w:p>
        </w:tc>
        <w:tc>
          <w:tcPr>
            <w:tcW w:w="1120" w:type="dxa"/>
            <w:tcBorders>
              <w:top w:val="nil"/>
              <w:left w:val="nil"/>
              <w:bottom w:val="single" w:sz="4" w:space="0" w:color="auto"/>
              <w:right w:val="single" w:sz="4" w:space="0" w:color="auto"/>
              <w:tl2br w:val="nil"/>
              <w:tr2bl w:val="nil"/>
            </w:tcBorders>
            <w:noWrap/>
            <w:textDirection w:val="lrTb"/>
            <w:vAlign w:val="center"/>
          </w:tcPr>
          <w:p w:rsidR="00403178" w:rsidRPr="005A0FB7" w:rsidP="005A0FB7">
            <w:pPr>
              <w:spacing w:line="240" w:lineRule="auto"/>
              <w:jc w:val="right"/>
              <w:rPr>
                <w:rFonts w:ascii="Arial Narrow" w:hAnsi="Arial Narrow" w:cs="Times New Roman"/>
                <w:lang w:eastAsia="sk-SK"/>
              </w:rPr>
            </w:pPr>
            <w:r w:rsidR="001079AF">
              <w:rPr>
                <w:rFonts w:ascii="Arial Narrow" w:hAnsi="Arial Narrow" w:cs="Times New Roman"/>
                <w:lang w:eastAsia="sk-SK"/>
              </w:rPr>
              <w:t>7 318</w:t>
            </w:r>
          </w:p>
        </w:tc>
        <w:tc>
          <w:tcPr>
            <w:tcW w:w="1120" w:type="dxa"/>
            <w:tcBorders>
              <w:top w:val="nil"/>
              <w:left w:val="nil"/>
              <w:bottom w:val="single" w:sz="4" w:space="0" w:color="auto"/>
              <w:right w:val="single" w:sz="4" w:space="0" w:color="auto"/>
              <w:tl2br w:val="nil"/>
              <w:tr2bl w:val="nil"/>
            </w:tcBorders>
            <w:noWrap/>
            <w:textDirection w:val="lrTb"/>
            <w:vAlign w:val="center"/>
          </w:tcPr>
          <w:p w:rsidR="00403178" w:rsidRPr="005A0FB7" w:rsidP="005A0FB7">
            <w:pPr>
              <w:spacing w:line="240" w:lineRule="auto"/>
              <w:jc w:val="right"/>
              <w:rPr>
                <w:rFonts w:ascii="Arial Narrow" w:hAnsi="Arial Narrow" w:cs="Times New Roman"/>
                <w:lang w:eastAsia="sk-SK"/>
              </w:rPr>
            </w:pPr>
            <w:r w:rsidR="001079AF">
              <w:rPr>
                <w:rFonts w:ascii="Arial Narrow" w:hAnsi="Arial Narrow" w:cs="Times New Roman"/>
                <w:lang w:eastAsia="sk-SK"/>
              </w:rPr>
              <w:t>7 318</w:t>
            </w:r>
          </w:p>
        </w:tc>
      </w:tr>
      <w:tr>
        <w:tblPrEx>
          <w:tblW w:w="9135" w:type="dxa"/>
          <w:tblInd w:w="55" w:type="dxa"/>
          <w:tblCellMar>
            <w:left w:w="70" w:type="dxa"/>
            <w:right w:w="70" w:type="dxa"/>
          </w:tblCellMar>
        </w:tblPrEx>
        <w:trPr>
          <w:trHeight w:hRule="exact" w:val="227"/>
        </w:trPr>
        <w:tc>
          <w:tcPr>
            <w:tcW w:w="5775" w:type="dxa"/>
            <w:tcBorders>
              <w:top w:val="nil"/>
              <w:left w:val="single" w:sz="4" w:space="0" w:color="auto"/>
              <w:bottom w:val="single" w:sz="4" w:space="0" w:color="auto"/>
              <w:right w:val="single" w:sz="4" w:space="0" w:color="auto"/>
              <w:tl2br w:val="nil"/>
              <w:tr2bl w:val="nil"/>
            </w:tcBorders>
            <w:noWrap/>
            <w:textDirection w:val="lrTb"/>
            <w:vAlign w:val="center"/>
          </w:tcPr>
          <w:p w:rsidR="00403178" w:rsidRPr="005A0FB7" w:rsidP="00FD12C4">
            <w:pPr>
              <w:spacing w:line="240" w:lineRule="auto"/>
              <w:rPr>
                <w:rFonts w:ascii="Arial Narrow" w:hAnsi="Arial Narrow" w:cs="Times New Roman"/>
                <w:lang w:eastAsia="sk-SK"/>
              </w:rPr>
            </w:pPr>
            <w:r>
              <w:rPr>
                <w:rFonts w:ascii="Arial Narrow" w:hAnsi="Arial Narrow" w:cs="Times New Roman"/>
                <w:lang w:eastAsia="sk-SK"/>
              </w:rPr>
              <w:t xml:space="preserve">                                                                     (kód zdroja 1152</w:t>
            </w:r>
            <w:r w:rsidRPr="005A0FB7">
              <w:rPr>
                <w:rFonts w:ascii="Arial Narrow" w:hAnsi="Arial Narrow" w:cs="Times New Roman"/>
                <w:lang w:eastAsia="sk-SK"/>
              </w:rPr>
              <w:t>)</w:t>
            </w:r>
          </w:p>
        </w:tc>
        <w:tc>
          <w:tcPr>
            <w:tcW w:w="1120" w:type="dxa"/>
            <w:tcBorders>
              <w:top w:val="nil"/>
              <w:left w:val="nil"/>
              <w:bottom w:val="single" w:sz="4" w:space="0" w:color="auto"/>
              <w:right w:val="single" w:sz="4" w:space="0" w:color="auto"/>
              <w:tl2br w:val="nil"/>
              <w:tr2bl w:val="nil"/>
            </w:tcBorders>
            <w:noWrap/>
            <w:textDirection w:val="lrTb"/>
            <w:vAlign w:val="center"/>
          </w:tcPr>
          <w:p w:rsidR="00403178" w:rsidRPr="005A0FB7" w:rsidP="005A0FB7">
            <w:pPr>
              <w:spacing w:line="240" w:lineRule="auto"/>
              <w:jc w:val="right"/>
              <w:rPr>
                <w:rFonts w:ascii="Arial Narrow" w:hAnsi="Arial Narrow" w:cs="Times New Roman"/>
                <w:lang w:eastAsia="sk-SK"/>
              </w:rPr>
            </w:pPr>
            <w:r w:rsidR="001079AF">
              <w:rPr>
                <w:rFonts w:ascii="Arial Narrow" w:hAnsi="Arial Narrow" w:cs="Times New Roman"/>
                <w:lang w:eastAsia="sk-SK"/>
              </w:rPr>
              <w:t>0</w:t>
            </w:r>
          </w:p>
        </w:tc>
        <w:tc>
          <w:tcPr>
            <w:tcW w:w="1120" w:type="dxa"/>
            <w:tcBorders>
              <w:top w:val="nil"/>
              <w:left w:val="nil"/>
              <w:bottom w:val="single" w:sz="4" w:space="0" w:color="auto"/>
              <w:right w:val="single" w:sz="4" w:space="0" w:color="auto"/>
              <w:tl2br w:val="nil"/>
              <w:tr2bl w:val="nil"/>
            </w:tcBorders>
            <w:noWrap/>
            <w:textDirection w:val="lrTb"/>
            <w:vAlign w:val="center"/>
          </w:tcPr>
          <w:p w:rsidR="00403178" w:rsidRPr="005A0FB7" w:rsidP="005A0FB7">
            <w:pPr>
              <w:spacing w:line="240" w:lineRule="auto"/>
              <w:jc w:val="right"/>
              <w:rPr>
                <w:rFonts w:ascii="Arial Narrow" w:hAnsi="Arial Narrow" w:cs="Times New Roman"/>
                <w:lang w:eastAsia="sk-SK"/>
              </w:rPr>
            </w:pPr>
            <w:r w:rsidR="001079AF">
              <w:rPr>
                <w:rFonts w:ascii="Arial Narrow" w:hAnsi="Arial Narrow" w:cs="Times New Roman"/>
                <w:lang w:eastAsia="sk-SK"/>
              </w:rPr>
              <w:t>2 439</w:t>
            </w:r>
          </w:p>
        </w:tc>
        <w:tc>
          <w:tcPr>
            <w:tcW w:w="1120" w:type="dxa"/>
            <w:tcBorders>
              <w:top w:val="nil"/>
              <w:left w:val="nil"/>
              <w:bottom w:val="single" w:sz="4" w:space="0" w:color="auto"/>
              <w:right w:val="single" w:sz="4" w:space="0" w:color="auto"/>
              <w:tl2br w:val="nil"/>
              <w:tr2bl w:val="nil"/>
            </w:tcBorders>
            <w:noWrap/>
            <w:textDirection w:val="lrTb"/>
            <w:vAlign w:val="center"/>
          </w:tcPr>
          <w:p w:rsidR="00403178" w:rsidRPr="005A0FB7" w:rsidP="005A0FB7">
            <w:pPr>
              <w:spacing w:line="240" w:lineRule="auto"/>
              <w:jc w:val="right"/>
              <w:rPr>
                <w:rFonts w:ascii="Arial Narrow" w:hAnsi="Arial Narrow" w:cs="Times New Roman"/>
                <w:lang w:eastAsia="sk-SK"/>
              </w:rPr>
            </w:pPr>
            <w:r w:rsidR="001079AF">
              <w:rPr>
                <w:rFonts w:ascii="Arial Narrow" w:hAnsi="Arial Narrow" w:cs="Times New Roman"/>
                <w:lang w:eastAsia="sk-SK"/>
              </w:rPr>
              <w:t>2 439</w:t>
            </w:r>
          </w:p>
        </w:tc>
      </w:tr>
      <w:tr>
        <w:tblPrEx>
          <w:tblW w:w="9135" w:type="dxa"/>
          <w:tblInd w:w="55" w:type="dxa"/>
          <w:tblCellMar>
            <w:left w:w="70" w:type="dxa"/>
            <w:right w:w="70" w:type="dxa"/>
          </w:tblCellMar>
        </w:tblPrEx>
        <w:trPr>
          <w:trHeight w:hRule="exact" w:val="227"/>
        </w:trPr>
        <w:tc>
          <w:tcPr>
            <w:tcW w:w="5775" w:type="dxa"/>
            <w:tcBorders>
              <w:top w:val="nil"/>
              <w:left w:val="single" w:sz="4" w:space="0" w:color="auto"/>
              <w:bottom w:val="single" w:sz="4" w:space="0" w:color="auto"/>
              <w:right w:val="single" w:sz="4" w:space="0" w:color="auto"/>
              <w:tl2br w:val="nil"/>
              <w:tr2bl w:val="nil"/>
            </w:tcBorders>
            <w:noWrap/>
            <w:textDirection w:val="lrTb"/>
            <w:vAlign w:val="center"/>
          </w:tcPr>
          <w:p w:rsidR="00403178" w:rsidRPr="005A0FB7" w:rsidP="00FD12C4">
            <w:pPr>
              <w:spacing w:line="240" w:lineRule="auto"/>
              <w:rPr>
                <w:rFonts w:ascii="Arial Narrow" w:hAnsi="Arial Narrow" w:cs="Times New Roman"/>
                <w:lang w:eastAsia="sk-SK"/>
              </w:rPr>
            </w:pPr>
            <w:r>
              <w:rPr>
                <w:rFonts w:ascii="Arial Narrow" w:hAnsi="Arial Narrow" w:cs="Times New Roman"/>
                <w:lang w:eastAsia="sk-SK"/>
              </w:rPr>
              <w:t xml:space="preserve">                                                                     (kód zdroja 1351</w:t>
            </w:r>
            <w:r w:rsidRPr="005A0FB7">
              <w:rPr>
                <w:rFonts w:ascii="Arial Narrow" w:hAnsi="Arial Narrow" w:cs="Times New Roman"/>
                <w:lang w:eastAsia="sk-SK"/>
              </w:rPr>
              <w:t>)</w:t>
            </w:r>
          </w:p>
        </w:tc>
        <w:tc>
          <w:tcPr>
            <w:tcW w:w="1120" w:type="dxa"/>
            <w:tcBorders>
              <w:top w:val="nil"/>
              <w:left w:val="nil"/>
              <w:bottom w:val="single" w:sz="4" w:space="0" w:color="auto"/>
              <w:right w:val="single" w:sz="4" w:space="0" w:color="auto"/>
              <w:tl2br w:val="nil"/>
              <w:tr2bl w:val="nil"/>
            </w:tcBorders>
            <w:noWrap/>
            <w:textDirection w:val="lrTb"/>
            <w:vAlign w:val="center"/>
          </w:tcPr>
          <w:p w:rsidR="00403178" w:rsidRPr="005A0FB7" w:rsidP="005A0FB7">
            <w:pPr>
              <w:spacing w:line="240" w:lineRule="auto"/>
              <w:jc w:val="right"/>
              <w:rPr>
                <w:rFonts w:ascii="Arial Narrow" w:hAnsi="Arial Narrow" w:cs="Times New Roman"/>
                <w:lang w:eastAsia="sk-SK"/>
              </w:rPr>
            </w:pPr>
            <w:r w:rsidR="001079AF">
              <w:rPr>
                <w:rFonts w:ascii="Arial Narrow" w:hAnsi="Arial Narrow" w:cs="Times New Roman"/>
                <w:lang w:eastAsia="sk-SK"/>
              </w:rPr>
              <w:t>0</w:t>
            </w:r>
          </w:p>
        </w:tc>
        <w:tc>
          <w:tcPr>
            <w:tcW w:w="1120" w:type="dxa"/>
            <w:tcBorders>
              <w:top w:val="nil"/>
              <w:left w:val="nil"/>
              <w:bottom w:val="single" w:sz="4" w:space="0" w:color="auto"/>
              <w:right w:val="single" w:sz="4" w:space="0" w:color="auto"/>
              <w:tl2br w:val="nil"/>
              <w:tr2bl w:val="nil"/>
            </w:tcBorders>
            <w:noWrap/>
            <w:textDirection w:val="lrTb"/>
            <w:vAlign w:val="center"/>
          </w:tcPr>
          <w:p w:rsidR="00403178" w:rsidRPr="005A0FB7" w:rsidP="005A0FB7">
            <w:pPr>
              <w:spacing w:line="240" w:lineRule="auto"/>
              <w:jc w:val="right"/>
              <w:rPr>
                <w:rFonts w:ascii="Arial Narrow" w:hAnsi="Arial Narrow" w:cs="Times New Roman"/>
                <w:lang w:eastAsia="sk-SK"/>
              </w:rPr>
            </w:pPr>
            <w:r w:rsidR="001079AF">
              <w:rPr>
                <w:rFonts w:ascii="Arial Narrow" w:hAnsi="Arial Narrow" w:cs="Times New Roman"/>
                <w:lang w:eastAsia="sk-SK"/>
              </w:rPr>
              <w:t>1 443</w:t>
            </w:r>
          </w:p>
        </w:tc>
        <w:tc>
          <w:tcPr>
            <w:tcW w:w="1120" w:type="dxa"/>
            <w:tcBorders>
              <w:top w:val="nil"/>
              <w:left w:val="nil"/>
              <w:bottom w:val="single" w:sz="4" w:space="0" w:color="auto"/>
              <w:right w:val="single" w:sz="4" w:space="0" w:color="auto"/>
              <w:tl2br w:val="nil"/>
              <w:tr2bl w:val="nil"/>
            </w:tcBorders>
            <w:noWrap/>
            <w:textDirection w:val="lrTb"/>
            <w:vAlign w:val="center"/>
          </w:tcPr>
          <w:p w:rsidR="00403178" w:rsidRPr="005A0FB7" w:rsidP="005A0FB7">
            <w:pPr>
              <w:spacing w:line="240" w:lineRule="auto"/>
              <w:jc w:val="right"/>
              <w:rPr>
                <w:rFonts w:ascii="Arial Narrow" w:hAnsi="Arial Narrow" w:cs="Times New Roman"/>
                <w:lang w:eastAsia="sk-SK"/>
              </w:rPr>
            </w:pPr>
            <w:r w:rsidR="001079AF">
              <w:rPr>
                <w:rFonts w:ascii="Arial Narrow" w:hAnsi="Arial Narrow" w:cs="Times New Roman"/>
                <w:lang w:eastAsia="sk-SK"/>
              </w:rPr>
              <w:t>1 443</w:t>
            </w:r>
          </w:p>
        </w:tc>
      </w:tr>
      <w:tr>
        <w:tblPrEx>
          <w:tblW w:w="9135" w:type="dxa"/>
          <w:tblInd w:w="55" w:type="dxa"/>
          <w:tblCellMar>
            <w:left w:w="70" w:type="dxa"/>
            <w:right w:w="70" w:type="dxa"/>
          </w:tblCellMar>
        </w:tblPrEx>
        <w:trPr>
          <w:trHeight w:hRule="exact" w:val="227"/>
        </w:trPr>
        <w:tc>
          <w:tcPr>
            <w:tcW w:w="5775" w:type="dxa"/>
            <w:tcBorders>
              <w:top w:val="nil"/>
              <w:left w:val="single" w:sz="4" w:space="0" w:color="auto"/>
              <w:bottom w:val="single" w:sz="4" w:space="0" w:color="auto"/>
              <w:right w:val="single" w:sz="4" w:space="0" w:color="auto"/>
              <w:tl2br w:val="nil"/>
              <w:tr2bl w:val="nil"/>
            </w:tcBorders>
            <w:noWrap/>
            <w:textDirection w:val="lrTb"/>
            <w:vAlign w:val="center"/>
          </w:tcPr>
          <w:p w:rsidR="00403178" w:rsidRPr="005A0FB7" w:rsidP="00FD12C4">
            <w:pPr>
              <w:spacing w:line="240" w:lineRule="auto"/>
              <w:rPr>
                <w:rFonts w:ascii="Arial Narrow" w:hAnsi="Arial Narrow" w:cs="Times New Roman"/>
                <w:lang w:eastAsia="sk-SK"/>
              </w:rPr>
            </w:pPr>
            <w:r>
              <w:rPr>
                <w:rFonts w:ascii="Arial Narrow" w:hAnsi="Arial Narrow" w:cs="Times New Roman"/>
                <w:lang w:eastAsia="sk-SK"/>
              </w:rPr>
              <w:t xml:space="preserve">                                                                     (kód zdroja 1352</w:t>
            </w:r>
            <w:r w:rsidRPr="005A0FB7">
              <w:rPr>
                <w:rFonts w:ascii="Arial Narrow" w:hAnsi="Arial Narrow" w:cs="Times New Roman"/>
                <w:lang w:eastAsia="sk-SK"/>
              </w:rPr>
              <w:t>)</w:t>
            </w:r>
          </w:p>
        </w:tc>
        <w:tc>
          <w:tcPr>
            <w:tcW w:w="1120" w:type="dxa"/>
            <w:tcBorders>
              <w:top w:val="nil"/>
              <w:left w:val="nil"/>
              <w:bottom w:val="single" w:sz="4" w:space="0" w:color="auto"/>
              <w:right w:val="single" w:sz="4" w:space="0" w:color="auto"/>
              <w:tl2br w:val="nil"/>
              <w:tr2bl w:val="nil"/>
            </w:tcBorders>
            <w:noWrap/>
            <w:textDirection w:val="lrTb"/>
            <w:vAlign w:val="center"/>
          </w:tcPr>
          <w:p w:rsidR="00403178" w:rsidRPr="005A0FB7" w:rsidP="005A0FB7">
            <w:pPr>
              <w:spacing w:line="240" w:lineRule="auto"/>
              <w:jc w:val="right"/>
              <w:rPr>
                <w:rFonts w:ascii="Arial Narrow" w:hAnsi="Arial Narrow" w:cs="Times New Roman"/>
                <w:lang w:eastAsia="sk-SK"/>
              </w:rPr>
            </w:pPr>
            <w:r w:rsidR="001079AF">
              <w:rPr>
                <w:rFonts w:ascii="Arial Narrow" w:hAnsi="Arial Narrow" w:cs="Times New Roman"/>
                <w:lang w:eastAsia="sk-SK"/>
              </w:rPr>
              <w:t>0</w:t>
            </w:r>
          </w:p>
        </w:tc>
        <w:tc>
          <w:tcPr>
            <w:tcW w:w="1120" w:type="dxa"/>
            <w:tcBorders>
              <w:top w:val="nil"/>
              <w:left w:val="nil"/>
              <w:bottom w:val="single" w:sz="4" w:space="0" w:color="auto"/>
              <w:right w:val="single" w:sz="4" w:space="0" w:color="auto"/>
              <w:tl2br w:val="nil"/>
              <w:tr2bl w:val="nil"/>
            </w:tcBorders>
            <w:noWrap/>
            <w:textDirection w:val="lrTb"/>
            <w:vAlign w:val="center"/>
          </w:tcPr>
          <w:p w:rsidR="00403178" w:rsidRPr="005A0FB7" w:rsidP="005A0FB7">
            <w:pPr>
              <w:spacing w:line="240" w:lineRule="auto"/>
              <w:jc w:val="right"/>
              <w:rPr>
                <w:rFonts w:ascii="Arial Narrow" w:hAnsi="Arial Narrow" w:cs="Times New Roman"/>
                <w:lang w:eastAsia="sk-SK"/>
              </w:rPr>
            </w:pPr>
            <w:r w:rsidR="001079AF">
              <w:rPr>
                <w:rFonts w:ascii="Arial Narrow" w:hAnsi="Arial Narrow" w:cs="Times New Roman"/>
                <w:lang w:eastAsia="sk-SK"/>
              </w:rPr>
              <w:t>481</w:t>
            </w:r>
          </w:p>
        </w:tc>
        <w:tc>
          <w:tcPr>
            <w:tcW w:w="1120" w:type="dxa"/>
            <w:tcBorders>
              <w:top w:val="nil"/>
              <w:left w:val="nil"/>
              <w:bottom w:val="single" w:sz="4" w:space="0" w:color="auto"/>
              <w:right w:val="single" w:sz="4" w:space="0" w:color="auto"/>
              <w:tl2br w:val="nil"/>
              <w:tr2bl w:val="nil"/>
            </w:tcBorders>
            <w:noWrap/>
            <w:textDirection w:val="lrTb"/>
            <w:vAlign w:val="center"/>
          </w:tcPr>
          <w:p w:rsidR="00403178" w:rsidRPr="005A0FB7" w:rsidP="005A0FB7">
            <w:pPr>
              <w:spacing w:line="240" w:lineRule="auto"/>
              <w:jc w:val="right"/>
              <w:rPr>
                <w:rFonts w:ascii="Arial Narrow" w:hAnsi="Arial Narrow" w:cs="Times New Roman"/>
                <w:lang w:eastAsia="sk-SK"/>
              </w:rPr>
            </w:pPr>
            <w:r w:rsidR="001079AF">
              <w:rPr>
                <w:rFonts w:ascii="Arial Narrow" w:hAnsi="Arial Narrow" w:cs="Times New Roman"/>
                <w:lang w:eastAsia="sk-SK"/>
              </w:rPr>
              <w:t>481</w:t>
            </w:r>
          </w:p>
        </w:tc>
      </w:tr>
      <w:tr>
        <w:tblPrEx>
          <w:tblW w:w="9135" w:type="dxa"/>
          <w:tblInd w:w="55" w:type="dxa"/>
          <w:tblCellMar>
            <w:left w:w="70" w:type="dxa"/>
            <w:right w:w="70" w:type="dxa"/>
          </w:tblCellMar>
        </w:tblPrEx>
        <w:trPr>
          <w:trHeight w:hRule="exact" w:val="227"/>
        </w:trPr>
        <w:tc>
          <w:tcPr>
            <w:tcW w:w="5775" w:type="dxa"/>
            <w:tcBorders>
              <w:top w:val="nil"/>
              <w:left w:val="single" w:sz="4" w:space="0" w:color="auto"/>
              <w:bottom w:val="single" w:sz="4" w:space="0" w:color="auto"/>
              <w:right w:val="single" w:sz="4" w:space="0" w:color="auto"/>
              <w:tl2br w:val="nil"/>
              <w:tr2bl w:val="nil"/>
            </w:tcBorders>
            <w:noWrap/>
            <w:textDirection w:val="lrTb"/>
            <w:vAlign w:val="center"/>
          </w:tcPr>
          <w:p w:rsidR="00403178" w:rsidRPr="005A0FB7" w:rsidP="005A0FB7">
            <w:pPr>
              <w:spacing w:line="240" w:lineRule="auto"/>
              <w:rPr>
                <w:rFonts w:ascii="Arial Narrow" w:hAnsi="Arial Narrow" w:cs="Times New Roman"/>
                <w:lang w:eastAsia="sk-SK"/>
              </w:rPr>
            </w:pPr>
            <w:r w:rsidRPr="005A0FB7">
              <w:rPr>
                <w:rFonts w:ascii="Arial Narrow" w:hAnsi="Arial Narrow" w:cs="Times New Roman"/>
                <w:lang w:eastAsia="sk-SK"/>
              </w:rPr>
              <w:t xml:space="preserve">                                                        </w:t>
            </w:r>
            <w:r>
              <w:rPr>
                <w:rFonts w:ascii="Arial Narrow" w:hAnsi="Arial Narrow" w:cs="Times New Roman"/>
                <w:lang w:eastAsia="sk-SK"/>
              </w:rPr>
              <w:t xml:space="preserve">           </w:t>
            </w:r>
            <w:r w:rsidRPr="005A0FB7">
              <w:rPr>
                <w:rFonts w:ascii="Arial Narrow" w:hAnsi="Arial Narrow" w:cs="Times New Roman"/>
                <w:lang w:eastAsia="sk-SK"/>
              </w:rPr>
              <w:t xml:space="preserve">  (kód zdroja  72)</w:t>
            </w:r>
          </w:p>
        </w:tc>
        <w:tc>
          <w:tcPr>
            <w:tcW w:w="1120" w:type="dxa"/>
            <w:tcBorders>
              <w:top w:val="nil"/>
              <w:left w:val="nil"/>
              <w:bottom w:val="single" w:sz="4" w:space="0" w:color="auto"/>
              <w:right w:val="single" w:sz="4" w:space="0" w:color="auto"/>
              <w:tl2br w:val="nil"/>
              <w:tr2bl w:val="nil"/>
            </w:tcBorders>
            <w:noWrap/>
            <w:textDirection w:val="lrTb"/>
            <w:vAlign w:val="center"/>
          </w:tcPr>
          <w:p w:rsidR="00403178" w:rsidRPr="005A0FB7" w:rsidP="005A0FB7">
            <w:pPr>
              <w:spacing w:line="240" w:lineRule="auto"/>
              <w:jc w:val="right"/>
              <w:rPr>
                <w:rFonts w:ascii="Arial Narrow" w:hAnsi="Arial Narrow" w:cs="Times New Roman"/>
                <w:lang w:eastAsia="sk-SK"/>
              </w:rPr>
            </w:pPr>
            <w:r w:rsidRPr="005A0FB7">
              <w:rPr>
                <w:rFonts w:ascii="Arial Narrow" w:hAnsi="Arial Narrow" w:cs="Times New Roman"/>
                <w:lang w:eastAsia="sk-SK"/>
              </w:rPr>
              <w:t>0</w:t>
            </w:r>
          </w:p>
        </w:tc>
        <w:tc>
          <w:tcPr>
            <w:tcW w:w="1120" w:type="dxa"/>
            <w:tcBorders>
              <w:top w:val="nil"/>
              <w:left w:val="nil"/>
              <w:bottom w:val="single" w:sz="4" w:space="0" w:color="auto"/>
              <w:right w:val="single" w:sz="4" w:space="0" w:color="auto"/>
              <w:tl2br w:val="nil"/>
              <w:tr2bl w:val="nil"/>
            </w:tcBorders>
            <w:noWrap/>
            <w:textDirection w:val="lrTb"/>
            <w:vAlign w:val="center"/>
          </w:tcPr>
          <w:p w:rsidR="00403178" w:rsidRPr="005A0FB7" w:rsidP="005A0FB7">
            <w:pPr>
              <w:spacing w:line="240" w:lineRule="auto"/>
              <w:jc w:val="right"/>
              <w:rPr>
                <w:rFonts w:ascii="Arial Narrow" w:hAnsi="Arial Narrow" w:cs="Times New Roman"/>
                <w:lang w:eastAsia="sk-SK"/>
              </w:rPr>
            </w:pPr>
            <w:r w:rsidRPr="005A0FB7">
              <w:rPr>
                <w:rFonts w:ascii="Arial Narrow" w:hAnsi="Arial Narrow" w:cs="Times New Roman"/>
                <w:lang w:eastAsia="sk-SK"/>
              </w:rPr>
              <w:t>0</w:t>
            </w:r>
          </w:p>
        </w:tc>
        <w:tc>
          <w:tcPr>
            <w:tcW w:w="1120" w:type="dxa"/>
            <w:tcBorders>
              <w:top w:val="nil"/>
              <w:left w:val="nil"/>
              <w:bottom w:val="single" w:sz="4" w:space="0" w:color="auto"/>
              <w:right w:val="single" w:sz="4" w:space="0" w:color="auto"/>
              <w:tl2br w:val="nil"/>
              <w:tr2bl w:val="nil"/>
            </w:tcBorders>
            <w:noWrap/>
            <w:textDirection w:val="lrTb"/>
            <w:vAlign w:val="center"/>
          </w:tcPr>
          <w:p w:rsidR="00403178" w:rsidRPr="005A0FB7" w:rsidP="005A0FB7">
            <w:pPr>
              <w:spacing w:line="240" w:lineRule="auto"/>
              <w:jc w:val="right"/>
              <w:rPr>
                <w:rFonts w:ascii="Arial Narrow" w:hAnsi="Arial Narrow" w:cs="Times New Roman"/>
                <w:lang w:eastAsia="sk-SK"/>
              </w:rPr>
            </w:pPr>
            <w:r w:rsidRPr="005A0FB7">
              <w:rPr>
                <w:rFonts w:ascii="Arial Narrow" w:hAnsi="Arial Narrow" w:cs="Times New Roman"/>
                <w:lang w:eastAsia="sk-SK"/>
              </w:rPr>
              <w:t>19</w:t>
            </w:r>
          </w:p>
        </w:tc>
      </w:tr>
      <w:tr>
        <w:tblPrEx>
          <w:tblW w:w="9135" w:type="dxa"/>
          <w:tblInd w:w="55" w:type="dxa"/>
          <w:tblCellMar>
            <w:left w:w="70" w:type="dxa"/>
            <w:right w:w="70" w:type="dxa"/>
          </w:tblCellMar>
        </w:tblPrEx>
        <w:trPr>
          <w:trHeight w:hRule="exact" w:val="227"/>
        </w:trPr>
        <w:tc>
          <w:tcPr>
            <w:tcW w:w="5775"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403178" w:rsidRPr="005A0FB7" w:rsidP="005A0FB7">
            <w:pPr>
              <w:spacing w:line="240" w:lineRule="auto"/>
              <w:rPr>
                <w:rFonts w:ascii="Arial Narrow" w:hAnsi="Arial Narrow" w:cs="Times New Roman"/>
                <w:b/>
                <w:bCs/>
                <w:lang w:eastAsia="sk-SK"/>
              </w:rPr>
            </w:pPr>
            <w:r w:rsidRPr="005A0FB7">
              <w:rPr>
                <w:rFonts w:ascii="Arial Narrow" w:hAnsi="Arial Narrow" w:cs="Times New Roman"/>
                <w:b/>
                <w:bCs/>
                <w:lang w:eastAsia="sk-SK"/>
              </w:rPr>
              <w:t>D. Účelové prostriedky</w:t>
            </w:r>
          </w:p>
        </w:tc>
        <w:tc>
          <w:tcPr>
            <w:tcW w:w="1120" w:type="dxa"/>
            <w:tcBorders>
              <w:top w:val="single" w:sz="4" w:space="0" w:color="auto"/>
              <w:left w:val="nil"/>
              <w:bottom w:val="single" w:sz="4" w:space="0" w:color="auto"/>
              <w:right w:val="single" w:sz="4" w:space="0" w:color="auto"/>
              <w:tl2br w:val="nil"/>
              <w:tr2bl w:val="nil"/>
            </w:tcBorders>
            <w:noWrap/>
            <w:textDirection w:val="lrTb"/>
            <w:vAlign w:val="center"/>
          </w:tcPr>
          <w:p w:rsidR="00403178" w:rsidRPr="005A0FB7" w:rsidP="005A0FB7">
            <w:pPr>
              <w:spacing w:line="240" w:lineRule="auto"/>
              <w:jc w:val="right"/>
              <w:rPr>
                <w:rFonts w:ascii="Arial Narrow" w:hAnsi="Arial Narrow" w:cs="Times New Roman"/>
                <w:lang w:eastAsia="sk-SK"/>
              </w:rPr>
            </w:pPr>
            <w:r w:rsidRPr="005A0FB7">
              <w:rPr>
                <w:rFonts w:ascii="Arial Narrow" w:hAnsi="Arial Narrow" w:cs="Times New Roman"/>
                <w:lang w:eastAsia="sk-SK"/>
              </w:rPr>
              <w:t> </w:t>
            </w:r>
          </w:p>
        </w:tc>
        <w:tc>
          <w:tcPr>
            <w:tcW w:w="1120" w:type="dxa"/>
            <w:tcBorders>
              <w:top w:val="single" w:sz="4" w:space="0" w:color="auto"/>
              <w:left w:val="nil"/>
              <w:bottom w:val="single" w:sz="4" w:space="0" w:color="auto"/>
              <w:right w:val="single" w:sz="4" w:space="0" w:color="auto"/>
              <w:tl2br w:val="nil"/>
              <w:tr2bl w:val="nil"/>
            </w:tcBorders>
            <w:noWrap/>
            <w:textDirection w:val="lrTb"/>
            <w:vAlign w:val="center"/>
          </w:tcPr>
          <w:p w:rsidR="00403178" w:rsidRPr="005A0FB7" w:rsidP="005A0FB7">
            <w:pPr>
              <w:spacing w:line="240" w:lineRule="auto"/>
              <w:jc w:val="right"/>
              <w:rPr>
                <w:rFonts w:ascii="Arial Narrow" w:hAnsi="Arial Narrow" w:cs="Times New Roman"/>
                <w:lang w:eastAsia="sk-SK"/>
              </w:rPr>
            </w:pPr>
            <w:r w:rsidRPr="005A0FB7">
              <w:rPr>
                <w:rFonts w:ascii="Arial Narrow" w:hAnsi="Arial Narrow" w:cs="Times New Roman"/>
                <w:lang w:eastAsia="sk-SK"/>
              </w:rPr>
              <w:t> </w:t>
            </w:r>
          </w:p>
        </w:tc>
        <w:tc>
          <w:tcPr>
            <w:tcW w:w="1120" w:type="dxa"/>
            <w:tcBorders>
              <w:top w:val="single" w:sz="4" w:space="0" w:color="auto"/>
              <w:left w:val="nil"/>
              <w:bottom w:val="single" w:sz="4" w:space="0" w:color="auto"/>
              <w:right w:val="single" w:sz="4" w:space="0" w:color="auto"/>
              <w:tl2br w:val="nil"/>
              <w:tr2bl w:val="nil"/>
            </w:tcBorders>
            <w:noWrap/>
            <w:textDirection w:val="lrTb"/>
            <w:vAlign w:val="center"/>
          </w:tcPr>
          <w:p w:rsidR="00403178" w:rsidRPr="005A0FB7" w:rsidP="005A0FB7">
            <w:pPr>
              <w:spacing w:line="240" w:lineRule="auto"/>
              <w:jc w:val="right"/>
              <w:rPr>
                <w:rFonts w:ascii="Arial Narrow" w:hAnsi="Arial Narrow" w:cs="Times New Roman"/>
                <w:lang w:eastAsia="sk-SK"/>
              </w:rPr>
            </w:pPr>
            <w:r w:rsidRPr="005A0FB7">
              <w:rPr>
                <w:rFonts w:ascii="Arial Narrow" w:hAnsi="Arial Narrow" w:cs="Times New Roman"/>
                <w:lang w:eastAsia="sk-SK"/>
              </w:rPr>
              <w:t> </w:t>
            </w:r>
          </w:p>
        </w:tc>
      </w:tr>
      <w:tr>
        <w:tblPrEx>
          <w:tblW w:w="9135" w:type="dxa"/>
          <w:tblInd w:w="55" w:type="dxa"/>
          <w:tblCellMar>
            <w:left w:w="70" w:type="dxa"/>
            <w:right w:w="70" w:type="dxa"/>
          </w:tblCellMar>
        </w:tblPrEx>
        <w:trPr>
          <w:trHeight w:hRule="exact" w:val="227"/>
        </w:trPr>
        <w:tc>
          <w:tcPr>
            <w:tcW w:w="5775"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403178" w:rsidRPr="005A0FB7" w:rsidP="005A0FB7">
            <w:pPr>
              <w:spacing w:line="240" w:lineRule="auto"/>
              <w:rPr>
                <w:rFonts w:ascii="Arial Narrow" w:hAnsi="Arial Narrow" w:cs="Times New Roman"/>
                <w:lang w:eastAsia="sk-SK"/>
              </w:rPr>
            </w:pPr>
            <w:r w:rsidRPr="005A0FB7">
              <w:rPr>
                <w:rFonts w:ascii="Arial Narrow" w:hAnsi="Arial Narrow" w:cs="Times New Roman"/>
                <w:lang w:eastAsia="sk-SK"/>
              </w:rPr>
              <w:t xml:space="preserve">    (vyhodnotené v časti č. 2  tabuľky č. 4)</w:t>
            </w:r>
          </w:p>
        </w:tc>
        <w:tc>
          <w:tcPr>
            <w:tcW w:w="1120" w:type="dxa"/>
            <w:tcBorders>
              <w:top w:val="single" w:sz="4" w:space="0" w:color="auto"/>
              <w:left w:val="nil"/>
              <w:bottom w:val="single" w:sz="4" w:space="0" w:color="auto"/>
              <w:right w:val="single" w:sz="4" w:space="0" w:color="auto"/>
              <w:tl2br w:val="nil"/>
              <w:tr2bl w:val="nil"/>
            </w:tcBorders>
            <w:noWrap/>
            <w:textDirection w:val="lrTb"/>
            <w:vAlign w:val="center"/>
          </w:tcPr>
          <w:p w:rsidR="00403178" w:rsidRPr="005A0FB7" w:rsidP="005A0FB7">
            <w:pPr>
              <w:spacing w:line="240" w:lineRule="auto"/>
              <w:jc w:val="right"/>
              <w:rPr>
                <w:rFonts w:ascii="Arial Narrow" w:hAnsi="Arial Narrow" w:cs="Times New Roman"/>
                <w:lang w:eastAsia="sk-SK"/>
              </w:rPr>
            </w:pPr>
            <w:r w:rsidRPr="005A0FB7">
              <w:rPr>
                <w:rFonts w:ascii="Arial Narrow" w:hAnsi="Arial Narrow" w:cs="Times New Roman"/>
                <w:lang w:eastAsia="sk-SK"/>
              </w:rPr>
              <w:t> </w:t>
            </w:r>
          </w:p>
        </w:tc>
        <w:tc>
          <w:tcPr>
            <w:tcW w:w="1120" w:type="dxa"/>
            <w:tcBorders>
              <w:top w:val="single" w:sz="4" w:space="0" w:color="auto"/>
              <w:left w:val="nil"/>
              <w:bottom w:val="single" w:sz="4" w:space="0" w:color="auto"/>
              <w:right w:val="single" w:sz="4" w:space="0" w:color="auto"/>
              <w:tl2br w:val="nil"/>
              <w:tr2bl w:val="nil"/>
            </w:tcBorders>
            <w:noWrap/>
            <w:textDirection w:val="lrTb"/>
            <w:vAlign w:val="center"/>
          </w:tcPr>
          <w:p w:rsidR="00403178" w:rsidRPr="005A0FB7" w:rsidP="005A0FB7">
            <w:pPr>
              <w:spacing w:line="240" w:lineRule="auto"/>
              <w:jc w:val="right"/>
              <w:rPr>
                <w:rFonts w:ascii="Arial Narrow" w:hAnsi="Arial Narrow" w:cs="Times New Roman"/>
                <w:lang w:eastAsia="sk-SK"/>
              </w:rPr>
            </w:pPr>
            <w:r w:rsidRPr="005A0FB7">
              <w:rPr>
                <w:rFonts w:ascii="Arial Narrow" w:hAnsi="Arial Narrow" w:cs="Times New Roman"/>
                <w:lang w:eastAsia="sk-SK"/>
              </w:rPr>
              <w:t> </w:t>
            </w:r>
          </w:p>
        </w:tc>
        <w:tc>
          <w:tcPr>
            <w:tcW w:w="1120" w:type="dxa"/>
            <w:tcBorders>
              <w:top w:val="single" w:sz="4" w:space="0" w:color="auto"/>
              <w:left w:val="nil"/>
              <w:bottom w:val="single" w:sz="4" w:space="0" w:color="auto"/>
              <w:right w:val="single" w:sz="4" w:space="0" w:color="auto"/>
              <w:tl2br w:val="nil"/>
              <w:tr2bl w:val="nil"/>
            </w:tcBorders>
            <w:noWrap/>
            <w:textDirection w:val="lrTb"/>
            <w:vAlign w:val="center"/>
          </w:tcPr>
          <w:p w:rsidR="00403178" w:rsidRPr="005A0FB7" w:rsidP="005A0FB7">
            <w:pPr>
              <w:spacing w:line="240" w:lineRule="auto"/>
              <w:jc w:val="right"/>
              <w:rPr>
                <w:rFonts w:ascii="Arial Narrow" w:hAnsi="Arial Narrow" w:cs="Times New Roman"/>
                <w:lang w:eastAsia="sk-SK"/>
              </w:rPr>
            </w:pPr>
            <w:r w:rsidRPr="005A0FB7">
              <w:rPr>
                <w:rFonts w:ascii="Arial Narrow" w:hAnsi="Arial Narrow" w:cs="Times New Roman"/>
                <w:lang w:eastAsia="sk-SK"/>
              </w:rPr>
              <w:t> </w:t>
            </w:r>
          </w:p>
        </w:tc>
      </w:tr>
      <w:tr>
        <w:tblPrEx>
          <w:tblW w:w="9135" w:type="dxa"/>
          <w:tblInd w:w="55" w:type="dxa"/>
          <w:tblCellMar>
            <w:left w:w="70" w:type="dxa"/>
            <w:right w:w="70" w:type="dxa"/>
          </w:tblCellMar>
        </w:tblPrEx>
        <w:trPr>
          <w:trHeight w:hRule="exact" w:val="227"/>
        </w:trPr>
        <w:tc>
          <w:tcPr>
            <w:tcW w:w="5775" w:type="dxa"/>
            <w:tcBorders>
              <w:top w:val="nil"/>
              <w:left w:val="single" w:sz="4" w:space="0" w:color="auto"/>
              <w:bottom w:val="single" w:sz="4" w:space="0" w:color="auto"/>
              <w:right w:val="single" w:sz="4" w:space="0" w:color="auto"/>
              <w:tl2br w:val="nil"/>
              <w:tr2bl w:val="nil"/>
            </w:tcBorders>
            <w:noWrap/>
            <w:textDirection w:val="lrTb"/>
            <w:vAlign w:val="center"/>
          </w:tcPr>
          <w:p w:rsidR="00403178" w:rsidRPr="005A0FB7" w:rsidP="005A0FB7">
            <w:pPr>
              <w:spacing w:line="240" w:lineRule="auto"/>
              <w:rPr>
                <w:rFonts w:ascii="Arial Narrow" w:hAnsi="Arial Narrow" w:cs="Times New Roman"/>
                <w:b/>
                <w:bCs/>
                <w:lang w:eastAsia="sk-SK"/>
              </w:rPr>
            </w:pPr>
            <w:r w:rsidRPr="005A0FB7">
              <w:rPr>
                <w:rFonts w:ascii="Arial Narrow" w:hAnsi="Arial Narrow" w:cs="Times New Roman"/>
                <w:b/>
                <w:bCs/>
                <w:lang w:eastAsia="sk-SK"/>
              </w:rPr>
              <w:t>E. Rozpočet kapitoly podľa programov</w:t>
            </w:r>
          </w:p>
        </w:tc>
        <w:tc>
          <w:tcPr>
            <w:tcW w:w="1120" w:type="dxa"/>
            <w:tcBorders>
              <w:top w:val="nil"/>
              <w:left w:val="nil"/>
              <w:bottom w:val="single" w:sz="4" w:space="0" w:color="auto"/>
              <w:right w:val="single" w:sz="4" w:space="0" w:color="auto"/>
              <w:tl2br w:val="nil"/>
              <w:tr2bl w:val="nil"/>
            </w:tcBorders>
            <w:noWrap/>
            <w:textDirection w:val="lrTb"/>
            <w:vAlign w:val="center"/>
          </w:tcPr>
          <w:p w:rsidR="00403178" w:rsidRPr="005A0FB7" w:rsidP="005A0FB7">
            <w:pPr>
              <w:spacing w:line="240" w:lineRule="auto"/>
              <w:jc w:val="right"/>
              <w:rPr>
                <w:rFonts w:ascii="Arial Narrow" w:hAnsi="Arial Narrow" w:cs="Times New Roman"/>
                <w:lang w:eastAsia="sk-SK"/>
              </w:rPr>
            </w:pPr>
            <w:r w:rsidRPr="005A0FB7">
              <w:rPr>
                <w:rFonts w:ascii="Arial Narrow" w:hAnsi="Arial Narrow" w:cs="Times New Roman"/>
                <w:lang w:eastAsia="sk-SK"/>
              </w:rPr>
              <w:t> </w:t>
            </w:r>
          </w:p>
        </w:tc>
        <w:tc>
          <w:tcPr>
            <w:tcW w:w="1120" w:type="dxa"/>
            <w:tcBorders>
              <w:top w:val="nil"/>
              <w:left w:val="nil"/>
              <w:bottom w:val="single" w:sz="4" w:space="0" w:color="auto"/>
              <w:right w:val="single" w:sz="4" w:space="0" w:color="auto"/>
              <w:tl2br w:val="nil"/>
              <w:tr2bl w:val="nil"/>
            </w:tcBorders>
            <w:noWrap/>
            <w:textDirection w:val="lrTb"/>
            <w:vAlign w:val="center"/>
          </w:tcPr>
          <w:p w:rsidR="00403178" w:rsidRPr="005A0FB7" w:rsidP="005A0FB7">
            <w:pPr>
              <w:spacing w:line="240" w:lineRule="auto"/>
              <w:jc w:val="right"/>
              <w:rPr>
                <w:rFonts w:ascii="Arial Narrow" w:hAnsi="Arial Narrow" w:cs="Times New Roman"/>
                <w:lang w:eastAsia="sk-SK"/>
              </w:rPr>
            </w:pPr>
            <w:r w:rsidRPr="005A0FB7">
              <w:rPr>
                <w:rFonts w:ascii="Arial Narrow" w:hAnsi="Arial Narrow" w:cs="Times New Roman"/>
                <w:lang w:eastAsia="sk-SK"/>
              </w:rPr>
              <w:t> </w:t>
            </w:r>
          </w:p>
        </w:tc>
        <w:tc>
          <w:tcPr>
            <w:tcW w:w="1120" w:type="dxa"/>
            <w:tcBorders>
              <w:top w:val="nil"/>
              <w:left w:val="nil"/>
              <w:bottom w:val="single" w:sz="4" w:space="0" w:color="auto"/>
              <w:right w:val="single" w:sz="4" w:space="0" w:color="auto"/>
              <w:tl2br w:val="nil"/>
              <w:tr2bl w:val="nil"/>
            </w:tcBorders>
            <w:noWrap/>
            <w:textDirection w:val="lrTb"/>
            <w:vAlign w:val="center"/>
          </w:tcPr>
          <w:p w:rsidR="00403178" w:rsidRPr="005A0FB7" w:rsidP="005A0FB7">
            <w:pPr>
              <w:spacing w:line="240" w:lineRule="auto"/>
              <w:jc w:val="right"/>
              <w:rPr>
                <w:rFonts w:ascii="Arial Narrow" w:hAnsi="Arial Narrow" w:cs="Times New Roman"/>
                <w:lang w:eastAsia="sk-SK"/>
              </w:rPr>
            </w:pPr>
            <w:r w:rsidRPr="005A0FB7">
              <w:rPr>
                <w:rFonts w:ascii="Arial Narrow" w:hAnsi="Arial Narrow" w:cs="Times New Roman"/>
                <w:lang w:eastAsia="sk-SK"/>
              </w:rPr>
              <w:t> </w:t>
            </w:r>
          </w:p>
        </w:tc>
      </w:tr>
      <w:tr>
        <w:tblPrEx>
          <w:tblW w:w="9135" w:type="dxa"/>
          <w:tblInd w:w="55" w:type="dxa"/>
          <w:tblCellMar>
            <w:left w:w="70" w:type="dxa"/>
            <w:right w:w="70" w:type="dxa"/>
          </w:tblCellMar>
        </w:tblPrEx>
        <w:trPr>
          <w:trHeight w:hRule="exact" w:val="227"/>
        </w:trPr>
        <w:tc>
          <w:tcPr>
            <w:tcW w:w="5775" w:type="dxa"/>
            <w:tcBorders>
              <w:top w:val="nil"/>
              <w:left w:val="single" w:sz="4" w:space="0" w:color="auto"/>
              <w:bottom w:val="single" w:sz="4" w:space="0" w:color="auto"/>
              <w:right w:val="single" w:sz="4" w:space="0" w:color="auto"/>
              <w:tl2br w:val="nil"/>
              <w:tr2bl w:val="nil"/>
            </w:tcBorders>
            <w:noWrap/>
            <w:textDirection w:val="lrTb"/>
            <w:vAlign w:val="center"/>
          </w:tcPr>
          <w:p w:rsidR="00403178" w:rsidRPr="005A0FB7" w:rsidP="005A0FB7">
            <w:pPr>
              <w:spacing w:line="240" w:lineRule="auto"/>
              <w:rPr>
                <w:rFonts w:ascii="Arial Narrow" w:hAnsi="Arial Narrow" w:cs="Times New Roman"/>
                <w:lang w:eastAsia="sk-SK"/>
              </w:rPr>
            </w:pPr>
            <w:r w:rsidRPr="005A0FB7">
              <w:rPr>
                <w:rFonts w:ascii="Arial Narrow" w:hAnsi="Arial Narrow" w:cs="Times New Roman"/>
                <w:lang w:eastAsia="sk-SK"/>
              </w:rPr>
              <w:t xml:space="preserve">    (vyhodnotený v časti č. 3  tabuľky č. 4)</w:t>
            </w:r>
          </w:p>
        </w:tc>
        <w:tc>
          <w:tcPr>
            <w:tcW w:w="1120" w:type="dxa"/>
            <w:tcBorders>
              <w:top w:val="nil"/>
              <w:left w:val="nil"/>
              <w:bottom w:val="single" w:sz="4" w:space="0" w:color="auto"/>
              <w:right w:val="single" w:sz="4" w:space="0" w:color="auto"/>
              <w:tl2br w:val="nil"/>
              <w:tr2bl w:val="nil"/>
            </w:tcBorders>
            <w:noWrap/>
            <w:textDirection w:val="lrTb"/>
            <w:vAlign w:val="center"/>
          </w:tcPr>
          <w:p w:rsidR="00403178" w:rsidRPr="005A0FB7" w:rsidP="005A0FB7">
            <w:pPr>
              <w:spacing w:line="240" w:lineRule="auto"/>
              <w:jc w:val="right"/>
              <w:rPr>
                <w:rFonts w:ascii="Arial Narrow" w:hAnsi="Arial Narrow" w:cs="Times New Roman"/>
                <w:lang w:eastAsia="sk-SK"/>
              </w:rPr>
            </w:pPr>
            <w:r w:rsidRPr="005A0FB7">
              <w:rPr>
                <w:rFonts w:ascii="Arial Narrow" w:hAnsi="Arial Narrow" w:cs="Times New Roman"/>
                <w:lang w:eastAsia="sk-SK"/>
              </w:rPr>
              <w:t> </w:t>
            </w:r>
          </w:p>
        </w:tc>
        <w:tc>
          <w:tcPr>
            <w:tcW w:w="1120" w:type="dxa"/>
            <w:tcBorders>
              <w:top w:val="nil"/>
              <w:left w:val="nil"/>
              <w:bottom w:val="single" w:sz="4" w:space="0" w:color="auto"/>
              <w:right w:val="single" w:sz="4" w:space="0" w:color="auto"/>
              <w:tl2br w:val="nil"/>
              <w:tr2bl w:val="nil"/>
            </w:tcBorders>
            <w:noWrap/>
            <w:textDirection w:val="lrTb"/>
            <w:vAlign w:val="center"/>
          </w:tcPr>
          <w:p w:rsidR="00403178" w:rsidRPr="005A0FB7" w:rsidP="005A0FB7">
            <w:pPr>
              <w:spacing w:line="240" w:lineRule="auto"/>
              <w:jc w:val="right"/>
              <w:rPr>
                <w:rFonts w:ascii="Arial Narrow" w:hAnsi="Arial Narrow" w:cs="Times New Roman"/>
                <w:lang w:eastAsia="sk-SK"/>
              </w:rPr>
            </w:pPr>
            <w:r w:rsidRPr="005A0FB7">
              <w:rPr>
                <w:rFonts w:ascii="Arial Narrow" w:hAnsi="Arial Narrow" w:cs="Times New Roman"/>
                <w:lang w:eastAsia="sk-SK"/>
              </w:rPr>
              <w:t> </w:t>
            </w:r>
          </w:p>
        </w:tc>
        <w:tc>
          <w:tcPr>
            <w:tcW w:w="1120" w:type="dxa"/>
            <w:tcBorders>
              <w:top w:val="nil"/>
              <w:left w:val="nil"/>
              <w:bottom w:val="single" w:sz="4" w:space="0" w:color="auto"/>
              <w:right w:val="single" w:sz="4" w:space="0" w:color="auto"/>
              <w:tl2br w:val="nil"/>
              <w:tr2bl w:val="nil"/>
            </w:tcBorders>
            <w:noWrap/>
            <w:textDirection w:val="lrTb"/>
            <w:vAlign w:val="center"/>
          </w:tcPr>
          <w:p w:rsidR="00403178" w:rsidRPr="005A0FB7" w:rsidP="005A0FB7">
            <w:pPr>
              <w:spacing w:line="240" w:lineRule="auto"/>
              <w:jc w:val="right"/>
              <w:rPr>
                <w:rFonts w:ascii="Arial Narrow" w:hAnsi="Arial Narrow" w:cs="Times New Roman"/>
                <w:lang w:eastAsia="sk-SK"/>
              </w:rPr>
            </w:pPr>
            <w:r w:rsidRPr="005A0FB7">
              <w:rPr>
                <w:rFonts w:ascii="Arial Narrow" w:hAnsi="Arial Narrow" w:cs="Times New Roman"/>
                <w:lang w:eastAsia="sk-SK"/>
              </w:rPr>
              <w:t> </w:t>
            </w:r>
          </w:p>
        </w:tc>
      </w:tr>
      <w:tr>
        <w:tblPrEx>
          <w:tblW w:w="9135" w:type="dxa"/>
          <w:tblInd w:w="55" w:type="dxa"/>
          <w:tblCellMar>
            <w:left w:w="70" w:type="dxa"/>
            <w:right w:w="70" w:type="dxa"/>
          </w:tblCellMar>
        </w:tblPrEx>
        <w:trPr>
          <w:trHeight w:hRule="exact" w:val="227"/>
        </w:trPr>
        <w:tc>
          <w:tcPr>
            <w:tcW w:w="5775" w:type="dxa"/>
            <w:tcBorders>
              <w:top w:val="nil"/>
              <w:left w:val="single" w:sz="4" w:space="0" w:color="auto"/>
              <w:bottom w:val="single" w:sz="4" w:space="0" w:color="auto"/>
              <w:right w:val="single" w:sz="4" w:space="0" w:color="auto"/>
              <w:tl2br w:val="nil"/>
              <w:tr2bl w:val="nil"/>
            </w:tcBorders>
            <w:noWrap/>
            <w:textDirection w:val="lrTb"/>
            <w:vAlign w:val="center"/>
          </w:tcPr>
          <w:p w:rsidR="00403178" w:rsidRPr="005A0FB7" w:rsidP="005A0FB7">
            <w:pPr>
              <w:spacing w:line="240" w:lineRule="auto"/>
              <w:rPr>
                <w:rFonts w:ascii="Arial Narrow" w:hAnsi="Arial Narrow" w:cs="Times New Roman"/>
                <w:b/>
                <w:bCs/>
                <w:lang w:eastAsia="sk-SK"/>
              </w:rPr>
            </w:pPr>
            <w:r w:rsidRPr="005A0FB7">
              <w:rPr>
                <w:rFonts w:ascii="Arial Narrow" w:hAnsi="Arial Narrow" w:cs="Times New Roman"/>
                <w:b/>
                <w:bCs/>
                <w:lang w:eastAsia="sk-SK"/>
              </w:rPr>
              <w:t xml:space="preserve">F. Systemizácia </w:t>
            </w:r>
            <w:r w:rsidRPr="005A0FB7">
              <w:rPr>
                <w:rFonts w:ascii="Arial Narrow" w:hAnsi="Arial Narrow" w:cs="Arial"/>
                <w:lang w:eastAsia="sk-SK"/>
              </w:rPr>
              <w:t xml:space="preserve">(vyhodnotená v časti č. 4 tabuľky </w:t>
            </w:r>
            <w:r>
              <w:rPr>
                <w:rFonts w:ascii="Arial Narrow" w:hAnsi="Arial Narrow" w:cs="Arial"/>
                <w:lang w:eastAsia="sk-SK"/>
              </w:rPr>
              <w:t xml:space="preserve">č. </w:t>
            </w:r>
            <w:r w:rsidRPr="005A0FB7">
              <w:rPr>
                <w:rFonts w:ascii="Arial Narrow" w:hAnsi="Arial Narrow" w:cs="Arial"/>
                <w:lang w:eastAsia="sk-SK"/>
              </w:rPr>
              <w:t>4)</w:t>
            </w:r>
          </w:p>
        </w:tc>
        <w:tc>
          <w:tcPr>
            <w:tcW w:w="1120" w:type="dxa"/>
            <w:tcBorders>
              <w:top w:val="nil"/>
              <w:left w:val="nil"/>
              <w:bottom w:val="single" w:sz="4" w:space="0" w:color="auto"/>
              <w:right w:val="single" w:sz="4" w:space="0" w:color="auto"/>
              <w:tl2br w:val="nil"/>
              <w:tr2bl w:val="nil"/>
            </w:tcBorders>
            <w:noWrap/>
            <w:textDirection w:val="lrTb"/>
            <w:vAlign w:val="center"/>
          </w:tcPr>
          <w:p w:rsidR="00403178" w:rsidRPr="005A0FB7" w:rsidP="005A0FB7">
            <w:pPr>
              <w:spacing w:line="240" w:lineRule="auto"/>
              <w:jc w:val="right"/>
              <w:rPr>
                <w:rFonts w:ascii="Arial Narrow" w:hAnsi="Arial Narrow" w:cs="Times New Roman"/>
                <w:lang w:eastAsia="sk-SK"/>
              </w:rPr>
            </w:pPr>
            <w:r w:rsidRPr="005A0FB7">
              <w:rPr>
                <w:rFonts w:ascii="Arial Narrow" w:hAnsi="Arial Narrow" w:cs="Times New Roman"/>
                <w:lang w:eastAsia="sk-SK"/>
              </w:rPr>
              <w:t> </w:t>
            </w:r>
          </w:p>
        </w:tc>
        <w:tc>
          <w:tcPr>
            <w:tcW w:w="1120" w:type="dxa"/>
            <w:tcBorders>
              <w:top w:val="nil"/>
              <w:left w:val="nil"/>
              <w:bottom w:val="single" w:sz="4" w:space="0" w:color="auto"/>
              <w:right w:val="single" w:sz="4" w:space="0" w:color="auto"/>
              <w:tl2br w:val="nil"/>
              <w:tr2bl w:val="nil"/>
            </w:tcBorders>
            <w:noWrap/>
            <w:textDirection w:val="lrTb"/>
            <w:vAlign w:val="center"/>
          </w:tcPr>
          <w:p w:rsidR="00403178" w:rsidRPr="005A0FB7" w:rsidP="005A0FB7">
            <w:pPr>
              <w:spacing w:line="240" w:lineRule="auto"/>
              <w:jc w:val="right"/>
              <w:rPr>
                <w:rFonts w:ascii="Arial Narrow" w:hAnsi="Arial Narrow" w:cs="Times New Roman"/>
                <w:lang w:eastAsia="sk-SK"/>
              </w:rPr>
            </w:pPr>
            <w:r w:rsidRPr="005A0FB7">
              <w:rPr>
                <w:rFonts w:ascii="Arial Narrow" w:hAnsi="Arial Narrow" w:cs="Times New Roman"/>
                <w:lang w:eastAsia="sk-SK"/>
              </w:rPr>
              <w:t> </w:t>
            </w:r>
          </w:p>
        </w:tc>
        <w:tc>
          <w:tcPr>
            <w:tcW w:w="1120" w:type="dxa"/>
            <w:tcBorders>
              <w:top w:val="nil"/>
              <w:left w:val="nil"/>
              <w:bottom w:val="single" w:sz="4" w:space="0" w:color="auto"/>
              <w:right w:val="single" w:sz="4" w:space="0" w:color="auto"/>
              <w:tl2br w:val="nil"/>
              <w:tr2bl w:val="nil"/>
            </w:tcBorders>
            <w:noWrap/>
            <w:textDirection w:val="lrTb"/>
            <w:vAlign w:val="center"/>
          </w:tcPr>
          <w:p w:rsidR="00403178" w:rsidRPr="005A0FB7" w:rsidP="005A0FB7">
            <w:pPr>
              <w:spacing w:line="240" w:lineRule="auto"/>
              <w:jc w:val="right"/>
              <w:rPr>
                <w:rFonts w:ascii="Arial Narrow" w:hAnsi="Arial Narrow" w:cs="Times New Roman"/>
                <w:lang w:eastAsia="sk-SK"/>
              </w:rPr>
            </w:pPr>
            <w:r w:rsidRPr="005A0FB7">
              <w:rPr>
                <w:rFonts w:ascii="Arial Narrow" w:hAnsi="Arial Narrow" w:cs="Times New Roman"/>
                <w:lang w:eastAsia="sk-SK"/>
              </w:rPr>
              <w:t> </w:t>
            </w:r>
          </w:p>
        </w:tc>
      </w:tr>
      <w:tr>
        <w:tblPrEx>
          <w:tblW w:w="9135" w:type="dxa"/>
          <w:tblInd w:w="55" w:type="dxa"/>
          <w:tblCellMar>
            <w:left w:w="70" w:type="dxa"/>
            <w:right w:w="70" w:type="dxa"/>
          </w:tblCellMar>
        </w:tblPrEx>
        <w:trPr>
          <w:trHeight w:hRule="exact" w:val="227"/>
        </w:trPr>
        <w:tc>
          <w:tcPr>
            <w:tcW w:w="5775" w:type="dxa"/>
            <w:tcBorders>
              <w:top w:val="nil"/>
              <w:left w:val="single" w:sz="4" w:space="0" w:color="auto"/>
              <w:bottom w:val="nil"/>
              <w:right w:val="single" w:sz="4" w:space="0" w:color="auto"/>
              <w:tl2br w:val="nil"/>
              <w:tr2bl w:val="nil"/>
            </w:tcBorders>
            <w:noWrap/>
            <w:textDirection w:val="lrTb"/>
            <w:vAlign w:val="center"/>
          </w:tcPr>
          <w:p w:rsidR="00403178" w:rsidRPr="005A0FB7" w:rsidP="005A0FB7">
            <w:pPr>
              <w:spacing w:line="240" w:lineRule="auto"/>
              <w:rPr>
                <w:rFonts w:ascii="Arial Narrow" w:hAnsi="Arial Narrow" w:cs="Times New Roman"/>
                <w:lang w:eastAsia="sk-SK"/>
              </w:rPr>
            </w:pPr>
            <w:r w:rsidRPr="005A0FB7">
              <w:rPr>
                <w:rFonts w:ascii="Arial Narrow" w:hAnsi="Arial Narrow" w:cs="Times New Roman"/>
                <w:lang w:eastAsia="sk-SK"/>
              </w:rPr>
              <w:t xml:space="preserve">    - policajtov v štátnej službe</w:t>
            </w:r>
          </w:p>
        </w:tc>
        <w:tc>
          <w:tcPr>
            <w:tcW w:w="1120" w:type="dxa"/>
            <w:tcBorders>
              <w:top w:val="nil"/>
              <w:left w:val="nil"/>
              <w:bottom w:val="nil"/>
              <w:right w:val="single" w:sz="4" w:space="0" w:color="auto"/>
              <w:tl2br w:val="nil"/>
              <w:tr2bl w:val="nil"/>
            </w:tcBorders>
            <w:noWrap/>
            <w:textDirection w:val="lrTb"/>
            <w:vAlign w:val="center"/>
          </w:tcPr>
          <w:p w:rsidR="00403178" w:rsidRPr="005A0FB7" w:rsidP="005A0FB7">
            <w:pPr>
              <w:spacing w:line="240" w:lineRule="auto"/>
              <w:jc w:val="right"/>
              <w:rPr>
                <w:rFonts w:ascii="Arial Narrow" w:hAnsi="Arial Narrow" w:cs="Times New Roman"/>
                <w:lang w:eastAsia="sk-SK"/>
              </w:rPr>
            </w:pPr>
            <w:r w:rsidRPr="005A0FB7">
              <w:rPr>
                <w:rFonts w:ascii="Arial Narrow" w:hAnsi="Arial Narrow" w:cs="Times New Roman"/>
                <w:lang w:eastAsia="sk-SK"/>
              </w:rPr>
              <w:t> </w:t>
            </w:r>
          </w:p>
        </w:tc>
        <w:tc>
          <w:tcPr>
            <w:tcW w:w="1120" w:type="dxa"/>
            <w:tcBorders>
              <w:top w:val="nil"/>
              <w:left w:val="nil"/>
              <w:bottom w:val="nil"/>
              <w:right w:val="single" w:sz="4" w:space="0" w:color="auto"/>
              <w:tl2br w:val="nil"/>
              <w:tr2bl w:val="nil"/>
            </w:tcBorders>
            <w:noWrap/>
            <w:textDirection w:val="lrTb"/>
            <w:vAlign w:val="center"/>
          </w:tcPr>
          <w:p w:rsidR="00403178" w:rsidRPr="005A0FB7" w:rsidP="005A0FB7">
            <w:pPr>
              <w:spacing w:line="240" w:lineRule="auto"/>
              <w:jc w:val="right"/>
              <w:rPr>
                <w:rFonts w:ascii="Arial Narrow" w:hAnsi="Arial Narrow" w:cs="Times New Roman"/>
                <w:lang w:eastAsia="sk-SK"/>
              </w:rPr>
            </w:pPr>
            <w:r w:rsidRPr="005A0FB7">
              <w:rPr>
                <w:rFonts w:ascii="Arial Narrow" w:hAnsi="Arial Narrow" w:cs="Times New Roman"/>
                <w:lang w:eastAsia="sk-SK"/>
              </w:rPr>
              <w:t> </w:t>
            </w:r>
          </w:p>
        </w:tc>
        <w:tc>
          <w:tcPr>
            <w:tcW w:w="1120" w:type="dxa"/>
            <w:tcBorders>
              <w:top w:val="nil"/>
              <w:left w:val="nil"/>
              <w:bottom w:val="nil"/>
              <w:right w:val="single" w:sz="4" w:space="0" w:color="auto"/>
              <w:tl2br w:val="nil"/>
              <w:tr2bl w:val="nil"/>
            </w:tcBorders>
            <w:noWrap/>
            <w:textDirection w:val="lrTb"/>
            <w:vAlign w:val="center"/>
          </w:tcPr>
          <w:p w:rsidR="00403178" w:rsidRPr="005A0FB7" w:rsidP="005A0FB7">
            <w:pPr>
              <w:spacing w:line="240" w:lineRule="auto"/>
              <w:jc w:val="right"/>
              <w:rPr>
                <w:rFonts w:ascii="Arial Narrow" w:hAnsi="Arial Narrow" w:cs="Times New Roman"/>
                <w:lang w:eastAsia="sk-SK"/>
              </w:rPr>
            </w:pPr>
            <w:r w:rsidRPr="005A0FB7">
              <w:rPr>
                <w:rFonts w:ascii="Arial Narrow" w:hAnsi="Arial Narrow" w:cs="Times New Roman"/>
                <w:lang w:eastAsia="sk-SK"/>
              </w:rPr>
              <w:t> </w:t>
            </w:r>
          </w:p>
        </w:tc>
      </w:tr>
      <w:tr>
        <w:tblPrEx>
          <w:tblW w:w="9135" w:type="dxa"/>
          <w:tblInd w:w="55" w:type="dxa"/>
          <w:tblCellMar>
            <w:left w:w="70" w:type="dxa"/>
            <w:right w:w="70" w:type="dxa"/>
          </w:tblCellMar>
        </w:tblPrEx>
        <w:trPr>
          <w:trHeight w:hRule="exact" w:val="227"/>
        </w:trPr>
        <w:tc>
          <w:tcPr>
            <w:tcW w:w="5775" w:type="dxa"/>
            <w:tcBorders>
              <w:top w:val="single" w:sz="4" w:space="0" w:color="auto"/>
              <w:left w:val="single" w:sz="4" w:space="0" w:color="auto"/>
              <w:bottom w:val="single" w:sz="4" w:space="0" w:color="auto"/>
              <w:right w:val="nil"/>
              <w:tl2br w:val="nil"/>
              <w:tr2bl w:val="nil"/>
            </w:tcBorders>
            <w:noWrap/>
            <w:textDirection w:val="lrTb"/>
            <w:vAlign w:val="center"/>
          </w:tcPr>
          <w:p w:rsidR="00403178" w:rsidRPr="005A0FB7" w:rsidP="005A0FB7">
            <w:pPr>
              <w:spacing w:line="240" w:lineRule="auto"/>
              <w:rPr>
                <w:rFonts w:ascii="Arial Narrow" w:hAnsi="Arial Narrow" w:cs="Times New Roman"/>
                <w:b/>
                <w:bCs/>
                <w:lang w:eastAsia="sk-SK"/>
              </w:rPr>
            </w:pPr>
            <w:r w:rsidRPr="005A0FB7">
              <w:rPr>
                <w:rFonts w:ascii="Arial Narrow" w:hAnsi="Arial Narrow" w:cs="Times New Roman"/>
                <w:b/>
                <w:bCs/>
                <w:lang w:eastAsia="sk-SK"/>
              </w:rPr>
              <w:t xml:space="preserve">G: Dotácia na prenesený výkon štátnej správy na obce </w:t>
            </w:r>
          </w:p>
        </w:tc>
        <w:tc>
          <w:tcPr>
            <w:tcW w:w="112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403178" w:rsidRPr="005A0FB7" w:rsidP="005A0FB7">
            <w:pPr>
              <w:spacing w:line="240" w:lineRule="auto"/>
              <w:jc w:val="right"/>
              <w:rPr>
                <w:rFonts w:ascii="Arial Narrow" w:hAnsi="Arial Narrow" w:cs="Times New Roman"/>
                <w:b/>
                <w:bCs/>
                <w:lang w:eastAsia="sk-SK"/>
              </w:rPr>
            </w:pPr>
            <w:r w:rsidRPr="005A0FB7">
              <w:rPr>
                <w:rFonts w:ascii="Arial Narrow" w:hAnsi="Arial Narrow" w:cs="Times New Roman"/>
                <w:b/>
                <w:bCs/>
                <w:lang w:eastAsia="sk-SK"/>
              </w:rPr>
              <w:t>7 423</w:t>
            </w:r>
          </w:p>
        </w:tc>
        <w:tc>
          <w:tcPr>
            <w:tcW w:w="1120" w:type="dxa"/>
            <w:tcBorders>
              <w:top w:val="single" w:sz="4" w:space="0" w:color="auto"/>
              <w:left w:val="nil"/>
              <w:bottom w:val="single" w:sz="4" w:space="0" w:color="auto"/>
              <w:right w:val="single" w:sz="4" w:space="0" w:color="auto"/>
              <w:tl2br w:val="nil"/>
              <w:tr2bl w:val="nil"/>
            </w:tcBorders>
            <w:noWrap/>
            <w:textDirection w:val="lrTb"/>
            <w:vAlign w:val="center"/>
          </w:tcPr>
          <w:p w:rsidR="00403178" w:rsidRPr="005A0FB7" w:rsidP="005A0FB7">
            <w:pPr>
              <w:spacing w:line="240" w:lineRule="auto"/>
              <w:jc w:val="right"/>
              <w:rPr>
                <w:rFonts w:ascii="Arial Narrow" w:hAnsi="Arial Narrow" w:cs="Times New Roman"/>
                <w:b/>
                <w:bCs/>
                <w:lang w:eastAsia="sk-SK"/>
              </w:rPr>
            </w:pPr>
            <w:r w:rsidRPr="005A0FB7">
              <w:rPr>
                <w:rFonts w:ascii="Arial Narrow" w:hAnsi="Arial Narrow" w:cs="Times New Roman"/>
                <w:b/>
                <w:bCs/>
                <w:lang w:eastAsia="sk-SK"/>
              </w:rPr>
              <w:t>7 652</w:t>
            </w:r>
          </w:p>
        </w:tc>
        <w:tc>
          <w:tcPr>
            <w:tcW w:w="1120" w:type="dxa"/>
            <w:tcBorders>
              <w:top w:val="single" w:sz="4" w:space="0" w:color="auto"/>
              <w:left w:val="nil"/>
              <w:bottom w:val="single" w:sz="4" w:space="0" w:color="auto"/>
              <w:right w:val="single" w:sz="4" w:space="0" w:color="auto"/>
              <w:tl2br w:val="nil"/>
              <w:tr2bl w:val="nil"/>
            </w:tcBorders>
            <w:noWrap/>
            <w:textDirection w:val="lrTb"/>
            <w:vAlign w:val="center"/>
          </w:tcPr>
          <w:p w:rsidR="00403178" w:rsidRPr="005A0FB7" w:rsidP="005A0FB7">
            <w:pPr>
              <w:spacing w:line="240" w:lineRule="auto"/>
              <w:jc w:val="right"/>
              <w:rPr>
                <w:rFonts w:ascii="Arial Narrow" w:hAnsi="Arial Narrow" w:cs="Times New Roman"/>
                <w:b/>
                <w:bCs/>
                <w:lang w:eastAsia="sk-SK"/>
              </w:rPr>
            </w:pPr>
            <w:r w:rsidRPr="005A0FB7">
              <w:rPr>
                <w:rFonts w:ascii="Arial Narrow" w:hAnsi="Arial Narrow" w:cs="Times New Roman"/>
                <w:b/>
                <w:bCs/>
                <w:lang w:eastAsia="sk-SK"/>
              </w:rPr>
              <w:t>7 545</w:t>
            </w:r>
          </w:p>
        </w:tc>
      </w:tr>
    </w:tbl>
    <w:p w:rsidR="0051142F" w:rsidRPr="00383226" w:rsidP="00383226">
      <w:pPr>
        <w:spacing w:line="240" w:lineRule="auto"/>
        <w:rPr>
          <w:rFonts w:ascii="Times New Roman" w:hAnsi="Times New Roman" w:cs="Times New Roman"/>
          <w:b/>
          <w:sz w:val="28"/>
        </w:rPr>
      </w:pPr>
    </w:p>
    <w:p w:rsidR="00D76933" w:rsidP="000212D7">
      <w:pPr>
        <w:spacing w:line="240" w:lineRule="auto"/>
        <w:ind w:firstLine="708"/>
        <w:rPr>
          <w:rFonts w:ascii="Times New Roman" w:hAnsi="Times New Roman" w:cs="Times New Roman"/>
          <w:sz w:val="24"/>
          <w:szCs w:val="24"/>
        </w:rPr>
      </w:pPr>
      <w:r w:rsidRPr="00D23807" w:rsidR="00D27E26">
        <w:rPr>
          <w:rFonts w:ascii="Times New Roman" w:hAnsi="Times New Roman" w:cs="Times New Roman"/>
          <w:sz w:val="24"/>
          <w:szCs w:val="24"/>
        </w:rPr>
        <w:t>Hospodárenie kapitoly MDPT SR v priebehu</w:t>
      </w:r>
      <w:r w:rsidR="003875A1">
        <w:rPr>
          <w:rFonts w:ascii="Times New Roman" w:hAnsi="Times New Roman" w:cs="Times New Roman"/>
          <w:sz w:val="24"/>
          <w:szCs w:val="24"/>
        </w:rPr>
        <w:t xml:space="preserve"> roka bolo realizované v súlade </w:t>
      </w:r>
      <w:r w:rsidRPr="00D23807" w:rsidR="00D27E26">
        <w:rPr>
          <w:rFonts w:ascii="Times New Roman" w:hAnsi="Times New Roman" w:cs="Times New Roman"/>
          <w:sz w:val="24"/>
          <w:szCs w:val="24"/>
        </w:rPr>
        <w:t>s „Rozpisom záväzných ukazovateľ</w:t>
      </w:r>
      <w:r w:rsidRPr="00D23807" w:rsidR="00E21371">
        <w:rPr>
          <w:rFonts w:ascii="Times New Roman" w:hAnsi="Times New Roman" w:cs="Times New Roman"/>
          <w:sz w:val="24"/>
          <w:szCs w:val="24"/>
        </w:rPr>
        <w:t>ov štátneho rozpočtu na rok 200</w:t>
      </w:r>
      <w:r w:rsidR="00E87DB4">
        <w:rPr>
          <w:rFonts w:ascii="Times New Roman" w:hAnsi="Times New Roman" w:cs="Times New Roman"/>
          <w:sz w:val="24"/>
          <w:szCs w:val="24"/>
        </w:rPr>
        <w:t>7</w:t>
      </w:r>
      <w:r w:rsidRPr="00D23807" w:rsidR="00D27E26">
        <w:rPr>
          <w:rFonts w:ascii="Times New Roman" w:hAnsi="Times New Roman" w:cs="Times New Roman"/>
          <w:sz w:val="24"/>
          <w:szCs w:val="24"/>
        </w:rPr>
        <w:t>“ a jeho zmenami uskutoč</w:t>
      </w:r>
      <w:r w:rsidR="006E30F7">
        <w:rPr>
          <w:rFonts w:ascii="Times New Roman" w:hAnsi="Times New Roman" w:cs="Times New Roman"/>
          <w:sz w:val="24"/>
          <w:szCs w:val="24"/>
        </w:rPr>
        <w:t>-</w:t>
      </w:r>
      <w:r w:rsidRPr="00D23807" w:rsidR="00D27E26">
        <w:rPr>
          <w:rFonts w:ascii="Times New Roman" w:hAnsi="Times New Roman" w:cs="Times New Roman"/>
          <w:sz w:val="24"/>
          <w:szCs w:val="24"/>
        </w:rPr>
        <w:t>ňovanými rozpočtovými opatreniami MF SR. Prehľad a zdôvodnenie rozpočtových opatrení</w:t>
      </w:r>
      <w:r w:rsidR="006E30F7">
        <w:rPr>
          <w:rFonts w:ascii="Times New Roman" w:hAnsi="Times New Roman" w:cs="Times New Roman"/>
          <w:sz w:val="24"/>
          <w:szCs w:val="24"/>
        </w:rPr>
        <w:t xml:space="preserve"> upravujúcich schválené záväzné </w:t>
      </w:r>
      <w:r w:rsidRPr="00D23807" w:rsidR="00D27E26">
        <w:rPr>
          <w:rFonts w:ascii="Times New Roman" w:hAnsi="Times New Roman" w:cs="Times New Roman"/>
          <w:sz w:val="24"/>
          <w:szCs w:val="24"/>
        </w:rPr>
        <w:t>ukazovatele je uvedené v časti 1.</w:t>
      </w:r>
      <w:r w:rsidR="004E0781">
        <w:rPr>
          <w:rFonts w:ascii="Times New Roman" w:hAnsi="Times New Roman" w:cs="Times New Roman"/>
          <w:sz w:val="24"/>
          <w:szCs w:val="24"/>
        </w:rPr>
        <w:t>1.</w:t>
      </w:r>
      <w:r w:rsidRPr="00D23807" w:rsidR="00D27E26">
        <w:rPr>
          <w:rFonts w:ascii="Times New Roman" w:hAnsi="Times New Roman" w:cs="Times New Roman"/>
          <w:sz w:val="24"/>
          <w:szCs w:val="24"/>
        </w:rPr>
        <w:t>3.</w:t>
      </w:r>
      <w:r w:rsidR="004E0781">
        <w:rPr>
          <w:rFonts w:ascii="Times New Roman" w:hAnsi="Times New Roman" w:cs="Times New Roman"/>
          <w:sz w:val="24"/>
          <w:szCs w:val="24"/>
        </w:rPr>
        <w:t xml:space="preserve"> Rozpočtové opatrenia</w:t>
      </w:r>
      <w:r w:rsidRPr="00D23807" w:rsidR="00D27E26">
        <w:rPr>
          <w:rFonts w:ascii="Times New Roman" w:hAnsi="Times New Roman" w:cs="Times New Roman"/>
          <w:sz w:val="24"/>
          <w:szCs w:val="24"/>
        </w:rPr>
        <w:t xml:space="preserve">. Zdôvodnenie skutočného plnenia príjmov a čerpania výdavkov obsahuje časť </w:t>
      </w:r>
      <w:r w:rsidR="004E0781">
        <w:rPr>
          <w:rFonts w:ascii="Times New Roman" w:hAnsi="Times New Roman" w:cs="Times New Roman"/>
          <w:sz w:val="24"/>
          <w:szCs w:val="24"/>
        </w:rPr>
        <w:t>1.</w:t>
      </w:r>
      <w:r w:rsidR="004E0781">
        <w:rPr>
          <w:rFonts w:ascii="Times New Roman" w:hAnsi="Times New Roman" w:cs="Times New Roman"/>
          <w:sz w:val="24"/>
          <w:szCs w:val="24"/>
        </w:rPr>
        <w:t>2.</w:t>
      </w:r>
      <w:r w:rsidRPr="00D23807" w:rsidR="00D27E26">
        <w:rPr>
          <w:rFonts w:ascii="Times New Roman" w:hAnsi="Times New Roman" w:cs="Times New Roman"/>
          <w:sz w:val="24"/>
          <w:szCs w:val="24"/>
        </w:rPr>
        <w:t xml:space="preserve"> </w:t>
      </w:r>
      <w:r w:rsidR="004E0781">
        <w:rPr>
          <w:rFonts w:ascii="Times New Roman" w:hAnsi="Times New Roman" w:cs="Times New Roman"/>
          <w:sz w:val="24"/>
          <w:szCs w:val="24"/>
        </w:rPr>
        <w:t>a 1.3</w:t>
      </w:r>
      <w:r w:rsidRPr="00D23807" w:rsidR="00D27E26">
        <w:rPr>
          <w:rFonts w:ascii="Times New Roman" w:hAnsi="Times New Roman" w:cs="Times New Roman"/>
          <w:sz w:val="24"/>
          <w:szCs w:val="24"/>
        </w:rPr>
        <w:t>.</w:t>
      </w:r>
      <w:r w:rsidR="006E30F7">
        <w:rPr>
          <w:rFonts w:ascii="Times New Roman" w:hAnsi="Times New Roman" w:cs="Times New Roman"/>
          <w:sz w:val="24"/>
          <w:szCs w:val="24"/>
        </w:rPr>
        <w:t>.</w:t>
      </w:r>
      <w:r w:rsidRPr="00D23807" w:rsidR="00D27E26">
        <w:rPr>
          <w:rFonts w:ascii="Times New Roman" w:hAnsi="Times New Roman" w:cs="Times New Roman"/>
          <w:sz w:val="24"/>
          <w:szCs w:val="24"/>
        </w:rPr>
        <w:t xml:space="preserve">  </w:t>
      </w:r>
    </w:p>
    <w:p w:rsidR="00D76933" w:rsidP="000212D7">
      <w:pPr>
        <w:spacing w:line="240" w:lineRule="auto"/>
        <w:ind w:firstLine="708"/>
        <w:rPr>
          <w:rFonts w:ascii="Times New Roman" w:hAnsi="Times New Roman" w:cs="Times New Roman"/>
          <w:color w:val="000000"/>
          <w:sz w:val="24"/>
          <w:szCs w:val="24"/>
        </w:rPr>
      </w:pPr>
      <w:r w:rsidRPr="00D23807" w:rsidR="00D27E26">
        <w:rPr>
          <w:rFonts w:ascii="Times New Roman" w:hAnsi="Times New Roman" w:cs="Times New Roman"/>
          <w:sz w:val="24"/>
          <w:szCs w:val="24"/>
        </w:rPr>
        <w:t xml:space="preserve">Nesúlad medzi prijatými príjmami z rozpočtu EÚ a čerpanými výdavkami prostriedkov EÚ je </w:t>
      </w:r>
      <w:r w:rsidRPr="00D23807" w:rsidR="00D27E26">
        <w:rPr>
          <w:rFonts w:ascii="Times New Roman" w:hAnsi="Times New Roman" w:cs="Times New Roman"/>
          <w:color w:val="000000"/>
          <w:sz w:val="24"/>
          <w:szCs w:val="24"/>
        </w:rPr>
        <w:t xml:space="preserve">spôsobený časovým nesúladom medzi prijatými príjmami a čerpanými výdavkami z rozpočtu EÚ v prípade, keď sa použije </w:t>
      </w:r>
      <w:r w:rsidR="00360F4D">
        <w:rPr>
          <w:rFonts w:ascii="Times New Roman" w:hAnsi="Times New Roman" w:cs="Times New Roman"/>
          <w:color w:val="000000"/>
          <w:sz w:val="24"/>
          <w:szCs w:val="24"/>
        </w:rPr>
        <w:t xml:space="preserve">systém </w:t>
      </w:r>
      <w:r w:rsidR="00875737">
        <w:rPr>
          <w:rFonts w:ascii="Times New Roman" w:hAnsi="Times New Roman" w:cs="Times New Roman"/>
          <w:color w:val="000000"/>
          <w:sz w:val="24"/>
          <w:szCs w:val="24"/>
        </w:rPr>
        <w:t>predfinancovania</w:t>
      </w:r>
      <w:r w:rsidRPr="00D23807" w:rsidR="00D27E26">
        <w:rPr>
          <w:rFonts w:ascii="Times New Roman" w:hAnsi="Times New Roman" w:cs="Times New Roman"/>
          <w:color w:val="000000"/>
          <w:sz w:val="24"/>
          <w:szCs w:val="24"/>
        </w:rPr>
        <w:t>.</w:t>
      </w:r>
    </w:p>
    <w:p w:rsidR="008D28A4" w:rsidP="000212D7">
      <w:pPr>
        <w:spacing w:line="240" w:lineRule="auto"/>
        <w:rPr>
          <w:rFonts w:ascii="Times New Roman" w:hAnsi="Times New Roman" w:cs="Times New Roman"/>
          <w:b/>
          <w:sz w:val="24"/>
          <w:szCs w:val="24"/>
        </w:rPr>
      </w:pPr>
    </w:p>
    <w:p w:rsidR="009D4096" w:rsidRPr="00AE3AF3" w:rsidP="000212D7">
      <w:pPr>
        <w:spacing w:line="240" w:lineRule="auto"/>
        <w:rPr>
          <w:rFonts w:ascii="Times New Roman" w:hAnsi="Times New Roman" w:cs="Times New Roman"/>
          <w:b/>
          <w:sz w:val="24"/>
          <w:szCs w:val="24"/>
        </w:rPr>
      </w:pPr>
    </w:p>
    <w:p w:rsidR="00D27E26" w:rsidRPr="00D23807" w:rsidP="000212D7">
      <w:pPr>
        <w:pStyle w:val="Heading7"/>
        <w:pBdr>
          <w:top w:val="thinThickLargeGap" w:sz="24" w:space="0" w:color="auto" w:shadow="1"/>
          <w:left w:val="thinThickLargeGap" w:sz="24" w:space="1" w:color="auto" w:shadow="1"/>
          <w:bottom w:val="thinThickLargeGap" w:sz="24" w:space="1" w:color="auto" w:shadow="1"/>
          <w:right w:val="thinThickLargeGap" w:sz="24" w:space="1" w:color="auto" w:shadow="1"/>
        </w:pBdr>
        <w:shd w:val="pct15" w:color="000000" w:fill="FFFFFF"/>
        <w:spacing w:line="240" w:lineRule="auto"/>
        <w:rPr>
          <w:rFonts w:ascii="Times New Roman" w:hAnsi="Times New Roman" w:cs="Times New Roman"/>
          <w:i w:val="0"/>
        </w:rPr>
      </w:pPr>
      <w:r w:rsidRPr="00D23807">
        <w:rPr>
          <w:rFonts w:ascii="Times New Roman" w:hAnsi="Times New Roman" w:cs="Times New Roman"/>
          <w:i w:val="0"/>
        </w:rPr>
        <w:t>1.</w:t>
      </w:r>
      <w:r w:rsidR="004E0781">
        <w:rPr>
          <w:rFonts w:ascii="Times New Roman" w:hAnsi="Times New Roman" w:cs="Times New Roman"/>
          <w:i w:val="0"/>
        </w:rPr>
        <w:t>1.3. Rozpoč</w:t>
      </w:r>
      <w:r w:rsidR="004E0781">
        <w:rPr>
          <w:rFonts w:ascii="Times New Roman" w:hAnsi="Times New Roman" w:cs="Times New Roman"/>
          <w:i w:val="0"/>
        </w:rPr>
        <w:t>tové</w:t>
      </w:r>
      <w:r w:rsidRPr="00D23807">
        <w:rPr>
          <w:rFonts w:ascii="Times New Roman" w:hAnsi="Times New Roman" w:cs="Times New Roman"/>
          <w:i w:val="0"/>
        </w:rPr>
        <w:t xml:space="preserve"> opatren</w:t>
      </w:r>
      <w:r w:rsidR="004E0781">
        <w:rPr>
          <w:rFonts w:ascii="Times New Roman" w:hAnsi="Times New Roman" w:cs="Times New Roman"/>
          <w:i w:val="0"/>
        </w:rPr>
        <w:t>ia</w:t>
      </w:r>
    </w:p>
    <w:p w:rsidR="00523721" w:rsidRPr="00D23807" w:rsidP="000212D7">
      <w:pPr>
        <w:spacing w:line="240" w:lineRule="auto"/>
        <w:rPr>
          <w:rFonts w:ascii="Times New Roman" w:hAnsi="Times New Roman" w:cs="Times New Roman"/>
          <w:sz w:val="24"/>
          <w:szCs w:val="24"/>
        </w:rPr>
      </w:pPr>
    </w:p>
    <w:p w:rsidR="00D27E26" w:rsidRPr="00D23807" w:rsidP="000212D7">
      <w:pPr>
        <w:spacing w:line="240" w:lineRule="auto"/>
        <w:ind w:firstLine="708"/>
        <w:rPr>
          <w:rFonts w:ascii="Times New Roman" w:hAnsi="Times New Roman" w:cs="Times New Roman"/>
          <w:sz w:val="24"/>
          <w:szCs w:val="24"/>
        </w:rPr>
      </w:pPr>
      <w:r w:rsidRPr="00D23807">
        <w:rPr>
          <w:rFonts w:ascii="Times New Roman" w:hAnsi="Times New Roman" w:cs="Times New Roman"/>
          <w:sz w:val="24"/>
          <w:szCs w:val="24"/>
        </w:rPr>
        <w:t>V priebehu roka 20</w:t>
      </w:r>
      <w:r w:rsidR="00776CCB">
        <w:rPr>
          <w:rFonts w:ascii="Times New Roman" w:hAnsi="Times New Roman" w:cs="Times New Roman"/>
          <w:sz w:val="24"/>
          <w:szCs w:val="24"/>
        </w:rPr>
        <w:t>07</w:t>
      </w:r>
      <w:r w:rsidRPr="00D23807">
        <w:rPr>
          <w:rFonts w:ascii="Times New Roman" w:hAnsi="Times New Roman" w:cs="Times New Roman"/>
          <w:sz w:val="24"/>
          <w:szCs w:val="24"/>
        </w:rPr>
        <w:t xml:space="preserve"> vydalo MF SR</w:t>
      </w:r>
      <w:r w:rsidR="00FB71DA">
        <w:rPr>
          <w:rFonts w:ascii="Times New Roman" w:hAnsi="Times New Roman" w:cs="Times New Roman"/>
          <w:sz w:val="24"/>
          <w:szCs w:val="24"/>
        </w:rPr>
        <w:t xml:space="preserve"> p</w:t>
      </w:r>
      <w:r w:rsidR="004E0781">
        <w:rPr>
          <w:rFonts w:ascii="Times New Roman" w:hAnsi="Times New Roman" w:cs="Times New Roman"/>
          <w:sz w:val="24"/>
          <w:szCs w:val="24"/>
        </w:rPr>
        <w:t>re kapit</w:t>
      </w:r>
      <w:r w:rsidR="00776CCB">
        <w:rPr>
          <w:rFonts w:ascii="Times New Roman" w:hAnsi="Times New Roman" w:cs="Times New Roman"/>
          <w:sz w:val="24"/>
          <w:szCs w:val="24"/>
        </w:rPr>
        <w:t>olu MDPT SR celkom 37</w:t>
      </w:r>
      <w:r w:rsidR="00B97756">
        <w:rPr>
          <w:rFonts w:ascii="Times New Roman" w:hAnsi="Times New Roman" w:cs="Times New Roman"/>
          <w:sz w:val="24"/>
          <w:szCs w:val="24"/>
        </w:rPr>
        <w:t xml:space="preserve"> </w:t>
      </w:r>
      <w:r w:rsidRPr="00D23807">
        <w:rPr>
          <w:rFonts w:ascii="Times New Roman" w:hAnsi="Times New Roman" w:cs="Times New Roman"/>
          <w:sz w:val="24"/>
          <w:szCs w:val="24"/>
        </w:rPr>
        <w:t xml:space="preserve">rozpočtových opatrení, ktorými bol upravovaný pôvodný schválený rozpočet kapitoly rozpísaný podľa rozpisového listu MF SR. </w:t>
      </w:r>
    </w:p>
    <w:p w:rsidR="00A21E8A" w:rsidRPr="00D23807" w:rsidP="000212D7">
      <w:pPr>
        <w:spacing w:line="240" w:lineRule="auto"/>
        <w:rPr>
          <w:rFonts w:ascii="Times New Roman" w:hAnsi="Times New Roman" w:cs="Times New Roman"/>
          <w:sz w:val="24"/>
          <w:szCs w:val="24"/>
        </w:rPr>
      </w:pPr>
    </w:p>
    <w:p w:rsidR="00D27E26" w:rsidRPr="00D23807" w:rsidP="000212D7">
      <w:pPr>
        <w:pStyle w:val="BodyText2"/>
        <w:spacing w:line="240" w:lineRule="auto"/>
        <w:rPr>
          <w:rFonts w:ascii="Times New Roman" w:hAnsi="Times New Roman" w:cs="Times New Roman"/>
          <w:b/>
          <w:sz w:val="24"/>
          <w:szCs w:val="24"/>
          <w:u w:val="single"/>
        </w:rPr>
      </w:pPr>
      <w:r w:rsidRPr="00D23807">
        <w:rPr>
          <w:rFonts w:ascii="Times New Roman" w:hAnsi="Times New Roman" w:cs="Times New Roman"/>
          <w:b/>
          <w:sz w:val="24"/>
          <w:szCs w:val="24"/>
          <w:u w:val="single"/>
        </w:rPr>
        <w:t>Prehľad rozpočtových opatrení Ministerstva financi</w:t>
      </w:r>
      <w:r w:rsidRPr="00D23807">
        <w:rPr>
          <w:rFonts w:ascii="Times New Roman" w:hAnsi="Times New Roman" w:cs="Times New Roman"/>
          <w:b/>
          <w:sz w:val="24"/>
          <w:szCs w:val="24"/>
          <w:u w:val="single"/>
        </w:rPr>
        <w:t xml:space="preserve">í SR realizovaných </w:t>
      </w:r>
      <w:r w:rsidR="00776CCB">
        <w:rPr>
          <w:rFonts w:ascii="Times New Roman" w:hAnsi="Times New Roman" w:cs="Times New Roman"/>
          <w:b/>
          <w:sz w:val="24"/>
          <w:szCs w:val="24"/>
          <w:u w:val="single"/>
        </w:rPr>
        <w:t>v roku 2007</w:t>
      </w:r>
      <w:r w:rsidRPr="00D23807">
        <w:rPr>
          <w:rFonts w:ascii="Times New Roman" w:hAnsi="Times New Roman" w:cs="Times New Roman"/>
          <w:b/>
          <w:sz w:val="24"/>
          <w:szCs w:val="24"/>
          <w:u w:val="single"/>
        </w:rPr>
        <w:t>:</w:t>
      </w:r>
    </w:p>
    <w:p w:rsidR="00D76933" w:rsidP="000212D7">
      <w:pPr>
        <w:pStyle w:val="BodyText2"/>
        <w:spacing w:line="240" w:lineRule="auto"/>
        <w:rPr>
          <w:rFonts w:ascii="Times New Roman" w:hAnsi="Times New Roman" w:cs="Times New Roman"/>
          <w:b/>
          <w:sz w:val="24"/>
          <w:szCs w:val="24"/>
          <w:u w:val="single"/>
        </w:rPr>
      </w:pPr>
    </w:p>
    <w:p w:rsidR="00D27E26" w:rsidRPr="00D23807" w:rsidP="000212D7">
      <w:pPr>
        <w:pStyle w:val="BodyText2"/>
        <w:spacing w:line="240" w:lineRule="auto"/>
        <w:rPr>
          <w:rFonts w:ascii="Times New Roman" w:hAnsi="Times New Roman" w:cs="Times New Roman"/>
          <w:b/>
          <w:sz w:val="24"/>
          <w:szCs w:val="24"/>
          <w:u w:val="single"/>
        </w:rPr>
      </w:pPr>
      <w:r w:rsidR="00776CCB">
        <w:rPr>
          <w:rFonts w:ascii="Times New Roman" w:hAnsi="Times New Roman" w:cs="Times New Roman"/>
          <w:b/>
          <w:sz w:val="24"/>
          <w:szCs w:val="24"/>
          <w:u w:val="single"/>
        </w:rPr>
        <w:t>Rozpočtové opatrenie č. 1</w:t>
      </w:r>
    </w:p>
    <w:p w:rsidR="00025471" w:rsidP="000212D7">
      <w:pPr>
        <w:pStyle w:val="BodyText2"/>
        <w:spacing w:line="240" w:lineRule="auto"/>
        <w:rPr>
          <w:rFonts w:ascii="Times New Roman" w:hAnsi="Times New Roman" w:cs="Times New Roman"/>
          <w:sz w:val="24"/>
          <w:szCs w:val="24"/>
        </w:rPr>
      </w:pPr>
    </w:p>
    <w:p w:rsidR="004054EA" w:rsidRPr="00025471" w:rsidP="000212D7">
      <w:pPr>
        <w:pStyle w:val="BodyText2"/>
        <w:spacing w:line="240" w:lineRule="auto"/>
        <w:ind w:firstLine="709"/>
        <w:rPr>
          <w:rFonts w:ascii="Times New Roman" w:hAnsi="Times New Roman" w:cs="Times New Roman"/>
          <w:sz w:val="24"/>
          <w:szCs w:val="24"/>
        </w:rPr>
      </w:pPr>
      <w:r w:rsidR="00025471">
        <w:rPr>
          <w:rFonts w:ascii="Times New Roman" w:hAnsi="Times New Roman" w:cs="Times New Roman"/>
          <w:sz w:val="24"/>
          <w:szCs w:val="24"/>
        </w:rPr>
        <w:t>Povolené prekročenie</w:t>
      </w:r>
      <w:r w:rsidRPr="00025471">
        <w:rPr>
          <w:rFonts w:ascii="Times New Roman" w:hAnsi="Times New Roman" w:cs="Times New Roman"/>
          <w:sz w:val="24"/>
          <w:szCs w:val="24"/>
        </w:rPr>
        <w:t xml:space="preserve"> limitu výdavkov ka</w:t>
      </w:r>
      <w:r w:rsidR="00025471">
        <w:rPr>
          <w:rFonts w:ascii="Times New Roman" w:hAnsi="Times New Roman" w:cs="Times New Roman"/>
          <w:sz w:val="24"/>
          <w:szCs w:val="24"/>
        </w:rPr>
        <w:t xml:space="preserve">pitoly </w:t>
      </w:r>
      <w:r w:rsidR="00DF00F1">
        <w:rPr>
          <w:rFonts w:ascii="Times New Roman" w:hAnsi="Times New Roman" w:cs="Times New Roman"/>
          <w:sz w:val="24"/>
          <w:szCs w:val="24"/>
        </w:rPr>
        <w:t>o 968 674 056,- Sk</w:t>
      </w:r>
      <w:r w:rsidRPr="00025471" w:rsidR="00DF00F1">
        <w:rPr>
          <w:rFonts w:ascii="Times New Roman" w:hAnsi="Times New Roman" w:cs="Times New Roman"/>
          <w:sz w:val="24"/>
          <w:szCs w:val="24"/>
        </w:rPr>
        <w:t xml:space="preserve"> </w:t>
      </w:r>
      <w:r w:rsidRPr="00025471">
        <w:rPr>
          <w:rFonts w:ascii="Times New Roman" w:hAnsi="Times New Roman" w:cs="Times New Roman"/>
          <w:sz w:val="24"/>
          <w:szCs w:val="24"/>
        </w:rPr>
        <w:t xml:space="preserve">podľa § 8 ods. 6 a § 17 zákona č. 523/2004 Z.z. o rozpočtových pravidlách verejnej správy a o zmene a doplnení niektorých zákonov </w:t>
      </w:r>
      <w:r w:rsidR="00DF00F1">
        <w:rPr>
          <w:rFonts w:ascii="Times New Roman" w:hAnsi="Times New Roman" w:cs="Times New Roman"/>
          <w:sz w:val="24"/>
          <w:szCs w:val="24"/>
        </w:rPr>
        <w:t>v</w:t>
      </w:r>
      <w:r w:rsidR="00DF00F1">
        <w:rPr>
          <w:rFonts w:ascii="Times New Roman" w:hAnsi="Times New Roman" w:cs="Times New Roman"/>
          <w:sz w:val="24"/>
          <w:szCs w:val="24"/>
        </w:rPr>
        <w:t> znení neskorších predpisov</w:t>
      </w:r>
      <w:r w:rsidR="00025471">
        <w:rPr>
          <w:rFonts w:ascii="Times New Roman" w:hAnsi="Times New Roman" w:cs="Times New Roman"/>
          <w:sz w:val="24"/>
          <w:szCs w:val="24"/>
        </w:rPr>
        <w:t>. Išlo o navýšenie kapitálových výdavkov</w:t>
      </w:r>
      <w:r w:rsidR="001F780B">
        <w:rPr>
          <w:rFonts w:ascii="Times New Roman" w:hAnsi="Times New Roman" w:cs="Times New Roman"/>
          <w:sz w:val="24"/>
          <w:szCs w:val="24"/>
        </w:rPr>
        <w:t xml:space="preserve">/transferov </w:t>
      </w:r>
      <w:r w:rsidR="00025471">
        <w:rPr>
          <w:rFonts w:ascii="Times New Roman" w:hAnsi="Times New Roman" w:cs="Times New Roman"/>
          <w:sz w:val="24"/>
          <w:szCs w:val="24"/>
        </w:rPr>
        <w:t xml:space="preserve">MDPT </w:t>
      </w:r>
      <w:r w:rsidRPr="00025471">
        <w:rPr>
          <w:rFonts w:ascii="Times New Roman" w:hAnsi="Times New Roman" w:cs="Times New Roman"/>
          <w:sz w:val="24"/>
          <w:szCs w:val="24"/>
        </w:rPr>
        <w:t xml:space="preserve">SR </w:t>
      </w:r>
      <w:r w:rsidRPr="00025471" w:rsidR="00025471">
        <w:rPr>
          <w:rFonts w:ascii="Times New Roman" w:hAnsi="Times New Roman" w:cs="Times New Roman"/>
          <w:sz w:val="24"/>
          <w:szCs w:val="24"/>
        </w:rPr>
        <w:t>zo zdrojov predchádzajúc</w:t>
      </w:r>
      <w:r w:rsidR="001F780B">
        <w:rPr>
          <w:rFonts w:ascii="Times New Roman" w:hAnsi="Times New Roman" w:cs="Times New Roman"/>
          <w:sz w:val="24"/>
          <w:szCs w:val="24"/>
        </w:rPr>
        <w:t>ich rokov</w:t>
      </w:r>
      <w:r w:rsidR="00025471">
        <w:rPr>
          <w:rFonts w:ascii="Times New Roman" w:hAnsi="Times New Roman" w:cs="Times New Roman"/>
          <w:sz w:val="24"/>
          <w:szCs w:val="24"/>
        </w:rPr>
        <w:t xml:space="preserve">, a to na zabezpečenie: </w:t>
      </w:r>
    </w:p>
    <w:p w:rsidR="004054EA" w:rsidP="00C362EA">
      <w:pPr>
        <w:pStyle w:val="BodyText2"/>
        <w:numPr>
          <w:ilvl w:val="0"/>
          <w:numId w:val="2"/>
        </w:numPr>
        <w:tabs>
          <w:tab w:val="left" w:pos="720"/>
        </w:tabs>
        <w:spacing w:line="240" w:lineRule="auto"/>
        <w:rPr>
          <w:rFonts w:ascii="Times New Roman" w:hAnsi="Times New Roman" w:cs="Times New Roman"/>
          <w:sz w:val="24"/>
          <w:szCs w:val="24"/>
        </w:rPr>
      </w:pPr>
      <w:r w:rsidR="001F780B">
        <w:rPr>
          <w:rFonts w:ascii="Times New Roman" w:hAnsi="Times New Roman" w:cs="Times New Roman"/>
          <w:sz w:val="24"/>
          <w:szCs w:val="24"/>
        </w:rPr>
        <w:t>výstavby cestnej siete vo výške 75 848 270</w:t>
      </w:r>
      <w:r w:rsidR="00025471">
        <w:rPr>
          <w:rFonts w:ascii="Times New Roman" w:hAnsi="Times New Roman" w:cs="Times New Roman"/>
          <w:sz w:val="24"/>
          <w:szCs w:val="24"/>
        </w:rPr>
        <w:t>,- Sk,</w:t>
      </w:r>
    </w:p>
    <w:p w:rsidR="001F780B" w:rsidP="00C362EA">
      <w:pPr>
        <w:pStyle w:val="BodyText2"/>
        <w:numPr>
          <w:ilvl w:val="0"/>
          <w:numId w:val="2"/>
        </w:numPr>
        <w:tabs>
          <w:tab w:val="left" w:pos="720"/>
        </w:tabs>
        <w:spacing w:line="240" w:lineRule="auto"/>
        <w:rPr>
          <w:rFonts w:ascii="Times New Roman" w:hAnsi="Times New Roman" w:cs="Times New Roman"/>
          <w:sz w:val="24"/>
          <w:szCs w:val="24"/>
        </w:rPr>
      </w:pPr>
      <w:r>
        <w:rPr>
          <w:rFonts w:ascii="Times New Roman" w:hAnsi="Times New Roman" w:cs="Times New Roman"/>
          <w:sz w:val="24"/>
          <w:szCs w:val="24"/>
        </w:rPr>
        <w:t>obnovu technickej základne SSC vo výške 6 000 000,- Sk</w:t>
      </w:r>
      <w:r w:rsidR="00605CA0">
        <w:rPr>
          <w:rFonts w:ascii="Times New Roman" w:hAnsi="Times New Roman" w:cs="Times New Roman"/>
          <w:sz w:val="24"/>
          <w:szCs w:val="24"/>
        </w:rPr>
        <w:t>,</w:t>
      </w:r>
    </w:p>
    <w:p w:rsidR="001F780B" w:rsidRPr="00025471" w:rsidP="001F780B">
      <w:pPr>
        <w:pStyle w:val="BodyText2"/>
        <w:numPr>
          <w:ilvl w:val="0"/>
          <w:numId w:val="2"/>
        </w:numPr>
        <w:tabs>
          <w:tab w:val="left" w:pos="720"/>
        </w:tabs>
        <w:spacing w:line="240" w:lineRule="auto"/>
        <w:rPr>
          <w:rFonts w:ascii="Times New Roman" w:hAnsi="Times New Roman" w:cs="Times New Roman"/>
          <w:sz w:val="24"/>
          <w:szCs w:val="24"/>
        </w:rPr>
      </w:pPr>
      <w:r>
        <w:rPr>
          <w:rFonts w:ascii="Times New Roman" w:hAnsi="Times New Roman" w:cs="Times New Roman"/>
          <w:sz w:val="24"/>
          <w:szCs w:val="24"/>
        </w:rPr>
        <w:t>výstav</w:t>
      </w:r>
      <w:r>
        <w:rPr>
          <w:rFonts w:ascii="Times New Roman" w:hAnsi="Times New Roman" w:cs="Times New Roman"/>
          <w:sz w:val="24"/>
          <w:szCs w:val="24"/>
        </w:rPr>
        <w:t>bu Severného obchvatu mesta Trnava vo výške 44 753 919,- Sk</w:t>
      </w:r>
      <w:r w:rsidR="00605CA0">
        <w:rPr>
          <w:rFonts w:ascii="Times New Roman" w:hAnsi="Times New Roman" w:cs="Times New Roman"/>
          <w:sz w:val="24"/>
          <w:szCs w:val="24"/>
        </w:rPr>
        <w:t>,</w:t>
      </w:r>
    </w:p>
    <w:p w:rsidR="004054EA" w:rsidP="00C362EA">
      <w:pPr>
        <w:pStyle w:val="BodyText2"/>
        <w:numPr>
          <w:ilvl w:val="0"/>
          <w:numId w:val="2"/>
        </w:numPr>
        <w:tabs>
          <w:tab w:val="left" w:pos="720"/>
        </w:tabs>
        <w:spacing w:line="240" w:lineRule="auto"/>
        <w:rPr>
          <w:rFonts w:ascii="Times New Roman" w:hAnsi="Times New Roman" w:cs="Times New Roman"/>
          <w:sz w:val="24"/>
          <w:szCs w:val="24"/>
        </w:rPr>
      </w:pPr>
      <w:r w:rsidRPr="00025471">
        <w:rPr>
          <w:rFonts w:ascii="Times New Roman" w:hAnsi="Times New Roman" w:cs="Times New Roman"/>
          <w:sz w:val="24"/>
          <w:szCs w:val="24"/>
        </w:rPr>
        <w:t xml:space="preserve">výstavby diaľnic a rýchlostných </w:t>
      </w:r>
      <w:r w:rsidR="00025471">
        <w:rPr>
          <w:rFonts w:ascii="Times New Roman" w:hAnsi="Times New Roman" w:cs="Times New Roman"/>
          <w:sz w:val="24"/>
          <w:szCs w:val="24"/>
        </w:rPr>
        <w:t xml:space="preserve">ciest NDS, a.s. </w:t>
      </w:r>
      <w:r w:rsidR="00251A6F">
        <w:rPr>
          <w:rFonts w:ascii="Times New Roman" w:hAnsi="Times New Roman" w:cs="Times New Roman"/>
          <w:sz w:val="24"/>
          <w:szCs w:val="24"/>
        </w:rPr>
        <w:t>(</w:t>
      </w:r>
      <w:r w:rsidR="000212D7">
        <w:rPr>
          <w:rFonts w:ascii="Times New Roman" w:hAnsi="Times New Roman" w:cs="Times New Roman"/>
          <w:sz w:val="24"/>
          <w:szCs w:val="24"/>
        </w:rPr>
        <w:t>úsek D1 Svinia-</w:t>
      </w:r>
      <w:r w:rsidR="00A23DC7">
        <w:rPr>
          <w:rFonts w:ascii="Times New Roman" w:hAnsi="Times New Roman" w:cs="Times New Roman"/>
          <w:sz w:val="24"/>
          <w:szCs w:val="24"/>
        </w:rPr>
        <w:t>Prešov</w:t>
      </w:r>
      <w:r w:rsidR="00251A6F">
        <w:rPr>
          <w:rFonts w:ascii="Times New Roman" w:hAnsi="Times New Roman" w:cs="Times New Roman"/>
          <w:sz w:val="24"/>
          <w:szCs w:val="24"/>
        </w:rPr>
        <w:t xml:space="preserve"> 131 000 000</w:t>
      </w:r>
      <w:r w:rsidR="000212D7">
        <w:rPr>
          <w:rFonts w:ascii="Times New Roman" w:hAnsi="Times New Roman" w:cs="Times New Roman"/>
          <w:sz w:val="24"/>
          <w:szCs w:val="24"/>
        </w:rPr>
        <w:t>,- Sk, úsek D2 Lamač. cesta-</w:t>
      </w:r>
      <w:r w:rsidR="00251A6F">
        <w:rPr>
          <w:rFonts w:ascii="Times New Roman" w:hAnsi="Times New Roman" w:cs="Times New Roman"/>
          <w:sz w:val="24"/>
          <w:szCs w:val="24"/>
        </w:rPr>
        <w:t xml:space="preserve">Staré Grunty 591 451 000,- Sk) </w:t>
      </w:r>
      <w:r w:rsidR="001F780B">
        <w:rPr>
          <w:rFonts w:ascii="Times New Roman" w:hAnsi="Times New Roman" w:cs="Times New Roman"/>
          <w:sz w:val="24"/>
          <w:szCs w:val="24"/>
        </w:rPr>
        <w:t>v</w:t>
      </w:r>
      <w:r w:rsidR="000212D7">
        <w:rPr>
          <w:rFonts w:ascii="Times New Roman" w:hAnsi="Times New Roman" w:cs="Times New Roman"/>
          <w:sz w:val="24"/>
          <w:szCs w:val="24"/>
        </w:rPr>
        <w:t xml:space="preserve">o </w:t>
      </w:r>
      <w:r w:rsidR="001F780B">
        <w:rPr>
          <w:rFonts w:ascii="Times New Roman" w:hAnsi="Times New Roman" w:cs="Times New Roman"/>
          <w:sz w:val="24"/>
          <w:szCs w:val="24"/>
        </w:rPr>
        <w:t>výške 722 451 000</w:t>
      </w:r>
      <w:r w:rsidR="00025471">
        <w:rPr>
          <w:rFonts w:ascii="Times New Roman" w:hAnsi="Times New Roman" w:cs="Times New Roman"/>
          <w:sz w:val="24"/>
          <w:szCs w:val="24"/>
        </w:rPr>
        <w:t xml:space="preserve">,- </w:t>
      </w:r>
      <w:r w:rsidRPr="00025471">
        <w:rPr>
          <w:rFonts w:ascii="Times New Roman" w:hAnsi="Times New Roman" w:cs="Times New Roman"/>
          <w:sz w:val="24"/>
          <w:szCs w:val="24"/>
        </w:rPr>
        <w:t>Sk,</w:t>
      </w:r>
    </w:p>
    <w:p w:rsidR="001F780B" w:rsidP="00C362EA">
      <w:pPr>
        <w:pStyle w:val="BodyText2"/>
        <w:numPr>
          <w:ilvl w:val="0"/>
          <w:numId w:val="2"/>
        </w:numPr>
        <w:tabs>
          <w:tab w:val="left" w:pos="720"/>
        </w:tabs>
        <w:spacing w:line="240" w:lineRule="auto"/>
        <w:rPr>
          <w:rFonts w:ascii="Times New Roman" w:hAnsi="Times New Roman" w:cs="Times New Roman"/>
          <w:sz w:val="24"/>
          <w:szCs w:val="24"/>
        </w:rPr>
      </w:pPr>
      <w:r>
        <w:rPr>
          <w:rFonts w:ascii="Times New Roman" w:hAnsi="Times New Roman" w:cs="Times New Roman"/>
          <w:sz w:val="24"/>
          <w:szCs w:val="24"/>
        </w:rPr>
        <w:t>investičných potrieb Technickej ochrany a obnovy železníc vo výške 400 000,- Sk</w:t>
      </w:r>
      <w:r w:rsidR="00605CA0">
        <w:rPr>
          <w:rFonts w:ascii="Times New Roman" w:hAnsi="Times New Roman" w:cs="Times New Roman"/>
          <w:sz w:val="24"/>
          <w:szCs w:val="24"/>
        </w:rPr>
        <w:t>,</w:t>
      </w:r>
    </w:p>
    <w:p w:rsidR="001F780B" w:rsidP="001F780B">
      <w:pPr>
        <w:pStyle w:val="BodyText2"/>
        <w:numPr>
          <w:ilvl w:val="0"/>
          <w:numId w:val="2"/>
        </w:numPr>
        <w:tabs>
          <w:tab w:val="left" w:pos="720"/>
        </w:tabs>
        <w:spacing w:line="240" w:lineRule="auto"/>
        <w:rPr>
          <w:rFonts w:ascii="Times New Roman" w:hAnsi="Times New Roman" w:cs="Times New Roman"/>
          <w:sz w:val="24"/>
          <w:szCs w:val="24"/>
        </w:rPr>
      </w:pPr>
      <w:r>
        <w:rPr>
          <w:rFonts w:ascii="Times New Roman" w:hAnsi="Times New Roman" w:cs="Times New Roman"/>
          <w:sz w:val="24"/>
          <w:szCs w:val="24"/>
        </w:rPr>
        <w:t xml:space="preserve">investičných potrieb Krajského úradu pre cestnú dopravu a pozemné </w:t>
      </w:r>
      <w:r w:rsidR="00A23DC7">
        <w:rPr>
          <w:rFonts w:ascii="Times New Roman" w:hAnsi="Times New Roman" w:cs="Times New Roman"/>
          <w:sz w:val="24"/>
          <w:szCs w:val="24"/>
        </w:rPr>
        <w:t xml:space="preserve">komunikácie Banská Bystrica </w:t>
      </w:r>
      <w:r>
        <w:rPr>
          <w:rFonts w:ascii="Times New Roman" w:hAnsi="Times New Roman" w:cs="Times New Roman"/>
          <w:sz w:val="24"/>
          <w:szCs w:val="24"/>
        </w:rPr>
        <w:t>vo výške 320 867,- Sk</w:t>
      </w:r>
      <w:r w:rsidR="00605CA0">
        <w:rPr>
          <w:rFonts w:ascii="Times New Roman" w:hAnsi="Times New Roman" w:cs="Times New Roman"/>
          <w:sz w:val="24"/>
          <w:szCs w:val="24"/>
        </w:rPr>
        <w:t>,</w:t>
      </w:r>
    </w:p>
    <w:p w:rsidR="00251A6F" w:rsidP="00251A6F">
      <w:pPr>
        <w:pStyle w:val="BodyText2"/>
        <w:numPr>
          <w:ilvl w:val="0"/>
          <w:numId w:val="2"/>
        </w:numPr>
        <w:tabs>
          <w:tab w:val="left" w:pos="720"/>
        </w:tabs>
        <w:spacing w:line="240" w:lineRule="auto"/>
        <w:rPr>
          <w:rFonts w:ascii="Times New Roman" w:hAnsi="Times New Roman" w:cs="Times New Roman"/>
          <w:sz w:val="24"/>
          <w:szCs w:val="24"/>
        </w:rPr>
      </w:pPr>
      <w:r>
        <w:rPr>
          <w:rFonts w:ascii="Times New Roman" w:hAnsi="Times New Roman" w:cs="Times New Roman"/>
          <w:sz w:val="24"/>
          <w:szCs w:val="24"/>
        </w:rPr>
        <w:t>investičných potrieb aparátu MDPT SR vo výške 7 400 000,- Sk</w:t>
      </w:r>
    </w:p>
    <w:p w:rsidR="00605CA0" w:rsidP="00605CA0">
      <w:pPr>
        <w:pStyle w:val="BodyText2"/>
        <w:numPr>
          <w:ilvl w:val="0"/>
          <w:numId w:val="2"/>
        </w:numPr>
        <w:tabs>
          <w:tab w:val="left" w:pos="720"/>
        </w:tabs>
        <w:spacing w:line="240" w:lineRule="auto"/>
        <w:rPr>
          <w:rFonts w:ascii="Times New Roman" w:hAnsi="Times New Roman" w:cs="Times New Roman"/>
          <w:sz w:val="24"/>
          <w:szCs w:val="24"/>
        </w:rPr>
      </w:pPr>
      <w:r w:rsidR="001F780B">
        <w:rPr>
          <w:rFonts w:ascii="Times New Roman" w:hAnsi="Times New Roman" w:cs="Times New Roman"/>
          <w:sz w:val="24"/>
          <w:szCs w:val="24"/>
        </w:rPr>
        <w:t>podpory rozvojových úloh</w:t>
      </w:r>
      <w:r w:rsidR="001F780B">
        <w:rPr>
          <w:rFonts w:ascii="Times New Roman" w:hAnsi="Times New Roman" w:cs="Times New Roman"/>
          <w:sz w:val="24"/>
          <w:szCs w:val="24"/>
        </w:rPr>
        <w:t xml:space="preserve"> </w:t>
      </w:r>
      <w:r w:rsidR="00A23DC7">
        <w:rPr>
          <w:rFonts w:ascii="Times New Roman" w:hAnsi="Times New Roman" w:cs="Times New Roman"/>
          <w:sz w:val="24"/>
          <w:szCs w:val="24"/>
        </w:rPr>
        <w:t>informatizácie spoločnosti</w:t>
      </w:r>
      <w:r w:rsidR="00251A6F">
        <w:rPr>
          <w:rFonts w:ascii="Times New Roman" w:hAnsi="Times New Roman" w:cs="Times New Roman"/>
          <w:sz w:val="24"/>
          <w:szCs w:val="24"/>
        </w:rPr>
        <w:t xml:space="preserve"> (</w:t>
      </w:r>
      <w:r w:rsidR="00A23DC7">
        <w:rPr>
          <w:rFonts w:ascii="Times New Roman" w:hAnsi="Times New Roman" w:cs="Times New Roman"/>
          <w:sz w:val="24"/>
          <w:szCs w:val="24"/>
        </w:rPr>
        <w:t>ústredný portál verejnej správy 65 mil. Sk</w:t>
      </w:r>
      <w:r w:rsidR="00251A6F">
        <w:rPr>
          <w:rFonts w:ascii="Times New Roman" w:hAnsi="Times New Roman" w:cs="Times New Roman"/>
          <w:sz w:val="24"/>
          <w:szCs w:val="24"/>
        </w:rPr>
        <w:t xml:space="preserve">, identifikátor fyzickej osoby </w:t>
      </w:r>
      <w:r w:rsidR="00A23DC7">
        <w:rPr>
          <w:rFonts w:ascii="Times New Roman" w:hAnsi="Times New Roman" w:cs="Times New Roman"/>
          <w:sz w:val="24"/>
          <w:szCs w:val="24"/>
        </w:rPr>
        <w:t>10 mil. Sk</w:t>
      </w:r>
      <w:r w:rsidR="00251A6F">
        <w:rPr>
          <w:rFonts w:ascii="Times New Roman" w:hAnsi="Times New Roman" w:cs="Times New Roman"/>
          <w:sz w:val="24"/>
          <w:szCs w:val="24"/>
        </w:rPr>
        <w:t xml:space="preserve">, digitálna vláda </w:t>
      </w:r>
      <w:r w:rsidR="00A23DC7">
        <w:rPr>
          <w:rFonts w:ascii="Times New Roman" w:hAnsi="Times New Roman" w:cs="Times New Roman"/>
          <w:sz w:val="24"/>
          <w:szCs w:val="24"/>
        </w:rPr>
        <w:t xml:space="preserve">20 mil. Sk) v celkovej </w:t>
      </w:r>
      <w:r w:rsidR="001F780B">
        <w:rPr>
          <w:rFonts w:ascii="Times New Roman" w:hAnsi="Times New Roman" w:cs="Times New Roman"/>
          <w:sz w:val="24"/>
          <w:szCs w:val="24"/>
        </w:rPr>
        <w:t>výške 95 000 000,- Sk</w:t>
      </w:r>
      <w:r>
        <w:rPr>
          <w:rFonts w:ascii="Times New Roman" w:hAnsi="Times New Roman" w:cs="Times New Roman"/>
          <w:sz w:val="24"/>
          <w:szCs w:val="24"/>
        </w:rPr>
        <w:t>,</w:t>
      </w:r>
    </w:p>
    <w:p w:rsidR="00605CA0" w:rsidP="00C362EA">
      <w:pPr>
        <w:pStyle w:val="BodyText2"/>
        <w:numPr>
          <w:ilvl w:val="0"/>
          <w:numId w:val="2"/>
        </w:numPr>
        <w:tabs>
          <w:tab w:val="left" w:pos="720"/>
        </w:tabs>
        <w:spacing w:line="240" w:lineRule="auto"/>
        <w:rPr>
          <w:rFonts w:ascii="Times New Roman" w:hAnsi="Times New Roman" w:cs="Times New Roman"/>
          <w:sz w:val="24"/>
          <w:szCs w:val="24"/>
        </w:rPr>
      </w:pPr>
      <w:r>
        <w:rPr>
          <w:rFonts w:ascii="Times New Roman" w:hAnsi="Times New Roman" w:cs="Times New Roman"/>
          <w:sz w:val="24"/>
          <w:szCs w:val="24"/>
        </w:rPr>
        <w:t>spracovania projektovej dokumentácie a vybudovania nakladacích/vykladacích rámp v železničných staniciach Trebišov a Poprad v rámci medzirezortného programu Podpora obrany vo výške 4 000 000,- Sk</w:t>
      </w:r>
    </w:p>
    <w:p w:rsidR="00251A6F" w:rsidP="00251A6F">
      <w:pPr>
        <w:pStyle w:val="BodyText2"/>
        <w:numPr>
          <w:ilvl w:val="0"/>
          <w:numId w:val="2"/>
        </w:numPr>
        <w:tabs>
          <w:tab w:val="left" w:pos="720"/>
        </w:tabs>
        <w:spacing w:line="240" w:lineRule="auto"/>
        <w:rPr>
          <w:rFonts w:ascii="Times New Roman" w:hAnsi="Times New Roman" w:cs="Times New Roman"/>
          <w:sz w:val="24"/>
          <w:szCs w:val="24"/>
        </w:rPr>
      </w:pPr>
      <w:r w:rsidR="00605CA0">
        <w:rPr>
          <w:rFonts w:ascii="Times New Roman" w:hAnsi="Times New Roman" w:cs="Times New Roman"/>
          <w:sz w:val="24"/>
          <w:szCs w:val="24"/>
        </w:rPr>
        <w:t>rozvoja a modernizácie majetku železníc – zabezpečenie spolufinancovania projektu</w:t>
      </w:r>
      <w:r w:rsidR="00A23DC7">
        <w:rPr>
          <w:rFonts w:ascii="Times New Roman" w:hAnsi="Times New Roman" w:cs="Times New Roman"/>
          <w:sz w:val="24"/>
          <w:szCs w:val="24"/>
        </w:rPr>
        <w:t xml:space="preserve"> TEN-T – modernizácia trate na úseku Púchov – Žilina, </w:t>
      </w:r>
      <w:r w:rsidR="00605CA0">
        <w:rPr>
          <w:rFonts w:ascii="Times New Roman" w:hAnsi="Times New Roman" w:cs="Times New Roman"/>
          <w:sz w:val="24"/>
          <w:szCs w:val="24"/>
        </w:rPr>
        <w:t>vo vý</w:t>
      </w:r>
      <w:r w:rsidR="00605CA0">
        <w:rPr>
          <w:rFonts w:ascii="Times New Roman" w:hAnsi="Times New Roman" w:cs="Times New Roman"/>
          <w:sz w:val="24"/>
          <w:szCs w:val="24"/>
        </w:rPr>
        <w:t>ške 12 500 000,- Sk</w:t>
      </w:r>
      <w:r>
        <w:rPr>
          <w:rFonts w:ascii="Times New Roman" w:hAnsi="Times New Roman" w:cs="Times New Roman"/>
          <w:sz w:val="24"/>
          <w:szCs w:val="24"/>
        </w:rPr>
        <w:t>.</w:t>
      </w:r>
    </w:p>
    <w:p w:rsidR="00D76933" w:rsidP="00C362EA">
      <w:pPr>
        <w:pStyle w:val="BodyText2"/>
        <w:spacing w:line="240" w:lineRule="auto"/>
        <w:rPr>
          <w:rFonts w:ascii="Times New Roman" w:hAnsi="Times New Roman" w:cs="Times New Roman"/>
          <w:b/>
          <w:sz w:val="24"/>
          <w:szCs w:val="24"/>
          <w:u w:val="single"/>
        </w:rPr>
      </w:pPr>
    </w:p>
    <w:p w:rsidR="00D27E26" w:rsidRPr="00D23807" w:rsidP="00C362EA">
      <w:pPr>
        <w:pStyle w:val="BodyText2"/>
        <w:spacing w:line="240" w:lineRule="auto"/>
        <w:rPr>
          <w:rFonts w:ascii="Times New Roman" w:hAnsi="Times New Roman" w:cs="Times New Roman"/>
          <w:b/>
          <w:sz w:val="24"/>
          <w:szCs w:val="24"/>
          <w:u w:val="single"/>
        </w:rPr>
      </w:pPr>
      <w:r w:rsidR="008257B9">
        <w:rPr>
          <w:rFonts w:ascii="Times New Roman" w:hAnsi="Times New Roman" w:cs="Times New Roman"/>
          <w:b/>
          <w:sz w:val="24"/>
          <w:szCs w:val="24"/>
          <w:u w:val="single"/>
        </w:rPr>
        <w:t>Rozpočtové opatrenie č. 2</w:t>
      </w:r>
    </w:p>
    <w:p w:rsidR="00F317DF" w:rsidP="00C362EA">
      <w:pPr>
        <w:pStyle w:val="BodyText2"/>
        <w:spacing w:line="240" w:lineRule="auto"/>
        <w:ind w:firstLine="709"/>
        <w:rPr>
          <w:rFonts w:ascii="Times New Roman" w:hAnsi="Times New Roman" w:cs="Times New Roman"/>
          <w:sz w:val="24"/>
          <w:szCs w:val="24"/>
        </w:rPr>
      </w:pPr>
    </w:p>
    <w:p w:rsidR="00FB0053" w:rsidP="00C362EA">
      <w:pPr>
        <w:pStyle w:val="BodyText2"/>
        <w:spacing w:line="240" w:lineRule="auto"/>
        <w:ind w:firstLine="709"/>
        <w:rPr>
          <w:rFonts w:ascii="Times New Roman" w:hAnsi="Times New Roman" w:cs="Times New Roman"/>
          <w:sz w:val="24"/>
          <w:szCs w:val="24"/>
        </w:rPr>
      </w:pPr>
      <w:r w:rsidR="00025471">
        <w:rPr>
          <w:rFonts w:ascii="Times New Roman" w:hAnsi="Times New Roman" w:cs="Times New Roman"/>
          <w:sz w:val="24"/>
          <w:szCs w:val="24"/>
        </w:rPr>
        <w:t>Povolené prekročenie limitu výdavkov podľa § 8 ods. 6 a § 17 zákona č. 523/2004 Z.z. o rozpočtových pravidlách verejnej správy a o zmene a doplnení niektorých zákonov</w:t>
      </w:r>
      <w:r w:rsidR="00B64E12">
        <w:rPr>
          <w:rFonts w:ascii="Times New Roman" w:hAnsi="Times New Roman" w:cs="Times New Roman"/>
          <w:sz w:val="24"/>
          <w:szCs w:val="24"/>
        </w:rPr>
        <w:t xml:space="preserve"> v znení neskorších predpisov</w:t>
      </w:r>
      <w:r w:rsidR="00176226">
        <w:rPr>
          <w:rFonts w:ascii="Times New Roman" w:hAnsi="Times New Roman" w:cs="Times New Roman"/>
          <w:sz w:val="24"/>
          <w:szCs w:val="24"/>
        </w:rPr>
        <w:t xml:space="preserve"> o 9 469 209</w:t>
      </w:r>
      <w:r w:rsidR="00176226">
        <w:rPr>
          <w:rFonts w:ascii="Times New Roman" w:hAnsi="Times New Roman" w:cs="Times New Roman"/>
          <w:sz w:val="24"/>
          <w:szCs w:val="24"/>
        </w:rPr>
        <w:t> 680,20</w:t>
      </w:r>
      <w:r w:rsidR="00025471">
        <w:rPr>
          <w:rFonts w:ascii="Times New Roman" w:hAnsi="Times New Roman" w:cs="Times New Roman"/>
          <w:sz w:val="24"/>
          <w:szCs w:val="24"/>
        </w:rPr>
        <w:t xml:space="preserve"> Sk, z toho prostriedky </w:t>
      </w:r>
      <w:r w:rsidR="00176226">
        <w:rPr>
          <w:rFonts w:ascii="Times New Roman" w:hAnsi="Times New Roman" w:cs="Times New Roman"/>
          <w:sz w:val="24"/>
          <w:szCs w:val="24"/>
        </w:rPr>
        <w:t>na spolufinancovanie v sume 1 898 138 739,71</w:t>
      </w:r>
      <w:r w:rsidR="000D506E">
        <w:rPr>
          <w:rFonts w:ascii="Times New Roman" w:hAnsi="Times New Roman" w:cs="Times New Roman"/>
          <w:sz w:val="24"/>
          <w:szCs w:val="24"/>
        </w:rPr>
        <w:t xml:space="preserve"> Sk a  prostriedky </w:t>
      </w:r>
      <w:r w:rsidR="00025471">
        <w:rPr>
          <w:rFonts w:ascii="Times New Roman" w:hAnsi="Times New Roman" w:cs="Times New Roman"/>
          <w:sz w:val="24"/>
          <w:szCs w:val="24"/>
        </w:rPr>
        <w:t>z rozpočt</w:t>
      </w:r>
      <w:r w:rsidR="00176226">
        <w:rPr>
          <w:rFonts w:ascii="Times New Roman" w:hAnsi="Times New Roman" w:cs="Times New Roman"/>
          <w:sz w:val="24"/>
          <w:szCs w:val="24"/>
        </w:rPr>
        <w:t>u EÚ v sume 7 571 070 940,49</w:t>
      </w:r>
      <w:r w:rsidR="000D506E">
        <w:rPr>
          <w:rFonts w:ascii="Times New Roman" w:hAnsi="Times New Roman" w:cs="Times New Roman"/>
          <w:sz w:val="24"/>
          <w:szCs w:val="24"/>
        </w:rPr>
        <w:t xml:space="preserve"> Sk, </w:t>
      </w:r>
      <w:r w:rsidR="00025471">
        <w:rPr>
          <w:rFonts w:ascii="Times New Roman" w:hAnsi="Times New Roman" w:cs="Times New Roman"/>
          <w:sz w:val="24"/>
          <w:szCs w:val="24"/>
        </w:rPr>
        <w:t>z nasledovných zdrojov z </w:t>
      </w:r>
      <w:r w:rsidR="000D506E">
        <w:rPr>
          <w:rFonts w:ascii="Times New Roman" w:hAnsi="Times New Roman" w:cs="Times New Roman"/>
          <w:sz w:val="24"/>
          <w:szCs w:val="24"/>
        </w:rPr>
        <w:t xml:space="preserve"> </w:t>
      </w:r>
      <w:r w:rsidR="00025471">
        <w:rPr>
          <w:rFonts w:ascii="Times New Roman" w:hAnsi="Times New Roman" w:cs="Times New Roman"/>
          <w:sz w:val="24"/>
          <w:szCs w:val="24"/>
        </w:rPr>
        <w:t>predchádzajúceho roka:</w:t>
      </w:r>
    </w:p>
    <w:p w:rsidR="00DC6377" w:rsidP="00C362EA">
      <w:pPr>
        <w:pStyle w:val="BodyText2"/>
        <w:spacing w:line="240" w:lineRule="auto"/>
        <w:ind w:firstLine="709"/>
        <w:rPr>
          <w:rFonts w:ascii="Times New Roman" w:hAnsi="Times New Roman" w:cs="Times New Roman"/>
          <w:sz w:val="24"/>
          <w:szCs w:val="24"/>
        </w:rPr>
      </w:pPr>
    </w:p>
    <w:p w:rsidR="00D76933" w:rsidP="00C362EA">
      <w:pPr>
        <w:pStyle w:val="BodyText2"/>
        <w:spacing w:line="240" w:lineRule="auto"/>
        <w:rPr>
          <w:rFonts w:ascii="Times New Roman" w:hAnsi="Times New Roman" w:cs="Times New Roman"/>
          <w:sz w:val="24"/>
          <w:szCs w:val="24"/>
        </w:rPr>
      </w:pPr>
      <w:r w:rsidR="00F317DF">
        <w:rPr>
          <w:rFonts w:ascii="Times New Roman" w:hAnsi="Times New Roman" w:cs="Times New Roman"/>
          <w:sz w:val="24"/>
          <w:szCs w:val="24"/>
        </w:rPr>
        <w:tab/>
        <w:t xml:space="preserve">a. 1351 – </w:t>
      </w:r>
      <w:r w:rsidR="000D506E">
        <w:rPr>
          <w:rFonts w:ascii="Times New Roman" w:hAnsi="Times New Roman" w:cs="Times New Roman"/>
          <w:sz w:val="24"/>
          <w:szCs w:val="24"/>
        </w:rPr>
        <w:t xml:space="preserve">prostriedky </w:t>
      </w:r>
      <w:r w:rsidR="00F317DF">
        <w:rPr>
          <w:rFonts w:ascii="Times New Roman" w:hAnsi="Times New Roman" w:cs="Times New Roman"/>
          <w:sz w:val="24"/>
          <w:szCs w:val="24"/>
        </w:rPr>
        <w:t>ERDF</w:t>
      </w:r>
      <w:r w:rsidR="00025471">
        <w:rPr>
          <w:rFonts w:ascii="Times New Roman" w:hAnsi="Times New Roman" w:cs="Times New Roman"/>
          <w:sz w:val="24"/>
          <w:szCs w:val="24"/>
        </w:rPr>
        <w:tab/>
        <w:tab/>
      </w:r>
      <w:r w:rsidR="00F317DF">
        <w:rPr>
          <w:rFonts w:ascii="Times New Roman" w:hAnsi="Times New Roman" w:cs="Times New Roman"/>
          <w:sz w:val="24"/>
          <w:szCs w:val="24"/>
        </w:rPr>
        <w:t xml:space="preserve">      </w:t>
      </w:r>
      <w:r w:rsidR="000D506E">
        <w:rPr>
          <w:rFonts w:ascii="Times New Roman" w:hAnsi="Times New Roman" w:cs="Times New Roman"/>
          <w:sz w:val="24"/>
          <w:szCs w:val="24"/>
        </w:rPr>
        <w:t xml:space="preserve">  </w:t>
      </w:r>
      <w:r w:rsidR="00F317DF">
        <w:rPr>
          <w:rFonts w:ascii="Times New Roman" w:hAnsi="Times New Roman" w:cs="Times New Roman"/>
          <w:sz w:val="24"/>
          <w:szCs w:val="24"/>
        </w:rPr>
        <w:t xml:space="preserve">        </w:t>
      </w:r>
      <w:r w:rsidR="00025471">
        <w:rPr>
          <w:rFonts w:ascii="Times New Roman" w:hAnsi="Times New Roman" w:cs="Times New Roman"/>
          <w:sz w:val="24"/>
          <w:szCs w:val="24"/>
        </w:rPr>
        <w:tab/>
      </w:r>
      <w:r w:rsidR="00F317DF">
        <w:rPr>
          <w:rFonts w:ascii="Times New Roman" w:hAnsi="Times New Roman" w:cs="Times New Roman"/>
          <w:sz w:val="24"/>
          <w:szCs w:val="24"/>
        </w:rPr>
        <w:t xml:space="preserve">        </w:t>
      </w:r>
      <w:r w:rsidR="00576048">
        <w:rPr>
          <w:rFonts w:ascii="Times New Roman" w:hAnsi="Times New Roman" w:cs="Times New Roman"/>
          <w:sz w:val="24"/>
          <w:szCs w:val="24"/>
        </w:rPr>
        <w:t xml:space="preserve">           </w:t>
      </w:r>
      <w:r w:rsidR="00176226">
        <w:rPr>
          <w:rFonts w:ascii="Times New Roman" w:hAnsi="Times New Roman" w:cs="Times New Roman"/>
          <w:sz w:val="24"/>
          <w:szCs w:val="24"/>
        </w:rPr>
        <w:t>+ 3 3</w:t>
      </w:r>
      <w:r w:rsidR="00176226">
        <w:rPr>
          <w:rFonts w:ascii="Times New Roman" w:hAnsi="Times New Roman" w:cs="Times New Roman"/>
          <w:sz w:val="24"/>
          <w:szCs w:val="24"/>
        </w:rPr>
        <w:t>63 871 286,04</w:t>
      </w:r>
      <w:r w:rsidR="00025471">
        <w:rPr>
          <w:rFonts w:ascii="Times New Roman" w:hAnsi="Times New Roman" w:cs="Times New Roman"/>
          <w:sz w:val="24"/>
          <w:szCs w:val="24"/>
        </w:rPr>
        <w:t xml:space="preserve"> Sk</w:t>
      </w:r>
    </w:p>
    <w:p w:rsidR="00D76933" w:rsidP="00C362EA">
      <w:pPr>
        <w:pStyle w:val="BodyText2"/>
        <w:spacing w:line="240" w:lineRule="auto"/>
        <w:rPr>
          <w:rFonts w:ascii="Times New Roman" w:hAnsi="Times New Roman" w:cs="Times New Roman"/>
          <w:sz w:val="24"/>
          <w:szCs w:val="24"/>
        </w:rPr>
      </w:pPr>
      <w:r w:rsidR="00025471">
        <w:rPr>
          <w:rFonts w:ascii="Times New Roman" w:hAnsi="Times New Roman" w:cs="Times New Roman"/>
          <w:sz w:val="24"/>
          <w:szCs w:val="24"/>
        </w:rPr>
        <w:tab/>
        <w:t>b. 1352</w:t>
      </w:r>
      <w:r w:rsidR="00F317DF">
        <w:rPr>
          <w:rFonts w:ascii="Times New Roman" w:hAnsi="Times New Roman" w:cs="Times New Roman"/>
          <w:sz w:val="24"/>
          <w:szCs w:val="24"/>
        </w:rPr>
        <w:t xml:space="preserve"> – spolufinancovanie k ERDF</w:t>
      </w:r>
      <w:r w:rsidR="00025471">
        <w:rPr>
          <w:rFonts w:ascii="Times New Roman" w:hAnsi="Times New Roman" w:cs="Times New Roman"/>
          <w:sz w:val="24"/>
          <w:szCs w:val="24"/>
        </w:rPr>
        <w:tab/>
        <w:tab/>
        <w:tab/>
      </w:r>
      <w:r w:rsidR="00576048">
        <w:rPr>
          <w:rFonts w:ascii="Times New Roman" w:hAnsi="Times New Roman" w:cs="Times New Roman"/>
          <w:sz w:val="24"/>
          <w:szCs w:val="24"/>
        </w:rPr>
        <w:t xml:space="preserve">        </w:t>
      </w:r>
      <w:r w:rsidR="00176226">
        <w:rPr>
          <w:rFonts w:ascii="Times New Roman" w:hAnsi="Times New Roman" w:cs="Times New Roman"/>
          <w:sz w:val="24"/>
          <w:szCs w:val="24"/>
        </w:rPr>
        <w:t>+    800</w:t>
      </w:r>
      <w:r w:rsidR="00025471">
        <w:rPr>
          <w:rFonts w:ascii="Times New Roman" w:hAnsi="Times New Roman" w:cs="Times New Roman"/>
          <w:sz w:val="24"/>
          <w:szCs w:val="24"/>
        </w:rPr>
        <w:t> </w:t>
      </w:r>
      <w:r w:rsidR="00176226">
        <w:rPr>
          <w:rFonts w:ascii="Times New Roman" w:hAnsi="Times New Roman" w:cs="Times New Roman"/>
          <w:sz w:val="24"/>
          <w:szCs w:val="24"/>
        </w:rPr>
        <w:t>656 212,4</w:t>
      </w:r>
      <w:r w:rsidR="00025471">
        <w:rPr>
          <w:rFonts w:ascii="Times New Roman" w:hAnsi="Times New Roman" w:cs="Times New Roman"/>
          <w:sz w:val="24"/>
          <w:szCs w:val="24"/>
        </w:rPr>
        <w:t>5 Sk</w:t>
      </w:r>
    </w:p>
    <w:p w:rsidR="00D76933" w:rsidP="00C362EA">
      <w:pPr>
        <w:pStyle w:val="BodyText2"/>
        <w:spacing w:line="240" w:lineRule="auto"/>
        <w:rPr>
          <w:rFonts w:ascii="Times New Roman" w:hAnsi="Times New Roman" w:cs="Times New Roman"/>
          <w:sz w:val="24"/>
          <w:szCs w:val="24"/>
        </w:rPr>
      </w:pPr>
      <w:r w:rsidR="00F317DF">
        <w:rPr>
          <w:rFonts w:ascii="Times New Roman" w:hAnsi="Times New Roman" w:cs="Times New Roman"/>
          <w:sz w:val="24"/>
          <w:szCs w:val="24"/>
        </w:rPr>
        <w:tab/>
        <w:t xml:space="preserve">c. 1391 – prostriedky KF                                                              </w:t>
      </w:r>
      <w:r w:rsidR="00176226">
        <w:rPr>
          <w:rFonts w:ascii="Times New Roman" w:hAnsi="Times New Roman" w:cs="Times New Roman"/>
          <w:sz w:val="24"/>
          <w:szCs w:val="24"/>
        </w:rPr>
        <w:t>+ 4 207 199 654,45</w:t>
      </w:r>
      <w:r w:rsidR="00025471">
        <w:rPr>
          <w:rFonts w:ascii="Times New Roman" w:hAnsi="Times New Roman" w:cs="Times New Roman"/>
          <w:sz w:val="24"/>
          <w:szCs w:val="24"/>
        </w:rPr>
        <w:t xml:space="preserve"> Sk</w:t>
      </w:r>
    </w:p>
    <w:p w:rsidR="00D76933" w:rsidP="00C362EA">
      <w:pPr>
        <w:pStyle w:val="BodyText2"/>
        <w:spacing w:line="240" w:lineRule="auto"/>
        <w:rPr>
          <w:rFonts w:ascii="Times New Roman" w:hAnsi="Times New Roman" w:cs="Times New Roman"/>
          <w:sz w:val="24"/>
          <w:szCs w:val="24"/>
        </w:rPr>
      </w:pPr>
      <w:r w:rsidR="00F317DF">
        <w:rPr>
          <w:rFonts w:ascii="Times New Roman" w:hAnsi="Times New Roman" w:cs="Times New Roman"/>
          <w:sz w:val="24"/>
          <w:szCs w:val="24"/>
        </w:rPr>
        <w:tab/>
        <w:t xml:space="preserve">d. 1392 – spolufinancovanie ku KF                                              </w:t>
      </w:r>
      <w:r w:rsidR="00176226">
        <w:rPr>
          <w:rFonts w:ascii="Times New Roman" w:hAnsi="Times New Roman" w:cs="Times New Roman"/>
          <w:sz w:val="24"/>
          <w:szCs w:val="24"/>
        </w:rPr>
        <w:t>+    472 299 527,26</w:t>
      </w:r>
      <w:r w:rsidR="00025471">
        <w:rPr>
          <w:rFonts w:ascii="Times New Roman" w:hAnsi="Times New Roman" w:cs="Times New Roman"/>
          <w:sz w:val="24"/>
          <w:szCs w:val="24"/>
        </w:rPr>
        <w:t xml:space="preserve"> Sk</w:t>
      </w:r>
    </w:p>
    <w:p w:rsidR="00025471" w:rsidP="00C362EA">
      <w:pPr>
        <w:pStyle w:val="BodyText2"/>
        <w:spacing w:line="240" w:lineRule="auto"/>
        <w:rPr>
          <w:rFonts w:ascii="Times New Roman" w:hAnsi="Times New Roman" w:cs="Times New Roman"/>
          <w:sz w:val="24"/>
          <w:szCs w:val="24"/>
        </w:rPr>
      </w:pPr>
      <w:r w:rsidR="00176226">
        <w:rPr>
          <w:rFonts w:ascii="Times New Roman" w:hAnsi="Times New Roman" w:cs="Times New Roman"/>
          <w:sz w:val="24"/>
          <w:szCs w:val="24"/>
        </w:rPr>
        <w:tab/>
        <w:t>e. 13C5 – úver</w:t>
      </w:r>
      <w:r w:rsidR="006B2B32">
        <w:rPr>
          <w:rFonts w:ascii="Times New Roman" w:hAnsi="Times New Roman" w:cs="Times New Roman"/>
          <w:sz w:val="24"/>
          <w:szCs w:val="24"/>
        </w:rPr>
        <w:t xml:space="preserve"> EIB – spolufinancovanie ku KF       </w:t>
      </w:r>
      <w:r w:rsidR="00F317DF">
        <w:rPr>
          <w:rFonts w:ascii="Times New Roman" w:hAnsi="Times New Roman" w:cs="Times New Roman"/>
          <w:sz w:val="24"/>
          <w:szCs w:val="24"/>
        </w:rPr>
        <w:t xml:space="preserve">              </w:t>
      </w:r>
      <w:r w:rsidR="00176226">
        <w:rPr>
          <w:rFonts w:ascii="Times New Roman" w:hAnsi="Times New Roman" w:cs="Times New Roman"/>
          <w:sz w:val="24"/>
          <w:szCs w:val="24"/>
        </w:rPr>
        <w:t xml:space="preserve">      +    625 1</w:t>
      </w:r>
      <w:r>
        <w:rPr>
          <w:rFonts w:ascii="Times New Roman" w:hAnsi="Times New Roman" w:cs="Times New Roman"/>
          <w:sz w:val="24"/>
          <w:szCs w:val="24"/>
        </w:rPr>
        <w:t>83 000,00 Sk</w:t>
      </w:r>
    </w:p>
    <w:p w:rsidR="00F317DF" w:rsidP="00C362EA">
      <w:pPr>
        <w:pStyle w:val="BodyText2"/>
        <w:spacing w:line="240" w:lineRule="auto"/>
        <w:rPr>
          <w:rFonts w:ascii="Times New Roman" w:hAnsi="Times New Roman" w:cs="Times New Roman"/>
          <w:sz w:val="24"/>
          <w:szCs w:val="24"/>
        </w:rPr>
      </w:pPr>
    </w:p>
    <w:p w:rsidR="00025471" w:rsidP="00C362EA">
      <w:pPr>
        <w:pStyle w:val="BodyText2"/>
        <w:spacing w:line="240" w:lineRule="auto"/>
        <w:ind w:firstLine="709"/>
        <w:rPr>
          <w:rFonts w:ascii="Times New Roman" w:hAnsi="Times New Roman" w:cs="Times New Roman"/>
          <w:sz w:val="24"/>
          <w:szCs w:val="24"/>
        </w:rPr>
      </w:pPr>
      <w:r w:rsidR="00176226">
        <w:rPr>
          <w:rFonts w:ascii="Times New Roman" w:hAnsi="Times New Roman" w:cs="Times New Roman"/>
          <w:sz w:val="24"/>
          <w:szCs w:val="24"/>
        </w:rPr>
        <w:t>Predmetné</w:t>
      </w:r>
      <w:r w:rsidR="00176226">
        <w:rPr>
          <w:rFonts w:ascii="Times New Roman" w:hAnsi="Times New Roman" w:cs="Times New Roman"/>
          <w:sz w:val="24"/>
          <w:szCs w:val="24"/>
        </w:rPr>
        <w:t xml:space="preserve"> rozpočtové prostriedky z rokov 2005 a 2006 sa v roku 2007 mali použiť na ten istý účel, na ktorý boli rozpočtované v rokoch 2005 a 2006 v rámci účelových prostriedkov a v rámci programov</w:t>
      </w:r>
      <w:r w:rsidR="000D506E">
        <w:rPr>
          <w:rFonts w:ascii="Times New Roman" w:hAnsi="Times New Roman" w:cs="Times New Roman"/>
          <w:sz w:val="24"/>
          <w:szCs w:val="24"/>
        </w:rPr>
        <w:t xml:space="preserve">, a to: </w:t>
      </w:r>
    </w:p>
    <w:p w:rsidR="00025471" w:rsidP="00C362EA">
      <w:pPr>
        <w:pStyle w:val="BodyText2"/>
        <w:spacing w:line="240" w:lineRule="auto"/>
        <w:rPr>
          <w:rFonts w:ascii="Times New Roman" w:hAnsi="Times New Roman" w:cs="Times New Roman"/>
          <w:sz w:val="24"/>
          <w:szCs w:val="24"/>
        </w:rPr>
      </w:pPr>
    </w:p>
    <w:p w:rsidR="009D4096" w:rsidP="00BC6093">
      <w:pPr>
        <w:pStyle w:val="BodyText2"/>
        <w:spacing w:line="240" w:lineRule="auto"/>
        <w:rPr>
          <w:rFonts w:ascii="Times New Roman" w:hAnsi="Times New Roman" w:cs="Times New Roman"/>
          <w:sz w:val="24"/>
          <w:szCs w:val="24"/>
        </w:rPr>
      </w:pPr>
      <w:r w:rsidR="00BC6093">
        <w:rPr>
          <w:rFonts w:ascii="Times New Roman" w:hAnsi="Times New Roman" w:cs="Times New Roman"/>
          <w:sz w:val="24"/>
          <w:szCs w:val="24"/>
        </w:rPr>
        <w:t>Ú</w:t>
      </w:r>
      <w:r w:rsidR="00025471">
        <w:rPr>
          <w:rFonts w:ascii="Times New Roman" w:hAnsi="Times New Roman" w:cs="Times New Roman"/>
          <w:sz w:val="24"/>
          <w:szCs w:val="24"/>
        </w:rPr>
        <w:t xml:space="preserve">čelové prostriedky (kód zdroja 13) </w:t>
      </w:r>
      <w:r w:rsidR="000D506E">
        <w:rPr>
          <w:rFonts w:ascii="Times New Roman" w:hAnsi="Times New Roman" w:cs="Times New Roman"/>
          <w:sz w:val="24"/>
          <w:szCs w:val="24"/>
        </w:rPr>
        <w:t xml:space="preserve">                       </w:t>
      </w:r>
      <w:r w:rsidR="000D506E">
        <w:rPr>
          <w:rFonts w:ascii="Times New Roman" w:hAnsi="Times New Roman" w:cs="Times New Roman"/>
          <w:sz w:val="24"/>
          <w:szCs w:val="24"/>
        </w:rPr>
        <w:t xml:space="preserve">                         </w:t>
      </w:r>
      <w:r w:rsidR="00BC6093">
        <w:rPr>
          <w:rFonts w:ascii="Times New Roman" w:hAnsi="Times New Roman" w:cs="Times New Roman"/>
          <w:sz w:val="24"/>
          <w:szCs w:val="24"/>
        </w:rPr>
        <w:t xml:space="preserve">  </w:t>
      </w:r>
      <w:r w:rsidR="000D506E">
        <w:rPr>
          <w:rFonts w:ascii="Times New Roman" w:hAnsi="Times New Roman" w:cs="Times New Roman"/>
          <w:sz w:val="24"/>
          <w:szCs w:val="24"/>
        </w:rPr>
        <w:t xml:space="preserve">     </w:t>
      </w:r>
      <w:r w:rsidR="009D61C6">
        <w:rPr>
          <w:rFonts w:ascii="Times New Roman" w:hAnsi="Times New Roman" w:cs="Times New Roman"/>
          <w:sz w:val="24"/>
          <w:szCs w:val="24"/>
        </w:rPr>
        <w:t>+</w:t>
      </w:r>
      <w:r w:rsidR="00BC6093">
        <w:rPr>
          <w:rFonts w:ascii="Times New Roman" w:hAnsi="Times New Roman" w:cs="Times New Roman"/>
          <w:sz w:val="24"/>
          <w:szCs w:val="24"/>
        </w:rPr>
        <w:t xml:space="preserve"> </w:t>
      </w:r>
      <w:r w:rsidR="00576048">
        <w:rPr>
          <w:rFonts w:ascii="Times New Roman" w:hAnsi="Times New Roman" w:cs="Times New Roman"/>
          <w:sz w:val="24"/>
          <w:szCs w:val="24"/>
        </w:rPr>
        <w:t>6</w:t>
      </w:r>
      <w:r w:rsidR="00BC6093">
        <w:rPr>
          <w:rFonts w:ascii="Times New Roman" w:hAnsi="Times New Roman" w:cs="Times New Roman"/>
          <w:sz w:val="24"/>
          <w:szCs w:val="24"/>
        </w:rPr>
        <w:t> 689 516 969,36</w:t>
      </w:r>
      <w:r w:rsidR="000D506E">
        <w:rPr>
          <w:rFonts w:ascii="Times New Roman" w:hAnsi="Times New Roman" w:cs="Times New Roman"/>
          <w:sz w:val="24"/>
          <w:szCs w:val="24"/>
        </w:rPr>
        <w:t xml:space="preserve"> Sk</w:t>
      </w:r>
    </w:p>
    <w:p w:rsidR="009D4096" w:rsidP="00BC6093">
      <w:pPr>
        <w:pStyle w:val="BodyText2"/>
        <w:spacing w:line="240" w:lineRule="auto"/>
        <w:rPr>
          <w:rFonts w:ascii="Times New Roman" w:hAnsi="Times New Roman" w:cs="Times New Roman"/>
          <w:sz w:val="24"/>
          <w:szCs w:val="24"/>
        </w:rPr>
      </w:pPr>
      <w:r w:rsidR="00BC6093">
        <w:rPr>
          <w:rFonts w:ascii="Times New Roman" w:hAnsi="Times New Roman" w:cs="Times New Roman"/>
          <w:sz w:val="24"/>
          <w:szCs w:val="24"/>
        </w:rPr>
        <w:t xml:space="preserve">z toho: </w:t>
      </w:r>
    </w:p>
    <w:p w:rsidR="00D76933" w:rsidP="00BC6093">
      <w:pPr>
        <w:pStyle w:val="BodyText2"/>
        <w:spacing w:line="240" w:lineRule="auto"/>
        <w:rPr>
          <w:rFonts w:ascii="Times New Roman" w:hAnsi="Times New Roman" w:cs="Times New Roman"/>
          <w:sz w:val="24"/>
          <w:szCs w:val="24"/>
        </w:rPr>
      </w:pPr>
      <w:r w:rsidR="00BC6093">
        <w:rPr>
          <w:rFonts w:ascii="Times New Roman" w:hAnsi="Times New Roman" w:cs="Times New Roman"/>
          <w:sz w:val="24"/>
          <w:szCs w:val="24"/>
        </w:rPr>
        <w:t xml:space="preserve">05303 </w:t>
        <w:tab/>
        <w:t xml:space="preserve">Výstavba diaľnic a rýchlostných ciest NDS </w:t>
      </w:r>
      <w:r w:rsidR="00576048">
        <w:rPr>
          <w:rFonts w:ascii="Times New Roman" w:hAnsi="Times New Roman" w:cs="Times New Roman"/>
          <w:sz w:val="24"/>
          <w:szCs w:val="24"/>
        </w:rPr>
        <w:t>(</w:t>
      </w:r>
      <w:r w:rsidR="00BC6093">
        <w:rPr>
          <w:rFonts w:ascii="Times New Roman" w:hAnsi="Times New Roman" w:cs="Times New Roman"/>
          <w:sz w:val="24"/>
          <w:szCs w:val="24"/>
        </w:rPr>
        <w:t>kód zdroja 13</w:t>
      </w:r>
      <w:r w:rsidR="00576048">
        <w:rPr>
          <w:rFonts w:ascii="Times New Roman" w:hAnsi="Times New Roman" w:cs="Times New Roman"/>
          <w:sz w:val="24"/>
          <w:szCs w:val="24"/>
        </w:rPr>
        <w:t>)</w:t>
      </w:r>
      <w:r w:rsidR="00BC6093">
        <w:rPr>
          <w:rFonts w:ascii="Times New Roman" w:hAnsi="Times New Roman" w:cs="Times New Roman"/>
          <w:sz w:val="24"/>
          <w:szCs w:val="24"/>
        </w:rPr>
        <w:t xml:space="preserve">      </w:t>
      </w:r>
      <w:r w:rsidR="00576048">
        <w:rPr>
          <w:rFonts w:ascii="Times New Roman" w:hAnsi="Times New Roman" w:cs="Times New Roman"/>
          <w:sz w:val="24"/>
          <w:szCs w:val="24"/>
        </w:rPr>
        <w:t xml:space="preserve"> </w:t>
      </w:r>
      <w:r w:rsidR="00BC6093">
        <w:rPr>
          <w:rFonts w:ascii="Times New Roman" w:hAnsi="Times New Roman" w:cs="Times New Roman"/>
          <w:sz w:val="24"/>
          <w:szCs w:val="24"/>
        </w:rPr>
        <w:t>+ 6 689 516 969,45</w:t>
      </w:r>
      <w:r w:rsidR="00576048">
        <w:rPr>
          <w:rFonts w:ascii="Times New Roman" w:hAnsi="Times New Roman" w:cs="Times New Roman"/>
          <w:sz w:val="24"/>
          <w:szCs w:val="24"/>
        </w:rPr>
        <w:t xml:space="preserve"> Sk</w:t>
      </w:r>
      <w:r w:rsidR="00BC6093">
        <w:rPr>
          <w:rFonts w:ascii="Times New Roman" w:hAnsi="Times New Roman" w:cs="Times New Roman"/>
          <w:sz w:val="24"/>
          <w:szCs w:val="24"/>
        </w:rPr>
        <w:t xml:space="preserve"> </w:t>
      </w:r>
    </w:p>
    <w:p w:rsidR="00BC6093" w:rsidP="00BC6093">
      <w:pPr>
        <w:pStyle w:val="BodyText2"/>
        <w:spacing w:line="240" w:lineRule="auto"/>
        <w:rPr>
          <w:rFonts w:ascii="Times New Roman" w:hAnsi="Times New Roman" w:cs="Times New Roman"/>
          <w:sz w:val="24"/>
          <w:szCs w:val="24"/>
        </w:rPr>
      </w:pPr>
      <w:r>
        <w:rPr>
          <w:rFonts w:ascii="Times New Roman" w:hAnsi="Times New Roman" w:cs="Times New Roman"/>
          <w:sz w:val="24"/>
          <w:szCs w:val="24"/>
        </w:rPr>
        <w:t>0530306 Modernizácia a rozvoj cestnej infraštruktúry –</w:t>
      </w:r>
      <w:r w:rsidR="00576048">
        <w:rPr>
          <w:rFonts w:ascii="Times New Roman" w:hAnsi="Times New Roman" w:cs="Times New Roman"/>
          <w:sz w:val="24"/>
          <w:szCs w:val="24"/>
        </w:rPr>
        <w:t xml:space="preserve"> </w:t>
      </w:r>
      <w:r>
        <w:rPr>
          <w:rFonts w:ascii="Times New Roman" w:hAnsi="Times New Roman" w:cs="Times New Roman"/>
          <w:sz w:val="24"/>
          <w:szCs w:val="24"/>
        </w:rPr>
        <w:t>o</w:t>
      </w:r>
      <w:r w:rsidR="00576048">
        <w:rPr>
          <w:rFonts w:ascii="Times New Roman" w:hAnsi="Times New Roman" w:cs="Times New Roman"/>
          <w:sz w:val="24"/>
          <w:szCs w:val="24"/>
        </w:rPr>
        <w:t>patrenie</w:t>
      </w:r>
    </w:p>
    <w:p w:rsidR="00D76933" w:rsidP="00BC6093">
      <w:pPr>
        <w:pStyle w:val="BodyText2"/>
        <w:spacing w:line="240" w:lineRule="auto"/>
        <w:rPr>
          <w:rFonts w:ascii="Times New Roman" w:hAnsi="Times New Roman" w:cs="Times New Roman"/>
          <w:sz w:val="24"/>
          <w:szCs w:val="24"/>
        </w:rPr>
      </w:pPr>
      <w:r w:rsidR="00576048">
        <w:rPr>
          <w:rFonts w:ascii="Times New Roman" w:hAnsi="Times New Roman" w:cs="Times New Roman"/>
          <w:sz w:val="24"/>
          <w:szCs w:val="24"/>
        </w:rPr>
        <w:t xml:space="preserve">               1.</w:t>
      </w:r>
      <w:r w:rsidR="00BC6093">
        <w:rPr>
          <w:rFonts w:ascii="Times New Roman" w:hAnsi="Times New Roman" w:cs="Times New Roman"/>
          <w:sz w:val="24"/>
          <w:szCs w:val="24"/>
        </w:rPr>
        <w:t>2</w:t>
      </w:r>
      <w:r w:rsidR="00576048">
        <w:rPr>
          <w:rFonts w:ascii="Times New Roman" w:hAnsi="Times New Roman" w:cs="Times New Roman"/>
          <w:sz w:val="24"/>
          <w:szCs w:val="24"/>
        </w:rPr>
        <w:t>.</w:t>
      </w:r>
      <w:r w:rsidR="00BC6093">
        <w:rPr>
          <w:rFonts w:ascii="Times New Roman" w:hAnsi="Times New Roman" w:cs="Times New Roman"/>
          <w:sz w:val="24"/>
          <w:szCs w:val="24"/>
        </w:rPr>
        <w:t xml:space="preserve"> OP ZI </w:t>
      </w:r>
      <w:r w:rsidR="00576048">
        <w:rPr>
          <w:rFonts w:ascii="Times New Roman" w:hAnsi="Times New Roman" w:cs="Times New Roman"/>
          <w:sz w:val="24"/>
          <w:szCs w:val="24"/>
        </w:rPr>
        <w:t>(</w:t>
      </w:r>
      <w:r w:rsidR="00BC6093">
        <w:rPr>
          <w:rFonts w:ascii="Times New Roman" w:hAnsi="Times New Roman" w:cs="Times New Roman"/>
          <w:sz w:val="24"/>
          <w:szCs w:val="24"/>
        </w:rPr>
        <w:t>kód zdr</w:t>
      </w:r>
      <w:r w:rsidR="00BC6093">
        <w:rPr>
          <w:rFonts w:ascii="Times New Roman" w:hAnsi="Times New Roman" w:cs="Times New Roman"/>
          <w:sz w:val="24"/>
          <w:szCs w:val="24"/>
        </w:rPr>
        <w:t>oja 13</w:t>
      </w:r>
      <w:r w:rsidR="00576048">
        <w:rPr>
          <w:rFonts w:ascii="Times New Roman" w:hAnsi="Times New Roman" w:cs="Times New Roman"/>
          <w:sz w:val="24"/>
          <w:szCs w:val="24"/>
        </w:rPr>
        <w:t>)</w:t>
      </w:r>
      <w:r w:rsidR="00BC6093">
        <w:rPr>
          <w:rFonts w:ascii="Times New Roman" w:hAnsi="Times New Roman" w:cs="Times New Roman"/>
          <w:sz w:val="24"/>
          <w:szCs w:val="24"/>
        </w:rPr>
        <w:tab/>
        <w:tab/>
        <w:tab/>
        <w:tab/>
        <w:tab/>
        <w:t xml:space="preserve">      + </w:t>
      </w:r>
      <w:r w:rsidR="00576048">
        <w:rPr>
          <w:rFonts w:ascii="Times New Roman" w:hAnsi="Times New Roman" w:cs="Times New Roman"/>
          <w:sz w:val="24"/>
          <w:szCs w:val="24"/>
        </w:rPr>
        <w:t xml:space="preserve">  </w:t>
      </w:r>
      <w:r w:rsidR="00BC6093">
        <w:rPr>
          <w:rFonts w:ascii="Times New Roman" w:hAnsi="Times New Roman" w:cs="Times New Roman"/>
          <w:sz w:val="24"/>
          <w:szCs w:val="24"/>
        </w:rPr>
        <w:t>3 308 408 319,45</w:t>
      </w:r>
      <w:r w:rsidR="00576048">
        <w:rPr>
          <w:rFonts w:ascii="Times New Roman" w:hAnsi="Times New Roman" w:cs="Times New Roman"/>
          <w:sz w:val="24"/>
          <w:szCs w:val="24"/>
        </w:rPr>
        <w:t xml:space="preserve"> Sk</w:t>
      </w:r>
    </w:p>
    <w:p w:rsidR="00BC6093" w:rsidP="00BC6093">
      <w:pPr>
        <w:pStyle w:val="BodyText2"/>
        <w:spacing w:line="240" w:lineRule="auto"/>
        <w:rPr>
          <w:rFonts w:ascii="Times New Roman" w:hAnsi="Times New Roman" w:cs="Times New Roman"/>
          <w:sz w:val="24"/>
          <w:szCs w:val="24"/>
        </w:rPr>
      </w:pPr>
      <w:r>
        <w:rPr>
          <w:rFonts w:ascii="Times New Roman" w:hAnsi="Times New Roman" w:cs="Times New Roman"/>
          <w:sz w:val="24"/>
          <w:szCs w:val="24"/>
        </w:rPr>
        <w:tab/>
        <w:t xml:space="preserve">    v tom : kód zdroja 1351 ekonomická klasifikácia 710</w:t>
        <w:tab/>
        <w:t xml:space="preserve">      +   </w:t>
      </w:r>
      <w:r w:rsidR="00576048">
        <w:rPr>
          <w:rFonts w:ascii="Times New Roman" w:hAnsi="Times New Roman" w:cs="Times New Roman"/>
          <w:sz w:val="24"/>
          <w:szCs w:val="24"/>
        </w:rPr>
        <w:t xml:space="preserve">  </w:t>
      </w:r>
      <w:r>
        <w:rPr>
          <w:rFonts w:ascii="Times New Roman" w:hAnsi="Times New Roman" w:cs="Times New Roman"/>
          <w:sz w:val="24"/>
          <w:szCs w:val="24"/>
        </w:rPr>
        <w:t xml:space="preserve"> 765 797 258,06</w:t>
      </w:r>
      <w:r w:rsidR="00576048">
        <w:rPr>
          <w:rFonts w:ascii="Times New Roman" w:hAnsi="Times New Roman" w:cs="Times New Roman"/>
          <w:sz w:val="24"/>
          <w:szCs w:val="24"/>
        </w:rPr>
        <w:t xml:space="preserve"> Sk</w:t>
      </w:r>
    </w:p>
    <w:p w:rsidR="00BC6093" w:rsidP="00BC6093">
      <w:pPr>
        <w:pStyle w:val="BodyText2"/>
        <w:spacing w:line="240" w:lineRule="auto"/>
        <w:rPr>
          <w:rFonts w:ascii="Times New Roman" w:hAnsi="Times New Roman" w:cs="Times New Roman"/>
          <w:sz w:val="24"/>
          <w:szCs w:val="24"/>
        </w:rPr>
      </w:pPr>
      <w:r>
        <w:rPr>
          <w:rFonts w:ascii="Times New Roman" w:hAnsi="Times New Roman" w:cs="Times New Roman"/>
          <w:sz w:val="24"/>
          <w:szCs w:val="24"/>
        </w:rPr>
        <w:tab/>
        <w:tab/>
        <w:t xml:space="preserve">    kód zdroja 1351 ekonomická klasifikácia 72300 </w:t>
      </w:r>
      <w:r w:rsidR="00576048">
        <w:rPr>
          <w:rFonts w:ascii="Times New Roman" w:hAnsi="Times New Roman" w:cs="Times New Roman"/>
          <w:sz w:val="24"/>
          <w:szCs w:val="24"/>
        </w:rPr>
        <w:t xml:space="preserve">  </w:t>
      </w:r>
      <w:r>
        <w:rPr>
          <w:rFonts w:ascii="Times New Roman" w:hAnsi="Times New Roman" w:cs="Times New Roman"/>
          <w:sz w:val="24"/>
          <w:szCs w:val="24"/>
        </w:rPr>
        <w:t xml:space="preserve"> </w:t>
      </w:r>
      <w:r w:rsidR="00576048">
        <w:rPr>
          <w:rFonts w:ascii="Times New Roman" w:hAnsi="Times New Roman" w:cs="Times New Roman"/>
          <w:sz w:val="24"/>
          <w:szCs w:val="24"/>
        </w:rPr>
        <w:t xml:space="preserve"> </w:t>
      </w:r>
      <w:r>
        <w:rPr>
          <w:rFonts w:ascii="Times New Roman" w:hAnsi="Times New Roman" w:cs="Times New Roman"/>
          <w:sz w:val="24"/>
          <w:szCs w:val="24"/>
        </w:rPr>
        <w:t xml:space="preserve">+ </w:t>
      </w:r>
      <w:r w:rsidR="00576048">
        <w:rPr>
          <w:rFonts w:ascii="Times New Roman" w:hAnsi="Times New Roman" w:cs="Times New Roman"/>
          <w:sz w:val="24"/>
          <w:szCs w:val="24"/>
        </w:rPr>
        <w:t xml:space="preserve">  </w:t>
      </w:r>
      <w:r>
        <w:rPr>
          <w:rFonts w:ascii="Times New Roman" w:hAnsi="Times New Roman" w:cs="Times New Roman"/>
          <w:sz w:val="24"/>
          <w:szCs w:val="24"/>
        </w:rPr>
        <w:t>1 992 038 874,71</w:t>
      </w:r>
      <w:r w:rsidR="00576048">
        <w:rPr>
          <w:rFonts w:ascii="Times New Roman" w:hAnsi="Times New Roman" w:cs="Times New Roman"/>
          <w:sz w:val="24"/>
          <w:szCs w:val="24"/>
        </w:rPr>
        <w:t xml:space="preserve"> Sk</w:t>
      </w:r>
      <w:r>
        <w:rPr>
          <w:rFonts w:ascii="Times New Roman" w:hAnsi="Times New Roman" w:cs="Times New Roman"/>
          <w:sz w:val="24"/>
          <w:szCs w:val="24"/>
        </w:rPr>
        <w:t xml:space="preserve">                </w:t>
        <w:tab/>
        <w:tab/>
        <w:t xml:space="preserve">    k</w:t>
      </w:r>
      <w:r w:rsidR="00576048">
        <w:rPr>
          <w:rFonts w:ascii="Times New Roman" w:hAnsi="Times New Roman" w:cs="Times New Roman"/>
          <w:sz w:val="24"/>
          <w:szCs w:val="24"/>
        </w:rPr>
        <w:t>ód zdroja 1352</w:t>
      </w:r>
      <w:r>
        <w:rPr>
          <w:rFonts w:ascii="Times New Roman" w:hAnsi="Times New Roman" w:cs="Times New Roman"/>
          <w:sz w:val="24"/>
          <w:szCs w:val="24"/>
        </w:rPr>
        <w:t xml:space="preserve"> ekonomická klasifikácia 710</w:t>
        <w:tab/>
      </w:r>
      <w:r w:rsidR="00576048">
        <w:rPr>
          <w:rFonts w:ascii="Times New Roman" w:hAnsi="Times New Roman" w:cs="Times New Roman"/>
          <w:sz w:val="24"/>
          <w:szCs w:val="24"/>
        </w:rPr>
        <w:t xml:space="preserve">      +       81 932 752,68 Sk</w:t>
      </w:r>
      <w:r>
        <w:rPr>
          <w:rFonts w:ascii="Times New Roman" w:hAnsi="Times New Roman" w:cs="Times New Roman"/>
          <w:sz w:val="24"/>
          <w:szCs w:val="24"/>
        </w:rPr>
        <w:tab/>
        <w:tab/>
      </w:r>
      <w:r w:rsidR="00576048">
        <w:rPr>
          <w:rFonts w:ascii="Times New Roman" w:hAnsi="Times New Roman" w:cs="Times New Roman"/>
          <w:sz w:val="24"/>
          <w:szCs w:val="24"/>
        </w:rPr>
        <w:t xml:space="preserve">    kód zdroja 1352 ekonomická klasifikácia 72300        +      468 639 434,00 Sk</w:t>
      </w:r>
    </w:p>
    <w:p w:rsidR="00BC6093" w:rsidP="00C362EA">
      <w:pPr>
        <w:pStyle w:val="BodyText2"/>
        <w:spacing w:line="240" w:lineRule="auto"/>
        <w:rPr>
          <w:rFonts w:ascii="Times New Roman" w:hAnsi="Times New Roman" w:cs="Times New Roman"/>
          <w:sz w:val="24"/>
          <w:szCs w:val="24"/>
        </w:rPr>
      </w:pPr>
      <w:r w:rsidR="00576048">
        <w:rPr>
          <w:rFonts w:ascii="Times New Roman" w:hAnsi="Times New Roman" w:cs="Times New Roman"/>
          <w:sz w:val="24"/>
          <w:szCs w:val="24"/>
        </w:rPr>
        <w:tab/>
        <w:tab/>
      </w:r>
    </w:p>
    <w:p w:rsidR="009D4096" w:rsidP="00C362EA">
      <w:pPr>
        <w:pStyle w:val="BodyText2"/>
        <w:spacing w:line="240" w:lineRule="auto"/>
        <w:rPr>
          <w:rFonts w:ascii="Times New Roman" w:hAnsi="Times New Roman" w:cs="Times New Roman"/>
          <w:sz w:val="24"/>
          <w:szCs w:val="24"/>
        </w:rPr>
      </w:pPr>
      <w:r w:rsidR="00BC6093">
        <w:rPr>
          <w:rFonts w:ascii="Times New Roman" w:hAnsi="Times New Roman" w:cs="Times New Roman"/>
          <w:sz w:val="24"/>
          <w:szCs w:val="24"/>
        </w:rPr>
        <w:t xml:space="preserve">Rozpočet kapitoly podľa programov (kód zdroja 13)                              + 9 469 209 680,20 Sk </w:t>
      </w:r>
    </w:p>
    <w:p w:rsidR="009D61C6" w:rsidP="00C362EA">
      <w:pPr>
        <w:pStyle w:val="BodyText2"/>
        <w:spacing w:line="240" w:lineRule="auto"/>
        <w:rPr>
          <w:rFonts w:ascii="Times New Roman" w:hAnsi="Times New Roman" w:cs="Times New Roman"/>
          <w:sz w:val="24"/>
          <w:szCs w:val="24"/>
        </w:rPr>
      </w:pPr>
      <w:r>
        <w:rPr>
          <w:rFonts w:ascii="Times New Roman" w:hAnsi="Times New Roman" w:cs="Times New Roman"/>
          <w:sz w:val="24"/>
          <w:szCs w:val="24"/>
        </w:rPr>
        <w:t>053 Cestn</w:t>
      </w:r>
      <w:r w:rsidR="000D506E">
        <w:rPr>
          <w:rFonts w:ascii="Times New Roman" w:hAnsi="Times New Roman" w:cs="Times New Roman"/>
          <w:sz w:val="24"/>
          <w:szCs w:val="24"/>
        </w:rPr>
        <w:t>á infraštruktúra</w:t>
        <w:tab/>
        <w:tab/>
        <w:tab/>
        <w:tab/>
        <w:tab/>
        <w:tab/>
        <w:t xml:space="preserve">        </w:t>
      </w:r>
      <w:r w:rsidR="00BC6093">
        <w:rPr>
          <w:rFonts w:ascii="Times New Roman" w:hAnsi="Times New Roman" w:cs="Times New Roman"/>
          <w:sz w:val="24"/>
          <w:szCs w:val="24"/>
        </w:rPr>
        <w:t>+ 6 689 516 969,36</w:t>
      </w:r>
      <w:r w:rsidR="000D506E">
        <w:rPr>
          <w:rFonts w:ascii="Times New Roman" w:hAnsi="Times New Roman" w:cs="Times New Roman"/>
          <w:sz w:val="24"/>
          <w:szCs w:val="24"/>
        </w:rPr>
        <w:t xml:space="preserve"> Sk</w:t>
      </w:r>
    </w:p>
    <w:p w:rsidR="009D61C6" w:rsidP="00C362EA">
      <w:pPr>
        <w:pStyle w:val="BodyText2"/>
        <w:spacing w:line="240" w:lineRule="auto"/>
        <w:rPr>
          <w:rFonts w:ascii="Times New Roman" w:hAnsi="Times New Roman" w:cs="Times New Roman"/>
          <w:sz w:val="24"/>
          <w:szCs w:val="24"/>
        </w:rPr>
      </w:pPr>
      <w:r>
        <w:rPr>
          <w:rFonts w:ascii="Times New Roman" w:hAnsi="Times New Roman" w:cs="Times New Roman"/>
          <w:sz w:val="24"/>
          <w:szCs w:val="24"/>
        </w:rPr>
        <w:t>055 Leteck</w:t>
      </w:r>
      <w:r w:rsidR="000D506E">
        <w:rPr>
          <w:rFonts w:ascii="Times New Roman" w:hAnsi="Times New Roman" w:cs="Times New Roman"/>
          <w:sz w:val="24"/>
          <w:szCs w:val="24"/>
        </w:rPr>
        <w:t>á doprava a infraštruktúra</w:t>
        <w:tab/>
        <w:tab/>
        <w:tab/>
        <w:tab/>
        <w:t xml:space="preserve">        +     </w:t>
      </w:r>
      <w:r w:rsidR="00BC6093">
        <w:rPr>
          <w:rFonts w:ascii="Times New Roman" w:hAnsi="Times New Roman" w:cs="Times New Roman"/>
          <w:sz w:val="24"/>
          <w:szCs w:val="24"/>
        </w:rPr>
        <w:t xml:space="preserve"> 59 216 673,70</w:t>
      </w:r>
      <w:r w:rsidR="000D506E">
        <w:rPr>
          <w:rFonts w:ascii="Times New Roman" w:hAnsi="Times New Roman" w:cs="Times New Roman"/>
          <w:sz w:val="24"/>
          <w:szCs w:val="24"/>
        </w:rPr>
        <w:t xml:space="preserve"> Sk</w:t>
      </w:r>
    </w:p>
    <w:p w:rsidR="009D61C6" w:rsidP="00C362EA">
      <w:pPr>
        <w:pStyle w:val="BodyText2"/>
        <w:spacing w:line="240" w:lineRule="auto"/>
        <w:rPr>
          <w:rFonts w:ascii="Times New Roman" w:hAnsi="Times New Roman" w:cs="Times New Roman"/>
          <w:sz w:val="24"/>
          <w:szCs w:val="24"/>
        </w:rPr>
      </w:pPr>
      <w:r w:rsidR="000D506E">
        <w:rPr>
          <w:rFonts w:ascii="Times New Roman" w:hAnsi="Times New Roman" w:cs="Times New Roman"/>
          <w:sz w:val="24"/>
          <w:szCs w:val="24"/>
        </w:rPr>
        <w:t>07S Železničná doprav</w:t>
      </w:r>
      <w:r w:rsidR="000D506E">
        <w:rPr>
          <w:rFonts w:ascii="Times New Roman" w:hAnsi="Times New Roman" w:cs="Times New Roman"/>
          <w:sz w:val="24"/>
          <w:szCs w:val="24"/>
        </w:rPr>
        <w:t>a</w:t>
        <w:tab/>
        <w:tab/>
        <w:tab/>
        <w:tab/>
        <w:tab/>
        <w:tab/>
        <w:t xml:space="preserve">        </w:t>
      </w:r>
      <w:r w:rsidR="00BC6093">
        <w:rPr>
          <w:rFonts w:ascii="Times New Roman" w:hAnsi="Times New Roman" w:cs="Times New Roman"/>
          <w:sz w:val="24"/>
          <w:szCs w:val="24"/>
        </w:rPr>
        <w:t>+ 2 641 724 055,13</w:t>
      </w:r>
      <w:r w:rsidR="000D506E">
        <w:rPr>
          <w:rFonts w:ascii="Times New Roman" w:hAnsi="Times New Roman" w:cs="Times New Roman"/>
          <w:sz w:val="24"/>
          <w:szCs w:val="24"/>
        </w:rPr>
        <w:t xml:space="preserve"> Sk</w:t>
      </w:r>
    </w:p>
    <w:p w:rsidR="009D61C6" w:rsidP="00C362EA">
      <w:pPr>
        <w:pStyle w:val="BodyText2"/>
        <w:spacing w:line="240" w:lineRule="auto"/>
        <w:rPr>
          <w:rFonts w:ascii="Times New Roman" w:hAnsi="Times New Roman" w:cs="Times New Roman"/>
          <w:sz w:val="24"/>
          <w:szCs w:val="24"/>
        </w:rPr>
      </w:pPr>
      <w:r>
        <w:rPr>
          <w:rFonts w:ascii="Times New Roman" w:hAnsi="Times New Roman" w:cs="Times New Roman"/>
          <w:sz w:val="24"/>
          <w:szCs w:val="24"/>
        </w:rPr>
        <w:t>07T Tvor</w:t>
      </w:r>
      <w:r w:rsidR="000D506E">
        <w:rPr>
          <w:rFonts w:ascii="Times New Roman" w:hAnsi="Times New Roman" w:cs="Times New Roman"/>
          <w:sz w:val="24"/>
          <w:szCs w:val="24"/>
        </w:rPr>
        <w:t>ba a implementácia politík</w:t>
        <w:tab/>
        <w:tab/>
        <w:tab/>
        <w:tab/>
        <w:tab/>
      </w:r>
      <w:r>
        <w:rPr>
          <w:rFonts w:ascii="Times New Roman" w:hAnsi="Times New Roman" w:cs="Times New Roman"/>
          <w:sz w:val="24"/>
          <w:szCs w:val="24"/>
        </w:rPr>
        <w:t xml:space="preserve"> </w:t>
      </w:r>
      <w:r w:rsidR="000D506E">
        <w:rPr>
          <w:rFonts w:ascii="Times New Roman" w:hAnsi="Times New Roman" w:cs="Times New Roman"/>
          <w:sz w:val="24"/>
          <w:szCs w:val="24"/>
        </w:rPr>
        <w:t xml:space="preserve">       </w:t>
      </w:r>
      <w:r w:rsidR="00BC6093">
        <w:rPr>
          <w:rFonts w:ascii="Times New Roman" w:hAnsi="Times New Roman" w:cs="Times New Roman"/>
          <w:sz w:val="24"/>
          <w:szCs w:val="24"/>
        </w:rPr>
        <w:t>+      78 751 982,01</w:t>
      </w:r>
      <w:r w:rsidR="000D506E">
        <w:rPr>
          <w:rFonts w:ascii="Times New Roman" w:hAnsi="Times New Roman" w:cs="Times New Roman"/>
          <w:sz w:val="24"/>
          <w:szCs w:val="24"/>
        </w:rPr>
        <w:t xml:space="preserve"> Sk</w:t>
      </w:r>
    </w:p>
    <w:p w:rsidR="000F695D" w:rsidP="00C362EA">
      <w:pPr>
        <w:pStyle w:val="BodyText2"/>
        <w:spacing w:line="240" w:lineRule="auto"/>
        <w:rPr>
          <w:rFonts w:ascii="Times New Roman" w:hAnsi="Times New Roman" w:cs="Times New Roman"/>
          <w:sz w:val="24"/>
          <w:szCs w:val="24"/>
        </w:rPr>
      </w:pPr>
    </w:p>
    <w:p w:rsidR="00BC6093" w:rsidP="008D28A4">
      <w:pPr>
        <w:pStyle w:val="BodyText2"/>
        <w:spacing w:line="240" w:lineRule="auto"/>
        <w:ind w:firstLine="709"/>
        <w:rPr>
          <w:rFonts w:ascii="Times New Roman" w:hAnsi="Times New Roman" w:cs="Times New Roman"/>
          <w:sz w:val="24"/>
          <w:szCs w:val="24"/>
        </w:rPr>
      </w:pPr>
      <w:r w:rsidR="00576048">
        <w:rPr>
          <w:rFonts w:ascii="Times New Roman" w:hAnsi="Times New Roman" w:cs="Times New Roman"/>
          <w:sz w:val="24"/>
          <w:szCs w:val="24"/>
        </w:rPr>
        <w:t>Súčasne MF SR povolilo prekročenie limitu príjmov o príjmy z rozpočtu EÚ z predchádzajúcich rokov v sume 7 571 070 940,49 Sk</w:t>
      </w:r>
      <w:r w:rsidR="008D28A4">
        <w:rPr>
          <w:rFonts w:ascii="Times New Roman" w:hAnsi="Times New Roman" w:cs="Times New Roman"/>
          <w:sz w:val="24"/>
          <w:szCs w:val="24"/>
        </w:rPr>
        <w:t>.</w:t>
      </w:r>
    </w:p>
    <w:p w:rsidR="008D28A4" w:rsidRPr="00D23807" w:rsidP="008D28A4">
      <w:pPr>
        <w:pStyle w:val="BodyText2"/>
        <w:spacing w:line="240" w:lineRule="auto"/>
        <w:ind w:firstLine="709"/>
        <w:rPr>
          <w:rFonts w:ascii="Times New Roman" w:hAnsi="Times New Roman" w:cs="Times New Roman"/>
          <w:sz w:val="24"/>
          <w:szCs w:val="24"/>
        </w:rPr>
      </w:pPr>
    </w:p>
    <w:p w:rsidR="00D27E26" w:rsidRPr="00D23807" w:rsidP="00C362EA">
      <w:pPr>
        <w:pStyle w:val="BodyText2"/>
        <w:spacing w:line="240" w:lineRule="auto"/>
        <w:rPr>
          <w:rFonts w:ascii="Times New Roman" w:hAnsi="Times New Roman" w:cs="Times New Roman"/>
          <w:b/>
          <w:sz w:val="24"/>
          <w:szCs w:val="24"/>
          <w:u w:val="single"/>
        </w:rPr>
      </w:pPr>
      <w:r w:rsidR="008257B9">
        <w:rPr>
          <w:rFonts w:ascii="Times New Roman" w:hAnsi="Times New Roman" w:cs="Times New Roman"/>
          <w:b/>
          <w:sz w:val="24"/>
          <w:szCs w:val="24"/>
          <w:u w:val="single"/>
        </w:rPr>
        <w:t>Rozpočtové opatrenie č. 3</w:t>
      </w:r>
    </w:p>
    <w:p w:rsidR="003256E2" w:rsidP="00C362EA">
      <w:pPr>
        <w:pStyle w:val="BodyText2"/>
        <w:spacing w:line="240" w:lineRule="auto"/>
        <w:ind w:firstLine="709"/>
        <w:rPr>
          <w:rFonts w:ascii="Times New Roman" w:hAnsi="Times New Roman" w:cs="Times New Roman"/>
          <w:sz w:val="24"/>
          <w:szCs w:val="24"/>
        </w:rPr>
      </w:pPr>
    </w:p>
    <w:p w:rsidR="00D01068" w:rsidRPr="00A915E4" w:rsidP="00A915E4">
      <w:pPr>
        <w:pStyle w:val="BodyText2"/>
        <w:spacing w:line="240" w:lineRule="auto"/>
        <w:ind w:firstLine="709"/>
        <w:rPr>
          <w:rFonts w:ascii="Times New Roman" w:hAnsi="Times New Roman" w:cs="Times New Roman"/>
          <w:sz w:val="24"/>
          <w:szCs w:val="24"/>
        </w:rPr>
      </w:pPr>
      <w:r w:rsidR="00A915E4">
        <w:rPr>
          <w:rFonts w:ascii="Times New Roman" w:hAnsi="Times New Roman" w:cs="Times New Roman"/>
          <w:sz w:val="24"/>
          <w:szCs w:val="24"/>
        </w:rPr>
        <w:t>N</w:t>
      </w:r>
      <w:r w:rsidRPr="00A915E4" w:rsidR="00A915E4">
        <w:rPr>
          <w:rFonts w:ascii="Times New Roman" w:hAnsi="Times New Roman" w:cs="Times New Roman"/>
          <w:sz w:val="24"/>
          <w:szCs w:val="24"/>
        </w:rPr>
        <w:t>avýše</w:t>
      </w:r>
      <w:r w:rsidR="00A915E4">
        <w:rPr>
          <w:rFonts w:ascii="Times New Roman" w:hAnsi="Times New Roman" w:cs="Times New Roman"/>
          <w:sz w:val="24"/>
          <w:szCs w:val="24"/>
        </w:rPr>
        <w:t xml:space="preserve">nie bežných výdavkov Telekomunikačného úradu </w:t>
      </w:r>
      <w:r w:rsidRPr="00A915E4" w:rsidR="00A915E4">
        <w:rPr>
          <w:rFonts w:ascii="Times New Roman" w:hAnsi="Times New Roman" w:cs="Times New Roman"/>
          <w:sz w:val="24"/>
          <w:szCs w:val="24"/>
        </w:rPr>
        <w:t xml:space="preserve">SR </w:t>
      </w:r>
      <w:r w:rsidR="00A915E4">
        <w:rPr>
          <w:rFonts w:ascii="Times New Roman" w:hAnsi="Times New Roman" w:cs="Times New Roman"/>
          <w:sz w:val="24"/>
          <w:szCs w:val="24"/>
        </w:rPr>
        <w:t xml:space="preserve">v kategórii 630 – Tovary a služby v celkovej výške 155 022,84 Sk, </w:t>
      </w:r>
      <w:r w:rsidRPr="00A915E4" w:rsidR="00A915E4">
        <w:rPr>
          <w:rFonts w:ascii="Times New Roman" w:hAnsi="Times New Roman" w:cs="Times New Roman"/>
          <w:sz w:val="24"/>
          <w:szCs w:val="24"/>
        </w:rPr>
        <w:t xml:space="preserve">z toho </w:t>
      </w:r>
      <w:r w:rsidR="00A915E4">
        <w:rPr>
          <w:rFonts w:ascii="Times New Roman" w:hAnsi="Times New Roman" w:cs="Times New Roman"/>
          <w:sz w:val="24"/>
          <w:szCs w:val="24"/>
        </w:rPr>
        <w:t xml:space="preserve">prostriedkov </w:t>
      </w:r>
      <w:r w:rsidR="00190408">
        <w:rPr>
          <w:rFonts w:ascii="Times New Roman" w:hAnsi="Times New Roman" w:cs="Times New Roman"/>
          <w:sz w:val="24"/>
          <w:szCs w:val="24"/>
        </w:rPr>
        <w:t xml:space="preserve">EÚ </w:t>
      </w:r>
      <w:r w:rsidRPr="00A915E4" w:rsidR="00A915E4">
        <w:rPr>
          <w:rFonts w:ascii="Times New Roman" w:hAnsi="Times New Roman" w:cs="Times New Roman"/>
          <w:sz w:val="24"/>
          <w:szCs w:val="24"/>
        </w:rPr>
        <w:t>vo</w:t>
      </w:r>
      <w:r w:rsidR="00A915E4">
        <w:rPr>
          <w:rFonts w:ascii="Times New Roman" w:hAnsi="Times New Roman" w:cs="Times New Roman"/>
          <w:sz w:val="24"/>
          <w:szCs w:val="24"/>
        </w:rPr>
        <w:t xml:space="preserve"> výške 77 511,24 Sk a spolu</w:t>
      </w:r>
      <w:r w:rsidR="00190408">
        <w:rPr>
          <w:rFonts w:ascii="Times New Roman" w:hAnsi="Times New Roman" w:cs="Times New Roman"/>
          <w:sz w:val="24"/>
          <w:szCs w:val="24"/>
        </w:rPr>
        <w:t xml:space="preserve">fincovania zo štátneho rozpočtu </w:t>
      </w:r>
      <w:r w:rsidR="009941D1">
        <w:rPr>
          <w:rFonts w:ascii="Times New Roman" w:hAnsi="Times New Roman" w:cs="Times New Roman"/>
          <w:sz w:val="24"/>
          <w:szCs w:val="24"/>
        </w:rPr>
        <w:t>vo výške 77 511,60 Sk, a to na zabezpečenie v</w:t>
      </w:r>
      <w:r w:rsidR="009941D1">
        <w:rPr>
          <w:rFonts w:ascii="Times New Roman" w:hAnsi="Times New Roman" w:cs="Times New Roman"/>
          <w:sz w:val="24"/>
          <w:szCs w:val="24"/>
        </w:rPr>
        <w:t>zdelávan</w:t>
      </w:r>
      <w:r w:rsidR="000F0CC2">
        <w:rPr>
          <w:rFonts w:ascii="Times New Roman" w:hAnsi="Times New Roman" w:cs="Times New Roman"/>
          <w:sz w:val="24"/>
          <w:szCs w:val="24"/>
        </w:rPr>
        <w:t xml:space="preserve">ia zamestnancov úradu s cieľom </w:t>
      </w:r>
      <w:r w:rsidR="009941D1">
        <w:rPr>
          <w:rFonts w:ascii="Times New Roman" w:hAnsi="Times New Roman" w:cs="Times New Roman"/>
          <w:sz w:val="24"/>
          <w:szCs w:val="24"/>
        </w:rPr>
        <w:t>získania Osvedčenia ECDL Štart. Uvedený projekt sa realizoval v rámci medzirezortného</w:t>
      </w:r>
      <w:r w:rsidRPr="00A915E4" w:rsidR="00A915E4">
        <w:rPr>
          <w:rFonts w:ascii="Times New Roman" w:hAnsi="Times New Roman" w:cs="Times New Roman"/>
          <w:sz w:val="24"/>
          <w:szCs w:val="24"/>
        </w:rPr>
        <w:t xml:space="preserve"> podprogram</w:t>
      </w:r>
      <w:r w:rsidR="009941D1">
        <w:rPr>
          <w:rFonts w:ascii="Times New Roman" w:hAnsi="Times New Roman" w:cs="Times New Roman"/>
          <w:sz w:val="24"/>
          <w:szCs w:val="24"/>
        </w:rPr>
        <w:t>u</w:t>
      </w:r>
      <w:r w:rsidRPr="00A915E4" w:rsidR="00A915E4">
        <w:rPr>
          <w:rFonts w:ascii="Times New Roman" w:hAnsi="Times New Roman" w:cs="Times New Roman"/>
          <w:sz w:val="24"/>
          <w:szCs w:val="24"/>
        </w:rPr>
        <w:t xml:space="preserve"> 06G0H</w:t>
      </w:r>
      <w:r w:rsidR="009941D1">
        <w:rPr>
          <w:rFonts w:ascii="Times New Roman" w:hAnsi="Times New Roman" w:cs="Times New Roman"/>
          <w:sz w:val="24"/>
          <w:szCs w:val="24"/>
        </w:rPr>
        <w:t xml:space="preserve"> – </w:t>
      </w:r>
      <w:r w:rsidRPr="00A915E4" w:rsidR="00A915E4">
        <w:rPr>
          <w:rFonts w:ascii="Times New Roman" w:hAnsi="Times New Roman" w:cs="Times New Roman"/>
          <w:sz w:val="24"/>
          <w:szCs w:val="24"/>
        </w:rPr>
        <w:t xml:space="preserve"> Aktívna politika trhu p</w:t>
      </w:r>
      <w:r w:rsidR="009941D1">
        <w:rPr>
          <w:rFonts w:ascii="Times New Roman" w:hAnsi="Times New Roman" w:cs="Times New Roman"/>
          <w:sz w:val="24"/>
          <w:szCs w:val="24"/>
        </w:rPr>
        <w:t xml:space="preserve">ráce a zvýšenie zamestnanosti – </w:t>
      </w:r>
      <w:r w:rsidRPr="00A915E4" w:rsidR="00A915E4">
        <w:rPr>
          <w:rFonts w:ascii="Times New Roman" w:hAnsi="Times New Roman" w:cs="Times New Roman"/>
          <w:sz w:val="24"/>
          <w:szCs w:val="24"/>
        </w:rPr>
        <w:t>MDPT SR, prvok 06G0H01</w:t>
      </w:r>
      <w:r w:rsidR="009941D1">
        <w:rPr>
          <w:rFonts w:ascii="Times New Roman" w:hAnsi="Times New Roman" w:cs="Times New Roman"/>
          <w:sz w:val="24"/>
          <w:szCs w:val="24"/>
        </w:rPr>
        <w:t xml:space="preserve"> – </w:t>
      </w:r>
      <w:r w:rsidRPr="00A915E4" w:rsidR="00A915E4">
        <w:rPr>
          <w:rFonts w:ascii="Times New Roman" w:hAnsi="Times New Roman" w:cs="Times New Roman"/>
          <w:sz w:val="24"/>
          <w:szCs w:val="24"/>
        </w:rPr>
        <w:t xml:space="preserve"> Stimulovanie a skvalitňovanie</w:t>
      </w:r>
      <w:r w:rsidRPr="00A915E4" w:rsidR="00A915E4">
        <w:rPr>
          <w:rFonts w:ascii="Times New Roman" w:hAnsi="Times New Roman" w:cs="Times New Roman"/>
          <w:sz w:val="24"/>
          <w:szCs w:val="24"/>
        </w:rPr>
        <w:t xml:space="preserve"> vzdelávania pre potreby zamestnáva</w:t>
      </w:r>
      <w:r w:rsidR="009941D1">
        <w:rPr>
          <w:rFonts w:ascii="Times New Roman" w:hAnsi="Times New Roman" w:cs="Times New Roman"/>
          <w:sz w:val="24"/>
          <w:szCs w:val="24"/>
        </w:rPr>
        <w:t>teľov a podnikateľského sektora.</w:t>
      </w:r>
    </w:p>
    <w:p w:rsidR="00A915E4" w:rsidP="00C362EA">
      <w:pPr>
        <w:pStyle w:val="BodyText2"/>
        <w:spacing w:line="240" w:lineRule="auto"/>
        <w:rPr>
          <w:rFonts w:ascii="Times New Roman" w:hAnsi="Times New Roman" w:cs="Times New Roman"/>
          <w:sz w:val="24"/>
          <w:szCs w:val="24"/>
        </w:rPr>
      </w:pPr>
    </w:p>
    <w:p w:rsidR="00324262" w:rsidP="00324262">
      <w:pPr>
        <w:pStyle w:val="BodyText2"/>
        <w:spacing w:line="240" w:lineRule="auto"/>
        <w:rPr>
          <w:rFonts w:ascii="Times New Roman" w:hAnsi="Times New Roman" w:cs="Times New Roman"/>
          <w:b/>
          <w:sz w:val="24"/>
          <w:szCs w:val="24"/>
          <w:u w:val="single"/>
        </w:rPr>
      </w:pPr>
      <w:r>
        <w:rPr>
          <w:rFonts w:ascii="Times New Roman" w:hAnsi="Times New Roman" w:cs="Times New Roman"/>
          <w:b/>
          <w:sz w:val="24"/>
          <w:szCs w:val="24"/>
          <w:u w:val="single"/>
        </w:rPr>
        <w:t>Rozpočtové opatrenie č. 4</w:t>
      </w:r>
    </w:p>
    <w:p w:rsidR="009472A2" w:rsidP="00324262">
      <w:pPr>
        <w:pStyle w:val="BodyText2"/>
        <w:spacing w:line="240" w:lineRule="auto"/>
        <w:rPr>
          <w:rFonts w:ascii="Times New Roman" w:hAnsi="Times New Roman" w:cs="Times New Roman"/>
          <w:sz w:val="24"/>
          <w:szCs w:val="24"/>
        </w:rPr>
      </w:pPr>
      <w:r w:rsidR="006240DE">
        <w:rPr>
          <w:rFonts w:ascii="Times New Roman" w:hAnsi="Times New Roman" w:cs="Times New Roman"/>
          <w:sz w:val="24"/>
          <w:szCs w:val="24"/>
        </w:rPr>
        <w:tab/>
      </w:r>
    </w:p>
    <w:p w:rsidR="00AB0FC7" w:rsidP="00AE3AF3">
      <w:pPr>
        <w:pStyle w:val="BodyText2"/>
        <w:spacing w:line="240" w:lineRule="auto"/>
        <w:ind w:firstLine="709"/>
        <w:rPr>
          <w:rFonts w:ascii="Times New Roman" w:hAnsi="Times New Roman" w:cs="Times New Roman"/>
          <w:sz w:val="24"/>
          <w:szCs w:val="24"/>
        </w:rPr>
      </w:pPr>
      <w:r w:rsidR="009472A2">
        <w:rPr>
          <w:rFonts w:ascii="Times New Roman" w:hAnsi="Times New Roman" w:cs="Times New Roman"/>
          <w:sz w:val="24"/>
          <w:szCs w:val="24"/>
        </w:rPr>
        <w:t>V</w:t>
      </w:r>
      <w:r w:rsidR="006240DE">
        <w:rPr>
          <w:rFonts w:ascii="Times New Roman" w:hAnsi="Times New Roman" w:cs="Times New Roman"/>
          <w:sz w:val="24"/>
          <w:szCs w:val="24"/>
        </w:rPr>
        <w:t>i</w:t>
      </w:r>
      <w:r w:rsidR="009472A2">
        <w:rPr>
          <w:rFonts w:ascii="Times New Roman" w:hAnsi="Times New Roman" w:cs="Times New Roman"/>
          <w:sz w:val="24"/>
          <w:szCs w:val="24"/>
        </w:rPr>
        <w:t>aza</w:t>
      </w:r>
      <w:r w:rsidR="000212D7">
        <w:rPr>
          <w:rFonts w:ascii="Times New Roman" w:hAnsi="Times New Roman" w:cs="Times New Roman"/>
          <w:sz w:val="24"/>
          <w:szCs w:val="24"/>
        </w:rPr>
        <w:t>nie kapitálových výdavkov (710) Slovenskej správy</w:t>
      </w:r>
      <w:r w:rsidR="009472A2">
        <w:rPr>
          <w:rFonts w:ascii="Times New Roman" w:hAnsi="Times New Roman" w:cs="Times New Roman"/>
          <w:sz w:val="24"/>
          <w:szCs w:val="24"/>
        </w:rPr>
        <w:t xml:space="preserve"> ciest v </w:t>
      </w:r>
      <w:r w:rsidR="006240DE">
        <w:rPr>
          <w:rFonts w:ascii="Times New Roman" w:hAnsi="Times New Roman" w:cs="Times New Roman"/>
          <w:sz w:val="24"/>
          <w:szCs w:val="24"/>
        </w:rPr>
        <w:t xml:space="preserve">prvku 0530201 </w:t>
      </w:r>
      <w:r w:rsidR="009472A2">
        <w:rPr>
          <w:rFonts w:ascii="Times New Roman" w:hAnsi="Times New Roman" w:cs="Times New Roman"/>
          <w:sz w:val="24"/>
          <w:szCs w:val="24"/>
        </w:rPr>
        <w:t xml:space="preserve">– Výstavba cestnej siete </w:t>
      </w:r>
      <w:r w:rsidR="006240DE">
        <w:rPr>
          <w:rFonts w:ascii="Times New Roman" w:hAnsi="Times New Roman" w:cs="Times New Roman"/>
          <w:sz w:val="24"/>
          <w:szCs w:val="24"/>
        </w:rPr>
        <w:t>vo výške 62 689 tis. Sk, viazan</w:t>
      </w:r>
      <w:r w:rsidR="009472A2">
        <w:rPr>
          <w:rFonts w:ascii="Times New Roman" w:hAnsi="Times New Roman" w:cs="Times New Roman"/>
          <w:sz w:val="24"/>
          <w:szCs w:val="24"/>
        </w:rPr>
        <w:t>ie rozpočtových prostriedk</w:t>
      </w:r>
      <w:r w:rsidR="009472A2">
        <w:rPr>
          <w:rFonts w:ascii="Times New Roman" w:hAnsi="Times New Roman" w:cs="Times New Roman"/>
          <w:sz w:val="24"/>
          <w:szCs w:val="24"/>
        </w:rPr>
        <w:t xml:space="preserve">ov Platobnej jednotky v </w:t>
      </w:r>
      <w:r w:rsidR="006240DE">
        <w:rPr>
          <w:rFonts w:ascii="Times New Roman" w:hAnsi="Times New Roman" w:cs="Times New Roman"/>
          <w:sz w:val="24"/>
          <w:szCs w:val="24"/>
        </w:rPr>
        <w:t>kateg</w:t>
      </w:r>
      <w:r w:rsidR="009472A2">
        <w:rPr>
          <w:rFonts w:ascii="Times New Roman" w:hAnsi="Times New Roman" w:cs="Times New Roman"/>
          <w:sz w:val="24"/>
          <w:szCs w:val="24"/>
        </w:rPr>
        <w:t xml:space="preserve">órii 710, </w:t>
      </w:r>
      <w:r w:rsidR="006240DE">
        <w:rPr>
          <w:rFonts w:ascii="Times New Roman" w:hAnsi="Times New Roman" w:cs="Times New Roman"/>
          <w:sz w:val="24"/>
          <w:szCs w:val="24"/>
        </w:rPr>
        <w:t xml:space="preserve">prvku 0530205 </w:t>
      </w:r>
      <w:r w:rsidR="009472A2">
        <w:rPr>
          <w:rFonts w:ascii="Times New Roman" w:hAnsi="Times New Roman" w:cs="Times New Roman"/>
          <w:sz w:val="24"/>
          <w:szCs w:val="24"/>
        </w:rPr>
        <w:t xml:space="preserve">– Modernizácia a rozvoj cestnej infraštruktúry – opatrenie 1.2. OP ZI – SSC, </w:t>
      </w:r>
      <w:r w:rsidR="006240DE">
        <w:rPr>
          <w:rFonts w:ascii="Times New Roman" w:hAnsi="Times New Roman" w:cs="Times New Roman"/>
          <w:sz w:val="24"/>
          <w:szCs w:val="24"/>
        </w:rPr>
        <w:t xml:space="preserve">vo výške 588 982 tis. </w:t>
      </w:r>
      <w:r w:rsidR="009472A2">
        <w:rPr>
          <w:rFonts w:ascii="Times New Roman" w:hAnsi="Times New Roman" w:cs="Times New Roman"/>
          <w:sz w:val="24"/>
          <w:szCs w:val="24"/>
        </w:rPr>
        <w:t xml:space="preserve">Sk, a to </w:t>
      </w:r>
      <w:r w:rsidR="006240DE">
        <w:rPr>
          <w:rFonts w:ascii="Times New Roman" w:hAnsi="Times New Roman" w:cs="Times New Roman"/>
          <w:sz w:val="24"/>
          <w:szCs w:val="24"/>
        </w:rPr>
        <w:t>z dôvodu zabezpečenia kontinuity financovania projektov realizovaných SSC z fondu ERDF a kompat</w:t>
      </w:r>
      <w:r w:rsidR="006240DE">
        <w:rPr>
          <w:rFonts w:ascii="Times New Roman" w:hAnsi="Times New Roman" w:cs="Times New Roman"/>
          <w:sz w:val="24"/>
          <w:szCs w:val="24"/>
        </w:rPr>
        <w:t>ibility väzieb údajovej zák</w:t>
      </w:r>
      <w:r w:rsidR="000212D7">
        <w:rPr>
          <w:rFonts w:ascii="Times New Roman" w:hAnsi="Times New Roman" w:cs="Times New Roman"/>
          <w:sz w:val="24"/>
          <w:szCs w:val="24"/>
        </w:rPr>
        <w:t xml:space="preserve">ladne v dotknutých inf. </w:t>
      </w:r>
      <w:r w:rsidR="006240DE">
        <w:rPr>
          <w:rFonts w:ascii="Times New Roman" w:hAnsi="Times New Roman" w:cs="Times New Roman"/>
          <w:sz w:val="24"/>
          <w:szCs w:val="24"/>
        </w:rPr>
        <w:t xml:space="preserve">systémoch (RIS, ITMS, ISUF) a zabezpečenia spolufinancovania k prostriedkom EÚ – Európsky fond regionálneho rozvoja </w:t>
      </w:r>
      <w:r w:rsidR="009472A2">
        <w:rPr>
          <w:rFonts w:ascii="Times New Roman" w:hAnsi="Times New Roman" w:cs="Times New Roman"/>
          <w:sz w:val="24"/>
          <w:szCs w:val="24"/>
        </w:rPr>
        <w:t xml:space="preserve">(ERDF) </w:t>
      </w:r>
      <w:r w:rsidR="006240DE">
        <w:rPr>
          <w:rFonts w:ascii="Times New Roman" w:hAnsi="Times New Roman" w:cs="Times New Roman"/>
          <w:sz w:val="24"/>
          <w:szCs w:val="24"/>
        </w:rPr>
        <w:t>vo výške 62 689 tis. Sk (kód zdroja 1152) pre Platobnú jednotku MDPT SR a projekty</w:t>
      </w:r>
      <w:r w:rsidR="006240DE">
        <w:rPr>
          <w:rFonts w:ascii="Times New Roman" w:hAnsi="Times New Roman" w:cs="Times New Roman"/>
          <w:sz w:val="24"/>
          <w:szCs w:val="24"/>
        </w:rPr>
        <w:t xml:space="preserve"> ERDF realizované SSC.</w:t>
      </w:r>
    </w:p>
    <w:p w:rsidR="00AE3AF3" w:rsidRPr="00AE3AF3" w:rsidP="00AE3AF3">
      <w:pPr>
        <w:pStyle w:val="BodyText2"/>
        <w:spacing w:line="240" w:lineRule="auto"/>
        <w:ind w:firstLine="709"/>
        <w:rPr>
          <w:rFonts w:ascii="Times New Roman" w:hAnsi="Times New Roman" w:cs="Times New Roman"/>
          <w:sz w:val="24"/>
          <w:szCs w:val="24"/>
        </w:rPr>
      </w:pPr>
    </w:p>
    <w:p w:rsidR="00FB34E9" w:rsidRPr="00D23807" w:rsidP="00FB34E9">
      <w:pPr>
        <w:pStyle w:val="BodyText2"/>
        <w:spacing w:line="240" w:lineRule="auto"/>
        <w:rPr>
          <w:rFonts w:ascii="Times New Roman" w:hAnsi="Times New Roman" w:cs="Times New Roman"/>
          <w:b/>
          <w:sz w:val="24"/>
          <w:szCs w:val="24"/>
          <w:u w:val="single"/>
        </w:rPr>
      </w:pPr>
      <w:r>
        <w:rPr>
          <w:rFonts w:ascii="Times New Roman" w:hAnsi="Times New Roman" w:cs="Times New Roman"/>
          <w:b/>
          <w:sz w:val="24"/>
          <w:szCs w:val="24"/>
          <w:u w:val="single"/>
        </w:rPr>
        <w:t>Rozpočtové opatrenie č. 5</w:t>
      </w:r>
    </w:p>
    <w:p w:rsidR="00FB34E9" w:rsidP="00FB34E9">
      <w:pPr>
        <w:pStyle w:val="BodyText2"/>
        <w:spacing w:line="240" w:lineRule="auto"/>
        <w:rPr>
          <w:rFonts w:ascii="Times New Roman" w:hAnsi="Times New Roman" w:cs="Times New Roman"/>
          <w:sz w:val="24"/>
          <w:szCs w:val="24"/>
        </w:rPr>
      </w:pPr>
    </w:p>
    <w:p w:rsidR="00FB34E9" w:rsidP="00FB34E9">
      <w:pPr>
        <w:pStyle w:val="BodyText2"/>
        <w:spacing w:line="240" w:lineRule="auto"/>
        <w:ind w:firstLine="709"/>
        <w:rPr>
          <w:rFonts w:ascii="Times New Roman" w:hAnsi="Times New Roman" w:cs="Times New Roman"/>
          <w:sz w:val="24"/>
          <w:szCs w:val="24"/>
        </w:rPr>
      </w:pPr>
      <w:r>
        <w:rPr>
          <w:rFonts w:ascii="Times New Roman" w:hAnsi="Times New Roman" w:cs="Times New Roman"/>
          <w:sz w:val="24"/>
          <w:szCs w:val="24"/>
        </w:rPr>
        <w:t>Z</w:t>
      </w:r>
      <w:r w:rsidRPr="0036642D">
        <w:rPr>
          <w:rFonts w:ascii="Times New Roman" w:hAnsi="Times New Roman" w:cs="Times New Roman"/>
          <w:sz w:val="24"/>
          <w:szCs w:val="24"/>
        </w:rPr>
        <w:t>výš</w:t>
      </w:r>
      <w:r>
        <w:rPr>
          <w:rFonts w:ascii="Times New Roman" w:hAnsi="Times New Roman" w:cs="Times New Roman"/>
          <w:sz w:val="24"/>
          <w:szCs w:val="24"/>
        </w:rPr>
        <w:t xml:space="preserve">enie výdavkov kapitoly MDPT SR v kategórii </w:t>
      </w:r>
      <w:r w:rsidR="00521161">
        <w:rPr>
          <w:rFonts w:ascii="Times New Roman" w:hAnsi="Times New Roman" w:cs="Times New Roman"/>
          <w:sz w:val="24"/>
          <w:szCs w:val="24"/>
        </w:rPr>
        <w:t>610 - M</w:t>
      </w:r>
      <w:r>
        <w:rPr>
          <w:rFonts w:ascii="Times New Roman" w:hAnsi="Times New Roman" w:cs="Times New Roman"/>
          <w:sz w:val="24"/>
          <w:szCs w:val="24"/>
        </w:rPr>
        <w:t xml:space="preserve">zdy, platy, služobné </w:t>
      </w:r>
      <w:r w:rsidRPr="0036642D">
        <w:rPr>
          <w:rFonts w:ascii="Times New Roman" w:hAnsi="Times New Roman" w:cs="Times New Roman"/>
          <w:sz w:val="24"/>
          <w:szCs w:val="24"/>
        </w:rPr>
        <w:t xml:space="preserve">príjmy a OOV </w:t>
      </w:r>
      <w:r>
        <w:rPr>
          <w:rFonts w:ascii="Times New Roman" w:hAnsi="Times New Roman" w:cs="Times New Roman"/>
          <w:sz w:val="24"/>
          <w:szCs w:val="24"/>
        </w:rPr>
        <w:t>o 249 6</w:t>
      </w:r>
      <w:r w:rsidRPr="0036642D">
        <w:rPr>
          <w:rFonts w:ascii="Times New Roman" w:hAnsi="Times New Roman" w:cs="Times New Roman"/>
          <w:sz w:val="24"/>
          <w:szCs w:val="24"/>
        </w:rPr>
        <w:t>00,- Sk na zabezpe</w:t>
      </w:r>
      <w:r>
        <w:rPr>
          <w:rFonts w:ascii="Times New Roman" w:hAnsi="Times New Roman" w:cs="Times New Roman"/>
          <w:sz w:val="24"/>
          <w:szCs w:val="24"/>
        </w:rPr>
        <w:t>čenie zvýšenia platov ústavného činiteľa</w:t>
      </w:r>
      <w:r w:rsidRPr="0036642D">
        <w:rPr>
          <w:rFonts w:ascii="Times New Roman" w:hAnsi="Times New Roman" w:cs="Times New Roman"/>
          <w:sz w:val="24"/>
          <w:szCs w:val="24"/>
        </w:rPr>
        <w:t xml:space="preserve"> (ministra) a predstavených v politickej funkcii (št</w:t>
      </w:r>
      <w:r w:rsidRPr="0036642D">
        <w:rPr>
          <w:rFonts w:ascii="Times New Roman" w:hAnsi="Times New Roman" w:cs="Times New Roman"/>
          <w:sz w:val="24"/>
          <w:szCs w:val="24"/>
        </w:rPr>
        <w:t>átneho tajomníka</w:t>
      </w:r>
      <w:r>
        <w:rPr>
          <w:rFonts w:ascii="Times New Roman" w:hAnsi="Times New Roman" w:cs="Times New Roman"/>
          <w:sz w:val="24"/>
          <w:szCs w:val="24"/>
        </w:rPr>
        <w:t>, vedúceho služobného úradu a splnomocnenca). Predmetná úprava platov sa realizovala v nadväznosti na výšku priemernej mesačnej nominálnej mzdy zamestnanca hospodárstva SR dosiahnutej za rok 2006</w:t>
      </w:r>
      <w:r w:rsidRPr="00FB34E9">
        <w:rPr>
          <w:rFonts w:ascii="Times New Roman" w:hAnsi="Times New Roman" w:cs="Times New Roman"/>
          <w:sz w:val="24"/>
          <w:szCs w:val="24"/>
        </w:rPr>
        <w:t xml:space="preserve"> </w:t>
      </w:r>
      <w:r>
        <w:rPr>
          <w:rFonts w:ascii="Times New Roman" w:hAnsi="Times New Roman" w:cs="Times New Roman"/>
          <w:sz w:val="24"/>
          <w:szCs w:val="24"/>
        </w:rPr>
        <w:t>a zverejnenej Štatistickým úradom SR. Zároveň sa v súlade s bodom A.4 uznesenia vlády SR č. 284/2001 k návrhu na určenie platových náležitostí členov vlády SR zabezpečila úprava paušálnej náhrady člena vlády, ktorá vyplynula z medziročnej miery inflácie SR za rok 2006 zverejnenej Štatistickým úradom</w:t>
      </w:r>
      <w:r>
        <w:rPr>
          <w:rFonts w:ascii="Times New Roman" w:hAnsi="Times New Roman" w:cs="Times New Roman"/>
          <w:sz w:val="24"/>
          <w:szCs w:val="24"/>
        </w:rPr>
        <w:t xml:space="preserve"> SR.   </w:t>
      </w:r>
    </w:p>
    <w:p w:rsidR="00FB34E9" w:rsidP="00FB34E9">
      <w:pPr>
        <w:pStyle w:val="BodyText2"/>
        <w:spacing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p>
    <w:p w:rsidR="00FB34E9" w:rsidP="00FB34E9">
      <w:pPr>
        <w:pStyle w:val="BodyText2"/>
        <w:spacing w:line="240" w:lineRule="auto"/>
        <w:rPr>
          <w:rFonts w:ascii="Times New Roman" w:hAnsi="Times New Roman" w:cs="Times New Roman"/>
          <w:b/>
          <w:sz w:val="24"/>
          <w:szCs w:val="24"/>
          <w:u w:val="single"/>
        </w:rPr>
      </w:pPr>
      <w:r>
        <w:rPr>
          <w:rFonts w:ascii="Times New Roman" w:hAnsi="Times New Roman" w:cs="Times New Roman"/>
          <w:b/>
          <w:sz w:val="24"/>
          <w:szCs w:val="24"/>
          <w:u w:val="single"/>
        </w:rPr>
        <w:t>Rozpočtové opatrenie č. 6</w:t>
      </w:r>
    </w:p>
    <w:p w:rsidR="00FB34E9" w:rsidP="00FB34E9">
      <w:pPr>
        <w:spacing w:line="240" w:lineRule="auto"/>
        <w:rPr>
          <w:rFonts w:ascii="Times New Roman" w:hAnsi="Times New Roman" w:cs="Times New Roman"/>
          <w:i/>
          <w:sz w:val="24"/>
        </w:rPr>
      </w:pPr>
    </w:p>
    <w:p w:rsidR="00FB34E9" w:rsidRPr="008A078C" w:rsidP="00FB34E9">
      <w:pPr>
        <w:spacing w:line="240" w:lineRule="auto"/>
        <w:ind w:firstLine="709"/>
        <w:rPr>
          <w:rFonts w:ascii="Times New Roman" w:hAnsi="Times New Roman" w:cs="Times New Roman"/>
          <w:sz w:val="24"/>
        </w:rPr>
      </w:pPr>
      <w:r>
        <w:rPr>
          <w:rFonts w:ascii="Times New Roman" w:hAnsi="Times New Roman" w:cs="Times New Roman"/>
          <w:sz w:val="24"/>
        </w:rPr>
        <w:t>Viazanie bežných a kapitálových výdavkov (všetky kategórie</w:t>
      </w:r>
      <w:r w:rsidRPr="00737A04">
        <w:rPr>
          <w:rFonts w:ascii="Times New Roman" w:hAnsi="Times New Roman" w:cs="Times New Roman"/>
          <w:sz w:val="24"/>
        </w:rPr>
        <w:t>) kapit</w:t>
      </w:r>
      <w:r>
        <w:rPr>
          <w:rFonts w:ascii="Times New Roman" w:hAnsi="Times New Roman" w:cs="Times New Roman"/>
          <w:sz w:val="24"/>
        </w:rPr>
        <w:t>oly MDPT SR vo výške 149 309 </w:t>
      </w:r>
      <w:r w:rsidR="00190408">
        <w:rPr>
          <w:rFonts w:ascii="Times New Roman" w:hAnsi="Times New Roman" w:cs="Times New Roman"/>
          <w:sz w:val="24"/>
        </w:rPr>
        <w:t xml:space="preserve">000,- Sk </w:t>
      </w:r>
      <w:r w:rsidRPr="00737A04">
        <w:rPr>
          <w:rFonts w:ascii="Times New Roman" w:hAnsi="Times New Roman" w:cs="Times New Roman"/>
          <w:sz w:val="24"/>
        </w:rPr>
        <w:t xml:space="preserve">určených </w:t>
      </w:r>
      <w:r w:rsidR="00190408">
        <w:rPr>
          <w:rFonts w:ascii="Times New Roman" w:hAnsi="Times New Roman" w:cs="Times New Roman"/>
          <w:sz w:val="24"/>
        </w:rPr>
        <w:t xml:space="preserve">v roku 2007 </w:t>
      </w:r>
      <w:r w:rsidRPr="00737A04">
        <w:rPr>
          <w:rFonts w:ascii="Times New Roman" w:hAnsi="Times New Roman" w:cs="Times New Roman"/>
          <w:sz w:val="24"/>
        </w:rPr>
        <w:t>na plnenie rozvojových úloh informat</w:t>
      </w:r>
      <w:r w:rsidR="008A078C">
        <w:rPr>
          <w:rFonts w:ascii="Times New Roman" w:hAnsi="Times New Roman" w:cs="Times New Roman"/>
          <w:sz w:val="24"/>
        </w:rPr>
        <w:t xml:space="preserve">izácie spoločnosti, </w:t>
      </w:r>
      <w:r w:rsidRPr="008A078C" w:rsidR="008A078C">
        <w:rPr>
          <w:rFonts w:ascii="Times New Roman" w:hAnsi="Times New Roman" w:cs="Times New Roman"/>
          <w:sz w:val="24"/>
        </w:rPr>
        <w:t>v zmysle delimitačného protokolu o prevode prostriedkov štátneho rozpočtu medzi Úradom vlády SR a MDPT SR v súvislosti s prechodom kompetencií v oblasti informatizácie spoločnosti</w:t>
      </w:r>
      <w:r w:rsidR="008A078C">
        <w:rPr>
          <w:rFonts w:ascii="Times New Roman" w:hAnsi="Times New Roman" w:cs="Times New Roman"/>
          <w:sz w:val="24"/>
        </w:rPr>
        <w:t xml:space="preserve">. </w:t>
      </w:r>
    </w:p>
    <w:p w:rsidR="00324262" w:rsidRPr="00324262" w:rsidP="00324262">
      <w:pPr>
        <w:pStyle w:val="BodyText2"/>
        <w:spacing w:line="240" w:lineRule="auto"/>
        <w:rPr>
          <w:rFonts w:ascii="Times New Roman" w:hAnsi="Times New Roman" w:cs="Times New Roman"/>
          <w:sz w:val="24"/>
          <w:szCs w:val="24"/>
        </w:rPr>
      </w:pPr>
    </w:p>
    <w:p w:rsidR="008A078C" w:rsidP="008A078C">
      <w:pPr>
        <w:pStyle w:val="BodyText2"/>
        <w:spacing w:line="240" w:lineRule="auto"/>
        <w:rPr>
          <w:rFonts w:ascii="Times New Roman" w:hAnsi="Times New Roman" w:cs="Times New Roman"/>
          <w:b/>
          <w:sz w:val="24"/>
          <w:szCs w:val="24"/>
          <w:u w:val="single"/>
        </w:rPr>
      </w:pPr>
      <w:r>
        <w:rPr>
          <w:rFonts w:ascii="Times New Roman" w:hAnsi="Times New Roman" w:cs="Times New Roman"/>
          <w:b/>
          <w:sz w:val="24"/>
          <w:szCs w:val="24"/>
          <w:u w:val="single"/>
        </w:rPr>
        <w:t>Rozpočtové opatrenie č. 7</w:t>
      </w:r>
    </w:p>
    <w:p w:rsidR="008A078C" w:rsidP="008A078C">
      <w:pPr>
        <w:spacing w:line="240" w:lineRule="auto"/>
        <w:rPr>
          <w:rFonts w:ascii="Times New Roman" w:hAnsi="Times New Roman" w:cs="Times New Roman"/>
          <w:i/>
          <w:sz w:val="24"/>
        </w:rPr>
      </w:pPr>
    </w:p>
    <w:p w:rsidR="008A078C" w:rsidRPr="008A078C" w:rsidP="008A078C">
      <w:pPr>
        <w:spacing w:line="240" w:lineRule="auto"/>
        <w:ind w:firstLine="709"/>
        <w:rPr>
          <w:rFonts w:ascii="Times New Roman" w:hAnsi="Times New Roman" w:cs="Times New Roman"/>
          <w:sz w:val="24"/>
        </w:rPr>
      </w:pPr>
      <w:r>
        <w:rPr>
          <w:rFonts w:ascii="Times New Roman" w:hAnsi="Times New Roman" w:cs="Times New Roman"/>
          <w:sz w:val="24"/>
        </w:rPr>
        <w:t>Viazanie bežných a kapitálových výdavkov (všetky kategórie</w:t>
      </w:r>
      <w:r w:rsidRPr="00737A04">
        <w:rPr>
          <w:rFonts w:ascii="Times New Roman" w:hAnsi="Times New Roman" w:cs="Times New Roman"/>
          <w:sz w:val="24"/>
        </w:rPr>
        <w:t>) kapit</w:t>
      </w:r>
      <w:r>
        <w:rPr>
          <w:rFonts w:ascii="Times New Roman" w:hAnsi="Times New Roman" w:cs="Times New Roman"/>
          <w:sz w:val="24"/>
        </w:rPr>
        <w:t>oly MDPT SR vo výške</w:t>
      </w:r>
      <w:r>
        <w:rPr>
          <w:rFonts w:ascii="Times New Roman" w:hAnsi="Times New Roman" w:cs="Times New Roman"/>
          <w:sz w:val="24"/>
        </w:rPr>
        <w:t xml:space="preserve"> 57 175 </w:t>
      </w:r>
      <w:r w:rsidR="00190408">
        <w:rPr>
          <w:rFonts w:ascii="Times New Roman" w:hAnsi="Times New Roman" w:cs="Times New Roman"/>
          <w:sz w:val="24"/>
        </w:rPr>
        <w:t xml:space="preserve">600,- Sk </w:t>
      </w:r>
      <w:r w:rsidRPr="00737A04">
        <w:rPr>
          <w:rFonts w:ascii="Times New Roman" w:hAnsi="Times New Roman" w:cs="Times New Roman"/>
          <w:sz w:val="24"/>
        </w:rPr>
        <w:t xml:space="preserve">určených </w:t>
      </w:r>
      <w:r w:rsidR="00190408">
        <w:rPr>
          <w:rFonts w:ascii="Times New Roman" w:hAnsi="Times New Roman" w:cs="Times New Roman"/>
          <w:sz w:val="24"/>
        </w:rPr>
        <w:t xml:space="preserve">v roku 2007 </w:t>
      </w:r>
      <w:r w:rsidRPr="00737A04">
        <w:rPr>
          <w:rFonts w:ascii="Times New Roman" w:hAnsi="Times New Roman" w:cs="Times New Roman"/>
          <w:sz w:val="24"/>
        </w:rPr>
        <w:t>na plnenie rozvojových úloh informat</w:t>
      </w:r>
      <w:r>
        <w:rPr>
          <w:rFonts w:ascii="Times New Roman" w:hAnsi="Times New Roman" w:cs="Times New Roman"/>
          <w:sz w:val="24"/>
        </w:rPr>
        <w:t xml:space="preserve">izácie spoločnosti, </w:t>
      </w:r>
      <w:r w:rsidRPr="008A078C">
        <w:rPr>
          <w:rFonts w:ascii="Times New Roman" w:hAnsi="Times New Roman" w:cs="Times New Roman"/>
          <w:sz w:val="24"/>
        </w:rPr>
        <w:t>v zmysle delimitačného protokolu o prevode prostriedkov štátn</w:t>
      </w:r>
      <w:r>
        <w:rPr>
          <w:rFonts w:ascii="Times New Roman" w:hAnsi="Times New Roman" w:cs="Times New Roman"/>
          <w:sz w:val="24"/>
        </w:rPr>
        <w:t xml:space="preserve">eho rozpočtu medzi Ministerstvom financií </w:t>
      </w:r>
      <w:r w:rsidRPr="008A078C">
        <w:rPr>
          <w:rFonts w:ascii="Times New Roman" w:hAnsi="Times New Roman" w:cs="Times New Roman"/>
          <w:sz w:val="24"/>
        </w:rPr>
        <w:t>SR a MDPT SR v súvislosti s prechodom kompetencií v oblasti informatizácie spoločnosti</w:t>
      </w:r>
      <w:r>
        <w:rPr>
          <w:rFonts w:ascii="Times New Roman" w:hAnsi="Times New Roman" w:cs="Times New Roman"/>
          <w:sz w:val="24"/>
        </w:rPr>
        <w:t xml:space="preserve">. </w:t>
      </w:r>
    </w:p>
    <w:p w:rsidR="008D28A4" w:rsidP="00C362EA">
      <w:pPr>
        <w:pStyle w:val="BodyText2"/>
        <w:spacing w:line="240" w:lineRule="auto"/>
        <w:rPr>
          <w:rFonts w:ascii="Times New Roman" w:hAnsi="Times New Roman" w:cs="Times New Roman"/>
          <w:b/>
          <w:sz w:val="24"/>
          <w:szCs w:val="24"/>
          <w:u w:val="single"/>
        </w:rPr>
      </w:pPr>
    </w:p>
    <w:p w:rsidR="00956700" w:rsidRPr="00A915E4" w:rsidP="00C362EA">
      <w:pPr>
        <w:pStyle w:val="BodyText2"/>
        <w:spacing w:line="240" w:lineRule="auto"/>
        <w:rPr>
          <w:rFonts w:ascii="Times New Roman" w:hAnsi="Times New Roman" w:cs="Times New Roman"/>
          <w:b/>
          <w:sz w:val="24"/>
          <w:szCs w:val="24"/>
          <w:u w:val="single"/>
        </w:rPr>
      </w:pPr>
      <w:r w:rsidRPr="00A915E4" w:rsidR="00D27E26">
        <w:rPr>
          <w:rFonts w:ascii="Times New Roman" w:hAnsi="Times New Roman" w:cs="Times New Roman"/>
          <w:b/>
          <w:sz w:val="24"/>
          <w:szCs w:val="24"/>
          <w:u w:val="single"/>
        </w:rPr>
        <w:t>Rozp</w:t>
      </w:r>
      <w:r w:rsidR="008A078C">
        <w:rPr>
          <w:rFonts w:ascii="Times New Roman" w:hAnsi="Times New Roman" w:cs="Times New Roman"/>
          <w:b/>
          <w:sz w:val="24"/>
          <w:szCs w:val="24"/>
          <w:u w:val="single"/>
        </w:rPr>
        <w:t>očtové opatrenie č. 8</w:t>
      </w:r>
    </w:p>
    <w:p w:rsidR="00C0431E" w:rsidP="00C362EA">
      <w:pPr>
        <w:pStyle w:val="BodyText2"/>
        <w:spacing w:line="240" w:lineRule="auto"/>
        <w:rPr>
          <w:rFonts w:ascii="Times New Roman" w:hAnsi="Times New Roman" w:cs="Times New Roman"/>
          <w:sz w:val="24"/>
          <w:szCs w:val="24"/>
        </w:rPr>
      </w:pPr>
    </w:p>
    <w:p w:rsidR="00856D2D" w:rsidP="00C362EA">
      <w:pPr>
        <w:pStyle w:val="BodyText2"/>
        <w:spacing w:line="240" w:lineRule="auto"/>
        <w:ind w:firstLine="709"/>
        <w:rPr>
          <w:rFonts w:ascii="Times New Roman" w:hAnsi="Times New Roman" w:cs="Times New Roman"/>
          <w:sz w:val="24"/>
          <w:szCs w:val="24"/>
        </w:rPr>
      </w:pPr>
      <w:r w:rsidR="00C0431E">
        <w:rPr>
          <w:rFonts w:ascii="Times New Roman" w:hAnsi="Times New Roman" w:cs="Times New Roman"/>
          <w:sz w:val="24"/>
          <w:szCs w:val="24"/>
        </w:rPr>
        <w:t>Na základe požiadavky kap</w:t>
      </w:r>
      <w:r w:rsidR="00617048">
        <w:rPr>
          <w:rFonts w:ascii="Times New Roman" w:hAnsi="Times New Roman" w:cs="Times New Roman"/>
          <w:sz w:val="24"/>
          <w:szCs w:val="24"/>
        </w:rPr>
        <w:t xml:space="preserve">itoly MDPT SR, </w:t>
      </w:r>
      <w:r w:rsidR="00C0431E">
        <w:rPr>
          <w:rFonts w:ascii="Times New Roman" w:hAnsi="Times New Roman" w:cs="Times New Roman"/>
          <w:sz w:val="24"/>
          <w:szCs w:val="24"/>
        </w:rPr>
        <w:t>v nadväznosti na uznesenia vlády SR č. 328/2004</w:t>
      </w:r>
      <w:r w:rsidR="00617048">
        <w:rPr>
          <w:rFonts w:ascii="Times New Roman" w:hAnsi="Times New Roman" w:cs="Times New Roman"/>
          <w:sz w:val="24"/>
          <w:szCs w:val="24"/>
        </w:rPr>
        <w:t xml:space="preserve">, 612/2004, 544/2005 a 727/2005, </w:t>
      </w:r>
      <w:r w:rsidR="00C0431E">
        <w:rPr>
          <w:rFonts w:ascii="Times New Roman" w:hAnsi="Times New Roman" w:cs="Times New Roman"/>
          <w:sz w:val="24"/>
          <w:szCs w:val="24"/>
        </w:rPr>
        <w:t xml:space="preserve">sa rozpočtovým opatrením </w:t>
      </w:r>
      <w:r w:rsidRPr="00C0431E" w:rsidR="00C0431E">
        <w:rPr>
          <w:rFonts w:ascii="Times New Roman" w:hAnsi="Times New Roman" w:cs="Times New Roman"/>
          <w:sz w:val="24"/>
          <w:szCs w:val="24"/>
        </w:rPr>
        <w:t xml:space="preserve">zabezpečil presun prostriedkov v rámci </w:t>
      </w:r>
      <w:r w:rsidR="00C0431E">
        <w:rPr>
          <w:rFonts w:ascii="Times New Roman" w:hAnsi="Times New Roman" w:cs="Times New Roman"/>
          <w:sz w:val="24"/>
          <w:szCs w:val="24"/>
        </w:rPr>
        <w:t xml:space="preserve">kapitoly </w:t>
      </w:r>
      <w:r w:rsidR="00617048">
        <w:rPr>
          <w:rFonts w:ascii="Times New Roman" w:hAnsi="Times New Roman" w:cs="Times New Roman"/>
          <w:sz w:val="24"/>
          <w:szCs w:val="24"/>
        </w:rPr>
        <w:t>a tec</w:t>
      </w:r>
      <w:r w:rsidR="00617048">
        <w:rPr>
          <w:rFonts w:ascii="Times New Roman" w:hAnsi="Times New Roman" w:cs="Times New Roman"/>
          <w:sz w:val="24"/>
          <w:szCs w:val="24"/>
        </w:rPr>
        <w:t xml:space="preserve">hnickej asistencie </w:t>
      </w:r>
      <w:r w:rsidRPr="00C0431E" w:rsidR="00C0431E">
        <w:rPr>
          <w:rFonts w:ascii="Times New Roman" w:hAnsi="Times New Roman" w:cs="Times New Roman"/>
          <w:sz w:val="24"/>
          <w:szCs w:val="24"/>
        </w:rPr>
        <w:t>z</w:t>
      </w:r>
      <w:r w:rsidR="00521161">
        <w:rPr>
          <w:rFonts w:ascii="Times New Roman" w:hAnsi="Times New Roman" w:cs="Times New Roman"/>
          <w:sz w:val="24"/>
          <w:szCs w:val="24"/>
        </w:rPr>
        <w:t> kategórie 630 – Tovary</w:t>
      </w:r>
      <w:r w:rsidRPr="00C0431E" w:rsidR="00C0431E">
        <w:rPr>
          <w:rFonts w:ascii="Times New Roman" w:hAnsi="Times New Roman" w:cs="Times New Roman"/>
          <w:sz w:val="24"/>
          <w:szCs w:val="24"/>
        </w:rPr>
        <w:t xml:space="preserve"> a</w:t>
      </w:r>
      <w:r w:rsidR="00521161">
        <w:rPr>
          <w:rFonts w:ascii="Times New Roman" w:hAnsi="Times New Roman" w:cs="Times New Roman"/>
          <w:sz w:val="24"/>
          <w:szCs w:val="24"/>
        </w:rPr>
        <w:t> služ</w:t>
      </w:r>
      <w:r w:rsidRPr="00C0431E" w:rsidR="00C0431E">
        <w:rPr>
          <w:rFonts w:ascii="Times New Roman" w:hAnsi="Times New Roman" w:cs="Times New Roman"/>
          <w:sz w:val="24"/>
          <w:szCs w:val="24"/>
        </w:rPr>
        <w:t>b</w:t>
      </w:r>
      <w:r w:rsidR="00521161">
        <w:rPr>
          <w:rFonts w:ascii="Times New Roman" w:hAnsi="Times New Roman" w:cs="Times New Roman"/>
          <w:sz w:val="24"/>
          <w:szCs w:val="24"/>
        </w:rPr>
        <w:t xml:space="preserve">y </w:t>
      </w:r>
      <w:r w:rsidR="008A078C">
        <w:rPr>
          <w:rFonts w:ascii="Times New Roman" w:hAnsi="Times New Roman" w:cs="Times New Roman"/>
          <w:sz w:val="24"/>
          <w:szCs w:val="24"/>
        </w:rPr>
        <w:t xml:space="preserve">do kategórie </w:t>
      </w:r>
      <w:r w:rsidR="00521161">
        <w:rPr>
          <w:rFonts w:ascii="Times New Roman" w:hAnsi="Times New Roman" w:cs="Times New Roman"/>
          <w:sz w:val="24"/>
          <w:szCs w:val="24"/>
        </w:rPr>
        <w:t>610 – M</w:t>
      </w:r>
      <w:r w:rsidR="008A078C">
        <w:rPr>
          <w:rFonts w:ascii="Times New Roman" w:hAnsi="Times New Roman" w:cs="Times New Roman"/>
          <w:sz w:val="24"/>
          <w:szCs w:val="24"/>
        </w:rPr>
        <w:t>zdy, pla</w:t>
      </w:r>
      <w:r w:rsidR="00521161">
        <w:rPr>
          <w:rFonts w:ascii="Times New Roman" w:hAnsi="Times New Roman" w:cs="Times New Roman"/>
          <w:sz w:val="24"/>
          <w:szCs w:val="24"/>
        </w:rPr>
        <w:t xml:space="preserve">ty, služobné príjmy a OOV </w:t>
      </w:r>
      <w:r w:rsidR="008A078C">
        <w:rPr>
          <w:rFonts w:ascii="Times New Roman" w:hAnsi="Times New Roman" w:cs="Times New Roman"/>
          <w:sz w:val="24"/>
          <w:szCs w:val="24"/>
        </w:rPr>
        <w:t xml:space="preserve">vo výške 12 000 000,- Sk, z toho prostriedkov EÚ vo výške 9 000 000,- Sk a príslušného spolufinancovania zo ŠR vo výške 3 000 000,- Sk. </w:t>
      </w:r>
      <w:r w:rsidR="00C0431E">
        <w:rPr>
          <w:rFonts w:ascii="Times New Roman" w:hAnsi="Times New Roman" w:cs="Times New Roman"/>
          <w:sz w:val="24"/>
          <w:szCs w:val="24"/>
        </w:rPr>
        <w:t>Finančné prostriedky boli určené na refundáciu miezd oprávnených zamestnancov</w:t>
      </w:r>
      <w:r w:rsidR="00617048">
        <w:rPr>
          <w:rFonts w:ascii="Times New Roman" w:hAnsi="Times New Roman" w:cs="Times New Roman"/>
          <w:sz w:val="24"/>
          <w:szCs w:val="24"/>
        </w:rPr>
        <w:t xml:space="preserve"> MDPT SR. </w:t>
      </w:r>
    </w:p>
    <w:p w:rsidR="009D4096" w:rsidP="00BB0D06">
      <w:pPr>
        <w:pStyle w:val="BodyText2"/>
        <w:spacing w:line="240" w:lineRule="auto"/>
        <w:rPr>
          <w:rFonts w:ascii="Times New Roman" w:hAnsi="Times New Roman" w:cs="Times New Roman"/>
          <w:b/>
          <w:sz w:val="24"/>
          <w:szCs w:val="24"/>
          <w:u w:val="single"/>
        </w:rPr>
      </w:pPr>
    </w:p>
    <w:p w:rsidR="00BB0D06" w:rsidP="00BB0D06">
      <w:pPr>
        <w:pStyle w:val="BodyText2"/>
        <w:spacing w:line="240" w:lineRule="auto"/>
        <w:rPr>
          <w:rFonts w:ascii="Times New Roman" w:hAnsi="Times New Roman" w:cs="Times New Roman"/>
          <w:b/>
          <w:sz w:val="24"/>
          <w:szCs w:val="24"/>
          <w:u w:val="single"/>
        </w:rPr>
      </w:pPr>
      <w:r>
        <w:rPr>
          <w:rFonts w:ascii="Times New Roman" w:hAnsi="Times New Roman" w:cs="Times New Roman"/>
          <w:b/>
          <w:sz w:val="24"/>
          <w:szCs w:val="24"/>
          <w:u w:val="single"/>
        </w:rPr>
        <w:t>Rozpočtové opatrenie č. 9</w:t>
      </w:r>
    </w:p>
    <w:p w:rsidR="00BB0D06" w:rsidP="00BB0D06">
      <w:pPr>
        <w:pStyle w:val="BodyText2"/>
        <w:spacing w:line="240" w:lineRule="auto"/>
        <w:rPr>
          <w:rFonts w:ascii="Times New Roman" w:hAnsi="Times New Roman" w:cs="Times New Roman"/>
          <w:b/>
          <w:sz w:val="24"/>
          <w:szCs w:val="24"/>
          <w:u w:val="single"/>
        </w:rPr>
      </w:pPr>
    </w:p>
    <w:p w:rsidR="00AB0FC7" w:rsidP="00AE3AF3">
      <w:pPr>
        <w:pStyle w:val="BodyText2"/>
        <w:spacing w:line="240" w:lineRule="auto"/>
        <w:ind w:firstLine="709"/>
        <w:rPr>
          <w:rFonts w:ascii="Times New Roman" w:hAnsi="Times New Roman" w:cs="Times New Roman"/>
          <w:sz w:val="24"/>
          <w:szCs w:val="24"/>
        </w:rPr>
      </w:pPr>
      <w:r w:rsidR="00BB0D06">
        <w:rPr>
          <w:rFonts w:ascii="Times New Roman" w:hAnsi="Times New Roman" w:cs="Times New Roman"/>
          <w:sz w:val="24"/>
          <w:szCs w:val="24"/>
        </w:rPr>
        <w:t xml:space="preserve">Viazanie 21 056 tis. Sk v kategórii </w:t>
      </w:r>
      <w:r w:rsidRPr="00BB0D06" w:rsidR="00BB0D06">
        <w:rPr>
          <w:rFonts w:ascii="Times New Roman" w:hAnsi="Times New Roman" w:cs="Times New Roman"/>
          <w:sz w:val="24"/>
          <w:szCs w:val="24"/>
        </w:rPr>
        <w:t xml:space="preserve">630 </w:t>
      </w:r>
      <w:r w:rsidR="00BB0D06">
        <w:rPr>
          <w:rFonts w:ascii="Times New Roman" w:hAnsi="Times New Roman" w:cs="Times New Roman"/>
          <w:sz w:val="24"/>
          <w:szCs w:val="24"/>
        </w:rPr>
        <w:t>– Tovary a služby aparátu MDPT SR  v prospech Železničnej polície na z</w:t>
      </w:r>
      <w:r w:rsidRPr="00BB0D06" w:rsidR="00BB0D06">
        <w:rPr>
          <w:rFonts w:ascii="Times New Roman" w:hAnsi="Times New Roman" w:cs="Times New Roman"/>
          <w:sz w:val="24"/>
          <w:szCs w:val="24"/>
        </w:rPr>
        <w:t>abezpečenie Koncepcie ochrany bezpečnosti c</w:t>
      </w:r>
      <w:r w:rsidRPr="00BB0D06" w:rsidR="00BB0D06">
        <w:rPr>
          <w:rFonts w:ascii="Times New Roman" w:hAnsi="Times New Roman" w:cs="Times New Roman"/>
          <w:sz w:val="24"/>
          <w:szCs w:val="24"/>
        </w:rPr>
        <w:t xml:space="preserve">estujúcej verejnosti </w:t>
      </w:r>
      <w:r w:rsidR="008103C8">
        <w:rPr>
          <w:rFonts w:ascii="Times New Roman" w:hAnsi="Times New Roman" w:cs="Times New Roman"/>
          <w:sz w:val="24"/>
          <w:szCs w:val="24"/>
        </w:rPr>
        <w:t xml:space="preserve"> </w:t>
      </w:r>
      <w:r w:rsidRPr="00BB0D06" w:rsidR="00BB0D06">
        <w:rPr>
          <w:rFonts w:ascii="Times New Roman" w:hAnsi="Times New Roman" w:cs="Times New Roman"/>
          <w:sz w:val="24"/>
          <w:szCs w:val="24"/>
        </w:rPr>
        <w:t>a</w:t>
      </w:r>
      <w:r w:rsidR="008103C8">
        <w:rPr>
          <w:rFonts w:ascii="Times New Roman" w:hAnsi="Times New Roman" w:cs="Times New Roman"/>
          <w:sz w:val="24"/>
          <w:szCs w:val="24"/>
        </w:rPr>
        <w:t> </w:t>
      </w:r>
      <w:r w:rsidRPr="00BB0D06" w:rsidR="00BB0D06">
        <w:rPr>
          <w:rFonts w:ascii="Times New Roman" w:hAnsi="Times New Roman" w:cs="Times New Roman"/>
          <w:sz w:val="24"/>
          <w:szCs w:val="24"/>
        </w:rPr>
        <w:t>ochrany</w:t>
      </w:r>
      <w:r w:rsidR="008103C8">
        <w:rPr>
          <w:rFonts w:ascii="Times New Roman" w:hAnsi="Times New Roman" w:cs="Times New Roman"/>
          <w:sz w:val="24"/>
          <w:szCs w:val="24"/>
        </w:rPr>
        <w:t xml:space="preserve"> </w:t>
      </w:r>
      <w:r w:rsidRPr="00BB0D06" w:rsidR="00BB0D06">
        <w:rPr>
          <w:rFonts w:ascii="Times New Roman" w:hAnsi="Times New Roman" w:cs="Times New Roman"/>
          <w:sz w:val="24"/>
          <w:szCs w:val="24"/>
        </w:rPr>
        <w:t xml:space="preserve"> majetku </w:t>
      </w:r>
      <w:r w:rsidR="008103C8">
        <w:rPr>
          <w:rFonts w:ascii="Times New Roman" w:hAnsi="Times New Roman" w:cs="Times New Roman"/>
          <w:sz w:val="24"/>
          <w:szCs w:val="24"/>
        </w:rPr>
        <w:t xml:space="preserve"> </w:t>
      </w:r>
      <w:r w:rsidRPr="00BB0D06" w:rsidR="00BB0D06">
        <w:rPr>
          <w:rFonts w:ascii="Times New Roman" w:hAnsi="Times New Roman" w:cs="Times New Roman"/>
          <w:sz w:val="24"/>
          <w:szCs w:val="24"/>
        </w:rPr>
        <w:t xml:space="preserve">v </w:t>
      </w:r>
      <w:r w:rsidR="008103C8">
        <w:rPr>
          <w:rFonts w:ascii="Times New Roman" w:hAnsi="Times New Roman" w:cs="Times New Roman"/>
          <w:sz w:val="24"/>
          <w:szCs w:val="24"/>
        </w:rPr>
        <w:t xml:space="preserve"> </w:t>
      </w:r>
      <w:r w:rsidRPr="00BB0D06" w:rsidR="00BB0D06">
        <w:rPr>
          <w:rFonts w:ascii="Times New Roman" w:hAnsi="Times New Roman" w:cs="Times New Roman"/>
          <w:sz w:val="24"/>
          <w:szCs w:val="24"/>
        </w:rPr>
        <w:t xml:space="preserve">obvode </w:t>
      </w:r>
      <w:r w:rsidR="008103C8">
        <w:rPr>
          <w:rFonts w:ascii="Times New Roman" w:hAnsi="Times New Roman" w:cs="Times New Roman"/>
          <w:sz w:val="24"/>
          <w:szCs w:val="24"/>
        </w:rPr>
        <w:t xml:space="preserve"> </w:t>
      </w:r>
      <w:r w:rsidRPr="00BB0D06" w:rsidR="00BB0D06">
        <w:rPr>
          <w:rFonts w:ascii="Times New Roman" w:hAnsi="Times New Roman" w:cs="Times New Roman"/>
          <w:sz w:val="24"/>
          <w:szCs w:val="24"/>
        </w:rPr>
        <w:t>železničných dráh, konkrétne zmeny platových tried</w:t>
      </w:r>
      <w:r w:rsidR="00BB0D06">
        <w:rPr>
          <w:rFonts w:ascii="Times New Roman" w:hAnsi="Times New Roman" w:cs="Times New Roman"/>
          <w:sz w:val="24"/>
          <w:szCs w:val="24"/>
        </w:rPr>
        <w:t xml:space="preserve"> funkcie inšpektor z 2. platovej triedy na 3. platovú </w:t>
      </w:r>
      <w:r w:rsidRPr="00BB0D06" w:rsidR="00BB0D06">
        <w:rPr>
          <w:rFonts w:ascii="Times New Roman" w:hAnsi="Times New Roman" w:cs="Times New Roman"/>
          <w:sz w:val="24"/>
          <w:szCs w:val="24"/>
        </w:rPr>
        <w:t xml:space="preserve">triedu (610 vo výške 5 148 tis. </w:t>
      </w:r>
      <w:r w:rsidR="005B6E5D">
        <w:rPr>
          <w:rFonts w:ascii="Times New Roman" w:hAnsi="Times New Roman" w:cs="Times New Roman"/>
          <w:sz w:val="24"/>
          <w:szCs w:val="24"/>
        </w:rPr>
        <w:t xml:space="preserve">Sk, 620 vo výške 1 658 tis. Sk) </w:t>
      </w:r>
      <w:r w:rsidRPr="00BB0D06" w:rsidR="00BB0D06">
        <w:rPr>
          <w:rFonts w:ascii="Times New Roman" w:hAnsi="Times New Roman" w:cs="Times New Roman"/>
          <w:sz w:val="24"/>
          <w:szCs w:val="24"/>
        </w:rPr>
        <w:t>a na výstavbu VKV rádiového spojenia Žel</w:t>
      </w:r>
      <w:r w:rsidR="00BB0D06">
        <w:rPr>
          <w:rFonts w:ascii="Times New Roman" w:hAnsi="Times New Roman" w:cs="Times New Roman"/>
          <w:sz w:val="24"/>
          <w:szCs w:val="24"/>
        </w:rPr>
        <w:t>e</w:t>
      </w:r>
      <w:r w:rsidRPr="00BB0D06" w:rsidR="00BB0D06">
        <w:rPr>
          <w:rFonts w:ascii="Times New Roman" w:hAnsi="Times New Roman" w:cs="Times New Roman"/>
          <w:sz w:val="24"/>
          <w:szCs w:val="24"/>
        </w:rPr>
        <w:t>zničnej políci</w:t>
      </w:r>
      <w:r w:rsidR="00BB0D06">
        <w:rPr>
          <w:rFonts w:ascii="Times New Roman" w:hAnsi="Times New Roman" w:cs="Times New Roman"/>
          <w:sz w:val="24"/>
          <w:szCs w:val="24"/>
        </w:rPr>
        <w:t>e vo výške 14 250 tis. Sk (710 – Kapitálové výdavky).</w:t>
      </w:r>
    </w:p>
    <w:p w:rsidR="000212D7" w:rsidP="00C362EA">
      <w:pPr>
        <w:pStyle w:val="BodyText2"/>
        <w:spacing w:line="240" w:lineRule="auto"/>
        <w:rPr>
          <w:rFonts w:ascii="Times New Roman" w:hAnsi="Times New Roman" w:cs="Times New Roman"/>
          <w:b/>
          <w:sz w:val="24"/>
          <w:szCs w:val="24"/>
          <w:u w:val="single"/>
        </w:rPr>
      </w:pPr>
    </w:p>
    <w:p w:rsidR="00D27E26" w:rsidRPr="00D23807" w:rsidP="00C362EA">
      <w:pPr>
        <w:pStyle w:val="BodyText2"/>
        <w:spacing w:line="240" w:lineRule="auto"/>
        <w:rPr>
          <w:rFonts w:ascii="Times New Roman" w:hAnsi="Times New Roman" w:cs="Times New Roman"/>
          <w:b/>
          <w:sz w:val="24"/>
          <w:szCs w:val="24"/>
          <w:u w:val="single"/>
        </w:rPr>
      </w:pPr>
      <w:r w:rsidRPr="00D23807">
        <w:rPr>
          <w:rFonts w:ascii="Times New Roman" w:hAnsi="Times New Roman" w:cs="Times New Roman"/>
          <w:b/>
          <w:sz w:val="24"/>
          <w:szCs w:val="24"/>
          <w:u w:val="single"/>
        </w:rPr>
        <w:t>Rozpočtové opatrenie č. 10</w:t>
      </w:r>
    </w:p>
    <w:p w:rsidR="00E112FE" w:rsidP="00C362EA">
      <w:pPr>
        <w:pStyle w:val="BodyText2"/>
        <w:spacing w:line="240" w:lineRule="auto"/>
        <w:rPr>
          <w:rFonts w:ascii="Times New Roman" w:hAnsi="Times New Roman" w:cs="Times New Roman"/>
          <w:sz w:val="24"/>
          <w:szCs w:val="24"/>
        </w:rPr>
      </w:pPr>
    </w:p>
    <w:p w:rsidR="000B7350" w:rsidRPr="00E112FE" w:rsidP="00521161">
      <w:pPr>
        <w:pStyle w:val="BodyText2"/>
        <w:spacing w:line="240" w:lineRule="auto"/>
        <w:ind w:firstLine="709"/>
        <w:rPr>
          <w:rFonts w:ascii="Times New Roman" w:hAnsi="Times New Roman" w:cs="Times New Roman"/>
          <w:sz w:val="24"/>
          <w:szCs w:val="24"/>
        </w:rPr>
      </w:pPr>
      <w:r w:rsidR="00E112FE">
        <w:rPr>
          <w:rFonts w:ascii="Times New Roman" w:hAnsi="Times New Roman" w:cs="Times New Roman"/>
          <w:sz w:val="24"/>
          <w:szCs w:val="24"/>
        </w:rPr>
        <w:t xml:space="preserve">Navýšenie kapitálových </w:t>
      </w:r>
      <w:r w:rsidRPr="00E112FE" w:rsidR="00E112FE">
        <w:rPr>
          <w:rFonts w:ascii="Times New Roman" w:hAnsi="Times New Roman" w:cs="Times New Roman"/>
          <w:sz w:val="24"/>
          <w:szCs w:val="24"/>
        </w:rPr>
        <w:t xml:space="preserve">transferov </w:t>
      </w:r>
      <w:r w:rsidR="00521161">
        <w:rPr>
          <w:rFonts w:ascii="Times New Roman" w:hAnsi="Times New Roman" w:cs="Times New Roman"/>
          <w:sz w:val="24"/>
          <w:szCs w:val="24"/>
        </w:rPr>
        <w:t xml:space="preserve">(720) </w:t>
      </w:r>
      <w:r w:rsidR="00E112FE">
        <w:rPr>
          <w:rFonts w:ascii="Times New Roman" w:hAnsi="Times New Roman" w:cs="Times New Roman"/>
          <w:sz w:val="24"/>
          <w:szCs w:val="24"/>
        </w:rPr>
        <w:t>pre Nár</w:t>
      </w:r>
      <w:r w:rsidR="000F0CC2">
        <w:rPr>
          <w:rFonts w:ascii="Times New Roman" w:hAnsi="Times New Roman" w:cs="Times New Roman"/>
          <w:sz w:val="24"/>
          <w:szCs w:val="24"/>
        </w:rPr>
        <w:t xml:space="preserve">odnú diaľničnú spoločnosť, a.s., </w:t>
      </w:r>
      <w:r w:rsidR="00E112FE">
        <w:rPr>
          <w:rFonts w:ascii="Times New Roman" w:hAnsi="Times New Roman" w:cs="Times New Roman"/>
          <w:sz w:val="24"/>
          <w:szCs w:val="24"/>
        </w:rPr>
        <w:t xml:space="preserve">o 57 mil. Sk z kapitoly Ministerstva hospodárstva </w:t>
      </w:r>
      <w:r w:rsidRPr="00E112FE" w:rsidR="00E112FE">
        <w:rPr>
          <w:rFonts w:ascii="Times New Roman" w:hAnsi="Times New Roman" w:cs="Times New Roman"/>
          <w:sz w:val="24"/>
          <w:szCs w:val="24"/>
        </w:rPr>
        <w:t>SR na zabezpečenie výstavby diaľničného privádzača v s</w:t>
      </w:r>
      <w:r w:rsidR="00E112FE">
        <w:rPr>
          <w:rFonts w:ascii="Times New Roman" w:hAnsi="Times New Roman" w:cs="Times New Roman"/>
          <w:sz w:val="24"/>
          <w:szCs w:val="24"/>
        </w:rPr>
        <w:t xml:space="preserve">úvislosti s projektom SAMSUNG (v Registri investícii </w:t>
      </w:r>
      <w:r w:rsidRPr="00E112FE" w:rsidR="00E112FE">
        <w:rPr>
          <w:rFonts w:ascii="Times New Roman" w:hAnsi="Times New Roman" w:cs="Times New Roman"/>
          <w:sz w:val="24"/>
          <w:szCs w:val="24"/>
        </w:rPr>
        <w:t>bola vytvorená nová investičná akcia č. 18499 s názvom "Diaľnica D1, križovatka Voderady"</w:t>
      </w:r>
      <w:r w:rsidR="00521161">
        <w:rPr>
          <w:rFonts w:ascii="Times New Roman" w:hAnsi="Times New Roman" w:cs="Times New Roman"/>
          <w:sz w:val="24"/>
          <w:szCs w:val="24"/>
        </w:rPr>
        <w:t>)</w:t>
      </w:r>
      <w:r w:rsidRPr="00E112FE" w:rsidR="00E112FE">
        <w:rPr>
          <w:rFonts w:ascii="Times New Roman" w:hAnsi="Times New Roman" w:cs="Times New Roman"/>
          <w:sz w:val="24"/>
          <w:szCs w:val="24"/>
        </w:rPr>
        <w:t>.</w:t>
      </w:r>
    </w:p>
    <w:p w:rsidR="00E112FE" w:rsidP="00ED3DBB">
      <w:pPr>
        <w:pStyle w:val="BodyText2"/>
        <w:spacing w:line="240" w:lineRule="auto"/>
        <w:rPr>
          <w:rFonts w:ascii="Times New Roman" w:hAnsi="Times New Roman" w:cs="Times New Roman"/>
          <w:b/>
          <w:sz w:val="24"/>
          <w:szCs w:val="24"/>
          <w:u w:val="single"/>
        </w:rPr>
      </w:pPr>
    </w:p>
    <w:p w:rsidR="00ED3DBB" w:rsidRPr="00D23807" w:rsidP="00ED3DBB">
      <w:pPr>
        <w:pStyle w:val="BodyText2"/>
        <w:spacing w:line="240" w:lineRule="auto"/>
        <w:rPr>
          <w:rFonts w:ascii="Times New Roman" w:hAnsi="Times New Roman" w:cs="Times New Roman"/>
          <w:b/>
          <w:sz w:val="24"/>
          <w:szCs w:val="24"/>
          <w:u w:val="single"/>
        </w:rPr>
      </w:pPr>
      <w:r>
        <w:rPr>
          <w:rFonts w:ascii="Times New Roman" w:hAnsi="Times New Roman" w:cs="Times New Roman"/>
          <w:b/>
          <w:sz w:val="24"/>
          <w:szCs w:val="24"/>
          <w:u w:val="single"/>
        </w:rPr>
        <w:t>Rozpočtové opatrenie č. 11</w:t>
      </w:r>
    </w:p>
    <w:p w:rsidR="00E964F0" w:rsidRPr="000B7350" w:rsidP="00C362EA">
      <w:pPr>
        <w:pStyle w:val="BodyText2"/>
        <w:spacing w:line="240" w:lineRule="auto"/>
        <w:ind w:firstLine="709"/>
        <w:rPr>
          <w:rFonts w:ascii="Times New Roman" w:hAnsi="Times New Roman" w:cs="Times New Roman"/>
          <w:sz w:val="24"/>
          <w:szCs w:val="24"/>
        </w:rPr>
      </w:pPr>
    </w:p>
    <w:p w:rsidR="0036642D" w:rsidP="00C362EA">
      <w:pPr>
        <w:pStyle w:val="BodyText2"/>
        <w:spacing w:line="240" w:lineRule="auto"/>
        <w:ind w:firstLine="709"/>
        <w:rPr>
          <w:rFonts w:ascii="Times New Roman" w:hAnsi="Times New Roman" w:cs="Times New Roman"/>
          <w:sz w:val="24"/>
          <w:szCs w:val="24"/>
        </w:rPr>
      </w:pPr>
      <w:r w:rsidR="007D4AE8">
        <w:rPr>
          <w:rFonts w:ascii="Times New Roman" w:hAnsi="Times New Roman" w:cs="Times New Roman"/>
          <w:sz w:val="24"/>
          <w:szCs w:val="24"/>
        </w:rPr>
        <w:t xml:space="preserve">Presun 16 mil. Sk z kategórie </w:t>
      </w:r>
      <w:r w:rsidRPr="007D4AE8" w:rsidR="007D4AE8">
        <w:rPr>
          <w:rFonts w:ascii="Times New Roman" w:hAnsi="Times New Roman" w:cs="Times New Roman"/>
          <w:sz w:val="24"/>
          <w:szCs w:val="24"/>
        </w:rPr>
        <w:t xml:space="preserve">640 </w:t>
      </w:r>
      <w:r w:rsidR="007D4AE8">
        <w:rPr>
          <w:rFonts w:ascii="Times New Roman" w:hAnsi="Times New Roman" w:cs="Times New Roman"/>
          <w:sz w:val="24"/>
          <w:szCs w:val="24"/>
        </w:rPr>
        <w:t>– Bežné transfery</w:t>
      </w:r>
      <w:r w:rsidR="007D4AE8">
        <w:rPr>
          <w:rFonts w:ascii="Times New Roman" w:hAnsi="Times New Roman" w:cs="Times New Roman"/>
          <w:sz w:val="24"/>
          <w:szCs w:val="24"/>
        </w:rPr>
        <w:t xml:space="preserve"> </w:t>
      </w:r>
      <w:r w:rsidRPr="007D4AE8" w:rsidR="007D4AE8">
        <w:rPr>
          <w:rFonts w:ascii="Times New Roman" w:hAnsi="Times New Roman" w:cs="Times New Roman"/>
          <w:sz w:val="24"/>
          <w:szCs w:val="24"/>
        </w:rPr>
        <w:t xml:space="preserve">do </w:t>
      </w:r>
      <w:r w:rsidR="007D4AE8">
        <w:rPr>
          <w:rFonts w:ascii="Times New Roman" w:hAnsi="Times New Roman" w:cs="Times New Roman"/>
          <w:sz w:val="24"/>
          <w:szCs w:val="24"/>
        </w:rPr>
        <w:t xml:space="preserve">kategórie </w:t>
      </w:r>
      <w:r w:rsidRPr="007D4AE8" w:rsidR="007D4AE8">
        <w:rPr>
          <w:rFonts w:ascii="Times New Roman" w:hAnsi="Times New Roman" w:cs="Times New Roman"/>
          <w:sz w:val="24"/>
          <w:szCs w:val="24"/>
        </w:rPr>
        <w:t xml:space="preserve">720 </w:t>
      </w:r>
      <w:r w:rsidR="007D4AE8">
        <w:rPr>
          <w:rFonts w:ascii="Times New Roman" w:hAnsi="Times New Roman" w:cs="Times New Roman"/>
          <w:sz w:val="24"/>
          <w:szCs w:val="24"/>
        </w:rPr>
        <w:t xml:space="preserve">– Kapitálové transfery </w:t>
      </w:r>
      <w:r w:rsidRPr="007D4AE8" w:rsidR="007D4AE8">
        <w:rPr>
          <w:rFonts w:ascii="Times New Roman" w:hAnsi="Times New Roman" w:cs="Times New Roman"/>
          <w:sz w:val="24"/>
          <w:szCs w:val="24"/>
        </w:rPr>
        <w:t xml:space="preserve">v rámci </w:t>
      </w:r>
      <w:r w:rsidR="007D4AE8">
        <w:rPr>
          <w:rFonts w:ascii="Times New Roman" w:hAnsi="Times New Roman" w:cs="Times New Roman"/>
          <w:sz w:val="24"/>
          <w:szCs w:val="24"/>
        </w:rPr>
        <w:t xml:space="preserve">medzirezortného </w:t>
      </w:r>
      <w:r w:rsidR="00F71179">
        <w:rPr>
          <w:rFonts w:ascii="Times New Roman" w:hAnsi="Times New Roman" w:cs="Times New Roman"/>
          <w:sz w:val="24"/>
          <w:szCs w:val="24"/>
        </w:rPr>
        <w:t>pod</w:t>
      </w:r>
      <w:r w:rsidR="007D4AE8">
        <w:rPr>
          <w:rFonts w:ascii="Times New Roman" w:hAnsi="Times New Roman" w:cs="Times New Roman"/>
          <w:sz w:val="24"/>
          <w:szCs w:val="24"/>
        </w:rPr>
        <w:t xml:space="preserve">programu 06E01 MDPT SR – Dopravná a telekomunikačná podpora </w:t>
      </w:r>
      <w:r w:rsidR="00F71179">
        <w:rPr>
          <w:rFonts w:ascii="Times New Roman" w:hAnsi="Times New Roman" w:cs="Times New Roman"/>
          <w:sz w:val="24"/>
          <w:szCs w:val="24"/>
        </w:rPr>
        <w:t xml:space="preserve">a </w:t>
      </w:r>
      <w:r w:rsidR="007D4AE8">
        <w:rPr>
          <w:rFonts w:ascii="Times New Roman" w:hAnsi="Times New Roman" w:cs="Times New Roman"/>
          <w:sz w:val="24"/>
          <w:szCs w:val="24"/>
        </w:rPr>
        <w:t xml:space="preserve">v rámci </w:t>
      </w:r>
      <w:r w:rsidRPr="007D4AE8" w:rsidR="007D4AE8">
        <w:rPr>
          <w:rFonts w:ascii="Times New Roman" w:hAnsi="Times New Roman" w:cs="Times New Roman"/>
          <w:sz w:val="24"/>
          <w:szCs w:val="24"/>
        </w:rPr>
        <w:t xml:space="preserve">výskumu a vývoja v oblasti komunikácií na zabezpečenie modernizácie miesta velenia OS SR v Banskej Bystrici, ktoré je </w:t>
      </w:r>
      <w:r w:rsidRPr="007D4AE8" w:rsidR="007D4AE8">
        <w:rPr>
          <w:rFonts w:ascii="Times New Roman" w:hAnsi="Times New Roman" w:cs="Times New Roman"/>
          <w:sz w:val="24"/>
          <w:szCs w:val="24"/>
        </w:rPr>
        <w:t>v majetku Slovak Telecomu, a.</w:t>
      </w:r>
      <w:r w:rsidR="000F0CC2">
        <w:rPr>
          <w:rFonts w:ascii="Times New Roman" w:hAnsi="Times New Roman" w:cs="Times New Roman"/>
          <w:sz w:val="24"/>
          <w:szCs w:val="24"/>
        </w:rPr>
        <w:t xml:space="preserve">s., </w:t>
      </w:r>
      <w:r w:rsidR="007D4AE8">
        <w:rPr>
          <w:rFonts w:ascii="Times New Roman" w:hAnsi="Times New Roman" w:cs="Times New Roman"/>
          <w:sz w:val="24"/>
          <w:szCs w:val="24"/>
        </w:rPr>
        <w:t xml:space="preserve">a presun 15 mil. Sk z medzirezortného </w:t>
      </w:r>
      <w:r w:rsidR="00F71179">
        <w:rPr>
          <w:rFonts w:ascii="Times New Roman" w:hAnsi="Times New Roman" w:cs="Times New Roman"/>
          <w:sz w:val="24"/>
          <w:szCs w:val="24"/>
        </w:rPr>
        <w:t>pod</w:t>
      </w:r>
      <w:r w:rsidR="007D4AE8">
        <w:rPr>
          <w:rFonts w:ascii="Times New Roman" w:hAnsi="Times New Roman" w:cs="Times New Roman"/>
          <w:sz w:val="24"/>
          <w:szCs w:val="24"/>
        </w:rPr>
        <w:t>programu 06E01 MDPT SR – Dopravná a telekomunikačná podpora</w:t>
      </w:r>
      <w:r w:rsidRPr="007D4AE8" w:rsidR="007D4AE8">
        <w:rPr>
          <w:rFonts w:ascii="Times New Roman" w:hAnsi="Times New Roman" w:cs="Times New Roman"/>
          <w:sz w:val="24"/>
          <w:szCs w:val="24"/>
        </w:rPr>
        <w:t xml:space="preserve"> </w:t>
      </w:r>
      <w:r w:rsidR="007D4AE8">
        <w:rPr>
          <w:rFonts w:ascii="Times New Roman" w:hAnsi="Times New Roman" w:cs="Times New Roman"/>
          <w:sz w:val="24"/>
          <w:szCs w:val="24"/>
        </w:rPr>
        <w:t>(</w:t>
      </w:r>
      <w:r w:rsidRPr="007D4AE8" w:rsidR="007D4AE8">
        <w:rPr>
          <w:rFonts w:ascii="Times New Roman" w:hAnsi="Times New Roman" w:cs="Times New Roman"/>
          <w:sz w:val="24"/>
          <w:szCs w:val="24"/>
        </w:rPr>
        <w:t>SSC</w:t>
      </w:r>
      <w:r w:rsidR="007D4AE8">
        <w:rPr>
          <w:rFonts w:ascii="Times New Roman" w:hAnsi="Times New Roman" w:cs="Times New Roman"/>
          <w:sz w:val="24"/>
          <w:szCs w:val="24"/>
        </w:rPr>
        <w:t>) do podprogramu 05302 – Cestná sieť – výstavba a obnova (SSC) (</w:t>
      </w:r>
      <w:r w:rsidRPr="007D4AE8" w:rsidR="007D4AE8">
        <w:rPr>
          <w:rFonts w:ascii="Times New Roman" w:hAnsi="Times New Roman" w:cs="Times New Roman"/>
          <w:sz w:val="24"/>
          <w:szCs w:val="24"/>
        </w:rPr>
        <w:t>v rámci 710</w:t>
      </w:r>
      <w:r w:rsidR="007D4AE8">
        <w:rPr>
          <w:rFonts w:ascii="Times New Roman" w:hAnsi="Times New Roman" w:cs="Times New Roman"/>
          <w:sz w:val="24"/>
          <w:szCs w:val="24"/>
        </w:rPr>
        <w:t xml:space="preserve"> – Kapitálových výdavkov</w:t>
      </w:r>
      <w:r w:rsidRPr="007D4AE8" w:rsidR="007D4AE8">
        <w:rPr>
          <w:rFonts w:ascii="Times New Roman" w:hAnsi="Times New Roman" w:cs="Times New Roman"/>
          <w:sz w:val="24"/>
          <w:szCs w:val="24"/>
        </w:rPr>
        <w:t>) na zabezpečenie f</w:t>
      </w:r>
      <w:r w:rsidRPr="007D4AE8" w:rsidR="007D4AE8">
        <w:rPr>
          <w:rFonts w:ascii="Times New Roman" w:hAnsi="Times New Roman" w:cs="Times New Roman"/>
          <w:sz w:val="24"/>
          <w:szCs w:val="24"/>
        </w:rPr>
        <w:t>inancovania zjazdnosti a priepustnosti vybraných ciest</w:t>
      </w:r>
      <w:r w:rsidR="007D4AE8">
        <w:rPr>
          <w:rFonts w:ascii="Times New Roman" w:hAnsi="Times New Roman" w:cs="Times New Roman"/>
          <w:sz w:val="24"/>
          <w:szCs w:val="24"/>
        </w:rPr>
        <w:t xml:space="preserve">. </w:t>
      </w:r>
      <w:r w:rsidRPr="007D4AE8" w:rsidR="007D4AE8">
        <w:rPr>
          <w:rFonts w:ascii="Times New Roman" w:hAnsi="Times New Roman" w:cs="Times New Roman"/>
          <w:sz w:val="24"/>
          <w:szCs w:val="24"/>
        </w:rPr>
        <w:t xml:space="preserve">  </w:t>
      </w:r>
    </w:p>
    <w:p w:rsidR="007D4AE8" w:rsidRPr="007D4AE8" w:rsidP="00C362EA">
      <w:pPr>
        <w:pStyle w:val="BodyText2"/>
        <w:spacing w:line="240" w:lineRule="auto"/>
        <w:ind w:firstLine="709"/>
        <w:rPr>
          <w:rFonts w:ascii="Times New Roman" w:hAnsi="Times New Roman" w:cs="Times New Roman"/>
          <w:sz w:val="24"/>
          <w:szCs w:val="24"/>
        </w:rPr>
      </w:pPr>
    </w:p>
    <w:p w:rsidR="00D27E26" w:rsidP="00C362EA">
      <w:pPr>
        <w:pStyle w:val="BodyText2"/>
        <w:spacing w:line="240" w:lineRule="auto"/>
        <w:rPr>
          <w:rFonts w:ascii="Times New Roman" w:hAnsi="Times New Roman" w:cs="Times New Roman"/>
          <w:b/>
          <w:sz w:val="24"/>
          <w:szCs w:val="24"/>
          <w:u w:val="single"/>
        </w:rPr>
      </w:pPr>
      <w:r w:rsidRPr="00D23807">
        <w:rPr>
          <w:rFonts w:ascii="Times New Roman" w:hAnsi="Times New Roman" w:cs="Times New Roman"/>
          <w:b/>
          <w:sz w:val="24"/>
          <w:szCs w:val="24"/>
          <w:u w:val="single"/>
        </w:rPr>
        <w:t>Rozpočtové opatrenie č. 12</w:t>
      </w:r>
    </w:p>
    <w:p w:rsidR="00ED3DBB" w:rsidP="00C362EA">
      <w:pPr>
        <w:pStyle w:val="BodyText2"/>
        <w:spacing w:line="240" w:lineRule="auto"/>
        <w:rPr>
          <w:rFonts w:ascii="Times New Roman" w:hAnsi="Times New Roman" w:cs="Times New Roman"/>
          <w:b/>
          <w:sz w:val="24"/>
          <w:szCs w:val="24"/>
          <w:u w:val="single"/>
        </w:rPr>
      </w:pPr>
    </w:p>
    <w:p w:rsidR="00ED3DBB" w:rsidP="00ED3DBB">
      <w:pPr>
        <w:pStyle w:val="BodyText2"/>
        <w:spacing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Navýšenie bežných výdavkov kapitoly o 29 414 000,- Sk, z toho miezd, platov, sl. príjmov a OOV </w:t>
      </w:r>
      <w:r w:rsidR="00521161">
        <w:rPr>
          <w:rFonts w:ascii="Times New Roman" w:hAnsi="Times New Roman" w:cs="Times New Roman"/>
          <w:sz w:val="24"/>
          <w:szCs w:val="24"/>
        </w:rPr>
        <w:t xml:space="preserve">(610) </w:t>
      </w:r>
      <w:r>
        <w:rPr>
          <w:rFonts w:ascii="Times New Roman" w:hAnsi="Times New Roman" w:cs="Times New Roman"/>
          <w:sz w:val="24"/>
          <w:szCs w:val="24"/>
        </w:rPr>
        <w:t>vo výške 21 799 000,- Sk. Rozpočtovým opatrením sa zabezpečila 5 %</w:t>
      </w:r>
      <w:r w:rsidR="00682706">
        <w:rPr>
          <w:rFonts w:ascii="Times New Roman" w:hAnsi="Times New Roman" w:cs="Times New Roman"/>
          <w:sz w:val="24"/>
          <w:szCs w:val="24"/>
        </w:rPr>
        <w:t xml:space="preserve"> </w:t>
      </w:r>
      <w:r w:rsidR="00682706">
        <w:rPr>
          <w:rFonts w:ascii="Times New Roman" w:hAnsi="Times New Roman" w:cs="Times New Roman"/>
          <w:sz w:val="24"/>
          <w:szCs w:val="24"/>
        </w:rPr>
        <w:t>- na</w:t>
      </w:r>
      <w:r>
        <w:rPr>
          <w:rFonts w:ascii="Times New Roman" w:hAnsi="Times New Roman" w:cs="Times New Roman"/>
          <w:sz w:val="24"/>
          <w:szCs w:val="24"/>
        </w:rPr>
        <w:t xml:space="preserve"> valorizácia stupníc platových taríf </w:t>
      </w:r>
      <w:r w:rsidRPr="00030CFA">
        <w:rPr>
          <w:rFonts w:ascii="Times New Roman" w:hAnsi="Times New Roman" w:cs="Times New Roman"/>
          <w:sz w:val="24"/>
          <w:szCs w:val="24"/>
        </w:rPr>
        <w:t xml:space="preserve">štátnych </w:t>
      </w:r>
      <w:r>
        <w:rPr>
          <w:rFonts w:ascii="Times New Roman" w:hAnsi="Times New Roman" w:cs="Times New Roman"/>
          <w:sz w:val="24"/>
          <w:szCs w:val="24"/>
        </w:rPr>
        <w:t xml:space="preserve">zamestnancov vrátane realizácie záverov služobného hodnotenia </w:t>
      </w:r>
      <w:r w:rsidRPr="00030CFA">
        <w:rPr>
          <w:rFonts w:ascii="Times New Roman" w:hAnsi="Times New Roman" w:cs="Times New Roman"/>
          <w:sz w:val="24"/>
          <w:szCs w:val="24"/>
        </w:rPr>
        <w:t>a</w:t>
      </w:r>
      <w:r>
        <w:rPr>
          <w:rFonts w:ascii="Times New Roman" w:hAnsi="Times New Roman" w:cs="Times New Roman"/>
          <w:sz w:val="24"/>
          <w:szCs w:val="24"/>
        </w:rPr>
        <w:t xml:space="preserve"> stupníc platových taríf zamestnancov pri výkone práce vo verejnom záujme. Súčasne sa rozpočtovým opatrením zabezpečili prostriedky na poistné a príspevok zamestnávateľa do poisťovní. </w:t>
      </w:r>
    </w:p>
    <w:p w:rsidR="008D28A4" w:rsidRPr="00D23807" w:rsidP="00C362EA">
      <w:pPr>
        <w:pStyle w:val="BodyText2"/>
        <w:spacing w:line="240" w:lineRule="auto"/>
        <w:rPr>
          <w:rFonts w:ascii="Times New Roman" w:hAnsi="Times New Roman" w:cs="Times New Roman"/>
          <w:b/>
          <w:sz w:val="24"/>
          <w:szCs w:val="24"/>
          <w:u w:val="single"/>
        </w:rPr>
      </w:pPr>
    </w:p>
    <w:p w:rsidR="00D27E26" w:rsidP="00C362EA">
      <w:pPr>
        <w:pStyle w:val="BodyText2"/>
        <w:spacing w:line="240" w:lineRule="auto"/>
        <w:rPr>
          <w:rFonts w:ascii="Times New Roman" w:hAnsi="Times New Roman" w:cs="Times New Roman"/>
          <w:b/>
          <w:sz w:val="24"/>
          <w:szCs w:val="24"/>
          <w:u w:val="single"/>
        </w:rPr>
      </w:pPr>
      <w:r w:rsidRPr="00D23807">
        <w:rPr>
          <w:rFonts w:ascii="Times New Roman" w:hAnsi="Times New Roman" w:cs="Times New Roman"/>
          <w:b/>
          <w:sz w:val="24"/>
          <w:szCs w:val="24"/>
          <w:u w:val="single"/>
        </w:rPr>
        <w:t>Rozpočtové opatrenie č. 13</w:t>
      </w:r>
    </w:p>
    <w:p w:rsidR="00A76C69" w:rsidRPr="00D23807" w:rsidP="00C362EA">
      <w:pPr>
        <w:pStyle w:val="BodyText2"/>
        <w:spacing w:line="240" w:lineRule="auto"/>
        <w:rPr>
          <w:rFonts w:ascii="Times New Roman" w:hAnsi="Times New Roman" w:cs="Times New Roman"/>
          <w:b/>
          <w:sz w:val="24"/>
          <w:szCs w:val="24"/>
          <w:u w:val="single"/>
        </w:rPr>
      </w:pPr>
    </w:p>
    <w:p w:rsidR="00A76C69" w:rsidP="000A6926">
      <w:pPr>
        <w:pStyle w:val="BodyText2"/>
        <w:spacing w:line="240" w:lineRule="auto"/>
        <w:ind w:firstLine="709"/>
        <w:rPr>
          <w:rFonts w:ascii="Times New Roman" w:hAnsi="Times New Roman" w:cs="Times New Roman"/>
          <w:sz w:val="24"/>
          <w:szCs w:val="24"/>
        </w:rPr>
      </w:pPr>
      <w:r w:rsidR="00D84F76">
        <w:rPr>
          <w:rFonts w:ascii="Times New Roman" w:hAnsi="Times New Roman" w:cs="Times New Roman"/>
          <w:sz w:val="24"/>
          <w:szCs w:val="24"/>
        </w:rPr>
        <w:t xml:space="preserve">Rozpočtovým opatrením sa Železničnej polícii povolilo prekročiť limit výdavkov v kategórii 610 – Mzdy, platy, služobné príjmy a ostatné osobné vyrovnania v sume 500 tis. Sk na riešenie odmeňovania zamestnancov Železničnej polície. Zdrojové krytie bolo zabezpečené viazaním výdavkov Železničnej polície v kategórii 640 – Bežné transfery. </w:t>
      </w:r>
    </w:p>
    <w:p w:rsidR="00D84F76" w:rsidRPr="00A76C69" w:rsidP="00C362EA">
      <w:pPr>
        <w:pStyle w:val="BodyText2"/>
        <w:spacing w:line="240" w:lineRule="auto"/>
        <w:rPr>
          <w:rFonts w:ascii="Times New Roman" w:hAnsi="Times New Roman" w:cs="Times New Roman"/>
          <w:sz w:val="24"/>
          <w:szCs w:val="24"/>
        </w:rPr>
      </w:pPr>
    </w:p>
    <w:p w:rsidR="00D27E26" w:rsidP="00C362EA">
      <w:pPr>
        <w:pStyle w:val="BodyText2"/>
        <w:spacing w:line="240" w:lineRule="auto"/>
        <w:rPr>
          <w:rFonts w:ascii="Times New Roman" w:hAnsi="Times New Roman" w:cs="Times New Roman"/>
          <w:b/>
          <w:sz w:val="24"/>
          <w:szCs w:val="24"/>
          <w:u w:val="single"/>
        </w:rPr>
      </w:pPr>
      <w:r w:rsidRPr="00D23807">
        <w:rPr>
          <w:rFonts w:ascii="Times New Roman" w:hAnsi="Times New Roman" w:cs="Times New Roman"/>
          <w:b/>
          <w:sz w:val="24"/>
          <w:szCs w:val="24"/>
          <w:u w:val="single"/>
        </w:rPr>
        <w:t>Rozpočtové opatrenie č. 14</w:t>
      </w:r>
    </w:p>
    <w:p w:rsidR="00084502" w:rsidP="00C362EA">
      <w:pPr>
        <w:pStyle w:val="BodyText2"/>
        <w:spacing w:line="240" w:lineRule="auto"/>
        <w:rPr>
          <w:rFonts w:ascii="Times New Roman" w:hAnsi="Times New Roman" w:cs="Times New Roman"/>
          <w:b/>
          <w:sz w:val="24"/>
          <w:szCs w:val="24"/>
          <w:u w:val="single"/>
        </w:rPr>
      </w:pPr>
    </w:p>
    <w:p w:rsidR="00157124" w:rsidRPr="006D2E52" w:rsidP="00C362EA">
      <w:pPr>
        <w:pStyle w:val="BodyText2"/>
        <w:spacing w:line="240" w:lineRule="auto"/>
        <w:rPr>
          <w:rFonts w:ascii="Times New Roman" w:hAnsi="Times New Roman" w:cs="Times New Roman"/>
          <w:sz w:val="24"/>
          <w:szCs w:val="24"/>
        </w:rPr>
      </w:pPr>
      <w:r w:rsidRPr="00157124">
        <w:rPr>
          <w:rFonts w:ascii="Times New Roman" w:hAnsi="Times New Roman" w:cs="Times New Roman"/>
          <w:sz w:val="24"/>
          <w:szCs w:val="24"/>
        </w:rPr>
        <w:tab/>
      </w:r>
      <w:r w:rsidRPr="006D2E52">
        <w:rPr>
          <w:rFonts w:ascii="Times New Roman" w:hAnsi="Times New Roman" w:cs="Times New Roman"/>
          <w:sz w:val="24"/>
          <w:szCs w:val="24"/>
        </w:rPr>
        <w:t>Z</w:t>
      </w:r>
      <w:r w:rsidR="00521161">
        <w:rPr>
          <w:rFonts w:ascii="Times New Roman" w:hAnsi="Times New Roman" w:cs="Times New Roman"/>
          <w:sz w:val="24"/>
          <w:szCs w:val="24"/>
        </w:rPr>
        <w:t xml:space="preserve">výšenie miezd </w:t>
      </w:r>
      <w:r w:rsidRPr="006D2E52">
        <w:rPr>
          <w:rFonts w:ascii="Times New Roman" w:hAnsi="Times New Roman" w:cs="Times New Roman"/>
          <w:sz w:val="24"/>
          <w:szCs w:val="24"/>
        </w:rPr>
        <w:t xml:space="preserve">aparátu MDPT SR </w:t>
      </w:r>
      <w:r w:rsidR="00521161">
        <w:rPr>
          <w:rFonts w:ascii="Times New Roman" w:hAnsi="Times New Roman" w:cs="Times New Roman"/>
          <w:sz w:val="24"/>
          <w:szCs w:val="24"/>
        </w:rPr>
        <w:t xml:space="preserve">(610) </w:t>
      </w:r>
      <w:r w:rsidRPr="006D2E52">
        <w:rPr>
          <w:rFonts w:ascii="Times New Roman" w:hAnsi="Times New Roman" w:cs="Times New Roman"/>
          <w:sz w:val="24"/>
          <w:szCs w:val="24"/>
        </w:rPr>
        <w:t xml:space="preserve">o 272 tis. Sk na </w:t>
      </w:r>
      <w:r w:rsidRPr="006D2E52" w:rsidR="00AE22DB">
        <w:rPr>
          <w:rFonts w:ascii="Times New Roman" w:hAnsi="Times New Roman" w:cs="Times New Roman"/>
          <w:sz w:val="24"/>
          <w:szCs w:val="24"/>
        </w:rPr>
        <w:t>úkor bežných transf</w:t>
      </w:r>
      <w:r w:rsidRPr="006D2E52" w:rsidR="00AE22DB">
        <w:rPr>
          <w:rFonts w:ascii="Times New Roman" w:hAnsi="Times New Roman" w:cs="Times New Roman"/>
          <w:sz w:val="24"/>
          <w:szCs w:val="24"/>
        </w:rPr>
        <w:t xml:space="preserve">erov (640) aparátu MDPT SR a </w:t>
      </w:r>
      <w:r w:rsidRPr="006D2E52" w:rsidR="006D2E52">
        <w:rPr>
          <w:rFonts w:ascii="Times New Roman" w:hAnsi="Times New Roman" w:cs="Times New Roman"/>
          <w:sz w:val="24"/>
          <w:szCs w:val="24"/>
        </w:rPr>
        <w:t xml:space="preserve">počtu zamestnancov </w:t>
      </w:r>
      <w:r w:rsidRPr="006D2E52" w:rsidR="00AE22DB">
        <w:rPr>
          <w:rFonts w:ascii="Times New Roman" w:hAnsi="Times New Roman" w:cs="Times New Roman"/>
          <w:sz w:val="24"/>
          <w:szCs w:val="24"/>
        </w:rPr>
        <w:t>od 1.9. do 31.12. o 2 osoby</w:t>
      </w:r>
      <w:r w:rsidRPr="006D2E52" w:rsidR="006D2E52">
        <w:rPr>
          <w:rFonts w:ascii="Times New Roman" w:hAnsi="Times New Roman" w:cs="Times New Roman"/>
          <w:sz w:val="24"/>
          <w:szCs w:val="24"/>
        </w:rPr>
        <w:t xml:space="preserve"> (na úkor TOOŽ) na zabezpečenie činnosti Centrálneho úradu TER (Trans-European Railways) v Bratislave </w:t>
      </w:r>
      <w:r w:rsidR="006D2E52">
        <w:rPr>
          <w:rFonts w:ascii="Times New Roman" w:hAnsi="Times New Roman" w:cs="Times New Roman"/>
          <w:sz w:val="24"/>
          <w:szCs w:val="24"/>
        </w:rPr>
        <w:t>(v budove MDPT SR)</w:t>
      </w:r>
      <w:r w:rsidRPr="006D2E52" w:rsidR="006D2E52">
        <w:rPr>
          <w:rFonts w:ascii="Times New Roman" w:hAnsi="Times New Roman" w:cs="Times New Roman"/>
          <w:sz w:val="24"/>
          <w:szCs w:val="24"/>
        </w:rPr>
        <w:t xml:space="preserve">, a to na základe uznesenia </w:t>
      </w:r>
      <w:r w:rsidR="006D2E52">
        <w:rPr>
          <w:rFonts w:ascii="Times New Roman" w:hAnsi="Times New Roman" w:cs="Times New Roman"/>
          <w:sz w:val="24"/>
          <w:szCs w:val="24"/>
        </w:rPr>
        <w:t xml:space="preserve">vlády SR </w:t>
      </w:r>
      <w:r w:rsidRPr="006D2E52" w:rsidR="006D2E52">
        <w:rPr>
          <w:rFonts w:ascii="Times New Roman" w:hAnsi="Times New Roman" w:cs="Times New Roman"/>
          <w:sz w:val="24"/>
          <w:szCs w:val="24"/>
        </w:rPr>
        <w:t xml:space="preserve">č. 1081/2007 zo dňa 20. </w:t>
      </w:r>
      <w:r w:rsidRPr="006D2E52" w:rsidR="006D2E52">
        <w:rPr>
          <w:rFonts w:ascii="Times New Roman" w:hAnsi="Times New Roman" w:cs="Times New Roman"/>
          <w:sz w:val="24"/>
          <w:szCs w:val="24"/>
        </w:rPr>
        <w:t>decembra 2007, ktorým  vláda SR v bode B.1 schválila organi</w:t>
      </w:r>
      <w:r w:rsidR="006D2E52">
        <w:rPr>
          <w:rFonts w:ascii="Times New Roman" w:hAnsi="Times New Roman" w:cs="Times New Roman"/>
          <w:sz w:val="24"/>
          <w:szCs w:val="24"/>
        </w:rPr>
        <w:t>začné zabezpečenie projektu TER.</w:t>
      </w:r>
    </w:p>
    <w:p w:rsidR="00C40AE2" w:rsidRPr="00084502" w:rsidP="00C362EA">
      <w:pPr>
        <w:pStyle w:val="BodyText2"/>
        <w:spacing w:line="240" w:lineRule="auto"/>
        <w:ind w:firstLine="709"/>
        <w:rPr>
          <w:rFonts w:ascii="Times New Roman" w:hAnsi="Times New Roman" w:cs="Times New Roman"/>
          <w:sz w:val="24"/>
          <w:szCs w:val="24"/>
        </w:rPr>
      </w:pPr>
    </w:p>
    <w:p w:rsidR="00D27E26" w:rsidRPr="00D23807" w:rsidP="00C362EA">
      <w:pPr>
        <w:pStyle w:val="BodyText2"/>
        <w:spacing w:line="240" w:lineRule="auto"/>
        <w:rPr>
          <w:rFonts w:ascii="Times New Roman" w:hAnsi="Times New Roman" w:cs="Times New Roman"/>
          <w:b/>
          <w:sz w:val="24"/>
          <w:szCs w:val="24"/>
          <w:u w:val="single"/>
        </w:rPr>
      </w:pPr>
      <w:r w:rsidRPr="00D23807">
        <w:rPr>
          <w:rFonts w:ascii="Times New Roman" w:hAnsi="Times New Roman" w:cs="Times New Roman"/>
          <w:b/>
          <w:sz w:val="24"/>
          <w:szCs w:val="24"/>
          <w:u w:val="single"/>
        </w:rPr>
        <w:t>Rozpočtové opatrenie č. 15</w:t>
      </w:r>
    </w:p>
    <w:p w:rsidR="00B45732" w:rsidP="00C362EA">
      <w:pPr>
        <w:pStyle w:val="BodyText2"/>
        <w:spacing w:line="240" w:lineRule="auto"/>
        <w:rPr>
          <w:rFonts w:ascii="Times New Roman" w:hAnsi="Times New Roman" w:cs="Times New Roman"/>
          <w:b/>
          <w:sz w:val="24"/>
          <w:szCs w:val="24"/>
        </w:rPr>
      </w:pPr>
      <w:r w:rsidRPr="003C7BA7" w:rsidR="003C7BA7">
        <w:rPr>
          <w:rFonts w:ascii="Times New Roman" w:hAnsi="Times New Roman" w:cs="Times New Roman"/>
          <w:b/>
          <w:sz w:val="24"/>
          <w:szCs w:val="24"/>
        </w:rPr>
        <w:tab/>
      </w:r>
    </w:p>
    <w:p w:rsidR="003C7BA7" w:rsidRPr="00AB0FC7" w:rsidP="000212D7">
      <w:pPr>
        <w:pStyle w:val="BodyText2"/>
        <w:spacing w:line="240" w:lineRule="auto"/>
        <w:ind w:firstLine="709"/>
        <w:rPr>
          <w:rFonts w:ascii="Times New Roman" w:hAnsi="Times New Roman" w:cs="Times New Roman"/>
          <w:sz w:val="24"/>
          <w:szCs w:val="24"/>
        </w:rPr>
      </w:pPr>
      <w:r w:rsidR="00B45732">
        <w:rPr>
          <w:rFonts w:ascii="Times New Roman" w:hAnsi="Times New Roman" w:cs="Times New Roman"/>
          <w:sz w:val="24"/>
          <w:szCs w:val="24"/>
        </w:rPr>
        <w:t>V</w:t>
      </w:r>
      <w:r w:rsidRPr="00B45732" w:rsidR="00B45732">
        <w:rPr>
          <w:rFonts w:ascii="Times New Roman" w:hAnsi="Times New Roman" w:cs="Times New Roman"/>
          <w:sz w:val="24"/>
          <w:szCs w:val="24"/>
        </w:rPr>
        <w:t xml:space="preserve">iazanie </w:t>
      </w:r>
      <w:r w:rsidR="00B45732">
        <w:rPr>
          <w:rFonts w:ascii="Times New Roman" w:hAnsi="Times New Roman" w:cs="Times New Roman"/>
          <w:sz w:val="24"/>
          <w:szCs w:val="24"/>
        </w:rPr>
        <w:t xml:space="preserve">bežných výdavkov aparátu MDPT SR v celkovej výške </w:t>
      </w:r>
      <w:r w:rsidRPr="00B45732" w:rsidR="00B45732">
        <w:rPr>
          <w:rFonts w:ascii="Times New Roman" w:hAnsi="Times New Roman" w:cs="Times New Roman"/>
          <w:sz w:val="24"/>
          <w:szCs w:val="24"/>
        </w:rPr>
        <w:t xml:space="preserve">3 586 600,- Sk, z toho </w:t>
      </w:r>
      <w:r w:rsidR="00B45732">
        <w:rPr>
          <w:rFonts w:ascii="Times New Roman" w:hAnsi="Times New Roman" w:cs="Times New Roman"/>
          <w:sz w:val="24"/>
          <w:szCs w:val="24"/>
        </w:rPr>
        <w:t>v kategórii 610 – Mzdy, platy, služobné príjmy a OOV</w:t>
      </w:r>
      <w:r w:rsidR="00B45732">
        <w:rPr>
          <w:rFonts w:ascii="Times New Roman" w:hAnsi="Times New Roman" w:cs="Times New Roman"/>
          <w:sz w:val="24"/>
          <w:szCs w:val="24"/>
        </w:rPr>
        <w:t xml:space="preserve"> vo výške 2 240 000,- Sk</w:t>
      </w:r>
      <w:r w:rsidRPr="00B45732" w:rsidR="00B45732">
        <w:rPr>
          <w:rFonts w:ascii="Times New Roman" w:hAnsi="Times New Roman" w:cs="Times New Roman"/>
          <w:sz w:val="24"/>
          <w:szCs w:val="24"/>
        </w:rPr>
        <w:t xml:space="preserve">, </w:t>
      </w:r>
      <w:r w:rsidR="00B45732">
        <w:rPr>
          <w:rFonts w:ascii="Times New Roman" w:hAnsi="Times New Roman" w:cs="Times New Roman"/>
          <w:sz w:val="24"/>
          <w:szCs w:val="24"/>
        </w:rPr>
        <w:t xml:space="preserve">620 – Poistné a príspevky zamestnávateľa do poisťovní vo výške 783 000,- Sk </w:t>
      </w:r>
      <w:r w:rsidRPr="00B45732" w:rsidR="00B45732">
        <w:rPr>
          <w:rFonts w:ascii="Times New Roman" w:hAnsi="Times New Roman" w:cs="Times New Roman"/>
          <w:sz w:val="24"/>
          <w:szCs w:val="24"/>
        </w:rPr>
        <w:t>a</w:t>
      </w:r>
      <w:r w:rsidR="00B45732">
        <w:rPr>
          <w:rFonts w:ascii="Times New Roman" w:hAnsi="Times New Roman" w:cs="Times New Roman"/>
          <w:sz w:val="24"/>
          <w:szCs w:val="24"/>
        </w:rPr>
        <w:t xml:space="preserve"> v kategórii 630 – Tovary a služby vo výške 563 600,- Sk v prospech Ministerstva zahraničných vecí SR </w:t>
      </w:r>
      <w:r w:rsidRPr="00B45732" w:rsidR="00B45732">
        <w:rPr>
          <w:rFonts w:ascii="Times New Roman" w:hAnsi="Times New Roman" w:cs="Times New Roman"/>
          <w:sz w:val="24"/>
          <w:szCs w:val="24"/>
        </w:rPr>
        <w:t>na zabezpečenie personálneho dobudovania Stáleho za</w:t>
      </w:r>
      <w:r w:rsidRPr="00B45732" w:rsidR="00B45732">
        <w:rPr>
          <w:rFonts w:ascii="Times New Roman" w:hAnsi="Times New Roman" w:cs="Times New Roman"/>
          <w:sz w:val="24"/>
          <w:szCs w:val="24"/>
        </w:rPr>
        <w:t xml:space="preserve">stúpenia SR v Bruseli </w:t>
      </w:r>
      <w:r w:rsidR="00B45732">
        <w:rPr>
          <w:rFonts w:ascii="Times New Roman" w:hAnsi="Times New Roman" w:cs="Times New Roman"/>
          <w:sz w:val="24"/>
          <w:szCs w:val="24"/>
        </w:rPr>
        <w:t xml:space="preserve">pri EÚ (uznesenia vlády SR č. 224/2005 a č. 480/2005). </w:t>
      </w:r>
      <w:r>
        <w:rPr>
          <w:rFonts w:ascii="Times New Roman" w:hAnsi="Times New Roman" w:cs="Times New Roman"/>
          <w:b/>
          <w:sz w:val="24"/>
          <w:szCs w:val="24"/>
        </w:rPr>
        <w:tab/>
      </w:r>
    </w:p>
    <w:p w:rsidR="009D4096" w:rsidP="00C362EA">
      <w:pPr>
        <w:pStyle w:val="BodyText2"/>
        <w:spacing w:line="240" w:lineRule="auto"/>
        <w:rPr>
          <w:rFonts w:ascii="Times New Roman" w:hAnsi="Times New Roman" w:cs="Times New Roman"/>
          <w:b/>
          <w:sz w:val="24"/>
          <w:szCs w:val="24"/>
          <w:u w:val="single"/>
        </w:rPr>
      </w:pPr>
    </w:p>
    <w:p w:rsidR="00D27E26" w:rsidRPr="00D23807" w:rsidP="00C362EA">
      <w:pPr>
        <w:pStyle w:val="BodyText2"/>
        <w:spacing w:line="240" w:lineRule="auto"/>
        <w:rPr>
          <w:rFonts w:ascii="Times New Roman" w:hAnsi="Times New Roman" w:cs="Times New Roman"/>
          <w:b/>
          <w:sz w:val="24"/>
          <w:szCs w:val="24"/>
          <w:u w:val="single"/>
        </w:rPr>
      </w:pPr>
      <w:r w:rsidRPr="00D23807">
        <w:rPr>
          <w:rFonts w:ascii="Times New Roman" w:hAnsi="Times New Roman" w:cs="Times New Roman"/>
          <w:b/>
          <w:sz w:val="24"/>
          <w:szCs w:val="24"/>
          <w:u w:val="single"/>
        </w:rPr>
        <w:t>Rozpočtové opatrenie č. 16</w:t>
      </w:r>
    </w:p>
    <w:p w:rsidR="003C7BA7" w:rsidP="00C362EA">
      <w:pPr>
        <w:pStyle w:val="BodyText2"/>
        <w:spacing w:line="240" w:lineRule="auto"/>
        <w:rPr>
          <w:rFonts w:ascii="Times New Roman" w:hAnsi="Times New Roman" w:cs="Times New Roman"/>
          <w:sz w:val="24"/>
          <w:szCs w:val="24"/>
        </w:rPr>
      </w:pPr>
    </w:p>
    <w:p w:rsidR="00F71179" w:rsidP="00C362EA">
      <w:pPr>
        <w:pStyle w:val="BodyText2"/>
        <w:spacing w:line="240" w:lineRule="auto"/>
        <w:ind w:firstLine="709"/>
        <w:rPr>
          <w:rFonts w:ascii="Times New Roman" w:hAnsi="Times New Roman" w:cs="Times New Roman"/>
          <w:sz w:val="24"/>
          <w:szCs w:val="24"/>
        </w:rPr>
      </w:pPr>
      <w:r>
        <w:rPr>
          <w:rFonts w:ascii="Times New Roman" w:hAnsi="Times New Roman" w:cs="Times New Roman"/>
          <w:sz w:val="24"/>
          <w:szCs w:val="24"/>
        </w:rPr>
        <w:t>V rámci rozpočtu kapitoly MDPT SR zvýšenie kapitálových transferov (720) v celkovej výške 164 563 000,- Sk pre program</w:t>
      </w:r>
      <w:r w:rsidRPr="00F71179">
        <w:rPr>
          <w:rFonts w:ascii="Times New Roman" w:hAnsi="Times New Roman" w:cs="Times New Roman"/>
          <w:sz w:val="24"/>
          <w:szCs w:val="24"/>
        </w:rPr>
        <w:t xml:space="preserve"> 055 Letecká </w:t>
      </w:r>
      <w:r>
        <w:rPr>
          <w:rFonts w:ascii="Times New Roman" w:hAnsi="Times New Roman" w:cs="Times New Roman"/>
          <w:sz w:val="24"/>
          <w:szCs w:val="24"/>
        </w:rPr>
        <w:t>doprava a infrašt</w:t>
      </w:r>
      <w:r>
        <w:rPr>
          <w:rFonts w:ascii="Times New Roman" w:hAnsi="Times New Roman" w:cs="Times New Roman"/>
          <w:sz w:val="24"/>
          <w:szCs w:val="24"/>
        </w:rPr>
        <w:t>ruktúra (Letisko M. R. Štefánika – Airport Bratislava, a.s. (BTS)</w:t>
      </w:r>
      <w:r w:rsidRPr="00F71179">
        <w:rPr>
          <w:rFonts w:ascii="Times New Roman" w:hAnsi="Times New Roman" w:cs="Times New Roman"/>
          <w:sz w:val="24"/>
          <w:szCs w:val="24"/>
        </w:rPr>
        <w:t>), a to z</w:t>
      </w:r>
      <w:r w:rsidR="000F0CC2">
        <w:rPr>
          <w:rFonts w:ascii="Times New Roman" w:hAnsi="Times New Roman" w:cs="Times New Roman"/>
          <w:sz w:val="24"/>
          <w:szCs w:val="24"/>
        </w:rPr>
        <w:t> bežných transferov (64</w:t>
      </w:r>
      <w:r>
        <w:rPr>
          <w:rFonts w:ascii="Times New Roman" w:hAnsi="Times New Roman" w:cs="Times New Roman"/>
          <w:sz w:val="24"/>
          <w:szCs w:val="24"/>
        </w:rPr>
        <w:t xml:space="preserve">0) určených na podporu kombinovanej dopravy </w:t>
      </w:r>
      <w:r w:rsidRPr="00F71179">
        <w:rPr>
          <w:rFonts w:ascii="Times New Roman" w:hAnsi="Times New Roman" w:cs="Times New Roman"/>
          <w:sz w:val="24"/>
          <w:szCs w:val="24"/>
        </w:rPr>
        <w:t xml:space="preserve">vo výške 14 563 tis. Sk, </w:t>
      </w:r>
      <w:r>
        <w:rPr>
          <w:rFonts w:ascii="Times New Roman" w:hAnsi="Times New Roman" w:cs="Times New Roman"/>
          <w:sz w:val="24"/>
          <w:szCs w:val="24"/>
        </w:rPr>
        <w:t>z k</w:t>
      </w:r>
      <w:r w:rsidR="00682706">
        <w:rPr>
          <w:rFonts w:ascii="Times New Roman" w:hAnsi="Times New Roman" w:cs="Times New Roman"/>
          <w:sz w:val="24"/>
          <w:szCs w:val="24"/>
        </w:rPr>
        <w:t>apitálových transferov (720) ur</w:t>
      </w:r>
      <w:r>
        <w:rPr>
          <w:rFonts w:ascii="Times New Roman" w:hAnsi="Times New Roman" w:cs="Times New Roman"/>
          <w:sz w:val="24"/>
          <w:szCs w:val="24"/>
        </w:rPr>
        <w:t>č</w:t>
      </w:r>
      <w:r w:rsidR="00682706">
        <w:rPr>
          <w:rFonts w:ascii="Times New Roman" w:hAnsi="Times New Roman" w:cs="Times New Roman"/>
          <w:sz w:val="24"/>
          <w:szCs w:val="24"/>
        </w:rPr>
        <w:t>e</w:t>
      </w:r>
      <w:r>
        <w:rPr>
          <w:rFonts w:ascii="Times New Roman" w:hAnsi="Times New Roman" w:cs="Times New Roman"/>
          <w:sz w:val="24"/>
          <w:szCs w:val="24"/>
        </w:rPr>
        <w:t>ných pre Železnice SR na výstavbu a obnovu železničnýc</w:t>
      </w:r>
      <w:r>
        <w:rPr>
          <w:rFonts w:ascii="Times New Roman" w:hAnsi="Times New Roman" w:cs="Times New Roman"/>
          <w:sz w:val="24"/>
          <w:szCs w:val="24"/>
        </w:rPr>
        <w:t xml:space="preserve">h tratí </w:t>
      </w:r>
      <w:r w:rsidRPr="00F71179">
        <w:rPr>
          <w:rFonts w:ascii="Times New Roman" w:hAnsi="Times New Roman" w:cs="Times New Roman"/>
          <w:sz w:val="24"/>
          <w:szCs w:val="24"/>
        </w:rPr>
        <w:t>vo výške 50 000 tis. Sk a z</w:t>
      </w:r>
      <w:r>
        <w:rPr>
          <w:rFonts w:ascii="Times New Roman" w:hAnsi="Times New Roman" w:cs="Times New Roman"/>
          <w:sz w:val="24"/>
          <w:szCs w:val="24"/>
        </w:rPr>
        <w:t> kapitálových transferov (720) určených pre Nár</w:t>
      </w:r>
      <w:r w:rsidR="000F0CC2">
        <w:rPr>
          <w:rFonts w:ascii="Times New Roman" w:hAnsi="Times New Roman" w:cs="Times New Roman"/>
          <w:sz w:val="24"/>
          <w:szCs w:val="24"/>
        </w:rPr>
        <w:t xml:space="preserve">odnú diaľničnú spoločnosť, a.s., </w:t>
      </w:r>
      <w:r>
        <w:rPr>
          <w:rFonts w:ascii="Times New Roman" w:hAnsi="Times New Roman" w:cs="Times New Roman"/>
          <w:sz w:val="24"/>
          <w:szCs w:val="24"/>
        </w:rPr>
        <w:t>na výstavbu</w:t>
      </w:r>
      <w:r w:rsidRPr="00F71179">
        <w:rPr>
          <w:rFonts w:ascii="Times New Roman" w:hAnsi="Times New Roman" w:cs="Times New Roman"/>
          <w:sz w:val="24"/>
          <w:szCs w:val="24"/>
        </w:rPr>
        <w:t xml:space="preserve"> diaľnic a rýchlostných ciest (NDS, a.s.) vo výške </w:t>
      </w:r>
      <w:r>
        <w:rPr>
          <w:rFonts w:ascii="Times New Roman" w:hAnsi="Times New Roman" w:cs="Times New Roman"/>
          <w:sz w:val="24"/>
          <w:szCs w:val="24"/>
        </w:rPr>
        <w:t xml:space="preserve">100 000 tis. Sk. Prostriedky boli </w:t>
      </w:r>
      <w:r w:rsidRPr="00F71179">
        <w:rPr>
          <w:rFonts w:ascii="Times New Roman" w:hAnsi="Times New Roman" w:cs="Times New Roman"/>
          <w:sz w:val="24"/>
          <w:szCs w:val="24"/>
        </w:rPr>
        <w:t>určené na financovanie úloh Akčného plánu pre zabezpečenie vstupu SR do Schengenského priestoru v zmysle uznesení vlá</w:t>
      </w:r>
      <w:r>
        <w:rPr>
          <w:rFonts w:ascii="Times New Roman" w:hAnsi="Times New Roman" w:cs="Times New Roman"/>
          <w:sz w:val="24"/>
          <w:szCs w:val="24"/>
        </w:rPr>
        <w:t xml:space="preserve">dy SR č. 981/2006 a č. 254/2007. </w:t>
      </w:r>
    </w:p>
    <w:p w:rsidR="003C7BA7" w:rsidRPr="00F71179" w:rsidP="00C362EA">
      <w:pPr>
        <w:pStyle w:val="BodyText2"/>
        <w:spacing w:line="240" w:lineRule="auto"/>
        <w:ind w:firstLine="709"/>
        <w:rPr>
          <w:rFonts w:ascii="Times New Roman" w:hAnsi="Times New Roman" w:cs="Times New Roman"/>
          <w:sz w:val="24"/>
          <w:szCs w:val="24"/>
        </w:rPr>
      </w:pPr>
      <w:r w:rsidRPr="00F71179" w:rsidR="00F71179">
        <w:rPr>
          <w:rFonts w:ascii="Times New Roman" w:hAnsi="Times New Roman" w:cs="Times New Roman"/>
          <w:sz w:val="24"/>
          <w:szCs w:val="24"/>
        </w:rPr>
        <w:t xml:space="preserve">   </w:t>
      </w:r>
    </w:p>
    <w:p w:rsidR="00D27E26" w:rsidRPr="00D23807" w:rsidP="00C362EA">
      <w:pPr>
        <w:pStyle w:val="BodyText2"/>
        <w:spacing w:line="240" w:lineRule="auto"/>
        <w:rPr>
          <w:rFonts w:ascii="Times New Roman" w:hAnsi="Times New Roman" w:cs="Times New Roman"/>
          <w:b/>
          <w:sz w:val="24"/>
          <w:szCs w:val="24"/>
          <w:u w:val="single"/>
        </w:rPr>
      </w:pPr>
      <w:r w:rsidRPr="00D23807">
        <w:rPr>
          <w:rFonts w:ascii="Times New Roman" w:hAnsi="Times New Roman" w:cs="Times New Roman"/>
          <w:b/>
          <w:sz w:val="24"/>
          <w:szCs w:val="24"/>
          <w:u w:val="single"/>
        </w:rPr>
        <w:t>Rozpočtové opatrenie č. 17</w:t>
      </w:r>
    </w:p>
    <w:p w:rsidR="001D6CA2" w:rsidP="00C362EA">
      <w:pPr>
        <w:pStyle w:val="BodyText2"/>
        <w:spacing w:line="240" w:lineRule="auto"/>
        <w:rPr>
          <w:rFonts w:ascii="Times New Roman" w:hAnsi="Times New Roman" w:cs="Times New Roman"/>
          <w:sz w:val="24"/>
          <w:szCs w:val="24"/>
        </w:rPr>
      </w:pPr>
    </w:p>
    <w:p w:rsidR="001D6CA2" w:rsidP="00F71179">
      <w:pPr>
        <w:pStyle w:val="BodyText2"/>
        <w:spacing w:line="240" w:lineRule="auto"/>
        <w:ind w:firstLine="709"/>
        <w:rPr>
          <w:rFonts w:ascii="Times New Roman" w:hAnsi="Times New Roman" w:cs="Times New Roman"/>
          <w:sz w:val="24"/>
          <w:szCs w:val="24"/>
        </w:rPr>
      </w:pPr>
      <w:r w:rsidR="00F71179">
        <w:rPr>
          <w:rFonts w:ascii="Times New Roman" w:hAnsi="Times New Roman" w:cs="Times New Roman"/>
          <w:sz w:val="24"/>
          <w:szCs w:val="24"/>
        </w:rPr>
        <w:t xml:space="preserve">Presun 3 500 000,- Sk z kapitálových transferov (720) do bežných transferov (640) určených pre Železnice SR v rámci medzirezortného podprogramu 06E01 MDPT SR – Do-pravná a telekomunikačná podpora </w:t>
      </w:r>
      <w:r w:rsidRPr="00F71179" w:rsidR="00F71179">
        <w:rPr>
          <w:rFonts w:ascii="Times New Roman" w:hAnsi="Times New Roman" w:cs="Times New Roman"/>
          <w:sz w:val="24"/>
          <w:szCs w:val="24"/>
        </w:rPr>
        <w:t>n</w:t>
      </w:r>
      <w:r w:rsidR="00F71179">
        <w:rPr>
          <w:rFonts w:ascii="Times New Roman" w:hAnsi="Times New Roman" w:cs="Times New Roman"/>
          <w:sz w:val="24"/>
          <w:szCs w:val="24"/>
        </w:rPr>
        <w:t xml:space="preserve">a projekty podpory obrany realizované Železnicami SR. </w:t>
      </w:r>
    </w:p>
    <w:p w:rsidR="00F71179" w:rsidRPr="00F71179" w:rsidP="00C362EA">
      <w:pPr>
        <w:pStyle w:val="BodyText2"/>
        <w:spacing w:line="240" w:lineRule="auto"/>
        <w:rPr>
          <w:rFonts w:ascii="Times New Roman" w:hAnsi="Times New Roman" w:cs="Times New Roman"/>
          <w:sz w:val="24"/>
          <w:szCs w:val="24"/>
        </w:rPr>
      </w:pPr>
    </w:p>
    <w:p w:rsidR="00D27E26" w:rsidP="00C362EA">
      <w:pPr>
        <w:pStyle w:val="BodyText2"/>
        <w:spacing w:line="240" w:lineRule="auto"/>
        <w:rPr>
          <w:rFonts w:ascii="Times New Roman" w:hAnsi="Times New Roman" w:cs="Times New Roman"/>
          <w:b/>
          <w:sz w:val="24"/>
          <w:szCs w:val="24"/>
          <w:u w:val="single"/>
        </w:rPr>
      </w:pPr>
      <w:r w:rsidRPr="00D23807">
        <w:rPr>
          <w:rFonts w:ascii="Times New Roman" w:hAnsi="Times New Roman" w:cs="Times New Roman"/>
          <w:b/>
          <w:sz w:val="24"/>
          <w:szCs w:val="24"/>
          <w:u w:val="single"/>
        </w:rPr>
        <w:t>Rozpočtové opatrenie č. 18</w:t>
      </w:r>
    </w:p>
    <w:p w:rsidR="00421B81" w:rsidP="00C362EA">
      <w:pPr>
        <w:pStyle w:val="BodyText2"/>
        <w:spacing w:line="240" w:lineRule="auto"/>
        <w:rPr>
          <w:rFonts w:ascii="Times New Roman" w:hAnsi="Times New Roman" w:cs="Times New Roman"/>
          <w:b/>
          <w:sz w:val="24"/>
          <w:szCs w:val="24"/>
          <w:u w:val="single"/>
        </w:rPr>
      </w:pPr>
    </w:p>
    <w:p w:rsidR="00421B81" w:rsidRPr="00421B81" w:rsidP="00C362EA">
      <w:pPr>
        <w:pStyle w:val="BodyText2"/>
        <w:spacing w:line="240" w:lineRule="auto"/>
        <w:rPr>
          <w:rFonts w:ascii="Times New Roman" w:hAnsi="Times New Roman" w:cs="Times New Roman"/>
          <w:sz w:val="24"/>
          <w:szCs w:val="24"/>
        </w:rPr>
      </w:pPr>
      <w:r w:rsidRPr="00421B81">
        <w:rPr>
          <w:rFonts w:ascii="Times New Roman" w:hAnsi="Times New Roman" w:cs="Times New Roman"/>
          <w:b/>
          <w:sz w:val="24"/>
          <w:szCs w:val="24"/>
        </w:rPr>
        <w:tab/>
      </w:r>
      <w:r w:rsidRPr="00421B81">
        <w:rPr>
          <w:rFonts w:ascii="Times New Roman" w:hAnsi="Times New Roman" w:cs="Times New Roman"/>
          <w:sz w:val="24"/>
          <w:szCs w:val="24"/>
        </w:rPr>
        <w:t>Rozpočtové opatrenie sa realizovalo v súvislosti s presunom prostriedkov pridelených na tech</w:t>
      </w:r>
      <w:r w:rsidRPr="00421B81">
        <w:rPr>
          <w:rFonts w:ascii="Times New Roman" w:hAnsi="Times New Roman" w:cs="Times New Roman"/>
          <w:sz w:val="24"/>
          <w:szCs w:val="24"/>
        </w:rPr>
        <w:t>nickú asistenciu v rámci kategórie 610 – mzd</w:t>
      </w:r>
      <w:r w:rsidR="000F0CC2">
        <w:rPr>
          <w:rFonts w:ascii="Times New Roman" w:hAnsi="Times New Roman" w:cs="Times New Roman"/>
          <w:sz w:val="24"/>
          <w:szCs w:val="24"/>
        </w:rPr>
        <w:t xml:space="preserve">y, platy, služobné príjmy a OOV, </w:t>
      </w:r>
      <w:r w:rsidRPr="00421B81">
        <w:rPr>
          <w:rFonts w:ascii="Times New Roman" w:hAnsi="Times New Roman" w:cs="Times New Roman"/>
          <w:sz w:val="24"/>
          <w:szCs w:val="24"/>
        </w:rPr>
        <w:t xml:space="preserve">a to znížením v aparáte ústredného orgánu v celkovej sume 1 040 000,- Sk, z toho </w:t>
      </w:r>
      <w:r>
        <w:rPr>
          <w:rFonts w:ascii="Times New Roman" w:hAnsi="Times New Roman" w:cs="Times New Roman"/>
          <w:sz w:val="24"/>
          <w:szCs w:val="24"/>
        </w:rPr>
        <w:t xml:space="preserve">prostriedkov </w:t>
      </w:r>
      <w:r w:rsidRPr="00421B81">
        <w:rPr>
          <w:rFonts w:ascii="Times New Roman" w:hAnsi="Times New Roman" w:cs="Times New Roman"/>
          <w:sz w:val="24"/>
          <w:szCs w:val="24"/>
        </w:rPr>
        <w:t>EÚ vo výške 780 000,- Sk a príslušné</w:t>
      </w:r>
      <w:r>
        <w:rPr>
          <w:rFonts w:ascii="Times New Roman" w:hAnsi="Times New Roman" w:cs="Times New Roman"/>
          <w:sz w:val="24"/>
          <w:szCs w:val="24"/>
        </w:rPr>
        <w:t>ho</w:t>
      </w:r>
      <w:r w:rsidRPr="00421B81">
        <w:rPr>
          <w:rFonts w:ascii="Times New Roman" w:hAnsi="Times New Roman" w:cs="Times New Roman"/>
          <w:sz w:val="24"/>
          <w:szCs w:val="24"/>
        </w:rPr>
        <w:t xml:space="preserve"> </w:t>
      </w:r>
      <w:r>
        <w:rPr>
          <w:rFonts w:ascii="Times New Roman" w:hAnsi="Times New Roman" w:cs="Times New Roman"/>
          <w:sz w:val="24"/>
          <w:szCs w:val="24"/>
        </w:rPr>
        <w:t>spolufinancovania</w:t>
      </w:r>
      <w:r w:rsidRPr="00421B81">
        <w:rPr>
          <w:rFonts w:ascii="Times New Roman" w:hAnsi="Times New Roman" w:cs="Times New Roman"/>
          <w:sz w:val="24"/>
          <w:szCs w:val="24"/>
        </w:rPr>
        <w:t xml:space="preserve"> vo výške 260 000,- Sk a zvýš</w:t>
      </w:r>
      <w:r w:rsidRPr="00421B81">
        <w:rPr>
          <w:rFonts w:ascii="Times New Roman" w:hAnsi="Times New Roman" w:cs="Times New Roman"/>
          <w:sz w:val="24"/>
          <w:szCs w:val="24"/>
        </w:rPr>
        <w:t xml:space="preserve">ením prostriedkov pre organizáciu Slovenská správa ciest. </w:t>
      </w:r>
    </w:p>
    <w:p w:rsidR="000F695D" w:rsidRPr="00030CFA" w:rsidP="00C362EA">
      <w:pPr>
        <w:pStyle w:val="BodyText2"/>
        <w:spacing w:line="240" w:lineRule="auto"/>
        <w:rPr>
          <w:rFonts w:ascii="Times New Roman" w:hAnsi="Times New Roman" w:cs="Times New Roman"/>
          <w:sz w:val="24"/>
          <w:szCs w:val="24"/>
        </w:rPr>
      </w:pPr>
      <w:r w:rsidRPr="00030CFA" w:rsidR="00030CFA">
        <w:rPr>
          <w:rFonts w:ascii="Times New Roman" w:hAnsi="Times New Roman" w:cs="Times New Roman"/>
          <w:sz w:val="24"/>
          <w:szCs w:val="24"/>
        </w:rPr>
        <w:tab/>
      </w:r>
    </w:p>
    <w:p w:rsidR="00D27E26" w:rsidP="00C362EA">
      <w:pPr>
        <w:pStyle w:val="BodyText2"/>
        <w:spacing w:line="240" w:lineRule="auto"/>
        <w:rPr>
          <w:rFonts w:ascii="Times New Roman" w:hAnsi="Times New Roman" w:cs="Times New Roman"/>
          <w:b/>
          <w:sz w:val="24"/>
          <w:szCs w:val="24"/>
          <w:u w:val="single"/>
        </w:rPr>
      </w:pPr>
      <w:r w:rsidRPr="00D23807">
        <w:rPr>
          <w:rFonts w:ascii="Times New Roman" w:hAnsi="Times New Roman" w:cs="Times New Roman"/>
          <w:b/>
          <w:sz w:val="24"/>
          <w:szCs w:val="24"/>
          <w:u w:val="single"/>
        </w:rPr>
        <w:t>Rozpočtové opatrenie č. 19</w:t>
      </w:r>
    </w:p>
    <w:p w:rsidR="00030CFA" w:rsidRPr="00D23807" w:rsidP="00C362EA">
      <w:pPr>
        <w:pStyle w:val="BodyText2"/>
        <w:spacing w:line="240" w:lineRule="auto"/>
        <w:rPr>
          <w:rFonts w:ascii="Times New Roman" w:hAnsi="Times New Roman" w:cs="Times New Roman"/>
          <w:b/>
          <w:sz w:val="24"/>
          <w:szCs w:val="24"/>
          <w:u w:val="single"/>
        </w:rPr>
      </w:pPr>
    </w:p>
    <w:p w:rsidR="00325664" w:rsidRPr="005664EA" w:rsidP="00011861">
      <w:pPr>
        <w:pStyle w:val="BodyText2"/>
        <w:spacing w:line="240" w:lineRule="auto"/>
        <w:ind w:firstLine="709"/>
        <w:rPr>
          <w:rFonts w:ascii="Times New Roman" w:hAnsi="Times New Roman" w:cs="Times New Roman"/>
          <w:sz w:val="24"/>
          <w:szCs w:val="24"/>
        </w:rPr>
      </w:pPr>
      <w:r w:rsidR="005664EA">
        <w:rPr>
          <w:rFonts w:ascii="Times New Roman" w:hAnsi="Times New Roman" w:cs="Times New Roman"/>
          <w:sz w:val="24"/>
          <w:szCs w:val="24"/>
        </w:rPr>
        <w:t>P</w:t>
      </w:r>
      <w:r w:rsidRPr="005664EA" w:rsidR="005664EA">
        <w:rPr>
          <w:rFonts w:ascii="Times New Roman" w:hAnsi="Times New Roman" w:cs="Times New Roman"/>
          <w:sz w:val="24"/>
          <w:szCs w:val="24"/>
        </w:rPr>
        <w:t xml:space="preserve">resun </w:t>
      </w:r>
      <w:r w:rsidR="005664EA">
        <w:rPr>
          <w:rFonts w:ascii="Times New Roman" w:hAnsi="Times New Roman" w:cs="Times New Roman"/>
          <w:sz w:val="24"/>
          <w:szCs w:val="24"/>
        </w:rPr>
        <w:t xml:space="preserve">prostriedkov vo výške </w:t>
      </w:r>
      <w:r w:rsidRPr="005664EA" w:rsidR="005664EA">
        <w:rPr>
          <w:rFonts w:ascii="Times New Roman" w:hAnsi="Times New Roman" w:cs="Times New Roman"/>
          <w:sz w:val="24"/>
          <w:szCs w:val="24"/>
        </w:rPr>
        <w:t>1 656 000,- Sk v rá</w:t>
      </w:r>
      <w:r w:rsidR="005664EA">
        <w:rPr>
          <w:rFonts w:ascii="Times New Roman" w:hAnsi="Times New Roman" w:cs="Times New Roman"/>
          <w:sz w:val="24"/>
          <w:szCs w:val="24"/>
        </w:rPr>
        <w:t xml:space="preserve">mci rozpočtu aparátu MDPT SR z kategórie </w:t>
      </w:r>
      <w:r w:rsidRPr="005664EA" w:rsidR="005664EA">
        <w:rPr>
          <w:rFonts w:ascii="Times New Roman" w:hAnsi="Times New Roman" w:cs="Times New Roman"/>
          <w:sz w:val="24"/>
          <w:szCs w:val="24"/>
        </w:rPr>
        <w:t xml:space="preserve">630 </w:t>
      </w:r>
      <w:r w:rsidR="005664EA">
        <w:rPr>
          <w:rFonts w:ascii="Times New Roman" w:hAnsi="Times New Roman" w:cs="Times New Roman"/>
          <w:sz w:val="24"/>
          <w:szCs w:val="24"/>
        </w:rPr>
        <w:t xml:space="preserve">– Tovary a služby do kategórie </w:t>
      </w:r>
      <w:r w:rsidRPr="005664EA" w:rsidR="005664EA">
        <w:rPr>
          <w:rFonts w:ascii="Times New Roman" w:hAnsi="Times New Roman" w:cs="Times New Roman"/>
          <w:sz w:val="24"/>
          <w:szCs w:val="24"/>
        </w:rPr>
        <w:t xml:space="preserve">do 610 </w:t>
      </w:r>
      <w:r w:rsidR="005664EA">
        <w:rPr>
          <w:rFonts w:ascii="Times New Roman" w:hAnsi="Times New Roman" w:cs="Times New Roman"/>
          <w:sz w:val="24"/>
          <w:szCs w:val="24"/>
        </w:rPr>
        <w:t>– Mzdy, platy, služobné príjmy a OOV</w:t>
      </w:r>
      <w:r w:rsidR="005664EA">
        <w:rPr>
          <w:rFonts w:ascii="Times New Roman" w:hAnsi="Times New Roman" w:cs="Times New Roman"/>
          <w:sz w:val="24"/>
          <w:szCs w:val="24"/>
        </w:rPr>
        <w:t xml:space="preserve"> </w:t>
      </w:r>
      <w:r w:rsidRPr="005664EA" w:rsidR="005664EA">
        <w:rPr>
          <w:rFonts w:ascii="Times New Roman" w:hAnsi="Times New Roman" w:cs="Times New Roman"/>
          <w:sz w:val="24"/>
          <w:szCs w:val="24"/>
        </w:rPr>
        <w:t xml:space="preserve">na zabezpečenie miezd pre 20 nových pracovníkov úradu </w:t>
      </w:r>
      <w:r w:rsidR="00FB1DDF">
        <w:rPr>
          <w:rFonts w:ascii="Times New Roman" w:hAnsi="Times New Roman" w:cs="Times New Roman"/>
          <w:sz w:val="24"/>
          <w:szCs w:val="24"/>
        </w:rPr>
        <w:t xml:space="preserve">MDPT SR </w:t>
      </w:r>
      <w:r w:rsidR="005664EA">
        <w:rPr>
          <w:rFonts w:ascii="Times New Roman" w:hAnsi="Times New Roman" w:cs="Times New Roman"/>
          <w:sz w:val="24"/>
          <w:szCs w:val="24"/>
        </w:rPr>
        <w:t>(od 1.10.</w:t>
      </w:r>
      <w:r w:rsidR="00011861">
        <w:rPr>
          <w:rFonts w:ascii="Times New Roman" w:hAnsi="Times New Roman" w:cs="Times New Roman"/>
          <w:sz w:val="24"/>
          <w:szCs w:val="24"/>
        </w:rPr>
        <w:t xml:space="preserve">do 31.12.2007) </w:t>
      </w:r>
      <w:r w:rsidRPr="005664EA" w:rsidR="005664EA">
        <w:rPr>
          <w:rFonts w:ascii="Times New Roman" w:hAnsi="Times New Roman" w:cs="Times New Roman"/>
          <w:sz w:val="24"/>
          <w:szCs w:val="24"/>
        </w:rPr>
        <w:t>v súvislosti s výstavbou n</w:t>
      </w:r>
      <w:r w:rsidR="00682706">
        <w:rPr>
          <w:rFonts w:ascii="Times New Roman" w:hAnsi="Times New Roman" w:cs="Times New Roman"/>
          <w:sz w:val="24"/>
          <w:szCs w:val="24"/>
        </w:rPr>
        <w:t>adradenej cestnej dopravnej inf</w:t>
      </w:r>
      <w:r w:rsidRPr="005664EA" w:rsidR="005664EA">
        <w:rPr>
          <w:rFonts w:ascii="Times New Roman" w:hAnsi="Times New Roman" w:cs="Times New Roman"/>
          <w:sz w:val="24"/>
          <w:szCs w:val="24"/>
        </w:rPr>
        <w:t>r</w:t>
      </w:r>
      <w:r w:rsidR="00682706">
        <w:rPr>
          <w:rFonts w:ascii="Times New Roman" w:hAnsi="Times New Roman" w:cs="Times New Roman"/>
          <w:sz w:val="24"/>
          <w:szCs w:val="24"/>
        </w:rPr>
        <w:t>a</w:t>
      </w:r>
      <w:r w:rsidRPr="005664EA" w:rsidR="005664EA">
        <w:rPr>
          <w:rFonts w:ascii="Times New Roman" w:hAnsi="Times New Roman" w:cs="Times New Roman"/>
          <w:sz w:val="24"/>
          <w:szCs w:val="24"/>
        </w:rPr>
        <w:t>štruktúry</w:t>
      </w:r>
      <w:r w:rsidR="005664EA">
        <w:rPr>
          <w:rFonts w:ascii="Times New Roman" w:hAnsi="Times New Roman" w:cs="Times New Roman"/>
          <w:sz w:val="24"/>
          <w:szCs w:val="24"/>
        </w:rPr>
        <w:t xml:space="preserve"> </w:t>
      </w:r>
      <w:r w:rsidRPr="00D1603A" w:rsidR="005664EA">
        <w:rPr>
          <w:rFonts w:ascii="Times New Roman" w:hAnsi="Times New Roman" w:cs="Times New Roman"/>
          <w:sz w:val="24"/>
          <w:szCs w:val="24"/>
        </w:rPr>
        <w:t>formou projektu verejno-súkromného partnerstva (PPP)</w:t>
      </w:r>
      <w:r w:rsidR="005664EA">
        <w:rPr>
          <w:rFonts w:ascii="Times New Roman" w:hAnsi="Times New Roman" w:cs="Times New Roman"/>
          <w:sz w:val="24"/>
          <w:szCs w:val="24"/>
        </w:rPr>
        <w:t xml:space="preserve">. </w:t>
      </w:r>
    </w:p>
    <w:p w:rsidR="00DC6377" w:rsidP="00C362EA">
      <w:pPr>
        <w:pStyle w:val="BodyText2"/>
        <w:spacing w:line="240" w:lineRule="auto"/>
        <w:rPr>
          <w:rFonts w:ascii="Times New Roman" w:hAnsi="Times New Roman" w:cs="Times New Roman"/>
          <w:b/>
          <w:sz w:val="24"/>
          <w:szCs w:val="24"/>
          <w:u w:val="single"/>
        </w:rPr>
      </w:pPr>
    </w:p>
    <w:p w:rsidR="00D27E26" w:rsidP="00C362EA">
      <w:pPr>
        <w:pStyle w:val="BodyText2"/>
        <w:spacing w:line="240" w:lineRule="auto"/>
        <w:rPr>
          <w:rFonts w:ascii="Times New Roman" w:hAnsi="Times New Roman" w:cs="Times New Roman"/>
          <w:b/>
          <w:sz w:val="24"/>
          <w:szCs w:val="24"/>
          <w:u w:val="single"/>
        </w:rPr>
      </w:pPr>
      <w:r w:rsidRPr="00D23807">
        <w:rPr>
          <w:rFonts w:ascii="Times New Roman" w:hAnsi="Times New Roman" w:cs="Times New Roman"/>
          <w:b/>
          <w:sz w:val="24"/>
          <w:szCs w:val="24"/>
          <w:u w:val="single"/>
        </w:rPr>
        <w:t>Rozpočtové opatrenie č. 20</w:t>
      </w:r>
    </w:p>
    <w:p w:rsidR="00D96776" w:rsidP="00C362EA">
      <w:pPr>
        <w:pStyle w:val="BodyText2"/>
        <w:spacing w:line="240" w:lineRule="auto"/>
        <w:rPr>
          <w:rFonts w:ascii="Times New Roman" w:hAnsi="Times New Roman" w:cs="Times New Roman"/>
          <w:b/>
          <w:sz w:val="24"/>
          <w:szCs w:val="24"/>
          <w:u w:val="single"/>
        </w:rPr>
      </w:pPr>
    </w:p>
    <w:p w:rsidR="00030CFA" w:rsidRPr="00D96776" w:rsidP="00D96776">
      <w:pPr>
        <w:pStyle w:val="BodyText2"/>
        <w:spacing w:line="240" w:lineRule="auto"/>
        <w:ind w:firstLine="709"/>
        <w:rPr>
          <w:rFonts w:ascii="Times New Roman" w:hAnsi="Times New Roman" w:cs="Times New Roman"/>
          <w:sz w:val="24"/>
          <w:szCs w:val="24"/>
        </w:rPr>
      </w:pPr>
      <w:r w:rsidR="00D96776">
        <w:rPr>
          <w:rFonts w:ascii="Times New Roman" w:hAnsi="Times New Roman" w:cs="Times New Roman"/>
          <w:sz w:val="24"/>
          <w:szCs w:val="24"/>
        </w:rPr>
        <w:t>P</w:t>
      </w:r>
      <w:r w:rsidRPr="00D96776" w:rsidR="00D96776">
        <w:rPr>
          <w:rFonts w:ascii="Times New Roman" w:hAnsi="Times New Roman" w:cs="Times New Roman"/>
          <w:sz w:val="24"/>
          <w:szCs w:val="24"/>
        </w:rPr>
        <w:t xml:space="preserve">resun 209 190,- Sk v rámci rozpočtu </w:t>
      </w:r>
      <w:r w:rsidR="00D96776">
        <w:rPr>
          <w:rFonts w:ascii="Times New Roman" w:hAnsi="Times New Roman" w:cs="Times New Roman"/>
          <w:sz w:val="24"/>
          <w:szCs w:val="24"/>
        </w:rPr>
        <w:t>kapito</w:t>
      </w:r>
      <w:r w:rsidR="00A21E8A">
        <w:rPr>
          <w:rFonts w:ascii="Times New Roman" w:hAnsi="Times New Roman" w:cs="Times New Roman"/>
          <w:sz w:val="24"/>
          <w:szCs w:val="24"/>
        </w:rPr>
        <w:t xml:space="preserve">ly VPC </w:t>
      </w:r>
      <w:r w:rsidRPr="00D96776" w:rsidR="00D96776">
        <w:rPr>
          <w:rFonts w:ascii="Times New Roman" w:hAnsi="Times New Roman" w:cs="Times New Roman"/>
          <w:sz w:val="24"/>
          <w:szCs w:val="24"/>
        </w:rPr>
        <w:t xml:space="preserve">na spolufinancovanie projektov ISPA z projektu 0530307 </w:t>
      </w:r>
      <w:r w:rsidR="00D96776">
        <w:rPr>
          <w:rFonts w:ascii="Times New Roman" w:hAnsi="Times New Roman" w:cs="Times New Roman"/>
          <w:sz w:val="24"/>
          <w:szCs w:val="24"/>
        </w:rPr>
        <w:t>– Odborná pomoc pre implementáciu dopravných projektov spolu</w:t>
      </w:r>
      <w:r w:rsidR="00A21E8A">
        <w:rPr>
          <w:rFonts w:ascii="Times New Roman" w:hAnsi="Times New Roman" w:cs="Times New Roman"/>
          <w:sz w:val="24"/>
          <w:szCs w:val="24"/>
        </w:rPr>
        <w:t>-</w:t>
      </w:r>
      <w:r w:rsidR="00D96776">
        <w:rPr>
          <w:rFonts w:ascii="Times New Roman" w:hAnsi="Times New Roman" w:cs="Times New Roman"/>
          <w:sz w:val="24"/>
          <w:szCs w:val="24"/>
        </w:rPr>
        <w:t xml:space="preserve">financovaných </w:t>
      </w:r>
      <w:r w:rsidRPr="00D96776" w:rsidR="00D96776">
        <w:rPr>
          <w:rFonts w:ascii="Times New Roman" w:hAnsi="Times New Roman" w:cs="Times New Roman"/>
          <w:sz w:val="24"/>
          <w:szCs w:val="24"/>
        </w:rPr>
        <w:t>z</w:t>
      </w:r>
      <w:r w:rsidR="00D96776">
        <w:rPr>
          <w:rFonts w:ascii="Times New Roman" w:hAnsi="Times New Roman" w:cs="Times New Roman"/>
          <w:sz w:val="24"/>
          <w:szCs w:val="24"/>
        </w:rPr>
        <w:t xml:space="preserve"> rozpočtu EÚ – </w:t>
      </w:r>
      <w:r w:rsidRPr="00D96776" w:rsidR="00D96776">
        <w:rPr>
          <w:rFonts w:ascii="Times New Roman" w:hAnsi="Times New Roman" w:cs="Times New Roman"/>
          <w:sz w:val="24"/>
          <w:szCs w:val="24"/>
        </w:rPr>
        <w:t>cestné proj</w:t>
      </w:r>
      <w:r w:rsidR="00D96776">
        <w:rPr>
          <w:rFonts w:ascii="Times New Roman" w:hAnsi="Times New Roman" w:cs="Times New Roman"/>
          <w:sz w:val="24"/>
          <w:szCs w:val="24"/>
        </w:rPr>
        <w:t>ekty (ISPA) do projektu 0</w:t>
      </w:r>
      <w:r w:rsidR="00A21E8A">
        <w:rPr>
          <w:rFonts w:ascii="Times New Roman" w:hAnsi="Times New Roman" w:cs="Times New Roman"/>
          <w:sz w:val="24"/>
          <w:szCs w:val="24"/>
        </w:rPr>
        <w:t xml:space="preserve">7S0609 – Odb. pomoc pre impl. </w:t>
      </w:r>
      <w:r w:rsidRPr="00D96776" w:rsidR="00D96776">
        <w:rPr>
          <w:rFonts w:ascii="Times New Roman" w:hAnsi="Times New Roman" w:cs="Times New Roman"/>
          <w:sz w:val="24"/>
          <w:szCs w:val="24"/>
        </w:rPr>
        <w:t>dopravných</w:t>
      </w:r>
      <w:r w:rsidRPr="00D96776" w:rsidR="00D96776">
        <w:rPr>
          <w:rFonts w:ascii="Times New Roman" w:hAnsi="Times New Roman" w:cs="Times New Roman"/>
          <w:sz w:val="24"/>
          <w:szCs w:val="24"/>
        </w:rPr>
        <w:t xml:space="preserve"> </w:t>
      </w:r>
      <w:r w:rsidR="00D96776">
        <w:rPr>
          <w:rFonts w:ascii="Times New Roman" w:hAnsi="Times New Roman" w:cs="Times New Roman"/>
          <w:sz w:val="24"/>
          <w:szCs w:val="24"/>
        </w:rPr>
        <w:t xml:space="preserve">projektov spolufinancovaných z EÚ – </w:t>
      </w:r>
      <w:r w:rsidRPr="00D96776" w:rsidR="00D96776">
        <w:rPr>
          <w:rFonts w:ascii="Times New Roman" w:hAnsi="Times New Roman" w:cs="Times New Roman"/>
          <w:sz w:val="24"/>
          <w:szCs w:val="24"/>
        </w:rPr>
        <w:t>železničné projekty (ISPA)</w:t>
      </w:r>
      <w:r w:rsidR="00D96776">
        <w:rPr>
          <w:rFonts w:ascii="Times New Roman" w:hAnsi="Times New Roman" w:cs="Times New Roman"/>
          <w:sz w:val="24"/>
          <w:szCs w:val="24"/>
        </w:rPr>
        <w:t xml:space="preserve">. </w:t>
      </w:r>
    </w:p>
    <w:p w:rsidR="00F37A77" w:rsidP="00C362EA">
      <w:pPr>
        <w:pStyle w:val="BodyText2"/>
        <w:spacing w:line="240" w:lineRule="auto"/>
        <w:rPr>
          <w:rFonts w:ascii="Times New Roman" w:hAnsi="Times New Roman" w:cs="Times New Roman"/>
          <w:b/>
          <w:sz w:val="24"/>
          <w:szCs w:val="24"/>
          <w:u w:val="single"/>
        </w:rPr>
      </w:pPr>
    </w:p>
    <w:p w:rsidR="00D27E26" w:rsidP="00C362EA">
      <w:pPr>
        <w:pStyle w:val="BodyText2"/>
        <w:spacing w:line="240" w:lineRule="auto"/>
        <w:rPr>
          <w:rFonts w:ascii="Times New Roman" w:hAnsi="Times New Roman" w:cs="Times New Roman"/>
          <w:b/>
          <w:sz w:val="24"/>
          <w:szCs w:val="24"/>
          <w:u w:val="single"/>
        </w:rPr>
      </w:pPr>
      <w:r w:rsidRPr="00D23807">
        <w:rPr>
          <w:rFonts w:ascii="Times New Roman" w:hAnsi="Times New Roman" w:cs="Times New Roman"/>
          <w:b/>
          <w:sz w:val="24"/>
          <w:szCs w:val="24"/>
          <w:u w:val="single"/>
        </w:rPr>
        <w:t>Rozpočtové opatrenie č. 21</w:t>
      </w:r>
    </w:p>
    <w:p w:rsidR="00D619D4" w:rsidRPr="00D23807" w:rsidP="00C362EA">
      <w:pPr>
        <w:pStyle w:val="BodyText2"/>
        <w:spacing w:line="240" w:lineRule="auto"/>
        <w:rPr>
          <w:rFonts w:ascii="Times New Roman" w:hAnsi="Times New Roman" w:cs="Times New Roman"/>
          <w:b/>
          <w:sz w:val="24"/>
          <w:szCs w:val="24"/>
          <w:u w:val="single"/>
        </w:rPr>
      </w:pPr>
    </w:p>
    <w:p w:rsidR="00D619D4" w:rsidP="00D96776">
      <w:pPr>
        <w:pStyle w:val="BodyText2"/>
        <w:spacing w:line="240" w:lineRule="auto"/>
        <w:ind w:firstLine="709"/>
        <w:rPr>
          <w:rFonts w:ascii="Times New Roman" w:hAnsi="Times New Roman" w:cs="Times New Roman"/>
          <w:sz w:val="24"/>
          <w:szCs w:val="24"/>
        </w:rPr>
      </w:pPr>
      <w:r w:rsidR="00D96776">
        <w:rPr>
          <w:rFonts w:ascii="Times New Roman" w:hAnsi="Times New Roman" w:cs="Times New Roman"/>
          <w:sz w:val="24"/>
          <w:szCs w:val="24"/>
        </w:rPr>
        <w:t>Z</w:t>
      </w:r>
      <w:r w:rsidRPr="00D96776" w:rsidR="00D96776">
        <w:rPr>
          <w:rFonts w:ascii="Times New Roman" w:hAnsi="Times New Roman" w:cs="Times New Roman"/>
          <w:sz w:val="24"/>
          <w:szCs w:val="24"/>
        </w:rPr>
        <w:t>výšenie rozpočtu kapito</w:t>
      </w:r>
      <w:r w:rsidR="00D96776">
        <w:rPr>
          <w:rFonts w:ascii="Times New Roman" w:hAnsi="Times New Roman" w:cs="Times New Roman"/>
          <w:sz w:val="24"/>
          <w:szCs w:val="24"/>
        </w:rPr>
        <w:t xml:space="preserve">ly MDPT SR o 163 850 400,- Sk z kapitoly Všeobecná pokladničná správa </w:t>
      </w:r>
      <w:r w:rsidRPr="00D96776" w:rsidR="00D96776">
        <w:rPr>
          <w:rFonts w:ascii="Times New Roman" w:hAnsi="Times New Roman" w:cs="Times New Roman"/>
          <w:sz w:val="24"/>
          <w:szCs w:val="24"/>
        </w:rPr>
        <w:t>(z rezervy na prostriedky a odvody EÚ) pre Ž</w:t>
      </w:r>
      <w:r w:rsidR="00D96776">
        <w:rPr>
          <w:rFonts w:ascii="Times New Roman" w:hAnsi="Times New Roman" w:cs="Times New Roman"/>
          <w:sz w:val="24"/>
          <w:szCs w:val="24"/>
        </w:rPr>
        <w:t xml:space="preserve">eleznice </w:t>
      </w:r>
      <w:r w:rsidRPr="00D96776" w:rsidR="00D96776">
        <w:rPr>
          <w:rFonts w:ascii="Times New Roman" w:hAnsi="Times New Roman" w:cs="Times New Roman"/>
          <w:sz w:val="24"/>
          <w:szCs w:val="24"/>
        </w:rPr>
        <w:t xml:space="preserve">SR </w:t>
      </w:r>
      <w:r w:rsidR="00D96776">
        <w:rPr>
          <w:rFonts w:ascii="Times New Roman" w:hAnsi="Times New Roman" w:cs="Times New Roman"/>
          <w:sz w:val="24"/>
          <w:szCs w:val="24"/>
        </w:rPr>
        <w:t>v kategórii</w:t>
      </w:r>
      <w:r w:rsidR="00D96776">
        <w:rPr>
          <w:rFonts w:ascii="Times New Roman" w:hAnsi="Times New Roman" w:cs="Times New Roman"/>
          <w:sz w:val="24"/>
          <w:szCs w:val="24"/>
        </w:rPr>
        <w:t xml:space="preserve"> 720 – Kapitálové transfery, a to </w:t>
      </w:r>
      <w:r w:rsidRPr="00D96776" w:rsidR="00D96776">
        <w:rPr>
          <w:rFonts w:ascii="Times New Roman" w:hAnsi="Times New Roman" w:cs="Times New Roman"/>
          <w:sz w:val="24"/>
          <w:szCs w:val="24"/>
        </w:rPr>
        <w:t xml:space="preserve">na spolufinancovanie projektov </w:t>
      </w:r>
      <w:r w:rsidR="00D96776">
        <w:rPr>
          <w:rFonts w:ascii="Times New Roman" w:hAnsi="Times New Roman" w:cs="Times New Roman"/>
          <w:sz w:val="24"/>
          <w:szCs w:val="24"/>
        </w:rPr>
        <w:t xml:space="preserve">fondu </w:t>
      </w:r>
      <w:r w:rsidRPr="00D96776" w:rsidR="00D96776">
        <w:rPr>
          <w:rFonts w:ascii="Times New Roman" w:hAnsi="Times New Roman" w:cs="Times New Roman"/>
          <w:sz w:val="24"/>
          <w:szCs w:val="24"/>
        </w:rPr>
        <w:t>ERDF</w:t>
      </w:r>
      <w:r w:rsidR="00D96776">
        <w:rPr>
          <w:rFonts w:ascii="Times New Roman" w:hAnsi="Times New Roman" w:cs="Times New Roman"/>
          <w:sz w:val="24"/>
          <w:szCs w:val="24"/>
        </w:rPr>
        <w:t xml:space="preserve">. </w:t>
      </w:r>
    </w:p>
    <w:p w:rsidR="00AB0FC7" w:rsidRPr="00D96776" w:rsidP="00C362EA">
      <w:pPr>
        <w:pStyle w:val="BodyText2"/>
        <w:spacing w:line="240" w:lineRule="auto"/>
        <w:rPr>
          <w:rFonts w:ascii="Times New Roman" w:hAnsi="Times New Roman" w:cs="Times New Roman"/>
          <w:sz w:val="24"/>
          <w:szCs w:val="24"/>
        </w:rPr>
      </w:pPr>
    </w:p>
    <w:p w:rsidR="00D27E26" w:rsidRPr="00D23807" w:rsidP="00C362EA">
      <w:pPr>
        <w:pStyle w:val="BodyText2"/>
        <w:spacing w:line="240" w:lineRule="auto"/>
        <w:rPr>
          <w:rFonts w:ascii="Times New Roman" w:hAnsi="Times New Roman" w:cs="Times New Roman"/>
          <w:b/>
          <w:sz w:val="24"/>
          <w:szCs w:val="24"/>
          <w:u w:val="single"/>
        </w:rPr>
      </w:pPr>
      <w:r w:rsidRPr="00D23807">
        <w:rPr>
          <w:rFonts w:ascii="Times New Roman" w:hAnsi="Times New Roman" w:cs="Times New Roman"/>
          <w:b/>
          <w:sz w:val="24"/>
          <w:szCs w:val="24"/>
          <w:u w:val="single"/>
        </w:rPr>
        <w:t>Rozpočtové opatrenie č. 22</w:t>
      </w:r>
    </w:p>
    <w:p w:rsidR="0028386B" w:rsidP="00C362EA">
      <w:pPr>
        <w:pStyle w:val="BodyText2"/>
        <w:spacing w:line="240" w:lineRule="auto"/>
        <w:rPr>
          <w:rFonts w:ascii="Times New Roman" w:hAnsi="Times New Roman" w:cs="Times New Roman"/>
          <w:sz w:val="24"/>
          <w:szCs w:val="24"/>
        </w:rPr>
      </w:pPr>
      <w:r>
        <w:rPr>
          <w:rFonts w:ascii="Times New Roman" w:hAnsi="Times New Roman" w:cs="Times New Roman"/>
          <w:sz w:val="24"/>
          <w:szCs w:val="24"/>
        </w:rPr>
        <w:tab/>
      </w:r>
    </w:p>
    <w:p w:rsidR="008330B6" w:rsidP="0028386B">
      <w:pPr>
        <w:pStyle w:val="BodyText2"/>
        <w:spacing w:line="240" w:lineRule="auto"/>
        <w:ind w:firstLine="709"/>
        <w:rPr>
          <w:rFonts w:ascii="Times New Roman" w:hAnsi="Times New Roman" w:cs="Times New Roman"/>
          <w:sz w:val="24"/>
          <w:szCs w:val="24"/>
        </w:rPr>
      </w:pPr>
      <w:r w:rsidR="0028386B">
        <w:rPr>
          <w:rFonts w:ascii="Times New Roman" w:hAnsi="Times New Roman" w:cs="Times New Roman"/>
          <w:sz w:val="24"/>
          <w:szCs w:val="24"/>
        </w:rPr>
        <w:t>Prekročenie limitu výdavkov – účelových prostriedkov o 670 000 Sk, položka 641 Transfery verejnej správy, podpoložka 641009 Obci v rámci programu 07</w:t>
      </w:r>
      <w:r w:rsidR="0028386B">
        <w:rPr>
          <w:rFonts w:ascii="Times New Roman" w:hAnsi="Times New Roman" w:cs="Times New Roman"/>
          <w:sz w:val="24"/>
          <w:szCs w:val="24"/>
        </w:rPr>
        <w:t xml:space="preserve">T Tvorba a implementácia politík – </w:t>
      </w:r>
      <w:r w:rsidRPr="0028386B" w:rsidR="0028386B">
        <w:rPr>
          <w:rFonts w:ascii="Times New Roman" w:hAnsi="Times New Roman" w:cs="Times New Roman"/>
          <w:sz w:val="24"/>
          <w:szCs w:val="24"/>
        </w:rPr>
        <w:t xml:space="preserve">zriadenie </w:t>
      </w:r>
      <w:r w:rsidR="0028386B">
        <w:rPr>
          <w:rFonts w:ascii="Times New Roman" w:hAnsi="Times New Roman" w:cs="Times New Roman"/>
          <w:sz w:val="24"/>
          <w:szCs w:val="24"/>
        </w:rPr>
        <w:t xml:space="preserve">nového záväzného ukazovateľa – </w:t>
      </w:r>
      <w:r w:rsidRPr="0028386B" w:rsidR="0028386B">
        <w:rPr>
          <w:rFonts w:ascii="Times New Roman" w:hAnsi="Times New Roman" w:cs="Times New Roman"/>
          <w:sz w:val="24"/>
          <w:szCs w:val="24"/>
        </w:rPr>
        <w:t xml:space="preserve">dotácie obciam na podporu projektov v oblasti </w:t>
      </w:r>
      <w:r w:rsidR="0028386B">
        <w:rPr>
          <w:rFonts w:ascii="Times New Roman" w:hAnsi="Times New Roman" w:cs="Times New Roman"/>
          <w:sz w:val="24"/>
          <w:szCs w:val="24"/>
        </w:rPr>
        <w:t>prevencie bezpečnosti cestnej premávky (BECEP). Účelové prostriedky boli určené na realizáciu projektov BECEP pre obce v zmysle Výnosu MDPT SR č. 1448/M-2007 o poskytovaní dotácií v oblasti bezpečnosti cestnej premávky.</w:t>
      </w:r>
    </w:p>
    <w:p w:rsidR="00926F54" w:rsidRPr="008330B6" w:rsidP="00C362EA">
      <w:pPr>
        <w:pStyle w:val="BodyText2"/>
        <w:spacing w:line="240" w:lineRule="auto"/>
        <w:rPr>
          <w:rFonts w:ascii="Times New Roman" w:hAnsi="Times New Roman" w:cs="Times New Roman"/>
          <w:sz w:val="24"/>
          <w:szCs w:val="24"/>
        </w:rPr>
      </w:pPr>
    </w:p>
    <w:p w:rsidR="00D27E26" w:rsidRPr="00D23807" w:rsidP="00C362EA">
      <w:pPr>
        <w:pStyle w:val="BodyText2"/>
        <w:spacing w:line="240" w:lineRule="auto"/>
        <w:rPr>
          <w:rFonts w:ascii="Times New Roman" w:hAnsi="Times New Roman" w:cs="Times New Roman"/>
          <w:b/>
          <w:sz w:val="24"/>
          <w:szCs w:val="24"/>
          <w:u w:val="single"/>
        </w:rPr>
      </w:pPr>
      <w:r w:rsidRPr="00D23807">
        <w:rPr>
          <w:rFonts w:ascii="Times New Roman" w:hAnsi="Times New Roman" w:cs="Times New Roman"/>
          <w:b/>
          <w:sz w:val="24"/>
          <w:szCs w:val="24"/>
          <w:u w:val="single"/>
        </w:rPr>
        <w:t>Rozpočtové opatrenie č. 23</w:t>
      </w:r>
    </w:p>
    <w:p w:rsidR="00C40AE2" w:rsidP="00C362EA">
      <w:pPr>
        <w:pStyle w:val="BodyText2"/>
        <w:spacing w:line="240" w:lineRule="auto"/>
        <w:rPr>
          <w:rFonts w:ascii="Times New Roman" w:hAnsi="Times New Roman" w:cs="Times New Roman"/>
          <w:b/>
          <w:sz w:val="24"/>
          <w:szCs w:val="24"/>
          <w:u w:val="single"/>
        </w:rPr>
      </w:pPr>
    </w:p>
    <w:p w:rsidR="003C3E9F" w:rsidP="000F695D">
      <w:pPr>
        <w:pStyle w:val="BodyText2"/>
        <w:spacing w:line="240" w:lineRule="auto"/>
        <w:ind w:firstLine="709"/>
        <w:rPr>
          <w:rFonts w:ascii="Times New Roman" w:hAnsi="Times New Roman" w:cs="Times New Roman"/>
          <w:sz w:val="24"/>
          <w:szCs w:val="24"/>
        </w:rPr>
      </w:pPr>
      <w:r>
        <w:rPr>
          <w:rFonts w:ascii="Times New Roman" w:hAnsi="Times New Roman" w:cs="Times New Roman"/>
          <w:sz w:val="24"/>
          <w:szCs w:val="24"/>
        </w:rPr>
        <w:t>Presuny výdavkov v rámci rozpočtu kapitoly MDPT SR: 1. Navýšenie kapitálov</w:t>
      </w:r>
      <w:r w:rsidR="00A7161F">
        <w:rPr>
          <w:rFonts w:ascii="Times New Roman" w:hAnsi="Times New Roman" w:cs="Times New Roman"/>
          <w:sz w:val="24"/>
          <w:szCs w:val="24"/>
        </w:rPr>
        <w:t xml:space="preserve">ých výdavkov (710) </w:t>
      </w:r>
      <w:r>
        <w:rPr>
          <w:rFonts w:ascii="Times New Roman" w:hAnsi="Times New Roman" w:cs="Times New Roman"/>
          <w:sz w:val="24"/>
          <w:szCs w:val="24"/>
        </w:rPr>
        <w:t>L</w:t>
      </w:r>
      <w:r w:rsidR="00A7161F">
        <w:rPr>
          <w:rFonts w:ascii="Times New Roman" w:hAnsi="Times New Roman" w:cs="Times New Roman"/>
          <w:sz w:val="24"/>
          <w:szCs w:val="24"/>
        </w:rPr>
        <w:t>eteckého</w:t>
      </w:r>
      <w:r>
        <w:rPr>
          <w:rFonts w:ascii="Times New Roman" w:hAnsi="Times New Roman" w:cs="Times New Roman"/>
          <w:sz w:val="24"/>
          <w:szCs w:val="24"/>
        </w:rPr>
        <w:t xml:space="preserve"> úrad</w:t>
      </w:r>
      <w:r w:rsidR="00A7161F">
        <w:rPr>
          <w:rFonts w:ascii="Times New Roman" w:hAnsi="Times New Roman" w:cs="Times New Roman"/>
          <w:sz w:val="24"/>
          <w:szCs w:val="24"/>
        </w:rPr>
        <w:t>u</w:t>
      </w:r>
      <w:r>
        <w:rPr>
          <w:rFonts w:ascii="Times New Roman" w:hAnsi="Times New Roman" w:cs="Times New Roman"/>
          <w:sz w:val="24"/>
          <w:szCs w:val="24"/>
        </w:rPr>
        <w:t xml:space="preserve"> </w:t>
      </w:r>
      <w:r w:rsidRPr="003C3E9F">
        <w:rPr>
          <w:rFonts w:ascii="Times New Roman" w:hAnsi="Times New Roman" w:cs="Times New Roman"/>
          <w:sz w:val="24"/>
          <w:szCs w:val="24"/>
        </w:rPr>
        <w:t>SR o 800 tis. Sk na projektovú d</w:t>
      </w:r>
      <w:r w:rsidRPr="003C3E9F">
        <w:rPr>
          <w:rFonts w:ascii="Times New Roman" w:hAnsi="Times New Roman" w:cs="Times New Roman"/>
          <w:sz w:val="24"/>
          <w:szCs w:val="24"/>
        </w:rPr>
        <w:t>okumentáciu rekonšt</w:t>
      </w:r>
      <w:r w:rsidR="00A7161F">
        <w:rPr>
          <w:rFonts w:ascii="Times New Roman" w:hAnsi="Times New Roman" w:cs="Times New Roman"/>
          <w:sz w:val="24"/>
          <w:szCs w:val="24"/>
        </w:rPr>
        <w:t>rukcie budovy prevz</w:t>
      </w:r>
      <w:r>
        <w:rPr>
          <w:rFonts w:ascii="Times New Roman" w:hAnsi="Times New Roman" w:cs="Times New Roman"/>
          <w:sz w:val="24"/>
          <w:szCs w:val="24"/>
        </w:rPr>
        <w:t xml:space="preserve">atej od Slovenského hydrometerologického ústavu </w:t>
      </w:r>
      <w:r w:rsidRPr="003C3E9F">
        <w:rPr>
          <w:rFonts w:ascii="Times New Roman" w:hAnsi="Times New Roman" w:cs="Times New Roman"/>
          <w:sz w:val="24"/>
          <w:szCs w:val="24"/>
        </w:rPr>
        <w:t xml:space="preserve">na úkor </w:t>
      </w:r>
      <w:r>
        <w:rPr>
          <w:rFonts w:ascii="Times New Roman" w:hAnsi="Times New Roman" w:cs="Times New Roman"/>
          <w:sz w:val="24"/>
          <w:szCs w:val="24"/>
        </w:rPr>
        <w:t xml:space="preserve">bežných výdavkov </w:t>
      </w:r>
      <w:r w:rsidRPr="003C3E9F">
        <w:rPr>
          <w:rFonts w:ascii="Times New Roman" w:hAnsi="Times New Roman" w:cs="Times New Roman"/>
          <w:sz w:val="24"/>
          <w:szCs w:val="24"/>
        </w:rPr>
        <w:t xml:space="preserve">630 </w:t>
      </w:r>
      <w:r>
        <w:rPr>
          <w:rFonts w:ascii="Times New Roman" w:hAnsi="Times New Roman" w:cs="Times New Roman"/>
          <w:sz w:val="24"/>
          <w:szCs w:val="24"/>
        </w:rPr>
        <w:t>–</w:t>
      </w:r>
      <w:r w:rsidR="00A7161F">
        <w:rPr>
          <w:rFonts w:ascii="Times New Roman" w:hAnsi="Times New Roman" w:cs="Times New Roman"/>
          <w:sz w:val="24"/>
          <w:szCs w:val="24"/>
        </w:rPr>
        <w:t xml:space="preserve"> Tovarov</w:t>
      </w:r>
      <w:r>
        <w:rPr>
          <w:rFonts w:ascii="Times New Roman" w:hAnsi="Times New Roman" w:cs="Times New Roman"/>
          <w:sz w:val="24"/>
          <w:szCs w:val="24"/>
        </w:rPr>
        <w:t xml:space="preserve"> a </w:t>
      </w:r>
      <w:r w:rsidR="00A7161F">
        <w:rPr>
          <w:rFonts w:ascii="Times New Roman" w:hAnsi="Times New Roman" w:cs="Times New Roman"/>
          <w:sz w:val="24"/>
          <w:szCs w:val="24"/>
        </w:rPr>
        <w:t>služieb</w:t>
      </w:r>
      <w:r>
        <w:rPr>
          <w:rFonts w:ascii="Times New Roman" w:hAnsi="Times New Roman" w:cs="Times New Roman"/>
          <w:sz w:val="24"/>
          <w:szCs w:val="24"/>
        </w:rPr>
        <w:t xml:space="preserve"> Úradu pre reguláciu železničnej dopravy. 2. Navýšenie kapitálov</w:t>
      </w:r>
      <w:r w:rsidR="00A7161F">
        <w:rPr>
          <w:rFonts w:ascii="Times New Roman" w:hAnsi="Times New Roman" w:cs="Times New Roman"/>
          <w:sz w:val="24"/>
          <w:szCs w:val="24"/>
        </w:rPr>
        <w:t>ých výdavkov (710) Telekomunikačného</w:t>
      </w:r>
      <w:r>
        <w:rPr>
          <w:rFonts w:ascii="Times New Roman" w:hAnsi="Times New Roman" w:cs="Times New Roman"/>
          <w:sz w:val="24"/>
          <w:szCs w:val="24"/>
        </w:rPr>
        <w:t xml:space="preserve"> úrad</w:t>
      </w:r>
      <w:r w:rsidR="00A7161F">
        <w:rPr>
          <w:rFonts w:ascii="Times New Roman" w:hAnsi="Times New Roman" w:cs="Times New Roman"/>
          <w:sz w:val="24"/>
          <w:szCs w:val="24"/>
        </w:rPr>
        <w:t>u</w:t>
      </w:r>
      <w:r>
        <w:rPr>
          <w:rFonts w:ascii="Times New Roman" w:hAnsi="Times New Roman" w:cs="Times New Roman"/>
          <w:sz w:val="24"/>
          <w:szCs w:val="24"/>
        </w:rPr>
        <w:t xml:space="preserve"> </w:t>
      </w:r>
      <w:r w:rsidRPr="003C3E9F">
        <w:rPr>
          <w:rFonts w:ascii="Times New Roman" w:hAnsi="Times New Roman" w:cs="Times New Roman"/>
          <w:sz w:val="24"/>
          <w:szCs w:val="24"/>
        </w:rPr>
        <w:t>S</w:t>
      </w:r>
      <w:r>
        <w:rPr>
          <w:rFonts w:ascii="Times New Roman" w:hAnsi="Times New Roman" w:cs="Times New Roman"/>
          <w:sz w:val="24"/>
          <w:szCs w:val="24"/>
        </w:rPr>
        <w:t xml:space="preserve">R </w:t>
      </w:r>
      <w:r w:rsidRPr="003C3E9F">
        <w:rPr>
          <w:rFonts w:ascii="Times New Roman" w:hAnsi="Times New Roman" w:cs="Times New Roman"/>
          <w:sz w:val="24"/>
          <w:szCs w:val="24"/>
        </w:rPr>
        <w:t>o 5 500 tis.</w:t>
      </w:r>
      <w:r>
        <w:rPr>
          <w:rFonts w:ascii="Times New Roman" w:hAnsi="Times New Roman" w:cs="Times New Roman"/>
          <w:sz w:val="24"/>
          <w:szCs w:val="24"/>
        </w:rPr>
        <w:t xml:space="preserve"> Sk na úkor bežných výdavkov </w:t>
      </w:r>
      <w:r w:rsidRPr="003C3E9F">
        <w:rPr>
          <w:rFonts w:ascii="Times New Roman" w:hAnsi="Times New Roman" w:cs="Times New Roman"/>
          <w:sz w:val="24"/>
          <w:szCs w:val="24"/>
        </w:rPr>
        <w:t xml:space="preserve">630 </w:t>
      </w:r>
      <w:r>
        <w:rPr>
          <w:rFonts w:ascii="Times New Roman" w:hAnsi="Times New Roman" w:cs="Times New Roman"/>
          <w:sz w:val="24"/>
          <w:szCs w:val="24"/>
        </w:rPr>
        <w:t xml:space="preserve">– Tovarov a služieb TÚ SR </w:t>
      </w:r>
      <w:r w:rsidRPr="003C3E9F">
        <w:rPr>
          <w:rFonts w:ascii="Times New Roman" w:hAnsi="Times New Roman" w:cs="Times New Roman"/>
          <w:sz w:val="24"/>
          <w:szCs w:val="24"/>
        </w:rPr>
        <w:t>na zabezpečen</w:t>
      </w:r>
      <w:r>
        <w:rPr>
          <w:rFonts w:ascii="Times New Roman" w:hAnsi="Times New Roman" w:cs="Times New Roman"/>
          <w:sz w:val="24"/>
          <w:szCs w:val="24"/>
        </w:rPr>
        <w:t xml:space="preserve">ie investičných potrieb úradu. 3. Navýšenie kapitálových výdavkov (710) </w:t>
      </w:r>
      <w:r w:rsidRPr="003C3E9F">
        <w:rPr>
          <w:rFonts w:ascii="Times New Roman" w:hAnsi="Times New Roman" w:cs="Times New Roman"/>
          <w:sz w:val="24"/>
          <w:szCs w:val="24"/>
        </w:rPr>
        <w:t>úradu MDPT</w:t>
      </w:r>
      <w:r>
        <w:rPr>
          <w:rFonts w:ascii="Times New Roman" w:hAnsi="Times New Roman" w:cs="Times New Roman"/>
          <w:sz w:val="24"/>
          <w:szCs w:val="24"/>
        </w:rPr>
        <w:t xml:space="preserve"> SR o 4 940 tis. Sk na úkor bežných výdavkov </w:t>
      </w:r>
      <w:r w:rsidRPr="003C3E9F">
        <w:rPr>
          <w:rFonts w:ascii="Times New Roman" w:hAnsi="Times New Roman" w:cs="Times New Roman"/>
          <w:sz w:val="24"/>
          <w:szCs w:val="24"/>
        </w:rPr>
        <w:t xml:space="preserve">630 </w:t>
      </w:r>
      <w:r>
        <w:rPr>
          <w:rFonts w:ascii="Times New Roman" w:hAnsi="Times New Roman" w:cs="Times New Roman"/>
          <w:sz w:val="24"/>
          <w:szCs w:val="24"/>
        </w:rPr>
        <w:t xml:space="preserve">– Tovarov a služieb </w:t>
      </w:r>
      <w:r w:rsidRPr="003C3E9F">
        <w:rPr>
          <w:rFonts w:ascii="Times New Roman" w:hAnsi="Times New Roman" w:cs="Times New Roman"/>
          <w:sz w:val="24"/>
          <w:szCs w:val="24"/>
        </w:rPr>
        <w:t xml:space="preserve">úradu MDPT SR na </w:t>
      </w:r>
      <w:r>
        <w:rPr>
          <w:rFonts w:ascii="Times New Roman" w:hAnsi="Times New Roman" w:cs="Times New Roman"/>
          <w:sz w:val="24"/>
          <w:szCs w:val="24"/>
        </w:rPr>
        <w:t>spolufinancovani</w:t>
      </w:r>
      <w:r>
        <w:rPr>
          <w:rFonts w:ascii="Times New Roman" w:hAnsi="Times New Roman" w:cs="Times New Roman"/>
          <w:sz w:val="24"/>
          <w:szCs w:val="24"/>
        </w:rPr>
        <w:t xml:space="preserve">e projektu EÚ – </w:t>
      </w:r>
      <w:r w:rsidRPr="003C3E9F">
        <w:rPr>
          <w:rFonts w:ascii="Times New Roman" w:hAnsi="Times New Roman" w:cs="Times New Roman"/>
          <w:sz w:val="24"/>
          <w:szCs w:val="24"/>
        </w:rPr>
        <w:t>IRIS Europe</w:t>
      </w:r>
      <w:r>
        <w:rPr>
          <w:rFonts w:ascii="Times New Roman" w:hAnsi="Times New Roman" w:cs="Times New Roman"/>
          <w:sz w:val="24"/>
          <w:szCs w:val="24"/>
        </w:rPr>
        <w:t xml:space="preserve">. </w:t>
      </w:r>
    </w:p>
    <w:p w:rsidR="00351A82" w:rsidRPr="003C3E9F" w:rsidP="000F695D">
      <w:pPr>
        <w:pStyle w:val="BodyText2"/>
        <w:spacing w:line="240" w:lineRule="auto"/>
        <w:ind w:firstLine="709"/>
        <w:rPr>
          <w:rFonts w:ascii="Times New Roman" w:hAnsi="Times New Roman" w:cs="Times New Roman"/>
          <w:sz w:val="24"/>
          <w:szCs w:val="24"/>
        </w:rPr>
      </w:pPr>
      <w:r w:rsidRPr="003C3E9F" w:rsidR="003C3E9F">
        <w:rPr>
          <w:rFonts w:ascii="Times New Roman" w:hAnsi="Times New Roman" w:cs="Times New Roman"/>
          <w:sz w:val="24"/>
          <w:szCs w:val="24"/>
        </w:rPr>
        <w:t xml:space="preserve">   </w:t>
      </w:r>
    </w:p>
    <w:p w:rsidR="00D27E26" w:rsidP="00C362EA">
      <w:pPr>
        <w:pStyle w:val="BodyText2"/>
        <w:spacing w:line="240" w:lineRule="auto"/>
        <w:rPr>
          <w:rFonts w:ascii="Times New Roman" w:hAnsi="Times New Roman" w:cs="Times New Roman"/>
          <w:b/>
          <w:sz w:val="24"/>
          <w:szCs w:val="24"/>
          <w:u w:val="single"/>
        </w:rPr>
      </w:pPr>
      <w:r w:rsidRPr="00D23807">
        <w:rPr>
          <w:rFonts w:ascii="Times New Roman" w:hAnsi="Times New Roman" w:cs="Times New Roman"/>
          <w:b/>
          <w:sz w:val="24"/>
          <w:szCs w:val="24"/>
          <w:u w:val="single"/>
        </w:rPr>
        <w:t>Rozpočtové opatrenie č. 24</w:t>
      </w:r>
    </w:p>
    <w:p w:rsidR="002B54D5" w:rsidRPr="00D23807" w:rsidP="00C362EA">
      <w:pPr>
        <w:pStyle w:val="BodyText2"/>
        <w:spacing w:line="240" w:lineRule="auto"/>
        <w:rPr>
          <w:rFonts w:ascii="Times New Roman" w:hAnsi="Times New Roman" w:cs="Times New Roman"/>
          <w:b/>
          <w:sz w:val="24"/>
          <w:szCs w:val="24"/>
          <w:u w:val="single"/>
        </w:rPr>
      </w:pPr>
    </w:p>
    <w:p w:rsidR="002B54D5" w:rsidRPr="002B54D5" w:rsidP="00C362EA">
      <w:pPr>
        <w:pStyle w:val="BodyText2"/>
        <w:spacing w:line="240" w:lineRule="auto"/>
        <w:rPr>
          <w:rFonts w:ascii="Times New Roman" w:hAnsi="Times New Roman" w:cs="Times New Roman"/>
          <w:sz w:val="24"/>
          <w:szCs w:val="24"/>
        </w:rPr>
      </w:pPr>
      <w:r w:rsidR="00E70B9D">
        <w:rPr>
          <w:rFonts w:ascii="Times New Roman" w:hAnsi="Times New Roman" w:cs="Times New Roman"/>
          <w:sz w:val="24"/>
          <w:szCs w:val="24"/>
        </w:rPr>
        <w:tab/>
        <w:t>Povolené prekročenie limitu výdavkov kapitoly MDPT SR v kategórii 640 – Bežné transfery na programe 07S – Železničná doprava o </w:t>
      </w:r>
      <w:r w:rsidR="003C3E9F">
        <w:rPr>
          <w:rFonts w:ascii="Times New Roman" w:hAnsi="Times New Roman" w:cs="Times New Roman"/>
          <w:sz w:val="24"/>
          <w:szCs w:val="24"/>
        </w:rPr>
        <w:t xml:space="preserve">245 mil. Sk na úhradu straty za </w:t>
      </w:r>
      <w:r w:rsidR="00E70B9D">
        <w:rPr>
          <w:rFonts w:ascii="Times New Roman" w:hAnsi="Times New Roman" w:cs="Times New Roman"/>
          <w:sz w:val="24"/>
          <w:szCs w:val="24"/>
        </w:rPr>
        <w:t xml:space="preserve">výkony vo verejnom záujme realizovaných Železničnou spoločnosťou Slovensko, a.s. </w:t>
      </w:r>
      <w:r w:rsidR="00FB2205">
        <w:rPr>
          <w:rFonts w:ascii="Times New Roman" w:hAnsi="Times New Roman" w:cs="Times New Roman"/>
          <w:sz w:val="24"/>
          <w:szCs w:val="24"/>
        </w:rPr>
        <w:t xml:space="preserve">v roku 2007 </w:t>
      </w:r>
      <w:r w:rsidR="00E70B9D">
        <w:rPr>
          <w:rFonts w:ascii="Times New Roman" w:hAnsi="Times New Roman" w:cs="Times New Roman"/>
          <w:sz w:val="24"/>
          <w:szCs w:val="24"/>
        </w:rPr>
        <w:t xml:space="preserve">pri prevádzkovaní osobnej dopravy na dráhe.   </w:t>
      </w:r>
    </w:p>
    <w:p w:rsidR="0011010C" w:rsidP="00C362EA">
      <w:pPr>
        <w:pStyle w:val="BodyText2"/>
        <w:spacing w:line="240" w:lineRule="auto"/>
        <w:rPr>
          <w:rFonts w:ascii="Times New Roman" w:hAnsi="Times New Roman" w:cs="Times New Roman"/>
          <w:b/>
          <w:sz w:val="24"/>
          <w:szCs w:val="24"/>
          <w:u w:val="single"/>
        </w:rPr>
      </w:pPr>
    </w:p>
    <w:p w:rsidR="00D27E26" w:rsidRPr="00D23807" w:rsidP="00C362EA">
      <w:pPr>
        <w:pStyle w:val="BodyText2"/>
        <w:spacing w:line="240" w:lineRule="auto"/>
        <w:rPr>
          <w:rFonts w:ascii="Times New Roman" w:hAnsi="Times New Roman" w:cs="Times New Roman"/>
          <w:b/>
          <w:sz w:val="24"/>
          <w:szCs w:val="24"/>
          <w:u w:val="single"/>
        </w:rPr>
      </w:pPr>
      <w:r w:rsidRPr="00D23807">
        <w:rPr>
          <w:rFonts w:ascii="Times New Roman" w:hAnsi="Times New Roman" w:cs="Times New Roman"/>
          <w:b/>
          <w:sz w:val="24"/>
          <w:szCs w:val="24"/>
          <w:u w:val="single"/>
        </w:rPr>
        <w:t>Rozpočtové opatrenie č. 25</w:t>
      </w:r>
    </w:p>
    <w:p w:rsidR="004B4B69" w:rsidP="00C362EA">
      <w:pPr>
        <w:pStyle w:val="BodyText2"/>
        <w:spacing w:line="240" w:lineRule="auto"/>
        <w:rPr>
          <w:rFonts w:ascii="Times New Roman" w:hAnsi="Times New Roman" w:cs="Times New Roman"/>
          <w:sz w:val="24"/>
          <w:szCs w:val="24"/>
        </w:rPr>
      </w:pPr>
    </w:p>
    <w:p w:rsidR="004B4B69" w:rsidP="00C7304B">
      <w:pPr>
        <w:pStyle w:val="BodyText2"/>
        <w:spacing w:line="240" w:lineRule="auto"/>
        <w:ind w:firstLine="709"/>
        <w:rPr>
          <w:rFonts w:ascii="Times New Roman" w:hAnsi="Times New Roman" w:cs="Times New Roman"/>
          <w:sz w:val="24"/>
          <w:szCs w:val="24"/>
        </w:rPr>
      </w:pPr>
      <w:r w:rsidR="00C7304B">
        <w:rPr>
          <w:rFonts w:ascii="Times New Roman" w:hAnsi="Times New Roman" w:cs="Times New Roman"/>
          <w:sz w:val="24"/>
          <w:szCs w:val="24"/>
        </w:rPr>
        <w:t>V rámci kapitálových transferov Národnej diaľničnej spoločnosti</w:t>
      </w:r>
      <w:r w:rsidR="000F0CC2">
        <w:rPr>
          <w:rFonts w:ascii="Times New Roman" w:hAnsi="Times New Roman" w:cs="Times New Roman"/>
          <w:sz w:val="24"/>
          <w:szCs w:val="24"/>
        </w:rPr>
        <w:t xml:space="preserve">, a.s., </w:t>
      </w:r>
      <w:r w:rsidRPr="00C7304B" w:rsidR="00C7304B">
        <w:rPr>
          <w:rFonts w:ascii="Times New Roman" w:hAnsi="Times New Roman" w:cs="Times New Roman"/>
          <w:sz w:val="24"/>
          <w:szCs w:val="24"/>
        </w:rPr>
        <w:t>presun</w:t>
      </w:r>
      <w:r w:rsidR="00C7304B">
        <w:rPr>
          <w:rFonts w:ascii="Times New Roman" w:hAnsi="Times New Roman" w:cs="Times New Roman"/>
          <w:sz w:val="24"/>
          <w:szCs w:val="24"/>
        </w:rPr>
        <w:t>y</w:t>
      </w:r>
      <w:r w:rsidRPr="00C7304B" w:rsidR="00C7304B">
        <w:rPr>
          <w:rFonts w:ascii="Times New Roman" w:hAnsi="Times New Roman" w:cs="Times New Roman"/>
          <w:sz w:val="24"/>
          <w:szCs w:val="24"/>
        </w:rPr>
        <w:t xml:space="preserve"> </w:t>
      </w:r>
      <w:r w:rsidR="00C7304B">
        <w:rPr>
          <w:rFonts w:ascii="Times New Roman" w:hAnsi="Times New Roman" w:cs="Times New Roman"/>
          <w:sz w:val="24"/>
          <w:szCs w:val="24"/>
        </w:rPr>
        <w:t xml:space="preserve">medzi zdrojmi financovania, a to 150 mil. </w:t>
      </w:r>
      <w:r w:rsidR="00C7304B">
        <w:rPr>
          <w:rFonts w:ascii="Times New Roman" w:hAnsi="Times New Roman" w:cs="Times New Roman"/>
          <w:sz w:val="24"/>
          <w:szCs w:val="24"/>
        </w:rPr>
        <w:t xml:space="preserve">Sk – </w:t>
      </w:r>
      <w:r w:rsidRPr="00C7304B" w:rsidR="00C7304B">
        <w:rPr>
          <w:rFonts w:ascii="Times New Roman" w:hAnsi="Times New Roman" w:cs="Times New Roman"/>
          <w:sz w:val="24"/>
          <w:szCs w:val="24"/>
        </w:rPr>
        <w:t>úver EIB (kó</w:t>
      </w:r>
      <w:r w:rsidR="00C7304B">
        <w:rPr>
          <w:rFonts w:ascii="Times New Roman" w:hAnsi="Times New Roman" w:cs="Times New Roman"/>
          <w:sz w:val="24"/>
          <w:szCs w:val="24"/>
        </w:rPr>
        <w:t xml:space="preserve">d 11C1)  a 102 mil. Sk – </w:t>
      </w:r>
      <w:r w:rsidRPr="00C7304B" w:rsidR="00C7304B">
        <w:rPr>
          <w:rFonts w:ascii="Times New Roman" w:hAnsi="Times New Roman" w:cs="Times New Roman"/>
          <w:sz w:val="24"/>
          <w:szCs w:val="24"/>
        </w:rPr>
        <w:t>úver JBIC (kód 11C4) do rozpoč</w:t>
      </w:r>
      <w:r w:rsidR="00C7304B">
        <w:rPr>
          <w:rFonts w:ascii="Times New Roman" w:hAnsi="Times New Roman" w:cs="Times New Roman"/>
          <w:sz w:val="24"/>
          <w:szCs w:val="24"/>
        </w:rPr>
        <w:t xml:space="preserve">tových prostriedkov (kód 111) – </w:t>
      </w:r>
      <w:r w:rsidRPr="00C7304B" w:rsidR="00C7304B">
        <w:rPr>
          <w:rFonts w:ascii="Times New Roman" w:hAnsi="Times New Roman" w:cs="Times New Roman"/>
          <w:sz w:val="24"/>
          <w:szCs w:val="24"/>
        </w:rPr>
        <w:t>spolu 252 mil. Sk</w:t>
      </w:r>
      <w:r w:rsidR="00C7304B">
        <w:rPr>
          <w:rFonts w:ascii="Times New Roman" w:hAnsi="Times New Roman" w:cs="Times New Roman"/>
          <w:sz w:val="24"/>
          <w:szCs w:val="24"/>
        </w:rPr>
        <w:t>. Presun prostriedkov sa vykonal v súvislosti s predpokladanými úsporami výdavkov pri čerpaní úveru od EIB a JBIC v dôsledku p</w:t>
      </w:r>
      <w:r w:rsidR="00D73E4C">
        <w:rPr>
          <w:rFonts w:ascii="Times New Roman" w:hAnsi="Times New Roman" w:cs="Times New Roman"/>
          <w:sz w:val="24"/>
          <w:szCs w:val="24"/>
        </w:rPr>
        <w:t>r</w:t>
      </w:r>
      <w:r w:rsidR="00C7304B">
        <w:rPr>
          <w:rFonts w:ascii="Times New Roman" w:hAnsi="Times New Roman" w:cs="Times New Roman"/>
          <w:sz w:val="24"/>
          <w:szCs w:val="24"/>
        </w:rPr>
        <w:t xml:space="preserve">iaznivého vývoja kurzu Sk a z dôvodu potreby zvýšenia výdavkov na výstavbu diaľnic a rýchlostných ciest financovaných zo štátneho rozpočtu. </w:t>
      </w:r>
    </w:p>
    <w:p w:rsidR="0011010C" w:rsidP="00C362EA">
      <w:pPr>
        <w:pStyle w:val="BodyText2"/>
        <w:spacing w:line="240" w:lineRule="auto"/>
        <w:rPr>
          <w:rFonts w:ascii="Times New Roman" w:hAnsi="Times New Roman" w:cs="Times New Roman"/>
          <w:b/>
          <w:sz w:val="24"/>
          <w:szCs w:val="24"/>
          <w:u w:val="single"/>
        </w:rPr>
      </w:pPr>
    </w:p>
    <w:p w:rsidR="00D27E26" w:rsidP="00C362EA">
      <w:pPr>
        <w:pStyle w:val="BodyText2"/>
        <w:spacing w:line="240" w:lineRule="auto"/>
        <w:rPr>
          <w:rFonts w:ascii="Times New Roman" w:hAnsi="Times New Roman" w:cs="Times New Roman"/>
          <w:b/>
          <w:sz w:val="24"/>
          <w:szCs w:val="24"/>
          <w:u w:val="single"/>
        </w:rPr>
      </w:pPr>
      <w:r w:rsidRPr="00D23807">
        <w:rPr>
          <w:rFonts w:ascii="Times New Roman" w:hAnsi="Times New Roman" w:cs="Times New Roman"/>
          <w:b/>
          <w:sz w:val="24"/>
          <w:szCs w:val="24"/>
          <w:u w:val="single"/>
        </w:rPr>
        <w:t>Rozpočtové opatrenie č. 26</w:t>
      </w:r>
    </w:p>
    <w:p w:rsidR="004B4B69" w:rsidRPr="00D23807" w:rsidP="00C362EA">
      <w:pPr>
        <w:pStyle w:val="BodyText2"/>
        <w:spacing w:line="240" w:lineRule="auto"/>
        <w:rPr>
          <w:rFonts w:ascii="Times New Roman" w:hAnsi="Times New Roman" w:cs="Times New Roman"/>
          <w:b/>
          <w:sz w:val="24"/>
          <w:szCs w:val="24"/>
          <w:u w:val="single"/>
        </w:rPr>
      </w:pPr>
    </w:p>
    <w:p w:rsidR="003B7D1F" w:rsidP="00C362EA">
      <w:pPr>
        <w:pStyle w:val="BodyText2"/>
        <w:spacing w:line="240" w:lineRule="auto"/>
        <w:rPr>
          <w:rFonts w:ascii="Times New Roman" w:hAnsi="Times New Roman" w:cs="Times New Roman"/>
          <w:sz w:val="24"/>
          <w:szCs w:val="24"/>
        </w:rPr>
      </w:pPr>
      <w:r w:rsidR="009B4B40">
        <w:rPr>
          <w:rFonts w:ascii="Times New Roman" w:hAnsi="Times New Roman" w:cs="Times New Roman"/>
          <w:sz w:val="24"/>
          <w:szCs w:val="24"/>
        </w:rPr>
        <w:tab/>
      </w:r>
      <w:r>
        <w:rPr>
          <w:rFonts w:ascii="Times New Roman" w:hAnsi="Times New Roman" w:cs="Times New Roman"/>
          <w:sz w:val="24"/>
          <w:szCs w:val="24"/>
        </w:rPr>
        <w:t>V rámci rozpočtu Železničnej polície z</w:t>
      </w:r>
      <w:r w:rsidR="000F0CC2">
        <w:rPr>
          <w:rFonts w:ascii="Times New Roman" w:hAnsi="Times New Roman" w:cs="Times New Roman"/>
          <w:sz w:val="24"/>
          <w:szCs w:val="24"/>
        </w:rPr>
        <w:t xml:space="preserve">nížením </w:t>
      </w:r>
      <w:r>
        <w:rPr>
          <w:rFonts w:ascii="Times New Roman" w:hAnsi="Times New Roman" w:cs="Times New Roman"/>
          <w:sz w:val="24"/>
          <w:szCs w:val="24"/>
        </w:rPr>
        <w:t xml:space="preserve">limitu výdavkov na mzdy </w:t>
      </w:r>
      <w:r w:rsidR="009B4B40">
        <w:rPr>
          <w:rFonts w:ascii="Times New Roman" w:hAnsi="Times New Roman" w:cs="Times New Roman"/>
          <w:sz w:val="24"/>
          <w:szCs w:val="24"/>
        </w:rPr>
        <w:t>policajtov v</w:t>
      </w:r>
      <w:r>
        <w:rPr>
          <w:rFonts w:ascii="Times New Roman" w:hAnsi="Times New Roman" w:cs="Times New Roman"/>
          <w:sz w:val="24"/>
          <w:szCs w:val="24"/>
        </w:rPr>
        <w:t> </w:t>
      </w:r>
      <w:r w:rsidR="009B4B40">
        <w:rPr>
          <w:rFonts w:ascii="Times New Roman" w:hAnsi="Times New Roman" w:cs="Times New Roman"/>
          <w:sz w:val="24"/>
          <w:szCs w:val="24"/>
        </w:rPr>
        <w:t>systemizác</w:t>
      </w:r>
      <w:r w:rsidR="009B4B40">
        <w:rPr>
          <w:rFonts w:ascii="Times New Roman" w:hAnsi="Times New Roman" w:cs="Times New Roman"/>
          <w:sz w:val="24"/>
          <w:szCs w:val="24"/>
        </w:rPr>
        <w:t>ii</w:t>
      </w:r>
      <w:r>
        <w:rPr>
          <w:rFonts w:ascii="Times New Roman" w:hAnsi="Times New Roman" w:cs="Times New Roman"/>
          <w:sz w:val="24"/>
          <w:szCs w:val="24"/>
        </w:rPr>
        <w:t xml:space="preserve"> </w:t>
      </w:r>
      <w:r w:rsidR="000F0CC2">
        <w:rPr>
          <w:rFonts w:ascii="Times New Roman" w:hAnsi="Times New Roman" w:cs="Times New Roman"/>
          <w:sz w:val="24"/>
          <w:szCs w:val="24"/>
        </w:rPr>
        <w:t xml:space="preserve">a zvýšením </w:t>
      </w:r>
      <w:r w:rsidR="009B4B40">
        <w:rPr>
          <w:rFonts w:ascii="Times New Roman" w:hAnsi="Times New Roman" w:cs="Times New Roman"/>
          <w:sz w:val="24"/>
          <w:szCs w:val="24"/>
        </w:rPr>
        <w:t>limitu miezd pre zamestnancov pri</w:t>
      </w:r>
      <w:r>
        <w:rPr>
          <w:rFonts w:ascii="Times New Roman" w:hAnsi="Times New Roman" w:cs="Times New Roman"/>
          <w:sz w:val="24"/>
          <w:szCs w:val="24"/>
        </w:rPr>
        <w:t xml:space="preserve"> výkone prác v</w:t>
      </w:r>
      <w:r w:rsidR="00E47A17">
        <w:rPr>
          <w:rFonts w:ascii="Times New Roman" w:hAnsi="Times New Roman" w:cs="Times New Roman"/>
          <w:sz w:val="24"/>
          <w:szCs w:val="24"/>
        </w:rPr>
        <w:t>o verejnom záujme o 500 tis. Sk</w:t>
      </w:r>
      <w:r w:rsidR="000F0CC2">
        <w:rPr>
          <w:rFonts w:ascii="Times New Roman" w:hAnsi="Times New Roman" w:cs="Times New Roman"/>
          <w:sz w:val="24"/>
          <w:szCs w:val="24"/>
        </w:rPr>
        <w:t xml:space="preserve">, </w:t>
      </w:r>
      <w:r w:rsidR="009B4B40">
        <w:rPr>
          <w:rFonts w:ascii="Times New Roman" w:hAnsi="Times New Roman" w:cs="Times New Roman"/>
          <w:sz w:val="24"/>
          <w:szCs w:val="24"/>
        </w:rPr>
        <w:t>s</w:t>
      </w:r>
      <w:r>
        <w:rPr>
          <w:rFonts w:ascii="Times New Roman" w:hAnsi="Times New Roman" w:cs="Times New Roman"/>
          <w:sz w:val="24"/>
          <w:szCs w:val="24"/>
        </w:rPr>
        <w:t xml:space="preserve">a realizovala </w:t>
      </w:r>
      <w:r w:rsidR="009B4B40">
        <w:rPr>
          <w:rFonts w:ascii="Times New Roman" w:hAnsi="Times New Roman" w:cs="Times New Roman"/>
          <w:sz w:val="24"/>
          <w:szCs w:val="24"/>
        </w:rPr>
        <w:t>oprava rozpočtového opatrenia č. 13</w:t>
      </w:r>
      <w:r w:rsidR="000F0CC2">
        <w:rPr>
          <w:rFonts w:ascii="Times New Roman" w:hAnsi="Times New Roman" w:cs="Times New Roman"/>
          <w:sz w:val="24"/>
          <w:szCs w:val="24"/>
        </w:rPr>
        <w:t xml:space="preserve">. </w:t>
      </w:r>
    </w:p>
    <w:p w:rsidR="009D4096" w:rsidRPr="009D4096" w:rsidP="00C362EA">
      <w:pPr>
        <w:pStyle w:val="BodyText2"/>
        <w:spacing w:line="240" w:lineRule="auto"/>
        <w:rPr>
          <w:rFonts w:ascii="Times New Roman" w:hAnsi="Times New Roman" w:cs="Times New Roman"/>
          <w:sz w:val="24"/>
          <w:szCs w:val="24"/>
        </w:rPr>
      </w:pPr>
      <w:r w:rsidR="009B4B40">
        <w:rPr>
          <w:rFonts w:ascii="Times New Roman" w:hAnsi="Times New Roman" w:cs="Times New Roman"/>
          <w:sz w:val="24"/>
          <w:szCs w:val="24"/>
        </w:rPr>
        <w:t xml:space="preserve"> </w:t>
      </w:r>
    </w:p>
    <w:p w:rsidR="00D27E26" w:rsidP="00C362EA">
      <w:pPr>
        <w:pStyle w:val="BodyText2"/>
        <w:spacing w:line="240" w:lineRule="auto"/>
        <w:rPr>
          <w:rFonts w:ascii="Times New Roman" w:hAnsi="Times New Roman" w:cs="Times New Roman"/>
          <w:sz w:val="24"/>
          <w:szCs w:val="24"/>
        </w:rPr>
      </w:pPr>
      <w:r w:rsidRPr="00D23807">
        <w:rPr>
          <w:rFonts w:ascii="Times New Roman" w:hAnsi="Times New Roman" w:cs="Times New Roman"/>
          <w:b/>
          <w:sz w:val="24"/>
          <w:szCs w:val="24"/>
          <w:u w:val="single"/>
        </w:rPr>
        <w:t>Rozpočtové opatrenie č. 27</w:t>
      </w:r>
      <w:r w:rsidRPr="00D23807">
        <w:rPr>
          <w:rFonts w:ascii="Times New Roman" w:hAnsi="Times New Roman" w:cs="Times New Roman"/>
          <w:sz w:val="24"/>
          <w:szCs w:val="24"/>
        </w:rPr>
        <w:t xml:space="preserve"> </w:t>
      </w:r>
    </w:p>
    <w:p w:rsidR="007C68CB" w:rsidP="00C362EA">
      <w:pPr>
        <w:spacing w:line="240" w:lineRule="auto"/>
        <w:ind w:firstLine="709"/>
        <w:rPr>
          <w:rFonts w:ascii="Times New Roman" w:hAnsi="Times New Roman" w:cs="Times New Roman"/>
          <w:sz w:val="24"/>
          <w:szCs w:val="24"/>
        </w:rPr>
      </w:pPr>
    </w:p>
    <w:p w:rsidR="003B7D1F" w:rsidRPr="007C68CB" w:rsidP="00AB0FC7">
      <w:pPr>
        <w:spacing w:line="240" w:lineRule="auto"/>
        <w:ind w:firstLine="709"/>
        <w:rPr>
          <w:rFonts w:ascii="Times New Roman" w:hAnsi="Times New Roman" w:cs="Times New Roman"/>
          <w:sz w:val="24"/>
          <w:szCs w:val="24"/>
        </w:rPr>
      </w:pPr>
      <w:r>
        <w:rPr>
          <w:rFonts w:ascii="Times New Roman" w:hAnsi="Times New Roman" w:cs="Times New Roman"/>
          <w:sz w:val="24"/>
          <w:szCs w:val="24"/>
        </w:rPr>
        <w:t>Rozpočtovým opatrením sa pre organizáciu Slovenská správa ciest povolilo prekročiť limit výdavkov v kategórii 610 – Mzdy, platy, služobné príjmy a OOV o 3 855 tis. Sk na zvýšenie motivácie, posilnenia hmotnej zainteresovanosti pracovníkov, na zabezpečenie zimnej dispečerskej slu</w:t>
      </w:r>
      <w:r w:rsidR="00C62106">
        <w:rPr>
          <w:rFonts w:ascii="Times New Roman" w:hAnsi="Times New Roman" w:cs="Times New Roman"/>
          <w:sz w:val="24"/>
          <w:szCs w:val="24"/>
        </w:rPr>
        <w:t>žby a miezd pracovníkov SSC. Z</w:t>
      </w:r>
      <w:r>
        <w:rPr>
          <w:rFonts w:ascii="Times New Roman" w:hAnsi="Times New Roman" w:cs="Times New Roman"/>
          <w:sz w:val="24"/>
          <w:szCs w:val="24"/>
        </w:rPr>
        <w:t xml:space="preserve">ároveň sa rozpočtovým opatrením zaviazali výdavky SSC v kategórii 630 – Tovary a služby vo výške 3 855 000,- Sk. </w:t>
      </w:r>
    </w:p>
    <w:p w:rsidR="000212D7" w:rsidP="00C362EA">
      <w:pPr>
        <w:pStyle w:val="BodyText2"/>
        <w:spacing w:line="240" w:lineRule="auto"/>
        <w:rPr>
          <w:rFonts w:ascii="Times New Roman" w:hAnsi="Times New Roman" w:cs="Times New Roman"/>
          <w:b/>
          <w:sz w:val="24"/>
          <w:szCs w:val="24"/>
          <w:u w:val="single"/>
        </w:rPr>
      </w:pPr>
    </w:p>
    <w:p w:rsidR="00D27E26" w:rsidRPr="00D23807" w:rsidP="00C362EA">
      <w:pPr>
        <w:pStyle w:val="BodyText2"/>
        <w:spacing w:line="240" w:lineRule="auto"/>
        <w:rPr>
          <w:rFonts w:ascii="Times New Roman" w:hAnsi="Times New Roman" w:cs="Times New Roman"/>
          <w:b/>
          <w:sz w:val="24"/>
          <w:szCs w:val="24"/>
          <w:u w:val="single"/>
        </w:rPr>
      </w:pPr>
      <w:r w:rsidRPr="00D23807">
        <w:rPr>
          <w:rFonts w:ascii="Times New Roman" w:hAnsi="Times New Roman" w:cs="Times New Roman"/>
          <w:b/>
          <w:sz w:val="24"/>
          <w:szCs w:val="24"/>
          <w:u w:val="single"/>
        </w:rPr>
        <w:t>Rozpočtové opatrenie č. 28</w:t>
      </w:r>
    </w:p>
    <w:p w:rsidR="00E47A17" w:rsidP="00E47A17">
      <w:pPr>
        <w:pStyle w:val="BodyText2"/>
        <w:spacing w:line="240" w:lineRule="auto"/>
        <w:rPr>
          <w:rFonts w:ascii="Times New Roman" w:hAnsi="Times New Roman" w:cs="Times New Roman"/>
          <w:sz w:val="24"/>
          <w:szCs w:val="24"/>
        </w:rPr>
      </w:pPr>
    </w:p>
    <w:p w:rsidR="00E47A17" w:rsidRPr="003A2E8C" w:rsidP="00E47A17">
      <w:pPr>
        <w:pStyle w:val="BodyText2"/>
        <w:spacing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V rámci rozpočtu Slovenskej správy ciest viazanie kapitálových výdavkov (710) na prvku 0530201 – Výstavba cestnej siete vo výške 56 mil. Sk a ich presun do bežných výdavkov v kategórii 630 – Tovary a služby na prvku 0530101 – Správa, údržba a opravy ciest I. triedy a diaľničných privádzačov na zabezpečenie údržby a opráv havarijných ciest I. triedy v súvislosti s bezpečným výkonom ich zimnej údržby.  </w:t>
      </w:r>
    </w:p>
    <w:p w:rsidR="0011010C" w:rsidP="00C362EA">
      <w:pPr>
        <w:pStyle w:val="BodyText2"/>
        <w:spacing w:line="240" w:lineRule="auto"/>
        <w:rPr>
          <w:rFonts w:ascii="Times New Roman" w:hAnsi="Times New Roman" w:cs="Times New Roman"/>
          <w:b/>
          <w:sz w:val="24"/>
          <w:szCs w:val="24"/>
          <w:u w:val="single"/>
        </w:rPr>
      </w:pPr>
      <w:r w:rsidRPr="003E69A4" w:rsidR="003E69A4">
        <w:rPr>
          <w:rFonts w:ascii="Times New Roman" w:hAnsi="Times New Roman" w:cs="Times New Roman"/>
          <w:sz w:val="24"/>
          <w:szCs w:val="24"/>
        </w:rPr>
        <w:tab/>
      </w:r>
    </w:p>
    <w:p w:rsidR="00D27E26" w:rsidP="00C362EA">
      <w:pPr>
        <w:pStyle w:val="BodyText2"/>
        <w:spacing w:line="240" w:lineRule="auto"/>
        <w:rPr>
          <w:rFonts w:ascii="Times New Roman" w:hAnsi="Times New Roman" w:cs="Times New Roman"/>
          <w:b/>
          <w:sz w:val="24"/>
          <w:szCs w:val="24"/>
          <w:u w:val="single"/>
        </w:rPr>
      </w:pPr>
      <w:r w:rsidRPr="00D23807">
        <w:rPr>
          <w:rFonts w:ascii="Times New Roman" w:hAnsi="Times New Roman" w:cs="Times New Roman"/>
          <w:b/>
          <w:sz w:val="24"/>
          <w:szCs w:val="24"/>
          <w:u w:val="single"/>
        </w:rPr>
        <w:t>Rozpočtové opatrenie č. 29</w:t>
      </w:r>
    </w:p>
    <w:p w:rsidR="003E69A4" w:rsidP="00C362EA">
      <w:pPr>
        <w:pStyle w:val="BodyText2"/>
        <w:spacing w:line="240" w:lineRule="auto"/>
        <w:rPr>
          <w:rFonts w:ascii="Times New Roman" w:hAnsi="Times New Roman" w:cs="Times New Roman"/>
          <w:b/>
          <w:sz w:val="24"/>
          <w:szCs w:val="24"/>
          <w:u w:val="single"/>
        </w:rPr>
      </w:pPr>
    </w:p>
    <w:p w:rsidR="0011010C" w:rsidP="000212D7">
      <w:pPr>
        <w:pStyle w:val="BodyText2"/>
        <w:spacing w:line="240" w:lineRule="auto"/>
        <w:ind w:firstLine="709"/>
        <w:rPr>
          <w:rFonts w:ascii="Times New Roman" w:hAnsi="Times New Roman" w:cs="Times New Roman"/>
          <w:sz w:val="24"/>
          <w:szCs w:val="24"/>
        </w:rPr>
      </w:pPr>
      <w:r w:rsidRPr="00631A82" w:rsidR="00E47A17">
        <w:rPr>
          <w:rFonts w:ascii="Times New Roman" w:hAnsi="Times New Roman" w:cs="Times New Roman"/>
          <w:sz w:val="24"/>
          <w:szCs w:val="24"/>
        </w:rPr>
        <w:t xml:space="preserve">Viazanie rozpočtových </w:t>
      </w:r>
      <w:r w:rsidR="00E47A17">
        <w:rPr>
          <w:rFonts w:ascii="Times New Roman" w:hAnsi="Times New Roman" w:cs="Times New Roman"/>
          <w:sz w:val="24"/>
          <w:szCs w:val="24"/>
        </w:rPr>
        <w:t xml:space="preserve">prostriedkov v sume 1 231 231 834,87 Sk na základe oznámenie MDPT SR o výške kapitálových výdavkov, ktoré použije v nasledujúcom rozpočtovom roku. Rozpočtové prostriedky sa zaviazali na týchto investičných akciách a zdrojoch: </w:t>
      </w:r>
    </w:p>
    <w:p w:rsidR="000212D7" w:rsidRPr="000212D7" w:rsidP="000212D7">
      <w:pPr>
        <w:pStyle w:val="BodyText2"/>
        <w:spacing w:line="240" w:lineRule="auto"/>
        <w:ind w:firstLine="709"/>
        <w:rPr>
          <w:rFonts w:ascii="Times New Roman" w:hAnsi="Times New Roman" w:cs="Times New Roman"/>
          <w:sz w:val="24"/>
          <w:szCs w:val="24"/>
        </w:rPr>
      </w:pPr>
    </w:p>
    <w:p w:rsidR="005F1560" w:rsidP="005F1560">
      <w:pPr>
        <w:spacing w:line="240" w:lineRule="auto"/>
        <w:jc w:val="center"/>
        <w:rPr>
          <w:rFonts w:ascii="Times New Roman" w:hAnsi="Times New Roman" w:cs="Times New Roman"/>
          <w:b/>
          <w:sz w:val="24"/>
          <w:szCs w:val="24"/>
        </w:rPr>
      </w:pPr>
      <w:r w:rsidRPr="007833EA">
        <w:rPr>
          <w:rFonts w:ascii="Times New Roman" w:hAnsi="Times New Roman" w:cs="Times New Roman"/>
          <w:b/>
          <w:sz w:val="24"/>
          <w:szCs w:val="24"/>
        </w:rPr>
        <w:t>Kapitálové výdavky, ktoré rozpočtová kapitola použije v nasledujúcom rozpočtovom roku</w:t>
      </w:r>
      <w:r>
        <w:rPr>
          <w:rFonts w:ascii="Times New Roman" w:hAnsi="Times New Roman" w:cs="Times New Roman"/>
          <w:b/>
          <w:sz w:val="24"/>
          <w:szCs w:val="24"/>
        </w:rPr>
        <w:t xml:space="preserve"> </w:t>
      </w:r>
      <w:r w:rsidRPr="007833EA">
        <w:rPr>
          <w:rFonts w:ascii="Times New Roman" w:hAnsi="Times New Roman" w:cs="Times New Roman"/>
          <w:b/>
          <w:sz w:val="24"/>
          <w:szCs w:val="24"/>
        </w:rPr>
        <w:t xml:space="preserve">(v zmysle § 8 </w:t>
      </w:r>
      <w:r>
        <w:rPr>
          <w:rFonts w:ascii="Times New Roman" w:hAnsi="Times New Roman" w:cs="Times New Roman"/>
          <w:b/>
          <w:sz w:val="24"/>
          <w:szCs w:val="24"/>
        </w:rPr>
        <w:t xml:space="preserve">ods. 6 </w:t>
      </w:r>
      <w:r w:rsidRPr="007833EA">
        <w:rPr>
          <w:rFonts w:ascii="Times New Roman" w:hAnsi="Times New Roman" w:cs="Times New Roman"/>
          <w:b/>
          <w:sz w:val="24"/>
          <w:szCs w:val="24"/>
        </w:rPr>
        <w:t xml:space="preserve">zákona č. 523/2004 o rozpočtových pravidlách verejnej </w:t>
      </w:r>
    </w:p>
    <w:p w:rsidR="005F1560" w:rsidRPr="007833EA" w:rsidP="005F1560">
      <w:pPr>
        <w:spacing w:line="240" w:lineRule="auto"/>
        <w:jc w:val="center"/>
        <w:rPr>
          <w:rFonts w:ascii="Times New Roman" w:hAnsi="Times New Roman" w:cs="Times New Roman"/>
          <w:b/>
          <w:sz w:val="24"/>
          <w:szCs w:val="24"/>
        </w:rPr>
      </w:pPr>
      <w:r w:rsidRPr="007833EA">
        <w:rPr>
          <w:rFonts w:ascii="Times New Roman" w:hAnsi="Times New Roman" w:cs="Times New Roman"/>
          <w:b/>
          <w:sz w:val="24"/>
          <w:szCs w:val="24"/>
        </w:rPr>
        <w:t>správy a o zmene a doplnení niektorých zákonov</w:t>
      </w:r>
      <w:r>
        <w:rPr>
          <w:rFonts w:ascii="Times New Roman" w:hAnsi="Times New Roman" w:cs="Times New Roman"/>
          <w:b/>
          <w:sz w:val="24"/>
          <w:szCs w:val="24"/>
        </w:rPr>
        <w:t xml:space="preserve"> v znení nesk</w:t>
      </w:r>
      <w:r>
        <w:rPr>
          <w:rFonts w:ascii="Times New Roman" w:hAnsi="Times New Roman" w:cs="Times New Roman"/>
          <w:b/>
          <w:sz w:val="24"/>
          <w:szCs w:val="24"/>
        </w:rPr>
        <w:t>orších predpisov</w:t>
      </w:r>
      <w:r w:rsidRPr="007833EA">
        <w:rPr>
          <w:rFonts w:ascii="Times New Roman" w:hAnsi="Times New Roman" w:cs="Times New Roman"/>
          <w:b/>
          <w:sz w:val="24"/>
          <w:szCs w:val="24"/>
        </w:rPr>
        <w:t>)</w:t>
      </w:r>
    </w:p>
    <w:p w:rsidR="00A21E8A" w:rsidRPr="002A61B4" w:rsidP="00D719B7">
      <w:pPr>
        <w:spacing w:line="240" w:lineRule="auto"/>
        <w:jc w:val="center"/>
        <w:rPr>
          <w:rFonts w:ascii="Times New Roman" w:hAnsi="Times New Roman" w:cs="Times New Roman"/>
          <w:sz w:val="24"/>
          <w:szCs w:val="24"/>
        </w:rPr>
      </w:pPr>
      <w:r w:rsidRPr="007833EA" w:rsidR="005F1560">
        <w:rPr>
          <w:rFonts w:ascii="Times New Roman" w:hAnsi="Times New Roman" w:cs="Times New Roman"/>
          <w:sz w:val="24"/>
          <w:szCs w:val="24"/>
        </w:rPr>
        <w:t>(kód zdroja 111, 131 a prostriedky kryté úvermi)</w:t>
      </w:r>
    </w:p>
    <w:p w:rsidR="005F1560" w:rsidRPr="007833EA" w:rsidP="005F1560">
      <w:pPr>
        <w:spacing w:line="240" w:lineRule="auto"/>
        <w:jc w:val="center"/>
        <w:rPr>
          <w:rFonts w:ascii="Times New Roman" w:hAnsi="Times New Roman" w:cs="Times New Roman"/>
        </w:rPr>
      </w:pPr>
      <w:r>
        <w:rPr>
          <w:rFonts w:ascii="Times New Roman" w:hAnsi="Times New Roman" w:cs="Times New Roman"/>
          <w:b/>
        </w:rPr>
        <w:tab/>
        <w:tab/>
        <w:tab/>
        <w:tab/>
        <w:tab/>
        <w:tab/>
      </w:r>
      <w:r w:rsidRPr="007833EA">
        <w:rPr>
          <w:rFonts w:ascii="Times New Roman" w:hAnsi="Times New Roman" w:cs="Times New Roman"/>
        </w:rPr>
        <w:t xml:space="preserve">                                        </w:t>
      </w:r>
      <w:r>
        <w:rPr>
          <w:rFonts w:ascii="Times New Roman" w:hAnsi="Times New Roman" w:cs="Times New Roman"/>
        </w:rPr>
        <w:t xml:space="preserve">                                              (v Sk)</w:t>
      </w:r>
    </w:p>
    <w:tbl>
      <w:tblPr>
        <w:tblW w:w="10689"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Grid>
        <w:gridCol w:w="2880"/>
        <w:gridCol w:w="2131"/>
        <w:gridCol w:w="1366"/>
        <w:gridCol w:w="1539"/>
        <w:gridCol w:w="1357"/>
        <w:gridCol w:w="1416"/>
      </w:tblGrid>
      <w:tr>
        <w:tblPrEx>
          <w:tblW w:w="10689"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auto" w:val="0"/>
        </w:trPr>
        <w:tc>
          <w:tcPr>
            <w:tcW w:w="288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5F1560" w:rsidRPr="007833EA" w:rsidP="00E35A67">
            <w:pPr>
              <w:spacing w:line="240" w:lineRule="auto"/>
              <w:rPr>
                <w:rFonts w:ascii="Arial Narrow" w:hAnsi="Arial Narrow" w:cs="Times New Roman"/>
              </w:rPr>
            </w:pPr>
            <w:r w:rsidRPr="007833EA">
              <w:rPr>
                <w:rFonts w:ascii="Arial Narrow" w:hAnsi="Arial Narrow" w:cs="Times New Roman"/>
              </w:rPr>
              <w:t>Názov kapitoly:</w:t>
            </w:r>
          </w:p>
          <w:p w:rsidR="005F1560" w:rsidRPr="007833EA" w:rsidP="00E35A67">
            <w:pPr>
              <w:spacing w:line="240" w:lineRule="auto"/>
              <w:rPr>
                <w:rFonts w:ascii="Arial Narrow" w:hAnsi="Arial Narrow" w:cs="Times New Roman"/>
                <w:b/>
                <w:sz w:val="28"/>
                <w:szCs w:val="28"/>
              </w:rPr>
            </w:pPr>
            <w:r w:rsidR="002A61B4">
              <w:rPr>
                <w:rFonts w:ascii="Arial Narrow" w:hAnsi="Arial Narrow" w:cs="Times New Roman"/>
                <w:b/>
                <w:sz w:val="28"/>
                <w:szCs w:val="28"/>
              </w:rPr>
              <w:t xml:space="preserve">Ministerstvo </w:t>
            </w:r>
            <w:r w:rsidRPr="007833EA">
              <w:rPr>
                <w:rFonts w:ascii="Arial Narrow" w:hAnsi="Arial Narrow" w:cs="Times New Roman"/>
                <w:b/>
                <w:sz w:val="28"/>
                <w:szCs w:val="28"/>
              </w:rPr>
              <w:t>dopravy, pôšt a</w:t>
            </w:r>
            <w:r w:rsidR="002A61B4">
              <w:rPr>
                <w:rFonts w:ascii="Arial Narrow" w:hAnsi="Arial Narrow" w:cs="Times New Roman"/>
                <w:b/>
                <w:sz w:val="28"/>
                <w:szCs w:val="28"/>
              </w:rPr>
              <w:t xml:space="preserve"> telekomunikácií</w:t>
            </w:r>
          </w:p>
        </w:tc>
        <w:tc>
          <w:tcPr>
            <w:tcW w:w="2131"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5F1560" w:rsidRPr="007833EA" w:rsidP="00E35A67">
            <w:pPr>
              <w:spacing w:line="240" w:lineRule="auto"/>
              <w:jc w:val="center"/>
              <w:rPr>
                <w:rFonts w:ascii="Arial Narrow" w:hAnsi="Arial Narrow" w:cs="Times New Roman"/>
                <w:b/>
              </w:rPr>
            </w:pPr>
            <w:r w:rsidR="002A61B4">
              <w:rPr>
                <w:rFonts w:ascii="Arial Narrow" w:hAnsi="Arial Narrow" w:cs="Times New Roman"/>
                <w:b/>
              </w:rPr>
              <w:t>Sumár prostriedkov</w:t>
            </w:r>
          </w:p>
          <w:p w:rsidR="005F1560" w:rsidRPr="007833EA" w:rsidP="00E35A67">
            <w:pPr>
              <w:spacing w:line="240" w:lineRule="auto"/>
              <w:jc w:val="center"/>
              <w:rPr>
                <w:rFonts w:ascii="Arial Narrow" w:hAnsi="Arial Narrow" w:cs="Times New Roman"/>
                <w:b/>
              </w:rPr>
            </w:pPr>
            <w:r w:rsidR="002A61B4">
              <w:rPr>
                <w:rFonts w:ascii="Arial Narrow" w:hAnsi="Arial Narrow" w:cs="Times New Roman"/>
                <w:b/>
              </w:rPr>
              <w:t>na použiti</w:t>
            </w:r>
            <w:r w:rsidR="002A61B4">
              <w:rPr>
                <w:rFonts w:ascii="Arial Narrow" w:hAnsi="Arial Narrow" w:cs="Times New Roman"/>
                <w:b/>
              </w:rPr>
              <w:t xml:space="preserve">e v roku </w:t>
            </w:r>
            <w:r w:rsidR="00105FF6">
              <w:rPr>
                <w:rFonts w:ascii="Arial Narrow" w:hAnsi="Arial Narrow" w:cs="Times New Roman"/>
                <w:b/>
              </w:rPr>
              <w:t>08</w:t>
            </w:r>
          </w:p>
          <w:p w:rsidR="002A61B4" w:rsidP="002A61B4">
            <w:pPr>
              <w:spacing w:line="240" w:lineRule="auto"/>
              <w:jc w:val="center"/>
              <w:rPr>
                <w:rFonts w:ascii="Arial Narrow" w:hAnsi="Arial Narrow" w:cs="Times New Roman"/>
                <w:b/>
              </w:rPr>
            </w:pPr>
            <w:r w:rsidRPr="007833EA" w:rsidR="005F1560">
              <w:rPr>
                <w:rFonts w:ascii="Arial Narrow" w:hAnsi="Arial Narrow" w:cs="Times New Roman"/>
                <w:b/>
              </w:rPr>
              <w:t>spolu (131 + 111</w:t>
            </w:r>
            <w:r>
              <w:rPr>
                <w:rFonts w:ascii="Arial Narrow" w:hAnsi="Arial Narrow" w:cs="Times New Roman"/>
                <w:b/>
              </w:rPr>
              <w:t>+</w:t>
            </w:r>
          </w:p>
          <w:p w:rsidR="005F1560" w:rsidRPr="007833EA" w:rsidP="002A61B4">
            <w:pPr>
              <w:spacing w:line="240" w:lineRule="auto"/>
              <w:jc w:val="center"/>
              <w:rPr>
                <w:rFonts w:ascii="Arial Narrow" w:hAnsi="Arial Narrow" w:cs="Times New Roman"/>
                <w:b/>
              </w:rPr>
            </w:pPr>
            <w:r w:rsidR="002A61B4">
              <w:rPr>
                <w:rFonts w:ascii="Arial Narrow" w:hAnsi="Arial Narrow" w:cs="Times New Roman"/>
                <w:b/>
              </w:rPr>
              <w:t xml:space="preserve">prostr. kryté </w:t>
            </w:r>
            <w:r w:rsidRPr="007833EA">
              <w:rPr>
                <w:rFonts w:ascii="Arial Narrow" w:hAnsi="Arial Narrow" w:cs="Times New Roman"/>
                <w:b/>
              </w:rPr>
              <w:t>úvermi)</w:t>
            </w:r>
          </w:p>
          <w:p w:rsidR="005F1560" w:rsidRPr="007833EA" w:rsidP="00E35A67">
            <w:pPr>
              <w:spacing w:line="240" w:lineRule="auto"/>
              <w:jc w:val="center"/>
              <w:rPr>
                <w:rFonts w:ascii="Arial Narrow" w:hAnsi="Arial Narrow" w:cs="Times New Roman"/>
                <w:b/>
              </w:rPr>
            </w:pPr>
          </w:p>
        </w:tc>
        <w:tc>
          <w:tcPr>
            <w:tcW w:w="1366"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5F1560" w:rsidRPr="007833EA" w:rsidP="00E35A67">
            <w:pPr>
              <w:spacing w:line="240" w:lineRule="auto"/>
              <w:jc w:val="center"/>
              <w:rPr>
                <w:rFonts w:ascii="Arial Narrow" w:hAnsi="Arial Narrow" w:cs="Times New Roman"/>
                <w:b/>
              </w:rPr>
            </w:pPr>
            <w:r w:rsidRPr="007833EA">
              <w:rPr>
                <w:rFonts w:ascii="Arial Narrow" w:hAnsi="Arial Narrow" w:cs="Times New Roman"/>
                <w:b/>
              </w:rPr>
              <w:t>z toho</w:t>
            </w:r>
          </w:p>
          <w:p w:rsidR="005F1560" w:rsidRPr="007833EA" w:rsidP="002A61B4">
            <w:pPr>
              <w:spacing w:line="240" w:lineRule="auto"/>
              <w:jc w:val="center"/>
              <w:rPr>
                <w:rFonts w:ascii="Arial Narrow" w:hAnsi="Arial Narrow" w:cs="Times New Roman"/>
                <w:b/>
              </w:rPr>
            </w:pPr>
            <w:r w:rsidRPr="007833EA">
              <w:rPr>
                <w:rFonts w:ascii="Arial Narrow" w:hAnsi="Arial Narrow" w:cs="Times New Roman"/>
                <w:b/>
              </w:rPr>
              <w:t>„presun“  zo zdroja</w:t>
            </w:r>
            <w:r w:rsidR="002A61B4">
              <w:rPr>
                <w:rFonts w:ascii="Arial Narrow" w:hAnsi="Arial Narrow" w:cs="Times New Roman"/>
                <w:b/>
              </w:rPr>
              <w:t xml:space="preserve"> </w:t>
            </w:r>
            <w:r w:rsidRPr="007833EA">
              <w:rPr>
                <w:rFonts w:ascii="Arial Narrow" w:hAnsi="Arial Narrow" w:cs="Times New Roman"/>
                <w:b/>
              </w:rPr>
              <w:t>131</w:t>
            </w:r>
            <w:r>
              <w:rPr>
                <w:rFonts w:ascii="Arial Narrow" w:hAnsi="Arial Narrow" w:cs="Times New Roman"/>
                <w:b/>
              </w:rPr>
              <w:t>5</w:t>
            </w:r>
          </w:p>
          <w:p w:rsidR="005F1560" w:rsidRPr="007833EA" w:rsidP="00E35A67">
            <w:pPr>
              <w:spacing w:line="240" w:lineRule="auto"/>
              <w:jc w:val="center"/>
              <w:rPr>
                <w:rFonts w:ascii="Arial Narrow" w:hAnsi="Arial Narrow" w:cs="Times New Roman"/>
                <w:sz w:val="18"/>
                <w:szCs w:val="18"/>
              </w:rPr>
            </w:pPr>
            <w:r w:rsidRPr="007833EA">
              <w:rPr>
                <w:rFonts w:ascii="Arial Narrow" w:hAnsi="Arial Narrow" w:cs="Times New Roman"/>
                <w:sz w:val="18"/>
                <w:szCs w:val="18"/>
              </w:rPr>
              <w:t xml:space="preserve"> (rozp.prostriedky kapitoly z r.</w:t>
            </w:r>
            <w:r w:rsidRPr="007833EA">
              <w:rPr>
                <w:rFonts w:ascii="Arial Narrow" w:hAnsi="Arial Narrow" w:cs="Times New Roman"/>
                <w:b/>
                <w:sz w:val="18"/>
                <w:szCs w:val="18"/>
              </w:rPr>
              <w:t>2005</w:t>
            </w:r>
            <w:r w:rsidRPr="007833EA">
              <w:rPr>
                <w:rFonts w:ascii="Arial Narrow" w:hAnsi="Arial Narrow" w:cs="Times New Roman"/>
                <w:sz w:val="18"/>
                <w:szCs w:val="18"/>
              </w:rPr>
              <w:t>)</w:t>
            </w:r>
          </w:p>
        </w:tc>
        <w:tc>
          <w:tcPr>
            <w:tcW w:w="1539"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5F1560" w:rsidRPr="007833EA" w:rsidP="00E35A67">
            <w:pPr>
              <w:spacing w:line="240" w:lineRule="auto"/>
              <w:jc w:val="center"/>
              <w:rPr>
                <w:rFonts w:ascii="Arial Narrow" w:hAnsi="Arial Narrow" w:cs="Times New Roman"/>
                <w:b/>
              </w:rPr>
            </w:pPr>
            <w:r w:rsidRPr="007833EA">
              <w:rPr>
                <w:rFonts w:ascii="Arial Narrow" w:hAnsi="Arial Narrow" w:cs="Times New Roman"/>
                <w:b/>
              </w:rPr>
              <w:t>z toho</w:t>
            </w:r>
          </w:p>
          <w:p w:rsidR="005F1560" w:rsidRPr="007833EA" w:rsidP="002A61B4">
            <w:pPr>
              <w:spacing w:line="240" w:lineRule="auto"/>
              <w:jc w:val="center"/>
              <w:rPr>
                <w:rFonts w:ascii="Arial Narrow" w:hAnsi="Arial Narrow" w:cs="Times New Roman"/>
                <w:b/>
              </w:rPr>
            </w:pPr>
            <w:r w:rsidRPr="007833EA">
              <w:rPr>
                <w:rFonts w:ascii="Arial Narrow" w:hAnsi="Arial Narrow" w:cs="Times New Roman"/>
                <w:b/>
              </w:rPr>
              <w:t>„presun“ zo  zdroja</w:t>
            </w:r>
            <w:r w:rsidR="002A61B4">
              <w:rPr>
                <w:rFonts w:ascii="Arial Narrow" w:hAnsi="Arial Narrow" w:cs="Times New Roman"/>
                <w:b/>
              </w:rPr>
              <w:t xml:space="preserve"> </w:t>
            </w:r>
            <w:r>
              <w:rPr>
                <w:rFonts w:ascii="Arial Narrow" w:hAnsi="Arial Narrow" w:cs="Times New Roman"/>
                <w:b/>
              </w:rPr>
              <w:t>1316</w:t>
            </w:r>
          </w:p>
          <w:p w:rsidR="005F1560" w:rsidRPr="007833EA" w:rsidP="00E35A67">
            <w:pPr>
              <w:spacing w:line="240" w:lineRule="auto"/>
              <w:jc w:val="center"/>
              <w:rPr>
                <w:rFonts w:ascii="Arial Narrow" w:hAnsi="Arial Narrow" w:cs="Times New Roman"/>
              </w:rPr>
            </w:pPr>
            <w:r w:rsidRPr="007833EA">
              <w:rPr>
                <w:rFonts w:ascii="Arial Narrow" w:hAnsi="Arial Narrow" w:cs="Times New Roman"/>
                <w:sz w:val="18"/>
                <w:szCs w:val="18"/>
              </w:rPr>
              <w:t xml:space="preserve">(rozp. prostriedky  kapitoly z r. </w:t>
            </w:r>
            <w:r w:rsidRPr="007833EA">
              <w:rPr>
                <w:rFonts w:ascii="Arial Narrow" w:hAnsi="Arial Narrow" w:cs="Times New Roman"/>
                <w:b/>
                <w:sz w:val="18"/>
                <w:szCs w:val="18"/>
              </w:rPr>
              <w:t>2006</w:t>
            </w:r>
            <w:r w:rsidRPr="007833EA">
              <w:rPr>
                <w:rFonts w:ascii="Arial Narrow" w:hAnsi="Arial Narrow" w:cs="Times New Roman"/>
                <w:sz w:val="18"/>
                <w:szCs w:val="18"/>
              </w:rPr>
              <w:t>)</w:t>
            </w:r>
          </w:p>
        </w:tc>
        <w:tc>
          <w:tcPr>
            <w:tcW w:w="1357"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5F1560" w:rsidRPr="007833EA" w:rsidP="00E35A67">
            <w:pPr>
              <w:spacing w:line="240" w:lineRule="auto"/>
              <w:jc w:val="center"/>
              <w:rPr>
                <w:rFonts w:ascii="Arial Narrow" w:hAnsi="Arial Narrow" w:cs="Times New Roman"/>
                <w:b/>
              </w:rPr>
            </w:pPr>
            <w:r w:rsidRPr="007833EA">
              <w:rPr>
                <w:rFonts w:ascii="Arial Narrow" w:hAnsi="Arial Narrow" w:cs="Times New Roman"/>
                <w:b/>
              </w:rPr>
              <w:t>z toho</w:t>
            </w:r>
          </w:p>
          <w:p w:rsidR="005F1560" w:rsidRPr="007833EA" w:rsidP="002A61B4">
            <w:pPr>
              <w:spacing w:line="240" w:lineRule="auto"/>
              <w:jc w:val="center"/>
              <w:rPr>
                <w:rFonts w:ascii="Arial Narrow" w:hAnsi="Arial Narrow" w:cs="Times New Roman"/>
                <w:b/>
              </w:rPr>
            </w:pPr>
            <w:r w:rsidRPr="007833EA">
              <w:rPr>
                <w:rFonts w:ascii="Arial Narrow" w:hAnsi="Arial Narrow" w:cs="Times New Roman"/>
                <w:b/>
              </w:rPr>
              <w:t>„presun“ zo  zdroja</w:t>
            </w:r>
            <w:r w:rsidR="002A61B4">
              <w:rPr>
                <w:rFonts w:ascii="Arial Narrow" w:hAnsi="Arial Narrow" w:cs="Times New Roman"/>
                <w:b/>
              </w:rPr>
              <w:t xml:space="preserve"> </w:t>
            </w:r>
            <w:r>
              <w:rPr>
                <w:rFonts w:ascii="Arial Narrow" w:hAnsi="Arial Narrow" w:cs="Times New Roman"/>
                <w:b/>
              </w:rPr>
              <w:t>111</w:t>
            </w:r>
          </w:p>
          <w:p w:rsidR="005F1560" w:rsidRPr="007833EA" w:rsidP="00E35A67">
            <w:pPr>
              <w:spacing w:line="240" w:lineRule="auto"/>
              <w:jc w:val="center"/>
              <w:rPr>
                <w:rFonts w:ascii="Arial Narrow" w:hAnsi="Arial Narrow" w:cs="Times New Roman"/>
                <w:b/>
              </w:rPr>
            </w:pPr>
            <w:r w:rsidRPr="007833EA">
              <w:rPr>
                <w:rFonts w:ascii="Arial Narrow" w:hAnsi="Arial Narrow" w:cs="Times New Roman"/>
                <w:sz w:val="18"/>
                <w:szCs w:val="18"/>
              </w:rPr>
              <w:t>(rozp. prostriedky  kapitoly z r.</w:t>
            </w:r>
            <w:r w:rsidRPr="007833EA">
              <w:rPr>
                <w:rFonts w:ascii="Arial Narrow" w:hAnsi="Arial Narrow" w:cs="Times New Roman"/>
                <w:b/>
                <w:sz w:val="18"/>
                <w:szCs w:val="18"/>
              </w:rPr>
              <w:t>200</w:t>
            </w:r>
            <w:r>
              <w:rPr>
                <w:rFonts w:ascii="Arial Narrow" w:hAnsi="Arial Narrow" w:cs="Times New Roman"/>
                <w:b/>
                <w:sz w:val="18"/>
                <w:szCs w:val="18"/>
              </w:rPr>
              <w:t>7</w:t>
            </w:r>
            <w:r w:rsidRPr="003D35A8">
              <w:rPr>
                <w:rFonts w:ascii="Arial Narrow" w:hAnsi="Arial Narrow" w:cs="Times New Roman"/>
                <w:sz w:val="18"/>
                <w:szCs w:val="18"/>
              </w:rPr>
              <w:t>)</w:t>
            </w:r>
          </w:p>
        </w:tc>
        <w:tc>
          <w:tcPr>
            <w:tcW w:w="1416"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5F1560" w:rsidRPr="007833EA" w:rsidP="00E35A67">
            <w:pPr>
              <w:spacing w:line="240" w:lineRule="auto"/>
              <w:jc w:val="center"/>
              <w:rPr>
                <w:rFonts w:ascii="Arial Narrow" w:hAnsi="Arial Narrow" w:cs="Times New Roman"/>
                <w:b/>
              </w:rPr>
            </w:pPr>
            <w:r w:rsidRPr="007833EA">
              <w:rPr>
                <w:rFonts w:ascii="Arial Narrow" w:hAnsi="Arial Narrow" w:cs="Times New Roman"/>
                <w:b/>
              </w:rPr>
              <w:t>z toho</w:t>
            </w:r>
          </w:p>
          <w:p w:rsidR="002A61B4" w:rsidP="002A61B4">
            <w:pPr>
              <w:spacing w:line="240" w:lineRule="auto"/>
              <w:jc w:val="center"/>
              <w:rPr>
                <w:rFonts w:ascii="Arial Narrow" w:hAnsi="Arial Narrow" w:cs="Times New Roman"/>
                <w:b/>
              </w:rPr>
            </w:pPr>
            <w:r w:rsidR="005F1560">
              <w:rPr>
                <w:rFonts w:ascii="Arial Narrow" w:hAnsi="Arial Narrow" w:cs="Times New Roman"/>
                <w:b/>
              </w:rPr>
              <w:t>prostriedky kryté úvermi (11C1,</w:t>
            </w:r>
          </w:p>
          <w:p w:rsidR="005F1560" w:rsidRPr="007833EA" w:rsidP="002A61B4">
            <w:pPr>
              <w:spacing w:line="240" w:lineRule="auto"/>
              <w:jc w:val="center"/>
              <w:rPr>
                <w:rFonts w:ascii="Arial Narrow" w:hAnsi="Arial Narrow" w:cs="Times New Roman"/>
                <w:b/>
              </w:rPr>
            </w:pPr>
            <w:r w:rsidRPr="007833EA">
              <w:rPr>
                <w:rFonts w:ascii="Arial Narrow" w:hAnsi="Arial Narrow" w:cs="Times New Roman"/>
                <w:b/>
              </w:rPr>
              <w:t>11C4,1</w:t>
            </w:r>
            <w:r>
              <w:rPr>
                <w:rFonts w:ascii="Arial Narrow" w:hAnsi="Arial Narrow" w:cs="Times New Roman"/>
                <w:b/>
              </w:rPr>
              <w:t>3</w:t>
            </w:r>
            <w:r w:rsidRPr="007833EA">
              <w:rPr>
                <w:rFonts w:ascii="Arial Narrow" w:hAnsi="Arial Narrow" w:cs="Times New Roman"/>
                <w:b/>
              </w:rPr>
              <w:t>C</w:t>
            </w:r>
            <w:r>
              <w:rPr>
                <w:rFonts w:ascii="Arial Narrow" w:hAnsi="Arial Narrow" w:cs="Times New Roman"/>
                <w:b/>
              </w:rPr>
              <w:t>4</w:t>
            </w:r>
            <w:r w:rsidRPr="007833EA">
              <w:rPr>
                <w:rFonts w:ascii="Arial Narrow" w:hAnsi="Arial Narrow" w:cs="Times New Roman"/>
                <w:b/>
              </w:rPr>
              <w:t>)</w:t>
            </w:r>
          </w:p>
        </w:tc>
      </w:tr>
      <w:tr>
        <w:tblPrEx>
          <w:tblW w:w="10689" w:type="dxa"/>
          <w:tblInd w:w="-432" w:type="dxa"/>
        </w:tblPrEx>
        <w:trPr>
          <w:trHeight w:hRule="auto" w:val="0"/>
        </w:trPr>
        <w:tc>
          <w:tcPr>
            <w:tcW w:w="288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2A61B4" w:rsidP="00E35A67">
            <w:pPr>
              <w:spacing w:line="240" w:lineRule="auto"/>
              <w:rPr>
                <w:rFonts w:ascii="Arial Narrow" w:hAnsi="Arial Narrow" w:cs="Times New Roman"/>
                <w:b/>
              </w:rPr>
            </w:pPr>
            <w:r w:rsidR="001B1472">
              <w:rPr>
                <w:rFonts w:ascii="Arial Narrow" w:hAnsi="Arial Narrow" w:cs="Times New Roman"/>
                <w:b/>
              </w:rPr>
              <w:t xml:space="preserve">Ozn. </w:t>
            </w:r>
            <w:r>
              <w:rPr>
                <w:rFonts w:ascii="Arial Narrow" w:hAnsi="Arial Narrow" w:cs="Times New Roman"/>
                <w:b/>
              </w:rPr>
              <w:t xml:space="preserve">o použití kap. výdavkov </w:t>
            </w:r>
            <w:r w:rsidRPr="007833EA" w:rsidR="005F1560">
              <w:rPr>
                <w:rFonts w:ascii="Arial Narrow" w:hAnsi="Arial Narrow" w:cs="Times New Roman"/>
                <w:b/>
              </w:rPr>
              <w:t>v nasledujúcom roku spolu:</w:t>
            </w:r>
          </w:p>
          <w:p w:rsidR="005F1560" w:rsidRPr="002A61B4" w:rsidP="00E35A67">
            <w:pPr>
              <w:spacing w:line="240" w:lineRule="auto"/>
              <w:rPr>
                <w:rFonts w:ascii="Arial Narrow" w:hAnsi="Arial Narrow" w:cs="Times New Roman"/>
                <w:b/>
              </w:rPr>
            </w:pPr>
            <w:r w:rsidRPr="007833EA">
              <w:rPr>
                <w:rFonts w:ascii="Arial Narrow" w:hAnsi="Arial Narrow" w:cs="Times New Roman"/>
              </w:rPr>
              <w:t>v</w:t>
            </w:r>
            <w:r w:rsidR="001B1472">
              <w:rPr>
                <w:rFonts w:ascii="Arial Narrow" w:hAnsi="Arial Narrow" w:cs="Times New Roman"/>
              </w:rPr>
              <w:t> </w:t>
            </w:r>
            <w:r w:rsidRPr="007833EA">
              <w:rPr>
                <w:rFonts w:ascii="Arial Narrow" w:hAnsi="Arial Narrow" w:cs="Times New Roman"/>
              </w:rPr>
              <w:t>tom:</w:t>
            </w:r>
          </w:p>
        </w:tc>
        <w:tc>
          <w:tcPr>
            <w:tcW w:w="2131"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5F1560" w:rsidRPr="007833EA" w:rsidP="00E35A67">
            <w:pPr>
              <w:spacing w:line="240" w:lineRule="auto"/>
              <w:jc w:val="right"/>
              <w:rPr>
                <w:rFonts w:ascii="Arial Narrow" w:hAnsi="Arial Narrow" w:cs="Times New Roman"/>
                <w:b/>
              </w:rPr>
            </w:pPr>
            <w:r>
              <w:rPr>
                <w:rFonts w:ascii="Arial Narrow" w:hAnsi="Arial Narrow" w:cs="Times New Roman"/>
                <w:b/>
              </w:rPr>
              <w:t>1 231 231 834,87</w:t>
            </w:r>
          </w:p>
        </w:tc>
        <w:tc>
          <w:tcPr>
            <w:tcW w:w="1366"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5F1560" w:rsidRPr="007833EA" w:rsidP="00E35A67">
            <w:pPr>
              <w:spacing w:line="240" w:lineRule="auto"/>
              <w:jc w:val="right"/>
              <w:rPr>
                <w:rFonts w:ascii="Arial Narrow" w:hAnsi="Arial Narrow" w:cs="Times New Roman"/>
                <w:b/>
              </w:rPr>
            </w:pPr>
            <w:r>
              <w:rPr>
                <w:rFonts w:ascii="Arial Narrow" w:hAnsi="Arial Narrow" w:cs="Times New Roman"/>
                <w:b/>
              </w:rPr>
              <w:t>9 420 174</w:t>
            </w:r>
            <w:r w:rsidRPr="007833EA">
              <w:rPr>
                <w:rFonts w:ascii="Arial Narrow" w:hAnsi="Arial Narrow" w:cs="Times New Roman"/>
                <w:b/>
              </w:rPr>
              <w:t>,00</w:t>
            </w:r>
          </w:p>
        </w:tc>
        <w:tc>
          <w:tcPr>
            <w:tcW w:w="1539"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5F1560" w:rsidRPr="007833EA" w:rsidP="00E35A67">
            <w:pPr>
              <w:spacing w:line="240" w:lineRule="auto"/>
              <w:jc w:val="right"/>
              <w:rPr>
                <w:rFonts w:ascii="Arial Narrow" w:hAnsi="Arial Narrow" w:cs="Times New Roman"/>
                <w:b/>
              </w:rPr>
            </w:pPr>
            <w:r>
              <w:rPr>
                <w:rFonts w:ascii="Arial Narrow" w:hAnsi="Arial Narrow" w:cs="Times New Roman"/>
                <w:b/>
              </w:rPr>
              <w:t>43 989 050,70</w:t>
            </w:r>
          </w:p>
        </w:tc>
        <w:tc>
          <w:tcPr>
            <w:tcW w:w="1357"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5F1560" w:rsidRPr="007833EA" w:rsidP="00E35A67">
            <w:pPr>
              <w:spacing w:line="240" w:lineRule="auto"/>
              <w:jc w:val="right"/>
              <w:rPr>
                <w:rFonts w:ascii="Arial Narrow" w:hAnsi="Arial Narrow" w:cs="Times New Roman"/>
                <w:b/>
              </w:rPr>
            </w:pPr>
            <w:r>
              <w:rPr>
                <w:rFonts w:ascii="Arial Narrow" w:hAnsi="Arial Narrow" w:cs="Times New Roman"/>
                <w:b/>
              </w:rPr>
              <w:t>260 341 531,76</w:t>
            </w:r>
          </w:p>
        </w:tc>
        <w:tc>
          <w:tcPr>
            <w:tcW w:w="1416"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5F1560" w:rsidRPr="007833EA" w:rsidP="00E35A67">
            <w:pPr>
              <w:spacing w:line="240" w:lineRule="auto"/>
              <w:jc w:val="right"/>
              <w:rPr>
                <w:rFonts w:ascii="Arial Narrow" w:hAnsi="Arial Narrow" w:cs="Times New Roman"/>
                <w:b/>
              </w:rPr>
            </w:pPr>
            <w:r>
              <w:rPr>
                <w:rFonts w:ascii="Arial Narrow" w:hAnsi="Arial Narrow" w:cs="Times New Roman"/>
                <w:b/>
              </w:rPr>
              <w:t>917 481 078,41</w:t>
            </w:r>
          </w:p>
        </w:tc>
      </w:tr>
      <w:tr>
        <w:tblPrEx>
          <w:tblW w:w="10689" w:type="dxa"/>
          <w:tblInd w:w="-432" w:type="dxa"/>
        </w:tblPrEx>
        <w:trPr>
          <w:trHeight w:hRule="auto" w:val="0"/>
        </w:trPr>
        <w:tc>
          <w:tcPr>
            <w:tcW w:w="288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5F1560" w:rsidP="002A61B4">
            <w:pPr>
              <w:spacing w:line="240" w:lineRule="auto"/>
              <w:jc w:val="left"/>
              <w:rPr>
                <w:rFonts w:ascii="Arial Narrow" w:hAnsi="Arial Narrow" w:cs="Times New Roman"/>
              </w:rPr>
            </w:pPr>
            <w:r>
              <w:rPr>
                <w:rFonts w:ascii="Arial Narrow" w:hAnsi="Arial Narrow" w:cs="Times New Roman"/>
              </w:rPr>
              <w:t xml:space="preserve">  1.      v rámci programu </w:t>
            </w:r>
          </w:p>
          <w:p w:rsidR="005F1560" w:rsidRPr="007833EA" w:rsidP="002A61B4">
            <w:pPr>
              <w:spacing w:line="240" w:lineRule="auto"/>
              <w:jc w:val="left"/>
              <w:rPr>
                <w:rFonts w:ascii="Arial Narrow" w:hAnsi="Arial Narrow" w:cs="Times New Roman"/>
              </w:rPr>
            </w:pPr>
            <w:r>
              <w:rPr>
                <w:rFonts w:ascii="Arial Narrow" w:hAnsi="Arial Narrow" w:cs="Times New Roman"/>
              </w:rPr>
              <w:t xml:space="preserve">           </w:t>
            </w:r>
            <w:r w:rsidRPr="007833EA">
              <w:rPr>
                <w:rFonts w:ascii="Arial Narrow" w:hAnsi="Arial Narrow" w:cs="Times New Roman"/>
                <w:b/>
              </w:rPr>
              <w:t>053 Cestná infraštruktúra</w:t>
            </w:r>
          </w:p>
        </w:tc>
        <w:tc>
          <w:tcPr>
            <w:tcW w:w="2131"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5F1560" w:rsidRPr="007833EA" w:rsidP="002A61B4">
            <w:pPr>
              <w:spacing w:line="240" w:lineRule="auto"/>
              <w:jc w:val="right"/>
              <w:rPr>
                <w:rFonts w:ascii="Arial Narrow" w:hAnsi="Arial Narrow" w:cs="Times New Roman"/>
                <w:b/>
              </w:rPr>
            </w:pPr>
            <w:r>
              <w:rPr>
                <w:rFonts w:ascii="Arial Narrow" w:hAnsi="Arial Narrow" w:cs="Times New Roman"/>
                <w:b/>
              </w:rPr>
              <w:t>1 027 689 988,11</w:t>
            </w:r>
          </w:p>
        </w:tc>
        <w:tc>
          <w:tcPr>
            <w:tcW w:w="1366"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5F1560" w:rsidRPr="007833EA" w:rsidP="002A61B4">
            <w:pPr>
              <w:spacing w:line="240" w:lineRule="auto"/>
              <w:jc w:val="right"/>
              <w:rPr>
                <w:rFonts w:ascii="Arial Narrow" w:hAnsi="Arial Narrow" w:cs="Times New Roman"/>
                <w:b/>
              </w:rPr>
            </w:pPr>
            <w:r>
              <w:rPr>
                <w:rFonts w:ascii="Arial Narrow" w:hAnsi="Arial Narrow" w:cs="Times New Roman"/>
                <w:b/>
              </w:rPr>
              <w:t>9 420 174,00</w:t>
            </w:r>
          </w:p>
        </w:tc>
        <w:tc>
          <w:tcPr>
            <w:tcW w:w="1539"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5F1560" w:rsidRPr="007833EA" w:rsidP="002A61B4">
            <w:pPr>
              <w:spacing w:line="240" w:lineRule="auto"/>
              <w:jc w:val="right"/>
              <w:rPr>
                <w:rFonts w:ascii="Arial Narrow" w:hAnsi="Arial Narrow" w:cs="Times New Roman"/>
                <w:b/>
              </w:rPr>
            </w:pPr>
            <w:r>
              <w:rPr>
                <w:rFonts w:ascii="Arial Narrow" w:hAnsi="Arial Narrow" w:cs="Times New Roman"/>
                <w:b/>
              </w:rPr>
              <w:t>43 788 735,70</w:t>
            </w:r>
          </w:p>
        </w:tc>
        <w:tc>
          <w:tcPr>
            <w:tcW w:w="1357"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5F1560" w:rsidRPr="007833EA" w:rsidP="002A61B4">
            <w:pPr>
              <w:spacing w:line="240" w:lineRule="auto"/>
              <w:jc w:val="right"/>
              <w:rPr>
                <w:rFonts w:ascii="Arial Narrow" w:hAnsi="Arial Narrow" w:cs="Times New Roman"/>
                <w:b/>
              </w:rPr>
            </w:pPr>
            <w:r>
              <w:rPr>
                <w:rFonts w:ascii="Arial Narrow" w:hAnsi="Arial Narrow" w:cs="Times New Roman"/>
                <w:b/>
              </w:rPr>
              <w:t>57 000 000,00</w:t>
            </w:r>
          </w:p>
        </w:tc>
        <w:tc>
          <w:tcPr>
            <w:tcW w:w="1416"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5F1560" w:rsidRPr="007833EA" w:rsidP="002A61B4">
            <w:pPr>
              <w:spacing w:line="240" w:lineRule="auto"/>
              <w:jc w:val="right"/>
              <w:rPr>
                <w:rFonts w:ascii="Arial Narrow" w:hAnsi="Arial Narrow" w:cs="Times New Roman"/>
                <w:b/>
              </w:rPr>
            </w:pPr>
            <w:r>
              <w:rPr>
                <w:rFonts w:ascii="Arial Narrow" w:hAnsi="Arial Narrow" w:cs="Times New Roman"/>
                <w:b/>
              </w:rPr>
              <w:t>917 481 078,41</w:t>
            </w:r>
          </w:p>
        </w:tc>
      </w:tr>
      <w:tr>
        <w:tblPrEx>
          <w:tblW w:w="10689" w:type="dxa"/>
          <w:tblInd w:w="-432" w:type="dxa"/>
        </w:tblPrEx>
        <w:trPr>
          <w:trHeight w:val="77"/>
        </w:trPr>
        <w:tc>
          <w:tcPr>
            <w:tcW w:w="28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F1560" w:rsidRPr="007833EA" w:rsidP="00E35A67">
            <w:pPr>
              <w:spacing w:line="240" w:lineRule="auto"/>
              <w:rPr>
                <w:rFonts w:ascii="Arial Narrow" w:hAnsi="Arial Narrow" w:cs="Times New Roman"/>
              </w:rPr>
            </w:pPr>
            <w:r w:rsidRPr="007833EA">
              <w:rPr>
                <w:rFonts w:ascii="Arial Narrow" w:hAnsi="Arial Narrow" w:cs="Times New Roman"/>
              </w:rPr>
              <w:t>0530201 Výstavba cestnej siete</w:t>
            </w:r>
          </w:p>
        </w:tc>
        <w:tc>
          <w:tcPr>
            <w:tcW w:w="2131"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5F1560" w:rsidRPr="007833EA" w:rsidP="00E35A67">
            <w:pPr>
              <w:spacing w:line="240" w:lineRule="auto"/>
              <w:jc w:val="right"/>
              <w:rPr>
                <w:rFonts w:ascii="Arial Narrow" w:hAnsi="Arial Narrow" w:cs="Times New Roman"/>
              </w:rPr>
            </w:pPr>
            <w:r>
              <w:rPr>
                <w:rFonts w:ascii="Arial Narrow" w:hAnsi="Arial Narrow" w:cs="Times New Roman"/>
              </w:rPr>
              <w:t>47 446 100,70</w:t>
            </w:r>
          </w:p>
        </w:tc>
        <w:tc>
          <w:tcPr>
            <w:tcW w:w="1366"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5F1560" w:rsidRPr="007833EA" w:rsidP="00E35A67">
            <w:pPr>
              <w:spacing w:line="240" w:lineRule="auto"/>
              <w:jc w:val="right"/>
              <w:rPr>
                <w:rFonts w:ascii="Arial Narrow" w:hAnsi="Arial Narrow" w:cs="Times New Roman"/>
              </w:rPr>
            </w:pPr>
            <w:r>
              <w:rPr>
                <w:rFonts w:ascii="Arial Narrow" w:hAnsi="Arial Narrow" w:cs="Times New Roman"/>
              </w:rPr>
              <w:t>9 420 174,00</w:t>
            </w:r>
          </w:p>
        </w:tc>
        <w:tc>
          <w:tcPr>
            <w:tcW w:w="1539"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5F1560" w:rsidRPr="007833EA" w:rsidP="00E35A67">
            <w:pPr>
              <w:spacing w:line="240" w:lineRule="auto"/>
              <w:jc w:val="right"/>
              <w:rPr>
                <w:rFonts w:ascii="Arial Narrow" w:hAnsi="Arial Narrow" w:cs="Times New Roman"/>
              </w:rPr>
            </w:pPr>
            <w:r>
              <w:rPr>
                <w:rFonts w:ascii="Arial Narrow" w:hAnsi="Arial Narrow" w:cs="Times New Roman"/>
              </w:rPr>
              <w:t>38 025 926,70</w:t>
            </w:r>
          </w:p>
        </w:tc>
        <w:tc>
          <w:tcPr>
            <w:tcW w:w="1357"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5F1560" w:rsidRPr="007833EA" w:rsidP="00E35A67">
            <w:pPr>
              <w:spacing w:line="240" w:lineRule="auto"/>
              <w:jc w:val="right"/>
              <w:rPr>
                <w:rFonts w:ascii="Arial Narrow" w:hAnsi="Arial Narrow" w:cs="Times New Roman"/>
              </w:rPr>
            </w:pPr>
            <w:r>
              <w:rPr>
                <w:rFonts w:ascii="Arial Narrow" w:hAnsi="Arial Narrow" w:cs="Times New Roman"/>
              </w:rPr>
              <w:t>0,00</w:t>
            </w:r>
          </w:p>
        </w:tc>
        <w:tc>
          <w:tcPr>
            <w:tcW w:w="1416"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5F1560" w:rsidRPr="007833EA" w:rsidP="00E35A67">
            <w:pPr>
              <w:spacing w:line="240" w:lineRule="auto"/>
              <w:jc w:val="right"/>
              <w:rPr>
                <w:rFonts w:ascii="Arial Narrow" w:hAnsi="Arial Narrow" w:cs="Times New Roman"/>
              </w:rPr>
            </w:pPr>
            <w:r w:rsidRPr="007833EA">
              <w:rPr>
                <w:rFonts w:ascii="Arial Narrow" w:hAnsi="Arial Narrow" w:cs="Times New Roman"/>
              </w:rPr>
              <w:t>0,00</w:t>
            </w:r>
          </w:p>
        </w:tc>
      </w:tr>
      <w:tr>
        <w:tblPrEx>
          <w:tblW w:w="10689" w:type="dxa"/>
          <w:tblInd w:w="-432" w:type="dxa"/>
        </w:tblPrEx>
        <w:trPr>
          <w:trHeight w:val="163"/>
        </w:trPr>
        <w:tc>
          <w:tcPr>
            <w:tcW w:w="28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F1560" w:rsidRPr="007833EA" w:rsidP="00E35A67">
            <w:pPr>
              <w:spacing w:line="240" w:lineRule="auto"/>
              <w:rPr>
                <w:rFonts w:ascii="Arial Narrow" w:hAnsi="Arial Narrow" w:cs="Times New Roman"/>
              </w:rPr>
            </w:pPr>
            <w:r w:rsidRPr="007833EA">
              <w:rPr>
                <w:rFonts w:ascii="Arial Narrow" w:hAnsi="Arial Narrow" w:cs="Times New Roman"/>
              </w:rPr>
              <w:t>0530</w:t>
            </w:r>
            <w:r w:rsidR="002A61B4">
              <w:rPr>
                <w:rFonts w:ascii="Arial Narrow" w:hAnsi="Arial Narrow" w:cs="Times New Roman"/>
              </w:rPr>
              <w:t xml:space="preserve">202 Obnova tech. </w:t>
            </w:r>
            <w:r w:rsidRPr="007833EA">
              <w:rPr>
                <w:rFonts w:ascii="Arial Narrow" w:hAnsi="Arial Narrow" w:cs="Times New Roman"/>
              </w:rPr>
              <w:t>základne</w:t>
            </w:r>
          </w:p>
        </w:tc>
        <w:tc>
          <w:tcPr>
            <w:tcW w:w="2131"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5F1560" w:rsidRPr="007833EA" w:rsidP="00E35A67">
            <w:pPr>
              <w:spacing w:line="240" w:lineRule="auto"/>
              <w:jc w:val="right"/>
              <w:rPr>
                <w:rFonts w:ascii="Arial Narrow" w:hAnsi="Arial Narrow" w:cs="Times New Roman"/>
              </w:rPr>
            </w:pPr>
            <w:r>
              <w:rPr>
                <w:rFonts w:ascii="Arial Narrow" w:hAnsi="Arial Narrow" w:cs="Times New Roman"/>
              </w:rPr>
              <w:t>3 693 131,00</w:t>
            </w:r>
          </w:p>
        </w:tc>
        <w:tc>
          <w:tcPr>
            <w:tcW w:w="1366"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5F1560" w:rsidRPr="007833EA" w:rsidP="00E35A67">
            <w:pPr>
              <w:spacing w:line="240" w:lineRule="auto"/>
              <w:jc w:val="right"/>
              <w:rPr>
                <w:rFonts w:ascii="Arial Narrow" w:hAnsi="Arial Narrow" w:cs="Times New Roman"/>
              </w:rPr>
            </w:pPr>
            <w:r w:rsidRPr="007833EA">
              <w:rPr>
                <w:rFonts w:ascii="Arial Narrow" w:hAnsi="Arial Narrow" w:cs="Times New Roman"/>
              </w:rPr>
              <w:t>0,00</w:t>
            </w:r>
          </w:p>
        </w:tc>
        <w:tc>
          <w:tcPr>
            <w:tcW w:w="1539"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5F1560" w:rsidRPr="007833EA" w:rsidP="00E35A67">
            <w:pPr>
              <w:spacing w:line="240" w:lineRule="auto"/>
              <w:jc w:val="right"/>
              <w:rPr>
                <w:rFonts w:ascii="Arial Narrow" w:hAnsi="Arial Narrow" w:cs="Times New Roman"/>
              </w:rPr>
            </w:pPr>
            <w:r>
              <w:rPr>
                <w:rFonts w:ascii="Arial Narrow" w:hAnsi="Arial Narrow" w:cs="Times New Roman"/>
              </w:rPr>
              <w:t>3 693 131,00</w:t>
            </w:r>
          </w:p>
        </w:tc>
        <w:tc>
          <w:tcPr>
            <w:tcW w:w="1357"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5F1560" w:rsidRPr="007833EA" w:rsidP="00E35A67">
            <w:pPr>
              <w:spacing w:line="240" w:lineRule="auto"/>
              <w:jc w:val="right"/>
              <w:rPr>
                <w:rFonts w:ascii="Arial Narrow" w:hAnsi="Arial Narrow" w:cs="Times New Roman"/>
              </w:rPr>
            </w:pPr>
            <w:r>
              <w:rPr>
                <w:rFonts w:ascii="Arial Narrow" w:hAnsi="Arial Narrow" w:cs="Times New Roman"/>
              </w:rPr>
              <w:t>0,00</w:t>
            </w:r>
          </w:p>
        </w:tc>
        <w:tc>
          <w:tcPr>
            <w:tcW w:w="1416"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5F1560" w:rsidRPr="007833EA" w:rsidP="00E35A67">
            <w:pPr>
              <w:spacing w:line="240" w:lineRule="auto"/>
              <w:jc w:val="right"/>
              <w:rPr>
                <w:rFonts w:ascii="Arial Narrow" w:hAnsi="Arial Narrow" w:cs="Times New Roman"/>
              </w:rPr>
            </w:pPr>
            <w:r w:rsidRPr="007833EA">
              <w:rPr>
                <w:rFonts w:ascii="Arial Narrow" w:hAnsi="Arial Narrow" w:cs="Times New Roman"/>
              </w:rPr>
              <w:t>0,00</w:t>
            </w:r>
          </w:p>
        </w:tc>
      </w:tr>
      <w:tr>
        <w:tblPrEx>
          <w:tblW w:w="10689" w:type="dxa"/>
          <w:tblInd w:w="-432" w:type="dxa"/>
        </w:tblPrEx>
        <w:trPr>
          <w:trHeight w:val="163"/>
        </w:trPr>
        <w:tc>
          <w:tcPr>
            <w:tcW w:w="28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F1560" w:rsidRPr="007833EA" w:rsidP="00E35A67">
            <w:pPr>
              <w:spacing w:line="240" w:lineRule="auto"/>
              <w:rPr>
                <w:rFonts w:ascii="Arial Narrow" w:hAnsi="Arial Narrow" w:cs="Times New Roman"/>
              </w:rPr>
            </w:pPr>
            <w:r w:rsidR="002A61B4">
              <w:rPr>
                <w:rFonts w:ascii="Arial Narrow" w:hAnsi="Arial Narrow" w:cs="Times New Roman"/>
              </w:rPr>
              <w:t>0530204 Sev. obchvat Trnavy</w:t>
            </w:r>
          </w:p>
        </w:tc>
        <w:tc>
          <w:tcPr>
            <w:tcW w:w="2131"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5F1560" w:rsidRPr="007833EA" w:rsidP="00E35A67">
            <w:pPr>
              <w:spacing w:line="240" w:lineRule="auto"/>
              <w:jc w:val="right"/>
              <w:rPr>
                <w:rFonts w:ascii="Arial Narrow" w:hAnsi="Arial Narrow" w:cs="Times New Roman"/>
              </w:rPr>
            </w:pPr>
            <w:r>
              <w:rPr>
                <w:rFonts w:ascii="Arial Narrow" w:hAnsi="Arial Narrow" w:cs="Times New Roman"/>
              </w:rPr>
              <w:t>2 069 678,00</w:t>
            </w:r>
          </w:p>
        </w:tc>
        <w:tc>
          <w:tcPr>
            <w:tcW w:w="1366"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5F1560" w:rsidRPr="007833EA" w:rsidP="00E35A67">
            <w:pPr>
              <w:spacing w:line="240" w:lineRule="auto"/>
              <w:jc w:val="right"/>
              <w:rPr>
                <w:rFonts w:ascii="Arial Narrow" w:hAnsi="Arial Narrow" w:cs="Times New Roman"/>
              </w:rPr>
            </w:pPr>
            <w:r w:rsidRPr="007833EA">
              <w:rPr>
                <w:rFonts w:ascii="Arial Narrow" w:hAnsi="Arial Narrow" w:cs="Times New Roman"/>
              </w:rPr>
              <w:t>0,00</w:t>
            </w:r>
          </w:p>
        </w:tc>
        <w:tc>
          <w:tcPr>
            <w:tcW w:w="1539"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5F1560" w:rsidRPr="007833EA" w:rsidP="00E35A67">
            <w:pPr>
              <w:spacing w:line="240" w:lineRule="auto"/>
              <w:jc w:val="right"/>
              <w:rPr>
                <w:rFonts w:ascii="Arial Narrow" w:hAnsi="Arial Narrow" w:cs="Times New Roman"/>
              </w:rPr>
            </w:pPr>
            <w:r>
              <w:rPr>
                <w:rFonts w:ascii="Arial Narrow" w:hAnsi="Arial Narrow" w:cs="Times New Roman"/>
              </w:rPr>
              <w:t>2 069 678,00</w:t>
            </w:r>
          </w:p>
        </w:tc>
        <w:tc>
          <w:tcPr>
            <w:tcW w:w="1357"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5F1560" w:rsidRPr="007833EA" w:rsidP="00E35A67">
            <w:pPr>
              <w:spacing w:line="240" w:lineRule="auto"/>
              <w:jc w:val="right"/>
              <w:rPr>
                <w:rFonts w:ascii="Arial Narrow" w:hAnsi="Arial Narrow" w:cs="Times New Roman"/>
              </w:rPr>
            </w:pPr>
            <w:r>
              <w:rPr>
                <w:rFonts w:ascii="Arial Narrow" w:hAnsi="Arial Narrow" w:cs="Times New Roman"/>
              </w:rPr>
              <w:t>0,00</w:t>
            </w:r>
          </w:p>
        </w:tc>
        <w:tc>
          <w:tcPr>
            <w:tcW w:w="1416"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5F1560" w:rsidRPr="007833EA" w:rsidP="00E35A67">
            <w:pPr>
              <w:spacing w:line="240" w:lineRule="auto"/>
              <w:jc w:val="right"/>
              <w:rPr>
                <w:rFonts w:ascii="Arial Narrow" w:hAnsi="Arial Narrow" w:cs="Times New Roman"/>
              </w:rPr>
            </w:pPr>
            <w:r w:rsidRPr="007833EA">
              <w:rPr>
                <w:rFonts w:ascii="Arial Narrow" w:hAnsi="Arial Narrow" w:cs="Times New Roman"/>
              </w:rPr>
              <w:t>0,00</w:t>
            </w:r>
          </w:p>
        </w:tc>
      </w:tr>
      <w:tr>
        <w:tblPrEx>
          <w:tblW w:w="10689" w:type="dxa"/>
          <w:tblInd w:w="-432" w:type="dxa"/>
        </w:tblPrEx>
        <w:trPr>
          <w:trHeight w:hRule="auto" w:val="0"/>
        </w:trPr>
        <w:tc>
          <w:tcPr>
            <w:tcW w:w="28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F1560" w:rsidRPr="007833EA" w:rsidP="00E35A67">
            <w:pPr>
              <w:spacing w:line="240" w:lineRule="auto"/>
              <w:rPr>
                <w:rFonts w:ascii="Arial Narrow" w:hAnsi="Arial Narrow" w:cs="Times New Roman"/>
              </w:rPr>
            </w:pPr>
            <w:r w:rsidRPr="007833EA">
              <w:rPr>
                <w:rFonts w:ascii="Arial Narrow" w:hAnsi="Arial Narrow" w:cs="Times New Roman"/>
              </w:rPr>
              <w:t>053</w:t>
            </w:r>
            <w:r w:rsidR="002A61B4">
              <w:rPr>
                <w:rFonts w:ascii="Arial Narrow" w:hAnsi="Arial Narrow" w:cs="Times New Roman"/>
              </w:rPr>
              <w:t>0305 Diaľnic</w:t>
            </w:r>
            <w:r w:rsidR="002A61B4">
              <w:rPr>
                <w:rFonts w:ascii="Arial Narrow" w:hAnsi="Arial Narrow" w:cs="Times New Roman"/>
              </w:rPr>
              <w:t>e a</w:t>
            </w:r>
            <w:r w:rsidR="00A21E8A">
              <w:rPr>
                <w:rFonts w:ascii="Arial Narrow" w:hAnsi="Arial Narrow" w:cs="Times New Roman"/>
              </w:rPr>
              <w:t> </w:t>
            </w:r>
            <w:r w:rsidR="002A61B4">
              <w:rPr>
                <w:rFonts w:ascii="Arial Narrow" w:hAnsi="Arial Narrow" w:cs="Times New Roman"/>
              </w:rPr>
              <w:t>RC</w:t>
            </w:r>
          </w:p>
        </w:tc>
        <w:tc>
          <w:tcPr>
            <w:tcW w:w="2131"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5F1560" w:rsidRPr="007833EA" w:rsidP="00E35A67">
            <w:pPr>
              <w:spacing w:line="240" w:lineRule="auto"/>
              <w:jc w:val="right"/>
              <w:rPr>
                <w:rFonts w:ascii="Arial Narrow" w:hAnsi="Arial Narrow" w:cs="Times New Roman"/>
              </w:rPr>
            </w:pPr>
            <w:r>
              <w:rPr>
                <w:rFonts w:ascii="Arial Narrow" w:hAnsi="Arial Narrow" w:cs="Times New Roman"/>
              </w:rPr>
              <w:t>974 481 078,41</w:t>
            </w:r>
          </w:p>
        </w:tc>
        <w:tc>
          <w:tcPr>
            <w:tcW w:w="1366"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5F1560" w:rsidRPr="007833EA" w:rsidP="00E35A67">
            <w:pPr>
              <w:spacing w:line="240" w:lineRule="auto"/>
              <w:jc w:val="right"/>
              <w:rPr>
                <w:rFonts w:ascii="Arial Narrow" w:hAnsi="Arial Narrow" w:cs="Times New Roman"/>
              </w:rPr>
            </w:pPr>
            <w:r w:rsidRPr="007833EA">
              <w:rPr>
                <w:rFonts w:ascii="Arial Narrow" w:hAnsi="Arial Narrow" w:cs="Times New Roman"/>
              </w:rPr>
              <w:t>0,00</w:t>
            </w:r>
          </w:p>
        </w:tc>
        <w:tc>
          <w:tcPr>
            <w:tcW w:w="1539"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5F1560" w:rsidRPr="007833EA" w:rsidP="00E35A67">
            <w:pPr>
              <w:spacing w:line="240" w:lineRule="auto"/>
              <w:jc w:val="right"/>
              <w:rPr>
                <w:rFonts w:ascii="Arial Narrow" w:hAnsi="Arial Narrow" w:cs="Times New Roman"/>
              </w:rPr>
            </w:pPr>
            <w:r w:rsidRPr="007833EA">
              <w:rPr>
                <w:rFonts w:ascii="Arial Narrow" w:hAnsi="Arial Narrow" w:cs="Times New Roman"/>
              </w:rPr>
              <w:t>0,00</w:t>
            </w:r>
          </w:p>
        </w:tc>
        <w:tc>
          <w:tcPr>
            <w:tcW w:w="1357"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5F1560" w:rsidRPr="007833EA" w:rsidP="00E35A67">
            <w:pPr>
              <w:spacing w:line="240" w:lineRule="auto"/>
              <w:jc w:val="right"/>
              <w:rPr>
                <w:rFonts w:ascii="Arial Narrow" w:hAnsi="Arial Narrow" w:cs="Times New Roman"/>
              </w:rPr>
            </w:pPr>
            <w:r>
              <w:rPr>
                <w:rFonts w:ascii="Arial Narrow" w:hAnsi="Arial Narrow" w:cs="Times New Roman"/>
              </w:rPr>
              <w:t>57 000 000,00</w:t>
            </w:r>
          </w:p>
        </w:tc>
        <w:tc>
          <w:tcPr>
            <w:tcW w:w="1416"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5F1560" w:rsidRPr="007833EA" w:rsidP="00E35A67">
            <w:pPr>
              <w:spacing w:line="240" w:lineRule="auto"/>
              <w:jc w:val="right"/>
              <w:rPr>
                <w:rFonts w:ascii="Arial Narrow" w:hAnsi="Arial Narrow" w:cs="Times New Roman"/>
              </w:rPr>
            </w:pPr>
            <w:r>
              <w:rPr>
                <w:rFonts w:ascii="Arial Narrow" w:hAnsi="Arial Narrow" w:cs="Times New Roman"/>
              </w:rPr>
              <w:t>917 481 078,41</w:t>
            </w:r>
          </w:p>
        </w:tc>
      </w:tr>
      <w:tr>
        <w:tblPrEx>
          <w:tblW w:w="10689" w:type="dxa"/>
          <w:tblInd w:w="-432" w:type="dxa"/>
        </w:tblPrEx>
        <w:trPr>
          <w:trHeight w:hRule="auto" w:val="0"/>
        </w:trPr>
        <w:tc>
          <w:tcPr>
            <w:tcW w:w="28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F1560" w:rsidRPr="007833EA" w:rsidP="00E35A67">
            <w:pPr>
              <w:spacing w:line="240" w:lineRule="auto"/>
              <w:rPr>
                <w:rFonts w:ascii="Arial Narrow" w:hAnsi="Arial Narrow" w:cs="Times New Roman"/>
              </w:rPr>
            </w:pPr>
            <w:r w:rsidRPr="007833EA">
              <w:rPr>
                <w:rFonts w:ascii="Arial Narrow" w:hAnsi="Arial Narrow" w:cs="Times New Roman"/>
              </w:rPr>
              <w:t xml:space="preserve">z toho: úver EIB VI. </w:t>
            </w:r>
            <w:r w:rsidR="002A61B4">
              <w:rPr>
                <w:rFonts w:ascii="Arial Narrow" w:hAnsi="Arial Narrow" w:cs="Times New Roman"/>
              </w:rPr>
              <w:t xml:space="preserve"> </w:t>
            </w:r>
            <w:r w:rsidRPr="007833EA">
              <w:rPr>
                <w:rFonts w:ascii="Arial Narrow" w:hAnsi="Arial Narrow" w:cs="Times New Roman"/>
              </w:rPr>
              <w:t>zdroj 11C1</w:t>
            </w:r>
          </w:p>
        </w:tc>
        <w:tc>
          <w:tcPr>
            <w:tcW w:w="2131"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5F1560" w:rsidRPr="007833EA" w:rsidP="00E35A67">
            <w:pPr>
              <w:spacing w:line="240" w:lineRule="auto"/>
              <w:jc w:val="right"/>
              <w:rPr>
                <w:rFonts w:ascii="Arial Narrow" w:hAnsi="Arial Narrow" w:cs="Times New Roman"/>
              </w:rPr>
            </w:pPr>
            <w:r>
              <w:rPr>
                <w:rFonts w:ascii="Arial Narrow" w:hAnsi="Arial Narrow" w:cs="Times New Roman"/>
              </w:rPr>
              <w:t xml:space="preserve">728 </w:t>
            </w:r>
            <w:r w:rsidRPr="007833EA">
              <w:rPr>
                <w:rFonts w:ascii="Arial Narrow" w:hAnsi="Arial Narrow" w:cs="Times New Roman"/>
              </w:rPr>
              <w:t>000 000,00</w:t>
            </w:r>
          </w:p>
        </w:tc>
        <w:tc>
          <w:tcPr>
            <w:tcW w:w="1366"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5F1560" w:rsidRPr="007833EA" w:rsidP="00E35A67">
            <w:pPr>
              <w:spacing w:line="240" w:lineRule="auto"/>
              <w:jc w:val="right"/>
              <w:rPr>
                <w:rFonts w:ascii="Arial Narrow" w:hAnsi="Arial Narrow" w:cs="Times New Roman"/>
              </w:rPr>
            </w:pPr>
            <w:r w:rsidRPr="007833EA">
              <w:rPr>
                <w:rFonts w:ascii="Arial Narrow" w:hAnsi="Arial Narrow" w:cs="Times New Roman"/>
              </w:rPr>
              <w:t>0,00</w:t>
            </w:r>
          </w:p>
        </w:tc>
        <w:tc>
          <w:tcPr>
            <w:tcW w:w="1539"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5F1560" w:rsidRPr="007833EA" w:rsidP="00E35A67">
            <w:pPr>
              <w:spacing w:line="240" w:lineRule="auto"/>
              <w:jc w:val="right"/>
              <w:rPr>
                <w:rFonts w:ascii="Arial Narrow" w:hAnsi="Arial Narrow" w:cs="Times New Roman"/>
              </w:rPr>
            </w:pPr>
            <w:r w:rsidRPr="007833EA">
              <w:rPr>
                <w:rFonts w:ascii="Arial Narrow" w:hAnsi="Arial Narrow" w:cs="Times New Roman"/>
              </w:rPr>
              <w:t>0,00</w:t>
            </w:r>
          </w:p>
        </w:tc>
        <w:tc>
          <w:tcPr>
            <w:tcW w:w="1357"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5F1560" w:rsidRPr="007833EA" w:rsidP="00E35A67">
            <w:pPr>
              <w:spacing w:line="240" w:lineRule="auto"/>
              <w:jc w:val="right"/>
              <w:rPr>
                <w:rFonts w:ascii="Arial Narrow" w:hAnsi="Arial Narrow" w:cs="Times New Roman"/>
              </w:rPr>
            </w:pPr>
            <w:r>
              <w:rPr>
                <w:rFonts w:ascii="Arial Narrow" w:hAnsi="Arial Narrow" w:cs="Times New Roman"/>
              </w:rPr>
              <w:t>0,00</w:t>
            </w:r>
          </w:p>
        </w:tc>
        <w:tc>
          <w:tcPr>
            <w:tcW w:w="1416"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5F1560" w:rsidRPr="007833EA" w:rsidP="00E35A67">
            <w:pPr>
              <w:spacing w:line="240" w:lineRule="auto"/>
              <w:jc w:val="right"/>
              <w:rPr>
                <w:rFonts w:ascii="Arial Narrow" w:hAnsi="Arial Narrow" w:cs="Times New Roman"/>
              </w:rPr>
            </w:pPr>
            <w:r>
              <w:rPr>
                <w:rFonts w:ascii="Arial Narrow" w:hAnsi="Arial Narrow" w:cs="Times New Roman"/>
              </w:rPr>
              <w:t>728</w:t>
            </w:r>
            <w:r w:rsidRPr="007833EA">
              <w:rPr>
                <w:rFonts w:ascii="Arial Narrow" w:hAnsi="Arial Narrow" w:cs="Times New Roman"/>
              </w:rPr>
              <w:t> 000 000,00</w:t>
            </w:r>
          </w:p>
        </w:tc>
      </w:tr>
      <w:tr>
        <w:tblPrEx>
          <w:tblW w:w="10689" w:type="dxa"/>
          <w:tblInd w:w="-432" w:type="dxa"/>
        </w:tblPrEx>
        <w:trPr>
          <w:trHeight w:val="257"/>
        </w:trPr>
        <w:tc>
          <w:tcPr>
            <w:tcW w:w="28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F1560" w:rsidRPr="007833EA" w:rsidP="00E35A67">
            <w:pPr>
              <w:spacing w:line="240" w:lineRule="auto"/>
              <w:rPr>
                <w:rFonts w:ascii="Arial Narrow" w:hAnsi="Arial Narrow" w:cs="Times New Roman"/>
              </w:rPr>
            </w:pPr>
            <w:r w:rsidRPr="007833EA">
              <w:rPr>
                <w:rFonts w:ascii="Arial Narrow" w:hAnsi="Arial Narrow" w:cs="Times New Roman"/>
              </w:rPr>
              <w:t xml:space="preserve">            úver JBIC </w:t>
            </w:r>
            <w:r w:rsidR="002A61B4">
              <w:rPr>
                <w:rFonts w:ascii="Arial Narrow" w:hAnsi="Arial Narrow" w:cs="Times New Roman"/>
              </w:rPr>
              <w:t xml:space="preserve">    </w:t>
            </w:r>
            <w:r w:rsidRPr="007833EA">
              <w:rPr>
                <w:rFonts w:ascii="Arial Narrow" w:hAnsi="Arial Narrow" w:cs="Times New Roman"/>
              </w:rPr>
              <w:t>zdroj 11C4</w:t>
            </w:r>
          </w:p>
        </w:tc>
        <w:tc>
          <w:tcPr>
            <w:tcW w:w="2131"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5F1560" w:rsidRPr="007833EA" w:rsidP="00E35A67">
            <w:pPr>
              <w:spacing w:line="240" w:lineRule="auto"/>
              <w:jc w:val="right"/>
              <w:rPr>
                <w:rFonts w:ascii="Arial Narrow" w:hAnsi="Arial Narrow" w:cs="Times New Roman"/>
              </w:rPr>
            </w:pPr>
            <w:r w:rsidRPr="007833EA">
              <w:rPr>
                <w:rFonts w:ascii="Arial Narrow" w:hAnsi="Arial Narrow" w:cs="Times New Roman"/>
              </w:rPr>
              <w:t xml:space="preserve">    </w:t>
            </w:r>
            <w:r>
              <w:rPr>
                <w:rFonts w:ascii="Arial Narrow" w:hAnsi="Arial Narrow" w:cs="Times New Roman"/>
              </w:rPr>
              <w:t>82 000</w:t>
            </w:r>
            <w:r w:rsidRPr="007833EA">
              <w:rPr>
                <w:rFonts w:ascii="Arial Narrow" w:hAnsi="Arial Narrow" w:cs="Times New Roman"/>
              </w:rPr>
              <w:t> 000,00</w:t>
            </w:r>
          </w:p>
        </w:tc>
        <w:tc>
          <w:tcPr>
            <w:tcW w:w="1366"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5F1560" w:rsidRPr="007833EA" w:rsidP="00E35A67">
            <w:pPr>
              <w:spacing w:line="240" w:lineRule="auto"/>
              <w:jc w:val="right"/>
              <w:rPr>
                <w:rFonts w:ascii="Arial Narrow" w:hAnsi="Arial Narrow" w:cs="Times New Roman"/>
              </w:rPr>
            </w:pPr>
            <w:r w:rsidRPr="007833EA">
              <w:rPr>
                <w:rFonts w:ascii="Arial Narrow" w:hAnsi="Arial Narrow" w:cs="Times New Roman"/>
              </w:rPr>
              <w:t>0,00</w:t>
            </w:r>
          </w:p>
        </w:tc>
        <w:tc>
          <w:tcPr>
            <w:tcW w:w="1539"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5F1560" w:rsidRPr="007833EA" w:rsidP="00E35A67">
            <w:pPr>
              <w:spacing w:line="240" w:lineRule="auto"/>
              <w:jc w:val="right"/>
              <w:rPr>
                <w:rFonts w:ascii="Arial Narrow" w:hAnsi="Arial Narrow" w:cs="Times New Roman"/>
              </w:rPr>
            </w:pPr>
            <w:r w:rsidRPr="007833EA">
              <w:rPr>
                <w:rFonts w:ascii="Arial Narrow" w:hAnsi="Arial Narrow" w:cs="Times New Roman"/>
              </w:rPr>
              <w:t>0,00</w:t>
            </w:r>
          </w:p>
        </w:tc>
        <w:tc>
          <w:tcPr>
            <w:tcW w:w="1357"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5F1560" w:rsidRPr="007833EA" w:rsidP="00E35A67">
            <w:pPr>
              <w:spacing w:line="240" w:lineRule="auto"/>
              <w:jc w:val="right"/>
              <w:rPr>
                <w:rFonts w:ascii="Arial Narrow" w:hAnsi="Arial Narrow" w:cs="Times New Roman"/>
              </w:rPr>
            </w:pPr>
            <w:r>
              <w:rPr>
                <w:rFonts w:ascii="Arial Narrow" w:hAnsi="Arial Narrow" w:cs="Times New Roman"/>
              </w:rPr>
              <w:t>0,00</w:t>
            </w:r>
          </w:p>
        </w:tc>
        <w:tc>
          <w:tcPr>
            <w:tcW w:w="1416"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5F1560" w:rsidRPr="007833EA" w:rsidP="00E35A67">
            <w:pPr>
              <w:spacing w:line="240" w:lineRule="auto"/>
              <w:jc w:val="right"/>
              <w:rPr>
                <w:rFonts w:ascii="Arial Narrow" w:hAnsi="Arial Narrow" w:cs="Times New Roman"/>
              </w:rPr>
            </w:pPr>
            <w:r>
              <w:rPr>
                <w:rFonts w:ascii="Arial Narrow" w:hAnsi="Arial Narrow" w:cs="Times New Roman"/>
              </w:rPr>
              <w:t>82</w:t>
            </w:r>
            <w:r w:rsidRPr="007833EA">
              <w:rPr>
                <w:rFonts w:ascii="Arial Narrow" w:hAnsi="Arial Narrow" w:cs="Times New Roman"/>
              </w:rPr>
              <w:t xml:space="preserve"> </w:t>
            </w:r>
            <w:r>
              <w:rPr>
                <w:rFonts w:ascii="Arial Narrow" w:hAnsi="Arial Narrow" w:cs="Times New Roman"/>
              </w:rPr>
              <w:t>000</w:t>
            </w:r>
            <w:r w:rsidRPr="007833EA">
              <w:rPr>
                <w:rFonts w:ascii="Arial Narrow" w:hAnsi="Arial Narrow" w:cs="Times New Roman"/>
              </w:rPr>
              <w:t> 000,00</w:t>
            </w:r>
          </w:p>
        </w:tc>
      </w:tr>
      <w:tr>
        <w:tblPrEx>
          <w:tblW w:w="10689" w:type="dxa"/>
          <w:tblInd w:w="-432" w:type="dxa"/>
        </w:tblPrEx>
        <w:trPr>
          <w:trHeight w:hRule="auto" w:val="0"/>
        </w:trPr>
        <w:tc>
          <w:tcPr>
            <w:tcW w:w="28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F1560" w:rsidRPr="007833EA" w:rsidP="00E35A67">
            <w:pPr>
              <w:spacing w:line="240" w:lineRule="auto"/>
              <w:rPr>
                <w:rFonts w:ascii="Arial Narrow" w:hAnsi="Arial Narrow" w:cs="Times New Roman"/>
              </w:rPr>
            </w:pPr>
            <w:r>
              <w:rPr>
                <w:rFonts w:ascii="Arial Narrow" w:hAnsi="Arial Narrow" w:cs="Times New Roman"/>
              </w:rPr>
              <w:t xml:space="preserve">úver JBIC </w:t>
            </w:r>
            <w:r w:rsidR="002A61B4">
              <w:rPr>
                <w:rFonts w:ascii="Arial Narrow" w:hAnsi="Arial Narrow" w:cs="Times New Roman"/>
              </w:rPr>
              <w:t xml:space="preserve"> </w:t>
            </w:r>
            <w:r>
              <w:rPr>
                <w:rFonts w:ascii="Arial Narrow" w:hAnsi="Arial Narrow" w:cs="Times New Roman"/>
              </w:rPr>
              <w:t>zdroj 13C4 (z r. 2006)</w:t>
            </w:r>
          </w:p>
        </w:tc>
        <w:tc>
          <w:tcPr>
            <w:tcW w:w="2131"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5F1560" w:rsidRPr="003D35A8" w:rsidP="00E35A67">
            <w:pPr>
              <w:spacing w:line="240" w:lineRule="auto"/>
              <w:jc w:val="right"/>
              <w:rPr>
                <w:rFonts w:ascii="Arial Narrow" w:hAnsi="Arial Narrow" w:cs="Times New Roman"/>
              </w:rPr>
            </w:pPr>
            <w:r w:rsidRPr="003D35A8">
              <w:rPr>
                <w:rFonts w:ascii="Arial Narrow" w:hAnsi="Arial Narrow" w:cs="Times New Roman"/>
              </w:rPr>
              <w:t>107 481 078,41</w:t>
            </w:r>
          </w:p>
        </w:tc>
        <w:tc>
          <w:tcPr>
            <w:tcW w:w="1366"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5F1560" w:rsidRPr="003D35A8" w:rsidP="00E35A67">
            <w:pPr>
              <w:spacing w:line="240" w:lineRule="auto"/>
              <w:jc w:val="right"/>
              <w:rPr>
                <w:rFonts w:ascii="Arial Narrow" w:hAnsi="Arial Narrow" w:cs="Times New Roman"/>
              </w:rPr>
            </w:pPr>
            <w:r w:rsidRPr="003D35A8">
              <w:rPr>
                <w:rFonts w:ascii="Arial Narrow" w:hAnsi="Arial Narrow" w:cs="Times New Roman"/>
              </w:rPr>
              <w:t>0,00</w:t>
            </w:r>
          </w:p>
        </w:tc>
        <w:tc>
          <w:tcPr>
            <w:tcW w:w="1539"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5F1560" w:rsidRPr="003D35A8" w:rsidP="00E35A67">
            <w:pPr>
              <w:spacing w:line="240" w:lineRule="auto"/>
              <w:jc w:val="right"/>
              <w:rPr>
                <w:rFonts w:ascii="Arial Narrow" w:hAnsi="Arial Narrow" w:cs="Times New Roman"/>
              </w:rPr>
            </w:pPr>
            <w:r w:rsidRPr="003D35A8">
              <w:rPr>
                <w:rFonts w:ascii="Arial Narrow" w:hAnsi="Arial Narrow" w:cs="Times New Roman"/>
              </w:rPr>
              <w:t>0,00</w:t>
            </w:r>
          </w:p>
        </w:tc>
        <w:tc>
          <w:tcPr>
            <w:tcW w:w="1357"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5F1560" w:rsidRPr="003D35A8" w:rsidP="00E35A67">
            <w:pPr>
              <w:spacing w:line="240" w:lineRule="auto"/>
              <w:jc w:val="right"/>
              <w:rPr>
                <w:rFonts w:ascii="Arial Narrow" w:hAnsi="Arial Narrow" w:cs="Times New Roman"/>
              </w:rPr>
            </w:pPr>
            <w:r w:rsidRPr="003D35A8">
              <w:rPr>
                <w:rFonts w:ascii="Arial Narrow" w:hAnsi="Arial Narrow" w:cs="Times New Roman"/>
              </w:rPr>
              <w:t>0,00</w:t>
            </w:r>
          </w:p>
        </w:tc>
        <w:tc>
          <w:tcPr>
            <w:tcW w:w="1416"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5F1560" w:rsidRPr="003D35A8" w:rsidP="00E35A67">
            <w:pPr>
              <w:spacing w:line="240" w:lineRule="auto"/>
              <w:jc w:val="right"/>
              <w:rPr>
                <w:rFonts w:ascii="Arial Narrow" w:hAnsi="Arial Narrow" w:cs="Times New Roman"/>
              </w:rPr>
            </w:pPr>
            <w:r w:rsidRPr="003D35A8">
              <w:rPr>
                <w:rFonts w:ascii="Arial Narrow" w:hAnsi="Arial Narrow" w:cs="Times New Roman"/>
              </w:rPr>
              <w:t>107 481 078,41</w:t>
            </w:r>
          </w:p>
        </w:tc>
      </w:tr>
      <w:tr>
        <w:tblPrEx>
          <w:tblW w:w="10689" w:type="dxa"/>
          <w:tblInd w:w="-432" w:type="dxa"/>
        </w:tblPrEx>
        <w:trPr>
          <w:trHeight w:hRule="auto" w:val="0"/>
        </w:trPr>
        <w:tc>
          <w:tcPr>
            <w:tcW w:w="28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F1560" w:rsidRPr="007833EA" w:rsidP="001654CB">
            <w:pPr>
              <w:numPr>
                <w:ilvl w:val="0"/>
                <w:numId w:val="8"/>
              </w:numPr>
              <w:tabs>
                <w:tab w:val="left" w:pos="292"/>
                <w:tab w:val="clear" w:pos="840"/>
              </w:tabs>
              <w:spacing w:line="240" w:lineRule="auto"/>
              <w:ind w:left="292" w:hanging="292"/>
              <w:rPr>
                <w:rFonts w:ascii="Arial Narrow" w:hAnsi="Arial Narrow" w:cs="Times New Roman"/>
              </w:rPr>
            </w:pPr>
            <w:r w:rsidR="00D87EEC">
              <w:rPr>
                <w:rFonts w:ascii="Arial Narrow" w:hAnsi="Arial Narrow" w:cs="Times New Roman"/>
              </w:rPr>
              <w:t xml:space="preserve">v rámci medzirez. </w:t>
            </w:r>
            <w:r w:rsidRPr="007833EA">
              <w:rPr>
                <w:rFonts w:ascii="Arial Narrow" w:hAnsi="Arial Narrow" w:cs="Times New Roman"/>
              </w:rPr>
              <w:t xml:space="preserve">podprogramu </w:t>
            </w:r>
          </w:p>
          <w:p w:rsidR="002A61B4" w:rsidP="00E35A67">
            <w:pPr>
              <w:spacing w:line="240" w:lineRule="auto"/>
              <w:rPr>
                <w:rFonts w:ascii="Arial Narrow" w:hAnsi="Arial Narrow" w:cs="Times New Roman"/>
                <w:b/>
              </w:rPr>
            </w:pPr>
            <w:r w:rsidR="005F1560">
              <w:rPr>
                <w:rFonts w:ascii="Arial Narrow" w:hAnsi="Arial Narrow" w:cs="Times New Roman"/>
                <w:b/>
              </w:rPr>
              <w:t xml:space="preserve">      </w:t>
            </w:r>
            <w:r w:rsidRPr="007833EA" w:rsidR="005F1560">
              <w:rPr>
                <w:rFonts w:ascii="Arial Narrow" w:hAnsi="Arial Narrow" w:cs="Times New Roman"/>
                <w:b/>
              </w:rPr>
              <w:t>0</w:t>
            </w:r>
            <w:r>
              <w:rPr>
                <w:rFonts w:ascii="Arial Narrow" w:hAnsi="Arial Narrow" w:cs="Times New Roman"/>
                <w:b/>
              </w:rPr>
              <w:t xml:space="preserve">6E01 Dopravná a tel.  </w:t>
            </w:r>
          </w:p>
          <w:p w:rsidR="005F1560" w:rsidRPr="002A61B4" w:rsidP="00E35A67">
            <w:pPr>
              <w:spacing w:line="240" w:lineRule="auto"/>
              <w:rPr>
                <w:rFonts w:ascii="Arial Narrow" w:hAnsi="Arial Narrow" w:cs="Times New Roman"/>
                <w:b/>
              </w:rPr>
            </w:pPr>
            <w:r w:rsidR="002A61B4">
              <w:rPr>
                <w:rFonts w:ascii="Arial Narrow" w:hAnsi="Arial Narrow" w:cs="Times New Roman"/>
                <w:b/>
              </w:rPr>
              <w:t xml:space="preserve">                  </w:t>
            </w:r>
            <w:r>
              <w:rPr>
                <w:rFonts w:ascii="Arial Narrow" w:hAnsi="Arial Narrow" w:cs="Times New Roman"/>
                <w:b/>
              </w:rPr>
              <w:t>podpora – MD</w:t>
            </w:r>
            <w:r w:rsidRPr="007833EA">
              <w:rPr>
                <w:rFonts w:ascii="Arial Narrow" w:hAnsi="Arial Narrow" w:cs="Times New Roman"/>
                <w:b/>
              </w:rPr>
              <w:t>PT SR</w:t>
            </w:r>
          </w:p>
        </w:tc>
        <w:tc>
          <w:tcPr>
            <w:tcW w:w="2131"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5F1560" w:rsidP="00E35A67">
            <w:pPr>
              <w:spacing w:line="240" w:lineRule="auto"/>
              <w:jc w:val="right"/>
              <w:rPr>
                <w:rFonts w:ascii="Arial Narrow" w:hAnsi="Arial Narrow" w:cs="Times New Roman"/>
                <w:b/>
              </w:rPr>
            </w:pPr>
          </w:p>
          <w:p w:rsidR="005F1560" w:rsidRPr="007833EA" w:rsidP="00E35A67">
            <w:pPr>
              <w:spacing w:line="240" w:lineRule="auto"/>
              <w:jc w:val="right"/>
              <w:rPr>
                <w:rFonts w:ascii="Arial Narrow" w:hAnsi="Arial Narrow" w:cs="Times New Roman"/>
                <w:b/>
              </w:rPr>
            </w:pPr>
            <w:r>
              <w:rPr>
                <w:rFonts w:ascii="Arial Narrow" w:hAnsi="Arial Narrow" w:cs="Times New Roman"/>
                <w:b/>
              </w:rPr>
              <w:t>32 055 100,00</w:t>
            </w:r>
          </w:p>
        </w:tc>
        <w:tc>
          <w:tcPr>
            <w:tcW w:w="1366"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5F1560" w:rsidP="00E35A67">
            <w:pPr>
              <w:spacing w:line="240" w:lineRule="auto"/>
              <w:jc w:val="right"/>
              <w:rPr>
                <w:rFonts w:ascii="Arial Narrow" w:hAnsi="Arial Narrow" w:cs="Times New Roman"/>
                <w:b/>
              </w:rPr>
            </w:pPr>
          </w:p>
          <w:p w:rsidR="005F1560" w:rsidRPr="007833EA" w:rsidP="00E35A67">
            <w:pPr>
              <w:spacing w:line="240" w:lineRule="auto"/>
              <w:jc w:val="right"/>
              <w:rPr>
                <w:rFonts w:ascii="Arial Narrow" w:hAnsi="Arial Narrow" w:cs="Times New Roman"/>
                <w:b/>
              </w:rPr>
            </w:pPr>
            <w:r w:rsidRPr="007833EA">
              <w:rPr>
                <w:rFonts w:ascii="Arial Narrow" w:hAnsi="Arial Narrow" w:cs="Times New Roman"/>
                <w:b/>
              </w:rPr>
              <w:t>0,00</w:t>
            </w:r>
          </w:p>
        </w:tc>
        <w:tc>
          <w:tcPr>
            <w:tcW w:w="1539"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5F1560" w:rsidP="00E35A67">
            <w:pPr>
              <w:spacing w:line="240" w:lineRule="auto"/>
              <w:jc w:val="right"/>
              <w:rPr>
                <w:rFonts w:ascii="Arial Narrow" w:hAnsi="Arial Narrow" w:cs="Times New Roman"/>
                <w:b/>
              </w:rPr>
            </w:pPr>
          </w:p>
          <w:p w:rsidR="005F1560" w:rsidRPr="007833EA" w:rsidP="00E35A67">
            <w:pPr>
              <w:spacing w:line="240" w:lineRule="auto"/>
              <w:jc w:val="right"/>
              <w:rPr>
                <w:rFonts w:ascii="Arial Narrow" w:hAnsi="Arial Narrow" w:cs="Times New Roman"/>
                <w:b/>
              </w:rPr>
            </w:pPr>
            <w:r>
              <w:rPr>
                <w:rFonts w:ascii="Arial Narrow" w:hAnsi="Arial Narrow" w:cs="Times New Roman"/>
                <w:b/>
              </w:rPr>
              <w:t>0,00</w:t>
            </w:r>
          </w:p>
        </w:tc>
        <w:tc>
          <w:tcPr>
            <w:tcW w:w="1357"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5F1560" w:rsidP="00E35A67">
            <w:pPr>
              <w:spacing w:line="240" w:lineRule="auto"/>
              <w:jc w:val="right"/>
              <w:rPr>
                <w:rFonts w:ascii="Arial Narrow" w:hAnsi="Arial Narrow" w:cs="Times New Roman"/>
                <w:b/>
              </w:rPr>
            </w:pPr>
          </w:p>
          <w:p w:rsidR="005F1560" w:rsidRPr="007833EA" w:rsidP="00E35A67">
            <w:pPr>
              <w:spacing w:line="240" w:lineRule="auto"/>
              <w:jc w:val="right"/>
              <w:rPr>
                <w:rFonts w:ascii="Arial Narrow" w:hAnsi="Arial Narrow" w:cs="Times New Roman"/>
                <w:b/>
              </w:rPr>
            </w:pPr>
            <w:r>
              <w:rPr>
                <w:rFonts w:ascii="Arial Narrow" w:hAnsi="Arial Narrow" w:cs="Times New Roman"/>
                <w:b/>
              </w:rPr>
              <w:t>32 055 100,00</w:t>
            </w:r>
          </w:p>
        </w:tc>
        <w:tc>
          <w:tcPr>
            <w:tcW w:w="1416"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5F1560" w:rsidP="00E35A67">
            <w:pPr>
              <w:spacing w:line="240" w:lineRule="auto"/>
              <w:jc w:val="right"/>
              <w:rPr>
                <w:rFonts w:ascii="Arial Narrow" w:hAnsi="Arial Narrow" w:cs="Times New Roman"/>
                <w:b/>
              </w:rPr>
            </w:pPr>
          </w:p>
          <w:p w:rsidR="005F1560" w:rsidRPr="007833EA" w:rsidP="00E35A67">
            <w:pPr>
              <w:spacing w:line="240" w:lineRule="auto"/>
              <w:jc w:val="right"/>
              <w:rPr>
                <w:rFonts w:ascii="Arial Narrow" w:hAnsi="Arial Narrow" w:cs="Times New Roman"/>
                <w:b/>
              </w:rPr>
            </w:pPr>
            <w:r w:rsidRPr="007833EA">
              <w:rPr>
                <w:rFonts w:ascii="Arial Narrow" w:hAnsi="Arial Narrow" w:cs="Times New Roman"/>
                <w:b/>
              </w:rPr>
              <w:t>0,00</w:t>
            </w:r>
          </w:p>
        </w:tc>
      </w:tr>
      <w:tr>
        <w:tblPrEx>
          <w:tblW w:w="10689" w:type="dxa"/>
          <w:tblInd w:w="-432" w:type="dxa"/>
        </w:tblPrEx>
        <w:trPr>
          <w:trHeight w:hRule="auto" w:val="0"/>
        </w:trPr>
        <w:tc>
          <w:tcPr>
            <w:tcW w:w="288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5F1560" w:rsidRPr="007833EA" w:rsidP="001654CB">
            <w:pPr>
              <w:numPr>
                <w:ilvl w:val="0"/>
                <w:numId w:val="8"/>
              </w:numPr>
              <w:tabs>
                <w:tab w:val="left" w:pos="292"/>
                <w:tab w:val="clear" w:pos="840"/>
              </w:tabs>
              <w:spacing w:line="240" w:lineRule="auto"/>
              <w:ind w:left="292" w:hanging="300"/>
              <w:rPr>
                <w:rFonts w:ascii="Arial Narrow" w:hAnsi="Arial Narrow" w:cs="Times New Roman"/>
              </w:rPr>
            </w:pPr>
            <w:r w:rsidRPr="007833EA">
              <w:rPr>
                <w:rFonts w:ascii="Arial Narrow" w:hAnsi="Arial Narrow" w:cs="Times New Roman"/>
              </w:rPr>
              <w:t xml:space="preserve">v rámci programu </w:t>
            </w:r>
          </w:p>
          <w:p w:rsidR="005F1560" w:rsidRPr="007833EA" w:rsidP="001B1472">
            <w:pPr>
              <w:spacing w:line="240" w:lineRule="auto"/>
              <w:ind w:left="292"/>
              <w:rPr>
                <w:rFonts w:ascii="Arial Narrow" w:hAnsi="Arial Narrow" w:cs="Times New Roman"/>
                <w:b/>
              </w:rPr>
            </w:pPr>
            <w:r w:rsidRPr="007833EA">
              <w:rPr>
                <w:rFonts w:ascii="Arial Narrow" w:hAnsi="Arial Narrow" w:cs="Times New Roman"/>
                <w:b/>
              </w:rPr>
              <w:t>07S Železničná doprava</w:t>
            </w:r>
          </w:p>
        </w:tc>
        <w:tc>
          <w:tcPr>
            <w:tcW w:w="2131"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5F1560" w:rsidRPr="007833EA" w:rsidP="0037407C">
            <w:pPr>
              <w:spacing w:line="240" w:lineRule="auto"/>
              <w:jc w:val="right"/>
              <w:rPr>
                <w:rFonts w:ascii="Arial Narrow" w:hAnsi="Arial Narrow" w:cs="Times New Roman"/>
                <w:b/>
              </w:rPr>
            </w:pPr>
            <w:r>
              <w:rPr>
                <w:rFonts w:ascii="Arial Narrow" w:hAnsi="Arial Narrow" w:cs="Times New Roman"/>
                <w:b/>
              </w:rPr>
              <w:t>151 841 455</w:t>
            </w:r>
            <w:r w:rsidRPr="007833EA">
              <w:rPr>
                <w:rFonts w:ascii="Arial Narrow" w:hAnsi="Arial Narrow" w:cs="Times New Roman"/>
                <w:b/>
              </w:rPr>
              <w:t>,00</w:t>
            </w:r>
          </w:p>
        </w:tc>
        <w:tc>
          <w:tcPr>
            <w:tcW w:w="1366"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5F1560" w:rsidRPr="007833EA" w:rsidP="0037407C">
            <w:pPr>
              <w:spacing w:line="240" w:lineRule="auto"/>
              <w:jc w:val="right"/>
              <w:rPr>
                <w:rFonts w:ascii="Arial Narrow" w:hAnsi="Arial Narrow" w:cs="Times New Roman"/>
                <w:b/>
              </w:rPr>
            </w:pPr>
            <w:r w:rsidRPr="007833EA">
              <w:rPr>
                <w:rFonts w:ascii="Arial Narrow" w:hAnsi="Arial Narrow" w:cs="Times New Roman"/>
                <w:b/>
              </w:rPr>
              <w:t>0,00</w:t>
            </w:r>
          </w:p>
        </w:tc>
        <w:tc>
          <w:tcPr>
            <w:tcW w:w="1539"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5F1560" w:rsidRPr="007833EA" w:rsidP="0037407C">
            <w:pPr>
              <w:spacing w:line="240" w:lineRule="auto"/>
              <w:jc w:val="right"/>
              <w:rPr>
                <w:rFonts w:ascii="Arial Narrow" w:hAnsi="Arial Narrow" w:cs="Times New Roman"/>
                <w:b/>
              </w:rPr>
            </w:pPr>
            <w:r>
              <w:rPr>
                <w:rFonts w:ascii="Arial Narrow" w:hAnsi="Arial Narrow" w:cs="Times New Roman"/>
                <w:b/>
              </w:rPr>
              <w:t>0,00</w:t>
            </w:r>
          </w:p>
        </w:tc>
        <w:tc>
          <w:tcPr>
            <w:tcW w:w="1357"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5F1560" w:rsidRPr="007833EA" w:rsidP="0037407C">
            <w:pPr>
              <w:spacing w:line="240" w:lineRule="auto"/>
              <w:jc w:val="right"/>
              <w:rPr>
                <w:rFonts w:ascii="Arial Narrow" w:hAnsi="Arial Narrow" w:cs="Times New Roman"/>
                <w:b/>
              </w:rPr>
            </w:pPr>
            <w:r>
              <w:rPr>
                <w:rFonts w:ascii="Arial Narrow" w:hAnsi="Arial Narrow" w:cs="Times New Roman"/>
                <w:b/>
              </w:rPr>
              <w:t>151 841 455,00</w:t>
            </w:r>
          </w:p>
        </w:tc>
        <w:tc>
          <w:tcPr>
            <w:tcW w:w="1416"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5F1560" w:rsidRPr="007833EA" w:rsidP="0037407C">
            <w:pPr>
              <w:spacing w:line="240" w:lineRule="auto"/>
              <w:jc w:val="right"/>
              <w:rPr>
                <w:rFonts w:ascii="Arial Narrow" w:hAnsi="Arial Narrow" w:cs="Times New Roman"/>
                <w:b/>
              </w:rPr>
            </w:pPr>
            <w:r w:rsidRPr="007833EA">
              <w:rPr>
                <w:rFonts w:ascii="Arial Narrow" w:hAnsi="Arial Narrow" w:cs="Times New Roman"/>
                <w:b/>
              </w:rPr>
              <w:t>0,00</w:t>
            </w:r>
          </w:p>
        </w:tc>
      </w:tr>
      <w:tr>
        <w:tblPrEx>
          <w:tblW w:w="10689" w:type="dxa"/>
          <w:tblInd w:w="-432" w:type="dxa"/>
        </w:tblPrEx>
        <w:trPr>
          <w:trHeight w:hRule="auto" w:val="0"/>
        </w:trPr>
        <w:tc>
          <w:tcPr>
            <w:tcW w:w="28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37407C" w:rsidP="0037407C">
            <w:pPr>
              <w:spacing w:line="240" w:lineRule="auto"/>
              <w:ind w:left="-8"/>
              <w:rPr>
                <w:rFonts w:ascii="Arial Narrow" w:hAnsi="Arial Narrow" w:cs="Times New Roman"/>
              </w:rPr>
            </w:pPr>
            <w:r>
              <w:rPr>
                <w:rFonts w:ascii="Arial Narrow" w:hAnsi="Arial Narrow" w:cs="Times New Roman"/>
              </w:rPr>
              <w:t xml:space="preserve">      </w:t>
            </w:r>
            <w:r w:rsidRPr="007833EA" w:rsidR="005F1560">
              <w:rPr>
                <w:rFonts w:ascii="Arial Narrow" w:hAnsi="Arial Narrow" w:cs="Times New Roman"/>
              </w:rPr>
              <w:t>07S0601 Rozvoj a</w:t>
            </w:r>
            <w:r>
              <w:rPr>
                <w:rFonts w:ascii="Arial Narrow" w:hAnsi="Arial Narrow" w:cs="Times New Roman"/>
              </w:rPr>
              <w:t xml:space="preserve">  </w:t>
            </w:r>
          </w:p>
          <w:p w:rsidR="005F1560" w:rsidRPr="007833EA" w:rsidP="0037407C">
            <w:pPr>
              <w:spacing w:line="240" w:lineRule="auto"/>
              <w:ind w:left="-8"/>
              <w:rPr>
                <w:rFonts w:ascii="Arial Narrow" w:hAnsi="Arial Narrow" w:cs="Times New Roman"/>
              </w:rPr>
            </w:pPr>
            <w:r w:rsidR="0037407C">
              <w:rPr>
                <w:rFonts w:ascii="Arial Narrow" w:hAnsi="Arial Narrow" w:cs="Times New Roman"/>
              </w:rPr>
              <w:t xml:space="preserve">      modernizácia </w:t>
            </w:r>
            <w:r w:rsidRPr="007833EA">
              <w:rPr>
                <w:rFonts w:ascii="Arial Narrow" w:hAnsi="Arial Narrow" w:cs="Times New Roman"/>
              </w:rPr>
              <w:t>majetku železníc</w:t>
            </w:r>
          </w:p>
        </w:tc>
        <w:tc>
          <w:tcPr>
            <w:tcW w:w="2131"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5F1560" w:rsidRPr="007833EA" w:rsidP="00E35A67">
            <w:pPr>
              <w:spacing w:line="240" w:lineRule="auto"/>
              <w:jc w:val="right"/>
              <w:rPr>
                <w:rFonts w:ascii="Arial Narrow" w:hAnsi="Arial Narrow" w:cs="Times New Roman"/>
              </w:rPr>
            </w:pPr>
            <w:r>
              <w:rPr>
                <w:rFonts w:ascii="Arial Narrow" w:hAnsi="Arial Narrow" w:cs="Times New Roman"/>
              </w:rPr>
              <w:t>151 841 455,00</w:t>
            </w:r>
          </w:p>
        </w:tc>
        <w:tc>
          <w:tcPr>
            <w:tcW w:w="1366"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5F1560" w:rsidRPr="007833EA" w:rsidP="00E35A67">
            <w:pPr>
              <w:spacing w:line="240" w:lineRule="auto"/>
              <w:jc w:val="right"/>
              <w:rPr>
                <w:rFonts w:ascii="Arial Narrow" w:hAnsi="Arial Narrow" w:cs="Times New Roman"/>
              </w:rPr>
            </w:pPr>
            <w:r w:rsidRPr="007833EA">
              <w:rPr>
                <w:rFonts w:ascii="Arial Narrow" w:hAnsi="Arial Narrow" w:cs="Times New Roman"/>
              </w:rPr>
              <w:t>0,00</w:t>
            </w:r>
          </w:p>
        </w:tc>
        <w:tc>
          <w:tcPr>
            <w:tcW w:w="1539"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5F1560" w:rsidRPr="007833EA" w:rsidP="00E35A67">
            <w:pPr>
              <w:spacing w:line="240" w:lineRule="auto"/>
              <w:jc w:val="right"/>
              <w:rPr>
                <w:rFonts w:ascii="Arial Narrow" w:hAnsi="Arial Narrow" w:cs="Times New Roman"/>
              </w:rPr>
            </w:pPr>
            <w:r w:rsidRPr="007833EA">
              <w:rPr>
                <w:rFonts w:ascii="Arial Narrow" w:hAnsi="Arial Narrow" w:cs="Times New Roman"/>
              </w:rPr>
              <w:t>0,00</w:t>
            </w:r>
          </w:p>
        </w:tc>
        <w:tc>
          <w:tcPr>
            <w:tcW w:w="1357"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5F1560" w:rsidRPr="007833EA" w:rsidP="00E35A67">
            <w:pPr>
              <w:spacing w:line="240" w:lineRule="auto"/>
              <w:jc w:val="right"/>
              <w:rPr>
                <w:rFonts w:ascii="Arial Narrow" w:hAnsi="Arial Narrow" w:cs="Times New Roman"/>
              </w:rPr>
            </w:pPr>
            <w:r>
              <w:rPr>
                <w:rFonts w:ascii="Arial Narrow" w:hAnsi="Arial Narrow" w:cs="Times New Roman"/>
              </w:rPr>
              <w:t>151 481 455,00</w:t>
            </w:r>
          </w:p>
        </w:tc>
        <w:tc>
          <w:tcPr>
            <w:tcW w:w="1416"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5F1560" w:rsidRPr="007833EA" w:rsidP="00E35A67">
            <w:pPr>
              <w:spacing w:line="240" w:lineRule="auto"/>
              <w:jc w:val="right"/>
              <w:rPr>
                <w:rFonts w:ascii="Arial Narrow" w:hAnsi="Arial Narrow" w:cs="Times New Roman"/>
              </w:rPr>
            </w:pPr>
            <w:r w:rsidRPr="007833EA">
              <w:rPr>
                <w:rFonts w:ascii="Arial Narrow" w:hAnsi="Arial Narrow" w:cs="Times New Roman"/>
              </w:rPr>
              <w:t>0,00</w:t>
            </w:r>
          </w:p>
        </w:tc>
      </w:tr>
      <w:tr>
        <w:tblPrEx>
          <w:tblW w:w="10689" w:type="dxa"/>
          <w:tblInd w:w="-432" w:type="dxa"/>
        </w:tblPrEx>
        <w:trPr>
          <w:trHeight w:hRule="auto" w:val="0"/>
        </w:trPr>
        <w:tc>
          <w:tcPr>
            <w:tcW w:w="28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F1560" w:rsidRPr="007833EA" w:rsidP="001654CB">
            <w:pPr>
              <w:numPr>
                <w:ilvl w:val="0"/>
                <w:numId w:val="8"/>
              </w:numPr>
              <w:tabs>
                <w:tab w:val="left" w:pos="292"/>
                <w:tab w:val="clear" w:pos="840"/>
              </w:tabs>
              <w:spacing w:line="240" w:lineRule="auto"/>
              <w:ind w:left="292" w:hanging="300"/>
              <w:jc w:val="left"/>
              <w:rPr>
                <w:rFonts w:ascii="Arial Narrow" w:hAnsi="Arial Narrow" w:cs="Times New Roman"/>
              </w:rPr>
            </w:pPr>
            <w:r w:rsidRPr="007833EA">
              <w:rPr>
                <w:rFonts w:ascii="Arial Narrow" w:hAnsi="Arial Narrow" w:cs="Times New Roman"/>
              </w:rPr>
              <w:t xml:space="preserve">v rámci programu </w:t>
            </w:r>
          </w:p>
          <w:p w:rsidR="005F1560" w:rsidRPr="007833EA" w:rsidP="001B1472">
            <w:pPr>
              <w:spacing w:line="240" w:lineRule="auto"/>
              <w:ind w:left="292"/>
              <w:jc w:val="left"/>
              <w:rPr>
                <w:rFonts w:ascii="Arial Narrow" w:hAnsi="Arial Narrow" w:cs="Times New Roman"/>
              </w:rPr>
            </w:pPr>
            <w:r w:rsidR="0037407C">
              <w:rPr>
                <w:rFonts w:ascii="Arial Narrow" w:hAnsi="Arial Narrow" w:cs="Times New Roman"/>
                <w:b/>
              </w:rPr>
              <w:t xml:space="preserve">07T Tvorba a impl. </w:t>
            </w:r>
            <w:r w:rsidRPr="007833EA">
              <w:rPr>
                <w:rFonts w:ascii="Arial Narrow" w:hAnsi="Arial Narrow" w:cs="Times New Roman"/>
                <w:b/>
              </w:rPr>
              <w:t>politík</w:t>
            </w:r>
          </w:p>
        </w:tc>
        <w:tc>
          <w:tcPr>
            <w:tcW w:w="2131"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5F1560" w:rsidRPr="007833EA" w:rsidP="0037407C">
            <w:pPr>
              <w:spacing w:line="240" w:lineRule="auto"/>
              <w:jc w:val="right"/>
              <w:rPr>
                <w:rFonts w:ascii="Arial Narrow" w:hAnsi="Arial Narrow" w:cs="Times New Roman"/>
                <w:b/>
              </w:rPr>
            </w:pPr>
            <w:r>
              <w:rPr>
                <w:rFonts w:ascii="Arial Narrow" w:hAnsi="Arial Narrow" w:cs="Times New Roman"/>
                <w:b/>
              </w:rPr>
              <w:t>19 645 291,76</w:t>
            </w:r>
          </w:p>
        </w:tc>
        <w:tc>
          <w:tcPr>
            <w:tcW w:w="1366"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5F1560" w:rsidRPr="007833EA" w:rsidP="0037407C">
            <w:pPr>
              <w:spacing w:line="240" w:lineRule="auto"/>
              <w:jc w:val="right"/>
              <w:rPr>
                <w:rFonts w:ascii="Arial Narrow" w:hAnsi="Arial Narrow" w:cs="Times New Roman"/>
                <w:b/>
              </w:rPr>
            </w:pPr>
            <w:r>
              <w:rPr>
                <w:rFonts w:ascii="Arial Narrow" w:hAnsi="Arial Narrow" w:cs="Times New Roman"/>
                <w:b/>
              </w:rPr>
              <w:t>0,00</w:t>
            </w:r>
          </w:p>
        </w:tc>
        <w:tc>
          <w:tcPr>
            <w:tcW w:w="1539"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5F1560" w:rsidRPr="007833EA" w:rsidP="0037407C">
            <w:pPr>
              <w:spacing w:line="240" w:lineRule="auto"/>
              <w:jc w:val="right"/>
              <w:rPr>
                <w:rFonts w:ascii="Arial Narrow" w:hAnsi="Arial Narrow" w:cs="Times New Roman"/>
                <w:b/>
              </w:rPr>
            </w:pPr>
            <w:r>
              <w:rPr>
                <w:rFonts w:ascii="Arial Narrow" w:hAnsi="Arial Narrow" w:cs="Times New Roman"/>
                <w:b/>
              </w:rPr>
              <w:t>200 315,00</w:t>
            </w:r>
          </w:p>
        </w:tc>
        <w:tc>
          <w:tcPr>
            <w:tcW w:w="1357"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5F1560" w:rsidRPr="007833EA" w:rsidP="0037407C">
            <w:pPr>
              <w:spacing w:line="240" w:lineRule="auto"/>
              <w:jc w:val="right"/>
              <w:rPr>
                <w:rFonts w:ascii="Arial Narrow" w:hAnsi="Arial Narrow" w:cs="Times New Roman"/>
                <w:b/>
              </w:rPr>
            </w:pPr>
            <w:r>
              <w:rPr>
                <w:rFonts w:ascii="Arial Narrow" w:hAnsi="Arial Narrow" w:cs="Times New Roman"/>
                <w:b/>
              </w:rPr>
              <w:t>19 44</w:t>
            </w:r>
            <w:r>
              <w:rPr>
                <w:rFonts w:ascii="Arial Narrow" w:hAnsi="Arial Narrow" w:cs="Times New Roman"/>
                <w:b/>
              </w:rPr>
              <w:t>4 976,76</w:t>
            </w:r>
          </w:p>
        </w:tc>
        <w:tc>
          <w:tcPr>
            <w:tcW w:w="1416"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5F1560" w:rsidRPr="007833EA" w:rsidP="0037407C">
            <w:pPr>
              <w:spacing w:line="240" w:lineRule="auto"/>
              <w:jc w:val="right"/>
              <w:rPr>
                <w:rFonts w:ascii="Arial Narrow" w:hAnsi="Arial Narrow" w:cs="Times New Roman"/>
                <w:b/>
              </w:rPr>
            </w:pPr>
            <w:r w:rsidRPr="007833EA">
              <w:rPr>
                <w:rFonts w:ascii="Arial Narrow" w:hAnsi="Arial Narrow" w:cs="Times New Roman"/>
                <w:b/>
              </w:rPr>
              <w:t>0,00</w:t>
            </w:r>
          </w:p>
        </w:tc>
      </w:tr>
      <w:tr>
        <w:tblPrEx>
          <w:tblW w:w="10689" w:type="dxa"/>
          <w:tblInd w:w="-432" w:type="dxa"/>
        </w:tblPrEx>
        <w:trPr>
          <w:trHeight w:hRule="auto" w:val="0"/>
        </w:trPr>
        <w:tc>
          <w:tcPr>
            <w:tcW w:w="28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F1560" w:rsidRPr="007833EA" w:rsidP="00E35A67">
            <w:pPr>
              <w:spacing w:line="240" w:lineRule="auto"/>
              <w:rPr>
                <w:rFonts w:ascii="Arial Narrow" w:hAnsi="Arial Narrow" w:cs="Times New Roman"/>
              </w:rPr>
            </w:pPr>
            <w:r w:rsidR="0037407C">
              <w:rPr>
                <w:rFonts w:ascii="Arial Narrow" w:hAnsi="Arial Narrow" w:cs="Times New Roman"/>
              </w:rPr>
              <w:t xml:space="preserve">      07T0306 Reg. </w:t>
            </w:r>
            <w:r w:rsidRPr="007833EA">
              <w:rPr>
                <w:rFonts w:ascii="Arial Narrow" w:hAnsi="Arial Narrow" w:cs="Times New Roman"/>
              </w:rPr>
              <w:t>cestnej dopravy</w:t>
            </w:r>
          </w:p>
        </w:tc>
        <w:tc>
          <w:tcPr>
            <w:tcW w:w="2131"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5F1560" w:rsidRPr="007833EA" w:rsidP="00E35A67">
            <w:pPr>
              <w:spacing w:line="240" w:lineRule="auto"/>
              <w:jc w:val="right"/>
              <w:rPr>
                <w:rFonts w:ascii="Arial Narrow" w:hAnsi="Arial Narrow" w:cs="Times New Roman"/>
              </w:rPr>
            </w:pPr>
            <w:r>
              <w:rPr>
                <w:rFonts w:ascii="Arial Narrow" w:hAnsi="Arial Narrow" w:cs="Times New Roman"/>
              </w:rPr>
              <w:t>318 425,20</w:t>
            </w:r>
          </w:p>
        </w:tc>
        <w:tc>
          <w:tcPr>
            <w:tcW w:w="1366"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5F1560" w:rsidRPr="007833EA" w:rsidP="00E35A67">
            <w:pPr>
              <w:spacing w:line="240" w:lineRule="auto"/>
              <w:jc w:val="right"/>
              <w:rPr>
                <w:rFonts w:ascii="Arial Narrow" w:hAnsi="Arial Narrow" w:cs="Times New Roman"/>
              </w:rPr>
            </w:pPr>
            <w:r w:rsidRPr="007833EA">
              <w:rPr>
                <w:rFonts w:ascii="Arial Narrow" w:hAnsi="Arial Narrow" w:cs="Times New Roman"/>
              </w:rPr>
              <w:t>0,00</w:t>
            </w:r>
          </w:p>
        </w:tc>
        <w:tc>
          <w:tcPr>
            <w:tcW w:w="1539"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5F1560" w:rsidRPr="007833EA" w:rsidP="00E35A67">
            <w:pPr>
              <w:spacing w:line="240" w:lineRule="auto"/>
              <w:jc w:val="right"/>
              <w:rPr>
                <w:rFonts w:ascii="Arial Narrow" w:hAnsi="Arial Narrow" w:cs="Times New Roman"/>
              </w:rPr>
            </w:pPr>
            <w:r>
              <w:rPr>
                <w:rFonts w:ascii="Arial Narrow" w:hAnsi="Arial Narrow" w:cs="Times New Roman"/>
              </w:rPr>
              <w:t>200 315</w:t>
            </w:r>
            <w:r w:rsidRPr="007833EA">
              <w:rPr>
                <w:rFonts w:ascii="Arial Narrow" w:hAnsi="Arial Narrow" w:cs="Times New Roman"/>
              </w:rPr>
              <w:t>,00</w:t>
            </w:r>
          </w:p>
        </w:tc>
        <w:tc>
          <w:tcPr>
            <w:tcW w:w="1357"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5F1560" w:rsidRPr="007833EA" w:rsidP="00E35A67">
            <w:pPr>
              <w:spacing w:line="240" w:lineRule="auto"/>
              <w:jc w:val="right"/>
              <w:rPr>
                <w:rFonts w:ascii="Arial Narrow" w:hAnsi="Arial Narrow" w:cs="Times New Roman"/>
              </w:rPr>
            </w:pPr>
            <w:r>
              <w:rPr>
                <w:rFonts w:ascii="Arial Narrow" w:hAnsi="Arial Narrow" w:cs="Times New Roman"/>
              </w:rPr>
              <w:t>118 110,50</w:t>
            </w:r>
          </w:p>
        </w:tc>
        <w:tc>
          <w:tcPr>
            <w:tcW w:w="1416"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5F1560" w:rsidRPr="007833EA" w:rsidP="00E35A67">
            <w:pPr>
              <w:spacing w:line="240" w:lineRule="auto"/>
              <w:jc w:val="right"/>
              <w:rPr>
                <w:rFonts w:ascii="Arial Narrow" w:hAnsi="Arial Narrow" w:cs="Times New Roman"/>
              </w:rPr>
            </w:pPr>
            <w:r w:rsidRPr="007833EA">
              <w:rPr>
                <w:rFonts w:ascii="Arial Narrow" w:hAnsi="Arial Narrow" w:cs="Times New Roman"/>
              </w:rPr>
              <w:t>0,00</w:t>
            </w:r>
          </w:p>
        </w:tc>
      </w:tr>
      <w:tr>
        <w:tblPrEx>
          <w:tblW w:w="10689" w:type="dxa"/>
          <w:tblInd w:w="-432" w:type="dxa"/>
        </w:tblPrEx>
        <w:trPr>
          <w:trHeight w:hRule="auto" w:val="0"/>
        </w:trPr>
        <w:tc>
          <w:tcPr>
            <w:tcW w:w="28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F1560" w:rsidRPr="007833EA" w:rsidP="00E35A67">
            <w:pPr>
              <w:spacing w:line="240" w:lineRule="auto"/>
              <w:rPr>
                <w:rFonts w:ascii="Arial Narrow" w:hAnsi="Arial Narrow" w:cs="Times New Roman"/>
              </w:rPr>
            </w:pPr>
            <w:r w:rsidR="0037407C">
              <w:rPr>
                <w:rFonts w:ascii="Arial Narrow" w:hAnsi="Arial Narrow" w:cs="Times New Roman"/>
              </w:rPr>
              <w:t xml:space="preserve">      </w:t>
            </w:r>
            <w:r w:rsidRPr="007833EA">
              <w:rPr>
                <w:rFonts w:ascii="Arial Narrow" w:hAnsi="Arial Narrow" w:cs="Times New Roman"/>
              </w:rPr>
              <w:t>07T0</w:t>
            </w:r>
            <w:r>
              <w:rPr>
                <w:rFonts w:ascii="Arial Narrow" w:hAnsi="Arial Narrow" w:cs="Times New Roman"/>
              </w:rPr>
              <w:t>4</w:t>
            </w:r>
            <w:r w:rsidRPr="007833EA">
              <w:rPr>
                <w:rFonts w:ascii="Arial Narrow" w:hAnsi="Arial Narrow" w:cs="Times New Roman"/>
              </w:rPr>
              <w:t xml:space="preserve"> </w:t>
            </w:r>
            <w:r>
              <w:rPr>
                <w:rFonts w:ascii="Arial Narrow" w:hAnsi="Arial Narrow" w:cs="Times New Roman"/>
              </w:rPr>
              <w:t>Bezpečnosť dopravy</w:t>
            </w:r>
            <w:r w:rsidRPr="007833EA">
              <w:rPr>
                <w:rFonts w:ascii="Arial Narrow" w:hAnsi="Arial Narrow" w:cs="Times New Roman"/>
              </w:rPr>
              <w:t xml:space="preserve">                                      </w:t>
            </w:r>
          </w:p>
        </w:tc>
        <w:tc>
          <w:tcPr>
            <w:tcW w:w="2131"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5F1560" w:rsidRPr="007833EA" w:rsidP="00E35A67">
            <w:pPr>
              <w:spacing w:line="240" w:lineRule="auto"/>
              <w:jc w:val="right"/>
              <w:rPr>
                <w:rFonts w:ascii="Arial Narrow" w:hAnsi="Arial Narrow" w:cs="Times New Roman"/>
              </w:rPr>
            </w:pPr>
            <w:r>
              <w:rPr>
                <w:rFonts w:ascii="Arial Narrow" w:hAnsi="Arial Narrow" w:cs="Times New Roman"/>
              </w:rPr>
              <w:t>19 326 866,26</w:t>
            </w:r>
          </w:p>
        </w:tc>
        <w:tc>
          <w:tcPr>
            <w:tcW w:w="1366"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5F1560" w:rsidRPr="007833EA" w:rsidP="00E35A67">
            <w:pPr>
              <w:spacing w:line="240" w:lineRule="auto"/>
              <w:jc w:val="right"/>
              <w:rPr>
                <w:rFonts w:ascii="Arial Narrow" w:hAnsi="Arial Narrow" w:cs="Times New Roman"/>
              </w:rPr>
            </w:pPr>
            <w:r w:rsidRPr="007833EA">
              <w:rPr>
                <w:rFonts w:ascii="Arial Narrow" w:hAnsi="Arial Narrow" w:cs="Times New Roman"/>
              </w:rPr>
              <w:t>0,00</w:t>
            </w:r>
          </w:p>
        </w:tc>
        <w:tc>
          <w:tcPr>
            <w:tcW w:w="1539"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5F1560" w:rsidRPr="007833EA" w:rsidP="00E35A67">
            <w:pPr>
              <w:spacing w:line="240" w:lineRule="auto"/>
              <w:jc w:val="right"/>
              <w:rPr>
                <w:rFonts w:ascii="Arial Narrow" w:hAnsi="Arial Narrow" w:cs="Times New Roman"/>
              </w:rPr>
            </w:pPr>
            <w:r>
              <w:rPr>
                <w:rFonts w:ascii="Arial Narrow" w:hAnsi="Arial Narrow" w:cs="Times New Roman"/>
              </w:rPr>
              <w:t>0,00</w:t>
            </w:r>
          </w:p>
        </w:tc>
        <w:tc>
          <w:tcPr>
            <w:tcW w:w="1357"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5F1560" w:rsidRPr="007833EA" w:rsidP="00E35A67">
            <w:pPr>
              <w:spacing w:line="240" w:lineRule="auto"/>
              <w:jc w:val="right"/>
              <w:rPr>
                <w:rFonts w:ascii="Arial Narrow" w:hAnsi="Arial Narrow" w:cs="Times New Roman"/>
              </w:rPr>
            </w:pPr>
            <w:r>
              <w:rPr>
                <w:rFonts w:ascii="Arial Narrow" w:hAnsi="Arial Narrow" w:cs="Times New Roman"/>
              </w:rPr>
              <w:t>19 326 866,26</w:t>
            </w:r>
          </w:p>
        </w:tc>
        <w:tc>
          <w:tcPr>
            <w:tcW w:w="1416"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5F1560" w:rsidRPr="007833EA" w:rsidP="00E35A67">
            <w:pPr>
              <w:spacing w:line="240" w:lineRule="auto"/>
              <w:jc w:val="right"/>
              <w:rPr>
                <w:rFonts w:ascii="Arial Narrow" w:hAnsi="Arial Narrow" w:cs="Times New Roman"/>
              </w:rPr>
            </w:pPr>
            <w:r w:rsidRPr="007833EA">
              <w:rPr>
                <w:rFonts w:ascii="Arial Narrow" w:hAnsi="Arial Narrow" w:cs="Times New Roman"/>
              </w:rPr>
              <w:t>0,00</w:t>
            </w:r>
          </w:p>
        </w:tc>
      </w:tr>
      <w:tr>
        <w:tblPrEx>
          <w:tblW w:w="10689" w:type="dxa"/>
          <w:tblInd w:w="-432" w:type="dxa"/>
        </w:tblPrEx>
        <w:trPr>
          <w:trHeight w:hRule="auto" w:val="0"/>
        </w:trPr>
        <w:tc>
          <w:tcPr>
            <w:tcW w:w="28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1B1472" w:rsidP="00E35A67">
            <w:pPr>
              <w:spacing w:line="240" w:lineRule="auto"/>
              <w:rPr>
                <w:rFonts w:ascii="Arial Narrow" w:hAnsi="Arial Narrow" w:cs="Times New Roman"/>
                <w:b/>
              </w:rPr>
            </w:pPr>
            <w:r>
              <w:rPr>
                <w:rFonts w:ascii="Arial Narrow" w:hAnsi="Arial Narrow" w:cs="Times New Roman"/>
                <w:b/>
              </w:rPr>
              <w:t xml:space="preserve">Ozn. </w:t>
            </w:r>
            <w:r w:rsidR="0037407C">
              <w:rPr>
                <w:rFonts w:ascii="Arial Narrow" w:hAnsi="Arial Narrow" w:cs="Times New Roman"/>
                <w:b/>
              </w:rPr>
              <w:t xml:space="preserve">o použití kap. výdavkov </w:t>
            </w:r>
            <w:r w:rsidRPr="007833EA" w:rsidR="0037407C">
              <w:rPr>
                <w:rFonts w:ascii="Arial Narrow" w:hAnsi="Arial Narrow" w:cs="Times New Roman"/>
                <w:b/>
              </w:rPr>
              <w:t>v</w:t>
            </w:r>
          </w:p>
          <w:p w:rsidR="001B1472" w:rsidP="00E35A67">
            <w:pPr>
              <w:spacing w:line="240" w:lineRule="auto"/>
              <w:rPr>
                <w:rFonts w:ascii="Arial Narrow" w:hAnsi="Arial Narrow" w:cs="Times New Roman"/>
                <w:b/>
              </w:rPr>
            </w:pPr>
            <w:r w:rsidRPr="007833EA" w:rsidR="0037407C">
              <w:rPr>
                <w:rFonts w:ascii="Arial Narrow" w:hAnsi="Arial Narrow" w:cs="Times New Roman"/>
                <w:b/>
              </w:rPr>
              <w:t xml:space="preserve">nasledujúcom roku </w:t>
            </w:r>
            <w:r w:rsidRPr="0037407C" w:rsidR="0037407C">
              <w:rPr>
                <w:rFonts w:ascii="Arial Narrow" w:hAnsi="Arial Narrow" w:cs="Times New Roman"/>
                <w:b/>
              </w:rPr>
              <w:t xml:space="preserve">– </w:t>
            </w:r>
            <w:r w:rsidRPr="0037407C" w:rsidR="005F1560">
              <w:rPr>
                <w:rFonts w:ascii="Arial Narrow" w:hAnsi="Arial Narrow" w:cs="Times New Roman"/>
                <w:b/>
              </w:rPr>
              <w:t>účelových</w:t>
            </w:r>
          </w:p>
          <w:p w:rsidR="005F1560" w:rsidRPr="0037407C" w:rsidP="00E35A67">
            <w:pPr>
              <w:spacing w:line="240" w:lineRule="auto"/>
              <w:rPr>
                <w:rFonts w:ascii="Arial Narrow" w:hAnsi="Arial Narrow" w:cs="Times New Roman"/>
                <w:b/>
              </w:rPr>
            </w:pPr>
            <w:r w:rsidRPr="0037407C">
              <w:rPr>
                <w:rFonts w:ascii="Arial Narrow" w:hAnsi="Arial Narrow" w:cs="Times New Roman"/>
                <w:b/>
              </w:rPr>
              <w:t xml:space="preserve">prostriedkov </w:t>
            </w:r>
          </w:p>
          <w:p w:rsidR="005F1560" w:rsidRPr="007833EA" w:rsidP="00E35A67">
            <w:pPr>
              <w:spacing w:line="240" w:lineRule="auto"/>
              <w:rPr>
                <w:rFonts w:ascii="Arial Narrow" w:hAnsi="Arial Narrow" w:cs="Times New Roman"/>
                <w:b/>
              </w:rPr>
            </w:pPr>
            <w:r w:rsidR="0037407C">
              <w:rPr>
                <w:rFonts w:ascii="Arial Narrow" w:hAnsi="Arial Narrow" w:cs="Times New Roman"/>
                <w:b/>
              </w:rPr>
              <w:t>05303 Výst. diaľnic a RC NDS</w:t>
            </w:r>
          </w:p>
        </w:tc>
        <w:tc>
          <w:tcPr>
            <w:tcW w:w="213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F1560" w:rsidRPr="007833EA" w:rsidP="00E35A67">
            <w:pPr>
              <w:spacing w:line="240" w:lineRule="auto"/>
              <w:jc w:val="right"/>
              <w:rPr>
                <w:rFonts w:ascii="Arial Narrow" w:hAnsi="Arial Narrow" w:cs="Times New Roman"/>
                <w:b/>
              </w:rPr>
            </w:pPr>
          </w:p>
          <w:p w:rsidR="005F1560" w:rsidRPr="007833EA" w:rsidP="00E35A67">
            <w:pPr>
              <w:spacing w:line="240" w:lineRule="auto"/>
              <w:jc w:val="right"/>
              <w:rPr>
                <w:rFonts w:ascii="Arial Narrow" w:hAnsi="Arial Narrow" w:cs="Times New Roman"/>
                <w:b/>
              </w:rPr>
            </w:pPr>
            <w:r>
              <w:rPr>
                <w:rFonts w:ascii="Arial Narrow" w:hAnsi="Arial Narrow" w:cs="Times New Roman"/>
                <w:b/>
              </w:rPr>
              <w:t>974 481 078,41</w:t>
            </w:r>
          </w:p>
        </w:tc>
        <w:tc>
          <w:tcPr>
            <w:tcW w:w="136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F1560" w:rsidRPr="007833EA" w:rsidP="00E35A67">
            <w:pPr>
              <w:spacing w:line="240" w:lineRule="auto"/>
              <w:jc w:val="right"/>
              <w:rPr>
                <w:rFonts w:ascii="Arial Narrow" w:hAnsi="Arial Narrow" w:cs="Times New Roman"/>
                <w:b/>
              </w:rPr>
            </w:pPr>
          </w:p>
          <w:p w:rsidR="005F1560" w:rsidRPr="007833EA" w:rsidP="00E35A67">
            <w:pPr>
              <w:spacing w:line="240" w:lineRule="auto"/>
              <w:jc w:val="right"/>
              <w:rPr>
                <w:rFonts w:ascii="Arial Narrow" w:hAnsi="Arial Narrow" w:cs="Times New Roman"/>
                <w:b/>
              </w:rPr>
            </w:pPr>
            <w:r w:rsidRPr="007833EA">
              <w:rPr>
                <w:rFonts w:ascii="Arial Narrow" w:hAnsi="Arial Narrow" w:cs="Times New Roman"/>
                <w:b/>
              </w:rPr>
              <w:t>0,00</w:t>
            </w:r>
          </w:p>
        </w:tc>
        <w:tc>
          <w:tcPr>
            <w:tcW w:w="153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F1560" w:rsidRPr="007833EA" w:rsidP="00E35A67">
            <w:pPr>
              <w:spacing w:line="240" w:lineRule="auto"/>
              <w:jc w:val="right"/>
              <w:rPr>
                <w:rFonts w:ascii="Arial Narrow" w:hAnsi="Arial Narrow" w:cs="Times New Roman"/>
                <w:b/>
              </w:rPr>
            </w:pPr>
          </w:p>
          <w:p w:rsidR="005F1560" w:rsidRPr="007833EA" w:rsidP="00E35A67">
            <w:pPr>
              <w:spacing w:line="240" w:lineRule="auto"/>
              <w:jc w:val="right"/>
              <w:rPr>
                <w:rFonts w:ascii="Arial Narrow" w:hAnsi="Arial Narrow" w:cs="Times New Roman"/>
                <w:b/>
              </w:rPr>
            </w:pPr>
            <w:r w:rsidRPr="007833EA">
              <w:rPr>
                <w:rFonts w:ascii="Arial Narrow" w:hAnsi="Arial Narrow" w:cs="Times New Roman"/>
                <w:b/>
              </w:rPr>
              <w:t>0,00</w:t>
            </w:r>
          </w:p>
        </w:tc>
        <w:tc>
          <w:tcPr>
            <w:tcW w:w="135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F1560" w:rsidP="00E35A67">
            <w:pPr>
              <w:spacing w:line="240" w:lineRule="auto"/>
              <w:jc w:val="right"/>
              <w:rPr>
                <w:rFonts w:ascii="Arial Narrow" w:hAnsi="Arial Narrow" w:cs="Times New Roman"/>
                <w:b/>
              </w:rPr>
            </w:pPr>
          </w:p>
          <w:p w:rsidR="005F1560" w:rsidRPr="007833EA" w:rsidP="00E35A67">
            <w:pPr>
              <w:spacing w:line="240" w:lineRule="auto"/>
              <w:jc w:val="right"/>
              <w:rPr>
                <w:rFonts w:ascii="Arial Narrow" w:hAnsi="Arial Narrow" w:cs="Times New Roman"/>
                <w:b/>
              </w:rPr>
            </w:pPr>
            <w:r>
              <w:rPr>
                <w:rFonts w:ascii="Arial Narrow" w:hAnsi="Arial Narrow" w:cs="Times New Roman"/>
                <w:b/>
              </w:rPr>
              <w:t>57 000 000,00</w:t>
            </w:r>
          </w:p>
        </w:tc>
        <w:tc>
          <w:tcPr>
            <w:tcW w:w="141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F1560" w:rsidP="00E35A67">
            <w:pPr>
              <w:spacing w:line="240" w:lineRule="auto"/>
              <w:jc w:val="right"/>
              <w:rPr>
                <w:rFonts w:ascii="Arial Narrow" w:hAnsi="Arial Narrow" w:cs="Times New Roman"/>
                <w:b/>
              </w:rPr>
            </w:pPr>
          </w:p>
          <w:p w:rsidR="005F1560" w:rsidRPr="007833EA" w:rsidP="00E35A67">
            <w:pPr>
              <w:spacing w:line="240" w:lineRule="auto"/>
              <w:jc w:val="right"/>
              <w:rPr>
                <w:rFonts w:ascii="Arial Narrow" w:hAnsi="Arial Narrow" w:cs="Times New Roman"/>
                <w:b/>
              </w:rPr>
            </w:pPr>
            <w:r>
              <w:rPr>
                <w:rFonts w:ascii="Arial Narrow" w:hAnsi="Arial Narrow" w:cs="Times New Roman"/>
                <w:b/>
              </w:rPr>
              <w:t>917 481 078,41</w:t>
            </w:r>
          </w:p>
        </w:tc>
      </w:tr>
    </w:tbl>
    <w:p w:rsidR="006B625C" w:rsidP="006B625C">
      <w:pPr>
        <w:spacing w:line="240" w:lineRule="auto"/>
        <w:ind w:firstLine="709"/>
        <w:rPr>
          <w:rFonts w:ascii="Times New Roman" w:hAnsi="Times New Roman" w:cs="Times New Roman"/>
          <w:sz w:val="24"/>
          <w:szCs w:val="24"/>
        </w:rPr>
      </w:pPr>
      <w:r w:rsidRPr="006B625C">
        <w:rPr>
          <w:rFonts w:ascii="Times New Roman" w:hAnsi="Times New Roman" w:cs="Times New Roman"/>
          <w:sz w:val="24"/>
          <w:szCs w:val="24"/>
        </w:rPr>
        <w:t xml:space="preserve">Viazanie </w:t>
      </w:r>
      <w:r>
        <w:rPr>
          <w:rFonts w:ascii="Times New Roman" w:hAnsi="Times New Roman" w:cs="Times New Roman"/>
          <w:sz w:val="24"/>
          <w:szCs w:val="24"/>
        </w:rPr>
        <w:t xml:space="preserve">vyššie uvedených </w:t>
      </w:r>
      <w:r w:rsidRPr="006B625C">
        <w:rPr>
          <w:rFonts w:ascii="Times New Roman" w:hAnsi="Times New Roman" w:cs="Times New Roman"/>
          <w:sz w:val="24"/>
          <w:szCs w:val="24"/>
        </w:rPr>
        <w:t>fina</w:t>
      </w:r>
      <w:r>
        <w:rPr>
          <w:rFonts w:ascii="Times New Roman" w:hAnsi="Times New Roman" w:cs="Times New Roman"/>
          <w:sz w:val="24"/>
          <w:szCs w:val="24"/>
        </w:rPr>
        <w:t xml:space="preserve">nčných prostriedkov v roku 2007 </w:t>
      </w:r>
      <w:r w:rsidRPr="006B625C">
        <w:rPr>
          <w:rFonts w:ascii="Times New Roman" w:hAnsi="Times New Roman" w:cs="Times New Roman"/>
          <w:sz w:val="24"/>
          <w:szCs w:val="24"/>
        </w:rPr>
        <w:t xml:space="preserve">bolo </w:t>
      </w:r>
      <w:r>
        <w:rPr>
          <w:rFonts w:ascii="Times New Roman" w:hAnsi="Times New Roman" w:cs="Times New Roman"/>
          <w:sz w:val="24"/>
          <w:szCs w:val="24"/>
        </w:rPr>
        <w:t xml:space="preserve">vykonané hlavne z nasledovných dôvodov: </w:t>
      </w:r>
    </w:p>
    <w:p w:rsidR="006B625C" w:rsidP="006B625C">
      <w:pPr>
        <w:numPr>
          <w:ilvl w:val="0"/>
          <w:numId w:val="2"/>
        </w:numPr>
        <w:tabs>
          <w:tab w:val="left" w:pos="720"/>
        </w:tabs>
        <w:spacing w:line="240" w:lineRule="auto"/>
        <w:rPr>
          <w:rFonts w:ascii="Times New Roman" w:hAnsi="Times New Roman" w:cs="Times New Roman"/>
          <w:sz w:val="24"/>
          <w:szCs w:val="24"/>
        </w:rPr>
      </w:pPr>
      <w:r>
        <w:rPr>
          <w:rFonts w:ascii="Times New Roman" w:hAnsi="Times New Roman" w:cs="Times New Roman"/>
          <w:sz w:val="24"/>
          <w:szCs w:val="24"/>
        </w:rPr>
        <w:t>zložité majetkovoprávne vzťahy sú</w:t>
      </w:r>
      <w:r>
        <w:rPr>
          <w:rFonts w:ascii="Times New Roman" w:hAnsi="Times New Roman" w:cs="Times New Roman"/>
          <w:sz w:val="24"/>
          <w:szCs w:val="24"/>
        </w:rPr>
        <w:t xml:space="preserve">visiace </w:t>
      </w:r>
      <w:r w:rsidRPr="006B625C">
        <w:rPr>
          <w:rFonts w:ascii="Times New Roman" w:hAnsi="Times New Roman" w:cs="Times New Roman"/>
          <w:sz w:val="24"/>
          <w:szCs w:val="24"/>
        </w:rPr>
        <w:t>so zisťovaním vlastníkov pozemkov</w:t>
      </w:r>
      <w:r>
        <w:rPr>
          <w:rFonts w:ascii="Times New Roman" w:hAnsi="Times New Roman" w:cs="Times New Roman"/>
          <w:sz w:val="24"/>
          <w:szCs w:val="24"/>
        </w:rPr>
        <w:t>;</w:t>
      </w:r>
    </w:p>
    <w:p w:rsidR="006B625C" w:rsidP="006B625C">
      <w:pPr>
        <w:numPr>
          <w:ilvl w:val="0"/>
          <w:numId w:val="2"/>
        </w:numPr>
        <w:tabs>
          <w:tab w:val="left" w:pos="720"/>
        </w:tabs>
        <w:spacing w:line="240" w:lineRule="auto"/>
        <w:rPr>
          <w:rFonts w:ascii="Times New Roman" w:hAnsi="Times New Roman" w:cs="Times New Roman"/>
          <w:sz w:val="24"/>
          <w:szCs w:val="24"/>
        </w:rPr>
      </w:pPr>
      <w:r w:rsidRPr="006B625C">
        <w:rPr>
          <w:rFonts w:ascii="Times New Roman" w:hAnsi="Times New Roman" w:cs="Times New Roman"/>
          <w:sz w:val="24"/>
          <w:szCs w:val="24"/>
        </w:rPr>
        <w:t xml:space="preserve">Slovenský pozemkový fond </w:t>
      </w:r>
      <w:r>
        <w:rPr>
          <w:rFonts w:ascii="Times New Roman" w:hAnsi="Times New Roman" w:cs="Times New Roman"/>
          <w:sz w:val="24"/>
          <w:szCs w:val="24"/>
        </w:rPr>
        <w:t xml:space="preserve">v roku 2007 neuskutočňoval </w:t>
      </w:r>
      <w:r w:rsidRPr="006B625C">
        <w:rPr>
          <w:rFonts w:ascii="Times New Roman" w:hAnsi="Times New Roman" w:cs="Times New Roman"/>
          <w:sz w:val="24"/>
          <w:szCs w:val="24"/>
        </w:rPr>
        <w:t>prevody pozemkov</w:t>
      </w:r>
      <w:r>
        <w:rPr>
          <w:rFonts w:ascii="Times New Roman" w:hAnsi="Times New Roman" w:cs="Times New Roman"/>
          <w:sz w:val="24"/>
          <w:szCs w:val="24"/>
        </w:rPr>
        <w:t>;</w:t>
      </w:r>
    </w:p>
    <w:p w:rsidR="006B625C" w:rsidP="006B625C">
      <w:pPr>
        <w:numPr>
          <w:ilvl w:val="0"/>
          <w:numId w:val="2"/>
        </w:numPr>
        <w:tabs>
          <w:tab w:val="left" w:pos="720"/>
        </w:tabs>
        <w:spacing w:line="240" w:lineRule="auto"/>
        <w:rPr>
          <w:rFonts w:ascii="Times New Roman" w:hAnsi="Times New Roman" w:cs="Times New Roman"/>
          <w:sz w:val="24"/>
          <w:szCs w:val="24"/>
        </w:rPr>
      </w:pPr>
      <w:r w:rsidRPr="006B625C">
        <w:rPr>
          <w:rFonts w:ascii="Times New Roman" w:hAnsi="Times New Roman" w:cs="Times New Roman"/>
          <w:sz w:val="24"/>
          <w:szCs w:val="24"/>
        </w:rPr>
        <w:t>kúpne zmluvy na výkup nehnuteľností nebol</w:t>
      </w:r>
      <w:r>
        <w:rPr>
          <w:rFonts w:ascii="Times New Roman" w:hAnsi="Times New Roman" w:cs="Times New Roman"/>
          <w:sz w:val="24"/>
          <w:szCs w:val="24"/>
        </w:rPr>
        <w:t>i podpísané vlastníkmi</w:t>
      </w:r>
      <w:r w:rsidR="00265E04">
        <w:rPr>
          <w:rFonts w:ascii="Times New Roman" w:hAnsi="Times New Roman" w:cs="Times New Roman"/>
          <w:sz w:val="24"/>
          <w:szCs w:val="24"/>
        </w:rPr>
        <w:t>;</w:t>
      </w:r>
    </w:p>
    <w:p w:rsidR="006B625C" w:rsidP="006B625C">
      <w:pPr>
        <w:numPr>
          <w:ilvl w:val="0"/>
          <w:numId w:val="2"/>
        </w:numPr>
        <w:tabs>
          <w:tab w:val="left" w:pos="720"/>
        </w:tabs>
        <w:spacing w:line="240" w:lineRule="auto"/>
        <w:rPr>
          <w:rFonts w:ascii="Times New Roman" w:hAnsi="Times New Roman" w:cs="Times New Roman"/>
          <w:sz w:val="24"/>
          <w:szCs w:val="24"/>
        </w:rPr>
      </w:pPr>
      <w:r w:rsidRPr="006B625C">
        <w:rPr>
          <w:rFonts w:ascii="Times New Roman" w:hAnsi="Times New Roman" w:cs="Times New Roman"/>
          <w:sz w:val="24"/>
          <w:szCs w:val="24"/>
        </w:rPr>
        <w:t>prebiehajúce dedičské konania</w:t>
      </w:r>
      <w:r w:rsidR="00265E04">
        <w:rPr>
          <w:rFonts w:ascii="Times New Roman" w:hAnsi="Times New Roman" w:cs="Times New Roman"/>
          <w:sz w:val="24"/>
          <w:szCs w:val="24"/>
        </w:rPr>
        <w:t>;</w:t>
      </w:r>
    </w:p>
    <w:p w:rsidR="006B625C" w:rsidP="006B625C">
      <w:pPr>
        <w:numPr>
          <w:ilvl w:val="0"/>
          <w:numId w:val="2"/>
        </w:numPr>
        <w:tabs>
          <w:tab w:val="left" w:pos="720"/>
        </w:tabs>
        <w:spacing w:line="240" w:lineRule="auto"/>
        <w:rPr>
          <w:rFonts w:ascii="Times New Roman" w:hAnsi="Times New Roman" w:cs="Times New Roman"/>
          <w:sz w:val="24"/>
          <w:szCs w:val="24"/>
        </w:rPr>
      </w:pPr>
      <w:r w:rsidR="00265E04">
        <w:rPr>
          <w:rFonts w:ascii="Times New Roman" w:hAnsi="Times New Roman" w:cs="Times New Roman"/>
          <w:sz w:val="24"/>
          <w:szCs w:val="24"/>
        </w:rPr>
        <w:t xml:space="preserve">procesné </w:t>
      </w:r>
      <w:r w:rsidRPr="006B625C">
        <w:rPr>
          <w:rFonts w:ascii="Times New Roman" w:hAnsi="Times New Roman" w:cs="Times New Roman"/>
          <w:sz w:val="24"/>
          <w:szCs w:val="24"/>
        </w:rPr>
        <w:t>prob</w:t>
      </w:r>
      <w:r w:rsidR="00265E04">
        <w:rPr>
          <w:rFonts w:ascii="Times New Roman" w:hAnsi="Times New Roman" w:cs="Times New Roman"/>
          <w:sz w:val="24"/>
          <w:szCs w:val="24"/>
        </w:rPr>
        <w:t>lémy</w:t>
      </w:r>
      <w:r>
        <w:rPr>
          <w:rFonts w:ascii="Times New Roman" w:hAnsi="Times New Roman" w:cs="Times New Roman"/>
          <w:sz w:val="24"/>
          <w:szCs w:val="24"/>
        </w:rPr>
        <w:t xml:space="preserve"> pri verejnom obstarávaní</w:t>
      </w:r>
      <w:r w:rsidR="00265E04">
        <w:rPr>
          <w:rFonts w:ascii="Times New Roman" w:hAnsi="Times New Roman" w:cs="Times New Roman"/>
          <w:sz w:val="24"/>
          <w:szCs w:val="24"/>
        </w:rPr>
        <w:t>;</w:t>
      </w:r>
    </w:p>
    <w:p w:rsidR="006B625C" w:rsidP="006B625C">
      <w:pPr>
        <w:numPr>
          <w:ilvl w:val="0"/>
          <w:numId w:val="2"/>
        </w:numPr>
        <w:tabs>
          <w:tab w:val="left" w:pos="720"/>
        </w:tabs>
        <w:spacing w:line="240" w:lineRule="auto"/>
        <w:rPr>
          <w:rFonts w:ascii="Times New Roman" w:hAnsi="Times New Roman" w:cs="Times New Roman"/>
          <w:sz w:val="24"/>
          <w:szCs w:val="24"/>
        </w:rPr>
      </w:pPr>
      <w:r w:rsidRPr="006B625C">
        <w:rPr>
          <w:rFonts w:ascii="Times New Roman" w:hAnsi="Times New Roman" w:cs="Times New Roman"/>
          <w:sz w:val="24"/>
          <w:szCs w:val="24"/>
        </w:rPr>
        <w:t>prekročenia zmluvnej ceny diela a nepodpísanie dodatkov týkajúcich sa zvýšenia zmluvnej ceny</w:t>
      </w:r>
      <w:r w:rsidR="00265E04">
        <w:rPr>
          <w:rFonts w:ascii="Times New Roman" w:hAnsi="Times New Roman" w:cs="Times New Roman"/>
          <w:sz w:val="24"/>
          <w:szCs w:val="24"/>
        </w:rPr>
        <w:t>;</w:t>
      </w:r>
    </w:p>
    <w:p w:rsidR="006B625C" w:rsidP="006B625C">
      <w:pPr>
        <w:numPr>
          <w:ilvl w:val="0"/>
          <w:numId w:val="2"/>
        </w:numPr>
        <w:tabs>
          <w:tab w:val="left" w:pos="720"/>
        </w:tabs>
        <w:spacing w:line="240" w:lineRule="auto"/>
        <w:rPr>
          <w:rFonts w:ascii="Times New Roman" w:hAnsi="Times New Roman" w:cs="Times New Roman"/>
          <w:sz w:val="24"/>
          <w:szCs w:val="24"/>
        </w:rPr>
      </w:pPr>
      <w:r w:rsidRPr="006B625C">
        <w:rPr>
          <w:rFonts w:ascii="Times New Roman" w:hAnsi="Times New Roman" w:cs="Times New Roman"/>
          <w:sz w:val="24"/>
          <w:szCs w:val="24"/>
        </w:rPr>
        <w:t>oneskorenie začatia stavebných prác a s tým súvisiaci posun če</w:t>
      </w:r>
      <w:r>
        <w:rPr>
          <w:rFonts w:ascii="Times New Roman" w:hAnsi="Times New Roman" w:cs="Times New Roman"/>
          <w:sz w:val="24"/>
          <w:szCs w:val="24"/>
        </w:rPr>
        <w:t>rpania finančných prostriedkov</w:t>
      </w:r>
      <w:r w:rsidR="00265E04">
        <w:rPr>
          <w:rFonts w:ascii="Times New Roman" w:hAnsi="Times New Roman" w:cs="Times New Roman"/>
          <w:sz w:val="24"/>
          <w:szCs w:val="24"/>
        </w:rPr>
        <w:t>;</w:t>
      </w:r>
    </w:p>
    <w:p w:rsidR="006B625C" w:rsidP="006B625C">
      <w:pPr>
        <w:numPr>
          <w:ilvl w:val="0"/>
          <w:numId w:val="2"/>
        </w:numPr>
        <w:tabs>
          <w:tab w:val="left" w:pos="720"/>
        </w:tabs>
        <w:spacing w:line="240" w:lineRule="auto"/>
        <w:rPr>
          <w:rFonts w:ascii="Times New Roman" w:hAnsi="Times New Roman" w:cs="Times New Roman"/>
          <w:sz w:val="24"/>
          <w:szCs w:val="24"/>
        </w:rPr>
      </w:pPr>
      <w:r w:rsidRPr="006B625C">
        <w:rPr>
          <w:rFonts w:ascii="Times New Roman" w:hAnsi="Times New Roman" w:cs="Times New Roman"/>
          <w:sz w:val="24"/>
          <w:szCs w:val="24"/>
        </w:rPr>
        <w:t>nevydanie práv</w:t>
      </w:r>
      <w:r w:rsidR="00265E04">
        <w:rPr>
          <w:rFonts w:ascii="Times New Roman" w:hAnsi="Times New Roman" w:cs="Times New Roman"/>
          <w:sz w:val="24"/>
          <w:szCs w:val="24"/>
        </w:rPr>
        <w:t>oplatného stavebného povolenia;</w:t>
      </w:r>
    </w:p>
    <w:p w:rsidR="006B625C" w:rsidP="006B625C">
      <w:pPr>
        <w:numPr>
          <w:ilvl w:val="0"/>
          <w:numId w:val="2"/>
        </w:numPr>
        <w:tabs>
          <w:tab w:val="left" w:pos="720"/>
        </w:tabs>
        <w:spacing w:line="240" w:lineRule="auto"/>
        <w:rPr>
          <w:rFonts w:ascii="Times New Roman" w:hAnsi="Times New Roman" w:cs="Times New Roman"/>
          <w:sz w:val="24"/>
          <w:szCs w:val="24"/>
        </w:rPr>
      </w:pPr>
      <w:r w:rsidRPr="006B625C">
        <w:rPr>
          <w:rFonts w:ascii="Times New Roman" w:hAnsi="Times New Roman" w:cs="Times New Roman"/>
          <w:sz w:val="24"/>
          <w:szCs w:val="24"/>
        </w:rPr>
        <w:t>zdĺhavé obstarávanie zhotoviteľa projektovej dokumentácie zapríčinené neprimerane vysokou cenovou ponukou, nadväzne zrušením súťaže a opakovaným obstarávaním</w:t>
      </w:r>
      <w:r w:rsidR="00265E04">
        <w:rPr>
          <w:rFonts w:ascii="Times New Roman" w:hAnsi="Times New Roman" w:cs="Times New Roman"/>
          <w:sz w:val="24"/>
          <w:szCs w:val="24"/>
        </w:rPr>
        <w:t>;</w:t>
      </w:r>
    </w:p>
    <w:p w:rsidR="006B625C" w:rsidP="006B625C">
      <w:pPr>
        <w:numPr>
          <w:ilvl w:val="0"/>
          <w:numId w:val="2"/>
        </w:numPr>
        <w:tabs>
          <w:tab w:val="left" w:pos="720"/>
        </w:tabs>
        <w:spacing w:line="240" w:lineRule="auto"/>
        <w:rPr>
          <w:rFonts w:ascii="Times New Roman" w:hAnsi="Times New Roman" w:cs="Times New Roman"/>
          <w:sz w:val="24"/>
          <w:szCs w:val="24"/>
        </w:rPr>
      </w:pPr>
      <w:r w:rsidRPr="006B625C">
        <w:rPr>
          <w:rFonts w:ascii="Times New Roman" w:hAnsi="Times New Roman" w:cs="Times New Roman"/>
          <w:sz w:val="24"/>
          <w:szCs w:val="24"/>
        </w:rPr>
        <w:t>nedodržanie podmienok zmluvy, z dôvodu lehôt konania na katastri a bežných zmluvných podmienok (úhrada kúpnej ceny do 60 d</w:t>
      </w:r>
      <w:r w:rsidRPr="006B625C">
        <w:rPr>
          <w:rFonts w:ascii="Times New Roman" w:hAnsi="Times New Roman" w:cs="Times New Roman"/>
          <w:sz w:val="24"/>
          <w:szCs w:val="24"/>
        </w:rPr>
        <w:t>ní od povolenia vkl</w:t>
      </w:r>
      <w:r>
        <w:rPr>
          <w:rFonts w:ascii="Times New Roman" w:hAnsi="Times New Roman" w:cs="Times New Roman"/>
          <w:sz w:val="24"/>
          <w:szCs w:val="24"/>
        </w:rPr>
        <w:t>adu na katastri nehnuteľností)</w:t>
      </w:r>
      <w:r w:rsidRPr="00265E04" w:rsidR="00265E04">
        <w:rPr>
          <w:rFonts w:ascii="Times New Roman" w:hAnsi="Times New Roman" w:cs="Times New Roman"/>
          <w:sz w:val="24"/>
          <w:szCs w:val="24"/>
        </w:rPr>
        <w:t xml:space="preserve"> </w:t>
      </w:r>
      <w:r w:rsidR="00265E04">
        <w:rPr>
          <w:rFonts w:ascii="Times New Roman" w:hAnsi="Times New Roman" w:cs="Times New Roman"/>
          <w:sz w:val="24"/>
          <w:szCs w:val="24"/>
        </w:rPr>
        <w:t>;</w:t>
      </w:r>
    </w:p>
    <w:p w:rsidR="006B625C" w:rsidRPr="006B625C" w:rsidP="006B625C">
      <w:pPr>
        <w:numPr>
          <w:ilvl w:val="0"/>
          <w:numId w:val="2"/>
        </w:numPr>
        <w:tabs>
          <w:tab w:val="left" w:pos="720"/>
        </w:tabs>
        <w:spacing w:line="240" w:lineRule="auto"/>
        <w:rPr>
          <w:rFonts w:ascii="Times New Roman" w:hAnsi="Times New Roman" w:cs="Times New Roman"/>
          <w:sz w:val="24"/>
          <w:szCs w:val="24"/>
        </w:rPr>
      </w:pPr>
      <w:r w:rsidRPr="006B625C">
        <w:rPr>
          <w:rFonts w:ascii="Times New Roman" w:hAnsi="Times New Roman" w:cs="Times New Roman"/>
          <w:sz w:val="24"/>
          <w:szCs w:val="24"/>
        </w:rPr>
        <w:t>zmeny v projektovej dokumentácii, ktoré vyvolávajú potrebu spracovania nových podkladov pre majetkovoprávne vysporiadanie nehnuteľností</w:t>
      </w:r>
      <w:r>
        <w:rPr>
          <w:rFonts w:ascii="Times New Roman" w:hAnsi="Times New Roman" w:cs="Times New Roman"/>
          <w:sz w:val="24"/>
          <w:szCs w:val="24"/>
        </w:rPr>
        <w:t xml:space="preserve"> </w:t>
      </w:r>
      <w:r w:rsidRPr="006B625C">
        <w:rPr>
          <w:rFonts w:ascii="Times New Roman" w:hAnsi="Times New Roman" w:cs="Times New Roman"/>
          <w:sz w:val="24"/>
          <w:szCs w:val="24"/>
        </w:rPr>
        <w:t>a pod.</w:t>
      </w:r>
    </w:p>
    <w:p w:rsidR="006B625C" w:rsidP="00C362EA">
      <w:pPr>
        <w:pStyle w:val="BodyText2"/>
        <w:spacing w:line="240" w:lineRule="auto"/>
        <w:rPr>
          <w:rFonts w:ascii="Times New Roman" w:hAnsi="Times New Roman" w:cs="Times New Roman"/>
          <w:b/>
          <w:sz w:val="24"/>
          <w:szCs w:val="24"/>
          <w:u w:val="single"/>
        </w:rPr>
      </w:pPr>
    </w:p>
    <w:p w:rsidR="00D27E26" w:rsidP="00C362EA">
      <w:pPr>
        <w:pStyle w:val="BodyText2"/>
        <w:spacing w:line="240" w:lineRule="auto"/>
        <w:rPr>
          <w:rFonts w:ascii="Times New Roman" w:hAnsi="Times New Roman" w:cs="Times New Roman"/>
          <w:b/>
          <w:sz w:val="24"/>
          <w:szCs w:val="24"/>
          <w:u w:val="single"/>
        </w:rPr>
      </w:pPr>
      <w:r w:rsidRPr="00D23807">
        <w:rPr>
          <w:rFonts w:ascii="Times New Roman" w:hAnsi="Times New Roman" w:cs="Times New Roman"/>
          <w:b/>
          <w:sz w:val="24"/>
          <w:szCs w:val="24"/>
          <w:u w:val="single"/>
        </w:rPr>
        <w:t>Rozpočtové opatrenie č. 30</w:t>
      </w:r>
    </w:p>
    <w:p w:rsidR="00883943" w:rsidP="00C362EA">
      <w:pPr>
        <w:pStyle w:val="BodyText2"/>
        <w:spacing w:line="240" w:lineRule="auto"/>
        <w:rPr>
          <w:rFonts w:ascii="Times New Roman" w:hAnsi="Times New Roman" w:cs="Times New Roman"/>
          <w:b/>
          <w:sz w:val="24"/>
          <w:szCs w:val="24"/>
          <w:u w:val="single"/>
        </w:rPr>
      </w:pPr>
    </w:p>
    <w:p w:rsidR="00883943" w:rsidP="00883943">
      <w:pPr>
        <w:pStyle w:val="BodyText2"/>
        <w:spacing w:line="240" w:lineRule="auto"/>
        <w:ind w:firstLine="709"/>
        <w:rPr>
          <w:rFonts w:ascii="Times New Roman" w:hAnsi="Times New Roman" w:cs="Times New Roman"/>
          <w:sz w:val="24"/>
          <w:szCs w:val="24"/>
        </w:rPr>
      </w:pPr>
      <w:r>
        <w:rPr>
          <w:rFonts w:ascii="Times New Roman" w:hAnsi="Times New Roman" w:cs="Times New Roman"/>
          <w:sz w:val="24"/>
          <w:szCs w:val="24"/>
        </w:rPr>
        <w:t>N</w:t>
      </w:r>
      <w:r w:rsidRPr="00D619D4">
        <w:rPr>
          <w:rFonts w:ascii="Times New Roman" w:hAnsi="Times New Roman" w:cs="Times New Roman"/>
          <w:sz w:val="24"/>
          <w:szCs w:val="24"/>
        </w:rPr>
        <w:t xml:space="preserve">avýšenie </w:t>
      </w:r>
      <w:r>
        <w:rPr>
          <w:rFonts w:ascii="Times New Roman" w:hAnsi="Times New Roman" w:cs="Times New Roman"/>
          <w:sz w:val="24"/>
          <w:szCs w:val="24"/>
        </w:rPr>
        <w:t>bežných výdavkov v kat</w:t>
      </w:r>
      <w:r>
        <w:rPr>
          <w:rFonts w:ascii="Times New Roman" w:hAnsi="Times New Roman" w:cs="Times New Roman"/>
          <w:sz w:val="24"/>
          <w:szCs w:val="24"/>
        </w:rPr>
        <w:t>egórii 630 – Tovary a s</w:t>
      </w:r>
      <w:r w:rsidR="000F0CC2">
        <w:rPr>
          <w:rFonts w:ascii="Times New Roman" w:hAnsi="Times New Roman" w:cs="Times New Roman"/>
          <w:sz w:val="24"/>
          <w:szCs w:val="24"/>
        </w:rPr>
        <w:t>lužby Slovenskej správe</w:t>
      </w:r>
      <w:r>
        <w:rPr>
          <w:rFonts w:ascii="Times New Roman" w:hAnsi="Times New Roman" w:cs="Times New Roman"/>
          <w:sz w:val="24"/>
          <w:szCs w:val="24"/>
        </w:rPr>
        <w:t xml:space="preserve"> ciest o 802 800,- Sk, z toho prostriedkov na spolufinancovanie vo výške 401 400,- Sk a prostriedkov z rozpočtu EÚ vo výške 401 400,- Sk. Rozpočtovým opatrením sa zabezpečilo financovanie </w:t>
      </w:r>
      <w:r w:rsidRPr="00D619D4">
        <w:rPr>
          <w:rFonts w:ascii="Times New Roman" w:hAnsi="Times New Roman" w:cs="Times New Roman"/>
          <w:sz w:val="24"/>
          <w:szCs w:val="24"/>
        </w:rPr>
        <w:t>medzirezortného podpro</w:t>
      </w:r>
      <w:r w:rsidRPr="00D619D4">
        <w:rPr>
          <w:rFonts w:ascii="Times New Roman" w:hAnsi="Times New Roman" w:cs="Times New Roman"/>
          <w:sz w:val="24"/>
          <w:szCs w:val="24"/>
        </w:rPr>
        <w:t>gramu 06G0H Aktívna politika trhu práce a zvý</w:t>
      </w:r>
      <w:r>
        <w:rPr>
          <w:rFonts w:ascii="Times New Roman" w:hAnsi="Times New Roman" w:cs="Times New Roman"/>
          <w:sz w:val="24"/>
          <w:szCs w:val="24"/>
        </w:rPr>
        <w:t xml:space="preserve">šenie zamestnanosti – MDPT SR, </w:t>
      </w:r>
      <w:r w:rsidRPr="00D619D4">
        <w:rPr>
          <w:rFonts w:ascii="Times New Roman" w:hAnsi="Times New Roman" w:cs="Times New Roman"/>
          <w:sz w:val="24"/>
          <w:szCs w:val="24"/>
        </w:rPr>
        <w:t>prvku 06G0H01 Stimulovanie a skvalitňovanie vzdelávania pre potreby zamestnávateľov a podnikateľského sektora</w:t>
      </w:r>
      <w:r>
        <w:rPr>
          <w:rFonts w:ascii="Times New Roman" w:hAnsi="Times New Roman" w:cs="Times New Roman"/>
          <w:sz w:val="24"/>
          <w:szCs w:val="24"/>
        </w:rPr>
        <w:t xml:space="preserve"> (v rámci medzirezortného programu 06G Ľudské zdroje v gescii Ministers</w:t>
      </w:r>
      <w:r>
        <w:rPr>
          <w:rFonts w:ascii="Times New Roman" w:hAnsi="Times New Roman" w:cs="Times New Roman"/>
          <w:sz w:val="24"/>
          <w:szCs w:val="24"/>
        </w:rPr>
        <w:t>tva práce, sociálnych v</w:t>
      </w:r>
      <w:r w:rsidR="000F0CC2">
        <w:rPr>
          <w:rFonts w:ascii="Times New Roman" w:hAnsi="Times New Roman" w:cs="Times New Roman"/>
          <w:sz w:val="24"/>
          <w:szCs w:val="24"/>
        </w:rPr>
        <w:t xml:space="preserve">ecí a  rodiny SR), s cieľom </w:t>
      </w:r>
      <w:r>
        <w:rPr>
          <w:rFonts w:ascii="Times New Roman" w:hAnsi="Times New Roman" w:cs="Times New Roman"/>
          <w:sz w:val="24"/>
          <w:szCs w:val="24"/>
        </w:rPr>
        <w:t xml:space="preserve">získania Osvedčenia ECDL zamestnancami Slovenskej správy ciest.  </w:t>
      </w:r>
    </w:p>
    <w:p w:rsidR="009A3867" w:rsidRPr="00D23807" w:rsidP="00C362EA">
      <w:pPr>
        <w:pStyle w:val="BodyText2"/>
        <w:spacing w:line="240" w:lineRule="auto"/>
        <w:rPr>
          <w:rFonts w:ascii="Times New Roman" w:hAnsi="Times New Roman" w:cs="Times New Roman"/>
          <w:b/>
          <w:sz w:val="24"/>
          <w:szCs w:val="24"/>
          <w:u w:val="single"/>
        </w:rPr>
      </w:pPr>
    </w:p>
    <w:p w:rsidR="00382456" w:rsidP="00382456">
      <w:pPr>
        <w:pStyle w:val="BodyText2"/>
        <w:spacing w:line="240" w:lineRule="auto"/>
        <w:rPr>
          <w:rFonts w:ascii="Times New Roman" w:hAnsi="Times New Roman" w:cs="Times New Roman"/>
          <w:b/>
          <w:sz w:val="24"/>
          <w:szCs w:val="24"/>
          <w:u w:val="single"/>
        </w:rPr>
      </w:pPr>
      <w:r w:rsidRPr="00D23807" w:rsidR="00D27E26">
        <w:rPr>
          <w:rFonts w:ascii="Times New Roman" w:hAnsi="Times New Roman" w:cs="Times New Roman"/>
          <w:b/>
          <w:sz w:val="24"/>
          <w:szCs w:val="24"/>
          <w:u w:val="single"/>
        </w:rPr>
        <w:t>Rozpočtové opatrenie č. 31</w:t>
      </w:r>
    </w:p>
    <w:p w:rsidR="00382456" w:rsidP="00382456">
      <w:pPr>
        <w:pStyle w:val="BodyText2"/>
        <w:spacing w:line="240" w:lineRule="auto"/>
        <w:rPr>
          <w:rFonts w:ascii="Times New Roman" w:hAnsi="Times New Roman" w:cs="Times New Roman"/>
          <w:b/>
          <w:sz w:val="24"/>
          <w:szCs w:val="24"/>
          <w:u w:val="single"/>
        </w:rPr>
      </w:pPr>
    </w:p>
    <w:p w:rsidR="00382456" w:rsidRPr="00382456" w:rsidP="00382456">
      <w:pPr>
        <w:pStyle w:val="BodyText2"/>
        <w:spacing w:line="240" w:lineRule="auto"/>
        <w:ind w:firstLine="709"/>
        <w:rPr>
          <w:rFonts w:ascii="Times New Roman" w:hAnsi="Times New Roman" w:cs="Times New Roman"/>
          <w:b/>
          <w:sz w:val="24"/>
          <w:szCs w:val="24"/>
          <w:u w:val="single"/>
        </w:rPr>
      </w:pPr>
      <w:r>
        <w:rPr>
          <w:rFonts w:ascii="Times New Roman" w:hAnsi="Times New Roman" w:cs="Times New Roman"/>
          <w:sz w:val="24"/>
          <w:szCs w:val="24"/>
        </w:rPr>
        <w:t>Povolené prekročenie limitu kapitálových transferov (720)</w:t>
      </w:r>
      <w:r w:rsidR="000F0CC2">
        <w:rPr>
          <w:rFonts w:ascii="Times New Roman" w:hAnsi="Times New Roman" w:cs="Times New Roman"/>
          <w:sz w:val="24"/>
          <w:szCs w:val="24"/>
        </w:rPr>
        <w:t xml:space="preserve"> – prostriedkov EÚ na programe 0</w:t>
      </w:r>
      <w:r>
        <w:rPr>
          <w:rFonts w:ascii="Times New Roman" w:hAnsi="Times New Roman" w:cs="Times New Roman"/>
          <w:sz w:val="24"/>
          <w:szCs w:val="24"/>
        </w:rPr>
        <w:t>55 – Letecká doprava a infraštruktúra o 40 673 000 Sk v súvislosti so zmenou finančného plánu – realokáciou prostriedkov EÚ z opatrenia Technická pomoc MDPT SR na opatrenie 1.3. Modernizácia a rozvoj infraštruktúry leteckej dopravy OP ZI (schválená Monitorovacím výborom pre štrukturálne fondy a Európskou komisiou dňa 23.5.2007</w:t>
      </w:r>
      <w:r w:rsidRPr="00382456">
        <w:rPr>
          <w:rFonts w:ascii="Times New Roman" w:hAnsi="Times New Roman" w:cs="Times New Roman"/>
          <w:sz w:val="24"/>
          <w:szCs w:val="24"/>
        </w:rPr>
        <w:t>). Súčasne sa viazali</w:t>
      </w:r>
      <w:r>
        <w:rPr>
          <w:rFonts w:ascii="Times New Roman" w:hAnsi="Times New Roman" w:cs="Times New Roman"/>
          <w:b/>
          <w:sz w:val="24"/>
          <w:szCs w:val="24"/>
        </w:rPr>
        <w:t xml:space="preserve"> </w:t>
      </w:r>
      <w:r w:rsidRPr="00382456">
        <w:rPr>
          <w:rFonts w:ascii="Times New Roman" w:hAnsi="Times New Roman" w:cs="Times New Roman"/>
          <w:sz w:val="24"/>
          <w:szCs w:val="24"/>
        </w:rPr>
        <w:t>bežné výdavky v kategórii 630 – Tovary a</w:t>
      </w:r>
      <w:r>
        <w:rPr>
          <w:rFonts w:ascii="Times New Roman" w:hAnsi="Times New Roman" w:cs="Times New Roman"/>
          <w:sz w:val="24"/>
          <w:szCs w:val="24"/>
        </w:rPr>
        <w:t> </w:t>
      </w:r>
      <w:r w:rsidRPr="00382456">
        <w:rPr>
          <w:rFonts w:ascii="Times New Roman" w:hAnsi="Times New Roman" w:cs="Times New Roman"/>
          <w:sz w:val="24"/>
          <w:szCs w:val="24"/>
        </w:rPr>
        <w:t>služby</w:t>
      </w:r>
      <w:r w:rsidR="000F0CC2">
        <w:rPr>
          <w:rFonts w:ascii="Times New Roman" w:hAnsi="Times New Roman" w:cs="Times New Roman"/>
          <w:sz w:val="24"/>
          <w:szCs w:val="24"/>
        </w:rPr>
        <w:t xml:space="preserve"> – prostriedky EÚ na programe 0</w:t>
      </w:r>
      <w:r>
        <w:rPr>
          <w:rFonts w:ascii="Times New Roman" w:hAnsi="Times New Roman" w:cs="Times New Roman"/>
          <w:sz w:val="24"/>
          <w:szCs w:val="24"/>
        </w:rPr>
        <w:t>7T – Tvorba a implementácia politík v sume 40 673 000 Sk – Technická pomoc MDPT SR (fond ERDF).</w:t>
      </w:r>
    </w:p>
    <w:p w:rsidR="009A3867" w:rsidRPr="009A3867" w:rsidP="00C362EA">
      <w:pPr>
        <w:pStyle w:val="BodyText2"/>
        <w:spacing w:line="240" w:lineRule="auto"/>
        <w:rPr>
          <w:rFonts w:ascii="Times New Roman" w:hAnsi="Times New Roman" w:cs="Times New Roman"/>
          <w:sz w:val="24"/>
          <w:szCs w:val="24"/>
        </w:rPr>
      </w:pPr>
    </w:p>
    <w:p w:rsidR="00D27E26" w:rsidP="00C362EA">
      <w:pPr>
        <w:pStyle w:val="BodyText2"/>
        <w:spacing w:line="240" w:lineRule="auto"/>
        <w:rPr>
          <w:rFonts w:ascii="Times New Roman" w:hAnsi="Times New Roman" w:cs="Times New Roman"/>
          <w:b/>
          <w:sz w:val="24"/>
          <w:szCs w:val="24"/>
          <w:u w:val="single"/>
        </w:rPr>
      </w:pPr>
      <w:r w:rsidRPr="00D23807">
        <w:rPr>
          <w:rFonts w:ascii="Times New Roman" w:hAnsi="Times New Roman" w:cs="Times New Roman"/>
          <w:b/>
          <w:sz w:val="24"/>
          <w:szCs w:val="24"/>
          <w:u w:val="single"/>
        </w:rPr>
        <w:t>Rozpočtové opatrenie č. 32</w:t>
      </w:r>
    </w:p>
    <w:p w:rsidR="002C04C7" w:rsidRPr="00D23807" w:rsidP="00C362EA">
      <w:pPr>
        <w:pStyle w:val="BodyText2"/>
        <w:spacing w:line="240" w:lineRule="auto"/>
        <w:rPr>
          <w:rFonts w:ascii="Times New Roman" w:hAnsi="Times New Roman" w:cs="Times New Roman"/>
          <w:b/>
          <w:sz w:val="24"/>
          <w:szCs w:val="24"/>
          <w:u w:val="single"/>
        </w:rPr>
      </w:pPr>
    </w:p>
    <w:p w:rsidR="0011010C" w:rsidRPr="000212D7" w:rsidP="000212D7">
      <w:pPr>
        <w:pStyle w:val="BodyText2"/>
        <w:spacing w:line="240" w:lineRule="auto"/>
        <w:ind w:firstLine="709"/>
        <w:rPr>
          <w:rFonts w:ascii="Times New Roman" w:hAnsi="Times New Roman" w:cs="Times New Roman"/>
          <w:sz w:val="24"/>
          <w:szCs w:val="24"/>
        </w:rPr>
      </w:pPr>
      <w:r w:rsidR="002C04C7">
        <w:rPr>
          <w:rFonts w:ascii="Times New Roman" w:hAnsi="Times New Roman" w:cs="Times New Roman"/>
          <w:sz w:val="24"/>
          <w:szCs w:val="24"/>
        </w:rPr>
        <w:t xml:space="preserve">Viazanie bežných transferov (640) v programe 055 – Letecká doprava a infraštruktúra vo výške 900 tis. </w:t>
      </w:r>
      <w:r w:rsidR="00FB2205">
        <w:rPr>
          <w:rFonts w:ascii="Times New Roman" w:hAnsi="Times New Roman" w:cs="Times New Roman"/>
          <w:sz w:val="24"/>
          <w:szCs w:val="24"/>
        </w:rPr>
        <w:t xml:space="preserve">Sk </w:t>
      </w:r>
      <w:r w:rsidR="002C04C7">
        <w:rPr>
          <w:rFonts w:ascii="Times New Roman" w:hAnsi="Times New Roman" w:cs="Times New Roman"/>
          <w:sz w:val="24"/>
          <w:szCs w:val="24"/>
        </w:rPr>
        <w:t>a povolené prekročenie limitu bežných transferov (640) Leteckého úradu SR vo výške 900 tis. Sk na úhradu nákladov delegovanej pôsobnosti orgánov štátnej správy podľa § 33 ods. 2 zákona 143/1998 Z.z. o civilnom letectve a o zmene a</w:t>
      </w:r>
      <w:r w:rsidR="00FB2205">
        <w:rPr>
          <w:rFonts w:ascii="Times New Roman" w:hAnsi="Times New Roman" w:cs="Times New Roman"/>
          <w:sz w:val="24"/>
          <w:szCs w:val="24"/>
        </w:rPr>
        <w:t xml:space="preserve"> doplnení niektorých zákonov, v súvislosti s novelizáciou výnosu č. 79/2005-M Ministerstva dopravy, pôšt a telekomunikácií SR v oblasti civilného letectva. </w:t>
      </w:r>
    </w:p>
    <w:p w:rsidR="00D27E26" w:rsidRPr="00D23807" w:rsidP="00C362EA">
      <w:pPr>
        <w:pStyle w:val="BodyText2"/>
        <w:spacing w:line="240" w:lineRule="auto"/>
        <w:rPr>
          <w:rFonts w:ascii="Times New Roman" w:hAnsi="Times New Roman" w:cs="Times New Roman"/>
          <w:b/>
          <w:sz w:val="24"/>
          <w:szCs w:val="24"/>
          <w:u w:val="single"/>
        </w:rPr>
      </w:pPr>
      <w:r w:rsidRPr="00D23807">
        <w:rPr>
          <w:rFonts w:ascii="Times New Roman" w:hAnsi="Times New Roman" w:cs="Times New Roman"/>
          <w:b/>
          <w:sz w:val="24"/>
          <w:szCs w:val="24"/>
          <w:u w:val="single"/>
        </w:rPr>
        <w:t>Rozpočtové opatrenie č. 33</w:t>
      </w:r>
    </w:p>
    <w:p w:rsidR="00D27E26" w:rsidP="00C362EA">
      <w:pPr>
        <w:pStyle w:val="BodyText2"/>
        <w:spacing w:line="240" w:lineRule="auto"/>
        <w:rPr>
          <w:rFonts w:ascii="Times New Roman" w:hAnsi="Times New Roman" w:cs="Times New Roman"/>
          <w:sz w:val="24"/>
          <w:szCs w:val="24"/>
        </w:rPr>
      </w:pPr>
    </w:p>
    <w:p w:rsidR="00C47928" w:rsidP="00FB2205">
      <w:pPr>
        <w:pStyle w:val="BodyText2"/>
        <w:spacing w:line="240" w:lineRule="auto"/>
        <w:ind w:firstLine="709"/>
        <w:rPr>
          <w:rFonts w:ascii="Times New Roman" w:hAnsi="Times New Roman" w:cs="Times New Roman"/>
          <w:sz w:val="24"/>
          <w:szCs w:val="24"/>
        </w:rPr>
      </w:pPr>
      <w:r w:rsidR="00FB2205">
        <w:rPr>
          <w:rFonts w:ascii="Times New Roman" w:hAnsi="Times New Roman" w:cs="Times New Roman"/>
          <w:sz w:val="24"/>
          <w:szCs w:val="24"/>
        </w:rPr>
        <w:t>Povolené prekročenie limitu výdavkov kapitoly MDPT SR v kategórii 640 – Bežné transfery na programe 07S – Železničná doprava o </w:t>
      </w:r>
      <w:r w:rsidR="006B4F0B">
        <w:rPr>
          <w:rFonts w:ascii="Times New Roman" w:hAnsi="Times New Roman" w:cs="Times New Roman"/>
          <w:sz w:val="24"/>
          <w:szCs w:val="24"/>
        </w:rPr>
        <w:t>655</w:t>
      </w:r>
      <w:r w:rsidR="00FB2205">
        <w:rPr>
          <w:rFonts w:ascii="Times New Roman" w:hAnsi="Times New Roman" w:cs="Times New Roman"/>
          <w:sz w:val="24"/>
          <w:szCs w:val="24"/>
        </w:rPr>
        <w:t xml:space="preserve"> mil. Sk na úhradu straty za výkony vo verejnom záujme realizovaných Železničn</w:t>
      </w:r>
      <w:r w:rsidR="000F0CC2">
        <w:rPr>
          <w:rFonts w:ascii="Times New Roman" w:hAnsi="Times New Roman" w:cs="Times New Roman"/>
          <w:sz w:val="24"/>
          <w:szCs w:val="24"/>
        </w:rPr>
        <w:t>ou spoločnosťou Slov</w:t>
      </w:r>
      <w:r w:rsidR="000F0CC2">
        <w:rPr>
          <w:rFonts w:ascii="Times New Roman" w:hAnsi="Times New Roman" w:cs="Times New Roman"/>
          <w:sz w:val="24"/>
          <w:szCs w:val="24"/>
        </w:rPr>
        <w:t xml:space="preserve">ensko, a.s., </w:t>
      </w:r>
      <w:r w:rsidR="00FB2205">
        <w:rPr>
          <w:rFonts w:ascii="Times New Roman" w:hAnsi="Times New Roman" w:cs="Times New Roman"/>
          <w:sz w:val="24"/>
          <w:szCs w:val="24"/>
        </w:rPr>
        <w:t xml:space="preserve">v roku 2007 pri prevádzkovaní osobnej dopravy na dráhe.   </w:t>
      </w:r>
    </w:p>
    <w:p w:rsidR="00FB2205" w:rsidRPr="00FB2205" w:rsidP="00FB2205">
      <w:pPr>
        <w:pStyle w:val="BodyText2"/>
        <w:spacing w:line="240" w:lineRule="auto"/>
        <w:ind w:firstLine="709"/>
        <w:rPr>
          <w:rFonts w:ascii="Times New Roman" w:hAnsi="Times New Roman" w:cs="Times New Roman"/>
          <w:sz w:val="24"/>
          <w:szCs w:val="24"/>
        </w:rPr>
      </w:pPr>
    </w:p>
    <w:p w:rsidR="00D27E26" w:rsidRPr="00D23807" w:rsidP="00C362EA">
      <w:pPr>
        <w:pStyle w:val="BodyText2"/>
        <w:spacing w:line="240" w:lineRule="auto"/>
        <w:rPr>
          <w:rFonts w:ascii="Times New Roman" w:hAnsi="Times New Roman" w:cs="Times New Roman"/>
          <w:b/>
          <w:sz w:val="24"/>
          <w:szCs w:val="24"/>
          <w:u w:val="single"/>
        </w:rPr>
      </w:pPr>
      <w:r w:rsidRPr="00D23807">
        <w:rPr>
          <w:rFonts w:ascii="Times New Roman" w:hAnsi="Times New Roman" w:cs="Times New Roman"/>
          <w:b/>
          <w:sz w:val="24"/>
          <w:szCs w:val="24"/>
          <w:u w:val="single"/>
        </w:rPr>
        <w:t>Rozpočtové opatrenie č. 34</w:t>
      </w:r>
    </w:p>
    <w:p w:rsidR="00957942" w:rsidP="00C362EA">
      <w:pPr>
        <w:pStyle w:val="BodyText2"/>
        <w:spacing w:line="240" w:lineRule="auto"/>
        <w:rPr>
          <w:rFonts w:ascii="Times New Roman" w:hAnsi="Times New Roman" w:cs="Times New Roman"/>
          <w:sz w:val="24"/>
          <w:szCs w:val="24"/>
        </w:rPr>
      </w:pPr>
    </w:p>
    <w:p w:rsidR="00957942" w:rsidP="006B5DAD">
      <w:pPr>
        <w:pStyle w:val="BodyText2"/>
        <w:spacing w:line="240" w:lineRule="auto"/>
        <w:ind w:firstLine="709"/>
        <w:rPr>
          <w:rFonts w:ascii="Times New Roman" w:hAnsi="Times New Roman" w:cs="Times New Roman"/>
          <w:sz w:val="24"/>
          <w:szCs w:val="24"/>
        </w:rPr>
      </w:pPr>
      <w:r w:rsidR="002B4865">
        <w:rPr>
          <w:rFonts w:ascii="Times New Roman" w:hAnsi="Times New Roman" w:cs="Times New Roman"/>
          <w:sz w:val="24"/>
          <w:szCs w:val="24"/>
        </w:rPr>
        <w:t>N</w:t>
      </w:r>
      <w:r w:rsidRPr="002B4865" w:rsidR="002B4865">
        <w:rPr>
          <w:rFonts w:ascii="Times New Roman" w:hAnsi="Times New Roman" w:cs="Times New Roman"/>
          <w:sz w:val="24"/>
          <w:szCs w:val="24"/>
        </w:rPr>
        <w:t xml:space="preserve">avýšenie </w:t>
      </w:r>
      <w:r w:rsidR="002B4865">
        <w:rPr>
          <w:rFonts w:ascii="Times New Roman" w:hAnsi="Times New Roman" w:cs="Times New Roman"/>
          <w:sz w:val="24"/>
          <w:szCs w:val="24"/>
        </w:rPr>
        <w:t xml:space="preserve">rozpočtu kapitoly MDPT SR v kategórii 720 – Kapitálové transfery </w:t>
      </w:r>
      <w:r w:rsidRPr="002B4865" w:rsidR="002B4865">
        <w:rPr>
          <w:rFonts w:ascii="Times New Roman" w:hAnsi="Times New Roman" w:cs="Times New Roman"/>
          <w:sz w:val="24"/>
          <w:szCs w:val="24"/>
        </w:rPr>
        <w:t>o 2,6 mld. Sk pre Nár</w:t>
      </w:r>
      <w:r w:rsidR="000F0CC2">
        <w:rPr>
          <w:rFonts w:ascii="Times New Roman" w:hAnsi="Times New Roman" w:cs="Times New Roman"/>
          <w:sz w:val="24"/>
          <w:szCs w:val="24"/>
        </w:rPr>
        <w:t xml:space="preserve">odnú diaľničnú spoločnosť, a.s., </w:t>
      </w:r>
      <w:r w:rsidRPr="002B4865" w:rsidR="002B4865">
        <w:rPr>
          <w:rFonts w:ascii="Times New Roman" w:hAnsi="Times New Roman" w:cs="Times New Roman"/>
          <w:sz w:val="24"/>
          <w:szCs w:val="24"/>
        </w:rPr>
        <w:t>na dofinancovanie výstavby diaľnic</w:t>
      </w:r>
      <w:r w:rsidR="00A21E8A">
        <w:rPr>
          <w:rFonts w:ascii="Times New Roman" w:hAnsi="Times New Roman" w:cs="Times New Roman"/>
          <w:sz w:val="24"/>
          <w:szCs w:val="24"/>
        </w:rPr>
        <w:t xml:space="preserve"> a RC.</w:t>
      </w:r>
    </w:p>
    <w:p w:rsidR="0011010C" w:rsidRPr="002B4865" w:rsidP="000212D7">
      <w:pPr>
        <w:pStyle w:val="BodyText2"/>
        <w:spacing w:line="240" w:lineRule="auto"/>
        <w:rPr>
          <w:rFonts w:ascii="Times New Roman" w:hAnsi="Times New Roman" w:cs="Times New Roman"/>
          <w:sz w:val="24"/>
          <w:szCs w:val="24"/>
        </w:rPr>
      </w:pPr>
    </w:p>
    <w:p w:rsidR="00D27E26" w:rsidRPr="00D23807" w:rsidP="00C362EA">
      <w:pPr>
        <w:pStyle w:val="BodyText2"/>
        <w:spacing w:line="240" w:lineRule="auto"/>
        <w:rPr>
          <w:rFonts w:ascii="Times New Roman" w:hAnsi="Times New Roman" w:cs="Times New Roman"/>
          <w:b/>
          <w:sz w:val="24"/>
          <w:szCs w:val="24"/>
          <w:u w:val="single"/>
        </w:rPr>
      </w:pPr>
      <w:r w:rsidRPr="00D23807">
        <w:rPr>
          <w:rFonts w:ascii="Times New Roman" w:hAnsi="Times New Roman" w:cs="Times New Roman"/>
          <w:b/>
          <w:sz w:val="24"/>
          <w:szCs w:val="24"/>
          <w:u w:val="single"/>
        </w:rPr>
        <w:t>Rozpočtové opatrenie č. 35</w:t>
      </w:r>
    </w:p>
    <w:p w:rsidR="0077127B" w:rsidP="00C362EA">
      <w:pPr>
        <w:pStyle w:val="BodyText2"/>
        <w:spacing w:line="240" w:lineRule="auto"/>
        <w:rPr>
          <w:rFonts w:ascii="Times New Roman" w:hAnsi="Times New Roman" w:cs="Times New Roman"/>
          <w:b/>
          <w:sz w:val="24"/>
          <w:szCs w:val="24"/>
          <w:u w:val="single"/>
        </w:rPr>
      </w:pPr>
    </w:p>
    <w:p w:rsidR="00DC6377" w:rsidP="00C362EA">
      <w:pPr>
        <w:pStyle w:val="BodyText2"/>
        <w:spacing w:line="240" w:lineRule="auto"/>
        <w:rPr>
          <w:rFonts w:ascii="Times New Roman" w:hAnsi="Times New Roman" w:cs="Times New Roman"/>
          <w:sz w:val="24"/>
          <w:szCs w:val="24"/>
        </w:rPr>
      </w:pPr>
      <w:r w:rsidRPr="00465545" w:rsidR="00465545">
        <w:rPr>
          <w:rFonts w:ascii="Times New Roman" w:hAnsi="Times New Roman" w:cs="Times New Roman"/>
          <w:sz w:val="24"/>
          <w:szCs w:val="24"/>
        </w:rPr>
        <w:tab/>
      </w:r>
      <w:r w:rsidR="002B4865">
        <w:rPr>
          <w:rFonts w:ascii="Times New Roman" w:hAnsi="Times New Roman" w:cs="Times New Roman"/>
          <w:sz w:val="24"/>
          <w:szCs w:val="24"/>
        </w:rPr>
        <w:t xml:space="preserve">Navýšenie bežných transferov (640) </w:t>
      </w:r>
      <w:r w:rsidRPr="002B4865" w:rsidR="002B4865">
        <w:rPr>
          <w:rFonts w:ascii="Times New Roman" w:hAnsi="Times New Roman" w:cs="Times New Roman"/>
          <w:sz w:val="24"/>
          <w:szCs w:val="24"/>
        </w:rPr>
        <w:t>o 30 mil. Sk na zabezpečenie prevádzky leteckej dopravy a výstavby leteckej i</w:t>
      </w:r>
      <w:r w:rsidR="002B4865">
        <w:rPr>
          <w:rFonts w:ascii="Times New Roman" w:hAnsi="Times New Roman" w:cs="Times New Roman"/>
          <w:sz w:val="24"/>
          <w:szCs w:val="24"/>
        </w:rPr>
        <w:t>nfraštruktúry (program 055 – Letecká doprava a infraštruktúra)</w:t>
      </w:r>
      <w:r w:rsidRPr="002B4865" w:rsidR="002B4865">
        <w:rPr>
          <w:rFonts w:ascii="Times New Roman" w:hAnsi="Times New Roman" w:cs="Times New Roman"/>
          <w:sz w:val="24"/>
          <w:szCs w:val="24"/>
        </w:rPr>
        <w:t>,</w:t>
      </w:r>
      <w:r w:rsidR="002B4865">
        <w:rPr>
          <w:rFonts w:ascii="Times New Roman" w:hAnsi="Times New Roman" w:cs="Times New Roman"/>
          <w:sz w:val="24"/>
          <w:szCs w:val="24"/>
        </w:rPr>
        <w:t xml:space="preserve"> z toho 13 mil. Sk navýšením bežných</w:t>
      </w:r>
      <w:r w:rsidR="002B4865">
        <w:rPr>
          <w:rFonts w:ascii="Times New Roman" w:hAnsi="Times New Roman" w:cs="Times New Roman"/>
          <w:sz w:val="24"/>
          <w:szCs w:val="24"/>
        </w:rPr>
        <w:t xml:space="preserve"> transferov (640) </w:t>
      </w:r>
      <w:r w:rsidRPr="002B4865" w:rsidR="002B4865">
        <w:rPr>
          <w:rFonts w:ascii="Times New Roman" w:hAnsi="Times New Roman" w:cs="Times New Roman"/>
          <w:sz w:val="24"/>
          <w:szCs w:val="24"/>
        </w:rPr>
        <w:t>kapitol</w:t>
      </w:r>
      <w:r w:rsidR="002B4865">
        <w:rPr>
          <w:rFonts w:ascii="Times New Roman" w:hAnsi="Times New Roman" w:cs="Times New Roman"/>
          <w:sz w:val="24"/>
          <w:szCs w:val="24"/>
        </w:rPr>
        <w:t xml:space="preserve">y a 17 mil. Sk z : kategórie 630 – Tovary a služby Úradu pre reguláciu železničnej </w:t>
      </w:r>
      <w:r w:rsidRPr="002B4865" w:rsidR="002B4865">
        <w:rPr>
          <w:rFonts w:ascii="Times New Roman" w:hAnsi="Times New Roman" w:cs="Times New Roman"/>
          <w:sz w:val="24"/>
          <w:szCs w:val="24"/>
        </w:rPr>
        <w:t>dopravy</w:t>
      </w:r>
      <w:r w:rsidR="002B4865">
        <w:rPr>
          <w:rFonts w:ascii="Times New Roman" w:hAnsi="Times New Roman" w:cs="Times New Roman"/>
          <w:sz w:val="24"/>
          <w:szCs w:val="24"/>
        </w:rPr>
        <w:t xml:space="preserve"> vo výške 5,8 mil. Sk, kategórie 640 – Bežné transfery na podporu rozvoja kombinovanej dopravy vo výške 2,2 mil. Sk, kategórie </w:t>
      </w:r>
      <w:r w:rsidRPr="002B4865" w:rsidR="002B4865">
        <w:rPr>
          <w:rFonts w:ascii="Times New Roman" w:hAnsi="Times New Roman" w:cs="Times New Roman"/>
          <w:sz w:val="24"/>
          <w:szCs w:val="24"/>
        </w:rPr>
        <w:t xml:space="preserve">620 </w:t>
      </w:r>
      <w:r w:rsidR="002B4865">
        <w:rPr>
          <w:rFonts w:ascii="Times New Roman" w:hAnsi="Times New Roman" w:cs="Times New Roman"/>
          <w:sz w:val="24"/>
          <w:szCs w:val="24"/>
        </w:rPr>
        <w:t>–</w:t>
      </w:r>
      <w:r w:rsidR="00BD5550">
        <w:rPr>
          <w:rFonts w:ascii="Times New Roman" w:hAnsi="Times New Roman" w:cs="Times New Roman"/>
          <w:sz w:val="24"/>
          <w:szCs w:val="24"/>
        </w:rPr>
        <w:t xml:space="preserve"> </w:t>
      </w:r>
      <w:r w:rsidR="002B4865">
        <w:rPr>
          <w:rFonts w:ascii="Times New Roman" w:hAnsi="Times New Roman" w:cs="Times New Roman"/>
          <w:sz w:val="24"/>
          <w:szCs w:val="24"/>
        </w:rPr>
        <w:t>Poistné</w:t>
      </w:r>
      <w:r w:rsidR="00BD5550">
        <w:rPr>
          <w:rFonts w:ascii="Times New Roman" w:hAnsi="Times New Roman" w:cs="Times New Roman"/>
          <w:sz w:val="24"/>
          <w:szCs w:val="24"/>
        </w:rPr>
        <w:t xml:space="preserve"> </w:t>
      </w:r>
      <w:r w:rsidR="002B4865">
        <w:rPr>
          <w:rFonts w:ascii="Times New Roman" w:hAnsi="Times New Roman" w:cs="Times New Roman"/>
          <w:sz w:val="24"/>
          <w:szCs w:val="24"/>
        </w:rPr>
        <w:t xml:space="preserve"> a príspevky zamestnávateľa do poisťovní </w:t>
      </w:r>
      <w:r w:rsidRPr="002B4865" w:rsidR="002B4865">
        <w:rPr>
          <w:rFonts w:ascii="Times New Roman" w:hAnsi="Times New Roman" w:cs="Times New Roman"/>
          <w:sz w:val="24"/>
          <w:szCs w:val="24"/>
        </w:rPr>
        <w:t xml:space="preserve">úradu MDPT SR </w:t>
      </w:r>
      <w:r w:rsidR="002B4865">
        <w:rPr>
          <w:rFonts w:ascii="Times New Roman" w:hAnsi="Times New Roman" w:cs="Times New Roman"/>
          <w:sz w:val="24"/>
          <w:szCs w:val="24"/>
        </w:rPr>
        <w:t xml:space="preserve">vo výške 2 mil. Sk, z kategórie </w:t>
      </w:r>
      <w:r w:rsidRPr="002B4865" w:rsidR="002B4865">
        <w:rPr>
          <w:rFonts w:ascii="Times New Roman" w:hAnsi="Times New Roman" w:cs="Times New Roman"/>
          <w:sz w:val="24"/>
          <w:szCs w:val="24"/>
        </w:rPr>
        <w:t xml:space="preserve">630 </w:t>
      </w:r>
      <w:r w:rsidR="002B4865">
        <w:rPr>
          <w:rFonts w:ascii="Times New Roman" w:hAnsi="Times New Roman" w:cs="Times New Roman"/>
          <w:sz w:val="24"/>
          <w:szCs w:val="24"/>
        </w:rPr>
        <w:t xml:space="preserve">– Tovary a služby </w:t>
      </w:r>
      <w:r w:rsidRPr="002B4865" w:rsidR="002B4865">
        <w:rPr>
          <w:rFonts w:ascii="Times New Roman" w:hAnsi="Times New Roman" w:cs="Times New Roman"/>
          <w:sz w:val="24"/>
          <w:szCs w:val="24"/>
        </w:rPr>
        <w:t xml:space="preserve">úradu MDPT SR </w:t>
      </w:r>
      <w:r w:rsidR="002B4865">
        <w:rPr>
          <w:rFonts w:ascii="Times New Roman" w:hAnsi="Times New Roman" w:cs="Times New Roman"/>
          <w:sz w:val="24"/>
          <w:szCs w:val="24"/>
        </w:rPr>
        <w:t xml:space="preserve">vo výške 5 mil. Sk a kategórie </w:t>
      </w:r>
      <w:r w:rsidRPr="002B4865" w:rsidR="002B4865">
        <w:rPr>
          <w:rFonts w:ascii="Times New Roman" w:hAnsi="Times New Roman" w:cs="Times New Roman"/>
          <w:sz w:val="24"/>
          <w:szCs w:val="24"/>
        </w:rPr>
        <w:t xml:space="preserve">640 </w:t>
      </w:r>
      <w:r w:rsidR="002B4865">
        <w:rPr>
          <w:rFonts w:ascii="Times New Roman" w:hAnsi="Times New Roman" w:cs="Times New Roman"/>
          <w:sz w:val="24"/>
          <w:szCs w:val="24"/>
        </w:rPr>
        <w:t xml:space="preserve">– Bežné transfery </w:t>
      </w:r>
      <w:r w:rsidRPr="002B4865" w:rsidR="002B4865">
        <w:rPr>
          <w:rFonts w:ascii="Times New Roman" w:hAnsi="Times New Roman" w:cs="Times New Roman"/>
          <w:sz w:val="24"/>
          <w:szCs w:val="24"/>
        </w:rPr>
        <w:t xml:space="preserve">úradu MDPT SR </w:t>
      </w:r>
      <w:r w:rsidR="002B4865">
        <w:rPr>
          <w:rFonts w:ascii="Times New Roman" w:hAnsi="Times New Roman" w:cs="Times New Roman"/>
          <w:sz w:val="24"/>
          <w:szCs w:val="24"/>
        </w:rPr>
        <w:t xml:space="preserve">vo výške 2 mil. Sk </w:t>
      </w:r>
      <w:r w:rsidRPr="002B4865" w:rsidR="002B4865">
        <w:rPr>
          <w:rFonts w:ascii="Times New Roman" w:hAnsi="Times New Roman" w:cs="Times New Roman"/>
          <w:sz w:val="24"/>
          <w:szCs w:val="24"/>
        </w:rPr>
        <w:t>(01.1.3 Zahraničná oblasť)</w:t>
      </w:r>
      <w:r w:rsidR="002B4865">
        <w:rPr>
          <w:rFonts w:ascii="Times New Roman" w:hAnsi="Times New Roman" w:cs="Times New Roman"/>
          <w:sz w:val="24"/>
          <w:szCs w:val="24"/>
        </w:rPr>
        <w:t xml:space="preserve">. </w:t>
      </w:r>
    </w:p>
    <w:p w:rsidR="00BD5550" w:rsidRPr="002B4865" w:rsidP="00C362EA">
      <w:pPr>
        <w:pStyle w:val="BodyText2"/>
        <w:spacing w:line="240" w:lineRule="auto"/>
        <w:rPr>
          <w:rFonts w:ascii="Times New Roman" w:hAnsi="Times New Roman" w:cs="Times New Roman"/>
          <w:sz w:val="24"/>
          <w:szCs w:val="24"/>
        </w:rPr>
      </w:pPr>
    </w:p>
    <w:p w:rsidR="00D27E26" w:rsidP="00C362EA">
      <w:pPr>
        <w:pStyle w:val="BodyText2"/>
        <w:spacing w:line="240" w:lineRule="auto"/>
        <w:rPr>
          <w:rFonts w:ascii="Times New Roman" w:hAnsi="Times New Roman" w:cs="Times New Roman"/>
          <w:b/>
          <w:sz w:val="24"/>
          <w:szCs w:val="24"/>
          <w:u w:val="single"/>
        </w:rPr>
      </w:pPr>
      <w:r w:rsidR="006B5DAD">
        <w:rPr>
          <w:rFonts w:ascii="Times New Roman" w:hAnsi="Times New Roman" w:cs="Times New Roman"/>
          <w:b/>
          <w:sz w:val="24"/>
          <w:szCs w:val="24"/>
          <w:u w:val="single"/>
        </w:rPr>
        <w:t>Rozpočtové opatrenie č. 36</w:t>
      </w:r>
    </w:p>
    <w:p w:rsidR="007E2EAC" w:rsidRPr="00D23807" w:rsidP="00C362EA">
      <w:pPr>
        <w:pStyle w:val="BodyText2"/>
        <w:spacing w:line="240" w:lineRule="auto"/>
        <w:rPr>
          <w:rFonts w:ascii="Times New Roman" w:hAnsi="Times New Roman" w:cs="Times New Roman"/>
          <w:b/>
          <w:sz w:val="24"/>
          <w:szCs w:val="24"/>
          <w:u w:val="single"/>
        </w:rPr>
      </w:pPr>
    </w:p>
    <w:p w:rsidR="000F695D" w:rsidP="00C362EA">
      <w:pPr>
        <w:pStyle w:val="BodyText2"/>
        <w:spacing w:line="240" w:lineRule="auto"/>
        <w:ind w:firstLine="709"/>
        <w:rPr>
          <w:rFonts w:ascii="Times New Roman" w:hAnsi="Times New Roman" w:cs="Times New Roman"/>
          <w:sz w:val="24"/>
          <w:szCs w:val="24"/>
        </w:rPr>
      </w:pPr>
      <w:r w:rsidR="00BA717F">
        <w:rPr>
          <w:rFonts w:ascii="Times New Roman" w:hAnsi="Times New Roman" w:cs="Times New Roman"/>
          <w:sz w:val="24"/>
          <w:szCs w:val="24"/>
        </w:rPr>
        <w:t xml:space="preserve">Viazanie </w:t>
      </w:r>
      <w:r w:rsidR="00AF582B">
        <w:rPr>
          <w:rFonts w:ascii="Times New Roman" w:hAnsi="Times New Roman" w:cs="Times New Roman"/>
          <w:sz w:val="24"/>
          <w:szCs w:val="24"/>
        </w:rPr>
        <w:t xml:space="preserve">príjmov kapitoly </w:t>
      </w:r>
      <w:r w:rsidR="0041276C">
        <w:rPr>
          <w:rFonts w:ascii="Times New Roman" w:hAnsi="Times New Roman" w:cs="Times New Roman"/>
          <w:sz w:val="24"/>
          <w:szCs w:val="24"/>
        </w:rPr>
        <w:t xml:space="preserve">(prostriedkov z </w:t>
      </w:r>
      <w:r w:rsidR="006838C8">
        <w:rPr>
          <w:rFonts w:ascii="Times New Roman" w:hAnsi="Times New Roman" w:cs="Times New Roman"/>
          <w:sz w:val="24"/>
          <w:szCs w:val="24"/>
        </w:rPr>
        <w:t xml:space="preserve">EÚ) vo výške 7 246 293 908,20 Sk, z toho 3 002 350 837,37 Sk </w:t>
      </w:r>
      <w:r w:rsidR="0006043A">
        <w:rPr>
          <w:rFonts w:ascii="Times New Roman" w:hAnsi="Times New Roman" w:cs="Times New Roman"/>
          <w:sz w:val="24"/>
          <w:szCs w:val="24"/>
        </w:rPr>
        <w:t>s kódom zdroja 13 (prostrie</w:t>
      </w:r>
      <w:r w:rsidR="006838C8">
        <w:rPr>
          <w:rFonts w:ascii="Times New Roman" w:hAnsi="Times New Roman" w:cs="Times New Roman"/>
          <w:sz w:val="24"/>
          <w:szCs w:val="24"/>
        </w:rPr>
        <w:t xml:space="preserve">dky z predchádzajúcich rokov) a 4 243 943 070,83 </w:t>
      </w:r>
      <w:r w:rsidR="0006043A">
        <w:rPr>
          <w:rFonts w:ascii="Times New Roman" w:hAnsi="Times New Roman" w:cs="Times New Roman"/>
          <w:sz w:val="24"/>
          <w:szCs w:val="24"/>
        </w:rPr>
        <w:t xml:space="preserve">Sk s kódom zdroja 11 – prostriedky </w:t>
      </w:r>
      <w:r w:rsidR="0041276C">
        <w:rPr>
          <w:rFonts w:ascii="Times New Roman" w:hAnsi="Times New Roman" w:cs="Times New Roman"/>
          <w:sz w:val="24"/>
          <w:szCs w:val="24"/>
        </w:rPr>
        <w:t>štátneho rozpočtu. Súčasne viaz</w:t>
      </w:r>
      <w:r w:rsidR="0041276C">
        <w:rPr>
          <w:rFonts w:ascii="Times New Roman" w:hAnsi="Times New Roman" w:cs="Times New Roman"/>
          <w:sz w:val="24"/>
          <w:szCs w:val="24"/>
        </w:rPr>
        <w:t xml:space="preserve">anie </w:t>
      </w:r>
      <w:r w:rsidR="0006043A">
        <w:rPr>
          <w:rFonts w:ascii="Times New Roman" w:hAnsi="Times New Roman" w:cs="Times New Roman"/>
          <w:sz w:val="24"/>
          <w:szCs w:val="24"/>
        </w:rPr>
        <w:t xml:space="preserve">výdavkov </w:t>
      </w:r>
      <w:r w:rsidR="00BA717F">
        <w:rPr>
          <w:rFonts w:ascii="Times New Roman" w:hAnsi="Times New Roman" w:cs="Times New Roman"/>
          <w:sz w:val="24"/>
          <w:szCs w:val="24"/>
        </w:rPr>
        <w:t>k</w:t>
      </w:r>
      <w:r w:rsidR="009A58A1">
        <w:rPr>
          <w:rFonts w:ascii="Times New Roman" w:hAnsi="Times New Roman" w:cs="Times New Roman"/>
          <w:sz w:val="24"/>
          <w:szCs w:val="24"/>
        </w:rPr>
        <w:t>apitoly v</w:t>
      </w:r>
      <w:r w:rsidR="0006043A">
        <w:rPr>
          <w:rFonts w:ascii="Times New Roman" w:hAnsi="Times New Roman" w:cs="Times New Roman"/>
          <w:sz w:val="24"/>
          <w:szCs w:val="24"/>
        </w:rPr>
        <w:t xml:space="preserve">o výške </w:t>
      </w:r>
      <w:r w:rsidR="006838C8">
        <w:rPr>
          <w:rFonts w:ascii="Times New Roman" w:hAnsi="Times New Roman" w:cs="Times New Roman"/>
          <w:sz w:val="24"/>
          <w:szCs w:val="24"/>
        </w:rPr>
        <w:t>8 609 333 687,69</w:t>
      </w:r>
      <w:r w:rsidR="009A58A1">
        <w:rPr>
          <w:rFonts w:ascii="Times New Roman" w:hAnsi="Times New Roman" w:cs="Times New Roman"/>
          <w:sz w:val="24"/>
          <w:szCs w:val="24"/>
        </w:rPr>
        <w:t xml:space="preserve"> </w:t>
      </w:r>
      <w:r w:rsidR="006838C8">
        <w:rPr>
          <w:rFonts w:ascii="Times New Roman" w:hAnsi="Times New Roman" w:cs="Times New Roman"/>
          <w:sz w:val="24"/>
          <w:szCs w:val="24"/>
        </w:rPr>
        <w:t xml:space="preserve">Sk, z toho 3 561 967 076,04 </w:t>
      </w:r>
      <w:r w:rsidR="00734004">
        <w:rPr>
          <w:rFonts w:ascii="Times New Roman" w:hAnsi="Times New Roman" w:cs="Times New Roman"/>
          <w:sz w:val="24"/>
          <w:szCs w:val="24"/>
        </w:rPr>
        <w:t xml:space="preserve">Sk s kódom zdroja </w:t>
      </w:r>
      <w:r w:rsidR="0041276C">
        <w:rPr>
          <w:rFonts w:ascii="Times New Roman" w:hAnsi="Times New Roman" w:cs="Times New Roman"/>
          <w:sz w:val="24"/>
          <w:szCs w:val="24"/>
        </w:rPr>
        <w:t xml:space="preserve">13 </w:t>
      </w:r>
      <w:r w:rsidR="00734004">
        <w:rPr>
          <w:rFonts w:ascii="Times New Roman" w:hAnsi="Times New Roman" w:cs="Times New Roman"/>
          <w:sz w:val="24"/>
          <w:szCs w:val="24"/>
        </w:rPr>
        <w:t>a </w:t>
      </w:r>
      <w:r w:rsidR="0041276C">
        <w:rPr>
          <w:rFonts w:ascii="Times New Roman" w:hAnsi="Times New Roman" w:cs="Times New Roman"/>
          <w:sz w:val="24"/>
          <w:szCs w:val="24"/>
        </w:rPr>
        <w:t xml:space="preserve"> </w:t>
      </w:r>
      <w:r w:rsidR="006838C8">
        <w:rPr>
          <w:rFonts w:ascii="Times New Roman" w:hAnsi="Times New Roman" w:cs="Times New Roman"/>
          <w:sz w:val="24"/>
          <w:szCs w:val="24"/>
        </w:rPr>
        <w:t xml:space="preserve">5 047 366 611,65 </w:t>
      </w:r>
      <w:r w:rsidR="00734004">
        <w:rPr>
          <w:rFonts w:ascii="Times New Roman" w:hAnsi="Times New Roman" w:cs="Times New Roman"/>
          <w:sz w:val="24"/>
          <w:szCs w:val="24"/>
        </w:rPr>
        <w:t>Sk s kódom z</w:t>
      </w:r>
      <w:r w:rsidR="0041276C">
        <w:rPr>
          <w:rFonts w:ascii="Times New Roman" w:hAnsi="Times New Roman" w:cs="Times New Roman"/>
          <w:sz w:val="24"/>
          <w:szCs w:val="24"/>
        </w:rPr>
        <w:t>droja 11</w:t>
      </w:r>
      <w:r w:rsidR="00734004">
        <w:rPr>
          <w:rFonts w:ascii="Times New Roman" w:hAnsi="Times New Roman" w:cs="Times New Roman"/>
          <w:sz w:val="24"/>
          <w:szCs w:val="24"/>
        </w:rPr>
        <w:t xml:space="preserve">. Viazanie sa realizovalo </w:t>
      </w:r>
      <w:r w:rsidR="00BA717F">
        <w:rPr>
          <w:rFonts w:ascii="Times New Roman" w:hAnsi="Times New Roman" w:cs="Times New Roman"/>
          <w:sz w:val="24"/>
          <w:szCs w:val="24"/>
        </w:rPr>
        <w:t>podľa § 8 ods. 6 zákona č. 523/2004 Z.z. o rozpočtových pra</w:t>
      </w:r>
      <w:r w:rsidR="0041276C">
        <w:rPr>
          <w:rFonts w:ascii="Times New Roman" w:hAnsi="Times New Roman" w:cs="Times New Roman"/>
          <w:sz w:val="24"/>
          <w:szCs w:val="24"/>
        </w:rPr>
        <w:t xml:space="preserve">vidlách verejnej správy </w:t>
      </w:r>
      <w:r w:rsidR="00BA717F">
        <w:rPr>
          <w:rFonts w:ascii="Times New Roman" w:hAnsi="Times New Roman" w:cs="Times New Roman"/>
          <w:sz w:val="24"/>
          <w:szCs w:val="24"/>
        </w:rPr>
        <w:t>na základ</w:t>
      </w:r>
      <w:r w:rsidR="00BA717F">
        <w:rPr>
          <w:rFonts w:ascii="Times New Roman" w:hAnsi="Times New Roman" w:cs="Times New Roman"/>
          <w:sz w:val="24"/>
          <w:szCs w:val="24"/>
        </w:rPr>
        <w:t xml:space="preserve">e oznámenia MDPT SR o výške </w:t>
      </w:r>
      <w:r w:rsidR="00AF582B">
        <w:rPr>
          <w:rFonts w:ascii="Times New Roman" w:hAnsi="Times New Roman" w:cs="Times New Roman"/>
          <w:sz w:val="24"/>
          <w:szCs w:val="24"/>
        </w:rPr>
        <w:t xml:space="preserve">kapitálových </w:t>
      </w:r>
      <w:r w:rsidR="00BA717F">
        <w:rPr>
          <w:rFonts w:ascii="Times New Roman" w:hAnsi="Times New Roman" w:cs="Times New Roman"/>
          <w:sz w:val="24"/>
          <w:szCs w:val="24"/>
        </w:rPr>
        <w:t xml:space="preserve">výdavkov, </w:t>
      </w:r>
      <w:r w:rsidR="00AF582B">
        <w:rPr>
          <w:rFonts w:ascii="Times New Roman" w:hAnsi="Times New Roman" w:cs="Times New Roman"/>
          <w:sz w:val="24"/>
          <w:szCs w:val="24"/>
        </w:rPr>
        <w:t xml:space="preserve">ktoré použije </w:t>
      </w:r>
      <w:r w:rsidR="0006043A">
        <w:rPr>
          <w:rFonts w:ascii="Times New Roman" w:hAnsi="Times New Roman" w:cs="Times New Roman"/>
          <w:sz w:val="24"/>
          <w:szCs w:val="24"/>
        </w:rPr>
        <w:t xml:space="preserve">kapitola </w:t>
      </w:r>
      <w:r w:rsidR="0041276C">
        <w:rPr>
          <w:rFonts w:ascii="Times New Roman" w:hAnsi="Times New Roman" w:cs="Times New Roman"/>
          <w:sz w:val="24"/>
          <w:szCs w:val="24"/>
        </w:rPr>
        <w:t xml:space="preserve">v nasledujúcom </w:t>
      </w:r>
      <w:r w:rsidR="0006043A">
        <w:rPr>
          <w:rFonts w:ascii="Times New Roman" w:hAnsi="Times New Roman" w:cs="Times New Roman"/>
          <w:sz w:val="24"/>
          <w:szCs w:val="24"/>
        </w:rPr>
        <w:t>roku, z toho prostriedkov na spolufinancova</w:t>
      </w:r>
      <w:r w:rsidR="006838C8">
        <w:rPr>
          <w:rFonts w:ascii="Times New Roman" w:hAnsi="Times New Roman" w:cs="Times New Roman"/>
          <w:sz w:val="24"/>
          <w:szCs w:val="24"/>
        </w:rPr>
        <w:t xml:space="preserve">nie v sume 1 363 039 779,49  </w:t>
      </w:r>
      <w:r w:rsidR="0041276C">
        <w:rPr>
          <w:rFonts w:ascii="Times New Roman" w:hAnsi="Times New Roman" w:cs="Times New Roman"/>
          <w:sz w:val="24"/>
          <w:szCs w:val="24"/>
        </w:rPr>
        <w:t xml:space="preserve">Sk a </w:t>
      </w:r>
      <w:r w:rsidR="0006043A">
        <w:rPr>
          <w:rFonts w:ascii="Times New Roman" w:hAnsi="Times New Roman" w:cs="Times New Roman"/>
          <w:sz w:val="24"/>
          <w:szCs w:val="24"/>
        </w:rPr>
        <w:t>prostriedkov</w:t>
      </w:r>
      <w:r w:rsidR="0041276C">
        <w:rPr>
          <w:rFonts w:ascii="Times New Roman" w:hAnsi="Times New Roman" w:cs="Times New Roman"/>
          <w:sz w:val="24"/>
          <w:szCs w:val="24"/>
        </w:rPr>
        <w:t xml:space="preserve"> z </w:t>
      </w:r>
      <w:r w:rsidR="00BA717F">
        <w:rPr>
          <w:rFonts w:ascii="Times New Roman" w:hAnsi="Times New Roman" w:cs="Times New Roman"/>
          <w:sz w:val="24"/>
          <w:szCs w:val="24"/>
        </w:rPr>
        <w:t>EÚ v</w:t>
      </w:r>
      <w:r w:rsidR="006838C8">
        <w:rPr>
          <w:rFonts w:ascii="Times New Roman" w:hAnsi="Times New Roman" w:cs="Times New Roman"/>
          <w:sz w:val="24"/>
          <w:szCs w:val="24"/>
        </w:rPr>
        <w:t xml:space="preserve">o výške 7 246 293 908,20 </w:t>
      </w:r>
      <w:r w:rsidRPr="00DC7974" w:rsidR="00BA717F">
        <w:rPr>
          <w:rFonts w:ascii="Times New Roman" w:hAnsi="Times New Roman" w:cs="Times New Roman"/>
          <w:sz w:val="24"/>
          <w:szCs w:val="24"/>
        </w:rPr>
        <w:t>Sk</w:t>
      </w:r>
      <w:r w:rsidR="00734004">
        <w:rPr>
          <w:rFonts w:ascii="Times New Roman" w:hAnsi="Times New Roman" w:cs="Times New Roman"/>
          <w:sz w:val="24"/>
          <w:szCs w:val="24"/>
        </w:rPr>
        <w:t xml:space="preserve">. </w:t>
      </w:r>
    </w:p>
    <w:p w:rsidR="000F695D" w:rsidP="00C362EA">
      <w:pPr>
        <w:pStyle w:val="BodyText2"/>
        <w:spacing w:line="240" w:lineRule="auto"/>
        <w:ind w:firstLine="709"/>
        <w:rPr>
          <w:rFonts w:ascii="Times New Roman" w:hAnsi="Times New Roman" w:cs="Times New Roman"/>
          <w:sz w:val="24"/>
          <w:szCs w:val="24"/>
        </w:rPr>
      </w:pPr>
    </w:p>
    <w:p w:rsidR="00BA717F" w:rsidP="00C362EA">
      <w:pPr>
        <w:pStyle w:val="BodyText2"/>
        <w:spacing w:line="240" w:lineRule="auto"/>
        <w:ind w:firstLine="709"/>
        <w:rPr>
          <w:rFonts w:ascii="Times New Roman" w:hAnsi="Times New Roman" w:cs="Times New Roman"/>
          <w:sz w:val="24"/>
          <w:szCs w:val="24"/>
        </w:rPr>
      </w:pPr>
      <w:r w:rsidR="00734004">
        <w:rPr>
          <w:rFonts w:ascii="Times New Roman" w:hAnsi="Times New Roman" w:cs="Times New Roman"/>
          <w:sz w:val="24"/>
          <w:szCs w:val="24"/>
        </w:rPr>
        <w:t xml:space="preserve">Išlo o viazanie na </w:t>
      </w:r>
      <w:r w:rsidR="0006043A">
        <w:rPr>
          <w:rFonts w:ascii="Times New Roman" w:hAnsi="Times New Roman" w:cs="Times New Roman"/>
          <w:sz w:val="24"/>
          <w:szCs w:val="24"/>
        </w:rPr>
        <w:t>nasledovných zdrojo</w:t>
      </w:r>
      <w:r w:rsidR="00734004">
        <w:rPr>
          <w:rFonts w:ascii="Times New Roman" w:hAnsi="Times New Roman" w:cs="Times New Roman"/>
          <w:sz w:val="24"/>
          <w:szCs w:val="24"/>
        </w:rPr>
        <w:t>ch</w:t>
      </w:r>
      <w:r w:rsidRPr="00DC7974">
        <w:rPr>
          <w:rFonts w:ascii="Times New Roman" w:hAnsi="Times New Roman" w:cs="Times New Roman"/>
          <w:sz w:val="24"/>
          <w:szCs w:val="24"/>
        </w:rPr>
        <w:t>:</w:t>
      </w:r>
    </w:p>
    <w:p w:rsidR="00734004" w:rsidP="00C362EA">
      <w:pPr>
        <w:pStyle w:val="BodyText2"/>
        <w:spacing w:line="240" w:lineRule="auto"/>
        <w:ind w:firstLine="709"/>
        <w:rPr>
          <w:rFonts w:ascii="Times New Roman" w:hAnsi="Times New Roman" w:cs="Times New Roman"/>
          <w:sz w:val="24"/>
          <w:szCs w:val="24"/>
        </w:rPr>
      </w:pPr>
    </w:p>
    <w:p w:rsidR="00734004" w:rsidP="00C362EA">
      <w:pPr>
        <w:pStyle w:val="BodyText2"/>
        <w:spacing w:line="240" w:lineRule="auto"/>
        <w:ind w:firstLine="709"/>
        <w:rPr>
          <w:rFonts w:ascii="Times New Roman" w:hAnsi="Times New Roman" w:cs="Times New Roman"/>
          <w:sz w:val="24"/>
          <w:szCs w:val="24"/>
        </w:rPr>
      </w:pPr>
      <w:r w:rsidR="00A14F86">
        <w:rPr>
          <w:rFonts w:ascii="Times New Roman" w:hAnsi="Times New Roman" w:cs="Times New Roman"/>
          <w:sz w:val="24"/>
          <w:szCs w:val="24"/>
        </w:rPr>
        <w:t>Prostriedky z predchádzajúcich rokov</w:t>
      </w:r>
    </w:p>
    <w:p w:rsidR="00734004" w:rsidP="00C362EA">
      <w:pPr>
        <w:pStyle w:val="BodyText2"/>
        <w:spacing w:line="240" w:lineRule="auto"/>
        <w:rPr>
          <w:rFonts w:ascii="Times New Roman" w:hAnsi="Times New Roman" w:cs="Times New Roman"/>
          <w:sz w:val="24"/>
          <w:szCs w:val="24"/>
        </w:rPr>
      </w:pPr>
      <w:r>
        <w:rPr>
          <w:rFonts w:ascii="Times New Roman" w:hAnsi="Times New Roman" w:cs="Times New Roman"/>
          <w:sz w:val="24"/>
          <w:szCs w:val="24"/>
        </w:rPr>
        <w:t xml:space="preserve">            a. 1351 – prostriedky ERDF</w:t>
        <w:tab/>
        <w:tab/>
        <w:t xml:space="preserve">                </w:t>
        <w:tab/>
        <w:t xml:space="preserve">    </w:t>
      </w:r>
      <w:r w:rsidR="00A14F86">
        <w:rPr>
          <w:rFonts w:ascii="Times New Roman" w:hAnsi="Times New Roman" w:cs="Times New Roman"/>
          <w:sz w:val="24"/>
          <w:szCs w:val="24"/>
        </w:rPr>
        <w:t xml:space="preserve">      </w:t>
      </w:r>
      <w:r w:rsidR="00B025C0">
        <w:rPr>
          <w:rFonts w:ascii="Times New Roman" w:hAnsi="Times New Roman" w:cs="Times New Roman"/>
          <w:sz w:val="24"/>
          <w:szCs w:val="24"/>
        </w:rPr>
        <w:t xml:space="preserve">             1 773 177 145,37 </w:t>
      </w:r>
      <w:r>
        <w:rPr>
          <w:rFonts w:ascii="Times New Roman" w:hAnsi="Times New Roman" w:cs="Times New Roman"/>
          <w:sz w:val="24"/>
          <w:szCs w:val="24"/>
        </w:rPr>
        <w:t>Sk</w:t>
      </w:r>
    </w:p>
    <w:p w:rsidR="00734004" w:rsidP="00C362EA">
      <w:pPr>
        <w:pStyle w:val="BodyText2"/>
        <w:spacing w:line="240" w:lineRule="auto"/>
        <w:rPr>
          <w:rFonts w:ascii="Times New Roman" w:hAnsi="Times New Roman" w:cs="Times New Roman"/>
          <w:sz w:val="24"/>
          <w:szCs w:val="24"/>
        </w:rPr>
      </w:pPr>
      <w:r>
        <w:rPr>
          <w:rFonts w:ascii="Times New Roman" w:hAnsi="Times New Roman" w:cs="Times New Roman"/>
          <w:sz w:val="24"/>
          <w:szCs w:val="24"/>
        </w:rPr>
        <w:tab/>
        <w:t>b. 1352 – spolufinancovanie k ERDF</w:t>
        <w:tab/>
        <w:tab/>
        <w:tab/>
      </w:r>
      <w:r w:rsidR="00A14F86">
        <w:rPr>
          <w:rFonts w:ascii="Times New Roman" w:hAnsi="Times New Roman" w:cs="Times New Roman"/>
          <w:sz w:val="24"/>
          <w:szCs w:val="24"/>
        </w:rPr>
        <w:t xml:space="preserve">      </w:t>
      </w:r>
      <w:r w:rsidR="00B025C0">
        <w:rPr>
          <w:rFonts w:ascii="Times New Roman" w:hAnsi="Times New Roman" w:cs="Times New Roman"/>
          <w:sz w:val="24"/>
          <w:szCs w:val="24"/>
        </w:rPr>
        <w:t xml:space="preserve">        374 361 655,00 </w:t>
      </w:r>
      <w:r>
        <w:rPr>
          <w:rFonts w:ascii="Times New Roman" w:hAnsi="Times New Roman" w:cs="Times New Roman"/>
          <w:sz w:val="24"/>
          <w:szCs w:val="24"/>
        </w:rPr>
        <w:t>Sk</w:t>
      </w:r>
    </w:p>
    <w:p w:rsidR="00734004" w:rsidP="00C362EA">
      <w:pPr>
        <w:pStyle w:val="BodyText2"/>
        <w:spacing w:line="240" w:lineRule="auto"/>
        <w:rPr>
          <w:rFonts w:ascii="Times New Roman" w:hAnsi="Times New Roman" w:cs="Times New Roman"/>
          <w:sz w:val="24"/>
          <w:szCs w:val="24"/>
        </w:rPr>
      </w:pPr>
      <w:r>
        <w:rPr>
          <w:rFonts w:ascii="Times New Roman" w:hAnsi="Times New Roman" w:cs="Times New Roman"/>
          <w:sz w:val="24"/>
          <w:szCs w:val="24"/>
        </w:rPr>
        <w:tab/>
        <w:t xml:space="preserve">c. 1391 – prostriedky KF                                                            </w:t>
      </w:r>
      <w:r w:rsidR="00A14F86">
        <w:rPr>
          <w:rFonts w:ascii="Times New Roman" w:hAnsi="Times New Roman" w:cs="Times New Roman"/>
          <w:sz w:val="24"/>
          <w:szCs w:val="24"/>
        </w:rPr>
        <w:t xml:space="preserve">      </w:t>
      </w:r>
      <w:r w:rsidR="00B025C0">
        <w:rPr>
          <w:rFonts w:ascii="Times New Roman" w:hAnsi="Times New Roman" w:cs="Times New Roman"/>
          <w:sz w:val="24"/>
          <w:szCs w:val="24"/>
        </w:rPr>
        <w:t xml:space="preserve">1 229 173 692,00 </w:t>
      </w:r>
      <w:r>
        <w:rPr>
          <w:rFonts w:ascii="Times New Roman" w:hAnsi="Times New Roman" w:cs="Times New Roman"/>
          <w:sz w:val="24"/>
          <w:szCs w:val="24"/>
        </w:rPr>
        <w:t>Sk</w:t>
      </w:r>
    </w:p>
    <w:p w:rsidR="00734004" w:rsidP="00C362EA">
      <w:pPr>
        <w:pStyle w:val="BodyText2"/>
        <w:spacing w:line="240" w:lineRule="auto"/>
        <w:rPr>
          <w:rFonts w:ascii="Times New Roman" w:hAnsi="Times New Roman" w:cs="Times New Roman"/>
          <w:sz w:val="24"/>
          <w:szCs w:val="24"/>
        </w:rPr>
      </w:pPr>
      <w:r>
        <w:rPr>
          <w:rFonts w:ascii="Times New Roman" w:hAnsi="Times New Roman" w:cs="Times New Roman"/>
          <w:sz w:val="24"/>
          <w:szCs w:val="24"/>
        </w:rPr>
        <w:tab/>
        <w:t xml:space="preserve">d. 1392 – spolufinancovanie ku KF                                            </w:t>
      </w:r>
      <w:r w:rsidR="00A14F86">
        <w:rPr>
          <w:rFonts w:ascii="Times New Roman" w:hAnsi="Times New Roman" w:cs="Times New Roman"/>
          <w:sz w:val="24"/>
          <w:szCs w:val="24"/>
        </w:rPr>
        <w:t xml:space="preserve">        </w:t>
      </w:r>
      <w:r w:rsidR="00B025C0">
        <w:rPr>
          <w:rFonts w:ascii="Times New Roman" w:hAnsi="Times New Roman" w:cs="Times New Roman"/>
          <w:sz w:val="24"/>
          <w:szCs w:val="24"/>
        </w:rPr>
        <w:t xml:space="preserve">                  0,00 </w:t>
      </w:r>
      <w:r>
        <w:rPr>
          <w:rFonts w:ascii="Times New Roman" w:hAnsi="Times New Roman" w:cs="Times New Roman"/>
          <w:sz w:val="24"/>
          <w:szCs w:val="24"/>
        </w:rPr>
        <w:t>Sk</w:t>
      </w:r>
    </w:p>
    <w:p w:rsidR="00734004" w:rsidP="00C362EA">
      <w:pPr>
        <w:pStyle w:val="BodyText2"/>
        <w:spacing w:line="240" w:lineRule="auto"/>
        <w:rPr>
          <w:rFonts w:ascii="Times New Roman" w:hAnsi="Times New Roman" w:cs="Times New Roman"/>
          <w:sz w:val="24"/>
          <w:szCs w:val="24"/>
        </w:rPr>
      </w:pPr>
      <w:r w:rsidR="00156081">
        <w:rPr>
          <w:rFonts w:ascii="Times New Roman" w:hAnsi="Times New Roman" w:cs="Times New Roman"/>
          <w:sz w:val="24"/>
          <w:szCs w:val="24"/>
        </w:rPr>
        <w:tab/>
        <w:t xml:space="preserve">e. 13C5 – úver EIB – spolufinancovanie ku KF </w:t>
      </w:r>
      <w:r w:rsidR="00A14F86">
        <w:rPr>
          <w:rFonts w:ascii="Times New Roman" w:hAnsi="Times New Roman" w:cs="Times New Roman"/>
          <w:sz w:val="24"/>
          <w:szCs w:val="24"/>
        </w:rPr>
        <w:t xml:space="preserve">     </w:t>
      </w:r>
      <w:r w:rsidR="00156081">
        <w:rPr>
          <w:rFonts w:ascii="Times New Roman" w:hAnsi="Times New Roman" w:cs="Times New Roman"/>
          <w:sz w:val="24"/>
          <w:szCs w:val="24"/>
        </w:rPr>
        <w:t xml:space="preserve">                           </w:t>
      </w:r>
      <w:r w:rsidR="00B025C0">
        <w:rPr>
          <w:rFonts w:ascii="Times New Roman" w:hAnsi="Times New Roman" w:cs="Times New Roman"/>
          <w:sz w:val="24"/>
          <w:szCs w:val="24"/>
        </w:rPr>
        <w:t>1</w:t>
      </w:r>
      <w:r w:rsidR="00B025C0">
        <w:rPr>
          <w:rFonts w:ascii="Times New Roman" w:hAnsi="Times New Roman" w:cs="Times New Roman"/>
          <w:sz w:val="24"/>
          <w:szCs w:val="24"/>
        </w:rPr>
        <w:t xml:space="preserve">85 254 583,67 </w:t>
      </w:r>
      <w:r>
        <w:rPr>
          <w:rFonts w:ascii="Times New Roman" w:hAnsi="Times New Roman" w:cs="Times New Roman"/>
          <w:sz w:val="24"/>
          <w:szCs w:val="24"/>
        </w:rPr>
        <w:t>Sk</w:t>
      </w:r>
    </w:p>
    <w:p w:rsidR="00734004" w:rsidP="00C362EA">
      <w:pPr>
        <w:pStyle w:val="BodyText2"/>
        <w:spacing w:line="240" w:lineRule="auto"/>
        <w:rPr>
          <w:rFonts w:ascii="Times New Roman" w:hAnsi="Times New Roman" w:cs="Times New Roman"/>
          <w:sz w:val="24"/>
          <w:szCs w:val="24"/>
        </w:rPr>
      </w:pPr>
    </w:p>
    <w:p w:rsidR="00734004" w:rsidRPr="00DC7974" w:rsidP="00C362EA">
      <w:pPr>
        <w:pStyle w:val="BodyText2"/>
        <w:spacing w:line="240" w:lineRule="auto"/>
        <w:ind w:firstLine="709"/>
        <w:rPr>
          <w:rFonts w:ascii="Times New Roman" w:hAnsi="Times New Roman" w:cs="Times New Roman"/>
          <w:sz w:val="24"/>
          <w:szCs w:val="24"/>
        </w:rPr>
      </w:pPr>
      <w:r w:rsidR="00B025C0">
        <w:rPr>
          <w:rFonts w:ascii="Times New Roman" w:hAnsi="Times New Roman" w:cs="Times New Roman"/>
          <w:sz w:val="24"/>
          <w:szCs w:val="24"/>
        </w:rPr>
        <w:t>Prostriedky rozpočtu 2007</w:t>
      </w:r>
    </w:p>
    <w:p w:rsidR="00BA717F" w:rsidRPr="00DC7974" w:rsidP="00C362EA">
      <w:pPr>
        <w:pStyle w:val="BodyText2"/>
        <w:spacing w:line="240" w:lineRule="auto"/>
        <w:rPr>
          <w:rFonts w:ascii="Times New Roman" w:hAnsi="Times New Roman" w:cs="Times New Roman"/>
          <w:sz w:val="24"/>
          <w:szCs w:val="24"/>
        </w:rPr>
      </w:pPr>
      <w:r w:rsidRPr="00DC7974">
        <w:rPr>
          <w:rFonts w:ascii="Times New Roman" w:hAnsi="Times New Roman" w:cs="Times New Roman"/>
          <w:sz w:val="24"/>
          <w:szCs w:val="24"/>
        </w:rPr>
        <w:tab/>
        <w:t>a. 1151</w:t>
        <w:tab/>
      </w:r>
      <w:r w:rsidR="00734004">
        <w:rPr>
          <w:rFonts w:ascii="Times New Roman" w:hAnsi="Times New Roman" w:cs="Times New Roman"/>
          <w:sz w:val="24"/>
          <w:szCs w:val="24"/>
        </w:rPr>
        <w:t xml:space="preserve"> – </w:t>
      </w:r>
      <w:r w:rsidR="00734004">
        <w:rPr>
          <w:rFonts w:ascii="Times New Roman" w:hAnsi="Times New Roman" w:cs="Times New Roman"/>
          <w:color w:val="000000"/>
          <w:sz w:val="24"/>
          <w:szCs w:val="24"/>
        </w:rPr>
        <w:t xml:space="preserve">prostriedky </w:t>
      </w:r>
      <w:r>
        <w:rPr>
          <w:rFonts w:ascii="Times New Roman" w:hAnsi="Times New Roman" w:cs="Times New Roman"/>
          <w:color w:val="000000"/>
          <w:sz w:val="24"/>
          <w:szCs w:val="24"/>
        </w:rPr>
        <w:t>ERDF</w:t>
      </w:r>
      <w:r w:rsidR="00734004">
        <w:rPr>
          <w:rFonts w:ascii="Times New Roman" w:hAnsi="Times New Roman" w:cs="Times New Roman"/>
          <w:color w:val="000000"/>
          <w:sz w:val="24"/>
          <w:szCs w:val="24"/>
        </w:rPr>
        <w:t xml:space="preserve">                                                  </w:t>
      </w:r>
      <w:r w:rsidR="00A14F86">
        <w:rPr>
          <w:rFonts w:ascii="Times New Roman" w:hAnsi="Times New Roman" w:cs="Times New Roman"/>
          <w:color w:val="000000"/>
          <w:sz w:val="24"/>
          <w:szCs w:val="24"/>
        </w:rPr>
        <w:t xml:space="preserve">          </w:t>
      </w:r>
      <w:r w:rsidR="00B025C0">
        <w:rPr>
          <w:rFonts w:ascii="Times New Roman" w:hAnsi="Times New Roman" w:cs="Times New Roman"/>
          <w:sz w:val="24"/>
          <w:szCs w:val="24"/>
        </w:rPr>
        <w:t xml:space="preserve">1 079 893 070,83 </w:t>
      </w:r>
      <w:r w:rsidRPr="00DC7974">
        <w:rPr>
          <w:rFonts w:ascii="Times New Roman" w:hAnsi="Times New Roman" w:cs="Times New Roman"/>
          <w:sz w:val="24"/>
          <w:szCs w:val="24"/>
        </w:rPr>
        <w:t>Sk</w:t>
      </w:r>
    </w:p>
    <w:p w:rsidR="00BA717F" w:rsidRPr="00DC7974" w:rsidP="00C362EA">
      <w:pPr>
        <w:autoSpaceDE/>
        <w:autoSpaceDN/>
        <w:spacing w:line="240" w:lineRule="auto"/>
        <w:rPr>
          <w:rFonts w:ascii="Times New Roman" w:hAnsi="Times New Roman" w:cs="Times New Roman"/>
          <w:color w:val="000000"/>
          <w:sz w:val="24"/>
          <w:szCs w:val="24"/>
        </w:rPr>
      </w:pPr>
      <w:r w:rsidRPr="00DC7974">
        <w:rPr>
          <w:rFonts w:ascii="Times New Roman" w:hAnsi="Times New Roman" w:cs="Times New Roman"/>
          <w:sz w:val="24"/>
          <w:szCs w:val="24"/>
        </w:rPr>
        <w:tab/>
        <w:t>b. 1152</w:t>
      </w:r>
      <w:r w:rsidRPr="00DC797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734004">
        <w:rPr>
          <w:rFonts w:ascii="Times New Roman" w:hAnsi="Times New Roman" w:cs="Times New Roman"/>
          <w:sz w:val="24"/>
          <w:szCs w:val="24"/>
        </w:rPr>
        <w:t>– spolufinancovanie k ERDF</w:t>
      </w:r>
      <w:r w:rsidRPr="00DC7974" w:rsidR="00734004">
        <w:rPr>
          <w:rFonts w:ascii="Times New Roman" w:hAnsi="Times New Roman" w:cs="Times New Roman"/>
          <w:sz w:val="24"/>
          <w:szCs w:val="24"/>
        </w:rPr>
        <w:t xml:space="preserve"> </w:t>
      </w:r>
      <w:r w:rsidR="00734004">
        <w:rPr>
          <w:rFonts w:ascii="Times New Roman" w:hAnsi="Times New Roman" w:cs="Times New Roman"/>
          <w:sz w:val="24"/>
          <w:szCs w:val="24"/>
        </w:rPr>
        <w:t xml:space="preserve">                                  </w:t>
      </w:r>
      <w:r w:rsidR="00A14F86">
        <w:rPr>
          <w:rFonts w:ascii="Times New Roman" w:hAnsi="Times New Roman" w:cs="Times New Roman"/>
          <w:sz w:val="24"/>
          <w:szCs w:val="24"/>
        </w:rPr>
        <w:t xml:space="preserve">             </w:t>
      </w:r>
      <w:r w:rsidR="00B025C0">
        <w:rPr>
          <w:rFonts w:ascii="Times New Roman" w:hAnsi="Times New Roman" w:cs="Times New Roman"/>
          <w:sz w:val="24"/>
          <w:szCs w:val="24"/>
        </w:rPr>
        <w:t xml:space="preserve">  10 776 043,47 </w:t>
      </w:r>
      <w:r w:rsidRPr="00DC7974">
        <w:rPr>
          <w:rFonts w:ascii="Times New Roman" w:hAnsi="Times New Roman" w:cs="Times New Roman"/>
          <w:sz w:val="24"/>
          <w:szCs w:val="24"/>
        </w:rPr>
        <w:t>Sk</w:t>
      </w:r>
    </w:p>
    <w:p w:rsidR="00BA717F" w:rsidRPr="00DC7974" w:rsidP="00C362EA">
      <w:pPr>
        <w:autoSpaceDE/>
        <w:autoSpaceDN/>
        <w:spacing w:line="240" w:lineRule="auto"/>
        <w:rPr>
          <w:rFonts w:ascii="Times New Roman" w:hAnsi="Times New Roman" w:cs="Times New Roman"/>
          <w:color w:val="000000"/>
          <w:sz w:val="24"/>
          <w:szCs w:val="24"/>
        </w:rPr>
      </w:pPr>
      <w:r w:rsidRPr="00DC7974">
        <w:rPr>
          <w:rFonts w:ascii="Times New Roman" w:hAnsi="Times New Roman" w:cs="Times New Roman"/>
          <w:sz w:val="24"/>
          <w:szCs w:val="24"/>
        </w:rPr>
        <w:tab/>
      </w:r>
      <w:r w:rsidRPr="00DC7974">
        <w:rPr>
          <w:rFonts w:ascii="Times New Roman" w:hAnsi="Times New Roman" w:cs="Times New Roman"/>
          <w:sz w:val="24"/>
          <w:szCs w:val="24"/>
        </w:rPr>
        <w:t>c. 1191</w:t>
        <w:tab/>
      </w:r>
      <w:r>
        <w:rPr>
          <w:rFonts w:ascii="Times New Roman" w:hAnsi="Times New Roman" w:cs="Times New Roman"/>
          <w:sz w:val="24"/>
          <w:szCs w:val="24"/>
        </w:rPr>
        <w:t xml:space="preserve">  </w:t>
      </w:r>
      <w:r w:rsidR="00734004">
        <w:rPr>
          <w:rFonts w:ascii="Times New Roman" w:hAnsi="Times New Roman" w:cs="Times New Roman"/>
          <w:sz w:val="24"/>
          <w:szCs w:val="24"/>
        </w:rPr>
        <w:t xml:space="preserve">– </w:t>
      </w:r>
      <w:r w:rsidR="00734004">
        <w:rPr>
          <w:rFonts w:ascii="Times New Roman" w:hAnsi="Times New Roman" w:cs="Times New Roman"/>
          <w:color w:val="000000"/>
          <w:sz w:val="24"/>
          <w:szCs w:val="24"/>
        </w:rPr>
        <w:t xml:space="preserve">prostriedky KF </w:t>
      </w:r>
      <w:r>
        <w:rPr>
          <w:rFonts w:ascii="Times New Roman" w:hAnsi="Times New Roman" w:cs="Times New Roman"/>
          <w:color w:val="000000"/>
          <w:sz w:val="24"/>
          <w:szCs w:val="24"/>
        </w:rPr>
        <w:t xml:space="preserve">                                              </w:t>
      </w:r>
      <w:r w:rsidR="00A14F86">
        <w:rPr>
          <w:rFonts w:ascii="Times New Roman" w:hAnsi="Times New Roman" w:cs="Times New Roman"/>
          <w:color w:val="000000"/>
          <w:sz w:val="24"/>
          <w:szCs w:val="24"/>
        </w:rPr>
        <w:t xml:space="preserve">                 </w:t>
      </w:r>
      <w:r w:rsidR="00B025C0">
        <w:rPr>
          <w:rFonts w:ascii="Times New Roman" w:hAnsi="Times New Roman" w:cs="Times New Roman"/>
          <w:color w:val="000000"/>
          <w:sz w:val="24"/>
          <w:szCs w:val="24"/>
        </w:rPr>
        <w:t xml:space="preserve">3 164 050 000,00 </w:t>
      </w:r>
      <w:r w:rsidRPr="00DC7974">
        <w:rPr>
          <w:rFonts w:ascii="Times New Roman" w:hAnsi="Times New Roman" w:cs="Times New Roman"/>
          <w:sz w:val="24"/>
          <w:szCs w:val="24"/>
        </w:rPr>
        <w:t>Sk</w:t>
      </w:r>
    </w:p>
    <w:p w:rsidR="00BA717F" w:rsidRPr="00DC7974" w:rsidP="00C362EA">
      <w:pPr>
        <w:autoSpaceDE/>
        <w:autoSpaceDN/>
        <w:spacing w:line="240" w:lineRule="auto"/>
        <w:rPr>
          <w:rFonts w:ascii="Times New Roman" w:hAnsi="Times New Roman" w:cs="Times New Roman"/>
          <w:color w:val="000000"/>
          <w:sz w:val="24"/>
          <w:szCs w:val="24"/>
        </w:rPr>
      </w:pPr>
      <w:r w:rsidRPr="00DC7974">
        <w:rPr>
          <w:rFonts w:ascii="Times New Roman" w:hAnsi="Times New Roman" w:cs="Times New Roman"/>
          <w:sz w:val="24"/>
          <w:szCs w:val="24"/>
        </w:rPr>
        <w:tab/>
        <w:t>d. 1192</w:t>
      </w:r>
      <w:r>
        <w:rPr>
          <w:rFonts w:ascii="Times New Roman" w:hAnsi="Times New Roman" w:cs="Times New Roman"/>
          <w:sz w:val="24"/>
          <w:szCs w:val="24"/>
        </w:rPr>
        <w:t xml:space="preserve">  </w:t>
      </w:r>
      <w:r w:rsidR="00734004">
        <w:rPr>
          <w:rFonts w:ascii="Times New Roman" w:hAnsi="Times New Roman" w:cs="Times New Roman"/>
          <w:sz w:val="24"/>
          <w:szCs w:val="24"/>
        </w:rPr>
        <w:t xml:space="preserve">– </w:t>
      </w:r>
      <w:r w:rsidR="00A14F86">
        <w:rPr>
          <w:rFonts w:ascii="Times New Roman" w:hAnsi="Times New Roman" w:cs="Times New Roman"/>
          <w:sz w:val="24"/>
          <w:szCs w:val="24"/>
        </w:rPr>
        <w:t>s</w:t>
      </w:r>
      <w:r w:rsidRPr="00DC7974">
        <w:rPr>
          <w:rFonts w:ascii="Times New Roman" w:hAnsi="Times New Roman" w:cs="Times New Roman"/>
          <w:color w:val="000000"/>
          <w:sz w:val="24"/>
          <w:szCs w:val="24"/>
        </w:rPr>
        <w:t>polufinancovanie</w:t>
      </w:r>
      <w:r w:rsidR="00734004">
        <w:rPr>
          <w:rFonts w:ascii="Times New Roman" w:hAnsi="Times New Roman" w:cs="Times New Roman"/>
          <w:color w:val="000000"/>
          <w:sz w:val="24"/>
          <w:szCs w:val="24"/>
        </w:rPr>
        <w:t xml:space="preserve"> ku KF                                       </w:t>
      </w:r>
      <w:r w:rsidR="00A14F86">
        <w:rPr>
          <w:rFonts w:ascii="Times New Roman" w:hAnsi="Times New Roman" w:cs="Times New Roman"/>
          <w:color w:val="000000"/>
          <w:sz w:val="24"/>
          <w:szCs w:val="24"/>
        </w:rPr>
        <w:t xml:space="preserve">          </w:t>
      </w:r>
      <w:r w:rsidR="00734004">
        <w:rPr>
          <w:rFonts w:ascii="Times New Roman" w:hAnsi="Times New Roman" w:cs="Times New Roman"/>
          <w:color w:val="000000"/>
          <w:sz w:val="24"/>
          <w:szCs w:val="24"/>
        </w:rPr>
        <w:t xml:space="preserve">  </w:t>
      </w:r>
      <w:r w:rsidR="00B025C0">
        <w:rPr>
          <w:rFonts w:ascii="Times New Roman" w:hAnsi="Times New Roman" w:cs="Times New Roman"/>
          <w:sz w:val="24"/>
          <w:szCs w:val="24"/>
        </w:rPr>
        <w:t xml:space="preserve">277 830 497,35 </w:t>
      </w:r>
      <w:r w:rsidRPr="00DC7974">
        <w:rPr>
          <w:rFonts w:ascii="Times New Roman" w:hAnsi="Times New Roman" w:cs="Times New Roman"/>
          <w:sz w:val="24"/>
          <w:szCs w:val="24"/>
        </w:rPr>
        <w:t>Sk</w:t>
      </w:r>
    </w:p>
    <w:p w:rsidR="0011010C" w:rsidRPr="000212D7" w:rsidP="00C362EA">
      <w:pPr>
        <w:pStyle w:val="BodyText2"/>
        <w:spacing w:line="240" w:lineRule="auto"/>
        <w:rPr>
          <w:rFonts w:ascii="Times New Roman" w:hAnsi="Times New Roman" w:cs="Times New Roman"/>
          <w:sz w:val="24"/>
          <w:szCs w:val="24"/>
        </w:rPr>
      </w:pPr>
      <w:r w:rsidRPr="00DC7974" w:rsidR="00BA717F">
        <w:rPr>
          <w:rFonts w:ascii="Times New Roman" w:hAnsi="Times New Roman" w:cs="Times New Roman"/>
          <w:sz w:val="24"/>
          <w:szCs w:val="24"/>
        </w:rPr>
        <w:tab/>
        <w:t>e. 11C</w:t>
      </w:r>
      <w:r w:rsidR="00B025C0">
        <w:rPr>
          <w:rFonts w:ascii="Times New Roman" w:hAnsi="Times New Roman" w:cs="Times New Roman"/>
          <w:sz w:val="24"/>
          <w:szCs w:val="24"/>
        </w:rPr>
        <w:t>5</w:t>
      </w:r>
      <w:r w:rsidRPr="00DC7974" w:rsidR="00BA717F">
        <w:rPr>
          <w:rFonts w:ascii="Times New Roman" w:hAnsi="Times New Roman" w:cs="Times New Roman"/>
          <w:color w:val="000000"/>
          <w:sz w:val="24"/>
          <w:szCs w:val="24"/>
        </w:rPr>
        <w:t xml:space="preserve"> </w:t>
      </w:r>
      <w:r w:rsidR="00734004">
        <w:rPr>
          <w:rFonts w:ascii="Times New Roman" w:hAnsi="Times New Roman" w:cs="Times New Roman"/>
          <w:sz w:val="24"/>
          <w:szCs w:val="24"/>
        </w:rPr>
        <w:t>–</w:t>
      </w:r>
      <w:r w:rsidR="00156081">
        <w:rPr>
          <w:rFonts w:ascii="Times New Roman" w:hAnsi="Times New Roman" w:cs="Times New Roman"/>
          <w:sz w:val="24"/>
          <w:szCs w:val="24"/>
        </w:rPr>
        <w:t xml:space="preserve"> úver EIB – spolufinancovanie ku KF                    </w:t>
      </w:r>
      <w:r w:rsidR="00A14F86">
        <w:rPr>
          <w:rFonts w:ascii="Times New Roman" w:hAnsi="Times New Roman" w:cs="Times New Roman"/>
          <w:color w:val="000000"/>
          <w:sz w:val="24"/>
          <w:szCs w:val="24"/>
        </w:rPr>
        <w:t xml:space="preserve">           </w:t>
      </w:r>
      <w:r w:rsidR="00B025C0">
        <w:rPr>
          <w:rFonts w:ascii="Times New Roman" w:hAnsi="Times New Roman" w:cs="Times New Roman"/>
          <w:sz w:val="24"/>
          <w:szCs w:val="24"/>
        </w:rPr>
        <w:t>514 817 000,00</w:t>
      </w:r>
      <w:r w:rsidR="00A14F86">
        <w:rPr>
          <w:rFonts w:ascii="Times New Roman" w:hAnsi="Times New Roman" w:cs="Times New Roman"/>
          <w:sz w:val="24"/>
          <w:szCs w:val="24"/>
        </w:rPr>
        <w:t xml:space="preserve">   </w:t>
      </w:r>
      <w:r w:rsidRPr="00DC7974" w:rsidR="00BA717F">
        <w:rPr>
          <w:rFonts w:ascii="Times New Roman" w:hAnsi="Times New Roman" w:cs="Times New Roman"/>
          <w:sz w:val="24"/>
          <w:szCs w:val="24"/>
        </w:rPr>
        <w:t>Sk</w:t>
      </w:r>
    </w:p>
    <w:p w:rsidR="00BA717F" w:rsidP="00C362EA">
      <w:pPr>
        <w:pStyle w:val="BodyText2"/>
        <w:spacing w:line="240" w:lineRule="auto"/>
        <w:rPr>
          <w:rFonts w:ascii="Times New Roman" w:hAnsi="Times New Roman" w:cs="Times New Roman"/>
          <w:sz w:val="24"/>
          <w:szCs w:val="24"/>
        </w:rPr>
      </w:pPr>
      <w:r w:rsidRPr="00B10BA8">
        <w:rPr>
          <w:rFonts w:ascii="Times New Roman" w:hAnsi="Times New Roman" w:cs="Times New Roman"/>
          <w:sz w:val="24"/>
          <w:szCs w:val="24"/>
          <w:u w:val="single"/>
        </w:rPr>
        <w:t>Predmetné zdroje boli viazané u organizácií</w:t>
      </w:r>
      <w:r>
        <w:rPr>
          <w:rFonts w:ascii="Times New Roman" w:hAnsi="Times New Roman" w:cs="Times New Roman"/>
          <w:sz w:val="24"/>
          <w:szCs w:val="24"/>
        </w:rPr>
        <w:t xml:space="preserve">: </w:t>
      </w:r>
    </w:p>
    <w:p w:rsidR="00DC6377" w:rsidP="00C362EA">
      <w:pPr>
        <w:pStyle w:val="BodyText2"/>
        <w:spacing w:line="240" w:lineRule="auto"/>
        <w:rPr>
          <w:rFonts w:ascii="Times New Roman" w:hAnsi="Times New Roman" w:cs="Times New Roman"/>
          <w:sz w:val="24"/>
          <w:szCs w:val="24"/>
        </w:rPr>
      </w:pPr>
    </w:p>
    <w:p w:rsidR="008B47CC" w:rsidP="00C362EA">
      <w:pPr>
        <w:pStyle w:val="BodyText2"/>
        <w:spacing w:line="240" w:lineRule="auto"/>
        <w:ind w:firstLine="709"/>
        <w:rPr>
          <w:rFonts w:ascii="Times New Roman" w:hAnsi="Times New Roman" w:cs="Times New Roman"/>
          <w:sz w:val="24"/>
          <w:szCs w:val="24"/>
        </w:rPr>
      </w:pPr>
      <w:r w:rsidRPr="00B10BA8" w:rsidR="00BA717F">
        <w:rPr>
          <w:rFonts w:ascii="Times New Roman" w:hAnsi="Times New Roman" w:cs="Times New Roman"/>
          <w:sz w:val="24"/>
          <w:szCs w:val="24"/>
          <w:u w:val="single"/>
        </w:rPr>
        <w:t>Ná</w:t>
      </w:r>
      <w:r w:rsidRPr="00B10BA8" w:rsidR="00BA717F">
        <w:rPr>
          <w:rFonts w:ascii="Times New Roman" w:hAnsi="Times New Roman" w:cs="Times New Roman"/>
          <w:sz w:val="24"/>
          <w:szCs w:val="24"/>
          <w:u w:val="single"/>
        </w:rPr>
        <w:t xml:space="preserve">rodná diaľničná </w:t>
      </w:r>
      <w:r w:rsidRPr="00B10BA8" w:rsidR="00A14F86">
        <w:rPr>
          <w:rFonts w:ascii="Times New Roman" w:hAnsi="Times New Roman" w:cs="Times New Roman"/>
          <w:sz w:val="24"/>
          <w:szCs w:val="24"/>
          <w:u w:val="single"/>
        </w:rPr>
        <w:t>spoločnosť, a.s.</w:t>
      </w:r>
      <w:r w:rsidR="000F0CC2">
        <w:rPr>
          <w:rFonts w:ascii="Times New Roman" w:hAnsi="Times New Roman" w:cs="Times New Roman"/>
          <w:sz w:val="24"/>
          <w:szCs w:val="24"/>
        </w:rPr>
        <w:t>,</w:t>
      </w:r>
      <w:r w:rsidR="00A14F86">
        <w:rPr>
          <w:rFonts w:ascii="Times New Roman" w:hAnsi="Times New Roman" w:cs="Times New Roman"/>
          <w:sz w:val="24"/>
          <w:szCs w:val="24"/>
        </w:rPr>
        <w:t>(program 053</w:t>
      </w:r>
      <w:r w:rsidR="00B10BA8">
        <w:rPr>
          <w:rFonts w:ascii="Times New Roman" w:hAnsi="Times New Roman" w:cs="Times New Roman"/>
          <w:sz w:val="24"/>
          <w:szCs w:val="24"/>
        </w:rPr>
        <w:t xml:space="preserve"> – </w:t>
      </w:r>
      <w:r w:rsidR="00A14F86">
        <w:rPr>
          <w:rFonts w:ascii="Times New Roman" w:hAnsi="Times New Roman" w:cs="Times New Roman"/>
          <w:sz w:val="24"/>
          <w:szCs w:val="24"/>
        </w:rPr>
        <w:t>Cestná infraštruktúra</w:t>
      </w:r>
      <w:r w:rsidR="00BA717F">
        <w:rPr>
          <w:rFonts w:ascii="Times New Roman" w:hAnsi="Times New Roman" w:cs="Times New Roman"/>
          <w:sz w:val="24"/>
          <w:szCs w:val="24"/>
        </w:rPr>
        <w:t xml:space="preserve">), výdavky </w:t>
      </w:r>
      <w:r>
        <w:rPr>
          <w:rFonts w:ascii="Times New Roman" w:hAnsi="Times New Roman" w:cs="Times New Roman"/>
          <w:sz w:val="24"/>
          <w:szCs w:val="24"/>
        </w:rPr>
        <w:t xml:space="preserve">na </w:t>
      </w:r>
      <w:r w:rsidR="00BA717F">
        <w:rPr>
          <w:rFonts w:ascii="Times New Roman" w:hAnsi="Times New Roman" w:cs="Times New Roman"/>
          <w:sz w:val="24"/>
          <w:szCs w:val="24"/>
        </w:rPr>
        <w:t>výstavbu diaľnic</w:t>
      </w:r>
      <w:r>
        <w:rPr>
          <w:rFonts w:ascii="Times New Roman" w:hAnsi="Times New Roman" w:cs="Times New Roman"/>
          <w:sz w:val="24"/>
          <w:szCs w:val="24"/>
        </w:rPr>
        <w:t xml:space="preserve"> </w:t>
      </w:r>
      <w:r w:rsidR="00B34E85">
        <w:rPr>
          <w:rFonts w:ascii="Times New Roman" w:hAnsi="Times New Roman" w:cs="Times New Roman"/>
          <w:sz w:val="24"/>
          <w:szCs w:val="24"/>
        </w:rPr>
        <w:t xml:space="preserve">a rých. ciest </w:t>
      </w:r>
      <w:r w:rsidR="00156081">
        <w:rPr>
          <w:rFonts w:ascii="Times New Roman" w:hAnsi="Times New Roman" w:cs="Times New Roman"/>
          <w:sz w:val="24"/>
          <w:szCs w:val="24"/>
        </w:rPr>
        <w:t xml:space="preserve">vo výške 5 139 024 695,51 </w:t>
      </w:r>
      <w:r w:rsidR="00B34E85">
        <w:rPr>
          <w:rFonts w:ascii="Times New Roman" w:hAnsi="Times New Roman" w:cs="Times New Roman"/>
          <w:sz w:val="24"/>
          <w:szCs w:val="24"/>
        </w:rPr>
        <w:t xml:space="preserve">Sk, z toho prostriedky z </w:t>
      </w:r>
      <w:r w:rsidR="00156081">
        <w:rPr>
          <w:rFonts w:ascii="Times New Roman" w:hAnsi="Times New Roman" w:cs="Times New Roman"/>
          <w:sz w:val="24"/>
          <w:szCs w:val="24"/>
        </w:rPr>
        <w:t xml:space="preserve">EÚ vo výške 4 136 968 660,11 </w:t>
      </w:r>
      <w:r w:rsidR="000F0CC2">
        <w:rPr>
          <w:rFonts w:ascii="Times New Roman" w:hAnsi="Times New Roman" w:cs="Times New Roman"/>
          <w:sz w:val="24"/>
          <w:szCs w:val="24"/>
        </w:rPr>
        <w:t>Sk a príslušné spolufin</w:t>
      </w:r>
      <w:r w:rsidR="00B34E85">
        <w:rPr>
          <w:rFonts w:ascii="Times New Roman" w:hAnsi="Times New Roman" w:cs="Times New Roman"/>
          <w:sz w:val="24"/>
          <w:szCs w:val="24"/>
        </w:rPr>
        <w:t xml:space="preserve">. </w:t>
      </w:r>
      <w:r w:rsidR="00156081">
        <w:rPr>
          <w:rFonts w:ascii="Times New Roman" w:hAnsi="Times New Roman" w:cs="Times New Roman"/>
          <w:sz w:val="24"/>
          <w:szCs w:val="24"/>
        </w:rPr>
        <w:t>zo ŠR vo výške 1 002 056 035,40</w:t>
      </w:r>
      <w:r>
        <w:rPr>
          <w:rFonts w:ascii="Times New Roman" w:hAnsi="Times New Roman" w:cs="Times New Roman"/>
          <w:sz w:val="24"/>
          <w:szCs w:val="24"/>
        </w:rPr>
        <w:t xml:space="preserve"> </w:t>
      </w:r>
      <w:r w:rsidR="00BA717F">
        <w:rPr>
          <w:rFonts w:ascii="Times New Roman" w:hAnsi="Times New Roman" w:cs="Times New Roman"/>
          <w:sz w:val="24"/>
          <w:szCs w:val="24"/>
        </w:rPr>
        <w:t xml:space="preserve">Sk. </w:t>
      </w:r>
    </w:p>
    <w:p w:rsidR="00B37107" w:rsidP="00C362EA">
      <w:pPr>
        <w:pStyle w:val="BodyText2"/>
        <w:spacing w:line="240" w:lineRule="auto"/>
        <w:ind w:firstLine="709"/>
        <w:rPr>
          <w:rFonts w:ascii="Times New Roman" w:hAnsi="Times New Roman" w:cs="Times New Roman"/>
          <w:sz w:val="24"/>
          <w:szCs w:val="24"/>
        </w:rPr>
      </w:pPr>
    </w:p>
    <w:p w:rsidR="00BA717F" w:rsidP="00C362EA">
      <w:pPr>
        <w:pStyle w:val="BodyText2"/>
        <w:spacing w:line="240" w:lineRule="auto"/>
        <w:ind w:firstLine="709"/>
        <w:rPr>
          <w:rFonts w:ascii="Times New Roman" w:hAnsi="Times New Roman" w:cs="Times New Roman"/>
          <w:sz w:val="24"/>
          <w:szCs w:val="24"/>
        </w:rPr>
      </w:pPr>
      <w:r w:rsidRPr="00B10BA8" w:rsidR="0070057E">
        <w:rPr>
          <w:rFonts w:ascii="Times New Roman" w:hAnsi="Times New Roman" w:cs="Times New Roman"/>
          <w:sz w:val="24"/>
          <w:szCs w:val="24"/>
          <w:u w:val="single"/>
        </w:rPr>
        <w:t>Slovenská správa ciest</w:t>
      </w:r>
      <w:r w:rsidR="00B10BA8">
        <w:rPr>
          <w:rFonts w:ascii="Times New Roman" w:hAnsi="Times New Roman" w:cs="Times New Roman"/>
          <w:sz w:val="24"/>
          <w:szCs w:val="24"/>
        </w:rPr>
        <w:t xml:space="preserve"> (program 053 – </w:t>
      </w:r>
      <w:r w:rsidR="008B47CC">
        <w:rPr>
          <w:rFonts w:ascii="Times New Roman" w:hAnsi="Times New Roman" w:cs="Times New Roman"/>
          <w:sz w:val="24"/>
          <w:szCs w:val="24"/>
        </w:rPr>
        <w:t>Cestná infraštruktúra), výdavky na výs</w:t>
      </w:r>
      <w:r w:rsidR="0070057E">
        <w:rPr>
          <w:rFonts w:ascii="Times New Roman" w:hAnsi="Times New Roman" w:cs="Times New Roman"/>
          <w:sz w:val="24"/>
          <w:szCs w:val="24"/>
        </w:rPr>
        <w:t>tavb</w:t>
      </w:r>
      <w:r w:rsidR="00B10BA8">
        <w:rPr>
          <w:rFonts w:ascii="Times New Roman" w:hAnsi="Times New Roman" w:cs="Times New Roman"/>
          <w:sz w:val="24"/>
          <w:szCs w:val="24"/>
        </w:rPr>
        <w:t xml:space="preserve">u ciest I. triedy a diaľ. </w:t>
      </w:r>
      <w:r w:rsidR="0070057E">
        <w:rPr>
          <w:rFonts w:ascii="Times New Roman" w:hAnsi="Times New Roman" w:cs="Times New Roman"/>
          <w:sz w:val="24"/>
          <w:szCs w:val="24"/>
        </w:rPr>
        <w:t>privá</w:t>
      </w:r>
      <w:r w:rsidR="003B4F96">
        <w:rPr>
          <w:rFonts w:ascii="Times New Roman" w:hAnsi="Times New Roman" w:cs="Times New Roman"/>
          <w:sz w:val="24"/>
          <w:szCs w:val="24"/>
        </w:rPr>
        <w:t xml:space="preserve">dzačov, vo výške 962 815 448,78 </w:t>
      </w:r>
      <w:r w:rsidR="00B10BA8">
        <w:rPr>
          <w:rFonts w:ascii="Times New Roman" w:hAnsi="Times New Roman" w:cs="Times New Roman"/>
          <w:sz w:val="24"/>
          <w:szCs w:val="24"/>
        </w:rPr>
        <w:t xml:space="preserve">Sk, z toho prostriedky z </w:t>
      </w:r>
      <w:r w:rsidR="003B4F96">
        <w:rPr>
          <w:rFonts w:ascii="Times New Roman" w:hAnsi="Times New Roman" w:cs="Times New Roman"/>
          <w:sz w:val="24"/>
          <w:szCs w:val="24"/>
        </w:rPr>
        <w:t xml:space="preserve">EÚ vo výške 952 340 086,34 </w:t>
      </w:r>
      <w:r w:rsidR="008B47CC">
        <w:rPr>
          <w:rFonts w:ascii="Times New Roman" w:hAnsi="Times New Roman" w:cs="Times New Roman"/>
          <w:sz w:val="24"/>
          <w:szCs w:val="24"/>
        </w:rPr>
        <w:t xml:space="preserve">Sk a príslušné spolufinancovanie </w:t>
      </w:r>
      <w:r w:rsidR="003B4F96">
        <w:rPr>
          <w:rFonts w:ascii="Times New Roman" w:hAnsi="Times New Roman" w:cs="Times New Roman"/>
          <w:sz w:val="24"/>
          <w:szCs w:val="24"/>
        </w:rPr>
        <w:t>zo ŠR vo výške 10 475 362,4</w:t>
      </w:r>
      <w:r w:rsidR="003B4F96">
        <w:rPr>
          <w:rFonts w:ascii="Times New Roman" w:hAnsi="Times New Roman" w:cs="Times New Roman"/>
          <w:sz w:val="24"/>
          <w:szCs w:val="24"/>
        </w:rPr>
        <w:t xml:space="preserve">4 </w:t>
      </w:r>
      <w:r w:rsidR="00B10BA8">
        <w:rPr>
          <w:rFonts w:ascii="Times New Roman" w:hAnsi="Times New Roman" w:cs="Times New Roman"/>
          <w:sz w:val="24"/>
          <w:szCs w:val="24"/>
        </w:rPr>
        <w:t>Sk.</w:t>
      </w:r>
    </w:p>
    <w:p w:rsidR="00B37107" w:rsidP="00C362EA">
      <w:pPr>
        <w:pStyle w:val="BodyText2"/>
        <w:spacing w:line="240" w:lineRule="auto"/>
        <w:ind w:firstLine="709"/>
        <w:rPr>
          <w:rFonts w:ascii="Times New Roman" w:hAnsi="Times New Roman" w:cs="Times New Roman"/>
          <w:sz w:val="24"/>
          <w:szCs w:val="24"/>
        </w:rPr>
      </w:pPr>
    </w:p>
    <w:p w:rsidR="00BA717F" w:rsidP="00C362EA">
      <w:pPr>
        <w:pStyle w:val="BodyText2"/>
        <w:spacing w:line="240" w:lineRule="auto"/>
        <w:ind w:firstLine="709"/>
        <w:rPr>
          <w:rFonts w:ascii="Times New Roman" w:hAnsi="Times New Roman" w:cs="Times New Roman"/>
          <w:sz w:val="24"/>
          <w:szCs w:val="24"/>
        </w:rPr>
      </w:pPr>
      <w:r w:rsidRPr="00B10BA8" w:rsidR="0070057E">
        <w:rPr>
          <w:rFonts w:ascii="Times New Roman" w:hAnsi="Times New Roman" w:cs="Times New Roman"/>
          <w:sz w:val="24"/>
          <w:szCs w:val="24"/>
          <w:u w:val="single"/>
        </w:rPr>
        <w:t>Železnice SR</w:t>
      </w:r>
      <w:r w:rsidR="0070057E">
        <w:rPr>
          <w:rFonts w:ascii="Times New Roman" w:hAnsi="Times New Roman" w:cs="Times New Roman"/>
          <w:sz w:val="24"/>
          <w:szCs w:val="24"/>
        </w:rPr>
        <w:t xml:space="preserve"> (program 07S </w:t>
      </w:r>
      <w:r>
        <w:rPr>
          <w:rFonts w:ascii="Times New Roman" w:hAnsi="Times New Roman" w:cs="Times New Roman"/>
          <w:sz w:val="24"/>
          <w:szCs w:val="24"/>
        </w:rPr>
        <w:t>Železničná doprava), výdavky na modernizáciu a rozvoj železničných dopravných c</w:t>
      </w:r>
      <w:r w:rsidR="003D276E">
        <w:rPr>
          <w:rFonts w:ascii="Times New Roman" w:hAnsi="Times New Roman" w:cs="Times New Roman"/>
          <w:sz w:val="24"/>
          <w:szCs w:val="24"/>
        </w:rPr>
        <w:t xml:space="preserve">iest, vo výške 2 383 882 830,28 </w:t>
      </w:r>
      <w:r w:rsidR="00B10BA8">
        <w:rPr>
          <w:rFonts w:ascii="Times New Roman" w:hAnsi="Times New Roman" w:cs="Times New Roman"/>
          <w:sz w:val="24"/>
          <w:szCs w:val="24"/>
        </w:rPr>
        <w:t xml:space="preserve">Sk, z toho prostriedky z </w:t>
      </w:r>
      <w:r w:rsidR="003D276E">
        <w:rPr>
          <w:rFonts w:ascii="Times New Roman" w:hAnsi="Times New Roman" w:cs="Times New Roman"/>
          <w:sz w:val="24"/>
          <w:szCs w:val="24"/>
        </w:rPr>
        <w:t xml:space="preserve">EÚ vo výške 2 053 704 750,81 </w:t>
      </w:r>
      <w:r>
        <w:rPr>
          <w:rFonts w:ascii="Times New Roman" w:hAnsi="Times New Roman" w:cs="Times New Roman"/>
          <w:sz w:val="24"/>
          <w:szCs w:val="24"/>
        </w:rPr>
        <w:t>Sk a príslušné spolufinanco</w:t>
      </w:r>
      <w:r w:rsidR="003D276E">
        <w:rPr>
          <w:rFonts w:ascii="Times New Roman" w:hAnsi="Times New Roman" w:cs="Times New Roman"/>
          <w:sz w:val="24"/>
          <w:szCs w:val="24"/>
        </w:rPr>
        <w:t>vanie zo ŠR vo výške 330 178 07</w:t>
      </w:r>
      <w:r w:rsidR="003D276E">
        <w:rPr>
          <w:rFonts w:ascii="Times New Roman" w:hAnsi="Times New Roman" w:cs="Times New Roman"/>
          <w:sz w:val="24"/>
          <w:szCs w:val="24"/>
        </w:rPr>
        <w:t xml:space="preserve">9,47 </w:t>
      </w:r>
      <w:r>
        <w:rPr>
          <w:rFonts w:ascii="Times New Roman" w:hAnsi="Times New Roman" w:cs="Times New Roman"/>
          <w:sz w:val="24"/>
          <w:szCs w:val="24"/>
        </w:rPr>
        <w:t>Sk.</w:t>
      </w:r>
    </w:p>
    <w:p w:rsidR="00B37107" w:rsidP="00C362EA">
      <w:pPr>
        <w:pStyle w:val="BodyText2"/>
        <w:spacing w:line="240" w:lineRule="auto"/>
        <w:ind w:firstLine="709"/>
        <w:rPr>
          <w:rFonts w:ascii="Times New Roman" w:hAnsi="Times New Roman" w:cs="Times New Roman"/>
          <w:sz w:val="24"/>
          <w:szCs w:val="24"/>
        </w:rPr>
      </w:pPr>
    </w:p>
    <w:p w:rsidR="00BA717F" w:rsidP="00C362EA">
      <w:pPr>
        <w:pStyle w:val="BodyText2"/>
        <w:spacing w:line="240" w:lineRule="auto"/>
        <w:ind w:firstLine="709"/>
        <w:rPr>
          <w:rFonts w:ascii="Times New Roman" w:hAnsi="Times New Roman" w:cs="Times New Roman"/>
          <w:sz w:val="24"/>
          <w:szCs w:val="24"/>
        </w:rPr>
      </w:pPr>
      <w:r w:rsidR="0070057E">
        <w:rPr>
          <w:rFonts w:ascii="Times New Roman" w:hAnsi="Times New Roman" w:cs="Times New Roman"/>
          <w:sz w:val="24"/>
          <w:szCs w:val="24"/>
        </w:rPr>
        <w:t xml:space="preserve">Program </w:t>
      </w:r>
      <w:r w:rsidR="00B10BA8">
        <w:rPr>
          <w:rFonts w:ascii="Times New Roman" w:hAnsi="Times New Roman" w:cs="Times New Roman"/>
          <w:sz w:val="24"/>
          <w:szCs w:val="24"/>
          <w:u w:val="single"/>
        </w:rPr>
        <w:t xml:space="preserve">055 – </w:t>
      </w:r>
      <w:r w:rsidRPr="00B10BA8">
        <w:rPr>
          <w:rFonts w:ascii="Times New Roman" w:hAnsi="Times New Roman" w:cs="Times New Roman"/>
          <w:sz w:val="24"/>
          <w:szCs w:val="24"/>
          <w:u w:val="single"/>
        </w:rPr>
        <w:t>Letecká doprava a infraštr</w:t>
      </w:r>
      <w:r w:rsidRPr="00B10BA8" w:rsidR="0070057E">
        <w:rPr>
          <w:rFonts w:ascii="Times New Roman" w:hAnsi="Times New Roman" w:cs="Times New Roman"/>
          <w:sz w:val="24"/>
          <w:szCs w:val="24"/>
          <w:u w:val="single"/>
        </w:rPr>
        <w:t>uktúra</w:t>
      </w:r>
      <w:r w:rsidR="0070057E">
        <w:rPr>
          <w:rFonts w:ascii="Times New Roman" w:hAnsi="Times New Roman" w:cs="Times New Roman"/>
          <w:sz w:val="24"/>
          <w:szCs w:val="24"/>
        </w:rPr>
        <w:t xml:space="preserve">, výdavky na modernizáciu </w:t>
      </w:r>
      <w:r>
        <w:rPr>
          <w:rFonts w:ascii="Times New Roman" w:hAnsi="Times New Roman" w:cs="Times New Roman"/>
          <w:sz w:val="24"/>
          <w:szCs w:val="24"/>
        </w:rPr>
        <w:t xml:space="preserve">a rozvoj infraštruktúry leteckej </w:t>
      </w:r>
      <w:r w:rsidR="003D276E">
        <w:rPr>
          <w:rFonts w:ascii="Times New Roman" w:hAnsi="Times New Roman" w:cs="Times New Roman"/>
          <w:sz w:val="24"/>
          <w:szCs w:val="24"/>
        </w:rPr>
        <w:t xml:space="preserve">dopravy, vo výške 77 583 720,08 </w:t>
      </w:r>
      <w:r>
        <w:rPr>
          <w:rFonts w:ascii="Times New Roman" w:hAnsi="Times New Roman" w:cs="Times New Roman"/>
          <w:sz w:val="24"/>
          <w:szCs w:val="24"/>
        </w:rPr>
        <w:t>Sk, z toho prostriedky z r</w:t>
      </w:r>
      <w:r w:rsidR="0070057E">
        <w:rPr>
          <w:rFonts w:ascii="Times New Roman" w:hAnsi="Times New Roman" w:cs="Times New Roman"/>
          <w:sz w:val="24"/>
          <w:szCs w:val="24"/>
        </w:rPr>
        <w:t>oz</w:t>
      </w:r>
      <w:r w:rsidR="003D276E">
        <w:rPr>
          <w:rFonts w:ascii="Times New Roman" w:hAnsi="Times New Roman" w:cs="Times New Roman"/>
          <w:sz w:val="24"/>
          <w:szCs w:val="24"/>
        </w:rPr>
        <w:t xml:space="preserve">počtu EÚ vo výške 68 688 347,37 </w:t>
      </w:r>
      <w:r>
        <w:rPr>
          <w:rFonts w:ascii="Times New Roman" w:hAnsi="Times New Roman" w:cs="Times New Roman"/>
          <w:sz w:val="24"/>
          <w:szCs w:val="24"/>
        </w:rPr>
        <w:t>Sk a príslušné spolufinancova</w:t>
      </w:r>
      <w:r w:rsidR="0070057E">
        <w:rPr>
          <w:rFonts w:ascii="Times New Roman" w:hAnsi="Times New Roman" w:cs="Times New Roman"/>
          <w:sz w:val="24"/>
          <w:szCs w:val="24"/>
        </w:rPr>
        <w:t xml:space="preserve">nie zo ŠR vo </w:t>
      </w:r>
      <w:r w:rsidR="003D276E">
        <w:rPr>
          <w:rFonts w:ascii="Times New Roman" w:hAnsi="Times New Roman" w:cs="Times New Roman"/>
          <w:sz w:val="24"/>
          <w:szCs w:val="24"/>
        </w:rPr>
        <w:t>výške 8</w:t>
      </w:r>
      <w:r w:rsidR="003D276E">
        <w:rPr>
          <w:rFonts w:ascii="Times New Roman" w:hAnsi="Times New Roman" w:cs="Times New Roman"/>
          <w:sz w:val="24"/>
          <w:szCs w:val="24"/>
        </w:rPr>
        <w:t xml:space="preserve"> 895 372,71 </w:t>
      </w:r>
      <w:r>
        <w:rPr>
          <w:rFonts w:ascii="Times New Roman" w:hAnsi="Times New Roman" w:cs="Times New Roman"/>
          <w:sz w:val="24"/>
          <w:szCs w:val="24"/>
        </w:rPr>
        <w:t>Sk.</w:t>
      </w:r>
    </w:p>
    <w:p w:rsidR="00B37107" w:rsidP="00C362EA">
      <w:pPr>
        <w:pStyle w:val="BodyText2"/>
        <w:spacing w:line="240" w:lineRule="auto"/>
        <w:ind w:firstLine="709"/>
        <w:rPr>
          <w:rFonts w:ascii="Times New Roman" w:hAnsi="Times New Roman" w:cs="Times New Roman"/>
          <w:sz w:val="24"/>
          <w:szCs w:val="24"/>
        </w:rPr>
      </w:pPr>
    </w:p>
    <w:p w:rsidR="00BA717F" w:rsidP="00C362EA">
      <w:pPr>
        <w:pStyle w:val="BodyText2"/>
        <w:spacing w:line="240" w:lineRule="auto"/>
        <w:ind w:firstLine="709"/>
        <w:rPr>
          <w:rFonts w:ascii="Times New Roman" w:hAnsi="Times New Roman" w:cs="Times New Roman"/>
          <w:sz w:val="24"/>
          <w:szCs w:val="24"/>
        </w:rPr>
      </w:pPr>
      <w:r w:rsidR="00B10BA8">
        <w:rPr>
          <w:rFonts w:ascii="Times New Roman" w:hAnsi="Times New Roman" w:cs="Times New Roman"/>
          <w:sz w:val="24"/>
          <w:szCs w:val="24"/>
          <w:u w:val="single"/>
        </w:rPr>
        <w:t xml:space="preserve">Úrad MDPT SR – </w:t>
      </w:r>
      <w:r w:rsidRPr="00B10BA8">
        <w:rPr>
          <w:rFonts w:ascii="Times New Roman" w:hAnsi="Times New Roman" w:cs="Times New Roman"/>
          <w:sz w:val="24"/>
          <w:szCs w:val="24"/>
          <w:u w:val="single"/>
        </w:rPr>
        <w:t>t</w:t>
      </w:r>
      <w:r w:rsidRPr="00B10BA8" w:rsidR="0070057E">
        <w:rPr>
          <w:rFonts w:ascii="Times New Roman" w:hAnsi="Times New Roman" w:cs="Times New Roman"/>
          <w:sz w:val="24"/>
          <w:szCs w:val="24"/>
          <w:u w:val="single"/>
        </w:rPr>
        <w:t>echnická pomoc</w:t>
      </w:r>
      <w:r w:rsidR="00B34E85">
        <w:rPr>
          <w:rFonts w:ascii="Times New Roman" w:hAnsi="Times New Roman" w:cs="Times New Roman"/>
          <w:sz w:val="24"/>
          <w:szCs w:val="24"/>
        </w:rPr>
        <w:t xml:space="preserve"> (program 07T – </w:t>
      </w:r>
      <w:r w:rsidR="0070057E">
        <w:rPr>
          <w:rFonts w:ascii="Times New Roman" w:hAnsi="Times New Roman" w:cs="Times New Roman"/>
          <w:sz w:val="24"/>
          <w:szCs w:val="24"/>
        </w:rPr>
        <w:t xml:space="preserve">Tvorba  a implementácia </w:t>
      </w:r>
      <w:r w:rsidR="003D276E">
        <w:rPr>
          <w:rFonts w:ascii="Times New Roman" w:hAnsi="Times New Roman" w:cs="Times New Roman"/>
          <w:sz w:val="24"/>
          <w:szCs w:val="24"/>
        </w:rPr>
        <w:t>politík) vo výške 46 026 993,04 Sk</w:t>
      </w:r>
      <w:r w:rsidR="00B34E85">
        <w:rPr>
          <w:rFonts w:ascii="Times New Roman" w:hAnsi="Times New Roman" w:cs="Times New Roman"/>
          <w:sz w:val="24"/>
          <w:szCs w:val="24"/>
        </w:rPr>
        <w:t xml:space="preserve">, z toho prostriedky z </w:t>
      </w:r>
      <w:r w:rsidR="003D276E">
        <w:rPr>
          <w:rFonts w:ascii="Times New Roman" w:hAnsi="Times New Roman" w:cs="Times New Roman"/>
          <w:sz w:val="24"/>
          <w:szCs w:val="24"/>
        </w:rPr>
        <w:t xml:space="preserve">EÚ vo výške 34 592 063,57 </w:t>
      </w:r>
      <w:r>
        <w:rPr>
          <w:rFonts w:ascii="Times New Roman" w:hAnsi="Times New Roman" w:cs="Times New Roman"/>
          <w:sz w:val="24"/>
          <w:szCs w:val="24"/>
        </w:rPr>
        <w:t>Sk a príslušné spolufin</w:t>
      </w:r>
      <w:r w:rsidR="0070057E">
        <w:rPr>
          <w:rFonts w:ascii="Times New Roman" w:hAnsi="Times New Roman" w:cs="Times New Roman"/>
          <w:sz w:val="24"/>
          <w:szCs w:val="24"/>
        </w:rPr>
        <w:t>ancovan</w:t>
      </w:r>
      <w:r w:rsidR="003D276E">
        <w:rPr>
          <w:rFonts w:ascii="Times New Roman" w:hAnsi="Times New Roman" w:cs="Times New Roman"/>
          <w:sz w:val="24"/>
          <w:szCs w:val="24"/>
        </w:rPr>
        <w:t xml:space="preserve">ie zo ŠR vo výške 11 434 929,47 </w:t>
      </w:r>
      <w:r w:rsidR="0070057E">
        <w:rPr>
          <w:rFonts w:ascii="Times New Roman" w:hAnsi="Times New Roman" w:cs="Times New Roman"/>
          <w:sz w:val="24"/>
          <w:szCs w:val="24"/>
        </w:rPr>
        <w:t xml:space="preserve">Sk. </w:t>
      </w:r>
    </w:p>
    <w:p w:rsidR="00B37107" w:rsidP="00C362EA">
      <w:pPr>
        <w:pStyle w:val="BodyText2"/>
        <w:spacing w:line="240" w:lineRule="auto"/>
        <w:ind w:firstLine="709"/>
        <w:rPr>
          <w:rFonts w:ascii="Times New Roman" w:hAnsi="Times New Roman" w:cs="Times New Roman"/>
          <w:sz w:val="24"/>
          <w:szCs w:val="24"/>
        </w:rPr>
      </w:pPr>
    </w:p>
    <w:p w:rsidR="00BA717F" w:rsidP="00C362EA">
      <w:pPr>
        <w:pStyle w:val="BodyText2"/>
        <w:spacing w:line="240" w:lineRule="auto"/>
        <w:ind w:firstLine="709"/>
        <w:rPr>
          <w:rFonts w:ascii="Times New Roman" w:hAnsi="Times New Roman" w:cs="Times New Roman"/>
          <w:sz w:val="24"/>
          <w:szCs w:val="24"/>
        </w:rPr>
      </w:pPr>
      <w:r>
        <w:rPr>
          <w:rFonts w:ascii="Times New Roman" w:hAnsi="Times New Roman" w:cs="Times New Roman"/>
          <w:sz w:val="24"/>
          <w:szCs w:val="24"/>
        </w:rPr>
        <w:t>Kapitola MDPT SR p</w:t>
      </w:r>
      <w:r>
        <w:rPr>
          <w:rFonts w:ascii="Times New Roman" w:hAnsi="Times New Roman" w:cs="Times New Roman"/>
          <w:sz w:val="24"/>
          <w:szCs w:val="24"/>
        </w:rPr>
        <w:t>oužije ro</w:t>
      </w:r>
      <w:r w:rsidR="003D276E">
        <w:rPr>
          <w:rFonts w:ascii="Times New Roman" w:hAnsi="Times New Roman" w:cs="Times New Roman"/>
          <w:sz w:val="24"/>
          <w:szCs w:val="24"/>
        </w:rPr>
        <w:t>zpočtové prostriedky v roku 2008</w:t>
      </w:r>
      <w:r>
        <w:rPr>
          <w:rFonts w:ascii="Times New Roman" w:hAnsi="Times New Roman" w:cs="Times New Roman"/>
          <w:sz w:val="24"/>
          <w:szCs w:val="24"/>
        </w:rPr>
        <w:t xml:space="preserve"> na ten istý účel, na kto</w:t>
      </w:r>
      <w:r w:rsidR="003D276E">
        <w:rPr>
          <w:rFonts w:ascii="Times New Roman" w:hAnsi="Times New Roman" w:cs="Times New Roman"/>
          <w:sz w:val="24"/>
          <w:szCs w:val="24"/>
        </w:rPr>
        <w:t>ré boli rozpočtované v 2007</w:t>
      </w:r>
      <w:r>
        <w:rPr>
          <w:rFonts w:ascii="Times New Roman" w:hAnsi="Times New Roman" w:cs="Times New Roman"/>
          <w:sz w:val="24"/>
          <w:szCs w:val="24"/>
        </w:rPr>
        <w:t xml:space="preserve">. </w:t>
      </w:r>
    </w:p>
    <w:p w:rsidR="00343DC7" w:rsidRPr="003F36B1" w:rsidP="00C362EA">
      <w:pPr>
        <w:pStyle w:val="BodyText2"/>
        <w:spacing w:line="240" w:lineRule="auto"/>
        <w:ind w:firstLine="709"/>
        <w:rPr>
          <w:rFonts w:ascii="Times New Roman" w:hAnsi="Times New Roman" w:cs="Times New Roman"/>
          <w:sz w:val="24"/>
          <w:szCs w:val="24"/>
        </w:rPr>
      </w:pPr>
    </w:p>
    <w:p w:rsidR="00343DC7" w:rsidP="00343DC7">
      <w:pPr>
        <w:spacing w:line="240" w:lineRule="auto"/>
        <w:ind w:firstLine="709"/>
        <w:rPr>
          <w:rFonts w:ascii="Times New Roman" w:hAnsi="Times New Roman" w:cs="Times New Roman"/>
          <w:sz w:val="24"/>
          <w:szCs w:val="24"/>
        </w:rPr>
      </w:pPr>
      <w:r w:rsidRPr="00343DC7">
        <w:rPr>
          <w:rFonts w:ascii="Times New Roman" w:hAnsi="Times New Roman" w:cs="Times New Roman"/>
          <w:sz w:val="24"/>
          <w:szCs w:val="24"/>
        </w:rPr>
        <w:t xml:space="preserve">Viazanie </w:t>
      </w:r>
      <w:r>
        <w:rPr>
          <w:rFonts w:ascii="Times New Roman" w:hAnsi="Times New Roman" w:cs="Times New Roman"/>
          <w:sz w:val="24"/>
          <w:szCs w:val="24"/>
        </w:rPr>
        <w:t xml:space="preserve">predmetných </w:t>
      </w:r>
      <w:r w:rsidRPr="00343DC7">
        <w:rPr>
          <w:rFonts w:ascii="Times New Roman" w:hAnsi="Times New Roman" w:cs="Times New Roman"/>
          <w:sz w:val="24"/>
          <w:szCs w:val="24"/>
        </w:rPr>
        <w:t>finančných prostriedkov EÚ a príslušného spolufinancova</w:t>
      </w:r>
      <w:r>
        <w:rPr>
          <w:rFonts w:ascii="Times New Roman" w:hAnsi="Times New Roman" w:cs="Times New Roman"/>
          <w:sz w:val="24"/>
          <w:szCs w:val="24"/>
        </w:rPr>
        <w:t xml:space="preserve">nia v roku 2007 bolo vykonané </w:t>
      </w:r>
      <w:r w:rsidRPr="00343DC7">
        <w:rPr>
          <w:rFonts w:ascii="Times New Roman" w:hAnsi="Times New Roman" w:cs="Times New Roman"/>
          <w:sz w:val="24"/>
          <w:szCs w:val="24"/>
        </w:rPr>
        <w:t>z</w:t>
      </w:r>
      <w:r>
        <w:rPr>
          <w:rFonts w:ascii="Times New Roman" w:hAnsi="Times New Roman" w:cs="Times New Roman"/>
          <w:sz w:val="24"/>
          <w:szCs w:val="24"/>
        </w:rPr>
        <w:t xml:space="preserve"> nasledovných </w:t>
      </w:r>
      <w:r w:rsidRPr="00343DC7">
        <w:rPr>
          <w:rFonts w:ascii="Times New Roman" w:hAnsi="Times New Roman" w:cs="Times New Roman"/>
          <w:sz w:val="24"/>
          <w:szCs w:val="24"/>
        </w:rPr>
        <w:t>dôvodov:</w:t>
      </w:r>
    </w:p>
    <w:p w:rsidR="00343DC7" w:rsidRPr="00343DC7" w:rsidP="00343DC7">
      <w:pPr>
        <w:spacing w:line="240" w:lineRule="auto"/>
        <w:ind w:firstLine="709"/>
        <w:rPr>
          <w:rFonts w:ascii="Times New Roman" w:hAnsi="Times New Roman" w:cs="Times New Roman"/>
          <w:sz w:val="24"/>
          <w:szCs w:val="24"/>
        </w:rPr>
      </w:pPr>
    </w:p>
    <w:p w:rsidR="00343DC7" w:rsidP="00343DC7">
      <w:pPr>
        <w:numPr>
          <w:ilvl w:val="0"/>
          <w:numId w:val="21"/>
        </w:numPr>
        <w:tabs>
          <w:tab w:val="left" w:pos="720"/>
        </w:tabs>
        <w:adjustRightInd/>
        <w:spacing w:line="240" w:lineRule="auto"/>
        <w:textAlignment w:val="auto"/>
        <w:rPr>
          <w:rFonts w:ascii="Times New Roman" w:hAnsi="Times New Roman" w:cs="Times New Roman"/>
          <w:sz w:val="24"/>
          <w:szCs w:val="24"/>
        </w:rPr>
      </w:pPr>
      <w:r w:rsidRPr="00343DC7">
        <w:rPr>
          <w:rFonts w:ascii="Times New Roman" w:hAnsi="Times New Roman" w:cs="Times New Roman"/>
          <w:sz w:val="24"/>
          <w:szCs w:val="24"/>
          <w:u w:val="single"/>
        </w:rPr>
        <w:t>Opatrenie 1.2 OP ZI – Modern</w:t>
      </w:r>
      <w:r w:rsidRPr="00343DC7">
        <w:rPr>
          <w:rFonts w:ascii="Times New Roman" w:hAnsi="Times New Roman" w:cs="Times New Roman"/>
          <w:sz w:val="24"/>
          <w:szCs w:val="24"/>
          <w:u w:val="single"/>
        </w:rPr>
        <w:t>izácia a rozvoj cestnej infraštruktúry</w:t>
      </w:r>
    </w:p>
    <w:p w:rsidR="00343DC7" w:rsidP="00343DC7">
      <w:pPr>
        <w:adjustRightInd/>
        <w:spacing w:line="240" w:lineRule="auto"/>
        <w:ind w:left="709" w:firstLine="11"/>
        <w:textAlignment w:val="auto"/>
        <w:rPr>
          <w:rFonts w:ascii="Times New Roman" w:hAnsi="Times New Roman" w:cs="Times New Roman"/>
          <w:sz w:val="24"/>
          <w:szCs w:val="24"/>
        </w:rPr>
      </w:pPr>
      <w:r w:rsidRPr="00343DC7">
        <w:rPr>
          <w:rFonts w:ascii="Times New Roman" w:hAnsi="Times New Roman" w:cs="Times New Roman"/>
          <w:sz w:val="24"/>
          <w:szCs w:val="24"/>
        </w:rPr>
        <w:t>Najvyšší sú</w:t>
      </w:r>
      <w:r w:rsidR="000F0CC2">
        <w:rPr>
          <w:rFonts w:ascii="Times New Roman" w:hAnsi="Times New Roman" w:cs="Times New Roman"/>
          <w:sz w:val="24"/>
          <w:szCs w:val="24"/>
        </w:rPr>
        <w:t xml:space="preserve">d zrušil územné rozhodnutie na </w:t>
      </w:r>
      <w:r w:rsidRPr="00343DC7">
        <w:rPr>
          <w:rFonts w:ascii="Times New Roman" w:hAnsi="Times New Roman" w:cs="Times New Roman"/>
          <w:sz w:val="24"/>
          <w:szCs w:val="24"/>
        </w:rPr>
        <w:t>projekt R1 Žarnovica – Šášovské Podhradie v roku 2005. Implementácia náhradných projektov zaznamenala určité omeškanie najmä kvôli zložitosti majetkovoprávneho vyrovnania, pos</w:t>
      </w:r>
      <w:r w:rsidRPr="00343DC7">
        <w:rPr>
          <w:rFonts w:ascii="Times New Roman" w:hAnsi="Times New Roman" w:cs="Times New Roman"/>
          <w:sz w:val="24"/>
          <w:szCs w:val="24"/>
        </w:rPr>
        <w:t>unom termínov pri verejnom obstarávaní. Nevydané stavebné povolenia na všetky objekty pri odovzdávaní staveniska spôsobujú isté omeškanie oproti pôvodným harmonogramom doby výstavby pri niektorých projektoch.</w:t>
      </w:r>
    </w:p>
    <w:p w:rsidR="00971203" w:rsidRPr="00343DC7" w:rsidP="00343DC7">
      <w:pPr>
        <w:adjustRightInd/>
        <w:spacing w:line="240" w:lineRule="auto"/>
        <w:ind w:left="709" w:firstLine="11"/>
        <w:textAlignment w:val="auto"/>
        <w:rPr>
          <w:rFonts w:ascii="Times New Roman" w:hAnsi="Times New Roman" w:cs="Times New Roman"/>
          <w:sz w:val="24"/>
          <w:szCs w:val="24"/>
        </w:rPr>
      </w:pPr>
    </w:p>
    <w:p w:rsidR="00343DC7" w:rsidP="00343DC7">
      <w:pPr>
        <w:numPr>
          <w:ilvl w:val="0"/>
          <w:numId w:val="21"/>
        </w:numPr>
        <w:tabs>
          <w:tab w:val="left" w:pos="720"/>
        </w:tabs>
        <w:adjustRightInd/>
        <w:spacing w:line="240" w:lineRule="auto"/>
        <w:textAlignment w:val="auto"/>
        <w:rPr>
          <w:rFonts w:ascii="Times New Roman" w:hAnsi="Times New Roman" w:cs="Times New Roman"/>
          <w:sz w:val="24"/>
          <w:szCs w:val="24"/>
        </w:rPr>
      </w:pPr>
      <w:r w:rsidRPr="00343DC7">
        <w:rPr>
          <w:rFonts w:ascii="Times New Roman" w:hAnsi="Times New Roman" w:cs="Times New Roman"/>
          <w:sz w:val="24"/>
          <w:szCs w:val="24"/>
          <w:u w:val="single"/>
        </w:rPr>
        <w:t>Opatrenie 1.1 OP ZI – Modernizácia a rozvoj in</w:t>
      </w:r>
      <w:r w:rsidRPr="00343DC7">
        <w:rPr>
          <w:rFonts w:ascii="Times New Roman" w:hAnsi="Times New Roman" w:cs="Times New Roman"/>
          <w:sz w:val="24"/>
          <w:szCs w:val="24"/>
          <w:u w:val="single"/>
        </w:rPr>
        <w:t>fraštruktúry železničnej dopravy</w:t>
      </w:r>
      <w:r>
        <w:rPr>
          <w:rFonts w:ascii="Times New Roman" w:hAnsi="Times New Roman" w:cs="Times New Roman"/>
          <w:sz w:val="24"/>
          <w:szCs w:val="24"/>
        </w:rPr>
        <w:t xml:space="preserve"> </w:t>
      </w:r>
      <w:r w:rsidRPr="00343DC7">
        <w:rPr>
          <w:rFonts w:ascii="Times New Roman" w:hAnsi="Times New Roman" w:cs="Times New Roman"/>
          <w:sz w:val="24"/>
          <w:szCs w:val="24"/>
        </w:rPr>
        <w:t>V marci 2007 bola zrušená súťaž na výber zhotoviteľa GSMR v úseku Cífer – Žilina. Ako náhrad</w:t>
      </w:r>
      <w:r>
        <w:rPr>
          <w:rFonts w:ascii="Times New Roman" w:hAnsi="Times New Roman" w:cs="Times New Roman"/>
          <w:sz w:val="24"/>
          <w:szCs w:val="24"/>
        </w:rPr>
        <w:t>a za tento projekt rozhodlo MDPT SR navýšiť financovanie</w:t>
      </w:r>
      <w:r w:rsidRPr="00343DC7">
        <w:rPr>
          <w:rFonts w:ascii="Times New Roman" w:hAnsi="Times New Roman" w:cs="Times New Roman"/>
          <w:sz w:val="24"/>
          <w:szCs w:val="24"/>
        </w:rPr>
        <w:t xml:space="preserve"> projektových prác do výšky prvých čiastkových zmlúv na modernizáciu trate Žilina – Košice, </w:t>
      </w:r>
      <w:r>
        <w:rPr>
          <w:rFonts w:ascii="Times New Roman" w:hAnsi="Times New Roman" w:cs="Times New Roman"/>
          <w:sz w:val="24"/>
          <w:szCs w:val="24"/>
        </w:rPr>
        <w:t xml:space="preserve">v úsekoch: </w:t>
      </w:r>
      <w:r w:rsidRPr="00343DC7">
        <w:rPr>
          <w:rFonts w:ascii="Times New Roman" w:hAnsi="Times New Roman" w:cs="Times New Roman"/>
          <w:sz w:val="24"/>
          <w:szCs w:val="24"/>
        </w:rPr>
        <w:t>Liptovský Mikuláš – Poprad, Poprad – Krompachy, Krompachy – Kysak a </w:t>
      </w:r>
      <w:r>
        <w:rPr>
          <w:rFonts w:ascii="Times New Roman" w:hAnsi="Times New Roman" w:cs="Times New Roman"/>
          <w:sz w:val="24"/>
          <w:szCs w:val="24"/>
        </w:rPr>
        <w:t xml:space="preserve"> </w:t>
      </w:r>
      <w:r w:rsidRPr="00343DC7">
        <w:rPr>
          <w:rFonts w:ascii="Times New Roman" w:hAnsi="Times New Roman" w:cs="Times New Roman"/>
          <w:sz w:val="24"/>
          <w:szCs w:val="24"/>
        </w:rPr>
        <w:t>Kysak – Košice. Pre krátkosť času po vydaní s</w:t>
      </w:r>
      <w:r w:rsidR="000F0CC2">
        <w:rPr>
          <w:rFonts w:ascii="Times New Roman" w:hAnsi="Times New Roman" w:cs="Times New Roman"/>
          <w:sz w:val="24"/>
          <w:szCs w:val="24"/>
        </w:rPr>
        <w:t>chvaľovacích listov</w:t>
      </w:r>
      <w:r>
        <w:rPr>
          <w:rFonts w:ascii="Times New Roman" w:hAnsi="Times New Roman" w:cs="Times New Roman"/>
          <w:sz w:val="24"/>
          <w:szCs w:val="24"/>
        </w:rPr>
        <w:t xml:space="preserve">, </w:t>
      </w:r>
      <w:r w:rsidRPr="00343DC7">
        <w:rPr>
          <w:rFonts w:ascii="Times New Roman" w:hAnsi="Times New Roman" w:cs="Times New Roman"/>
          <w:sz w:val="24"/>
          <w:szCs w:val="24"/>
        </w:rPr>
        <w:t>nebolo možné uzavrieť dodatky so zhotoviteľmi projektovej dokumentácie a</w:t>
      </w:r>
      <w:r>
        <w:rPr>
          <w:rFonts w:ascii="Times New Roman" w:hAnsi="Times New Roman" w:cs="Times New Roman"/>
          <w:sz w:val="24"/>
          <w:szCs w:val="24"/>
        </w:rPr>
        <w:t> následne vyčerpať vš</w:t>
      </w:r>
      <w:r>
        <w:rPr>
          <w:rFonts w:ascii="Times New Roman" w:hAnsi="Times New Roman" w:cs="Times New Roman"/>
          <w:sz w:val="24"/>
          <w:szCs w:val="24"/>
        </w:rPr>
        <w:t xml:space="preserve">etky schválené zdroje. </w:t>
      </w:r>
    </w:p>
    <w:p w:rsidR="00971203" w:rsidRPr="00343DC7" w:rsidP="00971203">
      <w:pPr>
        <w:adjustRightInd/>
        <w:spacing w:line="240" w:lineRule="auto"/>
        <w:ind w:left="360"/>
        <w:textAlignment w:val="auto"/>
        <w:rPr>
          <w:rFonts w:ascii="Times New Roman" w:hAnsi="Times New Roman" w:cs="Times New Roman"/>
          <w:sz w:val="24"/>
          <w:szCs w:val="24"/>
        </w:rPr>
      </w:pPr>
    </w:p>
    <w:p w:rsidR="00343DC7" w:rsidP="00343DC7">
      <w:pPr>
        <w:spacing w:line="240" w:lineRule="auto"/>
        <w:ind w:left="720" w:hanging="360"/>
        <w:rPr>
          <w:rFonts w:ascii="Times New Roman" w:hAnsi="Times New Roman" w:cs="Times New Roman"/>
          <w:sz w:val="24"/>
          <w:szCs w:val="24"/>
        </w:rPr>
      </w:pPr>
      <w:r w:rsidRPr="00343DC7">
        <w:rPr>
          <w:rFonts w:ascii="Times New Roman" w:hAnsi="Times New Roman" w:cs="Times New Roman"/>
          <w:sz w:val="24"/>
          <w:szCs w:val="24"/>
        </w:rPr>
        <w:t xml:space="preserve">-    </w:t>
      </w:r>
      <w:r w:rsidRPr="00343DC7">
        <w:rPr>
          <w:rFonts w:ascii="Times New Roman" w:hAnsi="Times New Roman" w:cs="Times New Roman"/>
          <w:sz w:val="24"/>
          <w:szCs w:val="24"/>
          <w:u w:val="single"/>
        </w:rPr>
        <w:t>Opatrenie 1.3 OP ZI – Modernizácia a rozvoj infraštruktúry leteckej dopravy</w:t>
      </w:r>
    </w:p>
    <w:p w:rsidR="00343DC7" w:rsidP="00971203">
      <w:pPr>
        <w:spacing w:line="240" w:lineRule="auto"/>
        <w:ind w:left="720" w:hanging="11"/>
        <w:rPr>
          <w:rFonts w:ascii="Times New Roman" w:hAnsi="Times New Roman" w:cs="Times New Roman"/>
          <w:sz w:val="24"/>
          <w:szCs w:val="24"/>
        </w:rPr>
      </w:pPr>
      <w:r>
        <w:rPr>
          <w:rFonts w:ascii="Times New Roman" w:hAnsi="Times New Roman" w:cs="Times New Roman"/>
          <w:sz w:val="24"/>
          <w:szCs w:val="24"/>
        </w:rPr>
        <w:t>V rámci tohto o</w:t>
      </w:r>
      <w:r w:rsidRPr="00343DC7">
        <w:rPr>
          <w:rFonts w:ascii="Times New Roman" w:hAnsi="Times New Roman" w:cs="Times New Roman"/>
          <w:sz w:val="24"/>
          <w:szCs w:val="24"/>
        </w:rPr>
        <w:t xml:space="preserve">patrenia </w:t>
      </w:r>
      <w:r w:rsidR="000F0CC2">
        <w:rPr>
          <w:rFonts w:ascii="Times New Roman" w:hAnsi="Times New Roman" w:cs="Times New Roman"/>
          <w:sz w:val="24"/>
          <w:szCs w:val="24"/>
        </w:rPr>
        <w:t xml:space="preserve">bolo </w:t>
      </w:r>
      <w:r>
        <w:rPr>
          <w:rFonts w:ascii="Times New Roman" w:hAnsi="Times New Roman" w:cs="Times New Roman"/>
          <w:sz w:val="24"/>
          <w:szCs w:val="24"/>
        </w:rPr>
        <w:t>v priebehu mesiacov august-</w:t>
      </w:r>
      <w:r w:rsidRPr="00343DC7">
        <w:rPr>
          <w:rFonts w:ascii="Times New Roman" w:hAnsi="Times New Roman" w:cs="Times New Roman"/>
          <w:sz w:val="24"/>
          <w:szCs w:val="24"/>
        </w:rPr>
        <w:t>november 2006 schválených ďalších 5 projek</w:t>
      </w:r>
      <w:r>
        <w:rPr>
          <w:rFonts w:ascii="Times New Roman" w:hAnsi="Times New Roman" w:cs="Times New Roman"/>
          <w:sz w:val="24"/>
          <w:szCs w:val="24"/>
        </w:rPr>
        <w:t xml:space="preserve">tov v celkovej výške 67 613 000,- </w:t>
      </w:r>
      <w:r w:rsidRPr="00343DC7">
        <w:rPr>
          <w:rFonts w:ascii="Times New Roman" w:hAnsi="Times New Roman" w:cs="Times New Roman"/>
          <w:sz w:val="24"/>
          <w:szCs w:val="24"/>
        </w:rPr>
        <w:t>Sk, ktorýc</w:t>
      </w:r>
      <w:r>
        <w:rPr>
          <w:rFonts w:ascii="Times New Roman" w:hAnsi="Times New Roman" w:cs="Times New Roman"/>
          <w:sz w:val="24"/>
          <w:szCs w:val="24"/>
        </w:rPr>
        <w:t>h implem</w:t>
      </w:r>
      <w:r>
        <w:rPr>
          <w:rFonts w:ascii="Times New Roman" w:hAnsi="Times New Roman" w:cs="Times New Roman"/>
          <w:sz w:val="24"/>
          <w:szCs w:val="24"/>
        </w:rPr>
        <w:t xml:space="preserve">entácia </w:t>
      </w:r>
      <w:r w:rsidRPr="00343DC7">
        <w:rPr>
          <w:rFonts w:ascii="Times New Roman" w:hAnsi="Times New Roman" w:cs="Times New Roman"/>
          <w:sz w:val="24"/>
          <w:szCs w:val="24"/>
        </w:rPr>
        <w:t>a čerpanie finančných prostriedkov prebieha v súčasnosti</w:t>
      </w:r>
      <w:r>
        <w:rPr>
          <w:rFonts w:ascii="Times New Roman" w:hAnsi="Times New Roman" w:cs="Times New Roman"/>
          <w:sz w:val="24"/>
          <w:szCs w:val="24"/>
        </w:rPr>
        <w:t>. V máji 2007</w:t>
      </w:r>
      <w:r w:rsidRPr="00343DC7">
        <w:rPr>
          <w:rFonts w:ascii="Times New Roman" w:hAnsi="Times New Roman" w:cs="Times New Roman"/>
          <w:sz w:val="24"/>
          <w:szCs w:val="24"/>
        </w:rPr>
        <w:t xml:space="preserve"> bola schválená rea</w:t>
      </w:r>
      <w:r>
        <w:rPr>
          <w:rFonts w:ascii="Times New Roman" w:hAnsi="Times New Roman" w:cs="Times New Roman"/>
          <w:sz w:val="24"/>
          <w:szCs w:val="24"/>
        </w:rPr>
        <w:t>lokácia zdrojov medzi opatrením 1.3 OP ZI a T</w:t>
      </w:r>
      <w:r w:rsidRPr="00343DC7">
        <w:rPr>
          <w:rFonts w:ascii="Times New Roman" w:hAnsi="Times New Roman" w:cs="Times New Roman"/>
          <w:sz w:val="24"/>
          <w:szCs w:val="24"/>
        </w:rPr>
        <w:t>echnickou asistenciou.</w:t>
      </w:r>
    </w:p>
    <w:p w:rsidR="0011010C" w:rsidRPr="00343DC7" w:rsidP="00971203">
      <w:pPr>
        <w:spacing w:line="240" w:lineRule="auto"/>
        <w:ind w:left="720" w:hanging="11"/>
        <w:rPr>
          <w:rFonts w:ascii="Times New Roman" w:hAnsi="Times New Roman" w:cs="Times New Roman"/>
          <w:sz w:val="24"/>
          <w:szCs w:val="24"/>
        </w:rPr>
      </w:pPr>
    </w:p>
    <w:p w:rsidR="00343DC7" w:rsidP="00343DC7">
      <w:pPr>
        <w:numPr>
          <w:ilvl w:val="0"/>
          <w:numId w:val="21"/>
        </w:numPr>
        <w:tabs>
          <w:tab w:val="left" w:pos="720"/>
        </w:tabs>
        <w:spacing w:line="240" w:lineRule="auto"/>
        <w:rPr>
          <w:rFonts w:ascii="Times New Roman" w:hAnsi="Times New Roman" w:cs="Times New Roman"/>
          <w:sz w:val="24"/>
          <w:szCs w:val="24"/>
        </w:rPr>
      </w:pPr>
      <w:r w:rsidR="00C72687">
        <w:rPr>
          <w:rFonts w:ascii="Times New Roman" w:hAnsi="Times New Roman" w:cs="Times New Roman"/>
          <w:sz w:val="24"/>
          <w:szCs w:val="24"/>
          <w:u w:val="single"/>
        </w:rPr>
        <w:t>Piešťany – Nové Mesto nad Váhom (</w:t>
      </w:r>
      <w:r w:rsidRPr="00343DC7">
        <w:rPr>
          <w:rFonts w:ascii="Times New Roman" w:hAnsi="Times New Roman" w:cs="Times New Roman"/>
          <w:sz w:val="24"/>
          <w:szCs w:val="24"/>
          <w:u w:val="single"/>
        </w:rPr>
        <w:t>projekt KF)</w:t>
      </w:r>
    </w:p>
    <w:p w:rsidR="00343DC7" w:rsidP="00343DC7">
      <w:pPr>
        <w:spacing w:line="240" w:lineRule="auto"/>
        <w:ind w:left="709"/>
        <w:rPr>
          <w:rFonts w:ascii="Times New Roman" w:hAnsi="Times New Roman" w:cs="Times New Roman"/>
          <w:sz w:val="24"/>
          <w:szCs w:val="24"/>
        </w:rPr>
      </w:pPr>
      <w:r>
        <w:rPr>
          <w:rFonts w:ascii="Times New Roman" w:hAnsi="Times New Roman" w:cs="Times New Roman"/>
          <w:sz w:val="24"/>
          <w:szCs w:val="24"/>
        </w:rPr>
        <w:t>Z</w:t>
      </w:r>
      <w:r w:rsidRPr="00343DC7">
        <w:rPr>
          <w:rFonts w:ascii="Times New Roman" w:hAnsi="Times New Roman" w:cs="Times New Roman"/>
          <w:sz w:val="24"/>
          <w:szCs w:val="24"/>
        </w:rPr>
        <w:t xml:space="preserve"> dôvodu opakovaných verejných súťaží na výber zhotoviteľa prác ako aj stavebného dozoru bola  realizácia prác </w:t>
      </w:r>
      <w:r>
        <w:rPr>
          <w:rFonts w:ascii="Times New Roman" w:hAnsi="Times New Roman" w:cs="Times New Roman"/>
          <w:sz w:val="24"/>
          <w:szCs w:val="24"/>
        </w:rPr>
        <w:t>zahájená až v máji 2006, čím do</w:t>
      </w:r>
      <w:r w:rsidRPr="00343DC7">
        <w:rPr>
          <w:rFonts w:ascii="Times New Roman" w:hAnsi="Times New Roman" w:cs="Times New Roman"/>
          <w:sz w:val="24"/>
          <w:szCs w:val="24"/>
        </w:rPr>
        <w:t>šlo k posunu čerpania finančných prostriedkov</w:t>
      </w:r>
    </w:p>
    <w:p w:rsidR="0011010C" w:rsidRPr="00343DC7" w:rsidP="00343DC7">
      <w:pPr>
        <w:spacing w:line="240" w:lineRule="auto"/>
        <w:ind w:left="709"/>
        <w:rPr>
          <w:rFonts w:ascii="Times New Roman" w:hAnsi="Times New Roman" w:cs="Times New Roman"/>
          <w:sz w:val="24"/>
          <w:szCs w:val="24"/>
        </w:rPr>
      </w:pPr>
    </w:p>
    <w:p w:rsidR="00343DC7" w:rsidP="00343DC7">
      <w:pPr>
        <w:numPr>
          <w:ilvl w:val="0"/>
          <w:numId w:val="21"/>
        </w:numPr>
        <w:tabs>
          <w:tab w:val="left" w:pos="720"/>
        </w:tabs>
        <w:adjustRightInd/>
        <w:spacing w:line="240" w:lineRule="auto"/>
        <w:textAlignment w:val="auto"/>
        <w:rPr>
          <w:rFonts w:ascii="Times New Roman" w:hAnsi="Times New Roman" w:cs="Times New Roman"/>
          <w:sz w:val="24"/>
          <w:szCs w:val="24"/>
          <w:u w:val="single"/>
        </w:rPr>
      </w:pPr>
      <w:r>
        <w:rPr>
          <w:rFonts w:ascii="Times New Roman" w:hAnsi="Times New Roman" w:cs="Times New Roman"/>
          <w:sz w:val="24"/>
          <w:szCs w:val="24"/>
          <w:u w:val="single"/>
        </w:rPr>
        <w:t>D1 Mengusovce – Jánovce</w:t>
      </w:r>
      <w:r w:rsidR="00C72687">
        <w:rPr>
          <w:rFonts w:ascii="Times New Roman" w:hAnsi="Times New Roman" w:cs="Times New Roman"/>
          <w:sz w:val="24"/>
          <w:szCs w:val="24"/>
          <w:u w:val="single"/>
        </w:rPr>
        <w:t xml:space="preserve"> (</w:t>
      </w:r>
      <w:r w:rsidRPr="00343DC7" w:rsidR="00C72687">
        <w:rPr>
          <w:rFonts w:ascii="Times New Roman" w:hAnsi="Times New Roman" w:cs="Times New Roman"/>
          <w:sz w:val="24"/>
          <w:szCs w:val="24"/>
          <w:u w:val="single"/>
        </w:rPr>
        <w:t>projekt KF)</w:t>
      </w:r>
    </w:p>
    <w:p w:rsidR="00343DC7" w:rsidRPr="00343DC7" w:rsidP="00343DC7">
      <w:pPr>
        <w:adjustRightInd/>
        <w:spacing w:line="240" w:lineRule="auto"/>
        <w:ind w:left="709" w:firstLine="11"/>
        <w:textAlignment w:val="auto"/>
        <w:rPr>
          <w:rFonts w:ascii="Times New Roman" w:hAnsi="Times New Roman" w:cs="Times New Roman"/>
          <w:sz w:val="24"/>
          <w:szCs w:val="24"/>
          <w:u w:val="single"/>
        </w:rPr>
      </w:pPr>
      <w:r w:rsidRPr="00343DC7">
        <w:rPr>
          <w:rFonts w:ascii="Times New Roman" w:hAnsi="Times New Roman" w:cs="Times New Roman"/>
          <w:sz w:val="24"/>
          <w:szCs w:val="24"/>
        </w:rPr>
        <w:t>Platobný orgán neschválil súhrnnú žiadosť o platbu a následne pozastavil financovanie do vyjadrenia MF SR k odvolaniu, ktoré podala Národná diaľničná spoločnosť</w:t>
      </w:r>
      <w:r w:rsidR="00C72687">
        <w:rPr>
          <w:rFonts w:ascii="Times New Roman" w:hAnsi="Times New Roman" w:cs="Times New Roman"/>
          <w:sz w:val="24"/>
          <w:szCs w:val="24"/>
        </w:rPr>
        <w:t xml:space="preserve">, a.s. MF SR </w:t>
      </w:r>
      <w:r w:rsidRPr="00343DC7">
        <w:rPr>
          <w:rFonts w:ascii="Times New Roman" w:hAnsi="Times New Roman" w:cs="Times New Roman"/>
          <w:sz w:val="24"/>
          <w:szCs w:val="24"/>
        </w:rPr>
        <w:t>obnov</w:t>
      </w:r>
      <w:r w:rsidR="00C72687">
        <w:rPr>
          <w:rFonts w:ascii="Times New Roman" w:hAnsi="Times New Roman" w:cs="Times New Roman"/>
          <w:sz w:val="24"/>
          <w:szCs w:val="24"/>
        </w:rPr>
        <w:t xml:space="preserve">ilo financovanie tohto projektu až koncom novembra 2007. </w:t>
      </w:r>
    </w:p>
    <w:p w:rsidR="0011010C" w:rsidP="006838C8">
      <w:pPr>
        <w:pStyle w:val="BodyText2"/>
        <w:spacing w:line="240" w:lineRule="auto"/>
        <w:rPr>
          <w:rFonts w:ascii="Times New Roman" w:hAnsi="Times New Roman" w:cs="Times New Roman"/>
          <w:b/>
          <w:sz w:val="24"/>
          <w:szCs w:val="24"/>
          <w:u w:val="single"/>
        </w:rPr>
      </w:pPr>
    </w:p>
    <w:p w:rsidR="006838C8" w:rsidP="006838C8">
      <w:pPr>
        <w:pStyle w:val="BodyText2"/>
        <w:spacing w:line="240" w:lineRule="auto"/>
        <w:rPr>
          <w:rFonts w:ascii="Times New Roman" w:hAnsi="Times New Roman" w:cs="Times New Roman"/>
          <w:b/>
          <w:sz w:val="24"/>
          <w:szCs w:val="24"/>
          <w:u w:val="single"/>
        </w:rPr>
      </w:pPr>
      <w:r>
        <w:rPr>
          <w:rFonts w:ascii="Times New Roman" w:hAnsi="Times New Roman" w:cs="Times New Roman"/>
          <w:b/>
          <w:sz w:val="24"/>
          <w:szCs w:val="24"/>
          <w:u w:val="single"/>
        </w:rPr>
        <w:t>Rozpočtové opatrenie č. 37</w:t>
      </w:r>
    </w:p>
    <w:p w:rsidR="00BA3976" w:rsidRPr="00D23807" w:rsidP="006838C8">
      <w:pPr>
        <w:pStyle w:val="BodyText2"/>
        <w:spacing w:line="240" w:lineRule="auto"/>
        <w:rPr>
          <w:rFonts w:ascii="Times New Roman" w:hAnsi="Times New Roman" w:cs="Times New Roman"/>
          <w:b/>
          <w:sz w:val="24"/>
          <w:szCs w:val="24"/>
          <w:u w:val="single"/>
        </w:rPr>
      </w:pPr>
    </w:p>
    <w:p w:rsidR="000F695D" w:rsidRPr="00BA3976" w:rsidP="00BA3976">
      <w:pPr>
        <w:spacing w:line="240" w:lineRule="auto"/>
        <w:ind w:firstLine="709"/>
        <w:rPr>
          <w:rFonts w:ascii="Times New Roman" w:hAnsi="Times New Roman" w:cs="Times New Roman"/>
          <w:sz w:val="24"/>
          <w:szCs w:val="24"/>
        </w:rPr>
      </w:pPr>
      <w:r w:rsidR="00BA3976">
        <w:rPr>
          <w:rFonts w:ascii="Times New Roman" w:hAnsi="Times New Roman" w:cs="Times New Roman"/>
          <w:sz w:val="24"/>
          <w:szCs w:val="24"/>
        </w:rPr>
        <w:t>N</w:t>
      </w:r>
      <w:r w:rsidRPr="00BA3976" w:rsidR="00BA3976">
        <w:rPr>
          <w:rFonts w:ascii="Times New Roman" w:hAnsi="Times New Roman" w:cs="Times New Roman"/>
          <w:sz w:val="24"/>
          <w:szCs w:val="24"/>
        </w:rPr>
        <w:t xml:space="preserve">avýšenie </w:t>
      </w:r>
      <w:r w:rsidR="00BA3976">
        <w:rPr>
          <w:rFonts w:ascii="Times New Roman" w:hAnsi="Times New Roman" w:cs="Times New Roman"/>
          <w:sz w:val="24"/>
          <w:szCs w:val="24"/>
        </w:rPr>
        <w:t xml:space="preserve">rozpočtu kapitoly MDPT SR v kategórii 640 – Bežné transfery v programe 07S – Železničná doprava </w:t>
      </w:r>
      <w:r w:rsidRPr="00BA3976" w:rsidR="00BA3976">
        <w:rPr>
          <w:rFonts w:ascii="Times New Roman" w:hAnsi="Times New Roman" w:cs="Times New Roman"/>
          <w:sz w:val="24"/>
          <w:szCs w:val="24"/>
        </w:rPr>
        <w:t>pre Železničnú spoločn</w:t>
      </w:r>
      <w:r w:rsidR="00BA3976">
        <w:rPr>
          <w:rFonts w:ascii="Times New Roman" w:hAnsi="Times New Roman" w:cs="Times New Roman"/>
          <w:sz w:val="24"/>
          <w:szCs w:val="24"/>
        </w:rPr>
        <w:t xml:space="preserve">osť Cargo Slovakia, a.s., o 100 mil. </w:t>
      </w:r>
      <w:r w:rsidRPr="00BA3976" w:rsidR="00BA3976">
        <w:rPr>
          <w:rFonts w:ascii="Times New Roman" w:hAnsi="Times New Roman" w:cs="Times New Roman"/>
          <w:sz w:val="24"/>
          <w:szCs w:val="24"/>
        </w:rPr>
        <w:t>Sk na úhradu zostatku pohľadávky zaniknutej Železničnej spolo</w:t>
      </w:r>
      <w:r w:rsidR="00BA3976">
        <w:rPr>
          <w:rFonts w:ascii="Times New Roman" w:hAnsi="Times New Roman" w:cs="Times New Roman"/>
          <w:sz w:val="24"/>
          <w:szCs w:val="24"/>
        </w:rPr>
        <w:t xml:space="preserve">čnosti, a.s., voči štátu z titulu výkonov vo verejnom </w:t>
      </w:r>
      <w:r w:rsidRPr="00BA3976" w:rsidR="00BA3976">
        <w:rPr>
          <w:rFonts w:ascii="Times New Roman" w:hAnsi="Times New Roman" w:cs="Times New Roman"/>
          <w:sz w:val="24"/>
          <w:szCs w:val="24"/>
        </w:rPr>
        <w:t>záujme pri prevádzkovaní osobnej dopravy na</w:t>
      </w:r>
      <w:r w:rsidRPr="00BA3976" w:rsidR="00BA3976">
        <w:rPr>
          <w:rFonts w:ascii="Times New Roman" w:hAnsi="Times New Roman" w:cs="Times New Roman"/>
          <w:sz w:val="24"/>
          <w:szCs w:val="24"/>
        </w:rPr>
        <w:t xml:space="preserve"> dráhe v rokoch 1997 </w:t>
      </w:r>
      <w:r w:rsidR="00BA3976">
        <w:rPr>
          <w:rFonts w:ascii="Times New Roman" w:hAnsi="Times New Roman" w:cs="Times New Roman"/>
          <w:sz w:val="24"/>
          <w:szCs w:val="24"/>
        </w:rPr>
        <w:t>–</w:t>
      </w:r>
      <w:r w:rsidRPr="00BA3976" w:rsidR="00BA3976">
        <w:rPr>
          <w:rFonts w:ascii="Times New Roman" w:hAnsi="Times New Roman" w:cs="Times New Roman"/>
          <w:sz w:val="24"/>
          <w:szCs w:val="24"/>
        </w:rPr>
        <w:t xml:space="preserve"> 2000</w:t>
      </w:r>
      <w:r w:rsidR="00BA3976">
        <w:rPr>
          <w:rFonts w:ascii="Times New Roman" w:hAnsi="Times New Roman" w:cs="Times New Roman"/>
          <w:sz w:val="24"/>
          <w:szCs w:val="24"/>
        </w:rPr>
        <w:t xml:space="preserve"> a 2002</w:t>
      </w:r>
      <w:r w:rsidRPr="00BA3976" w:rsidR="00BA3976">
        <w:rPr>
          <w:rFonts w:ascii="Times New Roman" w:hAnsi="Times New Roman" w:cs="Times New Roman"/>
          <w:sz w:val="24"/>
          <w:szCs w:val="24"/>
        </w:rPr>
        <w:t>,</w:t>
      </w:r>
      <w:r w:rsidR="00BA3976">
        <w:rPr>
          <w:rFonts w:ascii="Times New Roman" w:hAnsi="Times New Roman" w:cs="Times New Roman"/>
          <w:sz w:val="24"/>
          <w:szCs w:val="24"/>
        </w:rPr>
        <w:t xml:space="preserve"> ktorá bola prevedená na Železničnú spoločnosť </w:t>
      </w:r>
      <w:r w:rsidRPr="00BA3976" w:rsidR="00BA3976">
        <w:rPr>
          <w:rFonts w:ascii="Times New Roman" w:hAnsi="Times New Roman" w:cs="Times New Roman"/>
          <w:sz w:val="24"/>
          <w:szCs w:val="24"/>
        </w:rPr>
        <w:t>Cargo</w:t>
      </w:r>
      <w:r w:rsidR="00BA3976">
        <w:rPr>
          <w:rFonts w:ascii="Times New Roman" w:hAnsi="Times New Roman" w:cs="Times New Roman"/>
          <w:sz w:val="24"/>
          <w:szCs w:val="24"/>
        </w:rPr>
        <w:t xml:space="preserve"> Slovakia</w:t>
      </w:r>
      <w:r w:rsidRPr="00BA3976" w:rsidR="00BA3976">
        <w:rPr>
          <w:rFonts w:ascii="Times New Roman" w:hAnsi="Times New Roman" w:cs="Times New Roman"/>
          <w:sz w:val="24"/>
          <w:szCs w:val="24"/>
        </w:rPr>
        <w:t>, a.s.</w:t>
      </w:r>
      <w:r w:rsidR="00BA3976">
        <w:rPr>
          <w:rFonts w:ascii="Times New Roman" w:hAnsi="Times New Roman" w:cs="Times New Roman"/>
          <w:sz w:val="24"/>
          <w:szCs w:val="24"/>
        </w:rPr>
        <w:t>,</w:t>
      </w:r>
      <w:r w:rsidRPr="00BA3976" w:rsidR="00BA3976">
        <w:rPr>
          <w:rFonts w:ascii="Times New Roman" w:hAnsi="Times New Roman" w:cs="Times New Roman"/>
          <w:sz w:val="24"/>
          <w:szCs w:val="24"/>
        </w:rPr>
        <w:t xml:space="preserve"> rozhodnu</w:t>
      </w:r>
      <w:r w:rsidR="00BA3976">
        <w:rPr>
          <w:rFonts w:ascii="Times New Roman" w:hAnsi="Times New Roman" w:cs="Times New Roman"/>
          <w:sz w:val="24"/>
          <w:szCs w:val="24"/>
        </w:rPr>
        <w:t>-</w:t>
      </w:r>
      <w:r w:rsidRPr="00BA3976" w:rsidR="00BA3976">
        <w:rPr>
          <w:rFonts w:ascii="Times New Roman" w:hAnsi="Times New Roman" w:cs="Times New Roman"/>
          <w:sz w:val="24"/>
          <w:szCs w:val="24"/>
        </w:rPr>
        <w:t>tím ministra dopravy, pôšt a telekomunikácií o rozdelení majetku Ž</w:t>
      </w:r>
      <w:r w:rsidR="00BA3976">
        <w:rPr>
          <w:rFonts w:ascii="Times New Roman" w:hAnsi="Times New Roman" w:cs="Times New Roman"/>
          <w:sz w:val="24"/>
          <w:szCs w:val="24"/>
        </w:rPr>
        <w:t>elezničnej spoločnosti</w:t>
      </w:r>
      <w:r w:rsidRPr="00BA3976" w:rsidR="00BA3976">
        <w:rPr>
          <w:rFonts w:ascii="Times New Roman" w:hAnsi="Times New Roman" w:cs="Times New Roman"/>
          <w:sz w:val="24"/>
          <w:szCs w:val="24"/>
        </w:rPr>
        <w:t>, a.s.</w:t>
      </w:r>
    </w:p>
    <w:p w:rsidR="00AB0FC7" w:rsidP="00C362EA">
      <w:pPr>
        <w:spacing w:line="240" w:lineRule="auto"/>
        <w:rPr>
          <w:rFonts w:ascii="Times New Roman" w:hAnsi="Times New Roman" w:cs="Times New Roman"/>
          <w:b/>
          <w:sz w:val="24"/>
          <w:szCs w:val="24"/>
          <w:u w:val="single"/>
        </w:rPr>
      </w:pPr>
    </w:p>
    <w:p w:rsidR="00D27E26" w:rsidRPr="00740CAF" w:rsidP="00C362EA">
      <w:pPr>
        <w:spacing w:line="240" w:lineRule="auto"/>
        <w:rPr>
          <w:rFonts w:ascii="Times New Roman" w:hAnsi="Times New Roman" w:cs="Times New Roman"/>
          <w:b/>
          <w:sz w:val="24"/>
          <w:szCs w:val="24"/>
          <w:u w:val="single"/>
        </w:rPr>
      </w:pPr>
      <w:r w:rsidRPr="00D23807">
        <w:rPr>
          <w:rFonts w:ascii="Times New Roman" w:hAnsi="Times New Roman" w:cs="Times New Roman"/>
          <w:b/>
          <w:sz w:val="24"/>
          <w:szCs w:val="24"/>
          <w:u w:val="single"/>
        </w:rPr>
        <w:t xml:space="preserve">S U M Á R: </w:t>
      </w:r>
      <w:r w:rsidR="00B226D1">
        <w:rPr>
          <w:rFonts w:ascii="Times New Roman" w:hAnsi="Times New Roman" w:cs="Times New Roman"/>
          <w:sz w:val="24"/>
          <w:szCs w:val="24"/>
        </w:rPr>
        <w:t xml:space="preserve"> </w:t>
      </w:r>
    </w:p>
    <w:p w:rsidR="00AB0FC7" w:rsidRPr="00D23807" w:rsidP="00C362EA">
      <w:pPr>
        <w:spacing w:line="240" w:lineRule="auto"/>
        <w:rPr>
          <w:rFonts w:ascii="Times New Roman" w:hAnsi="Times New Roman" w:cs="Times New Roman"/>
          <w:sz w:val="24"/>
          <w:szCs w:val="24"/>
        </w:rPr>
      </w:pPr>
    </w:p>
    <w:p w:rsidR="00740CAF" w:rsidRPr="002C7E22" w:rsidP="00C362EA">
      <w:pPr>
        <w:spacing w:line="240" w:lineRule="auto"/>
        <w:ind w:firstLine="708"/>
        <w:rPr>
          <w:rFonts w:ascii="Times New Roman" w:hAnsi="Times New Roman" w:cs="Times New Roman"/>
          <w:sz w:val="24"/>
          <w:szCs w:val="24"/>
        </w:rPr>
      </w:pPr>
      <w:r w:rsidRPr="002C7E22">
        <w:rPr>
          <w:rFonts w:ascii="Times New Roman" w:hAnsi="Times New Roman" w:cs="Times New Roman"/>
          <w:sz w:val="24"/>
          <w:szCs w:val="24"/>
        </w:rPr>
        <w:t>S</w:t>
      </w:r>
      <w:r w:rsidRPr="002C7E22" w:rsidR="00D27E26">
        <w:rPr>
          <w:rFonts w:ascii="Times New Roman" w:hAnsi="Times New Roman" w:cs="Times New Roman"/>
          <w:sz w:val="24"/>
          <w:szCs w:val="24"/>
        </w:rPr>
        <w:t>chválený rozpočet príjmov MDPT S</w:t>
      </w:r>
      <w:r w:rsidRPr="002C7E22" w:rsidR="00D27E26">
        <w:rPr>
          <w:rFonts w:ascii="Times New Roman" w:hAnsi="Times New Roman" w:cs="Times New Roman"/>
          <w:sz w:val="24"/>
          <w:szCs w:val="24"/>
        </w:rPr>
        <w:t>R</w:t>
      </w:r>
      <w:r w:rsidR="00246BC1">
        <w:rPr>
          <w:rFonts w:ascii="Times New Roman" w:hAnsi="Times New Roman" w:cs="Times New Roman"/>
          <w:sz w:val="24"/>
          <w:szCs w:val="24"/>
        </w:rPr>
        <w:t xml:space="preserve"> predstavoval 7 424 931 </w:t>
      </w:r>
      <w:r w:rsidRPr="002C7E22">
        <w:rPr>
          <w:rFonts w:ascii="Times New Roman" w:hAnsi="Times New Roman" w:cs="Times New Roman"/>
          <w:sz w:val="24"/>
          <w:szCs w:val="24"/>
        </w:rPr>
        <w:t>tis. Sk, z toho prostriedky z rozp</w:t>
      </w:r>
      <w:r w:rsidR="00246BC1">
        <w:rPr>
          <w:rFonts w:ascii="Times New Roman" w:hAnsi="Times New Roman" w:cs="Times New Roman"/>
          <w:sz w:val="24"/>
          <w:szCs w:val="24"/>
        </w:rPr>
        <w:t xml:space="preserve">očtu EÚ boli vo výške 4 719 931 </w:t>
      </w:r>
      <w:r w:rsidRPr="002C7E22">
        <w:rPr>
          <w:rFonts w:ascii="Times New Roman" w:hAnsi="Times New Roman" w:cs="Times New Roman"/>
          <w:sz w:val="24"/>
          <w:szCs w:val="24"/>
        </w:rPr>
        <w:t xml:space="preserve">tis. Sk a ostatné príjmy kapitoly </w:t>
      </w:r>
      <w:r w:rsidR="00246BC1">
        <w:rPr>
          <w:rFonts w:ascii="Times New Roman" w:hAnsi="Times New Roman" w:cs="Times New Roman"/>
          <w:sz w:val="24"/>
          <w:szCs w:val="24"/>
        </w:rPr>
        <w:t xml:space="preserve">vo výške 2 705 000 </w:t>
      </w:r>
      <w:r w:rsidRPr="002C7E22" w:rsidR="007B57D5">
        <w:rPr>
          <w:rFonts w:ascii="Times New Roman" w:hAnsi="Times New Roman" w:cs="Times New Roman"/>
          <w:sz w:val="24"/>
          <w:szCs w:val="24"/>
        </w:rPr>
        <w:t>tis. Sk.</w:t>
      </w:r>
      <w:r w:rsidRPr="002C7E22" w:rsidR="00B37107">
        <w:rPr>
          <w:rFonts w:ascii="Times New Roman" w:hAnsi="Times New Roman" w:cs="Times New Roman"/>
          <w:sz w:val="24"/>
          <w:szCs w:val="24"/>
        </w:rPr>
        <w:t xml:space="preserve"> Po uvedených rozpočtových opatreniach </w:t>
      </w:r>
      <w:r w:rsidRPr="002C7E22" w:rsidR="007B57D5">
        <w:rPr>
          <w:rFonts w:ascii="Times New Roman" w:hAnsi="Times New Roman" w:cs="Times New Roman"/>
          <w:sz w:val="24"/>
          <w:szCs w:val="24"/>
        </w:rPr>
        <w:t>boli celkové rozpočtované pr</w:t>
      </w:r>
      <w:r w:rsidR="0053537E">
        <w:rPr>
          <w:rFonts w:ascii="Times New Roman" w:hAnsi="Times New Roman" w:cs="Times New Roman"/>
          <w:sz w:val="24"/>
          <w:szCs w:val="24"/>
        </w:rPr>
        <w:t>íjmy upravené na sumu 7 749 708</w:t>
      </w:r>
      <w:r w:rsidR="00246BC1">
        <w:rPr>
          <w:rFonts w:ascii="Times New Roman" w:hAnsi="Times New Roman" w:cs="Times New Roman"/>
          <w:sz w:val="24"/>
          <w:szCs w:val="24"/>
        </w:rPr>
        <w:t xml:space="preserve"> </w:t>
      </w:r>
      <w:r w:rsidRPr="002C7E22" w:rsidR="007B57D5">
        <w:rPr>
          <w:rFonts w:ascii="Times New Roman" w:hAnsi="Times New Roman" w:cs="Times New Roman"/>
          <w:sz w:val="24"/>
          <w:szCs w:val="24"/>
        </w:rPr>
        <w:t xml:space="preserve">tis. </w:t>
      </w:r>
      <w:r w:rsidRPr="002C7E22" w:rsidR="007B57D5">
        <w:rPr>
          <w:rFonts w:ascii="Times New Roman" w:hAnsi="Times New Roman" w:cs="Times New Roman"/>
          <w:sz w:val="24"/>
          <w:szCs w:val="24"/>
        </w:rPr>
        <w:t>Sk, z toho prostri</w:t>
      </w:r>
      <w:r w:rsidR="0053537E">
        <w:rPr>
          <w:rFonts w:ascii="Times New Roman" w:hAnsi="Times New Roman" w:cs="Times New Roman"/>
          <w:sz w:val="24"/>
          <w:szCs w:val="24"/>
        </w:rPr>
        <w:t>edky EÚ predstavovali 5 044 708</w:t>
      </w:r>
      <w:r w:rsidR="00246BC1">
        <w:rPr>
          <w:rFonts w:ascii="Times New Roman" w:hAnsi="Times New Roman" w:cs="Times New Roman"/>
          <w:sz w:val="24"/>
          <w:szCs w:val="24"/>
        </w:rPr>
        <w:t xml:space="preserve"> </w:t>
      </w:r>
      <w:r w:rsidRPr="002C7E22" w:rsidR="007B57D5">
        <w:rPr>
          <w:rFonts w:ascii="Times New Roman" w:hAnsi="Times New Roman" w:cs="Times New Roman"/>
          <w:sz w:val="24"/>
          <w:szCs w:val="24"/>
        </w:rPr>
        <w:t>tis. Sk a ostatné príjmy kapitoly</w:t>
      </w:r>
      <w:r w:rsidR="00246BC1">
        <w:rPr>
          <w:rFonts w:ascii="Times New Roman" w:hAnsi="Times New Roman" w:cs="Times New Roman"/>
          <w:sz w:val="24"/>
          <w:szCs w:val="24"/>
        </w:rPr>
        <w:t xml:space="preserve"> 2 705 000 </w:t>
      </w:r>
      <w:r w:rsidRPr="002C7E22" w:rsidR="007B57D5">
        <w:rPr>
          <w:rFonts w:ascii="Times New Roman" w:hAnsi="Times New Roman" w:cs="Times New Roman"/>
          <w:sz w:val="24"/>
          <w:szCs w:val="24"/>
        </w:rPr>
        <w:t xml:space="preserve">tis. Sk. </w:t>
      </w:r>
    </w:p>
    <w:p w:rsidR="00ED6960" w:rsidRPr="002C7E22" w:rsidP="00C362EA">
      <w:pPr>
        <w:spacing w:line="240" w:lineRule="auto"/>
        <w:ind w:firstLine="708"/>
        <w:rPr>
          <w:rFonts w:ascii="Times New Roman" w:hAnsi="Times New Roman" w:cs="Times New Roman"/>
          <w:sz w:val="24"/>
          <w:szCs w:val="24"/>
        </w:rPr>
      </w:pPr>
    </w:p>
    <w:p w:rsidR="00744DE8" w:rsidP="00C362EA">
      <w:pPr>
        <w:spacing w:line="240" w:lineRule="auto"/>
        <w:ind w:firstLine="708"/>
        <w:rPr>
          <w:rFonts w:ascii="Times New Roman" w:hAnsi="Times New Roman" w:cs="Times New Roman"/>
          <w:sz w:val="24"/>
          <w:szCs w:val="24"/>
        </w:rPr>
      </w:pPr>
      <w:r w:rsidRPr="002C7E22" w:rsidR="00D27E26">
        <w:rPr>
          <w:rFonts w:ascii="Times New Roman" w:hAnsi="Times New Roman" w:cs="Times New Roman"/>
          <w:sz w:val="24"/>
          <w:szCs w:val="24"/>
        </w:rPr>
        <w:t>Schvále</w:t>
      </w:r>
      <w:r w:rsidRPr="002C7E22" w:rsidR="00A33F6A">
        <w:rPr>
          <w:rFonts w:ascii="Times New Roman" w:hAnsi="Times New Roman" w:cs="Times New Roman"/>
          <w:sz w:val="24"/>
          <w:szCs w:val="24"/>
        </w:rPr>
        <w:t>ný rozpočet výdavkov</w:t>
      </w:r>
      <w:r w:rsidRPr="002C7E22" w:rsidR="0041276C">
        <w:rPr>
          <w:rFonts w:ascii="Times New Roman" w:hAnsi="Times New Roman" w:cs="Times New Roman"/>
          <w:sz w:val="24"/>
          <w:szCs w:val="24"/>
        </w:rPr>
        <w:t xml:space="preserve"> </w:t>
      </w:r>
      <w:r w:rsidRPr="002C7E22" w:rsidR="00B34E85">
        <w:rPr>
          <w:rFonts w:ascii="Times New Roman" w:hAnsi="Times New Roman" w:cs="Times New Roman"/>
          <w:sz w:val="24"/>
          <w:szCs w:val="24"/>
        </w:rPr>
        <w:t xml:space="preserve">v sume </w:t>
      </w:r>
      <w:r>
        <w:rPr>
          <w:rFonts w:ascii="Times New Roman" w:hAnsi="Times New Roman" w:cs="Times New Roman"/>
          <w:sz w:val="24"/>
          <w:szCs w:val="24"/>
        </w:rPr>
        <w:t xml:space="preserve">27 261 462 000,00 </w:t>
      </w:r>
      <w:r w:rsidRPr="002C7E22" w:rsidR="00D27E26">
        <w:rPr>
          <w:rFonts w:ascii="Times New Roman" w:hAnsi="Times New Roman" w:cs="Times New Roman"/>
          <w:sz w:val="24"/>
          <w:szCs w:val="24"/>
        </w:rPr>
        <w:t>Sk</w:t>
      </w:r>
      <w:r w:rsidRPr="002C7E22" w:rsidR="0041276C">
        <w:rPr>
          <w:rFonts w:ascii="Times New Roman" w:hAnsi="Times New Roman" w:cs="Times New Roman"/>
          <w:sz w:val="24"/>
          <w:szCs w:val="24"/>
        </w:rPr>
        <w:t xml:space="preserve"> </w:t>
      </w:r>
      <w:r w:rsidRPr="002C7E22" w:rsidR="00D27E26">
        <w:rPr>
          <w:rFonts w:ascii="Times New Roman" w:hAnsi="Times New Roman" w:cs="Times New Roman"/>
          <w:sz w:val="24"/>
          <w:szCs w:val="24"/>
        </w:rPr>
        <w:t>bol predm</w:t>
      </w:r>
      <w:r w:rsidRPr="002C7E22" w:rsidR="00A33F6A">
        <w:rPr>
          <w:rFonts w:ascii="Times New Roman" w:hAnsi="Times New Roman" w:cs="Times New Roman"/>
          <w:sz w:val="24"/>
          <w:szCs w:val="24"/>
        </w:rPr>
        <w:t xml:space="preserve">etnými rozpočtovými opatreniami </w:t>
      </w:r>
      <w:r w:rsidRPr="002C7E22" w:rsidR="00D27E26">
        <w:rPr>
          <w:rFonts w:ascii="Times New Roman" w:hAnsi="Times New Roman" w:cs="Times New Roman"/>
          <w:sz w:val="24"/>
          <w:szCs w:val="24"/>
        </w:rPr>
        <w:t>celkovo</w:t>
      </w:r>
      <w:r>
        <w:rPr>
          <w:rFonts w:ascii="Times New Roman" w:hAnsi="Times New Roman" w:cs="Times New Roman"/>
          <w:sz w:val="24"/>
          <w:szCs w:val="24"/>
        </w:rPr>
        <w:t xml:space="preserve"> zvýšený o 4 251 718 836,48 tis. Sk na sumu 31 </w:t>
      </w:r>
      <w:r>
        <w:rPr>
          <w:rFonts w:ascii="Times New Roman" w:hAnsi="Times New Roman" w:cs="Times New Roman"/>
          <w:sz w:val="24"/>
          <w:szCs w:val="24"/>
        </w:rPr>
        <w:t xml:space="preserve">513 180 836,48 </w:t>
      </w:r>
      <w:r w:rsidRPr="002C7E22" w:rsidR="00A33F6A">
        <w:rPr>
          <w:rFonts w:ascii="Times New Roman" w:hAnsi="Times New Roman" w:cs="Times New Roman"/>
          <w:sz w:val="24"/>
          <w:szCs w:val="24"/>
        </w:rPr>
        <w:t>Sk</w:t>
      </w:r>
      <w:r w:rsidRPr="002C7E22" w:rsidR="00D27E26">
        <w:rPr>
          <w:rFonts w:ascii="Times New Roman" w:hAnsi="Times New Roman" w:cs="Times New Roman"/>
          <w:sz w:val="24"/>
          <w:szCs w:val="24"/>
        </w:rPr>
        <w:t>.</w:t>
      </w:r>
      <w:r w:rsidRPr="002C7E22" w:rsidR="00C441B4">
        <w:rPr>
          <w:rFonts w:ascii="Times New Roman" w:hAnsi="Times New Roman" w:cs="Times New Roman"/>
          <w:sz w:val="24"/>
          <w:szCs w:val="24"/>
        </w:rPr>
        <w:t xml:space="preserve"> </w:t>
      </w:r>
    </w:p>
    <w:p w:rsidR="00744DE8" w:rsidP="00C362EA">
      <w:pPr>
        <w:spacing w:line="240" w:lineRule="auto"/>
        <w:ind w:firstLine="708"/>
        <w:rPr>
          <w:rFonts w:ascii="Times New Roman" w:hAnsi="Times New Roman" w:cs="Times New Roman"/>
          <w:sz w:val="24"/>
          <w:szCs w:val="24"/>
        </w:rPr>
      </w:pPr>
    </w:p>
    <w:p w:rsidR="0011010C" w:rsidP="00C362EA">
      <w:pPr>
        <w:spacing w:line="240" w:lineRule="auto"/>
        <w:ind w:firstLine="708"/>
        <w:rPr>
          <w:rFonts w:ascii="Times New Roman" w:hAnsi="Times New Roman" w:cs="Times New Roman"/>
          <w:sz w:val="24"/>
          <w:szCs w:val="24"/>
        </w:rPr>
      </w:pPr>
      <w:r w:rsidR="00744DE8">
        <w:rPr>
          <w:rFonts w:ascii="Times New Roman" w:hAnsi="Times New Roman" w:cs="Times New Roman"/>
          <w:sz w:val="24"/>
          <w:szCs w:val="24"/>
        </w:rPr>
        <w:t xml:space="preserve">Zásadné zmeny </w:t>
      </w:r>
      <w:r w:rsidR="00D61E53">
        <w:rPr>
          <w:rFonts w:ascii="Times New Roman" w:hAnsi="Times New Roman" w:cs="Times New Roman"/>
          <w:sz w:val="24"/>
          <w:szCs w:val="24"/>
        </w:rPr>
        <w:t xml:space="preserve">v oblasti príjmov a </w:t>
      </w:r>
      <w:r w:rsidR="00744DE8">
        <w:rPr>
          <w:rFonts w:ascii="Times New Roman" w:hAnsi="Times New Roman" w:cs="Times New Roman"/>
          <w:sz w:val="24"/>
          <w:szCs w:val="24"/>
        </w:rPr>
        <w:t>výdavkov boli</w:t>
      </w:r>
      <w:r w:rsidRPr="002C7E22" w:rsidR="00A86A20">
        <w:rPr>
          <w:rFonts w:ascii="Times New Roman" w:hAnsi="Times New Roman" w:cs="Times New Roman"/>
          <w:sz w:val="24"/>
          <w:szCs w:val="24"/>
        </w:rPr>
        <w:t xml:space="preserve"> spôsobené </w:t>
      </w:r>
      <w:r w:rsidR="000A5B38">
        <w:rPr>
          <w:rFonts w:ascii="Times New Roman" w:hAnsi="Times New Roman" w:cs="Times New Roman"/>
          <w:sz w:val="24"/>
          <w:szCs w:val="24"/>
        </w:rPr>
        <w:t xml:space="preserve">povoleným prekročením a </w:t>
      </w:r>
      <w:r w:rsidRPr="002C7E22" w:rsidR="00C441B4">
        <w:rPr>
          <w:rFonts w:ascii="Times New Roman" w:hAnsi="Times New Roman" w:cs="Times New Roman"/>
          <w:sz w:val="24"/>
          <w:szCs w:val="24"/>
        </w:rPr>
        <w:t>viazan</w:t>
      </w:r>
      <w:r w:rsidR="00D61E53">
        <w:rPr>
          <w:rFonts w:ascii="Times New Roman" w:hAnsi="Times New Roman" w:cs="Times New Roman"/>
          <w:sz w:val="24"/>
          <w:szCs w:val="24"/>
        </w:rPr>
        <w:t xml:space="preserve">ím príjmov a výdavkov </w:t>
      </w:r>
      <w:r w:rsidRPr="002C7E22" w:rsidR="00C441B4">
        <w:rPr>
          <w:rFonts w:ascii="Times New Roman" w:hAnsi="Times New Roman" w:cs="Times New Roman"/>
          <w:sz w:val="24"/>
          <w:szCs w:val="24"/>
        </w:rPr>
        <w:t xml:space="preserve">z rozpočtu EÚ a príslušného spolufinancovania </w:t>
      </w:r>
      <w:r w:rsidRPr="002C7E22" w:rsidR="00A76A7C">
        <w:rPr>
          <w:rFonts w:ascii="Times New Roman" w:hAnsi="Times New Roman" w:cs="Times New Roman"/>
          <w:sz w:val="24"/>
          <w:szCs w:val="24"/>
        </w:rPr>
        <w:t xml:space="preserve">zo ŠR </w:t>
      </w:r>
      <w:r w:rsidR="00744DE8">
        <w:rPr>
          <w:rFonts w:ascii="Times New Roman" w:hAnsi="Times New Roman" w:cs="Times New Roman"/>
          <w:sz w:val="24"/>
          <w:szCs w:val="24"/>
        </w:rPr>
        <w:t xml:space="preserve">(RO MF SR č. </w:t>
      </w:r>
      <w:r w:rsidR="000A5B38">
        <w:rPr>
          <w:rFonts w:ascii="Times New Roman" w:hAnsi="Times New Roman" w:cs="Times New Roman"/>
          <w:sz w:val="24"/>
          <w:szCs w:val="24"/>
        </w:rPr>
        <w:t xml:space="preserve">2 a č. </w:t>
      </w:r>
      <w:r w:rsidR="00744DE8">
        <w:rPr>
          <w:rFonts w:ascii="Times New Roman" w:hAnsi="Times New Roman" w:cs="Times New Roman"/>
          <w:sz w:val="24"/>
          <w:szCs w:val="24"/>
        </w:rPr>
        <w:t>36</w:t>
      </w:r>
      <w:r w:rsidRPr="002C7E22" w:rsidR="00C441B4">
        <w:rPr>
          <w:rFonts w:ascii="Times New Roman" w:hAnsi="Times New Roman" w:cs="Times New Roman"/>
          <w:sz w:val="24"/>
          <w:szCs w:val="24"/>
        </w:rPr>
        <w:t>) a</w:t>
      </w:r>
      <w:r w:rsidR="000A5B38">
        <w:rPr>
          <w:rFonts w:ascii="Times New Roman" w:hAnsi="Times New Roman" w:cs="Times New Roman"/>
          <w:sz w:val="24"/>
          <w:szCs w:val="24"/>
        </w:rPr>
        <w:t xml:space="preserve"> povoleným prekročením a </w:t>
      </w:r>
      <w:r w:rsidRPr="002C7E22" w:rsidR="00A76A7C">
        <w:rPr>
          <w:rFonts w:ascii="Times New Roman" w:hAnsi="Times New Roman" w:cs="Times New Roman"/>
          <w:sz w:val="24"/>
          <w:szCs w:val="24"/>
        </w:rPr>
        <w:t xml:space="preserve">viazaním rozpočtových prostriedkov podľa § 8 ods. 6 zákona č. 523/2004 Z.z. o rozpočtových pravidlách verejnej správy na základe oznámenia MDPT SR o výške kapitálových výdavkov, ktoré MDPT SR použije v nasledujúcom </w:t>
      </w:r>
      <w:r w:rsidR="00744DE8">
        <w:rPr>
          <w:rFonts w:ascii="Times New Roman" w:hAnsi="Times New Roman" w:cs="Times New Roman"/>
          <w:sz w:val="24"/>
          <w:szCs w:val="24"/>
        </w:rPr>
        <w:t xml:space="preserve">rozpočtovom roku (RO MF SR č. </w:t>
      </w:r>
      <w:r w:rsidR="000A5B38">
        <w:rPr>
          <w:rFonts w:ascii="Times New Roman" w:hAnsi="Times New Roman" w:cs="Times New Roman"/>
          <w:sz w:val="24"/>
          <w:szCs w:val="24"/>
        </w:rPr>
        <w:t xml:space="preserve">1 a č. </w:t>
      </w:r>
      <w:r w:rsidR="00744DE8">
        <w:rPr>
          <w:rFonts w:ascii="Times New Roman" w:hAnsi="Times New Roman" w:cs="Times New Roman"/>
          <w:sz w:val="24"/>
          <w:szCs w:val="24"/>
        </w:rPr>
        <w:t>29</w:t>
      </w:r>
      <w:r w:rsidRPr="002C7E22" w:rsidR="00A76A7C">
        <w:rPr>
          <w:rFonts w:ascii="Times New Roman" w:hAnsi="Times New Roman" w:cs="Times New Roman"/>
          <w:sz w:val="24"/>
          <w:szCs w:val="24"/>
        </w:rPr>
        <w:t xml:space="preserve">). </w:t>
      </w:r>
    </w:p>
    <w:p w:rsidR="0011010C" w:rsidP="00C362EA">
      <w:pPr>
        <w:spacing w:line="240" w:lineRule="auto"/>
        <w:ind w:firstLine="708"/>
        <w:rPr>
          <w:rFonts w:ascii="Times New Roman" w:hAnsi="Times New Roman" w:cs="Times New Roman"/>
          <w:sz w:val="24"/>
          <w:szCs w:val="24"/>
        </w:rPr>
      </w:pPr>
    </w:p>
    <w:p w:rsidR="00D27E26" w:rsidRPr="002C7E22" w:rsidP="00C362EA">
      <w:pPr>
        <w:spacing w:line="240" w:lineRule="auto"/>
        <w:ind w:firstLine="708"/>
        <w:rPr>
          <w:rFonts w:ascii="Times New Roman" w:hAnsi="Times New Roman" w:cs="Times New Roman"/>
          <w:sz w:val="24"/>
          <w:szCs w:val="24"/>
        </w:rPr>
      </w:pPr>
      <w:r w:rsidR="00D12021">
        <w:rPr>
          <w:rFonts w:ascii="Times New Roman" w:hAnsi="Times New Roman" w:cs="Times New Roman"/>
          <w:sz w:val="24"/>
          <w:szCs w:val="24"/>
        </w:rPr>
        <w:t xml:space="preserve">Významné zmeny vo výške záväzných limitov výdavkov kapitoly MDPT SR boli spôsobené aj vykonaním rozpočtových opatrení č. 6, 7, 10, 12, 21 24, 33 a 34. Ostatné rozpočtové opatrenia boli vykonané buď v rámci schválených limitov výdavkov kapitoly alebo ich vplyv na výšku limitov výdavkov bol zanedbateľný.   </w:t>
      </w:r>
    </w:p>
    <w:p w:rsidR="0025095A" w:rsidRPr="002C7E22" w:rsidP="00C362EA">
      <w:pPr>
        <w:spacing w:line="240" w:lineRule="auto"/>
        <w:rPr>
          <w:rFonts w:ascii="Times New Roman" w:hAnsi="Times New Roman" w:cs="Times New Roman"/>
          <w:sz w:val="24"/>
          <w:szCs w:val="24"/>
        </w:rPr>
      </w:pPr>
      <w:r w:rsidRPr="002C7E22" w:rsidR="00D27E26">
        <w:rPr>
          <w:rFonts w:ascii="Times New Roman" w:hAnsi="Times New Roman" w:cs="Times New Roman"/>
          <w:sz w:val="24"/>
          <w:szCs w:val="24"/>
        </w:rPr>
        <w:tab/>
      </w:r>
    </w:p>
    <w:p w:rsidR="00241878" w:rsidRPr="002C7E22" w:rsidP="00C362EA">
      <w:pPr>
        <w:spacing w:line="240" w:lineRule="auto"/>
        <w:ind w:firstLine="708"/>
        <w:rPr>
          <w:rFonts w:ascii="Times New Roman" w:hAnsi="Times New Roman" w:cs="Times New Roman"/>
          <w:sz w:val="24"/>
          <w:szCs w:val="24"/>
        </w:rPr>
      </w:pPr>
      <w:r w:rsidRPr="002C7E22" w:rsidR="00D27E26">
        <w:rPr>
          <w:rFonts w:ascii="Times New Roman" w:hAnsi="Times New Roman" w:cs="Times New Roman"/>
          <w:sz w:val="24"/>
          <w:szCs w:val="24"/>
        </w:rPr>
        <w:t>Porovnanie upraveného rozpočtu kapitoly k schv</w:t>
      </w:r>
      <w:r w:rsidR="0011010C">
        <w:rPr>
          <w:rFonts w:ascii="Times New Roman" w:hAnsi="Times New Roman" w:cs="Times New Roman"/>
          <w:sz w:val="24"/>
          <w:szCs w:val="24"/>
        </w:rPr>
        <w:t>álenému dokumentuje Príloha č. 5</w:t>
      </w:r>
      <w:r w:rsidRPr="002C7E22" w:rsidR="00D27E26">
        <w:rPr>
          <w:rFonts w:ascii="Times New Roman" w:hAnsi="Times New Roman" w:cs="Times New Roman"/>
          <w:sz w:val="24"/>
          <w:szCs w:val="24"/>
        </w:rPr>
        <w:t xml:space="preserve"> – Rozpis rozp</w:t>
      </w:r>
      <w:r w:rsidR="00D12021">
        <w:rPr>
          <w:rFonts w:ascii="Times New Roman" w:hAnsi="Times New Roman" w:cs="Times New Roman"/>
          <w:sz w:val="24"/>
          <w:szCs w:val="24"/>
        </w:rPr>
        <w:t>očtu MDPT SR na rok 2007</w:t>
      </w:r>
      <w:r w:rsidRPr="002C7E22" w:rsidR="00D27E26">
        <w:rPr>
          <w:rFonts w:ascii="Times New Roman" w:hAnsi="Times New Roman" w:cs="Times New Roman"/>
          <w:sz w:val="24"/>
          <w:szCs w:val="24"/>
        </w:rPr>
        <w:t xml:space="preserve"> podľa rozpis</w:t>
      </w:r>
      <w:r w:rsidR="0011010C">
        <w:rPr>
          <w:rFonts w:ascii="Times New Roman" w:hAnsi="Times New Roman" w:cs="Times New Roman"/>
          <w:sz w:val="24"/>
          <w:szCs w:val="24"/>
        </w:rPr>
        <w:t>ového listu MF SR a Príloha č. 6</w:t>
      </w:r>
      <w:r w:rsidRPr="002C7E22" w:rsidR="00D27E26">
        <w:rPr>
          <w:rFonts w:ascii="Times New Roman" w:hAnsi="Times New Roman" w:cs="Times New Roman"/>
          <w:sz w:val="24"/>
          <w:szCs w:val="24"/>
        </w:rPr>
        <w:t xml:space="preserve"> – Upravený rozpoč</w:t>
      </w:r>
      <w:r w:rsidR="00D12021">
        <w:rPr>
          <w:rFonts w:ascii="Times New Roman" w:hAnsi="Times New Roman" w:cs="Times New Roman"/>
          <w:sz w:val="24"/>
          <w:szCs w:val="24"/>
        </w:rPr>
        <w:t>et kapitoly MDPT SR k 31.12.2007</w:t>
      </w:r>
      <w:r w:rsidRPr="002C7E22" w:rsidR="000D473B">
        <w:rPr>
          <w:rFonts w:ascii="Times New Roman" w:hAnsi="Times New Roman" w:cs="Times New Roman"/>
          <w:sz w:val="24"/>
          <w:szCs w:val="24"/>
        </w:rPr>
        <w:t>.</w:t>
      </w:r>
    </w:p>
    <w:p w:rsidR="000212D7" w:rsidP="00C362EA">
      <w:pPr>
        <w:spacing w:line="240" w:lineRule="auto"/>
        <w:rPr>
          <w:rFonts w:ascii="Times New Roman" w:hAnsi="Times New Roman" w:cs="Times New Roman"/>
          <w:sz w:val="24"/>
          <w:szCs w:val="24"/>
        </w:rPr>
      </w:pPr>
    </w:p>
    <w:p w:rsidR="00D719B7" w:rsidRPr="000D473B" w:rsidP="00C362EA">
      <w:pPr>
        <w:spacing w:line="240" w:lineRule="auto"/>
        <w:rPr>
          <w:rFonts w:ascii="Times New Roman" w:hAnsi="Times New Roman" w:cs="Times New Roman"/>
          <w:sz w:val="24"/>
          <w:szCs w:val="24"/>
        </w:rPr>
      </w:pPr>
    </w:p>
    <w:p w:rsidR="00241878" w:rsidRPr="002E4468" w:rsidP="00C362EA">
      <w:pPr>
        <w:pStyle w:val="BodyTextIndent"/>
        <w:pBdr>
          <w:top w:val="threeDEmboss" w:sz="24" w:space="1" w:color="auto"/>
          <w:left w:val="threeDEmboss" w:sz="24" w:space="4" w:color="auto"/>
          <w:bottom w:val="threeDEmboss" w:sz="24" w:space="1" w:color="auto"/>
          <w:right w:val="threeDEmboss" w:sz="24" w:space="4" w:color="auto"/>
        </w:pBdr>
        <w:shd w:val="pct15" w:color="000000" w:fill="FFFFFF"/>
        <w:spacing w:line="240" w:lineRule="auto"/>
        <w:ind w:firstLine="0"/>
        <w:jc w:val="center"/>
        <w:rPr>
          <w:rFonts w:ascii="Times New Roman" w:hAnsi="Times New Roman" w:cs="Times New Roman"/>
          <w:b/>
          <w:sz w:val="32"/>
          <w:szCs w:val="32"/>
        </w:rPr>
      </w:pPr>
      <w:r w:rsidRPr="002E4468">
        <w:rPr>
          <w:rFonts w:ascii="Times New Roman" w:hAnsi="Times New Roman" w:cs="Times New Roman"/>
          <w:b/>
          <w:sz w:val="32"/>
          <w:szCs w:val="32"/>
        </w:rPr>
        <w:t>1.</w:t>
      </w:r>
      <w:r w:rsidR="002E4468">
        <w:rPr>
          <w:rFonts w:ascii="Times New Roman" w:hAnsi="Times New Roman" w:cs="Times New Roman"/>
          <w:b/>
          <w:sz w:val="32"/>
          <w:szCs w:val="32"/>
        </w:rPr>
        <w:t xml:space="preserve">2. </w:t>
      </w:r>
      <w:r w:rsidRPr="002E4468">
        <w:rPr>
          <w:rFonts w:ascii="Times New Roman" w:hAnsi="Times New Roman" w:cs="Times New Roman"/>
          <w:b/>
          <w:sz w:val="32"/>
          <w:szCs w:val="32"/>
        </w:rPr>
        <w:t>Prí</w:t>
      </w:r>
      <w:r w:rsidRPr="002E4468">
        <w:rPr>
          <w:rFonts w:ascii="Times New Roman" w:hAnsi="Times New Roman" w:cs="Times New Roman"/>
          <w:b/>
          <w:sz w:val="32"/>
          <w:szCs w:val="32"/>
        </w:rPr>
        <w:t>jmy kapitoly MDPT SR</w:t>
      </w:r>
    </w:p>
    <w:p w:rsidR="005F43AA" w:rsidP="00C362EA">
      <w:pPr>
        <w:pStyle w:val="BodyTextIndent3"/>
        <w:spacing w:line="240" w:lineRule="auto"/>
        <w:ind w:firstLine="0"/>
        <w:rPr>
          <w:rFonts w:ascii="Times New Roman" w:hAnsi="Times New Roman" w:cs="Times New Roman"/>
          <w:sz w:val="24"/>
          <w:szCs w:val="24"/>
        </w:rPr>
      </w:pPr>
    </w:p>
    <w:p w:rsidR="006C42C3" w:rsidRPr="00523721" w:rsidP="00C362EA">
      <w:pPr>
        <w:pStyle w:val="BodyTextIndent3"/>
        <w:spacing w:line="240" w:lineRule="auto"/>
        <w:ind w:firstLine="0"/>
        <w:rPr>
          <w:rFonts w:ascii="Times New Roman" w:hAnsi="Times New Roman" w:cs="Times New Roman"/>
          <w:sz w:val="24"/>
          <w:szCs w:val="24"/>
        </w:rPr>
      </w:pPr>
    </w:p>
    <w:p w:rsidR="00B37107" w:rsidP="00C362EA">
      <w:pPr>
        <w:pStyle w:val="Heading7"/>
        <w:pBdr>
          <w:top w:val="thinThickLargeGap" w:sz="24" w:space="1" w:color="auto" w:shadow="1"/>
          <w:left w:val="thinThickLargeGap" w:sz="24" w:space="0" w:color="auto" w:shadow="1"/>
          <w:bottom w:val="thinThickLargeGap" w:sz="24" w:space="1" w:color="auto" w:shadow="1"/>
          <w:right w:val="thinThickLargeGap" w:sz="24" w:space="1" w:color="auto" w:shadow="1"/>
        </w:pBdr>
        <w:shd w:val="pct15" w:color="000000" w:fill="FFFFFF"/>
        <w:spacing w:line="240" w:lineRule="auto"/>
        <w:rPr>
          <w:rFonts w:ascii="Times New Roman" w:hAnsi="Times New Roman" w:cs="Times New Roman"/>
          <w:i w:val="0"/>
        </w:rPr>
      </w:pPr>
      <w:r w:rsidR="00DC22DE">
        <w:rPr>
          <w:rFonts w:ascii="Times New Roman" w:hAnsi="Times New Roman" w:cs="Times New Roman"/>
          <w:i w:val="0"/>
        </w:rPr>
        <w:t>1.</w:t>
      </w:r>
      <w:r w:rsidRPr="00D23807" w:rsidR="00D27E26">
        <w:rPr>
          <w:rFonts w:ascii="Times New Roman" w:hAnsi="Times New Roman" w:cs="Times New Roman"/>
          <w:i w:val="0"/>
        </w:rPr>
        <w:t>2.1. Príjmy</w:t>
      </w:r>
      <w:r w:rsidR="00DC22DE">
        <w:rPr>
          <w:rFonts w:ascii="Times New Roman" w:hAnsi="Times New Roman" w:cs="Times New Roman"/>
          <w:i w:val="0"/>
        </w:rPr>
        <w:t xml:space="preserve"> kapitoly podľa ekonomickej klasifikácie </w:t>
      </w:r>
    </w:p>
    <w:p w:rsidR="00D27E26" w:rsidP="00C362EA">
      <w:pPr>
        <w:pStyle w:val="Heading7"/>
        <w:pBdr>
          <w:top w:val="thinThickLargeGap" w:sz="24" w:space="1" w:color="auto" w:shadow="1"/>
          <w:left w:val="thinThickLargeGap" w:sz="24" w:space="0" w:color="auto" w:shadow="1"/>
          <w:bottom w:val="thinThickLargeGap" w:sz="24" w:space="1" w:color="auto" w:shadow="1"/>
          <w:right w:val="thinThickLargeGap" w:sz="24" w:space="1" w:color="auto" w:shadow="1"/>
        </w:pBdr>
        <w:shd w:val="pct15" w:color="000000" w:fill="FFFFFF"/>
        <w:spacing w:line="240" w:lineRule="auto"/>
        <w:rPr>
          <w:rFonts w:ascii="Times New Roman" w:hAnsi="Times New Roman" w:cs="Times New Roman"/>
          <w:i w:val="0"/>
        </w:rPr>
      </w:pPr>
      <w:r w:rsidR="00B37107">
        <w:rPr>
          <w:rFonts w:ascii="Times New Roman" w:hAnsi="Times New Roman" w:cs="Times New Roman"/>
          <w:i w:val="0"/>
        </w:rPr>
        <w:t>1.2.2. Prostriedky prijaté z rozpočtu EÚ</w:t>
      </w:r>
    </w:p>
    <w:p w:rsidR="00D27E26" w:rsidP="00C362EA">
      <w:pPr>
        <w:spacing w:line="240" w:lineRule="auto"/>
        <w:rPr>
          <w:rFonts w:ascii="Times New Roman" w:hAnsi="Times New Roman" w:cs="Times New Roman"/>
          <w:sz w:val="24"/>
          <w:szCs w:val="24"/>
        </w:rPr>
      </w:pPr>
    </w:p>
    <w:p w:rsidR="006C42C3" w:rsidRPr="00D23807" w:rsidP="00C362EA">
      <w:pPr>
        <w:spacing w:line="240" w:lineRule="auto"/>
        <w:rPr>
          <w:rFonts w:ascii="Times New Roman" w:hAnsi="Times New Roman" w:cs="Times New Roman"/>
          <w:sz w:val="24"/>
          <w:szCs w:val="24"/>
        </w:rPr>
      </w:pPr>
    </w:p>
    <w:p w:rsidR="00C8707B" w:rsidP="006C42C3">
      <w:pPr>
        <w:spacing w:line="240" w:lineRule="auto"/>
        <w:jc w:val="center"/>
        <w:rPr>
          <w:rFonts w:ascii="Times New Roman" w:hAnsi="Times New Roman" w:cs="Times New Roman"/>
          <w:b/>
          <w:sz w:val="28"/>
        </w:rPr>
      </w:pPr>
      <w:r w:rsidRPr="00D23807" w:rsidR="00D27E26">
        <w:rPr>
          <w:rFonts w:ascii="Times New Roman" w:hAnsi="Times New Roman" w:cs="Times New Roman"/>
          <w:sz w:val="24"/>
          <w:szCs w:val="24"/>
        </w:rPr>
        <w:t>Výsledky hospodárenia kapitoly v oblasti príjmov dokumentujú nasledovné údaje:</w:t>
      </w:r>
    </w:p>
    <w:p w:rsidR="006C42C3" w:rsidRPr="006C42C3" w:rsidP="006C42C3">
      <w:pPr>
        <w:spacing w:line="240" w:lineRule="auto"/>
        <w:jc w:val="center"/>
        <w:rPr>
          <w:rFonts w:ascii="Times New Roman" w:hAnsi="Times New Roman" w:cs="Times New Roman"/>
          <w:b/>
        </w:rPr>
      </w:pPr>
    </w:p>
    <w:p w:rsidR="000A6926" w:rsidRPr="00D23807" w:rsidP="000A6926">
      <w:pPr>
        <w:spacing w:line="240" w:lineRule="auto"/>
        <w:ind w:firstLine="708"/>
        <w:rPr>
          <w:rFonts w:ascii="Times New Roman" w:hAnsi="Times New Roman" w:cs="Times New Roman"/>
          <w:sz w:val="24"/>
          <w:szCs w:val="24"/>
        </w:rPr>
      </w:pPr>
      <w:r w:rsidR="00C8707B">
        <w:rPr>
          <w:rFonts w:ascii="Times New Roman" w:hAnsi="Times New Roman" w:cs="Times New Roman"/>
          <w:b/>
          <w:sz w:val="28"/>
        </w:rPr>
        <w:t xml:space="preserve">       </w:t>
      </w:r>
      <w:r>
        <w:rPr>
          <w:rFonts w:ascii="Times New Roman" w:hAnsi="Times New Roman" w:cs="Times New Roman"/>
          <w:b/>
          <w:sz w:val="28"/>
        </w:rPr>
        <w:t xml:space="preserve">                                         </w:t>
      </w:r>
      <w:r w:rsidRPr="00D23807">
        <w:rPr>
          <w:rFonts w:ascii="Times New Roman" w:hAnsi="Times New Roman" w:cs="Times New Roman"/>
          <w:b/>
          <w:sz w:val="28"/>
        </w:rPr>
        <w:t xml:space="preserve">       </w:t>
      </w:r>
      <w:r w:rsidRPr="00D23807">
        <w:rPr>
          <w:rFonts w:ascii="Times New Roman" w:hAnsi="Times New Roman" w:cs="Times New Roman"/>
          <w:b/>
          <w:sz w:val="28"/>
        </w:rPr>
        <w:t xml:space="preserve">                                                   </w:t>
      </w:r>
      <w:r w:rsidRPr="00D23807">
        <w:rPr>
          <w:rFonts w:ascii="Times New Roman" w:hAnsi="Times New Roman" w:cs="Times New Roman"/>
          <w:sz w:val="24"/>
          <w:szCs w:val="24"/>
        </w:rPr>
        <w:t>(v tis. Sk)</w:t>
      </w:r>
    </w:p>
    <w:p w:rsidR="000A6926" w:rsidRPr="002C7E22" w:rsidP="000A6926">
      <w:pPr>
        <w:spacing w:line="240" w:lineRule="auto"/>
        <w:rPr>
          <w:rFonts w:ascii="Times New Roman" w:hAnsi="Times New Roman" w:cs="Times New Roman"/>
          <w:b/>
          <w:sz w:val="24"/>
          <w:szCs w:val="24"/>
        </w:rPr>
      </w:pPr>
      <w:r w:rsidRPr="002C7E22">
        <w:rPr>
          <w:rFonts w:ascii="Times New Roman" w:hAnsi="Times New Roman" w:cs="Times New Roman"/>
          <w:b/>
          <w:sz w:val="24"/>
          <w:szCs w:val="24"/>
        </w:rPr>
        <w:t>Záväzné ukazovatele                                                      schválené     upravené     skutočnosť</w:t>
      </w:r>
    </w:p>
    <w:p w:rsidR="000A6926" w:rsidRPr="002C7E22" w:rsidP="000A6926">
      <w:pPr>
        <w:spacing w:line="240" w:lineRule="auto"/>
        <w:rPr>
          <w:rFonts w:ascii="Times New Roman" w:hAnsi="Times New Roman" w:cs="Times New Roman"/>
          <w:b/>
          <w:sz w:val="24"/>
          <w:szCs w:val="24"/>
        </w:rPr>
      </w:pPr>
    </w:p>
    <w:p w:rsidR="000A6926" w:rsidRPr="00D23807" w:rsidP="000A6926">
      <w:pPr>
        <w:tabs>
          <w:tab w:val="left" w:pos="5529"/>
        </w:tabs>
        <w:spacing w:line="240" w:lineRule="auto"/>
        <w:rPr>
          <w:rFonts w:ascii="Times New Roman" w:hAnsi="Times New Roman" w:cs="Times New Roman"/>
          <w:b/>
          <w:sz w:val="24"/>
          <w:szCs w:val="24"/>
        </w:rPr>
      </w:pPr>
      <w:r w:rsidRPr="00D23807">
        <w:rPr>
          <w:rFonts w:ascii="Times New Roman" w:hAnsi="Times New Roman" w:cs="Times New Roman"/>
          <w:b/>
          <w:sz w:val="24"/>
          <w:szCs w:val="24"/>
        </w:rPr>
        <w:t xml:space="preserve">I .  PRÍJMY KAPITOLY (ŠR+EÚ)        </w:t>
      </w:r>
      <w:r>
        <w:rPr>
          <w:rFonts w:ascii="Times New Roman" w:hAnsi="Times New Roman" w:cs="Times New Roman"/>
          <w:b/>
          <w:sz w:val="24"/>
          <w:szCs w:val="24"/>
        </w:rPr>
        <w:t xml:space="preserve">                         7 424</w:t>
      </w:r>
      <w:r w:rsidR="00E620E1">
        <w:rPr>
          <w:rFonts w:ascii="Times New Roman" w:hAnsi="Times New Roman" w:cs="Times New Roman"/>
          <w:b/>
          <w:sz w:val="24"/>
          <w:szCs w:val="24"/>
        </w:rPr>
        <w:t xml:space="preserve"> 931     7 749 </w:t>
      </w:r>
      <w:r w:rsidR="00CB2678">
        <w:rPr>
          <w:rFonts w:ascii="Times New Roman" w:hAnsi="Times New Roman" w:cs="Times New Roman"/>
          <w:b/>
          <w:sz w:val="24"/>
          <w:szCs w:val="24"/>
        </w:rPr>
        <w:t>708     6 334 936</w:t>
      </w:r>
      <w:r w:rsidRPr="00D23807">
        <w:rPr>
          <w:rFonts w:ascii="Times New Roman" w:hAnsi="Times New Roman" w:cs="Times New Roman"/>
          <w:b/>
          <w:sz w:val="24"/>
          <w:szCs w:val="24"/>
        </w:rPr>
        <w:t xml:space="preserve">                 </w:t>
      </w:r>
    </w:p>
    <w:p w:rsidR="000A6926" w:rsidRPr="00D23807" w:rsidP="000A6926">
      <w:pPr>
        <w:tabs>
          <w:tab w:val="left" w:pos="5529"/>
        </w:tabs>
        <w:spacing w:line="240" w:lineRule="auto"/>
        <w:rPr>
          <w:rFonts w:ascii="Times New Roman" w:hAnsi="Times New Roman" w:cs="Times New Roman"/>
          <w:b/>
          <w:sz w:val="24"/>
          <w:szCs w:val="24"/>
        </w:rPr>
      </w:pPr>
    </w:p>
    <w:p w:rsidR="000A6926" w:rsidP="000A6926">
      <w:pPr>
        <w:tabs>
          <w:tab w:val="left" w:pos="5529"/>
        </w:tabs>
        <w:spacing w:line="240" w:lineRule="auto"/>
        <w:rPr>
          <w:rFonts w:ascii="Times New Roman" w:hAnsi="Times New Roman" w:cs="Times New Roman"/>
          <w:sz w:val="24"/>
          <w:szCs w:val="24"/>
        </w:rPr>
      </w:pPr>
      <w:r w:rsidRPr="00D23807">
        <w:rPr>
          <w:rFonts w:ascii="Times New Roman" w:hAnsi="Times New Roman" w:cs="Times New Roman"/>
          <w:b/>
          <w:sz w:val="24"/>
          <w:szCs w:val="24"/>
        </w:rPr>
        <w:t xml:space="preserve">      </w:t>
      </w:r>
      <w:r w:rsidRPr="00D23807">
        <w:rPr>
          <w:rFonts w:ascii="Times New Roman" w:hAnsi="Times New Roman" w:cs="Times New Roman"/>
          <w:sz w:val="24"/>
          <w:szCs w:val="24"/>
        </w:rPr>
        <w:t xml:space="preserve">a) záväzný ukazovateľ (ŠR)              </w:t>
      </w:r>
      <w:r>
        <w:rPr>
          <w:rFonts w:ascii="Times New Roman" w:hAnsi="Times New Roman" w:cs="Times New Roman"/>
          <w:sz w:val="24"/>
          <w:szCs w:val="24"/>
        </w:rPr>
        <w:t xml:space="preserve">                            2 705 000     2 705 000     2 630 355</w:t>
      </w:r>
    </w:p>
    <w:p w:rsidR="000A6926" w:rsidP="000A6926">
      <w:pPr>
        <w:spacing w:line="240" w:lineRule="auto"/>
        <w:rPr>
          <w:rFonts w:ascii="Times New Roman" w:hAnsi="Times New Roman" w:cs="Times New Roman"/>
          <w:sz w:val="24"/>
          <w:szCs w:val="24"/>
        </w:rPr>
      </w:pPr>
      <w:r w:rsidRPr="00D23807">
        <w:rPr>
          <w:rFonts w:ascii="Times New Roman" w:hAnsi="Times New Roman" w:cs="Times New Roman"/>
          <w:sz w:val="24"/>
          <w:szCs w:val="24"/>
        </w:rPr>
        <w:t xml:space="preserve">      b) prostriedky z rozpočtu EÚ                </w:t>
      </w:r>
      <w:r>
        <w:rPr>
          <w:rFonts w:ascii="Times New Roman" w:hAnsi="Times New Roman" w:cs="Times New Roman"/>
          <w:sz w:val="24"/>
          <w:szCs w:val="24"/>
        </w:rPr>
        <w:t xml:space="preserve">                        4 719 931     5 </w:t>
      </w:r>
      <w:r w:rsidR="0011010C">
        <w:rPr>
          <w:rFonts w:ascii="Times New Roman" w:hAnsi="Times New Roman" w:cs="Times New Roman"/>
          <w:sz w:val="24"/>
          <w:szCs w:val="24"/>
        </w:rPr>
        <w:t xml:space="preserve">044 708     3 704 </w:t>
      </w:r>
      <w:r w:rsidR="0011010C">
        <w:rPr>
          <w:rFonts w:ascii="Times New Roman" w:hAnsi="Times New Roman" w:cs="Times New Roman"/>
          <w:sz w:val="24"/>
          <w:szCs w:val="24"/>
        </w:rPr>
        <w:t>5</w:t>
      </w:r>
      <w:r w:rsidR="00E620E1">
        <w:rPr>
          <w:rFonts w:ascii="Times New Roman" w:hAnsi="Times New Roman" w:cs="Times New Roman"/>
          <w:sz w:val="24"/>
          <w:szCs w:val="24"/>
        </w:rPr>
        <w:t>81</w:t>
      </w:r>
      <w:r>
        <w:rPr>
          <w:rFonts w:ascii="Times New Roman" w:hAnsi="Times New Roman" w:cs="Times New Roman"/>
          <w:sz w:val="24"/>
          <w:szCs w:val="24"/>
        </w:rPr>
        <w:t xml:space="preserve"> </w:t>
      </w:r>
    </w:p>
    <w:p w:rsidR="000A6926" w:rsidP="000A6926">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0A6926" w:rsidP="000A6926">
      <w:pPr>
        <w:spacing w:line="240" w:lineRule="auto"/>
        <w:rPr>
          <w:rFonts w:ascii="Times New Roman" w:hAnsi="Times New Roman" w:cs="Times New Roman"/>
          <w:sz w:val="24"/>
          <w:szCs w:val="24"/>
        </w:rPr>
      </w:pPr>
      <w:r>
        <w:rPr>
          <w:rFonts w:ascii="Times New Roman" w:hAnsi="Times New Roman" w:cs="Times New Roman"/>
          <w:sz w:val="24"/>
          <w:szCs w:val="24"/>
        </w:rPr>
        <w:t xml:space="preserve">      Doplnkové – mimorozpočtové príjmy                                        0                   0        104 762</w:t>
      </w:r>
    </w:p>
    <w:p w:rsidR="000A6926" w:rsidRPr="00DF2927" w:rsidP="000A6926">
      <w:pPr>
        <w:spacing w:line="240" w:lineRule="auto"/>
        <w:rPr>
          <w:rFonts w:ascii="Times New Roman" w:hAnsi="Times New Roman" w:cs="Times New Roman"/>
          <w:sz w:val="24"/>
          <w:szCs w:val="24"/>
        </w:rPr>
      </w:pPr>
      <w:r>
        <w:rPr>
          <w:rFonts w:ascii="Times New Roman" w:hAnsi="Times New Roman" w:cs="Times New Roman"/>
          <w:sz w:val="26"/>
        </w:rPr>
        <w:t xml:space="preserve"> </w:t>
      </w:r>
    </w:p>
    <w:p w:rsidR="000A6926" w:rsidRPr="00D23807" w:rsidP="000A6926">
      <w:pPr>
        <w:tabs>
          <w:tab w:val="left" w:pos="5529"/>
        </w:tabs>
        <w:spacing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Pr="00D23807">
        <w:rPr>
          <w:rFonts w:ascii="Times New Roman" w:hAnsi="Times New Roman" w:cs="Times New Roman"/>
          <w:b/>
          <w:sz w:val="24"/>
          <w:szCs w:val="24"/>
        </w:rPr>
        <w:t xml:space="preserve">PRÍJMY KAPITOLY </w:t>
      </w:r>
      <w:r>
        <w:rPr>
          <w:rFonts w:ascii="Times New Roman" w:hAnsi="Times New Roman" w:cs="Times New Roman"/>
          <w:b/>
          <w:sz w:val="24"/>
          <w:szCs w:val="24"/>
        </w:rPr>
        <w:t xml:space="preserve">CELKOM </w:t>
      </w:r>
      <w:r w:rsidRPr="00D23807">
        <w:rPr>
          <w:rFonts w:ascii="Times New Roman" w:hAnsi="Times New Roman" w:cs="Times New Roman"/>
          <w:b/>
          <w:sz w:val="24"/>
          <w:szCs w:val="24"/>
        </w:rPr>
        <w:t>(ŠR+EÚ</w:t>
      </w:r>
      <w:r>
        <w:rPr>
          <w:rFonts w:ascii="Times New Roman" w:hAnsi="Times New Roman" w:cs="Times New Roman"/>
          <w:b/>
          <w:sz w:val="24"/>
          <w:szCs w:val="24"/>
        </w:rPr>
        <w:t>+DP)     7 424</w:t>
      </w:r>
      <w:r w:rsidR="00CB2678">
        <w:rPr>
          <w:rFonts w:ascii="Times New Roman" w:hAnsi="Times New Roman" w:cs="Times New Roman"/>
          <w:b/>
          <w:sz w:val="24"/>
          <w:szCs w:val="24"/>
        </w:rPr>
        <w:t xml:space="preserve"> 931     7 749 708     6 439 698</w:t>
      </w:r>
      <w:r>
        <w:rPr>
          <w:rFonts w:ascii="Times New Roman" w:hAnsi="Times New Roman" w:cs="Times New Roman"/>
          <w:b/>
          <w:sz w:val="24"/>
          <w:szCs w:val="24"/>
        </w:rPr>
        <w:t xml:space="preserve">                 </w:t>
      </w:r>
    </w:p>
    <w:p w:rsidR="006C42C3" w:rsidRPr="007E2951" w:rsidP="00C362EA">
      <w:pPr>
        <w:tabs>
          <w:tab w:val="left" w:pos="5529"/>
        </w:tabs>
        <w:spacing w:line="240" w:lineRule="auto"/>
        <w:rPr>
          <w:rFonts w:ascii="Times New Roman" w:hAnsi="Times New Roman" w:cs="Times New Roman"/>
          <w:b/>
          <w:sz w:val="24"/>
          <w:szCs w:val="24"/>
        </w:rPr>
      </w:pPr>
      <w:r w:rsidR="00C8707B">
        <w:rPr>
          <w:rFonts w:ascii="Times New Roman" w:hAnsi="Times New Roman" w:cs="Times New Roman"/>
          <w:b/>
          <w:sz w:val="28"/>
        </w:rPr>
        <w:t xml:space="preserve">                           </w:t>
      </w:r>
      <w:r w:rsidR="00C8707B">
        <w:rPr>
          <w:rFonts w:ascii="Times New Roman" w:hAnsi="Times New Roman" w:cs="Times New Roman"/>
          <w:b/>
          <w:sz w:val="28"/>
        </w:rPr>
        <w:t xml:space="preserve">       </w:t>
      </w:r>
      <w:r w:rsidRPr="00D23807" w:rsidR="00D27E26">
        <w:rPr>
          <w:rFonts w:ascii="Times New Roman" w:hAnsi="Times New Roman" w:cs="Times New Roman"/>
          <w:b/>
          <w:sz w:val="28"/>
        </w:rPr>
        <w:t xml:space="preserve">                                                          </w:t>
      </w:r>
      <w:r w:rsidR="00B010C8">
        <w:rPr>
          <w:rFonts w:ascii="Times New Roman" w:hAnsi="Times New Roman" w:cs="Times New Roman"/>
          <w:b/>
          <w:sz w:val="28"/>
        </w:rPr>
        <w:t xml:space="preserve">      </w:t>
      </w:r>
      <w:r w:rsidR="007E2951">
        <w:rPr>
          <w:rFonts w:ascii="Times New Roman" w:hAnsi="Times New Roman" w:cs="Times New Roman"/>
          <w:b/>
          <w:sz w:val="24"/>
          <w:szCs w:val="24"/>
        </w:rPr>
        <w:t xml:space="preserve">   </w:t>
      </w:r>
    </w:p>
    <w:p w:rsidR="005F43AA" w:rsidRPr="002C7E22" w:rsidP="00C362EA">
      <w:pPr>
        <w:pStyle w:val="BodyText2"/>
        <w:spacing w:line="240" w:lineRule="auto"/>
        <w:ind w:firstLine="708"/>
        <w:rPr>
          <w:rFonts w:ascii="Times New Roman" w:hAnsi="Times New Roman" w:cs="Times New Roman"/>
          <w:sz w:val="24"/>
          <w:szCs w:val="24"/>
        </w:rPr>
      </w:pPr>
      <w:r w:rsidRPr="002C7E22" w:rsidR="004D2B79">
        <w:rPr>
          <w:rFonts w:ascii="Times New Roman" w:hAnsi="Times New Roman" w:cs="Times New Roman"/>
          <w:sz w:val="24"/>
          <w:szCs w:val="24"/>
        </w:rPr>
        <w:t>R</w:t>
      </w:r>
      <w:r w:rsidRPr="002C7E22" w:rsidR="00D27E26">
        <w:rPr>
          <w:rFonts w:ascii="Times New Roman" w:hAnsi="Times New Roman" w:cs="Times New Roman"/>
          <w:sz w:val="24"/>
          <w:szCs w:val="24"/>
        </w:rPr>
        <w:t xml:space="preserve">ozpočet príjmov </w:t>
      </w:r>
      <w:r w:rsidRPr="002C7E22" w:rsidR="007535D0">
        <w:rPr>
          <w:rFonts w:ascii="Times New Roman" w:hAnsi="Times New Roman" w:cs="Times New Roman"/>
          <w:sz w:val="24"/>
          <w:szCs w:val="24"/>
        </w:rPr>
        <w:t>kapitoly be</w:t>
      </w:r>
      <w:r w:rsidRPr="002C7E22" w:rsidR="004D2B79">
        <w:rPr>
          <w:rFonts w:ascii="Times New Roman" w:hAnsi="Times New Roman" w:cs="Times New Roman"/>
          <w:sz w:val="24"/>
          <w:szCs w:val="24"/>
        </w:rPr>
        <w:t xml:space="preserve">z prostriedkov z </w:t>
      </w:r>
      <w:r w:rsidRPr="002C7E22" w:rsidR="007535D0">
        <w:rPr>
          <w:rFonts w:ascii="Times New Roman" w:hAnsi="Times New Roman" w:cs="Times New Roman"/>
          <w:sz w:val="24"/>
          <w:szCs w:val="24"/>
        </w:rPr>
        <w:t>EÚ (</w:t>
      </w:r>
      <w:r w:rsidRPr="002C7E22" w:rsidR="00652E76">
        <w:rPr>
          <w:rFonts w:ascii="Times New Roman" w:hAnsi="Times New Roman" w:cs="Times New Roman"/>
          <w:sz w:val="24"/>
          <w:szCs w:val="24"/>
        </w:rPr>
        <w:t>záväzný ukazovateľ ŠR) ostal</w:t>
      </w:r>
      <w:r w:rsidRPr="002C7E22" w:rsidR="004D2B79">
        <w:rPr>
          <w:rFonts w:ascii="Times New Roman" w:hAnsi="Times New Roman" w:cs="Times New Roman"/>
          <w:sz w:val="24"/>
          <w:szCs w:val="24"/>
        </w:rPr>
        <w:t xml:space="preserve"> </w:t>
      </w:r>
      <w:r w:rsidR="007A3106">
        <w:rPr>
          <w:rFonts w:ascii="Times New Roman" w:hAnsi="Times New Roman" w:cs="Times New Roman"/>
          <w:sz w:val="24"/>
          <w:szCs w:val="24"/>
        </w:rPr>
        <w:t>k 31.12.2007</w:t>
      </w:r>
      <w:r w:rsidRPr="002C7E22" w:rsidR="00B37107">
        <w:rPr>
          <w:rFonts w:ascii="Times New Roman" w:hAnsi="Times New Roman" w:cs="Times New Roman"/>
          <w:sz w:val="24"/>
          <w:szCs w:val="24"/>
        </w:rPr>
        <w:t xml:space="preserve"> v rovnakej </w:t>
      </w:r>
      <w:r w:rsidRPr="002C7E22" w:rsidR="00652E76">
        <w:rPr>
          <w:rFonts w:ascii="Times New Roman" w:hAnsi="Times New Roman" w:cs="Times New Roman"/>
          <w:sz w:val="24"/>
          <w:szCs w:val="24"/>
        </w:rPr>
        <w:t>výške</w:t>
      </w:r>
      <w:r w:rsidR="007A3106">
        <w:rPr>
          <w:rFonts w:ascii="Times New Roman" w:hAnsi="Times New Roman" w:cs="Times New Roman"/>
          <w:sz w:val="24"/>
          <w:szCs w:val="24"/>
        </w:rPr>
        <w:t xml:space="preserve"> ako bol schválený k 1.1.2007</w:t>
      </w:r>
      <w:r w:rsidRPr="002C7E22" w:rsidR="00B37107">
        <w:rPr>
          <w:rFonts w:ascii="Times New Roman" w:hAnsi="Times New Roman" w:cs="Times New Roman"/>
          <w:sz w:val="24"/>
          <w:szCs w:val="24"/>
        </w:rPr>
        <w:t xml:space="preserve">. </w:t>
      </w:r>
    </w:p>
    <w:p w:rsidR="004D2B79" w:rsidRPr="00652E76" w:rsidP="00AC2EC6">
      <w:pPr>
        <w:pStyle w:val="BodyText2"/>
        <w:spacing w:line="240" w:lineRule="auto"/>
        <w:rPr>
          <w:rFonts w:ascii="Times New Roman" w:hAnsi="Times New Roman" w:cs="Times New Roman"/>
          <w:sz w:val="24"/>
          <w:szCs w:val="24"/>
        </w:rPr>
      </w:pPr>
    </w:p>
    <w:p w:rsidR="0030402D" w:rsidP="00C362EA">
      <w:pPr>
        <w:spacing w:line="240" w:lineRule="auto"/>
        <w:ind w:firstLine="708"/>
        <w:rPr>
          <w:rFonts w:ascii="Times New Roman" w:hAnsi="Times New Roman" w:cs="Times New Roman"/>
          <w:sz w:val="24"/>
          <w:szCs w:val="24"/>
        </w:rPr>
      </w:pPr>
      <w:r w:rsidR="00BD6AA9">
        <w:rPr>
          <w:rFonts w:ascii="Times New Roman" w:hAnsi="Times New Roman" w:cs="Times New Roman"/>
          <w:sz w:val="24"/>
          <w:szCs w:val="24"/>
        </w:rPr>
        <w:t xml:space="preserve">Z vyššie uvedeného prehľadu príjmov </w:t>
      </w:r>
      <w:r w:rsidRPr="00D23807" w:rsidR="009E5CF0">
        <w:rPr>
          <w:rFonts w:ascii="Times New Roman" w:hAnsi="Times New Roman" w:cs="Times New Roman"/>
          <w:sz w:val="24"/>
          <w:szCs w:val="24"/>
        </w:rPr>
        <w:t>je zrejmé, že kapitola MDPT SR mala skutočné príjmy (bez prostriedkov EÚ</w:t>
      </w:r>
      <w:r w:rsidR="006422B2">
        <w:rPr>
          <w:rFonts w:ascii="Times New Roman" w:hAnsi="Times New Roman" w:cs="Times New Roman"/>
          <w:sz w:val="24"/>
          <w:szCs w:val="24"/>
        </w:rPr>
        <w:t xml:space="preserve"> a mimorozpočtových príjmov</w:t>
      </w:r>
      <w:r w:rsidRPr="00D23807" w:rsidR="009E5CF0">
        <w:rPr>
          <w:rFonts w:ascii="Times New Roman" w:hAnsi="Times New Roman" w:cs="Times New Roman"/>
          <w:sz w:val="24"/>
          <w:szCs w:val="24"/>
        </w:rPr>
        <w:t xml:space="preserve">) </w:t>
      </w:r>
      <w:r w:rsidR="007A3106">
        <w:rPr>
          <w:rFonts w:ascii="Times New Roman" w:hAnsi="Times New Roman" w:cs="Times New Roman"/>
          <w:sz w:val="24"/>
          <w:szCs w:val="24"/>
        </w:rPr>
        <w:t>niž</w:t>
      </w:r>
      <w:r w:rsidRPr="002C7E22" w:rsidR="009E5CF0">
        <w:rPr>
          <w:rFonts w:ascii="Times New Roman" w:hAnsi="Times New Roman" w:cs="Times New Roman"/>
          <w:sz w:val="24"/>
          <w:szCs w:val="24"/>
        </w:rPr>
        <w:t>šie o</w:t>
      </w:r>
      <w:r w:rsidR="007A3106">
        <w:rPr>
          <w:rFonts w:ascii="Times New Roman" w:hAnsi="Times New Roman" w:cs="Times New Roman"/>
          <w:sz w:val="24"/>
          <w:szCs w:val="24"/>
        </w:rPr>
        <w:t> 74 645</w:t>
      </w:r>
      <w:r w:rsidRPr="002C7E22" w:rsidR="005F43AA">
        <w:rPr>
          <w:rFonts w:ascii="Times New Roman" w:hAnsi="Times New Roman" w:cs="Times New Roman"/>
          <w:sz w:val="24"/>
          <w:szCs w:val="24"/>
        </w:rPr>
        <w:t xml:space="preserve"> </w:t>
      </w:r>
      <w:r w:rsidRPr="002C7E22" w:rsidR="009E5CF0">
        <w:rPr>
          <w:rFonts w:ascii="Times New Roman" w:hAnsi="Times New Roman" w:cs="Times New Roman"/>
          <w:sz w:val="24"/>
          <w:szCs w:val="24"/>
        </w:rPr>
        <w:t>tis. Sk ako stanovoval</w:t>
      </w:r>
      <w:r w:rsidRPr="00D23807" w:rsidR="009E5CF0">
        <w:rPr>
          <w:rFonts w:ascii="Times New Roman" w:hAnsi="Times New Roman" w:cs="Times New Roman"/>
          <w:sz w:val="24"/>
          <w:szCs w:val="24"/>
        </w:rPr>
        <w:t xml:space="preserve"> upravený rozpočet.</w:t>
      </w:r>
      <w:r w:rsidR="007016CE">
        <w:rPr>
          <w:rFonts w:ascii="Times New Roman" w:hAnsi="Times New Roman" w:cs="Times New Roman"/>
          <w:sz w:val="24"/>
          <w:szCs w:val="24"/>
        </w:rPr>
        <w:t xml:space="preserve"> Zdôvodnenie prekročenia </w:t>
      </w:r>
      <w:r w:rsidR="009E5CF0">
        <w:rPr>
          <w:rFonts w:ascii="Times New Roman" w:hAnsi="Times New Roman" w:cs="Times New Roman"/>
          <w:sz w:val="24"/>
          <w:szCs w:val="24"/>
        </w:rPr>
        <w:t>je uvedené vo vyhodnotení</w:t>
      </w:r>
      <w:r w:rsidRPr="009E5CF0" w:rsidR="009E5CF0">
        <w:rPr>
          <w:rFonts w:ascii="Times New Roman" w:hAnsi="Times New Roman" w:cs="Times New Roman"/>
          <w:sz w:val="24"/>
          <w:szCs w:val="24"/>
        </w:rPr>
        <w:t xml:space="preserve"> plnenia príjmov </w:t>
      </w:r>
      <w:r w:rsidR="00E64F9B">
        <w:rPr>
          <w:rFonts w:ascii="Times New Roman" w:hAnsi="Times New Roman" w:cs="Times New Roman"/>
          <w:sz w:val="24"/>
          <w:szCs w:val="24"/>
        </w:rPr>
        <w:t>podľa jednotlivých rozpočtových orga</w:t>
      </w:r>
      <w:r w:rsidR="00E64F9B">
        <w:rPr>
          <w:rFonts w:ascii="Times New Roman" w:hAnsi="Times New Roman" w:cs="Times New Roman"/>
          <w:sz w:val="24"/>
          <w:szCs w:val="24"/>
        </w:rPr>
        <w:t xml:space="preserve">nizácií </w:t>
      </w:r>
      <w:r w:rsidR="007A3106">
        <w:rPr>
          <w:rFonts w:ascii="Times New Roman" w:hAnsi="Times New Roman" w:cs="Times New Roman"/>
          <w:sz w:val="24"/>
          <w:szCs w:val="24"/>
        </w:rPr>
        <w:t>MDPT SR v roku 2007</w:t>
      </w:r>
      <w:r w:rsidR="009E5CF0">
        <w:rPr>
          <w:rFonts w:ascii="Times New Roman" w:hAnsi="Times New Roman" w:cs="Times New Roman"/>
          <w:sz w:val="24"/>
          <w:szCs w:val="24"/>
        </w:rPr>
        <w:t xml:space="preserve"> v nasledujúcej časti. </w:t>
      </w:r>
    </w:p>
    <w:p w:rsidR="00CB035C" w:rsidRPr="002C7E22" w:rsidP="00C362EA">
      <w:pPr>
        <w:spacing w:line="240" w:lineRule="auto"/>
        <w:rPr>
          <w:rFonts w:ascii="Times New Roman" w:hAnsi="Times New Roman" w:cs="Times New Roman"/>
          <w:sz w:val="24"/>
          <w:szCs w:val="24"/>
        </w:rPr>
      </w:pPr>
    </w:p>
    <w:p w:rsidR="007A3106" w:rsidP="007A3106">
      <w:pPr>
        <w:spacing w:line="240" w:lineRule="auto"/>
        <w:ind w:firstLine="708"/>
        <w:rPr>
          <w:rFonts w:ascii="Times New Roman" w:hAnsi="Times New Roman" w:cs="Times New Roman"/>
          <w:sz w:val="24"/>
          <w:szCs w:val="24"/>
        </w:rPr>
      </w:pPr>
      <w:r w:rsidRPr="002C7E22" w:rsidR="0030402D">
        <w:rPr>
          <w:rFonts w:ascii="Times New Roman" w:hAnsi="Times New Roman" w:cs="Times New Roman"/>
          <w:sz w:val="24"/>
          <w:szCs w:val="24"/>
        </w:rPr>
        <w:t>Schv</w:t>
      </w:r>
      <w:r w:rsidRPr="002C7E22" w:rsidR="005F43AA">
        <w:rPr>
          <w:rFonts w:ascii="Times New Roman" w:hAnsi="Times New Roman" w:cs="Times New Roman"/>
          <w:sz w:val="24"/>
          <w:szCs w:val="24"/>
        </w:rPr>
        <w:t xml:space="preserve">álený rozpočet prostriedkov prijatých </w:t>
      </w:r>
      <w:r w:rsidRPr="002C7E22" w:rsidR="0030402D">
        <w:rPr>
          <w:rFonts w:ascii="Times New Roman" w:hAnsi="Times New Roman" w:cs="Times New Roman"/>
          <w:sz w:val="24"/>
          <w:szCs w:val="24"/>
        </w:rPr>
        <w:t>z rozpočtu E</w:t>
      </w:r>
      <w:r>
        <w:rPr>
          <w:rFonts w:ascii="Times New Roman" w:hAnsi="Times New Roman" w:cs="Times New Roman"/>
          <w:sz w:val="24"/>
          <w:szCs w:val="24"/>
        </w:rPr>
        <w:t>Ú predstavoval 4 719 931</w:t>
      </w:r>
      <w:r w:rsidRPr="002C7E22" w:rsidR="005C22EC">
        <w:rPr>
          <w:rFonts w:ascii="Times New Roman" w:hAnsi="Times New Roman" w:cs="Times New Roman"/>
          <w:sz w:val="24"/>
          <w:szCs w:val="24"/>
        </w:rPr>
        <w:t xml:space="preserve"> tis. Sk. </w:t>
      </w:r>
      <w:r w:rsidR="00185E9A">
        <w:rPr>
          <w:rFonts w:ascii="Times New Roman" w:hAnsi="Times New Roman" w:cs="Times New Roman"/>
          <w:sz w:val="24"/>
          <w:szCs w:val="24"/>
        </w:rPr>
        <w:t>Najdôležitejšou zmenou vo výške príjmov z EÚ bola realizácia rozpočtového opatrenia</w:t>
      </w:r>
      <w:r w:rsidRPr="002C7E22" w:rsidR="005C22EC">
        <w:rPr>
          <w:rFonts w:ascii="Times New Roman" w:hAnsi="Times New Roman" w:cs="Times New Roman"/>
          <w:sz w:val="24"/>
          <w:szCs w:val="24"/>
        </w:rPr>
        <w:t xml:space="preserve"> M</w:t>
      </w:r>
      <w:r w:rsidR="00185E9A">
        <w:rPr>
          <w:rFonts w:ascii="Times New Roman" w:hAnsi="Times New Roman" w:cs="Times New Roman"/>
          <w:sz w:val="24"/>
          <w:szCs w:val="24"/>
        </w:rPr>
        <w:t>F SR č. 2, ktorým boli zdroje z</w:t>
      </w:r>
      <w:r w:rsidR="00185E9A">
        <w:rPr>
          <w:rFonts w:ascii="Times New Roman" w:hAnsi="Times New Roman" w:cs="Times New Roman"/>
          <w:sz w:val="24"/>
          <w:szCs w:val="24"/>
        </w:rPr>
        <w:t xml:space="preserve"> EÚ </w:t>
      </w:r>
      <w:r>
        <w:rPr>
          <w:rFonts w:ascii="Times New Roman" w:hAnsi="Times New Roman" w:cs="Times New Roman"/>
          <w:sz w:val="24"/>
          <w:szCs w:val="24"/>
        </w:rPr>
        <w:t>navýšené o </w:t>
      </w:r>
      <w:r w:rsidR="00AC2EC6">
        <w:rPr>
          <w:rFonts w:ascii="Times New Roman" w:hAnsi="Times New Roman" w:cs="Times New Roman"/>
          <w:sz w:val="24"/>
          <w:szCs w:val="24"/>
        </w:rPr>
        <w:t>7</w:t>
      </w:r>
      <w:r>
        <w:rPr>
          <w:rFonts w:ascii="Times New Roman" w:hAnsi="Times New Roman" w:cs="Times New Roman"/>
          <w:sz w:val="24"/>
          <w:szCs w:val="24"/>
        </w:rPr>
        <w:t> </w:t>
      </w:r>
      <w:r w:rsidR="00AC2EC6">
        <w:rPr>
          <w:rFonts w:ascii="Times New Roman" w:hAnsi="Times New Roman" w:cs="Times New Roman"/>
          <w:sz w:val="24"/>
          <w:szCs w:val="24"/>
        </w:rPr>
        <w:t>571</w:t>
      </w:r>
      <w:r>
        <w:rPr>
          <w:rFonts w:ascii="Times New Roman" w:hAnsi="Times New Roman" w:cs="Times New Roman"/>
          <w:sz w:val="24"/>
          <w:szCs w:val="24"/>
        </w:rPr>
        <w:t> </w:t>
      </w:r>
      <w:r w:rsidR="00AC2EC6">
        <w:rPr>
          <w:rFonts w:ascii="Times New Roman" w:hAnsi="Times New Roman" w:cs="Times New Roman"/>
          <w:sz w:val="24"/>
          <w:szCs w:val="24"/>
        </w:rPr>
        <w:t>071</w:t>
      </w:r>
      <w:r>
        <w:rPr>
          <w:rFonts w:ascii="Times New Roman" w:hAnsi="Times New Roman" w:cs="Times New Roman"/>
          <w:sz w:val="24"/>
          <w:szCs w:val="24"/>
        </w:rPr>
        <w:t xml:space="preserve"> tis. Sk na sumu </w:t>
      </w:r>
      <w:r w:rsidR="00AC2EC6">
        <w:rPr>
          <w:rFonts w:ascii="Times New Roman" w:hAnsi="Times New Roman" w:cs="Times New Roman"/>
          <w:sz w:val="24"/>
          <w:szCs w:val="24"/>
        </w:rPr>
        <w:t>12</w:t>
      </w:r>
      <w:r>
        <w:rPr>
          <w:rFonts w:ascii="Times New Roman" w:hAnsi="Times New Roman" w:cs="Times New Roman"/>
          <w:sz w:val="24"/>
          <w:szCs w:val="24"/>
        </w:rPr>
        <w:t> </w:t>
      </w:r>
      <w:r w:rsidR="00AC2EC6">
        <w:rPr>
          <w:rFonts w:ascii="Times New Roman" w:hAnsi="Times New Roman" w:cs="Times New Roman"/>
          <w:sz w:val="24"/>
          <w:szCs w:val="24"/>
        </w:rPr>
        <w:t>291</w:t>
      </w:r>
      <w:r>
        <w:rPr>
          <w:rFonts w:ascii="Times New Roman" w:hAnsi="Times New Roman" w:cs="Times New Roman"/>
          <w:sz w:val="24"/>
          <w:szCs w:val="24"/>
        </w:rPr>
        <w:t> 00</w:t>
      </w:r>
      <w:r w:rsidR="00AC2EC6">
        <w:rPr>
          <w:rFonts w:ascii="Times New Roman" w:hAnsi="Times New Roman" w:cs="Times New Roman"/>
          <w:sz w:val="24"/>
          <w:szCs w:val="24"/>
        </w:rPr>
        <w:t>2</w:t>
      </w:r>
      <w:r w:rsidRPr="002C7E22" w:rsidR="005C22EC">
        <w:rPr>
          <w:rFonts w:ascii="Times New Roman" w:hAnsi="Times New Roman" w:cs="Times New Roman"/>
          <w:sz w:val="24"/>
          <w:szCs w:val="24"/>
        </w:rPr>
        <w:t xml:space="preserve"> tis. Sk, a to z prostriedkov nevyče</w:t>
      </w:r>
      <w:r w:rsidRPr="002C7E22" w:rsidR="005F43AA">
        <w:rPr>
          <w:rFonts w:ascii="Times New Roman" w:hAnsi="Times New Roman" w:cs="Times New Roman"/>
          <w:sz w:val="24"/>
          <w:szCs w:val="24"/>
        </w:rPr>
        <w:t>rpaných v predchádzajúcich rokoch</w:t>
      </w:r>
      <w:r w:rsidRPr="002C7E22" w:rsidR="005C22EC">
        <w:rPr>
          <w:rFonts w:ascii="Times New Roman" w:hAnsi="Times New Roman" w:cs="Times New Roman"/>
          <w:sz w:val="24"/>
          <w:szCs w:val="24"/>
        </w:rPr>
        <w:t>.</w:t>
      </w:r>
      <w:r w:rsidR="00F05E45">
        <w:rPr>
          <w:rFonts w:ascii="Times New Roman" w:hAnsi="Times New Roman" w:cs="Times New Roman"/>
          <w:sz w:val="24"/>
          <w:szCs w:val="24"/>
        </w:rPr>
        <w:t xml:space="preserve"> Ostatné malé rozpočtové opatrenia sú opísané v časti </w:t>
      </w:r>
      <w:r w:rsidRPr="002C7E22" w:rsidR="005C22EC">
        <w:rPr>
          <w:rFonts w:ascii="Times New Roman" w:hAnsi="Times New Roman" w:cs="Times New Roman"/>
          <w:sz w:val="24"/>
          <w:szCs w:val="24"/>
        </w:rPr>
        <w:t xml:space="preserve"> </w:t>
      </w:r>
      <w:r w:rsidR="00F05E45">
        <w:rPr>
          <w:rFonts w:ascii="Times New Roman" w:hAnsi="Times New Roman" w:cs="Times New Roman"/>
          <w:sz w:val="24"/>
          <w:szCs w:val="24"/>
        </w:rPr>
        <w:t xml:space="preserve">1.1.3. Rozpočtové opatrenia. </w:t>
      </w:r>
    </w:p>
    <w:p w:rsidR="00AC2EC6" w:rsidP="007A3106">
      <w:pPr>
        <w:spacing w:line="240" w:lineRule="auto"/>
        <w:ind w:firstLine="708"/>
        <w:rPr>
          <w:rFonts w:ascii="Times New Roman" w:hAnsi="Times New Roman" w:cs="Times New Roman"/>
          <w:sz w:val="24"/>
          <w:szCs w:val="24"/>
        </w:rPr>
      </w:pPr>
    </w:p>
    <w:p w:rsidR="005C22EC" w:rsidRPr="002C7E22" w:rsidP="007A3106">
      <w:pPr>
        <w:spacing w:line="240" w:lineRule="auto"/>
        <w:ind w:firstLine="708"/>
        <w:rPr>
          <w:rFonts w:ascii="Times New Roman" w:hAnsi="Times New Roman" w:cs="Times New Roman"/>
          <w:sz w:val="24"/>
          <w:szCs w:val="24"/>
        </w:rPr>
      </w:pPr>
      <w:r w:rsidRPr="002C7E22">
        <w:rPr>
          <w:rFonts w:ascii="Times New Roman" w:hAnsi="Times New Roman" w:cs="Times New Roman"/>
          <w:sz w:val="24"/>
          <w:szCs w:val="24"/>
        </w:rPr>
        <w:t>Zásadná úprava príjmov kapit</w:t>
      </w:r>
      <w:r w:rsidR="007A3106">
        <w:rPr>
          <w:rFonts w:ascii="Times New Roman" w:hAnsi="Times New Roman" w:cs="Times New Roman"/>
          <w:sz w:val="24"/>
          <w:szCs w:val="24"/>
        </w:rPr>
        <w:t xml:space="preserve">oly bola vykonaná </w:t>
      </w:r>
      <w:r w:rsidR="00F05E45">
        <w:rPr>
          <w:rFonts w:ascii="Times New Roman" w:hAnsi="Times New Roman" w:cs="Times New Roman"/>
          <w:sz w:val="24"/>
          <w:szCs w:val="24"/>
        </w:rPr>
        <w:t xml:space="preserve">aj na konci roka 2007, a to rozpočtovým opatrením MF SR </w:t>
      </w:r>
      <w:r w:rsidR="007A3106">
        <w:rPr>
          <w:rFonts w:ascii="Times New Roman" w:hAnsi="Times New Roman" w:cs="Times New Roman"/>
          <w:sz w:val="24"/>
          <w:szCs w:val="24"/>
        </w:rPr>
        <w:t xml:space="preserve">č. </w:t>
      </w:r>
      <w:r w:rsidR="00AC2EC6">
        <w:rPr>
          <w:rFonts w:ascii="Times New Roman" w:hAnsi="Times New Roman" w:cs="Times New Roman"/>
          <w:sz w:val="24"/>
          <w:szCs w:val="24"/>
        </w:rPr>
        <w:t>36</w:t>
      </w:r>
      <w:r w:rsidRPr="002C7E22">
        <w:rPr>
          <w:rFonts w:ascii="Times New Roman" w:hAnsi="Times New Roman" w:cs="Times New Roman"/>
          <w:sz w:val="24"/>
          <w:szCs w:val="24"/>
        </w:rPr>
        <w:t xml:space="preserve"> –</w:t>
      </w:r>
      <w:r w:rsidRPr="00A67226" w:rsidR="00A67226">
        <w:rPr>
          <w:rFonts w:ascii="Times New Roman" w:hAnsi="Times New Roman" w:cs="Times New Roman"/>
          <w:sz w:val="24"/>
          <w:szCs w:val="24"/>
        </w:rPr>
        <w:t xml:space="preserve"> </w:t>
      </w:r>
      <w:r w:rsidR="00A67226">
        <w:rPr>
          <w:rFonts w:ascii="Times New Roman" w:hAnsi="Times New Roman" w:cs="Times New Roman"/>
          <w:sz w:val="24"/>
          <w:szCs w:val="24"/>
        </w:rPr>
        <w:t>viazanie príjmov kapitoly (prost</w:t>
      </w:r>
      <w:r w:rsidR="008B40F1">
        <w:rPr>
          <w:rFonts w:ascii="Times New Roman" w:hAnsi="Times New Roman" w:cs="Times New Roman"/>
          <w:sz w:val="24"/>
          <w:szCs w:val="24"/>
        </w:rPr>
        <w:t xml:space="preserve">riedkov z EÚ) vo výške 7 246 294 tis. Sk, z toho 3 002 351 tis. </w:t>
      </w:r>
      <w:r w:rsidR="00A67226">
        <w:rPr>
          <w:rFonts w:ascii="Times New Roman" w:hAnsi="Times New Roman" w:cs="Times New Roman"/>
          <w:sz w:val="24"/>
          <w:szCs w:val="24"/>
        </w:rPr>
        <w:t>Sk s kódom zdroja 13 (prostriedky z predchádzaj</w:t>
      </w:r>
      <w:r w:rsidR="008B40F1">
        <w:rPr>
          <w:rFonts w:ascii="Times New Roman" w:hAnsi="Times New Roman" w:cs="Times New Roman"/>
          <w:sz w:val="24"/>
          <w:szCs w:val="24"/>
        </w:rPr>
        <w:t xml:space="preserve">úcich rokov) a 4 243 943 tis. </w:t>
      </w:r>
      <w:r w:rsidR="00A67226">
        <w:rPr>
          <w:rFonts w:ascii="Times New Roman" w:hAnsi="Times New Roman" w:cs="Times New Roman"/>
          <w:sz w:val="24"/>
          <w:szCs w:val="24"/>
        </w:rPr>
        <w:t>Sk s kódom zdroja 11 – prostriedky štátneho rozpočtu</w:t>
      </w:r>
      <w:r w:rsidR="00F05E45">
        <w:rPr>
          <w:rFonts w:ascii="Times New Roman" w:hAnsi="Times New Roman" w:cs="Times New Roman"/>
          <w:sz w:val="24"/>
          <w:szCs w:val="24"/>
        </w:rPr>
        <w:t xml:space="preserve">, </w:t>
      </w:r>
      <w:r w:rsidR="00810392">
        <w:rPr>
          <w:rFonts w:ascii="Times New Roman" w:hAnsi="Times New Roman" w:cs="Times New Roman"/>
          <w:sz w:val="24"/>
          <w:szCs w:val="24"/>
        </w:rPr>
        <w:t xml:space="preserve">a to </w:t>
      </w:r>
      <w:r w:rsidRPr="002C7E22">
        <w:rPr>
          <w:rFonts w:ascii="Times New Roman" w:hAnsi="Times New Roman" w:cs="Times New Roman"/>
          <w:sz w:val="24"/>
          <w:szCs w:val="24"/>
        </w:rPr>
        <w:t>podľa § 8 ods. 6 zákona č. 523/2004 Z.z. o rozpočto</w:t>
      </w:r>
      <w:r w:rsidR="00F05E45">
        <w:rPr>
          <w:rFonts w:ascii="Times New Roman" w:hAnsi="Times New Roman" w:cs="Times New Roman"/>
          <w:sz w:val="24"/>
          <w:szCs w:val="24"/>
        </w:rPr>
        <w:t>v</w:t>
      </w:r>
      <w:r w:rsidR="00810392">
        <w:rPr>
          <w:rFonts w:ascii="Times New Roman" w:hAnsi="Times New Roman" w:cs="Times New Roman"/>
          <w:sz w:val="24"/>
          <w:szCs w:val="24"/>
        </w:rPr>
        <w:t xml:space="preserve">ých pravidlách verejnej správy, </w:t>
      </w:r>
      <w:r w:rsidRPr="002C7E22">
        <w:rPr>
          <w:rFonts w:ascii="Times New Roman" w:hAnsi="Times New Roman" w:cs="Times New Roman"/>
          <w:sz w:val="24"/>
          <w:szCs w:val="24"/>
        </w:rPr>
        <w:t>na základe oznámenia MDPT SR o výške prostriedkov z rozpočtu EÚ a</w:t>
      </w:r>
      <w:r w:rsidR="00810392">
        <w:rPr>
          <w:rFonts w:ascii="Times New Roman" w:hAnsi="Times New Roman" w:cs="Times New Roman"/>
          <w:sz w:val="24"/>
          <w:szCs w:val="24"/>
        </w:rPr>
        <w:t> </w:t>
      </w:r>
      <w:r w:rsidR="00A67226">
        <w:rPr>
          <w:rFonts w:ascii="Times New Roman" w:hAnsi="Times New Roman" w:cs="Times New Roman"/>
          <w:sz w:val="24"/>
          <w:szCs w:val="24"/>
        </w:rPr>
        <w:t>spolufinanco</w:t>
      </w:r>
      <w:r w:rsidR="00810392">
        <w:rPr>
          <w:rFonts w:ascii="Times New Roman" w:hAnsi="Times New Roman" w:cs="Times New Roman"/>
          <w:sz w:val="24"/>
          <w:szCs w:val="24"/>
        </w:rPr>
        <w:t>-</w:t>
      </w:r>
      <w:r w:rsidR="00A67226">
        <w:rPr>
          <w:rFonts w:ascii="Times New Roman" w:hAnsi="Times New Roman" w:cs="Times New Roman"/>
          <w:sz w:val="24"/>
          <w:szCs w:val="24"/>
        </w:rPr>
        <w:t xml:space="preserve">vania </w:t>
      </w:r>
      <w:r w:rsidR="00810392">
        <w:rPr>
          <w:rFonts w:ascii="Times New Roman" w:hAnsi="Times New Roman" w:cs="Times New Roman"/>
          <w:sz w:val="24"/>
          <w:szCs w:val="24"/>
        </w:rPr>
        <w:t xml:space="preserve">zo štátneho rozpočtu </w:t>
      </w:r>
      <w:r w:rsidRPr="002C7E22">
        <w:rPr>
          <w:rFonts w:ascii="Times New Roman" w:hAnsi="Times New Roman" w:cs="Times New Roman"/>
          <w:sz w:val="24"/>
          <w:szCs w:val="24"/>
        </w:rPr>
        <w:t xml:space="preserve">, ktoré MDPT SR použije v nasledujúcom rozpočtovom roku.   </w:t>
      </w:r>
    </w:p>
    <w:p w:rsidR="005C22EC" w:rsidP="00C362EA">
      <w:pPr>
        <w:spacing w:line="240" w:lineRule="auto"/>
        <w:ind w:firstLine="708"/>
        <w:rPr>
          <w:rFonts w:ascii="Times New Roman" w:hAnsi="Times New Roman" w:cs="Times New Roman"/>
          <w:sz w:val="24"/>
          <w:szCs w:val="24"/>
        </w:rPr>
      </w:pPr>
    </w:p>
    <w:p w:rsidR="006C42C3" w:rsidP="00C362EA">
      <w:pPr>
        <w:spacing w:line="240" w:lineRule="auto"/>
        <w:ind w:firstLine="708"/>
        <w:rPr>
          <w:rFonts w:ascii="Times New Roman" w:hAnsi="Times New Roman" w:cs="Times New Roman"/>
          <w:sz w:val="24"/>
          <w:szCs w:val="24"/>
        </w:rPr>
      </w:pPr>
    </w:p>
    <w:p w:rsidR="006C42C3" w:rsidP="00C362EA">
      <w:pPr>
        <w:spacing w:line="240" w:lineRule="auto"/>
        <w:ind w:firstLine="708"/>
        <w:rPr>
          <w:rFonts w:ascii="Times New Roman" w:hAnsi="Times New Roman" w:cs="Times New Roman"/>
          <w:sz w:val="24"/>
          <w:szCs w:val="24"/>
        </w:rPr>
      </w:pPr>
    </w:p>
    <w:p w:rsidR="006C42C3" w:rsidRPr="002C7E22" w:rsidP="00C362EA">
      <w:pPr>
        <w:spacing w:line="240" w:lineRule="auto"/>
        <w:ind w:firstLine="708"/>
        <w:rPr>
          <w:rFonts w:ascii="Times New Roman" w:hAnsi="Times New Roman" w:cs="Times New Roman"/>
          <w:sz w:val="24"/>
          <w:szCs w:val="24"/>
        </w:rPr>
      </w:pPr>
    </w:p>
    <w:p w:rsidR="00AB0FC7" w:rsidP="000F695D">
      <w:pPr>
        <w:spacing w:line="240" w:lineRule="auto"/>
        <w:ind w:firstLine="708"/>
        <w:rPr>
          <w:rFonts w:ascii="Times New Roman" w:hAnsi="Times New Roman" w:cs="Times New Roman"/>
          <w:sz w:val="24"/>
          <w:szCs w:val="24"/>
        </w:rPr>
      </w:pPr>
    </w:p>
    <w:p w:rsidR="009A0B1F" w:rsidRPr="002C7E22" w:rsidP="000F695D">
      <w:pPr>
        <w:spacing w:line="240" w:lineRule="auto"/>
        <w:ind w:firstLine="708"/>
        <w:rPr>
          <w:rFonts w:ascii="Times New Roman" w:hAnsi="Times New Roman" w:cs="Times New Roman"/>
          <w:sz w:val="24"/>
          <w:szCs w:val="24"/>
        </w:rPr>
      </w:pPr>
      <w:r w:rsidRPr="002C7E22" w:rsidR="00057D84">
        <w:rPr>
          <w:rFonts w:ascii="Times New Roman" w:hAnsi="Times New Roman" w:cs="Times New Roman"/>
          <w:sz w:val="24"/>
          <w:szCs w:val="24"/>
        </w:rPr>
        <w:t>Upravený rozpočet pr</w:t>
      </w:r>
      <w:r w:rsidR="00746FB0">
        <w:rPr>
          <w:rFonts w:ascii="Times New Roman" w:hAnsi="Times New Roman" w:cs="Times New Roman"/>
          <w:sz w:val="24"/>
          <w:szCs w:val="24"/>
        </w:rPr>
        <w:t xml:space="preserve">ostriedkov prijatých z </w:t>
      </w:r>
      <w:r w:rsidR="007A3106">
        <w:rPr>
          <w:rFonts w:ascii="Times New Roman" w:hAnsi="Times New Roman" w:cs="Times New Roman"/>
          <w:sz w:val="24"/>
          <w:szCs w:val="24"/>
        </w:rPr>
        <w:t xml:space="preserve">EÚ takto predstavoval </w:t>
      </w:r>
      <w:r w:rsidR="00AC2EC6">
        <w:rPr>
          <w:rFonts w:ascii="Times New Roman" w:hAnsi="Times New Roman" w:cs="Times New Roman"/>
          <w:sz w:val="24"/>
          <w:szCs w:val="24"/>
        </w:rPr>
        <w:t>5</w:t>
      </w:r>
      <w:r w:rsidR="007A3106">
        <w:rPr>
          <w:rFonts w:ascii="Times New Roman" w:hAnsi="Times New Roman" w:cs="Times New Roman"/>
          <w:sz w:val="24"/>
          <w:szCs w:val="24"/>
        </w:rPr>
        <w:t> 0</w:t>
      </w:r>
      <w:r w:rsidR="008B40F1">
        <w:rPr>
          <w:rFonts w:ascii="Times New Roman" w:hAnsi="Times New Roman" w:cs="Times New Roman"/>
          <w:sz w:val="24"/>
          <w:szCs w:val="24"/>
        </w:rPr>
        <w:t>44</w:t>
      </w:r>
      <w:r w:rsidR="007A3106">
        <w:rPr>
          <w:rFonts w:ascii="Times New Roman" w:hAnsi="Times New Roman" w:cs="Times New Roman"/>
          <w:sz w:val="24"/>
          <w:szCs w:val="24"/>
        </w:rPr>
        <w:t> </w:t>
      </w:r>
      <w:r w:rsidR="008B40F1">
        <w:rPr>
          <w:rFonts w:ascii="Times New Roman" w:hAnsi="Times New Roman" w:cs="Times New Roman"/>
          <w:sz w:val="24"/>
          <w:szCs w:val="24"/>
        </w:rPr>
        <w:t>708</w:t>
      </w:r>
      <w:r w:rsidRPr="002C7E22" w:rsidR="00057D84">
        <w:rPr>
          <w:rFonts w:ascii="Times New Roman" w:hAnsi="Times New Roman" w:cs="Times New Roman"/>
          <w:sz w:val="24"/>
          <w:szCs w:val="24"/>
        </w:rPr>
        <w:t xml:space="preserve"> tis. Sk. </w:t>
      </w:r>
    </w:p>
    <w:p w:rsidR="000F695D" w:rsidP="000F695D">
      <w:pPr>
        <w:spacing w:line="240" w:lineRule="auto"/>
        <w:ind w:firstLine="708"/>
        <w:rPr>
          <w:rFonts w:ascii="Times New Roman" w:hAnsi="Times New Roman" w:cs="Times New Roman"/>
          <w:sz w:val="24"/>
          <w:szCs w:val="24"/>
        </w:rPr>
      </w:pPr>
    </w:p>
    <w:p w:rsidR="00B010C8" w:rsidRPr="002C7E22" w:rsidP="008B40F1">
      <w:pPr>
        <w:spacing w:line="240" w:lineRule="auto"/>
        <w:ind w:firstLine="708"/>
        <w:rPr>
          <w:rFonts w:ascii="Times New Roman" w:hAnsi="Times New Roman" w:cs="Times New Roman"/>
          <w:sz w:val="24"/>
          <w:szCs w:val="24"/>
        </w:rPr>
      </w:pPr>
      <w:r w:rsidRPr="002C7E22" w:rsidR="009E5CF0">
        <w:rPr>
          <w:rFonts w:ascii="Times New Roman" w:hAnsi="Times New Roman" w:cs="Times New Roman"/>
          <w:sz w:val="24"/>
          <w:szCs w:val="24"/>
        </w:rPr>
        <w:t xml:space="preserve">Skutočné čerpanie príjmov z </w:t>
      </w:r>
      <w:r w:rsidRPr="002C7E22" w:rsidR="00D27E26">
        <w:rPr>
          <w:rFonts w:ascii="Times New Roman" w:hAnsi="Times New Roman" w:cs="Times New Roman"/>
          <w:sz w:val="24"/>
          <w:szCs w:val="24"/>
        </w:rPr>
        <w:t>rozpočtu E</w:t>
      </w:r>
      <w:r w:rsidRPr="002C7E22" w:rsidR="009E5CF0">
        <w:rPr>
          <w:rFonts w:ascii="Times New Roman" w:hAnsi="Times New Roman" w:cs="Times New Roman"/>
          <w:sz w:val="24"/>
          <w:szCs w:val="24"/>
        </w:rPr>
        <w:t>Ú</w:t>
      </w:r>
      <w:r w:rsidRPr="002C7E22" w:rsidR="005C22EC">
        <w:rPr>
          <w:rFonts w:ascii="Times New Roman" w:hAnsi="Times New Roman" w:cs="Times New Roman"/>
          <w:sz w:val="24"/>
          <w:szCs w:val="24"/>
        </w:rPr>
        <w:t xml:space="preserve"> dosiahlo</w:t>
      </w:r>
      <w:r w:rsidR="006E2C6E">
        <w:rPr>
          <w:rFonts w:ascii="Times New Roman" w:hAnsi="Times New Roman" w:cs="Times New Roman"/>
          <w:sz w:val="24"/>
          <w:szCs w:val="24"/>
        </w:rPr>
        <w:t xml:space="preserve"> 3 704 581</w:t>
      </w:r>
      <w:r w:rsidRPr="002C7E22" w:rsidR="00057D84">
        <w:rPr>
          <w:rFonts w:ascii="Times New Roman" w:hAnsi="Times New Roman" w:cs="Times New Roman"/>
          <w:sz w:val="24"/>
          <w:szCs w:val="24"/>
        </w:rPr>
        <w:t xml:space="preserve"> tis. </w:t>
      </w:r>
      <w:r w:rsidRPr="002C7E22" w:rsidR="00D27E26">
        <w:rPr>
          <w:rFonts w:ascii="Times New Roman" w:hAnsi="Times New Roman" w:cs="Times New Roman"/>
          <w:sz w:val="24"/>
          <w:szCs w:val="24"/>
        </w:rPr>
        <w:t xml:space="preserve">Sk. </w:t>
      </w:r>
      <w:r w:rsidRPr="002C7E22" w:rsidR="008B40F1">
        <w:rPr>
          <w:rFonts w:ascii="Times New Roman" w:hAnsi="Times New Roman" w:cs="Times New Roman"/>
          <w:sz w:val="24"/>
          <w:szCs w:val="24"/>
        </w:rPr>
        <w:t xml:space="preserve">Nesúlad medzi prijatými príjmami z rozpočtu EÚ a upraveným rozpočtom príjmov z EÚ (zároveň rovnajúce sa čerpaným výdavkom prostriedkov EÚ) je </w:t>
      </w:r>
      <w:r w:rsidRPr="002C7E22" w:rsidR="008B40F1">
        <w:rPr>
          <w:rFonts w:ascii="Times New Roman" w:hAnsi="Times New Roman" w:cs="Times New Roman"/>
          <w:color w:val="000000"/>
          <w:sz w:val="24"/>
          <w:szCs w:val="24"/>
        </w:rPr>
        <w:t>spôsobený časovým nesúladom medzi prijatými príjmami a čerpanými výdavkami z rozpočtu EÚ v prípade, keď sa použije systém predfinancovania.</w:t>
      </w:r>
      <w:r w:rsidR="008B40F1">
        <w:rPr>
          <w:rFonts w:ascii="Times New Roman" w:hAnsi="Times New Roman" w:cs="Times New Roman"/>
          <w:color w:val="000000"/>
          <w:sz w:val="24"/>
          <w:szCs w:val="24"/>
        </w:rPr>
        <w:t xml:space="preserve"> </w:t>
      </w:r>
      <w:r w:rsidRPr="002C7E22" w:rsidR="00D27E26">
        <w:rPr>
          <w:rFonts w:ascii="Times New Roman" w:hAnsi="Times New Roman" w:cs="Times New Roman"/>
          <w:sz w:val="24"/>
          <w:szCs w:val="24"/>
        </w:rPr>
        <w:t>Vzhľadom na to, že príjmy z rozpočtu EÚ súčasne vstupujú do výdavkov rozpočtu kapitoly je zdôvodnenie i</w:t>
      </w:r>
      <w:r w:rsidR="00820178">
        <w:rPr>
          <w:rFonts w:ascii="Times New Roman" w:hAnsi="Times New Roman" w:cs="Times New Roman"/>
          <w:sz w:val="24"/>
          <w:szCs w:val="24"/>
        </w:rPr>
        <w:t>ch nenaplnenia uvedené v časti 1.3</w:t>
      </w:r>
      <w:r w:rsidRPr="002C7E22" w:rsidR="00D27E26">
        <w:rPr>
          <w:rFonts w:ascii="Times New Roman" w:hAnsi="Times New Roman" w:cs="Times New Roman"/>
          <w:sz w:val="24"/>
          <w:szCs w:val="24"/>
        </w:rPr>
        <w:t>. pri zdôvodnení čerpania výdavkov.</w:t>
      </w:r>
    </w:p>
    <w:p w:rsidR="00CB035C" w:rsidRPr="002C7E22" w:rsidP="00C362EA">
      <w:pPr>
        <w:spacing w:line="240" w:lineRule="auto"/>
        <w:rPr>
          <w:rFonts w:ascii="Times New Roman" w:hAnsi="Times New Roman" w:cs="Times New Roman"/>
          <w:sz w:val="24"/>
          <w:szCs w:val="24"/>
        </w:rPr>
      </w:pPr>
    </w:p>
    <w:p w:rsidR="00ED73C2" w:rsidP="00C362EA">
      <w:pPr>
        <w:spacing w:line="240" w:lineRule="auto"/>
        <w:ind w:firstLine="708"/>
        <w:rPr>
          <w:rFonts w:ascii="Times New Roman" w:hAnsi="Times New Roman" w:cs="Times New Roman"/>
          <w:sz w:val="24"/>
          <w:szCs w:val="24"/>
        </w:rPr>
      </w:pPr>
      <w:r w:rsidRPr="002C7E22" w:rsidR="009E5CF0">
        <w:rPr>
          <w:rFonts w:ascii="Times New Roman" w:hAnsi="Times New Roman" w:cs="Times New Roman"/>
          <w:sz w:val="24"/>
          <w:szCs w:val="24"/>
        </w:rPr>
        <w:t xml:space="preserve">Kapitola MDPT SR </w:t>
      </w:r>
      <w:r w:rsidR="007A3106">
        <w:rPr>
          <w:rFonts w:ascii="Times New Roman" w:hAnsi="Times New Roman" w:cs="Times New Roman"/>
          <w:sz w:val="24"/>
          <w:szCs w:val="24"/>
        </w:rPr>
        <w:t>dosiahla v roku 2007</w:t>
      </w:r>
      <w:r w:rsidRPr="002C7E22" w:rsidR="009E5CF0">
        <w:rPr>
          <w:rFonts w:ascii="Times New Roman" w:hAnsi="Times New Roman" w:cs="Times New Roman"/>
          <w:sz w:val="24"/>
          <w:szCs w:val="24"/>
        </w:rPr>
        <w:t xml:space="preserve"> aj doplnkové (mimorozpo</w:t>
      </w:r>
      <w:r w:rsidRPr="002C7E22" w:rsidR="00B27E65">
        <w:rPr>
          <w:rFonts w:ascii="Times New Roman" w:hAnsi="Times New Roman" w:cs="Times New Roman"/>
          <w:sz w:val="24"/>
          <w:szCs w:val="24"/>
        </w:rPr>
        <w:t xml:space="preserve">čtové) príjmy vo </w:t>
      </w:r>
      <w:r w:rsidRPr="002C7E22" w:rsidR="009E5CF0">
        <w:rPr>
          <w:rFonts w:ascii="Times New Roman" w:hAnsi="Times New Roman" w:cs="Times New Roman"/>
          <w:sz w:val="24"/>
          <w:szCs w:val="24"/>
        </w:rPr>
        <w:t xml:space="preserve">výške </w:t>
      </w:r>
      <w:r w:rsidR="007A3106">
        <w:rPr>
          <w:rFonts w:ascii="Times New Roman" w:hAnsi="Times New Roman" w:cs="Times New Roman"/>
          <w:sz w:val="24"/>
          <w:szCs w:val="24"/>
        </w:rPr>
        <w:t xml:space="preserve">104 762 </w:t>
      </w:r>
      <w:r w:rsidRPr="002C7E22" w:rsidR="009E5CF0">
        <w:rPr>
          <w:rFonts w:ascii="Times New Roman" w:hAnsi="Times New Roman" w:cs="Times New Roman"/>
          <w:sz w:val="24"/>
          <w:szCs w:val="24"/>
        </w:rPr>
        <w:t>tis. Sk, a </w:t>
      </w:r>
      <w:r w:rsidRPr="002C7E22" w:rsidR="00F74233">
        <w:rPr>
          <w:rFonts w:ascii="Times New Roman" w:hAnsi="Times New Roman" w:cs="Times New Roman"/>
          <w:sz w:val="24"/>
          <w:szCs w:val="24"/>
        </w:rPr>
        <w:t xml:space="preserve">to </w:t>
      </w:r>
      <w:r w:rsidRPr="002C7E22" w:rsidR="00B27E65">
        <w:rPr>
          <w:rFonts w:ascii="Times New Roman" w:hAnsi="Times New Roman" w:cs="Times New Roman"/>
          <w:sz w:val="24"/>
          <w:szCs w:val="24"/>
        </w:rPr>
        <w:t xml:space="preserve">z prijatých </w:t>
      </w:r>
      <w:r w:rsidR="00AC2EC6">
        <w:rPr>
          <w:rFonts w:ascii="Times New Roman" w:hAnsi="Times New Roman" w:cs="Times New Roman"/>
          <w:sz w:val="24"/>
          <w:szCs w:val="24"/>
        </w:rPr>
        <w:t>zahraničných grantov vo výške 98 554</w:t>
      </w:r>
      <w:r w:rsidRPr="002C7E22" w:rsidR="00B27E65">
        <w:rPr>
          <w:rFonts w:ascii="Times New Roman" w:hAnsi="Times New Roman" w:cs="Times New Roman"/>
          <w:sz w:val="24"/>
          <w:szCs w:val="24"/>
        </w:rPr>
        <w:t xml:space="preserve"> tis. Sk (úradom</w:t>
      </w:r>
      <w:r w:rsidR="007016CE">
        <w:rPr>
          <w:rFonts w:ascii="Times New Roman" w:hAnsi="Times New Roman" w:cs="Times New Roman"/>
          <w:sz w:val="24"/>
          <w:szCs w:val="24"/>
        </w:rPr>
        <w:t xml:space="preserve"> MDPT SR) určených na TEN–</w:t>
      </w:r>
      <w:r w:rsidR="00B27E65">
        <w:rPr>
          <w:rFonts w:ascii="Times New Roman" w:hAnsi="Times New Roman" w:cs="Times New Roman"/>
          <w:sz w:val="24"/>
          <w:szCs w:val="24"/>
        </w:rPr>
        <w:t>T projekty pre Nár</w:t>
      </w:r>
      <w:r w:rsidR="007016CE">
        <w:rPr>
          <w:rFonts w:ascii="Times New Roman" w:hAnsi="Times New Roman" w:cs="Times New Roman"/>
          <w:sz w:val="24"/>
          <w:szCs w:val="24"/>
        </w:rPr>
        <w:t xml:space="preserve">odnú diaľničnú spoločnosť, a.s., </w:t>
      </w:r>
      <w:r w:rsidR="00B27E65">
        <w:rPr>
          <w:rFonts w:ascii="Times New Roman" w:hAnsi="Times New Roman" w:cs="Times New Roman"/>
          <w:sz w:val="24"/>
          <w:szCs w:val="24"/>
        </w:rPr>
        <w:t xml:space="preserve">a Železnice SR, </w:t>
      </w:r>
      <w:r w:rsidR="00F74233">
        <w:rPr>
          <w:rFonts w:ascii="Times New Roman" w:hAnsi="Times New Roman" w:cs="Times New Roman"/>
          <w:sz w:val="24"/>
          <w:szCs w:val="24"/>
        </w:rPr>
        <w:t xml:space="preserve">z príjmov </w:t>
      </w:r>
      <w:r w:rsidR="009E5CF0">
        <w:rPr>
          <w:rFonts w:ascii="Times New Roman" w:hAnsi="Times New Roman" w:cs="Times New Roman"/>
          <w:sz w:val="24"/>
          <w:szCs w:val="24"/>
        </w:rPr>
        <w:t xml:space="preserve">z poistného plnenia v sume </w:t>
      </w:r>
      <w:r w:rsidR="00AC2EC6">
        <w:rPr>
          <w:rFonts w:ascii="Times New Roman" w:hAnsi="Times New Roman" w:cs="Times New Roman"/>
          <w:sz w:val="24"/>
          <w:szCs w:val="24"/>
        </w:rPr>
        <w:t>5 401</w:t>
      </w:r>
      <w:r w:rsidR="005F43AA">
        <w:rPr>
          <w:rFonts w:ascii="Times New Roman" w:hAnsi="Times New Roman" w:cs="Times New Roman"/>
          <w:sz w:val="24"/>
          <w:szCs w:val="24"/>
        </w:rPr>
        <w:t xml:space="preserve"> </w:t>
      </w:r>
      <w:r w:rsidR="00BD33F4">
        <w:rPr>
          <w:rFonts w:ascii="Times New Roman" w:hAnsi="Times New Roman" w:cs="Times New Roman"/>
          <w:sz w:val="24"/>
          <w:szCs w:val="24"/>
        </w:rPr>
        <w:t>tis. Sk</w:t>
      </w:r>
      <w:r w:rsidR="00B27E65">
        <w:rPr>
          <w:rFonts w:ascii="Times New Roman" w:hAnsi="Times New Roman" w:cs="Times New Roman"/>
          <w:sz w:val="24"/>
          <w:szCs w:val="24"/>
        </w:rPr>
        <w:t xml:space="preserve"> a </w:t>
      </w:r>
      <w:r w:rsidR="00A14879">
        <w:rPr>
          <w:rFonts w:ascii="Times New Roman" w:hAnsi="Times New Roman" w:cs="Times New Roman"/>
          <w:sz w:val="24"/>
          <w:szCs w:val="24"/>
        </w:rPr>
        <w:t>osta</w:t>
      </w:r>
      <w:r w:rsidR="00AC2EC6">
        <w:rPr>
          <w:rFonts w:ascii="Times New Roman" w:hAnsi="Times New Roman" w:cs="Times New Roman"/>
          <w:sz w:val="24"/>
          <w:szCs w:val="24"/>
        </w:rPr>
        <w:t>tných v sume 807</w:t>
      </w:r>
      <w:r w:rsidR="00F74233">
        <w:rPr>
          <w:rFonts w:ascii="Times New Roman" w:hAnsi="Times New Roman" w:cs="Times New Roman"/>
          <w:sz w:val="24"/>
          <w:szCs w:val="24"/>
        </w:rPr>
        <w:t xml:space="preserve"> </w:t>
      </w:r>
      <w:r w:rsidR="00B27E65">
        <w:rPr>
          <w:rFonts w:ascii="Times New Roman" w:hAnsi="Times New Roman" w:cs="Times New Roman"/>
          <w:sz w:val="24"/>
          <w:szCs w:val="24"/>
        </w:rPr>
        <w:t xml:space="preserve">tis. Sk.  </w:t>
      </w:r>
      <w:r w:rsidR="00A14879">
        <w:rPr>
          <w:rFonts w:ascii="Times New Roman" w:hAnsi="Times New Roman" w:cs="Times New Roman"/>
          <w:sz w:val="24"/>
          <w:szCs w:val="24"/>
        </w:rPr>
        <w:t xml:space="preserve"> </w:t>
      </w:r>
      <w:r w:rsidR="00BD33F4">
        <w:rPr>
          <w:rFonts w:ascii="Times New Roman" w:hAnsi="Times New Roman" w:cs="Times New Roman"/>
          <w:sz w:val="24"/>
          <w:szCs w:val="24"/>
        </w:rPr>
        <w:t xml:space="preserve"> </w:t>
      </w:r>
    </w:p>
    <w:p w:rsidR="005F43AA" w:rsidRPr="00D851E4" w:rsidP="00C362EA">
      <w:pPr>
        <w:spacing w:line="240" w:lineRule="auto"/>
        <w:rPr>
          <w:rFonts w:ascii="Times New Roman" w:hAnsi="Times New Roman" w:cs="Times New Roman"/>
          <w:sz w:val="24"/>
        </w:rPr>
      </w:pPr>
      <w:r w:rsidRPr="00D23807" w:rsidR="00816E24">
        <w:rPr>
          <w:rFonts w:ascii="Times New Roman" w:hAnsi="Times New Roman" w:cs="Times New Roman"/>
          <w:sz w:val="24"/>
        </w:rPr>
        <w:t xml:space="preserve">                           </w:t>
      </w:r>
      <w:r w:rsidR="00B27E65">
        <w:rPr>
          <w:rFonts w:ascii="Arial Narrow" w:hAnsi="Arial Narrow" w:cs="Times New Roman"/>
          <w:sz w:val="24"/>
          <w:szCs w:val="24"/>
        </w:rPr>
        <w:t xml:space="preserve"> </w:t>
      </w:r>
      <w:r w:rsidR="00B27E65">
        <w:rPr>
          <w:rFonts w:ascii="Arial Narrow" w:hAnsi="Arial Narrow" w:cs="Times New Roman"/>
          <w:sz w:val="24"/>
          <w:szCs w:val="24"/>
        </w:rPr>
        <w:t xml:space="preserve">                                                                                                                                    </w:t>
      </w:r>
    </w:p>
    <w:p w:rsidR="00057D84" w:rsidP="00C362EA">
      <w:pPr>
        <w:spacing w:line="240" w:lineRule="auto"/>
        <w:rPr>
          <w:rFonts w:ascii="Arial Narrow" w:hAnsi="Arial Narrow" w:cs="Times New Roman"/>
          <w:sz w:val="24"/>
          <w:szCs w:val="24"/>
        </w:rPr>
      </w:pPr>
    </w:p>
    <w:p w:rsidR="00816E24" w:rsidRPr="00444546" w:rsidP="00444546">
      <w:pPr>
        <w:spacing w:line="240" w:lineRule="auto"/>
        <w:ind w:right="-829"/>
        <w:rPr>
          <w:rFonts w:ascii="Arial" w:hAnsi="Arial" w:cs="Arial"/>
        </w:rPr>
      </w:pPr>
      <w:r w:rsidRPr="00444546">
        <w:rPr>
          <w:rFonts w:ascii="Arial Narrow" w:hAnsi="Arial Narrow" w:cs="Times New Roman"/>
        </w:rPr>
        <w:t xml:space="preserve">                                         </w:t>
      </w:r>
      <w:r w:rsidRPr="00444546" w:rsidR="00057D84">
        <w:rPr>
          <w:rFonts w:ascii="Arial Narrow" w:hAnsi="Arial Narrow" w:cs="Times New Roman"/>
        </w:rPr>
        <w:t xml:space="preserve">                                                                                                        </w:t>
      </w:r>
      <w:r w:rsidR="00444546">
        <w:rPr>
          <w:rFonts w:ascii="Arial Narrow" w:hAnsi="Arial Narrow" w:cs="Times New Roman"/>
        </w:rPr>
        <w:t xml:space="preserve">                                 </w:t>
      </w:r>
      <w:r w:rsidRPr="00444546" w:rsidR="00057D84">
        <w:rPr>
          <w:rFonts w:ascii="Arial Narrow" w:hAnsi="Arial Narrow" w:cs="Times New Roman"/>
        </w:rPr>
        <w:t xml:space="preserve"> </w:t>
      </w:r>
      <w:r w:rsidR="00444546">
        <w:rPr>
          <w:rFonts w:ascii="Arial Narrow" w:hAnsi="Arial Narrow" w:cs="Times New Roman"/>
        </w:rPr>
        <w:t xml:space="preserve">                 </w:t>
      </w:r>
      <w:r w:rsidRPr="00444546" w:rsidR="00057D84">
        <w:rPr>
          <w:rFonts w:ascii="Arial Narrow" w:hAnsi="Arial Narrow" w:cs="Times New Roman"/>
        </w:rPr>
        <w:t xml:space="preserve"> </w:t>
      </w:r>
      <w:r w:rsidRPr="00444546" w:rsidR="00057D84">
        <w:rPr>
          <w:rFonts w:ascii="Arial" w:hAnsi="Arial" w:cs="Arial"/>
        </w:rPr>
        <w:t>(v tis. Sk)</w:t>
      </w:r>
    </w:p>
    <w:tbl>
      <w:tblPr>
        <w:tblW w:w="10467" w:type="dxa"/>
        <w:tblInd w:w="-497" w:type="dxa"/>
        <w:tblLayout w:type="fixed"/>
        <w:tblCellMar>
          <w:left w:w="70" w:type="dxa"/>
          <w:right w:w="70" w:type="dxa"/>
        </w:tblCellMar>
      </w:tblPr>
      <w:tblGrid>
        <w:gridCol w:w="2907"/>
        <w:gridCol w:w="1559"/>
        <w:gridCol w:w="1559"/>
        <w:gridCol w:w="1560"/>
        <w:gridCol w:w="1442"/>
        <w:gridCol w:w="1440"/>
      </w:tblGrid>
      <w:tr>
        <w:tblPrEx>
          <w:tblW w:w="10467" w:type="dxa"/>
          <w:tblInd w:w="-497" w:type="dxa"/>
          <w:tblLayout w:type="fixed"/>
          <w:tblCellMar>
            <w:left w:w="70" w:type="dxa"/>
            <w:right w:w="70" w:type="dxa"/>
          </w:tblCellMar>
        </w:tblPrEx>
        <w:trPr>
          <w:trHeight w:val="390"/>
        </w:trPr>
        <w:tc>
          <w:tcPr>
            <w:tcW w:w="10467" w:type="dxa"/>
            <w:gridSpan w:val="6"/>
            <w:tcBorders>
              <w:top w:val="single" w:sz="12" w:space="0" w:color="000000"/>
              <w:left w:val="single" w:sz="12" w:space="0" w:color="auto"/>
              <w:bottom w:val="single" w:sz="12" w:space="0" w:color="000000"/>
              <w:right w:val="single" w:sz="12" w:space="0" w:color="auto"/>
              <w:tl2br w:val="nil"/>
              <w:tr2bl w:val="nil"/>
            </w:tcBorders>
            <w:shd w:val="clear" w:color="auto" w:fill="CCCCCC"/>
            <w:textDirection w:val="lrTb"/>
            <w:vAlign w:val="center"/>
          </w:tcPr>
          <w:p w:rsidR="00816E24" w:rsidRPr="00D23807" w:rsidP="00C362EA">
            <w:pPr>
              <w:spacing w:line="240" w:lineRule="auto"/>
              <w:jc w:val="center"/>
              <w:rPr>
                <w:rFonts w:ascii="Arial" w:hAnsi="Arial" w:cs="Arial"/>
                <w:b/>
                <w:bCs/>
                <w:sz w:val="24"/>
                <w:szCs w:val="24"/>
              </w:rPr>
            </w:pPr>
            <w:r w:rsidRPr="00D23807">
              <w:rPr>
                <w:rFonts w:ascii="Arial" w:hAnsi="Arial" w:cs="Arial"/>
                <w:b/>
                <w:bCs/>
                <w:sz w:val="24"/>
                <w:szCs w:val="24"/>
              </w:rPr>
              <w:t>Plne</w:t>
            </w:r>
            <w:r w:rsidR="005F43AA">
              <w:rPr>
                <w:rFonts w:ascii="Arial" w:hAnsi="Arial" w:cs="Arial"/>
                <w:b/>
                <w:bCs/>
                <w:sz w:val="24"/>
                <w:szCs w:val="24"/>
              </w:rPr>
              <w:t xml:space="preserve">nie príjmov </w:t>
            </w:r>
            <w:r w:rsidR="00057D84">
              <w:rPr>
                <w:rFonts w:ascii="Arial" w:hAnsi="Arial" w:cs="Arial"/>
                <w:b/>
                <w:bCs/>
                <w:sz w:val="24"/>
                <w:szCs w:val="24"/>
              </w:rPr>
              <w:t xml:space="preserve">kapitoly </w:t>
            </w:r>
            <w:r w:rsidRPr="00D23807" w:rsidR="00057D84">
              <w:rPr>
                <w:rFonts w:ascii="Arial" w:hAnsi="Arial" w:cs="Arial"/>
                <w:b/>
                <w:bCs/>
                <w:sz w:val="24"/>
                <w:szCs w:val="24"/>
              </w:rPr>
              <w:t>bez prostriedkov EÚ</w:t>
            </w:r>
            <w:r w:rsidR="00057D84">
              <w:rPr>
                <w:rFonts w:ascii="Arial" w:hAnsi="Arial" w:cs="Arial"/>
                <w:b/>
                <w:bCs/>
                <w:sz w:val="24"/>
                <w:szCs w:val="24"/>
              </w:rPr>
              <w:t xml:space="preserve"> </w:t>
            </w:r>
            <w:r w:rsidR="005F43AA">
              <w:rPr>
                <w:rFonts w:ascii="Arial" w:hAnsi="Arial" w:cs="Arial"/>
                <w:b/>
                <w:bCs/>
                <w:sz w:val="24"/>
                <w:szCs w:val="24"/>
              </w:rPr>
              <w:t>podľa organizácií</w:t>
            </w:r>
          </w:p>
        </w:tc>
      </w:tr>
      <w:tr>
        <w:tblPrEx>
          <w:tblW w:w="10467" w:type="dxa"/>
          <w:tblInd w:w="-497" w:type="dxa"/>
          <w:tblLayout w:type="fixed"/>
          <w:tblCellMar>
            <w:left w:w="70" w:type="dxa"/>
            <w:right w:w="70" w:type="dxa"/>
          </w:tblCellMar>
        </w:tblPrEx>
        <w:trPr>
          <w:trHeight w:val="315"/>
        </w:trPr>
        <w:tc>
          <w:tcPr>
            <w:tcW w:w="2907" w:type="dxa"/>
            <w:tcBorders>
              <w:top w:val="single" w:sz="12" w:space="0" w:color="000000"/>
              <w:left w:val="single" w:sz="12" w:space="0" w:color="auto"/>
              <w:bottom w:val="nil"/>
              <w:right w:val="single" w:sz="12" w:space="0" w:color="auto"/>
              <w:tl2br w:val="nil"/>
              <w:tr2bl w:val="nil"/>
            </w:tcBorders>
            <w:noWrap/>
            <w:textDirection w:val="lrTb"/>
            <w:vAlign w:val="bottom"/>
          </w:tcPr>
          <w:p w:rsidR="00816E24" w:rsidRPr="00D23807" w:rsidP="00C362EA">
            <w:pPr>
              <w:spacing w:line="240" w:lineRule="auto"/>
              <w:rPr>
                <w:rFonts w:ascii="Arial" w:hAnsi="Arial" w:cs="Arial"/>
              </w:rPr>
            </w:pPr>
            <w:r w:rsidRPr="00D23807">
              <w:rPr>
                <w:rFonts w:ascii="Arial" w:hAnsi="Arial" w:cs="Arial"/>
              </w:rPr>
              <w:t> </w:t>
            </w:r>
          </w:p>
        </w:tc>
        <w:tc>
          <w:tcPr>
            <w:tcW w:w="1559" w:type="dxa"/>
            <w:vMerge w:val="restart"/>
            <w:tcBorders>
              <w:top w:val="single" w:sz="12" w:space="0" w:color="000000"/>
              <w:left w:val="single" w:sz="12" w:space="0" w:color="auto"/>
              <w:bottom w:val="single" w:sz="8" w:space="0" w:color="000000"/>
              <w:right w:val="single" w:sz="8" w:space="0" w:color="auto"/>
              <w:tl2br w:val="nil"/>
              <w:tr2bl w:val="nil"/>
            </w:tcBorders>
            <w:textDirection w:val="lrTb"/>
            <w:vAlign w:val="center"/>
          </w:tcPr>
          <w:p w:rsidR="00816E24" w:rsidRPr="00D23807" w:rsidP="00C362EA">
            <w:pPr>
              <w:spacing w:line="240" w:lineRule="auto"/>
              <w:jc w:val="center"/>
              <w:rPr>
                <w:rFonts w:ascii="Arial" w:hAnsi="Arial" w:cs="Arial"/>
                <w:sz w:val="22"/>
                <w:szCs w:val="22"/>
              </w:rPr>
            </w:pPr>
            <w:r w:rsidRPr="00D23807">
              <w:rPr>
                <w:rFonts w:ascii="Arial" w:hAnsi="Arial" w:cs="Arial"/>
                <w:sz w:val="22"/>
                <w:szCs w:val="22"/>
              </w:rPr>
              <w:t>Schválený rozpočet</w:t>
            </w:r>
          </w:p>
        </w:tc>
        <w:tc>
          <w:tcPr>
            <w:tcW w:w="1559" w:type="dxa"/>
            <w:vMerge w:val="restart"/>
            <w:tcBorders>
              <w:top w:val="single" w:sz="12" w:space="0" w:color="000000"/>
              <w:left w:val="single" w:sz="8" w:space="0" w:color="auto"/>
              <w:bottom w:val="single" w:sz="8" w:space="0" w:color="000000"/>
              <w:right w:val="single" w:sz="8" w:space="0" w:color="auto"/>
              <w:tl2br w:val="nil"/>
              <w:tr2bl w:val="nil"/>
            </w:tcBorders>
            <w:textDirection w:val="lrTb"/>
            <w:vAlign w:val="center"/>
          </w:tcPr>
          <w:p w:rsidR="00816E24" w:rsidRPr="00D23807" w:rsidP="00C362EA">
            <w:pPr>
              <w:spacing w:line="240" w:lineRule="auto"/>
              <w:jc w:val="center"/>
              <w:rPr>
                <w:rFonts w:ascii="Arial" w:hAnsi="Arial" w:cs="Arial"/>
                <w:sz w:val="22"/>
                <w:szCs w:val="22"/>
              </w:rPr>
            </w:pPr>
            <w:r w:rsidRPr="00D23807">
              <w:rPr>
                <w:rFonts w:ascii="Arial" w:hAnsi="Arial" w:cs="Arial"/>
                <w:sz w:val="22"/>
                <w:szCs w:val="22"/>
              </w:rPr>
              <w:t>Upravený rozpočet</w:t>
            </w:r>
          </w:p>
        </w:tc>
        <w:tc>
          <w:tcPr>
            <w:tcW w:w="1560" w:type="dxa"/>
            <w:vMerge w:val="restart"/>
            <w:tcBorders>
              <w:top w:val="single" w:sz="12" w:space="0" w:color="000000"/>
              <w:left w:val="single" w:sz="8" w:space="0" w:color="auto"/>
              <w:bottom w:val="single" w:sz="8" w:space="0" w:color="000000"/>
              <w:right w:val="single" w:sz="12" w:space="0" w:color="auto"/>
              <w:tl2br w:val="nil"/>
              <w:tr2bl w:val="nil"/>
            </w:tcBorders>
            <w:textDirection w:val="lrTb"/>
            <w:vAlign w:val="center"/>
          </w:tcPr>
          <w:p w:rsidR="00816E24" w:rsidRPr="00D23807" w:rsidP="00C362EA">
            <w:pPr>
              <w:spacing w:line="240" w:lineRule="auto"/>
              <w:jc w:val="center"/>
              <w:rPr>
                <w:rFonts w:ascii="Arial" w:hAnsi="Arial" w:cs="Arial"/>
                <w:sz w:val="22"/>
                <w:szCs w:val="22"/>
              </w:rPr>
            </w:pPr>
            <w:r w:rsidRPr="00D23807">
              <w:rPr>
                <w:rFonts w:ascii="Arial" w:hAnsi="Arial" w:cs="Arial"/>
                <w:sz w:val="22"/>
                <w:szCs w:val="22"/>
              </w:rPr>
              <w:t>Skutočnosť</w:t>
            </w:r>
          </w:p>
        </w:tc>
        <w:tc>
          <w:tcPr>
            <w:tcW w:w="2882" w:type="dxa"/>
            <w:gridSpan w:val="2"/>
            <w:tcBorders>
              <w:top w:val="single" w:sz="12" w:space="0" w:color="000000"/>
              <w:left w:val="single" w:sz="12" w:space="0" w:color="auto"/>
              <w:bottom w:val="nil"/>
              <w:right w:val="single" w:sz="12" w:space="0" w:color="auto"/>
              <w:tl2br w:val="nil"/>
              <w:tr2bl w:val="nil"/>
            </w:tcBorders>
            <w:noWrap/>
            <w:textDirection w:val="lrTb"/>
            <w:vAlign w:val="center"/>
          </w:tcPr>
          <w:p w:rsidR="00816E24" w:rsidRPr="00D23807" w:rsidP="00C362EA">
            <w:pPr>
              <w:spacing w:line="240" w:lineRule="auto"/>
              <w:jc w:val="center"/>
              <w:rPr>
                <w:rFonts w:ascii="Arial" w:hAnsi="Arial" w:cs="Arial"/>
                <w:sz w:val="22"/>
                <w:szCs w:val="22"/>
              </w:rPr>
            </w:pPr>
            <w:r w:rsidRPr="00D23807">
              <w:rPr>
                <w:rFonts w:ascii="Arial" w:hAnsi="Arial" w:cs="Arial"/>
                <w:sz w:val="22"/>
                <w:szCs w:val="22"/>
              </w:rPr>
              <w:t>Mimorozpočtové príjmy</w:t>
            </w:r>
          </w:p>
        </w:tc>
      </w:tr>
      <w:tr>
        <w:tblPrEx>
          <w:tblW w:w="10467" w:type="dxa"/>
          <w:tblInd w:w="-497" w:type="dxa"/>
          <w:tblLayout w:type="fixed"/>
          <w:tblCellMar>
            <w:left w:w="70" w:type="dxa"/>
            <w:right w:w="70" w:type="dxa"/>
          </w:tblCellMar>
        </w:tblPrEx>
        <w:trPr>
          <w:trHeight w:val="651"/>
        </w:trPr>
        <w:tc>
          <w:tcPr>
            <w:tcW w:w="2907" w:type="dxa"/>
            <w:tcBorders>
              <w:top w:val="nil"/>
              <w:left w:val="single" w:sz="12" w:space="0" w:color="auto"/>
              <w:bottom w:val="single" w:sz="12" w:space="0" w:color="auto"/>
              <w:right w:val="single" w:sz="12" w:space="0" w:color="auto"/>
              <w:tl2br w:val="nil"/>
              <w:tr2bl w:val="nil"/>
            </w:tcBorders>
            <w:noWrap/>
            <w:textDirection w:val="lrTb"/>
            <w:vAlign w:val="bottom"/>
          </w:tcPr>
          <w:p w:rsidR="00816E24" w:rsidRPr="00D23807" w:rsidP="00C362EA">
            <w:pPr>
              <w:spacing w:line="240" w:lineRule="auto"/>
              <w:rPr>
                <w:rFonts w:ascii="Arial" w:hAnsi="Arial" w:cs="Arial"/>
              </w:rPr>
            </w:pPr>
            <w:r w:rsidRPr="00D23807">
              <w:rPr>
                <w:rFonts w:ascii="Arial" w:hAnsi="Arial" w:cs="Arial"/>
              </w:rPr>
              <w:t> </w:t>
            </w:r>
          </w:p>
        </w:tc>
        <w:tc>
          <w:tcPr>
            <w:tcW w:w="1559" w:type="dxa"/>
            <w:vMerge/>
            <w:tcBorders>
              <w:top w:val="nil"/>
              <w:left w:val="single" w:sz="12" w:space="0" w:color="auto"/>
              <w:bottom w:val="single" w:sz="12" w:space="0" w:color="auto"/>
              <w:right w:val="single" w:sz="8" w:space="0" w:color="auto"/>
              <w:tl2br w:val="nil"/>
              <w:tr2bl w:val="nil"/>
            </w:tcBorders>
            <w:textDirection w:val="lrTb"/>
            <w:vAlign w:val="center"/>
          </w:tcPr>
          <w:p w:rsidR="00816E24" w:rsidRPr="00D23807" w:rsidP="00C362EA">
            <w:pPr>
              <w:spacing w:line="240" w:lineRule="auto"/>
              <w:rPr>
                <w:rFonts w:ascii="Arial" w:hAnsi="Arial" w:cs="Arial"/>
                <w:sz w:val="22"/>
                <w:szCs w:val="22"/>
              </w:rPr>
            </w:pPr>
          </w:p>
        </w:tc>
        <w:tc>
          <w:tcPr>
            <w:tcW w:w="1559" w:type="dxa"/>
            <w:vMerge/>
            <w:tcBorders>
              <w:top w:val="nil"/>
              <w:left w:val="single" w:sz="8" w:space="0" w:color="auto"/>
              <w:bottom w:val="single" w:sz="12" w:space="0" w:color="auto"/>
              <w:right w:val="single" w:sz="8" w:space="0" w:color="auto"/>
              <w:tl2br w:val="nil"/>
              <w:tr2bl w:val="nil"/>
            </w:tcBorders>
            <w:textDirection w:val="lrTb"/>
            <w:vAlign w:val="center"/>
          </w:tcPr>
          <w:p w:rsidR="00816E24" w:rsidRPr="00D23807" w:rsidP="00C362EA">
            <w:pPr>
              <w:spacing w:line="240" w:lineRule="auto"/>
              <w:rPr>
                <w:rFonts w:ascii="Arial" w:hAnsi="Arial" w:cs="Arial"/>
                <w:sz w:val="22"/>
                <w:szCs w:val="22"/>
              </w:rPr>
            </w:pPr>
          </w:p>
        </w:tc>
        <w:tc>
          <w:tcPr>
            <w:tcW w:w="1560" w:type="dxa"/>
            <w:vMerge/>
            <w:tcBorders>
              <w:top w:val="nil"/>
              <w:left w:val="single" w:sz="8" w:space="0" w:color="auto"/>
              <w:bottom w:val="single" w:sz="12" w:space="0" w:color="auto"/>
              <w:right w:val="single" w:sz="12" w:space="0" w:color="auto"/>
              <w:tl2br w:val="nil"/>
              <w:tr2bl w:val="nil"/>
            </w:tcBorders>
            <w:textDirection w:val="lrTb"/>
            <w:vAlign w:val="center"/>
          </w:tcPr>
          <w:p w:rsidR="00816E24" w:rsidRPr="00D23807" w:rsidP="00C362EA">
            <w:pPr>
              <w:spacing w:line="240" w:lineRule="auto"/>
              <w:rPr>
                <w:rFonts w:ascii="Arial" w:hAnsi="Arial" w:cs="Arial"/>
                <w:sz w:val="22"/>
                <w:szCs w:val="22"/>
              </w:rPr>
            </w:pPr>
          </w:p>
        </w:tc>
        <w:tc>
          <w:tcPr>
            <w:tcW w:w="1442" w:type="dxa"/>
            <w:tcBorders>
              <w:top w:val="single" w:sz="8" w:space="0" w:color="auto"/>
              <w:left w:val="single" w:sz="12" w:space="0" w:color="auto"/>
              <w:bottom w:val="single" w:sz="12" w:space="0" w:color="auto"/>
              <w:right w:val="nil"/>
              <w:tl2br w:val="nil"/>
              <w:tr2bl w:val="nil"/>
            </w:tcBorders>
            <w:noWrap/>
            <w:textDirection w:val="lrTb"/>
            <w:vAlign w:val="center"/>
          </w:tcPr>
          <w:p w:rsidR="00816E24" w:rsidRPr="00D23807" w:rsidP="00C362EA">
            <w:pPr>
              <w:spacing w:line="240" w:lineRule="auto"/>
              <w:jc w:val="center"/>
              <w:rPr>
                <w:rFonts w:ascii="Arial" w:hAnsi="Arial" w:cs="Arial"/>
                <w:sz w:val="22"/>
                <w:szCs w:val="22"/>
              </w:rPr>
            </w:pPr>
            <w:r>
              <w:rPr>
                <w:rFonts w:ascii="Arial" w:hAnsi="Arial" w:cs="Arial"/>
                <w:sz w:val="22"/>
                <w:szCs w:val="22"/>
              </w:rPr>
              <w:t>Z</w:t>
            </w:r>
            <w:r w:rsidRPr="00D23807">
              <w:rPr>
                <w:rFonts w:ascii="Arial" w:hAnsi="Arial" w:cs="Arial"/>
                <w:sz w:val="22"/>
                <w:szCs w:val="22"/>
              </w:rPr>
              <w:t xml:space="preserve"> poistného plnenia</w:t>
            </w:r>
          </w:p>
        </w:tc>
        <w:tc>
          <w:tcPr>
            <w:tcW w:w="1440" w:type="dxa"/>
            <w:tcBorders>
              <w:top w:val="single" w:sz="8" w:space="0" w:color="auto"/>
              <w:left w:val="single" w:sz="8" w:space="0" w:color="auto"/>
              <w:bottom w:val="single" w:sz="12" w:space="0" w:color="auto"/>
              <w:right w:val="single" w:sz="12" w:space="0" w:color="auto"/>
              <w:tl2br w:val="nil"/>
              <w:tr2bl w:val="nil"/>
            </w:tcBorders>
            <w:noWrap/>
            <w:textDirection w:val="lrTb"/>
            <w:vAlign w:val="center"/>
          </w:tcPr>
          <w:p w:rsidR="00816E24" w:rsidRPr="00D23807" w:rsidP="00C362EA">
            <w:pPr>
              <w:spacing w:line="240" w:lineRule="auto"/>
              <w:jc w:val="center"/>
              <w:rPr>
                <w:rFonts w:ascii="Arial" w:hAnsi="Arial" w:cs="Arial"/>
                <w:sz w:val="22"/>
                <w:szCs w:val="22"/>
              </w:rPr>
            </w:pPr>
            <w:r>
              <w:rPr>
                <w:rFonts w:ascii="Arial" w:hAnsi="Arial" w:cs="Arial"/>
                <w:sz w:val="22"/>
                <w:szCs w:val="22"/>
              </w:rPr>
              <w:t>Ostatné príjmy</w:t>
            </w:r>
          </w:p>
        </w:tc>
      </w:tr>
      <w:tr>
        <w:tblPrEx>
          <w:tblW w:w="10467" w:type="dxa"/>
          <w:tblInd w:w="-497" w:type="dxa"/>
          <w:tblLayout w:type="fixed"/>
          <w:tblCellMar>
            <w:left w:w="70" w:type="dxa"/>
            <w:right w:w="70" w:type="dxa"/>
          </w:tblCellMar>
        </w:tblPrEx>
        <w:trPr>
          <w:trHeight w:val="300"/>
        </w:trPr>
        <w:tc>
          <w:tcPr>
            <w:tcW w:w="2907" w:type="dxa"/>
            <w:tcBorders>
              <w:top w:val="single" w:sz="12" w:space="0" w:color="auto"/>
              <w:left w:val="single" w:sz="12" w:space="0" w:color="auto"/>
              <w:bottom w:val="single" w:sz="4" w:space="0" w:color="auto"/>
              <w:right w:val="single" w:sz="12" w:space="0" w:color="auto"/>
              <w:tl2br w:val="nil"/>
              <w:tr2bl w:val="nil"/>
            </w:tcBorders>
            <w:noWrap/>
            <w:textDirection w:val="lrTb"/>
            <w:vAlign w:val="center"/>
          </w:tcPr>
          <w:p w:rsidR="00816E24" w:rsidRPr="00D23807" w:rsidP="00C362EA">
            <w:pPr>
              <w:spacing w:line="240" w:lineRule="auto"/>
              <w:rPr>
                <w:rFonts w:ascii="Arial" w:hAnsi="Arial" w:cs="Arial"/>
                <w:sz w:val="18"/>
                <w:szCs w:val="18"/>
              </w:rPr>
            </w:pPr>
            <w:r w:rsidRPr="00D23807">
              <w:rPr>
                <w:rFonts w:ascii="Arial" w:hAnsi="Arial" w:cs="Arial"/>
                <w:sz w:val="18"/>
                <w:szCs w:val="18"/>
              </w:rPr>
              <w:t>1. Slovenská správa ciest</w:t>
            </w:r>
          </w:p>
        </w:tc>
        <w:tc>
          <w:tcPr>
            <w:tcW w:w="1559" w:type="dxa"/>
            <w:tcBorders>
              <w:top w:val="single" w:sz="12" w:space="0" w:color="auto"/>
              <w:left w:val="single" w:sz="12" w:space="0" w:color="auto"/>
              <w:bottom w:val="single" w:sz="4" w:space="0" w:color="auto"/>
              <w:right w:val="single" w:sz="8" w:space="0" w:color="auto"/>
              <w:tl2br w:val="nil"/>
              <w:tr2bl w:val="nil"/>
            </w:tcBorders>
            <w:noWrap/>
            <w:textDirection w:val="lrTb"/>
            <w:vAlign w:val="center"/>
          </w:tcPr>
          <w:p w:rsidR="00816E24" w:rsidRPr="00D23807" w:rsidP="00C362EA">
            <w:pPr>
              <w:spacing w:line="240" w:lineRule="auto"/>
              <w:jc w:val="right"/>
              <w:rPr>
                <w:rFonts w:ascii="Arial" w:hAnsi="Arial" w:cs="Arial"/>
                <w:sz w:val="18"/>
                <w:szCs w:val="18"/>
              </w:rPr>
            </w:pPr>
            <w:r>
              <w:rPr>
                <w:rFonts w:ascii="Arial" w:hAnsi="Arial" w:cs="Arial"/>
                <w:sz w:val="18"/>
                <w:szCs w:val="18"/>
              </w:rPr>
              <w:t>30 000</w:t>
            </w:r>
          </w:p>
        </w:tc>
        <w:tc>
          <w:tcPr>
            <w:tcW w:w="1559" w:type="dxa"/>
            <w:tcBorders>
              <w:top w:val="single" w:sz="12" w:space="0" w:color="auto"/>
              <w:left w:val="nil"/>
              <w:bottom w:val="single" w:sz="4" w:space="0" w:color="auto"/>
              <w:right w:val="nil"/>
              <w:tl2br w:val="nil"/>
              <w:tr2bl w:val="nil"/>
            </w:tcBorders>
            <w:noWrap/>
            <w:textDirection w:val="lrTb"/>
            <w:vAlign w:val="center"/>
          </w:tcPr>
          <w:p w:rsidR="00816E24" w:rsidRPr="00D23807" w:rsidP="00C362EA">
            <w:pPr>
              <w:spacing w:line="240" w:lineRule="auto"/>
              <w:jc w:val="right"/>
              <w:rPr>
                <w:rFonts w:ascii="Arial" w:hAnsi="Arial" w:cs="Arial"/>
                <w:sz w:val="18"/>
                <w:szCs w:val="18"/>
              </w:rPr>
            </w:pPr>
            <w:r w:rsidR="00D851E4">
              <w:rPr>
                <w:rFonts w:ascii="Arial" w:hAnsi="Arial" w:cs="Arial"/>
                <w:sz w:val="18"/>
                <w:szCs w:val="18"/>
              </w:rPr>
              <w:t>30</w:t>
            </w:r>
            <w:r>
              <w:rPr>
                <w:rFonts w:ascii="Arial" w:hAnsi="Arial" w:cs="Arial"/>
                <w:sz w:val="18"/>
                <w:szCs w:val="18"/>
              </w:rPr>
              <w:t xml:space="preserve"> 000</w:t>
            </w:r>
          </w:p>
        </w:tc>
        <w:tc>
          <w:tcPr>
            <w:tcW w:w="1560" w:type="dxa"/>
            <w:tcBorders>
              <w:top w:val="single" w:sz="12" w:space="0" w:color="auto"/>
              <w:left w:val="single" w:sz="8" w:space="0" w:color="auto"/>
              <w:bottom w:val="single" w:sz="4" w:space="0" w:color="auto"/>
              <w:right w:val="single" w:sz="12" w:space="0" w:color="auto"/>
              <w:tl2br w:val="nil"/>
              <w:tr2bl w:val="nil"/>
            </w:tcBorders>
            <w:noWrap/>
            <w:textDirection w:val="lrTb"/>
            <w:vAlign w:val="center"/>
          </w:tcPr>
          <w:p w:rsidR="00816E24" w:rsidRPr="00D23807" w:rsidP="00C362EA">
            <w:pPr>
              <w:spacing w:line="240" w:lineRule="auto"/>
              <w:jc w:val="right"/>
              <w:rPr>
                <w:rFonts w:ascii="Arial" w:hAnsi="Arial" w:cs="Arial"/>
                <w:sz w:val="18"/>
                <w:szCs w:val="18"/>
              </w:rPr>
            </w:pPr>
            <w:r w:rsidR="00BC4FB1">
              <w:rPr>
                <w:rFonts w:ascii="Arial" w:hAnsi="Arial" w:cs="Arial"/>
                <w:sz w:val="18"/>
                <w:szCs w:val="18"/>
              </w:rPr>
              <w:t>9 305</w:t>
            </w:r>
          </w:p>
        </w:tc>
        <w:tc>
          <w:tcPr>
            <w:tcW w:w="1442" w:type="dxa"/>
            <w:tcBorders>
              <w:top w:val="single" w:sz="12" w:space="0" w:color="auto"/>
              <w:left w:val="single" w:sz="12" w:space="0" w:color="auto"/>
              <w:bottom w:val="single" w:sz="4" w:space="0" w:color="auto"/>
              <w:right w:val="nil"/>
              <w:tl2br w:val="nil"/>
              <w:tr2bl w:val="nil"/>
            </w:tcBorders>
            <w:noWrap/>
            <w:textDirection w:val="lrTb"/>
            <w:vAlign w:val="center"/>
          </w:tcPr>
          <w:p w:rsidR="00816E24" w:rsidRPr="00D23807" w:rsidP="00C362EA">
            <w:pPr>
              <w:spacing w:line="240" w:lineRule="auto"/>
              <w:jc w:val="right"/>
              <w:rPr>
                <w:rFonts w:ascii="Arial" w:hAnsi="Arial" w:cs="Arial"/>
                <w:sz w:val="18"/>
                <w:szCs w:val="18"/>
              </w:rPr>
            </w:pPr>
            <w:r w:rsidR="00BC4FB1">
              <w:rPr>
                <w:rFonts w:ascii="Arial" w:hAnsi="Arial" w:cs="Arial"/>
                <w:sz w:val="18"/>
                <w:szCs w:val="18"/>
              </w:rPr>
              <w:t>5</w:t>
            </w:r>
            <w:r>
              <w:rPr>
                <w:rFonts w:ascii="Arial" w:hAnsi="Arial" w:cs="Arial"/>
                <w:sz w:val="18"/>
                <w:szCs w:val="18"/>
              </w:rPr>
              <w:t xml:space="preserve"> </w:t>
            </w:r>
            <w:r w:rsidR="00BC4FB1">
              <w:rPr>
                <w:rFonts w:ascii="Arial" w:hAnsi="Arial" w:cs="Arial"/>
                <w:sz w:val="18"/>
                <w:szCs w:val="18"/>
              </w:rPr>
              <w:t>093</w:t>
            </w:r>
          </w:p>
        </w:tc>
        <w:tc>
          <w:tcPr>
            <w:tcW w:w="1440" w:type="dxa"/>
            <w:tcBorders>
              <w:top w:val="single" w:sz="12" w:space="0" w:color="auto"/>
              <w:left w:val="single" w:sz="8" w:space="0" w:color="auto"/>
              <w:bottom w:val="single" w:sz="4" w:space="0" w:color="auto"/>
              <w:right w:val="single" w:sz="12" w:space="0" w:color="auto"/>
              <w:tl2br w:val="nil"/>
              <w:tr2bl w:val="nil"/>
            </w:tcBorders>
            <w:noWrap/>
            <w:textDirection w:val="lrTb"/>
            <w:vAlign w:val="center"/>
          </w:tcPr>
          <w:p w:rsidR="00816E24" w:rsidRPr="00D23807" w:rsidP="00C362EA">
            <w:pPr>
              <w:spacing w:line="240" w:lineRule="auto"/>
              <w:jc w:val="right"/>
              <w:rPr>
                <w:rFonts w:ascii="Arial" w:hAnsi="Arial" w:cs="Arial"/>
                <w:sz w:val="18"/>
                <w:szCs w:val="18"/>
              </w:rPr>
            </w:pPr>
            <w:r w:rsidR="00BC4FB1">
              <w:rPr>
                <w:rFonts w:ascii="Arial" w:hAnsi="Arial" w:cs="Arial"/>
                <w:sz w:val="18"/>
                <w:szCs w:val="18"/>
              </w:rPr>
              <w:t>0</w:t>
            </w:r>
          </w:p>
        </w:tc>
      </w:tr>
      <w:tr>
        <w:tblPrEx>
          <w:tblW w:w="10467" w:type="dxa"/>
          <w:tblInd w:w="-497" w:type="dxa"/>
          <w:tblLayout w:type="fixed"/>
          <w:tblCellMar>
            <w:left w:w="70" w:type="dxa"/>
            <w:right w:w="70" w:type="dxa"/>
          </w:tblCellMar>
        </w:tblPrEx>
        <w:trPr>
          <w:trHeight w:val="300"/>
        </w:trPr>
        <w:tc>
          <w:tcPr>
            <w:tcW w:w="2907" w:type="dxa"/>
            <w:tcBorders>
              <w:top w:val="nil"/>
              <w:left w:val="single" w:sz="12" w:space="0" w:color="auto"/>
              <w:bottom w:val="single" w:sz="4" w:space="0" w:color="auto"/>
              <w:right w:val="single" w:sz="12" w:space="0" w:color="auto"/>
              <w:tl2br w:val="nil"/>
              <w:tr2bl w:val="nil"/>
            </w:tcBorders>
            <w:noWrap/>
            <w:textDirection w:val="lrTb"/>
            <w:vAlign w:val="center"/>
          </w:tcPr>
          <w:p w:rsidR="00816E24" w:rsidRPr="00D23807" w:rsidP="00C362EA">
            <w:pPr>
              <w:spacing w:line="240" w:lineRule="auto"/>
              <w:ind w:right="-312"/>
              <w:rPr>
                <w:rFonts w:ascii="Arial" w:hAnsi="Arial" w:cs="Arial"/>
                <w:sz w:val="18"/>
                <w:szCs w:val="18"/>
              </w:rPr>
            </w:pPr>
            <w:r w:rsidRPr="00D23807">
              <w:rPr>
                <w:rFonts w:ascii="Arial" w:hAnsi="Arial" w:cs="Arial"/>
                <w:sz w:val="18"/>
                <w:szCs w:val="18"/>
              </w:rPr>
              <w:t>2. Tech. ochr. o obnova železníc</w:t>
            </w:r>
          </w:p>
        </w:tc>
        <w:tc>
          <w:tcPr>
            <w:tcW w:w="1559" w:type="dxa"/>
            <w:tcBorders>
              <w:top w:val="nil"/>
              <w:left w:val="single" w:sz="12" w:space="0" w:color="auto"/>
              <w:bottom w:val="single" w:sz="4" w:space="0" w:color="auto"/>
              <w:right w:val="single" w:sz="8" w:space="0" w:color="auto"/>
              <w:tl2br w:val="nil"/>
              <w:tr2bl w:val="nil"/>
            </w:tcBorders>
            <w:noWrap/>
            <w:textDirection w:val="lrTb"/>
            <w:vAlign w:val="center"/>
          </w:tcPr>
          <w:p w:rsidR="00816E24" w:rsidRPr="00D23807" w:rsidP="00C362EA">
            <w:pPr>
              <w:spacing w:line="240" w:lineRule="auto"/>
              <w:jc w:val="right"/>
              <w:rPr>
                <w:rFonts w:ascii="Arial" w:hAnsi="Arial" w:cs="Arial"/>
                <w:sz w:val="18"/>
                <w:szCs w:val="18"/>
              </w:rPr>
            </w:pPr>
            <w:r>
              <w:rPr>
                <w:rFonts w:ascii="Arial" w:hAnsi="Arial" w:cs="Arial"/>
                <w:sz w:val="18"/>
                <w:szCs w:val="18"/>
              </w:rPr>
              <w:t>15 000</w:t>
            </w:r>
          </w:p>
        </w:tc>
        <w:tc>
          <w:tcPr>
            <w:tcW w:w="1559" w:type="dxa"/>
            <w:tcBorders>
              <w:top w:val="nil"/>
              <w:left w:val="nil"/>
              <w:bottom w:val="single" w:sz="4" w:space="0" w:color="auto"/>
              <w:right w:val="nil"/>
              <w:tl2br w:val="nil"/>
              <w:tr2bl w:val="nil"/>
            </w:tcBorders>
            <w:noWrap/>
            <w:textDirection w:val="lrTb"/>
            <w:vAlign w:val="center"/>
          </w:tcPr>
          <w:p w:rsidR="00816E24" w:rsidRPr="00D23807" w:rsidP="00C362EA">
            <w:pPr>
              <w:spacing w:line="240" w:lineRule="auto"/>
              <w:jc w:val="right"/>
              <w:rPr>
                <w:rFonts w:ascii="Arial" w:hAnsi="Arial" w:cs="Arial"/>
                <w:sz w:val="18"/>
                <w:szCs w:val="18"/>
              </w:rPr>
            </w:pPr>
            <w:r>
              <w:rPr>
                <w:rFonts w:ascii="Arial" w:hAnsi="Arial" w:cs="Arial"/>
                <w:sz w:val="18"/>
                <w:szCs w:val="18"/>
              </w:rPr>
              <w:t>15 000</w:t>
            </w:r>
          </w:p>
        </w:tc>
        <w:tc>
          <w:tcPr>
            <w:tcW w:w="1560" w:type="dxa"/>
            <w:tcBorders>
              <w:top w:val="nil"/>
              <w:left w:val="single" w:sz="8" w:space="0" w:color="auto"/>
              <w:bottom w:val="single" w:sz="4" w:space="0" w:color="auto"/>
              <w:right w:val="single" w:sz="12" w:space="0" w:color="auto"/>
              <w:tl2br w:val="nil"/>
              <w:tr2bl w:val="nil"/>
            </w:tcBorders>
            <w:noWrap/>
            <w:textDirection w:val="lrTb"/>
            <w:vAlign w:val="center"/>
          </w:tcPr>
          <w:p w:rsidR="00816E24" w:rsidRPr="00D23807" w:rsidP="00C362EA">
            <w:pPr>
              <w:spacing w:line="240" w:lineRule="auto"/>
              <w:jc w:val="right"/>
              <w:rPr>
                <w:rFonts w:ascii="Arial" w:hAnsi="Arial" w:cs="Arial"/>
                <w:sz w:val="18"/>
                <w:szCs w:val="18"/>
              </w:rPr>
            </w:pPr>
            <w:r w:rsidR="00BC4FB1">
              <w:rPr>
                <w:rFonts w:ascii="Arial" w:hAnsi="Arial" w:cs="Arial"/>
                <w:sz w:val="18"/>
                <w:szCs w:val="18"/>
              </w:rPr>
              <w:t>18</w:t>
            </w:r>
            <w:r>
              <w:rPr>
                <w:rFonts w:ascii="Arial" w:hAnsi="Arial" w:cs="Arial"/>
                <w:sz w:val="18"/>
                <w:szCs w:val="18"/>
              </w:rPr>
              <w:t xml:space="preserve"> </w:t>
            </w:r>
            <w:r w:rsidR="00BC4FB1">
              <w:rPr>
                <w:rFonts w:ascii="Arial" w:hAnsi="Arial" w:cs="Arial"/>
                <w:sz w:val="18"/>
                <w:szCs w:val="18"/>
              </w:rPr>
              <w:t>091</w:t>
            </w:r>
          </w:p>
        </w:tc>
        <w:tc>
          <w:tcPr>
            <w:tcW w:w="1442" w:type="dxa"/>
            <w:tcBorders>
              <w:top w:val="nil"/>
              <w:left w:val="single" w:sz="12" w:space="0" w:color="auto"/>
              <w:bottom w:val="single" w:sz="4" w:space="0" w:color="auto"/>
              <w:right w:val="nil"/>
              <w:tl2br w:val="nil"/>
              <w:tr2bl w:val="nil"/>
            </w:tcBorders>
            <w:noWrap/>
            <w:textDirection w:val="lrTb"/>
            <w:vAlign w:val="center"/>
          </w:tcPr>
          <w:p w:rsidR="00816E24" w:rsidRPr="00D23807" w:rsidP="00C362EA">
            <w:pPr>
              <w:spacing w:line="240" w:lineRule="auto"/>
              <w:jc w:val="right"/>
              <w:rPr>
                <w:rFonts w:ascii="Arial" w:hAnsi="Arial" w:cs="Arial"/>
                <w:sz w:val="18"/>
                <w:szCs w:val="18"/>
              </w:rPr>
            </w:pPr>
            <w:r>
              <w:rPr>
                <w:rFonts w:ascii="Arial" w:hAnsi="Arial" w:cs="Arial"/>
                <w:sz w:val="18"/>
                <w:szCs w:val="18"/>
              </w:rPr>
              <w:t>0</w:t>
            </w:r>
          </w:p>
        </w:tc>
        <w:tc>
          <w:tcPr>
            <w:tcW w:w="1440" w:type="dxa"/>
            <w:tcBorders>
              <w:top w:val="nil"/>
              <w:left w:val="single" w:sz="8" w:space="0" w:color="auto"/>
              <w:bottom w:val="single" w:sz="4" w:space="0" w:color="auto"/>
              <w:right w:val="single" w:sz="12" w:space="0" w:color="auto"/>
              <w:tl2br w:val="nil"/>
              <w:tr2bl w:val="nil"/>
            </w:tcBorders>
            <w:noWrap/>
            <w:textDirection w:val="lrTb"/>
            <w:vAlign w:val="center"/>
          </w:tcPr>
          <w:p w:rsidR="00816E24" w:rsidRPr="00D23807" w:rsidP="00C362EA">
            <w:pPr>
              <w:spacing w:line="240" w:lineRule="auto"/>
              <w:jc w:val="right"/>
              <w:rPr>
                <w:rFonts w:ascii="Arial" w:hAnsi="Arial" w:cs="Arial"/>
                <w:sz w:val="18"/>
                <w:szCs w:val="18"/>
              </w:rPr>
            </w:pPr>
            <w:r>
              <w:rPr>
                <w:rFonts w:ascii="Arial" w:hAnsi="Arial" w:cs="Arial"/>
                <w:sz w:val="18"/>
                <w:szCs w:val="18"/>
              </w:rPr>
              <w:t>0</w:t>
            </w:r>
          </w:p>
        </w:tc>
      </w:tr>
      <w:tr>
        <w:tblPrEx>
          <w:tblW w:w="10467" w:type="dxa"/>
          <w:tblInd w:w="-497" w:type="dxa"/>
          <w:tblLayout w:type="fixed"/>
          <w:tblCellMar>
            <w:left w:w="70" w:type="dxa"/>
            <w:right w:w="70" w:type="dxa"/>
          </w:tblCellMar>
        </w:tblPrEx>
        <w:trPr>
          <w:trHeight w:val="300"/>
        </w:trPr>
        <w:tc>
          <w:tcPr>
            <w:tcW w:w="2907" w:type="dxa"/>
            <w:tcBorders>
              <w:top w:val="nil"/>
              <w:left w:val="single" w:sz="12" w:space="0" w:color="auto"/>
              <w:bottom w:val="single" w:sz="4" w:space="0" w:color="auto"/>
              <w:right w:val="single" w:sz="12" w:space="0" w:color="auto"/>
              <w:tl2br w:val="nil"/>
              <w:tr2bl w:val="nil"/>
            </w:tcBorders>
            <w:noWrap/>
            <w:textDirection w:val="lrTb"/>
            <w:vAlign w:val="center"/>
          </w:tcPr>
          <w:p w:rsidR="00816E24" w:rsidRPr="00D23807" w:rsidP="00C362EA">
            <w:pPr>
              <w:spacing w:line="240" w:lineRule="auto"/>
              <w:rPr>
                <w:rFonts w:ascii="Arial" w:hAnsi="Arial" w:cs="Arial"/>
                <w:sz w:val="18"/>
                <w:szCs w:val="18"/>
              </w:rPr>
            </w:pPr>
            <w:r w:rsidRPr="00D23807">
              <w:rPr>
                <w:rFonts w:ascii="Arial" w:hAnsi="Arial" w:cs="Arial"/>
                <w:sz w:val="18"/>
                <w:szCs w:val="18"/>
              </w:rPr>
              <w:t>3. Železničná polícia</w:t>
            </w:r>
          </w:p>
        </w:tc>
        <w:tc>
          <w:tcPr>
            <w:tcW w:w="1559" w:type="dxa"/>
            <w:tcBorders>
              <w:top w:val="nil"/>
              <w:left w:val="single" w:sz="12" w:space="0" w:color="auto"/>
              <w:bottom w:val="single" w:sz="4" w:space="0" w:color="auto"/>
              <w:right w:val="single" w:sz="8" w:space="0" w:color="auto"/>
              <w:tl2br w:val="nil"/>
              <w:tr2bl w:val="nil"/>
            </w:tcBorders>
            <w:noWrap/>
            <w:textDirection w:val="lrTb"/>
            <w:vAlign w:val="center"/>
          </w:tcPr>
          <w:p w:rsidR="00816E24" w:rsidRPr="00D23807" w:rsidP="00C362EA">
            <w:pPr>
              <w:spacing w:line="240" w:lineRule="auto"/>
              <w:jc w:val="right"/>
              <w:rPr>
                <w:rFonts w:ascii="Arial" w:hAnsi="Arial" w:cs="Arial"/>
                <w:sz w:val="18"/>
                <w:szCs w:val="18"/>
              </w:rPr>
            </w:pPr>
            <w:r>
              <w:rPr>
                <w:rFonts w:ascii="Arial" w:hAnsi="Arial" w:cs="Arial"/>
                <w:sz w:val="18"/>
                <w:szCs w:val="18"/>
              </w:rPr>
              <w:t>5 000</w:t>
            </w:r>
          </w:p>
        </w:tc>
        <w:tc>
          <w:tcPr>
            <w:tcW w:w="1559" w:type="dxa"/>
            <w:tcBorders>
              <w:top w:val="nil"/>
              <w:left w:val="nil"/>
              <w:bottom w:val="single" w:sz="4" w:space="0" w:color="auto"/>
              <w:right w:val="nil"/>
              <w:tl2br w:val="nil"/>
              <w:tr2bl w:val="nil"/>
            </w:tcBorders>
            <w:noWrap/>
            <w:textDirection w:val="lrTb"/>
            <w:vAlign w:val="center"/>
          </w:tcPr>
          <w:p w:rsidR="00816E24" w:rsidRPr="00D23807" w:rsidP="00C362EA">
            <w:pPr>
              <w:spacing w:line="240" w:lineRule="auto"/>
              <w:jc w:val="right"/>
              <w:rPr>
                <w:rFonts w:ascii="Arial" w:hAnsi="Arial" w:cs="Arial"/>
                <w:sz w:val="18"/>
                <w:szCs w:val="18"/>
              </w:rPr>
            </w:pPr>
            <w:r>
              <w:rPr>
                <w:rFonts w:ascii="Arial" w:hAnsi="Arial" w:cs="Arial"/>
                <w:sz w:val="18"/>
                <w:szCs w:val="18"/>
              </w:rPr>
              <w:t>5 000</w:t>
            </w:r>
          </w:p>
        </w:tc>
        <w:tc>
          <w:tcPr>
            <w:tcW w:w="1560" w:type="dxa"/>
            <w:tcBorders>
              <w:top w:val="nil"/>
              <w:left w:val="single" w:sz="8" w:space="0" w:color="auto"/>
              <w:bottom w:val="single" w:sz="4" w:space="0" w:color="auto"/>
              <w:right w:val="single" w:sz="12" w:space="0" w:color="auto"/>
              <w:tl2br w:val="nil"/>
              <w:tr2bl w:val="nil"/>
            </w:tcBorders>
            <w:noWrap/>
            <w:textDirection w:val="lrTb"/>
            <w:vAlign w:val="center"/>
          </w:tcPr>
          <w:p w:rsidR="00816E24" w:rsidRPr="00D23807" w:rsidP="00C362EA">
            <w:pPr>
              <w:spacing w:line="240" w:lineRule="auto"/>
              <w:jc w:val="right"/>
              <w:rPr>
                <w:rFonts w:ascii="Arial" w:hAnsi="Arial" w:cs="Arial"/>
                <w:sz w:val="18"/>
                <w:szCs w:val="18"/>
              </w:rPr>
            </w:pPr>
            <w:r w:rsidR="00BC4FB1">
              <w:rPr>
                <w:rFonts w:ascii="Arial" w:hAnsi="Arial" w:cs="Arial"/>
                <w:sz w:val="18"/>
                <w:szCs w:val="18"/>
              </w:rPr>
              <w:t>9 769</w:t>
            </w:r>
          </w:p>
        </w:tc>
        <w:tc>
          <w:tcPr>
            <w:tcW w:w="1442" w:type="dxa"/>
            <w:tcBorders>
              <w:top w:val="nil"/>
              <w:left w:val="single" w:sz="12" w:space="0" w:color="auto"/>
              <w:bottom w:val="single" w:sz="4" w:space="0" w:color="auto"/>
              <w:right w:val="nil"/>
              <w:tl2br w:val="nil"/>
              <w:tr2bl w:val="nil"/>
            </w:tcBorders>
            <w:noWrap/>
            <w:textDirection w:val="lrTb"/>
            <w:vAlign w:val="center"/>
          </w:tcPr>
          <w:p w:rsidR="00816E24" w:rsidRPr="00D23807" w:rsidP="00C362EA">
            <w:pPr>
              <w:spacing w:line="240" w:lineRule="auto"/>
              <w:jc w:val="right"/>
              <w:rPr>
                <w:rFonts w:ascii="Arial" w:hAnsi="Arial" w:cs="Arial"/>
                <w:sz w:val="18"/>
                <w:szCs w:val="18"/>
              </w:rPr>
            </w:pPr>
            <w:r>
              <w:rPr>
                <w:rFonts w:ascii="Arial" w:hAnsi="Arial" w:cs="Arial"/>
                <w:sz w:val="18"/>
                <w:szCs w:val="18"/>
              </w:rPr>
              <w:t>2</w:t>
            </w:r>
            <w:r w:rsidR="00BC4FB1">
              <w:rPr>
                <w:rFonts w:ascii="Arial" w:hAnsi="Arial" w:cs="Arial"/>
                <w:sz w:val="18"/>
                <w:szCs w:val="18"/>
              </w:rPr>
              <w:t>83</w:t>
            </w:r>
          </w:p>
        </w:tc>
        <w:tc>
          <w:tcPr>
            <w:tcW w:w="1440" w:type="dxa"/>
            <w:tcBorders>
              <w:top w:val="nil"/>
              <w:left w:val="single" w:sz="8" w:space="0" w:color="auto"/>
              <w:bottom w:val="single" w:sz="4" w:space="0" w:color="auto"/>
              <w:right w:val="single" w:sz="12" w:space="0" w:color="auto"/>
              <w:tl2br w:val="nil"/>
              <w:tr2bl w:val="nil"/>
            </w:tcBorders>
            <w:noWrap/>
            <w:textDirection w:val="lrTb"/>
            <w:vAlign w:val="center"/>
          </w:tcPr>
          <w:p w:rsidR="00816E24" w:rsidRPr="00D23807" w:rsidP="00C362EA">
            <w:pPr>
              <w:spacing w:line="240" w:lineRule="auto"/>
              <w:jc w:val="right"/>
              <w:rPr>
                <w:rFonts w:ascii="Arial" w:hAnsi="Arial" w:cs="Arial"/>
                <w:sz w:val="18"/>
                <w:szCs w:val="18"/>
              </w:rPr>
            </w:pPr>
            <w:r w:rsidR="00BC4FB1">
              <w:rPr>
                <w:rFonts w:ascii="Arial" w:hAnsi="Arial" w:cs="Arial"/>
                <w:sz w:val="18"/>
                <w:szCs w:val="18"/>
              </w:rPr>
              <w:t>576</w:t>
            </w:r>
          </w:p>
        </w:tc>
      </w:tr>
      <w:tr>
        <w:tblPrEx>
          <w:tblW w:w="10467" w:type="dxa"/>
          <w:tblInd w:w="-497" w:type="dxa"/>
          <w:tblLayout w:type="fixed"/>
          <w:tblCellMar>
            <w:left w:w="70" w:type="dxa"/>
            <w:right w:w="70" w:type="dxa"/>
          </w:tblCellMar>
        </w:tblPrEx>
        <w:trPr>
          <w:trHeight w:val="300"/>
        </w:trPr>
        <w:tc>
          <w:tcPr>
            <w:tcW w:w="2907" w:type="dxa"/>
            <w:tcBorders>
              <w:top w:val="nil"/>
              <w:left w:val="single" w:sz="12" w:space="0" w:color="auto"/>
              <w:bottom w:val="single" w:sz="4" w:space="0" w:color="auto"/>
              <w:right w:val="single" w:sz="12" w:space="0" w:color="auto"/>
              <w:tl2br w:val="nil"/>
              <w:tr2bl w:val="nil"/>
            </w:tcBorders>
            <w:noWrap/>
            <w:textDirection w:val="lrTb"/>
            <w:vAlign w:val="center"/>
          </w:tcPr>
          <w:p w:rsidR="00816E24" w:rsidRPr="00D23807" w:rsidP="00C362EA">
            <w:pPr>
              <w:spacing w:line="240" w:lineRule="auto"/>
              <w:rPr>
                <w:rFonts w:ascii="Arial" w:hAnsi="Arial" w:cs="Arial"/>
                <w:sz w:val="18"/>
                <w:szCs w:val="18"/>
              </w:rPr>
            </w:pPr>
            <w:r w:rsidRPr="00D23807">
              <w:rPr>
                <w:rFonts w:ascii="Arial" w:hAnsi="Arial" w:cs="Arial"/>
                <w:sz w:val="18"/>
                <w:szCs w:val="18"/>
              </w:rPr>
              <w:t>4. Štátna plavebná správa</w:t>
            </w:r>
          </w:p>
        </w:tc>
        <w:tc>
          <w:tcPr>
            <w:tcW w:w="1559" w:type="dxa"/>
            <w:tcBorders>
              <w:top w:val="nil"/>
              <w:left w:val="single" w:sz="12" w:space="0" w:color="auto"/>
              <w:bottom w:val="single" w:sz="4" w:space="0" w:color="auto"/>
              <w:right w:val="single" w:sz="8" w:space="0" w:color="auto"/>
              <w:tl2br w:val="nil"/>
              <w:tr2bl w:val="nil"/>
            </w:tcBorders>
            <w:noWrap/>
            <w:textDirection w:val="lrTb"/>
            <w:vAlign w:val="center"/>
          </w:tcPr>
          <w:p w:rsidR="00816E24" w:rsidRPr="00D23807" w:rsidP="00C362EA">
            <w:pPr>
              <w:spacing w:line="240" w:lineRule="auto"/>
              <w:jc w:val="right"/>
              <w:rPr>
                <w:rFonts w:ascii="Arial" w:hAnsi="Arial" w:cs="Arial"/>
                <w:sz w:val="18"/>
                <w:szCs w:val="18"/>
              </w:rPr>
            </w:pPr>
            <w:r>
              <w:rPr>
                <w:rFonts w:ascii="Arial" w:hAnsi="Arial" w:cs="Arial"/>
                <w:sz w:val="18"/>
                <w:szCs w:val="18"/>
              </w:rPr>
              <w:t>30 000</w:t>
            </w:r>
          </w:p>
        </w:tc>
        <w:tc>
          <w:tcPr>
            <w:tcW w:w="1559" w:type="dxa"/>
            <w:tcBorders>
              <w:top w:val="nil"/>
              <w:left w:val="nil"/>
              <w:bottom w:val="single" w:sz="4" w:space="0" w:color="auto"/>
              <w:right w:val="nil"/>
              <w:tl2br w:val="nil"/>
              <w:tr2bl w:val="nil"/>
            </w:tcBorders>
            <w:noWrap/>
            <w:textDirection w:val="lrTb"/>
            <w:vAlign w:val="center"/>
          </w:tcPr>
          <w:p w:rsidR="00816E24" w:rsidRPr="00D23807" w:rsidP="00C362EA">
            <w:pPr>
              <w:spacing w:line="240" w:lineRule="auto"/>
              <w:jc w:val="right"/>
              <w:rPr>
                <w:rFonts w:ascii="Arial" w:hAnsi="Arial" w:cs="Arial"/>
                <w:sz w:val="18"/>
                <w:szCs w:val="18"/>
              </w:rPr>
            </w:pPr>
            <w:r>
              <w:rPr>
                <w:rFonts w:ascii="Arial" w:hAnsi="Arial" w:cs="Arial"/>
                <w:sz w:val="18"/>
                <w:szCs w:val="18"/>
              </w:rPr>
              <w:t>30 000</w:t>
            </w:r>
          </w:p>
        </w:tc>
        <w:tc>
          <w:tcPr>
            <w:tcW w:w="1560" w:type="dxa"/>
            <w:tcBorders>
              <w:top w:val="nil"/>
              <w:left w:val="single" w:sz="8" w:space="0" w:color="auto"/>
              <w:bottom w:val="single" w:sz="4" w:space="0" w:color="auto"/>
              <w:right w:val="single" w:sz="12" w:space="0" w:color="auto"/>
              <w:tl2br w:val="nil"/>
              <w:tr2bl w:val="nil"/>
            </w:tcBorders>
            <w:noWrap/>
            <w:textDirection w:val="lrTb"/>
            <w:vAlign w:val="center"/>
          </w:tcPr>
          <w:p w:rsidR="00816E24" w:rsidRPr="00D23807" w:rsidP="00C362EA">
            <w:pPr>
              <w:spacing w:line="240" w:lineRule="auto"/>
              <w:jc w:val="right"/>
              <w:rPr>
                <w:rFonts w:ascii="Arial" w:hAnsi="Arial" w:cs="Arial"/>
                <w:sz w:val="18"/>
                <w:szCs w:val="18"/>
              </w:rPr>
            </w:pPr>
            <w:r w:rsidR="00BC4FB1">
              <w:rPr>
                <w:rFonts w:ascii="Arial" w:hAnsi="Arial" w:cs="Arial"/>
                <w:sz w:val="18"/>
                <w:szCs w:val="18"/>
              </w:rPr>
              <w:t>72 506</w:t>
            </w:r>
          </w:p>
        </w:tc>
        <w:tc>
          <w:tcPr>
            <w:tcW w:w="1442" w:type="dxa"/>
            <w:tcBorders>
              <w:top w:val="nil"/>
              <w:left w:val="single" w:sz="12" w:space="0" w:color="auto"/>
              <w:bottom w:val="single" w:sz="4" w:space="0" w:color="auto"/>
              <w:right w:val="nil"/>
              <w:tl2br w:val="nil"/>
              <w:tr2bl w:val="nil"/>
            </w:tcBorders>
            <w:noWrap/>
            <w:textDirection w:val="lrTb"/>
            <w:vAlign w:val="center"/>
          </w:tcPr>
          <w:p w:rsidR="00816E24" w:rsidRPr="00D23807" w:rsidP="00C362EA">
            <w:pPr>
              <w:spacing w:line="240" w:lineRule="auto"/>
              <w:jc w:val="right"/>
              <w:rPr>
                <w:rFonts w:ascii="Arial" w:hAnsi="Arial" w:cs="Arial"/>
                <w:sz w:val="18"/>
                <w:szCs w:val="18"/>
              </w:rPr>
            </w:pPr>
            <w:r w:rsidR="00BC4FB1">
              <w:rPr>
                <w:rFonts w:ascii="Arial" w:hAnsi="Arial" w:cs="Arial"/>
                <w:sz w:val="18"/>
                <w:szCs w:val="18"/>
              </w:rPr>
              <w:t>25</w:t>
            </w:r>
          </w:p>
        </w:tc>
        <w:tc>
          <w:tcPr>
            <w:tcW w:w="1440" w:type="dxa"/>
            <w:tcBorders>
              <w:top w:val="nil"/>
              <w:left w:val="single" w:sz="8" w:space="0" w:color="auto"/>
              <w:bottom w:val="single" w:sz="4" w:space="0" w:color="auto"/>
              <w:right w:val="single" w:sz="12" w:space="0" w:color="auto"/>
              <w:tl2br w:val="nil"/>
              <w:tr2bl w:val="nil"/>
            </w:tcBorders>
            <w:noWrap/>
            <w:textDirection w:val="lrTb"/>
            <w:vAlign w:val="center"/>
          </w:tcPr>
          <w:p w:rsidR="00816E24" w:rsidRPr="00D23807" w:rsidP="00C362EA">
            <w:pPr>
              <w:spacing w:line="240" w:lineRule="auto"/>
              <w:jc w:val="right"/>
              <w:rPr>
                <w:rFonts w:ascii="Arial" w:hAnsi="Arial" w:cs="Arial"/>
                <w:sz w:val="18"/>
                <w:szCs w:val="18"/>
              </w:rPr>
            </w:pPr>
            <w:r>
              <w:rPr>
                <w:rFonts w:ascii="Arial" w:hAnsi="Arial" w:cs="Arial"/>
                <w:sz w:val="18"/>
                <w:szCs w:val="18"/>
              </w:rPr>
              <w:t>0</w:t>
            </w:r>
          </w:p>
        </w:tc>
      </w:tr>
      <w:tr>
        <w:tblPrEx>
          <w:tblW w:w="10467" w:type="dxa"/>
          <w:tblInd w:w="-497" w:type="dxa"/>
          <w:tblLayout w:type="fixed"/>
          <w:tblCellMar>
            <w:left w:w="70" w:type="dxa"/>
            <w:right w:w="70" w:type="dxa"/>
          </w:tblCellMar>
        </w:tblPrEx>
        <w:trPr>
          <w:trHeight w:val="300"/>
        </w:trPr>
        <w:tc>
          <w:tcPr>
            <w:tcW w:w="2907" w:type="dxa"/>
            <w:tcBorders>
              <w:top w:val="nil"/>
              <w:left w:val="single" w:sz="12" w:space="0" w:color="auto"/>
              <w:bottom w:val="single" w:sz="4" w:space="0" w:color="auto"/>
              <w:right w:val="single" w:sz="12" w:space="0" w:color="auto"/>
              <w:tl2br w:val="nil"/>
              <w:tr2bl w:val="nil"/>
            </w:tcBorders>
            <w:noWrap/>
            <w:textDirection w:val="lrTb"/>
            <w:vAlign w:val="center"/>
          </w:tcPr>
          <w:p w:rsidR="00816E24" w:rsidRPr="00D23807" w:rsidP="00C362EA">
            <w:pPr>
              <w:spacing w:line="240" w:lineRule="auto"/>
              <w:rPr>
                <w:rFonts w:ascii="Arial" w:hAnsi="Arial" w:cs="Arial"/>
                <w:sz w:val="18"/>
                <w:szCs w:val="18"/>
              </w:rPr>
            </w:pPr>
            <w:r>
              <w:rPr>
                <w:rFonts w:ascii="Arial" w:hAnsi="Arial" w:cs="Arial"/>
                <w:sz w:val="18"/>
                <w:szCs w:val="18"/>
              </w:rPr>
              <w:t>5. Úrad pre reguláciu žel. dopravy</w:t>
            </w:r>
          </w:p>
        </w:tc>
        <w:tc>
          <w:tcPr>
            <w:tcW w:w="1559" w:type="dxa"/>
            <w:tcBorders>
              <w:top w:val="nil"/>
              <w:left w:val="single" w:sz="12" w:space="0" w:color="auto"/>
              <w:bottom w:val="single" w:sz="4" w:space="0" w:color="auto"/>
              <w:right w:val="single" w:sz="8" w:space="0" w:color="auto"/>
              <w:tl2br w:val="nil"/>
              <w:tr2bl w:val="nil"/>
            </w:tcBorders>
            <w:noWrap/>
            <w:textDirection w:val="lrTb"/>
            <w:vAlign w:val="center"/>
          </w:tcPr>
          <w:p w:rsidR="00816E24" w:rsidRPr="00D23807" w:rsidP="00C362EA">
            <w:pPr>
              <w:spacing w:line="240" w:lineRule="auto"/>
              <w:jc w:val="right"/>
              <w:rPr>
                <w:rFonts w:ascii="Arial" w:hAnsi="Arial" w:cs="Arial"/>
                <w:sz w:val="18"/>
                <w:szCs w:val="18"/>
              </w:rPr>
            </w:pPr>
            <w:r>
              <w:rPr>
                <w:rFonts w:ascii="Arial" w:hAnsi="Arial" w:cs="Arial"/>
                <w:sz w:val="18"/>
                <w:szCs w:val="18"/>
              </w:rPr>
              <w:t>0</w:t>
            </w:r>
          </w:p>
        </w:tc>
        <w:tc>
          <w:tcPr>
            <w:tcW w:w="1559" w:type="dxa"/>
            <w:tcBorders>
              <w:top w:val="nil"/>
              <w:left w:val="nil"/>
              <w:bottom w:val="single" w:sz="4" w:space="0" w:color="auto"/>
              <w:right w:val="nil"/>
              <w:tl2br w:val="nil"/>
              <w:tr2bl w:val="nil"/>
            </w:tcBorders>
            <w:noWrap/>
            <w:textDirection w:val="lrTb"/>
            <w:vAlign w:val="center"/>
          </w:tcPr>
          <w:p w:rsidR="00816E24" w:rsidRPr="00D23807" w:rsidP="00C362EA">
            <w:pPr>
              <w:spacing w:line="240" w:lineRule="auto"/>
              <w:jc w:val="right"/>
              <w:rPr>
                <w:rFonts w:ascii="Arial" w:hAnsi="Arial" w:cs="Arial"/>
                <w:sz w:val="18"/>
                <w:szCs w:val="18"/>
              </w:rPr>
            </w:pPr>
            <w:r>
              <w:rPr>
                <w:rFonts w:ascii="Arial" w:hAnsi="Arial" w:cs="Arial"/>
                <w:sz w:val="18"/>
                <w:szCs w:val="18"/>
              </w:rPr>
              <w:t>0</w:t>
            </w:r>
          </w:p>
        </w:tc>
        <w:tc>
          <w:tcPr>
            <w:tcW w:w="1560" w:type="dxa"/>
            <w:tcBorders>
              <w:top w:val="nil"/>
              <w:left w:val="single" w:sz="8" w:space="0" w:color="auto"/>
              <w:bottom w:val="single" w:sz="4" w:space="0" w:color="auto"/>
              <w:right w:val="single" w:sz="12" w:space="0" w:color="auto"/>
              <w:tl2br w:val="nil"/>
              <w:tr2bl w:val="nil"/>
            </w:tcBorders>
            <w:noWrap/>
            <w:textDirection w:val="lrTb"/>
            <w:vAlign w:val="center"/>
          </w:tcPr>
          <w:p w:rsidR="00816E24" w:rsidRPr="00D23807" w:rsidP="00C362EA">
            <w:pPr>
              <w:spacing w:line="240" w:lineRule="auto"/>
              <w:jc w:val="right"/>
              <w:rPr>
                <w:rFonts w:ascii="Arial" w:hAnsi="Arial" w:cs="Arial"/>
                <w:sz w:val="18"/>
                <w:szCs w:val="18"/>
              </w:rPr>
            </w:pPr>
            <w:r w:rsidR="00BC4FB1">
              <w:rPr>
                <w:rFonts w:ascii="Arial" w:hAnsi="Arial" w:cs="Arial"/>
                <w:sz w:val="18"/>
                <w:szCs w:val="18"/>
              </w:rPr>
              <w:t>2 660</w:t>
            </w:r>
          </w:p>
        </w:tc>
        <w:tc>
          <w:tcPr>
            <w:tcW w:w="1442" w:type="dxa"/>
            <w:tcBorders>
              <w:top w:val="nil"/>
              <w:left w:val="single" w:sz="12" w:space="0" w:color="auto"/>
              <w:bottom w:val="single" w:sz="4" w:space="0" w:color="auto"/>
              <w:right w:val="nil"/>
              <w:tl2br w:val="nil"/>
              <w:tr2bl w:val="nil"/>
            </w:tcBorders>
            <w:noWrap/>
            <w:textDirection w:val="lrTb"/>
            <w:vAlign w:val="center"/>
          </w:tcPr>
          <w:p w:rsidR="00816E24" w:rsidRPr="00D23807" w:rsidP="00C362EA">
            <w:pPr>
              <w:spacing w:line="240" w:lineRule="auto"/>
              <w:jc w:val="right"/>
              <w:rPr>
                <w:rFonts w:ascii="Arial" w:hAnsi="Arial" w:cs="Arial"/>
                <w:sz w:val="18"/>
                <w:szCs w:val="18"/>
              </w:rPr>
            </w:pPr>
            <w:r>
              <w:rPr>
                <w:rFonts w:ascii="Arial" w:hAnsi="Arial" w:cs="Arial"/>
                <w:sz w:val="18"/>
                <w:szCs w:val="18"/>
              </w:rPr>
              <w:t>0</w:t>
            </w:r>
          </w:p>
        </w:tc>
        <w:tc>
          <w:tcPr>
            <w:tcW w:w="1440" w:type="dxa"/>
            <w:tcBorders>
              <w:top w:val="nil"/>
              <w:left w:val="single" w:sz="8" w:space="0" w:color="auto"/>
              <w:bottom w:val="single" w:sz="4" w:space="0" w:color="auto"/>
              <w:right w:val="single" w:sz="12" w:space="0" w:color="auto"/>
              <w:tl2br w:val="nil"/>
              <w:tr2bl w:val="nil"/>
            </w:tcBorders>
            <w:noWrap/>
            <w:textDirection w:val="lrTb"/>
            <w:vAlign w:val="center"/>
          </w:tcPr>
          <w:p w:rsidR="00816E24" w:rsidRPr="00D23807" w:rsidP="00C362EA">
            <w:pPr>
              <w:spacing w:line="240" w:lineRule="auto"/>
              <w:jc w:val="right"/>
              <w:rPr>
                <w:rFonts w:ascii="Arial" w:hAnsi="Arial" w:cs="Arial"/>
                <w:sz w:val="18"/>
                <w:szCs w:val="18"/>
              </w:rPr>
            </w:pPr>
            <w:r>
              <w:rPr>
                <w:rFonts w:ascii="Arial" w:hAnsi="Arial" w:cs="Arial"/>
                <w:sz w:val="18"/>
                <w:szCs w:val="18"/>
              </w:rPr>
              <w:t>0</w:t>
            </w:r>
          </w:p>
        </w:tc>
      </w:tr>
      <w:tr>
        <w:tblPrEx>
          <w:tblW w:w="10467" w:type="dxa"/>
          <w:tblInd w:w="-497" w:type="dxa"/>
          <w:tblLayout w:type="fixed"/>
          <w:tblCellMar>
            <w:left w:w="70" w:type="dxa"/>
            <w:right w:w="70" w:type="dxa"/>
          </w:tblCellMar>
        </w:tblPrEx>
        <w:trPr>
          <w:trHeight w:val="300"/>
        </w:trPr>
        <w:tc>
          <w:tcPr>
            <w:tcW w:w="2907" w:type="dxa"/>
            <w:tcBorders>
              <w:top w:val="nil"/>
              <w:left w:val="single" w:sz="12" w:space="0" w:color="auto"/>
              <w:bottom w:val="single" w:sz="4" w:space="0" w:color="auto"/>
              <w:right w:val="single" w:sz="12" w:space="0" w:color="auto"/>
              <w:tl2br w:val="nil"/>
              <w:tr2bl w:val="nil"/>
            </w:tcBorders>
            <w:noWrap/>
            <w:textDirection w:val="lrTb"/>
            <w:vAlign w:val="center"/>
          </w:tcPr>
          <w:p w:rsidR="00816E24" w:rsidRPr="00D23807" w:rsidP="00C362EA">
            <w:pPr>
              <w:spacing w:line="240" w:lineRule="auto"/>
              <w:rPr>
                <w:rFonts w:ascii="Arial" w:hAnsi="Arial" w:cs="Arial"/>
                <w:sz w:val="18"/>
                <w:szCs w:val="18"/>
              </w:rPr>
            </w:pPr>
            <w:r w:rsidRPr="00D23807">
              <w:rPr>
                <w:rFonts w:ascii="Arial" w:hAnsi="Arial" w:cs="Arial"/>
                <w:sz w:val="18"/>
                <w:szCs w:val="18"/>
              </w:rPr>
              <w:t>6. Telekomunikačný úrad SR</w:t>
            </w:r>
          </w:p>
        </w:tc>
        <w:tc>
          <w:tcPr>
            <w:tcW w:w="1559" w:type="dxa"/>
            <w:tcBorders>
              <w:top w:val="nil"/>
              <w:left w:val="single" w:sz="12" w:space="0" w:color="auto"/>
              <w:bottom w:val="single" w:sz="4" w:space="0" w:color="auto"/>
              <w:right w:val="single" w:sz="8" w:space="0" w:color="auto"/>
              <w:tl2br w:val="nil"/>
              <w:tr2bl w:val="nil"/>
            </w:tcBorders>
            <w:noWrap/>
            <w:textDirection w:val="lrTb"/>
            <w:vAlign w:val="center"/>
          </w:tcPr>
          <w:p w:rsidR="00816E24" w:rsidRPr="00D23807" w:rsidP="00C362EA">
            <w:pPr>
              <w:spacing w:line="240" w:lineRule="auto"/>
              <w:jc w:val="right"/>
              <w:rPr>
                <w:rFonts w:ascii="Arial" w:hAnsi="Arial" w:cs="Arial"/>
                <w:sz w:val="18"/>
                <w:szCs w:val="18"/>
              </w:rPr>
            </w:pPr>
            <w:r w:rsidR="00BC4FB1">
              <w:rPr>
                <w:rFonts w:ascii="Arial" w:hAnsi="Arial" w:cs="Arial"/>
                <w:sz w:val="18"/>
                <w:szCs w:val="18"/>
              </w:rPr>
              <w:t>320 5</w:t>
            </w:r>
            <w:r>
              <w:rPr>
                <w:rFonts w:ascii="Arial" w:hAnsi="Arial" w:cs="Arial"/>
                <w:sz w:val="18"/>
                <w:szCs w:val="18"/>
              </w:rPr>
              <w:t>00</w:t>
            </w:r>
          </w:p>
        </w:tc>
        <w:tc>
          <w:tcPr>
            <w:tcW w:w="1559" w:type="dxa"/>
            <w:tcBorders>
              <w:top w:val="nil"/>
              <w:left w:val="nil"/>
              <w:bottom w:val="single" w:sz="4" w:space="0" w:color="auto"/>
              <w:right w:val="nil"/>
              <w:tl2br w:val="nil"/>
              <w:tr2bl w:val="nil"/>
            </w:tcBorders>
            <w:noWrap/>
            <w:textDirection w:val="lrTb"/>
            <w:vAlign w:val="center"/>
          </w:tcPr>
          <w:p w:rsidR="00816E24" w:rsidRPr="00D23807" w:rsidP="00C362EA">
            <w:pPr>
              <w:spacing w:line="240" w:lineRule="auto"/>
              <w:jc w:val="right"/>
              <w:rPr>
                <w:rFonts w:ascii="Arial" w:hAnsi="Arial" w:cs="Arial"/>
                <w:sz w:val="18"/>
                <w:szCs w:val="18"/>
              </w:rPr>
            </w:pPr>
            <w:r w:rsidR="00BC4FB1">
              <w:rPr>
                <w:rFonts w:ascii="Arial" w:hAnsi="Arial" w:cs="Arial"/>
                <w:sz w:val="18"/>
                <w:szCs w:val="18"/>
              </w:rPr>
              <w:t>320 5</w:t>
            </w:r>
            <w:r>
              <w:rPr>
                <w:rFonts w:ascii="Arial" w:hAnsi="Arial" w:cs="Arial"/>
                <w:sz w:val="18"/>
                <w:szCs w:val="18"/>
              </w:rPr>
              <w:t>00</w:t>
            </w:r>
          </w:p>
        </w:tc>
        <w:tc>
          <w:tcPr>
            <w:tcW w:w="1560" w:type="dxa"/>
            <w:tcBorders>
              <w:top w:val="nil"/>
              <w:left w:val="single" w:sz="8" w:space="0" w:color="auto"/>
              <w:bottom w:val="single" w:sz="4" w:space="0" w:color="auto"/>
              <w:right w:val="single" w:sz="12" w:space="0" w:color="auto"/>
              <w:tl2br w:val="nil"/>
              <w:tr2bl w:val="nil"/>
            </w:tcBorders>
            <w:noWrap/>
            <w:textDirection w:val="lrTb"/>
            <w:vAlign w:val="center"/>
          </w:tcPr>
          <w:p w:rsidR="00816E24" w:rsidRPr="00D23807" w:rsidP="00C362EA">
            <w:pPr>
              <w:spacing w:line="240" w:lineRule="auto"/>
              <w:jc w:val="right"/>
              <w:rPr>
                <w:rFonts w:ascii="Arial" w:hAnsi="Arial" w:cs="Arial"/>
                <w:sz w:val="18"/>
                <w:szCs w:val="18"/>
              </w:rPr>
            </w:pPr>
            <w:r w:rsidR="00BC4FB1">
              <w:rPr>
                <w:rFonts w:ascii="Arial" w:hAnsi="Arial" w:cs="Arial"/>
                <w:sz w:val="18"/>
                <w:szCs w:val="18"/>
              </w:rPr>
              <w:t>494 626</w:t>
            </w:r>
          </w:p>
        </w:tc>
        <w:tc>
          <w:tcPr>
            <w:tcW w:w="1442" w:type="dxa"/>
            <w:tcBorders>
              <w:top w:val="nil"/>
              <w:left w:val="single" w:sz="12" w:space="0" w:color="auto"/>
              <w:bottom w:val="single" w:sz="4" w:space="0" w:color="auto"/>
              <w:right w:val="nil"/>
              <w:tl2br w:val="nil"/>
              <w:tr2bl w:val="nil"/>
            </w:tcBorders>
            <w:noWrap/>
            <w:textDirection w:val="lrTb"/>
            <w:vAlign w:val="center"/>
          </w:tcPr>
          <w:p w:rsidR="00816E24" w:rsidRPr="00D23807" w:rsidP="00C362EA">
            <w:pPr>
              <w:spacing w:line="240" w:lineRule="auto"/>
              <w:jc w:val="right"/>
              <w:rPr>
                <w:rFonts w:ascii="Arial" w:hAnsi="Arial" w:cs="Arial"/>
                <w:sz w:val="18"/>
                <w:szCs w:val="18"/>
              </w:rPr>
            </w:pPr>
            <w:r w:rsidR="00BC4FB1">
              <w:rPr>
                <w:rFonts w:ascii="Arial" w:hAnsi="Arial" w:cs="Arial"/>
                <w:sz w:val="18"/>
                <w:szCs w:val="18"/>
              </w:rPr>
              <w:t>0</w:t>
            </w:r>
          </w:p>
        </w:tc>
        <w:tc>
          <w:tcPr>
            <w:tcW w:w="1440" w:type="dxa"/>
            <w:tcBorders>
              <w:top w:val="nil"/>
              <w:left w:val="single" w:sz="8" w:space="0" w:color="auto"/>
              <w:bottom w:val="single" w:sz="4" w:space="0" w:color="auto"/>
              <w:right w:val="single" w:sz="12" w:space="0" w:color="auto"/>
              <w:tl2br w:val="nil"/>
              <w:tr2bl w:val="nil"/>
            </w:tcBorders>
            <w:noWrap/>
            <w:textDirection w:val="lrTb"/>
            <w:vAlign w:val="center"/>
          </w:tcPr>
          <w:p w:rsidR="00816E24" w:rsidRPr="00D23807" w:rsidP="00C362EA">
            <w:pPr>
              <w:spacing w:line="240" w:lineRule="auto"/>
              <w:jc w:val="right"/>
              <w:rPr>
                <w:rFonts w:ascii="Arial" w:hAnsi="Arial" w:cs="Arial"/>
                <w:sz w:val="18"/>
                <w:szCs w:val="18"/>
              </w:rPr>
            </w:pPr>
            <w:r>
              <w:rPr>
                <w:rFonts w:ascii="Arial" w:hAnsi="Arial" w:cs="Arial"/>
                <w:sz w:val="18"/>
                <w:szCs w:val="18"/>
              </w:rPr>
              <w:t>0</w:t>
            </w:r>
          </w:p>
        </w:tc>
      </w:tr>
      <w:tr>
        <w:tblPrEx>
          <w:tblW w:w="10467" w:type="dxa"/>
          <w:tblInd w:w="-497" w:type="dxa"/>
          <w:tblLayout w:type="fixed"/>
          <w:tblCellMar>
            <w:left w:w="70" w:type="dxa"/>
            <w:right w:w="70" w:type="dxa"/>
          </w:tblCellMar>
        </w:tblPrEx>
        <w:trPr>
          <w:trHeight w:val="300"/>
        </w:trPr>
        <w:tc>
          <w:tcPr>
            <w:tcW w:w="2907" w:type="dxa"/>
            <w:tcBorders>
              <w:top w:val="nil"/>
              <w:left w:val="single" w:sz="12" w:space="0" w:color="auto"/>
              <w:bottom w:val="single" w:sz="4" w:space="0" w:color="auto"/>
              <w:right w:val="single" w:sz="12" w:space="0" w:color="auto"/>
              <w:tl2br w:val="nil"/>
              <w:tr2bl w:val="nil"/>
            </w:tcBorders>
            <w:noWrap/>
            <w:textDirection w:val="lrTb"/>
            <w:vAlign w:val="center"/>
          </w:tcPr>
          <w:p w:rsidR="00816E24" w:rsidRPr="00D23807" w:rsidP="00C362EA">
            <w:pPr>
              <w:spacing w:line="240" w:lineRule="auto"/>
              <w:rPr>
                <w:rFonts w:ascii="Arial" w:hAnsi="Arial" w:cs="Arial"/>
                <w:sz w:val="18"/>
                <w:szCs w:val="18"/>
              </w:rPr>
            </w:pPr>
            <w:r w:rsidRPr="00D23807">
              <w:rPr>
                <w:rFonts w:ascii="Arial" w:hAnsi="Arial" w:cs="Arial"/>
                <w:sz w:val="18"/>
                <w:szCs w:val="18"/>
              </w:rPr>
              <w:t>7. Letecký úrad SR</w:t>
            </w:r>
          </w:p>
        </w:tc>
        <w:tc>
          <w:tcPr>
            <w:tcW w:w="1559" w:type="dxa"/>
            <w:tcBorders>
              <w:top w:val="nil"/>
              <w:left w:val="single" w:sz="12" w:space="0" w:color="auto"/>
              <w:bottom w:val="single" w:sz="4" w:space="0" w:color="auto"/>
              <w:right w:val="single" w:sz="8" w:space="0" w:color="auto"/>
              <w:tl2br w:val="nil"/>
              <w:tr2bl w:val="nil"/>
            </w:tcBorders>
            <w:noWrap/>
            <w:textDirection w:val="lrTb"/>
            <w:vAlign w:val="center"/>
          </w:tcPr>
          <w:p w:rsidR="00816E24" w:rsidRPr="00D23807" w:rsidP="00C362EA">
            <w:pPr>
              <w:spacing w:line="240" w:lineRule="auto"/>
              <w:jc w:val="right"/>
              <w:rPr>
                <w:rFonts w:ascii="Arial" w:hAnsi="Arial" w:cs="Arial"/>
                <w:sz w:val="18"/>
                <w:szCs w:val="18"/>
              </w:rPr>
            </w:pPr>
            <w:r w:rsidR="00BC4FB1">
              <w:rPr>
                <w:rFonts w:ascii="Arial" w:hAnsi="Arial" w:cs="Arial"/>
                <w:sz w:val="18"/>
                <w:szCs w:val="18"/>
              </w:rPr>
              <w:t>4 5</w:t>
            </w:r>
            <w:r>
              <w:rPr>
                <w:rFonts w:ascii="Arial" w:hAnsi="Arial" w:cs="Arial"/>
                <w:sz w:val="18"/>
                <w:szCs w:val="18"/>
              </w:rPr>
              <w:t xml:space="preserve">00 </w:t>
            </w:r>
          </w:p>
        </w:tc>
        <w:tc>
          <w:tcPr>
            <w:tcW w:w="1559" w:type="dxa"/>
            <w:tcBorders>
              <w:top w:val="nil"/>
              <w:left w:val="nil"/>
              <w:bottom w:val="single" w:sz="4" w:space="0" w:color="auto"/>
              <w:right w:val="nil"/>
              <w:tl2br w:val="nil"/>
              <w:tr2bl w:val="nil"/>
            </w:tcBorders>
            <w:noWrap/>
            <w:textDirection w:val="lrTb"/>
            <w:vAlign w:val="center"/>
          </w:tcPr>
          <w:p w:rsidR="00816E24" w:rsidRPr="00D23807" w:rsidP="00C362EA">
            <w:pPr>
              <w:spacing w:line="240" w:lineRule="auto"/>
              <w:jc w:val="right"/>
              <w:rPr>
                <w:rFonts w:ascii="Arial" w:hAnsi="Arial" w:cs="Arial"/>
                <w:sz w:val="18"/>
                <w:szCs w:val="18"/>
              </w:rPr>
            </w:pPr>
            <w:r w:rsidR="00BC4FB1">
              <w:rPr>
                <w:rFonts w:ascii="Arial" w:hAnsi="Arial" w:cs="Arial"/>
                <w:sz w:val="18"/>
                <w:szCs w:val="18"/>
              </w:rPr>
              <w:t>4 5</w:t>
            </w:r>
            <w:r>
              <w:rPr>
                <w:rFonts w:ascii="Arial" w:hAnsi="Arial" w:cs="Arial"/>
                <w:sz w:val="18"/>
                <w:szCs w:val="18"/>
              </w:rPr>
              <w:t>00</w:t>
            </w:r>
          </w:p>
        </w:tc>
        <w:tc>
          <w:tcPr>
            <w:tcW w:w="1560" w:type="dxa"/>
            <w:tcBorders>
              <w:top w:val="nil"/>
              <w:left w:val="single" w:sz="8" w:space="0" w:color="auto"/>
              <w:bottom w:val="single" w:sz="4" w:space="0" w:color="auto"/>
              <w:right w:val="single" w:sz="12" w:space="0" w:color="auto"/>
              <w:tl2br w:val="nil"/>
              <w:tr2bl w:val="nil"/>
            </w:tcBorders>
            <w:noWrap/>
            <w:textDirection w:val="lrTb"/>
            <w:vAlign w:val="center"/>
          </w:tcPr>
          <w:p w:rsidR="00816E24" w:rsidRPr="00D23807" w:rsidP="00C362EA">
            <w:pPr>
              <w:spacing w:line="240" w:lineRule="auto"/>
              <w:jc w:val="right"/>
              <w:rPr>
                <w:rFonts w:ascii="Arial" w:hAnsi="Arial" w:cs="Arial"/>
                <w:sz w:val="18"/>
                <w:szCs w:val="18"/>
              </w:rPr>
            </w:pPr>
            <w:r w:rsidR="00BC4FB1">
              <w:rPr>
                <w:rFonts w:ascii="Arial" w:hAnsi="Arial" w:cs="Arial"/>
                <w:sz w:val="18"/>
                <w:szCs w:val="18"/>
              </w:rPr>
              <w:t>19</w:t>
            </w:r>
            <w:r>
              <w:rPr>
                <w:rFonts w:ascii="Arial" w:hAnsi="Arial" w:cs="Arial"/>
                <w:sz w:val="18"/>
                <w:szCs w:val="18"/>
              </w:rPr>
              <w:t xml:space="preserve"> </w:t>
            </w:r>
            <w:r w:rsidR="00BC4FB1">
              <w:rPr>
                <w:rFonts w:ascii="Arial" w:hAnsi="Arial" w:cs="Arial"/>
                <w:sz w:val="18"/>
                <w:szCs w:val="18"/>
              </w:rPr>
              <w:t>422</w:t>
            </w:r>
          </w:p>
        </w:tc>
        <w:tc>
          <w:tcPr>
            <w:tcW w:w="1442" w:type="dxa"/>
            <w:tcBorders>
              <w:top w:val="nil"/>
              <w:left w:val="single" w:sz="12" w:space="0" w:color="auto"/>
              <w:bottom w:val="single" w:sz="4" w:space="0" w:color="auto"/>
              <w:right w:val="nil"/>
              <w:tl2br w:val="nil"/>
              <w:tr2bl w:val="nil"/>
            </w:tcBorders>
            <w:noWrap/>
            <w:textDirection w:val="lrTb"/>
            <w:vAlign w:val="center"/>
          </w:tcPr>
          <w:p w:rsidR="00816E24" w:rsidRPr="00D23807" w:rsidP="00C362EA">
            <w:pPr>
              <w:spacing w:line="240" w:lineRule="auto"/>
              <w:jc w:val="right"/>
              <w:rPr>
                <w:rFonts w:ascii="Arial" w:hAnsi="Arial" w:cs="Arial"/>
                <w:sz w:val="18"/>
                <w:szCs w:val="18"/>
              </w:rPr>
            </w:pPr>
            <w:r>
              <w:rPr>
                <w:rFonts w:ascii="Arial" w:hAnsi="Arial" w:cs="Arial"/>
                <w:sz w:val="18"/>
                <w:szCs w:val="18"/>
              </w:rPr>
              <w:t>0</w:t>
            </w:r>
          </w:p>
        </w:tc>
        <w:tc>
          <w:tcPr>
            <w:tcW w:w="1440" w:type="dxa"/>
            <w:tcBorders>
              <w:top w:val="nil"/>
              <w:left w:val="single" w:sz="8" w:space="0" w:color="auto"/>
              <w:bottom w:val="single" w:sz="4" w:space="0" w:color="auto"/>
              <w:right w:val="single" w:sz="12" w:space="0" w:color="auto"/>
              <w:tl2br w:val="nil"/>
              <w:tr2bl w:val="nil"/>
            </w:tcBorders>
            <w:noWrap/>
            <w:textDirection w:val="lrTb"/>
            <w:vAlign w:val="center"/>
          </w:tcPr>
          <w:p w:rsidR="00816E24" w:rsidRPr="00D23807" w:rsidP="00C362EA">
            <w:pPr>
              <w:spacing w:line="240" w:lineRule="auto"/>
              <w:jc w:val="right"/>
              <w:rPr>
                <w:rFonts w:ascii="Arial" w:hAnsi="Arial" w:cs="Arial"/>
                <w:sz w:val="18"/>
                <w:szCs w:val="18"/>
              </w:rPr>
            </w:pPr>
            <w:r>
              <w:rPr>
                <w:rFonts w:ascii="Arial" w:hAnsi="Arial" w:cs="Arial"/>
                <w:sz w:val="18"/>
                <w:szCs w:val="18"/>
              </w:rPr>
              <w:t>0</w:t>
            </w:r>
          </w:p>
        </w:tc>
      </w:tr>
      <w:tr>
        <w:tblPrEx>
          <w:tblW w:w="10467" w:type="dxa"/>
          <w:tblInd w:w="-497" w:type="dxa"/>
          <w:tblLayout w:type="fixed"/>
          <w:tblCellMar>
            <w:left w:w="70" w:type="dxa"/>
            <w:right w:w="70" w:type="dxa"/>
          </w:tblCellMar>
        </w:tblPrEx>
        <w:trPr>
          <w:trHeight w:val="300"/>
        </w:trPr>
        <w:tc>
          <w:tcPr>
            <w:tcW w:w="2907" w:type="dxa"/>
            <w:tcBorders>
              <w:top w:val="nil"/>
              <w:left w:val="single" w:sz="12" w:space="0" w:color="auto"/>
              <w:bottom w:val="single" w:sz="4" w:space="0" w:color="auto"/>
              <w:right w:val="single" w:sz="12" w:space="0" w:color="auto"/>
              <w:tl2br w:val="nil"/>
              <w:tr2bl w:val="nil"/>
            </w:tcBorders>
            <w:noWrap/>
            <w:textDirection w:val="lrTb"/>
            <w:vAlign w:val="center"/>
          </w:tcPr>
          <w:p w:rsidR="00816E24" w:rsidRPr="00D23807" w:rsidP="00C362EA">
            <w:pPr>
              <w:spacing w:line="240" w:lineRule="auto"/>
              <w:rPr>
                <w:rFonts w:ascii="Arial" w:hAnsi="Arial" w:cs="Arial"/>
                <w:sz w:val="18"/>
                <w:szCs w:val="18"/>
              </w:rPr>
            </w:pPr>
            <w:r w:rsidRPr="00D23807">
              <w:rPr>
                <w:rFonts w:ascii="Arial" w:hAnsi="Arial" w:cs="Arial"/>
                <w:sz w:val="18"/>
                <w:szCs w:val="18"/>
              </w:rPr>
              <w:t xml:space="preserve">8. Poštový regulačný úrad </w:t>
            </w:r>
          </w:p>
        </w:tc>
        <w:tc>
          <w:tcPr>
            <w:tcW w:w="1559" w:type="dxa"/>
            <w:tcBorders>
              <w:top w:val="nil"/>
              <w:left w:val="single" w:sz="12" w:space="0" w:color="auto"/>
              <w:bottom w:val="single" w:sz="4" w:space="0" w:color="auto"/>
              <w:right w:val="single" w:sz="8" w:space="0" w:color="auto"/>
              <w:tl2br w:val="nil"/>
              <w:tr2bl w:val="nil"/>
            </w:tcBorders>
            <w:noWrap/>
            <w:textDirection w:val="lrTb"/>
            <w:vAlign w:val="center"/>
          </w:tcPr>
          <w:p w:rsidR="00816E24" w:rsidRPr="00D23807" w:rsidP="00C362EA">
            <w:pPr>
              <w:spacing w:line="240" w:lineRule="auto"/>
              <w:jc w:val="right"/>
              <w:rPr>
                <w:rFonts w:ascii="Arial" w:hAnsi="Arial" w:cs="Arial"/>
                <w:sz w:val="18"/>
                <w:szCs w:val="18"/>
              </w:rPr>
            </w:pPr>
            <w:r>
              <w:rPr>
                <w:rFonts w:ascii="Arial" w:hAnsi="Arial" w:cs="Arial"/>
                <w:sz w:val="18"/>
                <w:szCs w:val="18"/>
              </w:rPr>
              <w:t>0</w:t>
            </w:r>
          </w:p>
        </w:tc>
        <w:tc>
          <w:tcPr>
            <w:tcW w:w="1559" w:type="dxa"/>
            <w:tcBorders>
              <w:top w:val="nil"/>
              <w:left w:val="nil"/>
              <w:bottom w:val="single" w:sz="4" w:space="0" w:color="auto"/>
              <w:right w:val="nil"/>
              <w:tl2br w:val="nil"/>
              <w:tr2bl w:val="nil"/>
            </w:tcBorders>
            <w:noWrap/>
            <w:textDirection w:val="lrTb"/>
            <w:vAlign w:val="center"/>
          </w:tcPr>
          <w:p w:rsidR="00816E24" w:rsidRPr="00D23807" w:rsidP="00C362EA">
            <w:pPr>
              <w:spacing w:line="240" w:lineRule="auto"/>
              <w:jc w:val="right"/>
              <w:rPr>
                <w:rFonts w:ascii="Arial" w:hAnsi="Arial" w:cs="Arial"/>
                <w:sz w:val="18"/>
                <w:szCs w:val="18"/>
              </w:rPr>
            </w:pPr>
            <w:r>
              <w:rPr>
                <w:rFonts w:ascii="Arial" w:hAnsi="Arial" w:cs="Arial"/>
                <w:sz w:val="18"/>
                <w:szCs w:val="18"/>
              </w:rPr>
              <w:t>0</w:t>
            </w:r>
          </w:p>
        </w:tc>
        <w:tc>
          <w:tcPr>
            <w:tcW w:w="1560" w:type="dxa"/>
            <w:tcBorders>
              <w:top w:val="nil"/>
              <w:left w:val="single" w:sz="8" w:space="0" w:color="auto"/>
              <w:bottom w:val="single" w:sz="4" w:space="0" w:color="auto"/>
              <w:right w:val="single" w:sz="12" w:space="0" w:color="auto"/>
              <w:tl2br w:val="nil"/>
              <w:tr2bl w:val="nil"/>
            </w:tcBorders>
            <w:noWrap/>
            <w:textDirection w:val="lrTb"/>
            <w:vAlign w:val="center"/>
          </w:tcPr>
          <w:p w:rsidR="00816E24" w:rsidRPr="00D23807" w:rsidP="00C362EA">
            <w:pPr>
              <w:spacing w:line="240" w:lineRule="auto"/>
              <w:jc w:val="right"/>
              <w:rPr>
                <w:rFonts w:ascii="Arial" w:hAnsi="Arial" w:cs="Arial"/>
                <w:sz w:val="18"/>
                <w:szCs w:val="18"/>
              </w:rPr>
            </w:pPr>
            <w:r w:rsidR="00BC4FB1">
              <w:rPr>
                <w:rFonts w:ascii="Arial" w:hAnsi="Arial" w:cs="Arial"/>
                <w:sz w:val="18"/>
                <w:szCs w:val="18"/>
              </w:rPr>
              <w:t>141</w:t>
            </w:r>
          </w:p>
        </w:tc>
        <w:tc>
          <w:tcPr>
            <w:tcW w:w="1442" w:type="dxa"/>
            <w:tcBorders>
              <w:top w:val="nil"/>
              <w:left w:val="single" w:sz="12" w:space="0" w:color="auto"/>
              <w:bottom w:val="single" w:sz="4" w:space="0" w:color="auto"/>
              <w:right w:val="nil"/>
              <w:tl2br w:val="nil"/>
              <w:tr2bl w:val="nil"/>
            </w:tcBorders>
            <w:noWrap/>
            <w:textDirection w:val="lrTb"/>
            <w:vAlign w:val="center"/>
          </w:tcPr>
          <w:p w:rsidR="00816E24" w:rsidRPr="00D23807" w:rsidP="00C362EA">
            <w:pPr>
              <w:spacing w:line="240" w:lineRule="auto"/>
              <w:jc w:val="right"/>
              <w:rPr>
                <w:rFonts w:ascii="Arial" w:hAnsi="Arial" w:cs="Arial"/>
                <w:sz w:val="18"/>
                <w:szCs w:val="18"/>
              </w:rPr>
            </w:pPr>
            <w:r>
              <w:rPr>
                <w:rFonts w:ascii="Arial" w:hAnsi="Arial" w:cs="Arial"/>
                <w:sz w:val="18"/>
                <w:szCs w:val="18"/>
              </w:rPr>
              <w:t>0</w:t>
            </w:r>
          </w:p>
        </w:tc>
        <w:tc>
          <w:tcPr>
            <w:tcW w:w="1440" w:type="dxa"/>
            <w:tcBorders>
              <w:top w:val="nil"/>
              <w:left w:val="single" w:sz="8" w:space="0" w:color="auto"/>
              <w:bottom w:val="single" w:sz="4" w:space="0" w:color="auto"/>
              <w:right w:val="single" w:sz="12" w:space="0" w:color="auto"/>
              <w:tl2br w:val="nil"/>
              <w:tr2bl w:val="nil"/>
            </w:tcBorders>
            <w:noWrap/>
            <w:textDirection w:val="lrTb"/>
            <w:vAlign w:val="center"/>
          </w:tcPr>
          <w:p w:rsidR="00816E24" w:rsidRPr="00D23807" w:rsidP="00C362EA">
            <w:pPr>
              <w:spacing w:line="240" w:lineRule="auto"/>
              <w:jc w:val="right"/>
              <w:rPr>
                <w:rFonts w:ascii="Arial" w:hAnsi="Arial" w:cs="Arial"/>
                <w:sz w:val="18"/>
                <w:szCs w:val="18"/>
              </w:rPr>
            </w:pPr>
            <w:r>
              <w:rPr>
                <w:rFonts w:ascii="Arial" w:hAnsi="Arial" w:cs="Arial"/>
                <w:sz w:val="18"/>
                <w:szCs w:val="18"/>
              </w:rPr>
              <w:t>0</w:t>
            </w:r>
          </w:p>
        </w:tc>
      </w:tr>
      <w:tr>
        <w:tblPrEx>
          <w:tblW w:w="10467" w:type="dxa"/>
          <w:tblInd w:w="-497" w:type="dxa"/>
          <w:tblLayout w:type="fixed"/>
          <w:tblCellMar>
            <w:left w:w="70" w:type="dxa"/>
            <w:right w:w="70" w:type="dxa"/>
          </w:tblCellMar>
        </w:tblPrEx>
        <w:trPr>
          <w:trHeight w:val="300"/>
        </w:trPr>
        <w:tc>
          <w:tcPr>
            <w:tcW w:w="2907" w:type="dxa"/>
            <w:tcBorders>
              <w:top w:val="nil"/>
              <w:left w:val="single" w:sz="12" w:space="0" w:color="auto"/>
              <w:bottom w:val="single" w:sz="4" w:space="0" w:color="auto"/>
              <w:right w:val="single" w:sz="12" w:space="0" w:color="auto"/>
              <w:tl2br w:val="nil"/>
              <w:tr2bl w:val="nil"/>
            </w:tcBorders>
            <w:noWrap/>
            <w:textDirection w:val="lrTb"/>
            <w:vAlign w:val="center"/>
          </w:tcPr>
          <w:p w:rsidR="00816E24" w:rsidRPr="00D23807" w:rsidP="00C362EA">
            <w:pPr>
              <w:spacing w:line="240" w:lineRule="auto"/>
              <w:rPr>
                <w:rFonts w:ascii="Arial" w:hAnsi="Arial" w:cs="Arial"/>
                <w:sz w:val="18"/>
                <w:szCs w:val="18"/>
              </w:rPr>
            </w:pPr>
            <w:r w:rsidRPr="00D23807">
              <w:rPr>
                <w:rFonts w:ascii="Arial" w:hAnsi="Arial" w:cs="Arial"/>
                <w:sz w:val="18"/>
                <w:szCs w:val="18"/>
              </w:rPr>
              <w:t>9.  KÚ pre CD a PK Bratislava</w:t>
            </w:r>
          </w:p>
        </w:tc>
        <w:tc>
          <w:tcPr>
            <w:tcW w:w="1559" w:type="dxa"/>
            <w:tcBorders>
              <w:top w:val="nil"/>
              <w:left w:val="single" w:sz="12" w:space="0" w:color="auto"/>
              <w:bottom w:val="single" w:sz="4" w:space="0" w:color="auto"/>
              <w:right w:val="single" w:sz="8" w:space="0" w:color="auto"/>
              <w:tl2br w:val="nil"/>
              <w:tr2bl w:val="nil"/>
            </w:tcBorders>
            <w:noWrap/>
            <w:textDirection w:val="lrTb"/>
            <w:vAlign w:val="center"/>
          </w:tcPr>
          <w:p w:rsidR="00816E24" w:rsidRPr="00D23807" w:rsidP="00C362EA">
            <w:pPr>
              <w:spacing w:line="240" w:lineRule="auto"/>
              <w:jc w:val="right"/>
              <w:rPr>
                <w:rFonts w:ascii="Arial" w:hAnsi="Arial" w:cs="Arial"/>
                <w:sz w:val="18"/>
                <w:szCs w:val="18"/>
              </w:rPr>
            </w:pPr>
            <w:r>
              <w:rPr>
                <w:rFonts w:ascii="Arial" w:hAnsi="Arial" w:cs="Arial"/>
                <w:sz w:val="18"/>
                <w:szCs w:val="18"/>
              </w:rPr>
              <w:t>0</w:t>
            </w:r>
          </w:p>
        </w:tc>
        <w:tc>
          <w:tcPr>
            <w:tcW w:w="1559" w:type="dxa"/>
            <w:tcBorders>
              <w:top w:val="nil"/>
              <w:left w:val="nil"/>
              <w:bottom w:val="single" w:sz="4" w:space="0" w:color="auto"/>
              <w:right w:val="nil"/>
              <w:tl2br w:val="nil"/>
              <w:tr2bl w:val="nil"/>
            </w:tcBorders>
            <w:noWrap/>
            <w:textDirection w:val="lrTb"/>
            <w:vAlign w:val="center"/>
          </w:tcPr>
          <w:p w:rsidR="00816E24" w:rsidRPr="00D23807" w:rsidP="00C362EA">
            <w:pPr>
              <w:spacing w:line="240" w:lineRule="auto"/>
              <w:jc w:val="right"/>
              <w:rPr>
                <w:rFonts w:ascii="Arial" w:hAnsi="Arial" w:cs="Arial"/>
                <w:sz w:val="18"/>
                <w:szCs w:val="18"/>
              </w:rPr>
            </w:pPr>
            <w:r>
              <w:rPr>
                <w:rFonts w:ascii="Arial" w:hAnsi="Arial" w:cs="Arial"/>
                <w:sz w:val="18"/>
                <w:szCs w:val="18"/>
              </w:rPr>
              <w:t>0</w:t>
            </w:r>
          </w:p>
        </w:tc>
        <w:tc>
          <w:tcPr>
            <w:tcW w:w="1560" w:type="dxa"/>
            <w:tcBorders>
              <w:top w:val="nil"/>
              <w:left w:val="single" w:sz="8" w:space="0" w:color="auto"/>
              <w:bottom w:val="single" w:sz="4" w:space="0" w:color="auto"/>
              <w:right w:val="single" w:sz="12" w:space="0" w:color="auto"/>
              <w:tl2br w:val="nil"/>
              <w:tr2bl w:val="nil"/>
            </w:tcBorders>
            <w:noWrap/>
            <w:textDirection w:val="lrTb"/>
            <w:vAlign w:val="center"/>
          </w:tcPr>
          <w:p w:rsidR="00816E24" w:rsidRPr="00D23807" w:rsidP="00C362EA">
            <w:pPr>
              <w:spacing w:line="240" w:lineRule="auto"/>
              <w:jc w:val="right"/>
              <w:rPr>
                <w:rFonts w:ascii="Arial" w:hAnsi="Arial" w:cs="Arial"/>
                <w:sz w:val="18"/>
                <w:szCs w:val="18"/>
              </w:rPr>
            </w:pPr>
            <w:r w:rsidR="00BC4FB1">
              <w:rPr>
                <w:rFonts w:ascii="Arial" w:hAnsi="Arial" w:cs="Arial"/>
                <w:sz w:val="18"/>
                <w:szCs w:val="18"/>
              </w:rPr>
              <w:t>1 473</w:t>
            </w:r>
          </w:p>
        </w:tc>
        <w:tc>
          <w:tcPr>
            <w:tcW w:w="1442" w:type="dxa"/>
            <w:tcBorders>
              <w:top w:val="nil"/>
              <w:left w:val="single" w:sz="12" w:space="0" w:color="auto"/>
              <w:bottom w:val="single" w:sz="4" w:space="0" w:color="auto"/>
              <w:right w:val="nil"/>
              <w:tl2br w:val="nil"/>
              <w:tr2bl w:val="nil"/>
            </w:tcBorders>
            <w:noWrap/>
            <w:textDirection w:val="lrTb"/>
            <w:vAlign w:val="center"/>
          </w:tcPr>
          <w:p w:rsidR="00816E24" w:rsidRPr="00D23807" w:rsidP="00C362EA">
            <w:pPr>
              <w:spacing w:line="240" w:lineRule="auto"/>
              <w:jc w:val="right"/>
              <w:rPr>
                <w:rFonts w:ascii="Arial" w:hAnsi="Arial" w:cs="Arial"/>
                <w:sz w:val="18"/>
                <w:szCs w:val="18"/>
              </w:rPr>
            </w:pPr>
            <w:r>
              <w:rPr>
                <w:rFonts w:ascii="Arial" w:hAnsi="Arial" w:cs="Arial"/>
                <w:sz w:val="18"/>
                <w:szCs w:val="18"/>
              </w:rPr>
              <w:t>0</w:t>
            </w:r>
          </w:p>
        </w:tc>
        <w:tc>
          <w:tcPr>
            <w:tcW w:w="1440" w:type="dxa"/>
            <w:tcBorders>
              <w:top w:val="nil"/>
              <w:left w:val="single" w:sz="8" w:space="0" w:color="auto"/>
              <w:bottom w:val="single" w:sz="4" w:space="0" w:color="auto"/>
              <w:right w:val="single" w:sz="12" w:space="0" w:color="auto"/>
              <w:tl2br w:val="nil"/>
              <w:tr2bl w:val="nil"/>
            </w:tcBorders>
            <w:noWrap/>
            <w:textDirection w:val="lrTb"/>
            <w:vAlign w:val="center"/>
          </w:tcPr>
          <w:p w:rsidR="00816E24" w:rsidRPr="00D23807" w:rsidP="00C362EA">
            <w:pPr>
              <w:spacing w:line="240" w:lineRule="auto"/>
              <w:jc w:val="right"/>
              <w:rPr>
                <w:rFonts w:ascii="Arial" w:hAnsi="Arial" w:cs="Arial"/>
                <w:sz w:val="18"/>
                <w:szCs w:val="18"/>
              </w:rPr>
            </w:pPr>
            <w:r>
              <w:rPr>
                <w:rFonts w:ascii="Arial" w:hAnsi="Arial" w:cs="Arial"/>
                <w:sz w:val="18"/>
                <w:szCs w:val="18"/>
              </w:rPr>
              <w:t>0</w:t>
            </w:r>
          </w:p>
        </w:tc>
      </w:tr>
      <w:tr>
        <w:tblPrEx>
          <w:tblW w:w="10467" w:type="dxa"/>
          <w:tblInd w:w="-497" w:type="dxa"/>
          <w:tblLayout w:type="fixed"/>
          <w:tblCellMar>
            <w:left w:w="70" w:type="dxa"/>
            <w:right w:w="70" w:type="dxa"/>
          </w:tblCellMar>
        </w:tblPrEx>
        <w:trPr>
          <w:trHeight w:val="300"/>
        </w:trPr>
        <w:tc>
          <w:tcPr>
            <w:tcW w:w="2907" w:type="dxa"/>
            <w:tcBorders>
              <w:top w:val="nil"/>
              <w:left w:val="single" w:sz="12" w:space="0" w:color="auto"/>
              <w:bottom w:val="single" w:sz="4" w:space="0" w:color="auto"/>
              <w:right w:val="single" w:sz="12" w:space="0" w:color="auto"/>
              <w:tl2br w:val="nil"/>
              <w:tr2bl w:val="nil"/>
            </w:tcBorders>
            <w:noWrap/>
            <w:textDirection w:val="lrTb"/>
            <w:vAlign w:val="center"/>
          </w:tcPr>
          <w:p w:rsidR="00816E24" w:rsidRPr="00D23807" w:rsidP="00C362EA">
            <w:pPr>
              <w:spacing w:line="240" w:lineRule="auto"/>
              <w:rPr>
                <w:rFonts w:ascii="Arial" w:hAnsi="Arial" w:cs="Arial"/>
                <w:sz w:val="18"/>
                <w:szCs w:val="18"/>
              </w:rPr>
            </w:pPr>
            <w:r>
              <w:rPr>
                <w:rFonts w:ascii="Arial" w:hAnsi="Arial" w:cs="Arial"/>
                <w:sz w:val="18"/>
                <w:szCs w:val="18"/>
              </w:rPr>
              <w:t>10</w:t>
            </w:r>
            <w:r w:rsidRPr="00D23807">
              <w:rPr>
                <w:rFonts w:ascii="Arial" w:hAnsi="Arial" w:cs="Arial"/>
                <w:sz w:val="18"/>
                <w:szCs w:val="18"/>
              </w:rPr>
              <w:t>.KÚ pre CD a</w:t>
            </w:r>
            <w:r>
              <w:rPr>
                <w:rFonts w:ascii="Arial" w:hAnsi="Arial" w:cs="Arial"/>
                <w:sz w:val="18"/>
                <w:szCs w:val="18"/>
              </w:rPr>
              <w:t> </w:t>
            </w:r>
            <w:r w:rsidRPr="00D23807">
              <w:rPr>
                <w:rFonts w:ascii="Arial" w:hAnsi="Arial" w:cs="Arial"/>
                <w:sz w:val="18"/>
                <w:szCs w:val="18"/>
              </w:rPr>
              <w:t>PK Trnava</w:t>
            </w:r>
          </w:p>
        </w:tc>
        <w:tc>
          <w:tcPr>
            <w:tcW w:w="1559" w:type="dxa"/>
            <w:tcBorders>
              <w:top w:val="nil"/>
              <w:left w:val="single" w:sz="12" w:space="0" w:color="auto"/>
              <w:bottom w:val="single" w:sz="4" w:space="0" w:color="auto"/>
              <w:right w:val="single" w:sz="8" w:space="0" w:color="auto"/>
              <w:tl2br w:val="nil"/>
              <w:tr2bl w:val="nil"/>
            </w:tcBorders>
            <w:noWrap/>
            <w:textDirection w:val="lrTb"/>
            <w:vAlign w:val="center"/>
          </w:tcPr>
          <w:p w:rsidR="00816E24" w:rsidRPr="00D23807" w:rsidP="00C362EA">
            <w:pPr>
              <w:spacing w:line="240" w:lineRule="auto"/>
              <w:jc w:val="right"/>
              <w:rPr>
                <w:rFonts w:ascii="Arial" w:hAnsi="Arial" w:cs="Arial"/>
                <w:sz w:val="18"/>
                <w:szCs w:val="18"/>
              </w:rPr>
            </w:pPr>
            <w:r>
              <w:rPr>
                <w:rFonts w:ascii="Arial" w:hAnsi="Arial" w:cs="Arial"/>
                <w:sz w:val="18"/>
                <w:szCs w:val="18"/>
              </w:rPr>
              <w:t>0</w:t>
            </w:r>
          </w:p>
        </w:tc>
        <w:tc>
          <w:tcPr>
            <w:tcW w:w="1559" w:type="dxa"/>
            <w:tcBorders>
              <w:top w:val="nil"/>
              <w:left w:val="nil"/>
              <w:bottom w:val="single" w:sz="4" w:space="0" w:color="auto"/>
              <w:right w:val="nil"/>
              <w:tl2br w:val="nil"/>
              <w:tr2bl w:val="nil"/>
            </w:tcBorders>
            <w:noWrap/>
            <w:textDirection w:val="lrTb"/>
            <w:vAlign w:val="center"/>
          </w:tcPr>
          <w:p w:rsidR="00816E24" w:rsidRPr="00D23807" w:rsidP="00C362EA">
            <w:pPr>
              <w:spacing w:line="240" w:lineRule="auto"/>
              <w:jc w:val="right"/>
              <w:rPr>
                <w:rFonts w:ascii="Arial" w:hAnsi="Arial" w:cs="Arial"/>
                <w:sz w:val="18"/>
                <w:szCs w:val="18"/>
              </w:rPr>
            </w:pPr>
            <w:r>
              <w:rPr>
                <w:rFonts w:ascii="Arial" w:hAnsi="Arial" w:cs="Arial"/>
                <w:sz w:val="18"/>
                <w:szCs w:val="18"/>
              </w:rPr>
              <w:t>0</w:t>
            </w:r>
          </w:p>
        </w:tc>
        <w:tc>
          <w:tcPr>
            <w:tcW w:w="1560" w:type="dxa"/>
            <w:tcBorders>
              <w:top w:val="nil"/>
              <w:left w:val="single" w:sz="8" w:space="0" w:color="auto"/>
              <w:bottom w:val="single" w:sz="4" w:space="0" w:color="auto"/>
              <w:right w:val="single" w:sz="12" w:space="0" w:color="auto"/>
              <w:tl2br w:val="nil"/>
              <w:tr2bl w:val="nil"/>
            </w:tcBorders>
            <w:noWrap/>
            <w:textDirection w:val="lrTb"/>
            <w:vAlign w:val="center"/>
          </w:tcPr>
          <w:p w:rsidR="00816E24" w:rsidRPr="00D23807" w:rsidP="00C362EA">
            <w:pPr>
              <w:spacing w:line="240" w:lineRule="auto"/>
              <w:jc w:val="right"/>
              <w:rPr>
                <w:rFonts w:ascii="Arial" w:hAnsi="Arial" w:cs="Arial"/>
                <w:sz w:val="18"/>
                <w:szCs w:val="18"/>
              </w:rPr>
            </w:pPr>
            <w:r w:rsidR="00BC4FB1">
              <w:rPr>
                <w:rFonts w:ascii="Arial" w:hAnsi="Arial" w:cs="Arial"/>
                <w:sz w:val="18"/>
                <w:szCs w:val="18"/>
              </w:rPr>
              <w:t>312</w:t>
            </w:r>
          </w:p>
        </w:tc>
        <w:tc>
          <w:tcPr>
            <w:tcW w:w="1442" w:type="dxa"/>
            <w:tcBorders>
              <w:top w:val="nil"/>
              <w:left w:val="single" w:sz="12" w:space="0" w:color="auto"/>
              <w:bottom w:val="single" w:sz="4" w:space="0" w:color="auto"/>
              <w:right w:val="nil"/>
              <w:tl2br w:val="nil"/>
              <w:tr2bl w:val="nil"/>
            </w:tcBorders>
            <w:noWrap/>
            <w:textDirection w:val="lrTb"/>
            <w:vAlign w:val="center"/>
          </w:tcPr>
          <w:p w:rsidR="00816E24" w:rsidRPr="00D23807" w:rsidP="00C362EA">
            <w:pPr>
              <w:spacing w:line="240" w:lineRule="auto"/>
              <w:jc w:val="right"/>
              <w:rPr>
                <w:rFonts w:ascii="Arial" w:hAnsi="Arial" w:cs="Arial"/>
                <w:sz w:val="18"/>
                <w:szCs w:val="18"/>
              </w:rPr>
            </w:pPr>
            <w:r>
              <w:rPr>
                <w:rFonts w:ascii="Arial" w:hAnsi="Arial" w:cs="Arial"/>
                <w:sz w:val="18"/>
                <w:szCs w:val="18"/>
              </w:rPr>
              <w:t>0</w:t>
            </w:r>
          </w:p>
        </w:tc>
        <w:tc>
          <w:tcPr>
            <w:tcW w:w="1440" w:type="dxa"/>
            <w:tcBorders>
              <w:top w:val="nil"/>
              <w:left w:val="single" w:sz="8" w:space="0" w:color="auto"/>
              <w:bottom w:val="single" w:sz="4" w:space="0" w:color="auto"/>
              <w:right w:val="single" w:sz="12" w:space="0" w:color="auto"/>
              <w:tl2br w:val="nil"/>
              <w:tr2bl w:val="nil"/>
            </w:tcBorders>
            <w:noWrap/>
            <w:textDirection w:val="lrTb"/>
            <w:vAlign w:val="center"/>
          </w:tcPr>
          <w:p w:rsidR="00816E24" w:rsidRPr="00D23807" w:rsidP="00C362EA">
            <w:pPr>
              <w:spacing w:line="240" w:lineRule="auto"/>
              <w:jc w:val="right"/>
              <w:rPr>
                <w:rFonts w:ascii="Arial" w:hAnsi="Arial" w:cs="Arial"/>
                <w:sz w:val="18"/>
                <w:szCs w:val="18"/>
              </w:rPr>
            </w:pPr>
            <w:r w:rsidR="00BC4FB1">
              <w:rPr>
                <w:rFonts w:ascii="Arial" w:hAnsi="Arial" w:cs="Arial"/>
                <w:sz w:val="18"/>
                <w:szCs w:val="18"/>
              </w:rPr>
              <w:t>0</w:t>
            </w:r>
          </w:p>
        </w:tc>
      </w:tr>
      <w:tr>
        <w:tblPrEx>
          <w:tblW w:w="10467" w:type="dxa"/>
          <w:tblInd w:w="-497" w:type="dxa"/>
          <w:tblLayout w:type="fixed"/>
          <w:tblCellMar>
            <w:left w:w="70" w:type="dxa"/>
            <w:right w:w="70" w:type="dxa"/>
          </w:tblCellMar>
        </w:tblPrEx>
        <w:trPr>
          <w:trHeight w:val="300"/>
        </w:trPr>
        <w:tc>
          <w:tcPr>
            <w:tcW w:w="2907" w:type="dxa"/>
            <w:tcBorders>
              <w:top w:val="nil"/>
              <w:left w:val="single" w:sz="12" w:space="0" w:color="auto"/>
              <w:bottom w:val="single" w:sz="4" w:space="0" w:color="auto"/>
              <w:right w:val="single" w:sz="12" w:space="0" w:color="auto"/>
              <w:tl2br w:val="nil"/>
              <w:tr2bl w:val="nil"/>
            </w:tcBorders>
            <w:noWrap/>
            <w:textDirection w:val="lrTb"/>
            <w:vAlign w:val="center"/>
          </w:tcPr>
          <w:p w:rsidR="00816E24" w:rsidRPr="00D23807" w:rsidP="00C362EA">
            <w:pPr>
              <w:spacing w:line="240" w:lineRule="auto"/>
              <w:rPr>
                <w:rFonts w:ascii="Arial" w:hAnsi="Arial" w:cs="Arial"/>
                <w:sz w:val="18"/>
                <w:szCs w:val="18"/>
              </w:rPr>
            </w:pPr>
            <w:r>
              <w:rPr>
                <w:rFonts w:ascii="Arial" w:hAnsi="Arial" w:cs="Arial"/>
                <w:sz w:val="18"/>
                <w:szCs w:val="18"/>
              </w:rPr>
              <w:t>11</w:t>
            </w:r>
            <w:r w:rsidRPr="00D23807">
              <w:rPr>
                <w:rFonts w:ascii="Arial" w:hAnsi="Arial" w:cs="Arial"/>
                <w:sz w:val="18"/>
                <w:szCs w:val="18"/>
              </w:rPr>
              <w:t>.KÚ pre CD a</w:t>
            </w:r>
            <w:r>
              <w:rPr>
                <w:rFonts w:ascii="Arial" w:hAnsi="Arial" w:cs="Arial"/>
                <w:sz w:val="18"/>
                <w:szCs w:val="18"/>
              </w:rPr>
              <w:t> </w:t>
            </w:r>
            <w:r w:rsidRPr="00D23807">
              <w:rPr>
                <w:rFonts w:ascii="Arial" w:hAnsi="Arial" w:cs="Arial"/>
                <w:sz w:val="18"/>
                <w:szCs w:val="18"/>
              </w:rPr>
              <w:t>PK Nitra</w:t>
            </w:r>
          </w:p>
        </w:tc>
        <w:tc>
          <w:tcPr>
            <w:tcW w:w="1559" w:type="dxa"/>
            <w:tcBorders>
              <w:top w:val="nil"/>
              <w:left w:val="single" w:sz="12" w:space="0" w:color="auto"/>
              <w:bottom w:val="single" w:sz="4" w:space="0" w:color="auto"/>
              <w:right w:val="single" w:sz="8" w:space="0" w:color="auto"/>
              <w:tl2br w:val="nil"/>
              <w:tr2bl w:val="nil"/>
            </w:tcBorders>
            <w:noWrap/>
            <w:textDirection w:val="lrTb"/>
            <w:vAlign w:val="center"/>
          </w:tcPr>
          <w:p w:rsidR="00816E24" w:rsidRPr="00D23807" w:rsidP="00C362EA">
            <w:pPr>
              <w:spacing w:line="240" w:lineRule="auto"/>
              <w:jc w:val="right"/>
              <w:rPr>
                <w:rFonts w:ascii="Arial" w:hAnsi="Arial" w:cs="Arial"/>
                <w:sz w:val="18"/>
                <w:szCs w:val="18"/>
              </w:rPr>
            </w:pPr>
            <w:r>
              <w:rPr>
                <w:rFonts w:ascii="Arial" w:hAnsi="Arial" w:cs="Arial"/>
                <w:sz w:val="18"/>
                <w:szCs w:val="18"/>
              </w:rPr>
              <w:t>0</w:t>
            </w:r>
          </w:p>
        </w:tc>
        <w:tc>
          <w:tcPr>
            <w:tcW w:w="1559" w:type="dxa"/>
            <w:tcBorders>
              <w:top w:val="nil"/>
              <w:left w:val="nil"/>
              <w:bottom w:val="single" w:sz="4" w:space="0" w:color="auto"/>
              <w:right w:val="nil"/>
              <w:tl2br w:val="nil"/>
              <w:tr2bl w:val="nil"/>
            </w:tcBorders>
            <w:noWrap/>
            <w:textDirection w:val="lrTb"/>
            <w:vAlign w:val="center"/>
          </w:tcPr>
          <w:p w:rsidR="00816E24" w:rsidRPr="00D23807" w:rsidP="00C362EA">
            <w:pPr>
              <w:spacing w:line="240" w:lineRule="auto"/>
              <w:jc w:val="right"/>
              <w:rPr>
                <w:rFonts w:ascii="Arial" w:hAnsi="Arial" w:cs="Arial"/>
                <w:sz w:val="18"/>
                <w:szCs w:val="18"/>
              </w:rPr>
            </w:pPr>
            <w:r>
              <w:rPr>
                <w:rFonts w:ascii="Arial" w:hAnsi="Arial" w:cs="Arial"/>
                <w:sz w:val="18"/>
                <w:szCs w:val="18"/>
              </w:rPr>
              <w:t>0</w:t>
            </w:r>
          </w:p>
        </w:tc>
        <w:tc>
          <w:tcPr>
            <w:tcW w:w="1560" w:type="dxa"/>
            <w:tcBorders>
              <w:top w:val="nil"/>
              <w:left w:val="single" w:sz="8" w:space="0" w:color="auto"/>
              <w:bottom w:val="single" w:sz="4" w:space="0" w:color="auto"/>
              <w:right w:val="single" w:sz="12" w:space="0" w:color="auto"/>
              <w:tl2br w:val="nil"/>
              <w:tr2bl w:val="nil"/>
            </w:tcBorders>
            <w:noWrap/>
            <w:textDirection w:val="lrTb"/>
            <w:vAlign w:val="center"/>
          </w:tcPr>
          <w:p w:rsidR="00816E24" w:rsidRPr="00D23807" w:rsidP="00C362EA">
            <w:pPr>
              <w:spacing w:line="240" w:lineRule="auto"/>
              <w:jc w:val="right"/>
              <w:rPr>
                <w:rFonts w:ascii="Arial" w:hAnsi="Arial" w:cs="Arial"/>
                <w:sz w:val="18"/>
                <w:szCs w:val="18"/>
              </w:rPr>
            </w:pPr>
            <w:r w:rsidR="00BC4FB1">
              <w:rPr>
                <w:rFonts w:ascii="Arial" w:hAnsi="Arial" w:cs="Arial"/>
                <w:sz w:val="18"/>
                <w:szCs w:val="18"/>
              </w:rPr>
              <w:t>209</w:t>
            </w:r>
          </w:p>
        </w:tc>
        <w:tc>
          <w:tcPr>
            <w:tcW w:w="1442" w:type="dxa"/>
            <w:tcBorders>
              <w:top w:val="nil"/>
              <w:left w:val="single" w:sz="12" w:space="0" w:color="auto"/>
              <w:bottom w:val="single" w:sz="4" w:space="0" w:color="auto"/>
              <w:right w:val="nil"/>
              <w:tl2br w:val="nil"/>
              <w:tr2bl w:val="nil"/>
            </w:tcBorders>
            <w:noWrap/>
            <w:textDirection w:val="lrTb"/>
            <w:vAlign w:val="center"/>
          </w:tcPr>
          <w:p w:rsidR="00816E24" w:rsidRPr="00D23807" w:rsidP="00C362EA">
            <w:pPr>
              <w:spacing w:line="240" w:lineRule="auto"/>
              <w:jc w:val="right"/>
              <w:rPr>
                <w:rFonts w:ascii="Arial" w:hAnsi="Arial" w:cs="Arial"/>
                <w:sz w:val="18"/>
                <w:szCs w:val="18"/>
              </w:rPr>
            </w:pPr>
            <w:r w:rsidR="00BC4FB1">
              <w:rPr>
                <w:rFonts w:ascii="Arial" w:hAnsi="Arial" w:cs="Arial"/>
                <w:sz w:val="18"/>
                <w:szCs w:val="18"/>
              </w:rPr>
              <w:t>0</w:t>
            </w:r>
          </w:p>
        </w:tc>
        <w:tc>
          <w:tcPr>
            <w:tcW w:w="1440" w:type="dxa"/>
            <w:tcBorders>
              <w:top w:val="nil"/>
              <w:left w:val="single" w:sz="8" w:space="0" w:color="auto"/>
              <w:bottom w:val="single" w:sz="4" w:space="0" w:color="auto"/>
              <w:right w:val="single" w:sz="12" w:space="0" w:color="auto"/>
              <w:tl2br w:val="nil"/>
              <w:tr2bl w:val="nil"/>
            </w:tcBorders>
            <w:noWrap/>
            <w:textDirection w:val="lrTb"/>
            <w:vAlign w:val="center"/>
          </w:tcPr>
          <w:p w:rsidR="00816E24" w:rsidRPr="00D23807" w:rsidP="00C362EA">
            <w:pPr>
              <w:spacing w:line="240" w:lineRule="auto"/>
              <w:jc w:val="right"/>
              <w:rPr>
                <w:rFonts w:ascii="Arial" w:hAnsi="Arial" w:cs="Arial"/>
                <w:sz w:val="18"/>
                <w:szCs w:val="18"/>
              </w:rPr>
            </w:pPr>
            <w:r w:rsidR="00BC4FB1">
              <w:rPr>
                <w:rFonts w:ascii="Arial" w:hAnsi="Arial" w:cs="Arial"/>
                <w:sz w:val="18"/>
                <w:szCs w:val="18"/>
              </w:rPr>
              <w:t>0</w:t>
            </w:r>
          </w:p>
        </w:tc>
      </w:tr>
      <w:tr>
        <w:tblPrEx>
          <w:tblW w:w="10467" w:type="dxa"/>
          <w:tblInd w:w="-497" w:type="dxa"/>
          <w:tblLayout w:type="fixed"/>
          <w:tblCellMar>
            <w:left w:w="70" w:type="dxa"/>
            <w:right w:w="70" w:type="dxa"/>
          </w:tblCellMar>
        </w:tblPrEx>
        <w:trPr>
          <w:trHeight w:val="300"/>
        </w:trPr>
        <w:tc>
          <w:tcPr>
            <w:tcW w:w="2907" w:type="dxa"/>
            <w:tcBorders>
              <w:top w:val="nil"/>
              <w:left w:val="single" w:sz="12" w:space="0" w:color="auto"/>
              <w:bottom w:val="single" w:sz="4" w:space="0" w:color="auto"/>
              <w:right w:val="single" w:sz="12" w:space="0" w:color="auto"/>
              <w:tl2br w:val="nil"/>
              <w:tr2bl w:val="nil"/>
            </w:tcBorders>
            <w:noWrap/>
            <w:textDirection w:val="lrTb"/>
            <w:vAlign w:val="center"/>
          </w:tcPr>
          <w:p w:rsidR="00816E24" w:rsidRPr="00D23807" w:rsidP="00C362EA">
            <w:pPr>
              <w:spacing w:line="240" w:lineRule="auto"/>
              <w:rPr>
                <w:rFonts w:ascii="Arial" w:hAnsi="Arial" w:cs="Arial"/>
                <w:sz w:val="18"/>
                <w:szCs w:val="18"/>
              </w:rPr>
            </w:pPr>
            <w:r>
              <w:rPr>
                <w:rFonts w:ascii="Arial" w:hAnsi="Arial" w:cs="Arial"/>
                <w:sz w:val="18"/>
                <w:szCs w:val="18"/>
              </w:rPr>
              <w:t>12</w:t>
            </w:r>
            <w:r w:rsidRPr="00D23807">
              <w:rPr>
                <w:rFonts w:ascii="Arial" w:hAnsi="Arial" w:cs="Arial"/>
                <w:sz w:val="18"/>
                <w:szCs w:val="18"/>
              </w:rPr>
              <w:t>.KÚ pre CD a</w:t>
            </w:r>
            <w:r>
              <w:rPr>
                <w:rFonts w:ascii="Arial" w:hAnsi="Arial" w:cs="Arial"/>
                <w:sz w:val="18"/>
                <w:szCs w:val="18"/>
              </w:rPr>
              <w:t> </w:t>
            </w:r>
            <w:r w:rsidRPr="00D23807">
              <w:rPr>
                <w:rFonts w:ascii="Arial" w:hAnsi="Arial" w:cs="Arial"/>
                <w:sz w:val="18"/>
                <w:szCs w:val="18"/>
              </w:rPr>
              <w:t>PK Trenčín</w:t>
            </w:r>
          </w:p>
        </w:tc>
        <w:tc>
          <w:tcPr>
            <w:tcW w:w="1559" w:type="dxa"/>
            <w:tcBorders>
              <w:top w:val="nil"/>
              <w:left w:val="single" w:sz="12" w:space="0" w:color="auto"/>
              <w:bottom w:val="single" w:sz="4" w:space="0" w:color="auto"/>
              <w:right w:val="single" w:sz="8" w:space="0" w:color="auto"/>
              <w:tl2br w:val="nil"/>
              <w:tr2bl w:val="nil"/>
            </w:tcBorders>
            <w:noWrap/>
            <w:textDirection w:val="lrTb"/>
            <w:vAlign w:val="center"/>
          </w:tcPr>
          <w:p w:rsidR="00816E24" w:rsidRPr="00D23807" w:rsidP="00C362EA">
            <w:pPr>
              <w:spacing w:line="240" w:lineRule="auto"/>
              <w:jc w:val="right"/>
              <w:rPr>
                <w:rFonts w:ascii="Arial" w:hAnsi="Arial" w:cs="Arial"/>
                <w:sz w:val="18"/>
                <w:szCs w:val="18"/>
              </w:rPr>
            </w:pPr>
            <w:r>
              <w:rPr>
                <w:rFonts w:ascii="Arial" w:hAnsi="Arial" w:cs="Arial"/>
                <w:sz w:val="18"/>
                <w:szCs w:val="18"/>
              </w:rPr>
              <w:t>0</w:t>
            </w:r>
          </w:p>
        </w:tc>
        <w:tc>
          <w:tcPr>
            <w:tcW w:w="1559" w:type="dxa"/>
            <w:tcBorders>
              <w:top w:val="nil"/>
              <w:left w:val="nil"/>
              <w:bottom w:val="single" w:sz="4" w:space="0" w:color="auto"/>
              <w:right w:val="nil"/>
              <w:tl2br w:val="nil"/>
              <w:tr2bl w:val="nil"/>
            </w:tcBorders>
            <w:noWrap/>
            <w:textDirection w:val="lrTb"/>
            <w:vAlign w:val="center"/>
          </w:tcPr>
          <w:p w:rsidR="00816E24" w:rsidRPr="00D23807" w:rsidP="00C362EA">
            <w:pPr>
              <w:spacing w:line="240" w:lineRule="auto"/>
              <w:jc w:val="right"/>
              <w:rPr>
                <w:rFonts w:ascii="Arial" w:hAnsi="Arial" w:cs="Arial"/>
                <w:sz w:val="18"/>
                <w:szCs w:val="18"/>
              </w:rPr>
            </w:pPr>
            <w:r>
              <w:rPr>
                <w:rFonts w:ascii="Arial" w:hAnsi="Arial" w:cs="Arial"/>
                <w:sz w:val="18"/>
                <w:szCs w:val="18"/>
              </w:rPr>
              <w:t>0</w:t>
            </w:r>
          </w:p>
        </w:tc>
        <w:tc>
          <w:tcPr>
            <w:tcW w:w="1560" w:type="dxa"/>
            <w:tcBorders>
              <w:top w:val="nil"/>
              <w:left w:val="single" w:sz="8" w:space="0" w:color="auto"/>
              <w:bottom w:val="single" w:sz="4" w:space="0" w:color="auto"/>
              <w:right w:val="single" w:sz="12" w:space="0" w:color="auto"/>
              <w:tl2br w:val="nil"/>
              <w:tr2bl w:val="nil"/>
            </w:tcBorders>
            <w:noWrap/>
            <w:textDirection w:val="lrTb"/>
            <w:vAlign w:val="center"/>
          </w:tcPr>
          <w:p w:rsidR="00816E24" w:rsidRPr="00D23807" w:rsidP="00C362EA">
            <w:pPr>
              <w:spacing w:line="240" w:lineRule="auto"/>
              <w:jc w:val="right"/>
              <w:rPr>
                <w:rFonts w:ascii="Arial" w:hAnsi="Arial" w:cs="Arial"/>
                <w:sz w:val="18"/>
                <w:szCs w:val="18"/>
              </w:rPr>
            </w:pPr>
            <w:r w:rsidR="00BC4FB1">
              <w:rPr>
                <w:rFonts w:ascii="Arial" w:hAnsi="Arial" w:cs="Arial"/>
                <w:sz w:val="18"/>
                <w:szCs w:val="18"/>
              </w:rPr>
              <w:t>260</w:t>
            </w:r>
          </w:p>
        </w:tc>
        <w:tc>
          <w:tcPr>
            <w:tcW w:w="1442" w:type="dxa"/>
            <w:tcBorders>
              <w:top w:val="nil"/>
              <w:left w:val="single" w:sz="12" w:space="0" w:color="auto"/>
              <w:bottom w:val="single" w:sz="4" w:space="0" w:color="auto"/>
              <w:right w:val="nil"/>
              <w:tl2br w:val="nil"/>
              <w:tr2bl w:val="nil"/>
            </w:tcBorders>
            <w:noWrap/>
            <w:textDirection w:val="lrTb"/>
            <w:vAlign w:val="center"/>
          </w:tcPr>
          <w:p w:rsidR="00816E24" w:rsidRPr="00D23807" w:rsidP="00C362EA">
            <w:pPr>
              <w:spacing w:line="240" w:lineRule="auto"/>
              <w:jc w:val="right"/>
              <w:rPr>
                <w:rFonts w:ascii="Arial" w:hAnsi="Arial" w:cs="Arial"/>
                <w:sz w:val="18"/>
                <w:szCs w:val="18"/>
              </w:rPr>
            </w:pPr>
            <w:r w:rsidR="00BC4FB1">
              <w:rPr>
                <w:rFonts w:ascii="Arial" w:hAnsi="Arial" w:cs="Arial"/>
                <w:sz w:val="18"/>
                <w:szCs w:val="18"/>
              </w:rPr>
              <w:t>0</w:t>
            </w:r>
          </w:p>
        </w:tc>
        <w:tc>
          <w:tcPr>
            <w:tcW w:w="1440" w:type="dxa"/>
            <w:tcBorders>
              <w:top w:val="nil"/>
              <w:left w:val="single" w:sz="8" w:space="0" w:color="auto"/>
              <w:bottom w:val="single" w:sz="4" w:space="0" w:color="auto"/>
              <w:right w:val="single" w:sz="12" w:space="0" w:color="auto"/>
              <w:tl2br w:val="nil"/>
              <w:tr2bl w:val="nil"/>
            </w:tcBorders>
            <w:noWrap/>
            <w:textDirection w:val="lrTb"/>
            <w:vAlign w:val="center"/>
          </w:tcPr>
          <w:p w:rsidR="00816E24" w:rsidRPr="00D23807" w:rsidP="00C362EA">
            <w:pPr>
              <w:spacing w:line="240" w:lineRule="auto"/>
              <w:jc w:val="right"/>
              <w:rPr>
                <w:rFonts w:ascii="Arial" w:hAnsi="Arial" w:cs="Arial"/>
                <w:sz w:val="18"/>
                <w:szCs w:val="18"/>
              </w:rPr>
            </w:pPr>
            <w:r w:rsidR="00BC4FB1">
              <w:rPr>
                <w:rFonts w:ascii="Arial" w:hAnsi="Arial" w:cs="Arial"/>
                <w:sz w:val="18"/>
                <w:szCs w:val="18"/>
              </w:rPr>
              <w:t>0</w:t>
            </w:r>
          </w:p>
        </w:tc>
      </w:tr>
      <w:tr>
        <w:tblPrEx>
          <w:tblW w:w="10467" w:type="dxa"/>
          <w:tblInd w:w="-497" w:type="dxa"/>
          <w:tblLayout w:type="fixed"/>
          <w:tblCellMar>
            <w:left w:w="70" w:type="dxa"/>
            <w:right w:w="70" w:type="dxa"/>
          </w:tblCellMar>
        </w:tblPrEx>
        <w:trPr>
          <w:trHeight w:val="300"/>
        </w:trPr>
        <w:tc>
          <w:tcPr>
            <w:tcW w:w="2907" w:type="dxa"/>
            <w:tcBorders>
              <w:top w:val="nil"/>
              <w:left w:val="single" w:sz="12" w:space="0" w:color="auto"/>
              <w:bottom w:val="single" w:sz="4" w:space="0" w:color="auto"/>
              <w:right w:val="single" w:sz="12" w:space="0" w:color="auto"/>
              <w:tl2br w:val="nil"/>
              <w:tr2bl w:val="nil"/>
            </w:tcBorders>
            <w:noWrap/>
            <w:textDirection w:val="lrTb"/>
            <w:vAlign w:val="center"/>
          </w:tcPr>
          <w:p w:rsidR="00816E24" w:rsidRPr="00D23807" w:rsidP="00C362EA">
            <w:pPr>
              <w:spacing w:line="240" w:lineRule="auto"/>
              <w:rPr>
                <w:rFonts w:ascii="Arial" w:hAnsi="Arial" w:cs="Arial"/>
                <w:sz w:val="18"/>
                <w:szCs w:val="18"/>
              </w:rPr>
            </w:pPr>
            <w:r>
              <w:rPr>
                <w:rFonts w:ascii="Arial" w:hAnsi="Arial" w:cs="Arial"/>
                <w:sz w:val="18"/>
                <w:szCs w:val="18"/>
              </w:rPr>
              <w:t>13</w:t>
            </w:r>
            <w:r w:rsidRPr="00D23807">
              <w:rPr>
                <w:rFonts w:ascii="Arial" w:hAnsi="Arial" w:cs="Arial"/>
                <w:sz w:val="18"/>
                <w:szCs w:val="18"/>
              </w:rPr>
              <w:t>.KÚ pre CD a</w:t>
            </w:r>
            <w:r>
              <w:rPr>
                <w:rFonts w:ascii="Arial" w:hAnsi="Arial" w:cs="Arial"/>
                <w:sz w:val="18"/>
                <w:szCs w:val="18"/>
              </w:rPr>
              <w:t> </w:t>
            </w:r>
            <w:r w:rsidRPr="00D23807">
              <w:rPr>
                <w:rFonts w:ascii="Arial" w:hAnsi="Arial" w:cs="Arial"/>
                <w:sz w:val="18"/>
                <w:szCs w:val="18"/>
              </w:rPr>
              <w:t>PK B.</w:t>
            </w:r>
            <w:r>
              <w:rPr>
                <w:rFonts w:ascii="Arial" w:hAnsi="Arial" w:cs="Arial"/>
                <w:sz w:val="18"/>
                <w:szCs w:val="18"/>
              </w:rPr>
              <w:t xml:space="preserve"> </w:t>
            </w:r>
            <w:r w:rsidRPr="00D23807">
              <w:rPr>
                <w:rFonts w:ascii="Arial" w:hAnsi="Arial" w:cs="Arial"/>
                <w:sz w:val="18"/>
                <w:szCs w:val="18"/>
              </w:rPr>
              <w:t>Bystrica</w:t>
            </w:r>
          </w:p>
        </w:tc>
        <w:tc>
          <w:tcPr>
            <w:tcW w:w="1559" w:type="dxa"/>
            <w:tcBorders>
              <w:top w:val="nil"/>
              <w:left w:val="single" w:sz="12" w:space="0" w:color="auto"/>
              <w:bottom w:val="single" w:sz="4" w:space="0" w:color="auto"/>
              <w:right w:val="single" w:sz="8" w:space="0" w:color="auto"/>
              <w:tl2br w:val="nil"/>
              <w:tr2bl w:val="nil"/>
            </w:tcBorders>
            <w:noWrap/>
            <w:textDirection w:val="lrTb"/>
            <w:vAlign w:val="center"/>
          </w:tcPr>
          <w:p w:rsidR="00816E24" w:rsidRPr="00D23807" w:rsidP="00C362EA">
            <w:pPr>
              <w:spacing w:line="240" w:lineRule="auto"/>
              <w:jc w:val="right"/>
              <w:rPr>
                <w:rFonts w:ascii="Arial" w:hAnsi="Arial" w:cs="Arial"/>
                <w:sz w:val="18"/>
                <w:szCs w:val="18"/>
              </w:rPr>
            </w:pPr>
            <w:r>
              <w:rPr>
                <w:rFonts w:ascii="Arial" w:hAnsi="Arial" w:cs="Arial"/>
                <w:sz w:val="18"/>
                <w:szCs w:val="18"/>
              </w:rPr>
              <w:t>0</w:t>
            </w:r>
          </w:p>
        </w:tc>
        <w:tc>
          <w:tcPr>
            <w:tcW w:w="1559" w:type="dxa"/>
            <w:tcBorders>
              <w:top w:val="nil"/>
              <w:left w:val="nil"/>
              <w:bottom w:val="single" w:sz="4" w:space="0" w:color="auto"/>
              <w:right w:val="nil"/>
              <w:tl2br w:val="nil"/>
              <w:tr2bl w:val="nil"/>
            </w:tcBorders>
            <w:noWrap/>
            <w:textDirection w:val="lrTb"/>
            <w:vAlign w:val="center"/>
          </w:tcPr>
          <w:p w:rsidR="00816E24" w:rsidRPr="00D23807" w:rsidP="00C362EA">
            <w:pPr>
              <w:spacing w:line="240" w:lineRule="auto"/>
              <w:jc w:val="right"/>
              <w:rPr>
                <w:rFonts w:ascii="Arial" w:hAnsi="Arial" w:cs="Arial"/>
                <w:sz w:val="18"/>
                <w:szCs w:val="18"/>
              </w:rPr>
            </w:pPr>
            <w:r>
              <w:rPr>
                <w:rFonts w:ascii="Arial" w:hAnsi="Arial" w:cs="Arial"/>
                <w:sz w:val="18"/>
                <w:szCs w:val="18"/>
              </w:rPr>
              <w:t>0</w:t>
            </w:r>
          </w:p>
        </w:tc>
        <w:tc>
          <w:tcPr>
            <w:tcW w:w="1560" w:type="dxa"/>
            <w:tcBorders>
              <w:top w:val="nil"/>
              <w:left w:val="single" w:sz="8" w:space="0" w:color="auto"/>
              <w:bottom w:val="single" w:sz="4" w:space="0" w:color="auto"/>
              <w:right w:val="single" w:sz="12" w:space="0" w:color="auto"/>
              <w:tl2br w:val="nil"/>
              <w:tr2bl w:val="nil"/>
            </w:tcBorders>
            <w:noWrap/>
            <w:textDirection w:val="lrTb"/>
            <w:vAlign w:val="center"/>
          </w:tcPr>
          <w:p w:rsidR="00816E24" w:rsidRPr="00D23807" w:rsidP="00C362EA">
            <w:pPr>
              <w:spacing w:line="240" w:lineRule="auto"/>
              <w:jc w:val="right"/>
              <w:rPr>
                <w:rFonts w:ascii="Arial" w:hAnsi="Arial" w:cs="Arial"/>
                <w:sz w:val="18"/>
                <w:szCs w:val="18"/>
              </w:rPr>
            </w:pPr>
            <w:r w:rsidR="00BC4FB1">
              <w:rPr>
                <w:rFonts w:ascii="Arial" w:hAnsi="Arial" w:cs="Arial"/>
                <w:sz w:val="18"/>
                <w:szCs w:val="18"/>
              </w:rPr>
              <w:t>476</w:t>
            </w:r>
          </w:p>
        </w:tc>
        <w:tc>
          <w:tcPr>
            <w:tcW w:w="1442" w:type="dxa"/>
            <w:tcBorders>
              <w:top w:val="nil"/>
              <w:left w:val="single" w:sz="12" w:space="0" w:color="auto"/>
              <w:bottom w:val="single" w:sz="4" w:space="0" w:color="auto"/>
              <w:right w:val="nil"/>
              <w:tl2br w:val="nil"/>
              <w:tr2bl w:val="nil"/>
            </w:tcBorders>
            <w:noWrap/>
            <w:textDirection w:val="lrTb"/>
            <w:vAlign w:val="center"/>
          </w:tcPr>
          <w:p w:rsidR="00816E24" w:rsidRPr="00D23807" w:rsidP="00C362EA">
            <w:pPr>
              <w:spacing w:line="240" w:lineRule="auto"/>
              <w:jc w:val="right"/>
              <w:rPr>
                <w:rFonts w:ascii="Arial" w:hAnsi="Arial" w:cs="Arial"/>
                <w:sz w:val="18"/>
                <w:szCs w:val="18"/>
              </w:rPr>
            </w:pPr>
            <w:r>
              <w:rPr>
                <w:rFonts w:ascii="Arial" w:hAnsi="Arial" w:cs="Arial"/>
                <w:sz w:val="18"/>
                <w:szCs w:val="18"/>
              </w:rPr>
              <w:t>0</w:t>
            </w:r>
          </w:p>
        </w:tc>
        <w:tc>
          <w:tcPr>
            <w:tcW w:w="1440" w:type="dxa"/>
            <w:tcBorders>
              <w:top w:val="nil"/>
              <w:left w:val="single" w:sz="8" w:space="0" w:color="auto"/>
              <w:bottom w:val="single" w:sz="4" w:space="0" w:color="auto"/>
              <w:right w:val="single" w:sz="12" w:space="0" w:color="auto"/>
              <w:tl2br w:val="nil"/>
              <w:tr2bl w:val="nil"/>
            </w:tcBorders>
            <w:noWrap/>
            <w:textDirection w:val="lrTb"/>
            <w:vAlign w:val="center"/>
          </w:tcPr>
          <w:p w:rsidR="00816E24" w:rsidRPr="00D23807" w:rsidP="00C362EA">
            <w:pPr>
              <w:spacing w:line="240" w:lineRule="auto"/>
              <w:jc w:val="right"/>
              <w:rPr>
                <w:rFonts w:ascii="Arial" w:hAnsi="Arial" w:cs="Arial"/>
                <w:sz w:val="18"/>
                <w:szCs w:val="18"/>
              </w:rPr>
            </w:pPr>
            <w:r w:rsidR="00BC4FB1">
              <w:rPr>
                <w:rFonts w:ascii="Arial" w:hAnsi="Arial" w:cs="Arial"/>
                <w:sz w:val="18"/>
                <w:szCs w:val="18"/>
              </w:rPr>
              <w:t>0</w:t>
            </w:r>
          </w:p>
        </w:tc>
      </w:tr>
      <w:tr>
        <w:tblPrEx>
          <w:tblW w:w="10467" w:type="dxa"/>
          <w:tblInd w:w="-497" w:type="dxa"/>
          <w:tblLayout w:type="fixed"/>
          <w:tblCellMar>
            <w:left w:w="70" w:type="dxa"/>
            <w:right w:w="70" w:type="dxa"/>
          </w:tblCellMar>
        </w:tblPrEx>
        <w:trPr>
          <w:trHeight w:val="300"/>
        </w:trPr>
        <w:tc>
          <w:tcPr>
            <w:tcW w:w="2907" w:type="dxa"/>
            <w:tcBorders>
              <w:top w:val="nil"/>
              <w:left w:val="single" w:sz="12" w:space="0" w:color="auto"/>
              <w:bottom w:val="single" w:sz="4" w:space="0" w:color="auto"/>
              <w:right w:val="single" w:sz="12" w:space="0" w:color="auto"/>
              <w:tl2br w:val="nil"/>
              <w:tr2bl w:val="nil"/>
            </w:tcBorders>
            <w:noWrap/>
            <w:textDirection w:val="lrTb"/>
            <w:vAlign w:val="center"/>
          </w:tcPr>
          <w:p w:rsidR="00816E24" w:rsidRPr="00D23807" w:rsidP="00C362EA">
            <w:pPr>
              <w:spacing w:line="240" w:lineRule="auto"/>
              <w:rPr>
                <w:rFonts w:ascii="Arial" w:hAnsi="Arial" w:cs="Arial"/>
                <w:sz w:val="18"/>
                <w:szCs w:val="18"/>
              </w:rPr>
            </w:pPr>
            <w:r>
              <w:rPr>
                <w:rFonts w:ascii="Arial" w:hAnsi="Arial" w:cs="Arial"/>
                <w:sz w:val="18"/>
                <w:szCs w:val="18"/>
              </w:rPr>
              <w:t>14</w:t>
            </w:r>
            <w:r w:rsidRPr="00D23807">
              <w:rPr>
                <w:rFonts w:ascii="Arial" w:hAnsi="Arial" w:cs="Arial"/>
                <w:sz w:val="18"/>
                <w:szCs w:val="18"/>
              </w:rPr>
              <w:t>.KÚ pre CD a</w:t>
            </w:r>
            <w:r>
              <w:rPr>
                <w:rFonts w:ascii="Arial" w:hAnsi="Arial" w:cs="Arial"/>
                <w:sz w:val="18"/>
                <w:szCs w:val="18"/>
              </w:rPr>
              <w:t> </w:t>
            </w:r>
            <w:r w:rsidRPr="00D23807">
              <w:rPr>
                <w:rFonts w:ascii="Arial" w:hAnsi="Arial" w:cs="Arial"/>
                <w:sz w:val="18"/>
                <w:szCs w:val="18"/>
              </w:rPr>
              <w:t xml:space="preserve">PK Žilina </w:t>
            </w:r>
          </w:p>
        </w:tc>
        <w:tc>
          <w:tcPr>
            <w:tcW w:w="1559" w:type="dxa"/>
            <w:tcBorders>
              <w:top w:val="nil"/>
              <w:left w:val="single" w:sz="12" w:space="0" w:color="auto"/>
              <w:bottom w:val="single" w:sz="4" w:space="0" w:color="auto"/>
              <w:right w:val="single" w:sz="8" w:space="0" w:color="auto"/>
              <w:tl2br w:val="nil"/>
              <w:tr2bl w:val="nil"/>
            </w:tcBorders>
            <w:noWrap/>
            <w:textDirection w:val="lrTb"/>
            <w:vAlign w:val="center"/>
          </w:tcPr>
          <w:p w:rsidR="00816E24" w:rsidRPr="00D23807" w:rsidP="00C362EA">
            <w:pPr>
              <w:spacing w:line="240" w:lineRule="auto"/>
              <w:jc w:val="right"/>
              <w:rPr>
                <w:rFonts w:ascii="Arial" w:hAnsi="Arial" w:cs="Arial"/>
                <w:sz w:val="18"/>
                <w:szCs w:val="18"/>
              </w:rPr>
            </w:pPr>
            <w:r>
              <w:rPr>
                <w:rFonts w:ascii="Arial" w:hAnsi="Arial" w:cs="Arial"/>
                <w:sz w:val="18"/>
                <w:szCs w:val="18"/>
              </w:rPr>
              <w:t>0</w:t>
            </w:r>
          </w:p>
        </w:tc>
        <w:tc>
          <w:tcPr>
            <w:tcW w:w="1559" w:type="dxa"/>
            <w:tcBorders>
              <w:top w:val="nil"/>
              <w:left w:val="nil"/>
              <w:bottom w:val="single" w:sz="4" w:space="0" w:color="auto"/>
              <w:right w:val="nil"/>
              <w:tl2br w:val="nil"/>
              <w:tr2bl w:val="nil"/>
            </w:tcBorders>
            <w:noWrap/>
            <w:textDirection w:val="lrTb"/>
            <w:vAlign w:val="center"/>
          </w:tcPr>
          <w:p w:rsidR="00816E24" w:rsidRPr="00D23807" w:rsidP="00C362EA">
            <w:pPr>
              <w:spacing w:line="240" w:lineRule="auto"/>
              <w:jc w:val="right"/>
              <w:rPr>
                <w:rFonts w:ascii="Arial" w:hAnsi="Arial" w:cs="Arial"/>
                <w:sz w:val="18"/>
                <w:szCs w:val="18"/>
              </w:rPr>
            </w:pPr>
            <w:r>
              <w:rPr>
                <w:rFonts w:ascii="Arial" w:hAnsi="Arial" w:cs="Arial"/>
                <w:sz w:val="18"/>
                <w:szCs w:val="18"/>
              </w:rPr>
              <w:t>0</w:t>
            </w:r>
          </w:p>
        </w:tc>
        <w:tc>
          <w:tcPr>
            <w:tcW w:w="1560" w:type="dxa"/>
            <w:tcBorders>
              <w:top w:val="nil"/>
              <w:left w:val="single" w:sz="8" w:space="0" w:color="auto"/>
              <w:bottom w:val="single" w:sz="4" w:space="0" w:color="auto"/>
              <w:right w:val="single" w:sz="12" w:space="0" w:color="auto"/>
              <w:tl2br w:val="nil"/>
              <w:tr2bl w:val="nil"/>
            </w:tcBorders>
            <w:noWrap/>
            <w:textDirection w:val="lrTb"/>
            <w:vAlign w:val="center"/>
          </w:tcPr>
          <w:p w:rsidR="00816E24" w:rsidRPr="00D23807" w:rsidP="00C362EA">
            <w:pPr>
              <w:spacing w:line="240" w:lineRule="auto"/>
              <w:jc w:val="right"/>
              <w:rPr>
                <w:rFonts w:ascii="Arial" w:hAnsi="Arial" w:cs="Arial"/>
                <w:sz w:val="18"/>
                <w:szCs w:val="18"/>
              </w:rPr>
            </w:pPr>
            <w:r w:rsidR="00BC4FB1">
              <w:rPr>
                <w:rFonts w:ascii="Arial" w:hAnsi="Arial" w:cs="Arial"/>
                <w:sz w:val="18"/>
                <w:szCs w:val="18"/>
              </w:rPr>
              <w:t>248</w:t>
            </w:r>
          </w:p>
        </w:tc>
        <w:tc>
          <w:tcPr>
            <w:tcW w:w="1442" w:type="dxa"/>
            <w:tcBorders>
              <w:top w:val="nil"/>
              <w:left w:val="single" w:sz="12" w:space="0" w:color="auto"/>
              <w:bottom w:val="single" w:sz="4" w:space="0" w:color="auto"/>
              <w:right w:val="nil"/>
              <w:tl2br w:val="nil"/>
              <w:tr2bl w:val="nil"/>
            </w:tcBorders>
            <w:noWrap/>
            <w:textDirection w:val="lrTb"/>
            <w:vAlign w:val="center"/>
          </w:tcPr>
          <w:p w:rsidR="00816E24" w:rsidRPr="00D23807" w:rsidP="00C362EA">
            <w:pPr>
              <w:spacing w:line="240" w:lineRule="auto"/>
              <w:jc w:val="right"/>
              <w:rPr>
                <w:rFonts w:ascii="Arial" w:hAnsi="Arial" w:cs="Arial"/>
                <w:sz w:val="18"/>
                <w:szCs w:val="18"/>
              </w:rPr>
            </w:pPr>
            <w:r>
              <w:rPr>
                <w:rFonts w:ascii="Arial" w:hAnsi="Arial" w:cs="Arial"/>
                <w:sz w:val="18"/>
                <w:szCs w:val="18"/>
              </w:rPr>
              <w:t>0</w:t>
            </w:r>
          </w:p>
        </w:tc>
        <w:tc>
          <w:tcPr>
            <w:tcW w:w="1440" w:type="dxa"/>
            <w:tcBorders>
              <w:top w:val="nil"/>
              <w:left w:val="single" w:sz="8" w:space="0" w:color="auto"/>
              <w:bottom w:val="single" w:sz="4" w:space="0" w:color="auto"/>
              <w:right w:val="single" w:sz="12" w:space="0" w:color="auto"/>
              <w:tl2br w:val="nil"/>
              <w:tr2bl w:val="nil"/>
            </w:tcBorders>
            <w:noWrap/>
            <w:textDirection w:val="lrTb"/>
            <w:vAlign w:val="center"/>
          </w:tcPr>
          <w:p w:rsidR="00816E24" w:rsidRPr="00D23807" w:rsidP="00C362EA">
            <w:pPr>
              <w:spacing w:line="240" w:lineRule="auto"/>
              <w:jc w:val="right"/>
              <w:rPr>
                <w:rFonts w:ascii="Arial" w:hAnsi="Arial" w:cs="Arial"/>
                <w:sz w:val="18"/>
                <w:szCs w:val="18"/>
              </w:rPr>
            </w:pPr>
            <w:r>
              <w:rPr>
                <w:rFonts w:ascii="Arial" w:hAnsi="Arial" w:cs="Arial"/>
                <w:sz w:val="18"/>
                <w:szCs w:val="18"/>
              </w:rPr>
              <w:t>0</w:t>
            </w:r>
          </w:p>
        </w:tc>
      </w:tr>
      <w:tr>
        <w:tblPrEx>
          <w:tblW w:w="10467" w:type="dxa"/>
          <w:tblInd w:w="-497" w:type="dxa"/>
          <w:tblLayout w:type="fixed"/>
          <w:tblCellMar>
            <w:left w:w="70" w:type="dxa"/>
            <w:right w:w="70" w:type="dxa"/>
          </w:tblCellMar>
        </w:tblPrEx>
        <w:trPr>
          <w:trHeight w:val="300"/>
        </w:trPr>
        <w:tc>
          <w:tcPr>
            <w:tcW w:w="2907" w:type="dxa"/>
            <w:tcBorders>
              <w:top w:val="nil"/>
              <w:left w:val="single" w:sz="12" w:space="0" w:color="auto"/>
              <w:bottom w:val="single" w:sz="4" w:space="0" w:color="auto"/>
              <w:right w:val="single" w:sz="12" w:space="0" w:color="auto"/>
              <w:tl2br w:val="nil"/>
              <w:tr2bl w:val="nil"/>
            </w:tcBorders>
            <w:noWrap/>
            <w:textDirection w:val="lrTb"/>
            <w:vAlign w:val="center"/>
          </w:tcPr>
          <w:p w:rsidR="00816E24" w:rsidRPr="00D23807" w:rsidP="00C362EA">
            <w:pPr>
              <w:spacing w:line="240" w:lineRule="auto"/>
              <w:rPr>
                <w:rFonts w:ascii="Arial" w:hAnsi="Arial" w:cs="Arial"/>
                <w:sz w:val="18"/>
                <w:szCs w:val="18"/>
              </w:rPr>
            </w:pPr>
            <w:r w:rsidRPr="00D23807">
              <w:rPr>
                <w:rFonts w:ascii="Arial" w:hAnsi="Arial" w:cs="Arial"/>
                <w:sz w:val="18"/>
                <w:szCs w:val="18"/>
              </w:rPr>
              <w:t>15.KÚ pre CD a</w:t>
            </w:r>
            <w:r>
              <w:rPr>
                <w:rFonts w:ascii="Arial" w:hAnsi="Arial" w:cs="Arial"/>
                <w:sz w:val="18"/>
                <w:szCs w:val="18"/>
              </w:rPr>
              <w:t> </w:t>
            </w:r>
            <w:r w:rsidRPr="00D23807">
              <w:rPr>
                <w:rFonts w:ascii="Arial" w:hAnsi="Arial" w:cs="Arial"/>
                <w:sz w:val="18"/>
                <w:szCs w:val="18"/>
              </w:rPr>
              <w:t>PK Prešov</w:t>
            </w:r>
          </w:p>
        </w:tc>
        <w:tc>
          <w:tcPr>
            <w:tcW w:w="1559" w:type="dxa"/>
            <w:tcBorders>
              <w:top w:val="nil"/>
              <w:left w:val="single" w:sz="12" w:space="0" w:color="auto"/>
              <w:bottom w:val="single" w:sz="4" w:space="0" w:color="auto"/>
              <w:right w:val="single" w:sz="8" w:space="0" w:color="auto"/>
              <w:tl2br w:val="nil"/>
              <w:tr2bl w:val="nil"/>
            </w:tcBorders>
            <w:noWrap/>
            <w:textDirection w:val="lrTb"/>
            <w:vAlign w:val="center"/>
          </w:tcPr>
          <w:p w:rsidR="00816E24" w:rsidRPr="00D23807" w:rsidP="00C362EA">
            <w:pPr>
              <w:spacing w:line="240" w:lineRule="auto"/>
              <w:jc w:val="right"/>
              <w:rPr>
                <w:rFonts w:ascii="Arial" w:hAnsi="Arial" w:cs="Arial"/>
                <w:sz w:val="18"/>
                <w:szCs w:val="18"/>
              </w:rPr>
            </w:pPr>
            <w:r>
              <w:rPr>
                <w:rFonts w:ascii="Arial" w:hAnsi="Arial" w:cs="Arial"/>
                <w:sz w:val="18"/>
                <w:szCs w:val="18"/>
              </w:rPr>
              <w:t>0</w:t>
            </w:r>
          </w:p>
        </w:tc>
        <w:tc>
          <w:tcPr>
            <w:tcW w:w="1559" w:type="dxa"/>
            <w:tcBorders>
              <w:top w:val="nil"/>
              <w:left w:val="nil"/>
              <w:bottom w:val="single" w:sz="4" w:space="0" w:color="auto"/>
              <w:right w:val="nil"/>
              <w:tl2br w:val="nil"/>
              <w:tr2bl w:val="nil"/>
            </w:tcBorders>
            <w:noWrap/>
            <w:textDirection w:val="lrTb"/>
            <w:vAlign w:val="center"/>
          </w:tcPr>
          <w:p w:rsidR="00816E24" w:rsidRPr="00D23807" w:rsidP="00C362EA">
            <w:pPr>
              <w:spacing w:line="240" w:lineRule="auto"/>
              <w:jc w:val="right"/>
              <w:rPr>
                <w:rFonts w:ascii="Arial" w:hAnsi="Arial" w:cs="Arial"/>
                <w:sz w:val="18"/>
                <w:szCs w:val="18"/>
              </w:rPr>
            </w:pPr>
            <w:r>
              <w:rPr>
                <w:rFonts w:ascii="Arial" w:hAnsi="Arial" w:cs="Arial"/>
                <w:sz w:val="18"/>
                <w:szCs w:val="18"/>
              </w:rPr>
              <w:t>0</w:t>
            </w:r>
          </w:p>
        </w:tc>
        <w:tc>
          <w:tcPr>
            <w:tcW w:w="1560" w:type="dxa"/>
            <w:tcBorders>
              <w:top w:val="nil"/>
              <w:left w:val="single" w:sz="8" w:space="0" w:color="auto"/>
              <w:bottom w:val="single" w:sz="4" w:space="0" w:color="auto"/>
              <w:right w:val="single" w:sz="12" w:space="0" w:color="auto"/>
              <w:tl2br w:val="nil"/>
              <w:tr2bl w:val="nil"/>
            </w:tcBorders>
            <w:noWrap/>
            <w:textDirection w:val="lrTb"/>
            <w:vAlign w:val="center"/>
          </w:tcPr>
          <w:p w:rsidR="00816E24" w:rsidRPr="00D23807" w:rsidP="00C362EA">
            <w:pPr>
              <w:spacing w:line="240" w:lineRule="auto"/>
              <w:jc w:val="right"/>
              <w:rPr>
                <w:rFonts w:ascii="Arial" w:hAnsi="Arial" w:cs="Arial"/>
                <w:sz w:val="18"/>
                <w:szCs w:val="18"/>
              </w:rPr>
            </w:pPr>
            <w:r>
              <w:rPr>
                <w:rFonts w:ascii="Arial" w:hAnsi="Arial" w:cs="Arial"/>
                <w:sz w:val="18"/>
                <w:szCs w:val="18"/>
              </w:rPr>
              <w:t>20</w:t>
            </w:r>
            <w:r w:rsidR="00BC4FB1">
              <w:rPr>
                <w:rFonts w:ascii="Arial" w:hAnsi="Arial" w:cs="Arial"/>
                <w:sz w:val="18"/>
                <w:szCs w:val="18"/>
              </w:rPr>
              <w:t>7</w:t>
            </w:r>
          </w:p>
        </w:tc>
        <w:tc>
          <w:tcPr>
            <w:tcW w:w="1442" w:type="dxa"/>
            <w:tcBorders>
              <w:top w:val="nil"/>
              <w:left w:val="single" w:sz="12" w:space="0" w:color="auto"/>
              <w:bottom w:val="single" w:sz="4" w:space="0" w:color="auto"/>
              <w:right w:val="nil"/>
              <w:tl2br w:val="nil"/>
              <w:tr2bl w:val="nil"/>
            </w:tcBorders>
            <w:noWrap/>
            <w:textDirection w:val="lrTb"/>
            <w:vAlign w:val="center"/>
          </w:tcPr>
          <w:p w:rsidR="00816E24" w:rsidRPr="00D23807" w:rsidP="00C362EA">
            <w:pPr>
              <w:spacing w:line="240" w:lineRule="auto"/>
              <w:jc w:val="right"/>
              <w:rPr>
                <w:rFonts w:ascii="Arial" w:hAnsi="Arial" w:cs="Arial"/>
                <w:sz w:val="18"/>
                <w:szCs w:val="18"/>
              </w:rPr>
            </w:pPr>
            <w:r>
              <w:rPr>
                <w:rFonts w:ascii="Arial" w:hAnsi="Arial" w:cs="Arial"/>
                <w:sz w:val="18"/>
                <w:szCs w:val="18"/>
              </w:rPr>
              <w:t>0</w:t>
            </w:r>
          </w:p>
        </w:tc>
        <w:tc>
          <w:tcPr>
            <w:tcW w:w="1440" w:type="dxa"/>
            <w:tcBorders>
              <w:top w:val="nil"/>
              <w:left w:val="single" w:sz="8" w:space="0" w:color="auto"/>
              <w:bottom w:val="single" w:sz="4" w:space="0" w:color="auto"/>
              <w:right w:val="single" w:sz="12" w:space="0" w:color="auto"/>
              <w:tl2br w:val="nil"/>
              <w:tr2bl w:val="nil"/>
            </w:tcBorders>
            <w:noWrap/>
            <w:textDirection w:val="lrTb"/>
            <w:vAlign w:val="center"/>
          </w:tcPr>
          <w:p w:rsidR="00816E24" w:rsidRPr="00D23807" w:rsidP="00C362EA">
            <w:pPr>
              <w:spacing w:line="240" w:lineRule="auto"/>
              <w:jc w:val="right"/>
              <w:rPr>
                <w:rFonts w:ascii="Arial" w:hAnsi="Arial" w:cs="Arial"/>
                <w:sz w:val="18"/>
                <w:szCs w:val="18"/>
              </w:rPr>
            </w:pPr>
            <w:r>
              <w:rPr>
                <w:rFonts w:ascii="Arial" w:hAnsi="Arial" w:cs="Arial"/>
                <w:sz w:val="18"/>
                <w:szCs w:val="18"/>
              </w:rPr>
              <w:t>0</w:t>
            </w:r>
          </w:p>
        </w:tc>
      </w:tr>
      <w:tr>
        <w:tblPrEx>
          <w:tblW w:w="10467" w:type="dxa"/>
          <w:tblInd w:w="-497" w:type="dxa"/>
          <w:tblLayout w:type="fixed"/>
          <w:tblCellMar>
            <w:left w:w="70" w:type="dxa"/>
            <w:right w:w="70" w:type="dxa"/>
          </w:tblCellMar>
        </w:tblPrEx>
        <w:trPr>
          <w:trHeight w:val="300"/>
        </w:trPr>
        <w:tc>
          <w:tcPr>
            <w:tcW w:w="2907" w:type="dxa"/>
            <w:tcBorders>
              <w:top w:val="nil"/>
              <w:left w:val="single" w:sz="12" w:space="0" w:color="auto"/>
              <w:bottom w:val="single" w:sz="4" w:space="0" w:color="auto"/>
              <w:right w:val="single" w:sz="12" w:space="0" w:color="auto"/>
              <w:tl2br w:val="nil"/>
              <w:tr2bl w:val="nil"/>
            </w:tcBorders>
            <w:noWrap/>
            <w:textDirection w:val="lrTb"/>
            <w:vAlign w:val="center"/>
          </w:tcPr>
          <w:p w:rsidR="00816E24" w:rsidRPr="00D23807" w:rsidP="00C362EA">
            <w:pPr>
              <w:spacing w:line="240" w:lineRule="auto"/>
              <w:rPr>
                <w:rFonts w:ascii="Arial" w:hAnsi="Arial" w:cs="Arial"/>
                <w:sz w:val="18"/>
                <w:szCs w:val="18"/>
              </w:rPr>
            </w:pPr>
            <w:r>
              <w:rPr>
                <w:rFonts w:ascii="Arial" w:hAnsi="Arial" w:cs="Arial"/>
                <w:sz w:val="18"/>
                <w:szCs w:val="18"/>
              </w:rPr>
              <w:t>16</w:t>
            </w:r>
            <w:r w:rsidRPr="00D23807">
              <w:rPr>
                <w:rFonts w:ascii="Arial" w:hAnsi="Arial" w:cs="Arial"/>
                <w:sz w:val="18"/>
                <w:szCs w:val="18"/>
              </w:rPr>
              <w:t>.KÚ pre CD a</w:t>
            </w:r>
            <w:r>
              <w:rPr>
                <w:rFonts w:ascii="Arial" w:hAnsi="Arial" w:cs="Arial"/>
                <w:sz w:val="18"/>
                <w:szCs w:val="18"/>
              </w:rPr>
              <w:t> </w:t>
            </w:r>
            <w:r w:rsidRPr="00D23807">
              <w:rPr>
                <w:rFonts w:ascii="Arial" w:hAnsi="Arial" w:cs="Arial"/>
                <w:sz w:val="18"/>
                <w:szCs w:val="18"/>
              </w:rPr>
              <w:t>PK Košice</w:t>
            </w:r>
          </w:p>
        </w:tc>
        <w:tc>
          <w:tcPr>
            <w:tcW w:w="1559" w:type="dxa"/>
            <w:tcBorders>
              <w:top w:val="nil"/>
              <w:left w:val="single" w:sz="12" w:space="0" w:color="auto"/>
              <w:bottom w:val="single" w:sz="4" w:space="0" w:color="auto"/>
              <w:right w:val="single" w:sz="8" w:space="0" w:color="auto"/>
              <w:tl2br w:val="nil"/>
              <w:tr2bl w:val="nil"/>
            </w:tcBorders>
            <w:noWrap/>
            <w:textDirection w:val="lrTb"/>
            <w:vAlign w:val="center"/>
          </w:tcPr>
          <w:p w:rsidR="00816E24" w:rsidRPr="00D23807" w:rsidP="00C362EA">
            <w:pPr>
              <w:spacing w:line="240" w:lineRule="auto"/>
              <w:jc w:val="right"/>
              <w:rPr>
                <w:rFonts w:ascii="Arial" w:hAnsi="Arial" w:cs="Arial"/>
                <w:sz w:val="18"/>
                <w:szCs w:val="18"/>
              </w:rPr>
            </w:pPr>
            <w:r>
              <w:rPr>
                <w:rFonts w:ascii="Arial" w:hAnsi="Arial" w:cs="Arial"/>
                <w:sz w:val="18"/>
                <w:szCs w:val="18"/>
              </w:rPr>
              <w:t>0</w:t>
            </w:r>
          </w:p>
        </w:tc>
        <w:tc>
          <w:tcPr>
            <w:tcW w:w="1559" w:type="dxa"/>
            <w:tcBorders>
              <w:top w:val="nil"/>
              <w:left w:val="nil"/>
              <w:bottom w:val="single" w:sz="4" w:space="0" w:color="auto"/>
              <w:right w:val="nil"/>
              <w:tl2br w:val="nil"/>
              <w:tr2bl w:val="nil"/>
            </w:tcBorders>
            <w:noWrap/>
            <w:textDirection w:val="lrTb"/>
            <w:vAlign w:val="center"/>
          </w:tcPr>
          <w:p w:rsidR="00816E24" w:rsidRPr="00D23807" w:rsidP="00C362EA">
            <w:pPr>
              <w:spacing w:line="240" w:lineRule="auto"/>
              <w:jc w:val="right"/>
              <w:rPr>
                <w:rFonts w:ascii="Arial" w:hAnsi="Arial" w:cs="Arial"/>
                <w:sz w:val="18"/>
                <w:szCs w:val="18"/>
              </w:rPr>
            </w:pPr>
            <w:r>
              <w:rPr>
                <w:rFonts w:ascii="Arial" w:hAnsi="Arial" w:cs="Arial"/>
                <w:sz w:val="18"/>
                <w:szCs w:val="18"/>
              </w:rPr>
              <w:t>0</w:t>
            </w:r>
          </w:p>
        </w:tc>
        <w:tc>
          <w:tcPr>
            <w:tcW w:w="1560" w:type="dxa"/>
            <w:tcBorders>
              <w:top w:val="nil"/>
              <w:left w:val="single" w:sz="8" w:space="0" w:color="auto"/>
              <w:bottom w:val="single" w:sz="4" w:space="0" w:color="auto"/>
              <w:right w:val="single" w:sz="12" w:space="0" w:color="auto"/>
              <w:tl2br w:val="nil"/>
              <w:tr2bl w:val="nil"/>
            </w:tcBorders>
            <w:noWrap/>
            <w:textDirection w:val="lrTb"/>
            <w:vAlign w:val="center"/>
          </w:tcPr>
          <w:p w:rsidR="00816E24" w:rsidRPr="00D23807" w:rsidP="00C362EA">
            <w:pPr>
              <w:spacing w:line="240" w:lineRule="auto"/>
              <w:jc w:val="right"/>
              <w:rPr>
                <w:rFonts w:ascii="Arial" w:hAnsi="Arial" w:cs="Arial"/>
                <w:sz w:val="18"/>
                <w:szCs w:val="18"/>
              </w:rPr>
            </w:pPr>
            <w:r w:rsidR="00BC4FB1">
              <w:rPr>
                <w:rFonts w:ascii="Arial" w:hAnsi="Arial" w:cs="Arial"/>
                <w:sz w:val="18"/>
                <w:szCs w:val="18"/>
              </w:rPr>
              <w:t>265</w:t>
            </w:r>
          </w:p>
        </w:tc>
        <w:tc>
          <w:tcPr>
            <w:tcW w:w="1442" w:type="dxa"/>
            <w:tcBorders>
              <w:top w:val="nil"/>
              <w:left w:val="single" w:sz="12" w:space="0" w:color="auto"/>
              <w:bottom w:val="single" w:sz="4" w:space="0" w:color="auto"/>
              <w:right w:val="nil"/>
              <w:tl2br w:val="nil"/>
              <w:tr2bl w:val="nil"/>
            </w:tcBorders>
            <w:noWrap/>
            <w:textDirection w:val="lrTb"/>
            <w:vAlign w:val="center"/>
          </w:tcPr>
          <w:p w:rsidR="00816E24" w:rsidRPr="00D23807" w:rsidP="00C362EA">
            <w:pPr>
              <w:spacing w:line="240" w:lineRule="auto"/>
              <w:jc w:val="right"/>
              <w:rPr>
                <w:rFonts w:ascii="Arial" w:hAnsi="Arial" w:cs="Arial"/>
                <w:sz w:val="18"/>
                <w:szCs w:val="18"/>
              </w:rPr>
            </w:pPr>
            <w:r>
              <w:rPr>
                <w:rFonts w:ascii="Arial" w:hAnsi="Arial" w:cs="Arial"/>
                <w:sz w:val="18"/>
                <w:szCs w:val="18"/>
              </w:rPr>
              <w:t>0</w:t>
            </w:r>
          </w:p>
        </w:tc>
        <w:tc>
          <w:tcPr>
            <w:tcW w:w="1440" w:type="dxa"/>
            <w:tcBorders>
              <w:top w:val="nil"/>
              <w:left w:val="single" w:sz="8" w:space="0" w:color="auto"/>
              <w:bottom w:val="single" w:sz="4" w:space="0" w:color="auto"/>
              <w:right w:val="single" w:sz="12" w:space="0" w:color="auto"/>
              <w:tl2br w:val="nil"/>
              <w:tr2bl w:val="nil"/>
            </w:tcBorders>
            <w:noWrap/>
            <w:textDirection w:val="lrTb"/>
            <w:vAlign w:val="center"/>
          </w:tcPr>
          <w:p w:rsidR="00816E24" w:rsidRPr="00D23807" w:rsidP="00C362EA">
            <w:pPr>
              <w:spacing w:line="240" w:lineRule="auto"/>
              <w:jc w:val="right"/>
              <w:rPr>
                <w:rFonts w:ascii="Arial" w:hAnsi="Arial" w:cs="Arial"/>
                <w:sz w:val="18"/>
                <w:szCs w:val="18"/>
              </w:rPr>
            </w:pPr>
            <w:r w:rsidR="00BC4FB1">
              <w:rPr>
                <w:rFonts w:ascii="Arial" w:hAnsi="Arial" w:cs="Arial"/>
                <w:sz w:val="18"/>
                <w:szCs w:val="18"/>
              </w:rPr>
              <w:t>0</w:t>
            </w:r>
          </w:p>
        </w:tc>
      </w:tr>
      <w:tr>
        <w:tblPrEx>
          <w:tblW w:w="10467" w:type="dxa"/>
          <w:tblInd w:w="-497" w:type="dxa"/>
          <w:tblLayout w:type="fixed"/>
          <w:tblCellMar>
            <w:left w:w="70" w:type="dxa"/>
            <w:right w:w="70" w:type="dxa"/>
          </w:tblCellMar>
        </w:tblPrEx>
        <w:trPr>
          <w:trHeight w:val="315"/>
        </w:trPr>
        <w:tc>
          <w:tcPr>
            <w:tcW w:w="2907" w:type="dxa"/>
            <w:tcBorders>
              <w:top w:val="single" w:sz="4" w:space="0" w:color="auto"/>
              <w:left w:val="single" w:sz="12" w:space="0" w:color="auto"/>
              <w:bottom w:val="single" w:sz="4" w:space="0" w:color="auto"/>
              <w:right w:val="single" w:sz="12" w:space="0" w:color="auto"/>
              <w:tl2br w:val="nil"/>
              <w:tr2bl w:val="nil"/>
            </w:tcBorders>
            <w:noWrap/>
            <w:textDirection w:val="lrTb"/>
            <w:vAlign w:val="center"/>
          </w:tcPr>
          <w:p w:rsidR="00816E24" w:rsidRPr="00D23807" w:rsidP="00C362EA">
            <w:pPr>
              <w:spacing w:line="240" w:lineRule="auto"/>
              <w:rPr>
                <w:rFonts w:ascii="Arial" w:hAnsi="Arial" w:cs="Arial"/>
                <w:sz w:val="18"/>
                <w:szCs w:val="18"/>
              </w:rPr>
            </w:pPr>
            <w:r w:rsidRPr="00D23807">
              <w:rPr>
                <w:rFonts w:ascii="Arial" w:hAnsi="Arial" w:cs="Arial"/>
                <w:sz w:val="18"/>
                <w:szCs w:val="18"/>
              </w:rPr>
              <w:t>17.MDPT SR</w:t>
            </w:r>
          </w:p>
        </w:tc>
        <w:tc>
          <w:tcPr>
            <w:tcW w:w="1559" w:type="dxa"/>
            <w:tcBorders>
              <w:top w:val="single" w:sz="4" w:space="0" w:color="auto"/>
              <w:left w:val="single" w:sz="12" w:space="0" w:color="auto"/>
              <w:bottom w:val="single" w:sz="4" w:space="0" w:color="auto"/>
              <w:right w:val="single" w:sz="8" w:space="0" w:color="auto"/>
              <w:tl2br w:val="nil"/>
              <w:tr2bl w:val="nil"/>
            </w:tcBorders>
            <w:noWrap/>
            <w:textDirection w:val="lrTb"/>
            <w:vAlign w:val="center"/>
          </w:tcPr>
          <w:p w:rsidR="00816E24" w:rsidRPr="00D23807" w:rsidP="00C362EA">
            <w:pPr>
              <w:spacing w:line="240" w:lineRule="auto"/>
              <w:jc w:val="right"/>
              <w:rPr>
                <w:rFonts w:ascii="Arial" w:hAnsi="Arial" w:cs="Arial"/>
                <w:sz w:val="18"/>
                <w:szCs w:val="18"/>
              </w:rPr>
            </w:pPr>
            <w:r w:rsidR="00D54400">
              <w:rPr>
                <w:rFonts w:ascii="Arial" w:hAnsi="Arial" w:cs="Arial"/>
                <w:sz w:val="18"/>
                <w:szCs w:val="18"/>
              </w:rPr>
              <w:t>2 300 000</w:t>
            </w:r>
          </w:p>
        </w:tc>
        <w:tc>
          <w:tcPr>
            <w:tcW w:w="1559" w:type="dxa"/>
            <w:tcBorders>
              <w:top w:val="single" w:sz="4" w:space="0" w:color="auto"/>
              <w:left w:val="nil"/>
              <w:bottom w:val="single" w:sz="4" w:space="0" w:color="auto"/>
              <w:right w:val="nil"/>
              <w:tl2br w:val="nil"/>
              <w:tr2bl w:val="nil"/>
            </w:tcBorders>
            <w:noWrap/>
            <w:textDirection w:val="lrTb"/>
            <w:vAlign w:val="center"/>
          </w:tcPr>
          <w:p w:rsidR="00816E24" w:rsidRPr="00D23807" w:rsidP="00C362EA">
            <w:pPr>
              <w:spacing w:line="240" w:lineRule="auto"/>
              <w:jc w:val="right"/>
              <w:rPr>
                <w:rFonts w:ascii="Arial" w:hAnsi="Arial" w:cs="Arial"/>
                <w:sz w:val="18"/>
                <w:szCs w:val="18"/>
              </w:rPr>
            </w:pPr>
            <w:r w:rsidR="00D54400">
              <w:rPr>
                <w:rFonts w:ascii="Arial" w:hAnsi="Arial" w:cs="Arial"/>
                <w:sz w:val="18"/>
                <w:szCs w:val="18"/>
              </w:rPr>
              <w:t>2 300 000</w:t>
            </w:r>
          </w:p>
        </w:tc>
        <w:tc>
          <w:tcPr>
            <w:tcW w:w="1560" w:type="dxa"/>
            <w:tcBorders>
              <w:top w:val="single" w:sz="4" w:space="0" w:color="auto"/>
              <w:left w:val="single" w:sz="8" w:space="0" w:color="auto"/>
              <w:bottom w:val="single" w:sz="4" w:space="0" w:color="auto"/>
              <w:right w:val="single" w:sz="12" w:space="0" w:color="auto"/>
              <w:tl2br w:val="nil"/>
              <w:tr2bl w:val="nil"/>
            </w:tcBorders>
            <w:noWrap/>
            <w:textDirection w:val="lrTb"/>
            <w:vAlign w:val="center"/>
          </w:tcPr>
          <w:p w:rsidR="00816E24" w:rsidRPr="00D23807" w:rsidP="00C362EA">
            <w:pPr>
              <w:spacing w:line="240" w:lineRule="auto"/>
              <w:jc w:val="right"/>
              <w:rPr>
                <w:rFonts w:ascii="Arial" w:hAnsi="Arial" w:cs="Arial"/>
                <w:sz w:val="18"/>
                <w:szCs w:val="18"/>
              </w:rPr>
            </w:pPr>
            <w:r w:rsidR="00BC4FB1">
              <w:rPr>
                <w:rFonts w:ascii="Arial" w:hAnsi="Arial" w:cs="Arial"/>
                <w:sz w:val="18"/>
                <w:szCs w:val="18"/>
              </w:rPr>
              <w:t>2 000 323</w:t>
            </w:r>
          </w:p>
        </w:tc>
        <w:tc>
          <w:tcPr>
            <w:tcW w:w="1442" w:type="dxa"/>
            <w:tcBorders>
              <w:top w:val="single" w:sz="4" w:space="0" w:color="auto"/>
              <w:left w:val="single" w:sz="12" w:space="0" w:color="auto"/>
              <w:bottom w:val="single" w:sz="4" w:space="0" w:color="auto"/>
              <w:right w:val="nil"/>
              <w:tl2br w:val="nil"/>
              <w:tr2bl w:val="nil"/>
            </w:tcBorders>
            <w:noWrap/>
            <w:textDirection w:val="lrTb"/>
            <w:vAlign w:val="center"/>
          </w:tcPr>
          <w:p w:rsidR="00816E24" w:rsidRPr="00D23807" w:rsidP="00C362EA">
            <w:pPr>
              <w:spacing w:line="240" w:lineRule="auto"/>
              <w:jc w:val="right"/>
              <w:rPr>
                <w:rFonts w:ascii="Arial" w:hAnsi="Arial" w:cs="Arial"/>
                <w:sz w:val="18"/>
                <w:szCs w:val="18"/>
              </w:rPr>
            </w:pPr>
            <w:r w:rsidR="00BC4FB1">
              <w:rPr>
                <w:rFonts w:ascii="Arial" w:hAnsi="Arial" w:cs="Arial"/>
                <w:sz w:val="18"/>
                <w:szCs w:val="18"/>
              </w:rPr>
              <w:t>0</w:t>
            </w:r>
          </w:p>
        </w:tc>
        <w:tc>
          <w:tcPr>
            <w:tcW w:w="1440" w:type="dxa"/>
            <w:tcBorders>
              <w:top w:val="single" w:sz="4" w:space="0" w:color="auto"/>
              <w:left w:val="single" w:sz="8" w:space="0" w:color="auto"/>
              <w:bottom w:val="single" w:sz="4" w:space="0" w:color="auto"/>
              <w:right w:val="single" w:sz="12" w:space="0" w:color="auto"/>
              <w:tl2br w:val="nil"/>
              <w:tr2bl w:val="nil"/>
            </w:tcBorders>
            <w:noWrap/>
            <w:textDirection w:val="lrTb"/>
            <w:vAlign w:val="center"/>
          </w:tcPr>
          <w:p w:rsidR="00816E24" w:rsidRPr="00D23807" w:rsidP="00C362EA">
            <w:pPr>
              <w:spacing w:line="240" w:lineRule="auto"/>
              <w:jc w:val="right"/>
              <w:rPr>
                <w:rFonts w:ascii="Arial" w:hAnsi="Arial" w:cs="Arial"/>
                <w:sz w:val="18"/>
                <w:szCs w:val="18"/>
              </w:rPr>
            </w:pPr>
            <w:r w:rsidR="00BC4FB1">
              <w:rPr>
                <w:rFonts w:ascii="Arial" w:hAnsi="Arial" w:cs="Arial"/>
                <w:sz w:val="18"/>
                <w:szCs w:val="18"/>
              </w:rPr>
              <w:t>98 554</w:t>
            </w:r>
          </w:p>
        </w:tc>
      </w:tr>
      <w:tr>
        <w:tblPrEx>
          <w:tblW w:w="10467" w:type="dxa"/>
          <w:tblInd w:w="-497" w:type="dxa"/>
          <w:tblLayout w:type="fixed"/>
          <w:tblCellMar>
            <w:left w:w="70" w:type="dxa"/>
            <w:right w:w="70" w:type="dxa"/>
          </w:tblCellMar>
        </w:tblPrEx>
        <w:trPr>
          <w:trHeight w:val="315"/>
        </w:trPr>
        <w:tc>
          <w:tcPr>
            <w:tcW w:w="2907" w:type="dxa"/>
            <w:tcBorders>
              <w:top w:val="single" w:sz="4" w:space="0" w:color="auto"/>
              <w:left w:val="single" w:sz="12" w:space="0" w:color="auto"/>
              <w:bottom w:val="single" w:sz="12" w:space="0" w:color="auto"/>
              <w:right w:val="single" w:sz="12" w:space="0" w:color="auto"/>
              <w:tl2br w:val="nil"/>
              <w:tr2bl w:val="nil"/>
            </w:tcBorders>
            <w:noWrap/>
            <w:textDirection w:val="lrTb"/>
            <w:vAlign w:val="center"/>
          </w:tcPr>
          <w:p w:rsidR="00816E24" w:rsidRPr="00D23807" w:rsidP="00C362EA">
            <w:pPr>
              <w:spacing w:line="240" w:lineRule="auto"/>
              <w:rPr>
                <w:rFonts w:ascii="Arial" w:hAnsi="Arial" w:cs="Arial"/>
                <w:sz w:val="18"/>
                <w:szCs w:val="18"/>
              </w:rPr>
            </w:pPr>
            <w:r>
              <w:rPr>
                <w:rFonts w:ascii="Arial" w:hAnsi="Arial" w:cs="Arial"/>
                <w:sz w:val="18"/>
                <w:szCs w:val="18"/>
              </w:rPr>
              <w:t>18. Úrad verejného zdravotníctva</w:t>
            </w:r>
          </w:p>
        </w:tc>
        <w:tc>
          <w:tcPr>
            <w:tcW w:w="1559" w:type="dxa"/>
            <w:tcBorders>
              <w:top w:val="single" w:sz="4" w:space="0" w:color="auto"/>
              <w:left w:val="single" w:sz="12" w:space="0" w:color="auto"/>
              <w:bottom w:val="single" w:sz="12" w:space="0" w:color="auto"/>
              <w:right w:val="single" w:sz="8" w:space="0" w:color="auto"/>
              <w:tl2br w:val="nil"/>
              <w:tr2bl w:val="nil"/>
            </w:tcBorders>
            <w:noWrap/>
            <w:textDirection w:val="lrTb"/>
            <w:vAlign w:val="center"/>
          </w:tcPr>
          <w:p w:rsidR="00816E24" w:rsidP="00C362EA">
            <w:pPr>
              <w:spacing w:line="240" w:lineRule="auto"/>
              <w:jc w:val="right"/>
              <w:rPr>
                <w:rFonts w:ascii="Arial" w:hAnsi="Arial" w:cs="Arial"/>
                <w:sz w:val="18"/>
                <w:szCs w:val="18"/>
              </w:rPr>
            </w:pPr>
            <w:r>
              <w:rPr>
                <w:rFonts w:ascii="Arial" w:hAnsi="Arial" w:cs="Arial"/>
                <w:sz w:val="18"/>
                <w:szCs w:val="18"/>
              </w:rPr>
              <w:t>0</w:t>
            </w:r>
          </w:p>
        </w:tc>
        <w:tc>
          <w:tcPr>
            <w:tcW w:w="1559" w:type="dxa"/>
            <w:tcBorders>
              <w:top w:val="single" w:sz="4" w:space="0" w:color="auto"/>
              <w:left w:val="nil"/>
              <w:bottom w:val="single" w:sz="12" w:space="0" w:color="auto"/>
              <w:right w:val="nil"/>
              <w:tl2br w:val="nil"/>
              <w:tr2bl w:val="nil"/>
            </w:tcBorders>
            <w:noWrap/>
            <w:textDirection w:val="lrTb"/>
            <w:vAlign w:val="center"/>
          </w:tcPr>
          <w:p w:rsidR="00816E24" w:rsidP="00C362EA">
            <w:pPr>
              <w:spacing w:line="240" w:lineRule="auto"/>
              <w:jc w:val="right"/>
              <w:rPr>
                <w:rFonts w:ascii="Arial" w:hAnsi="Arial" w:cs="Arial"/>
                <w:sz w:val="18"/>
                <w:szCs w:val="18"/>
              </w:rPr>
            </w:pPr>
            <w:r>
              <w:rPr>
                <w:rFonts w:ascii="Arial" w:hAnsi="Arial" w:cs="Arial"/>
                <w:sz w:val="18"/>
                <w:szCs w:val="18"/>
              </w:rPr>
              <w:t>0</w:t>
            </w:r>
          </w:p>
        </w:tc>
        <w:tc>
          <w:tcPr>
            <w:tcW w:w="1560" w:type="dxa"/>
            <w:tcBorders>
              <w:top w:val="single" w:sz="4" w:space="0" w:color="auto"/>
              <w:left w:val="single" w:sz="8" w:space="0" w:color="auto"/>
              <w:bottom w:val="single" w:sz="12" w:space="0" w:color="auto"/>
              <w:right w:val="single" w:sz="12" w:space="0" w:color="auto"/>
              <w:tl2br w:val="nil"/>
              <w:tr2bl w:val="nil"/>
            </w:tcBorders>
            <w:noWrap/>
            <w:textDirection w:val="lrTb"/>
            <w:vAlign w:val="center"/>
          </w:tcPr>
          <w:p w:rsidR="00816E24" w:rsidP="00C362EA">
            <w:pPr>
              <w:spacing w:line="240" w:lineRule="auto"/>
              <w:jc w:val="right"/>
              <w:rPr>
                <w:rFonts w:ascii="Arial" w:hAnsi="Arial" w:cs="Arial"/>
                <w:sz w:val="18"/>
                <w:szCs w:val="18"/>
              </w:rPr>
            </w:pPr>
            <w:r w:rsidR="00BC4FB1">
              <w:rPr>
                <w:rFonts w:ascii="Arial" w:hAnsi="Arial" w:cs="Arial"/>
                <w:sz w:val="18"/>
                <w:szCs w:val="18"/>
              </w:rPr>
              <w:t>62</w:t>
            </w:r>
          </w:p>
        </w:tc>
        <w:tc>
          <w:tcPr>
            <w:tcW w:w="1442" w:type="dxa"/>
            <w:tcBorders>
              <w:top w:val="single" w:sz="4" w:space="0" w:color="auto"/>
              <w:left w:val="single" w:sz="12" w:space="0" w:color="auto"/>
              <w:bottom w:val="single" w:sz="12" w:space="0" w:color="auto"/>
              <w:right w:val="nil"/>
              <w:tl2br w:val="nil"/>
              <w:tr2bl w:val="nil"/>
            </w:tcBorders>
            <w:noWrap/>
            <w:textDirection w:val="lrTb"/>
            <w:vAlign w:val="center"/>
          </w:tcPr>
          <w:p w:rsidR="00816E24" w:rsidRPr="00D23807" w:rsidP="00C362EA">
            <w:pPr>
              <w:spacing w:line="240" w:lineRule="auto"/>
              <w:jc w:val="right"/>
              <w:rPr>
                <w:rFonts w:ascii="Arial" w:hAnsi="Arial" w:cs="Arial"/>
                <w:sz w:val="18"/>
                <w:szCs w:val="18"/>
              </w:rPr>
            </w:pPr>
            <w:r>
              <w:rPr>
                <w:rFonts w:ascii="Arial" w:hAnsi="Arial" w:cs="Arial"/>
                <w:sz w:val="18"/>
                <w:szCs w:val="18"/>
              </w:rPr>
              <w:t>0</w:t>
            </w:r>
          </w:p>
        </w:tc>
        <w:tc>
          <w:tcPr>
            <w:tcW w:w="1440" w:type="dxa"/>
            <w:tcBorders>
              <w:top w:val="single" w:sz="4" w:space="0" w:color="auto"/>
              <w:left w:val="single" w:sz="8" w:space="0" w:color="auto"/>
              <w:bottom w:val="single" w:sz="12" w:space="0" w:color="auto"/>
              <w:right w:val="single" w:sz="12" w:space="0" w:color="auto"/>
              <w:tl2br w:val="nil"/>
              <w:tr2bl w:val="nil"/>
            </w:tcBorders>
            <w:noWrap/>
            <w:textDirection w:val="lrTb"/>
            <w:vAlign w:val="center"/>
          </w:tcPr>
          <w:p w:rsidR="00816E24" w:rsidP="00C362EA">
            <w:pPr>
              <w:spacing w:line="240" w:lineRule="auto"/>
              <w:jc w:val="right"/>
              <w:rPr>
                <w:rFonts w:ascii="Arial" w:hAnsi="Arial" w:cs="Arial"/>
                <w:sz w:val="18"/>
                <w:szCs w:val="18"/>
              </w:rPr>
            </w:pPr>
            <w:r w:rsidR="00BC4FB1">
              <w:rPr>
                <w:rFonts w:ascii="Arial" w:hAnsi="Arial" w:cs="Arial"/>
                <w:sz w:val="18"/>
                <w:szCs w:val="18"/>
              </w:rPr>
              <w:t>231</w:t>
            </w:r>
          </w:p>
        </w:tc>
      </w:tr>
      <w:tr>
        <w:tblPrEx>
          <w:tblW w:w="10467" w:type="dxa"/>
          <w:tblInd w:w="-497" w:type="dxa"/>
          <w:tblLayout w:type="fixed"/>
          <w:tblCellMar>
            <w:left w:w="70" w:type="dxa"/>
            <w:right w:w="70" w:type="dxa"/>
          </w:tblCellMar>
        </w:tblPrEx>
        <w:trPr>
          <w:trHeight w:val="330"/>
        </w:trPr>
        <w:tc>
          <w:tcPr>
            <w:tcW w:w="2907" w:type="dxa"/>
            <w:tcBorders>
              <w:top w:val="single" w:sz="12" w:space="0" w:color="auto"/>
              <w:left w:val="single" w:sz="12" w:space="0" w:color="auto"/>
              <w:bottom w:val="single" w:sz="8" w:space="0" w:color="auto"/>
              <w:right w:val="single" w:sz="12" w:space="0" w:color="auto"/>
              <w:tl2br w:val="nil"/>
              <w:tr2bl w:val="nil"/>
            </w:tcBorders>
            <w:noWrap/>
            <w:textDirection w:val="lrTb"/>
            <w:vAlign w:val="center"/>
          </w:tcPr>
          <w:p w:rsidR="00816E24" w:rsidRPr="00D23807" w:rsidP="00C362EA">
            <w:pPr>
              <w:spacing w:line="240" w:lineRule="auto"/>
              <w:rPr>
                <w:rFonts w:ascii="Arial" w:hAnsi="Arial" w:cs="Arial"/>
                <w:b/>
                <w:bCs/>
                <w:sz w:val="18"/>
                <w:szCs w:val="18"/>
              </w:rPr>
            </w:pPr>
            <w:r w:rsidRPr="00D23807">
              <w:rPr>
                <w:rFonts w:ascii="Arial" w:hAnsi="Arial" w:cs="Arial"/>
                <w:b/>
                <w:bCs/>
                <w:sz w:val="18"/>
                <w:szCs w:val="18"/>
              </w:rPr>
              <w:t>Rozpočtové príjmy spolu</w:t>
            </w:r>
          </w:p>
        </w:tc>
        <w:tc>
          <w:tcPr>
            <w:tcW w:w="1559" w:type="dxa"/>
            <w:tcBorders>
              <w:top w:val="single" w:sz="12" w:space="0" w:color="auto"/>
              <w:left w:val="single" w:sz="12" w:space="0" w:color="auto"/>
              <w:bottom w:val="single" w:sz="8" w:space="0" w:color="auto"/>
              <w:right w:val="single" w:sz="8" w:space="0" w:color="auto"/>
              <w:tl2br w:val="nil"/>
              <w:tr2bl w:val="nil"/>
            </w:tcBorders>
            <w:noWrap/>
            <w:textDirection w:val="lrTb"/>
            <w:vAlign w:val="center"/>
          </w:tcPr>
          <w:p w:rsidR="00816E24" w:rsidRPr="00D23807" w:rsidP="00C362EA">
            <w:pPr>
              <w:spacing w:line="240" w:lineRule="auto"/>
              <w:jc w:val="right"/>
              <w:rPr>
                <w:rFonts w:ascii="Arial" w:hAnsi="Arial" w:cs="Arial"/>
                <w:b/>
                <w:bCs/>
                <w:sz w:val="18"/>
                <w:szCs w:val="18"/>
              </w:rPr>
            </w:pPr>
            <w:r w:rsidR="00BC4FB1">
              <w:rPr>
                <w:rFonts w:ascii="Arial" w:hAnsi="Arial" w:cs="Arial"/>
                <w:b/>
                <w:bCs/>
                <w:sz w:val="18"/>
                <w:szCs w:val="18"/>
              </w:rPr>
              <w:t>2 705 000</w:t>
            </w:r>
          </w:p>
        </w:tc>
        <w:tc>
          <w:tcPr>
            <w:tcW w:w="1559" w:type="dxa"/>
            <w:tcBorders>
              <w:top w:val="single" w:sz="12" w:space="0" w:color="auto"/>
              <w:left w:val="nil"/>
              <w:bottom w:val="single" w:sz="8" w:space="0" w:color="auto"/>
              <w:right w:val="single" w:sz="8" w:space="0" w:color="auto"/>
              <w:tl2br w:val="nil"/>
              <w:tr2bl w:val="nil"/>
            </w:tcBorders>
            <w:noWrap/>
            <w:textDirection w:val="lrTb"/>
            <w:vAlign w:val="center"/>
          </w:tcPr>
          <w:p w:rsidR="00816E24" w:rsidRPr="00D23807" w:rsidP="00C362EA">
            <w:pPr>
              <w:spacing w:line="240" w:lineRule="auto"/>
              <w:jc w:val="right"/>
              <w:rPr>
                <w:rFonts w:ascii="Arial" w:hAnsi="Arial" w:cs="Arial"/>
                <w:b/>
                <w:bCs/>
                <w:sz w:val="18"/>
                <w:szCs w:val="18"/>
              </w:rPr>
            </w:pPr>
            <w:r w:rsidR="00BC4FB1">
              <w:rPr>
                <w:rFonts w:ascii="Arial" w:hAnsi="Arial" w:cs="Arial"/>
                <w:b/>
                <w:bCs/>
                <w:sz w:val="18"/>
                <w:szCs w:val="18"/>
              </w:rPr>
              <w:t>2 705 000</w:t>
            </w:r>
          </w:p>
        </w:tc>
        <w:tc>
          <w:tcPr>
            <w:tcW w:w="1560" w:type="dxa"/>
            <w:tcBorders>
              <w:top w:val="single" w:sz="12" w:space="0" w:color="auto"/>
              <w:left w:val="nil"/>
              <w:bottom w:val="single" w:sz="8" w:space="0" w:color="auto"/>
              <w:right w:val="single" w:sz="12" w:space="0" w:color="auto"/>
              <w:tl2br w:val="nil"/>
              <w:tr2bl w:val="nil"/>
            </w:tcBorders>
            <w:noWrap/>
            <w:textDirection w:val="lrTb"/>
            <w:vAlign w:val="center"/>
          </w:tcPr>
          <w:p w:rsidR="00816E24" w:rsidRPr="00D23807" w:rsidP="00C362EA">
            <w:pPr>
              <w:spacing w:line="240" w:lineRule="auto"/>
              <w:jc w:val="right"/>
              <w:rPr>
                <w:rFonts w:ascii="Arial" w:hAnsi="Arial" w:cs="Arial"/>
                <w:b/>
                <w:bCs/>
                <w:sz w:val="18"/>
                <w:szCs w:val="18"/>
              </w:rPr>
            </w:pPr>
            <w:r w:rsidR="00BC4FB1">
              <w:rPr>
                <w:rFonts w:ascii="Arial" w:hAnsi="Arial" w:cs="Arial"/>
                <w:b/>
                <w:bCs/>
                <w:sz w:val="18"/>
                <w:szCs w:val="18"/>
              </w:rPr>
              <w:t>2 630 355</w:t>
            </w:r>
          </w:p>
        </w:tc>
        <w:tc>
          <w:tcPr>
            <w:tcW w:w="1442" w:type="dxa"/>
            <w:tcBorders>
              <w:top w:val="single" w:sz="12" w:space="0" w:color="auto"/>
              <w:left w:val="single" w:sz="12" w:space="0" w:color="auto"/>
              <w:bottom w:val="single" w:sz="8" w:space="0" w:color="auto"/>
              <w:right w:val="single" w:sz="8" w:space="0" w:color="auto"/>
              <w:tl2br w:val="nil"/>
              <w:tr2bl w:val="nil"/>
            </w:tcBorders>
            <w:noWrap/>
            <w:textDirection w:val="lrTb"/>
            <w:vAlign w:val="center"/>
          </w:tcPr>
          <w:p w:rsidR="00816E24" w:rsidRPr="00D23807" w:rsidP="00C362EA">
            <w:pPr>
              <w:spacing w:line="240" w:lineRule="auto"/>
              <w:jc w:val="right"/>
              <w:rPr>
                <w:rFonts w:ascii="Arial" w:hAnsi="Arial" w:cs="Arial"/>
                <w:b/>
                <w:bCs/>
                <w:sz w:val="18"/>
                <w:szCs w:val="18"/>
              </w:rPr>
            </w:pPr>
            <w:r>
              <w:rPr>
                <w:rFonts w:ascii="Arial" w:hAnsi="Arial" w:cs="Arial"/>
                <w:b/>
                <w:bCs/>
                <w:sz w:val="18"/>
                <w:szCs w:val="18"/>
              </w:rPr>
              <w:t>0</w:t>
            </w:r>
          </w:p>
        </w:tc>
        <w:tc>
          <w:tcPr>
            <w:tcW w:w="1440" w:type="dxa"/>
            <w:tcBorders>
              <w:top w:val="single" w:sz="12" w:space="0" w:color="auto"/>
              <w:left w:val="nil"/>
              <w:bottom w:val="single" w:sz="8" w:space="0" w:color="auto"/>
              <w:right w:val="single" w:sz="12" w:space="0" w:color="auto"/>
              <w:tl2br w:val="nil"/>
              <w:tr2bl w:val="nil"/>
            </w:tcBorders>
            <w:noWrap/>
            <w:textDirection w:val="lrTb"/>
            <w:vAlign w:val="center"/>
          </w:tcPr>
          <w:p w:rsidR="00816E24" w:rsidRPr="00D23807" w:rsidP="00C362EA">
            <w:pPr>
              <w:spacing w:line="240" w:lineRule="auto"/>
              <w:jc w:val="right"/>
              <w:rPr>
                <w:rFonts w:ascii="Arial" w:hAnsi="Arial" w:cs="Arial"/>
                <w:b/>
                <w:bCs/>
                <w:sz w:val="18"/>
                <w:szCs w:val="18"/>
              </w:rPr>
            </w:pPr>
            <w:r>
              <w:rPr>
                <w:rFonts w:ascii="Arial" w:hAnsi="Arial" w:cs="Arial"/>
                <w:b/>
                <w:bCs/>
                <w:sz w:val="18"/>
                <w:szCs w:val="18"/>
              </w:rPr>
              <w:t>0</w:t>
            </w:r>
          </w:p>
        </w:tc>
      </w:tr>
      <w:tr>
        <w:tblPrEx>
          <w:tblW w:w="10467" w:type="dxa"/>
          <w:tblInd w:w="-497" w:type="dxa"/>
          <w:tblLayout w:type="fixed"/>
          <w:tblCellMar>
            <w:left w:w="70" w:type="dxa"/>
            <w:right w:w="70" w:type="dxa"/>
          </w:tblCellMar>
        </w:tblPrEx>
        <w:trPr>
          <w:trHeight w:val="330"/>
        </w:trPr>
        <w:tc>
          <w:tcPr>
            <w:tcW w:w="2907" w:type="dxa"/>
            <w:tcBorders>
              <w:top w:val="single" w:sz="8" w:space="0" w:color="auto"/>
              <w:left w:val="single" w:sz="12" w:space="0" w:color="auto"/>
              <w:bottom w:val="single" w:sz="12" w:space="0" w:color="auto"/>
              <w:right w:val="single" w:sz="12" w:space="0" w:color="auto"/>
              <w:tl2br w:val="nil"/>
              <w:tr2bl w:val="nil"/>
            </w:tcBorders>
            <w:noWrap/>
            <w:textDirection w:val="lrTb"/>
            <w:vAlign w:val="center"/>
          </w:tcPr>
          <w:p w:rsidR="00816E24" w:rsidRPr="00D23807" w:rsidP="00C362EA">
            <w:pPr>
              <w:spacing w:line="240" w:lineRule="auto"/>
              <w:rPr>
                <w:rFonts w:ascii="Arial" w:hAnsi="Arial" w:cs="Arial"/>
                <w:b/>
                <w:bCs/>
                <w:sz w:val="18"/>
                <w:szCs w:val="18"/>
              </w:rPr>
            </w:pPr>
            <w:r w:rsidRPr="00D23807">
              <w:rPr>
                <w:rFonts w:ascii="Arial" w:hAnsi="Arial" w:cs="Arial"/>
                <w:b/>
                <w:bCs/>
                <w:sz w:val="18"/>
                <w:szCs w:val="18"/>
              </w:rPr>
              <w:t>Doplnkové p</w:t>
            </w:r>
            <w:r w:rsidRPr="00D23807">
              <w:rPr>
                <w:rFonts w:ascii="Arial" w:hAnsi="Arial" w:cs="Arial"/>
                <w:b/>
                <w:bCs/>
                <w:sz w:val="18"/>
                <w:szCs w:val="18"/>
              </w:rPr>
              <w:t xml:space="preserve">ríjmy spolu: </w:t>
            </w:r>
          </w:p>
        </w:tc>
        <w:tc>
          <w:tcPr>
            <w:tcW w:w="1559" w:type="dxa"/>
            <w:tcBorders>
              <w:top w:val="single" w:sz="8" w:space="0" w:color="auto"/>
              <w:left w:val="single" w:sz="12" w:space="0" w:color="auto"/>
              <w:bottom w:val="single" w:sz="12" w:space="0" w:color="auto"/>
              <w:right w:val="single" w:sz="8" w:space="0" w:color="auto"/>
              <w:tl2br w:val="nil"/>
              <w:tr2bl w:val="nil"/>
            </w:tcBorders>
            <w:noWrap/>
            <w:textDirection w:val="lrTb"/>
            <w:vAlign w:val="center"/>
          </w:tcPr>
          <w:p w:rsidR="00816E24" w:rsidRPr="006B5B09" w:rsidP="00C362EA">
            <w:pPr>
              <w:spacing w:line="240" w:lineRule="auto"/>
              <w:jc w:val="right"/>
              <w:rPr>
                <w:rFonts w:ascii="Arial" w:hAnsi="Arial" w:cs="Arial"/>
                <w:b/>
                <w:sz w:val="18"/>
                <w:szCs w:val="18"/>
              </w:rPr>
            </w:pPr>
            <w:r w:rsidRPr="006B5B09">
              <w:rPr>
                <w:rFonts w:ascii="Arial" w:hAnsi="Arial" w:cs="Arial"/>
                <w:b/>
                <w:sz w:val="18"/>
                <w:szCs w:val="18"/>
              </w:rPr>
              <w:t>0</w:t>
            </w:r>
          </w:p>
        </w:tc>
        <w:tc>
          <w:tcPr>
            <w:tcW w:w="1559" w:type="dxa"/>
            <w:tcBorders>
              <w:top w:val="single" w:sz="8" w:space="0" w:color="auto"/>
              <w:left w:val="nil"/>
              <w:bottom w:val="single" w:sz="12" w:space="0" w:color="auto"/>
              <w:right w:val="single" w:sz="8" w:space="0" w:color="auto"/>
              <w:tl2br w:val="nil"/>
              <w:tr2bl w:val="nil"/>
            </w:tcBorders>
            <w:noWrap/>
            <w:textDirection w:val="lrTb"/>
            <w:vAlign w:val="center"/>
          </w:tcPr>
          <w:p w:rsidR="00816E24" w:rsidRPr="006B5B09" w:rsidP="00C362EA">
            <w:pPr>
              <w:spacing w:line="240" w:lineRule="auto"/>
              <w:jc w:val="right"/>
              <w:rPr>
                <w:rFonts w:ascii="Arial" w:hAnsi="Arial" w:cs="Arial"/>
                <w:b/>
                <w:sz w:val="18"/>
                <w:szCs w:val="18"/>
              </w:rPr>
            </w:pPr>
            <w:r w:rsidRPr="006B5B09">
              <w:rPr>
                <w:rFonts w:ascii="Arial" w:hAnsi="Arial" w:cs="Arial"/>
                <w:b/>
                <w:sz w:val="18"/>
                <w:szCs w:val="18"/>
              </w:rPr>
              <w:t>0</w:t>
            </w:r>
          </w:p>
        </w:tc>
        <w:tc>
          <w:tcPr>
            <w:tcW w:w="1560" w:type="dxa"/>
            <w:tcBorders>
              <w:top w:val="single" w:sz="8" w:space="0" w:color="auto"/>
              <w:left w:val="nil"/>
              <w:bottom w:val="single" w:sz="12" w:space="0" w:color="auto"/>
              <w:right w:val="single" w:sz="12" w:space="0" w:color="auto"/>
              <w:tl2br w:val="nil"/>
              <w:tr2bl w:val="nil"/>
            </w:tcBorders>
            <w:noWrap/>
            <w:textDirection w:val="lrTb"/>
            <w:vAlign w:val="center"/>
          </w:tcPr>
          <w:p w:rsidR="00816E24" w:rsidRPr="006B5B09" w:rsidP="00C362EA">
            <w:pPr>
              <w:spacing w:line="240" w:lineRule="auto"/>
              <w:jc w:val="right"/>
              <w:rPr>
                <w:rFonts w:ascii="Arial" w:hAnsi="Arial" w:cs="Arial"/>
                <w:b/>
                <w:sz w:val="18"/>
                <w:szCs w:val="18"/>
              </w:rPr>
            </w:pPr>
            <w:r w:rsidRPr="006B5B09">
              <w:rPr>
                <w:rFonts w:ascii="Arial" w:hAnsi="Arial" w:cs="Arial"/>
                <w:b/>
                <w:sz w:val="18"/>
                <w:szCs w:val="18"/>
              </w:rPr>
              <w:t>0</w:t>
            </w:r>
          </w:p>
        </w:tc>
        <w:tc>
          <w:tcPr>
            <w:tcW w:w="1442" w:type="dxa"/>
            <w:tcBorders>
              <w:top w:val="single" w:sz="8" w:space="0" w:color="auto"/>
              <w:left w:val="single" w:sz="12" w:space="0" w:color="auto"/>
              <w:bottom w:val="single" w:sz="12" w:space="0" w:color="auto"/>
              <w:right w:val="single" w:sz="8" w:space="0" w:color="auto"/>
              <w:tl2br w:val="nil"/>
              <w:tr2bl w:val="nil"/>
            </w:tcBorders>
            <w:noWrap/>
            <w:textDirection w:val="lrTb"/>
            <w:vAlign w:val="center"/>
          </w:tcPr>
          <w:p w:rsidR="00816E24" w:rsidRPr="006B5B09" w:rsidP="00C362EA">
            <w:pPr>
              <w:spacing w:line="240" w:lineRule="auto"/>
              <w:jc w:val="right"/>
              <w:rPr>
                <w:rFonts w:ascii="Arial" w:hAnsi="Arial" w:cs="Arial"/>
                <w:b/>
                <w:sz w:val="18"/>
                <w:szCs w:val="18"/>
              </w:rPr>
            </w:pPr>
            <w:r w:rsidR="00BC4FB1">
              <w:rPr>
                <w:rFonts w:ascii="Arial" w:hAnsi="Arial" w:cs="Arial"/>
                <w:b/>
                <w:sz w:val="18"/>
                <w:szCs w:val="18"/>
              </w:rPr>
              <w:t>5 401</w:t>
            </w:r>
          </w:p>
        </w:tc>
        <w:tc>
          <w:tcPr>
            <w:tcW w:w="1440" w:type="dxa"/>
            <w:tcBorders>
              <w:top w:val="single" w:sz="8" w:space="0" w:color="auto"/>
              <w:left w:val="nil"/>
              <w:bottom w:val="single" w:sz="12" w:space="0" w:color="auto"/>
              <w:right w:val="single" w:sz="12" w:space="0" w:color="auto"/>
              <w:tl2br w:val="nil"/>
              <w:tr2bl w:val="nil"/>
            </w:tcBorders>
            <w:noWrap/>
            <w:textDirection w:val="lrTb"/>
            <w:vAlign w:val="center"/>
          </w:tcPr>
          <w:p w:rsidR="00816E24" w:rsidRPr="00D23807" w:rsidP="00C362EA">
            <w:pPr>
              <w:spacing w:line="240" w:lineRule="auto"/>
              <w:jc w:val="right"/>
              <w:rPr>
                <w:rFonts w:ascii="Arial" w:hAnsi="Arial" w:cs="Arial"/>
                <w:b/>
                <w:bCs/>
                <w:sz w:val="18"/>
                <w:szCs w:val="18"/>
              </w:rPr>
            </w:pPr>
            <w:r w:rsidR="00BC4FB1">
              <w:rPr>
                <w:rFonts w:ascii="Arial" w:hAnsi="Arial" w:cs="Arial"/>
                <w:b/>
                <w:bCs/>
                <w:sz w:val="18"/>
                <w:szCs w:val="18"/>
              </w:rPr>
              <w:t>99 361</w:t>
            </w:r>
          </w:p>
        </w:tc>
      </w:tr>
      <w:tr>
        <w:tblPrEx>
          <w:tblW w:w="10467" w:type="dxa"/>
          <w:tblInd w:w="-497" w:type="dxa"/>
          <w:tblLayout w:type="fixed"/>
          <w:tblCellMar>
            <w:left w:w="70" w:type="dxa"/>
            <w:right w:w="70" w:type="dxa"/>
          </w:tblCellMar>
        </w:tblPrEx>
        <w:trPr>
          <w:trHeight w:val="330"/>
        </w:trPr>
        <w:tc>
          <w:tcPr>
            <w:tcW w:w="2907" w:type="dxa"/>
            <w:tcBorders>
              <w:top w:val="single" w:sz="12" w:space="0" w:color="auto"/>
              <w:left w:val="single" w:sz="12" w:space="0" w:color="auto"/>
              <w:bottom w:val="single" w:sz="12" w:space="0" w:color="auto"/>
              <w:right w:val="single" w:sz="12" w:space="0" w:color="auto"/>
              <w:tl2br w:val="nil"/>
              <w:tr2bl w:val="nil"/>
            </w:tcBorders>
            <w:shd w:val="clear" w:color="auto" w:fill="C0C0C0"/>
            <w:noWrap/>
            <w:textDirection w:val="lrTb"/>
            <w:vAlign w:val="center"/>
          </w:tcPr>
          <w:p w:rsidR="00816E24" w:rsidRPr="00D23807" w:rsidP="00C362EA">
            <w:pPr>
              <w:spacing w:line="240" w:lineRule="auto"/>
              <w:rPr>
                <w:rFonts w:ascii="Arial" w:hAnsi="Arial" w:cs="Arial"/>
                <w:b/>
                <w:bCs/>
                <w:sz w:val="18"/>
                <w:szCs w:val="18"/>
              </w:rPr>
            </w:pPr>
            <w:r>
              <w:rPr>
                <w:rFonts w:ascii="Arial" w:hAnsi="Arial" w:cs="Arial"/>
                <w:b/>
                <w:bCs/>
                <w:sz w:val="18"/>
                <w:szCs w:val="18"/>
              </w:rPr>
              <w:t>Príjmy spolu</w:t>
            </w:r>
            <w:r w:rsidRPr="00D23807">
              <w:rPr>
                <w:rFonts w:ascii="Arial" w:hAnsi="Arial" w:cs="Arial"/>
                <w:b/>
                <w:bCs/>
                <w:sz w:val="18"/>
                <w:szCs w:val="18"/>
              </w:rPr>
              <w:t xml:space="preserve">: </w:t>
            </w:r>
          </w:p>
        </w:tc>
        <w:tc>
          <w:tcPr>
            <w:tcW w:w="1559" w:type="dxa"/>
            <w:tcBorders>
              <w:top w:val="single" w:sz="12" w:space="0" w:color="auto"/>
              <w:left w:val="single" w:sz="12" w:space="0" w:color="auto"/>
              <w:bottom w:val="single" w:sz="12" w:space="0" w:color="auto"/>
              <w:right w:val="single" w:sz="8" w:space="0" w:color="auto"/>
              <w:tl2br w:val="nil"/>
              <w:tr2bl w:val="nil"/>
            </w:tcBorders>
            <w:shd w:val="clear" w:color="auto" w:fill="C0C0C0"/>
            <w:noWrap/>
            <w:textDirection w:val="lrTb"/>
            <w:vAlign w:val="center"/>
          </w:tcPr>
          <w:p w:rsidR="00816E24" w:rsidRPr="00D23807" w:rsidP="00C362EA">
            <w:pPr>
              <w:spacing w:line="240" w:lineRule="auto"/>
              <w:jc w:val="right"/>
              <w:rPr>
                <w:rFonts w:ascii="Arial" w:hAnsi="Arial" w:cs="Arial"/>
                <w:b/>
                <w:bCs/>
                <w:sz w:val="18"/>
                <w:szCs w:val="18"/>
              </w:rPr>
            </w:pPr>
            <w:r w:rsidR="00BC4FB1">
              <w:rPr>
                <w:rFonts w:ascii="Arial" w:hAnsi="Arial" w:cs="Arial"/>
                <w:b/>
                <w:bCs/>
                <w:sz w:val="18"/>
                <w:szCs w:val="18"/>
              </w:rPr>
              <w:t>2 705 000</w:t>
            </w:r>
          </w:p>
        </w:tc>
        <w:tc>
          <w:tcPr>
            <w:tcW w:w="1559" w:type="dxa"/>
            <w:tcBorders>
              <w:top w:val="single" w:sz="12" w:space="0" w:color="auto"/>
              <w:left w:val="nil"/>
              <w:bottom w:val="single" w:sz="12" w:space="0" w:color="auto"/>
              <w:right w:val="single" w:sz="8" w:space="0" w:color="auto"/>
              <w:tl2br w:val="nil"/>
              <w:tr2bl w:val="nil"/>
            </w:tcBorders>
            <w:shd w:val="clear" w:color="auto" w:fill="C0C0C0"/>
            <w:noWrap/>
            <w:textDirection w:val="lrTb"/>
            <w:vAlign w:val="center"/>
          </w:tcPr>
          <w:p w:rsidR="00816E24" w:rsidRPr="00D23807" w:rsidP="00C362EA">
            <w:pPr>
              <w:spacing w:line="240" w:lineRule="auto"/>
              <w:jc w:val="right"/>
              <w:rPr>
                <w:rFonts w:ascii="Arial" w:hAnsi="Arial" w:cs="Arial"/>
                <w:b/>
                <w:bCs/>
                <w:sz w:val="18"/>
                <w:szCs w:val="18"/>
              </w:rPr>
            </w:pPr>
            <w:r w:rsidR="00BC4FB1">
              <w:rPr>
                <w:rFonts w:ascii="Arial" w:hAnsi="Arial" w:cs="Arial"/>
                <w:b/>
                <w:bCs/>
                <w:sz w:val="18"/>
                <w:szCs w:val="18"/>
              </w:rPr>
              <w:t>2 705 000</w:t>
            </w:r>
          </w:p>
        </w:tc>
        <w:tc>
          <w:tcPr>
            <w:tcW w:w="1560" w:type="dxa"/>
            <w:tcBorders>
              <w:top w:val="single" w:sz="12" w:space="0" w:color="auto"/>
              <w:left w:val="nil"/>
              <w:bottom w:val="single" w:sz="12" w:space="0" w:color="auto"/>
              <w:right w:val="single" w:sz="12" w:space="0" w:color="auto"/>
              <w:tl2br w:val="nil"/>
              <w:tr2bl w:val="nil"/>
            </w:tcBorders>
            <w:shd w:val="clear" w:color="auto" w:fill="C0C0C0"/>
            <w:noWrap/>
            <w:textDirection w:val="lrTb"/>
            <w:vAlign w:val="center"/>
          </w:tcPr>
          <w:p w:rsidR="00816E24" w:rsidRPr="00D23807" w:rsidP="00C362EA">
            <w:pPr>
              <w:spacing w:line="240" w:lineRule="auto"/>
              <w:jc w:val="right"/>
              <w:rPr>
                <w:rFonts w:ascii="Arial" w:hAnsi="Arial" w:cs="Arial"/>
                <w:b/>
                <w:bCs/>
                <w:sz w:val="18"/>
                <w:szCs w:val="18"/>
              </w:rPr>
            </w:pPr>
            <w:r w:rsidR="00BC4FB1">
              <w:rPr>
                <w:rFonts w:ascii="Arial" w:hAnsi="Arial" w:cs="Arial"/>
                <w:b/>
                <w:bCs/>
                <w:sz w:val="18"/>
                <w:szCs w:val="18"/>
              </w:rPr>
              <w:t>2 630 355</w:t>
            </w:r>
          </w:p>
        </w:tc>
        <w:tc>
          <w:tcPr>
            <w:tcW w:w="1442" w:type="dxa"/>
            <w:tcBorders>
              <w:top w:val="single" w:sz="12" w:space="0" w:color="auto"/>
              <w:left w:val="single" w:sz="12" w:space="0" w:color="auto"/>
              <w:bottom w:val="single" w:sz="12" w:space="0" w:color="auto"/>
              <w:right w:val="single" w:sz="8" w:space="0" w:color="auto"/>
              <w:tl2br w:val="nil"/>
              <w:tr2bl w:val="nil"/>
            </w:tcBorders>
            <w:shd w:val="clear" w:color="auto" w:fill="C0C0C0"/>
            <w:noWrap/>
            <w:textDirection w:val="lrTb"/>
            <w:vAlign w:val="center"/>
          </w:tcPr>
          <w:p w:rsidR="00816E24" w:rsidRPr="006B5B09" w:rsidP="00C362EA">
            <w:pPr>
              <w:spacing w:line="240" w:lineRule="auto"/>
              <w:jc w:val="right"/>
              <w:rPr>
                <w:rFonts w:ascii="Arial" w:hAnsi="Arial" w:cs="Arial"/>
                <w:b/>
                <w:sz w:val="18"/>
                <w:szCs w:val="18"/>
              </w:rPr>
            </w:pPr>
            <w:r w:rsidR="00BC4FB1">
              <w:rPr>
                <w:rFonts w:ascii="Arial" w:hAnsi="Arial" w:cs="Arial"/>
                <w:b/>
                <w:sz w:val="18"/>
                <w:szCs w:val="18"/>
              </w:rPr>
              <w:t>5 401</w:t>
            </w:r>
          </w:p>
        </w:tc>
        <w:tc>
          <w:tcPr>
            <w:tcW w:w="1440" w:type="dxa"/>
            <w:tcBorders>
              <w:top w:val="single" w:sz="12" w:space="0" w:color="auto"/>
              <w:left w:val="nil"/>
              <w:bottom w:val="single" w:sz="12" w:space="0" w:color="auto"/>
              <w:right w:val="single" w:sz="12" w:space="0" w:color="auto"/>
              <w:tl2br w:val="nil"/>
              <w:tr2bl w:val="nil"/>
            </w:tcBorders>
            <w:shd w:val="clear" w:color="auto" w:fill="C0C0C0"/>
            <w:noWrap/>
            <w:textDirection w:val="lrTb"/>
            <w:vAlign w:val="center"/>
          </w:tcPr>
          <w:p w:rsidR="00816E24" w:rsidRPr="00D23807" w:rsidP="00C362EA">
            <w:pPr>
              <w:spacing w:line="240" w:lineRule="auto"/>
              <w:jc w:val="right"/>
              <w:rPr>
                <w:rFonts w:ascii="Arial" w:hAnsi="Arial" w:cs="Arial"/>
                <w:b/>
                <w:bCs/>
                <w:sz w:val="18"/>
                <w:szCs w:val="18"/>
              </w:rPr>
            </w:pPr>
            <w:r w:rsidR="00BC4FB1">
              <w:rPr>
                <w:rFonts w:ascii="Arial" w:hAnsi="Arial" w:cs="Arial"/>
                <w:b/>
                <w:bCs/>
                <w:sz w:val="18"/>
                <w:szCs w:val="18"/>
              </w:rPr>
              <w:t>99 361</w:t>
            </w:r>
          </w:p>
        </w:tc>
      </w:tr>
    </w:tbl>
    <w:p w:rsidR="00A96F31" w:rsidP="00C362EA">
      <w:pPr>
        <w:spacing w:line="240" w:lineRule="auto"/>
        <w:rPr>
          <w:rFonts w:ascii="Times New Roman" w:hAnsi="Times New Roman" w:cs="Times New Roman"/>
          <w:b/>
          <w:sz w:val="28"/>
          <w:szCs w:val="28"/>
          <w:u w:val="single"/>
        </w:rPr>
      </w:pPr>
    </w:p>
    <w:p w:rsidR="00697F78" w:rsidP="00C362EA">
      <w:pPr>
        <w:spacing w:line="240" w:lineRule="auto"/>
        <w:rPr>
          <w:rFonts w:ascii="Times New Roman" w:hAnsi="Times New Roman" w:cs="Times New Roman"/>
          <w:b/>
          <w:sz w:val="28"/>
          <w:szCs w:val="28"/>
          <w:u w:val="single"/>
        </w:rPr>
      </w:pPr>
    </w:p>
    <w:p w:rsidR="00D27E26" w:rsidP="00C362EA">
      <w:pPr>
        <w:spacing w:line="240" w:lineRule="auto"/>
        <w:jc w:val="center"/>
        <w:rPr>
          <w:rFonts w:ascii="Times New Roman" w:hAnsi="Times New Roman" w:cs="Times New Roman"/>
          <w:b/>
          <w:sz w:val="28"/>
          <w:szCs w:val="28"/>
          <w:u w:val="single"/>
        </w:rPr>
      </w:pPr>
      <w:r w:rsidRPr="00D23807">
        <w:rPr>
          <w:rFonts w:ascii="Times New Roman" w:hAnsi="Times New Roman" w:cs="Times New Roman"/>
          <w:b/>
          <w:sz w:val="28"/>
          <w:szCs w:val="28"/>
          <w:u w:val="single"/>
        </w:rPr>
        <w:t>Vyhodnotenie plnenia príjmov podľa jednotlivých rozpočtových organiz</w:t>
      </w:r>
      <w:r w:rsidR="00810392">
        <w:rPr>
          <w:rFonts w:ascii="Times New Roman" w:hAnsi="Times New Roman" w:cs="Times New Roman"/>
          <w:b/>
          <w:sz w:val="28"/>
          <w:szCs w:val="28"/>
          <w:u w:val="single"/>
        </w:rPr>
        <w:t>ácií rezortu MDPT SR v roku 2007</w:t>
      </w:r>
    </w:p>
    <w:p w:rsidR="006E4CF4" w:rsidRPr="000F695D" w:rsidP="00C362EA">
      <w:pPr>
        <w:pStyle w:val="BodyTextIndent"/>
        <w:spacing w:line="240" w:lineRule="auto"/>
        <w:ind w:firstLine="0"/>
        <w:jc w:val="left"/>
        <w:rPr>
          <w:rFonts w:ascii="Times New Roman" w:hAnsi="Times New Roman" w:cs="Times New Roman"/>
          <w:sz w:val="24"/>
        </w:rPr>
      </w:pPr>
      <w:r w:rsidRPr="00D23807" w:rsidR="009E5CF0">
        <w:rPr>
          <w:rFonts w:ascii="Times New Roman" w:hAnsi="Times New Roman" w:cs="Times New Roman"/>
          <w:sz w:val="24"/>
        </w:rPr>
        <w:t xml:space="preserve"> </w:t>
      </w:r>
    </w:p>
    <w:p w:rsidR="00BB6DFF" w:rsidP="00C362EA">
      <w:pPr>
        <w:pStyle w:val="BodyTextIndent"/>
        <w:spacing w:line="240" w:lineRule="auto"/>
        <w:rPr>
          <w:rFonts w:ascii="Times New Roman" w:hAnsi="Times New Roman" w:cs="Times New Roman"/>
          <w:b/>
          <w:sz w:val="28"/>
          <w:szCs w:val="28"/>
          <w:u w:val="single"/>
        </w:rPr>
      </w:pPr>
      <w:r w:rsidRPr="00BB6DFF">
        <w:rPr>
          <w:rFonts w:ascii="Times New Roman" w:hAnsi="Times New Roman" w:cs="Times New Roman"/>
          <w:b/>
          <w:sz w:val="28"/>
          <w:szCs w:val="28"/>
          <w:u w:val="single"/>
        </w:rPr>
        <w:t>MDPT SR – ústredný orgán</w:t>
      </w:r>
    </w:p>
    <w:p w:rsidR="00BA6D23" w:rsidRPr="00BB6DFF" w:rsidP="00C362EA">
      <w:pPr>
        <w:pStyle w:val="BodyTextIndent"/>
        <w:spacing w:line="240" w:lineRule="auto"/>
        <w:rPr>
          <w:rFonts w:ascii="Times New Roman" w:hAnsi="Times New Roman" w:cs="Times New Roman"/>
          <w:b/>
          <w:sz w:val="28"/>
          <w:szCs w:val="28"/>
          <w:u w:val="single"/>
        </w:rPr>
      </w:pPr>
    </w:p>
    <w:p w:rsidR="00BB6DFF" w:rsidP="00C362EA">
      <w:pPr>
        <w:pStyle w:val="BodyTextIndent"/>
        <w:spacing w:line="240" w:lineRule="auto"/>
        <w:rPr>
          <w:rFonts w:ascii="Times New Roman" w:hAnsi="Times New Roman" w:cs="Times New Roman"/>
          <w:sz w:val="24"/>
          <w:szCs w:val="24"/>
        </w:rPr>
      </w:pPr>
      <w:r>
        <w:rPr>
          <w:rFonts w:ascii="Times New Roman" w:hAnsi="Times New Roman" w:cs="Times New Roman"/>
          <w:sz w:val="24"/>
          <w:szCs w:val="24"/>
        </w:rPr>
        <w:t>Rozpisom</w:t>
      </w:r>
      <w:r w:rsidRPr="00387389">
        <w:rPr>
          <w:rFonts w:ascii="Times New Roman" w:hAnsi="Times New Roman" w:cs="Times New Roman"/>
          <w:sz w:val="24"/>
          <w:szCs w:val="24"/>
        </w:rPr>
        <w:t xml:space="preserve"> záväzných ukazovateľ</w:t>
      </w:r>
      <w:r w:rsidR="00527F76">
        <w:rPr>
          <w:rFonts w:ascii="Times New Roman" w:hAnsi="Times New Roman" w:cs="Times New Roman"/>
          <w:sz w:val="24"/>
          <w:szCs w:val="24"/>
        </w:rPr>
        <w:t>ov štátneho rozpoč</w:t>
      </w:r>
      <w:r w:rsidR="000F38E7">
        <w:rPr>
          <w:rFonts w:ascii="Times New Roman" w:hAnsi="Times New Roman" w:cs="Times New Roman"/>
          <w:sz w:val="24"/>
          <w:szCs w:val="24"/>
        </w:rPr>
        <w:t xml:space="preserve">tu na rok 2007 bol pre správu ministerstva určený záväzný limit </w:t>
      </w:r>
      <w:r w:rsidRPr="00387389">
        <w:rPr>
          <w:rFonts w:ascii="Times New Roman" w:hAnsi="Times New Roman" w:cs="Times New Roman"/>
          <w:sz w:val="24"/>
          <w:szCs w:val="24"/>
        </w:rPr>
        <w:t>v obl</w:t>
      </w:r>
      <w:r w:rsidR="008A20FB">
        <w:rPr>
          <w:rFonts w:ascii="Times New Roman" w:hAnsi="Times New Roman" w:cs="Times New Roman"/>
          <w:sz w:val="24"/>
          <w:szCs w:val="24"/>
        </w:rPr>
        <w:t>asti príjmov</w:t>
      </w:r>
      <w:r w:rsidR="000F38E7">
        <w:rPr>
          <w:rFonts w:ascii="Times New Roman" w:hAnsi="Times New Roman" w:cs="Times New Roman"/>
          <w:sz w:val="24"/>
          <w:szCs w:val="24"/>
        </w:rPr>
        <w:t xml:space="preserve"> vo výške 2,3 mld. Sk. V priebehu roka nebol tento limit upravený žiadnymi rozpočtovými opatreniami. </w:t>
      </w:r>
    </w:p>
    <w:p w:rsidR="006E4CF4" w:rsidP="00C362EA">
      <w:pPr>
        <w:pStyle w:val="BodyTextIndent"/>
        <w:spacing w:line="240" w:lineRule="auto"/>
        <w:ind w:firstLine="0"/>
        <w:rPr>
          <w:rFonts w:ascii="Times New Roman" w:hAnsi="Times New Roman" w:cs="Times New Roman"/>
          <w:color w:val="000000"/>
          <w:sz w:val="24"/>
          <w:szCs w:val="24"/>
        </w:rPr>
      </w:pPr>
    </w:p>
    <w:p w:rsidR="00925F17" w:rsidRPr="00540BF8" w:rsidP="00C362EA">
      <w:pPr>
        <w:spacing w:line="240" w:lineRule="auto"/>
        <w:ind w:firstLine="708"/>
        <w:jc w:val="center"/>
        <w:rPr>
          <w:rFonts w:ascii="Times New Roman" w:hAnsi="Times New Roman" w:cs="Times New Roman"/>
          <w:b/>
          <w:sz w:val="24"/>
          <w:szCs w:val="24"/>
        </w:rPr>
      </w:pPr>
      <w:r w:rsidR="00670E1B">
        <w:rPr>
          <w:rFonts w:ascii="Times New Roman" w:hAnsi="Times New Roman" w:cs="Times New Roman"/>
          <w:b/>
          <w:sz w:val="24"/>
          <w:szCs w:val="24"/>
        </w:rPr>
        <w:t xml:space="preserve">Skutočné príjmy </w:t>
      </w:r>
      <w:r w:rsidR="000F38E7">
        <w:rPr>
          <w:rFonts w:ascii="Times New Roman" w:hAnsi="Times New Roman" w:cs="Times New Roman"/>
          <w:b/>
          <w:sz w:val="24"/>
          <w:szCs w:val="24"/>
        </w:rPr>
        <w:t>úradu MDPT SR za rok 2007</w:t>
      </w:r>
    </w:p>
    <w:p w:rsidR="006E4CF4" w:rsidP="00C362EA">
      <w:pPr>
        <w:spacing w:line="240" w:lineRule="auto"/>
        <w:ind w:left="360"/>
        <w:rPr>
          <w:rFonts w:ascii="Times New Roman" w:hAnsi="Times New Roman" w:cs="Times New Roman"/>
        </w:rPr>
      </w:pPr>
    </w:p>
    <w:tbl>
      <w:tblPr>
        <w:tblW w:w="90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
      <w:tblGrid>
        <w:gridCol w:w="1128"/>
        <w:gridCol w:w="6400"/>
        <w:gridCol w:w="1545"/>
      </w:tblGrid>
      <w:tr>
        <w:tblPrEx>
          <w:tblW w:w="90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84"/>
        </w:trPr>
        <w:tc>
          <w:tcPr>
            <w:tcW w:w="1128" w:type="dxa"/>
            <w:tcBorders>
              <w:top w:val="single" w:sz="4" w:space="0" w:color="auto"/>
              <w:left w:val="single" w:sz="4" w:space="0" w:color="auto"/>
              <w:bottom w:val="single" w:sz="4" w:space="0" w:color="auto"/>
              <w:right w:val="single" w:sz="4" w:space="0" w:color="auto"/>
              <w:tl2br w:val="nil"/>
              <w:tr2bl w:val="nil"/>
            </w:tcBorders>
            <w:shd w:val="clear" w:color="auto" w:fill="C0C0C0"/>
            <w:noWrap/>
            <w:textDirection w:val="lrTb"/>
            <w:vAlign w:val="center"/>
          </w:tcPr>
          <w:p w:rsidR="00925F17" w:rsidRPr="00B7501C" w:rsidP="00C362EA">
            <w:pPr>
              <w:spacing w:line="240" w:lineRule="auto"/>
              <w:jc w:val="center"/>
              <w:rPr>
                <w:rFonts w:ascii="Arial Narrow" w:hAnsi="Arial Narrow" w:cs="Times New Roman"/>
                <w:b/>
                <w:sz w:val="24"/>
                <w:szCs w:val="24"/>
                <w:highlight w:val="lightGray"/>
              </w:rPr>
            </w:pPr>
            <w:r w:rsidRPr="00B7501C">
              <w:rPr>
                <w:rFonts w:ascii="Arial Narrow" w:hAnsi="Arial Narrow" w:cs="Times New Roman"/>
                <w:b/>
                <w:sz w:val="24"/>
                <w:szCs w:val="24"/>
                <w:highlight w:val="lightGray"/>
              </w:rPr>
              <w:t>Položka</w:t>
            </w:r>
          </w:p>
        </w:tc>
        <w:tc>
          <w:tcPr>
            <w:tcW w:w="6400" w:type="dxa"/>
            <w:tcBorders>
              <w:top w:val="single" w:sz="4" w:space="0" w:color="auto"/>
              <w:left w:val="single" w:sz="4" w:space="0" w:color="auto"/>
              <w:bottom w:val="single" w:sz="4" w:space="0" w:color="auto"/>
              <w:right w:val="single" w:sz="4" w:space="0" w:color="auto"/>
              <w:tl2br w:val="nil"/>
              <w:tr2bl w:val="nil"/>
            </w:tcBorders>
            <w:shd w:val="clear" w:color="auto" w:fill="C0C0C0"/>
            <w:noWrap/>
            <w:textDirection w:val="lrTb"/>
            <w:vAlign w:val="center"/>
          </w:tcPr>
          <w:p w:rsidR="00925F17" w:rsidRPr="00B7501C" w:rsidP="00C362EA">
            <w:pPr>
              <w:spacing w:line="240" w:lineRule="auto"/>
              <w:jc w:val="center"/>
              <w:rPr>
                <w:rFonts w:ascii="Arial Narrow" w:hAnsi="Arial Narrow" w:cs="Times New Roman"/>
                <w:b/>
                <w:sz w:val="24"/>
                <w:szCs w:val="24"/>
                <w:highlight w:val="lightGray"/>
              </w:rPr>
            </w:pPr>
            <w:r w:rsidRPr="00B7501C">
              <w:rPr>
                <w:rFonts w:ascii="Arial Narrow" w:hAnsi="Arial Narrow" w:cs="Times New Roman"/>
                <w:b/>
                <w:sz w:val="24"/>
                <w:szCs w:val="24"/>
                <w:highlight w:val="lightGray"/>
              </w:rPr>
              <w:t>Názov</w:t>
            </w:r>
          </w:p>
        </w:tc>
        <w:tc>
          <w:tcPr>
            <w:tcW w:w="1492" w:type="dxa"/>
            <w:tcBorders>
              <w:top w:val="single" w:sz="4" w:space="0" w:color="auto"/>
              <w:left w:val="single" w:sz="4" w:space="0" w:color="auto"/>
              <w:bottom w:val="single" w:sz="4" w:space="0" w:color="auto"/>
              <w:right w:val="single" w:sz="4" w:space="0" w:color="auto"/>
              <w:tl2br w:val="nil"/>
              <w:tr2bl w:val="nil"/>
            </w:tcBorders>
            <w:shd w:val="clear" w:color="auto" w:fill="C0C0C0"/>
            <w:noWrap/>
            <w:textDirection w:val="lrTb"/>
            <w:vAlign w:val="center"/>
          </w:tcPr>
          <w:p w:rsidR="00925F17" w:rsidRPr="00B7501C" w:rsidP="00C362EA">
            <w:pPr>
              <w:spacing w:line="240" w:lineRule="auto"/>
              <w:jc w:val="right"/>
              <w:rPr>
                <w:rFonts w:ascii="Arial Narrow" w:hAnsi="Arial Narrow" w:cs="Times New Roman"/>
                <w:b/>
                <w:sz w:val="24"/>
                <w:szCs w:val="24"/>
                <w:highlight w:val="lightGray"/>
              </w:rPr>
            </w:pPr>
            <w:r w:rsidRPr="00B7501C">
              <w:rPr>
                <w:rFonts w:ascii="Arial Narrow" w:hAnsi="Arial Narrow" w:cs="Times New Roman"/>
                <w:b/>
                <w:sz w:val="24"/>
                <w:szCs w:val="24"/>
                <w:highlight w:val="lightGray"/>
              </w:rPr>
              <w:t>Suma v</w:t>
            </w:r>
            <w:r w:rsidR="00C26514">
              <w:rPr>
                <w:rFonts w:ascii="Arial Narrow" w:hAnsi="Arial Narrow" w:cs="Times New Roman"/>
                <w:b/>
                <w:sz w:val="24"/>
                <w:szCs w:val="24"/>
                <w:highlight w:val="lightGray"/>
              </w:rPr>
              <w:t> </w:t>
            </w:r>
            <w:r w:rsidRPr="00B7501C">
              <w:rPr>
                <w:rFonts w:ascii="Arial Narrow" w:hAnsi="Arial Narrow" w:cs="Times New Roman"/>
                <w:b/>
                <w:sz w:val="24"/>
                <w:szCs w:val="24"/>
                <w:highlight w:val="lightGray"/>
              </w:rPr>
              <w:t>Sk</w:t>
            </w:r>
          </w:p>
        </w:tc>
      </w:tr>
      <w:tr>
        <w:tblPrEx>
          <w:tblW w:w="9020" w:type="dxa"/>
          <w:tblInd w:w="70" w:type="dxa"/>
          <w:tblCellMar>
            <w:left w:w="70" w:type="dxa"/>
            <w:right w:w="70" w:type="dxa"/>
          </w:tblCellMar>
        </w:tblPrEx>
        <w:trPr>
          <w:trHeight w:val="284"/>
        </w:trPr>
        <w:tc>
          <w:tcPr>
            <w:tcW w:w="1128"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925F17" w:rsidRPr="00B7501C" w:rsidP="00C362EA">
            <w:pPr>
              <w:spacing w:line="240" w:lineRule="auto"/>
              <w:jc w:val="center"/>
              <w:rPr>
                <w:rFonts w:ascii="Arial Narrow" w:hAnsi="Arial Narrow" w:cs="Times New Roman"/>
                <w:b/>
                <w:bCs/>
                <w:sz w:val="22"/>
                <w:szCs w:val="22"/>
              </w:rPr>
            </w:pPr>
            <w:r w:rsidR="00D64AEA">
              <w:rPr>
                <w:rFonts w:ascii="Arial Narrow" w:hAnsi="Arial Narrow" w:cs="Times New Roman"/>
                <w:b/>
                <w:bCs/>
                <w:sz w:val="22"/>
                <w:szCs w:val="22"/>
              </w:rPr>
              <w:t>21</w:t>
            </w:r>
          </w:p>
        </w:tc>
        <w:tc>
          <w:tcPr>
            <w:tcW w:w="640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925F17" w:rsidRPr="00B7501C" w:rsidP="00C362EA">
            <w:pPr>
              <w:spacing w:line="240" w:lineRule="auto"/>
              <w:rPr>
                <w:rFonts w:ascii="Arial Narrow" w:hAnsi="Arial Narrow" w:cs="Times New Roman"/>
                <w:b/>
                <w:bCs/>
                <w:sz w:val="22"/>
                <w:szCs w:val="22"/>
              </w:rPr>
            </w:pPr>
            <w:r>
              <w:rPr>
                <w:rFonts w:ascii="Arial Narrow" w:hAnsi="Arial Narrow" w:cs="Times New Roman"/>
                <w:b/>
                <w:bCs/>
                <w:sz w:val="22"/>
                <w:szCs w:val="22"/>
              </w:rPr>
              <w:t xml:space="preserve">Príjmy z podnikania a vlastníctva majetku </w:t>
            </w:r>
            <w:r w:rsidR="00D32AE0">
              <w:rPr>
                <w:rFonts w:ascii="Arial Narrow" w:hAnsi="Arial Narrow" w:cs="Times New Roman"/>
                <w:bCs/>
                <w:sz w:val="22"/>
                <w:szCs w:val="22"/>
              </w:rPr>
              <w:t xml:space="preserve">(dividendy </w:t>
            </w:r>
            <w:r w:rsidRPr="00CD7BD8" w:rsidR="00CD7BD8">
              <w:rPr>
                <w:rFonts w:ascii="Arial Narrow" w:hAnsi="Arial Narrow" w:cs="Times New Roman"/>
                <w:bCs/>
                <w:sz w:val="22"/>
                <w:szCs w:val="22"/>
              </w:rPr>
              <w:t>a pod.)</w:t>
            </w:r>
          </w:p>
        </w:tc>
        <w:tc>
          <w:tcPr>
            <w:tcW w:w="1492"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925F17" w:rsidRPr="00B7501C" w:rsidP="00C362EA">
            <w:pPr>
              <w:spacing w:line="240" w:lineRule="auto"/>
              <w:jc w:val="right"/>
              <w:rPr>
                <w:rFonts w:ascii="Arial Narrow" w:hAnsi="Arial Narrow" w:cs="Times New Roman"/>
                <w:bCs/>
                <w:sz w:val="22"/>
                <w:szCs w:val="22"/>
              </w:rPr>
            </w:pPr>
            <w:r w:rsidR="000F38E7">
              <w:rPr>
                <w:rFonts w:ascii="Arial Narrow" w:hAnsi="Arial Narrow" w:cs="Times New Roman"/>
                <w:bCs/>
                <w:sz w:val="22"/>
                <w:szCs w:val="22"/>
              </w:rPr>
              <w:t>1 995 902 968,65</w:t>
            </w:r>
          </w:p>
        </w:tc>
      </w:tr>
      <w:tr>
        <w:tblPrEx>
          <w:tblW w:w="9020" w:type="dxa"/>
          <w:tblInd w:w="70" w:type="dxa"/>
          <w:tblCellMar>
            <w:left w:w="70" w:type="dxa"/>
            <w:right w:w="70" w:type="dxa"/>
          </w:tblCellMar>
        </w:tblPrEx>
        <w:trPr>
          <w:trHeight w:val="284"/>
        </w:trPr>
        <w:tc>
          <w:tcPr>
            <w:tcW w:w="1128"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925F17" w:rsidRPr="00B7501C" w:rsidP="00C362EA">
            <w:pPr>
              <w:spacing w:line="240" w:lineRule="auto"/>
              <w:jc w:val="center"/>
              <w:rPr>
                <w:rFonts w:ascii="Arial Narrow" w:hAnsi="Arial Narrow" w:cs="Times New Roman"/>
                <w:b/>
                <w:bCs/>
                <w:sz w:val="22"/>
                <w:szCs w:val="22"/>
              </w:rPr>
            </w:pPr>
            <w:r>
              <w:rPr>
                <w:rFonts w:ascii="Arial Narrow" w:hAnsi="Arial Narrow" w:cs="Times New Roman"/>
                <w:b/>
                <w:bCs/>
                <w:sz w:val="22"/>
                <w:szCs w:val="22"/>
              </w:rPr>
              <w:t>22</w:t>
            </w:r>
          </w:p>
        </w:tc>
        <w:tc>
          <w:tcPr>
            <w:tcW w:w="640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925F17" w:rsidRPr="00B7501C" w:rsidP="00C362EA">
            <w:pPr>
              <w:spacing w:line="240" w:lineRule="auto"/>
              <w:rPr>
                <w:rFonts w:ascii="Arial Narrow" w:hAnsi="Arial Narrow" w:cs="Times New Roman"/>
                <w:b/>
                <w:bCs/>
                <w:sz w:val="22"/>
                <w:szCs w:val="22"/>
              </w:rPr>
            </w:pPr>
            <w:r w:rsidR="00D32AE0">
              <w:rPr>
                <w:rFonts w:ascii="Arial Narrow" w:hAnsi="Arial Narrow" w:cs="Times New Roman"/>
                <w:b/>
                <w:bCs/>
                <w:sz w:val="22"/>
                <w:szCs w:val="22"/>
              </w:rPr>
              <w:t xml:space="preserve">Admin. </w:t>
            </w:r>
            <w:r>
              <w:rPr>
                <w:rFonts w:ascii="Arial Narrow" w:hAnsi="Arial Narrow" w:cs="Times New Roman"/>
                <w:b/>
                <w:bCs/>
                <w:sz w:val="22"/>
                <w:szCs w:val="22"/>
              </w:rPr>
              <w:t xml:space="preserve">a iné poplatky </w:t>
            </w:r>
            <w:r w:rsidRPr="00D45BA9">
              <w:rPr>
                <w:rFonts w:ascii="Arial Narrow" w:hAnsi="Arial Narrow" w:cs="Times New Roman"/>
                <w:b/>
                <w:bCs/>
                <w:sz w:val="22"/>
                <w:szCs w:val="22"/>
              </w:rPr>
              <w:t>a platby</w:t>
            </w:r>
            <w:r w:rsidR="00D64AEA">
              <w:rPr>
                <w:rFonts w:ascii="Arial Narrow" w:hAnsi="Arial Narrow" w:cs="Times New Roman"/>
                <w:bCs/>
                <w:sz w:val="22"/>
                <w:szCs w:val="22"/>
              </w:rPr>
              <w:t xml:space="preserve"> (z</w:t>
            </w:r>
            <w:r w:rsidR="00D32AE0">
              <w:rPr>
                <w:rFonts w:ascii="Arial Narrow" w:hAnsi="Arial Narrow" w:cs="Times New Roman"/>
                <w:bCs/>
                <w:sz w:val="22"/>
                <w:szCs w:val="22"/>
              </w:rPr>
              <w:t xml:space="preserve"> pokút, za predaj výr., tovar. a služieb </w:t>
            </w:r>
            <w:r w:rsidR="00D64AEA">
              <w:rPr>
                <w:rFonts w:ascii="Arial Narrow" w:hAnsi="Arial Narrow" w:cs="Times New Roman"/>
                <w:bCs/>
                <w:sz w:val="22"/>
                <w:szCs w:val="22"/>
              </w:rPr>
              <w:t>atď</w:t>
            </w:r>
            <w:r w:rsidRPr="00D45BA9">
              <w:rPr>
                <w:rFonts w:ascii="Arial Narrow" w:hAnsi="Arial Narrow" w:cs="Times New Roman"/>
                <w:bCs/>
                <w:sz w:val="22"/>
                <w:szCs w:val="22"/>
              </w:rPr>
              <w:t>.)</w:t>
            </w:r>
          </w:p>
        </w:tc>
        <w:tc>
          <w:tcPr>
            <w:tcW w:w="1492"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925F17" w:rsidRPr="00B7501C" w:rsidP="00C362EA">
            <w:pPr>
              <w:spacing w:line="240" w:lineRule="auto"/>
              <w:jc w:val="right"/>
              <w:rPr>
                <w:rFonts w:ascii="Arial Narrow" w:hAnsi="Arial Narrow" w:cs="Times New Roman"/>
                <w:bCs/>
                <w:sz w:val="22"/>
                <w:szCs w:val="22"/>
              </w:rPr>
            </w:pPr>
            <w:r w:rsidR="000F38E7">
              <w:rPr>
                <w:rFonts w:ascii="Arial Narrow" w:hAnsi="Arial Narrow" w:cs="Times New Roman"/>
                <w:bCs/>
                <w:sz w:val="22"/>
                <w:szCs w:val="22"/>
              </w:rPr>
              <w:t>1 215 955,00</w:t>
            </w:r>
          </w:p>
        </w:tc>
      </w:tr>
      <w:tr>
        <w:tblPrEx>
          <w:tblW w:w="9020" w:type="dxa"/>
          <w:tblInd w:w="70" w:type="dxa"/>
          <w:tblCellMar>
            <w:left w:w="70" w:type="dxa"/>
            <w:right w:w="70" w:type="dxa"/>
          </w:tblCellMar>
        </w:tblPrEx>
        <w:trPr>
          <w:trHeight w:val="284"/>
        </w:trPr>
        <w:tc>
          <w:tcPr>
            <w:tcW w:w="1128"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CD7BD8" w:rsidRPr="00B7501C" w:rsidP="00C362EA">
            <w:pPr>
              <w:spacing w:line="240" w:lineRule="auto"/>
              <w:jc w:val="center"/>
              <w:rPr>
                <w:rFonts w:ascii="Arial Narrow" w:hAnsi="Arial Narrow" w:cs="Times New Roman"/>
                <w:b/>
                <w:bCs/>
                <w:sz w:val="22"/>
                <w:szCs w:val="22"/>
              </w:rPr>
            </w:pPr>
            <w:r>
              <w:rPr>
                <w:rFonts w:ascii="Arial Narrow" w:hAnsi="Arial Narrow" w:cs="Times New Roman"/>
                <w:b/>
                <w:bCs/>
                <w:sz w:val="22"/>
                <w:szCs w:val="22"/>
              </w:rPr>
              <w:t>29</w:t>
            </w:r>
          </w:p>
        </w:tc>
        <w:tc>
          <w:tcPr>
            <w:tcW w:w="640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CD7BD8" w:rsidRPr="00B7501C" w:rsidP="00C362EA">
            <w:pPr>
              <w:spacing w:line="240" w:lineRule="auto"/>
              <w:rPr>
                <w:rFonts w:ascii="Arial Narrow" w:hAnsi="Arial Narrow" w:cs="Times New Roman"/>
                <w:b/>
                <w:bCs/>
                <w:sz w:val="22"/>
                <w:szCs w:val="22"/>
              </w:rPr>
            </w:pPr>
            <w:r>
              <w:rPr>
                <w:rFonts w:ascii="Arial Narrow" w:hAnsi="Arial Narrow" w:cs="Times New Roman"/>
                <w:b/>
                <w:bCs/>
                <w:sz w:val="22"/>
                <w:szCs w:val="22"/>
              </w:rPr>
              <w:t xml:space="preserve">Iné nedaňové príjmy </w:t>
            </w:r>
            <w:r w:rsidRPr="00D906CE">
              <w:rPr>
                <w:rFonts w:ascii="Arial Narrow" w:hAnsi="Arial Narrow" w:cs="Times New Roman"/>
                <w:bCs/>
                <w:sz w:val="22"/>
                <w:szCs w:val="22"/>
              </w:rPr>
              <w:t xml:space="preserve">(z dobropisov, </w:t>
            </w:r>
            <w:r>
              <w:rPr>
                <w:rFonts w:ascii="Arial Narrow" w:hAnsi="Arial Narrow" w:cs="Times New Roman"/>
                <w:bCs/>
                <w:sz w:val="22"/>
                <w:szCs w:val="22"/>
              </w:rPr>
              <w:t>vratky, úroky z</w:t>
            </w:r>
            <w:r w:rsidR="00527F76">
              <w:rPr>
                <w:rFonts w:ascii="Arial Narrow" w:hAnsi="Arial Narrow" w:cs="Times New Roman"/>
                <w:bCs/>
                <w:sz w:val="22"/>
                <w:szCs w:val="22"/>
              </w:rPr>
              <w:t> </w:t>
            </w:r>
            <w:r>
              <w:rPr>
                <w:rFonts w:ascii="Arial Narrow" w:hAnsi="Arial Narrow" w:cs="Times New Roman"/>
                <w:bCs/>
                <w:sz w:val="22"/>
                <w:szCs w:val="22"/>
              </w:rPr>
              <w:t>prostriedkov</w:t>
            </w:r>
            <w:r>
              <w:rPr>
                <w:rFonts w:ascii="Arial Narrow" w:hAnsi="Arial Narrow" w:cs="Times New Roman"/>
                <w:bCs/>
                <w:sz w:val="22"/>
                <w:szCs w:val="22"/>
              </w:rPr>
              <w:t xml:space="preserve"> ŠR </w:t>
            </w:r>
            <w:r w:rsidRPr="00D906CE">
              <w:rPr>
                <w:rFonts w:ascii="Arial Narrow" w:hAnsi="Arial Narrow" w:cs="Times New Roman"/>
                <w:bCs/>
                <w:sz w:val="22"/>
                <w:szCs w:val="22"/>
              </w:rPr>
              <w:t>atď.)</w:t>
            </w:r>
          </w:p>
        </w:tc>
        <w:tc>
          <w:tcPr>
            <w:tcW w:w="1492"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CD7BD8" w:rsidRPr="00B7501C" w:rsidP="00C362EA">
            <w:pPr>
              <w:spacing w:line="240" w:lineRule="auto"/>
              <w:jc w:val="right"/>
              <w:rPr>
                <w:rFonts w:ascii="Arial Narrow" w:hAnsi="Arial Narrow" w:cs="Times New Roman"/>
                <w:bCs/>
                <w:sz w:val="22"/>
                <w:szCs w:val="22"/>
              </w:rPr>
            </w:pPr>
            <w:r w:rsidR="00D32AE0">
              <w:rPr>
                <w:rFonts w:ascii="Arial Narrow" w:hAnsi="Arial Narrow" w:cs="Times New Roman"/>
                <w:bCs/>
                <w:sz w:val="22"/>
                <w:szCs w:val="22"/>
              </w:rPr>
              <w:t xml:space="preserve"> </w:t>
            </w:r>
            <w:r w:rsidR="000F38E7">
              <w:rPr>
                <w:rFonts w:ascii="Arial Narrow" w:hAnsi="Arial Narrow" w:cs="Times New Roman"/>
                <w:bCs/>
                <w:sz w:val="22"/>
                <w:szCs w:val="22"/>
              </w:rPr>
              <w:t>3 203 113,08</w:t>
            </w:r>
          </w:p>
        </w:tc>
      </w:tr>
      <w:tr>
        <w:tblPrEx>
          <w:tblW w:w="9020" w:type="dxa"/>
          <w:tblInd w:w="70" w:type="dxa"/>
          <w:tblCellMar>
            <w:left w:w="70" w:type="dxa"/>
            <w:right w:w="70" w:type="dxa"/>
          </w:tblCellMar>
        </w:tblPrEx>
        <w:trPr>
          <w:trHeight w:val="284"/>
        </w:trPr>
        <w:tc>
          <w:tcPr>
            <w:tcW w:w="1128"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CD7BD8" w:rsidRPr="00B7501C" w:rsidP="00C362EA">
            <w:pPr>
              <w:spacing w:line="240" w:lineRule="auto"/>
              <w:jc w:val="center"/>
              <w:rPr>
                <w:rFonts w:ascii="Arial Narrow" w:hAnsi="Arial Narrow" w:cs="Times New Roman"/>
                <w:b/>
                <w:bCs/>
                <w:sz w:val="22"/>
                <w:szCs w:val="22"/>
              </w:rPr>
            </w:pPr>
            <w:r>
              <w:rPr>
                <w:rFonts w:ascii="Arial Narrow" w:hAnsi="Arial Narrow" w:cs="Times New Roman"/>
                <w:b/>
                <w:bCs/>
                <w:sz w:val="22"/>
                <w:szCs w:val="22"/>
              </w:rPr>
              <w:t>31</w:t>
            </w:r>
          </w:p>
        </w:tc>
        <w:tc>
          <w:tcPr>
            <w:tcW w:w="640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CD7BD8" w:rsidRPr="00B7501C" w:rsidP="00C362EA">
            <w:pPr>
              <w:spacing w:line="240" w:lineRule="auto"/>
              <w:rPr>
                <w:rFonts w:ascii="Arial Narrow" w:hAnsi="Arial Narrow" w:cs="Times New Roman"/>
                <w:b/>
                <w:bCs/>
                <w:sz w:val="22"/>
                <w:szCs w:val="22"/>
              </w:rPr>
            </w:pPr>
            <w:r>
              <w:rPr>
                <w:rFonts w:ascii="Arial Narrow" w:hAnsi="Arial Narrow" w:cs="Times New Roman"/>
                <w:b/>
                <w:bCs/>
                <w:sz w:val="22"/>
                <w:szCs w:val="22"/>
              </w:rPr>
              <w:t>Tuzemské bežné granty a</w:t>
            </w:r>
            <w:r w:rsidR="00A97E21">
              <w:rPr>
                <w:rFonts w:ascii="Arial Narrow" w:hAnsi="Arial Narrow" w:cs="Times New Roman"/>
                <w:b/>
                <w:bCs/>
                <w:sz w:val="22"/>
                <w:szCs w:val="22"/>
              </w:rPr>
              <w:t> </w:t>
            </w:r>
            <w:r>
              <w:rPr>
                <w:rFonts w:ascii="Arial Narrow" w:hAnsi="Arial Narrow" w:cs="Times New Roman"/>
                <w:b/>
                <w:bCs/>
                <w:sz w:val="22"/>
                <w:szCs w:val="22"/>
              </w:rPr>
              <w:t>transfery</w:t>
            </w:r>
          </w:p>
        </w:tc>
        <w:tc>
          <w:tcPr>
            <w:tcW w:w="1492"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CD7BD8" w:rsidRPr="00B7501C" w:rsidP="00C362EA">
            <w:pPr>
              <w:spacing w:line="240" w:lineRule="auto"/>
              <w:jc w:val="right"/>
              <w:rPr>
                <w:rFonts w:ascii="Arial Narrow" w:hAnsi="Arial Narrow" w:cs="Times New Roman"/>
                <w:bCs/>
                <w:sz w:val="22"/>
                <w:szCs w:val="22"/>
              </w:rPr>
            </w:pPr>
            <w:r w:rsidR="000F38E7">
              <w:rPr>
                <w:rFonts w:ascii="Arial Narrow" w:hAnsi="Arial Narrow" w:cs="Times New Roman"/>
                <w:bCs/>
                <w:sz w:val="22"/>
                <w:szCs w:val="22"/>
              </w:rPr>
              <w:t>30 000</w:t>
            </w:r>
            <w:r>
              <w:rPr>
                <w:rFonts w:ascii="Arial Narrow" w:hAnsi="Arial Narrow" w:cs="Times New Roman"/>
                <w:bCs/>
                <w:sz w:val="22"/>
                <w:szCs w:val="22"/>
              </w:rPr>
              <w:t>,00</w:t>
            </w:r>
          </w:p>
        </w:tc>
      </w:tr>
      <w:tr>
        <w:tblPrEx>
          <w:tblW w:w="9020" w:type="dxa"/>
          <w:tblInd w:w="70" w:type="dxa"/>
          <w:tblCellMar>
            <w:left w:w="70" w:type="dxa"/>
            <w:right w:w="70" w:type="dxa"/>
          </w:tblCellMar>
        </w:tblPrEx>
        <w:trPr>
          <w:trHeight w:val="284"/>
        </w:trPr>
        <w:tc>
          <w:tcPr>
            <w:tcW w:w="1128"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D32AE0" w:rsidRPr="00B7501C" w:rsidP="00C362EA">
            <w:pPr>
              <w:spacing w:line="240" w:lineRule="auto"/>
              <w:jc w:val="center"/>
              <w:rPr>
                <w:rFonts w:ascii="Arial Narrow" w:hAnsi="Arial Narrow" w:cs="Times New Roman"/>
                <w:b/>
                <w:bCs/>
                <w:sz w:val="22"/>
                <w:szCs w:val="22"/>
              </w:rPr>
            </w:pPr>
            <w:r>
              <w:rPr>
                <w:rFonts w:ascii="Arial Narrow" w:hAnsi="Arial Narrow" w:cs="Times New Roman"/>
                <w:b/>
                <w:bCs/>
                <w:sz w:val="22"/>
                <w:szCs w:val="22"/>
              </w:rPr>
              <w:t>33</w:t>
            </w:r>
          </w:p>
        </w:tc>
        <w:tc>
          <w:tcPr>
            <w:tcW w:w="640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D32AE0" w:rsidRPr="00B7501C" w:rsidP="00C362EA">
            <w:pPr>
              <w:spacing w:line="240" w:lineRule="auto"/>
              <w:rPr>
                <w:rFonts w:ascii="Arial Narrow" w:hAnsi="Arial Narrow" w:cs="Times New Roman"/>
                <w:b/>
                <w:bCs/>
                <w:sz w:val="22"/>
                <w:szCs w:val="22"/>
              </w:rPr>
            </w:pPr>
            <w:r>
              <w:rPr>
                <w:rFonts w:ascii="Arial Narrow" w:hAnsi="Arial Narrow" w:cs="Times New Roman"/>
                <w:b/>
                <w:bCs/>
                <w:sz w:val="22"/>
                <w:szCs w:val="22"/>
              </w:rPr>
              <w:t xml:space="preserve">Zahraničné granty </w:t>
            </w:r>
          </w:p>
        </w:tc>
        <w:tc>
          <w:tcPr>
            <w:tcW w:w="1492"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D32AE0" w:rsidP="00C362EA">
            <w:pPr>
              <w:spacing w:line="240" w:lineRule="auto"/>
              <w:jc w:val="right"/>
              <w:rPr>
                <w:rFonts w:ascii="Arial Narrow" w:hAnsi="Arial Narrow" w:cs="Times New Roman"/>
                <w:bCs/>
                <w:sz w:val="22"/>
                <w:szCs w:val="22"/>
              </w:rPr>
            </w:pPr>
            <w:r w:rsidR="000F38E7">
              <w:rPr>
                <w:rFonts w:ascii="Arial Narrow" w:hAnsi="Arial Narrow" w:cs="Times New Roman"/>
                <w:bCs/>
                <w:sz w:val="22"/>
                <w:szCs w:val="22"/>
              </w:rPr>
              <w:t>98 524 495,21</w:t>
            </w:r>
          </w:p>
        </w:tc>
      </w:tr>
      <w:tr>
        <w:tblPrEx>
          <w:tblW w:w="9020" w:type="dxa"/>
          <w:tblInd w:w="70" w:type="dxa"/>
          <w:tblCellMar>
            <w:left w:w="70" w:type="dxa"/>
            <w:right w:w="70" w:type="dxa"/>
          </w:tblCellMar>
        </w:tblPrEx>
        <w:trPr>
          <w:trHeight w:val="284"/>
        </w:trPr>
        <w:tc>
          <w:tcPr>
            <w:tcW w:w="1128" w:type="dxa"/>
            <w:tcBorders>
              <w:top w:val="single" w:sz="4" w:space="0" w:color="auto"/>
              <w:left w:val="single" w:sz="4" w:space="0" w:color="auto"/>
              <w:bottom w:val="single" w:sz="4" w:space="0" w:color="auto"/>
              <w:right w:val="single" w:sz="4" w:space="0" w:color="auto"/>
              <w:tl2br w:val="nil"/>
              <w:tr2bl w:val="nil"/>
            </w:tcBorders>
            <w:shd w:val="clear" w:color="auto" w:fill="C0C0C0"/>
            <w:noWrap/>
            <w:textDirection w:val="lrTb"/>
            <w:vAlign w:val="center"/>
          </w:tcPr>
          <w:p w:rsidR="00D32AE0" w:rsidP="00C362EA">
            <w:pPr>
              <w:spacing w:line="240" w:lineRule="auto"/>
              <w:rPr>
                <w:rFonts w:ascii="Arial Narrow" w:hAnsi="Arial Narrow" w:cs="Times New Roman"/>
                <w:b/>
                <w:bCs/>
                <w:sz w:val="22"/>
                <w:szCs w:val="22"/>
              </w:rPr>
            </w:pPr>
          </w:p>
        </w:tc>
        <w:tc>
          <w:tcPr>
            <w:tcW w:w="6400" w:type="dxa"/>
            <w:tcBorders>
              <w:top w:val="single" w:sz="4" w:space="0" w:color="auto"/>
              <w:left w:val="single" w:sz="4" w:space="0" w:color="auto"/>
              <w:bottom w:val="single" w:sz="4" w:space="0" w:color="auto"/>
              <w:right w:val="single" w:sz="4" w:space="0" w:color="auto"/>
              <w:tl2br w:val="nil"/>
              <w:tr2bl w:val="nil"/>
            </w:tcBorders>
            <w:shd w:val="clear" w:color="auto" w:fill="C0C0C0"/>
            <w:textDirection w:val="lrTb"/>
            <w:vAlign w:val="center"/>
          </w:tcPr>
          <w:p w:rsidR="00D32AE0" w:rsidP="00C362EA">
            <w:pPr>
              <w:spacing w:line="240" w:lineRule="auto"/>
              <w:rPr>
                <w:rFonts w:ascii="Arial Narrow" w:hAnsi="Arial Narrow" w:cs="Times New Roman"/>
                <w:b/>
                <w:bCs/>
                <w:sz w:val="22"/>
                <w:szCs w:val="22"/>
              </w:rPr>
            </w:pPr>
            <w:r>
              <w:rPr>
                <w:rFonts w:ascii="Arial Narrow" w:hAnsi="Arial Narrow" w:cs="Times New Roman"/>
                <w:b/>
                <w:bCs/>
                <w:sz w:val="22"/>
                <w:szCs w:val="22"/>
              </w:rPr>
              <w:t>PRÍJMY SPOLU</w:t>
            </w:r>
          </w:p>
        </w:tc>
        <w:tc>
          <w:tcPr>
            <w:tcW w:w="1492" w:type="dxa"/>
            <w:tcBorders>
              <w:top w:val="single" w:sz="4" w:space="0" w:color="auto"/>
              <w:left w:val="single" w:sz="4" w:space="0" w:color="auto"/>
              <w:bottom w:val="single" w:sz="4" w:space="0" w:color="auto"/>
              <w:right w:val="single" w:sz="4" w:space="0" w:color="auto"/>
              <w:tl2br w:val="nil"/>
              <w:tr2bl w:val="nil"/>
            </w:tcBorders>
            <w:shd w:val="clear" w:color="auto" w:fill="C0C0C0"/>
            <w:noWrap/>
            <w:textDirection w:val="lrTb"/>
            <w:vAlign w:val="center"/>
          </w:tcPr>
          <w:p w:rsidR="00D32AE0" w:rsidRPr="00CD7BD8" w:rsidP="00C362EA">
            <w:pPr>
              <w:spacing w:line="240" w:lineRule="auto"/>
              <w:jc w:val="right"/>
              <w:rPr>
                <w:rFonts w:ascii="Arial Narrow" w:hAnsi="Arial Narrow" w:cs="Times New Roman"/>
                <w:b/>
                <w:bCs/>
                <w:sz w:val="22"/>
                <w:szCs w:val="22"/>
              </w:rPr>
            </w:pPr>
            <w:r w:rsidR="000F38E7">
              <w:rPr>
                <w:rFonts w:ascii="Arial Narrow" w:hAnsi="Arial Narrow" w:cs="Times New Roman"/>
                <w:b/>
                <w:bCs/>
                <w:sz w:val="22"/>
                <w:szCs w:val="22"/>
              </w:rPr>
              <w:t>2 098 876 531,94</w:t>
            </w:r>
          </w:p>
        </w:tc>
      </w:tr>
    </w:tbl>
    <w:p w:rsidR="006E4CF4" w:rsidRPr="005F3509" w:rsidP="00C362EA">
      <w:pPr>
        <w:pStyle w:val="BodyTextIndent"/>
        <w:spacing w:line="240" w:lineRule="auto"/>
        <w:ind w:firstLine="0"/>
        <w:rPr>
          <w:rFonts w:ascii="Times New Roman" w:hAnsi="Times New Roman" w:cs="Times New Roman"/>
          <w:color w:val="000000"/>
          <w:sz w:val="24"/>
          <w:szCs w:val="24"/>
        </w:rPr>
      </w:pPr>
    </w:p>
    <w:p w:rsidR="00725E21" w:rsidP="00C362EA">
      <w:pPr>
        <w:spacing w:line="240" w:lineRule="auto"/>
        <w:ind w:firstLine="709"/>
        <w:rPr>
          <w:rFonts w:ascii="Times New Roman" w:hAnsi="Times New Roman" w:cs="Times New Roman"/>
          <w:sz w:val="24"/>
          <w:szCs w:val="24"/>
        </w:rPr>
      </w:pPr>
      <w:r w:rsidR="000F38E7">
        <w:rPr>
          <w:rFonts w:ascii="Times New Roman" w:hAnsi="Times New Roman" w:cs="Times New Roman"/>
          <w:sz w:val="24"/>
          <w:szCs w:val="24"/>
        </w:rPr>
        <w:t>Skutočné príjmy za rok 2007</w:t>
      </w:r>
      <w:r w:rsidRPr="00641018" w:rsidR="00E3240F">
        <w:rPr>
          <w:rFonts w:ascii="Times New Roman" w:hAnsi="Times New Roman" w:cs="Times New Roman"/>
          <w:sz w:val="24"/>
          <w:szCs w:val="24"/>
        </w:rPr>
        <w:t xml:space="preserve"> dosiahol úrad MDPT SR vo výške</w:t>
      </w:r>
      <w:r w:rsidR="000F38E7">
        <w:rPr>
          <w:rFonts w:ascii="Times New Roman" w:hAnsi="Times New Roman" w:cs="Times New Roman"/>
          <w:sz w:val="24"/>
          <w:szCs w:val="24"/>
        </w:rPr>
        <w:t xml:space="preserve"> </w:t>
      </w:r>
      <w:r w:rsidRPr="000F38E7" w:rsidR="000F38E7">
        <w:rPr>
          <w:rFonts w:ascii="Times New Roman" w:hAnsi="Times New Roman" w:cs="Times New Roman"/>
          <w:b/>
          <w:sz w:val="24"/>
          <w:szCs w:val="24"/>
        </w:rPr>
        <w:t>2 098 876 531,94</w:t>
      </w:r>
      <w:r w:rsidR="000F38E7">
        <w:rPr>
          <w:rFonts w:ascii="Times New Roman" w:hAnsi="Times New Roman" w:cs="Times New Roman"/>
          <w:sz w:val="24"/>
          <w:szCs w:val="24"/>
        </w:rPr>
        <w:t xml:space="preserve"> </w:t>
      </w:r>
      <w:r w:rsidRPr="00641018" w:rsidR="00E3240F">
        <w:rPr>
          <w:rFonts w:ascii="Times New Roman" w:hAnsi="Times New Roman" w:cs="Times New Roman"/>
          <w:b/>
          <w:sz w:val="24"/>
          <w:szCs w:val="24"/>
        </w:rPr>
        <w:t>Sk</w:t>
      </w:r>
      <w:r w:rsidRPr="00641018" w:rsidR="00E3240F">
        <w:rPr>
          <w:rFonts w:ascii="Times New Roman" w:hAnsi="Times New Roman" w:cs="Times New Roman"/>
          <w:sz w:val="24"/>
          <w:szCs w:val="24"/>
        </w:rPr>
        <w:t xml:space="preserve">. </w:t>
      </w:r>
    </w:p>
    <w:p w:rsidR="000F38E7" w:rsidP="00C362EA">
      <w:pPr>
        <w:spacing w:line="240" w:lineRule="auto"/>
        <w:ind w:firstLine="709"/>
        <w:rPr>
          <w:rFonts w:ascii="Times New Roman" w:hAnsi="Times New Roman" w:cs="Times New Roman"/>
          <w:sz w:val="24"/>
          <w:szCs w:val="24"/>
        </w:rPr>
      </w:pPr>
      <w:r w:rsidRPr="00641018" w:rsidR="00E3240F">
        <w:rPr>
          <w:rFonts w:ascii="Times New Roman" w:hAnsi="Times New Roman" w:cs="Times New Roman"/>
          <w:sz w:val="24"/>
          <w:szCs w:val="24"/>
        </w:rPr>
        <w:t xml:space="preserve">Podstatnú časť príjmov tvorili </w:t>
      </w:r>
      <w:r w:rsidRPr="00641018" w:rsidR="007E1C88">
        <w:rPr>
          <w:rFonts w:ascii="Times New Roman" w:hAnsi="Times New Roman" w:cs="Times New Roman"/>
          <w:sz w:val="24"/>
          <w:szCs w:val="24"/>
        </w:rPr>
        <w:t>p</w:t>
      </w:r>
      <w:r w:rsidRPr="00641018" w:rsidR="007E1C88">
        <w:rPr>
          <w:rFonts w:ascii="Times New Roman" w:hAnsi="Times New Roman" w:cs="Times New Roman"/>
          <w:sz w:val="24"/>
          <w:szCs w:val="24"/>
        </w:rPr>
        <w:t>ríjmy z</w:t>
      </w:r>
      <w:r w:rsidRPr="00641018" w:rsidR="009D49AD">
        <w:rPr>
          <w:rFonts w:ascii="Times New Roman" w:hAnsi="Times New Roman" w:cs="Times New Roman"/>
          <w:sz w:val="24"/>
          <w:szCs w:val="24"/>
        </w:rPr>
        <w:t> </w:t>
      </w:r>
      <w:r w:rsidRPr="00641018" w:rsidR="00BC562A">
        <w:rPr>
          <w:rFonts w:ascii="Times New Roman" w:hAnsi="Times New Roman" w:cs="Times New Roman"/>
          <w:sz w:val="24"/>
          <w:szCs w:val="24"/>
        </w:rPr>
        <w:t>dividend</w:t>
      </w:r>
      <w:r w:rsidRPr="00641018" w:rsidR="009D49AD">
        <w:rPr>
          <w:rFonts w:ascii="Times New Roman" w:hAnsi="Times New Roman" w:cs="Times New Roman"/>
          <w:sz w:val="24"/>
          <w:szCs w:val="24"/>
        </w:rPr>
        <w:t xml:space="preserve"> </w:t>
      </w:r>
      <w:r w:rsidRPr="00641018" w:rsidR="005B15E4">
        <w:rPr>
          <w:rFonts w:ascii="Times New Roman" w:hAnsi="Times New Roman" w:cs="Times New Roman"/>
          <w:sz w:val="24"/>
          <w:szCs w:val="24"/>
        </w:rPr>
        <w:t>od s</w:t>
      </w:r>
      <w:r w:rsidRPr="00641018" w:rsidR="008A20FB">
        <w:rPr>
          <w:rFonts w:ascii="Times New Roman" w:hAnsi="Times New Roman" w:cs="Times New Roman"/>
          <w:sz w:val="24"/>
          <w:szCs w:val="24"/>
        </w:rPr>
        <w:t>poločnost</w:t>
      </w:r>
      <w:r w:rsidRPr="00641018" w:rsidR="00641018">
        <w:rPr>
          <w:rFonts w:ascii="Times New Roman" w:hAnsi="Times New Roman" w:cs="Times New Roman"/>
          <w:sz w:val="24"/>
          <w:szCs w:val="24"/>
        </w:rPr>
        <w:t xml:space="preserve">i </w:t>
      </w:r>
      <w:r w:rsidR="007016CE">
        <w:rPr>
          <w:rFonts w:ascii="Times New Roman" w:hAnsi="Times New Roman" w:cs="Times New Roman"/>
          <w:sz w:val="24"/>
          <w:szCs w:val="24"/>
        </w:rPr>
        <w:t>Slovak</w:t>
      </w:r>
      <w:r>
        <w:rPr>
          <w:rFonts w:ascii="Times New Roman" w:hAnsi="Times New Roman" w:cs="Times New Roman"/>
          <w:sz w:val="24"/>
          <w:szCs w:val="24"/>
        </w:rPr>
        <w:t xml:space="preserve"> Telecom, a.s.</w:t>
      </w:r>
      <w:r w:rsidR="00725E21">
        <w:rPr>
          <w:rFonts w:ascii="Times New Roman" w:hAnsi="Times New Roman" w:cs="Times New Roman"/>
          <w:sz w:val="24"/>
          <w:szCs w:val="24"/>
        </w:rPr>
        <w:t xml:space="preserve"> Bratislava</w:t>
      </w:r>
      <w:r>
        <w:rPr>
          <w:rFonts w:ascii="Times New Roman" w:hAnsi="Times New Roman" w:cs="Times New Roman"/>
          <w:sz w:val="24"/>
          <w:szCs w:val="24"/>
        </w:rPr>
        <w:t>, vo výške 1 680 280 000,- Sk a spoločnosti Slovenská pošta, a.s. Banská Bystr</w:t>
      </w:r>
      <w:r w:rsidR="00F02EC8">
        <w:rPr>
          <w:rFonts w:ascii="Times New Roman" w:hAnsi="Times New Roman" w:cs="Times New Roman"/>
          <w:sz w:val="24"/>
          <w:szCs w:val="24"/>
        </w:rPr>
        <w:t>ica, vo výške 300 000 000,- Sk. Rozdiel skutočných príjmov oproti plánovaným, vo výške 2,3 mld. Sk, predstavuje 201</w:t>
      </w:r>
      <w:r w:rsidR="00F02EC8">
        <w:rPr>
          <w:rFonts w:ascii="Times New Roman" w:hAnsi="Times New Roman" w:cs="Times New Roman"/>
          <w:sz w:val="24"/>
          <w:szCs w:val="24"/>
        </w:rPr>
        <w:t xml:space="preserve"> 123 468,06 Sk.  </w:t>
      </w:r>
    </w:p>
    <w:p w:rsidR="00316B19" w:rsidRPr="00402D4E" w:rsidP="00402D4E">
      <w:pPr>
        <w:spacing w:line="240" w:lineRule="auto"/>
        <w:ind w:firstLine="709"/>
        <w:rPr>
          <w:rFonts w:ascii="Times New Roman" w:hAnsi="Times New Roman" w:cs="Times New Roman"/>
          <w:sz w:val="24"/>
          <w:szCs w:val="24"/>
        </w:rPr>
      </w:pPr>
      <w:r w:rsidRPr="00402D4E" w:rsidR="009D49AD">
        <w:rPr>
          <w:rFonts w:ascii="Times New Roman" w:hAnsi="Times New Roman" w:cs="Times New Roman"/>
          <w:sz w:val="24"/>
          <w:szCs w:val="24"/>
        </w:rPr>
        <w:t>V</w:t>
      </w:r>
      <w:r w:rsidRPr="00402D4E" w:rsidR="00BC562A">
        <w:rPr>
          <w:rFonts w:ascii="Times New Roman" w:hAnsi="Times New Roman" w:cs="Times New Roman"/>
          <w:sz w:val="24"/>
          <w:szCs w:val="24"/>
        </w:rPr>
        <w:t>rá</w:t>
      </w:r>
      <w:r w:rsidRPr="00402D4E" w:rsidR="00490AB0">
        <w:rPr>
          <w:rFonts w:ascii="Times New Roman" w:hAnsi="Times New Roman" w:cs="Times New Roman"/>
          <w:sz w:val="24"/>
          <w:szCs w:val="24"/>
        </w:rPr>
        <w:t>t</w:t>
      </w:r>
      <w:r w:rsidRPr="00402D4E" w:rsidR="00BC562A">
        <w:rPr>
          <w:rFonts w:ascii="Times New Roman" w:hAnsi="Times New Roman" w:cs="Times New Roman"/>
          <w:sz w:val="24"/>
          <w:szCs w:val="24"/>
        </w:rPr>
        <w:t>ane príj</w:t>
      </w:r>
      <w:r w:rsidRPr="00402D4E" w:rsidR="009D49AD">
        <w:rPr>
          <w:rFonts w:ascii="Times New Roman" w:hAnsi="Times New Roman" w:cs="Times New Roman"/>
          <w:sz w:val="24"/>
          <w:szCs w:val="24"/>
        </w:rPr>
        <w:t>mov z</w:t>
      </w:r>
      <w:r w:rsidR="00C15DCD">
        <w:rPr>
          <w:rFonts w:ascii="Times New Roman" w:hAnsi="Times New Roman" w:cs="Times New Roman"/>
          <w:sz w:val="24"/>
          <w:szCs w:val="24"/>
        </w:rPr>
        <w:t> </w:t>
      </w:r>
      <w:r w:rsidRPr="00402D4E" w:rsidR="009D49AD">
        <w:rPr>
          <w:rFonts w:ascii="Times New Roman" w:hAnsi="Times New Roman" w:cs="Times New Roman"/>
          <w:sz w:val="24"/>
          <w:szCs w:val="24"/>
        </w:rPr>
        <w:t>pr</w:t>
      </w:r>
      <w:r w:rsidR="00C15DCD">
        <w:rPr>
          <w:rFonts w:ascii="Times New Roman" w:hAnsi="Times New Roman" w:cs="Times New Roman"/>
          <w:sz w:val="24"/>
          <w:szCs w:val="24"/>
        </w:rPr>
        <w:t xml:space="preserve">enájmu </w:t>
      </w:r>
      <w:r w:rsidRPr="00402D4E" w:rsidR="00725E21">
        <w:rPr>
          <w:rFonts w:ascii="Times New Roman" w:hAnsi="Times New Roman" w:cs="Times New Roman"/>
          <w:sz w:val="24"/>
          <w:szCs w:val="24"/>
        </w:rPr>
        <w:t>vo výške 15 622 968,65</w:t>
      </w:r>
      <w:r w:rsidRPr="00402D4E" w:rsidR="009D49AD">
        <w:rPr>
          <w:rFonts w:ascii="Times New Roman" w:hAnsi="Times New Roman" w:cs="Times New Roman"/>
          <w:sz w:val="24"/>
          <w:szCs w:val="24"/>
        </w:rPr>
        <w:t xml:space="preserve"> Sk</w:t>
      </w:r>
      <w:r w:rsidRPr="00402D4E" w:rsidR="00641018">
        <w:rPr>
          <w:rFonts w:ascii="Times New Roman" w:hAnsi="Times New Roman" w:cs="Times New Roman"/>
          <w:sz w:val="24"/>
          <w:szCs w:val="24"/>
        </w:rPr>
        <w:t xml:space="preserve"> (z neby</w:t>
      </w:r>
      <w:r w:rsidRPr="00402D4E" w:rsidR="00725E21">
        <w:rPr>
          <w:rFonts w:ascii="Times New Roman" w:hAnsi="Times New Roman" w:cs="Times New Roman"/>
          <w:sz w:val="24"/>
          <w:szCs w:val="24"/>
        </w:rPr>
        <w:t xml:space="preserve">tových priestorov vo výške 14 424 177,65 Sk, bytov vo výške 1 198 791,- </w:t>
      </w:r>
      <w:r w:rsidRPr="00402D4E" w:rsidR="00641018">
        <w:rPr>
          <w:rFonts w:ascii="Times New Roman" w:hAnsi="Times New Roman" w:cs="Times New Roman"/>
          <w:sz w:val="24"/>
          <w:szCs w:val="24"/>
        </w:rPr>
        <w:t>Sk)</w:t>
      </w:r>
      <w:r w:rsidRPr="00402D4E" w:rsidR="009D49AD">
        <w:rPr>
          <w:rFonts w:ascii="Times New Roman" w:hAnsi="Times New Roman" w:cs="Times New Roman"/>
          <w:sz w:val="24"/>
          <w:szCs w:val="24"/>
        </w:rPr>
        <w:t xml:space="preserve">, </w:t>
      </w:r>
      <w:r w:rsidRPr="00402D4E" w:rsidR="00641018">
        <w:rPr>
          <w:rFonts w:ascii="Times New Roman" w:hAnsi="Times New Roman" w:cs="Times New Roman"/>
          <w:sz w:val="24"/>
          <w:szCs w:val="24"/>
        </w:rPr>
        <w:t>ktoré hradia nájomníci a pr</w:t>
      </w:r>
      <w:r w:rsidRPr="00402D4E" w:rsidR="00725E21">
        <w:rPr>
          <w:rFonts w:ascii="Times New Roman" w:hAnsi="Times New Roman" w:cs="Times New Roman"/>
          <w:sz w:val="24"/>
          <w:szCs w:val="24"/>
        </w:rPr>
        <w:t xml:space="preserve">enajímatelia MDPT SR ako </w:t>
      </w:r>
      <w:r w:rsidRPr="00402D4E" w:rsidR="00641018">
        <w:rPr>
          <w:rFonts w:ascii="Times New Roman" w:hAnsi="Times New Roman" w:cs="Times New Roman"/>
          <w:sz w:val="24"/>
          <w:szCs w:val="24"/>
        </w:rPr>
        <w:t>majiteľovi budovy</w:t>
      </w:r>
      <w:r w:rsidRPr="00402D4E" w:rsidR="00725E21">
        <w:rPr>
          <w:rFonts w:ascii="Times New Roman" w:hAnsi="Times New Roman" w:cs="Times New Roman"/>
          <w:sz w:val="24"/>
          <w:szCs w:val="24"/>
        </w:rPr>
        <w:t xml:space="preserve"> úradu ústredného orgánu</w:t>
      </w:r>
      <w:r w:rsidR="00C15DCD">
        <w:rPr>
          <w:rFonts w:ascii="Times New Roman" w:hAnsi="Times New Roman" w:cs="Times New Roman"/>
          <w:sz w:val="24"/>
          <w:szCs w:val="24"/>
        </w:rPr>
        <w:t xml:space="preserve">, </w:t>
      </w:r>
      <w:r w:rsidRPr="00402D4E" w:rsidR="005B15E4">
        <w:rPr>
          <w:rFonts w:ascii="Times New Roman" w:hAnsi="Times New Roman" w:cs="Times New Roman"/>
          <w:sz w:val="24"/>
          <w:szCs w:val="24"/>
        </w:rPr>
        <w:t>celkov</w:t>
      </w:r>
      <w:r w:rsidRPr="00402D4E" w:rsidR="005B15E4">
        <w:rPr>
          <w:rFonts w:ascii="Times New Roman" w:hAnsi="Times New Roman" w:cs="Times New Roman"/>
          <w:sz w:val="24"/>
          <w:szCs w:val="24"/>
        </w:rPr>
        <w:t>é príjmy z </w:t>
      </w:r>
      <w:r w:rsidRPr="00402D4E" w:rsidR="00641018">
        <w:rPr>
          <w:rFonts w:ascii="Times New Roman" w:hAnsi="Times New Roman" w:cs="Times New Roman"/>
          <w:sz w:val="24"/>
          <w:szCs w:val="24"/>
        </w:rPr>
        <w:t xml:space="preserve"> </w:t>
      </w:r>
      <w:r w:rsidRPr="00402D4E" w:rsidR="005B15E4">
        <w:rPr>
          <w:rFonts w:ascii="Times New Roman" w:hAnsi="Times New Roman" w:cs="Times New Roman"/>
          <w:sz w:val="24"/>
          <w:szCs w:val="24"/>
        </w:rPr>
        <w:t>podnikania a </w:t>
      </w:r>
      <w:r w:rsidRPr="00402D4E" w:rsidR="00BC562A">
        <w:rPr>
          <w:rFonts w:ascii="Times New Roman" w:hAnsi="Times New Roman" w:cs="Times New Roman"/>
          <w:sz w:val="24"/>
          <w:szCs w:val="24"/>
        </w:rPr>
        <w:t>z</w:t>
      </w:r>
      <w:r w:rsidRPr="00402D4E" w:rsidR="00725E21">
        <w:rPr>
          <w:rFonts w:ascii="Times New Roman" w:hAnsi="Times New Roman" w:cs="Times New Roman"/>
          <w:sz w:val="24"/>
          <w:szCs w:val="24"/>
        </w:rPr>
        <w:t xml:space="preserve"> vlastníctva majetku </w:t>
      </w:r>
      <w:r w:rsidRPr="00402D4E" w:rsidR="00BC562A">
        <w:rPr>
          <w:rFonts w:ascii="Times New Roman" w:hAnsi="Times New Roman" w:cs="Times New Roman"/>
          <w:sz w:val="24"/>
          <w:szCs w:val="24"/>
        </w:rPr>
        <w:t>predstavu</w:t>
      </w:r>
      <w:r w:rsidRPr="00402D4E" w:rsidR="00725E21">
        <w:rPr>
          <w:rFonts w:ascii="Times New Roman" w:hAnsi="Times New Roman" w:cs="Times New Roman"/>
          <w:sz w:val="24"/>
          <w:szCs w:val="24"/>
        </w:rPr>
        <w:t xml:space="preserve">jú 1 995 902 968,65 </w:t>
      </w:r>
      <w:r w:rsidRPr="00402D4E" w:rsidR="00BC562A">
        <w:rPr>
          <w:rFonts w:ascii="Times New Roman" w:hAnsi="Times New Roman" w:cs="Times New Roman"/>
          <w:sz w:val="24"/>
          <w:szCs w:val="24"/>
        </w:rPr>
        <w:t xml:space="preserve">Sk. </w:t>
      </w:r>
    </w:p>
    <w:p w:rsidR="00316B19" w:rsidRPr="00316B19" w:rsidP="00F02EC8">
      <w:pPr>
        <w:pStyle w:val="BodyTextIndent"/>
        <w:spacing w:line="240" w:lineRule="auto"/>
        <w:rPr>
          <w:rFonts w:ascii="Times New Roman" w:hAnsi="Times New Roman" w:cs="Times New Roman"/>
          <w:sz w:val="24"/>
          <w:szCs w:val="24"/>
        </w:rPr>
      </w:pPr>
      <w:r w:rsidR="00472FCB">
        <w:rPr>
          <w:rFonts w:ascii="Times New Roman" w:hAnsi="Times New Roman" w:cs="Times New Roman"/>
          <w:sz w:val="24"/>
          <w:szCs w:val="24"/>
        </w:rPr>
        <w:t>V</w:t>
      </w:r>
      <w:r w:rsidRPr="00316B19">
        <w:rPr>
          <w:rFonts w:ascii="Times New Roman" w:hAnsi="Times New Roman" w:cs="Times New Roman"/>
          <w:sz w:val="24"/>
          <w:szCs w:val="24"/>
        </w:rPr>
        <w:t xml:space="preserve">ybrané pokuty za </w:t>
      </w:r>
      <w:r w:rsidR="00C15DCD">
        <w:rPr>
          <w:rFonts w:ascii="Times New Roman" w:hAnsi="Times New Roman" w:cs="Times New Roman"/>
          <w:sz w:val="24"/>
          <w:szCs w:val="24"/>
        </w:rPr>
        <w:t xml:space="preserve">porušenie predpisov </w:t>
      </w:r>
      <w:r w:rsidR="00C6506C">
        <w:rPr>
          <w:rFonts w:ascii="Times New Roman" w:hAnsi="Times New Roman" w:cs="Times New Roman"/>
          <w:sz w:val="24"/>
          <w:szCs w:val="24"/>
        </w:rPr>
        <w:t>boli vo výške 565 555</w:t>
      </w:r>
      <w:r w:rsidRPr="00316B19">
        <w:rPr>
          <w:rFonts w:ascii="Times New Roman" w:hAnsi="Times New Roman" w:cs="Times New Roman"/>
          <w:sz w:val="24"/>
          <w:szCs w:val="24"/>
        </w:rPr>
        <w:t>,- Sk. Príjmy za predaj výrobkov, tovarov a</w:t>
      </w:r>
      <w:r w:rsidR="00C15DCD">
        <w:rPr>
          <w:rFonts w:ascii="Times New Roman" w:hAnsi="Times New Roman" w:cs="Times New Roman"/>
          <w:sz w:val="24"/>
          <w:szCs w:val="24"/>
        </w:rPr>
        <w:t> </w:t>
      </w:r>
      <w:r w:rsidRPr="00316B19">
        <w:rPr>
          <w:rFonts w:ascii="Times New Roman" w:hAnsi="Times New Roman" w:cs="Times New Roman"/>
          <w:sz w:val="24"/>
          <w:szCs w:val="24"/>
        </w:rPr>
        <w:t>služieb</w:t>
      </w:r>
      <w:r w:rsidR="00C15DCD">
        <w:rPr>
          <w:rFonts w:ascii="Times New Roman" w:hAnsi="Times New Roman" w:cs="Times New Roman"/>
          <w:sz w:val="24"/>
          <w:szCs w:val="24"/>
        </w:rPr>
        <w:t xml:space="preserve"> </w:t>
      </w:r>
      <w:r w:rsidR="00C6506C">
        <w:rPr>
          <w:rFonts w:ascii="Times New Roman" w:hAnsi="Times New Roman" w:cs="Times New Roman"/>
          <w:sz w:val="24"/>
          <w:szCs w:val="24"/>
        </w:rPr>
        <w:t xml:space="preserve">dosiahli výšku 650 400,- </w:t>
      </w:r>
      <w:r w:rsidRPr="00316B19">
        <w:rPr>
          <w:rFonts w:ascii="Times New Roman" w:hAnsi="Times New Roman" w:cs="Times New Roman"/>
          <w:sz w:val="24"/>
          <w:szCs w:val="24"/>
        </w:rPr>
        <w:t>Sk. Uvedené príjmy predstavujú pohľadávky za diaľničné nálepky, ktoré z pr</w:t>
      </w:r>
      <w:r>
        <w:rPr>
          <w:rFonts w:ascii="Times New Roman" w:hAnsi="Times New Roman" w:cs="Times New Roman"/>
          <w:sz w:val="24"/>
          <w:szCs w:val="24"/>
        </w:rPr>
        <w:t xml:space="preserve">edchádzajúcich rokov vymáha </w:t>
      </w:r>
      <w:r w:rsidRPr="00316B19">
        <w:rPr>
          <w:rFonts w:ascii="Times New Roman" w:hAnsi="Times New Roman" w:cs="Times New Roman"/>
          <w:sz w:val="24"/>
          <w:szCs w:val="24"/>
        </w:rPr>
        <w:t>právny odbor</w:t>
      </w:r>
      <w:r>
        <w:rPr>
          <w:rFonts w:ascii="Times New Roman" w:hAnsi="Times New Roman" w:cs="Times New Roman"/>
          <w:sz w:val="24"/>
          <w:szCs w:val="24"/>
        </w:rPr>
        <w:t xml:space="preserve"> MDPT SR</w:t>
      </w:r>
      <w:r w:rsidRPr="00316B19">
        <w:rPr>
          <w:rFonts w:ascii="Times New Roman" w:hAnsi="Times New Roman" w:cs="Times New Roman"/>
          <w:sz w:val="24"/>
          <w:szCs w:val="24"/>
        </w:rPr>
        <w:t>.</w:t>
      </w:r>
      <w:r w:rsidR="00C6506C">
        <w:rPr>
          <w:rFonts w:ascii="Times New Roman" w:hAnsi="Times New Roman" w:cs="Times New Roman"/>
          <w:sz w:val="24"/>
          <w:szCs w:val="24"/>
        </w:rPr>
        <w:t xml:space="preserve"> Celkovo administratívne a iné poplatky a platby dosiahli 1 215 955,- Sk. </w:t>
      </w:r>
    </w:p>
    <w:p w:rsidR="00BA248E" w:rsidP="00BA248E">
      <w:pPr>
        <w:spacing w:line="240" w:lineRule="auto"/>
        <w:ind w:firstLine="709"/>
        <w:rPr>
          <w:rFonts w:ascii="Times New Roman" w:hAnsi="Times New Roman" w:cs="Times New Roman"/>
          <w:sz w:val="24"/>
          <w:szCs w:val="24"/>
        </w:rPr>
      </w:pPr>
      <w:r w:rsidR="00C6506C">
        <w:rPr>
          <w:rFonts w:ascii="Times New Roman" w:hAnsi="Times New Roman" w:cs="Times New Roman"/>
          <w:sz w:val="24"/>
          <w:szCs w:val="24"/>
        </w:rPr>
        <w:t>Ďalšiu časť príjmov tvorili v roku 2007</w:t>
      </w:r>
      <w:r w:rsidR="00C15DCD">
        <w:rPr>
          <w:rFonts w:ascii="Times New Roman" w:hAnsi="Times New Roman" w:cs="Times New Roman"/>
          <w:sz w:val="24"/>
          <w:szCs w:val="24"/>
        </w:rPr>
        <w:t xml:space="preserve"> iné nedaňové príjmy </w:t>
      </w:r>
      <w:r w:rsidR="007016CE">
        <w:rPr>
          <w:rFonts w:ascii="Times New Roman" w:hAnsi="Times New Roman" w:cs="Times New Roman"/>
          <w:sz w:val="24"/>
          <w:szCs w:val="24"/>
        </w:rPr>
        <w:t xml:space="preserve">v celkovej sume </w:t>
      </w:r>
      <w:r w:rsidR="00C6506C">
        <w:rPr>
          <w:rFonts w:ascii="Times New Roman" w:hAnsi="Times New Roman" w:cs="Times New Roman"/>
          <w:sz w:val="24"/>
          <w:szCs w:val="24"/>
        </w:rPr>
        <w:t xml:space="preserve">3 203 113,08 </w:t>
      </w:r>
      <w:r>
        <w:rPr>
          <w:rFonts w:ascii="Times New Roman" w:hAnsi="Times New Roman" w:cs="Times New Roman"/>
          <w:sz w:val="24"/>
          <w:szCs w:val="24"/>
        </w:rPr>
        <w:t xml:space="preserve">Sk. Najväčší objem z nich </w:t>
      </w:r>
      <w:r w:rsidR="00C6506C">
        <w:rPr>
          <w:rFonts w:ascii="Times New Roman" w:hAnsi="Times New Roman" w:cs="Times New Roman"/>
          <w:sz w:val="24"/>
          <w:szCs w:val="24"/>
        </w:rPr>
        <w:t xml:space="preserve">tvoria </w:t>
      </w:r>
      <w:r w:rsidRPr="00472FCB" w:rsidR="00C6506C">
        <w:rPr>
          <w:rFonts w:ascii="Times New Roman" w:hAnsi="Times New Roman" w:cs="Times New Roman"/>
          <w:sz w:val="24"/>
          <w:szCs w:val="24"/>
        </w:rPr>
        <w:t>úroky z  prostriedkov štátneho rozp</w:t>
      </w:r>
      <w:r w:rsidR="00997881">
        <w:rPr>
          <w:rFonts w:ascii="Times New Roman" w:hAnsi="Times New Roman" w:cs="Times New Roman"/>
          <w:sz w:val="24"/>
          <w:szCs w:val="24"/>
        </w:rPr>
        <w:t xml:space="preserve">očtu poskytnuté </w:t>
      </w:r>
      <w:r w:rsidRPr="00472FCB" w:rsidR="00C6506C">
        <w:rPr>
          <w:rFonts w:ascii="Times New Roman" w:hAnsi="Times New Roman" w:cs="Times New Roman"/>
          <w:sz w:val="24"/>
          <w:szCs w:val="24"/>
        </w:rPr>
        <w:t xml:space="preserve">ako transfery nefinančným subjektom. </w:t>
      </w:r>
      <w:r w:rsidR="00997881">
        <w:rPr>
          <w:rFonts w:ascii="Times New Roman" w:hAnsi="Times New Roman" w:cs="Times New Roman"/>
          <w:sz w:val="24"/>
          <w:szCs w:val="24"/>
        </w:rPr>
        <w:t xml:space="preserve">Ich celková výška </w:t>
      </w:r>
      <w:r w:rsidR="00C6506C">
        <w:rPr>
          <w:rFonts w:ascii="Times New Roman" w:hAnsi="Times New Roman" w:cs="Times New Roman"/>
          <w:sz w:val="24"/>
          <w:szCs w:val="24"/>
        </w:rPr>
        <w:t xml:space="preserve">dosiahla 1 821 909,25 </w:t>
      </w:r>
      <w:r w:rsidRPr="00472FCB" w:rsidR="00C6506C">
        <w:rPr>
          <w:rFonts w:ascii="Times New Roman" w:hAnsi="Times New Roman" w:cs="Times New Roman"/>
          <w:sz w:val="24"/>
          <w:szCs w:val="24"/>
        </w:rPr>
        <w:t>Sk, z toho od Želez</w:t>
      </w:r>
      <w:r w:rsidR="006E76CD">
        <w:rPr>
          <w:rFonts w:ascii="Times New Roman" w:hAnsi="Times New Roman" w:cs="Times New Roman"/>
          <w:sz w:val="24"/>
          <w:szCs w:val="24"/>
        </w:rPr>
        <w:t xml:space="preserve">níc SR 1 555 641,40 Sk a </w:t>
      </w:r>
      <w:r w:rsidR="00C6506C">
        <w:rPr>
          <w:rFonts w:ascii="Times New Roman" w:hAnsi="Times New Roman" w:cs="Times New Roman"/>
          <w:sz w:val="24"/>
          <w:szCs w:val="24"/>
        </w:rPr>
        <w:t>le</w:t>
      </w:r>
      <w:r w:rsidR="006E76CD">
        <w:rPr>
          <w:rFonts w:ascii="Times New Roman" w:hAnsi="Times New Roman" w:cs="Times New Roman"/>
          <w:sz w:val="24"/>
          <w:szCs w:val="24"/>
        </w:rPr>
        <w:t>tisko</w:t>
      </w:r>
      <w:r>
        <w:rPr>
          <w:rFonts w:ascii="Times New Roman" w:hAnsi="Times New Roman" w:cs="Times New Roman"/>
          <w:sz w:val="24"/>
          <w:szCs w:val="24"/>
        </w:rPr>
        <w:t xml:space="preserve">vých spoločností 266 267,85 Sk. </w:t>
      </w:r>
    </w:p>
    <w:p w:rsidR="00124793" w:rsidRPr="00F02EC8" w:rsidP="00F02EC8">
      <w:pPr>
        <w:spacing w:line="240" w:lineRule="auto"/>
        <w:ind w:firstLine="709"/>
        <w:rPr>
          <w:rFonts w:ascii="Times New Roman" w:hAnsi="Times New Roman" w:cs="Times New Roman"/>
          <w:sz w:val="24"/>
          <w:szCs w:val="24"/>
        </w:rPr>
      </w:pPr>
      <w:r w:rsidRPr="00F02EC8" w:rsidR="00BA248E">
        <w:rPr>
          <w:rFonts w:ascii="Times New Roman" w:hAnsi="Times New Roman" w:cs="Times New Roman"/>
          <w:sz w:val="24"/>
          <w:szCs w:val="24"/>
        </w:rPr>
        <w:t xml:space="preserve">Vrátené </w:t>
      </w:r>
      <w:r w:rsidRPr="00F02EC8" w:rsidR="00C15DCD">
        <w:rPr>
          <w:rFonts w:ascii="Times New Roman" w:hAnsi="Times New Roman" w:cs="Times New Roman"/>
          <w:sz w:val="24"/>
          <w:szCs w:val="24"/>
        </w:rPr>
        <w:t>príjmy z pr</w:t>
      </w:r>
      <w:r w:rsidRPr="00F02EC8" w:rsidR="00C15DCD">
        <w:rPr>
          <w:rFonts w:ascii="Times New Roman" w:hAnsi="Times New Roman" w:cs="Times New Roman"/>
          <w:sz w:val="24"/>
          <w:szCs w:val="24"/>
        </w:rPr>
        <w:t xml:space="preserve">edchádzajúcich rokov </w:t>
      </w:r>
      <w:r w:rsidRPr="00F02EC8" w:rsidR="00BA248E">
        <w:rPr>
          <w:rFonts w:ascii="Times New Roman" w:hAnsi="Times New Roman" w:cs="Times New Roman"/>
          <w:sz w:val="24"/>
          <w:szCs w:val="24"/>
        </w:rPr>
        <w:t>vo výške 253 465,65 Sk predstavujú nevyčerpané transfery poskytnuté letiskám Sliač, Poprad, Košice, Piešťany</w:t>
      </w:r>
      <w:r w:rsidRPr="00F02EC8" w:rsidR="00D774A3">
        <w:rPr>
          <w:rFonts w:ascii="Times New Roman" w:hAnsi="Times New Roman" w:cs="Times New Roman"/>
          <w:sz w:val="24"/>
          <w:szCs w:val="24"/>
        </w:rPr>
        <w:t>. Príjmy z refundácií za letenky zo zahraničných</w:t>
      </w:r>
      <w:r w:rsidRPr="00F02EC8" w:rsidR="00C15DCD">
        <w:rPr>
          <w:rFonts w:ascii="Times New Roman" w:hAnsi="Times New Roman" w:cs="Times New Roman"/>
          <w:sz w:val="24"/>
          <w:szCs w:val="24"/>
        </w:rPr>
        <w:t xml:space="preserve"> pracovných ciest </w:t>
      </w:r>
      <w:r w:rsidRPr="00F02EC8" w:rsidR="00D774A3">
        <w:rPr>
          <w:rFonts w:ascii="Times New Roman" w:hAnsi="Times New Roman" w:cs="Times New Roman"/>
          <w:sz w:val="24"/>
          <w:szCs w:val="24"/>
        </w:rPr>
        <w:t>predstavujú 406 439,88 Sk, p</w:t>
      </w:r>
      <w:r w:rsidRPr="00F02EC8" w:rsidR="00094ACC">
        <w:rPr>
          <w:rFonts w:ascii="Times New Roman" w:hAnsi="Times New Roman" w:cs="Times New Roman"/>
          <w:sz w:val="24"/>
          <w:szCs w:val="24"/>
        </w:rPr>
        <w:t>ríjmy z dob</w:t>
      </w:r>
      <w:r w:rsidRPr="00F02EC8" w:rsidR="00472FCB">
        <w:rPr>
          <w:rFonts w:ascii="Times New Roman" w:hAnsi="Times New Roman" w:cs="Times New Roman"/>
          <w:sz w:val="24"/>
          <w:szCs w:val="24"/>
        </w:rPr>
        <w:t>ropisov (časopisy, publikácie, prečerpané limity pracovníkov za telefónne linky) bo</w:t>
      </w:r>
      <w:r w:rsidRPr="00F02EC8" w:rsidR="00BA248E">
        <w:rPr>
          <w:rFonts w:ascii="Times New Roman" w:hAnsi="Times New Roman" w:cs="Times New Roman"/>
          <w:sz w:val="24"/>
          <w:szCs w:val="24"/>
        </w:rPr>
        <w:t xml:space="preserve">li vo výške 38 421,30 </w:t>
      </w:r>
      <w:r w:rsidRPr="00F02EC8" w:rsidR="00D774A3">
        <w:rPr>
          <w:rFonts w:ascii="Times New Roman" w:hAnsi="Times New Roman" w:cs="Times New Roman"/>
          <w:sz w:val="24"/>
          <w:szCs w:val="24"/>
        </w:rPr>
        <w:t>Sk. V</w:t>
      </w:r>
      <w:r w:rsidRPr="00F02EC8" w:rsidR="00C15DCD">
        <w:rPr>
          <w:rFonts w:ascii="Times New Roman" w:hAnsi="Times New Roman" w:cs="Times New Roman"/>
          <w:sz w:val="24"/>
          <w:szCs w:val="24"/>
        </w:rPr>
        <w:t xml:space="preserve">rátené, </w:t>
      </w:r>
      <w:r w:rsidRPr="00F02EC8" w:rsidR="00472FCB">
        <w:rPr>
          <w:rFonts w:ascii="Times New Roman" w:hAnsi="Times New Roman" w:cs="Times New Roman"/>
          <w:sz w:val="24"/>
          <w:szCs w:val="24"/>
        </w:rPr>
        <w:t>neoprávn</w:t>
      </w:r>
      <w:r w:rsidRPr="00F02EC8" w:rsidR="00D774A3">
        <w:rPr>
          <w:rFonts w:ascii="Times New Roman" w:hAnsi="Times New Roman" w:cs="Times New Roman"/>
          <w:sz w:val="24"/>
          <w:szCs w:val="24"/>
        </w:rPr>
        <w:t xml:space="preserve">ene </w:t>
      </w:r>
      <w:r w:rsidRPr="00F02EC8" w:rsidR="00BC6003">
        <w:rPr>
          <w:rFonts w:ascii="Times New Roman" w:hAnsi="Times New Roman" w:cs="Times New Roman"/>
          <w:sz w:val="24"/>
          <w:szCs w:val="24"/>
        </w:rPr>
        <w:t xml:space="preserve">použité alebo zadržané </w:t>
      </w:r>
      <w:r w:rsidRPr="00F02EC8" w:rsidR="00D774A3">
        <w:rPr>
          <w:rFonts w:ascii="Times New Roman" w:hAnsi="Times New Roman" w:cs="Times New Roman"/>
          <w:sz w:val="24"/>
          <w:szCs w:val="24"/>
        </w:rPr>
        <w:t xml:space="preserve">prostriedky od rozpočtových a príspevkových </w:t>
      </w:r>
      <w:r w:rsidRPr="00F02EC8" w:rsidR="00C15DCD">
        <w:rPr>
          <w:rFonts w:ascii="Times New Roman" w:hAnsi="Times New Roman" w:cs="Times New Roman"/>
          <w:sz w:val="24"/>
          <w:szCs w:val="24"/>
        </w:rPr>
        <w:t xml:space="preserve">organizácií </w:t>
      </w:r>
      <w:r w:rsidRPr="00F02EC8" w:rsidR="00D774A3">
        <w:rPr>
          <w:rFonts w:ascii="Times New Roman" w:hAnsi="Times New Roman" w:cs="Times New Roman"/>
          <w:sz w:val="24"/>
          <w:szCs w:val="24"/>
        </w:rPr>
        <w:t>boli vo výške 170 000,- Sk a od obcí a vy</w:t>
      </w:r>
      <w:r w:rsidRPr="00F02EC8" w:rsidR="00C15DCD">
        <w:rPr>
          <w:rFonts w:ascii="Times New Roman" w:hAnsi="Times New Roman" w:cs="Times New Roman"/>
          <w:sz w:val="24"/>
          <w:szCs w:val="24"/>
        </w:rPr>
        <w:t xml:space="preserve">šších územných celkov </w:t>
      </w:r>
      <w:r w:rsidRPr="00F02EC8" w:rsidR="00D774A3">
        <w:rPr>
          <w:rFonts w:ascii="Times New Roman" w:hAnsi="Times New Roman" w:cs="Times New Roman"/>
          <w:sz w:val="24"/>
          <w:szCs w:val="24"/>
        </w:rPr>
        <w:t>vo výš</w:t>
      </w:r>
      <w:r w:rsidRPr="00F02EC8" w:rsidR="00D774A3">
        <w:rPr>
          <w:rFonts w:ascii="Times New Roman" w:hAnsi="Times New Roman" w:cs="Times New Roman"/>
          <w:sz w:val="24"/>
          <w:szCs w:val="24"/>
        </w:rPr>
        <w:t>ke 512 877,- Sk</w:t>
      </w:r>
      <w:r w:rsidRPr="00F02EC8" w:rsidR="00BC6003">
        <w:rPr>
          <w:rFonts w:ascii="Times New Roman" w:hAnsi="Times New Roman" w:cs="Times New Roman"/>
          <w:sz w:val="24"/>
          <w:szCs w:val="24"/>
        </w:rPr>
        <w:t>.</w:t>
      </w:r>
      <w:r w:rsidRPr="00F02EC8" w:rsidR="00472FCB">
        <w:rPr>
          <w:rFonts w:ascii="Times New Roman" w:hAnsi="Times New Roman" w:cs="Times New Roman"/>
          <w:sz w:val="24"/>
          <w:szCs w:val="24"/>
        </w:rPr>
        <w:t xml:space="preserve"> </w:t>
      </w:r>
    </w:p>
    <w:p w:rsidR="002F6C67" w:rsidP="002F6C67">
      <w:pPr>
        <w:pStyle w:val="BodyTextIndent"/>
        <w:spacing w:line="240" w:lineRule="auto"/>
        <w:rPr>
          <w:rFonts w:ascii="Times New Roman" w:hAnsi="Times New Roman" w:cs="Times New Roman"/>
          <w:sz w:val="24"/>
          <w:szCs w:val="24"/>
        </w:rPr>
      </w:pPr>
      <w:r w:rsidR="00156EE4">
        <w:rPr>
          <w:rFonts w:ascii="Times New Roman" w:hAnsi="Times New Roman" w:cs="Times New Roman"/>
          <w:sz w:val="24"/>
          <w:szCs w:val="24"/>
        </w:rPr>
        <w:t>MDPT SR mal</w:t>
      </w:r>
      <w:r w:rsidR="00997881">
        <w:rPr>
          <w:rFonts w:ascii="Times New Roman" w:hAnsi="Times New Roman" w:cs="Times New Roman"/>
          <w:sz w:val="24"/>
          <w:szCs w:val="24"/>
        </w:rPr>
        <w:t>o</w:t>
      </w:r>
      <w:r w:rsidR="00156EE4">
        <w:rPr>
          <w:rFonts w:ascii="Times New Roman" w:hAnsi="Times New Roman" w:cs="Times New Roman"/>
          <w:sz w:val="24"/>
          <w:szCs w:val="24"/>
        </w:rPr>
        <w:t xml:space="preserve"> </w:t>
      </w:r>
      <w:r w:rsidR="005B28BE">
        <w:rPr>
          <w:rFonts w:ascii="Times New Roman" w:hAnsi="Times New Roman" w:cs="Times New Roman"/>
          <w:sz w:val="24"/>
          <w:szCs w:val="24"/>
        </w:rPr>
        <w:t>v roku 2007</w:t>
      </w:r>
      <w:r w:rsidRPr="00DC5FD9" w:rsidR="009A0B1F">
        <w:rPr>
          <w:rFonts w:ascii="Times New Roman" w:hAnsi="Times New Roman" w:cs="Times New Roman"/>
          <w:sz w:val="24"/>
          <w:szCs w:val="24"/>
        </w:rPr>
        <w:t xml:space="preserve"> aj doplnkové (mimorozpočtové) príjmy vo výške </w:t>
      </w:r>
      <w:r w:rsidR="005B28BE">
        <w:rPr>
          <w:rFonts w:ascii="Times New Roman" w:hAnsi="Times New Roman" w:cs="Times New Roman"/>
          <w:sz w:val="24"/>
          <w:szCs w:val="24"/>
        </w:rPr>
        <w:t>98 </w:t>
      </w:r>
      <w:r w:rsidR="009B757D">
        <w:rPr>
          <w:rFonts w:ascii="Times New Roman" w:hAnsi="Times New Roman" w:cs="Times New Roman"/>
          <w:sz w:val="24"/>
          <w:szCs w:val="24"/>
        </w:rPr>
        <w:t>55</w:t>
      </w:r>
      <w:r w:rsidR="005B28BE">
        <w:rPr>
          <w:rFonts w:ascii="Times New Roman" w:hAnsi="Times New Roman" w:cs="Times New Roman"/>
          <w:sz w:val="24"/>
          <w:szCs w:val="24"/>
        </w:rPr>
        <w:t xml:space="preserve">4 495,21 </w:t>
      </w:r>
      <w:r w:rsidRPr="00DC5FD9" w:rsidR="009A0B1F">
        <w:rPr>
          <w:rFonts w:ascii="Times New Roman" w:hAnsi="Times New Roman" w:cs="Times New Roman"/>
          <w:sz w:val="24"/>
          <w:szCs w:val="24"/>
        </w:rPr>
        <w:t>Sk, a to z prijatých zahraničných</w:t>
      </w:r>
      <w:r w:rsidR="005B28BE">
        <w:rPr>
          <w:rFonts w:ascii="Times New Roman" w:hAnsi="Times New Roman" w:cs="Times New Roman"/>
          <w:sz w:val="24"/>
          <w:szCs w:val="24"/>
        </w:rPr>
        <w:t xml:space="preserve"> </w:t>
      </w:r>
      <w:r w:rsidR="00260B05">
        <w:rPr>
          <w:rFonts w:ascii="Times New Roman" w:hAnsi="Times New Roman" w:cs="Times New Roman"/>
          <w:sz w:val="24"/>
          <w:szCs w:val="24"/>
        </w:rPr>
        <w:t xml:space="preserve">kapitálových </w:t>
      </w:r>
      <w:r w:rsidR="005B28BE">
        <w:rPr>
          <w:rFonts w:ascii="Times New Roman" w:hAnsi="Times New Roman" w:cs="Times New Roman"/>
          <w:sz w:val="24"/>
          <w:szCs w:val="24"/>
        </w:rPr>
        <w:t xml:space="preserve">grantov vo výške 50 592 652,17 </w:t>
      </w:r>
      <w:r w:rsidRPr="00DC5FD9" w:rsidR="009A0B1F">
        <w:rPr>
          <w:rFonts w:ascii="Times New Roman" w:hAnsi="Times New Roman" w:cs="Times New Roman"/>
          <w:sz w:val="24"/>
          <w:szCs w:val="24"/>
        </w:rPr>
        <w:t xml:space="preserve">Sk </w:t>
      </w:r>
      <w:r w:rsidR="007016CE">
        <w:rPr>
          <w:rFonts w:ascii="Times New Roman" w:hAnsi="Times New Roman" w:cs="Times New Roman"/>
          <w:sz w:val="24"/>
          <w:szCs w:val="24"/>
        </w:rPr>
        <w:t>pre NDS</w:t>
      </w:r>
      <w:r w:rsidR="006A1495">
        <w:rPr>
          <w:rFonts w:ascii="Times New Roman" w:hAnsi="Times New Roman" w:cs="Times New Roman"/>
          <w:sz w:val="24"/>
          <w:szCs w:val="24"/>
        </w:rPr>
        <w:t xml:space="preserve">, a.s., vo výške 36 827 941,28 </w:t>
      </w:r>
      <w:r w:rsidR="005B28BE">
        <w:rPr>
          <w:rFonts w:ascii="Times New Roman" w:hAnsi="Times New Roman" w:cs="Times New Roman"/>
          <w:sz w:val="24"/>
          <w:szCs w:val="24"/>
        </w:rPr>
        <w:t xml:space="preserve">Sk pre </w:t>
      </w:r>
      <w:r w:rsidR="00260B05">
        <w:rPr>
          <w:rFonts w:ascii="Times New Roman" w:hAnsi="Times New Roman" w:cs="Times New Roman"/>
          <w:sz w:val="24"/>
          <w:szCs w:val="24"/>
        </w:rPr>
        <w:t xml:space="preserve">Železnice SR, </w:t>
      </w:r>
      <w:r w:rsidR="007016CE">
        <w:rPr>
          <w:rFonts w:ascii="Times New Roman" w:hAnsi="Times New Roman" w:cs="Times New Roman"/>
          <w:sz w:val="24"/>
          <w:szCs w:val="24"/>
        </w:rPr>
        <w:t>určených na p</w:t>
      </w:r>
      <w:r w:rsidR="007016CE">
        <w:rPr>
          <w:rFonts w:ascii="Times New Roman" w:hAnsi="Times New Roman" w:cs="Times New Roman"/>
          <w:sz w:val="24"/>
          <w:szCs w:val="24"/>
        </w:rPr>
        <w:t>rojekty TEN–</w:t>
      </w:r>
      <w:r w:rsidR="005B28BE">
        <w:rPr>
          <w:rFonts w:ascii="Times New Roman" w:hAnsi="Times New Roman" w:cs="Times New Roman"/>
          <w:sz w:val="24"/>
          <w:szCs w:val="24"/>
        </w:rPr>
        <w:t>T</w:t>
      </w:r>
      <w:r w:rsidR="00260B05">
        <w:rPr>
          <w:rFonts w:ascii="Times New Roman" w:hAnsi="Times New Roman" w:cs="Times New Roman"/>
          <w:sz w:val="24"/>
          <w:szCs w:val="24"/>
        </w:rPr>
        <w:t>, ako aj grant na projekt IRIS EU</w:t>
      </w:r>
      <w:r w:rsidR="006A1495">
        <w:rPr>
          <w:rFonts w:ascii="Times New Roman" w:hAnsi="Times New Roman" w:cs="Times New Roman"/>
          <w:sz w:val="24"/>
          <w:szCs w:val="24"/>
        </w:rPr>
        <w:t>ROPE vo výške 11 028 360,86</w:t>
      </w:r>
      <w:r w:rsidR="00713D44">
        <w:rPr>
          <w:rFonts w:ascii="Times New Roman" w:hAnsi="Times New Roman" w:cs="Times New Roman"/>
          <w:sz w:val="24"/>
          <w:szCs w:val="24"/>
        </w:rPr>
        <w:t xml:space="preserve"> Sk. </w:t>
      </w:r>
    </w:p>
    <w:p w:rsidR="005B28BE" w:rsidRPr="00997881" w:rsidP="00997881">
      <w:pPr>
        <w:pStyle w:val="BodyTextIndent"/>
        <w:spacing w:line="240" w:lineRule="auto"/>
        <w:rPr>
          <w:rFonts w:ascii="Times New Roman" w:hAnsi="Times New Roman" w:cs="Times New Roman"/>
          <w:sz w:val="24"/>
          <w:szCs w:val="24"/>
        </w:rPr>
      </w:pPr>
      <w:r w:rsidRPr="00997881" w:rsidR="00260B05">
        <w:rPr>
          <w:rFonts w:ascii="Times New Roman" w:hAnsi="Times New Roman" w:cs="Times New Roman"/>
          <w:sz w:val="24"/>
          <w:szCs w:val="24"/>
        </w:rPr>
        <w:t>Ďalšími mimorozpočtovými príjmami boli v roku 2007  zahraničné bežné granty vo výške 75 540,90 Sk na  projekt VAMOS a tuzemské bežné granty vo výške 30 000,- Sk.</w:t>
      </w:r>
    </w:p>
    <w:p w:rsidR="008A6DF2" w:rsidRPr="006E4CF4" w:rsidP="009B757D">
      <w:pPr>
        <w:spacing w:line="240" w:lineRule="auto"/>
        <w:ind w:firstLine="709"/>
        <w:rPr>
          <w:rFonts w:ascii="Times New Roman" w:hAnsi="Times New Roman" w:cs="Times New Roman"/>
          <w:sz w:val="24"/>
          <w:szCs w:val="24"/>
        </w:rPr>
      </w:pPr>
      <w:r w:rsidRPr="00997881" w:rsidR="00260B05">
        <w:rPr>
          <w:rFonts w:ascii="Times New Roman" w:hAnsi="Times New Roman" w:cs="Times New Roman"/>
          <w:sz w:val="24"/>
          <w:szCs w:val="24"/>
        </w:rPr>
        <w:t>S</w:t>
      </w:r>
      <w:r w:rsidRPr="00997881" w:rsidR="006E4CF4">
        <w:rPr>
          <w:rFonts w:ascii="Times New Roman" w:hAnsi="Times New Roman" w:cs="Times New Roman"/>
          <w:sz w:val="24"/>
          <w:szCs w:val="24"/>
        </w:rPr>
        <w:t>právne poplatk</w:t>
      </w:r>
      <w:r w:rsidRPr="00997881" w:rsidR="006E4CF4">
        <w:rPr>
          <w:rFonts w:ascii="Times New Roman" w:hAnsi="Times New Roman" w:cs="Times New Roman"/>
          <w:sz w:val="24"/>
          <w:szCs w:val="24"/>
        </w:rPr>
        <w:t>y</w:t>
      </w:r>
      <w:r w:rsidRPr="006E4CF4" w:rsidR="006E4CF4">
        <w:rPr>
          <w:rFonts w:ascii="Times New Roman" w:hAnsi="Times New Roman" w:cs="Times New Roman"/>
          <w:sz w:val="24"/>
          <w:szCs w:val="24"/>
        </w:rPr>
        <w:t xml:space="preserve"> na účte cudzích prostrie</w:t>
      </w:r>
      <w:r w:rsidR="0054261D">
        <w:rPr>
          <w:rFonts w:ascii="Times New Roman" w:hAnsi="Times New Roman" w:cs="Times New Roman"/>
          <w:sz w:val="24"/>
          <w:szCs w:val="24"/>
        </w:rPr>
        <w:t>dkov (depozite) dosiahli 20 309 275,77</w:t>
      </w:r>
      <w:r w:rsidR="00BC6003">
        <w:rPr>
          <w:rFonts w:ascii="Times New Roman" w:hAnsi="Times New Roman" w:cs="Times New Roman"/>
          <w:sz w:val="24"/>
          <w:szCs w:val="24"/>
        </w:rPr>
        <w:t xml:space="preserve"> </w:t>
      </w:r>
      <w:r w:rsidRPr="006E4CF4" w:rsidR="006E4CF4">
        <w:rPr>
          <w:rFonts w:ascii="Times New Roman" w:hAnsi="Times New Roman" w:cs="Times New Roman"/>
          <w:sz w:val="24"/>
          <w:szCs w:val="24"/>
        </w:rPr>
        <w:t>Sk</w:t>
      </w:r>
      <w:r w:rsidR="009B757D">
        <w:rPr>
          <w:rFonts w:ascii="Times New Roman" w:hAnsi="Times New Roman" w:cs="Times New Roman"/>
          <w:sz w:val="24"/>
          <w:szCs w:val="24"/>
        </w:rPr>
        <w:t xml:space="preserve">. </w:t>
      </w:r>
      <w:r w:rsidR="006E4CF4">
        <w:rPr>
          <w:rFonts w:ascii="Times New Roman" w:hAnsi="Times New Roman" w:cs="Times New Roman"/>
          <w:sz w:val="24"/>
          <w:szCs w:val="24"/>
        </w:rPr>
        <w:t xml:space="preserve">Uvedené </w:t>
      </w:r>
      <w:r w:rsidRPr="006E4CF4" w:rsidR="006E4CF4">
        <w:rPr>
          <w:rFonts w:ascii="Times New Roman" w:hAnsi="Times New Roman" w:cs="Times New Roman"/>
          <w:sz w:val="24"/>
          <w:szCs w:val="24"/>
        </w:rPr>
        <w:t>s</w:t>
      </w:r>
      <w:r w:rsidR="006E4CF4">
        <w:rPr>
          <w:rFonts w:ascii="Times New Roman" w:hAnsi="Times New Roman" w:cs="Times New Roman"/>
          <w:sz w:val="24"/>
          <w:szCs w:val="24"/>
        </w:rPr>
        <w:t xml:space="preserve">právne poplatky boli vybraté </w:t>
      </w:r>
      <w:r w:rsidRPr="006E4CF4" w:rsidR="006E4CF4">
        <w:rPr>
          <w:rFonts w:ascii="Times New Roman" w:hAnsi="Times New Roman" w:cs="Times New Roman"/>
          <w:sz w:val="24"/>
          <w:szCs w:val="24"/>
        </w:rPr>
        <w:t>za dopravné licencie, dopravné</w:t>
      </w:r>
      <w:r w:rsidR="006E4CF4">
        <w:rPr>
          <w:rFonts w:ascii="Times New Roman" w:hAnsi="Times New Roman" w:cs="Times New Roman"/>
          <w:sz w:val="24"/>
          <w:szCs w:val="24"/>
        </w:rPr>
        <w:t xml:space="preserve"> povolenia, uzávierky ciest a diaľničných úsekov </w:t>
      </w:r>
      <w:r w:rsidRPr="006E4CF4" w:rsidR="006E4CF4">
        <w:rPr>
          <w:rFonts w:ascii="Times New Roman" w:hAnsi="Times New Roman" w:cs="Times New Roman"/>
          <w:sz w:val="24"/>
          <w:szCs w:val="24"/>
        </w:rPr>
        <w:t>a</w:t>
      </w:r>
      <w:r w:rsidR="006E4CF4">
        <w:rPr>
          <w:rFonts w:ascii="Times New Roman" w:hAnsi="Times New Roman" w:cs="Times New Roman"/>
          <w:sz w:val="24"/>
          <w:szCs w:val="24"/>
        </w:rPr>
        <w:t xml:space="preserve">ko aj za </w:t>
      </w:r>
      <w:r w:rsidRPr="006E4CF4" w:rsidR="006E4CF4">
        <w:rPr>
          <w:rFonts w:ascii="Times New Roman" w:hAnsi="Times New Roman" w:cs="Times New Roman"/>
          <w:sz w:val="24"/>
          <w:szCs w:val="24"/>
        </w:rPr>
        <w:t>iné povolen</w:t>
      </w:r>
      <w:r w:rsidR="006E4CF4">
        <w:rPr>
          <w:rFonts w:ascii="Times New Roman" w:hAnsi="Times New Roman" w:cs="Times New Roman"/>
          <w:sz w:val="24"/>
          <w:szCs w:val="24"/>
        </w:rPr>
        <w:t xml:space="preserve">ia v zmysle zákona č.145/95 Zb. </w:t>
      </w:r>
      <w:r w:rsidR="000B47EA">
        <w:rPr>
          <w:rFonts w:ascii="Times New Roman" w:hAnsi="Times New Roman" w:cs="Times New Roman"/>
          <w:sz w:val="24"/>
          <w:szCs w:val="24"/>
        </w:rPr>
        <w:t>o správnych popla</w:t>
      </w:r>
      <w:r w:rsidR="000B47EA">
        <w:rPr>
          <w:rFonts w:ascii="Times New Roman" w:hAnsi="Times New Roman" w:cs="Times New Roman"/>
          <w:sz w:val="24"/>
          <w:szCs w:val="24"/>
        </w:rPr>
        <w:t xml:space="preserve">tkoch. </w:t>
      </w:r>
      <w:r w:rsidRPr="006E4CF4" w:rsidR="006E4CF4">
        <w:rPr>
          <w:rFonts w:ascii="Times New Roman" w:hAnsi="Times New Roman" w:cs="Times New Roman"/>
          <w:sz w:val="24"/>
          <w:szCs w:val="24"/>
        </w:rPr>
        <w:t xml:space="preserve">Úrad odviedol na </w:t>
      </w:r>
      <w:r w:rsidR="00BC6003">
        <w:rPr>
          <w:rFonts w:ascii="Times New Roman" w:hAnsi="Times New Roman" w:cs="Times New Roman"/>
          <w:sz w:val="24"/>
          <w:szCs w:val="24"/>
        </w:rPr>
        <w:t>účet prísl</w:t>
      </w:r>
      <w:r w:rsidR="0054261D">
        <w:rPr>
          <w:rFonts w:ascii="Times New Roman" w:hAnsi="Times New Roman" w:cs="Times New Roman"/>
          <w:sz w:val="24"/>
          <w:szCs w:val="24"/>
        </w:rPr>
        <w:t xml:space="preserve">ušného daňového úradu 16 885 648,55 </w:t>
      </w:r>
      <w:r w:rsidRPr="006E4CF4">
        <w:rPr>
          <w:rFonts w:ascii="Times New Roman" w:hAnsi="Times New Roman" w:cs="Times New Roman"/>
          <w:sz w:val="24"/>
          <w:szCs w:val="24"/>
        </w:rPr>
        <w:t>Sk. Zvyšok</w:t>
      </w:r>
      <w:r w:rsidR="0054261D">
        <w:rPr>
          <w:rFonts w:ascii="Times New Roman" w:hAnsi="Times New Roman" w:cs="Times New Roman"/>
          <w:sz w:val="24"/>
          <w:szCs w:val="24"/>
        </w:rPr>
        <w:t xml:space="preserve"> vo výške 3 423 627,22 </w:t>
      </w:r>
      <w:r w:rsidRPr="006E4CF4">
        <w:rPr>
          <w:rFonts w:ascii="Times New Roman" w:hAnsi="Times New Roman" w:cs="Times New Roman"/>
          <w:sz w:val="24"/>
          <w:szCs w:val="24"/>
        </w:rPr>
        <w:t>ostal na účt</w:t>
      </w:r>
      <w:r w:rsidR="006E4CF4">
        <w:rPr>
          <w:rFonts w:ascii="Times New Roman" w:hAnsi="Times New Roman" w:cs="Times New Roman"/>
          <w:sz w:val="24"/>
          <w:szCs w:val="24"/>
        </w:rPr>
        <w:t xml:space="preserve">e cudzích </w:t>
      </w:r>
      <w:r w:rsidR="0054261D">
        <w:rPr>
          <w:rFonts w:ascii="Times New Roman" w:hAnsi="Times New Roman" w:cs="Times New Roman"/>
          <w:sz w:val="24"/>
          <w:szCs w:val="24"/>
        </w:rPr>
        <w:t xml:space="preserve">prostriedkov a bol </w:t>
      </w:r>
      <w:r w:rsidR="009B757D">
        <w:rPr>
          <w:rFonts w:ascii="Times New Roman" w:hAnsi="Times New Roman" w:cs="Times New Roman"/>
          <w:sz w:val="24"/>
          <w:szCs w:val="24"/>
        </w:rPr>
        <w:t>odvedený začiatkom roka 2008</w:t>
      </w:r>
      <w:r w:rsidR="006E4CF4">
        <w:rPr>
          <w:rFonts w:ascii="Times New Roman" w:hAnsi="Times New Roman" w:cs="Times New Roman"/>
          <w:sz w:val="24"/>
          <w:szCs w:val="24"/>
        </w:rPr>
        <w:t xml:space="preserve">. </w:t>
      </w:r>
    </w:p>
    <w:p w:rsidR="00124793" w:rsidRPr="00D23807" w:rsidP="00C362EA">
      <w:pPr>
        <w:spacing w:line="240" w:lineRule="auto"/>
        <w:rPr>
          <w:rFonts w:ascii="Times New Roman" w:hAnsi="Times New Roman" w:cs="Times New Roman"/>
          <w:sz w:val="24"/>
        </w:rPr>
      </w:pPr>
    </w:p>
    <w:p w:rsidR="00156EE4" w:rsidP="00474AC2">
      <w:pPr>
        <w:spacing w:line="240" w:lineRule="auto"/>
        <w:ind w:firstLine="708"/>
        <w:rPr>
          <w:rFonts w:ascii="Times New Roman" w:hAnsi="Times New Roman" w:cs="Times New Roman"/>
          <w:sz w:val="24"/>
          <w:szCs w:val="24"/>
        </w:rPr>
      </w:pPr>
      <w:r w:rsidRPr="00474AC2" w:rsidR="00540BF8">
        <w:rPr>
          <w:rFonts w:ascii="Times New Roman" w:hAnsi="Times New Roman" w:cs="Times New Roman"/>
          <w:b/>
          <w:sz w:val="28"/>
          <w:szCs w:val="28"/>
          <w:u w:val="single"/>
        </w:rPr>
        <w:t>Slovenská správa</w:t>
      </w:r>
      <w:r w:rsidRPr="00474AC2" w:rsidR="00D27E26">
        <w:rPr>
          <w:rFonts w:ascii="Times New Roman" w:hAnsi="Times New Roman" w:cs="Times New Roman"/>
          <w:b/>
          <w:sz w:val="28"/>
          <w:szCs w:val="28"/>
          <w:u w:val="single"/>
        </w:rPr>
        <w:t xml:space="preserve"> ciest</w:t>
      </w:r>
      <w:r w:rsidRPr="00A737B9" w:rsidR="00A737B9">
        <w:rPr>
          <w:rFonts w:ascii="Times New Roman" w:hAnsi="Times New Roman" w:cs="Times New Roman"/>
          <w:b/>
          <w:sz w:val="28"/>
          <w:szCs w:val="28"/>
        </w:rPr>
        <w:t xml:space="preserve"> </w:t>
      </w:r>
      <w:r w:rsidR="00540BF8">
        <w:rPr>
          <w:rFonts w:ascii="Times New Roman" w:hAnsi="Times New Roman" w:cs="Times New Roman"/>
          <w:sz w:val="24"/>
        </w:rPr>
        <w:t xml:space="preserve">mala </w:t>
      </w:r>
      <w:r w:rsidR="00965B59">
        <w:rPr>
          <w:rFonts w:ascii="Times New Roman" w:hAnsi="Times New Roman" w:cs="Times New Roman"/>
          <w:sz w:val="24"/>
        </w:rPr>
        <w:t>v </w:t>
      </w:r>
      <w:r w:rsidR="00CB504F">
        <w:rPr>
          <w:rFonts w:ascii="Times New Roman" w:hAnsi="Times New Roman" w:cs="Times New Roman"/>
          <w:sz w:val="24"/>
        </w:rPr>
        <w:t>roku 2007</w:t>
      </w:r>
      <w:r w:rsidRPr="005F2B06" w:rsidR="00965B59">
        <w:rPr>
          <w:rFonts w:ascii="Times New Roman" w:hAnsi="Times New Roman" w:cs="Times New Roman"/>
          <w:sz w:val="24"/>
        </w:rPr>
        <w:t xml:space="preserve"> </w:t>
      </w:r>
      <w:r w:rsidRPr="005F2B06" w:rsidR="00D27E26">
        <w:rPr>
          <w:rFonts w:ascii="Times New Roman" w:hAnsi="Times New Roman" w:cs="Times New Roman"/>
          <w:sz w:val="24"/>
          <w:szCs w:val="24"/>
        </w:rPr>
        <w:t xml:space="preserve">predpísané príjmy vo výške </w:t>
      </w:r>
      <w:r w:rsidR="007E1C88">
        <w:rPr>
          <w:rFonts w:ascii="Times New Roman" w:hAnsi="Times New Roman" w:cs="Times New Roman"/>
          <w:sz w:val="24"/>
          <w:szCs w:val="24"/>
        </w:rPr>
        <w:t>3</w:t>
      </w:r>
      <w:r w:rsidRPr="005F2B06" w:rsidR="00540BF8">
        <w:rPr>
          <w:rFonts w:ascii="Times New Roman" w:hAnsi="Times New Roman" w:cs="Times New Roman"/>
          <w:sz w:val="24"/>
          <w:szCs w:val="24"/>
        </w:rPr>
        <w:t>0</w:t>
      </w:r>
      <w:r w:rsidR="007A71E3">
        <w:rPr>
          <w:rFonts w:ascii="Times New Roman" w:hAnsi="Times New Roman" w:cs="Times New Roman"/>
          <w:sz w:val="24"/>
          <w:szCs w:val="24"/>
        </w:rPr>
        <w:t> </w:t>
      </w:r>
      <w:r w:rsidRPr="005F2B06" w:rsidR="00540BF8">
        <w:rPr>
          <w:rFonts w:ascii="Times New Roman" w:hAnsi="Times New Roman" w:cs="Times New Roman"/>
          <w:sz w:val="24"/>
          <w:szCs w:val="24"/>
        </w:rPr>
        <w:t>00</w:t>
      </w:r>
      <w:r w:rsidR="007A71E3">
        <w:rPr>
          <w:rFonts w:ascii="Times New Roman" w:hAnsi="Times New Roman" w:cs="Times New Roman"/>
          <w:sz w:val="24"/>
          <w:szCs w:val="24"/>
        </w:rPr>
        <w:t xml:space="preserve">0 000,- </w:t>
      </w:r>
      <w:r w:rsidRPr="005F2B06" w:rsidR="00455044">
        <w:rPr>
          <w:rFonts w:ascii="Times New Roman" w:hAnsi="Times New Roman" w:cs="Times New Roman"/>
          <w:sz w:val="24"/>
          <w:szCs w:val="24"/>
        </w:rPr>
        <w:t>Sk</w:t>
      </w:r>
      <w:r w:rsidR="00D70742">
        <w:rPr>
          <w:rFonts w:ascii="Times New Roman" w:hAnsi="Times New Roman" w:cs="Times New Roman"/>
          <w:sz w:val="24"/>
          <w:szCs w:val="24"/>
        </w:rPr>
        <w:t xml:space="preserve"> (podľa uzavretého </w:t>
      </w:r>
      <w:r w:rsidR="00CB504F">
        <w:rPr>
          <w:rFonts w:ascii="Times New Roman" w:hAnsi="Times New Roman" w:cs="Times New Roman"/>
          <w:sz w:val="24"/>
          <w:szCs w:val="24"/>
        </w:rPr>
        <w:t>Kontraktu na rozpočtový rok 2007</w:t>
      </w:r>
      <w:r w:rsidR="00D70742">
        <w:rPr>
          <w:rFonts w:ascii="Times New Roman" w:hAnsi="Times New Roman" w:cs="Times New Roman"/>
          <w:sz w:val="24"/>
          <w:szCs w:val="24"/>
        </w:rPr>
        <w:t xml:space="preserve"> medzi MDPT SR a SSC)</w:t>
      </w:r>
      <w:r w:rsidRPr="005F2B06" w:rsidR="00455044">
        <w:rPr>
          <w:rFonts w:ascii="Times New Roman" w:hAnsi="Times New Roman" w:cs="Times New Roman"/>
          <w:sz w:val="24"/>
          <w:szCs w:val="24"/>
        </w:rPr>
        <w:t xml:space="preserve">. V priebehu roka </w:t>
      </w:r>
      <w:r w:rsidR="00CB504F">
        <w:rPr>
          <w:rFonts w:ascii="Times New Roman" w:hAnsi="Times New Roman" w:cs="Times New Roman"/>
          <w:sz w:val="24"/>
          <w:szCs w:val="24"/>
        </w:rPr>
        <w:t>ne</w:t>
      </w:r>
      <w:r w:rsidRPr="005F2B06" w:rsidR="00455044">
        <w:rPr>
          <w:rFonts w:ascii="Times New Roman" w:hAnsi="Times New Roman" w:cs="Times New Roman"/>
          <w:sz w:val="24"/>
          <w:szCs w:val="24"/>
        </w:rPr>
        <w:t>b</w:t>
      </w:r>
      <w:r w:rsidR="00CB504F">
        <w:rPr>
          <w:rFonts w:ascii="Times New Roman" w:hAnsi="Times New Roman" w:cs="Times New Roman"/>
          <w:sz w:val="24"/>
          <w:szCs w:val="24"/>
        </w:rPr>
        <w:t xml:space="preserve">ol rozpočet príjmov SSC upravený </w:t>
      </w:r>
      <w:r w:rsidRPr="005F2B06" w:rsidR="00455044">
        <w:rPr>
          <w:rFonts w:ascii="Times New Roman" w:hAnsi="Times New Roman" w:cs="Times New Roman"/>
          <w:sz w:val="24"/>
          <w:szCs w:val="24"/>
        </w:rPr>
        <w:t>rozpočtovým</w:t>
      </w:r>
      <w:r w:rsidR="00CB504F">
        <w:rPr>
          <w:rFonts w:ascii="Times New Roman" w:hAnsi="Times New Roman" w:cs="Times New Roman"/>
          <w:sz w:val="24"/>
          <w:szCs w:val="24"/>
        </w:rPr>
        <w:t>i opatreniami. Skutočné príjmy za rok 2007</w:t>
      </w:r>
      <w:r w:rsidRPr="002C7E22" w:rsidR="00455044">
        <w:rPr>
          <w:rFonts w:ascii="Times New Roman" w:hAnsi="Times New Roman" w:cs="Times New Roman"/>
          <w:sz w:val="24"/>
          <w:szCs w:val="24"/>
        </w:rPr>
        <w:t xml:space="preserve"> dosiahla</w:t>
      </w:r>
      <w:r>
        <w:rPr>
          <w:rFonts w:ascii="Times New Roman" w:hAnsi="Times New Roman" w:cs="Times New Roman"/>
          <w:sz w:val="24"/>
          <w:szCs w:val="24"/>
        </w:rPr>
        <w:t xml:space="preserve"> SSC </w:t>
      </w:r>
      <w:r w:rsidRPr="002C7E22" w:rsidR="00455044">
        <w:rPr>
          <w:rFonts w:ascii="Times New Roman" w:hAnsi="Times New Roman" w:cs="Times New Roman"/>
          <w:sz w:val="24"/>
          <w:szCs w:val="24"/>
        </w:rPr>
        <w:t>v</w:t>
      </w:r>
      <w:r w:rsidRPr="002C7E22" w:rsidR="007E1C88">
        <w:rPr>
          <w:rFonts w:ascii="Times New Roman" w:hAnsi="Times New Roman" w:cs="Times New Roman"/>
          <w:sz w:val="24"/>
          <w:szCs w:val="24"/>
        </w:rPr>
        <w:t> </w:t>
      </w:r>
      <w:r w:rsidRPr="002C7E22" w:rsidR="00455044">
        <w:rPr>
          <w:rFonts w:ascii="Times New Roman" w:hAnsi="Times New Roman" w:cs="Times New Roman"/>
          <w:sz w:val="24"/>
          <w:szCs w:val="24"/>
        </w:rPr>
        <w:t>sume</w:t>
      </w:r>
      <w:r w:rsidRPr="002C7E22" w:rsidR="007E1C88">
        <w:rPr>
          <w:rFonts w:ascii="Times New Roman" w:hAnsi="Times New Roman" w:cs="Times New Roman"/>
          <w:sz w:val="24"/>
          <w:szCs w:val="24"/>
        </w:rPr>
        <w:t xml:space="preserve"> </w:t>
      </w:r>
      <w:r w:rsidR="00CB504F">
        <w:rPr>
          <w:rFonts w:ascii="Times New Roman" w:hAnsi="Times New Roman" w:cs="Times New Roman"/>
          <w:sz w:val="24"/>
          <w:szCs w:val="24"/>
        </w:rPr>
        <w:t>14 397 584,24</w:t>
      </w:r>
      <w:r w:rsidRPr="002C7E22" w:rsidR="007A71E3">
        <w:rPr>
          <w:rFonts w:ascii="Times New Roman" w:hAnsi="Times New Roman" w:cs="Times New Roman"/>
          <w:sz w:val="24"/>
          <w:szCs w:val="24"/>
        </w:rPr>
        <w:t xml:space="preserve"> </w:t>
      </w:r>
      <w:r w:rsidRPr="002C7E22" w:rsidR="00965B59">
        <w:rPr>
          <w:rFonts w:ascii="Times New Roman" w:hAnsi="Times New Roman" w:cs="Times New Roman"/>
          <w:sz w:val="24"/>
          <w:szCs w:val="24"/>
        </w:rPr>
        <w:t>Sk,</w:t>
      </w:r>
      <w:r w:rsidR="00CB504F">
        <w:rPr>
          <w:rFonts w:ascii="Times New Roman" w:hAnsi="Times New Roman" w:cs="Times New Roman"/>
          <w:sz w:val="24"/>
          <w:szCs w:val="24"/>
        </w:rPr>
        <w:t xml:space="preserve">  čo predstavuje 47,99</w:t>
      </w:r>
      <w:r>
        <w:rPr>
          <w:rFonts w:ascii="Times New Roman" w:hAnsi="Times New Roman" w:cs="Times New Roman"/>
          <w:sz w:val="24"/>
          <w:szCs w:val="24"/>
        </w:rPr>
        <w:t>%.</w:t>
      </w:r>
      <w:r w:rsidRPr="002C7E22" w:rsidR="00D27E26">
        <w:rPr>
          <w:rFonts w:ascii="Times New Roman" w:hAnsi="Times New Roman" w:cs="Times New Roman"/>
          <w:sz w:val="24"/>
          <w:szCs w:val="24"/>
        </w:rPr>
        <w:t xml:space="preserve"> </w:t>
      </w:r>
    </w:p>
    <w:p w:rsidR="000F695D" w:rsidP="00474AC2">
      <w:pPr>
        <w:spacing w:line="240" w:lineRule="auto"/>
        <w:ind w:firstLine="708"/>
        <w:rPr>
          <w:rFonts w:ascii="Times New Roman" w:hAnsi="Times New Roman" w:cs="Times New Roman"/>
          <w:sz w:val="24"/>
          <w:szCs w:val="24"/>
        </w:rPr>
      </w:pPr>
      <w:r w:rsidRPr="00474AC2" w:rsidR="00474AC2">
        <w:rPr>
          <w:rFonts w:ascii="Times New Roman" w:hAnsi="Times New Roman" w:cs="Times New Roman"/>
          <w:sz w:val="24"/>
          <w:szCs w:val="24"/>
        </w:rPr>
        <w:t xml:space="preserve">V súvislosti s delimitáciou činností a majetku, uskutočnenej v roku 2005 na Národnú diaľničnú spoločnosť, a.s., </w:t>
      </w:r>
      <w:r w:rsidR="00474AC2">
        <w:rPr>
          <w:rFonts w:ascii="Times New Roman" w:hAnsi="Times New Roman" w:cs="Times New Roman"/>
          <w:sz w:val="24"/>
          <w:szCs w:val="24"/>
        </w:rPr>
        <w:t xml:space="preserve">boli SSC </w:t>
      </w:r>
      <w:r w:rsidRPr="00474AC2" w:rsidR="00474AC2">
        <w:rPr>
          <w:rFonts w:ascii="Times New Roman" w:hAnsi="Times New Roman" w:cs="Times New Roman"/>
          <w:sz w:val="24"/>
          <w:szCs w:val="24"/>
        </w:rPr>
        <w:t>znížené zdroje (majetok a činnosti), prostredníctvom ktorých dosahovala v predchádzajú</w:t>
      </w:r>
      <w:r w:rsidR="00156EE4">
        <w:rPr>
          <w:rFonts w:ascii="Times New Roman" w:hAnsi="Times New Roman" w:cs="Times New Roman"/>
          <w:sz w:val="24"/>
          <w:szCs w:val="24"/>
        </w:rPr>
        <w:t xml:space="preserve">cich rokoch príjmy v rozpočtovanej </w:t>
      </w:r>
      <w:r w:rsidRPr="00474AC2" w:rsidR="00474AC2">
        <w:rPr>
          <w:rFonts w:ascii="Times New Roman" w:hAnsi="Times New Roman" w:cs="Times New Roman"/>
          <w:sz w:val="24"/>
          <w:szCs w:val="24"/>
        </w:rPr>
        <w:t>výšk</w:t>
      </w:r>
      <w:r w:rsidR="00156EE4">
        <w:rPr>
          <w:rFonts w:ascii="Times New Roman" w:hAnsi="Times New Roman" w:cs="Times New Roman"/>
          <w:sz w:val="24"/>
          <w:szCs w:val="24"/>
        </w:rPr>
        <w:t xml:space="preserve">e. V </w:t>
      </w:r>
      <w:r w:rsidRPr="00474AC2" w:rsidR="00474AC2">
        <w:rPr>
          <w:rFonts w:ascii="Times New Roman" w:hAnsi="Times New Roman" w:cs="Times New Roman"/>
          <w:sz w:val="24"/>
          <w:szCs w:val="24"/>
        </w:rPr>
        <w:t xml:space="preserve">roku 2007 sa potvrdila skutočnosť, že SSC pri zostávajúcom majetku a činnostiach nie je schopná plniť príjmy </w:t>
      </w:r>
      <w:r w:rsidR="00474AC2">
        <w:rPr>
          <w:rFonts w:ascii="Times New Roman" w:hAnsi="Times New Roman" w:cs="Times New Roman"/>
          <w:sz w:val="24"/>
          <w:szCs w:val="24"/>
        </w:rPr>
        <w:t xml:space="preserve">v predpísanej výške 30 mil. </w:t>
      </w:r>
      <w:r w:rsidRPr="00474AC2" w:rsidR="00474AC2">
        <w:rPr>
          <w:rFonts w:ascii="Times New Roman" w:hAnsi="Times New Roman" w:cs="Times New Roman"/>
          <w:sz w:val="24"/>
          <w:szCs w:val="24"/>
        </w:rPr>
        <w:t>Sk.</w:t>
      </w:r>
    </w:p>
    <w:p w:rsidR="000F36D3" w:rsidRPr="00E140F6" w:rsidP="00E140F6">
      <w:pPr>
        <w:spacing w:line="240" w:lineRule="auto"/>
        <w:ind w:firstLine="708"/>
        <w:rPr>
          <w:rFonts w:ascii="Times New Roman" w:hAnsi="Times New Roman" w:cs="Times New Roman"/>
          <w:sz w:val="24"/>
          <w:szCs w:val="24"/>
        </w:rPr>
      </w:pPr>
    </w:p>
    <w:p w:rsidR="00670E1B" w:rsidRPr="00540BF8" w:rsidP="00670E1B">
      <w:pPr>
        <w:spacing w:line="240" w:lineRule="auto"/>
        <w:ind w:firstLine="708"/>
        <w:jc w:val="center"/>
        <w:rPr>
          <w:rFonts w:ascii="Times New Roman" w:hAnsi="Times New Roman" w:cs="Times New Roman"/>
          <w:b/>
          <w:sz w:val="24"/>
          <w:szCs w:val="24"/>
        </w:rPr>
      </w:pPr>
      <w:r w:rsidR="007016CE">
        <w:rPr>
          <w:rFonts w:ascii="Times New Roman" w:hAnsi="Times New Roman" w:cs="Times New Roman"/>
          <w:b/>
          <w:sz w:val="24"/>
          <w:szCs w:val="24"/>
        </w:rPr>
        <w:t>Skutočné príjmy S</w:t>
      </w:r>
      <w:r>
        <w:rPr>
          <w:rFonts w:ascii="Times New Roman" w:hAnsi="Times New Roman" w:cs="Times New Roman"/>
          <w:b/>
          <w:sz w:val="24"/>
          <w:szCs w:val="24"/>
        </w:rPr>
        <w:t>lovenskej správy ciest za rok 2007</w:t>
      </w:r>
    </w:p>
    <w:p w:rsidR="00BF7A10" w:rsidP="00C362EA">
      <w:pPr>
        <w:spacing w:line="240" w:lineRule="auto"/>
        <w:ind w:left="360"/>
        <w:rPr>
          <w:rFonts w:ascii="Times New Roman" w:hAnsi="Times New Roman" w:cs="Times New Roman"/>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
      <w:tblGrid>
        <w:gridCol w:w="900"/>
        <w:gridCol w:w="6840"/>
        <w:gridCol w:w="1440"/>
      </w:tblGrid>
      <w:tr>
        <w:tblPrEx>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84"/>
        </w:trPr>
        <w:tc>
          <w:tcPr>
            <w:tcW w:w="900" w:type="dxa"/>
            <w:tcBorders>
              <w:top w:val="single" w:sz="4" w:space="0" w:color="auto"/>
              <w:left w:val="single" w:sz="4" w:space="0" w:color="auto"/>
              <w:bottom w:val="single" w:sz="4" w:space="0" w:color="auto"/>
              <w:right w:val="single" w:sz="4" w:space="0" w:color="auto"/>
              <w:tl2br w:val="nil"/>
              <w:tr2bl w:val="nil"/>
            </w:tcBorders>
            <w:shd w:val="clear" w:color="auto" w:fill="C0C0C0"/>
            <w:noWrap/>
            <w:textDirection w:val="lrTb"/>
            <w:vAlign w:val="center"/>
          </w:tcPr>
          <w:p w:rsidR="00965B59" w:rsidRPr="00B7501C" w:rsidP="00C362EA">
            <w:pPr>
              <w:spacing w:line="240" w:lineRule="auto"/>
              <w:jc w:val="center"/>
              <w:rPr>
                <w:rFonts w:ascii="Arial Narrow" w:hAnsi="Arial Narrow" w:cs="Times New Roman"/>
                <w:b/>
                <w:sz w:val="24"/>
                <w:szCs w:val="24"/>
                <w:highlight w:val="lightGray"/>
              </w:rPr>
            </w:pPr>
            <w:r w:rsidRPr="00B7501C">
              <w:rPr>
                <w:rFonts w:ascii="Arial Narrow" w:hAnsi="Arial Narrow" w:cs="Times New Roman"/>
                <w:b/>
                <w:sz w:val="24"/>
                <w:szCs w:val="24"/>
                <w:highlight w:val="lightGray"/>
              </w:rPr>
              <w:t>Položka</w:t>
            </w:r>
          </w:p>
        </w:tc>
        <w:tc>
          <w:tcPr>
            <w:tcW w:w="6840" w:type="dxa"/>
            <w:tcBorders>
              <w:top w:val="single" w:sz="4" w:space="0" w:color="auto"/>
              <w:left w:val="single" w:sz="4" w:space="0" w:color="auto"/>
              <w:bottom w:val="single" w:sz="4" w:space="0" w:color="auto"/>
              <w:right w:val="single" w:sz="4" w:space="0" w:color="auto"/>
              <w:tl2br w:val="nil"/>
              <w:tr2bl w:val="nil"/>
            </w:tcBorders>
            <w:shd w:val="clear" w:color="auto" w:fill="C0C0C0"/>
            <w:noWrap/>
            <w:textDirection w:val="lrTb"/>
            <w:vAlign w:val="center"/>
          </w:tcPr>
          <w:p w:rsidR="00965B59" w:rsidRPr="00B7501C" w:rsidP="00C362EA">
            <w:pPr>
              <w:spacing w:line="240" w:lineRule="auto"/>
              <w:jc w:val="center"/>
              <w:rPr>
                <w:rFonts w:ascii="Arial Narrow" w:hAnsi="Arial Narrow" w:cs="Times New Roman"/>
                <w:b/>
                <w:sz w:val="24"/>
                <w:szCs w:val="24"/>
                <w:highlight w:val="lightGray"/>
              </w:rPr>
            </w:pPr>
            <w:r w:rsidRPr="00B7501C">
              <w:rPr>
                <w:rFonts w:ascii="Arial Narrow" w:hAnsi="Arial Narrow" w:cs="Times New Roman"/>
                <w:b/>
                <w:sz w:val="24"/>
                <w:szCs w:val="24"/>
                <w:highlight w:val="lightGray"/>
              </w:rPr>
              <w:t>Názov</w:t>
            </w:r>
          </w:p>
        </w:tc>
        <w:tc>
          <w:tcPr>
            <w:tcW w:w="1440" w:type="dxa"/>
            <w:tcBorders>
              <w:top w:val="single" w:sz="4" w:space="0" w:color="auto"/>
              <w:left w:val="single" w:sz="4" w:space="0" w:color="auto"/>
              <w:bottom w:val="single" w:sz="4" w:space="0" w:color="auto"/>
              <w:right w:val="single" w:sz="4" w:space="0" w:color="auto"/>
              <w:tl2br w:val="nil"/>
              <w:tr2bl w:val="nil"/>
            </w:tcBorders>
            <w:shd w:val="clear" w:color="auto" w:fill="C0C0C0"/>
            <w:noWrap/>
            <w:textDirection w:val="lrTb"/>
            <w:vAlign w:val="center"/>
          </w:tcPr>
          <w:p w:rsidR="00965B59" w:rsidRPr="00B7501C" w:rsidP="00C362EA">
            <w:pPr>
              <w:spacing w:line="240" w:lineRule="auto"/>
              <w:jc w:val="right"/>
              <w:rPr>
                <w:rFonts w:ascii="Arial Narrow" w:hAnsi="Arial Narrow" w:cs="Times New Roman"/>
                <w:b/>
                <w:sz w:val="24"/>
                <w:szCs w:val="24"/>
                <w:highlight w:val="lightGray"/>
              </w:rPr>
            </w:pPr>
            <w:r w:rsidRPr="00B7501C">
              <w:rPr>
                <w:rFonts w:ascii="Arial Narrow" w:hAnsi="Arial Narrow" w:cs="Times New Roman"/>
                <w:b/>
                <w:sz w:val="24"/>
                <w:szCs w:val="24"/>
                <w:highlight w:val="lightGray"/>
              </w:rPr>
              <w:t>Suma v Sk</w:t>
            </w:r>
          </w:p>
        </w:tc>
      </w:tr>
      <w:tr>
        <w:tblPrEx>
          <w:tblW w:w="9180" w:type="dxa"/>
          <w:tblInd w:w="70" w:type="dxa"/>
          <w:tblCellMar>
            <w:left w:w="70" w:type="dxa"/>
            <w:right w:w="70" w:type="dxa"/>
          </w:tblCellMar>
        </w:tblPrEx>
        <w:trPr>
          <w:trHeight w:val="284"/>
        </w:trPr>
        <w:tc>
          <w:tcPr>
            <w:tcW w:w="90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965B59" w:rsidRPr="00F3652B" w:rsidP="001529DD">
            <w:pPr>
              <w:spacing w:line="240" w:lineRule="auto"/>
              <w:jc w:val="right"/>
              <w:rPr>
                <w:rFonts w:ascii="Arial Narrow" w:hAnsi="Arial Narrow" w:cs="Times New Roman"/>
                <w:bCs/>
                <w:sz w:val="22"/>
                <w:szCs w:val="22"/>
              </w:rPr>
            </w:pPr>
            <w:r w:rsidRPr="00F3652B">
              <w:rPr>
                <w:rFonts w:ascii="Arial Narrow" w:hAnsi="Arial Narrow" w:cs="Times New Roman"/>
                <w:bCs/>
                <w:sz w:val="22"/>
                <w:szCs w:val="22"/>
              </w:rPr>
              <w:t>212 002</w:t>
            </w:r>
          </w:p>
        </w:tc>
        <w:tc>
          <w:tcPr>
            <w:tcW w:w="684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965B59" w:rsidRPr="00F3652B" w:rsidP="00C362EA">
            <w:pPr>
              <w:spacing w:line="240" w:lineRule="auto"/>
              <w:rPr>
                <w:rFonts w:ascii="Arial Narrow" w:hAnsi="Arial Narrow" w:cs="Times New Roman"/>
                <w:bCs/>
                <w:sz w:val="22"/>
                <w:szCs w:val="22"/>
              </w:rPr>
            </w:pPr>
            <w:r w:rsidRPr="00F3652B">
              <w:rPr>
                <w:rFonts w:ascii="Arial Narrow" w:hAnsi="Arial Narrow" w:cs="Times New Roman"/>
                <w:bCs/>
                <w:sz w:val="22"/>
                <w:szCs w:val="22"/>
              </w:rPr>
              <w:t>Z prenajatých pozemkov</w:t>
            </w:r>
            <w:r w:rsidRPr="00F3652B" w:rsidR="004A1564">
              <w:rPr>
                <w:rFonts w:ascii="Arial Narrow" w:hAnsi="Arial Narrow" w:cs="Times New Roman"/>
                <w:bCs/>
                <w:sz w:val="22"/>
                <w:szCs w:val="22"/>
              </w:rPr>
              <w:t xml:space="preserve"> </w:t>
            </w:r>
            <w:r w:rsidRPr="00F3652B" w:rsidR="004A1564">
              <w:rPr>
                <w:rFonts w:ascii="Arial Narrow" w:hAnsi="Arial Narrow" w:cs="Times New Roman"/>
                <w:sz w:val="22"/>
                <w:szCs w:val="22"/>
              </w:rPr>
              <w:t>(odpočívadlá, reklamné tabule, čerpacie stanice)</w:t>
            </w:r>
          </w:p>
        </w:tc>
        <w:tc>
          <w:tcPr>
            <w:tcW w:w="144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965B59" w:rsidRPr="00B7501C" w:rsidP="00C362EA">
            <w:pPr>
              <w:spacing w:line="240" w:lineRule="auto"/>
              <w:jc w:val="right"/>
              <w:rPr>
                <w:rFonts w:ascii="Arial Narrow" w:hAnsi="Arial Narrow" w:cs="Times New Roman"/>
                <w:bCs/>
                <w:sz w:val="22"/>
                <w:szCs w:val="22"/>
              </w:rPr>
            </w:pPr>
            <w:r w:rsidR="000F36D3">
              <w:rPr>
                <w:rFonts w:ascii="Arial Narrow" w:hAnsi="Arial Narrow" w:cs="Times New Roman"/>
                <w:bCs/>
                <w:sz w:val="22"/>
                <w:szCs w:val="22"/>
              </w:rPr>
              <w:t>3 814</w:t>
            </w:r>
            <w:r w:rsidR="001529DD">
              <w:rPr>
                <w:rFonts w:ascii="Arial Narrow" w:hAnsi="Arial Narrow" w:cs="Times New Roman"/>
                <w:bCs/>
                <w:sz w:val="22"/>
                <w:szCs w:val="22"/>
              </w:rPr>
              <w:t> 143</w:t>
            </w:r>
            <w:r w:rsidR="003C2142">
              <w:rPr>
                <w:rFonts w:ascii="Arial Narrow" w:hAnsi="Arial Narrow" w:cs="Times New Roman"/>
                <w:bCs/>
                <w:sz w:val="22"/>
                <w:szCs w:val="22"/>
              </w:rPr>
              <w:t>,</w:t>
            </w:r>
            <w:r w:rsidR="001529DD">
              <w:rPr>
                <w:rFonts w:ascii="Arial Narrow" w:hAnsi="Arial Narrow" w:cs="Times New Roman"/>
                <w:bCs/>
                <w:sz w:val="22"/>
                <w:szCs w:val="22"/>
              </w:rPr>
              <w:t>57</w:t>
            </w:r>
          </w:p>
        </w:tc>
      </w:tr>
      <w:tr>
        <w:tblPrEx>
          <w:tblW w:w="9180" w:type="dxa"/>
          <w:tblInd w:w="70" w:type="dxa"/>
          <w:tblCellMar>
            <w:left w:w="70" w:type="dxa"/>
            <w:right w:w="70" w:type="dxa"/>
          </w:tblCellMar>
        </w:tblPrEx>
        <w:trPr>
          <w:trHeight w:val="284"/>
        </w:trPr>
        <w:tc>
          <w:tcPr>
            <w:tcW w:w="90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965B59" w:rsidRPr="00F3652B" w:rsidP="001529DD">
            <w:pPr>
              <w:spacing w:line="240" w:lineRule="auto"/>
              <w:jc w:val="right"/>
              <w:rPr>
                <w:rFonts w:ascii="Arial Narrow" w:hAnsi="Arial Narrow" w:cs="Times New Roman"/>
                <w:bCs/>
                <w:sz w:val="22"/>
                <w:szCs w:val="22"/>
              </w:rPr>
            </w:pPr>
            <w:r w:rsidRPr="00F3652B">
              <w:rPr>
                <w:rFonts w:ascii="Arial Narrow" w:hAnsi="Arial Narrow" w:cs="Times New Roman"/>
                <w:bCs/>
                <w:sz w:val="22"/>
                <w:szCs w:val="22"/>
              </w:rPr>
              <w:t>212 003</w:t>
            </w:r>
          </w:p>
        </w:tc>
        <w:tc>
          <w:tcPr>
            <w:tcW w:w="684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965B59" w:rsidRPr="00F3652B" w:rsidP="00C362EA">
            <w:pPr>
              <w:spacing w:line="240" w:lineRule="auto"/>
              <w:rPr>
                <w:rFonts w:ascii="Arial Narrow" w:hAnsi="Arial Narrow" w:cs="Times New Roman"/>
                <w:bCs/>
                <w:sz w:val="22"/>
                <w:szCs w:val="22"/>
              </w:rPr>
            </w:pPr>
            <w:r w:rsidRPr="00F3652B">
              <w:rPr>
                <w:rFonts w:ascii="Arial Narrow" w:hAnsi="Arial Narrow" w:cs="Times New Roman"/>
                <w:bCs/>
                <w:sz w:val="22"/>
                <w:szCs w:val="22"/>
              </w:rPr>
              <w:t>Z prenajatých budov,</w:t>
            </w:r>
            <w:r w:rsidRPr="00F3652B" w:rsidR="001E4B66">
              <w:rPr>
                <w:rFonts w:ascii="Arial Narrow" w:hAnsi="Arial Narrow" w:cs="Times New Roman"/>
                <w:bCs/>
                <w:sz w:val="22"/>
                <w:szCs w:val="22"/>
              </w:rPr>
              <w:t xml:space="preserve"> </w:t>
            </w:r>
            <w:r w:rsidRPr="00F3652B">
              <w:rPr>
                <w:rFonts w:ascii="Arial Narrow" w:hAnsi="Arial Narrow" w:cs="Times New Roman"/>
                <w:bCs/>
                <w:sz w:val="22"/>
                <w:szCs w:val="22"/>
              </w:rPr>
              <w:t>priestorov a</w:t>
            </w:r>
            <w:r w:rsidRPr="00F3652B" w:rsidR="00261A8B">
              <w:rPr>
                <w:rFonts w:ascii="Arial Narrow" w:hAnsi="Arial Narrow" w:cs="Times New Roman"/>
                <w:bCs/>
                <w:sz w:val="22"/>
                <w:szCs w:val="22"/>
              </w:rPr>
              <w:t> </w:t>
            </w:r>
            <w:r w:rsidRPr="00F3652B">
              <w:rPr>
                <w:rFonts w:ascii="Arial Narrow" w:hAnsi="Arial Narrow" w:cs="Times New Roman"/>
                <w:bCs/>
                <w:sz w:val="22"/>
                <w:szCs w:val="22"/>
              </w:rPr>
              <w:t>objektov</w:t>
            </w:r>
            <w:r w:rsidRPr="00F3652B" w:rsidR="004A1564">
              <w:rPr>
                <w:rFonts w:ascii="Arial Narrow" w:hAnsi="Arial Narrow" w:cs="Times New Roman"/>
                <w:sz w:val="22"/>
                <w:szCs w:val="22"/>
              </w:rPr>
              <w:t xml:space="preserve"> (nájom garáží, priestorov, objektov)</w:t>
            </w:r>
          </w:p>
        </w:tc>
        <w:tc>
          <w:tcPr>
            <w:tcW w:w="144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965B59" w:rsidRPr="00B7501C" w:rsidP="00C362EA">
            <w:pPr>
              <w:spacing w:line="240" w:lineRule="auto"/>
              <w:jc w:val="right"/>
              <w:rPr>
                <w:rFonts w:ascii="Arial Narrow" w:hAnsi="Arial Narrow" w:cs="Times New Roman"/>
                <w:bCs/>
                <w:sz w:val="22"/>
                <w:szCs w:val="22"/>
              </w:rPr>
            </w:pPr>
            <w:r w:rsidR="001529DD">
              <w:rPr>
                <w:rFonts w:ascii="Arial Narrow" w:hAnsi="Arial Narrow" w:cs="Times New Roman"/>
                <w:bCs/>
                <w:sz w:val="22"/>
                <w:szCs w:val="22"/>
              </w:rPr>
              <w:t>1 727 357</w:t>
            </w:r>
            <w:r w:rsidR="003C2142">
              <w:rPr>
                <w:rFonts w:ascii="Arial Narrow" w:hAnsi="Arial Narrow" w:cs="Times New Roman"/>
                <w:bCs/>
                <w:sz w:val="22"/>
                <w:szCs w:val="22"/>
              </w:rPr>
              <w:t>,</w:t>
            </w:r>
            <w:r w:rsidR="001529DD">
              <w:rPr>
                <w:rFonts w:ascii="Arial Narrow" w:hAnsi="Arial Narrow" w:cs="Times New Roman"/>
                <w:bCs/>
                <w:sz w:val="22"/>
                <w:szCs w:val="22"/>
              </w:rPr>
              <w:t>42</w:t>
            </w:r>
          </w:p>
        </w:tc>
      </w:tr>
      <w:tr>
        <w:tblPrEx>
          <w:tblW w:w="9180" w:type="dxa"/>
          <w:tblInd w:w="70" w:type="dxa"/>
          <w:tblCellMar>
            <w:left w:w="70" w:type="dxa"/>
            <w:right w:w="70" w:type="dxa"/>
          </w:tblCellMar>
        </w:tblPrEx>
        <w:trPr>
          <w:trHeight w:val="284"/>
        </w:trPr>
        <w:tc>
          <w:tcPr>
            <w:tcW w:w="90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1529DD" w:rsidRPr="00F3652B" w:rsidP="001529DD">
            <w:pPr>
              <w:spacing w:line="240" w:lineRule="auto"/>
              <w:jc w:val="right"/>
              <w:rPr>
                <w:rFonts w:ascii="Arial Narrow" w:hAnsi="Arial Narrow" w:cs="Times New Roman"/>
                <w:bCs/>
                <w:sz w:val="22"/>
                <w:szCs w:val="22"/>
              </w:rPr>
            </w:pPr>
            <w:r w:rsidRPr="00F3652B">
              <w:rPr>
                <w:rFonts w:ascii="Arial Narrow" w:hAnsi="Arial Narrow" w:cs="Times New Roman"/>
                <w:bCs/>
                <w:sz w:val="22"/>
                <w:szCs w:val="22"/>
              </w:rPr>
              <w:t>221 001</w:t>
            </w:r>
          </w:p>
        </w:tc>
        <w:tc>
          <w:tcPr>
            <w:tcW w:w="684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1529DD" w:rsidRPr="00F3652B" w:rsidP="00C362EA">
            <w:pPr>
              <w:spacing w:line="240" w:lineRule="auto"/>
              <w:rPr>
                <w:rFonts w:ascii="Arial Narrow" w:hAnsi="Arial Narrow" w:cs="Times New Roman"/>
                <w:bCs/>
                <w:sz w:val="22"/>
                <w:szCs w:val="22"/>
              </w:rPr>
            </w:pPr>
            <w:r w:rsidRPr="00F3652B">
              <w:rPr>
                <w:rFonts w:ascii="Arial Narrow" w:hAnsi="Arial Narrow" w:cs="Times New Roman"/>
                <w:bCs/>
                <w:sz w:val="22"/>
                <w:szCs w:val="22"/>
              </w:rPr>
              <w:t>Za porušenie finančnej disciplíny</w:t>
            </w:r>
          </w:p>
        </w:tc>
        <w:tc>
          <w:tcPr>
            <w:tcW w:w="144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1529DD" w:rsidP="00C362EA">
            <w:pPr>
              <w:spacing w:line="240" w:lineRule="auto"/>
              <w:jc w:val="right"/>
              <w:rPr>
                <w:rFonts w:ascii="Arial Narrow" w:hAnsi="Arial Narrow" w:cs="Times New Roman"/>
                <w:bCs/>
                <w:sz w:val="22"/>
                <w:szCs w:val="22"/>
              </w:rPr>
            </w:pPr>
            <w:r>
              <w:rPr>
                <w:rFonts w:ascii="Arial Narrow" w:hAnsi="Arial Narrow" w:cs="Times New Roman"/>
                <w:bCs/>
                <w:sz w:val="22"/>
                <w:szCs w:val="22"/>
              </w:rPr>
              <w:t>379 826,09</w:t>
            </w:r>
          </w:p>
        </w:tc>
      </w:tr>
      <w:tr>
        <w:tblPrEx>
          <w:tblW w:w="9180" w:type="dxa"/>
          <w:tblInd w:w="70" w:type="dxa"/>
          <w:tblCellMar>
            <w:left w:w="70" w:type="dxa"/>
            <w:right w:w="70" w:type="dxa"/>
          </w:tblCellMar>
        </w:tblPrEx>
        <w:trPr>
          <w:trHeight w:val="284"/>
        </w:trPr>
        <w:tc>
          <w:tcPr>
            <w:tcW w:w="90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965B59" w:rsidRPr="00F3652B" w:rsidP="001529DD">
            <w:pPr>
              <w:spacing w:line="240" w:lineRule="auto"/>
              <w:jc w:val="right"/>
              <w:rPr>
                <w:rFonts w:ascii="Arial Narrow" w:hAnsi="Arial Narrow" w:cs="Times New Roman"/>
                <w:bCs/>
                <w:sz w:val="22"/>
                <w:szCs w:val="22"/>
              </w:rPr>
            </w:pPr>
            <w:r w:rsidRPr="00F3652B">
              <w:rPr>
                <w:rFonts w:ascii="Arial Narrow" w:hAnsi="Arial Narrow" w:cs="Times New Roman"/>
                <w:bCs/>
                <w:sz w:val="22"/>
                <w:szCs w:val="22"/>
              </w:rPr>
              <w:t>223 001</w:t>
            </w:r>
          </w:p>
        </w:tc>
        <w:tc>
          <w:tcPr>
            <w:tcW w:w="684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965B59" w:rsidRPr="00F3652B" w:rsidP="00C362EA">
            <w:pPr>
              <w:spacing w:line="240" w:lineRule="auto"/>
              <w:rPr>
                <w:rFonts w:ascii="Arial Narrow" w:hAnsi="Arial Narrow" w:cs="Times New Roman"/>
                <w:bCs/>
                <w:sz w:val="22"/>
                <w:szCs w:val="22"/>
              </w:rPr>
            </w:pPr>
            <w:r w:rsidRPr="00F3652B">
              <w:rPr>
                <w:rFonts w:ascii="Arial Narrow" w:hAnsi="Arial Narrow" w:cs="Times New Roman"/>
                <w:bCs/>
                <w:sz w:val="22"/>
                <w:szCs w:val="22"/>
              </w:rPr>
              <w:t>Za predaj výrobkov, tovarov a</w:t>
            </w:r>
            <w:r w:rsidR="00A97E21">
              <w:rPr>
                <w:rFonts w:ascii="Arial Narrow" w:hAnsi="Arial Narrow" w:cs="Times New Roman"/>
                <w:bCs/>
                <w:sz w:val="22"/>
                <w:szCs w:val="22"/>
              </w:rPr>
              <w:t> </w:t>
            </w:r>
            <w:r w:rsidRPr="00F3652B">
              <w:rPr>
                <w:rFonts w:ascii="Arial Narrow" w:hAnsi="Arial Narrow" w:cs="Times New Roman"/>
                <w:bCs/>
                <w:sz w:val="22"/>
                <w:szCs w:val="22"/>
              </w:rPr>
              <w:t>služieb</w:t>
            </w:r>
          </w:p>
        </w:tc>
        <w:tc>
          <w:tcPr>
            <w:tcW w:w="144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965B59" w:rsidRPr="00B7501C" w:rsidP="00C362EA">
            <w:pPr>
              <w:spacing w:line="240" w:lineRule="auto"/>
              <w:jc w:val="right"/>
              <w:rPr>
                <w:rFonts w:ascii="Arial Narrow" w:hAnsi="Arial Narrow" w:cs="Times New Roman"/>
                <w:bCs/>
                <w:sz w:val="22"/>
                <w:szCs w:val="22"/>
              </w:rPr>
            </w:pPr>
            <w:r w:rsidR="001529DD">
              <w:rPr>
                <w:rFonts w:ascii="Arial Narrow" w:hAnsi="Arial Narrow" w:cs="Times New Roman"/>
                <w:bCs/>
                <w:sz w:val="22"/>
                <w:szCs w:val="22"/>
              </w:rPr>
              <w:t>893 947</w:t>
            </w:r>
            <w:r w:rsidR="003C2142">
              <w:rPr>
                <w:rFonts w:ascii="Arial Narrow" w:hAnsi="Arial Narrow" w:cs="Times New Roman"/>
                <w:bCs/>
                <w:sz w:val="22"/>
                <w:szCs w:val="22"/>
              </w:rPr>
              <w:t>,</w:t>
            </w:r>
            <w:r w:rsidR="001529DD">
              <w:rPr>
                <w:rFonts w:ascii="Arial Narrow" w:hAnsi="Arial Narrow" w:cs="Times New Roman"/>
                <w:bCs/>
                <w:sz w:val="22"/>
                <w:szCs w:val="22"/>
              </w:rPr>
              <w:t>02</w:t>
            </w:r>
          </w:p>
        </w:tc>
      </w:tr>
      <w:tr>
        <w:tblPrEx>
          <w:tblW w:w="9180" w:type="dxa"/>
          <w:tblInd w:w="70" w:type="dxa"/>
          <w:tblCellMar>
            <w:left w:w="70" w:type="dxa"/>
            <w:right w:w="70" w:type="dxa"/>
          </w:tblCellMar>
        </w:tblPrEx>
        <w:trPr>
          <w:trHeight w:val="600"/>
        </w:trPr>
        <w:tc>
          <w:tcPr>
            <w:tcW w:w="90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965B59" w:rsidRPr="00F3652B" w:rsidP="001529DD">
            <w:pPr>
              <w:spacing w:line="240" w:lineRule="auto"/>
              <w:jc w:val="right"/>
              <w:rPr>
                <w:rFonts w:ascii="Arial Narrow" w:hAnsi="Arial Narrow" w:cs="Times New Roman"/>
                <w:sz w:val="22"/>
                <w:szCs w:val="22"/>
              </w:rPr>
            </w:pPr>
          </w:p>
        </w:tc>
        <w:tc>
          <w:tcPr>
            <w:tcW w:w="684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965B59" w:rsidRPr="00F3652B" w:rsidP="00C362EA">
            <w:pPr>
              <w:spacing w:line="240" w:lineRule="auto"/>
              <w:rPr>
                <w:rFonts w:ascii="Arial Narrow" w:hAnsi="Arial Narrow" w:cs="Times New Roman"/>
                <w:sz w:val="22"/>
                <w:szCs w:val="22"/>
              </w:rPr>
            </w:pPr>
            <w:r w:rsidRPr="00F3652B">
              <w:rPr>
                <w:rFonts w:ascii="Arial Narrow" w:hAnsi="Arial Narrow" w:cs="Times New Roman"/>
                <w:sz w:val="22"/>
                <w:szCs w:val="22"/>
              </w:rPr>
              <w:t>Zapožič</w:t>
            </w:r>
            <w:r w:rsidRPr="00F3652B" w:rsidR="001E4B66">
              <w:rPr>
                <w:rFonts w:ascii="Arial Narrow" w:hAnsi="Arial Narrow" w:cs="Times New Roman"/>
                <w:sz w:val="22"/>
                <w:szCs w:val="22"/>
              </w:rPr>
              <w:t>i</w:t>
            </w:r>
            <w:r w:rsidRPr="00F3652B">
              <w:rPr>
                <w:rFonts w:ascii="Arial Narrow" w:hAnsi="Arial Narrow" w:cs="Times New Roman"/>
                <w:sz w:val="22"/>
                <w:szCs w:val="22"/>
              </w:rPr>
              <w:t>a</w:t>
            </w:r>
            <w:r w:rsidRPr="00F3652B" w:rsidR="001E4B66">
              <w:rPr>
                <w:rFonts w:ascii="Arial Narrow" w:hAnsi="Arial Narrow" w:cs="Times New Roman"/>
                <w:sz w:val="22"/>
                <w:szCs w:val="22"/>
              </w:rPr>
              <w:t>va</w:t>
            </w:r>
            <w:r w:rsidRPr="00F3652B">
              <w:rPr>
                <w:rFonts w:ascii="Arial Narrow" w:hAnsi="Arial Narrow" w:cs="Times New Roman"/>
                <w:sz w:val="22"/>
                <w:szCs w:val="22"/>
              </w:rPr>
              <w:t>nie vozidiel a</w:t>
            </w:r>
            <w:r w:rsidRPr="00F3652B" w:rsidR="000F695D">
              <w:rPr>
                <w:rFonts w:ascii="Arial Narrow" w:hAnsi="Arial Narrow" w:cs="Times New Roman"/>
                <w:sz w:val="22"/>
                <w:szCs w:val="22"/>
              </w:rPr>
              <w:t> </w:t>
            </w:r>
            <w:r w:rsidRPr="00F3652B">
              <w:rPr>
                <w:rFonts w:ascii="Arial Narrow" w:hAnsi="Arial Narrow" w:cs="Times New Roman"/>
                <w:sz w:val="22"/>
                <w:szCs w:val="22"/>
              </w:rPr>
              <w:t>mechanizmov,</w:t>
            </w:r>
            <w:r w:rsidRPr="00F3652B" w:rsidR="001E4B66">
              <w:rPr>
                <w:rFonts w:ascii="Arial Narrow" w:hAnsi="Arial Narrow" w:cs="Times New Roman"/>
                <w:sz w:val="22"/>
                <w:szCs w:val="22"/>
              </w:rPr>
              <w:t xml:space="preserve"> poskytovanie služieb, ubytovania</w:t>
            </w:r>
            <w:r w:rsidRPr="00F3652B">
              <w:rPr>
                <w:rFonts w:ascii="Arial Narrow" w:hAnsi="Arial Narrow" w:cs="Times New Roman"/>
                <w:sz w:val="22"/>
                <w:szCs w:val="22"/>
              </w:rPr>
              <w:t>, odpredaj šrotu,</w:t>
            </w:r>
            <w:r w:rsidRPr="00F3652B" w:rsidR="001E4B66">
              <w:rPr>
                <w:rFonts w:ascii="Arial Narrow" w:hAnsi="Arial Narrow" w:cs="Times New Roman"/>
                <w:sz w:val="22"/>
                <w:szCs w:val="22"/>
              </w:rPr>
              <w:t xml:space="preserve"> údržba a oprava vozidiel iným osobám atď..</w:t>
            </w:r>
          </w:p>
        </w:tc>
        <w:tc>
          <w:tcPr>
            <w:tcW w:w="144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965B59" w:rsidRPr="00B7501C" w:rsidP="00C362EA">
            <w:pPr>
              <w:spacing w:line="240" w:lineRule="auto"/>
              <w:rPr>
                <w:rFonts w:ascii="Arial Narrow" w:hAnsi="Arial Narrow" w:cs="Times New Roman"/>
                <w:sz w:val="22"/>
                <w:szCs w:val="22"/>
              </w:rPr>
            </w:pPr>
            <w:r w:rsidRPr="00B7501C">
              <w:rPr>
                <w:rFonts w:ascii="Arial Narrow" w:hAnsi="Arial Narrow" w:cs="Times New Roman"/>
                <w:sz w:val="22"/>
                <w:szCs w:val="22"/>
              </w:rPr>
              <w:t> </w:t>
            </w:r>
          </w:p>
        </w:tc>
      </w:tr>
      <w:tr>
        <w:tblPrEx>
          <w:tblW w:w="9180" w:type="dxa"/>
          <w:tblInd w:w="70" w:type="dxa"/>
          <w:tblCellMar>
            <w:left w:w="70" w:type="dxa"/>
            <w:right w:w="70" w:type="dxa"/>
          </w:tblCellMar>
        </w:tblPrEx>
        <w:trPr>
          <w:trHeight w:val="284"/>
        </w:trPr>
        <w:tc>
          <w:tcPr>
            <w:tcW w:w="90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965B59" w:rsidRPr="00F3652B" w:rsidP="001529DD">
            <w:pPr>
              <w:spacing w:line="240" w:lineRule="auto"/>
              <w:jc w:val="right"/>
              <w:rPr>
                <w:rFonts w:ascii="Arial Narrow" w:hAnsi="Arial Narrow" w:cs="Times New Roman"/>
                <w:bCs/>
                <w:sz w:val="22"/>
                <w:szCs w:val="22"/>
              </w:rPr>
            </w:pPr>
            <w:r w:rsidRPr="00F3652B" w:rsidR="004A1564">
              <w:rPr>
                <w:rFonts w:ascii="Arial Narrow" w:hAnsi="Arial Narrow" w:cs="Times New Roman"/>
                <w:bCs/>
                <w:sz w:val="22"/>
                <w:szCs w:val="22"/>
              </w:rPr>
              <w:t xml:space="preserve"> </w:t>
            </w:r>
            <w:r w:rsidRPr="00F3652B">
              <w:rPr>
                <w:rFonts w:ascii="Arial Narrow" w:hAnsi="Arial Narrow" w:cs="Times New Roman"/>
                <w:bCs/>
                <w:sz w:val="22"/>
                <w:szCs w:val="22"/>
              </w:rPr>
              <w:t>231</w:t>
            </w:r>
          </w:p>
        </w:tc>
        <w:tc>
          <w:tcPr>
            <w:tcW w:w="684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965B59" w:rsidRPr="00F3652B" w:rsidP="00C362EA">
            <w:pPr>
              <w:spacing w:line="240" w:lineRule="auto"/>
              <w:rPr>
                <w:rFonts w:ascii="Arial Narrow" w:hAnsi="Arial Narrow" w:cs="Times New Roman"/>
                <w:bCs/>
                <w:sz w:val="22"/>
                <w:szCs w:val="22"/>
              </w:rPr>
            </w:pPr>
            <w:r w:rsidRPr="00F3652B">
              <w:rPr>
                <w:rFonts w:ascii="Arial Narrow" w:hAnsi="Arial Narrow" w:cs="Times New Roman"/>
                <w:bCs/>
                <w:sz w:val="22"/>
                <w:szCs w:val="22"/>
              </w:rPr>
              <w:t>Príjem z predaja kapitálových aktív</w:t>
            </w:r>
            <w:r w:rsidRPr="00F3652B" w:rsidR="004A1564">
              <w:rPr>
                <w:rFonts w:ascii="Arial Narrow" w:hAnsi="Arial Narrow" w:cs="Times New Roman"/>
                <w:sz w:val="22"/>
                <w:szCs w:val="22"/>
              </w:rPr>
              <w:t xml:space="preserve"> (splátky bytov, garáží)</w:t>
            </w:r>
          </w:p>
        </w:tc>
        <w:tc>
          <w:tcPr>
            <w:tcW w:w="144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965B59" w:rsidRPr="00B7501C" w:rsidP="00C362EA">
            <w:pPr>
              <w:spacing w:line="240" w:lineRule="auto"/>
              <w:jc w:val="right"/>
              <w:rPr>
                <w:rFonts w:ascii="Arial Narrow" w:hAnsi="Arial Narrow" w:cs="Times New Roman"/>
                <w:bCs/>
                <w:sz w:val="22"/>
                <w:szCs w:val="22"/>
              </w:rPr>
            </w:pPr>
            <w:r w:rsidR="001529DD">
              <w:rPr>
                <w:rFonts w:ascii="Arial Narrow" w:hAnsi="Arial Narrow" w:cs="Times New Roman"/>
                <w:bCs/>
                <w:sz w:val="22"/>
                <w:szCs w:val="22"/>
              </w:rPr>
              <w:t>528 302,5</w:t>
            </w:r>
            <w:r w:rsidRPr="00B7501C">
              <w:rPr>
                <w:rFonts w:ascii="Arial Narrow" w:hAnsi="Arial Narrow" w:cs="Times New Roman"/>
                <w:bCs/>
                <w:sz w:val="22"/>
                <w:szCs w:val="22"/>
              </w:rPr>
              <w:t>0</w:t>
            </w:r>
          </w:p>
        </w:tc>
      </w:tr>
      <w:tr>
        <w:tblPrEx>
          <w:tblW w:w="9180" w:type="dxa"/>
          <w:tblInd w:w="70" w:type="dxa"/>
          <w:tblCellMar>
            <w:left w:w="70" w:type="dxa"/>
            <w:right w:w="70" w:type="dxa"/>
          </w:tblCellMar>
        </w:tblPrEx>
        <w:trPr>
          <w:trHeight w:val="284"/>
        </w:trPr>
        <w:tc>
          <w:tcPr>
            <w:tcW w:w="90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1529DD" w:rsidRPr="00F3652B" w:rsidP="001529DD">
            <w:pPr>
              <w:spacing w:line="240" w:lineRule="auto"/>
              <w:jc w:val="right"/>
              <w:rPr>
                <w:rFonts w:ascii="Arial Narrow" w:hAnsi="Arial Narrow" w:cs="Times New Roman"/>
                <w:bCs/>
                <w:sz w:val="22"/>
                <w:szCs w:val="22"/>
              </w:rPr>
            </w:pPr>
            <w:r w:rsidRPr="00F3652B">
              <w:rPr>
                <w:rFonts w:ascii="Arial Narrow" w:hAnsi="Arial Narrow" w:cs="Times New Roman"/>
                <w:bCs/>
                <w:sz w:val="22"/>
                <w:szCs w:val="22"/>
              </w:rPr>
              <w:t>233</w:t>
            </w:r>
          </w:p>
        </w:tc>
        <w:tc>
          <w:tcPr>
            <w:tcW w:w="684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1529DD" w:rsidRPr="00F3652B" w:rsidP="00C362EA">
            <w:pPr>
              <w:spacing w:line="240" w:lineRule="auto"/>
              <w:rPr>
                <w:rFonts w:ascii="Arial Narrow" w:hAnsi="Arial Narrow" w:cs="Times New Roman"/>
                <w:bCs/>
                <w:sz w:val="22"/>
                <w:szCs w:val="22"/>
              </w:rPr>
            </w:pPr>
            <w:r w:rsidRPr="00F3652B">
              <w:rPr>
                <w:rFonts w:ascii="Arial Narrow" w:hAnsi="Arial Narrow" w:cs="Times New Roman"/>
                <w:bCs/>
                <w:sz w:val="22"/>
                <w:szCs w:val="22"/>
              </w:rPr>
              <w:t xml:space="preserve">Príjem z predaja pozemkov a nehmotných </w:t>
            </w:r>
            <w:r w:rsidRPr="00F3652B">
              <w:rPr>
                <w:rFonts w:ascii="Arial Narrow" w:hAnsi="Arial Narrow" w:cs="Times New Roman"/>
                <w:bCs/>
                <w:sz w:val="22"/>
                <w:szCs w:val="22"/>
              </w:rPr>
              <w:t>aktív</w:t>
            </w:r>
          </w:p>
        </w:tc>
        <w:tc>
          <w:tcPr>
            <w:tcW w:w="144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1529DD" w:rsidP="00C362EA">
            <w:pPr>
              <w:spacing w:line="240" w:lineRule="auto"/>
              <w:jc w:val="right"/>
              <w:rPr>
                <w:rFonts w:ascii="Arial Narrow" w:hAnsi="Arial Narrow" w:cs="Times New Roman"/>
                <w:bCs/>
                <w:sz w:val="22"/>
                <w:szCs w:val="22"/>
              </w:rPr>
            </w:pPr>
            <w:r>
              <w:rPr>
                <w:rFonts w:ascii="Arial Narrow" w:hAnsi="Arial Narrow" w:cs="Times New Roman"/>
                <w:bCs/>
                <w:sz w:val="22"/>
                <w:szCs w:val="22"/>
              </w:rPr>
              <w:t>1 565,50</w:t>
            </w:r>
          </w:p>
        </w:tc>
      </w:tr>
      <w:tr>
        <w:tblPrEx>
          <w:tblW w:w="9180" w:type="dxa"/>
          <w:tblInd w:w="70" w:type="dxa"/>
          <w:tblCellMar>
            <w:left w:w="70" w:type="dxa"/>
            <w:right w:w="70" w:type="dxa"/>
          </w:tblCellMar>
        </w:tblPrEx>
        <w:trPr>
          <w:trHeight w:val="284"/>
        </w:trPr>
        <w:tc>
          <w:tcPr>
            <w:tcW w:w="90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965B59" w:rsidRPr="00F3652B" w:rsidP="001529DD">
            <w:pPr>
              <w:spacing w:line="240" w:lineRule="auto"/>
              <w:jc w:val="right"/>
              <w:rPr>
                <w:rFonts w:ascii="Arial Narrow" w:hAnsi="Arial Narrow" w:cs="Times New Roman"/>
                <w:bCs/>
                <w:sz w:val="22"/>
                <w:szCs w:val="22"/>
              </w:rPr>
            </w:pPr>
            <w:r w:rsidRPr="00F3652B">
              <w:rPr>
                <w:rFonts w:ascii="Arial Narrow" w:hAnsi="Arial Narrow" w:cs="Times New Roman"/>
                <w:bCs/>
                <w:sz w:val="22"/>
                <w:szCs w:val="22"/>
              </w:rPr>
              <w:t>292 006</w:t>
            </w:r>
          </w:p>
        </w:tc>
        <w:tc>
          <w:tcPr>
            <w:tcW w:w="684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965B59" w:rsidRPr="00F3652B" w:rsidP="00C362EA">
            <w:pPr>
              <w:spacing w:line="240" w:lineRule="auto"/>
              <w:rPr>
                <w:rFonts w:ascii="Arial Narrow" w:hAnsi="Arial Narrow" w:cs="Times New Roman"/>
                <w:bCs/>
                <w:sz w:val="22"/>
                <w:szCs w:val="22"/>
              </w:rPr>
            </w:pPr>
            <w:r w:rsidRPr="00F3652B" w:rsidR="004A1564">
              <w:rPr>
                <w:rFonts w:ascii="Arial Narrow" w:hAnsi="Arial Narrow" w:cs="Times New Roman"/>
                <w:bCs/>
                <w:sz w:val="22"/>
                <w:szCs w:val="22"/>
              </w:rPr>
              <w:t xml:space="preserve">Z náhrad </w:t>
            </w:r>
            <w:r w:rsidRPr="00F3652B">
              <w:rPr>
                <w:rFonts w:ascii="Arial Narrow" w:hAnsi="Arial Narrow" w:cs="Times New Roman"/>
                <w:bCs/>
                <w:sz w:val="22"/>
                <w:szCs w:val="22"/>
              </w:rPr>
              <w:t>poistného plnenia</w:t>
            </w:r>
            <w:r w:rsidRPr="00F3652B" w:rsidR="004A1564">
              <w:rPr>
                <w:rFonts w:ascii="Arial Narrow" w:hAnsi="Arial Narrow" w:cs="Times New Roman"/>
                <w:bCs/>
                <w:sz w:val="22"/>
                <w:szCs w:val="22"/>
              </w:rPr>
              <w:t xml:space="preserve"> (poistné udalosti, škody spôsobené organizácii)</w:t>
            </w:r>
          </w:p>
          <w:p w:rsidR="00D555A4" w:rsidRPr="00F3652B" w:rsidP="00C362EA">
            <w:pPr>
              <w:spacing w:line="240" w:lineRule="auto"/>
              <w:rPr>
                <w:rFonts w:ascii="Arial Narrow" w:hAnsi="Arial Narrow" w:cs="Times New Roman"/>
                <w:bCs/>
                <w:sz w:val="22"/>
                <w:szCs w:val="22"/>
              </w:rPr>
            </w:pPr>
            <w:r w:rsidRPr="00F3652B">
              <w:rPr>
                <w:rFonts w:ascii="Arial Narrow" w:hAnsi="Arial Narrow" w:cs="Times New Roman"/>
                <w:bCs/>
                <w:sz w:val="22"/>
                <w:szCs w:val="22"/>
              </w:rPr>
              <w:t>Kód 111 – príjmy štátneho rozpočtu</w:t>
            </w:r>
          </w:p>
        </w:tc>
        <w:tc>
          <w:tcPr>
            <w:tcW w:w="144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965B59" w:rsidRPr="00B7501C" w:rsidP="00C362EA">
            <w:pPr>
              <w:spacing w:line="240" w:lineRule="auto"/>
              <w:jc w:val="right"/>
              <w:rPr>
                <w:rFonts w:ascii="Arial Narrow" w:hAnsi="Arial Narrow" w:cs="Times New Roman"/>
                <w:bCs/>
                <w:sz w:val="22"/>
                <w:szCs w:val="22"/>
              </w:rPr>
            </w:pPr>
            <w:r w:rsidR="00D555A4">
              <w:rPr>
                <w:rFonts w:ascii="Arial Narrow" w:hAnsi="Arial Narrow" w:cs="Times New Roman"/>
                <w:bCs/>
                <w:sz w:val="22"/>
                <w:szCs w:val="22"/>
              </w:rPr>
              <w:t>101 700,50</w:t>
            </w:r>
          </w:p>
        </w:tc>
      </w:tr>
      <w:tr>
        <w:tblPrEx>
          <w:tblW w:w="9180" w:type="dxa"/>
          <w:tblInd w:w="70" w:type="dxa"/>
          <w:tblCellMar>
            <w:left w:w="70" w:type="dxa"/>
            <w:right w:w="70" w:type="dxa"/>
          </w:tblCellMar>
        </w:tblPrEx>
        <w:trPr>
          <w:trHeight w:val="284"/>
        </w:trPr>
        <w:tc>
          <w:tcPr>
            <w:tcW w:w="90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D555A4" w:rsidRPr="00F3652B" w:rsidP="001529DD">
            <w:pPr>
              <w:spacing w:line="240" w:lineRule="auto"/>
              <w:jc w:val="right"/>
              <w:rPr>
                <w:rFonts w:ascii="Arial Narrow" w:hAnsi="Arial Narrow" w:cs="Times New Roman"/>
                <w:bCs/>
                <w:sz w:val="22"/>
                <w:szCs w:val="22"/>
              </w:rPr>
            </w:pPr>
            <w:r w:rsidRPr="00F3652B">
              <w:rPr>
                <w:rFonts w:ascii="Arial Narrow" w:hAnsi="Arial Narrow" w:cs="Times New Roman"/>
                <w:bCs/>
                <w:sz w:val="22"/>
                <w:szCs w:val="22"/>
              </w:rPr>
              <w:t>292 006</w:t>
            </w:r>
          </w:p>
        </w:tc>
        <w:tc>
          <w:tcPr>
            <w:tcW w:w="684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D555A4" w:rsidRPr="00F3652B" w:rsidP="00C362EA">
            <w:pPr>
              <w:spacing w:line="240" w:lineRule="auto"/>
              <w:rPr>
                <w:rFonts w:ascii="Arial Narrow" w:hAnsi="Arial Narrow" w:cs="Times New Roman"/>
                <w:bCs/>
                <w:sz w:val="22"/>
                <w:szCs w:val="22"/>
              </w:rPr>
            </w:pPr>
            <w:r w:rsidRPr="00F3652B">
              <w:rPr>
                <w:rFonts w:ascii="Arial Narrow" w:hAnsi="Arial Narrow" w:cs="Times New Roman"/>
                <w:bCs/>
                <w:sz w:val="22"/>
                <w:szCs w:val="22"/>
              </w:rPr>
              <w:t>Z náhrad poistného plnenia (poistné udalosti, škody spôsobené organizácii)</w:t>
            </w:r>
          </w:p>
          <w:p w:rsidR="00D555A4" w:rsidRPr="00F3652B" w:rsidP="00C362EA">
            <w:pPr>
              <w:spacing w:line="240" w:lineRule="auto"/>
              <w:rPr>
                <w:rFonts w:ascii="Arial Narrow" w:hAnsi="Arial Narrow" w:cs="Times New Roman"/>
                <w:bCs/>
                <w:sz w:val="22"/>
                <w:szCs w:val="22"/>
              </w:rPr>
            </w:pPr>
            <w:r w:rsidRPr="00F3652B">
              <w:rPr>
                <w:rFonts w:ascii="Arial Narrow" w:hAnsi="Arial Narrow" w:cs="Times New Roman"/>
                <w:bCs/>
                <w:sz w:val="22"/>
                <w:szCs w:val="22"/>
              </w:rPr>
              <w:t>Kód 72e – mimorozpočtové pr</w:t>
            </w:r>
            <w:r w:rsidRPr="00F3652B">
              <w:rPr>
                <w:rFonts w:ascii="Arial Narrow" w:hAnsi="Arial Narrow" w:cs="Times New Roman"/>
                <w:bCs/>
                <w:sz w:val="22"/>
                <w:szCs w:val="22"/>
              </w:rPr>
              <w:t>íjmy</w:t>
            </w:r>
          </w:p>
        </w:tc>
        <w:tc>
          <w:tcPr>
            <w:tcW w:w="144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D555A4" w:rsidP="00C362EA">
            <w:pPr>
              <w:spacing w:line="240" w:lineRule="auto"/>
              <w:jc w:val="right"/>
              <w:rPr>
                <w:rFonts w:ascii="Arial Narrow" w:hAnsi="Arial Narrow" w:cs="Times New Roman"/>
                <w:bCs/>
                <w:sz w:val="22"/>
                <w:szCs w:val="22"/>
              </w:rPr>
            </w:pPr>
            <w:r>
              <w:rPr>
                <w:rFonts w:ascii="Arial Narrow" w:hAnsi="Arial Narrow" w:cs="Times New Roman"/>
                <w:bCs/>
                <w:sz w:val="22"/>
                <w:szCs w:val="22"/>
              </w:rPr>
              <w:t>5 093 161,70</w:t>
            </w:r>
          </w:p>
        </w:tc>
      </w:tr>
      <w:tr>
        <w:tblPrEx>
          <w:tblW w:w="9180" w:type="dxa"/>
          <w:tblInd w:w="70" w:type="dxa"/>
          <w:tblCellMar>
            <w:left w:w="70" w:type="dxa"/>
            <w:right w:w="70" w:type="dxa"/>
          </w:tblCellMar>
        </w:tblPrEx>
        <w:trPr>
          <w:trHeight w:val="567"/>
        </w:trPr>
        <w:tc>
          <w:tcPr>
            <w:tcW w:w="90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4A1564" w:rsidRPr="00F3652B" w:rsidP="001529DD">
            <w:pPr>
              <w:spacing w:line="240" w:lineRule="auto"/>
              <w:jc w:val="right"/>
              <w:rPr>
                <w:rFonts w:ascii="Arial Narrow" w:hAnsi="Arial Narrow" w:cs="Times New Roman"/>
                <w:bCs/>
                <w:sz w:val="22"/>
                <w:szCs w:val="22"/>
              </w:rPr>
            </w:pPr>
            <w:r w:rsidRPr="00F3652B">
              <w:rPr>
                <w:rFonts w:ascii="Arial Narrow" w:hAnsi="Arial Narrow" w:cs="Times New Roman"/>
                <w:bCs/>
                <w:sz w:val="22"/>
                <w:szCs w:val="22"/>
              </w:rPr>
              <w:t>292 012</w:t>
            </w:r>
          </w:p>
        </w:tc>
        <w:tc>
          <w:tcPr>
            <w:tcW w:w="684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4A1564" w:rsidRPr="00F3652B" w:rsidP="00C362EA">
            <w:pPr>
              <w:spacing w:line="240" w:lineRule="auto"/>
              <w:rPr>
                <w:rFonts w:ascii="Arial Narrow" w:hAnsi="Arial Narrow" w:cs="Times New Roman"/>
                <w:bCs/>
                <w:sz w:val="22"/>
                <w:szCs w:val="22"/>
              </w:rPr>
            </w:pPr>
            <w:r w:rsidRPr="00F3652B">
              <w:rPr>
                <w:rFonts w:ascii="Arial Narrow" w:hAnsi="Arial Narrow" w:cs="Times New Roman"/>
                <w:bCs/>
                <w:sz w:val="22"/>
                <w:szCs w:val="22"/>
              </w:rPr>
              <w:t>Z dobropisov (Ak nie je prípustné vzájomné započítavanie príjmov a výdavkov, napr. za noviny, časopisy, knihy, telefóny, el. energiu, plyn, z</w:t>
            </w:r>
            <w:r w:rsidRPr="00F3652B" w:rsidR="00B22463">
              <w:rPr>
                <w:rFonts w:ascii="Arial Narrow" w:hAnsi="Arial Narrow" w:cs="Times New Roman"/>
                <w:bCs/>
                <w:sz w:val="22"/>
                <w:szCs w:val="22"/>
              </w:rPr>
              <w:t> </w:t>
            </w:r>
            <w:r w:rsidRPr="00F3652B">
              <w:rPr>
                <w:rFonts w:ascii="Arial Narrow" w:hAnsi="Arial Narrow" w:cs="Times New Roman"/>
                <w:bCs/>
                <w:sz w:val="22"/>
                <w:szCs w:val="22"/>
              </w:rPr>
              <w:t>nájomného atď.).</w:t>
            </w:r>
          </w:p>
        </w:tc>
        <w:tc>
          <w:tcPr>
            <w:tcW w:w="144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4A1564" w:rsidRPr="00B7501C" w:rsidP="00C362EA">
            <w:pPr>
              <w:spacing w:line="240" w:lineRule="auto"/>
              <w:jc w:val="right"/>
              <w:rPr>
                <w:rFonts w:ascii="Arial Narrow" w:hAnsi="Arial Narrow" w:cs="Times New Roman"/>
                <w:bCs/>
                <w:sz w:val="22"/>
                <w:szCs w:val="22"/>
              </w:rPr>
            </w:pPr>
            <w:r w:rsidR="001529DD">
              <w:rPr>
                <w:rFonts w:ascii="Arial Narrow" w:hAnsi="Arial Narrow" w:cs="Times New Roman"/>
                <w:bCs/>
                <w:sz w:val="22"/>
                <w:szCs w:val="22"/>
              </w:rPr>
              <w:t>1 418 675</w:t>
            </w:r>
            <w:r w:rsidR="003C2142">
              <w:rPr>
                <w:rFonts w:ascii="Arial Narrow" w:hAnsi="Arial Narrow" w:cs="Times New Roman"/>
                <w:bCs/>
                <w:sz w:val="22"/>
                <w:szCs w:val="22"/>
              </w:rPr>
              <w:t>,</w:t>
            </w:r>
            <w:r w:rsidR="001529DD">
              <w:rPr>
                <w:rFonts w:ascii="Arial Narrow" w:hAnsi="Arial Narrow" w:cs="Times New Roman"/>
                <w:bCs/>
                <w:sz w:val="22"/>
                <w:szCs w:val="22"/>
              </w:rPr>
              <w:t>20</w:t>
            </w:r>
          </w:p>
        </w:tc>
      </w:tr>
      <w:tr>
        <w:tblPrEx>
          <w:tblW w:w="9180" w:type="dxa"/>
          <w:tblInd w:w="70" w:type="dxa"/>
          <w:tblCellMar>
            <w:left w:w="70" w:type="dxa"/>
            <w:right w:w="70" w:type="dxa"/>
          </w:tblCellMar>
        </w:tblPrEx>
        <w:trPr>
          <w:trHeight w:val="284"/>
        </w:trPr>
        <w:tc>
          <w:tcPr>
            <w:tcW w:w="90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4A1564" w:rsidRPr="00F3652B" w:rsidP="001529DD">
            <w:pPr>
              <w:spacing w:line="240" w:lineRule="auto"/>
              <w:jc w:val="right"/>
              <w:rPr>
                <w:rFonts w:ascii="Arial Narrow" w:hAnsi="Arial Narrow" w:cs="Times New Roman"/>
                <w:bCs/>
                <w:sz w:val="22"/>
                <w:szCs w:val="22"/>
              </w:rPr>
            </w:pPr>
          </w:p>
        </w:tc>
        <w:tc>
          <w:tcPr>
            <w:tcW w:w="684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4A1564" w:rsidRPr="00F3652B" w:rsidP="00C362EA">
            <w:pPr>
              <w:spacing w:line="240" w:lineRule="auto"/>
              <w:rPr>
                <w:rFonts w:ascii="Arial Narrow" w:hAnsi="Arial Narrow" w:cs="Times New Roman"/>
                <w:bCs/>
                <w:sz w:val="22"/>
                <w:szCs w:val="22"/>
              </w:rPr>
            </w:pPr>
            <w:r w:rsidRPr="00F3652B">
              <w:rPr>
                <w:rFonts w:ascii="Arial Narrow" w:hAnsi="Arial Narrow" w:cs="Times New Roman"/>
                <w:bCs/>
                <w:sz w:val="22"/>
                <w:szCs w:val="22"/>
              </w:rPr>
              <w:t>Ostatné príjmy</w:t>
            </w:r>
            <w:r w:rsidRPr="00F3652B" w:rsidR="001F2F88">
              <w:rPr>
                <w:rFonts w:ascii="Arial Narrow" w:hAnsi="Arial Narrow" w:cs="Times New Roman"/>
                <w:bCs/>
                <w:sz w:val="22"/>
                <w:szCs w:val="22"/>
              </w:rPr>
              <w:t xml:space="preserve"> </w:t>
            </w:r>
            <w:r w:rsidRPr="00F3652B" w:rsidR="00B22463">
              <w:rPr>
                <w:rFonts w:ascii="Arial Narrow" w:hAnsi="Arial Narrow" w:cs="Times New Roman"/>
                <w:bCs/>
                <w:sz w:val="22"/>
                <w:szCs w:val="22"/>
              </w:rPr>
              <w:t>(</w:t>
            </w:r>
            <w:r w:rsidRPr="00F3652B" w:rsidR="001529DD">
              <w:rPr>
                <w:rFonts w:ascii="Arial Narrow" w:hAnsi="Arial Narrow" w:cs="Times New Roman"/>
                <w:bCs/>
                <w:sz w:val="22"/>
                <w:szCs w:val="22"/>
              </w:rPr>
              <w:t xml:space="preserve">vratky a ostatné </w:t>
            </w:r>
            <w:r w:rsidRPr="00F3652B" w:rsidR="001F2F88">
              <w:rPr>
                <w:rFonts w:ascii="Arial Narrow" w:hAnsi="Arial Narrow" w:cs="Times New Roman"/>
                <w:bCs/>
                <w:sz w:val="22"/>
                <w:szCs w:val="22"/>
              </w:rPr>
              <w:t>položky)</w:t>
            </w:r>
          </w:p>
        </w:tc>
        <w:tc>
          <w:tcPr>
            <w:tcW w:w="144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4A1564" w:rsidRPr="00B7501C" w:rsidP="00C362EA">
            <w:pPr>
              <w:spacing w:line="240" w:lineRule="auto"/>
              <w:jc w:val="right"/>
              <w:rPr>
                <w:rFonts w:ascii="Arial Narrow" w:hAnsi="Arial Narrow" w:cs="Times New Roman"/>
                <w:bCs/>
                <w:sz w:val="22"/>
                <w:szCs w:val="22"/>
              </w:rPr>
            </w:pPr>
            <w:r w:rsidR="003C2142">
              <w:rPr>
                <w:rFonts w:ascii="Arial Narrow" w:hAnsi="Arial Narrow" w:cs="Times New Roman"/>
                <w:bCs/>
                <w:sz w:val="22"/>
                <w:szCs w:val="22"/>
              </w:rPr>
              <w:t xml:space="preserve">    4</w:t>
            </w:r>
            <w:r w:rsidR="001529DD">
              <w:rPr>
                <w:rFonts w:ascii="Arial Narrow" w:hAnsi="Arial Narrow" w:cs="Times New Roman"/>
                <w:bCs/>
                <w:sz w:val="22"/>
                <w:szCs w:val="22"/>
              </w:rPr>
              <w:t>38 904</w:t>
            </w:r>
            <w:r>
              <w:rPr>
                <w:rFonts w:ascii="Arial Narrow" w:hAnsi="Arial Narrow" w:cs="Times New Roman"/>
                <w:bCs/>
                <w:sz w:val="22"/>
                <w:szCs w:val="22"/>
              </w:rPr>
              <w:t>,</w:t>
            </w:r>
            <w:r w:rsidR="001529DD">
              <w:rPr>
                <w:rFonts w:ascii="Arial Narrow" w:hAnsi="Arial Narrow" w:cs="Times New Roman"/>
                <w:bCs/>
                <w:sz w:val="22"/>
                <w:szCs w:val="22"/>
              </w:rPr>
              <w:t>7</w:t>
            </w:r>
            <w:r w:rsidR="001529DD">
              <w:rPr>
                <w:rFonts w:ascii="Arial Narrow" w:hAnsi="Arial Narrow" w:cs="Times New Roman"/>
                <w:bCs/>
                <w:sz w:val="22"/>
                <w:szCs w:val="22"/>
              </w:rPr>
              <w:t>4</w:t>
            </w:r>
          </w:p>
        </w:tc>
      </w:tr>
      <w:tr>
        <w:tblPrEx>
          <w:tblW w:w="9180" w:type="dxa"/>
          <w:tblInd w:w="70" w:type="dxa"/>
          <w:tblCellMar>
            <w:left w:w="70" w:type="dxa"/>
            <w:right w:w="70" w:type="dxa"/>
          </w:tblCellMar>
        </w:tblPrEx>
        <w:trPr>
          <w:trHeight w:val="284"/>
        </w:trPr>
        <w:tc>
          <w:tcPr>
            <w:tcW w:w="900" w:type="dxa"/>
            <w:tcBorders>
              <w:top w:val="single" w:sz="4" w:space="0" w:color="auto"/>
              <w:left w:val="single" w:sz="4" w:space="0" w:color="auto"/>
              <w:bottom w:val="single" w:sz="4" w:space="0" w:color="auto"/>
              <w:right w:val="single" w:sz="4" w:space="0" w:color="auto"/>
              <w:tl2br w:val="nil"/>
              <w:tr2bl w:val="nil"/>
            </w:tcBorders>
            <w:shd w:val="clear" w:color="auto" w:fill="C0C0C0"/>
            <w:noWrap/>
            <w:textDirection w:val="lrTb"/>
            <w:vAlign w:val="center"/>
          </w:tcPr>
          <w:p w:rsidR="004A1564" w:rsidRPr="00B7501C" w:rsidP="00C362EA">
            <w:pPr>
              <w:spacing w:line="240" w:lineRule="auto"/>
              <w:jc w:val="center"/>
              <w:rPr>
                <w:rFonts w:ascii="Arial Narrow" w:hAnsi="Arial Narrow" w:cs="Times New Roman"/>
                <w:b/>
                <w:bCs/>
                <w:sz w:val="22"/>
                <w:szCs w:val="22"/>
              </w:rPr>
            </w:pPr>
          </w:p>
        </w:tc>
        <w:tc>
          <w:tcPr>
            <w:tcW w:w="6840" w:type="dxa"/>
            <w:tcBorders>
              <w:top w:val="single" w:sz="4" w:space="0" w:color="auto"/>
              <w:left w:val="single" w:sz="4" w:space="0" w:color="auto"/>
              <w:bottom w:val="single" w:sz="4" w:space="0" w:color="auto"/>
              <w:right w:val="single" w:sz="4" w:space="0" w:color="auto"/>
              <w:tl2br w:val="nil"/>
              <w:tr2bl w:val="nil"/>
            </w:tcBorders>
            <w:shd w:val="clear" w:color="auto" w:fill="C0C0C0"/>
            <w:textDirection w:val="lrTb"/>
            <w:vAlign w:val="center"/>
          </w:tcPr>
          <w:p w:rsidR="004A1564" w:rsidRPr="00B7501C" w:rsidP="00C362EA">
            <w:pPr>
              <w:spacing w:line="240" w:lineRule="auto"/>
              <w:rPr>
                <w:rFonts w:ascii="Arial Narrow" w:hAnsi="Arial Narrow" w:cs="Times New Roman"/>
                <w:b/>
                <w:bCs/>
                <w:sz w:val="22"/>
                <w:szCs w:val="22"/>
              </w:rPr>
            </w:pPr>
            <w:r>
              <w:rPr>
                <w:rFonts w:ascii="Arial Narrow" w:hAnsi="Arial Narrow" w:cs="Times New Roman"/>
                <w:b/>
                <w:bCs/>
                <w:sz w:val="22"/>
                <w:szCs w:val="22"/>
              </w:rPr>
              <w:t>P</w:t>
            </w:r>
            <w:r w:rsidR="00CD7BD8">
              <w:rPr>
                <w:rFonts w:ascii="Arial Narrow" w:hAnsi="Arial Narrow" w:cs="Times New Roman"/>
                <w:b/>
                <w:bCs/>
                <w:sz w:val="22"/>
                <w:szCs w:val="22"/>
              </w:rPr>
              <w:t>RÍJMY SPOLU</w:t>
            </w:r>
          </w:p>
        </w:tc>
        <w:tc>
          <w:tcPr>
            <w:tcW w:w="1440" w:type="dxa"/>
            <w:tcBorders>
              <w:top w:val="single" w:sz="4" w:space="0" w:color="auto"/>
              <w:left w:val="single" w:sz="4" w:space="0" w:color="auto"/>
              <w:bottom w:val="single" w:sz="4" w:space="0" w:color="auto"/>
              <w:right w:val="single" w:sz="4" w:space="0" w:color="auto"/>
              <w:tl2br w:val="nil"/>
              <w:tr2bl w:val="nil"/>
            </w:tcBorders>
            <w:shd w:val="clear" w:color="auto" w:fill="C0C0C0"/>
            <w:noWrap/>
            <w:textDirection w:val="lrTb"/>
            <w:vAlign w:val="center"/>
          </w:tcPr>
          <w:p w:rsidR="004A1564" w:rsidRPr="00CD7BD8" w:rsidP="00C362EA">
            <w:pPr>
              <w:spacing w:line="240" w:lineRule="auto"/>
              <w:jc w:val="center"/>
              <w:rPr>
                <w:rFonts w:ascii="Arial Narrow" w:hAnsi="Arial Narrow" w:cs="Times New Roman"/>
                <w:b/>
                <w:bCs/>
                <w:sz w:val="22"/>
                <w:szCs w:val="22"/>
              </w:rPr>
            </w:pPr>
            <w:r>
              <w:rPr>
                <w:rFonts w:ascii="Arial Narrow" w:hAnsi="Arial Narrow" w:cs="Times New Roman"/>
                <w:bCs/>
                <w:sz w:val="22"/>
                <w:szCs w:val="22"/>
              </w:rPr>
              <w:t xml:space="preserve">  </w:t>
            </w:r>
            <w:r w:rsidR="001529DD">
              <w:rPr>
                <w:rFonts w:ascii="Arial Narrow" w:hAnsi="Arial Narrow" w:cs="Times New Roman"/>
                <w:b/>
                <w:bCs/>
                <w:sz w:val="22"/>
                <w:szCs w:val="22"/>
              </w:rPr>
              <w:t>14</w:t>
            </w:r>
            <w:r w:rsidR="003C2142">
              <w:rPr>
                <w:rFonts w:ascii="Arial Narrow" w:hAnsi="Arial Narrow" w:cs="Times New Roman"/>
                <w:b/>
                <w:bCs/>
                <w:sz w:val="22"/>
                <w:szCs w:val="22"/>
              </w:rPr>
              <w:t> </w:t>
            </w:r>
            <w:r w:rsidR="001529DD">
              <w:rPr>
                <w:rFonts w:ascii="Arial Narrow" w:hAnsi="Arial Narrow" w:cs="Times New Roman"/>
                <w:b/>
                <w:bCs/>
                <w:sz w:val="22"/>
                <w:szCs w:val="22"/>
              </w:rPr>
              <w:t>397 584</w:t>
            </w:r>
            <w:r w:rsidR="00B22463">
              <w:rPr>
                <w:rFonts w:ascii="Arial Narrow" w:hAnsi="Arial Narrow" w:cs="Times New Roman"/>
                <w:b/>
                <w:bCs/>
                <w:sz w:val="22"/>
                <w:szCs w:val="22"/>
              </w:rPr>
              <w:t>,</w:t>
            </w:r>
            <w:r w:rsidR="001529DD">
              <w:rPr>
                <w:rFonts w:ascii="Arial Narrow" w:hAnsi="Arial Narrow" w:cs="Times New Roman"/>
                <w:b/>
                <w:bCs/>
                <w:sz w:val="22"/>
                <w:szCs w:val="22"/>
              </w:rPr>
              <w:t>24</w:t>
            </w:r>
          </w:p>
        </w:tc>
      </w:tr>
    </w:tbl>
    <w:p w:rsidR="00BF7A10" w:rsidRPr="00DC6377" w:rsidP="00DC6377">
      <w:pPr>
        <w:autoSpaceDE/>
        <w:autoSpaceDN/>
        <w:spacing w:line="240" w:lineRule="auto"/>
        <w:rPr>
          <w:rFonts w:ascii="Times New Roman" w:hAnsi="Times New Roman" w:cs="Times New Roman"/>
        </w:rPr>
      </w:pPr>
      <w:r w:rsidR="00D03217">
        <w:rPr>
          <w:rFonts w:ascii="Times New Roman" w:hAnsi="Times New Roman" w:cs="Times New Roman"/>
        </w:rPr>
        <w:t xml:space="preserve"> </w:t>
      </w:r>
    </w:p>
    <w:p w:rsidR="00A63416" w:rsidRPr="00A63416" w:rsidP="00A63416">
      <w:pPr>
        <w:spacing w:line="240" w:lineRule="auto"/>
        <w:ind w:firstLine="708"/>
        <w:rPr>
          <w:rFonts w:ascii="Times New Roman" w:hAnsi="Times New Roman" w:cs="Times New Roman"/>
          <w:sz w:val="24"/>
          <w:szCs w:val="24"/>
        </w:rPr>
      </w:pPr>
    </w:p>
    <w:p w:rsidR="00A51CF0" w:rsidRPr="005F2B06" w:rsidP="00C362EA">
      <w:pPr>
        <w:spacing w:line="240" w:lineRule="auto"/>
        <w:ind w:firstLine="708"/>
        <w:rPr>
          <w:rFonts w:ascii="Times New Roman" w:hAnsi="Times New Roman" w:cs="Times New Roman"/>
          <w:sz w:val="24"/>
          <w:szCs w:val="24"/>
        </w:rPr>
      </w:pPr>
      <w:r w:rsidRPr="000D6D47" w:rsidR="00D27E26">
        <w:rPr>
          <w:rFonts w:ascii="Times New Roman" w:hAnsi="Times New Roman" w:cs="Times New Roman"/>
          <w:b/>
          <w:sz w:val="28"/>
          <w:szCs w:val="28"/>
          <w:u w:val="single"/>
        </w:rPr>
        <w:t>Železničná polícia</w:t>
      </w:r>
      <w:r w:rsidRPr="00A51CF0">
        <w:rPr>
          <w:rFonts w:ascii="Times New Roman" w:hAnsi="Times New Roman" w:cs="Times New Roman"/>
          <w:sz w:val="24"/>
          <w:szCs w:val="24"/>
        </w:rPr>
        <w:t xml:space="preserve"> mala stanovený </w:t>
      </w:r>
      <w:r w:rsidR="007016CE">
        <w:rPr>
          <w:rFonts w:ascii="Times New Roman" w:hAnsi="Times New Roman" w:cs="Times New Roman"/>
          <w:sz w:val="24"/>
          <w:szCs w:val="24"/>
        </w:rPr>
        <w:t xml:space="preserve">záv. </w:t>
      </w:r>
      <w:r w:rsidRPr="005F2B06" w:rsidR="00641451">
        <w:rPr>
          <w:rFonts w:ascii="Times New Roman" w:hAnsi="Times New Roman" w:cs="Times New Roman"/>
          <w:sz w:val="24"/>
          <w:szCs w:val="24"/>
        </w:rPr>
        <w:t>ukazova</w:t>
      </w:r>
      <w:r w:rsidR="007A71E3">
        <w:rPr>
          <w:rFonts w:ascii="Times New Roman" w:hAnsi="Times New Roman" w:cs="Times New Roman"/>
          <w:sz w:val="24"/>
          <w:szCs w:val="24"/>
        </w:rPr>
        <w:t xml:space="preserve">teľ príjmov vo výške </w:t>
      </w:r>
      <w:r w:rsidRPr="00AD326E" w:rsidR="007A71E3">
        <w:rPr>
          <w:rFonts w:ascii="Times New Roman" w:hAnsi="Times New Roman" w:cs="Times New Roman"/>
          <w:sz w:val="24"/>
          <w:szCs w:val="24"/>
        </w:rPr>
        <w:t xml:space="preserve">5 000 000,- </w:t>
      </w:r>
      <w:r w:rsidRPr="00AD326E">
        <w:rPr>
          <w:rFonts w:ascii="Times New Roman" w:hAnsi="Times New Roman" w:cs="Times New Roman"/>
          <w:sz w:val="24"/>
          <w:szCs w:val="24"/>
        </w:rPr>
        <w:t>Sk</w:t>
      </w:r>
      <w:r w:rsidRPr="00AD326E" w:rsidR="006B608C">
        <w:rPr>
          <w:rFonts w:ascii="Times New Roman" w:hAnsi="Times New Roman" w:cs="Times New Roman"/>
          <w:sz w:val="24"/>
          <w:szCs w:val="24"/>
        </w:rPr>
        <w:t>,</w:t>
      </w:r>
      <w:r w:rsidR="006B608C">
        <w:rPr>
          <w:rFonts w:ascii="Times New Roman" w:hAnsi="Times New Roman" w:cs="Times New Roman"/>
          <w:sz w:val="24"/>
          <w:szCs w:val="24"/>
        </w:rPr>
        <w:t xml:space="preserve"> skutočný výsledok </w:t>
      </w:r>
      <w:r w:rsidRPr="005F2B06">
        <w:rPr>
          <w:rFonts w:ascii="Times New Roman" w:hAnsi="Times New Roman" w:cs="Times New Roman"/>
          <w:sz w:val="24"/>
          <w:szCs w:val="24"/>
        </w:rPr>
        <w:t>dosiah</w:t>
      </w:r>
      <w:r w:rsidRPr="005F2B06" w:rsidR="00641451">
        <w:rPr>
          <w:rFonts w:ascii="Times New Roman" w:hAnsi="Times New Roman" w:cs="Times New Roman"/>
          <w:sz w:val="24"/>
          <w:szCs w:val="24"/>
        </w:rPr>
        <w:t>l</w:t>
      </w:r>
      <w:r w:rsidRPr="005F2B06" w:rsidR="002C1EB1">
        <w:rPr>
          <w:rFonts w:ascii="Times New Roman" w:hAnsi="Times New Roman" w:cs="Times New Roman"/>
          <w:sz w:val="24"/>
          <w:szCs w:val="24"/>
        </w:rPr>
        <w:t>a</w:t>
      </w:r>
      <w:r w:rsidR="006B608C">
        <w:rPr>
          <w:rFonts w:ascii="Times New Roman" w:hAnsi="Times New Roman" w:cs="Times New Roman"/>
          <w:sz w:val="24"/>
          <w:szCs w:val="24"/>
        </w:rPr>
        <w:t xml:space="preserve"> </w:t>
      </w:r>
      <w:r w:rsidRPr="005F2B06" w:rsidR="002C1EB1">
        <w:rPr>
          <w:rFonts w:ascii="Times New Roman" w:hAnsi="Times New Roman" w:cs="Times New Roman"/>
          <w:sz w:val="24"/>
          <w:szCs w:val="24"/>
        </w:rPr>
        <w:t xml:space="preserve">vo výške </w:t>
      </w:r>
      <w:r w:rsidR="0017378A">
        <w:rPr>
          <w:rFonts w:ascii="Times New Roman" w:hAnsi="Times New Roman" w:cs="Times New Roman"/>
          <w:sz w:val="24"/>
          <w:szCs w:val="24"/>
        </w:rPr>
        <w:t>10 628 483,91</w:t>
      </w:r>
      <w:r w:rsidRPr="002C7E22" w:rsidR="007A71E3">
        <w:rPr>
          <w:rFonts w:ascii="Times New Roman" w:hAnsi="Times New Roman" w:cs="Times New Roman"/>
          <w:sz w:val="24"/>
          <w:szCs w:val="24"/>
        </w:rPr>
        <w:t xml:space="preserve"> </w:t>
      </w:r>
      <w:r w:rsidRPr="002C7E22">
        <w:rPr>
          <w:rFonts w:ascii="Times New Roman" w:hAnsi="Times New Roman" w:cs="Times New Roman"/>
          <w:sz w:val="24"/>
          <w:szCs w:val="24"/>
        </w:rPr>
        <w:t>Sk</w:t>
      </w:r>
      <w:r w:rsidRPr="002C7E22" w:rsidR="00641451">
        <w:rPr>
          <w:rFonts w:ascii="Times New Roman" w:hAnsi="Times New Roman" w:cs="Times New Roman"/>
          <w:sz w:val="24"/>
          <w:szCs w:val="24"/>
        </w:rPr>
        <w:t>, čo</w:t>
      </w:r>
      <w:r w:rsidRPr="005F2B06" w:rsidR="00641451">
        <w:rPr>
          <w:rFonts w:ascii="Times New Roman" w:hAnsi="Times New Roman" w:cs="Times New Roman"/>
          <w:sz w:val="24"/>
          <w:szCs w:val="24"/>
        </w:rPr>
        <w:t xml:space="preserve"> predstavuje </w:t>
      </w:r>
      <w:r w:rsidR="0017378A">
        <w:rPr>
          <w:rFonts w:ascii="Times New Roman" w:hAnsi="Times New Roman" w:cs="Times New Roman"/>
          <w:sz w:val="24"/>
          <w:szCs w:val="24"/>
        </w:rPr>
        <w:t>212,57</w:t>
      </w:r>
      <w:r w:rsidRPr="005F2B06">
        <w:rPr>
          <w:rFonts w:ascii="Times New Roman" w:hAnsi="Times New Roman" w:cs="Times New Roman"/>
          <w:sz w:val="24"/>
          <w:szCs w:val="24"/>
        </w:rPr>
        <w:t xml:space="preserve"> %.</w:t>
      </w:r>
    </w:p>
    <w:p w:rsidR="00DA6DAC" w:rsidRPr="005F2B06" w:rsidP="00C362EA">
      <w:pPr>
        <w:spacing w:line="240" w:lineRule="auto"/>
        <w:rPr>
          <w:rFonts w:ascii="Times New Roman" w:hAnsi="Times New Roman" w:cs="Times New Roman"/>
          <w:sz w:val="24"/>
        </w:rPr>
      </w:pPr>
    </w:p>
    <w:p w:rsidR="00670E1B" w:rsidRPr="00540BF8" w:rsidP="00670E1B">
      <w:pPr>
        <w:spacing w:line="240" w:lineRule="auto"/>
        <w:ind w:firstLine="708"/>
        <w:jc w:val="center"/>
        <w:rPr>
          <w:rFonts w:ascii="Times New Roman" w:hAnsi="Times New Roman" w:cs="Times New Roman"/>
          <w:b/>
          <w:sz w:val="24"/>
          <w:szCs w:val="24"/>
        </w:rPr>
      </w:pPr>
      <w:r>
        <w:rPr>
          <w:rFonts w:ascii="Times New Roman" w:hAnsi="Times New Roman" w:cs="Times New Roman"/>
          <w:b/>
          <w:sz w:val="24"/>
          <w:szCs w:val="24"/>
        </w:rPr>
        <w:t>Skutočné príjmy Železničnej polície za rok 2007</w:t>
      </w:r>
    </w:p>
    <w:p w:rsidR="002B4710" w:rsidP="00C362EA">
      <w:pPr>
        <w:spacing w:line="240" w:lineRule="auto"/>
        <w:ind w:left="360"/>
        <w:rPr>
          <w:rFonts w:ascii="Times New Roman" w:hAnsi="Times New Roman" w:cs="Times New Roman"/>
        </w:rPr>
      </w:pPr>
    </w:p>
    <w:tbl>
      <w:tblPr>
        <w:tblW w:w="90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
      <w:tblGrid>
        <w:gridCol w:w="1128"/>
        <w:gridCol w:w="6400"/>
        <w:gridCol w:w="1492"/>
      </w:tblGrid>
      <w:tr>
        <w:tblPrEx>
          <w:tblW w:w="90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84"/>
        </w:trPr>
        <w:tc>
          <w:tcPr>
            <w:tcW w:w="1128" w:type="dxa"/>
            <w:tcBorders>
              <w:top w:val="single" w:sz="4" w:space="0" w:color="auto"/>
              <w:left w:val="single" w:sz="4" w:space="0" w:color="auto"/>
              <w:bottom w:val="single" w:sz="4" w:space="0" w:color="auto"/>
              <w:right w:val="single" w:sz="4" w:space="0" w:color="auto"/>
              <w:tl2br w:val="nil"/>
              <w:tr2bl w:val="nil"/>
            </w:tcBorders>
            <w:shd w:val="clear" w:color="auto" w:fill="C0C0C0"/>
            <w:noWrap/>
            <w:textDirection w:val="lrTb"/>
            <w:vAlign w:val="center"/>
          </w:tcPr>
          <w:p w:rsidR="002B4710" w:rsidRPr="00B7501C" w:rsidP="00C362EA">
            <w:pPr>
              <w:spacing w:line="240" w:lineRule="auto"/>
              <w:jc w:val="center"/>
              <w:rPr>
                <w:rFonts w:ascii="Arial Narrow" w:hAnsi="Arial Narrow" w:cs="Times New Roman"/>
                <w:b/>
                <w:sz w:val="24"/>
                <w:szCs w:val="24"/>
                <w:highlight w:val="lightGray"/>
              </w:rPr>
            </w:pPr>
            <w:r w:rsidRPr="00B7501C">
              <w:rPr>
                <w:rFonts w:ascii="Arial Narrow" w:hAnsi="Arial Narrow" w:cs="Times New Roman"/>
                <w:b/>
                <w:sz w:val="24"/>
                <w:szCs w:val="24"/>
                <w:highlight w:val="lightGray"/>
              </w:rPr>
              <w:t>Položka</w:t>
            </w:r>
          </w:p>
        </w:tc>
        <w:tc>
          <w:tcPr>
            <w:tcW w:w="6400" w:type="dxa"/>
            <w:tcBorders>
              <w:top w:val="single" w:sz="4" w:space="0" w:color="auto"/>
              <w:left w:val="single" w:sz="4" w:space="0" w:color="auto"/>
              <w:bottom w:val="single" w:sz="4" w:space="0" w:color="auto"/>
              <w:right w:val="single" w:sz="4" w:space="0" w:color="auto"/>
              <w:tl2br w:val="nil"/>
              <w:tr2bl w:val="nil"/>
            </w:tcBorders>
            <w:shd w:val="clear" w:color="auto" w:fill="C0C0C0"/>
            <w:noWrap/>
            <w:textDirection w:val="lrTb"/>
            <w:vAlign w:val="center"/>
          </w:tcPr>
          <w:p w:rsidR="002B4710" w:rsidRPr="00B7501C" w:rsidP="00C362EA">
            <w:pPr>
              <w:spacing w:line="240" w:lineRule="auto"/>
              <w:jc w:val="center"/>
              <w:rPr>
                <w:rFonts w:ascii="Arial Narrow" w:hAnsi="Arial Narrow" w:cs="Times New Roman"/>
                <w:b/>
                <w:sz w:val="24"/>
                <w:szCs w:val="24"/>
                <w:highlight w:val="lightGray"/>
              </w:rPr>
            </w:pPr>
            <w:r w:rsidRPr="00B7501C">
              <w:rPr>
                <w:rFonts w:ascii="Arial Narrow" w:hAnsi="Arial Narrow" w:cs="Times New Roman"/>
                <w:b/>
                <w:sz w:val="24"/>
                <w:szCs w:val="24"/>
                <w:highlight w:val="lightGray"/>
              </w:rPr>
              <w:t>Názov</w:t>
            </w:r>
          </w:p>
        </w:tc>
        <w:tc>
          <w:tcPr>
            <w:tcW w:w="1492" w:type="dxa"/>
            <w:tcBorders>
              <w:top w:val="single" w:sz="4" w:space="0" w:color="auto"/>
              <w:left w:val="single" w:sz="4" w:space="0" w:color="auto"/>
              <w:bottom w:val="single" w:sz="4" w:space="0" w:color="auto"/>
              <w:right w:val="single" w:sz="4" w:space="0" w:color="auto"/>
              <w:tl2br w:val="nil"/>
              <w:tr2bl w:val="nil"/>
            </w:tcBorders>
            <w:shd w:val="clear" w:color="auto" w:fill="C0C0C0"/>
            <w:noWrap/>
            <w:textDirection w:val="lrTb"/>
            <w:vAlign w:val="center"/>
          </w:tcPr>
          <w:p w:rsidR="002B4710" w:rsidRPr="00B7501C" w:rsidP="00C362EA">
            <w:pPr>
              <w:spacing w:line="240" w:lineRule="auto"/>
              <w:jc w:val="right"/>
              <w:rPr>
                <w:rFonts w:ascii="Arial Narrow" w:hAnsi="Arial Narrow" w:cs="Times New Roman"/>
                <w:b/>
                <w:sz w:val="24"/>
                <w:szCs w:val="24"/>
                <w:highlight w:val="lightGray"/>
              </w:rPr>
            </w:pPr>
            <w:r w:rsidRPr="00B7501C">
              <w:rPr>
                <w:rFonts w:ascii="Arial Narrow" w:hAnsi="Arial Narrow" w:cs="Times New Roman"/>
                <w:b/>
                <w:sz w:val="24"/>
                <w:szCs w:val="24"/>
                <w:highlight w:val="lightGray"/>
              </w:rPr>
              <w:t>Suma v</w:t>
            </w:r>
            <w:r w:rsidR="00C26514">
              <w:rPr>
                <w:rFonts w:ascii="Arial Narrow" w:hAnsi="Arial Narrow" w:cs="Times New Roman"/>
                <w:b/>
                <w:sz w:val="24"/>
                <w:szCs w:val="24"/>
                <w:highlight w:val="lightGray"/>
              </w:rPr>
              <w:t> </w:t>
            </w:r>
            <w:r w:rsidRPr="00B7501C">
              <w:rPr>
                <w:rFonts w:ascii="Arial Narrow" w:hAnsi="Arial Narrow" w:cs="Times New Roman"/>
                <w:b/>
                <w:sz w:val="24"/>
                <w:szCs w:val="24"/>
                <w:highlight w:val="lightGray"/>
              </w:rPr>
              <w:t>Sk</w:t>
            </w:r>
          </w:p>
        </w:tc>
      </w:tr>
      <w:tr>
        <w:tblPrEx>
          <w:tblW w:w="9020" w:type="dxa"/>
          <w:tblInd w:w="70" w:type="dxa"/>
          <w:tblCellMar>
            <w:left w:w="70" w:type="dxa"/>
            <w:right w:w="70" w:type="dxa"/>
          </w:tblCellMar>
        </w:tblPrEx>
        <w:trPr>
          <w:trHeight w:val="284"/>
        </w:trPr>
        <w:tc>
          <w:tcPr>
            <w:tcW w:w="1128"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2B4710" w:rsidRPr="00F3652B" w:rsidP="00C362EA">
            <w:pPr>
              <w:spacing w:line="240" w:lineRule="auto"/>
              <w:jc w:val="center"/>
              <w:rPr>
                <w:rFonts w:ascii="Arial Narrow" w:hAnsi="Arial Narrow" w:cs="Times New Roman"/>
                <w:bCs/>
                <w:sz w:val="22"/>
                <w:szCs w:val="22"/>
              </w:rPr>
            </w:pPr>
            <w:r w:rsidRPr="00F3652B" w:rsidR="009A253D">
              <w:rPr>
                <w:rFonts w:ascii="Arial Narrow" w:hAnsi="Arial Narrow" w:cs="Times New Roman"/>
                <w:bCs/>
                <w:sz w:val="22"/>
                <w:szCs w:val="22"/>
              </w:rPr>
              <w:t>212</w:t>
            </w:r>
          </w:p>
        </w:tc>
        <w:tc>
          <w:tcPr>
            <w:tcW w:w="640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2B4710" w:rsidRPr="00F3652B" w:rsidP="00C362EA">
            <w:pPr>
              <w:spacing w:line="240" w:lineRule="auto"/>
              <w:rPr>
                <w:rFonts w:ascii="Arial Narrow" w:hAnsi="Arial Narrow" w:cs="Times New Roman"/>
                <w:bCs/>
                <w:sz w:val="22"/>
                <w:szCs w:val="22"/>
              </w:rPr>
            </w:pPr>
            <w:r w:rsidRPr="00F3652B" w:rsidR="009A253D">
              <w:rPr>
                <w:rFonts w:ascii="Arial Narrow" w:hAnsi="Arial Narrow" w:cs="Times New Roman"/>
                <w:bCs/>
                <w:sz w:val="22"/>
                <w:szCs w:val="22"/>
              </w:rPr>
              <w:t>Príjmy z</w:t>
            </w:r>
            <w:r w:rsidR="00A97E21">
              <w:rPr>
                <w:rFonts w:ascii="Arial Narrow" w:hAnsi="Arial Narrow" w:cs="Times New Roman"/>
                <w:bCs/>
                <w:sz w:val="22"/>
                <w:szCs w:val="22"/>
              </w:rPr>
              <w:t> </w:t>
            </w:r>
            <w:r w:rsidRPr="00F3652B" w:rsidR="009A253D">
              <w:rPr>
                <w:rFonts w:ascii="Arial Narrow" w:hAnsi="Arial Narrow" w:cs="Times New Roman"/>
                <w:bCs/>
                <w:sz w:val="22"/>
                <w:szCs w:val="22"/>
              </w:rPr>
              <w:t>vlastníctva</w:t>
            </w:r>
          </w:p>
        </w:tc>
        <w:tc>
          <w:tcPr>
            <w:tcW w:w="1492"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2B4710" w:rsidRPr="00B7501C" w:rsidP="00C362EA">
            <w:pPr>
              <w:spacing w:line="240" w:lineRule="auto"/>
              <w:jc w:val="right"/>
              <w:rPr>
                <w:rFonts w:ascii="Arial Narrow" w:hAnsi="Arial Narrow" w:cs="Times New Roman"/>
                <w:bCs/>
                <w:sz w:val="22"/>
                <w:szCs w:val="22"/>
              </w:rPr>
            </w:pPr>
            <w:r w:rsidR="0017378A">
              <w:rPr>
                <w:rFonts w:ascii="Arial Narrow" w:hAnsi="Arial Narrow" w:cs="Times New Roman"/>
                <w:bCs/>
                <w:sz w:val="22"/>
                <w:szCs w:val="22"/>
              </w:rPr>
              <w:t>1 153 628</w:t>
            </w:r>
            <w:r>
              <w:rPr>
                <w:rFonts w:ascii="Arial Narrow" w:hAnsi="Arial Narrow" w:cs="Times New Roman"/>
                <w:bCs/>
                <w:sz w:val="22"/>
                <w:szCs w:val="22"/>
              </w:rPr>
              <w:t>,0</w:t>
            </w:r>
          </w:p>
        </w:tc>
      </w:tr>
      <w:tr>
        <w:tblPrEx>
          <w:tblW w:w="9020" w:type="dxa"/>
          <w:tblInd w:w="70" w:type="dxa"/>
          <w:tblCellMar>
            <w:left w:w="70" w:type="dxa"/>
            <w:right w:w="70" w:type="dxa"/>
          </w:tblCellMar>
        </w:tblPrEx>
        <w:trPr>
          <w:trHeight w:val="284"/>
        </w:trPr>
        <w:tc>
          <w:tcPr>
            <w:tcW w:w="1128"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4836AF" w:rsidRPr="00F3652B" w:rsidP="00C362EA">
            <w:pPr>
              <w:spacing w:line="240" w:lineRule="auto"/>
              <w:jc w:val="center"/>
              <w:rPr>
                <w:rFonts w:ascii="Arial Narrow" w:hAnsi="Arial Narrow" w:cs="Times New Roman"/>
                <w:bCs/>
                <w:sz w:val="22"/>
                <w:szCs w:val="22"/>
              </w:rPr>
            </w:pPr>
            <w:r w:rsidRPr="00F3652B" w:rsidR="006C0FA4">
              <w:rPr>
                <w:rFonts w:ascii="Arial Narrow" w:hAnsi="Arial Narrow" w:cs="Times New Roman"/>
                <w:bCs/>
                <w:sz w:val="22"/>
                <w:szCs w:val="22"/>
              </w:rPr>
              <w:t>222</w:t>
            </w:r>
          </w:p>
        </w:tc>
        <w:tc>
          <w:tcPr>
            <w:tcW w:w="640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4836AF" w:rsidRPr="00F3652B" w:rsidP="00C362EA">
            <w:pPr>
              <w:spacing w:line="240" w:lineRule="auto"/>
              <w:rPr>
                <w:rFonts w:ascii="Arial Narrow" w:hAnsi="Arial Narrow" w:cs="Times New Roman"/>
                <w:bCs/>
                <w:sz w:val="22"/>
                <w:szCs w:val="22"/>
              </w:rPr>
            </w:pPr>
            <w:r w:rsidRPr="00F3652B">
              <w:rPr>
                <w:rFonts w:ascii="Arial Narrow" w:hAnsi="Arial Narrow" w:cs="Times New Roman"/>
                <w:bCs/>
                <w:sz w:val="22"/>
                <w:szCs w:val="22"/>
              </w:rPr>
              <w:t>Pokuty</w:t>
            </w:r>
            <w:r w:rsidRPr="00F3652B" w:rsidR="009A253D">
              <w:rPr>
                <w:rFonts w:ascii="Arial Narrow" w:hAnsi="Arial Narrow" w:cs="Times New Roman"/>
                <w:bCs/>
                <w:sz w:val="22"/>
                <w:szCs w:val="22"/>
              </w:rPr>
              <w:t>, penále a iné sankcie</w:t>
            </w:r>
          </w:p>
        </w:tc>
        <w:tc>
          <w:tcPr>
            <w:tcW w:w="1492"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4836AF" w:rsidRPr="00B7501C" w:rsidP="00C362EA">
            <w:pPr>
              <w:spacing w:line="240" w:lineRule="auto"/>
              <w:jc w:val="right"/>
              <w:rPr>
                <w:rFonts w:ascii="Arial Narrow" w:hAnsi="Arial Narrow" w:cs="Times New Roman"/>
                <w:bCs/>
                <w:sz w:val="22"/>
                <w:szCs w:val="22"/>
              </w:rPr>
            </w:pPr>
            <w:r w:rsidR="0017378A">
              <w:rPr>
                <w:rFonts w:ascii="Arial Narrow" w:hAnsi="Arial Narrow" w:cs="Times New Roman"/>
                <w:bCs/>
                <w:sz w:val="22"/>
                <w:szCs w:val="22"/>
              </w:rPr>
              <w:t>4 960 907</w:t>
            </w:r>
            <w:r>
              <w:rPr>
                <w:rFonts w:ascii="Arial Narrow" w:hAnsi="Arial Narrow" w:cs="Times New Roman"/>
                <w:bCs/>
                <w:sz w:val="22"/>
                <w:szCs w:val="22"/>
              </w:rPr>
              <w:t>,</w:t>
            </w:r>
            <w:r w:rsidR="0017378A">
              <w:rPr>
                <w:rFonts w:ascii="Arial Narrow" w:hAnsi="Arial Narrow" w:cs="Times New Roman"/>
                <w:bCs/>
                <w:sz w:val="22"/>
                <w:szCs w:val="22"/>
              </w:rPr>
              <w:t>2</w:t>
            </w:r>
          </w:p>
        </w:tc>
      </w:tr>
      <w:tr>
        <w:tblPrEx>
          <w:tblW w:w="9020" w:type="dxa"/>
          <w:tblInd w:w="70" w:type="dxa"/>
          <w:tblCellMar>
            <w:left w:w="70" w:type="dxa"/>
            <w:right w:w="70" w:type="dxa"/>
          </w:tblCellMar>
        </w:tblPrEx>
        <w:trPr>
          <w:trHeight w:val="284"/>
        </w:trPr>
        <w:tc>
          <w:tcPr>
            <w:tcW w:w="1128"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6C0FA4" w:rsidRPr="00F3652B" w:rsidP="00C362EA">
            <w:pPr>
              <w:spacing w:line="240" w:lineRule="auto"/>
              <w:jc w:val="center"/>
              <w:rPr>
                <w:rFonts w:ascii="Arial Narrow" w:hAnsi="Arial Narrow" w:cs="Times New Roman"/>
                <w:bCs/>
                <w:sz w:val="22"/>
                <w:szCs w:val="22"/>
              </w:rPr>
            </w:pPr>
            <w:r w:rsidRPr="00F3652B">
              <w:rPr>
                <w:rFonts w:ascii="Arial Narrow" w:hAnsi="Arial Narrow" w:cs="Times New Roman"/>
                <w:bCs/>
                <w:sz w:val="22"/>
                <w:szCs w:val="22"/>
              </w:rPr>
              <w:t>223</w:t>
            </w:r>
          </w:p>
        </w:tc>
        <w:tc>
          <w:tcPr>
            <w:tcW w:w="640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6C0FA4" w:rsidRPr="00F3652B" w:rsidP="00C362EA">
            <w:pPr>
              <w:spacing w:line="240" w:lineRule="auto"/>
              <w:rPr>
                <w:rFonts w:ascii="Arial Narrow" w:hAnsi="Arial Narrow" w:cs="Times New Roman"/>
                <w:bCs/>
                <w:sz w:val="22"/>
                <w:szCs w:val="22"/>
              </w:rPr>
            </w:pPr>
            <w:r w:rsidRPr="00F3652B" w:rsidR="009A253D">
              <w:rPr>
                <w:rFonts w:ascii="Arial Narrow" w:hAnsi="Arial Narrow" w:cs="Times New Roman"/>
                <w:bCs/>
                <w:sz w:val="22"/>
                <w:szCs w:val="22"/>
              </w:rPr>
              <w:t>Poplatky a platby z nepriemyselného a náhodného predaja a</w:t>
            </w:r>
            <w:r w:rsidR="00474AC2">
              <w:rPr>
                <w:rFonts w:ascii="Arial Narrow" w:hAnsi="Arial Narrow" w:cs="Times New Roman"/>
                <w:bCs/>
                <w:sz w:val="22"/>
                <w:szCs w:val="22"/>
              </w:rPr>
              <w:t> </w:t>
            </w:r>
            <w:r w:rsidRPr="00F3652B" w:rsidR="009A253D">
              <w:rPr>
                <w:rFonts w:ascii="Arial Narrow" w:hAnsi="Arial Narrow" w:cs="Times New Roman"/>
                <w:bCs/>
                <w:sz w:val="22"/>
                <w:szCs w:val="22"/>
              </w:rPr>
              <w:t>služieb</w:t>
            </w:r>
          </w:p>
        </w:tc>
        <w:tc>
          <w:tcPr>
            <w:tcW w:w="1492"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6C0FA4" w:rsidRPr="00B7501C" w:rsidP="00C362EA">
            <w:pPr>
              <w:spacing w:line="240" w:lineRule="auto"/>
              <w:jc w:val="right"/>
              <w:rPr>
                <w:rFonts w:ascii="Arial Narrow" w:hAnsi="Arial Narrow" w:cs="Times New Roman"/>
                <w:bCs/>
                <w:sz w:val="22"/>
                <w:szCs w:val="22"/>
              </w:rPr>
            </w:pPr>
            <w:r w:rsidR="0017378A">
              <w:rPr>
                <w:rFonts w:ascii="Arial Narrow" w:hAnsi="Arial Narrow" w:cs="Times New Roman"/>
                <w:bCs/>
                <w:sz w:val="22"/>
                <w:szCs w:val="22"/>
              </w:rPr>
              <w:t>2 </w:t>
            </w:r>
            <w:r w:rsidR="0011707C">
              <w:rPr>
                <w:rFonts w:ascii="Arial Narrow" w:hAnsi="Arial Narrow" w:cs="Times New Roman"/>
                <w:bCs/>
                <w:sz w:val="22"/>
                <w:szCs w:val="22"/>
              </w:rPr>
              <w:t>545</w:t>
            </w:r>
            <w:r w:rsidR="0017378A">
              <w:rPr>
                <w:rFonts w:ascii="Arial Narrow" w:hAnsi="Arial Narrow" w:cs="Times New Roman"/>
                <w:bCs/>
                <w:sz w:val="22"/>
                <w:szCs w:val="22"/>
              </w:rPr>
              <w:t xml:space="preserve"> </w:t>
            </w:r>
            <w:r w:rsidR="0011707C">
              <w:rPr>
                <w:rFonts w:ascii="Arial Narrow" w:hAnsi="Arial Narrow" w:cs="Times New Roman"/>
                <w:bCs/>
                <w:sz w:val="22"/>
                <w:szCs w:val="22"/>
              </w:rPr>
              <w:t>076</w:t>
            </w:r>
            <w:r>
              <w:rPr>
                <w:rFonts w:ascii="Arial Narrow" w:hAnsi="Arial Narrow" w:cs="Times New Roman"/>
                <w:bCs/>
                <w:sz w:val="22"/>
                <w:szCs w:val="22"/>
              </w:rPr>
              <w:t>,</w:t>
            </w:r>
            <w:r w:rsidR="00CC443D">
              <w:rPr>
                <w:rFonts w:ascii="Arial Narrow" w:hAnsi="Arial Narrow" w:cs="Times New Roman"/>
                <w:bCs/>
                <w:sz w:val="22"/>
                <w:szCs w:val="22"/>
              </w:rPr>
              <w:t>7</w:t>
            </w:r>
          </w:p>
        </w:tc>
      </w:tr>
      <w:tr>
        <w:tblPrEx>
          <w:tblW w:w="9020" w:type="dxa"/>
          <w:tblInd w:w="70" w:type="dxa"/>
          <w:tblCellMar>
            <w:left w:w="70" w:type="dxa"/>
            <w:right w:w="70" w:type="dxa"/>
          </w:tblCellMar>
        </w:tblPrEx>
        <w:trPr>
          <w:trHeight w:val="284"/>
        </w:trPr>
        <w:tc>
          <w:tcPr>
            <w:tcW w:w="1128"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6C0FA4" w:rsidRPr="00F3652B" w:rsidP="00C362EA">
            <w:pPr>
              <w:spacing w:line="240" w:lineRule="auto"/>
              <w:jc w:val="center"/>
              <w:rPr>
                <w:rFonts w:ascii="Arial Narrow" w:hAnsi="Arial Narrow" w:cs="Times New Roman"/>
                <w:bCs/>
                <w:sz w:val="22"/>
                <w:szCs w:val="22"/>
              </w:rPr>
            </w:pPr>
            <w:r w:rsidRPr="00F3652B">
              <w:rPr>
                <w:rFonts w:ascii="Arial Narrow" w:hAnsi="Arial Narrow" w:cs="Times New Roman"/>
                <w:bCs/>
                <w:sz w:val="22"/>
                <w:szCs w:val="22"/>
              </w:rPr>
              <w:t>29</w:t>
            </w:r>
            <w:r w:rsidRPr="00F3652B" w:rsidR="00F3652B">
              <w:rPr>
                <w:rFonts w:ascii="Arial Narrow" w:hAnsi="Arial Narrow" w:cs="Times New Roman"/>
                <w:bCs/>
                <w:sz w:val="22"/>
                <w:szCs w:val="22"/>
              </w:rPr>
              <w:t>0</w:t>
            </w:r>
          </w:p>
        </w:tc>
        <w:tc>
          <w:tcPr>
            <w:tcW w:w="640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6C0FA4" w:rsidRPr="00F3652B" w:rsidP="00C362EA">
            <w:pPr>
              <w:spacing w:line="240" w:lineRule="auto"/>
              <w:rPr>
                <w:rFonts w:ascii="Arial Narrow" w:hAnsi="Arial Narrow" w:cs="Times New Roman"/>
                <w:bCs/>
                <w:sz w:val="22"/>
                <w:szCs w:val="22"/>
              </w:rPr>
            </w:pPr>
            <w:r w:rsidRPr="00F3652B">
              <w:rPr>
                <w:rFonts w:ascii="Arial Narrow" w:hAnsi="Arial Narrow" w:cs="Times New Roman"/>
                <w:bCs/>
                <w:sz w:val="22"/>
                <w:szCs w:val="22"/>
              </w:rPr>
              <w:t>Iné nedaňové príjmy (z dobropisov, vratky, z</w:t>
            </w:r>
            <w:r w:rsidR="00A97E21">
              <w:rPr>
                <w:rFonts w:ascii="Arial Narrow" w:hAnsi="Arial Narrow" w:cs="Times New Roman"/>
                <w:bCs/>
                <w:sz w:val="22"/>
                <w:szCs w:val="22"/>
              </w:rPr>
              <w:t> </w:t>
            </w:r>
            <w:r w:rsidRPr="00F3652B">
              <w:rPr>
                <w:rFonts w:ascii="Arial Narrow" w:hAnsi="Arial Narrow" w:cs="Times New Roman"/>
                <w:bCs/>
                <w:sz w:val="22"/>
                <w:szCs w:val="22"/>
              </w:rPr>
              <w:t>poistného plnenia, atď</w:t>
            </w:r>
            <w:r w:rsidRPr="00F3652B">
              <w:rPr>
                <w:rFonts w:ascii="Arial Narrow" w:hAnsi="Arial Narrow" w:cs="Times New Roman"/>
                <w:bCs/>
                <w:sz w:val="22"/>
                <w:szCs w:val="22"/>
              </w:rPr>
              <w:t>.)</w:t>
            </w:r>
          </w:p>
        </w:tc>
        <w:tc>
          <w:tcPr>
            <w:tcW w:w="1492"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6C0FA4" w:rsidRPr="00B7501C" w:rsidP="00C362EA">
            <w:pPr>
              <w:spacing w:line="240" w:lineRule="auto"/>
              <w:jc w:val="center"/>
              <w:rPr>
                <w:rFonts w:ascii="Arial Narrow" w:hAnsi="Arial Narrow" w:cs="Times New Roman"/>
                <w:bCs/>
                <w:sz w:val="22"/>
                <w:szCs w:val="22"/>
              </w:rPr>
            </w:pPr>
            <w:r w:rsidR="0017378A">
              <w:rPr>
                <w:rFonts w:ascii="Arial Narrow" w:hAnsi="Arial Narrow" w:cs="Times New Roman"/>
                <w:bCs/>
                <w:sz w:val="22"/>
                <w:szCs w:val="22"/>
              </w:rPr>
              <w:t xml:space="preserve">    </w:t>
            </w:r>
            <w:r w:rsidR="00CC443D">
              <w:rPr>
                <w:rFonts w:ascii="Arial Narrow" w:hAnsi="Arial Narrow" w:cs="Times New Roman"/>
                <w:bCs/>
                <w:sz w:val="22"/>
                <w:szCs w:val="22"/>
              </w:rPr>
              <w:t xml:space="preserve">  </w:t>
            </w:r>
            <w:r w:rsidR="0017378A">
              <w:rPr>
                <w:rFonts w:ascii="Arial Narrow" w:hAnsi="Arial Narrow" w:cs="Times New Roman"/>
                <w:bCs/>
                <w:sz w:val="22"/>
                <w:szCs w:val="22"/>
              </w:rPr>
              <w:t xml:space="preserve"> 1 432 202</w:t>
            </w:r>
            <w:r>
              <w:rPr>
                <w:rFonts w:ascii="Arial Narrow" w:hAnsi="Arial Narrow" w:cs="Times New Roman"/>
                <w:bCs/>
                <w:sz w:val="22"/>
                <w:szCs w:val="22"/>
              </w:rPr>
              <w:t>,</w:t>
            </w:r>
            <w:r w:rsidR="00CC443D">
              <w:rPr>
                <w:rFonts w:ascii="Arial Narrow" w:hAnsi="Arial Narrow" w:cs="Times New Roman"/>
                <w:bCs/>
                <w:sz w:val="22"/>
                <w:szCs w:val="22"/>
              </w:rPr>
              <w:t>6</w:t>
            </w:r>
          </w:p>
        </w:tc>
      </w:tr>
      <w:tr>
        <w:tblPrEx>
          <w:tblW w:w="9020" w:type="dxa"/>
          <w:tblInd w:w="70" w:type="dxa"/>
          <w:tblCellMar>
            <w:left w:w="70" w:type="dxa"/>
            <w:right w:w="70" w:type="dxa"/>
          </w:tblCellMar>
        </w:tblPrEx>
        <w:trPr>
          <w:trHeight w:val="284"/>
        </w:trPr>
        <w:tc>
          <w:tcPr>
            <w:tcW w:w="1128"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E122BD" w:rsidRPr="00F3652B" w:rsidP="00C362EA">
            <w:pPr>
              <w:spacing w:line="240" w:lineRule="auto"/>
              <w:jc w:val="center"/>
              <w:rPr>
                <w:rFonts w:ascii="Arial Narrow" w:hAnsi="Arial Narrow" w:cs="Times New Roman"/>
                <w:bCs/>
                <w:sz w:val="22"/>
                <w:szCs w:val="22"/>
              </w:rPr>
            </w:pPr>
            <w:r w:rsidRPr="00F3652B">
              <w:rPr>
                <w:rFonts w:ascii="Arial Narrow" w:hAnsi="Arial Narrow" w:cs="Times New Roman"/>
                <w:bCs/>
                <w:sz w:val="22"/>
                <w:szCs w:val="22"/>
              </w:rPr>
              <w:t>31</w:t>
            </w:r>
            <w:r w:rsidRPr="00F3652B" w:rsidR="00F3652B">
              <w:rPr>
                <w:rFonts w:ascii="Arial Narrow" w:hAnsi="Arial Narrow" w:cs="Times New Roman"/>
                <w:bCs/>
                <w:sz w:val="22"/>
                <w:szCs w:val="22"/>
              </w:rPr>
              <w:t>0</w:t>
            </w:r>
          </w:p>
        </w:tc>
        <w:tc>
          <w:tcPr>
            <w:tcW w:w="640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E122BD" w:rsidRPr="00F3652B" w:rsidP="00C362EA">
            <w:pPr>
              <w:spacing w:line="240" w:lineRule="auto"/>
              <w:rPr>
                <w:rFonts w:ascii="Arial Narrow" w:hAnsi="Arial Narrow" w:cs="Times New Roman"/>
                <w:bCs/>
                <w:sz w:val="22"/>
                <w:szCs w:val="22"/>
              </w:rPr>
            </w:pPr>
            <w:r w:rsidRPr="00F3652B">
              <w:rPr>
                <w:rFonts w:ascii="Arial Narrow" w:hAnsi="Arial Narrow" w:cs="Times New Roman"/>
                <w:bCs/>
                <w:sz w:val="22"/>
                <w:szCs w:val="22"/>
              </w:rPr>
              <w:t>Tuzemské bežné granty</w:t>
            </w:r>
            <w:r w:rsidRPr="00F3652B" w:rsidR="00F3652B">
              <w:rPr>
                <w:rFonts w:ascii="Arial Narrow" w:hAnsi="Arial Narrow" w:cs="Times New Roman"/>
                <w:bCs/>
                <w:sz w:val="22"/>
                <w:szCs w:val="22"/>
              </w:rPr>
              <w:t xml:space="preserve"> a</w:t>
            </w:r>
            <w:r w:rsidR="00A97E21">
              <w:rPr>
                <w:rFonts w:ascii="Arial Narrow" w:hAnsi="Arial Narrow" w:cs="Times New Roman"/>
                <w:bCs/>
                <w:sz w:val="22"/>
                <w:szCs w:val="22"/>
              </w:rPr>
              <w:t> </w:t>
            </w:r>
            <w:r w:rsidRPr="00F3652B" w:rsidR="00F3652B">
              <w:rPr>
                <w:rFonts w:ascii="Arial Narrow" w:hAnsi="Arial Narrow" w:cs="Times New Roman"/>
                <w:bCs/>
                <w:sz w:val="22"/>
                <w:szCs w:val="22"/>
              </w:rPr>
              <w:t>transfery</w:t>
            </w:r>
          </w:p>
        </w:tc>
        <w:tc>
          <w:tcPr>
            <w:tcW w:w="1492"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E122BD" w:rsidRPr="00B7501C" w:rsidP="0017378A">
            <w:pPr>
              <w:spacing w:line="240" w:lineRule="auto"/>
              <w:jc w:val="right"/>
              <w:rPr>
                <w:rFonts w:ascii="Arial Narrow" w:hAnsi="Arial Narrow" w:cs="Times New Roman"/>
                <w:bCs/>
                <w:sz w:val="22"/>
                <w:szCs w:val="22"/>
              </w:rPr>
            </w:pPr>
            <w:r w:rsidR="0017378A">
              <w:rPr>
                <w:rFonts w:ascii="Arial Narrow" w:hAnsi="Arial Narrow" w:cs="Times New Roman"/>
                <w:bCs/>
                <w:sz w:val="22"/>
                <w:szCs w:val="22"/>
              </w:rPr>
              <w:t xml:space="preserve">     536 669,5</w:t>
            </w:r>
          </w:p>
        </w:tc>
      </w:tr>
      <w:tr>
        <w:tblPrEx>
          <w:tblW w:w="9020" w:type="dxa"/>
          <w:tblInd w:w="70" w:type="dxa"/>
          <w:tblCellMar>
            <w:left w:w="70" w:type="dxa"/>
            <w:right w:w="70" w:type="dxa"/>
          </w:tblCellMar>
        </w:tblPrEx>
        <w:trPr>
          <w:trHeight w:val="284"/>
        </w:trPr>
        <w:tc>
          <w:tcPr>
            <w:tcW w:w="1128" w:type="dxa"/>
            <w:tcBorders>
              <w:top w:val="single" w:sz="4" w:space="0" w:color="auto"/>
              <w:left w:val="single" w:sz="4" w:space="0" w:color="auto"/>
              <w:bottom w:val="single" w:sz="4" w:space="0" w:color="auto"/>
              <w:right w:val="single" w:sz="4" w:space="0" w:color="auto"/>
              <w:tl2br w:val="nil"/>
              <w:tr2bl w:val="nil"/>
            </w:tcBorders>
            <w:shd w:val="clear" w:color="auto" w:fill="C0C0C0"/>
            <w:noWrap/>
            <w:textDirection w:val="lrTb"/>
            <w:vAlign w:val="center"/>
          </w:tcPr>
          <w:p w:rsidR="00E122BD" w:rsidRPr="00B7501C" w:rsidP="00C362EA">
            <w:pPr>
              <w:spacing w:line="240" w:lineRule="auto"/>
              <w:jc w:val="center"/>
              <w:rPr>
                <w:rFonts w:ascii="Arial Narrow" w:hAnsi="Arial Narrow" w:cs="Times New Roman"/>
                <w:b/>
                <w:bCs/>
                <w:sz w:val="22"/>
                <w:szCs w:val="22"/>
              </w:rPr>
            </w:pPr>
          </w:p>
        </w:tc>
        <w:tc>
          <w:tcPr>
            <w:tcW w:w="6400" w:type="dxa"/>
            <w:tcBorders>
              <w:top w:val="single" w:sz="4" w:space="0" w:color="auto"/>
              <w:left w:val="single" w:sz="4" w:space="0" w:color="auto"/>
              <w:bottom w:val="single" w:sz="4" w:space="0" w:color="auto"/>
              <w:right w:val="single" w:sz="4" w:space="0" w:color="auto"/>
              <w:tl2br w:val="nil"/>
              <w:tr2bl w:val="nil"/>
            </w:tcBorders>
            <w:shd w:val="clear" w:color="auto" w:fill="C0C0C0"/>
            <w:textDirection w:val="lrTb"/>
            <w:vAlign w:val="center"/>
          </w:tcPr>
          <w:p w:rsidR="00E122BD" w:rsidRPr="00B7501C" w:rsidP="00C362EA">
            <w:pPr>
              <w:spacing w:line="240" w:lineRule="auto"/>
              <w:rPr>
                <w:rFonts w:ascii="Arial Narrow" w:hAnsi="Arial Narrow" w:cs="Times New Roman"/>
                <w:b/>
                <w:bCs/>
                <w:sz w:val="22"/>
                <w:szCs w:val="22"/>
              </w:rPr>
            </w:pPr>
            <w:r>
              <w:rPr>
                <w:rFonts w:ascii="Arial Narrow" w:hAnsi="Arial Narrow" w:cs="Times New Roman"/>
                <w:b/>
                <w:bCs/>
                <w:sz w:val="22"/>
                <w:szCs w:val="22"/>
              </w:rPr>
              <w:t>PRÍJMY SPOLU</w:t>
            </w:r>
          </w:p>
        </w:tc>
        <w:tc>
          <w:tcPr>
            <w:tcW w:w="1492" w:type="dxa"/>
            <w:tcBorders>
              <w:top w:val="single" w:sz="4" w:space="0" w:color="auto"/>
              <w:left w:val="single" w:sz="4" w:space="0" w:color="auto"/>
              <w:bottom w:val="single" w:sz="4" w:space="0" w:color="auto"/>
              <w:right w:val="single" w:sz="4" w:space="0" w:color="auto"/>
              <w:tl2br w:val="nil"/>
              <w:tr2bl w:val="nil"/>
            </w:tcBorders>
            <w:shd w:val="clear" w:color="auto" w:fill="C0C0C0"/>
            <w:noWrap/>
            <w:textDirection w:val="lrTb"/>
            <w:vAlign w:val="center"/>
          </w:tcPr>
          <w:p w:rsidR="00E122BD" w:rsidRPr="00CD7BD8" w:rsidP="00C362EA">
            <w:pPr>
              <w:spacing w:line="240" w:lineRule="auto"/>
              <w:jc w:val="center"/>
              <w:rPr>
                <w:rFonts w:ascii="Arial Narrow" w:hAnsi="Arial Narrow" w:cs="Times New Roman"/>
                <w:b/>
                <w:bCs/>
                <w:sz w:val="22"/>
                <w:szCs w:val="22"/>
              </w:rPr>
            </w:pPr>
            <w:r>
              <w:rPr>
                <w:rFonts w:ascii="Arial Narrow" w:hAnsi="Arial Narrow" w:cs="Times New Roman"/>
                <w:bCs/>
                <w:sz w:val="22"/>
                <w:szCs w:val="22"/>
              </w:rPr>
              <w:t xml:space="preserve">   </w:t>
            </w:r>
            <w:r w:rsidR="0017378A">
              <w:rPr>
                <w:rFonts w:ascii="Arial Narrow" w:hAnsi="Arial Narrow" w:cs="Times New Roman"/>
                <w:b/>
                <w:bCs/>
                <w:sz w:val="22"/>
                <w:szCs w:val="22"/>
              </w:rPr>
              <w:t>10 628 483</w:t>
            </w:r>
            <w:r w:rsidRPr="00CD7BD8">
              <w:rPr>
                <w:rFonts w:ascii="Arial Narrow" w:hAnsi="Arial Narrow" w:cs="Times New Roman"/>
                <w:b/>
                <w:bCs/>
                <w:sz w:val="22"/>
                <w:szCs w:val="22"/>
              </w:rPr>
              <w:t>,</w:t>
            </w:r>
            <w:r w:rsidR="0017378A">
              <w:rPr>
                <w:rFonts w:ascii="Arial Narrow" w:hAnsi="Arial Narrow" w:cs="Times New Roman"/>
                <w:b/>
                <w:bCs/>
                <w:sz w:val="22"/>
                <w:szCs w:val="22"/>
              </w:rPr>
              <w:t>91</w:t>
            </w:r>
          </w:p>
        </w:tc>
      </w:tr>
    </w:tbl>
    <w:p w:rsidR="00A51CF0" w:rsidRPr="00641451" w:rsidP="00C362EA">
      <w:pPr>
        <w:pStyle w:val="Title"/>
        <w:spacing w:line="240" w:lineRule="auto"/>
        <w:jc w:val="both"/>
        <w:rPr>
          <w:rFonts w:ascii="Arial Narrow" w:hAnsi="Arial Narrow" w:cs="Times New Roman"/>
          <w:sz w:val="22"/>
          <w:szCs w:val="22"/>
        </w:rPr>
      </w:pPr>
    </w:p>
    <w:p w:rsidR="00BF7A10" w:rsidRPr="005F2B06" w:rsidP="00DC6377">
      <w:pPr>
        <w:pStyle w:val="Title"/>
        <w:spacing w:line="240" w:lineRule="auto"/>
        <w:ind w:firstLine="709"/>
        <w:jc w:val="both"/>
        <w:rPr>
          <w:rFonts w:ascii="Times New Roman" w:hAnsi="Times New Roman" w:cs="Times New Roman"/>
        </w:rPr>
      </w:pPr>
      <w:r w:rsidRPr="005F2B06" w:rsidR="00A51CF0">
        <w:rPr>
          <w:rFonts w:ascii="Times New Roman" w:hAnsi="Times New Roman" w:cs="Times New Roman"/>
        </w:rPr>
        <w:t>Najväčší podi</w:t>
      </w:r>
      <w:r w:rsidR="001B5CB2">
        <w:rPr>
          <w:rFonts w:ascii="Times New Roman" w:hAnsi="Times New Roman" w:cs="Times New Roman"/>
        </w:rPr>
        <w:t>el na plnení príj</w:t>
      </w:r>
      <w:r w:rsidR="0011707C">
        <w:rPr>
          <w:rFonts w:ascii="Times New Roman" w:hAnsi="Times New Roman" w:cs="Times New Roman"/>
        </w:rPr>
        <w:t xml:space="preserve">mov v roku 2007 mali pokuty </w:t>
      </w:r>
      <w:r w:rsidR="00CC443D">
        <w:rPr>
          <w:rFonts w:ascii="Times New Roman" w:hAnsi="Times New Roman" w:cs="Times New Roman"/>
        </w:rPr>
        <w:t xml:space="preserve">za porušenie predpisov v obvode železničných dráh </w:t>
      </w:r>
      <w:r w:rsidR="0011707C">
        <w:rPr>
          <w:rFonts w:ascii="Times New Roman" w:hAnsi="Times New Roman" w:cs="Times New Roman"/>
        </w:rPr>
        <w:t>- 46,</w:t>
      </w:r>
      <w:r w:rsidR="004E1A0A">
        <w:rPr>
          <w:rFonts w:ascii="Times New Roman" w:hAnsi="Times New Roman" w:cs="Times New Roman"/>
        </w:rPr>
        <w:t>68</w:t>
      </w:r>
      <w:r w:rsidR="001B5CB2">
        <w:rPr>
          <w:rFonts w:ascii="Times New Roman" w:hAnsi="Times New Roman" w:cs="Times New Roman"/>
        </w:rPr>
        <w:t xml:space="preserve"> %</w:t>
      </w:r>
      <w:r w:rsidR="0011707C">
        <w:rPr>
          <w:rFonts w:ascii="Times New Roman" w:hAnsi="Times New Roman" w:cs="Times New Roman"/>
        </w:rPr>
        <w:t xml:space="preserve">, ktoré dosiahli výšku 4 960 </w:t>
      </w:r>
      <w:r w:rsidR="0011707C">
        <w:rPr>
          <w:rFonts w:ascii="Times New Roman" w:hAnsi="Times New Roman" w:cs="Times New Roman"/>
        </w:rPr>
        <w:t>907,2</w:t>
      </w:r>
      <w:r w:rsidR="001B5CB2">
        <w:rPr>
          <w:rFonts w:ascii="Times New Roman" w:hAnsi="Times New Roman" w:cs="Times New Roman"/>
        </w:rPr>
        <w:t xml:space="preserve">0 </w:t>
      </w:r>
      <w:r>
        <w:rPr>
          <w:rFonts w:ascii="Times New Roman" w:hAnsi="Times New Roman" w:cs="Times New Roman"/>
        </w:rPr>
        <w:t>Sk.</w:t>
      </w:r>
    </w:p>
    <w:p w:rsidR="00B27788" w:rsidP="00C37E93">
      <w:pPr>
        <w:pStyle w:val="Title"/>
        <w:spacing w:line="240" w:lineRule="auto"/>
        <w:ind w:firstLine="528"/>
        <w:jc w:val="both"/>
        <w:rPr>
          <w:rFonts w:ascii="Times New Roman" w:hAnsi="Times New Roman" w:cs="Times New Roman"/>
        </w:rPr>
      </w:pPr>
      <w:r w:rsidRPr="005F2B06" w:rsidR="00A51CF0">
        <w:rPr>
          <w:rFonts w:ascii="Times New Roman" w:hAnsi="Times New Roman" w:cs="Times New Roman"/>
        </w:rPr>
        <w:t xml:space="preserve"> </w:t>
      </w:r>
      <w:r w:rsidR="001B5CB2">
        <w:rPr>
          <w:rFonts w:ascii="Times New Roman" w:hAnsi="Times New Roman" w:cs="Times New Roman"/>
        </w:rPr>
        <w:tab/>
      </w:r>
    </w:p>
    <w:p w:rsidR="00073E3C" w:rsidP="00B27788">
      <w:pPr>
        <w:pStyle w:val="Title"/>
        <w:spacing w:line="240" w:lineRule="auto"/>
        <w:ind w:firstLine="709"/>
        <w:jc w:val="both"/>
        <w:rPr>
          <w:rFonts w:ascii="Times New Roman" w:hAnsi="Times New Roman" w:cs="Times New Roman"/>
        </w:rPr>
      </w:pPr>
      <w:r w:rsidR="00F3652B">
        <w:rPr>
          <w:rFonts w:ascii="Times New Roman" w:hAnsi="Times New Roman" w:cs="Times New Roman"/>
          <w:szCs w:val="24"/>
        </w:rPr>
        <w:t xml:space="preserve">Druhý </w:t>
      </w:r>
      <w:r w:rsidRPr="00F3652B" w:rsidR="00F3652B">
        <w:rPr>
          <w:rFonts w:ascii="Times New Roman" w:hAnsi="Times New Roman" w:cs="Times New Roman"/>
          <w:szCs w:val="24"/>
        </w:rPr>
        <w:t xml:space="preserve">najvyšší podiel na celkových príjmoch </w:t>
      </w:r>
      <w:r w:rsidR="00F3652B">
        <w:rPr>
          <w:rFonts w:ascii="Times New Roman" w:hAnsi="Times New Roman" w:cs="Times New Roman"/>
          <w:szCs w:val="24"/>
        </w:rPr>
        <w:t xml:space="preserve">vo výške 23,95 % </w:t>
      </w:r>
      <w:r w:rsidRPr="00F3652B" w:rsidR="00F3652B">
        <w:rPr>
          <w:rFonts w:ascii="Times New Roman" w:hAnsi="Times New Roman" w:cs="Times New Roman"/>
          <w:szCs w:val="24"/>
        </w:rPr>
        <w:t xml:space="preserve">mali </w:t>
      </w:r>
      <w:r w:rsidRPr="00F3652B" w:rsidR="00F3652B">
        <w:rPr>
          <w:rFonts w:ascii="Times New Roman" w:hAnsi="Times New Roman" w:cs="Times New Roman"/>
          <w:bCs/>
          <w:szCs w:val="24"/>
        </w:rPr>
        <w:t>Poplatky a platby z </w:t>
      </w:r>
      <w:r w:rsidR="00F3652B">
        <w:rPr>
          <w:rFonts w:ascii="Times New Roman" w:hAnsi="Times New Roman" w:cs="Times New Roman"/>
          <w:bCs/>
          <w:szCs w:val="24"/>
        </w:rPr>
        <w:t xml:space="preserve"> </w:t>
      </w:r>
      <w:r w:rsidRPr="00F3652B" w:rsidR="00F3652B">
        <w:rPr>
          <w:rFonts w:ascii="Times New Roman" w:hAnsi="Times New Roman" w:cs="Times New Roman"/>
          <w:bCs/>
          <w:szCs w:val="24"/>
        </w:rPr>
        <w:t>nepriemyselného a náhodného predaja a</w:t>
      </w:r>
      <w:r w:rsidR="00F3652B">
        <w:rPr>
          <w:rFonts w:ascii="Times New Roman" w:hAnsi="Times New Roman" w:cs="Times New Roman"/>
          <w:bCs/>
          <w:szCs w:val="24"/>
        </w:rPr>
        <w:t> </w:t>
      </w:r>
      <w:r w:rsidRPr="00F3652B" w:rsidR="00F3652B">
        <w:rPr>
          <w:rFonts w:ascii="Times New Roman" w:hAnsi="Times New Roman" w:cs="Times New Roman"/>
          <w:bCs/>
          <w:szCs w:val="24"/>
        </w:rPr>
        <w:t>služieb</w:t>
      </w:r>
      <w:r w:rsidR="00F3652B">
        <w:rPr>
          <w:rFonts w:ascii="Times New Roman" w:hAnsi="Times New Roman" w:cs="Times New Roman"/>
        </w:rPr>
        <w:t xml:space="preserve">, a to hlavne </w:t>
      </w:r>
      <w:r w:rsidR="005E67AA">
        <w:rPr>
          <w:rFonts w:ascii="Times New Roman" w:hAnsi="Times New Roman" w:cs="Times New Roman"/>
        </w:rPr>
        <w:t>príjmy za predaj výrobkov, tovarov a </w:t>
      </w:r>
      <w:r w:rsidRPr="005F2B06" w:rsidR="005E67AA">
        <w:rPr>
          <w:rFonts w:ascii="Times New Roman" w:hAnsi="Times New Roman" w:cs="Times New Roman"/>
        </w:rPr>
        <w:t>služ</w:t>
      </w:r>
      <w:r w:rsidR="005E67AA">
        <w:rPr>
          <w:rFonts w:ascii="Times New Roman" w:hAnsi="Times New Roman" w:cs="Times New Roman"/>
        </w:rPr>
        <w:t xml:space="preserve">ieb </w:t>
      </w:r>
      <w:r w:rsidR="00CC443D">
        <w:rPr>
          <w:rFonts w:ascii="Times New Roman" w:hAnsi="Times New Roman" w:cs="Times New Roman"/>
        </w:rPr>
        <w:t xml:space="preserve">vo výške </w:t>
      </w:r>
      <w:r w:rsidR="005E67AA">
        <w:rPr>
          <w:rFonts w:ascii="Times New Roman" w:hAnsi="Times New Roman" w:cs="Times New Roman"/>
        </w:rPr>
        <w:t>2 </w:t>
      </w:r>
      <w:r w:rsidR="00F3652B">
        <w:rPr>
          <w:rFonts w:ascii="Times New Roman" w:hAnsi="Times New Roman" w:cs="Times New Roman"/>
        </w:rPr>
        <w:t>270</w:t>
      </w:r>
      <w:r w:rsidR="005E67AA">
        <w:rPr>
          <w:rFonts w:ascii="Times New Roman" w:hAnsi="Times New Roman" w:cs="Times New Roman"/>
        </w:rPr>
        <w:t> </w:t>
      </w:r>
      <w:r w:rsidR="00F3652B">
        <w:rPr>
          <w:rFonts w:ascii="Times New Roman" w:hAnsi="Times New Roman" w:cs="Times New Roman"/>
        </w:rPr>
        <w:t>539</w:t>
      </w:r>
      <w:r w:rsidR="005E67AA">
        <w:rPr>
          <w:rFonts w:ascii="Times New Roman" w:hAnsi="Times New Roman" w:cs="Times New Roman"/>
        </w:rPr>
        <w:t>,</w:t>
      </w:r>
      <w:r w:rsidR="00CC443D">
        <w:rPr>
          <w:rFonts w:ascii="Times New Roman" w:hAnsi="Times New Roman" w:cs="Times New Roman"/>
        </w:rPr>
        <w:t xml:space="preserve">30 </w:t>
      </w:r>
      <w:r w:rsidR="001B5CB2">
        <w:rPr>
          <w:rFonts w:ascii="Times New Roman" w:hAnsi="Times New Roman" w:cs="Times New Roman"/>
        </w:rPr>
        <w:t>Sk (</w:t>
      </w:r>
      <w:r w:rsidRPr="005F2B06" w:rsidR="001B5CB2">
        <w:rPr>
          <w:rFonts w:ascii="Times New Roman" w:hAnsi="Times New Roman" w:cs="Times New Roman"/>
        </w:rPr>
        <w:t xml:space="preserve">z toho </w:t>
      </w:r>
      <w:r w:rsidR="00F3652B">
        <w:rPr>
          <w:rFonts w:ascii="Times New Roman" w:hAnsi="Times New Roman" w:cs="Times New Roman"/>
        </w:rPr>
        <w:t>za doprovody 2 219</w:t>
      </w:r>
      <w:r w:rsidR="00F3652B">
        <w:rPr>
          <w:rFonts w:ascii="Times New Roman" w:hAnsi="Times New Roman" w:cs="Times New Roman"/>
        </w:rPr>
        <w:t> 671,50</w:t>
      </w:r>
      <w:r w:rsidR="001B5CB2">
        <w:rPr>
          <w:rFonts w:ascii="Times New Roman" w:hAnsi="Times New Roman" w:cs="Times New Roman"/>
        </w:rPr>
        <w:t xml:space="preserve"> Sk, uby</w:t>
      </w:r>
      <w:r w:rsidR="006C0FA4">
        <w:rPr>
          <w:rFonts w:ascii="Times New Roman" w:hAnsi="Times New Roman" w:cs="Times New Roman"/>
        </w:rPr>
        <w:t>t</w:t>
      </w:r>
      <w:r w:rsidR="00E122BD">
        <w:rPr>
          <w:rFonts w:ascii="Times New Roman" w:hAnsi="Times New Roman" w:cs="Times New Roman"/>
        </w:rPr>
        <w:t xml:space="preserve">ovacie </w:t>
      </w:r>
      <w:r w:rsidR="006C0FA4">
        <w:rPr>
          <w:rFonts w:ascii="Times New Roman" w:hAnsi="Times New Roman" w:cs="Times New Roman"/>
        </w:rPr>
        <w:t xml:space="preserve">služby </w:t>
      </w:r>
      <w:r w:rsidR="00CC443D">
        <w:rPr>
          <w:rFonts w:ascii="Times New Roman" w:hAnsi="Times New Roman" w:cs="Times New Roman"/>
        </w:rPr>
        <w:t>32 090</w:t>
      </w:r>
      <w:r w:rsidR="001B5CB2">
        <w:rPr>
          <w:rFonts w:ascii="Times New Roman" w:hAnsi="Times New Roman" w:cs="Times New Roman"/>
        </w:rPr>
        <w:t xml:space="preserve">,- </w:t>
      </w:r>
      <w:r w:rsidRPr="005F2B06" w:rsidR="001B5CB2">
        <w:rPr>
          <w:rFonts w:ascii="Times New Roman" w:hAnsi="Times New Roman" w:cs="Times New Roman"/>
        </w:rPr>
        <w:t xml:space="preserve">Sk, </w:t>
      </w:r>
      <w:r w:rsidR="00CC443D">
        <w:rPr>
          <w:rFonts w:ascii="Times New Roman" w:hAnsi="Times New Roman" w:cs="Times New Roman"/>
        </w:rPr>
        <w:t>tržby z  bufetu 3 910,50</w:t>
      </w:r>
      <w:r w:rsidR="006C0FA4">
        <w:rPr>
          <w:rFonts w:ascii="Times New Roman" w:hAnsi="Times New Roman" w:cs="Times New Roman"/>
        </w:rPr>
        <w:t xml:space="preserve"> Sk, </w:t>
      </w:r>
      <w:r w:rsidRPr="005F2B06" w:rsidR="006C0FA4">
        <w:rPr>
          <w:rFonts w:ascii="Times New Roman" w:hAnsi="Times New Roman" w:cs="Times New Roman"/>
        </w:rPr>
        <w:t>príjmy</w:t>
      </w:r>
      <w:r w:rsidR="00CC443D">
        <w:rPr>
          <w:rFonts w:ascii="Times New Roman" w:hAnsi="Times New Roman" w:cs="Times New Roman"/>
        </w:rPr>
        <w:t xml:space="preserve"> za druhotné suroviny 10 309</w:t>
      </w:r>
      <w:r w:rsidR="006C0FA4">
        <w:rPr>
          <w:rFonts w:ascii="Times New Roman" w:hAnsi="Times New Roman" w:cs="Times New Roman"/>
        </w:rPr>
        <w:t>,-</w:t>
      </w:r>
      <w:r w:rsidR="00CC443D">
        <w:rPr>
          <w:rFonts w:ascii="Times New Roman" w:hAnsi="Times New Roman" w:cs="Times New Roman"/>
        </w:rPr>
        <w:t xml:space="preserve"> Sk, za použitie telef. a faxu 4 558,3</w:t>
      </w:r>
      <w:r w:rsidR="006C0FA4">
        <w:rPr>
          <w:rFonts w:ascii="Times New Roman" w:hAnsi="Times New Roman" w:cs="Times New Roman"/>
        </w:rPr>
        <w:t xml:space="preserve">0 Sk), </w:t>
      </w:r>
      <w:r w:rsidR="00E122BD">
        <w:rPr>
          <w:rFonts w:ascii="Times New Roman" w:hAnsi="Times New Roman" w:cs="Times New Roman"/>
        </w:rPr>
        <w:t xml:space="preserve">ďalej </w:t>
      </w:r>
      <w:r w:rsidR="00CC443D">
        <w:rPr>
          <w:rFonts w:ascii="Times New Roman" w:hAnsi="Times New Roman" w:cs="Times New Roman"/>
        </w:rPr>
        <w:t>príjmy za stravné 74 824,0</w:t>
      </w:r>
      <w:r w:rsidR="006C0FA4">
        <w:rPr>
          <w:rFonts w:ascii="Times New Roman" w:hAnsi="Times New Roman" w:cs="Times New Roman"/>
        </w:rPr>
        <w:t xml:space="preserve">0 Sk a </w:t>
      </w:r>
      <w:r w:rsidRPr="005F2B06" w:rsidR="001B5CB2">
        <w:rPr>
          <w:rFonts w:ascii="Times New Roman" w:hAnsi="Times New Roman" w:cs="Times New Roman"/>
        </w:rPr>
        <w:t>za prebytočný</w:t>
      </w:r>
      <w:r w:rsidR="00CC443D">
        <w:rPr>
          <w:rFonts w:ascii="Times New Roman" w:hAnsi="Times New Roman" w:cs="Times New Roman"/>
        </w:rPr>
        <w:t xml:space="preserve"> hnuteľný majetok 199 713,40 </w:t>
      </w:r>
      <w:r w:rsidR="006C0FA4">
        <w:rPr>
          <w:rFonts w:ascii="Times New Roman" w:hAnsi="Times New Roman" w:cs="Times New Roman"/>
        </w:rPr>
        <w:t>S</w:t>
      </w:r>
      <w:r w:rsidRPr="005F2B06" w:rsidR="001B5CB2">
        <w:rPr>
          <w:rFonts w:ascii="Times New Roman" w:hAnsi="Times New Roman" w:cs="Times New Roman"/>
        </w:rPr>
        <w:t>k.</w:t>
      </w:r>
    </w:p>
    <w:p w:rsidR="009652EE" w:rsidP="00C37E93">
      <w:pPr>
        <w:pStyle w:val="Title"/>
        <w:spacing w:line="240" w:lineRule="auto"/>
        <w:ind w:firstLine="528"/>
        <w:jc w:val="both"/>
        <w:rPr>
          <w:rFonts w:ascii="Times New Roman" w:hAnsi="Times New Roman" w:cs="Times New Roman"/>
        </w:rPr>
      </w:pPr>
      <w:r>
        <w:rPr>
          <w:rFonts w:ascii="Times New Roman" w:hAnsi="Times New Roman" w:cs="Times New Roman"/>
        </w:rPr>
        <w:t xml:space="preserve"> </w:t>
      </w:r>
      <w:r w:rsidR="00D118EB">
        <w:rPr>
          <w:rFonts w:ascii="Times New Roman" w:hAnsi="Times New Roman" w:cs="Times New Roman"/>
        </w:rPr>
        <w:tab/>
      </w:r>
      <w:r>
        <w:rPr>
          <w:rFonts w:ascii="Times New Roman" w:hAnsi="Times New Roman" w:cs="Times New Roman"/>
        </w:rPr>
        <w:t xml:space="preserve">Príjmy </w:t>
      </w:r>
      <w:r w:rsidR="004E1A0A">
        <w:rPr>
          <w:rFonts w:ascii="Times New Roman" w:hAnsi="Times New Roman" w:cs="Times New Roman"/>
        </w:rPr>
        <w:t>z vlastní</w:t>
      </w:r>
      <w:r w:rsidR="004E1A0A">
        <w:rPr>
          <w:rFonts w:ascii="Times New Roman" w:hAnsi="Times New Roman" w:cs="Times New Roman"/>
        </w:rPr>
        <w:t xml:space="preserve">ctva majetku </w:t>
      </w:r>
      <w:r>
        <w:rPr>
          <w:rFonts w:ascii="Times New Roman" w:hAnsi="Times New Roman" w:cs="Times New Roman"/>
        </w:rPr>
        <w:t>tvorili príjmy z prenájmu služobných by</w:t>
      </w:r>
      <w:r w:rsidR="004E1A0A">
        <w:rPr>
          <w:rFonts w:ascii="Times New Roman" w:hAnsi="Times New Roman" w:cs="Times New Roman"/>
        </w:rPr>
        <w:t>tov (1 153 628</w:t>
      </w:r>
      <w:r>
        <w:rPr>
          <w:rFonts w:ascii="Times New Roman" w:hAnsi="Times New Roman" w:cs="Times New Roman"/>
        </w:rPr>
        <w:t xml:space="preserve">,- Sk). </w:t>
      </w:r>
      <w:r w:rsidR="00073E3C">
        <w:rPr>
          <w:rFonts w:ascii="Times New Roman" w:hAnsi="Times New Roman" w:cs="Times New Roman"/>
        </w:rPr>
        <w:t>Z celkového objemu príjmov tvorili</w:t>
      </w:r>
      <w:r w:rsidR="004E1A0A">
        <w:rPr>
          <w:rFonts w:ascii="Times New Roman" w:hAnsi="Times New Roman" w:cs="Times New Roman"/>
        </w:rPr>
        <w:t xml:space="preserve"> príjmy z vlastníctva majetku 10,85</w:t>
      </w:r>
      <w:r w:rsidR="00073E3C">
        <w:rPr>
          <w:rFonts w:ascii="Times New Roman" w:hAnsi="Times New Roman" w:cs="Times New Roman"/>
        </w:rPr>
        <w:t xml:space="preserve"> %.  </w:t>
      </w:r>
      <w:r>
        <w:rPr>
          <w:rFonts w:ascii="Times New Roman" w:hAnsi="Times New Roman" w:cs="Times New Roman"/>
        </w:rPr>
        <w:t xml:space="preserve">  </w:t>
      </w:r>
    </w:p>
    <w:p w:rsidR="00CC443D" w:rsidRPr="005F2B06" w:rsidP="00C37E93">
      <w:pPr>
        <w:pStyle w:val="Title"/>
        <w:spacing w:line="240" w:lineRule="auto"/>
        <w:ind w:firstLine="528"/>
        <w:jc w:val="both"/>
        <w:rPr>
          <w:rFonts w:ascii="Times New Roman" w:hAnsi="Times New Roman" w:cs="Times New Roman"/>
        </w:rPr>
      </w:pPr>
    </w:p>
    <w:p w:rsidR="00474AC2" w:rsidRPr="00474AC2" w:rsidP="00474AC2">
      <w:pPr>
        <w:pStyle w:val="Title"/>
        <w:spacing w:line="240" w:lineRule="auto"/>
        <w:ind w:firstLine="709"/>
        <w:jc w:val="both"/>
        <w:rPr>
          <w:rFonts w:ascii="Times New Roman" w:hAnsi="Times New Roman" w:cs="Times New Roman"/>
        </w:rPr>
      </w:pPr>
      <w:r w:rsidRPr="005F2B06" w:rsidR="00A51CF0">
        <w:rPr>
          <w:rFonts w:ascii="Times New Roman" w:hAnsi="Times New Roman" w:cs="Times New Roman"/>
        </w:rPr>
        <w:t xml:space="preserve">Iné </w:t>
      </w:r>
      <w:r w:rsidR="00CC443D">
        <w:rPr>
          <w:rFonts w:ascii="Times New Roman" w:hAnsi="Times New Roman" w:cs="Times New Roman"/>
        </w:rPr>
        <w:t xml:space="preserve">príjmy boli vo výške 1 432 202,6 Sk  a tvorili 13,47 </w:t>
      </w:r>
      <w:r w:rsidRPr="005F2B06" w:rsidR="00A51CF0">
        <w:rPr>
          <w:rFonts w:ascii="Times New Roman" w:hAnsi="Times New Roman" w:cs="Times New Roman"/>
        </w:rPr>
        <w:t>% z celkových príjmov. Na ich zložení sa podieľ</w:t>
      </w:r>
      <w:r w:rsidRPr="005F2B06" w:rsidR="00A51CF0">
        <w:rPr>
          <w:rFonts w:ascii="Times New Roman" w:hAnsi="Times New Roman" w:cs="Times New Roman"/>
        </w:rPr>
        <w:t>ali predovš</w:t>
      </w:r>
      <w:r w:rsidR="00CC443D">
        <w:rPr>
          <w:rFonts w:ascii="Times New Roman" w:hAnsi="Times New Roman" w:cs="Times New Roman"/>
        </w:rPr>
        <w:t xml:space="preserve">etkým: vratky vo výške 421 497,3 </w:t>
      </w:r>
      <w:r w:rsidRPr="005F2B06" w:rsidR="00A51CF0">
        <w:rPr>
          <w:rFonts w:ascii="Times New Roman" w:hAnsi="Times New Roman" w:cs="Times New Roman"/>
        </w:rPr>
        <w:t>Sk, príjmy</w:t>
      </w:r>
      <w:r w:rsidR="009652EE">
        <w:rPr>
          <w:rFonts w:ascii="Times New Roman" w:hAnsi="Times New Roman" w:cs="Times New Roman"/>
        </w:rPr>
        <w:t xml:space="preserve"> z</w:t>
      </w:r>
      <w:r w:rsidR="00CC443D">
        <w:rPr>
          <w:rFonts w:ascii="Times New Roman" w:hAnsi="Times New Roman" w:cs="Times New Roman"/>
        </w:rPr>
        <w:t xml:space="preserve"> dobropisov vo výške 644 107,9 </w:t>
      </w:r>
      <w:r w:rsidRPr="005F2B06" w:rsidR="00A51CF0">
        <w:rPr>
          <w:rFonts w:ascii="Times New Roman" w:hAnsi="Times New Roman" w:cs="Times New Roman"/>
        </w:rPr>
        <w:t>Sk, z náhrad poistného plne</w:t>
      </w:r>
      <w:r w:rsidR="00CC443D">
        <w:rPr>
          <w:rFonts w:ascii="Times New Roman" w:hAnsi="Times New Roman" w:cs="Times New Roman"/>
        </w:rPr>
        <w:t>nia vo výške 283 215</w:t>
      </w:r>
      <w:r w:rsidR="009652EE">
        <w:rPr>
          <w:rFonts w:ascii="Times New Roman" w:hAnsi="Times New Roman" w:cs="Times New Roman"/>
        </w:rPr>
        <w:t xml:space="preserve">,- </w:t>
      </w:r>
      <w:r w:rsidRPr="005F2B06" w:rsidR="00A51CF0">
        <w:rPr>
          <w:rFonts w:ascii="Times New Roman" w:hAnsi="Times New Roman" w:cs="Times New Roman"/>
        </w:rPr>
        <w:t>Sk, príjmy za škody</w:t>
      </w:r>
      <w:r w:rsidR="00CC443D">
        <w:rPr>
          <w:rFonts w:ascii="Times New Roman" w:hAnsi="Times New Roman" w:cs="Times New Roman"/>
        </w:rPr>
        <w:t xml:space="preserve"> a trovy konania vo výške 83 382,4 </w:t>
      </w:r>
      <w:r w:rsidRPr="005F2B06" w:rsidR="00A51CF0">
        <w:rPr>
          <w:rFonts w:ascii="Times New Roman" w:hAnsi="Times New Roman" w:cs="Times New Roman"/>
        </w:rPr>
        <w:t>Sk. </w:t>
      </w:r>
      <w:r w:rsidRPr="00734D08">
        <w:rPr>
          <w:rFonts w:ascii="Times New Roman" w:hAnsi="Times New Roman" w:cs="Times New Roman"/>
          <w:b/>
        </w:rPr>
        <w:t xml:space="preserve"> </w:t>
      </w:r>
    </w:p>
    <w:p w:rsidR="00474AC2" w:rsidRPr="00474AC2" w:rsidP="00474AC2">
      <w:pPr>
        <w:pStyle w:val="Title"/>
        <w:spacing w:line="240" w:lineRule="auto"/>
        <w:ind w:firstLine="709"/>
        <w:jc w:val="both"/>
        <w:rPr>
          <w:rFonts w:ascii="Times New Roman" w:hAnsi="Times New Roman" w:cs="Times New Roman"/>
        </w:rPr>
      </w:pPr>
      <w:r w:rsidRPr="00474AC2">
        <w:rPr>
          <w:rFonts w:ascii="Times New Roman" w:hAnsi="Times New Roman" w:cs="Times New Roman"/>
        </w:rPr>
        <w:t>V celkovom plnení príjmov k 31.12.2007</w:t>
      </w:r>
      <w:r>
        <w:rPr>
          <w:rFonts w:ascii="Times New Roman" w:hAnsi="Times New Roman" w:cs="Times New Roman"/>
        </w:rPr>
        <w:t xml:space="preserve"> </w:t>
      </w:r>
      <w:r w:rsidRPr="00474AC2">
        <w:rPr>
          <w:rFonts w:ascii="Times New Roman" w:hAnsi="Times New Roman" w:cs="Times New Roman"/>
        </w:rPr>
        <w:t>sú zahrnuté príjmy p</w:t>
      </w:r>
      <w:r w:rsidRPr="00474AC2">
        <w:rPr>
          <w:rFonts w:ascii="Times New Roman" w:hAnsi="Times New Roman" w:cs="Times New Roman"/>
        </w:rPr>
        <w:t>odľa § 23 zákona č.  523/2004 Z. z. o rozpočtových pravidlách verejnej správy a o zmene a doplnení niektorých zákonov v znení neskorších predpisov v celkovej výške 858 388,50 Sk,  v tom podľa:</w:t>
      </w:r>
    </w:p>
    <w:p w:rsidR="00474AC2" w:rsidRPr="00474AC2" w:rsidP="00474AC2">
      <w:pPr>
        <w:pStyle w:val="Title"/>
        <w:numPr>
          <w:ilvl w:val="0"/>
          <w:numId w:val="4"/>
        </w:numPr>
        <w:tabs>
          <w:tab w:val="left" w:pos="360"/>
        </w:tabs>
        <w:adjustRightInd/>
        <w:spacing w:line="240" w:lineRule="auto"/>
        <w:jc w:val="both"/>
        <w:textAlignment w:val="auto"/>
        <w:rPr>
          <w:rFonts w:ascii="Times New Roman" w:hAnsi="Times New Roman" w:cs="Times New Roman"/>
        </w:rPr>
      </w:pPr>
      <w:r w:rsidR="009A5ED7">
        <w:rPr>
          <w:rFonts w:ascii="Times New Roman" w:hAnsi="Times New Roman" w:cs="Times New Roman"/>
        </w:rPr>
        <w:t xml:space="preserve">písm. a) – </w:t>
      </w:r>
      <w:r w:rsidRPr="00474AC2">
        <w:rPr>
          <w:rFonts w:ascii="Times New Roman" w:hAnsi="Times New Roman" w:cs="Times New Roman"/>
        </w:rPr>
        <w:t>prijaté od iných subjektov na základe darovacej zmlu</w:t>
      </w:r>
      <w:r w:rsidRPr="00474AC2">
        <w:rPr>
          <w:rFonts w:ascii="Times New Roman" w:hAnsi="Times New Roman" w:cs="Times New Roman"/>
        </w:rPr>
        <w:t>vy vo výške 536 669,50 Sk;</w:t>
      </w:r>
    </w:p>
    <w:p w:rsidR="00474AC2" w:rsidRPr="00474AC2" w:rsidP="00474AC2">
      <w:pPr>
        <w:pStyle w:val="Title"/>
        <w:numPr>
          <w:ilvl w:val="0"/>
          <w:numId w:val="4"/>
        </w:numPr>
        <w:tabs>
          <w:tab w:val="left" w:pos="360"/>
        </w:tabs>
        <w:adjustRightInd/>
        <w:spacing w:line="240" w:lineRule="auto"/>
        <w:jc w:val="both"/>
        <w:textAlignment w:val="auto"/>
        <w:rPr>
          <w:rFonts w:ascii="Times New Roman" w:hAnsi="Times New Roman" w:cs="Times New Roman"/>
        </w:rPr>
      </w:pPr>
      <w:r w:rsidRPr="00474AC2">
        <w:rPr>
          <w:rFonts w:ascii="Times New Roman" w:hAnsi="Times New Roman" w:cs="Times New Roman"/>
        </w:rPr>
        <w:t>písm. e) – prijaté z náhrad z poistného plnenia zo zmluvného alebo zákonného poistenia vo výške 283 215 ,- Sk;</w:t>
      </w:r>
    </w:p>
    <w:p w:rsidR="00474AC2" w:rsidRPr="00474AC2" w:rsidP="00474AC2">
      <w:pPr>
        <w:pStyle w:val="Title"/>
        <w:numPr>
          <w:ilvl w:val="0"/>
          <w:numId w:val="4"/>
        </w:numPr>
        <w:tabs>
          <w:tab w:val="left" w:pos="360"/>
        </w:tabs>
        <w:adjustRightInd/>
        <w:spacing w:line="240" w:lineRule="auto"/>
        <w:jc w:val="both"/>
        <w:textAlignment w:val="auto"/>
        <w:rPr>
          <w:rFonts w:ascii="Times New Roman" w:hAnsi="Times New Roman" w:cs="Times New Roman"/>
        </w:rPr>
      </w:pPr>
      <w:r w:rsidRPr="00474AC2">
        <w:rPr>
          <w:rFonts w:ascii="Times New Roman" w:hAnsi="Times New Roman" w:cs="Times New Roman"/>
        </w:rPr>
        <w:t>písm. f) – prijaté z úhrad stravy za vlastných zamestnancov vo výške 38 504,- Sk.</w:t>
      </w:r>
    </w:p>
    <w:p w:rsidR="00474AC2" w:rsidP="00C37E93">
      <w:pPr>
        <w:pStyle w:val="Title"/>
        <w:spacing w:line="240" w:lineRule="auto"/>
        <w:jc w:val="both"/>
        <w:rPr>
          <w:rFonts w:ascii="Times New Roman" w:hAnsi="Times New Roman" w:cs="Times New Roman"/>
        </w:rPr>
      </w:pPr>
    </w:p>
    <w:p w:rsidR="00474AC2" w:rsidP="00C37E93">
      <w:pPr>
        <w:pStyle w:val="Title"/>
        <w:spacing w:line="240" w:lineRule="auto"/>
        <w:jc w:val="both"/>
        <w:rPr>
          <w:rFonts w:ascii="Times New Roman" w:hAnsi="Times New Roman" w:cs="Times New Roman"/>
        </w:rPr>
      </w:pPr>
    </w:p>
    <w:p w:rsidR="00220668" w:rsidP="00C362EA">
      <w:pPr>
        <w:pStyle w:val="Heading4"/>
        <w:spacing w:line="240" w:lineRule="auto"/>
        <w:ind w:firstLine="709"/>
        <w:rPr>
          <w:rFonts w:ascii="Times New Roman" w:hAnsi="Times New Roman" w:cs="Times New Roman"/>
        </w:rPr>
      </w:pPr>
      <w:r w:rsidRPr="002B4710" w:rsidR="00D27E26">
        <w:rPr>
          <w:rFonts w:ascii="Times New Roman" w:hAnsi="Times New Roman" w:cs="Times New Roman"/>
          <w:b/>
          <w:sz w:val="28"/>
          <w:szCs w:val="28"/>
          <w:u w:val="single"/>
        </w:rPr>
        <w:t>Štátna plavebná správa</w:t>
      </w:r>
      <w:r w:rsidRPr="00D23807" w:rsidR="00D27E26">
        <w:rPr>
          <w:rFonts w:ascii="Times New Roman" w:hAnsi="Times New Roman" w:cs="Times New Roman"/>
          <w:b/>
        </w:rPr>
        <w:t xml:space="preserve"> </w:t>
      </w:r>
      <w:r w:rsidRPr="00D23807" w:rsidR="00D27E26">
        <w:rPr>
          <w:rFonts w:ascii="Times New Roman" w:hAnsi="Times New Roman" w:cs="Times New Roman"/>
        </w:rPr>
        <w:t>mala sta</w:t>
      </w:r>
      <w:r w:rsidR="005B113B">
        <w:rPr>
          <w:rFonts w:ascii="Times New Roman" w:hAnsi="Times New Roman" w:cs="Times New Roman"/>
        </w:rPr>
        <w:t>novený pl</w:t>
      </w:r>
      <w:r w:rsidR="007A71E3">
        <w:rPr>
          <w:rFonts w:ascii="Times New Roman" w:hAnsi="Times New Roman" w:cs="Times New Roman"/>
        </w:rPr>
        <w:t xml:space="preserve">án príjmov vo výške </w:t>
      </w:r>
      <w:r w:rsidRPr="00AD326E" w:rsidR="007A71E3">
        <w:rPr>
          <w:rFonts w:ascii="Times New Roman" w:hAnsi="Times New Roman" w:cs="Times New Roman"/>
        </w:rPr>
        <w:t xml:space="preserve">30 000 000,- </w:t>
      </w:r>
      <w:r w:rsidRPr="00AD326E" w:rsidR="00D27E26">
        <w:rPr>
          <w:rFonts w:ascii="Times New Roman" w:hAnsi="Times New Roman" w:cs="Times New Roman"/>
        </w:rPr>
        <w:t>Sk</w:t>
      </w:r>
      <w:r w:rsidRPr="00AD326E">
        <w:rPr>
          <w:rFonts w:ascii="Times New Roman" w:hAnsi="Times New Roman" w:cs="Times New Roman"/>
        </w:rPr>
        <w:t>.</w:t>
      </w:r>
      <w:r>
        <w:rPr>
          <w:rFonts w:ascii="Times New Roman" w:hAnsi="Times New Roman" w:cs="Times New Roman"/>
        </w:rPr>
        <w:t xml:space="preserve"> Skutočné príjmy organizácia </w:t>
      </w:r>
      <w:r w:rsidRPr="00D23807" w:rsidR="00D27E26">
        <w:rPr>
          <w:rFonts w:ascii="Times New Roman" w:hAnsi="Times New Roman" w:cs="Times New Roman"/>
        </w:rPr>
        <w:t>dosiah</w:t>
      </w:r>
      <w:r>
        <w:rPr>
          <w:rFonts w:ascii="Times New Roman" w:hAnsi="Times New Roman" w:cs="Times New Roman"/>
        </w:rPr>
        <w:t xml:space="preserve">la </w:t>
      </w:r>
      <w:r w:rsidRPr="00D23807" w:rsidR="00D27E26">
        <w:rPr>
          <w:rFonts w:ascii="Times New Roman" w:hAnsi="Times New Roman" w:cs="Times New Roman"/>
        </w:rPr>
        <w:t xml:space="preserve">vo výške </w:t>
      </w:r>
      <w:r w:rsidR="00402D4E">
        <w:rPr>
          <w:rFonts w:ascii="Times New Roman" w:hAnsi="Times New Roman" w:cs="Times New Roman"/>
        </w:rPr>
        <w:t>72 530 914,50</w:t>
      </w:r>
      <w:r w:rsidRPr="002C7E22" w:rsidR="007A71E3">
        <w:rPr>
          <w:rFonts w:ascii="Times New Roman" w:hAnsi="Times New Roman" w:cs="Times New Roman"/>
        </w:rPr>
        <w:t xml:space="preserve"> S</w:t>
      </w:r>
      <w:r w:rsidRPr="002C7E22" w:rsidR="00D27E26">
        <w:rPr>
          <w:rFonts w:ascii="Times New Roman" w:hAnsi="Times New Roman" w:cs="Times New Roman"/>
        </w:rPr>
        <w:t>k</w:t>
      </w:r>
      <w:r w:rsidRPr="002C7E22" w:rsidR="00BA6D23">
        <w:rPr>
          <w:rFonts w:ascii="Times New Roman" w:hAnsi="Times New Roman" w:cs="Times New Roman"/>
        </w:rPr>
        <w:t>, čo v</w:t>
      </w:r>
      <w:r w:rsidR="00BA6D23">
        <w:rPr>
          <w:rFonts w:ascii="Times New Roman" w:hAnsi="Times New Roman" w:cs="Times New Roman"/>
        </w:rPr>
        <w:t xml:space="preserve"> percentuálnom </w:t>
      </w:r>
      <w:r w:rsidR="00402D4E">
        <w:rPr>
          <w:rFonts w:ascii="Times New Roman" w:hAnsi="Times New Roman" w:cs="Times New Roman"/>
        </w:rPr>
        <w:t>vyjadrení predstavuje 2</w:t>
      </w:r>
      <w:r>
        <w:rPr>
          <w:rFonts w:ascii="Times New Roman" w:hAnsi="Times New Roman" w:cs="Times New Roman"/>
        </w:rPr>
        <w:t>4</w:t>
      </w:r>
      <w:r w:rsidR="00402D4E">
        <w:rPr>
          <w:rFonts w:ascii="Times New Roman" w:hAnsi="Times New Roman" w:cs="Times New Roman"/>
        </w:rPr>
        <w:t>2</w:t>
      </w:r>
      <w:r w:rsidRPr="005F2B06" w:rsidR="005B113B">
        <w:rPr>
          <w:rFonts w:ascii="Times New Roman" w:hAnsi="Times New Roman" w:cs="Times New Roman"/>
        </w:rPr>
        <w:t xml:space="preserve"> %.</w:t>
      </w:r>
    </w:p>
    <w:p w:rsidR="005F1541" w:rsidRPr="006B608C" w:rsidP="00C362EA">
      <w:pPr>
        <w:pStyle w:val="Heading4"/>
        <w:spacing w:line="240" w:lineRule="auto"/>
        <w:ind w:firstLine="360"/>
        <w:rPr>
          <w:rFonts w:ascii="Times New Roman" w:hAnsi="Times New Roman" w:cs="Times New Roman"/>
        </w:rPr>
      </w:pPr>
      <w:r w:rsidRPr="005F2B06" w:rsidR="005B113B">
        <w:rPr>
          <w:rFonts w:ascii="Times New Roman" w:hAnsi="Times New Roman" w:cs="Times New Roman"/>
        </w:rPr>
        <w:t xml:space="preserve"> </w:t>
      </w:r>
    </w:p>
    <w:p w:rsidR="00670E1B" w:rsidRPr="00540BF8" w:rsidP="00670E1B">
      <w:pPr>
        <w:spacing w:line="240" w:lineRule="auto"/>
        <w:ind w:firstLine="708"/>
        <w:jc w:val="center"/>
        <w:rPr>
          <w:rFonts w:ascii="Times New Roman" w:hAnsi="Times New Roman" w:cs="Times New Roman"/>
          <w:b/>
          <w:sz w:val="24"/>
          <w:szCs w:val="24"/>
        </w:rPr>
      </w:pPr>
      <w:r>
        <w:rPr>
          <w:rFonts w:ascii="Times New Roman" w:hAnsi="Times New Roman" w:cs="Times New Roman"/>
          <w:b/>
          <w:sz w:val="24"/>
          <w:szCs w:val="24"/>
        </w:rPr>
        <w:t>Skutočné príjmy Štátnej plavebnej správy za rok 2007</w:t>
      </w:r>
    </w:p>
    <w:p w:rsidR="00E268CE" w:rsidP="00C362EA">
      <w:pPr>
        <w:spacing w:line="240" w:lineRule="auto"/>
        <w:ind w:left="360"/>
        <w:rPr>
          <w:rFonts w:ascii="Times New Roman" w:hAnsi="Times New Roman" w:cs="Times New Roman"/>
        </w:rPr>
      </w:pPr>
    </w:p>
    <w:tbl>
      <w:tblPr>
        <w:tblW w:w="90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
      <w:tblGrid>
        <w:gridCol w:w="1128"/>
        <w:gridCol w:w="6400"/>
        <w:gridCol w:w="1492"/>
      </w:tblGrid>
      <w:tr>
        <w:tblPrEx>
          <w:tblW w:w="90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84"/>
        </w:trPr>
        <w:tc>
          <w:tcPr>
            <w:tcW w:w="1128" w:type="dxa"/>
            <w:tcBorders>
              <w:top w:val="single" w:sz="4" w:space="0" w:color="auto"/>
              <w:left w:val="single" w:sz="4" w:space="0" w:color="auto"/>
              <w:bottom w:val="single" w:sz="4" w:space="0" w:color="auto"/>
              <w:right w:val="single" w:sz="4" w:space="0" w:color="auto"/>
              <w:tl2br w:val="nil"/>
              <w:tr2bl w:val="nil"/>
            </w:tcBorders>
            <w:shd w:val="clear" w:color="auto" w:fill="C0C0C0"/>
            <w:noWrap/>
            <w:textDirection w:val="lrTb"/>
            <w:vAlign w:val="center"/>
          </w:tcPr>
          <w:p w:rsidR="00E268CE" w:rsidRPr="00B7501C" w:rsidP="00C362EA">
            <w:pPr>
              <w:spacing w:line="240" w:lineRule="auto"/>
              <w:jc w:val="center"/>
              <w:rPr>
                <w:rFonts w:ascii="Arial Narrow" w:hAnsi="Arial Narrow" w:cs="Times New Roman"/>
                <w:b/>
                <w:sz w:val="24"/>
                <w:szCs w:val="24"/>
                <w:highlight w:val="lightGray"/>
              </w:rPr>
            </w:pPr>
            <w:r w:rsidRPr="00B7501C">
              <w:rPr>
                <w:rFonts w:ascii="Arial Narrow" w:hAnsi="Arial Narrow" w:cs="Times New Roman"/>
                <w:b/>
                <w:sz w:val="24"/>
                <w:szCs w:val="24"/>
                <w:highlight w:val="lightGray"/>
              </w:rPr>
              <w:t>Položka</w:t>
            </w:r>
          </w:p>
        </w:tc>
        <w:tc>
          <w:tcPr>
            <w:tcW w:w="6400" w:type="dxa"/>
            <w:tcBorders>
              <w:top w:val="single" w:sz="4" w:space="0" w:color="auto"/>
              <w:left w:val="single" w:sz="4" w:space="0" w:color="auto"/>
              <w:bottom w:val="single" w:sz="4" w:space="0" w:color="auto"/>
              <w:right w:val="single" w:sz="4" w:space="0" w:color="auto"/>
              <w:tl2br w:val="nil"/>
              <w:tr2bl w:val="nil"/>
            </w:tcBorders>
            <w:shd w:val="clear" w:color="auto" w:fill="C0C0C0"/>
            <w:noWrap/>
            <w:textDirection w:val="lrTb"/>
            <w:vAlign w:val="center"/>
          </w:tcPr>
          <w:p w:rsidR="00E268CE" w:rsidRPr="00B7501C" w:rsidP="00C362EA">
            <w:pPr>
              <w:spacing w:line="240" w:lineRule="auto"/>
              <w:jc w:val="center"/>
              <w:rPr>
                <w:rFonts w:ascii="Arial Narrow" w:hAnsi="Arial Narrow" w:cs="Times New Roman"/>
                <w:b/>
                <w:sz w:val="24"/>
                <w:szCs w:val="24"/>
                <w:highlight w:val="lightGray"/>
              </w:rPr>
            </w:pPr>
            <w:r w:rsidRPr="00B7501C">
              <w:rPr>
                <w:rFonts w:ascii="Arial Narrow" w:hAnsi="Arial Narrow" w:cs="Times New Roman"/>
                <w:b/>
                <w:sz w:val="24"/>
                <w:szCs w:val="24"/>
                <w:highlight w:val="lightGray"/>
              </w:rPr>
              <w:t>Názov</w:t>
            </w:r>
          </w:p>
        </w:tc>
        <w:tc>
          <w:tcPr>
            <w:tcW w:w="1492" w:type="dxa"/>
            <w:tcBorders>
              <w:top w:val="single" w:sz="4" w:space="0" w:color="auto"/>
              <w:left w:val="single" w:sz="4" w:space="0" w:color="auto"/>
              <w:bottom w:val="single" w:sz="4" w:space="0" w:color="auto"/>
              <w:right w:val="single" w:sz="4" w:space="0" w:color="auto"/>
              <w:tl2br w:val="nil"/>
              <w:tr2bl w:val="nil"/>
            </w:tcBorders>
            <w:shd w:val="clear" w:color="auto" w:fill="C0C0C0"/>
            <w:noWrap/>
            <w:textDirection w:val="lrTb"/>
            <w:vAlign w:val="center"/>
          </w:tcPr>
          <w:p w:rsidR="00E268CE" w:rsidRPr="00B7501C" w:rsidP="00C362EA">
            <w:pPr>
              <w:spacing w:line="240" w:lineRule="auto"/>
              <w:jc w:val="right"/>
              <w:rPr>
                <w:rFonts w:ascii="Arial Narrow" w:hAnsi="Arial Narrow" w:cs="Times New Roman"/>
                <w:b/>
                <w:sz w:val="24"/>
                <w:szCs w:val="24"/>
                <w:highlight w:val="lightGray"/>
              </w:rPr>
            </w:pPr>
            <w:r w:rsidRPr="00B7501C">
              <w:rPr>
                <w:rFonts w:ascii="Arial Narrow" w:hAnsi="Arial Narrow" w:cs="Times New Roman"/>
                <w:b/>
                <w:sz w:val="24"/>
                <w:szCs w:val="24"/>
                <w:highlight w:val="lightGray"/>
              </w:rPr>
              <w:t>Suma v</w:t>
            </w:r>
            <w:r w:rsidR="005F2B06">
              <w:rPr>
                <w:rFonts w:ascii="Arial Narrow" w:hAnsi="Arial Narrow" w:cs="Times New Roman"/>
                <w:b/>
                <w:sz w:val="24"/>
                <w:szCs w:val="24"/>
                <w:highlight w:val="lightGray"/>
              </w:rPr>
              <w:t> </w:t>
            </w:r>
            <w:r w:rsidRPr="00B7501C">
              <w:rPr>
                <w:rFonts w:ascii="Arial Narrow" w:hAnsi="Arial Narrow" w:cs="Times New Roman"/>
                <w:b/>
                <w:sz w:val="24"/>
                <w:szCs w:val="24"/>
                <w:highlight w:val="lightGray"/>
              </w:rPr>
              <w:t>Sk</w:t>
            </w:r>
          </w:p>
        </w:tc>
      </w:tr>
      <w:tr>
        <w:tblPrEx>
          <w:tblW w:w="9020" w:type="dxa"/>
          <w:tblInd w:w="70" w:type="dxa"/>
          <w:tblCellMar>
            <w:left w:w="70" w:type="dxa"/>
            <w:right w:w="70" w:type="dxa"/>
          </w:tblCellMar>
        </w:tblPrEx>
        <w:trPr>
          <w:trHeight w:val="284"/>
        </w:trPr>
        <w:tc>
          <w:tcPr>
            <w:tcW w:w="1128"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E268CE" w:rsidRPr="008D00EA" w:rsidP="00C362EA">
            <w:pPr>
              <w:spacing w:line="240" w:lineRule="auto"/>
              <w:jc w:val="center"/>
              <w:rPr>
                <w:rFonts w:ascii="Arial Narrow" w:hAnsi="Arial Narrow" w:cs="Times New Roman"/>
                <w:bCs/>
                <w:sz w:val="22"/>
                <w:szCs w:val="22"/>
              </w:rPr>
            </w:pPr>
            <w:r w:rsidRPr="008D00EA">
              <w:rPr>
                <w:rFonts w:ascii="Arial Narrow" w:hAnsi="Arial Narrow" w:cs="Times New Roman"/>
                <w:bCs/>
                <w:sz w:val="22"/>
                <w:szCs w:val="22"/>
              </w:rPr>
              <w:t>212 002</w:t>
            </w:r>
          </w:p>
        </w:tc>
        <w:tc>
          <w:tcPr>
            <w:tcW w:w="640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E268CE" w:rsidRPr="008D00EA" w:rsidP="00C362EA">
            <w:pPr>
              <w:spacing w:line="240" w:lineRule="auto"/>
              <w:rPr>
                <w:rFonts w:ascii="Arial Narrow" w:hAnsi="Arial Narrow" w:cs="Times New Roman"/>
                <w:bCs/>
                <w:sz w:val="22"/>
                <w:szCs w:val="22"/>
              </w:rPr>
            </w:pPr>
            <w:r w:rsidRPr="008D00EA">
              <w:rPr>
                <w:rFonts w:ascii="Arial Narrow" w:hAnsi="Arial Narrow" w:cs="Times New Roman"/>
                <w:bCs/>
                <w:sz w:val="22"/>
                <w:szCs w:val="22"/>
              </w:rPr>
              <w:t>Z prenajatých pozemkov</w:t>
            </w:r>
          </w:p>
        </w:tc>
        <w:tc>
          <w:tcPr>
            <w:tcW w:w="1492"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E268CE" w:rsidRPr="00B7501C" w:rsidP="00C362EA">
            <w:pPr>
              <w:spacing w:line="240" w:lineRule="auto"/>
              <w:jc w:val="right"/>
              <w:rPr>
                <w:rFonts w:ascii="Arial Narrow" w:hAnsi="Arial Narrow" w:cs="Times New Roman"/>
                <w:bCs/>
                <w:sz w:val="22"/>
                <w:szCs w:val="22"/>
              </w:rPr>
            </w:pPr>
            <w:r w:rsidR="00402D4E">
              <w:rPr>
                <w:rFonts w:ascii="Arial Narrow" w:hAnsi="Arial Narrow" w:cs="Times New Roman"/>
                <w:bCs/>
                <w:sz w:val="22"/>
                <w:szCs w:val="22"/>
              </w:rPr>
              <w:t>33 346 429</w:t>
            </w:r>
            <w:r w:rsidR="0017566E">
              <w:rPr>
                <w:rFonts w:ascii="Arial Narrow" w:hAnsi="Arial Narrow" w:cs="Times New Roman"/>
                <w:bCs/>
                <w:sz w:val="22"/>
                <w:szCs w:val="22"/>
              </w:rPr>
              <w:t>,</w:t>
            </w:r>
            <w:r w:rsidR="00402D4E">
              <w:rPr>
                <w:rFonts w:ascii="Arial Narrow" w:hAnsi="Arial Narrow" w:cs="Times New Roman"/>
                <w:bCs/>
                <w:sz w:val="22"/>
                <w:szCs w:val="22"/>
              </w:rPr>
              <w:t>65</w:t>
            </w:r>
          </w:p>
        </w:tc>
      </w:tr>
      <w:tr>
        <w:tblPrEx>
          <w:tblW w:w="9020" w:type="dxa"/>
          <w:tblInd w:w="70" w:type="dxa"/>
          <w:tblCellMar>
            <w:left w:w="70" w:type="dxa"/>
            <w:right w:w="70" w:type="dxa"/>
          </w:tblCellMar>
        </w:tblPrEx>
        <w:trPr>
          <w:trHeight w:val="284"/>
        </w:trPr>
        <w:tc>
          <w:tcPr>
            <w:tcW w:w="1128"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E268CE" w:rsidRPr="008D00EA" w:rsidP="00C362EA">
            <w:pPr>
              <w:spacing w:line="240" w:lineRule="auto"/>
              <w:jc w:val="center"/>
              <w:rPr>
                <w:rFonts w:ascii="Arial Narrow" w:hAnsi="Arial Narrow" w:cs="Times New Roman"/>
                <w:bCs/>
                <w:sz w:val="22"/>
                <w:szCs w:val="22"/>
              </w:rPr>
            </w:pPr>
            <w:r w:rsidRPr="008D00EA">
              <w:rPr>
                <w:rFonts w:ascii="Arial Narrow" w:hAnsi="Arial Narrow" w:cs="Times New Roman"/>
                <w:bCs/>
                <w:sz w:val="22"/>
                <w:szCs w:val="22"/>
              </w:rPr>
              <w:t>212 003</w:t>
            </w:r>
          </w:p>
        </w:tc>
        <w:tc>
          <w:tcPr>
            <w:tcW w:w="640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E268CE" w:rsidRPr="008D00EA" w:rsidP="00C362EA">
            <w:pPr>
              <w:spacing w:line="240" w:lineRule="auto"/>
              <w:rPr>
                <w:rFonts w:ascii="Arial Narrow" w:hAnsi="Arial Narrow" w:cs="Times New Roman"/>
                <w:bCs/>
                <w:sz w:val="22"/>
                <w:szCs w:val="22"/>
              </w:rPr>
            </w:pPr>
            <w:r w:rsidRPr="008D00EA">
              <w:rPr>
                <w:rFonts w:ascii="Arial Narrow" w:hAnsi="Arial Narrow" w:cs="Times New Roman"/>
                <w:bCs/>
                <w:sz w:val="22"/>
                <w:szCs w:val="22"/>
              </w:rPr>
              <w:t>Z prenaj</w:t>
            </w:r>
            <w:r w:rsidRPr="008D00EA">
              <w:rPr>
                <w:rFonts w:ascii="Arial Narrow" w:hAnsi="Arial Narrow" w:cs="Times New Roman"/>
                <w:bCs/>
                <w:sz w:val="22"/>
                <w:szCs w:val="22"/>
              </w:rPr>
              <w:t>atých budov, priestorov a</w:t>
            </w:r>
            <w:r w:rsidR="00A97E21">
              <w:rPr>
                <w:rFonts w:ascii="Arial Narrow" w:hAnsi="Arial Narrow" w:cs="Times New Roman"/>
                <w:bCs/>
                <w:sz w:val="22"/>
                <w:szCs w:val="22"/>
              </w:rPr>
              <w:t> </w:t>
            </w:r>
            <w:r w:rsidRPr="008D00EA">
              <w:rPr>
                <w:rFonts w:ascii="Arial Narrow" w:hAnsi="Arial Narrow" w:cs="Times New Roman"/>
                <w:bCs/>
                <w:sz w:val="22"/>
                <w:szCs w:val="22"/>
              </w:rPr>
              <w:t>objektov</w:t>
            </w:r>
          </w:p>
        </w:tc>
        <w:tc>
          <w:tcPr>
            <w:tcW w:w="1492"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E268CE" w:rsidRPr="00B7501C" w:rsidP="00C362EA">
            <w:pPr>
              <w:spacing w:line="240" w:lineRule="auto"/>
              <w:jc w:val="right"/>
              <w:rPr>
                <w:rFonts w:ascii="Arial Narrow" w:hAnsi="Arial Narrow" w:cs="Times New Roman"/>
                <w:bCs/>
                <w:sz w:val="22"/>
                <w:szCs w:val="22"/>
              </w:rPr>
            </w:pPr>
            <w:r w:rsidR="00402D4E">
              <w:rPr>
                <w:rFonts w:ascii="Arial Narrow" w:hAnsi="Arial Narrow" w:cs="Times New Roman"/>
                <w:bCs/>
                <w:sz w:val="22"/>
                <w:szCs w:val="22"/>
              </w:rPr>
              <w:t>3 071 800,9</w:t>
            </w:r>
            <w:r w:rsidRPr="00B7501C">
              <w:rPr>
                <w:rFonts w:ascii="Arial Narrow" w:hAnsi="Arial Narrow" w:cs="Times New Roman"/>
                <w:bCs/>
                <w:sz w:val="22"/>
                <w:szCs w:val="22"/>
              </w:rPr>
              <w:t>0</w:t>
            </w:r>
          </w:p>
        </w:tc>
      </w:tr>
      <w:tr>
        <w:tblPrEx>
          <w:tblW w:w="9020" w:type="dxa"/>
          <w:tblInd w:w="70" w:type="dxa"/>
          <w:tblCellMar>
            <w:left w:w="70" w:type="dxa"/>
            <w:right w:w="70" w:type="dxa"/>
          </w:tblCellMar>
        </w:tblPrEx>
        <w:trPr>
          <w:trHeight w:val="284"/>
        </w:trPr>
        <w:tc>
          <w:tcPr>
            <w:tcW w:w="1128"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E268CE" w:rsidRPr="008D00EA" w:rsidP="00C362EA">
            <w:pPr>
              <w:spacing w:line="240" w:lineRule="auto"/>
              <w:rPr>
                <w:rFonts w:ascii="Arial Narrow" w:hAnsi="Arial Narrow" w:cs="Times New Roman"/>
                <w:bCs/>
                <w:sz w:val="22"/>
                <w:szCs w:val="22"/>
              </w:rPr>
            </w:pPr>
            <w:r w:rsidRPr="008D00EA">
              <w:rPr>
                <w:rFonts w:ascii="Arial Narrow" w:hAnsi="Arial Narrow" w:cs="Times New Roman"/>
                <w:bCs/>
                <w:sz w:val="22"/>
                <w:szCs w:val="22"/>
              </w:rPr>
              <w:t xml:space="preserve">  </w:t>
            </w:r>
            <w:r w:rsidRPr="008D00EA" w:rsidR="00CD7BD8">
              <w:rPr>
                <w:rFonts w:ascii="Arial Narrow" w:hAnsi="Arial Narrow" w:cs="Times New Roman"/>
                <w:bCs/>
                <w:sz w:val="22"/>
                <w:szCs w:val="22"/>
              </w:rPr>
              <w:t xml:space="preserve">  22</w:t>
            </w:r>
            <w:r w:rsidRPr="008D00EA" w:rsidR="008D00EA">
              <w:rPr>
                <w:rFonts w:ascii="Arial Narrow" w:hAnsi="Arial Narrow" w:cs="Times New Roman"/>
                <w:bCs/>
                <w:sz w:val="22"/>
                <w:szCs w:val="22"/>
              </w:rPr>
              <w:t>0</w:t>
            </w:r>
            <w:r w:rsidRPr="008D00EA">
              <w:rPr>
                <w:rFonts w:ascii="Arial Narrow" w:hAnsi="Arial Narrow" w:cs="Times New Roman"/>
                <w:bCs/>
                <w:sz w:val="22"/>
                <w:szCs w:val="22"/>
              </w:rPr>
              <w:t xml:space="preserve"> </w:t>
            </w:r>
          </w:p>
        </w:tc>
        <w:tc>
          <w:tcPr>
            <w:tcW w:w="640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E268CE" w:rsidRPr="008D00EA" w:rsidP="00C362EA">
            <w:pPr>
              <w:spacing w:line="240" w:lineRule="auto"/>
              <w:rPr>
                <w:rFonts w:ascii="Arial Narrow" w:hAnsi="Arial Narrow" w:cs="Times New Roman"/>
                <w:bCs/>
                <w:sz w:val="22"/>
                <w:szCs w:val="22"/>
              </w:rPr>
            </w:pPr>
            <w:r w:rsidRPr="008D00EA">
              <w:rPr>
                <w:rFonts w:ascii="Arial Narrow" w:hAnsi="Arial Narrow" w:cs="Times New Roman"/>
                <w:bCs/>
                <w:sz w:val="22"/>
                <w:szCs w:val="22"/>
              </w:rPr>
              <w:t>Administratívne a iné poplatky a platby (za predaj výrobkov, tovarov, a služieb, z nepriemyselného a náhodného predaja</w:t>
            </w:r>
            <w:r w:rsidRPr="008D00EA" w:rsidR="004836AF">
              <w:rPr>
                <w:rFonts w:ascii="Arial Narrow" w:hAnsi="Arial Narrow" w:cs="Times New Roman"/>
                <w:bCs/>
                <w:sz w:val="22"/>
                <w:szCs w:val="22"/>
              </w:rPr>
              <w:t xml:space="preserve">, pokuty a penále </w:t>
            </w:r>
            <w:r w:rsidRPr="008D00EA">
              <w:rPr>
                <w:rFonts w:ascii="Arial Narrow" w:hAnsi="Arial Narrow" w:cs="Times New Roman"/>
                <w:bCs/>
                <w:sz w:val="22"/>
                <w:szCs w:val="22"/>
              </w:rPr>
              <w:t>atď.)</w:t>
            </w:r>
          </w:p>
        </w:tc>
        <w:tc>
          <w:tcPr>
            <w:tcW w:w="1492"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E268CE" w:rsidRPr="00B7501C" w:rsidP="00C362EA">
            <w:pPr>
              <w:spacing w:line="240" w:lineRule="auto"/>
              <w:jc w:val="right"/>
              <w:rPr>
                <w:rFonts w:ascii="Arial Narrow" w:hAnsi="Arial Narrow" w:cs="Times New Roman"/>
                <w:bCs/>
                <w:sz w:val="22"/>
                <w:szCs w:val="22"/>
              </w:rPr>
            </w:pPr>
            <w:r w:rsidR="00402D4E">
              <w:rPr>
                <w:rFonts w:ascii="Arial Narrow" w:hAnsi="Arial Narrow" w:cs="Times New Roman"/>
                <w:bCs/>
                <w:sz w:val="22"/>
                <w:szCs w:val="22"/>
              </w:rPr>
              <w:t xml:space="preserve"> 35 929 758</w:t>
            </w:r>
            <w:r>
              <w:rPr>
                <w:rFonts w:ascii="Arial Narrow" w:hAnsi="Arial Narrow" w:cs="Times New Roman"/>
                <w:bCs/>
                <w:sz w:val="22"/>
                <w:szCs w:val="22"/>
              </w:rPr>
              <w:t>,</w:t>
            </w:r>
            <w:r w:rsidR="00402D4E">
              <w:rPr>
                <w:rFonts w:ascii="Arial Narrow" w:hAnsi="Arial Narrow" w:cs="Times New Roman"/>
                <w:bCs/>
                <w:sz w:val="22"/>
                <w:szCs w:val="22"/>
              </w:rPr>
              <w:t>75</w:t>
            </w:r>
          </w:p>
        </w:tc>
      </w:tr>
      <w:tr>
        <w:tblPrEx>
          <w:tblW w:w="9020" w:type="dxa"/>
          <w:tblInd w:w="70" w:type="dxa"/>
          <w:tblCellMar>
            <w:left w:w="70" w:type="dxa"/>
            <w:right w:w="70" w:type="dxa"/>
          </w:tblCellMar>
        </w:tblPrEx>
        <w:trPr>
          <w:trHeight w:val="284"/>
        </w:trPr>
        <w:tc>
          <w:tcPr>
            <w:tcW w:w="1128"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E268CE" w:rsidRPr="008D00EA" w:rsidP="00C362EA">
            <w:pPr>
              <w:spacing w:line="240" w:lineRule="auto"/>
              <w:rPr>
                <w:rFonts w:ascii="Arial Narrow" w:hAnsi="Arial Narrow" w:cs="Times New Roman"/>
                <w:bCs/>
                <w:sz w:val="22"/>
                <w:szCs w:val="22"/>
              </w:rPr>
            </w:pPr>
            <w:r w:rsidRPr="008D00EA" w:rsidR="00CD7BD8">
              <w:rPr>
                <w:rFonts w:ascii="Arial Narrow" w:hAnsi="Arial Narrow" w:cs="Times New Roman"/>
                <w:bCs/>
                <w:sz w:val="22"/>
                <w:szCs w:val="22"/>
              </w:rPr>
              <w:t xml:space="preserve">    29</w:t>
            </w:r>
            <w:r w:rsidRPr="008D00EA" w:rsidR="008D00EA">
              <w:rPr>
                <w:rFonts w:ascii="Arial Narrow" w:hAnsi="Arial Narrow" w:cs="Times New Roman"/>
                <w:bCs/>
                <w:sz w:val="22"/>
                <w:szCs w:val="22"/>
              </w:rPr>
              <w:t>0</w:t>
            </w:r>
            <w:r w:rsidRPr="008D00EA">
              <w:rPr>
                <w:rFonts w:ascii="Arial Narrow" w:hAnsi="Arial Narrow" w:cs="Times New Roman"/>
                <w:bCs/>
                <w:sz w:val="22"/>
                <w:szCs w:val="22"/>
              </w:rPr>
              <w:t xml:space="preserve"> </w:t>
            </w:r>
          </w:p>
        </w:tc>
        <w:tc>
          <w:tcPr>
            <w:tcW w:w="640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E268CE" w:rsidRPr="008D00EA" w:rsidP="00C362EA">
            <w:pPr>
              <w:spacing w:line="240" w:lineRule="auto"/>
              <w:rPr>
                <w:rFonts w:ascii="Arial Narrow" w:hAnsi="Arial Narrow" w:cs="Times New Roman"/>
                <w:bCs/>
                <w:sz w:val="22"/>
                <w:szCs w:val="22"/>
              </w:rPr>
            </w:pPr>
            <w:r w:rsidRPr="008D00EA">
              <w:rPr>
                <w:rFonts w:ascii="Arial Narrow" w:hAnsi="Arial Narrow" w:cs="Times New Roman"/>
                <w:bCs/>
                <w:sz w:val="22"/>
                <w:szCs w:val="22"/>
              </w:rPr>
              <w:t>Iné nedaňové príjmy (vratky, z</w:t>
            </w:r>
            <w:r w:rsidRPr="008D00EA" w:rsidR="005F1541">
              <w:rPr>
                <w:rFonts w:ascii="Arial Narrow" w:hAnsi="Arial Narrow" w:cs="Times New Roman"/>
                <w:bCs/>
                <w:sz w:val="22"/>
                <w:szCs w:val="22"/>
              </w:rPr>
              <w:t> </w:t>
            </w:r>
            <w:r w:rsidRPr="008D00EA">
              <w:rPr>
                <w:rFonts w:ascii="Arial Narrow" w:hAnsi="Arial Narrow" w:cs="Times New Roman"/>
                <w:bCs/>
                <w:sz w:val="22"/>
                <w:szCs w:val="22"/>
              </w:rPr>
              <w:t>náhrad z poistného plnenia)</w:t>
            </w:r>
          </w:p>
        </w:tc>
        <w:tc>
          <w:tcPr>
            <w:tcW w:w="1492"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E268CE" w:rsidRPr="00B7501C" w:rsidP="00C362EA">
            <w:pPr>
              <w:spacing w:line="240" w:lineRule="auto"/>
              <w:jc w:val="right"/>
              <w:rPr>
                <w:rFonts w:ascii="Arial Narrow" w:hAnsi="Arial Narrow" w:cs="Times New Roman"/>
                <w:bCs/>
                <w:sz w:val="22"/>
                <w:szCs w:val="22"/>
              </w:rPr>
            </w:pPr>
            <w:r w:rsidR="00402D4E">
              <w:rPr>
                <w:rFonts w:ascii="Arial Narrow" w:hAnsi="Arial Narrow" w:cs="Times New Roman"/>
                <w:bCs/>
                <w:sz w:val="22"/>
                <w:szCs w:val="22"/>
              </w:rPr>
              <w:t xml:space="preserve">     182 925,2</w:t>
            </w:r>
            <w:r w:rsidRPr="00B7501C">
              <w:rPr>
                <w:rFonts w:ascii="Arial Narrow" w:hAnsi="Arial Narrow" w:cs="Times New Roman"/>
                <w:bCs/>
                <w:sz w:val="22"/>
                <w:szCs w:val="22"/>
              </w:rPr>
              <w:t>0</w:t>
            </w:r>
          </w:p>
        </w:tc>
      </w:tr>
      <w:tr>
        <w:tblPrEx>
          <w:tblW w:w="9020" w:type="dxa"/>
          <w:tblInd w:w="70" w:type="dxa"/>
          <w:tblCellMar>
            <w:left w:w="70" w:type="dxa"/>
            <w:right w:w="70" w:type="dxa"/>
          </w:tblCellMar>
        </w:tblPrEx>
        <w:trPr>
          <w:trHeight w:val="284"/>
        </w:trPr>
        <w:tc>
          <w:tcPr>
            <w:tcW w:w="1128" w:type="dxa"/>
            <w:tcBorders>
              <w:top w:val="single" w:sz="4" w:space="0" w:color="auto"/>
              <w:left w:val="single" w:sz="4" w:space="0" w:color="auto"/>
              <w:bottom w:val="single" w:sz="4" w:space="0" w:color="auto"/>
              <w:right w:val="single" w:sz="4" w:space="0" w:color="auto"/>
              <w:tl2br w:val="nil"/>
              <w:tr2bl w:val="nil"/>
            </w:tcBorders>
            <w:shd w:val="clear" w:color="auto" w:fill="C0C0C0"/>
            <w:noWrap/>
            <w:textDirection w:val="lrTb"/>
            <w:vAlign w:val="center"/>
          </w:tcPr>
          <w:p w:rsidR="00E268CE" w:rsidRPr="00B7501C" w:rsidP="00C362EA">
            <w:pPr>
              <w:spacing w:line="240" w:lineRule="auto"/>
              <w:jc w:val="center"/>
              <w:rPr>
                <w:rFonts w:ascii="Arial Narrow" w:hAnsi="Arial Narrow" w:cs="Times New Roman"/>
                <w:b/>
                <w:bCs/>
                <w:sz w:val="22"/>
                <w:szCs w:val="22"/>
              </w:rPr>
            </w:pPr>
          </w:p>
        </w:tc>
        <w:tc>
          <w:tcPr>
            <w:tcW w:w="6400" w:type="dxa"/>
            <w:tcBorders>
              <w:top w:val="single" w:sz="4" w:space="0" w:color="auto"/>
              <w:left w:val="single" w:sz="4" w:space="0" w:color="auto"/>
              <w:bottom w:val="single" w:sz="4" w:space="0" w:color="auto"/>
              <w:right w:val="single" w:sz="4" w:space="0" w:color="auto"/>
              <w:tl2br w:val="nil"/>
              <w:tr2bl w:val="nil"/>
            </w:tcBorders>
            <w:shd w:val="clear" w:color="auto" w:fill="C0C0C0"/>
            <w:textDirection w:val="lrTb"/>
            <w:vAlign w:val="center"/>
          </w:tcPr>
          <w:p w:rsidR="00E268CE" w:rsidRPr="00B7501C" w:rsidP="00C362EA">
            <w:pPr>
              <w:spacing w:line="240" w:lineRule="auto"/>
              <w:rPr>
                <w:rFonts w:ascii="Arial Narrow" w:hAnsi="Arial Narrow" w:cs="Times New Roman"/>
                <w:b/>
                <w:bCs/>
                <w:sz w:val="22"/>
                <w:szCs w:val="22"/>
              </w:rPr>
            </w:pPr>
            <w:r>
              <w:rPr>
                <w:rFonts w:ascii="Arial Narrow" w:hAnsi="Arial Narrow" w:cs="Times New Roman"/>
                <w:b/>
                <w:bCs/>
                <w:sz w:val="22"/>
                <w:szCs w:val="22"/>
              </w:rPr>
              <w:t>P</w:t>
            </w:r>
            <w:r w:rsidR="00CD7BD8">
              <w:rPr>
                <w:rFonts w:ascii="Arial Narrow" w:hAnsi="Arial Narrow" w:cs="Times New Roman"/>
                <w:b/>
                <w:bCs/>
                <w:sz w:val="22"/>
                <w:szCs w:val="22"/>
              </w:rPr>
              <w:t>RÍJMY SPOLU</w:t>
            </w:r>
          </w:p>
        </w:tc>
        <w:tc>
          <w:tcPr>
            <w:tcW w:w="1492" w:type="dxa"/>
            <w:tcBorders>
              <w:top w:val="single" w:sz="4" w:space="0" w:color="auto"/>
              <w:left w:val="single" w:sz="4" w:space="0" w:color="auto"/>
              <w:bottom w:val="single" w:sz="4" w:space="0" w:color="auto"/>
              <w:right w:val="single" w:sz="4" w:space="0" w:color="auto"/>
              <w:tl2br w:val="nil"/>
              <w:tr2bl w:val="nil"/>
            </w:tcBorders>
            <w:shd w:val="clear" w:color="auto" w:fill="C0C0C0"/>
            <w:noWrap/>
            <w:textDirection w:val="lrTb"/>
            <w:vAlign w:val="center"/>
          </w:tcPr>
          <w:p w:rsidR="00E268CE" w:rsidRPr="00CD7BD8" w:rsidP="00C362EA">
            <w:pPr>
              <w:spacing w:line="240" w:lineRule="auto"/>
              <w:jc w:val="right"/>
              <w:rPr>
                <w:rFonts w:ascii="Arial Narrow" w:hAnsi="Arial Narrow" w:cs="Times New Roman"/>
                <w:b/>
                <w:bCs/>
                <w:sz w:val="22"/>
                <w:szCs w:val="22"/>
              </w:rPr>
            </w:pPr>
            <w:r w:rsidRPr="00CD7BD8">
              <w:rPr>
                <w:rFonts w:ascii="Arial Narrow" w:hAnsi="Arial Narrow" w:cs="Times New Roman"/>
                <w:b/>
                <w:bCs/>
                <w:sz w:val="22"/>
                <w:szCs w:val="22"/>
              </w:rPr>
              <w:t xml:space="preserve"> </w:t>
            </w:r>
            <w:r w:rsidR="00402D4E">
              <w:rPr>
                <w:rFonts w:ascii="Arial Narrow" w:hAnsi="Arial Narrow" w:cs="Times New Roman"/>
                <w:b/>
                <w:bCs/>
                <w:sz w:val="22"/>
                <w:szCs w:val="22"/>
              </w:rPr>
              <w:t xml:space="preserve">  72 530 914</w:t>
            </w:r>
            <w:r w:rsidR="00EE5A94">
              <w:rPr>
                <w:rFonts w:ascii="Arial Narrow" w:hAnsi="Arial Narrow" w:cs="Times New Roman"/>
                <w:b/>
                <w:bCs/>
                <w:sz w:val="22"/>
                <w:szCs w:val="22"/>
              </w:rPr>
              <w:t>,</w:t>
            </w:r>
            <w:r w:rsidR="00402D4E">
              <w:rPr>
                <w:rFonts w:ascii="Arial Narrow" w:hAnsi="Arial Narrow" w:cs="Times New Roman"/>
                <w:b/>
                <w:bCs/>
                <w:sz w:val="22"/>
                <w:szCs w:val="22"/>
              </w:rPr>
              <w:t>50</w:t>
            </w:r>
          </w:p>
        </w:tc>
      </w:tr>
    </w:tbl>
    <w:p w:rsidR="006B608C" w:rsidP="00C362EA">
      <w:pPr>
        <w:spacing w:line="240" w:lineRule="auto"/>
        <w:rPr>
          <w:rFonts w:ascii="Times New Roman" w:hAnsi="Times New Roman" w:cs="Times New Roman"/>
          <w:sz w:val="24"/>
        </w:rPr>
      </w:pPr>
    </w:p>
    <w:p w:rsidR="00C74920" w:rsidP="00C362EA">
      <w:pPr>
        <w:spacing w:line="240" w:lineRule="auto"/>
        <w:rPr>
          <w:rFonts w:ascii="Times New Roman" w:hAnsi="Times New Roman" w:cs="Times New Roman"/>
          <w:sz w:val="24"/>
        </w:rPr>
      </w:pPr>
    </w:p>
    <w:p w:rsidR="00407CD3" w:rsidP="00980676">
      <w:pPr>
        <w:spacing w:line="240" w:lineRule="auto"/>
        <w:ind w:firstLine="708"/>
        <w:rPr>
          <w:rFonts w:ascii="Times New Roman" w:hAnsi="Times New Roman" w:cs="Times New Roman"/>
          <w:sz w:val="24"/>
        </w:rPr>
      </w:pPr>
      <w:r w:rsidR="00B32E9E">
        <w:rPr>
          <w:rFonts w:ascii="Times New Roman" w:hAnsi="Times New Roman" w:cs="Times New Roman"/>
          <w:sz w:val="24"/>
        </w:rPr>
        <w:t>Najväčšiu časť príjmov Štátnej plavebnej správy tvorili príjmy z výberu administratív</w:t>
      </w:r>
      <w:r w:rsidR="00DD59D6">
        <w:rPr>
          <w:rFonts w:ascii="Times New Roman" w:hAnsi="Times New Roman" w:cs="Times New Roman"/>
          <w:sz w:val="24"/>
        </w:rPr>
        <w:t>-</w:t>
      </w:r>
      <w:r w:rsidR="00B32E9E">
        <w:rPr>
          <w:rFonts w:ascii="Times New Roman" w:hAnsi="Times New Roman" w:cs="Times New Roman"/>
          <w:sz w:val="24"/>
        </w:rPr>
        <w:t>nych poplatkov, najmä prístavných poplatkov vo výške 35 666 333,95 Sk</w:t>
      </w:r>
      <w:r w:rsidR="00DD59D6">
        <w:rPr>
          <w:rFonts w:ascii="Times New Roman" w:hAnsi="Times New Roman" w:cs="Times New Roman"/>
          <w:sz w:val="24"/>
        </w:rPr>
        <w:t xml:space="preserve"> (zvyšok tvorili pokut</w:t>
      </w:r>
      <w:r w:rsidR="00DD59D6">
        <w:rPr>
          <w:rFonts w:ascii="Times New Roman" w:hAnsi="Times New Roman" w:cs="Times New Roman"/>
          <w:sz w:val="24"/>
        </w:rPr>
        <w:t>y za porušenie predpisov, úroky z omeškania a pod.)</w:t>
      </w:r>
      <w:r w:rsidR="00B32E9E">
        <w:rPr>
          <w:rFonts w:ascii="Times New Roman" w:hAnsi="Times New Roman" w:cs="Times New Roman"/>
          <w:sz w:val="24"/>
        </w:rPr>
        <w:t>. Dr</w:t>
      </w:r>
      <w:r w:rsidR="00DD59D6">
        <w:rPr>
          <w:rFonts w:ascii="Times New Roman" w:hAnsi="Times New Roman" w:cs="Times New Roman"/>
          <w:sz w:val="24"/>
        </w:rPr>
        <w:t xml:space="preserve">uhý najvyšší podiel na príjmoch ŠPS </w:t>
      </w:r>
      <w:r w:rsidR="0006254A">
        <w:rPr>
          <w:rFonts w:ascii="Times New Roman" w:hAnsi="Times New Roman" w:cs="Times New Roman"/>
          <w:sz w:val="24"/>
        </w:rPr>
        <w:t xml:space="preserve">tvorili príjmy z prenajatých </w:t>
      </w:r>
      <w:r w:rsidR="00B32E9E">
        <w:rPr>
          <w:rFonts w:ascii="Times New Roman" w:hAnsi="Times New Roman" w:cs="Times New Roman"/>
          <w:sz w:val="24"/>
        </w:rPr>
        <w:t xml:space="preserve">pozemkov vo výške 33 346 429,65 </w:t>
      </w:r>
      <w:r w:rsidR="0006254A">
        <w:rPr>
          <w:rFonts w:ascii="Times New Roman" w:hAnsi="Times New Roman" w:cs="Times New Roman"/>
          <w:sz w:val="24"/>
        </w:rPr>
        <w:t xml:space="preserve">Sk. Z prenájmu budov príjmy </w:t>
      </w:r>
      <w:r w:rsidR="00B32E9E">
        <w:rPr>
          <w:rFonts w:ascii="Times New Roman" w:hAnsi="Times New Roman" w:cs="Times New Roman"/>
          <w:sz w:val="24"/>
        </w:rPr>
        <w:t>predstavovali 3 071 800,90</w:t>
      </w:r>
      <w:r w:rsidR="00DD59D6">
        <w:rPr>
          <w:rFonts w:ascii="Times New Roman" w:hAnsi="Times New Roman" w:cs="Times New Roman"/>
          <w:sz w:val="24"/>
        </w:rPr>
        <w:t xml:space="preserve"> </w:t>
      </w:r>
      <w:r w:rsidR="00B32E9E">
        <w:rPr>
          <w:rFonts w:ascii="Times New Roman" w:hAnsi="Times New Roman" w:cs="Times New Roman"/>
          <w:sz w:val="24"/>
        </w:rPr>
        <w:t xml:space="preserve">Sk. </w:t>
      </w:r>
      <w:r w:rsidR="0006254A">
        <w:rPr>
          <w:rFonts w:ascii="Times New Roman" w:hAnsi="Times New Roman" w:cs="Times New Roman"/>
          <w:sz w:val="24"/>
        </w:rPr>
        <w:t>Osta</w:t>
      </w:r>
      <w:r w:rsidR="00DD59D6">
        <w:rPr>
          <w:rFonts w:ascii="Times New Roman" w:hAnsi="Times New Roman" w:cs="Times New Roman"/>
          <w:sz w:val="24"/>
        </w:rPr>
        <w:t xml:space="preserve">tné príjmy dosiahli </w:t>
      </w:r>
      <w:r w:rsidR="00B32E9E">
        <w:rPr>
          <w:rFonts w:ascii="Times New Roman" w:hAnsi="Times New Roman" w:cs="Times New Roman"/>
          <w:sz w:val="24"/>
        </w:rPr>
        <w:t>182 925,2</w:t>
      </w:r>
      <w:r w:rsidR="0006254A">
        <w:rPr>
          <w:rFonts w:ascii="Times New Roman" w:hAnsi="Times New Roman" w:cs="Times New Roman"/>
          <w:sz w:val="24"/>
        </w:rPr>
        <w:t>0 Sk, z toho z náhrad p</w:t>
      </w:r>
      <w:r w:rsidR="00B32E9E">
        <w:rPr>
          <w:rFonts w:ascii="Times New Roman" w:hAnsi="Times New Roman" w:cs="Times New Roman"/>
          <w:sz w:val="24"/>
        </w:rPr>
        <w:t>oistného plnenia vo výške 131 817</w:t>
      </w:r>
      <w:r w:rsidR="0006254A">
        <w:rPr>
          <w:rFonts w:ascii="Times New Roman" w:hAnsi="Times New Roman" w:cs="Times New Roman"/>
          <w:sz w:val="24"/>
        </w:rPr>
        <w:t>,</w:t>
      </w:r>
      <w:r w:rsidR="00737A1F">
        <w:rPr>
          <w:rFonts w:ascii="Times New Roman" w:hAnsi="Times New Roman" w:cs="Times New Roman"/>
          <w:sz w:val="24"/>
        </w:rPr>
        <w:t>- Sk. Granty a t</w:t>
      </w:r>
      <w:r w:rsidR="008E3BD6">
        <w:rPr>
          <w:rFonts w:ascii="Times New Roman" w:hAnsi="Times New Roman" w:cs="Times New Roman"/>
          <w:sz w:val="24"/>
        </w:rPr>
        <w:t xml:space="preserve">ransfery ŠPS </w:t>
      </w:r>
      <w:r w:rsidR="00B32E9E">
        <w:rPr>
          <w:rFonts w:ascii="Times New Roman" w:hAnsi="Times New Roman" w:cs="Times New Roman"/>
          <w:sz w:val="24"/>
        </w:rPr>
        <w:t>v roku 2007</w:t>
      </w:r>
      <w:r w:rsidR="00737A1F">
        <w:rPr>
          <w:rFonts w:ascii="Times New Roman" w:hAnsi="Times New Roman" w:cs="Times New Roman"/>
          <w:sz w:val="24"/>
        </w:rPr>
        <w:t xml:space="preserve"> neprijala. </w:t>
      </w:r>
    </w:p>
    <w:p w:rsidR="00C74920" w:rsidP="00B27788">
      <w:pPr>
        <w:spacing w:line="240" w:lineRule="auto"/>
        <w:rPr>
          <w:rFonts w:ascii="Times New Roman" w:hAnsi="Times New Roman" w:cs="Times New Roman"/>
          <w:sz w:val="24"/>
        </w:rPr>
      </w:pPr>
    </w:p>
    <w:p w:rsidR="00B27788" w:rsidRPr="00407CD3" w:rsidP="00B27788">
      <w:pPr>
        <w:spacing w:line="240" w:lineRule="auto"/>
        <w:rPr>
          <w:rFonts w:ascii="Times New Roman" w:hAnsi="Times New Roman" w:cs="Times New Roman"/>
          <w:sz w:val="24"/>
        </w:rPr>
      </w:pPr>
    </w:p>
    <w:p w:rsidR="006B608C" w:rsidP="00DC6377">
      <w:pPr>
        <w:spacing w:line="240" w:lineRule="auto"/>
        <w:ind w:firstLine="708"/>
        <w:rPr>
          <w:rFonts w:ascii="Times New Roman" w:hAnsi="Times New Roman" w:cs="Times New Roman"/>
          <w:b/>
          <w:sz w:val="28"/>
          <w:szCs w:val="28"/>
          <w:u w:val="single"/>
        </w:rPr>
      </w:pPr>
      <w:r w:rsidRPr="006A6990" w:rsidR="00400BD8">
        <w:rPr>
          <w:rFonts w:ascii="Times New Roman" w:hAnsi="Times New Roman" w:cs="Times New Roman"/>
          <w:b/>
          <w:sz w:val="28"/>
          <w:szCs w:val="28"/>
          <w:u w:val="single"/>
        </w:rPr>
        <w:t>Úrad pre reg</w:t>
      </w:r>
      <w:r w:rsidRPr="006A6990" w:rsidR="00400BD8">
        <w:rPr>
          <w:rFonts w:ascii="Times New Roman" w:hAnsi="Times New Roman" w:cs="Times New Roman"/>
          <w:b/>
          <w:sz w:val="28"/>
          <w:szCs w:val="28"/>
          <w:u w:val="single"/>
        </w:rPr>
        <w:t>uláciu železničnej dopravy</w:t>
      </w:r>
    </w:p>
    <w:p w:rsidR="00407CD3" w:rsidRPr="00DC6377" w:rsidP="00DC6377">
      <w:pPr>
        <w:spacing w:line="240" w:lineRule="auto"/>
        <w:ind w:firstLine="708"/>
        <w:rPr>
          <w:rFonts w:ascii="Times New Roman" w:hAnsi="Times New Roman" w:cs="Times New Roman"/>
          <w:b/>
          <w:sz w:val="28"/>
          <w:szCs w:val="28"/>
          <w:u w:val="single"/>
        </w:rPr>
      </w:pPr>
    </w:p>
    <w:p w:rsidR="00F517E7" w:rsidRPr="00F517E7" w:rsidP="00C362EA">
      <w:pPr>
        <w:spacing w:line="240" w:lineRule="auto"/>
        <w:ind w:firstLine="708"/>
        <w:rPr>
          <w:rFonts w:ascii="Times New Roman" w:hAnsi="Times New Roman" w:cs="Times New Roman"/>
          <w:sz w:val="24"/>
          <w:szCs w:val="24"/>
        </w:rPr>
      </w:pPr>
      <w:r w:rsidR="00D93507">
        <w:rPr>
          <w:rFonts w:ascii="Times New Roman" w:hAnsi="Times New Roman" w:cs="Times New Roman"/>
          <w:sz w:val="24"/>
          <w:szCs w:val="24"/>
        </w:rPr>
        <w:t>Úrad pre reguláciu</w:t>
      </w:r>
      <w:r w:rsidR="00EC1438">
        <w:rPr>
          <w:rFonts w:ascii="Times New Roman" w:hAnsi="Times New Roman" w:cs="Times New Roman"/>
          <w:sz w:val="24"/>
          <w:szCs w:val="24"/>
        </w:rPr>
        <w:t xml:space="preserve"> železničnej dopravy v roku 2007</w:t>
      </w:r>
      <w:r w:rsidRPr="00F517E7">
        <w:rPr>
          <w:rFonts w:ascii="Times New Roman" w:hAnsi="Times New Roman" w:cs="Times New Roman"/>
          <w:sz w:val="24"/>
          <w:szCs w:val="24"/>
        </w:rPr>
        <w:t xml:space="preserve"> </w:t>
      </w:r>
      <w:r w:rsidR="00D93507">
        <w:rPr>
          <w:rFonts w:ascii="Times New Roman" w:hAnsi="Times New Roman" w:cs="Times New Roman"/>
          <w:sz w:val="24"/>
          <w:szCs w:val="24"/>
        </w:rPr>
        <w:t>príjmy rozpočtované nemal</w:t>
      </w:r>
      <w:r w:rsidRPr="00F517E7">
        <w:rPr>
          <w:rFonts w:ascii="Times New Roman" w:hAnsi="Times New Roman" w:cs="Times New Roman"/>
          <w:sz w:val="24"/>
          <w:szCs w:val="24"/>
        </w:rPr>
        <w:t xml:space="preserve">. Skutočné príjmy </w:t>
      </w:r>
      <w:r w:rsidR="00D93507">
        <w:rPr>
          <w:rFonts w:ascii="Times New Roman" w:hAnsi="Times New Roman" w:cs="Times New Roman"/>
          <w:sz w:val="24"/>
          <w:szCs w:val="24"/>
        </w:rPr>
        <w:t xml:space="preserve">však </w:t>
      </w:r>
      <w:r w:rsidRPr="00F517E7">
        <w:rPr>
          <w:rFonts w:ascii="Times New Roman" w:hAnsi="Times New Roman" w:cs="Times New Roman"/>
          <w:sz w:val="24"/>
          <w:szCs w:val="24"/>
        </w:rPr>
        <w:t xml:space="preserve">boli vo </w:t>
      </w:r>
      <w:r w:rsidR="00EC1438">
        <w:rPr>
          <w:rFonts w:ascii="Times New Roman" w:hAnsi="Times New Roman" w:cs="Times New Roman"/>
          <w:sz w:val="24"/>
          <w:szCs w:val="24"/>
        </w:rPr>
        <w:t xml:space="preserve">výške 2 660 430,84 </w:t>
      </w:r>
      <w:r w:rsidRPr="002C7E22">
        <w:rPr>
          <w:rFonts w:ascii="Times New Roman" w:hAnsi="Times New Roman" w:cs="Times New Roman"/>
          <w:sz w:val="24"/>
          <w:szCs w:val="24"/>
        </w:rPr>
        <w:t>Sk.  Najvyššiu</w:t>
      </w:r>
      <w:r>
        <w:rPr>
          <w:rFonts w:ascii="Times New Roman" w:hAnsi="Times New Roman" w:cs="Times New Roman"/>
          <w:sz w:val="24"/>
          <w:szCs w:val="24"/>
        </w:rPr>
        <w:t xml:space="preserve"> časť príjmov úrad dosiahol </w:t>
      </w:r>
      <w:r w:rsidRPr="00F517E7">
        <w:rPr>
          <w:rFonts w:ascii="Times New Roman" w:hAnsi="Times New Roman" w:cs="Times New Roman"/>
          <w:sz w:val="24"/>
          <w:szCs w:val="24"/>
        </w:rPr>
        <w:t xml:space="preserve">na podpoložke 222 003 </w:t>
      </w:r>
      <w:r>
        <w:rPr>
          <w:rFonts w:ascii="Times New Roman" w:hAnsi="Times New Roman" w:cs="Times New Roman"/>
          <w:sz w:val="24"/>
          <w:szCs w:val="24"/>
        </w:rPr>
        <w:t xml:space="preserve">– Príjmy </w:t>
      </w:r>
      <w:r w:rsidRPr="00F517E7">
        <w:rPr>
          <w:rFonts w:ascii="Times New Roman" w:hAnsi="Times New Roman" w:cs="Times New Roman"/>
          <w:sz w:val="24"/>
          <w:szCs w:val="24"/>
        </w:rPr>
        <w:t xml:space="preserve">za </w:t>
      </w:r>
      <w:r>
        <w:rPr>
          <w:rFonts w:ascii="Times New Roman" w:hAnsi="Times New Roman" w:cs="Times New Roman"/>
          <w:sz w:val="24"/>
          <w:szCs w:val="24"/>
        </w:rPr>
        <w:t xml:space="preserve">porušenie </w:t>
      </w:r>
      <w:r w:rsidRPr="00F517E7">
        <w:rPr>
          <w:rFonts w:ascii="Times New Roman" w:hAnsi="Times New Roman" w:cs="Times New Roman"/>
          <w:sz w:val="24"/>
          <w:szCs w:val="24"/>
        </w:rPr>
        <w:t>predpisov – rozh</w:t>
      </w:r>
      <w:r w:rsidRPr="00F517E7">
        <w:rPr>
          <w:rFonts w:ascii="Times New Roman" w:hAnsi="Times New Roman" w:cs="Times New Roman"/>
          <w:sz w:val="24"/>
          <w:szCs w:val="24"/>
        </w:rPr>
        <w:t>odnutia o pokute za porušenie</w:t>
      </w:r>
      <w:r w:rsidR="00094ACC">
        <w:rPr>
          <w:rFonts w:ascii="Times New Roman" w:hAnsi="Times New Roman" w:cs="Times New Roman"/>
          <w:sz w:val="24"/>
          <w:szCs w:val="24"/>
        </w:rPr>
        <w:t xml:space="preserve"> ustanovení zákona č. 50/1976 Z</w:t>
      </w:r>
      <w:r w:rsidRPr="00F517E7">
        <w:rPr>
          <w:rFonts w:ascii="Times New Roman" w:hAnsi="Times New Roman" w:cs="Times New Roman"/>
          <w:sz w:val="24"/>
          <w:szCs w:val="24"/>
        </w:rPr>
        <w:t>b. v znení neskorších predpisov (Stavebný  z</w:t>
      </w:r>
      <w:r w:rsidR="00EC1438">
        <w:rPr>
          <w:rFonts w:ascii="Times New Roman" w:hAnsi="Times New Roman" w:cs="Times New Roman"/>
          <w:sz w:val="24"/>
          <w:szCs w:val="24"/>
        </w:rPr>
        <w:t xml:space="preserve">ákon), vo výške 2 406 503,84 </w:t>
      </w:r>
      <w:r w:rsidR="00D93507">
        <w:rPr>
          <w:rFonts w:ascii="Times New Roman" w:hAnsi="Times New Roman" w:cs="Times New Roman"/>
          <w:sz w:val="24"/>
          <w:szCs w:val="24"/>
        </w:rPr>
        <w:t>Sk a na podpoložke 292 012 – Príjmy z</w:t>
      </w:r>
      <w:r w:rsidR="00EC1438">
        <w:rPr>
          <w:rFonts w:ascii="Times New Roman" w:hAnsi="Times New Roman" w:cs="Times New Roman"/>
          <w:sz w:val="24"/>
          <w:szCs w:val="24"/>
        </w:rPr>
        <w:t xml:space="preserve"> dobropisov vo výške 169 886,- </w:t>
      </w:r>
      <w:r w:rsidR="00D93507">
        <w:rPr>
          <w:rFonts w:ascii="Times New Roman" w:hAnsi="Times New Roman" w:cs="Times New Roman"/>
          <w:sz w:val="24"/>
          <w:szCs w:val="24"/>
        </w:rPr>
        <w:t>Sk.</w:t>
      </w:r>
      <w:r w:rsidR="004344F1">
        <w:rPr>
          <w:rFonts w:ascii="Times New Roman" w:hAnsi="Times New Roman" w:cs="Times New Roman"/>
          <w:sz w:val="24"/>
          <w:szCs w:val="24"/>
        </w:rPr>
        <w:t xml:space="preserve"> Zvyšok tvoria ostatné príjmy. </w:t>
      </w:r>
      <w:r w:rsidR="00D93507">
        <w:rPr>
          <w:rFonts w:ascii="Times New Roman" w:hAnsi="Times New Roman" w:cs="Times New Roman"/>
          <w:sz w:val="24"/>
          <w:szCs w:val="24"/>
        </w:rPr>
        <w:t xml:space="preserve">Vybrané správne poplatky boli priebežne mesačne bankovým prevodom zasielané na účet Daňového úradu Bratislava II. </w:t>
      </w:r>
    </w:p>
    <w:p w:rsidR="00C74920" w:rsidRPr="00C74920" w:rsidP="00C74920">
      <w:pPr>
        <w:rPr>
          <w:rFonts w:ascii="Times New Roman" w:hAnsi="Times New Roman" w:cs="Times New Roman"/>
        </w:rPr>
      </w:pPr>
    </w:p>
    <w:p w:rsidR="00BF23C0" w:rsidRPr="002C7E22" w:rsidP="00C362EA">
      <w:pPr>
        <w:pStyle w:val="Heading4"/>
        <w:spacing w:line="240" w:lineRule="auto"/>
        <w:ind w:firstLine="708"/>
        <w:rPr>
          <w:rFonts w:ascii="Times New Roman" w:hAnsi="Times New Roman" w:cs="Times New Roman"/>
        </w:rPr>
      </w:pPr>
      <w:r w:rsidRPr="000D6D47">
        <w:rPr>
          <w:rFonts w:ascii="Times New Roman" w:hAnsi="Times New Roman" w:cs="Times New Roman"/>
          <w:b/>
          <w:sz w:val="28"/>
          <w:szCs w:val="28"/>
          <w:u w:val="single"/>
        </w:rPr>
        <w:t>Technická ochrana a obnova železníc</w:t>
      </w:r>
      <w:r w:rsidRPr="00D23807">
        <w:rPr>
          <w:rFonts w:ascii="Times New Roman" w:hAnsi="Times New Roman" w:cs="Times New Roman"/>
          <w:b/>
        </w:rPr>
        <w:t xml:space="preserve"> </w:t>
      </w:r>
      <w:r w:rsidRPr="00D23807">
        <w:rPr>
          <w:rFonts w:ascii="Times New Roman" w:hAnsi="Times New Roman" w:cs="Times New Roman"/>
        </w:rPr>
        <w:t xml:space="preserve">mala </w:t>
      </w:r>
      <w:r w:rsidR="00407CD3">
        <w:rPr>
          <w:rFonts w:ascii="Times New Roman" w:hAnsi="Times New Roman" w:cs="Times New Roman"/>
        </w:rPr>
        <w:t xml:space="preserve">stanovený záväzný </w:t>
      </w:r>
      <w:r w:rsidRPr="005F2B06">
        <w:rPr>
          <w:rFonts w:ascii="Times New Roman" w:hAnsi="Times New Roman" w:cs="Times New Roman"/>
        </w:rPr>
        <w:t>ukazov</w:t>
      </w:r>
      <w:r>
        <w:rPr>
          <w:rFonts w:ascii="Times New Roman" w:hAnsi="Times New Roman" w:cs="Times New Roman"/>
        </w:rPr>
        <w:t xml:space="preserve">ateľ príjmov vo výške </w:t>
      </w:r>
      <w:r w:rsidRPr="00AD326E">
        <w:rPr>
          <w:rFonts w:ascii="Times New Roman" w:hAnsi="Times New Roman" w:cs="Times New Roman"/>
        </w:rPr>
        <w:t>15 000 000,- Sk</w:t>
      </w:r>
      <w:r w:rsidRPr="00AD326E" w:rsidR="004344F1">
        <w:rPr>
          <w:rFonts w:ascii="Times New Roman" w:hAnsi="Times New Roman" w:cs="Times New Roman"/>
        </w:rPr>
        <w:t>,</w:t>
      </w:r>
      <w:r w:rsidR="00CF0A7A">
        <w:rPr>
          <w:rFonts w:ascii="Times New Roman" w:hAnsi="Times New Roman" w:cs="Times New Roman"/>
        </w:rPr>
        <w:t xml:space="preserve"> skutočný výsledok za rok 2007 dosiah</w:t>
      </w:r>
      <w:r w:rsidRPr="005F2B06">
        <w:rPr>
          <w:rFonts w:ascii="Times New Roman" w:hAnsi="Times New Roman" w:cs="Times New Roman"/>
        </w:rPr>
        <w:t>l</w:t>
      </w:r>
      <w:r w:rsidR="00CF0A7A">
        <w:rPr>
          <w:rFonts w:ascii="Times New Roman" w:hAnsi="Times New Roman" w:cs="Times New Roman"/>
        </w:rPr>
        <w:t>a</w:t>
      </w:r>
      <w:r w:rsidRPr="005F2B06">
        <w:rPr>
          <w:rFonts w:ascii="Times New Roman" w:hAnsi="Times New Roman" w:cs="Times New Roman"/>
        </w:rPr>
        <w:t xml:space="preserve"> </w:t>
      </w:r>
      <w:r w:rsidR="00CF0A7A">
        <w:rPr>
          <w:rFonts w:ascii="Times New Roman" w:hAnsi="Times New Roman" w:cs="Times New Roman"/>
        </w:rPr>
        <w:t>vo výške 18 091 09</w:t>
      </w:r>
      <w:r w:rsidR="00CF0A7A">
        <w:rPr>
          <w:rFonts w:ascii="Times New Roman" w:hAnsi="Times New Roman" w:cs="Times New Roman"/>
        </w:rPr>
        <w:t>7,85 Sk</w:t>
      </w:r>
      <w:r w:rsidRPr="002C7E22" w:rsidR="004344F1">
        <w:rPr>
          <w:rFonts w:ascii="Times New Roman" w:hAnsi="Times New Roman" w:cs="Times New Roman"/>
        </w:rPr>
        <w:t xml:space="preserve">, čo </w:t>
      </w:r>
      <w:r w:rsidR="00CF0A7A">
        <w:rPr>
          <w:rFonts w:ascii="Times New Roman" w:hAnsi="Times New Roman" w:cs="Times New Roman"/>
        </w:rPr>
        <w:t xml:space="preserve">predstavuje 120 </w:t>
      </w:r>
      <w:r w:rsidRPr="002C7E22">
        <w:rPr>
          <w:rFonts w:ascii="Times New Roman" w:hAnsi="Times New Roman" w:cs="Times New Roman"/>
        </w:rPr>
        <w:t>%.</w:t>
      </w:r>
    </w:p>
    <w:p w:rsidR="00C74920" w:rsidRPr="00772866" w:rsidP="00C362EA">
      <w:pPr>
        <w:spacing w:line="240" w:lineRule="auto"/>
        <w:rPr>
          <w:rFonts w:ascii="Times New Roman" w:hAnsi="Times New Roman" w:cs="Times New Roman"/>
        </w:rPr>
      </w:pPr>
    </w:p>
    <w:p w:rsidR="00BF23C0" w:rsidRPr="00B27788" w:rsidP="00B27788">
      <w:pPr>
        <w:spacing w:line="240" w:lineRule="auto"/>
        <w:ind w:firstLine="708"/>
        <w:jc w:val="center"/>
        <w:rPr>
          <w:rFonts w:ascii="Times New Roman" w:hAnsi="Times New Roman" w:cs="Times New Roman"/>
          <w:b/>
          <w:sz w:val="24"/>
          <w:szCs w:val="24"/>
        </w:rPr>
      </w:pPr>
      <w:r w:rsidR="00670E1B">
        <w:rPr>
          <w:rFonts w:ascii="Times New Roman" w:hAnsi="Times New Roman" w:cs="Times New Roman"/>
          <w:b/>
          <w:sz w:val="24"/>
          <w:szCs w:val="24"/>
        </w:rPr>
        <w:t>Skutočné príjmy Technickej ochrany a obnovy železníc za rok 2007</w:t>
      </w:r>
    </w:p>
    <w:p w:rsidR="00C74920" w:rsidP="00C362EA">
      <w:pPr>
        <w:spacing w:line="240" w:lineRule="auto"/>
        <w:ind w:left="360"/>
        <w:rPr>
          <w:rFonts w:ascii="Times New Roman" w:hAnsi="Times New Roman" w:cs="Times New Roman"/>
        </w:rPr>
      </w:pPr>
    </w:p>
    <w:tbl>
      <w:tblPr>
        <w:tblW w:w="90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
      <w:tblGrid>
        <w:gridCol w:w="1128"/>
        <w:gridCol w:w="6400"/>
        <w:gridCol w:w="1492"/>
      </w:tblGrid>
      <w:tr>
        <w:tblPrEx>
          <w:tblW w:w="90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84"/>
        </w:trPr>
        <w:tc>
          <w:tcPr>
            <w:tcW w:w="1128" w:type="dxa"/>
            <w:tcBorders>
              <w:top w:val="single" w:sz="4" w:space="0" w:color="auto"/>
              <w:left w:val="single" w:sz="4" w:space="0" w:color="auto"/>
              <w:bottom w:val="single" w:sz="4" w:space="0" w:color="auto"/>
              <w:right w:val="single" w:sz="4" w:space="0" w:color="auto"/>
              <w:tl2br w:val="nil"/>
              <w:tr2bl w:val="nil"/>
            </w:tcBorders>
            <w:shd w:val="clear" w:color="auto" w:fill="C0C0C0"/>
            <w:noWrap/>
            <w:textDirection w:val="lrTb"/>
            <w:vAlign w:val="center"/>
          </w:tcPr>
          <w:p w:rsidR="00BF23C0" w:rsidRPr="00B7501C" w:rsidP="00C362EA">
            <w:pPr>
              <w:spacing w:line="240" w:lineRule="auto"/>
              <w:jc w:val="center"/>
              <w:rPr>
                <w:rFonts w:ascii="Arial Narrow" w:hAnsi="Arial Narrow" w:cs="Times New Roman"/>
                <w:b/>
                <w:sz w:val="24"/>
                <w:szCs w:val="24"/>
                <w:highlight w:val="lightGray"/>
              </w:rPr>
            </w:pPr>
            <w:r w:rsidRPr="00B7501C">
              <w:rPr>
                <w:rFonts w:ascii="Arial Narrow" w:hAnsi="Arial Narrow" w:cs="Times New Roman"/>
                <w:b/>
                <w:sz w:val="24"/>
                <w:szCs w:val="24"/>
                <w:highlight w:val="lightGray"/>
              </w:rPr>
              <w:t>Položka</w:t>
            </w:r>
          </w:p>
        </w:tc>
        <w:tc>
          <w:tcPr>
            <w:tcW w:w="6400" w:type="dxa"/>
            <w:tcBorders>
              <w:top w:val="single" w:sz="4" w:space="0" w:color="auto"/>
              <w:left w:val="single" w:sz="4" w:space="0" w:color="auto"/>
              <w:bottom w:val="single" w:sz="4" w:space="0" w:color="auto"/>
              <w:right w:val="single" w:sz="4" w:space="0" w:color="auto"/>
              <w:tl2br w:val="nil"/>
              <w:tr2bl w:val="nil"/>
            </w:tcBorders>
            <w:shd w:val="clear" w:color="auto" w:fill="C0C0C0"/>
            <w:noWrap/>
            <w:textDirection w:val="lrTb"/>
            <w:vAlign w:val="center"/>
          </w:tcPr>
          <w:p w:rsidR="00BF23C0" w:rsidRPr="00B7501C" w:rsidP="00C362EA">
            <w:pPr>
              <w:spacing w:line="240" w:lineRule="auto"/>
              <w:jc w:val="center"/>
              <w:rPr>
                <w:rFonts w:ascii="Arial Narrow" w:hAnsi="Arial Narrow" w:cs="Times New Roman"/>
                <w:b/>
                <w:sz w:val="24"/>
                <w:szCs w:val="24"/>
                <w:highlight w:val="lightGray"/>
              </w:rPr>
            </w:pPr>
            <w:r w:rsidRPr="00B7501C">
              <w:rPr>
                <w:rFonts w:ascii="Arial Narrow" w:hAnsi="Arial Narrow" w:cs="Times New Roman"/>
                <w:b/>
                <w:sz w:val="24"/>
                <w:szCs w:val="24"/>
                <w:highlight w:val="lightGray"/>
              </w:rPr>
              <w:t>Názov</w:t>
            </w:r>
          </w:p>
        </w:tc>
        <w:tc>
          <w:tcPr>
            <w:tcW w:w="1492" w:type="dxa"/>
            <w:tcBorders>
              <w:top w:val="single" w:sz="4" w:space="0" w:color="auto"/>
              <w:left w:val="single" w:sz="4" w:space="0" w:color="auto"/>
              <w:bottom w:val="single" w:sz="4" w:space="0" w:color="auto"/>
              <w:right w:val="single" w:sz="4" w:space="0" w:color="auto"/>
              <w:tl2br w:val="nil"/>
              <w:tr2bl w:val="nil"/>
            </w:tcBorders>
            <w:shd w:val="clear" w:color="auto" w:fill="C0C0C0"/>
            <w:noWrap/>
            <w:textDirection w:val="lrTb"/>
            <w:vAlign w:val="center"/>
          </w:tcPr>
          <w:p w:rsidR="00BF23C0" w:rsidRPr="00B7501C" w:rsidP="00C362EA">
            <w:pPr>
              <w:spacing w:line="240" w:lineRule="auto"/>
              <w:jc w:val="right"/>
              <w:rPr>
                <w:rFonts w:ascii="Arial Narrow" w:hAnsi="Arial Narrow" w:cs="Times New Roman"/>
                <w:b/>
                <w:sz w:val="24"/>
                <w:szCs w:val="24"/>
                <w:highlight w:val="lightGray"/>
              </w:rPr>
            </w:pPr>
            <w:r w:rsidRPr="00B7501C">
              <w:rPr>
                <w:rFonts w:ascii="Arial Narrow" w:hAnsi="Arial Narrow" w:cs="Times New Roman"/>
                <w:b/>
                <w:sz w:val="24"/>
                <w:szCs w:val="24"/>
                <w:highlight w:val="lightGray"/>
              </w:rPr>
              <w:t>Suma v Sk</w:t>
            </w:r>
          </w:p>
        </w:tc>
      </w:tr>
      <w:tr>
        <w:tblPrEx>
          <w:tblW w:w="9020" w:type="dxa"/>
          <w:tblInd w:w="70" w:type="dxa"/>
          <w:tblCellMar>
            <w:left w:w="70" w:type="dxa"/>
            <w:right w:w="70" w:type="dxa"/>
          </w:tblCellMar>
        </w:tblPrEx>
        <w:trPr>
          <w:trHeight w:val="284"/>
        </w:trPr>
        <w:tc>
          <w:tcPr>
            <w:tcW w:w="1128"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BF23C0" w:rsidRPr="00B7501C" w:rsidP="00C362EA">
            <w:pPr>
              <w:spacing w:line="240" w:lineRule="auto"/>
              <w:jc w:val="center"/>
              <w:rPr>
                <w:rFonts w:ascii="Arial Narrow" w:hAnsi="Arial Narrow" w:cs="Times New Roman"/>
                <w:b/>
                <w:bCs/>
                <w:sz w:val="22"/>
                <w:szCs w:val="22"/>
              </w:rPr>
            </w:pPr>
            <w:r>
              <w:rPr>
                <w:rFonts w:ascii="Arial Narrow" w:hAnsi="Arial Narrow" w:cs="Times New Roman"/>
                <w:b/>
                <w:bCs/>
                <w:sz w:val="22"/>
                <w:szCs w:val="22"/>
              </w:rPr>
              <w:t>21</w:t>
            </w:r>
            <w:r w:rsidR="00CF0A7A">
              <w:rPr>
                <w:rFonts w:ascii="Arial Narrow" w:hAnsi="Arial Narrow" w:cs="Times New Roman"/>
                <w:b/>
                <w:bCs/>
                <w:sz w:val="22"/>
                <w:szCs w:val="22"/>
              </w:rPr>
              <w:t>0</w:t>
            </w:r>
          </w:p>
        </w:tc>
        <w:tc>
          <w:tcPr>
            <w:tcW w:w="640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BF23C0" w:rsidRPr="00B7501C" w:rsidP="00C362EA">
            <w:pPr>
              <w:spacing w:line="240" w:lineRule="auto"/>
              <w:rPr>
                <w:rFonts w:ascii="Arial Narrow" w:hAnsi="Arial Narrow" w:cs="Times New Roman"/>
                <w:b/>
                <w:bCs/>
                <w:sz w:val="22"/>
                <w:szCs w:val="22"/>
              </w:rPr>
            </w:pPr>
            <w:r w:rsidR="00590CA1">
              <w:rPr>
                <w:rFonts w:ascii="Arial Narrow" w:hAnsi="Arial Narrow" w:cs="Times New Roman"/>
                <w:b/>
                <w:bCs/>
                <w:sz w:val="22"/>
                <w:szCs w:val="22"/>
              </w:rPr>
              <w:t>Príjmy z</w:t>
            </w:r>
            <w:r w:rsidR="00CF0A7A">
              <w:rPr>
                <w:rFonts w:ascii="Arial Narrow" w:hAnsi="Arial Narrow" w:cs="Times New Roman"/>
                <w:b/>
                <w:bCs/>
                <w:sz w:val="22"/>
                <w:szCs w:val="22"/>
              </w:rPr>
              <w:t xml:space="preserve"> podnikania a </w:t>
            </w:r>
            <w:r>
              <w:rPr>
                <w:rFonts w:ascii="Arial Narrow" w:hAnsi="Arial Narrow" w:cs="Times New Roman"/>
                <w:b/>
                <w:bCs/>
                <w:sz w:val="22"/>
                <w:szCs w:val="22"/>
              </w:rPr>
              <w:t xml:space="preserve">vlastníctva majetku </w:t>
            </w:r>
          </w:p>
        </w:tc>
        <w:tc>
          <w:tcPr>
            <w:tcW w:w="1492"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BF23C0" w:rsidRPr="00B7501C" w:rsidP="00C362EA">
            <w:pPr>
              <w:spacing w:line="240" w:lineRule="auto"/>
              <w:jc w:val="right"/>
              <w:rPr>
                <w:rFonts w:ascii="Arial Narrow" w:hAnsi="Arial Narrow" w:cs="Times New Roman"/>
                <w:bCs/>
                <w:sz w:val="22"/>
                <w:szCs w:val="22"/>
              </w:rPr>
            </w:pPr>
            <w:r w:rsidR="00CF0A7A">
              <w:rPr>
                <w:rFonts w:ascii="Arial Narrow" w:hAnsi="Arial Narrow" w:cs="Times New Roman"/>
                <w:bCs/>
                <w:sz w:val="22"/>
                <w:szCs w:val="22"/>
              </w:rPr>
              <w:t>12 438 262,2</w:t>
            </w:r>
            <w:r>
              <w:rPr>
                <w:rFonts w:ascii="Arial Narrow" w:hAnsi="Arial Narrow" w:cs="Times New Roman"/>
                <w:bCs/>
                <w:sz w:val="22"/>
                <w:szCs w:val="22"/>
              </w:rPr>
              <w:t>0</w:t>
            </w:r>
          </w:p>
        </w:tc>
      </w:tr>
      <w:tr>
        <w:tblPrEx>
          <w:tblW w:w="9020" w:type="dxa"/>
          <w:tblInd w:w="70" w:type="dxa"/>
          <w:tblCellMar>
            <w:left w:w="70" w:type="dxa"/>
            <w:right w:w="70" w:type="dxa"/>
          </w:tblCellMar>
        </w:tblPrEx>
        <w:trPr>
          <w:trHeight w:val="284"/>
        </w:trPr>
        <w:tc>
          <w:tcPr>
            <w:tcW w:w="1128"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BF23C0" w:rsidRPr="00B7501C" w:rsidP="00C362EA">
            <w:pPr>
              <w:spacing w:line="240" w:lineRule="auto"/>
              <w:jc w:val="center"/>
              <w:rPr>
                <w:rFonts w:ascii="Arial Narrow" w:hAnsi="Arial Narrow" w:cs="Times New Roman"/>
                <w:b/>
                <w:bCs/>
                <w:sz w:val="22"/>
                <w:szCs w:val="22"/>
              </w:rPr>
            </w:pPr>
            <w:r>
              <w:rPr>
                <w:rFonts w:ascii="Arial Narrow" w:hAnsi="Arial Narrow" w:cs="Times New Roman"/>
                <w:b/>
                <w:bCs/>
                <w:sz w:val="22"/>
                <w:szCs w:val="22"/>
              </w:rPr>
              <w:t>22</w:t>
            </w:r>
            <w:r w:rsidR="00590CA1">
              <w:rPr>
                <w:rFonts w:ascii="Arial Narrow" w:hAnsi="Arial Narrow" w:cs="Times New Roman"/>
                <w:b/>
                <w:bCs/>
                <w:sz w:val="22"/>
                <w:szCs w:val="22"/>
              </w:rPr>
              <w:t>0</w:t>
            </w:r>
          </w:p>
        </w:tc>
        <w:tc>
          <w:tcPr>
            <w:tcW w:w="640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BF23C0" w:rsidRPr="00B7501C" w:rsidP="00C362EA">
            <w:pPr>
              <w:spacing w:line="240" w:lineRule="auto"/>
              <w:rPr>
                <w:rFonts w:ascii="Arial Narrow" w:hAnsi="Arial Narrow" w:cs="Times New Roman"/>
                <w:b/>
                <w:bCs/>
                <w:sz w:val="22"/>
                <w:szCs w:val="22"/>
              </w:rPr>
            </w:pPr>
            <w:r>
              <w:rPr>
                <w:rFonts w:ascii="Arial Narrow" w:hAnsi="Arial Narrow" w:cs="Times New Roman"/>
                <w:b/>
                <w:bCs/>
                <w:sz w:val="22"/>
                <w:szCs w:val="22"/>
              </w:rPr>
              <w:t xml:space="preserve">Administratívne a iné poplatky </w:t>
            </w:r>
            <w:r w:rsidRPr="00D45BA9">
              <w:rPr>
                <w:rFonts w:ascii="Arial Narrow" w:hAnsi="Arial Narrow" w:cs="Times New Roman"/>
                <w:b/>
                <w:bCs/>
                <w:sz w:val="22"/>
                <w:szCs w:val="22"/>
              </w:rPr>
              <w:t>a</w:t>
            </w:r>
            <w:r w:rsidR="00407CD3">
              <w:rPr>
                <w:rFonts w:ascii="Arial Narrow" w:hAnsi="Arial Narrow" w:cs="Times New Roman"/>
                <w:b/>
                <w:bCs/>
                <w:sz w:val="22"/>
                <w:szCs w:val="22"/>
              </w:rPr>
              <w:t> </w:t>
            </w:r>
            <w:r w:rsidRPr="00D45BA9">
              <w:rPr>
                <w:rFonts w:ascii="Arial Narrow" w:hAnsi="Arial Narrow" w:cs="Times New Roman"/>
                <w:b/>
                <w:bCs/>
                <w:sz w:val="22"/>
                <w:szCs w:val="22"/>
              </w:rPr>
              <w:t>platby</w:t>
            </w:r>
            <w:r>
              <w:rPr>
                <w:rFonts w:ascii="Arial Narrow" w:hAnsi="Arial Narrow" w:cs="Times New Roman"/>
                <w:bCs/>
                <w:sz w:val="22"/>
                <w:szCs w:val="22"/>
              </w:rPr>
              <w:t xml:space="preserve"> (za predaj výrobkov, tovarov a služieb, </w:t>
            </w:r>
            <w:r w:rsidRPr="00D45BA9">
              <w:rPr>
                <w:rFonts w:ascii="Arial Narrow" w:hAnsi="Arial Narrow" w:cs="Times New Roman"/>
                <w:bCs/>
                <w:sz w:val="22"/>
                <w:szCs w:val="22"/>
              </w:rPr>
              <w:t>z nepriemyseln</w:t>
            </w:r>
            <w:r>
              <w:rPr>
                <w:rFonts w:ascii="Arial Narrow" w:hAnsi="Arial Narrow" w:cs="Times New Roman"/>
                <w:bCs/>
                <w:sz w:val="22"/>
                <w:szCs w:val="22"/>
              </w:rPr>
              <w:t xml:space="preserve">ého a náhodného predaja </w:t>
            </w:r>
            <w:r w:rsidRPr="00D45BA9">
              <w:rPr>
                <w:rFonts w:ascii="Arial Narrow" w:hAnsi="Arial Narrow" w:cs="Times New Roman"/>
                <w:bCs/>
                <w:sz w:val="22"/>
                <w:szCs w:val="22"/>
              </w:rPr>
              <w:t>atď.)</w:t>
            </w:r>
          </w:p>
        </w:tc>
        <w:tc>
          <w:tcPr>
            <w:tcW w:w="1492"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BF23C0" w:rsidRPr="00B7501C" w:rsidP="00C362EA">
            <w:pPr>
              <w:spacing w:line="240" w:lineRule="auto"/>
              <w:jc w:val="right"/>
              <w:rPr>
                <w:rFonts w:ascii="Arial Narrow" w:hAnsi="Arial Narrow" w:cs="Times New Roman"/>
                <w:bCs/>
                <w:sz w:val="22"/>
                <w:szCs w:val="22"/>
              </w:rPr>
            </w:pPr>
            <w:r w:rsidR="00CF0A7A">
              <w:rPr>
                <w:rFonts w:ascii="Arial Narrow" w:hAnsi="Arial Narrow" w:cs="Times New Roman"/>
                <w:bCs/>
                <w:sz w:val="22"/>
                <w:szCs w:val="22"/>
              </w:rPr>
              <w:t>4 342 566,95</w:t>
            </w:r>
          </w:p>
        </w:tc>
      </w:tr>
      <w:tr>
        <w:tblPrEx>
          <w:tblW w:w="9020" w:type="dxa"/>
          <w:tblInd w:w="70" w:type="dxa"/>
          <w:tblCellMar>
            <w:left w:w="70" w:type="dxa"/>
            <w:right w:w="70" w:type="dxa"/>
          </w:tblCellMar>
        </w:tblPrEx>
        <w:trPr>
          <w:trHeight w:val="284"/>
        </w:trPr>
        <w:tc>
          <w:tcPr>
            <w:tcW w:w="1128"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BF23C0" w:rsidRPr="00B7501C" w:rsidP="00C362EA">
            <w:pPr>
              <w:spacing w:line="240" w:lineRule="auto"/>
              <w:jc w:val="center"/>
              <w:rPr>
                <w:rFonts w:ascii="Arial Narrow" w:hAnsi="Arial Narrow" w:cs="Times New Roman"/>
                <w:b/>
                <w:bCs/>
                <w:sz w:val="22"/>
                <w:szCs w:val="22"/>
              </w:rPr>
            </w:pPr>
            <w:r>
              <w:rPr>
                <w:rFonts w:ascii="Arial Narrow" w:hAnsi="Arial Narrow" w:cs="Times New Roman"/>
                <w:b/>
                <w:bCs/>
                <w:sz w:val="22"/>
                <w:szCs w:val="22"/>
              </w:rPr>
              <w:t>23</w:t>
            </w:r>
            <w:r w:rsidR="00590CA1">
              <w:rPr>
                <w:rFonts w:ascii="Arial Narrow" w:hAnsi="Arial Narrow" w:cs="Times New Roman"/>
                <w:b/>
                <w:bCs/>
                <w:sz w:val="22"/>
                <w:szCs w:val="22"/>
              </w:rPr>
              <w:t>0</w:t>
            </w:r>
          </w:p>
        </w:tc>
        <w:tc>
          <w:tcPr>
            <w:tcW w:w="640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BF23C0" w:rsidRPr="00B7501C" w:rsidP="00C362EA">
            <w:pPr>
              <w:spacing w:line="240" w:lineRule="auto"/>
              <w:rPr>
                <w:rFonts w:ascii="Arial Narrow" w:hAnsi="Arial Narrow" w:cs="Times New Roman"/>
                <w:b/>
                <w:bCs/>
                <w:sz w:val="22"/>
                <w:szCs w:val="22"/>
              </w:rPr>
            </w:pPr>
            <w:r w:rsidR="00590CA1">
              <w:rPr>
                <w:rFonts w:ascii="Arial Narrow" w:hAnsi="Arial Narrow" w:cs="Times New Roman"/>
                <w:b/>
                <w:bCs/>
                <w:sz w:val="22"/>
                <w:szCs w:val="22"/>
              </w:rPr>
              <w:t>K</w:t>
            </w:r>
            <w:r>
              <w:rPr>
                <w:rFonts w:ascii="Arial Narrow" w:hAnsi="Arial Narrow" w:cs="Times New Roman"/>
                <w:b/>
                <w:bCs/>
                <w:sz w:val="22"/>
                <w:szCs w:val="22"/>
              </w:rPr>
              <w:t>ap</w:t>
            </w:r>
            <w:r w:rsidR="00590CA1">
              <w:rPr>
                <w:rFonts w:ascii="Arial Narrow" w:hAnsi="Arial Narrow" w:cs="Times New Roman"/>
                <w:b/>
                <w:bCs/>
                <w:sz w:val="22"/>
                <w:szCs w:val="22"/>
              </w:rPr>
              <w:t>itálové príjmy</w:t>
            </w:r>
            <w:r>
              <w:rPr>
                <w:rFonts w:ascii="Arial Narrow" w:hAnsi="Arial Narrow" w:cs="Times New Roman"/>
                <w:b/>
                <w:bCs/>
                <w:sz w:val="22"/>
                <w:szCs w:val="22"/>
              </w:rPr>
              <w:t xml:space="preserve"> </w:t>
            </w:r>
          </w:p>
        </w:tc>
        <w:tc>
          <w:tcPr>
            <w:tcW w:w="1492"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BF23C0" w:rsidRPr="00B7501C" w:rsidP="00C362EA">
            <w:pPr>
              <w:spacing w:line="240" w:lineRule="auto"/>
              <w:jc w:val="right"/>
              <w:rPr>
                <w:rFonts w:ascii="Arial Narrow" w:hAnsi="Arial Narrow" w:cs="Times New Roman"/>
                <w:bCs/>
                <w:sz w:val="22"/>
                <w:szCs w:val="22"/>
              </w:rPr>
            </w:pPr>
            <w:r w:rsidR="00590CA1">
              <w:rPr>
                <w:rFonts w:ascii="Arial Narrow" w:hAnsi="Arial Narrow" w:cs="Times New Roman"/>
                <w:bCs/>
                <w:sz w:val="22"/>
                <w:szCs w:val="22"/>
              </w:rPr>
              <w:t xml:space="preserve"> </w:t>
            </w:r>
            <w:r w:rsidR="00CF0A7A">
              <w:rPr>
                <w:rFonts w:ascii="Arial Narrow" w:hAnsi="Arial Narrow" w:cs="Times New Roman"/>
                <w:bCs/>
                <w:sz w:val="22"/>
                <w:szCs w:val="22"/>
              </w:rPr>
              <w:t>918 804,00</w:t>
            </w:r>
          </w:p>
        </w:tc>
      </w:tr>
      <w:tr>
        <w:tblPrEx>
          <w:tblW w:w="9020" w:type="dxa"/>
          <w:tblInd w:w="70" w:type="dxa"/>
          <w:tblCellMar>
            <w:left w:w="70" w:type="dxa"/>
            <w:right w:w="70" w:type="dxa"/>
          </w:tblCellMar>
        </w:tblPrEx>
        <w:trPr>
          <w:trHeight w:val="284"/>
        </w:trPr>
        <w:tc>
          <w:tcPr>
            <w:tcW w:w="1128"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BF23C0" w:rsidRPr="00B7501C" w:rsidP="00C362EA">
            <w:pPr>
              <w:spacing w:line="240" w:lineRule="auto"/>
              <w:jc w:val="center"/>
              <w:rPr>
                <w:rFonts w:ascii="Arial Narrow" w:hAnsi="Arial Narrow" w:cs="Times New Roman"/>
                <w:b/>
                <w:bCs/>
                <w:sz w:val="22"/>
                <w:szCs w:val="22"/>
              </w:rPr>
            </w:pPr>
            <w:r>
              <w:rPr>
                <w:rFonts w:ascii="Arial Narrow" w:hAnsi="Arial Narrow" w:cs="Times New Roman"/>
                <w:b/>
                <w:bCs/>
                <w:sz w:val="22"/>
                <w:szCs w:val="22"/>
              </w:rPr>
              <w:t>29</w:t>
            </w:r>
          </w:p>
        </w:tc>
        <w:tc>
          <w:tcPr>
            <w:tcW w:w="640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BF23C0" w:rsidRPr="00B7501C" w:rsidP="00C362EA">
            <w:pPr>
              <w:spacing w:line="240" w:lineRule="auto"/>
              <w:rPr>
                <w:rFonts w:ascii="Arial Narrow" w:hAnsi="Arial Narrow" w:cs="Times New Roman"/>
                <w:b/>
                <w:bCs/>
                <w:sz w:val="22"/>
                <w:szCs w:val="22"/>
              </w:rPr>
            </w:pPr>
            <w:r>
              <w:rPr>
                <w:rFonts w:ascii="Arial Narrow" w:hAnsi="Arial Narrow" w:cs="Times New Roman"/>
                <w:b/>
                <w:bCs/>
                <w:sz w:val="22"/>
                <w:szCs w:val="22"/>
              </w:rPr>
              <w:t xml:space="preserve">Iné nedaňové príjmy </w:t>
            </w:r>
            <w:r w:rsidR="00AC4E81">
              <w:rPr>
                <w:rFonts w:ascii="Arial Narrow" w:hAnsi="Arial Narrow" w:cs="Times New Roman"/>
                <w:bCs/>
                <w:sz w:val="22"/>
                <w:szCs w:val="22"/>
              </w:rPr>
              <w:t>(z dobropisov,  úhrad škôd a</w:t>
            </w:r>
            <w:r w:rsidR="00AD326E">
              <w:rPr>
                <w:rFonts w:ascii="Arial Narrow" w:hAnsi="Arial Narrow" w:cs="Times New Roman"/>
                <w:bCs/>
                <w:sz w:val="22"/>
                <w:szCs w:val="22"/>
              </w:rPr>
              <w:t> </w:t>
            </w:r>
            <w:r w:rsidR="00AC4E81">
              <w:rPr>
                <w:rFonts w:ascii="Arial Narrow" w:hAnsi="Arial Narrow" w:cs="Times New Roman"/>
                <w:bCs/>
                <w:sz w:val="22"/>
                <w:szCs w:val="22"/>
              </w:rPr>
              <w:t>náhrad dohôd</w:t>
            </w:r>
            <w:r w:rsidR="00CF0A7A">
              <w:rPr>
                <w:rFonts w:ascii="Arial Narrow" w:hAnsi="Arial Narrow" w:cs="Times New Roman"/>
                <w:bCs/>
                <w:sz w:val="22"/>
                <w:szCs w:val="22"/>
              </w:rPr>
              <w:t>, pokuty</w:t>
            </w:r>
            <w:r w:rsidRPr="00D906CE">
              <w:rPr>
                <w:rFonts w:ascii="Arial Narrow" w:hAnsi="Arial Narrow" w:cs="Times New Roman"/>
                <w:bCs/>
                <w:sz w:val="22"/>
                <w:szCs w:val="22"/>
              </w:rPr>
              <w:t>)</w:t>
            </w:r>
          </w:p>
        </w:tc>
        <w:tc>
          <w:tcPr>
            <w:tcW w:w="1492"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BF23C0" w:rsidRPr="00B7501C" w:rsidP="00C362EA">
            <w:pPr>
              <w:spacing w:line="240" w:lineRule="auto"/>
              <w:jc w:val="right"/>
              <w:rPr>
                <w:rFonts w:ascii="Arial Narrow" w:hAnsi="Arial Narrow" w:cs="Times New Roman"/>
                <w:bCs/>
                <w:sz w:val="22"/>
                <w:szCs w:val="22"/>
              </w:rPr>
            </w:pPr>
            <w:r w:rsidR="00CF0A7A">
              <w:rPr>
                <w:rFonts w:ascii="Arial Narrow" w:hAnsi="Arial Narrow" w:cs="Times New Roman"/>
                <w:bCs/>
                <w:sz w:val="22"/>
                <w:szCs w:val="22"/>
              </w:rPr>
              <w:t xml:space="preserve">     391 464,70</w:t>
            </w:r>
          </w:p>
        </w:tc>
      </w:tr>
      <w:tr>
        <w:tblPrEx>
          <w:tblW w:w="9020" w:type="dxa"/>
          <w:tblInd w:w="70" w:type="dxa"/>
          <w:tblCellMar>
            <w:left w:w="70" w:type="dxa"/>
            <w:right w:w="70" w:type="dxa"/>
          </w:tblCellMar>
        </w:tblPrEx>
        <w:trPr>
          <w:trHeight w:val="340"/>
        </w:trPr>
        <w:tc>
          <w:tcPr>
            <w:tcW w:w="1128" w:type="dxa"/>
            <w:tcBorders>
              <w:top w:val="single" w:sz="4" w:space="0" w:color="auto"/>
              <w:left w:val="single" w:sz="4" w:space="0" w:color="auto"/>
              <w:bottom w:val="single" w:sz="4" w:space="0" w:color="auto"/>
              <w:right w:val="single" w:sz="4" w:space="0" w:color="auto"/>
              <w:tl2br w:val="nil"/>
              <w:tr2bl w:val="nil"/>
            </w:tcBorders>
            <w:shd w:val="clear" w:color="auto" w:fill="C0C0C0"/>
            <w:noWrap/>
            <w:textDirection w:val="lrTb"/>
            <w:vAlign w:val="center"/>
          </w:tcPr>
          <w:p w:rsidR="00BF23C0" w:rsidRPr="00B7501C" w:rsidP="00C362EA">
            <w:pPr>
              <w:spacing w:line="240" w:lineRule="auto"/>
              <w:jc w:val="center"/>
              <w:rPr>
                <w:rFonts w:ascii="Arial Narrow" w:hAnsi="Arial Narrow" w:cs="Times New Roman"/>
                <w:b/>
                <w:bCs/>
                <w:sz w:val="22"/>
                <w:szCs w:val="22"/>
              </w:rPr>
            </w:pPr>
          </w:p>
        </w:tc>
        <w:tc>
          <w:tcPr>
            <w:tcW w:w="6400" w:type="dxa"/>
            <w:tcBorders>
              <w:top w:val="single" w:sz="4" w:space="0" w:color="auto"/>
              <w:left w:val="single" w:sz="4" w:space="0" w:color="auto"/>
              <w:bottom w:val="single" w:sz="4" w:space="0" w:color="auto"/>
              <w:right w:val="single" w:sz="4" w:space="0" w:color="auto"/>
              <w:tl2br w:val="nil"/>
              <w:tr2bl w:val="nil"/>
            </w:tcBorders>
            <w:shd w:val="clear" w:color="auto" w:fill="C0C0C0"/>
            <w:textDirection w:val="lrTb"/>
            <w:vAlign w:val="center"/>
          </w:tcPr>
          <w:p w:rsidR="00BF23C0" w:rsidRPr="00B7501C" w:rsidP="00C362EA">
            <w:pPr>
              <w:spacing w:line="240" w:lineRule="auto"/>
              <w:rPr>
                <w:rFonts w:ascii="Arial Narrow" w:hAnsi="Arial Narrow" w:cs="Times New Roman"/>
                <w:b/>
                <w:bCs/>
                <w:sz w:val="22"/>
                <w:szCs w:val="22"/>
              </w:rPr>
            </w:pPr>
            <w:r>
              <w:rPr>
                <w:rFonts w:ascii="Arial Narrow" w:hAnsi="Arial Narrow" w:cs="Times New Roman"/>
                <w:b/>
                <w:bCs/>
                <w:sz w:val="22"/>
                <w:szCs w:val="22"/>
              </w:rPr>
              <w:t>PRÍJMY SPOLU</w:t>
            </w:r>
          </w:p>
        </w:tc>
        <w:tc>
          <w:tcPr>
            <w:tcW w:w="1492" w:type="dxa"/>
            <w:tcBorders>
              <w:top w:val="single" w:sz="4" w:space="0" w:color="auto"/>
              <w:left w:val="single" w:sz="4" w:space="0" w:color="auto"/>
              <w:bottom w:val="single" w:sz="4" w:space="0" w:color="auto"/>
              <w:right w:val="single" w:sz="4" w:space="0" w:color="auto"/>
              <w:tl2br w:val="nil"/>
              <w:tr2bl w:val="nil"/>
            </w:tcBorders>
            <w:shd w:val="clear" w:color="auto" w:fill="C0C0C0"/>
            <w:noWrap/>
            <w:textDirection w:val="lrTb"/>
            <w:vAlign w:val="center"/>
          </w:tcPr>
          <w:p w:rsidR="00BF23C0" w:rsidRPr="00D45BA9" w:rsidP="00C362EA">
            <w:pPr>
              <w:spacing w:line="240" w:lineRule="auto"/>
              <w:jc w:val="center"/>
              <w:rPr>
                <w:rFonts w:ascii="Arial Narrow" w:hAnsi="Arial Narrow" w:cs="Times New Roman"/>
                <w:b/>
                <w:bCs/>
                <w:sz w:val="22"/>
                <w:szCs w:val="22"/>
              </w:rPr>
            </w:pPr>
            <w:r w:rsidR="00590CA1">
              <w:rPr>
                <w:rFonts w:ascii="Arial Narrow" w:hAnsi="Arial Narrow" w:cs="Times New Roman"/>
                <w:b/>
                <w:bCs/>
                <w:sz w:val="22"/>
                <w:szCs w:val="22"/>
              </w:rPr>
              <w:t xml:space="preserve">   </w:t>
            </w:r>
            <w:r w:rsidR="00CF0A7A">
              <w:rPr>
                <w:rFonts w:ascii="Arial Narrow" w:hAnsi="Arial Narrow" w:cs="Times New Roman"/>
                <w:b/>
                <w:bCs/>
                <w:sz w:val="22"/>
                <w:szCs w:val="22"/>
              </w:rPr>
              <w:t>18 091 097,85</w:t>
            </w:r>
          </w:p>
        </w:tc>
      </w:tr>
    </w:tbl>
    <w:p w:rsidR="00830EEC" w:rsidRPr="00830EEC" w:rsidP="00C362EA">
      <w:pPr>
        <w:spacing w:line="240" w:lineRule="auto"/>
        <w:rPr>
          <w:rFonts w:ascii="Times New Roman" w:hAnsi="Times New Roman" w:cs="Times New Roman"/>
        </w:rPr>
      </w:pPr>
    </w:p>
    <w:p w:rsidR="00CF0A7A" w:rsidP="00A76E1C">
      <w:pPr>
        <w:pStyle w:val="Heading4"/>
        <w:spacing w:line="240" w:lineRule="auto"/>
        <w:ind w:firstLine="708"/>
        <w:rPr>
          <w:rFonts w:ascii="Times New Roman" w:hAnsi="Times New Roman" w:cs="Times New Roman"/>
        </w:rPr>
      </w:pPr>
      <w:r>
        <w:rPr>
          <w:rFonts w:ascii="Times New Roman" w:hAnsi="Times New Roman" w:cs="Times New Roman"/>
        </w:rPr>
        <w:t xml:space="preserve">Najvyšší podiel na splnení ukazovateľa príjmov dosiahli príjmy z prenájmu </w:t>
      </w:r>
      <w:r w:rsidR="00AC4E81">
        <w:rPr>
          <w:rFonts w:ascii="Times New Roman" w:hAnsi="Times New Roman" w:cs="Times New Roman"/>
        </w:rPr>
        <w:t>že</w:t>
      </w:r>
      <w:r>
        <w:rPr>
          <w:rFonts w:ascii="Times New Roman" w:hAnsi="Times New Roman" w:cs="Times New Roman"/>
        </w:rPr>
        <w:t>lezničných strojov a techniky vo výške 12 438 262,20 Sk</w:t>
      </w:r>
      <w:r w:rsidR="00590CA1">
        <w:rPr>
          <w:rFonts w:ascii="Times New Roman" w:hAnsi="Times New Roman" w:cs="Times New Roman"/>
        </w:rPr>
        <w:t xml:space="preserve">. </w:t>
      </w:r>
      <w:r w:rsidR="00AC4E81">
        <w:rPr>
          <w:rFonts w:ascii="Times New Roman" w:hAnsi="Times New Roman" w:cs="Times New Roman"/>
        </w:rPr>
        <w:t>Tieto príjmy boli tvorené</w:t>
      </w:r>
      <w:r w:rsidRPr="005F2B06" w:rsidR="00BF23C0">
        <w:rPr>
          <w:rFonts w:ascii="Times New Roman" w:hAnsi="Times New Roman" w:cs="Times New Roman"/>
        </w:rPr>
        <w:t xml:space="preserve"> z úhrad </w:t>
      </w:r>
      <w:r w:rsidR="00AC4E81">
        <w:rPr>
          <w:rFonts w:ascii="Times New Roman" w:hAnsi="Times New Roman" w:cs="Times New Roman"/>
        </w:rPr>
        <w:t xml:space="preserve">vyhotovených faktúr </w:t>
      </w:r>
      <w:r w:rsidRPr="005F2B06" w:rsidR="00BF23C0">
        <w:rPr>
          <w:rFonts w:ascii="Times New Roman" w:hAnsi="Times New Roman" w:cs="Times New Roman"/>
        </w:rPr>
        <w:t>bežného roka</w:t>
      </w:r>
      <w:r w:rsidR="00AC4E81">
        <w:rPr>
          <w:rFonts w:ascii="Times New Roman" w:hAnsi="Times New Roman" w:cs="Times New Roman"/>
        </w:rPr>
        <w:t xml:space="preserve"> a z úhrad faktúr za výkony </w:t>
      </w:r>
      <w:r w:rsidRPr="005F2B06" w:rsidR="00BF23C0">
        <w:rPr>
          <w:rFonts w:ascii="Times New Roman" w:hAnsi="Times New Roman" w:cs="Times New Roman"/>
        </w:rPr>
        <w:t xml:space="preserve">právneho predchodcu – Železničného vojska, ktoré sú uplatňované </w:t>
      </w:r>
      <w:r w:rsidR="00DC6377">
        <w:rPr>
          <w:rFonts w:ascii="Times New Roman" w:hAnsi="Times New Roman" w:cs="Times New Roman"/>
        </w:rPr>
        <w:t xml:space="preserve">formou správy pohľadávok štátu. </w:t>
      </w:r>
    </w:p>
    <w:p w:rsidR="00B27788" w:rsidP="00DC6377">
      <w:pPr>
        <w:pStyle w:val="Heading4"/>
        <w:spacing w:line="240" w:lineRule="auto"/>
        <w:ind w:firstLine="708"/>
        <w:rPr>
          <w:rFonts w:ascii="Times New Roman" w:hAnsi="Times New Roman" w:cs="Times New Roman"/>
        </w:rPr>
      </w:pPr>
    </w:p>
    <w:p w:rsidR="00CF0A7A" w:rsidP="00DC6377">
      <w:pPr>
        <w:pStyle w:val="Heading4"/>
        <w:spacing w:line="240" w:lineRule="auto"/>
        <w:ind w:firstLine="708"/>
        <w:rPr>
          <w:rFonts w:ascii="Times New Roman" w:hAnsi="Times New Roman" w:cs="Times New Roman"/>
        </w:rPr>
      </w:pPr>
      <w:r w:rsidR="00A76E1C">
        <w:rPr>
          <w:rFonts w:ascii="Times New Roman" w:hAnsi="Times New Roman" w:cs="Times New Roman"/>
        </w:rPr>
        <w:t xml:space="preserve">Významné </w:t>
      </w:r>
      <w:r w:rsidRPr="005F2B06">
        <w:rPr>
          <w:rFonts w:ascii="Times New Roman" w:hAnsi="Times New Roman" w:cs="Times New Roman"/>
        </w:rPr>
        <w:t>príj</w:t>
      </w:r>
      <w:r>
        <w:rPr>
          <w:rFonts w:ascii="Times New Roman" w:hAnsi="Times New Roman" w:cs="Times New Roman"/>
        </w:rPr>
        <w:t xml:space="preserve">my organizácia dosiahla </w:t>
      </w:r>
      <w:r w:rsidR="00A76E1C">
        <w:rPr>
          <w:rFonts w:ascii="Times New Roman" w:hAnsi="Times New Roman" w:cs="Times New Roman"/>
        </w:rPr>
        <w:t xml:space="preserve">aj </w:t>
      </w:r>
      <w:r>
        <w:rPr>
          <w:rFonts w:ascii="Times New Roman" w:hAnsi="Times New Roman" w:cs="Times New Roman"/>
        </w:rPr>
        <w:t xml:space="preserve">za poskytované výkony počas </w:t>
      </w:r>
      <w:r w:rsidRPr="005F2B06">
        <w:rPr>
          <w:rFonts w:ascii="Times New Roman" w:hAnsi="Times New Roman" w:cs="Times New Roman"/>
        </w:rPr>
        <w:t>odbornej príprav</w:t>
      </w:r>
      <w:r w:rsidR="00A76E1C">
        <w:rPr>
          <w:rFonts w:ascii="Times New Roman" w:hAnsi="Times New Roman" w:cs="Times New Roman"/>
        </w:rPr>
        <w:t>y (</w:t>
      </w:r>
      <w:r w:rsidRPr="005F2B06">
        <w:rPr>
          <w:rFonts w:ascii="Times New Roman" w:hAnsi="Times New Roman" w:cs="Times New Roman"/>
        </w:rPr>
        <w:t>223</w:t>
      </w:r>
      <w:r w:rsidR="00A76E1C">
        <w:rPr>
          <w:rFonts w:ascii="Times New Roman" w:hAnsi="Times New Roman" w:cs="Times New Roman"/>
        </w:rPr>
        <w:t xml:space="preserve"> 001 – Za predaj výrobkov, tovarov a služieb), a to vo výške 4 271 667,95 Sk. </w:t>
      </w:r>
    </w:p>
    <w:p w:rsidR="00B27788" w:rsidP="00A76E1C">
      <w:pPr>
        <w:pStyle w:val="Heading4"/>
        <w:spacing w:line="240" w:lineRule="auto"/>
        <w:ind w:firstLine="708"/>
        <w:rPr>
          <w:rFonts w:ascii="Times New Roman" w:hAnsi="Times New Roman" w:cs="Times New Roman"/>
        </w:rPr>
      </w:pPr>
    </w:p>
    <w:p w:rsidR="00A76E1C" w:rsidP="00A76E1C">
      <w:pPr>
        <w:pStyle w:val="Heading4"/>
        <w:spacing w:line="240" w:lineRule="auto"/>
        <w:ind w:firstLine="708"/>
        <w:rPr>
          <w:rFonts w:ascii="Times New Roman" w:hAnsi="Times New Roman" w:cs="Times New Roman"/>
        </w:rPr>
      </w:pPr>
      <w:r>
        <w:rPr>
          <w:rFonts w:ascii="Times New Roman" w:hAnsi="Times New Roman" w:cs="Times New Roman"/>
        </w:rPr>
        <w:t xml:space="preserve">Kapitálové príjmy vo výške 918 804,- Sk </w:t>
      </w:r>
      <w:r w:rsidRPr="00AC4E81" w:rsidR="00AC4E81">
        <w:rPr>
          <w:rFonts w:ascii="Times New Roman" w:hAnsi="Times New Roman" w:cs="Times New Roman"/>
        </w:rPr>
        <w:t>do</w:t>
      </w:r>
      <w:r>
        <w:rPr>
          <w:rFonts w:ascii="Times New Roman" w:hAnsi="Times New Roman" w:cs="Times New Roman"/>
        </w:rPr>
        <w:t>siahla TOOŽ za predaj nadbytočných</w:t>
      </w:r>
      <w:r w:rsidRPr="00AC4E81" w:rsidR="00AC4E81">
        <w:rPr>
          <w:rFonts w:ascii="Times New Roman" w:hAnsi="Times New Roman" w:cs="Times New Roman"/>
        </w:rPr>
        <w:t xml:space="preserve"> kap</w:t>
      </w:r>
      <w:r>
        <w:rPr>
          <w:rFonts w:ascii="Times New Roman" w:hAnsi="Times New Roman" w:cs="Times New Roman"/>
        </w:rPr>
        <w:t xml:space="preserve">itálových aktív. </w:t>
      </w:r>
    </w:p>
    <w:p w:rsidR="00C74920" w:rsidRPr="00C74920" w:rsidP="00C74920">
      <w:pPr>
        <w:rPr>
          <w:rFonts w:ascii="Times New Roman" w:hAnsi="Times New Roman" w:cs="Times New Roman"/>
        </w:rPr>
      </w:pPr>
    </w:p>
    <w:p w:rsidR="00C37E93" w:rsidRPr="00407CD3" w:rsidP="00407CD3">
      <w:pPr>
        <w:pStyle w:val="Heading5"/>
        <w:spacing w:line="240" w:lineRule="auto"/>
        <w:ind w:firstLine="708"/>
        <w:rPr>
          <w:rFonts w:ascii="Times New Roman" w:hAnsi="Times New Roman" w:cs="Arial"/>
          <w:b w:val="0"/>
          <w:i w:val="0"/>
        </w:rPr>
      </w:pPr>
      <w:r w:rsidRPr="00407CD3" w:rsidR="00BF23C0">
        <w:rPr>
          <w:rFonts w:ascii="Times New Roman" w:hAnsi="Times New Roman" w:cs="Times New Roman"/>
          <w:i w:val="0"/>
          <w:sz w:val="28"/>
          <w:szCs w:val="28"/>
          <w:u w:val="single"/>
        </w:rPr>
        <w:t>Letecký úrad SR</w:t>
      </w:r>
      <w:r w:rsidRPr="00407CD3" w:rsidR="00BF23C0">
        <w:rPr>
          <w:rFonts w:ascii="Times New Roman" w:hAnsi="Times New Roman" w:cs="Times New Roman"/>
          <w:i w:val="0"/>
        </w:rPr>
        <w:t xml:space="preserve"> </w:t>
      </w:r>
      <w:r w:rsidRPr="00407CD3" w:rsidR="00BF23C0">
        <w:rPr>
          <w:rFonts w:ascii="Times New Roman" w:hAnsi="Times New Roman" w:cs="Times New Roman"/>
          <w:b w:val="0"/>
          <w:i w:val="0"/>
        </w:rPr>
        <w:t>mal rozpisom záväzných ukazovateľ</w:t>
      </w:r>
      <w:r w:rsidR="00C828A0">
        <w:rPr>
          <w:rFonts w:ascii="Times New Roman" w:hAnsi="Times New Roman" w:cs="Times New Roman"/>
          <w:b w:val="0"/>
          <w:i w:val="0"/>
        </w:rPr>
        <w:t>ov štátneho rozpočtu na rok 2007 stanovené príjmy vo výške 4 5</w:t>
      </w:r>
      <w:r w:rsidRPr="00407CD3" w:rsidR="00BF23C0">
        <w:rPr>
          <w:rFonts w:ascii="Times New Roman" w:hAnsi="Times New Roman" w:cs="Times New Roman"/>
          <w:b w:val="0"/>
          <w:i w:val="0"/>
        </w:rPr>
        <w:t>00 000,- Sk.</w:t>
      </w:r>
      <w:r w:rsidRPr="00407CD3" w:rsidR="00240D4A">
        <w:rPr>
          <w:rFonts w:ascii="Times New Roman" w:hAnsi="Times New Roman" w:cs="Times New Roman"/>
          <w:b w:val="0"/>
          <w:i w:val="0"/>
        </w:rPr>
        <w:t xml:space="preserve"> </w:t>
      </w:r>
      <w:r w:rsidRPr="00407CD3" w:rsidR="00BF23C0">
        <w:rPr>
          <w:rFonts w:ascii="Times New Roman" w:hAnsi="Times New Roman" w:cs="Times New Roman"/>
          <w:b w:val="0"/>
          <w:i w:val="0"/>
        </w:rPr>
        <w:t>Skutočn</w:t>
      </w:r>
      <w:r w:rsidRPr="00407CD3" w:rsidR="00556675">
        <w:rPr>
          <w:rFonts w:ascii="Times New Roman" w:hAnsi="Times New Roman" w:cs="Times New Roman"/>
          <w:b w:val="0"/>
          <w:i w:val="0"/>
        </w:rPr>
        <w:t xml:space="preserve">é plnenie príjmov dosiahol </w:t>
      </w:r>
      <w:r w:rsidRPr="00407CD3" w:rsidR="00BF23C0">
        <w:rPr>
          <w:rFonts w:ascii="Times New Roman" w:hAnsi="Times New Roman" w:cs="Times New Roman"/>
          <w:b w:val="0"/>
          <w:i w:val="0"/>
        </w:rPr>
        <w:t>vo výške</w:t>
      </w:r>
      <w:r w:rsidRPr="00407CD3" w:rsidR="00B245E5">
        <w:rPr>
          <w:rFonts w:ascii="Times New Roman" w:hAnsi="Times New Roman" w:cs="Times New Roman"/>
          <w:b w:val="0"/>
          <w:i w:val="0"/>
        </w:rPr>
        <w:t xml:space="preserve"> </w:t>
      </w:r>
      <w:r w:rsidR="00C828A0">
        <w:rPr>
          <w:rFonts w:ascii="Times New Roman" w:hAnsi="Times New Roman" w:cs="Times New Roman"/>
          <w:b w:val="0"/>
          <w:i w:val="0"/>
        </w:rPr>
        <w:t xml:space="preserve">19 422 138,05 </w:t>
      </w:r>
      <w:r w:rsidRPr="00407CD3" w:rsidR="00BF23C0">
        <w:rPr>
          <w:rFonts w:ascii="Times New Roman" w:hAnsi="Times New Roman" w:cs="Times New Roman"/>
          <w:b w:val="0"/>
          <w:i w:val="0"/>
        </w:rPr>
        <w:t>Sk</w:t>
      </w:r>
      <w:r w:rsidR="00C828A0">
        <w:rPr>
          <w:rFonts w:ascii="Times New Roman" w:hAnsi="Times New Roman" w:cs="Times New Roman"/>
          <w:b w:val="0"/>
          <w:i w:val="0"/>
        </w:rPr>
        <w:t xml:space="preserve"> (432</w:t>
      </w:r>
      <w:r w:rsidRPr="00407CD3" w:rsidR="00407CD3">
        <w:rPr>
          <w:rFonts w:ascii="Times New Roman" w:hAnsi="Times New Roman" w:cs="Times New Roman"/>
          <w:b w:val="0"/>
          <w:i w:val="0"/>
        </w:rPr>
        <w:t xml:space="preserve"> %). </w:t>
      </w:r>
      <w:r w:rsidRPr="00407CD3" w:rsidR="00E7667B">
        <w:rPr>
          <w:rFonts w:ascii="Times New Roman" w:hAnsi="Times New Roman" w:cs="Times New Roman"/>
          <w:b w:val="0"/>
          <w:i w:val="0"/>
          <w:szCs w:val="24"/>
        </w:rPr>
        <w:t>Prevažnú časť</w:t>
      </w:r>
      <w:r w:rsidR="00C828A0">
        <w:rPr>
          <w:rFonts w:ascii="Times New Roman" w:hAnsi="Times New Roman" w:cs="Times New Roman"/>
          <w:b w:val="0"/>
          <w:i w:val="0"/>
          <w:szCs w:val="24"/>
        </w:rPr>
        <w:t xml:space="preserve"> príjmov vo výške 19 196 607,- </w:t>
      </w:r>
      <w:r w:rsidRPr="00407CD3" w:rsidR="00E7667B">
        <w:rPr>
          <w:rFonts w:ascii="Times New Roman" w:hAnsi="Times New Roman" w:cs="Times New Roman"/>
          <w:b w:val="0"/>
          <w:i w:val="0"/>
          <w:szCs w:val="24"/>
        </w:rPr>
        <w:t>Sk tvorili príjmy za služby poskyt</w:t>
      </w:r>
      <w:r w:rsidRPr="00407CD3">
        <w:rPr>
          <w:rFonts w:ascii="Times New Roman" w:hAnsi="Times New Roman" w:cs="Times New Roman"/>
          <w:b w:val="0"/>
          <w:i w:val="0"/>
          <w:szCs w:val="24"/>
        </w:rPr>
        <w:t xml:space="preserve">ované </w:t>
      </w:r>
      <w:r w:rsidRPr="00407CD3" w:rsidR="00E7667B">
        <w:rPr>
          <w:rFonts w:ascii="Times New Roman" w:hAnsi="Times New Roman" w:cs="Times New Roman"/>
          <w:b w:val="0"/>
          <w:i w:val="0"/>
          <w:szCs w:val="24"/>
        </w:rPr>
        <w:t>úrado</w:t>
      </w:r>
      <w:r w:rsidR="007016CE">
        <w:rPr>
          <w:rFonts w:ascii="Times New Roman" w:hAnsi="Times New Roman" w:cs="Times New Roman"/>
          <w:b w:val="0"/>
          <w:i w:val="0"/>
          <w:szCs w:val="24"/>
        </w:rPr>
        <w:t>m v zmysle l</w:t>
      </w:r>
      <w:r w:rsidRPr="00407CD3" w:rsidR="00E7667B">
        <w:rPr>
          <w:rFonts w:ascii="Times New Roman" w:hAnsi="Times New Roman" w:cs="Times New Roman"/>
          <w:b w:val="0"/>
          <w:i w:val="0"/>
          <w:szCs w:val="24"/>
        </w:rPr>
        <w:t>eteckého zákona (</w:t>
      </w:r>
      <w:r w:rsidRPr="00407CD3" w:rsidR="00BF23C0">
        <w:rPr>
          <w:rFonts w:ascii="Times New Roman" w:hAnsi="Times New Roman" w:cs="Times New Roman"/>
          <w:b w:val="0"/>
          <w:i w:val="0"/>
          <w:szCs w:val="24"/>
        </w:rPr>
        <w:t>príjmy z</w:t>
      </w:r>
      <w:r w:rsidRPr="00407CD3" w:rsidR="00E7667B">
        <w:rPr>
          <w:rFonts w:ascii="Times New Roman" w:hAnsi="Times New Roman" w:cs="Times New Roman"/>
          <w:b w:val="0"/>
          <w:i w:val="0"/>
          <w:szCs w:val="24"/>
        </w:rPr>
        <w:t> letového merania a overovania, atď., podp</w:t>
      </w:r>
      <w:r w:rsidRPr="00407CD3" w:rsidR="00556675">
        <w:rPr>
          <w:rFonts w:ascii="Times New Roman" w:hAnsi="Times New Roman" w:cs="Times New Roman"/>
          <w:b w:val="0"/>
          <w:i w:val="0"/>
          <w:szCs w:val="24"/>
        </w:rPr>
        <w:t xml:space="preserve">oložka </w:t>
      </w:r>
      <w:r w:rsidRPr="00407CD3" w:rsidR="00E7667B">
        <w:rPr>
          <w:rFonts w:ascii="Times New Roman" w:hAnsi="Times New Roman" w:cs="Times New Roman"/>
          <w:b w:val="0"/>
          <w:i w:val="0"/>
          <w:szCs w:val="24"/>
        </w:rPr>
        <w:t xml:space="preserve">223 001 – Za predaj výrobkov, tovarov a služieb). </w:t>
      </w:r>
      <w:r w:rsidRPr="00407CD3" w:rsidR="00BF23C0">
        <w:rPr>
          <w:rFonts w:ascii="Times New Roman" w:hAnsi="Times New Roman" w:cs="Times New Roman"/>
          <w:b w:val="0"/>
          <w:i w:val="0"/>
          <w:szCs w:val="24"/>
        </w:rPr>
        <w:t>O</w:t>
      </w:r>
      <w:r w:rsidRPr="00407CD3" w:rsidR="00E7667B">
        <w:rPr>
          <w:rFonts w:ascii="Times New Roman" w:hAnsi="Times New Roman" w:cs="Times New Roman"/>
          <w:b w:val="0"/>
          <w:i w:val="0"/>
          <w:szCs w:val="24"/>
        </w:rPr>
        <w:t>statné p</w:t>
      </w:r>
      <w:r w:rsidR="00C828A0">
        <w:rPr>
          <w:rFonts w:ascii="Times New Roman" w:hAnsi="Times New Roman" w:cs="Times New Roman"/>
          <w:b w:val="0"/>
          <w:i w:val="0"/>
          <w:szCs w:val="24"/>
        </w:rPr>
        <w:t>ríjmy úradu dosiahli 225 531</w:t>
      </w:r>
      <w:r w:rsidR="00C828A0">
        <w:rPr>
          <w:rFonts w:ascii="Times New Roman" w:hAnsi="Times New Roman" w:cs="Times New Roman"/>
          <w:b w:val="0"/>
          <w:i w:val="0"/>
          <w:szCs w:val="24"/>
        </w:rPr>
        <w:t xml:space="preserve">,05 </w:t>
      </w:r>
      <w:r w:rsidRPr="00407CD3" w:rsidR="00BF23C0">
        <w:rPr>
          <w:rFonts w:ascii="Times New Roman" w:hAnsi="Times New Roman" w:cs="Times New Roman"/>
          <w:b w:val="0"/>
          <w:i w:val="0"/>
          <w:szCs w:val="24"/>
        </w:rPr>
        <w:t>Sk</w:t>
      </w:r>
      <w:r w:rsidRPr="00407CD3" w:rsidR="00E7667B">
        <w:rPr>
          <w:rFonts w:ascii="Times New Roman" w:hAnsi="Times New Roman" w:cs="Times New Roman"/>
          <w:b w:val="0"/>
          <w:i w:val="0"/>
          <w:szCs w:val="24"/>
        </w:rPr>
        <w:t xml:space="preserve"> (vratky, za porušenie predpisov, ostatné poplatky)</w:t>
      </w:r>
      <w:r w:rsidRPr="00407CD3">
        <w:rPr>
          <w:rFonts w:ascii="Times New Roman" w:hAnsi="Times New Roman" w:cs="Times New Roman"/>
          <w:b w:val="0"/>
          <w:i w:val="0"/>
          <w:szCs w:val="24"/>
        </w:rPr>
        <w:t xml:space="preserve">. </w:t>
      </w:r>
    </w:p>
    <w:p w:rsidR="00407CD3" w:rsidP="00407CD3">
      <w:pPr>
        <w:spacing w:line="240" w:lineRule="auto"/>
        <w:ind w:firstLine="708"/>
        <w:rPr>
          <w:rFonts w:ascii="Times New Roman" w:hAnsi="Times New Roman" w:cs="Times New Roman"/>
          <w:sz w:val="24"/>
          <w:szCs w:val="24"/>
        </w:rPr>
      </w:pPr>
      <w:r w:rsidRPr="00C37E93" w:rsidR="00E7667B">
        <w:rPr>
          <w:rFonts w:ascii="Times New Roman" w:hAnsi="Times New Roman" w:cs="Times New Roman"/>
          <w:sz w:val="24"/>
          <w:szCs w:val="24"/>
        </w:rPr>
        <w:t>Okrem toho</w:t>
      </w:r>
      <w:r>
        <w:rPr>
          <w:rFonts w:ascii="Times New Roman" w:hAnsi="Times New Roman" w:cs="Times New Roman"/>
          <w:sz w:val="24"/>
          <w:szCs w:val="24"/>
        </w:rPr>
        <w:t xml:space="preserve"> mal úrad príjmy za úkony </w:t>
      </w:r>
      <w:r w:rsidRPr="00C37E93" w:rsidR="00E7667B">
        <w:rPr>
          <w:rFonts w:ascii="Times New Roman" w:hAnsi="Times New Roman" w:cs="Times New Roman"/>
          <w:sz w:val="24"/>
          <w:szCs w:val="24"/>
        </w:rPr>
        <w:t>spoplatnené podľa zákona o správnych poplat</w:t>
      </w:r>
      <w:r>
        <w:rPr>
          <w:rFonts w:ascii="Times New Roman" w:hAnsi="Times New Roman" w:cs="Times New Roman"/>
          <w:sz w:val="24"/>
          <w:szCs w:val="24"/>
        </w:rPr>
        <w:t>-</w:t>
      </w:r>
      <w:r w:rsidR="00C828A0">
        <w:rPr>
          <w:rFonts w:ascii="Times New Roman" w:hAnsi="Times New Roman" w:cs="Times New Roman"/>
          <w:sz w:val="24"/>
          <w:szCs w:val="24"/>
        </w:rPr>
        <w:t>koch vo výške 470 200</w:t>
      </w:r>
      <w:r>
        <w:rPr>
          <w:rFonts w:ascii="Times New Roman" w:hAnsi="Times New Roman" w:cs="Times New Roman"/>
          <w:sz w:val="24"/>
          <w:szCs w:val="24"/>
        </w:rPr>
        <w:t xml:space="preserve">,- Sk, ktoré však v zmysle </w:t>
      </w:r>
      <w:r w:rsidRPr="00C37E93" w:rsidR="00C37E93">
        <w:rPr>
          <w:rFonts w:ascii="Times New Roman" w:hAnsi="Times New Roman" w:cs="Times New Roman"/>
          <w:sz w:val="24"/>
          <w:szCs w:val="24"/>
        </w:rPr>
        <w:t xml:space="preserve">zákona </w:t>
      </w:r>
      <w:r w:rsidRPr="00C37E93" w:rsidR="00E7667B">
        <w:rPr>
          <w:rFonts w:ascii="Times New Roman" w:hAnsi="Times New Roman" w:cs="Times New Roman"/>
          <w:sz w:val="24"/>
          <w:szCs w:val="24"/>
        </w:rPr>
        <w:t>o</w:t>
      </w:r>
      <w:r w:rsidRPr="00C37E93" w:rsidR="00556675">
        <w:rPr>
          <w:rFonts w:ascii="Times New Roman" w:hAnsi="Times New Roman" w:cs="Times New Roman"/>
          <w:sz w:val="24"/>
          <w:szCs w:val="24"/>
        </w:rPr>
        <w:t>dviedol na úče</w:t>
      </w:r>
      <w:r w:rsidRPr="00C37E93" w:rsidR="00E7667B">
        <w:rPr>
          <w:rFonts w:ascii="Times New Roman" w:hAnsi="Times New Roman" w:cs="Times New Roman"/>
          <w:sz w:val="24"/>
          <w:szCs w:val="24"/>
        </w:rPr>
        <w:t xml:space="preserve">t daňového úradu. </w:t>
      </w:r>
    </w:p>
    <w:p w:rsidR="00C828A0" w:rsidRPr="00407CD3" w:rsidP="003A7263">
      <w:pPr>
        <w:spacing w:line="240" w:lineRule="auto"/>
        <w:rPr>
          <w:rFonts w:ascii="Times New Roman" w:hAnsi="Times New Roman" w:cs="Times New Roman"/>
          <w:sz w:val="24"/>
          <w:szCs w:val="24"/>
        </w:rPr>
      </w:pPr>
      <w:r w:rsidRPr="00C37E93" w:rsidR="00E7667B">
        <w:rPr>
          <w:rFonts w:ascii="Times New Roman" w:hAnsi="Times New Roman" w:cs="Times New Roman"/>
          <w:sz w:val="24"/>
          <w:szCs w:val="24"/>
        </w:rPr>
        <w:t xml:space="preserve"> </w:t>
      </w:r>
    </w:p>
    <w:p w:rsidR="009800C0" w:rsidP="00407CD3">
      <w:pPr>
        <w:pStyle w:val="Heading5"/>
        <w:spacing w:line="240" w:lineRule="auto"/>
        <w:ind w:firstLine="708"/>
        <w:rPr>
          <w:rFonts w:ascii="Times New Roman" w:hAnsi="Times New Roman" w:cs="Times New Roman"/>
          <w:b w:val="0"/>
          <w:i w:val="0"/>
        </w:rPr>
      </w:pPr>
      <w:r w:rsidRPr="00E721A4" w:rsidR="00D27E26">
        <w:rPr>
          <w:rFonts w:ascii="Times New Roman" w:hAnsi="Times New Roman" w:cs="Times New Roman"/>
          <w:i w:val="0"/>
          <w:sz w:val="28"/>
          <w:szCs w:val="28"/>
          <w:u w:val="single"/>
        </w:rPr>
        <w:t>Telekomunikačný úrad SR</w:t>
      </w:r>
      <w:r w:rsidRPr="00E721A4" w:rsidR="00D27E26">
        <w:rPr>
          <w:rFonts w:ascii="Times New Roman" w:hAnsi="Times New Roman" w:cs="Times New Roman"/>
          <w:b w:val="0"/>
          <w:i w:val="0"/>
        </w:rPr>
        <w:t xml:space="preserve"> m</w:t>
      </w:r>
      <w:r w:rsidRPr="00E721A4" w:rsidR="00D27E26">
        <w:rPr>
          <w:rFonts w:ascii="Times New Roman" w:hAnsi="Times New Roman" w:cs="Times New Roman"/>
          <w:b w:val="0"/>
          <w:i w:val="0"/>
        </w:rPr>
        <w:t>al stanov</w:t>
      </w:r>
      <w:r w:rsidRPr="00E721A4" w:rsidR="00D436F5">
        <w:rPr>
          <w:rFonts w:ascii="Times New Roman" w:hAnsi="Times New Roman" w:cs="Times New Roman"/>
          <w:b w:val="0"/>
          <w:i w:val="0"/>
        </w:rPr>
        <w:t xml:space="preserve">ený </w:t>
      </w:r>
      <w:r w:rsidR="00C74920">
        <w:rPr>
          <w:rFonts w:ascii="Times New Roman" w:hAnsi="Times New Roman" w:cs="Times New Roman"/>
          <w:b w:val="0"/>
          <w:i w:val="0"/>
        </w:rPr>
        <w:t>rozpočet príjmov vo výške 320 5</w:t>
      </w:r>
      <w:r w:rsidRPr="00E721A4" w:rsidR="00D23DF0">
        <w:rPr>
          <w:rFonts w:ascii="Times New Roman" w:hAnsi="Times New Roman" w:cs="Times New Roman"/>
          <w:b w:val="0"/>
          <w:i w:val="0"/>
        </w:rPr>
        <w:t xml:space="preserve">00 000,- </w:t>
      </w:r>
      <w:r w:rsidRPr="00E721A4" w:rsidR="00D436F5">
        <w:rPr>
          <w:rFonts w:ascii="Times New Roman" w:hAnsi="Times New Roman" w:cs="Times New Roman"/>
          <w:b w:val="0"/>
          <w:i w:val="0"/>
        </w:rPr>
        <w:t xml:space="preserve">Sk. </w:t>
      </w:r>
      <w:r w:rsidR="00C74920">
        <w:rPr>
          <w:rFonts w:ascii="Times New Roman" w:hAnsi="Times New Roman" w:cs="Times New Roman"/>
          <w:b w:val="0"/>
          <w:i w:val="0"/>
        </w:rPr>
        <w:t xml:space="preserve">Rozpočtovými opatreniami v priebehu roka 2007 upravovaný nebol. </w:t>
      </w:r>
      <w:r w:rsidR="00AD326E">
        <w:rPr>
          <w:rFonts w:ascii="Times New Roman" w:hAnsi="Times New Roman" w:cs="Arial"/>
          <w:b w:val="0"/>
          <w:i w:val="0"/>
        </w:rPr>
        <w:t xml:space="preserve">Skutočné plnenie príjmov dosiahol úrad vo </w:t>
      </w:r>
      <w:r w:rsidR="00C74920">
        <w:rPr>
          <w:rFonts w:ascii="Times New Roman" w:hAnsi="Times New Roman" w:cs="Arial"/>
          <w:b w:val="0"/>
          <w:i w:val="0"/>
        </w:rPr>
        <w:t xml:space="preserve">výške 494 625 558,30 </w:t>
      </w:r>
      <w:r w:rsidRPr="002C7E22" w:rsidR="00AD326E">
        <w:rPr>
          <w:rFonts w:ascii="Times New Roman" w:hAnsi="Times New Roman" w:cs="Arial"/>
          <w:b w:val="0"/>
          <w:i w:val="0"/>
        </w:rPr>
        <w:t>Sk</w:t>
      </w:r>
      <w:r w:rsidRPr="002C7E22" w:rsidR="00D436F5">
        <w:rPr>
          <w:rFonts w:ascii="Times New Roman" w:hAnsi="Times New Roman" w:cs="Times New Roman"/>
          <w:b w:val="0"/>
          <w:i w:val="0"/>
        </w:rPr>
        <w:t>, čo predsta</w:t>
      </w:r>
      <w:r w:rsidRPr="002C7E22" w:rsidR="00AC3EE9">
        <w:rPr>
          <w:rFonts w:ascii="Times New Roman" w:hAnsi="Times New Roman" w:cs="Times New Roman"/>
          <w:b w:val="0"/>
          <w:i w:val="0"/>
        </w:rPr>
        <w:t>vuje</w:t>
      </w:r>
      <w:r w:rsidRPr="00E721A4" w:rsidR="00AC3EE9">
        <w:rPr>
          <w:rFonts w:ascii="Times New Roman" w:hAnsi="Times New Roman" w:cs="Times New Roman"/>
          <w:b w:val="0"/>
          <w:i w:val="0"/>
        </w:rPr>
        <w:t xml:space="preserve"> prekročenie príjmov o</w:t>
      </w:r>
      <w:r w:rsidR="00AD326E">
        <w:rPr>
          <w:rFonts w:ascii="Times New Roman" w:hAnsi="Times New Roman" w:cs="Times New Roman"/>
          <w:b w:val="0"/>
          <w:i w:val="0"/>
        </w:rPr>
        <w:t xml:space="preserve"> cca </w:t>
      </w:r>
      <w:r w:rsidR="00C74920">
        <w:rPr>
          <w:rFonts w:ascii="Times New Roman" w:hAnsi="Times New Roman" w:cs="Times New Roman"/>
          <w:b w:val="0"/>
          <w:i w:val="0"/>
        </w:rPr>
        <w:t xml:space="preserve">54,3 % (o 174 125 558,30 </w:t>
      </w:r>
      <w:r w:rsidR="00AD326E">
        <w:rPr>
          <w:rFonts w:ascii="Times New Roman" w:hAnsi="Times New Roman" w:cs="Times New Roman"/>
          <w:b w:val="0"/>
          <w:i w:val="0"/>
        </w:rPr>
        <w:t>Sk</w:t>
      </w:r>
      <w:r w:rsidR="00AD326E">
        <w:rPr>
          <w:rFonts w:ascii="Times New Roman" w:hAnsi="Times New Roman" w:cs="Times New Roman"/>
          <w:b w:val="0"/>
          <w:i w:val="0"/>
        </w:rPr>
        <w:t xml:space="preserve">). </w:t>
      </w:r>
      <w:r w:rsidRPr="00E721A4" w:rsidR="00D436F5">
        <w:rPr>
          <w:rFonts w:ascii="Times New Roman" w:hAnsi="Times New Roman" w:cs="Times New Roman"/>
          <w:b w:val="0"/>
          <w:i w:val="0"/>
        </w:rPr>
        <w:t xml:space="preserve">  </w:t>
      </w:r>
    </w:p>
    <w:p w:rsidR="00C74920" w:rsidRPr="00AD326E" w:rsidP="00C362EA">
      <w:pPr>
        <w:spacing w:line="240" w:lineRule="auto"/>
        <w:rPr>
          <w:rFonts w:ascii="Times New Roman" w:hAnsi="Times New Roman" w:cs="Times New Roman"/>
        </w:rPr>
      </w:pPr>
    </w:p>
    <w:p w:rsidR="00670E1B" w:rsidRPr="00540BF8" w:rsidP="00670E1B">
      <w:pPr>
        <w:spacing w:line="240" w:lineRule="auto"/>
        <w:ind w:firstLine="708"/>
        <w:jc w:val="center"/>
        <w:rPr>
          <w:rFonts w:ascii="Times New Roman" w:hAnsi="Times New Roman" w:cs="Times New Roman"/>
          <w:b/>
          <w:sz w:val="24"/>
          <w:szCs w:val="24"/>
        </w:rPr>
      </w:pPr>
      <w:r>
        <w:rPr>
          <w:rFonts w:ascii="Times New Roman" w:hAnsi="Times New Roman" w:cs="Times New Roman"/>
          <w:b/>
          <w:sz w:val="24"/>
          <w:szCs w:val="24"/>
        </w:rPr>
        <w:t>Skutočné príjmy Telekomunikačného úradu SR za rok 2007</w:t>
      </w:r>
    </w:p>
    <w:p w:rsidR="0043111B" w:rsidP="00C362EA">
      <w:pPr>
        <w:spacing w:line="240" w:lineRule="auto"/>
        <w:ind w:left="360"/>
        <w:rPr>
          <w:rFonts w:ascii="Times New Roman" w:hAnsi="Times New Roman" w:cs="Times New Roman"/>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
      <w:tblGrid>
        <w:gridCol w:w="1128"/>
        <w:gridCol w:w="6252"/>
        <w:gridCol w:w="1800"/>
      </w:tblGrid>
      <w:tr>
        <w:tblPrEx>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84"/>
        </w:trPr>
        <w:tc>
          <w:tcPr>
            <w:tcW w:w="1128" w:type="dxa"/>
            <w:tcBorders>
              <w:top w:val="single" w:sz="4" w:space="0" w:color="auto"/>
              <w:left w:val="single" w:sz="4" w:space="0" w:color="auto"/>
              <w:bottom w:val="single" w:sz="4" w:space="0" w:color="auto"/>
              <w:right w:val="single" w:sz="4" w:space="0" w:color="auto"/>
              <w:tl2br w:val="nil"/>
              <w:tr2bl w:val="nil"/>
            </w:tcBorders>
            <w:shd w:val="clear" w:color="auto" w:fill="C0C0C0"/>
            <w:noWrap/>
            <w:textDirection w:val="lrTb"/>
            <w:vAlign w:val="center"/>
          </w:tcPr>
          <w:p w:rsidR="00AD326E" w:rsidRPr="00B7501C" w:rsidP="00C362EA">
            <w:pPr>
              <w:spacing w:line="240" w:lineRule="auto"/>
              <w:jc w:val="center"/>
              <w:rPr>
                <w:rFonts w:ascii="Arial Narrow" w:hAnsi="Arial Narrow" w:cs="Times New Roman"/>
                <w:b/>
                <w:sz w:val="24"/>
                <w:szCs w:val="24"/>
                <w:highlight w:val="lightGray"/>
              </w:rPr>
            </w:pPr>
            <w:r w:rsidRPr="00B7501C">
              <w:rPr>
                <w:rFonts w:ascii="Arial Narrow" w:hAnsi="Arial Narrow" w:cs="Times New Roman"/>
                <w:b/>
                <w:sz w:val="24"/>
                <w:szCs w:val="24"/>
                <w:highlight w:val="lightGray"/>
              </w:rPr>
              <w:t>Položka</w:t>
            </w:r>
          </w:p>
        </w:tc>
        <w:tc>
          <w:tcPr>
            <w:tcW w:w="6252" w:type="dxa"/>
            <w:tcBorders>
              <w:top w:val="single" w:sz="4" w:space="0" w:color="auto"/>
              <w:left w:val="single" w:sz="4" w:space="0" w:color="auto"/>
              <w:bottom w:val="single" w:sz="4" w:space="0" w:color="auto"/>
              <w:right w:val="single" w:sz="4" w:space="0" w:color="auto"/>
              <w:tl2br w:val="nil"/>
              <w:tr2bl w:val="nil"/>
            </w:tcBorders>
            <w:shd w:val="clear" w:color="auto" w:fill="C0C0C0"/>
            <w:noWrap/>
            <w:textDirection w:val="lrTb"/>
            <w:vAlign w:val="center"/>
          </w:tcPr>
          <w:p w:rsidR="00AD326E" w:rsidRPr="00B7501C" w:rsidP="00C362EA">
            <w:pPr>
              <w:spacing w:line="240" w:lineRule="auto"/>
              <w:jc w:val="center"/>
              <w:rPr>
                <w:rFonts w:ascii="Arial Narrow" w:hAnsi="Arial Narrow" w:cs="Times New Roman"/>
                <w:b/>
                <w:sz w:val="24"/>
                <w:szCs w:val="24"/>
                <w:highlight w:val="lightGray"/>
              </w:rPr>
            </w:pPr>
            <w:r w:rsidRPr="00B7501C">
              <w:rPr>
                <w:rFonts w:ascii="Arial Narrow" w:hAnsi="Arial Narrow" w:cs="Times New Roman"/>
                <w:b/>
                <w:sz w:val="24"/>
                <w:szCs w:val="24"/>
                <w:highlight w:val="lightGray"/>
              </w:rPr>
              <w:t>Názov</w:t>
            </w:r>
          </w:p>
        </w:tc>
        <w:tc>
          <w:tcPr>
            <w:tcW w:w="1800" w:type="dxa"/>
            <w:tcBorders>
              <w:top w:val="single" w:sz="4" w:space="0" w:color="auto"/>
              <w:left w:val="single" w:sz="4" w:space="0" w:color="auto"/>
              <w:bottom w:val="single" w:sz="4" w:space="0" w:color="auto"/>
              <w:right w:val="single" w:sz="4" w:space="0" w:color="auto"/>
              <w:tl2br w:val="nil"/>
              <w:tr2bl w:val="nil"/>
            </w:tcBorders>
            <w:shd w:val="clear" w:color="auto" w:fill="C0C0C0"/>
            <w:noWrap/>
            <w:textDirection w:val="lrTb"/>
            <w:vAlign w:val="center"/>
          </w:tcPr>
          <w:p w:rsidR="00AD326E" w:rsidRPr="00B7501C" w:rsidP="00C362EA">
            <w:pPr>
              <w:spacing w:line="240" w:lineRule="auto"/>
              <w:jc w:val="right"/>
              <w:rPr>
                <w:rFonts w:ascii="Arial Narrow" w:hAnsi="Arial Narrow" w:cs="Times New Roman"/>
                <w:b/>
                <w:sz w:val="24"/>
                <w:szCs w:val="24"/>
                <w:highlight w:val="lightGray"/>
              </w:rPr>
            </w:pPr>
            <w:r w:rsidRPr="00B7501C">
              <w:rPr>
                <w:rFonts w:ascii="Arial Narrow" w:hAnsi="Arial Narrow" w:cs="Times New Roman"/>
                <w:b/>
                <w:sz w:val="24"/>
                <w:szCs w:val="24"/>
                <w:highlight w:val="lightGray"/>
              </w:rPr>
              <w:t>Suma v Sk</w:t>
            </w:r>
          </w:p>
        </w:tc>
      </w:tr>
      <w:tr>
        <w:tblPrEx>
          <w:tblW w:w="9180" w:type="dxa"/>
          <w:tblInd w:w="70" w:type="dxa"/>
          <w:tblCellMar>
            <w:left w:w="70" w:type="dxa"/>
            <w:right w:w="70" w:type="dxa"/>
          </w:tblCellMar>
        </w:tblPrEx>
        <w:trPr>
          <w:trHeight w:val="284"/>
        </w:trPr>
        <w:tc>
          <w:tcPr>
            <w:tcW w:w="1128"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AD326E" w:rsidRPr="00B7501C" w:rsidP="00C362EA">
            <w:pPr>
              <w:spacing w:line="240" w:lineRule="auto"/>
              <w:jc w:val="center"/>
              <w:rPr>
                <w:rFonts w:ascii="Arial Narrow" w:hAnsi="Arial Narrow" w:cs="Times New Roman"/>
                <w:b/>
                <w:bCs/>
                <w:sz w:val="22"/>
                <w:szCs w:val="22"/>
              </w:rPr>
            </w:pPr>
            <w:r>
              <w:rPr>
                <w:rFonts w:ascii="Arial Narrow" w:hAnsi="Arial Narrow" w:cs="Times New Roman"/>
                <w:b/>
                <w:bCs/>
                <w:sz w:val="22"/>
                <w:szCs w:val="22"/>
              </w:rPr>
              <w:t>212</w:t>
            </w:r>
          </w:p>
        </w:tc>
        <w:tc>
          <w:tcPr>
            <w:tcW w:w="6252"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AD326E" w:rsidRPr="00B7501C" w:rsidP="00C362EA">
            <w:pPr>
              <w:spacing w:line="240" w:lineRule="auto"/>
              <w:rPr>
                <w:rFonts w:ascii="Arial Narrow" w:hAnsi="Arial Narrow" w:cs="Times New Roman"/>
                <w:b/>
                <w:bCs/>
                <w:sz w:val="22"/>
                <w:szCs w:val="22"/>
              </w:rPr>
            </w:pPr>
            <w:r>
              <w:rPr>
                <w:rFonts w:ascii="Arial Narrow" w:hAnsi="Arial Narrow" w:cs="Times New Roman"/>
                <w:b/>
                <w:bCs/>
                <w:sz w:val="22"/>
                <w:szCs w:val="22"/>
              </w:rPr>
              <w:t xml:space="preserve">Príjmy z vlastníctva majetku </w:t>
            </w:r>
          </w:p>
        </w:tc>
        <w:tc>
          <w:tcPr>
            <w:tcW w:w="180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AD326E" w:rsidRPr="00B7501C" w:rsidP="00C362EA">
            <w:pPr>
              <w:spacing w:line="240" w:lineRule="auto"/>
              <w:jc w:val="right"/>
              <w:rPr>
                <w:rFonts w:ascii="Arial Narrow" w:hAnsi="Arial Narrow" w:cs="Times New Roman"/>
                <w:bCs/>
                <w:sz w:val="22"/>
                <w:szCs w:val="22"/>
              </w:rPr>
            </w:pPr>
            <w:r w:rsidR="0043111B">
              <w:rPr>
                <w:rFonts w:ascii="Arial Narrow" w:hAnsi="Arial Narrow" w:cs="Times New Roman"/>
                <w:bCs/>
                <w:sz w:val="22"/>
                <w:szCs w:val="22"/>
              </w:rPr>
              <w:t>112 548,00</w:t>
            </w:r>
          </w:p>
        </w:tc>
      </w:tr>
      <w:tr>
        <w:tblPrEx>
          <w:tblW w:w="9180" w:type="dxa"/>
          <w:tblInd w:w="70" w:type="dxa"/>
          <w:tblCellMar>
            <w:left w:w="70" w:type="dxa"/>
            <w:right w:w="70" w:type="dxa"/>
          </w:tblCellMar>
        </w:tblPrEx>
        <w:trPr>
          <w:trHeight w:val="284"/>
        </w:trPr>
        <w:tc>
          <w:tcPr>
            <w:tcW w:w="1128"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AD326E" w:rsidP="00C362EA">
            <w:pPr>
              <w:spacing w:line="240" w:lineRule="auto"/>
              <w:jc w:val="center"/>
              <w:rPr>
                <w:rFonts w:ascii="Arial Narrow" w:hAnsi="Arial Narrow" w:cs="Times New Roman"/>
                <w:b/>
                <w:bCs/>
                <w:sz w:val="22"/>
                <w:szCs w:val="22"/>
              </w:rPr>
            </w:pPr>
            <w:r w:rsidR="00DC6C7F">
              <w:rPr>
                <w:rFonts w:ascii="Arial Narrow" w:hAnsi="Arial Narrow" w:cs="Times New Roman"/>
                <w:b/>
                <w:bCs/>
                <w:sz w:val="22"/>
                <w:szCs w:val="22"/>
              </w:rPr>
              <w:t>222</w:t>
            </w:r>
          </w:p>
        </w:tc>
        <w:tc>
          <w:tcPr>
            <w:tcW w:w="6252"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AD326E" w:rsidP="00C362EA">
            <w:pPr>
              <w:spacing w:line="240" w:lineRule="auto"/>
              <w:rPr>
                <w:rFonts w:ascii="Arial Narrow" w:hAnsi="Arial Narrow" w:cs="Times New Roman"/>
                <w:b/>
                <w:bCs/>
                <w:sz w:val="22"/>
                <w:szCs w:val="22"/>
              </w:rPr>
            </w:pPr>
            <w:r w:rsidR="00DC6C7F">
              <w:rPr>
                <w:rFonts w:ascii="Arial Narrow" w:hAnsi="Arial Narrow" w:cs="Times New Roman"/>
                <w:b/>
                <w:bCs/>
                <w:sz w:val="22"/>
                <w:szCs w:val="22"/>
              </w:rPr>
              <w:t>Pokuty, penále a iné sankcie</w:t>
            </w:r>
          </w:p>
        </w:tc>
        <w:tc>
          <w:tcPr>
            <w:tcW w:w="180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AD326E" w:rsidP="00C362EA">
            <w:pPr>
              <w:spacing w:line="240" w:lineRule="auto"/>
              <w:jc w:val="right"/>
              <w:rPr>
                <w:rFonts w:ascii="Arial Narrow" w:hAnsi="Arial Narrow" w:cs="Times New Roman"/>
                <w:bCs/>
                <w:sz w:val="22"/>
                <w:szCs w:val="22"/>
              </w:rPr>
            </w:pPr>
            <w:r w:rsidR="0043111B">
              <w:rPr>
                <w:rFonts w:ascii="Arial Narrow" w:hAnsi="Arial Narrow" w:cs="Times New Roman"/>
                <w:bCs/>
                <w:sz w:val="22"/>
                <w:szCs w:val="22"/>
              </w:rPr>
              <w:t>2 749 211,41</w:t>
            </w:r>
          </w:p>
        </w:tc>
      </w:tr>
      <w:tr>
        <w:tblPrEx>
          <w:tblW w:w="9180" w:type="dxa"/>
          <w:tblInd w:w="70" w:type="dxa"/>
          <w:tblCellMar>
            <w:left w:w="70" w:type="dxa"/>
            <w:right w:w="70" w:type="dxa"/>
          </w:tblCellMar>
        </w:tblPrEx>
        <w:trPr>
          <w:trHeight w:val="284"/>
        </w:trPr>
        <w:tc>
          <w:tcPr>
            <w:tcW w:w="1128"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AD326E" w:rsidRPr="00B7501C" w:rsidP="00C362EA">
            <w:pPr>
              <w:spacing w:line="240" w:lineRule="auto"/>
              <w:jc w:val="center"/>
              <w:rPr>
                <w:rFonts w:ascii="Arial Narrow" w:hAnsi="Arial Narrow" w:cs="Times New Roman"/>
                <w:b/>
                <w:bCs/>
                <w:sz w:val="22"/>
                <w:szCs w:val="22"/>
              </w:rPr>
            </w:pPr>
            <w:r>
              <w:rPr>
                <w:rFonts w:ascii="Arial Narrow" w:hAnsi="Arial Narrow" w:cs="Times New Roman"/>
                <w:b/>
                <w:bCs/>
                <w:sz w:val="22"/>
                <w:szCs w:val="22"/>
              </w:rPr>
              <w:t>22</w:t>
            </w:r>
            <w:r w:rsidR="00DC6C7F">
              <w:rPr>
                <w:rFonts w:ascii="Arial Narrow" w:hAnsi="Arial Narrow" w:cs="Times New Roman"/>
                <w:b/>
                <w:bCs/>
                <w:sz w:val="22"/>
                <w:szCs w:val="22"/>
              </w:rPr>
              <w:t>3 001</w:t>
            </w:r>
          </w:p>
        </w:tc>
        <w:tc>
          <w:tcPr>
            <w:tcW w:w="6252"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AD326E" w:rsidRPr="00B7501C" w:rsidP="00C362EA">
            <w:pPr>
              <w:spacing w:line="240" w:lineRule="auto"/>
              <w:rPr>
                <w:rFonts w:ascii="Arial Narrow" w:hAnsi="Arial Narrow" w:cs="Times New Roman"/>
                <w:b/>
                <w:bCs/>
                <w:sz w:val="22"/>
                <w:szCs w:val="22"/>
              </w:rPr>
            </w:pPr>
            <w:r w:rsidR="00DC6C7F">
              <w:rPr>
                <w:rFonts w:ascii="Arial Narrow" w:hAnsi="Arial Narrow" w:cs="Times New Roman"/>
                <w:b/>
                <w:bCs/>
                <w:sz w:val="22"/>
                <w:szCs w:val="22"/>
              </w:rPr>
              <w:t xml:space="preserve">Za predaj výrobkov, tovarov a služieb </w:t>
            </w:r>
          </w:p>
        </w:tc>
        <w:tc>
          <w:tcPr>
            <w:tcW w:w="180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AD326E" w:rsidRPr="00B7501C" w:rsidP="00C362EA">
            <w:pPr>
              <w:spacing w:line="240" w:lineRule="auto"/>
              <w:jc w:val="right"/>
              <w:rPr>
                <w:rFonts w:ascii="Arial Narrow" w:hAnsi="Arial Narrow" w:cs="Times New Roman"/>
                <w:bCs/>
                <w:sz w:val="22"/>
                <w:szCs w:val="22"/>
              </w:rPr>
            </w:pPr>
            <w:r w:rsidR="00852DAF">
              <w:rPr>
                <w:rFonts w:ascii="Arial Narrow" w:hAnsi="Arial Narrow" w:cs="Times New Roman"/>
                <w:bCs/>
                <w:sz w:val="22"/>
                <w:szCs w:val="22"/>
              </w:rPr>
              <w:t>491 418 054,16</w:t>
            </w:r>
          </w:p>
        </w:tc>
      </w:tr>
      <w:tr>
        <w:tblPrEx>
          <w:tblW w:w="9180" w:type="dxa"/>
          <w:tblInd w:w="70" w:type="dxa"/>
          <w:tblCellMar>
            <w:left w:w="70" w:type="dxa"/>
            <w:right w:w="70" w:type="dxa"/>
          </w:tblCellMar>
        </w:tblPrEx>
        <w:trPr>
          <w:trHeight w:val="284"/>
        </w:trPr>
        <w:tc>
          <w:tcPr>
            <w:tcW w:w="1128"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AD326E" w:rsidRPr="00B7501C" w:rsidP="00C362EA">
            <w:pPr>
              <w:spacing w:line="240" w:lineRule="auto"/>
              <w:jc w:val="center"/>
              <w:rPr>
                <w:rFonts w:ascii="Arial Narrow" w:hAnsi="Arial Narrow" w:cs="Times New Roman"/>
                <w:b/>
                <w:bCs/>
                <w:sz w:val="22"/>
                <w:szCs w:val="22"/>
              </w:rPr>
            </w:pPr>
            <w:r>
              <w:rPr>
                <w:rFonts w:ascii="Arial Narrow" w:hAnsi="Arial Narrow" w:cs="Times New Roman"/>
                <w:b/>
                <w:bCs/>
                <w:sz w:val="22"/>
                <w:szCs w:val="22"/>
              </w:rPr>
              <w:t>23</w:t>
            </w:r>
            <w:r w:rsidR="00DC6C7F">
              <w:rPr>
                <w:rFonts w:ascii="Arial Narrow" w:hAnsi="Arial Narrow" w:cs="Times New Roman"/>
                <w:b/>
                <w:bCs/>
                <w:sz w:val="22"/>
                <w:szCs w:val="22"/>
              </w:rPr>
              <w:t>1</w:t>
            </w:r>
          </w:p>
        </w:tc>
        <w:tc>
          <w:tcPr>
            <w:tcW w:w="6252"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AD326E" w:rsidRPr="00B7501C" w:rsidP="00C362EA">
            <w:pPr>
              <w:spacing w:line="240" w:lineRule="auto"/>
              <w:rPr>
                <w:rFonts w:ascii="Arial Narrow" w:hAnsi="Arial Narrow" w:cs="Times New Roman"/>
                <w:b/>
                <w:bCs/>
                <w:sz w:val="22"/>
                <w:szCs w:val="22"/>
              </w:rPr>
            </w:pPr>
            <w:r w:rsidR="00DC6C7F">
              <w:rPr>
                <w:rFonts w:ascii="Arial Narrow" w:hAnsi="Arial Narrow" w:cs="Times New Roman"/>
                <w:b/>
                <w:bCs/>
                <w:sz w:val="22"/>
                <w:szCs w:val="22"/>
              </w:rPr>
              <w:t>Príjem z</w:t>
            </w:r>
            <w:r w:rsidR="00ED636C">
              <w:rPr>
                <w:rFonts w:ascii="Arial Narrow" w:hAnsi="Arial Narrow" w:cs="Times New Roman"/>
                <w:b/>
                <w:bCs/>
                <w:sz w:val="22"/>
                <w:szCs w:val="22"/>
              </w:rPr>
              <w:t> </w:t>
            </w:r>
            <w:r w:rsidR="00DC6C7F">
              <w:rPr>
                <w:rFonts w:ascii="Arial Narrow" w:hAnsi="Arial Narrow" w:cs="Times New Roman"/>
                <w:b/>
                <w:bCs/>
                <w:sz w:val="22"/>
                <w:szCs w:val="22"/>
              </w:rPr>
              <w:t xml:space="preserve">predaja kapitálových aktív </w:t>
            </w:r>
            <w:r>
              <w:rPr>
                <w:rFonts w:ascii="Arial Narrow" w:hAnsi="Arial Narrow" w:cs="Times New Roman"/>
                <w:b/>
                <w:bCs/>
                <w:sz w:val="22"/>
                <w:szCs w:val="22"/>
              </w:rPr>
              <w:t xml:space="preserve"> </w:t>
            </w:r>
          </w:p>
        </w:tc>
        <w:tc>
          <w:tcPr>
            <w:tcW w:w="180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AD326E" w:rsidRPr="00B7501C" w:rsidP="00C362EA">
            <w:pPr>
              <w:spacing w:line="240" w:lineRule="auto"/>
              <w:jc w:val="right"/>
              <w:rPr>
                <w:rFonts w:ascii="Arial Narrow" w:hAnsi="Arial Narrow" w:cs="Times New Roman"/>
                <w:bCs/>
                <w:sz w:val="22"/>
                <w:szCs w:val="22"/>
              </w:rPr>
            </w:pPr>
            <w:r>
              <w:rPr>
                <w:rFonts w:ascii="Arial Narrow" w:hAnsi="Arial Narrow" w:cs="Times New Roman"/>
                <w:bCs/>
                <w:sz w:val="22"/>
                <w:szCs w:val="22"/>
              </w:rPr>
              <w:t xml:space="preserve"> </w:t>
            </w:r>
            <w:r w:rsidR="00852DAF">
              <w:rPr>
                <w:rFonts w:ascii="Arial Narrow" w:hAnsi="Arial Narrow" w:cs="Times New Roman"/>
                <w:bCs/>
                <w:sz w:val="22"/>
                <w:szCs w:val="22"/>
              </w:rPr>
              <w:t>62 200,00</w:t>
            </w:r>
          </w:p>
        </w:tc>
      </w:tr>
      <w:tr>
        <w:tblPrEx>
          <w:tblW w:w="9180" w:type="dxa"/>
          <w:tblInd w:w="70" w:type="dxa"/>
          <w:tblCellMar>
            <w:left w:w="70" w:type="dxa"/>
            <w:right w:w="70" w:type="dxa"/>
          </w:tblCellMar>
        </w:tblPrEx>
        <w:trPr>
          <w:trHeight w:val="284"/>
        </w:trPr>
        <w:tc>
          <w:tcPr>
            <w:tcW w:w="1128"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AD326E" w:rsidRPr="00B7501C" w:rsidP="00C362EA">
            <w:pPr>
              <w:spacing w:line="240" w:lineRule="auto"/>
              <w:jc w:val="center"/>
              <w:rPr>
                <w:rFonts w:ascii="Arial Narrow" w:hAnsi="Arial Narrow" w:cs="Times New Roman"/>
                <w:b/>
                <w:bCs/>
                <w:sz w:val="22"/>
                <w:szCs w:val="22"/>
              </w:rPr>
            </w:pPr>
            <w:r>
              <w:rPr>
                <w:rFonts w:ascii="Arial Narrow" w:hAnsi="Arial Narrow" w:cs="Times New Roman"/>
                <w:b/>
                <w:bCs/>
                <w:sz w:val="22"/>
                <w:szCs w:val="22"/>
              </w:rPr>
              <w:t>29</w:t>
            </w:r>
            <w:r w:rsidR="00DC6C7F">
              <w:rPr>
                <w:rFonts w:ascii="Arial Narrow" w:hAnsi="Arial Narrow" w:cs="Times New Roman"/>
                <w:b/>
                <w:bCs/>
                <w:sz w:val="22"/>
                <w:szCs w:val="22"/>
              </w:rPr>
              <w:t>2</w:t>
            </w:r>
          </w:p>
        </w:tc>
        <w:tc>
          <w:tcPr>
            <w:tcW w:w="6252"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AD326E" w:rsidRPr="00B7501C" w:rsidP="00C362EA">
            <w:pPr>
              <w:spacing w:line="240" w:lineRule="auto"/>
              <w:rPr>
                <w:rFonts w:ascii="Arial Narrow" w:hAnsi="Arial Narrow" w:cs="Times New Roman"/>
                <w:b/>
                <w:bCs/>
                <w:sz w:val="22"/>
                <w:szCs w:val="22"/>
              </w:rPr>
            </w:pPr>
            <w:r w:rsidR="00DC6C7F">
              <w:rPr>
                <w:rFonts w:ascii="Arial Narrow" w:hAnsi="Arial Narrow" w:cs="Times New Roman"/>
                <w:b/>
                <w:bCs/>
                <w:sz w:val="22"/>
                <w:szCs w:val="22"/>
              </w:rPr>
              <w:t xml:space="preserve">Ostatné príjmy </w:t>
            </w:r>
            <w:r>
              <w:rPr>
                <w:rFonts w:ascii="Arial Narrow" w:hAnsi="Arial Narrow" w:cs="Times New Roman"/>
                <w:bCs/>
                <w:sz w:val="22"/>
                <w:szCs w:val="22"/>
              </w:rPr>
              <w:t>(z dobropisov,  úhrad škôd a náhrad dohôd</w:t>
            </w:r>
            <w:r w:rsidRPr="00D906CE">
              <w:rPr>
                <w:rFonts w:ascii="Arial Narrow" w:hAnsi="Arial Narrow" w:cs="Times New Roman"/>
                <w:bCs/>
                <w:sz w:val="22"/>
                <w:szCs w:val="22"/>
              </w:rPr>
              <w:t>)</w:t>
            </w:r>
          </w:p>
        </w:tc>
        <w:tc>
          <w:tcPr>
            <w:tcW w:w="180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AD326E" w:rsidRPr="00B7501C" w:rsidP="00C362EA">
            <w:pPr>
              <w:spacing w:line="240" w:lineRule="auto"/>
              <w:jc w:val="right"/>
              <w:rPr>
                <w:rFonts w:ascii="Arial Narrow" w:hAnsi="Arial Narrow" w:cs="Times New Roman"/>
                <w:bCs/>
                <w:sz w:val="22"/>
                <w:szCs w:val="22"/>
              </w:rPr>
            </w:pPr>
            <w:r>
              <w:rPr>
                <w:rFonts w:ascii="Arial Narrow" w:hAnsi="Arial Narrow" w:cs="Times New Roman"/>
                <w:bCs/>
                <w:sz w:val="22"/>
                <w:szCs w:val="22"/>
              </w:rPr>
              <w:t xml:space="preserve">     </w:t>
            </w:r>
            <w:r w:rsidR="00852DAF">
              <w:rPr>
                <w:rFonts w:ascii="Arial Narrow" w:hAnsi="Arial Narrow" w:cs="Times New Roman"/>
                <w:bCs/>
                <w:sz w:val="22"/>
                <w:szCs w:val="22"/>
              </w:rPr>
              <w:t>283 544,73</w:t>
            </w:r>
          </w:p>
        </w:tc>
      </w:tr>
      <w:tr>
        <w:tblPrEx>
          <w:tblW w:w="9180" w:type="dxa"/>
          <w:tblInd w:w="70" w:type="dxa"/>
          <w:tblCellMar>
            <w:left w:w="70" w:type="dxa"/>
            <w:right w:w="70" w:type="dxa"/>
          </w:tblCellMar>
        </w:tblPrEx>
        <w:trPr>
          <w:trHeight w:val="340"/>
        </w:trPr>
        <w:tc>
          <w:tcPr>
            <w:tcW w:w="1128" w:type="dxa"/>
            <w:tcBorders>
              <w:top w:val="single" w:sz="4" w:space="0" w:color="auto"/>
              <w:left w:val="single" w:sz="4" w:space="0" w:color="auto"/>
              <w:bottom w:val="single" w:sz="4" w:space="0" w:color="auto"/>
              <w:right w:val="single" w:sz="4" w:space="0" w:color="auto"/>
              <w:tl2br w:val="nil"/>
              <w:tr2bl w:val="nil"/>
            </w:tcBorders>
            <w:shd w:val="clear" w:color="auto" w:fill="C0C0C0"/>
            <w:noWrap/>
            <w:textDirection w:val="lrTb"/>
            <w:vAlign w:val="center"/>
          </w:tcPr>
          <w:p w:rsidR="00AD326E" w:rsidRPr="00B7501C" w:rsidP="00C362EA">
            <w:pPr>
              <w:spacing w:line="240" w:lineRule="auto"/>
              <w:jc w:val="center"/>
              <w:rPr>
                <w:rFonts w:ascii="Arial Narrow" w:hAnsi="Arial Narrow" w:cs="Times New Roman"/>
                <w:b/>
                <w:bCs/>
                <w:sz w:val="22"/>
                <w:szCs w:val="22"/>
              </w:rPr>
            </w:pPr>
          </w:p>
        </w:tc>
        <w:tc>
          <w:tcPr>
            <w:tcW w:w="6252" w:type="dxa"/>
            <w:tcBorders>
              <w:top w:val="single" w:sz="4" w:space="0" w:color="auto"/>
              <w:left w:val="single" w:sz="4" w:space="0" w:color="auto"/>
              <w:bottom w:val="single" w:sz="4" w:space="0" w:color="auto"/>
              <w:right w:val="single" w:sz="4" w:space="0" w:color="auto"/>
              <w:tl2br w:val="nil"/>
              <w:tr2bl w:val="nil"/>
            </w:tcBorders>
            <w:shd w:val="clear" w:color="auto" w:fill="C0C0C0"/>
            <w:textDirection w:val="lrTb"/>
            <w:vAlign w:val="center"/>
          </w:tcPr>
          <w:p w:rsidR="00AD326E" w:rsidRPr="00B7501C" w:rsidP="00C362EA">
            <w:pPr>
              <w:spacing w:line="240" w:lineRule="auto"/>
              <w:rPr>
                <w:rFonts w:ascii="Arial Narrow" w:hAnsi="Arial Narrow" w:cs="Times New Roman"/>
                <w:b/>
                <w:bCs/>
                <w:sz w:val="22"/>
                <w:szCs w:val="22"/>
              </w:rPr>
            </w:pPr>
            <w:r>
              <w:rPr>
                <w:rFonts w:ascii="Arial Narrow" w:hAnsi="Arial Narrow" w:cs="Times New Roman"/>
                <w:b/>
                <w:bCs/>
                <w:sz w:val="22"/>
                <w:szCs w:val="22"/>
              </w:rPr>
              <w:t>PRÍJMY SPOLU</w:t>
            </w:r>
          </w:p>
        </w:tc>
        <w:tc>
          <w:tcPr>
            <w:tcW w:w="1800" w:type="dxa"/>
            <w:tcBorders>
              <w:top w:val="single" w:sz="4" w:space="0" w:color="auto"/>
              <w:left w:val="single" w:sz="4" w:space="0" w:color="auto"/>
              <w:bottom w:val="single" w:sz="4" w:space="0" w:color="auto"/>
              <w:right w:val="single" w:sz="4" w:space="0" w:color="auto"/>
              <w:tl2br w:val="nil"/>
              <w:tr2bl w:val="nil"/>
            </w:tcBorders>
            <w:shd w:val="clear" w:color="auto" w:fill="C0C0C0"/>
            <w:noWrap/>
            <w:textDirection w:val="lrTb"/>
            <w:vAlign w:val="center"/>
          </w:tcPr>
          <w:p w:rsidR="00AD326E" w:rsidRPr="00D45BA9" w:rsidP="00C362EA">
            <w:pPr>
              <w:spacing w:line="240" w:lineRule="auto"/>
              <w:jc w:val="right"/>
              <w:rPr>
                <w:rFonts w:ascii="Arial Narrow" w:hAnsi="Arial Narrow" w:cs="Times New Roman"/>
                <w:b/>
                <w:bCs/>
                <w:sz w:val="22"/>
                <w:szCs w:val="22"/>
              </w:rPr>
            </w:pPr>
            <w:r w:rsidR="00DC6C7F">
              <w:rPr>
                <w:rFonts w:ascii="Arial Narrow" w:hAnsi="Arial Narrow" w:cs="Times New Roman"/>
                <w:b/>
                <w:bCs/>
                <w:sz w:val="22"/>
                <w:szCs w:val="22"/>
              </w:rPr>
              <w:t xml:space="preserve">  </w:t>
            </w:r>
            <w:r w:rsidR="00852DAF">
              <w:rPr>
                <w:rFonts w:ascii="Arial Narrow" w:hAnsi="Arial Narrow" w:cs="Times New Roman"/>
                <w:b/>
                <w:bCs/>
                <w:sz w:val="22"/>
                <w:szCs w:val="22"/>
              </w:rPr>
              <w:t>494 625 558,30</w:t>
            </w:r>
          </w:p>
        </w:tc>
      </w:tr>
    </w:tbl>
    <w:p w:rsidR="003D5897" w:rsidP="00C362EA">
      <w:pPr>
        <w:spacing w:line="240" w:lineRule="auto"/>
        <w:rPr>
          <w:rFonts w:ascii="Times New Roman" w:hAnsi="Times New Roman" w:cs="Times New Roman"/>
          <w:sz w:val="24"/>
          <w:szCs w:val="24"/>
        </w:rPr>
      </w:pPr>
    </w:p>
    <w:p w:rsidR="00CB2678" w:rsidP="00C362EA">
      <w:pPr>
        <w:spacing w:line="240" w:lineRule="auto"/>
        <w:rPr>
          <w:rFonts w:ascii="Times New Roman" w:hAnsi="Times New Roman" w:cs="Times New Roman"/>
          <w:sz w:val="24"/>
          <w:szCs w:val="24"/>
        </w:rPr>
      </w:pPr>
    </w:p>
    <w:p w:rsidR="00C74920" w:rsidP="00B27788">
      <w:pPr>
        <w:spacing w:line="240" w:lineRule="auto"/>
        <w:ind w:firstLine="720"/>
        <w:rPr>
          <w:rFonts w:ascii="Times New Roman" w:hAnsi="Times New Roman" w:cs="Times New Roman"/>
          <w:sz w:val="24"/>
          <w:szCs w:val="24"/>
        </w:rPr>
      </w:pPr>
      <w:r w:rsidR="00AC3EE9">
        <w:rPr>
          <w:rFonts w:ascii="Times New Roman" w:hAnsi="Times New Roman" w:cs="Times New Roman"/>
          <w:sz w:val="24"/>
          <w:szCs w:val="24"/>
        </w:rPr>
        <w:t>Najvyšší podiel na p</w:t>
      </w:r>
      <w:r w:rsidR="00A958E5">
        <w:rPr>
          <w:rFonts w:ascii="Times New Roman" w:hAnsi="Times New Roman" w:cs="Times New Roman"/>
          <w:sz w:val="24"/>
          <w:szCs w:val="24"/>
        </w:rPr>
        <w:t xml:space="preserve">ríjmoch TÚ SR </w:t>
      </w:r>
      <w:r w:rsidR="00852DAF">
        <w:rPr>
          <w:rFonts w:ascii="Times New Roman" w:hAnsi="Times New Roman" w:cs="Times New Roman"/>
          <w:sz w:val="24"/>
          <w:szCs w:val="24"/>
        </w:rPr>
        <w:t xml:space="preserve">vo výške 494 625 558,30 </w:t>
      </w:r>
      <w:r w:rsidR="0084056D">
        <w:rPr>
          <w:rFonts w:ascii="Times New Roman" w:hAnsi="Times New Roman" w:cs="Times New Roman"/>
          <w:sz w:val="24"/>
          <w:szCs w:val="24"/>
        </w:rPr>
        <w:t xml:space="preserve">Sk </w:t>
      </w:r>
      <w:r w:rsidR="00AC3EE9">
        <w:rPr>
          <w:rFonts w:ascii="Times New Roman" w:hAnsi="Times New Roman" w:cs="Times New Roman"/>
          <w:sz w:val="24"/>
          <w:szCs w:val="24"/>
        </w:rPr>
        <w:t>predstavujú</w:t>
      </w:r>
      <w:r w:rsidR="0084056D">
        <w:rPr>
          <w:rFonts w:ascii="Times New Roman" w:hAnsi="Times New Roman" w:cs="Times New Roman"/>
          <w:sz w:val="24"/>
          <w:szCs w:val="24"/>
        </w:rPr>
        <w:t xml:space="preserve"> príjmy za povolenia používať</w:t>
      </w:r>
      <w:r w:rsidR="0084056D">
        <w:rPr>
          <w:rFonts w:ascii="Times New Roman" w:hAnsi="Times New Roman" w:cs="Times New Roman"/>
          <w:sz w:val="24"/>
          <w:szCs w:val="24"/>
        </w:rPr>
        <w:t xml:space="preserve"> frekvencie, ktoré úrad vydáva rozhodnutím, ako administratívne úhrady podnikov poskytujúcich</w:t>
      </w:r>
      <w:r w:rsidRPr="00B25E5F" w:rsidR="00B25E5F">
        <w:rPr>
          <w:rFonts w:ascii="Times New Roman" w:hAnsi="Times New Roman" w:cs="Times New Roman"/>
          <w:sz w:val="24"/>
          <w:szCs w:val="24"/>
        </w:rPr>
        <w:t xml:space="preserve"> siete</w:t>
      </w:r>
      <w:r w:rsidR="0084056D">
        <w:rPr>
          <w:rFonts w:ascii="Times New Roman" w:hAnsi="Times New Roman" w:cs="Times New Roman"/>
          <w:sz w:val="24"/>
          <w:szCs w:val="24"/>
        </w:rPr>
        <w:t xml:space="preserve"> v zmysle § 6, odst. 5, zákona </w:t>
      </w:r>
      <w:r w:rsidR="00B25E5F">
        <w:rPr>
          <w:rFonts w:ascii="Times New Roman" w:hAnsi="Times New Roman" w:cs="Times New Roman"/>
          <w:sz w:val="24"/>
          <w:szCs w:val="24"/>
        </w:rPr>
        <w:t>č. 610/2003 Z.z. o  elektronických komunikáciá</w:t>
      </w:r>
      <w:r w:rsidR="0084056D">
        <w:rPr>
          <w:rFonts w:ascii="Times New Roman" w:hAnsi="Times New Roman" w:cs="Times New Roman"/>
          <w:sz w:val="24"/>
          <w:szCs w:val="24"/>
        </w:rPr>
        <w:t>ch v znení neskorších predpisov</w:t>
      </w:r>
      <w:r w:rsidR="00A71AA5">
        <w:rPr>
          <w:rFonts w:ascii="Times New Roman" w:hAnsi="Times New Roman" w:cs="Times New Roman"/>
          <w:sz w:val="24"/>
          <w:szCs w:val="24"/>
        </w:rPr>
        <w:t>.</w:t>
      </w:r>
      <w:r w:rsidR="0084056D">
        <w:rPr>
          <w:rFonts w:ascii="Times New Roman" w:hAnsi="Times New Roman" w:cs="Times New Roman"/>
          <w:sz w:val="24"/>
          <w:szCs w:val="24"/>
        </w:rPr>
        <w:t xml:space="preserve"> Sú to opakované každoročné úhrady, ktoré boli podnikom uložené v spomínaných rozhodnutiach. </w:t>
      </w:r>
    </w:p>
    <w:p w:rsidR="00CB2678" w:rsidP="003A7263">
      <w:pPr>
        <w:autoSpaceDE/>
        <w:autoSpaceDN/>
        <w:spacing w:line="240" w:lineRule="atLeast"/>
        <w:ind w:firstLine="709"/>
        <w:textAlignment w:val="auto"/>
        <w:rPr>
          <w:rFonts w:ascii="Times New Roman" w:hAnsi="Times New Roman" w:cs="Times New Roman"/>
          <w:sz w:val="24"/>
          <w:szCs w:val="24"/>
        </w:rPr>
      </w:pPr>
    </w:p>
    <w:p w:rsidR="003A7263" w:rsidP="003A7263">
      <w:pPr>
        <w:autoSpaceDE/>
        <w:autoSpaceDN/>
        <w:spacing w:line="240" w:lineRule="atLeast"/>
        <w:ind w:firstLine="709"/>
        <w:textAlignment w:val="auto"/>
        <w:rPr>
          <w:rFonts w:ascii="Times New Roman" w:hAnsi="Times New Roman" w:cs="Times New Roman"/>
          <w:color w:val="000000"/>
          <w:sz w:val="24"/>
          <w:szCs w:val="24"/>
          <w:lang w:eastAsia="sk-SK"/>
        </w:rPr>
      </w:pPr>
      <w:r w:rsidR="0084056D">
        <w:rPr>
          <w:rFonts w:ascii="Times New Roman" w:hAnsi="Times New Roman" w:cs="Times New Roman"/>
          <w:sz w:val="24"/>
          <w:szCs w:val="24"/>
        </w:rPr>
        <w:t>Prekročenie plánovanýc</w:t>
      </w:r>
      <w:r w:rsidR="003D5897">
        <w:rPr>
          <w:rFonts w:ascii="Times New Roman" w:hAnsi="Times New Roman" w:cs="Times New Roman"/>
          <w:sz w:val="24"/>
          <w:szCs w:val="24"/>
        </w:rPr>
        <w:t>h príjmov bolo spôsobené</w:t>
      </w:r>
      <w:r>
        <w:rPr>
          <w:rFonts w:ascii="Times New Roman" w:hAnsi="Times New Roman" w:cs="Times New Roman"/>
          <w:sz w:val="24"/>
          <w:szCs w:val="24"/>
        </w:rPr>
        <w:t xml:space="preserve"> najmä z </w:t>
      </w:r>
      <w:r>
        <w:rPr>
          <w:rFonts w:ascii="Times New Roman" w:hAnsi="Times New Roman" w:cs="Times New Roman"/>
          <w:color w:val="000000"/>
          <w:sz w:val="24"/>
          <w:szCs w:val="24"/>
          <w:lang w:eastAsia="sk-SK"/>
        </w:rPr>
        <w:t xml:space="preserve">nasledovných dôvodov: </w:t>
      </w:r>
    </w:p>
    <w:p w:rsidR="00CB2678" w:rsidP="00A97E21">
      <w:pPr>
        <w:autoSpaceDE/>
        <w:autoSpaceDN/>
        <w:spacing w:line="240" w:lineRule="atLeast"/>
        <w:ind w:firstLine="709"/>
        <w:textAlignment w:val="auto"/>
        <w:rPr>
          <w:rFonts w:ascii="Times New Roman" w:hAnsi="Times New Roman" w:cs="Times New Roman"/>
          <w:color w:val="000000"/>
          <w:sz w:val="24"/>
          <w:szCs w:val="24"/>
          <w:lang w:eastAsia="sk-SK"/>
        </w:rPr>
      </w:pPr>
    </w:p>
    <w:p w:rsidR="003D5897" w:rsidP="00A97E21">
      <w:pPr>
        <w:autoSpaceDE/>
        <w:autoSpaceDN/>
        <w:spacing w:line="240" w:lineRule="atLeast"/>
        <w:ind w:firstLine="709"/>
        <w:textAlignment w:val="auto"/>
        <w:rPr>
          <w:rFonts w:ascii="Times New Roman" w:hAnsi="Times New Roman" w:cs="Times New Roman"/>
          <w:color w:val="000000"/>
          <w:sz w:val="24"/>
          <w:szCs w:val="24"/>
          <w:lang w:eastAsia="sk-SK"/>
        </w:rPr>
      </w:pPr>
      <w:r w:rsidR="003A7263">
        <w:rPr>
          <w:rFonts w:ascii="Times New Roman" w:hAnsi="Times New Roman" w:cs="Times New Roman"/>
          <w:color w:val="000000"/>
          <w:sz w:val="24"/>
          <w:szCs w:val="24"/>
          <w:lang w:eastAsia="sk-SK"/>
        </w:rPr>
        <w:t>Podľa všeobecného povolenia</w:t>
      </w:r>
      <w:r w:rsidRPr="003A7263" w:rsidR="003A7263">
        <w:rPr>
          <w:rFonts w:ascii="Times New Roman" w:hAnsi="Times New Roman" w:cs="Times New Roman"/>
          <w:color w:val="000000"/>
          <w:sz w:val="24"/>
          <w:szCs w:val="24"/>
          <w:lang w:eastAsia="sk-SK"/>
        </w:rPr>
        <w:t xml:space="preserve"> TÚ SR číslo 1/2004 bol povinný každý</w:t>
      </w:r>
      <w:r w:rsidR="003A7263">
        <w:rPr>
          <w:rFonts w:ascii="Times New Roman" w:hAnsi="Times New Roman" w:cs="Times New Roman"/>
          <w:color w:val="000000"/>
          <w:sz w:val="24"/>
          <w:szCs w:val="24"/>
          <w:lang w:eastAsia="sk-SK"/>
        </w:rPr>
        <w:t xml:space="preserve"> </w:t>
      </w:r>
      <w:r w:rsidRPr="003A7263" w:rsidR="003A7263">
        <w:rPr>
          <w:rFonts w:ascii="Times New Roman" w:hAnsi="Times New Roman" w:cs="Times New Roman"/>
          <w:color w:val="000000"/>
          <w:sz w:val="24"/>
          <w:szCs w:val="24"/>
          <w:lang w:eastAsia="sk-SK"/>
        </w:rPr>
        <w:t>operátor uhradiť TÚ SR 0,05</w:t>
      </w:r>
      <w:r w:rsidR="003A7263">
        <w:rPr>
          <w:rFonts w:ascii="Times New Roman" w:hAnsi="Times New Roman" w:cs="Times New Roman"/>
          <w:color w:val="000000"/>
          <w:sz w:val="24"/>
          <w:szCs w:val="24"/>
          <w:lang w:eastAsia="sk-SK"/>
        </w:rPr>
        <w:t xml:space="preserve"> </w:t>
      </w:r>
      <w:r w:rsidRPr="003A7263" w:rsidR="003A7263">
        <w:rPr>
          <w:rFonts w:ascii="Times New Roman" w:hAnsi="Times New Roman" w:cs="Times New Roman"/>
          <w:color w:val="000000"/>
          <w:sz w:val="24"/>
          <w:szCs w:val="24"/>
          <w:lang w:eastAsia="sk-SK"/>
        </w:rPr>
        <w:t>% zo svojich ročných tržieb. Táto povinnosť bola</w:t>
      </w:r>
      <w:r w:rsidR="003A7263">
        <w:rPr>
          <w:rFonts w:ascii="Times New Roman" w:hAnsi="Times New Roman" w:cs="Times New Roman"/>
          <w:color w:val="000000"/>
          <w:sz w:val="24"/>
          <w:szCs w:val="24"/>
          <w:lang w:eastAsia="sk-SK"/>
        </w:rPr>
        <w:t xml:space="preserve"> pre rok 2007 </w:t>
      </w:r>
      <w:r w:rsidRPr="003A7263" w:rsidR="003A7263">
        <w:rPr>
          <w:rFonts w:ascii="Times New Roman" w:hAnsi="Times New Roman" w:cs="Times New Roman"/>
          <w:color w:val="000000"/>
          <w:sz w:val="24"/>
          <w:szCs w:val="24"/>
          <w:lang w:eastAsia="sk-SK"/>
        </w:rPr>
        <w:t>zvýšená na 0,08</w:t>
      </w:r>
      <w:r w:rsidR="003A7263">
        <w:rPr>
          <w:rFonts w:ascii="Times New Roman" w:hAnsi="Times New Roman" w:cs="Times New Roman"/>
          <w:color w:val="000000"/>
          <w:sz w:val="24"/>
          <w:szCs w:val="24"/>
          <w:lang w:eastAsia="sk-SK"/>
        </w:rPr>
        <w:t xml:space="preserve"> </w:t>
      </w:r>
      <w:r w:rsidRPr="003A7263" w:rsidR="003A7263">
        <w:rPr>
          <w:rFonts w:ascii="Times New Roman" w:hAnsi="Times New Roman" w:cs="Times New Roman"/>
          <w:color w:val="000000"/>
          <w:sz w:val="24"/>
          <w:szCs w:val="24"/>
          <w:lang w:eastAsia="sk-SK"/>
        </w:rPr>
        <w:t>% z ročných tržieb operátora. Okrem uvedeného</w:t>
      </w:r>
      <w:r w:rsidR="003A7263">
        <w:rPr>
          <w:rFonts w:ascii="Times New Roman" w:hAnsi="Times New Roman" w:cs="Times New Roman"/>
          <w:color w:val="000000"/>
          <w:sz w:val="24"/>
          <w:szCs w:val="24"/>
          <w:lang w:eastAsia="sk-SK"/>
        </w:rPr>
        <w:t xml:space="preserve"> </w:t>
      </w:r>
      <w:r w:rsidRPr="003A7263" w:rsidR="003A7263">
        <w:rPr>
          <w:rFonts w:ascii="Times New Roman" w:hAnsi="Times New Roman" w:cs="Times New Roman"/>
          <w:color w:val="000000"/>
          <w:sz w:val="24"/>
          <w:szCs w:val="24"/>
          <w:lang w:eastAsia="sk-SK"/>
        </w:rPr>
        <w:t>narástli aj ročné tržby operátorov, a tý</w:t>
      </w:r>
      <w:r w:rsidR="003A7263">
        <w:rPr>
          <w:rFonts w:ascii="Times New Roman" w:hAnsi="Times New Roman" w:cs="Times New Roman"/>
          <w:color w:val="000000"/>
          <w:sz w:val="24"/>
          <w:szCs w:val="24"/>
          <w:lang w:eastAsia="sk-SK"/>
        </w:rPr>
        <w:t xml:space="preserve">m aj príjmy TÚ SR. V roku 2007 sa taktiež zvýšil </w:t>
      </w:r>
      <w:r w:rsidRPr="003A7263" w:rsidR="003A7263">
        <w:rPr>
          <w:rFonts w:ascii="Times New Roman" w:hAnsi="Times New Roman" w:cs="Times New Roman"/>
          <w:color w:val="000000"/>
          <w:sz w:val="24"/>
          <w:szCs w:val="24"/>
          <w:lang w:eastAsia="sk-SK"/>
        </w:rPr>
        <w:t>počet vydaných individuálnych rozhodnutí na pridelenie</w:t>
      </w:r>
      <w:r w:rsidR="003A7263">
        <w:rPr>
          <w:rFonts w:ascii="Times New Roman" w:hAnsi="Times New Roman" w:cs="Times New Roman"/>
          <w:color w:val="000000"/>
          <w:sz w:val="24"/>
          <w:szCs w:val="24"/>
          <w:lang w:eastAsia="sk-SK"/>
        </w:rPr>
        <w:t xml:space="preserve"> frekvencií. </w:t>
      </w:r>
      <w:r w:rsidRPr="003A7263" w:rsidR="003A7263">
        <w:rPr>
          <w:rFonts w:ascii="Times New Roman" w:hAnsi="Times New Roman" w:cs="Times New Roman"/>
          <w:color w:val="000000"/>
          <w:sz w:val="24"/>
          <w:szCs w:val="24"/>
          <w:lang w:eastAsia="sk-SK"/>
        </w:rPr>
        <w:t>Plán bol vybaviť</w:t>
      </w:r>
      <w:r w:rsidR="003A7263">
        <w:rPr>
          <w:rFonts w:ascii="Times New Roman" w:hAnsi="Times New Roman" w:cs="Times New Roman"/>
          <w:color w:val="000000"/>
          <w:sz w:val="24"/>
          <w:szCs w:val="24"/>
          <w:lang w:eastAsia="sk-SK"/>
        </w:rPr>
        <w:t xml:space="preserve"> 1 </w:t>
      </w:r>
      <w:r w:rsidRPr="003A7263" w:rsidR="003A7263">
        <w:rPr>
          <w:rFonts w:ascii="Times New Roman" w:hAnsi="Times New Roman" w:cs="Times New Roman"/>
          <w:color w:val="000000"/>
          <w:sz w:val="24"/>
          <w:szCs w:val="24"/>
          <w:lang w:eastAsia="sk-SK"/>
        </w:rPr>
        <w:t>00</w:t>
      </w:r>
      <w:r w:rsidR="003A7263">
        <w:rPr>
          <w:rFonts w:ascii="Times New Roman" w:hAnsi="Times New Roman" w:cs="Times New Roman"/>
          <w:color w:val="000000"/>
          <w:sz w:val="24"/>
          <w:szCs w:val="24"/>
          <w:lang w:eastAsia="sk-SK"/>
        </w:rPr>
        <w:t xml:space="preserve">0 ks </w:t>
      </w:r>
      <w:r w:rsidRPr="003A7263" w:rsidR="003A7263">
        <w:rPr>
          <w:rFonts w:ascii="Times New Roman" w:hAnsi="Times New Roman" w:cs="Times New Roman"/>
          <w:color w:val="000000"/>
          <w:sz w:val="24"/>
          <w:szCs w:val="24"/>
          <w:lang w:eastAsia="sk-SK"/>
        </w:rPr>
        <w:t>rozh</w:t>
      </w:r>
      <w:r w:rsidR="003A7263">
        <w:rPr>
          <w:rFonts w:ascii="Times New Roman" w:hAnsi="Times New Roman" w:cs="Times New Roman"/>
          <w:color w:val="000000"/>
          <w:sz w:val="24"/>
          <w:szCs w:val="24"/>
          <w:lang w:eastAsia="sk-SK"/>
        </w:rPr>
        <w:t xml:space="preserve">odnutí o pridelení frekvencií, </w:t>
      </w:r>
      <w:r w:rsidRPr="003A7263" w:rsidR="003A7263">
        <w:rPr>
          <w:rFonts w:ascii="Times New Roman" w:hAnsi="Times New Roman" w:cs="Times New Roman"/>
          <w:color w:val="000000"/>
          <w:sz w:val="24"/>
          <w:szCs w:val="24"/>
          <w:lang w:eastAsia="sk-SK"/>
        </w:rPr>
        <w:t>v skutočnosti bolo vydaných</w:t>
      </w:r>
      <w:r w:rsidR="003A7263">
        <w:rPr>
          <w:rFonts w:ascii="Times New Roman" w:hAnsi="Times New Roman" w:cs="Times New Roman"/>
          <w:color w:val="000000"/>
          <w:sz w:val="24"/>
          <w:szCs w:val="24"/>
          <w:lang w:eastAsia="sk-SK"/>
        </w:rPr>
        <w:t xml:space="preserve"> 6 345 ks </w:t>
      </w:r>
      <w:r w:rsidRPr="003A7263" w:rsidR="003A7263">
        <w:rPr>
          <w:rFonts w:ascii="Times New Roman" w:hAnsi="Times New Roman" w:cs="Times New Roman"/>
          <w:color w:val="000000"/>
          <w:sz w:val="24"/>
          <w:szCs w:val="24"/>
          <w:lang w:eastAsia="sk-SK"/>
        </w:rPr>
        <w:t>rozhodnutí, čo sa následne odr</w:t>
      </w:r>
      <w:r w:rsidR="003A7263">
        <w:rPr>
          <w:rFonts w:ascii="Times New Roman" w:hAnsi="Times New Roman" w:cs="Times New Roman"/>
          <w:color w:val="000000"/>
          <w:sz w:val="24"/>
          <w:szCs w:val="24"/>
          <w:lang w:eastAsia="sk-SK"/>
        </w:rPr>
        <w:t>azilo aj na príjmoch Telekomunikačného úradu SR.</w:t>
      </w:r>
    </w:p>
    <w:p w:rsidR="00670E1B" w:rsidP="00A97E21">
      <w:pPr>
        <w:autoSpaceDE/>
        <w:autoSpaceDN/>
        <w:spacing w:line="240" w:lineRule="atLeast"/>
        <w:ind w:firstLine="709"/>
        <w:textAlignment w:val="auto"/>
        <w:rPr>
          <w:rFonts w:ascii="Times New Roman" w:hAnsi="Times New Roman" w:cs="Times New Roman"/>
          <w:color w:val="000000"/>
          <w:sz w:val="24"/>
          <w:szCs w:val="24"/>
          <w:lang w:eastAsia="sk-SK"/>
        </w:rPr>
      </w:pPr>
    </w:p>
    <w:p w:rsidR="00CB2678" w:rsidRPr="00A97E21" w:rsidP="00A97E21">
      <w:pPr>
        <w:autoSpaceDE/>
        <w:autoSpaceDN/>
        <w:spacing w:line="240" w:lineRule="atLeast"/>
        <w:ind w:firstLine="709"/>
        <w:textAlignment w:val="auto"/>
        <w:rPr>
          <w:rFonts w:ascii="Times New Roman" w:hAnsi="Times New Roman" w:cs="Times New Roman"/>
          <w:color w:val="000000"/>
          <w:sz w:val="24"/>
          <w:szCs w:val="24"/>
          <w:lang w:eastAsia="sk-SK"/>
        </w:rPr>
      </w:pPr>
    </w:p>
    <w:p w:rsidR="003D5897" w:rsidP="00B27788">
      <w:pPr>
        <w:tabs>
          <w:tab w:val="left" w:pos="360"/>
          <w:tab w:val="left" w:pos="3600"/>
          <w:tab w:val="left" w:pos="3960"/>
          <w:tab w:val="left" w:pos="5220"/>
          <w:tab w:val="left" w:pos="5580"/>
          <w:tab w:val="left" w:pos="5940"/>
          <w:tab w:val="left" w:pos="6300"/>
          <w:tab w:val="left" w:pos="8100"/>
        </w:tabs>
        <w:spacing w:line="240" w:lineRule="auto"/>
        <w:jc w:val="center"/>
        <w:rPr>
          <w:rFonts w:ascii="Times New Roman" w:hAnsi="Times New Roman" w:cs="Times New Roman"/>
          <w:b/>
          <w:sz w:val="24"/>
          <w:szCs w:val="24"/>
        </w:rPr>
      </w:pPr>
      <w:r w:rsidR="0084056D">
        <w:rPr>
          <w:rFonts w:ascii="Times New Roman" w:hAnsi="Times New Roman" w:cs="Times New Roman"/>
          <w:b/>
          <w:sz w:val="24"/>
          <w:szCs w:val="24"/>
        </w:rPr>
        <w:t>P</w:t>
      </w:r>
      <w:r w:rsidRPr="009C0235" w:rsidR="0084056D">
        <w:rPr>
          <w:rFonts w:ascii="Times New Roman" w:hAnsi="Times New Roman" w:cs="Times New Roman"/>
          <w:b/>
          <w:sz w:val="24"/>
          <w:szCs w:val="24"/>
        </w:rPr>
        <w:t xml:space="preserve">ríjmy </w:t>
      </w:r>
      <w:r w:rsidR="0084056D">
        <w:rPr>
          <w:rFonts w:ascii="Times New Roman" w:hAnsi="Times New Roman" w:cs="Times New Roman"/>
          <w:b/>
          <w:sz w:val="24"/>
          <w:szCs w:val="24"/>
        </w:rPr>
        <w:t xml:space="preserve">TÚ SR </w:t>
      </w:r>
      <w:r w:rsidRPr="009C0235" w:rsidR="0084056D">
        <w:rPr>
          <w:rFonts w:ascii="Times New Roman" w:hAnsi="Times New Roman" w:cs="Times New Roman"/>
          <w:b/>
          <w:sz w:val="24"/>
          <w:szCs w:val="24"/>
        </w:rPr>
        <w:t>členené pod</w:t>
      </w:r>
      <w:r w:rsidR="0084056D">
        <w:rPr>
          <w:rFonts w:ascii="Times New Roman" w:hAnsi="Times New Roman" w:cs="Times New Roman"/>
          <w:b/>
          <w:sz w:val="24"/>
          <w:szCs w:val="24"/>
        </w:rPr>
        <w:t>ľa druhov činností</w:t>
      </w:r>
    </w:p>
    <w:p w:rsidR="00CB2678" w:rsidRPr="009C0235" w:rsidP="00B27788">
      <w:pPr>
        <w:tabs>
          <w:tab w:val="left" w:pos="360"/>
          <w:tab w:val="left" w:pos="3600"/>
          <w:tab w:val="left" w:pos="3960"/>
          <w:tab w:val="left" w:pos="5220"/>
          <w:tab w:val="left" w:pos="5580"/>
          <w:tab w:val="left" w:pos="5940"/>
          <w:tab w:val="left" w:pos="6300"/>
          <w:tab w:val="left" w:pos="8100"/>
        </w:tabs>
        <w:spacing w:line="240" w:lineRule="auto"/>
        <w:jc w:val="center"/>
        <w:rPr>
          <w:rFonts w:ascii="Times New Roman" w:hAnsi="Times New Roman" w:cs="Times New Roman"/>
          <w:b/>
          <w:sz w:val="24"/>
          <w:szCs w:val="24"/>
        </w:rPr>
      </w:pPr>
    </w:p>
    <w:p w:rsidR="00830EEC" w:rsidRPr="00830EEC" w:rsidP="00C362EA">
      <w:pPr>
        <w:tabs>
          <w:tab w:val="left" w:pos="360"/>
          <w:tab w:val="left" w:pos="3600"/>
          <w:tab w:val="left" w:pos="3960"/>
          <w:tab w:val="left" w:pos="5220"/>
          <w:tab w:val="left" w:pos="5580"/>
          <w:tab w:val="left" w:pos="5940"/>
          <w:tab w:val="left" w:pos="6300"/>
          <w:tab w:val="left" w:pos="8100"/>
        </w:tabs>
        <w:spacing w:line="240" w:lineRule="auto"/>
        <w:rPr>
          <w:rFonts w:ascii="Arial Narrow" w:hAnsi="Arial Narrow" w:cs="Times New Roman"/>
          <w:sz w:val="22"/>
          <w:szCs w:val="22"/>
        </w:rPr>
      </w:pPr>
      <w:r w:rsidRPr="00830EEC">
        <w:rPr>
          <w:rFonts w:ascii="Arial Narrow" w:hAnsi="Arial Narrow" w:cs="Times New Roman"/>
          <w:sz w:val="22"/>
          <w:szCs w:val="22"/>
        </w:rPr>
        <w:t xml:space="preserve">                                              </w:t>
      </w:r>
      <w:r w:rsidRPr="00830EEC">
        <w:rPr>
          <w:rFonts w:ascii="Arial Narrow" w:hAnsi="Arial Narrow" w:cs="Times New Roman"/>
          <w:sz w:val="22"/>
          <w:szCs w:val="22"/>
        </w:rPr>
        <w:t xml:space="preserve">                                                                                      </w:t>
      </w:r>
      <w:r>
        <w:rPr>
          <w:rFonts w:ascii="Arial Narrow" w:hAnsi="Arial Narrow" w:cs="Times New Roman"/>
          <w:sz w:val="22"/>
          <w:szCs w:val="22"/>
        </w:rPr>
        <w:t xml:space="preserve">                                   </w:t>
      </w:r>
      <w:r w:rsidRPr="00830EEC">
        <w:rPr>
          <w:rFonts w:ascii="Arial Narrow" w:hAnsi="Arial Narrow" w:cs="Times New Roman"/>
          <w:sz w:val="22"/>
          <w:szCs w:val="22"/>
        </w:rPr>
        <w:t xml:space="preserve">   (v Sk)</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Grid>
        <w:gridCol w:w="6408"/>
        <w:gridCol w:w="2700"/>
      </w:tblGrid>
      <w:tr>
        <w:tblPrEx>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auto" w:val="0"/>
        </w:trPr>
        <w:tc>
          <w:tcPr>
            <w:tcW w:w="6408" w:type="dxa"/>
            <w:tcBorders>
              <w:top w:val="single" w:sz="4" w:space="0" w:color="auto"/>
              <w:left w:val="single" w:sz="4" w:space="0" w:color="auto"/>
              <w:bottom w:val="single" w:sz="4" w:space="0" w:color="auto"/>
              <w:right w:val="single" w:sz="4" w:space="0" w:color="auto"/>
              <w:tl2br w:val="nil"/>
              <w:tr2bl w:val="nil"/>
            </w:tcBorders>
            <w:shd w:val="clear" w:color="auto" w:fill="C0C0C0"/>
            <w:textDirection w:val="lrTb"/>
            <w:vAlign w:val="bottom"/>
          </w:tcPr>
          <w:p w:rsidR="00830EEC" w:rsidRPr="00830EEC" w:rsidP="00C362EA">
            <w:pPr>
              <w:spacing w:line="240" w:lineRule="auto"/>
              <w:jc w:val="center"/>
              <w:rPr>
                <w:rFonts w:ascii="Arial Narrow" w:hAnsi="Arial Narrow" w:cs="Times New Roman"/>
                <w:b/>
                <w:sz w:val="22"/>
                <w:szCs w:val="22"/>
              </w:rPr>
            </w:pPr>
            <w:r w:rsidRPr="00830EEC">
              <w:rPr>
                <w:rFonts w:ascii="Arial Narrow" w:hAnsi="Arial Narrow" w:cs="Times New Roman"/>
                <w:b/>
                <w:sz w:val="22"/>
                <w:szCs w:val="22"/>
              </w:rPr>
              <w:t>Druh činnosti</w:t>
            </w:r>
          </w:p>
        </w:tc>
        <w:tc>
          <w:tcPr>
            <w:tcW w:w="2700" w:type="dxa"/>
            <w:tcBorders>
              <w:top w:val="single" w:sz="4" w:space="0" w:color="auto"/>
              <w:left w:val="single" w:sz="4" w:space="0" w:color="auto"/>
              <w:bottom w:val="single" w:sz="4" w:space="0" w:color="auto"/>
              <w:right w:val="single" w:sz="4" w:space="0" w:color="auto"/>
              <w:tl2br w:val="nil"/>
              <w:tr2bl w:val="nil"/>
            </w:tcBorders>
            <w:shd w:val="clear" w:color="auto" w:fill="C0C0C0"/>
            <w:textDirection w:val="lrTb"/>
            <w:vAlign w:val="bottom"/>
          </w:tcPr>
          <w:p w:rsidR="00830EEC" w:rsidRPr="00830EEC" w:rsidP="00C362EA">
            <w:pPr>
              <w:spacing w:line="240" w:lineRule="auto"/>
              <w:jc w:val="center"/>
              <w:rPr>
                <w:rFonts w:ascii="Arial Narrow" w:hAnsi="Arial Narrow" w:cs="Times New Roman"/>
                <w:b/>
                <w:sz w:val="22"/>
                <w:szCs w:val="22"/>
              </w:rPr>
            </w:pPr>
            <w:r w:rsidRPr="00830EEC">
              <w:rPr>
                <w:rFonts w:ascii="Arial Narrow" w:hAnsi="Arial Narrow" w:cs="Times New Roman"/>
                <w:b/>
                <w:sz w:val="22"/>
                <w:szCs w:val="22"/>
              </w:rPr>
              <w:t>Príjmy</w:t>
            </w:r>
          </w:p>
        </w:tc>
      </w:tr>
      <w:tr>
        <w:tblPrEx>
          <w:tblW w:w="9108" w:type="dxa"/>
        </w:tblPrEx>
        <w:trPr>
          <w:trHeight w:hRule="auto" w:val="0"/>
        </w:trPr>
        <w:tc>
          <w:tcPr>
            <w:tcW w:w="6408" w:type="dxa"/>
            <w:tcBorders>
              <w:top w:val="single" w:sz="4" w:space="0" w:color="auto"/>
              <w:left w:val="single" w:sz="4" w:space="0" w:color="auto"/>
              <w:bottom w:val="single" w:sz="4" w:space="0" w:color="auto"/>
              <w:right w:val="single" w:sz="4" w:space="0" w:color="auto"/>
              <w:tl2br w:val="nil"/>
              <w:tr2bl w:val="nil"/>
            </w:tcBorders>
            <w:textDirection w:val="lrTb"/>
            <w:vAlign w:val="bottom"/>
          </w:tcPr>
          <w:p w:rsidR="00830EEC" w:rsidRPr="004B1375" w:rsidP="00C362EA">
            <w:pPr>
              <w:spacing w:line="240" w:lineRule="auto"/>
              <w:rPr>
                <w:rFonts w:ascii="Arial Narrow" w:hAnsi="Arial Narrow" w:cs="Times New Roman"/>
              </w:rPr>
            </w:pPr>
            <w:r w:rsidRPr="004B1375">
              <w:rPr>
                <w:rFonts w:ascii="Arial Narrow" w:hAnsi="Arial Narrow" w:cs="Times New Roman"/>
              </w:rPr>
              <w:t>Rádioamaté</w:t>
            </w:r>
            <w:r w:rsidR="003D5897">
              <w:rPr>
                <w:rFonts w:ascii="Arial Narrow" w:hAnsi="Arial Narrow" w:cs="Times New Roman"/>
              </w:rPr>
              <w:t>rska služba</w:t>
            </w:r>
          </w:p>
        </w:tc>
        <w:tc>
          <w:tcPr>
            <w:tcW w:w="2700" w:type="dxa"/>
            <w:tcBorders>
              <w:top w:val="single" w:sz="4" w:space="0" w:color="auto"/>
              <w:left w:val="single" w:sz="4" w:space="0" w:color="auto"/>
              <w:bottom w:val="single" w:sz="4" w:space="0" w:color="auto"/>
              <w:right w:val="single" w:sz="4" w:space="0" w:color="auto"/>
              <w:tl2br w:val="nil"/>
              <w:tr2bl w:val="nil"/>
            </w:tcBorders>
            <w:textDirection w:val="lrTb"/>
            <w:vAlign w:val="bottom"/>
          </w:tcPr>
          <w:p w:rsidR="00830EEC" w:rsidRPr="004B1375" w:rsidP="00C362EA">
            <w:pPr>
              <w:spacing w:line="240" w:lineRule="auto"/>
              <w:jc w:val="right"/>
              <w:rPr>
                <w:rFonts w:ascii="Arial Narrow" w:hAnsi="Arial Narrow" w:cs="Times New Roman"/>
              </w:rPr>
            </w:pPr>
            <w:r w:rsidR="00C7748E">
              <w:rPr>
                <w:rFonts w:ascii="Arial Narrow" w:hAnsi="Arial Narrow" w:cs="Times New Roman"/>
              </w:rPr>
              <w:t>16 800</w:t>
            </w:r>
          </w:p>
        </w:tc>
      </w:tr>
      <w:tr>
        <w:tblPrEx>
          <w:tblW w:w="9108" w:type="dxa"/>
        </w:tblPrEx>
        <w:trPr>
          <w:trHeight w:hRule="auto" w:val="0"/>
        </w:trPr>
        <w:tc>
          <w:tcPr>
            <w:tcW w:w="640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30EEC" w:rsidRPr="004B1375" w:rsidP="00C362EA">
            <w:pPr>
              <w:tabs>
                <w:tab w:val="left" w:pos="360"/>
                <w:tab w:val="left" w:pos="3600"/>
                <w:tab w:val="left" w:pos="3960"/>
                <w:tab w:val="left" w:pos="5220"/>
                <w:tab w:val="left" w:pos="5580"/>
                <w:tab w:val="left" w:pos="5940"/>
                <w:tab w:val="left" w:pos="6300"/>
                <w:tab w:val="left" w:pos="8100"/>
              </w:tabs>
              <w:spacing w:line="240" w:lineRule="auto"/>
              <w:rPr>
                <w:rFonts w:ascii="Arial Narrow" w:hAnsi="Arial Narrow" w:cs="Times New Roman"/>
                <w:b/>
              </w:rPr>
            </w:pPr>
            <w:r w:rsidRPr="004B1375">
              <w:rPr>
                <w:rFonts w:ascii="Arial Narrow" w:hAnsi="Arial Narrow" w:cs="Times New Roman"/>
              </w:rPr>
              <w:t xml:space="preserve">Pozemná pohyblivá služba na spol. frekvenciách                           </w:t>
            </w:r>
            <w:r w:rsidRPr="004B1375">
              <w:rPr>
                <w:rFonts w:ascii="Arial Narrow" w:hAnsi="Arial Narrow" w:cs="Times New Roman"/>
              </w:rPr>
              <w:t xml:space="preserve">               </w:t>
            </w:r>
          </w:p>
        </w:tc>
        <w:tc>
          <w:tcPr>
            <w:tcW w:w="2700" w:type="dxa"/>
            <w:tcBorders>
              <w:top w:val="single" w:sz="4" w:space="0" w:color="auto"/>
              <w:left w:val="single" w:sz="4" w:space="0" w:color="auto"/>
              <w:bottom w:val="single" w:sz="4" w:space="0" w:color="auto"/>
              <w:right w:val="single" w:sz="4" w:space="0" w:color="auto"/>
              <w:tl2br w:val="nil"/>
              <w:tr2bl w:val="nil"/>
            </w:tcBorders>
            <w:textDirection w:val="lrTb"/>
            <w:vAlign w:val="bottom"/>
          </w:tcPr>
          <w:p w:rsidR="00830EEC" w:rsidRPr="004B1375" w:rsidP="00C362EA">
            <w:pPr>
              <w:spacing w:line="240" w:lineRule="auto"/>
              <w:jc w:val="right"/>
              <w:rPr>
                <w:rFonts w:ascii="Arial Narrow" w:hAnsi="Arial Narrow" w:cs="Times New Roman"/>
              </w:rPr>
            </w:pPr>
            <w:r w:rsidR="00C7748E">
              <w:rPr>
                <w:rFonts w:ascii="Arial Narrow" w:hAnsi="Arial Narrow" w:cs="Times New Roman"/>
              </w:rPr>
              <w:t>44 986 030</w:t>
            </w:r>
          </w:p>
        </w:tc>
      </w:tr>
      <w:tr>
        <w:tblPrEx>
          <w:tblW w:w="9108" w:type="dxa"/>
        </w:tblPrEx>
        <w:trPr>
          <w:trHeight w:hRule="auto" w:val="0"/>
        </w:trPr>
        <w:tc>
          <w:tcPr>
            <w:tcW w:w="6408" w:type="dxa"/>
            <w:tcBorders>
              <w:top w:val="single" w:sz="4" w:space="0" w:color="auto"/>
              <w:left w:val="single" w:sz="4" w:space="0" w:color="auto"/>
              <w:bottom w:val="single" w:sz="4" w:space="0" w:color="auto"/>
              <w:right w:val="single" w:sz="4" w:space="0" w:color="auto"/>
              <w:tl2br w:val="nil"/>
              <w:tr2bl w:val="nil"/>
            </w:tcBorders>
            <w:textDirection w:val="lrTb"/>
            <w:vAlign w:val="bottom"/>
          </w:tcPr>
          <w:p w:rsidR="00830EEC" w:rsidRPr="004B1375" w:rsidP="00C362EA">
            <w:pPr>
              <w:spacing w:line="240" w:lineRule="auto"/>
              <w:rPr>
                <w:rFonts w:ascii="Arial Narrow" w:hAnsi="Arial Narrow" w:cs="Times New Roman"/>
              </w:rPr>
            </w:pPr>
            <w:r w:rsidRPr="004B1375">
              <w:rPr>
                <w:rFonts w:ascii="Arial Narrow" w:hAnsi="Arial Narrow" w:cs="Times New Roman"/>
              </w:rPr>
              <w:t xml:space="preserve">Pevná a družicová služba                                                                             </w:t>
            </w:r>
          </w:p>
        </w:tc>
        <w:tc>
          <w:tcPr>
            <w:tcW w:w="2700" w:type="dxa"/>
            <w:tcBorders>
              <w:top w:val="single" w:sz="4" w:space="0" w:color="auto"/>
              <w:left w:val="single" w:sz="4" w:space="0" w:color="auto"/>
              <w:bottom w:val="single" w:sz="4" w:space="0" w:color="auto"/>
              <w:right w:val="single" w:sz="4" w:space="0" w:color="auto"/>
              <w:tl2br w:val="nil"/>
              <w:tr2bl w:val="nil"/>
            </w:tcBorders>
            <w:textDirection w:val="lrTb"/>
            <w:vAlign w:val="bottom"/>
          </w:tcPr>
          <w:p w:rsidR="00830EEC" w:rsidRPr="004B1375" w:rsidP="00C362EA">
            <w:pPr>
              <w:spacing w:line="240" w:lineRule="auto"/>
              <w:jc w:val="right"/>
              <w:rPr>
                <w:rFonts w:ascii="Arial Narrow" w:hAnsi="Arial Narrow" w:cs="Times New Roman"/>
              </w:rPr>
            </w:pPr>
            <w:r w:rsidR="00C7748E">
              <w:rPr>
                <w:rFonts w:ascii="Arial Narrow" w:hAnsi="Arial Narrow" w:cs="Times New Roman"/>
              </w:rPr>
              <w:t>253 135 466</w:t>
            </w:r>
          </w:p>
        </w:tc>
      </w:tr>
      <w:tr>
        <w:tblPrEx>
          <w:tblW w:w="9108" w:type="dxa"/>
        </w:tblPrEx>
        <w:trPr>
          <w:trHeight w:hRule="auto" w:val="0"/>
        </w:trPr>
        <w:tc>
          <w:tcPr>
            <w:tcW w:w="6408" w:type="dxa"/>
            <w:tcBorders>
              <w:top w:val="single" w:sz="4" w:space="0" w:color="auto"/>
              <w:left w:val="single" w:sz="4" w:space="0" w:color="auto"/>
              <w:bottom w:val="single" w:sz="4" w:space="0" w:color="auto"/>
              <w:right w:val="single" w:sz="4" w:space="0" w:color="auto"/>
              <w:tl2br w:val="nil"/>
              <w:tr2bl w:val="nil"/>
            </w:tcBorders>
            <w:textDirection w:val="lrTb"/>
            <w:vAlign w:val="bottom"/>
          </w:tcPr>
          <w:p w:rsidR="00830EEC" w:rsidRPr="004B1375" w:rsidP="00C362EA">
            <w:pPr>
              <w:spacing w:line="240" w:lineRule="auto"/>
              <w:rPr>
                <w:rFonts w:ascii="Arial Narrow" w:hAnsi="Arial Narrow" w:cs="Times New Roman"/>
              </w:rPr>
            </w:pPr>
            <w:r w:rsidRPr="004B1375">
              <w:rPr>
                <w:rFonts w:ascii="Arial Narrow" w:hAnsi="Arial Narrow" w:cs="Times New Roman"/>
              </w:rPr>
              <w:t>Rádiostanice – staré číslovanie</w:t>
            </w:r>
          </w:p>
        </w:tc>
        <w:tc>
          <w:tcPr>
            <w:tcW w:w="2700" w:type="dxa"/>
            <w:tcBorders>
              <w:top w:val="single" w:sz="4" w:space="0" w:color="auto"/>
              <w:left w:val="single" w:sz="4" w:space="0" w:color="auto"/>
              <w:bottom w:val="single" w:sz="4" w:space="0" w:color="auto"/>
              <w:right w:val="single" w:sz="4" w:space="0" w:color="auto"/>
              <w:tl2br w:val="nil"/>
              <w:tr2bl w:val="nil"/>
            </w:tcBorders>
            <w:textDirection w:val="lrTb"/>
            <w:vAlign w:val="bottom"/>
          </w:tcPr>
          <w:p w:rsidR="00830EEC" w:rsidRPr="004B1375" w:rsidP="00C362EA">
            <w:pPr>
              <w:spacing w:line="240" w:lineRule="auto"/>
              <w:jc w:val="right"/>
              <w:rPr>
                <w:rFonts w:ascii="Arial Narrow" w:hAnsi="Arial Narrow" w:cs="Times New Roman"/>
              </w:rPr>
            </w:pPr>
            <w:r w:rsidR="00C7748E">
              <w:rPr>
                <w:rFonts w:ascii="Arial Narrow" w:hAnsi="Arial Narrow" w:cs="Times New Roman"/>
              </w:rPr>
              <w:t>134 961 490</w:t>
            </w:r>
          </w:p>
        </w:tc>
      </w:tr>
      <w:tr>
        <w:tblPrEx>
          <w:tblW w:w="9108" w:type="dxa"/>
        </w:tblPrEx>
        <w:trPr>
          <w:trHeight w:hRule="auto" w:val="0"/>
        </w:trPr>
        <w:tc>
          <w:tcPr>
            <w:tcW w:w="6408" w:type="dxa"/>
            <w:tcBorders>
              <w:top w:val="single" w:sz="4" w:space="0" w:color="auto"/>
              <w:left w:val="single" w:sz="4" w:space="0" w:color="auto"/>
              <w:bottom w:val="single" w:sz="4" w:space="0" w:color="auto"/>
              <w:right w:val="single" w:sz="4" w:space="0" w:color="auto"/>
              <w:tl2br w:val="nil"/>
              <w:tr2bl w:val="nil"/>
            </w:tcBorders>
            <w:textDirection w:val="lrTb"/>
            <w:vAlign w:val="bottom"/>
          </w:tcPr>
          <w:p w:rsidR="00830EEC" w:rsidRPr="004B1375" w:rsidP="00C362EA">
            <w:pPr>
              <w:spacing w:line="240" w:lineRule="auto"/>
              <w:rPr>
                <w:rFonts w:ascii="Arial Narrow" w:hAnsi="Arial Narrow" w:cs="Times New Roman"/>
              </w:rPr>
            </w:pPr>
            <w:r w:rsidRPr="004B1375">
              <w:rPr>
                <w:rFonts w:ascii="Arial Narrow" w:hAnsi="Arial Narrow" w:cs="Times New Roman"/>
              </w:rPr>
              <w:t>Osobitné povolenia</w:t>
            </w:r>
          </w:p>
        </w:tc>
        <w:tc>
          <w:tcPr>
            <w:tcW w:w="2700" w:type="dxa"/>
            <w:tcBorders>
              <w:top w:val="single" w:sz="4" w:space="0" w:color="auto"/>
              <w:left w:val="single" w:sz="4" w:space="0" w:color="auto"/>
              <w:bottom w:val="single" w:sz="4" w:space="0" w:color="auto"/>
              <w:right w:val="single" w:sz="4" w:space="0" w:color="auto"/>
              <w:tl2br w:val="nil"/>
              <w:tr2bl w:val="nil"/>
            </w:tcBorders>
            <w:textDirection w:val="lrTb"/>
            <w:vAlign w:val="bottom"/>
          </w:tcPr>
          <w:p w:rsidR="00830EEC" w:rsidRPr="004B1375" w:rsidP="00C362EA">
            <w:pPr>
              <w:spacing w:line="240" w:lineRule="auto"/>
              <w:jc w:val="right"/>
              <w:rPr>
                <w:rFonts w:ascii="Arial Narrow" w:hAnsi="Arial Narrow" w:cs="Times New Roman"/>
              </w:rPr>
            </w:pPr>
            <w:r w:rsidR="00C7748E">
              <w:rPr>
                <w:rFonts w:ascii="Arial Narrow" w:hAnsi="Arial Narrow" w:cs="Times New Roman"/>
              </w:rPr>
              <w:t>2 323 534</w:t>
            </w:r>
          </w:p>
        </w:tc>
      </w:tr>
      <w:tr>
        <w:tblPrEx>
          <w:tblW w:w="9108" w:type="dxa"/>
        </w:tblPrEx>
        <w:trPr>
          <w:trHeight w:hRule="auto" w:val="0"/>
        </w:trPr>
        <w:tc>
          <w:tcPr>
            <w:tcW w:w="6408" w:type="dxa"/>
            <w:tcBorders>
              <w:top w:val="single" w:sz="4" w:space="0" w:color="auto"/>
              <w:left w:val="single" w:sz="4" w:space="0" w:color="auto"/>
              <w:bottom w:val="single" w:sz="4" w:space="0" w:color="auto"/>
              <w:right w:val="single" w:sz="4" w:space="0" w:color="auto"/>
              <w:tl2br w:val="nil"/>
              <w:tr2bl w:val="nil"/>
            </w:tcBorders>
            <w:textDirection w:val="lrTb"/>
            <w:vAlign w:val="bottom"/>
          </w:tcPr>
          <w:p w:rsidR="00830EEC" w:rsidRPr="004B1375" w:rsidP="00C362EA">
            <w:pPr>
              <w:spacing w:line="240" w:lineRule="auto"/>
              <w:rPr>
                <w:rFonts w:ascii="Arial Narrow" w:hAnsi="Arial Narrow" w:cs="Times New Roman"/>
                <w:b/>
                <w:bCs/>
              </w:rPr>
            </w:pPr>
            <w:r w:rsidR="003D5897">
              <w:rPr>
                <w:rFonts w:ascii="Arial Narrow" w:hAnsi="Arial Narrow" w:cs="Times New Roman"/>
                <w:b/>
                <w:bCs/>
              </w:rPr>
              <w:t>Spolu za správu</w:t>
            </w:r>
            <w:r w:rsidRPr="004B1375">
              <w:rPr>
                <w:rFonts w:ascii="Arial Narrow" w:hAnsi="Arial Narrow" w:cs="Times New Roman"/>
                <w:b/>
                <w:bCs/>
              </w:rPr>
              <w:t xml:space="preserve"> frekvencií:           </w:t>
            </w:r>
            <w:r w:rsidRPr="004B1375">
              <w:rPr>
                <w:rFonts w:ascii="Arial Narrow" w:hAnsi="Arial Narrow" w:cs="Times New Roman"/>
                <w:b/>
                <w:bCs/>
              </w:rPr>
              <w:t xml:space="preserve">                                                  </w:t>
            </w:r>
          </w:p>
        </w:tc>
        <w:tc>
          <w:tcPr>
            <w:tcW w:w="2700" w:type="dxa"/>
            <w:tcBorders>
              <w:top w:val="single" w:sz="4" w:space="0" w:color="auto"/>
              <w:left w:val="single" w:sz="4" w:space="0" w:color="auto"/>
              <w:bottom w:val="single" w:sz="4" w:space="0" w:color="auto"/>
              <w:right w:val="single" w:sz="4" w:space="0" w:color="auto"/>
              <w:tl2br w:val="nil"/>
              <w:tr2bl w:val="nil"/>
            </w:tcBorders>
            <w:textDirection w:val="lrTb"/>
            <w:vAlign w:val="bottom"/>
          </w:tcPr>
          <w:p w:rsidR="00830EEC" w:rsidRPr="004B1375" w:rsidP="00C362EA">
            <w:pPr>
              <w:spacing w:line="240" w:lineRule="auto"/>
              <w:jc w:val="right"/>
              <w:rPr>
                <w:rFonts w:ascii="Arial Narrow" w:hAnsi="Arial Narrow" w:cs="Times New Roman"/>
                <w:b/>
                <w:bCs/>
                <w:iCs/>
              </w:rPr>
            </w:pPr>
            <w:r w:rsidR="00C7748E">
              <w:rPr>
                <w:rFonts w:ascii="Arial Narrow" w:hAnsi="Arial Narrow" w:cs="Times New Roman"/>
                <w:b/>
                <w:bCs/>
                <w:iCs/>
              </w:rPr>
              <w:t>435 423 320</w:t>
            </w:r>
          </w:p>
        </w:tc>
      </w:tr>
      <w:tr>
        <w:tblPrEx>
          <w:tblW w:w="9108" w:type="dxa"/>
        </w:tblPrEx>
        <w:trPr>
          <w:trHeight w:hRule="auto" w:val="0"/>
        </w:trPr>
        <w:tc>
          <w:tcPr>
            <w:tcW w:w="6408" w:type="dxa"/>
            <w:tcBorders>
              <w:top w:val="single" w:sz="4" w:space="0" w:color="auto"/>
              <w:left w:val="single" w:sz="4" w:space="0" w:color="auto"/>
              <w:bottom w:val="single" w:sz="4" w:space="0" w:color="auto"/>
              <w:right w:val="single" w:sz="4" w:space="0" w:color="auto"/>
              <w:tl2br w:val="nil"/>
              <w:tr2bl w:val="nil"/>
            </w:tcBorders>
            <w:textDirection w:val="lrTb"/>
            <w:vAlign w:val="bottom"/>
          </w:tcPr>
          <w:p w:rsidR="00830EEC" w:rsidRPr="004B1375" w:rsidP="00C362EA">
            <w:pPr>
              <w:spacing w:line="240" w:lineRule="auto"/>
              <w:rPr>
                <w:rFonts w:ascii="Arial Narrow" w:hAnsi="Arial Narrow" w:cs="Times New Roman"/>
              </w:rPr>
            </w:pPr>
            <w:r w:rsidRPr="004B1375">
              <w:rPr>
                <w:rFonts w:ascii="Arial Narrow" w:hAnsi="Arial Narrow" w:cs="Times New Roman"/>
              </w:rPr>
              <w:t xml:space="preserve">Oznamovacia povinnosť        </w:t>
            </w:r>
          </w:p>
        </w:tc>
        <w:tc>
          <w:tcPr>
            <w:tcW w:w="2700" w:type="dxa"/>
            <w:tcBorders>
              <w:top w:val="single" w:sz="4" w:space="0" w:color="auto"/>
              <w:left w:val="single" w:sz="4" w:space="0" w:color="auto"/>
              <w:bottom w:val="single" w:sz="4" w:space="0" w:color="auto"/>
              <w:right w:val="single" w:sz="4" w:space="0" w:color="auto"/>
              <w:tl2br w:val="nil"/>
              <w:tr2bl w:val="nil"/>
            </w:tcBorders>
            <w:textDirection w:val="lrTb"/>
            <w:vAlign w:val="bottom"/>
          </w:tcPr>
          <w:p w:rsidR="00830EEC" w:rsidRPr="004B1375" w:rsidP="00C362EA">
            <w:pPr>
              <w:spacing w:line="240" w:lineRule="auto"/>
              <w:jc w:val="right"/>
              <w:rPr>
                <w:rFonts w:ascii="Arial Narrow" w:hAnsi="Arial Narrow" w:cs="Times New Roman"/>
              </w:rPr>
            </w:pPr>
            <w:r w:rsidR="00C7748E">
              <w:rPr>
                <w:rFonts w:ascii="Arial Narrow" w:hAnsi="Arial Narrow" w:cs="Times New Roman"/>
              </w:rPr>
              <w:t>49 215 667</w:t>
            </w:r>
          </w:p>
        </w:tc>
      </w:tr>
      <w:tr>
        <w:tblPrEx>
          <w:tblW w:w="9108" w:type="dxa"/>
        </w:tblPrEx>
        <w:trPr>
          <w:trHeight w:hRule="auto" w:val="0"/>
        </w:trPr>
        <w:tc>
          <w:tcPr>
            <w:tcW w:w="6408" w:type="dxa"/>
            <w:tcBorders>
              <w:top w:val="single" w:sz="4" w:space="0" w:color="auto"/>
              <w:left w:val="single" w:sz="4" w:space="0" w:color="auto"/>
              <w:bottom w:val="single" w:sz="4" w:space="0" w:color="auto"/>
              <w:right w:val="single" w:sz="4" w:space="0" w:color="auto"/>
              <w:tl2br w:val="nil"/>
              <w:tr2bl w:val="nil"/>
            </w:tcBorders>
            <w:textDirection w:val="lrTb"/>
            <w:vAlign w:val="bottom"/>
          </w:tcPr>
          <w:p w:rsidR="00830EEC" w:rsidRPr="004B1375" w:rsidP="00C362EA">
            <w:pPr>
              <w:spacing w:line="240" w:lineRule="auto"/>
              <w:rPr>
                <w:rFonts w:ascii="Arial Narrow" w:hAnsi="Arial Narrow" w:cs="Times New Roman"/>
              </w:rPr>
            </w:pPr>
            <w:r w:rsidRPr="004B1375">
              <w:rPr>
                <w:rFonts w:ascii="Arial Narrow" w:hAnsi="Arial Narrow" w:cs="Times New Roman"/>
              </w:rPr>
              <w:t>Číslovanie</w:t>
            </w:r>
          </w:p>
        </w:tc>
        <w:tc>
          <w:tcPr>
            <w:tcW w:w="2700" w:type="dxa"/>
            <w:tcBorders>
              <w:top w:val="single" w:sz="4" w:space="0" w:color="auto"/>
              <w:left w:val="single" w:sz="4" w:space="0" w:color="auto"/>
              <w:bottom w:val="single" w:sz="4" w:space="0" w:color="auto"/>
              <w:right w:val="single" w:sz="4" w:space="0" w:color="auto"/>
              <w:tl2br w:val="nil"/>
              <w:tr2bl w:val="nil"/>
            </w:tcBorders>
            <w:textDirection w:val="lrTb"/>
            <w:vAlign w:val="bottom"/>
          </w:tcPr>
          <w:p w:rsidR="00830EEC" w:rsidRPr="004B1375" w:rsidP="00C362EA">
            <w:pPr>
              <w:spacing w:line="240" w:lineRule="auto"/>
              <w:jc w:val="right"/>
              <w:rPr>
                <w:rFonts w:ascii="Arial Narrow" w:hAnsi="Arial Narrow" w:cs="Times New Roman"/>
              </w:rPr>
            </w:pPr>
            <w:r w:rsidR="00C7748E">
              <w:rPr>
                <w:rFonts w:ascii="Arial Narrow" w:hAnsi="Arial Narrow" w:cs="Times New Roman"/>
              </w:rPr>
              <w:t>6 858 877</w:t>
            </w:r>
          </w:p>
        </w:tc>
      </w:tr>
      <w:tr>
        <w:tblPrEx>
          <w:tblW w:w="9108" w:type="dxa"/>
        </w:tblPrEx>
        <w:trPr>
          <w:trHeight w:hRule="auto" w:val="0"/>
        </w:trPr>
        <w:tc>
          <w:tcPr>
            <w:tcW w:w="6408" w:type="dxa"/>
            <w:tcBorders>
              <w:top w:val="single" w:sz="4" w:space="0" w:color="auto"/>
              <w:left w:val="single" w:sz="4" w:space="0" w:color="auto"/>
              <w:bottom w:val="single" w:sz="4" w:space="0" w:color="auto"/>
              <w:right w:val="single" w:sz="4" w:space="0" w:color="auto"/>
              <w:tl2br w:val="nil"/>
              <w:tr2bl w:val="nil"/>
            </w:tcBorders>
            <w:textDirection w:val="lrTb"/>
            <w:vAlign w:val="bottom"/>
          </w:tcPr>
          <w:p w:rsidR="00830EEC" w:rsidRPr="004B1375" w:rsidP="00C362EA">
            <w:pPr>
              <w:spacing w:line="240" w:lineRule="auto"/>
              <w:rPr>
                <w:rFonts w:ascii="Arial Narrow" w:hAnsi="Arial Narrow" w:cs="Times New Roman"/>
                <w:b/>
                <w:bCs/>
              </w:rPr>
            </w:pPr>
            <w:r w:rsidR="003D5897">
              <w:rPr>
                <w:rFonts w:ascii="Arial Narrow" w:hAnsi="Arial Narrow" w:cs="Times New Roman"/>
                <w:b/>
                <w:bCs/>
              </w:rPr>
              <w:t>Spolu za technickú reguláciu</w:t>
            </w:r>
            <w:r w:rsidRPr="004B1375">
              <w:rPr>
                <w:rFonts w:ascii="Arial Narrow" w:hAnsi="Arial Narrow" w:cs="Times New Roman"/>
                <w:b/>
                <w:bCs/>
              </w:rPr>
              <w:t xml:space="preserve">:                            </w:t>
            </w:r>
          </w:p>
        </w:tc>
        <w:tc>
          <w:tcPr>
            <w:tcW w:w="2700" w:type="dxa"/>
            <w:tcBorders>
              <w:top w:val="single" w:sz="4" w:space="0" w:color="auto"/>
              <w:left w:val="single" w:sz="4" w:space="0" w:color="auto"/>
              <w:bottom w:val="single" w:sz="4" w:space="0" w:color="auto"/>
              <w:right w:val="single" w:sz="4" w:space="0" w:color="auto"/>
              <w:tl2br w:val="nil"/>
              <w:tr2bl w:val="nil"/>
            </w:tcBorders>
            <w:textDirection w:val="lrTb"/>
            <w:vAlign w:val="bottom"/>
          </w:tcPr>
          <w:p w:rsidR="00830EEC" w:rsidRPr="004B1375" w:rsidP="00C362EA">
            <w:pPr>
              <w:spacing w:line="240" w:lineRule="auto"/>
              <w:jc w:val="right"/>
              <w:rPr>
                <w:rFonts w:ascii="Arial Narrow" w:hAnsi="Arial Narrow" w:cs="Times New Roman"/>
                <w:b/>
                <w:bCs/>
                <w:iCs/>
              </w:rPr>
            </w:pPr>
            <w:r w:rsidR="00C7748E">
              <w:rPr>
                <w:rFonts w:ascii="Arial Narrow" w:hAnsi="Arial Narrow" w:cs="Times New Roman"/>
                <w:b/>
                <w:bCs/>
                <w:iCs/>
              </w:rPr>
              <w:t>56 074 544</w:t>
            </w:r>
          </w:p>
        </w:tc>
      </w:tr>
      <w:tr>
        <w:tblPrEx>
          <w:tblW w:w="9108" w:type="dxa"/>
        </w:tblPrEx>
        <w:trPr>
          <w:trHeight w:hRule="auto" w:val="0"/>
        </w:trPr>
        <w:tc>
          <w:tcPr>
            <w:tcW w:w="6408" w:type="dxa"/>
            <w:tcBorders>
              <w:top w:val="single" w:sz="4" w:space="0" w:color="auto"/>
              <w:left w:val="single" w:sz="4" w:space="0" w:color="auto"/>
              <w:bottom w:val="single" w:sz="4" w:space="0" w:color="auto"/>
              <w:right w:val="single" w:sz="4" w:space="0" w:color="auto"/>
              <w:tl2br w:val="nil"/>
              <w:tr2bl w:val="nil"/>
            </w:tcBorders>
            <w:textDirection w:val="lrTb"/>
            <w:vAlign w:val="bottom"/>
          </w:tcPr>
          <w:p w:rsidR="00830EEC" w:rsidRPr="004B1375" w:rsidP="00C362EA">
            <w:pPr>
              <w:spacing w:line="240" w:lineRule="auto"/>
              <w:rPr>
                <w:rFonts w:ascii="Arial Narrow" w:hAnsi="Arial Narrow" w:cs="Times New Roman"/>
              </w:rPr>
            </w:pPr>
            <w:r w:rsidRPr="004B1375">
              <w:rPr>
                <w:rFonts w:ascii="Arial Narrow" w:hAnsi="Arial Narrow" w:cs="Times New Roman"/>
              </w:rPr>
              <w:t xml:space="preserve">Pokuty a penále                                           </w:t>
            </w:r>
            <w:r w:rsidRPr="004B1375">
              <w:rPr>
                <w:rFonts w:ascii="Arial Narrow" w:hAnsi="Arial Narrow" w:cs="Times New Roman"/>
              </w:rPr>
              <w:t xml:space="preserve">                                                         </w:t>
            </w:r>
          </w:p>
        </w:tc>
        <w:tc>
          <w:tcPr>
            <w:tcW w:w="2700" w:type="dxa"/>
            <w:tcBorders>
              <w:top w:val="single" w:sz="4" w:space="0" w:color="auto"/>
              <w:left w:val="single" w:sz="4" w:space="0" w:color="auto"/>
              <w:bottom w:val="single" w:sz="4" w:space="0" w:color="auto"/>
              <w:right w:val="single" w:sz="4" w:space="0" w:color="auto"/>
              <w:tl2br w:val="nil"/>
              <w:tr2bl w:val="nil"/>
            </w:tcBorders>
            <w:textDirection w:val="lrTb"/>
            <w:vAlign w:val="bottom"/>
          </w:tcPr>
          <w:p w:rsidR="00830EEC" w:rsidRPr="004B1375" w:rsidP="00C362EA">
            <w:pPr>
              <w:spacing w:line="240" w:lineRule="auto"/>
              <w:jc w:val="right"/>
              <w:rPr>
                <w:rFonts w:ascii="Arial Narrow" w:hAnsi="Arial Narrow" w:cs="Times New Roman"/>
              </w:rPr>
            </w:pPr>
            <w:r w:rsidR="00C7748E">
              <w:rPr>
                <w:rFonts w:ascii="Arial Narrow" w:hAnsi="Arial Narrow" w:cs="Times New Roman"/>
              </w:rPr>
              <w:t>2 749 002</w:t>
            </w:r>
          </w:p>
        </w:tc>
      </w:tr>
      <w:tr>
        <w:tblPrEx>
          <w:tblW w:w="9108" w:type="dxa"/>
        </w:tblPrEx>
        <w:trPr>
          <w:trHeight w:hRule="auto" w:val="0"/>
        </w:trPr>
        <w:tc>
          <w:tcPr>
            <w:tcW w:w="6408" w:type="dxa"/>
            <w:tcBorders>
              <w:top w:val="single" w:sz="4" w:space="0" w:color="auto"/>
              <w:left w:val="single" w:sz="4" w:space="0" w:color="auto"/>
              <w:bottom w:val="single" w:sz="4" w:space="0" w:color="auto"/>
              <w:right w:val="single" w:sz="4" w:space="0" w:color="auto"/>
              <w:tl2br w:val="nil"/>
              <w:tr2bl w:val="nil"/>
            </w:tcBorders>
            <w:textDirection w:val="lrTb"/>
            <w:vAlign w:val="bottom"/>
          </w:tcPr>
          <w:p w:rsidR="00830EEC" w:rsidRPr="004B1375" w:rsidP="00C362EA">
            <w:pPr>
              <w:spacing w:line="240" w:lineRule="auto"/>
              <w:rPr>
                <w:rFonts w:ascii="Arial Narrow" w:hAnsi="Arial Narrow" w:cs="Times New Roman"/>
              </w:rPr>
            </w:pPr>
            <w:r w:rsidRPr="004B1375">
              <w:rPr>
                <w:rFonts w:ascii="Arial Narrow" w:hAnsi="Arial Narrow" w:cs="Times New Roman"/>
              </w:rPr>
              <w:t>Predaj dopravných prostriedkov a</w:t>
            </w:r>
            <w:r w:rsidR="00CB2678">
              <w:rPr>
                <w:rFonts w:ascii="Arial Narrow" w:hAnsi="Arial Narrow" w:cs="Times New Roman"/>
              </w:rPr>
              <w:t> </w:t>
            </w:r>
            <w:r w:rsidRPr="004B1375">
              <w:rPr>
                <w:rFonts w:ascii="Arial Narrow" w:hAnsi="Arial Narrow" w:cs="Times New Roman"/>
              </w:rPr>
              <w:t>pozemkov</w:t>
            </w:r>
          </w:p>
        </w:tc>
        <w:tc>
          <w:tcPr>
            <w:tcW w:w="2700" w:type="dxa"/>
            <w:tcBorders>
              <w:top w:val="single" w:sz="4" w:space="0" w:color="auto"/>
              <w:left w:val="single" w:sz="4" w:space="0" w:color="auto"/>
              <w:bottom w:val="single" w:sz="4" w:space="0" w:color="auto"/>
              <w:right w:val="single" w:sz="4" w:space="0" w:color="auto"/>
              <w:tl2br w:val="nil"/>
              <w:tr2bl w:val="nil"/>
            </w:tcBorders>
            <w:textDirection w:val="lrTb"/>
            <w:vAlign w:val="bottom"/>
          </w:tcPr>
          <w:p w:rsidR="00830EEC" w:rsidRPr="004B1375" w:rsidP="00C362EA">
            <w:pPr>
              <w:spacing w:line="240" w:lineRule="auto"/>
              <w:jc w:val="right"/>
              <w:rPr>
                <w:rFonts w:ascii="Arial Narrow" w:hAnsi="Arial Narrow" w:cs="Times New Roman"/>
              </w:rPr>
            </w:pPr>
            <w:r w:rsidR="00C7748E">
              <w:rPr>
                <w:rFonts w:ascii="Arial Narrow" w:hAnsi="Arial Narrow" w:cs="Times New Roman"/>
              </w:rPr>
              <w:t>62 200</w:t>
            </w:r>
          </w:p>
        </w:tc>
      </w:tr>
      <w:tr>
        <w:tblPrEx>
          <w:tblW w:w="9108" w:type="dxa"/>
        </w:tblPrEx>
        <w:trPr>
          <w:trHeight w:hRule="auto" w:val="0"/>
        </w:trPr>
        <w:tc>
          <w:tcPr>
            <w:tcW w:w="6408" w:type="dxa"/>
            <w:tcBorders>
              <w:top w:val="single" w:sz="4" w:space="0" w:color="auto"/>
              <w:left w:val="single" w:sz="4" w:space="0" w:color="auto"/>
              <w:bottom w:val="single" w:sz="4" w:space="0" w:color="auto"/>
              <w:right w:val="single" w:sz="4" w:space="0" w:color="auto"/>
              <w:tl2br w:val="nil"/>
              <w:tr2bl w:val="nil"/>
            </w:tcBorders>
            <w:textDirection w:val="lrTb"/>
            <w:vAlign w:val="bottom"/>
          </w:tcPr>
          <w:p w:rsidR="00830EEC" w:rsidRPr="004B1375" w:rsidP="00C362EA">
            <w:pPr>
              <w:spacing w:line="240" w:lineRule="auto"/>
              <w:rPr>
                <w:rFonts w:ascii="Arial Narrow" w:hAnsi="Arial Narrow" w:cs="Times New Roman"/>
              </w:rPr>
            </w:pPr>
            <w:r w:rsidRPr="004B1375">
              <w:rPr>
                <w:rFonts w:ascii="Arial Narrow" w:hAnsi="Arial Narrow" w:cs="Times New Roman"/>
              </w:rPr>
              <w:t>Nájomné</w:t>
            </w:r>
          </w:p>
        </w:tc>
        <w:tc>
          <w:tcPr>
            <w:tcW w:w="2700" w:type="dxa"/>
            <w:tcBorders>
              <w:top w:val="single" w:sz="4" w:space="0" w:color="auto"/>
              <w:left w:val="single" w:sz="4" w:space="0" w:color="auto"/>
              <w:bottom w:val="single" w:sz="4" w:space="0" w:color="auto"/>
              <w:right w:val="single" w:sz="4" w:space="0" w:color="auto"/>
              <w:tl2br w:val="nil"/>
              <w:tr2bl w:val="nil"/>
            </w:tcBorders>
            <w:textDirection w:val="lrTb"/>
            <w:vAlign w:val="bottom"/>
          </w:tcPr>
          <w:p w:rsidR="00830EEC" w:rsidRPr="004B1375" w:rsidP="00C362EA">
            <w:pPr>
              <w:spacing w:line="240" w:lineRule="auto"/>
              <w:jc w:val="right"/>
              <w:rPr>
                <w:rFonts w:ascii="Arial Narrow" w:hAnsi="Arial Narrow" w:cs="Times New Roman"/>
              </w:rPr>
            </w:pPr>
            <w:r w:rsidR="00C7748E">
              <w:rPr>
                <w:rFonts w:ascii="Arial Narrow" w:hAnsi="Arial Narrow" w:cs="Times New Roman"/>
              </w:rPr>
              <w:t>112 548</w:t>
            </w:r>
          </w:p>
        </w:tc>
      </w:tr>
      <w:tr>
        <w:tblPrEx>
          <w:tblW w:w="9108" w:type="dxa"/>
        </w:tblPrEx>
        <w:trPr>
          <w:trHeight w:hRule="auto" w:val="0"/>
        </w:trPr>
        <w:tc>
          <w:tcPr>
            <w:tcW w:w="6408" w:type="dxa"/>
            <w:tcBorders>
              <w:top w:val="single" w:sz="4" w:space="0" w:color="auto"/>
              <w:left w:val="single" w:sz="4" w:space="0" w:color="auto"/>
              <w:bottom w:val="single" w:sz="4" w:space="0" w:color="auto"/>
              <w:right w:val="single" w:sz="4" w:space="0" w:color="auto"/>
              <w:tl2br w:val="nil"/>
              <w:tr2bl w:val="nil"/>
            </w:tcBorders>
            <w:textDirection w:val="lrTb"/>
            <w:vAlign w:val="bottom"/>
          </w:tcPr>
          <w:p w:rsidR="00830EEC" w:rsidRPr="004B1375" w:rsidP="00C362EA">
            <w:pPr>
              <w:spacing w:line="240" w:lineRule="auto"/>
              <w:rPr>
                <w:rFonts w:ascii="Arial Narrow" w:hAnsi="Arial Narrow" w:cs="Times New Roman"/>
              </w:rPr>
            </w:pPr>
            <w:r w:rsidRPr="004B1375">
              <w:rPr>
                <w:rFonts w:ascii="Arial Narrow" w:hAnsi="Arial Narrow" w:cs="Times New Roman"/>
              </w:rPr>
              <w:t>Ostatné platby, dobropisy, škody</w:t>
            </w:r>
          </w:p>
        </w:tc>
        <w:tc>
          <w:tcPr>
            <w:tcW w:w="2700" w:type="dxa"/>
            <w:tcBorders>
              <w:top w:val="single" w:sz="4" w:space="0" w:color="auto"/>
              <w:left w:val="single" w:sz="4" w:space="0" w:color="auto"/>
              <w:bottom w:val="single" w:sz="4" w:space="0" w:color="auto"/>
              <w:right w:val="single" w:sz="4" w:space="0" w:color="auto"/>
              <w:tl2br w:val="nil"/>
              <w:tr2bl w:val="nil"/>
            </w:tcBorders>
            <w:textDirection w:val="lrTb"/>
            <w:vAlign w:val="bottom"/>
          </w:tcPr>
          <w:p w:rsidR="00830EEC" w:rsidRPr="004B1375" w:rsidP="00C362EA">
            <w:pPr>
              <w:spacing w:line="240" w:lineRule="auto"/>
              <w:jc w:val="right"/>
              <w:rPr>
                <w:rFonts w:ascii="Arial Narrow" w:hAnsi="Arial Narrow" w:cs="Times New Roman"/>
              </w:rPr>
            </w:pPr>
            <w:r w:rsidR="00C7748E">
              <w:rPr>
                <w:rFonts w:ascii="Arial Narrow" w:hAnsi="Arial Narrow" w:cs="Times New Roman"/>
              </w:rPr>
              <w:t>203 944</w:t>
            </w:r>
          </w:p>
        </w:tc>
      </w:tr>
      <w:tr>
        <w:tblPrEx>
          <w:tblW w:w="9108" w:type="dxa"/>
        </w:tblPrEx>
        <w:trPr>
          <w:trHeight w:hRule="auto" w:val="0"/>
        </w:trPr>
        <w:tc>
          <w:tcPr>
            <w:tcW w:w="6408" w:type="dxa"/>
            <w:tcBorders>
              <w:top w:val="single" w:sz="4" w:space="0" w:color="auto"/>
              <w:left w:val="single" w:sz="4" w:space="0" w:color="auto"/>
              <w:bottom w:val="single" w:sz="4" w:space="0" w:color="auto"/>
              <w:right w:val="single" w:sz="4" w:space="0" w:color="auto"/>
              <w:tl2br w:val="nil"/>
              <w:tr2bl w:val="nil"/>
            </w:tcBorders>
            <w:textDirection w:val="lrTb"/>
            <w:vAlign w:val="bottom"/>
          </w:tcPr>
          <w:p w:rsidR="00830EEC" w:rsidRPr="004B1375" w:rsidP="00C362EA">
            <w:pPr>
              <w:spacing w:line="240" w:lineRule="auto"/>
              <w:rPr>
                <w:rFonts w:ascii="Arial Narrow" w:hAnsi="Arial Narrow" w:cs="Times New Roman"/>
                <w:b/>
                <w:bCs/>
              </w:rPr>
            </w:pPr>
            <w:r w:rsidRPr="004B1375">
              <w:rPr>
                <w:rFonts w:ascii="Arial Narrow" w:hAnsi="Arial Narrow" w:cs="Times New Roman"/>
                <w:b/>
                <w:bCs/>
              </w:rPr>
              <w:t>Ostatné príjmy spolu</w:t>
            </w:r>
          </w:p>
        </w:tc>
        <w:tc>
          <w:tcPr>
            <w:tcW w:w="2700" w:type="dxa"/>
            <w:tcBorders>
              <w:top w:val="single" w:sz="4" w:space="0" w:color="auto"/>
              <w:left w:val="single" w:sz="4" w:space="0" w:color="auto"/>
              <w:bottom w:val="single" w:sz="4" w:space="0" w:color="auto"/>
              <w:right w:val="single" w:sz="4" w:space="0" w:color="auto"/>
              <w:tl2br w:val="nil"/>
              <w:tr2bl w:val="nil"/>
            </w:tcBorders>
            <w:textDirection w:val="lrTb"/>
            <w:vAlign w:val="bottom"/>
          </w:tcPr>
          <w:p w:rsidR="00830EEC" w:rsidRPr="004B1375" w:rsidP="00C362EA">
            <w:pPr>
              <w:spacing w:line="240" w:lineRule="auto"/>
              <w:jc w:val="right"/>
              <w:rPr>
                <w:rFonts w:ascii="Arial Narrow" w:hAnsi="Arial Narrow" w:cs="Times New Roman"/>
                <w:b/>
                <w:bCs/>
                <w:iCs/>
              </w:rPr>
            </w:pPr>
            <w:r w:rsidR="00C7748E">
              <w:rPr>
                <w:rFonts w:ascii="Arial Narrow" w:hAnsi="Arial Narrow" w:cs="Times New Roman"/>
                <w:b/>
                <w:bCs/>
                <w:iCs/>
              </w:rPr>
              <w:t>3 127 694</w:t>
            </w:r>
          </w:p>
        </w:tc>
      </w:tr>
      <w:tr>
        <w:tblPrEx>
          <w:tblW w:w="9108" w:type="dxa"/>
        </w:tblPrEx>
        <w:trPr>
          <w:trHeight w:hRule="auto" w:val="0"/>
        </w:trPr>
        <w:tc>
          <w:tcPr>
            <w:tcW w:w="6408" w:type="dxa"/>
            <w:tcBorders>
              <w:top w:val="single" w:sz="4" w:space="0" w:color="auto"/>
              <w:left w:val="single" w:sz="4" w:space="0" w:color="auto"/>
              <w:bottom w:val="single" w:sz="4" w:space="0" w:color="auto"/>
              <w:right w:val="single" w:sz="4" w:space="0" w:color="auto"/>
              <w:tl2br w:val="nil"/>
              <w:tr2bl w:val="nil"/>
            </w:tcBorders>
            <w:shd w:val="clear" w:color="auto" w:fill="C0C0C0"/>
            <w:textDirection w:val="lrTb"/>
            <w:vAlign w:val="bottom"/>
          </w:tcPr>
          <w:p w:rsidR="00830EEC" w:rsidRPr="004B1375" w:rsidP="00C362EA">
            <w:pPr>
              <w:spacing w:line="240" w:lineRule="auto"/>
              <w:rPr>
                <w:rFonts w:ascii="Arial Narrow" w:hAnsi="Arial Narrow" w:cs="Times New Roman"/>
                <w:b/>
                <w:bCs/>
                <w:sz w:val="22"/>
                <w:szCs w:val="22"/>
              </w:rPr>
            </w:pPr>
            <w:r w:rsidR="00C7748E">
              <w:rPr>
                <w:rFonts w:ascii="Arial Narrow" w:hAnsi="Arial Narrow" w:cs="Times New Roman"/>
                <w:b/>
                <w:bCs/>
                <w:sz w:val="22"/>
                <w:szCs w:val="22"/>
              </w:rPr>
              <w:t>Príjmy TÚ SR v roku 2007</w:t>
            </w:r>
            <w:r w:rsidRPr="004B1375">
              <w:rPr>
                <w:rFonts w:ascii="Arial Narrow" w:hAnsi="Arial Narrow" w:cs="Times New Roman"/>
                <w:b/>
                <w:bCs/>
                <w:sz w:val="22"/>
                <w:szCs w:val="22"/>
              </w:rPr>
              <w:t xml:space="preserve"> celkom                                                    </w:t>
            </w:r>
          </w:p>
        </w:tc>
        <w:tc>
          <w:tcPr>
            <w:tcW w:w="2700" w:type="dxa"/>
            <w:tcBorders>
              <w:top w:val="single" w:sz="4" w:space="0" w:color="auto"/>
              <w:left w:val="single" w:sz="4" w:space="0" w:color="auto"/>
              <w:bottom w:val="single" w:sz="4" w:space="0" w:color="auto"/>
              <w:right w:val="single" w:sz="4" w:space="0" w:color="auto"/>
              <w:tl2br w:val="nil"/>
              <w:tr2bl w:val="nil"/>
            </w:tcBorders>
            <w:shd w:val="clear" w:color="auto" w:fill="C0C0C0"/>
            <w:textDirection w:val="lrTb"/>
            <w:vAlign w:val="bottom"/>
          </w:tcPr>
          <w:p w:rsidR="00830EEC" w:rsidRPr="004B1375" w:rsidP="00C362EA">
            <w:pPr>
              <w:spacing w:line="240" w:lineRule="auto"/>
              <w:jc w:val="right"/>
              <w:rPr>
                <w:rFonts w:ascii="Arial Narrow" w:hAnsi="Arial Narrow" w:cs="Times New Roman"/>
                <w:b/>
                <w:bCs/>
                <w:sz w:val="22"/>
                <w:szCs w:val="22"/>
              </w:rPr>
            </w:pPr>
            <w:r w:rsidR="00C7748E">
              <w:rPr>
                <w:rFonts w:ascii="Arial Narrow" w:hAnsi="Arial Narrow" w:cs="Times New Roman"/>
                <w:b/>
                <w:bCs/>
                <w:sz w:val="22"/>
                <w:szCs w:val="22"/>
              </w:rPr>
              <w:t>494 625 558</w:t>
            </w:r>
          </w:p>
        </w:tc>
      </w:tr>
    </w:tbl>
    <w:p w:rsidR="00520839" w:rsidP="00A97E21">
      <w:pPr>
        <w:spacing w:line="240" w:lineRule="auto"/>
        <w:rPr>
          <w:rFonts w:ascii="Times New Roman" w:hAnsi="Times New Roman" w:cs="Times New Roman"/>
        </w:rPr>
      </w:pPr>
    </w:p>
    <w:p w:rsidR="00CB2678" w:rsidP="00A97E21">
      <w:pPr>
        <w:spacing w:line="240" w:lineRule="auto"/>
        <w:rPr>
          <w:rFonts w:ascii="Times New Roman" w:hAnsi="Times New Roman" w:cs="Times New Roman"/>
        </w:rPr>
      </w:pPr>
    </w:p>
    <w:p w:rsidR="00CB2678" w:rsidP="00A97E21">
      <w:pPr>
        <w:spacing w:line="240" w:lineRule="auto"/>
        <w:rPr>
          <w:rFonts w:ascii="Times New Roman" w:hAnsi="Times New Roman" w:cs="Times New Roman"/>
        </w:rPr>
      </w:pPr>
    </w:p>
    <w:p w:rsidR="00CB2678" w:rsidP="00A97E21">
      <w:pPr>
        <w:spacing w:line="240" w:lineRule="auto"/>
        <w:rPr>
          <w:rFonts w:ascii="Times New Roman" w:hAnsi="Times New Roman" w:cs="Times New Roman"/>
        </w:rPr>
      </w:pPr>
    </w:p>
    <w:p w:rsidR="00CB2678" w:rsidP="00A97E21">
      <w:pPr>
        <w:spacing w:line="240" w:lineRule="auto"/>
        <w:rPr>
          <w:rFonts w:ascii="Times New Roman" w:hAnsi="Times New Roman" w:cs="Times New Roman"/>
        </w:rPr>
      </w:pPr>
    </w:p>
    <w:p w:rsidR="00CB2678" w:rsidRPr="00A97E21" w:rsidP="00A97E21">
      <w:pPr>
        <w:spacing w:line="240" w:lineRule="auto"/>
        <w:rPr>
          <w:rFonts w:ascii="Times New Roman" w:hAnsi="Times New Roman" w:cs="Times New Roman"/>
        </w:rPr>
      </w:pPr>
    </w:p>
    <w:p w:rsidR="00CB2678" w:rsidP="00C828A0">
      <w:pPr>
        <w:spacing w:line="240" w:lineRule="auto"/>
        <w:ind w:firstLine="708"/>
        <w:rPr>
          <w:rFonts w:ascii="Times New Roman" w:hAnsi="Times New Roman" w:cs="Times New Roman"/>
          <w:b/>
          <w:sz w:val="28"/>
          <w:szCs w:val="28"/>
          <w:u w:val="single"/>
        </w:rPr>
      </w:pPr>
    </w:p>
    <w:p w:rsidR="00D27E26" w:rsidRPr="00D23807" w:rsidP="00C828A0">
      <w:pPr>
        <w:spacing w:line="240" w:lineRule="auto"/>
        <w:ind w:firstLine="708"/>
        <w:rPr>
          <w:rFonts w:ascii="Times New Roman" w:hAnsi="Times New Roman" w:cs="Times New Roman"/>
          <w:sz w:val="24"/>
          <w:szCs w:val="24"/>
        </w:rPr>
      </w:pPr>
      <w:r w:rsidRPr="009800C0">
        <w:rPr>
          <w:rFonts w:ascii="Times New Roman" w:hAnsi="Times New Roman" w:cs="Times New Roman"/>
          <w:b/>
          <w:sz w:val="28"/>
          <w:szCs w:val="28"/>
          <w:u w:val="single"/>
        </w:rPr>
        <w:t>Poštový regulačný úrad</w:t>
      </w:r>
      <w:r w:rsidRPr="00D23807">
        <w:rPr>
          <w:rFonts w:ascii="Times New Roman" w:hAnsi="Times New Roman" w:cs="Times New Roman"/>
          <w:sz w:val="24"/>
          <w:szCs w:val="24"/>
        </w:rPr>
        <w:t xml:space="preserve"> príjmy rozpočtované nemal, ale skutočnosť dosiahla </w:t>
      </w:r>
      <w:r w:rsidRPr="002C7E22">
        <w:rPr>
          <w:rFonts w:ascii="Times New Roman" w:hAnsi="Times New Roman" w:cs="Times New Roman"/>
          <w:sz w:val="24"/>
          <w:szCs w:val="24"/>
        </w:rPr>
        <w:t>výšku</w:t>
      </w:r>
      <w:r w:rsidR="00A97E21">
        <w:rPr>
          <w:rFonts w:ascii="Times New Roman" w:hAnsi="Times New Roman" w:cs="Times New Roman"/>
          <w:sz w:val="24"/>
          <w:szCs w:val="24"/>
        </w:rPr>
        <w:t xml:space="preserve"> 140 469,60 </w:t>
      </w:r>
      <w:r w:rsidRPr="002C7E22">
        <w:rPr>
          <w:rFonts w:ascii="Times New Roman" w:hAnsi="Times New Roman" w:cs="Times New Roman"/>
          <w:sz w:val="24"/>
          <w:szCs w:val="24"/>
        </w:rPr>
        <w:t xml:space="preserve">Sk. </w:t>
      </w:r>
      <w:r w:rsidR="00094ACC">
        <w:rPr>
          <w:rFonts w:ascii="Times New Roman" w:hAnsi="Times New Roman" w:cs="Times New Roman"/>
          <w:sz w:val="24"/>
          <w:szCs w:val="24"/>
        </w:rPr>
        <w:t xml:space="preserve">Z </w:t>
      </w:r>
      <w:r w:rsidR="00297D94">
        <w:rPr>
          <w:rFonts w:ascii="Times New Roman" w:hAnsi="Times New Roman" w:cs="Times New Roman"/>
          <w:sz w:val="24"/>
          <w:szCs w:val="24"/>
        </w:rPr>
        <w:t xml:space="preserve">celkových príjmov úradu </w:t>
      </w:r>
      <w:r w:rsidR="00A97E21">
        <w:rPr>
          <w:rFonts w:ascii="Times New Roman" w:hAnsi="Times New Roman" w:cs="Times New Roman"/>
          <w:sz w:val="24"/>
          <w:szCs w:val="24"/>
        </w:rPr>
        <w:t>62</w:t>
      </w:r>
      <w:r w:rsidR="00094ACC">
        <w:rPr>
          <w:rFonts w:ascii="Times New Roman" w:hAnsi="Times New Roman" w:cs="Times New Roman"/>
          <w:sz w:val="24"/>
          <w:szCs w:val="24"/>
        </w:rPr>
        <w:t xml:space="preserve"> % </w:t>
      </w:r>
      <w:r w:rsidR="00297D94">
        <w:rPr>
          <w:rFonts w:ascii="Times New Roman" w:hAnsi="Times New Roman" w:cs="Times New Roman"/>
          <w:sz w:val="24"/>
          <w:szCs w:val="24"/>
        </w:rPr>
        <w:t xml:space="preserve">tvoria úhrady pokút za porušenie predpisov </w:t>
      </w:r>
      <w:r w:rsidRPr="00D23807">
        <w:rPr>
          <w:rFonts w:ascii="Times New Roman" w:hAnsi="Times New Roman" w:cs="Times New Roman"/>
          <w:sz w:val="24"/>
          <w:szCs w:val="24"/>
        </w:rPr>
        <w:t>na úseku poštový</w:t>
      </w:r>
      <w:r w:rsidR="00A97E21">
        <w:rPr>
          <w:rFonts w:ascii="Times New Roman" w:hAnsi="Times New Roman" w:cs="Times New Roman"/>
          <w:sz w:val="24"/>
          <w:szCs w:val="24"/>
        </w:rPr>
        <w:t>ch služieb ( 86 500</w:t>
      </w:r>
      <w:r w:rsidR="00221F38">
        <w:rPr>
          <w:rFonts w:ascii="Times New Roman" w:hAnsi="Times New Roman" w:cs="Times New Roman"/>
          <w:sz w:val="24"/>
          <w:szCs w:val="24"/>
        </w:rPr>
        <w:t xml:space="preserve">,- </w:t>
      </w:r>
      <w:r w:rsidR="006E253F">
        <w:rPr>
          <w:rFonts w:ascii="Times New Roman" w:hAnsi="Times New Roman" w:cs="Times New Roman"/>
          <w:sz w:val="24"/>
          <w:szCs w:val="24"/>
        </w:rPr>
        <w:t xml:space="preserve">Sk). Zvyšok tvoria iné nedaňové príjmy. </w:t>
      </w:r>
    </w:p>
    <w:p w:rsidR="00CD7BD8" w:rsidP="00DC6377">
      <w:pPr>
        <w:spacing w:line="240" w:lineRule="auto"/>
        <w:rPr>
          <w:rFonts w:ascii="Times New Roman" w:hAnsi="Times New Roman" w:cs="Times New Roman"/>
          <w:sz w:val="24"/>
        </w:rPr>
      </w:pPr>
    </w:p>
    <w:p w:rsidR="00CB2678" w:rsidP="00DC6377">
      <w:pPr>
        <w:spacing w:line="240" w:lineRule="auto"/>
        <w:rPr>
          <w:rFonts w:ascii="Times New Roman" w:hAnsi="Times New Roman" w:cs="Times New Roman"/>
          <w:sz w:val="24"/>
        </w:rPr>
      </w:pPr>
    </w:p>
    <w:p w:rsidR="00CB035C" w:rsidP="00DC6377">
      <w:pPr>
        <w:spacing w:line="240" w:lineRule="auto"/>
        <w:ind w:firstLine="708"/>
        <w:rPr>
          <w:rFonts w:ascii="Times New Roman" w:hAnsi="Times New Roman" w:cs="Times New Roman"/>
          <w:b/>
          <w:sz w:val="28"/>
          <w:szCs w:val="28"/>
          <w:u w:val="single"/>
        </w:rPr>
      </w:pPr>
      <w:r w:rsidR="00221F38">
        <w:rPr>
          <w:rFonts w:ascii="Times New Roman" w:hAnsi="Times New Roman" w:cs="Times New Roman"/>
          <w:b/>
          <w:sz w:val="28"/>
          <w:szCs w:val="28"/>
          <w:u w:val="single"/>
        </w:rPr>
        <w:t>Úrad v</w:t>
      </w:r>
      <w:r w:rsidR="00221F38">
        <w:rPr>
          <w:rFonts w:ascii="Times New Roman" w:hAnsi="Times New Roman" w:cs="Times New Roman"/>
          <w:b/>
          <w:sz w:val="28"/>
          <w:szCs w:val="28"/>
          <w:u w:val="single"/>
        </w:rPr>
        <w:t xml:space="preserve">erejného zdravotníctva MDPT SR </w:t>
      </w:r>
      <w:r w:rsidR="008975FF">
        <w:rPr>
          <w:rFonts w:ascii="Times New Roman" w:hAnsi="Times New Roman" w:cs="Times New Roman"/>
          <w:b/>
          <w:sz w:val="28"/>
          <w:szCs w:val="28"/>
          <w:u w:val="single"/>
        </w:rPr>
        <w:t xml:space="preserve"> </w:t>
      </w:r>
    </w:p>
    <w:p w:rsidR="00407CD3" w:rsidP="00DC6377">
      <w:pPr>
        <w:spacing w:line="240" w:lineRule="auto"/>
        <w:ind w:firstLine="708"/>
        <w:rPr>
          <w:rFonts w:ascii="Times New Roman" w:hAnsi="Times New Roman" w:cs="Times New Roman"/>
          <w:sz w:val="24"/>
        </w:rPr>
      </w:pPr>
    </w:p>
    <w:p w:rsidR="00C828A0" w:rsidP="00B27788">
      <w:pPr>
        <w:spacing w:line="240" w:lineRule="auto"/>
        <w:ind w:firstLine="708"/>
        <w:rPr>
          <w:rFonts w:ascii="Times New Roman" w:hAnsi="Times New Roman" w:cs="Times New Roman"/>
          <w:sz w:val="24"/>
        </w:rPr>
      </w:pPr>
      <w:r w:rsidRPr="00D23807" w:rsidR="008975FF">
        <w:rPr>
          <w:rFonts w:ascii="Times New Roman" w:hAnsi="Times New Roman" w:cs="Times New Roman"/>
          <w:sz w:val="24"/>
        </w:rPr>
        <w:t>Rozpis záväzných ukazovateľov na</w:t>
      </w:r>
      <w:r w:rsidR="009C3582">
        <w:rPr>
          <w:rFonts w:ascii="Times New Roman" w:hAnsi="Times New Roman" w:cs="Times New Roman"/>
          <w:sz w:val="24"/>
        </w:rPr>
        <w:t xml:space="preserve"> rok 2007</w:t>
      </w:r>
      <w:r w:rsidR="00221F38">
        <w:rPr>
          <w:rFonts w:ascii="Times New Roman" w:hAnsi="Times New Roman" w:cs="Times New Roman"/>
          <w:sz w:val="24"/>
        </w:rPr>
        <w:t xml:space="preserve"> nestanovil ani pre Úrad verejného zdra</w:t>
      </w:r>
      <w:r w:rsidR="00C37E93">
        <w:rPr>
          <w:rFonts w:ascii="Times New Roman" w:hAnsi="Times New Roman" w:cs="Times New Roman"/>
          <w:sz w:val="24"/>
        </w:rPr>
        <w:t>-</w:t>
      </w:r>
      <w:r w:rsidR="009C3582">
        <w:rPr>
          <w:rFonts w:ascii="Times New Roman" w:hAnsi="Times New Roman" w:cs="Times New Roman"/>
          <w:sz w:val="24"/>
        </w:rPr>
        <w:t xml:space="preserve">votníctva </w:t>
      </w:r>
      <w:r w:rsidR="00221F38">
        <w:rPr>
          <w:rFonts w:ascii="Times New Roman" w:hAnsi="Times New Roman" w:cs="Times New Roman"/>
          <w:sz w:val="24"/>
        </w:rPr>
        <w:t xml:space="preserve">MDPT SR </w:t>
      </w:r>
      <w:r w:rsidR="00C619F9">
        <w:rPr>
          <w:rFonts w:ascii="Times New Roman" w:hAnsi="Times New Roman" w:cs="Times New Roman"/>
          <w:sz w:val="24"/>
        </w:rPr>
        <w:t xml:space="preserve">žiadne príjmy, avšak v skutočnosti </w:t>
      </w:r>
      <w:r w:rsidRPr="00D23807" w:rsidR="008975FF">
        <w:rPr>
          <w:rFonts w:ascii="Times New Roman" w:hAnsi="Times New Roman" w:cs="Times New Roman"/>
          <w:sz w:val="24"/>
        </w:rPr>
        <w:t>d</w:t>
      </w:r>
      <w:r w:rsidR="008975FF">
        <w:rPr>
          <w:rFonts w:ascii="Times New Roman" w:hAnsi="Times New Roman" w:cs="Times New Roman"/>
          <w:sz w:val="24"/>
        </w:rPr>
        <w:t xml:space="preserve">osiahli </w:t>
      </w:r>
      <w:r w:rsidRPr="00D23807" w:rsidR="008975FF">
        <w:rPr>
          <w:rFonts w:ascii="Times New Roman" w:hAnsi="Times New Roman" w:cs="Times New Roman"/>
          <w:sz w:val="24"/>
        </w:rPr>
        <w:t>príjmy</w:t>
      </w:r>
      <w:r w:rsidR="009C3582">
        <w:rPr>
          <w:rFonts w:ascii="Times New Roman" w:hAnsi="Times New Roman" w:cs="Times New Roman"/>
          <w:sz w:val="24"/>
        </w:rPr>
        <w:t xml:space="preserve"> úradu 293 386,30 </w:t>
      </w:r>
      <w:r w:rsidRPr="002C7E22" w:rsidR="00226B25">
        <w:rPr>
          <w:rFonts w:ascii="Times New Roman" w:hAnsi="Times New Roman" w:cs="Times New Roman"/>
          <w:sz w:val="24"/>
        </w:rPr>
        <w:t>Sk.</w:t>
      </w:r>
      <w:r w:rsidR="00226B25">
        <w:rPr>
          <w:rFonts w:ascii="Times New Roman" w:hAnsi="Times New Roman" w:cs="Times New Roman"/>
          <w:sz w:val="24"/>
        </w:rPr>
        <w:t xml:space="preserve"> Najväčší podiel z celkových príjmov tvorili </w:t>
      </w:r>
      <w:r w:rsidR="009C3582">
        <w:rPr>
          <w:rFonts w:ascii="Times New Roman" w:hAnsi="Times New Roman" w:cs="Times New Roman"/>
          <w:sz w:val="24"/>
        </w:rPr>
        <w:t>príjmy vo výške 230 779,00 Sk za platené služby (223 001) – za rozbor pitnej vody, meranie hluku</w:t>
      </w:r>
      <w:r w:rsidR="0003134C">
        <w:rPr>
          <w:rFonts w:ascii="Times New Roman" w:hAnsi="Times New Roman" w:cs="Times New Roman"/>
          <w:sz w:val="24"/>
        </w:rPr>
        <w:t xml:space="preserve"> a ionizačného žiarenia</w:t>
      </w:r>
      <w:r w:rsidR="009C3582">
        <w:rPr>
          <w:rFonts w:ascii="Times New Roman" w:hAnsi="Times New Roman" w:cs="Times New Roman"/>
          <w:sz w:val="24"/>
        </w:rPr>
        <w:t>, za kontrolu sterili</w:t>
      </w:r>
      <w:r w:rsidR="0003134C">
        <w:rPr>
          <w:rFonts w:ascii="Times New Roman" w:hAnsi="Times New Roman" w:cs="Times New Roman"/>
          <w:sz w:val="24"/>
        </w:rPr>
        <w:t>-</w:t>
      </w:r>
      <w:r w:rsidR="009C3582">
        <w:rPr>
          <w:rFonts w:ascii="Times New Roman" w:hAnsi="Times New Roman" w:cs="Times New Roman"/>
          <w:sz w:val="24"/>
        </w:rPr>
        <w:t>zátorov a pod.. P</w:t>
      </w:r>
      <w:r w:rsidR="00221F38">
        <w:rPr>
          <w:rFonts w:ascii="Times New Roman" w:hAnsi="Times New Roman" w:cs="Times New Roman"/>
          <w:sz w:val="24"/>
        </w:rPr>
        <w:t>ríjmy z pokút a penále (podpoložka 222 003) za nedodržanie hygienických pr</w:t>
      </w:r>
      <w:r w:rsidR="009C3582">
        <w:rPr>
          <w:rFonts w:ascii="Times New Roman" w:hAnsi="Times New Roman" w:cs="Times New Roman"/>
          <w:sz w:val="24"/>
        </w:rPr>
        <w:t>edpisov</w:t>
      </w:r>
      <w:r w:rsidRPr="009C3582" w:rsidR="009C3582">
        <w:rPr>
          <w:rFonts w:ascii="Times New Roman" w:hAnsi="Times New Roman" w:cs="Times New Roman"/>
          <w:sz w:val="24"/>
        </w:rPr>
        <w:t xml:space="preserve"> </w:t>
      </w:r>
      <w:r w:rsidR="009C3582">
        <w:rPr>
          <w:rFonts w:ascii="Times New Roman" w:hAnsi="Times New Roman" w:cs="Times New Roman"/>
          <w:sz w:val="24"/>
        </w:rPr>
        <w:t xml:space="preserve">boli vo výške 39 200,- </w:t>
      </w:r>
      <w:r w:rsidR="009C3582">
        <w:rPr>
          <w:rFonts w:ascii="Times New Roman" w:hAnsi="Times New Roman" w:cs="Times New Roman"/>
          <w:sz w:val="24"/>
        </w:rPr>
        <w:t>Sk</w:t>
      </w:r>
      <w:r w:rsidR="00221F38">
        <w:rPr>
          <w:rFonts w:ascii="Times New Roman" w:hAnsi="Times New Roman" w:cs="Times New Roman"/>
          <w:sz w:val="24"/>
        </w:rPr>
        <w:t>. Zvyšok tvoria ostatné príjm</w:t>
      </w:r>
      <w:r w:rsidR="00407CD3">
        <w:rPr>
          <w:rFonts w:ascii="Times New Roman" w:hAnsi="Times New Roman" w:cs="Times New Roman"/>
          <w:sz w:val="24"/>
        </w:rPr>
        <w:t xml:space="preserve">y z dobropisov a iné príjmy.   </w:t>
      </w:r>
    </w:p>
    <w:p w:rsidR="00B27788" w:rsidRPr="00B27788" w:rsidP="00B27788">
      <w:pPr>
        <w:spacing w:line="240" w:lineRule="auto"/>
        <w:ind w:firstLine="708"/>
        <w:rPr>
          <w:rFonts w:ascii="Times New Roman" w:hAnsi="Times New Roman" w:cs="Times New Roman"/>
          <w:sz w:val="24"/>
        </w:rPr>
      </w:pPr>
    </w:p>
    <w:p w:rsidR="009C7F24" w:rsidRPr="00407CD3" w:rsidP="00407CD3">
      <w:pPr>
        <w:spacing w:line="240" w:lineRule="auto"/>
        <w:ind w:firstLine="708"/>
        <w:rPr>
          <w:rFonts w:ascii="Times New Roman" w:hAnsi="Times New Roman" w:cs="Times New Roman"/>
          <w:sz w:val="24"/>
        </w:rPr>
      </w:pPr>
      <w:r w:rsidRPr="005F2B06" w:rsidR="00221F38">
        <w:rPr>
          <w:rFonts w:ascii="Times New Roman" w:hAnsi="Times New Roman" w:cs="Times New Roman"/>
          <w:b/>
          <w:sz w:val="28"/>
          <w:szCs w:val="28"/>
          <w:u w:val="single"/>
        </w:rPr>
        <w:t xml:space="preserve">Krajské úrady pre cestnú dopravu a pozemné komunikácie </w:t>
      </w:r>
    </w:p>
    <w:p w:rsidR="009C7F24" w:rsidRPr="00DC6377" w:rsidP="009C7F24">
      <w:pPr>
        <w:spacing w:line="240" w:lineRule="auto"/>
        <w:ind w:firstLine="708"/>
        <w:rPr>
          <w:rFonts w:ascii="Times New Roman" w:hAnsi="Times New Roman" w:cs="Times New Roman"/>
          <w:b/>
          <w:sz w:val="28"/>
          <w:szCs w:val="28"/>
          <w:u w:val="single"/>
        </w:rPr>
      </w:pPr>
    </w:p>
    <w:p w:rsidR="00221F38" w:rsidP="00DC6377">
      <w:pPr>
        <w:spacing w:line="240" w:lineRule="auto"/>
        <w:ind w:firstLine="708"/>
        <w:rPr>
          <w:rFonts w:ascii="Times New Roman" w:hAnsi="Times New Roman" w:cs="Times New Roman"/>
          <w:sz w:val="24"/>
        </w:rPr>
      </w:pPr>
      <w:r w:rsidR="009C7F24">
        <w:rPr>
          <w:rFonts w:ascii="Times New Roman" w:hAnsi="Times New Roman" w:cs="Times New Roman"/>
          <w:sz w:val="24"/>
        </w:rPr>
        <w:t xml:space="preserve">Rozpis záv. </w:t>
      </w:r>
      <w:r w:rsidRPr="00D23807">
        <w:rPr>
          <w:rFonts w:ascii="Times New Roman" w:hAnsi="Times New Roman" w:cs="Times New Roman"/>
          <w:sz w:val="24"/>
        </w:rPr>
        <w:t>ukazovateľov na</w:t>
      </w:r>
      <w:r w:rsidR="00A97E21">
        <w:rPr>
          <w:rFonts w:ascii="Times New Roman" w:hAnsi="Times New Roman" w:cs="Times New Roman"/>
          <w:sz w:val="24"/>
        </w:rPr>
        <w:t xml:space="preserve"> rok 2007</w:t>
      </w:r>
      <w:r w:rsidRPr="00D23807">
        <w:rPr>
          <w:rFonts w:ascii="Times New Roman" w:hAnsi="Times New Roman" w:cs="Times New Roman"/>
          <w:sz w:val="24"/>
        </w:rPr>
        <w:t xml:space="preserve"> nestanovil pre krajské úrady dosiahnuť príjmy, avšak z povahy ich </w:t>
      </w:r>
      <w:r w:rsidR="00104F12">
        <w:rPr>
          <w:rFonts w:ascii="Times New Roman" w:hAnsi="Times New Roman" w:cs="Times New Roman"/>
          <w:sz w:val="24"/>
        </w:rPr>
        <w:t xml:space="preserve">činnosti vznikajú úradom príjmy </w:t>
      </w:r>
      <w:r w:rsidR="00104F12">
        <w:rPr>
          <w:rFonts w:ascii="Times New Roman" w:hAnsi="Times New Roman" w:cs="Times New Roman"/>
          <w:sz w:val="24"/>
        </w:rPr>
        <w:t>hlavne z pokút za porušeni</w:t>
      </w:r>
      <w:r w:rsidR="009C7F24">
        <w:rPr>
          <w:rFonts w:ascii="Times New Roman" w:hAnsi="Times New Roman" w:cs="Times New Roman"/>
          <w:sz w:val="24"/>
        </w:rPr>
        <w:t xml:space="preserve">e predpisov v oblasti poz. </w:t>
      </w:r>
      <w:r w:rsidR="00104F12">
        <w:rPr>
          <w:rFonts w:ascii="Times New Roman" w:hAnsi="Times New Roman" w:cs="Times New Roman"/>
          <w:sz w:val="24"/>
        </w:rPr>
        <w:t>komun</w:t>
      </w:r>
      <w:r w:rsidR="009C7F24">
        <w:rPr>
          <w:rFonts w:ascii="Times New Roman" w:hAnsi="Times New Roman" w:cs="Times New Roman"/>
          <w:sz w:val="24"/>
        </w:rPr>
        <w:t xml:space="preserve">ikácií. Okrem toho </w:t>
      </w:r>
      <w:r w:rsidR="00104F12">
        <w:rPr>
          <w:rFonts w:ascii="Times New Roman" w:hAnsi="Times New Roman" w:cs="Times New Roman"/>
          <w:sz w:val="24"/>
        </w:rPr>
        <w:t>majú jednotlivé krajské úrady menšie príjmy z n</w:t>
      </w:r>
      <w:r w:rsidR="009C7F24">
        <w:rPr>
          <w:rFonts w:ascii="Times New Roman" w:hAnsi="Times New Roman" w:cs="Times New Roman"/>
          <w:sz w:val="24"/>
        </w:rPr>
        <w:t xml:space="preserve">áhrad poistného plnenia, </w:t>
      </w:r>
      <w:r w:rsidR="00104F12">
        <w:rPr>
          <w:rFonts w:ascii="Times New Roman" w:hAnsi="Times New Roman" w:cs="Times New Roman"/>
          <w:sz w:val="24"/>
        </w:rPr>
        <w:t xml:space="preserve">z trov konania </w:t>
      </w:r>
      <w:r w:rsidR="009C7F24">
        <w:rPr>
          <w:rFonts w:ascii="Times New Roman" w:hAnsi="Times New Roman" w:cs="Times New Roman"/>
          <w:sz w:val="24"/>
        </w:rPr>
        <w:t>atď</w:t>
      </w:r>
      <w:r w:rsidR="00104F12">
        <w:rPr>
          <w:rFonts w:ascii="Times New Roman" w:hAnsi="Times New Roman" w:cs="Times New Roman"/>
          <w:sz w:val="24"/>
        </w:rPr>
        <w:t xml:space="preserve">. </w:t>
      </w:r>
      <w:r w:rsidR="009C7F24">
        <w:rPr>
          <w:rFonts w:ascii="Times New Roman" w:hAnsi="Times New Roman" w:cs="Times New Roman"/>
          <w:sz w:val="24"/>
        </w:rPr>
        <w:t xml:space="preserve">Celkovo dosiahli úrady </w:t>
      </w:r>
      <w:r w:rsidRPr="00D23807">
        <w:rPr>
          <w:rFonts w:ascii="Times New Roman" w:hAnsi="Times New Roman" w:cs="Times New Roman"/>
          <w:sz w:val="24"/>
        </w:rPr>
        <w:t xml:space="preserve">príjmy </w:t>
      </w:r>
      <w:r w:rsidRPr="002C7E22">
        <w:rPr>
          <w:rFonts w:ascii="Times New Roman" w:hAnsi="Times New Roman" w:cs="Times New Roman"/>
          <w:sz w:val="24"/>
        </w:rPr>
        <w:t xml:space="preserve">vo výške </w:t>
      </w:r>
      <w:r w:rsidR="00A97E21">
        <w:rPr>
          <w:rFonts w:ascii="Times New Roman" w:hAnsi="Times New Roman" w:cs="Times New Roman"/>
          <w:sz w:val="24"/>
        </w:rPr>
        <w:t xml:space="preserve">3 450 </w:t>
      </w:r>
      <w:r w:rsidRPr="002C7E22" w:rsidR="00104F12">
        <w:rPr>
          <w:rFonts w:ascii="Times New Roman" w:hAnsi="Times New Roman" w:cs="Times New Roman"/>
          <w:sz w:val="24"/>
        </w:rPr>
        <w:t xml:space="preserve">tis. </w:t>
      </w:r>
      <w:r w:rsidRPr="002C7E22">
        <w:rPr>
          <w:rFonts w:ascii="Times New Roman" w:hAnsi="Times New Roman" w:cs="Times New Roman"/>
          <w:sz w:val="24"/>
        </w:rPr>
        <w:t>Sk</w:t>
      </w:r>
      <w:r w:rsidRPr="002C7E22" w:rsidR="00DC6377">
        <w:rPr>
          <w:rFonts w:ascii="Times New Roman" w:hAnsi="Times New Roman" w:cs="Times New Roman"/>
          <w:sz w:val="24"/>
        </w:rPr>
        <w:t>.</w:t>
      </w:r>
    </w:p>
    <w:p w:rsidR="00520839" w:rsidP="00B27788">
      <w:pPr>
        <w:spacing w:line="240" w:lineRule="auto"/>
        <w:rPr>
          <w:rFonts w:ascii="Times New Roman" w:hAnsi="Times New Roman" w:cs="Times New Roman"/>
          <w:sz w:val="24"/>
        </w:rPr>
      </w:pPr>
    </w:p>
    <w:p w:rsidR="00CB2678" w:rsidP="00B27788">
      <w:pPr>
        <w:spacing w:line="240" w:lineRule="auto"/>
        <w:ind w:firstLine="708"/>
        <w:rPr>
          <w:rFonts w:ascii="Times New Roman" w:hAnsi="Times New Roman" w:cs="Times New Roman"/>
          <w:b/>
          <w:bCs/>
          <w:sz w:val="24"/>
          <w:szCs w:val="24"/>
        </w:rPr>
      </w:pPr>
    </w:p>
    <w:p w:rsidR="00C828A0" w:rsidRPr="00B27788" w:rsidP="00B27788">
      <w:pPr>
        <w:spacing w:line="240" w:lineRule="auto"/>
        <w:ind w:firstLine="708"/>
        <w:rPr>
          <w:rFonts w:ascii="Times New Roman" w:hAnsi="Times New Roman" w:cs="Times New Roman"/>
          <w:b/>
          <w:bCs/>
          <w:sz w:val="24"/>
          <w:szCs w:val="24"/>
        </w:rPr>
      </w:pPr>
      <w:r w:rsidRPr="00C828A0">
        <w:rPr>
          <w:rFonts w:ascii="Times New Roman" w:hAnsi="Times New Roman" w:cs="Times New Roman"/>
          <w:b/>
          <w:bCs/>
          <w:sz w:val="24"/>
          <w:szCs w:val="24"/>
        </w:rPr>
        <w:t>Rekapitulácia rozpočtových príjmov rozpočtových organizácií kapitoly MDPT SR za rok 2007 bez prostriedkov EÚ v členení podľa kategórií ekonomickej rozpočtovej klasifikácie</w:t>
      </w:r>
      <w:r>
        <w:rPr>
          <w:rFonts w:ascii="Times New Roman" w:hAnsi="Times New Roman" w:cs="Times New Roman"/>
          <w:b/>
          <w:bCs/>
          <w:sz w:val="24"/>
          <w:szCs w:val="24"/>
        </w:rPr>
        <w:t xml:space="preserve"> je uvedená v prílohách </w:t>
      </w:r>
      <w:r w:rsidRPr="00C828A0">
        <w:rPr>
          <w:rFonts w:ascii="Times New Roman" w:hAnsi="Times New Roman" w:cs="Times New Roman"/>
          <w:b/>
          <w:bCs/>
          <w:sz w:val="24"/>
          <w:szCs w:val="24"/>
        </w:rPr>
        <w:t>č. 2 - Schválený rozpočet príjmov kapitoly MDPT SR k 1.1.2007</w:t>
      </w:r>
      <w:r>
        <w:rPr>
          <w:rFonts w:ascii="Times New Roman" w:hAnsi="Times New Roman" w:cs="Times New Roman"/>
          <w:b/>
          <w:bCs/>
          <w:sz w:val="24"/>
          <w:szCs w:val="24"/>
        </w:rPr>
        <w:t xml:space="preserve">, </w:t>
      </w:r>
      <w:r w:rsidRPr="00C828A0">
        <w:rPr>
          <w:rFonts w:ascii="Times New Roman" w:hAnsi="Times New Roman" w:cs="Times New Roman"/>
          <w:b/>
          <w:bCs/>
          <w:sz w:val="24"/>
          <w:szCs w:val="24"/>
        </w:rPr>
        <w:t>č. 3 - Upravený rozpočet príj</w:t>
      </w:r>
      <w:r w:rsidRPr="00C828A0">
        <w:rPr>
          <w:rFonts w:ascii="Times New Roman" w:hAnsi="Times New Roman" w:cs="Times New Roman"/>
          <w:b/>
          <w:bCs/>
          <w:sz w:val="24"/>
          <w:szCs w:val="24"/>
        </w:rPr>
        <w:t>mov kapitoly MDPT SR k 31.12.2007</w:t>
      </w:r>
      <w:r>
        <w:rPr>
          <w:rFonts w:ascii="Times New Roman" w:hAnsi="Times New Roman" w:cs="Times New Roman"/>
          <w:b/>
          <w:bCs/>
          <w:sz w:val="24"/>
          <w:szCs w:val="24"/>
        </w:rPr>
        <w:t xml:space="preserve"> a </w:t>
      </w:r>
      <w:r w:rsidRPr="00C828A0">
        <w:rPr>
          <w:rFonts w:ascii="Times New Roman" w:hAnsi="Times New Roman" w:cs="Times New Roman"/>
          <w:b/>
          <w:bCs/>
          <w:sz w:val="24"/>
          <w:szCs w:val="24"/>
        </w:rPr>
        <w:t>č. 4 - Skutočne dosiahnuté príjmy rozpočtu kapitoly MDPT SR k 31.12.2007</w:t>
      </w:r>
      <w:r>
        <w:rPr>
          <w:rFonts w:ascii="Times New Roman" w:hAnsi="Times New Roman" w:cs="Times New Roman"/>
          <w:b/>
          <w:bCs/>
          <w:sz w:val="24"/>
          <w:szCs w:val="24"/>
        </w:rPr>
        <w:t>.</w:t>
      </w:r>
    </w:p>
    <w:p w:rsidR="00827063" w:rsidP="00C362EA">
      <w:pPr>
        <w:spacing w:line="240" w:lineRule="auto"/>
        <w:rPr>
          <w:rFonts w:ascii="Times New Roman" w:hAnsi="Times New Roman" w:cs="Times New Roman"/>
          <w:sz w:val="24"/>
          <w:szCs w:val="24"/>
        </w:rPr>
      </w:pPr>
    </w:p>
    <w:p w:rsidR="00CB2678" w:rsidP="00C362EA">
      <w:pPr>
        <w:spacing w:line="240" w:lineRule="auto"/>
        <w:rPr>
          <w:rFonts w:ascii="Times New Roman" w:hAnsi="Times New Roman" w:cs="Times New Roman"/>
          <w:sz w:val="24"/>
          <w:szCs w:val="24"/>
        </w:rPr>
      </w:pPr>
    </w:p>
    <w:p w:rsidR="00CB2678" w:rsidRPr="000D473B" w:rsidP="00C362EA">
      <w:pPr>
        <w:spacing w:line="240" w:lineRule="auto"/>
        <w:rPr>
          <w:rFonts w:ascii="Times New Roman" w:hAnsi="Times New Roman" w:cs="Times New Roman"/>
          <w:sz w:val="24"/>
          <w:szCs w:val="24"/>
        </w:rPr>
      </w:pPr>
    </w:p>
    <w:p w:rsidR="004164BA" w:rsidRPr="002E4468" w:rsidP="00C362EA">
      <w:pPr>
        <w:pStyle w:val="BodyTextIndent"/>
        <w:pBdr>
          <w:top w:val="threeDEmboss" w:sz="24" w:space="1" w:color="auto"/>
          <w:left w:val="threeDEmboss" w:sz="24" w:space="4" w:color="auto"/>
          <w:bottom w:val="threeDEmboss" w:sz="24" w:space="1" w:color="auto"/>
          <w:right w:val="threeDEmboss" w:sz="24" w:space="4" w:color="auto"/>
        </w:pBdr>
        <w:shd w:val="pct15" w:color="000000" w:fill="FFFFFF"/>
        <w:spacing w:line="240" w:lineRule="auto"/>
        <w:ind w:firstLine="0"/>
        <w:jc w:val="center"/>
        <w:rPr>
          <w:rFonts w:ascii="Times New Roman" w:hAnsi="Times New Roman" w:cs="Times New Roman"/>
          <w:b/>
          <w:sz w:val="32"/>
          <w:szCs w:val="32"/>
        </w:rPr>
      </w:pPr>
      <w:r w:rsidRPr="002E4468">
        <w:rPr>
          <w:rFonts w:ascii="Times New Roman" w:hAnsi="Times New Roman" w:cs="Times New Roman"/>
          <w:b/>
          <w:sz w:val="32"/>
          <w:szCs w:val="32"/>
        </w:rPr>
        <w:t>1.</w:t>
      </w:r>
      <w:r>
        <w:rPr>
          <w:rFonts w:ascii="Times New Roman" w:hAnsi="Times New Roman" w:cs="Times New Roman"/>
          <w:b/>
          <w:sz w:val="32"/>
          <w:szCs w:val="32"/>
        </w:rPr>
        <w:t>3. Výdavk</w:t>
      </w:r>
      <w:r w:rsidRPr="002E4468">
        <w:rPr>
          <w:rFonts w:ascii="Times New Roman" w:hAnsi="Times New Roman" w:cs="Times New Roman"/>
          <w:b/>
          <w:sz w:val="32"/>
          <w:szCs w:val="32"/>
        </w:rPr>
        <w:t>y kapitoly MDPT SR</w:t>
      </w:r>
    </w:p>
    <w:p w:rsidR="00BF52A7" w:rsidRPr="00D23807" w:rsidP="00C362EA">
      <w:pPr>
        <w:spacing w:line="240" w:lineRule="auto"/>
        <w:rPr>
          <w:rFonts w:ascii="Times New Roman" w:hAnsi="Times New Roman" w:cs="Times New Roman"/>
          <w:sz w:val="26"/>
        </w:rPr>
      </w:pPr>
    </w:p>
    <w:p w:rsidR="00CB2678" w:rsidP="00B27788">
      <w:pPr>
        <w:spacing w:line="240" w:lineRule="auto"/>
        <w:jc w:val="center"/>
        <w:rPr>
          <w:rFonts w:ascii="Times New Roman" w:hAnsi="Times New Roman" w:cs="Times New Roman"/>
          <w:sz w:val="24"/>
          <w:szCs w:val="24"/>
        </w:rPr>
      </w:pPr>
    </w:p>
    <w:p w:rsidR="00D27E26" w:rsidP="00B27788">
      <w:pPr>
        <w:spacing w:line="240" w:lineRule="auto"/>
        <w:jc w:val="center"/>
        <w:rPr>
          <w:rFonts w:ascii="Times New Roman" w:hAnsi="Times New Roman" w:cs="Times New Roman"/>
          <w:sz w:val="24"/>
          <w:szCs w:val="24"/>
        </w:rPr>
      </w:pPr>
      <w:r w:rsidR="001D1C94">
        <w:rPr>
          <w:rFonts w:ascii="Times New Roman" w:hAnsi="Times New Roman" w:cs="Times New Roman"/>
          <w:sz w:val="24"/>
          <w:szCs w:val="24"/>
        </w:rPr>
        <w:t>Výsledky hospodárenia</w:t>
      </w:r>
      <w:r w:rsidRPr="00D23807">
        <w:rPr>
          <w:rFonts w:ascii="Times New Roman" w:hAnsi="Times New Roman" w:cs="Times New Roman"/>
          <w:sz w:val="24"/>
          <w:szCs w:val="24"/>
        </w:rPr>
        <w:t xml:space="preserve"> kapitoly v oblasti výdavkov dokumentujú nasledovné údaje:</w:t>
      </w:r>
    </w:p>
    <w:p w:rsidR="00CB2678" w:rsidRPr="00D23807" w:rsidP="00B27788">
      <w:pPr>
        <w:spacing w:line="240" w:lineRule="auto"/>
        <w:jc w:val="center"/>
        <w:rPr>
          <w:rFonts w:ascii="Times New Roman" w:hAnsi="Times New Roman" w:cs="Times New Roman"/>
          <w:b/>
          <w:sz w:val="28"/>
        </w:rPr>
      </w:pPr>
    </w:p>
    <w:p w:rsidR="00D27E26" w:rsidRPr="00D23807" w:rsidP="00C362EA">
      <w:pPr>
        <w:spacing w:line="240" w:lineRule="auto"/>
        <w:rPr>
          <w:rFonts w:ascii="Times New Roman" w:hAnsi="Times New Roman" w:cs="Times New Roman"/>
          <w:b/>
          <w:sz w:val="28"/>
        </w:rPr>
      </w:pPr>
      <w:r w:rsidR="00AA30B5">
        <w:rPr>
          <w:rFonts w:ascii="Times New Roman" w:hAnsi="Times New Roman" w:cs="Times New Roman"/>
          <w:b/>
          <w:sz w:val="28"/>
        </w:rPr>
        <w:t xml:space="preserve">        </w:t>
      </w:r>
      <w:r w:rsidRPr="00D23807">
        <w:rPr>
          <w:rFonts w:ascii="Times New Roman" w:hAnsi="Times New Roman" w:cs="Times New Roman"/>
          <w:b/>
          <w:sz w:val="28"/>
        </w:rPr>
        <w:t xml:space="preserve">                      </w:t>
      </w:r>
      <w:r w:rsidRPr="00D23807">
        <w:rPr>
          <w:rFonts w:ascii="Times New Roman" w:hAnsi="Times New Roman" w:cs="Times New Roman"/>
          <w:b/>
          <w:sz w:val="28"/>
        </w:rPr>
        <w:t xml:space="preserve">                                                                                    </w:t>
      </w:r>
      <w:r w:rsidRPr="00D23807">
        <w:rPr>
          <w:rFonts w:ascii="Times New Roman" w:hAnsi="Times New Roman" w:cs="Times New Roman"/>
          <w:sz w:val="24"/>
          <w:szCs w:val="24"/>
        </w:rPr>
        <w:t>(v  tis. Sk)</w:t>
      </w:r>
    </w:p>
    <w:p w:rsidR="00D27E26" w:rsidRPr="00D23807" w:rsidP="00C362EA">
      <w:pPr>
        <w:spacing w:line="240" w:lineRule="auto"/>
        <w:rPr>
          <w:rFonts w:ascii="Times New Roman" w:hAnsi="Times New Roman" w:cs="Times New Roman"/>
          <w:b/>
          <w:sz w:val="24"/>
          <w:szCs w:val="24"/>
        </w:rPr>
      </w:pPr>
      <w:r w:rsidR="00F134F6">
        <w:rPr>
          <w:rFonts w:ascii="Times New Roman" w:hAnsi="Times New Roman" w:cs="Times New Roman"/>
          <w:b/>
          <w:sz w:val="24"/>
          <w:szCs w:val="24"/>
        </w:rPr>
        <w:t xml:space="preserve">        </w:t>
      </w:r>
      <w:r w:rsidRPr="00D23807">
        <w:rPr>
          <w:rFonts w:ascii="Times New Roman" w:hAnsi="Times New Roman" w:cs="Times New Roman"/>
          <w:b/>
          <w:sz w:val="24"/>
          <w:szCs w:val="24"/>
        </w:rPr>
        <w:t xml:space="preserve">Záväzné ukazovatele                   </w:t>
      </w:r>
      <w:r w:rsidR="006C202C">
        <w:rPr>
          <w:rFonts w:ascii="Times New Roman" w:hAnsi="Times New Roman" w:cs="Times New Roman"/>
          <w:b/>
          <w:sz w:val="24"/>
          <w:szCs w:val="24"/>
        </w:rPr>
        <w:t xml:space="preserve">     </w:t>
      </w:r>
      <w:r w:rsidRPr="00D23807">
        <w:rPr>
          <w:rFonts w:ascii="Times New Roman" w:hAnsi="Times New Roman" w:cs="Times New Roman"/>
          <w:b/>
          <w:sz w:val="24"/>
          <w:szCs w:val="24"/>
        </w:rPr>
        <w:t>schvále</w:t>
      </w:r>
      <w:r w:rsidR="006C202C">
        <w:rPr>
          <w:rFonts w:ascii="Times New Roman" w:hAnsi="Times New Roman" w:cs="Times New Roman"/>
          <w:b/>
          <w:sz w:val="24"/>
          <w:szCs w:val="24"/>
        </w:rPr>
        <w:t xml:space="preserve">né    </w:t>
      </w:r>
      <w:r w:rsidR="00827063">
        <w:rPr>
          <w:rFonts w:ascii="Times New Roman" w:hAnsi="Times New Roman" w:cs="Times New Roman"/>
          <w:b/>
          <w:sz w:val="24"/>
          <w:szCs w:val="24"/>
        </w:rPr>
        <w:t xml:space="preserve"> </w:t>
      </w:r>
      <w:r w:rsidR="00DE51AB">
        <w:rPr>
          <w:rFonts w:ascii="Times New Roman" w:hAnsi="Times New Roman" w:cs="Times New Roman"/>
          <w:b/>
          <w:sz w:val="24"/>
          <w:szCs w:val="24"/>
        </w:rPr>
        <w:t xml:space="preserve">   </w:t>
      </w:r>
      <w:r w:rsidRPr="00D23807">
        <w:rPr>
          <w:rFonts w:ascii="Times New Roman" w:hAnsi="Times New Roman" w:cs="Times New Roman"/>
          <w:b/>
          <w:sz w:val="24"/>
          <w:szCs w:val="24"/>
        </w:rPr>
        <w:t xml:space="preserve">upravené  </w:t>
      </w:r>
      <w:r w:rsidR="006C202C">
        <w:rPr>
          <w:rFonts w:ascii="Times New Roman" w:hAnsi="Times New Roman" w:cs="Times New Roman"/>
          <w:b/>
          <w:sz w:val="24"/>
          <w:szCs w:val="24"/>
        </w:rPr>
        <w:t xml:space="preserve"> </w:t>
      </w:r>
      <w:r w:rsidR="00DE51AB">
        <w:rPr>
          <w:rFonts w:ascii="Times New Roman" w:hAnsi="Times New Roman" w:cs="Times New Roman"/>
          <w:b/>
          <w:sz w:val="24"/>
          <w:szCs w:val="24"/>
        </w:rPr>
        <w:t xml:space="preserve"> </w:t>
      </w:r>
      <w:r w:rsidRPr="00D23807">
        <w:rPr>
          <w:rFonts w:ascii="Times New Roman" w:hAnsi="Times New Roman" w:cs="Times New Roman"/>
          <w:b/>
          <w:sz w:val="24"/>
          <w:szCs w:val="24"/>
        </w:rPr>
        <w:t>skutočnosť</w:t>
      </w:r>
      <w:r w:rsidR="006C202C">
        <w:rPr>
          <w:rFonts w:ascii="Times New Roman" w:hAnsi="Times New Roman" w:cs="Times New Roman"/>
          <w:b/>
          <w:sz w:val="24"/>
          <w:szCs w:val="24"/>
        </w:rPr>
        <w:t xml:space="preserve"> </w:t>
      </w:r>
      <w:r w:rsidR="00DE51AB">
        <w:rPr>
          <w:rFonts w:ascii="Times New Roman" w:hAnsi="Times New Roman" w:cs="Times New Roman"/>
          <w:b/>
          <w:sz w:val="24"/>
          <w:szCs w:val="24"/>
        </w:rPr>
        <w:t xml:space="preserve">       rozdiel</w:t>
      </w:r>
      <w:r w:rsidR="00827063">
        <w:rPr>
          <w:rFonts w:ascii="Times New Roman" w:hAnsi="Times New Roman" w:cs="Times New Roman"/>
          <w:b/>
          <w:sz w:val="24"/>
          <w:szCs w:val="24"/>
        </w:rPr>
        <w:t xml:space="preserve"> </w:t>
      </w:r>
      <w:r w:rsidR="006C202C">
        <w:rPr>
          <w:rFonts w:ascii="Times New Roman" w:hAnsi="Times New Roman" w:cs="Times New Roman"/>
          <w:b/>
          <w:sz w:val="24"/>
          <w:szCs w:val="24"/>
        </w:rPr>
        <w:t xml:space="preserve"> </w:t>
      </w:r>
    </w:p>
    <w:p w:rsidR="00827063" w:rsidRPr="00D23807" w:rsidP="00C362EA">
      <w:pPr>
        <w:spacing w:line="240" w:lineRule="auto"/>
        <w:rPr>
          <w:rFonts w:ascii="Times New Roman" w:hAnsi="Times New Roman" w:cs="Times New Roman"/>
          <w:b/>
          <w:sz w:val="24"/>
          <w:szCs w:val="24"/>
        </w:rPr>
      </w:pPr>
    </w:p>
    <w:p w:rsidR="006C202C" w:rsidP="00C362EA">
      <w:pPr>
        <w:tabs>
          <w:tab w:val="left" w:pos="5529"/>
        </w:tabs>
        <w:spacing w:line="240" w:lineRule="auto"/>
        <w:rPr>
          <w:rFonts w:ascii="Times New Roman" w:hAnsi="Times New Roman" w:cs="Times New Roman"/>
          <w:b/>
          <w:sz w:val="24"/>
          <w:szCs w:val="24"/>
        </w:rPr>
      </w:pPr>
      <w:r w:rsidRPr="00D23807" w:rsidR="00D27E26">
        <w:rPr>
          <w:rFonts w:ascii="Times New Roman" w:hAnsi="Times New Roman" w:cs="Times New Roman"/>
          <w:b/>
          <w:sz w:val="24"/>
          <w:szCs w:val="24"/>
        </w:rPr>
        <w:t>II. VÝDAVKY KAPITOL</w:t>
      </w:r>
      <w:r w:rsidR="008B6695">
        <w:rPr>
          <w:rFonts w:ascii="Times New Roman" w:hAnsi="Times New Roman" w:cs="Times New Roman"/>
          <w:b/>
          <w:sz w:val="24"/>
          <w:szCs w:val="24"/>
        </w:rPr>
        <w:t xml:space="preserve">Y </w:t>
      </w:r>
    </w:p>
    <w:p w:rsidR="00AA30B5" w:rsidP="00C362EA">
      <w:pPr>
        <w:tabs>
          <w:tab w:val="left" w:pos="5529"/>
        </w:tabs>
        <w:spacing w:line="240" w:lineRule="auto"/>
        <w:rPr>
          <w:rFonts w:ascii="Times New Roman" w:hAnsi="Times New Roman" w:cs="Times New Roman"/>
          <w:b/>
          <w:sz w:val="24"/>
          <w:szCs w:val="24"/>
        </w:rPr>
      </w:pPr>
      <w:r w:rsidR="006C202C">
        <w:rPr>
          <w:rFonts w:ascii="Times New Roman" w:hAnsi="Times New Roman" w:cs="Times New Roman"/>
          <w:b/>
          <w:sz w:val="24"/>
          <w:szCs w:val="24"/>
        </w:rPr>
        <w:t xml:space="preserve">      </w:t>
      </w:r>
      <w:r w:rsidR="008B6695">
        <w:rPr>
          <w:rFonts w:ascii="Times New Roman" w:hAnsi="Times New Roman" w:cs="Times New Roman"/>
          <w:b/>
          <w:sz w:val="24"/>
          <w:szCs w:val="24"/>
        </w:rPr>
        <w:t xml:space="preserve">SPOLU (ŠR+EÚ)      </w:t>
      </w:r>
      <w:r w:rsidR="00091FCA">
        <w:rPr>
          <w:rFonts w:ascii="Times New Roman" w:hAnsi="Times New Roman" w:cs="Times New Roman"/>
          <w:b/>
          <w:sz w:val="24"/>
          <w:szCs w:val="24"/>
        </w:rPr>
        <w:t xml:space="preserve">  </w:t>
      </w:r>
      <w:r w:rsidR="006C202C">
        <w:rPr>
          <w:rFonts w:ascii="Times New Roman" w:hAnsi="Times New Roman" w:cs="Times New Roman"/>
          <w:b/>
          <w:sz w:val="24"/>
          <w:szCs w:val="24"/>
        </w:rPr>
        <w:t xml:space="preserve"> </w:t>
      </w:r>
      <w:r w:rsidR="006C202C">
        <w:rPr>
          <w:rFonts w:ascii="Times New Roman" w:hAnsi="Times New Roman" w:cs="Times New Roman"/>
          <w:b/>
          <w:sz w:val="24"/>
          <w:szCs w:val="24"/>
        </w:rPr>
        <w:t xml:space="preserve">                        </w:t>
      </w:r>
      <w:r w:rsidR="00453267">
        <w:rPr>
          <w:rFonts w:ascii="Times New Roman" w:hAnsi="Times New Roman" w:cs="Times New Roman"/>
          <w:b/>
          <w:sz w:val="24"/>
          <w:szCs w:val="24"/>
        </w:rPr>
        <w:t>27 261 462</w:t>
      </w:r>
      <w:r w:rsidR="002975D7">
        <w:rPr>
          <w:rFonts w:ascii="Times New Roman" w:hAnsi="Times New Roman" w:cs="Times New Roman"/>
          <w:b/>
          <w:sz w:val="24"/>
          <w:szCs w:val="24"/>
        </w:rPr>
        <w:t xml:space="preserve">   </w:t>
      </w:r>
      <w:r w:rsidR="006C202C">
        <w:rPr>
          <w:rFonts w:ascii="Times New Roman" w:hAnsi="Times New Roman" w:cs="Times New Roman"/>
          <w:b/>
          <w:sz w:val="24"/>
          <w:szCs w:val="24"/>
        </w:rPr>
        <w:t xml:space="preserve"> </w:t>
      </w:r>
      <w:r w:rsidR="00453267">
        <w:rPr>
          <w:rFonts w:ascii="Times New Roman" w:hAnsi="Times New Roman" w:cs="Times New Roman"/>
          <w:b/>
          <w:sz w:val="24"/>
          <w:szCs w:val="24"/>
        </w:rPr>
        <w:t>31 513 181</w:t>
      </w:r>
      <w:r w:rsidR="002975D7">
        <w:rPr>
          <w:rFonts w:ascii="Times New Roman" w:hAnsi="Times New Roman" w:cs="Times New Roman"/>
          <w:b/>
          <w:sz w:val="24"/>
          <w:szCs w:val="24"/>
        </w:rPr>
        <w:t xml:space="preserve">  </w:t>
      </w:r>
      <w:r w:rsidR="006C202C">
        <w:rPr>
          <w:rFonts w:ascii="Times New Roman" w:hAnsi="Times New Roman" w:cs="Times New Roman"/>
          <w:b/>
          <w:sz w:val="24"/>
          <w:szCs w:val="24"/>
        </w:rPr>
        <w:t xml:space="preserve"> </w:t>
      </w:r>
      <w:r w:rsidR="00453267">
        <w:rPr>
          <w:rFonts w:ascii="Times New Roman" w:hAnsi="Times New Roman" w:cs="Times New Roman"/>
          <w:b/>
          <w:sz w:val="24"/>
          <w:szCs w:val="24"/>
        </w:rPr>
        <w:t>31 561 721</w:t>
      </w:r>
      <w:r w:rsidR="006C202C">
        <w:rPr>
          <w:rFonts w:ascii="Times New Roman" w:hAnsi="Times New Roman" w:cs="Times New Roman"/>
          <w:b/>
          <w:sz w:val="24"/>
          <w:szCs w:val="24"/>
        </w:rPr>
        <w:t xml:space="preserve">       </w:t>
      </w:r>
      <w:r w:rsidR="00DA2496">
        <w:rPr>
          <w:rFonts w:ascii="Times New Roman" w:hAnsi="Times New Roman" w:cs="Times New Roman"/>
          <w:b/>
          <w:sz w:val="24"/>
          <w:szCs w:val="24"/>
        </w:rPr>
        <w:t xml:space="preserve">- </w:t>
      </w:r>
      <w:r w:rsidR="00453267">
        <w:rPr>
          <w:rFonts w:ascii="Times New Roman" w:hAnsi="Times New Roman" w:cs="Times New Roman"/>
          <w:b/>
          <w:sz w:val="24"/>
          <w:szCs w:val="24"/>
        </w:rPr>
        <w:t>48 540</w:t>
      </w:r>
      <w:r w:rsidRPr="00D23807" w:rsidR="00D27E26">
        <w:rPr>
          <w:rFonts w:ascii="Times New Roman" w:hAnsi="Times New Roman" w:cs="Times New Roman"/>
          <w:b/>
          <w:sz w:val="24"/>
          <w:szCs w:val="24"/>
        </w:rPr>
        <w:t xml:space="preserve">  </w:t>
      </w:r>
    </w:p>
    <w:p w:rsidR="00AA30B5" w:rsidP="00C362EA">
      <w:pPr>
        <w:tabs>
          <w:tab w:val="left" w:pos="5529"/>
        </w:tabs>
        <w:spacing w:line="240" w:lineRule="auto"/>
        <w:rPr>
          <w:rFonts w:ascii="Times New Roman" w:hAnsi="Times New Roman" w:cs="Times New Roman"/>
          <w:b/>
          <w:sz w:val="24"/>
          <w:szCs w:val="24"/>
        </w:rPr>
      </w:pPr>
      <w:r>
        <w:rPr>
          <w:rFonts w:ascii="Times New Roman" w:hAnsi="Times New Roman" w:cs="Times New Roman"/>
          <w:b/>
          <w:sz w:val="24"/>
          <w:szCs w:val="24"/>
        </w:rPr>
        <w:t xml:space="preserve">      </w:t>
      </w:r>
    </w:p>
    <w:p w:rsidR="00AA30B5" w:rsidRPr="00AA30B5" w:rsidP="00C362EA">
      <w:pPr>
        <w:tabs>
          <w:tab w:val="left" w:pos="5529"/>
        </w:tabs>
        <w:spacing w:line="240" w:lineRule="auto"/>
        <w:rPr>
          <w:rFonts w:ascii="Times New Roman" w:hAnsi="Times New Roman" w:cs="Times New Roman"/>
          <w:sz w:val="24"/>
          <w:szCs w:val="24"/>
        </w:rPr>
      </w:pPr>
      <w:r>
        <w:rPr>
          <w:rFonts w:ascii="Times New Roman" w:hAnsi="Times New Roman" w:cs="Times New Roman"/>
          <w:b/>
          <w:sz w:val="24"/>
          <w:szCs w:val="24"/>
        </w:rPr>
        <w:t xml:space="preserve">      </w:t>
      </w:r>
      <w:r w:rsidRPr="00AA30B5">
        <w:rPr>
          <w:rFonts w:ascii="Times New Roman" w:hAnsi="Times New Roman" w:cs="Times New Roman"/>
          <w:sz w:val="24"/>
          <w:szCs w:val="24"/>
        </w:rPr>
        <w:t xml:space="preserve">A. </w:t>
      </w:r>
      <w:r w:rsidR="00A27270">
        <w:rPr>
          <w:rFonts w:ascii="Times New Roman" w:hAnsi="Times New Roman" w:cs="Times New Roman"/>
          <w:sz w:val="24"/>
          <w:szCs w:val="24"/>
        </w:rPr>
        <w:t xml:space="preserve"> </w:t>
      </w:r>
      <w:r w:rsidR="006C202C">
        <w:rPr>
          <w:rFonts w:ascii="Times New Roman" w:hAnsi="Times New Roman" w:cs="Times New Roman"/>
          <w:sz w:val="24"/>
          <w:szCs w:val="24"/>
        </w:rPr>
        <w:t>Výdavky spolu bez</w:t>
      </w:r>
      <w:r w:rsidRPr="00AA30B5">
        <w:rPr>
          <w:rFonts w:ascii="Times New Roman" w:hAnsi="Times New Roman" w:cs="Times New Roman"/>
          <w:sz w:val="24"/>
          <w:szCs w:val="24"/>
        </w:rPr>
        <w:t xml:space="preserve"> </w:t>
      </w:r>
    </w:p>
    <w:p w:rsidR="00D27E26" w:rsidP="00C362EA">
      <w:pPr>
        <w:tabs>
          <w:tab w:val="left" w:pos="5529"/>
        </w:tabs>
        <w:spacing w:line="240" w:lineRule="auto"/>
        <w:rPr>
          <w:rFonts w:ascii="Times New Roman" w:hAnsi="Times New Roman" w:cs="Times New Roman"/>
          <w:sz w:val="24"/>
          <w:szCs w:val="24"/>
        </w:rPr>
      </w:pPr>
      <w:r w:rsidRPr="00AA30B5" w:rsidR="00AA30B5">
        <w:rPr>
          <w:rFonts w:ascii="Times New Roman" w:hAnsi="Times New Roman" w:cs="Times New Roman"/>
          <w:sz w:val="24"/>
          <w:szCs w:val="24"/>
        </w:rPr>
        <w:t xml:space="preserve">            </w:t>
      </w:r>
      <w:r w:rsidR="006C202C">
        <w:rPr>
          <w:rFonts w:ascii="Times New Roman" w:hAnsi="Times New Roman" w:cs="Times New Roman"/>
          <w:sz w:val="24"/>
          <w:szCs w:val="24"/>
        </w:rPr>
        <w:t xml:space="preserve">prostriedkov z </w:t>
      </w:r>
      <w:r w:rsidRPr="00AA30B5" w:rsidR="00AA30B5">
        <w:rPr>
          <w:rFonts w:ascii="Times New Roman" w:hAnsi="Times New Roman" w:cs="Times New Roman"/>
          <w:sz w:val="24"/>
          <w:szCs w:val="24"/>
        </w:rPr>
        <w:t>EÚ</w:t>
      </w:r>
      <w:r w:rsidRPr="00AA30B5">
        <w:rPr>
          <w:rFonts w:ascii="Times New Roman" w:hAnsi="Times New Roman" w:cs="Times New Roman"/>
          <w:sz w:val="24"/>
          <w:szCs w:val="24"/>
        </w:rPr>
        <w:t xml:space="preserve">            </w:t>
      </w:r>
      <w:r w:rsidR="00453267">
        <w:rPr>
          <w:rFonts w:ascii="Times New Roman" w:hAnsi="Times New Roman" w:cs="Times New Roman"/>
          <w:sz w:val="24"/>
          <w:szCs w:val="24"/>
        </w:rPr>
        <w:t xml:space="preserve">               22 </w:t>
      </w:r>
      <w:r w:rsidR="001345C1">
        <w:rPr>
          <w:rFonts w:ascii="Times New Roman" w:hAnsi="Times New Roman" w:cs="Times New Roman"/>
          <w:sz w:val="24"/>
          <w:szCs w:val="24"/>
        </w:rPr>
        <w:t>541</w:t>
      </w:r>
      <w:r w:rsidR="00453267">
        <w:rPr>
          <w:rFonts w:ascii="Times New Roman" w:hAnsi="Times New Roman" w:cs="Times New Roman"/>
          <w:sz w:val="24"/>
          <w:szCs w:val="24"/>
        </w:rPr>
        <w:t xml:space="preserve"> 531    26 467 994</w:t>
      </w:r>
      <w:r w:rsidR="006C202C">
        <w:rPr>
          <w:rFonts w:ascii="Times New Roman" w:hAnsi="Times New Roman" w:cs="Times New Roman"/>
          <w:sz w:val="24"/>
          <w:szCs w:val="24"/>
        </w:rPr>
        <w:t xml:space="preserve">   </w:t>
      </w:r>
      <w:r w:rsidR="00453267">
        <w:rPr>
          <w:rFonts w:ascii="Times New Roman" w:hAnsi="Times New Roman" w:cs="Times New Roman"/>
          <w:sz w:val="24"/>
          <w:szCs w:val="24"/>
        </w:rPr>
        <w:t>26 516 618</w:t>
      </w:r>
      <w:r w:rsidR="006C202C">
        <w:rPr>
          <w:rFonts w:ascii="Times New Roman" w:hAnsi="Times New Roman" w:cs="Times New Roman"/>
          <w:sz w:val="24"/>
          <w:szCs w:val="24"/>
        </w:rPr>
        <w:t xml:space="preserve">      </w:t>
      </w:r>
      <w:r w:rsidR="00DA2496">
        <w:rPr>
          <w:rFonts w:ascii="Times New Roman" w:hAnsi="Times New Roman" w:cs="Times New Roman"/>
          <w:sz w:val="24"/>
          <w:szCs w:val="24"/>
        </w:rPr>
        <w:t xml:space="preserve">  -</w:t>
      </w:r>
      <w:r w:rsidR="00453267">
        <w:rPr>
          <w:rFonts w:ascii="Times New Roman" w:hAnsi="Times New Roman" w:cs="Times New Roman"/>
          <w:sz w:val="24"/>
          <w:szCs w:val="24"/>
        </w:rPr>
        <w:t xml:space="preserve"> 48 624</w:t>
      </w:r>
    </w:p>
    <w:p w:rsidR="00827063" w:rsidRPr="00AA30B5" w:rsidP="00C362EA">
      <w:pPr>
        <w:tabs>
          <w:tab w:val="left" w:pos="5529"/>
        </w:tabs>
        <w:spacing w:line="240" w:lineRule="auto"/>
        <w:rPr>
          <w:rFonts w:ascii="Times New Roman" w:hAnsi="Times New Roman" w:cs="Times New Roman"/>
          <w:sz w:val="24"/>
          <w:szCs w:val="24"/>
        </w:rPr>
      </w:pPr>
    </w:p>
    <w:p w:rsidR="00D27E26" w:rsidRPr="00AA30B5" w:rsidP="00C362EA">
      <w:pPr>
        <w:spacing w:line="240" w:lineRule="auto"/>
        <w:rPr>
          <w:rFonts w:ascii="Times New Roman" w:hAnsi="Times New Roman" w:cs="Times New Roman"/>
          <w:sz w:val="24"/>
          <w:szCs w:val="24"/>
        </w:rPr>
      </w:pPr>
      <w:r w:rsidRPr="00AA30B5" w:rsidR="00AA30B5">
        <w:rPr>
          <w:rFonts w:ascii="Times New Roman" w:hAnsi="Times New Roman" w:cs="Times New Roman"/>
          <w:sz w:val="24"/>
          <w:szCs w:val="24"/>
        </w:rPr>
        <w:t xml:space="preserve">      B. </w:t>
      </w:r>
      <w:r w:rsidR="00A27270">
        <w:rPr>
          <w:rFonts w:ascii="Times New Roman" w:hAnsi="Times New Roman" w:cs="Times New Roman"/>
          <w:sz w:val="24"/>
          <w:szCs w:val="24"/>
        </w:rPr>
        <w:t xml:space="preserve"> </w:t>
      </w:r>
      <w:r w:rsidRPr="00AA30B5" w:rsidR="00AA30B5">
        <w:rPr>
          <w:rFonts w:ascii="Times New Roman" w:hAnsi="Times New Roman" w:cs="Times New Roman"/>
          <w:sz w:val="24"/>
          <w:szCs w:val="24"/>
        </w:rPr>
        <w:t>Prostriedky z rozpoč</w:t>
      </w:r>
      <w:r w:rsidRPr="00AA30B5" w:rsidR="00AA30B5">
        <w:rPr>
          <w:rFonts w:ascii="Times New Roman" w:hAnsi="Times New Roman" w:cs="Times New Roman"/>
          <w:sz w:val="24"/>
          <w:szCs w:val="24"/>
        </w:rPr>
        <w:t>tu EÚ</w:t>
      </w:r>
      <w:r w:rsidR="00A27270">
        <w:rPr>
          <w:rFonts w:ascii="Times New Roman" w:hAnsi="Times New Roman" w:cs="Times New Roman"/>
          <w:sz w:val="24"/>
          <w:szCs w:val="24"/>
        </w:rPr>
        <w:t xml:space="preserve">             </w:t>
      </w:r>
      <w:r w:rsidR="00453267">
        <w:rPr>
          <w:rFonts w:ascii="Times New Roman" w:hAnsi="Times New Roman" w:cs="Times New Roman"/>
          <w:sz w:val="24"/>
          <w:szCs w:val="24"/>
        </w:rPr>
        <w:t xml:space="preserve">   4 719 931</w:t>
      </w:r>
      <w:r w:rsidR="006C202C">
        <w:rPr>
          <w:rFonts w:ascii="Times New Roman" w:hAnsi="Times New Roman" w:cs="Times New Roman"/>
          <w:sz w:val="24"/>
          <w:szCs w:val="24"/>
        </w:rPr>
        <w:t xml:space="preserve">      </w:t>
      </w:r>
      <w:r w:rsidR="00453267">
        <w:rPr>
          <w:rFonts w:ascii="Times New Roman" w:hAnsi="Times New Roman" w:cs="Times New Roman"/>
          <w:sz w:val="24"/>
          <w:szCs w:val="24"/>
        </w:rPr>
        <w:t>5 045 187</w:t>
      </w:r>
      <w:r w:rsidR="00827063">
        <w:rPr>
          <w:rFonts w:ascii="Times New Roman" w:hAnsi="Times New Roman" w:cs="Times New Roman"/>
          <w:sz w:val="24"/>
          <w:szCs w:val="24"/>
        </w:rPr>
        <w:t xml:space="preserve">     </w:t>
      </w:r>
      <w:r w:rsidR="00453267">
        <w:rPr>
          <w:rFonts w:ascii="Times New Roman" w:hAnsi="Times New Roman" w:cs="Times New Roman"/>
          <w:sz w:val="24"/>
          <w:szCs w:val="24"/>
        </w:rPr>
        <w:t>5 045 103</w:t>
      </w:r>
      <w:r w:rsidR="006C202C">
        <w:rPr>
          <w:rFonts w:ascii="Times New Roman" w:hAnsi="Times New Roman" w:cs="Times New Roman"/>
          <w:sz w:val="24"/>
          <w:szCs w:val="24"/>
        </w:rPr>
        <w:t xml:space="preserve">     </w:t>
      </w:r>
      <w:r w:rsidR="00827063">
        <w:rPr>
          <w:rFonts w:ascii="Times New Roman" w:hAnsi="Times New Roman" w:cs="Times New Roman"/>
          <w:sz w:val="24"/>
          <w:szCs w:val="24"/>
        </w:rPr>
        <w:t xml:space="preserve">     </w:t>
      </w:r>
      <w:r w:rsidR="00DA2496">
        <w:rPr>
          <w:rFonts w:ascii="Times New Roman" w:hAnsi="Times New Roman" w:cs="Times New Roman"/>
          <w:sz w:val="24"/>
          <w:szCs w:val="24"/>
        </w:rPr>
        <w:t xml:space="preserve">      </w:t>
      </w:r>
      <w:r w:rsidR="006647C4">
        <w:rPr>
          <w:rFonts w:ascii="Times New Roman" w:hAnsi="Times New Roman" w:cs="Times New Roman"/>
          <w:sz w:val="24"/>
          <w:szCs w:val="24"/>
        </w:rPr>
        <w:t xml:space="preserve"> </w:t>
      </w:r>
      <w:r w:rsidR="00453267">
        <w:rPr>
          <w:rFonts w:ascii="Times New Roman" w:hAnsi="Times New Roman" w:cs="Times New Roman"/>
          <w:sz w:val="24"/>
          <w:szCs w:val="24"/>
        </w:rPr>
        <w:t>84</w:t>
      </w:r>
    </w:p>
    <w:p w:rsidR="00D27E26" w:rsidRPr="00D23807" w:rsidP="00C362EA">
      <w:pPr>
        <w:spacing w:line="240" w:lineRule="auto"/>
        <w:rPr>
          <w:rFonts w:ascii="Times New Roman" w:hAnsi="Times New Roman" w:cs="Times New Roman"/>
          <w:b/>
          <w:sz w:val="24"/>
          <w:szCs w:val="24"/>
        </w:rPr>
      </w:pPr>
      <w:r w:rsidRPr="00D23807">
        <w:rPr>
          <w:rFonts w:ascii="Times New Roman" w:hAnsi="Times New Roman" w:cs="Times New Roman"/>
          <w:b/>
          <w:sz w:val="24"/>
          <w:szCs w:val="24"/>
        </w:rPr>
        <w:t xml:space="preserve">      </w:t>
      </w:r>
    </w:p>
    <w:p w:rsidR="00827063" w:rsidP="00C362EA">
      <w:pPr>
        <w:spacing w:line="240" w:lineRule="auto"/>
        <w:rPr>
          <w:rFonts w:ascii="Times New Roman" w:hAnsi="Times New Roman" w:cs="Times New Roman"/>
          <w:sz w:val="24"/>
          <w:szCs w:val="24"/>
        </w:rPr>
      </w:pPr>
      <w:r w:rsidRPr="00D23807" w:rsidR="00D27E26">
        <w:rPr>
          <w:rFonts w:ascii="Times New Roman" w:hAnsi="Times New Roman" w:cs="Times New Roman"/>
          <w:sz w:val="24"/>
          <w:szCs w:val="24"/>
        </w:rPr>
        <w:t xml:space="preserve">     </w:t>
      </w:r>
    </w:p>
    <w:p w:rsidR="00827063" w:rsidP="00C362EA">
      <w:pPr>
        <w:spacing w:line="240" w:lineRule="auto"/>
        <w:ind w:firstLine="300"/>
        <w:rPr>
          <w:rFonts w:ascii="Times New Roman" w:hAnsi="Times New Roman" w:cs="Times New Roman"/>
          <w:b/>
          <w:sz w:val="24"/>
          <w:szCs w:val="24"/>
        </w:rPr>
      </w:pPr>
      <w:r w:rsidR="006C202C">
        <w:rPr>
          <w:rFonts w:ascii="Times New Roman" w:hAnsi="Times New Roman" w:cs="Times New Roman"/>
          <w:b/>
          <w:sz w:val="24"/>
          <w:szCs w:val="24"/>
        </w:rPr>
        <w:t xml:space="preserve">BEŽNÉ VÝDAVKY </w:t>
      </w:r>
    </w:p>
    <w:p w:rsidR="00D27E26" w:rsidRPr="00AA30B5" w:rsidP="00C362EA">
      <w:pPr>
        <w:spacing w:line="240" w:lineRule="auto"/>
        <w:ind w:firstLine="300"/>
        <w:rPr>
          <w:rFonts w:ascii="Times New Roman" w:hAnsi="Times New Roman" w:cs="Times New Roman"/>
          <w:sz w:val="24"/>
          <w:szCs w:val="24"/>
        </w:rPr>
      </w:pPr>
      <w:r w:rsidR="006C202C">
        <w:rPr>
          <w:rFonts w:ascii="Times New Roman" w:hAnsi="Times New Roman" w:cs="Times New Roman"/>
          <w:b/>
          <w:sz w:val="24"/>
          <w:szCs w:val="24"/>
        </w:rPr>
        <w:t xml:space="preserve">SPOLU (600)     </w:t>
      </w:r>
      <w:r w:rsidR="00827063">
        <w:rPr>
          <w:rFonts w:ascii="Times New Roman" w:hAnsi="Times New Roman" w:cs="Times New Roman"/>
          <w:b/>
          <w:sz w:val="24"/>
          <w:szCs w:val="24"/>
        </w:rPr>
        <w:t xml:space="preserve">                                    </w:t>
      </w:r>
      <w:r w:rsidR="00453267">
        <w:rPr>
          <w:rFonts w:ascii="Times New Roman" w:hAnsi="Times New Roman" w:cs="Times New Roman"/>
          <w:b/>
          <w:sz w:val="24"/>
          <w:szCs w:val="24"/>
        </w:rPr>
        <w:t>12 304 878</w:t>
      </w:r>
      <w:r w:rsidR="00A27270">
        <w:rPr>
          <w:rFonts w:ascii="Times New Roman" w:hAnsi="Times New Roman" w:cs="Times New Roman"/>
          <w:b/>
          <w:sz w:val="24"/>
          <w:szCs w:val="24"/>
        </w:rPr>
        <w:t xml:space="preserve">   </w:t>
      </w:r>
      <w:r w:rsidR="006C202C">
        <w:rPr>
          <w:rFonts w:ascii="Times New Roman" w:hAnsi="Times New Roman" w:cs="Times New Roman"/>
          <w:b/>
          <w:sz w:val="24"/>
          <w:szCs w:val="24"/>
        </w:rPr>
        <w:t xml:space="preserve"> </w:t>
      </w:r>
      <w:r w:rsidR="001345C1">
        <w:rPr>
          <w:rFonts w:ascii="Times New Roman" w:hAnsi="Times New Roman" w:cs="Times New Roman"/>
          <w:b/>
          <w:sz w:val="24"/>
          <w:szCs w:val="24"/>
        </w:rPr>
        <w:t>13 257 764</w:t>
      </w:r>
      <w:r w:rsidR="002975D7">
        <w:rPr>
          <w:rFonts w:ascii="Times New Roman" w:hAnsi="Times New Roman" w:cs="Times New Roman"/>
          <w:b/>
          <w:sz w:val="24"/>
          <w:szCs w:val="24"/>
        </w:rPr>
        <w:t xml:space="preserve">   </w:t>
      </w:r>
      <w:r w:rsidRPr="00D23807">
        <w:rPr>
          <w:rFonts w:ascii="Times New Roman" w:hAnsi="Times New Roman" w:cs="Times New Roman"/>
          <w:b/>
          <w:sz w:val="24"/>
          <w:szCs w:val="24"/>
        </w:rPr>
        <w:t xml:space="preserve">  </w:t>
      </w:r>
      <w:r w:rsidR="001345C1">
        <w:rPr>
          <w:rFonts w:ascii="Times New Roman" w:hAnsi="Times New Roman" w:cs="Times New Roman"/>
          <w:b/>
          <w:sz w:val="24"/>
          <w:szCs w:val="24"/>
        </w:rPr>
        <w:t>13 249 005</w:t>
      </w:r>
      <w:r w:rsidR="006A5BE4">
        <w:rPr>
          <w:rFonts w:ascii="Times New Roman" w:hAnsi="Times New Roman" w:cs="Times New Roman"/>
          <w:b/>
          <w:sz w:val="24"/>
          <w:szCs w:val="24"/>
        </w:rPr>
        <w:t xml:space="preserve">       </w:t>
      </w:r>
      <w:r w:rsidR="00DA2496">
        <w:rPr>
          <w:rFonts w:ascii="Times New Roman" w:hAnsi="Times New Roman" w:cs="Times New Roman"/>
          <w:b/>
          <w:sz w:val="24"/>
          <w:szCs w:val="24"/>
        </w:rPr>
        <w:t xml:space="preserve">  </w:t>
      </w:r>
      <w:r w:rsidR="006647C4">
        <w:rPr>
          <w:rFonts w:ascii="Times New Roman" w:hAnsi="Times New Roman" w:cs="Times New Roman"/>
          <w:b/>
          <w:sz w:val="24"/>
          <w:szCs w:val="24"/>
        </w:rPr>
        <w:t xml:space="preserve"> </w:t>
      </w:r>
      <w:r w:rsidR="001345C1">
        <w:rPr>
          <w:rFonts w:ascii="Times New Roman" w:hAnsi="Times New Roman" w:cs="Times New Roman"/>
          <w:b/>
          <w:sz w:val="24"/>
          <w:szCs w:val="24"/>
        </w:rPr>
        <w:t>8 759</w:t>
      </w:r>
    </w:p>
    <w:p w:rsidR="00AA30B5" w:rsidP="00C362EA">
      <w:pPr>
        <w:tabs>
          <w:tab w:val="left" w:pos="5529"/>
        </w:tabs>
        <w:spacing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A27270" w:rsidP="00C362EA">
      <w:pPr>
        <w:numPr>
          <w:ilvl w:val="0"/>
          <w:numId w:val="5"/>
        </w:numPr>
        <w:tabs>
          <w:tab w:val="left" w:pos="660"/>
          <w:tab w:val="left" w:pos="5529"/>
        </w:tabs>
        <w:spacing w:line="240" w:lineRule="auto"/>
        <w:rPr>
          <w:rFonts w:ascii="Times New Roman" w:hAnsi="Times New Roman" w:cs="Times New Roman"/>
          <w:sz w:val="24"/>
          <w:szCs w:val="24"/>
        </w:rPr>
      </w:pPr>
      <w:r w:rsidR="00AA30B5">
        <w:rPr>
          <w:rFonts w:ascii="Times New Roman" w:hAnsi="Times New Roman" w:cs="Times New Roman"/>
          <w:sz w:val="24"/>
          <w:szCs w:val="24"/>
        </w:rPr>
        <w:t xml:space="preserve">Bežné výdavky </w:t>
      </w:r>
      <w:r w:rsidRPr="00AA30B5" w:rsidR="00AA30B5">
        <w:rPr>
          <w:rFonts w:ascii="Times New Roman" w:hAnsi="Times New Roman" w:cs="Times New Roman"/>
          <w:sz w:val="24"/>
          <w:szCs w:val="24"/>
        </w:rPr>
        <w:t xml:space="preserve">bez prostriedkov </w:t>
      </w:r>
      <w:r>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A30B5" w:rsidR="00AA30B5">
        <w:rPr>
          <w:rFonts w:ascii="Times New Roman" w:hAnsi="Times New Roman" w:cs="Times New Roman"/>
          <w:sz w:val="24"/>
          <w:szCs w:val="24"/>
        </w:rPr>
        <w:t xml:space="preserve">           </w:t>
      </w:r>
    </w:p>
    <w:p w:rsidR="00AA30B5" w:rsidP="00C362EA">
      <w:pPr>
        <w:tabs>
          <w:tab w:val="left" w:pos="5529"/>
        </w:tabs>
        <w:spacing w:line="240" w:lineRule="auto"/>
        <w:ind w:left="300"/>
        <w:rPr>
          <w:rFonts w:ascii="Times New Roman" w:hAnsi="Times New Roman" w:cs="Times New Roman"/>
          <w:sz w:val="24"/>
          <w:szCs w:val="24"/>
        </w:rPr>
      </w:pPr>
      <w:r w:rsidR="00A27270">
        <w:rPr>
          <w:rFonts w:ascii="Times New Roman" w:hAnsi="Times New Roman" w:cs="Times New Roman"/>
          <w:sz w:val="24"/>
          <w:szCs w:val="24"/>
        </w:rPr>
        <w:t xml:space="preserve">   </w:t>
      </w:r>
      <w:r w:rsidRPr="00AA30B5">
        <w:rPr>
          <w:rFonts w:ascii="Times New Roman" w:hAnsi="Times New Roman" w:cs="Times New Roman"/>
          <w:sz w:val="24"/>
          <w:szCs w:val="24"/>
        </w:rPr>
        <w:t xml:space="preserve"> </w:t>
      </w:r>
      <w:r w:rsidR="00A27270">
        <w:rPr>
          <w:rFonts w:ascii="Times New Roman" w:hAnsi="Times New Roman" w:cs="Times New Roman"/>
          <w:sz w:val="24"/>
          <w:szCs w:val="24"/>
        </w:rPr>
        <w:t xml:space="preserve">  </w:t>
      </w:r>
      <w:r w:rsidRPr="00AA30B5">
        <w:rPr>
          <w:rFonts w:ascii="Times New Roman" w:hAnsi="Times New Roman" w:cs="Times New Roman"/>
          <w:sz w:val="24"/>
          <w:szCs w:val="24"/>
        </w:rPr>
        <w:t xml:space="preserve">z rozpočtu EÚ      </w:t>
      </w:r>
      <w:r w:rsidR="00A27270">
        <w:rPr>
          <w:rFonts w:ascii="Times New Roman" w:hAnsi="Times New Roman" w:cs="Times New Roman"/>
          <w:sz w:val="24"/>
          <w:szCs w:val="24"/>
        </w:rPr>
        <w:t xml:space="preserve">                </w:t>
      </w:r>
      <w:r w:rsidR="006C202C">
        <w:rPr>
          <w:rFonts w:ascii="Times New Roman" w:hAnsi="Times New Roman" w:cs="Times New Roman"/>
          <w:sz w:val="24"/>
          <w:szCs w:val="24"/>
        </w:rPr>
        <w:t xml:space="preserve">             </w:t>
      </w:r>
      <w:r w:rsidR="00453267">
        <w:rPr>
          <w:rFonts w:ascii="Times New Roman" w:hAnsi="Times New Roman" w:cs="Times New Roman"/>
          <w:sz w:val="24"/>
          <w:szCs w:val="24"/>
        </w:rPr>
        <w:t>12 255 205</w:t>
      </w:r>
      <w:r w:rsidR="006C202C">
        <w:rPr>
          <w:rFonts w:ascii="Times New Roman" w:hAnsi="Times New Roman" w:cs="Times New Roman"/>
          <w:sz w:val="24"/>
          <w:szCs w:val="24"/>
        </w:rPr>
        <w:t xml:space="preserve">    </w:t>
      </w:r>
      <w:r w:rsidR="00D1156D">
        <w:rPr>
          <w:rFonts w:ascii="Times New Roman" w:hAnsi="Times New Roman" w:cs="Times New Roman"/>
          <w:sz w:val="24"/>
          <w:szCs w:val="24"/>
        </w:rPr>
        <w:t>13 224 613</w:t>
      </w:r>
      <w:r w:rsidR="00453267">
        <w:rPr>
          <w:rFonts w:ascii="Times New Roman" w:hAnsi="Times New Roman" w:cs="Times New Roman"/>
          <w:sz w:val="24"/>
          <w:szCs w:val="24"/>
        </w:rPr>
        <w:t> </w:t>
      </w:r>
      <w:r w:rsidR="00DA2496">
        <w:rPr>
          <w:rFonts w:ascii="Times New Roman" w:hAnsi="Times New Roman" w:cs="Times New Roman"/>
          <w:sz w:val="24"/>
          <w:szCs w:val="24"/>
        </w:rPr>
        <w:t xml:space="preserve">    13 215 893         </w:t>
      </w:r>
      <w:r w:rsidR="006647C4">
        <w:rPr>
          <w:rFonts w:ascii="Times New Roman" w:hAnsi="Times New Roman" w:cs="Times New Roman"/>
          <w:sz w:val="24"/>
          <w:szCs w:val="24"/>
        </w:rPr>
        <w:t xml:space="preserve"> </w:t>
      </w:r>
      <w:r w:rsidR="00D1156D">
        <w:rPr>
          <w:rFonts w:ascii="Times New Roman" w:hAnsi="Times New Roman" w:cs="Times New Roman"/>
          <w:sz w:val="24"/>
          <w:szCs w:val="24"/>
        </w:rPr>
        <w:t>8 720</w:t>
      </w:r>
      <w:r w:rsidRPr="00AA30B5">
        <w:rPr>
          <w:rFonts w:ascii="Times New Roman" w:hAnsi="Times New Roman" w:cs="Times New Roman"/>
          <w:sz w:val="24"/>
          <w:szCs w:val="24"/>
        </w:rPr>
        <w:t xml:space="preserve">                     </w:t>
      </w:r>
      <w:r w:rsidR="00A27270">
        <w:rPr>
          <w:rFonts w:ascii="Times New Roman" w:hAnsi="Times New Roman" w:cs="Times New Roman"/>
          <w:sz w:val="24"/>
          <w:szCs w:val="24"/>
        </w:rPr>
        <w:t xml:space="preserve">                      </w:t>
      </w:r>
    </w:p>
    <w:p w:rsidR="00827063" w:rsidRPr="00AA30B5" w:rsidP="00C362EA">
      <w:pPr>
        <w:tabs>
          <w:tab w:val="left" w:pos="5529"/>
        </w:tabs>
        <w:spacing w:line="240" w:lineRule="auto"/>
        <w:ind w:left="300"/>
        <w:rPr>
          <w:rFonts w:ascii="Times New Roman" w:hAnsi="Times New Roman" w:cs="Times New Roman"/>
          <w:sz w:val="24"/>
          <w:szCs w:val="24"/>
        </w:rPr>
      </w:pPr>
    </w:p>
    <w:p w:rsidR="00AA30B5" w:rsidRPr="00AA30B5" w:rsidP="00C362EA">
      <w:pPr>
        <w:spacing w:line="240" w:lineRule="auto"/>
        <w:ind w:right="-109"/>
        <w:rPr>
          <w:rFonts w:ascii="Times New Roman" w:hAnsi="Times New Roman" w:cs="Times New Roman"/>
          <w:sz w:val="24"/>
          <w:szCs w:val="24"/>
        </w:rPr>
      </w:pPr>
      <w:r>
        <w:rPr>
          <w:rFonts w:ascii="Times New Roman" w:hAnsi="Times New Roman" w:cs="Times New Roman"/>
          <w:sz w:val="24"/>
          <w:szCs w:val="24"/>
        </w:rPr>
        <w:t xml:space="preserve">     </w:t>
      </w:r>
      <w:r w:rsidRPr="00AA30B5">
        <w:rPr>
          <w:rFonts w:ascii="Times New Roman" w:hAnsi="Times New Roman" w:cs="Times New Roman"/>
          <w:sz w:val="24"/>
          <w:szCs w:val="24"/>
        </w:rPr>
        <w:t xml:space="preserve">B. </w:t>
      </w:r>
      <w:r w:rsidR="00A27270">
        <w:rPr>
          <w:rFonts w:ascii="Times New Roman" w:hAnsi="Times New Roman" w:cs="Times New Roman"/>
          <w:sz w:val="24"/>
          <w:szCs w:val="24"/>
        </w:rPr>
        <w:t xml:space="preserve"> </w:t>
      </w:r>
      <w:r w:rsidRPr="00AA30B5">
        <w:rPr>
          <w:rFonts w:ascii="Times New Roman" w:hAnsi="Times New Roman" w:cs="Times New Roman"/>
          <w:sz w:val="24"/>
          <w:szCs w:val="24"/>
        </w:rPr>
        <w:t>Prostriedky z ro</w:t>
      </w:r>
      <w:r w:rsidR="006C202C">
        <w:rPr>
          <w:rFonts w:ascii="Times New Roman" w:hAnsi="Times New Roman" w:cs="Times New Roman"/>
          <w:sz w:val="24"/>
          <w:szCs w:val="24"/>
        </w:rPr>
        <w:t xml:space="preserve">zpočtu EÚ                       </w:t>
      </w:r>
      <w:r w:rsidR="00453267">
        <w:rPr>
          <w:rFonts w:ascii="Times New Roman" w:hAnsi="Times New Roman" w:cs="Times New Roman"/>
          <w:sz w:val="24"/>
          <w:szCs w:val="24"/>
        </w:rPr>
        <w:t>49 673</w:t>
      </w:r>
      <w:r w:rsidR="00D1156D">
        <w:rPr>
          <w:rFonts w:ascii="Times New Roman" w:hAnsi="Times New Roman" w:cs="Times New Roman"/>
          <w:sz w:val="24"/>
          <w:szCs w:val="24"/>
        </w:rPr>
        <w:t xml:space="preserve">           </w:t>
      </w:r>
      <w:r w:rsidR="00D1156D">
        <w:rPr>
          <w:rFonts w:ascii="Times New Roman" w:hAnsi="Times New Roman" w:cs="Times New Roman"/>
          <w:sz w:val="24"/>
          <w:szCs w:val="24"/>
        </w:rPr>
        <w:t>33 151</w:t>
      </w:r>
      <w:r w:rsidR="00BC1805">
        <w:rPr>
          <w:rFonts w:ascii="Times New Roman" w:hAnsi="Times New Roman" w:cs="Times New Roman"/>
          <w:sz w:val="24"/>
          <w:szCs w:val="24"/>
        </w:rPr>
        <w:t xml:space="preserve">    </w:t>
      </w:r>
      <w:r w:rsidR="00D1156D">
        <w:rPr>
          <w:rFonts w:ascii="Times New Roman" w:hAnsi="Times New Roman" w:cs="Times New Roman"/>
          <w:sz w:val="24"/>
          <w:szCs w:val="24"/>
        </w:rPr>
        <w:t xml:space="preserve">        33 112</w:t>
      </w:r>
      <w:r w:rsidR="00453267">
        <w:rPr>
          <w:rFonts w:ascii="Times New Roman" w:hAnsi="Times New Roman" w:cs="Times New Roman"/>
          <w:sz w:val="24"/>
          <w:szCs w:val="24"/>
        </w:rPr>
        <w:t xml:space="preserve"> </w:t>
      </w:r>
      <w:r w:rsidR="00DA2496">
        <w:rPr>
          <w:rFonts w:ascii="Times New Roman" w:hAnsi="Times New Roman" w:cs="Times New Roman"/>
          <w:sz w:val="24"/>
          <w:szCs w:val="24"/>
        </w:rPr>
        <w:t xml:space="preserve">             </w:t>
      </w:r>
      <w:r w:rsidR="006647C4">
        <w:rPr>
          <w:rFonts w:ascii="Times New Roman" w:hAnsi="Times New Roman" w:cs="Times New Roman"/>
          <w:sz w:val="24"/>
          <w:szCs w:val="24"/>
        </w:rPr>
        <w:t xml:space="preserve"> </w:t>
      </w:r>
      <w:r w:rsidR="00D1156D">
        <w:rPr>
          <w:rFonts w:ascii="Times New Roman" w:hAnsi="Times New Roman" w:cs="Times New Roman"/>
          <w:sz w:val="24"/>
          <w:szCs w:val="24"/>
        </w:rPr>
        <w:t>39</w:t>
      </w:r>
    </w:p>
    <w:p w:rsidR="00D27E26" w:rsidP="00C362EA">
      <w:pPr>
        <w:spacing w:line="240" w:lineRule="auto"/>
        <w:rPr>
          <w:rFonts w:ascii="Times New Roman" w:hAnsi="Times New Roman" w:cs="Times New Roman"/>
          <w:sz w:val="24"/>
          <w:szCs w:val="24"/>
        </w:rPr>
      </w:pPr>
    </w:p>
    <w:p w:rsidR="00827063" w:rsidRPr="00D23807" w:rsidP="00C362EA">
      <w:pPr>
        <w:spacing w:line="240" w:lineRule="auto"/>
        <w:rPr>
          <w:rFonts w:ascii="Times New Roman" w:hAnsi="Times New Roman" w:cs="Times New Roman"/>
          <w:sz w:val="24"/>
          <w:szCs w:val="24"/>
        </w:rPr>
      </w:pPr>
    </w:p>
    <w:p w:rsidR="006C202C" w:rsidP="00C362EA">
      <w:pPr>
        <w:spacing w:line="240" w:lineRule="auto"/>
        <w:rPr>
          <w:rFonts w:ascii="Times New Roman" w:hAnsi="Times New Roman" w:cs="Times New Roman"/>
          <w:b/>
          <w:sz w:val="24"/>
          <w:szCs w:val="24"/>
        </w:rPr>
      </w:pPr>
      <w:r w:rsidR="00AA30B5">
        <w:rPr>
          <w:rFonts w:ascii="Times New Roman" w:hAnsi="Times New Roman" w:cs="Times New Roman"/>
          <w:b/>
          <w:sz w:val="24"/>
          <w:szCs w:val="24"/>
        </w:rPr>
        <w:t xml:space="preserve">     KAPITÁLOVÉ VÝDAVKY </w:t>
      </w:r>
    </w:p>
    <w:p w:rsidR="00D27E26" w:rsidP="00C362EA">
      <w:pPr>
        <w:spacing w:line="240" w:lineRule="auto"/>
        <w:rPr>
          <w:rFonts w:ascii="Times New Roman" w:hAnsi="Times New Roman" w:cs="Times New Roman"/>
          <w:b/>
          <w:sz w:val="24"/>
          <w:szCs w:val="24"/>
        </w:rPr>
      </w:pPr>
      <w:r w:rsidR="006C202C">
        <w:rPr>
          <w:rFonts w:ascii="Times New Roman" w:hAnsi="Times New Roman" w:cs="Times New Roman"/>
          <w:b/>
          <w:sz w:val="24"/>
          <w:szCs w:val="24"/>
        </w:rPr>
        <w:t xml:space="preserve">     </w:t>
      </w:r>
      <w:r w:rsidR="00AA30B5">
        <w:rPr>
          <w:rFonts w:ascii="Times New Roman" w:hAnsi="Times New Roman" w:cs="Times New Roman"/>
          <w:b/>
          <w:sz w:val="24"/>
          <w:szCs w:val="24"/>
        </w:rPr>
        <w:t xml:space="preserve">SPOLU (700)     </w:t>
      </w:r>
      <w:r w:rsidRPr="00D23807">
        <w:rPr>
          <w:rFonts w:ascii="Times New Roman" w:hAnsi="Times New Roman" w:cs="Times New Roman"/>
          <w:b/>
          <w:sz w:val="24"/>
          <w:szCs w:val="24"/>
        </w:rPr>
        <w:t xml:space="preserve">  </w:t>
      </w:r>
      <w:r w:rsidR="00A27270">
        <w:rPr>
          <w:rFonts w:ascii="Times New Roman" w:hAnsi="Times New Roman" w:cs="Times New Roman"/>
          <w:b/>
          <w:sz w:val="24"/>
          <w:szCs w:val="24"/>
        </w:rPr>
        <w:t xml:space="preserve">  </w:t>
      </w:r>
      <w:r w:rsidR="006C202C">
        <w:rPr>
          <w:rFonts w:ascii="Times New Roman" w:hAnsi="Times New Roman" w:cs="Times New Roman"/>
          <w:b/>
          <w:sz w:val="24"/>
          <w:szCs w:val="24"/>
        </w:rPr>
        <w:t xml:space="preserve">                                </w:t>
      </w:r>
      <w:r w:rsidRPr="00D23807">
        <w:rPr>
          <w:rFonts w:ascii="Times New Roman" w:hAnsi="Times New Roman" w:cs="Times New Roman"/>
          <w:b/>
          <w:sz w:val="24"/>
          <w:szCs w:val="24"/>
        </w:rPr>
        <w:t>1</w:t>
      </w:r>
      <w:r w:rsidR="001345C1">
        <w:rPr>
          <w:rFonts w:ascii="Times New Roman" w:hAnsi="Times New Roman" w:cs="Times New Roman"/>
          <w:b/>
          <w:sz w:val="24"/>
          <w:szCs w:val="24"/>
        </w:rPr>
        <w:t>4 </w:t>
      </w:r>
      <w:r w:rsidR="00ED2DFE">
        <w:rPr>
          <w:rFonts w:ascii="Times New Roman" w:hAnsi="Times New Roman" w:cs="Times New Roman"/>
          <w:b/>
          <w:sz w:val="24"/>
          <w:szCs w:val="24"/>
        </w:rPr>
        <w:t>956</w:t>
      </w:r>
      <w:r w:rsidR="001345C1">
        <w:rPr>
          <w:rFonts w:ascii="Times New Roman" w:hAnsi="Times New Roman" w:cs="Times New Roman"/>
          <w:b/>
          <w:sz w:val="24"/>
          <w:szCs w:val="24"/>
        </w:rPr>
        <w:t xml:space="preserve"> 584</w:t>
      </w:r>
      <w:r w:rsidR="00A27270">
        <w:rPr>
          <w:rFonts w:ascii="Times New Roman" w:hAnsi="Times New Roman" w:cs="Times New Roman"/>
          <w:sz w:val="24"/>
          <w:szCs w:val="24"/>
        </w:rPr>
        <w:t xml:space="preserve">    </w:t>
      </w:r>
      <w:r w:rsidR="00DA2496">
        <w:rPr>
          <w:rFonts w:ascii="Times New Roman" w:hAnsi="Times New Roman" w:cs="Times New Roman"/>
          <w:b/>
          <w:sz w:val="24"/>
          <w:szCs w:val="24"/>
        </w:rPr>
        <w:t xml:space="preserve">18 255 417      18 312 716    - </w:t>
      </w:r>
      <w:r w:rsidR="002416C8">
        <w:rPr>
          <w:rFonts w:ascii="Times New Roman" w:hAnsi="Times New Roman" w:cs="Times New Roman"/>
          <w:b/>
          <w:sz w:val="24"/>
          <w:szCs w:val="24"/>
        </w:rPr>
        <w:t>57 299</w:t>
      </w:r>
    </w:p>
    <w:p w:rsidR="00AA30B5" w:rsidP="00C362EA">
      <w:pPr>
        <w:tabs>
          <w:tab w:val="left" w:pos="5529"/>
        </w:tabs>
        <w:spacing w:line="240" w:lineRule="auto"/>
        <w:rPr>
          <w:rFonts w:ascii="Times New Roman" w:hAnsi="Times New Roman" w:cs="Times New Roman"/>
          <w:sz w:val="24"/>
          <w:szCs w:val="24"/>
        </w:rPr>
      </w:pPr>
    </w:p>
    <w:p w:rsidR="006C202C" w:rsidP="00C362EA">
      <w:pPr>
        <w:numPr>
          <w:ilvl w:val="0"/>
          <w:numId w:val="15"/>
        </w:numPr>
        <w:tabs>
          <w:tab w:val="left" w:pos="660"/>
          <w:tab w:val="left" w:pos="5529"/>
        </w:tabs>
        <w:spacing w:line="240" w:lineRule="auto"/>
        <w:rPr>
          <w:rFonts w:ascii="Times New Roman" w:hAnsi="Times New Roman" w:cs="Times New Roman"/>
          <w:sz w:val="24"/>
          <w:szCs w:val="24"/>
        </w:rPr>
      </w:pPr>
      <w:r w:rsidR="00AA30B5">
        <w:rPr>
          <w:rFonts w:ascii="Times New Roman" w:hAnsi="Times New Roman" w:cs="Times New Roman"/>
          <w:sz w:val="24"/>
          <w:szCs w:val="24"/>
        </w:rPr>
        <w:t xml:space="preserve">Kapitálové výdavky </w:t>
      </w:r>
      <w:r w:rsidRPr="00AA30B5" w:rsidR="00AA30B5">
        <w:rPr>
          <w:rFonts w:ascii="Times New Roman" w:hAnsi="Times New Roman" w:cs="Times New Roman"/>
          <w:sz w:val="24"/>
          <w:szCs w:val="24"/>
        </w:rPr>
        <w:t xml:space="preserve">bez </w:t>
      </w:r>
    </w:p>
    <w:p w:rsidR="00AA30B5" w:rsidP="00C362EA">
      <w:pPr>
        <w:tabs>
          <w:tab w:val="left" w:pos="5529"/>
        </w:tabs>
        <w:spacing w:line="240" w:lineRule="auto"/>
        <w:ind w:left="660"/>
        <w:rPr>
          <w:rFonts w:ascii="Times New Roman" w:hAnsi="Times New Roman" w:cs="Times New Roman"/>
          <w:sz w:val="24"/>
          <w:szCs w:val="24"/>
        </w:rPr>
      </w:pPr>
      <w:r w:rsidR="006C202C">
        <w:rPr>
          <w:rFonts w:ascii="Times New Roman" w:hAnsi="Times New Roman" w:cs="Times New Roman"/>
          <w:sz w:val="24"/>
          <w:szCs w:val="24"/>
        </w:rPr>
        <w:t xml:space="preserve">prostriedkov z </w:t>
      </w:r>
      <w:r w:rsidRPr="00AA30B5">
        <w:rPr>
          <w:rFonts w:ascii="Times New Roman" w:hAnsi="Times New Roman" w:cs="Times New Roman"/>
          <w:sz w:val="24"/>
          <w:szCs w:val="24"/>
        </w:rPr>
        <w:t xml:space="preserve">EÚ  </w:t>
      </w:r>
      <w:r w:rsidR="006C202C">
        <w:rPr>
          <w:rFonts w:ascii="Times New Roman" w:hAnsi="Times New Roman" w:cs="Times New Roman"/>
          <w:sz w:val="24"/>
          <w:szCs w:val="24"/>
        </w:rPr>
        <w:t xml:space="preserve">                           </w:t>
      </w:r>
      <w:r w:rsidR="001345C1">
        <w:rPr>
          <w:rFonts w:ascii="Times New Roman" w:hAnsi="Times New Roman" w:cs="Times New Roman"/>
          <w:sz w:val="24"/>
          <w:szCs w:val="24"/>
        </w:rPr>
        <w:t>10 2</w:t>
      </w:r>
      <w:r w:rsidR="00ED2DFE">
        <w:rPr>
          <w:rFonts w:ascii="Times New Roman" w:hAnsi="Times New Roman" w:cs="Times New Roman"/>
          <w:sz w:val="24"/>
          <w:szCs w:val="24"/>
        </w:rPr>
        <w:t>86</w:t>
      </w:r>
      <w:r w:rsidR="001345C1">
        <w:rPr>
          <w:rFonts w:ascii="Times New Roman" w:hAnsi="Times New Roman" w:cs="Times New Roman"/>
          <w:sz w:val="24"/>
          <w:szCs w:val="24"/>
        </w:rPr>
        <w:t xml:space="preserve"> 326</w:t>
      </w:r>
      <w:r w:rsidR="002416C8">
        <w:rPr>
          <w:rFonts w:ascii="Times New Roman" w:hAnsi="Times New Roman" w:cs="Times New Roman"/>
          <w:sz w:val="24"/>
          <w:szCs w:val="24"/>
        </w:rPr>
        <w:t xml:space="preserve"> </w:t>
      </w:r>
      <w:r w:rsidR="00D1156D">
        <w:rPr>
          <w:rFonts w:ascii="Times New Roman" w:hAnsi="Times New Roman" w:cs="Times New Roman"/>
          <w:sz w:val="24"/>
          <w:szCs w:val="24"/>
        </w:rPr>
        <w:t xml:space="preserve">  </w:t>
      </w:r>
      <w:r w:rsidR="00DA2496">
        <w:rPr>
          <w:rFonts w:ascii="Times New Roman" w:hAnsi="Times New Roman" w:cs="Times New Roman"/>
          <w:sz w:val="24"/>
          <w:szCs w:val="24"/>
        </w:rPr>
        <w:t xml:space="preserve">  13 243 381     13 300 725    - </w:t>
      </w:r>
      <w:r w:rsidR="00D1156D">
        <w:rPr>
          <w:rFonts w:ascii="Times New Roman" w:hAnsi="Times New Roman" w:cs="Times New Roman"/>
          <w:sz w:val="24"/>
          <w:szCs w:val="24"/>
        </w:rPr>
        <w:t>57 344</w:t>
      </w:r>
    </w:p>
    <w:p w:rsidR="00827063" w:rsidRPr="00AA30B5" w:rsidP="00C362EA">
      <w:pPr>
        <w:tabs>
          <w:tab w:val="left" w:pos="5529"/>
        </w:tabs>
        <w:spacing w:line="240" w:lineRule="auto"/>
        <w:ind w:left="660"/>
        <w:rPr>
          <w:rFonts w:ascii="Times New Roman" w:hAnsi="Times New Roman" w:cs="Times New Roman"/>
          <w:sz w:val="24"/>
          <w:szCs w:val="24"/>
        </w:rPr>
      </w:pPr>
    </w:p>
    <w:p w:rsidR="00D27E26" w:rsidRPr="00D23807" w:rsidP="00C362EA">
      <w:pPr>
        <w:spacing w:line="240" w:lineRule="auto"/>
        <w:ind w:right="-109"/>
        <w:rPr>
          <w:rFonts w:ascii="Times New Roman" w:hAnsi="Times New Roman" w:cs="Times New Roman"/>
          <w:b/>
          <w:sz w:val="24"/>
          <w:szCs w:val="24"/>
        </w:rPr>
      </w:pPr>
      <w:r w:rsidR="00AA30B5">
        <w:rPr>
          <w:rFonts w:ascii="Times New Roman" w:hAnsi="Times New Roman" w:cs="Times New Roman"/>
          <w:sz w:val="24"/>
          <w:szCs w:val="24"/>
        </w:rPr>
        <w:t xml:space="preserve">     </w:t>
      </w:r>
      <w:r w:rsidRPr="00AA30B5" w:rsidR="00AA30B5">
        <w:rPr>
          <w:rFonts w:ascii="Times New Roman" w:hAnsi="Times New Roman" w:cs="Times New Roman"/>
          <w:sz w:val="24"/>
          <w:szCs w:val="24"/>
        </w:rPr>
        <w:t xml:space="preserve">B. Prostriedky z rozpočtu EÚ </w:t>
      </w:r>
      <w:r w:rsidR="006C202C">
        <w:rPr>
          <w:rFonts w:ascii="Times New Roman" w:hAnsi="Times New Roman" w:cs="Times New Roman"/>
          <w:sz w:val="24"/>
          <w:szCs w:val="24"/>
        </w:rPr>
        <w:t xml:space="preserve">                  </w:t>
      </w:r>
      <w:r w:rsidR="001345C1">
        <w:rPr>
          <w:rFonts w:ascii="Times New Roman" w:hAnsi="Times New Roman" w:cs="Times New Roman"/>
          <w:sz w:val="24"/>
          <w:szCs w:val="24"/>
        </w:rPr>
        <w:t>4 670 258</w:t>
      </w:r>
      <w:r w:rsidR="006C202C">
        <w:rPr>
          <w:rFonts w:ascii="Times New Roman" w:hAnsi="Times New Roman" w:cs="Times New Roman"/>
          <w:sz w:val="24"/>
          <w:szCs w:val="24"/>
        </w:rPr>
        <w:t xml:space="preserve">      </w:t>
      </w:r>
      <w:r w:rsidR="00D1156D">
        <w:rPr>
          <w:rFonts w:ascii="Times New Roman" w:hAnsi="Times New Roman" w:cs="Times New Roman"/>
          <w:sz w:val="24"/>
          <w:szCs w:val="24"/>
        </w:rPr>
        <w:t>5 012 036</w:t>
      </w:r>
      <w:r w:rsidR="00BC1805">
        <w:rPr>
          <w:rFonts w:ascii="Times New Roman" w:hAnsi="Times New Roman" w:cs="Times New Roman"/>
          <w:sz w:val="24"/>
          <w:szCs w:val="24"/>
        </w:rPr>
        <w:t xml:space="preserve">     </w:t>
      </w:r>
      <w:r w:rsidR="00D1156D">
        <w:rPr>
          <w:rFonts w:ascii="Times New Roman" w:hAnsi="Times New Roman" w:cs="Times New Roman"/>
          <w:sz w:val="24"/>
          <w:szCs w:val="24"/>
        </w:rPr>
        <w:t xml:space="preserve">   5 011 991</w:t>
      </w:r>
      <w:r w:rsidR="00DA2496">
        <w:rPr>
          <w:rFonts w:ascii="Times New Roman" w:hAnsi="Times New Roman" w:cs="Times New Roman"/>
          <w:sz w:val="24"/>
          <w:szCs w:val="24"/>
        </w:rPr>
        <w:t xml:space="preserve">             </w:t>
      </w:r>
      <w:r w:rsidR="006A5BE4">
        <w:rPr>
          <w:rFonts w:ascii="Times New Roman" w:hAnsi="Times New Roman" w:cs="Times New Roman"/>
          <w:sz w:val="24"/>
          <w:szCs w:val="24"/>
        </w:rPr>
        <w:t xml:space="preserve"> </w:t>
      </w:r>
      <w:r w:rsidR="00D1156D">
        <w:rPr>
          <w:rFonts w:ascii="Times New Roman" w:hAnsi="Times New Roman" w:cs="Times New Roman"/>
          <w:sz w:val="24"/>
          <w:szCs w:val="24"/>
        </w:rPr>
        <w:t>45</w:t>
      </w:r>
    </w:p>
    <w:p w:rsidR="00827063" w:rsidP="00C362EA">
      <w:pPr>
        <w:spacing w:line="240" w:lineRule="auto"/>
        <w:rPr>
          <w:rFonts w:ascii="Times New Roman" w:hAnsi="Times New Roman" w:cs="Times New Roman"/>
          <w:sz w:val="24"/>
          <w:szCs w:val="24"/>
        </w:rPr>
      </w:pPr>
    </w:p>
    <w:p w:rsidR="00CB2678" w:rsidP="00C362EA">
      <w:pPr>
        <w:spacing w:line="240" w:lineRule="auto"/>
        <w:rPr>
          <w:rFonts w:ascii="Times New Roman" w:hAnsi="Times New Roman" w:cs="Times New Roman"/>
          <w:sz w:val="24"/>
          <w:szCs w:val="24"/>
        </w:rPr>
      </w:pPr>
    </w:p>
    <w:p w:rsidR="00B0797A" w:rsidP="00C362EA">
      <w:pPr>
        <w:spacing w:line="240" w:lineRule="auto"/>
        <w:ind w:firstLine="708"/>
        <w:rPr>
          <w:rFonts w:ascii="Times New Roman" w:hAnsi="Times New Roman" w:cs="Times New Roman"/>
          <w:sz w:val="24"/>
        </w:rPr>
      </w:pPr>
      <w:r w:rsidR="00D94F82">
        <w:rPr>
          <w:rFonts w:ascii="Times New Roman" w:hAnsi="Times New Roman" w:cs="Times New Roman"/>
          <w:sz w:val="24"/>
        </w:rPr>
        <w:t>V prílohe č. 5</w:t>
      </w:r>
      <w:r w:rsidRPr="00D23807" w:rsidR="00D27E26">
        <w:rPr>
          <w:rFonts w:ascii="Times New Roman" w:hAnsi="Times New Roman" w:cs="Times New Roman"/>
          <w:sz w:val="24"/>
        </w:rPr>
        <w:t xml:space="preserve"> predloženého</w:t>
      </w:r>
      <w:r w:rsidR="00CB6F92">
        <w:rPr>
          <w:rFonts w:ascii="Times New Roman" w:hAnsi="Times New Roman" w:cs="Times New Roman"/>
          <w:sz w:val="24"/>
        </w:rPr>
        <w:t xml:space="preserve"> materiálu je uvedená tabuľka „</w:t>
      </w:r>
      <w:r w:rsidRPr="00D23807" w:rsidR="00D27E26">
        <w:rPr>
          <w:rFonts w:ascii="Times New Roman" w:hAnsi="Times New Roman" w:cs="Times New Roman"/>
          <w:sz w:val="24"/>
        </w:rPr>
        <w:t>Rozpis rozpo</w:t>
      </w:r>
      <w:r w:rsidR="00D94F82">
        <w:rPr>
          <w:rFonts w:ascii="Times New Roman" w:hAnsi="Times New Roman" w:cs="Times New Roman"/>
          <w:sz w:val="24"/>
        </w:rPr>
        <w:t>čtu výdavkov MDPT SR na rok 2007</w:t>
      </w:r>
      <w:r w:rsidRPr="00D23807" w:rsidR="00D27E26">
        <w:rPr>
          <w:rFonts w:ascii="Times New Roman" w:hAnsi="Times New Roman" w:cs="Times New Roman"/>
          <w:sz w:val="24"/>
        </w:rPr>
        <w:t xml:space="preserve"> podľa Rozpisového listu MF SR, vrátane prostri</w:t>
      </w:r>
      <w:r w:rsidRPr="00D23807" w:rsidR="00D27E26">
        <w:rPr>
          <w:rFonts w:ascii="Times New Roman" w:hAnsi="Times New Roman" w:cs="Times New Roman"/>
          <w:sz w:val="24"/>
        </w:rPr>
        <w:t>edkov z</w:t>
      </w:r>
      <w:r w:rsidR="00CB6F92">
        <w:rPr>
          <w:rFonts w:ascii="Times New Roman" w:hAnsi="Times New Roman" w:cs="Times New Roman"/>
          <w:sz w:val="24"/>
        </w:rPr>
        <w:t> </w:t>
      </w:r>
      <w:r w:rsidRPr="00D23807" w:rsidR="00D27E26">
        <w:rPr>
          <w:rFonts w:ascii="Times New Roman" w:hAnsi="Times New Roman" w:cs="Times New Roman"/>
          <w:sz w:val="24"/>
        </w:rPr>
        <w:t>EÚ</w:t>
      </w:r>
      <w:r w:rsidR="00CB6F92">
        <w:rPr>
          <w:rFonts w:ascii="Times New Roman" w:hAnsi="Times New Roman" w:cs="Times New Roman"/>
          <w:sz w:val="24"/>
        </w:rPr>
        <w:t>“</w:t>
      </w:r>
      <w:r w:rsidRPr="00D23807" w:rsidR="00D27E26">
        <w:rPr>
          <w:rFonts w:ascii="Times New Roman" w:hAnsi="Times New Roman" w:cs="Times New Roman"/>
          <w:sz w:val="24"/>
        </w:rPr>
        <w:t>. Tabuľka zobrazuje schválený rozpo</w:t>
      </w:r>
      <w:r w:rsidR="00D94F82">
        <w:rPr>
          <w:rFonts w:ascii="Times New Roman" w:hAnsi="Times New Roman" w:cs="Times New Roman"/>
          <w:sz w:val="24"/>
        </w:rPr>
        <w:t>čet kapitoly MDPT SR na rok 2007. Príloha č. 6</w:t>
      </w:r>
      <w:r w:rsidR="00CB6F92">
        <w:rPr>
          <w:rFonts w:ascii="Times New Roman" w:hAnsi="Times New Roman" w:cs="Times New Roman"/>
          <w:sz w:val="24"/>
        </w:rPr>
        <w:t xml:space="preserve"> zobrazuje „</w:t>
      </w:r>
      <w:r w:rsidRPr="00D23807" w:rsidR="00D27E26">
        <w:rPr>
          <w:rFonts w:ascii="Times New Roman" w:hAnsi="Times New Roman" w:cs="Times New Roman"/>
          <w:sz w:val="24"/>
        </w:rPr>
        <w:t xml:space="preserve">Upravený rozpočet </w:t>
      </w:r>
      <w:r w:rsidR="00AA30B5">
        <w:rPr>
          <w:rFonts w:ascii="Times New Roman" w:hAnsi="Times New Roman" w:cs="Times New Roman"/>
          <w:sz w:val="24"/>
        </w:rPr>
        <w:t>kapitoly M</w:t>
      </w:r>
      <w:r w:rsidR="00D94F82">
        <w:rPr>
          <w:rFonts w:ascii="Times New Roman" w:hAnsi="Times New Roman" w:cs="Times New Roman"/>
          <w:sz w:val="24"/>
        </w:rPr>
        <w:t>DPT SR k 31.12.2007</w:t>
      </w:r>
      <w:r w:rsidR="00CB6F92">
        <w:rPr>
          <w:rFonts w:ascii="Times New Roman" w:hAnsi="Times New Roman" w:cs="Times New Roman"/>
          <w:sz w:val="24"/>
        </w:rPr>
        <w:t xml:space="preserve">“. Tento je </w:t>
      </w:r>
      <w:r w:rsidRPr="00D23807" w:rsidR="00CB6F92">
        <w:rPr>
          <w:rFonts w:ascii="Times New Roman" w:hAnsi="Times New Roman" w:cs="Times New Roman"/>
          <w:sz w:val="24"/>
        </w:rPr>
        <w:t xml:space="preserve">možné porovnať s tabuľkou </w:t>
      </w:r>
      <w:r w:rsidR="00CB6F92">
        <w:rPr>
          <w:rFonts w:ascii="Times New Roman" w:hAnsi="Times New Roman" w:cs="Times New Roman"/>
          <w:sz w:val="24"/>
        </w:rPr>
        <w:t xml:space="preserve">uvedenou v </w:t>
      </w:r>
      <w:r w:rsidRPr="00D23807" w:rsidR="00D27E26">
        <w:rPr>
          <w:rFonts w:ascii="Times New Roman" w:hAnsi="Times New Roman" w:cs="Times New Roman"/>
          <w:sz w:val="24"/>
        </w:rPr>
        <w:t>p</w:t>
      </w:r>
      <w:r w:rsidR="00D94F82">
        <w:rPr>
          <w:rFonts w:ascii="Times New Roman" w:hAnsi="Times New Roman" w:cs="Times New Roman"/>
          <w:sz w:val="24"/>
        </w:rPr>
        <w:t>rílohe č. 7</w:t>
      </w:r>
      <w:r w:rsidR="00CB6F92">
        <w:rPr>
          <w:rFonts w:ascii="Times New Roman" w:hAnsi="Times New Roman" w:cs="Times New Roman"/>
          <w:sz w:val="24"/>
        </w:rPr>
        <w:t xml:space="preserve"> – „S</w:t>
      </w:r>
      <w:r w:rsidRPr="00D23807" w:rsidR="00D27E26">
        <w:rPr>
          <w:rFonts w:ascii="Times New Roman" w:hAnsi="Times New Roman" w:cs="Times New Roman"/>
          <w:sz w:val="24"/>
        </w:rPr>
        <w:t>kutočného čerpania výdavk</w:t>
      </w:r>
      <w:r w:rsidR="00091FCA">
        <w:rPr>
          <w:rFonts w:ascii="Times New Roman" w:hAnsi="Times New Roman" w:cs="Times New Roman"/>
          <w:sz w:val="24"/>
        </w:rPr>
        <w:t>ov kapitoly MD</w:t>
      </w:r>
      <w:r w:rsidR="00091FCA">
        <w:rPr>
          <w:rFonts w:ascii="Times New Roman" w:hAnsi="Times New Roman" w:cs="Times New Roman"/>
          <w:sz w:val="24"/>
        </w:rPr>
        <w:t xml:space="preserve">PT </w:t>
      </w:r>
      <w:r w:rsidR="00D94F82">
        <w:rPr>
          <w:rFonts w:ascii="Times New Roman" w:hAnsi="Times New Roman" w:cs="Times New Roman"/>
          <w:sz w:val="24"/>
        </w:rPr>
        <w:t>SR k 31.12.2007</w:t>
      </w:r>
      <w:r w:rsidR="00CB6F92">
        <w:rPr>
          <w:rFonts w:ascii="Times New Roman" w:hAnsi="Times New Roman" w:cs="Times New Roman"/>
          <w:sz w:val="24"/>
        </w:rPr>
        <w:t>“</w:t>
      </w:r>
      <w:r w:rsidRPr="00D23807" w:rsidR="00D27E26">
        <w:rPr>
          <w:rFonts w:ascii="Times New Roman" w:hAnsi="Times New Roman" w:cs="Times New Roman"/>
          <w:sz w:val="24"/>
        </w:rPr>
        <w:t>.</w:t>
      </w:r>
      <w:r w:rsidR="00827063">
        <w:rPr>
          <w:rFonts w:ascii="Times New Roman" w:hAnsi="Times New Roman" w:cs="Times New Roman"/>
          <w:sz w:val="24"/>
        </w:rPr>
        <w:t xml:space="preserve"> Presuny výdavkov bežného roka a minulý</w:t>
      </w:r>
      <w:r w:rsidR="00D94F82">
        <w:rPr>
          <w:rFonts w:ascii="Times New Roman" w:hAnsi="Times New Roman" w:cs="Times New Roman"/>
          <w:sz w:val="24"/>
        </w:rPr>
        <w:t>ch rokov na použitie v roku 2008</w:t>
      </w:r>
      <w:r w:rsidR="001D1C94">
        <w:rPr>
          <w:rFonts w:ascii="Times New Roman" w:hAnsi="Times New Roman" w:cs="Times New Roman"/>
          <w:sz w:val="24"/>
        </w:rPr>
        <w:t xml:space="preserve"> sú uvedené </w:t>
      </w:r>
      <w:r w:rsidR="00827063">
        <w:rPr>
          <w:rFonts w:ascii="Times New Roman" w:hAnsi="Times New Roman" w:cs="Times New Roman"/>
          <w:sz w:val="24"/>
        </w:rPr>
        <w:t>v</w:t>
      </w:r>
      <w:r w:rsidR="00CB6F92">
        <w:rPr>
          <w:rFonts w:ascii="Times New Roman" w:hAnsi="Times New Roman" w:cs="Times New Roman"/>
          <w:sz w:val="24"/>
        </w:rPr>
        <w:t> časti 1.1.3. Rozpo</w:t>
      </w:r>
      <w:r w:rsidR="00D94F82">
        <w:rPr>
          <w:rFonts w:ascii="Times New Roman" w:hAnsi="Times New Roman" w:cs="Times New Roman"/>
          <w:sz w:val="24"/>
        </w:rPr>
        <w:t>čtové opatrenia – RO MF SR č. 29 a 36</w:t>
      </w:r>
      <w:r w:rsidR="00CB6F92">
        <w:rPr>
          <w:rFonts w:ascii="Times New Roman" w:hAnsi="Times New Roman" w:cs="Times New Roman"/>
          <w:sz w:val="24"/>
        </w:rPr>
        <w:t xml:space="preserve">. </w:t>
      </w:r>
    </w:p>
    <w:p w:rsidR="00B27788" w:rsidP="00C362EA">
      <w:pPr>
        <w:spacing w:line="240" w:lineRule="auto"/>
        <w:ind w:firstLine="708"/>
        <w:rPr>
          <w:rFonts w:ascii="Times New Roman" w:hAnsi="Times New Roman" w:cs="Times New Roman"/>
          <w:sz w:val="24"/>
        </w:rPr>
      </w:pPr>
    </w:p>
    <w:p w:rsidR="00CB2678" w:rsidP="00C362EA">
      <w:pPr>
        <w:spacing w:line="240" w:lineRule="auto"/>
        <w:ind w:firstLine="708"/>
        <w:rPr>
          <w:rFonts w:ascii="Times New Roman" w:hAnsi="Times New Roman" w:cs="Times New Roman"/>
          <w:sz w:val="24"/>
        </w:rPr>
      </w:pPr>
    </w:p>
    <w:p w:rsidR="00751372" w:rsidP="00751372">
      <w:pPr>
        <w:spacing w:line="240" w:lineRule="auto"/>
        <w:ind w:firstLine="708"/>
        <w:rPr>
          <w:rFonts w:ascii="Times New Roman" w:hAnsi="Times New Roman" w:cs="Times New Roman"/>
          <w:color w:val="000000"/>
          <w:sz w:val="24"/>
          <w:szCs w:val="24"/>
          <w:lang w:eastAsia="sk-SK"/>
        </w:rPr>
      </w:pPr>
      <w:r w:rsidR="00F965CF">
        <w:rPr>
          <w:rFonts w:ascii="Times New Roman" w:hAnsi="Times New Roman" w:cs="Times New Roman"/>
          <w:color w:val="000000"/>
          <w:sz w:val="24"/>
          <w:szCs w:val="24"/>
          <w:lang w:eastAsia="sk-SK"/>
        </w:rPr>
        <w:t xml:space="preserve">Prekročenie limitu </w:t>
      </w:r>
      <w:r>
        <w:rPr>
          <w:rFonts w:ascii="Times New Roman" w:hAnsi="Times New Roman" w:cs="Times New Roman"/>
          <w:color w:val="000000"/>
          <w:sz w:val="24"/>
          <w:szCs w:val="24"/>
          <w:lang w:eastAsia="sk-SK"/>
        </w:rPr>
        <w:t xml:space="preserve">upravených </w:t>
      </w:r>
      <w:r w:rsidR="00B0797A">
        <w:rPr>
          <w:rFonts w:ascii="Times New Roman" w:hAnsi="Times New Roman" w:cs="Times New Roman"/>
          <w:color w:val="000000"/>
          <w:sz w:val="24"/>
          <w:szCs w:val="24"/>
          <w:lang w:eastAsia="sk-SK"/>
        </w:rPr>
        <w:t>výdavkov súvisí s prijatím mimorozpočtových</w:t>
      </w:r>
      <w:r>
        <w:rPr>
          <w:rFonts w:ascii="Times New Roman" w:hAnsi="Times New Roman" w:cs="Times New Roman"/>
          <w:color w:val="000000"/>
          <w:sz w:val="24"/>
          <w:szCs w:val="24"/>
          <w:lang w:eastAsia="sk-SK"/>
        </w:rPr>
        <w:t xml:space="preserve"> zdrojov, ako napr. mimorozpočtových prostriedkov z rozpočtu EÚ </w:t>
      </w:r>
      <w:r w:rsidR="00B0797A">
        <w:rPr>
          <w:rFonts w:ascii="Times New Roman" w:hAnsi="Times New Roman" w:cs="Times New Roman"/>
          <w:color w:val="000000"/>
          <w:sz w:val="24"/>
          <w:szCs w:val="24"/>
          <w:lang w:eastAsia="sk-SK"/>
        </w:rPr>
        <w:t xml:space="preserve">určených na TEN – T </w:t>
      </w:r>
      <w:r w:rsidRPr="00B0797A" w:rsidR="00B0797A">
        <w:rPr>
          <w:rFonts w:ascii="Times New Roman" w:hAnsi="Times New Roman" w:cs="Times New Roman"/>
          <w:color w:val="000000"/>
          <w:sz w:val="24"/>
          <w:szCs w:val="24"/>
          <w:lang w:eastAsia="sk-SK"/>
        </w:rPr>
        <w:t>projekty pre NDS,</w:t>
      </w:r>
      <w:r w:rsidR="001D1C94">
        <w:rPr>
          <w:rFonts w:ascii="Times New Roman" w:hAnsi="Times New Roman" w:cs="Times New Roman"/>
          <w:color w:val="000000"/>
          <w:sz w:val="24"/>
          <w:szCs w:val="24"/>
          <w:lang w:eastAsia="sk-SK"/>
        </w:rPr>
        <w:t xml:space="preserve"> a.s., a Železnice SR (pozri časti vyhodnocujúce NDS, a.s., </w:t>
      </w:r>
      <w:r>
        <w:rPr>
          <w:rFonts w:ascii="Times New Roman" w:hAnsi="Times New Roman" w:cs="Times New Roman"/>
          <w:color w:val="000000"/>
          <w:sz w:val="24"/>
          <w:szCs w:val="24"/>
          <w:lang w:eastAsia="sk-SK"/>
        </w:rPr>
        <w:t>a ŽSR) a povoleným prekročením limitu výdavkov v súvislosti s</w:t>
      </w:r>
      <w:r w:rsidR="001D1C94">
        <w:rPr>
          <w:rFonts w:ascii="Times New Roman" w:hAnsi="Times New Roman" w:cs="Times New Roman"/>
          <w:color w:val="000000"/>
          <w:sz w:val="24"/>
          <w:szCs w:val="24"/>
          <w:lang w:eastAsia="sk-SK"/>
        </w:rPr>
        <w:t xml:space="preserve"> prijatím poistných plnení (pozri </w:t>
      </w:r>
      <w:r>
        <w:rPr>
          <w:rFonts w:ascii="Times New Roman" w:hAnsi="Times New Roman" w:cs="Times New Roman"/>
          <w:color w:val="000000"/>
          <w:sz w:val="24"/>
          <w:szCs w:val="24"/>
          <w:lang w:eastAsia="sk-SK"/>
        </w:rPr>
        <w:t>jednotlivé organizácie). Uvedené mimorozpočtové prostriedky skutočné čerpanie k 31.12.2007 na</w:t>
      </w:r>
      <w:r w:rsidR="001D1C94">
        <w:rPr>
          <w:rFonts w:ascii="Times New Roman" w:hAnsi="Times New Roman" w:cs="Times New Roman"/>
          <w:color w:val="000000"/>
          <w:sz w:val="24"/>
          <w:szCs w:val="24"/>
          <w:lang w:eastAsia="sk-SK"/>
        </w:rPr>
        <w:t xml:space="preserve">vyšujú, nedočerpané zdroje (pozri </w:t>
      </w:r>
      <w:r>
        <w:rPr>
          <w:rFonts w:ascii="Times New Roman" w:hAnsi="Times New Roman" w:cs="Times New Roman"/>
          <w:color w:val="000000"/>
          <w:sz w:val="24"/>
          <w:szCs w:val="24"/>
          <w:lang w:eastAsia="sk-SK"/>
        </w:rPr>
        <w:t xml:space="preserve">jednotlivé organizácie) skutočné čerpanie znižujú.    </w:t>
      </w:r>
      <w:r w:rsidR="00B2634C">
        <w:rPr>
          <w:rFonts w:ascii="Times New Roman" w:hAnsi="Times New Roman" w:cs="Times New Roman"/>
          <w:color w:val="000000"/>
          <w:sz w:val="24"/>
          <w:szCs w:val="24"/>
          <w:lang w:eastAsia="sk-SK"/>
        </w:rPr>
        <w:t xml:space="preserve"> </w:t>
      </w:r>
    </w:p>
    <w:p w:rsidR="00751372" w:rsidP="00751372">
      <w:pPr>
        <w:spacing w:line="240" w:lineRule="auto"/>
        <w:ind w:firstLine="708"/>
        <w:rPr>
          <w:rFonts w:ascii="Times New Roman" w:hAnsi="Times New Roman" w:cs="Times New Roman"/>
          <w:color w:val="000000"/>
          <w:sz w:val="24"/>
          <w:szCs w:val="24"/>
          <w:lang w:eastAsia="sk-SK"/>
        </w:rPr>
      </w:pPr>
    </w:p>
    <w:p w:rsidR="00CB2678" w:rsidP="00C362EA">
      <w:pPr>
        <w:spacing w:line="240" w:lineRule="auto"/>
        <w:ind w:firstLine="708"/>
        <w:rPr>
          <w:rFonts w:ascii="Times New Roman" w:hAnsi="Times New Roman" w:cs="Times New Roman"/>
          <w:sz w:val="24"/>
        </w:rPr>
      </w:pPr>
    </w:p>
    <w:p w:rsidR="00BF52A7" w:rsidP="00C362EA">
      <w:pPr>
        <w:spacing w:line="240" w:lineRule="auto"/>
        <w:ind w:firstLine="708"/>
        <w:rPr>
          <w:rFonts w:ascii="Times New Roman" w:hAnsi="Times New Roman" w:cs="Times New Roman"/>
          <w:sz w:val="24"/>
        </w:rPr>
      </w:pPr>
      <w:r w:rsidR="00CB6F92">
        <w:rPr>
          <w:rFonts w:ascii="Times New Roman" w:hAnsi="Times New Roman" w:cs="Times New Roman"/>
          <w:sz w:val="24"/>
        </w:rPr>
        <w:t>Nasledujúce p</w:t>
      </w:r>
      <w:r w:rsidRPr="00D23807" w:rsidR="00D27E26">
        <w:rPr>
          <w:rFonts w:ascii="Times New Roman" w:hAnsi="Times New Roman" w:cs="Times New Roman"/>
          <w:sz w:val="24"/>
        </w:rPr>
        <w:t>rehľady výdavkov za kapitolu MDPT SR sú zostavené podľa rozpočtovej klasifikácie a odvetvového členenia.</w:t>
      </w:r>
    </w:p>
    <w:p w:rsidR="00B27788" w:rsidP="00854617">
      <w:pPr>
        <w:spacing w:line="240" w:lineRule="auto"/>
        <w:rPr>
          <w:rFonts w:ascii="Times New Roman" w:hAnsi="Times New Roman" w:cs="Times New Roman"/>
          <w:sz w:val="24"/>
        </w:rPr>
      </w:pPr>
    </w:p>
    <w:p w:rsidR="00CB2678" w:rsidP="00854617">
      <w:pPr>
        <w:spacing w:line="240" w:lineRule="auto"/>
        <w:rPr>
          <w:rFonts w:ascii="Times New Roman" w:hAnsi="Times New Roman" w:cs="Times New Roman"/>
          <w:sz w:val="24"/>
        </w:rPr>
      </w:pPr>
    </w:p>
    <w:p w:rsidR="00CB2678" w:rsidP="00854617">
      <w:pPr>
        <w:spacing w:line="240" w:lineRule="auto"/>
        <w:rPr>
          <w:rFonts w:ascii="Times New Roman" w:hAnsi="Times New Roman" w:cs="Times New Roman"/>
          <w:sz w:val="24"/>
        </w:rPr>
      </w:pPr>
    </w:p>
    <w:p w:rsidR="00BF52A7" w:rsidP="00C362EA">
      <w:pPr>
        <w:pStyle w:val="Heading2"/>
        <w:pBdr>
          <w:top w:val="thinThickLargeGap" w:sz="24" w:space="1" w:color="auto" w:shadow="1"/>
          <w:left w:val="thinThickLargeGap" w:sz="24" w:space="1" w:color="auto" w:shadow="1"/>
          <w:bottom w:val="thinThickLargeGap" w:sz="24" w:space="1" w:color="auto" w:shadow="1"/>
          <w:right w:val="thinThickLargeGap" w:sz="24" w:space="1" w:color="auto" w:shadow="1"/>
        </w:pBdr>
        <w:shd w:val="pct15" w:color="000000" w:fill="FFFFFF"/>
        <w:spacing w:line="240" w:lineRule="auto"/>
        <w:jc w:val="center"/>
        <w:rPr>
          <w:rFonts w:ascii="Times New Roman" w:hAnsi="Times New Roman" w:cs="Times New Roman"/>
          <w:i w:val="0"/>
          <w:sz w:val="28"/>
          <w:szCs w:val="28"/>
        </w:rPr>
      </w:pPr>
      <w:r>
        <w:rPr>
          <w:rFonts w:ascii="Times New Roman" w:hAnsi="Times New Roman" w:cs="Times New Roman"/>
          <w:i w:val="0"/>
          <w:sz w:val="28"/>
          <w:szCs w:val="28"/>
        </w:rPr>
        <w:t xml:space="preserve">1.3.1. Výdavky kapitoly podľa ekonomickej klasifikácie </w:t>
      </w:r>
    </w:p>
    <w:p w:rsidR="00D27E26" w:rsidP="00C362EA">
      <w:pPr>
        <w:pStyle w:val="Heading2"/>
        <w:pBdr>
          <w:top w:val="thinThickLargeGap" w:sz="24" w:space="1" w:color="auto" w:shadow="1"/>
          <w:left w:val="thinThickLargeGap" w:sz="24" w:space="1" w:color="auto" w:shadow="1"/>
          <w:bottom w:val="thinThickLargeGap" w:sz="24" w:space="1" w:color="auto" w:shadow="1"/>
          <w:right w:val="thinThickLargeGap" w:sz="24" w:space="1" w:color="auto" w:shadow="1"/>
        </w:pBdr>
        <w:shd w:val="pct15" w:color="000000" w:fill="FFFFFF"/>
        <w:spacing w:line="240" w:lineRule="auto"/>
        <w:jc w:val="center"/>
        <w:rPr>
          <w:rFonts w:ascii="Times New Roman" w:hAnsi="Times New Roman" w:cs="Times New Roman"/>
          <w:i w:val="0"/>
          <w:sz w:val="28"/>
          <w:szCs w:val="28"/>
        </w:rPr>
      </w:pPr>
      <w:r w:rsidR="00BF52A7">
        <w:rPr>
          <w:rFonts w:ascii="Times New Roman" w:hAnsi="Times New Roman" w:cs="Times New Roman"/>
          <w:i w:val="0"/>
          <w:sz w:val="28"/>
          <w:szCs w:val="28"/>
        </w:rPr>
        <w:t>1.3.2. Výdavky   kapitoly  podľa   funkčnej   klasifikácie</w:t>
      </w:r>
    </w:p>
    <w:p w:rsidR="00D27E26" w:rsidP="00C362EA">
      <w:pPr>
        <w:spacing w:line="240" w:lineRule="auto"/>
        <w:rPr>
          <w:rFonts w:ascii="Times New Roman" w:hAnsi="Times New Roman" w:cs="Times New Roman"/>
        </w:rPr>
      </w:pPr>
    </w:p>
    <w:p w:rsidR="00B27788" w:rsidRPr="00D23807" w:rsidP="00C362EA">
      <w:pPr>
        <w:spacing w:line="240" w:lineRule="auto"/>
        <w:rPr>
          <w:rFonts w:ascii="Times New Roman" w:hAnsi="Times New Roman" w:cs="Times New Roman"/>
        </w:rPr>
      </w:pPr>
    </w:p>
    <w:p w:rsidR="00433B7F" w:rsidP="00355306">
      <w:pPr>
        <w:spacing w:line="240" w:lineRule="auto"/>
        <w:jc w:val="center"/>
        <w:rPr>
          <w:rFonts w:ascii="Times New Roman" w:hAnsi="Times New Roman" w:cs="Times New Roman"/>
          <w:sz w:val="24"/>
          <w:szCs w:val="24"/>
        </w:rPr>
      </w:pPr>
      <w:r w:rsidRPr="00D23807" w:rsidR="00D27E26">
        <w:rPr>
          <w:rFonts w:ascii="Times New Roman" w:hAnsi="Times New Roman" w:cs="Times New Roman"/>
          <w:sz w:val="24"/>
          <w:szCs w:val="24"/>
        </w:rPr>
        <w:t>Výsledky hospodárenia kapitoly v oblasti výdavkov rozpočtových organizácií dokumentujú nasledovné údaje:</w:t>
      </w:r>
    </w:p>
    <w:p w:rsidR="00355306" w:rsidP="00355306">
      <w:pPr>
        <w:spacing w:line="240" w:lineRule="auto"/>
        <w:jc w:val="center"/>
        <w:rPr>
          <w:rFonts w:ascii="Times New Roman" w:hAnsi="Times New Roman" w:cs="Times New Roman"/>
          <w:sz w:val="24"/>
          <w:szCs w:val="24"/>
        </w:rPr>
      </w:pPr>
    </w:p>
    <w:p w:rsidR="00CB2678" w:rsidRPr="00355306" w:rsidP="00355306">
      <w:pPr>
        <w:spacing w:line="240" w:lineRule="auto"/>
        <w:jc w:val="center"/>
        <w:rPr>
          <w:rFonts w:ascii="Times New Roman" w:hAnsi="Times New Roman" w:cs="Times New Roman"/>
          <w:sz w:val="24"/>
          <w:szCs w:val="24"/>
        </w:rPr>
      </w:pPr>
    </w:p>
    <w:p w:rsidR="00854617" w:rsidP="00854617">
      <w:pPr>
        <w:spacing w:line="240" w:lineRule="auto"/>
        <w:jc w:val="center"/>
        <w:rPr>
          <w:rFonts w:ascii="Arial Narrow" w:hAnsi="Arial Narrow" w:cs="Arial"/>
          <w:b/>
          <w:bCs/>
          <w:sz w:val="28"/>
          <w:szCs w:val="28"/>
        </w:rPr>
      </w:pPr>
      <w:r w:rsidRPr="00854617">
        <w:rPr>
          <w:rFonts w:ascii="Arial Narrow" w:hAnsi="Arial Narrow" w:cs="Arial"/>
          <w:b/>
          <w:bCs/>
          <w:sz w:val="28"/>
          <w:szCs w:val="28"/>
        </w:rPr>
        <w:t>Výdavky rozpočtových organizácií podľa funkčnej klasifikácie</w:t>
      </w:r>
    </w:p>
    <w:p w:rsidR="00CB2678" w:rsidRPr="00854617" w:rsidP="00854617">
      <w:pPr>
        <w:spacing w:line="240" w:lineRule="auto"/>
        <w:jc w:val="center"/>
        <w:rPr>
          <w:rFonts w:ascii="Arial Narrow" w:hAnsi="Arial Narrow" w:cs="Arial"/>
          <w:b/>
          <w:bCs/>
          <w:sz w:val="28"/>
          <w:szCs w:val="28"/>
        </w:rPr>
      </w:pPr>
    </w:p>
    <w:p w:rsidR="00F87631" w:rsidRPr="006647C4" w:rsidP="006647C4">
      <w:pPr>
        <w:spacing w:line="240" w:lineRule="auto"/>
        <w:ind w:right="-829"/>
        <w:jc w:val="center"/>
        <w:rPr>
          <w:rFonts w:ascii="Arial Narrow" w:hAnsi="Arial Narrow" w:cs="Times New Roman"/>
        </w:rPr>
      </w:pPr>
      <w:r w:rsidRPr="006647C4" w:rsidR="006647C4">
        <w:rPr>
          <w:rFonts w:ascii="Arial Narrow" w:hAnsi="Arial Narrow" w:cs="Times New Roman"/>
        </w:rPr>
        <w:t xml:space="preserve">                                                          </w:t>
      </w:r>
      <w:r w:rsidR="006647C4">
        <w:rPr>
          <w:rFonts w:ascii="Arial Narrow" w:hAnsi="Arial Narrow" w:cs="Times New Roman"/>
        </w:rPr>
        <w:t xml:space="preserve">                                                                                                                         </w:t>
      </w:r>
      <w:r w:rsidRPr="006647C4" w:rsidR="006647C4">
        <w:rPr>
          <w:rFonts w:ascii="Arial Narrow" w:hAnsi="Arial Narrow" w:cs="Times New Roman"/>
        </w:rPr>
        <w:t xml:space="preserve">   </w:t>
      </w:r>
      <w:r w:rsidR="006647C4">
        <w:rPr>
          <w:rFonts w:ascii="Arial Narrow" w:hAnsi="Arial Narrow" w:cs="Times New Roman"/>
        </w:rPr>
        <w:t xml:space="preserve">            </w:t>
      </w:r>
      <w:r w:rsidR="006647C4">
        <w:rPr>
          <w:rFonts w:ascii="Arial Narrow" w:hAnsi="Arial Narrow" w:cs="Times New Roman"/>
        </w:rPr>
        <w:t xml:space="preserve">      </w:t>
      </w:r>
      <w:r w:rsidRPr="006647C4" w:rsidR="006647C4">
        <w:rPr>
          <w:rFonts w:ascii="Arial Narrow" w:hAnsi="Arial Narrow" w:cs="Times New Roman"/>
        </w:rPr>
        <w:t>(v tis. Sk)</w:t>
      </w:r>
    </w:p>
    <w:tbl>
      <w:tblPr>
        <w:tblW w:w="16967" w:type="dxa"/>
        <w:tblInd w:w="-470" w:type="dxa"/>
        <w:tblCellMar>
          <w:left w:w="70" w:type="dxa"/>
          <w:right w:w="70" w:type="dxa"/>
        </w:tblCellMar>
      </w:tblPr>
      <w:tblGrid>
        <w:gridCol w:w="10520"/>
        <w:gridCol w:w="1046"/>
        <w:gridCol w:w="1081"/>
        <w:gridCol w:w="1080"/>
        <w:gridCol w:w="1060"/>
        <w:gridCol w:w="1100"/>
        <w:gridCol w:w="1080"/>
      </w:tblGrid>
      <w:tr>
        <w:tblPrEx>
          <w:tblW w:w="16967" w:type="dxa"/>
          <w:tblInd w:w="-470" w:type="dxa"/>
          <w:tblCellMar>
            <w:left w:w="70" w:type="dxa"/>
            <w:right w:w="70" w:type="dxa"/>
          </w:tblCellMar>
        </w:tblPrEx>
        <w:trPr>
          <w:trHeight w:val="315"/>
        </w:trPr>
        <w:tc>
          <w:tcPr>
            <w:tcW w:w="10520" w:type="dxa"/>
            <w:tcBorders>
              <w:top w:val="nil"/>
              <w:left w:val="nil"/>
              <w:bottom w:val="nil"/>
              <w:right w:val="nil"/>
              <w:tl2br w:val="nil"/>
              <w:tr2bl w:val="nil"/>
            </w:tcBorders>
            <w:noWrap/>
            <w:textDirection w:val="lrTb"/>
            <w:vAlign w:val="bottom"/>
          </w:tcPr>
          <w:tbl>
            <w:tblPr>
              <w:tblW w:w="10360" w:type="dxa"/>
              <w:tblCellMar>
                <w:left w:w="70" w:type="dxa"/>
                <w:right w:w="70" w:type="dxa"/>
              </w:tblCellMar>
            </w:tblPr>
            <w:tblGrid>
              <w:gridCol w:w="3582"/>
              <w:gridCol w:w="1083"/>
              <w:gridCol w:w="1098"/>
              <w:gridCol w:w="1191"/>
              <w:gridCol w:w="1081"/>
              <w:gridCol w:w="1047"/>
              <w:gridCol w:w="1278"/>
            </w:tblGrid>
            <w:tr>
              <w:tblPrEx>
                <w:tblW w:w="10360" w:type="dxa"/>
                <w:tblCellMar>
                  <w:left w:w="70" w:type="dxa"/>
                  <w:right w:w="70" w:type="dxa"/>
                </w:tblCellMar>
              </w:tblPrEx>
              <w:trPr>
                <w:trHeight w:val="360"/>
              </w:trPr>
              <w:tc>
                <w:tcPr>
                  <w:tcW w:w="3582" w:type="dxa"/>
                  <w:vMerge w:val="restart"/>
                  <w:tcBorders>
                    <w:top w:val="single" w:sz="4" w:space="0" w:color="auto"/>
                    <w:left w:val="single" w:sz="4" w:space="0" w:color="auto"/>
                    <w:bottom w:val="single" w:sz="4" w:space="0" w:color="auto"/>
                    <w:right w:val="nil"/>
                    <w:tl2br w:val="nil"/>
                    <w:tr2bl w:val="nil"/>
                  </w:tcBorders>
                  <w:shd w:val="clear" w:color="auto" w:fill="C0C0C0"/>
                  <w:textDirection w:val="lrTb"/>
                  <w:vAlign w:val="center"/>
                </w:tcPr>
                <w:p w:rsidR="00854617" w:rsidRPr="00854617" w:rsidP="00854617">
                  <w:pPr>
                    <w:spacing w:line="240" w:lineRule="auto"/>
                    <w:jc w:val="center"/>
                    <w:rPr>
                      <w:rFonts w:ascii="Arial Narrow" w:hAnsi="Arial Narrow" w:cs="Arial"/>
                      <w:b/>
                      <w:lang w:eastAsia="sk-SK"/>
                    </w:rPr>
                  </w:pPr>
                  <w:r w:rsidRPr="00854617">
                    <w:rPr>
                      <w:rFonts w:ascii="Arial Narrow" w:hAnsi="Arial Narrow" w:cs="Arial"/>
                      <w:b/>
                      <w:lang w:eastAsia="sk-SK"/>
                    </w:rPr>
                    <w:t>Trieda, podtrieda</w:t>
                  </w:r>
                </w:p>
              </w:tc>
              <w:tc>
                <w:tcPr>
                  <w:tcW w:w="2181" w:type="dxa"/>
                  <w:gridSpan w:val="2"/>
                  <w:vMerge w:val="restart"/>
                  <w:tcBorders>
                    <w:top w:val="single" w:sz="4" w:space="0" w:color="auto"/>
                    <w:left w:val="single" w:sz="8" w:space="0" w:color="auto"/>
                    <w:bottom w:val="single" w:sz="4" w:space="0" w:color="auto"/>
                    <w:right w:val="single" w:sz="8" w:space="0" w:color="000000"/>
                    <w:tl2br w:val="nil"/>
                    <w:tr2bl w:val="nil"/>
                  </w:tcBorders>
                  <w:shd w:val="clear" w:color="auto" w:fill="C0C0C0"/>
                  <w:textDirection w:val="lrTb"/>
                  <w:vAlign w:val="center"/>
                </w:tcPr>
                <w:p w:rsidR="00854617" w:rsidRPr="00854617" w:rsidP="00854617">
                  <w:pPr>
                    <w:spacing w:line="240" w:lineRule="auto"/>
                    <w:jc w:val="center"/>
                    <w:rPr>
                      <w:rFonts w:ascii="Arial Narrow" w:hAnsi="Arial Narrow" w:cs="Arial"/>
                      <w:b/>
                      <w:bCs/>
                      <w:lang w:eastAsia="sk-SK"/>
                    </w:rPr>
                  </w:pPr>
                  <w:r w:rsidRPr="00854617">
                    <w:rPr>
                      <w:rFonts w:ascii="Arial Narrow" w:hAnsi="Arial Narrow" w:cs="Arial"/>
                      <w:b/>
                      <w:bCs/>
                      <w:lang w:eastAsia="sk-SK"/>
                    </w:rPr>
                    <w:t>Bežné výdavky</w:t>
                  </w:r>
                </w:p>
              </w:tc>
              <w:tc>
                <w:tcPr>
                  <w:tcW w:w="2272" w:type="dxa"/>
                  <w:gridSpan w:val="2"/>
                  <w:vMerge w:val="restart"/>
                  <w:tcBorders>
                    <w:top w:val="single" w:sz="4" w:space="0" w:color="auto"/>
                    <w:left w:val="single" w:sz="8" w:space="0" w:color="000000"/>
                    <w:bottom w:val="single" w:sz="4" w:space="0" w:color="auto"/>
                    <w:right w:val="single" w:sz="8" w:space="0" w:color="000000"/>
                    <w:tl2br w:val="nil"/>
                    <w:tr2bl w:val="nil"/>
                  </w:tcBorders>
                  <w:shd w:val="clear" w:color="auto" w:fill="C0C0C0"/>
                  <w:textDirection w:val="lrTb"/>
                  <w:vAlign w:val="center"/>
                </w:tcPr>
                <w:p w:rsidR="00854617" w:rsidRPr="00854617" w:rsidP="00854617">
                  <w:pPr>
                    <w:spacing w:line="240" w:lineRule="auto"/>
                    <w:jc w:val="center"/>
                    <w:rPr>
                      <w:rFonts w:ascii="Arial Narrow" w:hAnsi="Arial Narrow" w:cs="Arial"/>
                      <w:b/>
                      <w:bCs/>
                      <w:lang w:eastAsia="sk-SK"/>
                    </w:rPr>
                  </w:pPr>
                  <w:r w:rsidRPr="00854617">
                    <w:rPr>
                      <w:rFonts w:ascii="Arial Narrow" w:hAnsi="Arial Narrow" w:cs="Arial"/>
                      <w:b/>
                      <w:bCs/>
                      <w:lang w:eastAsia="sk-SK"/>
                    </w:rPr>
                    <w:t>Kapitálové výdavky</w:t>
                  </w:r>
                </w:p>
              </w:tc>
              <w:tc>
                <w:tcPr>
                  <w:tcW w:w="2325" w:type="dxa"/>
                  <w:gridSpan w:val="2"/>
                  <w:vMerge w:val="restart"/>
                  <w:tcBorders>
                    <w:top w:val="single" w:sz="4" w:space="0" w:color="auto"/>
                    <w:left w:val="single" w:sz="8" w:space="0" w:color="000000"/>
                    <w:bottom w:val="single" w:sz="4" w:space="0" w:color="auto"/>
                    <w:right w:val="single" w:sz="4" w:space="0" w:color="auto"/>
                    <w:tl2br w:val="nil"/>
                    <w:tr2bl w:val="nil"/>
                  </w:tcBorders>
                  <w:shd w:val="clear" w:color="auto" w:fill="C0C0C0"/>
                  <w:textDirection w:val="lrTb"/>
                  <w:vAlign w:val="center"/>
                </w:tcPr>
                <w:p w:rsidR="00854617" w:rsidRPr="00854617" w:rsidP="00854617">
                  <w:pPr>
                    <w:spacing w:line="240" w:lineRule="auto"/>
                    <w:jc w:val="center"/>
                    <w:rPr>
                      <w:rFonts w:ascii="Arial Narrow" w:hAnsi="Arial Narrow" w:cs="Arial"/>
                      <w:b/>
                      <w:bCs/>
                      <w:lang w:eastAsia="sk-SK"/>
                    </w:rPr>
                  </w:pPr>
                  <w:r w:rsidRPr="00854617">
                    <w:rPr>
                      <w:rFonts w:ascii="Arial Narrow" w:hAnsi="Arial Narrow" w:cs="Arial"/>
                      <w:b/>
                      <w:bCs/>
                      <w:lang w:eastAsia="sk-SK"/>
                    </w:rPr>
                    <w:t>Výdavky spolu</w:t>
                  </w:r>
                </w:p>
              </w:tc>
            </w:tr>
            <w:tr>
              <w:tblPrEx>
                <w:tblW w:w="10360" w:type="dxa"/>
                <w:tblCellMar>
                  <w:left w:w="70" w:type="dxa"/>
                  <w:right w:w="70" w:type="dxa"/>
                </w:tblCellMar>
              </w:tblPrEx>
              <w:trPr>
                <w:trHeight w:val="360"/>
              </w:trPr>
              <w:tc>
                <w:tcPr>
                  <w:tcW w:w="3582" w:type="dxa"/>
                  <w:vMerge/>
                  <w:tcBorders>
                    <w:top w:val="single" w:sz="4" w:space="0" w:color="auto"/>
                    <w:left w:val="single" w:sz="4" w:space="0" w:color="auto"/>
                    <w:bottom w:val="single" w:sz="4" w:space="0" w:color="auto"/>
                    <w:right w:val="nil"/>
                    <w:tl2br w:val="nil"/>
                    <w:tr2bl w:val="nil"/>
                  </w:tcBorders>
                  <w:textDirection w:val="lrTb"/>
                  <w:vAlign w:val="center"/>
                </w:tcPr>
                <w:p w:rsidR="00854617" w:rsidRPr="00854617" w:rsidP="00854617">
                  <w:pPr>
                    <w:spacing w:line="240" w:lineRule="auto"/>
                    <w:rPr>
                      <w:rFonts w:ascii="Arial Narrow" w:hAnsi="Arial Narrow" w:cs="Arial"/>
                      <w:b/>
                      <w:lang w:eastAsia="sk-SK"/>
                    </w:rPr>
                  </w:pPr>
                </w:p>
              </w:tc>
              <w:tc>
                <w:tcPr>
                  <w:tcW w:w="2181" w:type="dxa"/>
                  <w:gridSpan w:val="2"/>
                  <w:vMerge/>
                  <w:tcBorders>
                    <w:top w:val="single" w:sz="4" w:space="0" w:color="auto"/>
                    <w:left w:val="single" w:sz="8" w:space="0" w:color="auto"/>
                    <w:bottom w:val="single" w:sz="4" w:space="0" w:color="auto"/>
                    <w:right w:val="single" w:sz="8" w:space="0" w:color="000000"/>
                    <w:tl2br w:val="nil"/>
                    <w:tr2bl w:val="nil"/>
                  </w:tcBorders>
                  <w:textDirection w:val="lrTb"/>
                  <w:vAlign w:val="center"/>
                </w:tcPr>
                <w:p w:rsidR="00854617" w:rsidRPr="00854617" w:rsidP="00854617">
                  <w:pPr>
                    <w:spacing w:line="240" w:lineRule="auto"/>
                    <w:rPr>
                      <w:rFonts w:ascii="Arial Narrow" w:hAnsi="Arial Narrow" w:cs="Arial"/>
                      <w:b/>
                      <w:bCs/>
                      <w:lang w:eastAsia="sk-SK"/>
                    </w:rPr>
                  </w:pPr>
                </w:p>
              </w:tc>
              <w:tc>
                <w:tcPr>
                  <w:tcW w:w="2272" w:type="dxa"/>
                  <w:gridSpan w:val="2"/>
                  <w:vMerge/>
                  <w:tcBorders>
                    <w:top w:val="single" w:sz="4" w:space="0" w:color="auto"/>
                    <w:left w:val="single" w:sz="8" w:space="0" w:color="000000"/>
                    <w:bottom w:val="single" w:sz="4" w:space="0" w:color="auto"/>
                    <w:right w:val="single" w:sz="8" w:space="0" w:color="000000"/>
                    <w:tl2br w:val="nil"/>
                    <w:tr2bl w:val="nil"/>
                  </w:tcBorders>
                  <w:textDirection w:val="lrTb"/>
                  <w:vAlign w:val="center"/>
                </w:tcPr>
                <w:p w:rsidR="00854617" w:rsidRPr="00854617" w:rsidP="00854617">
                  <w:pPr>
                    <w:spacing w:line="240" w:lineRule="auto"/>
                    <w:rPr>
                      <w:rFonts w:ascii="Arial Narrow" w:hAnsi="Arial Narrow" w:cs="Arial"/>
                      <w:b/>
                      <w:bCs/>
                      <w:lang w:eastAsia="sk-SK"/>
                    </w:rPr>
                  </w:pPr>
                </w:p>
              </w:tc>
              <w:tc>
                <w:tcPr>
                  <w:tcW w:w="2325" w:type="dxa"/>
                  <w:gridSpan w:val="2"/>
                  <w:vMerge/>
                  <w:tcBorders>
                    <w:top w:val="single" w:sz="4" w:space="0" w:color="auto"/>
                    <w:left w:val="single" w:sz="8" w:space="0" w:color="000000"/>
                    <w:bottom w:val="single" w:sz="4" w:space="0" w:color="auto"/>
                    <w:right w:val="single" w:sz="4" w:space="0" w:color="auto"/>
                    <w:tl2br w:val="nil"/>
                    <w:tr2bl w:val="nil"/>
                  </w:tcBorders>
                  <w:textDirection w:val="lrTb"/>
                  <w:vAlign w:val="center"/>
                </w:tcPr>
                <w:p w:rsidR="00854617" w:rsidRPr="00854617" w:rsidP="00854617">
                  <w:pPr>
                    <w:spacing w:line="240" w:lineRule="auto"/>
                    <w:rPr>
                      <w:rFonts w:ascii="Arial Narrow" w:hAnsi="Arial Narrow" w:cs="Arial"/>
                      <w:b/>
                      <w:bCs/>
                      <w:lang w:eastAsia="sk-SK"/>
                    </w:rPr>
                  </w:pPr>
                </w:p>
              </w:tc>
            </w:tr>
            <w:tr>
              <w:tblPrEx>
                <w:tblW w:w="10360" w:type="dxa"/>
                <w:tblCellMar>
                  <w:left w:w="70" w:type="dxa"/>
                  <w:right w:w="70" w:type="dxa"/>
                </w:tblCellMar>
              </w:tblPrEx>
              <w:trPr>
                <w:trHeight w:val="585"/>
              </w:trPr>
              <w:tc>
                <w:tcPr>
                  <w:tcW w:w="3582" w:type="dxa"/>
                  <w:vMerge/>
                  <w:tcBorders>
                    <w:top w:val="single" w:sz="4" w:space="0" w:color="auto"/>
                    <w:left w:val="single" w:sz="4" w:space="0" w:color="auto"/>
                    <w:bottom w:val="single" w:sz="4" w:space="0" w:color="auto"/>
                    <w:right w:val="nil"/>
                    <w:tl2br w:val="nil"/>
                    <w:tr2bl w:val="nil"/>
                  </w:tcBorders>
                  <w:textDirection w:val="lrTb"/>
                  <w:vAlign w:val="center"/>
                </w:tcPr>
                <w:p w:rsidR="00854617" w:rsidRPr="00854617" w:rsidP="00854617">
                  <w:pPr>
                    <w:spacing w:line="240" w:lineRule="auto"/>
                    <w:rPr>
                      <w:rFonts w:ascii="Arial Narrow" w:hAnsi="Arial Narrow" w:cs="Arial"/>
                      <w:b/>
                      <w:lang w:eastAsia="sk-SK"/>
                    </w:rPr>
                  </w:pPr>
                </w:p>
              </w:tc>
              <w:tc>
                <w:tcPr>
                  <w:tcW w:w="1083" w:type="dxa"/>
                  <w:tcBorders>
                    <w:top w:val="single" w:sz="4" w:space="0" w:color="auto"/>
                    <w:left w:val="single" w:sz="8" w:space="0" w:color="auto"/>
                    <w:bottom w:val="single" w:sz="4" w:space="0" w:color="auto"/>
                    <w:right w:val="single" w:sz="8" w:space="0" w:color="auto"/>
                    <w:tl2br w:val="nil"/>
                    <w:tr2bl w:val="nil"/>
                  </w:tcBorders>
                  <w:shd w:val="clear" w:color="auto" w:fill="C0C0C0"/>
                  <w:textDirection w:val="lrTb"/>
                  <w:vAlign w:val="center"/>
                </w:tcPr>
                <w:p w:rsidR="00854617" w:rsidRPr="00854617" w:rsidP="00854617">
                  <w:pPr>
                    <w:spacing w:line="240" w:lineRule="auto"/>
                    <w:jc w:val="center"/>
                    <w:rPr>
                      <w:rFonts w:ascii="Arial Narrow" w:hAnsi="Arial Narrow" w:cs="Arial"/>
                      <w:b/>
                      <w:lang w:eastAsia="sk-SK"/>
                    </w:rPr>
                  </w:pPr>
                  <w:r>
                    <w:rPr>
                      <w:rFonts w:ascii="Arial Narrow" w:hAnsi="Arial Narrow" w:cs="Arial"/>
                      <w:b/>
                      <w:lang w:eastAsia="sk-SK"/>
                    </w:rPr>
                    <w:t>U</w:t>
                  </w:r>
                  <w:r w:rsidRPr="00854617">
                    <w:rPr>
                      <w:rFonts w:ascii="Arial Narrow" w:hAnsi="Arial Narrow" w:cs="Arial"/>
                      <w:b/>
                      <w:lang w:eastAsia="sk-SK"/>
                    </w:rPr>
                    <w:t>pravený rozpočet</w:t>
                  </w:r>
                </w:p>
              </w:tc>
              <w:tc>
                <w:tcPr>
                  <w:tcW w:w="1098" w:type="dxa"/>
                  <w:tcBorders>
                    <w:top w:val="single" w:sz="4" w:space="0" w:color="auto"/>
                    <w:left w:val="nil"/>
                    <w:bottom w:val="single" w:sz="4" w:space="0" w:color="auto"/>
                    <w:right w:val="single" w:sz="8" w:space="0" w:color="auto"/>
                    <w:tl2br w:val="nil"/>
                    <w:tr2bl w:val="nil"/>
                  </w:tcBorders>
                  <w:shd w:val="clear" w:color="auto" w:fill="C0C0C0"/>
                  <w:textDirection w:val="lrTb"/>
                  <w:vAlign w:val="center"/>
                </w:tcPr>
                <w:p w:rsidR="00854617" w:rsidRPr="00854617" w:rsidP="00854617">
                  <w:pPr>
                    <w:spacing w:line="240" w:lineRule="auto"/>
                    <w:jc w:val="center"/>
                    <w:rPr>
                      <w:rFonts w:ascii="Arial Narrow" w:hAnsi="Arial Narrow" w:cs="Arial"/>
                      <w:b/>
                      <w:lang w:eastAsia="sk-SK"/>
                    </w:rPr>
                  </w:pPr>
                  <w:r>
                    <w:rPr>
                      <w:rFonts w:ascii="Arial Narrow" w:hAnsi="Arial Narrow" w:cs="Arial"/>
                      <w:b/>
                      <w:lang w:eastAsia="sk-SK"/>
                    </w:rPr>
                    <w:t>S</w:t>
                  </w:r>
                  <w:r w:rsidRPr="00854617">
                    <w:rPr>
                      <w:rFonts w:ascii="Arial Narrow" w:hAnsi="Arial Narrow" w:cs="Arial"/>
                      <w:b/>
                      <w:lang w:eastAsia="sk-SK"/>
                    </w:rPr>
                    <w:t>kutočné čerpanie</w:t>
                  </w:r>
                </w:p>
              </w:tc>
              <w:tc>
                <w:tcPr>
                  <w:tcW w:w="1191" w:type="dxa"/>
                  <w:tcBorders>
                    <w:top w:val="single" w:sz="4" w:space="0" w:color="auto"/>
                    <w:left w:val="nil"/>
                    <w:bottom w:val="single" w:sz="4" w:space="0" w:color="auto"/>
                    <w:right w:val="single" w:sz="8" w:space="0" w:color="auto"/>
                    <w:tl2br w:val="nil"/>
                    <w:tr2bl w:val="nil"/>
                  </w:tcBorders>
                  <w:shd w:val="clear" w:color="auto" w:fill="C0C0C0"/>
                  <w:textDirection w:val="lrTb"/>
                  <w:vAlign w:val="center"/>
                </w:tcPr>
                <w:p w:rsidR="00854617" w:rsidRPr="00854617" w:rsidP="00854617">
                  <w:pPr>
                    <w:spacing w:line="240" w:lineRule="auto"/>
                    <w:jc w:val="center"/>
                    <w:rPr>
                      <w:rFonts w:ascii="Arial Narrow" w:hAnsi="Arial Narrow" w:cs="Arial"/>
                      <w:b/>
                      <w:lang w:eastAsia="sk-SK"/>
                    </w:rPr>
                  </w:pPr>
                  <w:r>
                    <w:rPr>
                      <w:rFonts w:ascii="Arial Narrow" w:hAnsi="Arial Narrow" w:cs="Arial"/>
                      <w:b/>
                      <w:lang w:eastAsia="sk-SK"/>
                    </w:rPr>
                    <w:t>U</w:t>
                  </w:r>
                  <w:r w:rsidRPr="00854617">
                    <w:rPr>
                      <w:rFonts w:ascii="Arial Narrow" w:hAnsi="Arial Narrow" w:cs="Arial"/>
                      <w:b/>
                      <w:lang w:eastAsia="sk-SK"/>
                    </w:rPr>
                    <w:t>pravený rozpočet</w:t>
                  </w:r>
                </w:p>
              </w:tc>
              <w:tc>
                <w:tcPr>
                  <w:tcW w:w="1081" w:type="dxa"/>
                  <w:tcBorders>
                    <w:top w:val="single" w:sz="4" w:space="0" w:color="auto"/>
                    <w:left w:val="nil"/>
                    <w:bottom w:val="single" w:sz="4" w:space="0" w:color="auto"/>
                    <w:right w:val="single" w:sz="8" w:space="0" w:color="auto"/>
                    <w:tl2br w:val="nil"/>
                    <w:tr2bl w:val="nil"/>
                  </w:tcBorders>
                  <w:shd w:val="clear" w:color="auto" w:fill="C0C0C0"/>
                  <w:textDirection w:val="lrTb"/>
                  <w:vAlign w:val="center"/>
                </w:tcPr>
                <w:p w:rsidR="00854617" w:rsidRPr="00854617" w:rsidP="00854617">
                  <w:pPr>
                    <w:spacing w:line="240" w:lineRule="auto"/>
                    <w:jc w:val="center"/>
                    <w:rPr>
                      <w:rFonts w:ascii="Arial Narrow" w:hAnsi="Arial Narrow" w:cs="Arial"/>
                      <w:b/>
                      <w:lang w:eastAsia="sk-SK"/>
                    </w:rPr>
                  </w:pPr>
                  <w:r>
                    <w:rPr>
                      <w:rFonts w:ascii="Arial Narrow" w:hAnsi="Arial Narrow" w:cs="Arial"/>
                      <w:b/>
                      <w:lang w:eastAsia="sk-SK"/>
                    </w:rPr>
                    <w:t>S</w:t>
                  </w:r>
                  <w:r w:rsidRPr="00854617">
                    <w:rPr>
                      <w:rFonts w:ascii="Arial Narrow" w:hAnsi="Arial Narrow" w:cs="Arial"/>
                      <w:b/>
                      <w:lang w:eastAsia="sk-SK"/>
                    </w:rPr>
                    <w:t>kutočné čerpanie</w:t>
                  </w:r>
                </w:p>
              </w:tc>
              <w:tc>
                <w:tcPr>
                  <w:tcW w:w="1047" w:type="dxa"/>
                  <w:tcBorders>
                    <w:top w:val="single" w:sz="4" w:space="0" w:color="auto"/>
                    <w:left w:val="nil"/>
                    <w:bottom w:val="single" w:sz="4" w:space="0" w:color="auto"/>
                    <w:right w:val="single" w:sz="8" w:space="0" w:color="auto"/>
                    <w:tl2br w:val="nil"/>
                    <w:tr2bl w:val="nil"/>
                  </w:tcBorders>
                  <w:shd w:val="clear" w:color="auto" w:fill="C0C0C0"/>
                  <w:textDirection w:val="lrTb"/>
                  <w:vAlign w:val="center"/>
                </w:tcPr>
                <w:p w:rsidR="00854617" w:rsidRPr="00854617" w:rsidP="00854617">
                  <w:pPr>
                    <w:spacing w:line="240" w:lineRule="auto"/>
                    <w:jc w:val="center"/>
                    <w:rPr>
                      <w:rFonts w:ascii="Arial Narrow" w:hAnsi="Arial Narrow" w:cs="Arial"/>
                      <w:b/>
                      <w:lang w:eastAsia="sk-SK"/>
                    </w:rPr>
                  </w:pPr>
                  <w:r>
                    <w:rPr>
                      <w:rFonts w:ascii="Arial Narrow" w:hAnsi="Arial Narrow" w:cs="Arial"/>
                      <w:b/>
                      <w:lang w:eastAsia="sk-SK"/>
                    </w:rPr>
                    <w:t>U</w:t>
                  </w:r>
                  <w:r w:rsidRPr="00854617">
                    <w:rPr>
                      <w:rFonts w:ascii="Arial Narrow" w:hAnsi="Arial Narrow" w:cs="Arial"/>
                      <w:b/>
                      <w:lang w:eastAsia="sk-SK"/>
                    </w:rPr>
                    <w:t>pravený rozpočet</w:t>
                  </w:r>
                </w:p>
              </w:tc>
              <w:tc>
                <w:tcPr>
                  <w:tcW w:w="1278" w:type="dxa"/>
                  <w:tcBorders>
                    <w:top w:val="single" w:sz="4" w:space="0" w:color="auto"/>
                    <w:left w:val="nil"/>
                    <w:bottom w:val="single" w:sz="4" w:space="0" w:color="auto"/>
                    <w:right w:val="single" w:sz="4" w:space="0" w:color="auto"/>
                    <w:tl2br w:val="nil"/>
                    <w:tr2bl w:val="nil"/>
                  </w:tcBorders>
                  <w:shd w:val="clear" w:color="auto" w:fill="C0C0C0"/>
                  <w:textDirection w:val="lrTb"/>
                  <w:vAlign w:val="center"/>
                </w:tcPr>
                <w:p w:rsidR="00854617" w:rsidRPr="00854617" w:rsidP="00854617">
                  <w:pPr>
                    <w:spacing w:line="240" w:lineRule="auto"/>
                    <w:jc w:val="center"/>
                    <w:rPr>
                      <w:rFonts w:ascii="Arial Narrow" w:hAnsi="Arial Narrow" w:cs="Arial"/>
                      <w:b/>
                      <w:lang w:eastAsia="sk-SK"/>
                    </w:rPr>
                  </w:pPr>
                  <w:r>
                    <w:rPr>
                      <w:rFonts w:ascii="Arial Narrow" w:hAnsi="Arial Narrow" w:cs="Arial"/>
                      <w:b/>
                      <w:lang w:eastAsia="sk-SK"/>
                    </w:rPr>
                    <w:t>S</w:t>
                  </w:r>
                  <w:r w:rsidRPr="00854617">
                    <w:rPr>
                      <w:rFonts w:ascii="Arial Narrow" w:hAnsi="Arial Narrow" w:cs="Arial"/>
                      <w:b/>
                      <w:lang w:eastAsia="sk-SK"/>
                    </w:rPr>
                    <w:t>kutočné čerpanie</w:t>
                  </w:r>
                </w:p>
              </w:tc>
            </w:tr>
            <w:tr>
              <w:tblPrEx>
                <w:tblW w:w="10360" w:type="dxa"/>
                <w:tblCellMar>
                  <w:left w:w="70" w:type="dxa"/>
                  <w:right w:w="70" w:type="dxa"/>
                </w:tblCellMar>
              </w:tblPrEx>
              <w:trPr>
                <w:trHeight w:hRule="exact" w:val="284"/>
              </w:trPr>
              <w:tc>
                <w:tcPr>
                  <w:tcW w:w="3582" w:type="dxa"/>
                  <w:tcBorders>
                    <w:top w:val="single" w:sz="4" w:space="0" w:color="auto"/>
                    <w:left w:val="single" w:sz="4" w:space="0" w:color="auto"/>
                    <w:bottom w:val="single" w:sz="4" w:space="0" w:color="auto"/>
                    <w:right w:val="nil"/>
                    <w:tl2br w:val="nil"/>
                    <w:tr2bl w:val="nil"/>
                  </w:tcBorders>
                  <w:noWrap/>
                  <w:textDirection w:val="lrTb"/>
                  <w:vAlign w:val="center"/>
                </w:tcPr>
                <w:p w:rsidR="00854617" w:rsidRPr="00854617" w:rsidP="00854617">
                  <w:pPr>
                    <w:spacing w:line="240" w:lineRule="auto"/>
                    <w:rPr>
                      <w:rFonts w:ascii="Arial Narrow" w:hAnsi="Arial Narrow" w:cs="Arial"/>
                      <w:lang w:eastAsia="sk-SK"/>
                    </w:rPr>
                  </w:pPr>
                  <w:r w:rsidRPr="00854617">
                    <w:rPr>
                      <w:rFonts w:ascii="Arial Narrow" w:hAnsi="Arial Narrow" w:cs="Arial"/>
                      <w:lang w:eastAsia="sk-SK"/>
                    </w:rPr>
                    <w:t>01.1.3.    Zahraničná oblasť (MDPT SR)</w:t>
                  </w:r>
                </w:p>
              </w:tc>
              <w:tc>
                <w:tcPr>
                  <w:tcW w:w="1083" w:type="dxa"/>
                  <w:tcBorders>
                    <w:top w:val="single" w:sz="4" w:space="0" w:color="auto"/>
                    <w:left w:val="single" w:sz="8" w:space="0" w:color="auto"/>
                    <w:bottom w:val="single" w:sz="4" w:space="0" w:color="auto"/>
                    <w:right w:val="single" w:sz="8" w:space="0" w:color="auto"/>
                    <w:tl2br w:val="nil"/>
                    <w:tr2bl w:val="nil"/>
                  </w:tcBorders>
                  <w:noWrap/>
                  <w:textDirection w:val="lrTb"/>
                  <w:vAlign w:val="center"/>
                </w:tcPr>
                <w:p w:rsidR="00854617" w:rsidRPr="00854617" w:rsidP="00854617">
                  <w:pPr>
                    <w:spacing w:line="240" w:lineRule="auto"/>
                    <w:jc w:val="right"/>
                    <w:rPr>
                      <w:rFonts w:ascii="Arial Narrow" w:hAnsi="Arial Narrow" w:cs="Arial"/>
                      <w:lang w:eastAsia="sk-SK"/>
                    </w:rPr>
                  </w:pPr>
                  <w:r w:rsidRPr="00854617">
                    <w:rPr>
                      <w:rFonts w:ascii="Arial Narrow" w:hAnsi="Arial Narrow" w:cs="Arial"/>
                      <w:lang w:eastAsia="sk-SK"/>
                    </w:rPr>
                    <w:t>20 035</w:t>
                  </w:r>
                </w:p>
              </w:tc>
              <w:tc>
                <w:tcPr>
                  <w:tcW w:w="1098" w:type="dxa"/>
                  <w:tcBorders>
                    <w:top w:val="single" w:sz="4" w:space="0" w:color="auto"/>
                    <w:left w:val="nil"/>
                    <w:bottom w:val="single" w:sz="4" w:space="0" w:color="auto"/>
                    <w:right w:val="single" w:sz="8" w:space="0" w:color="auto"/>
                    <w:tl2br w:val="nil"/>
                    <w:tr2bl w:val="nil"/>
                  </w:tcBorders>
                  <w:noWrap/>
                  <w:textDirection w:val="lrTb"/>
                  <w:vAlign w:val="center"/>
                </w:tcPr>
                <w:p w:rsidR="00854617" w:rsidRPr="00854617" w:rsidP="00854617">
                  <w:pPr>
                    <w:spacing w:line="240" w:lineRule="auto"/>
                    <w:jc w:val="right"/>
                    <w:rPr>
                      <w:rFonts w:ascii="Arial Narrow" w:hAnsi="Arial Narrow" w:cs="Arial"/>
                      <w:lang w:eastAsia="sk-SK"/>
                    </w:rPr>
                  </w:pPr>
                  <w:r w:rsidRPr="00854617">
                    <w:rPr>
                      <w:rFonts w:ascii="Arial Narrow" w:hAnsi="Arial Narrow" w:cs="Arial"/>
                      <w:lang w:eastAsia="sk-SK"/>
                    </w:rPr>
                    <w:t>19 925</w:t>
                  </w:r>
                </w:p>
              </w:tc>
              <w:tc>
                <w:tcPr>
                  <w:tcW w:w="1191" w:type="dxa"/>
                  <w:tcBorders>
                    <w:top w:val="single" w:sz="4" w:space="0" w:color="auto"/>
                    <w:left w:val="nil"/>
                    <w:bottom w:val="single" w:sz="4" w:space="0" w:color="auto"/>
                    <w:right w:val="single" w:sz="8" w:space="0" w:color="auto"/>
                    <w:tl2br w:val="nil"/>
                    <w:tr2bl w:val="nil"/>
                  </w:tcBorders>
                  <w:noWrap/>
                  <w:textDirection w:val="lrTb"/>
                  <w:vAlign w:val="center"/>
                </w:tcPr>
                <w:p w:rsidR="00854617" w:rsidRPr="00854617" w:rsidP="00854617">
                  <w:pPr>
                    <w:spacing w:line="240" w:lineRule="auto"/>
                    <w:jc w:val="right"/>
                    <w:rPr>
                      <w:rFonts w:ascii="Arial Narrow" w:hAnsi="Arial Narrow" w:cs="Arial"/>
                      <w:lang w:eastAsia="sk-SK"/>
                    </w:rPr>
                  </w:pPr>
                  <w:r w:rsidRPr="00854617">
                    <w:rPr>
                      <w:rFonts w:ascii="Arial Narrow" w:hAnsi="Arial Narrow" w:cs="Arial"/>
                      <w:lang w:eastAsia="sk-SK"/>
                    </w:rPr>
                    <w:t>0</w:t>
                  </w:r>
                </w:p>
              </w:tc>
              <w:tc>
                <w:tcPr>
                  <w:tcW w:w="1081" w:type="dxa"/>
                  <w:tcBorders>
                    <w:top w:val="single" w:sz="4" w:space="0" w:color="auto"/>
                    <w:left w:val="nil"/>
                    <w:bottom w:val="single" w:sz="4" w:space="0" w:color="auto"/>
                    <w:right w:val="single" w:sz="8" w:space="0" w:color="auto"/>
                    <w:tl2br w:val="nil"/>
                    <w:tr2bl w:val="nil"/>
                  </w:tcBorders>
                  <w:noWrap/>
                  <w:textDirection w:val="lrTb"/>
                  <w:vAlign w:val="center"/>
                </w:tcPr>
                <w:p w:rsidR="00854617" w:rsidRPr="00854617" w:rsidP="00854617">
                  <w:pPr>
                    <w:spacing w:line="240" w:lineRule="auto"/>
                    <w:jc w:val="right"/>
                    <w:rPr>
                      <w:rFonts w:ascii="Arial Narrow" w:hAnsi="Arial Narrow" w:cs="Arial"/>
                      <w:lang w:eastAsia="sk-SK"/>
                    </w:rPr>
                  </w:pPr>
                  <w:r w:rsidRPr="00854617">
                    <w:rPr>
                      <w:rFonts w:ascii="Arial Narrow" w:hAnsi="Arial Narrow" w:cs="Arial"/>
                      <w:lang w:eastAsia="sk-SK"/>
                    </w:rPr>
                    <w:t>0</w:t>
                  </w:r>
                </w:p>
              </w:tc>
              <w:tc>
                <w:tcPr>
                  <w:tcW w:w="1047" w:type="dxa"/>
                  <w:tcBorders>
                    <w:top w:val="single" w:sz="4" w:space="0" w:color="auto"/>
                    <w:left w:val="nil"/>
                    <w:bottom w:val="single" w:sz="4" w:space="0" w:color="auto"/>
                    <w:right w:val="single" w:sz="8" w:space="0" w:color="auto"/>
                    <w:tl2br w:val="nil"/>
                    <w:tr2bl w:val="nil"/>
                  </w:tcBorders>
                  <w:noWrap/>
                  <w:textDirection w:val="lrTb"/>
                  <w:vAlign w:val="center"/>
                </w:tcPr>
                <w:p w:rsidR="00854617" w:rsidRPr="00854617" w:rsidP="00854617">
                  <w:pPr>
                    <w:spacing w:line="240" w:lineRule="auto"/>
                    <w:jc w:val="right"/>
                    <w:rPr>
                      <w:rFonts w:ascii="Arial Narrow" w:hAnsi="Arial Narrow" w:cs="Arial"/>
                      <w:lang w:eastAsia="sk-SK"/>
                    </w:rPr>
                  </w:pPr>
                  <w:r w:rsidRPr="00854617">
                    <w:rPr>
                      <w:rFonts w:ascii="Arial Narrow" w:hAnsi="Arial Narrow" w:cs="Arial"/>
                      <w:lang w:eastAsia="sk-SK"/>
                    </w:rPr>
                    <w:t>20 035</w:t>
                  </w:r>
                </w:p>
              </w:tc>
              <w:tc>
                <w:tcPr>
                  <w:tcW w:w="1278" w:type="dxa"/>
                  <w:tcBorders>
                    <w:top w:val="single" w:sz="4" w:space="0" w:color="auto"/>
                    <w:left w:val="nil"/>
                    <w:bottom w:val="single" w:sz="4" w:space="0" w:color="auto"/>
                    <w:right w:val="single" w:sz="4" w:space="0" w:color="auto"/>
                    <w:tl2br w:val="nil"/>
                    <w:tr2bl w:val="nil"/>
                  </w:tcBorders>
                  <w:noWrap/>
                  <w:textDirection w:val="lrTb"/>
                  <w:vAlign w:val="center"/>
                </w:tcPr>
                <w:p w:rsidR="00854617" w:rsidRPr="00854617" w:rsidP="00854617">
                  <w:pPr>
                    <w:spacing w:line="240" w:lineRule="auto"/>
                    <w:jc w:val="right"/>
                    <w:rPr>
                      <w:rFonts w:ascii="Arial Narrow" w:hAnsi="Arial Narrow" w:cs="Arial"/>
                      <w:lang w:eastAsia="sk-SK"/>
                    </w:rPr>
                  </w:pPr>
                  <w:r w:rsidRPr="00854617">
                    <w:rPr>
                      <w:rFonts w:ascii="Arial Narrow" w:hAnsi="Arial Narrow" w:cs="Arial"/>
                      <w:lang w:eastAsia="sk-SK"/>
                    </w:rPr>
                    <w:t>19 925</w:t>
                  </w:r>
                </w:p>
              </w:tc>
            </w:tr>
            <w:tr>
              <w:tblPrEx>
                <w:tblW w:w="10360" w:type="dxa"/>
                <w:tblCellMar>
                  <w:left w:w="70" w:type="dxa"/>
                  <w:right w:w="70" w:type="dxa"/>
                </w:tblCellMar>
              </w:tblPrEx>
              <w:trPr>
                <w:trHeight w:hRule="exact" w:val="284"/>
              </w:trPr>
              <w:tc>
                <w:tcPr>
                  <w:tcW w:w="3582" w:type="dxa"/>
                  <w:tcBorders>
                    <w:top w:val="single" w:sz="4" w:space="0" w:color="auto"/>
                    <w:left w:val="single" w:sz="4" w:space="0" w:color="auto"/>
                    <w:bottom w:val="single" w:sz="4" w:space="0" w:color="auto"/>
                    <w:right w:val="nil"/>
                    <w:tl2br w:val="nil"/>
                    <w:tr2bl w:val="nil"/>
                  </w:tcBorders>
                  <w:noWrap/>
                  <w:textDirection w:val="lrTb"/>
                  <w:vAlign w:val="center"/>
                </w:tcPr>
                <w:p w:rsidR="00854617" w:rsidRPr="00854617" w:rsidP="00854617">
                  <w:pPr>
                    <w:spacing w:line="240" w:lineRule="auto"/>
                    <w:rPr>
                      <w:rFonts w:ascii="Arial Narrow" w:hAnsi="Arial Narrow" w:cs="Arial"/>
                      <w:lang w:eastAsia="sk-SK"/>
                    </w:rPr>
                  </w:pPr>
                  <w:r w:rsidRPr="00854617">
                    <w:rPr>
                      <w:rFonts w:ascii="Arial Narrow" w:hAnsi="Arial Narrow" w:cs="Arial"/>
                      <w:lang w:eastAsia="sk-SK"/>
                    </w:rPr>
                    <w:t xml:space="preserve">02.1.0.3. Hospodár. mobilizácia (MDPT SR)  </w:t>
                  </w:r>
                </w:p>
              </w:tc>
              <w:tc>
                <w:tcPr>
                  <w:tcW w:w="1083" w:type="dxa"/>
                  <w:tcBorders>
                    <w:top w:val="single" w:sz="4" w:space="0" w:color="auto"/>
                    <w:left w:val="single" w:sz="8" w:space="0" w:color="auto"/>
                    <w:bottom w:val="single" w:sz="4" w:space="0" w:color="auto"/>
                    <w:right w:val="single" w:sz="8" w:space="0" w:color="auto"/>
                    <w:tl2br w:val="nil"/>
                    <w:tr2bl w:val="nil"/>
                  </w:tcBorders>
                  <w:noWrap/>
                  <w:textDirection w:val="lrTb"/>
                  <w:vAlign w:val="center"/>
                </w:tcPr>
                <w:p w:rsidR="00854617" w:rsidRPr="00854617" w:rsidP="00854617">
                  <w:pPr>
                    <w:spacing w:line="240" w:lineRule="auto"/>
                    <w:jc w:val="right"/>
                    <w:rPr>
                      <w:rFonts w:ascii="Arial Narrow" w:hAnsi="Arial Narrow" w:cs="Arial"/>
                      <w:lang w:eastAsia="sk-SK"/>
                    </w:rPr>
                  </w:pPr>
                  <w:r w:rsidRPr="00854617">
                    <w:rPr>
                      <w:rFonts w:ascii="Arial Narrow" w:hAnsi="Arial Narrow" w:cs="Arial"/>
                      <w:lang w:eastAsia="sk-SK"/>
                    </w:rPr>
                    <w:t>40 000</w:t>
                  </w:r>
                </w:p>
              </w:tc>
              <w:tc>
                <w:tcPr>
                  <w:tcW w:w="1098" w:type="dxa"/>
                  <w:tcBorders>
                    <w:top w:val="single" w:sz="4" w:space="0" w:color="auto"/>
                    <w:left w:val="nil"/>
                    <w:bottom w:val="single" w:sz="4" w:space="0" w:color="auto"/>
                    <w:right w:val="single" w:sz="8" w:space="0" w:color="auto"/>
                    <w:tl2br w:val="nil"/>
                    <w:tr2bl w:val="nil"/>
                  </w:tcBorders>
                  <w:noWrap/>
                  <w:textDirection w:val="lrTb"/>
                  <w:vAlign w:val="center"/>
                </w:tcPr>
                <w:p w:rsidR="00854617" w:rsidRPr="00854617" w:rsidP="00854617">
                  <w:pPr>
                    <w:spacing w:line="240" w:lineRule="auto"/>
                    <w:jc w:val="right"/>
                    <w:rPr>
                      <w:rFonts w:ascii="Arial Narrow" w:hAnsi="Arial Narrow" w:cs="Arial"/>
                      <w:lang w:eastAsia="sk-SK"/>
                    </w:rPr>
                  </w:pPr>
                  <w:r w:rsidRPr="00854617">
                    <w:rPr>
                      <w:rFonts w:ascii="Arial Narrow" w:hAnsi="Arial Narrow" w:cs="Arial"/>
                      <w:lang w:eastAsia="sk-SK"/>
                    </w:rPr>
                    <w:t>39 829</w:t>
                  </w:r>
                </w:p>
              </w:tc>
              <w:tc>
                <w:tcPr>
                  <w:tcW w:w="1191" w:type="dxa"/>
                  <w:tcBorders>
                    <w:top w:val="single" w:sz="4" w:space="0" w:color="auto"/>
                    <w:left w:val="nil"/>
                    <w:bottom w:val="single" w:sz="4" w:space="0" w:color="auto"/>
                    <w:right w:val="single" w:sz="8" w:space="0" w:color="auto"/>
                    <w:tl2br w:val="nil"/>
                    <w:tr2bl w:val="nil"/>
                  </w:tcBorders>
                  <w:noWrap/>
                  <w:textDirection w:val="lrTb"/>
                  <w:vAlign w:val="center"/>
                </w:tcPr>
                <w:p w:rsidR="00854617" w:rsidRPr="00854617" w:rsidP="00854617">
                  <w:pPr>
                    <w:spacing w:line="240" w:lineRule="auto"/>
                    <w:jc w:val="right"/>
                    <w:rPr>
                      <w:rFonts w:ascii="Arial Narrow" w:hAnsi="Arial Narrow" w:cs="Arial"/>
                      <w:lang w:eastAsia="sk-SK"/>
                    </w:rPr>
                  </w:pPr>
                  <w:r w:rsidRPr="00854617">
                    <w:rPr>
                      <w:rFonts w:ascii="Arial Narrow" w:hAnsi="Arial Narrow" w:cs="Arial"/>
                      <w:lang w:eastAsia="sk-SK"/>
                    </w:rPr>
                    <w:t>0</w:t>
                  </w:r>
                </w:p>
              </w:tc>
              <w:tc>
                <w:tcPr>
                  <w:tcW w:w="1081" w:type="dxa"/>
                  <w:tcBorders>
                    <w:top w:val="single" w:sz="4" w:space="0" w:color="auto"/>
                    <w:left w:val="nil"/>
                    <w:bottom w:val="single" w:sz="4" w:space="0" w:color="auto"/>
                    <w:right w:val="single" w:sz="8" w:space="0" w:color="auto"/>
                    <w:tl2br w:val="nil"/>
                    <w:tr2bl w:val="nil"/>
                  </w:tcBorders>
                  <w:noWrap/>
                  <w:textDirection w:val="lrTb"/>
                  <w:vAlign w:val="center"/>
                </w:tcPr>
                <w:p w:rsidR="00854617" w:rsidRPr="00854617" w:rsidP="00854617">
                  <w:pPr>
                    <w:spacing w:line="240" w:lineRule="auto"/>
                    <w:jc w:val="right"/>
                    <w:rPr>
                      <w:rFonts w:ascii="Arial Narrow" w:hAnsi="Arial Narrow" w:cs="Arial"/>
                      <w:lang w:eastAsia="sk-SK"/>
                    </w:rPr>
                  </w:pPr>
                  <w:r w:rsidRPr="00854617">
                    <w:rPr>
                      <w:rFonts w:ascii="Arial Narrow" w:hAnsi="Arial Narrow" w:cs="Arial"/>
                      <w:lang w:eastAsia="sk-SK"/>
                    </w:rPr>
                    <w:t>0</w:t>
                  </w:r>
                </w:p>
              </w:tc>
              <w:tc>
                <w:tcPr>
                  <w:tcW w:w="1047" w:type="dxa"/>
                  <w:tcBorders>
                    <w:top w:val="single" w:sz="4" w:space="0" w:color="auto"/>
                    <w:left w:val="nil"/>
                    <w:bottom w:val="single" w:sz="4" w:space="0" w:color="auto"/>
                    <w:right w:val="single" w:sz="8" w:space="0" w:color="auto"/>
                    <w:tl2br w:val="nil"/>
                    <w:tr2bl w:val="nil"/>
                  </w:tcBorders>
                  <w:noWrap/>
                  <w:textDirection w:val="lrTb"/>
                  <w:vAlign w:val="center"/>
                </w:tcPr>
                <w:p w:rsidR="00854617" w:rsidRPr="00854617" w:rsidP="00854617">
                  <w:pPr>
                    <w:spacing w:line="240" w:lineRule="auto"/>
                    <w:jc w:val="right"/>
                    <w:rPr>
                      <w:rFonts w:ascii="Arial Narrow" w:hAnsi="Arial Narrow" w:cs="Arial"/>
                      <w:lang w:eastAsia="sk-SK"/>
                    </w:rPr>
                  </w:pPr>
                  <w:r w:rsidRPr="00854617">
                    <w:rPr>
                      <w:rFonts w:ascii="Arial Narrow" w:hAnsi="Arial Narrow" w:cs="Arial"/>
                      <w:lang w:eastAsia="sk-SK"/>
                    </w:rPr>
                    <w:t>40 000</w:t>
                  </w:r>
                </w:p>
              </w:tc>
              <w:tc>
                <w:tcPr>
                  <w:tcW w:w="1278" w:type="dxa"/>
                  <w:tcBorders>
                    <w:top w:val="single" w:sz="4" w:space="0" w:color="auto"/>
                    <w:left w:val="nil"/>
                    <w:bottom w:val="single" w:sz="4" w:space="0" w:color="auto"/>
                    <w:right w:val="single" w:sz="4" w:space="0" w:color="auto"/>
                    <w:tl2br w:val="nil"/>
                    <w:tr2bl w:val="nil"/>
                  </w:tcBorders>
                  <w:noWrap/>
                  <w:textDirection w:val="lrTb"/>
                  <w:vAlign w:val="center"/>
                </w:tcPr>
                <w:p w:rsidR="00854617" w:rsidRPr="00854617" w:rsidP="00854617">
                  <w:pPr>
                    <w:spacing w:line="240" w:lineRule="auto"/>
                    <w:jc w:val="right"/>
                    <w:rPr>
                      <w:rFonts w:ascii="Arial Narrow" w:hAnsi="Arial Narrow" w:cs="Arial"/>
                      <w:lang w:eastAsia="sk-SK"/>
                    </w:rPr>
                  </w:pPr>
                  <w:r w:rsidRPr="00854617">
                    <w:rPr>
                      <w:rFonts w:ascii="Arial Narrow" w:hAnsi="Arial Narrow" w:cs="Arial"/>
                      <w:lang w:eastAsia="sk-SK"/>
                    </w:rPr>
                    <w:t>39 829</w:t>
                  </w:r>
                </w:p>
              </w:tc>
            </w:tr>
            <w:tr>
              <w:tblPrEx>
                <w:tblW w:w="10360" w:type="dxa"/>
                <w:tblCellMar>
                  <w:left w:w="70" w:type="dxa"/>
                  <w:right w:w="70" w:type="dxa"/>
                </w:tblCellMar>
              </w:tblPrEx>
              <w:trPr>
                <w:trHeight w:hRule="exact" w:val="284"/>
              </w:trPr>
              <w:tc>
                <w:tcPr>
                  <w:tcW w:w="3582" w:type="dxa"/>
                  <w:tcBorders>
                    <w:top w:val="single" w:sz="4" w:space="0" w:color="auto"/>
                    <w:left w:val="single" w:sz="4" w:space="0" w:color="auto"/>
                    <w:bottom w:val="single" w:sz="4" w:space="0" w:color="auto"/>
                    <w:right w:val="nil"/>
                    <w:tl2br w:val="nil"/>
                    <w:tr2bl w:val="nil"/>
                  </w:tcBorders>
                  <w:noWrap/>
                  <w:textDirection w:val="lrTb"/>
                  <w:vAlign w:val="center"/>
                </w:tcPr>
                <w:p w:rsidR="00854617" w:rsidRPr="00854617" w:rsidP="00854617">
                  <w:pPr>
                    <w:spacing w:line="240" w:lineRule="auto"/>
                    <w:rPr>
                      <w:rFonts w:ascii="Arial Narrow" w:hAnsi="Arial Narrow" w:cs="Arial"/>
                      <w:lang w:eastAsia="sk-SK"/>
                    </w:rPr>
                  </w:pPr>
                  <w:r w:rsidRPr="00854617">
                    <w:rPr>
                      <w:rFonts w:ascii="Arial Narrow" w:hAnsi="Arial Narrow" w:cs="Arial"/>
                      <w:lang w:eastAsia="sk-SK"/>
                    </w:rPr>
                    <w:t xml:space="preserve">03.6.0.5.  Železničná polícia </w:t>
                  </w:r>
                </w:p>
              </w:tc>
              <w:tc>
                <w:tcPr>
                  <w:tcW w:w="1083" w:type="dxa"/>
                  <w:tcBorders>
                    <w:top w:val="single" w:sz="4" w:space="0" w:color="auto"/>
                    <w:left w:val="single" w:sz="8" w:space="0" w:color="auto"/>
                    <w:bottom w:val="single" w:sz="4" w:space="0" w:color="auto"/>
                    <w:right w:val="single" w:sz="8" w:space="0" w:color="auto"/>
                    <w:tl2br w:val="nil"/>
                    <w:tr2bl w:val="nil"/>
                  </w:tcBorders>
                  <w:noWrap/>
                  <w:textDirection w:val="lrTb"/>
                  <w:vAlign w:val="center"/>
                </w:tcPr>
                <w:p w:rsidR="00854617" w:rsidRPr="00854617" w:rsidP="00854617">
                  <w:pPr>
                    <w:spacing w:line="240" w:lineRule="auto"/>
                    <w:jc w:val="right"/>
                    <w:rPr>
                      <w:rFonts w:ascii="Arial Narrow" w:hAnsi="Arial Narrow" w:cs="Arial"/>
                      <w:lang w:eastAsia="sk-SK"/>
                    </w:rPr>
                  </w:pPr>
                  <w:r w:rsidRPr="00854617">
                    <w:rPr>
                      <w:rFonts w:ascii="Arial Narrow" w:hAnsi="Arial Narrow" w:cs="Arial"/>
                      <w:lang w:eastAsia="sk-SK"/>
                    </w:rPr>
                    <w:t>621 024</w:t>
                  </w:r>
                </w:p>
              </w:tc>
              <w:tc>
                <w:tcPr>
                  <w:tcW w:w="1098" w:type="dxa"/>
                  <w:tcBorders>
                    <w:top w:val="single" w:sz="4" w:space="0" w:color="auto"/>
                    <w:left w:val="nil"/>
                    <w:bottom w:val="single" w:sz="4" w:space="0" w:color="auto"/>
                    <w:right w:val="single" w:sz="8" w:space="0" w:color="auto"/>
                    <w:tl2br w:val="nil"/>
                    <w:tr2bl w:val="nil"/>
                  </w:tcBorders>
                  <w:noWrap/>
                  <w:textDirection w:val="lrTb"/>
                  <w:vAlign w:val="center"/>
                </w:tcPr>
                <w:p w:rsidR="00854617" w:rsidRPr="00854617" w:rsidP="00854617">
                  <w:pPr>
                    <w:spacing w:line="240" w:lineRule="auto"/>
                    <w:jc w:val="right"/>
                    <w:rPr>
                      <w:rFonts w:ascii="Arial Narrow" w:hAnsi="Arial Narrow" w:cs="Arial"/>
                      <w:lang w:eastAsia="sk-SK"/>
                    </w:rPr>
                  </w:pPr>
                  <w:r w:rsidRPr="00854617">
                    <w:rPr>
                      <w:rFonts w:ascii="Arial Narrow" w:hAnsi="Arial Narrow" w:cs="Arial"/>
                      <w:lang w:eastAsia="sk-SK"/>
                    </w:rPr>
                    <w:t>621 829</w:t>
                  </w:r>
                </w:p>
              </w:tc>
              <w:tc>
                <w:tcPr>
                  <w:tcW w:w="1191" w:type="dxa"/>
                  <w:tcBorders>
                    <w:top w:val="single" w:sz="4" w:space="0" w:color="auto"/>
                    <w:left w:val="nil"/>
                    <w:bottom w:val="single" w:sz="4" w:space="0" w:color="auto"/>
                    <w:right w:val="single" w:sz="8" w:space="0" w:color="auto"/>
                    <w:tl2br w:val="nil"/>
                    <w:tr2bl w:val="nil"/>
                  </w:tcBorders>
                  <w:noWrap/>
                  <w:textDirection w:val="lrTb"/>
                  <w:vAlign w:val="center"/>
                </w:tcPr>
                <w:p w:rsidR="00854617" w:rsidRPr="00854617" w:rsidP="00854617">
                  <w:pPr>
                    <w:spacing w:line="240" w:lineRule="auto"/>
                    <w:jc w:val="right"/>
                    <w:rPr>
                      <w:rFonts w:ascii="Arial Narrow" w:hAnsi="Arial Narrow" w:cs="Arial"/>
                      <w:lang w:eastAsia="sk-SK"/>
                    </w:rPr>
                  </w:pPr>
                  <w:r w:rsidRPr="00854617">
                    <w:rPr>
                      <w:rFonts w:ascii="Arial Narrow" w:hAnsi="Arial Narrow" w:cs="Arial"/>
                      <w:lang w:eastAsia="sk-SK"/>
                    </w:rPr>
                    <w:t>20 723</w:t>
                  </w:r>
                </w:p>
              </w:tc>
              <w:tc>
                <w:tcPr>
                  <w:tcW w:w="1081" w:type="dxa"/>
                  <w:tcBorders>
                    <w:top w:val="single" w:sz="4" w:space="0" w:color="auto"/>
                    <w:left w:val="nil"/>
                    <w:bottom w:val="single" w:sz="4" w:space="0" w:color="auto"/>
                    <w:right w:val="single" w:sz="8" w:space="0" w:color="auto"/>
                    <w:tl2br w:val="nil"/>
                    <w:tr2bl w:val="nil"/>
                  </w:tcBorders>
                  <w:noWrap/>
                  <w:textDirection w:val="lrTb"/>
                  <w:vAlign w:val="center"/>
                </w:tcPr>
                <w:p w:rsidR="00854617" w:rsidRPr="00854617" w:rsidP="00854617">
                  <w:pPr>
                    <w:spacing w:line="240" w:lineRule="auto"/>
                    <w:jc w:val="right"/>
                    <w:rPr>
                      <w:rFonts w:ascii="Arial Narrow" w:hAnsi="Arial Narrow" w:cs="Arial"/>
                      <w:lang w:eastAsia="sk-SK"/>
                    </w:rPr>
                  </w:pPr>
                  <w:r w:rsidRPr="00854617">
                    <w:rPr>
                      <w:rFonts w:ascii="Arial Narrow" w:hAnsi="Arial Narrow" w:cs="Arial"/>
                      <w:lang w:eastAsia="sk-SK"/>
                    </w:rPr>
                    <w:t>20 723</w:t>
                  </w:r>
                </w:p>
              </w:tc>
              <w:tc>
                <w:tcPr>
                  <w:tcW w:w="1047" w:type="dxa"/>
                  <w:tcBorders>
                    <w:top w:val="single" w:sz="4" w:space="0" w:color="auto"/>
                    <w:left w:val="nil"/>
                    <w:bottom w:val="single" w:sz="4" w:space="0" w:color="auto"/>
                    <w:right w:val="single" w:sz="8" w:space="0" w:color="auto"/>
                    <w:tl2br w:val="nil"/>
                    <w:tr2bl w:val="nil"/>
                  </w:tcBorders>
                  <w:noWrap/>
                  <w:textDirection w:val="lrTb"/>
                  <w:vAlign w:val="center"/>
                </w:tcPr>
                <w:p w:rsidR="00854617" w:rsidRPr="00854617" w:rsidP="00854617">
                  <w:pPr>
                    <w:spacing w:line="240" w:lineRule="auto"/>
                    <w:jc w:val="right"/>
                    <w:rPr>
                      <w:rFonts w:ascii="Arial Narrow" w:hAnsi="Arial Narrow" w:cs="Arial"/>
                      <w:lang w:eastAsia="sk-SK"/>
                    </w:rPr>
                  </w:pPr>
                  <w:r w:rsidRPr="00854617">
                    <w:rPr>
                      <w:rFonts w:ascii="Arial Narrow" w:hAnsi="Arial Narrow" w:cs="Arial"/>
                      <w:lang w:eastAsia="sk-SK"/>
                    </w:rPr>
                    <w:t>641 747</w:t>
                  </w:r>
                </w:p>
              </w:tc>
              <w:tc>
                <w:tcPr>
                  <w:tcW w:w="1278" w:type="dxa"/>
                  <w:tcBorders>
                    <w:top w:val="single" w:sz="4" w:space="0" w:color="auto"/>
                    <w:left w:val="nil"/>
                    <w:bottom w:val="single" w:sz="4" w:space="0" w:color="auto"/>
                    <w:right w:val="single" w:sz="4" w:space="0" w:color="auto"/>
                    <w:tl2br w:val="nil"/>
                    <w:tr2bl w:val="nil"/>
                  </w:tcBorders>
                  <w:noWrap/>
                  <w:textDirection w:val="lrTb"/>
                  <w:vAlign w:val="center"/>
                </w:tcPr>
                <w:p w:rsidR="00854617" w:rsidRPr="00854617" w:rsidP="00854617">
                  <w:pPr>
                    <w:spacing w:line="240" w:lineRule="auto"/>
                    <w:jc w:val="right"/>
                    <w:rPr>
                      <w:rFonts w:ascii="Arial Narrow" w:hAnsi="Arial Narrow" w:cs="Arial"/>
                      <w:lang w:eastAsia="sk-SK"/>
                    </w:rPr>
                  </w:pPr>
                  <w:r w:rsidRPr="00854617">
                    <w:rPr>
                      <w:rFonts w:ascii="Arial Narrow" w:hAnsi="Arial Narrow" w:cs="Arial"/>
                      <w:lang w:eastAsia="sk-SK"/>
                    </w:rPr>
                    <w:t>642 552</w:t>
                  </w:r>
                </w:p>
              </w:tc>
            </w:tr>
            <w:tr>
              <w:tblPrEx>
                <w:tblW w:w="10360" w:type="dxa"/>
                <w:tblCellMar>
                  <w:left w:w="70" w:type="dxa"/>
                  <w:right w:w="70" w:type="dxa"/>
                </w:tblCellMar>
              </w:tblPrEx>
              <w:trPr>
                <w:trHeight w:hRule="exact" w:val="284"/>
              </w:trPr>
              <w:tc>
                <w:tcPr>
                  <w:tcW w:w="3582" w:type="dxa"/>
                  <w:tcBorders>
                    <w:top w:val="single" w:sz="4" w:space="0" w:color="auto"/>
                    <w:left w:val="single" w:sz="4" w:space="0" w:color="auto"/>
                    <w:bottom w:val="single" w:sz="4" w:space="0" w:color="auto"/>
                    <w:right w:val="nil"/>
                    <w:tl2br w:val="nil"/>
                    <w:tr2bl w:val="nil"/>
                  </w:tcBorders>
                  <w:noWrap/>
                  <w:textDirection w:val="lrTb"/>
                  <w:vAlign w:val="center"/>
                </w:tcPr>
                <w:p w:rsidR="00854617" w:rsidRPr="00854617" w:rsidP="00854617">
                  <w:pPr>
                    <w:spacing w:line="240" w:lineRule="auto"/>
                    <w:rPr>
                      <w:rFonts w:ascii="Arial Narrow" w:hAnsi="Arial Narrow" w:cs="Arial"/>
                      <w:lang w:eastAsia="sk-SK"/>
                    </w:rPr>
                  </w:pPr>
                  <w:r w:rsidRPr="00854617">
                    <w:rPr>
                      <w:rFonts w:ascii="Arial Narrow" w:hAnsi="Arial Narrow" w:cs="Arial"/>
                      <w:lang w:eastAsia="sk-SK"/>
                    </w:rPr>
                    <w:t>v rámci 04.5.1. KÚ pre CD a PK – Spolu</w:t>
                  </w:r>
                </w:p>
              </w:tc>
              <w:tc>
                <w:tcPr>
                  <w:tcW w:w="1083" w:type="dxa"/>
                  <w:tcBorders>
                    <w:top w:val="single" w:sz="4" w:space="0" w:color="auto"/>
                    <w:left w:val="single" w:sz="8" w:space="0" w:color="auto"/>
                    <w:bottom w:val="single" w:sz="4" w:space="0" w:color="auto"/>
                    <w:right w:val="single" w:sz="8" w:space="0" w:color="auto"/>
                    <w:tl2br w:val="nil"/>
                    <w:tr2bl w:val="nil"/>
                  </w:tcBorders>
                  <w:noWrap/>
                  <w:textDirection w:val="lrTb"/>
                  <w:vAlign w:val="center"/>
                </w:tcPr>
                <w:p w:rsidR="00854617" w:rsidRPr="00854617" w:rsidP="00854617">
                  <w:pPr>
                    <w:spacing w:line="240" w:lineRule="auto"/>
                    <w:jc w:val="right"/>
                    <w:rPr>
                      <w:rFonts w:ascii="Arial Narrow" w:hAnsi="Arial Narrow" w:cs="Arial"/>
                      <w:lang w:eastAsia="sk-SK"/>
                    </w:rPr>
                  </w:pPr>
                  <w:r w:rsidRPr="00854617">
                    <w:rPr>
                      <w:rFonts w:ascii="Arial Narrow" w:hAnsi="Arial Narrow" w:cs="Arial"/>
                      <w:lang w:eastAsia="sk-SK"/>
                    </w:rPr>
                    <w:t>186 520</w:t>
                  </w:r>
                </w:p>
              </w:tc>
              <w:tc>
                <w:tcPr>
                  <w:tcW w:w="1098" w:type="dxa"/>
                  <w:tcBorders>
                    <w:top w:val="single" w:sz="4" w:space="0" w:color="auto"/>
                    <w:left w:val="nil"/>
                    <w:bottom w:val="single" w:sz="4" w:space="0" w:color="auto"/>
                    <w:right w:val="single" w:sz="8" w:space="0" w:color="auto"/>
                    <w:tl2br w:val="nil"/>
                    <w:tr2bl w:val="nil"/>
                  </w:tcBorders>
                  <w:noWrap/>
                  <w:textDirection w:val="lrTb"/>
                  <w:vAlign w:val="center"/>
                </w:tcPr>
                <w:p w:rsidR="00854617" w:rsidRPr="00854617" w:rsidP="00854617">
                  <w:pPr>
                    <w:spacing w:line="240" w:lineRule="auto"/>
                    <w:jc w:val="right"/>
                    <w:rPr>
                      <w:rFonts w:ascii="Arial Narrow" w:hAnsi="Arial Narrow" w:cs="Arial"/>
                      <w:lang w:eastAsia="sk-SK"/>
                    </w:rPr>
                  </w:pPr>
                  <w:r w:rsidRPr="00854617">
                    <w:rPr>
                      <w:rFonts w:ascii="Arial Narrow" w:hAnsi="Arial Narrow" w:cs="Arial"/>
                      <w:lang w:eastAsia="sk-SK"/>
                    </w:rPr>
                    <w:t>186 339</w:t>
                  </w:r>
                </w:p>
              </w:tc>
              <w:tc>
                <w:tcPr>
                  <w:tcW w:w="1191" w:type="dxa"/>
                  <w:tcBorders>
                    <w:top w:val="single" w:sz="4" w:space="0" w:color="auto"/>
                    <w:left w:val="nil"/>
                    <w:bottom w:val="single" w:sz="4" w:space="0" w:color="auto"/>
                    <w:right w:val="single" w:sz="8" w:space="0" w:color="auto"/>
                    <w:tl2br w:val="nil"/>
                    <w:tr2bl w:val="nil"/>
                  </w:tcBorders>
                  <w:noWrap/>
                  <w:textDirection w:val="lrTb"/>
                  <w:vAlign w:val="center"/>
                </w:tcPr>
                <w:p w:rsidR="00854617" w:rsidRPr="00854617" w:rsidP="00854617">
                  <w:pPr>
                    <w:spacing w:line="240" w:lineRule="auto"/>
                    <w:jc w:val="right"/>
                    <w:rPr>
                      <w:rFonts w:ascii="Arial Narrow" w:hAnsi="Arial Narrow" w:cs="Arial"/>
                      <w:lang w:eastAsia="sk-SK"/>
                    </w:rPr>
                  </w:pPr>
                  <w:r w:rsidRPr="00854617">
                    <w:rPr>
                      <w:rFonts w:ascii="Arial Narrow" w:hAnsi="Arial Narrow" w:cs="Arial"/>
                      <w:lang w:eastAsia="sk-SK"/>
                    </w:rPr>
                    <w:t>5 308</w:t>
                  </w:r>
                </w:p>
              </w:tc>
              <w:tc>
                <w:tcPr>
                  <w:tcW w:w="1081" w:type="dxa"/>
                  <w:tcBorders>
                    <w:top w:val="single" w:sz="4" w:space="0" w:color="auto"/>
                    <w:left w:val="nil"/>
                    <w:bottom w:val="single" w:sz="4" w:space="0" w:color="auto"/>
                    <w:right w:val="single" w:sz="8" w:space="0" w:color="auto"/>
                    <w:tl2br w:val="nil"/>
                    <w:tr2bl w:val="nil"/>
                  </w:tcBorders>
                  <w:noWrap/>
                  <w:textDirection w:val="lrTb"/>
                  <w:vAlign w:val="center"/>
                </w:tcPr>
                <w:p w:rsidR="00854617" w:rsidRPr="00854617" w:rsidP="00854617">
                  <w:pPr>
                    <w:spacing w:line="240" w:lineRule="auto"/>
                    <w:jc w:val="right"/>
                    <w:rPr>
                      <w:rFonts w:ascii="Arial Narrow" w:hAnsi="Arial Narrow" w:cs="Arial"/>
                      <w:lang w:eastAsia="sk-SK"/>
                    </w:rPr>
                  </w:pPr>
                  <w:r w:rsidRPr="00854617">
                    <w:rPr>
                      <w:rFonts w:ascii="Arial Narrow" w:hAnsi="Arial Narrow" w:cs="Arial"/>
                      <w:lang w:eastAsia="sk-SK"/>
                    </w:rPr>
                    <w:t>5 308</w:t>
                  </w:r>
                </w:p>
              </w:tc>
              <w:tc>
                <w:tcPr>
                  <w:tcW w:w="1047" w:type="dxa"/>
                  <w:tcBorders>
                    <w:top w:val="single" w:sz="4" w:space="0" w:color="auto"/>
                    <w:left w:val="nil"/>
                    <w:bottom w:val="single" w:sz="4" w:space="0" w:color="auto"/>
                    <w:right w:val="single" w:sz="8" w:space="0" w:color="auto"/>
                    <w:tl2br w:val="nil"/>
                    <w:tr2bl w:val="nil"/>
                  </w:tcBorders>
                  <w:noWrap/>
                  <w:textDirection w:val="lrTb"/>
                  <w:vAlign w:val="center"/>
                </w:tcPr>
                <w:p w:rsidR="00854617" w:rsidRPr="00854617" w:rsidP="00854617">
                  <w:pPr>
                    <w:spacing w:line="240" w:lineRule="auto"/>
                    <w:jc w:val="right"/>
                    <w:rPr>
                      <w:rFonts w:ascii="Arial Narrow" w:hAnsi="Arial Narrow" w:cs="Arial"/>
                      <w:lang w:eastAsia="sk-SK"/>
                    </w:rPr>
                  </w:pPr>
                  <w:r w:rsidRPr="00854617">
                    <w:rPr>
                      <w:rFonts w:ascii="Arial Narrow" w:hAnsi="Arial Narrow" w:cs="Arial"/>
                      <w:lang w:eastAsia="sk-SK"/>
                    </w:rPr>
                    <w:t>191 828</w:t>
                  </w:r>
                </w:p>
              </w:tc>
              <w:tc>
                <w:tcPr>
                  <w:tcW w:w="1278" w:type="dxa"/>
                  <w:tcBorders>
                    <w:top w:val="single" w:sz="4" w:space="0" w:color="auto"/>
                    <w:left w:val="nil"/>
                    <w:bottom w:val="single" w:sz="4" w:space="0" w:color="auto"/>
                    <w:right w:val="single" w:sz="4" w:space="0" w:color="auto"/>
                    <w:tl2br w:val="nil"/>
                    <w:tr2bl w:val="nil"/>
                  </w:tcBorders>
                  <w:noWrap/>
                  <w:textDirection w:val="lrTb"/>
                  <w:vAlign w:val="center"/>
                </w:tcPr>
                <w:p w:rsidR="00854617" w:rsidRPr="00854617" w:rsidP="00854617">
                  <w:pPr>
                    <w:spacing w:line="240" w:lineRule="auto"/>
                    <w:jc w:val="right"/>
                    <w:rPr>
                      <w:rFonts w:ascii="Arial Narrow" w:hAnsi="Arial Narrow" w:cs="Arial"/>
                      <w:lang w:eastAsia="sk-SK"/>
                    </w:rPr>
                  </w:pPr>
                  <w:r w:rsidRPr="00854617">
                    <w:rPr>
                      <w:rFonts w:ascii="Arial Narrow" w:hAnsi="Arial Narrow" w:cs="Arial"/>
                      <w:lang w:eastAsia="sk-SK"/>
                    </w:rPr>
                    <w:t>191 647</w:t>
                  </w:r>
                </w:p>
              </w:tc>
            </w:tr>
            <w:tr>
              <w:tblPrEx>
                <w:tblW w:w="10360" w:type="dxa"/>
                <w:tblCellMar>
                  <w:left w:w="70" w:type="dxa"/>
                  <w:right w:w="70" w:type="dxa"/>
                </w:tblCellMar>
              </w:tblPrEx>
              <w:trPr>
                <w:trHeight w:hRule="exact" w:val="284"/>
              </w:trPr>
              <w:tc>
                <w:tcPr>
                  <w:tcW w:w="3582" w:type="dxa"/>
                  <w:tcBorders>
                    <w:top w:val="single" w:sz="4" w:space="0" w:color="auto"/>
                    <w:left w:val="single" w:sz="4" w:space="0" w:color="auto"/>
                    <w:bottom w:val="single" w:sz="4" w:space="0" w:color="auto"/>
                    <w:right w:val="nil"/>
                    <w:tl2br w:val="nil"/>
                    <w:tr2bl w:val="nil"/>
                  </w:tcBorders>
                  <w:noWrap/>
                  <w:textDirection w:val="lrTb"/>
                  <w:vAlign w:val="center"/>
                </w:tcPr>
                <w:p w:rsidR="00854617" w:rsidRPr="00854617" w:rsidP="00854617">
                  <w:pPr>
                    <w:spacing w:line="240" w:lineRule="auto"/>
                    <w:rPr>
                      <w:rFonts w:ascii="Arial Narrow" w:hAnsi="Arial Narrow" w:cs="Arial"/>
                      <w:lang w:eastAsia="sk-SK"/>
                    </w:rPr>
                  </w:pPr>
                  <w:r w:rsidRPr="00854617">
                    <w:rPr>
                      <w:rFonts w:ascii="Arial Narrow" w:hAnsi="Arial Narrow" w:cs="Arial"/>
                      <w:lang w:eastAsia="sk-SK"/>
                    </w:rPr>
                    <w:t>KÚ</w:t>
                  </w:r>
                  <w:r w:rsidRPr="00854617">
                    <w:rPr>
                      <w:rFonts w:ascii="Arial Narrow" w:hAnsi="Arial Narrow" w:cs="Arial"/>
                      <w:lang w:eastAsia="sk-SK"/>
                    </w:rPr>
                    <w:t xml:space="preserve"> pre CD a PK Bratislava </w:t>
                  </w:r>
                </w:p>
              </w:tc>
              <w:tc>
                <w:tcPr>
                  <w:tcW w:w="1083" w:type="dxa"/>
                  <w:tcBorders>
                    <w:top w:val="single" w:sz="4" w:space="0" w:color="auto"/>
                    <w:left w:val="single" w:sz="8" w:space="0" w:color="auto"/>
                    <w:bottom w:val="single" w:sz="4" w:space="0" w:color="auto"/>
                    <w:right w:val="single" w:sz="8" w:space="0" w:color="auto"/>
                    <w:tl2br w:val="nil"/>
                    <w:tr2bl w:val="nil"/>
                  </w:tcBorders>
                  <w:noWrap/>
                  <w:textDirection w:val="lrTb"/>
                  <w:vAlign w:val="center"/>
                </w:tcPr>
                <w:p w:rsidR="00854617" w:rsidRPr="00854617" w:rsidP="00854617">
                  <w:pPr>
                    <w:spacing w:line="240" w:lineRule="auto"/>
                    <w:jc w:val="right"/>
                    <w:rPr>
                      <w:rFonts w:ascii="Arial Narrow" w:hAnsi="Arial Narrow" w:cs="Arial"/>
                      <w:lang w:eastAsia="sk-SK"/>
                    </w:rPr>
                  </w:pPr>
                  <w:r w:rsidRPr="00854617">
                    <w:rPr>
                      <w:rFonts w:ascii="Arial Narrow" w:hAnsi="Arial Narrow" w:cs="Arial"/>
                      <w:lang w:eastAsia="sk-SK"/>
                    </w:rPr>
                    <w:t>23 621</w:t>
                  </w:r>
                </w:p>
              </w:tc>
              <w:tc>
                <w:tcPr>
                  <w:tcW w:w="1098" w:type="dxa"/>
                  <w:tcBorders>
                    <w:top w:val="single" w:sz="4" w:space="0" w:color="auto"/>
                    <w:left w:val="nil"/>
                    <w:bottom w:val="single" w:sz="4" w:space="0" w:color="auto"/>
                    <w:right w:val="single" w:sz="8" w:space="0" w:color="auto"/>
                    <w:tl2br w:val="nil"/>
                    <w:tr2bl w:val="nil"/>
                  </w:tcBorders>
                  <w:noWrap/>
                  <w:textDirection w:val="lrTb"/>
                  <w:vAlign w:val="center"/>
                </w:tcPr>
                <w:p w:rsidR="00854617" w:rsidRPr="00854617" w:rsidP="00854617">
                  <w:pPr>
                    <w:spacing w:line="240" w:lineRule="auto"/>
                    <w:jc w:val="right"/>
                    <w:rPr>
                      <w:rFonts w:ascii="Arial Narrow" w:hAnsi="Arial Narrow" w:cs="Arial"/>
                      <w:lang w:eastAsia="sk-SK"/>
                    </w:rPr>
                  </w:pPr>
                  <w:r w:rsidRPr="00854617">
                    <w:rPr>
                      <w:rFonts w:ascii="Arial Narrow" w:hAnsi="Arial Narrow" w:cs="Arial"/>
                      <w:lang w:eastAsia="sk-SK"/>
                    </w:rPr>
                    <w:t>23 549</w:t>
                  </w:r>
                </w:p>
              </w:tc>
              <w:tc>
                <w:tcPr>
                  <w:tcW w:w="1191" w:type="dxa"/>
                  <w:tcBorders>
                    <w:top w:val="single" w:sz="4" w:space="0" w:color="auto"/>
                    <w:left w:val="nil"/>
                    <w:bottom w:val="single" w:sz="4" w:space="0" w:color="auto"/>
                    <w:right w:val="single" w:sz="8" w:space="0" w:color="auto"/>
                    <w:tl2br w:val="nil"/>
                    <w:tr2bl w:val="nil"/>
                  </w:tcBorders>
                  <w:noWrap/>
                  <w:textDirection w:val="lrTb"/>
                  <w:vAlign w:val="center"/>
                </w:tcPr>
                <w:p w:rsidR="00854617" w:rsidRPr="00854617" w:rsidP="00854617">
                  <w:pPr>
                    <w:spacing w:line="240" w:lineRule="auto"/>
                    <w:jc w:val="right"/>
                    <w:rPr>
                      <w:rFonts w:ascii="Arial Narrow" w:hAnsi="Arial Narrow" w:cs="Arial"/>
                      <w:lang w:eastAsia="sk-SK"/>
                    </w:rPr>
                  </w:pPr>
                  <w:r w:rsidRPr="00854617">
                    <w:rPr>
                      <w:rFonts w:ascii="Arial Narrow" w:hAnsi="Arial Narrow" w:cs="Arial"/>
                      <w:lang w:eastAsia="sk-SK"/>
                    </w:rPr>
                    <w:t>500</w:t>
                  </w:r>
                </w:p>
              </w:tc>
              <w:tc>
                <w:tcPr>
                  <w:tcW w:w="1081" w:type="dxa"/>
                  <w:tcBorders>
                    <w:top w:val="single" w:sz="4" w:space="0" w:color="auto"/>
                    <w:left w:val="nil"/>
                    <w:bottom w:val="single" w:sz="4" w:space="0" w:color="auto"/>
                    <w:right w:val="single" w:sz="8" w:space="0" w:color="auto"/>
                    <w:tl2br w:val="nil"/>
                    <w:tr2bl w:val="nil"/>
                  </w:tcBorders>
                  <w:noWrap/>
                  <w:textDirection w:val="lrTb"/>
                  <w:vAlign w:val="center"/>
                </w:tcPr>
                <w:p w:rsidR="00854617" w:rsidRPr="00854617" w:rsidP="00854617">
                  <w:pPr>
                    <w:spacing w:line="240" w:lineRule="auto"/>
                    <w:jc w:val="right"/>
                    <w:rPr>
                      <w:rFonts w:ascii="Arial Narrow" w:hAnsi="Arial Narrow" w:cs="Arial"/>
                      <w:lang w:eastAsia="sk-SK"/>
                    </w:rPr>
                  </w:pPr>
                  <w:r w:rsidRPr="00854617">
                    <w:rPr>
                      <w:rFonts w:ascii="Arial Narrow" w:hAnsi="Arial Narrow" w:cs="Arial"/>
                      <w:lang w:eastAsia="sk-SK"/>
                    </w:rPr>
                    <w:t>500</w:t>
                  </w:r>
                </w:p>
              </w:tc>
              <w:tc>
                <w:tcPr>
                  <w:tcW w:w="1047" w:type="dxa"/>
                  <w:tcBorders>
                    <w:top w:val="single" w:sz="4" w:space="0" w:color="auto"/>
                    <w:left w:val="nil"/>
                    <w:bottom w:val="single" w:sz="4" w:space="0" w:color="auto"/>
                    <w:right w:val="single" w:sz="8" w:space="0" w:color="auto"/>
                    <w:tl2br w:val="nil"/>
                    <w:tr2bl w:val="nil"/>
                  </w:tcBorders>
                  <w:noWrap/>
                  <w:textDirection w:val="lrTb"/>
                  <w:vAlign w:val="center"/>
                </w:tcPr>
                <w:p w:rsidR="00854617" w:rsidRPr="00854617" w:rsidP="00854617">
                  <w:pPr>
                    <w:spacing w:line="240" w:lineRule="auto"/>
                    <w:jc w:val="right"/>
                    <w:rPr>
                      <w:rFonts w:ascii="Arial Narrow" w:hAnsi="Arial Narrow" w:cs="Arial"/>
                      <w:lang w:eastAsia="sk-SK"/>
                    </w:rPr>
                  </w:pPr>
                  <w:r w:rsidRPr="00854617">
                    <w:rPr>
                      <w:rFonts w:ascii="Arial Narrow" w:hAnsi="Arial Narrow" w:cs="Arial"/>
                      <w:lang w:eastAsia="sk-SK"/>
                    </w:rPr>
                    <w:t>24 121</w:t>
                  </w:r>
                </w:p>
              </w:tc>
              <w:tc>
                <w:tcPr>
                  <w:tcW w:w="1278" w:type="dxa"/>
                  <w:tcBorders>
                    <w:top w:val="single" w:sz="4" w:space="0" w:color="auto"/>
                    <w:left w:val="nil"/>
                    <w:bottom w:val="single" w:sz="4" w:space="0" w:color="auto"/>
                    <w:right w:val="single" w:sz="4" w:space="0" w:color="auto"/>
                    <w:tl2br w:val="nil"/>
                    <w:tr2bl w:val="nil"/>
                  </w:tcBorders>
                  <w:noWrap/>
                  <w:textDirection w:val="lrTb"/>
                  <w:vAlign w:val="center"/>
                </w:tcPr>
                <w:p w:rsidR="00854617" w:rsidRPr="00854617" w:rsidP="00854617">
                  <w:pPr>
                    <w:spacing w:line="240" w:lineRule="auto"/>
                    <w:jc w:val="right"/>
                    <w:rPr>
                      <w:rFonts w:ascii="Arial Narrow" w:hAnsi="Arial Narrow" w:cs="Arial"/>
                      <w:lang w:eastAsia="sk-SK"/>
                    </w:rPr>
                  </w:pPr>
                  <w:r w:rsidRPr="00854617">
                    <w:rPr>
                      <w:rFonts w:ascii="Arial Narrow" w:hAnsi="Arial Narrow" w:cs="Arial"/>
                      <w:lang w:eastAsia="sk-SK"/>
                    </w:rPr>
                    <w:t>24 049</w:t>
                  </w:r>
                </w:p>
              </w:tc>
            </w:tr>
            <w:tr>
              <w:tblPrEx>
                <w:tblW w:w="10360" w:type="dxa"/>
                <w:tblCellMar>
                  <w:left w:w="70" w:type="dxa"/>
                  <w:right w:w="70" w:type="dxa"/>
                </w:tblCellMar>
              </w:tblPrEx>
              <w:trPr>
                <w:trHeight w:hRule="exact" w:val="284"/>
              </w:trPr>
              <w:tc>
                <w:tcPr>
                  <w:tcW w:w="3582" w:type="dxa"/>
                  <w:tcBorders>
                    <w:top w:val="single" w:sz="4" w:space="0" w:color="auto"/>
                    <w:left w:val="single" w:sz="4" w:space="0" w:color="auto"/>
                    <w:bottom w:val="single" w:sz="4" w:space="0" w:color="auto"/>
                    <w:right w:val="nil"/>
                    <w:tl2br w:val="nil"/>
                    <w:tr2bl w:val="nil"/>
                  </w:tcBorders>
                  <w:noWrap/>
                  <w:textDirection w:val="lrTb"/>
                  <w:vAlign w:val="center"/>
                </w:tcPr>
                <w:p w:rsidR="00854617" w:rsidRPr="00854617" w:rsidP="00854617">
                  <w:pPr>
                    <w:spacing w:line="240" w:lineRule="auto"/>
                    <w:rPr>
                      <w:rFonts w:ascii="Arial Narrow" w:hAnsi="Arial Narrow" w:cs="Arial"/>
                      <w:lang w:eastAsia="sk-SK"/>
                    </w:rPr>
                  </w:pPr>
                  <w:r w:rsidRPr="00854617">
                    <w:rPr>
                      <w:rFonts w:ascii="Arial Narrow" w:hAnsi="Arial Narrow" w:cs="Arial"/>
                      <w:lang w:eastAsia="sk-SK"/>
                    </w:rPr>
                    <w:t xml:space="preserve">KÚ pre CD a PK Trnava </w:t>
                  </w:r>
                </w:p>
              </w:tc>
              <w:tc>
                <w:tcPr>
                  <w:tcW w:w="1083" w:type="dxa"/>
                  <w:tcBorders>
                    <w:top w:val="single" w:sz="4" w:space="0" w:color="auto"/>
                    <w:left w:val="single" w:sz="8" w:space="0" w:color="auto"/>
                    <w:bottom w:val="single" w:sz="4" w:space="0" w:color="auto"/>
                    <w:right w:val="single" w:sz="8" w:space="0" w:color="auto"/>
                    <w:tl2br w:val="nil"/>
                    <w:tr2bl w:val="nil"/>
                  </w:tcBorders>
                  <w:noWrap/>
                  <w:textDirection w:val="lrTb"/>
                  <w:vAlign w:val="center"/>
                </w:tcPr>
                <w:p w:rsidR="00854617" w:rsidRPr="00854617" w:rsidP="00854617">
                  <w:pPr>
                    <w:spacing w:line="240" w:lineRule="auto"/>
                    <w:jc w:val="right"/>
                    <w:rPr>
                      <w:rFonts w:ascii="Arial Narrow" w:hAnsi="Arial Narrow" w:cs="Arial"/>
                      <w:lang w:eastAsia="sk-SK"/>
                    </w:rPr>
                  </w:pPr>
                  <w:r w:rsidRPr="00854617">
                    <w:rPr>
                      <w:rFonts w:ascii="Arial Narrow" w:hAnsi="Arial Narrow" w:cs="Arial"/>
                      <w:lang w:eastAsia="sk-SK"/>
                    </w:rPr>
                    <w:t>19 121</w:t>
                  </w:r>
                </w:p>
              </w:tc>
              <w:tc>
                <w:tcPr>
                  <w:tcW w:w="1098" w:type="dxa"/>
                  <w:tcBorders>
                    <w:top w:val="single" w:sz="4" w:space="0" w:color="auto"/>
                    <w:left w:val="nil"/>
                    <w:bottom w:val="single" w:sz="4" w:space="0" w:color="auto"/>
                    <w:right w:val="single" w:sz="8" w:space="0" w:color="auto"/>
                    <w:tl2br w:val="nil"/>
                    <w:tr2bl w:val="nil"/>
                  </w:tcBorders>
                  <w:noWrap/>
                  <w:textDirection w:val="lrTb"/>
                  <w:vAlign w:val="center"/>
                </w:tcPr>
                <w:p w:rsidR="00854617" w:rsidRPr="00854617" w:rsidP="00854617">
                  <w:pPr>
                    <w:spacing w:line="240" w:lineRule="auto"/>
                    <w:jc w:val="right"/>
                    <w:rPr>
                      <w:rFonts w:ascii="Arial Narrow" w:hAnsi="Arial Narrow" w:cs="Arial"/>
                      <w:lang w:eastAsia="sk-SK"/>
                    </w:rPr>
                  </w:pPr>
                  <w:r w:rsidRPr="00854617">
                    <w:rPr>
                      <w:rFonts w:ascii="Arial Narrow" w:hAnsi="Arial Narrow" w:cs="Arial"/>
                      <w:lang w:eastAsia="sk-SK"/>
                    </w:rPr>
                    <w:t>19 115</w:t>
                  </w:r>
                </w:p>
              </w:tc>
              <w:tc>
                <w:tcPr>
                  <w:tcW w:w="1191" w:type="dxa"/>
                  <w:tcBorders>
                    <w:top w:val="single" w:sz="4" w:space="0" w:color="auto"/>
                    <w:left w:val="nil"/>
                    <w:bottom w:val="single" w:sz="4" w:space="0" w:color="auto"/>
                    <w:right w:val="single" w:sz="8" w:space="0" w:color="auto"/>
                    <w:tl2br w:val="nil"/>
                    <w:tr2bl w:val="nil"/>
                  </w:tcBorders>
                  <w:noWrap/>
                  <w:textDirection w:val="lrTb"/>
                  <w:vAlign w:val="center"/>
                </w:tcPr>
                <w:p w:rsidR="00854617" w:rsidRPr="00854617" w:rsidP="00854617">
                  <w:pPr>
                    <w:spacing w:line="240" w:lineRule="auto"/>
                    <w:jc w:val="right"/>
                    <w:rPr>
                      <w:rFonts w:ascii="Arial Narrow" w:hAnsi="Arial Narrow" w:cs="Arial"/>
                      <w:lang w:eastAsia="sk-SK"/>
                    </w:rPr>
                  </w:pPr>
                  <w:r w:rsidRPr="00854617">
                    <w:rPr>
                      <w:rFonts w:ascii="Arial Narrow" w:hAnsi="Arial Narrow" w:cs="Arial"/>
                      <w:lang w:eastAsia="sk-SK"/>
                    </w:rPr>
                    <w:t>782</w:t>
                  </w:r>
                </w:p>
              </w:tc>
              <w:tc>
                <w:tcPr>
                  <w:tcW w:w="1081" w:type="dxa"/>
                  <w:tcBorders>
                    <w:top w:val="single" w:sz="4" w:space="0" w:color="auto"/>
                    <w:left w:val="nil"/>
                    <w:bottom w:val="single" w:sz="4" w:space="0" w:color="auto"/>
                    <w:right w:val="single" w:sz="8" w:space="0" w:color="auto"/>
                    <w:tl2br w:val="nil"/>
                    <w:tr2bl w:val="nil"/>
                  </w:tcBorders>
                  <w:noWrap/>
                  <w:textDirection w:val="lrTb"/>
                  <w:vAlign w:val="center"/>
                </w:tcPr>
                <w:p w:rsidR="00854617" w:rsidRPr="00854617" w:rsidP="00854617">
                  <w:pPr>
                    <w:spacing w:line="240" w:lineRule="auto"/>
                    <w:jc w:val="right"/>
                    <w:rPr>
                      <w:rFonts w:ascii="Arial Narrow" w:hAnsi="Arial Narrow" w:cs="Arial"/>
                      <w:lang w:eastAsia="sk-SK"/>
                    </w:rPr>
                  </w:pPr>
                  <w:r w:rsidRPr="00854617">
                    <w:rPr>
                      <w:rFonts w:ascii="Arial Narrow" w:hAnsi="Arial Narrow" w:cs="Arial"/>
                      <w:lang w:eastAsia="sk-SK"/>
                    </w:rPr>
                    <w:t>782</w:t>
                  </w:r>
                </w:p>
              </w:tc>
              <w:tc>
                <w:tcPr>
                  <w:tcW w:w="1047" w:type="dxa"/>
                  <w:tcBorders>
                    <w:top w:val="single" w:sz="4" w:space="0" w:color="auto"/>
                    <w:left w:val="nil"/>
                    <w:bottom w:val="single" w:sz="4" w:space="0" w:color="auto"/>
                    <w:right w:val="single" w:sz="8" w:space="0" w:color="auto"/>
                    <w:tl2br w:val="nil"/>
                    <w:tr2bl w:val="nil"/>
                  </w:tcBorders>
                  <w:noWrap/>
                  <w:textDirection w:val="lrTb"/>
                  <w:vAlign w:val="center"/>
                </w:tcPr>
                <w:p w:rsidR="00854617" w:rsidRPr="00854617" w:rsidP="00854617">
                  <w:pPr>
                    <w:spacing w:line="240" w:lineRule="auto"/>
                    <w:jc w:val="right"/>
                    <w:rPr>
                      <w:rFonts w:ascii="Arial Narrow" w:hAnsi="Arial Narrow" w:cs="Arial"/>
                      <w:lang w:eastAsia="sk-SK"/>
                    </w:rPr>
                  </w:pPr>
                  <w:r w:rsidRPr="00854617">
                    <w:rPr>
                      <w:rFonts w:ascii="Arial Narrow" w:hAnsi="Arial Narrow" w:cs="Arial"/>
                      <w:lang w:eastAsia="sk-SK"/>
                    </w:rPr>
                    <w:t>19 903</w:t>
                  </w:r>
                </w:p>
              </w:tc>
              <w:tc>
                <w:tcPr>
                  <w:tcW w:w="1278" w:type="dxa"/>
                  <w:tcBorders>
                    <w:top w:val="single" w:sz="4" w:space="0" w:color="auto"/>
                    <w:left w:val="nil"/>
                    <w:bottom w:val="single" w:sz="4" w:space="0" w:color="auto"/>
                    <w:right w:val="single" w:sz="4" w:space="0" w:color="auto"/>
                    <w:tl2br w:val="nil"/>
                    <w:tr2bl w:val="nil"/>
                  </w:tcBorders>
                  <w:noWrap/>
                  <w:textDirection w:val="lrTb"/>
                  <w:vAlign w:val="center"/>
                </w:tcPr>
                <w:p w:rsidR="00854617" w:rsidRPr="00854617" w:rsidP="00854617">
                  <w:pPr>
                    <w:spacing w:line="240" w:lineRule="auto"/>
                    <w:jc w:val="right"/>
                    <w:rPr>
                      <w:rFonts w:ascii="Arial Narrow" w:hAnsi="Arial Narrow" w:cs="Arial"/>
                      <w:lang w:eastAsia="sk-SK"/>
                    </w:rPr>
                  </w:pPr>
                  <w:r w:rsidRPr="00854617">
                    <w:rPr>
                      <w:rFonts w:ascii="Arial Narrow" w:hAnsi="Arial Narrow" w:cs="Arial"/>
                      <w:lang w:eastAsia="sk-SK"/>
                    </w:rPr>
                    <w:t>19 897</w:t>
                  </w:r>
                </w:p>
              </w:tc>
            </w:tr>
            <w:tr>
              <w:tblPrEx>
                <w:tblW w:w="10360" w:type="dxa"/>
                <w:tblCellMar>
                  <w:left w:w="70" w:type="dxa"/>
                  <w:right w:w="70" w:type="dxa"/>
                </w:tblCellMar>
              </w:tblPrEx>
              <w:trPr>
                <w:trHeight w:hRule="exact" w:val="284"/>
              </w:trPr>
              <w:tc>
                <w:tcPr>
                  <w:tcW w:w="3582" w:type="dxa"/>
                  <w:tcBorders>
                    <w:top w:val="single" w:sz="4" w:space="0" w:color="auto"/>
                    <w:left w:val="single" w:sz="4" w:space="0" w:color="auto"/>
                    <w:bottom w:val="single" w:sz="4" w:space="0" w:color="auto"/>
                    <w:right w:val="nil"/>
                    <w:tl2br w:val="nil"/>
                    <w:tr2bl w:val="nil"/>
                  </w:tcBorders>
                  <w:noWrap/>
                  <w:textDirection w:val="lrTb"/>
                  <w:vAlign w:val="center"/>
                </w:tcPr>
                <w:p w:rsidR="00854617" w:rsidRPr="00854617" w:rsidP="00854617">
                  <w:pPr>
                    <w:spacing w:line="240" w:lineRule="auto"/>
                    <w:rPr>
                      <w:rFonts w:ascii="Arial Narrow" w:hAnsi="Arial Narrow" w:cs="Arial"/>
                      <w:lang w:eastAsia="sk-SK"/>
                    </w:rPr>
                  </w:pPr>
                  <w:r w:rsidRPr="00854617">
                    <w:rPr>
                      <w:rFonts w:ascii="Arial Narrow" w:hAnsi="Arial Narrow" w:cs="Arial"/>
                      <w:lang w:eastAsia="sk-SK"/>
                    </w:rPr>
                    <w:t>KÚ pre CD a PK Nitra</w:t>
                  </w:r>
                </w:p>
              </w:tc>
              <w:tc>
                <w:tcPr>
                  <w:tcW w:w="1083" w:type="dxa"/>
                  <w:tcBorders>
                    <w:top w:val="single" w:sz="4" w:space="0" w:color="auto"/>
                    <w:left w:val="single" w:sz="8" w:space="0" w:color="auto"/>
                    <w:bottom w:val="single" w:sz="4" w:space="0" w:color="auto"/>
                    <w:right w:val="single" w:sz="8" w:space="0" w:color="auto"/>
                    <w:tl2br w:val="nil"/>
                    <w:tr2bl w:val="nil"/>
                  </w:tcBorders>
                  <w:noWrap/>
                  <w:textDirection w:val="lrTb"/>
                  <w:vAlign w:val="center"/>
                </w:tcPr>
                <w:p w:rsidR="00854617" w:rsidRPr="00854617" w:rsidP="00854617">
                  <w:pPr>
                    <w:spacing w:line="240" w:lineRule="auto"/>
                    <w:jc w:val="right"/>
                    <w:rPr>
                      <w:rFonts w:ascii="Arial Narrow" w:hAnsi="Arial Narrow" w:cs="Arial"/>
                      <w:lang w:eastAsia="sk-SK"/>
                    </w:rPr>
                  </w:pPr>
                  <w:r w:rsidRPr="00854617">
                    <w:rPr>
                      <w:rFonts w:ascii="Arial Narrow" w:hAnsi="Arial Narrow" w:cs="Arial"/>
                      <w:lang w:eastAsia="sk-SK"/>
                    </w:rPr>
                    <w:t>21 631</w:t>
                  </w:r>
                </w:p>
              </w:tc>
              <w:tc>
                <w:tcPr>
                  <w:tcW w:w="1098" w:type="dxa"/>
                  <w:tcBorders>
                    <w:top w:val="single" w:sz="4" w:space="0" w:color="auto"/>
                    <w:left w:val="nil"/>
                    <w:bottom w:val="single" w:sz="4" w:space="0" w:color="auto"/>
                    <w:right w:val="single" w:sz="8" w:space="0" w:color="auto"/>
                    <w:tl2br w:val="nil"/>
                    <w:tr2bl w:val="nil"/>
                  </w:tcBorders>
                  <w:noWrap/>
                  <w:textDirection w:val="lrTb"/>
                  <w:vAlign w:val="center"/>
                </w:tcPr>
                <w:p w:rsidR="00854617" w:rsidRPr="00854617" w:rsidP="00854617">
                  <w:pPr>
                    <w:spacing w:line="240" w:lineRule="auto"/>
                    <w:jc w:val="right"/>
                    <w:rPr>
                      <w:rFonts w:ascii="Arial Narrow" w:hAnsi="Arial Narrow" w:cs="Arial"/>
                      <w:lang w:eastAsia="sk-SK"/>
                    </w:rPr>
                  </w:pPr>
                  <w:r w:rsidRPr="00854617">
                    <w:rPr>
                      <w:rFonts w:ascii="Arial Narrow" w:hAnsi="Arial Narrow" w:cs="Arial"/>
                      <w:lang w:eastAsia="sk-SK"/>
                    </w:rPr>
                    <w:t>21 607</w:t>
                  </w:r>
                </w:p>
              </w:tc>
              <w:tc>
                <w:tcPr>
                  <w:tcW w:w="1191" w:type="dxa"/>
                  <w:tcBorders>
                    <w:top w:val="single" w:sz="4" w:space="0" w:color="auto"/>
                    <w:left w:val="nil"/>
                    <w:bottom w:val="single" w:sz="4" w:space="0" w:color="auto"/>
                    <w:right w:val="single" w:sz="8" w:space="0" w:color="auto"/>
                    <w:tl2br w:val="nil"/>
                    <w:tr2bl w:val="nil"/>
                  </w:tcBorders>
                  <w:noWrap/>
                  <w:textDirection w:val="lrTb"/>
                  <w:vAlign w:val="center"/>
                </w:tcPr>
                <w:p w:rsidR="00854617" w:rsidRPr="00854617" w:rsidP="00854617">
                  <w:pPr>
                    <w:spacing w:line="240" w:lineRule="auto"/>
                    <w:jc w:val="right"/>
                    <w:rPr>
                      <w:rFonts w:ascii="Arial Narrow" w:hAnsi="Arial Narrow" w:cs="Arial"/>
                      <w:lang w:eastAsia="sk-SK"/>
                    </w:rPr>
                  </w:pPr>
                  <w:r w:rsidRPr="00854617">
                    <w:rPr>
                      <w:rFonts w:ascii="Arial Narrow" w:hAnsi="Arial Narrow" w:cs="Arial"/>
                      <w:lang w:eastAsia="sk-SK"/>
                    </w:rPr>
                    <w:t>900</w:t>
                  </w:r>
                </w:p>
              </w:tc>
              <w:tc>
                <w:tcPr>
                  <w:tcW w:w="1081" w:type="dxa"/>
                  <w:tcBorders>
                    <w:top w:val="single" w:sz="4" w:space="0" w:color="auto"/>
                    <w:left w:val="nil"/>
                    <w:bottom w:val="single" w:sz="4" w:space="0" w:color="auto"/>
                    <w:right w:val="single" w:sz="8" w:space="0" w:color="auto"/>
                    <w:tl2br w:val="nil"/>
                    <w:tr2bl w:val="nil"/>
                  </w:tcBorders>
                  <w:noWrap/>
                  <w:textDirection w:val="lrTb"/>
                  <w:vAlign w:val="center"/>
                </w:tcPr>
                <w:p w:rsidR="00854617" w:rsidRPr="00854617" w:rsidP="00854617">
                  <w:pPr>
                    <w:spacing w:line="240" w:lineRule="auto"/>
                    <w:jc w:val="right"/>
                    <w:rPr>
                      <w:rFonts w:ascii="Arial Narrow" w:hAnsi="Arial Narrow" w:cs="Arial"/>
                      <w:lang w:eastAsia="sk-SK"/>
                    </w:rPr>
                  </w:pPr>
                  <w:r w:rsidRPr="00854617">
                    <w:rPr>
                      <w:rFonts w:ascii="Arial Narrow" w:hAnsi="Arial Narrow" w:cs="Arial"/>
                      <w:lang w:eastAsia="sk-SK"/>
                    </w:rPr>
                    <w:t>900</w:t>
                  </w:r>
                </w:p>
              </w:tc>
              <w:tc>
                <w:tcPr>
                  <w:tcW w:w="1047" w:type="dxa"/>
                  <w:tcBorders>
                    <w:top w:val="single" w:sz="4" w:space="0" w:color="auto"/>
                    <w:left w:val="nil"/>
                    <w:bottom w:val="single" w:sz="4" w:space="0" w:color="auto"/>
                    <w:right w:val="single" w:sz="8" w:space="0" w:color="auto"/>
                    <w:tl2br w:val="nil"/>
                    <w:tr2bl w:val="nil"/>
                  </w:tcBorders>
                  <w:noWrap/>
                  <w:textDirection w:val="lrTb"/>
                  <w:vAlign w:val="center"/>
                </w:tcPr>
                <w:p w:rsidR="00854617" w:rsidRPr="00854617" w:rsidP="00854617">
                  <w:pPr>
                    <w:spacing w:line="240" w:lineRule="auto"/>
                    <w:jc w:val="right"/>
                    <w:rPr>
                      <w:rFonts w:ascii="Arial Narrow" w:hAnsi="Arial Narrow" w:cs="Arial"/>
                      <w:lang w:eastAsia="sk-SK"/>
                    </w:rPr>
                  </w:pPr>
                  <w:r w:rsidRPr="00854617">
                    <w:rPr>
                      <w:rFonts w:ascii="Arial Narrow" w:hAnsi="Arial Narrow" w:cs="Arial"/>
                      <w:lang w:eastAsia="sk-SK"/>
                    </w:rPr>
                    <w:t>22 531</w:t>
                  </w:r>
                </w:p>
              </w:tc>
              <w:tc>
                <w:tcPr>
                  <w:tcW w:w="1278" w:type="dxa"/>
                  <w:tcBorders>
                    <w:top w:val="single" w:sz="4" w:space="0" w:color="auto"/>
                    <w:left w:val="nil"/>
                    <w:bottom w:val="single" w:sz="4" w:space="0" w:color="auto"/>
                    <w:right w:val="single" w:sz="4" w:space="0" w:color="auto"/>
                    <w:tl2br w:val="nil"/>
                    <w:tr2bl w:val="nil"/>
                  </w:tcBorders>
                  <w:noWrap/>
                  <w:textDirection w:val="lrTb"/>
                  <w:vAlign w:val="center"/>
                </w:tcPr>
                <w:p w:rsidR="00854617" w:rsidRPr="00854617" w:rsidP="00854617">
                  <w:pPr>
                    <w:spacing w:line="240" w:lineRule="auto"/>
                    <w:jc w:val="right"/>
                    <w:rPr>
                      <w:rFonts w:ascii="Arial Narrow" w:hAnsi="Arial Narrow" w:cs="Arial"/>
                      <w:lang w:eastAsia="sk-SK"/>
                    </w:rPr>
                  </w:pPr>
                  <w:r w:rsidRPr="00854617">
                    <w:rPr>
                      <w:rFonts w:ascii="Arial Narrow" w:hAnsi="Arial Narrow" w:cs="Arial"/>
                      <w:lang w:eastAsia="sk-SK"/>
                    </w:rPr>
                    <w:t>22 507</w:t>
                  </w:r>
                </w:p>
              </w:tc>
            </w:tr>
            <w:tr>
              <w:tblPrEx>
                <w:tblW w:w="10360" w:type="dxa"/>
                <w:tblCellMar>
                  <w:left w:w="70" w:type="dxa"/>
                  <w:right w:w="70" w:type="dxa"/>
                </w:tblCellMar>
              </w:tblPrEx>
              <w:trPr>
                <w:trHeight w:hRule="exact" w:val="284"/>
              </w:trPr>
              <w:tc>
                <w:tcPr>
                  <w:tcW w:w="3582" w:type="dxa"/>
                  <w:tcBorders>
                    <w:top w:val="single" w:sz="4" w:space="0" w:color="auto"/>
                    <w:left w:val="single" w:sz="4" w:space="0" w:color="auto"/>
                    <w:bottom w:val="single" w:sz="4" w:space="0" w:color="auto"/>
                    <w:right w:val="nil"/>
                    <w:tl2br w:val="nil"/>
                    <w:tr2bl w:val="nil"/>
                  </w:tcBorders>
                  <w:noWrap/>
                  <w:textDirection w:val="lrTb"/>
                  <w:vAlign w:val="center"/>
                </w:tcPr>
                <w:p w:rsidR="00854617" w:rsidRPr="00854617" w:rsidP="00854617">
                  <w:pPr>
                    <w:spacing w:line="240" w:lineRule="auto"/>
                    <w:rPr>
                      <w:rFonts w:ascii="Arial Narrow" w:hAnsi="Arial Narrow" w:cs="Arial"/>
                      <w:lang w:eastAsia="sk-SK"/>
                    </w:rPr>
                  </w:pPr>
                  <w:r w:rsidRPr="00854617">
                    <w:rPr>
                      <w:rFonts w:ascii="Arial Narrow" w:hAnsi="Arial Narrow" w:cs="Arial"/>
                      <w:lang w:eastAsia="sk-SK"/>
                    </w:rPr>
                    <w:t xml:space="preserve">KÚ pre CD a PK Trenčín </w:t>
                  </w:r>
                </w:p>
              </w:tc>
              <w:tc>
                <w:tcPr>
                  <w:tcW w:w="1083" w:type="dxa"/>
                  <w:tcBorders>
                    <w:top w:val="single" w:sz="4" w:space="0" w:color="auto"/>
                    <w:left w:val="single" w:sz="8" w:space="0" w:color="auto"/>
                    <w:bottom w:val="single" w:sz="4" w:space="0" w:color="auto"/>
                    <w:right w:val="single" w:sz="8" w:space="0" w:color="auto"/>
                    <w:tl2br w:val="nil"/>
                    <w:tr2bl w:val="nil"/>
                  </w:tcBorders>
                  <w:noWrap/>
                  <w:textDirection w:val="lrTb"/>
                  <w:vAlign w:val="center"/>
                </w:tcPr>
                <w:p w:rsidR="00854617" w:rsidRPr="00854617" w:rsidP="00854617">
                  <w:pPr>
                    <w:spacing w:line="240" w:lineRule="auto"/>
                    <w:jc w:val="right"/>
                    <w:rPr>
                      <w:rFonts w:ascii="Arial Narrow" w:hAnsi="Arial Narrow" w:cs="Arial"/>
                      <w:lang w:eastAsia="sk-SK"/>
                    </w:rPr>
                  </w:pPr>
                  <w:r w:rsidRPr="00854617">
                    <w:rPr>
                      <w:rFonts w:ascii="Arial Narrow" w:hAnsi="Arial Narrow" w:cs="Arial"/>
                      <w:lang w:eastAsia="sk-SK"/>
                    </w:rPr>
                    <w:t>19 726</w:t>
                  </w:r>
                </w:p>
              </w:tc>
              <w:tc>
                <w:tcPr>
                  <w:tcW w:w="1098" w:type="dxa"/>
                  <w:tcBorders>
                    <w:top w:val="single" w:sz="4" w:space="0" w:color="auto"/>
                    <w:left w:val="nil"/>
                    <w:bottom w:val="single" w:sz="4" w:space="0" w:color="auto"/>
                    <w:right w:val="single" w:sz="8" w:space="0" w:color="auto"/>
                    <w:tl2br w:val="nil"/>
                    <w:tr2bl w:val="nil"/>
                  </w:tcBorders>
                  <w:noWrap/>
                  <w:textDirection w:val="lrTb"/>
                  <w:vAlign w:val="center"/>
                </w:tcPr>
                <w:p w:rsidR="00854617" w:rsidRPr="00854617" w:rsidP="00854617">
                  <w:pPr>
                    <w:spacing w:line="240" w:lineRule="auto"/>
                    <w:jc w:val="right"/>
                    <w:rPr>
                      <w:rFonts w:ascii="Arial Narrow" w:hAnsi="Arial Narrow" w:cs="Arial"/>
                      <w:lang w:eastAsia="sk-SK"/>
                    </w:rPr>
                  </w:pPr>
                  <w:r w:rsidRPr="00854617">
                    <w:rPr>
                      <w:rFonts w:ascii="Arial Narrow" w:hAnsi="Arial Narrow" w:cs="Arial"/>
                      <w:lang w:eastAsia="sk-SK"/>
                    </w:rPr>
                    <w:t>19 719</w:t>
                  </w:r>
                </w:p>
              </w:tc>
              <w:tc>
                <w:tcPr>
                  <w:tcW w:w="1191" w:type="dxa"/>
                  <w:tcBorders>
                    <w:top w:val="single" w:sz="4" w:space="0" w:color="auto"/>
                    <w:left w:val="nil"/>
                    <w:bottom w:val="single" w:sz="4" w:space="0" w:color="auto"/>
                    <w:right w:val="single" w:sz="8" w:space="0" w:color="auto"/>
                    <w:tl2br w:val="nil"/>
                    <w:tr2bl w:val="nil"/>
                  </w:tcBorders>
                  <w:noWrap/>
                  <w:textDirection w:val="lrTb"/>
                  <w:vAlign w:val="center"/>
                </w:tcPr>
                <w:p w:rsidR="00854617" w:rsidRPr="00854617" w:rsidP="00854617">
                  <w:pPr>
                    <w:spacing w:line="240" w:lineRule="auto"/>
                    <w:jc w:val="right"/>
                    <w:rPr>
                      <w:rFonts w:ascii="Arial Narrow" w:hAnsi="Arial Narrow" w:cs="Arial"/>
                      <w:lang w:eastAsia="sk-SK"/>
                    </w:rPr>
                  </w:pPr>
                  <w:r w:rsidRPr="00854617">
                    <w:rPr>
                      <w:rFonts w:ascii="Arial Narrow" w:hAnsi="Arial Narrow" w:cs="Arial"/>
                      <w:lang w:eastAsia="sk-SK"/>
                    </w:rPr>
                    <w:t>793</w:t>
                  </w:r>
                </w:p>
              </w:tc>
              <w:tc>
                <w:tcPr>
                  <w:tcW w:w="1081" w:type="dxa"/>
                  <w:tcBorders>
                    <w:top w:val="single" w:sz="4" w:space="0" w:color="auto"/>
                    <w:left w:val="nil"/>
                    <w:bottom w:val="single" w:sz="4" w:space="0" w:color="auto"/>
                    <w:right w:val="single" w:sz="8" w:space="0" w:color="auto"/>
                    <w:tl2br w:val="nil"/>
                    <w:tr2bl w:val="nil"/>
                  </w:tcBorders>
                  <w:noWrap/>
                  <w:textDirection w:val="lrTb"/>
                  <w:vAlign w:val="center"/>
                </w:tcPr>
                <w:p w:rsidR="00854617" w:rsidRPr="00854617" w:rsidP="00854617">
                  <w:pPr>
                    <w:spacing w:line="240" w:lineRule="auto"/>
                    <w:jc w:val="right"/>
                    <w:rPr>
                      <w:rFonts w:ascii="Arial Narrow" w:hAnsi="Arial Narrow" w:cs="Arial"/>
                      <w:lang w:eastAsia="sk-SK"/>
                    </w:rPr>
                  </w:pPr>
                  <w:r w:rsidRPr="00854617">
                    <w:rPr>
                      <w:rFonts w:ascii="Arial Narrow" w:hAnsi="Arial Narrow" w:cs="Arial"/>
                      <w:lang w:eastAsia="sk-SK"/>
                    </w:rPr>
                    <w:t>793</w:t>
                  </w:r>
                </w:p>
              </w:tc>
              <w:tc>
                <w:tcPr>
                  <w:tcW w:w="1047" w:type="dxa"/>
                  <w:tcBorders>
                    <w:top w:val="single" w:sz="4" w:space="0" w:color="auto"/>
                    <w:left w:val="nil"/>
                    <w:bottom w:val="single" w:sz="4" w:space="0" w:color="auto"/>
                    <w:right w:val="single" w:sz="8" w:space="0" w:color="auto"/>
                    <w:tl2br w:val="nil"/>
                    <w:tr2bl w:val="nil"/>
                  </w:tcBorders>
                  <w:noWrap/>
                  <w:textDirection w:val="lrTb"/>
                  <w:vAlign w:val="center"/>
                </w:tcPr>
                <w:p w:rsidR="00854617" w:rsidRPr="00854617" w:rsidP="00854617">
                  <w:pPr>
                    <w:spacing w:line="240" w:lineRule="auto"/>
                    <w:jc w:val="right"/>
                    <w:rPr>
                      <w:rFonts w:ascii="Arial Narrow" w:hAnsi="Arial Narrow" w:cs="Arial"/>
                      <w:lang w:eastAsia="sk-SK"/>
                    </w:rPr>
                  </w:pPr>
                  <w:r w:rsidRPr="00854617">
                    <w:rPr>
                      <w:rFonts w:ascii="Arial Narrow" w:hAnsi="Arial Narrow" w:cs="Arial"/>
                      <w:lang w:eastAsia="sk-SK"/>
                    </w:rPr>
                    <w:t>20 519</w:t>
                  </w:r>
                </w:p>
              </w:tc>
              <w:tc>
                <w:tcPr>
                  <w:tcW w:w="1278" w:type="dxa"/>
                  <w:tcBorders>
                    <w:top w:val="single" w:sz="4" w:space="0" w:color="auto"/>
                    <w:left w:val="nil"/>
                    <w:bottom w:val="single" w:sz="4" w:space="0" w:color="auto"/>
                    <w:right w:val="single" w:sz="4" w:space="0" w:color="auto"/>
                    <w:tl2br w:val="nil"/>
                    <w:tr2bl w:val="nil"/>
                  </w:tcBorders>
                  <w:noWrap/>
                  <w:textDirection w:val="lrTb"/>
                  <w:vAlign w:val="center"/>
                </w:tcPr>
                <w:p w:rsidR="00854617" w:rsidRPr="00854617" w:rsidP="00854617">
                  <w:pPr>
                    <w:spacing w:line="240" w:lineRule="auto"/>
                    <w:jc w:val="right"/>
                    <w:rPr>
                      <w:rFonts w:ascii="Arial Narrow" w:hAnsi="Arial Narrow" w:cs="Arial"/>
                      <w:lang w:eastAsia="sk-SK"/>
                    </w:rPr>
                  </w:pPr>
                  <w:r w:rsidRPr="00854617">
                    <w:rPr>
                      <w:rFonts w:ascii="Arial Narrow" w:hAnsi="Arial Narrow" w:cs="Arial"/>
                      <w:lang w:eastAsia="sk-SK"/>
                    </w:rPr>
                    <w:t>20 512</w:t>
                  </w:r>
                </w:p>
              </w:tc>
            </w:tr>
            <w:tr>
              <w:tblPrEx>
                <w:tblW w:w="10360" w:type="dxa"/>
                <w:tblCellMar>
                  <w:left w:w="70" w:type="dxa"/>
                  <w:right w:w="70" w:type="dxa"/>
                </w:tblCellMar>
              </w:tblPrEx>
              <w:trPr>
                <w:trHeight w:hRule="exact" w:val="284"/>
              </w:trPr>
              <w:tc>
                <w:tcPr>
                  <w:tcW w:w="3582" w:type="dxa"/>
                  <w:tcBorders>
                    <w:top w:val="single" w:sz="4" w:space="0" w:color="auto"/>
                    <w:left w:val="single" w:sz="4" w:space="0" w:color="auto"/>
                    <w:bottom w:val="single" w:sz="4" w:space="0" w:color="auto"/>
                    <w:right w:val="nil"/>
                    <w:tl2br w:val="nil"/>
                    <w:tr2bl w:val="nil"/>
                  </w:tcBorders>
                  <w:noWrap/>
                  <w:textDirection w:val="lrTb"/>
                  <w:vAlign w:val="center"/>
                </w:tcPr>
                <w:p w:rsidR="00854617" w:rsidRPr="00854617" w:rsidP="00854617">
                  <w:pPr>
                    <w:spacing w:line="240" w:lineRule="auto"/>
                    <w:rPr>
                      <w:rFonts w:ascii="Arial Narrow" w:hAnsi="Arial Narrow" w:cs="Arial"/>
                      <w:lang w:eastAsia="sk-SK"/>
                    </w:rPr>
                  </w:pPr>
                  <w:r w:rsidRPr="00854617">
                    <w:rPr>
                      <w:rFonts w:ascii="Arial Narrow" w:hAnsi="Arial Narrow" w:cs="Arial"/>
                      <w:lang w:eastAsia="sk-SK"/>
                    </w:rPr>
                    <w:t xml:space="preserve">KÚ pre CD a PK </w:t>
                  </w:r>
                  <w:r w:rsidRPr="00854617">
                    <w:rPr>
                      <w:rFonts w:ascii="Arial Narrow" w:hAnsi="Arial Narrow" w:cs="Arial"/>
                      <w:lang w:eastAsia="sk-SK"/>
                    </w:rPr>
                    <w:t>Banská Bystrica</w:t>
                  </w:r>
                </w:p>
              </w:tc>
              <w:tc>
                <w:tcPr>
                  <w:tcW w:w="1083" w:type="dxa"/>
                  <w:tcBorders>
                    <w:top w:val="single" w:sz="4" w:space="0" w:color="auto"/>
                    <w:left w:val="single" w:sz="8" w:space="0" w:color="auto"/>
                    <w:bottom w:val="single" w:sz="4" w:space="0" w:color="auto"/>
                    <w:right w:val="single" w:sz="8" w:space="0" w:color="auto"/>
                    <w:tl2br w:val="nil"/>
                    <w:tr2bl w:val="nil"/>
                  </w:tcBorders>
                  <w:noWrap/>
                  <w:textDirection w:val="lrTb"/>
                  <w:vAlign w:val="center"/>
                </w:tcPr>
                <w:p w:rsidR="00854617" w:rsidRPr="00854617" w:rsidP="00854617">
                  <w:pPr>
                    <w:spacing w:line="240" w:lineRule="auto"/>
                    <w:jc w:val="right"/>
                    <w:rPr>
                      <w:rFonts w:ascii="Arial Narrow" w:hAnsi="Arial Narrow" w:cs="Arial"/>
                      <w:lang w:eastAsia="sk-SK"/>
                    </w:rPr>
                  </w:pPr>
                  <w:r w:rsidRPr="00854617">
                    <w:rPr>
                      <w:rFonts w:ascii="Arial Narrow" w:hAnsi="Arial Narrow" w:cs="Arial"/>
                      <w:lang w:eastAsia="sk-SK"/>
                    </w:rPr>
                    <w:t>25 698</w:t>
                  </w:r>
                </w:p>
              </w:tc>
              <w:tc>
                <w:tcPr>
                  <w:tcW w:w="1098" w:type="dxa"/>
                  <w:tcBorders>
                    <w:top w:val="single" w:sz="4" w:space="0" w:color="auto"/>
                    <w:left w:val="nil"/>
                    <w:bottom w:val="single" w:sz="4" w:space="0" w:color="auto"/>
                    <w:right w:val="single" w:sz="8" w:space="0" w:color="auto"/>
                    <w:tl2br w:val="nil"/>
                    <w:tr2bl w:val="nil"/>
                  </w:tcBorders>
                  <w:noWrap/>
                  <w:textDirection w:val="lrTb"/>
                  <w:vAlign w:val="center"/>
                </w:tcPr>
                <w:p w:rsidR="00854617" w:rsidRPr="00854617" w:rsidP="00854617">
                  <w:pPr>
                    <w:spacing w:line="240" w:lineRule="auto"/>
                    <w:jc w:val="right"/>
                    <w:rPr>
                      <w:rFonts w:ascii="Arial Narrow" w:hAnsi="Arial Narrow" w:cs="Arial"/>
                      <w:lang w:eastAsia="sk-SK"/>
                    </w:rPr>
                  </w:pPr>
                  <w:r w:rsidRPr="00854617">
                    <w:rPr>
                      <w:rFonts w:ascii="Arial Narrow" w:hAnsi="Arial Narrow" w:cs="Arial"/>
                      <w:lang w:eastAsia="sk-SK"/>
                    </w:rPr>
                    <w:t>25 692</w:t>
                  </w:r>
                </w:p>
              </w:tc>
              <w:tc>
                <w:tcPr>
                  <w:tcW w:w="1191" w:type="dxa"/>
                  <w:tcBorders>
                    <w:top w:val="single" w:sz="4" w:space="0" w:color="auto"/>
                    <w:left w:val="nil"/>
                    <w:bottom w:val="single" w:sz="4" w:space="0" w:color="auto"/>
                    <w:right w:val="single" w:sz="8" w:space="0" w:color="auto"/>
                    <w:tl2br w:val="nil"/>
                    <w:tr2bl w:val="nil"/>
                  </w:tcBorders>
                  <w:noWrap/>
                  <w:textDirection w:val="lrTb"/>
                  <w:vAlign w:val="center"/>
                </w:tcPr>
                <w:p w:rsidR="00854617" w:rsidRPr="00854617" w:rsidP="00854617">
                  <w:pPr>
                    <w:spacing w:line="240" w:lineRule="auto"/>
                    <w:jc w:val="right"/>
                    <w:rPr>
                      <w:rFonts w:ascii="Arial Narrow" w:hAnsi="Arial Narrow" w:cs="Arial"/>
                      <w:lang w:eastAsia="sk-SK"/>
                    </w:rPr>
                  </w:pPr>
                  <w:r w:rsidRPr="00854617">
                    <w:rPr>
                      <w:rFonts w:ascii="Arial Narrow" w:hAnsi="Arial Narrow" w:cs="Arial"/>
                      <w:lang w:eastAsia="sk-SK"/>
                    </w:rPr>
                    <w:t>902</w:t>
                  </w:r>
                </w:p>
              </w:tc>
              <w:tc>
                <w:tcPr>
                  <w:tcW w:w="1081" w:type="dxa"/>
                  <w:tcBorders>
                    <w:top w:val="single" w:sz="4" w:space="0" w:color="auto"/>
                    <w:left w:val="nil"/>
                    <w:bottom w:val="single" w:sz="4" w:space="0" w:color="auto"/>
                    <w:right w:val="single" w:sz="8" w:space="0" w:color="auto"/>
                    <w:tl2br w:val="nil"/>
                    <w:tr2bl w:val="nil"/>
                  </w:tcBorders>
                  <w:noWrap/>
                  <w:textDirection w:val="lrTb"/>
                  <w:vAlign w:val="center"/>
                </w:tcPr>
                <w:p w:rsidR="00854617" w:rsidRPr="00854617" w:rsidP="00854617">
                  <w:pPr>
                    <w:spacing w:line="240" w:lineRule="auto"/>
                    <w:jc w:val="right"/>
                    <w:rPr>
                      <w:rFonts w:ascii="Arial Narrow" w:hAnsi="Arial Narrow" w:cs="Arial"/>
                      <w:lang w:eastAsia="sk-SK"/>
                    </w:rPr>
                  </w:pPr>
                  <w:r w:rsidRPr="00854617">
                    <w:rPr>
                      <w:rFonts w:ascii="Arial Narrow" w:hAnsi="Arial Narrow" w:cs="Arial"/>
                      <w:lang w:eastAsia="sk-SK"/>
                    </w:rPr>
                    <w:t>902</w:t>
                  </w:r>
                </w:p>
              </w:tc>
              <w:tc>
                <w:tcPr>
                  <w:tcW w:w="1047" w:type="dxa"/>
                  <w:tcBorders>
                    <w:top w:val="single" w:sz="4" w:space="0" w:color="auto"/>
                    <w:left w:val="nil"/>
                    <w:bottom w:val="single" w:sz="4" w:space="0" w:color="auto"/>
                    <w:right w:val="single" w:sz="8" w:space="0" w:color="auto"/>
                    <w:tl2br w:val="nil"/>
                    <w:tr2bl w:val="nil"/>
                  </w:tcBorders>
                  <w:noWrap/>
                  <w:textDirection w:val="lrTb"/>
                  <w:vAlign w:val="center"/>
                </w:tcPr>
                <w:p w:rsidR="00854617" w:rsidRPr="00854617" w:rsidP="00854617">
                  <w:pPr>
                    <w:spacing w:line="240" w:lineRule="auto"/>
                    <w:jc w:val="right"/>
                    <w:rPr>
                      <w:rFonts w:ascii="Arial Narrow" w:hAnsi="Arial Narrow" w:cs="Arial"/>
                      <w:lang w:eastAsia="sk-SK"/>
                    </w:rPr>
                  </w:pPr>
                  <w:r w:rsidRPr="00854617">
                    <w:rPr>
                      <w:rFonts w:ascii="Arial Narrow" w:hAnsi="Arial Narrow" w:cs="Arial"/>
                      <w:lang w:eastAsia="sk-SK"/>
                    </w:rPr>
                    <w:t>26 600</w:t>
                  </w:r>
                </w:p>
              </w:tc>
              <w:tc>
                <w:tcPr>
                  <w:tcW w:w="1278" w:type="dxa"/>
                  <w:tcBorders>
                    <w:top w:val="single" w:sz="4" w:space="0" w:color="auto"/>
                    <w:left w:val="nil"/>
                    <w:bottom w:val="single" w:sz="4" w:space="0" w:color="auto"/>
                    <w:right w:val="single" w:sz="4" w:space="0" w:color="auto"/>
                    <w:tl2br w:val="nil"/>
                    <w:tr2bl w:val="nil"/>
                  </w:tcBorders>
                  <w:noWrap/>
                  <w:textDirection w:val="lrTb"/>
                  <w:vAlign w:val="center"/>
                </w:tcPr>
                <w:p w:rsidR="00854617" w:rsidRPr="00854617" w:rsidP="00854617">
                  <w:pPr>
                    <w:spacing w:line="240" w:lineRule="auto"/>
                    <w:jc w:val="right"/>
                    <w:rPr>
                      <w:rFonts w:ascii="Arial Narrow" w:hAnsi="Arial Narrow" w:cs="Arial"/>
                      <w:lang w:eastAsia="sk-SK"/>
                    </w:rPr>
                  </w:pPr>
                  <w:r w:rsidRPr="00854617">
                    <w:rPr>
                      <w:rFonts w:ascii="Arial Narrow" w:hAnsi="Arial Narrow" w:cs="Arial"/>
                      <w:lang w:eastAsia="sk-SK"/>
                    </w:rPr>
                    <w:t>26 594</w:t>
                  </w:r>
                </w:p>
              </w:tc>
            </w:tr>
            <w:tr>
              <w:tblPrEx>
                <w:tblW w:w="10360" w:type="dxa"/>
                <w:tblCellMar>
                  <w:left w:w="70" w:type="dxa"/>
                  <w:right w:w="70" w:type="dxa"/>
                </w:tblCellMar>
              </w:tblPrEx>
              <w:trPr>
                <w:trHeight w:hRule="exact" w:val="284"/>
              </w:trPr>
              <w:tc>
                <w:tcPr>
                  <w:tcW w:w="3582" w:type="dxa"/>
                  <w:tcBorders>
                    <w:top w:val="single" w:sz="4" w:space="0" w:color="auto"/>
                    <w:left w:val="single" w:sz="4" w:space="0" w:color="auto"/>
                    <w:bottom w:val="single" w:sz="4" w:space="0" w:color="auto"/>
                    <w:right w:val="nil"/>
                    <w:tl2br w:val="nil"/>
                    <w:tr2bl w:val="nil"/>
                  </w:tcBorders>
                  <w:noWrap/>
                  <w:textDirection w:val="lrTb"/>
                  <w:vAlign w:val="center"/>
                </w:tcPr>
                <w:p w:rsidR="00854617" w:rsidRPr="00854617" w:rsidP="00854617">
                  <w:pPr>
                    <w:spacing w:line="240" w:lineRule="auto"/>
                    <w:rPr>
                      <w:rFonts w:ascii="Arial Narrow" w:hAnsi="Arial Narrow" w:cs="Arial"/>
                      <w:lang w:eastAsia="sk-SK"/>
                    </w:rPr>
                  </w:pPr>
                  <w:r w:rsidRPr="00854617">
                    <w:rPr>
                      <w:rFonts w:ascii="Arial Narrow" w:hAnsi="Arial Narrow" w:cs="Arial"/>
                      <w:lang w:eastAsia="sk-SK"/>
                    </w:rPr>
                    <w:t xml:space="preserve">KÚ pre CD a PK Žilina </w:t>
                  </w:r>
                </w:p>
              </w:tc>
              <w:tc>
                <w:tcPr>
                  <w:tcW w:w="1083" w:type="dxa"/>
                  <w:tcBorders>
                    <w:top w:val="single" w:sz="4" w:space="0" w:color="auto"/>
                    <w:left w:val="single" w:sz="8" w:space="0" w:color="auto"/>
                    <w:bottom w:val="single" w:sz="4" w:space="0" w:color="auto"/>
                    <w:right w:val="single" w:sz="8" w:space="0" w:color="auto"/>
                    <w:tl2br w:val="nil"/>
                    <w:tr2bl w:val="nil"/>
                  </w:tcBorders>
                  <w:noWrap/>
                  <w:textDirection w:val="lrTb"/>
                  <w:vAlign w:val="center"/>
                </w:tcPr>
                <w:p w:rsidR="00854617" w:rsidRPr="00854617" w:rsidP="00854617">
                  <w:pPr>
                    <w:spacing w:line="240" w:lineRule="auto"/>
                    <w:jc w:val="right"/>
                    <w:rPr>
                      <w:rFonts w:ascii="Arial Narrow" w:hAnsi="Arial Narrow" w:cs="Arial"/>
                      <w:lang w:eastAsia="sk-SK"/>
                    </w:rPr>
                  </w:pPr>
                  <w:r w:rsidRPr="00854617">
                    <w:rPr>
                      <w:rFonts w:ascii="Arial Narrow" w:hAnsi="Arial Narrow" w:cs="Arial"/>
                      <w:lang w:eastAsia="sk-SK"/>
                    </w:rPr>
                    <w:t>25 386</w:t>
                  </w:r>
                </w:p>
              </w:tc>
              <w:tc>
                <w:tcPr>
                  <w:tcW w:w="1098" w:type="dxa"/>
                  <w:tcBorders>
                    <w:top w:val="single" w:sz="4" w:space="0" w:color="auto"/>
                    <w:left w:val="nil"/>
                    <w:bottom w:val="single" w:sz="4" w:space="0" w:color="auto"/>
                    <w:right w:val="single" w:sz="8" w:space="0" w:color="auto"/>
                    <w:tl2br w:val="nil"/>
                    <w:tr2bl w:val="nil"/>
                  </w:tcBorders>
                  <w:noWrap/>
                  <w:textDirection w:val="lrTb"/>
                  <w:vAlign w:val="center"/>
                </w:tcPr>
                <w:p w:rsidR="00854617" w:rsidRPr="00854617" w:rsidP="00854617">
                  <w:pPr>
                    <w:spacing w:line="240" w:lineRule="auto"/>
                    <w:jc w:val="right"/>
                    <w:rPr>
                      <w:rFonts w:ascii="Arial Narrow" w:hAnsi="Arial Narrow" w:cs="Arial"/>
                      <w:lang w:eastAsia="sk-SK"/>
                    </w:rPr>
                  </w:pPr>
                  <w:r w:rsidRPr="00854617">
                    <w:rPr>
                      <w:rFonts w:ascii="Arial Narrow" w:hAnsi="Arial Narrow" w:cs="Arial"/>
                      <w:lang w:eastAsia="sk-SK"/>
                    </w:rPr>
                    <w:t>25 386</w:t>
                  </w:r>
                </w:p>
              </w:tc>
              <w:tc>
                <w:tcPr>
                  <w:tcW w:w="1191" w:type="dxa"/>
                  <w:tcBorders>
                    <w:top w:val="single" w:sz="4" w:space="0" w:color="auto"/>
                    <w:left w:val="nil"/>
                    <w:bottom w:val="single" w:sz="4" w:space="0" w:color="auto"/>
                    <w:right w:val="single" w:sz="8" w:space="0" w:color="auto"/>
                    <w:tl2br w:val="nil"/>
                    <w:tr2bl w:val="nil"/>
                  </w:tcBorders>
                  <w:noWrap/>
                  <w:textDirection w:val="lrTb"/>
                  <w:vAlign w:val="center"/>
                </w:tcPr>
                <w:p w:rsidR="00854617" w:rsidRPr="00854617" w:rsidP="00854617">
                  <w:pPr>
                    <w:spacing w:line="240" w:lineRule="auto"/>
                    <w:jc w:val="right"/>
                    <w:rPr>
                      <w:rFonts w:ascii="Arial Narrow" w:hAnsi="Arial Narrow" w:cs="Arial"/>
                      <w:lang w:eastAsia="sk-SK"/>
                    </w:rPr>
                  </w:pPr>
                  <w:r w:rsidRPr="00854617">
                    <w:rPr>
                      <w:rFonts w:ascii="Arial Narrow" w:hAnsi="Arial Narrow" w:cs="Arial"/>
                      <w:lang w:eastAsia="sk-SK"/>
                    </w:rPr>
                    <w:t>149</w:t>
                  </w:r>
                </w:p>
              </w:tc>
              <w:tc>
                <w:tcPr>
                  <w:tcW w:w="1081" w:type="dxa"/>
                  <w:tcBorders>
                    <w:top w:val="single" w:sz="4" w:space="0" w:color="auto"/>
                    <w:left w:val="nil"/>
                    <w:bottom w:val="single" w:sz="4" w:space="0" w:color="auto"/>
                    <w:right w:val="single" w:sz="8" w:space="0" w:color="auto"/>
                    <w:tl2br w:val="nil"/>
                    <w:tr2bl w:val="nil"/>
                  </w:tcBorders>
                  <w:noWrap/>
                  <w:textDirection w:val="lrTb"/>
                  <w:vAlign w:val="center"/>
                </w:tcPr>
                <w:p w:rsidR="00854617" w:rsidRPr="00854617" w:rsidP="00854617">
                  <w:pPr>
                    <w:spacing w:line="240" w:lineRule="auto"/>
                    <w:jc w:val="right"/>
                    <w:rPr>
                      <w:rFonts w:ascii="Arial Narrow" w:hAnsi="Arial Narrow" w:cs="Arial"/>
                      <w:lang w:eastAsia="sk-SK"/>
                    </w:rPr>
                  </w:pPr>
                  <w:r w:rsidRPr="00854617">
                    <w:rPr>
                      <w:rFonts w:ascii="Arial Narrow" w:hAnsi="Arial Narrow" w:cs="Arial"/>
                      <w:lang w:eastAsia="sk-SK"/>
                    </w:rPr>
                    <w:t>149</w:t>
                  </w:r>
                </w:p>
              </w:tc>
              <w:tc>
                <w:tcPr>
                  <w:tcW w:w="1047" w:type="dxa"/>
                  <w:tcBorders>
                    <w:top w:val="single" w:sz="4" w:space="0" w:color="auto"/>
                    <w:left w:val="nil"/>
                    <w:bottom w:val="single" w:sz="4" w:space="0" w:color="auto"/>
                    <w:right w:val="single" w:sz="8" w:space="0" w:color="auto"/>
                    <w:tl2br w:val="nil"/>
                    <w:tr2bl w:val="nil"/>
                  </w:tcBorders>
                  <w:noWrap/>
                  <w:textDirection w:val="lrTb"/>
                  <w:vAlign w:val="center"/>
                </w:tcPr>
                <w:p w:rsidR="00854617" w:rsidRPr="00854617" w:rsidP="00854617">
                  <w:pPr>
                    <w:spacing w:line="240" w:lineRule="auto"/>
                    <w:jc w:val="right"/>
                    <w:rPr>
                      <w:rFonts w:ascii="Arial Narrow" w:hAnsi="Arial Narrow" w:cs="Arial"/>
                      <w:lang w:eastAsia="sk-SK"/>
                    </w:rPr>
                  </w:pPr>
                  <w:r w:rsidRPr="00854617">
                    <w:rPr>
                      <w:rFonts w:ascii="Arial Narrow" w:hAnsi="Arial Narrow" w:cs="Arial"/>
                      <w:lang w:eastAsia="sk-SK"/>
                    </w:rPr>
                    <w:t>25 535</w:t>
                  </w:r>
                </w:p>
              </w:tc>
              <w:tc>
                <w:tcPr>
                  <w:tcW w:w="1278" w:type="dxa"/>
                  <w:tcBorders>
                    <w:top w:val="single" w:sz="4" w:space="0" w:color="auto"/>
                    <w:left w:val="nil"/>
                    <w:bottom w:val="single" w:sz="4" w:space="0" w:color="auto"/>
                    <w:right w:val="single" w:sz="4" w:space="0" w:color="auto"/>
                    <w:tl2br w:val="nil"/>
                    <w:tr2bl w:val="nil"/>
                  </w:tcBorders>
                  <w:noWrap/>
                  <w:textDirection w:val="lrTb"/>
                  <w:vAlign w:val="center"/>
                </w:tcPr>
                <w:p w:rsidR="00854617" w:rsidRPr="00854617" w:rsidP="00854617">
                  <w:pPr>
                    <w:spacing w:line="240" w:lineRule="auto"/>
                    <w:jc w:val="right"/>
                    <w:rPr>
                      <w:rFonts w:ascii="Arial Narrow" w:hAnsi="Arial Narrow" w:cs="Arial"/>
                      <w:lang w:eastAsia="sk-SK"/>
                    </w:rPr>
                  </w:pPr>
                  <w:r w:rsidRPr="00854617">
                    <w:rPr>
                      <w:rFonts w:ascii="Arial Narrow" w:hAnsi="Arial Narrow" w:cs="Arial"/>
                      <w:lang w:eastAsia="sk-SK"/>
                    </w:rPr>
                    <w:t>25 535</w:t>
                  </w:r>
                </w:p>
              </w:tc>
            </w:tr>
            <w:tr>
              <w:tblPrEx>
                <w:tblW w:w="10360" w:type="dxa"/>
                <w:tblCellMar>
                  <w:left w:w="70" w:type="dxa"/>
                  <w:right w:w="70" w:type="dxa"/>
                </w:tblCellMar>
              </w:tblPrEx>
              <w:trPr>
                <w:trHeight w:hRule="exact" w:val="284"/>
              </w:trPr>
              <w:tc>
                <w:tcPr>
                  <w:tcW w:w="3582" w:type="dxa"/>
                  <w:tcBorders>
                    <w:top w:val="single" w:sz="4" w:space="0" w:color="auto"/>
                    <w:left w:val="single" w:sz="4" w:space="0" w:color="auto"/>
                    <w:bottom w:val="single" w:sz="4" w:space="0" w:color="auto"/>
                    <w:right w:val="nil"/>
                    <w:tl2br w:val="nil"/>
                    <w:tr2bl w:val="nil"/>
                  </w:tcBorders>
                  <w:noWrap/>
                  <w:textDirection w:val="lrTb"/>
                  <w:vAlign w:val="center"/>
                </w:tcPr>
                <w:p w:rsidR="00854617" w:rsidRPr="00854617" w:rsidP="00854617">
                  <w:pPr>
                    <w:spacing w:line="240" w:lineRule="auto"/>
                    <w:rPr>
                      <w:rFonts w:ascii="Arial Narrow" w:hAnsi="Arial Narrow" w:cs="Arial"/>
                      <w:lang w:eastAsia="sk-SK"/>
                    </w:rPr>
                  </w:pPr>
                  <w:r w:rsidRPr="00854617">
                    <w:rPr>
                      <w:rFonts w:ascii="Arial Narrow" w:hAnsi="Arial Narrow" w:cs="Arial"/>
                      <w:lang w:eastAsia="sk-SK"/>
                    </w:rPr>
                    <w:t xml:space="preserve">KÚ pre CD a PK Prešov </w:t>
                  </w:r>
                </w:p>
              </w:tc>
              <w:tc>
                <w:tcPr>
                  <w:tcW w:w="1083" w:type="dxa"/>
                  <w:tcBorders>
                    <w:top w:val="single" w:sz="4" w:space="0" w:color="auto"/>
                    <w:left w:val="single" w:sz="8" w:space="0" w:color="auto"/>
                    <w:bottom w:val="single" w:sz="4" w:space="0" w:color="auto"/>
                    <w:right w:val="single" w:sz="8" w:space="0" w:color="auto"/>
                    <w:tl2br w:val="nil"/>
                    <w:tr2bl w:val="nil"/>
                  </w:tcBorders>
                  <w:noWrap/>
                  <w:textDirection w:val="lrTb"/>
                  <w:vAlign w:val="center"/>
                </w:tcPr>
                <w:p w:rsidR="00854617" w:rsidRPr="00854617" w:rsidP="00854617">
                  <w:pPr>
                    <w:spacing w:line="240" w:lineRule="auto"/>
                    <w:jc w:val="right"/>
                    <w:rPr>
                      <w:rFonts w:ascii="Arial Narrow" w:hAnsi="Arial Narrow" w:cs="Arial"/>
                      <w:lang w:eastAsia="sk-SK"/>
                    </w:rPr>
                  </w:pPr>
                  <w:r w:rsidRPr="00854617">
                    <w:rPr>
                      <w:rFonts w:ascii="Arial Narrow" w:hAnsi="Arial Narrow" w:cs="Arial"/>
                      <w:lang w:eastAsia="sk-SK"/>
                    </w:rPr>
                    <w:t>25 498</w:t>
                  </w:r>
                </w:p>
              </w:tc>
              <w:tc>
                <w:tcPr>
                  <w:tcW w:w="1098" w:type="dxa"/>
                  <w:tcBorders>
                    <w:top w:val="single" w:sz="4" w:space="0" w:color="auto"/>
                    <w:left w:val="nil"/>
                    <w:bottom w:val="single" w:sz="4" w:space="0" w:color="auto"/>
                    <w:right w:val="single" w:sz="8" w:space="0" w:color="auto"/>
                    <w:tl2br w:val="nil"/>
                    <w:tr2bl w:val="nil"/>
                  </w:tcBorders>
                  <w:noWrap/>
                  <w:textDirection w:val="lrTb"/>
                  <w:vAlign w:val="center"/>
                </w:tcPr>
                <w:p w:rsidR="00854617" w:rsidRPr="00854617" w:rsidP="00854617">
                  <w:pPr>
                    <w:spacing w:line="240" w:lineRule="auto"/>
                    <w:jc w:val="right"/>
                    <w:rPr>
                      <w:rFonts w:ascii="Arial Narrow" w:hAnsi="Arial Narrow" w:cs="Arial"/>
                      <w:lang w:eastAsia="sk-SK"/>
                    </w:rPr>
                  </w:pPr>
                  <w:r w:rsidRPr="00854617">
                    <w:rPr>
                      <w:rFonts w:ascii="Arial Narrow" w:hAnsi="Arial Narrow" w:cs="Arial"/>
                      <w:lang w:eastAsia="sk-SK"/>
                    </w:rPr>
                    <w:t>25 496</w:t>
                  </w:r>
                </w:p>
              </w:tc>
              <w:tc>
                <w:tcPr>
                  <w:tcW w:w="1191" w:type="dxa"/>
                  <w:tcBorders>
                    <w:top w:val="single" w:sz="4" w:space="0" w:color="auto"/>
                    <w:left w:val="nil"/>
                    <w:bottom w:val="single" w:sz="4" w:space="0" w:color="auto"/>
                    <w:right w:val="single" w:sz="8" w:space="0" w:color="auto"/>
                    <w:tl2br w:val="nil"/>
                    <w:tr2bl w:val="nil"/>
                  </w:tcBorders>
                  <w:noWrap/>
                  <w:textDirection w:val="lrTb"/>
                  <w:vAlign w:val="center"/>
                </w:tcPr>
                <w:p w:rsidR="00854617" w:rsidRPr="00854617" w:rsidP="00854617">
                  <w:pPr>
                    <w:spacing w:line="240" w:lineRule="auto"/>
                    <w:jc w:val="right"/>
                    <w:rPr>
                      <w:rFonts w:ascii="Arial Narrow" w:hAnsi="Arial Narrow" w:cs="Arial"/>
                      <w:lang w:eastAsia="sk-SK"/>
                    </w:rPr>
                  </w:pPr>
                  <w:r w:rsidRPr="00854617">
                    <w:rPr>
                      <w:rFonts w:ascii="Arial Narrow" w:hAnsi="Arial Narrow" w:cs="Arial"/>
                      <w:lang w:eastAsia="sk-SK"/>
                    </w:rPr>
                    <w:t>782</w:t>
                  </w:r>
                </w:p>
              </w:tc>
              <w:tc>
                <w:tcPr>
                  <w:tcW w:w="1081" w:type="dxa"/>
                  <w:tcBorders>
                    <w:top w:val="single" w:sz="4" w:space="0" w:color="auto"/>
                    <w:left w:val="nil"/>
                    <w:bottom w:val="single" w:sz="4" w:space="0" w:color="auto"/>
                    <w:right w:val="single" w:sz="8" w:space="0" w:color="auto"/>
                    <w:tl2br w:val="nil"/>
                    <w:tr2bl w:val="nil"/>
                  </w:tcBorders>
                  <w:noWrap/>
                  <w:textDirection w:val="lrTb"/>
                  <w:vAlign w:val="center"/>
                </w:tcPr>
                <w:p w:rsidR="00854617" w:rsidRPr="00854617" w:rsidP="00854617">
                  <w:pPr>
                    <w:spacing w:line="240" w:lineRule="auto"/>
                    <w:jc w:val="right"/>
                    <w:rPr>
                      <w:rFonts w:ascii="Arial Narrow" w:hAnsi="Arial Narrow" w:cs="Arial"/>
                      <w:lang w:eastAsia="sk-SK"/>
                    </w:rPr>
                  </w:pPr>
                  <w:r w:rsidRPr="00854617">
                    <w:rPr>
                      <w:rFonts w:ascii="Arial Narrow" w:hAnsi="Arial Narrow" w:cs="Arial"/>
                      <w:lang w:eastAsia="sk-SK"/>
                    </w:rPr>
                    <w:t>782</w:t>
                  </w:r>
                </w:p>
              </w:tc>
              <w:tc>
                <w:tcPr>
                  <w:tcW w:w="1047" w:type="dxa"/>
                  <w:tcBorders>
                    <w:top w:val="single" w:sz="4" w:space="0" w:color="auto"/>
                    <w:left w:val="nil"/>
                    <w:bottom w:val="single" w:sz="4" w:space="0" w:color="auto"/>
                    <w:right w:val="single" w:sz="8" w:space="0" w:color="auto"/>
                    <w:tl2br w:val="nil"/>
                    <w:tr2bl w:val="nil"/>
                  </w:tcBorders>
                  <w:noWrap/>
                  <w:textDirection w:val="lrTb"/>
                  <w:vAlign w:val="center"/>
                </w:tcPr>
                <w:p w:rsidR="00854617" w:rsidRPr="00854617" w:rsidP="00854617">
                  <w:pPr>
                    <w:spacing w:line="240" w:lineRule="auto"/>
                    <w:jc w:val="right"/>
                    <w:rPr>
                      <w:rFonts w:ascii="Arial Narrow" w:hAnsi="Arial Narrow" w:cs="Arial"/>
                      <w:lang w:eastAsia="sk-SK"/>
                    </w:rPr>
                  </w:pPr>
                  <w:r w:rsidRPr="00854617">
                    <w:rPr>
                      <w:rFonts w:ascii="Arial Narrow" w:hAnsi="Arial Narrow" w:cs="Arial"/>
                      <w:lang w:eastAsia="sk-SK"/>
                    </w:rPr>
                    <w:t>26 280</w:t>
                  </w:r>
                </w:p>
              </w:tc>
              <w:tc>
                <w:tcPr>
                  <w:tcW w:w="1278" w:type="dxa"/>
                  <w:tcBorders>
                    <w:top w:val="single" w:sz="4" w:space="0" w:color="auto"/>
                    <w:left w:val="nil"/>
                    <w:bottom w:val="single" w:sz="4" w:space="0" w:color="auto"/>
                    <w:right w:val="single" w:sz="4" w:space="0" w:color="auto"/>
                    <w:tl2br w:val="nil"/>
                    <w:tr2bl w:val="nil"/>
                  </w:tcBorders>
                  <w:noWrap/>
                  <w:textDirection w:val="lrTb"/>
                  <w:vAlign w:val="center"/>
                </w:tcPr>
                <w:p w:rsidR="00854617" w:rsidRPr="00854617" w:rsidP="00854617">
                  <w:pPr>
                    <w:spacing w:line="240" w:lineRule="auto"/>
                    <w:jc w:val="right"/>
                    <w:rPr>
                      <w:rFonts w:ascii="Arial Narrow" w:hAnsi="Arial Narrow" w:cs="Arial"/>
                      <w:lang w:eastAsia="sk-SK"/>
                    </w:rPr>
                  </w:pPr>
                  <w:r w:rsidRPr="00854617">
                    <w:rPr>
                      <w:rFonts w:ascii="Arial Narrow" w:hAnsi="Arial Narrow" w:cs="Arial"/>
                      <w:lang w:eastAsia="sk-SK"/>
                    </w:rPr>
                    <w:t>26 278</w:t>
                  </w:r>
                </w:p>
              </w:tc>
            </w:tr>
            <w:tr>
              <w:tblPrEx>
                <w:tblW w:w="10360" w:type="dxa"/>
                <w:tblCellMar>
                  <w:left w:w="70" w:type="dxa"/>
                  <w:right w:w="70" w:type="dxa"/>
                </w:tblCellMar>
              </w:tblPrEx>
              <w:trPr>
                <w:trHeight w:hRule="exact" w:val="284"/>
              </w:trPr>
              <w:tc>
                <w:tcPr>
                  <w:tcW w:w="3582" w:type="dxa"/>
                  <w:tcBorders>
                    <w:top w:val="single" w:sz="4" w:space="0" w:color="auto"/>
                    <w:left w:val="single" w:sz="4" w:space="0" w:color="auto"/>
                    <w:bottom w:val="single" w:sz="4" w:space="0" w:color="auto"/>
                    <w:right w:val="nil"/>
                    <w:tl2br w:val="nil"/>
                    <w:tr2bl w:val="nil"/>
                  </w:tcBorders>
                  <w:noWrap/>
                  <w:textDirection w:val="lrTb"/>
                  <w:vAlign w:val="center"/>
                </w:tcPr>
                <w:p w:rsidR="00854617" w:rsidRPr="00854617" w:rsidP="00854617">
                  <w:pPr>
                    <w:spacing w:line="240" w:lineRule="auto"/>
                    <w:rPr>
                      <w:rFonts w:ascii="Arial Narrow" w:hAnsi="Arial Narrow" w:cs="Arial"/>
                      <w:lang w:eastAsia="sk-SK"/>
                    </w:rPr>
                  </w:pPr>
                  <w:r w:rsidRPr="00854617">
                    <w:rPr>
                      <w:rFonts w:ascii="Arial Narrow" w:hAnsi="Arial Narrow" w:cs="Arial"/>
                      <w:lang w:eastAsia="sk-SK"/>
                    </w:rPr>
                    <w:t xml:space="preserve">KÚ pre CD a PK Košice </w:t>
                  </w:r>
                </w:p>
              </w:tc>
              <w:tc>
                <w:tcPr>
                  <w:tcW w:w="1083" w:type="dxa"/>
                  <w:tcBorders>
                    <w:top w:val="single" w:sz="4" w:space="0" w:color="auto"/>
                    <w:left w:val="single" w:sz="8" w:space="0" w:color="auto"/>
                    <w:bottom w:val="single" w:sz="4" w:space="0" w:color="auto"/>
                    <w:right w:val="single" w:sz="8" w:space="0" w:color="auto"/>
                    <w:tl2br w:val="nil"/>
                    <w:tr2bl w:val="nil"/>
                  </w:tcBorders>
                  <w:noWrap/>
                  <w:textDirection w:val="lrTb"/>
                  <w:vAlign w:val="center"/>
                </w:tcPr>
                <w:p w:rsidR="00854617" w:rsidRPr="00854617" w:rsidP="00854617">
                  <w:pPr>
                    <w:spacing w:line="240" w:lineRule="auto"/>
                    <w:jc w:val="right"/>
                    <w:rPr>
                      <w:rFonts w:ascii="Arial Narrow" w:hAnsi="Arial Narrow" w:cs="Arial"/>
                      <w:lang w:eastAsia="sk-SK"/>
                    </w:rPr>
                  </w:pPr>
                  <w:r w:rsidRPr="00854617">
                    <w:rPr>
                      <w:rFonts w:ascii="Arial Narrow" w:hAnsi="Arial Narrow" w:cs="Arial"/>
                      <w:lang w:eastAsia="sk-SK"/>
                    </w:rPr>
                    <w:t>25 839</w:t>
                  </w:r>
                </w:p>
              </w:tc>
              <w:tc>
                <w:tcPr>
                  <w:tcW w:w="1098" w:type="dxa"/>
                  <w:tcBorders>
                    <w:top w:val="single" w:sz="4" w:space="0" w:color="auto"/>
                    <w:left w:val="nil"/>
                    <w:bottom w:val="single" w:sz="4" w:space="0" w:color="auto"/>
                    <w:right w:val="single" w:sz="8" w:space="0" w:color="auto"/>
                    <w:tl2br w:val="nil"/>
                    <w:tr2bl w:val="nil"/>
                  </w:tcBorders>
                  <w:noWrap/>
                  <w:textDirection w:val="lrTb"/>
                  <w:vAlign w:val="center"/>
                </w:tcPr>
                <w:p w:rsidR="00854617" w:rsidRPr="00854617" w:rsidP="00854617">
                  <w:pPr>
                    <w:spacing w:line="240" w:lineRule="auto"/>
                    <w:jc w:val="right"/>
                    <w:rPr>
                      <w:rFonts w:ascii="Arial Narrow" w:hAnsi="Arial Narrow" w:cs="Arial"/>
                      <w:lang w:eastAsia="sk-SK"/>
                    </w:rPr>
                  </w:pPr>
                  <w:r w:rsidRPr="00854617">
                    <w:rPr>
                      <w:rFonts w:ascii="Arial Narrow" w:hAnsi="Arial Narrow" w:cs="Arial"/>
                      <w:lang w:eastAsia="sk-SK"/>
                    </w:rPr>
                    <w:t>25 775</w:t>
                  </w:r>
                </w:p>
              </w:tc>
              <w:tc>
                <w:tcPr>
                  <w:tcW w:w="1191" w:type="dxa"/>
                  <w:tcBorders>
                    <w:top w:val="single" w:sz="4" w:space="0" w:color="auto"/>
                    <w:left w:val="nil"/>
                    <w:bottom w:val="single" w:sz="4" w:space="0" w:color="auto"/>
                    <w:right w:val="single" w:sz="8" w:space="0" w:color="auto"/>
                    <w:tl2br w:val="nil"/>
                    <w:tr2bl w:val="nil"/>
                  </w:tcBorders>
                  <w:noWrap/>
                  <w:textDirection w:val="lrTb"/>
                  <w:vAlign w:val="center"/>
                </w:tcPr>
                <w:p w:rsidR="00854617" w:rsidRPr="00854617" w:rsidP="00854617">
                  <w:pPr>
                    <w:spacing w:line="240" w:lineRule="auto"/>
                    <w:jc w:val="right"/>
                    <w:rPr>
                      <w:rFonts w:ascii="Arial Narrow" w:hAnsi="Arial Narrow" w:cs="Arial"/>
                      <w:lang w:eastAsia="sk-SK"/>
                    </w:rPr>
                  </w:pPr>
                  <w:r w:rsidRPr="00854617">
                    <w:rPr>
                      <w:rFonts w:ascii="Arial Narrow" w:hAnsi="Arial Narrow" w:cs="Arial"/>
                      <w:lang w:eastAsia="sk-SK"/>
                    </w:rPr>
                    <w:t>500</w:t>
                  </w:r>
                </w:p>
              </w:tc>
              <w:tc>
                <w:tcPr>
                  <w:tcW w:w="1081" w:type="dxa"/>
                  <w:tcBorders>
                    <w:top w:val="single" w:sz="4" w:space="0" w:color="auto"/>
                    <w:left w:val="nil"/>
                    <w:bottom w:val="single" w:sz="4" w:space="0" w:color="auto"/>
                    <w:right w:val="single" w:sz="8" w:space="0" w:color="auto"/>
                    <w:tl2br w:val="nil"/>
                    <w:tr2bl w:val="nil"/>
                  </w:tcBorders>
                  <w:noWrap/>
                  <w:textDirection w:val="lrTb"/>
                  <w:vAlign w:val="center"/>
                </w:tcPr>
                <w:p w:rsidR="00854617" w:rsidRPr="00854617" w:rsidP="00854617">
                  <w:pPr>
                    <w:spacing w:line="240" w:lineRule="auto"/>
                    <w:jc w:val="right"/>
                    <w:rPr>
                      <w:rFonts w:ascii="Arial Narrow" w:hAnsi="Arial Narrow" w:cs="Arial"/>
                      <w:lang w:eastAsia="sk-SK"/>
                    </w:rPr>
                  </w:pPr>
                  <w:r w:rsidRPr="00854617">
                    <w:rPr>
                      <w:rFonts w:ascii="Arial Narrow" w:hAnsi="Arial Narrow" w:cs="Arial"/>
                      <w:lang w:eastAsia="sk-SK"/>
                    </w:rPr>
                    <w:t>500</w:t>
                  </w:r>
                </w:p>
              </w:tc>
              <w:tc>
                <w:tcPr>
                  <w:tcW w:w="1047" w:type="dxa"/>
                  <w:tcBorders>
                    <w:top w:val="single" w:sz="4" w:space="0" w:color="auto"/>
                    <w:left w:val="nil"/>
                    <w:bottom w:val="single" w:sz="4" w:space="0" w:color="auto"/>
                    <w:right w:val="single" w:sz="8" w:space="0" w:color="auto"/>
                    <w:tl2br w:val="nil"/>
                    <w:tr2bl w:val="nil"/>
                  </w:tcBorders>
                  <w:noWrap/>
                  <w:textDirection w:val="lrTb"/>
                  <w:vAlign w:val="center"/>
                </w:tcPr>
                <w:p w:rsidR="00854617" w:rsidRPr="00854617" w:rsidP="00854617">
                  <w:pPr>
                    <w:spacing w:line="240" w:lineRule="auto"/>
                    <w:jc w:val="right"/>
                    <w:rPr>
                      <w:rFonts w:ascii="Arial Narrow" w:hAnsi="Arial Narrow" w:cs="Arial"/>
                      <w:lang w:eastAsia="sk-SK"/>
                    </w:rPr>
                  </w:pPr>
                  <w:r w:rsidRPr="00854617">
                    <w:rPr>
                      <w:rFonts w:ascii="Arial Narrow" w:hAnsi="Arial Narrow" w:cs="Arial"/>
                      <w:lang w:eastAsia="sk-SK"/>
                    </w:rPr>
                    <w:t>26 339</w:t>
                  </w:r>
                </w:p>
              </w:tc>
              <w:tc>
                <w:tcPr>
                  <w:tcW w:w="1278" w:type="dxa"/>
                  <w:tcBorders>
                    <w:top w:val="single" w:sz="4" w:space="0" w:color="auto"/>
                    <w:left w:val="nil"/>
                    <w:bottom w:val="single" w:sz="4" w:space="0" w:color="auto"/>
                    <w:right w:val="single" w:sz="4" w:space="0" w:color="auto"/>
                    <w:tl2br w:val="nil"/>
                    <w:tr2bl w:val="nil"/>
                  </w:tcBorders>
                  <w:noWrap/>
                  <w:textDirection w:val="lrTb"/>
                  <w:vAlign w:val="center"/>
                </w:tcPr>
                <w:p w:rsidR="00854617" w:rsidRPr="00854617" w:rsidP="00854617">
                  <w:pPr>
                    <w:spacing w:line="240" w:lineRule="auto"/>
                    <w:jc w:val="right"/>
                    <w:rPr>
                      <w:rFonts w:ascii="Arial Narrow" w:hAnsi="Arial Narrow" w:cs="Arial"/>
                      <w:lang w:eastAsia="sk-SK"/>
                    </w:rPr>
                  </w:pPr>
                  <w:r w:rsidRPr="00854617">
                    <w:rPr>
                      <w:rFonts w:ascii="Arial Narrow" w:hAnsi="Arial Narrow" w:cs="Arial"/>
                      <w:lang w:eastAsia="sk-SK"/>
                    </w:rPr>
                    <w:t>26 275</w:t>
                  </w:r>
                </w:p>
              </w:tc>
            </w:tr>
            <w:tr>
              <w:tblPrEx>
                <w:tblW w:w="10360" w:type="dxa"/>
                <w:tblCellMar>
                  <w:left w:w="70" w:type="dxa"/>
                  <w:right w:w="70" w:type="dxa"/>
                </w:tblCellMar>
              </w:tblPrEx>
              <w:trPr>
                <w:trHeight w:hRule="exact" w:val="284"/>
              </w:trPr>
              <w:tc>
                <w:tcPr>
                  <w:tcW w:w="3582" w:type="dxa"/>
                  <w:tcBorders>
                    <w:top w:val="single" w:sz="4" w:space="0" w:color="auto"/>
                    <w:left w:val="single" w:sz="4" w:space="0" w:color="auto"/>
                    <w:bottom w:val="single" w:sz="4" w:space="0" w:color="auto"/>
                    <w:right w:val="nil"/>
                    <w:tl2br w:val="nil"/>
                    <w:tr2bl w:val="nil"/>
                  </w:tcBorders>
                  <w:noWrap/>
                  <w:textDirection w:val="lrTb"/>
                  <w:vAlign w:val="center"/>
                </w:tcPr>
                <w:p w:rsidR="00854617" w:rsidRPr="00854617" w:rsidP="00854617">
                  <w:pPr>
                    <w:spacing w:line="240" w:lineRule="auto"/>
                    <w:rPr>
                      <w:rFonts w:ascii="Arial Narrow" w:hAnsi="Arial Narrow" w:cs="Arial"/>
                      <w:lang w:eastAsia="sk-SK"/>
                    </w:rPr>
                  </w:pPr>
                  <w:r w:rsidRPr="00854617">
                    <w:rPr>
                      <w:rFonts w:ascii="Arial Narrow" w:hAnsi="Arial Narrow" w:cs="Arial"/>
                      <w:lang w:eastAsia="sk-SK"/>
                    </w:rPr>
                    <w:t>04.5.1.1. MDPT SR – apa</w:t>
                  </w:r>
                  <w:r w:rsidRPr="00854617">
                    <w:rPr>
                      <w:rFonts w:ascii="Arial Narrow" w:hAnsi="Arial Narrow" w:cs="Arial"/>
                      <w:lang w:eastAsia="sk-SK"/>
                    </w:rPr>
                    <w:t>rát</w:t>
                  </w:r>
                </w:p>
              </w:tc>
              <w:tc>
                <w:tcPr>
                  <w:tcW w:w="1083" w:type="dxa"/>
                  <w:tcBorders>
                    <w:top w:val="single" w:sz="4" w:space="0" w:color="auto"/>
                    <w:left w:val="single" w:sz="8" w:space="0" w:color="auto"/>
                    <w:bottom w:val="single" w:sz="4" w:space="0" w:color="auto"/>
                    <w:right w:val="single" w:sz="8" w:space="0" w:color="auto"/>
                    <w:tl2br w:val="nil"/>
                    <w:tr2bl w:val="nil"/>
                  </w:tcBorders>
                  <w:noWrap/>
                  <w:textDirection w:val="lrTb"/>
                  <w:vAlign w:val="center"/>
                </w:tcPr>
                <w:p w:rsidR="00854617" w:rsidRPr="00854617" w:rsidP="00854617">
                  <w:pPr>
                    <w:spacing w:line="240" w:lineRule="auto"/>
                    <w:jc w:val="right"/>
                    <w:rPr>
                      <w:rFonts w:ascii="Arial Narrow" w:hAnsi="Arial Narrow" w:cs="Arial"/>
                      <w:lang w:eastAsia="sk-SK"/>
                    </w:rPr>
                  </w:pPr>
                  <w:r w:rsidRPr="00854617">
                    <w:rPr>
                      <w:rFonts w:ascii="Arial Narrow" w:hAnsi="Arial Narrow" w:cs="Arial"/>
                      <w:lang w:eastAsia="sk-SK"/>
                    </w:rPr>
                    <w:t>578 558</w:t>
                  </w:r>
                </w:p>
              </w:tc>
              <w:tc>
                <w:tcPr>
                  <w:tcW w:w="1098" w:type="dxa"/>
                  <w:tcBorders>
                    <w:top w:val="single" w:sz="4" w:space="0" w:color="auto"/>
                    <w:left w:val="nil"/>
                    <w:bottom w:val="single" w:sz="4" w:space="0" w:color="auto"/>
                    <w:right w:val="single" w:sz="8" w:space="0" w:color="auto"/>
                    <w:tl2br w:val="nil"/>
                    <w:tr2bl w:val="nil"/>
                  </w:tcBorders>
                  <w:noWrap/>
                  <w:textDirection w:val="lrTb"/>
                  <w:vAlign w:val="center"/>
                </w:tcPr>
                <w:p w:rsidR="00854617" w:rsidRPr="00854617" w:rsidP="00854617">
                  <w:pPr>
                    <w:spacing w:line="240" w:lineRule="auto"/>
                    <w:jc w:val="right"/>
                    <w:rPr>
                      <w:rFonts w:ascii="Arial Narrow" w:hAnsi="Arial Narrow" w:cs="Arial"/>
                      <w:lang w:eastAsia="sk-SK"/>
                    </w:rPr>
                  </w:pPr>
                  <w:r w:rsidRPr="00854617">
                    <w:rPr>
                      <w:rFonts w:ascii="Arial Narrow" w:hAnsi="Arial Narrow" w:cs="Arial"/>
                      <w:lang w:eastAsia="sk-SK"/>
                    </w:rPr>
                    <w:t>569 609</w:t>
                  </w:r>
                </w:p>
              </w:tc>
              <w:tc>
                <w:tcPr>
                  <w:tcW w:w="1191" w:type="dxa"/>
                  <w:tcBorders>
                    <w:top w:val="single" w:sz="4" w:space="0" w:color="auto"/>
                    <w:left w:val="nil"/>
                    <w:bottom w:val="single" w:sz="4" w:space="0" w:color="auto"/>
                    <w:right w:val="single" w:sz="8" w:space="0" w:color="auto"/>
                    <w:tl2br w:val="nil"/>
                    <w:tr2bl w:val="nil"/>
                  </w:tcBorders>
                  <w:noWrap/>
                  <w:textDirection w:val="lrTb"/>
                  <w:vAlign w:val="center"/>
                </w:tcPr>
                <w:p w:rsidR="00854617" w:rsidRPr="00854617" w:rsidP="00854617">
                  <w:pPr>
                    <w:spacing w:line="240" w:lineRule="auto"/>
                    <w:jc w:val="right"/>
                    <w:rPr>
                      <w:rFonts w:ascii="Arial Narrow" w:hAnsi="Arial Narrow" w:cs="Arial"/>
                      <w:lang w:eastAsia="sk-SK"/>
                    </w:rPr>
                  </w:pPr>
                  <w:r w:rsidRPr="00854617">
                    <w:rPr>
                      <w:rFonts w:ascii="Arial Narrow" w:hAnsi="Arial Narrow" w:cs="Arial"/>
                      <w:lang w:eastAsia="sk-SK"/>
                    </w:rPr>
                    <w:t>53 594</w:t>
                  </w:r>
                </w:p>
              </w:tc>
              <w:tc>
                <w:tcPr>
                  <w:tcW w:w="1081" w:type="dxa"/>
                  <w:tcBorders>
                    <w:top w:val="single" w:sz="4" w:space="0" w:color="auto"/>
                    <w:left w:val="nil"/>
                    <w:bottom w:val="single" w:sz="4" w:space="0" w:color="auto"/>
                    <w:right w:val="single" w:sz="8" w:space="0" w:color="auto"/>
                    <w:tl2br w:val="nil"/>
                    <w:tr2bl w:val="nil"/>
                  </w:tcBorders>
                  <w:noWrap/>
                  <w:textDirection w:val="lrTb"/>
                  <w:vAlign w:val="center"/>
                </w:tcPr>
                <w:p w:rsidR="00854617" w:rsidRPr="00854617" w:rsidP="00854617">
                  <w:pPr>
                    <w:spacing w:line="240" w:lineRule="auto"/>
                    <w:jc w:val="right"/>
                    <w:rPr>
                      <w:rFonts w:ascii="Arial Narrow" w:hAnsi="Arial Narrow" w:cs="Arial"/>
                      <w:lang w:eastAsia="sk-SK"/>
                    </w:rPr>
                  </w:pPr>
                  <w:r w:rsidRPr="00854617">
                    <w:rPr>
                      <w:rFonts w:ascii="Arial Narrow" w:hAnsi="Arial Narrow" w:cs="Arial"/>
                      <w:lang w:eastAsia="sk-SK"/>
                    </w:rPr>
                    <w:t>64 622</w:t>
                  </w:r>
                </w:p>
              </w:tc>
              <w:tc>
                <w:tcPr>
                  <w:tcW w:w="1047" w:type="dxa"/>
                  <w:tcBorders>
                    <w:top w:val="single" w:sz="4" w:space="0" w:color="auto"/>
                    <w:left w:val="nil"/>
                    <w:bottom w:val="single" w:sz="4" w:space="0" w:color="auto"/>
                    <w:right w:val="single" w:sz="8" w:space="0" w:color="auto"/>
                    <w:tl2br w:val="nil"/>
                    <w:tr2bl w:val="nil"/>
                  </w:tcBorders>
                  <w:noWrap/>
                  <w:textDirection w:val="lrTb"/>
                  <w:vAlign w:val="center"/>
                </w:tcPr>
                <w:p w:rsidR="00854617" w:rsidRPr="00854617" w:rsidP="00854617">
                  <w:pPr>
                    <w:spacing w:line="240" w:lineRule="auto"/>
                    <w:jc w:val="right"/>
                    <w:rPr>
                      <w:rFonts w:ascii="Arial Narrow" w:hAnsi="Arial Narrow" w:cs="Arial"/>
                      <w:lang w:eastAsia="sk-SK"/>
                    </w:rPr>
                  </w:pPr>
                  <w:r w:rsidRPr="00854617">
                    <w:rPr>
                      <w:rFonts w:ascii="Arial Narrow" w:hAnsi="Arial Narrow" w:cs="Arial"/>
                      <w:lang w:eastAsia="sk-SK"/>
                    </w:rPr>
                    <w:t>632 152</w:t>
                  </w:r>
                </w:p>
              </w:tc>
              <w:tc>
                <w:tcPr>
                  <w:tcW w:w="1278" w:type="dxa"/>
                  <w:tcBorders>
                    <w:top w:val="single" w:sz="4" w:space="0" w:color="auto"/>
                    <w:left w:val="nil"/>
                    <w:bottom w:val="single" w:sz="4" w:space="0" w:color="auto"/>
                    <w:right w:val="single" w:sz="4" w:space="0" w:color="auto"/>
                    <w:tl2br w:val="nil"/>
                    <w:tr2bl w:val="nil"/>
                  </w:tcBorders>
                  <w:noWrap/>
                  <w:textDirection w:val="lrTb"/>
                  <w:vAlign w:val="center"/>
                </w:tcPr>
                <w:p w:rsidR="00854617" w:rsidRPr="00854617" w:rsidP="00854617">
                  <w:pPr>
                    <w:spacing w:line="240" w:lineRule="auto"/>
                    <w:jc w:val="right"/>
                    <w:rPr>
                      <w:rFonts w:ascii="Arial Narrow" w:hAnsi="Arial Narrow" w:cs="Arial"/>
                      <w:lang w:eastAsia="sk-SK"/>
                    </w:rPr>
                  </w:pPr>
                  <w:r w:rsidRPr="00854617">
                    <w:rPr>
                      <w:rFonts w:ascii="Arial Narrow" w:hAnsi="Arial Narrow" w:cs="Arial"/>
                      <w:lang w:eastAsia="sk-SK"/>
                    </w:rPr>
                    <w:t>634 231</w:t>
                  </w:r>
                </w:p>
              </w:tc>
            </w:tr>
            <w:tr>
              <w:tblPrEx>
                <w:tblW w:w="10360" w:type="dxa"/>
                <w:tblCellMar>
                  <w:left w:w="70" w:type="dxa"/>
                  <w:right w:w="70" w:type="dxa"/>
                </w:tblCellMar>
              </w:tblPrEx>
              <w:trPr>
                <w:trHeight w:hRule="exact" w:val="284"/>
              </w:trPr>
              <w:tc>
                <w:tcPr>
                  <w:tcW w:w="3582" w:type="dxa"/>
                  <w:tcBorders>
                    <w:top w:val="single" w:sz="4" w:space="0" w:color="auto"/>
                    <w:left w:val="single" w:sz="4" w:space="0" w:color="auto"/>
                    <w:bottom w:val="single" w:sz="4" w:space="0" w:color="auto"/>
                    <w:right w:val="nil"/>
                    <w:tl2br w:val="nil"/>
                    <w:tr2bl w:val="nil"/>
                  </w:tcBorders>
                  <w:noWrap/>
                  <w:textDirection w:val="lrTb"/>
                  <w:vAlign w:val="center"/>
                </w:tcPr>
                <w:p w:rsidR="00854617" w:rsidRPr="00854617" w:rsidP="00854617">
                  <w:pPr>
                    <w:spacing w:line="240" w:lineRule="auto"/>
                    <w:rPr>
                      <w:rFonts w:ascii="Arial Narrow" w:hAnsi="Arial Narrow" w:cs="Arial"/>
                      <w:lang w:eastAsia="sk-SK"/>
                    </w:rPr>
                  </w:pPr>
                  <w:r w:rsidRPr="00854617">
                    <w:rPr>
                      <w:rFonts w:ascii="Arial Narrow" w:hAnsi="Arial Narrow" w:cs="Arial"/>
                      <w:lang w:eastAsia="sk-SK"/>
                    </w:rPr>
                    <w:t>z toho:    Technická asistencia – fond ERDF</w:t>
                  </w:r>
                </w:p>
              </w:tc>
              <w:tc>
                <w:tcPr>
                  <w:tcW w:w="1083" w:type="dxa"/>
                  <w:tcBorders>
                    <w:top w:val="single" w:sz="4" w:space="0" w:color="auto"/>
                    <w:left w:val="single" w:sz="8" w:space="0" w:color="auto"/>
                    <w:bottom w:val="single" w:sz="4" w:space="0" w:color="auto"/>
                    <w:right w:val="single" w:sz="8" w:space="0" w:color="auto"/>
                    <w:tl2br w:val="nil"/>
                    <w:tr2bl w:val="nil"/>
                  </w:tcBorders>
                  <w:noWrap/>
                  <w:textDirection w:val="lrTb"/>
                  <w:vAlign w:val="center"/>
                </w:tcPr>
                <w:p w:rsidR="00854617" w:rsidRPr="00854617" w:rsidP="00854617">
                  <w:pPr>
                    <w:spacing w:line="240" w:lineRule="auto"/>
                    <w:jc w:val="right"/>
                    <w:rPr>
                      <w:rFonts w:ascii="Arial Narrow" w:hAnsi="Arial Narrow" w:cs="Arial"/>
                      <w:lang w:eastAsia="sk-SK"/>
                    </w:rPr>
                  </w:pPr>
                  <w:r w:rsidRPr="00854617">
                    <w:rPr>
                      <w:rFonts w:ascii="Arial Narrow" w:hAnsi="Arial Narrow" w:cs="Arial"/>
                      <w:lang w:eastAsia="sk-SK"/>
                    </w:rPr>
                    <w:t>31 632</w:t>
                  </w:r>
                </w:p>
              </w:tc>
              <w:tc>
                <w:tcPr>
                  <w:tcW w:w="1098" w:type="dxa"/>
                  <w:tcBorders>
                    <w:top w:val="single" w:sz="4" w:space="0" w:color="auto"/>
                    <w:left w:val="nil"/>
                    <w:bottom w:val="single" w:sz="4" w:space="0" w:color="auto"/>
                    <w:right w:val="single" w:sz="8" w:space="0" w:color="auto"/>
                    <w:tl2br w:val="nil"/>
                    <w:tr2bl w:val="nil"/>
                  </w:tcBorders>
                  <w:noWrap/>
                  <w:textDirection w:val="lrTb"/>
                  <w:vAlign w:val="center"/>
                </w:tcPr>
                <w:p w:rsidR="00854617" w:rsidRPr="00854617" w:rsidP="00854617">
                  <w:pPr>
                    <w:spacing w:line="240" w:lineRule="auto"/>
                    <w:jc w:val="right"/>
                    <w:rPr>
                      <w:rFonts w:ascii="Arial Narrow" w:hAnsi="Arial Narrow" w:cs="Arial"/>
                      <w:lang w:eastAsia="sk-SK"/>
                    </w:rPr>
                  </w:pPr>
                  <w:r w:rsidRPr="00854617">
                    <w:rPr>
                      <w:rFonts w:ascii="Arial Narrow" w:hAnsi="Arial Narrow" w:cs="Arial"/>
                      <w:lang w:eastAsia="sk-SK"/>
                    </w:rPr>
                    <w:t>31 632</w:t>
                  </w:r>
                </w:p>
              </w:tc>
              <w:tc>
                <w:tcPr>
                  <w:tcW w:w="1191" w:type="dxa"/>
                  <w:tcBorders>
                    <w:top w:val="single" w:sz="4" w:space="0" w:color="auto"/>
                    <w:left w:val="nil"/>
                    <w:bottom w:val="single" w:sz="4" w:space="0" w:color="auto"/>
                    <w:right w:val="single" w:sz="8" w:space="0" w:color="auto"/>
                    <w:tl2br w:val="nil"/>
                    <w:tr2bl w:val="nil"/>
                  </w:tcBorders>
                  <w:noWrap/>
                  <w:textDirection w:val="lrTb"/>
                  <w:vAlign w:val="center"/>
                </w:tcPr>
                <w:p w:rsidR="00854617" w:rsidRPr="00854617" w:rsidP="00854617">
                  <w:pPr>
                    <w:spacing w:line="240" w:lineRule="auto"/>
                    <w:jc w:val="right"/>
                    <w:rPr>
                      <w:rFonts w:ascii="Arial Narrow" w:hAnsi="Arial Narrow" w:cs="Arial"/>
                      <w:lang w:eastAsia="sk-SK"/>
                    </w:rPr>
                  </w:pPr>
                  <w:r w:rsidRPr="00854617">
                    <w:rPr>
                      <w:rFonts w:ascii="Arial Narrow" w:hAnsi="Arial Narrow" w:cs="Arial"/>
                      <w:lang w:eastAsia="sk-SK"/>
                    </w:rPr>
                    <w:t>872</w:t>
                  </w:r>
                </w:p>
              </w:tc>
              <w:tc>
                <w:tcPr>
                  <w:tcW w:w="1081" w:type="dxa"/>
                  <w:tcBorders>
                    <w:top w:val="single" w:sz="4" w:space="0" w:color="auto"/>
                    <w:left w:val="nil"/>
                    <w:bottom w:val="single" w:sz="4" w:space="0" w:color="auto"/>
                    <w:right w:val="single" w:sz="8" w:space="0" w:color="auto"/>
                    <w:tl2br w:val="nil"/>
                    <w:tr2bl w:val="nil"/>
                  </w:tcBorders>
                  <w:noWrap/>
                  <w:textDirection w:val="lrTb"/>
                  <w:vAlign w:val="center"/>
                </w:tcPr>
                <w:p w:rsidR="00854617" w:rsidRPr="00854617" w:rsidP="00854617">
                  <w:pPr>
                    <w:spacing w:line="240" w:lineRule="auto"/>
                    <w:jc w:val="right"/>
                    <w:rPr>
                      <w:rFonts w:ascii="Arial Narrow" w:hAnsi="Arial Narrow" w:cs="Arial"/>
                      <w:lang w:eastAsia="sk-SK"/>
                    </w:rPr>
                  </w:pPr>
                  <w:r w:rsidRPr="00854617">
                    <w:rPr>
                      <w:rFonts w:ascii="Arial Narrow" w:hAnsi="Arial Narrow" w:cs="Arial"/>
                      <w:lang w:eastAsia="sk-SK"/>
                    </w:rPr>
                    <w:t>872</w:t>
                  </w:r>
                </w:p>
              </w:tc>
              <w:tc>
                <w:tcPr>
                  <w:tcW w:w="1047" w:type="dxa"/>
                  <w:tcBorders>
                    <w:top w:val="single" w:sz="4" w:space="0" w:color="auto"/>
                    <w:left w:val="nil"/>
                    <w:bottom w:val="single" w:sz="4" w:space="0" w:color="auto"/>
                    <w:right w:val="single" w:sz="8" w:space="0" w:color="auto"/>
                    <w:tl2br w:val="nil"/>
                    <w:tr2bl w:val="nil"/>
                  </w:tcBorders>
                  <w:noWrap/>
                  <w:textDirection w:val="lrTb"/>
                  <w:vAlign w:val="center"/>
                </w:tcPr>
                <w:p w:rsidR="00854617" w:rsidRPr="00854617" w:rsidP="00854617">
                  <w:pPr>
                    <w:spacing w:line="240" w:lineRule="auto"/>
                    <w:jc w:val="right"/>
                    <w:rPr>
                      <w:rFonts w:ascii="Arial Narrow" w:hAnsi="Arial Narrow" w:cs="Arial"/>
                      <w:lang w:eastAsia="sk-SK"/>
                    </w:rPr>
                  </w:pPr>
                  <w:r w:rsidRPr="00854617">
                    <w:rPr>
                      <w:rFonts w:ascii="Arial Narrow" w:hAnsi="Arial Narrow" w:cs="Arial"/>
                      <w:lang w:eastAsia="sk-SK"/>
                    </w:rPr>
                    <w:t>32 504</w:t>
                  </w:r>
                </w:p>
              </w:tc>
              <w:tc>
                <w:tcPr>
                  <w:tcW w:w="1278" w:type="dxa"/>
                  <w:tcBorders>
                    <w:top w:val="single" w:sz="4" w:space="0" w:color="auto"/>
                    <w:left w:val="nil"/>
                    <w:bottom w:val="single" w:sz="4" w:space="0" w:color="auto"/>
                    <w:right w:val="single" w:sz="4" w:space="0" w:color="auto"/>
                    <w:tl2br w:val="nil"/>
                    <w:tr2bl w:val="nil"/>
                  </w:tcBorders>
                  <w:noWrap/>
                  <w:textDirection w:val="lrTb"/>
                  <w:vAlign w:val="center"/>
                </w:tcPr>
                <w:p w:rsidR="00854617" w:rsidRPr="00854617" w:rsidP="00854617">
                  <w:pPr>
                    <w:spacing w:line="240" w:lineRule="auto"/>
                    <w:jc w:val="right"/>
                    <w:rPr>
                      <w:rFonts w:ascii="Arial Narrow" w:hAnsi="Arial Narrow" w:cs="Arial"/>
                      <w:lang w:eastAsia="sk-SK"/>
                    </w:rPr>
                  </w:pPr>
                  <w:r w:rsidRPr="00854617">
                    <w:rPr>
                      <w:rFonts w:ascii="Arial Narrow" w:hAnsi="Arial Narrow" w:cs="Arial"/>
                      <w:lang w:eastAsia="sk-SK"/>
                    </w:rPr>
                    <w:t>32 504</w:t>
                  </w:r>
                </w:p>
              </w:tc>
            </w:tr>
            <w:tr>
              <w:tblPrEx>
                <w:tblW w:w="10360" w:type="dxa"/>
                <w:tblCellMar>
                  <w:left w:w="70" w:type="dxa"/>
                  <w:right w:w="70" w:type="dxa"/>
                </w:tblCellMar>
              </w:tblPrEx>
              <w:trPr>
                <w:trHeight w:hRule="exact" w:val="284"/>
              </w:trPr>
              <w:tc>
                <w:tcPr>
                  <w:tcW w:w="3582" w:type="dxa"/>
                  <w:tcBorders>
                    <w:top w:val="single" w:sz="4" w:space="0" w:color="auto"/>
                    <w:left w:val="single" w:sz="4" w:space="0" w:color="auto"/>
                    <w:bottom w:val="single" w:sz="4" w:space="0" w:color="auto"/>
                    <w:right w:val="nil"/>
                    <w:tl2br w:val="nil"/>
                    <w:tr2bl w:val="nil"/>
                  </w:tcBorders>
                  <w:noWrap/>
                  <w:textDirection w:val="lrTb"/>
                  <w:vAlign w:val="center"/>
                </w:tcPr>
                <w:p w:rsidR="00854617" w:rsidRPr="00854617" w:rsidP="00854617">
                  <w:pPr>
                    <w:spacing w:line="240" w:lineRule="auto"/>
                    <w:rPr>
                      <w:rFonts w:ascii="Arial Narrow" w:hAnsi="Arial Narrow" w:cs="Arial"/>
                      <w:lang w:eastAsia="sk-SK"/>
                    </w:rPr>
                  </w:pPr>
                  <w:r w:rsidRPr="00854617">
                    <w:rPr>
                      <w:rFonts w:ascii="Arial Narrow" w:hAnsi="Arial Narrow" w:cs="Arial"/>
                      <w:lang w:eastAsia="sk-SK"/>
                    </w:rPr>
                    <w:t>z toho:    Tech. asistencia – spolufin. ERDF</w:t>
                  </w:r>
                </w:p>
              </w:tc>
              <w:tc>
                <w:tcPr>
                  <w:tcW w:w="1083" w:type="dxa"/>
                  <w:tcBorders>
                    <w:top w:val="single" w:sz="4" w:space="0" w:color="auto"/>
                    <w:left w:val="single" w:sz="8" w:space="0" w:color="auto"/>
                    <w:bottom w:val="single" w:sz="4" w:space="0" w:color="auto"/>
                    <w:right w:val="single" w:sz="8" w:space="0" w:color="auto"/>
                    <w:tl2br w:val="nil"/>
                    <w:tr2bl w:val="nil"/>
                  </w:tcBorders>
                  <w:noWrap/>
                  <w:textDirection w:val="lrTb"/>
                  <w:vAlign w:val="center"/>
                </w:tcPr>
                <w:p w:rsidR="00854617" w:rsidRPr="00854617" w:rsidP="00854617">
                  <w:pPr>
                    <w:spacing w:line="240" w:lineRule="auto"/>
                    <w:jc w:val="right"/>
                    <w:rPr>
                      <w:rFonts w:ascii="Arial Narrow" w:hAnsi="Arial Narrow" w:cs="Arial"/>
                      <w:lang w:eastAsia="sk-SK"/>
                    </w:rPr>
                  </w:pPr>
                  <w:r w:rsidRPr="00854617">
                    <w:rPr>
                      <w:rFonts w:ascii="Arial Narrow" w:hAnsi="Arial Narrow" w:cs="Arial"/>
                      <w:lang w:eastAsia="sk-SK"/>
                    </w:rPr>
                    <w:t>10 544</w:t>
                  </w:r>
                </w:p>
              </w:tc>
              <w:tc>
                <w:tcPr>
                  <w:tcW w:w="1098" w:type="dxa"/>
                  <w:tcBorders>
                    <w:top w:val="single" w:sz="4" w:space="0" w:color="auto"/>
                    <w:left w:val="nil"/>
                    <w:bottom w:val="single" w:sz="4" w:space="0" w:color="auto"/>
                    <w:right w:val="single" w:sz="8" w:space="0" w:color="auto"/>
                    <w:tl2br w:val="nil"/>
                    <w:tr2bl w:val="nil"/>
                  </w:tcBorders>
                  <w:noWrap/>
                  <w:textDirection w:val="lrTb"/>
                  <w:vAlign w:val="center"/>
                </w:tcPr>
                <w:p w:rsidR="00854617" w:rsidRPr="00854617" w:rsidP="00854617">
                  <w:pPr>
                    <w:spacing w:line="240" w:lineRule="auto"/>
                    <w:jc w:val="right"/>
                    <w:rPr>
                      <w:rFonts w:ascii="Arial Narrow" w:hAnsi="Arial Narrow" w:cs="Arial"/>
                      <w:lang w:eastAsia="sk-SK"/>
                    </w:rPr>
                  </w:pPr>
                  <w:r w:rsidRPr="00854617">
                    <w:rPr>
                      <w:rFonts w:ascii="Arial Narrow" w:hAnsi="Arial Narrow" w:cs="Arial"/>
                      <w:lang w:eastAsia="sk-SK"/>
                    </w:rPr>
                    <w:t>10 544</w:t>
                  </w:r>
                </w:p>
              </w:tc>
              <w:tc>
                <w:tcPr>
                  <w:tcW w:w="1191" w:type="dxa"/>
                  <w:tcBorders>
                    <w:top w:val="single" w:sz="4" w:space="0" w:color="auto"/>
                    <w:left w:val="nil"/>
                    <w:bottom w:val="single" w:sz="4" w:space="0" w:color="auto"/>
                    <w:right w:val="single" w:sz="8" w:space="0" w:color="auto"/>
                    <w:tl2br w:val="nil"/>
                    <w:tr2bl w:val="nil"/>
                  </w:tcBorders>
                  <w:noWrap/>
                  <w:textDirection w:val="lrTb"/>
                  <w:vAlign w:val="center"/>
                </w:tcPr>
                <w:p w:rsidR="00854617" w:rsidRPr="00854617" w:rsidP="00854617">
                  <w:pPr>
                    <w:spacing w:line="240" w:lineRule="auto"/>
                    <w:jc w:val="right"/>
                    <w:rPr>
                      <w:rFonts w:ascii="Arial Narrow" w:hAnsi="Arial Narrow" w:cs="Arial"/>
                      <w:lang w:eastAsia="sk-SK"/>
                    </w:rPr>
                  </w:pPr>
                  <w:r w:rsidRPr="00854617">
                    <w:rPr>
                      <w:rFonts w:ascii="Arial Narrow" w:hAnsi="Arial Narrow" w:cs="Arial"/>
                      <w:lang w:eastAsia="sk-SK"/>
                    </w:rPr>
                    <w:t>291</w:t>
                  </w:r>
                </w:p>
              </w:tc>
              <w:tc>
                <w:tcPr>
                  <w:tcW w:w="1081" w:type="dxa"/>
                  <w:tcBorders>
                    <w:top w:val="single" w:sz="4" w:space="0" w:color="auto"/>
                    <w:left w:val="nil"/>
                    <w:bottom w:val="single" w:sz="4" w:space="0" w:color="auto"/>
                    <w:right w:val="single" w:sz="8" w:space="0" w:color="auto"/>
                    <w:tl2br w:val="nil"/>
                    <w:tr2bl w:val="nil"/>
                  </w:tcBorders>
                  <w:noWrap/>
                  <w:textDirection w:val="lrTb"/>
                  <w:vAlign w:val="center"/>
                </w:tcPr>
                <w:p w:rsidR="00854617" w:rsidRPr="00854617" w:rsidP="00854617">
                  <w:pPr>
                    <w:spacing w:line="240" w:lineRule="auto"/>
                    <w:jc w:val="right"/>
                    <w:rPr>
                      <w:rFonts w:ascii="Arial Narrow" w:hAnsi="Arial Narrow" w:cs="Arial"/>
                      <w:lang w:eastAsia="sk-SK"/>
                    </w:rPr>
                  </w:pPr>
                  <w:r w:rsidRPr="00854617">
                    <w:rPr>
                      <w:rFonts w:ascii="Arial Narrow" w:hAnsi="Arial Narrow" w:cs="Arial"/>
                      <w:lang w:eastAsia="sk-SK"/>
                    </w:rPr>
                    <w:t>291</w:t>
                  </w:r>
                </w:p>
              </w:tc>
              <w:tc>
                <w:tcPr>
                  <w:tcW w:w="1047" w:type="dxa"/>
                  <w:tcBorders>
                    <w:top w:val="single" w:sz="4" w:space="0" w:color="auto"/>
                    <w:left w:val="nil"/>
                    <w:bottom w:val="single" w:sz="4" w:space="0" w:color="auto"/>
                    <w:right w:val="single" w:sz="8" w:space="0" w:color="auto"/>
                    <w:tl2br w:val="nil"/>
                    <w:tr2bl w:val="nil"/>
                  </w:tcBorders>
                  <w:noWrap/>
                  <w:textDirection w:val="lrTb"/>
                  <w:vAlign w:val="center"/>
                </w:tcPr>
                <w:p w:rsidR="00854617" w:rsidRPr="00854617" w:rsidP="00854617">
                  <w:pPr>
                    <w:spacing w:line="240" w:lineRule="auto"/>
                    <w:jc w:val="right"/>
                    <w:rPr>
                      <w:rFonts w:ascii="Arial Narrow" w:hAnsi="Arial Narrow" w:cs="Arial"/>
                      <w:lang w:eastAsia="sk-SK"/>
                    </w:rPr>
                  </w:pPr>
                  <w:r w:rsidRPr="00854617">
                    <w:rPr>
                      <w:rFonts w:ascii="Arial Narrow" w:hAnsi="Arial Narrow" w:cs="Arial"/>
                      <w:lang w:eastAsia="sk-SK"/>
                    </w:rPr>
                    <w:t>10 835</w:t>
                  </w:r>
                </w:p>
              </w:tc>
              <w:tc>
                <w:tcPr>
                  <w:tcW w:w="1278" w:type="dxa"/>
                  <w:tcBorders>
                    <w:top w:val="single" w:sz="4" w:space="0" w:color="auto"/>
                    <w:left w:val="nil"/>
                    <w:bottom w:val="single" w:sz="4" w:space="0" w:color="auto"/>
                    <w:right w:val="single" w:sz="4" w:space="0" w:color="auto"/>
                    <w:tl2br w:val="nil"/>
                    <w:tr2bl w:val="nil"/>
                  </w:tcBorders>
                  <w:noWrap/>
                  <w:textDirection w:val="lrTb"/>
                  <w:vAlign w:val="center"/>
                </w:tcPr>
                <w:p w:rsidR="00854617" w:rsidRPr="00854617" w:rsidP="00854617">
                  <w:pPr>
                    <w:spacing w:line="240" w:lineRule="auto"/>
                    <w:jc w:val="right"/>
                    <w:rPr>
                      <w:rFonts w:ascii="Arial Narrow" w:hAnsi="Arial Narrow" w:cs="Arial"/>
                      <w:lang w:eastAsia="sk-SK"/>
                    </w:rPr>
                  </w:pPr>
                  <w:r w:rsidRPr="00854617">
                    <w:rPr>
                      <w:rFonts w:ascii="Arial Narrow" w:hAnsi="Arial Narrow" w:cs="Arial"/>
                      <w:lang w:eastAsia="sk-SK"/>
                    </w:rPr>
                    <w:t>10 835</w:t>
                  </w:r>
                </w:p>
              </w:tc>
            </w:tr>
            <w:tr>
              <w:tblPrEx>
                <w:tblW w:w="10360" w:type="dxa"/>
                <w:tblCellMar>
                  <w:left w:w="70" w:type="dxa"/>
                  <w:right w:w="70" w:type="dxa"/>
                </w:tblCellMar>
              </w:tblPrEx>
              <w:trPr>
                <w:trHeight w:hRule="exact" w:val="284"/>
              </w:trPr>
              <w:tc>
                <w:tcPr>
                  <w:tcW w:w="3582" w:type="dxa"/>
                  <w:tcBorders>
                    <w:top w:val="single" w:sz="4" w:space="0" w:color="auto"/>
                    <w:left w:val="single" w:sz="4" w:space="0" w:color="auto"/>
                    <w:bottom w:val="single" w:sz="4" w:space="0" w:color="auto"/>
                    <w:right w:val="nil"/>
                    <w:tl2br w:val="nil"/>
                    <w:tr2bl w:val="nil"/>
                  </w:tcBorders>
                  <w:noWrap/>
                  <w:textDirection w:val="lrTb"/>
                  <w:vAlign w:val="center"/>
                </w:tcPr>
                <w:p w:rsidR="00854617" w:rsidRPr="00854617" w:rsidP="00854617">
                  <w:pPr>
                    <w:spacing w:line="240" w:lineRule="auto"/>
                    <w:rPr>
                      <w:rFonts w:ascii="Arial Narrow" w:hAnsi="Arial Narrow" w:cs="Arial"/>
                      <w:lang w:eastAsia="sk-SK"/>
                    </w:rPr>
                  </w:pPr>
                  <w:r w:rsidRPr="00854617">
                    <w:rPr>
                      <w:rFonts w:ascii="Arial Narrow" w:hAnsi="Arial Narrow" w:cs="Arial"/>
                      <w:lang w:eastAsia="sk-SK"/>
                    </w:rPr>
                    <w:t>04.5.1.2 SSC-Cesty I.tr. a diaľn. privádzače</w:t>
                  </w:r>
                </w:p>
              </w:tc>
              <w:tc>
                <w:tcPr>
                  <w:tcW w:w="1083" w:type="dxa"/>
                  <w:tcBorders>
                    <w:top w:val="single" w:sz="4" w:space="0" w:color="auto"/>
                    <w:left w:val="single" w:sz="8" w:space="0" w:color="auto"/>
                    <w:bottom w:val="single" w:sz="4" w:space="0" w:color="auto"/>
                    <w:right w:val="single" w:sz="8" w:space="0" w:color="auto"/>
                    <w:tl2br w:val="nil"/>
                    <w:tr2bl w:val="nil"/>
                  </w:tcBorders>
                  <w:noWrap/>
                  <w:textDirection w:val="lrTb"/>
                  <w:vAlign w:val="center"/>
                </w:tcPr>
                <w:p w:rsidR="00854617" w:rsidRPr="00854617" w:rsidP="00854617">
                  <w:pPr>
                    <w:spacing w:line="240" w:lineRule="auto"/>
                    <w:jc w:val="right"/>
                    <w:rPr>
                      <w:rFonts w:ascii="Arial Narrow" w:hAnsi="Arial Narrow" w:cs="Arial"/>
                      <w:lang w:eastAsia="sk-SK"/>
                    </w:rPr>
                  </w:pPr>
                  <w:r w:rsidRPr="00854617">
                    <w:rPr>
                      <w:rFonts w:ascii="Arial Narrow" w:hAnsi="Arial Narrow" w:cs="Arial"/>
                      <w:lang w:eastAsia="sk-SK"/>
                    </w:rPr>
                    <w:t>1 081 000</w:t>
                  </w:r>
                </w:p>
              </w:tc>
              <w:tc>
                <w:tcPr>
                  <w:tcW w:w="1098" w:type="dxa"/>
                  <w:tcBorders>
                    <w:top w:val="single" w:sz="4" w:space="0" w:color="auto"/>
                    <w:left w:val="nil"/>
                    <w:bottom w:val="single" w:sz="4" w:space="0" w:color="auto"/>
                    <w:right w:val="single" w:sz="8" w:space="0" w:color="auto"/>
                    <w:tl2br w:val="nil"/>
                    <w:tr2bl w:val="nil"/>
                  </w:tcBorders>
                  <w:noWrap/>
                  <w:textDirection w:val="lrTb"/>
                  <w:vAlign w:val="center"/>
                </w:tcPr>
                <w:p w:rsidR="00854617" w:rsidRPr="00854617" w:rsidP="00854617">
                  <w:pPr>
                    <w:spacing w:line="240" w:lineRule="auto"/>
                    <w:jc w:val="right"/>
                    <w:rPr>
                      <w:rFonts w:ascii="Arial Narrow" w:hAnsi="Arial Narrow" w:cs="Arial"/>
                      <w:lang w:eastAsia="sk-SK"/>
                    </w:rPr>
                  </w:pPr>
                  <w:r w:rsidRPr="00854617">
                    <w:rPr>
                      <w:rFonts w:ascii="Arial Narrow" w:hAnsi="Arial Narrow" w:cs="Arial"/>
                      <w:lang w:eastAsia="sk-SK"/>
                    </w:rPr>
                    <w:t>1 081 000</w:t>
                  </w:r>
                </w:p>
              </w:tc>
              <w:tc>
                <w:tcPr>
                  <w:tcW w:w="1191" w:type="dxa"/>
                  <w:tcBorders>
                    <w:top w:val="single" w:sz="4" w:space="0" w:color="auto"/>
                    <w:left w:val="nil"/>
                    <w:bottom w:val="single" w:sz="4" w:space="0" w:color="auto"/>
                    <w:right w:val="single" w:sz="8" w:space="0" w:color="auto"/>
                    <w:tl2br w:val="nil"/>
                    <w:tr2bl w:val="nil"/>
                  </w:tcBorders>
                  <w:noWrap/>
                  <w:textDirection w:val="lrTb"/>
                  <w:vAlign w:val="center"/>
                </w:tcPr>
                <w:p w:rsidR="00854617" w:rsidRPr="00854617" w:rsidP="00854617">
                  <w:pPr>
                    <w:spacing w:line="240" w:lineRule="auto"/>
                    <w:jc w:val="right"/>
                    <w:rPr>
                      <w:rFonts w:ascii="Arial Narrow" w:hAnsi="Arial Narrow" w:cs="Arial"/>
                      <w:lang w:eastAsia="sk-SK"/>
                    </w:rPr>
                  </w:pPr>
                  <w:r w:rsidRPr="00854617">
                    <w:rPr>
                      <w:rFonts w:ascii="Arial Narrow" w:hAnsi="Arial Narrow" w:cs="Arial"/>
                      <w:lang w:eastAsia="sk-SK"/>
                    </w:rPr>
                    <w:t>3 121 301</w:t>
                  </w:r>
                </w:p>
              </w:tc>
              <w:tc>
                <w:tcPr>
                  <w:tcW w:w="1081" w:type="dxa"/>
                  <w:tcBorders>
                    <w:top w:val="single" w:sz="4" w:space="0" w:color="auto"/>
                    <w:left w:val="nil"/>
                    <w:bottom w:val="single" w:sz="4" w:space="0" w:color="auto"/>
                    <w:right w:val="single" w:sz="8" w:space="0" w:color="auto"/>
                    <w:tl2br w:val="nil"/>
                    <w:tr2bl w:val="nil"/>
                  </w:tcBorders>
                  <w:noWrap/>
                  <w:textDirection w:val="lrTb"/>
                  <w:vAlign w:val="center"/>
                </w:tcPr>
                <w:p w:rsidR="00854617" w:rsidRPr="00854617" w:rsidP="00854617">
                  <w:pPr>
                    <w:spacing w:line="240" w:lineRule="auto"/>
                    <w:jc w:val="right"/>
                    <w:rPr>
                      <w:rFonts w:ascii="Arial Narrow" w:hAnsi="Arial Narrow" w:cs="Arial"/>
                      <w:lang w:eastAsia="sk-SK"/>
                    </w:rPr>
                  </w:pPr>
                  <w:r w:rsidRPr="00854617">
                    <w:rPr>
                      <w:rFonts w:ascii="Arial Narrow" w:hAnsi="Arial Narrow" w:cs="Arial"/>
                      <w:lang w:eastAsia="sk-SK"/>
                    </w:rPr>
                    <w:t>3 119 895</w:t>
                  </w:r>
                </w:p>
              </w:tc>
              <w:tc>
                <w:tcPr>
                  <w:tcW w:w="1047" w:type="dxa"/>
                  <w:tcBorders>
                    <w:top w:val="single" w:sz="4" w:space="0" w:color="auto"/>
                    <w:left w:val="nil"/>
                    <w:bottom w:val="single" w:sz="4" w:space="0" w:color="auto"/>
                    <w:right w:val="single" w:sz="8" w:space="0" w:color="auto"/>
                    <w:tl2br w:val="nil"/>
                    <w:tr2bl w:val="nil"/>
                  </w:tcBorders>
                  <w:noWrap/>
                  <w:textDirection w:val="lrTb"/>
                  <w:vAlign w:val="center"/>
                </w:tcPr>
                <w:p w:rsidR="00854617" w:rsidRPr="00854617" w:rsidP="00854617">
                  <w:pPr>
                    <w:spacing w:line="240" w:lineRule="auto"/>
                    <w:jc w:val="right"/>
                    <w:rPr>
                      <w:rFonts w:ascii="Arial Narrow" w:hAnsi="Arial Narrow" w:cs="Arial"/>
                      <w:lang w:eastAsia="sk-SK"/>
                    </w:rPr>
                  </w:pPr>
                  <w:r w:rsidRPr="00854617">
                    <w:rPr>
                      <w:rFonts w:ascii="Arial Narrow" w:hAnsi="Arial Narrow" w:cs="Arial"/>
                      <w:lang w:eastAsia="sk-SK"/>
                    </w:rPr>
                    <w:t>4 202 301</w:t>
                  </w:r>
                </w:p>
              </w:tc>
              <w:tc>
                <w:tcPr>
                  <w:tcW w:w="1278" w:type="dxa"/>
                  <w:tcBorders>
                    <w:top w:val="single" w:sz="4" w:space="0" w:color="auto"/>
                    <w:left w:val="nil"/>
                    <w:bottom w:val="single" w:sz="4" w:space="0" w:color="auto"/>
                    <w:right w:val="single" w:sz="4" w:space="0" w:color="auto"/>
                    <w:tl2br w:val="nil"/>
                    <w:tr2bl w:val="nil"/>
                  </w:tcBorders>
                  <w:noWrap/>
                  <w:textDirection w:val="lrTb"/>
                  <w:vAlign w:val="center"/>
                </w:tcPr>
                <w:p w:rsidR="00854617" w:rsidRPr="00854617" w:rsidP="00854617">
                  <w:pPr>
                    <w:spacing w:line="240" w:lineRule="auto"/>
                    <w:jc w:val="right"/>
                    <w:rPr>
                      <w:rFonts w:ascii="Arial Narrow" w:hAnsi="Arial Narrow" w:cs="Arial"/>
                      <w:lang w:eastAsia="sk-SK"/>
                    </w:rPr>
                  </w:pPr>
                  <w:r w:rsidRPr="00854617">
                    <w:rPr>
                      <w:rFonts w:ascii="Arial Narrow" w:hAnsi="Arial Narrow" w:cs="Arial"/>
                      <w:lang w:eastAsia="sk-SK"/>
                    </w:rPr>
                    <w:t>4 200 895</w:t>
                  </w:r>
                </w:p>
              </w:tc>
            </w:tr>
            <w:tr>
              <w:tblPrEx>
                <w:tblW w:w="10360" w:type="dxa"/>
                <w:tblCellMar>
                  <w:left w:w="70" w:type="dxa"/>
                  <w:right w:w="70" w:type="dxa"/>
                </w:tblCellMar>
              </w:tblPrEx>
              <w:trPr>
                <w:trHeight w:hRule="exact" w:val="284"/>
              </w:trPr>
              <w:tc>
                <w:tcPr>
                  <w:tcW w:w="3582" w:type="dxa"/>
                  <w:tcBorders>
                    <w:top w:val="single" w:sz="4" w:space="0" w:color="auto"/>
                    <w:left w:val="single" w:sz="4" w:space="0" w:color="auto"/>
                    <w:bottom w:val="single" w:sz="4" w:space="0" w:color="auto"/>
                    <w:right w:val="nil"/>
                    <w:tl2br w:val="nil"/>
                    <w:tr2bl w:val="nil"/>
                  </w:tcBorders>
                  <w:noWrap/>
                  <w:textDirection w:val="lrTb"/>
                  <w:vAlign w:val="center"/>
                </w:tcPr>
                <w:p w:rsidR="00854617" w:rsidRPr="00854617" w:rsidP="00854617">
                  <w:pPr>
                    <w:spacing w:line="240" w:lineRule="auto"/>
                    <w:rPr>
                      <w:rFonts w:ascii="Arial Narrow" w:hAnsi="Arial Narrow" w:cs="Arial"/>
                      <w:lang w:eastAsia="sk-SK"/>
                    </w:rPr>
                  </w:pPr>
                  <w:r w:rsidRPr="00854617">
                    <w:rPr>
                      <w:rFonts w:ascii="Arial Narrow" w:hAnsi="Arial Narrow" w:cs="Arial"/>
                      <w:lang w:eastAsia="sk-SK"/>
                    </w:rPr>
                    <w:t>z toho:    Fond ERDF</w:t>
                  </w:r>
                </w:p>
              </w:tc>
              <w:tc>
                <w:tcPr>
                  <w:tcW w:w="1083" w:type="dxa"/>
                  <w:tcBorders>
                    <w:top w:val="single" w:sz="4" w:space="0" w:color="auto"/>
                    <w:left w:val="single" w:sz="8" w:space="0" w:color="auto"/>
                    <w:bottom w:val="single" w:sz="4" w:space="0" w:color="auto"/>
                    <w:right w:val="single" w:sz="8" w:space="0" w:color="auto"/>
                    <w:tl2br w:val="nil"/>
                    <w:tr2bl w:val="nil"/>
                  </w:tcBorders>
                  <w:noWrap/>
                  <w:textDirection w:val="lrTb"/>
                  <w:vAlign w:val="center"/>
                </w:tcPr>
                <w:p w:rsidR="00854617" w:rsidRPr="00854617" w:rsidP="00854617">
                  <w:pPr>
                    <w:spacing w:line="240" w:lineRule="auto"/>
                    <w:jc w:val="right"/>
                    <w:rPr>
                      <w:rFonts w:ascii="Arial Narrow" w:hAnsi="Arial Narrow" w:cs="Arial"/>
                      <w:lang w:eastAsia="sk-SK"/>
                    </w:rPr>
                  </w:pPr>
                  <w:r w:rsidRPr="00854617">
                    <w:rPr>
                      <w:rFonts w:ascii="Arial Narrow" w:hAnsi="Arial Narrow" w:cs="Arial"/>
                      <w:lang w:eastAsia="sk-SK"/>
                    </w:rPr>
                    <w:t>0</w:t>
                  </w:r>
                </w:p>
              </w:tc>
              <w:tc>
                <w:tcPr>
                  <w:tcW w:w="1098" w:type="dxa"/>
                  <w:tcBorders>
                    <w:top w:val="single" w:sz="4" w:space="0" w:color="auto"/>
                    <w:left w:val="nil"/>
                    <w:bottom w:val="single" w:sz="4" w:space="0" w:color="auto"/>
                    <w:right w:val="single" w:sz="8" w:space="0" w:color="auto"/>
                    <w:tl2br w:val="nil"/>
                    <w:tr2bl w:val="nil"/>
                  </w:tcBorders>
                  <w:noWrap/>
                  <w:textDirection w:val="lrTb"/>
                  <w:vAlign w:val="center"/>
                </w:tcPr>
                <w:p w:rsidR="00854617" w:rsidRPr="00854617" w:rsidP="00854617">
                  <w:pPr>
                    <w:spacing w:line="240" w:lineRule="auto"/>
                    <w:jc w:val="right"/>
                    <w:rPr>
                      <w:rFonts w:ascii="Arial Narrow" w:hAnsi="Arial Narrow" w:cs="Arial"/>
                      <w:lang w:eastAsia="sk-SK"/>
                    </w:rPr>
                  </w:pPr>
                  <w:r w:rsidRPr="00854617">
                    <w:rPr>
                      <w:rFonts w:ascii="Arial Narrow" w:hAnsi="Arial Narrow" w:cs="Arial"/>
                      <w:lang w:eastAsia="sk-SK"/>
                    </w:rPr>
                    <w:t>0</w:t>
                  </w:r>
                </w:p>
              </w:tc>
              <w:tc>
                <w:tcPr>
                  <w:tcW w:w="1191" w:type="dxa"/>
                  <w:tcBorders>
                    <w:top w:val="single" w:sz="4" w:space="0" w:color="auto"/>
                    <w:left w:val="nil"/>
                    <w:bottom w:val="single" w:sz="4" w:space="0" w:color="auto"/>
                    <w:right w:val="single" w:sz="8" w:space="0" w:color="auto"/>
                    <w:tl2br w:val="nil"/>
                    <w:tr2bl w:val="nil"/>
                  </w:tcBorders>
                  <w:noWrap/>
                  <w:textDirection w:val="lrTb"/>
                  <w:vAlign w:val="center"/>
                </w:tcPr>
                <w:p w:rsidR="00854617" w:rsidRPr="00854617" w:rsidP="00854617">
                  <w:pPr>
                    <w:spacing w:line="240" w:lineRule="auto"/>
                    <w:jc w:val="right"/>
                    <w:rPr>
                      <w:rFonts w:ascii="Arial Narrow" w:hAnsi="Arial Narrow" w:cs="Arial"/>
                      <w:lang w:eastAsia="sk-SK"/>
                    </w:rPr>
                  </w:pPr>
                  <w:r w:rsidRPr="00854617">
                    <w:rPr>
                      <w:rFonts w:ascii="Arial Narrow" w:hAnsi="Arial Narrow" w:cs="Arial"/>
                      <w:lang w:eastAsia="sk-SK"/>
                    </w:rPr>
                    <w:t>402 439</w:t>
                  </w:r>
                </w:p>
              </w:tc>
              <w:tc>
                <w:tcPr>
                  <w:tcW w:w="1081" w:type="dxa"/>
                  <w:tcBorders>
                    <w:top w:val="single" w:sz="4" w:space="0" w:color="auto"/>
                    <w:left w:val="nil"/>
                    <w:bottom w:val="single" w:sz="4" w:space="0" w:color="auto"/>
                    <w:right w:val="single" w:sz="8" w:space="0" w:color="auto"/>
                    <w:tl2br w:val="nil"/>
                    <w:tr2bl w:val="nil"/>
                  </w:tcBorders>
                  <w:noWrap/>
                  <w:textDirection w:val="lrTb"/>
                  <w:vAlign w:val="center"/>
                </w:tcPr>
                <w:p w:rsidR="00854617" w:rsidRPr="00854617" w:rsidP="00854617">
                  <w:pPr>
                    <w:spacing w:line="240" w:lineRule="auto"/>
                    <w:jc w:val="right"/>
                    <w:rPr>
                      <w:rFonts w:ascii="Arial Narrow" w:hAnsi="Arial Narrow" w:cs="Arial"/>
                      <w:lang w:eastAsia="sk-SK"/>
                    </w:rPr>
                  </w:pPr>
                  <w:r w:rsidRPr="00854617">
                    <w:rPr>
                      <w:rFonts w:ascii="Arial Narrow" w:hAnsi="Arial Narrow" w:cs="Arial"/>
                      <w:lang w:eastAsia="sk-SK"/>
                    </w:rPr>
                    <w:t>402 394</w:t>
                  </w:r>
                </w:p>
              </w:tc>
              <w:tc>
                <w:tcPr>
                  <w:tcW w:w="1047" w:type="dxa"/>
                  <w:tcBorders>
                    <w:top w:val="single" w:sz="4" w:space="0" w:color="auto"/>
                    <w:left w:val="nil"/>
                    <w:bottom w:val="single" w:sz="4" w:space="0" w:color="auto"/>
                    <w:right w:val="single" w:sz="8" w:space="0" w:color="auto"/>
                    <w:tl2br w:val="nil"/>
                    <w:tr2bl w:val="nil"/>
                  </w:tcBorders>
                  <w:noWrap/>
                  <w:textDirection w:val="lrTb"/>
                  <w:vAlign w:val="center"/>
                </w:tcPr>
                <w:p w:rsidR="00854617" w:rsidRPr="00854617" w:rsidP="00854617">
                  <w:pPr>
                    <w:spacing w:line="240" w:lineRule="auto"/>
                    <w:jc w:val="right"/>
                    <w:rPr>
                      <w:rFonts w:ascii="Arial Narrow" w:hAnsi="Arial Narrow" w:cs="Arial"/>
                      <w:lang w:eastAsia="sk-SK"/>
                    </w:rPr>
                  </w:pPr>
                  <w:r w:rsidRPr="00854617">
                    <w:rPr>
                      <w:rFonts w:ascii="Arial Narrow" w:hAnsi="Arial Narrow" w:cs="Arial"/>
                      <w:lang w:eastAsia="sk-SK"/>
                    </w:rPr>
                    <w:t>402 439</w:t>
                  </w:r>
                </w:p>
              </w:tc>
              <w:tc>
                <w:tcPr>
                  <w:tcW w:w="1278" w:type="dxa"/>
                  <w:tcBorders>
                    <w:top w:val="single" w:sz="4" w:space="0" w:color="auto"/>
                    <w:left w:val="nil"/>
                    <w:bottom w:val="single" w:sz="4" w:space="0" w:color="auto"/>
                    <w:right w:val="single" w:sz="4" w:space="0" w:color="auto"/>
                    <w:tl2br w:val="nil"/>
                    <w:tr2bl w:val="nil"/>
                  </w:tcBorders>
                  <w:noWrap/>
                  <w:textDirection w:val="lrTb"/>
                  <w:vAlign w:val="center"/>
                </w:tcPr>
                <w:p w:rsidR="00854617" w:rsidRPr="00854617" w:rsidP="00854617">
                  <w:pPr>
                    <w:spacing w:line="240" w:lineRule="auto"/>
                    <w:jc w:val="right"/>
                    <w:rPr>
                      <w:rFonts w:ascii="Arial Narrow" w:hAnsi="Arial Narrow" w:cs="Arial"/>
                      <w:lang w:eastAsia="sk-SK"/>
                    </w:rPr>
                  </w:pPr>
                  <w:r w:rsidRPr="00854617">
                    <w:rPr>
                      <w:rFonts w:ascii="Arial Narrow" w:hAnsi="Arial Narrow" w:cs="Arial"/>
                      <w:lang w:eastAsia="sk-SK"/>
                    </w:rPr>
                    <w:t>402 394</w:t>
                  </w:r>
                </w:p>
              </w:tc>
            </w:tr>
            <w:tr>
              <w:tblPrEx>
                <w:tblW w:w="10360" w:type="dxa"/>
                <w:tblCellMar>
                  <w:left w:w="70" w:type="dxa"/>
                  <w:right w:w="70" w:type="dxa"/>
                </w:tblCellMar>
              </w:tblPrEx>
              <w:trPr>
                <w:trHeight w:hRule="exact" w:val="284"/>
              </w:trPr>
              <w:tc>
                <w:tcPr>
                  <w:tcW w:w="3582" w:type="dxa"/>
                  <w:tcBorders>
                    <w:top w:val="single" w:sz="4" w:space="0" w:color="auto"/>
                    <w:left w:val="single" w:sz="4" w:space="0" w:color="auto"/>
                    <w:bottom w:val="single" w:sz="4" w:space="0" w:color="auto"/>
                    <w:right w:val="nil"/>
                    <w:tl2br w:val="nil"/>
                    <w:tr2bl w:val="nil"/>
                  </w:tcBorders>
                  <w:noWrap/>
                  <w:textDirection w:val="lrTb"/>
                  <w:vAlign w:val="center"/>
                </w:tcPr>
                <w:p w:rsidR="00854617" w:rsidRPr="00854617" w:rsidP="00854617">
                  <w:pPr>
                    <w:spacing w:line="240" w:lineRule="auto"/>
                    <w:rPr>
                      <w:rFonts w:ascii="Arial Narrow" w:hAnsi="Arial Narrow" w:cs="Arial"/>
                      <w:lang w:eastAsia="sk-SK"/>
                    </w:rPr>
                  </w:pPr>
                  <w:r w:rsidRPr="00854617">
                    <w:rPr>
                      <w:rFonts w:ascii="Arial Narrow" w:hAnsi="Arial Narrow" w:cs="Arial"/>
                      <w:lang w:eastAsia="sk-SK"/>
                    </w:rPr>
                    <w:t>z toho:    Spolufinancovanie fondu ERDF</w:t>
                  </w:r>
                </w:p>
              </w:tc>
              <w:tc>
                <w:tcPr>
                  <w:tcW w:w="1083" w:type="dxa"/>
                  <w:tcBorders>
                    <w:top w:val="single" w:sz="4" w:space="0" w:color="auto"/>
                    <w:left w:val="single" w:sz="8" w:space="0" w:color="auto"/>
                    <w:bottom w:val="single" w:sz="4" w:space="0" w:color="auto"/>
                    <w:right w:val="single" w:sz="8" w:space="0" w:color="auto"/>
                    <w:tl2br w:val="nil"/>
                    <w:tr2bl w:val="nil"/>
                  </w:tcBorders>
                  <w:noWrap/>
                  <w:textDirection w:val="lrTb"/>
                  <w:vAlign w:val="center"/>
                </w:tcPr>
                <w:p w:rsidR="00854617" w:rsidRPr="00854617" w:rsidP="00854617">
                  <w:pPr>
                    <w:spacing w:line="240" w:lineRule="auto"/>
                    <w:jc w:val="right"/>
                    <w:rPr>
                      <w:rFonts w:ascii="Arial Narrow" w:hAnsi="Arial Narrow" w:cs="Arial"/>
                      <w:lang w:eastAsia="sk-SK"/>
                    </w:rPr>
                  </w:pPr>
                  <w:r w:rsidRPr="00854617">
                    <w:rPr>
                      <w:rFonts w:ascii="Arial Narrow" w:hAnsi="Arial Narrow" w:cs="Arial"/>
                      <w:lang w:eastAsia="sk-SK"/>
                    </w:rPr>
                    <w:t>0</w:t>
                  </w:r>
                </w:p>
              </w:tc>
              <w:tc>
                <w:tcPr>
                  <w:tcW w:w="1098" w:type="dxa"/>
                  <w:tcBorders>
                    <w:top w:val="single" w:sz="4" w:space="0" w:color="auto"/>
                    <w:left w:val="nil"/>
                    <w:bottom w:val="single" w:sz="4" w:space="0" w:color="auto"/>
                    <w:right w:val="single" w:sz="8" w:space="0" w:color="auto"/>
                    <w:tl2br w:val="nil"/>
                    <w:tr2bl w:val="nil"/>
                  </w:tcBorders>
                  <w:noWrap/>
                  <w:textDirection w:val="lrTb"/>
                  <w:vAlign w:val="center"/>
                </w:tcPr>
                <w:p w:rsidR="00854617" w:rsidRPr="00854617" w:rsidP="00854617">
                  <w:pPr>
                    <w:spacing w:line="240" w:lineRule="auto"/>
                    <w:jc w:val="right"/>
                    <w:rPr>
                      <w:rFonts w:ascii="Arial Narrow" w:hAnsi="Arial Narrow" w:cs="Arial"/>
                      <w:lang w:eastAsia="sk-SK"/>
                    </w:rPr>
                  </w:pPr>
                  <w:r w:rsidRPr="00854617">
                    <w:rPr>
                      <w:rFonts w:ascii="Arial Narrow" w:hAnsi="Arial Narrow" w:cs="Arial"/>
                      <w:lang w:eastAsia="sk-SK"/>
                    </w:rPr>
                    <w:t>0</w:t>
                  </w:r>
                </w:p>
              </w:tc>
              <w:tc>
                <w:tcPr>
                  <w:tcW w:w="1191" w:type="dxa"/>
                  <w:tcBorders>
                    <w:top w:val="single" w:sz="4" w:space="0" w:color="auto"/>
                    <w:left w:val="nil"/>
                    <w:bottom w:val="single" w:sz="4" w:space="0" w:color="auto"/>
                    <w:right w:val="single" w:sz="8" w:space="0" w:color="auto"/>
                    <w:tl2br w:val="nil"/>
                    <w:tr2bl w:val="nil"/>
                  </w:tcBorders>
                  <w:noWrap/>
                  <w:textDirection w:val="lrTb"/>
                  <w:vAlign w:val="center"/>
                </w:tcPr>
                <w:p w:rsidR="00854617" w:rsidRPr="00854617" w:rsidP="00854617">
                  <w:pPr>
                    <w:spacing w:line="240" w:lineRule="auto"/>
                    <w:jc w:val="right"/>
                    <w:rPr>
                      <w:rFonts w:ascii="Arial Narrow" w:hAnsi="Arial Narrow" w:cs="Arial"/>
                      <w:lang w:eastAsia="sk-SK"/>
                    </w:rPr>
                  </w:pPr>
                  <w:r w:rsidRPr="00854617">
                    <w:rPr>
                      <w:rFonts w:ascii="Arial Narrow" w:hAnsi="Arial Narrow" w:cs="Arial"/>
                      <w:lang w:eastAsia="sk-SK"/>
                    </w:rPr>
                    <w:t>134 147</w:t>
                  </w:r>
                </w:p>
              </w:tc>
              <w:tc>
                <w:tcPr>
                  <w:tcW w:w="1081" w:type="dxa"/>
                  <w:tcBorders>
                    <w:top w:val="single" w:sz="4" w:space="0" w:color="auto"/>
                    <w:left w:val="nil"/>
                    <w:bottom w:val="single" w:sz="4" w:space="0" w:color="auto"/>
                    <w:right w:val="single" w:sz="8" w:space="0" w:color="auto"/>
                    <w:tl2br w:val="nil"/>
                    <w:tr2bl w:val="nil"/>
                  </w:tcBorders>
                  <w:noWrap/>
                  <w:textDirection w:val="lrTb"/>
                  <w:vAlign w:val="center"/>
                </w:tcPr>
                <w:p w:rsidR="00854617" w:rsidRPr="00854617" w:rsidP="00854617">
                  <w:pPr>
                    <w:spacing w:line="240" w:lineRule="auto"/>
                    <w:jc w:val="right"/>
                    <w:rPr>
                      <w:rFonts w:ascii="Arial Narrow" w:hAnsi="Arial Narrow" w:cs="Arial"/>
                      <w:lang w:eastAsia="sk-SK"/>
                    </w:rPr>
                  </w:pPr>
                  <w:r w:rsidRPr="00854617">
                    <w:rPr>
                      <w:rFonts w:ascii="Arial Narrow" w:hAnsi="Arial Narrow" w:cs="Arial"/>
                      <w:lang w:eastAsia="sk-SK"/>
                    </w:rPr>
                    <w:t>134 132</w:t>
                  </w:r>
                </w:p>
              </w:tc>
              <w:tc>
                <w:tcPr>
                  <w:tcW w:w="1047" w:type="dxa"/>
                  <w:tcBorders>
                    <w:top w:val="single" w:sz="4" w:space="0" w:color="auto"/>
                    <w:left w:val="nil"/>
                    <w:bottom w:val="single" w:sz="4" w:space="0" w:color="auto"/>
                    <w:right w:val="single" w:sz="8" w:space="0" w:color="auto"/>
                    <w:tl2br w:val="nil"/>
                    <w:tr2bl w:val="nil"/>
                  </w:tcBorders>
                  <w:noWrap/>
                  <w:textDirection w:val="lrTb"/>
                  <w:vAlign w:val="center"/>
                </w:tcPr>
                <w:p w:rsidR="00854617" w:rsidRPr="00854617" w:rsidP="00854617">
                  <w:pPr>
                    <w:spacing w:line="240" w:lineRule="auto"/>
                    <w:jc w:val="right"/>
                    <w:rPr>
                      <w:rFonts w:ascii="Arial Narrow" w:hAnsi="Arial Narrow" w:cs="Arial"/>
                      <w:lang w:eastAsia="sk-SK"/>
                    </w:rPr>
                  </w:pPr>
                  <w:r w:rsidRPr="00854617">
                    <w:rPr>
                      <w:rFonts w:ascii="Arial Narrow" w:hAnsi="Arial Narrow" w:cs="Arial"/>
                      <w:lang w:eastAsia="sk-SK"/>
                    </w:rPr>
                    <w:t>134 147</w:t>
                  </w:r>
                </w:p>
              </w:tc>
              <w:tc>
                <w:tcPr>
                  <w:tcW w:w="1278" w:type="dxa"/>
                  <w:tcBorders>
                    <w:top w:val="single" w:sz="4" w:space="0" w:color="auto"/>
                    <w:left w:val="nil"/>
                    <w:bottom w:val="single" w:sz="4" w:space="0" w:color="auto"/>
                    <w:right w:val="single" w:sz="4" w:space="0" w:color="auto"/>
                    <w:tl2br w:val="nil"/>
                    <w:tr2bl w:val="nil"/>
                  </w:tcBorders>
                  <w:noWrap/>
                  <w:textDirection w:val="lrTb"/>
                  <w:vAlign w:val="center"/>
                </w:tcPr>
                <w:p w:rsidR="00854617" w:rsidRPr="00854617" w:rsidP="00854617">
                  <w:pPr>
                    <w:spacing w:line="240" w:lineRule="auto"/>
                    <w:jc w:val="right"/>
                    <w:rPr>
                      <w:rFonts w:ascii="Arial Narrow" w:hAnsi="Arial Narrow" w:cs="Arial"/>
                      <w:lang w:eastAsia="sk-SK"/>
                    </w:rPr>
                  </w:pPr>
                  <w:r w:rsidRPr="00854617">
                    <w:rPr>
                      <w:rFonts w:ascii="Arial Narrow" w:hAnsi="Arial Narrow" w:cs="Arial"/>
                      <w:lang w:eastAsia="sk-SK"/>
                    </w:rPr>
                    <w:t>134 132</w:t>
                  </w:r>
                </w:p>
              </w:tc>
            </w:tr>
            <w:tr>
              <w:tblPrEx>
                <w:tblW w:w="10360" w:type="dxa"/>
                <w:tblCellMar>
                  <w:left w:w="70" w:type="dxa"/>
                  <w:right w:w="70" w:type="dxa"/>
                </w:tblCellMar>
              </w:tblPrEx>
              <w:trPr>
                <w:trHeight w:hRule="exact" w:val="284"/>
              </w:trPr>
              <w:tc>
                <w:tcPr>
                  <w:tcW w:w="3582" w:type="dxa"/>
                  <w:tcBorders>
                    <w:top w:val="single" w:sz="4" w:space="0" w:color="auto"/>
                    <w:left w:val="single" w:sz="4" w:space="0" w:color="auto"/>
                    <w:bottom w:val="single" w:sz="4" w:space="0" w:color="auto"/>
                    <w:right w:val="nil"/>
                    <w:tl2br w:val="nil"/>
                    <w:tr2bl w:val="nil"/>
                  </w:tcBorders>
                  <w:noWrap/>
                  <w:textDirection w:val="lrTb"/>
                  <w:vAlign w:val="center"/>
                </w:tcPr>
                <w:p w:rsidR="00854617" w:rsidRPr="00854617" w:rsidP="00854617">
                  <w:pPr>
                    <w:spacing w:line="240" w:lineRule="auto"/>
                    <w:rPr>
                      <w:rFonts w:ascii="Arial Narrow" w:hAnsi="Arial Narrow" w:cs="Arial"/>
                      <w:lang w:eastAsia="sk-SK"/>
                    </w:rPr>
                  </w:pPr>
                  <w:r w:rsidRPr="00854617">
                    <w:rPr>
                      <w:rFonts w:ascii="Arial Narrow" w:hAnsi="Arial Narrow" w:cs="Arial"/>
                      <w:lang w:eastAsia="sk-SK"/>
                    </w:rPr>
                    <w:t xml:space="preserve">04.5.1.4. Slovenská správa ciest </w:t>
                  </w:r>
                </w:p>
              </w:tc>
              <w:tc>
                <w:tcPr>
                  <w:tcW w:w="1083" w:type="dxa"/>
                  <w:tcBorders>
                    <w:top w:val="single" w:sz="4" w:space="0" w:color="auto"/>
                    <w:left w:val="single" w:sz="8" w:space="0" w:color="auto"/>
                    <w:bottom w:val="single" w:sz="4" w:space="0" w:color="auto"/>
                    <w:right w:val="single" w:sz="8" w:space="0" w:color="auto"/>
                    <w:tl2br w:val="nil"/>
                    <w:tr2bl w:val="nil"/>
                  </w:tcBorders>
                  <w:noWrap/>
                  <w:textDirection w:val="lrTb"/>
                  <w:vAlign w:val="center"/>
                </w:tcPr>
                <w:p w:rsidR="00854617" w:rsidRPr="00854617" w:rsidP="00854617">
                  <w:pPr>
                    <w:spacing w:line="240" w:lineRule="auto"/>
                    <w:jc w:val="right"/>
                    <w:rPr>
                      <w:rFonts w:ascii="Arial Narrow" w:hAnsi="Arial Narrow" w:cs="Arial"/>
                      <w:lang w:eastAsia="sk-SK"/>
                    </w:rPr>
                  </w:pPr>
                  <w:r w:rsidRPr="00854617">
                    <w:rPr>
                      <w:rFonts w:ascii="Arial Narrow" w:hAnsi="Arial Narrow" w:cs="Arial"/>
                      <w:lang w:eastAsia="sk-SK"/>
                    </w:rPr>
                    <w:t>161 041</w:t>
                  </w:r>
                </w:p>
              </w:tc>
              <w:tc>
                <w:tcPr>
                  <w:tcW w:w="1098" w:type="dxa"/>
                  <w:tcBorders>
                    <w:top w:val="single" w:sz="4" w:space="0" w:color="auto"/>
                    <w:left w:val="nil"/>
                    <w:bottom w:val="single" w:sz="4" w:space="0" w:color="auto"/>
                    <w:right w:val="single" w:sz="8" w:space="0" w:color="auto"/>
                    <w:tl2br w:val="nil"/>
                    <w:tr2bl w:val="nil"/>
                  </w:tcBorders>
                  <w:noWrap/>
                  <w:textDirection w:val="lrTb"/>
                  <w:vAlign w:val="center"/>
                </w:tcPr>
                <w:p w:rsidR="00854617" w:rsidRPr="00854617" w:rsidP="00854617">
                  <w:pPr>
                    <w:spacing w:line="240" w:lineRule="auto"/>
                    <w:jc w:val="right"/>
                    <w:rPr>
                      <w:rFonts w:ascii="Arial Narrow" w:hAnsi="Arial Narrow" w:cs="Arial"/>
                      <w:lang w:eastAsia="sk-SK"/>
                    </w:rPr>
                  </w:pPr>
                  <w:r w:rsidRPr="00854617">
                    <w:rPr>
                      <w:rFonts w:ascii="Arial Narrow" w:hAnsi="Arial Narrow" w:cs="Arial"/>
                      <w:lang w:eastAsia="sk-SK"/>
                    </w:rPr>
                    <w:t>165 869</w:t>
                  </w:r>
                </w:p>
              </w:tc>
              <w:tc>
                <w:tcPr>
                  <w:tcW w:w="1191" w:type="dxa"/>
                  <w:tcBorders>
                    <w:top w:val="single" w:sz="4" w:space="0" w:color="auto"/>
                    <w:left w:val="nil"/>
                    <w:bottom w:val="single" w:sz="4" w:space="0" w:color="auto"/>
                    <w:right w:val="single" w:sz="8" w:space="0" w:color="auto"/>
                    <w:tl2br w:val="nil"/>
                    <w:tr2bl w:val="nil"/>
                  </w:tcBorders>
                  <w:noWrap/>
                  <w:textDirection w:val="lrTb"/>
                  <w:vAlign w:val="center"/>
                </w:tcPr>
                <w:p w:rsidR="00854617" w:rsidRPr="00854617" w:rsidP="00854617">
                  <w:pPr>
                    <w:spacing w:line="240" w:lineRule="auto"/>
                    <w:jc w:val="right"/>
                    <w:rPr>
                      <w:rFonts w:ascii="Arial Narrow" w:hAnsi="Arial Narrow" w:cs="Arial"/>
                      <w:lang w:eastAsia="sk-SK"/>
                    </w:rPr>
                  </w:pPr>
                  <w:r w:rsidRPr="00854617">
                    <w:rPr>
                      <w:rFonts w:ascii="Arial Narrow" w:hAnsi="Arial Narrow" w:cs="Arial"/>
                      <w:lang w:eastAsia="sk-SK"/>
                    </w:rPr>
                    <w:t>7 989</w:t>
                  </w:r>
                </w:p>
              </w:tc>
              <w:tc>
                <w:tcPr>
                  <w:tcW w:w="1081" w:type="dxa"/>
                  <w:tcBorders>
                    <w:top w:val="single" w:sz="4" w:space="0" w:color="auto"/>
                    <w:left w:val="nil"/>
                    <w:bottom w:val="single" w:sz="4" w:space="0" w:color="auto"/>
                    <w:right w:val="single" w:sz="8" w:space="0" w:color="auto"/>
                    <w:tl2br w:val="nil"/>
                    <w:tr2bl w:val="nil"/>
                  </w:tcBorders>
                  <w:noWrap/>
                  <w:textDirection w:val="lrTb"/>
                  <w:vAlign w:val="center"/>
                </w:tcPr>
                <w:p w:rsidR="00854617" w:rsidRPr="00854617" w:rsidP="00854617">
                  <w:pPr>
                    <w:spacing w:line="240" w:lineRule="auto"/>
                    <w:jc w:val="right"/>
                    <w:rPr>
                      <w:rFonts w:ascii="Arial Narrow" w:hAnsi="Arial Narrow" w:cs="Arial"/>
                      <w:lang w:eastAsia="sk-SK"/>
                    </w:rPr>
                  </w:pPr>
                  <w:r w:rsidRPr="00854617">
                    <w:rPr>
                      <w:rFonts w:ascii="Arial Narrow" w:hAnsi="Arial Narrow" w:cs="Arial"/>
                      <w:lang w:eastAsia="sk-SK"/>
                    </w:rPr>
                    <w:t>7</w:t>
                  </w:r>
                  <w:r w:rsidRPr="00854617">
                    <w:rPr>
                      <w:rFonts w:ascii="Arial Narrow" w:hAnsi="Arial Narrow" w:cs="Arial"/>
                      <w:lang w:eastAsia="sk-SK"/>
                    </w:rPr>
                    <w:t xml:space="preserve"> 989</w:t>
                  </w:r>
                </w:p>
              </w:tc>
              <w:tc>
                <w:tcPr>
                  <w:tcW w:w="1047" w:type="dxa"/>
                  <w:tcBorders>
                    <w:top w:val="single" w:sz="4" w:space="0" w:color="auto"/>
                    <w:left w:val="nil"/>
                    <w:bottom w:val="single" w:sz="4" w:space="0" w:color="auto"/>
                    <w:right w:val="single" w:sz="8" w:space="0" w:color="auto"/>
                    <w:tl2br w:val="nil"/>
                    <w:tr2bl w:val="nil"/>
                  </w:tcBorders>
                  <w:noWrap/>
                  <w:textDirection w:val="lrTb"/>
                  <w:vAlign w:val="center"/>
                </w:tcPr>
                <w:p w:rsidR="00854617" w:rsidRPr="00854617" w:rsidP="00854617">
                  <w:pPr>
                    <w:spacing w:line="240" w:lineRule="auto"/>
                    <w:jc w:val="right"/>
                    <w:rPr>
                      <w:rFonts w:ascii="Arial Narrow" w:hAnsi="Arial Narrow" w:cs="Arial"/>
                      <w:lang w:eastAsia="sk-SK"/>
                    </w:rPr>
                  </w:pPr>
                  <w:r w:rsidRPr="00854617">
                    <w:rPr>
                      <w:rFonts w:ascii="Arial Narrow" w:hAnsi="Arial Narrow" w:cs="Arial"/>
                      <w:lang w:eastAsia="sk-SK"/>
                    </w:rPr>
                    <w:t>169 030</w:t>
                  </w:r>
                </w:p>
              </w:tc>
              <w:tc>
                <w:tcPr>
                  <w:tcW w:w="1278" w:type="dxa"/>
                  <w:tcBorders>
                    <w:top w:val="single" w:sz="4" w:space="0" w:color="auto"/>
                    <w:left w:val="nil"/>
                    <w:bottom w:val="single" w:sz="4" w:space="0" w:color="auto"/>
                    <w:right w:val="single" w:sz="4" w:space="0" w:color="auto"/>
                    <w:tl2br w:val="nil"/>
                    <w:tr2bl w:val="nil"/>
                  </w:tcBorders>
                  <w:noWrap/>
                  <w:textDirection w:val="lrTb"/>
                  <w:vAlign w:val="center"/>
                </w:tcPr>
                <w:p w:rsidR="00854617" w:rsidRPr="00854617" w:rsidP="00854617">
                  <w:pPr>
                    <w:spacing w:line="240" w:lineRule="auto"/>
                    <w:jc w:val="right"/>
                    <w:rPr>
                      <w:rFonts w:ascii="Arial Narrow" w:hAnsi="Arial Narrow" w:cs="Arial"/>
                      <w:lang w:eastAsia="sk-SK"/>
                    </w:rPr>
                  </w:pPr>
                  <w:r w:rsidRPr="00854617">
                    <w:rPr>
                      <w:rFonts w:ascii="Arial Narrow" w:hAnsi="Arial Narrow" w:cs="Arial"/>
                      <w:lang w:eastAsia="sk-SK"/>
                    </w:rPr>
                    <w:t>173 858</w:t>
                  </w:r>
                </w:p>
              </w:tc>
            </w:tr>
            <w:tr>
              <w:tblPrEx>
                <w:tblW w:w="10360" w:type="dxa"/>
                <w:tblCellMar>
                  <w:left w:w="70" w:type="dxa"/>
                  <w:right w:w="70" w:type="dxa"/>
                </w:tblCellMar>
              </w:tblPrEx>
              <w:trPr>
                <w:trHeight w:hRule="exact" w:val="284"/>
              </w:trPr>
              <w:tc>
                <w:tcPr>
                  <w:tcW w:w="3582" w:type="dxa"/>
                  <w:tcBorders>
                    <w:top w:val="single" w:sz="4" w:space="0" w:color="auto"/>
                    <w:left w:val="single" w:sz="4" w:space="0" w:color="auto"/>
                    <w:bottom w:val="single" w:sz="4" w:space="0" w:color="auto"/>
                    <w:right w:val="nil"/>
                    <w:tl2br w:val="nil"/>
                    <w:tr2bl w:val="nil"/>
                  </w:tcBorders>
                  <w:noWrap/>
                  <w:textDirection w:val="lrTb"/>
                  <w:vAlign w:val="center"/>
                </w:tcPr>
                <w:p w:rsidR="00854617" w:rsidRPr="00854617" w:rsidP="00854617">
                  <w:pPr>
                    <w:spacing w:line="240" w:lineRule="auto"/>
                    <w:rPr>
                      <w:rFonts w:ascii="Arial Narrow" w:hAnsi="Arial Narrow" w:cs="Arial"/>
                      <w:lang w:eastAsia="sk-SK"/>
                    </w:rPr>
                  </w:pPr>
                  <w:r w:rsidRPr="00854617">
                    <w:rPr>
                      <w:rFonts w:ascii="Arial Narrow" w:hAnsi="Arial Narrow" w:cs="Arial"/>
                      <w:lang w:eastAsia="sk-SK"/>
                    </w:rPr>
                    <w:t>z toho:    Fond ERDF</w:t>
                  </w:r>
                </w:p>
              </w:tc>
              <w:tc>
                <w:tcPr>
                  <w:tcW w:w="1083" w:type="dxa"/>
                  <w:tcBorders>
                    <w:top w:val="single" w:sz="4" w:space="0" w:color="auto"/>
                    <w:left w:val="single" w:sz="8" w:space="0" w:color="auto"/>
                    <w:bottom w:val="single" w:sz="4" w:space="0" w:color="auto"/>
                    <w:right w:val="single" w:sz="8" w:space="0" w:color="auto"/>
                    <w:tl2br w:val="nil"/>
                    <w:tr2bl w:val="nil"/>
                  </w:tcBorders>
                  <w:noWrap/>
                  <w:textDirection w:val="lrTb"/>
                  <w:vAlign w:val="center"/>
                </w:tcPr>
                <w:p w:rsidR="00854617" w:rsidRPr="00854617" w:rsidP="00854617">
                  <w:pPr>
                    <w:spacing w:line="240" w:lineRule="auto"/>
                    <w:jc w:val="right"/>
                    <w:rPr>
                      <w:rFonts w:ascii="Arial Narrow" w:hAnsi="Arial Narrow" w:cs="Arial"/>
                      <w:lang w:eastAsia="sk-SK"/>
                    </w:rPr>
                  </w:pPr>
                  <w:r w:rsidRPr="00854617">
                    <w:rPr>
                      <w:rFonts w:ascii="Arial Narrow" w:hAnsi="Arial Narrow" w:cs="Arial"/>
                      <w:lang w:eastAsia="sk-SK"/>
                    </w:rPr>
                    <w:t>1 040</w:t>
                  </w:r>
                </w:p>
              </w:tc>
              <w:tc>
                <w:tcPr>
                  <w:tcW w:w="1098" w:type="dxa"/>
                  <w:tcBorders>
                    <w:top w:val="single" w:sz="4" w:space="0" w:color="auto"/>
                    <w:left w:val="nil"/>
                    <w:bottom w:val="single" w:sz="4" w:space="0" w:color="auto"/>
                    <w:right w:val="single" w:sz="8" w:space="0" w:color="auto"/>
                    <w:tl2br w:val="nil"/>
                    <w:tr2bl w:val="nil"/>
                  </w:tcBorders>
                  <w:noWrap/>
                  <w:textDirection w:val="lrTb"/>
                  <w:vAlign w:val="center"/>
                </w:tcPr>
                <w:p w:rsidR="00854617" w:rsidRPr="00854617" w:rsidP="00854617">
                  <w:pPr>
                    <w:spacing w:line="240" w:lineRule="auto"/>
                    <w:jc w:val="right"/>
                    <w:rPr>
                      <w:rFonts w:ascii="Arial Narrow" w:hAnsi="Arial Narrow" w:cs="Arial"/>
                      <w:lang w:eastAsia="sk-SK"/>
                    </w:rPr>
                  </w:pPr>
                  <w:r w:rsidRPr="00854617">
                    <w:rPr>
                      <w:rFonts w:ascii="Arial Narrow" w:hAnsi="Arial Narrow" w:cs="Arial"/>
                      <w:lang w:eastAsia="sk-SK"/>
                    </w:rPr>
                    <w:t>1 040</w:t>
                  </w:r>
                </w:p>
              </w:tc>
              <w:tc>
                <w:tcPr>
                  <w:tcW w:w="1191" w:type="dxa"/>
                  <w:tcBorders>
                    <w:top w:val="single" w:sz="4" w:space="0" w:color="auto"/>
                    <w:left w:val="nil"/>
                    <w:bottom w:val="single" w:sz="4" w:space="0" w:color="auto"/>
                    <w:right w:val="single" w:sz="8" w:space="0" w:color="auto"/>
                    <w:tl2br w:val="nil"/>
                    <w:tr2bl w:val="nil"/>
                  </w:tcBorders>
                  <w:noWrap/>
                  <w:textDirection w:val="lrTb"/>
                  <w:vAlign w:val="center"/>
                </w:tcPr>
                <w:p w:rsidR="00854617" w:rsidRPr="00854617" w:rsidP="00854617">
                  <w:pPr>
                    <w:spacing w:line="240" w:lineRule="auto"/>
                    <w:jc w:val="right"/>
                    <w:rPr>
                      <w:rFonts w:ascii="Arial Narrow" w:hAnsi="Arial Narrow" w:cs="Arial"/>
                      <w:lang w:eastAsia="sk-SK"/>
                    </w:rPr>
                  </w:pPr>
                  <w:r w:rsidRPr="00854617">
                    <w:rPr>
                      <w:rFonts w:ascii="Arial Narrow" w:hAnsi="Arial Narrow" w:cs="Arial"/>
                      <w:lang w:eastAsia="sk-SK"/>
                    </w:rPr>
                    <w:t>0</w:t>
                  </w:r>
                </w:p>
              </w:tc>
              <w:tc>
                <w:tcPr>
                  <w:tcW w:w="1081" w:type="dxa"/>
                  <w:tcBorders>
                    <w:top w:val="single" w:sz="4" w:space="0" w:color="auto"/>
                    <w:left w:val="nil"/>
                    <w:bottom w:val="single" w:sz="4" w:space="0" w:color="auto"/>
                    <w:right w:val="single" w:sz="8" w:space="0" w:color="auto"/>
                    <w:tl2br w:val="nil"/>
                    <w:tr2bl w:val="nil"/>
                  </w:tcBorders>
                  <w:noWrap/>
                  <w:textDirection w:val="lrTb"/>
                  <w:vAlign w:val="center"/>
                </w:tcPr>
                <w:p w:rsidR="00854617" w:rsidRPr="00854617" w:rsidP="00854617">
                  <w:pPr>
                    <w:spacing w:line="240" w:lineRule="auto"/>
                    <w:jc w:val="right"/>
                    <w:rPr>
                      <w:rFonts w:ascii="Arial Narrow" w:hAnsi="Arial Narrow" w:cs="Arial"/>
                      <w:lang w:eastAsia="sk-SK"/>
                    </w:rPr>
                  </w:pPr>
                  <w:r w:rsidRPr="00854617">
                    <w:rPr>
                      <w:rFonts w:ascii="Arial Narrow" w:hAnsi="Arial Narrow" w:cs="Arial"/>
                      <w:lang w:eastAsia="sk-SK"/>
                    </w:rPr>
                    <w:t>0</w:t>
                  </w:r>
                </w:p>
              </w:tc>
              <w:tc>
                <w:tcPr>
                  <w:tcW w:w="1047" w:type="dxa"/>
                  <w:tcBorders>
                    <w:top w:val="single" w:sz="4" w:space="0" w:color="auto"/>
                    <w:left w:val="nil"/>
                    <w:bottom w:val="single" w:sz="4" w:space="0" w:color="auto"/>
                    <w:right w:val="single" w:sz="8" w:space="0" w:color="auto"/>
                    <w:tl2br w:val="nil"/>
                    <w:tr2bl w:val="nil"/>
                  </w:tcBorders>
                  <w:noWrap/>
                  <w:textDirection w:val="lrTb"/>
                  <w:vAlign w:val="center"/>
                </w:tcPr>
                <w:p w:rsidR="00854617" w:rsidRPr="00854617" w:rsidP="00854617">
                  <w:pPr>
                    <w:spacing w:line="240" w:lineRule="auto"/>
                    <w:jc w:val="right"/>
                    <w:rPr>
                      <w:rFonts w:ascii="Arial Narrow" w:hAnsi="Arial Narrow" w:cs="Arial"/>
                      <w:lang w:eastAsia="sk-SK"/>
                    </w:rPr>
                  </w:pPr>
                  <w:r w:rsidRPr="00854617">
                    <w:rPr>
                      <w:rFonts w:ascii="Arial Narrow" w:hAnsi="Arial Narrow" w:cs="Arial"/>
                      <w:lang w:eastAsia="sk-SK"/>
                    </w:rPr>
                    <w:t>1 040</w:t>
                  </w:r>
                </w:p>
              </w:tc>
              <w:tc>
                <w:tcPr>
                  <w:tcW w:w="1278" w:type="dxa"/>
                  <w:tcBorders>
                    <w:top w:val="single" w:sz="4" w:space="0" w:color="auto"/>
                    <w:left w:val="nil"/>
                    <w:bottom w:val="single" w:sz="4" w:space="0" w:color="auto"/>
                    <w:right w:val="single" w:sz="4" w:space="0" w:color="auto"/>
                    <w:tl2br w:val="nil"/>
                    <w:tr2bl w:val="nil"/>
                  </w:tcBorders>
                  <w:noWrap/>
                  <w:textDirection w:val="lrTb"/>
                  <w:vAlign w:val="center"/>
                </w:tcPr>
                <w:p w:rsidR="00854617" w:rsidRPr="00854617" w:rsidP="00854617">
                  <w:pPr>
                    <w:spacing w:line="240" w:lineRule="auto"/>
                    <w:jc w:val="right"/>
                    <w:rPr>
                      <w:rFonts w:ascii="Arial Narrow" w:hAnsi="Arial Narrow" w:cs="Arial"/>
                      <w:lang w:eastAsia="sk-SK"/>
                    </w:rPr>
                  </w:pPr>
                  <w:r w:rsidRPr="00854617">
                    <w:rPr>
                      <w:rFonts w:ascii="Arial Narrow" w:hAnsi="Arial Narrow" w:cs="Arial"/>
                      <w:lang w:eastAsia="sk-SK"/>
                    </w:rPr>
                    <w:t>1 040</w:t>
                  </w:r>
                </w:p>
              </w:tc>
            </w:tr>
            <w:tr>
              <w:tblPrEx>
                <w:tblW w:w="10360" w:type="dxa"/>
                <w:tblCellMar>
                  <w:left w:w="70" w:type="dxa"/>
                  <w:right w:w="70" w:type="dxa"/>
                </w:tblCellMar>
              </w:tblPrEx>
              <w:trPr>
                <w:trHeight w:hRule="exact" w:val="284"/>
              </w:trPr>
              <w:tc>
                <w:tcPr>
                  <w:tcW w:w="3582" w:type="dxa"/>
                  <w:tcBorders>
                    <w:top w:val="single" w:sz="4" w:space="0" w:color="auto"/>
                    <w:left w:val="single" w:sz="4" w:space="0" w:color="auto"/>
                    <w:bottom w:val="single" w:sz="4" w:space="0" w:color="auto"/>
                    <w:right w:val="nil"/>
                    <w:tl2br w:val="nil"/>
                    <w:tr2bl w:val="nil"/>
                  </w:tcBorders>
                  <w:noWrap/>
                  <w:textDirection w:val="lrTb"/>
                  <w:vAlign w:val="center"/>
                </w:tcPr>
                <w:p w:rsidR="00854617" w:rsidRPr="00854617" w:rsidP="00854617">
                  <w:pPr>
                    <w:spacing w:line="240" w:lineRule="auto"/>
                    <w:rPr>
                      <w:rFonts w:ascii="Arial Narrow" w:hAnsi="Arial Narrow" w:cs="Arial"/>
                      <w:lang w:eastAsia="sk-SK"/>
                    </w:rPr>
                  </w:pPr>
                  <w:r w:rsidRPr="00854617">
                    <w:rPr>
                      <w:rFonts w:ascii="Arial Narrow" w:hAnsi="Arial Narrow" w:cs="Arial"/>
                      <w:lang w:eastAsia="sk-SK"/>
                    </w:rPr>
                    <w:t>z toho:    Spolufinancovanie fondu ERDF</w:t>
                  </w:r>
                </w:p>
              </w:tc>
              <w:tc>
                <w:tcPr>
                  <w:tcW w:w="1083" w:type="dxa"/>
                  <w:tcBorders>
                    <w:top w:val="single" w:sz="4" w:space="0" w:color="auto"/>
                    <w:left w:val="single" w:sz="8" w:space="0" w:color="auto"/>
                    <w:bottom w:val="single" w:sz="4" w:space="0" w:color="auto"/>
                    <w:right w:val="single" w:sz="8" w:space="0" w:color="auto"/>
                    <w:tl2br w:val="nil"/>
                    <w:tr2bl w:val="nil"/>
                  </w:tcBorders>
                  <w:noWrap/>
                  <w:textDirection w:val="lrTb"/>
                  <w:vAlign w:val="center"/>
                </w:tcPr>
                <w:p w:rsidR="00854617" w:rsidRPr="00854617" w:rsidP="00854617">
                  <w:pPr>
                    <w:spacing w:line="240" w:lineRule="auto"/>
                    <w:jc w:val="right"/>
                    <w:rPr>
                      <w:rFonts w:ascii="Arial Narrow" w:hAnsi="Arial Narrow" w:cs="Arial"/>
                      <w:lang w:eastAsia="sk-SK"/>
                    </w:rPr>
                  </w:pPr>
                  <w:r w:rsidRPr="00854617">
                    <w:rPr>
                      <w:rFonts w:ascii="Arial Narrow" w:hAnsi="Arial Narrow" w:cs="Arial"/>
                      <w:lang w:eastAsia="sk-SK"/>
                    </w:rPr>
                    <w:t>347</w:t>
                  </w:r>
                </w:p>
              </w:tc>
              <w:tc>
                <w:tcPr>
                  <w:tcW w:w="1098" w:type="dxa"/>
                  <w:tcBorders>
                    <w:top w:val="single" w:sz="4" w:space="0" w:color="auto"/>
                    <w:left w:val="nil"/>
                    <w:bottom w:val="single" w:sz="4" w:space="0" w:color="auto"/>
                    <w:right w:val="single" w:sz="8" w:space="0" w:color="auto"/>
                    <w:tl2br w:val="nil"/>
                    <w:tr2bl w:val="nil"/>
                  </w:tcBorders>
                  <w:noWrap/>
                  <w:textDirection w:val="lrTb"/>
                  <w:vAlign w:val="center"/>
                </w:tcPr>
                <w:p w:rsidR="00854617" w:rsidRPr="00854617" w:rsidP="00854617">
                  <w:pPr>
                    <w:spacing w:line="240" w:lineRule="auto"/>
                    <w:jc w:val="right"/>
                    <w:rPr>
                      <w:rFonts w:ascii="Arial Narrow" w:hAnsi="Arial Narrow" w:cs="Arial"/>
                      <w:lang w:eastAsia="sk-SK"/>
                    </w:rPr>
                  </w:pPr>
                  <w:r w:rsidRPr="00854617">
                    <w:rPr>
                      <w:rFonts w:ascii="Arial Narrow" w:hAnsi="Arial Narrow" w:cs="Arial"/>
                      <w:lang w:eastAsia="sk-SK"/>
                    </w:rPr>
                    <w:t>347</w:t>
                  </w:r>
                </w:p>
              </w:tc>
              <w:tc>
                <w:tcPr>
                  <w:tcW w:w="1191" w:type="dxa"/>
                  <w:tcBorders>
                    <w:top w:val="single" w:sz="4" w:space="0" w:color="auto"/>
                    <w:left w:val="nil"/>
                    <w:bottom w:val="single" w:sz="4" w:space="0" w:color="auto"/>
                    <w:right w:val="single" w:sz="8" w:space="0" w:color="auto"/>
                    <w:tl2br w:val="nil"/>
                    <w:tr2bl w:val="nil"/>
                  </w:tcBorders>
                  <w:noWrap/>
                  <w:textDirection w:val="lrTb"/>
                  <w:vAlign w:val="center"/>
                </w:tcPr>
                <w:p w:rsidR="00854617" w:rsidRPr="00854617" w:rsidP="00854617">
                  <w:pPr>
                    <w:spacing w:line="240" w:lineRule="auto"/>
                    <w:jc w:val="right"/>
                    <w:rPr>
                      <w:rFonts w:ascii="Arial Narrow" w:hAnsi="Arial Narrow" w:cs="Arial"/>
                      <w:lang w:eastAsia="sk-SK"/>
                    </w:rPr>
                  </w:pPr>
                  <w:r w:rsidRPr="00854617">
                    <w:rPr>
                      <w:rFonts w:ascii="Arial Narrow" w:hAnsi="Arial Narrow" w:cs="Arial"/>
                      <w:lang w:eastAsia="sk-SK"/>
                    </w:rPr>
                    <w:t>0</w:t>
                  </w:r>
                </w:p>
              </w:tc>
              <w:tc>
                <w:tcPr>
                  <w:tcW w:w="1081" w:type="dxa"/>
                  <w:tcBorders>
                    <w:top w:val="single" w:sz="4" w:space="0" w:color="auto"/>
                    <w:left w:val="nil"/>
                    <w:bottom w:val="single" w:sz="4" w:space="0" w:color="auto"/>
                    <w:right w:val="single" w:sz="8" w:space="0" w:color="auto"/>
                    <w:tl2br w:val="nil"/>
                    <w:tr2bl w:val="nil"/>
                  </w:tcBorders>
                  <w:noWrap/>
                  <w:textDirection w:val="lrTb"/>
                  <w:vAlign w:val="center"/>
                </w:tcPr>
                <w:p w:rsidR="00854617" w:rsidRPr="00854617" w:rsidP="00854617">
                  <w:pPr>
                    <w:spacing w:line="240" w:lineRule="auto"/>
                    <w:jc w:val="right"/>
                    <w:rPr>
                      <w:rFonts w:ascii="Arial Narrow" w:hAnsi="Arial Narrow" w:cs="Arial"/>
                      <w:lang w:eastAsia="sk-SK"/>
                    </w:rPr>
                  </w:pPr>
                  <w:r w:rsidRPr="00854617">
                    <w:rPr>
                      <w:rFonts w:ascii="Arial Narrow" w:hAnsi="Arial Narrow" w:cs="Arial"/>
                      <w:lang w:eastAsia="sk-SK"/>
                    </w:rPr>
                    <w:t>0</w:t>
                  </w:r>
                </w:p>
              </w:tc>
              <w:tc>
                <w:tcPr>
                  <w:tcW w:w="1047" w:type="dxa"/>
                  <w:tcBorders>
                    <w:top w:val="single" w:sz="4" w:space="0" w:color="auto"/>
                    <w:left w:val="nil"/>
                    <w:bottom w:val="single" w:sz="4" w:space="0" w:color="auto"/>
                    <w:right w:val="single" w:sz="8" w:space="0" w:color="auto"/>
                    <w:tl2br w:val="nil"/>
                    <w:tr2bl w:val="nil"/>
                  </w:tcBorders>
                  <w:noWrap/>
                  <w:textDirection w:val="lrTb"/>
                  <w:vAlign w:val="center"/>
                </w:tcPr>
                <w:p w:rsidR="00854617" w:rsidRPr="00854617" w:rsidP="00854617">
                  <w:pPr>
                    <w:spacing w:line="240" w:lineRule="auto"/>
                    <w:jc w:val="right"/>
                    <w:rPr>
                      <w:rFonts w:ascii="Arial Narrow" w:hAnsi="Arial Narrow" w:cs="Arial"/>
                      <w:lang w:eastAsia="sk-SK"/>
                    </w:rPr>
                  </w:pPr>
                  <w:r w:rsidRPr="00854617">
                    <w:rPr>
                      <w:rFonts w:ascii="Arial Narrow" w:hAnsi="Arial Narrow" w:cs="Arial"/>
                      <w:lang w:eastAsia="sk-SK"/>
                    </w:rPr>
                    <w:t>347</w:t>
                  </w:r>
                </w:p>
              </w:tc>
              <w:tc>
                <w:tcPr>
                  <w:tcW w:w="1278" w:type="dxa"/>
                  <w:tcBorders>
                    <w:top w:val="single" w:sz="4" w:space="0" w:color="auto"/>
                    <w:left w:val="nil"/>
                    <w:bottom w:val="single" w:sz="4" w:space="0" w:color="auto"/>
                    <w:right w:val="single" w:sz="4" w:space="0" w:color="auto"/>
                    <w:tl2br w:val="nil"/>
                    <w:tr2bl w:val="nil"/>
                  </w:tcBorders>
                  <w:noWrap/>
                  <w:textDirection w:val="lrTb"/>
                  <w:vAlign w:val="center"/>
                </w:tcPr>
                <w:p w:rsidR="00854617" w:rsidRPr="00854617" w:rsidP="00854617">
                  <w:pPr>
                    <w:spacing w:line="240" w:lineRule="auto"/>
                    <w:jc w:val="right"/>
                    <w:rPr>
                      <w:rFonts w:ascii="Arial Narrow" w:hAnsi="Arial Narrow" w:cs="Arial"/>
                      <w:lang w:eastAsia="sk-SK"/>
                    </w:rPr>
                  </w:pPr>
                  <w:r w:rsidRPr="00854617">
                    <w:rPr>
                      <w:rFonts w:ascii="Arial Narrow" w:hAnsi="Arial Narrow" w:cs="Arial"/>
                      <w:lang w:eastAsia="sk-SK"/>
                    </w:rPr>
                    <w:t>347</w:t>
                  </w:r>
                </w:p>
              </w:tc>
            </w:tr>
            <w:tr>
              <w:tblPrEx>
                <w:tblW w:w="10360" w:type="dxa"/>
                <w:tblCellMar>
                  <w:left w:w="70" w:type="dxa"/>
                  <w:right w:w="70" w:type="dxa"/>
                </w:tblCellMar>
              </w:tblPrEx>
              <w:trPr>
                <w:trHeight w:hRule="exact" w:val="284"/>
              </w:trPr>
              <w:tc>
                <w:tcPr>
                  <w:tcW w:w="3582" w:type="dxa"/>
                  <w:tcBorders>
                    <w:top w:val="single" w:sz="4" w:space="0" w:color="auto"/>
                    <w:left w:val="single" w:sz="4" w:space="0" w:color="auto"/>
                    <w:bottom w:val="single" w:sz="4" w:space="0" w:color="auto"/>
                    <w:right w:val="nil"/>
                    <w:tl2br w:val="nil"/>
                    <w:tr2bl w:val="nil"/>
                  </w:tcBorders>
                  <w:noWrap/>
                  <w:textDirection w:val="lrTb"/>
                  <w:vAlign w:val="center"/>
                </w:tcPr>
                <w:p w:rsidR="00854617" w:rsidRPr="00854617" w:rsidP="00854617">
                  <w:pPr>
                    <w:spacing w:line="240" w:lineRule="auto"/>
                    <w:rPr>
                      <w:rFonts w:ascii="Arial Narrow" w:hAnsi="Arial Narrow" w:cs="Arial"/>
                      <w:lang w:eastAsia="sk-SK"/>
                    </w:rPr>
                  </w:pPr>
                  <w:r w:rsidRPr="00854617">
                    <w:rPr>
                      <w:rFonts w:ascii="Arial Narrow" w:hAnsi="Arial Narrow" w:cs="Arial"/>
                      <w:lang w:eastAsia="sk-SK"/>
                    </w:rPr>
                    <w:t xml:space="preserve"> 04.1.2. Slovenská správa ciest</w:t>
                  </w:r>
                </w:p>
              </w:tc>
              <w:tc>
                <w:tcPr>
                  <w:tcW w:w="1083" w:type="dxa"/>
                  <w:tcBorders>
                    <w:top w:val="single" w:sz="4" w:space="0" w:color="auto"/>
                    <w:left w:val="single" w:sz="8" w:space="0" w:color="auto"/>
                    <w:bottom w:val="single" w:sz="4" w:space="0" w:color="auto"/>
                    <w:right w:val="single" w:sz="8" w:space="0" w:color="auto"/>
                    <w:tl2br w:val="nil"/>
                    <w:tr2bl w:val="nil"/>
                  </w:tcBorders>
                  <w:noWrap/>
                  <w:textDirection w:val="lrTb"/>
                  <w:vAlign w:val="center"/>
                </w:tcPr>
                <w:p w:rsidR="00854617" w:rsidRPr="00854617" w:rsidP="00854617">
                  <w:pPr>
                    <w:spacing w:line="240" w:lineRule="auto"/>
                    <w:jc w:val="right"/>
                    <w:rPr>
                      <w:rFonts w:ascii="Arial Narrow" w:hAnsi="Arial Narrow" w:cs="Arial"/>
                      <w:lang w:eastAsia="sk-SK"/>
                    </w:rPr>
                  </w:pPr>
                  <w:r w:rsidRPr="00854617">
                    <w:rPr>
                      <w:rFonts w:ascii="Arial Narrow" w:hAnsi="Arial Narrow" w:cs="Arial"/>
                      <w:lang w:eastAsia="sk-SK"/>
                    </w:rPr>
                    <w:t>804</w:t>
                  </w:r>
                </w:p>
              </w:tc>
              <w:tc>
                <w:tcPr>
                  <w:tcW w:w="1098" w:type="dxa"/>
                  <w:tcBorders>
                    <w:top w:val="single" w:sz="4" w:space="0" w:color="auto"/>
                    <w:left w:val="nil"/>
                    <w:bottom w:val="single" w:sz="4" w:space="0" w:color="auto"/>
                    <w:right w:val="single" w:sz="8" w:space="0" w:color="auto"/>
                    <w:tl2br w:val="nil"/>
                    <w:tr2bl w:val="nil"/>
                  </w:tcBorders>
                  <w:noWrap/>
                  <w:textDirection w:val="lrTb"/>
                  <w:vAlign w:val="center"/>
                </w:tcPr>
                <w:p w:rsidR="00854617" w:rsidRPr="00854617" w:rsidP="00854617">
                  <w:pPr>
                    <w:spacing w:line="240" w:lineRule="auto"/>
                    <w:jc w:val="right"/>
                    <w:rPr>
                      <w:rFonts w:ascii="Arial Narrow" w:hAnsi="Arial Narrow" w:cs="Arial"/>
                      <w:lang w:eastAsia="sk-SK"/>
                    </w:rPr>
                  </w:pPr>
                  <w:r w:rsidRPr="00854617">
                    <w:rPr>
                      <w:rFonts w:ascii="Arial Narrow" w:hAnsi="Arial Narrow" w:cs="Arial"/>
                      <w:lang w:eastAsia="sk-SK"/>
                    </w:rPr>
                    <w:t>726</w:t>
                  </w:r>
                </w:p>
              </w:tc>
              <w:tc>
                <w:tcPr>
                  <w:tcW w:w="1191" w:type="dxa"/>
                  <w:tcBorders>
                    <w:top w:val="single" w:sz="4" w:space="0" w:color="auto"/>
                    <w:left w:val="nil"/>
                    <w:bottom w:val="single" w:sz="4" w:space="0" w:color="auto"/>
                    <w:right w:val="single" w:sz="8" w:space="0" w:color="auto"/>
                    <w:tl2br w:val="nil"/>
                    <w:tr2bl w:val="nil"/>
                  </w:tcBorders>
                  <w:noWrap/>
                  <w:textDirection w:val="lrTb"/>
                  <w:vAlign w:val="center"/>
                </w:tcPr>
                <w:p w:rsidR="00854617" w:rsidRPr="00854617" w:rsidP="00854617">
                  <w:pPr>
                    <w:spacing w:line="240" w:lineRule="auto"/>
                    <w:jc w:val="right"/>
                    <w:rPr>
                      <w:rFonts w:ascii="Arial Narrow" w:hAnsi="Arial Narrow" w:cs="Arial"/>
                      <w:lang w:eastAsia="sk-SK"/>
                    </w:rPr>
                  </w:pPr>
                  <w:r w:rsidRPr="00854617">
                    <w:rPr>
                      <w:rFonts w:ascii="Arial Narrow" w:hAnsi="Arial Narrow" w:cs="Arial"/>
                      <w:lang w:eastAsia="sk-SK"/>
                    </w:rPr>
                    <w:t>0</w:t>
                  </w:r>
                </w:p>
              </w:tc>
              <w:tc>
                <w:tcPr>
                  <w:tcW w:w="1081" w:type="dxa"/>
                  <w:tcBorders>
                    <w:top w:val="single" w:sz="4" w:space="0" w:color="auto"/>
                    <w:left w:val="nil"/>
                    <w:bottom w:val="single" w:sz="4" w:space="0" w:color="auto"/>
                    <w:right w:val="single" w:sz="8" w:space="0" w:color="auto"/>
                    <w:tl2br w:val="nil"/>
                    <w:tr2bl w:val="nil"/>
                  </w:tcBorders>
                  <w:noWrap/>
                  <w:textDirection w:val="lrTb"/>
                  <w:vAlign w:val="center"/>
                </w:tcPr>
                <w:p w:rsidR="00854617" w:rsidRPr="00854617" w:rsidP="00854617">
                  <w:pPr>
                    <w:spacing w:line="240" w:lineRule="auto"/>
                    <w:jc w:val="right"/>
                    <w:rPr>
                      <w:rFonts w:ascii="Arial Narrow" w:hAnsi="Arial Narrow" w:cs="Arial"/>
                      <w:lang w:eastAsia="sk-SK"/>
                    </w:rPr>
                  </w:pPr>
                  <w:r w:rsidRPr="00854617">
                    <w:rPr>
                      <w:rFonts w:ascii="Arial Narrow" w:hAnsi="Arial Narrow" w:cs="Arial"/>
                      <w:lang w:eastAsia="sk-SK"/>
                    </w:rPr>
                    <w:t>0</w:t>
                  </w:r>
                </w:p>
              </w:tc>
              <w:tc>
                <w:tcPr>
                  <w:tcW w:w="1047" w:type="dxa"/>
                  <w:tcBorders>
                    <w:top w:val="single" w:sz="4" w:space="0" w:color="auto"/>
                    <w:left w:val="nil"/>
                    <w:bottom w:val="single" w:sz="4" w:space="0" w:color="auto"/>
                    <w:right w:val="single" w:sz="8" w:space="0" w:color="auto"/>
                    <w:tl2br w:val="nil"/>
                    <w:tr2bl w:val="nil"/>
                  </w:tcBorders>
                  <w:noWrap/>
                  <w:textDirection w:val="lrTb"/>
                  <w:vAlign w:val="center"/>
                </w:tcPr>
                <w:p w:rsidR="00854617" w:rsidRPr="00854617" w:rsidP="00854617">
                  <w:pPr>
                    <w:spacing w:line="240" w:lineRule="auto"/>
                    <w:jc w:val="right"/>
                    <w:rPr>
                      <w:rFonts w:ascii="Arial Narrow" w:hAnsi="Arial Narrow" w:cs="Arial"/>
                      <w:lang w:eastAsia="sk-SK"/>
                    </w:rPr>
                  </w:pPr>
                  <w:r w:rsidRPr="00854617">
                    <w:rPr>
                      <w:rFonts w:ascii="Arial Narrow" w:hAnsi="Arial Narrow" w:cs="Arial"/>
                      <w:lang w:eastAsia="sk-SK"/>
                    </w:rPr>
                    <w:t>804</w:t>
                  </w:r>
                </w:p>
              </w:tc>
              <w:tc>
                <w:tcPr>
                  <w:tcW w:w="1278" w:type="dxa"/>
                  <w:tcBorders>
                    <w:top w:val="single" w:sz="4" w:space="0" w:color="auto"/>
                    <w:left w:val="nil"/>
                    <w:bottom w:val="single" w:sz="4" w:space="0" w:color="auto"/>
                    <w:right w:val="single" w:sz="4" w:space="0" w:color="auto"/>
                    <w:tl2br w:val="nil"/>
                    <w:tr2bl w:val="nil"/>
                  </w:tcBorders>
                  <w:noWrap/>
                  <w:textDirection w:val="lrTb"/>
                  <w:vAlign w:val="center"/>
                </w:tcPr>
                <w:p w:rsidR="00854617" w:rsidRPr="00854617" w:rsidP="00854617">
                  <w:pPr>
                    <w:spacing w:line="240" w:lineRule="auto"/>
                    <w:jc w:val="right"/>
                    <w:rPr>
                      <w:rFonts w:ascii="Arial Narrow" w:hAnsi="Arial Narrow" w:cs="Arial"/>
                      <w:lang w:eastAsia="sk-SK"/>
                    </w:rPr>
                  </w:pPr>
                  <w:r w:rsidRPr="00854617">
                    <w:rPr>
                      <w:rFonts w:ascii="Arial Narrow" w:hAnsi="Arial Narrow" w:cs="Arial"/>
                      <w:lang w:eastAsia="sk-SK"/>
                    </w:rPr>
                    <w:t>726</w:t>
                  </w:r>
                </w:p>
              </w:tc>
            </w:tr>
            <w:tr>
              <w:tblPrEx>
                <w:tblW w:w="10360" w:type="dxa"/>
                <w:tblCellMar>
                  <w:left w:w="70" w:type="dxa"/>
                  <w:right w:w="70" w:type="dxa"/>
                </w:tblCellMar>
              </w:tblPrEx>
              <w:trPr>
                <w:trHeight w:hRule="exact" w:val="284"/>
              </w:trPr>
              <w:tc>
                <w:tcPr>
                  <w:tcW w:w="3582" w:type="dxa"/>
                  <w:tcBorders>
                    <w:top w:val="single" w:sz="4" w:space="0" w:color="auto"/>
                    <w:left w:val="single" w:sz="4" w:space="0" w:color="auto"/>
                    <w:bottom w:val="single" w:sz="4" w:space="0" w:color="auto"/>
                    <w:right w:val="nil"/>
                    <w:tl2br w:val="nil"/>
                    <w:tr2bl w:val="nil"/>
                  </w:tcBorders>
                  <w:noWrap/>
                  <w:textDirection w:val="lrTb"/>
                  <w:vAlign w:val="center"/>
                </w:tcPr>
                <w:p w:rsidR="00854617" w:rsidRPr="00854617" w:rsidP="00854617">
                  <w:pPr>
                    <w:spacing w:line="240" w:lineRule="auto"/>
                    <w:rPr>
                      <w:rFonts w:ascii="Arial Narrow" w:hAnsi="Arial Narrow" w:cs="Arial"/>
                      <w:lang w:eastAsia="sk-SK"/>
                    </w:rPr>
                  </w:pPr>
                  <w:r w:rsidRPr="00854617">
                    <w:rPr>
                      <w:rFonts w:ascii="Arial Narrow" w:hAnsi="Arial Narrow" w:cs="Arial"/>
                      <w:lang w:eastAsia="sk-SK"/>
                    </w:rPr>
                    <w:t>z toho:    Ostatné prostriedky EÚ – fond ESF</w:t>
                  </w:r>
                </w:p>
              </w:tc>
              <w:tc>
                <w:tcPr>
                  <w:tcW w:w="1083" w:type="dxa"/>
                  <w:tcBorders>
                    <w:top w:val="single" w:sz="4" w:space="0" w:color="auto"/>
                    <w:left w:val="single" w:sz="8" w:space="0" w:color="auto"/>
                    <w:bottom w:val="single" w:sz="4" w:space="0" w:color="auto"/>
                    <w:right w:val="single" w:sz="8" w:space="0" w:color="auto"/>
                    <w:tl2br w:val="nil"/>
                    <w:tr2bl w:val="nil"/>
                  </w:tcBorders>
                  <w:noWrap/>
                  <w:textDirection w:val="lrTb"/>
                  <w:vAlign w:val="center"/>
                </w:tcPr>
                <w:p w:rsidR="00854617" w:rsidRPr="00854617" w:rsidP="00854617">
                  <w:pPr>
                    <w:spacing w:line="240" w:lineRule="auto"/>
                    <w:jc w:val="right"/>
                    <w:rPr>
                      <w:rFonts w:ascii="Arial Narrow" w:hAnsi="Arial Narrow" w:cs="Arial"/>
                      <w:lang w:eastAsia="sk-SK"/>
                    </w:rPr>
                  </w:pPr>
                  <w:r w:rsidRPr="00854617">
                    <w:rPr>
                      <w:rFonts w:ascii="Arial Narrow" w:hAnsi="Arial Narrow" w:cs="Arial"/>
                      <w:lang w:eastAsia="sk-SK"/>
                    </w:rPr>
                    <w:t>402</w:t>
                  </w:r>
                </w:p>
              </w:tc>
              <w:tc>
                <w:tcPr>
                  <w:tcW w:w="1098" w:type="dxa"/>
                  <w:tcBorders>
                    <w:top w:val="single" w:sz="4" w:space="0" w:color="auto"/>
                    <w:left w:val="nil"/>
                    <w:bottom w:val="single" w:sz="4" w:space="0" w:color="auto"/>
                    <w:right w:val="single" w:sz="8" w:space="0" w:color="auto"/>
                    <w:tl2br w:val="nil"/>
                    <w:tr2bl w:val="nil"/>
                  </w:tcBorders>
                  <w:noWrap/>
                  <w:textDirection w:val="lrTb"/>
                  <w:vAlign w:val="center"/>
                </w:tcPr>
                <w:p w:rsidR="00854617" w:rsidRPr="00854617" w:rsidP="00854617">
                  <w:pPr>
                    <w:spacing w:line="240" w:lineRule="auto"/>
                    <w:jc w:val="right"/>
                    <w:rPr>
                      <w:rFonts w:ascii="Arial Narrow" w:hAnsi="Arial Narrow" w:cs="Arial"/>
                      <w:lang w:eastAsia="sk-SK"/>
                    </w:rPr>
                  </w:pPr>
                  <w:r w:rsidRPr="00854617">
                    <w:rPr>
                      <w:rFonts w:ascii="Arial Narrow" w:hAnsi="Arial Narrow" w:cs="Arial"/>
                      <w:lang w:eastAsia="sk-SK"/>
                    </w:rPr>
                    <w:t>363</w:t>
                  </w:r>
                </w:p>
              </w:tc>
              <w:tc>
                <w:tcPr>
                  <w:tcW w:w="1191" w:type="dxa"/>
                  <w:tcBorders>
                    <w:top w:val="single" w:sz="4" w:space="0" w:color="auto"/>
                    <w:left w:val="nil"/>
                    <w:bottom w:val="single" w:sz="4" w:space="0" w:color="auto"/>
                    <w:right w:val="single" w:sz="8" w:space="0" w:color="auto"/>
                    <w:tl2br w:val="nil"/>
                    <w:tr2bl w:val="nil"/>
                  </w:tcBorders>
                  <w:noWrap/>
                  <w:textDirection w:val="lrTb"/>
                  <w:vAlign w:val="center"/>
                </w:tcPr>
                <w:p w:rsidR="00854617" w:rsidRPr="00854617" w:rsidP="00854617">
                  <w:pPr>
                    <w:spacing w:line="240" w:lineRule="auto"/>
                    <w:jc w:val="right"/>
                    <w:rPr>
                      <w:rFonts w:ascii="Arial Narrow" w:hAnsi="Arial Narrow" w:cs="Arial"/>
                      <w:lang w:eastAsia="sk-SK"/>
                    </w:rPr>
                  </w:pPr>
                  <w:r w:rsidRPr="00854617">
                    <w:rPr>
                      <w:rFonts w:ascii="Arial Narrow" w:hAnsi="Arial Narrow" w:cs="Arial"/>
                      <w:lang w:eastAsia="sk-SK"/>
                    </w:rPr>
                    <w:t>0</w:t>
                  </w:r>
                </w:p>
              </w:tc>
              <w:tc>
                <w:tcPr>
                  <w:tcW w:w="1081" w:type="dxa"/>
                  <w:tcBorders>
                    <w:top w:val="single" w:sz="4" w:space="0" w:color="auto"/>
                    <w:left w:val="nil"/>
                    <w:bottom w:val="single" w:sz="4" w:space="0" w:color="auto"/>
                    <w:right w:val="single" w:sz="8" w:space="0" w:color="auto"/>
                    <w:tl2br w:val="nil"/>
                    <w:tr2bl w:val="nil"/>
                  </w:tcBorders>
                  <w:noWrap/>
                  <w:textDirection w:val="lrTb"/>
                  <w:vAlign w:val="center"/>
                </w:tcPr>
                <w:p w:rsidR="00854617" w:rsidRPr="00854617" w:rsidP="00854617">
                  <w:pPr>
                    <w:spacing w:line="240" w:lineRule="auto"/>
                    <w:jc w:val="right"/>
                    <w:rPr>
                      <w:rFonts w:ascii="Arial Narrow" w:hAnsi="Arial Narrow" w:cs="Arial"/>
                      <w:lang w:eastAsia="sk-SK"/>
                    </w:rPr>
                  </w:pPr>
                  <w:r w:rsidRPr="00854617">
                    <w:rPr>
                      <w:rFonts w:ascii="Arial Narrow" w:hAnsi="Arial Narrow" w:cs="Arial"/>
                      <w:lang w:eastAsia="sk-SK"/>
                    </w:rPr>
                    <w:t>0</w:t>
                  </w:r>
                </w:p>
              </w:tc>
              <w:tc>
                <w:tcPr>
                  <w:tcW w:w="1047" w:type="dxa"/>
                  <w:tcBorders>
                    <w:top w:val="single" w:sz="4" w:space="0" w:color="auto"/>
                    <w:left w:val="nil"/>
                    <w:bottom w:val="single" w:sz="4" w:space="0" w:color="auto"/>
                    <w:right w:val="single" w:sz="8" w:space="0" w:color="auto"/>
                    <w:tl2br w:val="nil"/>
                    <w:tr2bl w:val="nil"/>
                  </w:tcBorders>
                  <w:noWrap/>
                  <w:textDirection w:val="lrTb"/>
                  <w:vAlign w:val="center"/>
                </w:tcPr>
                <w:p w:rsidR="00854617" w:rsidRPr="00854617" w:rsidP="00854617">
                  <w:pPr>
                    <w:spacing w:line="240" w:lineRule="auto"/>
                    <w:jc w:val="right"/>
                    <w:rPr>
                      <w:rFonts w:ascii="Arial Narrow" w:hAnsi="Arial Narrow" w:cs="Arial"/>
                      <w:lang w:eastAsia="sk-SK"/>
                    </w:rPr>
                  </w:pPr>
                  <w:r w:rsidRPr="00854617">
                    <w:rPr>
                      <w:rFonts w:ascii="Arial Narrow" w:hAnsi="Arial Narrow" w:cs="Arial"/>
                      <w:lang w:eastAsia="sk-SK"/>
                    </w:rPr>
                    <w:t>402</w:t>
                  </w:r>
                </w:p>
              </w:tc>
              <w:tc>
                <w:tcPr>
                  <w:tcW w:w="1278" w:type="dxa"/>
                  <w:tcBorders>
                    <w:top w:val="single" w:sz="4" w:space="0" w:color="auto"/>
                    <w:left w:val="nil"/>
                    <w:bottom w:val="single" w:sz="4" w:space="0" w:color="auto"/>
                    <w:right w:val="single" w:sz="4" w:space="0" w:color="auto"/>
                    <w:tl2br w:val="nil"/>
                    <w:tr2bl w:val="nil"/>
                  </w:tcBorders>
                  <w:noWrap/>
                  <w:textDirection w:val="lrTb"/>
                  <w:vAlign w:val="center"/>
                </w:tcPr>
                <w:p w:rsidR="00854617" w:rsidRPr="00854617" w:rsidP="00854617">
                  <w:pPr>
                    <w:spacing w:line="240" w:lineRule="auto"/>
                    <w:jc w:val="right"/>
                    <w:rPr>
                      <w:rFonts w:ascii="Arial Narrow" w:hAnsi="Arial Narrow" w:cs="Arial"/>
                      <w:lang w:eastAsia="sk-SK"/>
                    </w:rPr>
                  </w:pPr>
                  <w:r w:rsidRPr="00854617">
                    <w:rPr>
                      <w:rFonts w:ascii="Arial Narrow" w:hAnsi="Arial Narrow" w:cs="Arial"/>
                      <w:lang w:eastAsia="sk-SK"/>
                    </w:rPr>
                    <w:t>363</w:t>
                  </w:r>
                </w:p>
              </w:tc>
            </w:tr>
            <w:tr>
              <w:tblPrEx>
                <w:tblW w:w="10360" w:type="dxa"/>
                <w:tblCellMar>
                  <w:left w:w="70" w:type="dxa"/>
                  <w:right w:w="70" w:type="dxa"/>
                </w:tblCellMar>
              </w:tblPrEx>
              <w:trPr>
                <w:trHeight w:hRule="exact" w:val="284"/>
              </w:trPr>
              <w:tc>
                <w:tcPr>
                  <w:tcW w:w="3582" w:type="dxa"/>
                  <w:tcBorders>
                    <w:top w:val="single" w:sz="4" w:space="0" w:color="auto"/>
                    <w:left w:val="single" w:sz="4" w:space="0" w:color="auto"/>
                    <w:bottom w:val="single" w:sz="4" w:space="0" w:color="auto"/>
                    <w:right w:val="nil"/>
                    <w:tl2br w:val="nil"/>
                    <w:tr2bl w:val="nil"/>
                  </w:tcBorders>
                  <w:noWrap/>
                  <w:textDirection w:val="lrTb"/>
                  <w:vAlign w:val="center"/>
                </w:tcPr>
                <w:p w:rsidR="00854617" w:rsidRPr="00854617" w:rsidP="00854617">
                  <w:pPr>
                    <w:spacing w:line="240" w:lineRule="auto"/>
                    <w:rPr>
                      <w:rFonts w:ascii="Arial Narrow" w:hAnsi="Arial Narrow" w:cs="Arial"/>
                      <w:lang w:eastAsia="sk-SK"/>
                    </w:rPr>
                  </w:pPr>
                  <w:r w:rsidRPr="00854617">
                    <w:rPr>
                      <w:rFonts w:ascii="Arial Narrow" w:hAnsi="Arial Narrow" w:cs="Arial"/>
                      <w:lang w:eastAsia="sk-SK"/>
                    </w:rPr>
                    <w:t>z toho:    Spolufinancovanie ESF</w:t>
                  </w:r>
                </w:p>
              </w:tc>
              <w:tc>
                <w:tcPr>
                  <w:tcW w:w="1083" w:type="dxa"/>
                  <w:tcBorders>
                    <w:top w:val="single" w:sz="4" w:space="0" w:color="auto"/>
                    <w:left w:val="single" w:sz="8" w:space="0" w:color="auto"/>
                    <w:bottom w:val="single" w:sz="4" w:space="0" w:color="auto"/>
                    <w:right w:val="single" w:sz="8" w:space="0" w:color="auto"/>
                    <w:tl2br w:val="nil"/>
                    <w:tr2bl w:val="nil"/>
                  </w:tcBorders>
                  <w:noWrap/>
                  <w:textDirection w:val="lrTb"/>
                  <w:vAlign w:val="center"/>
                </w:tcPr>
                <w:p w:rsidR="00854617" w:rsidRPr="00854617" w:rsidP="00854617">
                  <w:pPr>
                    <w:spacing w:line="240" w:lineRule="auto"/>
                    <w:jc w:val="right"/>
                    <w:rPr>
                      <w:rFonts w:ascii="Arial Narrow" w:hAnsi="Arial Narrow" w:cs="Arial"/>
                      <w:lang w:eastAsia="sk-SK"/>
                    </w:rPr>
                  </w:pPr>
                  <w:r w:rsidRPr="00854617">
                    <w:rPr>
                      <w:rFonts w:ascii="Arial Narrow" w:hAnsi="Arial Narrow" w:cs="Arial"/>
                      <w:lang w:eastAsia="sk-SK"/>
                    </w:rPr>
                    <w:t>402</w:t>
                  </w:r>
                </w:p>
              </w:tc>
              <w:tc>
                <w:tcPr>
                  <w:tcW w:w="1098" w:type="dxa"/>
                  <w:tcBorders>
                    <w:top w:val="single" w:sz="4" w:space="0" w:color="auto"/>
                    <w:left w:val="nil"/>
                    <w:bottom w:val="single" w:sz="4" w:space="0" w:color="auto"/>
                    <w:right w:val="single" w:sz="8" w:space="0" w:color="auto"/>
                    <w:tl2br w:val="nil"/>
                    <w:tr2bl w:val="nil"/>
                  </w:tcBorders>
                  <w:noWrap/>
                  <w:textDirection w:val="lrTb"/>
                  <w:vAlign w:val="center"/>
                </w:tcPr>
                <w:p w:rsidR="00854617" w:rsidRPr="00854617" w:rsidP="00854617">
                  <w:pPr>
                    <w:spacing w:line="240" w:lineRule="auto"/>
                    <w:jc w:val="right"/>
                    <w:rPr>
                      <w:rFonts w:ascii="Arial Narrow" w:hAnsi="Arial Narrow" w:cs="Arial"/>
                      <w:lang w:eastAsia="sk-SK"/>
                    </w:rPr>
                  </w:pPr>
                  <w:r w:rsidRPr="00854617">
                    <w:rPr>
                      <w:rFonts w:ascii="Arial Narrow" w:hAnsi="Arial Narrow" w:cs="Arial"/>
                      <w:lang w:eastAsia="sk-SK"/>
                    </w:rPr>
                    <w:t>363</w:t>
                  </w:r>
                </w:p>
              </w:tc>
              <w:tc>
                <w:tcPr>
                  <w:tcW w:w="1191" w:type="dxa"/>
                  <w:tcBorders>
                    <w:top w:val="single" w:sz="4" w:space="0" w:color="auto"/>
                    <w:left w:val="nil"/>
                    <w:bottom w:val="single" w:sz="4" w:space="0" w:color="auto"/>
                    <w:right w:val="single" w:sz="8" w:space="0" w:color="auto"/>
                    <w:tl2br w:val="nil"/>
                    <w:tr2bl w:val="nil"/>
                  </w:tcBorders>
                  <w:noWrap/>
                  <w:textDirection w:val="lrTb"/>
                  <w:vAlign w:val="center"/>
                </w:tcPr>
                <w:p w:rsidR="00854617" w:rsidRPr="00854617" w:rsidP="00854617">
                  <w:pPr>
                    <w:spacing w:line="240" w:lineRule="auto"/>
                    <w:jc w:val="right"/>
                    <w:rPr>
                      <w:rFonts w:ascii="Arial Narrow" w:hAnsi="Arial Narrow" w:cs="Arial"/>
                      <w:lang w:eastAsia="sk-SK"/>
                    </w:rPr>
                  </w:pPr>
                  <w:r w:rsidRPr="00854617">
                    <w:rPr>
                      <w:rFonts w:ascii="Arial Narrow" w:hAnsi="Arial Narrow" w:cs="Arial"/>
                      <w:lang w:eastAsia="sk-SK"/>
                    </w:rPr>
                    <w:t>0</w:t>
                  </w:r>
                </w:p>
              </w:tc>
              <w:tc>
                <w:tcPr>
                  <w:tcW w:w="1081" w:type="dxa"/>
                  <w:tcBorders>
                    <w:top w:val="single" w:sz="4" w:space="0" w:color="auto"/>
                    <w:left w:val="nil"/>
                    <w:bottom w:val="single" w:sz="4" w:space="0" w:color="auto"/>
                    <w:right w:val="single" w:sz="8" w:space="0" w:color="auto"/>
                    <w:tl2br w:val="nil"/>
                    <w:tr2bl w:val="nil"/>
                  </w:tcBorders>
                  <w:noWrap/>
                  <w:textDirection w:val="lrTb"/>
                  <w:vAlign w:val="center"/>
                </w:tcPr>
                <w:p w:rsidR="00854617" w:rsidRPr="00854617" w:rsidP="00854617">
                  <w:pPr>
                    <w:spacing w:line="240" w:lineRule="auto"/>
                    <w:jc w:val="right"/>
                    <w:rPr>
                      <w:rFonts w:ascii="Arial Narrow" w:hAnsi="Arial Narrow" w:cs="Arial"/>
                      <w:lang w:eastAsia="sk-SK"/>
                    </w:rPr>
                  </w:pPr>
                  <w:r w:rsidRPr="00854617">
                    <w:rPr>
                      <w:rFonts w:ascii="Arial Narrow" w:hAnsi="Arial Narrow" w:cs="Arial"/>
                      <w:lang w:eastAsia="sk-SK"/>
                    </w:rPr>
                    <w:t>0</w:t>
                  </w:r>
                </w:p>
              </w:tc>
              <w:tc>
                <w:tcPr>
                  <w:tcW w:w="1047" w:type="dxa"/>
                  <w:tcBorders>
                    <w:top w:val="single" w:sz="4" w:space="0" w:color="auto"/>
                    <w:left w:val="nil"/>
                    <w:bottom w:val="single" w:sz="4" w:space="0" w:color="auto"/>
                    <w:right w:val="single" w:sz="8" w:space="0" w:color="auto"/>
                    <w:tl2br w:val="nil"/>
                    <w:tr2bl w:val="nil"/>
                  </w:tcBorders>
                  <w:noWrap/>
                  <w:textDirection w:val="lrTb"/>
                  <w:vAlign w:val="center"/>
                </w:tcPr>
                <w:p w:rsidR="00854617" w:rsidRPr="00854617" w:rsidP="00854617">
                  <w:pPr>
                    <w:spacing w:line="240" w:lineRule="auto"/>
                    <w:jc w:val="right"/>
                    <w:rPr>
                      <w:rFonts w:ascii="Arial Narrow" w:hAnsi="Arial Narrow" w:cs="Arial"/>
                      <w:lang w:eastAsia="sk-SK"/>
                    </w:rPr>
                  </w:pPr>
                  <w:r w:rsidRPr="00854617">
                    <w:rPr>
                      <w:rFonts w:ascii="Arial Narrow" w:hAnsi="Arial Narrow" w:cs="Arial"/>
                      <w:lang w:eastAsia="sk-SK"/>
                    </w:rPr>
                    <w:t>402</w:t>
                  </w:r>
                </w:p>
              </w:tc>
              <w:tc>
                <w:tcPr>
                  <w:tcW w:w="1278" w:type="dxa"/>
                  <w:tcBorders>
                    <w:top w:val="single" w:sz="4" w:space="0" w:color="auto"/>
                    <w:left w:val="nil"/>
                    <w:bottom w:val="single" w:sz="4" w:space="0" w:color="auto"/>
                    <w:right w:val="single" w:sz="4" w:space="0" w:color="auto"/>
                    <w:tl2br w:val="nil"/>
                    <w:tr2bl w:val="nil"/>
                  </w:tcBorders>
                  <w:noWrap/>
                  <w:textDirection w:val="lrTb"/>
                  <w:vAlign w:val="center"/>
                </w:tcPr>
                <w:p w:rsidR="00854617" w:rsidRPr="00854617" w:rsidP="00854617">
                  <w:pPr>
                    <w:spacing w:line="240" w:lineRule="auto"/>
                    <w:jc w:val="right"/>
                    <w:rPr>
                      <w:rFonts w:ascii="Arial Narrow" w:hAnsi="Arial Narrow" w:cs="Arial"/>
                      <w:lang w:eastAsia="sk-SK"/>
                    </w:rPr>
                  </w:pPr>
                  <w:r w:rsidRPr="00854617">
                    <w:rPr>
                      <w:rFonts w:ascii="Arial Narrow" w:hAnsi="Arial Narrow" w:cs="Arial"/>
                      <w:lang w:eastAsia="sk-SK"/>
                    </w:rPr>
                    <w:t>363</w:t>
                  </w:r>
                </w:p>
              </w:tc>
            </w:tr>
            <w:tr>
              <w:tblPrEx>
                <w:tblW w:w="10360" w:type="dxa"/>
                <w:tblCellMar>
                  <w:left w:w="70" w:type="dxa"/>
                  <w:right w:w="70" w:type="dxa"/>
                </w:tblCellMar>
              </w:tblPrEx>
              <w:trPr>
                <w:trHeight w:hRule="exact" w:val="284"/>
              </w:trPr>
              <w:tc>
                <w:tcPr>
                  <w:tcW w:w="3582" w:type="dxa"/>
                  <w:tcBorders>
                    <w:top w:val="single" w:sz="4" w:space="0" w:color="auto"/>
                    <w:left w:val="single" w:sz="4" w:space="0" w:color="auto"/>
                    <w:bottom w:val="single" w:sz="4" w:space="0" w:color="auto"/>
                    <w:right w:val="nil"/>
                    <w:tl2br w:val="nil"/>
                    <w:tr2bl w:val="nil"/>
                  </w:tcBorders>
                  <w:noWrap/>
                  <w:textDirection w:val="lrTb"/>
                  <w:vAlign w:val="center"/>
                </w:tcPr>
                <w:p w:rsidR="00854617" w:rsidRPr="00854617" w:rsidP="00854617">
                  <w:pPr>
                    <w:spacing w:line="240" w:lineRule="auto"/>
                    <w:rPr>
                      <w:rFonts w:ascii="Arial Narrow" w:hAnsi="Arial Narrow" w:cs="Arial"/>
                      <w:lang w:eastAsia="sk-SK"/>
                    </w:rPr>
                  </w:pPr>
                  <w:r w:rsidRPr="00854617">
                    <w:rPr>
                      <w:rFonts w:ascii="Arial Narrow" w:hAnsi="Arial Narrow" w:cs="Arial"/>
                      <w:lang w:eastAsia="sk-SK"/>
                    </w:rPr>
                    <w:t>04.5.2.1. Štátna plavebná správa</w:t>
                  </w:r>
                </w:p>
              </w:tc>
              <w:tc>
                <w:tcPr>
                  <w:tcW w:w="1083" w:type="dxa"/>
                  <w:tcBorders>
                    <w:top w:val="single" w:sz="4" w:space="0" w:color="auto"/>
                    <w:left w:val="single" w:sz="8" w:space="0" w:color="auto"/>
                    <w:bottom w:val="single" w:sz="4" w:space="0" w:color="auto"/>
                    <w:right w:val="single" w:sz="8" w:space="0" w:color="auto"/>
                    <w:tl2br w:val="nil"/>
                    <w:tr2bl w:val="nil"/>
                  </w:tcBorders>
                  <w:noWrap/>
                  <w:textDirection w:val="lrTb"/>
                  <w:vAlign w:val="center"/>
                </w:tcPr>
                <w:p w:rsidR="00854617" w:rsidRPr="00854617" w:rsidP="00854617">
                  <w:pPr>
                    <w:spacing w:line="240" w:lineRule="auto"/>
                    <w:jc w:val="right"/>
                    <w:rPr>
                      <w:rFonts w:ascii="Arial Narrow" w:hAnsi="Arial Narrow" w:cs="Arial"/>
                      <w:lang w:eastAsia="sk-SK"/>
                    </w:rPr>
                  </w:pPr>
                  <w:r w:rsidRPr="00854617">
                    <w:rPr>
                      <w:rFonts w:ascii="Arial Narrow" w:hAnsi="Arial Narrow" w:cs="Arial"/>
                      <w:lang w:eastAsia="sk-SK"/>
                    </w:rPr>
                    <w:t>40 382</w:t>
                  </w:r>
                </w:p>
              </w:tc>
              <w:tc>
                <w:tcPr>
                  <w:tcW w:w="1098" w:type="dxa"/>
                  <w:tcBorders>
                    <w:top w:val="single" w:sz="4" w:space="0" w:color="auto"/>
                    <w:left w:val="nil"/>
                    <w:bottom w:val="single" w:sz="4" w:space="0" w:color="auto"/>
                    <w:right w:val="single" w:sz="8" w:space="0" w:color="auto"/>
                    <w:tl2br w:val="nil"/>
                    <w:tr2bl w:val="nil"/>
                  </w:tcBorders>
                  <w:noWrap/>
                  <w:textDirection w:val="lrTb"/>
                  <w:vAlign w:val="center"/>
                </w:tcPr>
                <w:p w:rsidR="00854617" w:rsidRPr="00854617" w:rsidP="00854617">
                  <w:pPr>
                    <w:spacing w:line="240" w:lineRule="auto"/>
                    <w:jc w:val="right"/>
                    <w:rPr>
                      <w:rFonts w:ascii="Arial Narrow" w:hAnsi="Arial Narrow" w:cs="Arial"/>
                      <w:lang w:eastAsia="sk-SK"/>
                    </w:rPr>
                  </w:pPr>
                  <w:r w:rsidRPr="00854617">
                    <w:rPr>
                      <w:rFonts w:ascii="Arial Narrow" w:hAnsi="Arial Narrow" w:cs="Arial"/>
                      <w:lang w:eastAsia="sk-SK"/>
                    </w:rPr>
                    <w:t>40 375</w:t>
                  </w:r>
                </w:p>
              </w:tc>
              <w:tc>
                <w:tcPr>
                  <w:tcW w:w="1191" w:type="dxa"/>
                  <w:tcBorders>
                    <w:top w:val="single" w:sz="4" w:space="0" w:color="auto"/>
                    <w:left w:val="nil"/>
                    <w:bottom w:val="single" w:sz="4" w:space="0" w:color="auto"/>
                    <w:right w:val="single" w:sz="8" w:space="0" w:color="auto"/>
                    <w:tl2br w:val="nil"/>
                    <w:tr2bl w:val="nil"/>
                  </w:tcBorders>
                  <w:noWrap/>
                  <w:textDirection w:val="lrTb"/>
                  <w:vAlign w:val="center"/>
                </w:tcPr>
                <w:p w:rsidR="00854617" w:rsidRPr="00854617" w:rsidP="00854617">
                  <w:pPr>
                    <w:spacing w:line="240" w:lineRule="auto"/>
                    <w:jc w:val="right"/>
                    <w:rPr>
                      <w:rFonts w:ascii="Arial Narrow" w:hAnsi="Arial Narrow" w:cs="Arial"/>
                      <w:lang w:eastAsia="sk-SK"/>
                    </w:rPr>
                  </w:pPr>
                  <w:r w:rsidRPr="00854617">
                    <w:rPr>
                      <w:rFonts w:ascii="Arial Narrow" w:hAnsi="Arial Narrow" w:cs="Arial"/>
                      <w:lang w:eastAsia="sk-SK"/>
                    </w:rPr>
                    <w:t>1 000</w:t>
                  </w:r>
                </w:p>
              </w:tc>
              <w:tc>
                <w:tcPr>
                  <w:tcW w:w="1081" w:type="dxa"/>
                  <w:tcBorders>
                    <w:top w:val="single" w:sz="4" w:space="0" w:color="auto"/>
                    <w:left w:val="nil"/>
                    <w:bottom w:val="single" w:sz="4" w:space="0" w:color="auto"/>
                    <w:right w:val="single" w:sz="8" w:space="0" w:color="auto"/>
                    <w:tl2br w:val="nil"/>
                    <w:tr2bl w:val="nil"/>
                  </w:tcBorders>
                  <w:noWrap/>
                  <w:textDirection w:val="lrTb"/>
                  <w:vAlign w:val="center"/>
                </w:tcPr>
                <w:p w:rsidR="00854617" w:rsidRPr="00854617" w:rsidP="00854617">
                  <w:pPr>
                    <w:spacing w:line="240" w:lineRule="auto"/>
                    <w:jc w:val="right"/>
                    <w:rPr>
                      <w:rFonts w:ascii="Arial Narrow" w:hAnsi="Arial Narrow" w:cs="Arial"/>
                      <w:lang w:eastAsia="sk-SK"/>
                    </w:rPr>
                  </w:pPr>
                  <w:r w:rsidRPr="00854617">
                    <w:rPr>
                      <w:rFonts w:ascii="Arial Narrow" w:hAnsi="Arial Narrow" w:cs="Arial"/>
                      <w:lang w:eastAsia="sk-SK"/>
                    </w:rPr>
                    <w:t>1 000</w:t>
                  </w:r>
                </w:p>
              </w:tc>
              <w:tc>
                <w:tcPr>
                  <w:tcW w:w="1047" w:type="dxa"/>
                  <w:tcBorders>
                    <w:top w:val="single" w:sz="4" w:space="0" w:color="auto"/>
                    <w:left w:val="nil"/>
                    <w:bottom w:val="single" w:sz="4" w:space="0" w:color="auto"/>
                    <w:right w:val="single" w:sz="8" w:space="0" w:color="auto"/>
                    <w:tl2br w:val="nil"/>
                    <w:tr2bl w:val="nil"/>
                  </w:tcBorders>
                  <w:noWrap/>
                  <w:textDirection w:val="lrTb"/>
                  <w:vAlign w:val="center"/>
                </w:tcPr>
                <w:p w:rsidR="00854617" w:rsidRPr="00854617" w:rsidP="00854617">
                  <w:pPr>
                    <w:spacing w:line="240" w:lineRule="auto"/>
                    <w:jc w:val="right"/>
                    <w:rPr>
                      <w:rFonts w:ascii="Arial Narrow" w:hAnsi="Arial Narrow" w:cs="Arial"/>
                      <w:lang w:eastAsia="sk-SK"/>
                    </w:rPr>
                  </w:pPr>
                  <w:r w:rsidRPr="00854617">
                    <w:rPr>
                      <w:rFonts w:ascii="Arial Narrow" w:hAnsi="Arial Narrow" w:cs="Arial"/>
                      <w:lang w:eastAsia="sk-SK"/>
                    </w:rPr>
                    <w:t>41 382</w:t>
                  </w:r>
                </w:p>
              </w:tc>
              <w:tc>
                <w:tcPr>
                  <w:tcW w:w="1278" w:type="dxa"/>
                  <w:tcBorders>
                    <w:top w:val="single" w:sz="4" w:space="0" w:color="auto"/>
                    <w:left w:val="nil"/>
                    <w:bottom w:val="single" w:sz="4" w:space="0" w:color="auto"/>
                    <w:right w:val="single" w:sz="4" w:space="0" w:color="auto"/>
                    <w:tl2br w:val="nil"/>
                    <w:tr2bl w:val="nil"/>
                  </w:tcBorders>
                  <w:noWrap/>
                  <w:textDirection w:val="lrTb"/>
                  <w:vAlign w:val="center"/>
                </w:tcPr>
                <w:p w:rsidR="00854617" w:rsidRPr="00854617" w:rsidP="00854617">
                  <w:pPr>
                    <w:spacing w:line="240" w:lineRule="auto"/>
                    <w:jc w:val="right"/>
                    <w:rPr>
                      <w:rFonts w:ascii="Arial Narrow" w:hAnsi="Arial Narrow" w:cs="Arial"/>
                      <w:lang w:eastAsia="sk-SK"/>
                    </w:rPr>
                  </w:pPr>
                  <w:r w:rsidRPr="00854617">
                    <w:rPr>
                      <w:rFonts w:ascii="Arial Narrow" w:hAnsi="Arial Narrow" w:cs="Arial"/>
                      <w:lang w:eastAsia="sk-SK"/>
                    </w:rPr>
                    <w:t>41 375</w:t>
                  </w:r>
                </w:p>
              </w:tc>
            </w:tr>
            <w:tr>
              <w:tblPrEx>
                <w:tblW w:w="10360" w:type="dxa"/>
                <w:tblCellMar>
                  <w:left w:w="70" w:type="dxa"/>
                  <w:right w:w="70" w:type="dxa"/>
                </w:tblCellMar>
              </w:tblPrEx>
              <w:trPr>
                <w:trHeight w:hRule="exact" w:val="284"/>
              </w:trPr>
              <w:tc>
                <w:tcPr>
                  <w:tcW w:w="3582" w:type="dxa"/>
                  <w:tcBorders>
                    <w:top w:val="single" w:sz="4" w:space="0" w:color="auto"/>
                    <w:left w:val="single" w:sz="4" w:space="0" w:color="auto"/>
                    <w:bottom w:val="single" w:sz="4" w:space="0" w:color="auto"/>
                    <w:right w:val="nil"/>
                    <w:tl2br w:val="nil"/>
                    <w:tr2bl w:val="nil"/>
                  </w:tcBorders>
                  <w:noWrap/>
                  <w:textDirection w:val="lrTb"/>
                  <w:vAlign w:val="center"/>
                </w:tcPr>
                <w:p w:rsidR="00854617" w:rsidRPr="00854617" w:rsidP="00854617">
                  <w:pPr>
                    <w:spacing w:line="240" w:lineRule="auto"/>
                    <w:rPr>
                      <w:rFonts w:ascii="Arial Narrow" w:hAnsi="Arial Narrow" w:cs="Arial"/>
                      <w:lang w:eastAsia="sk-SK"/>
                    </w:rPr>
                  </w:pPr>
                  <w:r w:rsidRPr="00854617">
                    <w:rPr>
                      <w:rFonts w:ascii="Arial Narrow" w:hAnsi="Arial Narrow" w:cs="Arial"/>
                      <w:lang w:eastAsia="sk-SK"/>
                    </w:rPr>
                    <w:t xml:space="preserve">04.5.3.    Úrad pre reguláciu žel. dopravy </w:t>
                  </w:r>
                </w:p>
              </w:tc>
              <w:tc>
                <w:tcPr>
                  <w:tcW w:w="1083" w:type="dxa"/>
                  <w:tcBorders>
                    <w:top w:val="single" w:sz="4" w:space="0" w:color="auto"/>
                    <w:left w:val="single" w:sz="8" w:space="0" w:color="auto"/>
                    <w:bottom w:val="single" w:sz="4" w:space="0" w:color="auto"/>
                    <w:right w:val="single" w:sz="8" w:space="0" w:color="auto"/>
                    <w:tl2br w:val="nil"/>
                    <w:tr2bl w:val="nil"/>
                  </w:tcBorders>
                  <w:noWrap/>
                  <w:textDirection w:val="lrTb"/>
                  <w:vAlign w:val="center"/>
                </w:tcPr>
                <w:p w:rsidR="00854617" w:rsidRPr="00854617" w:rsidP="00854617">
                  <w:pPr>
                    <w:spacing w:line="240" w:lineRule="auto"/>
                    <w:jc w:val="right"/>
                    <w:rPr>
                      <w:rFonts w:ascii="Arial Narrow" w:hAnsi="Arial Narrow" w:cs="Arial"/>
                      <w:lang w:eastAsia="sk-SK"/>
                    </w:rPr>
                  </w:pPr>
                  <w:r w:rsidRPr="00854617">
                    <w:rPr>
                      <w:rFonts w:ascii="Arial Narrow" w:hAnsi="Arial Narrow" w:cs="Arial"/>
                      <w:lang w:eastAsia="sk-SK"/>
                    </w:rPr>
                    <w:t>38 254</w:t>
                  </w:r>
                </w:p>
              </w:tc>
              <w:tc>
                <w:tcPr>
                  <w:tcW w:w="1098" w:type="dxa"/>
                  <w:tcBorders>
                    <w:top w:val="single" w:sz="4" w:space="0" w:color="auto"/>
                    <w:left w:val="nil"/>
                    <w:bottom w:val="single" w:sz="4" w:space="0" w:color="auto"/>
                    <w:right w:val="single" w:sz="8" w:space="0" w:color="auto"/>
                    <w:tl2br w:val="nil"/>
                    <w:tr2bl w:val="nil"/>
                  </w:tcBorders>
                  <w:noWrap/>
                  <w:textDirection w:val="lrTb"/>
                  <w:vAlign w:val="center"/>
                </w:tcPr>
                <w:p w:rsidR="00854617" w:rsidRPr="00854617" w:rsidP="00854617">
                  <w:pPr>
                    <w:spacing w:line="240" w:lineRule="auto"/>
                    <w:jc w:val="right"/>
                    <w:rPr>
                      <w:rFonts w:ascii="Arial Narrow" w:hAnsi="Arial Narrow" w:cs="Arial"/>
                      <w:lang w:eastAsia="sk-SK"/>
                    </w:rPr>
                  </w:pPr>
                  <w:r w:rsidRPr="00854617">
                    <w:rPr>
                      <w:rFonts w:ascii="Arial Narrow" w:hAnsi="Arial Narrow" w:cs="Arial"/>
                      <w:lang w:eastAsia="sk-SK"/>
                    </w:rPr>
                    <w:t>37 068</w:t>
                  </w:r>
                </w:p>
              </w:tc>
              <w:tc>
                <w:tcPr>
                  <w:tcW w:w="1191" w:type="dxa"/>
                  <w:tcBorders>
                    <w:top w:val="single" w:sz="4" w:space="0" w:color="auto"/>
                    <w:left w:val="nil"/>
                    <w:bottom w:val="single" w:sz="4" w:space="0" w:color="auto"/>
                    <w:right w:val="single" w:sz="8" w:space="0" w:color="auto"/>
                    <w:tl2br w:val="nil"/>
                    <w:tr2bl w:val="nil"/>
                  </w:tcBorders>
                  <w:noWrap/>
                  <w:textDirection w:val="lrTb"/>
                  <w:vAlign w:val="center"/>
                </w:tcPr>
                <w:p w:rsidR="00854617" w:rsidRPr="00854617" w:rsidP="00854617">
                  <w:pPr>
                    <w:spacing w:line="240" w:lineRule="auto"/>
                    <w:jc w:val="right"/>
                    <w:rPr>
                      <w:rFonts w:ascii="Arial Narrow" w:hAnsi="Arial Narrow" w:cs="Arial"/>
                      <w:lang w:eastAsia="sk-SK"/>
                    </w:rPr>
                  </w:pPr>
                  <w:r w:rsidRPr="00854617">
                    <w:rPr>
                      <w:rFonts w:ascii="Arial Narrow" w:hAnsi="Arial Narrow" w:cs="Arial"/>
                      <w:lang w:eastAsia="sk-SK"/>
                    </w:rPr>
                    <w:t>986</w:t>
                  </w:r>
                </w:p>
              </w:tc>
              <w:tc>
                <w:tcPr>
                  <w:tcW w:w="1081" w:type="dxa"/>
                  <w:tcBorders>
                    <w:top w:val="single" w:sz="4" w:space="0" w:color="auto"/>
                    <w:left w:val="nil"/>
                    <w:bottom w:val="single" w:sz="4" w:space="0" w:color="auto"/>
                    <w:right w:val="single" w:sz="8" w:space="0" w:color="auto"/>
                    <w:tl2br w:val="nil"/>
                    <w:tr2bl w:val="nil"/>
                  </w:tcBorders>
                  <w:noWrap/>
                  <w:textDirection w:val="lrTb"/>
                  <w:vAlign w:val="center"/>
                </w:tcPr>
                <w:p w:rsidR="00854617" w:rsidRPr="00854617" w:rsidP="00854617">
                  <w:pPr>
                    <w:spacing w:line="240" w:lineRule="auto"/>
                    <w:jc w:val="right"/>
                    <w:rPr>
                      <w:rFonts w:ascii="Arial Narrow" w:hAnsi="Arial Narrow" w:cs="Arial"/>
                      <w:lang w:eastAsia="sk-SK"/>
                    </w:rPr>
                  </w:pPr>
                  <w:r w:rsidRPr="00854617">
                    <w:rPr>
                      <w:rFonts w:ascii="Arial Narrow" w:hAnsi="Arial Narrow" w:cs="Arial"/>
                      <w:lang w:eastAsia="sk-SK"/>
                    </w:rPr>
                    <w:t>986</w:t>
                  </w:r>
                </w:p>
              </w:tc>
              <w:tc>
                <w:tcPr>
                  <w:tcW w:w="1047" w:type="dxa"/>
                  <w:tcBorders>
                    <w:top w:val="single" w:sz="4" w:space="0" w:color="auto"/>
                    <w:left w:val="nil"/>
                    <w:bottom w:val="single" w:sz="4" w:space="0" w:color="auto"/>
                    <w:right w:val="single" w:sz="8" w:space="0" w:color="auto"/>
                    <w:tl2br w:val="nil"/>
                    <w:tr2bl w:val="nil"/>
                  </w:tcBorders>
                  <w:noWrap/>
                  <w:textDirection w:val="lrTb"/>
                  <w:vAlign w:val="center"/>
                </w:tcPr>
                <w:p w:rsidR="00854617" w:rsidRPr="00854617" w:rsidP="00854617">
                  <w:pPr>
                    <w:spacing w:line="240" w:lineRule="auto"/>
                    <w:jc w:val="right"/>
                    <w:rPr>
                      <w:rFonts w:ascii="Arial Narrow" w:hAnsi="Arial Narrow" w:cs="Arial"/>
                      <w:lang w:eastAsia="sk-SK"/>
                    </w:rPr>
                  </w:pPr>
                  <w:r w:rsidRPr="00854617">
                    <w:rPr>
                      <w:rFonts w:ascii="Arial Narrow" w:hAnsi="Arial Narrow" w:cs="Arial"/>
                      <w:lang w:eastAsia="sk-SK"/>
                    </w:rPr>
                    <w:t>39 240</w:t>
                  </w:r>
                </w:p>
              </w:tc>
              <w:tc>
                <w:tcPr>
                  <w:tcW w:w="1278" w:type="dxa"/>
                  <w:tcBorders>
                    <w:top w:val="single" w:sz="4" w:space="0" w:color="auto"/>
                    <w:left w:val="nil"/>
                    <w:bottom w:val="single" w:sz="4" w:space="0" w:color="auto"/>
                    <w:right w:val="single" w:sz="4" w:space="0" w:color="auto"/>
                    <w:tl2br w:val="nil"/>
                    <w:tr2bl w:val="nil"/>
                  </w:tcBorders>
                  <w:noWrap/>
                  <w:textDirection w:val="lrTb"/>
                  <w:vAlign w:val="center"/>
                </w:tcPr>
                <w:p w:rsidR="00854617" w:rsidRPr="00854617" w:rsidP="00854617">
                  <w:pPr>
                    <w:spacing w:line="240" w:lineRule="auto"/>
                    <w:jc w:val="right"/>
                    <w:rPr>
                      <w:rFonts w:ascii="Arial Narrow" w:hAnsi="Arial Narrow" w:cs="Arial"/>
                      <w:lang w:eastAsia="sk-SK"/>
                    </w:rPr>
                  </w:pPr>
                  <w:r w:rsidRPr="00854617">
                    <w:rPr>
                      <w:rFonts w:ascii="Arial Narrow" w:hAnsi="Arial Narrow" w:cs="Arial"/>
                      <w:lang w:eastAsia="sk-SK"/>
                    </w:rPr>
                    <w:t>38 054</w:t>
                  </w:r>
                </w:p>
              </w:tc>
            </w:tr>
            <w:tr>
              <w:tblPrEx>
                <w:tblW w:w="10360" w:type="dxa"/>
                <w:tblCellMar>
                  <w:left w:w="70" w:type="dxa"/>
                  <w:right w:w="70" w:type="dxa"/>
                </w:tblCellMar>
              </w:tblPrEx>
              <w:trPr>
                <w:trHeight w:hRule="exact" w:val="284"/>
              </w:trPr>
              <w:tc>
                <w:tcPr>
                  <w:tcW w:w="3582" w:type="dxa"/>
                  <w:tcBorders>
                    <w:top w:val="single" w:sz="4" w:space="0" w:color="auto"/>
                    <w:left w:val="single" w:sz="4" w:space="0" w:color="auto"/>
                    <w:bottom w:val="single" w:sz="4" w:space="0" w:color="auto"/>
                    <w:right w:val="nil"/>
                    <w:tl2br w:val="nil"/>
                    <w:tr2bl w:val="nil"/>
                  </w:tcBorders>
                  <w:noWrap/>
                  <w:textDirection w:val="lrTb"/>
                  <w:vAlign w:val="center"/>
                </w:tcPr>
                <w:p w:rsidR="00854617" w:rsidRPr="00854617" w:rsidP="00854617">
                  <w:pPr>
                    <w:spacing w:line="240" w:lineRule="auto"/>
                    <w:rPr>
                      <w:rFonts w:ascii="Arial Narrow" w:hAnsi="Arial Narrow" w:cs="Arial"/>
                      <w:lang w:eastAsia="sk-SK"/>
                    </w:rPr>
                  </w:pPr>
                  <w:r w:rsidRPr="00854617">
                    <w:rPr>
                      <w:rFonts w:ascii="Arial Narrow" w:hAnsi="Arial Narrow" w:cs="Arial"/>
                      <w:lang w:eastAsia="sk-SK"/>
                    </w:rPr>
                    <w:t xml:space="preserve">04.5.3.1. Tech. ochrana a obnova železníc </w:t>
                  </w:r>
                </w:p>
              </w:tc>
              <w:tc>
                <w:tcPr>
                  <w:tcW w:w="1083" w:type="dxa"/>
                  <w:tcBorders>
                    <w:top w:val="single" w:sz="4" w:space="0" w:color="auto"/>
                    <w:left w:val="single" w:sz="8" w:space="0" w:color="auto"/>
                    <w:bottom w:val="single" w:sz="4" w:space="0" w:color="auto"/>
                    <w:right w:val="single" w:sz="8" w:space="0" w:color="auto"/>
                    <w:tl2br w:val="nil"/>
                    <w:tr2bl w:val="nil"/>
                  </w:tcBorders>
                  <w:noWrap/>
                  <w:textDirection w:val="lrTb"/>
                  <w:vAlign w:val="center"/>
                </w:tcPr>
                <w:p w:rsidR="00854617" w:rsidRPr="00854617" w:rsidP="00854617">
                  <w:pPr>
                    <w:spacing w:line="240" w:lineRule="auto"/>
                    <w:jc w:val="right"/>
                    <w:rPr>
                      <w:rFonts w:ascii="Arial Narrow" w:hAnsi="Arial Narrow" w:cs="Arial"/>
                      <w:lang w:eastAsia="sk-SK"/>
                    </w:rPr>
                  </w:pPr>
                  <w:r w:rsidRPr="00854617">
                    <w:rPr>
                      <w:rFonts w:ascii="Arial Narrow" w:hAnsi="Arial Narrow" w:cs="Arial"/>
                      <w:lang w:eastAsia="sk-SK"/>
                    </w:rPr>
                    <w:t>70 436</w:t>
                  </w:r>
                </w:p>
              </w:tc>
              <w:tc>
                <w:tcPr>
                  <w:tcW w:w="1098" w:type="dxa"/>
                  <w:tcBorders>
                    <w:top w:val="single" w:sz="4" w:space="0" w:color="auto"/>
                    <w:left w:val="nil"/>
                    <w:bottom w:val="single" w:sz="4" w:space="0" w:color="auto"/>
                    <w:right w:val="single" w:sz="8" w:space="0" w:color="auto"/>
                    <w:tl2br w:val="nil"/>
                    <w:tr2bl w:val="nil"/>
                  </w:tcBorders>
                  <w:noWrap/>
                  <w:textDirection w:val="lrTb"/>
                  <w:vAlign w:val="center"/>
                </w:tcPr>
                <w:p w:rsidR="00854617" w:rsidRPr="00854617" w:rsidP="00854617">
                  <w:pPr>
                    <w:spacing w:line="240" w:lineRule="auto"/>
                    <w:jc w:val="right"/>
                    <w:rPr>
                      <w:rFonts w:ascii="Arial Narrow" w:hAnsi="Arial Narrow" w:cs="Arial"/>
                      <w:lang w:eastAsia="sk-SK"/>
                    </w:rPr>
                  </w:pPr>
                  <w:r w:rsidRPr="00854617">
                    <w:rPr>
                      <w:rFonts w:ascii="Arial Narrow" w:hAnsi="Arial Narrow" w:cs="Arial"/>
                      <w:lang w:eastAsia="sk-SK"/>
                    </w:rPr>
                    <w:t>69 446</w:t>
                  </w:r>
                </w:p>
              </w:tc>
              <w:tc>
                <w:tcPr>
                  <w:tcW w:w="1191" w:type="dxa"/>
                  <w:tcBorders>
                    <w:top w:val="single" w:sz="4" w:space="0" w:color="auto"/>
                    <w:left w:val="nil"/>
                    <w:bottom w:val="single" w:sz="4" w:space="0" w:color="auto"/>
                    <w:right w:val="single" w:sz="8" w:space="0" w:color="auto"/>
                    <w:tl2br w:val="nil"/>
                    <w:tr2bl w:val="nil"/>
                  </w:tcBorders>
                  <w:noWrap/>
                  <w:textDirection w:val="lrTb"/>
                  <w:vAlign w:val="center"/>
                </w:tcPr>
                <w:p w:rsidR="00854617" w:rsidRPr="00854617" w:rsidP="00854617">
                  <w:pPr>
                    <w:spacing w:line="240" w:lineRule="auto"/>
                    <w:jc w:val="right"/>
                    <w:rPr>
                      <w:rFonts w:ascii="Arial Narrow" w:hAnsi="Arial Narrow" w:cs="Arial"/>
                      <w:lang w:eastAsia="sk-SK"/>
                    </w:rPr>
                  </w:pPr>
                  <w:r w:rsidRPr="00854617">
                    <w:rPr>
                      <w:rFonts w:ascii="Arial Narrow" w:hAnsi="Arial Narrow" w:cs="Arial"/>
                      <w:lang w:eastAsia="sk-SK"/>
                    </w:rPr>
                    <w:t>1 400</w:t>
                  </w:r>
                </w:p>
              </w:tc>
              <w:tc>
                <w:tcPr>
                  <w:tcW w:w="1081" w:type="dxa"/>
                  <w:tcBorders>
                    <w:top w:val="single" w:sz="4" w:space="0" w:color="auto"/>
                    <w:left w:val="nil"/>
                    <w:bottom w:val="single" w:sz="4" w:space="0" w:color="auto"/>
                    <w:right w:val="single" w:sz="8" w:space="0" w:color="auto"/>
                    <w:tl2br w:val="nil"/>
                    <w:tr2bl w:val="nil"/>
                  </w:tcBorders>
                  <w:noWrap/>
                  <w:textDirection w:val="lrTb"/>
                  <w:vAlign w:val="center"/>
                </w:tcPr>
                <w:p w:rsidR="00854617" w:rsidRPr="00854617" w:rsidP="00854617">
                  <w:pPr>
                    <w:spacing w:line="240" w:lineRule="auto"/>
                    <w:jc w:val="right"/>
                    <w:rPr>
                      <w:rFonts w:ascii="Arial Narrow" w:hAnsi="Arial Narrow" w:cs="Arial"/>
                      <w:lang w:eastAsia="sk-SK"/>
                    </w:rPr>
                  </w:pPr>
                  <w:r w:rsidRPr="00854617">
                    <w:rPr>
                      <w:rFonts w:ascii="Arial Narrow" w:hAnsi="Arial Narrow" w:cs="Arial"/>
                      <w:lang w:eastAsia="sk-SK"/>
                    </w:rPr>
                    <w:t>1 370</w:t>
                  </w:r>
                </w:p>
              </w:tc>
              <w:tc>
                <w:tcPr>
                  <w:tcW w:w="1047" w:type="dxa"/>
                  <w:tcBorders>
                    <w:top w:val="single" w:sz="4" w:space="0" w:color="auto"/>
                    <w:left w:val="nil"/>
                    <w:bottom w:val="single" w:sz="4" w:space="0" w:color="auto"/>
                    <w:right w:val="single" w:sz="8" w:space="0" w:color="auto"/>
                    <w:tl2br w:val="nil"/>
                    <w:tr2bl w:val="nil"/>
                  </w:tcBorders>
                  <w:noWrap/>
                  <w:textDirection w:val="lrTb"/>
                  <w:vAlign w:val="center"/>
                </w:tcPr>
                <w:p w:rsidR="00854617" w:rsidRPr="00854617" w:rsidP="00854617">
                  <w:pPr>
                    <w:spacing w:line="240" w:lineRule="auto"/>
                    <w:jc w:val="right"/>
                    <w:rPr>
                      <w:rFonts w:ascii="Arial Narrow" w:hAnsi="Arial Narrow" w:cs="Arial"/>
                      <w:lang w:eastAsia="sk-SK"/>
                    </w:rPr>
                  </w:pPr>
                  <w:r w:rsidRPr="00854617">
                    <w:rPr>
                      <w:rFonts w:ascii="Arial Narrow" w:hAnsi="Arial Narrow" w:cs="Arial"/>
                      <w:lang w:eastAsia="sk-SK"/>
                    </w:rPr>
                    <w:t>71 836</w:t>
                  </w:r>
                </w:p>
              </w:tc>
              <w:tc>
                <w:tcPr>
                  <w:tcW w:w="1278" w:type="dxa"/>
                  <w:tcBorders>
                    <w:top w:val="single" w:sz="4" w:space="0" w:color="auto"/>
                    <w:left w:val="nil"/>
                    <w:bottom w:val="single" w:sz="4" w:space="0" w:color="auto"/>
                    <w:right w:val="single" w:sz="4" w:space="0" w:color="auto"/>
                    <w:tl2br w:val="nil"/>
                    <w:tr2bl w:val="nil"/>
                  </w:tcBorders>
                  <w:noWrap/>
                  <w:textDirection w:val="lrTb"/>
                  <w:vAlign w:val="center"/>
                </w:tcPr>
                <w:p w:rsidR="00854617" w:rsidRPr="00854617" w:rsidP="00854617">
                  <w:pPr>
                    <w:spacing w:line="240" w:lineRule="auto"/>
                    <w:jc w:val="right"/>
                    <w:rPr>
                      <w:rFonts w:ascii="Arial Narrow" w:hAnsi="Arial Narrow" w:cs="Arial"/>
                      <w:lang w:eastAsia="sk-SK"/>
                    </w:rPr>
                  </w:pPr>
                  <w:r w:rsidRPr="00854617">
                    <w:rPr>
                      <w:rFonts w:ascii="Arial Narrow" w:hAnsi="Arial Narrow" w:cs="Arial"/>
                      <w:lang w:eastAsia="sk-SK"/>
                    </w:rPr>
                    <w:t>70 816</w:t>
                  </w:r>
                </w:p>
              </w:tc>
            </w:tr>
            <w:tr>
              <w:tblPrEx>
                <w:tblW w:w="10360" w:type="dxa"/>
                <w:tblCellMar>
                  <w:left w:w="70" w:type="dxa"/>
                  <w:right w:w="70" w:type="dxa"/>
                </w:tblCellMar>
              </w:tblPrEx>
              <w:trPr>
                <w:trHeight w:hRule="exact" w:val="284"/>
              </w:trPr>
              <w:tc>
                <w:tcPr>
                  <w:tcW w:w="3582" w:type="dxa"/>
                  <w:tcBorders>
                    <w:top w:val="single" w:sz="4" w:space="0" w:color="auto"/>
                    <w:left w:val="single" w:sz="4" w:space="0" w:color="auto"/>
                    <w:bottom w:val="single" w:sz="4" w:space="0" w:color="auto"/>
                    <w:right w:val="nil"/>
                    <w:tl2br w:val="nil"/>
                    <w:tr2bl w:val="nil"/>
                  </w:tcBorders>
                  <w:noWrap/>
                  <w:textDirection w:val="lrTb"/>
                  <w:vAlign w:val="center"/>
                </w:tcPr>
                <w:p w:rsidR="00854617" w:rsidRPr="00854617" w:rsidP="00854617">
                  <w:pPr>
                    <w:spacing w:line="240" w:lineRule="auto"/>
                    <w:rPr>
                      <w:rFonts w:ascii="Arial Narrow" w:hAnsi="Arial Narrow" w:cs="Arial"/>
                      <w:lang w:eastAsia="sk-SK"/>
                    </w:rPr>
                  </w:pPr>
                  <w:r w:rsidRPr="00854617">
                    <w:rPr>
                      <w:rFonts w:ascii="Arial Narrow" w:hAnsi="Arial Narrow" w:cs="Arial"/>
                      <w:lang w:eastAsia="sk-SK"/>
                    </w:rPr>
                    <w:t>04.5.4.    Letecký úrad SR</w:t>
                  </w:r>
                </w:p>
              </w:tc>
              <w:tc>
                <w:tcPr>
                  <w:tcW w:w="1083" w:type="dxa"/>
                  <w:tcBorders>
                    <w:top w:val="single" w:sz="4" w:space="0" w:color="auto"/>
                    <w:left w:val="single" w:sz="8" w:space="0" w:color="auto"/>
                    <w:bottom w:val="single" w:sz="4" w:space="0" w:color="auto"/>
                    <w:right w:val="single" w:sz="8" w:space="0" w:color="auto"/>
                    <w:tl2br w:val="nil"/>
                    <w:tr2bl w:val="nil"/>
                  </w:tcBorders>
                  <w:noWrap/>
                  <w:textDirection w:val="lrTb"/>
                  <w:vAlign w:val="center"/>
                </w:tcPr>
                <w:p w:rsidR="00854617" w:rsidRPr="00854617" w:rsidP="00854617">
                  <w:pPr>
                    <w:spacing w:line="240" w:lineRule="auto"/>
                    <w:jc w:val="right"/>
                    <w:rPr>
                      <w:rFonts w:ascii="Arial Narrow" w:hAnsi="Arial Narrow" w:cs="Arial"/>
                      <w:lang w:eastAsia="sk-SK"/>
                    </w:rPr>
                  </w:pPr>
                  <w:r w:rsidRPr="00854617">
                    <w:rPr>
                      <w:rFonts w:ascii="Arial Narrow" w:hAnsi="Arial Narrow" w:cs="Arial"/>
                      <w:lang w:eastAsia="sk-SK"/>
                    </w:rPr>
                    <w:t>58 929</w:t>
                  </w:r>
                </w:p>
              </w:tc>
              <w:tc>
                <w:tcPr>
                  <w:tcW w:w="1098" w:type="dxa"/>
                  <w:tcBorders>
                    <w:top w:val="single" w:sz="4" w:space="0" w:color="auto"/>
                    <w:left w:val="nil"/>
                    <w:bottom w:val="single" w:sz="4" w:space="0" w:color="auto"/>
                    <w:right w:val="single" w:sz="8" w:space="0" w:color="auto"/>
                    <w:tl2br w:val="nil"/>
                    <w:tr2bl w:val="nil"/>
                  </w:tcBorders>
                  <w:noWrap/>
                  <w:textDirection w:val="lrTb"/>
                  <w:vAlign w:val="center"/>
                </w:tcPr>
                <w:p w:rsidR="00854617" w:rsidRPr="00854617" w:rsidP="00854617">
                  <w:pPr>
                    <w:spacing w:line="240" w:lineRule="auto"/>
                    <w:jc w:val="right"/>
                    <w:rPr>
                      <w:rFonts w:ascii="Arial Narrow" w:hAnsi="Arial Narrow" w:cs="Arial"/>
                      <w:lang w:eastAsia="sk-SK"/>
                    </w:rPr>
                  </w:pPr>
                  <w:r w:rsidRPr="00854617">
                    <w:rPr>
                      <w:rFonts w:ascii="Arial Narrow" w:hAnsi="Arial Narrow" w:cs="Arial"/>
                      <w:lang w:eastAsia="sk-SK"/>
                    </w:rPr>
                    <w:t>58 825</w:t>
                  </w:r>
                </w:p>
              </w:tc>
              <w:tc>
                <w:tcPr>
                  <w:tcW w:w="1191" w:type="dxa"/>
                  <w:tcBorders>
                    <w:top w:val="single" w:sz="4" w:space="0" w:color="auto"/>
                    <w:left w:val="nil"/>
                    <w:bottom w:val="single" w:sz="4" w:space="0" w:color="auto"/>
                    <w:right w:val="single" w:sz="8" w:space="0" w:color="auto"/>
                    <w:tl2br w:val="nil"/>
                    <w:tr2bl w:val="nil"/>
                  </w:tcBorders>
                  <w:noWrap/>
                  <w:textDirection w:val="lrTb"/>
                  <w:vAlign w:val="center"/>
                </w:tcPr>
                <w:p w:rsidR="00854617" w:rsidRPr="00854617" w:rsidP="00854617">
                  <w:pPr>
                    <w:spacing w:line="240" w:lineRule="auto"/>
                    <w:jc w:val="right"/>
                    <w:rPr>
                      <w:rFonts w:ascii="Arial Narrow" w:hAnsi="Arial Narrow" w:cs="Arial"/>
                      <w:lang w:eastAsia="sk-SK"/>
                    </w:rPr>
                  </w:pPr>
                  <w:r w:rsidRPr="00854617">
                    <w:rPr>
                      <w:rFonts w:ascii="Arial Narrow" w:hAnsi="Arial Narrow" w:cs="Arial"/>
                      <w:lang w:eastAsia="sk-SK"/>
                    </w:rPr>
                    <w:t>4 500</w:t>
                  </w:r>
                </w:p>
              </w:tc>
              <w:tc>
                <w:tcPr>
                  <w:tcW w:w="1081" w:type="dxa"/>
                  <w:tcBorders>
                    <w:top w:val="single" w:sz="4" w:space="0" w:color="auto"/>
                    <w:left w:val="nil"/>
                    <w:bottom w:val="single" w:sz="4" w:space="0" w:color="auto"/>
                    <w:right w:val="single" w:sz="8" w:space="0" w:color="auto"/>
                    <w:tl2br w:val="nil"/>
                    <w:tr2bl w:val="nil"/>
                  </w:tcBorders>
                  <w:noWrap/>
                  <w:textDirection w:val="lrTb"/>
                  <w:vAlign w:val="center"/>
                </w:tcPr>
                <w:p w:rsidR="00854617" w:rsidRPr="00854617" w:rsidP="00854617">
                  <w:pPr>
                    <w:spacing w:line="240" w:lineRule="auto"/>
                    <w:jc w:val="right"/>
                    <w:rPr>
                      <w:rFonts w:ascii="Arial Narrow" w:hAnsi="Arial Narrow" w:cs="Arial"/>
                      <w:lang w:eastAsia="sk-SK"/>
                    </w:rPr>
                  </w:pPr>
                  <w:r w:rsidRPr="00854617">
                    <w:rPr>
                      <w:rFonts w:ascii="Arial Narrow" w:hAnsi="Arial Narrow" w:cs="Arial"/>
                      <w:lang w:eastAsia="sk-SK"/>
                    </w:rPr>
                    <w:t>4 499</w:t>
                  </w:r>
                </w:p>
              </w:tc>
              <w:tc>
                <w:tcPr>
                  <w:tcW w:w="1047" w:type="dxa"/>
                  <w:tcBorders>
                    <w:top w:val="single" w:sz="4" w:space="0" w:color="auto"/>
                    <w:left w:val="nil"/>
                    <w:bottom w:val="single" w:sz="4" w:space="0" w:color="auto"/>
                    <w:right w:val="single" w:sz="8" w:space="0" w:color="auto"/>
                    <w:tl2br w:val="nil"/>
                    <w:tr2bl w:val="nil"/>
                  </w:tcBorders>
                  <w:noWrap/>
                  <w:textDirection w:val="lrTb"/>
                  <w:vAlign w:val="center"/>
                </w:tcPr>
                <w:p w:rsidR="00854617" w:rsidRPr="00854617" w:rsidP="00854617">
                  <w:pPr>
                    <w:spacing w:line="240" w:lineRule="auto"/>
                    <w:jc w:val="right"/>
                    <w:rPr>
                      <w:rFonts w:ascii="Arial Narrow" w:hAnsi="Arial Narrow" w:cs="Arial"/>
                      <w:lang w:eastAsia="sk-SK"/>
                    </w:rPr>
                  </w:pPr>
                  <w:r w:rsidRPr="00854617">
                    <w:rPr>
                      <w:rFonts w:ascii="Arial Narrow" w:hAnsi="Arial Narrow" w:cs="Arial"/>
                      <w:lang w:eastAsia="sk-SK"/>
                    </w:rPr>
                    <w:t>63 429</w:t>
                  </w:r>
                </w:p>
              </w:tc>
              <w:tc>
                <w:tcPr>
                  <w:tcW w:w="1278" w:type="dxa"/>
                  <w:tcBorders>
                    <w:top w:val="single" w:sz="4" w:space="0" w:color="auto"/>
                    <w:left w:val="nil"/>
                    <w:bottom w:val="single" w:sz="4" w:space="0" w:color="auto"/>
                    <w:right w:val="single" w:sz="4" w:space="0" w:color="auto"/>
                    <w:tl2br w:val="nil"/>
                    <w:tr2bl w:val="nil"/>
                  </w:tcBorders>
                  <w:noWrap/>
                  <w:textDirection w:val="lrTb"/>
                  <w:vAlign w:val="center"/>
                </w:tcPr>
                <w:p w:rsidR="00854617" w:rsidRPr="00854617" w:rsidP="00854617">
                  <w:pPr>
                    <w:spacing w:line="240" w:lineRule="auto"/>
                    <w:jc w:val="right"/>
                    <w:rPr>
                      <w:rFonts w:ascii="Arial Narrow" w:hAnsi="Arial Narrow" w:cs="Arial"/>
                      <w:lang w:eastAsia="sk-SK"/>
                    </w:rPr>
                  </w:pPr>
                  <w:r w:rsidRPr="00854617">
                    <w:rPr>
                      <w:rFonts w:ascii="Arial Narrow" w:hAnsi="Arial Narrow" w:cs="Arial"/>
                      <w:lang w:eastAsia="sk-SK"/>
                    </w:rPr>
                    <w:t>63 324</w:t>
                  </w:r>
                </w:p>
              </w:tc>
            </w:tr>
            <w:tr>
              <w:tblPrEx>
                <w:tblW w:w="10360" w:type="dxa"/>
                <w:tblCellMar>
                  <w:left w:w="70" w:type="dxa"/>
                  <w:right w:w="70" w:type="dxa"/>
                </w:tblCellMar>
              </w:tblPrEx>
              <w:trPr>
                <w:trHeight w:hRule="exact" w:val="284"/>
              </w:trPr>
              <w:tc>
                <w:tcPr>
                  <w:tcW w:w="3582" w:type="dxa"/>
                  <w:tcBorders>
                    <w:top w:val="single" w:sz="4" w:space="0" w:color="auto"/>
                    <w:left w:val="single" w:sz="4" w:space="0" w:color="auto"/>
                    <w:bottom w:val="single" w:sz="4" w:space="0" w:color="auto"/>
                    <w:right w:val="nil"/>
                    <w:tl2br w:val="nil"/>
                    <w:tr2bl w:val="nil"/>
                  </w:tcBorders>
                  <w:noWrap/>
                  <w:textDirection w:val="lrTb"/>
                  <w:vAlign w:val="center"/>
                </w:tcPr>
                <w:p w:rsidR="00854617" w:rsidRPr="00854617" w:rsidP="00854617">
                  <w:pPr>
                    <w:spacing w:line="240" w:lineRule="auto"/>
                    <w:rPr>
                      <w:rFonts w:ascii="Arial Narrow" w:hAnsi="Arial Narrow" w:cs="Arial"/>
                      <w:lang w:eastAsia="sk-SK"/>
                    </w:rPr>
                  </w:pPr>
                  <w:r w:rsidRPr="00854617">
                    <w:rPr>
                      <w:rFonts w:ascii="Arial Narrow" w:hAnsi="Arial Narrow" w:cs="Arial"/>
                      <w:lang w:eastAsia="sk-SK"/>
                    </w:rPr>
                    <w:t>04.6.0.    Telekomunikačný úrad SR</w:t>
                  </w:r>
                </w:p>
              </w:tc>
              <w:tc>
                <w:tcPr>
                  <w:tcW w:w="1083" w:type="dxa"/>
                  <w:tcBorders>
                    <w:top w:val="single" w:sz="4" w:space="0" w:color="auto"/>
                    <w:left w:val="single" w:sz="8" w:space="0" w:color="auto"/>
                    <w:bottom w:val="single" w:sz="4" w:space="0" w:color="auto"/>
                    <w:right w:val="single" w:sz="8" w:space="0" w:color="auto"/>
                    <w:tl2br w:val="nil"/>
                    <w:tr2bl w:val="nil"/>
                  </w:tcBorders>
                  <w:noWrap/>
                  <w:textDirection w:val="lrTb"/>
                  <w:vAlign w:val="center"/>
                </w:tcPr>
                <w:p w:rsidR="00854617" w:rsidRPr="00854617" w:rsidP="00854617">
                  <w:pPr>
                    <w:spacing w:line="240" w:lineRule="auto"/>
                    <w:jc w:val="right"/>
                    <w:rPr>
                      <w:rFonts w:ascii="Arial Narrow" w:hAnsi="Arial Narrow" w:cs="Arial"/>
                      <w:lang w:eastAsia="sk-SK"/>
                    </w:rPr>
                  </w:pPr>
                  <w:r w:rsidRPr="00854617">
                    <w:rPr>
                      <w:rFonts w:ascii="Arial Narrow" w:hAnsi="Arial Narrow" w:cs="Arial"/>
                      <w:lang w:eastAsia="sk-SK"/>
                    </w:rPr>
                    <w:t>102 807</w:t>
                  </w:r>
                </w:p>
              </w:tc>
              <w:tc>
                <w:tcPr>
                  <w:tcW w:w="1098" w:type="dxa"/>
                  <w:tcBorders>
                    <w:top w:val="single" w:sz="4" w:space="0" w:color="auto"/>
                    <w:left w:val="nil"/>
                    <w:bottom w:val="single" w:sz="4" w:space="0" w:color="auto"/>
                    <w:right w:val="single" w:sz="8" w:space="0" w:color="auto"/>
                    <w:tl2br w:val="nil"/>
                    <w:tr2bl w:val="nil"/>
                  </w:tcBorders>
                  <w:noWrap/>
                  <w:textDirection w:val="lrTb"/>
                  <w:vAlign w:val="center"/>
                </w:tcPr>
                <w:p w:rsidR="00854617" w:rsidRPr="00854617" w:rsidP="00854617">
                  <w:pPr>
                    <w:spacing w:line="240" w:lineRule="auto"/>
                    <w:jc w:val="right"/>
                    <w:rPr>
                      <w:rFonts w:ascii="Arial Narrow" w:hAnsi="Arial Narrow" w:cs="Arial"/>
                      <w:lang w:eastAsia="sk-SK"/>
                    </w:rPr>
                  </w:pPr>
                  <w:r w:rsidRPr="00854617">
                    <w:rPr>
                      <w:rFonts w:ascii="Arial Narrow" w:hAnsi="Arial Narrow" w:cs="Arial"/>
                      <w:lang w:eastAsia="sk-SK"/>
                    </w:rPr>
                    <w:t>102 766</w:t>
                  </w:r>
                </w:p>
              </w:tc>
              <w:tc>
                <w:tcPr>
                  <w:tcW w:w="1191" w:type="dxa"/>
                  <w:tcBorders>
                    <w:top w:val="single" w:sz="4" w:space="0" w:color="auto"/>
                    <w:left w:val="nil"/>
                    <w:bottom w:val="single" w:sz="4" w:space="0" w:color="auto"/>
                    <w:right w:val="single" w:sz="8" w:space="0" w:color="auto"/>
                    <w:tl2br w:val="nil"/>
                    <w:tr2bl w:val="nil"/>
                  </w:tcBorders>
                  <w:noWrap/>
                  <w:textDirection w:val="lrTb"/>
                  <w:vAlign w:val="center"/>
                </w:tcPr>
                <w:p w:rsidR="00854617" w:rsidRPr="00854617" w:rsidP="00854617">
                  <w:pPr>
                    <w:spacing w:line="240" w:lineRule="auto"/>
                    <w:jc w:val="right"/>
                    <w:rPr>
                      <w:rFonts w:ascii="Arial Narrow" w:hAnsi="Arial Narrow" w:cs="Arial"/>
                      <w:lang w:eastAsia="sk-SK"/>
                    </w:rPr>
                  </w:pPr>
                  <w:r w:rsidRPr="00854617">
                    <w:rPr>
                      <w:rFonts w:ascii="Arial Narrow" w:hAnsi="Arial Narrow" w:cs="Arial"/>
                      <w:lang w:eastAsia="sk-SK"/>
                    </w:rPr>
                    <w:t>7 500</w:t>
                  </w:r>
                </w:p>
              </w:tc>
              <w:tc>
                <w:tcPr>
                  <w:tcW w:w="1081" w:type="dxa"/>
                  <w:tcBorders>
                    <w:top w:val="single" w:sz="4" w:space="0" w:color="auto"/>
                    <w:left w:val="nil"/>
                    <w:bottom w:val="single" w:sz="4" w:space="0" w:color="auto"/>
                    <w:right w:val="single" w:sz="8" w:space="0" w:color="auto"/>
                    <w:tl2br w:val="nil"/>
                    <w:tr2bl w:val="nil"/>
                  </w:tcBorders>
                  <w:noWrap/>
                  <w:textDirection w:val="lrTb"/>
                  <w:vAlign w:val="center"/>
                </w:tcPr>
                <w:p w:rsidR="00854617" w:rsidRPr="00854617" w:rsidP="00854617">
                  <w:pPr>
                    <w:spacing w:line="240" w:lineRule="auto"/>
                    <w:jc w:val="right"/>
                    <w:rPr>
                      <w:rFonts w:ascii="Arial Narrow" w:hAnsi="Arial Narrow" w:cs="Arial"/>
                      <w:lang w:eastAsia="sk-SK"/>
                    </w:rPr>
                  </w:pPr>
                  <w:r w:rsidRPr="00854617">
                    <w:rPr>
                      <w:rFonts w:ascii="Arial Narrow" w:hAnsi="Arial Narrow" w:cs="Arial"/>
                      <w:lang w:eastAsia="sk-SK"/>
                    </w:rPr>
                    <w:t>7 454</w:t>
                  </w:r>
                </w:p>
              </w:tc>
              <w:tc>
                <w:tcPr>
                  <w:tcW w:w="1047" w:type="dxa"/>
                  <w:tcBorders>
                    <w:top w:val="single" w:sz="4" w:space="0" w:color="auto"/>
                    <w:left w:val="nil"/>
                    <w:bottom w:val="single" w:sz="4" w:space="0" w:color="auto"/>
                    <w:right w:val="single" w:sz="8" w:space="0" w:color="auto"/>
                    <w:tl2br w:val="nil"/>
                    <w:tr2bl w:val="nil"/>
                  </w:tcBorders>
                  <w:noWrap/>
                  <w:textDirection w:val="lrTb"/>
                  <w:vAlign w:val="center"/>
                </w:tcPr>
                <w:p w:rsidR="00854617" w:rsidRPr="00854617" w:rsidP="00854617">
                  <w:pPr>
                    <w:spacing w:line="240" w:lineRule="auto"/>
                    <w:jc w:val="right"/>
                    <w:rPr>
                      <w:rFonts w:ascii="Arial Narrow" w:hAnsi="Arial Narrow" w:cs="Arial"/>
                      <w:lang w:eastAsia="sk-SK"/>
                    </w:rPr>
                  </w:pPr>
                  <w:r w:rsidRPr="00854617">
                    <w:rPr>
                      <w:rFonts w:ascii="Arial Narrow" w:hAnsi="Arial Narrow" w:cs="Arial"/>
                      <w:lang w:eastAsia="sk-SK"/>
                    </w:rPr>
                    <w:t>110 307</w:t>
                  </w:r>
                </w:p>
              </w:tc>
              <w:tc>
                <w:tcPr>
                  <w:tcW w:w="1278" w:type="dxa"/>
                  <w:tcBorders>
                    <w:top w:val="single" w:sz="4" w:space="0" w:color="auto"/>
                    <w:left w:val="nil"/>
                    <w:bottom w:val="single" w:sz="4" w:space="0" w:color="auto"/>
                    <w:right w:val="single" w:sz="4" w:space="0" w:color="auto"/>
                    <w:tl2br w:val="nil"/>
                    <w:tr2bl w:val="nil"/>
                  </w:tcBorders>
                  <w:noWrap/>
                  <w:textDirection w:val="lrTb"/>
                  <w:vAlign w:val="center"/>
                </w:tcPr>
                <w:p w:rsidR="00854617" w:rsidRPr="00854617" w:rsidP="00854617">
                  <w:pPr>
                    <w:spacing w:line="240" w:lineRule="auto"/>
                    <w:jc w:val="right"/>
                    <w:rPr>
                      <w:rFonts w:ascii="Arial Narrow" w:hAnsi="Arial Narrow" w:cs="Arial"/>
                      <w:lang w:eastAsia="sk-SK"/>
                    </w:rPr>
                  </w:pPr>
                  <w:r w:rsidRPr="00854617">
                    <w:rPr>
                      <w:rFonts w:ascii="Arial Narrow" w:hAnsi="Arial Narrow" w:cs="Arial"/>
                      <w:lang w:eastAsia="sk-SK"/>
                    </w:rPr>
                    <w:t>110 220</w:t>
                  </w:r>
                </w:p>
              </w:tc>
            </w:tr>
            <w:tr>
              <w:tblPrEx>
                <w:tblW w:w="10360" w:type="dxa"/>
                <w:tblCellMar>
                  <w:left w:w="70" w:type="dxa"/>
                  <w:right w:w="70" w:type="dxa"/>
                </w:tblCellMar>
              </w:tblPrEx>
              <w:trPr>
                <w:trHeight w:hRule="exact" w:val="284"/>
              </w:trPr>
              <w:tc>
                <w:tcPr>
                  <w:tcW w:w="3582" w:type="dxa"/>
                  <w:tcBorders>
                    <w:top w:val="single" w:sz="4" w:space="0" w:color="auto"/>
                    <w:left w:val="single" w:sz="4" w:space="0" w:color="auto"/>
                    <w:bottom w:val="single" w:sz="4" w:space="0" w:color="auto"/>
                    <w:right w:val="nil"/>
                    <w:tl2br w:val="nil"/>
                    <w:tr2bl w:val="nil"/>
                  </w:tcBorders>
                  <w:noWrap/>
                  <w:textDirection w:val="lrTb"/>
                  <w:vAlign w:val="center"/>
                </w:tcPr>
                <w:p w:rsidR="00854617" w:rsidRPr="00854617" w:rsidP="00854617">
                  <w:pPr>
                    <w:spacing w:line="240" w:lineRule="auto"/>
                    <w:rPr>
                      <w:rFonts w:ascii="Arial Narrow" w:hAnsi="Arial Narrow" w:cs="Arial"/>
                      <w:lang w:eastAsia="sk-SK"/>
                    </w:rPr>
                  </w:pPr>
                  <w:r w:rsidRPr="00854617">
                    <w:rPr>
                      <w:rFonts w:ascii="Arial Narrow" w:hAnsi="Arial Narrow" w:cs="Arial"/>
                      <w:lang w:eastAsia="sk-SK"/>
                    </w:rPr>
                    <w:t>z toho:    Ostatné prostriedky EÚ – fond ESF</w:t>
                  </w:r>
                </w:p>
              </w:tc>
              <w:tc>
                <w:tcPr>
                  <w:tcW w:w="1083" w:type="dxa"/>
                  <w:tcBorders>
                    <w:top w:val="single" w:sz="4" w:space="0" w:color="auto"/>
                    <w:left w:val="single" w:sz="8" w:space="0" w:color="auto"/>
                    <w:bottom w:val="single" w:sz="4" w:space="0" w:color="auto"/>
                    <w:right w:val="single" w:sz="8" w:space="0" w:color="auto"/>
                    <w:tl2br w:val="nil"/>
                    <w:tr2bl w:val="nil"/>
                  </w:tcBorders>
                  <w:noWrap/>
                  <w:textDirection w:val="lrTb"/>
                  <w:vAlign w:val="center"/>
                </w:tcPr>
                <w:p w:rsidR="00854617" w:rsidRPr="00854617" w:rsidP="00854617">
                  <w:pPr>
                    <w:spacing w:line="240" w:lineRule="auto"/>
                    <w:jc w:val="right"/>
                    <w:rPr>
                      <w:rFonts w:ascii="Arial Narrow" w:hAnsi="Arial Narrow" w:cs="Arial"/>
                      <w:lang w:eastAsia="sk-SK"/>
                    </w:rPr>
                  </w:pPr>
                  <w:r w:rsidRPr="00854617">
                    <w:rPr>
                      <w:rFonts w:ascii="Arial Narrow" w:hAnsi="Arial Narrow" w:cs="Arial"/>
                      <w:lang w:eastAsia="sk-SK"/>
                    </w:rPr>
                    <w:t>78</w:t>
                  </w:r>
                </w:p>
              </w:tc>
              <w:tc>
                <w:tcPr>
                  <w:tcW w:w="1098" w:type="dxa"/>
                  <w:tcBorders>
                    <w:top w:val="single" w:sz="4" w:space="0" w:color="auto"/>
                    <w:left w:val="nil"/>
                    <w:bottom w:val="single" w:sz="4" w:space="0" w:color="auto"/>
                    <w:right w:val="single" w:sz="8" w:space="0" w:color="auto"/>
                    <w:tl2br w:val="nil"/>
                    <w:tr2bl w:val="nil"/>
                  </w:tcBorders>
                  <w:noWrap/>
                  <w:textDirection w:val="lrTb"/>
                  <w:vAlign w:val="center"/>
                </w:tcPr>
                <w:p w:rsidR="00854617" w:rsidRPr="00854617" w:rsidP="00854617">
                  <w:pPr>
                    <w:spacing w:line="240" w:lineRule="auto"/>
                    <w:jc w:val="right"/>
                    <w:rPr>
                      <w:rFonts w:ascii="Arial Narrow" w:hAnsi="Arial Narrow" w:cs="Arial"/>
                      <w:lang w:eastAsia="sk-SK"/>
                    </w:rPr>
                  </w:pPr>
                  <w:r w:rsidRPr="00854617">
                    <w:rPr>
                      <w:rFonts w:ascii="Arial Narrow" w:hAnsi="Arial Narrow" w:cs="Arial"/>
                      <w:lang w:eastAsia="sk-SK"/>
                    </w:rPr>
                    <w:t>78</w:t>
                  </w:r>
                </w:p>
              </w:tc>
              <w:tc>
                <w:tcPr>
                  <w:tcW w:w="1191" w:type="dxa"/>
                  <w:tcBorders>
                    <w:top w:val="single" w:sz="4" w:space="0" w:color="auto"/>
                    <w:left w:val="nil"/>
                    <w:bottom w:val="single" w:sz="4" w:space="0" w:color="auto"/>
                    <w:right w:val="single" w:sz="8" w:space="0" w:color="auto"/>
                    <w:tl2br w:val="nil"/>
                    <w:tr2bl w:val="nil"/>
                  </w:tcBorders>
                  <w:noWrap/>
                  <w:textDirection w:val="lrTb"/>
                  <w:vAlign w:val="center"/>
                </w:tcPr>
                <w:p w:rsidR="00854617" w:rsidRPr="00854617" w:rsidP="00854617">
                  <w:pPr>
                    <w:spacing w:line="240" w:lineRule="auto"/>
                    <w:jc w:val="right"/>
                    <w:rPr>
                      <w:rFonts w:ascii="Arial Narrow" w:hAnsi="Arial Narrow" w:cs="Arial"/>
                      <w:lang w:eastAsia="sk-SK"/>
                    </w:rPr>
                  </w:pPr>
                  <w:r w:rsidRPr="00854617">
                    <w:rPr>
                      <w:rFonts w:ascii="Arial Narrow" w:hAnsi="Arial Narrow" w:cs="Arial"/>
                      <w:lang w:eastAsia="sk-SK"/>
                    </w:rPr>
                    <w:t>0</w:t>
                  </w:r>
                </w:p>
              </w:tc>
              <w:tc>
                <w:tcPr>
                  <w:tcW w:w="1081" w:type="dxa"/>
                  <w:tcBorders>
                    <w:top w:val="single" w:sz="4" w:space="0" w:color="auto"/>
                    <w:left w:val="nil"/>
                    <w:bottom w:val="single" w:sz="4" w:space="0" w:color="auto"/>
                    <w:right w:val="single" w:sz="8" w:space="0" w:color="auto"/>
                    <w:tl2br w:val="nil"/>
                    <w:tr2bl w:val="nil"/>
                  </w:tcBorders>
                  <w:noWrap/>
                  <w:textDirection w:val="lrTb"/>
                  <w:vAlign w:val="center"/>
                </w:tcPr>
                <w:p w:rsidR="00854617" w:rsidRPr="00854617" w:rsidP="00854617">
                  <w:pPr>
                    <w:spacing w:line="240" w:lineRule="auto"/>
                    <w:jc w:val="right"/>
                    <w:rPr>
                      <w:rFonts w:ascii="Arial Narrow" w:hAnsi="Arial Narrow" w:cs="Arial"/>
                      <w:lang w:eastAsia="sk-SK"/>
                    </w:rPr>
                  </w:pPr>
                  <w:r w:rsidRPr="00854617">
                    <w:rPr>
                      <w:rFonts w:ascii="Arial Narrow" w:hAnsi="Arial Narrow" w:cs="Arial"/>
                      <w:lang w:eastAsia="sk-SK"/>
                    </w:rPr>
                    <w:t>0</w:t>
                  </w:r>
                </w:p>
              </w:tc>
              <w:tc>
                <w:tcPr>
                  <w:tcW w:w="1047" w:type="dxa"/>
                  <w:tcBorders>
                    <w:top w:val="single" w:sz="4" w:space="0" w:color="auto"/>
                    <w:left w:val="nil"/>
                    <w:bottom w:val="single" w:sz="4" w:space="0" w:color="auto"/>
                    <w:right w:val="single" w:sz="8" w:space="0" w:color="auto"/>
                    <w:tl2br w:val="nil"/>
                    <w:tr2bl w:val="nil"/>
                  </w:tcBorders>
                  <w:noWrap/>
                  <w:textDirection w:val="lrTb"/>
                  <w:vAlign w:val="center"/>
                </w:tcPr>
                <w:p w:rsidR="00854617" w:rsidRPr="00854617" w:rsidP="00854617">
                  <w:pPr>
                    <w:spacing w:line="240" w:lineRule="auto"/>
                    <w:jc w:val="right"/>
                    <w:rPr>
                      <w:rFonts w:ascii="Arial Narrow" w:hAnsi="Arial Narrow" w:cs="Arial"/>
                      <w:lang w:eastAsia="sk-SK"/>
                    </w:rPr>
                  </w:pPr>
                  <w:r w:rsidRPr="00854617">
                    <w:rPr>
                      <w:rFonts w:ascii="Arial Narrow" w:hAnsi="Arial Narrow" w:cs="Arial"/>
                      <w:lang w:eastAsia="sk-SK"/>
                    </w:rPr>
                    <w:t>78</w:t>
                  </w:r>
                </w:p>
              </w:tc>
              <w:tc>
                <w:tcPr>
                  <w:tcW w:w="1278" w:type="dxa"/>
                  <w:tcBorders>
                    <w:top w:val="single" w:sz="4" w:space="0" w:color="auto"/>
                    <w:left w:val="nil"/>
                    <w:bottom w:val="single" w:sz="4" w:space="0" w:color="auto"/>
                    <w:right w:val="single" w:sz="4" w:space="0" w:color="auto"/>
                    <w:tl2br w:val="nil"/>
                    <w:tr2bl w:val="nil"/>
                  </w:tcBorders>
                  <w:noWrap/>
                  <w:textDirection w:val="lrTb"/>
                  <w:vAlign w:val="center"/>
                </w:tcPr>
                <w:p w:rsidR="00854617" w:rsidRPr="00854617" w:rsidP="00854617">
                  <w:pPr>
                    <w:spacing w:line="240" w:lineRule="auto"/>
                    <w:jc w:val="right"/>
                    <w:rPr>
                      <w:rFonts w:ascii="Arial Narrow" w:hAnsi="Arial Narrow" w:cs="Arial"/>
                      <w:lang w:eastAsia="sk-SK"/>
                    </w:rPr>
                  </w:pPr>
                  <w:r w:rsidRPr="00854617">
                    <w:rPr>
                      <w:rFonts w:ascii="Arial Narrow" w:hAnsi="Arial Narrow" w:cs="Arial"/>
                      <w:lang w:eastAsia="sk-SK"/>
                    </w:rPr>
                    <w:t>78</w:t>
                  </w:r>
                </w:p>
              </w:tc>
            </w:tr>
            <w:tr>
              <w:tblPrEx>
                <w:tblW w:w="10360" w:type="dxa"/>
                <w:tblCellMar>
                  <w:left w:w="70" w:type="dxa"/>
                  <w:right w:w="70" w:type="dxa"/>
                </w:tblCellMar>
              </w:tblPrEx>
              <w:trPr>
                <w:trHeight w:hRule="exact" w:val="284"/>
              </w:trPr>
              <w:tc>
                <w:tcPr>
                  <w:tcW w:w="3582" w:type="dxa"/>
                  <w:tcBorders>
                    <w:top w:val="single" w:sz="4" w:space="0" w:color="auto"/>
                    <w:left w:val="single" w:sz="4" w:space="0" w:color="auto"/>
                    <w:bottom w:val="single" w:sz="4" w:space="0" w:color="auto"/>
                    <w:right w:val="nil"/>
                    <w:tl2br w:val="nil"/>
                    <w:tr2bl w:val="nil"/>
                  </w:tcBorders>
                  <w:noWrap/>
                  <w:textDirection w:val="lrTb"/>
                  <w:vAlign w:val="center"/>
                </w:tcPr>
                <w:p w:rsidR="00854617" w:rsidRPr="00854617" w:rsidP="00854617">
                  <w:pPr>
                    <w:spacing w:line="240" w:lineRule="auto"/>
                    <w:rPr>
                      <w:rFonts w:ascii="Arial Narrow" w:hAnsi="Arial Narrow" w:cs="Arial"/>
                      <w:lang w:eastAsia="sk-SK"/>
                    </w:rPr>
                  </w:pPr>
                  <w:r w:rsidRPr="00854617">
                    <w:rPr>
                      <w:rFonts w:ascii="Arial Narrow" w:hAnsi="Arial Narrow" w:cs="Arial"/>
                      <w:lang w:eastAsia="sk-SK"/>
                    </w:rPr>
                    <w:t>z toho:    Spolufinancovanie ESF</w:t>
                  </w:r>
                </w:p>
              </w:tc>
              <w:tc>
                <w:tcPr>
                  <w:tcW w:w="1083" w:type="dxa"/>
                  <w:tcBorders>
                    <w:top w:val="single" w:sz="4" w:space="0" w:color="auto"/>
                    <w:left w:val="single" w:sz="8" w:space="0" w:color="auto"/>
                    <w:bottom w:val="single" w:sz="4" w:space="0" w:color="auto"/>
                    <w:right w:val="single" w:sz="8" w:space="0" w:color="auto"/>
                    <w:tl2br w:val="nil"/>
                    <w:tr2bl w:val="nil"/>
                  </w:tcBorders>
                  <w:noWrap/>
                  <w:textDirection w:val="lrTb"/>
                  <w:vAlign w:val="center"/>
                </w:tcPr>
                <w:p w:rsidR="00854617" w:rsidRPr="00854617" w:rsidP="00854617">
                  <w:pPr>
                    <w:spacing w:line="240" w:lineRule="auto"/>
                    <w:jc w:val="right"/>
                    <w:rPr>
                      <w:rFonts w:ascii="Arial Narrow" w:hAnsi="Arial Narrow" w:cs="Arial"/>
                      <w:lang w:eastAsia="sk-SK"/>
                    </w:rPr>
                  </w:pPr>
                  <w:r w:rsidRPr="00854617">
                    <w:rPr>
                      <w:rFonts w:ascii="Arial Narrow" w:hAnsi="Arial Narrow" w:cs="Arial"/>
                      <w:lang w:eastAsia="sk-SK"/>
                    </w:rPr>
                    <w:t>78</w:t>
                  </w:r>
                </w:p>
              </w:tc>
              <w:tc>
                <w:tcPr>
                  <w:tcW w:w="1098" w:type="dxa"/>
                  <w:tcBorders>
                    <w:top w:val="single" w:sz="4" w:space="0" w:color="auto"/>
                    <w:left w:val="nil"/>
                    <w:bottom w:val="single" w:sz="4" w:space="0" w:color="auto"/>
                    <w:right w:val="single" w:sz="8" w:space="0" w:color="auto"/>
                    <w:tl2br w:val="nil"/>
                    <w:tr2bl w:val="nil"/>
                  </w:tcBorders>
                  <w:noWrap/>
                  <w:textDirection w:val="lrTb"/>
                  <w:vAlign w:val="center"/>
                </w:tcPr>
                <w:p w:rsidR="00854617" w:rsidRPr="00854617" w:rsidP="00854617">
                  <w:pPr>
                    <w:spacing w:line="240" w:lineRule="auto"/>
                    <w:jc w:val="right"/>
                    <w:rPr>
                      <w:rFonts w:ascii="Arial Narrow" w:hAnsi="Arial Narrow" w:cs="Arial"/>
                      <w:lang w:eastAsia="sk-SK"/>
                    </w:rPr>
                  </w:pPr>
                  <w:r w:rsidRPr="00854617">
                    <w:rPr>
                      <w:rFonts w:ascii="Arial Narrow" w:hAnsi="Arial Narrow" w:cs="Arial"/>
                      <w:lang w:eastAsia="sk-SK"/>
                    </w:rPr>
                    <w:t>78</w:t>
                  </w:r>
                </w:p>
              </w:tc>
              <w:tc>
                <w:tcPr>
                  <w:tcW w:w="1191" w:type="dxa"/>
                  <w:tcBorders>
                    <w:top w:val="single" w:sz="4" w:space="0" w:color="auto"/>
                    <w:left w:val="nil"/>
                    <w:bottom w:val="single" w:sz="4" w:space="0" w:color="auto"/>
                    <w:right w:val="single" w:sz="8" w:space="0" w:color="auto"/>
                    <w:tl2br w:val="nil"/>
                    <w:tr2bl w:val="nil"/>
                  </w:tcBorders>
                  <w:noWrap/>
                  <w:textDirection w:val="lrTb"/>
                  <w:vAlign w:val="center"/>
                </w:tcPr>
                <w:p w:rsidR="00854617" w:rsidRPr="00854617" w:rsidP="00854617">
                  <w:pPr>
                    <w:spacing w:line="240" w:lineRule="auto"/>
                    <w:jc w:val="right"/>
                    <w:rPr>
                      <w:rFonts w:ascii="Arial Narrow" w:hAnsi="Arial Narrow" w:cs="Arial"/>
                      <w:lang w:eastAsia="sk-SK"/>
                    </w:rPr>
                  </w:pPr>
                  <w:r w:rsidRPr="00854617">
                    <w:rPr>
                      <w:rFonts w:ascii="Arial Narrow" w:hAnsi="Arial Narrow" w:cs="Arial"/>
                      <w:lang w:eastAsia="sk-SK"/>
                    </w:rPr>
                    <w:t>0</w:t>
                  </w:r>
                </w:p>
              </w:tc>
              <w:tc>
                <w:tcPr>
                  <w:tcW w:w="1081" w:type="dxa"/>
                  <w:tcBorders>
                    <w:top w:val="single" w:sz="4" w:space="0" w:color="auto"/>
                    <w:left w:val="nil"/>
                    <w:bottom w:val="single" w:sz="4" w:space="0" w:color="auto"/>
                    <w:right w:val="single" w:sz="8" w:space="0" w:color="auto"/>
                    <w:tl2br w:val="nil"/>
                    <w:tr2bl w:val="nil"/>
                  </w:tcBorders>
                  <w:noWrap/>
                  <w:textDirection w:val="lrTb"/>
                  <w:vAlign w:val="center"/>
                </w:tcPr>
                <w:p w:rsidR="00854617" w:rsidRPr="00854617" w:rsidP="00854617">
                  <w:pPr>
                    <w:spacing w:line="240" w:lineRule="auto"/>
                    <w:jc w:val="right"/>
                    <w:rPr>
                      <w:rFonts w:ascii="Arial Narrow" w:hAnsi="Arial Narrow" w:cs="Arial"/>
                      <w:lang w:eastAsia="sk-SK"/>
                    </w:rPr>
                  </w:pPr>
                  <w:r w:rsidRPr="00854617">
                    <w:rPr>
                      <w:rFonts w:ascii="Arial Narrow" w:hAnsi="Arial Narrow" w:cs="Arial"/>
                      <w:lang w:eastAsia="sk-SK"/>
                    </w:rPr>
                    <w:t>0</w:t>
                  </w:r>
                </w:p>
              </w:tc>
              <w:tc>
                <w:tcPr>
                  <w:tcW w:w="1047" w:type="dxa"/>
                  <w:tcBorders>
                    <w:top w:val="single" w:sz="4" w:space="0" w:color="auto"/>
                    <w:left w:val="nil"/>
                    <w:bottom w:val="single" w:sz="4" w:space="0" w:color="auto"/>
                    <w:right w:val="single" w:sz="8" w:space="0" w:color="auto"/>
                    <w:tl2br w:val="nil"/>
                    <w:tr2bl w:val="nil"/>
                  </w:tcBorders>
                  <w:noWrap/>
                  <w:textDirection w:val="lrTb"/>
                  <w:vAlign w:val="center"/>
                </w:tcPr>
                <w:p w:rsidR="00854617" w:rsidRPr="00854617" w:rsidP="00854617">
                  <w:pPr>
                    <w:spacing w:line="240" w:lineRule="auto"/>
                    <w:jc w:val="right"/>
                    <w:rPr>
                      <w:rFonts w:ascii="Arial Narrow" w:hAnsi="Arial Narrow" w:cs="Arial"/>
                      <w:lang w:eastAsia="sk-SK"/>
                    </w:rPr>
                  </w:pPr>
                  <w:r w:rsidRPr="00854617">
                    <w:rPr>
                      <w:rFonts w:ascii="Arial Narrow" w:hAnsi="Arial Narrow" w:cs="Arial"/>
                      <w:lang w:eastAsia="sk-SK"/>
                    </w:rPr>
                    <w:t>78</w:t>
                  </w:r>
                </w:p>
              </w:tc>
              <w:tc>
                <w:tcPr>
                  <w:tcW w:w="1278" w:type="dxa"/>
                  <w:tcBorders>
                    <w:top w:val="single" w:sz="4" w:space="0" w:color="auto"/>
                    <w:left w:val="nil"/>
                    <w:bottom w:val="single" w:sz="4" w:space="0" w:color="auto"/>
                    <w:right w:val="single" w:sz="4" w:space="0" w:color="auto"/>
                    <w:tl2br w:val="nil"/>
                    <w:tr2bl w:val="nil"/>
                  </w:tcBorders>
                  <w:noWrap/>
                  <w:textDirection w:val="lrTb"/>
                  <w:vAlign w:val="center"/>
                </w:tcPr>
                <w:p w:rsidR="00854617" w:rsidRPr="00854617" w:rsidP="00854617">
                  <w:pPr>
                    <w:spacing w:line="240" w:lineRule="auto"/>
                    <w:jc w:val="right"/>
                    <w:rPr>
                      <w:rFonts w:ascii="Arial Narrow" w:hAnsi="Arial Narrow" w:cs="Arial"/>
                      <w:lang w:eastAsia="sk-SK"/>
                    </w:rPr>
                  </w:pPr>
                  <w:r w:rsidRPr="00854617">
                    <w:rPr>
                      <w:rFonts w:ascii="Arial Narrow" w:hAnsi="Arial Narrow" w:cs="Arial"/>
                      <w:lang w:eastAsia="sk-SK"/>
                    </w:rPr>
                    <w:t>78</w:t>
                  </w:r>
                </w:p>
              </w:tc>
            </w:tr>
            <w:tr>
              <w:tblPrEx>
                <w:tblW w:w="10360" w:type="dxa"/>
                <w:tblCellMar>
                  <w:left w:w="70" w:type="dxa"/>
                  <w:right w:w="70" w:type="dxa"/>
                </w:tblCellMar>
              </w:tblPrEx>
              <w:trPr>
                <w:trHeight w:hRule="exact" w:val="284"/>
              </w:trPr>
              <w:tc>
                <w:tcPr>
                  <w:tcW w:w="3582" w:type="dxa"/>
                  <w:tcBorders>
                    <w:top w:val="single" w:sz="4" w:space="0" w:color="auto"/>
                    <w:left w:val="single" w:sz="4" w:space="0" w:color="auto"/>
                    <w:bottom w:val="single" w:sz="4" w:space="0" w:color="auto"/>
                    <w:right w:val="nil"/>
                    <w:tl2br w:val="nil"/>
                    <w:tr2bl w:val="nil"/>
                  </w:tcBorders>
                  <w:noWrap/>
                  <w:textDirection w:val="lrTb"/>
                  <w:vAlign w:val="center"/>
                </w:tcPr>
                <w:p w:rsidR="00854617" w:rsidRPr="00854617" w:rsidP="00854617">
                  <w:pPr>
                    <w:spacing w:line="240" w:lineRule="auto"/>
                    <w:rPr>
                      <w:rFonts w:ascii="Arial Narrow" w:hAnsi="Arial Narrow" w:cs="Arial"/>
                      <w:lang w:eastAsia="sk-SK"/>
                    </w:rPr>
                  </w:pPr>
                  <w:r w:rsidRPr="00854617">
                    <w:rPr>
                      <w:rFonts w:ascii="Arial Narrow" w:hAnsi="Arial Narrow" w:cs="Arial"/>
                      <w:lang w:eastAsia="sk-SK"/>
                    </w:rPr>
                    <w:t>04.6.0.    Poštový regulačný úrad</w:t>
                  </w:r>
                </w:p>
              </w:tc>
              <w:tc>
                <w:tcPr>
                  <w:tcW w:w="1083" w:type="dxa"/>
                  <w:tcBorders>
                    <w:top w:val="single" w:sz="4" w:space="0" w:color="auto"/>
                    <w:left w:val="single" w:sz="8" w:space="0" w:color="auto"/>
                    <w:bottom w:val="single" w:sz="4" w:space="0" w:color="auto"/>
                    <w:right w:val="single" w:sz="8" w:space="0" w:color="auto"/>
                    <w:tl2br w:val="nil"/>
                    <w:tr2bl w:val="nil"/>
                  </w:tcBorders>
                  <w:noWrap/>
                  <w:textDirection w:val="lrTb"/>
                  <w:vAlign w:val="center"/>
                </w:tcPr>
                <w:p w:rsidR="00854617" w:rsidRPr="00854617" w:rsidP="00854617">
                  <w:pPr>
                    <w:spacing w:line="240" w:lineRule="auto"/>
                    <w:jc w:val="right"/>
                    <w:rPr>
                      <w:rFonts w:ascii="Arial Narrow" w:hAnsi="Arial Narrow" w:cs="Arial"/>
                      <w:lang w:eastAsia="sk-SK"/>
                    </w:rPr>
                  </w:pPr>
                  <w:r w:rsidRPr="00854617">
                    <w:rPr>
                      <w:rFonts w:ascii="Arial Narrow" w:hAnsi="Arial Narrow" w:cs="Arial"/>
                      <w:lang w:eastAsia="sk-SK"/>
                    </w:rPr>
                    <w:t>10 248</w:t>
                  </w:r>
                </w:p>
              </w:tc>
              <w:tc>
                <w:tcPr>
                  <w:tcW w:w="1098" w:type="dxa"/>
                  <w:tcBorders>
                    <w:top w:val="single" w:sz="4" w:space="0" w:color="auto"/>
                    <w:left w:val="nil"/>
                    <w:bottom w:val="single" w:sz="4" w:space="0" w:color="auto"/>
                    <w:right w:val="single" w:sz="8" w:space="0" w:color="auto"/>
                    <w:tl2br w:val="nil"/>
                    <w:tr2bl w:val="nil"/>
                  </w:tcBorders>
                  <w:noWrap/>
                  <w:textDirection w:val="lrTb"/>
                  <w:vAlign w:val="center"/>
                </w:tcPr>
                <w:p w:rsidR="00854617" w:rsidRPr="00854617" w:rsidP="00854617">
                  <w:pPr>
                    <w:spacing w:line="240" w:lineRule="auto"/>
                    <w:jc w:val="right"/>
                    <w:rPr>
                      <w:rFonts w:ascii="Arial Narrow" w:hAnsi="Arial Narrow" w:cs="Arial"/>
                      <w:lang w:eastAsia="sk-SK"/>
                    </w:rPr>
                  </w:pPr>
                  <w:r w:rsidRPr="00854617">
                    <w:rPr>
                      <w:rFonts w:ascii="Arial Narrow" w:hAnsi="Arial Narrow" w:cs="Arial"/>
                      <w:lang w:eastAsia="sk-SK"/>
                    </w:rPr>
                    <w:t>10 230</w:t>
                  </w:r>
                </w:p>
              </w:tc>
              <w:tc>
                <w:tcPr>
                  <w:tcW w:w="1191" w:type="dxa"/>
                  <w:tcBorders>
                    <w:top w:val="single" w:sz="4" w:space="0" w:color="auto"/>
                    <w:left w:val="nil"/>
                    <w:bottom w:val="single" w:sz="4" w:space="0" w:color="auto"/>
                    <w:right w:val="single" w:sz="8" w:space="0" w:color="auto"/>
                    <w:tl2br w:val="nil"/>
                    <w:tr2bl w:val="nil"/>
                  </w:tcBorders>
                  <w:noWrap/>
                  <w:textDirection w:val="lrTb"/>
                  <w:vAlign w:val="center"/>
                </w:tcPr>
                <w:p w:rsidR="00854617" w:rsidRPr="00854617" w:rsidP="00854617">
                  <w:pPr>
                    <w:spacing w:line="240" w:lineRule="auto"/>
                    <w:jc w:val="right"/>
                    <w:rPr>
                      <w:rFonts w:ascii="Arial Narrow" w:hAnsi="Arial Narrow" w:cs="Arial"/>
                      <w:lang w:eastAsia="sk-SK"/>
                    </w:rPr>
                  </w:pPr>
                  <w:r w:rsidRPr="00854617">
                    <w:rPr>
                      <w:rFonts w:ascii="Arial Narrow" w:hAnsi="Arial Narrow" w:cs="Arial"/>
                      <w:lang w:eastAsia="sk-SK"/>
                    </w:rPr>
                    <w:t>1 504</w:t>
                  </w:r>
                </w:p>
              </w:tc>
              <w:tc>
                <w:tcPr>
                  <w:tcW w:w="1081" w:type="dxa"/>
                  <w:tcBorders>
                    <w:top w:val="single" w:sz="4" w:space="0" w:color="auto"/>
                    <w:left w:val="nil"/>
                    <w:bottom w:val="single" w:sz="4" w:space="0" w:color="auto"/>
                    <w:right w:val="single" w:sz="8" w:space="0" w:color="auto"/>
                    <w:tl2br w:val="nil"/>
                    <w:tr2bl w:val="nil"/>
                  </w:tcBorders>
                  <w:noWrap/>
                  <w:textDirection w:val="lrTb"/>
                  <w:vAlign w:val="center"/>
                </w:tcPr>
                <w:p w:rsidR="00854617" w:rsidRPr="00854617" w:rsidP="00854617">
                  <w:pPr>
                    <w:spacing w:line="240" w:lineRule="auto"/>
                    <w:jc w:val="right"/>
                    <w:rPr>
                      <w:rFonts w:ascii="Arial Narrow" w:hAnsi="Arial Narrow" w:cs="Arial"/>
                      <w:lang w:eastAsia="sk-SK"/>
                    </w:rPr>
                  </w:pPr>
                  <w:r w:rsidRPr="00854617">
                    <w:rPr>
                      <w:rFonts w:ascii="Arial Narrow" w:hAnsi="Arial Narrow" w:cs="Arial"/>
                      <w:lang w:eastAsia="sk-SK"/>
                    </w:rPr>
                    <w:t>1 504</w:t>
                  </w:r>
                </w:p>
              </w:tc>
              <w:tc>
                <w:tcPr>
                  <w:tcW w:w="1047" w:type="dxa"/>
                  <w:tcBorders>
                    <w:top w:val="single" w:sz="4" w:space="0" w:color="auto"/>
                    <w:left w:val="nil"/>
                    <w:bottom w:val="single" w:sz="4" w:space="0" w:color="auto"/>
                    <w:right w:val="single" w:sz="8" w:space="0" w:color="auto"/>
                    <w:tl2br w:val="nil"/>
                    <w:tr2bl w:val="nil"/>
                  </w:tcBorders>
                  <w:noWrap/>
                  <w:textDirection w:val="lrTb"/>
                  <w:vAlign w:val="center"/>
                </w:tcPr>
                <w:p w:rsidR="00854617" w:rsidRPr="00854617" w:rsidP="00854617">
                  <w:pPr>
                    <w:spacing w:line="240" w:lineRule="auto"/>
                    <w:jc w:val="right"/>
                    <w:rPr>
                      <w:rFonts w:ascii="Arial Narrow" w:hAnsi="Arial Narrow" w:cs="Arial"/>
                      <w:lang w:eastAsia="sk-SK"/>
                    </w:rPr>
                  </w:pPr>
                  <w:r w:rsidRPr="00854617">
                    <w:rPr>
                      <w:rFonts w:ascii="Arial Narrow" w:hAnsi="Arial Narrow" w:cs="Arial"/>
                      <w:lang w:eastAsia="sk-SK"/>
                    </w:rPr>
                    <w:t>11 752</w:t>
                  </w:r>
                </w:p>
              </w:tc>
              <w:tc>
                <w:tcPr>
                  <w:tcW w:w="1278" w:type="dxa"/>
                  <w:tcBorders>
                    <w:top w:val="single" w:sz="4" w:space="0" w:color="auto"/>
                    <w:left w:val="nil"/>
                    <w:bottom w:val="single" w:sz="4" w:space="0" w:color="auto"/>
                    <w:right w:val="single" w:sz="4" w:space="0" w:color="auto"/>
                    <w:tl2br w:val="nil"/>
                    <w:tr2bl w:val="nil"/>
                  </w:tcBorders>
                  <w:noWrap/>
                  <w:textDirection w:val="lrTb"/>
                  <w:vAlign w:val="center"/>
                </w:tcPr>
                <w:p w:rsidR="00854617" w:rsidRPr="00854617" w:rsidP="00854617">
                  <w:pPr>
                    <w:spacing w:line="240" w:lineRule="auto"/>
                    <w:jc w:val="right"/>
                    <w:rPr>
                      <w:rFonts w:ascii="Arial Narrow" w:hAnsi="Arial Narrow" w:cs="Arial"/>
                      <w:lang w:eastAsia="sk-SK"/>
                    </w:rPr>
                  </w:pPr>
                  <w:r w:rsidRPr="00854617">
                    <w:rPr>
                      <w:rFonts w:ascii="Arial Narrow" w:hAnsi="Arial Narrow" w:cs="Arial"/>
                      <w:lang w:eastAsia="sk-SK"/>
                    </w:rPr>
                    <w:t>11 734</w:t>
                  </w:r>
                </w:p>
              </w:tc>
            </w:tr>
            <w:tr>
              <w:tblPrEx>
                <w:tblW w:w="10360" w:type="dxa"/>
                <w:tblCellMar>
                  <w:left w:w="70" w:type="dxa"/>
                  <w:right w:w="70" w:type="dxa"/>
                </w:tblCellMar>
              </w:tblPrEx>
              <w:trPr>
                <w:trHeight w:hRule="exact" w:val="284"/>
              </w:trPr>
              <w:tc>
                <w:tcPr>
                  <w:tcW w:w="3582" w:type="dxa"/>
                  <w:tcBorders>
                    <w:top w:val="single" w:sz="4" w:space="0" w:color="auto"/>
                    <w:left w:val="single" w:sz="4" w:space="0" w:color="auto"/>
                    <w:bottom w:val="single" w:sz="4" w:space="0" w:color="auto"/>
                    <w:right w:val="nil"/>
                    <w:tl2br w:val="nil"/>
                    <w:tr2bl w:val="nil"/>
                  </w:tcBorders>
                  <w:noWrap/>
                  <w:textDirection w:val="lrTb"/>
                  <w:vAlign w:val="center"/>
                </w:tcPr>
                <w:p w:rsidR="00854617" w:rsidRPr="00854617" w:rsidP="00854617">
                  <w:pPr>
                    <w:spacing w:line="240" w:lineRule="auto"/>
                    <w:rPr>
                      <w:rFonts w:ascii="Arial Narrow" w:hAnsi="Arial Narrow" w:cs="Arial"/>
                      <w:lang w:eastAsia="sk-SK"/>
                    </w:rPr>
                  </w:pPr>
                  <w:r w:rsidRPr="00854617">
                    <w:rPr>
                      <w:rFonts w:ascii="Arial Narrow" w:hAnsi="Arial Narrow" w:cs="Arial"/>
                      <w:lang w:eastAsia="sk-SK"/>
                    </w:rPr>
                    <w:t>07.2.1.    Ú</w:t>
                  </w:r>
                  <w:r w:rsidRPr="00854617">
                    <w:rPr>
                      <w:rFonts w:ascii="Arial Narrow" w:hAnsi="Arial Narrow" w:cs="Arial"/>
                      <w:lang w:eastAsia="sk-SK"/>
                    </w:rPr>
                    <w:t>rad verejného zdravotníctva</w:t>
                  </w:r>
                </w:p>
              </w:tc>
              <w:tc>
                <w:tcPr>
                  <w:tcW w:w="1083" w:type="dxa"/>
                  <w:tcBorders>
                    <w:top w:val="single" w:sz="4" w:space="0" w:color="auto"/>
                    <w:left w:val="single" w:sz="8" w:space="0" w:color="auto"/>
                    <w:bottom w:val="single" w:sz="4" w:space="0" w:color="auto"/>
                    <w:right w:val="single" w:sz="8" w:space="0" w:color="auto"/>
                    <w:tl2br w:val="nil"/>
                    <w:tr2bl w:val="nil"/>
                  </w:tcBorders>
                  <w:noWrap/>
                  <w:textDirection w:val="lrTb"/>
                  <w:vAlign w:val="center"/>
                </w:tcPr>
                <w:p w:rsidR="00854617" w:rsidRPr="00854617" w:rsidP="00854617">
                  <w:pPr>
                    <w:spacing w:line="240" w:lineRule="auto"/>
                    <w:jc w:val="right"/>
                    <w:rPr>
                      <w:rFonts w:ascii="Arial Narrow" w:hAnsi="Arial Narrow" w:cs="Arial"/>
                      <w:lang w:eastAsia="sk-SK"/>
                    </w:rPr>
                  </w:pPr>
                  <w:r w:rsidRPr="00854617">
                    <w:rPr>
                      <w:rFonts w:ascii="Arial Narrow" w:hAnsi="Arial Narrow" w:cs="Arial"/>
                      <w:lang w:eastAsia="sk-SK"/>
                    </w:rPr>
                    <w:t>25 801</w:t>
                  </w:r>
                </w:p>
              </w:tc>
              <w:tc>
                <w:tcPr>
                  <w:tcW w:w="1098" w:type="dxa"/>
                  <w:tcBorders>
                    <w:top w:val="single" w:sz="4" w:space="0" w:color="auto"/>
                    <w:left w:val="nil"/>
                    <w:bottom w:val="single" w:sz="4" w:space="0" w:color="auto"/>
                    <w:right w:val="single" w:sz="8" w:space="0" w:color="auto"/>
                    <w:tl2br w:val="nil"/>
                    <w:tr2bl w:val="nil"/>
                  </w:tcBorders>
                  <w:noWrap/>
                  <w:textDirection w:val="lrTb"/>
                  <w:vAlign w:val="center"/>
                </w:tcPr>
                <w:p w:rsidR="00854617" w:rsidRPr="00854617" w:rsidP="00854617">
                  <w:pPr>
                    <w:spacing w:line="240" w:lineRule="auto"/>
                    <w:jc w:val="right"/>
                    <w:rPr>
                      <w:rFonts w:ascii="Arial Narrow" w:hAnsi="Arial Narrow" w:cs="Arial"/>
                      <w:lang w:eastAsia="sk-SK"/>
                    </w:rPr>
                  </w:pPr>
                  <w:r w:rsidRPr="00854617">
                    <w:rPr>
                      <w:rFonts w:ascii="Arial Narrow" w:hAnsi="Arial Narrow" w:cs="Arial"/>
                      <w:lang w:eastAsia="sk-SK"/>
                    </w:rPr>
                    <w:t>25 041</w:t>
                  </w:r>
                </w:p>
              </w:tc>
              <w:tc>
                <w:tcPr>
                  <w:tcW w:w="1191" w:type="dxa"/>
                  <w:tcBorders>
                    <w:top w:val="single" w:sz="4" w:space="0" w:color="auto"/>
                    <w:left w:val="nil"/>
                    <w:bottom w:val="single" w:sz="4" w:space="0" w:color="auto"/>
                    <w:right w:val="single" w:sz="8" w:space="0" w:color="auto"/>
                    <w:tl2br w:val="nil"/>
                    <w:tr2bl w:val="nil"/>
                  </w:tcBorders>
                  <w:noWrap/>
                  <w:textDirection w:val="lrTb"/>
                  <w:vAlign w:val="center"/>
                </w:tcPr>
                <w:p w:rsidR="00854617" w:rsidRPr="00854617" w:rsidP="00854617">
                  <w:pPr>
                    <w:spacing w:line="240" w:lineRule="auto"/>
                    <w:jc w:val="right"/>
                    <w:rPr>
                      <w:rFonts w:ascii="Arial Narrow" w:hAnsi="Arial Narrow" w:cs="Arial"/>
                      <w:lang w:eastAsia="sk-SK"/>
                    </w:rPr>
                  </w:pPr>
                  <w:r w:rsidRPr="00854617">
                    <w:rPr>
                      <w:rFonts w:ascii="Arial Narrow" w:hAnsi="Arial Narrow" w:cs="Arial"/>
                      <w:lang w:eastAsia="sk-SK"/>
                    </w:rPr>
                    <w:t>1 000</w:t>
                  </w:r>
                </w:p>
              </w:tc>
              <w:tc>
                <w:tcPr>
                  <w:tcW w:w="1081" w:type="dxa"/>
                  <w:tcBorders>
                    <w:top w:val="single" w:sz="4" w:space="0" w:color="auto"/>
                    <w:left w:val="nil"/>
                    <w:bottom w:val="single" w:sz="4" w:space="0" w:color="auto"/>
                    <w:right w:val="single" w:sz="8" w:space="0" w:color="auto"/>
                    <w:tl2br w:val="nil"/>
                    <w:tr2bl w:val="nil"/>
                  </w:tcBorders>
                  <w:noWrap/>
                  <w:textDirection w:val="lrTb"/>
                  <w:vAlign w:val="center"/>
                </w:tcPr>
                <w:p w:rsidR="00854617" w:rsidRPr="00854617" w:rsidP="00854617">
                  <w:pPr>
                    <w:spacing w:line="240" w:lineRule="auto"/>
                    <w:jc w:val="right"/>
                    <w:rPr>
                      <w:rFonts w:ascii="Arial Narrow" w:hAnsi="Arial Narrow" w:cs="Arial"/>
                      <w:lang w:eastAsia="sk-SK"/>
                    </w:rPr>
                  </w:pPr>
                  <w:r w:rsidRPr="00854617">
                    <w:rPr>
                      <w:rFonts w:ascii="Arial Narrow" w:hAnsi="Arial Narrow" w:cs="Arial"/>
                      <w:lang w:eastAsia="sk-SK"/>
                    </w:rPr>
                    <w:t>998</w:t>
                  </w:r>
                </w:p>
              </w:tc>
              <w:tc>
                <w:tcPr>
                  <w:tcW w:w="1047" w:type="dxa"/>
                  <w:tcBorders>
                    <w:top w:val="single" w:sz="4" w:space="0" w:color="auto"/>
                    <w:left w:val="nil"/>
                    <w:bottom w:val="single" w:sz="4" w:space="0" w:color="auto"/>
                    <w:right w:val="single" w:sz="8" w:space="0" w:color="auto"/>
                    <w:tl2br w:val="nil"/>
                    <w:tr2bl w:val="nil"/>
                  </w:tcBorders>
                  <w:noWrap/>
                  <w:textDirection w:val="lrTb"/>
                  <w:vAlign w:val="center"/>
                </w:tcPr>
                <w:p w:rsidR="00854617" w:rsidRPr="00854617" w:rsidP="00854617">
                  <w:pPr>
                    <w:spacing w:line="240" w:lineRule="auto"/>
                    <w:jc w:val="right"/>
                    <w:rPr>
                      <w:rFonts w:ascii="Arial Narrow" w:hAnsi="Arial Narrow" w:cs="Arial"/>
                      <w:lang w:eastAsia="sk-SK"/>
                    </w:rPr>
                  </w:pPr>
                  <w:r w:rsidRPr="00854617">
                    <w:rPr>
                      <w:rFonts w:ascii="Arial Narrow" w:hAnsi="Arial Narrow" w:cs="Arial"/>
                      <w:lang w:eastAsia="sk-SK"/>
                    </w:rPr>
                    <w:t>26 801</w:t>
                  </w:r>
                </w:p>
              </w:tc>
              <w:tc>
                <w:tcPr>
                  <w:tcW w:w="1278" w:type="dxa"/>
                  <w:tcBorders>
                    <w:top w:val="single" w:sz="4" w:space="0" w:color="auto"/>
                    <w:left w:val="nil"/>
                    <w:bottom w:val="single" w:sz="4" w:space="0" w:color="auto"/>
                    <w:right w:val="single" w:sz="4" w:space="0" w:color="auto"/>
                    <w:tl2br w:val="nil"/>
                    <w:tr2bl w:val="nil"/>
                  </w:tcBorders>
                  <w:noWrap/>
                  <w:textDirection w:val="lrTb"/>
                  <w:vAlign w:val="center"/>
                </w:tcPr>
                <w:p w:rsidR="00854617" w:rsidRPr="00854617" w:rsidP="00854617">
                  <w:pPr>
                    <w:spacing w:line="240" w:lineRule="auto"/>
                    <w:jc w:val="right"/>
                    <w:rPr>
                      <w:rFonts w:ascii="Arial Narrow" w:hAnsi="Arial Narrow" w:cs="Arial"/>
                      <w:lang w:eastAsia="sk-SK"/>
                    </w:rPr>
                  </w:pPr>
                  <w:r w:rsidRPr="00854617">
                    <w:rPr>
                      <w:rFonts w:ascii="Arial Narrow" w:hAnsi="Arial Narrow" w:cs="Arial"/>
                      <w:lang w:eastAsia="sk-SK"/>
                    </w:rPr>
                    <w:t>26 039</w:t>
                  </w:r>
                </w:p>
              </w:tc>
            </w:tr>
            <w:tr>
              <w:tblPrEx>
                <w:tblW w:w="10360" w:type="dxa"/>
                <w:tblCellMar>
                  <w:left w:w="70" w:type="dxa"/>
                  <w:right w:w="70" w:type="dxa"/>
                </w:tblCellMar>
              </w:tblPrEx>
              <w:trPr>
                <w:trHeight w:hRule="exact" w:val="284"/>
              </w:trPr>
              <w:tc>
                <w:tcPr>
                  <w:tcW w:w="3582" w:type="dxa"/>
                  <w:tcBorders>
                    <w:top w:val="single" w:sz="4" w:space="0" w:color="auto"/>
                    <w:left w:val="single" w:sz="4" w:space="0" w:color="auto"/>
                    <w:bottom w:val="single" w:sz="4" w:space="0" w:color="auto"/>
                    <w:right w:val="nil"/>
                    <w:tl2br w:val="nil"/>
                    <w:tr2bl w:val="nil"/>
                  </w:tcBorders>
                  <w:noWrap/>
                  <w:textDirection w:val="lrTb"/>
                  <w:vAlign w:val="center"/>
                </w:tcPr>
                <w:p w:rsidR="00854617" w:rsidRPr="00854617" w:rsidP="00854617">
                  <w:pPr>
                    <w:spacing w:line="240" w:lineRule="auto"/>
                    <w:rPr>
                      <w:rFonts w:ascii="Arial Narrow" w:hAnsi="Arial Narrow" w:cs="Arial"/>
                      <w:lang w:eastAsia="sk-SK"/>
                    </w:rPr>
                  </w:pPr>
                  <w:r w:rsidRPr="00854617">
                    <w:rPr>
                      <w:rFonts w:ascii="Arial Narrow" w:hAnsi="Arial Narrow" w:cs="Arial"/>
                      <w:lang w:eastAsia="sk-SK"/>
                    </w:rPr>
                    <w:t>09.8.0.   Vzdelávanie neklas. (MDPT SR)</w:t>
                  </w:r>
                </w:p>
              </w:tc>
              <w:tc>
                <w:tcPr>
                  <w:tcW w:w="1083" w:type="dxa"/>
                  <w:tcBorders>
                    <w:top w:val="single" w:sz="4" w:space="0" w:color="auto"/>
                    <w:left w:val="single" w:sz="8" w:space="0" w:color="auto"/>
                    <w:bottom w:val="single" w:sz="4" w:space="0" w:color="auto"/>
                    <w:right w:val="single" w:sz="8" w:space="0" w:color="auto"/>
                    <w:tl2br w:val="nil"/>
                    <w:tr2bl w:val="nil"/>
                  </w:tcBorders>
                  <w:noWrap/>
                  <w:textDirection w:val="lrTb"/>
                  <w:vAlign w:val="center"/>
                </w:tcPr>
                <w:p w:rsidR="00854617" w:rsidRPr="00854617" w:rsidP="00854617">
                  <w:pPr>
                    <w:spacing w:line="240" w:lineRule="auto"/>
                    <w:jc w:val="right"/>
                    <w:rPr>
                      <w:rFonts w:ascii="Arial Narrow" w:hAnsi="Arial Narrow" w:cs="Arial"/>
                      <w:lang w:eastAsia="sk-SK"/>
                    </w:rPr>
                  </w:pPr>
                  <w:r w:rsidRPr="00854617">
                    <w:rPr>
                      <w:rFonts w:ascii="Arial Narrow" w:hAnsi="Arial Narrow" w:cs="Arial"/>
                      <w:lang w:eastAsia="sk-SK"/>
                    </w:rPr>
                    <w:t>2 000</w:t>
                  </w:r>
                </w:p>
              </w:tc>
              <w:tc>
                <w:tcPr>
                  <w:tcW w:w="1098" w:type="dxa"/>
                  <w:tcBorders>
                    <w:top w:val="single" w:sz="4" w:space="0" w:color="auto"/>
                    <w:left w:val="nil"/>
                    <w:bottom w:val="single" w:sz="4" w:space="0" w:color="auto"/>
                    <w:right w:val="single" w:sz="8" w:space="0" w:color="auto"/>
                    <w:tl2br w:val="nil"/>
                    <w:tr2bl w:val="nil"/>
                  </w:tcBorders>
                  <w:noWrap/>
                  <w:textDirection w:val="lrTb"/>
                  <w:vAlign w:val="center"/>
                </w:tcPr>
                <w:p w:rsidR="00854617" w:rsidRPr="00854617" w:rsidP="00854617">
                  <w:pPr>
                    <w:spacing w:line="240" w:lineRule="auto"/>
                    <w:jc w:val="right"/>
                    <w:rPr>
                      <w:rFonts w:ascii="Arial Narrow" w:hAnsi="Arial Narrow" w:cs="Arial"/>
                      <w:lang w:eastAsia="sk-SK"/>
                    </w:rPr>
                  </w:pPr>
                  <w:r w:rsidRPr="00854617">
                    <w:rPr>
                      <w:rFonts w:ascii="Arial Narrow" w:hAnsi="Arial Narrow" w:cs="Arial"/>
                      <w:lang w:eastAsia="sk-SK"/>
                    </w:rPr>
                    <w:t>2 000</w:t>
                  </w:r>
                </w:p>
              </w:tc>
              <w:tc>
                <w:tcPr>
                  <w:tcW w:w="1191" w:type="dxa"/>
                  <w:tcBorders>
                    <w:top w:val="single" w:sz="4" w:space="0" w:color="auto"/>
                    <w:left w:val="nil"/>
                    <w:bottom w:val="single" w:sz="4" w:space="0" w:color="auto"/>
                    <w:right w:val="single" w:sz="8" w:space="0" w:color="auto"/>
                    <w:tl2br w:val="nil"/>
                    <w:tr2bl w:val="nil"/>
                  </w:tcBorders>
                  <w:noWrap/>
                  <w:textDirection w:val="lrTb"/>
                  <w:vAlign w:val="center"/>
                </w:tcPr>
                <w:p w:rsidR="00854617" w:rsidRPr="00854617" w:rsidP="00854617">
                  <w:pPr>
                    <w:spacing w:line="240" w:lineRule="auto"/>
                    <w:jc w:val="right"/>
                    <w:rPr>
                      <w:rFonts w:ascii="Arial Narrow" w:hAnsi="Arial Narrow" w:cs="Arial"/>
                      <w:lang w:eastAsia="sk-SK"/>
                    </w:rPr>
                  </w:pPr>
                  <w:r w:rsidRPr="00854617">
                    <w:rPr>
                      <w:rFonts w:ascii="Arial Narrow" w:hAnsi="Arial Narrow" w:cs="Arial"/>
                      <w:lang w:eastAsia="sk-SK"/>
                    </w:rPr>
                    <w:t>0</w:t>
                  </w:r>
                </w:p>
              </w:tc>
              <w:tc>
                <w:tcPr>
                  <w:tcW w:w="1081" w:type="dxa"/>
                  <w:tcBorders>
                    <w:top w:val="single" w:sz="4" w:space="0" w:color="auto"/>
                    <w:left w:val="nil"/>
                    <w:bottom w:val="single" w:sz="4" w:space="0" w:color="auto"/>
                    <w:right w:val="single" w:sz="8" w:space="0" w:color="auto"/>
                    <w:tl2br w:val="nil"/>
                    <w:tr2bl w:val="nil"/>
                  </w:tcBorders>
                  <w:noWrap/>
                  <w:textDirection w:val="lrTb"/>
                  <w:vAlign w:val="center"/>
                </w:tcPr>
                <w:p w:rsidR="00854617" w:rsidRPr="00854617" w:rsidP="00854617">
                  <w:pPr>
                    <w:spacing w:line="240" w:lineRule="auto"/>
                    <w:jc w:val="right"/>
                    <w:rPr>
                      <w:rFonts w:ascii="Arial Narrow" w:hAnsi="Arial Narrow" w:cs="Arial"/>
                      <w:lang w:eastAsia="sk-SK"/>
                    </w:rPr>
                  </w:pPr>
                  <w:r w:rsidRPr="00854617">
                    <w:rPr>
                      <w:rFonts w:ascii="Arial Narrow" w:hAnsi="Arial Narrow" w:cs="Arial"/>
                      <w:lang w:eastAsia="sk-SK"/>
                    </w:rPr>
                    <w:t>0</w:t>
                  </w:r>
                </w:p>
              </w:tc>
              <w:tc>
                <w:tcPr>
                  <w:tcW w:w="1047" w:type="dxa"/>
                  <w:tcBorders>
                    <w:top w:val="single" w:sz="4" w:space="0" w:color="auto"/>
                    <w:left w:val="nil"/>
                    <w:bottom w:val="single" w:sz="4" w:space="0" w:color="auto"/>
                    <w:right w:val="single" w:sz="8" w:space="0" w:color="auto"/>
                    <w:tl2br w:val="nil"/>
                    <w:tr2bl w:val="nil"/>
                  </w:tcBorders>
                  <w:noWrap/>
                  <w:textDirection w:val="lrTb"/>
                  <w:vAlign w:val="center"/>
                </w:tcPr>
                <w:p w:rsidR="00854617" w:rsidRPr="00854617" w:rsidP="00854617">
                  <w:pPr>
                    <w:spacing w:line="240" w:lineRule="auto"/>
                    <w:jc w:val="right"/>
                    <w:rPr>
                      <w:rFonts w:ascii="Arial Narrow" w:hAnsi="Arial Narrow" w:cs="Arial"/>
                      <w:lang w:eastAsia="sk-SK"/>
                    </w:rPr>
                  </w:pPr>
                  <w:r w:rsidRPr="00854617">
                    <w:rPr>
                      <w:rFonts w:ascii="Arial Narrow" w:hAnsi="Arial Narrow" w:cs="Arial"/>
                      <w:lang w:eastAsia="sk-SK"/>
                    </w:rPr>
                    <w:t>2 000</w:t>
                  </w:r>
                </w:p>
              </w:tc>
              <w:tc>
                <w:tcPr>
                  <w:tcW w:w="1278" w:type="dxa"/>
                  <w:tcBorders>
                    <w:top w:val="single" w:sz="4" w:space="0" w:color="auto"/>
                    <w:left w:val="nil"/>
                    <w:bottom w:val="single" w:sz="4" w:space="0" w:color="auto"/>
                    <w:right w:val="single" w:sz="4" w:space="0" w:color="auto"/>
                    <w:tl2br w:val="nil"/>
                    <w:tr2bl w:val="nil"/>
                  </w:tcBorders>
                  <w:noWrap/>
                  <w:textDirection w:val="lrTb"/>
                  <w:vAlign w:val="center"/>
                </w:tcPr>
                <w:p w:rsidR="00854617" w:rsidRPr="00854617" w:rsidP="00854617">
                  <w:pPr>
                    <w:spacing w:line="240" w:lineRule="auto"/>
                    <w:jc w:val="right"/>
                    <w:rPr>
                      <w:rFonts w:ascii="Arial Narrow" w:hAnsi="Arial Narrow" w:cs="Arial"/>
                      <w:lang w:eastAsia="sk-SK"/>
                    </w:rPr>
                  </w:pPr>
                  <w:r w:rsidRPr="00854617">
                    <w:rPr>
                      <w:rFonts w:ascii="Arial Narrow" w:hAnsi="Arial Narrow" w:cs="Arial"/>
                      <w:lang w:eastAsia="sk-SK"/>
                    </w:rPr>
                    <w:t>2 000</w:t>
                  </w:r>
                </w:p>
              </w:tc>
            </w:tr>
            <w:tr>
              <w:tblPrEx>
                <w:tblW w:w="10360" w:type="dxa"/>
                <w:tblCellMar>
                  <w:left w:w="70" w:type="dxa"/>
                  <w:right w:w="70" w:type="dxa"/>
                </w:tblCellMar>
              </w:tblPrEx>
              <w:trPr>
                <w:trHeight w:hRule="exact" w:val="284"/>
              </w:trPr>
              <w:tc>
                <w:tcPr>
                  <w:tcW w:w="3582" w:type="dxa"/>
                  <w:tcBorders>
                    <w:top w:val="single" w:sz="4" w:space="0" w:color="auto"/>
                    <w:left w:val="single" w:sz="4" w:space="0" w:color="auto"/>
                    <w:bottom w:val="single" w:sz="4" w:space="0" w:color="auto"/>
                    <w:right w:val="single" w:sz="4" w:space="0" w:color="auto"/>
                    <w:tl2br w:val="nil"/>
                    <w:tr2bl w:val="nil"/>
                  </w:tcBorders>
                  <w:shd w:val="clear" w:color="auto" w:fill="C0C0C0"/>
                  <w:noWrap/>
                  <w:textDirection w:val="lrTb"/>
                  <w:vAlign w:val="center"/>
                </w:tcPr>
                <w:p w:rsidR="00854617" w:rsidRPr="00854617" w:rsidP="00854617">
                  <w:pPr>
                    <w:spacing w:line="240" w:lineRule="auto"/>
                    <w:jc w:val="center"/>
                    <w:rPr>
                      <w:rFonts w:ascii="Arial Narrow" w:hAnsi="Arial Narrow" w:cs="Arial"/>
                      <w:b/>
                      <w:bCs/>
                      <w:lang w:eastAsia="sk-SK"/>
                    </w:rPr>
                  </w:pPr>
                  <w:r w:rsidRPr="00854617">
                    <w:rPr>
                      <w:rFonts w:ascii="Arial Narrow" w:hAnsi="Arial Narrow" w:cs="Arial"/>
                      <w:b/>
                      <w:bCs/>
                      <w:lang w:eastAsia="sk-SK"/>
                    </w:rPr>
                    <w:t>S P O L U</w:t>
                  </w:r>
                </w:p>
              </w:tc>
              <w:tc>
                <w:tcPr>
                  <w:tcW w:w="1083" w:type="dxa"/>
                  <w:tcBorders>
                    <w:top w:val="single" w:sz="4" w:space="0" w:color="auto"/>
                    <w:left w:val="single" w:sz="4" w:space="0" w:color="auto"/>
                    <w:bottom w:val="single" w:sz="4" w:space="0" w:color="auto"/>
                    <w:right w:val="single" w:sz="4" w:space="0" w:color="auto"/>
                    <w:tl2br w:val="nil"/>
                    <w:tr2bl w:val="nil"/>
                  </w:tcBorders>
                  <w:shd w:val="clear" w:color="auto" w:fill="C0C0C0"/>
                  <w:noWrap/>
                  <w:textDirection w:val="lrTb"/>
                  <w:vAlign w:val="center"/>
                </w:tcPr>
                <w:p w:rsidR="00854617" w:rsidRPr="00854617" w:rsidP="00854617">
                  <w:pPr>
                    <w:spacing w:line="240" w:lineRule="auto"/>
                    <w:jc w:val="right"/>
                    <w:rPr>
                      <w:rFonts w:ascii="Arial Narrow" w:hAnsi="Arial Narrow" w:cs="Arial"/>
                      <w:b/>
                      <w:bCs/>
                      <w:lang w:eastAsia="sk-SK"/>
                    </w:rPr>
                  </w:pPr>
                  <w:r w:rsidRPr="00854617">
                    <w:rPr>
                      <w:rFonts w:ascii="Arial Narrow" w:hAnsi="Arial Narrow" w:cs="Arial"/>
                      <w:b/>
                      <w:bCs/>
                      <w:lang w:eastAsia="sk-SK"/>
                    </w:rPr>
                    <w:t>3 037 839</w:t>
                  </w:r>
                </w:p>
              </w:tc>
              <w:tc>
                <w:tcPr>
                  <w:tcW w:w="1098" w:type="dxa"/>
                  <w:tcBorders>
                    <w:top w:val="single" w:sz="4" w:space="0" w:color="auto"/>
                    <w:left w:val="single" w:sz="4" w:space="0" w:color="auto"/>
                    <w:bottom w:val="single" w:sz="4" w:space="0" w:color="auto"/>
                    <w:right w:val="single" w:sz="4" w:space="0" w:color="auto"/>
                    <w:tl2br w:val="nil"/>
                    <w:tr2bl w:val="nil"/>
                  </w:tcBorders>
                  <w:shd w:val="clear" w:color="auto" w:fill="C0C0C0"/>
                  <w:noWrap/>
                  <w:textDirection w:val="lrTb"/>
                  <w:vAlign w:val="center"/>
                </w:tcPr>
                <w:p w:rsidR="00854617" w:rsidRPr="00854617" w:rsidP="00854617">
                  <w:pPr>
                    <w:spacing w:line="240" w:lineRule="auto"/>
                    <w:jc w:val="right"/>
                    <w:rPr>
                      <w:rFonts w:ascii="Arial Narrow" w:hAnsi="Arial Narrow" w:cs="Arial"/>
                      <w:b/>
                      <w:bCs/>
                      <w:lang w:eastAsia="sk-SK"/>
                    </w:rPr>
                  </w:pPr>
                  <w:r w:rsidRPr="00854617">
                    <w:rPr>
                      <w:rFonts w:ascii="Arial Narrow" w:hAnsi="Arial Narrow" w:cs="Arial"/>
                      <w:b/>
                      <w:bCs/>
                      <w:lang w:eastAsia="sk-SK"/>
                    </w:rPr>
                    <w:t>3 030 877</w:t>
                  </w:r>
                </w:p>
              </w:tc>
              <w:tc>
                <w:tcPr>
                  <w:tcW w:w="1191" w:type="dxa"/>
                  <w:tcBorders>
                    <w:top w:val="single" w:sz="4" w:space="0" w:color="auto"/>
                    <w:left w:val="single" w:sz="4" w:space="0" w:color="auto"/>
                    <w:bottom w:val="single" w:sz="4" w:space="0" w:color="auto"/>
                    <w:right w:val="single" w:sz="4" w:space="0" w:color="auto"/>
                    <w:tl2br w:val="nil"/>
                    <w:tr2bl w:val="nil"/>
                  </w:tcBorders>
                  <w:shd w:val="clear" w:color="auto" w:fill="C0C0C0"/>
                  <w:noWrap/>
                  <w:textDirection w:val="lrTb"/>
                  <w:vAlign w:val="center"/>
                </w:tcPr>
                <w:p w:rsidR="00854617" w:rsidRPr="00854617" w:rsidP="00854617">
                  <w:pPr>
                    <w:spacing w:line="240" w:lineRule="auto"/>
                    <w:jc w:val="right"/>
                    <w:rPr>
                      <w:rFonts w:ascii="Arial Narrow" w:hAnsi="Arial Narrow" w:cs="Arial"/>
                      <w:b/>
                      <w:bCs/>
                      <w:lang w:eastAsia="sk-SK"/>
                    </w:rPr>
                  </w:pPr>
                  <w:r w:rsidRPr="00854617">
                    <w:rPr>
                      <w:rFonts w:ascii="Arial Narrow" w:hAnsi="Arial Narrow" w:cs="Arial"/>
                      <w:b/>
                      <w:bCs/>
                      <w:lang w:eastAsia="sk-SK"/>
                    </w:rPr>
                    <w:t>3 226 805</w:t>
                  </w:r>
                </w:p>
              </w:tc>
              <w:tc>
                <w:tcPr>
                  <w:tcW w:w="1081" w:type="dxa"/>
                  <w:tcBorders>
                    <w:top w:val="single" w:sz="4" w:space="0" w:color="auto"/>
                    <w:left w:val="single" w:sz="4" w:space="0" w:color="auto"/>
                    <w:bottom w:val="single" w:sz="4" w:space="0" w:color="auto"/>
                    <w:right w:val="single" w:sz="4" w:space="0" w:color="auto"/>
                    <w:tl2br w:val="nil"/>
                    <w:tr2bl w:val="nil"/>
                  </w:tcBorders>
                  <w:shd w:val="clear" w:color="auto" w:fill="C0C0C0"/>
                  <w:noWrap/>
                  <w:textDirection w:val="lrTb"/>
                  <w:vAlign w:val="center"/>
                </w:tcPr>
                <w:p w:rsidR="00854617" w:rsidRPr="00854617" w:rsidP="00854617">
                  <w:pPr>
                    <w:spacing w:line="240" w:lineRule="auto"/>
                    <w:jc w:val="right"/>
                    <w:rPr>
                      <w:rFonts w:ascii="Arial Narrow" w:hAnsi="Arial Narrow" w:cs="Arial"/>
                      <w:b/>
                      <w:bCs/>
                      <w:lang w:eastAsia="sk-SK"/>
                    </w:rPr>
                  </w:pPr>
                  <w:r w:rsidRPr="00854617">
                    <w:rPr>
                      <w:rFonts w:ascii="Arial Narrow" w:hAnsi="Arial Narrow" w:cs="Arial"/>
                      <w:b/>
                      <w:bCs/>
                      <w:lang w:eastAsia="sk-SK"/>
                    </w:rPr>
                    <w:t>3 236 348</w:t>
                  </w:r>
                </w:p>
              </w:tc>
              <w:tc>
                <w:tcPr>
                  <w:tcW w:w="1047" w:type="dxa"/>
                  <w:tcBorders>
                    <w:top w:val="single" w:sz="4" w:space="0" w:color="auto"/>
                    <w:left w:val="single" w:sz="4" w:space="0" w:color="auto"/>
                    <w:bottom w:val="single" w:sz="4" w:space="0" w:color="auto"/>
                    <w:right w:val="single" w:sz="4" w:space="0" w:color="auto"/>
                    <w:tl2br w:val="nil"/>
                    <w:tr2bl w:val="nil"/>
                  </w:tcBorders>
                  <w:shd w:val="clear" w:color="auto" w:fill="C0C0C0"/>
                  <w:noWrap/>
                  <w:textDirection w:val="lrTb"/>
                  <w:vAlign w:val="center"/>
                </w:tcPr>
                <w:p w:rsidR="00854617" w:rsidRPr="00854617" w:rsidP="00854617">
                  <w:pPr>
                    <w:spacing w:line="240" w:lineRule="auto"/>
                    <w:jc w:val="right"/>
                    <w:rPr>
                      <w:rFonts w:ascii="Arial Narrow" w:hAnsi="Arial Narrow" w:cs="Arial"/>
                      <w:b/>
                      <w:bCs/>
                      <w:lang w:eastAsia="sk-SK"/>
                    </w:rPr>
                  </w:pPr>
                  <w:r w:rsidRPr="00854617">
                    <w:rPr>
                      <w:rFonts w:ascii="Arial Narrow" w:hAnsi="Arial Narrow" w:cs="Arial"/>
                      <w:b/>
                      <w:bCs/>
                      <w:lang w:eastAsia="sk-SK"/>
                    </w:rPr>
                    <w:t>6 264 644</w:t>
                  </w:r>
                </w:p>
              </w:tc>
              <w:tc>
                <w:tcPr>
                  <w:tcW w:w="1278" w:type="dxa"/>
                  <w:tcBorders>
                    <w:top w:val="single" w:sz="4" w:space="0" w:color="auto"/>
                    <w:left w:val="single" w:sz="4" w:space="0" w:color="auto"/>
                    <w:bottom w:val="single" w:sz="4" w:space="0" w:color="auto"/>
                    <w:right w:val="single" w:sz="4" w:space="0" w:color="auto"/>
                    <w:tl2br w:val="nil"/>
                    <w:tr2bl w:val="nil"/>
                  </w:tcBorders>
                  <w:shd w:val="clear" w:color="auto" w:fill="C0C0C0"/>
                  <w:noWrap/>
                  <w:textDirection w:val="lrTb"/>
                  <w:vAlign w:val="center"/>
                </w:tcPr>
                <w:p w:rsidR="00854617" w:rsidRPr="00854617" w:rsidP="00854617">
                  <w:pPr>
                    <w:spacing w:line="240" w:lineRule="auto"/>
                    <w:jc w:val="right"/>
                    <w:rPr>
                      <w:rFonts w:ascii="Arial Narrow" w:hAnsi="Arial Narrow" w:cs="Arial"/>
                      <w:b/>
                      <w:bCs/>
                      <w:lang w:eastAsia="sk-SK"/>
                    </w:rPr>
                  </w:pPr>
                  <w:r w:rsidRPr="00854617">
                    <w:rPr>
                      <w:rFonts w:ascii="Arial Narrow" w:hAnsi="Arial Narrow" w:cs="Arial"/>
                      <w:b/>
                      <w:bCs/>
                      <w:lang w:eastAsia="sk-SK"/>
                    </w:rPr>
                    <w:t>6 267 225</w:t>
                  </w:r>
                </w:p>
              </w:tc>
            </w:tr>
          </w:tbl>
          <w:p w:rsidR="00F87631" w:rsidRPr="00854617" w:rsidP="00854617">
            <w:pPr>
              <w:spacing w:line="240" w:lineRule="auto"/>
              <w:rPr>
                <w:rFonts w:ascii="Arial Narrow" w:hAnsi="Arial Narrow" w:cs="Arial"/>
              </w:rPr>
            </w:pPr>
          </w:p>
        </w:tc>
        <w:tc>
          <w:tcPr>
            <w:tcW w:w="1046" w:type="dxa"/>
            <w:tcBorders>
              <w:top w:val="nil"/>
              <w:left w:val="nil"/>
              <w:bottom w:val="nil"/>
              <w:right w:val="nil"/>
              <w:tl2br w:val="nil"/>
              <w:tr2bl w:val="nil"/>
            </w:tcBorders>
            <w:noWrap/>
            <w:textDirection w:val="lrTb"/>
            <w:vAlign w:val="bottom"/>
          </w:tcPr>
          <w:p w:rsidR="00433B7F" w:rsidRPr="00854617" w:rsidP="00433B7F">
            <w:pPr>
              <w:spacing w:line="240" w:lineRule="auto"/>
              <w:rPr>
                <w:rFonts w:ascii="Arial Narrow" w:hAnsi="Arial Narrow" w:cs="Arial"/>
              </w:rPr>
            </w:pPr>
          </w:p>
        </w:tc>
        <w:tc>
          <w:tcPr>
            <w:tcW w:w="1081" w:type="dxa"/>
            <w:tcBorders>
              <w:top w:val="nil"/>
              <w:left w:val="nil"/>
              <w:bottom w:val="nil"/>
              <w:right w:val="nil"/>
              <w:tl2br w:val="nil"/>
              <w:tr2bl w:val="nil"/>
            </w:tcBorders>
            <w:noWrap/>
            <w:textDirection w:val="lrTb"/>
            <w:vAlign w:val="bottom"/>
          </w:tcPr>
          <w:p w:rsidR="00F87631" w:rsidRPr="00854617" w:rsidP="00854617">
            <w:pPr>
              <w:spacing w:line="240" w:lineRule="auto"/>
              <w:rPr>
                <w:rFonts w:ascii="Arial Narrow" w:hAnsi="Arial Narrow" w:cs="Arial"/>
              </w:rPr>
            </w:pPr>
            <w:r w:rsidRPr="00854617">
              <w:rPr>
                <w:rFonts w:ascii="Arial Narrow" w:hAnsi="Arial Narrow" w:cs="Arial"/>
              </w:rPr>
              <w:t> </w:t>
            </w:r>
          </w:p>
        </w:tc>
        <w:tc>
          <w:tcPr>
            <w:tcW w:w="1080" w:type="dxa"/>
            <w:tcBorders>
              <w:top w:val="nil"/>
              <w:left w:val="nil"/>
              <w:bottom w:val="single" w:sz="12" w:space="0" w:color="auto"/>
              <w:right w:val="nil"/>
              <w:tl2br w:val="nil"/>
              <w:tr2bl w:val="nil"/>
            </w:tcBorders>
            <w:noWrap/>
            <w:textDirection w:val="lrTb"/>
            <w:vAlign w:val="bottom"/>
          </w:tcPr>
          <w:p w:rsidR="00F87631" w:rsidRPr="00854617" w:rsidP="00854617">
            <w:pPr>
              <w:spacing w:line="240" w:lineRule="auto"/>
              <w:rPr>
                <w:rFonts w:ascii="Arial Narrow" w:hAnsi="Arial Narrow" w:cs="Arial"/>
              </w:rPr>
            </w:pPr>
            <w:r w:rsidRPr="00854617">
              <w:rPr>
                <w:rFonts w:ascii="Arial Narrow" w:hAnsi="Arial Narrow" w:cs="Arial"/>
              </w:rPr>
              <w:t> </w:t>
            </w:r>
          </w:p>
        </w:tc>
        <w:tc>
          <w:tcPr>
            <w:tcW w:w="1060" w:type="dxa"/>
            <w:tcBorders>
              <w:top w:val="nil"/>
              <w:left w:val="nil"/>
              <w:bottom w:val="single" w:sz="12" w:space="0" w:color="auto"/>
              <w:right w:val="nil"/>
              <w:tl2br w:val="nil"/>
              <w:tr2bl w:val="nil"/>
            </w:tcBorders>
            <w:noWrap/>
            <w:textDirection w:val="lrTb"/>
            <w:vAlign w:val="bottom"/>
          </w:tcPr>
          <w:p w:rsidR="00F87631" w:rsidRPr="00854617" w:rsidP="00854617">
            <w:pPr>
              <w:spacing w:line="240" w:lineRule="auto"/>
              <w:rPr>
                <w:rFonts w:ascii="Arial Narrow" w:hAnsi="Arial Narrow" w:cs="Arial"/>
              </w:rPr>
            </w:pPr>
            <w:r w:rsidRPr="00854617">
              <w:rPr>
                <w:rFonts w:ascii="Arial Narrow" w:hAnsi="Arial Narrow" w:cs="Arial"/>
              </w:rPr>
              <w:t> </w:t>
            </w:r>
          </w:p>
        </w:tc>
        <w:tc>
          <w:tcPr>
            <w:tcW w:w="1100" w:type="dxa"/>
            <w:tcBorders>
              <w:top w:val="nil"/>
              <w:left w:val="nil"/>
              <w:bottom w:val="single" w:sz="12" w:space="0" w:color="auto"/>
              <w:right w:val="nil"/>
              <w:tl2br w:val="nil"/>
              <w:tr2bl w:val="nil"/>
            </w:tcBorders>
            <w:noWrap/>
            <w:textDirection w:val="lrTb"/>
            <w:vAlign w:val="bottom"/>
          </w:tcPr>
          <w:p w:rsidR="00F87631" w:rsidRPr="00854617" w:rsidP="00854617">
            <w:pPr>
              <w:spacing w:line="240" w:lineRule="auto"/>
              <w:rPr>
                <w:rFonts w:ascii="Arial Narrow" w:hAnsi="Arial Narrow" w:cs="Arial"/>
              </w:rPr>
            </w:pPr>
            <w:r w:rsidRPr="00854617">
              <w:rPr>
                <w:rFonts w:ascii="Arial Narrow" w:hAnsi="Arial Narrow" w:cs="Arial"/>
              </w:rPr>
              <w:t> </w:t>
            </w:r>
          </w:p>
        </w:tc>
        <w:tc>
          <w:tcPr>
            <w:tcW w:w="1080" w:type="dxa"/>
            <w:tcBorders>
              <w:top w:val="nil"/>
              <w:left w:val="nil"/>
              <w:bottom w:val="single" w:sz="12" w:space="0" w:color="auto"/>
              <w:right w:val="nil"/>
              <w:tl2br w:val="nil"/>
              <w:tr2bl w:val="nil"/>
            </w:tcBorders>
            <w:noWrap/>
            <w:textDirection w:val="lrTb"/>
            <w:vAlign w:val="bottom"/>
          </w:tcPr>
          <w:p w:rsidR="00F87631" w:rsidRPr="00854617" w:rsidP="00854617">
            <w:pPr>
              <w:spacing w:line="240" w:lineRule="auto"/>
              <w:jc w:val="center"/>
              <w:rPr>
                <w:rFonts w:ascii="Arial Narrow" w:hAnsi="Arial Narrow" w:cs="Arial"/>
              </w:rPr>
            </w:pPr>
            <w:r w:rsidRPr="00854617">
              <w:rPr>
                <w:rFonts w:ascii="Arial Narrow" w:hAnsi="Arial Narrow" w:cs="Arial"/>
              </w:rPr>
              <w:t>(v tis. Sk)</w:t>
            </w:r>
          </w:p>
          <w:p w:rsidR="00F87631" w:rsidRPr="00854617" w:rsidP="00854617">
            <w:pPr>
              <w:spacing w:line="240" w:lineRule="auto"/>
              <w:jc w:val="center"/>
              <w:rPr>
                <w:rFonts w:ascii="Arial Narrow" w:hAnsi="Arial Narrow" w:cs="Arial"/>
              </w:rPr>
            </w:pPr>
          </w:p>
        </w:tc>
      </w:tr>
    </w:tbl>
    <w:p w:rsidR="00C34272" w:rsidP="00AE3AF3">
      <w:pPr>
        <w:spacing w:line="240" w:lineRule="auto"/>
        <w:rPr>
          <w:rFonts w:ascii="Times New Roman" w:hAnsi="Times New Roman" w:cs="Times New Roman"/>
          <w:b/>
          <w:sz w:val="32"/>
          <w:szCs w:val="32"/>
          <w:u w:val="single"/>
        </w:rPr>
      </w:pPr>
    </w:p>
    <w:p w:rsidR="00D719B7" w:rsidP="00AE3AF3">
      <w:pPr>
        <w:spacing w:line="240" w:lineRule="auto"/>
        <w:rPr>
          <w:rFonts w:ascii="Times New Roman" w:hAnsi="Times New Roman" w:cs="Times New Roman"/>
          <w:b/>
          <w:sz w:val="32"/>
          <w:szCs w:val="32"/>
          <w:u w:val="single"/>
        </w:rPr>
      </w:pPr>
    </w:p>
    <w:p w:rsidR="00CB2678" w:rsidP="00AE3AF3">
      <w:pPr>
        <w:spacing w:line="240" w:lineRule="auto"/>
        <w:rPr>
          <w:rFonts w:ascii="Times New Roman" w:hAnsi="Times New Roman" w:cs="Times New Roman"/>
          <w:b/>
          <w:sz w:val="32"/>
          <w:szCs w:val="32"/>
          <w:u w:val="single"/>
        </w:rPr>
      </w:pPr>
    </w:p>
    <w:p w:rsidR="00CB2678" w:rsidP="00AE3AF3">
      <w:pPr>
        <w:spacing w:line="240" w:lineRule="auto"/>
        <w:rPr>
          <w:rFonts w:ascii="Times New Roman" w:hAnsi="Times New Roman" w:cs="Times New Roman"/>
          <w:b/>
          <w:sz w:val="32"/>
          <w:szCs w:val="32"/>
          <w:u w:val="single"/>
        </w:rPr>
      </w:pPr>
    </w:p>
    <w:p w:rsidR="00D27E26" w:rsidRPr="00AA11E3" w:rsidP="00C362EA">
      <w:pPr>
        <w:spacing w:line="240" w:lineRule="auto"/>
        <w:jc w:val="center"/>
        <w:rPr>
          <w:rFonts w:ascii="Times New Roman" w:hAnsi="Times New Roman" w:cs="Times New Roman"/>
          <w:b/>
          <w:sz w:val="32"/>
          <w:szCs w:val="32"/>
          <w:u w:val="single"/>
        </w:rPr>
      </w:pPr>
      <w:r w:rsidRPr="00AA11E3">
        <w:rPr>
          <w:rFonts w:ascii="Times New Roman" w:hAnsi="Times New Roman" w:cs="Times New Roman"/>
          <w:b/>
          <w:sz w:val="32"/>
          <w:szCs w:val="32"/>
          <w:u w:val="single"/>
        </w:rPr>
        <w:t>Zdôvodnenie čerpania výdavkov podľa jednotlivých rozpočtových organiz</w:t>
      </w:r>
      <w:r w:rsidR="00D94F82">
        <w:rPr>
          <w:rFonts w:ascii="Times New Roman" w:hAnsi="Times New Roman" w:cs="Times New Roman"/>
          <w:b/>
          <w:sz w:val="32"/>
          <w:szCs w:val="32"/>
          <w:u w:val="single"/>
        </w:rPr>
        <w:t>ácií rezortu MDPT SR v roku 2007</w:t>
      </w:r>
    </w:p>
    <w:p w:rsidR="00AE3AF3" w:rsidP="00C362EA">
      <w:pPr>
        <w:spacing w:line="240" w:lineRule="auto"/>
        <w:rPr>
          <w:rFonts w:ascii="Times New Roman" w:hAnsi="Times New Roman" w:cs="Times New Roman"/>
          <w:b/>
          <w:sz w:val="24"/>
          <w:u w:val="single"/>
        </w:rPr>
      </w:pPr>
    </w:p>
    <w:p w:rsidR="00C34272" w:rsidP="00C362EA">
      <w:pPr>
        <w:spacing w:line="240" w:lineRule="auto"/>
        <w:rPr>
          <w:rFonts w:ascii="Times New Roman" w:hAnsi="Times New Roman" w:cs="Times New Roman"/>
          <w:b/>
          <w:sz w:val="24"/>
          <w:u w:val="single"/>
        </w:rPr>
      </w:pPr>
    </w:p>
    <w:p w:rsidR="00C34272" w:rsidP="00C362EA">
      <w:pPr>
        <w:spacing w:line="240" w:lineRule="auto"/>
        <w:rPr>
          <w:rFonts w:ascii="Times New Roman" w:hAnsi="Times New Roman" w:cs="Times New Roman"/>
          <w:b/>
          <w:sz w:val="24"/>
          <w:u w:val="single"/>
        </w:rPr>
      </w:pPr>
    </w:p>
    <w:p w:rsidR="00D27E26" w:rsidRPr="00AA11E3" w:rsidP="00C362EA">
      <w:pPr>
        <w:spacing w:line="240" w:lineRule="auto"/>
        <w:rPr>
          <w:rFonts w:ascii="Times New Roman" w:hAnsi="Times New Roman" w:cs="Times New Roman"/>
          <w:b/>
          <w:sz w:val="28"/>
          <w:szCs w:val="28"/>
          <w:u w:val="single"/>
        </w:rPr>
      </w:pPr>
      <w:r w:rsidRPr="00AA11E3">
        <w:rPr>
          <w:rFonts w:ascii="Times New Roman" w:hAnsi="Times New Roman" w:cs="Times New Roman"/>
          <w:b/>
          <w:sz w:val="28"/>
          <w:szCs w:val="28"/>
          <w:u w:val="single"/>
        </w:rPr>
        <w:t>1. SLOVENSKÁ SPRÁVA C</w:t>
      </w:r>
      <w:r w:rsidR="00373F28">
        <w:rPr>
          <w:rFonts w:ascii="Times New Roman" w:hAnsi="Times New Roman" w:cs="Times New Roman"/>
          <w:b/>
          <w:sz w:val="28"/>
          <w:szCs w:val="28"/>
          <w:u w:val="single"/>
        </w:rPr>
        <w:t>IEST – program 053 – Cestná inf</w:t>
      </w:r>
      <w:r w:rsidRPr="00AA11E3">
        <w:rPr>
          <w:rFonts w:ascii="Times New Roman" w:hAnsi="Times New Roman" w:cs="Times New Roman"/>
          <w:b/>
          <w:sz w:val="28"/>
          <w:szCs w:val="28"/>
          <w:u w:val="single"/>
        </w:rPr>
        <w:t>r</w:t>
      </w:r>
      <w:r w:rsidR="00373F28">
        <w:rPr>
          <w:rFonts w:ascii="Times New Roman" w:hAnsi="Times New Roman" w:cs="Times New Roman"/>
          <w:b/>
          <w:sz w:val="28"/>
          <w:szCs w:val="28"/>
          <w:u w:val="single"/>
        </w:rPr>
        <w:t>a</w:t>
      </w:r>
      <w:r w:rsidRPr="00AA11E3">
        <w:rPr>
          <w:rFonts w:ascii="Times New Roman" w:hAnsi="Times New Roman" w:cs="Times New Roman"/>
          <w:b/>
          <w:sz w:val="28"/>
          <w:szCs w:val="28"/>
          <w:u w:val="single"/>
        </w:rPr>
        <w:t xml:space="preserve">štruktúra </w:t>
      </w:r>
    </w:p>
    <w:p w:rsidR="00AE3AF3" w:rsidP="00C362EA">
      <w:pPr>
        <w:spacing w:line="240" w:lineRule="auto"/>
        <w:rPr>
          <w:rFonts w:ascii="Times New Roman" w:hAnsi="Times New Roman" w:cs="Times New Roman"/>
          <w:b/>
          <w:sz w:val="24"/>
          <w:szCs w:val="24"/>
          <w:u w:val="single"/>
        </w:rPr>
      </w:pPr>
    </w:p>
    <w:p w:rsidR="00C34272" w:rsidP="00C362EA">
      <w:pPr>
        <w:spacing w:line="240" w:lineRule="auto"/>
        <w:rPr>
          <w:rFonts w:ascii="Times New Roman" w:hAnsi="Times New Roman" w:cs="Times New Roman"/>
          <w:b/>
          <w:sz w:val="24"/>
          <w:szCs w:val="24"/>
          <w:u w:val="single"/>
        </w:rPr>
      </w:pPr>
    </w:p>
    <w:p w:rsidR="00AE3AF3" w:rsidP="00B27788">
      <w:pPr>
        <w:spacing w:line="240" w:lineRule="auto"/>
        <w:ind w:firstLine="708"/>
        <w:rPr>
          <w:rFonts w:ascii="Times New Roman" w:hAnsi="Times New Roman" w:cs="Times New Roman"/>
          <w:sz w:val="24"/>
          <w:szCs w:val="24"/>
        </w:rPr>
      </w:pPr>
      <w:r w:rsidRPr="008254A6" w:rsidR="008254A6">
        <w:rPr>
          <w:rFonts w:ascii="Times New Roman" w:hAnsi="Times New Roman" w:cs="Times New Roman"/>
          <w:sz w:val="24"/>
          <w:szCs w:val="24"/>
        </w:rPr>
        <w:t>Podľa „Uznesenia vlády SR č. 137</w:t>
      </w:r>
      <w:r w:rsidR="00C34272">
        <w:rPr>
          <w:rFonts w:ascii="Times New Roman" w:hAnsi="Times New Roman" w:cs="Times New Roman"/>
          <w:sz w:val="24"/>
          <w:szCs w:val="24"/>
        </w:rPr>
        <w:t>0/2002 zo dňa 18. decembra 2002 bol</w:t>
      </w:r>
      <w:r w:rsidRPr="008254A6" w:rsidR="008254A6">
        <w:rPr>
          <w:rFonts w:ascii="Times New Roman" w:hAnsi="Times New Roman" w:cs="Times New Roman"/>
          <w:sz w:val="24"/>
          <w:szCs w:val="24"/>
        </w:rPr>
        <w:t xml:space="preserve"> </w:t>
      </w:r>
      <w:r w:rsidR="00C34272">
        <w:rPr>
          <w:rFonts w:ascii="Times New Roman" w:hAnsi="Times New Roman" w:cs="Times New Roman"/>
          <w:sz w:val="24"/>
          <w:szCs w:val="24"/>
        </w:rPr>
        <w:t xml:space="preserve">Kontrakt </w:t>
      </w:r>
      <w:r w:rsidR="00430576">
        <w:rPr>
          <w:rFonts w:ascii="Times New Roman" w:hAnsi="Times New Roman" w:cs="Times New Roman"/>
          <w:sz w:val="24"/>
          <w:szCs w:val="24"/>
        </w:rPr>
        <w:t>na rozpočtový rok 2007</w:t>
      </w:r>
      <w:r w:rsidRPr="008254A6" w:rsidR="008254A6">
        <w:rPr>
          <w:rFonts w:ascii="Times New Roman" w:hAnsi="Times New Roman" w:cs="Times New Roman"/>
          <w:sz w:val="24"/>
          <w:szCs w:val="24"/>
        </w:rPr>
        <w:t xml:space="preserve"> me</w:t>
      </w:r>
      <w:r w:rsidR="00C34272">
        <w:rPr>
          <w:rFonts w:ascii="Times New Roman" w:hAnsi="Times New Roman" w:cs="Times New Roman"/>
          <w:sz w:val="24"/>
          <w:szCs w:val="24"/>
        </w:rPr>
        <w:t>dzi</w:t>
      </w:r>
      <w:r w:rsidR="00C34272">
        <w:rPr>
          <w:rFonts w:ascii="Times New Roman" w:hAnsi="Times New Roman" w:cs="Times New Roman"/>
          <w:sz w:val="24"/>
          <w:szCs w:val="24"/>
        </w:rPr>
        <w:t xml:space="preserve"> MDPT SR a SSC </w:t>
      </w:r>
      <w:r w:rsidRPr="008254A6" w:rsidR="00C34272">
        <w:rPr>
          <w:rFonts w:ascii="Times New Roman" w:hAnsi="Times New Roman" w:cs="Times New Roman"/>
          <w:sz w:val="24"/>
          <w:szCs w:val="24"/>
        </w:rPr>
        <w:t>uzavretý</w:t>
      </w:r>
      <w:r w:rsidRPr="00C34272" w:rsidR="00C34272">
        <w:rPr>
          <w:rFonts w:ascii="Times New Roman" w:hAnsi="Times New Roman" w:cs="Times New Roman"/>
          <w:sz w:val="24"/>
          <w:szCs w:val="24"/>
        </w:rPr>
        <w:t xml:space="preserve"> </w:t>
      </w:r>
      <w:r w:rsidR="00C34272">
        <w:rPr>
          <w:rFonts w:ascii="Times New Roman" w:hAnsi="Times New Roman" w:cs="Times New Roman"/>
          <w:sz w:val="24"/>
          <w:szCs w:val="24"/>
        </w:rPr>
        <w:t>dňa 29.</w:t>
      </w:r>
      <w:r w:rsidRPr="008254A6" w:rsidR="00C34272">
        <w:rPr>
          <w:rFonts w:ascii="Times New Roman" w:hAnsi="Times New Roman" w:cs="Times New Roman"/>
          <w:sz w:val="24"/>
          <w:szCs w:val="24"/>
        </w:rPr>
        <w:t>1</w:t>
      </w:r>
      <w:r w:rsidR="00C34272">
        <w:rPr>
          <w:rFonts w:ascii="Times New Roman" w:hAnsi="Times New Roman" w:cs="Times New Roman"/>
          <w:sz w:val="24"/>
          <w:szCs w:val="24"/>
        </w:rPr>
        <w:t xml:space="preserve">2.2006. </w:t>
      </w:r>
    </w:p>
    <w:p w:rsidR="00C34272" w:rsidP="00B27788">
      <w:pPr>
        <w:spacing w:line="240" w:lineRule="auto"/>
        <w:ind w:firstLine="708"/>
        <w:rPr>
          <w:rFonts w:ascii="Times New Roman" w:hAnsi="Times New Roman" w:cs="Times New Roman"/>
          <w:sz w:val="24"/>
          <w:szCs w:val="24"/>
        </w:rPr>
      </w:pPr>
    </w:p>
    <w:p w:rsidR="003F6DCF" w:rsidP="00AE3AF3">
      <w:pPr>
        <w:spacing w:line="240" w:lineRule="auto"/>
        <w:ind w:firstLine="708"/>
        <w:rPr>
          <w:rFonts w:ascii="Times New Roman" w:hAnsi="Times New Roman" w:cs="Times New Roman"/>
          <w:sz w:val="24"/>
          <w:szCs w:val="24"/>
        </w:rPr>
      </w:pPr>
      <w:r w:rsidRPr="008254A6" w:rsidR="008254A6">
        <w:rPr>
          <w:rFonts w:ascii="Times New Roman" w:hAnsi="Times New Roman" w:cs="Times New Roman"/>
          <w:sz w:val="24"/>
          <w:szCs w:val="24"/>
        </w:rPr>
        <w:t>V tomto kontrakt</w:t>
      </w:r>
      <w:r w:rsidR="00430576">
        <w:rPr>
          <w:rFonts w:ascii="Times New Roman" w:hAnsi="Times New Roman" w:cs="Times New Roman"/>
          <w:sz w:val="24"/>
          <w:szCs w:val="24"/>
        </w:rPr>
        <w:t xml:space="preserve">e bola rozpísaná suma výdavkov </w:t>
      </w:r>
      <w:r w:rsidRPr="008254A6" w:rsidR="008254A6">
        <w:rPr>
          <w:rFonts w:ascii="Times New Roman" w:hAnsi="Times New Roman" w:cs="Times New Roman"/>
          <w:sz w:val="24"/>
          <w:szCs w:val="24"/>
        </w:rPr>
        <w:t>v </w:t>
      </w:r>
      <w:r w:rsidR="00F46FFB">
        <w:rPr>
          <w:rFonts w:ascii="Times New Roman" w:hAnsi="Times New Roman" w:cs="Times New Roman"/>
          <w:sz w:val="24"/>
          <w:szCs w:val="24"/>
        </w:rPr>
        <w:t xml:space="preserve">celkovej </w:t>
      </w:r>
      <w:r w:rsidRPr="002C7E22" w:rsidR="00F46FFB">
        <w:rPr>
          <w:rFonts w:ascii="Times New Roman" w:hAnsi="Times New Roman" w:cs="Times New Roman"/>
          <w:sz w:val="24"/>
          <w:szCs w:val="24"/>
        </w:rPr>
        <w:t xml:space="preserve">výške  </w:t>
      </w:r>
      <w:r w:rsidR="00F72144">
        <w:rPr>
          <w:rFonts w:ascii="Times New Roman" w:hAnsi="Times New Roman" w:cs="Times New Roman"/>
          <w:sz w:val="24"/>
          <w:szCs w:val="24"/>
        </w:rPr>
        <w:t>4 407</w:t>
      </w:r>
      <w:r w:rsidR="00D4520F">
        <w:rPr>
          <w:rFonts w:ascii="Times New Roman" w:hAnsi="Times New Roman" w:cs="Times New Roman"/>
          <w:sz w:val="24"/>
          <w:szCs w:val="24"/>
        </w:rPr>
        <w:t> </w:t>
      </w:r>
      <w:r w:rsidR="00F72144">
        <w:rPr>
          <w:rFonts w:ascii="Times New Roman" w:hAnsi="Times New Roman" w:cs="Times New Roman"/>
          <w:sz w:val="24"/>
          <w:szCs w:val="24"/>
        </w:rPr>
        <w:t>614</w:t>
      </w:r>
      <w:r w:rsidR="00D4520F">
        <w:rPr>
          <w:rFonts w:ascii="Times New Roman" w:hAnsi="Times New Roman" w:cs="Times New Roman"/>
          <w:sz w:val="24"/>
          <w:szCs w:val="24"/>
        </w:rPr>
        <w:t xml:space="preserve"> tis. </w:t>
      </w:r>
      <w:r w:rsidRPr="002C7E22" w:rsidR="008254A6">
        <w:rPr>
          <w:rFonts w:ascii="Times New Roman" w:hAnsi="Times New Roman" w:cs="Times New Roman"/>
          <w:sz w:val="24"/>
          <w:szCs w:val="24"/>
        </w:rPr>
        <w:t>Sk</w:t>
      </w:r>
      <w:r w:rsidR="00D4520F">
        <w:rPr>
          <w:rFonts w:ascii="Times New Roman" w:hAnsi="Times New Roman" w:cs="Times New Roman"/>
          <w:sz w:val="24"/>
          <w:szCs w:val="24"/>
        </w:rPr>
        <w:t xml:space="preserve">, z toho </w:t>
      </w:r>
      <w:r w:rsidR="001E347E">
        <w:rPr>
          <w:rFonts w:ascii="Times New Roman" w:hAnsi="Times New Roman" w:cs="Times New Roman"/>
          <w:sz w:val="24"/>
          <w:szCs w:val="24"/>
        </w:rPr>
        <w:t>3</w:t>
      </w:r>
      <w:r w:rsidR="008C09C7">
        <w:rPr>
          <w:rFonts w:ascii="Times New Roman" w:hAnsi="Times New Roman" w:cs="Times New Roman"/>
          <w:sz w:val="24"/>
          <w:szCs w:val="24"/>
        </w:rPr>
        <w:t> 224 982</w:t>
      </w:r>
      <w:r w:rsidR="00D4520F">
        <w:rPr>
          <w:rFonts w:ascii="Times New Roman" w:hAnsi="Times New Roman" w:cs="Times New Roman"/>
          <w:sz w:val="24"/>
          <w:szCs w:val="24"/>
        </w:rPr>
        <w:t xml:space="preserve"> tis. Sk bolo určených na výstavbu ciest I. triedy a diaľničných privádzačov, </w:t>
      </w:r>
      <w:r w:rsidR="008C09C7">
        <w:rPr>
          <w:rFonts w:ascii="Times New Roman" w:hAnsi="Times New Roman" w:cs="Times New Roman"/>
          <w:sz w:val="24"/>
          <w:szCs w:val="24"/>
        </w:rPr>
        <w:t>z toho 588 982</w:t>
      </w:r>
      <w:r w:rsidR="001E347E">
        <w:rPr>
          <w:rFonts w:ascii="Times New Roman" w:hAnsi="Times New Roman" w:cs="Times New Roman"/>
          <w:sz w:val="24"/>
          <w:szCs w:val="24"/>
        </w:rPr>
        <w:t xml:space="preserve"> tis. Sk z fondu ERDF </w:t>
      </w:r>
      <w:r w:rsidR="00B27788">
        <w:rPr>
          <w:rFonts w:ascii="Times New Roman" w:hAnsi="Times New Roman" w:cs="Times New Roman"/>
          <w:sz w:val="24"/>
          <w:szCs w:val="24"/>
        </w:rPr>
        <w:t xml:space="preserve">(spolufinancovanie zo štát. </w:t>
      </w:r>
      <w:r w:rsidR="001E347E">
        <w:rPr>
          <w:rFonts w:ascii="Times New Roman" w:hAnsi="Times New Roman" w:cs="Times New Roman"/>
          <w:sz w:val="24"/>
          <w:szCs w:val="24"/>
        </w:rPr>
        <w:t>rozpočtu schválené nebolo)</w:t>
      </w:r>
      <w:r w:rsidR="00F72144">
        <w:rPr>
          <w:rFonts w:ascii="Times New Roman" w:hAnsi="Times New Roman" w:cs="Times New Roman"/>
          <w:sz w:val="24"/>
          <w:szCs w:val="24"/>
        </w:rPr>
        <w:t xml:space="preserve"> a 19 000 tis. </w:t>
      </w:r>
      <w:r w:rsidR="00F54F0B">
        <w:rPr>
          <w:rFonts w:ascii="Times New Roman" w:hAnsi="Times New Roman" w:cs="Times New Roman"/>
          <w:sz w:val="24"/>
          <w:szCs w:val="24"/>
        </w:rPr>
        <w:t xml:space="preserve">Sk predstavovali výdavky na medzirezortný podprogram 06E01 – MDPT SR – Dopravná a telekomunikačná podpora. </w:t>
      </w:r>
      <w:r w:rsidR="001E347E">
        <w:rPr>
          <w:rFonts w:ascii="Times New Roman" w:hAnsi="Times New Roman" w:cs="Times New Roman"/>
          <w:sz w:val="24"/>
          <w:szCs w:val="24"/>
        </w:rPr>
        <w:t xml:space="preserve">Na údržbu a opravy ciest I. triedy a diaľničných privádzačov bolo určených </w:t>
      </w:r>
      <w:r w:rsidR="00D4520F">
        <w:rPr>
          <w:rFonts w:ascii="Times New Roman" w:hAnsi="Times New Roman" w:cs="Times New Roman"/>
          <w:sz w:val="24"/>
          <w:szCs w:val="24"/>
        </w:rPr>
        <w:t>1 030</w:t>
      </w:r>
      <w:r w:rsidR="00D4520F">
        <w:rPr>
          <w:rFonts w:ascii="Times New Roman" w:hAnsi="Times New Roman" w:cs="Times New Roman"/>
          <w:sz w:val="24"/>
          <w:szCs w:val="24"/>
        </w:rPr>
        <w:t xml:space="preserve"> 000 tis. </w:t>
      </w:r>
      <w:r w:rsidR="00F72144">
        <w:rPr>
          <w:rFonts w:ascii="Times New Roman" w:hAnsi="Times New Roman" w:cs="Times New Roman"/>
          <w:sz w:val="24"/>
          <w:szCs w:val="24"/>
        </w:rPr>
        <w:t xml:space="preserve">Sk </w:t>
      </w:r>
      <w:r w:rsidR="001E347E">
        <w:rPr>
          <w:rFonts w:ascii="Times New Roman" w:hAnsi="Times New Roman" w:cs="Times New Roman"/>
          <w:sz w:val="24"/>
          <w:szCs w:val="24"/>
        </w:rPr>
        <w:t>a</w:t>
      </w:r>
      <w:r w:rsidR="00B27788">
        <w:rPr>
          <w:rFonts w:ascii="Times New Roman" w:hAnsi="Times New Roman" w:cs="Times New Roman"/>
          <w:sz w:val="24"/>
          <w:szCs w:val="24"/>
        </w:rPr>
        <w:t xml:space="preserve"> na </w:t>
      </w:r>
      <w:r w:rsidR="00D4520F">
        <w:rPr>
          <w:rFonts w:ascii="Times New Roman" w:hAnsi="Times New Roman" w:cs="Times New Roman"/>
          <w:sz w:val="24"/>
          <w:szCs w:val="24"/>
        </w:rPr>
        <w:t>chod organizácie</w:t>
      </w:r>
      <w:r w:rsidR="001E347E">
        <w:rPr>
          <w:rFonts w:ascii="Times New Roman" w:hAnsi="Times New Roman" w:cs="Times New Roman"/>
          <w:sz w:val="24"/>
          <w:szCs w:val="24"/>
        </w:rPr>
        <w:t xml:space="preserve"> 152 632 tis. Sk</w:t>
      </w:r>
      <w:r w:rsidR="00D4520F">
        <w:rPr>
          <w:rFonts w:ascii="Times New Roman" w:hAnsi="Times New Roman" w:cs="Times New Roman"/>
          <w:sz w:val="24"/>
          <w:szCs w:val="24"/>
        </w:rPr>
        <w:t xml:space="preserve">. </w:t>
      </w:r>
    </w:p>
    <w:p w:rsidR="00C34272" w:rsidP="00AE3AF3">
      <w:pPr>
        <w:spacing w:line="240" w:lineRule="auto"/>
        <w:ind w:firstLine="708"/>
        <w:rPr>
          <w:rFonts w:ascii="Times New Roman" w:hAnsi="Times New Roman" w:cs="Times New Roman"/>
          <w:sz w:val="24"/>
          <w:szCs w:val="24"/>
        </w:rPr>
      </w:pPr>
    </w:p>
    <w:p w:rsidR="003F6DCF" w:rsidP="00C34272">
      <w:pPr>
        <w:spacing w:line="240" w:lineRule="auto"/>
        <w:ind w:firstLine="708"/>
        <w:rPr>
          <w:rFonts w:ascii="Times New Roman" w:hAnsi="Times New Roman" w:cs="Times New Roman"/>
          <w:sz w:val="24"/>
          <w:szCs w:val="24"/>
        </w:rPr>
      </w:pPr>
      <w:r w:rsidR="001E347E">
        <w:rPr>
          <w:rFonts w:ascii="Times New Roman" w:hAnsi="Times New Roman" w:cs="Times New Roman"/>
          <w:sz w:val="24"/>
          <w:szCs w:val="24"/>
        </w:rPr>
        <w:t>V roku 2007 bol</w:t>
      </w:r>
      <w:r w:rsidR="00C34272">
        <w:rPr>
          <w:rFonts w:ascii="Times New Roman" w:hAnsi="Times New Roman" w:cs="Times New Roman"/>
          <w:sz w:val="24"/>
          <w:szCs w:val="24"/>
        </w:rPr>
        <w:t xml:space="preserve">i niektoré projekty SSC </w:t>
      </w:r>
      <w:r w:rsidR="001E347E">
        <w:rPr>
          <w:rFonts w:ascii="Times New Roman" w:hAnsi="Times New Roman" w:cs="Times New Roman"/>
          <w:sz w:val="24"/>
          <w:szCs w:val="24"/>
        </w:rPr>
        <w:t xml:space="preserve">realizované z rozpočtu </w:t>
      </w:r>
      <w:r w:rsidR="00C34272">
        <w:rPr>
          <w:rFonts w:ascii="Times New Roman" w:hAnsi="Times New Roman" w:cs="Times New Roman"/>
          <w:sz w:val="24"/>
          <w:szCs w:val="24"/>
        </w:rPr>
        <w:t xml:space="preserve">EÚ. </w:t>
      </w:r>
      <w:r w:rsidR="00AA60D9">
        <w:rPr>
          <w:rFonts w:ascii="Times New Roman" w:hAnsi="Times New Roman" w:cs="Times New Roman"/>
          <w:sz w:val="24"/>
          <w:szCs w:val="24"/>
        </w:rPr>
        <w:t>Oproti roku 2006 ešte mierne vzrástli výdavky na údržbu a opravy ciest I. triedy a diaľničných privádzačov cca o 50 mil. Sk a klesli zdroje na chod organizácie o cca 10 mil. Sk, a to z dôvodu zníženia kapitálových výdavkov</w:t>
      </w:r>
      <w:r w:rsidR="00B90831">
        <w:rPr>
          <w:rFonts w:ascii="Times New Roman" w:hAnsi="Times New Roman" w:cs="Times New Roman"/>
          <w:sz w:val="24"/>
          <w:szCs w:val="24"/>
        </w:rPr>
        <w:t xml:space="preserve"> ústredia SSC (v 2006 boli </w:t>
      </w:r>
      <w:r w:rsidR="00AA60D9">
        <w:rPr>
          <w:rFonts w:ascii="Times New Roman" w:hAnsi="Times New Roman" w:cs="Times New Roman"/>
          <w:sz w:val="24"/>
          <w:szCs w:val="24"/>
        </w:rPr>
        <w:t>realizované jednorazové investičné akcie – obnova motorových vozidiel a</w:t>
      </w:r>
      <w:r w:rsidR="00F72144">
        <w:rPr>
          <w:rFonts w:ascii="Times New Roman" w:hAnsi="Times New Roman" w:cs="Times New Roman"/>
          <w:sz w:val="24"/>
          <w:szCs w:val="24"/>
        </w:rPr>
        <w:t xml:space="preserve"> rekonštrukcia admin. </w:t>
      </w:r>
      <w:r w:rsidR="00AA60D9">
        <w:rPr>
          <w:rFonts w:ascii="Times New Roman" w:hAnsi="Times New Roman" w:cs="Times New Roman"/>
          <w:sz w:val="24"/>
          <w:szCs w:val="24"/>
        </w:rPr>
        <w:t xml:space="preserve">budovy na </w:t>
      </w:r>
      <w:r w:rsidR="00B90831">
        <w:rPr>
          <w:rFonts w:ascii="Times New Roman" w:hAnsi="Times New Roman" w:cs="Times New Roman"/>
          <w:sz w:val="24"/>
          <w:szCs w:val="24"/>
        </w:rPr>
        <w:t xml:space="preserve">Miletičovej ulici v Bratislave. </w:t>
      </w:r>
      <w:r w:rsidR="00AA60D9">
        <w:rPr>
          <w:rFonts w:ascii="Times New Roman" w:hAnsi="Times New Roman" w:cs="Times New Roman"/>
          <w:sz w:val="24"/>
          <w:szCs w:val="24"/>
        </w:rPr>
        <w:t xml:space="preserve">  </w:t>
      </w:r>
    </w:p>
    <w:p w:rsidR="00B27788" w:rsidP="00C362EA">
      <w:pPr>
        <w:spacing w:line="240" w:lineRule="auto"/>
        <w:rPr>
          <w:rFonts w:ascii="Times New Roman" w:hAnsi="Times New Roman" w:cs="Times New Roman"/>
          <w:b/>
          <w:sz w:val="24"/>
          <w:szCs w:val="24"/>
        </w:rPr>
      </w:pPr>
    </w:p>
    <w:p w:rsidR="00C34272" w:rsidP="00C362EA">
      <w:pPr>
        <w:spacing w:line="240" w:lineRule="auto"/>
        <w:rPr>
          <w:rFonts w:ascii="Times New Roman" w:hAnsi="Times New Roman" w:cs="Times New Roman"/>
          <w:b/>
          <w:sz w:val="24"/>
          <w:szCs w:val="24"/>
        </w:rPr>
      </w:pPr>
    </w:p>
    <w:p w:rsidR="00BA18D4" w:rsidRPr="00BA18D4" w:rsidP="00C362EA">
      <w:pPr>
        <w:spacing w:line="240" w:lineRule="auto"/>
        <w:rPr>
          <w:rFonts w:ascii="Times New Roman" w:hAnsi="Times New Roman" w:cs="Times New Roman"/>
          <w:b/>
          <w:sz w:val="24"/>
          <w:szCs w:val="24"/>
        </w:rPr>
      </w:pPr>
      <w:r w:rsidRPr="007D0A26" w:rsidR="007D0A26">
        <w:rPr>
          <w:rFonts w:ascii="Times New Roman" w:hAnsi="Times New Roman" w:cs="Times New Roman"/>
          <w:b/>
          <w:sz w:val="24"/>
          <w:szCs w:val="24"/>
        </w:rPr>
        <w:t xml:space="preserve">FK </w:t>
      </w:r>
      <w:r w:rsidRPr="007D0A26" w:rsidR="007D0A26">
        <w:rPr>
          <w:rFonts w:ascii="Times New Roman" w:hAnsi="Times New Roman" w:cs="Times New Roman"/>
          <w:b/>
          <w:sz w:val="24"/>
          <w:szCs w:val="24"/>
        </w:rPr>
        <w:t>04.5.1.2</w:t>
      </w:r>
      <w:r w:rsidR="007D0A26">
        <w:rPr>
          <w:rFonts w:ascii="Times New Roman" w:hAnsi="Times New Roman" w:cs="Times New Roman"/>
          <w:b/>
          <w:sz w:val="24"/>
          <w:szCs w:val="24"/>
        </w:rPr>
        <w:t xml:space="preserve"> – Údržba, opravy a výstavba ciest I. triedy a diaľničných privádzačov  </w:t>
      </w:r>
      <w:r w:rsidRPr="007D0A26" w:rsidR="007D0A26">
        <w:rPr>
          <w:rFonts w:ascii="Times New Roman" w:hAnsi="Times New Roman" w:cs="Times New Roman"/>
          <w:b/>
          <w:sz w:val="24"/>
          <w:szCs w:val="24"/>
        </w:rPr>
        <w:t xml:space="preserve">  </w:t>
      </w:r>
    </w:p>
    <w:p w:rsidR="00BA18D4" w:rsidP="00C362EA">
      <w:pPr>
        <w:spacing w:line="240" w:lineRule="auto"/>
        <w:rPr>
          <w:rFonts w:ascii="Times New Roman" w:hAnsi="Times New Roman" w:cs="Times New Roman"/>
          <w:sz w:val="24"/>
          <w:szCs w:val="24"/>
        </w:rPr>
      </w:pPr>
    </w:p>
    <w:p w:rsidR="009A52FB" w:rsidP="00C362EA">
      <w:pPr>
        <w:spacing w:line="240" w:lineRule="auto"/>
        <w:rPr>
          <w:rFonts w:ascii="Times New Roman" w:hAnsi="Times New Roman" w:cs="Times New Roman"/>
          <w:sz w:val="24"/>
          <w:szCs w:val="24"/>
        </w:rPr>
      </w:pPr>
      <w:r w:rsidRPr="00DC7250" w:rsidR="004956FE">
        <w:rPr>
          <w:rFonts w:ascii="Times New Roman" w:hAnsi="Times New Roman" w:cs="Times New Roman"/>
          <w:sz w:val="24"/>
          <w:szCs w:val="24"/>
        </w:rPr>
        <w:t xml:space="preserve">Podprogram 05301 – Správa, údržba a opravy ciest a diaľnic </w:t>
      </w:r>
    </w:p>
    <w:p w:rsidR="008254A6" w:rsidP="00C362EA">
      <w:pPr>
        <w:spacing w:line="240" w:lineRule="auto"/>
        <w:rPr>
          <w:rFonts w:ascii="Times New Roman" w:hAnsi="Times New Roman" w:cs="Times New Roman"/>
          <w:sz w:val="24"/>
          <w:szCs w:val="24"/>
        </w:rPr>
      </w:pPr>
      <w:r w:rsidRPr="007D0A26" w:rsidR="004956FE">
        <w:rPr>
          <w:rFonts w:ascii="Times New Roman" w:hAnsi="Times New Roman" w:cs="Times New Roman"/>
          <w:sz w:val="24"/>
          <w:szCs w:val="24"/>
        </w:rPr>
        <w:t xml:space="preserve">Prvok 0530101 – Správa, údržba a opravy ciest I. triedy a diaľničných privádzačov </w:t>
      </w:r>
    </w:p>
    <w:p w:rsidR="00B27788" w:rsidP="00C362EA">
      <w:pPr>
        <w:spacing w:line="240" w:lineRule="auto"/>
        <w:rPr>
          <w:rFonts w:ascii="Times New Roman" w:hAnsi="Times New Roman" w:cs="Times New Roman"/>
          <w:sz w:val="24"/>
          <w:szCs w:val="24"/>
        </w:rPr>
      </w:pPr>
    </w:p>
    <w:p w:rsidR="00D04D46" w:rsidRPr="00D04D46" w:rsidP="00C362EA">
      <w:pPr>
        <w:spacing w:line="240" w:lineRule="auto"/>
        <w:rPr>
          <w:rFonts w:ascii="Arial Narrow" w:hAnsi="Arial Narrow" w:cs="Times New Roman"/>
        </w:rPr>
      </w:pPr>
      <w:r w:rsidR="002E5583">
        <w:rPr>
          <w:rFonts w:ascii="Arial Narrow" w:hAnsi="Arial Narrow" w:cs="Times New Roman"/>
        </w:rPr>
        <w:t xml:space="preserve">                        </w:t>
      </w:r>
      <w:r w:rsidRPr="00D04D46">
        <w:rPr>
          <w:rFonts w:ascii="Arial Narrow" w:hAnsi="Arial Narrow" w:cs="Times New Roman"/>
        </w:rPr>
        <w:t xml:space="preserve">    </w:t>
      </w:r>
      <w:r w:rsidRPr="00D04D46">
        <w:rPr>
          <w:rFonts w:ascii="Arial Narrow" w:hAnsi="Arial Narrow" w:cs="Times New Roman"/>
        </w:rPr>
        <w:t xml:space="preserve"> </w:t>
      </w:r>
      <w:r w:rsidR="00D15932">
        <w:rPr>
          <w:rFonts w:ascii="Arial Narrow" w:hAnsi="Arial Narrow" w:cs="Times New Roman"/>
        </w:rPr>
        <w:t xml:space="preserve">  </w:t>
      </w:r>
      <w:r w:rsidRPr="00D04D46">
        <w:rPr>
          <w:rFonts w:ascii="Arial Narrow" w:hAnsi="Arial Narrow" w:cs="Times New Roman"/>
        </w:rPr>
        <w:t xml:space="preserve">                                                                                                                       </w:t>
      </w:r>
      <w:r>
        <w:rPr>
          <w:rFonts w:ascii="Arial Narrow" w:hAnsi="Arial Narrow" w:cs="Times New Roman"/>
        </w:rPr>
        <w:t xml:space="preserve">                     </w:t>
      </w:r>
      <w:r w:rsidR="00CC3689">
        <w:rPr>
          <w:rFonts w:ascii="Arial Narrow" w:hAnsi="Arial Narrow" w:cs="Times New Roman"/>
        </w:rPr>
        <w:t xml:space="preserve">                </w:t>
      </w:r>
      <w:r w:rsidRPr="00D04D46">
        <w:rPr>
          <w:rFonts w:ascii="Arial Narrow" w:hAnsi="Arial Narrow" w:cs="Times New Roman"/>
        </w:rPr>
        <w:t>(v Sk)</w:t>
      </w: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Grid>
        <w:gridCol w:w="3600"/>
        <w:gridCol w:w="1587"/>
        <w:gridCol w:w="1626"/>
        <w:gridCol w:w="1677"/>
        <w:gridCol w:w="1770"/>
      </w:tblGrid>
      <w:tr>
        <w:tblPrEx>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auto" w:val="0"/>
        </w:trPr>
        <w:tc>
          <w:tcPr>
            <w:tcW w:w="3600" w:type="dxa"/>
            <w:tcBorders>
              <w:top w:val="single" w:sz="4" w:space="0" w:color="auto"/>
              <w:left w:val="single" w:sz="4" w:space="0" w:color="auto"/>
              <w:bottom w:val="single" w:sz="4" w:space="0" w:color="auto"/>
              <w:right w:val="single" w:sz="4" w:space="0" w:color="auto"/>
              <w:tl2br w:val="nil"/>
              <w:tr2bl w:val="nil"/>
            </w:tcBorders>
            <w:shd w:val="clear" w:color="auto" w:fill="CCCCCC"/>
            <w:textDirection w:val="lrTb"/>
            <w:vAlign w:val="top"/>
          </w:tcPr>
          <w:p w:rsidR="006215C5" w:rsidRPr="00D04D46" w:rsidP="00C362EA">
            <w:pPr>
              <w:spacing w:line="240" w:lineRule="auto"/>
              <w:rPr>
                <w:rFonts w:ascii="Times New Roman" w:hAnsi="Times New Roman" w:cs="Times New Roman"/>
                <w:u w:val="single"/>
              </w:rPr>
            </w:pPr>
          </w:p>
        </w:tc>
        <w:tc>
          <w:tcPr>
            <w:tcW w:w="1587" w:type="dxa"/>
            <w:tcBorders>
              <w:top w:val="single" w:sz="4" w:space="0" w:color="auto"/>
              <w:left w:val="single" w:sz="4" w:space="0" w:color="auto"/>
              <w:bottom w:val="single" w:sz="4" w:space="0" w:color="auto"/>
              <w:right w:val="single" w:sz="4" w:space="0" w:color="auto"/>
              <w:tl2br w:val="nil"/>
              <w:tr2bl w:val="nil"/>
            </w:tcBorders>
            <w:shd w:val="clear" w:color="auto" w:fill="CCCCCC"/>
            <w:textDirection w:val="lrTb"/>
            <w:vAlign w:val="center"/>
          </w:tcPr>
          <w:p w:rsidR="006215C5" w:rsidRPr="00AA08DA" w:rsidP="00C362EA">
            <w:pPr>
              <w:spacing w:line="240" w:lineRule="auto"/>
              <w:jc w:val="center"/>
              <w:rPr>
                <w:rFonts w:ascii="Arial Narrow" w:hAnsi="Arial Narrow" w:cs="Times New Roman"/>
                <w:b/>
              </w:rPr>
            </w:pPr>
            <w:r w:rsidRPr="00AA08DA">
              <w:rPr>
                <w:rFonts w:ascii="Arial Narrow" w:hAnsi="Arial Narrow" w:cs="Times New Roman"/>
                <w:b/>
              </w:rPr>
              <w:t>Schválený rozpočet k</w:t>
            </w:r>
            <w:r>
              <w:rPr>
                <w:rFonts w:ascii="Arial Narrow" w:hAnsi="Arial Narrow" w:cs="Times New Roman"/>
                <w:b/>
              </w:rPr>
              <w:t> </w:t>
            </w:r>
            <w:r w:rsidRPr="00AA08DA">
              <w:rPr>
                <w:rFonts w:ascii="Arial Narrow" w:hAnsi="Arial Narrow" w:cs="Times New Roman"/>
                <w:b/>
              </w:rPr>
              <w:t>1.1.200</w:t>
            </w:r>
            <w:r>
              <w:rPr>
                <w:rFonts w:ascii="Arial Narrow" w:hAnsi="Arial Narrow" w:cs="Times New Roman"/>
                <w:b/>
              </w:rPr>
              <w:t>7</w:t>
            </w:r>
          </w:p>
        </w:tc>
        <w:tc>
          <w:tcPr>
            <w:tcW w:w="1626" w:type="dxa"/>
            <w:tcBorders>
              <w:top w:val="single" w:sz="4" w:space="0" w:color="auto"/>
              <w:left w:val="single" w:sz="4" w:space="0" w:color="auto"/>
              <w:bottom w:val="single" w:sz="4" w:space="0" w:color="auto"/>
              <w:right w:val="single" w:sz="4" w:space="0" w:color="auto"/>
              <w:tl2br w:val="nil"/>
              <w:tr2bl w:val="nil"/>
            </w:tcBorders>
            <w:shd w:val="clear" w:color="auto" w:fill="CCCCCC"/>
            <w:textDirection w:val="lrTb"/>
            <w:vAlign w:val="center"/>
          </w:tcPr>
          <w:p w:rsidR="006215C5" w:rsidRPr="00AA08DA" w:rsidP="00C362EA">
            <w:pPr>
              <w:spacing w:line="240" w:lineRule="auto"/>
              <w:jc w:val="center"/>
              <w:rPr>
                <w:rFonts w:ascii="Arial Narrow" w:hAnsi="Arial Narrow" w:cs="Times New Roman"/>
                <w:b/>
              </w:rPr>
            </w:pPr>
            <w:r w:rsidRPr="00AA08DA">
              <w:rPr>
                <w:rFonts w:ascii="Arial Narrow" w:hAnsi="Arial Narrow" w:cs="Times New Roman"/>
                <w:b/>
              </w:rPr>
              <w:t>Upravený rozpočet k 31.12.200</w:t>
            </w:r>
            <w:r>
              <w:rPr>
                <w:rFonts w:ascii="Arial Narrow" w:hAnsi="Arial Narrow" w:cs="Times New Roman"/>
                <w:b/>
              </w:rPr>
              <w:t>7</w:t>
            </w:r>
          </w:p>
        </w:tc>
        <w:tc>
          <w:tcPr>
            <w:tcW w:w="1677" w:type="dxa"/>
            <w:tcBorders>
              <w:top w:val="single" w:sz="4" w:space="0" w:color="auto"/>
              <w:left w:val="single" w:sz="4" w:space="0" w:color="auto"/>
              <w:bottom w:val="single" w:sz="4" w:space="0" w:color="auto"/>
              <w:right w:val="single" w:sz="4" w:space="0" w:color="auto"/>
              <w:tl2br w:val="nil"/>
              <w:tr2bl w:val="nil"/>
            </w:tcBorders>
            <w:shd w:val="clear" w:color="auto" w:fill="CCCCCC"/>
            <w:textDirection w:val="lrTb"/>
            <w:vAlign w:val="center"/>
          </w:tcPr>
          <w:p w:rsidR="006215C5" w:rsidRPr="00AA08DA" w:rsidP="00C362EA">
            <w:pPr>
              <w:spacing w:line="240" w:lineRule="auto"/>
              <w:jc w:val="center"/>
              <w:rPr>
                <w:rFonts w:ascii="Arial Narrow" w:hAnsi="Arial Narrow" w:cs="Times New Roman"/>
                <w:b/>
              </w:rPr>
            </w:pPr>
            <w:r w:rsidRPr="00AA08DA">
              <w:rPr>
                <w:rFonts w:ascii="Arial Narrow" w:hAnsi="Arial Narrow" w:cs="Times New Roman"/>
                <w:b/>
              </w:rPr>
              <w:t>Skutočné čerpanie k 31.12.20</w:t>
            </w:r>
            <w:r w:rsidRPr="00AA08DA">
              <w:rPr>
                <w:rFonts w:ascii="Arial Narrow" w:hAnsi="Arial Narrow" w:cs="Times New Roman"/>
                <w:b/>
              </w:rPr>
              <w:t>0</w:t>
            </w:r>
            <w:r>
              <w:rPr>
                <w:rFonts w:ascii="Arial Narrow" w:hAnsi="Arial Narrow" w:cs="Times New Roman"/>
                <w:b/>
              </w:rPr>
              <w:t>7</w:t>
            </w:r>
          </w:p>
        </w:tc>
        <w:tc>
          <w:tcPr>
            <w:tcW w:w="1770" w:type="dxa"/>
            <w:tcBorders>
              <w:top w:val="single" w:sz="4" w:space="0" w:color="auto"/>
              <w:left w:val="single" w:sz="4" w:space="0" w:color="auto"/>
              <w:bottom w:val="single" w:sz="4" w:space="0" w:color="auto"/>
              <w:right w:val="single" w:sz="4" w:space="0" w:color="auto"/>
              <w:tl2br w:val="nil"/>
              <w:tr2bl w:val="nil"/>
            </w:tcBorders>
            <w:shd w:val="clear" w:color="auto" w:fill="CCCCCC"/>
            <w:textDirection w:val="lrTb"/>
            <w:vAlign w:val="center"/>
          </w:tcPr>
          <w:p w:rsidR="006215C5" w:rsidRPr="00AA08DA" w:rsidP="00C362EA">
            <w:pPr>
              <w:spacing w:line="240" w:lineRule="auto"/>
              <w:jc w:val="center"/>
              <w:rPr>
                <w:rFonts w:ascii="Arial Narrow" w:hAnsi="Arial Narrow" w:cs="Times New Roman"/>
                <w:b/>
              </w:rPr>
            </w:pPr>
            <w:r w:rsidR="006653FD">
              <w:rPr>
                <w:rFonts w:ascii="Arial Narrow" w:hAnsi="Arial Narrow" w:cs="Times New Roman"/>
                <w:b/>
              </w:rPr>
              <w:t>Rozdiel</w:t>
            </w:r>
          </w:p>
        </w:tc>
      </w:tr>
      <w:tr>
        <w:tblPrEx>
          <w:tblW w:w="10260" w:type="dxa"/>
          <w:tblInd w:w="-432" w:type="dxa"/>
        </w:tblPrEx>
        <w:trPr>
          <w:trHeight w:hRule="auto" w:val="0"/>
        </w:trPr>
        <w:tc>
          <w:tcPr>
            <w:tcW w:w="360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6215C5" w:rsidRPr="00D04D46" w:rsidP="00C362EA">
            <w:pPr>
              <w:spacing w:line="240" w:lineRule="auto"/>
              <w:rPr>
                <w:rFonts w:ascii="Arial Narrow" w:hAnsi="Arial Narrow" w:cs="Times New Roman"/>
              </w:rPr>
            </w:pPr>
            <w:r w:rsidRPr="00D04D46">
              <w:rPr>
                <w:rFonts w:ascii="Arial Narrow" w:hAnsi="Arial Narrow" w:cs="Times New Roman"/>
              </w:rPr>
              <w:t>Bežné výdavky (630) na údržbu</w:t>
            </w:r>
            <w:r>
              <w:rPr>
                <w:rFonts w:ascii="Arial Narrow" w:hAnsi="Arial Narrow" w:cs="Times New Roman"/>
              </w:rPr>
              <w:t xml:space="preserve"> </w:t>
            </w:r>
            <w:r w:rsidRPr="00D04D46">
              <w:rPr>
                <w:rFonts w:ascii="Arial Narrow" w:hAnsi="Arial Narrow" w:cs="Times New Roman"/>
              </w:rPr>
              <w:t>a opravy ciest I. tr</w:t>
            </w:r>
            <w:r>
              <w:rPr>
                <w:rFonts w:ascii="Arial Narrow" w:hAnsi="Arial Narrow" w:cs="Times New Roman"/>
              </w:rPr>
              <w:t xml:space="preserve">iedy </w:t>
            </w:r>
            <w:r w:rsidRPr="00D04D46">
              <w:rPr>
                <w:rFonts w:ascii="Arial Narrow" w:hAnsi="Arial Narrow" w:cs="Times New Roman"/>
              </w:rPr>
              <w:t>a diaľničných privádzačov</w:t>
            </w:r>
          </w:p>
        </w:tc>
        <w:tc>
          <w:tcPr>
            <w:tcW w:w="1587"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6215C5" w:rsidRPr="00D04D46" w:rsidP="00C362EA">
            <w:pPr>
              <w:spacing w:line="240" w:lineRule="auto"/>
              <w:jc w:val="right"/>
              <w:rPr>
                <w:rFonts w:ascii="Arial Narrow" w:hAnsi="Arial Narrow" w:cs="Times New Roman"/>
              </w:rPr>
            </w:pPr>
            <w:r>
              <w:rPr>
                <w:rFonts w:ascii="Arial Narrow" w:hAnsi="Arial Narrow" w:cs="Times New Roman"/>
              </w:rPr>
              <w:t>1 030 000,00</w:t>
            </w:r>
          </w:p>
        </w:tc>
        <w:tc>
          <w:tcPr>
            <w:tcW w:w="1626"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6215C5" w:rsidRPr="00D04D46" w:rsidP="00C362EA">
            <w:pPr>
              <w:spacing w:line="240" w:lineRule="auto"/>
              <w:jc w:val="right"/>
              <w:rPr>
                <w:rFonts w:ascii="Arial Narrow" w:hAnsi="Arial Narrow" w:cs="Times New Roman"/>
              </w:rPr>
            </w:pPr>
            <w:r>
              <w:rPr>
                <w:rFonts w:ascii="Arial Narrow" w:hAnsi="Arial Narrow" w:cs="Times New Roman"/>
              </w:rPr>
              <w:t>1 081 000 000,00</w:t>
            </w:r>
          </w:p>
        </w:tc>
        <w:tc>
          <w:tcPr>
            <w:tcW w:w="1677"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6215C5" w:rsidRPr="0078647F" w:rsidP="00C362EA">
            <w:pPr>
              <w:spacing w:line="240" w:lineRule="auto"/>
              <w:jc w:val="right"/>
              <w:rPr>
                <w:rFonts w:ascii="Arial Narrow" w:hAnsi="Arial Narrow" w:cs="Times New Roman"/>
              </w:rPr>
            </w:pPr>
            <w:r>
              <w:rPr>
                <w:rFonts w:ascii="Arial Narrow" w:hAnsi="Arial Narrow" w:cs="Times New Roman"/>
              </w:rPr>
              <w:t>1 081 000 000,00</w:t>
            </w:r>
          </w:p>
        </w:tc>
        <w:tc>
          <w:tcPr>
            <w:tcW w:w="177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6215C5" w:rsidP="00C362EA">
            <w:pPr>
              <w:spacing w:line="240" w:lineRule="auto"/>
              <w:jc w:val="right"/>
              <w:rPr>
                <w:rFonts w:ascii="Arial Narrow" w:hAnsi="Arial Narrow" w:cs="Times New Roman"/>
              </w:rPr>
            </w:pPr>
            <w:r>
              <w:rPr>
                <w:rFonts w:ascii="Arial Narrow" w:hAnsi="Arial Narrow" w:cs="Times New Roman"/>
              </w:rPr>
              <w:t>0,00</w:t>
            </w:r>
          </w:p>
        </w:tc>
      </w:tr>
    </w:tbl>
    <w:p w:rsidR="003F6DCF" w:rsidP="00C362EA">
      <w:pPr>
        <w:spacing w:line="240" w:lineRule="auto"/>
        <w:rPr>
          <w:rFonts w:ascii="Times New Roman" w:hAnsi="Times New Roman" w:cs="Times New Roman"/>
          <w:sz w:val="24"/>
          <w:szCs w:val="24"/>
        </w:rPr>
      </w:pPr>
    </w:p>
    <w:p w:rsidR="009A52FB" w:rsidP="00C362EA">
      <w:pPr>
        <w:spacing w:line="240" w:lineRule="auto"/>
        <w:rPr>
          <w:rFonts w:ascii="Times New Roman" w:hAnsi="Times New Roman" w:cs="Times New Roman"/>
          <w:sz w:val="24"/>
          <w:szCs w:val="24"/>
        </w:rPr>
      </w:pPr>
      <w:r w:rsidRPr="00DC7250" w:rsidR="007D0A26">
        <w:rPr>
          <w:rFonts w:ascii="Times New Roman" w:hAnsi="Times New Roman" w:cs="Times New Roman"/>
          <w:sz w:val="24"/>
          <w:szCs w:val="24"/>
        </w:rPr>
        <w:t xml:space="preserve">Podprogram 05302 – Cestná sieť – výstavba a obnova </w:t>
      </w:r>
      <w:r w:rsidR="00AE3AF3">
        <w:rPr>
          <w:rFonts w:ascii="Times New Roman" w:hAnsi="Times New Roman" w:cs="Times New Roman"/>
          <w:sz w:val="24"/>
          <w:szCs w:val="24"/>
        </w:rPr>
        <w:t>a</w:t>
      </w:r>
    </w:p>
    <w:p w:rsidR="00AE3AF3" w:rsidP="00C362EA">
      <w:pPr>
        <w:spacing w:line="240" w:lineRule="auto"/>
        <w:rPr>
          <w:rFonts w:ascii="Times New Roman" w:hAnsi="Times New Roman" w:cs="Times New Roman"/>
          <w:sz w:val="24"/>
          <w:szCs w:val="24"/>
        </w:rPr>
      </w:pPr>
      <w:r w:rsidRPr="002B4892" w:rsidR="002B4892">
        <w:rPr>
          <w:rFonts w:ascii="Times New Roman" w:hAnsi="Times New Roman" w:cs="Times New Roman"/>
          <w:sz w:val="24"/>
          <w:szCs w:val="24"/>
        </w:rPr>
        <w:t xml:space="preserve">Medzirezortný podprogram </w:t>
      </w:r>
      <w:r w:rsidR="002B4892">
        <w:rPr>
          <w:rFonts w:ascii="Times New Roman" w:hAnsi="Times New Roman" w:cs="Times New Roman"/>
          <w:sz w:val="24"/>
          <w:szCs w:val="24"/>
        </w:rPr>
        <w:t xml:space="preserve">06E01 – </w:t>
      </w:r>
      <w:r w:rsidRPr="002B4892" w:rsidR="002B4892">
        <w:rPr>
          <w:rFonts w:ascii="Times New Roman" w:hAnsi="Times New Roman" w:cs="Times New Roman"/>
          <w:sz w:val="24"/>
          <w:szCs w:val="24"/>
        </w:rPr>
        <w:t xml:space="preserve">MDPT </w:t>
      </w:r>
      <w:r w:rsidR="002B4892">
        <w:rPr>
          <w:rFonts w:ascii="Times New Roman" w:hAnsi="Times New Roman" w:cs="Times New Roman"/>
          <w:sz w:val="24"/>
          <w:szCs w:val="24"/>
        </w:rPr>
        <w:t xml:space="preserve">SR – Dopravná a telekomunikačná </w:t>
      </w:r>
      <w:r w:rsidRPr="002B4892" w:rsidR="002B4892">
        <w:rPr>
          <w:rFonts w:ascii="Times New Roman" w:hAnsi="Times New Roman" w:cs="Times New Roman"/>
          <w:sz w:val="24"/>
          <w:szCs w:val="24"/>
        </w:rPr>
        <w:t>podpora</w:t>
      </w:r>
    </w:p>
    <w:p w:rsidR="00B27788" w:rsidP="00C362EA">
      <w:pPr>
        <w:spacing w:line="240" w:lineRule="auto"/>
        <w:rPr>
          <w:rFonts w:ascii="Times New Roman" w:hAnsi="Times New Roman" w:cs="Times New Roman"/>
          <w:sz w:val="24"/>
          <w:szCs w:val="24"/>
        </w:rPr>
      </w:pPr>
    </w:p>
    <w:p w:rsidR="002B4892" w:rsidRPr="002B4892" w:rsidP="00C362EA">
      <w:pPr>
        <w:spacing w:line="240" w:lineRule="auto"/>
        <w:rPr>
          <w:rFonts w:ascii="Arial Narrow" w:hAnsi="Arial Narrow" w:cs="Times New Roman"/>
        </w:rPr>
      </w:pPr>
      <w:r w:rsidRPr="002B4892" w:rsidR="002E5583">
        <w:rPr>
          <w:rFonts w:ascii="Times New Roman" w:hAnsi="Times New Roman" w:cs="Times New Roman"/>
          <w:sz w:val="24"/>
          <w:szCs w:val="24"/>
        </w:rPr>
        <w:t xml:space="preserve">                      </w:t>
      </w:r>
      <w:r w:rsidRPr="002B4892" w:rsidR="00D04D4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04D46" w:rsidR="00D04D46">
        <w:rPr>
          <w:rFonts w:ascii="Arial Narrow" w:hAnsi="Arial Narrow" w:cs="Times New Roman"/>
        </w:rPr>
        <w:t>(v Sk)</w:t>
      </w: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Grid>
        <w:gridCol w:w="3600"/>
        <w:gridCol w:w="1687"/>
        <w:gridCol w:w="1687"/>
        <w:gridCol w:w="1733"/>
        <w:gridCol w:w="1553"/>
      </w:tblGrid>
      <w:tr>
        <w:tblPrEx>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auto" w:val="0"/>
        </w:trPr>
        <w:tc>
          <w:tcPr>
            <w:tcW w:w="3600" w:type="dxa"/>
            <w:tcBorders>
              <w:top w:val="single" w:sz="4" w:space="0" w:color="auto"/>
              <w:left w:val="single" w:sz="4" w:space="0" w:color="auto"/>
              <w:bottom w:val="single" w:sz="4" w:space="0" w:color="auto"/>
              <w:right w:val="single" w:sz="4" w:space="0" w:color="auto"/>
              <w:tl2br w:val="nil"/>
              <w:tr2bl w:val="nil"/>
            </w:tcBorders>
            <w:shd w:val="clear" w:color="auto" w:fill="CCCCCC"/>
            <w:textDirection w:val="lrTb"/>
            <w:vAlign w:val="top"/>
          </w:tcPr>
          <w:p w:rsidR="006215C5" w:rsidRPr="00D04D46" w:rsidP="00C362EA">
            <w:pPr>
              <w:spacing w:line="240" w:lineRule="auto"/>
              <w:rPr>
                <w:rFonts w:ascii="Times New Roman" w:hAnsi="Times New Roman" w:cs="Times New Roman"/>
                <w:u w:val="single"/>
              </w:rPr>
            </w:pPr>
          </w:p>
        </w:tc>
        <w:tc>
          <w:tcPr>
            <w:tcW w:w="1687" w:type="dxa"/>
            <w:tcBorders>
              <w:top w:val="single" w:sz="4" w:space="0" w:color="auto"/>
              <w:left w:val="single" w:sz="4" w:space="0" w:color="auto"/>
              <w:bottom w:val="single" w:sz="4" w:space="0" w:color="auto"/>
              <w:right w:val="single" w:sz="4" w:space="0" w:color="auto"/>
              <w:tl2br w:val="nil"/>
              <w:tr2bl w:val="nil"/>
            </w:tcBorders>
            <w:shd w:val="clear" w:color="auto" w:fill="CCCCCC"/>
            <w:textDirection w:val="lrTb"/>
            <w:vAlign w:val="center"/>
          </w:tcPr>
          <w:p w:rsidR="006215C5" w:rsidRPr="00AA08DA" w:rsidP="00C362EA">
            <w:pPr>
              <w:spacing w:line="240" w:lineRule="auto"/>
              <w:jc w:val="center"/>
              <w:rPr>
                <w:rFonts w:ascii="Arial Narrow" w:hAnsi="Arial Narrow" w:cs="Times New Roman"/>
                <w:b/>
              </w:rPr>
            </w:pPr>
            <w:r w:rsidRPr="00AA08DA">
              <w:rPr>
                <w:rFonts w:ascii="Arial Narrow" w:hAnsi="Arial Narrow" w:cs="Times New Roman"/>
                <w:b/>
              </w:rPr>
              <w:t>Schválený rozpočet k</w:t>
            </w:r>
            <w:r>
              <w:rPr>
                <w:rFonts w:ascii="Arial Narrow" w:hAnsi="Arial Narrow" w:cs="Times New Roman"/>
                <w:b/>
              </w:rPr>
              <w:t> </w:t>
            </w:r>
            <w:r w:rsidRPr="00AA08DA">
              <w:rPr>
                <w:rFonts w:ascii="Arial Narrow" w:hAnsi="Arial Narrow" w:cs="Times New Roman"/>
                <w:b/>
              </w:rPr>
              <w:t>1.1.200</w:t>
            </w:r>
            <w:r>
              <w:rPr>
                <w:rFonts w:ascii="Arial Narrow" w:hAnsi="Arial Narrow" w:cs="Times New Roman"/>
                <w:b/>
              </w:rPr>
              <w:t>7</w:t>
            </w:r>
          </w:p>
        </w:tc>
        <w:tc>
          <w:tcPr>
            <w:tcW w:w="1687" w:type="dxa"/>
            <w:tcBorders>
              <w:top w:val="single" w:sz="4" w:space="0" w:color="auto"/>
              <w:left w:val="single" w:sz="4" w:space="0" w:color="auto"/>
              <w:bottom w:val="single" w:sz="4" w:space="0" w:color="auto"/>
              <w:right w:val="single" w:sz="4" w:space="0" w:color="auto"/>
              <w:tl2br w:val="nil"/>
              <w:tr2bl w:val="nil"/>
            </w:tcBorders>
            <w:shd w:val="clear" w:color="auto" w:fill="CCCCCC"/>
            <w:textDirection w:val="lrTb"/>
            <w:vAlign w:val="center"/>
          </w:tcPr>
          <w:p w:rsidR="006215C5" w:rsidRPr="00AA08DA" w:rsidP="00C362EA">
            <w:pPr>
              <w:spacing w:line="240" w:lineRule="auto"/>
              <w:jc w:val="center"/>
              <w:rPr>
                <w:rFonts w:ascii="Arial Narrow" w:hAnsi="Arial Narrow" w:cs="Times New Roman"/>
                <w:b/>
              </w:rPr>
            </w:pPr>
            <w:r w:rsidRPr="00AA08DA">
              <w:rPr>
                <w:rFonts w:ascii="Arial Narrow" w:hAnsi="Arial Narrow" w:cs="Times New Roman"/>
                <w:b/>
              </w:rPr>
              <w:t>Upravený rozpočet k 31.12.200</w:t>
            </w:r>
            <w:r>
              <w:rPr>
                <w:rFonts w:ascii="Arial Narrow" w:hAnsi="Arial Narrow" w:cs="Times New Roman"/>
                <w:b/>
              </w:rPr>
              <w:t>7</w:t>
            </w:r>
          </w:p>
        </w:tc>
        <w:tc>
          <w:tcPr>
            <w:tcW w:w="1733" w:type="dxa"/>
            <w:tcBorders>
              <w:top w:val="single" w:sz="4" w:space="0" w:color="auto"/>
              <w:left w:val="single" w:sz="4" w:space="0" w:color="auto"/>
              <w:bottom w:val="single" w:sz="4" w:space="0" w:color="auto"/>
              <w:right w:val="single" w:sz="4" w:space="0" w:color="auto"/>
              <w:tl2br w:val="nil"/>
              <w:tr2bl w:val="nil"/>
            </w:tcBorders>
            <w:shd w:val="clear" w:color="auto" w:fill="CCCCCC"/>
            <w:textDirection w:val="lrTb"/>
            <w:vAlign w:val="center"/>
          </w:tcPr>
          <w:p w:rsidR="006215C5" w:rsidRPr="00AA08DA" w:rsidP="00C362EA">
            <w:pPr>
              <w:spacing w:line="240" w:lineRule="auto"/>
              <w:jc w:val="center"/>
              <w:rPr>
                <w:rFonts w:ascii="Arial Narrow" w:hAnsi="Arial Narrow" w:cs="Times New Roman"/>
                <w:b/>
              </w:rPr>
            </w:pPr>
            <w:r w:rsidRPr="00AA08DA">
              <w:rPr>
                <w:rFonts w:ascii="Arial Narrow" w:hAnsi="Arial Narrow" w:cs="Times New Roman"/>
                <w:b/>
              </w:rPr>
              <w:t>Skutočné čerpanie k 31</w:t>
            </w:r>
            <w:r w:rsidRPr="00AA08DA">
              <w:rPr>
                <w:rFonts w:ascii="Arial Narrow" w:hAnsi="Arial Narrow" w:cs="Times New Roman"/>
                <w:b/>
              </w:rPr>
              <w:t>.12.200</w:t>
            </w:r>
            <w:r>
              <w:rPr>
                <w:rFonts w:ascii="Arial Narrow" w:hAnsi="Arial Narrow" w:cs="Times New Roman"/>
                <w:b/>
              </w:rPr>
              <w:t>7</w:t>
            </w:r>
          </w:p>
        </w:tc>
        <w:tc>
          <w:tcPr>
            <w:tcW w:w="1553" w:type="dxa"/>
            <w:tcBorders>
              <w:top w:val="single" w:sz="4" w:space="0" w:color="auto"/>
              <w:left w:val="single" w:sz="4" w:space="0" w:color="auto"/>
              <w:bottom w:val="single" w:sz="4" w:space="0" w:color="auto"/>
              <w:right w:val="single" w:sz="4" w:space="0" w:color="auto"/>
              <w:tl2br w:val="nil"/>
              <w:tr2bl w:val="nil"/>
            </w:tcBorders>
            <w:shd w:val="clear" w:color="auto" w:fill="CCCCCC"/>
            <w:textDirection w:val="lrTb"/>
            <w:vAlign w:val="center"/>
          </w:tcPr>
          <w:p w:rsidR="006215C5" w:rsidRPr="00AA08DA" w:rsidP="00C362EA">
            <w:pPr>
              <w:spacing w:line="240" w:lineRule="auto"/>
              <w:jc w:val="center"/>
              <w:rPr>
                <w:rFonts w:ascii="Arial Narrow" w:hAnsi="Arial Narrow" w:cs="Times New Roman"/>
                <w:b/>
              </w:rPr>
            </w:pPr>
            <w:r w:rsidR="006653FD">
              <w:rPr>
                <w:rFonts w:ascii="Arial Narrow" w:hAnsi="Arial Narrow" w:cs="Times New Roman"/>
                <w:b/>
              </w:rPr>
              <w:t>Rozdiel</w:t>
            </w:r>
          </w:p>
        </w:tc>
      </w:tr>
      <w:tr>
        <w:tblPrEx>
          <w:tblW w:w="10260" w:type="dxa"/>
          <w:tblInd w:w="-432" w:type="dxa"/>
        </w:tblPrEx>
        <w:trPr>
          <w:trHeight w:hRule="auto" w:val="0"/>
        </w:trPr>
        <w:tc>
          <w:tcPr>
            <w:tcW w:w="360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6215C5" w:rsidRPr="00D04D46" w:rsidP="00C362EA">
            <w:pPr>
              <w:spacing w:line="240" w:lineRule="auto"/>
              <w:rPr>
                <w:rFonts w:ascii="Arial Narrow" w:hAnsi="Arial Narrow" w:cs="Times New Roman"/>
              </w:rPr>
            </w:pPr>
            <w:r w:rsidRPr="00D04D46">
              <w:rPr>
                <w:rFonts w:ascii="Arial Narrow" w:hAnsi="Arial Narrow" w:cs="Times New Roman"/>
              </w:rPr>
              <w:t xml:space="preserve">Kapitálové výdavky (710) na výstavbu </w:t>
            </w:r>
          </w:p>
          <w:p w:rsidR="006215C5" w:rsidRPr="00D04D46" w:rsidP="00C362EA">
            <w:pPr>
              <w:spacing w:line="240" w:lineRule="auto"/>
              <w:rPr>
                <w:rFonts w:ascii="Arial Narrow" w:hAnsi="Arial Narrow" w:cs="Times New Roman"/>
              </w:rPr>
            </w:pPr>
            <w:r>
              <w:rPr>
                <w:rFonts w:ascii="Arial Narrow" w:hAnsi="Arial Narrow" w:cs="Times New Roman"/>
              </w:rPr>
              <w:t xml:space="preserve">ciest I. tr. </w:t>
            </w:r>
            <w:r w:rsidRPr="00D04D46">
              <w:rPr>
                <w:rFonts w:ascii="Arial Narrow" w:hAnsi="Arial Narrow" w:cs="Times New Roman"/>
              </w:rPr>
              <w:t>a diaľničných privádzačov</w:t>
            </w:r>
            <w:r>
              <w:rPr>
                <w:rFonts w:ascii="Arial Narrow" w:hAnsi="Arial Narrow" w:cs="Times New Roman"/>
              </w:rPr>
              <w:t>, z toho:</w:t>
            </w:r>
          </w:p>
        </w:tc>
        <w:tc>
          <w:tcPr>
            <w:tcW w:w="1687"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6215C5" w:rsidRPr="00D04D46" w:rsidP="00C362EA">
            <w:pPr>
              <w:spacing w:line="240" w:lineRule="auto"/>
              <w:jc w:val="right"/>
              <w:rPr>
                <w:rFonts w:ascii="Arial Narrow" w:hAnsi="Arial Narrow" w:cs="Times New Roman"/>
              </w:rPr>
            </w:pPr>
            <w:r>
              <w:rPr>
                <w:rFonts w:ascii="Arial Narrow" w:hAnsi="Arial Narrow" w:cs="Times New Roman"/>
              </w:rPr>
              <w:t>3 224 982 000,00</w:t>
            </w:r>
          </w:p>
        </w:tc>
        <w:tc>
          <w:tcPr>
            <w:tcW w:w="1687"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6215C5" w:rsidRPr="00D04D46" w:rsidP="00C362EA">
            <w:pPr>
              <w:spacing w:line="240" w:lineRule="auto"/>
              <w:jc w:val="right"/>
              <w:rPr>
                <w:rFonts w:ascii="Arial Narrow" w:hAnsi="Arial Narrow" w:cs="Times New Roman"/>
              </w:rPr>
            </w:pPr>
            <w:r>
              <w:rPr>
                <w:rFonts w:ascii="Arial Narrow" w:hAnsi="Arial Narrow" w:cs="Times New Roman"/>
              </w:rPr>
              <w:t>3 121 300 651,26</w:t>
            </w:r>
          </w:p>
        </w:tc>
        <w:tc>
          <w:tcPr>
            <w:tcW w:w="1733"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6215C5" w:rsidRPr="003A3AA1" w:rsidP="00C362EA">
            <w:pPr>
              <w:spacing w:line="240" w:lineRule="auto"/>
              <w:jc w:val="right"/>
              <w:rPr>
                <w:rFonts w:ascii="Arial Narrow" w:hAnsi="Arial Narrow" w:cs="Times New Roman"/>
              </w:rPr>
            </w:pPr>
            <w:r>
              <w:rPr>
                <w:rFonts w:ascii="Arial Narrow" w:hAnsi="Arial Narrow" w:cs="Times New Roman"/>
              </w:rPr>
              <w:t>3 119 895 662,75</w:t>
            </w:r>
          </w:p>
        </w:tc>
        <w:tc>
          <w:tcPr>
            <w:tcW w:w="1553"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6215C5" w:rsidP="00C362EA">
            <w:pPr>
              <w:spacing w:line="240" w:lineRule="auto"/>
              <w:jc w:val="right"/>
              <w:rPr>
                <w:rFonts w:ascii="Arial Narrow" w:hAnsi="Arial Narrow" w:cs="Times New Roman"/>
              </w:rPr>
            </w:pPr>
            <w:r>
              <w:rPr>
                <w:rFonts w:ascii="Arial Narrow" w:hAnsi="Arial Narrow" w:cs="Times New Roman"/>
              </w:rPr>
              <w:t>1 404 988,51</w:t>
            </w:r>
          </w:p>
        </w:tc>
      </w:tr>
      <w:tr>
        <w:tblPrEx>
          <w:tblW w:w="10260" w:type="dxa"/>
          <w:tblInd w:w="-432" w:type="dxa"/>
        </w:tblPrEx>
        <w:trPr>
          <w:trHeight w:hRule="auto" w:val="0"/>
        </w:trPr>
        <w:tc>
          <w:tcPr>
            <w:tcW w:w="360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6215C5" w:rsidP="00C362EA">
            <w:pPr>
              <w:spacing w:line="240" w:lineRule="auto"/>
              <w:rPr>
                <w:rFonts w:ascii="Arial Narrow" w:hAnsi="Arial Narrow" w:cs="Times New Roman"/>
              </w:rPr>
            </w:pPr>
            <w:r>
              <w:rPr>
                <w:rFonts w:ascii="Arial Narrow" w:hAnsi="Arial Narrow" w:cs="Times New Roman"/>
              </w:rPr>
              <w:t xml:space="preserve">Zo štátneho rozpočtu </w:t>
            </w:r>
          </w:p>
        </w:tc>
        <w:tc>
          <w:tcPr>
            <w:tcW w:w="1687"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6215C5" w:rsidP="00C362EA">
            <w:pPr>
              <w:spacing w:line="240" w:lineRule="auto"/>
              <w:jc w:val="right"/>
              <w:rPr>
                <w:rFonts w:ascii="Arial Narrow" w:hAnsi="Arial Narrow" w:cs="Times New Roman"/>
              </w:rPr>
            </w:pPr>
            <w:r>
              <w:rPr>
                <w:rFonts w:ascii="Arial Narrow" w:hAnsi="Arial Narrow" w:cs="Times New Roman"/>
              </w:rPr>
              <w:t>2 617 000 000,00</w:t>
            </w:r>
          </w:p>
        </w:tc>
        <w:tc>
          <w:tcPr>
            <w:tcW w:w="1687"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6215C5" w:rsidP="00C362EA">
            <w:pPr>
              <w:spacing w:line="240" w:lineRule="auto"/>
              <w:jc w:val="right"/>
              <w:rPr>
                <w:rFonts w:ascii="Arial Narrow" w:hAnsi="Arial Narrow" w:cs="Times New Roman"/>
              </w:rPr>
            </w:pPr>
            <w:r>
              <w:rPr>
                <w:rFonts w:ascii="Arial Narrow" w:hAnsi="Arial Narrow" w:cs="Times New Roman"/>
              </w:rPr>
              <w:t>2 580 715 089,30</w:t>
            </w:r>
          </w:p>
        </w:tc>
        <w:tc>
          <w:tcPr>
            <w:tcW w:w="1733"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6215C5" w:rsidP="00C362EA">
            <w:pPr>
              <w:spacing w:line="240" w:lineRule="auto"/>
              <w:jc w:val="right"/>
              <w:rPr>
                <w:rFonts w:ascii="Arial Narrow" w:hAnsi="Arial Narrow" w:cs="Times New Roman"/>
              </w:rPr>
            </w:pPr>
            <w:r>
              <w:rPr>
                <w:rFonts w:ascii="Arial Narrow" w:hAnsi="Arial Narrow" w:cs="Times New Roman"/>
              </w:rPr>
              <w:t>2 579 557 037,56</w:t>
            </w:r>
          </w:p>
        </w:tc>
        <w:tc>
          <w:tcPr>
            <w:tcW w:w="1553"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6215C5" w:rsidP="00C362EA">
            <w:pPr>
              <w:spacing w:line="240" w:lineRule="auto"/>
              <w:jc w:val="right"/>
              <w:rPr>
                <w:rFonts w:ascii="Arial Narrow" w:hAnsi="Arial Narrow" w:cs="Times New Roman"/>
              </w:rPr>
            </w:pPr>
            <w:r>
              <w:rPr>
                <w:rFonts w:ascii="Arial Narrow" w:hAnsi="Arial Narrow" w:cs="Times New Roman"/>
              </w:rPr>
              <w:t>1 158 051,74</w:t>
            </w:r>
          </w:p>
        </w:tc>
      </w:tr>
      <w:tr>
        <w:tblPrEx>
          <w:tblW w:w="10260" w:type="dxa"/>
          <w:tblInd w:w="-432" w:type="dxa"/>
        </w:tblPrEx>
        <w:trPr>
          <w:trHeight w:hRule="auto" w:val="0"/>
        </w:trPr>
        <w:tc>
          <w:tcPr>
            <w:tcW w:w="360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6215C5" w:rsidRPr="00F54F0B" w:rsidP="00C362EA">
            <w:pPr>
              <w:spacing w:line="240" w:lineRule="auto"/>
              <w:rPr>
                <w:rFonts w:ascii="Arial Narrow" w:hAnsi="Arial Narrow" w:cs="Times New Roman"/>
              </w:rPr>
            </w:pPr>
            <w:r>
              <w:rPr>
                <w:rFonts w:ascii="Arial Narrow" w:hAnsi="Arial Narrow" w:cs="Times New Roman"/>
              </w:rPr>
              <w:t xml:space="preserve">06E01 - </w:t>
            </w:r>
            <w:r w:rsidRPr="00F54F0B">
              <w:rPr>
                <w:rFonts w:ascii="Arial Narrow" w:hAnsi="Arial Narrow" w:cs="Times New Roman"/>
              </w:rPr>
              <w:t xml:space="preserve">MDPT </w:t>
            </w:r>
            <w:r>
              <w:rPr>
                <w:rFonts w:ascii="Arial Narrow" w:hAnsi="Arial Narrow" w:cs="Times New Roman"/>
              </w:rPr>
              <w:t xml:space="preserve">SR - Dopravná a tel. </w:t>
            </w:r>
            <w:r w:rsidRPr="00F54F0B">
              <w:rPr>
                <w:rFonts w:ascii="Arial Narrow" w:hAnsi="Arial Narrow" w:cs="Times New Roman"/>
              </w:rPr>
              <w:t>podpora</w:t>
            </w:r>
          </w:p>
        </w:tc>
        <w:tc>
          <w:tcPr>
            <w:tcW w:w="1687"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6215C5" w:rsidRPr="00F54F0B" w:rsidP="00C362EA">
            <w:pPr>
              <w:spacing w:line="240" w:lineRule="auto"/>
              <w:jc w:val="right"/>
              <w:rPr>
                <w:rFonts w:ascii="Arial Narrow" w:hAnsi="Arial Narrow" w:cs="Times New Roman"/>
              </w:rPr>
            </w:pPr>
            <w:r w:rsidRPr="00F54F0B">
              <w:rPr>
                <w:rFonts w:ascii="Arial Narrow" w:hAnsi="Arial Narrow" w:cs="Times New Roman"/>
              </w:rPr>
              <w:t>19 000 000,00</w:t>
            </w:r>
          </w:p>
        </w:tc>
        <w:tc>
          <w:tcPr>
            <w:tcW w:w="1687"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6215C5" w:rsidP="00C362EA">
            <w:pPr>
              <w:spacing w:line="240" w:lineRule="auto"/>
              <w:jc w:val="right"/>
              <w:rPr>
                <w:rFonts w:ascii="Arial Narrow" w:hAnsi="Arial Narrow" w:cs="Times New Roman"/>
              </w:rPr>
            </w:pPr>
            <w:r>
              <w:rPr>
                <w:rFonts w:ascii="Arial Narrow" w:hAnsi="Arial Narrow" w:cs="Times New Roman"/>
              </w:rPr>
              <w:t>4 000 000,00</w:t>
            </w:r>
          </w:p>
        </w:tc>
        <w:tc>
          <w:tcPr>
            <w:tcW w:w="1733"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6215C5" w:rsidP="00C362EA">
            <w:pPr>
              <w:spacing w:line="240" w:lineRule="auto"/>
              <w:jc w:val="right"/>
              <w:rPr>
                <w:rFonts w:ascii="Arial Narrow" w:hAnsi="Arial Narrow" w:cs="Times New Roman"/>
              </w:rPr>
            </w:pPr>
            <w:r>
              <w:rPr>
                <w:rFonts w:ascii="Arial Narrow" w:hAnsi="Arial Narrow" w:cs="Times New Roman"/>
              </w:rPr>
              <w:t>3 813 426,40</w:t>
            </w:r>
          </w:p>
        </w:tc>
        <w:tc>
          <w:tcPr>
            <w:tcW w:w="1553"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6215C5" w:rsidP="00C362EA">
            <w:pPr>
              <w:spacing w:line="240" w:lineRule="auto"/>
              <w:jc w:val="right"/>
              <w:rPr>
                <w:rFonts w:ascii="Arial Narrow" w:hAnsi="Arial Narrow" w:cs="Times New Roman"/>
              </w:rPr>
            </w:pPr>
            <w:r>
              <w:rPr>
                <w:rFonts w:ascii="Arial Narrow" w:hAnsi="Arial Narrow" w:cs="Times New Roman"/>
              </w:rPr>
              <w:t>186 573,60</w:t>
            </w:r>
          </w:p>
        </w:tc>
      </w:tr>
      <w:tr>
        <w:tblPrEx>
          <w:tblW w:w="10260" w:type="dxa"/>
          <w:tblInd w:w="-432" w:type="dxa"/>
        </w:tblPrEx>
        <w:trPr>
          <w:trHeight w:hRule="auto" w:val="0"/>
        </w:trPr>
        <w:tc>
          <w:tcPr>
            <w:tcW w:w="360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6215C5" w:rsidRPr="00D04D46" w:rsidP="00C362EA">
            <w:pPr>
              <w:spacing w:line="240" w:lineRule="auto"/>
              <w:rPr>
                <w:rFonts w:ascii="Arial Narrow" w:hAnsi="Arial Narrow" w:cs="Times New Roman"/>
              </w:rPr>
            </w:pPr>
            <w:r>
              <w:rPr>
                <w:rFonts w:ascii="Arial Narrow" w:hAnsi="Arial Narrow" w:cs="Times New Roman"/>
              </w:rPr>
              <w:t xml:space="preserve">Prostriedky z EÚ – fond ERDF </w:t>
            </w:r>
          </w:p>
        </w:tc>
        <w:tc>
          <w:tcPr>
            <w:tcW w:w="1687"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6215C5" w:rsidP="00C362EA">
            <w:pPr>
              <w:spacing w:line="240" w:lineRule="auto"/>
              <w:jc w:val="right"/>
              <w:rPr>
                <w:rFonts w:ascii="Arial Narrow" w:hAnsi="Arial Narrow" w:cs="Times New Roman"/>
              </w:rPr>
            </w:pPr>
            <w:r>
              <w:rPr>
                <w:rFonts w:ascii="Arial Narrow" w:hAnsi="Arial Narrow" w:cs="Times New Roman"/>
              </w:rPr>
              <w:t xml:space="preserve">588 982 000,00 </w:t>
            </w:r>
          </w:p>
        </w:tc>
        <w:tc>
          <w:tcPr>
            <w:tcW w:w="1687"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6215C5" w:rsidP="00C362EA">
            <w:pPr>
              <w:spacing w:line="240" w:lineRule="auto"/>
              <w:jc w:val="right"/>
              <w:rPr>
                <w:rFonts w:ascii="Arial Narrow" w:hAnsi="Arial Narrow" w:cs="Times New Roman"/>
              </w:rPr>
            </w:pPr>
            <w:r>
              <w:rPr>
                <w:rFonts w:ascii="Arial Narrow" w:hAnsi="Arial Narrow" w:cs="Times New Roman"/>
              </w:rPr>
              <w:t>402 439 171,72</w:t>
            </w:r>
          </w:p>
        </w:tc>
        <w:tc>
          <w:tcPr>
            <w:tcW w:w="1733"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6215C5" w:rsidP="00C362EA">
            <w:pPr>
              <w:spacing w:line="240" w:lineRule="auto"/>
              <w:jc w:val="right"/>
              <w:rPr>
                <w:rFonts w:ascii="Arial Narrow" w:hAnsi="Arial Narrow" w:cs="Times New Roman"/>
              </w:rPr>
            </w:pPr>
            <w:r>
              <w:rPr>
                <w:rFonts w:ascii="Arial Narrow" w:hAnsi="Arial Narrow" w:cs="Times New Roman"/>
              </w:rPr>
              <w:t>402 393 899,35</w:t>
            </w:r>
          </w:p>
        </w:tc>
        <w:tc>
          <w:tcPr>
            <w:tcW w:w="1553"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6215C5" w:rsidP="00C362EA">
            <w:pPr>
              <w:spacing w:line="240" w:lineRule="auto"/>
              <w:jc w:val="right"/>
              <w:rPr>
                <w:rFonts w:ascii="Arial Narrow" w:hAnsi="Arial Narrow" w:cs="Times New Roman"/>
              </w:rPr>
            </w:pPr>
            <w:r>
              <w:rPr>
                <w:rFonts w:ascii="Arial Narrow" w:hAnsi="Arial Narrow" w:cs="Times New Roman"/>
              </w:rPr>
              <w:t>45 272,37</w:t>
            </w:r>
          </w:p>
        </w:tc>
      </w:tr>
      <w:tr>
        <w:tblPrEx>
          <w:tblW w:w="10260" w:type="dxa"/>
          <w:tblInd w:w="-432" w:type="dxa"/>
        </w:tblPrEx>
        <w:trPr>
          <w:trHeight w:hRule="auto" w:val="0"/>
        </w:trPr>
        <w:tc>
          <w:tcPr>
            <w:tcW w:w="360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6215C5" w:rsidRPr="00D04D46" w:rsidP="00C362EA">
            <w:pPr>
              <w:spacing w:line="240" w:lineRule="auto"/>
              <w:rPr>
                <w:rFonts w:ascii="Arial Narrow" w:hAnsi="Arial Narrow" w:cs="Times New Roman"/>
              </w:rPr>
            </w:pPr>
            <w:r>
              <w:rPr>
                <w:rFonts w:ascii="Arial Narrow" w:hAnsi="Arial Narrow" w:cs="Times New Roman"/>
              </w:rPr>
              <w:t>Spolufinancovanie fondu ERDF</w:t>
            </w:r>
          </w:p>
        </w:tc>
        <w:tc>
          <w:tcPr>
            <w:tcW w:w="1687"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6215C5" w:rsidP="00C362EA">
            <w:pPr>
              <w:spacing w:line="240" w:lineRule="auto"/>
              <w:jc w:val="right"/>
              <w:rPr>
                <w:rFonts w:ascii="Arial Narrow" w:hAnsi="Arial Narrow" w:cs="Times New Roman"/>
              </w:rPr>
            </w:pPr>
            <w:r>
              <w:rPr>
                <w:rFonts w:ascii="Arial Narrow" w:hAnsi="Arial Narrow" w:cs="Times New Roman"/>
              </w:rPr>
              <w:t>0,00</w:t>
            </w:r>
          </w:p>
        </w:tc>
        <w:tc>
          <w:tcPr>
            <w:tcW w:w="1687"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6215C5" w:rsidP="00C362EA">
            <w:pPr>
              <w:spacing w:line="240" w:lineRule="auto"/>
              <w:jc w:val="right"/>
              <w:rPr>
                <w:rFonts w:ascii="Arial Narrow" w:hAnsi="Arial Narrow" w:cs="Times New Roman"/>
              </w:rPr>
            </w:pPr>
            <w:r>
              <w:rPr>
                <w:rFonts w:ascii="Arial Narrow" w:hAnsi="Arial Narrow" w:cs="Times New Roman"/>
              </w:rPr>
              <w:t>134 146 390,24</w:t>
            </w:r>
          </w:p>
        </w:tc>
        <w:tc>
          <w:tcPr>
            <w:tcW w:w="1733"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6215C5" w:rsidP="00C362EA">
            <w:pPr>
              <w:spacing w:line="240" w:lineRule="auto"/>
              <w:jc w:val="right"/>
              <w:rPr>
                <w:rFonts w:ascii="Arial Narrow" w:hAnsi="Arial Narrow" w:cs="Times New Roman"/>
              </w:rPr>
            </w:pPr>
            <w:r>
              <w:rPr>
                <w:rFonts w:ascii="Arial Narrow" w:hAnsi="Arial Narrow" w:cs="Times New Roman"/>
              </w:rPr>
              <w:t>134 131 299,44</w:t>
            </w:r>
          </w:p>
        </w:tc>
        <w:tc>
          <w:tcPr>
            <w:tcW w:w="1553"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6215C5" w:rsidP="00C362EA">
            <w:pPr>
              <w:spacing w:line="240" w:lineRule="auto"/>
              <w:jc w:val="right"/>
              <w:rPr>
                <w:rFonts w:ascii="Arial Narrow" w:hAnsi="Arial Narrow" w:cs="Times New Roman"/>
              </w:rPr>
            </w:pPr>
            <w:r>
              <w:rPr>
                <w:rFonts w:ascii="Arial Narrow" w:hAnsi="Arial Narrow" w:cs="Times New Roman"/>
              </w:rPr>
              <w:t>15 090,80</w:t>
            </w:r>
          </w:p>
        </w:tc>
      </w:tr>
    </w:tbl>
    <w:p w:rsidR="00CF68BA" w:rsidP="00C362EA">
      <w:pPr>
        <w:spacing w:line="240" w:lineRule="auto"/>
        <w:rPr>
          <w:rFonts w:ascii="Times New Roman" w:hAnsi="Times New Roman" w:cs="Times New Roman"/>
          <w:b/>
          <w:sz w:val="24"/>
          <w:szCs w:val="24"/>
        </w:rPr>
      </w:pPr>
    </w:p>
    <w:p w:rsidR="009C2128" w:rsidP="00C362EA">
      <w:pPr>
        <w:spacing w:line="240" w:lineRule="auto"/>
        <w:rPr>
          <w:rFonts w:ascii="Times New Roman" w:hAnsi="Times New Roman" w:cs="Times New Roman"/>
          <w:b/>
          <w:sz w:val="24"/>
          <w:szCs w:val="24"/>
        </w:rPr>
      </w:pPr>
    </w:p>
    <w:p w:rsidR="008254A6" w:rsidRPr="007D0A26" w:rsidP="00C362EA">
      <w:pPr>
        <w:spacing w:line="240" w:lineRule="auto"/>
        <w:rPr>
          <w:rFonts w:ascii="Times New Roman" w:hAnsi="Times New Roman" w:cs="Times New Roman"/>
          <w:b/>
          <w:sz w:val="24"/>
          <w:szCs w:val="24"/>
        </w:rPr>
      </w:pPr>
      <w:r w:rsidRPr="007D0A26">
        <w:rPr>
          <w:rFonts w:ascii="Times New Roman" w:hAnsi="Times New Roman" w:cs="Times New Roman"/>
          <w:b/>
          <w:sz w:val="24"/>
          <w:szCs w:val="24"/>
        </w:rPr>
        <w:t>FK 04.5.1.4</w:t>
      </w:r>
      <w:r w:rsidRPr="007D0A26" w:rsidR="004956FE">
        <w:rPr>
          <w:rFonts w:ascii="Times New Roman" w:hAnsi="Times New Roman" w:cs="Times New Roman"/>
          <w:b/>
          <w:sz w:val="24"/>
          <w:szCs w:val="24"/>
        </w:rPr>
        <w:t xml:space="preserve"> –</w:t>
      </w:r>
      <w:r w:rsidR="007D0A26">
        <w:rPr>
          <w:rFonts w:ascii="Times New Roman" w:hAnsi="Times New Roman" w:cs="Times New Roman"/>
          <w:b/>
          <w:sz w:val="24"/>
          <w:szCs w:val="24"/>
        </w:rPr>
        <w:t xml:space="preserve"> Slovenská správa ciest</w:t>
      </w:r>
    </w:p>
    <w:p w:rsidR="00BA18D4" w:rsidP="00C362EA">
      <w:pPr>
        <w:spacing w:line="240" w:lineRule="auto"/>
        <w:rPr>
          <w:rFonts w:ascii="Times New Roman" w:hAnsi="Times New Roman" w:cs="Times New Roman"/>
          <w:sz w:val="24"/>
          <w:szCs w:val="24"/>
        </w:rPr>
      </w:pPr>
    </w:p>
    <w:p w:rsidR="009A52FB" w:rsidP="00C362EA">
      <w:pPr>
        <w:spacing w:line="240" w:lineRule="auto"/>
        <w:rPr>
          <w:rFonts w:ascii="Times New Roman" w:hAnsi="Times New Roman" w:cs="Times New Roman"/>
          <w:sz w:val="24"/>
          <w:szCs w:val="24"/>
        </w:rPr>
      </w:pPr>
      <w:r w:rsidRPr="00DC7250" w:rsidR="007D0A26">
        <w:rPr>
          <w:rFonts w:ascii="Times New Roman" w:hAnsi="Times New Roman" w:cs="Times New Roman"/>
          <w:sz w:val="24"/>
          <w:szCs w:val="24"/>
        </w:rPr>
        <w:t xml:space="preserve">Podprogram 05301 – Správa, údržba a opravy ciest a diaľnic </w:t>
      </w:r>
    </w:p>
    <w:p w:rsidR="006E2C6E" w:rsidP="00C362EA">
      <w:pPr>
        <w:spacing w:line="240" w:lineRule="auto"/>
        <w:rPr>
          <w:rFonts w:ascii="Times New Roman" w:hAnsi="Times New Roman" w:cs="Times New Roman"/>
          <w:sz w:val="24"/>
          <w:szCs w:val="24"/>
        </w:rPr>
      </w:pPr>
    </w:p>
    <w:p w:rsidR="00AE3AF3" w:rsidP="00C362EA">
      <w:pPr>
        <w:spacing w:line="240" w:lineRule="auto"/>
        <w:rPr>
          <w:rFonts w:ascii="Times New Roman" w:hAnsi="Times New Roman" w:cs="Times New Roman"/>
          <w:sz w:val="24"/>
          <w:szCs w:val="24"/>
        </w:rPr>
      </w:pPr>
      <w:r w:rsidRPr="007D0A26" w:rsidR="007D0A26">
        <w:rPr>
          <w:rFonts w:ascii="Times New Roman" w:hAnsi="Times New Roman" w:cs="Times New Roman"/>
          <w:sz w:val="24"/>
          <w:szCs w:val="24"/>
        </w:rPr>
        <w:t xml:space="preserve">Prvok 0530101 – Správa, údržba a opravy ciest I. triedy a diaľničných privádzačov </w:t>
      </w:r>
    </w:p>
    <w:p w:rsidR="00B27788" w:rsidRPr="00AE3AF3" w:rsidP="00C362EA">
      <w:pPr>
        <w:spacing w:line="240" w:lineRule="auto"/>
        <w:rPr>
          <w:rFonts w:ascii="Times New Roman" w:hAnsi="Times New Roman" w:cs="Times New Roman"/>
          <w:sz w:val="24"/>
          <w:szCs w:val="24"/>
        </w:rPr>
      </w:pPr>
    </w:p>
    <w:p w:rsidR="00D04D46" w:rsidRPr="00D04D46" w:rsidP="00C362EA">
      <w:pPr>
        <w:spacing w:line="240" w:lineRule="auto"/>
        <w:rPr>
          <w:rFonts w:ascii="Arial Narrow" w:hAnsi="Arial Narrow" w:cs="Times New Roman"/>
        </w:rPr>
      </w:pPr>
      <w:r w:rsidR="002E5583">
        <w:rPr>
          <w:rFonts w:ascii="Arial Narrow" w:hAnsi="Arial Narrow" w:cs="Times New Roman"/>
        </w:rPr>
        <w:t xml:space="preserve">                        </w:t>
      </w:r>
      <w:r w:rsidRPr="00D04D46">
        <w:rPr>
          <w:rFonts w:ascii="Arial Narrow" w:hAnsi="Arial Narrow" w:cs="Times New Roman"/>
        </w:rPr>
        <w:t xml:space="preserve">                   </w:t>
      </w:r>
      <w:r w:rsidR="00D15932">
        <w:rPr>
          <w:rFonts w:ascii="Arial Narrow" w:hAnsi="Arial Narrow" w:cs="Times New Roman"/>
        </w:rPr>
        <w:t xml:space="preserve">          </w:t>
      </w:r>
      <w:r w:rsidRPr="00D04D46">
        <w:rPr>
          <w:rFonts w:ascii="Arial Narrow" w:hAnsi="Arial Narrow" w:cs="Times New Roman"/>
        </w:rPr>
        <w:t xml:space="preserve">                                                          </w:t>
      </w:r>
      <w:r w:rsidRPr="00D04D46">
        <w:rPr>
          <w:rFonts w:ascii="Arial Narrow" w:hAnsi="Arial Narrow" w:cs="Times New Roman"/>
        </w:rPr>
        <w:t xml:space="preserve">                    </w:t>
      </w:r>
      <w:r>
        <w:rPr>
          <w:rFonts w:ascii="Arial Narrow" w:hAnsi="Arial Narrow" w:cs="Times New Roman"/>
        </w:rPr>
        <w:t xml:space="preserve">                                                     </w:t>
      </w:r>
      <w:r w:rsidRPr="00D04D46">
        <w:rPr>
          <w:rFonts w:ascii="Arial Narrow" w:hAnsi="Arial Narrow" w:cs="Times New Roman"/>
        </w:rPr>
        <w:t xml:space="preserve">   (v Sk)</w:t>
      </w: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Grid>
        <w:gridCol w:w="3600"/>
        <w:gridCol w:w="1663"/>
        <w:gridCol w:w="1664"/>
        <w:gridCol w:w="1714"/>
        <w:gridCol w:w="1619"/>
      </w:tblGrid>
      <w:tr>
        <w:tblPrEx>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auto" w:val="0"/>
        </w:trPr>
        <w:tc>
          <w:tcPr>
            <w:tcW w:w="3600" w:type="dxa"/>
            <w:tcBorders>
              <w:top w:val="single" w:sz="4" w:space="0" w:color="auto"/>
              <w:left w:val="single" w:sz="4" w:space="0" w:color="auto"/>
              <w:bottom w:val="single" w:sz="4" w:space="0" w:color="auto"/>
              <w:right w:val="single" w:sz="4" w:space="0" w:color="auto"/>
              <w:tl2br w:val="nil"/>
              <w:tr2bl w:val="nil"/>
            </w:tcBorders>
            <w:shd w:val="clear" w:color="auto" w:fill="CCCCCC"/>
            <w:textDirection w:val="lrTb"/>
            <w:vAlign w:val="top"/>
          </w:tcPr>
          <w:p w:rsidR="006215C5" w:rsidRPr="00D04D46" w:rsidP="00C362EA">
            <w:pPr>
              <w:spacing w:line="240" w:lineRule="auto"/>
              <w:rPr>
                <w:rFonts w:ascii="Times New Roman" w:hAnsi="Times New Roman" w:cs="Times New Roman"/>
                <w:u w:val="single"/>
              </w:rPr>
            </w:pPr>
          </w:p>
        </w:tc>
        <w:tc>
          <w:tcPr>
            <w:tcW w:w="1663" w:type="dxa"/>
            <w:tcBorders>
              <w:top w:val="single" w:sz="4" w:space="0" w:color="auto"/>
              <w:left w:val="single" w:sz="4" w:space="0" w:color="auto"/>
              <w:bottom w:val="single" w:sz="4" w:space="0" w:color="auto"/>
              <w:right w:val="single" w:sz="4" w:space="0" w:color="auto"/>
              <w:tl2br w:val="nil"/>
              <w:tr2bl w:val="nil"/>
            </w:tcBorders>
            <w:shd w:val="clear" w:color="auto" w:fill="CCCCCC"/>
            <w:textDirection w:val="lrTb"/>
            <w:vAlign w:val="center"/>
          </w:tcPr>
          <w:p w:rsidR="006215C5" w:rsidRPr="00AA08DA" w:rsidP="00C362EA">
            <w:pPr>
              <w:spacing w:line="240" w:lineRule="auto"/>
              <w:jc w:val="center"/>
              <w:rPr>
                <w:rFonts w:ascii="Arial Narrow" w:hAnsi="Arial Narrow" w:cs="Times New Roman"/>
                <w:b/>
              </w:rPr>
            </w:pPr>
            <w:r w:rsidRPr="00AA08DA">
              <w:rPr>
                <w:rFonts w:ascii="Arial Narrow" w:hAnsi="Arial Narrow" w:cs="Times New Roman"/>
                <w:b/>
              </w:rPr>
              <w:t>Schválený rozpočet k</w:t>
            </w:r>
            <w:r>
              <w:rPr>
                <w:rFonts w:ascii="Arial Narrow" w:hAnsi="Arial Narrow" w:cs="Times New Roman"/>
                <w:b/>
              </w:rPr>
              <w:t> </w:t>
            </w:r>
            <w:r w:rsidRPr="00AA08DA">
              <w:rPr>
                <w:rFonts w:ascii="Arial Narrow" w:hAnsi="Arial Narrow" w:cs="Times New Roman"/>
                <w:b/>
              </w:rPr>
              <w:t>1</w:t>
            </w:r>
            <w:r w:rsidR="004206FB">
              <w:rPr>
                <w:rFonts w:ascii="Arial Narrow" w:hAnsi="Arial Narrow" w:cs="Times New Roman"/>
                <w:b/>
              </w:rPr>
              <w:t>.1.2007</w:t>
            </w:r>
          </w:p>
        </w:tc>
        <w:tc>
          <w:tcPr>
            <w:tcW w:w="1664" w:type="dxa"/>
            <w:tcBorders>
              <w:top w:val="single" w:sz="4" w:space="0" w:color="auto"/>
              <w:left w:val="single" w:sz="4" w:space="0" w:color="auto"/>
              <w:bottom w:val="single" w:sz="4" w:space="0" w:color="auto"/>
              <w:right w:val="single" w:sz="4" w:space="0" w:color="auto"/>
              <w:tl2br w:val="nil"/>
              <w:tr2bl w:val="nil"/>
            </w:tcBorders>
            <w:shd w:val="clear" w:color="auto" w:fill="CCCCCC"/>
            <w:textDirection w:val="lrTb"/>
            <w:vAlign w:val="center"/>
          </w:tcPr>
          <w:p w:rsidR="006215C5" w:rsidRPr="00AA08DA" w:rsidP="00C362EA">
            <w:pPr>
              <w:spacing w:line="240" w:lineRule="auto"/>
              <w:jc w:val="center"/>
              <w:rPr>
                <w:rFonts w:ascii="Arial Narrow" w:hAnsi="Arial Narrow" w:cs="Times New Roman"/>
                <w:b/>
              </w:rPr>
            </w:pPr>
            <w:r w:rsidR="004206FB">
              <w:rPr>
                <w:rFonts w:ascii="Arial Narrow" w:hAnsi="Arial Narrow" w:cs="Times New Roman"/>
                <w:b/>
              </w:rPr>
              <w:t>Upravený rozpočet k 31.12.2007</w:t>
            </w:r>
          </w:p>
        </w:tc>
        <w:tc>
          <w:tcPr>
            <w:tcW w:w="1714" w:type="dxa"/>
            <w:tcBorders>
              <w:top w:val="single" w:sz="4" w:space="0" w:color="auto"/>
              <w:left w:val="single" w:sz="4" w:space="0" w:color="auto"/>
              <w:bottom w:val="single" w:sz="4" w:space="0" w:color="auto"/>
              <w:right w:val="single" w:sz="4" w:space="0" w:color="auto"/>
              <w:tl2br w:val="nil"/>
              <w:tr2bl w:val="nil"/>
            </w:tcBorders>
            <w:shd w:val="clear" w:color="auto" w:fill="CCCCCC"/>
            <w:textDirection w:val="lrTb"/>
            <w:vAlign w:val="center"/>
          </w:tcPr>
          <w:p w:rsidR="006215C5" w:rsidRPr="00AA08DA" w:rsidP="00C362EA">
            <w:pPr>
              <w:spacing w:line="240" w:lineRule="auto"/>
              <w:jc w:val="center"/>
              <w:rPr>
                <w:rFonts w:ascii="Arial Narrow" w:hAnsi="Arial Narrow" w:cs="Times New Roman"/>
                <w:b/>
              </w:rPr>
            </w:pPr>
            <w:r w:rsidR="004206FB">
              <w:rPr>
                <w:rFonts w:ascii="Arial Narrow" w:hAnsi="Arial Narrow" w:cs="Times New Roman"/>
                <w:b/>
              </w:rPr>
              <w:t>Skutočné čerpanie k 31.12.2007</w:t>
            </w:r>
          </w:p>
        </w:tc>
        <w:tc>
          <w:tcPr>
            <w:tcW w:w="1619" w:type="dxa"/>
            <w:tcBorders>
              <w:top w:val="single" w:sz="4" w:space="0" w:color="auto"/>
              <w:left w:val="single" w:sz="4" w:space="0" w:color="auto"/>
              <w:bottom w:val="single" w:sz="4" w:space="0" w:color="auto"/>
              <w:right w:val="single" w:sz="4" w:space="0" w:color="auto"/>
              <w:tl2br w:val="nil"/>
              <w:tr2bl w:val="nil"/>
            </w:tcBorders>
            <w:shd w:val="clear" w:color="auto" w:fill="CCCCCC"/>
            <w:textDirection w:val="lrTb"/>
            <w:vAlign w:val="center"/>
          </w:tcPr>
          <w:p w:rsidR="006215C5" w:rsidRPr="00AA08DA" w:rsidP="00C362EA">
            <w:pPr>
              <w:spacing w:line="240" w:lineRule="auto"/>
              <w:jc w:val="center"/>
              <w:rPr>
                <w:rFonts w:ascii="Arial Narrow" w:hAnsi="Arial Narrow" w:cs="Times New Roman"/>
                <w:b/>
              </w:rPr>
            </w:pPr>
            <w:r w:rsidR="006653FD">
              <w:rPr>
                <w:rFonts w:ascii="Arial Narrow" w:hAnsi="Arial Narrow" w:cs="Times New Roman"/>
                <w:b/>
              </w:rPr>
              <w:t>Rozdiel</w:t>
            </w:r>
          </w:p>
        </w:tc>
      </w:tr>
      <w:tr>
        <w:tblPrEx>
          <w:tblW w:w="10260" w:type="dxa"/>
          <w:tblInd w:w="-432" w:type="dxa"/>
        </w:tblPrEx>
        <w:trPr>
          <w:trHeight w:hRule="auto" w:val="0"/>
        </w:trPr>
        <w:tc>
          <w:tcPr>
            <w:tcW w:w="360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6215C5" w:rsidRPr="00DC7250" w:rsidP="00C362EA">
            <w:pPr>
              <w:spacing w:line="240" w:lineRule="auto"/>
              <w:rPr>
                <w:rFonts w:ascii="Arial Narrow" w:hAnsi="Arial Narrow" w:cs="Times New Roman"/>
              </w:rPr>
            </w:pPr>
            <w:r w:rsidRPr="00DC7250">
              <w:rPr>
                <w:rFonts w:ascii="Arial Narrow" w:hAnsi="Arial Narrow" w:cs="Times New Roman"/>
              </w:rPr>
              <w:t>Bežné výdavky (600), z toho:</w:t>
            </w:r>
          </w:p>
        </w:tc>
        <w:tc>
          <w:tcPr>
            <w:tcW w:w="1663"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6215C5" w:rsidRPr="00DC7250" w:rsidP="00C362EA">
            <w:pPr>
              <w:spacing w:line="240" w:lineRule="auto"/>
              <w:jc w:val="right"/>
              <w:rPr>
                <w:rFonts w:ascii="Arial Narrow" w:hAnsi="Arial Narrow" w:cs="Times New Roman"/>
              </w:rPr>
            </w:pPr>
            <w:r>
              <w:rPr>
                <w:rFonts w:ascii="Arial Narrow" w:hAnsi="Arial Narrow" w:cs="Times New Roman"/>
              </w:rPr>
              <w:t>150 632 000,00</w:t>
            </w:r>
          </w:p>
        </w:tc>
        <w:tc>
          <w:tcPr>
            <w:tcW w:w="1664"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6215C5" w:rsidRPr="00DC7250" w:rsidP="00C362EA">
            <w:pPr>
              <w:spacing w:line="240" w:lineRule="auto"/>
              <w:jc w:val="right"/>
              <w:rPr>
                <w:rFonts w:ascii="Arial Narrow" w:hAnsi="Arial Narrow" w:cs="Times New Roman"/>
              </w:rPr>
            </w:pPr>
            <w:r>
              <w:rPr>
                <w:rFonts w:ascii="Arial Narrow" w:hAnsi="Arial Narrow" w:cs="Times New Roman"/>
              </w:rPr>
              <w:t>161 845 189,80</w:t>
            </w:r>
          </w:p>
        </w:tc>
        <w:tc>
          <w:tcPr>
            <w:tcW w:w="1714"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6215C5" w:rsidRPr="00B23854" w:rsidP="00C362EA">
            <w:pPr>
              <w:spacing w:line="240" w:lineRule="auto"/>
              <w:jc w:val="right"/>
              <w:rPr>
                <w:rFonts w:ascii="Arial Narrow" w:hAnsi="Arial Narrow" w:cs="Times New Roman"/>
              </w:rPr>
            </w:pPr>
            <w:r>
              <w:rPr>
                <w:rFonts w:ascii="Arial Narrow" w:hAnsi="Arial Narrow" w:cs="Times New Roman"/>
              </w:rPr>
              <w:t>166 594 981,</w:t>
            </w:r>
            <w:r>
              <w:rPr>
                <w:rFonts w:ascii="Arial Narrow" w:hAnsi="Arial Narrow" w:cs="Times New Roman"/>
              </w:rPr>
              <w:t>30</w:t>
            </w:r>
          </w:p>
        </w:tc>
        <w:tc>
          <w:tcPr>
            <w:tcW w:w="161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6215C5" w:rsidP="00C362EA">
            <w:pPr>
              <w:spacing w:line="240" w:lineRule="auto"/>
              <w:jc w:val="right"/>
              <w:rPr>
                <w:rFonts w:ascii="Arial Narrow" w:hAnsi="Arial Narrow" w:cs="Times New Roman"/>
              </w:rPr>
            </w:pPr>
            <w:r>
              <w:rPr>
                <w:rFonts w:ascii="Arial Narrow" w:hAnsi="Arial Narrow" w:cs="Times New Roman"/>
              </w:rPr>
              <w:t>- 4 749 791,50</w:t>
            </w:r>
          </w:p>
        </w:tc>
      </w:tr>
      <w:tr>
        <w:tblPrEx>
          <w:tblW w:w="10260" w:type="dxa"/>
          <w:tblInd w:w="-432" w:type="dxa"/>
        </w:tblPrEx>
        <w:trPr>
          <w:trHeight w:hRule="auto" w:val="0"/>
        </w:trPr>
        <w:tc>
          <w:tcPr>
            <w:tcW w:w="360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6215C5" w:rsidRPr="00D04D46" w:rsidP="00C362EA">
            <w:pPr>
              <w:spacing w:line="240" w:lineRule="auto"/>
              <w:rPr>
                <w:rFonts w:ascii="Arial Narrow" w:hAnsi="Arial Narrow" w:cs="Times New Roman"/>
              </w:rPr>
            </w:pPr>
            <w:r>
              <w:rPr>
                <w:rFonts w:ascii="Arial Narrow" w:hAnsi="Arial Narrow" w:cs="Times New Roman"/>
              </w:rPr>
              <w:t>Mzdy, platy, služobné príjmy a OOV (610)</w:t>
            </w:r>
          </w:p>
        </w:tc>
        <w:tc>
          <w:tcPr>
            <w:tcW w:w="1663"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6215C5" w:rsidRPr="00D04D46" w:rsidP="00C362EA">
            <w:pPr>
              <w:spacing w:line="240" w:lineRule="auto"/>
              <w:jc w:val="right"/>
              <w:rPr>
                <w:rFonts w:ascii="Arial Narrow" w:hAnsi="Arial Narrow" w:cs="Times New Roman"/>
              </w:rPr>
            </w:pPr>
            <w:r>
              <w:rPr>
                <w:rFonts w:ascii="Arial Narrow" w:hAnsi="Arial Narrow" w:cs="Times New Roman"/>
              </w:rPr>
              <w:t>96 508 000,00</w:t>
            </w:r>
          </w:p>
        </w:tc>
        <w:tc>
          <w:tcPr>
            <w:tcW w:w="1664"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6215C5" w:rsidRPr="00D04D46" w:rsidP="00C362EA">
            <w:pPr>
              <w:spacing w:line="240" w:lineRule="auto"/>
              <w:jc w:val="right"/>
              <w:rPr>
                <w:rFonts w:ascii="Arial Narrow" w:hAnsi="Arial Narrow" w:cs="Times New Roman"/>
              </w:rPr>
            </w:pPr>
            <w:r>
              <w:rPr>
                <w:rFonts w:ascii="Arial Narrow" w:hAnsi="Arial Narrow" w:cs="Times New Roman"/>
              </w:rPr>
              <w:t>104 384 739,10</w:t>
            </w:r>
          </w:p>
        </w:tc>
        <w:tc>
          <w:tcPr>
            <w:tcW w:w="1714"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6215C5" w:rsidRPr="00B23854" w:rsidP="00C362EA">
            <w:pPr>
              <w:spacing w:line="240" w:lineRule="auto"/>
              <w:jc w:val="right"/>
              <w:rPr>
                <w:rFonts w:ascii="Arial Narrow" w:hAnsi="Arial Narrow" w:cs="Times New Roman"/>
              </w:rPr>
            </w:pPr>
            <w:r>
              <w:rPr>
                <w:rFonts w:ascii="Arial Narrow" w:hAnsi="Arial Narrow" w:cs="Times New Roman"/>
              </w:rPr>
              <w:t>104 384 739,10</w:t>
            </w:r>
          </w:p>
        </w:tc>
        <w:tc>
          <w:tcPr>
            <w:tcW w:w="161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6215C5" w:rsidP="00C362EA">
            <w:pPr>
              <w:spacing w:line="240" w:lineRule="auto"/>
              <w:jc w:val="right"/>
              <w:rPr>
                <w:rFonts w:ascii="Arial Narrow" w:hAnsi="Arial Narrow" w:cs="Times New Roman"/>
              </w:rPr>
            </w:pPr>
            <w:r>
              <w:rPr>
                <w:rFonts w:ascii="Arial Narrow" w:hAnsi="Arial Narrow" w:cs="Times New Roman"/>
              </w:rPr>
              <w:t>0,00</w:t>
            </w:r>
          </w:p>
        </w:tc>
      </w:tr>
      <w:tr>
        <w:tblPrEx>
          <w:tblW w:w="10260" w:type="dxa"/>
          <w:tblInd w:w="-432" w:type="dxa"/>
        </w:tblPrEx>
        <w:trPr>
          <w:trHeight w:hRule="auto" w:val="0"/>
        </w:trPr>
        <w:tc>
          <w:tcPr>
            <w:tcW w:w="360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6215C5" w:rsidRPr="00D04D46" w:rsidP="00C362EA">
            <w:pPr>
              <w:spacing w:line="240" w:lineRule="auto"/>
              <w:rPr>
                <w:rFonts w:ascii="Arial Narrow" w:hAnsi="Arial Narrow" w:cs="Times New Roman"/>
              </w:rPr>
            </w:pPr>
            <w:r>
              <w:rPr>
                <w:rFonts w:ascii="Arial Narrow" w:hAnsi="Arial Narrow" w:cs="Times New Roman"/>
              </w:rPr>
              <w:t>Poistné a príspevok do poisťovní (620)</w:t>
            </w:r>
          </w:p>
        </w:tc>
        <w:tc>
          <w:tcPr>
            <w:tcW w:w="1663"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6215C5" w:rsidRPr="00D04D46" w:rsidP="00C362EA">
            <w:pPr>
              <w:spacing w:line="240" w:lineRule="auto"/>
              <w:jc w:val="right"/>
              <w:rPr>
                <w:rFonts w:ascii="Arial Narrow" w:hAnsi="Arial Narrow" w:cs="Times New Roman"/>
              </w:rPr>
            </w:pPr>
            <w:r>
              <w:rPr>
                <w:rFonts w:ascii="Arial Narrow" w:hAnsi="Arial Narrow" w:cs="Times New Roman"/>
              </w:rPr>
              <w:t>36 455 000,00</w:t>
            </w:r>
          </w:p>
        </w:tc>
        <w:tc>
          <w:tcPr>
            <w:tcW w:w="1664"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6215C5" w:rsidRPr="00D04D46" w:rsidP="00C362EA">
            <w:pPr>
              <w:spacing w:line="240" w:lineRule="auto"/>
              <w:jc w:val="right"/>
              <w:rPr>
                <w:rFonts w:ascii="Arial Narrow" w:hAnsi="Arial Narrow" w:cs="Times New Roman"/>
              </w:rPr>
            </w:pPr>
            <w:r>
              <w:rPr>
                <w:rFonts w:ascii="Arial Narrow" w:hAnsi="Arial Narrow" w:cs="Times New Roman"/>
              </w:rPr>
              <w:t>39 188 650,70</w:t>
            </w:r>
          </w:p>
        </w:tc>
        <w:tc>
          <w:tcPr>
            <w:tcW w:w="1714"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6215C5" w:rsidRPr="00B23854" w:rsidP="00C362EA">
            <w:pPr>
              <w:spacing w:line="240" w:lineRule="auto"/>
              <w:jc w:val="right"/>
              <w:rPr>
                <w:rFonts w:ascii="Arial Narrow" w:hAnsi="Arial Narrow" w:cs="Times New Roman"/>
              </w:rPr>
            </w:pPr>
            <w:r>
              <w:rPr>
                <w:rFonts w:ascii="Arial Narrow" w:hAnsi="Arial Narrow" w:cs="Times New Roman"/>
              </w:rPr>
              <w:t>39 188 650,70</w:t>
            </w:r>
          </w:p>
        </w:tc>
        <w:tc>
          <w:tcPr>
            <w:tcW w:w="161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6215C5" w:rsidP="00C362EA">
            <w:pPr>
              <w:spacing w:line="240" w:lineRule="auto"/>
              <w:jc w:val="right"/>
              <w:rPr>
                <w:rFonts w:ascii="Arial Narrow" w:hAnsi="Arial Narrow" w:cs="Times New Roman"/>
              </w:rPr>
            </w:pPr>
            <w:r>
              <w:rPr>
                <w:rFonts w:ascii="Arial Narrow" w:hAnsi="Arial Narrow" w:cs="Times New Roman"/>
              </w:rPr>
              <w:t>0,00</w:t>
            </w:r>
          </w:p>
        </w:tc>
      </w:tr>
      <w:tr>
        <w:tblPrEx>
          <w:tblW w:w="10260" w:type="dxa"/>
          <w:tblInd w:w="-432" w:type="dxa"/>
        </w:tblPrEx>
        <w:trPr>
          <w:trHeight w:hRule="auto" w:val="0"/>
        </w:trPr>
        <w:tc>
          <w:tcPr>
            <w:tcW w:w="360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6215C5" w:rsidRPr="00D04D46" w:rsidP="00C362EA">
            <w:pPr>
              <w:spacing w:line="240" w:lineRule="auto"/>
              <w:rPr>
                <w:rFonts w:ascii="Arial Narrow" w:hAnsi="Arial Narrow" w:cs="Times New Roman"/>
              </w:rPr>
            </w:pPr>
            <w:r>
              <w:rPr>
                <w:rFonts w:ascii="Arial Narrow" w:hAnsi="Arial Narrow" w:cs="Times New Roman"/>
              </w:rPr>
              <w:t>Tovary a služby (630)</w:t>
            </w:r>
          </w:p>
        </w:tc>
        <w:tc>
          <w:tcPr>
            <w:tcW w:w="1663"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6215C5" w:rsidRPr="00D04D46" w:rsidP="00C362EA">
            <w:pPr>
              <w:spacing w:line="240" w:lineRule="auto"/>
              <w:jc w:val="right"/>
              <w:rPr>
                <w:rFonts w:ascii="Arial Narrow" w:hAnsi="Arial Narrow" w:cs="Times New Roman"/>
              </w:rPr>
            </w:pPr>
            <w:r>
              <w:rPr>
                <w:rFonts w:ascii="Arial Narrow" w:hAnsi="Arial Narrow" w:cs="Times New Roman"/>
              </w:rPr>
              <w:t>16 669 000,00</w:t>
            </w:r>
          </w:p>
        </w:tc>
        <w:tc>
          <w:tcPr>
            <w:tcW w:w="1664"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6215C5" w:rsidRPr="00D04D46" w:rsidP="00C362EA">
            <w:pPr>
              <w:spacing w:line="240" w:lineRule="auto"/>
              <w:jc w:val="right"/>
              <w:rPr>
                <w:rFonts w:ascii="Arial Narrow" w:hAnsi="Arial Narrow" w:cs="Times New Roman"/>
              </w:rPr>
            </w:pPr>
            <w:r>
              <w:rPr>
                <w:rFonts w:ascii="Arial Narrow" w:hAnsi="Arial Narrow" w:cs="Times New Roman"/>
              </w:rPr>
              <w:t>15</w:t>
            </w:r>
            <w:r w:rsidR="00363E03">
              <w:rPr>
                <w:rFonts w:ascii="Arial Narrow" w:hAnsi="Arial Narrow" w:cs="Times New Roman"/>
              </w:rPr>
              <w:t> 891 800,00</w:t>
            </w:r>
          </w:p>
        </w:tc>
        <w:tc>
          <w:tcPr>
            <w:tcW w:w="1714"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6215C5" w:rsidRPr="00B23854" w:rsidP="00C362EA">
            <w:pPr>
              <w:spacing w:line="240" w:lineRule="auto"/>
              <w:jc w:val="right"/>
              <w:rPr>
                <w:rFonts w:ascii="Arial Narrow" w:hAnsi="Arial Narrow" w:cs="Times New Roman"/>
              </w:rPr>
            </w:pPr>
            <w:r w:rsidR="0019612E">
              <w:rPr>
                <w:rFonts w:ascii="Arial Narrow" w:hAnsi="Arial Narrow" w:cs="Times New Roman"/>
              </w:rPr>
              <w:t>20 614 59</w:t>
            </w:r>
            <w:r w:rsidR="0019612E">
              <w:rPr>
                <w:rFonts w:ascii="Arial Narrow" w:hAnsi="Arial Narrow" w:cs="Times New Roman"/>
              </w:rPr>
              <w:t>1,50</w:t>
            </w:r>
          </w:p>
        </w:tc>
        <w:tc>
          <w:tcPr>
            <w:tcW w:w="161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6215C5" w:rsidP="00C362EA">
            <w:pPr>
              <w:spacing w:line="240" w:lineRule="auto"/>
              <w:jc w:val="right"/>
              <w:rPr>
                <w:rFonts w:ascii="Arial Narrow" w:hAnsi="Arial Narrow" w:cs="Times New Roman"/>
              </w:rPr>
            </w:pPr>
            <w:r w:rsidR="00DA2496">
              <w:rPr>
                <w:rFonts w:ascii="Arial Narrow" w:hAnsi="Arial Narrow" w:cs="Times New Roman"/>
              </w:rPr>
              <w:t xml:space="preserve"> - </w:t>
            </w:r>
            <w:r w:rsidR="00363E03">
              <w:rPr>
                <w:rFonts w:ascii="Arial Narrow" w:hAnsi="Arial Narrow" w:cs="Times New Roman"/>
              </w:rPr>
              <w:t>4</w:t>
            </w:r>
            <w:r w:rsidR="0019612E">
              <w:rPr>
                <w:rFonts w:ascii="Arial Narrow" w:hAnsi="Arial Narrow" w:cs="Times New Roman"/>
              </w:rPr>
              <w:t> 749 791,50</w:t>
            </w:r>
          </w:p>
        </w:tc>
      </w:tr>
      <w:tr>
        <w:tblPrEx>
          <w:tblW w:w="10260" w:type="dxa"/>
          <w:tblInd w:w="-432" w:type="dxa"/>
        </w:tblPrEx>
        <w:trPr>
          <w:trHeight w:hRule="auto" w:val="0"/>
        </w:trPr>
        <w:tc>
          <w:tcPr>
            <w:tcW w:w="360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363E03" w:rsidP="00C362EA">
            <w:pPr>
              <w:spacing w:line="240" w:lineRule="auto"/>
              <w:rPr>
                <w:rFonts w:ascii="Arial Narrow" w:hAnsi="Arial Narrow" w:cs="Times New Roman"/>
              </w:rPr>
            </w:pPr>
            <w:r>
              <w:rPr>
                <w:rFonts w:ascii="Arial Narrow" w:hAnsi="Arial Narrow" w:cs="Times New Roman"/>
              </w:rPr>
              <w:t>z toho: Tovary a služby (630, kód 111)</w:t>
            </w:r>
          </w:p>
        </w:tc>
        <w:tc>
          <w:tcPr>
            <w:tcW w:w="1663"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363E03" w:rsidP="00C362EA">
            <w:pPr>
              <w:spacing w:line="240" w:lineRule="auto"/>
              <w:jc w:val="right"/>
              <w:rPr>
                <w:rFonts w:ascii="Arial Narrow" w:hAnsi="Arial Narrow" w:cs="Times New Roman"/>
              </w:rPr>
            </w:pPr>
            <w:r>
              <w:rPr>
                <w:rFonts w:ascii="Arial Narrow" w:hAnsi="Arial Narrow" w:cs="Times New Roman"/>
              </w:rPr>
              <w:t>16 669 000,00</w:t>
            </w:r>
          </w:p>
        </w:tc>
        <w:tc>
          <w:tcPr>
            <w:tcW w:w="1664"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363E03" w:rsidP="00C362EA">
            <w:pPr>
              <w:spacing w:line="240" w:lineRule="auto"/>
              <w:jc w:val="right"/>
              <w:rPr>
                <w:rFonts w:ascii="Arial Narrow" w:hAnsi="Arial Narrow" w:cs="Times New Roman"/>
              </w:rPr>
            </w:pPr>
            <w:r>
              <w:rPr>
                <w:rFonts w:ascii="Arial Narrow" w:hAnsi="Arial Narrow" w:cs="Times New Roman"/>
              </w:rPr>
              <w:t>15 089 </w:t>
            </w:r>
            <w:r w:rsidR="0019612E">
              <w:rPr>
                <w:rFonts w:ascii="Arial Narrow" w:hAnsi="Arial Narrow" w:cs="Times New Roman"/>
              </w:rPr>
              <w:t>0</w:t>
            </w:r>
            <w:r>
              <w:rPr>
                <w:rFonts w:ascii="Arial Narrow" w:hAnsi="Arial Narrow" w:cs="Times New Roman"/>
              </w:rPr>
              <w:t>00,00</w:t>
            </w:r>
          </w:p>
        </w:tc>
        <w:tc>
          <w:tcPr>
            <w:tcW w:w="1714"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363E03" w:rsidP="00C362EA">
            <w:pPr>
              <w:spacing w:line="240" w:lineRule="auto"/>
              <w:jc w:val="right"/>
              <w:rPr>
                <w:rFonts w:ascii="Arial Narrow" w:hAnsi="Arial Narrow" w:cs="Times New Roman"/>
              </w:rPr>
            </w:pPr>
            <w:r w:rsidR="0019612E">
              <w:rPr>
                <w:rFonts w:ascii="Arial Narrow" w:hAnsi="Arial Narrow" w:cs="Times New Roman"/>
              </w:rPr>
              <w:t>15 089 000,00</w:t>
            </w:r>
          </w:p>
        </w:tc>
        <w:tc>
          <w:tcPr>
            <w:tcW w:w="161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363E03" w:rsidP="00C362EA">
            <w:pPr>
              <w:spacing w:line="240" w:lineRule="auto"/>
              <w:jc w:val="right"/>
              <w:rPr>
                <w:rFonts w:ascii="Arial Narrow" w:hAnsi="Arial Narrow" w:cs="Times New Roman"/>
              </w:rPr>
            </w:pPr>
            <w:r w:rsidR="0019612E">
              <w:rPr>
                <w:rFonts w:ascii="Arial Narrow" w:hAnsi="Arial Narrow" w:cs="Times New Roman"/>
              </w:rPr>
              <w:t>0,00</w:t>
            </w:r>
          </w:p>
        </w:tc>
      </w:tr>
      <w:tr>
        <w:tblPrEx>
          <w:tblW w:w="10260" w:type="dxa"/>
          <w:tblInd w:w="-432" w:type="dxa"/>
        </w:tblPrEx>
        <w:trPr>
          <w:trHeight w:hRule="auto" w:val="0"/>
        </w:trPr>
        <w:tc>
          <w:tcPr>
            <w:tcW w:w="360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6215C5" w:rsidP="00C362EA">
            <w:pPr>
              <w:spacing w:line="240" w:lineRule="auto"/>
              <w:rPr>
                <w:rFonts w:ascii="Arial Narrow" w:hAnsi="Arial Narrow" w:cs="Times New Roman"/>
              </w:rPr>
            </w:pPr>
            <w:r w:rsidR="00CE0EA9">
              <w:rPr>
                <w:rFonts w:ascii="Arial Narrow" w:hAnsi="Arial Narrow" w:cs="Times New Roman"/>
              </w:rPr>
              <w:t xml:space="preserve">z toho: Tovary a sl. </w:t>
            </w:r>
            <w:r>
              <w:rPr>
                <w:rFonts w:ascii="Arial Narrow" w:hAnsi="Arial Narrow" w:cs="Times New Roman"/>
              </w:rPr>
              <w:t>(630) – prost. EÚ – ESF</w:t>
            </w:r>
          </w:p>
        </w:tc>
        <w:tc>
          <w:tcPr>
            <w:tcW w:w="1663"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6215C5" w:rsidP="00C362EA">
            <w:pPr>
              <w:spacing w:line="240" w:lineRule="auto"/>
              <w:jc w:val="right"/>
              <w:rPr>
                <w:rFonts w:ascii="Arial Narrow" w:hAnsi="Arial Narrow" w:cs="Times New Roman"/>
              </w:rPr>
            </w:pPr>
            <w:r>
              <w:rPr>
                <w:rFonts w:ascii="Arial Narrow" w:hAnsi="Arial Narrow" w:cs="Times New Roman"/>
              </w:rPr>
              <w:t>0,00</w:t>
            </w:r>
          </w:p>
        </w:tc>
        <w:tc>
          <w:tcPr>
            <w:tcW w:w="1664"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6215C5" w:rsidP="00C362EA">
            <w:pPr>
              <w:spacing w:line="240" w:lineRule="auto"/>
              <w:jc w:val="right"/>
              <w:rPr>
                <w:rFonts w:ascii="Arial Narrow" w:hAnsi="Arial Narrow" w:cs="Times New Roman"/>
              </w:rPr>
            </w:pPr>
            <w:r w:rsidR="000F7B88">
              <w:rPr>
                <w:rFonts w:ascii="Arial Narrow" w:hAnsi="Arial Narrow" w:cs="Times New Roman"/>
              </w:rPr>
              <w:t>802 800,0</w:t>
            </w:r>
            <w:r>
              <w:rPr>
                <w:rFonts w:ascii="Arial Narrow" w:hAnsi="Arial Narrow" w:cs="Times New Roman"/>
              </w:rPr>
              <w:t>0</w:t>
            </w:r>
          </w:p>
        </w:tc>
        <w:tc>
          <w:tcPr>
            <w:tcW w:w="1714"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6215C5" w:rsidP="00C362EA">
            <w:pPr>
              <w:spacing w:line="240" w:lineRule="auto"/>
              <w:jc w:val="right"/>
              <w:rPr>
                <w:rFonts w:ascii="Arial Narrow" w:hAnsi="Arial Narrow" w:cs="Times New Roman"/>
              </w:rPr>
            </w:pPr>
            <w:r>
              <w:rPr>
                <w:rFonts w:ascii="Arial Narrow" w:hAnsi="Arial Narrow" w:cs="Times New Roman"/>
              </w:rPr>
              <w:t>725 737,70</w:t>
            </w:r>
          </w:p>
        </w:tc>
        <w:tc>
          <w:tcPr>
            <w:tcW w:w="161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6215C5" w:rsidP="00C362EA">
            <w:pPr>
              <w:spacing w:line="240" w:lineRule="auto"/>
              <w:jc w:val="right"/>
              <w:rPr>
                <w:rFonts w:ascii="Arial Narrow" w:hAnsi="Arial Narrow" w:cs="Times New Roman"/>
              </w:rPr>
            </w:pPr>
            <w:r w:rsidR="000F7B88">
              <w:rPr>
                <w:rFonts w:ascii="Arial Narrow" w:hAnsi="Arial Narrow" w:cs="Times New Roman"/>
              </w:rPr>
              <w:t>77 062,30</w:t>
            </w:r>
          </w:p>
        </w:tc>
      </w:tr>
      <w:tr>
        <w:tblPrEx>
          <w:tblW w:w="10260" w:type="dxa"/>
          <w:tblInd w:w="-432" w:type="dxa"/>
        </w:tblPrEx>
        <w:trPr>
          <w:trHeight w:hRule="auto" w:val="0"/>
        </w:trPr>
        <w:tc>
          <w:tcPr>
            <w:tcW w:w="360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6215C5" w:rsidP="00C362EA">
            <w:pPr>
              <w:spacing w:line="240" w:lineRule="auto"/>
              <w:rPr>
                <w:rFonts w:ascii="Arial Narrow" w:hAnsi="Arial Narrow" w:cs="Times New Roman"/>
              </w:rPr>
            </w:pPr>
            <w:r w:rsidR="00363E03">
              <w:rPr>
                <w:rFonts w:ascii="Arial Narrow" w:hAnsi="Arial Narrow" w:cs="Times New Roman"/>
              </w:rPr>
              <w:t xml:space="preserve">z toho: Povol. prekr. z prij. </w:t>
            </w:r>
            <w:r>
              <w:rPr>
                <w:rFonts w:ascii="Arial Narrow" w:hAnsi="Arial Narrow" w:cs="Times New Roman"/>
              </w:rPr>
              <w:t xml:space="preserve">poist. plnení (630) </w:t>
            </w:r>
          </w:p>
        </w:tc>
        <w:tc>
          <w:tcPr>
            <w:tcW w:w="1663"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6215C5" w:rsidP="00C362EA">
            <w:pPr>
              <w:spacing w:line="240" w:lineRule="auto"/>
              <w:jc w:val="right"/>
              <w:rPr>
                <w:rFonts w:ascii="Arial Narrow" w:hAnsi="Arial Narrow" w:cs="Times New Roman"/>
              </w:rPr>
            </w:pPr>
            <w:r>
              <w:rPr>
                <w:rFonts w:ascii="Arial Narrow" w:hAnsi="Arial Narrow" w:cs="Times New Roman"/>
              </w:rPr>
              <w:t>0,00</w:t>
            </w:r>
          </w:p>
        </w:tc>
        <w:tc>
          <w:tcPr>
            <w:tcW w:w="1664"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6215C5" w:rsidP="00C362EA">
            <w:pPr>
              <w:spacing w:line="240" w:lineRule="auto"/>
              <w:jc w:val="right"/>
              <w:rPr>
                <w:rFonts w:ascii="Arial Narrow" w:hAnsi="Arial Narrow" w:cs="Times New Roman"/>
              </w:rPr>
            </w:pPr>
            <w:r>
              <w:rPr>
                <w:rFonts w:ascii="Arial Narrow" w:hAnsi="Arial Narrow" w:cs="Times New Roman"/>
              </w:rPr>
              <w:t>0,00</w:t>
            </w:r>
          </w:p>
        </w:tc>
        <w:tc>
          <w:tcPr>
            <w:tcW w:w="1714"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6215C5" w:rsidRPr="00B23854" w:rsidP="00C362EA">
            <w:pPr>
              <w:spacing w:line="240" w:lineRule="auto"/>
              <w:jc w:val="right"/>
              <w:rPr>
                <w:rFonts w:ascii="Arial Narrow" w:hAnsi="Arial Narrow" w:cs="Times New Roman"/>
              </w:rPr>
            </w:pPr>
            <w:r>
              <w:rPr>
                <w:rFonts w:ascii="Arial Narrow" w:hAnsi="Arial Narrow" w:cs="Times New Roman"/>
              </w:rPr>
              <w:t>4 8</w:t>
            </w:r>
            <w:r>
              <w:rPr>
                <w:rFonts w:ascii="Arial Narrow" w:hAnsi="Arial Narrow" w:cs="Times New Roman"/>
              </w:rPr>
              <w:t>26 853,80</w:t>
            </w:r>
          </w:p>
        </w:tc>
        <w:tc>
          <w:tcPr>
            <w:tcW w:w="161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6215C5" w:rsidP="00C362EA">
            <w:pPr>
              <w:spacing w:line="240" w:lineRule="auto"/>
              <w:jc w:val="right"/>
              <w:rPr>
                <w:rFonts w:ascii="Arial Narrow" w:hAnsi="Arial Narrow" w:cs="Times New Roman"/>
              </w:rPr>
            </w:pPr>
            <w:r>
              <w:rPr>
                <w:rFonts w:ascii="Arial Narrow" w:hAnsi="Arial Narrow" w:cs="Times New Roman"/>
              </w:rPr>
              <w:t>- 4 826 853,80</w:t>
            </w:r>
          </w:p>
        </w:tc>
      </w:tr>
      <w:tr>
        <w:tblPrEx>
          <w:tblW w:w="10260" w:type="dxa"/>
          <w:tblInd w:w="-432" w:type="dxa"/>
        </w:tblPrEx>
        <w:trPr>
          <w:trHeight w:hRule="auto" w:val="0"/>
        </w:trPr>
        <w:tc>
          <w:tcPr>
            <w:tcW w:w="360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6215C5" w:rsidRPr="00D04D46" w:rsidP="00C362EA">
            <w:pPr>
              <w:spacing w:line="240" w:lineRule="auto"/>
              <w:rPr>
                <w:rFonts w:ascii="Arial Narrow" w:hAnsi="Arial Narrow" w:cs="Times New Roman"/>
              </w:rPr>
            </w:pPr>
            <w:r>
              <w:rPr>
                <w:rFonts w:ascii="Arial Narrow" w:hAnsi="Arial Narrow" w:cs="Times New Roman"/>
              </w:rPr>
              <w:t>Bežné transfery (640)</w:t>
            </w:r>
          </w:p>
        </w:tc>
        <w:tc>
          <w:tcPr>
            <w:tcW w:w="1663"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6215C5" w:rsidRPr="00D04D46" w:rsidP="00C362EA">
            <w:pPr>
              <w:spacing w:line="240" w:lineRule="auto"/>
              <w:jc w:val="right"/>
              <w:rPr>
                <w:rFonts w:ascii="Arial Narrow" w:hAnsi="Arial Narrow" w:cs="Times New Roman"/>
              </w:rPr>
            </w:pPr>
            <w:r>
              <w:rPr>
                <w:rFonts w:ascii="Arial Narrow" w:hAnsi="Arial Narrow" w:cs="Times New Roman"/>
              </w:rPr>
              <w:t>1 000 000,00</w:t>
            </w:r>
          </w:p>
        </w:tc>
        <w:tc>
          <w:tcPr>
            <w:tcW w:w="1664"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6215C5" w:rsidRPr="00D04D46" w:rsidP="00C362EA">
            <w:pPr>
              <w:spacing w:line="240" w:lineRule="auto"/>
              <w:jc w:val="right"/>
              <w:rPr>
                <w:rFonts w:ascii="Arial Narrow" w:hAnsi="Arial Narrow" w:cs="Times New Roman"/>
              </w:rPr>
            </w:pPr>
            <w:r>
              <w:rPr>
                <w:rFonts w:ascii="Arial Narrow" w:hAnsi="Arial Narrow" w:cs="Times New Roman"/>
              </w:rPr>
              <w:t>2 380 000,00</w:t>
            </w:r>
          </w:p>
        </w:tc>
        <w:tc>
          <w:tcPr>
            <w:tcW w:w="1714"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6215C5" w:rsidRPr="00B23854" w:rsidP="00C362EA">
            <w:pPr>
              <w:spacing w:line="240" w:lineRule="auto"/>
              <w:jc w:val="right"/>
              <w:rPr>
                <w:rFonts w:ascii="Arial Narrow" w:hAnsi="Arial Narrow" w:cs="Times New Roman"/>
              </w:rPr>
            </w:pPr>
            <w:r>
              <w:rPr>
                <w:rFonts w:ascii="Arial Narrow" w:hAnsi="Arial Narrow" w:cs="Times New Roman"/>
              </w:rPr>
              <w:t>2 380 000,00</w:t>
            </w:r>
          </w:p>
        </w:tc>
        <w:tc>
          <w:tcPr>
            <w:tcW w:w="161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6215C5" w:rsidP="00C362EA">
            <w:pPr>
              <w:spacing w:line="240" w:lineRule="auto"/>
              <w:jc w:val="right"/>
              <w:rPr>
                <w:rFonts w:ascii="Arial Narrow" w:hAnsi="Arial Narrow" w:cs="Times New Roman"/>
              </w:rPr>
            </w:pPr>
            <w:r>
              <w:rPr>
                <w:rFonts w:ascii="Arial Narrow" w:hAnsi="Arial Narrow" w:cs="Times New Roman"/>
              </w:rPr>
              <w:t>0,00</w:t>
            </w:r>
          </w:p>
        </w:tc>
      </w:tr>
      <w:tr>
        <w:tblPrEx>
          <w:tblW w:w="10260" w:type="dxa"/>
          <w:tblInd w:w="-432" w:type="dxa"/>
        </w:tblPrEx>
        <w:trPr>
          <w:trHeight w:hRule="auto" w:val="0"/>
        </w:trPr>
        <w:tc>
          <w:tcPr>
            <w:tcW w:w="360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6215C5" w:rsidP="00C362EA">
            <w:pPr>
              <w:spacing w:line="240" w:lineRule="auto"/>
              <w:rPr>
                <w:rFonts w:ascii="Arial Narrow" w:hAnsi="Arial Narrow" w:cs="Times New Roman"/>
              </w:rPr>
            </w:pPr>
            <w:r>
              <w:rPr>
                <w:rFonts w:ascii="Arial Narrow" w:hAnsi="Arial Narrow" w:cs="Times New Roman"/>
              </w:rPr>
              <w:t>Kapitálové výdavky (710)</w:t>
            </w:r>
          </w:p>
        </w:tc>
        <w:tc>
          <w:tcPr>
            <w:tcW w:w="1663"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6215C5" w:rsidRPr="00D04D46" w:rsidP="00C362EA">
            <w:pPr>
              <w:spacing w:line="240" w:lineRule="auto"/>
              <w:jc w:val="right"/>
              <w:rPr>
                <w:rFonts w:ascii="Arial Narrow" w:hAnsi="Arial Narrow" w:cs="Times New Roman"/>
              </w:rPr>
            </w:pPr>
            <w:r>
              <w:rPr>
                <w:rFonts w:ascii="Arial Narrow" w:hAnsi="Arial Narrow" w:cs="Times New Roman"/>
              </w:rPr>
              <w:t>2 000 000,00</w:t>
            </w:r>
          </w:p>
        </w:tc>
        <w:tc>
          <w:tcPr>
            <w:tcW w:w="1664"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6215C5" w:rsidRPr="00D04D46" w:rsidP="00C362EA">
            <w:pPr>
              <w:spacing w:line="240" w:lineRule="auto"/>
              <w:jc w:val="right"/>
              <w:rPr>
                <w:rFonts w:ascii="Arial Narrow" w:hAnsi="Arial Narrow" w:cs="Times New Roman"/>
              </w:rPr>
            </w:pPr>
            <w:r>
              <w:rPr>
                <w:rFonts w:ascii="Arial Narrow" w:hAnsi="Arial Narrow" w:cs="Times New Roman"/>
              </w:rPr>
              <w:t>7 989 190,00</w:t>
            </w:r>
          </w:p>
        </w:tc>
        <w:tc>
          <w:tcPr>
            <w:tcW w:w="1714"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6215C5" w:rsidRPr="00B23854" w:rsidP="00C362EA">
            <w:pPr>
              <w:spacing w:line="240" w:lineRule="auto"/>
              <w:jc w:val="right"/>
              <w:rPr>
                <w:rFonts w:ascii="Arial Narrow" w:hAnsi="Arial Narrow" w:cs="Times New Roman"/>
              </w:rPr>
            </w:pPr>
            <w:r>
              <w:rPr>
                <w:rFonts w:ascii="Arial Narrow" w:hAnsi="Arial Narrow" w:cs="Times New Roman"/>
              </w:rPr>
              <w:t>7 989 190,00</w:t>
            </w:r>
          </w:p>
        </w:tc>
        <w:tc>
          <w:tcPr>
            <w:tcW w:w="161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6215C5" w:rsidP="00C362EA">
            <w:pPr>
              <w:spacing w:line="240" w:lineRule="auto"/>
              <w:jc w:val="right"/>
              <w:rPr>
                <w:rFonts w:ascii="Arial Narrow" w:hAnsi="Arial Narrow" w:cs="Times New Roman"/>
              </w:rPr>
            </w:pPr>
            <w:r>
              <w:rPr>
                <w:rFonts w:ascii="Arial Narrow" w:hAnsi="Arial Narrow" w:cs="Times New Roman"/>
              </w:rPr>
              <w:t>0,00</w:t>
            </w:r>
          </w:p>
        </w:tc>
      </w:tr>
      <w:tr>
        <w:tblPrEx>
          <w:tblW w:w="10260" w:type="dxa"/>
          <w:tblInd w:w="-432" w:type="dxa"/>
        </w:tblPrEx>
        <w:trPr>
          <w:trHeight w:hRule="auto" w:val="0"/>
        </w:trPr>
        <w:tc>
          <w:tcPr>
            <w:tcW w:w="3600" w:type="dxa"/>
            <w:tcBorders>
              <w:top w:val="single" w:sz="4" w:space="0" w:color="auto"/>
              <w:left w:val="single" w:sz="4" w:space="0" w:color="auto"/>
              <w:bottom w:val="single" w:sz="4" w:space="0" w:color="auto"/>
              <w:right w:val="single" w:sz="4" w:space="0" w:color="auto"/>
              <w:tl2br w:val="nil"/>
              <w:tr2bl w:val="nil"/>
            </w:tcBorders>
            <w:shd w:val="clear" w:color="auto" w:fill="C0C0C0"/>
            <w:textDirection w:val="lrTb"/>
            <w:vAlign w:val="center"/>
          </w:tcPr>
          <w:p w:rsidR="006215C5" w:rsidRPr="00F92827" w:rsidP="00C362EA">
            <w:pPr>
              <w:spacing w:line="240" w:lineRule="auto"/>
              <w:rPr>
                <w:rFonts w:ascii="Arial Narrow" w:hAnsi="Arial Narrow" w:cs="Times New Roman"/>
                <w:b/>
              </w:rPr>
            </w:pPr>
            <w:r w:rsidRPr="00F92827">
              <w:rPr>
                <w:rFonts w:ascii="Arial Narrow" w:hAnsi="Arial Narrow" w:cs="Times New Roman"/>
                <w:b/>
              </w:rPr>
              <w:t>SPOLU</w:t>
            </w:r>
          </w:p>
        </w:tc>
        <w:tc>
          <w:tcPr>
            <w:tcW w:w="1663" w:type="dxa"/>
            <w:tcBorders>
              <w:top w:val="single" w:sz="4" w:space="0" w:color="auto"/>
              <w:left w:val="single" w:sz="4" w:space="0" w:color="auto"/>
              <w:bottom w:val="single" w:sz="4" w:space="0" w:color="auto"/>
              <w:right w:val="single" w:sz="4" w:space="0" w:color="auto"/>
              <w:tl2br w:val="nil"/>
              <w:tr2bl w:val="nil"/>
            </w:tcBorders>
            <w:shd w:val="clear" w:color="auto" w:fill="C0C0C0"/>
            <w:textDirection w:val="lrTb"/>
            <w:vAlign w:val="center"/>
          </w:tcPr>
          <w:p w:rsidR="006215C5" w:rsidRPr="00F92827" w:rsidP="00C362EA">
            <w:pPr>
              <w:spacing w:line="240" w:lineRule="auto"/>
              <w:jc w:val="right"/>
              <w:rPr>
                <w:rFonts w:ascii="Arial Narrow" w:hAnsi="Arial Narrow" w:cs="Times New Roman"/>
                <w:b/>
              </w:rPr>
            </w:pPr>
            <w:r>
              <w:rPr>
                <w:rFonts w:ascii="Arial Narrow" w:hAnsi="Arial Narrow" w:cs="Times New Roman"/>
                <w:b/>
              </w:rPr>
              <w:t>152 632 </w:t>
            </w:r>
            <w:r w:rsidRPr="00F92827">
              <w:rPr>
                <w:rFonts w:ascii="Arial Narrow" w:hAnsi="Arial Narrow" w:cs="Times New Roman"/>
                <w:b/>
              </w:rPr>
              <w:t>000</w:t>
            </w:r>
            <w:r>
              <w:rPr>
                <w:rFonts w:ascii="Arial Narrow" w:hAnsi="Arial Narrow" w:cs="Times New Roman"/>
                <w:b/>
              </w:rPr>
              <w:t>,00</w:t>
            </w:r>
          </w:p>
        </w:tc>
        <w:tc>
          <w:tcPr>
            <w:tcW w:w="1664" w:type="dxa"/>
            <w:tcBorders>
              <w:top w:val="single" w:sz="4" w:space="0" w:color="auto"/>
              <w:left w:val="single" w:sz="4" w:space="0" w:color="auto"/>
              <w:bottom w:val="single" w:sz="4" w:space="0" w:color="auto"/>
              <w:right w:val="single" w:sz="4" w:space="0" w:color="auto"/>
              <w:tl2br w:val="nil"/>
              <w:tr2bl w:val="nil"/>
            </w:tcBorders>
            <w:shd w:val="clear" w:color="auto" w:fill="C0C0C0"/>
            <w:textDirection w:val="lrTb"/>
            <w:vAlign w:val="center"/>
          </w:tcPr>
          <w:p w:rsidR="006215C5" w:rsidRPr="00F92827" w:rsidP="00C362EA">
            <w:pPr>
              <w:spacing w:line="240" w:lineRule="auto"/>
              <w:jc w:val="right"/>
              <w:rPr>
                <w:rFonts w:ascii="Arial Narrow" w:hAnsi="Arial Narrow" w:cs="Times New Roman"/>
                <w:b/>
              </w:rPr>
            </w:pPr>
            <w:r w:rsidRPr="00F92827">
              <w:rPr>
                <w:rFonts w:ascii="Arial Narrow" w:hAnsi="Arial Narrow" w:cs="Times New Roman"/>
                <w:b/>
              </w:rPr>
              <w:t>16</w:t>
            </w:r>
            <w:r>
              <w:rPr>
                <w:rFonts w:ascii="Arial Narrow" w:hAnsi="Arial Narrow" w:cs="Times New Roman"/>
                <w:b/>
              </w:rPr>
              <w:t>9 834 379,80</w:t>
            </w:r>
          </w:p>
        </w:tc>
        <w:tc>
          <w:tcPr>
            <w:tcW w:w="1714" w:type="dxa"/>
            <w:tcBorders>
              <w:top w:val="single" w:sz="4" w:space="0" w:color="auto"/>
              <w:left w:val="single" w:sz="4" w:space="0" w:color="auto"/>
              <w:bottom w:val="single" w:sz="4" w:space="0" w:color="auto"/>
              <w:right w:val="single" w:sz="4" w:space="0" w:color="auto"/>
              <w:tl2br w:val="nil"/>
              <w:tr2bl w:val="nil"/>
            </w:tcBorders>
            <w:shd w:val="clear" w:color="auto" w:fill="C0C0C0"/>
            <w:textDirection w:val="lrTb"/>
            <w:vAlign w:val="center"/>
          </w:tcPr>
          <w:p w:rsidR="006215C5" w:rsidRPr="00F92827" w:rsidP="00C362EA">
            <w:pPr>
              <w:spacing w:line="240" w:lineRule="auto"/>
              <w:jc w:val="right"/>
              <w:rPr>
                <w:rFonts w:ascii="Arial Narrow" w:hAnsi="Arial Narrow" w:cs="Times New Roman"/>
                <w:b/>
              </w:rPr>
            </w:pPr>
            <w:r>
              <w:rPr>
                <w:rFonts w:ascii="Arial Narrow" w:hAnsi="Arial Narrow" w:cs="Times New Roman"/>
                <w:b/>
              </w:rPr>
              <w:t>174 584 171,30</w:t>
            </w:r>
          </w:p>
        </w:tc>
        <w:tc>
          <w:tcPr>
            <w:tcW w:w="1619" w:type="dxa"/>
            <w:tcBorders>
              <w:top w:val="single" w:sz="4" w:space="0" w:color="auto"/>
              <w:left w:val="single" w:sz="4" w:space="0" w:color="auto"/>
              <w:bottom w:val="single" w:sz="4" w:space="0" w:color="auto"/>
              <w:right w:val="single" w:sz="4" w:space="0" w:color="auto"/>
              <w:tl2br w:val="nil"/>
              <w:tr2bl w:val="nil"/>
            </w:tcBorders>
            <w:shd w:val="clear" w:color="auto" w:fill="C0C0C0"/>
            <w:textDirection w:val="lrTb"/>
            <w:vAlign w:val="top"/>
          </w:tcPr>
          <w:p w:rsidR="006215C5" w:rsidP="00C362EA">
            <w:pPr>
              <w:spacing w:line="240" w:lineRule="auto"/>
              <w:jc w:val="right"/>
              <w:rPr>
                <w:rFonts w:ascii="Arial Narrow" w:hAnsi="Arial Narrow" w:cs="Times New Roman"/>
                <w:b/>
              </w:rPr>
            </w:pPr>
            <w:r>
              <w:rPr>
                <w:rFonts w:ascii="Arial Narrow" w:hAnsi="Arial Narrow" w:cs="Times New Roman"/>
                <w:b/>
              </w:rPr>
              <w:t>- 4 749 791,50</w:t>
            </w:r>
          </w:p>
        </w:tc>
      </w:tr>
    </w:tbl>
    <w:p w:rsidR="00AE3AF3" w:rsidP="00C362EA">
      <w:pPr>
        <w:spacing w:line="240" w:lineRule="auto"/>
        <w:rPr>
          <w:rFonts w:ascii="Times New Roman" w:hAnsi="Times New Roman" w:cs="Times New Roman"/>
          <w:b/>
          <w:sz w:val="24"/>
          <w:szCs w:val="24"/>
        </w:rPr>
      </w:pPr>
    </w:p>
    <w:p w:rsidR="000B2D82" w:rsidP="00C362EA">
      <w:pPr>
        <w:spacing w:line="240" w:lineRule="auto"/>
        <w:rPr>
          <w:rFonts w:ascii="Times New Roman" w:hAnsi="Times New Roman" w:cs="Times New Roman"/>
          <w:b/>
          <w:sz w:val="24"/>
          <w:szCs w:val="24"/>
        </w:rPr>
      </w:pPr>
    </w:p>
    <w:p w:rsidR="006E2C6E" w:rsidP="00C362EA">
      <w:pPr>
        <w:spacing w:line="240" w:lineRule="auto"/>
        <w:rPr>
          <w:rFonts w:ascii="Times New Roman" w:hAnsi="Times New Roman" w:cs="Times New Roman"/>
          <w:b/>
          <w:sz w:val="24"/>
          <w:szCs w:val="24"/>
        </w:rPr>
      </w:pPr>
    </w:p>
    <w:p w:rsidR="008254A6" w:rsidRPr="008254A6" w:rsidP="00C362EA">
      <w:pPr>
        <w:spacing w:line="240" w:lineRule="auto"/>
        <w:rPr>
          <w:rFonts w:ascii="Times New Roman" w:hAnsi="Times New Roman" w:cs="Times New Roman"/>
          <w:b/>
          <w:sz w:val="24"/>
          <w:szCs w:val="24"/>
        </w:rPr>
      </w:pPr>
      <w:r w:rsidR="00B3037B">
        <w:rPr>
          <w:rFonts w:ascii="Times New Roman" w:hAnsi="Times New Roman" w:cs="Times New Roman"/>
          <w:b/>
          <w:sz w:val="24"/>
          <w:szCs w:val="24"/>
        </w:rPr>
        <w:t>VYHODNOTENIE ČERPANIA V</w:t>
      </w:r>
      <w:r w:rsidR="00B3037B">
        <w:rPr>
          <w:rFonts w:ascii="Times New Roman" w:hAnsi="Times New Roman" w:cs="Times New Roman"/>
          <w:b/>
          <w:sz w:val="24"/>
          <w:szCs w:val="24"/>
        </w:rPr>
        <w:t>ÝDAVKOV</w:t>
      </w:r>
    </w:p>
    <w:p w:rsidR="000B2D82" w:rsidP="00C362EA">
      <w:pPr>
        <w:spacing w:line="240" w:lineRule="auto"/>
        <w:rPr>
          <w:rFonts w:ascii="Times New Roman" w:hAnsi="Times New Roman" w:cs="Times New Roman"/>
          <w:b/>
          <w:sz w:val="24"/>
          <w:szCs w:val="24"/>
          <w:u w:val="single"/>
        </w:rPr>
      </w:pPr>
    </w:p>
    <w:p w:rsidR="006E2C6E" w:rsidP="00C362EA">
      <w:pPr>
        <w:spacing w:line="240" w:lineRule="auto"/>
        <w:rPr>
          <w:rFonts w:ascii="Times New Roman" w:hAnsi="Times New Roman" w:cs="Times New Roman"/>
          <w:b/>
          <w:sz w:val="24"/>
          <w:szCs w:val="24"/>
          <w:u w:val="single"/>
        </w:rPr>
      </w:pPr>
    </w:p>
    <w:p w:rsidR="00263E84" w:rsidRPr="009909AA" w:rsidP="00C362EA">
      <w:pPr>
        <w:numPr>
          <w:ilvl w:val="0"/>
          <w:numId w:val="16"/>
        </w:numPr>
        <w:tabs>
          <w:tab w:val="left" w:pos="720"/>
        </w:tabs>
        <w:spacing w:line="240" w:lineRule="auto"/>
        <w:rPr>
          <w:rFonts w:ascii="Times New Roman" w:hAnsi="Times New Roman" w:cs="Times New Roman"/>
          <w:b/>
          <w:sz w:val="28"/>
          <w:szCs w:val="28"/>
          <w:u w:val="single"/>
        </w:rPr>
      </w:pPr>
      <w:r w:rsidRPr="009909AA" w:rsidR="00B3037B">
        <w:rPr>
          <w:rFonts w:ascii="Times New Roman" w:hAnsi="Times New Roman" w:cs="Times New Roman"/>
          <w:b/>
          <w:sz w:val="28"/>
          <w:szCs w:val="28"/>
          <w:u w:val="single"/>
        </w:rPr>
        <w:t>Bežné výdavky (630) na údržbu a oprav</w:t>
      </w:r>
      <w:r w:rsidR="009909AA">
        <w:rPr>
          <w:rFonts w:ascii="Times New Roman" w:hAnsi="Times New Roman" w:cs="Times New Roman"/>
          <w:b/>
          <w:sz w:val="28"/>
          <w:szCs w:val="28"/>
          <w:u w:val="single"/>
        </w:rPr>
        <w:t xml:space="preserve">y ciest I. triedy a diaľničných </w:t>
      </w:r>
      <w:r w:rsidRPr="009909AA" w:rsidR="00B3037B">
        <w:rPr>
          <w:rFonts w:ascii="Times New Roman" w:hAnsi="Times New Roman" w:cs="Times New Roman"/>
          <w:b/>
          <w:sz w:val="28"/>
          <w:szCs w:val="28"/>
          <w:u w:val="single"/>
        </w:rPr>
        <w:t>privádzačov</w:t>
      </w:r>
      <w:r w:rsidRPr="009909AA">
        <w:rPr>
          <w:rFonts w:ascii="Times New Roman" w:hAnsi="Times New Roman" w:cs="Times New Roman"/>
          <w:b/>
          <w:sz w:val="28"/>
          <w:szCs w:val="28"/>
          <w:u w:val="single"/>
        </w:rPr>
        <w:t xml:space="preserve"> (FK 04.5.1.2.)</w:t>
      </w:r>
    </w:p>
    <w:p w:rsidR="00AE3AF3" w:rsidP="00C362EA">
      <w:pPr>
        <w:spacing w:line="240" w:lineRule="auto"/>
        <w:rPr>
          <w:rFonts w:ascii="Times New Roman" w:hAnsi="Times New Roman" w:cs="Times New Roman"/>
          <w:b/>
          <w:sz w:val="24"/>
          <w:szCs w:val="24"/>
          <w:u w:val="single"/>
        </w:rPr>
      </w:pPr>
    </w:p>
    <w:p w:rsidR="006E2C6E" w:rsidRPr="00DB3FC6" w:rsidP="00C362EA">
      <w:pPr>
        <w:spacing w:line="240" w:lineRule="auto"/>
        <w:rPr>
          <w:rFonts w:ascii="Times New Roman" w:hAnsi="Times New Roman" w:cs="Times New Roman"/>
          <w:b/>
          <w:sz w:val="24"/>
          <w:szCs w:val="24"/>
          <w:u w:val="single"/>
        </w:rPr>
      </w:pPr>
    </w:p>
    <w:p w:rsidR="00B3037B" w:rsidRPr="00B3037B" w:rsidP="00C362EA">
      <w:pPr>
        <w:spacing w:line="240" w:lineRule="auto"/>
        <w:ind w:firstLine="708"/>
        <w:rPr>
          <w:rFonts w:ascii="Times New Roman" w:hAnsi="Times New Roman" w:cs="Times New Roman"/>
          <w:sz w:val="24"/>
          <w:szCs w:val="24"/>
        </w:rPr>
      </w:pPr>
      <w:r w:rsidRPr="00B3037B">
        <w:rPr>
          <w:rFonts w:ascii="Times New Roman" w:hAnsi="Times New Roman" w:cs="Times New Roman"/>
          <w:sz w:val="24"/>
          <w:szCs w:val="24"/>
        </w:rPr>
        <w:t>Finančné p</w:t>
      </w:r>
      <w:r w:rsidR="00232BA4">
        <w:rPr>
          <w:rFonts w:ascii="Times New Roman" w:hAnsi="Times New Roman" w:cs="Times New Roman"/>
          <w:sz w:val="24"/>
          <w:szCs w:val="24"/>
        </w:rPr>
        <w:t>rostriedky pridelené na rok 2007</w:t>
      </w:r>
      <w:r w:rsidRPr="00B3037B">
        <w:rPr>
          <w:rFonts w:ascii="Times New Roman" w:hAnsi="Times New Roman" w:cs="Times New Roman"/>
          <w:sz w:val="24"/>
          <w:szCs w:val="24"/>
        </w:rPr>
        <w:t xml:space="preserve"> vo výške </w:t>
      </w:r>
      <w:r w:rsidRPr="000B2D82" w:rsidR="00232BA4">
        <w:rPr>
          <w:rFonts w:ascii="Times New Roman" w:hAnsi="Times New Roman" w:cs="Times New Roman"/>
          <w:b/>
          <w:sz w:val="24"/>
          <w:szCs w:val="24"/>
        </w:rPr>
        <w:t xml:space="preserve">1 081 000 </w:t>
      </w:r>
      <w:r w:rsidRPr="000B2D82" w:rsidR="00336D7A">
        <w:rPr>
          <w:rFonts w:ascii="Times New Roman" w:hAnsi="Times New Roman" w:cs="Times New Roman"/>
          <w:b/>
          <w:sz w:val="24"/>
          <w:szCs w:val="24"/>
        </w:rPr>
        <w:t>00</w:t>
      </w:r>
      <w:r w:rsidRPr="000B2D82">
        <w:rPr>
          <w:rFonts w:ascii="Times New Roman" w:hAnsi="Times New Roman" w:cs="Times New Roman"/>
          <w:b/>
          <w:sz w:val="24"/>
          <w:szCs w:val="24"/>
        </w:rPr>
        <w:t>0,- Sk</w:t>
      </w:r>
      <w:r w:rsidRPr="002C7E22">
        <w:rPr>
          <w:rFonts w:ascii="Times New Roman" w:hAnsi="Times New Roman" w:cs="Times New Roman"/>
          <w:sz w:val="24"/>
          <w:szCs w:val="24"/>
        </w:rPr>
        <w:t xml:space="preserve"> boli čerpané</w:t>
      </w:r>
      <w:r w:rsidRPr="00B3037B">
        <w:rPr>
          <w:rFonts w:ascii="Times New Roman" w:hAnsi="Times New Roman" w:cs="Times New Roman"/>
          <w:sz w:val="24"/>
          <w:szCs w:val="24"/>
        </w:rPr>
        <w:t xml:space="preserve">  v plnom rozsahu.</w:t>
      </w:r>
      <w:r w:rsidR="00336D7A">
        <w:rPr>
          <w:rFonts w:ascii="Times New Roman" w:hAnsi="Times New Roman" w:cs="Times New Roman"/>
          <w:sz w:val="24"/>
          <w:szCs w:val="24"/>
        </w:rPr>
        <w:t xml:space="preserve"> </w:t>
      </w:r>
      <w:r w:rsidRPr="00B3037B">
        <w:rPr>
          <w:rFonts w:ascii="Times New Roman" w:hAnsi="Times New Roman" w:cs="Times New Roman"/>
          <w:sz w:val="24"/>
          <w:szCs w:val="24"/>
        </w:rPr>
        <w:t xml:space="preserve">Finančné prostriedky boli použité  nasledovne </w:t>
      </w:r>
      <w:r w:rsidRPr="00B3037B">
        <w:rPr>
          <w:rFonts w:ascii="Times New Roman" w:hAnsi="Times New Roman" w:cs="Times New Roman"/>
          <w:sz w:val="24"/>
          <w:szCs w:val="24"/>
        </w:rPr>
        <w:t>:</w:t>
      </w:r>
    </w:p>
    <w:p w:rsidR="008121B0" w:rsidRPr="00B3037B" w:rsidP="00C362EA">
      <w:pPr>
        <w:spacing w:line="240" w:lineRule="auto"/>
        <w:rPr>
          <w:rFonts w:ascii="Times New Roman" w:hAnsi="Times New Roman" w:cs="Times New Roman"/>
          <w:sz w:val="24"/>
          <w:szCs w:val="24"/>
          <w:u w:val="single"/>
        </w:rPr>
      </w:pPr>
    </w:p>
    <w:p w:rsidR="00AE3AF3" w:rsidP="00C362EA">
      <w:pPr>
        <w:spacing w:line="240" w:lineRule="auto"/>
        <w:rPr>
          <w:rFonts w:ascii="Times New Roman" w:hAnsi="Times New Roman" w:cs="Times New Roman"/>
          <w:sz w:val="24"/>
          <w:szCs w:val="24"/>
        </w:rPr>
      </w:pPr>
      <w:r w:rsidRPr="00B3037B" w:rsidR="00B3037B">
        <w:rPr>
          <w:rFonts w:ascii="Times New Roman" w:hAnsi="Times New Roman" w:cs="Times New Roman"/>
          <w:sz w:val="24"/>
          <w:szCs w:val="24"/>
          <w:u w:val="single"/>
        </w:rPr>
        <w:t>Skupina  RP 631</w:t>
      </w:r>
      <w:r w:rsidR="00336D7A">
        <w:rPr>
          <w:rFonts w:ascii="Times New Roman" w:hAnsi="Times New Roman" w:cs="Times New Roman"/>
          <w:sz w:val="24"/>
          <w:szCs w:val="24"/>
        </w:rPr>
        <w:t xml:space="preserve"> – </w:t>
      </w:r>
      <w:r w:rsidRPr="00B3037B" w:rsidR="00B3037B">
        <w:rPr>
          <w:rFonts w:ascii="Times New Roman" w:hAnsi="Times New Roman" w:cs="Times New Roman"/>
          <w:sz w:val="24"/>
          <w:szCs w:val="24"/>
        </w:rPr>
        <w:t>Cestovné náhrady</w:t>
      </w:r>
      <w:r w:rsidR="001D1C94">
        <w:rPr>
          <w:rFonts w:ascii="Times New Roman" w:hAnsi="Times New Roman" w:cs="Times New Roman"/>
          <w:sz w:val="24"/>
          <w:szCs w:val="24"/>
        </w:rPr>
        <w:t xml:space="preserve"> </w:t>
      </w:r>
      <w:r w:rsidRPr="000B2D82" w:rsidR="00D4769E">
        <w:rPr>
          <w:rFonts w:ascii="Times New Roman" w:hAnsi="Times New Roman" w:cs="Times New Roman"/>
          <w:b/>
          <w:sz w:val="24"/>
          <w:szCs w:val="24"/>
        </w:rPr>
        <w:t xml:space="preserve">2 615 467,95 </w:t>
      </w:r>
      <w:r w:rsidRPr="000B2D82" w:rsidR="00B3037B">
        <w:rPr>
          <w:rFonts w:ascii="Times New Roman" w:hAnsi="Times New Roman" w:cs="Times New Roman"/>
          <w:b/>
          <w:sz w:val="24"/>
          <w:szCs w:val="24"/>
        </w:rPr>
        <w:t>Sk</w:t>
      </w:r>
      <w:r w:rsidRPr="002C7E22" w:rsidR="00D44CD6">
        <w:rPr>
          <w:rFonts w:ascii="Times New Roman" w:hAnsi="Times New Roman" w:cs="Times New Roman"/>
          <w:sz w:val="24"/>
          <w:szCs w:val="24"/>
        </w:rPr>
        <w:t xml:space="preserve"> (v roku </w:t>
      </w:r>
      <w:r w:rsidR="00D4769E">
        <w:rPr>
          <w:rFonts w:ascii="Times New Roman" w:hAnsi="Times New Roman" w:cs="Times New Roman"/>
          <w:sz w:val="24"/>
          <w:szCs w:val="24"/>
        </w:rPr>
        <w:t>2007</w:t>
      </w:r>
      <w:r w:rsidRPr="002C7E22" w:rsidR="00B3037B">
        <w:rPr>
          <w:rFonts w:ascii="Times New Roman" w:hAnsi="Times New Roman" w:cs="Times New Roman"/>
          <w:sz w:val="24"/>
          <w:szCs w:val="24"/>
        </w:rPr>
        <w:t xml:space="preserve"> plán tuzemských a zahraničných ciest zamestnancov SSC vychádzal z tematického za</w:t>
      </w:r>
      <w:r w:rsidRPr="00B3037B" w:rsidR="00B3037B">
        <w:rPr>
          <w:rFonts w:ascii="Times New Roman" w:hAnsi="Times New Roman" w:cs="Times New Roman"/>
          <w:sz w:val="24"/>
          <w:szCs w:val="24"/>
        </w:rPr>
        <w:t>merania a bol zostavený v súlade s požiadavkami na zvyšovanie vedomostnej úrovne pracovník</w:t>
      </w:r>
      <w:r w:rsidR="00336D7A">
        <w:rPr>
          <w:rFonts w:ascii="Times New Roman" w:hAnsi="Times New Roman" w:cs="Times New Roman"/>
          <w:sz w:val="24"/>
          <w:szCs w:val="24"/>
        </w:rPr>
        <w:t xml:space="preserve">ov SSC, ako aj  na upevňovanie </w:t>
      </w:r>
      <w:r w:rsidRPr="00B3037B" w:rsidR="00B3037B">
        <w:rPr>
          <w:rFonts w:ascii="Times New Roman" w:hAnsi="Times New Roman" w:cs="Times New Roman"/>
          <w:sz w:val="24"/>
          <w:szCs w:val="24"/>
        </w:rPr>
        <w:t>a udržiavanie medzinárodných ko</w:t>
      </w:r>
      <w:r w:rsidR="00B27788">
        <w:rPr>
          <w:rFonts w:ascii="Times New Roman" w:hAnsi="Times New Roman" w:cs="Times New Roman"/>
          <w:sz w:val="24"/>
          <w:szCs w:val="24"/>
        </w:rPr>
        <w:t>ntaktov</w:t>
      </w:r>
      <w:r w:rsidR="001D1C94">
        <w:rPr>
          <w:rFonts w:ascii="Times New Roman" w:hAnsi="Times New Roman" w:cs="Times New Roman"/>
          <w:sz w:val="24"/>
          <w:szCs w:val="24"/>
        </w:rPr>
        <w:t>)</w:t>
      </w:r>
      <w:r w:rsidR="00336D7A">
        <w:rPr>
          <w:rFonts w:ascii="Times New Roman" w:hAnsi="Times New Roman" w:cs="Times New Roman"/>
          <w:sz w:val="24"/>
          <w:szCs w:val="24"/>
        </w:rPr>
        <w:t>.</w:t>
      </w:r>
    </w:p>
    <w:p w:rsidR="006E2C6E" w:rsidRPr="00B27788" w:rsidP="00C362EA">
      <w:pPr>
        <w:spacing w:line="240" w:lineRule="auto"/>
        <w:rPr>
          <w:rFonts w:ascii="Times New Roman" w:hAnsi="Times New Roman" w:cs="Times New Roman"/>
          <w:sz w:val="24"/>
          <w:szCs w:val="24"/>
        </w:rPr>
      </w:pPr>
    </w:p>
    <w:p w:rsidR="00AE3AF3" w:rsidP="00C362EA">
      <w:pPr>
        <w:spacing w:line="240" w:lineRule="auto"/>
        <w:rPr>
          <w:rFonts w:ascii="Times New Roman" w:hAnsi="Times New Roman" w:cs="Times New Roman"/>
          <w:sz w:val="24"/>
          <w:szCs w:val="24"/>
        </w:rPr>
      </w:pPr>
      <w:r w:rsidRPr="00B3037B" w:rsidR="00B3037B">
        <w:rPr>
          <w:rFonts w:ascii="Times New Roman" w:hAnsi="Times New Roman" w:cs="Times New Roman"/>
          <w:sz w:val="24"/>
          <w:szCs w:val="24"/>
          <w:u w:val="single"/>
        </w:rPr>
        <w:t>Skupina RP 632</w:t>
      </w:r>
      <w:r w:rsidR="008121B0">
        <w:rPr>
          <w:rFonts w:ascii="Times New Roman" w:hAnsi="Times New Roman" w:cs="Times New Roman"/>
          <w:sz w:val="24"/>
          <w:szCs w:val="24"/>
        </w:rPr>
        <w:t xml:space="preserve"> – </w:t>
      </w:r>
      <w:r w:rsidR="00D4769E">
        <w:rPr>
          <w:rFonts w:ascii="Times New Roman" w:hAnsi="Times New Roman" w:cs="Times New Roman"/>
          <w:sz w:val="24"/>
          <w:szCs w:val="24"/>
        </w:rPr>
        <w:t xml:space="preserve">Energie </w:t>
      </w:r>
      <w:r w:rsidRPr="000B2D82" w:rsidR="00D4769E">
        <w:rPr>
          <w:rFonts w:ascii="Times New Roman" w:hAnsi="Times New Roman" w:cs="Times New Roman"/>
          <w:b/>
          <w:sz w:val="24"/>
          <w:szCs w:val="24"/>
        </w:rPr>
        <w:t xml:space="preserve">11 109 218,80 </w:t>
      </w:r>
      <w:r w:rsidRPr="000B2D82" w:rsidR="00B3037B">
        <w:rPr>
          <w:rFonts w:ascii="Times New Roman" w:hAnsi="Times New Roman" w:cs="Times New Roman"/>
          <w:b/>
          <w:sz w:val="24"/>
          <w:szCs w:val="24"/>
        </w:rPr>
        <w:t>Sk</w:t>
      </w:r>
      <w:r w:rsidRPr="002C7E22" w:rsidR="008121B0">
        <w:rPr>
          <w:rFonts w:ascii="Times New Roman" w:hAnsi="Times New Roman" w:cs="Times New Roman"/>
          <w:sz w:val="24"/>
          <w:szCs w:val="24"/>
        </w:rPr>
        <w:t xml:space="preserve"> (</w:t>
      </w:r>
      <w:r w:rsidRPr="002C7E22" w:rsidR="00B3037B">
        <w:rPr>
          <w:rFonts w:ascii="Times New Roman" w:hAnsi="Times New Roman" w:cs="Times New Roman"/>
          <w:sz w:val="24"/>
          <w:szCs w:val="24"/>
        </w:rPr>
        <w:t>energie</w:t>
      </w:r>
      <w:r w:rsidRPr="00B3037B" w:rsidR="00B3037B">
        <w:rPr>
          <w:rFonts w:ascii="Times New Roman" w:hAnsi="Times New Roman" w:cs="Times New Roman"/>
          <w:sz w:val="24"/>
          <w:szCs w:val="24"/>
        </w:rPr>
        <w:t>, vodné, sto</w:t>
      </w:r>
      <w:r w:rsidR="008121B0">
        <w:rPr>
          <w:rFonts w:ascii="Times New Roman" w:hAnsi="Times New Roman" w:cs="Times New Roman"/>
          <w:sz w:val="24"/>
          <w:szCs w:val="24"/>
        </w:rPr>
        <w:t xml:space="preserve">čné, pošt. a telekom. </w:t>
      </w:r>
      <w:r w:rsidRPr="00B3037B" w:rsidR="00B3037B">
        <w:rPr>
          <w:rFonts w:ascii="Times New Roman" w:hAnsi="Times New Roman" w:cs="Times New Roman"/>
          <w:sz w:val="24"/>
          <w:szCs w:val="24"/>
        </w:rPr>
        <w:t>služby</w:t>
      </w:r>
      <w:r w:rsidR="008121B0">
        <w:rPr>
          <w:rFonts w:ascii="Times New Roman" w:hAnsi="Times New Roman" w:cs="Times New Roman"/>
          <w:sz w:val="24"/>
          <w:szCs w:val="24"/>
        </w:rPr>
        <w:t>)</w:t>
      </w:r>
      <w:r w:rsidRPr="00B3037B" w:rsidR="00B3037B">
        <w:rPr>
          <w:rFonts w:ascii="Times New Roman" w:hAnsi="Times New Roman" w:cs="Times New Roman"/>
          <w:sz w:val="24"/>
          <w:szCs w:val="24"/>
        </w:rPr>
        <w:t>.</w:t>
      </w:r>
    </w:p>
    <w:p w:rsidR="006E2C6E" w:rsidRPr="00347871" w:rsidP="00C362EA">
      <w:pPr>
        <w:spacing w:line="240" w:lineRule="auto"/>
        <w:rPr>
          <w:rFonts w:ascii="Times New Roman" w:hAnsi="Times New Roman" w:cs="Times New Roman"/>
          <w:sz w:val="24"/>
          <w:szCs w:val="24"/>
        </w:rPr>
      </w:pPr>
    </w:p>
    <w:p w:rsidR="00AE3AF3" w:rsidRPr="00B27788" w:rsidP="00C362EA">
      <w:pPr>
        <w:spacing w:line="240" w:lineRule="auto"/>
        <w:rPr>
          <w:rFonts w:ascii="Times New Roman" w:hAnsi="Times New Roman" w:cs="Times New Roman"/>
          <w:sz w:val="24"/>
          <w:szCs w:val="24"/>
        </w:rPr>
      </w:pPr>
      <w:r w:rsidRPr="00B3037B" w:rsidR="00B3037B">
        <w:rPr>
          <w:rFonts w:ascii="Times New Roman" w:hAnsi="Times New Roman" w:cs="Times New Roman"/>
          <w:sz w:val="24"/>
          <w:szCs w:val="24"/>
          <w:u w:val="single"/>
        </w:rPr>
        <w:t>Skupina RP 633</w:t>
      </w:r>
      <w:r w:rsidR="008121B0">
        <w:rPr>
          <w:rFonts w:ascii="Times New Roman" w:hAnsi="Times New Roman" w:cs="Times New Roman"/>
          <w:sz w:val="24"/>
          <w:szCs w:val="24"/>
        </w:rPr>
        <w:t xml:space="preserve"> – </w:t>
      </w:r>
      <w:r w:rsidRPr="002C7E22" w:rsidR="008121B0">
        <w:rPr>
          <w:rFonts w:ascii="Times New Roman" w:hAnsi="Times New Roman" w:cs="Times New Roman"/>
          <w:sz w:val="24"/>
          <w:szCs w:val="24"/>
        </w:rPr>
        <w:t xml:space="preserve">Materiál </w:t>
      </w:r>
      <w:r w:rsidRPr="000B2D82" w:rsidR="00D4769E">
        <w:rPr>
          <w:rFonts w:ascii="Times New Roman" w:hAnsi="Times New Roman" w:cs="Times New Roman"/>
          <w:b/>
          <w:sz w:val="24"/>
          <w:szCs w:val="24"/>
        </w:rPr>
        <w:t xml:space="preserve">5 777 898,94 </w:t>
      </w:r>
      <w:r w:rsidRPr="000B2D82" w:rsidR="00B3037B">
        <w:rPr>
          <w:rFonts w:ascii="Times New Roman" w:hAnsi="Times New Roman" w:cs="Times New Roman"/>
          <w:b/>
          <w:sz w:val="24"/>
          <w:szCs w:val="24"/>
        </w:rPr>
        <w:t>Sk</w:t>
      </w:r>
      <w:r w:rsidRPr="002C7E22" w:rsidR="008121B0">
        <w:rPr>
          <w:rFonts w:ascii="Times New Roman" w:hAnsi="Times New Roman" w:cs="Times New Roman"/>
          <w:sz w:val="24"/>
          <w:szCs w:val="24"/>
        </w:rPr>
        <w:t xml:space="preserve"> (nakúpený</w:t>
      </w:r>
      <w:r w:rsidR="008121B0">
        <w:rPr>
          <w:rFonts w:ascii="Times New Roman" w:hAnsi="Times New Roman" w:cs="Times New Roman"/>
          <w:sz w:val="24"/>
          <w:szCs w:val="24"/>
        </w:rPr>
        <w:t xml:space="preserve"> </w:t>
      </w:r>
      <w:r w:rsidR="00D4769E">
        <w:rPr>
          <w:rFonts w:ascii="Times New Roman" w:hAnsi="Times New Roman" w:cs="Times New Roman"/>
          <w:sz w:val="24"/>
          <w:szCs w:val="24"/>
        </w:rPr>
        <w:t xml:space="preserve">software na správu registratúrnych záznamov, </w:t>
      </w:r>
      <w:r w:rsidR="008121B0">
        <w:rPr>
          <w:rFonts w:ascii="Times New Roman" w:hAnsi="Times New Roman" w:cs="Times New Roman"/>
          <w:sz w:val="24"/>
          <w:szCs w:val="24"/>
        </w:rPr>
        <w:t>spotrebný m</w:t>
      </w:r>
      <w:r w:rsidR="008121B0">
        <w:rPr>
          <w:rFonts w:ascii="Times New Roman" w:hAnsi="Times New Roman" w:cs="Times New Roman"/>
          <w:sz w:val="24"/>
          <w:szCs w:val="24"/>
        </w:rPr>
        <w:t xml:space="preserve">ateriál </w:t>
      </w:r>
      <w:r w:rsidR="00D4769E">
        <w:rPr>
          <w:rFonts w:ascii="Times New Roman" w:hAnsi="Times New Roman" w:cs="Times New Roman"/>
          <w:sz w:val="24"/>
          <w:szCs w:val="24"/>
        </w:rPr>
        <w:t xml:space="preserve">a príslušenstvo k výpočtovej </w:t>
      </w:r>
      <w:r w:rsidRPr="00B3037B" w:rsidR="00B3037B">
        <w:rPr>
          <w:rFonts w:ascii="Times New Roman" w:hAnsi="Times New Roman" w:cs="Times New Roman"/>
          <w:sz w:val="24"/>
          <w:szCs w:val="24"/>
        </w:rPr>
        <w:t>technike</w:t>
      </w:r>
      <w:r w:rsidR="008121B0">
        <w:rPr>
          <w:rFonts w:ascii="Times New Roman" w:hAnsi="Times New Roman" w:cs="Times New Roman"/>
          <w:sz w:val="24"/>
          <w:szCs w:val="24"/>
        </w:rPr>
        <w:t xml:space="preserve">, </w:t>
      </w:r>
      <w:r w:rsidR="006D2832">
        <w:rPr>
          <w:rFonts w:ascii="Times New Roman" w:hAnsi="Times New Roman" w:cs="Times New Roman"/>
          <w:sz w:val="24"/>
          <w:szCs w:val="24"/>
        </w:rPr>
        <w:t xml:space="preserve">všeobecný materiál potrebný na </w:t>
      </w:r>
      <w:r w:rsidRPr="00B3037B" w:rsidR="00B3037B">
        <w:rPr>
          <w:rFonts w:ascii="Times New Roman" w:hAnsi="Times New Roman" w:cs="Times New Roman"/>
          <w:sz w:val="24"/>
          <w:szCs w:val="24"/>
        </w:rPr>
        <w:t>prevádz</w:t>
      </w:r>
      <w:r w:rsidR="006D2832">
        <w:rPr>
          <w:rFonts w:ascii="Times New Roman" w:hAnsi="Times New Roman" w:cs="Times New Roman"/>
          <w:sz w:val="24"/>
          <w:szCs w:val="24"/>
        </w:rPr>
        <w:t>ku</w:t>
      </w:r>
      <w:r w:rsidR="008121B0">
        <w:rPr>
          <w:rFonts w:ascii="Times New Roman" w:hAnsi="Times New Roman" w:cs="Times New Roman"/>
          <w:sz w:val="24"/>
          <w:szCs w:val="24"/>
        </w:rPr>
        <w:t xml:space="preserve"> cestnej databanky</w:t>
      </w:r>
      <w:r w:rsidR="00336D7A">
        <w:rPr>
          <w:rFonts w:ascii="Times New Roman" w:hAnsi="Times New Roman" w:cs="Times New Roman"/>
          <w:sz w:val="24"/>
          <w:szCs w:val="24"/>
        </w:rPr>
        <w:t xml:space="preserve">, </w:t>
      </w:r>
      <w:r w:rsidRPr="00B3037B" w:rsidR="00B3037B">
        <w:rPr>
          <w:rFonts w:ascii="Times New Roman" w:hAnsi="Times New Roman" w:cs="Times New Roman"/>
          <w:sz w:val="24"/>
          <w:szCs w:val="24"/>
        </w:rPr>
        <w:t xml:space="preserve">prístroje </w:t>
      </w:r>
      <w:r w:rsidR="006D2832">
        <w:rPr>
          <w:rFonts w:ascii="Times New Roman" w:hAnsi="Times New Roman" w:cs="Times New Roman"/>
          <w:sz w:val="24"/>
          <w:szCs w:val="24"/>
        </w:rPr>
        <w:t>s príslušenstvom na rýchlu navigáciu</w:t>
      </w:r>
      <w:r w:rsidRPr="00B3037B" w:rsidR="00B3037B">
        <w:rPr>
          <w:rFonts w:ascii="Times New Roman" w:hAnsi="Times New Roman" w:cs="Times New Roman"/>
          <w:sz w:val="24"/>
          <w:szCs w:val="24"/>
        </w:rPr>
        <w:t xml:space="preserve"> pre potreby zberu dát</w:t>
      </w:r>
      <w:r w:rsidR="00D44CD6">
        <w:rPr>
          <w:rFonts w:ascii="Times New Roman" w:hAnsi="Times New Roman" w:cs="Times New Roman"/>
          <w:sz w:val="24"/>
          <w:szCs w:val="24"/>
        </w:rPr>
        <w:t xml:space="preserve"> pre cestnú databanku</w:t>
      </w:r>
      <w:r w:rsidR="00336D7A">
        <w:rPr>
          <w:rFonts w:ascii="Times New Roman" w:hAnsi="Times New Roman" w:cs="Times New Roman"/>
          <w:sz w:val="24"/>
          <w:szCs w:val="24"/>
        </w:rPr>
        <w:t xml:space="preserve"> a systém PMS, </w:t>
      </w:r>
      <w:r w:rsidR="00D4769E">
        <w:rPr>
          <w:rFonts w:ascii="Times New Roman" w:hAnsi="Times New Roman" w:cs="Times New Roman"/>
          <w:sz w:val="24"/>
          <w:szCs w:val="24"/>
        </w:rPr>
        <w:t xml:space="preserve">interiérové vybavenie, </w:t>
      </w:r>
      <w:r w:rsidR="00336D7A">
        <w:rPr>
          <w:rFonts w:ascii="Times New Roman" w:hAnsi="Times New Roman" w:cs="Times New Roman"/>
          <w:sz w:val="24"/>
          <w:szCs w:val="24"/>
        </w:rPr>
        <w:t xml:space="preserve">pracovné </w:t>
      </w:r>
      <w:r w:rsidRPr="00B3037B" w:rsidR="00B3037B">
        <w:rPr>
          <w:rFonts w:ascii="Times New Roman" w:hAnsi="Times New Roman" w:cs="Times New Roman"/>
          <w:sz w:val="24"/>
          <w:szCs w:val="24"/>
        </w:rPr>
        <w:t>od</w:t>
      </w:r>
      <w:r w:rsidR="008121B0">
        <w:rPr>
          <w:rFonts w:ascii="Times New Roman" w:hAnsi="Times New Roman" w:cs="Times New Roman"/>
          <w:sz w:val="24"/>
          <w:szCs w:val="24"/>
        </w:rPr>
        <w:t>evy, ob</w:t>
      </w:r>
      <w:r w:rsidR="00336D7A">
        <w:rPr>
          <w:rFonts w:ascii="Times New Roman" w:hAnsi="Times New Roman" w:cs="Times New Roman"/>
          <w:sz w:val="24"/>
          <w:szCs w:val="24"/>
        </w:rPr>
        <w:t xml:space="preserve">uv, </w:t>
      </w:r>
      <w:r w:rsidR="00336D7A">
        <w:rPr>
          <w:rFonts w:ascii="Times New Roman" w:hAnsi="Times New Roman" w:cs="Times New Roman"/>
          <w:sz w:val="24"/>
          <w:szCs w:val="24"/>
        </w:rPr>
        <w:t xml:space="preserve">pracovné </w:t>
      </w:r>
      <w:r w:rsidR="00D4769E">
        <w:rPr>
          <w:rFonts w:ascii="Times New Roman" w:hAnsi="Times New Roman" w:cs="Times New Roman"/>
          <w:sz w:val="24"/>
          <w:szCs w:val="24"/>
        </w:rPr>
        <w:t xml:space="preserve">pomôcky atď.. </w:t>
      </w:r>
      <w:r w:rsidR="006710D3">
        <w:rPr>
          <w:rFonts w:ascii="Times New Roman" w:hAnsi="Times New Roman" w:cs="Times New Roman"/>
          <w:sz w:val="24"/>
          <w:szCs w:val="24"/>
        </w:rPr>
        <w:t>Okrem toho t</w:t>
      </w:r>
      <w:r w:rsidR="00D4769E">
        <w:rPr>
          <w:rFonts w:ascii="Times New Roman" w:hAnsi="Times New Roman" w:cs="Times New Roman"/>
          <w:sz w:val="24"/>
          <w:szCs w:val="24"/>
        </w:rPr>
        <w:t>echnická knižnica počas roka 2007 zabezpeči</w:t>
      </w:r>
      <w:r w:rsidR="006710D3">
        <w:rPr>
          <w:rFonts w:ascii="Times New Roman" w:hAnsi="Times New Roman" w:cs="Times New Roman"/>
          <w:sz w:val="24"/>
          <w:szCs w:val="24"/>
        </w:rPr>
        <w:t>la akvizíciu kníh, periodík, špe</w:t>
      </w:r>
      <w:r w:rsidR="00D4769E">
        <w:rPr>
          <w:rFonts w:ascii="Times New Roman" w:hAnsi="Times New Roman" w:cs="Times New Roman"/>
          <w:sz w:val="24"/>
          <w:szCs w:val="24"/>
        </w:rPr>
        <w:t xml:space="preserve">ciálnych odborných publikácií, dokumentov, technických noriem slovenskej a zahraničnej produkcie). </w:t>
      </w:r>
    </w:p>
    <w:p w:rsidR="006E2C6E" w:rsidP="00C362EA">
      <w:pPr>
        <w:spacing w:line="240" w:lineRule="auto"/>
        <w:rPr>
          <w:rFonts w:ascii="Times New Roman" w:hAnsi="Times New Roman" w:cs="Times New Roman"/>
          <w:sz w:val="24"/>
          <w:szCs w:val="24"/>
          <w:u w:val="single"/>
        </w:rPr>
      </w:pPr>
    </w:p>
    <w:p w:rsidR="00B3037B" w:rsidRPr="00B3037B" w:rsidP="00C362EA">
      <w:pPr>
        <w:spacing w:line="240" w:lineRule="auto"/>
        <w:rPr>
          <w:rFonts w:ascii="Times New Roman" w:hAnsi="Times New Roman" w:cs="Times New Roman"/>
          <w:sz w:val="24"/>
          <w:szCs w:val="24"/>
        </w:rPr>
      </w:pPr>
      <w:r w:rsidRPr="00B3037B">
        <w:rPr>
          <w:rFonts w:ascii="Times New Roman" w:hAnsi="Times New Roman" w:cs="Times New Roman"/>
          <w:sz w:val="24"/>
          <w:szCs w:val="24"/>
          <w:u w:val="single"/>
        </w:rPr>
        <w:t>Skupina RP 634</w:t>
      </w:r>
      <w:r w:rsidR="006E437C">
        <w:rPr>
          <w:rFonts w:ascii="Times New Roman" w:hAnsi="Times New Roman" w:cs="Times New Roman"/>
          <w:sz w:val="24"/>
          <w:szCs w:val="24"/>
        </w:rPr>
        <w:t xml:space="preserve"> – </w:t>
      </w:r>
      <w:r w:rsidRPr="002C7E22" w:rsidR="006E437C">
        <w:rPr>
          <w:rFonts w:ascii="Times New Roman" w:hAnsi="Times New Roman" w:cs="Times New Roman"/>
          <w:sz w:val="24"/>
          <w:szCs w:val="24"/>
        </w:rPr>
        <w:t xml:space="preserve">Dopravné </w:t>
      </w:r>
      <w:r w:rsidRPr="000B2D82" w:rsidR="006710D3">
        <w:rPr>
          <w:rFonts w:ascii="Times New Roman" w:hAnsi="Times New Roman" w:cs="Times New Roman"/>
          <w:b/>
          <w:sz w:val="24"/>
          <w:szCs w:val="24"/>
        </w:rPr>
        <w:t xml:space="preserve">11 809 824,42 </w:t>
      </w:r>
      <w:r w:rsidRPr="000B2D82">
        <w:rPr>
          <w:rFonts w:ascii="Times New Roman" w:hAnsi="Times New Roman" w:cs="Times New Roman"/>
          <w:b/>
          <w:sz w:val="24"/>
          <w:szCs w:val="24"/>
        </w:rPr>
        <w:t>Sk</w:t>
      </w:r>
      <w:r w:rsidRPr="002C7E22" w:rsidR="006E437C">
        <w:rPr>
          <w:rFonts w:ascii="Times New Roman" w:hAnsi="Times New Roman" w:cs="Times New Roman"/>
          <w:sz w:val="24"/>
          <w:szCs w:val="24"/>
        </w:rPr>
        <w:t xml:space="preserve"> (</w:t>
      </w:r>
      <w:r w:rsidRPr="002C7E22">
        <w:rPr>
          <w:rFonts w:ascii="Times New Roman" w:hAnsi="Times New Roman" w:cs="Times New Roman"/>
          <w:sz w:val="24"/>
          <w:szCs w:val="24"/>
        </w:rPr>
        <w:t>n</w:t>
      </w:r>
      <w:r w:rsidRPr="002C7E22">
        <w:rPr>
          <w:rFonts w:ascii="Times New Roman" w:hAnsi="Times New Roman" w:cs="Times New Roman"/>
          <w:sz w:val="24"/>
          <w:szCs w:val="24"/>
        </w:rPr>
        <w:t>ákup</w:t>
      </w:r>
      <w:r w:rsidRPr="00B3037B">
        <w:rPr>
          <w:rFonts w:ascii="Times New Roman" w:hAnsi="Times New Roman" w:cs="Times New Roman"/>
          <w:sz w:val="24"/>
          <w:szCs w:val="24"/>
        </w:rPr>
        <w:t xml:space="preserve"> PHM, mazív, ol</w:t>
      </w:r>
      <w:r w:rsidR="006E437C">
        <w:rPr>
          <w:rFonts w:ascii="Times New Roman" w:hAnsi="Times New Roman" w:cs="Times New Roman"/>
          <w:sz w:val="24"/>
          <w:szCs w:val="24"/>
        </w:rPr>
        <w:t>ejov, špeciálnych kvapalín, údržba</w:t>
      </w:r>
      <w:r w:rsidRPr="00B3037B">
        <w:rPr>
          <w:rFonts w:ascii="Times New Roman" w:hAnsi="Times New Roman" w:cs="Times New Roman"/>
          <w:sz w:val="24"/>
          <w:szCs w:val="24"/>
        </w:rPr>
        <w:t>, opravy a výdavky s tým spojené, poiste</w:t>
      </w:r>
      <w:r w:rsidR="00F442D9">
        <w:rPr>
          <w:rFonts w:ascii="Times New Roman" w:hAnsi="Times New Roman" w:cs="Times New Roman"/>
          <w:sz w:val="24"/>
          <w:szCs w:val="24"/>
        </w:rPr>
        <w:t>nie motor. vozidiel a pod.</w:t>
      </w:r>
      <w:r w:rsidR="006E437C">
        <w:rPr>
          <w:rFonts w:ascii="Times New Roman" w:hAnsi="Times New Roman" w:cs="Times New Roman"/>
          <w:sz w:val="24"/>
          <w:szCs w:val="24"/>
        </w:rPr>
        <w:t>)</w:t>
      </w:r>
      <w:r w:rsidRPr="00B3037B">
        <w:rPr>
          <w:rFonts w:ascii="Times New Roman" w:hAnsi="Times New Roman" w:cs="Times New Roman"/>
          <w:sz w:val="24"/>
          <w:szCs w:val="24"/>
        </w:rPr>
        <w:t>.</w:t>
      </w:r>
    </w:p>
    <w:p w:rsidR="000B2D82" w:rsidP="00C362EA">
      <w:pPr>
        <w:spacing w:line="240" w:lineRule="auto"/>
        <w:rPr>
          <w:rFonts w:ascii="Times New Roman" w:hAnsi="Times New Roman" w:cs="Times New Roman"/>
          <w:b/>
          <w:sz w:val="24"/>
          <w:szCs w:val="24"/>
          <w:u w:val="single"/>
        </w:rPr>
      </w:pPr>
    </w:p>
    <w:p w:rsidR="006E2C6E" w:rsidP="00C362EA">
      <w:pPr>
        <w:spacing w:line="240" w:lineRule="auto"/>
        <w:rPr>
          <w:rFonts w:ascii="Times New Roman" w:hAnsi="Times New Roman" w:cs="Times New Roman"/>
          <w:b/>
          <w:sz w:val="24"/>
          <w:szCs w:val="24"/>
          <w:u w:val="single"/>
        </w:rPr>
      </w:pPr>
    </w:p>
    <w:p w:rsidR="00B3037B" w:rsidRPr="00BD195C" w:rsidP="00C362EA">
      <w:pPr>
        <w:spacing w:line="240" w:lineRule="auto"/>
        <w:rPr>
          <w:rFonts w:ascii="Times New Roman" w:hAnsi="Times New Roman" w:cs="Times New Roman"/>
          <w:b/>
          <w:sz w:val="24"/>
          <w:szCs w:val="24"/>
          <w:u w:val="single"/>
        </w:rPr>
      </w:pPr>
      <w:r w:rsidRPr="00BD195C">
        <w:rPr>
          <w:rFonts w:ascii="Times New Roman" w:hAnsi="Times New Roman" w:cs="Times New Roman"/>
          <w:b/>
          <w:sz w:val="24"/>
          <w:szCs w:val="24"/>
          <w:u w:val="single"/>
        </w:rPr>
        <w:t xml:space="preserve">Skupina RP 635 – </w:t>
      </w:r>
      <w:r w:rsidRPr="00BD195C" w:rsidR="006E437C">
        <w:rPr>
          <w:rFonts w:ascii="Times New Roman" w:hAnsi="Times New Roman" w:cs="Times New Roman"/>
          <w:b/>
          <w:sz w:val="24"/>
          <w:szCs w:val="24"/>
          <w:u w:val="single"/>
        </w:rPr>
        <w:t xml:space="preserve">Rutinná a štandardná údržba </w:t>
      </w:r>
      <w:r w:rsidR="001A5ACB">
        <w:rPr>
          <w:rFonts w:ascii="Times New Roman" w:hAnsi="Times New Roman" w:cs="Times New Roman"/>
          <w:b/>
          <w:sz w:val="24"/>
          <w:szCs w:val="24"/>
          <w:u w:val="single"/>
        </w:rPr>
        <w:t xml:space="preserve">1 014 332 135,98 </w:t>
      </w:r>
      <w:r w:rsidRPr="00BD195C">
        <w:rPr>
          <w:rFonts w:ascii="Times New Roman" w:hAnsi="Times New Roman" w:cs="Times New Roman"/>
          <w:b/>
          <w:sz w:val="24"/>
          <w:szCs w:val="24"/>
          <w:u w:val="single"/>
        </w:rPr>
        <w:t xml:space="preserve">Sk </w:t>
      </w:r>
    </w:p>
    <w:p w:rsidR="00184637" w:rsidP="00C362EA">
      <w:pPr>
        <w:pStyle w:val="BodyTextIndent"/>
        <w:spacing w:line="240" w:lineRule="auto"/>
        <w:rPr>
          <w:rFonts w:ascii="Times New Roman" w:hAnsi="Times New Roman" w:cs="Times New Roman"/>
          <w:sz w:val="24"/>
          <w:szCs w:val="24"/>
        </w:rPr>
      </w:pPr>
    </w:p>
    <w:p w:rsidR="00CF68BA" w:rsidRPr="00CE4A3A" w:rsidP="00CE4A3A">
      <w:pPr>
        <w:pStyle w:val="BodyTextIndent"/>
        <w:spacing w:line="240" w:lineRule="auto"/>
        <w:rPr>
          <w:rFonts w:ascii="Times New Roman" w:hAnsi="Times New Roman" w:cs="Times New Roman"/>
          <w:sz w:val="24"/>
          <w:szCs w:val="24"/>
        </w:rPr>
      </w:pPr>
      <w:r w:rsidRPr="007B463E" w:rsidR="007B463E">
        <w:rPr>
          <w:rFonts w:ascii="Times New Roman" w:hAnsi="Times New Roman" w:cs="Times New Roman"/>
          <w:sz w:val="24"/>
          <w:szCs w:val="24"/>
        </w:rPr>
        <w:t>V uvedenej skup</w:t>
      </w:r>
      <w:r w:rsidR="00CE4A3A">
        <w:rPr>
          <w:rFonts w:ascii="Times New Roman" w:hAnsi="Times New Roman" w:cs="Times New Roman"/>
          <w:sz w:val="24"/>
          <w:szCs w:val="24"/>
        </w:rPr>
        <w:t xml:space="preserve">ine bola najväčšia časť zdrojov </w:t>
      </w:r>
      <w:r w:rsidR="007B463E">
        <w:rPr>
          <w:rFonts w:ascii="Times New Roman" w:hAnsi="Times New Roman" w:cs="Times New Roman"/>
          <w:sz w:val="24"/>
          <w:szCs w:val="24"/>
        </w:rPr>
        <w:t xml:space="preserve">použitá </w:t>
      </w:r>
      <w:r w:rsidRPr="00184637" w:rsidR="007B463E">
        <w:rPr>
          <w:rFonts w:ascii="Times New Roman" w:hAnsi="Times New Roman" w:cs="Times New Roman"/>
          <w:b/>
          <w:sz w:val="24"/>
          <w:szCs w:val="24"/>
        </w:rPr>
        <w:t>na bežnú a zimnú údržbu ciest I. triedy a diaľničných privádzačov</w:t>
      </w:r>
      <w:r w:rsidR="007B463E">
        <w:rPr>
          <w:rFonts w:ascii="Times New Roman" w:hAnsi="Times New Roman" w:cs="Times New Roman"/>
          <w:sz w:val="24"/>
          <w:szCs w:val="24"/>
        </w:rPr>
        <w:t xml:space="preserve"> </w:t>
      </w:r>
      <w:r w:rsidRPr="007B463E" w:rsidR="007B463E">
        <w:rPr>
          <w:rFonts w:ascii="Times New Roman" w:hAnsi="Times New Roman" w:cs="Times New Roman"/>
          <w:sz w:val="24"/>
          <w:szCs w:val="24"/>
        </w:rPr>
        <w:t>v</w:t>
      </w:r>
      <w:r w:rsidR="00F33B9D">
        <w:rPr>
          <w:rFonts w:ascii="Times New Roman" w:hAnsi="Times New Roman" w:cs="Times New Roman"/>
          <w:sz w:val="24"/>
          <w:szCs w:val="24"/>
        </w:rPr>
        <w:t xml:space="preserve"> členení podľa skupín analytickej evidencie </w:t>
      </w:r>
      <w:r w:rsidRPr="007B463E" w:rsidR="007B463E">
        <w:rPr>
          <w:rFonts w:ascii="Times New Roman" w:hAnsi="Times New Roman" w:cs="Times New Roman"/>
          <w:sz w:val="24"/>
          <w:szCs w:val="24"/>
        </w:rPr>
        <w:t xml:space="preserve">1 až 9, t.j.  na </w:t>
      </w:r>
      <w:r w:rsidR="001A5ACB">
        <w:rPr>
          <w:rFonts w:ascii="Times New Roman" w:hAnsi="Times New Roman" w:cs="Times New Roman"/>
          <w:sz w:val="24"/>
          <w:szCs w:val="24"/>
        </w:rPr>
        <w:t xml:space="preserve">nestavebnú </w:t>
      </w:r>
      <w:r w:rsidRPr="007B463E" w:rsidR="007B463E">
        <w:rPr>
          <w:rFonts w:ascii="Times New Roman" w:hAnsi="Times New Roman" w:cs="Times New Roman"/>
          <w:sz w:val="24"/>
          <w:szCs w:val="24"/>
        </w:rPr>
        <w:t>údržbu krytu vo</w:t>
      </w:r>
      <w:r w:rsidR="007B463E">
        <w:rPr>
          <w:rFonts w:ascii="Times New Roman" w:hAnsi="Times New Roman" w:cs="Times New Roman"/>
          <w:sz w:val="24"/>
          <w:szCs w:val="24"/>
        </w:rPr>
        <w:t xml:space="preserve">zoviek a odstraňovanie výtlkov, </w:t>
      </w:r>
      <w:r w:rsidR="001A5ACB">
        <w:rPr>
          <w:rFonts w:ascii="Times New Roman" w:hAnsi="Times New Roman" w:cs="Times New Roman"/>
          <w:sz w:val="24"/>
          <w:szCs w:val="24"/>
        </w:rPr>
        <w:t xml:space="preserve">trhlín, priečnych a pozdĺžnych nerovností, </w:t>
      </w:r>
      <w:r w:rsidR="007B463E">
        <w:rPr>
          <w:rFonts w:ascii="Times New Roman" w:hAnsi="Times New Roman" w:cs="Times New Roman"/>
          <w:sz w:val="24"/>
          <w:szCs w:val="24"/>
        </w:rPr>
        <w:t xml:space="preserve">údržbu </w:t>
      </w:r>
      <w:r w:rsidRPr="007B463E" w:rsidR="007B463E">
        <w:rPr>
          <w:rFonts w:ascii="Times New Roman" w:hAnsi="Times New Roman" w:cs="Times New Roman"/>
          <w:sz w:val="24"/>
          <w:szCs w:val="24"/>
        </w:rPr>
        <w:t xml:space="preserve">a opravu </w:t>
      </w:r>
      <w:r w:rsidR="001A5ACB">
        <w:rPr>
          <w:rFonts w:ascii="Times New Roman" w:hAnsi="Times New Roman" w:cs="Times New Roman"/>
          <w:sz w:val="24"/>
          <w:szCs w:val="24"/>
        </w:rPr>
        <w:t>zvislého dopravného značenia</w:t>
      </w:r>
      <w:r w:rsidRPr="007B463E" w:rsidR="007B463E">
        <w:rPr>
          <w:rFonts w:ascii="Times New Roman" w:hAnsi="Times New Roman" w:cs="Times New Roman"/>
          <w:sz w:val="24"/>
          <w:szCs w:val="24"/>
        </w:rPr>
        <w:t>, na osadenie chýbajúcich plastových smerových stĺpikov a</w:t>
      </w:r>
      <w:r w:rsidR="007B463E">
        <w:rPr>
          <w:rFonts w:ascii="Times New Roman" w:hAnsi="Times New Roman" w:cs="Times New Roman"/>
          <w:sz w:val="24"/>
          <w:szCs w:val="24"/>
        </w:rPr>
        <w:t xml:space="preserve"> </w:t>
      </w:r>
      <w:r w:rsidRPr="007B463E" w:rsidR="007B463E">
        <w:rPr>
          <w:rFonts w:ascii="Times New Roman" w:hAnsi="Times New Roman" w:cs="Times New Roman"/>
          <w:sz w:val="24"/>
          <w:szCs w:val="24"/>
        </w:rPr>
        <w:t>opravu poškodených zvodidiel</w:t>
      </w:r>
      <w:r w:rsidR="001A5ACB">
        <w:rPr>
          <w:rFonts w:ascii="Times New Roman" w:hAnsi="Times New Roman" w:cs="Times New Roman"/>
          <w:sz w:val="24"/>
          <w:szCs w:val="24"/>
        </w:rPr>
        <w:t xml:space="preserve"> a zábradlí</w:t>
      </w:r>
      <w:r w:rsidRPr="007B463E" w:rsidR="007B463E">
        <w:rPr>
          <w:rFonts w:ascii="Times New Roman" w:hAnsi="Times New Roman" w:cs="Times New Roman"/>
          <w:sz w:val="24"/>
          <w:szCs w:val="24"/>
        </w:rPr>
        <w:t xml:space="preserve">, zrezávanie krajníc, čistenie zanesených priekop, </w:t>
      </w:r>
      <w:r w:rsidR="001A5ACB">
        <w:rPr>
          <w:rFonts w:ascii="Times New Roman" w:hAnsi="Times New Roman" w:cs="Times New Roman"/>
          <w:sz w:val="24"/>
          <w:szCs w:val="24"/>
        </w:rPr>
        <w:t xml:space="preserve">rigolov </w:t>
      </w:r>
      <w:r w:rsidRPr="007B463E" w:rsidR="007B463E">
        <w:rPr>
          <w:rFonts w:ascii="Times New Roman" w:hAnsi="Times New Roman" w:cs="Times New Roman"/>
          <w:sz w:val="24"/>
          <w:szCs w:val="24"/>
        </w:rPr>
        <w:t>vpustí, na úd</w:t>
      </w:r>
      <w:r w:rsidR="00F33B9D">
        <w:rPr>
          <w:rFonts w:ascii="Times New Roman" w:hAnsi="Times New Roman" w:cs="Times New Roman"/>
          <w:sz w:val="24"/>
          <w:szCs w:val="24"/>
        </w:rPr>
        <w:t xml:space="preserve">ržbu poškodených priepustov, </w:t>
      </w:r>
      <w:r w:rsidRPr="007B463E" w:rsidR="007B463E">
        <w:rPr>
          <w:rFonts w:ascii="Times New Roman" w:hAnsi="Times New Roman" w:cs="Times New Roman"/>
          <w:sz w:val="24"/>
          <w:szCs w:val="24"/>
        </w:rPr>
        <w:t>čisteni</w:t>
      </w:r>
      <w:r w:rsidR="007B463E">
        <w:rPr>
          <w:rFonts w:ascii="Times New Roman" w:hAnsi="Times New Roman" w:cs="Times New Roman"/>
          <w:sz w:val="24"/>
          <w:szCs w:val="24"/>
        </w:rPr>
        <w:t xml:space="preserve">e hornej stavby mostov, náterov </w:t>
      </w:r>
      <w:r w:rsidRPr="007B463E" w:rsidR="007B463E">
        <w:rPr>
          <w:rFonts w:ascii="Times New Roman" w:hAnsi="Times New Roman" w:cs="Times New Roman"/>
          <w:sz w:val="24"/>
          <w:szCs w:val="24"/>
        </w:rPr>
        <w:t>zábradlí a o</w:t>
      </w:r>
      <w:r w:rsidRPr="007B463E" w:rsidR="007B463E">
        <w:rPr>
          <w:rFonts w:ascii="Times New Roman" w:hAnsi="Times New Roman" w:cs="Times New Roman"/>
          <w:sz w:val="24"/>
          <w:szCs w:val="24"/>
        </w:rPr>
        <w:t>práv bezpe</w:t>
      </w:r>
      <w:r w:rsidR="00F33B9D">
        <w:rPr>
          <w:rFonts w:ascii="Times New Roman" w:hAnsi="Times New Roman" w:cs="Times New Roman"/>
          <w:sz w:val="24"/>
          <w:szCs w:val="24"/>
        </w:rPr>
        <w:t xml:space="preserve">čnostných zariadení na </w:t>
      </w:r>
      <w:r w:rsidRPr="00CE4A3A" w:rsidR="00F33B9D">
        <w:rPr>
          <w:rFonts w:ascii="Times New Roman" w:hAnsi="Times New Roman" w:cs="Times New Roman"/>
          <w:sz w:val="24"/>
          <w:szCs w:val="24"/>
        </w:rPr>
        <w:t xml:space="preserve">mostoch, </w:t>
      </w:r>
      <w:r w:rsidRPr="00CE4A3A" w:rsidR="007B463E">
        <w:rPr>
          <w:rFonts w:ascii="Times New Roman" w:hAnsi="Times New Roman" w:cs="Times New Roman"/>
          <w:sz w:val="24"/>
          <w:szCs w:val="24"/>
        </w:rPr>
        <w:t>na čistenie odstavných plôch ciest, kosenie trávnatých porastov, likvidáciu stromov a kríkov.</w:t>
      </w:r>
      <w:r w:rsidRPr="00CE4A3A" w:rsidR="004C5C62">
        <w:rPr>
          <w:rFonts w:ascii="Times New Roman" w:hAnsi="Times New Roman" w:cs="Times New Roman"/>
          <w:sz w:val="24"/>
          <w:szCs w:val="24"/>
        </w:rPr>
        <w:t xml:space="preserve"> </w:t>
      </w:r>
    </w:p>
    <w:p w:rsidR="006E2C6E" w:rsidP="00CE4A3A">
      <w:pPr>
        <w:pStyle w:val="BodyTextIndent"/>
        <w:spacing w:line="240" w:lineRule="auto"/>
        <w:rPr>
          <w:rFonts w:ascii="Times New Roman" w:hAnsi="Times New Roman" w:cs="Times New Roman"/>
          <w:sz w:val="24"/>
          <w:szCs w:val="24"/>
        </w:rPr>
      </w:pPr>
    </w:p>
    <w:p w:rsidR="00CE4A3A" w:rsidRPr="00CE4A3A" w:rsidP="00CE4A3A">
      <w:pPr>
        <w:pStyle w:val="BodyTextIndent"/>
        <w:spacing w:line="240" w:lineRule="auto"/>
        <w:rPr>
          <w:rFonts w:ascii="Times New Roman" w:hAnsi="Times New Roman" w:cs="Times New Roman"/>
          <w:sz w:val="24"/>
          <w:szCs w:val="24"/>
        </w:rPr>
      </w:pPr>
      <w:r w:rsidRPr="00CE4A3A" w:rsidR="001A5ACB">
        <w:rPr>
          <w:rFonts w:ascii="Times New Roman" w:hAnsi="Times New Roman" w:cs="Times New Roman"/>
          <w:sz w:val="24"/>
          <w:szCs w:val="24"/>
        </w:rPr>
        <w:t>Náklady spojené so zabezpečovaním zimnej údržby si vyžiadali 224 238 049,- Sk a </w:t>
      </w:r>
      <w:r w:rsidRPr="00CE4A3A" w:rsidR="004C5C62">
        <w:rPr>
          <w:rFonts w:ascii="Times New Roman" w:hAnsi="Times New Roman" w:cs="Times New Roman"/>
          <w:sz w:val="24"/>
          <w:szCs w:val="24"/>
        </w:rPr>
        <w:t xml:space="preserve"> </w:t>
      </w:r>
      <w:r w:rsidRPr="00CE4A3A" w:rsidR="001A5ACB">
        <w:rPr>
          <w:rFonts w:ascii="Times New Roman" w:hAnsi="Times New Roman" w:cs="Times New Roman"/>
          <w:sz w:val="24"/>
          <w:szCs w:val="24"/>
        </w:rPr>
        <w:t xml:space="preserve">boli použité v IVSC </w:t>
      </w:r>
      <w:r w:rsidRPr="00CE4A3A" w:rsidR="004C5C62">
        <w:rPr>
          <w:rFonts w:ascii="Times New Roman" w:hAnsi="Times New Roman" w:cs="Times New Roman"/>
          <w:sz w:val="24"/>
          <w:szCs w:val="24"/>
        </w:rPr>
        <w:t>Bratislava v sume</w:t>
      </w:r>
      <w:r w:rsidRPr="00CE4A3A" w:rsidR="004C5C62">
        <w:rPr>
          <w:rFonts w:ascii="Times New Roman" w:hAnsi="Times New Roman" w:cs="Times New Roman"/>
          <w:sz w:val="24"/>
          <w:szCs w:val="24"/>
        </w:rPr>
        <w:t xml:space="preserve"> </w:t>
      </w:r>
      <w:r w:rsidRPr="00CE4A3A" w:rsidR="001A5ACB">
        <w:rPr>
          <w:rFonts w:ascii="Times New Roman" w:hAnsi="Times New Roman" w:cs="Times New Roman"/>
          <w:sz w:val="24"/>
          <w:szCs w:val="24"/>
        </w:rPr>
        <w:t>30</w:t>
      </w:r>
      <w:r w:rsidRPr="00CE4A3A" w:rsidR="004C5C62">
        <w:rPr>
          <w:rFonts w:ascii="Times New Roman" w:hAnsi="Times New Roman" w:cs="Times New Roman"/>
          <w:sz w:val="24"/>
          <w:szCs w:val="24"/>
        </w:rPr>
        <w:t> </w:t>
      </w:r>
      <w:r w:rsidRPr="00CE4A3A" w:rsidR="001A5ACB">
        <w:rPr>
          <w:rFonts w:ascii="Times New Roman" w:hAnsi="Times New Roman" w:cs="Times New Roman"/>
          <w:sz w:val="24"/>
          <w:szCs w:val="24"/>
        </w:rPr>
        <w:t>029</w:t>
      </w:r>
      <w:r w:rsidRPr="00CE4A3A" w:rsidR="004C5C62">
        <w:rPr>
          <w:rFonts w:ascii="Times New Roman" w:hAnsi="Times New Roman" w:cs="Times New Roman"/>
          <w:sz w:val="24"/>
          <w:szCs w:val="24"/>
        </w:rPr>
        <w:t xml:space="preserve"> tis. Sk, IVSC Banská Bystrica v sume </w:t>
      </w:r>
      <w:r w:rsidRPr="00CE4A3A" w:rsidR="001A5ACB">
        <w:rPr>
          <w:rFonts w:ascii="Times New Roman" w:hAnsi="Times New Roman" w:cs="Times New Roman"/>
          <w:sz w:val="24"/>
          <w:szCs w:val="24"/>
        </w:rPr>
        <w:t xml:space="preserve"> 55 140 166,</w:t>
      </w:r>
      <w:r w:rsidRPr="00CE4A3A" w:rsidR="004C5C62">
        <w:rPr>
          <w:rFonts w:ascii="Times New Roman" w:hAnsi="Times New Roman" w:cs="Times New Roman"/>
          <w:sz w:val="24"/>
          <w:szCs w:val="24"/>
        </w:rPr>
        <w:t xml:space="preserve">- Sk, IVSC Košice v sume </w:t>
      </w:r>
      <w:r w:rsidRPr="00CE4A3A" w:rsidR="001A5ACB">
        <w:rPr>
          <w:rFonts w:ascii="Times New Roman" w:hAnsi="Times New Roman" w:cs="Times New Roman"/>
          <w:sz w:val="24"/>
          <w:szCs w:val="24"/>
        </w:rPr>
        <w:t>50</w:t>
      </w:r>
      <w:r w:rsidRPr="00CE4A3A" w:rsidR="004C5C62">
        <w:rPr>
          <w:rFonts w:ascii="Times New Roman" w:hAnsi="Times New Roman" w:cs="Times New Roman"/>
          <w:sz w:val="24"/>
          <w:szCs w:val="24"/>
        </w:rPr>
        <w:t> </w:t>
      </w:r>
      <w:r w:rsidRPr="00CE4A3A" w:rsidR="001A5ACB">
        <w:rPr>
          <w:rFonts w:ascii="Times New Roman" w:hAnsi="Times New Roman" w:cs="Times New Roman"/>
          <w:sz w:val="24"/>
          <w:szCs w:val="24"/>
        </w:rPr>
        <w:t>444</w:t>
      </w:r>
      <w:r w:rsidRPr="00CE4A3A" w:rsidR="004C5C62">
        <w:rPr>
          <w:rFonts w:ascii="Times New Roman" w:hAnsi="Times New Roman" w:cs="Times New Roman"/>
          <w:sz w:val="24"/>
          <w:szCs w:val="24"/>
        </w:rPr>
        <w:t xml:space="preserve"> tis. </w:t>
      </w:r>
      <w:r w:rsidRPr="00CE4A3A" w:rsidR="001A5ACB">
        <w:rPr>
          <w:rFonts w:ascii="Times New Roman" w:hAnsi="Times New Roman" w:cs="Times New Roman"/>
          <w:sz w:val="24"/>
          <w:szCs w:val="24"/>
        </w:rPr>
        <w:t>Sk a IVSC Žilina</w:t>
      </w:r>
      <w:r w:rsidRPr="00CE4A3A" w:rsidR="004C5C62">
        <w:rPr>
          <w:rFonts w:ascii="Times New Roman" w:hAnsi="Times New Roman" w:cs="Times New Roman"/>
          <w:sz w:val="24"/>
          <w:szCs w:val="24"/>
        </w:rPr>
        <w:t xml:space="preserve"> v sume </w:t>
      </w:r>
      <w:r w:rsidRPr="00CE4A3A" w:rsidR="001A5ACB">
        <w:rPr>
          <w:rFonts w:ascii="Times New Roman" w:hAnsi="Times New Roman" w:cs="Times New Roman"/>
          <w:sz w:val="24"/>
          <w:szCs w:val="24"/>
        </w:rPr>
        <w:t xml:space="preserve">88 624 883,- Sk. </w:t>
      </w:r>
    </w:p>
    <w:p w:rsidR="006E2C6E" w:rsidP="00CE4A3A">
      <w:pPr>
        <w:spacing w:line="240" w:lineRule="auto"/>
        <w:ind w:firstLine="708"/>
        <w:rPr>
          <w:rFonts w:ascii="Times New Roman" w:hAnsi="Times New Roman" w:cs="Times New Roman"/>
          <w:sz w:val="24"/>
          <w:szCs w:val="24"/>
        </w:rPr>
      </w:pPr>
    </w:p>
    <w:p w:rsidR="006E2C6E" w:rsidP="006E2C6E">
      <w:pPr>
        <w:spacing w:line="240" w:lineRule="auto"/>
        <w:ind w:firstLine="708"/>
        <w:rPr>
          <w:rFonts w:ascii="Times New Roman" w:hAnsi="Times New Roman" w:cs="Times New Roman"/>
          <w:sz w:val="24"/>
          <w:szCs w:val="24"/>
        </w:rPr>
      </w:pPr>
      <w:r w:rsidRPr="00CE4A3A" w:rsidR="00CE4A3A">
        <w:rPr>
          <w:rFonts w:ascii="Times New Roman" w:hAnsi="Times New Roman" w:cs="Times New Roman"/>
          <w:sz w:val="24"/>
          <w:szCs w:val="24"/>
        </w:rPr>
        <w:t>Okrem uvedenej</w:t>
      </w:r>
      <w:r w:rsidR="00CE4A3A">
        <w:rPr>
          <w:rFonts w:ascii="Times New Roman" w:hAnsi="Times New Roman" w:cs="Times New Roman"/>
          <w:sz w:val="24"/>
          <w:szCs w:val="24"/>
        </w:rPr>
        <w:t xml:space="preserve"> údržby a opráv ciest I. triedy, mostov a diaľničných p</w:t>
      </w:r>
      <w:r w:rsidR="006D2832">
        <w:rPr>
          <w:rFonts w:ascii="Times New Roman" w:hAnsi="Times New Roman" w:cs="Times New Roman"/>
          <w:sz w:val="24"/>
          <w:szCs w:val="24"/>
        </w:rPr>
        <w:t>rivádzačov boli, v rámci skupiny 635–</w:t>
      </w:r>
      <w:r w:rsidRPr="00286A31" w:rsidR="00CE4A3A">
        <w:rPr>
          <w:rFonts w:ascii="Times New Roman" w:hAnsi="Times New Roman" w:cs="Times New Roman"/>
          <w:sz w:val="24"/>
          <w:szCs w:val="24"/>
        </w:rPr>
        <w:t>Rutinná a štandardná údržb</w:t>
      </w:r>
      <w:r w:rsidR="00CE4A3A">
        <w:rPr>
          <w:rFonts w:ascii="Times New Roman" w:hAnsi="Times New Roman" w:cs="Times New Roman"/>
          <w:sz w:val="24"/>
          <w:szCs w:val="24"/>
        </w:rPr>
        <w:t xml:space="preserve">a, </w:t>
      </w:r>
      <w:r w:rsidRPr="00B3037B" w:rsidR="00CE4A3A">
        <w:rPr>
          <w:rFonts w:ascii="Times New Roman" w:hAnsi="Times New Roman" w:cs="Times New Roman"/>
          <w:sz w:val="24"/>
          <w:szCs w:val="24"/>
        </w:rPr>
        <w:t xml:space="preserve">hradené výdavky </w:t>
      </w:r>
      <w:r w:rsidR="00CE4A3A">
        <w:rPr>
          <w:rFonts w:ascii="Times New Roman" w:hAnsi="Times New Roman" w:cs="Times New Roman"/>
          <w:sz w:val="24"/>
          <w:szCs w:val="24"/>
        </w:rPr>
        <w:t xml:space="preserve">aj na </w:t>
      </w:r>
      <w:r w:rsidRPr="00B3037B" w:rsidR="00CE4A3A">
        <w:rPr>
          <w:rFonts w:ascii="Times New Roman" w:hAnsi="Times New Roman" w:cs="Times New Roman"/>
          <w:sz w:val="24"/>
          <w:szCs w:val="24"/>
        </w:rPr>
        <w:t>údržbu výpočtovej techniky, budov, priestorov a objektov, špeciálnych strojov, prístrojov a zariadení a pod.</w:t>
      </w:r>
      <w:r w:rsidR="00CE4A3A">
        <w:rPr>
          <w:rFonts w:ascii="Times New Roman" w:hAnsi="Times New Roman" w:cs="Times New Roman"/>
          <w:sz w:val="24"/>
          <w:szCs w:val="24"/>
        </w:rPr>
        <w:t>.</w:t>
      </w:r>
      <w:r w:rsidRPr="00B3037B" w:rsidR="00CE4A3A">
        <w:rPr>
          <w:rFonts w:ascii="Times New Roman" w:hAnsi="Times New Roman" w:cs="Times New Roman"/>
          <w:sz w:val="24"/>
          <w:szCs w:val="24"/>
        </w:rPr>
        <w:t xml:space="preserve"> </w:t>
      </w:r>
    </w:p>
    <w:p w:rsidR="00CF68BA" w:rsidRPr="00CE4A3A" w:rsidP="00CE4A3A">
      <w:pPr>
        <w:spacing w:line="240" w:lineRule="auto"/>
        <w:ind w:firstLine="709"/>
        <w:rPr>
          <w:rFonts w:ascii="Times New Roman" w:hAnsi="Times New Roman" w:cs="Times New Roman"/>
          <w:sz w:val="24"/>
          <w:szCs w:val="24"/>
        </w:rPr>
      </w:pPr>
      <w:r w:rsidRPr="00CE4A3A" w:rsidR="00CE4A3A">
        <w:rPr>
          <w:rFonts w:ascii="Times New Roman" w:hAnsi="Times New Roman" w:cs="Times New Roman"/>
          <w:sz w:val="24"/>
          <w:szCs w:val="24"/>
        </w:rPr>
        <w:t>Okrem toho bola zabezpečená údržba zariadení ASD a kalibrácia, údržba vážneho zariadenia na hraničnom priechode Vyšné Nemecké, konzultačná podpora, pozáručný servis a údržba Informačného systému modelu cestnej siete (IS MCS), servis meracích prístrojov GPS a pravidelná údržba diagnostických zariadení (Profilograph, Skiddometer, Videocar).</w:t>
      </w:r>
    </w:p>
    <w:p w:rsidR="006E2C6E" w:rsidP="00C362EA">
      <w:pPr>
        <w:pStyle w:val="BodyTextIndent"/>
        <w:spacing w:line="240" w:lineRule="auto"/>
        <w:rPr>
          <w:rFonts w:ascii="Times New Roman" w:hAnsi="Times New Roman" w:cs="Times New Roman"/>
          <w:sz w:val="24"/>
          <w:szCs w:val="24"/>
        </w:rPr>
      </w:pPr>
    </w:p>
    <w:p w:rsidR="0041401B" w:rsidP="00C362EA">
      <w:pPr>
        <w:pStyle w:val="BodyTextIndent"/>
        <w:spacing w:line="240" w:lineRule="auto"/>
        <w:rPr>
          <w:rFonts w:ascii="Times New Roman" w:hAnsi="Times New Roman" w:cs="Times New Roman"/>
          <w:sz w:val="24"/>
          <w:szCs w:val="24"/>
        </w:rPr>
      </w:pPr>
      <w:r w:rsidR="00F33B9D">
        <w:rPr>
          <w:rFonts w:ascii="Times New Roman" w:hAnsi="Times New Roman" w:cs="Times New Roman"/>
          <w:sz w:val="24"/>
          <w:szCs w:val="24"/>
        </w:rPr>
        <w:t xml:space="preserve">V rámci 9. skupiny – </w:t>
      </w:r>
      <w:r>
        <w:rPr>
          <w:rFonts w:ascii="Times New Roman" w:hAnsi="Times New Roman" w:cs="Times New Roman"/>
          <w:sz w:val="24"/>
          <w:szCs w:val="24"/>
        </w:rPr>
        <w:t xml:space="preserve">ostatné činnosti, </w:t>
      </w:r>
      <w:r w:rsidRPr="007B463E" w:rsidR="007B463E">
        <w:rPr>
          <w:rFonts w:ascii="Times New Roman" w:hAnsi="Times New Roman" w:cs="Times New Roman"/>
          <w:sz w:val="24"/>
          <w:szCs w:val="24"/>
        </w:rPr>
        <w:t>boli finanč</w:t>
      </w:r>
      <w:r w:rsidR="004C5C62">
        <w:rPr>
          <w:rFonts w:ascii="Times New Roman" w:hAnsi="Times New Roman" w:cs="Times New Roman"/>
          <w:sz w:val="24"/>
          <w:szCs w:val="24"/>
        </w:rPr>
        <w:t xml:space="preserve">né prostriedky použité na prevádzkové výdavky a odstraňovanie následkov dopravných nehôd. </w:t>
      </w:r>
    </w:p>
    <w:p w:rsidR="006E2C6E" w:rsidP="00B27788">
      <w:pPr>
        <w:pStyle w:val="BodyTextIndent"/>
        <w:spacing w:line="240" w:lineRule="auto"/>
        <w:rPr>
          <w:rFonts w:ascii="Times New Roman" w:hAnsi="Times New Roman" w:cs="Times New Roman"/>
          <w:sz w:val="24"/>
          <w:szCs w:val="24"/>
        </w:rPr>
      </w:pPr>
    </w:p>
    <w:p w:rsidR="00CE4A3A" w:rsidRPr="00CE4A3A" w:rsidP="00B27788">
      <w:pPr>
        <w:pStyle w:val="BodyTextIndent"/>
        <w:spacing w:line="240" w:lineRule="auto"/>
        <w:rPr>
          <w:rFonts w:ascii="Times New Roman" w:hAnsi="Times New Roman" w:cs="Times New Roman"/>
          <w:b/>
          <w:sz w:val="24"/>
          <w:szCs w:val="24"/>
        </w:rPr>
      </w:pPr>
      <w:r w:rsidRPr="00CE4A3A">
        <w:rPr>
          <w:rFonts w:ascii="Times New Roman" w:hAnsi="Times New Roman" w:cs="Times New Roman"/>
          <w:sz w:val="24"/>
          <w:szCs w:val="24"/>
        </w:rPr>
        <w:t>Celkovo bolo na realizáciu bežnej a zimnej údržby ciest I. triedy a diaľničných privádzačov, údržby výpočtovej techniky, budov, priestorov a objektov, špeciálnych strojov, prístrojov a zariadení, údržby vážneho zariadenia na hraničnom priechode Vyšné Nemecké a ost</w:t>
      </w:r>
      <w:r w:rsidR="00806FAF">
        <w:rPr>
          <w:rFonts w:ascii="Times New Roman" w:hAnsi="Times New Roman" w:cs="Times New Roman"/>
          <w:sz w:val="24"/>
          <w:szCs w:val="24"/>
        </w:rPr>
        <w:t xml:space="preserve">atných vyššie uvedených potrieb, </w:t>
      </w:r>
      <w:r w:rsidRPr="00CE4A3A">
        <w:rPr>
          <w:rFonts w:ascii="Times New Roman" w:hAnsi="Times New Roman" w:cs="Times New Roman"/>
          <w:sz w:val="24"/>
          <w:szCs w:val="24"/>
        </w:rPr>
        <w:t xml:space="preserve">použitých </w:t>
      </w:r>
      <w:r w:rsidRPr="00CE4A3A">
        <w:rPr>
          <w:rFonts w:ascii="Times New Roman" w:hAnsi="Times New Roman" w:cs="Times New Roman"/>
          <w:b/>
          <w:sz w:val="24"/>
          <w:szCs w:val="24"/>
        </w:rPr>
        <w:t>604 064 135,98 Sk.</w:t>
      </w:r>
    </w:p>
    <w:p w:rsidR="006E2C6E" w:rsidP="00C362EA">
      <w:pPr>
        <w:spacing w:line="240" w:lineRule="auto"/>
        <w:ind w:firstLine="709"/>
        <w:rPr>
          <w:rFonts w:ascii="Times New Roman" w:hAnsi="Times New Roman" w:cs="Times New Roman"/>
          <w:b/>
          <w:sz w:val="24"/>
          <w:szCs w:val="24"/>
        </w:rPr>
      </w:pPr>
    </w:p>
    <w:p w:rsidR="00034B8E" w:rsidP="00C362EA">
      <w:pPr>
        <w:spacing w:line="240" w:lineRule="auto"/>
        <w:ind w:firstLine="709"/>
        <w:rPr>
          <w:rFonts w:ascii="Times New Roman" w:hAnsi="Times New Roman" w:cs="Times New Roman"/>
          <w:sz w:val="24"/>
          <w:szCs w:val="24"/>
        </w:rPr>
      </w:pPr>
      <w:r w:rsidRPr="007C7819" w:rsidR="00184637">
        <w:rPr>
          <w:rFonts w:ascii="Times New Roman" w:hAnsi="Times New Roman" w:cs="Times New Roman"/>
          <w:b/>
          <w:sz w:val="24"/>
          <w:szCs w:val="24"/>
        </w:rPr>
        <w:t xml:space="preserve">Na opravy ciest I. triedy, </w:t>
      </w:r>
      <w:r w:rsidRPr="007C7819" w:rsidR="00086D24">
        <w:rPr>
          <w:rFonts w:ascii="Times New Roman" w:hAnsi="Times New Roman" w:cs="Times New Roman"/>
          <w:b/>
          <w:sz w:val="24"/>
          <w:szCs w:val="24"/>
        </w:rPr>
        <w:t>mostných objektov, súčastí ciest I. t</w:t>
      </w:r>
      <w:r w:rsidRPr="007C7819" w:rsidR="00086D24">
        <w:rPr>
          <w:rFonts w:ascii="Times New Roman" w:hAnsi="Times New Roman" w:cs="Times New Roman"/>
          <w:b/>
          <w:sz w:val="24"/>
          <w:szCs w:val="24"/>
        </w:rPr>
        <w:t xml:space="preserve">riedy, </w:t>
      </w:r>
      <w:r w:rsidRPr="007C7819" w:rsidR="00184637">
        <w:rPr>
          <w:rFonts w:ascii="Times New Roman" w:hAnsi="Times New Roman" w:cs="Times New Roman"/>
          <w:b/>
          <w:sz w:val="24"/>
          <w:szCs w:val="24"/>
        </w:rPr>
        <w:t>diaľničných privádzačov a vodorovného dopravného značenia</w:t>
      </w:r>
      <w:r w:rsidR="00086D24">
        <w:rPr>
          <w:rFonts w:ascii="Times New Roman" w:hAnsi="Times New Roman" w:cs="Times New Roman"/>
          <w:sz w:val="24"/>
          <w:szCs w:val="24"/>
        </w:rPr>
        <w:t xml:space="preserve">, </w:t>
      </w:r>
      <w:r w:rsidR="001A5ACB">
        <w:rPr>
          <w:rFonts w:ascii="Times New Roman" w:hAnsi="Times New Roman" w:cs="Times New Roman"/>
          <w:sz w:val="24"/>
          <w:szCs w:val="24"/>
        </w:rPr>
        <w:t xml:space="preserve">bolo určených </w:t>
      </w:r>
      <w:r w:rsidR="00CE4A3A">
        <w:rPr>
          <w:rFonts w:ascii="Times New Roman" w:hAnsi="Times New Roman" w:cs="Times New Roman"/>
          <w:b/>
          <w:sz w:val="24"/>
          <w:szCs w:val="24"/>
        </w:rPr>
        <w:t xml:space="preserve">410 268 000,- </w:t>
      </w:r>
      <w:r w:rsidRPr="007C7819" w:rsidR="00184637">
        <w:rPr>
          <w:rFonts w:ascii="Times New Roman" w:hAnsi="Times New Roman" w:cs="Times New Roman"/>
          <w:b/>
          <w:sz w:val="24"/>
          <w:szCs w:val="24"/>
        </w:rPr>
        <w:t>Sk</w:t>
      </w:r>
      <w:r w:rsidR="00184637">
        <w:rPr>
          <w:rFonts w:ascii="Times New Roman" w:hAnsi="Times New Roman" w:cs="Times New Roman"/>
          <w:sz w:val="24"/>
          <w:szCs w:val="24"/>
        </w:rPr>
        <w:t xml:space="preserve">. </w:t>
      </w:r>
      <w:r w:rsidRPr="00B11D5D">
        <w:rPr>
          <w:rFonts w:ascii="Times New Roman" w:hAnsi="Times New Roman" w:cs="Times New Roman"/>
          <w:sz w:val="24"/>
          <w:szCs w:val="24"/>
        </w:rPr>
        <w:t xml:space="preserve">Pri opravách ciest a mostov sa realizujú </w:t>
      </w:r>
      <w:r>
        <w:rPr>
          <w:rFonts w:ascii="Times New Roman" w:hAnsi="Times New Roman" w:cs="Times New Roman"/>
          <w:sz w:val="24"/>
          <w:szCs w:val="24"/>
        </w:rPr>
        <w:t xml:space="preserve">najmä </w:t>
      </w:r>
      <w:r w:rsidRPr="00B11D5D">
        <w:rPr>
          <w:rFonts w:ascii="Times New Roman" w:hAnsi="Times New Roman" w:cs="Times New Roman"/>
          <w:sz w:val="24"/>
          <w:szCs w:val="24"/>
        </w:rPr>
        <w:t>práce: frézovanie, vyrovnávanie nerovností podkladu (emulzný mikrokoberec), post</w:t>
      </w:r>
      <w:r>
        <w:rPr>
          <w:rFonts w:ascii="Times New Roman" w:hAnsi="Times New Roman" w:cs="Times New Roman"/>
          <w:sz w:val="24"/>
          <w:szCs w:val="24"/>
        </w:rPr>
        <w:t>rek živičný spojovací, pokládka</w:t>
      </w:r>
      <w:r>
        <w:rPr>
          <w:rFonts w:ascii="Times New Roman" w:hAnsi="Times New Roman" w:cs="Times New Roman"/>
          <w:sz w:val="24"/>
          <w:szCs w:val="24"/>
        </w:rPr>
        <w:t xml:space="preserve"> asfaltového betónu,</w:t>
      </w:r>
      <w:r w:rsidRPr="00426746">
        <w:rPr>
          <w:rFonts w:ascii="Times New Roman" w:hAnsi="Times New Roman" w:cs="Times New Roman"/>
          <w:sz w:val="24"/>
          <w:szCs w:val="24"/>
        </w:rPr>
        <w:t xml:space="preserve"> </w:t>
      </w:r>
      <w:r>
        <w:rPr>
          <w:rFonts w:ascii="Times New Roman" w:hAnsi="Times New Roman" w:cs="Times New Roman"/>
          <w:sz w:val="24"/>
          <w:szCs w:val="24"/>
        </w:rPr>
        <w:t>opravy škár betónového krytu vozovky, úprava vpustov a poklopov, úpravy odvodnenia a obru</w:t>
      </w:r>
      <w:r w:rsidR="006D2832">
        <w:rPr>
          <w:rFonts w:ascii="Times New Roman" w:hAnsi="Times New Roman" w:cs="Times New Roman"/>
          <w:sz w:val="24"/>
          <w:szCs w:val="24"/>
        </w:rPr>
        <w:t xml:space="preserve">bníkov, opatrenia na upokojenie </w:t>
      </w:r>
      <w:r>
        <w:rPr>
          <w:rFonts w:ascii="Times New Roman" w:hAnsi="Times New Roman" w:cs="Times New Roman"/>
          <w:sz w:val="24"/>
          <w:szCs w:val="24"/>
        </w:rPr>
        <w:t xml:space="preserve">dopravy </w:t>
      </w:r>
      <w:r w:rsidRPr="00274850">
        <w:rPr>
          <w:rFonts w:ascii="Times New Roman" w:hAnsi="Times New Roman" w:cs="Times New Roman"/>
          <w:sz w:val="24"/>
          <w:szCs w:val="24"/>
        </w:rPr>
        <w:t>(o</w:t>
      </w:r>
      <w:r>
        <w:rPr>
          <w:rFonts w:ascii="Times New Roman" w:hAnsi="Times New Roman" w:cs="Times New Roman"/>
          <w:sz w:val="24"/>
          <w:szCs w:val="24"/>
        </w:rPr>
        <w:t xml:space="preserve">strovčeky, vychýlenie dopravy) </w:t>
      </w:r>
      <w:r w:rsidRPr="00B11D5D">
        <w:rPr>
          <w:rFonts w:ascii="Times New Roman" w:hAnsi="Times New Roman" w:cs="Times New Roman"/>
          <w:sz w:val="24"/>
          <w:szCs w:val="24"/>
        </w:rPr>
        <w:t xml:space="preserve">atď.. </w:t>
      </w:r>
      <w:r>
        <w:rPr>
          <w:rFonts w:ascii="Times New Roman" w:hAnsi="Times New Roman" w:cs="Times New Roman"/>
          <w:sz w:val="24"/>
          <w:szCs w:val="24"/>
        </w:rPr>
        <w:t xml:space="preserve">V rámci </w:t>
      </w:r>
      <w:r w:rsidRPr="00B11D5D">
        <w:rPr>
          <w:rFonts w:ascii="Times New Roman" w:hAnsi="Times New Roman" w:cs="Times New Roman"/>
          <w:sz w:val="24"/>
          <w:szCs w:val="24"/>
        </w:rPr>
        <w:t>vodor</w:t>
      </w:r>
      <w:r w:rsidR="006D2832">
        <w:rPr>
          <w:rFonts w:ascii="Times New Roman" w:hAnsi="Times New Roman" w:cs="Times New Roman"/>
          <w:sz w:val="24"/>
          <w:szCs w:val="24"/>
        </w:rPr>
        <w:t xml:space="preserve">ovného </w:t>
      </w:r>
      <w:r>
        <w:rPr>
          <w:rFonts w:ascii="Times New Roman" w:hAnsi="Times New Roman" w:cs="Times New Roman"/>
          <w:sz w:val="24"/>
          <w:szCs w:val="24"/>
        </w:rPr>
        <w:t>a zvislého dopravného značenia sa na plánovanýc</w:t>
      </w:r>
      <w:r>
        <w:rPr>
          <w:rFonts w:ascii="Times New Roman" w:hAnsi="Times New Roman" w:cs="Times New Roman"/>
          <w:sz w:val="24"/>
          <w:szCs w:val="24"/>
        </w:rPr>
        <w:t xml:space="preserve">h úsekoch ciest obnovujú </w:t>
      </w:r>
      <w:r w:rsidRPr="00B11D5D">
        <w:rPr>
          <w:rFonts w:ascii="Times New Roman" w:hAnsi="Times New Roman" w:cs="Times New Roman"/>
          <w:sz w:val="24"/>
          <w:szCs w:val="24"/>
        </w:rPr>
        <w:t xml:space="preserve">stredové </w:t>
      </w:r>
      <w:r>
        <w:rPr>
          <w:rFonts w:ascii="Times New Roman" w:hAnsi="Times New Roman" w:cs="Times New Roman"/>
          <w:sz w:val="24"/>
          <w:szCs w:val="24"/>
        </w:rPr>
        <w:t xml:space="preserve">deliace čiary, vodiace prúžky, </w:t>
      </w:r>
      <w:r w:rsidRPr="00B11D5D">
        <w:rPr>
          <w:rFonts w:ascii="Times New Roman" w:hAnsi="Times New Roman" w:cs="Times New Roman"/>
          <w:sz w:val="24"/>
          <w:szCs w:val="24"/>
        </w:rPr>
        <w:t xml:space="preserve">šrafované plochy </w:t>
      </w:r>
      <w:r>
        <w:rPr>
          <w:rFonts w:ascii="Times New Roman" w:hAnsi="Times New Roman" w:cs="Times New Roman"/>
          <w:sz w:val="24"/>
          <w:szCs w:val="24"/>
        </w:rPr>
        <w:t>a pr</w:t>
      </w:r>
      <w:r w:rsidR="00D72400">
        <w:rPr>
          <w:rFonts w:ascii="Times New Roman" w:hAnsi="Times New Roman" w:cs="Times New Roman"/>
          <w:sz w:val="24"/>
          <w:szCs w:val="24"/>
        </w:rPr>
        <w:t>i</w:t>
      </w:r>
      <w:r>
        <w:rPr>
          <w:rFonts w:ascii="Times New Roman" w:hAnsi="Times New Roman" w:cs="Times New Roman"/>
          <w:sz w:val="24"/>
          <w:szCs w:val="24"/>
        </w:rPr>
        <w:t>echody pre chodcov, dopĺňajú dopravné značenia, upravujú prejazdné šírky vozoviek, vytvárajú stredové ostrovčeky na prechodoch pre chodcov a pod..</w:t>
      </w:r>
    </w:p>
    <w:p w:rsidR="00B27788" w:rsidP="000B2D82">
      <w:pPr>
        <w:spacing w:line="240" w:lineRule="auto"/>
        <w:rPr>
          <w:rFonts w:ascii="Times New Roman" w:hAnsi="Times New Roman" w:cs="Times New Roman"/>
          <w:sz w:val="24"/>
          <w:szCs w:val="24"/>
          <w:u w:val="single"/>
        </w:rPr>
      </w:pPr>
    </w:p>
    <w:p w:rsidR="00184637" w:rsidRPr="00B27788" w:rsidP="00C362EA">
      <w:pPr>
        <w:spacing w:line="240" w:lineRule="auto"/>
        <w:ind w:firstLine="709"/>
        <w:rPr>
          <w:rFonts w:ascii="Times New Roman" w:hAnsi="Times New Roman" w:cs="Times New Roman"/>
          <w:b/>
          <w:sz w:val="24"/>
          <w:szCs w:val="24"/>
        </w:rPr>
      </w:pPr>
      <w:r w:rsidRPr="00B27788" w:rsidR="00034B8E">
        <w:rPr>
          <w:rFonts w:ascii="Times New Roman" w:hAnsi="Times New Roman" w:cs="Times New Roman"/>
          <w:b/>
          <w:sz w:val="24"/>
          <w:szCs w:val="24"/>
          <w:u w:val="single"/>
        </w:rPr>
        <w:t>Predmetné f</w:t>
      </w:r>
      <w:r w:rsidRPr="00B27788">
        <w:rPr>
          <w:rFonts w:ascii="Times New Roman" w:hAnsi="Times New Roman" w:cs="Times New Roman"/>
          <w:b/>
          <w:sz w:val="24"/>
          <w:szCs w:val="24"/>
          <w:u w:val="single"/>
        </w:rPr>
        <w:t xml:space="preserve">inančné prostriedky boli použité na </w:t>
      </w:r>
      <w:r w:rsidRPr="00B27788" w:rsidR="00F742B1">
        <w:rPr>
          <w:rFonts w:ascii="Times New Roman" w:hAnsi="Times New Roman" w:cs="Times New Roman"/>
          <w:b/>
          <w:sz w:val="24"/>
          <w:szCs w:val="24"/>
          <w:u w:val="single"/>
        </w:rPr>
        <w:t xml:space="preserve">realizáciu </w:t>
      </w:r>
      <w:r w:rsidRPr="00B27788">
        <w:rPr>
          <w:rFonts w:ascii="Times New Roman" w:hAnsi="Times New Roman" w:cs="Times New Roman"/>
          <w:b/>
          <w:sz w:val="24"/>
          <w:szCs w:val="24"/>
          <w:u w:val="single"/>
        </w:rPr>
        <w:t>nasledovn</w:t>
      </w:r>
      <w:r w:rsidRPr="00B27788" w:rsidR="00F742B1">
        <w:rPr>
          <w:rFonts w:ascii="Times New Roman" w:hAnsi="Times New Roman" w:cs="Times New Roman"/>
          <w:b/>
          <w:sz w:val="24"/>
          <w:szCs w:val="24"/>
          <w:u w:val="single"/>
        </w:rPr>
        <w:t>ých opráv</w:t>
      </w:r>
      <w:r w:rsidRPr="00B27788">
        <w:rPr>
          <w:rFonts w:ascii="Times New Roman" w:hAnsi="Times New Roman" w:cs="Times New Roman"/>
          <w:b/>
          <w:sz w:val="24"/>
          <w:szCs w:val="24"/>
        </w:rPr>
        <w:t>:</w:t>
      </w:r>
    </w:p>
    <w:p w:rsidR="00184637" w:rsidRPr="00184637" w:rsidP="00C362EA">
      <w:pPr>
        <w:spacing w:line="240" w:lineRule="auto"/>
        <w:rPr>
          <w:rFonts w:ascii="Times New Roman" w:hAnsi="Times New Roman" w:cs="Times New Roman"/>
          <w:sz w:val="24"/>
          <w:szCs w:val="24"/>
        </w:rPr>
      </w:pPr>
    </w:p>
    <w:p w:rsidR="00CF68BA" w:rsidRPr="00CF68BA" w:rsidP="00CF68BA">
      <w:pPr>
        <w:spacing w:line="240" w:lineRule="auto"/>
        <w:rPr>
          <w:rFonts w:ascii="Times New Roman" w:hAnsi="Times New Roman" w:cs="Times New Roman"/>
          <w:b/>
          <w:sz w:val="24"/>
          <w:szCs w:val="24"/>
          <w:u w:val="single"/>
        </w:rPr>
      </w:pPr>
      <w:r w:rsidRPr="00C037EB" w:rsidR="00C037EB">
        <w:rPr>
          <w:rFonts w:ascii="Times New Roman" w:hAnsi="Times New Roman" w:cs="Times New Roman"/>
          <w:sz w:val="24"/>
          <w:szCs w:val="24"/>
        </w:rPr>
        <w:t xml:space="preserve"> </w:t>
      </w:r>
      <w:r w:rsidRPr="00CF68BA">
        <w:rPr>
          <w:rFonts w:ascii="Times New Roman" w:hAnsi="Times New Roman" w:cs="Times New Roman"/>
          <w:b/>
          <w:sz w:val="24"/>
          <w:szCs w:val="24"/>
          <w:u w:val="single"/>
        </w:rPr>
        <w:t>IVSC  Bratislava</w:t>
      </w:r>
    </w:p>
    <w:p w:rsidR="00CF68BA" w:rsidRPr="00CF68BA" w:rsidP="00CF68BA">
      <w:pPr>
        <w:spacing w:line="240" w:lineRule="auto"/>
        <w:rPr>
          <w:rFonts w:ascii="Times New Roman" w:hAnsi="Times New Roman" w:cs="Times New Roman"/>
          <w:b/>
          <w:sz w:val="24"/>
          <w:szCs w:val="24"/>
        </w:rPr>
      </w:pPr>
    </w:p>
    <w:p w:rsidR="00CF68BA" w:rsidP="000B2D82">
      <w:pPr>
        <w:spacing w:line="240" w:lineRule="auto"/>
        <w:ind w:firstLine="708"/>
        <w:rPr>
          <w:rFonts w:ascii="Times New Roman" w:hAnsi="Times New Roman" w:cs="Times New Roman"/>
          <w:sz w:val="24"/>
          <w:szCs w:val="24"/>
        </w:rPr>
      </w:pPr>
      <w:r w:rsidRPr="00CF68BA">
        <w:rPr>
          <w:rFonts w:ascii="Times New Roman" w:hAnsi="Times New Roman" w:cs="Times New Roman"/>
          <w:sz w:val="24"/>
          <w:szCs w:val="24"/>
        </w:rPr>
        <w:t>Celkovo boli v roku 2007 realizované opravy na 24 úsekoch v celkovej dĺžke     20,010 km</w:t>
      </w:r>
      <w:r>
        <w:rPr>
          <w:rFonts w:ascii="Times New Roman" w:hAnsi="Times New Roman" w:cs="Times New Roman"/>
          <w:sz w:val="24"/>
          <w:szCs w:val="24"/>
        </w:rPr>
        <w:t xml:space="preserve"> </w:t>
      </w:r>
      <w:r w:rsidRPr="00CF68BA">
        <w:rPr>
          <w:rFonts w:ascii="Times New Roman" w:hAnsi="Times New Roman" w:cs="Times New Roman"/>
          <w:sz w:val="24"/>
          <w:szCs w:val="24"/>
        </w:rPr>
        <w:t>a oprav</w:t>
      </w:r>
      <w:r w:rsidR="005C1517">
        <w:rPr>
          <w:rFonts w:ascii="Times New Roman" w:hAnsi="Times New Roman" w:cs="Times New Roman"/>
          <w:sz w:val="24"/>
          <w:szCs w:val="24"/>
        </w:rPr>
        <w:t xml:space="preserve">a dilatácie mosta na ceste I/2 v dĺžke 1,0 km. </w:t>
      </w:r>
    </w:p>
    <w:p w:rsidR="00B27788" w:rsidP="000B2D82">
      <w:pPr>
        <w:spacing w:line="240" w:lineRule="auto"/>
        <w:ind w:firstLine="708"/>
        <w:rPr>
          <w:rFonts w:ascii="Times New Roman" w:hAnsi="Times New Roman" w:cs="Times New Roman"/>
          <w:sz w:val="24"/>
          <w:szCs w:val="24"/>
        </w:rPr>
      </w:pPr>
    </w:p>
    <w:p w:rsidR="00CF68BA" w:rsidP="00CF68BA">
      <w:pPr>
        <w:spacing w:line="240" w:lineRule="auto"/>
        <w:jc w:val="center"/>
        <w:rPr>
          <w:rFonts w:ascii="Times New Roman" w:hAnsi="Times New Roman" w:cs="Times New Roman"/>
          <w:sz w:val="24"/>
          <w:szCs w:val="24"/>
        </w:rPr>
      </w:pPr>
      <w:r w:rsidRPr="00CF68BA">
        <w:rPr>
          <w:rFonts w:ascii="Times New Roman" w:hAnsi="Times New Roman" w:cs="Times New Roman"/>
          <w:sz w:val="24"/>
          <w:szCs w:val="24"/>
        </w:rPr>
        <w:t>Konkrétne boli realizované práce na stavbách z nasledujúceho prehľadu:</w:t>
      </w:r>
    </w:p>
    <w:p w:rsidR="00CF68BA" w:rsidRPr="00CF68BA" w:rsidP="00CF68BA">
      <w:pPr>
        <w:spacing w:line="240" w:lineRule="auto"/>
        <w:jc w:val="center"/>
        <w:rPr>
          <w:rFonts w:ascii="Times New Roman" w:hAnsi="Times New Roman" w:cs="Times New Roman"/>
          <w:sz w:val="24"/>
          <w:szCs w:val="24"/>
        </w:rPr>
      </w:pPr>
    </w:p>
    <w:tbl>
      <w:tblPr>
        <w:tblW w:w="9240" w:type="dxa"/>
        <w:tblInd w:w="93" w:type="dxa"/>
      </w:tblPr>
      <w:tblGrid>
        <w:gridCol w:w="1440"/>
        <w:gridCol w:w="4480"/>
        <w:gridCol w:w="1660"/>
        <w:gridCol w:w="1660"/>
      </w:tblGrid>
      <w:tr>
        <w:tblPrEx>
          <w:tblW w:w="9240" w:type="dxa"/>
          <w:tblInd w:w="93" w:type="dxa"/>
        </w:tblPrEx>
        <w:trPr>
          <w:trHeight w:val="555"/>
        </w:trPr>
        <w:tc>
          <w:tcPr>
            <w:tcW w:w="1440" w:type="dxa"/>
            <w:tcBorders>
              <w:top w:val="single" w:sz="8" w:space="0" w:color="auto"/>
              <w:left w:val="single" w:sz="8" w:space="0" w:color="auto"/>
              <w:bottom w:val="single" w:sz="8" w:space="0" w:color="auto"/>
              <w:right w:val="nil"/>
              <w:tl2br w:val="nil"/>
              <w:tr2bl w:val="nil"/>
            </w:tcBorders>
            <w:shd w:val="clear" w:color="auto" w:fill="C0C0C0"/>
            <w:textDirection w:val="lrTb"/>
            <w:vAlign w:val="center"/>
          </w:tcPr>
          <w:p w:rsidR="00CF68BA" w:rsidRPr="00D32A76" w:rsidP="00CF68BA">
            <w:pPr>
              <w:spacing w:line="240" w:lineRule="auto"/>
              <w:jc w:val="center"/>
              <w:rPr>
                <w:rFonts w:ascii="Arial Narrow" w:hAnsi="Arial Narrow" w:cs="Times New Roman"/>
                <w:b/>
                <w:bCs/>
                <w:iCs/>
                <w:sz w:val="24"/>
                <w:szCs w:val="24"/>
              </w:rPr>
            </w:pPr>
            <w:r w:rsidRPr="00D32A76">
              <w:rPr>
                <w:rFonts w:ascii="Arial Narrow" w:hAnsi="Arial Narrow" w:cs="Times New Roman"/>
                <w:b/>
                <w:bCs/>
                <w:iCs/>
                <w:sz w:val="24"/>
                <w:szCs w:val="24"/>
              </w:rPr>
              <w:t>Okres</w:t>
            </w:r>
          </w:p>
        </w:tc>
        <w:tc>
          <w:tcPr>
            <w:tcW w:w="4480" w:type="dxa"/>
            <w:tcBorders>
              <w:top w:val="single" w:sz="8" w:space="0" w:color="auto"/>
              <w:left w:val="single" w:sz="8" w:space="0" w:color="auto"/>
              <w:bottom w:val="single" w:sz="8" w:space="0" w:color="auto"/>
              <w:right w:val="single" w:sz="8" w:space="0" w:color="auto"/>
              <w:tl2br w:val="nil"/>
              <w:tr2bl w:val="nil"/>
            </w:tcBorders>
            <w:shd w:val="clear" w:color="auto" w:fill="C0C0C0"/>
            <w:textDirection w:val="lrTb"/>
            <w:vAlign w:val="center"/>
          </w:tcPr>
          <w:p w:rsidR="00CF68BA" w:rsidRPr="00D32A76" w:rsidP="00CF68BA">
            <w:pPr>
              <w:spacing w:line="240" w:lineRule="auto"/>
              <w:jc w:val="center"/>
              <w:rPr>
                <w:rFonts w:ascii="Arial Narrow" w:hAnsi="Arial Narrow" w:cs="Times New Roman"/>
                <w:b/>
                <w:bCs/>
                <w:iCs/>
                <w:sz w:val="24"/>
                <w:szCs w:val="24"/>
              </w:rPr>
            </w:pPr>
            <w:r w:rsidRPr="00D32A76">
              <w:rPr>
                <w:rFonts w:ascii="Arial Narrow" w:hAnsi="Arial Narrow" w:cs="Times New Roman"/>
                <w:b/>
                <w:bCs/>
                <w:iCs/>
                <w:sz w:val="24"/>
                <w:szCs w:val="24"/>
              </w:rPr>
              <w:t>Druh opravy</w:t>
            </w:r>
          </w:p>
        </w:tc>
        <w:tc>
          <w:tcPr>
            <w:tcW w:w="1660" w:type="dxa"/>
            <w:tcBorders>
              <w:top w:val="single" w:sz="8" w:space="0" w:color="auto"/>
              <w:left w:val="nil"/>
              <w:bottom w:val="single" w:sz="8" w:space="0" w:color="auto"/>
              <w:right w:val="single" w:sz="8" w:space="0" w:color="auto"/>
              <w:tl2br w:val="nil"/>
              <w:tr2bl w:val="nil"/>
            </w:tcBorders>
            <w:shd w:val="clear" w:color="auto" w:fill="C0C0C0"/>
            <w:textDirection w:val="lrTb"/>
            <w:vAlign w:val="center"/>
          </w:tcPr>
          <w:p w:rsidR="00CF68BA" w:rsidRPr="00D32A76" w:rsidP="00CF68BA">
            <w:pPr>
              <w:spacing w:line="240" w:lineRule="auto"/>
              <w:jc w:val="center"/>
              <w:rPr>
                <w:rFonts w:ascii="Arial Narrow" w:hAnsi="Arial Narrow" w:cs="Times New Roman"/>
                <w:b/>
                <w:bCs/>
                <w:iCs/>
                <w:sz w:val="24"/>
                <w:szCs w:val="24"/>
              </w:rPr>
            </w:pPr>
            <w:r w:rsidRPr="00D32A76">
              <w:rPr>
                <w:rFonts w:ascii="Arial Narrow" w:hAnsi="Arial Narrow" w:cs="Times New Roman"/>
                <w:b/>
                <w:bCs/>
                <w:iCs/>
                <w:sz w:val="24"/>
                <w:szCs w:val="24"/>
              </w:rPr>
              <w:t>Dĺžka úpravy    (km)</w:t>
            </w:r>
          </w:p>
        </w:tc>
        <w:tc>
          <w:tcPr>
            <w:tcW w:w="1660" w:type="dxa"/>
            <w:tcBorders>
              <w:top w:val="single" w:sz="8" w:space="0" w:color="auto"/>
              <w:left w:val="nil"/>
              <w:bottom w:val="single" w:sz="8" w:space="0" w:color="auto"/>
              <w:right w:val="single" w:sz="8" w:space="0" w:color="auto"/>
              <w:tl2br w:val="nil"/>
              <w:tr2bl w:val="nil"/>
            </w:tcBorders>
            <w:shd w:val="clear" w:color="auto" w:fill="C0C0C0"/>
            <w:textDirection w:val="lrTb"/>
            <w:vAlign w:val="center"/>
          </w:tcPr>
          <w:p w:rsidR="00CF68BA" w:rsidRPr="00D32A76" w:rsidP="00CF68BA">
            <w:pPr>
              <w:spacing w:line="240" w:lineRule="auto"/>
              <w:jc w:val="center"/>
              <w:rPr>
                <w:rFonts w:ascii="Arial Narrow" w:hAnsi="Arial Narrow" w:cs="Times New Roman"/>
                <w:b/>
                <w:bCs/>
                <w:iCs/>
                <w:sz w:val="24"/>
                <w:szCs w:val="24"/>
              </w:rPr>
            </w:pPr>
            <w:r w:rsidRPr="00D32A76">
              <w:rPr>
                <w:rFonts w:ascii="Arial Narrow" w:hAnsi="Arial Narrow" w:cs="Times New Roman"/>
                <w:b/>
                <w:bCs/>
                <w:iCs/>
                <w:sz w:val="24"/>
                <w:szCs w:val="24"/>
              </w:rPr>
              <w:t>Náklad s DPH  (tis. Sk)</w:t>
            </w:r>
          </w:p>
        </w:tc>
      </w:tr>
      <w:tr>
        <w:tblPrEx>
          <w:tblW w:w="9240" w:type="dxa"/>
          <w:tblInd w:w="93" w:type="dxa"/>
        </w:tblPrEx>
        <w:trPr>
          <w:trHeight w:val="227"/>
        </w:trPr>
        <w:tc>
          <w:tcPr>
            <w:tcW w:w="1440" w:type="dxa"/>
            <w:vMerge w:val="restart"/>
            <w:tcBorders>
              <w:top w:val="single" w:sz="4" w:space="0" w:color="auto"/>
              <w:left w:val="single" w:sz="8" w:space="0" w:color="auto"/>
              <w:bottom w:val="nil"/>
              <w:right w:val="nil"/>
              <w:tl2br w:val="nil"/>
              <w:tr2bl w:val="nil"/>
            </w:tcBorders>
            <w:noWrap/>
            <w:textDirection w:val="lrTb"/>
            <w:vAlign w:val="center"/>
          </w:tcPr>
          <w:p w:rsidR="00CF68BA" w:rsidRPr="00CF68BA" w:rsidP="00CF68BA">
            <w:pPr>
              <w:spacing w:line="240" w:lineRule="auto"/>
              <w:jc w:val="center"/>
              <w:rPr>
                <w:rFonts w:ascii="Arial Narrow" w:hAnsi="Arial Narrow" w:cs="Times New Roman"/>
              </w:rPr>
            </w:pPr>
            <w:r w:rsidRPr="00CF68BA">
              <w:rPr>
                <w:rFonts w:ascii="Arial Narrow" w:hAnsi="Arial Narrow" w:cs="Times New Roman"/>
              </w:rPr>
              <w:t>Nitra</w:t>
            </w:r>
          </w:p>
        </w:tc>
        <w:tc>
          <w:tcPr>
            <w:tcW w:w="4480" w:type="dxa"/>
            <w:tcBorders>
              <w:top w:val="nil"/>
              <w:left w:val="single" w:sz="8" w:space="0" w:color="auto"/>
              <w:bottom w:val="single" w:sz="4" w:space="0" w:color="auto"/>
              <w:right w:val="single" w:sz="8" w:space="0" w:color="auto"/>
              <w:tl2br w:val="nil"/>
              <w:tr2bl w:val="nil"/>
            </w:tcBorders>
            <w:noWrap/>
            <w:textDirection w:val="lrTb"/>
            <w:vAlign w:val="center"/>
          </w:tcPr>
          <w:p w:rsidR="00CF68BA" w:rsidRPr="00CF68BA" w:rsidP="00CF68BA">
            <w:pPr>
              <w:spacing w:line="240" w:lineRule="auto"/>
              <w:rPr>
                <w:rFonts w:ascii="Arial Narrow" w:hAnsi="Arial Narrow" w:cs="Times New Roman"/>
              </w:rPr>
            </w:pPr>
            <w:r w:rsidR="005C1517">
              <w:rPr>
                <w:rFonts w:ascii="Arial Narrow" w:hAnsi="Arial Narrow" w:cs="Times New Roman"/>
              </w:rPr>
              <w:t xml:space="preserve">I/64 Nitra – KÚ - </w:t>
            </w:r>
            <w:r w:rsidRPr="00CF68BA">
              <w:rPr>
                <w:rFonts w:ascii="Arial Narrow" w:hAnsi="Arial Narrow" w:cs="Times New Roman"/>
              </w:rPr>
              <w:t>oprava cesty</w:t>
            </w:r>
          </w:p>
        </w:tc>
        <w:tc>
          <w:tcPr>
            <w:tcW w:w="1660" w:type="dxa"/>
            <w:tcBorders>
              <w:top w:val="single" w:sz="4" w:space="0" w:color="auto"/>
              <w:left w:val="nil"/>
              <w:bottom w:val="single" w:sz="4" w:space="0" w:color="auto"/>
              <w:right w:val="single" w:sz="8" w:space="0" w:color="auto"/>
              <w:tl2br w:val="nil"/>
              <w:tr2bl w:val="nil"/>
            </w:tcBorders>
            <w:noWrap/>
            <w:textDirection w:val="lrTb"/>
            <w:vAlign w:val="center"/>
          </w:tcPr>
          <w:p w:rsidR="00CF68BA" w:rsidRPr="00CF68BA" w:rsidP="00CF68BA">
            <w:pPr>
              <w:spacing w:line="240" w:lineRule="auto"/>
              <w:jc w:val="center"/>
              <w:rPr>
                <w:rFonts w:ascii="Arial Narrow" w:hAnsi="Arial Narrow" w:cs="Times New Roman"/>
              </w:rPr>
            </w:pPr>
            <w:r w:rsidRPr="00CF68BA">
              <w:rPr>
                <w:rFonts w:ascii="Arial Narrow" w:hAnsi="Arial Narrow" w:cs="Times New Roman"/>
              </w:rPr>
              <w:t>0,700</w:t>
            </w:r>
          </w:p>
        </w:tc>
        <w:tc>
          <w:tcPr>
            <w:tcW w:w="1660" w:type="dxa"/>
            <w:tcBorders>
              <w:top w:val="nil"/>
              <w:left w:val="nil"/>
              <w:bottom w:val="single" w:sz="4" w:space="0" w:color="auto"/>
              <w:right w:val="single" w:sz="8" w:space="0" w:color="auto"/>
              <w:tl2br w:val="nil"/>
              <w:tr2bl w:val="nil"/>
            </w:tcBorders>
            <w:noWrap/>
            <w:textDirection w:val="lrTb"/>
            <w:vAlign w:val="center"/>
          </w:tcPr>
          <w:p w:rsidR="00CF68BA" w:rsidRPr="00CF68BA" w:rsidP="00CF68BA">
            <w:pPr>
              <w:spacing w:line="240" w:lineRule="auto"/>
              <w:jc w:val="right"/>
              <w:rPr>
                <w:rFonts w:ascii="Arial Narrow" w:hAnsi="Arial Narrow" w:cs="Times New Roman"/>
              </w:rPr>
            </w:pPr>
            <w:r w:rsidRPr="00CF68BA">
              <w:rPr>
                <w:rFonts w:ascii="Arial Narrow" w:hAnsi="Arial Narrow" w:cs="Times New Roman"/>
              </w:rPr>
              <w:t>3 479,000</w:t>
            </w:r>
          </w:p>
        </w:tc>
      </w:tr>
      <w:tr>
        <w:tblPrEx>
          <w:tblW w:w="9240" w:type="dxa"/>
          <w:tblInd w:w="93" w:type="dxa"/>
        </w:tblPrEx>
        <w:trPr>
          <w:trHeight w:val="227"/>
        </w:trPr>
        <w:tc>
          <w:tcPr>
            <w:tcW w:w="1440" w:type="dxa"/>
            <w:vMerge/>
            <w:tcBorders>
              <w:top w:val="nil"/>
              <w:left w:val="single" w:sz="8" w:space="0" w:color="auto"/>
              <w:bottom w:val="nil"/>
              <w:right w:val="nil"/>
              <w:tl2br w:val="nil"/>
              <w:tr2bl w:val="nil"/>
            </w:tcBorders>
            <w:noWrap/>
            <w:textDirection w:val="lrTb"/>
            <w:vAlign w:val="center"/>
          </w:tcPr>
          <w:p w:rsidR="00CF68BA" w:rsidRPr="00CF68BA" w:rsidP="00CF68BA">
            <w:pPr>
              <w:spacing w:line="240" w:lineRule="auto"/>
              <w:jc w:val="center"/>
              <w:rPr>
                <w:rFonts w:ascii="Arial Narrow" w:hAnsi="Arial Narrow" w:cs="Times New Roman"/>
              </w:rPr>
            </w:pPr>
          </w:p>
        </w:tc>
        <w:tc>
          <w:tcPr>
            <w:tcW w:w="4480" w:type="dxa"/>
            <w:tcBorders>
              <w:top w:val="nil"/>
              <w:left w:val="single" w:sz="8" w:space="0" w:color="auto"/>
              <w:bottom w:val="single" w:sz="4" w:space="0" w:color="auto"/>
              <w:right w:val="single" w:sz="8" w:space="0" w:color="auto"/>
              <w:tl2br w:val="nil"/>
              <w:tr2bl w:val="nil"/>
            </w:tcBorders>
            <w:noWrap/>
            <w:textDirection w:val="lrTb"/>
            <w:vAlign w:val="center"/>
          </w:tcPr>
          <w:p w:rsidR="00CF68BA" w:rsidRPr="00CF68BA" w:rsidP="00CF68BA">
            <w:pPr>
              <w:spacing w:line="240" w:lineRule="auto"/>
              <w:rPr>
                <w:rFonts w:ascii="Arial Narrow" w:hAnsi="Arial Narrow" w:cs="Times New Roman"/>
              </w:rPr>
            </w:pPr>
            <w:r w:rsidRPr="00CF68BA">
              <w:rPr>
                <w:rFonts w:ascii="Arial Narrow" w:hAnsi="Arial Narrow" w:cs="Times New Roman"/>
              </w:rPr>
              <w:t>I/64 Výčapy</w:t>
            </w:r>
            <w:r w:rsidR="005C1517">
              <w:rPr>
                <w:rFonts w:ascii="Arial Narrow" w:hAnsi="Arial Narrow" w:cs="Times New Roman"/>
              </w:rPr>
              <w:t xml:space="preserve"> </w:t>
            </w:r>
            <w:r w:rsidRPr="00CF68BA">
              <w:rPr>
                <w:rFonts w:ascii="Arial Narrow" w:hAnsi="Arial Narrow" w:cs="Times New Roman"/>
              </w:rPr>
              <w:t>-</w:t>
            </w:r>
            <w:r w:rsidR="005C1517">
              <w:rPr>
                <w:rFonts w:ascii="Arial Narrow" w:hAnsi="Arial Narrow" w:cs="Times New Roman"/>
              </w:rPr>
              <w:t xml:space="preserve"> </w:t>
            </w:r>
            <w:r w:rsidRPr="00CF68BA">
              <w:rPr>
                <w:rFonts w:ascii="Arial Narrow" w:hAnsi="Arial Narrow" w:cs="Times New Roman"/>
              </w:rPr>
              <w:t>Opatovce - oprava cesty</w:t>
            </w:r>
          </w:p>
        </w:tc>
        <w:tc>
          <w:tcPr>
            <w:tcW w:w="1660" w:type="dxa"/>
            <w:tcBorders>
              <w:top w:val="nil"/>
              <w:left w:val="nil"/>
              <w:bottom w:val="single" w:sz="4" w:space="0" w:color="auto"/>
              <w:right w:val="single" w:sz="8" w:space="0" w:color="auto"/>
              <w:tl2br w:val="nil"/>
              <w:tr2bl w:val="nil"/>
            </w:tcBorders>
            <w:noWrap/>
            <w:textDirection w:val="lrTb"/>
            <w:vAlign w:val="center"/>
          </w:tcPr>
          <w:p w:rsidR="00CF68BA" w:rsidRPr="00CF68BA" w:rsidP="00CF68BA">
            <w:pPr>
              <w:spacing w:line="240" w:lineRule="auto"/>
              <w:jc w:val="center"/>
              <w:rPr>
                <w:rFonts w:ascii="Arial Narrow" w:hAnsi="Arial Narrow" w:cs="Times New Roman"/>
              </w:rPr>
            </w:pPr>
            <w:r w:rsidRPr="00CF68BA">
              <w:rPr>
                <w:rFonts w:ascii="Arial Narrow" w:hAnsi="Arial Narrow" w:cs="Times New Roman"/>
              </w:rPr>
              <w:t>2,000</w:t>
            </w:r>
          </w:p>
        </w:tc>
        <w:tc>
          <w:tcPr>
            <w:tcW w:w="1660" w:type="dxa"/>
            <w:tcBorders>
              <w:top w:val="nil"/>
              <w:left w:val="nil"/>
              <w:bottom w:val="single" w:sz="4" w:space="0" w:color="auto"/>
              <w:right w:val="single" w:sz="8" w:space="0" w:color="auto"/>
              <w:tl2br w:val="nil"/>
              <w:tr2bl w:val="nil"/>
            </w:tcBorders>
            <w:noWrap/>
            <w:textDirection w:val="lrTb"/>
            <w:vAlign w:val="center"/>
          </w:tcPr>
          <w:p w:rsidR="00CF68BA" w:rsidRPr="00CF68BA" w:rsidP="00CF68BA">
            <w:pPr>
              <w:spacing w:line="240" w:lineRule="auto"/>
              <w:jc w:val="right"/>
              <w:rPr>
                <w:rFonts w:ascii="Arial Narrow" w:hAnsi="Arial Narrow" w:cs="Times New Roman"/>
              </w:rPr>
            </w:pPr>
            <w:r w:rsidRPr="00CF68BA">
              <w:rPr>
                <w:rFonts w:ascii="Arial Narrow" w:hAnsi="Arial Narrow" w:cs="Times New Roman"/>
              </w:rPr>
              <w:t>3 310,000</w:t>
            </w:r>
          </w:p>
        </w:tc>
      </w:tr>
      <w:tr>
        <w:tblPrEx>
          <w:tblW w:w="9240" w:type="dxa"/>
          <w:tblInd w:w="93" w:type="dxa"/>
        </w:tblPrEx>
        <w:trPr>
          <w:trHeight w:val="227"/>
        </w:trPr>
        <w:tc>
          <w:tcPr>
            <w:tcW w:w="1440" w:type="dxa"/>
            <w:tcBorders>
              <w:top w:val="single" w:sz="4" w:space="0" w:color="auto"/>
              <w:left w:val="single" w:sz="8" w:space="0" w:color="auto"/>
              <w:bottom w:val="single" w:sz="4" w:space="0" w:color="auto"/>
              <w:right w:val="nil"/>
              <w:tl2br w:val="nil"/>
              <w:tr2bl w:val="nil"/>
            </w:tcBorders>
            <w:noWrap/>
            <w:textDirection w:val="lrTb"/>
            <w:vAlign w:val="center"/>
          </w:tcPr>
          <w:p w:rsidR="00CF68BA" w:rsidRPr="00CF68BA" w:rsidP="00CF68BA">
            <w:pPr>
              <w:spacing w:line="240" w:lineRule="auto"/>
              <w:jc w:val="center"/>
              <w:rPr>
                <w:rFonts w:ascii="Arial Narrow" w:hAnsi="Arial Narrow" w:cs="Times New Roman"/>
              </w:rPr>
            </w:pPr>
            <w:r w:rsidRPr="00CF68BA">
              <w:rPr>
                <w:rFonts w:ascii="Arial Narrow" w:hAnsi="Arial Narrow" w:cs="Times New Roman"/>
              </w:rPr>
              <w:t>Galanta</w:t>
            </w:r>
          </w:p>
        </w:tc>
        <w:tc>
          <w:tcPr>
            <w:tcW w:w="4480" w:type="dxa"/>
            <w:tcBorders>
              <w:top w:val="nil"/>
              <w:left w:val="single" w:sz="8" w:space="0" w:color="auto"/>
              <w:bottom w:val="single" w:sz="4" w:space="0" w:color="auto"/>
              <w:right w:val="single" w:sz="8" w:space="0" w:color="auto"/>
              <w:tl2br w:val="nil"/>
              <w:tr2bl w:val="nil"/>
            </w:tcBorders>
            <w:noWrap/>
            <w:textDirection w:val="lrTb"/>
            <w:vAlign w:val="center"/>
          </w:tcPr>
          <w:p w:rsidR="00CF68BA" w:rsidRPr="00CF68BA" w:rsidP="00CF68BA">
            <w:pPr>
              <w:spacing w:line="240" w:lineRule="auto"/>
              <w:rPr>
                <w:rFonts w:ascii="Arial Narrow" w:hAnsi="Arial Narrow" w:cs="Times New Roman"/>
              </w:rPr>
            </w:pPr>
            <w:r w:rsidRPr="00CF68BA">
              <w:rPr>
                <w:rFonts w:ascii="Arial Narrow" w:hAnsi="Arial Narrow" w:cs="Times New Roman"/>
              </w:rPr>
              <w:t>I/75 Sládkovičovo - Galanta - oprava</w:t>
            </w:r>
            <w:r w:rsidRPr="00CF68BA">
              <w:rPr>
                <w:rFonts w:ascii="Arial Narrow" w:hAnsi="Arial Narrow" w:cs="Times New Roman"/>
              </w:rPr>
              <w:t xml:space="preserve"> cesty </w:t>
            </w:r>
          </w:p>
        </w:tc>
        <w:tc>
          <w:tcPr>
            <w:tcW w:w="1660" w:type="dxa"/>
            <w:tcBorders>
              <w:top w:val="nil"/>
              <w:left w:val="nil"/>
              <w:bottom w:val="single" w:sz="4" w:space="0" w:color="auto"/>
              <w:right w:val="single" w:sz="8" w:space="0" w:color="auto"/>
              <w:tl2br w:val="nil"/>
              <w:tr2bl w:val="nil"/>
            </w:tcBorders>
            <w:noWrap/>
            <w:textDirection w:val="lrTb"/>
            <w:vAlign w:val="center"/>
          </w:tcPr>
          <w:p w:rsidR="00CF68BA" w:rsidRPr="00CF68BA" w:rsidP="00CF68BA">
            <w:pPr>
              <w:spacing w:line="240" w:lineRule="auto"/>
              <w:jc w:val="center"/>
              <w:rPr>
                <w:rFonts w:ascii="Arial Narrow" w:hAnsi="Arial Narrow" w:cs="Times New Roman"/>
              </w:rPr>
            </w:pPr>
            <w:r w:rsidRPr="00CF68BA">
              <w:rPr>
                <w:rFonts w:ascii="Arial Narrow" w:hAnsi="Arial Narrow" w:cs="Times New Roman"/>
              </w:rPr>
              <w:t>2,000</w:t>
            </w:r>
          </w:p>
        </w:tc>
        <w:tc>
          <w:tcPr>
            <w:tcW w:w="1660" w:type="dxa"/>
            <w:tcBorders>
              <w:top w:val="nil"/>
              <w:left w:val="nil"/>
              <w:bottom w:val="single" w:sz="4" w:space="0" w:color="auto"/>
              <w:right w:val="single" w:sz="8" w:space="0" w:color="auto"/>
              <w:tl2br w:val="nil"/>
              <w:tr2bl w:val="nil"/>
            </w:tcBorders>
            <w:noWrap/>
            <w:textDirection w:val="lrTb"/>
            <w:vAlign w:val="center"/>
          </w:tcPr>
          <w:p w:rsidR="00CF68BA" w:rsidRPr="00CF68BA" w:rsidP="00CF68BA">
            <w:pPr>
              <w:spacing w:line="240" w:lineRule="auto"/>
              <w:jc w:val="right"/>
              <w:rPr>
                <w:rFonts w:ascii="Arial Narrow" w:hAnsi="Arial Narrow" w:cs="Times New Roman"/>
              </w:rPr>
            </w:pPr>
            <w:r w:rsidRPr="00CF68BA">
              <w:rPr>
                <w:rFonts w:ascii="Arial Narrow" w:hAnsi="Arial Narrow" w:cs="Times New Roman"/>
              </w:rPr>
              <w:t>2 505,000</w:t>
            </w:r>
          </w:p>
        </w:tc>
      </w:tr>
      <w:tr>
        <w:tblPrEx>
          <w:tblW w:w="9240" w:type="dxa"/>
          <w:tblInd w:w="93" w:type="dxa"/>
        </w:tblPrEx>
        <w:trPr>
          <w:trHeight w:val="227"/>
        </w:trPr>
        <w:tc>
          <w:tcPr>
            <w:tcW w:w="1440" w:type="dxa"/>
            <w:tcBorders>
              <w:top w:val="nil"/>
              <w:left w:val="single" w:sz="8" w:space="0" w:color="auto"/>
              <w:bottom w:val="single" w:sz="4" w:space="0" w:color="auto"/>
              <w:right w:val="nil"/>
              <w:tl2br w:val="nil"/>
              <w:tr2bl w:val="nil"/>
            </w:tcBorders>
            <w:noWrap/>
            <w:textDirection w:val="lrTb"/>
            <w:vAlign w:val="center"/>
          </w:tcPr>
          <w:p w:rsidR="00CF68BA" w:rsidRPr="00CF68BA" w:rsidP="00CF68BA">
            <w:pPr>
              <w:spacing w:line="240" w:lineRule="auto"/>
              <w:jc w:val="center"/>
              <w:rPr>
                <w:rFonts w:ascii="Arial Narrow" w:hAnsi="Arial Narrow" w:cs="Times New Roman"/>
              </w:rPr>
            </w:pPr>
            <w:r w:rsidRPr="00CF68BA">
              <w:rPr>
                <w:rFonts w:ascii="Arial Narrow" w:hAnsi="Arial Narrow" w:cs="Times New Roman"/>
              </w:rPr>
              <w:t>Topoľčany</w:t>
            </w:r>
          </w:p>
        </w:tc>
        <w:tc>
          <w:tcPr>
            <w:tcW w:w="4480" w:type="dxa"/>
            <w:tcBorders>
              <w:top w:val="nil"/>
              <w:left w:val="single" w:sz="8" w:space="0" w:color="auto"/>
              <w:bottom w:val="single" w:sz="4" w:space="0" w:color="auto"/>
              <w:right w:val="single" w:sz="8" w:space="0" w:color="auto"/>
              <w:tl2br w:val="nil"/>
              <w:tr2bl w:val="nil"/>
            </w:tcBorders>
            <w:noWrap/>
            <w:textDirection w:val="lrTb"/>
            <w:vAlign w:val="center"/>
          </w:tcPr>
          <w:p w:rsidR="00CF68BA" w:rsidRPr="00CF68BA" w:rsidP="00CF68BA">
            <w:pPr>
              <w:spacing w:line="240" w:lineRule="auto"/>
              <w:rPr>
                <w:rFonts w:ascii="Arial Narrow" w:hAnsi="Arial Narrow" w:cs="Times New Roman"/>
              </w:rPr>
            </w:pPr>
            <w:r w:rsidRPr="00CF68BA">
              <w:rPr>
                <w:rFonts w:ascii="Arial Narrow" w:hAnsi="Arial Narrow" w:cs="Times New Roman"/>
              </w:rPr>
              <w:t>I/64 Krušovce - oprava cesty</w:t>
            </w:r>
          </w:p>
        </w:tc>
        <w:tc>
          <w:tcPr>
            <w:tcW w:w="1660" w:type="dxa"/>
            <w:tcBorders>
              <w:top w:val="nil"/>
              <w:left w:val="nil"/>
              <w:bottom w:val="single" w:sz="4" w:space="0" w:color="auto"/>
              <w:right w:val="single" w:sz="8" w:space="0" w:color="auto"/>
              <w:tl2br w:val="nil"/>
              <w:tr2bl w:val="nil"/>
            </w:tcBorders>
            <w:noWrap/>
            <w:textDirection w:val="lrTb"/>
            <w:vAlign w:val="center"/>
          </w:tcPr>
          <w:p w:rsidR="00CF68BA" w:rsidRPr="00CF68BA" w:rsidP="00CF68BA">
            <w:pPr>
              <w:spacing w:line="240" w:lineRule="auto"/>
              <w:jc w:val="center"/>
              <w:rPr>
                <w:rFonts w:ascii="Arial Narrow" w:hAnsi="Arial Narrow" w:cs="Times New Roman"/>
              </w:rPr>
            </w:pPr>
            <w:r w:rsidRPr="00CF68BA">
              <w:rPr>
                <w:rFonts w:ascii="Arial Narrow" w:hAnsi="Arial Narrow" w:cs="Times New Roman"/>
              </w:rPr>
              <w:t>0,510</w:t>
            </w:r>
          </w:p>
        </w:tc>
        <w:tc>
          <w:tcPr>
            <w:tcW w:w="1660" w:type="dxa"/>
            <w:tcBorders>
              <w:top w:val="nil"/>
              <w:left w:val="nil"/>
              <w:bottom w:val="single" w:sz="4" w:space="0" w:color="auto"/>
              <w:right w:val="single" w:sz="8" w:space="0" w:color="auto"/>
              <w:tl2br w:val="nil"/>
              <w:tr2bl w:val="nil"/>
            </w:tcBorders>
            <w:noWrap/>
            <w:textDirection w:val="lrTb"/>
            <w:vAlign w:val="center"/>
          </w:tcPr>
          <w:p w:rsidR="00CF68BA" w:rsidRPr="00CF68BA" w:rsidP="00CF68BA">
            <w:pPr>
              <w:spacing w:line="240" w:lineRule="auto"/>
              <w:jc w:val="right"/>
              <w:rPr>
                <w:rFonts w:ascii="Arial Narrow" w:hAnsi="Arial Narrow" w:cs="Times New Roman"/>
              </w:rPr>
            </w:pPr>
            <w:r w:rsidRPr="00CF68BA">
              <w:rPr>
                <w:rFonts w:ascii="Arial Narrow" w:hAnsi="Arial Narrow" w:cs="Times New Roman"/>
              </w:rPr>
              <w:t>3 696,000</w:t>
            </w:r>
          </w:p>
        </w:tc>
      </w:tr>
      <w:tr>
        <w:tblPrEx>
          <w:tblW w:w="9240" w:type="dxa"/>
          <w:tblInd w:w="93" w:type="dxa"/>
        </w:tblPrEx>
        <w:trPr>
          <w:trHeight w:val="227"/>
        </w:trPr>
        <w:tc>
          <w:tcPr>
            <w:tcW w:w="1440" w:type="dxa"/>
            <w:tcBorders>
              <w:top w:val="nil"/>
              <w:left w:val="single" w:sz="8" w:space="0" w:color="auto"/>
              <w:bottom w:val="single" w:sz="4" w:space="0" w:color="auto"/>
              <w:right w:val="nil"/>
              <w:tl2br w:val="nil"/>
              <w:tr2bl w:val="nil"/>
            </w:tcBorders>
            <w:noWrap/>
            <w:textDirection w:val="lrTb"/>
            <w:vAlign w:val="center"/>
          </w:tcPr>
          <w:p w:rsidR="00CF68BA" w:rsidRPr="00CF68BA" w:rsidP="00CF68BA">
            <w:pPr>
              <w:spacing w:line="240" w:lineRule="auto"/>
              <w:jc w:val="center"/>
              <w:rPr>
                <w:rFonts w:ascii="Arial Narrow" w:hAnsi="Arial Narrow" w:cs="Times New Roman"/>
              </w:rPr>
            </w:pPr>
            <w:r w:rsidRPr="00CF68BA">
              <w:rPr>
                <w:rFonts w:ascii="Arial Narrow" w:hAnsi="Arial Narrow" w:cs="Times New Roman"/>
              </w:rPr>
              <w:t>Senica</w:t>
            </w:r>
          </w:p>
        </w:tc>
        <w:tc>
          <w:tcPr>
            <w:tcW w:w="4480" w:type="dxa"/>
            <w:tcBorders>
              <w:top w:val="nil"/>
              <w:left w:val="single" w:sz="8" w:space="0" w:color="auto"/>
              <w:bottom w:val="single" w:sz="4" w:space="0" w:color="auto"/>
              <w:right w:val="single" w:sz="8" w:space="0" w:color="auto"/>
              <w:tl2br w:val="nil"/>
              <w:tr2bl w:val="nil"/>
            </w:tcBorders>
            <w:noWrap/>
            <w:textDirection w:val="lrTb"/>
            <w:vAlign w:val="center"/>
          </w:tcPr>
          <w:p w:rsidR="00CF68BA" w:rsidRPr="00CF68BA" w:rsidP="00CF68BA">
            <w:pPr>
              <w:spacing w:line="240" w:lineRule="auto"/>
              <w:rPr>
                <w:rFonts w:ascii="Arial Narrow" w:hAnsi="Arial Narrow" w:cs="Times New Roman"/>
              </w:rPr>
            </w:pPr>
            <w:r w:rsidRPr="00CF68BA">
              <w:rPr>
                <w:rFonts w:ascii="Arial Narrow" w:hAnsi="Arial Narrow" w:cs="Times New Roman"/>
              </w:rPr>
              <w:t>I/2   Kúty - oprava cesty</w:t>
            </w:r>
          </w:p>
        </w:tc>
        <w:tc>
          <w:tcPr>
            <w:tcW w:w="1660" w:type="dxa"/>
            <w:tcBorders>
              <w:top w:val="nil"/>
              <w:left w:val="nil"/>
              <w:bottom w:val="single" w:sz="4" w:space="0" w:color="auto"/>
              <w:right w:val="single" w:sz="8" w:space="0" w:color="auto"/>
              <w:tl2br w:val="nil"/>
              <w:tr2bl w:val="nil"/>
            </w:tcBorders>
            <w:noWrap/>
            <w:textDirection w:val="lrTb"/>
            <w:vAlign w:val="center"/>
          </w:tcPr>
          <w:p w:rsidR="00CF68BA" w:rsidRPr="00CF68BA" w:rsidP="00CF68BA">
            <w:pPr>
              <w:spacing w:line="240" w:lineRule="auto"/>
              <w:jc w:val="center"/>
              <w:rPr>
                <w:rFonts w:ascii="Arial Narrow" w:hAnsi="Arial Narrow" w:cs="Times New Roman"/>
              </w:rPr>
            </w:pPr>
            <w:r w:rsidRPr="00CF68BA">
              <w:rPr>
                <w:rFonts w:ascii="Arial Narrow" w:hAnsi="Arial Narrow" w:cs="Times New Roman"/>
              </w:rPr>
              <w:t>0,750</w:t>
            </w:r>
          </w:p>
        </w:tc>
        <w:tc>
          <w:tcPr>
            <w:tcW w:w="1660" w:type="dxa"/>
            <w:tcBorders>
              <w:top w:val="nil"/>
              <w:left w:val="nil"/>
              <w:bottom w:val="single" w:sz="4" w:space="0" w:color="auto"/>
              <w:right w:val="single" w:sz="8" w:space="0" w:color="auto"/>
              <w:tl2br w:val="nil"/>
              <w:tr2bl w:val="nil"/>
            </w:tcBorders>
            <w:noWrap/>
            <w:textDirection w:val="lrTb"/>
            <w:vAlign w:val="center"/>
          </w:tcPr>
          <w:p w:rsidR="00CF68BA" w:rsidRPr="00CF68BA" w:rsidP="00CF68BA">
            <w:pPr>
              <w:spacing w:line="240" w:lineRule="auto"/>
              <w:jc w:val="right"/>
              <w:rPr>
                <w:rFonts w:ascii="Arial Narrow" w:hAnsi="Arial Narrow" w:cs="Times New Roman"/>
              </w:rPr>
            </w:pPr>
            <w:r w:rsidRPr="00CF68BA">
              <w:rPr>
                <w:rFonts w:ascii="Arial Narrow" w:hAnsi="Arial Narrow" w:cs="Times New Roman"/>
              </w:rPr>
              <w:t>2 299,000</w:t>
            </w:r>
          </w:p>
        </w:tc>
      </w:tr>
      <w:tr>
        <w:tblPrEx>
          <w:tblW w:w="9240" w:type="dxa"/>
          <w:tblInd w:w="93" w:type="dxa"/>
        </w:tblPrEx>
        <w:trPr>
          <w:trHeight w:val="227"/>
        </w:trPr>
        <w:tc>
          <w:tcPr>
            <w:tcW w:w="1440" w:type="dxa"/>
            <w:tcBorders>
              <w:top w:val="nil"/>
              <w:left w:val="single" w:sz="8" w:space="0" w:color="auto"/>
              <w:bottom w:val="single" w:sz="4" w:space="0" w:color="auto"/>
              <w:right w:val="nil"/>
              <w:tl2br w:val="nil"/>
              <w:tr2bl w:val="nil"/>
            </w:tcBorders>
            <w:noWrap/>
            <w:textDirection w:val="lrTb"/>
            <w:vAlign w:val="center"/>
          </w:tcPr>
          <w:p w:rsidR="00CF68BA" w:rsidRPr="00CF68BA" w:rsidP="00CF68BA">
            <w:pPr>
              <w:spacing w:line="240" w:lineRule="auto"/>
              <w:jc w:val="center"/>
              <w:rPr>
                <w:rFonts w:ascii="Arial Narrow" w:hAnsi="Arial Narrow" w:cs="Times New Roman"/>
              </w:rPr>
            </w:pPr>
            <w:r w:rsidRPr="00CF68BA">
              <w:rPr>
                <w:rFonts w:ascii="Arial Narrow" w:hAnsi="Arial Narrow" w:cs="Times New Roman"/>
              </w:rPr>
              <w:t>Topoľčany</w:t>
            </w:r>
          </w:p>
        </w:tc>
        <w:tc>
          <w:tcPr>
            <w:tcW w:w="4480" w:type="dxa"/>
            <w:tcBorders>
              <w:top w:val="nil"/>
              <w:left w:val="single" w:sz="8" w:space="0" w:color="auto"/>
              <w:bottom w:val="single" w:sz="4" w:space="0" w:color="auto"/>
              <w:right w:val="single" w:sz="8" w:space="0" w:color="auto"/>
              <w:tl2br w:val="nil"/>
              <w:tr2bl w:val="nil"/>
            </w:tcBorders>
            <w:noWrap/>
            <w:textDirection w:val="lrTb"/>
            <w:vAlign w:val="center"/>
          </w:tcPr>
          <w:p w:rsidR="00CF68BA" w:rsidRPr="00CF68BA" w:rsidP="00CF68BA">
            <w:pPr>
              <w:spacing w:line="240" w:lineRule="auto"/>
              <w:rPr>
                <w:rFonts w:ascii="Arial Narrow" w:hAnsi="Arial Narrow" w:cs="Times New Roman"/>
              </w:rPr>
            </w:pPr>
            <w:r w:rsidRPr="00CF68BA">
              <w:rPr>
                <w:rFonts w:ascii="Arial Narrow" w:hAnsi="Arial Narrow" w:cs="Times New Roman"/>
              </w:rPr>
              <w:t>I/64 Rajčany - hr.okr TO-PD</w:t>
            </w:r>
          </w:p>
        </w:tc>
        <w:tc>
          <w:tcPr>
            <w:tcW w:w="1660" w:type="dxa"/>
            <w:tcBorders>
              <w:top w:val="nil"/>
              <w:left w:val="nil"/>
              <w:bottom w:val="single" w:sz="4" w:space="0" w:color="auto"/>
              <w:right w:val="single" w:sz="8" w:space="0" w:color="auto"/>
              <w:tl2br w:val="nil"/>
              <w:tr2bl w:val="nil"/>
            </w:tcBorders>
            <w:noWrap/>
            <w:textDirection w:val="lrTb"/>
            <w:vAlign w:val="center"/>
          </w:tcPr>
          <w:p w:rsidR="00CF68BA" w:rsidRPr="00CF68BA" w:rsidP="00CF68BA">
            <w:pPr>
              <w:spacing w:line="240" w:lineRule="auto"/>
              <w:jc w:val="center"/>
              <w:rPr>
                <w:rFonts w:ascii="Arial Narrow" w:hAnsi="Arial Narrow" w:cs="Times New Roman"/>
              </w:rPr>
            </w:pPr>
            <w:r w:rsidRPr="00CF68BA">
              <w:rPr>
                <w:rFonts w:ascii="Arial Narrow" w:hAnsi="Arial Narrow" w:cs="Times New Roman"/>
              </w:rPr>
              <w:t>0,800</w:t>
            </w:r>
          </w:p>
        </w:tc>
        <w:tc>
          <w:tcPr>
            <w:tcW w:w="1660" w:type="dxa"/>
            <w:tcBorders>
              <w:top w:val="nil"/>
              <w:left w:val="nil"/>
              <w:bottom w:val="single" w:sz="4" w:space="0" w:color="auto"/>
              <w:right w:val="single" w:sz="8" w:space="0" w:color="auto"/>
              <w:tl2br w:val="nil"/>
              <w:tr2bl w:val="nil"/>
            </w:tcBorders>
            <w:noWrap/>
            <w:textDirection w:val="lrTb"/>
            <w:vAlign w:val="center"/>
          </w:tcPr>
          <w:p w:rsidR="00CF68BA" w:rsidRPr="00CF68BA" w:rsidP="00CF68BA">
            <w:pPr>
              <w:spacing w:line="240" w:lineRule="auto"/>
              <w:jc w:val="right"/>
              <w:rPr>
                <w:rFonts w:ascii="Arial Narrow" w:hAnsi="Arial Narrow" w:cs="Times New Roman"/>
              </w:rPr>
            </w:pPr>
            <w:r w:rsidRPr="00CF68BA">
              <w:rPr>
                <w:rFonts w:ascii="Arial Narrow" w:hAnsi="Arial Narrow" w:cs="Times New Roman"/>
              </w:rPr>
              <w:t>2 472,000</w:t>
            </w:r>
          </w:p>
        </w:tc>
      </w:tr>
      <w:tr>
        <w:tblPrEx>
          <w:tblW w:w="9240" w:type="dxa"/>
          <w:tblInd w:w="93" w:type="dxa"/>
        </w:tblPrEx>
        <w:trPr>
          <w:trHeight w:val="227"/>
        </w:trPr>
        <w:tc>
          <w:tcPr>
            <w:tcW w:w="1440" w:type="dxa"/>
            <w:tcBorders>
              <w:top w:val="nil"/>
              <w:left w:val="single" w:sz="8" w:space="0" w:color="auto"/>
              <w:bottom w:val="single" w:sz="4" w:space="0" w:color="auto"/>
              <w:right w:val="nil"/>
              <w:tl2br w:val="nil"/>
              <w:tr2bl w:val="nil"/>
            </w:tcBorders>
            <w:noWrap/>
            <w:textDirection w:val="lrTb"/>
            <w:vAlign w:val="center"/>
          </w:tcPr>
          <w:p w:rsidR="00CF68BA" w:rsidRPr="00CF68BA" w:rsidP="00CF68BA">
            <w:pPr>
              <w:spacing w:line="240" w:lineRule="auto"/>
              <w:jc w:val="center"/>
              <w:rPr>
                <w:rFonts w:ascii="Arial Narrow" w:hAnsi="Arial Narrow" w:cs="Times New Roman"/>
              </w:rPr>
            </w:pPr>
            <w:r w:rsidRPr="00CF68BA">
              <w:rPr>
                <w:rFonts w:ascii="Arial Narrow" w:hAnsi="Arial Narrow" w:cs="Times New Roman"/>
              </w:rPr>
              <w:t>Senica</w:t>
            </w:r>
          </w:p>
        </w:tc>
        <w:tc>
          <w:tcPr>
            <w:tcW w:w="4480" w:type="dxa"/>
            <w:tcBorders>
              <w:top w:val="nil"/>
              <w:left w:val="single" w:sz="8" w:space="0" w:color="auto"/>
              <w:bottom w:val="single" w:sz="4" w:space="0" w:color="auto"/>
              <w:right w:val="single" w:sz="8" w:space="0" w:color="auto"/>
              <w:tl2br w:val="nil"/>
              <w:tr2bl w:val="nil"/>
            </w:tcBorders>
            <w:noWrap/>
            <w:textDirection w:val="lrTb"/>
            <w:vAlign w:val="center"/>
          </w:tcPr>
          <w:p w:rsidR="00CF68BA" w:rsidRPr="00CF68BA" w:rsidP="00CF68BA">
            <w:pPr>
              <w:spacing w:line="240" w:lineRule="auto"/>
              <w:rPr>
                <w:rFonts w:ascii="Arial Narrow" w:hAnsi="Arial Narrow" w:cs="Times New Roman"/>
              </w:rPr>
            </w:pPr>
            <w:r w:rsidRPr="00CF68BA">
              <w:rPr>
                <w:rFonts w:ascii="Arial Narrow" w:hAnsi="Arial Narrow" w:cs="Times New Roman"/>
              </w:rPr>
              <w:t>I/51 Senica - Lopašov - oprava cesty</w:t>
            </w:r>
          </w:p>
        </w:tc>
        <w:tc>
          <w:tcPr>
            <w:tcW w:w="1660" w:type="dxa"/>
            <w:tcBorders>
              <w:top w:val="nil"/>
              <w:left w:val="nil"/>
              <w:bottom w:val="single" w:sz="4" w:space="0" w:color="auto"/>
              <w:right w:val="single" w:sz="8" w:space="0" w:color="auto"/>
              <w:tl2br w:val="nil"/>
              <w:tr2bl w:val="nil"/>
            </w:tcBorders>
            <w:noWrap/>
            <w:textDirection w:val="lrTb"/>
            <w:vAlign w:val="center"/>
          </w:tcPr>
          <w:p w:rsidR="00CF68BA" w:rsidRPr="00CF68BA" w:rsidP="00CF68BA">
            <w:pPr>
              <w:spacing w:line="240" w:lineRule="auto"/>
              <w:jc w:val="center"/>
              <w:rPr>
                <w:rFonts w:ascii="Arial Narrow" w:hAnsi="Arial Narrow" w:cs="Times New Roman"/>
              </w:rPr>
            </w:pPr>
            <w:r w:rsidRPr="00CF68BA">
              <w:rPr>
                <w:rFonts w:ascii="Arial Narrow" w:hAnsi="Arial Narrow" w:cs="Times New Roman"/>
              </w:rPr>
              <w:t>1,200</w:t>
            </w:r>
          </w:p>
        </w:tc>
        <w:tc>
          <w:tcPr>
            <w:tcW w:w="1660" w:type="dxa"/>
            <w:tcBorders>
              <w:top w:val="nil"/>
              <w:left w:val="nil"/>
              <w:bottom w:val="single" w:sz="4" w:space="0" w:color="auto"/>
              <w:right w:val="single" w:sz="8" w:space="0" w:color="auto"/>
              <w:tl2br w:val="nil"/>
              <w:tr2bl w:val="nil"/>
            </w:tcBorders>
            <w:noWrap/>
            <w:textDirection w:val="lrTb"/>
            <w:vAlign w:val="center"/>
          </w:tcPr>
          <w:p w:rsidR="00CF68BA" w:rsidRPr="00CF68BA" w:rsidP="00CF68BA">
            <w:pPr>
              <w:spacing w:line="240" w:lineRule="auto"/>
              <w:jc w:val="right"/>
              <w:rPr>
                <w:rFonts w:ascii="Arial Narrow" w:hAnsi="Arial Narrow" w:cs="Times New Roman"/>
              </w:rPr>
            </w:pPr>
            <w:r w:rsidRPr="00CF68BA">
              <w:rPr>
                <w:rFonts w:ascii="Arial Narrow" w:hAnsi="Arial Narrow" w:cs="Times New Roman"/>
              </w:rPr>
              <w:t>2 958,000</w:t>
            </w:r>
          </w:p>
        </w:tc>
      </w:tr>
      <w:tr>
        <w:tblPrEx>
          <w:tblW w:w="9240" w:type="dxa"/>
          <w:tblInd w:w="93" w:type="dxa"/>
        </w:tblPrEx>
        <w:trPr>
          <w:trHeight w:val="227"/>
        </w:trPr>
        <w:tc>
          <w:tcPr>
            <w:tcW w:w="1440" w:type="dxa"/>
            <w:tcBorders>
              <w:top w:val="nil"/>
              <w:left w:val="single" w:sz="8" w:space="0" w:color="auto"/>
              <w:bottom w:val="single" w:sz="4" w:space="0" w:color="auto"/>
              <w:right w:val="nil"/>
              <w:tl2br w:val="nil"/>
              <w:tr2bl w:val="nil"/>
            </w:tcBorders>
            <w:noWrap/>
            <w:textDirection w:val="lrTb"/>
            <w:vAlign w:val="center"/>
          </w:tcPr>
          <w:p w:rsidR="00CF68BA" w:rsidRPr="00CF68BA" w:rsidP="00CF68BA">
            <w:pPr>
              <w:spacing w:line="240" w:lineRule="auto"/>
              <w:jc w:val="center"/>
              <w:rPr>
                <w:rFonts w:ascii="Arial Narrow" w:hAnsi="Arial Narrow" w:cs="Times New Roman"/>
              </w:rPr>
            </w:pPr>
            <w:r w:rsidRPr="00CF68BA">
              <w:rPr>
                <w:rFonts w:ascii="Arial Narrow" w:hAnsi="Arial Narrow" w:cs="Times New Roman"/>
              </w:rPr>
              <w:t>Nitra</w:t>
            </w:r>
          </w:p>
        </w:tc>
        <w:tc>
          <w:tcPr>
            <w:tcW w:w="4480" w:type="dxa"/>
            <w:tcBorders>
              <w:top w:val="nil"/>
              <w:left w:val="single" w:sz="8" w:space="0" w:color="auto"/>
              <w:bottom w:val="single" w:sz="4" w:space="0" w:color="auto"/>
              <w:right w:val="single" w:sz="8" w:space="0" w:color="auto"/>
              <w:tl2br w:val="nil"/>
              <w:tr2bl w:val="nil"/>
            </w:tcBorders>
            <w:noWrap/>
            <w:textDirection w:val="lrTb"/>
            <w:vAlign w:val="center"/>
          </w:tcPr>
          <w:p w:rsidR="00CF68BA" w:rsidRPr="00CF68BA" w:rsidP="00CF68BA">
            <w:pPr>
              <w:spacing w:line="240" w:lineRule="auto"/>
              <w:rPr>
                <w:rFonts w:ascii="Arial Narrow" w:hAnsi="Arial Narrow" w:cs="Times New Roman"/>
              </w:rPr>
            </w:pPr>
            <w:r w:rsidRPr="00CF68BA">
              <w:rPr>
                <w:rFonts w:ascii="Arial Narrow" w:hAnsi="Arial Narrow" w:cs="Times New Roman"/>
              </w:rPr>
              <w:t>I/6</w:t>
            </w:r>
            <w:r w:rsidRPr="00CF68BA">
              <w:rPr>
                <w:rFonts w:ascii="Arial Narrow" w:hAnsi="Arial Narrow" w:cs="Times New Roman"/>
              </w:rPr>
              <w:t>5 Zl.Moravce</w:t>
            </w:r>
            <w:r w:rsidR="005C1517">
              <w:rPr>
                <w:rFonts w:ascii="Arial Narrow" w:hAnsi="Arial Narrow" w:cs="Times New Roman"/>
              </w:rPr>
              <w:t xml:space="preserve"> </w:t>
            </w:r>
            <w:r w:rsidRPr="00CF68BA">
              <w:rPr>
                <w:rFonts w:ascii="Arial Narrow" w:hAnsi="Arial Narrow" w:cs="Times New Roman"/>
              </w:rPr>
              <w:t>- Čierna dolina - oprava cesty</w:t>
            </w:r>
          </w:p>
        </w:tc>
        <w:tc>
          <w:tcPr>
            <w:tcW w:w="1660" w:type="dxa"/>
            <w:tcBorders>
              <w:top w:val="nil"/>
              <w:left w:val="nil"/>
              <w:bottom w:val="single" w:sz="4" w:space="0" w:color="auto"/>
              <w:right w:val="single" w:sz="8" w:space="0" w:color="auto"/>
              <w:tl2br w:val="nil"/>
              <w:tr2bl w:val="nil"/>
            </w:tcBorders>
            <w:noWrap/>
            <w:textDirection w:val="lrTb"/>
            <w:vAlign w:val="center"/>
          </w:tcPr>
          <w:p w:rsidR="00CF68BA" w:rsidRPr="00CF68BA" w:rsidP="00CF68BA">
            <w:pPr>
              <w:spacing w:line="240" w:lineRule="auto"/>
              <w:jc w:val="center"/>
              <w:rPr>
                <w:rFonts w:ascii="Arial Narrow" w:hAnsi="Arial Narrow" w:cs="Times New Roman"/>
              </w:rPr>
            </w:pPr>
            <w:r w:rsidRPr="00CF68BA">
              <w:rPr>
                <w:rFonts w:ascii="Arial Narrow" w:hAnsi="Arial Narrow" w:cs="Times New Roman"/>
              </w:rPr>
              <w:t>1,300</w:t>
            </w:r>
          </w:p>
        </w:tc>
        <w:tc>
          <w:tcPr>
            <w:tcW w:w="1660" w:type="dxa"/>
            <w:tcBorders>
              <w:top w:val="nil"/>
              <w:left w:val="nil"/>
              <w:bottom w:val="single" w:sz="4" w:space="0" w:color="auto"/>
              <w:right w:val="single" w:sz="8" w:space="0" w:color="auto"/>
              <w:tl2br w:val="nil"/>
              <w:tr2bl w:val="nil"/>
            </w:tcBorders>
            <w:noWrap/>
            <w:textDirection w:val="lrTb"/>
            <w:vAlign w:val="center"/>
          </w:tcPr>
          <w:p w:rsidR="00CF68BA" w:rsidRPr="00CF68BA" w:rsidP="00CF68BA">
            <w:pPr>
              <w:spacing w:line="240" w:lineRule="auto"/>
              <w:jc w:val="right"/>
              <w:rPr>
                <w:rFonts w:ascii="Arial Narrow" w:hAnsi="Arial Narrow" w:cs="Times New Roman"/>
              </w:rPr>
            </w:pPr>
            <w:r w:rsidRPr="00CF68BA">
              <w:rPr>
                <w:rFonts w:ascii="Arial Narrow" w:hAnsi="Arial Narrow" w:cs="Times New Roman"/>
              </w:rPr>
              <w:t>2 346,000</w:t>
            </w:r>
          </w:p>
        </w:tc>
      </w:tr>
      <w:tr>
        <w:tblPrEx>
          <w:tblW w:w="9240" w:type="dxa"/>
          <w:tblInd w:w="93" w:type="dxa"/>
        </w:tblPrEx>
        <w:trPr>
          <w:trHeight w:val="227"/>
        </w:trPr>
        <w:tc>
          <w:tcPr>
            <w:tcW w:w="1440" w:type="dxa"/>
            <w:tcBorders>
              <w:top w:val="nil"/>
              <w:left w:val="single" w:sz="8" w:space="0" w:color="auto"/>
              <w:bottom w:val="single" w:sz="4" w:space="0" w:color="auto"/>
              <w:right w:val="nil"/>
              <w:tl2br w:val="nil"/>
              <w:tr2bl w:val="nil"/>
            </w:tcBorders>
            <w:noWrap/>
            <w:textDirection w:val="lrTb"/>
            <w:vAlign w:val="center"/>
          </w:tcPr>
          <w:p w:rsidR="00CF68BA" w:rsidRPr="00CF68BA" w:rsidP="00CF68BA">
            <w:pPr>
              <w:spacing w:line="240" w:lineRule="auto"/>
              <w:jc w:val="center"/>
              <w:rPr>
                <w:rFonts w:ascii="Arial Narrow" w:hAnsi="Arial Narrow" w:cs="Times New Roman"/>
              </w:rPr>
            </w:pPr>
            <w:r w:rsidRPr="00CF68BA">
              <w:rPr>
                <w:rFonts w:ascii="Arial Narrow" w:hAnsi="Arial Narrow" w:cs="Times New Roman"/>
              </w:rPr>
              <w:t>Senica</w:t>
            </w:r>
          </w:p>
        </w:tc>
        <w:tc>
          <w:tcPr>
            <w:tcW w:w="4480" w:type="dxa"/>
            <w:tcBorders>
              <w:top w:val="nil"/>
              <w:left w:val="single" w:sz="8" w:space="0" w:color="auto"/>
              <w:bottom w:val="single" w:sz="4" w:space="0" w:color="auto"/>
              <w:right w:val="single" w:sz="8" w:space="0" w:color="auto"/>
              <w:tl2br w:val="nil"/>
              <w:tr2bl w:val="nil"/>
            </w:tcBorders>
            <w:noWrap/>
            <w:textDirection w:val="lrTb"/>
            <w:vAlign w:val="center"/>
          </w:tcPr>
          <w:p w:rsidR="00CF68BA" w:rsidRPr="00CF68BA" w:rsidP="00CF68BA">
            <w:pPr>
              <w:spacing w:line="240" w:lineRule="auto"/>
              <w:rPr>
                <w:rFonts w:ascii="Arial Narrow" w:hAnsi="Arial Narrow" w:cs="Times New Roman"/>
              </w:rPr>
            </w:pPr>
            <w:r w:rsidRPr="00CF68BA">
              <w:rPr>
                <w:rFonts w:ascii="Arial Narrow" w:hAnsi="Arial Narrow" w:cs="Times New Roman"/>
              </w:rPr>
              <w:t xml:space="preserve">I/51 Radošovce </w:t>
            </w:r>
            <w:r w:rsidR="005C1517">
              <w:rPr>
                <w:rFonts w:ascii="Arial Narrow" w:hAnsi="Arial Narrow" w:cs="Times New Roman"/>
              </w:rPr>
              <w:t>–</w:t>
            </w:r>
            <w:r w:rsidRPr="00CF68BA">
              <w:rPr>
                <w:rFonts w:ascii="Arial Narrow" w:hAnsi="Arial Narrow" w:cs="Times New Roman"/>
              </w:rPr>
              <w:t xml:space="preserve"> intravilán</w:t>
            </w:r>
            <w:r w:rsidR="005C1517">
              <w:rPr>
                <w:rFonts w:ascii="Arial Narrow" w:hAnsi="Arial Narrow" w:cs="Times New Roman"/>
              </w:rPr>
              <w:t xml:space="preserve"> - </w:t>
            </w:r>
            <w:r w:rsidRPr="00CF68BA">
              <w:rPr>
                <w:rFonts w:ascii="Arial Narrow" w:hAnsi="Arial Narrow" w:cs="Times New Roman"/>
              </w:rPr>
              <w:t>oprava cesty</w:t>
            </w:r>
          </w:p>
        </w:tc>
        <w:tc>
          <w:tcPr>
            <w:tcW w:w="1660" w:type="dxa"/>
            <w:tcBorders>
              <w:top w:val="nil"/>
              <w:left w:val="nil"/>
              <w:bottom w:val="single" w:sz="4" w:space="0" w:color="auto"/>
              <w:right w:val="single" w:sz="8" w:space="0" w:color="auto"/>
              <w:tl2br w:val="nil"/>
              <w:tr2bl w:val="nil"/>
            </w:tcBorders>
            <w:noWrap/>
            <w:textDirection w:val="lrTb"/>
            <w:vAlign w:val="center"/>
          </w:tcPr>
          <w:p w:rsidR="00CF68BA" w:rsidRPr="00CF68BA" w:rsidP="00CF68BA">
            <w:pPr>
              <w:spacing w:line="240" w:lineRule="auto"/>
              <w:jc w:val="center"/>
              <w:rPr>
                <w:rFonts w:ascii="Arial Narrow" w:hAnsi="Arial Narrow" w:cs="Times New Roman"/>
              </w:rPr>
            </w:pPr>
            <w:r w:rsidRPr="00CF68BA">
              <w:rPr>
                <w:rFonts w:ascii="Arial Narrow" w:hAnsi="Arial Narrow" w:cs="Times New Roman"/>
              </w:rPr>
              <w:t>1,200</w:t>
            </w:r>
          </w:p>
        </w:tc>
        <w:tc>
          <w:tcPr>
            <w:tcW w:w="1660" w:type="dxa"/>
            <w:tcBorders>
              <w:top w:val="nil"/>
              <w:left w:val="nil"/>
              <w:bottom w:val="single" w:sz="4" w:space="0" w:color="auto"/>
              <w:right w:val="single" w:sz="8" w:space="0" w:color="auto"/>
              <w:tl2br w:val="nil"/>
              <w:tr2bl w:val="nil"/>
            </w:tcBorders>
            <w:noWrap/>
            <w:textDirection w:val="lrTb"/>
            <w:vAlign w:val="center"/>
          </w:tcPr>
          <w:p w:rsidR="00CF68BA" w:rsidRPr="00CF68BA" w:rsidP="00CF68BA">
            <w:pPr>
              <w:spacing w:line="240" w:lineRule="auto"/>
              <w:jc w:val="right"/>
              <w:rPr>
                <w:rFonts w:ascii="Arial Narrow" w:hAnsi="Arial Narrow" w:cs="Times New Roman"/>
              </w:rPr>
            </w:pPr>
            <w:r w:rsidRPr="00CF68BA">
              <w:rPr>
                <w:rFonts w:ascii="Arial Narrow" w:hAnsi="Arial Narrow" w:cs="Times New Roman"/>
              </w:rPr>
              <w:t>3 716,000</w:t>
            </w:r>
          </w:p>
        </w:tc>
      </w:tr>
      <w:tr>
        <w:tblPrEx>
          <w:tblW w:w="9240" w:type="dxa"/>
          <w:tblInd w:w="93" w:type="dxa"/>
        </w:tblPrEx>
        <w:trPr>
          <w:trHeight w:val="227"/>
        </w:trPr>
        <w:tc>
          <w:tcPr>
            <w:tcW w:w="1440" w:type="dxa"/>
            <w:tcBorders>
              <w:top w:val="nil"/>
              <w:left w:val="single" w:sz="8" w:space="0" w:color="auto"/>
              <w:bottom w:val="nil"/>
              <w:right w:val="nil"/>
              <w:tl2br w:val="nil"/>
              <w:tr2bl w:val="nil"/>
            </w:tcBorders>
            <w:noWrap/>
            <w:textDirection w:val="lrTb"/>
            <w:vAlign w:val="center"/>
          </w:tcPr>
          <w:p w:rsidR="00CF68BA" w:rsidRPr="00CF68BA" w:rsidP="00CF68BA">
            <w:pPr>
              <w:spacing w:line="240" w:lineRule="auto"/>
              <w:jc w:val="center"/>
              <w:rPr>
                <w:rFonts w:ascii="Arial Narrow" w:hAnsi="Arial Narrow" w:cs="Times New Roman"/>
              </w:rPr>
            </w:pPr>
            <w:r w:rsidRPr="00CF68BA">
              <w:rPr>
                <w:rFonts w:ascii="Arial Narrow" w:hAnsi="Arial Narrow" w:cs="Times New Roman"/>
              </w:rPr>
              <w:t>D. Streda</w:t>
            </w:r>
          </w:p>
        </w:tc>
        <w:tc>
          <w:tcPr>
            <w:tcW w:w="4480" w:type="dxa"/>
            <w:tcBorders>
              <w:top w:val="nil"/>
              <w:left w:val="single" w:sz="8" w:space="0" w:color="auto"/>
              <w:bottom w:val="single" w:sz="4" w:space="0" w:color="auto"/>
              <w:right w:val="single" w:sz="8" w:space="0" w:color="auto"/>
              <w:tl2br w:val="nil"/>
              <w:tr2bl w:val="nil"/>
            </w:tcBorders>
            <w:noWrap/>
            <w:textDirection w:val="lrTb"/>
            <w:vAlign w:val="center"/>
          </w:tcPr>
          <w:p w:rsidR="00CF68BA" w:rsidRPr="00CF68BA" w:rsidP="00CF68BA">
            <w:pPr>
              <w:spacing w:line="240" w:lineRule="auto"/>
              <w:rPr>
                <w:rFonts w:ascii="Arial Narrow" w:hAnsi="Arial Narrow" w:cs="Times New Roman"/>
              </w:rPr>
            </w:pPr>
            <w:r w:rsidRPr="00CF68BA">
              <w:rPr>
                <w:rFonts w:ascii="Arial Narrow" w:hAnsi="Arial Narrow" w:cs="Times New Roman"/>
              </w:rPr>
              <w:t>I/13 Dunajská Streda, oprava cesty</w:t>
            </w:r>
          </w:p>
        </w:tc>
        <w:tc>
          <w:tcPr>
            <w:tcW w:w="1660" w:type="dxa"/>
            <w:tcBorders>
              <w:top w:val="nil"/>
              <w:left w:val="nil"/>
              <w:bottom w:val="single" w:sz="4" w:space="0" w:color="auto"/>
              <w:right w:val="single" w:sz="8" w:space="0" w:color="auto"/>
              <w:tl2br w:val="nil"/>
              <w:tr2bl w:val="nil"/>
            </w:tcBorders>
            <w:noWrap/>
            <w:textDirection w:val="lrTb"/>
            <w:vAlign w:val="center"/>
          </w:tcPr>
          <w:p w:rsidR="00CF68BA" w:rsidRPr="00CF68BA" w:rsidP="00CF68BA">
            <w:pPr>
              <w:spacing w:line="240" w:lineRule="auto"/>
              <w:jc w:val="center"/>
              <w:rPr>
                <w:rFonts w:ascii="Arial Narrow" w:hAnsi="Arial Narrow" w:cs="Times New Roman"/>
              </w:rPr>
            </w:pPr>
            <w:r w:rsidRPr="00CF68BA">
              <w:rPr>
                <w:rFonts w:ascii="Arial Narrow" w:hAnsi="Arial Narrow" w:cs="Times New Roman"/>
              </w:rPr>
              <w:t>0,900</w:t>
            </w:r>
          </w:p>
        </w:tc>
        <w:tc>
          <w:tcPr>
            <w:tcW w:w="1660" w:type="dxa"/>
            <w:tcBorders>
              <w:top w:val="nil"/>
              <w:left w:val="nil"/>
              <w:bottom w:val="single" w:sz="4" w:space="0" w:color="auto"/>
              <w:right w:val="single" w:sz="8" w:space="0" w:color="auto"/>
              <w:tl2br w:val="nil"/>
              <w:tr2bl w:val="nil"/>
            </w:tcBorders>
            <w:noWrap/>
            <w:textDirection w:val="lrTb"/>
            <w:vAlign w:val="center"/>
          </w:tcPr>
          <w:p w:rsidR="00CF68BA" w:rsidRPr="00CF68BA" w:rsidP="00CF68BA">
            <w:pPr>
              <w:spacing w:line="240" w:lineRule="auto"/>
              <w:jc w:val="right"/>
              <w:rPr>
                <w:rFonts w:ascii="Arial Narrow" w:hAnsi="Arial Narrow" w:cs="Times New Roman"/>
              </w:rPr>
            </w:pPr>
            <w:r w:rsidRPr="00CF68BA">
              <w:rPr>
                <w:rFonts w:ascii="Arial Narrow" w:hAnsi="Arial Narrow" w:cs="Times New Roman"/>
              </w:rPr>
              <w:t>3 226,000</w:t>
            </w:r>
          </w:p>
        </w:tc>
      </w:tr>
      <w:tr>
        <w:tblPrEx>
          <w:tblW w:w="9240" w:type="dxa"/>
          <w:tblInd w:w="93" w:type="dxa"/>
        </w:tblPrEx>
        <w:trPr>
          <w:trHeight w:val="227"/>
        </w:trPr>
        <w:tc>
          <w:tcPr>
            <w:tcW w:w="1440" w:type="dxa"/>
            <w:tcBorders>
              <w:top w:val="single" w:sz="4" w:space="0" w:color="auto"/>
              <w:left w:val="single" w:sz="8" w:space="0" w:color="auto"/>
              <w:bottom w:val="nil"/>
              <w:right w:val="nil"/>
              <w:tl2br w:val="nil"/>
              <w:tr2bl w:val="nil"/>
            </w:tcBorders>
            <w:noWrap/>
            <w:textDirection w:val="lrTb"/>
            <w:vAlign w:val="center"/>
          </w:tcPr>
          <w:p w:rsidR="00CF68BA" w:rsidRPr="00CF68BA" w:rsidP="00CF68BA">
            <w:pPr>
              <w:spacing w:line="240" w:lineRule="auto"/>
              <w:jc w:val="center"/>
              <w:rPr>
                <w:rFonts w:ascii="Arial Narrow" w:hAnsi="Arial Narrow" w:cs="Times New Roman"/>
              </w:rPr>
            </w:pPr>
            <w:r w:rsidRPr="00CF68BA">
              <w:rPr>
                <w:rFonts w:ascii="Arial Narrow" w:hAnsi="Arial Narrow" w:cs="Times New Roman"/>
              </w:rPr>
              <w:t>Levice</w:t>
            </w:r>
          </w:p>
        </w:tc>
        <w:tc>
          <w:tcPr>
            <w:tcW w:w="4480" w:type="dxa"/>
            <w:tcBorders>
              <w:top w:val="nil"/>
              <w:left w:val="single" w:sz="8" w:space="0" w:color="auto"/>
              <w:bottom w:val="single" w:sz="4" w:space="0" w:color="auto"/>
              <w:right w:val="single" w:sz="8" w:space="0" w:color="auto"/>
              <w:tl2br w:val="nil"/>
              <w:tr2bl w:val="nil"/>
            </w:tcBorders>
            <w:noWrap/>
            <w:textDirection w:val="lrTb"/>
            <w:vAlign w:val="center"/>
          </w:tcPr>
          <w:p w:rsidR="00CF68BA" w:rsidRPr="00CF68BA" w:rsidP="00CF68BA">
            <w:pPr>
              <w:spacing w:line="240" w:lineRule="auto"/>
              <w:rPr>
                <w:rFonts w:ascii="Arial Narrow" w:hAnsi="Arial Narrow" w:cs="Times New Roman"/>
              </w:rPr>
            </w:pPr>
            <w:r w:rsidRPr="00CF68BA">
              <w:rPr>
                <w:rFonts w:ascii="Arial Narrow" w:hAnsi="Arial Narrow" w:cs="Times New Roman"/>
              </w:rPr>
              <w:t>I/51 Levice vstup</w:t>
            </w:r>
          </w:p>
        </w:tc>
        <w:tc>
          <w:tcPr>
            <w:tcW w:w="1660" w:type="dxa"/>
            <w:tcBorders>
              <w:top w:val="nil"/>
              <w:left w:val="nil"/>
              <w:bottom w:val="single" w:sz="4" w:space="0" w:color="auto"/>
              <w:right w:val="single" w:sz="8" w:space="0" w:color="auto"/>
              <w:tl2br w:val="nil"/>
              <w:tr2bl w:val="nil"/>
            </w:tcBorders>
            <w:noWrap/>
            <w:textDirection w:val="lrTb"/>
            <w:vAlign w:val="center"/>
          </w:tcPr>
          <w:p w:rsidR="00CF68BA" w:rsidRPr="00CF68BA" w:rsidP="00CF68BA">
            <w:pPr>
              <w:spacing w:line="240" w:lineRule="auto"/>
              <w:jc w:val="center"/>
              <w:rPr>
                <w:rFonts w:ascii="Arial Narrow" w:hAnsi="Arial Narrow" w:cs="Times New Roman"/>
              </w:rPr>
            </w:pPr>
            <w:r w:rsidRPr="00CF68BA">
              <w:rPr>
                <w:rFonts w:ascii="Arial Narrow" w:hAnsi="Arial Narrow" w:cs="Times New Roman"/>
              </w:rPr>
              <w:t>0,400</w:t>
            </w:r>
          </w:p>
        </w:tc>
        <w:tc>
          <w:tcPr>
            <w:tcW w:w="1660" w:type="dxa"/>
            <w:tcBorders>
              <w:top w:val="nil"/>
              <w:left w:val="nil"/>
              <w:bottom w:val="single" w:sz="4" w:space="0" w:color="auto"/>
              <w:right w:val="single" w:sz="8" w:space="0" w:color="auto"/>
              <w:tl2br w:val="nil"/>
              <w:tr2bl w:val="nil"/>
            </w:tcBorders>
            <w:noWrap/>
            <w:textDirection w:val="lrTb"/>
            <w:vAlign w:val="center"/>
          </w:tcPr>
          <w:p w:rsidR="00CF68BA" w:rsidRPr="00CF68BA" w:rsidP="00CF68BA">
            <w:pPr>
              <w:spacing w:line="240" w:lineRule="auto"/>
              <w:jc w:val="right"/>
              <w:rPr>
                <w:rFonts w:ascii="Arial Narrow" w:hAnsi="Arial Narrow" w:cs="Times New Roman"/>
              </w:rPr>
            </w:pPr>
            <w:r w:rsidRPr="00CF68BA">
              <w:rPr>
                <w:rFonts w:ascii="Arial Narrow" w:hAnsi="Arial Narrow" w:cs="Times New Roman"/>
              </w:rPr>
              <w:t>3 052,000</w:t>
            </w:r>
          </w:p>
        </w:tc>
      </w:tr>
      <w:tr>
        <w:tblPrEx>
          <w:tblW w:w="9240" w:type="dxa"/>
          <w:tblInd w:w="93" w:type="dxa"/>
        </w:tblPrEx>
        <w:trPr>
          <w:trHeight w:val="227"/>
        </w:trPr>
        <w:tc>
          <w:tcPr>
            <w:tcW w:w="1440" w:type="dxa"/>
            <w:tcBorders>
              <w:top w:val="single" w:sz="4" w:space="0" w:color="auto"/>
              <w:left w:val="single" w:sz="8" w:space="0" w:color="auto"/>
              <w:bottom w:val="nil"/>
              <w:right w:val="nil"/>
              <w:tl2br w:val="nil"/>
              <w:tr2bl w:val="nil"/>
            </w:tcBorders>
            <w:noWrap/>
            <w:textDirection w:val="lrTb"/>
            <w:vAlign w:val="center"/>
          </w:tcPr>
          <w:p w:rsidR="00CF68BA" w:rsidRPr="00CF68BA" w:rsidP="00CF68BA">
            <w:pPr>
              <w:spacing w:line="240" w:lineRule="auto"/>
              <w:jc w:val="center"/>
              <w:rPr>
                <w:rFonts w:ascii="Arial Narrow" w:hAnsi="Arial Narrow" w:cs="Times New Roman"/>
              </w:rPr>
            </w:pPr>
            <w:r w:rsidRPr="00CF68BA">
              <w:rPr>
                <w:rFonts w:ascii="Arial Narrow" w:hAnsi="Arial Narrow" w:cs="Times New Roman"/>
              </w:rPr>
              <w:t>Trnava</w:t>
            </w:r>
          </w:p>
        </w:tc>
        <w:tc>
          <w:tcPr>
            <w:tcW w:w="4480" w:type="dxa"/>
            <w:tcBorders>
              <w:top w:val="nil"/>
              <w:left w:val="single" w:sz="8" w:space="0" w:color="auto"/>
              <w:bottom w:val="single" w:sz="4" w:space="0" w:color="auto"/>
              <w:right w:val="single" w:sz="8" w:space="0" w:color="auto"/>
              <w:tl2br w:val="nil"/>
              <w:tr2bl w:val="nil"/>
            </w:tcBorders>
            <w:noWrap/>
            <w:textDirection w:val="lrTb"/>
            <w:vAlign w:val="center"/>
          </w:tcPr>
          <w:p w:rsidR="00CF68BA" w:rsidRPr="00CF68BA" w:rsidP="00CF68BA">
            <w:pPr>
              <w:spacing w:line="240" w:lineRule="auto"/>
              <w:rPr>
                <w:rFonts w:ascii="Arial Narrow" w:hAnsi="Arial Narrow" w:cs="Times New Roman"/>
              </w:rPr>
            </w:pPr>
            <w:r w:rsidRPr="00CF68BA">
              <w:rPr>
                <w:rFonts w:ascii="Arial Narrow" w:hAnsi="Arial Narrow" w:cs="Times New Roman"/>
              </w:rPr>
              <w:t>I/51 Boleráz - op</w:t>
            </w:r>
            <w:r w:rsidRPr="00CF68BA">
              <w:rPr>
                <w:rFonts w:ascii="Arial Narrow" w:hAnsi="Arial Narrow" w:cs="Times New Roman"/>
              </w:rPr>
              <w:t>rava cesty</w:t>
            </w:r>
          </w:p>
        </w:tc>
        <w:tc>
          <w:tcPr>
            <w:tcW w:w="1660" w:type="dxa"/>
            <w:tcBorders>
              <w:top w:val="nil"/>
              <w:left w:val="nil"/>
              <w:bottom w:val="single" w:sz="4" w:space="0" w:color="auto"/>
              <w:right w:val="single" w:sz="8" w:space="0" w:color="auto"/>
              <w:tl2br w:val="nil"/>
              <w:tr2bl w:val="nil"/>
            </w:tcBorders>
            <w:noWrap/>
            <w:textDirection w:val="lrTb"/>
            <w:vAlign w:val="center"/>
          </w:tcPr>
          <w:p w:rsidR="00CF68BA" w:rsidRPr="00CF68BA" w:rsidP="00CF68BA">
            <w:pPr>
              <w:spacing w:line="240" w:lineRule="auto"/>
              <w:jc w:val="center"/>
              <w:rPr>
                <w:rFonts w:ascii="Arial Narrow" w:hAnsi="Arial Narrow" w:cs="Times New Roman"/>
              </w:rPr>
            </w:pPr>
            <w:r w:rsidRPr="00CF68BA">
              <w:rPr>
                <w:rFonts w:ascii="Arial Narrow" w:hAnsi="Arial Narrow" w:cs="Times New Roman"/>
              </w:rPr>
              <w:t>0,500</w:t>
            </w:r>
          </w:p>
        </w:tc>
        <w:tc>
          <w:tcPr>
            <w:tcW w:w="1660" w:type="dxa"/>
            <w:tcBorders>
              <w:top w:val="nil"/>
              <w:left w:val="nil"/>
              <w:bottom w:val="single" w:sz="4" w:space="0" w:color="auto"/>
              <w:right w:val="single" w:sz="8" w:space="0" w:color="auto"/>
              <w:tl2br w:val="nil"/>
              <w:tr2bl w:val="nil"/>
            </w:tcBorders>
            <w:noWrap/>
            <w:textDirection w:val="lrTb"/>
            <w:vAlign w:val="center"/>
          </w:tcPr>
          <w:p w:rsidR="00CF68BA" w:rsidRPr="00CF68BA" w:rsidP="00CF68BA">
            <w:pPr>
              <w:spacing w:line="240" w:lineRule="auto"/>
              <w:jc w:val="right"/>
              <w:rPr>
                <w:rFonts w:ascii="Arial Narrow" w:hAnsi="Arial Narrow" w:cs="Times New Roman"/>
              </w:rPr>
            </w:pPr>
            <w:r w:rsidRPr="00CF68BA">
              <w:rPr>
                <w:rFonts w:ascii="Arial Narrow" w:hAnsi="Arial Narrow" w:cs="Times New Roman"/>
              </w:rPr>
              <w:t>4 748,000</w:t>
            </w:r>
          </w:p>
        </w:tc>
      </w:tr>
      <w:tr>
        <w:tblPrEx>
          <w:tblW w:w="9240" w:type="dxa"/>
          <w:tblInd w:w="93" w:type="dxa"/>
        </w:tblPrEx>
        <w:trPr>
          <w:trHeight w:val="227"/>
        </w:trPr>
        <w:tc>
          <w:tcPr>
            <w:tcW w:w="1440" w:type="dxa"/>
            <w:tcBorders>
              <w:top w:val="single" w:sz="4" w:space="0" w:color="auto"/>
              <w:left w:val="single" w:sz="8" w:space="0" w:color="auto"/>
              <w:bottom w:val="nil"/>
              <w:right w:val="nil"/>
              <w:tl2br w:val="nil"/>
              <w:tr2bl w:val="nil"/>
            </w:tcBorders>
            <w:noWrap/>
            <w:textDirection w:val="lrTb"/>
            <w:vAlign w:val="center"/>
          </w:tcPr>
          <w:p w:rsidR="00CF68BA" w:rsidRPr="00CF68BA" w:rsidP="00CF68BA">
            <w:pPr>
              <w:spacing w:line="240" w:lineRule="auto"/>
              <w:jc w:val="center"/>
              <w:rPr>
                <w:rFonts w:ascii="Arial Narrow" w:hAnsi="Arial Narrow" w:cs="Times New Roman"/>
              </w:rPr>
            </w:pPr>
            <w:r w:rsidRPr="00CF68BA">
              <w:rPr>
                <w:rFonts w:ascii="Arial Narrow" w:hAnsi="Arial Narrow" w:cs="Times New Roman"/>
              </w:rPr>
              <w:t>Komárno</w:t>
            </w:r>
          </w:p>
        </w:tc>
        <w:tc>
          <w:tcPr>
            <w:tcW w:w="4480" w:type="dxa"/>
            <w:tcBorders>
              <w:top w:val="nil"/>
              <w:left w:val="single" w:sz="8" w:space="0" w:color="auto"/>
              <w:bottom w:val="single" w:sz="4" w:space="0" w:color="auto"/>
              <w:right w:val="single" w:sz="8" w:space="0" w:color="auto"/>
              <w:tl2br w:val="nil"/>
              <w:tr2bl w:val="nil"/>
            </w:tcBorders>
            <w:noWrap/>
            <w:textDirection w:val="lrTb"/>
            <w:vAlign w:val="center"/>
          </w:tcPr>
          <w:p w:rsidR="00CF68BA" w:rsidRPr="00CF68BA" w:rsidP="00CF68BA">
            <w:pPr>
              <w:spacing w:line="240" w:lineRule="auto"/>
              <w:rPr>
                <w:rFonts w:ascii="Arial Narrow" w:hAnsi="Arial Narrow" w:cs="Times New Roman"/>
              </w:rPr>
            </w:pPr>
            <w:r w:rsidRPr="00CF68BA">
              <w:rPr>
                <w:rFonts w:ascii="Arial Narrow" w:hAnsi="Arial Narrow" w:cs="Times New Roman"/>
              </w:rPr>
              <w:t>I/63 Nová Stráž  - oprava cesty</w:t>
            </w:r>
          </w:p>
        </w:tc>
        <w:tc>
          <w:tcPr>
            <w:tcW w:w="1660" w:type="dxa"/>
            <w:tcBorders>
              <w:top w:val="nil"/>
              <w:left w:val="nil"/>
              <w:bottom w:val="single" w:sz="4" w:space="0" w:color="auto"/>
              <w:right w:val="single" w:sz="8" w:space="0" w:color="auto"/>
              <w:tl2br w:val="nil"/>
              <w:tr2bl w:val="nil"/>
            </w:tcBorders>
            <w:noWrap/>
            <w:textDirection w:val="lrTb"/>
            <w:vAlign w:val="center"/>
          </w:tcPr>
          <w:p w:rsidR="00CF68BA" w:rsidRPr="00CF68BA" w:rsidP="00CF68BA">
            <w:pPr>
              <w:spacing w:line="240" w:lineRule="auto"/>
              <w:jc w:val="center"/>
              <w:rPr>
                <w:rFonts w:ascii="Arial Narrow" w:hAnsi="Arial Narrow" w:cs="Times New Roman"/>
              </w:rPr>
            </w:pPr>
            <w:r w:rsidRPr="00CF68BA">
              <w:rPr>
                <w:rFonts w:ascii="Arial Narrow" w:hAnsi="Arial Narrow" w:cs="Times New Roman"/>
              </w:rPr>
              <w:t>0,200</w:t>
            </w:r>
          </w:p>
        </w:tc>
        <w:tc>
          <w:tcPr>
            <w:tcW w:w="1660" w:type="dxa"/>
            <w:tcBorders>
              <w:top w:val="nil"/>
              <w:left w:val="nil"/>
              <w:bottom w:val="single" w:sz="4" w:space="0" w:color="auto"/>
              <w:right w:val="single" w:sz="8" w:space="0" w:color="auto"/>
              <w:tl2br w:val="nil"/>
              <w:tr2bl w:val="nil"/>
            </w:tcBorders>
            <w:noWrap/>
            <w:textDirection w:val="lrTb"/>
            <w:vAlign w:val="center"/>
          </w:tcPr>
          <w:p w:rsidR="00CF68BA" w:rsidRPr="00CF68BA" w:rsidP="00CF68BA">
            <w:pPr>
              <w:spacing w:line="240" w:lineRule="auto"/>
              <w:jc w:val="right"/>
              <w:rPr>
                <w:rFonts w:ascii="Arial Narrow" w:hAnsi="Arial Narrow" w:cs="Times New Roman"/>
              </w:rPr>
            </w:pPr>
            <w:r w:rsidRPr="00CF68BA">
              <w:rPr>
                <w:rFonts w:ascii="Arial Narrow" w:hAnsi="Arial Narrow" w:cs="Times New Roman"/>
              </w:rPr>
              <w:t>979,000</w:t>
            </w:r>
          </w:p>
        </w:tc>
      </w:tr>
      <w:tr>
        <w:tblPrEx>
          <w:tblW w:w="9240" w:type="dxa"/>
          <w:tblInd w:w="93" w:type="dxa"/>
        </w:tblPrEx>
        <w:trPr>
          <w:trHeight w:val="227"/>
        </w:trPr>
        <w:tc>
          <w:tcPr>
            <w:tcW w:w="1440" w:type="dxa"/>
            <w:tcBorders>
              <w:top w:val="single" w:sz="4" w:space="0" w:color="auto"/>
              <w:left w:val="single" w:sz="8" w:space="0" w:color="auto"/>
              <w:bottom w:val="nil"/>
              <w:right w:val="nil"/>
              <w:tl2br w:val="nil"/>
              <w:tr2bl w:val="nil"/>
            </w:tcBorders>
            <w:noWrap/>
            <w:textDirection w:val="lrTb"/>
            <w:vAlign w:val="center"/>
          </w:tcPr>
          <w:p w:rsidR="00CF68BA" w:rsidRPr="00CF68BA" w:rsidP="00CF68BA">
            <w:pPr>
              <w:spacing w:line="240" w:lineRule="auto"/>
              <w:jc w:val="center"/>
              <w:rPr>
                <w:rFonts w:ascii="Arial Narrow" w:hAnsi="Arial Narrow" w:cs="Times New Roman"/>
              </w:rPr>
            </w:pPr>
            <w:r w:rsidRPr="00CF68BA">
              <w:rPr>
                <w:rFonts w:ascii="Arial Narrow" w:hAnsi="Arial Narrow" w:cs="Times New Roman"/>
              </w:rPr>
              <w:t>D. Streda</w:t>
            </w:r>
          </w:p>
        </w:tc>
        <w:tc>
          <w:tcPr>
            <w:tcW w:w="4480" w:type="dxa"/>
            <w:tcBorders>
              <w:top w:val="nil"/>
              <w:left w:val="single" w:sz="8" w:space="0" w:color="auto"/>
              <w:bottom w:val="single" w:sz="4" w:space="0" w:color="auto"/>
              <w:right w:val="single" w:sz="8" w:space="0" w:color="auto"/>
              <w:tl2br w:val="nil"/>
              <w:tr2bl w:val="nil"/>
            </w:tcBorders>
            <w:noWrap/>
            <w:textDirection w:val="lrTb"/>
            <w:vAlign w:val="center"/>
          </w:tcPr>
          <w:p w:rsidR="00CF68BA" w:rsidRPr="00CF68BA" w:rsidP="00CF68BA">
            <w:pPr>
              <w:spacing w:line="240" w:lineRule="auto"/>
              <w:rPr>
                <w:rFonts w:ascii="Arial Narrow" w:hAnsi="Arial Narrow" w:cs="Times New Roman"/>
              </w:rPr>
            </w:pPr>
            <w:r w:rsidRPr="00CF68BA">
              <w:rPr>
                <w:rFonts w:ascii="Arial Narrow" w:hAnsi="Arial Narrow" w:cs="Times New Roman"/>
              </w:rPr>
              <w:t>I/63 Veľký Meder - oprava cesty</w:t>
            </w:r>
          </w:p>
        </w:tc>
        <w:tc>
          <w:tcPr>
            <w:tcW w:w="1660" w:type="dxa"/>
            <w:tcBorders>
              <w:top w:val="nil"/>
              <w:left w:val="nil"/>
              <w:bottom w:val="single" w:sz="4" w:space="0" w:color="auto"/>
              <w:right w:val="single" w:sz="8" w:space="0" w:color="auto"/>
              <w:tl2br w:val="nil"/>
              <w:tr2bl w:val="nil"/>
            </w:tcBorders>
            <w:noWrap/>
            <w:textDirection w:val="lrTb"/>
            <w:vAlign w:val="center"/>
          </w:tcPr>
          <w:p w:rsidR="00CF68BA" w:rsidRPr="00CF68BA" w:rsidP="00CF68BA">
            <w:pPr>
              <w:spacing w:line="240" w:lineRule="auto"/>
              <w:jc w:val="center"/>
              <w:rPr>
                <w:rFonts w:ascii="Arial Narrow" w:hAnsi="Arial Narrow" w:cs="Times New Roman"/>
              </w:rPr>
            </w:pPr>
            <w:r w:rsidRPr="00CF68BA">
              <w:rPr>
                <w:rFonts w:ascii="Arial Narrow" w:hAnsi="Arial Narrow" w:cs="Times New Roman"/>
              </w:rPr>
              <w:t>0,800</w:t>
            </w:r>
          </w:p>
        </w:tc>
        <w:tc>
          <w:tcPr>
            <w:tcW w:w="1660" w:type="dxa"/>
            <w:tcBorders>
              <w:top w:val="nil"/>
              <w:left w:val="nil"/>
              <w:bottom w:val="single" w:sz="4" w:space="0" w:color="auto"/>
              <w:right w:val="single" w:sz="8" w:space="0" w:color="auto"/>
              <w:tl2br w:val="nil"/>
              <w:tr2bl w:val="nil"/>
            </w:tcBorders>
            <w:noWrap/>
            <w:textDirection w:val="lrTb"/>
            <w:vAlign w:val="center"/>
          </w:tcPr>
          <w:p w:rsidR="00CF68BA" w:rsidRPr="00CF68BA" w:rsidP="00CF68BA">
            <w:pPr>
              <w:spacing w:line="240" w:lineRule="auto"/>
              <w:jc w:val="right"/>
              <w:rPr>
                <w:rFonts w:ascii="Arial Narrow" w:hAnsi="Arial Narrow" w:cs="Times New Roman"/>
              </w:rPr>
            </w:pPr>
            <w:r w:rsidRPr="00CF68BA">
              <w:rPr>
                <w:rFonts w:ascii="Arial Narrow" w:hAnsi="Arial Narrow" w:cs="Times New Roman"/>
              </w:rPr>
              <w:t>4 750,000</w:t>
            </w:r>
          </w:p>
        </w:tc>
      </w:tr>
      <w:tr>
        <w:tblPrEx>
          <w:tblW w:w="9240" w:type="dxa"/>
          <w:tblInd w:w="93" w:type="dxa"/>
        </w:tblPrEx>
        <w:trPr>
          <w:trHeight w:val="227"/>
        </w:trPr>
        <w:tc>
          <w:tcPr>
            <w:tcW w:w="1440" w:type="dxa"/>
            <w:tcBorders>
              <w:top w:val="single" w:sz="4" w:space="0" w:color="auto"/>
              <w:left w:val="single" w:sz="8" w:space="0" w:color="auto"/>
              <w:bottom w:val="nil"/>
              <w:right w:val="nil"/>
              <w:tl2br w:val="nil"/>
              <w:tr2bl w:val="nil"/>
            </w:tcBorders>
            <w:noWrap/>
            <w:textDirection w:val="lrTb"/>
            <w:vAlign w:val="center"/>
          </w:tcPr>
          <w:p w:rsidR="00CF68BA" w:rsidRPr="00CF68BA" w:rsidP="00CF68BA">
            <w:pPr>
              <w:spacing w:line="240" w:lineRule="auto"/>
              <w:jc w:val="center"/>
              <w:rPr>
                <w:rFonts w:ascii="Arial Narrow" w:hAnsi="Arial Narrow" w:cs="Times New Roman"/>
              </w:rPr>
            </w:pPr>
            <w:r w:rsidRPr="00CF68BA">
              <w:rPr>
                <w:rFonts w:ascii="Arial Narrow" w:hAnsi="Arial Narrow" w:cs="Times New Roman"/>
              </w:rPr>
              <w:t>Trnava</w:t>
            </w:r>
          </w:p>
        </w:tc>
        <w:tc>
          <w:tcPr>
            <w:tcW w:w="4480" w:type="dxa"/>
            <w:tcBorders>
              <w:top w:val="nil"/>
              <w:left w:val="single" w:sz="8" w:space="0" w:color="auto"/>
              <w:bottom w:val="single" w:sz="4" w:space="0" w:color="auto"/>
              <w:right w:val="single" w:sz="8" w:space="0" w:color="auto"/>
              <w:tl2br w:val="nil"/>
              <w:tr2bl w:val="nil"/>
            </w:tcBorders>
            <w:noWrap/>
            <w:textDirection w:val="lrTb"/>
            <w:vAlign w:val="center"/>
          </w:tcPr>
          <w:p w:rsidR="00CF68BA" w:rsidRPr="00CF68BA" w:rsidP="00CF68BA">
            <w:pPr>
              <w:spacing w:line="240" w:lineRule="auto"/>
              <w:rPr>
                <w:rFonts w:ascii="Arial Narrow" w:hAnsi="Arial Narrow" w:cs="Times New Roman"/>
              </w:rPr>
            </w:pPr>
            <w:r w:rsidRPr="00CF68BA">
              <w:rPr>
                <w:rFonts w:ascii="Arial Narrow" w:hAnsi="Arial Narrow" w:cs="Times New Roman"/>
              </w:rPr>
              <w:t>I/51 Šelpice - oprava cesty</w:t>
            </w:r>
          </w:p>
        </w:tc>
        <w:tc>
          <w:tcPr>
            <w:tcW w:w="1660" w:type="dxa"/>
            <w:tcBorders>
              <w:top w:val="nil"/>
              <w:left w:val="nil"/>
              <w:bottom w:val="single" w:sz="4" w:space="0" w:color="auto"/>
              <w:right w:val="single" w:sz="8" w:space="0" w:color="auto"/>
              <w:tl2br w:val="nil"/>
              <w:tr2bl w:val="nil"/>
            </w:tcBorders>
            <w:noWrap/>
            <w:textDirection w:val="lrTb"/>
            <w:vAlign w:val="center"/>
          </w:tcPr>
          <w:p w:rsidR="00CF68BA" w:rsidRPr="00CF68BA" w:rsidP="00CF68BA">
            <w:pPr>
              <w:spacing w:line="240" w:lineRule="auto"/>
              <w:jc w:val="center"/>
              <w:rPr>
                <w:rFonts w:ascii="Arial Narrow" w:hAnsi="Arial Narrow" w:cs="Times New Roman"/>
              </w:rPr>
            </w:pPr>
            <w:r w:rsidRPr="00CF68BA">
              <w:rPr>
                <w:rFonts w:ascii="Arial Narrow" w:hAnsi="Arial Narrow" w:cs="Times New Roman"/>
              </w:rPr>
              <w:t>0,400</w:t>
            </w:r>
          </w:p>
        </w:tc>
        <w:tc>
          <w:tcPr>
            <w:tcW w:w="1660" w:type="dxa"/>
            <w:tcBorders>
              <w:top w:val="nil"/>
              <w:left w:val="nil"/>
              <w:bottom w:val="single" w:sz="4" w:space="0" w:color="auto"/>
              <w:right w:val="single" w:sz="8" w:space="0" w:color="auto"/>
              <w:tl2br w:val="nil"/>
              <w:tr2bl w:val="nil"/>
            </w:tcBorders>
            <w:noWrap/>
            <w:textDirection w:val="lrTb"/>
            <w:vAlign w:val="center"/>
          </w:tcPr>
          <w:p w:rsidR="00CF68BA" w:rsidRPr="00CF68BA" w:rsidP="00CF68BA">
            <w:pPr>
              <w:spacing w:line="240" w:lineRule="auto"/>
              <w:jc w:val="right"/>
              <w:rPr>
                <w:rFonts w:ascii="Arial Narrow" w:hAnsi="Arial Narrow" w:cs="Times New Roman"/>
              </w:rPr>
            </w:pPr>
            <w:r w:rsidRPr="00CF68BA">
              <w:rPr>
                <w:rFonts w:ascii="Arial Narrow" w:hAnsi="Arial Narrow" w:cs="Times New Roman"/>
              </w:rPr>
              <w:t>4 099,000</w:t>
            </w:r>
          </w:p>
        </w:tc>
      </w:tr>
      <w:tr>
        <w:tblPrEx>
          <w:tblW w:w="9240" w:type="dxa"/>
          <w:tblInd w:w="93" w:type="dxa"/>
        </w:tblPrEx>
        <w:trPr>
          <w:trHeight w:val="227"/>
        </w:trPr>
        <w:tc>
          <w:tcPr>
            <w:tcW w:w="1440" w:type="dxa"/>
            <w:vMerge w:val="restart"/>
            <w:tcBorders>
              <w:top w:val="single" w:sz="4" w:space="0" w:color="auto"/>
              <w:left w:val="single" w:sz="8" w:space="0" w:color="auto"/>
              <w:bottom w:val="nil"/>
              <w:right w:val="nil"/>
              <w:tl2br w:val="nil"/>
              <w:tr2bl w:val="nil"/>
            </w:tcBorders>
            <w:noWrap/>
            <w:textDirection w:val="lrTb"/>
            <w:vAlign w:val="center"/>
          </w:tcPr>
          <w:p w:rsidR="00CF68BA" w:rsidRPr="00CF68BA" w:rsidP="00CF68BA">
            <w:pPr>
              <w:spacing w:line="240" w:lineRule="auto"/>
              <w:jc w:val="center"/>
              <w:rPr>
                <w:rFonts w:ascii="Arial Narrow" w:hAnsi="Arial Narrow" w:cs="Times New Roman"/>
              </w:rPr>
            </w:pPr>
            <w:r w:rsidRPr="00CF68BA">
              <w:rPr>
                <w:rFonts w:ascii="Arial Narrow" w:hAnsi="Arial Narrow" w:cs="Times New Roman"/>
              </w:rPr>
              <w:t>Nitra</w:t>
            </w:r>
          </w:p>
        </w:tc>
        <w:tc>
          <w:tcPr>
            <w:tcW w:w="4480" w:type="dxa"/>
            <w:tcBorders>
              <w:top w:val="nil"/>
              <w:left w:val="single" w:sz="8" w:space="0" w:color="auto"/>
              <w:bottom w:val="single" w:sz="4" w:space="0" w:color="auto"/>
              <w:right w:val="single" w:sz="8" w:space="0" w:color="auto"/>
              <w:tl2br w:val="nil"/>
              <w:tr2bl w:val="nil"/>
            </w:tcBorders>
            <w:noWrap/>
            <w:textDirection w:val="lrTb"/>
            <w:vAlign w:val="center"/>
          </w:tcPr>
          <w:p w:rsidR="00CF68BA" w:rsidRPr="00CF68BA" w:rsidP="00CF68BA">
            <w:pPr>
              <w:spacing w:line="240" w:lineRule="auto"/>
              <w:rPr>
                <w:rFonts w:ascii="Arial Narrow" w:hAnsi="Arial Narrow" w:cs="Times New Roman"/>
              </w:rPr>
            </w:pPr>
            <w:r w:rsidRPr="00CF68BA">
              <w:rPr>
                <w:rFonts w:ascii="Arial Narrow" w:hAnsi="Arial Narrow" w:cs="Times New Roman"/>
              </w:rPr>
              <w:t>I/51 Nitra  intravilán - oprava cesty</w:t>
            </w:r>
          </w:p>
        </w:tc>
        <w:tc>
          <w:tcPr>
            <w:tcW w:w="1660" w:type="dxa"/>
            <w:tcBorders>
              <w:top w:val="nil"/>
              <w:left w:val="nil"/>
              <w:bottom w:val="single" w:sz="4" w:space="0" w:color="auto"/>
              <w:right w:val="single" w:sz="8" w:space="0" w:color="auto"/>
              <w:tl2br w:val="nil"/>
              <w:tr2bl w:val="nil"/>
            </w:tcBorders>
            <w:noWrap/>
            <w:textDirection w:val="lrTb"/>
            <w:vAlign w:val="center"/>
          </w:tcPr>
          <w:p w:rsidR="00CF68BA" w:rsidRPr="00CF68BA" w:rsidP="00CF68BA">
            <w:pPr>
              <w:spacing w:line="240" w:lineRule="auto"/>
              <w:jc w:val="center"/>
              <w:rPr>
                <w:rFonts w:ascii="Arial Narrow" w:hAnsi="Arial Narrow" w:cs="Times New Roman"/>
              </w:rPr>
            </w:pPr>
            <w:r w:rsidRPr="00CF68BA">
              <w:rPr>
                <w:rFonts w:ascii="Arial Narrow" w:hAnsi="Arial Narrow" w:cs="Times New Roman"/>
              </w:rPr>
              <w:t>0,500</w:t>
            </w:r>
          </w:p>
        </w:tc>
        <w:tc>
          <w:tcPr>
            <w:tcW w:w="1660" w:type="dxa"/>
            <w:tcBorders>
              <w:top w:val="nil"/>
              <w:left w:val="nil"/>
              <w:bottom w:val="single" w:sz="4" w:space="0" w:color="auto"/>
              <w:right w:val="single" w:sz="8" w:space="0" w:color="auto"/>
              <w:tl2br w:val="nil"/>
              <w:tr2bl w:val="nil"/>
            </w:tcBorders>
            <w:noWrap/>
            <w:textDirection w:val="lrTb"/>
            <w:vAlign w:val="center"/>
          </w:tcPr>
          <w:p w:rsidR="00CF68BA" w:rsidRPr="00CF68BA" w:rsidP="00CF68BA">
            <w:pPr>
              <w:spacing w:line="240" w:lineRule="auto"/>
              <w:jc w:val="right"/>
              <w:rPr>
                <w:rFonts w:ascii="Arial Narrow" w:hAnsi="Arial Narrow" w:cs="Times New Roman"/>
              </w:rPr>
            </w:pPr>
            <w:r w:rsidRPr="00CF68BA">
              <w:rPr>
                <w:rFonts w:ascii="Arial Narrow" w:hAnsi="Arial Narrow" w:cs="Times New Roman"/>
              </w:rPr>
              <w:t>2 839,000</w:t>
            </w:r>
          </w:p>
        </w:tc>
      </w:tr>
      <w:tr>
        <w:tblPrEx>
          <w:tblW w:w="9240" w:type="dxa"/>
          <w:tblInd w:w="93" w:type="dxa"/>
        </w:tblPrEx>
        <w:trPr>
          <w:trHeight w:val="227"/>
        </w:trPr>
        <w:tc>
          <w:tcPr>
            <w:tcW w:w="1440" w:type="dxa"/>
            <w:vMerge/>
            <w:tcBorders>
              <w:top w:val="nil"/>
              <w:left w:val="single" w:sz="8" w:space="0" w:color="auto"/>
              <w:bottom w:val="single" w:sz="4" w:space="0" w:color="auto"/>
              <w:right w:val="nil"/>
              <w:tl2br w:val="nil"/>
              <w:tr2bl w:val="nil"/>
            </w:tcBorders>
            <w:noWrap/>
            <w:textDirection w:val="lrTb"/>
            <w:vAlign w:val="center"/>
          </w:tcPr>
          <w:p w:rsidR="00CF68BA" w:rsidRPr="00CF68BA" w:rsidP="00CF68BA">
            <w:pPr>
              <w:spacing w:line="240" w:lineRule="auto"/>
              <w:jc w:val="center"/>
              <w:rPr>
                <w:rFonts w:ascii="Arial Narrow" w:hAnsi="Arial Narrow" w:cs="Times New Roman"/>
              </w:rPr>
            </w:pPr>
          </w:p>
        </w:tc>
        <w:tc>
          <w:tcPr>
            <w:tcW w:w="4480" w:type="dxa"/>
            <w:tcBorders>
              <w:top w:val="nil"/>
              <w:left w:val="single" w:sz="8" w:space="0" w:color="auto"/>
              <w:bottom w:val="single" w:sz="4" w:space="0" w:color="auto"/>
              <w:right w:val="single" w:sz="8" w:space="0" w:color="auto"/>
              <w:tl2br w:val="nil"/>
              <w:tr2bl w:val="nil"/>
            </w:tcBorders>
            <w:noWrap/>
            <w:textDirection w:val="lrTb"/>
            <w:vAlign w:val="center"/>
          </w:tcPr>
          <w:p w:rsidR="00CF68BA" w:rsidRPr="00CF68BA" w:rsidP="00CF68BA">
            <w:pPr>
              <w:spacing w:line="240" w:lineRule="auto"/>
              <w:rPr>
                <w:rFonts w:ascii="Arial Narrow" w:hAnsi="Arial Narrow" w:cs="Times New Roman"/>
              </w:rPr>
            </w:pPr>
            <w:r w:rsidRPr="00CF68BA">
              <w:rPr>
                <w:rFonts w:ascii="Arial Narrow" w:hAnsi="Arial Narrow" w:cs="Times New Roman"/>
              </w:rPr>
              <w:t>I/51 Telince - oprava cesty</w:t>
            </w:r>
          </w:p>
        </w:tc>
        <w:tc>
          <w:tcPr>
            <w:tcW w:w="1660" w:type="dxa"/>
            <w:tcBorders>
              <w:top w:val="nil"/>
              <w:left w:val="nil"/>
              <w:bottom w:val="single" w:sz="4" w:space="0" w:color="auto"/>
              <w:right w:val="single" w:sz="8" w:space="0" w:color="auto"/>
              <w:tl2br w:val="nil"/>
              <w:tr2bl w:val="nil"/>
            </w:tcBorders>
            <w:noWrap/>
            <w:textDirection w:val="lrTb"/>
            <w:vAlign w:val="center"/>
          </w:tcPr>
          <w:p w:rsidR="00CF68BA" w:rsidRPr="00CF68BA" w:rsidP="00CF68BA">
            <w:pPr>
              <w:spacing w:line="240" w:lineRule="auto"/>
              <w:jc w:val="center"/>
              <w:rPr>
                <w:rFonts w:ascii="Arial Narrow" w:hAnsi="Arial Narrow" w:cs="Times New Roman"/>
              </w:rPr>
            </w:pPr>
            <w:r w:rsidRPr="00CF68BA">
              <w:rPr>
                <w:rFonts w:ascii="Arial Narrow" w:hAnsi="Arial Narrow" w:cs="Times New Roman"/>
              </w:rPr>
              <w:t>0,300</w:t>
            </w:r>
          </w:p>
        </w:tc>
        <w:tc>
          <w:tcPr>
            <w:tcW w:w="1660" w:type="dxa"/>
            <w:tcBorders>
              <w:top w:val="nil"/>
              <w:left w:val="nil"/>
              <w:bottom w:val="single" w:sz="4" w:space="0" w:color="auto"/>
              <w:right w:val="single" w:sz="8" w:space="0" w:color="auto"/>
              <w:tl2br w:val="nil"/>
              <w:tr2bl w:val="nil"/>
            </w:tcBorders>
            <w:noWrap/>
            <w:textDirection w:val="lrTb"/>
            <w:vAlign w:val="center"/>
          </w:tcPr>
          <w:p w:rsidR="00CF68BA" w:rsidRPr="00CF68BA" w:rsidP="00CF68BA">
            <w:pPr>
              <w:spacing w:line="240" w:lineRule="auto"/>
              <w:jc w:val="right"/>
              <w:rPr>
                <w:rFonts w:ascii="Arial Narrow" w:hAnsi="Arial Narrow" w:cs="Times New Roman"/>
              </w:rPr>
            </w:pPr>
            <w:r w:rsidRPr="00CF68BA">
              <w:rPr>
                <w:rFonts w:ascii="Arial Narrow" w:hAnsi="Arial Narrow" w:cs="Times New Roman"/>
              </w:rPr>
              <w:t>1 124,000</w:t>
            </w:r>
          </w:p>
        </w:tc>
      </w:tr>
      <w:tr>
        <w:tblPrEx>
          <w:tblW w:w="9240" w:type="dxa"/>
          <w:tblInd w:w="93" w:type="dxa"/>
        </w:tblPrEx>
        <w:trPr>
          <w:trHeight w:val="227"/>
        </w:trPr>
        <w:tc>
          <w:tcPr>
            <w:tcW w:w="1440" w:type="dxa"/>
            <w:tcBorders>
              <w:top w:val="nil"/>
              <w:left w:val="single" w:sz="8" w:space="0" w:color="auto"/>
              <w:bottom w:val="single" w:sz="4" w:space="0" w:color="auto"/>
              <w:right w:val="nil"/>
              <w:tl2br w:val="nil"/>
              <w:tr2bl w:val="nil"/>
            </w:tcBorders>
            <w:noWrap/>
            <w:textDirection w:val="lrTb"/>
            <w:vAlign w:val="center"/>
          </w:tcPr>
          <w:p w:rsidR="00CF68BA" w:rsidRPr="00CF68BA" w:rsidP="00CF68BA">
            <w:pPr>
              <w:spacing w:line="240" w:lineRule="auto"/>
              <w:jc w:val="center"/>
              <w:rPr>
                <w:rFonts w:ascii="Arial Narrow" w:hAnsi="Arial Narrow" w:cs="Times New Roman"/>
              </w:rPr>
            </w:pPr>
            <w:r w:rsidRPr="00CF68BA">
              <w:rPr>
                <w:rFonts w:ascii="Arial Narrow" w:hAnsi="Arial Narrow" w:cs="Times New Roman"/>
              </w:rPr>
              <w:t>Topoľčany</w:t>
            </w:r>
          </w:p>
        </w:tc>
        <w:tc>
          <w:tcPr>
            <w:tcW w:w="4480" w:type="dxa"/>
            <w:tcBorders>
              <w:top w:val="nil"/>
              <w:left w:val="single" w:sz="8" w:space="0" w:color="auto"/>
              <w:bottom w:val="single" w:sz="4" w:space="0" w:color="auto"/>
              <w:right w:val="single" w:sz="8" w:space="0" w:color="auto"/>
              <w:tl2br w:val="nil"/>
              <w:tr2bl w:val="nil"/>
            </w:tcBorders>
            <w:noWrap/>
            <w:textDirection w:val="lrTb"/>
            <w:vAlign w:val="center"/>
          </w:tcPr>
          <w:p w:rsidR="00CF68BA" w:rsidRPr="00CF68BA" w:rsidP="00CF68BA">
            <w:pPr>
              <w:spacing w:line="240" w:lineRule="auto"/>
              <w:rPr>
                <w:rFonts w:ascii="Arial Narrow" w:hAnsi="Arial Narrow" w:cs="Times New Roman"/>
              </w:rPr>
            </w:pPr>
            <w:r w:rsidRPr="00CF68BA">
              <w:rPr>
                <w:rFonts w:ascii="Arial Narrow" w:hAnsi="Arial Narrow" w:cs="Times New Roman"/>
              </w:rPr>
              <w:t>I/64 Chrabrany - Ludanice - oprava cesty</w:t>
            </w:r>
          </w:p>
        </w:tc>
        <w:tc>
          <w:tcPr>
            <w:tcW w:w="1660" w:type="dxa"/>
            <w:tcBorders>
              <w:top w:val="nil"/>
              <w:left w:val="nil"/>
              <w:bottom w:val="single" w:sz="4" w:space="0" w:color="auto"/>
              <w:right w:val="single" w:sz="8" w:space="0" w:color="auto"/>
              <w:tl2br w:val="nil"/>
              <w:tr2bl w:val="nil"/>
            </w:tcBorders>
            <w:noWrap/>
            <w:textDirection w:val="lrTb"/>
            <w:vAlign w:val="center"/>
          </w:tcPr>
          <w:p w:rsidR="00CF68BA" w:rsidRPr="00CF68BA" w:rsidP="00CF68BA">
            <w:pPr>
              <w:spacing w:line="240" w:lineRule="auto"/>
              <w:jc w:val="center"/>
              <w:rPr>
                <w:rFonts w:ascii="Arial Narrow" w:hAnsi="Arial Narrow" w:cs="Times New Roman"/>
              </w:rPr>
            </w:pPr>
            <w:r w:rsidRPr="00CF68BA">
              <w:rPr>
                <w:rFonts w:ascii="Arial Narrow" w:hAnsi="Arial Narrow" w:cs="Times New Roman"/>
              </w:rPr>
              <w:t>0,900</w:t>
            </w:r>
          </w:p>
        </w:tc>
        <w:tc>
          <w:tcPr>
            <w:tcW w:w="1660" w:type="dxa"/>
            <w:tcBorders>
              <w:top w:val="nil"/>
              <w:left w:val="nil"/>
              <w:bottom w:val="single" w:sz="4" w:space="0" w:color="auto"/>
              <w:right w:val="single" w:sz="8" w:space="0" w:color="auto"/>
              <w:tl2br w:val="nil"/>
              <w:tr2bl w:val="nil"/>
            </w:tcBorders>
            <w:noWrap/>
            <w:textDirection w:val="lrTb"/>
            <w:vAlign w:val="center"/>
          </w:tcPr>
          <w:p w:rsidR="00CF68BA" w:rsidRPr="00CF68BA" w:rsidP="00CF68BA">
            <w:pPr>
              <w:spacing w:line="240" w:lineRule="auto"/>
              <w:jc w:val="right"/>
              <w:rPr>
                <w:rFonts w:ascii="Arial Narrow" w:hAnsi="Arial Narrow" w:cs="Times New Roman"/>
              </w:rPr>
            </w:pPr>
            <w:r w:rsidRPr="00CF68BA">
              <w:rPr>
                <w:rFonts w:ascii="Arial Narrow" w:hAnsi="Arial Narrow" w:cs="Times New Roman"/>
              </w:rPr>
              <w:t>3 475,000</w:t>
            </w:r>
          </w:p>
        </w:tc>
      </w:tr>
      <w:tr>
        <w:tblPrEx>
          <w:tblW w:w="9240" w:type="dxa"/>
          <w:tblInd w:w="93" w:type="dxa"/>
        </w:tblPrEx>
        <w:trPr>
          <w:trHeight w:val="227"/>
        </w:trPr>
        <w:tc>
          <w:tcPr>
            <w:tcW w:w="1440" w:type="dxa"/>
            <w:tcBorders>
              <w:top w:val="nil"/>
              <w:left w:val="single" w:sz="8" w:space="0" w:color="auto"/>
              <w:bottom w:val="nil"/>
              <w:right w:val="nil"/>
              <w:tl2br w:val="nil"/>
              <w:tr2bl w:val="nil"/>
            </w:tcBorders>
            <w:noWrap/>
            <w:textDirection w:val="lrTb"/>
            <w:vAlign w:val="center"/>
          </w:tcPr>
          <w:p w:rsidR="00CF68BA" w:rsidRPr="00CF68BA" w:rsidP="00CF68BA">
            <w:pPr>
              <w:spacing w:line="240" w:lineRule="auto"/>
              <w:jc w:val="center"/>
              <w:rPr>
                <w:rFonts w:ascii="Arial Narrow" w:hAnsi="Arial Narrow" w:cs="Times New Roman"/>
              </w:rPr>
            </w:pPr>
            <w:r w:rsidRPr="00CF68BA">
              <w:rPr>
                <w:rFonts w:ascii="Arial Narrow" w:hAnsi="Arial Narrow" w:cs="Times New Roman"/>
              </w:rPr>
              <w:t>Senica</w:t>
            </w:r>
          </w:p>
        </w:tc>
        <w:tc>
          <w:tcPr>
            <w:tcW w:w="4480" w:type="dxa"/>
            <w:tcBorders>
              <w:top w:val="nil"/>
              <w:left w:val="single" w:sz="8" w:space="0" w:color="auto"/>
              <w:bottom w:val="nil"/>
              <w:right w:val="single" w:sz="8" w:space="0" w:color="auto"/>
              <w:tl2br w:val="nil"/>
              <w:tr2bl w:val="nil"/>
            </w:tcBorders>
            <w:noWrap/>
            <w:textDirection w:val="lrTb"/>
            <w:vAlign w:val="center"/>
          </w:tcPr>
          <w:p w:rsidR="00CF68BA" w:rsidRPr="00CF68BA" w:rsidP="00CF68BA">
            <w:pPr>
              <w:spacing w:line="240" w:lineRule="auto"/>
              <w:rPr>
                <w:rFonts w:ascii="Arial Narrow" w:hAnsi="Arial Narrow" w:cs="Times New Roman"/>
              </w:rPr>
            </w:pPr>
            <w:r w:rsidRPr="00CF68BA">
              <w:rPr>
                <w:rFonts w:ascii="Arial Narrow" w:hAnsi="Arial Narrow" w:cs="Times New Roman"/>
              </w:rPr>
              <w:t xml:space="preserve"> I/51 Holíč - Lopašov - oprava cesty</w:t>
            </w:r>
          </w:p>
        </w:tc>
        <w:tc>
          <w:tcPr>
            <w:tcW w:w="1660" w:type="dxa"/>
            <w:tcBorders>
              <w:top w:val="nil"/>
              <w:left w:val="nil"/>
              <w:bottom w:val="nil"/>
              <w:right w:val="single" w:sz="8" w:space="0" w:color="auto"/>
              <w:tl2br w:val="nil"/>
              <w:tr2bl w:val="nil"/>
            </w:tcBorders>
            <w:noWrap/>
            <w:textDirection w:val="lrTb"/>
            <w:vAlign w:val="center"/>
          </w:tcPr>
          <w:p w:rsidR="00CF68BA" w:rsidRPr="00CF68BA" w:rsidP="00CF68BA">
            <w:pPr>
              <w:spacing w:line="240" w:lineRule="auto"/>
              <w:jc w:val="center"/>
              <w:rPr>
                <w:rFonts w:ascii="Arial Narrow" w:hAnsi="Arial Narrow" w:cs="Times New Roman"/>
              </w:rPr>
            </w:pPr>
            <w:r w:rsidRPr="00CF68BA">
              <w:rPr>
                <w:rFonts w:ascii="Arial Narrow" w:hAnsi="Arial Narrow" w:cs="Times New Roman"/>
              </w:rPr>
              <w:t>1,700</w:t>
            </w:r>
          </w:p>
        </w:tc>
        <w:tc>
          <w:tcPr>
            <w:tcW w:w="1660" w:type="dxa"/>
            <w:tcBorders>
              <w:top w:val="nil"/>
              <w:left w:val="nil"/>
              <w:bottom w:val="nil"/>
              <w:right w:val="single" w:sz="8" w:space="0" w:color="auto"/>
              <w:tl2br w:val="nil"/>
              <w:tr2bl w:val="nil"/>
            </w:tcBorders>
            <w:noWrap/>
            <w:textDirection w:val="lrTb"/>
            <w:vAlign w:val="center"/>
          </w:tcPr>
          <w:p w:rsidR="00CF68BA" w:rsidRPr="00CF68BA" w:rsidP="00CF68BA">
            <w:pPr>
              <w:spacing w:line="240" w:lineRule="auto"/>
              <w:jc w:val="right"/>
              <w:rPr>
                <w:rFonts w:ascii="Arial Narrow" w:hAnsi="Arial Narrow" w:cs="Times New Roman"/>
              </w:rPr>
            </w:pPr>
            <w:r w:rsidRPr="00CF68BA">
              <w:rPr>
                <w:rFonts w:ascii="Arial Narrow" w:hAnsi="Arial Narrow" w:cs="Times New Roman"/>
              </w:rPr>
              <w:t>4 091,000</w:t>
            </w:r>
          </w:p>
        </w:tc>
      </w:tr>
      <w:tr>
        <w:tblPrEx>
          <w:tblW w:w="9240" w:type="dxa"/>
          <w:tblInd w:w="93" w:type="dxa"/>
        </w:tblPrEx>
        <w:trPr>
          <w:trHeight w:val="227"/>
        </w:trPr>
        <w:tc>
          <w:tcPr>
            <w:tcW w:w="1440" w:type="dxa"/>
            <w:tcBorders>
              <w:top w:val="single" w:sz="4" w:space="0" w:color="auto"/>
              <w:left w:val="single" w:sz="8" w:space="0" w:color="auto"/>
              <w:bottom w:val="single" w:sz="4" w:space="0" w:color="auto"/>
              <w:right w:val="nil"/>
              <w:tl2br w:val="nil"/>
              <w:tr2bl w:val="nil"/>
            </w:tcBorders>
            <w:noWrap/>
            <w:textDirection w:val="lrTb"/>
            <w:vAlign w:val="center"/>
          </w:tcPr>
          <w:p w:rsidR="00CF68BA" w:rsidRPr="00CF68BA" w:rsidP="00CF68BA">
            <w:pPr>
              <w:spacing w:line="240" w:lineRule="auto"/>
              <w:jc w:val="center"/>
              <w:rPr>
                <w:rFonts w:ascii="Arial Narrow" w:hAnsi="Arial Narrow" w:cs="Times New Roman"/>
              </w:rPr>
            </w:pPr>
            <w:r w:rsidRPr="00CF68BA">
              <w:rPr>
                <w:rFonts w:ascii="Arial Narrow" w:hAnsi="Arial Narrow" w:cs="Times New Roman"/>
              </w:rPr>
              <w:t>Bratislava</w:t>
            </w:r>
          </w:p>
        </w:tc>
        <w:tc>
          <w:tcPr>
            <w:tcW w:w="4480" w:type="dxa"/>
            <w:tcBorders>
              <w:top w:val="single" w:sz="4" w:space="0" w:color="auto"/>
              <w:left w:val="single" w:sz="8" w:space="0" w:color="auto"/>
              <w:bottom w:val="single" w:sz="4" w:space="0" w:color="auto"/>
              <w:right w:val="single" w:sz="8" w:space="0" w:color="auto"/>
              <w:tl2br w:val="nil"/>
              <w:tr2bl w:val="nil"/>
            </w:tcBorders>
            <w:noWrap/>
            <w:textDirection w:val="lrTb"/>
            <w:vAlign w:val="center"/>
          </w:tcPr>
          <w:p w:rsidR="00CF68BA" w:rsidRPr="00CF68BA" w:rsidP="00CF68BA">
            <w:pPr>
              <w:spacing w:line="240" w:lineRule="auto"/>
              <w:rPr>
                <w:rFonts w:ascii="Arial Narrow" w:hAnsi="Arial Narrow" w:cs="Times New Roman"/>
              </w:rPr>
            </w:pPr>
            <w:r w:rsidRPr="00CF68BA">
              <w:rPr>
                <w:rFonts w:ascii="Arial Narrow" w:hAnsi="Arial Narrow" w:cs="Times New Roman"/>
              </w:rPr>
              <w:t xml:space="preserve"> I/2 Oprava dilatácie m.o.č.2-024</w:t>
            </w:r>
          </w:p>
        </w:tc>
        <w:tc>
          <w:tcPr>
            <w:tcW w:w="1660" w:type="dxa"/>
            <w:tcBorders>
              <w:top w:val="single" w:sz="4" w:space="0" w:color="auto"/>
              <w:left w:val="nil"/>
              <w:bottom w:val="single" w:sz="4" w:space="0" w:color="auto"/>
              <w:right w:val="single" w:sz="8" w:space="0" w:color="auto"/>
              <w:tl2br w:val="nil"/>
              <w:tr2bl w:val="nil"/>
            </w:tcBorders>
            <w:noWrap/>
            <w:textDirection w:val="lrTb"/>
            <w:vAlign w:val="center"/>
          </w:tcPr>
          <w:p w:rsidR="00CF68BA" w:rsidRPr="00CF68BA" w:rsidP="00CF68BA">
            <w:pPr>
              <w:spacing w:line="240" w:lineRule="auto"/>
              <w:jc w:val="center"/>
              <w:rPr>
                <w:rFonts w:ascii="Arial Narrow" w:hAnsi="Arial Narrow" w:cs="Times New Roman"/>
              </w:rPr>
            </w:pPr>
            <w:r w:rsidRPr="00CF68BA">
              <w:rPr>
                <w:rFonts w:ascii="Arial Narrow" w:hAnsi="Arial Narrow" w:cs="Times New Roman"/>
              </w:rPr>
              <w:t>1,000</w:t>
            </w:r>
          </w:p>
        </w:tc>
        <w:tc>
          <w:tcPr>
            <w:tcW w:w="1660" w:type="dxa"/>
            <w:tcBorders>
              <w:top w:val="single" w:sz="4" w:space="0" w:color="auto"/>
              <w:left w:val="nil"/>
              <w:bottom w:val="single" w:sz="4" w:space="0" w:color="auto"/>
              <w:right w:val="single" w:sz="8" w:space="0" w:color="auto"/>
              <w:tl2br w:val="nil"/>
              <w:tr2bl w:val="nil"/>
            </w:tcBorders>
            <w:noWrap/>
            <w:textDirection w:val="lrTb"/>
            <w:vAlign w:val="center"/>
          </w:tcPr>
          <w:p w:rsidR="00CF68BA" w:rsidRPr="00CF68BA" w:rsidP="00CF68BA">
            <w:pPr>
              <w:spacing w:line="240" w:lineRule="auto"/>
              <w:jc w:val="right"/>
              <w:rPr>
                <w:rFonts w:ascii="Arial Narrow" w:hAnsi="Arial Narrow" w:cs="Times New Roman"/>
              </w:rPr>
            </w:pPr>
            <w:r w:rsidRPr="00CF68BA">
              <w:rPr>
                <w:rFonts w:ascii="Arial Narrow" w:hAnsi="Arial Narrow" w:cs="Times New Roman"/>
              </w:rPr>
              <w:t>1 309,000</w:t>
            </w:r>
          </w:p>
        </w:tc>
      </w:tr>
      <w:tr>
        <w:tblPrEx>
          <w:tblW w:w="9240" w:type="dxa"/>
          <w:tblInd w:w="93" w:type="dxa"/>
        </w:tblPrEx>
        <w:trPr>
          <w:trHeight w:val="227"/>
        </w:trPr>
        <w:tc>
          <w:tcPr>
            <w:tcW w:w="1440" w:type="dxa"/>
            <w:vMerge w:val="restart"/>
            <w:tcBorders>
              <w:top w:val="nil"/>
              <w:left w:val="single" w:sz="8" w:space="0" w:color="auto"/>
              <w:bottom w:val="nil"/>
              <w:right w:val="nil"/>
              <w:tl2br w:val="nil"/>
              <w:tr2bl w:val="nil"/>
            </w:tcBorders>
            <w:noWrap/>
            <w:textDirection w:val="lrTb"/>
            <w:vAlign w:val="center"/>
          </w:tcPr>
          <w:p w:rsidR="00CF68BA" w:rsidRPr="00CF68BA" w:rsidP="00CF68BA">
            <w:pPr>
              <w:spacing w:line="240" w:lineRule="auto"/>
              <w:jc w:val="center"/>
              <w:rPr>
                <w:rFonts w:ascii="Arial Narrow" w:hAnsi="Arial Narrow" w:cs="Times New Roman"/>
              </w:rPr>
            </w:pPr>
            <w:r w:rsidRPr="00CF68BA">
              <w:rPr>
                <w:rFonts w:ascii="Arial Narrow" w:hAnsi="Arial Narrow" w:cs="Times New Roman"/>
              </w:rPr>
              <w:t>Nové Zámky</w:t>
            </w:r>
          </w:p>
        </w:tc>
        <w:tc>
          <w:tcPr>
            <w:tcW w:w="4480" w:type="dxa"/>
            <w:tcBorders>
              <w:top w:val="nil"/>
              <w:left w:val="single" w:sz="8" w:space="0" w:color="auto"/>
              <w:bottom w:val="single" w:sz="4" w:space="0" w:color="auto"/>
              <w:right w:val="single" w:sz="8" w:space="0" w:color="auto"/>
              <w:tl2br w:val="nil"/>
              <w:tr2bl w:val="nil"/>
            </w:tcBorders>
            <w:noWrap/>
            <w:textDirection w:val="lrTb"/>
            <w:vAlign w:val="center"/>
          </w:tcPr>
          <w:p w:rsidR="00CF68BA" w:rsidRPr="00CF68BA" w:rsidP="00CF68BA">
            <w:pPr>
              <w:spacing w:line="240" w:lineRule="auto"/>
              <w:rPr>
                <w:rFonts w:ascii="Arial Narrow" w:hAnsi="Arial Narrow" w:cs="Times New Roman"/>
              </w:rPr>
            </w:pPr>
            <w:r w:rsidRPr="00CF68BA">
              <w:rPr>
                <w:rFonts w:ascii="Arial Narrow" w:hAnsi="Arial Narrow" w:cs="Times New Roman"/>
              </w:rPr>
              <w:t xml:space="preserve"> I/76 Štúrovo - veľkoplošná oprava</w:t>
            </w:r>
          </w:p>
        </w:tc>
        <w:tc>
          <w:tcPr>
            <w:tcW w:w="1660" w:type="dxa"/>
            <w:tcBorders>
              <w:top w:val="nil"/>
              <w:left w:val="nil"/>
              <w:bottom w:val="single" w:sz="4" w:space="0" w:color="auto"/>
              <w:right w:val="single" w:sz="8" w:space="0" w:color="auto"/>
              <w:tl2br w:val="nil"/>
              <w:tr2bl w:val="nil"/>
            </w:tcBorders>
            <w:noWrap/>
            <w:textDirection w:val="lrTb"/>
            <w:vAlign w:val="center"/>
          </w:tcPr>
          <w:p w:rsidR="00CF68BA" w:rsidRPr="00CF68BA" w:rsidP="00CF68BA">
            <w:pPr>
              <w:spacing w:line="240" w:lineRule="auto"/>
              <w:jc w:val="center"/>
              <w:rPr>
                <w:rFonts w:ascii="Arial Narrow" w:hAnsi="Arial Narrow" w:cs="Times New Roman"/>
              </w:rPr>
            </w:pPr>
            <w:r w:rsidRPr="00CF68BA">
              <w:rPr>
                <w:rFonts w:ascii="Arial Narrow" w:hAnsi="Arial Narrow" w:cs="Times New Roman"/>
              </w:rPr>
              <w:t>0,500</w:t>
            </w:r>
          </w:p>
        </w:tc>
        <w:tc>
          <w:tcPr>
            <w:tcW w:w="1660" w:type="dxa"/>
            <w:tcBorders>
              <w:top w:val="nil"/>
              <w:left w:val="nil"/>
              <w:bottom w:val="single" w:sz="4" w:space="0" w:color="auto"/>
              <w:right w:val="single" w:sz="8" w:space="0" w:color="auto"/>
              <w:tl2br w:val="nil"/>
              <w:tr2bl w:val="nil"/>
            </w:tcBorders>
            <w:noWrap/>
            <w:textDirection w:val="lrTb"/>
            <w:vAlign w:val="center"/>
          </w:tcPr>
          <w:p w:rsidR="00CF68BA" w:rsidRPr="00CF68BA" w:rsidP="00CF68BA">
            <w:pPr>
              <w:spacing w:line="240" w:lineRule="auto"/>
              <w:jc w:val="right"/>
              <w:rPr>
                <w:rFonts w:ascii="Arial Narrow" w:hAnsi="Arial Narrow" w:cs="Times New Roman"/>
              </w:rPr>
            </w:pPr>
            <w:r w:rsidRPr="00CF68BA">
              <w:rPr>
                <w:rFonts w:ascii="Arial Narrow" w:hAnsi="Arial Narrow" w:cs="Times New Roman"/>
              </w:rPr>
              <w:t>882,000</w:t>
            </w:r>
          </w:p>
        </w:tc>
      </w:tr>
      <w:tr>
        <w:tblPrEx>
          <w:tblW w:w="9240" w:type="dxa"/>
          <w:tblInd w:w="93" w:type="dxa"/>
        </w:tblPrEx>
        <w:trPr>
          <w:trHeight w:val="227"/>
        </w:trPr>
        <w:tc>
          <w:tcPr>
            <w:tcW w:w="1440" w:type="dxa"/>
            <w:vMerge/>
            <w:tcBorders>
              <w:top w:val="nil"/>
              <w:left w:val="single" w:sz="8" w:space="0" w:color="auto"/>
              <w:bottom w:val="nil"/>
              <w:right w:val="nil"/>
              <w:tl2br w:val="nil"/>
              <w:tr2bl w:val="nil"/>
            </w:tcBorders>
            <w:noWrap/>
            <w:textDirection w:val="lrTb"/>
            <w:vAlign w:val="center"/>
          </w:tcPr>
          <w:p w:rsidR="00CF68BA" w:rsidRPr="00CF68BA" w:rsidP="00CF68BA">
            <w:pPr>
              <w:spacing w:line="240" w:lineRule="auto"/>
              <w:jc w:val="center"/>
              <w:rPr>
                <w:rFonts w:ascii="Arial Narrow" w:hAnsi="Arial Narrow" w:cs="Times New Roman"/>
              </w:rPr>
            </w:pPr>
          </w:p>
        </w:tc>
        <w:tc>
          <w:tcPr>
            <w:tcW w:w="4480" w:type="dxa"/>
            <w:tcBorders>
              <w:top w:val="nil"/>
              <w:left w:val="single" w:sz="8" w:space="0" w:color="auto"/>
              <w:bottom w:val="nil"/>
              <w:right w:val="single" w:sz="8" w:space="0" w:color="auto"/>
              <w:tl2br w:val="nil"/>
              <w:tr2bl w:val="nil"/>
            </w:tcBorders>
            <w:noWrap/>
            <w:textDirection w:val="lrTb"/>
            <w:vAlign w:val="center"/>
          </w:tcPr>
          <w:p w:rsidR="00CF68BA" w:rsidRPr="00CF68BA" w:rsidP="00CF68BA">
            <w:pPr>
              <w:spacing w:line="240" w:lineRule="auto"/>
              <w:rPr>
                <w:rFonts w:ascii="Arial Narrow" w:hAnsi="Arial Narrow" w:cs="Times New Roman"/>
              </w:rPr>
            </w:pPr>
            <w:r w:rsidRPr="00CF68BA">
              <w:rPr>
                <w:rFonts w:ascii="Arial Narrow" w:hAnsi="Arial Narrow" w:cs="Times New Roman"/>
              </w:rPr>
              <w:t xml:space="preserve"> I/63 Mužla - oprava cesty</w:t>
            </w:r>
          </w:p>
        </w:tc>
        <w:tc>
          <w:tcPr>
            <w:tcW w:w="1660" w:type="dxa"/>
            <w:tcBorders>
              <w:top w:val="nil"/>
              <w:left w:val="nil"/>
              <w:bottom w:val="nil"/>
              <w:right w:val="single" w:sz="8" w:space="0" w:color="auto"/>
              <w:tl2br w:val="nil"/>
              <w:tr2bl w:val="nil"/>
            </w:tcBorders>
            <w:noWrap/>
            <w:textDirection w:val="lrTb"/>
            <w:vAlign w:val="center"/>
          </w:tcPr>
          <w:p w:rsidR="00CF68BA" w:rsidRPr="00CF68BA" w:rsidP="00CF68BA">
            <w:pPr>
              <w:spacing w:line="240" w:lineRule="auto"/>
              <w:jc w:val="center"/>
              <w:rPr>
                <w:rFonts w:ascii="Arial Narrow" w:hAnsi="Arial Narrow" w:cs="Times New Roman"/>
              </w:rPr>
            </w:pPr>
            <w:r w:rsidRPr="00CF68BA">
              <w:rPr>
                <w:rFonts w:ascii="Arial Narrow" w:hAnsi="Arial Narrow" w:cs="Times New Roman"/>
              </w:rPr>
              <w:t>1,300</w:t>
            </w:r>
          </w:p>
        </w:tc>
        <w:tc>
          <w:tcPr>
            <w:tcW w:w="1660" w:type="dxa"/>
            <w:tcBorders>
              <w:top w:val="nil"/>
              <w:left w:val="nil"/>
              <w:bottom w:val="nil"/>
              <w:right w:val="single" w:sz="8" w:space="0" w:color="auto"/>
              <w:tl2br w:val="nil"/>
              <w:tr2bl w:val="nil"/>
            </w:tcBorders>
            <w:noWrap/>
            <w:textDirection w:val="lrTb"/>
            <w:vAlign w:val="center"/>
          </w:tcPr>
          <w:p w:rsidR="00CF68BA" w:rsidRPr="00CF68BA" w:rsidP="00CF68BA">
            <w:pPr>
              <w:spacing w:line="240" w:lineRule="auto"/>
              <w:jc w:val="right"/>
              <w:rPr>
                <w:rFonts w:ascii="Arial Narrow" w:hAnsi="Arial Narrow" w:cs="Times New Roman"/>
              </w:rPr>
            </w:pPr>
            <w:r w:rsidRPr="00CF68BA">
              <w:rPr>
                <w:rFonts w:ascii="Arial Narrow" w:hAnsi="Arial Narrow" w:cs="Times New Roman"/>
              </w:rPr>
              <w:t>3 988,000</w:t>
            </w:r>
          </w:p>
        </w:tc>
      </w:tr>
      <w:tr>
        <w:tblPrEx>
          <w:tblW w:w="9240" w:type="dxa"/>
          <w:tblInd w:w="93" w:type="dxa"/>
        </w:tblPrEx>
        <w:trPr>
          <w:trHeight w:val="227"/>
        </w:trPr>
        <w:tc>
          <w:tcPr>
            <w:tcW w:w="1440" w:type="dxa"/>
            <w:vMerge/>
            <w:tcBorders>
              <w:top w:val="nil"/>
              <w:left w:val="single" w:sz="8" w:space="0" w:color="auto"/>
              <w:bottom w:val="single" w:sz="4" w:space="0" w:color="auto"/>
              <w:right w:val="nil"/>
              <w:tl2br w:val="nil"/>
              <w:tr2bl w:val="nil"/>
            </w:tcBorders>
            <w:noWrap/>
            <w:textDirection w:val="lrTb"/>
            <w:vAlign w:val="center"/>
          </w:tcPr>
          <w:p w:rsidR="00CF68BA" w:rsidRPr="00CF68BA" w:rsidP="00CF68BA">
            <w:pPr>
              <w:spacing w:line="240" w:lineRule="auto"/>
              <w:jc w:val="center"/>
              <w:rPr>
                <w:rFonts w:ascii="Arial Narrow" w:hAnsi="Arial Narrow" w:cs="Times New Roman"/>
              </w:rPr>
            </w:pPr>
          </w:p>
        </w:tc>
        <w:tc>
          <w:tcPr>
            <w:tcW w:w="4480" w:type="dxa"/>
            <w:tcBorders>
              <w:top w:val="single" w:sz="4" w:space="0" w:color="auto"/>
              <w:left w:val="single" w:sz="8" w:space="0" w:color="auto"/>
              <w:bottom w:val="single" w:sz="4" w:space="0" w:color="auto"/>
              <w:right w:val="single" w:sz="8" w:space="0" w:color="auto"/>
              <w:tl2br w:val="nil"/>
              <w:tr2bl w:val="nil"/>
            </w:tcBorders>
            <w:noWrap/>
            <w:textDirection w:val="lrTb"/>
            <w:vAlign w:val="center"/>
          </w:tcPr>
          <w:p w:rsidR="00CF68BA" w:rsidRPr="00CF68BA" w:rsidP="00CF68BA">
            <w:pPr>
              <w:spacing w:line="240" w:lineRule="auto"/>
              <w:rPr>
                <w:rFonts w:ascii="Arial Narrow" w:hAnsi="Arial Narrow" w:cs="Times New Roman"/>
              </w:rPr>
            </w:pPr>
            <w:r w:rsidRPr="00CF68BA">
              <w:rPr>
                <w:rFonts w:ascii="Arial Narrow" w:hAnsi="Arial Narrow" w:cs="Times New Roman"/>
              </w:rPr>
              <w:t xml:space="preserve"> I/64 Komjatice - oprava cesty</w:t>
            </w:r>
          </w:p>
        </w:tc>
        <w:tc>
          <w:tcPr>
            <w:tcW w:w="1660" w:type="dxa"/>
            <w:tcBorders>
              <w:top w:val="single" w:sz="4" w:space="0" w:color="auto"/>
              <w:left w:val="nil"/>
              <w:bottom w:val="single" w:sz="4" w:space="0" w:color="auto"/>
              <w:right w:val="single" w:sz="8" w:space="0" w:color="auto"/>
              <w:tl2br w:val="nil"/>
              <w:tr2bl w:val="nil"/>
            </w:tcBorders>
            <w:noWrap/>
            <w:textDirection w:val="lrTb"/>
            <w:vAlign w:val="center"/>
          </w:tcPr>
          <w:p w:rsidR="00CF68BA" w:rsidRPr="00CF68BA" w:rsidP="00CF68BA">
            <w:pPr>
              <w:spacing w:line="240" w:lineRule="auto"/>
              <w:jc w:val="center"/>
              <w:rPr>
                <w:rFonts w:ascii="Arial Narrow" w:hAnsi="Arial Narrow" w:cs="Times New Roman"/>
              </w:rPr>
            </w:pPr>
            <w:r w:rsidRPr="00CF68BA">
              <w:rPr>
                <w:rFonts w:ascii="Arial Narrow" w:hAnsi="Arial Narrow" w:cs="Times New Roman"/>
              </w:rPr>
              <w:t>0,400</w:t>
            </w:r>
          </w:p>
        </w:tc>
        <w:tc>
          <w:tcPr>
            <w:tcW w:w="1660" w:type="dxa"/>
            <w:tcBorders>
              <w:top w:val="single" w:sz="4" w:space="0" w:color="auto"/>
              <w:left w:val="nil"/>
              <w:bottom w:val="single" w:sz="4" w:space="0" w:color="auto"/>
              <w:right w:val="single" w:sz="8" w:space="0" w:color="auto"/>
              <w:tl2br w:val="nil"/>
              <w:tr2bl w:val="nil"/>
            </w:tcBorders>
            <w:noWrap/>
            <w:textDirection w:val="lrTb"/>
            <w:vAlign w:val="center"/>
          </w:tcPr>
          <w:p w:rsidR="00CF68BA" w:rsidRPr="00CF68BA" w:rsidP="00CF68BA">
            <w:pPr>
              <w:spacing w:line="240" w:lineRule="auto"/>
              <w:jc w:val="right"/>
              <w:rPr>
                <w:rFonts w:ascii="Arial Narrow" w:hAnsi="Arial Narrow" w:cs="Times New Roman"/>
              </w:rPr>
            </w:pPr>
            <w:r w:rsidRPr="00CF68BA">
              <w:rPr>
                <w:rFonts w:ascii="Arial Narrow" w:hAnsi="Arial Narrow" w:cs="Times New Roman"/>
              </w:rPr>
              <w:t>2 514,000</w:t>
            </w:r>
          </w:p>
        </w:tc>
      </w:tr>
      <w:tr>
        <w:tblPrEx>
          <w:tblW w:w="9240" w:type="dxa"/>
          <w:tblInd w:w="93" w:type="dxa"/>
        </w:tblPrEx>
        <w:trPr>
          <w:trHeight w:val="227"/>
        </w:trPr>
        <w:tc>
          <w:tcPr>
            <w:tcW w:w="1440" w:type="dxa"/>
            <w:tcBorders>
              <w:top w:val="nil"/>
              <w:left w:val="single" w:sz="8" w:space="0" w:color="auto"/>
              <w:bottom w:val="single" w:sz="4" w:space="0" w:color="auto"/>
              <w:right w:val="nil"/>
              <w:tl2br w:val="nil"/>
              <w:tr2bl w:val="nil"/>
            </w:tcBorders>
            <w:noWrap/>
            <w:textDirection w:val="lrTb"/>
            <w:vAlign w:val="center"/>
          </w:tcPr>
          <w:p w:rsidR="00CF68BA" w:rsidRPr="00CF68BA" w:rsidP="00CF68BA">
            <w:pPr>
              <w:spacing w:line="240" w:lineRule="auto"/>
              <w:jc w:val="center"/>
              <w:rPr>
                <w:rFonts w:ascii="Arial Narrow" w:hAnsi="Arial Narrow" w:cs="Times New Roman"/>
              </w:rPr>
            </w:pPr>
            <w:r w:rsidRPr="00CF68BA">
              <w:rPr>
                <w:rFonts w:ascii="Arial Narrow" w:hAnsi="Arial Narrow" w:cs="Times New Roman"/>
              </w:rPr>
              <w:t>Bratislava</w:t>
            </w:r>
          </w:p>
        </w:tc>
        <w:tc>
          <w:tcPr>
            <w:tcW w:w="4480" w:type="dxa"/>
            <w:tcBorders>
              <w:top w:val="nil"/>
              <w:left w:val="single" w:sz="8" w:space="0" w:color="auto"/>
              <w:bottom w:val="single" w:sz="4" w:space="0" w:color="auto"/>
              <w:right w:val="single" w:sz="8" w:space="0" w:color="auto"/>
              <w:tl2br w:val="nil"/>
              <w:tr2bl w:val="nil"/>
            </w:tcBorders>
            <w:noWrap/>
            <w:textDirection w:val="lrTb"/>
            <w:vAlign w:val="center"/>
          </w:tcPr>
          <w:p w:rsidR="00CF68BA" w:rsidRPr="00CF68BA" w:rsidP="00CF68BA">
            <w:pPr>
              <w:spacing w:line="240" w:lineRule="auto"/>
              <w:rPr>
                <w:rFonts w:ascii="Arial Narrow" w:hAnsi="Arial Narrow" w:cs="Times New Roman"/>
              </w:rPr>
            </w:pPr>
            <w:r w:rsidRPr="00CF68BA">
              <w:rPr>
                <w:rFonts w:ascii="Arial Narrow" w:hAnsi="Arial Narrow" w:cs="Times New Roman"/>
              </w:rPr>
              <w:t xml:space="preserve"> I/61 Kaplná - oprava cesty</w:t>
            </w:r>
          </w:p>
        </w:tc>
        <w:tc>
          <w:tcPr>
            <w:tcW w:w="1660" w:type="dxa"/>
            <w:tcBorders>
              <w:top w:val="nil"/>
              <w:left w:val="nil"/>
              <w:bottom w:val="single" w:sz="4" w:space="0" w:color="auto"/>
              <w:right w:val="single" w:sz="8" w:space="0" w:color="auto"/>
              <w:tl2br w:val="nil"/>
              <w:tr2bl w:val="nil"/>
            </w:tcBorders>
            <w:noWrap/>
            <w:textDirection w:val="lrTb"/>
            <w:vAlign w:val="center"/>
          </w:tcPr>
          <w:p w:rsidR="00CF68BA" w:rsidRPr="00CF68BA" w:rsidP="00CF68BA">
            <w:pPr>
              <w:spacing w:line="240" w:lineRule="auto"/>
              <w:jc w:val="center"/>
              <w:rPr>
                <w:rFonts w:ascii="Arial Narrow" w:hAnsi="Arial Narrow" w:cs="Times New Roman"/>
              </w:rPr>
            </w:pPr>
            <w:r w:rsidRPr="00CF68BA">
              <w:rPr>
                <w:rFonts w:ascii="Arial Narrow" w:hAnsi="Arial Narrow" w:cs="Times New Roman"/>
              </w:rPr>
              <w:t>0,300</w:t>
            </w:r>
          </w:p>
        </w:tc>
        <w:tc>
          <w:tcPr>
            <w:tcW w:w="1660" w:type="dxa"/>
            <w:tcBorders>
              <w:top w:val="nil"/>
              <w:left w:val="nil"/>
              <w:bottom w:val="single" w:sz="4" w:space="0" w:color="auto"/>
              <w:right w:val="single" w:sz="8" w:space="0" w:color="auto"/>
              <w:tl2br w:val="nil"/>
              <w:tr2bl w:val="nil"/>
            </w:tcBorders>
            <w:noWrap/>
            <w:textDirection w:val="lrTb"/>
            <w:vAlign w:val="center"/>
          </w:tcPr>
          <w:p w:rsidR="00CF68BA" w:rsidRPr="00CF68BA" w:rsidP="00CF68BA">
            <w:pPr>
              <w:spacing w:line="240" w:lineRule="auto"/>
              <w:jc w:val="right"/>
              <w:rPr>
                <w:rFonts w:ascii="Arial Narrow" w:hAnsi="Arial Narrow" w:cs="Times New Roman"/>
              </w:rPr>
            </w:pPr>
            <w:r w:rsidRPr="00CF68BA">
              <w:rPr>
                <w:rFonts w:ascii="Arial Narrow" w:hAnsi="Arial Narrow" w:cs="Times New Roman"/>
              </w:rPr>
              <w:t>2 092,000</w:t>
            </w:r>
          </w:p>
        </w:tc>
      </w:tr>
      <w:tr>
        <w:tblPrEx>
          <w:tblW w:w="9240" w:type="dxa"/>
          <w:tblInd w:w="93" w:type="dxa"/>
        </w:tblPrEx>
        <w:trPr>
          <w:trHeight w:val="227"/>
        </w:trPr>
        <w:tc>
          <w:tcPr>
            <w:tcW w:w="1440" w:type="dxa"/>
            <w:tcBorders>
              <w:top w:val="nil"/>
              <w:left w:val="single" w:sz="8" w:space="0" w:color="auto"/>
              <w:bottom w:val="single" w:sz="8" w:space="0" w:color="auto"/>
              <w:right w:val="nil"/>
              <w:tl2br w:val="nil"/>
              <w:tr2bl w:val="nil"/>
            </w:tcBorders>
            <w:noWrap/>
            <w:textDirection w:val="lrTb"/>
            <w:vAlign w:val="center"/>
          </w:tcPr>
          <w:p w:rsidR="00CF68BA" w:rsidRPr="00CF68BA" w:rsidP="00CF68BA">
            <w:pPr>
              <w:spacing w:line="240" w:lineRule="auto"/>
              <w:jc w:val="center"/>
              <w:rPr>
                <w:rFonts w:ascii="Arial Narrow" w:hAnsi="Arial Narrow" w:cs="Times New Roman"/>
              </w:rPr>
            </w:pPr>
            <w:r w:rsidRPr="00CF68BA">
              <w:rPr>
                <w:rFonts w:ascii="Arial Narrow" w:hAnsi="Arial Narrow" w:cs="Times New Roman"/>
              </w:rPr>
              <w:t>Trnava</w:t>
            </w:r>
          </w:p>
        </w:tc>
        <w:tc>
          <w:tcPr>
            <w:tcW w:w="4480" w:type="dxa"/>
            <w:tcBorders>
              <w:top w:val="nil"/>
              <w:left w:val="single" w:sz="8" w:space="0" w:color="auto"/>
              <w:bottom w:val="single" w:sz="8" w:space="0" w:color="auto"/>
              <w:right w:val="single" w:sz="8" w:space="0" w:color="auto"/>
              <w:tl2br w:val="nil"/>
              <w:tr2bl w:val="nil"/>
            </w:tcBorders>
            <w:noWrap/>
            <w:textDirection w:val="lrTb"/>
            <w:vAlign w:val="center"/>
          </w:tcPr>
          <w:p w:rsidR="00CF68BA" w:rsidRPr="00CF68BA" w:rsidP="00CF68BA">
            <w:pPr>
              <w:spacing w:line="240" w:lineRule="auto"/>
              <w:rPr>
                <w:rFonts w:ascii="Arial Narrow" w:hAnsi="Arial Narrow" w:cs="Times New Roman"/>
              </w:rPr>
            </w:pPr>
            <w:r w:rsidRPr="00CF68BA">
              <w:rPr>
                <w:rFonts w:ascii="Arial Narrow" w:hAnsi="Arial Narrow" w:cs="Times New Roman"/>
              </w:rPr>
              <w:t xml:space="preserve"> I/51 Boleráz- Klčovany - oprava cesty</w:t>
            </w:r>
          </w:p>
        </w:tc>
        <w:tc>
          <w:tcPr>
            <w:tcW w:w="1660" w:type="dxa"/>
            <w:tcBorders>
              <w:top w:val="nil"/>
              <w:left w:val="nil"/>
              <w:bottom w:val="single" w:sz="8" w:space="0" w:color="auto"/>
              <w:right w:val="single" w:sz="8" w:space="0" w:color="auto"/>
              <w:tl2br w:val="nil"/>
              <w:tr2bl w:val="nil"/>
            </w:tcBorders>
            <w:noWrap/>
            <w:textDirection w:val="lrTb"/>
            <w:vAlign w:val="center"/>
          </w:tcPr>
          <w:p w:rsidR="00CF68BA" w:rsidRPr="00CF68BA" w:rsidP="00CF68BA">
            <w:pPr>
              <w:spacing w:line="240" w:lineRule="auto"/>
              <w:jc w:val="center"/>
              <w:rPr>
                <w:rFonts w:ascii="Arial Narrow" w:hAnsi="Arial Narrow" w:cs="Times New Roman"/>
              </w:rPr>
            </w:pPr>
            <w:r w:rsidRPr="00CF68BA">
              <w:rPr>
                <w:rFonts w:ascii="Arial Narrow" w:hAnsi="Arial Narrow" w:cs="Times New Roman"/>
              </w:rPr>
              <w:t>0,450</w:t>
            </w:r>
          </w:p>
        </w:tc>
        <w:tc>
          <w:tcPr>
            <w:tcW w:w="1660" w:type="dxa"/>
            <w:tcBorders>
              <w:top w:val="nil"/>
              <w:left w:val="nil"/>
              <w:bottom w:val="single" w:sz="8" w:space="0" w:color="auto"/>
              <w:right w:val="single" w:sz="8" w:space="0" w:color="auto"/>
              <w:tl2br w:val="nil"/>
              <w:tr2bl w:val="nil"/>
            </w:tcBorders>
            <w:noWrap/>
            <w:textDirection w:val="lrTb"/>
            <w:vAlign w:val="center"/>
          </w:tcPr>
          <w:p w:rsidR="00CF68BA" w:rsidRPr="00CF68BA" w:rsidP="00CF68BA">
            <w:pPr>
              <w:spacing w:line="240" w:lineRule="auto"/>
              <w:jc w:val="right"/>
              <w:rPr>
                <w:rFonts w:ascii="Arial Narrow" w:hAnsi="Arial Narrow" w:cs="Times New Roman"/>
              </w:rPr>
            </w:pPr>
            <w:r w:rsidRPr="00CF68BA">
              <w:rPr>
                <w:rFonts w:ascii="Arial Narrow" w:hAnsi="Arial Narrow" w:cs="Times New Roman"/>
              </w:rPr>
              <w:t>1 990,000</w:t>
            </w:r>
          </w:p>
        </w:tc>
      </w:tr>
      <w:tr>
        <w:tblPrEx>
          <w:tblW w:w="9240" w:type="dxa"/>
          <w:tblInd w:w="93" w:type="dxa"/>
        </w:tblPrEx>
        <w:trPr>
          <w:trHeight w:val="227"/>
        </w:trPr>
        <w:tc>
          <w:tcPr>
            <w:tcW w:w="1440" w:type="dxa"/>
            <w:tcBorders>
              <w:top w:val="single" w:sz="8" w:space="0" w:color="auto"/>
              <w:left w:val="single" w:sz="8" w:space="0" w:color="auto"/>
              <w:bottom w:val="single" w:sz="8" w:space="0" w:color="auto"/>
              <w:right w:val="nil"/>
              <w:tl2br w:val="nil"/>
              <w:tr2bl w:val="nil"/>
            </w:tcBorders>
            <w:shd w:val="clear" w:color="auto" w:fill="C0C0C0"/>
            <w:noWrap/>
            <w:textDirection w:val="lrTb"/>
            <w:vAlign w:val="center"/>
          </w:tcPr>
          <w:p w:rsidR="00CF68BA" w:rsidRPr="00CF68BA" w:rsidP="00CF68BA">
            <w:pPr>
              <w:spacing w:line="240" w:lineRule="auto"/>
              <w:rPr>
                <w:rFonts w:ascii="Arial Narrow" w:hAnsi="Arial Narrow" w:cs="Times New Roman"/>
                <w:i/>
              </w:rPr>
            </w:pPr>
            <w:r w:rsidRPr="00CF68BA">
              <w:rPr>
                <w:rFonts w:ascii="Arial Narrow" w:hAnsi="Arial Narrow" w:cs="Times New Roman"/>
                <w:i/>
              </w:rPr>
              <w:t> </w:t>
            </w:r>
          </w:p>
        </w:tc>
        <w:tc>
          <w:tcPr>
            <w:tcW w:w="4480" w:type="dxa"/>
            <w:tcBorders>
              <w:top w:val="single" w:sz="8" w:space="0" w:color="auto"/>
              <w:left w:val="single" w:sz="8" w:space="0" w:color="auto"/>
              <w:bottom w:val="single" w:sz="8" w:space="0" w:color="auto"/>
              <w:right w:val="single" w:sz="8" w:space="0" w:color="auto"/>
              <w:tl2br w:val="nil"/>
              <w:tr2bl w:val="nil"/>
            </w:tcBorders>
            <w:shd w:val="clear" w:color="auto" w:fill="C0C0C0"/>
            <w:noWrap/>
            <w:textDirection w:val="lrTb"/>
            <w:vAlign w:val="center"/>
          </w:tcPr>
          <w:p w:rsidR="00CF68BA" w:rsidRPr="00D32A76" w:rsidP="00CF68BA">
            <w:pPr>
              <w:spacing w:line="240" w:lineRule="auto"/>
              <w:rPr>
                <w:rFonts w:ascii="Arial Narrow" w:hAnsi="Arial Narrow" w:cs="Times New Roman"/>
                <w:b/>
                <w:bCs/>
                <w:sz w:val="24"/>
                <w:szCs w:val="24"/>
              </w:rPr>
            </w:pPr>
            <w:r w:rsidRPr="00D32A76">
              <w:rPr>
                <w:rFonts w:ascii="Arial Narrow" w:hAnsi="Arial Narrow" w:cs="Times New Roman"/>
                <w:b/>
                <w:bCs/>
                <w:sz w:val="24"/>
                <w:szCs w:val="24"/>
              </w:rPr>
              <w:t>SPOLU</w:t>
            </w:r>
          </w:p>
        </w:tc>
        <w:tc>
          <w:tcPr>
            <w:tcW w:w="1660" w:type="dxa"/>
            <w:tcBorders>
              <w:top w:val="single" w:sz="8" w:space="0" w:color="auto"/>
              <w:left w:val="nil"/>
              <w:bottom w:val="single" w:sz="8" w:space="0" w:color="auto"/>
              <w:right w:val="single" w:sz="8" w:space="0" w:color="auto"/>
              <w:tl2br w:val="nil"/>
              <w:tr2bl w:val="nil"/>
            </w:tcBorders>
            <w:shd w:val="clear" w:color="auto" w:fill="C0C0C0"/>
            <w:noWrap/>
            <w:textDirection w:val="lrTb"/>
            <w:vAlign w:val="center"/>
          </w:tcPr>
          <w:p w:rsidR="00CF68BA" w:rsidRPr="00D32A76" w:rsidP="00CF68BA">
            <w:pPr>
              <w:spacing w:line="240" w:lineRule="auto"/>
              <w:jc w:val="center"/>
              <w:rPr>
                <w:rFonts w:ascii="Arial Narrow" w:hAnsi="Arial Narrow" w:cs="Times New Roman"/>
                <w:b/>
                <w:bCs/>
                <w:iCs/>
                <w:sz w:val="24"/>
                <w:szCs w:val="24"/>
              </w:rPr>
            </w:pPr>
            <w:r w:rsidRPr="00D32A76">
              <w:rPr>
                <w:rFonts w:ascii="Arial Narrow" w:hAnsi="Arial Narrow" w:cs="Times New Roman"/>
                <w:b/>
                <w:bCs/>
                <w:iCs/>
                <w:sz w:val="24"/>
                <w:szCs w:val="24"/>
              </w:rPr>
              <w:t>21,010</w:t>
            </w:r>
          </w:p>
        </w:tc>
        <w:tc>
          <w:tcPr>
            <w:tcW w:w="1660" w:type="dxa"/>
            <w:tcBorders>
              <w:top w:val="single" w:sz="8" w:space="0" w:color="auto"/>
              <w:left w:val="single" w:sz="4" w:space="0" w:color="auto"/>
              <w:bottom w:val="single" w:sz="8" w:space="0" w:color="auto"/>
              <w:right w:val="single" w:sz="8" w:space="0" w:color="auto"/>
              <w:tl2br w:val="nil"/>
              <w:tr2bl w:val="nil"/>
            </w:tcBorders>
            <w:shd w:val="clear" w:color="auto" w:fill="C0C0C0"/>
            <w:noWrap/>
            <w:textDirection w:val="lrTb"/>
            <w:vAlign w:val="center"/>
          </w:tcPr>
          <w:p w:rsidR="00CF68BA" w:rsidRPr="00D32A76" w:rsidP="00CF68BA">
            <w:pPr>
              <w:spacing w:line="240" w:lineRule="auto"/>
              <w:jc w:val="right"/>
              <w:rPr>
                <w:rFonts w:ascii="Arial Narrow" w:hAnsi="Arial Narrow" w:cs="Times New Roman"/>
                <w:b/>
                <w:bCs/>
                <w:iCs/>
                <w:sz w:val="24"/>
                <w:szCs w:val="24"/>
              </w:rPr>
            </w:pPr>
            <w:r w:rsidRPr="00D32A76">
              <w:rPr>
                <w:rFonts w:ascii="Arial Narrow" w:hAnsi="Arial Narrow" w:cs="Times New Roman"/>
                <w:b/>
                <w:bCs/>
                <w:iCs/>
                <w:sz w:val="24"/>
                <w:szCs w:val="24"/>
              </w:rPr>
              <w:t>71 939,000</w:t>
            </w:r>
          </w:p>
        </w:tc>
      </w:tr>
    </w:tbl>
    <w:p w:rsidR="00CF68BA" w:rsidP="00CF68BA">
      <w:pPr>
        <w:pStyle w:val="BodyTextIndent"/>
        <w:spacing w:line="240" w:lineRule="auto"/>
        <w:ind w:firstLine="0"/>
        <w:rPr>
          <w:rFonts w:ascii="Times New Roman" w:hAnsi="Times New Roman" w:cs="Times New Roman"/>
          <w:sz w:val="24"/>
          <w:szCs w:val="24"/>
        </w:rPr>
      </w:pPr>
    </w:p>
    <w:p w:rsidR="00CF68BA" w:rsidRPr="00CF68BA" w:rsidP="00CF68BA">
      <w:pPr>
        <w:pStyle w:val="BodyTextIndent"/>
        <w:spacing w:line="240" w:lineRule="auto"/>
        <w:rPr>
          <w:rFonts w:ascii="Times New Roman" w:hAnsi="Times New Roman" w:cs="Times New Roman"/>
          <w:sz w:val="24"/>
          <w:szCs w:val="24"/>
        </w:rPr>
      </w:pPr>
      <w:r w:rsidR="005C1517">
        <w:rPr>
          <w:rFonts w:ascii="Times New Roman" w:hAnsi="Times New Roman" w:cs="Times New Roman"/>
          <w:sz w:val="24"/>
          <w:szCs w:val="24"/>
        </w:rPr>
        <w:t xml:space="preserve">Čerpanie prostriedkov na úrovni </w:t>
      </w:r>
      <w:r w:rsidRPr="00CE4A3A" w:rsidR="005C1517">
        <w:rPr>
          <w:rFonts w:ascii="Times New Roman" w:hAnsi="Times New Roman" w:cs="Times New Roman"/>
          <w:b/>
          <w:sz w:val="24"/>
          <w:szCs w:val="24"/>
        </w:rPr>
        <w:t>39 073 910,- Sk</w:t>
      </w:r>
      <w:r w:rsidR="005C1517">
        <w:rPr>
          <w:rFonts w:ascii="Times New Roman" w:hAnsi="Times New Roman" w:cs="Times New Roman"/>
          <w:sz w:val="24"/>
          <w:szCs w:val="24"/>
        </w:rPr>
        <w:t xml:space="preserve"> umožnilo vykonať obnovu</w:t>
      </w:r>
      <w:r>
        <w:rPr>
          <w:rFonts w:ascii="Times New Roman" w:hAnsi="Times New Roman" w:cs="Times New Roman"/>
          <w:sz w:val="24"/>
          <w:szCs w:val="24"/>
        </w:rPr>
        <w:t xml:space="preserve"> vodorovného dopravného značenia </w:t>
      </w:r>
      <w:r w:rsidR="006D2832">
        <w:rPr>
          <w:rFonts w:ascii="Times New Roman" w:hAnsi="Times New Roman" w:cs="Times New Roman"/>
          <w:sz w:val="24"/>
          <w:szCs w:val="24"/>
        </w:rPr>
        <w:t xml:space="preserve">(VDZ) </w:t>
      </w:r>
      <w:r>
        <w:rPr>
          <w:rFonts w:ascii="Times New Roman" w:hAnsi="Times New Roman" w:cs="Times New Roman"/>
          <w:sz w:val="24"/>
          <w:szCs w:val="24"/>
        </w:rPr>
        <w:t xml:space="preserve">v </w:t>
      </w:r>
      <w:r w:rsidRPr="00CF68BA">
        <w:rPr>
          <w:rFonts w:ascii="Times New Roman" w:hAnsi="Times New Roman" w:cs="Times New Roman"/>
          <w:sz w:val="24"/>
          <w:szCs w:val="24"/>
        </w:rPr>
        <w:t xml:space="preserve">celkovej dĺžke </w:t>
      </w:r>
      <w:smartTag w:uri="urn:schemas-microsoft-com:office:smarttags" w:element="metricconverter">
        <w:smartTagPr>
          <w:attr w:name="ProductID" w:val="812,187 km"/>
        </w:smartTagPr>
        <w:r w:rsidRPr="00CF68BA">
          <w:rPr>
            <w:rFonts w:ascii="Times New Roman" w:hAnsi="Times New Roman" w:cs="Times New Roman"/>
            <w:sz w:val="24"/>
            <w:szCs w:val="24"/>
          </w:rPr>
          <w:t>812,187 km</w:t>
        </w:r>
      </w:smartTag>
      <w:r w:rsidRPr="00CF68BA">
        <w:rPr>
          <w:rFonts w:ascii="Times New Roman" w:hAnsi="Times New Roman" w:cs="Times New Roman"/>
          <w:sz w:val="24"/>
          <w:szCs w:val="24"/>
        </w:rPr>
        <w:t>.</w:t>
      </w:r>
    </w:p>
    <w:p w:rsidR="00CF68BA" w:rsidRPr="00CF68BA" w:rsidP="00CF68BA">
      <w:pPr>
        <w:pStyle w:val="BodyTextIndent"/>
        <w:spacing w:line="240" w:lineRule="auto"/>
        <w:rPr>
          <w:rFonts w:ascii="Times New Roman" w:hAnsi="Times New Roman" w:cs="Times New Roman"/>
          <w:sz w:val="24"/>
          <w:szCs w:val="24"/>
        </w:rPr>
      </w:pPr>
    </w:p>
    <w:p w:rsidR="00CF68BA" w:rsidRPr="00CF68BA" w:rsidP="00CF68BA">
      <w:pPr>
        <w:spacing w:line="240" w:lineRule="auto"/>
        <w:rPr>
          <w:rFonts w:ascii="Times New Roman" w:hAnsi="Times New Roman" w:cs="Times New Roman"/>
          <w:b/>
          <w:sz w:val="24"/>
          <w:szCs w:val="24"/>
          <w:u w:val="single"/>
        </w:rPr>
      </w:pPr>
      <w:r w:rsidRPr="00CF68BA">
        <w:rPr>
          <w:rFonts w:ascii="Times New Roman" w:hAnsi="Times New Roman" w:cs="Times New Roman"/>
          <w:b/>
          <w:sz w:val="24"/>
          <w:szCs w:val="24"/>
          <w:u w:val="single"/>
        </w:rPr>
        <w:t>IVSC Banská Bystrica</w:t>
      </w:r>
    </w:p>
    <w:p w:rsidR="00CF68BA" w:rsidRPr="00CF68BA" w:rsidP="00CF68BA">
      <w:pPr>
        <w:spacing w:line="240" w:lineRule="auto"/>
        <w:rPr>
          <w:rFonts w:ascii="Times New Roman" w:hAnsi="Times New Roman" w:cs="Times New Roman"/>
          <w:b/>
          <w:sz w:val="24"/>
          <w:szCs w:val="24"/>
          <w:u w:val="single"/>
        </w:rPr>
      </w:pPr>
    </w:p>
    <w:p w:rsidR="00CF68BA" w:rsidP="000B2D82">
      <w:pPr>
        <w:spacing w:line="240" w:lineRule="auto"/>
        <w:ind w:firstLine="708"/>
        <w:rPr>
          <w:rFonts w:ascii="Times New Roman" w:hAnsi="Times New Roman" w:cs="Times New Roman"/>
          <w:sz w:val="24"/>
          <w:szCs w:val="24"/>
        </w:rPr>
      </w:pPr>
      <w:r w:rsidRPr="00CF68BA">
        <w:rPr>
          <w:rFonts w:ascii="Times New Roman" w:hAnsi="Times New Roman" w:cs="Times New Roman"/>
          <w:sz w:val="24"/>
          <w:szCs w:val="24"/>
        </w:rPr>
        <w:t>Celkovo boli v roku 2007 realizo</w:t>
      </w:r>
      <w:r w:rsidR="006D2832">
        <w:rPr>
          <w:rFonts w:ascii="Times New Roman" w:hAnsi="Times New Roman" w:cs="Times New Roman"/>
          <w:sz w:val="24"/>
          <w:szCs w:val="24"/>
        </w:rPr>
        <w:t>vané opravy 2 súvislých úsekov v</w:t>
      </w:r>
      <w:r w:rsidRPr="00CF68BA">
        <w:rPr>
          <w:rFonts w:ascii="Times New Roman" w:hAnsi="Times New Roman" w:cs="Times New Roman"/>
          <w:sz w:val="24"/>
          <w:szCs w:val="24"/>
        </w:rPr>
        <w:t xml:space="preserve"> dĺž</w:t>
      </w:r>
      <w:r w:rsidRPr="00CF68BA">
        <w:rPr>
          <w:rFonts w:ascii="Times New Roman" w:hAnsi="Times New Roman" w:cs="Times New Roman"/>
          <w:sz w:val="24"/>
          <w:szCs w:val="24"/>
        </w:rPr>
        <w:t>ke 3,850 km, oprava 1 mostného</w:t>
      </w:r>
      <w:r w:rsidR="005C1517">
        <w:rPr>
          <w:rFonts w:ascii="Times New Roman" w:hAnsi="Times New Roman" w:cs="Times New Roman"/>
          <w:sz w:val="24"/>
          <w:szCs w:val="24"/>
        </w:rPr>
        <w:t xml:space="preserve"> objektu a oprava 3 priepustov. </w:t>
      </w:r>
    </w:p>
    <w:p w:rsidR="00B27788" w:rsidRPr="00CF68BA" w:rsidP="000B2D82">
      <w:pPr>
        <w:spacing w:line="240" w:lineRule="auto"/>
        <w:ind w:firstLine="708"/>
        <w:rPr>
          <w:rFonts w:ascii="Times New Roman" w:hAnsi="Times New Roman" w:cs="Times New Roman"/>
          <w:sz w:val="24"/>
          <w:szCs w:val="24"/>
        </w:rPr>
      </w:pPr>
    </w:p>
    <w:p w:rsidR="00CF68BA" w:rsidP="005C1517">
      <w:pPr>
        <w:spacing w:line="240" w:lineRule="auto"/>
        <w:jc w:val="center"/>
        <w:rPr>
          <w:rFonts w:ascii="Times New Roman" w:hAnsi="Times New Roman" w:cs="Times New Roman"/>
          <w:sz w:val="24"/>
          <w:szCs w:val="24"/>
        </w:rPr>
      </w:pPr>
      <w:r w:rsidRPr="00CF68BA">
        <w:rPr>
          <w:rFonts w:ascii="Times New Roman" w:hAnsi="Times New Roman" w:cs="Times New Roman"/>
          <w:sz w:val="24"/>
          <w:szCs w:val="24"/>
        </w:rPr>
        <w:t>Konkrétne boli realizované práce na stavbách z nasledujúceho prehľadu:</w:t>
      </w:r>
    </w:p>
    <w:p w:rsidR="005C1517" w:rsidRPr="00CF68BA" w:rsidP="005C1517">
      <w:pPr>
        <w:spacing w:line="240" w:lineRule="auto"/>
        <w:jc w:val="center"/>
        <w:rPr>
          <w:rFonts w:ascii="Times New Roman" w:hAnsi="Times New Roman" w:cs="Times New Roman"/>
          <w:sz w:val="24"/>
          <w:szCs w:val="24"/>
        </w:rPr>
      </w:pPr>
    </w:p>
    <w:tbl>
      <w:tblPr>
        <w:tblW w:w="9435" w:type="dxa"/>
        <w:tblInd w:w="93" w:type="dxa"/>
      </w:tblPr>
      <w:tblGrid>
        <w:gridCol w:w="1635"/>
        <w:gridCol w:w="4480"/>
        <w:gridCol w:w="1660"/>
        <w:gridCol w:w="1660"/>
      </w:tblGrid>
      <w:tr>
        <w:tblPrEx>
          <w:tblW w:w="9435" w:type="dxa"/>
          <w:tblInd w:w="93" w:type="dxa"/>
        </w:tblPrEx>
        <w:trPr>
          <w:trHeight w:hRule="exact" w:val="284"/>
        </w:trPr>
        <w:tc>
          <w:tcPr>
            <w:tcW w:w="1635" w:type="dxa"/>
            <w:vMerge w:val="restart"/>
            <w:tcBorders>
              <w:top w:val="single" w:sz="8" w:space="0" w:color="auto"/>
              <w:left w:val="single" w:sz="8" w:space="0" w:color="auto"/>
              <w:bottom w:val="single" w:sz="8" w:space="0" w:color="000000"/>
              <w:right w:val="nil"/>
              <w:tl2br w:val="nil"/>
              <w:tr2bl w:val="nil"/>
            </w:tcBorders>
            <w:shd w:val="clear" w:color="auto" w:fill="C0C0C0"/>
            <w:textDirection w:val="lrTb"/>
            <w:vAlign w:val="center"/>
          </w:tcPr>
          <w:p w:rsidR="00CF68BA" w:rsidRPr="00D32A76" w:rsidP="00CF68BA">
            <w:pPr>
              <w:spacing w:line="240" w:lineRule="auto"/>
              <w:jc w:val="center"/>
              <w:rPr>
                <w:rFonts w:ascii="Arial Narrow" w:hAnsi="Arial Narrow" w:cs="Times New Roman"/>
                <w:b/>
                <w:bCs/>
                <w:iCs/>
                <w:sz w:val="24"/>
                <w:szCs w:val="24"/>
              </w:rPr>
            </w:pPr>
            <w:r w:rsidRPr="00D32A76">
              <w:rPr>
                <w:rFonts w:ascii="Arial Narrow" w:hAnsi="Arial Narrow" w:cs="Times New Roman"/>
                <w:b/>
                <w:bCs/>
                <w:iCs/>
                <w:sz w:val="24"/>
                <w:szCs w:val="24"/>
              </w:rPr>
              <w:t>Okres</w:t>
            </w:r>
          </w:p>
        </w:tc>
        <w:tc>
          <w:tcPr>
            <w:tcW w:w="4480" w:type="dxa"/>
            <w:vMerge w:val="restart"/>
            <w:tcBorders>
              <w:top w:val="single" w:sz="8" w:space="0" w:color="auto"/>
              <w:left w:val="single" w:sz="8" w:space="0" w:color="auto"/>
              <w:bottom w:val="single" w:sz="8" w:space="0" w:color="000000"/>
              <w:right w:val="single" w:sz="8" w:space="0" w:color="auto"/>
              <w:tl2br w:val="nil"/>
              <w:tr2bl w:val="nil"/>
            </w:tcBorders>
            <w:shd w:val="clear" w:color="auto" w:fill="C0C0C0"/>
            <w:textDirection w:val="lrTb"/>
            <w:vAlign w:val="center"/>
          </w:tcPr>
          <w:p w:rsidR="00CF68BA" w:rsidRPr="00D32A76" w:rsidP="00CF68BA">
            <w:pPr>
              <w:spacing w:line="240" w:lineRule="auto"/>
              <w:jc w:val="center"/>
              <w:rPr>
                <w:rFonts w:ascii="Arial Narrow" w:hAnsi="Arial Narrow" w:cs="Times New Roman"/>
                <w:b/>
                <w:bCs/>
                <w:iCs/>
                <w:sz w:val="24"/>
                <w:szCs w:val="24"/>
              </w:rPr>
            </w:pPr>
            <w:r w:rsidRPr="00D32A76">
              <w:rPr>
                <w:rFonts w:ascii="Arial Narrow" w:hAnsi="Arial Narrow" w:cs="Times New Roman"/>
                <w:b/>
                <w:bCs/>
                <w:iCs/>
                <w:sz w:val="24"/>
                <w:szCs w:val="24"/>
              </w:rPr>
              <w:t>Druh opravy</w:t>
            </w:r>
          </w:p>
        </w:tc>
        <w:tc>
          <w:tcPr>
            <w:tcW w:w="1660" w:type="dxa"/>
            <w:vMerge w:val="restart"/>
            <w:tcBorders>
              <w:top w:val="single" w:sz="8" w:space="0" w:color="auto"/>
              <w:left w:val="single" w:sz="8" w:space="0" w:color="auto"/>
              <w:bottom w:val="single" w:sz="8" w:space="0" w:color="000000"/>
              <w:right w:val="single" w:sz="8" w:space="0" w:color="auto"/>
              <w:tl2br w:val="nil"/>
              <w:tr2bl w:val="nil"/>
            </w:tcBorders>
            <w:shd w:val="clear" w:color="auto" w:fill="C0C0C0"/>
            <w:textDirection w:val="lrTb"/>
            <w:vAlign w:val="center"/>
          </w:tcPr>
          <w:p w:rsidR="00CF68BA" w:rsidRPr="00D32A76" w:rsidP="00CF68BA">
            <w:pPr>
              <w:spacing w:line="240" w:lineRule="auto"/>
              <w:jc w:val="center"/>
              <w:rPr>
                <w:rFonts w:ascii="Arial Narrow" w:hAnsi="Arial Narrow" w:cs="Times New Roman"/>
                <w:b/>
                <w:bCs/>
                <w:iCs/>
                <w:sz w:val="24"/>
                <w:szCs w:val="24"/>
              </w:rPr>
            </w:pPr>
            <w:r w:rsidRPr="00D32A76">
              <w:rPr>
                <w:rFonts w:ascii="Arial Narrow" w:hAnsi="Arial Narrow" w:cs="Times New Roman"/>
                <w:b/>
                <w:bCs/>
                <w:iCs/>
                <w:sz w:val="24"/>
                <w:szCs w:val="24"/>
              </w:rPr>
              <w:t>Dĺžka úpravy       (km)</w:t>
            </w:r>
          </w:p>
        </w:tc>
        <w:tc>
          <w:tcPr>
            <w:tcW w:w="1660" w:type="dxa"/>
            <w:vMerge w:val="restart"/>
            <w:tcBorders>
              <w:top w:val="single" w:sz="8" w:space="0" w:color="auto"/>
              <w:left w:val="single" w:sz="8" w:space="0" w:color="auto"/>
              <w:bottom w:val="single" w:sz="8" w:space="0" w:color="000000"/>
              <w:right w:val="single" w:sz="8" w:space="0" w:color="auto"/>
              <w:tl2br w:val="nil"/>
              <w:tr2bl w:val="nil"/>
            </w:tcBorders>
            <w:shd w:val="clear" w:color="auto" w:fill="C0C0C0"/>
            <w:textDirection w:val="lrTb"/>
            <w:vAlign w:val="center"/>
          </w:tcPr>
          <w:p w:rsidR="00CF68BA" w:rsidRPr="00D32A76" w:rsidP="00D32A76">
            <w:pPr>
              <w:spacing w:line="240" w:lineRule="auto"/>
              <w:jc w:val="center"/>
              <w:rPr>
                <w:rFonts w:ascii="Arial Narrow" w:hAnsi="Arial Narrow" w:cs="Times New Roman"/>
                <w:b/>
                <w:bCs/>
                <w:iCs/>
                <w:sz w:val="24"/>
                <w:szCs w:val="24"/>
              </w:rPr>
            </w:pPr>
            <w:r w:rsidRPr="00D32A76">
              <w:rPr>
                <w:rFonts w:ascii="Arial Narrow" w:hAnsi="Arial Narrow" w:cs="Times New Roman"/>
                <w:b/>
                <w:bCs/>
                <w:iCs/>
                <w:sz w:val="24"/>
                <w:szCs w:val="24"/>
              </w:rPr>
              <w:t>Náklad s DPH       (tis.Sk)</w:t>
            </w:r>
          </w:p>
        </w:tc>
      </w:tr>
      <w:tr>
        <w:tblPrEx>
          <w:tblW w:w="9435" w:type="dxa"/>
          <w:tblInd w:w="93" w:type="dxa"/>
        </w:tblPrEx>
        <w:trPr>
          <w:trHeight w:val="360"/>
        </w:trPr>
        <w:tc>
          <w:tcPr>
            <w:tcW w:w="1635" w:type="dxa"/>
            <w:vMerge/>
            <w:tcBorders>
              <w:top w:val="single" w:sz="8" w:space="0" w:color="auto"/>
              <w:left w:val="single" w:sz="8" w:space="0" w:color="auto"/>
              <w:bottom w:val="single" w:sz="8" w:space="0" w:color="000000"/>
              <w:right w:val="nil"/>
              <w:tl2br w:val="nil"/>
              <w:tr2bl w:val="nil"/>
            </w:tcBorders>
            <w:textDirection w:val="lrTb"/>
            <w:vAlign w:val="center"/>
          </w:tcPr>
          <w:p w:rsidR="00CF68BA" w:rsidRPr="00D32A76" w:rsidP="00CF68BA">
            <w:pPr>
              <w:spacing w:line="240" w:lineRule="auto"/>
              <w:rPr>
                <w:rFonts w:ascii="Arial Narrow" w:hAnsi="Arial Narrow" w:cs="Times New Roman"/>
                <w:b/>
                <w:bCs/>
                <w:i/>
                <w:iCs/>
              </w:rPr>
            </w:pPr>
          </w:p>
        </w:tc>
        <w:tc>
          <w:tcPr>
            <w:tcW w:w="4480" w:type="dxa"/>
            <w:vMerge/>
            <w:tcBorders>
              <w:top w:val="single" w:sz="8" w:space="0" w:color="auto"/>
              <w:left w:val="single" w:sz="8" w:space="0" w:color="auto"/>
              <w:bottom w:val="single" w:sz="8" w:space="0" w:color="000000"/>
              <w:right w:val="single" w:sz="8" w:space="0" w:color="auto"/>
              <w:tl2br w:val="nil"/>
              <w:tr2bl w:val="nil"/>
            </w:tcBorders>
            <w:textDirection w:val="lrTb"/>
            <w:vAlign w:val="center"/>
          </w:tcPr>
          <w:p w:rsidR="00CF68BA" w:rsidRPr="00D32A76" w:rsidP="00CF68BA">
            <w:pPr>
              <w:spacing w:line="240" w:lineRule="auto"/>
              <w:rPr>
                <w:rFonts w:ascii="Arial Narrow" w:hAnsi="Arial Narrow" w:cs="Times New Roman"/>
                <w:b/>
                <w:bCs/>
                <w:i/>
                <w:iCs/>
              </w:rPr>
            </w:pPr>
          </w:p>
        </w:tc>
        <w:tc>
          <w:tcPr>
            <w:tcW w:w="1660" w:type="dxa"/>
            <w:vMerge/>
            <w:tcBorders>
              <w:top w:val="single" w:sz="8" w:space="0" w:color="auto"/>
              <w:left w:val="single" w:sz="8" w:space="0" w:color="auto"/>
              <w:bottom w:val="single" w:sz="8" w:space="0" w:color="000000"/>
              <w:right w:val="single" w:sz="8" w:space="0" w:color="auto"/>
              <w:tl2br w:val="nil"/>
              <w:tr2bl w:val="nil"/>
            </w:tcBorders>
            <w:textDirection w:val="lrTb"/>
            <w:vAlign w:val="center"/>
          </w:tcPr>
          <w:p w:rsidR="00CF68BA" w:rsidRPr="00D32A76" w:rsidP="00CF68BA">
            <w:pPr>
              <w:spacing w:line="240" w:lineRule="auto"/>
              <w:rPr>
                <w:rFonts w:ascii="Arial Narrow" w:hAnsi="Arial Narrow" w:cs="Times New Roman"/>
                <w:b/>
                <w:bCs/>
                <w:i/>
                <w:iCs/>
              </w:rPr>
            </w:pPr>
          </w:p>
        </w:tc>
        <w:tc>
          <w:tcPr>
            <w:tcW w:w="1660" w:type="dxa"/>
            <w:vMerge/>
            <w:tcBorders>
              <w:top w:val="single" w:sz="8" w:space="0" w:color="auto"/>
              <w:left w:val="single" w:sz="8" w:space="0" w:color="auto"/>
              <w:bottom w:val="single" w:sz="8" w:space="0" w:color="000000"/>
              <w:right w:val="single" w:sz="8" w:space="0" w:color="auto"/>
              <w:tl2br w:val="nil"/>
              <w:tr2bl w:val="nil"/>
            </w:tcBorders>
            <w:textDirection w:val="lrTb"/>
            <w:vAlign w:val="center"/>
          </w:tcPr>
          <w:p w:rsidR="00CF68BA" w:rsidRPr="00D32A76" w:rsidP="00CF68BA">
            <w:pPr>
              <w:spacing w:line="240" w:lineRule="auto"/>
              <w:rPr>
                <w:rFonts w:ascii="Arial Narrow" w:hAnsi="Arial Narrow" w:cs="Times New Roman"/>
                <w:b/>
                <w:bCs/>
                <w:i/>
                <w:iCs/>
              </w:rPr>
            </w:pPr>
          </w:p>
        </w:tc>
      </w:tr>
      <w:tr>
        <w:tblPrEx>
          <w:tblW w:w="9435" w:type="dxa"/>
          <w:tblInd w:w="93" w:type="dxa"/>
        </w:tblPrEx>
        <w:trPr>
          <w:trHeight w:hRule="exact" w:val="227"/>
        </w:trPr>
        <w:tc>
          <w:tcPr>
            <w:tcW w:w="1635" w:type="dxa"/>
            <w:tcBorders>
              <w:top w:val="nil"/>
              <w:left w:val="single" w:sz="8" w:space="0" w:color="auto"/>
              <w:bottom w:val="single" w:sz="4" w:space="0" w:color="000000"/>
              <w:right w:val="nil"/>
              <w:tl2br w:val="nil"/>
              <w:tr2bl w:val="nil"/>
            </w:tcBorders>
            <w:textDirection w:val="lrTb"/>
            <w:vAlign w:val="center"/>
          </w:tcPr>
          <w:p w:rsidR="00CF68BA" w:rsidRPr="00D32A76" w:rsidP="006D2832">
            <w:pPr>
              <w:spacing w:line="240" w:lineRule="auto"/>
              <w:jc w:val="center"/>
              <w:rPr>
                <w:rFonts w:ascii="Arial Narrow" w:hAnsi="Arial Narrow" w:cs="Times New Roman"/>
              </w:rPr>
            </w:pPr>
            <w:r w:rsidRPr="00D32A76">
              <w:rPr>
                <w:rFonts w:ascii="Arial Narrow" w:hAnsi="Arial Narrow" w:cs="Times New Roman"/>
              </w:rPr>
              <w:t>B. Bystrica</w:t>
            </w:r>
          </w:p>
        </w:tc>
        <w:tc>
          <w:tcPr>
            <w:tcW w:w="4480" w:type="dxa"/>
            <w:tcBorders>
              <w:top w:val="nil"/>
              <w:left w:val="single" w:sz="8" w:space="0" w:color="auto"/>
              <w:bottom w:val="single" w:sz="4" w:space="0" w:color="auto"/>
              <w:right w:val="single" w:sz="8" w:space="0" w:color="auto"/>
              <w:tl2br w:val="nil"/>
              <w:tr2bl w:val="nil"/>
            </w:tcBorders>
            <w:textDirection w:val="lrTb"/>
            <w:vAlign w:val="center"/>
          </w:tcPr>
          <w:p w:rsidR="00CF68BA" w:rsidRPr="00D32A76" w:rsidP="00CF68BA">
            <w:pPr>
              <w:spacing w:line="240" w:lineRule="auto"/>
              <w:rPr>
                <w:rFonts w:ascii="Arial Narrow" w:hAnsi="Arial Narrow" w:cs="Times New Roman"/>
              </w:rPr>
            </w:pPr>
            <w:r w:rsidRPr="00D32A76">
              <w:rPr>
                <w:rFonts w:ascii="Arial Narrow" w:hAnsi="Arial Narrow" w:cs="Times New Roman"/>
              </w:rPr>
              <w:t>I/14 oprava priepustu v km 4,060</w:t>
            </w:r>
          </w:p>
        </w:tc>
        <w:tc>
          <w:tcPr>
            <w:tcW w:w="1660" w:type="dxa"/>
            <w:tcBorders>
              <w:top w:val="single" w:sz="4" w:space="0" w:color="auto"/>
              <w:left w:val="nil"/>
              <w:bottom w:val="nil"/>
              <w:right w:val="single" w:sz="8" w:space="0" w:color="auto"/>
              <w:tl2br w:val="nil"/>
              <w:tr2bl w:val="nil"/>
            </w:tcBorders>
            <w:textDirection w:val="lrTb"/>
            <w:vAlign w:val="center"/>
          </w:tcPr>
          <w:p w:rsidR="00CF68BA" w:rsidRPr="00D32A76" w:rsidP="00CF68BA">
            <w:pPr>
              <w:spacing w:line="240" w:lineRule="auto"/>
              <w:jc w:val="center"/>
              <w:rPr>
                <w:rFonts w:ascii="Arial Narrow" w:hAnsi="Arial Narrow" w:cs="Times New Roman"/>
              </w:rPr>
            </w:pPr>
            <w:r w:rsidRPr="00D32A76">
              <w:rPr>
                <w:rFonts w:ascii="Arial Narrow" w:hAnsi="Arial Narrow" w:cs="Times New Roman"/>
              </w:rPr>
              <w:t>0,005</w:t>
            </w:r>
          </w:p>
        </w:tc>
        <w:tc>
          <w:tcPr>
            <w:tcW w:w="1660" w:type="dxa"/>
            <w:tcBorders>
              <w:top w:val="single" w:sz="4" w:space="0" w:color="auto"/>
              <w:left w:val="nil"/>
              <w:bottom w:val="nil"/>
              <w:right w:val="single" w:sz="8" w:space="0" w:color="auto"/>
              <w:tl2br w:val="nil"/>
              <w:tr2bl w:val="nil"/>
            </w:tcBorders>
            <w:textDirection w:val="lrTb"/>
            <w:vAlign w:val="center"/>
          </w:tcPr>
          <w:p w:rsidR="00CF68BA" w:rsidRPr="00D32A76" w:rsidP="00CF68BA">
            <w:pPr>
              <w:spacing w:line="240" w:lineRule="auto"/>
              <w:jc w:val="right"/>
              <w:rPr>
                <w:rFonts w:ascii="Arial Narrow" w:hAnsi="Arial Narrow" w:cs="Times New Roman"/>
              </w:rPr>
            </w:pPr>
            <w:r w:rsidRPr="00D32A76">
              <w:rPr>
                <w:rFonts w:ascii="Arial Narrow" w:hAnsi="Arial Narrow" w:cs="Times New Roman"/>
              </w:rPr>
              <w:t>980,482</w:t>
            </w:r>
          </w:p>
        </w:tc>
      </w:tr>
      <w:tr>
        <w:tblPrEx>
          <w:tblW w:w="9435" w:type="dxa"/>
          <w:tblInd w:w="93" w:type="dxa"/>
        </w:tblPrEx>
        <w:trPr>
          <w:trHeight w:hRule="exact" w:val="227"/>
        </w:trPr>
        <w:tc>
          <w:tcPr>
            <w:tcW w:w="1635" w:type="dxa"/>
            <w:vMerge w:val="restart"/>
            <w:tcBorders>
              <w:top w:val="nil"/>
              <w:left w:val="single" w:sz="8" w:space="0" w:color="auto"/>
              <w:bottom w:val="single" w:sz="4" w:space="0" w:color="000000"/>
              <w:right w:val="nil"/>
              <w:tl2br w:val="nil"/>
              <w:tr2bl w:val="nil"/>
            </w:tcBorders>
            <w:textDirection w:val="lrTb"/>
            <w:vAlign w:val="center"/>
          </w:tcPr>
          <w:p w:rsidR="00CF68BA" w:rsidRPr="00D32A76" w:rsidP="006D2832">
            <w:pPr>
              <w:spacing w:line="240" w:lineRule="auto"/>
              <w:jc w:val="center"/>
              <w:rPr>
                <w:rFonts w:ascii="Arial Narrow" w:hAnsi="Arial Narrow" w:cs="Times New Roman"/>
              </w:rPr>
            </w:pPr>
            <w:r w:rsidRPr="00D32A76">
              <w:rPr>
                <w:rFonts w:ascii="Arial Narrow" w:hAnsi="Arial Narrow" w:cs="Times New Roman"/>
              </w:rPr>
              <w:t>Brezno</w:t>
            </w:r>
          </w:p>
        </w:tc>
        <w:tc>
          <w:tcPr>
            <w:tcW w:w="4480" w:type="dxa"/>
            <w:tcBorders>
              <w:top w:val="nil"/>
              <w:left w:val="single" w:sz="8" w:space="0" w:color="auto"/>
              <w:bottom w:val="single" w:sz="4" w:space="0" w:color="auto"/>
              <w:right w:val="single" w:sz="8" w:space="0" w:color="auto"/>
              <w:tl2br w:val="nil"/>
              <w:tr2bl w:val="nil"/>
            </w:tcBorders>
            <w:textDirection w:val="lrTb"/>
            <w:vAlign w:val="center"/>
          </w:tcPr>
          <w:p w:rsidR="00CF68BA" w:rsidRPr="00D32A76" w:rsidP="00CF68BA">
            <w:pPr>
              <w:spacing w:line="240" w:lineRule="auto"/>
              <w:rPr>
                <w:rFonts w:ascii="Arial Narrow" w:hAnsi="Arial Narrow" w:cs="Times New Roman"/>
              </w:rPr>
            </w:pPr>
            <w:r w:rsidRPr="00D32A76">
              <w:rPr>
                <w:rFonts w:ascii="Arial Narrow" w:hAnsi="Arial Narrow" w:cs="Times New Roman"/>
              </w:rPr>
              <w:t>I/66 oprava mosta ev.č. 66-103 Valaská</w:t>
            </w:r>
          </w:p>
        </w:tc>
        <w:tc>
          <w:tcPr>
            <w:tcW w:w="1660" w:type="dxa"/>
            <w:tcBorders>
              <w:top w:val="single" w:sz="4" w:space="0" w:color="auto"/>
              <w:left w:val="nil"/>
              <w:bottom w:val="single" w:sz="4" w:space="0" w:color="auto"/>
              <w:right w:val="single" w:sz="8" w:space="0" w:color="auto"/>
              <w:tl2br w:val="nil"/>
              <w:tr2bl w:val="nil"/>
            </w:tcBorders>
            <w:noWrap/>
            <w:textDirection w:val="lrTb"/>
            <w:vAlign w:val="center"/>
          </w:tcPr>
          <w:p w:rsidR="00CF68BA" w:rsidRPr="00D32A76" w:rsidP="00CF68BA">
            <w:pPr>
              <w:spacing w:line="240" w:lineRule="auto"/>
              <w:jc w:val="center"/>
              <w:rPr>
                <w:rFonts w:ascii="Arial Narrow" w:hAnsi="Arial Narrow" w:cs="Times New Roman"/>
              </w:rPr>
            </w:pPr>
            <w:r w:rsidRPr="00D32A76">
              <w:rPr>
                <w:rFonts w:ascii="Arial Narrow" w:hAnsi="Arial Narrow" w:cs="Times New Roman"/>
              </w:rPr>
              <w:t>0,020</w:t>
            </w:r>
          </w:p>
        </w:tc>
        <w:tc>
          <w:tcPr>
            <w:tcW w:w="1660" w:type="dxa"/>
            <w:tcBorders>
              <w:top w:val="single" w:sz="4" w:space="0" w:color="auto"/>
              <w:left w:val="nil"/>
              <w:bottom w:val="single" w:sz="4" w:space="0" w:color="auto"/>
              <w:right w:val="single" w:sz="8" w:space="0" w:color="auto"/>
              <w:tl2br w:val="nil"/>
              <w:tr2bl w:val="nil"/>
            </w:tcBorders>
            <w:textDirection w:val="lrTb"/>
            <w:vAlign w:val="center"/>
          </w:tcPr>
          <w:p w:rsidR="00CF68BA" w:rsidRPr="00D32A76" w:rsidP="00CF68BA">
            <w:pPr>
              <w:spacing w:line="240" w:lineRule="auto"/>
              <w:jc w:val="right"/>
              <w:rPr>
                <w:rFonts w:ascii="Arial Narrow" w:hAnsi="Arial Narrow" w:cs="Times New Roman"/>
              </w:rPr>
            </w:pPr>
            <w:r w:rsidRPr="00D32A76">
              <w:rPr>
                <w:rFonts w:ascii="Arial Narrow" w:hAnsi="Arial Narrow" w:cs="Times New Roman"/>
              </w:rPr>
              <w:t>1 846,015</w:t>
            </w:r>
          </w:p>
        </w:tc>
      </w:tr>
      <w:tr>
        <w:tblPrEx>
          <w:tblW w:w="9435" w:type="dxa"/>
          <w:tblInd w:w="93" w:type="dxa"/>
        </w:tblPrEx>
        <w:trPr>
          <w:trHeight w:hRule="exact" w:val="227"/>
        </w:trPr>
        <w:tc>
          <w:tcPr>
            <w:tcW w:w="1635" w:type="dxa"/>
            <w:vMerge/>
            <w:tcBorders>
              <w:top w:val="nil"/>
              <w:left w:val="single" w:sz="8" w:space="0" w:color="auto"/>
              <w:bottom w:val="single" w:sz="4" w:space="0" w:color="000000"/>
              <w:right w:val="nil"/>
              <w:tl2br w:val="nil"/>
              <w:tr2bl w:val="nil"/>
            </w:tcBorders>
            <w:textDirection w:val="lrTb"/>
            <w:vAlign w:val="center"/>
          </w:tcPr>
          <w:p w:rsidR="00CF68BA" w:rsidRPr="00D32A76" w:rsidP="006D2832">
            <w:pPr>
              <w:spacing w:line="240" w:lineRule="auto"/>
              <w:jc w:val="center"/>
              <w:rPr>
                <w:rFonts w:ascii="Arial Narrow" w:hAnsi="Arial Narrow" w:cs="Times New Roman"/>
              </w:rPr>
            </w:pPr>
          </w:p>
        </w:tc>
        <w:tc>
          <w:tcPr>
            <w:tcW w:w="4480" w:type="dxa"/>
            <w:tcBorders>
              <w:top w:val="nil"/>
              <w:left w:val="single" w:sz="8" w:space="0" w:color="auto"/>
              <w:bottom w:val="single" w:sz="4" w:space="0" w:color="auto"/>
              <w:right w:val="single" w:sz="8" w:space="0" w:color="auto"/>
              <w:tl2br w:val="nil"/>
              <w:tr2bl w:val="nil"/>
            </w:tcBorders>
            <w:textDirection w:val="lrTb"/>
            <w:vAlign w:val="center"/>
          </w:tcPr>
          <w:p w:rsidR="00CF68BA" w:rsidRPr="00D32A76" w:rsidP="00CF68BA">
            <w:pPr>
              <w:spacing w:line="240" w:lineRule="auto"/>
              <w:rPr>
                <w:rFonts w:ascii="Arial Narrow" w:hAnsi="Arial Narrow" w:cs="Times New Roman"/>
              </w:rPr>
            </w:pPr>
            <w:r w:rsidRPr="00D32A76">
              <w:rPr>
                <w:rFonts w:ascii="Arial Narrow" w:hAnsi="Arial Narrow" w:cs="Times New Roman"/>
              </w:rPr>
              <w:t>I/66 oprava priepustu v km 177,400</w:t>
            </w:r>
          </w:p>
        </w:tc>
        <w:tc>
          <w:tcPr>
            <w:tcW w:w="1660" w:type="dxa"/>
            <w:tcBorders>
              <w:top w:val="nil"/>
              <w:left w:val="nil"/>
              <w:bottom w:val="single" w:sz="4" w:space="0" w:color="auto"/>
              <w:right w:val="single" w:sz="8" w:space="0" w:color="auto"/>
              <w:tl2br w:val="nil"/>
              <w:tr2bl w:val="nil"/>
            </w:tcBorders>
            <w:noWrap/>
            <w:textDirection w:val="lrTb"/>
            <w:vAlign w:val="center"/>
          </w:tcPr>
          <w:p w:rsidR="00CF68BA" w:rsidRPr="00D32A76" w:rsidP="00CF68BA">
            <w:pPr>
              <w:spacing w:line="240" w:lineRule="auto"/>
              <w:jc w:val="center"/>
              <w:rPr>
                <w:rFonts w:ascii="Arial Narrow" w:hAnsi="Arial Narrow" w:cs="Times New Roman"/>
              </w:rPr>
            </w:pPr>
            <w:r w:rsidRPr="00D32A76">
              <w:rPr>
                <w:rFonts w:ascii="Arial Narrow" w:hAnsi="Arial Narrow" w:cs="Times New Roman"/>
              </w:rPr>
              <w:t>0,005</w:t>
            </w:r>
          </w:p>
        </w:tc>
        <w:tc>
          <w:tcPr>
            <w:tcW w:w="1660" w:type="dxa"/>
            <w:tcBorders>
              <w:top w:val="nil"/>
              <w:left w:val="nil"/>
              <w:bottom w:val="single" w:sz="4" w:space="0" w:color="auto"/>
              <w:right w:val="single" w:sz="8" w:space="0" w:color="auto"/>
              <w:tl2br w:val="nil"/>
              <w:tr2bl w:val="nil"/>
            </w:tcBorders>
            <w:textDirection w:val="lrTb"/>
            <w:vAlign w:val="center"/>
          </w:tcPr>
          <w:p w:rsidR="00CF68BA" w:rsidRPr="00D32A76" w:rsidP="00CF68BA">
            <w:pPr>
              <w:spacing w:line="240" w:lineRule="auto"/>
              <w:jc w:val="right"/>
              <w:rPr>
                <w:rFonts w:ascii="Arial Narrow" w:hAnsi="Arial Narrow" w:cs="Times New Roman"/>
              </w:rPr>
            </w:pPr>
            <w:r w:rsidRPr="00D32A76">
              <w:rPr>
                <w:rFonts w:ascii="Arial Narrow" w:hAnsi="Arial Narrow" w:cs="Times New Roman"/>
              </w:rPr>
              <w:t>628,577</w:t>
            </w:r>
          </w:p>
        </w:tc>
      </w:tr>
      <w:tr>
        <w:tblPrEx>
          <w:tblW w:w="9435" w:type="dxa"/>
          <w:tblInd w:w="93" w:type="dxa"/>
        </w:tblPrEx>
        <w:trPr>
          <w:trHeight w:hRule="exact" w:val="227"/>
        </w:trPr>
        <w:tc>
          <w:tcPr>
            <w:tcW w:w="1635" w:type="dxa"/>
            <w:vMerge/>
            <w:tcBorders>
              <w:top w:val="nil"/>
              <w:left w:val="single" w:sz="8" w:space="0" w:color="auto"/>
              <w:bottom w:val="single" w:sz="4" w:space="0" w:color="000000"/>
              <w:right w:val="nil"/>
              <w:tl2br w:val="nil"/>
              <w:tr2bl w:val="nil"/>
            </w:tcBorders>
            <w:textDirection w:val="lrTb"/>
            <w:vAlign w:val="center"/>
          </w:tcPr>
          <w:p w:rsidR="00CF68BA" w:rsidRPr="00D32A76" w:rsidP="006D2832">
            <w:pPr>
              <w:spacing w:line="240" w:lineRule="auto"/>
              <w:jc w:val="center"/>
              <w:rPr>
                <w:rFonts w:ascii="Arial Narrow" w:hAnsi="Arial Narrow" w:cs="Times New Roman"/>
              </w:rPr>
            </w:pPr>
          </w:p>
        </w:tc>
        <w:tc>
          <w:tcPr>
            <w:tcW w:w="4480" w:type="dxa"/>
            <w:tcBorders>
              <w:top w:val="nil"/>
              <w:left w:val="single" w:sz="8" w:space="0" w:color="auto"/>
              <w:bottom w:val="single" w:sz="4" w:space="0" w:color="auto"/>
              <w:right w:val="single" w:sz="8" w:space="0" w:color="auto"/>
              <w:tl2br w:val="nil"/>
              <w:tr2bl w:val="nil"/>
            </w:tcBorders>
            <w:textDirection w:val="lrTb"/>
            <w:vAlign w:val="center"/>
          </w:tcPr>
          <w:p w:rsidR="00CF68BA" w:rsidRPr="00D32A76" w:rsidP="00CF68BA">
            <w:pPr>
              <w:spacing w:line="240" w:lineRule="auto"/>
              <w:rPr>
                <w:rFonts w:ascii="Arial Narrow" w:hAnsi="Arial Narrow" w:cs="Times New Roman"/>
              </w:rPr>
            </w:pPr>
            <w:r w:rsidRPr="00D32A76">
              <w:rPr>
                <w:rFonts w:ascii="Arial Narrow" w:hAnsi="Arial Narrow" w:cs="Times New Roman"/>
              </w:rPr>
              <w:t>I/66 oprava priepustu v km 180,034</w:t>
            </w:r>
          </w:p>
        </w:tc>
        <w:tc>
          <w:tcPr>
            <w:tcW w:w="1660" w:type="dxa"/>
            <w:tcBorders>
              <w:top w:val="nil"/>
              <w:left w:val="nil"/>
              <w:bottom w:val="single" w:sz="4" w:space="0" w:color="auto"/>
              <w:right w:val="single" w:sz="8" w:space="0" w:color="auto"/>
              <w:tl2br w:val="nil"/>
              <w:tr2bl w:val="nil"/>
            </w:tcBorders>
            <w:noWrap/>
            <w:textDirection w:val="lrTb"/>
            <w:vAlign w:val="center"/>
          </w:tcPr>
          <w:p w:rsidR="00CF68BA" w:rsidRPr="00D32A76" w:rsidP="00CF68BA">
            <w:pPr>
              <w:spacing w:line="240" w:lineRule="auto"/>
              <w:jc w:val="center"/>
              <w:rPr>
                <w:rFonts w:ascii="Arial Narrow" w:hAnsi="Arial Narrow" w:cs="Times New Roman"/>
              </w:rPr>
            </w:pPr>
            <w:r w:rsidRPr="00D32A76">
              <w:rPr>
                <w:rFonts w:ascii="Arial Narrow" w:hAnsi="Arial Narrow" w:cs="Times New Roman"/>
              </w:rPr>
              <w:t>0,005</w:t>
            </w:r>
          </w:p>
        </w:tc>
        <w:tc>
          <w:tcPr>
            <w:tcW w:w="1660" w:type="dxa"/>
            <w:tcBorders>
              <w:top w:val="nil"/>
              <w:left w:val="nil"/>
              <w:bottom w:val="single" w:sz="4" w:space="0" w:color="auto"/>
              <w:right w:val="single" w:sz="8" w:space="0" w:color="auto"/>
              <w:tl2br w:val="nil"/>
              <w:tr2bl w:val="nil"/>
            </w:tcBorders>
            <w:textDirection w:val="lrTb"/>
            <w:vAlign w:val="center"/>
          </w:tcPr>
          <w:p w:rsidR="00CF68BA" w:rsidRPr="00D32A76" w:rsidP="00CF68BA">
            <w:pPr>
              <w:spacing w:line="240" w:lineRule="auto"/>
              <w:jc w:val="right"/>
              <w:rPr>
                <w:rFonts w:ascii="Arial Narrow" w:hAnsi="Arial Narrow" w:cs="Times New Roman"/>
              </w:rPr>
            </w:pPr>
            <w:r w:rsidRPr="00D32A76">
              <w:rPr>
                <w:rFonts w:ascii="Arial Narrow" w:hAnsi="Arial Narrow" w:cs="Times New Roman"/>
              </w:rPr>
              <w:t>931,508</w:t>
            </w:r>
          </w:p>
        </w:tc>
      </w:tr>
      <w:tr>
        <w:tblPrEx>
          <w:tblW w:w="9435" w:type="dxa"/>
          <w:tblInd w:w="93" w:type="dxa"/>
        </w:tblPrEx>
        <w:trPr>
          <w:trHeight w:hRule="exact" w:val="227"/>
        </w:trPr>
        <w:tc>
          <w:tcPr>
            <w:tcW w:w="1635" w:type="dxa"/>
            <w:tcBorders>
              <w:top w:val="nil"/>
              <w:left w:val="single" w:sz="8" w:space="0" w:color="auto"/>
              <w:bottom w:val="nil"/>
              <w:right w:val="nil"/>
              <w:tl2br w:val="nil"/>
              <w:tr2bl w:val="nil"/>
            </w:tcBorders>
            <w:textDirection w:val="lrTb"/>
            <w:vAlign w:val="center"/>
          </w:tcPr>
          <w:p w:rsidR="00CF68BA" w:rsidRPr="00D32A76" w:rsidP="006D2832">
            <w:pPr>
              <w:spacing w:line="240" w:lineRule="auto"/>
              <w:jc w:val="center"/>
              <w:rPr>
                <w:rFonts w:ascii="Arial Narrow" w:hAnsi="Arial Narrow" w:cs="Times New Roman"/>
              </w:rPr>
            </w:pPr>
            <w:r w:rsidRPr="00D32A76">
              <w:rPr>
                <w:rFonts w:ascii="Arial Narrow" w:hAnsi="Arial Narrow" w:cs="Times New Roman"/>
              </w:rPr>
              <w:t>Krupina</w:t>
            </w:r>
          </w:p>
        </w:tc>
        <w:tc>
          <w:tcPr>
            <w:tcW w:w="4480" w:type="dxa"/>
            <w:tcBorders>
              <w:top w:val="nil"/>
              <w:left w:val="single" w:sz="8" w:space="0" w:color="auto"/>
              <w:bottom w:val="single" w:sz="4" w:space="0" w:color="auto"/>
              <w:right w:val="single" w:sz="8" w:space="0" w:color="auto"/>
              <w:tl2br w:val="nil"/>
              <w:tr2bl w:val="nil"/>
            </w:tcBorders>
            <w:textDirection w:val="lrTb"/>
            <w:vAlign w:val="center"/>
          </w:tcPr>
          <w:p w:rsidR="00CF68BA" w:rsidRPr="00D32A76" w:rsidP="00CF68BA">
            <w:pPr>
              <w:spacing w:line="240" w:lineRule="auto"/>
              <w:rPr>
                <w:rFonts w:ascii="Arial Narrow" w:hAnsi="Arial Narrow" w:cs="Times New Roman"/>
              </w:rPr>
            </w:pPr>
            <w:r w:rsidRPr="00D32A76">
              <w:rPr>
                <w:rFonts w:ascii="Arial Narrow" w:hAnsi="Arial Narrow" w:cs="Times New Roman"/>
              </w:rPr>
              <w:t>I/66 prvky ukľudnenia dopravy v obci Dudince (BECEP)</w:t>
            </w:r>
          </w:p>
        </w:tc>
        <w:tc>
          <w:tcPr>
            <w:tcW w:w="1660" w:type="dxa"/>
            <w:tcBorders>
              <w:top w:val="nil"/>
              <w:left w:val="nil"/>
              <w:bottom w:val="single" w:sz="4" w:space="0" w:color="auto"/>
              <w:right w:val="single" w:sz="8" w:space="0" w:color="auto"/>
              <w:tl2br w:val="nil"/>
              <w:tr2bl w:val="nil"/>
            </w:tcBorders>
            <w:noWrap/>
            <w:textDirection w:val="lrTb"/>
            <w:vAlign w:val="center"/>
          </w:tcPr>
          <w:p w:rsidR="00CF68BA" w:rsidRPr="00D32A76" w:rsidP="00CF68BA">
            <w:pPr>
              <w:spacing w:line="240" w:lineRule="auto"/>
              <w:jc w:val="center"/>
              <w:rPr>
                <w:rFonts w:ascii="Arial Narrow" w:hAnsi="Arial Narrow" w:cs="Times New Roman"/>
              </w:rPr>
            </w:pPr>
            <w:r w:rsidRPr="00D32A76">
              <w:rPr>
                <w:rFonts w:ascii="Arial Narrow" w:hAnsi="Arial Narrow" w:cs="Times New Roman"/>
              </w:rPr>
              <w:t>0,150</w:t>
            </w:r>
          </w:p>
        </w:tc>
        <w:tc>
          <w:tcPr>
            <w:tcW w:w="1660" w:type="dxa"/>
            <w:tcBorders>
              <w:top w:val="nil"/>
              <w:left w:val="nil"/>
              <w:bottom w:val="single" w:sz="4" w:space="0" w:color="auto"/>
              <w:right w:val="single" w:sz="8" w:space="0" w:color="auto"/>
              <w:tl2br w:val="nil"/>
              <w:tr2bl w:val="nil"/>
            </w:tcBorders>
            <w:textDirection w:val="lrTb"/>
            <w:vAlign w:val="center"/>
          </w:tcPr>
          <w:p w:rsidR="00CF68BA" w:rsidRPr="00D32A76" w:rsidP="00CF68BA">
            <w:pPr>
              <w:spacing w:line="240" w:lineRule="auto"/>
              <w:jc w:val="right"/>
              <w:rPr>
                <w:rFonts w:ascii="Arial Narrow" w:hAnsi="Arial Narrow" w:cs="Times New Roman"/>
              </w:rPr>
            </w:pPr>
            <w:r w:rsidRPr="00D32A76">
              <w:rPr>
                <w:rFonts w:ascii="Arial Narrow" w:hAnsi="Arial Narrow" w:cs="Times New Roman"/>
              </w:rPr>
              <w:t>714,581</w:t>
            </w:r>
          </w:p>
        </w:tc>
      </w:tr>
      <w:tr>
        <w:tblPrEx>
          <w:tblW w:w="9435" w:type="dxa"/>
          <w:tblInd w:w="93" w:type="dxa"/>
        </w:tblPrEx>
        <w:trPr>
          <w:trHeight w:hRule="exact" w:val="227"/>
        </w:trPr>
        <w:tc>
          <w:tcPr>
            <w:tcW w:w="1635" w:type="dxa"/>
            <w:tcBorders>
              <w:top w:val="single" w:sz="4" w:space="0" w:color="auto"/>
              <w:left w:val="single" w:sz="8" w:space="0" w:color="auto"/>
              <w:bottom w:val="single" w:sz="4" w:space="0" w:color="000000"/>
              <w:right w:val="nil"/>
              <w:tl2br w:val="nil"/>
              <w:tr2bl w:val="nil"/>
            </w:tcBorders>
            <w:textDirection w:val="lrTb"/>
            <w:vAlign w:val="center"/>
          </w:tcPr>
          <w:p w:rsidR="00CF68BA" w:rsidRPr="00D32A76" w:rsidP="006D2832">
            <w:pPr>
              <w:spacing w:line="240" w:lineRule="auto"/>
              <w:jc w:val="center"/>
              <w:rPr>
                <w:rFonts w:ascii="Arial Narrow" w:hAnsi="Arial Narrow" w:cs="Times New Roman"/>
              </w:rPr>
            </w:pPr>
            <w:r w:rsidRPr="00D32A76">
              <w:rPr>
                <w:rFonts w:ascii="Arial Narrow" w:hAnsi="Arial Narrow" w:cs="Times New Roman"/>
              </w:rPr>
              <w:t>Zvolen</w:t>
            </w:r>
          </w:p>
        </w:tc>
        <w:tc>
          <w:tcPr>
            <w:tcW w:w="4480" w:type="dxa"/>
            <w:tcBorders>
              <w:top w:val="nil"/>
              <w:left w:val="single" w:sz="8" w:space="0" w:color="auto"/>
              <w:bottom w:val="single" w:sz="4" w:space="0" w:color="auto"/>
              <w:right w:val="single" w:sz="8" w:space="0" w:color="auto"/>
              <w:tl2br w:val="nil"/>
              <w:tr2bl w:val="nil"/>
            </w:tcBorders>
            <w:textDirection w:val="lrTb"/>
            <w:vAlign w:val="center"/>
          </w:tcPr>
          <w:p w:rsidR="00CF68BA" w:rsidRPr="00D32A76" w:rsidP="00CF68BA">
            <w:pPr>
              <w:spacing w:line="240" w:lineRule="auto"/>
              <w:rPr>
                <w:rFonts w:ascii="Arial Narrow" w:hAnsi="Arial Narrow" w:cs="Times New Roman"/>
              </w:rPr>
            </w:pPr>
            <w:r w:rsidRPr="00D32A76">
              <w:rPr>
                <w:rFonts w:ascii="Arial Narrow" w:hAnsi="Arial Narrow" w:cs="Times New Roman"/>
              </w:rPr>
              <w:t>I/66 prieťah obcou Dobrá Niva</w:t>
            </w:r>
          </w:p>
        </w:tc>
        <w:tc>
          <w:tcPr>
            <w:tcW w:w="1660" w:type="dxa"/>
            <w:tcBorders>
              <w:top w:val="nil"/>
              <w:left w:val="nil"/>
              <w:bottom w:val="single" w:sz="4" w:space="0" w:color="auto"/>
              <w:right w:val="single" w:sz="8" w:space="0" w:color="auto"/>
              <w:tl2br w:val="nil"/>
              <w:tr2bl w:val="nil"/>
            </w:tcBorders>
            <w:noWrap/>
            <w:textDirection w:val="lrTb"/>
            <w:vAlign w:val="center"/>
          </w:tcPr>
          <w:p w:rsidR="00CF68BA" w:rsidRPr="00D32A76" w:rsidP="00CF68BA">
            <w:pPr>
              <w:spacing w:line="240" w:lineRule="auto"/>
              <w:jc w:val="center"/>
              <w:rPr>
                <w:rFonts w:ascii="Arial Narrow" w:hAnsi="Arial Narrow" w:cs="Times New Roman"/>
              </w:rPr>
            </w:pPr>
            <w:r w:rsidRPr="00D32A76">
              <w:rPr>
                <w:rFonts w:ascii="Arial Narrow" w:hAnsi="Arial Narrow" w:cs="Times New Roman"/>
              </w:rPr>
              <w:t>2,250</w:t>
            </w:r>
          </w:p>
        </w:tc>
        <w:tc>
          <w:tcPr>
            <w:tcW w:w="1660" w:type="dxa"/>
            <w:tcBorders>
              <w:top w:val="nil"/>
              <w:left w:val="nil"/>
              <w:bottom w:val="single" w:sz="4" w:space="0" w:color="auto"/>
              <w:right w:val="single" w:sz="8" w:space="0" w:color="auto"/>
              <w:tl2br w:val="nil"/>
              <w:tr2bl w:val="nil"/>
            </w:tcBorders>
            <w:textDirection w:val="lrTb"/>
            <w:vAlign w:val="center"/>
          </w:tcPr>
          <w:p w:rsidR="00CF68BA" w:rsidRPr="00D32A76" w:rsidP="00CF68BA">
            <w:pPr>
              <w:spacing w:line="240" w:lineRule="auto"/>
              <w:jc w:val="right"/>
              <w:rPr>
                <w:rFonts w:ascii="Arial Narrow" w:hAnsi="Arial Narrow" w:cs="Times New Roman"/>
              </w:rPr>
            </w:pPr>
            <w:r w:rsidRPr="00D32A76">
              <w:rPr>
                <w:rFonts w:ascii="Arial Narrow" w:hAnsi="Arial Narrow" w:cs="Times New Roman"/>
              </w:rPr>
              <w:t>11 185,256</w:t>
            </w:r>
          </w:p>
        </w:tc>
      </w:tr>
      <w:tr>
        <w:tblPrEx>
          <w:tblW w:w="9435" w:type="dxa"/>
          <w:tblInd w:w="93" w:type="dxa"/>
        </w:tblPrEx>
        <w:trPr>
          <w:trHeight w:hRule="exact" w:val="227"/>
        </w:trPr>
        <w:tc>
          <w:tcPr>
            <w:tcW w:w="1635" w:type="dxa"/>
            <w:tcBorders>
              <w:top w:val="nil"/>
              <w:left w:val="single" w:sz="8" w:space="0" w:color="auto"/>
              <w:bottom w:val="single" w:sz="4" w:space="0" w:color="auto"/>
              <w:right w:val="nil"/>
              <w:tl2br w:val="nil"/>
              <w:tr2bl w:val="nil"/>
            </w:tcBorders>
            <w:textDirection w:val="lrTb"/>
            <w:vAlign w:val="center"/>
          </w:tcPr>
          <w:p w:rsidR="00CF68BA" w:rsidRPr="00D32A76" w:rsidP="006D2832">
            <w:pPr>
              <w:spacing w:line="240" w:lineRule="auto"/>
              <w:jc w:val="center"/>
              <w:rPr>
                <w:rFonts w:ascii="Arial Narrow" w:hAnsi="Arial Narrow" w:cs="Times New Roman"/>
              </w:rPr>
            </w:pPr>
            <w:r w:rsidRPr="00D32A76">
              <w:rPr>
                <w:rFonts w:ascii="Arial Narrow" w:hAnsi="Arial Narrow" w:cs="Times New Roman"/>
              </w:rPr>
              <w:t>Žiar nad</w:t>
            </w:r>
            <w:r w:rsidR="006D2832">
              <w:rPr>
                <w:rFonts w:ascii="Arial Narrow" w:hAnsi="Arial Narrow" w:cs="Times New Roman"/>
              </w:rPr>
              <w:t xml:space="preserve"> Hronom</w:t>
            </w:r>
            <w:r w:rsidRPr="00D32A76">
              <w:rPr>
                <w:rFonts w:ascii="Arial Narrow" w:hAnsi="Arial Narrow" w:cs="Times New Roman"/>
              </w:rPr>
              <w:t xml:space="preserve"> </w:t>
            </w:r>
            <w:r w:rsidR="006D2832">
              <w:rPr>
                <w:rFonts w:ascii="Arial Narrow" w:hAnsi="Arial Narrow" w:cs="Times New Roman"/>
              </w:rPr>
              <w:t>Hronom</w:t>
            </w:r>
            <w:r w:rsidRPr="00D32A76">
              <w:rPr>
                <w:rFonts w:ascii="Arial Narrow" w:hAnsi="Arial Narrow" w:cs="Times New Roman"/>
              </w:rPr>
              <w:t>Hronom</w:t>
            </w:r>
          </w:p>
        </w:tc>
        <w:tc>
          <w:tcPr>
            <w:tcW w:w="4480" w:type="dxa"/>
            <w:tcBorders>
              <w:top w:val="nil"/>
              <w:left w:val="single" w:sz="8" w:space="0" w:color="auto"/>
              <w:bottom w:val="single" w:sz="4" w:space="0" w:color="auto"/>
              <w:right w:val="single" w:sz="8" w:space="0" w:color="auto"/>
              <w:tl2br w:val="nil"/>
              <w:tr2bl w:val="nil"/>
            </w:tcBorders>
            <w:noWrap/>
            <w:textDirection w:val="lrTb"/>
            <w:vAlign w:val="center"/>
          </w:tcPr>
          <w:p w:rsidR="00CF68BA" w:rsidRPr="00D32A76" w:rsidP="00CF68BA">
            <w:pPr>
              <w:spacing w:line="240" w:lineRule="auto"/>
              <w:rPr>
                <w:rFonts w:ascii="Arial Narrow" w:hAnsi="Arial Narrow" w:cs="Times New Roman"/>
              </w:rPr>
            </w:pPr>
            <w:r w:rsidRPr="00D32A76">
              <w:rPr>
                <w:rFonts w:ascii="Arial Narrow" w:hAnsi="Arial Narrow" w:cs="Times New Roman"/>
              </w:rPr>
              <w:t>I/65 prieťah mestom Kremnica</w:t>
            </w:r>
          </w:p>
        </w:tc>
        <w:tc>
          <w:tcPr>
            <w:tcW w:w="1660" w:type="dxa"/>
            <w:tcBorders>
              <w:top w:val="nil"/>
              <w:left w:val="nil"/>
              <w:bottom w:val="single" w:sz="4" w:space="0" w:color="auto"/>
              <w:right w:val="single" w:sz="8" w:space="0" w:color="auto"/>
              <w:tl2br w:val="nil"/>
              <w:tr2bl w:val="nil"/>
            </w:tcBorders>
            <w:noWrap/>
            <w:textDirection w:val="lrTb"/>
            <w:vAlign w:val="center"/>
          </w:tcPr>
          <w:p w:rsidR="00CF68BA" w:rsidRPr="00D32A76" w:rsidP="00CF68BA">
            <w:pPr>
              <w:spacing w:line="240" w:lineRule="auto"/>
              <w:jc w:val="center"/>
              <w:rPr>
                <w:rFonts w:ascii="Arial Narrow" w:hAnsi="Arial Narrow" w:cs="Times New Roman"/>
              </w:rPr>
            </w:pPr>
            <w:r w:rsidRPr="00D32A76">
              <w:rPr>
                <w:rFonts w:ascii="Arial Narrow" w:hAnsi="Arial Narrow" w:cs="Times New Roman"/>
              </w:rPr>
              <w:t>1,600</w:t>
            </w:r>
          </w:p>
        </w:tc>
        <w:tc>
          <w:tcPr>
            <w:tcW w:w="1660" w:type="dxa"/>
            <w:tcBorders>
              <w:top w:val="nil"/>
              <w:left w:val="nil"/>
              <w:bottom w:val="single" w:sz="4" w:space="0" w:color="auto"/>
              <w:right w:val="single" w:sz="8" w:space="0" w:color="auto"/>
              <w:tl2br w:val="nil"/>
              <w:tr2bl w:val="nil"/>
            </w:tcBorders>
            <w:textDirection w:val="lrTb"/>
            <w:vAlign w:val="center"/>
          </w:tcPr>
          <w:p w:rsidR="00CF68BA" w:rsidRPr="00D32A76" w:rsidP="00CF68BA">
            <w:pPr>
              <w:spacing w:line="240" w:lineRule="auto"/>
              <w:jc w:val="right"/>
              <w:rPr>
                <w:rFonts w:ascii="Arial Narrow" w:hAnsi="Arial Narrow" w:cs="Times New Roman"/>
              </w:rPr>
            </w:pPr>
            <w:r w:rsidRPr="00D32A76">
              <w:rPr>
                <w:rFonts w:ascii="Arial Narrow" w:hAnsi="Arial Narrow" w:cs="Times New Roman"/>
              </w:rPr>
              <w:t>12 386,353</w:t>
            </w:r>
          </w:p>
        </w:tc>
      </w:tr>
      <w:tr>
        <w:tblPrEx>
          <w:tblW w:w="9435" w:type="dxa"/>
          <w:tblInd w:w="93" w:type="dxa"/>
        </w:tblPrEx>
        <w:trPr>
          <w:trHeight w:hRule="exact" w:val="340"/>
        </w:trPr>
        <w:tc>
          <w:tcPr>
            <w:tcW w:w="1635" w:type="dxa"/>
            <w:tcBorders>
              <w:top w:val="single" w:sz="8" w:space="0" w:color="auto"/>
              <w:left w:val="single" w:sz="8" w:space="0" w:color="auto"/>
              <w:bottom w:val="single" w:sz="8" w:space="0" w:color="auto"/>
              <w:right w:val="nil"/>
              <w:tl2br w:val="nil"/>
              <w:tr2bl w:val="nil"/>
            </w:tcBorders>
            <w:shd w:val="clear" w:color="auto" w:fill="C0C0C0"/>
            <w:noWrap/>
            <w:textDirection w:val="lrTb"/>
            <w:vAlign w:val="center"/>
          </w:tcPr>
          <w:p w:rsidR="00CF68BA" w:rsidRPr="00D32A76" w:rsidP="00CF68BA">
            <w:pPr>
              <w:spacing w:line="240" w:lineRule="auto"/>
              <w:rPr>
                <w:rFonts w:ascii="Arial Narrow" w:hAnsi="Arial Narrow" w:cs="Times New Roman"/>
                <w:b/>
                <w:i/>
              </w:rPr>
            </w:pPr>
            <w:r w:rsidRPr="00D32A76">
              <w:rPr>
                <w:rFonts w:ascii="Arial Narrow" w:hAnsi="Arial Narrow" w:cs="Times New Roman"/>
                <w:b/>
                <w:i/>
              </w:rPr>
              <w:t> </w:t>
            </w:r>
          </w:p>
        </w:tc>
        <w:tc>
          <w:tcPr>
            <w:tcW w:w="4480" w:type="dxa"/>
            <w:tcBorders>
              <w:top w:val="nil"/>
              <w:left w:val="single" w:sz="8" w:space="0" w:color="auto"/>
              <w:bottom w:val="single" w:sz="8" w:space="0" w:color="auto"/>
              <w:right w:val="single" w:sz="8" w:space="0" w:color="auto"/>
              <w:tl2br w:val="nil"/>
              <w:tr2bl w:val="nil"/>
            </w:tcBorders>
            <w:shd w:val="clear" w:color="auto" w:fill="C0C0C0"/>
            <w:noWrap/>
            <w:textDirection w:val="lrTb"/>
            <w:vAlign w:val="center"/>
          </w:tcPr>
          <w:p w:rsidR="00CF68BA" w:rsidRPr="00D32A76" w:rsidP="00CF68BA">
            <w:pPr>
              <w:spacing w:line="240" w:lineRule="auto"/>
              <w:rPr>
                <w:rFonts w:ascii="Arial Narrow" w:hAnsi="Arial Narrow" w:cs="Times New Roman"/>
                <w:b/>
                <w:bCs/>
                <w:sz w:val="24"/>
                <w:szCs w:val="24"/>
              </w:rPr>
            </w:pPr>
            <w:r w:rsidRPr="00D32A76">
              <w:rPr>
                <w:rFonts w:ascii="Arial Narrow" w:hAnsi="Arial Narrow" w:cs="Times New Roman"/>
                <w:b/>
                <w:bCs/>
                <w:sz w:val="24"/>
                <w:szCs w:val="24"/>
              </w:rPr>
              <w:t>SPOLU :</w:t>
            </w:r>
          </w:p>
        </w:tc>
        <w:tc>
          <w:tcPr>
            <w:tcW w:w="1660" w:type="dxa"/>
            <w:tcBorders>
              <w:top w:val="single" w:sz="8" w:space="0" w:color="auto"/>
              <w:left w:val="nil"/>
              <w:bottom w:val="single" w:sz="8" w:space="0" w:color="auto"/>
              <w:right w:val="single" w:sz="8" w:space="0" w:color="auto"/>
              <w:tl2br w:val="nil"/>
              <w:tr2bl w:val="nil"/>
            </w:tcBorders>
            <w:shd w:val="clear" w:color="auto" w:fill="C0C0C0"/>
            <w:noWrap/>
            <w:textDirection w:val="lrTb"/>
            <w:vAlign w:val="center"/>
          </w:tcPr>
          <w:p w:rsidR="00CF68BA" w:rsidRPr="00D32A76" w:rsidP="00CF68BA">
            <w:pPr>
              <w:spacing w:line="240" w:lineRule="auto"/>
              <w:jc w:val="center"/>
              <w:rPr>
                <w:rFonts w:ascii="Arial Narrow" w:hAnsi="Arial Narrow" w:cs="Times New Roman"/>
                <w:b/>
                <w:sz w:val="24"/>
                <w:szCs w:val="24"/>
              </w:rPr>
            </w:pPr>
            <w:r w:rsidRPr="00D32A76">
              <w:rPr>
                <w:rFonts w:ascii="Arial Narrow" w:hAnsi="Arial Narrow" w:cs="Times New Roman"/>
                <w:b/>
                <w:sz w:val="24"/>
                <w:szCs w:val="24"/>
              </w:rPr>
              <w:t>4,035</w:t>
            </w:r>
          </w:p>
        </w:tc>
        <w:tc>
          <w:tcPr>
            <w:tcW w:w="1660" w:type="dxa"/>
            <w:tcBorders>
              <w:top w:val="nil"/>
              <w:left w:val="nil"/>
              <w:bottom w:val="single" w:sz="8" w:space="0" w:color="auto"/>
              <w:right w:val="single" w:sz="8" w:space="0" w:color="auto"/>
              <w:tl2br w:val="nil"/>
              <w:tr2bl w:val="nil"/>
            </w:tcBorders>
            <w:shd w:val="clear" w:color="auto" w:fill="C0C0C0"/>
            <w:noWrap/>
            <w:textDirection w:val="lrTb"/>
            <w:vAlign w:val="center"/>
          </w:tcPr>
          <w:p w:rsidR="00CF68BA" w:rsidRPr="00D32A76" w:rsidP="00CF68BA">
            <w:pPr>
              <w:spacing w:line="240" w:lineRule="auto"/>
              <w:jc w:val="right"/>
              <w:rPr>
                <w:rFonts w:ascii="Arial Narrow" w:hAnsi="Arial Narrow" w:cs="Times New Roman"/>
                <w:b/>
                <w:bCs/>
                <w:sz w:val="24"/>
                <w:szCs w:val="24"/>
              </w:rPr>
            </w:pPr>
            <w:r w:rsidRPr="00D32A76">
              <w:rPr>
                <w:rFonts w:ascii="Arial Narrow" w:hAnsi="Arial Narrow" w:cs="Times New Roman"/>
                <w:b/>
                <w:bCs/>
                <w:sz w:val="24"/>
                <w:szCs w:val="24"/>
              </w:rPr>
              <w:t>28 672,770</w:t>
            </w:r>
          </w:p>
        </w:tc>
      </w:tr>
    </w:tbl>
    <w:p w:rsidR="000B2D82" w:rsidP="00CF68BA">
      <w:pPr>
        <w:pStyle w:val="BodyTextIndent"/>
        <w:spacing w:line="240" w:lineRule="auto"/>
        <w:rPr>
          <w:rFonts w:ascii="Times New Roman" w:hAnsi="Times New Roman" w:cs="Times New Roman"/>
          <w:sz w:val="24"/>
          <w:szCs w:val="24"/>
        </w:rPr>
      </w:pPr>
    </w:p>
    <w:p w:rsidR="00D719B7" w:rsidRPr="006E2C6E" w:rsidP="006E2C6E">
      <w:pPr>
        <w:pStyle w:val="BodyTextIndent"/>
        <w:spacing w:line="240" w:lineRule="auto"/>
        <w:rPr>
          <w:rFonts w:ascii="Times New Roman" w:hAnsi="Times New Roman" w:cs="Times New Roman"/>
          <w:sz w:val="24"/>
          <w:szCs w:val="24"/>
        </w:rPr>
      </w:pPr>
      <w:r w:rsidRPr="006E2C6E" w:rsidR="00CF68BA">
        <w:rPr>
          <w:rFonts w:ascii="Times New Roman" w:hAnsi="Times New Roman" w:cs="Times New Roman"/>
          <w:sz w:val="24"/>
          <w:szCs w:val="24"/>
        </w:rPr>
        <w:t>Čerpanie prostriedkov na úrovni</w:t>
      </w:r>
      <w:r w:rsidRPr="006E2C6E" w:rsidR="00CE4A3A">
        <w:rPr>
          <w:rFonts w:ascii="Times New Roman" w:hAnsi="Times New Roman" w:cs="Times New Roman"/>
          <w:sz w:val="24"/>
          <w:szCs w:val="24"/>
        </w:rPr>
        <w:t xml:space="preserve"> </w:t>
      </w:r>
      <w:r w:rsidRPr="006E2C6E" w:rsidR="00CE4A3A">
        <w:rPr>
          <w:rFonts w:ascii="Times New Roman" w:hAnsi="Times New Roman" w:cs="Times New Roman"/>
          <w:b/>
          <w:sz w:val="24"/>
          <w:szCs w:val="24"/>
        </w:rPr>
        <w:t xml:space="preserve">15 614 949,- </w:t>
      </w:r>
      <w:r w:rsidRPr="006E2C6E" w:rsidR="00CF68BA">
        <w:rPr>
          <w:rFonts w:ascii="Times New Roman" w:hAnsi="Times New Roman" w:cs="Times New Roman"/>
          <w:b/>
          <w:sz w:val="24"/>
          <w:szCs w:val="24"/>
        </w:rPr>
        <w:t>Sk</w:t>
      </w:r>
      <w:r w:rsidRPr="006E2C6E" w:rsidR="00CF68BA">
        <w:rPr>
          <w:rFonts w:ascii="Times New Roman" w:hAnsi="Times New Roman" w:cs="Times New Roman"/>
          <w:sz w:val="24"/>
          <w:szCs w:val="24"/>
        </w:rPr>
        <w:t xml:space="preserve"> umožnilo vykonať obnovu VDZ v celkovej dĺžke 53</w:t>
      </w:r>
      <w:r w:rsidRPr="006E2C6E" w:rsidR="00CF68BA">
        <w:rPr>
          <w:rFonts w:ascii="Times New Roman" w:hAnsi="Times New Roman" w:cs="Times New Roman"/>
          <w:sz w:val="24"/>
          <w:szCs w:val="24"/>
        </w:rPr>
        <w:t>0,767 km.</w:t>
      </w:r>
    </w:p>
    <w:p w:rsidR="00CF68BA" w:rsidRPr="00CF68BA" w:rsidP="00CF68BA">
      <w:pPr>
        <w:spacing w:line="240" w:lineRule="auto"/>
        <w:rPr>
          <w:rFonts w:ascii="Times New Roman" w:hAnsi="Times New Roman" w:cs="Times New Roman"/>
          <w:b/>
          <w:sz w:val="24"/>
          <w:szCs w:val="24"/>
          <w:u w:val="single"/>
        </w:rPr>
      </w:pPr>
      <w:r w:rsidRPr="00CF68BA">
        <w:rPr>
          <w:rFonts w:ascii="Times New Roman" w:hAnsi="Times New Roman" w:cs="Times New Roman"/>
          <w:b/>
          <w:sz w:val="24"/>
          <w:szCs w:val="24"/>
          <w:u w:val="single"/>
        </w:rPr>
        <w:t>IVSC Košice</w:t>
      </w:r>
    </w:p>
    <w:p w:rsidR="00CF68BA" w:rsidRPr="00CF68BA" w:rsidP="00CF68BA">
      <w:pPr>
        <w:spacing w:line="240" w:lineRule="auto"/>
        <w:rPr>
          <w:rFonts w:ascii="Times New Roman" w:hAnsi="Times New Roman" w:cs="Times New Roman"/>
          <w:sz w:val="24"/>
          <w:szCs w:val="24"/>
        </w:rPr>
      </w:pPr>
    </w:p>
    <w:p w:rsidR="00CF68BA" w:rsidP="00CF68BA">
      <w:pPr>
        <w:spacing w:line="240" w:lineRule="auto"/>
        <w:ind w:firstLine="708"/>
        <w:rPr>
          <w:rFonts w:ascii="Times New Roman" w:hAnsi="Times New Roman" w:cs="Times New Roman"/>
          <w:sz w:val="24"/>
          <w:szCs w:val="24"/>
        </w:rPr>
      </w:pPr>
      <w:r w:rsidR="006D2832">
        <w:rPr>
          <w:rFonts w:ascii="Times New Roman" w:hAnsi="Times New Roman" w:cs="Times New Roman"/>
          <w:sz w:val="24"/>
          <w:szCs w:val="24"/>
        </w:rPr>
        <w:t xml:space="preserve">V </w:t>
      </w:r>
      <w:r w:rsidRPr="00CF68BA">
        <w:rPr>
          <w:rFonts w:ascii="Times New Roman" w:hAnsi="Times New Roman" w:cs="Times New Roman"/>
          <w:sz w:val="24"/>
          <w:szCs w:val="24"/>
        </w:rPr>
        <w:t xml:space="preserve">roku 2007 </w:t>
      </w:r>
      <w:r w:rsidR="006D2832">
        <w:rPr>
          <w:rFonts w:ascii="Times New Roman" w:hAnsi="Times New Roman" w:cs="Times New Roman"/>
          <w:sz w:val="24"/>
          <w:szCs w:val="24"/>
        </w:rPr>
        <w:t xml:space="preserve">boli </w:t>
      </w:r>
      <w:r w:rsidRPr="00CF68BA">
        <w:rPr>
          <w:rFonts w:ascii="Times New Roman" w:hAnsi="Times New Roman" w:cs="Times New Roman"/>
          <w:sz w:val="24"/>
          <w:szCs w:val="24"/>
        </w:rPr>
        <w:t xml:space="preserve">realizované opravy na </w:t>
      </w:r>
      <w:r w:rsidR="006D2832">
        <w:rPr>
          <w:rFonts w:ascii="Times New Roman" w:hAnsi="Times New Roman" w:cs="Times New Roman"/>
          <w:sz w:val="24"/>
          <w:szCs w:val="24"/>
        </w:rPr>
        <w:t xml:space="preserve">14 úsekoch v celkovej dĺžke </w:t>
      </w:r>
      <w:r w:rsidRPr="00CF68BA">
        <w:rPr>
          <w:rFonts w:ascii="Times New Roman" w:hAnsi="Times New Roman" w:cs="Times New Roman"/>
          <w:sz w:val="24"/>
          <w:szCs w:val="24"/>
        </w:rPr>
        <w:t>29,265 km</w:t>
      </w:r>
      <w:r w:rsidR="00D06EB5">
        <w:rPr>
          <w:rFonts w:ascii="Times New Roman" w:hAnsi="Times New Roman" w:cs="Times New Roman"/>
          <w:sz w:val="24"/>
          <w:szCs w:val="24"/>
        </w:rPr>
        <w:t xml:space="preserve">, opravy 2 mostných objektov, </w:t>
      </w:r>
      <w:r w:rsidR="006D2832">
        <w:rPr>
          <w:rFonts w:ascii="Times New Roman" w:hAnsi="Times New Roman" w:cs="Times New Roman"/>
          <w:sz w:val="24"/>
          <w:szCs w:val="24"/>
        </w:rPr>
        <w:t xml:space="preserve">bola </w:t>
      </w:r>
      <w:r w:rsidRPr="00CF68BA">
        <w:rPr>
          <w:rFonts w:ascii="Times New Roman" w:hAnsi="Times New Roman" w:cs="Times New Roman"/>
          <w:sz w:val="24"/>
          <w:szCs w:val="24"/>
        </w:rPr>
        <w:t>zabezp</w:t>
      </w:r>
      <w:r w:rsidR="00D06EB5">
        <w:rPr>
          <w:rFonts w:ascii="Times New Roman" w:hAnsi="Times New Roman" w:cs="Times New Roman"/>
          <w:sz w:val="24"/>
          <w:szCs w:val="24"/>
        </w:rPr>
        <w:t xml:space="preserve">ečená diagnostika jedného mosta </w:t>
      </w:r>
      <w:r w:rsidRPr="00CF68BA">
        <w:rPr>
          <w:rFonts w:ascii="Times New Roman" w:hAnsi="Times New Roman" w:cs="Times New Roman"/>
          <w:sz w:val="24"/>
          <w:szCs w:val="24"/>
        </w:rPr>
        <w:t>a oprava p</w:t>
      </w:r>
      <w:r w:rsidR="00D06EB5">
        <w:rPr>
          <w:rFonts w:ascii="Times New Roman" w:hAnsi="Times New Roman" w:cs="Times New Roman"/>
          <w:sz w:val="24"/>
          <w:szCs w:val="24"/>
        </w:rPr>
        <w:t xml:space="preserve">riekop odvodňovacích zariadení </w:t>
      </w:r>
      <w:r w:rsidR="006D2832">
        <w:rPr>
          <w:rFonts w:ascii="Times New Roman" w:hAnsi="Times New Roman" w:cs="Times New Roman"/>
          <w:sz w:val="24"/>
          <w:szCs w:val="24"/>
        </w:rPr>
        <w:t xml:space="preserve">v </w:t>
      </w:r>
      <w:r w:rsidRPr="00CF68BA">
        <w:rPr>
          <w:rFonts w:ascii="Times New Roman" w:hAnsi="Times New Roman" w:cs="Times New Roman"/>
          <w:sz w:val="24"/>
          <w:szCs w:val="24"/>
        </w:rPr>
        <w:t>dĺžke 1,9 km</w:t>
      </w:r>
      <w:r w:rsidR="00D06EB5">
        <w:rPr>
          <w:rFonts w:ascii="Times New Roman" w:hAnsi="Times New Roman" w:cs="Times New Roman"/>
          <w:sz w:val="24"/>
          <w:szCs w:val="24"/>
        </w:rPr>
        <w:t xml:space="preserve">. </w:t>
      </w:r>
    </w:p>
    <w:p w:rsidR="00D06EB5" w:rsidRPr="00CF68BA" w:rsidP="00CF68BA">
      <w:pPr>
        <w:spacing w:line="240" w:lineRule="auto"/>
        <w:ind w:firstLine="708"/>
        <w:rPr>
          <w:rFonts w:ascii="Times New Roman" w:hAnsi="Times New Roman" w:cs="Times New Roman"/>
          <w:sz w:val="24"/>
          <w:szCs w:val="24"/>
        </w:rPr>
      </w:pPr>
    </w:p>
    <w:p w:rsidR="00D06EB5" w:rsidRPr="00B27788" w:rsidP="00B27788">
      <w:pPr>
        <w:spacing w:line="240" w:lineRule="auto"/>
        <w:jc w:val="center"/>
        <w:rPr>
          <w:rFonts w:ascii="Times New Roman" w:hAnsi="Times New Roman" w:cs="Times New Roman"/>
          <w:sz w:val="24"/>
          <w:szCs w:val="24"/>
        </w:rPr>
      </w:pPr>
      <w:r w:rsidRPr="00D06EB5" w:rsidR="00CF68BA">
        <w:rPr>
          <w:rFonts w:ascii="Times New Roman" w:hAnsi="Times New Roman" w:cs="Times New Roman"/>
          <w:sz w:val="24"/>
          <w:szCs w:val="24"/>
        </w:rPr>
        <w:t>Konkrétne boli realizované práce na stavbách z nasledujúceho prehľadu:</w:t>
      </w:r>
    </w:p>
    <w:p w:rsidR="000B2D82" w:rsidRPr="00D06EB5" w:rsidP="00D06EB5">
      <w:pPr>
        <w:spacing w:line="240" w:lineRule="auto"/>
        <w:jc w:val="center"/>
        <w:rPr>
          <w:rFonts w:ascii="Times New Roman" w:hAnsi="Times New Roman" w:cs="Times New Roman"/>
          <w:b/>
          <w:sz w:val="24"/>
          <w:szCs w:val="24"/>
        </w:rPr>
      </w:pPr>
    </w:p>
    <w:tbl>
      <w:tblPr>
        <w:tblW w:w="9640" w:type="dxa"/>
        <w:tblInd w:w="93" w:type="dxa"/>
      </w:tblPr>
      <w:tblGrid>
        <w:gridCol w:w="1540"/>
        <w:gridCol w:w="4900"/>
        <w:gridCol w:w="1600"/>
        <w:gridCol w:w="1600"/>
      </w:tblGrid>
      <w:tr>
        <w:tblPrEx>
          <w:tblW w:w="9640" w:type="dxa"/>
          <w:tblInd w:w="93" w:type="dxa"/>
        </w:tblPrEx>
        <w:trPr>
          <w:trHeight w:hRule="exact" w:val="284"/>
        </w:trPr>
        <w:tc>
          <w:tcPr>
            <w:tcW w:w="1540" w:type="dxa"/>
            <w:vMerge w:val="restart"/>
            <w:tcBorders>
              <w:top w:val="single" w:sz="8" w:space="0" w:color="auto"/>
              <w:left w:val="single" w:sz="8" w:space="0" w:color="auto"/>
              <w:bottom w:val="single" w:sz="8" w:space="0" w:color="000000"/>
              <w:right w:val="single" w:sz="8" w:space="0" w:color="auto"/>
              <w:tl2br w:val="nil"/>
              <w:tr2bl w:val="nil"/>
            </w:tcBorders>
            <w:shd w:val="clear" w:color="auto" w:fill="C0C0C0"/>
            <w:noWrap/>
            <w:textDirection w:val="lrTb"/>
            <w:vAlign w:val="center"/>
          </w:tcPr>
          <w:p w:rsidR="00CF68BA" w:rsidRPr="00D06EB5" w:rsidP="00CF68BA">
            <w:pPr>
              <w:spacing w:line="240" w:lineRule="auto"/>
              <w:jc w:val="center"/>
              <w:rPr>
                <w:rFonts w:ascii="Arial Narrow" w:hAnsi="Arial Narrow" w:cs="Times New Roman"/>
                <w:b/>
                <w:bCs/>
                <w:iCs/>
                <w:sz w:val="24"/>
                <w:szCs w:val="24"/>
              </w:rPr>
            </w:pPr>
            <w:r w:rsidRPr="00D06EB5">
              <w:rPr>
                <w:rFonts w:ascii="Arial Narrow" w:hAnsi="Arial Narrow" w:cs="Times New Roman"/>
                <w:b/>
                <w:bCs/>
                <w:iCs/>
                <w:sz w:val="24"/>
                <w:szCs w:val="24"/>
              </w:rPr>
              <w:t>Okres</w:t>
            </w:r>
          </w:p>
        </w:tc>
        <w:tc>
          <w:tcPr>
            <w:tcW w:w="4900" w:type="dxa"/>
            <w:vMerge w:val="restart"/>
            <w:tcBorders>
              <w:top w:val="single" w:sz="8" w:space="0" w:color="auto"/>
              <w:left w:val="single" w:sz="8" w:space="0" w:color="auto"/>
              <w:bottom w:val="single" w:sz="8" w:space="0" w:color="000000"/>
              <w:right w:val="single" w:sz="8" w:space="0" w:color="auto"/>
              <w:tl2br w:val="nil"/>
              <w:tr2bl w:val="nil"/>
            </w:tcBorders>
            <w:shd w:val="clear" w:color="auto" w:fill="C0C0C0"/>
            <w:noWrap/>
            <w:textDirection w:val="lrTb"/>
            <w:vAlign w:val="center"/>
          </w:tcPr>
          <w:p w:rsidR="00CF68BA" w:rsidRPr="00D06EB5" w:rsidP="00CF68BA">
            <w:pPr>
              <w:spacing w:line="240" w:lineRule="auto"/>
              <w:jc w:val="center"/>
              <w:rPr>
                <w:rFonts w:ascii="Arial Narrow" w:hAnsi="Arial Narrow" w:cs="Times New Roman"/>
                <w:b/>
                <w:bCs/>
                <w:iCs/>
                <w:sz w:val="24"/>
                <w:szCs w:val="24"/>
              </w:rPr>
            </w:pPr>
            <w:r w:rsidRPr="00D06EB5">
              <w:rPr>
                <w:rFonts w:ascii="Arial Narrow" w:hAnsi="Arial Narrow" w:cs="Times New Roman"/>
                <w:b/>
                <w:bCs/>
                <w:iCs/>
                <w:sz w:val="24"/>
                <w:szCs w:val="24"/>
              </w:rPr>
              <w:t>Druh opravy</w:t>
            </w:r>
          </w:p>
        </w:tc>
        <w:tc>
          <w:tcPr>
            <w:tcW w:w="1600" w:type="dxa"/>
            <w:vMerge w:val="restart"/>
            <w:tcBorders>
              <w:top w:val="single" w:sz="8" w:space="0" w:color="auto"/>
              <w:left w:val="single" w:sz="8" w:space="0" w:color="auto"/>
              <w:bottom w:val="single" w:sz="8" w:space="0" w:color="000000"/>
              <w:right w:val="single" w:sz="8" w:space="0" w:color="auto"/>
              <w:tl2br w:val="nil"/>
              <w:tr2bl w:val="nil"/>
            </w:tcBorders>
            <w:shd w:val="clear" w:color="auto" w:fill="C0C0C0"/>
            <w:textDirection w:val="lrTb"/>
            <w:vAlign w:val="center"/>
          </w:tcPr>
          <w:p w:rsidR="00CF68BA" w:rsidRPr="00D06EB5" w:rsidP="00CF68BA">
            <w:pPr>
              <w:spacing w:line="240" w:lineRule="auto"/>
              <w:jc w:val="center"/>
              <w:rPr>
                <w:rFonts w:ascii="Arial Narrow" w:hAnsi="Arial Narrow" w:cs="Times New Roman"/>
                <w:b/>
                <w:bCs/>
                <w:iCs/>
                <w:sz w:val="24"/>
                <w:szCs w:val="24"/>
              </w:rPr>
            </w:pPr>
            <w:r w:rsidRPr="00D06EB5">
              <w:rPr>
                <w:rFonts w:ascii="Arial Narrow" w:hAnsi="Arial Narrow" w:cs="Times New Roman"/>
                <w:b/>
                <w:bCs/>
                <w:iCs/>
                <w:sz w:val="24"/>
                <w:szCs w:val="24"/>
              </w:rPr>
              <w:t xml:space="preserve"> Dĺžka úpravy          (km) </w:t>
            </w:r>
          </w:p>
        </w:tc>
        <w:tc>
          <w:tcPr>
            <w:tcW w:w="1600" w:type="dxa"/>
            <w:vMerge w:val="restart"/>
            <w:tcBorders>
              <w:top w:val="single" w:sz="8" w:space="0" w:color="auto"/>
              <w:left w:val="single" w:sz="8" w:space="0" w:color="auto"/>
              <w:bottom w:val="single" w:sz="8" w:space="0" w:color="000000"/>
              <w:right w:val="single" w:sz="8" w:space="0" w:color="auto"/>
              <w:tl2br w:val="nil"/>
              <w:tr2bl w:val="nil"/>
            </w:tcBorders>
            <w:shd w:val="clear" w:color="auto" w:fill="C0C0C0"/>
            <w:textDirection w:val="lrTb"/>
            <w:vAlign w:val="center"/>
          </w:tcPr>
          <w:p w:rsidR="00CF68BA" w:rsidRPr="00D06EB5" w:rsidP="00CF68BA">
            <w:pPr>
              <w:spacing w:line="240" w:lineRule="auto"/>
              <w:jc w:val="center"/>
              <w:rPr>
                <w:rFonts w:ascii="Arial Narrow" w:hAnsi="Arial Narrow" w:cs="Times New Roman"/>
                <w:b/>
                <w:bCs/>
                <w:iCs/>
                <w:sz w:val="24"/>
                <w:szCs w:val="24"/>
              </w:rPr>
            </w:pPr>
            <w:r w:rsidRPr="00D06EB5">
              <w:rPr>
                <w:rFonts w:ascii="Arial Narrow" w:hAnsi="Arial Narrow" w:cs="Times New Roman"/>
                <w:b/>
                <w:bCs/>
                <w:iCs/>
                <w:sz w:val="24"/>
                <w:szCs w:val="24"/>
              </w:rPr>
              <w:t xml:space="preserve"> Náklad s DPH  (tis. Sk) </w:t>
            </w:r>
          </w:p>
        </w:tc>
      </w:tr>
      <w:tr>
        <w:tblPrEx>
          <w:tblW w:w="9640" w:type="dxa"/>
          <w:tblInd w:w="93" w:type="dxa"/>
        </w:tblPrEx>
        <w:trPr>
          <w:trHeight w:val="360"/>
        </w:trPr>
        <w:tc>
          <w:tcPr>
            <w:tcW w:w="1540" w:type="dxa"/>
            <w:vMerge/>
            <w:tcBorders>
              <w:top w:val="single" w:sz="8" w:space="0" w:color="auto"/>
              <w:left w:val="single" w:sz="8" w:space="0" w:color="auto"/>
              <w:bottom w:val="single" w:sz="8" w:space="0" w:color="000000"/>
              <w:right w:val="single" w:sz="8" w:space="0" w:color="auto"/>
              <w:tl2br w:val="nil"/>
              <w:tr2bl w:val="nil"/>
            </w:tcBorders>
            <w:textDirection w:val="lrTb"/>
            <w:vAlign w:val="center"/>
          </w:tcPr>
          <w:p w:rsidR="00CF68BA" w:rsidRPr="00D06EB5" w:rsidP="00CF68BA">
            <w:pPr>
              <w:spacing w:line="240" w:lineRule="auto"/>
              <w:rPr>
                <w:rFonts w:ascii="Arial Narrow" w:hAnsi="Arial Narrow" w:cs="Times New Roman"/>
                <w:b/>
                <w:bCs/>
                <w:iCs/>
              </w:rPr>
            </w:pPr>
          </w:p>
        </w:tc>
        <w:tc>
          <w:tcPr>
            <w:tcW w:w="4900" w:type="dxa"/>
            <w:vMerge/>
            <w:tcBorders>
              <w:top w:val="single" w:sz="8" w:space="0" w:color="auto"/>
              <w:left w:val="single" w:sz="8" w:space="0" w:color="auto"/>
              <w:bottom w:val="single" w:sz="8" w:space="0" w:color="000000"/>
              <w:right w:val="single" w:sz="8" w:space="0" w:color="auto"/>
              <w:tl2br w:val="nil"/>
              <w:tr2bl w:val="nil"/>
            </w:tcBorders>
            <w:textDirection w:val="lrTb"/>
            <w:vAlign w:val="center"/>
          </w:tcPr>
          <w:p w:rsidR="00CF68BA" w:rsidRPr="00D06EB5" w:rsidP="00CF68BA">
            <w:pPr>
              <w:spacing w:line="240" w:lineRule="auto"/>
              <w:rPr>
                <w:rFonts w:ascii="Arial Narrow" w:hAnsi="Arial Narrow" w:cs="Times New Roman"/>
                <w:b/>
                <w:bCs/>
                <w:iCs/>
              </w:rPr>
            </w:pPr>
          </w:p>
        </w:tc>
        <w:tc>
          <w:tcPr>
            <w:tcW w:w="1600" w:type="dxa"/>
            <w:vMerge/>
            <w:tcBorders>
              <w:top w:val="single" w:sz="8" w:space="0" w:color="auto"/>
              <w:left w:val="single" w:sz="8" w:space="0" w:color="auto"/>
              <w:bottom w:val="single" w:sz="8" w:space="0" w:color="000000"/>
              <w:right w:val="single" w:sz="8" w:space="0" w:color="auto"/>
              <w:tl2br w:val="nil"/>
              <w:tr2bl w:val="nil"/>
            </w:tcBorders>
            <w:textDirection w:val="lrTb"/>
            <w:vAlign w:val="center"/>
          </w:tcPr>
          <w:p w:rsidR="00CF68BA" w:rsidRPr="00D06EB5" w:rsidP="00CF68BA">
            <w:pPr>
              <w:spacing w:line="240" w:lineRule="auto"/>
              <w:rPr>
                <w:rFonts w:ascii="Arial Narrow" w:hAnsi="Arial Narrow" w:cs="Times New Roman"/>
                <w:b/>
                <w:bCs/>
                <w:iCs/>
              </w:rPr>
            </w:pPr>
          </w:p>
        </w:tc>
        <w:tc>
          <w:tcPr>
            <w:tcW w:w="1600" w:type="dxa"/>
            <w:vMerge/>
            <w:tcBorders>
              <w:top w:val="single" w:sz="8" w:space="0" w:color="auto"/>
              <w:left w:val="single" w:sz="8" w:space="0" w:color="auto"/>
              <w:bottom w:val="single" w:sz="8" w:space="0" w:color="000000"/>
              <w:right w:val="single" w:sz="8" w:space="0" w:color="auto"/>
              <w:tl2br w:val="nil"/>
              <w:tr2bl w:val="nil"/>
            </w:tcBorders>
            <w:textDirection w:val="lrTb"/>
            <w:vAlign w:val="center"/>
          </w:tcPr>
          <w:p w:rsidR="00CF68BA" w:rsidRPr="00D06EB5" w:rsidP="00CF68BA">
            <w:pPr>
              <w:spacing w:line="240" w:lineRule="auto"/>
              <w:rPr>
                <w:rFonts w:ascii="Arial Narrow" w:hAnsi="Arial Narrow" w:cs="Times New Roman"/>
                <w:b/>
                <w:bCs/>
                <w:iCs/>
              </w:rPr>
            </w:pPr>
          </w:p>
        </w:tc>
      </w:tr>
      <w:tr>
        <w:tblPrEx>
          <w:tblW w:w="9640" w:type="dxa"/>
          <w:tblInd w:w="93" w:type="dxa"/>
        </w:tblPrEx>
        <w:trPr>
          <w:trHeight w:hRule="exact" w:val="227"/>
        </w:trPr>
        <w:tc>
          <w:tcPr>
            <w:tcW w:w="1540" w:type="dxa"/>
            <w:tcBorders>
              <w:top w:val="nil"/>
              <w:left w:val="single" w:sz="8" w:space="0" w:color="auto"/>
              <w:bottom w:val="single" w:sz="4" w:space="0" w:color="auto"/>
              <w:right w:val="single" w:sz="8" w:space="0" w:color="auto"/>
              <w:tl2br w:val="nil"/>
              <w:tr2bl w:val="nil"/>
            </w:tcBorders>
            <w:noWrap/>
            <w:textDirection w:val="lrTb"/>
            <w:vAlign w:val="center"/>
          </w:tcPr>
          <w:p w:rsidR="00CF68BA" w:rsidRPr="00D06EB5" w:rsidP="00CF68BA">
            <w:pPr>
              <w:spacing w:line="240" w:lineRule="auto"/>
              <w:jc w:val="center"/>
              <w:rPr>
                <w:rFonts w:ascii="Arial Narrow" w:hAnsi="Arial Narrow" w:cs="Times New Roman"/>
              </w:rPr>
            </w:pPr>
            <w:r w:rsidRPr="00D06EB5">
              <w:rPr>
                <w:rFonts w:ascii="Arial Narrow" w:hAnsi="Arial Narrow" w:cs="Times New Roman"/>
              </w:rPr>
              <w:t xml:space="preserve"> Bardejov </w:t>
            </w:r>
          </w:p>
        </w:tc>
        <w:tc>
          <w:tcPr>
            <w:tcW w:w="4900" w:type="dxa"/>
            <w:tcBorders>
              <w:top w:val="nil"/>
              <w:left w:val="nil"/>
              <w:bottom w:val="single" w:sz="4" w:space="0" w:color="auto"/>
              <w:right w:val="nil"/>
              <w:tl2br w:val="nil"/>
              <w:tr2bl w:val="nil"/>
            </w:tcBorders>
            <w:textDirection w:val="lrTb"/>
            <w:vAlign w:val="center"/>
          </w:tcPr>
          <w:p w:rsidR="00CF68BA" w:rsidRPr="00D06EB5" w:rsidP="00CF68BA">
            <w:pPr>
              <w:spacing w:line="240" w:lineRule="auto"/>
              <w:rPr>
                <w:rFonts w:ascii="Arial Narrow" w:hAnsi="Arial Narrow" w:cs="Times New Roman"/>
              </w:rPr>
            </w:pPr>
            <w:r w:rsidRPr="00D06EB5">
              <w:rPr>
                <w:rFonts w:ascii="Arial Narrow" w:hAnsi="Arial Narrow" w:cs="Times New Roman"/>
              </w:rPr>
              <w:t xml:space="preserve"> I/77 Smilno - N. Polianka oprava cesty I.etapa </w:t>
            </w:r>
          </w:p>
        </w:tc>
        <w:tc>
          <w:tcPr>
            <w:tcW w:w="1600" w:type="dxa"/>
            <w:tcBorders>
              <w:top w:val="nil"/>
              <w:left w:val="single" w:sz="8" w:space="0" w:color="auto"/>
              <w:bottom w:val="single" w:sz="4" w:space="0" w:color="auto"/>
              <w:right w:val="nil"/>
              <w:tl2br w:val="nil"/>
              <w:tr2bl w:val="nil"/>
            </w:tcBorders>
            <w:noWrap/>
            <w:textDirection w:val="lrTb"/>
            <w:vAlign w:val="center"/>
          </w:tcPr>
          <w:p w:rsidR="00CF68BA" w:rsidRPr="00D06EB5" w:rsidP="00CF68BA">
            <w:pPr>
              <w:spacing w:line="240" w:lineRule="auto"/>
              <w:jc w:val="center"/>
              <w:rPr>
                <w:rFonts w:ascii="Arial Narrow" w:hAnsi="Arial Narrow" w:cs="Times New Roman"/>
              </w:rPr>
            </w:pPr>
            <w:r w:rsidRPr="00D06EB5">
              <w:rPr>
                <w:rFonts w:ascii="Arial Narrow" w:hAnsi="Arial Narrow" w:cs="Times New Roman"/>
              </w:rPr>
              <w:t>1,000</w:t>
            </w:r>
          </w:p>
        </w:tc>
        <w:tc>
          <w:tcPr>
            <w:tcW w:w="1600" w:type="dxa"/>
            <w:tcBorders>
              <w:top w:val="nil"/>
              <w:left w:val="single" w:sz="8" w:space="0" w:color="auto"/>
              <w:bottom w:val="single" w:sz="4" w:space="0" w:color="auto"/>
              <w:right w:val="single" w:sz="8" w:space="0" w:color="auto"/>
              <w:tl2br w:val="nil"/>
              <w:tr2bl w:val="nil"/>
            </w:tcBorders>
            <w:noWrap/>
            <w:textDirection w:val="lrTb"/>
            <w:vAlign w:val="center"/>
          </w:tcPr>
          <w:p w:rsidR="00CF68BA" w:rsidRPr="00D06EB5" w:rsidP="00CF68BA">
            <w:pPr>
              <w:spacing w:line="240" w:lineRule="auto"/>
              <w:jc w:val="right"/>
              <w:rPr>
                <w:rFonts w:ascii="Arial Narrow" w:hAnsi="Arial Narrow" w:cs="Times New Roman"/>
              </w:rPr>
            </w:pPr>
            <w:r w:rsidRPr="00D06EB5">
              <w:rPr>
                <w:rFonts w:ascii="Arial Narrow" w:hAnsi="Arial Narrow" w:cs="Times New Roman"/>
              </w:rPr>
              <w:t>6 723,000</w:t>
            </w:r>
          </w:p>
        </w:tc>
      </w:tr>
      <w:tr>
        <w:tblPrEx>
          <w:tblW w:w="9640" w:type="dxa"/>
          <w:tblInd w:w="93" w:type="dxa"/>
        </w:tblPrEx>
        <w:trPr>
          <w:trHeight w:hRule="exact" w:val="227"/>
        </w:trPr>
        <w:tc>
          <w:tcPr>
            <w:tcW w:w="1540" w:type="dxa"/>
            <w:vMerge w:val="restart"/>
            <w:tcBorders>
              <w:top w:val="nil"/>
              <w:left w:val="single" w:sz="8" w:space="0" w:color="auto"/>
              <w:bottom w:val="nil"/>
              <w:right w:val="single" w:sz="8" w:space="0" w:color="auto"/>
              <w:tl2br w:val="nil"/>
              <w:tr2bl w:val="nil"/>
            </w:tcBorders>
            <w:noWrap/>
            <w:textDirection w:val="lrTb"/>
            <w:vAlign w:val="center"/>
          </w:tcPr>
          <w:p w:rsidR="00CF68BA" w:rsidRPr="00D06EB5" w:rsidP="00CF68BA">
            <w:pPr>
              <w:spacing w:line="240" w:lineRule="auto"/>
              <w:jc w:val="center"/>
              <w:rPr>
                <w:rFonts w:ascii="Arial Narrow" w:hAnsi="Arial Narrow" w:cs="Times New Roman"/>
              </w:rPr>
            </w:pPr>
            <w:r w:rsidRPr="00D06EB5">
              <w:rPr>
                <w:rFonts w:ascii="Arial Narrow" w:hAnsi="Arial Narrow" w:cs="Times New Roman"/>
              </w:rPr>
              <w:t xml:space="preserve"> Poprad </w:t>
            </w:r>
          </w:p>
        </w:tc>
        <w:tc>
          <w:tcPr>
            <w:tcW w:w="4900" w:type="dxa"/>
            <w:tcBorders>
              <w:top w:val="nil"/>
              <w:left w:val="nil"/>
              <w:bottom w:val="single" w:sz="4" w:space="0" w:color="auto"/>
              <w:right w:val="nil"/>
              <w:tl2br w:val="nil"/>
              <w:tr2bl w:val="nil"/>
            </w:tcBorders>
            <w:textDirection w:val="lrTb"/>
            <w:vAlign w:val="center"/>
          </w:tcPr>
          <w:p w:rsidR="00CF68BA" w:rsidRPr="00D06EB5" w:rsidP="00CF68BA">
            <w:pPr>
              <w:spacing w:line="240" w:lineRule="auto"/>
              <w:rPr>
                <w:rFonts w:ascii="Arial Narrow" w:hAnsi="Arial Narrow" w:cs="Times New Roman"/>
              </w:rPr>
            </w:pPr>
            <w:r w:rsidRPr="00D06EB5">
              <w:rPr>
                <w:rFonts w:ascii="Arial Narrow" w:hAnsi="Arial Narrow" w:cs="Times New Roman"/>
              </w:rPr>
              <w:t xml:space="preserve"> I/18 Janovce oprava oporného mura </w:t>
            </w:r>
          </w:p>
        </w:tc>
        <w:tc>
          <w:tcPr>
            <w:tcW w:w="1600" w:type="dxa"/>
            <w:tcBorders>
              <w:top w:val="nil"/>
              <w:left w:val="single" w:sz="8" w:space="0" w:color="auto"/>
              <w:bottom w:val="single" w:sz="4" w:space="0" w:color="auto"/>
              <w:right w:val="nil"/>
              <w:tl2br w:val="nil"/>
              <w:tr2bl w:val="nil"/>
            </w:tcBorders>
            <w:noWrap/>
            <w:textDirection w:val="lrTb"/>
            <w:vAlign w:val="center"/>
          </w:tcPr>
          <w:p w:rsidR="00CF68BA" w:rsidRPr="00D06EB5" w:rsidP="00CF68BA">
            <w:pPr>
              <w:spacing w:line="240" w:lineRule="auto"/>
              <w:jc w:val="center"/>
              <w:rPr>
                <w:rFonts w:ascii="Arial Narrow" w:hAnsi="Arial Narrow" w:cs="Times New Roman"/>
              </w:rPr>
            </w:pPr>
            <w:r w:rsidRPr="00D06EB5">
              <w:rPr>
                <w:rFonts w:ascii="Arial Narrow" w:hAnsi="Arial Narrow" w:cs="Times New Roman"/>
              </w:rPr>
              <w:t>0,050</w:t>
            </w:r>
          </w:p>
        </w:tc>
        <w:tc>
          <w:tcPr>
            <w:tcW w:w="1600" w:type="dxa"/>
            <w:tcBorders>
              <w:top w:val="nil"/>
              <w:left w:val="single" w:sz="8" w:space="0" w:color="auto"/>
              <w:bottom w:val="single" w:sz="4" w:space="0" w:color="auto"/>
              <w:right w:val="single" w:sz="8" w:space="0" w:color="auto"/>
              <w:tl2br w:val="nil"/>
              <w:tr2bl w:val="nil"/>
            </w:tcBorders>
            <w:noWrap/>
            <w:textDirection w:val="lrTb"/>
            <w:vAlign w:val="center"/>
          </w:tcPr>
          <w:p w:rsidR="00CF68BA" w:rsidRPr="00D06EB5" w:rsidP="00CF68BA">
            <w:pPr>
              <w:spacing w:line="240" w:lineRule="auto"/>
              <w:jc w:val="right"/>
              <w:rPr>
                <w:rFonts w:ascii="Arial Narrow" w:hAnsi="Arial Narrow" w:cs="Times New Roman"/>
              </w:rPr>
            </w:pPr>
            <w:r w:rsidRPr="00D06EB5">
              <w:rPr>
                <w:rFonts w:ascii="Arial Narrow" w:hAnsi="Arial Narrow" w:cs="Times New Roman"/>
              </w:rPr>
              <w:t xml:space="preserve">2 </w:t>
            </w:r>
            <w:r w:rsidRPr="00D06EB5">
              <w:rPr>
                <w:rFonts w:ascii="Arial Narrow" w:hAnsi="Arial Narrow" w:cs="Times New Roman"/>
              </w:rPr>
              <w:t>065,000</w:t>
            </w:r>
          </w:p>
        </w:tc>
      </w:tr>
      <w:tr>
        <w:tblPrEx>
          <w:tblW w:w="9640" w:type="dxa"/>
          <w:tblInd w:w="93" w:type="dxa"/>
        </w:tblPrEx>
        <w:trPr>
          <w:trHeight w:hRule="exact" w:val="227"/>
        </w:trPr>
        <w:tc>
          <w:tcPr>
            <w:tcW w:w="1540" w:type="dxa"/>
            <w:vMerge/>
            <w:tcBorders>
              <w:top w:val="nil"/>
              <w:left w:val="single" w:sz="8" w:space="0" w:color="auto"/>
              <w:bottom w:val="nil"/>
              <w:right w:val="single" w:sz="8" w:space="0" w:color="auto"/>
              <w:tl2br w:val="nil"/>
              <w:tr2bl w:val="nil"/>
            </w:tcBorders>
            <w:noWrap/>
            <w:textDirection w:val="lrTb"/>
            <w:vAlign w:val="center"/>
          </w:tcPr>
          <w:p w:rsidR="00CF68BA" w:rsidRPr="00D06EB5" w:rsidP="00CF68BA">
            <w:pPr>
              <w:spacing w:line="240" w:lineRule="auto"/>
              <w:jc w:val="center"/>
              <w:rPr>
                <w:rFonts w:ascii="Arial Narrow" w:hAnsi="Arial Narrow" w:cs="Times New Roman"/>
              </w:rPr>
            </w:pPr>
          </w:p>
        </w:tc>
        <w:tc>
          <w:tcPr>
            <w:tcW w:w="4900" w:type="dxa"/>
            <w:tcBorders>
              <w:top w:val="nil"/>
              <w:left w:val="nil"/>
              <w:bottom w:val="single" w:sz="4" w:space="0" w:color="auto"/>
              <w:right w:val="nil"/>
              <w:tl2br w:val="nil"/>
              <w:tr2bl w:val="nil"/>
            </w:tcBorders>
            <w:textDirection w:val="lrTb"/>
            <w:vAlign w:val="center"/>
          </w:tcPr>
          <w:p w:rsidR="00CF68BA" w:rsidRPr="00D06EB5" w:rsidP="00CF68BA">
            <w:pPr>
              <w:spacing w:line="240" w:lineRule="auto"/>
              <w:rPr>
                <w:rFonts w:ascii="Arial Narrow" w:hAnsi="Arial Narrow" w:cs="Times New Roman"/>
              </w:rPr>
            </w:pPr>
            <w:r w:rsidRPr="00D06EB5">
              <w:rPr>
                <w:rFonts w:ascii="Arial Narrow" w:hAnsi="Arial Narrow" w:cs="Times New Roman"/>
              </w:rPr>
              <w:t xml:space="preserve"> I/18 Dravecký kopec ,op. cesty v</w:t>
            </w:r>
            <w:r w:rsidR="008B4D0C">
              <w:rPr>
                <w:rFonts w:ascii="Arial Narrow" w:hAnsi="Arial Narrow" w:cs="Times New Roman"/>
              </w:rPr>
              <w:t> </w:t>
            </w:r>
            <w:r w:rsidRPr="00D06EB5">
              <w:rPr>
                <w:rFonts w:ascii="Arial Narrow" w:hAnsi="Arial Narrow" w:cs="Times New Roman"/>
              </w:rPr>
              <w:t xml:space="preserve">km 621,000-624,00 I.et. </w:t>
            </w:r>
          </w:p>
        </w:tc>
        <w:tc>
          <w:tcPr>
            <w:tcW w:w="1600" w:type="dxa"/>
            <w:tcBorders>
              <w:top w:val="nil"/>
              <w:left w:val="single" w:sz="8" w:space="0" w:color="auto"/>
              <w:bottom w:val="single" w:sz="4" w:space="0" w:color="auto"/>
              <w:right w:val="nil"/>
              <w:tl2br w:val="nil"/>
              <w:tr2bl w:val="nil"/>
            </w:tcBorders>
            <w:noWrap/>
            <w:textDirection w:val="lrTb"/>
            <w:vAlign w:val="center"/>
          </w:tcPr>
          <w:p w:rsidR="00CF68BA" w:rsidRPr="00D06EB5" w:rsidP="00CF68BA">
            <w:pPr>
              <w:spacing w:line="240" w:lineRule="auto"/>
              <w:jc w:val="center"/>
              <w:rPr>
                <w:rFonts w:ascii="Arial Narrow" w:hAnsi="Arial Narrow" w:cs="Times New Roman"/>
              </w:rPr>
            </w:pPr>
            <w:r w:rsidRPr="00D06EB5">
              <w:rPr>
                <w:rFonts w:ascii="Arial Narrow" w:hAnsi="Arial Narrow" w:cs="Times New Roman"/>
              </w:rPr>
              <w:t>3,000</w:t>
            </w:r>
          </w:p>
        </w:tc>
        <w:tc>
          <w:tcPr>
            <w:tcW w:w="1600" w:type="dxa"/>
            <w:tcBorders>
              <w:top w:val="nil"/>
              <w:left w:val="single" w:sz="8" w:space="0" w:color="auto"/>
              <w:bottom w:val="single" w:sz="4" w:space="0" w:color="auto"/>
              <w:right w:val="single" w:sz="8" w:space="0" w:color="auto"/>
              <w:tl2br w:val="nil"/>
              <w:tr2bl w:val="nil"/>
            </w:tcBorders>
            <w:noWrap/>
            <w:textDirection w:val="lrTb"/>
            <w:vAlign w:val="center"/>
          </w:tcPr>
          <w:p w:rsidR="00CF68BA" w:rsidRPr="00D06EB5" w:rsidP="00CF68BA">
            <w:pPr>
              <w:spacing w:line="240" w:lineRule="auto"/>
              <w:jc w:val="right"/>
              <w:rPr>
                <w:rFonts w:ascii="Arial Narrow" w:hAnsi="Arial Narrow" w:cs="Times New Roman"/>
              </w:rPr>
            </w:pPr>
            <w:r w:rsidRPr="00D06EB5">
              <w:rPr>
                <w:rFonts w:ascii="Arial Narrow" w:hAnsi="Arial Narrow" w:cs="Times New Roman"/>
              </w:rPr>
              <w:t>5 787,000</w:t>
            </w:r>
          </w:p>
        </w:tc>
      </w:tr>
      <w:tr>
        <w:tblPrEx>
          <w:tblW w:w="9640" w:type="dxa"/>
          <w:tblInd w:w="93" w:type="dxa"/>
        </w:tblPrEx>
        <w:trPr>
          <w:trHeight w:hRule="exact" w:val="227"/>
        </w:trPr>
        <w:tc>
          <w:tcPr>
            <w:tcW w:w="1540" w:type="dxa"/>
            <w:vMerge/>
            <w:tcBorders>
              <w:top w:val="nil"/>
              <w:left w:val="single" w:sz="8" w:space="0" w:color="auto"/>
              <w:bottom w:val="nil"/>
              <w:right w:val="single" w:sz="8" w:space="0" w:color="auto"/>
              <w:tl2br w:val="nil"/>
              <w:tr2bl w:val="nil"/>
            </w:tcBorders>
            <w:noWrap/>
            <w:textDirection w:val="lrTb"/>
            <w:vAlign w:val="center"/>
          </w:tcPr>
          <w:p w:rsidR="00CF68BA" w:rsidRPr="00D06EB5" w:rsidP="00CF68BA">
            <w:pPr>
              <w:spacing w:line="240" w:lineRule="auto"/>
              <w:jc w:val="center"/>
              <w:rPr>
                <w:rFonts w:ascii="Arial Narrow" w:hAnsi="Arial Narrow" w:cs="Times New Roman"/>
              </w:rPr>
            </w:pPr>
          </w:p>
        </w:tc>
        <w:tc>
          <w:tcPr>
            <w:tcW w:w="4900" w:type="dxa"/>
            <w:tcBorders>
              <w:top w:val="nil"/>
              <w:left w:val="nil"/>
              <w:bottom w:val="single" w:sz="4" w:space="0" w:color="auto"/>
              <w:right w:val="nil"/>
              <w:tl2br w:val="nil"/>
              <w:tr2bl w:val="nil"/>
            </w:tcBorders>
            <w:textDirection w:val="lrTb"/>
            <w:vAlign w:val="center"/>
          </w:tcPr>
          <w:p w:rsidR="00CF68BA" w:rsidRPr="00D06EB5" w:rsidP="00CF68BA">
            <w:pPr>
              <w:spacing w:line="240" w:lineRule="auto"/>
              <w:rPr>
                <w:rFonts w:ascii="Arial Narrow" w:hAnsi="Arial Narrow" w:cs="Times New Roman"/>
              </w:rPr>
            </w:pPr>
            <w:r w:rsidRPr="00D06EB5">
              <w:rPr>
                <w:rFonts w:ascii="Arial Narrow" w:hAnsi="Arial Narrow" w:cs="Times New Roman"/>
              </w:rPr>
              <w:t xml:space="preserve"> I/67 Ždiar oprava priekop </w:t>
            </w:r>
          </w:p>
        </w:tc>
        <w:tc>
          <w:tcPr>
            <w:tcW w:w="1600" w:type="dxa"/>
            <w:tcBorders>
              <w:top w:val="nil"/>
              <w:left w:val="single" w:sz="8" w:space="0" w:color="auto"/>
              <w:bottom w:val="single" w:sz="4" w:space="0" w:color="auto"/>
              <w:right w:val="nil"/>
              <w:tl2br w:val="nil"/>
              <w:tr2bl w:val="nil"/>
            </w:tcBorders>
            <w:noWrap/>
            <w:textDirection w:val="lrTb"/>
            <w:vAlign w:val="center"/>
          </w:tcPr>
          <w:p w:rsidR="00CF68BA" w:rsidRPr="00D06EB5" w:rsidP="00CF68BA">
            <w:pPr>
              <w:spacing w:line="240" w:lineRule="auto"/>
              <w:jc w:val="center"/>
              <w:rPr>
                <w:rFonts w:ascii="Arial Narrow" w:hAnsi="Arial Narrow" w:cs="Times New Roman"/>
              </w:rPr>
            </w:pPr>
            <w:r w:rsidRPr="00D06EB5">
              <w:rPr>
                <w:rFonts w:ascii="Arial Narrow" w:hAnsi="Arial Narrow" w:cs="Times New Roman"/>
              </w:rPr>
              <w:t>1,900</w:t>
            </w:r>
          </w:p>
        </w:tc>
        <w:tc>
          <w:tcPr>
            <w:tcW w:w="1600" w:type="dxa"/>
            <w:tcBorders>
              <w:top w:val="nil"/>
              <w:left w:val="single" w:sz="8" w:space="0" w:color="auto"/>
              <w:bottom w:val="single" w:sz="4" w:space="0" w:color="auto"/>
              <w:right w:val="single" w:sz="8" w:space="0" w:color="auto"/>
              <w:tl2br w:val="nil"/>
              <w:tr2bl w:val="nil"/>
            </w:tcBorders>
            <w:noWrap/>
            <w:textDirection w:val="lrTb"/>
            <w:vAlign w:val="center"/>
          </w:tcPr>
          <w:p w:rsidR="00CF68BA" w:rsidRPr="00D06EB5" w:rsidP="00CF68BA">
            <w:pPr>
              <w:spacing w:line="240" w:lineRule="auto"/>
              <w:jc w:val="right"/>
              <w:rPr>
                <w:rFonts w:ascii="Arial Narrow" w:hAnsi="Arial Narrow" w:cs="Times New Roman"/>
              </w:rPr>
            </w:pPr>
            <w:r w:rsidRPr="00D06EB5">
              <w:rPr>
                <w:rFonts w:ascii="Arial Narrow" w:hAnsi="Arial Narrow" w:cs="Times New Roman"/>
              </w:rPr>
              <w:t>4 711,000</w:t>
            </w:r>
          </w:p>
        </w:tc>
      </w:tr>
      <w:tr>
        <w:tblPrEx>
          <w:tblW w:w="9640" w:type="dxa"/>
          <w:tblInd w:w="93" w:type="dxa"/>
        </w:tblPrEx>
        <w:trPr>
          <w:trHeight w:hRule="exact" w:val="227"/>
        </w:trPr>
        <w:tc>
          <w:tcPr>
            <w:tcW w:w="1540" w:type="dxa"/>
            <w:vMerge/>
            <w:tcBorders>
              <w:top w:val="nil"/>
              <w:left w:val="single" w:sz="8" w:space="0" w:color="auto"/>
              <w:bottom w:val="nil"/>
              <w:right w:val="single" w:sz="8" w:space="0" w:color="auto"/>
              <w:tl2br w:val="nil"/>
              <w:tr2bl w:val="nil"/>
            </w:tcBorders>
            <w:noWrap/>
            <w:textDirection w:val="lrTb"/>
            <w:vAlign w:val="center"/>
          </w:tcPr>
          <w:p w:rsidR="00CF68BA" w:rsidRPr="00D06EB5" w:rsidP="00CF68BA">
            <w:pPr>
              <w:spacing w:line="240" w:lineRule="auto"/>
              <w:jc w:val="center"/>
              <w:rPr>
                <w:rFonts w:ascii="Arial Narrow" w:hAnsi="Arial Narrow" w:cs="Times New Roman"/>
              </w:rPr>
            </w:pPr>
          </w:p>
        </w:tc>
        <w:tc>
          <w:tcPr>
            <w:tcW w:w="4900" w:type="dxa"/>
            <w:tcBorders>
              <w:top w:val="nil"/>
              <w:left w:val="nil"/>
              <w:bottom w:val="single" w:sz="4" w:space="0" w:color="auto"/>
              <w:right w:val="nil"/>
              <w:tl2br w:val="nil"/>
              <w:tr2bl w:val="nil"/>
            </w:tcBorders>
            <w:textDirection w:val="lrTb"/>
            <w:vAlign w:val="center"/>
          </w:tcPr>
          <w:p w:rsidR="00CF68BA" w:rsidRPr="00D06EB5" w:rsidP="00CF68BA">
            <w:pPr>
              <w:spacing w:line="240" w:lineRule="auto"/>
              <w:rPr>
                <w:rFonts w:ascii="Arial Narrow" w:hAnsi="Arial Narrow" w:cs="Times New Roman"/>
              </w:rPr>
            </w:pPr>
            <w:r w:rsidRPr="00D06EB5">
              <w:rPr>
                <w:rFonts w:ascii="Arial Narrow" w:hAnsi="Arial Narrow" w:cs="Times New Roman"/>
              </w:rPr>
              <w:t xml:space="preserve"> I/18 Korytné oprava mosta-riešenie havárie </w:t>
            </w:r>
          </w:p>
        </w:tc>
        <w:tc>
          <w:tcPr>
            <w:tcW w:w="1600" w:type="dxa"/>
            <w:tcBorders>
              <w:top w:val="nil"/>
              <w:left w:val="single" w:sz="8" w:space="0" w:color="auto"/>
              <w:bottom w:val="single" w:sz="4" w:space="0" w:color="auto"/>
              <w:right w:val="nil"/>
              <w:tl2br w:val="nil"/>
              <w:tr2bl w:val="nil"/>
            </w:tcBorders>
            <w:noWrap/>
            <w:textDirection w:val="lrTb"/>
            <w:vAlign w:val="center"/>
          </w:tcPr>
          <w:p w:rsidR="00CF68BA" w:rsidRPr="00D06EB5" w:rsidP="00CF68BA">
            <w:pPr>
              <w:spacing w:line="240" w:lineRule="auto"/>
              <w:jc w:val="center"/>
              <w:rPr>
                <w:rFonts w:ascii="Arial Narrow" w:hAnsi="Arial Narrow" w:cs="Times New Roman"/>
              </w:rPr>
            </w:pPr>
            <w:r w:rsidRPr="00D06EB5">
              <w:rPr>
                <w:rFonts w:ascii="Arial Narrow" w:hAnsi="Arial Narrow" w:cs="Times New Roman"/>
              </w:rPr>
              <w:t>0,050</w:t>
            </w:r>
          </w:p>
        </w:tc>
        <w:tc>
          <w:tcPr>
            <w:tcW w:w="1600" w:type="dxa"/>
            <w:tcBorders>
              <w:top w:val="nil"/>
              <w:left w:val="single" w:sz="8" w:space="0" w:color="auto"/>
              <w:bottom w:val="single" w:sz="4" w:space="0" w:color="auto"/>
              <w:right w:val="single" w:sz="8" w:space="0" w:color="auto"/>
              <w:tl2br w:val="nil"/>
              <w:tr2bl w:val="nil"/>
            </w:tcBorders>
            <w:noWrap/>
            <w:textDirection w:val="lrTb"/>
            <w:vAlign w:val="center"/>
          </w:tcPr>
          <w:p w:rsidR="00CF68BA" w:rsidRPr="00D06EB5" w:rsidP="00CF68BA">
            <w:pPr>
              <w:spacing w:line="240" w:lineRule="auto"/>
              <w:jc w:val="right"/>
              <w:rPr>
                <w:rFonts w:ascii="Arial Narrow" w:hAnsi="Arial Narrow" w:cs="Times New Roman"/>
              </w:rPr>
            </w:pPr>
            <w:r w:rsidRPr="00D06EB5">
              <w:rPr>
                <w:rFonts w:ascii="Arial Narrow" w:hAnsi="Arial Narrow" w:cs="Times New Roman"/>
              </w:rPr>
              <w:t>7 364,000</w:t>
            </w:r>
          </w:p>
        </w:tc>
      </w:tr>
      <w:tr>
        <w:tblPrEx>
          <w:tblW w:w="9640" w:type="dxa"/>
          <w:tblInd w:w="93" w:type="dxa"/>
        </w:tblPrEx>
        <w:trPr>
          <w:trHeight w:hRule="exact" w:val="227"/>
        </w:trPr>
        <w:tc>
          <w:tcPr>
            <w:tcW w:w="1540" w:type="dxa"/>
            <w:vMerge/>
            <w:tcBorders>
              <w:top w:val="nil"/>
              <w:left w:val="single" w:sz="8" w:space="0" w:color="auto"/>
              <w:bottom w:val="single" w:sz="4" w:space="0" w:color="auto"/>
              <w:right w:val="single" w:sz="8" w:space="0" w:color="auto"/>
              <w:tl2br w:val="nil"/>
              <w:tr2bl w:val="nil"/>
            </w:tcBorders>
            <w:noWrap/>
            <w:textDirection w:val="lrTb"/>
            <w:vAlign w:val="center"/>
          </w:tcPr>
          <w:p w:rsidR="00CF68BA" w:rsidRPr="00D06EB5" w:rsidP="00CF68BA">
            <w:pPr>
              <w:spacing w:line="240" w:lineRule="auto"/>
              <w:jc w:val="center"/>
              <w:rPr>
                <w:rFonts w:ascii="Arial Narrow" w:hAnsi="Arial Narrow" w:cs="Times New Roman"/>
              </w:rPr>
            </w:pPr>
          </w:p>
        </w:tc>
        <w:tc>
          <w:tcPr>
            <w:tcW w:w="4900" w:type="dxa"/>
            <w:tcBorders>
              <w:top w:val="nil"/>
              <w:left w:val="nil"/>
              <w:bottom w:val="single" w:sz="4" w:space="0" w:color="auto"/>
              <w:right w:val="nil"/>
              <w:tl2br w:val="nil"/>
              <w:tr2bl w:val="nil"/>
            </w:tcBorders>
            <w:textDirection w:val="lrTb"/>
            <w:vAlign w:val="center"/>
          </w:tcPr>
          <w:p w:rsidR="00CF68BA" w:rsidRPr="00D06EB5" w:rsidP="00CF68BA">
            <w:pPr>
              <w:spacing w:line="240" w:lineRule="auto"/>
              <w:rPr>
                <w:rFonts w:ascii="Arial Narrow" w:hAnsi="Arial Narrow" w:cs="Times New Roman"/>
              </w:rPr>
            </w:pPr>
            <w:r w:rsidRPr="00D06EB5">
              <w:rPr>
                <w:rFonts w:ascii="Arial Narrow" w:hAnsi="Arial Narrow" w:cs="Times New Roman"/>
              </w:rPr>
              <w:t xml:space="preserve"> I/67 Ždiar prieťah oprava cesty v</w:t>
            </w:r>
            <w:r w:rsidR="008B4D0C">
              <w:rPr>
                <w:rFonts w:ascii="Arial Narrow" w:hAnsi="Arial Narrow" w:cs="Times New Roman"/>
              </w:rPr>
              <w:t> </w:t>
            </w:r>
            <w:r w:rsidRPr="00D06EB5">
              <w:rPr>
                <w:rFonts w:ascii="Arial Narrow" w:hAnsi="Arial Narrow" w:cs="Times New Roman"/>
              </w:rPr>
              <w:t xml:space="preserve">km125,300-130,500 </w:t>
            </w:r>
          </w:p>
        </w:tc>
        <w:tc>
          <w:tcPr>
            <w:tcW w:w="1600" w:type="dxa"/>
            <w:tcBorders>
              <w:top w:val="nil"/>
              <w:left w:val="single" w:sz="8" w:space="0" w:color="auto"/>
              <w:bottom w:val="single" w:sz="4" w:space="0" w:color="auto"/>
              <w:right w:val="nil"/>
              <w:tl2br w:val="nil"/>
              <w:tr2bl w:val="nil"/>
            </w:tcBorders>
            <w:noWrap/>
            <w:textDirection w:val="lrTb"/>
            <w:vAlign w:val="center"/>
          </w:tcPr>
          <w:p w:rsidR="00CF68BA" w:rsidRPr="00D06EB5" w:rsidP="00CF68BA">
            <w:pPr>
              <w:spacing w:line="240" w:lineRule="auto"/>
              <w:jc w:val="center"/>
              <w:rPr>
                <w:rFonts w:ascii="Arial Narrow" w:hAnsi="Arial Narrow" w:cs="Times New Roman"/>
              </w:rPr>
            </w:pPr>
            <w:r w:rsidRPr="00D06EB5">
              <w:rPr>
                <w:rFonts w:ascii="Arial Narrow" w:hAnsi="Arial Narrow" w:cs="Times New Roman"/>
              </w:rPr>
              <w:t>5,200</w:t>
            </w:r>
          </w:p>
        </w:tc>
        <w:tc>
          <w:tcPr>
            <w:tcW w:w="1600" w:type="dxa"/>
            <w:tcBorders>
              <w:top w:val="nil"/>
              <w:left w:val="single" w:sz="8" w:space="0" w:color="auto"/>
              <w:bottom w:val="single" w:sz="4" w:space="0" w:color="auto"/>
              <w:right w:val="single" w:sz="8" w:space="0" w:color="auto"/>
              <w:tl2br w:val="nil"/>
              <w:tr2bl w:val="nil"/>
            </w:tcBorders>
            <w:noWrap/>
            <w:textDirection w:val="lrTb"/>
            <w:vAlign w:val="center"/>
          </w:tcPr>
          <w:p w:rsidR="00CF68BA" w:rsidRPr="00D06EB5" w:rsidP="00CF68BA">
            <w:pPr>
              <w:spacing w:line="240" w:lineRule="auto"/>
              <w:jc w:val="right"/>
              <w:rPr>
                <w:rFonts w:ascii="Arial Narrow" w:hAnsi="Arial Narrow" w:cs="Times New Roman"/>
              </w:rPr>
            </w:pPr>
            <w:r w:rsidRPr="00D06EB5">
              <w:rPr>
                <w:rFonts w:ascii="Arial Narrow" w:hAnsi="Arial Narrow" w:cs="Times New Roman"/>
              </w:rPr>
              <w:t>30 958,000</w:t>
            </w:r>
          </w:p>
        </w:tc>
      </w:tr>
      <w:tr>
        <w:tblPrEx>
          <w:tblW w:w="9640" w:type="dxa"/>
          <w:tblInd w:w="93" w:type="dxa"/>
        </w:tblPrEx>
        <w:trPr>
          <w:trHeight w:hRule="exact" w:val="227"/>
        </w:trPr>
        <w:tc>
          <w:tcPr>
            <w:tcW w:w="1540" w:type="dxa"/>
            <w:vMerge w:val="restart"/>
            <w:tcBorders>
              <w:top w:val="nil"/>
              <w:left w:val="single" w:sz="8" w:space="0" w:color="auto"/>
              <w:bottom w:val="nil"/>
              <w:right w:val="single" w:sz="8" w:space="0" w:color="auto"/>
              <w:tl2br w:val="nil"/>
              <w:tr2bl w:val="nil"/>
            </w:tcBorders>
            <w:noWrap/>
            <w:textDirection w:val="lrTb"/>
            <w:vAlign w:val="center"/>
          </w:tcPr>
          <w:p w:rsidR="00CF68BA" w:rsidRPr="00D06EB5" w:rsidP="00CF68BA">
            <w:pPr>
              <w:spacing w:line="240" w:lineRule="auto"/>
              <w:jc w:val="center"/>
              <w:rPr>
                <w:rFonts w:ascii="Arial Narrow" w:hAnsi="Arial Narrow" w:cs="Times New Roman"/>
              </w:rPr>
            </w:pPr>
            <w:r w:rsidRPr="00D06EB5">
              <w:rPr>
                <w:rFonts w:ascii="Arial Narrow" w:hAnsi="Arial Narrow" w:cs="Times New Roman"/>
              </w:rPr>
              <w:t xml:space="preserve"> Prešov </w:t>
            </w:r>
          </w:p>
        </w:tc>
        <w:tc>
          <w:tcPr>
            <w:tcW w:w="4900" w:type="dxa"/>
            <w:tcBorders>
              <w:top w:val="nil"/>
              <w:left w:val="nil"/>
              <w:bottom w:val="single" w:sz="4" w:space="0" w:color="auto"/>
              <w:right w:val="nil"/>
              <w:tl2br w:val="nil"/>
              <w:tr2bl w:val="nil"/>
            </w:tcBorders>
            <w:textDirection w:val="lrTb"/>
            <w:vAlign w:val="center"/>
          </w:tcPr>
          <w:p w:rsidR="00CF68BA" w:rsidRPr="00D06EB5" w:rsidP="00CF68BA">
            <w:pPr>
              <w:spacing w:line="240" w:lineRule="auto"/>
              <w:rPr>
                <w:rFonts w:ascii="Arial Narrow" w:hAnsi="Arial Narrow" w:cs="Times New Roman"/>
              </w:rPr>
            </w:pPr>
            <w:r w:rsidRPr="00D06EB5">
              <w:rPr>
                <w:rFonts w:ascii="Arial Narrow" w:hAnsi="Arial Narrow" w:cs="Times New Roman"/>
              </w:rPr>
              <w:t xml:space="preserve"> I/68 Kamenica - Lipany oprava cesty II.etapa </w:t>
            </w:r>
          </w:p>
        </w:tc>
        <w:tc>
          <w:tcPr>
            <w:tcW w:w="1600" w:type="dxa"/>
            <w:tcBorders>
              <w:top w:val="nil"/>
              <w:left w:val="single" w:sz="8" w:space="0" w:color="auto"/>
              <w:bottom w:val="single" w:sz="4" w:space="0" w:color="auto"/>
              <w:right w:val="nil"/>
              <w:tl2br w:val="nil"/>
              <w:tr2bl w:val="nil"/>
            </w:tcBorders>
            <w:noWrap/>
            <w:textDirection w:val="lrTb"/>
            <w:vAlign w:val="center"/>
          </w:tcPr>
          <w:p w:rsidR="00CF68BA" w:rsidRPr="00D06EB5" w:rsidP="00CF68BA">
            <w:pPr>
              <w:spacing w:line="240" w:lineRule="auto"/>
              <w:jc w:val="center"/>
              <w:rPr>
                <w:rFonts w:ascii="Arial Narrow" w:hAnsi="Arial Narrow" w:cs="Times New Roman"/>
              </w:rPr>
            </w:pPr>
            <w:r w:rsidRPr="00D06EB5">
              <w:rPr>
                <w:rFonts w:ascii="Arial Narrow" w:hAnsi="Arial Narrow" w:cs="Times New Roman"/>
              </w:rPr>
              <w:t>3,200</w:t>
            </w:r>
          </w:p>
        </w:tc>
        <w:tc>
          <w:tcPr>
            <w:tcW w:w="1600" w:type="dxa"/>
            <w:tcBorders>
              <w:top w:val="nil"/>
              <w:left w:val="single" w:sz="8" w:space="0" w:color="auto"/>
              <w:bottom w:val="single" w:sz="4" w:space="0" w:color="auto"/>
              <w:right w:val="single" w:sz="8" w:space="0" w:color="auto"/>
              <w:tl2br w:val="nil"/>
              <w:tr2bl w:val="nil"/>
            </w:tcBorders>
            <w:noWrap/>
            <w:textDirection w:val="lrTb"/>
            <w:vAlign w:val="center"/>
          </w:tcPr>
          <w:p w:rsidR="00CF68BA" w:rsidRPr="00D06EB5" w:rsidP="00CF68BA">
            <w:pPr>
              <w:spacing w:line="240" w:lineRule="auto"/>
              <w:jc w:val="right"/>
              <w:rPr>
                <w:rFonts w:ascii="Arial Narrow" w:hAnsi="Arial Narrow" w:cs="Times New Roman"/>
              </w:rPr>
            </w:pPr>
            <w:r w:rsidRPr="00D06EB5">
              <w:rPr>
                <w:rFonts w:ascii="Arial Narrow" w:hAnsi="Arial Narrow" w:cs="Times New Roman"/>
              </w:rPr>
              <w:t>0,000</w:t>
            </w:r>
          </w:p>
        </w:tc>
      </w:tr>
      <w:tr>
        <w:tblPrEx>
          <w:tblW w:w="9640" w:type="dxa"/>
          <w:tblInd w:w="93" w:type="dxa"/>
        </w:tblPrEx>
        <w:trPr>
          <w:trHeight w:hRule="exact" w:val="227"/>
        </w:trPr>
        <w:tc>
          <w:tcPr>
            <w:tcW w:w="1540" w:type="dxa"/>
            <w:vMerge/>
            <w:tcBorders>
              <w:top w:val="nil"/>
              <w:left w:val="single" w:sz="8" w:space="0" w:color="auto"/>
              <w:bottom w:val="nil"/>
              <w:right w:val="single" w:sz="8" w:space="0" w:color="auto"/>
              <w:tl2br w:val="nil"/>
              <w:tr2bl w:val="nil"/>
            </w:tcBorders>
            <w:noWrap/>
            <w:textDirection w:val="lrTb"/>
            <w:vAlign w:val="center"/>
          </w:tcPr>
          <w:p w:rsidR="00CF68BA" w:rsidRPr="00D06EB5" w:rsidP="00CF68BA">
            <w:pPr>
              <w:spacing w:line="240" w:lineRule="auto"/>
              <w:jc w:val="center"/>
              <w:rPr>
                <w:rFonts w:ascii="Arial Narrow" w:hAnsi="Arial Narrow" w:cs="Times New Roman"/>
              </w:rPr>
            </w:pPr>
          </w:p>
        </w:tc>
        <w:tc>
          <w:tcPr>
            <w:tcW w:w="4900" w:type="dxa"/>
            <w:tcBorders>
              <w:top w:val="nil"/>
              <w:left w:val="nil"/>
              <w:bottom w:val="single" w:sz="4" w:space="0" w:color="auto"/>
              <w:right w:val="nil"/>
              <w:tl2br w:val="nil"/>
              <w:tr2bl w:val="nil"/>
            </w:tcBorders>
            <w:textDirection w:val="lrTb"/>
            <w:vAlign w:val="center"/>
          </w:tcPr>
          <w:p w:rsidR="00CF68BA" w:rsidRPr="00D06EB5" w:rsidP="00CF68BA">
            <w:pPr>
              <w:spacing w:line="240" w:lineRule="auto"/>
              <w:rPr>
                <w:rFonts w:ascii="Arial Narrow" w:hAnsi="Arial Narrow" w:cs="Times New Roman"/>
              </w:rPr>
            </w:pPr>
            <w:r w:rsidRPr="00D06EB5">
              <w:rPr>
                <w:rFonts w:ascii="Arial Narrow" w:hAnsi="Arial Narrow" w:cs="Times New Roman"/>
              </w:rPr>
              <w:t xml:space="preserve"> I/18 Chminianska Nová Ves oprava MZ mosta č.18-439  </w:t>
            </w:r>
          </w:p>
        </w:tc>
        <w:tc>
          <w:tcPr>
            <w:tcW w:w="1600" w:type="dxa"/>
            <w:tcBorders>
              <w:top w:val="nil"/>
              <w:left w:val="single" w:sz="8" w:space="0" w:color="auto"/>
              <w:bottom w:val="single" w:sz="4" w:space="0" w:color="auto"/>
              <w:right w:val="nil"/>
              <w:tl2br w:val="nil"/>
              <w:tr2bl w:val="nil"/>
            </w:tcBorders>
            <w:noWrap/>
            <w:textDirection w:val="lrTb"/>
            <w:vAlign w:val="center"/>
          </w:tcPr>
          <w:p w:rsidR="00CF68BA" w:rsidRPr="00D06EB5" w:rsidP="00CF68BA">
            <w:pPr>
              <w:spacing w:line="240" w:lineRule="auto"/>
              <w:jc w:val="center"/>
              <w:rPr>
                <w:rFonts w:ascii="Arial Narrow" w:hAnsi="Arial Narrow" w:cs="Times New Roman"/>
              </w:rPr>
            </w:pPr>
            <w:r w:rsidRPr="00D06EB5">
              <w:rPr>
                <w:rFonts w:ascii="Arial Narrow" w:hAnsi="Arial Narrow" w:cs="Times New Roman"/>
              </w:rPr>
              <w:t>0,015</w:t>
            </w:r>
          </w:p>
        </w:tc>
        <w:tc>
          <w:tcPr>
            <w:tcW w:w="1600" w:type="dxa"/>
            <w:tcBorders>
              <w:top w:val="nil"/>
              <w:left w:val="single" w:sz="8" w:space="0" w:color="auto"/>
              <w:bottom w:val="single" w:sz="4" w:space="0" w:color="auto"/>
              <w:right w:val="single" w:sz="8" w:space="0" w:color="auto"/>
              <w:tl2br w:val="nil"/>
              <w:tr2bl w:val="nil"/>
            </w:tcBorders>
            <w:noWrap/>
            <w:textDirection w:val="lrTb"/>
            <w:vAlign w:val="center"/>
          </w:tcPr>
          <w:p w:rsidR="00CF68BA" w:rsidRPr="00D06EB5" w:rsidP="00CF68BA">
            <w:pPr>
              <w:spacing w:line="240" w:lineRule="auto"/>
              <w:jc w:val="right"/>
              <w:rPr>
                <w:rFonts w:ascii="Arial Narrow" w:hAnsi="Arial Narrow" w:cs="Times New Roman"/>
              </w:rPr>
            </w:pPr>
            <w:r w:rsidRPr="00D06EB5">
              <w:rPr>
                <w:rFonts w:ascii="Arial Narrow" w:hAnsi="Arial Narrow" w:cs="Times New Roman"/>
              </w:rPr>
              <w:t>1 456,000</w:t>
            </w:r>
          </w:p>
        </w:tc>
      </w:tr>
      <w:tr>
        <w:tblPrEx>
          <w:tblW w:w="9640" w:type="dxa"/>
          <w:tblInd w:w="93" w:type="dxa"/>
        </w:tblPrEx>
        <w:trPr>
          <w:trHeight w:hRule="exact" w:val="227"/>
        </w:trPr>
        <w:tc>
          <w:tcPr>
            <w:tcW w:w="1540" w:type="dxa"/>
            <w:vMerge/>
            <w:tcBorders>
              <w:top w:val="nil"/>
              <w:left w:val="single" w:sz="8" w:space="0" w:color="auto"/>
              <w:bottom w:val="nil"/>
              <w:right w:val="single" w:sz="8" w:space="0" w:color="auto"/>
              <w:tl2br w:val="nil"/>
              <w:tr2bl w:val="nil"/>
            </w:tcBorders>
            <w:noWrap/>
            <w:textDirection w:val="lrTb"/>
            <w:vAlign w:val="center"/>
          </w:tcPr>
          <w:p w:rsidR="00CF68BA" w:rsidRPr="00D06EB5" w:rsidP="00CF68BA">
            <w:pPr>
              <w:spacing w:line="240" w:lineRule="auto"/>
              <w:jc w:val="center"/>
              <w:rPr>
                <w:rFonts w:ascii="Arial Narrow" w:hAnsi="Arial Narrow" w:cs="Times New Roman"/>
              </w:rPr>
            </w:pPr>
          </w:p>
        </w:tc>
        <w:tc>
          <w:tcPr>
            <w:tcW w:w="4900" w:type="dxa"/>
            <w:tcBorders>
              <w:top w:val="nil"/>
              <w:left w:val="nil"/>
              <w:bottom w:val="single" w:sz="4" w:space="0" w:color="auto"/>
              <w:right w:val="nil"/>
              <w:tl2br w:val="nil"/>
              <w:tr2bl w:val="nil"/>
            </w:tcBorders>
            <w:textDirection w:val="lrTb"/>
            <w:vAlign w:val="center"/>
          </w:tcPr>
          <w:p w:rsidR="00CF68BA" w:rsidRPr="00D06EB5" w:rsidP="00CF68BA">
            <w:pPr>
              <w:spacing w:line="240" w:lineRule="auto"/>
              <w:rPr>
                <w:rFonts w:ascii="Arial Narrow" w:hAnsi="Arial Narrow" w:cs="Times New Roman"/>
              </w:rPr>
            </w:pPr>
            <w:r w:rsidRPr="00D06EB5">
              <w:rPr>
                <w:rFonts w:ascii="Arial Narrow" w:hAnsi="Arial Narrow" w:cs="Times New Roman"/>
              </w:rPr>
              <w:t xml:space="preserve"> I/18 Lada -Lipníky oprava cesty </w:t>
            </w:r>
          </w:p>
        </w:tc>
        <w:tc>
          <w:tcPr>
            <w:tcW w:w="1600" w:type="dxa"/>
            <w:tcBorders>
              <w:top w:val="nil"/>
              <w:left w:val="single" w:sz="8" w:space="0" w:color="auto"/>
              <w:bottom w:val="single" w:sz="4" w:space="0" w:color="auto"/>
              <w:right w:val="nil"/>
              <w:tl2br w:val="nil"/>
              <w:tr2bl w:val="nil"/>
            </w:tcBorders>
            <w:noWrap/>
            <w:textDirection w:val="lrTb"/>
            <w:vAlign w:val="center"/>
          </w:tcPr>
          <w:p w:rsidR="00CF68BA" w:rsidRPr="00D06EB5" w:rsidP="00CF68BA">
            <w:pPr>
              <w:spacing w:line="240" w:lineRule="auto"/>
              <w:jc w:val="center"/>
              <w:rPr>
                <w:rFonts w:ascii="Arial Narrow" w:hAnsi="Arial Narrow" w:cs="Times New Roman"/>
              </w:rPr>
            </w:pPr>
            <w:r w:rsidRPr="00D06EB5">
              <w:rPr>
                <w:rFonts w:ascii="Arial Narrow" w:hAnsi="Arial Narrow" w:cs="Times New Roman"/>
              </w:rPr>
              <w:t>4,200</w:t>
            </w:r>
          </w:p>
        </w:tc>
        <w:tc>
          <w:tcPr>
            <w:tcW w:w="1600" w:type="dxa"/>
            <w:tcBorders>
              <w:top w:val="nil"/>
              <w:left w:val="single" w:sz="8" w:space="0" w:color="auto"/>
              <w:bottom w:val="single" w:sz="4" w:space="0" w:color="auto"/>
              <w:right w:val="single" w:sz="8" w:space="0" w:color="auto"/>
              <w:tl2br w:val="nil"/>
              <w:tr2bl w:val="nil"/>
            </w:tcBorders>
            <w:noWrap/>
            <w:textDirection w:val="lrTb"/>
            <w:vAlign w:val="center"/>
          </w:tcPr>
          <w:p w:rsidR="00CF68BA" w:rsidRPr="00D06EB5" w:rsidP="00CF68BA">
            <w:pPr>
              <w:spacing w:line="240" w:lineRule="auto"/>
              <w:jc w:val="right"/>
              <w:rPr>
                <w:rFonts w:ascii="Arial Narrow" w:hAnsi="Arial Narrow" w:cs="Times New Roman"/>
              </w:rPr>
            </w:pPr>
            <w:r w:rsidRPr="00D06EB5">
              <w:rPr>
                <w:rFonts w:ascii="Arial Narrow" w:hAnsi="Arial Narrow" w:cs="Times New Roman"/>
              </w:rPr>
              <w:t>2 183,000</w:t>
            </w:r>
          </w:p>
        </w:tc>
      </w:tr>
      <w:tr>
        <w:tblPrEx>
          <w:tblW w:w="9640" w:type="dxa"/>
          <w:tblInd w:w="93" w:type="dxa"/>
        </w:tblPrEx>
        <w:trPr>
          <w:trHeight w:hRule="exact" w:val="227"/>
        </w:trPr>
        <w:tc>
          <w:tcPr>
            <w:tcW w:w="1540" w:type="dxa"/>
            <w:vMerge/>
            <w:tcBorders>
              <w:top w:val="nil"/>
              <w:left w:val="single" w:sz="8" w:space="0" w:color="auto"/>
              <w:bottom w:val="single" w:sz="4" w:space="0" w:color="auto"/>
              <w:right w:val="single" w:sz="8" w:space="0" w:color="auto"/>
              <w:tl2br w:val="nil"/>
              <w:tr2bl w:val="nil"/>
            </w:tcBorders>
            <w:noWrap/>
            <w:textDirection w:val="lrTb"/>
            <w:vAlign w:val="center"/>
          </w:tcPr>
          <w:p w:rsidR="00CF68BA" w:rsidRPr="00D06EB5" w:rsidP="00CF68BA">
            <w:pPr>
              <w:spacing w:line="240" w:lineRule="auto"/>
              <w:jc w:val="center"/>
              <w:rPr>
                <w:rFonts w:ascii="Arial Narrow" w:hAnsi="Arial Narrow" w:cs="Times New Roman"/>
              </w:rPr>
            </w:pPr>
          </w:p>
        </w:tc>
        <w:tc>
          <w:tcPr>
            <w:tcW w:w="4900" w:type="dxa"/>
            <w:tcBorders>
              <w:top w:val="nil"/>
              <w:left w:val="nil"/>
              <w:bottom w:val="single" w:sz="4" w:space="0" w:color="auto"/>
              <w:right w:val="nil"/>
              <w:tl2br w:val="nil"/>
              <w:tr2bl w:val="nil"/>
            </w:tcBorders>
            <w:textDirection w:val="lrTb"/>
            <w:vAlign w:val="center"/>
          </w:tcPr>
          <w:p w:rsidR="00CF68BA" w:rsidRPr="00D06EB5" w:rsidP="00CF68BA">
            <w:pPr>
              <w:spacing w:line="240" w:lineRule="auto"/>
              <w:rPr>
                <w:rFonts w:ascii="Arial Narrow" w:hAnsi="Arial Narrow" w:cs="Times New Roman"/>
              </w:rPr>
            </w:pPr>
            <w:r w:rsidRPr="00D06EB5">
              <w:rPr>
                <w:rFonts w:ascii="Arial Narrow" w:hAnsi="Arial Narrow" w:cs="Times New Roman"/>
              </w:rPr>
              <w:t xml:space="preserve"> I/18 Župčany protišmyková úprava </w:t>
            </w:r>
          </w:p>
        </w:tc>
        <w:tc>
          <w:tcPr>
            <w:tcW w:w="1600" w:type="dxa"/>
            <w:tcBorders>
              <w:top w:val="nil"/>
              <w:left w:val="single" w:sz="8" w:space="0" w:color="auto"/>
              <w:bottom w:val="single" w:sz="4" w:space="0" w:color="auto"/>
              <w:right w:val="nil"/>
              <w:tl2br w:val="nil"/>
              <w:tr2bl w:val="nil"/>
            </w:tcBorders>
            <w:noWrap/>
            <w:textDirection w:val="lrTb"/>
            <w:vAlign w:val="center"/>
          </w:tcPr>
          <w:p w:rsidR="00CF68BA" w:rsidRPr="00D06EB5" w:rsidP="00CF68BA">
            <w:pPr>
              <w:spacing w:line="240" w:lineRule="auto"/>
              <w:jc w:val="center"/>
              <w:rPr>
                <w:rFonts w:ascii="Arial Narrow" w:hAnsi="Arial Narrow" w:cs="Times New Roman"/>
              </w:rPr>
            </w:pPr>
            <w:r w:rsidRPr="00D06EB5">
              <w:rPr>
                <w:rFonts w:ascii="Arial Narrow" w:hAnsi="Arial Narrow" w:cs="Times New Roman"/>
              </w:rPr>
              <w:t>1,700</w:t>
            </w:r>
          </w:p>
        </w:tc>
        <w:tc>
          <w:tcPr>
            <w:tcW w:w="1600" w:type="dxa"/>
            <w:tcBorders>
              <w:top w:val="nil"/>
              <w:left w:val="single" w:sz="8" w:space="0" w:color="auto"/>
              <w:bottom w:val="single" w:sz="4" w:space="0" w:color="auto"/>
              <w:right w:val="single" w:sz="8" w:space="0" w:color="auto"/>
              <w:tl2br w:val="nil"/>
              <w:tr2bl w:val="nil"/>
            </w:tcBorders>
            <w:noWrap/>
            <w:textDirection w:val="lrTb"/>
            <w:vAlign w:val="center"/>
          </w:tcPr>
          <w:p w:rsidR="00CF68BA" w:rsidRPr="00D06EB5" w:rsidP="00CF68BA">
            <w:pPr>
              <w:spacing w:line="240" w:lineRule="auto"/>
              <w:jc w:val="right"/>
              <w:rPr>
                <w:rFonts w:ascii="Arial Narrow" w:hAnsi="Arial Narrow" w:cs="Times New Roman"/>
              </w:rPr>
            </w:pPr>
            <w:r w:rsidRPr="00D06EB5">
              <w:rPr>
                <w:rFonts w:ascii="Arial Narrow" w:hAnsi="Arial Narrow" w:cs="Times New Roman"/>
              </w:rPr>
              <w:t>3 224,000</w:t>
            </w:r>
          </w:p>
        </w:tc>
      </w:tr>
      <w:tr>
        <w:tblPrEx>
          <w:tblW w:w="9640" w:type="dxa"/>
          <w:tblInd w:w="93" w:type="dxa"/>
        </w:tblPrEx>
        <w:trPr>
          <w:trHeight w:hRule="exact" w:val="227"/>
        </w:trPr>
        <w:tc>
          <w:tcPr>
            <w:tcW w:w="1540" w:type="dxa"/>
            <w:vMerge w:val="restart"/>
            <w:tcBorders>
              <w:top w:val="nil"/>
              <w:left w:val="single" w:sz="8" w:space="0" w:color="auto"/>
              <w:bottom w:val="nil"/>
              <w:right w:val="single" w:sz="8" w:space="0" w:color="auto"/>
              <w:tl2br w:val="nil"/>
              <w:tr2bl w:val="nil"/>
            </w:tcBorders>
            <w:noWrap/>
            <w:textDirection w:val="lrTb"/>
            <w:vAlign w:val="center"/>
          </w:tcPr>
          <w:p w:rsidR="00CF68BA" w:rsidRPr="00D06EB5" w:rsidP="00CF68BA">
            <w:pPr>
              <w:spacing w:line="240" w:lineRule="auto"/>
              <w:jc w:val="center"/>
              <w:rPr>
                <w:rFonts w:ascii="Arial Narrow" w:hAnsi="Arial Narrow" w:cs="Times New Roman"/>
              </w:rPr>
            </w:pPr>
            <w:r w:rsidRPr="00D06EB5">
              <w:rPr>
                <w:rFonts w:ascii="Arial Narrow" w:hAnsi="Arial Narrow" w:cs="Times New Roman"/>
              </w:rPr>
              <w:t xml:space="preserve"> Svidník </w:t>
            </w:r>
          </w:p>
        </w:tc>
        <w:tc>
          <w:tcPr>
            <w:tcW w:w="4900" w:type="dxa"/>
            <w:tcBorders>
              <w:top w:val="nil"/>
              <w:left w:val="nil"/>
              <w:bottom w:val="single" w:sz="4" w:space="0" w:color="auto"/>
              <w:right w:val="nil"/>
              <w:tl2br w:val="nil"/>
              <w:tr2bl w:val="nil"/>
            </w:tcBorders>
            <w:textDirection w:val="lrTb"/>
            <w:vAlign w:val="center"/>
          </w:tcPr>
          <w:p w:rsidR="00CF68BA" w:rsidRPr="00D06EB5" w:rsidP="00CF68BA">
            <w:pPr>
              <w:spacing w:line="240" w:lineRule="auto"/>
              <w:rPr>
                <w:rFonts w:ascii="Arial Narrow" w:hAnsi="Arial Narrow" w:cs="Times New Roman"/>
              </w:rPr>
            </w:pPr>
            <w:r w:rsidRPr="00D06EB5">
              <w:rPr>
                <w:rFonts w:ascii="Arial Narrow" w:hAnsi="Arial Narrow" w:cs="Times New Roman"/>
              </w:rPr>
              <w:t xml:space="preserve"> I/73 Giraltovce prieťah -oprava cesty PD </w:t>
            </w:r>
          </w:p>
        </w:tc>
        <w:tc>
          <w:tcPr>
            <w:tcW w:w="1600" w:type="dxa"/>
            <w:tcBorders>
              <w:top w:val="nil"/>
              <w:left w:val="single" w:sz="8" w:space="0" w:color="auto"/>
              <w:bottom w:val="single" w:sz="4" w:space="0" w:color="auto"/>
              <w:right w:val="nil"/>
              <w:tl2br w:val="nil"/>
              <w:tr2bl w:val="nil"/>
            </w:tcBorders>
            <w:noWrap/>
            <w:textDirection w:val="lrTb"/>
            <w:vAlign w:val="center"/>
          </w:tcPr>
          <w:p w:rsidR="00CF68BA" w:rsidRPr="00D06EB5" w:rsidP="00CF68BA">
            <w:pPr>
              <w:spacing w:line="240" w:lineRule="auto"/>
              <w:jc w:val="center"/>
              <w:rPr>
                <w:rFonts w:ascii="Arial Narrow" w:hAnsi="Arial Narrow" w:cs="Times New Roman"/>
              </w:rPr>
            </w:pPr>
            <w:r w:rsidRPr="00D06EB5">
              <w:rPr>
                <w:rFonts w:ascii="Arial Narrow" w:hAnsi="Arial Narrow" w:cs="Times New Roman"/>
              </w:rPr>
              <w:t>0,900</w:t>
            </w:r>
          </w:p>
        </w:tc>
        <w:tc>
          <w:tcPr>
            <w:tcW w:w="1600" w:type="dxa"/>
            <w:tcBorders>
              <w:top w:val="nil"/>
              <w:left w:val="single" w:sz="8" w:space="0" w:color="auto"/>
              <w:bottom w:val="single" w:sz="4" w:space="0" w:color="auto"/>
              <w:right w:val="single" w:sz="8" w:space="0" w:color="auto"/>
              <w:tl2br w:val="nil"/>
              <w:tr2bl w:val="nil"/>
            </w:tcBorders>
            <w:noWrap/>
            <w:textDirection w:val="lrTb"/>
            <w:vAlign w:val="center"/>
          </w:tcPr>
          <w:p w:rsidR="00CF68BA" w:rsidRPr="00D06EB5" w:rsidP="00CF68BA">
            <w:pPr>
              <w:spacing w:line="240" w:lineRule="auto"/>
              <w:jc w:val="right"/>
              <w:rPr>
                <w:rFonts w:ascii="Arial Narrow" w:hAnsi="Arial Narrow" w:cs="Times New Roman"/>
              </w:rPr>
            </w:pPr>
            <w:r w:rsidRPr="00D06EB5">
              <w:rPr>
                <w:rFonts w:ascii="Arial Narrow" w:hAnsi="Arial Narrow" w:cs="Times New Roman"/>
              </w:rPr>
              <w:t>654,000</w:t>
            </w:r>
          </w:p>
        </w:tc>
      </w:tr>
      <w:tr>
        <w:tblPrEx>
          <w:tblW w:w="9640" w:type="dxa"/>
          <w:tblInd w:w="93" w:type="dxa"/>
        </w:tblPrEx>
        <w:trPr>
          <w:trHeight w:hRule="exact" w:val="227"/>
        </w:trPr>
        <w:tc>
          <w:tcPr>
            <w:tcW w:w="1540" w:type="dxa"/>
            <w:vMerge/>
            <w:tcBorders>
              <w:top w:val="nil"/>
              <w:left w:val="single" w:sz="8" w:space="0" w:color="auto"/>
              <w:bottom w:val="nil"/>
              <w:right w:val="single" w:sz="8" w:space="0" w:color="auto"/>
              <w:tl2br w:val="nil"/>
              <w:tr2bl w:val="nil"/>
            </w:tcBorders>
            <w:noWrap/>
            <w:textDirection w:val="lrTb"/>
            <w:vAlign w:val="center"/>
          </w:tcPr>
          <w:p w:rsidR="00CF68BA" w:rsidRPr="00D06EB5" w:rsidP="00CF68BA">
            <w:pPr>
              <w:spacing w:line="240" w:lineRule="auto"/>
              <w:jc w:val="center"/>
              <w:rPr>
                <w:rFonts w:ascii="Arial Narrow" w:hAnsi="Arial Narrow" w:cs="Times New Roman"/>
              </w:rPr>
            </w:pPr>
          </w:p>
        </w:tc>
        <w:tc>
          <w:tcPr>
            <w:tcW w:w="4900" w:type="dxa"/>
            <w:tcBorders>
              <w:top w:val="nil"/>
              <w:left w:val="nil"/>
              <w:bottom w:val="single" w:sz="4" w:space="0" w:color="auto"/>
              <w:right w:val="nil"/>
              <w:tl2br w:val="nil"/>
              <w:tr2bl w:val="nil"/>
            </w:tcBorders>
            <w:textDirection w:val="lrTb"/>
            <w:vAlign w:val="center"/>
          </w:tcPr>
          <w:p w:rsidR="00CF68BA" w:rsidRPr="00D06EB5" w:rsidP="00CF68BA">
            <w:pPr>
              <w:spacing w:line="240" w:lineRule="auto"/>
              <w:rPr>
                <w:rFonts w:ascii="Arial Narrow" w:hAnsi="Arial Narrow" w:cs="Times New Roman"/>
              </w:rPr>
            </w:pPr>
            <w:r w:rsidRPr="00D06EB5">
              <w:rPr>
                <w:rFonts w:ascii="Arial Narrow" w:hAnsi="Arial Narrow" w:cs="Times New Roman"/>
              </w:rPr>
              <w:t xml:space="preserve"> I/73 Soboš -Okrúhle zosuv vkm19,880-19,900 </w:t>
            </w:r>
          </w:p>
        </w:tc>
        <w:tc>
          <w:tcPr>
            <w:tcW w:w="1600" w:type="dxa"/>
            <w:tcBorders>
              <w:top w:val="nil"/>
              <w:left w:val="single" w:sz="8" w:space="0" w:color="auto"/>
              <w:bottom w:val="single" w:sz="4" w:space="0" w:color="auto"/>
              <w:right w:val="nil"/>
              <w:tl2br w:val="nil"/>
              <w:tr2bl w:val="nil"/>
            </w:tcBorders>
            <w:noWrap/>
            <w:textDirection w:val="lrTb"/>
            <w:vAlign w:val="center"/>
          </w:tcPr>
          <w:p w:rsidR="00CF68BA" w:rsidRPr="00D06EB5" w:rsidP="00CF68BA">
            <w:pPr>
              <w:spacing w:line="240" w:lineRule="auto"/>
              <w:jc w:val="center"/>
              <w:rPr>
                <w:rFonts w:ascii="Arial Narrow" w:hAnsi="Arial Narrow" w:cs="Times New Roman"/>
              </w:rPr>
            </w:pPr>
            <w:r w:rsidRPr="00D06EB5">
              <w:rPr>
                <w:rFonts w:ascii="Arial Narrow" w:hAnsi="Arial Narrow" w:cs="Times New Roman"/>
              </w:rPr>
              <w:t>0,020</w:t>
            </w:r>
          </w:p>
        </w:tc>
        <w:tc>
          <w:tcPr>
            <w:tcW w:w="1600" w:type="dxa"/>
            <w:tcBorders>
              <w:top w:val="nil"/>
              <w:left w:val="single" w:sz="8" w:space="0" w:color="auto"/>
              <w:bottom w:val="single" w:sz="4" w:space="0" w:color="auto"/>
              <w:right w:val="single" w:sz="8" w:space="0" w:color="auto"/>
              <w:tl2br w:val="nil"/>
              <w:tr2bl w:val="nil"/>
            </w:tcBorders>
            <w:noWrap/>
            <w:textDirection w:val="lrTb"/>
            <w:vAlign w:val="center"/>
          </w:tcPr>
          <w:p w:rsidR="00CF68BA" w:rsidRPr="00D06EB5" w:rsidP="00CF68BA">
            <w:pPr>
              <w:spacing w:line="240" w:lineRule="auto"/>
              <w:jc w:val="right"/>
              <w:rPr>
                <w:rFonts w:ascii="Arial Narrow" w:hAnsi="Arial Narrow" w:cs="Times New Roman"/>
              </w:rPr>
            </w:pPr>
            <w:r w:rsidRPr="00D06EB5">
              <w:rPr>
                <w:rFonts w:ascii="Arial Narrow" w:hAnsi="Arial Narrow" w:cs="Times New Roman"/>
              </w:rPr>
              <w:t>82,000</w:t>
            </w:r>
          </w:p>
        </w:tc>
      </w:tr>
      <w:tr>
        <w:tblPrEx>
          <w:tblW w:w="9640" w:type="dxa"/>
          <w:tblInd w:w="93" w:type="dxa"/>
        </w:tblPrEx>
        <w:trPr>
          <w:trHeight w:hRule="exact" w:val="227"/>
        </w:trPr>
        <w:tc>
          <w:tcPr>
            <w:tcW w:w="1540" w:type="dxa"/>
            <w:vMerge/>
            <w:tcBorders>
              <w:top w:val="nil"/>
              <w:left w:val="single" w:sz="8" w:space="0" w:color="auto"/>
              <w:bottom w:val="nil"/>
              <w:right w:val="single" w:sz="8" w:space="0" w:color="auto"/>
              <w:tl2br w:val="nil"/>
              <w:tr2bl w:val="nil"/>
            </w:tcBorders>
            <w:noWrap/>
            <w:textDirection w:val="lrTb"/>
            <w:vAlign w:val="center"/>
          </w:tcPr>
          <w:p w:rsidR="00CF68BA" w:rsidRPr="00D06EB5" w:rsidP="00CF68BA">
            <w:pPr>
              <w:spacing w:line="240" w:lineRule="auto"/>
              <w:jc w:val="center"/>
              <w:rPr>
                <w:rFonts w:ascii="Arial Narrow" w:hAnsi="Arial Narrow" w:cs="Times New Roman"/>
              </w:rPr>
            </w:pPr>
          </w:p>
        </w:tc>
        <w:tc>
          <w:tcPr>
            <w:tcW w:w="4900" w:type="dxa"/>
            <w:tcBorders>
              <w:top w:val="nil"/>
              <w:left w:val="nil"/>
              <w:bottom w:val="single" w:sz="4" w:space="0" w:color="auto"/>
              <w:right w:val="nil"/>
              <w:tl2br w:val="nil"/>
              <w:tr2bl w:val="nil"/>
            </w:tcBorders>
            <w:textDirection w:val="lrTb"/>
            <w:vAlign w:val="center"/>
          </w:tcPr>
          <w:p w:rsidR="00CF68BA" w:rsidRPr="00D06EB5" w:rsidP="00CF68BA">
            <w:pPr>
              <w:spacing w:line="240" w:lineRule="auto"/>
              <w:rPr>
                <w:rFonts w:ascii="Arial Narrow" w:hAnsi="Arial Narrow" w:cs="Times New Roman"/>
              </w:rPr>
            </w:pPr>
            <w:r w:rsidRPr="00D06EB5">
              <w:rPr>
                <w:rFonts w:ascii="Arial Narrow" w:hAnsi="Arial Narrow" w:cs="Times New Roman"/>
              </w:rPr>
              <w:t xml:space="preserve"> I/73 Soboš -Okrúhle zosuv vkm19,770-19,800 </w:t>
            </w:r>
          </w:p>
        </w:tc>
        <w:tc>
          <w:tcPr>
            <w:tcW w:w="1600" w:type="dxa"/>
            <w:tcBorders>
              <w:top w:val="nil"/>
              <w:left w:val="single" w:sz="8" w:space="0" w:color="auto"/>
              <w:bottom w:val="single" w:sz="4" w:space="0" w:color="auto"/>
              <w:right w:val="nil"/>
              <w:tl2br w:val="nil"/>
              <w:tr2bl w:val="nil"/>
            </w:tcBorders>
            <w:noWrap/>
            <w:textDirection w:val="lrTb"/>
            <w:vAlign w:val="center"/>
          </w:tcPr>
          <w:p w:rsidR="00CF68BA" w:rsidRPr="00D06EB5" w:rsidP="00CF68BA">
            <w:pPr>
              <w:spacing w:line="240" w:lineRule="auto"/>
              <w:jc w:val="center"/>
              <w:rPr>
                <w:rFonts w:ascii="Arial Narrow" w:hAnsi="Arial Narrow" w:cs="Times New Roman"/>
              </w:rPr>
            </w:pPr>
            <w:r w:rsidRPr="00D06EB5">
              <w:rPr>
                <w:rFonts w:ascii="Arial Narrow" w:hAnsi="Arial Narrow" w:cs="Times New Roman"/>
              </w:rPr>
              <w:t>0,030</w:t>
            </w:r>
          </w:p>
        </w:tc>
        <w:tc>
          <w:tcPr>
            <w:tcW w:w="1600" w:type="dxa"/>
            <w:tcBorders>
              <w:top w:val="nil"/>
              <w:left w:val="single" w:sz="8" w:space="0" w:color="auto"/>
              <w:bottom w:val="single" w:sz="4" w:space="0" w:color="auto"/>
              <w:right w:val="single" w:sz="8" w:space="0" w:color="auto"/>
              <w:tl2br w:val="nil"/>
              <w:tr2bl w:val="nil"/>
            </w:tcBorders>
            <w:noWrap/>
            <w:textDirection w:val="lrTb"/>
            <w:vAlign w:val="center"/>
          </w:tcPr>
          <w:p w:rsidR="00CF68BA" w:rsidRPr="00D06EB5" w:rsidP="00CF68BA">
            <w:pPr>
              <w:spacing w:line="240" w:lineRule="auto"/>
              <w:jc w:val="right"/>
              <w:rPr>
                <w:rFonts w:ascii="Arial Narrow" w:hAnsi="Arial Narrow" w:cs="Times New Roman"/>
              </w:rPr>
            </w:pPr>
            <w:r w:rsidRPr="00D06EB5">
              <w:rPr>
                <w:rFonts w:ascii="Arial Narrow" w:hAnsi="Arial Narrow" w:cs="Times New Roman"/>
              </w:rPr>
              <w:t>4 255,000</w:t>
            </w:r>
          </w:p>
        </w:tc>
      </w:tr>
      <w:tr>
        <w:tblPrEx>
          <w:tblW w:w="9640" w:type="dxa"/>
          <w:tblInd w:w="93" w:type="dxa"/>
        </w:tblPrEx>
        <w:trPr>
          <w:trHeight w:hRule="exact" w:val="227"/>
        </w:trPr>
        <w:tc>
          <w:tcPr>
            <w:tcW w:w="1540" w:type="dxa"/>
            <w:vMerge/>
            <w:tcBorders>
              <w:top w:val="nil"/>
              <w:left w:val="single" w:sz="8" w:space="0" w:color="auto"/>
              <w:bottom w:val="single" w:sz="4" w:space="0" w:color="auto"/>
              <w:right w:val="single" w:sz="8" w:space="0" w:color="auto"/>
              <w:tl2br w:val="nil"/>
              <w:tr2bl w:val="nil"/>
            </w:tcBorders>
            <w:noWrap/>
            <w:textDirection w:val="lrTb"/>
            <w:vAlign w:val="center"/>
          </w:tcPr>
          <w:p w:rsidR="00CF68BA" w:rsidRPr="00D06EB5" w:rsidP="00CF68BA">
            <w:pPr>
              <w:spacing w:line="240" w:lineRule="auto"/>
              <w:jc w:val="center"/>
              <w:rPr>
                <w:rFonts w:ascii="Arial Narrow" w:hAnsi="Arial Narrow" w:cs="Times New Roman"/>
              </w:rPr>
            </w:pPr>
          </w:p>
        </w:tc>
        <w:tc>
          <w:tcPr>
            <w:tcW w:w="4900" w:type="dxa"/>
            <w:tcBorders>
              <w:top w:val="nil"/>
              <w:left w:val="nil"/>
              <w:bottom w:val="single" w:sz="4" w:space="0" w:color="auto"/>
              <w:right w:val="nil"/>
              <w:tl2br w:val="nil"/>
              <w:tr2bl w:val="nil"/>
            </w:tcBorders>
            <w:textDirection w:val="lrTb"/>
            <w:vAlign w:val="center"/>
          </w:tcPr>
          <w:p w:rsidR="00CF68BA" w:rsidRPr="00D06EB5" w:rsidP="00CF68BA">
            <w:pPr>
              <w:spacing w:line="240" w:lineRule="auto"/>
              <w:rPr>
                <w:rFonts w:ascii="Arial Narrow" w:hAnsi="Arial Narrow" w:cs="Times New Roman"/>
              </w:rPr>
            </w:pPr>
            <w:r w:rsidRPr="00D06EB5">
              <w:rPr>
                <w:rFonts w:ascii="Arial Narrow" w:hAnsi="Arial Narrow" w:cs="Times New Roman"/>
              </w:rPr>
              <w:t xml:space="preserve"> I/73 Svidník prieťah oprava cesty v km 40,396-41,046 </w:t>
            </w:r>
          </w:p>
        </w:tc>
        <w:tc>
          <w:tcPr>
            <w:tcW w:w="1600" w:type="dxa"/>
            <w:tcBorders>
              <w:top w:val="nil"/>
              <w:left w:val="single" w:sz="8" w:space="0" w:color="auto"/>
              <w:bottom w:val="single" w:sz="4" w:space="0" w:color="auto"/>
              <w:right w:val="nil"/>
              <w:tl2br w:val="nil"/>
              <w:tr2bl w:val="nil"/>
            </w:tcBorders>
            <w:noWrap/>
            <w:textDirection w:val="lrTb"/>
            <w:vAlign w:val="center"/>
          </w:tcPr>
          <w:p w:rsidR="00CF68BA" w:rsidRPr="00D06EB5" w:rsidP="00CF68BA">
            <w:pPr>
              <w:spacing w:line="240" w:lineRule="auto"/>
              <w:jc w:val="center"/>
              <w:rPr>
                <w:rFonts w:ascii="Arial Narrow" w:hAnsi="Arial Narrow" w:cs="Times New Roman"/>
              </w:rPr>
            </w:pPr>
            <w:r w:rsidRPr="00D06EB5">
              <w:rPr>
                <w:rFonts w:ascii="Arial Narrow" w:hAnsi="Arial Narrow" w:cs="Times New Roman"/>
              </w:rPr>
              <w:t>0,800</w:t>
            </w:r>
          </w:p>
        </w:tc>
        <w:tc>
          <w:tcPr>
            <w:tcW w:w="1600" w:type="dxa"/>
            <w:tcBorders>
              <w:top w:val="nil"/>
              <w:left w:val="single" w:sz="8" w:space="0" w:color="auto"/>
              <w:bottom w:val="single" w:sz="4" w:space="0" w:color="auto"/>
              <w:right w:val="single" w:sz="8" w:space="0" w:color="auto"/>
              <w:tl2br w:val="nil"/>
              <w:tr2bl w:val="nil"/>
            </w:tcBorders>
            <w:noWrap/>
            <w:textDirection w:val="lrTb"/>
            <w:vAlign w:val="center"/>
          </w:tcPr>
          <w:p w:rsidR="00CF68BA" w:rsidRPr="00D06EB5" w:rsidP="00CF68BA">
            <w:pPr>
              <w:spacing w:line="240" w:lineRule="auto"/>
              <w:jc w:val="right"/>
              <w:rPr>
                <w:rFonts w:ascii="Arial Narrow" w:hAnsi="Arial Narrow" w:cs="Times New Roman"/>
              </w:rPr>
            </w:pPr>
            <w:r w:rsidRPr="00D06EB5">
              <w:rPr>
                <w:rFonts w:ascii="Arial Narrow" w:hAnsi="Arial Narrow" w:cs="Times New Roman"/>
              </w:rPr>
              <w:t>3</w:t>
            </w:r>
            <w:r w:rsidRPr="00D06EB5">
              <w:rPr>
                <w:rFonts w:ascii="Arial Narrow" w:hAnsi="Arial Narrow" w:cs="Times New Roman"/>
              </w:rPr>
              <w:t xml:space="preserve"> 113,000</w:t>
            </w:r>
          </w:p>
        </w:tc>
      </w:tr>
      <w:tr>
        <w:tblPrEx>
          <w:tblW w:w="9640" w:type="dxa"/>
          <w:tblInd w:w="93" w:type="dxa"/>
        </w:tblPrEx>
        <w:trPr>
          <w:trHeight w:hRule="exact" w:val="227"/>
        </w:trPr>
        <w:tc>
          <w:tcPr>
            <w:tcW w:w="1540" w:type="dxa"/>
            <w:tcBorders>
              <w:top w:val="nil"/>
              <w:left w:val="single" w:sz="8" w:space="0" w:color="auto"/>
              <w:bottom w:val="single" w:sz="4" w:space="0" w:color="auto"/>
              <w:right w:val="single" w:sz="8" w:space="0" w:color="auto"/>
              <w:tl2br w:val="nil"/>
              <w:tr2bl w:val="nil"/>
            </w:tcBorders>
            <w:noWrap/>
            <w:textDirection w:val="lrTb"/>
            <w:vAlign w:val="center"/>
          </w:tcPr>
          <w:p w:rsidR="00CF68BA" w:rsidRPr="00D06EB5" w:rsidP="00CF68BA">
            <w:pPr>
              <w:spacing w:line="240" w:lineRule="auto"/>
              <w:jc w:val="center"/>
              <w:rPr>
                <w:rFonts w:ascii="Arial Narrow" w:hAnsi="Arial Narrow" w:cs="Times New Roman"/>
              </w:rPr>
            </w:pPr>
            <w:r w:rsidRPr="00D06EB5">
              <w:rPr>
                <w:rFonts w:ascii="Arial Narrow" w:hAnsi="Arial Narrow" w:cs="Times New Roman"/>
              </w:rPr>
              <w:t xml:space="preserve"> Vranov n/Top.</w:t>
            </w:r>
          </w:p>
        </w:tc>
        <w:tc>
          <w:tcPr>
            <w:tcW w:w="4900" w:type="dxa"/>
            <w:tcBorders>
              <w:top w:val="nil"/>
              <w:left w:val="nil"/>
              <w:bottom w:val="single" w:sz="4" w:space="0" w:color="auto"/>
              <w:right w:val="nil"/>
              <w:tl2br w:val="nil"/>
              <w:tr2bl w:val="nil"/>
            </w:tcBorders>
            <w:textDirection w:val="lrTb"/>
            <w:vAlign w:val="center"/>
          </w:tcPr>
          <w:p w:rsidR="00CF68BA" w:rsidRPr="00D06EB5" w:rsidP="00CF68BA">
            <w:pPr>
              <w:spacing w:line="240" w:lineRule="auto"/>
              <w:rPr>
                <w:rFonts w:ascii="Arial Narrow" w:hAnsi="Arial Narrow" w:cs="Times New Roman"/>
              </w:rPr>
            </w:pPr>
            <w:r w:rsidRPr="00D06EB5">
              <w:rPr>
                <w:rFonts w:ascii="Arial Narrow" w:hAnsi="Arial Narrow" w:cs="Times New Roman"/>
              </w:rPr>
              <w:t xml:space="preserve"> I/15 Benkovce oprava cesty v km 10,560 -13,560 I.etapa  </w:t>
            </w:r>
          </w:p>
        </w:tc>
        <w:tc>
          <w:tcPr>
            <w:tcW w:w="1600" w:type="dxa"/>
            <w:tcBorders>
              <w:top w:val="nil"/>
              <w:left w:val="single" w:sz="8" w:space="0" w:color="auto"/>
              <w:bottom w:val="single" w:sz="4" w:space="0" w:color="auto"/>
              <w:right w:val="nil"/>
              <w:tl2br w:val="nil"/>
              <w:tr2bl w:val="nil"/>
            </w:tcBorders>
            <w:noWrap/>
            <w:textDirection w:val="lrTb"/>
            <w:vAlign w:val="center"/>
          </w:tcPr>
          <w:p w:rsidR="00CF68BA" w:rsidRPr="00D06EB5" w:rsidP="00CF68BA">
            <w:pPr>
              <w:spacing w:line="240" w:lineRule="auto"/>
              <w:jc w:val="center"/>
              <w:rPr>
                <w:rFonts w:ascii="Arial Narrow" w:hAnsi="Arial Narrow" w:cs="Times New Roman"/>
              </w:rPr>
            </w:pPr>
            <w:r w:rsidRPr="00D06EB5">
              <w:rPr>
                <w:rFonts w:ascii="Arial Narrow" w:hAnsi="Arial Narrow" w:cs="Times New Roman"/>
              </w:rPr>
              <w:t>2,950</w:t>
            </w:r>
          </w:p>
        </w:tc>
        <w:tc>
          <w:tcPr>
            <w:tcW w:w="1600" w:type="dxa"/>
            <w:tcBorders>
              <w:top w:val="nil"/>
              <w:left w:val="single" w:sz="8" w:space="0" w:color="auto"/>
              <w:bottom w:val="single" w:sz="4" w:space="0" w:color="auto"/>
              <w:right w:val="single" w:sz="8" w:space="0" w:color="auto"/>
              <w:tl2br w:val="nil"/>
              <w:tr2bl w:val="nil"/>
            </w:tcBorders>
            <w:noWrap/>
            <w:textDirection w:val="lrTb"/>
            <w:vAlign w:val="center"/>
          </w:tcPr>
          <w:p w:rsidR="00CF68BA" w:rsidRPr="00D06EB5" w:rsidP="00CF68BA">
            <w:pPr>
              <w:spacing w:line="240" w:lineRule="auto"/>
              <w:jc w:val="right"/>
              <w:rPr>
                <w:rFonts w:ascii="Arial Narrow" w:hAnsi="Arial Narrow" w:cs="Times New Roman"/>
              </w:rPr>
            </w:pPr>
            <w:r w:rsidRPr="00D06EB5">
              <w:rPr>
                <w:rFonts w:ascii="Arial Narrow" w:hAnsi="Arial Narrow" w:cs="Times New Roman"/>
              </w:rPr>
              <w:t>2 864,000</w:t>
            </w:r>
          </w:p>
        </w:tc>
      </w:tr>
      <w:tr>
        <w:tblPrEx>
          <w:tblW w:w="9640" w:type="dxa"/>
          <w:tblInd w:w="93" w:type="dxa"/>
        </w:tblPrEx>
        <w:trPr>
          <w:trHeight w:hRule="exact" w:val="227"/>
        </w:trPr>
        <w:tc>
          <w:tcPr>
            <w:tcW w:w="1540" w:type="dxa"/>
            <w:vMerge w:val="restart"/>
            <w:tcBorders>
              <w:top w:val="nil"/>
              <w:left w:val="single" w:sz="8" w:space="0" w:color="auto"/>
              <w:bottom w:val="nil"/>
              <w:right w:val="single" w:sz="8" w:space="0" w:color="auto"/>
              <w:tl2br w:val="nil"/>
              <w:tr2bl w:val="nil"/>
            </w:tcBorders>
            <w:noWrap/>
            <w:textDirection w:val="lrTb"/>
            <w:vAlign w:val="center"/>
          </w:tcPr>
          <w:p w:rsidR="00CF68BA" w:rsidRPr="00D06EB5" w:rsidP="00CF68BA">
            <w:pPr>
              <w:spacing w:line="240" w:lineRule="auto"/>
              <w:jc w:val="center"/>
              <w:rPr>
                <w:rFonts w:ascii="Arial Narrow" w:hAnsi="Arial Narrow" w:cs="Times New Roman"/>
              </w:rPr>
            </w:pPr>
            <w:r w:rsidRPr="00D06EB5">
              <w:rPr>
                <w:rFonts w:ascii="Arial Narrow" w:hAnsi="Arial Narrow" w:cs="Times New Roman"/>
              </w:rPr>
              <w:t xml:space="preserve"> Michalovce </w:t>
            </w:r>
          </w:p>
        </w:tc>
        <w:tc>
          <w:tcPr>
            <w:tcW w:w="4900" w:type="dxa"/>
            <w:tcBorders>
              <w:top w:val="nil"/>
              <w:left w:val="nil"/>
              <w:bottom w:val="single" w:sz="4" w:space="0" w:color="auto"/>
              <w:right w:val="nil"/>
              <w:tl2br w:val="nil"/>
              <w:tr2bl w:val="nil"/>
            </w:tcBorders>
            <w:textDirection w:val="lrTb"/>
            <w:vAlign w:val="center"/>
          </w:tcPr>
          <w:p w:rsidR="00CF68BA" w:rsidRPr="00D06EB5" w:rsidP="00CF68BA">
            <w:pPr>
              <w:spacing w:line="240" w:lineRule="auto"/>
              <w:rPr>
                <w:rFonts w:ascii="Arial Narrow" w:hAnsi="Arial Narrow" w:cs="Times New Roman"/>
              </w:rPr>
            </w:pPr>
            <w:r w:rsidRPr="00D06EB5">
              <w:rPr>
                <w:rFonts w:ascii="Arial Narrow" w:hAnsi="Arial Narrow" w:cs="Times New Roman"/>
              </w:rPr>
              <w:t xml:space="preserve"> I/18 Topoľany - Michalovce oprava cesty I. etapa </w:t>
            </w:r>
          </w:p>
        </w:tc>
        <w:tc>
          <w:tcPr>
            <w:tcW w:w="1600" w:type="dxa"/>
            <w:tcBorders>
              <w:top w:val="nil"/>
              <w:left w:val="single" w:sz="8" w:space="0" w:color="auto"/>
              <w:bottom w:val="single" w:sz="4" w:space="0" w:color="auto"/>
              <w:right w:val="nil"/>
              <w:tl2br w:val="nil"/>
              <w:tr2bl w:val="nil"/>
            </w:tcBorders>
            <w:noWrap/>
            <w:textDirection w:val="lrTb"/>
            <w:vAlign w:val="center"/>
          </w:tcPr>
          <w:p w:rsidR="00CF68BA" w:rsidRPr="00D06EB5" w:rsidP="00CF68BA">
            <w:pPr>
              <w:spacing w:line="240" w:lineRule="auto"/>
              <w:jc w:val="center"/>
              <w:rPr>
                <w:rFonts w:ascii="Arial Narrow" w:hAnsi="Arial Narrow" w:cs="Times New Roman"/>
              </w:rPr>
            </w:pPr>
            <w:r w:rsidRPr="00D06EB5">
              <w:rPr>
                <w:rFonts w:ascii="Arial Narrow" w:hAnsi="Arial Narrow" w:cs="Times New Roman"/>
              </w:rPr>
              <w:t>3,000</w:t>
            </w:r>
          </w:p>
        </w:tc>
        <w:tc>
          <w:tcPr>
            <w:tcW w:w="1600" w:type="dxa"/>
            <w:tcBorders>
              <w:top w:val="nil"/>
              <w:left w:val="single" w:sz="8" w:space="0" w:color="auto"/>
              <w:bottom w:val="single" w:sz="4" w:space="0" w:color="auto"/>
              <w:right w:val="single" w:sz="8" w:space="0" w:color="auto"/>
              <w:tl2br w:val="nil"/>
              <w:tr2bl w:val="nil"/>
            </w:tcBorders>
            <w:noWrap/>
            <w:textDirection w:val="lrTb"/>
            <w:vAlign w:val="center"/>
          </w:tcPr>
          <w:p w:rsidR="00CF68BA" w:rsidRPr="00D06EB5" w:rsidP="00CF68BA">
            <w:pPr>
              <w:spacing w:line="240" w:lineRule="auto"/>
              <w:jc w:val="right"/>
              <w:rPr>
                <w:rFonts w:ascii="Arial Narrow" w:hAnsi="Arial Narrow" w:cs="Times New Roman"/>
              </w:rPr>
            </w:pPr>
            <w:r w:rsidRPr="00D06EB5">
              <w:rPr>
                <w:rFonts w:ascii="Arial Narrow" w:hAnsi="Arial Narrow" w:cs="Times New Roman"/>
              </w:rPr>
              <w:t>10 103,000</w:t>
            </w:r>
          </w:p>
        </w:tc>
      </w:tr>
      <w:tr>
        <w:tblPrEx>
          <w:tblW w:w="9640" w:type="dxa"/>
          <w:tblInd w:w="93" w:type="dxa"/>
        </w:tblPrEx>
        <w:trPr>
          <w:trHeight w:hRule="exact" w:val="227"/>
        </w:trPr>
        <w:tc>
          <w:tcPr>
            <w:tcW w:w="1540" w:type="dxa"/>
            <w:vMerge/>
            <w:tcBorders>
              <w:top w:val="nil"/>
              <w:left w:val="single" w:sz="8" w:space="0" w:color="auto"/>
              <w:bottom w:val="single" w:sz="4" w:space="0" w:color="auto"/>
              <w:right w:val="single" w:sz="8" w:space="0" w:color="auto"/>
              <w:tl2br w:val="nil"/>
              <w:tr2bl w:val="nil"/>
            </w:tcBorders>
            <w:noWrap/>
            <w:textDirection w:val="lrTb"/>
            <w:vAlign w:val="center"/>
          </w:tcPr>
          <w:p w:rsidR="00CF68BA" w:rsidRPr="00D06EB5" w:rsidP="00CF68BA">
            <w:pPr>
              <w:spacing w:line="240" w:lineRule="auto"/>
              <w:jc w:val="center"/>
              <w:rPr>
                <w:rFonts w:ascii="Arial Narrow" w:hAnsi="Arial Narrow" w:cs="Times New Roman"/>
              </w:rPr>
            </w:pPr>
          </w:p>
        </w:tc>
        <w:tc>
          <w:tcPr>
            <w:tcW w:w="4900" w:type="dxa"/>
            <w:tcBorders>
              <w:top w:val="nil"/>
              <w:left w:val="nil"/>
              <w:bottom w:val="single" w:sz="4" w:space="0" w:color="auto"/>
              <w:right w:val="nil"/>
              <w:tl2br w:val="nil"/>
              <w:tr2bl w:val="nil"/>
            </w:tcBorders>
            <w:textDirection w:val="lrTb"/>
            <w:vAlign w:val="center"/>
          </w:tcPr>
          <w:p w:rsidR="00CF68BA" w:rsidRPr="00D06EB5" w:rsidP="00CF68BA">
            <w:pPr>
              <w:spacing w:line="240" w:lineRule="auto"/>
              <w:rPr>
                <w:rFonts w:ascii="Arial Narrow" w:hAnsi="Arial Narrow" w:cs="Times New Roman"/>
              </w:rPr>
            </w:pPr>
            <w:r w:rsidRPr="00D06EB5">
              <w:rPr>
                <w:rFonts w:ascii="Arial Narrow" w:hAnsi="Arial Narrow" w:cs="Times New Roman"/>
              </w:rPr>
              <w:t xml:space="preserve"> I/50 Michalovce mostč.50-359 -diagnostika  </w:t>
            </w:r>
          </w:p>
        </w:tc>
        <w:tc>
          <w:tcPr>
            <w:tcW w:w="1600" w:type="dxa"/>
            <w:tcBorders>
              <w:top w:val="nil"/>
              <w:left w:val="single" w:sz="8" w:space="0" w:color="auto"/>
              <w:bottom w:val="single" w:sz="4" w:space="0" w:color="auto"/>
              <w:right w:val="nil"/>
              <w:tl2br w:val="nil"/>
              <w:tr2bl w:val="nil"/>
            </w:tcBorders>
            <w:noWrap/>
            <w:textDirection w:val="lrTb"/>
            <w:vAlign w:val="center"/>
          </w:tcPr>
          <w:p w:rsidR="00CF68BA" w:rsidRPr="00D06EB5" w:rsidP="00CF68BA">
            <w:pPr>
              <w:spacing w:line="240" w:lineRule="auto"/>
              <w:jc w:val="center"/>
              <w:rPr>
                <w:rFonts w:ascii="Arial Narrow" w:hAnsi="Arial Narrow" w:cs="Times New Roman"/>
              </w:rPr>
            </w:pPr>
            <w:r w:rsidRPr="00D06EB5">
              <w:rPr>
                <w:rFonts w:ascii="Arial Narrow" w:hAnsi="Arial Narrow" w:cs="Times New Roman"/>
              </w:rPr>
              <w:t>0,300</w:t>
            </w:r>
          </w:p>
        </w:tc>
        <w:tc>
          <w:tcPr>
            <w:tcW w:w="1600" w:type="dxa"/>
            <w:tcBorders>
              <w:top w:val="nil"/>
              <w:left w:val="single" w:sz="8" w:space="0" w:color="auto"/>
              <w:bottom w:val="single" w:sz="4" w:space="0" w:color="auto"/>
              <w:right w:val="single" w:sz="8" w:space="0" w:color="auto"/>
              <w:tl2br w:val="nil"/>
              <w:tr2bl w:val="nil"/>
            </w:tcBorders>
            <w:noWrap/>
            <w:textDirection w:val="lrTb"/>
            <w:vAlign w:val="center"/>
          </w:tcPr>
          <w:p w:rsidR="00CF68BA" w:rsidRPr="00D06EB5" w:rsidP="00CF68BA">
            <w:pPr>
              <w:spacing w:line="240" w:lineRule="auto"/>
              <w:jc w:val="right"/>
              <w:rPr>
                <w:rFonts w:ascii="Arial Narrow" w:hAnsi="Arial Narrow" w:cs="Times New Roman"/>
              </w:rPr>
            </w:pPr>
            <w:r w:rsidRPr="00D06EB5">
              <w:rPr>
                <w:rFonts w:ascii="Arial Narrow" w:hAnsi="Arial Narrow" w:cs="Times New Roman"/>
              </w:rPr>
              <w:t>195,000</w:t>
            </w:r>
          </w:p>
        </w:tc>
      </w:tr>
      <w:tr>
        <w:tblPrEx>
          <w:tblW w:w="9640" w:type="dxa"/>
          <w:tblInd w:w="93" w:type="dxa"/>
        </w:tblPrEx>
        <w:trPr>
          <w:trHeight w:hRule="exact" w:val="227"/>
        </w:trPr>
        <w:tc>
          <w:tcPr>
            <w:tcW w:w="1540" w:type="dxa"/>
            <w:vMerge w:val="restart"/>
            <w:tcBorders>
              <w:top w:val="nil"/>
              <w:left w:val="single" w:sz="8" w:space="0" w:color="auto"/>
              <w:bottom w:val="nil"/>
              <w:right w:val="single" w:sz="8" w:space="0" w:color="auto"/>
              <w:tl2br w:val="nil"/>
              <w:tr2bl w:val="nil"/>
            </w:tcBorders>
            <w:noWrap/>
            <w:textDirection w:val="lrTb"/>
            <w:vAlign w:val="center"/>
          </w:tcPr>
          <w:p w:rsidR="00CF68BA" w:rsidRPr="00D06EB5" w:rsidP="00CF68BA">
            <w:pPr>
              <w:spacing w:line="240" w:lineRule="auto"/>
              <w:jc w:val="center"/>
              <w:rPr>
                <w:rFonts w:ascii="Arial Narrow" w:hAnsi="Arial Narrow" w:cs="Times New Roman"/>
              </w:rPr>
            </w:pPr>
            <w:r w:rsidRPr="00D06EB5">
              <w:rPr>
                <w:rFonts w:ascii="Arial Narrow" w:hAnsi="Arial Narrow" w:cs="Times New Roman"/>
              </w:rPr>
              <w:t>Rožňava</w:t>
            </w:r>
          </w:p>
        </w:tc>
        <w:tc>
          <w:tcPr>
            <w:tcW w:w="4900" w:type="dxa"/>
            <w:tcBorders>
              <w:top w:val="nil"/>
              <w:left w:val="nil"/>
              <w:bottom w:val="single" w:sz="4" w:space="0" w:color="auto"/>
              <w:right w:val="nil"/>
              <w:tl2br w:val="nil"/>
              <w:tr2bl w:val="nil"/>
            </w:tcBorders>
            <w:textDirection w:val="lrTb"/>
            <w:vAlign w:val="center"/>
          </w:tcPr>
          <w:p w:rsidR="00CF68BA" w:rsidRPr="00D06EB5" w:rsidP="00CF68BA">
            <w:pPr>
              <w:spacing w:line="240" w:lineRule="auto"/>
              <w:rPr>
                <w:rFonts w:ascii="Arial Narrow" w:hAnsi="Arial Narrow" w:cs="Times New Roman"/>
              </w:rPr>
            </w:pPr>
            <w:r w:rsidRPr="00D06EB5">
              <w:rPr>
                <w:rFonts w:ascii="Arial Narrow" w:hAnsi="Arial Narrow" w:cs="Times New Roman"/>
              </w:rPr>
              <w:t xml:space="preserve"> I/50 Čoltovo - Plešivec oprava cesty </w:t>
            </w:r>
          </w:p>
        </w:tc>
        <w:tc>
          <w:tcPr>
            <w:tcW w:w="1600" w:type="dxa"/>
            <w:tcBorders>
              <w:top w:val="nil"/>
              <w:left w:val="single" w:sz="8" w:space="0" w:color="auto"/>
              <w:bottom w:val="single" w:sz="4" w:space="0" w:color="auto"/>
              <w:right w:val="nil"/>
              <w:tl2br w:val="nil"/>
              <w:tr2bl w:val="nil"/>
            </w:tcBorders>
            <w:noWrap/>
            <w:textDirection w:val="lrTb"/>
            <w:vAlign w:val="center"/>
          </w:tcPr>
          <w:p w:rsidR="00CF68BA" w:rsidRPr="00D06EB5" w:rsidP="00CF68BA">
            <w:pPr>
              <w:spacing w:line="240" w:lineRule="auto"/>
              <w:jc w:val="center"/>
              <w:rPr>
                <w:rFonts w:ascii="Arial Narrow" w:hAnsi="Arial Narrow" w:cs="Times New Roman"/>
              </w:rPr>
            </w:pPr>
            <w:r w:rsidRPr="00D06EB5">
              <w:rPr>
                <w:rFonts w:ascii="Arial Narrow" w:hAnsi="Arial Narrow" w:cs="Times New Roman"/>
              </w:rPr>
              <w:t>1,400</w:t>
            </w:r>
          </w:p>
        </w:tc>
        <w:tc>
          <w:tcPr>
            <w:tcW w:w="1600" w:type="dxa"/>
            <w:tcBorders>
              <w:top w:val="nil"/>
              <w:left w:val="single" w:sz="8" w:space="0" w:color="auto"/>
              <w:bottom w:val="single" w:sz="4" w:space="0" w:color="auto"/>
              <w:right w:val="single" w:sz="8" w:space="0" w:color="auto"/>
              <w:tl2br w:val="nil"/>
              <w:tr2bl w:val="nil"/>
            </w:tcBorders>
            <w:noWrap/>
            <w:textDirection w:val="lrTb"/>
            <w:vAlign w:val="center"/>
          </w:tcPr>
          <w:p w:rsidR="00CF68BA" w:rsidRPr="00D06EB5" w:rsidP="00CF68BA">
            <w:pPr>
              <w:spacing w:line="240" w:lineRule="auto"/>
              <w:jc w:val="right"/>
              <w:rPr>
                <w:rFonts w:ascii="Arial Narrow" w:hAnsi="Arial Narrow" w:cs="Times New Roman"/>
              </w:rPr>
            </w:pPr>
            <w:r w:rsidRPr="00D06EB5">
              <w:rPr>
                <w:rFonts w:ascii="Arial Narrow" w:hAnsi="Arial Narrow" w:cs="Times New Roman"/>
              </w:rPr>
              <w:t>7 027,000</w:t>
            </w:r>
          </w:p>
        </w:tc>
      </w:tr>
      <w:tr>
        <w:tblPrEx>
          <w:tblW w:w="9640" w:type="dxa"/>
          <w:tblInd w:w="93" w:type="dxa"/>
        </w:tblPrEx>
        <w:trPr>
          <w:trHeight w:hRule="exact" w:val="227"/>
        </w:trPr>
        <w:tc>
          <w:tcPr>
            <w:tcW w:w="1540" w:type="dxa"/>
            <w:vMerge/>
            <w:tcBorders>
              <w:top w:val="nil"/>
              <w:left w:val="single" w:sz="8" w:space="0" w:color="auto"/>
              <w:bottom w:val="single" w:sz="4" w:space="0" w:color="auto"/>
              <w:right w:val="single" w:sz="8" w:space="0" w:color="auto"/>
              <w:tl2br w:val="nil"/>
              <w:tr2bl w:val="nil"/>
            </w:tcBorders>
            <w:noWrap/>
            <w:textDirection w:val="lrTb"/>
            <w:vAlign w:val="center"/>
          </w:tcPr>
          <w:p w:rsidR="00CF68BA" w:rsidRPr="00D06EB5" w:rsidP="00CF68BA">
            <w:pPr>
              <w:spacing w:line="240" w:lineRule="auto"/>
              <w:jc w:val="center"/>
              <w:rPr>
                <w:rFonts w:ascii="Arial Narrow" w:hAnsi="Arial Narrow" w:cs="Times New Roman"/>
              </w:rPr>
            </w:pPr>
          </w:p>
        </w:tc>
        <w:tc>
          <w:tcPr>
            <w:tcW w:w="4900" w:type="dxa"/>
            <w:tcBorders>
              <w:top w:val="nil"/>
              <w:left w:val="nil"/>
              <w:bottom w:val="single" w:sz="4" w:space="0" w:color="auto"/>
              <w:right w:val="nil"/>
              <w:tl2br w:val="nil"/>
              <w:tr2bl w:val="nil"/>
            </w:tcBorders>
            <w:textDirection w:val="lrTb"/>
            <w:vAlign w:val="center"/>
          </w:tcPr>
          <w:p w:rsidR="00CF68BA" w:rsidRPr="00D06EB5" w:rsidP="00CF68BA">
            <w:pPr>
              <w:spacing w:line="240" w:lineRule="auto"/>
              <w:rPr>
                <w:rFonts w:ascii="Arial Narrow" w:hAnsi="Arial Narrow" w:cs="Times New Roman"/>
              </w:rPr>
            </w:pPr>
            <w:r w:rsidRPr="00D06EB5">
              <w:rPr>
                <w:rFonts w:ascii="Arial Narrow" w:hAnsi="Arial Narrow" w:cs="Times New Roman"/>
              </w:rPr>
              <w:t xml:space="preserve"> I/50 Rožňava - Krásnohorské Podhradie oprava cesty  </w:t>
            </w:r>
          </w:p>
        </w:tc>
        <w:tc>
          <w:tcPr>
            <w:tcW w:w="1600" w:type="dxa"/>
            <w:tcBorders>
              <w:top w:val="nil"/>
              <w:left w:val="single" w:sz="8" w:space="0" w:color="auto"/>
              <w:bottom w:val="single" w:sz="4" w:space="0" w:color="auto"/>
              <w:right w:val="nil"/>
              <w:tl2br w:val="nil"/>
              <w:tr2bl w:val="nil"/>
            </w:tcBorders>
            <w:noWrap/>
            <w:textDirection w:val="lrTb"/>
            <w:vAlign w:val="center"/>
          </w:tcPr>
          <w:p w:rsidR="00CF68BA" w:rsidRPr="00D06EB5" w:rsidP="00CF68BA">
            <w:pPr>
              <w:spacing w:line="240" w:lineRule="auto"/>
              <w:jc w:val="center"/>
              <w:rPr>
                <w:rFonts w:ascii="Arial Narrow" w:hAnsi="Arial Narrow" w:cs="Times New Roman"/>
              </w:rPr>
            </w:pPr>
            <w:r w:rsidRPr="00D06EB5">
              <w:rPr>
                <w:rFonts w:ascii="Arial Narrow" w:hAnsi="Arial Narrow" w:cs="Times New Roman"/>
              </w:rPr>
              <w:t>4,000</w:t>
            </w:r>
          </w:p>
        </w:tc>
        <w:tc>
          <w:tcPr>
            <w:tcW w:w="1600" w:type="dxa"/>
            <w:tcBorders>
              <w:top w:val="nil"/>
              <w:left w:val="single" w:sz="8" w:space="0" w:color="auto"/>
              <w:bottom w:val="single" w:sz="4" w:space="0" w:color="auto"/>
              <w:right w:val="single" w:sz="8" w:space="0" w:color="auto"/>
              <w:tl2br w:val="nil"/>
              <w:tr2bl w:val="nil"/>
            </w:tcBorders>
            <w:noWrap/>
            <w:textDirection w:val="lrTb"/>
            <w:vAlign w:val="center"/>
          </w:tcPr>
          <w:p w:rsidR="00CF68BA" w:rsidRPr="00D06EB5" w:rsidP="00CF68BA">
            <w:pPr>
              <w:spacing w:line="240" w:lineRule="auto"/>
              <w:jc w:val="right"/>
              <w:rPr>
                <w:rFonts w:ascii="Arial Narrow" w:hAnsi="Arial Narrow" w:cs="Times New Roman"/>
              </w:rPr>
            </w:pPr>
            <w:r w:rsidRPr="00D06EB5">
              <w:rPr>
                <w:rFonts w:ascii="Arial Narrow" w:hAnsi="Arial Narrow" w:cs="Times New Roman"/>
              </w:rPr>
              <w:t>9 567,000</w:t>
            </w:r>
          </w:p>
        </w:tc>
      </w:tr>
      <w:tr>
        <w:tblPrEx>
          <w:tblW w:w="9640" w:type="dxa"/>
          <w:tblInd w:w="93" w:type="dxa"/>
        </w:tblPrEx>
        <w:trPr>
          <w:trHeight w:hRule="exact" w:val="227"/>
        </w:trPr>
        <w:tc>
          <w:tcPr>
            <w:tcW w:w="1540" w:type="dxa"/>
            <w:tcBorders>
              <w:top w:val="nil"/>
              <w:left w:val="single" w:sz="8" w:space="0" w:color="auto"/>
              <w:bottom w:val="single" w:sz="8" w:space="0" w:color="auto"/>
              <w:right w:val="single" w:sz="8" w:space="0" w:color="auto"/>
              <w:tl2br w:val="nil"/>
              <w:tr2bl w:val="nil"/>
            </w:tcBorders>
            <w:noWrap/>
            <w:textDirection w:val="lrTb"/>
            <w:vAlign w:val="center"/>
          </w:tcPr>
          <w:p w:rsidR="00CF68BA" w:rsidRPr="00D06EB5" w:rsidP="00CF68BA">
            <w:pPr>
              <w:spacing w:line="240" w:lineRule="auto"/>
              <w:jc w:val="center"/>
              <w:rPr>
                <w:rFonts w:ascii="Arial Narrow" w:hAnsi="Arial Narrow" w:cs="Times New Roman"/>
              </w:rPr>
            </w:pPr>
            <w:r w:rsidRPr="00D06EB5">
              <w:rPr>
                <w:rFonts w:ascii="Arial Narrow" w:hAnsi="Arial Narrow" w:cs="Times New Roman"/>
              </w:rPr>
              <w:t xml:space="preserve"> Trebišov </w:t>
            </w:r>
          </w:p>
        </w:tc>
        <w:tc>
          <w:tcPr>
            <w:tcW w:w="4900" w:type="dxa"/>
            <w:tcBorders>
              <w:top w:val="nil"/>
              <w:left w:val="nil"/>
              <w:bottom w:val="single" w:sz="8" w:space="0" w:color="auto"/>
              <w:right w:val="nil"/>
              <w:tl2br w:val="nil"/>
              <w:tr2bl w:val="nil"/>
            </w:tcBorders>
            <w:textDirection w:val="lrTb"/>
            <w:vAlign w:val="center"/>
          </w:tcPr>
          <w:p w:rsidR="00CF68BA" w:rsidRPr="00D06EB5" w:rsidP="00CF68BA">
            <w:pPr>
              <w:spacing w:line="240" w:lineRule="auto"/>
              <w:rPr>
                <w:rFonts w:ascii="Arial Narrow" w:hAnsi="Arial Narrow" w:cs="Times New Roman"/>
              </w:rPr>
            </w:pPr>
            <w:r w:rsidRPr="00D06EB5">
              <w:rPr>
                <w:rFonts w:ascii="Arial Narrow" w:hAnsi="Arial Narrow" w:cs="Times New Roman"/>
              </w:rPr>
              <w:t xml:space="preserve"> I/79 Veľaty -Luhyňa oprava cesty </w:t>
            </w:r>
          </w:p>
        </w:tc>
        <w:tc>
          <w:tcPr>
            <w:tcW w:w="1600" w:type="dxa"/>
            <w:tcBorders>
              <w:top w:val="nil"/>
              <w:left w:val="single" w:sz="8" w:space="0" w:color="auto"/>
              <w:bottom w:val="single" w:sz="8" w:space="0" w:color="auto"/>
              <w:right w:val="nil"/>
              <w:tl2br w:val="nil"/>
              <w:tr2bl w:val="nil"/>
            </w:tcBorders>
            <w:noWrap/>
            <w:textDirection w:val="lrTb"/>
            <w:vAlign w:val="center"/>
          </w:tcPr>
          <w:p w:rsidR="00CF68BA" w:rsidRPr="00D06EB5" w:rsidP="00CF68BA">
            <w:pPr>
              <w:spacing w:line="240" w:lineRule="auto"/>
              <w:jc w:val="center"/>
              <w:rPr>
                <w:rFonts w:ascii="Arial Narrow" w:hAnsi="Arial Narrow" w:cs="Times New Roman"/>
              </w:rPr>
            </w:pPr>
            <w:r w:rsidRPr="00D06EB5">
              <w:rPr>
                <w:rFonts w:ascii="Arial Narrow" w:hAnsi="Arial Narrow" w:cs="Times New Roman"/>
              </w:rPr>
              <w:t>0,650</w:t>
            </w:r>
          </w:p>
        </w:tc>
        <w:tc>
          <w:tcPr>
            <w:tcW w:w="1600" w:type="dxa"/>
            <w:tcBorders>
              <w:top w:val="nil"/>
              <w:left w:val="single" w:sz="8" w:space="0" w:color="auto"/>
              <w:bottom w:val="single" w:sz="8" w:space="0" w:color="auto"/>
              <w:right w:val="single" w:sz="8" w:space="0" w:color="auto"/>
              <w:tl2br w:val="nil"/>
              <w:tr2bl w:val="nil"/>
            </w:tcBorders>
            <w:noWrap/>
            <w:textDirection w:val="lrTb"/>
            <w:vAlign w:val="center"/>
          </w:tcPr>
          <w:p w:rsidR="00CF68BA" w:rsidRPr="00D06EB5" w:rsidP="00CF68BA">
            <w:pPr>
              <w:spacing w:line="240" w:lineRule="auto"/>
              <w:jc w:val="right"/>
              <w:rPr>
                <w:rFonts w:ascii="Arial Narrow" w:hAnsi="Arial Narrow" w:cs="Times New Roman"/>
              </w:rPr>
            </w:pPr>
            <w:r w:rsidRPr="00D06EB5">
              <w:rPr>
                <w:rFonts w:ascii="Arial Narrow" w:hAnsi="Arial Narrow" w:cs="Times New Roman"/>
              </w:rPr>
              <w:t>4 008,000</w:t>
            </w:r>
          </w:p>
        </w:tc>
      </w:tr>
      <w:tr>
        <w:tblPrEx>
          <w:tblW w:w="9640" w:type="dxa"/>
          <w:tblInd w:w="93" w:type="dxa"/>
        </w:tblPrEx>
        <w:trPr>
          <w:trHeight w:val="270"/>
        </w:trPr>
        <w:tc>
          <w:tcPr>
            <w:tcW w:w="1540" w:type="dxa"/>
            <w:tcBorders>
              <w:top w:val="single" w:sz="8" w:space="0" w:color="auto"/>
              <w:left w:val="single" w:sz="8" w:space="0" w:color="auto"/>
              <w:bottom w:val="single" w:sz="8" w:space="0" w:color="auto"/>
              <w:right w:val="nil"/>
              <w:tl2br w:val="nil"/>
              <w:tr2bl w:val="nil"/>
            </w:tcBorders>
            <w:shd w:val="clear" w:color="auto" w:fill="C0C0C0"/>
            <w:noWrap/>
            <w:textDirection w:val="lrTb"/>
            <w:vAlign w:val="center"/>
          </w:tcPr>
          <w:p w:rsidR="00CF68BA" w:rsidRPr="00D06EB5" w:rsidP="00CF68BA">
            <w:pPr>
              <w:spacing w:line="240" w:lineRule="auto"/>
              <w:jc w:val="center"/>
              <w:rPr>
                <w:rFonts w:ascii="Arial Narrow" w:hAnsi="Arial Narrow" w:cs="Times New Roman"/>
                <w:b/>
              </w:rPr>
            </w:pPr>
            <w:r w:rsidRPr="00D06EB5">
              <w:rPr>
                <w:rFonts w:ascii="Arial Narrow" w:hAnsi="Arial Narrow" w:cs="Times New Roman"/>
                <w:b/>
              </w:rPr>
              <w:t> </w:t>
            </w:r>
          </w:p>
        </w:tc>
        <w:tc>
          <w:tcPr>
            <w:tcW w:w="4900" w:type="dxa"/>
            <w:tcBorders>
              <w:top w:val="single" w:sz="8" w:space="0" w:color="auto"/>
              <w:left w:val="single" w:sz="8" w:space="0" w:color="auto"/>
              <w:bottom w:val="single" w:sz="8" w:space="0" w:color="auto"/>
              <w:right w:val="single" w:sz="8" w:space="0" w:color="auto"/>
              <w:tl2br w:val="nil"/>
              <w:tr2bl w:val="nil"/>
            </w:tcBorders>
            <w:shd w:val="clear" w:color="auto" w:fill="C0C0C0"/>
            <w:noWrap/>
            <w:textDirection w:val="lrTb"/>
            <w:vAlign w:val="center"/>
          </w:tcPr>
          <w:p w:rsidR="00CF68BA" w:rsidRPr="00D06EB5" w:rsidP="00CF68BA">
            <w:pPr>
              <w:spacing w:line="240" w:lineRule="auto"/>
              <w:rPr>
                <w:rFonts w:ascii="Arial Narrow" w:hAnsi="Arial Narrow" w:cs="Times New Roman"/>
                <w:b/>
                <w:bCs/>
                <w:sz w:val="24"/>
                <w:szCs w:val="24"/>
              </w:rPr>
            </w:pPr>
            <w:r w:rsidRPr="00D06EB5">
              <w:rPr>
                <w:rFonts w:ascii="Arial Narrow" w:hAnsi="Arial Narrow" w:cs="Times New Roman"/>
                <w:b/>
                <w:bCs/>
                <w:sz w:val="24"/>
                <w:szCs w:val="24"/>
              </w:rPr>
              <w:t>SPOLU</w:t>
            </w:r>
          </w:p>
        </w:tc>
        <w:tc>
          <w:tcPr>
            <w:tcW w:w="1600" w:type="dxa"/>
            <w:tcBorders>
              <w:top w:val="single" w:sz="8" w:space="0" w:color="auto"/>
              <w:left w:val="nil"/>
              <w:bottom w:val="single" w:sz="8" w:space="0" w:color="auto"/>
              <w:right w:val="nil"/>
              <w:tl2br w:val="nil"/>
              <w:tr2bl w:val="nil"/>
            </w:tcBorders>
            <w:shd w:val="clear" w:color="auto" w:fill="C0C0C0"/>
            <w:noWrap/>
            <w:textDirection w:val="lrTb"/>
            <w:vAlign w:val="center"/>
          </w:tcPr>
          <w:p w:rsidR="00CF68BA" w:rsidRPr="00D06EB5" w:rsidP="00CF68BA">
            <w:pPr>
              <w:spacing w:line="240" w:lineRule="auto"/>
              <w:jc w:val="center"/>
              <w:rPr>
                <w:rFonts w:ascii="Arial Narrow" w:hAnsi="Arial Narrow" w:cs="Times New Roman"/>
                <w:b/>
                <w:sz w:val="24"/>
                <w:szCs w:val="24"/>
              </w:rPr>
            </w:pPr>
            <w:r w:rsidRPr="00D06EB5">
              <w:rPr>
                <w:rFonts w:ascii="Arial Narrow" w:hAnsi="Arial Narrow" w:cs="Times New Roman"/>
                <w:b/>
                <w:sz w:val="24"/>
                <w:szCs w:val="24"/>
              </w:rPr>
              <w:t>37,825</w:t>
            </w:r>
          </w:p>
        </w:tc>
        <w:tc>
          <w:tcPr>
            <w:tcW w:w="1600" w:type="dxa"/>
            <w:tcBorders>
              <w:top w:val="single" w:sz="8" w:space="0" w:color="auto"/>
              <w:left w:val="single" w:sz="8" w:space="0" w:color="auto"/>
              <w:bottom w:val="single" w:sz="8" w:space="0" w:color="auto"/>
              <w:right w:val="single" w:sz="8" w:space="0" w:color="auto"/>
              <w:tl2br w:val="nil"/>
              <w:tr2bl w:val="nil"/>
            </w:tcBorders>
            <w:shd w:val="clear" w:color="auto" w:fill="C0C0C0"/>
            <w:noWrap/>
            <w:textDirection w:val="lrTb"/>
            <w:vAlign w:val="center"/>
          </w:tcPr>
          <w:p w:rsidR="00CF68BA" w:rsidRPr="00D06EB5" w:rsidP="00CF68BA">
            <w:pPr>
              <w:spacing w:line="240" w:lineRule="auto"/>
              <w:jc w:val="right"/>
              <w:rPr>
                <w:rFonts w:ascii="Arial Narrow" w:hAnsi="Arial Narrow" w:cs="Times New Roman"/>
                <w:b/>
                <w:bCs/>
                <w:sz w:val="24"/>
                <w:szCs w:val="24"/>
              </w:rPr>
            </w:pPr>
            <w:r w:rsidRPr="00D06EB5">
              <w:rPr>
                <w:rFonts w:ascii="Arial Narrow" w:hAnsi="Arial Narrow" w:cs="Times New Roman"/>
                <w:b/>
                <w:bCs/>
                <w:sz w:val="24"/>
                <w:szCs w:val="24"/>
              </w:rPr>
              <w:t>106 339,000</w:t>
            </w:r>
          </w:p>
        </w:tc>
      </w:tr>
    </w:tbl>
    <w:p w:rsidR="000B2D82" w:rsidRPr="00CF68BA" w:rsidP="00CF68BA">
      <w:pPr>
        <w:spacing w:line="240" w:lineRule="auto"/>
        <w:rPr>
          <w:rFonts w:ascii="Times New Roman" w:hAnsi="Times New Roman" w:cs="Times New Roman"/>
          <w:bCs/>
          <w:sz w:val="24"/>
          <w:szCs w:val="24"/>
        </w:rPr>
      </w:pPr>
    </w:p>
    <w:p w:rsidR="00CF68BA" w:rsidRPr="00CF68BA" w:rsidP="00CF68BA">
      <w:pPr>
        <w:pStyle w:val="BodyTextIndent"/>
        <w:spacing w:line="240" w:lineRule="auto"/>
        <w:rPr>
          <w:rFonts w:ascii="Times New Roman" w:hAnsi="Times New Roman" w:cs="Times New Roman"/>
          <w:sz w:val="24"/>
          <w:szCs w:val="24"/>
        </w:rPr>
      </w:pPr>
      <w:r w:rsidRPr="00CF68BA">
        <w:rPr>
          <w:rFonts w:ascii="Times New Roman" w:hAnsi="Times New Roman" w:cs="Times New Roman"/>
          <w:sz w:val="24"/>
          <w:szCs w:val="24"/>
        </w:rPr>
        <w:t>Čerpanie pr</w:t>
      </w:r>
      <w:r w:rsidR="00CE4A3A">
        <w:rPr>
          <w:rFonts w:ascii="Times New Roman" w:hAnsi="Times New Roman" w:cs="Times New Roman"/>
          <w:sz w:val="24"/>
          <w:szCs w:val="24"/>
        </w:rPr>
        <w:t xml:space="preserve">ostriedkov na úrovni </w:t>
      </w:r>
      <w:r w:rsidRPr="00CE4A3A" w:rsidR="00CE4A3A">
        <w:rPr>
          <w:rFonts w:ascii="Times New Roman" w:hAnsi="Times New Roman" w:cs="Times New Roman"/>
          <w:b/>
          <w:sz w:val="24"/>
          <w:szCs w:val="24"/>
        </w:rPr>
        <w:t>53 664 00</w:t>
      </w:r>
      <w:r w:rsidRPr="00CE4A3A" w:rsidR="00CE4A3A">
        <w:rPr>
          <w:rFonts w:ascii="Times New Roman" w:hAnsi="Times New Roman" w:cs="Times New Roman"/>
          <w:b/>
          <w:sz w:val="24"/>
          <w:szCs w:val="24"/>
        </w:rPr>
        <w:t xml:space="preserve">0,- </w:t>
      </w:r>
      <w:r w:rsidRPr="00CE4A3A">
        <w:rPr>
          <w:rFonts w:ascii="Times New Roman" w:hAnsi="Times New Roman" w:cs="Times New Roman"/>
          <w:b/>
          <w:sz w:val="24"/>
          <w:szCs w:val="24"/>
        </w:rPr>
        <w:t>Sk</w:t>
      </w:r>
      <w:r w:rsidRPr="00CF68BA">
        <w:rPr>
          <w:rFonts w:ascii="Times New Roman" w:hAnsi="Times New Roman" w:cs="Times New Roman"/>
          <w:sz w:val="24"/>
          <w:szCs w:val="24"/>
        </w:rPr>
        <w:t xml:space="preserve"> umožnilo vykonať obnovu VDZ v celkovej dĺžke </w:t>
      </w:r>
      <w:smartTag w:uri="urn:schemas-microsoft-com:office:smarttags" w:element="metricconverter">
        <w:smartTagPr>
          <w:attr w:name="ProductID" w:val="936,726 km"/>
        </w:smartTagPr>
        <w:r w:rsidRPr="00CF68BA">
          <w:rPr>
            <w:rFonts w:ascii="Times New Roman" w:hAnsi="Times New Roman" w:cs="Times New Roman"/>
            <w:sz w:val="24"/>
            <w:szCs w:val="24"/>
          </w:rPr>
          <w:t>936,726 km</w:t>
        </w:r>
      </w:smartTag>
      <w:r w:rsidRPr="00CF68BA">
        <w:rPr>
          <w:rFonts w:ascii="Times New Roman" w:hAnsi="Times New Roman" w:cs="Times New Roman"/>
          <w:sz w:val="24"/>
          <w:szCs w:val="24"/>
        </w:rPr>
        <w:t>.</w:t>
      </w:r>
    </w:p>
    <w:p w:rsidR="000B2D82" w:rsidRPr="00B27788" w:rsidP="006E2C6E">
      <w:pPr>
        <w:pStyle w:val="BodyTextIndent"/>
        <w:spacing w:line="240" w:lineRule="auto"/>
        <w:ind w:firstLine="0"/>
        <w:rPr>
          <w:rFonts w:ascii="Times New Roman" w:hAnsi="Times New Roman" w:cs="Times New Roman"/>
          <w:sz w:val="24"/>
          <w:szCs w:val="24"/>
        </w:rPr>
      </w:pPr>
      <w:r w:rsidRPr="00CF68BA" w:rsidR="00CF68BA">
        <w:rPr>
          <w:rFonts w:ascii="Times New Roman" w:hAnsi="Times New Roman" w:cs="Times New Roman"/>
          <w:sz w:val="24"/>
          <w:szCs w:val="24"/>
        </w:rPr>
        <w:t xml:space="preserve"> </w:t>
      </w:r>
    </w:p>
    <w:p w:rsidR="00CF68BA" w:rsidRPr="00CF68BA" w:rsidP="00CF68BA">
      <w:pPr>
        <w:spacing w:line="240" w:lineRule="auto"/>
        <w:rPr>
          <w:rFonts w:ascii="Times New Roman" w:hAnsi="Times New Roman" w:cs="Times New Roman"/>
          <w:b/>
          <w:sz w:val="24"/>
          <w:szCs w:val="24"/>
          <w:u w:val="single"/>
        </w:rPr>
      </w:pPr>
      <w:r w:rsidRPr="00CF68BA">
        <w:rPr>
          <w:rFonts w:ascii="Times New Roman" w:hAnsi="Times New Roman" w:cs="Times New Roman"/>
          <w:b/>
          <w:sz w:val="24"/>
          <w:szCs w:val="24"/>
          <w:u w:val="single"/>
        </w:rPr>
        <w:t>IVSC Žilina</w:t>
      </w:r>
    </w:p>
    <w:p w:rsidR="00CF68BA" w:rsidRPr="00CF68BA" w:rsidP="00CF68BA">
      <w:pPr>
        <w:spacing w:line="240" w:lineRule="auto"/>
        <w:rPr>
          <w:rFonts w:ascii="Times New Roman" w:hAnsi="Times New Roman" w:cs="Times New Roman"/>
          <w:sz w:val="24"/>
          <w:szCs w:val="24"/>
        </w:rPr>
      </w:pPr>
    </w:p>
    <w:p w:rsidR="00CF68BA" w:rsidP="00CF68BA">
      <w:pPr>
        <w:spacing w:line="240" w:lineRule="auto"/>
        <w:ind w:firstLine="708"/>
        <w:rPr>
          <w:rFonts w:ascii="Times New Roman" w:hAnsi="Times New Roman" w:cs="Times New Roman"/>
          <w:sz w:val="24"/>
          <w:szCs w:val="24"/>
        </w:rPr>
      </w:pPr>
      <w:r w:rsidRPr="00CF68BA">
        <w:rPr>
          <w:rFonts w:ascii="Times New Roman" w:hAnsi="Times New Roman" w:cs="Times New Roman"/>
          <w:sz w:val="24"/>
          <w:szCs w:val="24"/>
        </w:rPr>
        <w:t>Celkovo boli v roku 2007 realizované opravy 10 úsekov v celkovej dĺžke 9,310 km</w:t>
      </w:r>
      <w:r w:rsidR="006D2832">
        <w:rPr>
          <w:rFonts w:ascii="Times New Roman" w:hAnsi="Times New Roman" w:cs="Times New Roman"/>
          <w:sz w:val="24"/>
          <w:szCs w:val="24"/>
        </w:rPr>
        <w:t>.</w:t>
      </w:r>
      <w:r w:rsidR="00D06EB5">
        <w:rPr>
          <w:rFonts w:ascii="Times New Roman" w:hAnsi="Times New Roman" w:cs="Times New Roman"/>
          <w:sz w:val="24"/>
          <w:szCs w:val="24"/>
        </w:rPr>
        <w:t xml:space="preserve"> </w:t>
      </w:r>
      <w:r w:rsidRPr="00CF68BA">
        <w:rPr>
          <w:rFonts w:ascii="Times New Roman" w:hAnsi="Times New Roman" w:cs="Times New Roman"/>
          <w:sz w:val="24"/>
          <w:szCs w:val="24"/>
        </w:rPr>
        <w:t xml:space="preserve"> </w:t>
      </w:r>
      <w:r w:rsidR="006D2832">
        <w:rPr>
          <w:rFonts w:ascii="Times New Roman" w:hAnsi="Times New Roman" w:cs="Times New Roman"/>
          <w:sz w:val="24"/>
          <w:szCs w:val="24"/>
        </w:rPr>
        <w:t xml:space="preserve">Boli </w:t>
      </w:r>
      <w:r w:rsidRPr="00CF68BA">
        <w:rPr>
          <w:rFonts w:ascii="Times New Roman" w:hAnsi="Times New Roman" w:cs="Times New Roman"/>
          <w:sz w:val="24"/>
          <w:szCs w:val="24"/>
        </w:rPr>
        <w:t>opravené súčasti</w:t>
      </w:r>
      <w:r w:rsidR="00D06EB5">
        <w:rPr>
          <w:rFonts w:ascii="Times New Roman" w:hAnsi="Times New Roman" w:cs="Times New Roman"/>
          <w:sz w:val="24"/>
          <w:szCs w:val="24"/>
        </w:rPr>
        <w:t xml:space="preserve"> 5 mostných objektov</w:t>
      </w:r>
      <w:r w:rsidR="006D2832">
        <w:rPr>
          <w:rFonts w:ascii="Times New Roman" w:hAnsi="Times New Roman" w:cs="Times New Roman"/>
          <w:sz w:val="24"/>
          <w:szCs w:val="24"/>
        </w:rPr>
        <w:t xml:space="preserve">, </w:t>
      </w:r>
      <w:r w:rsidRPr="00CF68BA">
        <w:rPr>
          <w:rFonts w:ascii="Times New Roman" w:hAnsi="Times New Roman" w:cs="Times New Roman"/>
          <w:sz w:val="24"/>
          <w:szCs w:val="24"/>
        </w:rPr>
        <w:t>2 priepusty</w:t>
      </w:r>
      <w:r w:rsidR="00D06EB5">
        <w:rPr>
          <w:rFonts w:ascii="Times New Roman" w:hAnsi="Times New Roman" w:cs="Times New Roman"/>
          <w:sz w:val="24"/>
          <w:szCs w:val="24"/>
        </w:rPr>
        <w:t xml:space="preserve"> </w:t>
      </w:r>
      <w:r w:rsidRPr="00CF68BA">
        <w:rPr>
          <w:rFonts w:ascii="Times New Roman" w:hAnsi="Times New Roman" w:cs="Times New Roman"/>
          <w:sz w:val="24"/>
          <w:szCs w:val="24"/>
        </w:rPr>
        <w:t>a zrealizované stavebno-technické opatre</w:t>
      </w:r>
      <w:r w:rsidRPr="00CF68BA">
        <w:rPr>
          <w:rFonts w:ascii="Times New Roman" w:hAnsi="Times New Roman" w:cs="Times New Roman"/>
          <w:sz w:val="24"/>
          <w:szCs w:val="24"/>
        </w:rPr>
        <w:t>nia sanác</w:t>
      </w:r>
      <w:r w:rsidR="00D06EB5">
        <w:rPr>
          <w:rFonts w:ascii="Times New Roman" w:hAnsi="Times New Roman" w:cs="Times New Roman"/>
          <w:sz w:val="24"/>
          <w:szCs w:val="24"/>
        </w:rPr>
        <w:t>ií svahov</w:t>
      </w:r>
      <w:r w:rsidRPr="00CF68BA">
        <w:rPr>
          <w:rFonts w:ascii="Times New Roman" w:hAnsi="Times New Roman" w:cs="Times New Roman"/>
          <w:sz w:val="24"/>
          <w:szCs w:val="24"/>
        </w:rPr>
        <w:t>.</w:t>
      </w:r>
    </w:p>
    <w:p w:rsidR="00D06EB5" w:rsidRPr="00CF68BA" w:rsidP="00CF68BA">
      <w:pPr>
        <w:spacing w:line="240" w:lineRule="auto"/>
        <w:ind w:firstLine="708"/>
        <w:rPr>
          <w:rFonts w:ascii="Times New Roman" w:hAnsi="Times New Roman" w:cs="Times New Roman"/>
          <w:sz w:val="24"/>
          <w:szCs w:val="24"/>
        </w:rPr>
      </w:pPr>
    </w:p>
    <w:p w:rsidR="00CF68BA" w:rsidP="00D06EB5">
      <w:pPr>
        <w:spacing w:line="240" w:lineRule="auto"/>
        <w:jc w:val="center"/>
        <w:rPr>
          <w:rFonts w:ascii="Times New Roman" w:hAnsi="Times New Roman" w:cs="Times New Roman"/>
          <w:sz w:val="24"/>
          <w:szCs w:val="24"/>
        </w:rPr>
      </w:pPr>
      <w:r w:rsidRPr="00CF68BA">
        <w:rPr>
          <w:rFonts w:ascii="Times New Roman" w:hAnsi="Times New Roman" w:cs="Times New Roman"/>
          <w:sz w:val="24"/>
          <w:szCs w:val="24"/>
        </w:rPr>
        <w:t>Konkrétne boli realizované práce na stavbách z nasledujúceho prehľadu:</w:t>
      </w:r>
    </w:p>
    <w:p w:rsidR="00D06EB5" w:rsidRPr="00D06EB5" w:rsidP="00D06EB5">
      <w:pPr>
        <w:spacing w:line="240" w:lineRule="auto"/>
        <w:jc w:val="center"/>
        <w:rPr>
          <w:rFonts w:ascii="Times New Roman" w:hAnsi="Times New Roman" w:cs="Times New Roman"/>
          <w:sz w:val="24"/>
          <w:szCs w:val="24"/>
          <w:u w:val="single"/>
        </w:rPr>
      </w:pPr>
    </w:p>
    <w:tbl>
      <w:tblPr>
        <w:tblW w:w="9555" w:type="dxa"/>
        <w:tblInd w:w="9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blGrid>
        <w:gridCol w:w="1455"/>
        <w:gridCol w:w="5040"/>
        <w:gridCol w:w="1440"/>
        <w:gridCol w:w="1620"/>
      </w:tblGrid>
      <w:tr>
        <w:tblPrEx>
          <w:tblW w:w="9555" w:type="dxa"/>
          <w:tblInd w:w="9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499"/>
        </w:trPr>
        <w:tc>
          <w:tcPr>
            <w:tcW w:w="1455" w:type="dxa"/>
            <w:tcBorders>
              <w:top w:val="single" w:sz="8" w:space="0" w:color="auto"/>
              <w:left w:val="single" w:sz="8" w:space="0" w:color="auto"/>
              <w:bottom w:val="single" w:sz="8" w:space="0" w:color="auto"/>
              <w:right w:val="single" w:sz="8" w:space="0" w:color="auto"/>
              <w:tl2br w:val="nil"/>
              <w:tr2bl w:val="nil"/>
            </w:tcBorders>
            <w:shd w:val="clear" w:color="auto" w:fill="C0C0C0"/>
            <w:noWrap/>
            <w:textDirection w:val="lrTb"/>
            <w:vAlign w:val="center"/>
          </w:tcPr>
          <w:p w:rsidR="00CF68BA" w:rsidRPr="00D06EB5" w:rsidP="00CF68BA">
            <w:pPr>
              <w:spacing w:line="240" w:lineRule="auto"/>
              <w:jc w:val="center"/>
              <w:rPr>
                <w:rFonts w:ascii="Arial Narrow" w:hAnsi="Arial Narrow" w:cs="Times New Roman"/>
                <w:b/>
                <w:bCs/>
                <w:iCs/>
                <w:sz w:val="24"/>
                <w:szCs w:val="24"/>
              </w:rPr>
            </w:pPr>
            <w:r w:rsidRPr="00D06EB5">
              <w:rPr>
                <w:rFonts w:ascii="Arial Narrow" w:hAnsi="Arial Narrow" w:cs="Times New Roman"/>
                <w:b/>
                <w:bCs/>
                <w:iCs/>
                <w:sz w:val="24"/>
                <w:szCs w:val="24"/>
              </w:rPr>
              <w:t>Okres</w:t>
            </w:r>
          </w:p>
        </w:tc>
        <w:tc>
          <w:tcPr>
            <w:tcW w:w="5040" w:type="dxa"/>
            <w:tcBorders>
              <w:top w:val="single" w:sz="8" w:space="0" w:color="auto"/>
              <w:left w:val="single" w:sz="8" w:space="0" w:color="auto"/>
              <w:bottom w:val="single" w:sz="8" w:space="0" w:color="auto"/>
              <w:right w:val="single" w:sz="8" w:space="0" w:color="auto"/>
              <w:tl2br w:val="nil"/>
              <w:tr2bl w:val="nil"/>
            </w:tcBorders>
            <w:shd w:val="clear" w:color="auto" w:fill="C0C0C0"/>
            <w:noWrap/>
            <w:textDirection w:val="lrTb"/>
            <w:vAlign w:val="center"/>
          </w:tcPr>
          <w:p w:rsidR="00CF68BA" w:rsidRPr="00D06EB5" w:rsidP="00CF68BA">
            <w:pPr>
              <w:spacing w:line="240" w:lineRule="auto"/>
              <w:jc w:val="center"/>
              <w:rPr>
                <w:rFonts w:ascii="Arial Narrow" w:hAnsi="Arial Narrow" w:cs="Times New Roman"/>
                <w:b/>
                <w:bCs/>
                <w:iCs/>
                <w:sz w:val="24"/>
                <w:szCs w:val="24"/>
              </w:rPr>
            </w:pPr>
            <w:r w:rsidRPr="00D06EB5">
              <w:rPr>
                <w:rFonts w:ascii="Arial Narrow" w:hAnsi="Arial Narrow" w:cs="Times New Roman"/>
                <w:b/>
                <w:bCs/>
                <w:iCs/>
                <w:sz w:val="24"/>
                <w:szCs w:val="24"/>
              </w:rPr>
              <w:t>Druh opravy</w:t>
            </w:r>
          </w:p>
        </w:tc>
        <w:tc>
          <w:tcPr>
            <w:tcW w:w="1440" w:type="dxa"/>
            <w:tcBorders>
              <w:top w:val="single" w:sz="8" w:space="0" w:color="auto"/>
              <w:left w:val="single" w:sz="8" w:space="0" w:color="auto"/>
              <w:bottom w:val="single" w:sz="8" w:space="0" w:color="auto"/>
              <w:right w:val="single" w:sz="8" w:space="0" w:color="auto"/>
              <w:tl2br w:val="nil"/>
              <w:tr2bl w:val="nil"/>
            </w:tcBorders>
            <w:shd w:val="clear" w:color="auto" w:fill="C0C0C0"/>
            <w:textDirection w:val="lrTb"/>
            <w:vAlign w:val="center"/>
          </w:tcPr>
          <w:p w:rsidR="00CF68BA" w:rsidRPr="00D06EB5" w:rsidP="00CF68BA">
            <w:pPr>
              <w:spacing w:line="240" w:lineRule="auto"/>
              <w:jc w:val="center"/>
              <w:rPr>
                <w:rFonts w:ascii="Arial Narrow" w:hAnsi="Arial Narrow" w:cs="Times New Roman"/>
                <w:b/>
                <w:bCs/>
                <w:iCs/>
                <w:sz w:val="24"/>
                <w:szCs w:val="24"/>
              </w:rPr>
            </w:pPr>
            <w:r w:rsidRPr="00D06EB5">
              <w:rPr>
                <w:rFonts w:ascii="Arial Narrow" w:hAnsi="Arial Narrow" w:cs="Times New Roman"/>
                <w:b/>
                <w:bCs/>
                <w:iCs/>
                <w:sz w:val="24"/>
                <w:szCs w:val="24"/>
              </w:rPr>
              <w:t>Dĺžka úpravy          (km)</w:t>
            </w:r>
          </w:p>
        </w:tc>
        <w:tc>
          <w:tcPr>
            <w:tcW w:w="1620" w:type="dxa"/>
            <w:tcBorders>
              <w:top w:val="single" w:sz="8" w:space="0" w:color="auto"/>
              <w:left w:val="single" w:sz="8" w:space="0" w:color="auto"/>
              <w:bottom w:val="single" w:sz="8" w:space="0" w:color="auto"/>
              <w:right w:val="single" w:sz="8" w:space="0" w:color="auto"/>
              <w:tl2br w:val="nil"/>
              <w:tr2bl w:val="nil"/>
            </w:tcBorders>
            <w:shd w:val="clear" w:color="auto" w:fill="C0C0C0"/>
            <w:textDirection w:val="lrTb"/>
            <w:vAlign w:val="center"/>
          </w:tcPr>
          <w:p w:rsidR="00CF68BA" w:rsidRPr="00D06EB5" w:rsidP="00CF68BA">
            <w:pPr>
              <w:spacing w:line="240" w:lineRule="auto"/>
              <w:jc w:val="center"/>
              <w:rPr>
                <w:rFonts w:ascii="Arial Narrow" w:hAnsi="Arial Narrow" w:cs="Times New Roman"/>
                <w:b/>
                <w:bCs/>
                <w:iCs/>
                <w:sz w:val="24"/>
                <w:szCs w:val="24"/>
              </w:rPr>
            </w:pPr>
            <w:r w:rsidRPr="00D06EB5">
              <w:rPr>
                <w:rFonts w:ascii="Arial Narrow" w:hAnsi="Arial Narrow" w:cs="Times New Roman"/>
                <w:b/>
                <w:bCs/>
                <w:iCs/>
                <w:sz w:val="24"/>
                <w:szCs w:val="24"/>
              </w:rPr>
              <w:t>Náklad s DPH (tis.Sk)</w:t>
            </w:r>
          </w:p>
        </w:tc>
      </w:tr>
      <w:tr>
        <w:tblPrEx>
          <w:tblW w:w="9555" w:type="dxa"/>
          <w:tblInd w:w="93" w:type="dxa"/>
        </w:tblPrEx>
        <w:trPr>
          <w:trHeight w:hRule="exact" w:val="227"/>
        </w:trPr>
        <w:tc>
          <w:tcPr>
            <w:tcW w:w="1455" w:type="dxa"/>
            <w:tcBorders>
              <w:top w:val="single" w:sz="8" w:space="0" w:color="auto"/>
              <w:left w:val="single" w:sz="8" w:space="0" w:color="auto"/>
              <w:bottom w:val="single" w:sz="8" w:space="0" w:color="auto"/>
              <w:right w:val="single" w:sz="8" w:space="0" w:color="auto"/>
              <w:tl2br w:val="nil"/>
              <w:tr2bl w:val="nil"/>
            </w:tcBorders>
            <w:textDirection w:val="lrTb"/>
            <w:vAlign w:val="center"/>
          </w:tcPr>
          <w:p w:rsidR="00CF68BA" w:rsidRPr="00B547E0" w:rsidP="00CF68BA">
            <w:pPr>
              <w:spacing w:line="240" w:lineRule="auto"/>
              <w:jc w:val="center"/>
              <w:rPr>
                <w:rFonts w:ascii="Arial Narrow" w:hAnsi="Arial Narrow" w:cs="Times New Roman"/>
              </w:rPr>
            </w:pPr>
            <w:r w:rsidRPr="00B547E0">
              <w:rPr>
                <w:rFonts w:ascii="Arial Narrow" w:hAnsi="Arial Narrow" w:cs="Times New Roman"/>
              </w:rPr>
              <w:t>Trenčín</w:t>
            </w:r>
          </w:p>
        </w:tc>
        <w:tc>
          <w:tcPr>
            <w:tcW w:w="5040" w:type="dxa"/>
            <w:tcBorders>
              <w:top w:val="single" w:sz="8" w:space="0" w:color="auto"/>
              <w:left w:val="single" w:sz="8" w:space="0" w:color="auto"/>
              <w:bottom w:val="single" w:sz="8" w:space="0" w:color="auto"/>
              <w:right w:val="single" w:sz="8" w:space="0" w:color="auto"/>
              <w:tl2br w:val="nil"/>
              <w:tr2bl w:val="nil"/>
            </w:tcBorders>
            <w:textDirection w:val="lrTb"/>
            <w:vAlign w:val="center"/>
          </w:tcPr>
          <w:p w:rsidR="00CF68BA" w:rsidRPr="00B547E0" w:rsidP="00CF68BA">
            <w:pPr>
              <w:spacing w:line="240" w:lineRule="auto"/>
              <w:rPr>
                <w:rFonts w:ascii="Arial Narrow" w:hAnsi="Arial Narrow" w:cs="Times New Roman"/>
              </w:rPr>
            </w:pPr>
            <w:r w:rsidRPr="00B547E0" w:rsidR="00D06EB5">
              <w:rPr>
                <w:rFonts w:ascii="Arial Narrow" w:hAnsi="Arial Narrow" w:cs="Times New Roman"/>
              </w:rPr>
              <w:t>I/50, Svinná, extravilán-obnova krytu vozovky /129,0 - 136,0</w:t>
            </w:r>
            <w:r w:rsidRPr="00B547E0">
              <w:rPr>
                <w:rFonts w:ascii="Arial Narrow" w:hAnsi="Arial Narrow" w:cs="Times New Roman"/>
              </w:rPr>
              <w:t>/</w:t>
            </w:r>
          </w:p>
        </w:tc>
        <w:tc>
          <w:tcPr>
            <w:tcW w:w="1440" w:type="dxa"/>
            <w:tcBorders>
              <w:top w:val="single" w:sz="8" w:space="0" w:color="auto"/>
              <w:left w:val="single" w:sz="8" w:space="0" w:color="auto"/>
              <w:bottom w:val="single" w:sz="8" w:space="0" w:color="auto"/>
              <w:right w:val="single" w:sz="8" w:space="0" w:color="auto"/>
              <w:tl2br w:val="nil"/>
              <w:tr2bl w:val="nil"/>
            </w:tcBorders>
            <w:textDirection w:val="lrTb"/>
            <w:vAlign w:val="center"/>
          </w:tcPr>
          <w:p w:rsidR="00CF68BA" w:rsidRPr="00B547E0" w:rsidP="00CF68BA">
            <w:pPr>
              <w:spacing w:line="240" w:lineRule="auto"/>
              <w:jc w:val="center"/>
              <w:rPr>
                <w:rFonts w:ascii="Arial Narrow" w:hAnsi="Arial Narrow" w:cs="Times New Roman"/>
              </w:rPr>
            </w:pPr>
            <w:r w:rsidRPr="00B547E0">
              <w:rPr>
                <w:rFonts w:ascii="Arial Narrow" w:hAnsi="Arial Narrow" w:cs="Times New Roman"/>
              </w:rPr>
              <w:t>1,890</w:t>
            </w:r>
          </w:p>
        </w:tc>
        <w:tc>
          <w:tcPr>
            <w:tcW w:w="1620" w:type="dxa"/>
            <w:tcBorders>
              <w:top w:val="single" w:sz="8" w:space="0" w:color="auto"/>
              <w:left w:val="single" w:sz="8" w:space="0" w:color="auto"/>
              <w:bottom w:val="single" w:sz="8" w:space="0" w:color="auto"/>
              <w:right w:val="single" w:sz="8" w:space="0" w:color="auto"/>
              <w:tl2br w:val="nil"/>
              <w:tr2bl w:val="nil"/>
            </w:tcBorders>
            <w:textDirection w:val="lrTb"/>
            <w:vAlign w:val="center"/>
          </w:tcPr>
          <w:p w:rsidR="00CF68BA" w:rsidRPr="00B547E0" w:rsidP="00CF68BA">
            <w:pPr>
              <w:spacing w:line="240" w:lineRule="auto"/>
              <w:jc w:val="right"/>
              <w:rPr>
                <w:rFonts w:ascii="Arial Narrow" w:hAnsi="Arial Narrow" w:cs="Times New Roman"/>
              </w:rPr>
            </w:pPr>
            <w:r w:rsidRPr="00B547E0">
              <w:rPr>
                <w:rFonts w:ascii="Arial Narrow" w:hAnsi="Arial Narrow" w:cs="Times New Roman"/>
              </w:rPr>
              <w:t>7 999,998</w:t>
            </w:r>
          </w:p>
        </w:tc>
      </w:tr>
      <w:tr>
        <w:tblPrEx>
          <w:tblW w:w="9555" w:type="dxa"/>
          <w:tblInd w:w="93" w:type="dxa"/>
        </w:tblPrEx>
        <w:trPr>
          <w:trHeight w:hRule="exact" w:val="227"/>
        </w:trPr>
        <w:tc>
          <w:tcPr>
            <w:tcW w:w="1455" w:type="dxa"/>
            <w:tcBorders>
              <w:top w:val="single" w:sz="8" w:space="0" w:color="auto"/>
              <w:left w:val="single" w:sz="8" w:space="0" w:color="auto"/>
              <w:bottom w:val="single" w:sz="8" w:space="0" w:color="auto"/>
              <w:right w:val="single" w:sz="8" w:space="0" w:color="auto"/>
              <w:tl2br w:val="nil"/>
              <w:tr2bl w:val="nil"/>
            </w:tcBorders>
            <w:textDirection w:val="lrTb"/>
            <w:vAlign w:val="center"/>
          </w:tcPr>
          <w:p w:rsidR="00CF68BA" w:rsidRPr="00B547E0" w:rsidP="00CF68BA">
            <w:pPr>
              <w:spacing w:line="240" w:lineRule="auto"/>
              <w:jc w:val="center"/>
              <w:rPr>
                <w:rFonts w:ascii="Arial Narrow" w:hAnsi="Arial Narrow" w:cs="Times New Roman"/>
              </w:rPr>
            </w:pPr>
            <w:r w:rsidRPr="00B547E0">
              <w:rPr>
                <w:rFonts w:ascii="Arial Narrow" w:hAnsi="Arial Narrow" w:cs="Times New Roman"/>
              </w:rPr>
              <w:t>Prievidz</w:t>
            </w:r>
            <w:r w:rsidRPr="00B547E0">
              <w:rPr>
                <w:rFonts w:ascii="Arial Narrow" w:hAnsi="Arial Narrow" w:cs="Times New Roman"/>
              </w:rPr>
              <w:t>a</w:t>
            </w:r>
          </w:p>
        </w:tc>
        <w:tc>
          <w:tcPr>
            <w:tcW w:w="5040" w:type="dxa"/>
            <w:tcBorders>
              <w:top w:val="single" w:sz="8" w:space="0" w:color="auto"/>
              <w:left w:val="single" w:sz="8" w:space="0" w:color="auto"/>
              <w:bottom w:val="single" w:sz="8" w:space="0" w:color="auto"/>
              <w:right w:val="single" w:sz="8" w:space="0" w:color="auto"/>
              <w:tl2br w:val="nil"/>
              <w:tr2bl w:val="nil"/>
            </w:tcBorders>
            <w:textDirection w:val="lrTb"/>
            <w:vAlign w:val="center"/>
          </w:tcPr>
          <w:p w:rsidR="00CF68BA" w:rsidRPr="00B547E0" w:rsidP="00CF68BA">
            <w:pPr>
              <w:spacing w:line="240" w:lineRule="auto"/>
              <w:rPr>
                <w:rFonts w:ascii="Arial Narrow" w:hAnsi="Arial Narrow" w:cs="Times New Roman"/>
              </w:rPr>
            </w:pPr>
            <w:r w:rsidRPr="00B547E0">
              <w:rPr>
                <w:rFonts w:ascii="Arial Narrow" w:hAnsi="Arial Narrow" w:cs="Times New Roman"/>
              </w:rPr>
              <w:t>I/64,</w:t>
            </w:r>
            <w:r w:rsidRPr="00B547E0" w:rsidR="00D06EB5">
              <w:rPr>
                <w:rFonts w:ascii="Arial Narrow" w:hAnsi="Arial Narrow" w:cs="Times New Roman"/>
              </w:rPr>
              <w:t xml:space="preserve"> V.Uherce-Oslany-obnova krytu-mikrokoberec /124,0-126,0</w:t>
            </w:r>
            <w:r w:rsidRPr="00B547E0">
              <w:rPr>
                <w:rFonts w:ascii="Arial Narrow" w:hAnsi="Arial Narrow" w:cs="Times New Roman"/>
              </w:rPr>
              <w:t>/</w:t>
            </w:r>
          </w:p>
        </w:tc>
        <w:tc>
          <w:tcPr>
            <w:tcW w:w="1440" w:type="dxa"/>
            <w:tcBorders>
              <w:top w:val="single" w:sz="8" w:space="0" w:color="auto"/>
              <w:left w:val="single" w:sz="8" w:space="0" w:color="auto"/>
              <w:bottom w:val="single" w:sz="8" w:space="0" w:color="auto"/>
              <w:right w:val="single" w:sz="8" w:space="0" w:color="auto"/>
              <w:tl2br w:val="nil"/>
              <w:tr2bl w:val="nil"/>
            </w:tcBorders>
            <w:textDirection w:val="lrTb"/>
            <w:vAlign w:val="center"/>
          </w:tcPr>
          <w:p w:rsidR="00CF68BA" w:rsidRPr="00B547E0" w:rsidP="00CF68BA">
            <w:pPr>
              <w:spacing w:line="240" w:lineRule="auto"/>
              <w:jc w:val="center"/>
              <w:rPr>
                <w:rFonts w:ascii="Arial Narrow" w:hAnsi="Arial Narrow" w:cs="Times New Roman"/>
              </w:rPr>
            </w:pPr>
            <w:r w:rsidRPr="00B547E0">
              <w:rPr>
                <w:rFonts w:ascii="Arial Narrow" w:hAnsi="Arial Narrow" w:cs="Times New Roman"/>
              </w:rPr>
              <w:t>1,805</w:t>
            </w:r>
          </w:p>
        </w:tc>
        <w:tc>
          <w:tcPr>
            <w:tcW w:w="1620" w:type="dxa"/>
            <w:tcBorders>
              <w:top w:val="single" w:sz="8" w:space="0" w:color="auto"/>
              <w:left w:val="single" w:sz="8" w:space="0" w:color="auto"/>
              <w:bottom w:val="single" w:sz="8" w:space="0" w:color="auto"/>
              <w:right w:val="single" w:sz="8" w:space="0" w:color="auto"/>
              <w:tl2br w:val="nil"/>
              <w:tr2bl w:val="nil"/>
            </w:tcBorders>
            <w:textDirection w:val="lrTb"/>
            <w:vAlign w:val="center"/>
          </w:tcPr>
          <w:p w:rsidR="00CF68BA" w:rsidRPr="00B547E0" w:rsidP="00CF68BA">
            <w:pPr>
              <w:spacing w:line="240" w:lineRule="auto"/>
              <w:jc w:val="right"/>
              <w:rPr>
                <w:rFonts w:ascii="Arial Narrow" w:hAnsi="Arial Narrow" w:cs="Times New Roman"/>
              </w:rPr>
            </w:pPr>
            <w:r w:rsidRPr="00B547E0">
              <w:rPr>
                <w:rFonts w:ascii="Arial Narrow" w:hAnsi="Arial Narrow" w:cs="Times New Roman"/>
              </w:rPr>
              <w:t>3 499,243</w:t>
            </w:r>
          </w:p>
        </w:tc>
      </w:tr>
      <w:tr>
        <w:tblPrEx>
          <w:tblW w:w="9555" w:type="dxa"/>
          <w:tblInd w:w="93" w:type="dxa"/>
        </w:tblPrEx>
        <w:trPr>
          <w:trHeight w:val="499"/>
        </w:trPr>
        <w:tc>
          <w:tcPr>
            <w:tcW w:w="1455" w:type="dxa"/>
            <w:tcBorders>
              <w:top w:val="single" w:sz="8" w:space="0" w:color="auto"/>
              <w:left w:val="single" w:sz="8" w:space="0" w:color="auto"/>
              <w:bottom w:val="single" w:sz="8" w:space="0" w:color="auto"/>
              <w:right w:val="single" w:sz="8" w:space="0" w:color="auto"/>
              <w:tl2br w:val="nil"/>
              <w:tr2bl w:val="nil"/>
            </w:tcBorders>
            <w:textDirection w:val="lrTb"/>
            <w:vAlign w:val="center"/>
          </w:tcPr>
          <w:p w:rsidR="00CF68BA" w:rsidRPr="00B547E0" w:rsidP="00CF68BA">
            <w:pPr>
              <w:spacing w:line="240" w:lineRule="auto"/>
              <w:jc w:val="center"/>
              <w:rPr>
                <w:rFonts w:ascii="Arial Narrow" w:hAnsi="Arial Narrow" w:cs="Times New Roman"/>
              </w:rPr>
            </w:pPr>
            <w:r w:rsidRPr="00B547E0">
              <w:rPr>
                <w:rFonts w:ascii="Arial Narrow" w:hAnsi="Arial Narrow" w:cs="Times New Roman"/>
              </w:rPr>
              <w:t>Žilina</w:t>
            </w:r>
          </w:p>
        </w:tc>
        <w:tc>
          <w:tcPr>
            <w:tcW w:w="5040" w:type="dxa"/>
            <w:tcBorders>
              <w:top w:val="single" w:sz="8" w:space="0" w:color="auto"/>
              <w:left w:val="single" w:sz="8" w:space="0" w:color="auto"/>
              <w:bottom w:val="single" w:sz="8" w:space="0" w:color="auto"/>
              <w:right w:val="single" w:sz="8" w:space="0" w:color="auto"/>
              <w:tl2br w:val="nil"/>
              <w:tr2bl w:val="nil"/>
            </w:tcBorders>
            <w:textDirection w:val="lrTb"/>
            <w:vAlign w:val="center"/>
          </w:tcPr>
          <w:p w:rsidR="00CF68BA" w:rsidRPr="00B547E0" w:rsidP="00CF68BA">
            <w:pPr>
              <w:spacing w:line="240" w:lineRule="auto"/>
              <w:rPr>
                <w:rFonts w:ascii="Arial Narrow" w:hAnsi="Arial Narrow" w:cs="Times New Roman"/>
              </w:rPr>
            </w:pPr>
            <w:r w:rsidRPr="00B547E0">
              <w:rPr>
                <w:rFonts w:ascii="Arial Narrow" w:hAnsi="Arial Narrow" w:cs="Times New Roman"/>
              </w:rPr>
              <w:t>I/18, Strečno /pod starým hradom/ - obnova krytu vozovky /467,800-468,550, 470,700-471,000/</w:t>
            </w:r>
          </w:p>
        </w:tc>
        <w:tc>
          <w:tcPr>
            <w:tcW w:w="1440" w:type="dxa"/>
            <w:tcBorders>
              <w:top w:val="single" w:sz="8" w:space="0" w:color="auto"/>
              <w:left w:val="single" w:sz="8" w:space="0" w:color="auto"/>
              <w:bottom w:val="single" w:sz="8" w:space="0" w:color="auto"/>
              <w:right w:val="single" w:sz="8" w:space="0" w:color="auto"/>
              <w:tl2br w:val="nil"/>
              <w:tr2bl w:val="nil"/>
            </w:tcBorders>
            <w:textDirection w:val="lrTb"/>
            <w:vAlign w:val="center"/>
          </w:tcPr>
          <w:p w:rsidR="00CF68BA" w:rsidRPr="00B547E0" w:rsidP="00CF68BA">
            <w:pPr>
              <w:spacing w:line="240" w:lineRule="auto"/>
              <w:jc w:val="center"/>
              <w:rPr>
                <w:rFonts w:ascii="Arial Narrow" w:hAnsi="Arial Narrow" w:cs="Times New Roman"/>
              </w:rPr>
            </w:pPr>
            <w:r w:rsidRPr="00B547E0">
              <w:rPr>
                <w:rFonts w:ascii="Arial Narrow" w:hAnsi="Arial Narrow" w:cs="Times New Roman"/>
              </w:rPr>
              <w:t>1,050</w:t>
            </w:r>
          </w:p>
        </w:tc>
        <w:tc>
          <w:tcPr>
            <w:tcW w:w="1620" w:type="dxa"/>
            <w:tcBorders>
              <w:top w:val="single" w:sz="8" w:space="0" w:color="auto"/>
              <w:left w:val="single" w:sz="8" w:space="0" w:color="auto"/>
              <w:bottom w:val="single" w:sz="8" w:space="0" w:color="auto"/>
              <w:right w:val="single" w:sz="8" w:space="0" w:color="auto"/>
              <w:tl2br w:val="nil"/>
              <w:tr2bl w:val="nil"/>
            </w:tcBorders>
            <w:textDirection w:val="lrTb"/>
            <w:vAlign w:val="center"/>
          </w:tcPr>
          <w:p w:rsidR="00CF68BA" w:rsidRPr="00B547E0" w:rsidP="00CF68BA">
            <w:pPr>
              <w:spacing w:line="240" w:lineRule="auto"/>
              <w:jc w:val="right"/>
              <w:rPr>
                <w:rFonts w:ascii="Arial Narrow" w:hAnsi="Arial Narrow" w:cs="Times New Roman"/>
              </w:rPr>
            </w:pPr>
            <w:r w:rsidRPr="00B547E0">
              <w:rPr>
                <w:rFonts w:ascii="Arial Narrow" w:hAnsi="Arial Narrow" w:cs="Times New Roman"/>
              </w:rPr>
              <w:t>4 699,977</w:t>
            </w:r>
          </w:p>
        </w:tc>
      </w:tr>
      <w:tr>
        <w:tblPrEx>
          <w:tblW w:w="9555" w:type="dxa"/>
          <w:tblInd w:w="93" w:type="dxa"/>
        </w:tblPrEx>
        <w:trPr>
          <w:trHeight w:val="227"/>
        </w:trPr>
        <w:tc>
          <w:tcPr>
            <w:tcW w:w="1455" w:type="dxa"/>
            <w:tcBorders>
              <w:top w:val="single" w:sz="8" w:space="0" w:color="auto"/>
              <w:left w:val="single" w:sz="8" w:space="0" w:color="auto"/>
              <w:bottom w:val="single" w:sz="8" w:space="0" w:color="auto"/>
              <w:right w:val="single" w:sz="8" w:space="0" w:color="auto"/>
              <w:tl2br w:val="nil"/>
              <w:tr2bl w:val="nil"/>
            </w:tcBorders>
            <w:textDirection w:val="lrTb"/>
            <w:vAlign w:val="center"/>
          </w:tcPr>
          <w:p w:rsidR="00CF68BA" w:rsidRPr="00B547E0" w:rsidP="00CF68BA">
            <w:pPr>
              <w:spacing w:line="240" w:lineRule="auto"/>
              <w:jc w:val="center"/>
              <w:rPr>
                <w:rFonts w:ascii="Arial Narrow" w:hAnsi="Arial Narrow" w:cs="Times New Roman"/>
              </w:rPr>
            </w:pPr>
            <w:r w:rsidRPr="00B547E0" w:rsidR="00D06EB5">
              <w:rPr>
                <w:rFonts w:ascii="Arial Narrow" w:hAnsi="Arial Narrow" w:cs="Times New Roman"/>
              </w:rPr>
              <w:t xml:space="preserve">Liptov. </w:t>
            </w:r>
            <w:r w:rsidRPr="00B547E0">
              <w:rPr>
                <w:rFonts w:ascii="Arial Narrow" w:hAnsi="Arial Narrow" w:cs="Times New Roman"/>
              </w:rPr>
              <w:t>Mikuláš</w:t>
            </w:r>
          </w:p>
        </w:tc>
        <w:tc>
          <w:tcPr>
            <w:tcW w:w="5040" w:type="dxa"/>
            <w:tcBorders>
              <w:top w:val="single" w:sz="8" w:space="0" w:color="auto"/>
              <w:left w:val="single" w:sz="8" w:space="0" w:color="auto"/>
              <w:bottom w:val="single" w:sz="8" w:space="0" w:color="auto"/>
              <w:right w:val="single" w:sz="8" w:space="0" w:color="auto"/>
              <w:tl2br w:val="nil"/>
              <w:tr2bl w:val="nil"/>
            </w:tcBorders>
            <w:textDirection w:val="lrTb"/>
            <w:vAlign w:val="center"/>
          </w:tcPr>
          <w:p w:rsidR="00CF68BA" w:rsidRPr="00B547E0" w:rsidP="00CF68BA">
            <w:pPr>
              <w:spacing w:line="240" w:lineRule="auto"/>
              <w:rPr>
                <w:rFonts w:ascii="Arial Narrow" w:hAnsi="Arial Narrow" w:cs="Times New Roman"/>
              </w:rPr>
            </w:pPr>
            <w:r w:rsidRPr="00B547E0">
              <w:rPr>
                <w:rFonts w:ascii="Arial Narrow" w:hAnsi="Arial Narrow" w:cs="Times New Roman"/>
              </w:rPr>
              <w:t>I/18, Galovany-L.Mikuláš, obnov</w:t>
            </w:r>
            <w:r w:rsidRPr="00B547E0" w:rsidR="00D06EB5">
              <w:rPr>
                <w:rFonts w:ascii="Arial Narrow" w:hAnsi="Arial Narrow" w:cs="Times New Roman"/>
              </w:rPr>
              <w:t>a krytu vozo</w:t>
            </w:r>
            <w:r w:rsidRPr="00B547E0" w:rsidR="00D06EB5">
              <w:rPr>
                <w:rFonts w:ascii="Arial Narrow" w:hAnsi="Arial Narrow" w:cs="Times New Roman"/>
              </w:rPr>
              <w:t>vky /545,535-546,8</w:t>
            </w:r>
            <w:r w:rsidRPr="00B547E0">
              <w:rPr>
                <w:rFonts w:ascii="Arial Narrow" w:hAnsi="Arial Narrow" w:cs="Times New Roman"/>
              </w:rPr>
              <w:t>/</w:t>
            </w:r>
          </w:p>
        </w:tc>
        <w:tc>
          <w:tcPr>
            <w:tcW w:w="1440" w:type="dxa"/>
            <w:tcBorders>
              <w:top w:val="single" w:sz="8" w:space="0" w:color="auto"/>
              <w:left w:val="single" w:sz="8" w:space="0" w:color="auto"/>
              <w:bottom w:val="single" w:sz="8" w:space="0" w:color="auto"/>
              <w:right w:val="single" w:sz="8" w:space="0" w:color="auto"/>
              <w:tl2br w:val="nil"/>
              <w:tr2bl w:val="nil"/>
            </w:tcBorders>
            <w:textDirection w:val="lrTb"/>
            <w:vAlign w:val="center"/>
          </w:tcPr>
          <w:p w:rsidR="00CF68BA" w:rsidRPr="00B547E0" w:rsidP="00CF68BA">
            <w:pPr>
              <w:spacing w:line="240" w:lineRule="auto"/>
              <w:jc w:val="center"/>
              <w:rPr>
                <w:rFonts w:ascii="Arial Narrow" w:hAnsi="Arial Narrow" w:cs="Times New Roman"/>
              </w:rPr>
            </w:pPr>
            <w:r w:rsidRPr="00B547E0">
              <w:rPr>
                <w:rFonts w:ascii="Arial Narrow" w:hAnsi="Arial Narrow" w:cs="Times New Roman"/>
              </w:rPr>
              <w:t>1.265</w:t>
            </w:r>
          </w:p>
        </w:tc>
        <w:tc>
          <w:tcPr>
            <w:tcW w:w="1620" w:type="dxa"/>
            <w:tcBorders>
              <w:top w:val="single" w:sz="8" w:space="0" w:color="auto"/>
              <w:left w:val="single" w:sz="8" w:space="0" w:color="auto"/>
              <w:bottom w:val="single" w:sz="8" w:space="0" w:color="auto"/>
              <w:right w:val="single" w:sz="8" w:space="0" w:color="auto"/>
              <w:tl2br w:val="nil"/>
              <w:tr2bl w:val="nil"/>
            </w:tcBorders>
            <w:textDirection w:val="lrTb"/>
            <w:vAlign w:val="center"/>
          </w:tcPr>
          <w:p w:rsidR="00CF68BA" w:rsidRPr="00B547E0" w:rsidP="00CF68BA">
            <w:pPr>
              <w:spacing w:line="240" w:lineRule="auto"/>
              <w:jc w:val="right"/>
              <w:rPr>
                <w:rFonts w:ascii="Arial Narrow" w:hAnsi="Arial Narrow" w:cs="Times New Roman"/>
              </w:rPr>
            </w:pPr>
            <w:r w:rsidRPr="00B547E0">
              <w:rPr>
                <w:rFonts w:ascii="Arial Narrow" w:hAnsi="Arial Narrow" w:cs="Times New Roman"/>
              </w:rPr>
              <w:t>4 699,994</w:t>
            </w:r>
          </w:p>
        </w:tc>
      </w:tr>
      <w:tr>
        <w:tblPrEx>
          <w:tblW w:w="9555" w:type="dxa"/>
          <w:tblInd w:w="93" w:type="dxa"/>
        </w:tblPrEx>
        <w:trPr>
          <w:trHeight w:val="227"/>
        </w:trPr>
        <w:tc>
          <w:tcPr>
            <w:tcW w:w="1455" w:type="dxa"/>
            <w:tcBorders>
              <w:top w:val="single" w:sz="8" w:space="0" w:color="auto"/>
              <w:left w:val="single" w:sz="8" w:space="0" w:color="auto"/>
              <w:bottom w:val="single" w:sz="8" w:space="0" w:color="auto"/>
              <w:right w:val="single" w:sz="8" w:space="0" w:color="auto"/>
              <w:tl2br w:val="nil"/>
              <w:tr2bl w:val="nil"/>
            </w:tcBorders>
            <w:textDirection w:val="lrTb"/>
            <w:vAlign w:val="center"/>
          </w:tcPr>
          <w:p w:rsidR="00CF68BA" w:rsidRPr="00B547E0" w:rsidP="00CF68BA">
            <w:pPr>
              <w:spacing w:line="240" w:lineRule="auto"/>
              <w:jc w:val="center"/>
              <w:rPr>
                <w:rFonts w:ascii="Arial Narrow" w:hAnsi="Arial Narrow" w:cs="Times New Roman"/>
              </w:rPr>
            </w:pPr>
            <w:r w:rsidRPr="00B547E0">
              <w:rPr>
                <w:rFonts w:ascii="Arial Narrow" w:hAnsi="Arial Narrow" w:cs="Times New Roman"/>
              </w:rPr>
              <w:t>Martin</w:t>
            </w:r>
          </w:p>
        </w:tc>
        <w:tc>
          <w:tcPr>
            <w:tcW w:w="5040" w:type="dxa"/>
            <w:tcBorders>
              <w:top w:val="single" w:sz="8" w:space="0" w:color="auto"/>
              <w:left w:val="single" w:sz="8" w:space="0" w:color="auto"/>
              <w:bottom w:val="single" w:sz="8" w:space="0" w:color="auto"/>
              <w:right w:val="single" w:sz="8" w:space="0" w:color="auto"/>
              <w:tl2br w:val="nil"/>
              <w:tr2bl w:val="nil"/>
            </w:tcBorders>
            <w:textDirection w:val="lrTb"/>
            <w:vAlign w:val="center"/>
          </w:tcPr>
          <w:p w:rsidR="00CF68BA" w:rsidRPr="00B547E0" w:rsidP="00CF68BA">
            <w:pPr>
              <w:spacing w:line="240" w:lineRule="auto"/>
              <w:rPr>
                <w:rFonts w:ascii="Arial Narrow" w:hAnsi="Arial Narrow" w:cs="Times New Roman"/>
              </w:rPr>
            </w:pPr>
            <w:r w:rsidRPr="00B547E0">
              <w:rPr>
                <w:rFonts w:ascii="Arial Narrow" w:hAnsi="Arial Narrow" w:cs="Times New Roman"/>
              </w:rPr>
              <w:t>I/65, Tur.Teplice-M</w:t>
            </w:r>
            <w:r w:rsidRPr="00B547E0" w:rsidR="00D06EB5">
              <w:rPr>
                <w:rFonts w:ascii="Arial Narrow" w:hAnsi="Arial Narrow" w:cs="Times New Roman"/>
              </w:rPr>
              <w:t>ošovce-</w:t>
            </w:r>
            <w:r w:rsidRPr="00B547E0">
              <w:rPr>
                <w:rFonts w:ascii="Arial Narrow" w:hAnsi="Arial Narrow" w:cs="Times New Roman"/>
              </w:rPr>
              <w:t>oprava be</w:t>
            </w:r>
            <w:r w:rsidRPr="00B547E0" w:rsidR="00D06EB5">
              <w:rPr>
                <w:rFonts w:ascii="Arial Narrow" w:hAnsi="Arial Narrow" w:cs="Times New Roman"/>
              </w:rPr>
              <w:t>tón. vozovky /116,0-121,0</w:t>
            </w:r>
            <w:r w:rsidRPr="00B547E0">
              <w:rPr>
                <w:rFonts w:ascii="Arial Narrow" w:hAnsi="Arial Narrow" w:cs="Times New Roman"/>
              </w:rPr>
              <w:t>/</w:t>
            </w:r>
          </w:p>
        </w:tc>
        <w:tc>
          <w:tcPr>
            <w:tcW w:w="1440" w:type="dxa"/>
            <w:tcBorders>
              <w:top w:val="single" w:sz="8" w:space="0" w:color="auto"/>
              <w:left w:val="single" w:sz="8" w:space="0" w:color="auto"/>
              <w:bottom w:val="single" w:sz="8" w:space="0" w:color="auto"/>
              <w:right w:val="single" w:sz="8" w:space="0" w:color="auto"/>
              <w:tl2br w:val="nil"/>
              <w:tr2bl w:val="nil"/>
            </w:tcBorders>
            <w:textDirection w:val="lrTb"/>
            <w:vAlign w:val="center"/>
          </w:tcPr>
          <w:p w:rsidR="00CF68BA" w:rsidRPr="00B547E0" w:rsidP="00CF68BA">
            <w:pPr>
              <w:spacing w:line="240" w:lineRule="auto"/>
              <w:jc w:val="center"/>
              <w:rPr>
                <w:rFonts w:ascii="Arial Narrow" w:hAnsi="Arial Narrow" w:cs="Times New Roman"/>
              </w:rPr>
            </w:pPr>
            <w:r w:rsidRPr="00B547E0">
              <w:rPr>
                <w:rFonts w:ascii="Arial Narrow" w:hAnsi="Arial Narrow" w:cs="Times New Roman"/>
              </w:rPr>
              <w:t>0,000</w:t>
            </w:r>
          </w:p>
        </w:tc>
        <w:tc>
          <w:tcPr>
            <w:tcW w:w="1620" w:type="dxa"/>
            <w:tcBorders>
              <w:top w:val="single" w:sz="8" w:space="0" w:color="auto"/>
              <w:left w:val="single" w:sz="8" w:space="0" w:color="auto"/>
              <w:bottom w:val="single" w:sz="8" w:space="0" w:color="auto"/>
              <w:right w:val="single" w:sz="8" w:space="0" w:color="auto"/>
              <w:tl2br w:val="nil"/>
              <w:tr2bl w:val="nil"/>
            </w:tcBorders>
            <w:textDirection w:val="lrTb"/>
            <w:vAlign w:val="center"/>
          </w:tcPr>
          <w:p w:rsidR="00CF68BA" w:rsidRPr="00B547E0" w:rsidP="00CF68BA">
            <w:pPr>
              <w:spacing w:line="240" w:lineRule="auto"/>
              <w:jc w:val="right"/>
              <w:rPr>
                <w:rFonts w:ascii="Arial Narrow" w:hAnsi="Arial Narrow" w:cs="Times New Roman"/>
              </w:rPr>
            </w:pPr>
            <w:r w:rsidRPr="00B547E0">
              <w:rPr>
                <w:rFonts w:ascii="Arial Narrow" w:hAnsi="Arial Narrow" w:cs="Times New Roman"/>
              </w:rPr>
              <w:t>4 686,757</w:t>
            </w:r>
          </w:p>
        </w:tc>
      </w:tr>
      <w:tr>
        <w:tblPrEx>
          <w:tblW w:w="9555" w:type="dxa"/>
          <w:tblInd w:w="93" w:type="dxa"/>
        </w:tblPrEx>
        <w:trPr>
          <w:trHeight w:val="499"/>
        </w:trPr>
        <w:tc>
          <w:tcPr>
            <w:tcW w:w="1455" w:type="dxa"/>
            <w:tcBorders>
              <w:top w:val="single" w:sz="8" w:space="0" w:color="auto"/>
              <w:left w:val="single" w:sz="8" w:space="0" w:color="auto"/>
              <w:bottom w:val="single" w:sz="8" w:space="0" w:color="auto"/>
              <w:right w:val="single" w:sz="8" w:space="0" w:color="auto"/>
              <w:tl2br w:val="nil"/>
              <w:tr2bl w:val="nil"/>
            </w:tcBorders>
            <w:textDirection w:val="lrTb"/>
            <w:vAlign w:val="center"/>
          </w:tcPr>
          <w:p w:rsidR="00CF68BA" w:rsidRPr="00B547E0" w:rsidP="00CF68BA">
            <w:pPr>
              <w:spacing w:line="240" w:lineRule="auto"/>
              <w:jc w:val="center"/>
              <w:rPr>
                <w:rFonts w:ascii="Arial Narrow" w:hAnsi="Arial Narrow" w:cs="Times New Roman"/>
              </w:rPr>
            </w:pPr>
            <w:r w:rsidRPr="00B547E0">
              <w:rPr>
                <w:rFonts w:ascii="Arial Narrow" w:hAnsi="Arial Narrow" w:cs="Times New Roman"/>
              </w:rPr>
              <w:t>Čadca</w:t>
            </w:r>
          </w:p>
        </w:tc>
        <w:tc>
          <w:tcPr>
            <w:tcW w:w="5040" w:type="dxa"/>
            <w:tcBorders>
              <w:top w:val="single" w:sz="8" w:space="0" w:color="auto"/>
              <w:left w:val="single" w:sz="8" w:space="0" w:color="auto"/>
              <w:bottom w:val="single" w:sz="8" w:space="0" w:color="auto"/>
              <w:right w:val="single" w:sz="8" w:space="0" w:color="auto"/>
              <w:tl2br w:val="nil"/>
              <w:tr2bl w:val="nil"/>
            </w:tcBorders>
            <w:textDirection w:val="lrTb"/>
            <w:vAlign w:val="center"/>
          </w:tcPr>
          <w:p w:rsidR="00CF68BA" w:rsidRPr="00B547E0" w:rsidP="00CF68BA">
            <w:pPr>
              <w:spacing w:line="240" w:lineRule="auto"/>
              <w:rPr>
                <w:rFonts w:ascii="Arial Narrow" w:hAnsi="Arial Narrow" w:cs="Times New Roman"/>
              </w:rPr>
            </w:pPr>
            <w:r w:rsidRPr="00B547E0">
              <w:rPr>
                <w:rFonts w:ascii="Arial Narrow" w:hAnsi="Arial Narrow" w:cs="Times New Roman"/>
              </w:rPr>
              <w:t>I/11, Svrčinovec, Čadca</w:t>
            </w:r>
            <w:r w:rsidRPr="00B547E0" w:rsidR="00D06EB5">
              <w:rPr>
                <w:rFonts w:ascii="Arial Narrow" w:hAnsi="Arial Narrow" w:cs="Times New Roman"/>
              </w:rPr>
              <w:t xml:space="preserve"> MO 11-204, Kysucký Lieskovec - obnova </w:t>
            </w:r>
            <w:r w:rsidRPr="00B547E0">
              <w:rPr>
                <w:rFonts w:ascii="Arial Narrow" w:hAnsi="Arial Narrow" w:cs="Times New Roman"/>
              </w:rPr>
              <w:t>krytu vozovky</w:t>
            </w:r>
          </w:p>
        </w:tc>
        <w:tc>
          <w:tcPr>
            <w:tcW w:w="1440" w:type="dxa"/>
            <w:tcBorders>
              <w:top w:val="single" w:sz="8" w:space="0" w:color="auto"/>
              <w:left w:val="single" w:sz="8" w:space="0" w:color="auto"/>
              <w:bottom w:val="single" w:sz="8" w:space="0" w:color="auto"/>
              <w:right w:val="single" w:sz="8" w:space="0" w:color="auto"/>
              <w:tl2br w:val="nil"/>
              <w:tr2bl w:val="nil"/>
            </w:tcBorders>
            <w:textDirection w:val="lrTb"/>
            <w:vAlign w:val="center"/>
          </w:tcPr>
          <w:p w:rsidR="00CF68BA" w:rsidRPr="00B547E0" w:rsidP="00CF68BA">
            <w:pPr>
              <w:spacing w:line="240" w:lineRule="auto"/>
              <w:jc w:val="center"/>
              <w:rPr>
                <w:rFonts w:ascii="Arial Narrow" w:hAnsi="Arial Narrow" w:cs="Times New Roman"/>
              </w:rPr>
            </w:pPr>
            <w:r w:rsidRPr="00B547E0">
              <w:rPr>
                <w:rFonts w:ascii="Arial Narrow" w:hAnsi="Arial Narrow" w:cs="Times New Roman"/>
              </w:rPr>
              <w:t>0,800</w:t>
            </w:r>
          </w:p>
        </w:tc>
        <w:tc>
          <w:tcPr>
            <w:tcW w:w="1620" w:type="dxa"/>
            <w:tcBorders>
              <w:top w:val="single" w:sz="8" w:space="0" w:color="auto"/>
              <w:left w:val="single" w:sz="8" w:space="0" w:color="auto"/>
              <w:bottom w:val="single" w:sz="8" w:space="0" w:color="auto"/>
              <w:right w:val="single" w:sz="8" w:space="0" w:color="auto"/>
              <w:tl2br w:val="nil"/>
              <w:tr2bl w:val="nil"/>
            </w:tcBorders>
            <w:textDirection w:val="lrTb"/>
            <w:vAlign w:val="center"/>
          </w:tcPr>
          <w:p w:rsidR="00CF68BA" w:rsidRPr="00B547E0" w:rsidP="00CF68BA">
            <w:pPr>
              <w:spacing w:line="240" w:lineRule="auto"/>
              <w:jc w:val="right"/>
              <w:rPr>
                <w:rFonts w:ascii="Arial Narrow" w:hAnsi="Arial Narrow" w:cs="Times New Roman"/>
              </w:rPr>
            </w:pPr>
            <w:r w:rsidRPr="00B547E0">
              <w:rPr>
                <w:rFonts w:ascii="Arial Narrow" w:hAnsi="Arial Narrow" w:cs="Times New Roman"/>
              </w:rPr>
              <w:t>4 699,916</w:t>
            </w:r>
          </w:p>
        </w:tc>
      </w:tr>
      <w:tr>
        <w:tblPrEx>
          <w:tblW w:w="9555" w:type="dxa"/>
          <w:tblInd w:w="93" w:type="dxa"/>
        </w:tblPrEx>
        <w:trPr>
          <w:trHeight w:hRule="exact" w:val="227"/>
        </w:trPr>
        <w:tc>
          <w:tcPr>
            <w:tcW w:w="1455" w:type="dxa"/>
            <w:tcBorders>
              <w:top w:val="single" w:sz="8" w:space="0" w:color="auto"/>
              <w:left w:val="single" w:sz="8" w:space="0" w:color="auto"/>
              <w:bottom w:val="single" w:sz="8" w:space="0" w:color="auto"/>
              <w:right w:val="single" w:sz="8" w:space="0" w:color="auto"/>
              <w:tl2br w:val="nil"/>
              <w:tr2bl w:val="nil"/>
            </w:tcBorders>
            <w:textDirection w:val="lrTb"/>
            <w:vAlign w:val="center"/>
          </w:tcPr>
          <w:p w:rsidR="00CF68BA" w:rsidRPr="00B547E0" w:rsidP="00CF68BA">
            <w:pPr>
              <w:spacing w:line="240" w:lineRule="auto"/>
              <w:jc w:val="center"/>
              <w:rPr>
                <w:rFonts w:ascii="Arial Narrow" w:hAnsi="Arial Narrow" w:cs="Times New Roman"/>
              </w:rPr>
            </w:pPr>
            <w:r w:rsidRPr="00B547E0">
              <w:rPr>
                <w:rFonts w:ascii="Arial Narrow" w:hAnsi="Arial Narrow" w:cs="Times New Roman"/>
              </w:rPr>
              <w:t>Trenčín</w:t>
            </w:r>
          </w:p>
        </w:tc>
        <w:tc>
          <w:tcPr>
            <w:tcW w:w="5040" w:type="dxa"/>
            <w:tcBorders>
              <w:top w:val="single" w:sz="8" w:space="0" w:color="auto"/>
              <w:left w:val="single" w:sz="8" w:space="0" w:color="auto"/>
              <w:bottom w:val="single" w:sz="8" w:space="0" w:color="auto"/>
              <w:right w:val="single" w:sz="8" w:space="0" w:color="auto"/>
              <w:tl2br w:val="nil"/>
              <w:tr2bl w:val="nil"/>
            </w:tcBorders>
            <w:textDirection w:val="lrTb"/>
            <w:vAlign w:val="center"/>
          </w:tcPr>
          <w:p w:rsidR="00CF68BA" w:rsidRPr="00B547E0" w:rsidP="00CF68BA">
            <w:pPr>
              <w:spacing w:line="240" w:lineRule="auto"/>
              <w:rPr>
                <w:rFonts w:ascii="Arial Narrow" w:hAnsi="Arial Narrow" w:cs="Times New Roman"/>
              </w:rPr>
            </w:pPr>
            <w:r w:rsidRPr="00B547E0">
              <w:rPr>
                <w:rFonts w:ascii="Arial Narrow" w:hAnsi="Arial Narrow" w:cs="Times New Roman"/>
              </w:rPr>
              <w:t>I/57, km 144,400-145,700, Horné Sŕnie - obnova krytu vozovky</w:t>
            </w:r>
          </w:p>
        </w:tc>
        <w:tc>
          <w:tcPr>
            <w:tcW w:w="1440" w:type="dxa"/>
            <w:tcBorders>
              <w:top w:val="single" w:sz="8" w:space="0" w:color="auto"/>
              <w:left w:val="single" w:sz="8" w:space="0" w:color="auto"/>
              <w:bottom w:val="single" w:sz="8" w:space="0" w:color="auto"/>
              <w:right w:val="single" w:sz="8" w:space="0" w:color="auto"/>
              <w:tl2br w:val="nil"/>
              <w:tr2bl w:val="nil"/>
            </w:tcBorders>
            <w:textDirection w:val="lrTb"/>
            <w:vAlign w:val="center"/>
          </w:tcPr>
          <w:p w:rsidR="00CF68BA" w:rsidRPr="00B547E0" w:rsidP="00CF68BA">
            <w:pPr>
              <w:spacing w:line="240" w:lineRule="auto"/>
              <w:jc w:val="center"/>
              <w:rPr>
                <w:rFonts w:ascii="Arial Narrow" w:hAnsi="Arial Narrow" w:cs="Times New Roman"/>
              </w:rPr>
            </w:pPr>
            <w:r w:rsidRPr="00B547E0">
              <w:rPr>
                <w:rFonts w:ascii="Arial Narrow" w:hAnsi="Arial Narrow" w:cs="Times New Roman"/>
              </w:rPr>
              <w:t>1,300</w:t>
            </w:r>
          </w:p>
        </w:tc>
        <w:tc>
          <w:tcPr>
            <w:tcW w:w="1620" w:type="dxa"/>
            <w:tcBorders>
              <w:top w:val="single" w:sz="8" w:space="0" w:color="auto"/>
              <w:left w:val="single" w:sz="8" w:space="0" w:color="auto"/>
              <w:bottom w:val="single" w:sz="8" w:space="0" w:color="auto"/>
              <w:right w:val="single" w:sz="8" w:space="0" w:color="auto"/>
              <w:tl2br w:val="nil"/>
              <w:tr2bl w:val="nil"/>
            </w:tcBorders>
            <w:textDirection w:val="lrTb"/>
            <w:vAlign w:val="center"/>
          </w:tcPr>
          <w:p w:rsidR="00CF68BA" w:rsidRPr="00B547E0" w:rsidP="00CF68BA">
            <w:pPr>
              <w:spacing w:line="240" w:lineRule="auto"/>
              <w:jc w:val="right"/>
              <w:rPr>
                <w:rFonts w:ascii="Arial Narrow" w:hAnsi="Arial Narrow" w:cs="Times New Roman"/>
              </w:rPr>
            </w:pPr>
            <w:r w:rsidRPr="00B547E0">
              <w:rPr>
                <w:rFonts w:ascii="Arial Narrow" w:hAnsi="Arial Narrow" w:cs="Times New Roman"/>
              </w:rPr>
              <w:t>2 499,976</w:t>
            </w:r>
          </w:p>
        </w:tc>
      </w:tr>
      <w:tr>
        <w:tblPrEx>
          <w:tblW w:w="9555" w:type="dxa"/>
          <w:tblInd w:w="93" w:type="dxa"/>
        </w:tblPrEx>
        <w:trPr>
          <w:trHeight w:hRule="exact" w:val="227"/>
        </w:trPr>
        <w:tc>
          <w:tcPr>
            <w:tcW w:w="1455" w:type="dxa"/>
            <w:tcBorders>
              <w:top w:val="single" w:sz="8" w:space="0" w:color="auto"/>
              <w:left w:val="single" w:sz="8" w:space="0" w:color="auto"/>
              <w:bottom w:val="single" w:sz="8" w:space="0" w:color="auto"/>
              <w:right w:val="single" w:sz="8" w:space="0" w:color="auto"/>
              <w:tl2br w:val="nil"/>
              <w:tr2bl w:val="nil"/>
            </w:tcBorders>
            <w:textDirection w:val="lrTb"/>
            <w:vAlign w:val="center"/>
          </w:tcPr>
          <w:p w:rsidR="00CF68BA" w:rsidRPr="00B547E0" w:rsidP="00CF68BA">
            <w:pPr>
              <w:spacing w:line="240" w:lineRule="auto"/>
              <w:jc w:val="center"/>
              <w:rPr>
                <w:rFonts w:ascii="Arial Narrow" w:hAnsi="Arial Narrow" w:cs="Times New Roman"/>
              </w:rPr>
            </w:pPr>
            <w:r w:rsidRPr="00B547E0">
              <w:rPr>
                <w:rFonts w:ascii="Arial Narrow" w:hAnsi="Arial Narrow" w:cs="Times New Roman"/>
              </w:rPr>
              <w:t>Dolný Kubín</w:t>
            </w:r>
          </w:p>
        </w:tc>
        <w:tc>
          <w:tcPr>
            <w:tcW w:w="5040" w:type="dxa"/>
            <w:tcBorders>
              <w:top w:val="single" w:sz="8" w:space="0" w:color="auto"/>
              <w:left w:val="single" w:sz="8" w:space="0" w:color="auto"/>
              <w:bottom w:val="single" w:sz="8" w:space="0" w:color="auto"/>
              <w:right w:val="single" w:sz="8" w:space="0" w:color="auto"/>
              <w:tl2br w:val="nil"/>
              <w:tr2bl w:val="nil"/>
            </w:tcBorders>
            <w:textDirection w:val="lrTb"/>
            <w:vAlign w:val="center"/>
          </w:tcPr>
          <w:p w:rsidR="00CF68BA" w:rsidRPr="00B547E0" w:rsidP="00CF68BA">
            <w:pPr>
              <w:spacing w:line="240" w:lineRule="auto"/>
              <w:rPr>
                <w:rFonts w:ascii="Arial Narrow" w:hAnsi="Arial Narrow" w:cs="Times New Roman"/>
              </w:rPr>
            </w:pPr>
            <w:r w:rsidRPr="00B547E0" w:rsidR="00D06EB5">
              <w:rPr>
                <w:rFonts w:ascii="Arial Narrow" w:hAnsi="Arial Narrow" w:cs="Times New Roman"/>
              </w:rPr>
              <w:t>I/78, Príslop, Vasilov-obn. krytu vozovky (km 5,0-6,0,  11,5-13,0</w:t>
            </w:r>
            <w:r w:rsidRPr="00B547E0">
              <w:rPr>
                <w:rFonts w:ascii="Arial Narrow" w:hAnsi="Arial Narrow" w:cs="Times New Roman"/>
              </w:rPr>
              <w:t>)</w:t>
            </w:r>
          </w:p>
        </w:tc>
        <w:tc>
          <w:tcPr>
            <w:tcW w:w="1440" w:type="dxa"/>
            <w:tcBorders>
              <w:top w:val="single" w:sz="8" w:space="0" w:color="auto"/>
              <w:left w:val="single" w:sz="8" w:space="0" w:color="auto"/>
              <w:bottom w:val="single" w:sz="8" w:space="0" w:color="auto"/>
              <w:right w:val="single" w:sz="8" w:space="0" w:color="auto"/>
              <w:tl2br w:val="nil"/>
              <w:tr2bl w:val="nil"/>
            </w:tcBorders>
            <w:textDirection w:val="lrTb"/>
            <w:vAlign w:val="center"/>
          </w:tcPr>
          <w:p w:rsidR="00CF68BA" w:rsidRPr="00B547E0" w:rsidP="00CF68BA">
            <w:pPr>
              <w:spacing w:line="240" w:lineRule="auto"/>
              <w:jc w:val="center"/>
              <w:rPr>
                <w:rFonts w:ascii="Arial Narrow" w:hAnsi="Arial Narrow" w:cs="Times New Roman"/>
              </w:rPr>
            </w:pPr>
            <w:r w:rsidRPr="00B547E0">
              <w:rPr>
                <w:rFonts w:ascii="Arial Narrow" w:hAnsi="Arial Narrow" w:cs="Times New Roman"/>
              </w:rPr>
              <w:t>0,950</w:t>
            </w:r>
          </w:p>
        </w:tc>
        <w:tc>
          <w:tcPr>
            <w:tcW w:w="1620" w:type="dxa"/>
            <w:tcBorders>
              <w:top w:val="single" w:sz="8" w:space="0" w:color="auto"/>
              <w:left w:val="single" w:sz="8" w:space="0" w:color="auto"/>
              <w:bottom w:val="single" w:sz="8" w:space="0" w:color="auto"/>
              <w:right w:val="single" w:sz="8" w:space="0" w:color="auto"/>
              <w:tl2br w:val="nil"/>
              <w:tr2bl w:val="nil"/>
            </w:tcBorders>
            <w:textDirection w:val="lrTb"/>
            <w:vAlign w:val="center"/>
          </w:tcPr>
          <w:p w:rsidR="00CF68BA" w:rsidRPr="00B547E0" w:rsidP="00CF68BA">
            <w:pPr>
              <w:spacing w:line="240" w:lineRule="auto"/>
              <w:jc w:val="right"/>
              <w:rPr>
                <w:rFonts w:ascii="Arial Narrow" w:hAnsi="Arial Narrow" w:cs="Times New Roman"/>
              </w:rPr>
            </w:pPr>
            <w:r w:rsidRPr="00B547E0">
              <w:rPr>
                <w:rFonts w:ascii="Arial Narrow" w:hAnsi="Arial Narrow" w:cs="Times New Roman"/>
              </w:rPr>
              <w:t>4 699,966</w:t>
            </w:r>
          </w:p>
        </w:tc>
      </w:tr>
      <w:tr>
        <w:tblPrEx>
          <w:tblW w:w="9555" w:type="dxa"/>
          <w:tblInd w:w="93" w:type="dxa"/>
        </w:tblPrEx>
        <w:trPr>
          <w:trHeight w:hRule="exact" w:val="227"/>
        </w:trPr>
        <w:tc>
          <w:tcPr>
            <w:tcW w:w="1455" w:type="dxa"/>
            <w:tcBorders>
              <w:top w:val="single" w:sz="8" w:space="0" w:color="auto"/>
              <w:left w:val="single" w:sz="8" w:space="0" w:color="auto"/>
              <w:bottom w:val="single" w:sz="8" w:space="0" w:color="auto"/>
              <w:right w:val="single" w:sz="8" w:space="0" w:color="auto"/>
              <w:tl2br w:val="nil"/>
              <w:tr2bl w:val="nil"/>
            </w:tcBorders>
            <w:textDirection w:val="lrTb"/>
            <w:vAlign w:val="center"/>
          </w:tcPr>
          <w:p w:rsidR="00CF68BA" w:rsidRPr="00B547E0" w:rsidP="00CF68BA">
            <w:pPr>
              <w:spacing w:line="240" w:lineRule="auto"/>
              <w:jc w:val="center"/>
              <w:rPr>
                <w:rFonts w:ascii="Arial Narrow" w:hAnsi="Arial Narrow" w:cs="Times New Roman"/>
              </w:rPr>
            </w:pPr>
            <w:r w:rsidRPr="00B547E0">
              <w:rPr>
                <w:rFonts w:ascii="Arial Narrow" w:hAnsi="Arial Narrow" w:cs="Times New Roman"/>
              </w:rPr>
              <w:t>Čadca</w:t>
            </w:r>
          </w:p>
        </w:tc>
        <w:tc>
          <w:tcPr>
            <w:tcW w:w="5040" w:type="dxa"/>
            <w:tcBorders>
              <w:top w:val="single" w:sz="8" w:space="0" w:color="auto"/>
              <w:left w:val="single" w:sz="8" w:space="0" w:color="auto"/>
              <w:bottom w:val="single" w:sz="8" w:space="0" w:color="auto"/>
              <w:right w:val="single" w:sz="8" w:space="0" w:color="auto"/>
              <w:tl2br w:val="nil"/>
              <w:tr2bl w:val="nil"/>
            </w:tcBorders>
            <w:textDirection w:val="lrTb"/>
            <w:vAlign w:val="center"/>
          </w:tcPr>
          <w:p w:rsidR="00CF68BA" w:rsidRPr="00B547E0" w:rsidP="00CF68BA">
            <w:pPr>
              <w:spacing w:line="240" w:lineRule="auto"/>
              <w:rPr>
                <w:rFonts w:ascii="Arial Narrow" w:hAnsi="Arial Narrow" w:cs="Times New Roman"/>
              </w:rPr>
            </w:pPr>
            <w:r w:rsidRPr="00B547E0">
              <w:rPr>
                <w:rFonts w:ascii="Arial Narrow" w:hAnsi="Arial Narrow" w:cs="Times New Roman"/>
              </w:rPr>
              <w:t>I/18, Makov, km 419,000-421,000 - obnova krytu vozovky</w:t>
            </w:r>
          </w:p>
        </w:tc>
        <w:tc>
          <w:tcPr>
            <w:tcW w:w="1440" w:type="dxa"/>
            <w:tcBorders>
              <w:top w:val="single" w:sz="8" w:space="0" w:color="auto"/>
              <w:left w:val="single" w:sz="8" w:space="0" w:color="auto"/>
              <w:bottom w:val="single" w:sz="8" w:space="0" w:color="auto"/>
              <w:right w:val="single" w:sz="8" w:space="0" w:color="auto"/>
              <w:tl2br w:val="nil"/>
              <w:tr2bl w:val="nil"/>
            </w:tcBorders>
            <w:textDirection w:val="lrTb"/>
            <w:vAlign w:val="center"/>
          </w:tcPr>
          <w:p w:rsidR="00CF68BA" w:rsidRPr="00B547E0" w:rsidP="00CF68BA">
            <w:pPr>
              <w:spacing w:line="240" w:lineRule="auto"/>
              <w:jc w:val="center"/>
              <w:rPr>
                <w:rFonts w:ascii="Arial Narrow" w:hAnsi="Arial Narrow" w:cs="Times New Roman"/>
              </w:rPr>
            </w:pPr>
            <w:r w:rsidRPr="00B547E0">
              <w:rPr>
                <w:rFonts w:ascii="Arial Narrow" w:hAnsi="Arial Narrow" w:cs="Times New Roman"/>
              </w:rPr>
              <w:t>0,750</w:t>
            </w:r>
          </w:p>
        </w:tc>
        <w:tc>
          <w:tcPr>
            <w:tcW w:w="1620" w:type="dxa"/>
            <w:tcBorders>
              <w:top w:val="single" w:sz="8" w:space="0" w:color="auto"/>
              <w:left w:val="single" w:sz="8" w:space="0" w:color="auto"/>
              <w:bottom w:val="single" w:sz="8" w:space="0" w:color="auto"/>
              <w:right w:val="single" w:sz="8" w:space="0" w:color="auto"/>
              <w:tl2br w:val="nil"/>
              <w:tr2bl w:val="nil"/>
            </w:tcBorders>
            <w:textDirection w:val="lrTb"/>
            <w:vAlign w:val="center"/>
          </w:tcPr>
          <w:p w:rsidR="00CF68BA" w:rsidRPr="00B547E0" w:rsidP="00CF68BA">
            <w:pPr>
              <w:spacing w:line="240" w:lineRule="auto"/>
              <w:jc w:val="right"/>
              <w:rPr>
                <w:rFonts w:ascii="Arial Narrow" w:hAnsi="Arial Narrow" w:cs="Times New Roman"/>
              </w:rPr>
            </w:pPr>
            <w:r w:rsidRPr="00B547E0">
              <w:rPr>
                <w:rFonts w:ascii="Arial Narrow" w:hAnsi="Arial Narrow" w:cs="Times New Roman"/>
              </w:rPr>
              <w:t>4 636,569</w:t>
            </w:r>
          </w:p>
        </w:tc>
      </w:tr>
      <w:tr>
        <w:tblPrEx>
          <w:tblW w:w="9555" w:type="dxa"/>
          <w:tblInd w:w="93" w:type="dxa"/>
        </w:tblPrEx>
        <w:trPr>
          <w:trHeight w:hRule="exact" w:val="227"/>
        </w:trPr>
        <w:tc>
          <w:tcPr>
            <w:tcW w:w="1455" w:type="dxa"/>
            <w:tcBorders>
              <w:top w:val="single" w:sz="8" w:space="0" w:color="auto"/>
              <w:left w:val="single" w:sz="8" w:space="0" w:color="auto"/>
              <w:bottom w:val="single" w:sz="8" w:space="0" w:color="auto"/>
              <w:right w:val="single" w:sz="8" w:space="0" w:color="auto"/>
              <w:tl2br w:val="nil"/>
              <w:tr2bl w:val="nil"/>
            </w:tcBorders>
            <w:textDirection w:val="lrTb"/>
            <w:vAlign w:val="center"/>
          </w:tcPr>
          <w:p w:rsidR="00CF68BA" w:rsidRPr="00B547E0" w:rsidP="00CF68BA">
            <w:pPr>
              <w:spacing w:line="240" w:lineRule="auto"/>
              <w:jc w:val="center"/>
              <w:rPr>
                <w:rFonts w:ascii="Arial Narrow" w:hAnsi="Arial Narrow" w:cs="Times New Roman"/>
              </w:rPr>
            </w:pPr>
            <w:r w:rsidRPr="00B547E0">
              <w:rPr>
                <w:rFonts w:ascii="Arial Narrow" w:hAnsi="Arial Narrow" w:cs="Times New Roman"/>
              </w:rPr>
              <w:t>Partizánske</w:t>
            </w:r>
          </w:p>
        </w:tc>
        <w:tc>
          <w:tcPr>
            <w:tcW w:w="5040" w:type="dxa"/>
            <w:tcBorders>
              <w:top w:val="single" w:sz="8" w:space="0" w:color="auto"/>
              <w:left w:val="single" w:sz="8" w:space="0" w:color="auto"/>
              <w:bottom w:val="single" w:sz="8" w:space="0" w:color="auto"/>
              <w:right w:val="single" w:sz="8" w:space="0" w:color="auto"/>
              <w:tl2br w:val="nil"/>
              <w:tr2bl w:val="nil"/>
            </w:tcBorders>
            <w:textDirection w:val="lrTb"/>
            <w:vAlign w:val="center"/>
          </w:tcPr>
          <w:p w:rsidR="00CF68BA" w:rsidRPr="00B547E0" w:rsidP="00CF68BA">
            <w:pPr>
              <w:spacing w:line="240" w:lineRule="auto"/>
              <w:rPr>
                <w:rFonts w:ascii="Arial Narrow" w:hAnsi="Arial Narrow" w:cs="Times New Roman"/>
              </w:rPr>
            </w:pPr>
            <w:r w:rsidRPr="00B547E0">
              <w:rPr>
                <w:rFonts w:ascii="Arial Narrow" w:hAnsi="Arial Narrow" w:cs="Times New Roman"/>
              </w:rPr>
              <w:t xml:space="preserve">I/64, km 118,900, </w:t>
            </w:r>
            <w:r w:rsidRPr="00B547E0">
              <w:rPr>
                <w:rFonts w:ascii="Arial Narrow" w:hAnsi="Arial Narrow" w:cs="Times New Roman"/>
              </w:rPr>
              <w:t xml:space="preserve">Partizánske </w:t>
            </w:r>
            <w:r w:rsidR="006D2832">
              <w:rPr>
                <w:rFonts w:ascii="Arial Narrow" w:hAnsi="Arial Narrow" w:cs="Times New Roman"/>
              </w:rPr>
              <w:t>–</w:t>
            </w:r>
            <w:r w:rsidRPr="00B547E0">
              <w:rPr>
                <w:rFonts w:ascii="Arial Narrow" w:hAnsi="Arial Narrow" w:cs="Times New Roman"/>
              </w:rPr>
              <w:t xml:space="preserve"> havarijný stav vozovky</w:t>
            </w:r>
          </w:p>
        </w:tc>
        <w:tc>
          <w:tcPr>
            <w:tcW w:w="1440" w:type="dxa"/>
            <w:tcBorders>
              <w:top w:val="single" w:sz="8" w:space="0" w:color="auto"/>
              <w:left w:val="single" w:sz="8" w:space="0" w:color="auto"/>
              <w:bottom w:val="single" w:sz="8" w:space="0" w:color="auto"/>
              <w:right w:val="single" w:sz="8" w:space="0" w:color="auto"/>
              <w:tl2br w:val="nil"/>
              <w:tr2bl w:val="nil"/>
            </w:tcBorders>
            <w:textDirection w:val="lrTb"/>
            <w:vAlign w:val="center"/>
          </w:tcPr>
          <w:p w:rsidR="00CF68BA" w:rsidRPr="00B547E0" w:rsidP="00CF68BA">
            <w:pPr>
              <w:spacing w:line="240" w:lineRule="auto"/>
              <w:jc w:val="center"/>
              <w:rPr>
                <w:rFonts w:ascii="Arial Narrow" w:hAnsi="Arial Narrow" w:cs="Times New Roman"/>
              </w:rPr>
            </w:pPr>
            <w:r w:rsidRPr="00B547E0">
              <w:rPr>
                <w:rFonts w:ascii="Arial Narrow" w:hAnsi="Arial Narrow" w:cs="Times New Roman"/>
              </w:rPr>
              <w:t>0,150</w:t>
            </w:r>
          </w:p>
        </w:tc>
        <w:tc>
          <w:tcPr>
            <w:tcW w:w="1620" w:type="dxa"/>
            <w:tcBorders>
              <w:top w:val="single" w:sz="8" w:space="0" w:color="auto"/>
              <w:left w:val="single" w:sz="8" w:space="0" w:color="auto"/>
              <w:bottom w:val="single" w:sz="8" w:space="0" w:color="auto"/>
              <w:right w:val="single" w:sz="8" w:space="0" w:color="auto"/>
              <w:tl2br w:val="nil"/>
              <w:tr2bl w:val="nil"/>
            </w:tcBorders>
            <w:textDirection w:val="lrTb"/>
            <w:vAlign w:val="center"/>
          </w:tcPr>
          <w:p w:rsidR="00CF68BA" w:rsidRPr="00B547E0" w:rsidP="00CF68BA">
            <w:pPr>
              <w:spacing w:line="240" w:lineRule="auto"/>
              <w:jc w:val="right"/>
              <w:rPr>
                <w:rFonts w:ascii="Arial Narrow" w:hAnsi="Arial Narrow" w:cs="Times New Roman"/>
              </w:rPr>
            </w:pPr>
            <w:r w:rsidRPr="00B547E0">
              <w:rPr>
                <w:rFonts w:ascii="Arial Narrow" w:hAnsi="Arial Narrow" w:cs="Times New Roman"/>
              </w:rPr>
              <w:t>1 346,559</w:t>
            </w:r>
          </w:p>
        </w:tc>
      </w:tr>
      <w:tr>
        <w:tblPrEx>
          <w:tblW w:w="9555" w:type="dxa"/>
          <w:tblInd w:w="93" w:type="dxa"/>
        </w:tblPrEx>
        <w:trPr>
          <w:trHeight w:hRule="exact" w:val="227"/>
        </w:trPr>
        <w:tc>
          <w:tcPr>
            <w:tcW w:w="1455" w:type="dxa"/>
            <w:tcBorders>
              <w:top w:val="single" w:sz="8" w:space="0" w:color="auto"/>
              <w:left w:val="single" w:sz="8" w:space="0" w:color="auto"/>
              <w:bottom w:val="single" w:sz="8" w:space="0" w:color="auto"/>
              <w:right w:val="single" w:sz="8" w:space="0" w:color="auto"/>
              <w:tl2br w:val="nil"/>
              <w:tr2bl w:val="nil"/>
            </w:tcBorders>
            <w:textDirection w:val="lrTb"/>
            <w:vAlign w:val="center"/>
          </w:tcPr>
          <w:p w:rsidR="00CF68BA" w:rsidRPr="00B547E0" w:rsidP="00CF68BA">
            <w:pPr>
              <w:spacing w:line="240" w:lineRule="auto"/>
              <w:jc w:val="center"/>
              <w:rPr>
                <w:rFonts w:ascii="Arial Narrow" w:hAnsi="Arial Narrow" w:cs="Times New Roman"/>
              </w:rPr>
            </w:pPr>
            <w:r w:rsidRPr="00B547E0">
              <w:rPr>
                <w:rFonts w:ascii="Arial Narrow" w:hAnsi="Arial Narrow" w:cs="Times New Roman"/>
              </w:rPr>
              <w:t>Martin</w:t>
            </w:r>
          </w:p>
        </w:tc>
        <w:tc>
          <w:tcPr>
            <w:tcW w:w="5040" w:type="dxa"/>
            <w:tcBorders>
              <w:top w:val="single" w:sz="8" w:space="0" w:color="auto"/>
              <w:left w:val="single" w:sz="8" w:space="0" w:color="auto"/>
              <w:bottom w:val="single" w:sz="8" w:space="0" w:color="auto"/>
              <w:right w:val="single" w:sz="8" w:space="0" w:color="auto"/>
              <w:tl2br w:val="nil"/>
              <w:tr2bl w:val="nil"/>
            </w:tcBorders>
            <w:textDirection w:val="lrTb"/>
            <w:vAlign w:val="center"/>
          </w:tcPr>
          <w:p w:rsidR="00CF68BA" w:rsidRPr="00B547E0" w:rsidP="00CF68BA">
            <w:pPr>
              <w:spacing w:line="240" w:lineRule="auto"/>
              <w:rPr>
                <w:rFonts w:ascii="Arial Narrow" w:hAnsi="Arial Narrow" w:cs="Times New Roman"/>
              </w:rPr>
            </w:pPr>
            <w:r w:rsidRPr="00B547E0">
              <w:rPr>
                <w:rFonts w:ascii="Arial Narrow" w:hAnsi="Arial Narrow" w:cs="Times New Roman"/>
              </w:rPr>
              <w:t>I/18, Martin - sanácia dopravných portálov</w:t>
            </w:r>
          </w:p>
        </w:tc>
        <w:tc>
          <w:tcPr>
            <w:tcW w:w="1440" w:type="dxa"/>
            <w:tcBorders>
              <w:top w:val="single" w:sz="8" w:space="0" w:color="auto"/>
              <w:left w:val="single" w:sz="8" w:space="0" w:color="auto"/>
              <w:bottom w:val="single" w:sz="8" w:space="0" w:color="auto"/>
              <w:right w:val="single" w:sz="8" w:space="0" w:color="auto"/>
              <w:tl2br w:val="nil"/>
              <w:tr2bl w:val="nil"/>
            </w:tcBorders>
            <w:textDirection w:val="lrTb"/>
            <w:vAlign w:val="center"/>
          </w:tcPr>
          <w:p w:rsidR="00CF68BA" w:rsidRPr="00B547E0" w:rsidP="00CF68BA">
            <w:pPr>
              <w:spacing w:line="240" w:lineRule="auto"/>
              <w:jc w:val="center"/>
              <w:rPr>
                <w:rFonts w:ascii="Arial Narrow" w:hAnsi="Arial Narrow" w:cs="Times New Roman"/>
              </w:rPr>
            </w:pPr>
            <w:r w:rsidRPr="00B547E0">
              <w:rPr>
                <w:rFonts w:ascii="Arial Narrow" w:hAnsi="Arial Narrow" w:cs="Times New Roman"/>
              </w:rPr>
              <w:t>0,000</w:t>
            </w:r>
          </w:p>
        </w:tc>
        <w:tc>
          <w:tcPr>
            <w:tcW w:w="1620" w:type="dxa"/>
            <w:tcBorders>
              <w:top w:val="single" w:sz="8" w:space="0" w:color="auto"/>
              <w:left w:val="single" w:sz="8" w:space="0" w:color="auto"/>
              <w:bottom w:val="single" w:sz="8" w:space="0" w:color="auto"/>
              <w:right w:val="single" w:sz="8" w:space="0" w:color="auto"/>
              <w:tl2br w:val="nil"/>
              <w:tr2bl w:val="nil"/>
            </w:tcBorders>
            <w:textDirection w:val="lrTb"/>
            <w:vAlign w:val="center"/>
          </w:tcPr>
          <w:p w:rsidR="00CF68BA" w:rsidRPr="00B547E0" w:rsidP="00CF68BA">
            <w:pPr>
              <w:spacing w:line="240" w:lineRule="auto"/>
              <w:jc w:val="right"/>
              <w:rPr>
                <w:rFonts w:ascii="Arial Narrow" w:hAnsi="Arial Narrow" w:cs="Times New Roman"/>
              </w:rPr>
            </w:pPr>
            <w:r w:rsidRPr="00B547E0">
              <w:rPr>
                <w:rFonts w:ascii="Arial Narrow" w:hAnsi="Arial Narrow" w:cs="Times New Roman"/>
              </w:rPr>
              <w:t>2 250,326</w:t>
            </w:r>
          </w:p>
        </w:tc>
      </w:tr>
      <w:tr>
        <w:tblPrEx>
          <w:tblW w:w="9555" w:type="dxa"/>
          <w:tblInd w:w="93" w:type="dxa"/>
        </w:tblPrEx>
        <w:trPr>
          <w:trHeight w:hRule="exact" w:val="227"/>
        </w:trPr>
        <w:tc>
          <w:tcPr>
            <w:tcW w:w="1455" w:type="dxa"/>
            <w:tcBorders>
              <w:top w:val="single" w:sz="8" w:space="0" w:color="auto"/>
              <w:left w:val="single" w:sz="8" w:space="0" w:color="auto"/>
              <w:bottom w:val="single" w:sz="8" w:space="0" w:color="auto"/>
              <w:right w:val="single" w:sz="8" w:space="0" w:color="auto"/>
              <w:tl2br w:val="nil"/>
              <w:tr2bl w:val="nil"/>
            </w:tcBorders>
            <w:textDirection w:val="lrTb"/>
            <w:vAlign w:val="center"/>
          </w:tcPr>
          <w:p w:rsidR="00CF68BA" w:rsidRPr="00B547E0" w:rsidP="00CF68BA">
            <w:pPr>
              <w:spacing w:line="240" w:lineRule="auto"/>
              <w:jc w:val="center"/>
              <w:rPr>
                <w:rFonts w:ascii="Arial Narrow" w:hAnsi="Arial Narrow" w:cs="Times New Roman"/>
              </w:rPr>
            </w:pPr>
            <w:r w:rsidRPr="00B547E0">
              <w:rPr>
                <w:rFonts w:ascii="Arial Narrow" w:hAnsi="Arial Narrow" w:cs="Times New Roman"/>
              </w:rPr>
              <w:t>Dolný Kubín</w:t>
            </w:r>
          </w:p>
        </w:tc>
        <w:tc>
          <w:tcPr>
            <w:tcW w:w="5040" w:type="dxa"/>
            <w:tcBorders>
              <w:top w:val="single" w:sz="8" w:space="0" w:color="auto"/>
              <w:left w:val="single" w:sz="8" w:space="0" w:color="auto"/>
              <w:bottom w:val="single" w:sz="8" w:space="0" w:color="auto"/>
              <w:right w:val="single" w:sz="8" w:space="0" w:color="auto"/>
              <w:tl2br w:val="nil"/>
              <w:tr2bl w:val="nil"/>
            </w:tcBorders>
            <w:textDirection w:val="lrTb"/>
            <w:vAlign w:val="center"/>
          </w:tcPr>
          <w:p w:rsidR="00CF68BA" w:rsidRPr="00B547E0" w:rsidP="00CF68BA">
            <w:pPr>
              <w:spacing w:line="240" w:lineRule="auto"/>
              <w:rPr>
                <w:rFonts w:ascii="Arial Narrow" w:hAnsi="Arial Narrow" w:cs="Times New Roman"/>
              </w:rPr>
            </w:pPr>
            <w:r w:rsidRPr="00B547E0">
              <w:rPr>
                <w:rFonts w:ascii="Arial Narrow" w:hAnsi="Arial Narrow" w:cs="Times New Roman"/>
              </w:rPr>
              <w:t xml:space="preserve">I/59, Dolný Kubín </w:t>
            </w:r>
            <w:r w:rsidRPr="00B547E0" w:rsidR="00D06EB5">
              <w:rPr>
                <w:rFonts w:ascii="Arial Narrow" w:hAnsi="Arial Narrow" w:cs="Times New Roman"/>
              </w:rPr>
              <w:t>–</w:t>
            </w:r>
            <w:r w:rsidRPr="00B547E0">
              <w:rPr>
                <w:rFonts w:ascii="Arial Narrow" w:hAnsi="Arial Narrow" w:cs="Times New Roman"/>
              </w:rPr>
              <w:t xml:space="preserve"> oprava DZM na MO 59-074</w:t>
            </w:r>
          </w:p>
        </w:tc>
        <w:tc>
          <w:tcPr>
            <w:tcW w:w="1440" w:type="dxa"/>
            <w:tcBorders>
              <w:top w:val="single" w:sz="8" w:space="0" w:color="auto"/>
              <w:left w:val="single" w:sz="8" w:space="0" w:color="auto"/>
              <w:bottom w:val="single" w:sz="8" w:space="0" w:color="auto"/>
              <w:right w:val="single" w:sz="8" w:space="0" w:color="auto"/>
              <w:tl2br w:val="nil"/>
              <w:tr2bl w:val="nil"/>
            </w:tcBorders>
            <w:textDirection w:val="lrTb"/>
            <w:vAlign w:val="center"/>
          </w:tcPr>
          <w:p w:rsidR="00CF68BA" w:rsidRPr="00B547E0" w:rsidP="00CF68BA">
            <w:pPr>
              <w:spacing w:line="240" w:lineRule="auto"/>
              <w:jc w:val="center"/>
              <w:rPr>
                <w:rFonts w:ascii="Arial Narrow" w:hAnsi="Arial Narrow" w:cs="Times New Roman"/>
              </w:rPr>
            </w:pPr>
            <w:r w:rsidRPr="00B547E0">
              <w:rPr>
                <w:rFonts w:ascii="Arial Narrow" w:hAnsi="Arial Narrow" w:cs="Times New Roman"/>
              </w:rPr>
              <w:t>0,027</w:t>
            </w:r>
          </w:p>
        </w:tc>
        <w:tc>
          <w:tcPr>
            <w:tcW w:w="1620" w:type="dxa"/>
            <w:tcBorders>
              <w:top w:val="single" w:sz="8" w:space="0" w:color="auto"/>
              <w:left w:val="single" w:sz="8" w:space="0" w:color="auto"/>
              <w:bottom w:val="single" w:sz="8" w:space="0" w:color="auto"/>
              <w:right w:val="single" w:sz="8" w:space="0" w:color="auto"/>
              <w:tl2br w:val="nil"/>
              <w:tr2bl w:val="nil"/>
            </w:tcBorders>
            <w:textDirection w:val="lrTb"/>
            <w:vAlign w:val="center"/>
          </w:tcPr>
          <w:p w:rsidR="00CF68BA" w:rsidRPr="00B547E0" w:rsidP="00CF68BA">
            <w:pPr>
              <w:spacing w:line="240" w:lineRule="auto"/>
              <w:jc w:val="right"/>
              <w:rPr>
                <w:rFonts w:ascii="Arial Narrow" w:hAnsi="Arial Narrow" w:cs="Times New Roman"/>
              </w:rPr>
            </w:pPr>
            <w:r w:rsidRPr="00B547E0">
              <w:rPr>
                <w:rFonts w:ascii="Arial Narrow" w:hAnsi="Arial Narrow" w:cs="Times New Roman"/>
              </w:rPr>
              <w:t>2 028,695</w:t>
            </w:r>
          </w:p>
        </w:tc>
      </w:tr>
      <w:tr>
        <w:tblPrEx>
          <w:tblW w:w="9555" w:type="dxa"/>
          <w:tblInd w:w="93" w:type="dxa"/>
        </w:tblPrEx>
        <w:trPr>
          <w:trHeight w:hRule="exact" w:val="227"/>
        </w:trPr>
        <w:tc>
          <w:tcPr>
            <w:tcW w:w="1455" w:type="dxa"/>
            <w:tcBorders>
              <w:top w:val="single" w:sz="8" w:space="0" w:color="auto"/>
              <w:left w:val="single" w:sz="8" w:space="0" w:color="auto"/>
              <w:bottom w:val="single" w:sz="8" w:space="0" w:color="auto"/>
              <w:right w:val="single" w:sz="8" w:space="0" w:color="auto"/>
              <w:tl2br w:val="nil"/>
              <w:tr2bl w:val="nil"/>
            </w:tcBorders>
            <w:textDirection w:val="lrTb"/>
            <w:vAlign w:val="center"/>
          </w:tcPr>
          <w:p w:rsidR="00CF68BA" w:rsidRPr="00B547E0" w:rsidP="00CF68BA">
            <w:pPr>
              <w:spacing w:line="240" w:lineRule="auto"/>
              <w:jc w:val="center"/>
              <w:rPr>
                <w:rFonts w:ascii="Arial Narrow" w:hAnsi="Arial Narrow" w:cs="Times New Roman"/>
              </w:rPr>
            </w:pPr>
            <w:r w:rsidRPr="00B547E0">
              <w:rPr>
                <w:rFonts w:ascii="Arial Narrow" w:hAnsi="Arial Narrow" w:cs="Times New Roman"/>
              </w:rPr>
              <w:t>Martin</w:t>
            </w:r>
          </w:p>
        </w:tc>
        <w:tc>
          <w:tcPr>
            <w:tcW w:w="5040" w:type="dxa"/>
            <w:tcBorders>
              <w:top w:val="single" w:sz="8" w:space="0" w:color="auto"/>
              <w:left w:val="single" w:sz="8" w:space="0" w:color="auto"/>
              <w:bottom w:val="single" w:sz="8" w:space="0" w:color="auto"/>
              <w:right w:val="single" w:sz="8" w:space="0" w:color="auto"/>
              <w:tl2br w:val="nil"/>
              <w:tr2bl w:val="nil"/>
            </w:tcBorders>
            <w:textDirection w:val="lrTb"/>
            <w:vAlign w:val="center"/>
          </w:tcPr>
          <w:p w:rsidR="00CF68BA" w:rsidRPr="00B547E0" w:rsidP="00CF68BA">
            <w:pPr>
              <w:spacing w:line="240" w:lineRule="auto"/>
              <w:rPr>
                <w:rFonts w:ascii="Arial Narrow" w:hAnsi="Arial Narrow" w:cs="Times New Roman"/>
              </w:rPr>
            </w:pPr>
            <w:r w:rsidRPr="00B547E0">
              <w:rPr>
                <w:rFonts w:ascii="Arial Narrow" w:hAnsi="Arial Narrow" w:cs="Times New Roman"/>
              </w:rPr>
              <w:t>I/65D, Martin - oprava DZM na MO 65D-009</w:t>
            </w:r>
          </w:p>
        </w:tc>
        <w:tc>
          <w:tcPr>
            <w:tcW w:w="1440" w:type="dxa"/>
            <w:tcBorders>
              <w:top w:val="single" w:sz="8" w:space="0" w:color="auto"/>
              <w:left w:val="single" w:sz="8" w:space="0" w:color="auto"/>
              <w:bottom w:val="single" w:sz="8" w:space="0" w:color="auto"/>
              <w:right w:val="single" w:sz="8" w:space="0" w:color="auto"/>
              <w:tl2br w:val="nil"/>
              <w:tr2bl w:val="nil"/>
            </w:tcBorders>
            <w:textDirection w:val="lrTb"/>
            <w:vAlign w:val="center"/>
          </w:tcPr>
          <w:p w:rsidR="00CF68BA" w:rsidRPr="00B547E0" w:rsidP="00CF68BA">
            <w:pPr>
              <w:spacing w:line="240" w:lineRule="auto"/>
              <w:jc w:val="center"/>
              <w:rPr>
                <w:rFonts w:ascii="Arial Narrow" w:hAnsi="Arial Narrow" w:cs="Times New Roman"/>
              </w:rPr>
            </w:pPr>
            <w:r w:rsidRPr="00B547E0">
              <w:rPr>
                <w:rFonts w:ascii="Arial Narrow" w:hAnsi="Arial Narrow" w:cs="Times New Roman"/>
              </w:rPr>
              <w:t>0,027</w:t>
            </w:r>
          </w:p>
        </w:tc>
        <w:tc>
          <w:tcPr>
            <w:tcW w:w="1620" w:type="dxa"/>
            <w:tcBorders>
              <w:top w:val="single" w:sz="8" w:space="0" w:color="auto"/>
              <w:left w:val="single" w:sz="8" w:space="0" w:color="auto"/>
              <w:bottom w:val="single" w:sz="8" w:space="0" w:color="auto"/>
              <w:right w:val="single" w:sz="8" w:space="0" w:color="auto"/>
              <w:tl2br w:val="nil"/>
              <w:tr2bl w:val="nil"/>
            </w:tcBorders>
            <w:textDirection w:val="lrTb"/>
            <w:vAlign w:val="center"/>
          </w:tcPr>
          <w:p w:rsidR="00CF68BA" w:rsidRPr="00B547E0" w:rsidP="00CF68BA">
            <w:pPr>
              <w:spacing w:line="240" w:lineRule="auto"/>
              <w:jc w:val="right"/>
              <w:rPr>
                <w:rFonts w:ascii="Arial Narrow" w:hAnsi="Arial Narrow" w:cs="Times New Roman"/>
              </w:rPr>
            </w:pPr>
            <w:r w:rsidRPr="00B547E0">
              <w:rPr>
                <w:rFonts w:ascii="Arial Narrow" w:hAnsi="Arial Narrow" w:cs="Times New Roman"/>
              </w:rPr>
              <w:t>2 161,330</w:t>
            </w:r>
          </w:p>
        </w:tc>
      </w:tr>
      <w:tr>
        <w:tblPrEx>
          <w:tblW w:w="9555" w:type="dxa"/>
          <w:tblInd w:w="93" w:type="dxa"/>
        </w:tblPrEx>
        <w:trPr>
          <w:trHeight w:hRule="exact" w:val="227"/>
        </w:trPr>
        <w:tc>
          <w:tcPr>
            <w:tcW w:w="1455" w:type="dxa"/>
            <w:tcBorders>
              <w:top w:val="single" w:sz="8" w:space="0" w:color="auto"/>
              <w:left w:val="single" w:sz="8" w:space="0" w:color="auto"/>
              <w:bottom w:val="single" w:sz="8" w:space="0" w:color="auto"/>
              <w:right w:val="single" w:sz="8" w:space="0" w:color="auto"/>
              <w:tl2br w:val="nil"/>
              <w:tr2bl w:val="nil"/>
            </w:tcBorders>
            <w:textDirection w:val="lrTb"/>
            <w:vAlign w:val="center"/>
          </w:tcPr>
          <w:p w:rsidR="00CF68BA" w:rsidRPr="00B547E0" w:rsidP="00CF68BA">
            <w:pPr>
              <w:spacing w:line="240" w:lineRule="auto"/>
              <w:jc w:val="center"/>
              <w:rPr>
                <w:rFonts w:ascii="Arial Narrow" w:hAnsi="Arial Narrow" w:cs="Times New Roman"/>
              </w:rPr>
            </w:pPr>
            <w:r w:rsidRPr="00B547E0">
              <w:rPr>
                <w:rFonts w:ascii="Arial Narrow" w:hAnsi="Arial Narrow" w:cs="Times New Roman"/>
              </w:rPr>
              <w:t>Žilina</w:t>
            </w:r>
          </w:p>
        </w:tc>
        <w:tc>
          <w:tcPr>
            <w:tcW w:w="5040" w:type="dxa"/>
            <w:tcBorders>
              <w:top w:val="single" w:sz="8" w:space="0" w:color="auto"/>
              <w:left w:val="single" w:sz="8" w:space="0" w:color="auto"/>
              <w:bottom w:val="single" w:sz="8" w:space="0" w:color="auto"/>
              <w:right w:val="single" w:sz="8" w:space="0" w:color="auto"/>
              <w:tl2br w:val="nil"/>
              <w:tr2bl w:val="nil"/>
            </w:tcBorders>
            <w:textDirection w:val="lrTb"/>
            <w:vAlign w:val="center"/>
          </w:tcPr>
          <w:p w:rsidR="00CF68BA" w:rsidRPr="00B547E0" w:rsidP="00CF68BA">
            <w:pPr>
              <w:spacing w:line="240" w:lineRule="auto"/>
              <w:rPr>
                <w:rFonts w:ascii="Arial Narrow" w:hAnsi="Arial Narrow" w:cs="Times New Roman"/>
              </w:rPr>
            </w:pPr>
            <w:r w:rsidRPr="00B547E0">
              <w:rPr>
                <w:rFonts w:ascii="Arial Narrow" w:hAnsi="Arial Narrow" w:cs="Times New Roman"/>
              </w:rPr>
              <w:t>I/11, Žilina - oprava DZM na MO 11-237a, 239</w:t>
            </w:r>
          </w:p>
        </w:tc>
        <w:tc>
          <w:tcPr>
            <w:tcW w:w="1440" w:type="dxa"/>
            <w:tcBorders>
              <w:top w:val="single" w:sz="8" w:space="0" w:color="auto"/>
              <w:left w:val="single" w:sz="8" w:space="0" w:color="auto"/>
              <w:bottom w:val="single" w:sz="8" w:space="0" w:color="auto"/>
              <w:right w:val="single" w:sz="8" w:space="0" w:color="auto"/>
              <w:tl2br w:val="nil"/>
              <w:tr2bl w:val="nil"/>
            </w:tcBorders>
            <w:textDirection w:val="lrTb"/>
            <w:vAlign w:val="center"/>
          </w:tcPr>
          <w:p w:rsidR="00CF68BA" w:rsidRPr="00B547E0" w:rsidP="00CF68BA">
            <w:pPr>
              <w:spacing w:line="240" w:lineRule="auto"/>
              <w:jc w:val="center"/>
              <w:rPr>
                <w:rFonts w:ascii="Arial Narrow" w:hAnsi="Arial Narrow" w:cs="Times New Roman"/>
              </w:rPr>
            </w:pPr>
            <w:r w:rsidRPr="00B547E0">
              <w:rPr>
                <w:rFonts w:ascii="Arial Narrow" w:hAnsi="Arial Narrow" w:cs="Times New Roman"/>
              </w:rPr>
              <w:t>0,025</w:t>
            </w:r>
          </w:p>
        </w:tc>
        <w:tc>
          <w:tcPr>
            <w:tcW w:w="1620" w:type="dxa"/>
            <w:tcBorders>
              <w:top w:val="single" w:sz="8" w:space="0" w:color="auto"/>
              <w:left w:val="single" w:sz="8" w:space="0" w:color="auto"/>
              <w:bottom w:val="single" w:sz="8" w:space="0" w:color="auto"/>
              <w:right w:val="single" w:sz="8" w:space="0" w:color="auto"/>
              <w:tl2br w:val="nil"/>
              <w:tr2bl w:val="nil"/>
            </w:tcBorders>
            <w:textDirection w:val="lrTb"/>
            <w:vAlign w:val="center"/>
          </w:tcPr>
          <w:p w:rsidR="00CF68BA" w:rsidRPr="00B547E0" w:rsidP="00CF68BA">
            <w:pPr>
              <w:spacing w:line="240" w:lineRule="auto"/>
              <w:jc w:val="right"/>
              <w:rPr>
                <w:rFonts w:ascii="Arial Narrow" w:hAnsi="Arial Narrow" w:cs="Times New Roman"/>
              </w:rPr>
            </w:pPr>
            <w:r w:rsidRPr="00B547E0">
              <w:rPr>
                <w:rFonts w:ascii="Arial Narrow" w:hAnsi="Arial Narrow" w:cs="Times New Roman"/>
              </w:rPr>
              <w:t>5 358,898</w:t>
            </w:r>
          </w:p>
        </w:tc>
      </w:tr>
      <w:tr>
        <w:tblPrEx>
          <w:tblW w:w="9555" w:type="dxa"/>
          <w:tblInd w:w="93" w:type="dxa"/>
        </w:tblPrEx>
        <w:trPr>
          <w:trHeight w:hRule="exact" w:val="227"/>
        </w:trPr>
        <w:tc>
          <w:tcPr>
            <w:tcW w:w="1455" w:type="dxa"/>
            <w:tcBorders>
              <w:top w:val="single" w:sz="8" w:space="0" w:color="auto"/>
              <w:left w:val="single" w:sz="8" w:space="0" w:color="auto"/>
              <w:bottom w:val="single" w:sz="8" w:space="0" w:color="auto"/>
              <w:right w:val="single" w:sz="8" w:space="0" w:color="auto"/>
              <w:tl2br w:val="nil"/>
              <w:tr2bl w:val="nil"/>
            </w:tcBorders>
            <w:textDirection w:val="lrTb"/>
            <w:vAlign w:val="center"/>
          </w:tcPr>
          <w:p w:rsidR="00CF68BA" w:rsidRPr="00B547E0" w:rsidP="00CF68BA">
            <w:pPr>
              <w:spacing w:line="240" w:lineRule="auto"/>
              <w:jc w:val="center"/>
              <w:rPr>
                <w:rFonts w:ascii="Arial Narrow" w:hAnsi="Arial Narrow" w:cs="Times New Roman"/>
              </w:rPr>
            </w:pPr>
            <w:r w:rsidRPr="00B547E0">
              <w:rPr>
                <w:rFonts w:ascii="Arial Narrow" w:hAnsi="Arial Narrow" w:cs="Times New Roman"/>
              </w:rPr>
              <w:t>Žilina</w:t>
            </w:r>
          </w:p>
        </w:tc>
        <w:tc>
          <w:tcPr>
            <w:tcW w:w="5040" w:type="dxa"/>
            <w:tcBorders>
              <w:top w:val="single" w:sz="8" w:space="0" w:color="auto"/>
              <w:left w:val="single" w:sz="8" w:space="0" w:color="auto"/>
              <w:bottom w:val="single" w:sz="8" w:space="0" w:color="auto"/>
              <w:right w:val="single" w:sz="8" w:space="0" w:color="auto"/>
              <w:tl2br w:val="nil"/>
              <w:tr2bl w:val="nil"/>
            </w:tcBorders>
            <w:textDirection w:val="lrTb"/>
            <w:vAlign w:val="center"/>
          </w:tcPr>
          <w:p w:rsidR="00CF68BA" w:rsidRPr="00B547E0" w:rsidP="00CF68BA">
            <w:pPr>
              <w:spacing w:line="240" w:lineRule="auto"/>
              <w:rPr>
                <w:rFonts w:ascii="Arial Narrow" w:hAnsi="Arial Narrow" w:cs="Times New Roman"/>
              </w:rPr>
            </w:pPr>
            <w:r w:rsidRPr="00B547E0">
              <w:rPr>
                <w:rFonts w:ascii="Arial Narrow" w:hAnsi="Arial Narrow" w:cs="Times New Roman"/>
              </w:rPr>
              <w:t>I/11, Žilina - MO 11-237.1 - havarijný stav vozovky</w:t>
            </w:r>
          </w:p>
        </w:tc>
        <w:tc>
          <w:tcPr>
            <w:tcW w:w="1440" w:type="dxa"/>
            <w:tcBorders>
              <w:top w:val="single" w:sz="8" w:space="0" w:color="auto"/>
              <w:left w:val="single" w:sz="8" w:space="0" w:color="auto"/>
              <w:bottom w:val="single" w:sz="8" w:space="0" w:color="auto"/>
              <w:right w:val="single" w:sz="8" w:space="0" w:color="auto"/>
              <w:tl2br w:val="nil"/>
              <w:tr2bl w:val="nil"/>
            </w:tcBorders>
            <w:textDirection w:val="lrTb"/>
            <w:vAlign w:val="center"/>
          </w:tcPr>
          <w:p w:rsidR="00CF68BA" w:rsidRPr="00B547E0" w:rsidP="00CF68BA">
            <w:pPr>
              <w:spacing w:line="240" w:lineRule="auto"/>
              <w:jc w:val="center"/>
              <w:rPr>
                <w:rFonts w:ascii="Arial Narrow" w:hAnsi="Arial Narrow" w:cs="Times New Roman"/>
              </w:rPr>
            </w:pPr>
            <w:r w:rsidRPr="00B547E0">
              <w:rPr>
                <w:rFonts w:ascii="Arial Narrow" w:hAnsi="Arial Narrow" w:cs="Times New Roman"/>
              </w:rPr>
              <w:t>0,150</w:t>
            </w:r>
          </w:p>
        </w:tc>
        <w:tc>
          <w:tcPr>
            <w:tcW w:w="1620" w:type="dxa"/>
            <w:tcBorders>
              <w:top w:val="single" w:sz="8" w:space="0" w:color="auto"/>
              <w:left w:val="single" w:sz="8" w:space="0" w:color="auto"/>
              <w:bottom w:val="single" w:sz="8" w:space="0" w:color="auto"/>
              <w:right w:val="single" w:sz="8" w:space="0" w:color="auto"/>
              <w:tl2br w:val="nil"/>
              <w:tr2bl w:val="nil"/>
            </w:tcBorders>
            <w:textDirection w:val="lrTb"/>
            <w:vAlign w:val="center"/>
          </w:tcPr>
          <w:p w:rsidR="00CF68BA" w:rsidRPr="00B547E0" w:rsidP="00CF68BA">
            <w:pPr>
              <w:spacing w:line="240" w:lineRule="auto"/>
              <w:jc w:val="right"/>
              <w:rPr>
                <w:rFonts w:ascii="Arial Narrow" w:hAnsi="Arial Narrow" w:cs="Times New Roman"/>
              </w:rPr>
            </w:pPr>
            <w:r w:rsidRPr="00B547E0">
              <w:rPr>
                <w:rFonts w:ascii="Arial Narrow" w:hAnsi="Arial Narrow" w:cs="Times New Roman"/>
              </w:rPr>
              <w:t>2 572,764</w:t>
            </w:r>
          </w:p>
        </w:tc>
      </w:tr>
      <w:tr>
        <w:tblPrEx>
          <w:tblW w:w="9555" w:type="dxa"/>
          <w:tblInd w:w="93" w:type="dxa"/>
        </w:tblPrEx>
        <w:trPr>
          <w:trHeight w:hRule="exact" w:val="227"/>
        </w:trPr>
        <w:tc>
          <w:tcPr>
            <w:tcW w:w="1455" w:type="dxa"/>
            <w:tcBorders>
              <w:top w:val="single" w:sz="8" w:space="0" w:color="auto"/>
              <w:left w:val="single" w:sz="8" w:space="0" w:color="auto"/>
              <w:bottom w:val="single" w:sz="8" w:space="0" w:color="auto"/>
              <w:right w:val="single" w:sz="8" w:space="0" w:color="auto"/>
              <w:tl2br w:val="nil"/>
              <w:tr2bl w:val="nil"/>
            </w:tcBorders>
            <w:textDirection w:val="lrTb"/>
            <w:vAlign w:val="center"/>
          </w:tcPr>
          <w:p w:rsidR="00CF68BA" w:rsidRPr="00B547E0" w:rsidP="00CF68BA">
            <w:pPr>
              <w:spacing w:line="240" w:lineRule="auto"/>
              <w:jc w:val="center"/>
              <w:rPr>
                <w:rFonts w:ascii="Arial Narrow" w:hAnsi="Arial Narrow" w:cs="Times New Roman"/>
              </w:rPr>
            </w:pPr>
            <w:r w:rsidRPr="00B547E0">
              <w:rPr>
                <w:rFonts w:ascii="Arial Narrow" w:hAnsi="Arial Narrow" w:cs="Times New Roman"/>
              </w:rPr>
              <w:t>Prievidza</w:t>
            </w:r>
          </w:p>
        </w:tc>
        <w:tc>
          <w:tcPr>
            <w:tcW w:w="5040" w:type="dxa"/>
            <w:tcBorders>
              <w:top w:val="single" w:sz="8" w:space="0" w:color="auto"/>
              <w:left w:val="single" w:sz="8" w:space="0" w:color="auto"/>
              <w:bottom w:val="single" w:sz="8" w:space="0" w:color="auto"/>
              <w:right w:val="single" w:sz="8" w:space="0" w:color="auto"/>
              <w:tl2br w:val="nil"/>
              <w:tr2bl w:val="nil"/>
            </w:tcBorders>
            <w:textDirection w:val="lrTb"/>
            <w:vAlign w:val="center"/>
          </w:tcPr>
          <w:p w:rsidR="00CF68BA" w:rsidRPr="00B547E0" w:rsidP="00CF68BA">
            <w:pPr>
              <w:spacing w:line="240" w:lineRule="auto"/>
              <w:rPr>
                <w:rFonts w:ascii="Arial Narrow" w:hAnsi="Arial Narrow" w:cs="Times New Roman"/>
              </w:rPr>
            </w:pPr>
            <w:r w:rsidRPr="00B547E0">
              <w:rPr>
                <w:rFonts w:ascii="Arial Narrow" w:hAnsi="Arial Narrow" w:cs="Times New Roman"/>
              </w:rPr>
              <w:t>I/64, MO 64-066, Prievidza, oprava AMZ</w:t>
            </w:r>
          </w:p>
        </w:tc>
        <w:tc>
          <w:tcPr>
            <w:tcW w:w="1440" w:type="dxa"/>
            <w:tcBorders>
              <w:top w:val="single" w:sz="8" w:space="0" w:color="auto"/>
              <w:left w:val="single" w:sz="8" w:space="0" w:color="auto"/>
              <w:bottom w:val="single" w:sz="8" w:space="0" w:color="auto"/>
              <w:right w:val="single" w:sz="8" w:space="0" w:color="auto"/>
              <w:tl2br w:val="nil"/>
              <w:tr2bl w:val="nil"/>
            </w:tcBorders>
            <w:textDirection w:val="lrTb"/>
            <w:vAlign w:val="center"/>
          </w:tcPr>
          <w:p w:rsidR="00CF68BA" w:rsidRPr="00B547E0" w:rsidP="00CF68BA">
            <w:pPr>
              <w:spacing w:line="240" w:lineRule="auto"/>
              <w:jc w:val="center"/>
              <w:rPr>
                <w:rFonts w:ascii="Arial Narrow" w:hAnsi="Arial Narrow" w:cs="Times New Roman"/>
              </w:rPr>
            </w:pPr>
            <w:r w:rsidRPr="00B547E0">
              <w:rPr>
                <w:rFonts w:ascii="Arial Narrow" w:hAnsi="Arial Narrow" w:cs="Times New Roman"/>
              </w:rPr>
              <w:t>0,015</w:t>
            </w:r>
          </w:p>
        </w:tc>
        <w:tc>
          <w:tcPr>
            <w:tcW w:w="1620" w:type="dxa"/>
            <w:tcBorders>
              <w:top w:val="single" w:sz="8" w:space="0" w:color="auto"/>
              <w:left w:val="single" w:sz="8" w:space="0" w:color="auto"/>
              <w:bottom w:val="single" w:sz="8" w:space="0" w:color="auto"/>
              <w:right w:val="single" w:sz="8" w:space="0" w:color="auto"/>
              <w:tl2br w:val="nil"/>
              <w:tr2bl w:val="nil"/>
            </w:tcBorders>
            <w:textDirection w:val="lrTb"/>
            <w:vAlign w:val="center"/>
          </w:tcPr>
          <w:p w:rsidR="00CF68BA" w:rsidRPr="00B547E0" w:rsidP="00CF68BA">
            <w:pPr>
              <w:spacing w:line="240" w:lineRule="auto"/>
              <w:jc w:val="right"/>
              <w:rPr>
                <w:rFonts w:ascii="Arial Narrow" w:hAnsi="Arial Narrow" w:cs="Times New Roman"/>
              </w:rPr>
            </w:pPr>
            <w:r w:rsidRPr="00B547E0">
              <w:rPr>
                <w:rFonts w:ascii="Arial Narrow" w:hAnsi="Arial Narrow" w:cs="Times New Roman"/>
              </w:rPr>
              <w:t>499,995</w:t>
            </w:r>
          </w:p>
        </w:tc>
      </w:tr>
      <w:tr>
        <w:tblPrEx>
          <w:tblW w:w="9555" w:type="dxa"/>
          <w:tblInd w:w="93" w:type="dxa"/>
        </w:tblPrEx>
        <w:trPr>
          <w:trHeight w:hRule="exact" w:val="227"/>
        </w:trPr>
        <w:tc>
          <w:tcPr>
            <w:tcW w:w="1455" w:type="dxa"/>
            <w:tcBorders>
              <w:top w:val="single" w:sz="8" w:space="0" w:color="auto"/>
              <w:left w:val="single" w:sz="8" w:space="0" w:color="auto"/>
              <w:bottom w:val="single" w:sz="8" w:space="0" w:color="auto"/>
              <w:right w:val="single" w:sz="8" w:space="0" w:color="auto"/>
              <w:tl2br w:val="nil"/>
              <w:tr2bl w:val="nil"/>
            </w:tcBorders>
            <w:textDirection w:val="lrTb"/>
            <w:vAlign w:val="center"/>
          </w:tcPr>
          <w:p w:rsidR="00CF68BA" w:rsidRPr="00B547E0" w:rsidP="00CF68BA">
            <w:pPr>
              <w:spacing w:line="240" w:lineRule="auto"/>
              <w:jc w:val="center"/>
              <w:rPr>
                <w:rFonts w:ascii="Arial Narrow" w:hAnsi="Arial Narrow" w:cs="Times New Roman"/>
              </w:rPr>
            </w:pPr>
            <w:r w:rsidRPr="00B547E0">
              <w:rPr>
                <w:rFonts w:ascii="Arial Narrow" w:hAnsi="Arial Narrow" w:cs="Times New Roman"/>
              </w:rPr>
              <w:t>Dolný Kubín</w:t>
            </w:r>
          </w:p>
        </w:tc>
        <w:tc>
          <w:tcPr>
            <w:tcW w:w="5040" w:type="dxa"/>
            <w:tcBorders>
              <w:top w:val="single" w:sz="8" w:space="0" w:color="auto"/>
              <w:left w:val="single" w:sz="8" w:space="0" w:color="auto"/>
              <w:bottom w:val="single" w:sz="8" w:space="0" w:color="auto"/>
              <w:right w:val="single" w:sz="8" w:space="0" w:color="auto"/>
              <w:tl2br w:val="nil"/>
              <w:tr2bl w:val="nil"/>
            </w:tcBorders>
            <w:textDirection w:val="lrTb"/>
            <w:vAlign w:val="center"/>
          </w:tcPr>
          <w:p w:rsidR="00CF68BA" w:rsidRPr="00B547E0" w:rsidP="00CF68BA">
            <w:pPr>
              <w:spacing w:line="240" w:lineRule="auto"/>
              <w:rPr>
                <w:rFonts w:ascii="Arial Narrow" w:hAnsi="Arial Narrow" w:cs="Times New Roman"/>
              </w:rPr>
            </w:pPr>
            <w:r w:rsidRPr="00B547E0">
              <w:rPr>
                <w:rFonts w:ascii="Arial Narrow" w:hAnsi="Arial Narrow" w:cs="Times New Roman"/>
              </w:rPr>
              <w:t xml:space="preserve">I/78, km 35,100, Oravská Polhora - </w:t>
            </w:r>
            <w:r w:rsidRPr="00B547E0">
              <w:rPr>
                <w:rFonts w:ascii="Arial Narrow" w:hAnsi="Arial Narrow" w:cs="Times New Roman"/>
              </w:rPr>
              <w:t>oprava priepustu</w:t>
            </w:r>
          </w:p>
        </w:tc>
        <w:tc>
          <w:tcPr>
            <w:tcW w:w="1440" w:type="dxa"/>
            <w:tcBorders>
              <w:top w:val="single" w:sz="8" w:space="0" w:color="auto"/>
              <w:left w:val="single" w:sz="8" w:space="0" w:color="auto"/>
              <w:bottom w:val="single" w:sz="8" w:space="0" w:color="auto"/>
              <w:right w:val="single" w:sz="8" w:space="0" w:color="auto"/>
              <w:tl2br w:val="nil"/>
              <w:tr2bl w:val="nil"/>
            </w:tcBorders>
            <w:textDirection w:val="lrTb"/>
            <w:vAlign w:val="center"/>
          </w:tcPr>
          <w:p w:rsidR="00CF68BA" w:rsidRPr="00B547E0" w:rsidP="00CF68BA">
            <w:pPr>
              <w:spacing w:line="240" w:lineRule="auto"/>
              <w:jc w:val="center"/>
              <w:rPr>
                <w:rFonts w:ascii="Arial Narrow" w:hAnsi="Arial Narrow" w:cs="Times New Roman"/>
              </w:rPr>
            </w:pPr>
            <w:r w:rsidRPr="00B547E0">
              <w:rPr>
                <w:rFonts w:ascii="Arial Narrow" w:hAnsi="Arial Narrow" w:cs="Times New Roman"/>
              </w:rPr>
              <w:t>0,000</w:t>
            </w:r>
          </w:p>
        </w:tc>
        <w:tc>
          <w:tcPr>
            <w:tcW w:w="1620" w:type="dxa"/>
            <w:tcBorders>
              <w:top w:val="single" w:sz="8" w:space="0" w:color="auto"/>
              <w:left w:val="single" w:sz="8" w:space="0" w:color="auto"/>
              <w:bottom w:val="single" w:sz="8" w:space="0" w:color="auto"/>
              <w:right w:val="single" w:sz="8" w:space="0" w:color="auto"/>
              <w:tl2br w:val="nil"/>
              <w:tr2bl w:val="nil"/>
            </w:tcBorders>
            <w:textDirection w:val="lrTb"/>
            <w:vAlign w:val="center"/>
          </w:tcPr>
          <w:p w:rsidR="00CF68BA" w:rsidRPr="00B547E0" w:rsidP="00CF68BA">
            <w:pPr>
              <w:spacing w:line="240" w:lineRule="auto"/>
              <w:jc w:val="right"/>
              <w:rPr>
                <w:rFonts w:ascii="Arial Narrow" w:hAnsi="Arial Narrow" w:cs="Times New Roman"/>
              </w:rPr>
            </w:pPr>
            <w:r w:rsidRPr="00B547E0">
              <w:rPr>
                <w:rFonts w:ascii="Arial Narrow" w:hAnsi="Arial Narrow" w:cs="Times New Roman"/>
              </w:rPr>
              <w:t>2 235,760</w:t>
            </w:r>
          </w:p>
        </w:tc>
      </w:tr>
      <w:tr>
        <w:tblPrEx>
          <w:tblW w:w="9555" w:type="dxa"/>
          <w:tblInd w:w="93" w:type="dxa"/>
        </w:tblPrEx>
        <w:trPr>
          <w:trHeight w:hRule="exact" w:val="227"/>
        </w:trPr>
        <w:tc>
          <w:tcPr>
            <w:tcW w:w="1455" w:type="dxa"/>
            <w:tcBorders>
              <w:top w:val="single" w:sz="8" w:space="0" w:color="auto"/>
              <w:left w:val="single" w:sz="8" w:space="0" w:color="auto"/>
              <w:bottom w:val="single" w:sz="8" w:space="0" w:color="auto"/>
              <w:right w:val="single" w:sz="8" w:space="0" w:color="auto"/>
              <w:tl2br w:val="nil"/>
              <w:tr2bl w:val="nil"/>
            </w:tcBorders>
            <w:textDirection w:val="lrTb"/>
            <w:vAlign w:val="center"/>
          </w:tcPr>
          <w:p w:rsidR="00CF68BA" w:rsidRPr="00B547E0" w:rsidP="00CF68BA">
            <w:pPr>
              <w:spacing w:line="240" w:lineRule="auto"/>
              <w:jc w:val="center"/>
              <w:rPr>
                <w:rFonts w:ascii="Arial Narrow" w:hAnsi="Arial Narrow" w:cs="Times New Roman"/>
              </w:rPr>
            </w:pPr>
            <w:r w:rsidRPr="00B547E0">
              <w:rPr>
                <w:rFonts w:ascii="Arial Narrow" w:hAnsi="Arial Narrow" w:cs="Times New Roman"/>
              </w:rPr>
              <w:t>Čadca</w:t>
            </w:r>
          </w:p>
        </w:tc>
        <w:tc>
          <w:tcPr>
            <w:tcW w:w="5040" w:type="dxa"/>
            <w:tcBorders>
              <w:top w:val="single" w:sz="8" w:space="0" w:color="auto"/>
              <w:left w:val="single" w:sz="8" w:space="0" w:color="auto"/>
              <w:bottom w:val="single" w:sz="8" w:space="0" w:color="auto"/>
              <w:right w:val="single" w:sz="8" w:space="0" w:color="auto"/>
              <w:tl2br w:val="nil"/>
              <w:tr2bl w:val="nil"/>
            </w:tcBorders>
            <w:textDirection w:val="lrTb"/>
            <w:vAlign w:val="center"/>
          </w:tcPr>
          <w:p w:rsidR="00CF68BA" w:rsidRPr="00B547E0" w:rsidP="00CF68BA">
            <w:pPr>
              <w:spacing w:line="240" w:lineRule="auto"/>
              <w:rPr>
                <w:rFonts w:ascii="Arial Narrow" w:hAnsi="Arial Narrow" w:cs="Times New Roman"/>
              </w:rPr>
            </w:pPr>
            <w:r w:rsidRPr="00B547E0">
              <w:rPr>
                <w:rFonts w:ascii="Arial Narrow" w:hAnsi="Arial Narrow" w:cs="Times New Roman"/>
              </w:rPr>
              <w:t>I/12, km 1,250, Svrčinovec - úprava priepustu</w:t>
            </w:r>
          </w:p>
        </w:tc>
        <w:tc>
          <w:tcPr>
            <w:tcW w:w="1440" w:type="dxa"/>
            <w:tcBorders>
              <w:top w:val="single" w:sz="8" w:space="0" w:color="auto"/>
              <w:left w:val="single" w:sz="8" w:space="0" w:color="auto"/>
              <w:bottom w:val="single" w:sz="8" w:space="0" w:color="auto"/>
              <w:right w:val="single" w:sz="8" w:space="0" w:color="auto"/>
              <w:tl2br w:val="nil"/>
              <w:tr2bl w:val="nil"/>
            </w:tcBorders>
            <w:textDirection w:val="lrTb"/>
            <w:vAlign w:val="center"/>
          </w:tcPr>
          <w:p w:rsidR="00CF68BA" w:rsidRPr="00B547E0" w:rsidP="00CF68BA">
            <w:pPr>
              <w:spacing w:line="240" w:lineRule="auto"/>
              <w:jc w:val="center"/>
              <w:rPr>
                <w:rFonts w:ascii="Arial Narrow" w:hAnsi="Arial Narrow" w:cs="Times New Roman"/>
              </w:rPr>
            </w:pPr>
            <w:r w:rsidRPr="00B547E0">
              <w:rPr>
                <w:rFonts w:ascii="Arial Narrow" w:hAnsi="Arial Narrow" w:cs="Times New Roman"/>
              </w:rPr>
              <w:t>0,000</w:t>
            </w:r>
          </w:p>
        </w:tc>
        <w:tc>
          <w:tcPr>
            <w:tcW w:w="1620" w:type="dxa"/>
            <w:tcBorders>
              <w:top w:val="single" w:sz="8" w:space="0" w:color="auto"/>
              <w:left w:val="single" w:sz="8" w:space="0" w:color="auto"/>
              <w:bottom w:val="single" w:sz="8" w:space="0" w:color="auto"/>
              <w:right w:val="single" w:sz="8" w:space="0" w:color="auto"/>
              <w:tl2br w:val="nil"/>
              <w:tr2bl w:val="nil"/>
            </w:tcBorders>
            <w:textDirection w:val="lrTb"/>
            <w:vAlign w:val="center"/>
          </w:tcPr>
          <w:p w:rsidR="00CF68BA" w:rsidRPr="00B547E0" w:rsidP="00CF68BA">
            <w:pPr>
              <w:spacing w:line="240" w:lineRule="auto"/>
              <w:jc w:val="right"/>
              <w:rPr>
                <w:rFonts w:ascii="Arial Narrow" w:hAnsi="Arial Narrow" w:cs="Times New Roman"/>
              </w:rPr>
            </w:pPr>
            <w:r w:rsidRPr="00B547E0">
              <w:rPr>
                <w:rFonts w:ascii="Arial Narrow" w:hAnsi="Arial Narrow" w:cs="Times New Roman"/>
              </w:rPr>
              <w:t>1 465,295</w:t>
            </w:r>
          </w:p>
        </w:tc>
      </w:tr>
      <w:tr>
        <w:tblPrEx>
          <w:tblW w:w="9555" w:type="dxa"/>
          <w:tblInd w:w="93" w:type="dxa"/>
        </w:tblPrEx>
        <w:trPr>
          <w:trHeight w:val="499"/>
        </w:trPr>
        <w:tc>
          <w:tcPr>
            <w:tcW w:w="1455" w:type="dxa"/>
            <w:tcBorders>
              <w:top w:val="single" w:sz="8" w:space="0" w:color="auto"/>
              <w:left w:val="single" w:sz="8" w:space="0" w:color="auto"/>
              <w:bottom w:val="single" w:sz="8" w:space="0" w:color="auto"/>
              <w:right w:val="single" w:sz="8" w:space="0" w:color="auto"/>
              <w:tl2br w:val="nil"/>
              <w:tr2bl w:val="nil"/>
            </w:tcBorders>
            <w:textDirection w:val="lrTb"/>
            <w:vAlign w:val="center"/>
          </w:tcPr>
          <w:p w:rsidR="00CF68BA" w:rsidRPr="00B547E0" w:rsidP="00CF68BA">
            <w:pPr>
              <w:spacing w:line="240" w:lineRule="auto"/>
              <w:jc w:val="center"/>
              <w:rPr>
                <w:rFonts w:ascii="Arial Narrow" w:hAnsi="Arial Narrow" w:cs="Times New Roman"/>
              </w:rPr>
            </w:pPr>
            <w:r w:rsidRPr="00B547E0">
              <w:rPr>
                <w:rFonts w:ascii="Arial Narrow" w:hAnsi="Arial Narrow" w:cs="Times New Roman"/>
              </w:rPr>
              <w:t>Považská Bystrica</w:t>
            </w:r>
          </w:p>
        </w:tc>
        <w:tc>
          <w:tcPr>
            <w:tcW w:w="5040" w:type="dxa"/>
            <w:tcBorders>
              <w:top w:val="single" w:sz="8" w:space="0" w:color="auto"/>
              <w:left w:val="single" w:sz="8" w:space="0" w:color="auto"/>
              <w:bottom w:val="single" w:sz="8" w:space="0" w:color="auto"/>
              <w:right w:val="single" w:sz="8" w:space="0" w:color="auto"/>
              <w:tl2br w:val="nil"/>
              <w:tr2bl w:val="nil"/>
            </w:tcBorders>
            <w:textDirection w:val="lrTb"/>
            <w:vAlign w:val="center"/>
          </w:tcPr>
          <w:p w:rsidR="00CF68BA" w:rsidRPr="00B547E0" w:rsidP="00CF68BA">
            <w:pPr>
              <w:spacing w:line="240" w:lineRule="auto"/>
              <w:rPr>
                <w:rFonts w:ascii="Arial Narrow" w:hAnsi="Arial Narrow" w:cs="Times New Roman"/>
              </w:rPr>
            </w:pPr>
            <w:r w:rsidRPr="00B547E0">
              <w:rPr>
                <w:rFonts w:ascii="Arial Narrow" w:hAnsi="Arial Narrow" w:cs="Times New Roman"/>
              </w:rPr>
              <w:t>I/61, Vrtižer, km 175,500, stavebno</w:t>
            </w:r>
            <w:r w:rsidR="00B547E0">
              <w:rPr>
                <w:rFonts w:ascii="Arial Narrow" w:hAnsi="Arial Narrow" w:cs="Times New Roman"/>
              </w:rPr>
              <w:t>-</w:t>
            </w:r>
            <w:r w:rsidRPr="00B547E0">
              <w:rPr>
                <w:rFonts w:ascii="Arial Narrow" w:hAnsi="Arial Narrow" w:cs="Times New Roman"/>
              </w:rPr>
              <w:t>technické opatrenia svahu na ochranu št. cesty</w:t>
            </w:r>
          </w:p>
        </w:tc>
        <w:tc>
          <w:tcPr>
            <w:tcW w:w="1440" w:type="dxa"/>
            <w:tcBorders>
              <w:top w:val="single" w:sz="8" w:space="0" w:color="auto"/>
              <w:left w:val="single" w:sz="8" w:space="0" w:color="auto"/>
              <w:bottom w:val="single" w:sz="8" w:space="0" w:color="auto"/>
              <w:right w:val="single" w:sz="8" w:space="0" w:color="auto"/>
              <w:tl2br w:val="nil"/>
              <w:tr2bl w:val="nil"/>
            </w:tcBorders>
            <w:textDirection w:val="lrTb"/>
            <w:vAlign w:val="center"/>
          </w:tcPr>
          <w:p w:rsidR="00CF68BA" w:rsidRPr="00B547E0" w:rsidP="00CF68BA">
            <w:pPr>
              <w:spacing w:line="240" w:lineRule="auto"/>
              <w:jc w:val="center"/>
              <w:rPr>
                <w:rFonts w:ascii="Arial Narrow" w:hAnsi="Arial Narrow" w:cs="Times New Roman"/>
              </w:rPr>
            </w:pPr>
            <w:r w:rsidRPr="00B547E0">
              <w:rPr>
                <w:rFonts w:ascii="Arial Narrow" w:hAnsi="Arial Narrow" w:cs="Times New Roman"/>
              </w:rPr>
              <w:t>0,016</w:t>
            </w:r>
          </w:p>
        </w:tc>
        <w:tc>
          <w:tcPr>
            <w:tcW w:w="1620" w:type="dxa"/>
            <w:tcBorders>
              <w:top w:val="single" w:sz="8" w:space="0" w:color="auto"/>
              <w:left w:val="single" w:sz="8" w:space="0" w:color="auto"/>
              <w:bottom w:val="single" w:sz="8" w:space="0" w:color="auto"/>
              <w:right w:val="single" w:sz="8" w:space="0" w:color="auto"/>
              <w:tl2br w:val="nil"/>
              <w:tr2bl w:val="nil"/>
            </w:tcBorders>
            <w:textDirection w:val="lrTb"/>
            <w:vAlign w:val="center"/>
          </w:tcPr>
          <w:p w:rsidR="00CF68BA" w:rsidRPr="00B547E0" w:rsidP="00CF68BA">
            <w:pPr>
              <w:spacing w:line="240" w:lineRule="auto"/>
              <w:jc w:val="right"/>
              <w:rPr>
                <w:rFonts w:ascii="Arial Narrow" w:hAnsi="Arial Narrow" w:cs="Times New Roman"/>
              </w:rPr>
            </w:pPr>
            <w:r w:rsidRPr="00B547E0">
              <w:rPr>
                <w:rFonts w:ascii="Arial Narrow" w:hAnsi="Arial Narrow" w:cs="Times New Roman"/>
              </w:rPr>
              <w:t>2 319,157</w:t>
            </w:r>
          </w:p>
        </w:tc>
      </w:tr>
      <w:tr>
        <w:tblPrEx>
          <w:tblW w:w="9555" w:type="dxa"/>
          <w:tblInd w:w="93" w:type="dxa"/>
        </w:tblPrEx>
        <w:trPr>
          <w:trHeight w:hRule="exact" w:val="227"/>
        </w:trPr>
        <w:tc>
          <w:tcPr>
            <w:tcW w:w="1455" w:type="dxa"/>
            <w:tcBorders>
              <w:top w:val="single" w:sz="8" w:space="0" w:color="auto"/>
              <w:left w:val="single" w:sz="8" w:space="0" w:color="auto"/>
              <w:bottom w:val="single" w:sz="8" w:space="0" w:color="auto"/>
              <w:right w:val="single" w:sz="8" w:space="0" w:color="auto"/>
              <w:tl2br w:val="nil"/>
              <w:tr2bl w:val="nil"/>
            </w:tcBorders>
            <w:textDirection w:val="lrTb"/>
            <w:vAlign w:val="center"/>
          </w:tcPr>
          <w:p w:rsidR="00CF68BA" w:rsidRPr="00B547E0" w:rsidP="00CF68BA">
            <w:pPr>
              <w:spacing w:line="240" w:lineRule="auto"/>
              <w:jc w:val="center"/>
              <w:rPr>
                <w:rFonts w:ascii="Arial Narrow" w:hAnsi="Arial Narrow" w:cs="Times New Roman"/>
              </w:rPr>
            </w:pPr>
            <w:r w:rsidRPr="00B547E0">
              <w:rPr>
                <w:rFonts w:ascii="Arial Narrow" w:hAnsi="Arial Narrow" w:cs="Times New Roman"/>
              </w:rPr>
              <w:t>Žilina</w:t>
            </w:r>
          </w:p>
        </w:tc>
        <w:tc>
          <w:tcPr>
            <w:tcW w:w="5040" w:type="dxa"/>
            <w:tcBorders>
              <w:top w:val="single" w:sz="8" w:space="0" w:color="auto"/>
              <w:left w:val="single" w:sz="8" w:space="0" w:color="auto"/>
              <w:bottom w:val="single" w:sz="8" w:space="0" w:color="auto"/>
              <w:right w:val="single" w:sz="8" w:space="0" w:color="auto"/>
              <w:tl2br w:val="nil"/>
              <w:tr2bl w:val="nil"/>
            </w:tcBorders>
            <w:textDirection w:val="lrTb"/>
            <w:vAlign w:val="center"/>
          </w:tcPr>
          <w:p w:rsidR="00CF68BA" w:rsidRPr="00B547E0" w:rsidP="00CF68BA">
            <w:pPr>
              <w:spacing w:line="240" w:lineRule="auto"/>
              <w:rPr>
                <w:rFonts w:ascii="Arial Narrow" w:hAnsi="Arial Narrow" w:cs="Times New Roman"/>
              </w:rPr>
            </w:pPr>
            <w:r w:rsidRPr="00B547E0">
              <w:rPr>
                <w:rFonts w:ascii="Arial Narrow" w:hAnsi="Arial Narrow" w:cs="Times New Roman"/>
              </w:rPr>
              <w:t>I/18, Strečno, km 471,800, o</w:t>
            </w:r>
            <w:r w:rsidRPr="00B547E0">
              <w:rPr>
                <w:rFonts w:ascii="Arial Narrow" w:hAnsi="Arial Narrow" w:cs="Times New Roman"/>
              </w:rPr>
              <w:t>dstránenie havárie skalnej steny</w:t>
            </w:r>
          </w:p>
        </w:tc>
        <w:tc>
          <w:tcPr>
            <w:tcW w:w="1440" w:type="dxa"/>
            <w:tcBorders>
              <w:top w:val="single" w:sz="8" w:space="0" w:color="auto"/>
              <w:left w:val="single" w:sz="8" w:space="0" w:color="auto"/>
              <w:bottom w:val="single" w:sz="8" w:space="0" w:color="auto"/>
              <w:right w:val="single" w:sz="8" w:space="0" w:color="auto"/>
              <w:tl2br w:val="nil"/>
              <w:tr2bl w:val="nil"/>
            </w:tcBorders>
            <w:textDirection w:val="lrTb"/>
            <w:vAlign w:val="center"/>
          </w:tcPr>
          <w:p w:rsidR="00CF68BA" w:rsidRPr="00B547E0" w:rsidP="00CF68BA">
            <w:pPr>
              <w:spacing w:line="240" w:lineRule="auto"/>
              <w:jc w:val="center"/>
              <w:rPr>
                <w:rFonts w:ascii="Arial Narrow" w:hAnsi="Arial Narrow" w:cs="Times New Roman"/>
              </w:rPr>
            </w:pPr>
            <w:r w:rsidRPr="00B547E0">
              <w:rPr>
                <w:rFonts w:ascii="Arial Narrow" w:hAnsi="Arial Narrow" w:cs="Times New Roman"/>
              </w:rPr>
              <w:t>0,020</w:t>
            </w:r>
          </w:p>
        </w:tc>
        <w:tc>
          <w:tcPr>
            <w:tcW w:w="1620" w:type="dxa"/>
            <w:tcBorders>
              <w:top w:val="single" w:sz="8" w:space="0" w:color="auto"/>
              <w:left w:val="single" w:sz="8" w:space="0" w:color="auto"/>
              <w:bottom w:val="single" w:sz="8" w:space="0" w:color="auto"/>
              <w:right w:val="single" w:sz="8" w:space="0" w:color="auto"/>
              <w:tl2br w:val="nil"/>
              <w:tr2bl w:val="nil"/>
            </w:tcBorders>
            <w:textDirection w:val="lrTb"/>
            <w:vAlign w:val="center"/>
          </w:tcPr>
          <w:p w:rsidR="00CF68BA" w:rsidRPr="00B547E0" w:rsidP="00CF68BA">
            <w:pPr>
              <w:spacing w:line="240" w:lineRule="auto"/>
              <w:jc w:val="right"/>
              <w:rPr>
                <w:rFonts w:ascii="Arial Narrow" w:hAnsi="Arial Narrow" w:cs="Times New Roman"/>
              </w:rPr>
            </w:pPr>
            <w:r w:rsidRPr="00B547E0">
              <w:rPr>
                <w:rFonts w:ascii="Arial Narrow" w:hAnsi="Arial Narrow" w:cs="Times New Roman"/>
              </w:rPr>
              <w:t>1 188,457</w:t>
            </w:r>
          </w:p>
        </w:tc>
      </w:tr>
      <w:tr>
        <w:tblPrEx>
          <w:tblW w:w="9555" w:type="dxa"/>
          <w:tblInd w:w="93" w:type="dxa"/>
        </w:tblPrEx>
        <w:trPr>
          <w:trHeight w:val="255"/>
        </w:trPr>
        <w:tc>
          <w:tcPr>
            <w:tcW w:w="1455" w:type="dxa"/>
            <w:tcBorders>
              <w:top w:val="single" w:sz="8" w:space="0" w:color="auto"/>
              <w:left w:val="single" w:sz="8" w:space="0" w:color="auto"/>
              <w:bottom w:val="single" w:sz="8" w:space="0" w:color="auto"/>
              <w:right w:val="single" w:sz="8" w:space="0" w:color="auto"/>
              <w:tl2br w:val="nil"/>
              <w:tr2bl w:val="nil"/>
            </w:tcBorders>
            <w:shd w:val="clear" w:color="auto" w:fill="C0C0C0"/>
            <w:noWrap/>
            <w:textDirection w:val="lrTb"/>
            <w:vAlign w:val="center"/>
          </w:tcPr>
          <w:p w:rsidR="00CF68BA" w:rsidRPr="00B547E0" w:rsidP="00CF68BA">
            <w:pPr>
              <w:spacing w:line="240" w:lineRule="auto"/>
              <w:jc w:val="center"/>
              <w:rPr>
                <w:rFonts w:ascii="Arial Narrow" w:hAnsi="Arial Narrow" w:cs="Times New Roman"/>
                <w:b/>
                <w:bCs/>
              </w:rPr>
            </w:pPr>
            <w:r w:rsidRPr="00B547E0">
              <w:rPr>
                <w:rFonts w:ascii="Arial Narrow" w:hAnsi="Arial Narrow" w:cs="Times New Roman"/>
                <w:b/>
                <w:bCs/>
              </w:rPr>
              <w:t> </w:t>
            </w:r>
          </w:p>
        </w:tc>
        <w:tc>
          <w:tcPr>
            <w:tcW w:w="5040" w:type="dxa"/>
            <w:tcBorders>
              <w:top w:val="single" w:sz="8" w:space="0" w:color="auto"/>
              <w:left w:val="single" w:sz="8" w:space="0" w:color="auto"/>
              <w:bottom w:val="single" w:sz="8" w:space="0" w:color="auto"/>
              <w:right w:val="single" w:sz="8" w:space="0" w:color="auto"/>
              <w:tl2br w:val="nil"/>
              <w:tr2bl w:val="nil"/>
            </w:tcBorders>
            <w:shd w:val="clear" w:color="auto" w:fill="C0C0C0"/>
            <w:noWrap/>
            <w:textDirection w:val="lrTb"/>
            <w:vAlign w:val="center"/>
          </w:tcPr>
          <w:p w:rsidR="00CF68BA" w:rsidRPr="00B547E0" w:rsidP="00CF68BA">
            <w:pPr>
              <w:spacing w:line="240" w:lineRule="auto"/>
              <w:rPr>
                <w:rFonts w:ascii="Arial Narrow" w:hAnsi="Arial Narrow" w:cs="Times New Roman"/>
                <w:b/>
                <w:bCs/>
              </w:rPr>
            </w:pPr>
            <w:r w:rsidRPr="00B547E0">
              <w:rPr>
                <w:rFonts w:ascii="Arial Narrow" w:hAnsi="Arial Narrow" w:cs="Times New Roman"/>
                <w:b/>
                <w:bCs/>
              </w:rPr>
              <w:t>SPOLU</w:t>
            </w:r>
          </w:p>
        </w:tc>
        <w:tc>
          <w:tcPr>
            <w:tcW w:w="1440" w:type="dxa"/>
            <w:tcBorders>
              <w:top w:val="single" w:sz="8" w:space="0" w:color="auto"/>
              <w:left w:val="single" w:sz="8" w:space="0" w:color="auto"/>
              <w:bottom w:val="single" w:sz="8" w:space="0" w:color="auto"/>
              <w:right w:val="single" w:sz="8" w:space="0" w:color="auto"/>
              <w:tl2br w:val="nil"/>
              <w:tr2bl w:val="nil"/>
            </w:tcBorders>
            <w:shd w:val="clear" w:color="auto" w:fill="C0C0C0"/>
            <w:noWrap/>
            <w:textDirection w:val="lrTb"/>
            <w:vAlign w:val="center"/>
          </w:tcPr>
          <w:p w:rsidR="00CF68BA" w:rsidRPr="00B547E0" w:rsidP="00CF68BA">
            <w:pPr>
              <w:spacing w:line="240" w:lineRule="auto"/>
              <w:jc w:val="center"/>
              <w:rPr>
                <w:rFonts w:ascii="Arial Narrow" w:hAnsi="Arial Narrow" w:cs="Times New Roman"/>
                <w:b/>
                <w:bCs/>
              </w:rPr>
            </w:pPr>
            <w:r w:rsidRPr="00B547E0">
              <w:rPr>
                <w:rFonts w:ascii="Arial Narrow" w:hAnsi="Arial Narrow" w:cs="Times New Roman"/>
                <w:b/>
                <w:bCs/>
              </w:rPr>
              <w:t>8,975</w:t>
            </w:r>
          </w:p>
        </w:tc>
        <w:tc>
          <w:tcPr>
            <w:tcW w:w="1620" w:type="dxa"/>
            <w:tcBorders>
              <w:top w:val="single" w:sz="8" w:space="0" w:color="auto"/>
              <w:left w:val="single" w:sz="8" w:space="0" w:color="auto"/>
              <w:bottom w:val="single" w:sz="8" w:space="0" w:color="auto"/>
              <w:right w:val="single" w:sz="8" w:space="0" w:color="auto"/>
              <w:tl2br w:val="nil"/>
              <w:tr2bl w:val="nil"/>
            </w:tcBorders>
            <w:shd w:val="clear" w:color="auto" w:fill="C0C0C0"/>
            <w:noWrap/>
            <w:textDirection w:val="lrTb"/>
            <w:vAlign w:val="center"/>
          </w:tcPr>
          <w:p w:rsidR="00CF68BA" w:rsidRPr="00B547E0" w:rsidP="00CF68BA">
            <w:pPr>
              <w:spacing w:line="240" w:lineRule="auto"/>
              <w:jc w:val="right"/>
              <w:rPr>
                <w:rFonts w:ascii="Arial Narrow" w:hAnsi="Arial Narrow" w:cs="Times New Roman"/>
                <w:b/>
                <w:bCs/>
              </w:rPr>
            </w:pPr>
            <w:r w:rsidRPr="00B547E0">
              <w:rPr>
                <w:rFonts w:ascii="Arial Narrow" w:hAnsi="Arial Narrow" w:cs="Times New Roman"/>
                <w:b/>
                <w:bCs/>
              </w:rPr>
              <w:t>65 549,632</w:t>
            </w:r>
          </w:p>
        </w:tc>
      </w:tr>
    </w:tbl>
    <w:p w:rsidR="00CF68BA" w:rsidRPr="00CF68BA" w:rsidP="00CF68BA">
      <w:pPr>
        <w:spacing w:line="240" w:lineRule="auto"/>
        <w:rPr>
          <w:rFonts w:ascii="Times New Roman" w:hAnsi="Times New Roman" w:cs="Times New Roman"/>
          <w:sz w:val="24"/>
          <w:szCs w:val="24"/>
        </w:rPr>
      </w:pPr>
    </w:p>
    <w:p w:rsidR="00CF68BA" w:rsidRPr="00CF68BA" w:rsidP="00CF68BA">
      <w:pPr>
        <w:pStyle w:val="BodyTextIndent"/>
        <w:spacing w:line="240" w:lineRule="auto"/>
        <w:rPr>
          <w:rFonts w:ascii="Times New Roman" w:hAnsi="Times New Roman" w:cs="Times New Roman"/>
          <w:sz w:val="24"/>
          <w:szCs w:val="24"/>
        </w:rPr>
      </w:pPr>
      <w:r w:rsidRPr="00CF68BA">
        <w:rPr>
          <w:rFonts w:ascii="Times New Roman" w:hAnsi="Times New Roman" w:cs="Times New Roman"/>
          <w:sz w:val="24"/>
          <w:szCs w:val="24"/>
        </w:rPr>
        <w:t>Čerpanie pr</w:t>
      </w:r>
      <w:r w:rsidR="00CE4A3A">
        <w:rPr>
          <w:rFonts w:ascii="Times New Roman" w:hAnsi="Times New Roman" w:cs="Times New Roman"/>
          <w:sz w:val="24"/>
          <w:szCs w:val="24"/>
        </w:rPr>
        <w:t xml:space="preserve">ostriedkov na úrovni </w:t>
      </w:r>
      <w:r w:rsidRPr="00CE4A3A" w:rsidR="00CE4A3A">
        <w:rPr>
          <w:rFonts w:ascii="Times New Roman" w:hAnsi="Times New Roman" w:cs="Times New Roman"/>
          <w:b/>
          <w:sz w:val="24"/>
          <w:szCs w:val="24"/>
        </w:rPr>
        <w:t xml:space="preserve">29 414 739,- </w:t>
      </w:r>
      <w:r w:rsidRPr="00CE4A3A">
        <w:rPr>
          <w:rFonts w:ascii="Times New Roman" w:hAnsi="Times New Roman" w:cs="Times New Roman"/>
          <w:b/>
          <w:sz w:val="24"/>
          <w:szCs w:val="24"/>
        </w:rPr>
        <w:t>Sk</w:t>
      </w:r>
      <w:r w:rsidRPr="00CF68BA">
        <w:rPr>
          <w:rFonts w:ascii="Times New Roman" w:hAnsi="Times New Roman" w:cs="Times New Roman"/>
          <w:sz w:val="24"/>
          <w:szCs w:val="24"/>
        </w:rPr>
        <w:t xml:space="preserve"> umožnilo vykonať obnovu VDZ v celkovej dĺžke </w:t>
      </w:r>
      <w:smartTag w:uri="urn:schemas-microsoft-com:office:smarttags" w:element="metricconverter">
        <w:smartTagPr>
          <w:attr w:name="ProductID" w:val="776,000 km"/>
        </w:smartTagPr>
        <w:r w:rsidRPr="00CF68BA">
          <w:rPr>
            <w:rFonts w:ascii="Times New Roman" w:hAnsi="Times New Roman" w:cs="Times New Roman"/>
            <w:sz w:val="24"/>
            <w:szCs w:val="24"/>
          </w:rPr>
          <w:t>776,000 km</w:t>
        </w:r>
      </w:smartTag>
      <w:r w:rsidRPr="00CF68BA">
        <w:rPr>
          <w:rFonts w:ascii="Times New Roman" w:hAnsi="Times New Roman" w:cs="Times New Roman"/>
          <w:sz w:val="24"/>
          <w:szCs w:val="24"/>
        </w:rPr>
        <w:t>.</w:t>
      </w:r>
    </w:p>
    <w:p w:rsidR="00977B4D" w:rsidRPr="00B3037B" w:rsidP="00C362EA">
      <w:pPr>
        <w:spacing w:line="240" w:lineRule="auto"/>
        <w:rPr>
          <w:rFonts w:ascii="Times New Roman" w:hAnsi="Times New Roman" w:cs="Times New Roman"/>
          <w:sz w:val="24"/>
          <w:szCs w:val="24"/>
        </w:rPr>
      </w:pPr>
    </w:p>
    <w:p w:rsidR="00B3037B" w:rsidP="00C362EA">
      <w:pPr>
        <w:spacing w:line="240" w:lineRule="auto"/>
        <w:rPr>
          <w:rFonts w:ascii="Times New Roman" w:hAnsi="Times New Roman" w:cs="Times New Roman"/>
          <w:sz w:val="24"/>
          <w:szCs w:val="24"/>
        </w:rPr>
      </w:pPr>
      <w:r w:rsidRPr="00B3037B">
        <w:rPr>
          <w:rFonts w:ascii="Times New Roman" w:hAnsi="Times New Roman" w:cs="Times New Roman"/>
          <w:sz w:val="24"/>
          <w:szCs w:val="24"/>
          <w:u w:val="single"/>
        </w:rPr>
        <w:t>Skupina RP 636</w:t>
      </w:r>
      <w:r w:rsidR="00286A31">
        <w:rPr>
          <w:rFonts w:ascii="Times New Roman" w:hAnsi="Times New Roman" w:cs="Times New Roman"/>
          <w:sz w:val="24"/>
          <w:szCs w:val="24"/>
        </w:rPr>
        <w:t xml:space="preserve"> – Nájomné za </w:t>
      </w:r>
      <w:r w:rsidRPr="002C7E22" w:rsidR="00286A31">
        <w:rPr>
          <w:rFonts w:ascii="Times New Roman" w:hAnsi="Times New Roman" w:cs="Times New Roman"/>
          <w:sz w:val="24"/>
          <w:szCs w:val="24"/>
        </w:rPr>
        <w:t xml:space="preserve">prenájom </w:t>
      </w:r>
      <w:r w:rsidRPr="000B2D82" w:rsidR="00CC568D">
        <w:rPr>
          <w:rFonts w:ascii="Times New Roman" w:hAnsi="Times New Roman" w:cs="Times New Roman"/>
          <w:b/>
          <w:sz w:val="24"/>
          <w:szCs w:val="24"/>
        </w:rPr>
        <w:t xml:space="preserve">1 614 291,07 </w:t>
      </w:r>
      <w:r w:rsidRPr="000B2D82">
        <w:rPr>
          <w:rFonts w:ascii="Times New Roman" w:hAnsi="Times New Roman" w:cs="Times New Roman"/>
          <w:b/>
          <w:sz w:val="24"/>
          <w:szCs w:val="24"/>
        </w:rPr>
        <w:t>Sk</w:t>
      </w:r>
      <w:r w:rsidRPr="002C7E22" w:rsidR="00286A31">
        <w:rPr>
          <w:rFonts w:ascii="Times New Roman" w:hAnsi="Times New Roman" w:cs="Times New Roman"/>
          <w:sz w:val="24"/>
          <w:szCs w:val="24"/>
        </w:rPr>
        <w:t xml:space="preserve"> (</w:t>
      </w:r>
      <w:r w:rsidR="00286A31">
        <w:rPr>
          <w:rFonts w:ascii="Times New Roman" w:hAnsi="Times New Roman" w:cs="Times New Roman"/>
          <w:sz w:val="24"/>
          <w:szCs w:val="24"/>
        </w:rPr>
        <w:t>prenájom nebytových</w:t>
      </w:r>
      <w:r w:rsidR="00286A31">
        <w:rPr>
          <w:rFonts w:ascii="Times New Roman" w:hAnsi="Times New Roman" w:cs="Times New Roman"/>
          <w:sz w:val="24"/>
          <w:szCs w:val="24"/>
        </w:rPr>
        <w:t xml:space="preserve"> priestorov – </w:t>
      </w:r>
      <w:r w:rsidRPr="00B3037B">
        <w:rPr>
          <w:rFonts w:ascii="Times New Roman" w:hAnsi="Times New Roman" w:cs="Times New Roman"/>
          <w:sz w:val="24"/>
          <w:szCs w:val="24"/>
        </w:rPr>
        <w:t>detašované pracovisko cestnej databanky v priesto</w:t>
      </w:r>
      <w:r w:rsidR="00373F28">
        <w:rPr>
          <w:rFonts w:ascii="Times New Roman" w:hAnsi="Times New Roman" w:cs="Times New Roman"/>
          <w:sz w:val="24"/>
          <w:szCs w:val="24"/>
        </w:rPr>
        <w:t>roch Správy ciest T</w:t>
      </w:r>
      <w:r w:rsidR="00286A31">
        <w:rPr>
          <w:rFonts w:ascii="Times New Roman" w:hAnsi="Times New Roman" w:cs="Times New Roman"/>
          <w:sz w:val="24"/>
          <w:szCs w:val="24"/>
        </w:rPr>
        <w:t xml:space="preserve">renčianskeho </w:t>
      </w:r>
      <w:r w:rsidRPr="00B3037B">
        <w:rPr>
          <w:rFonts w:ascii="Times New Roman" w:hAnsi="Times New Roman" w:cs="Times New Roman"/>
          <w:sz w:val="24"/>
          <w:szCs w:val="24"/>
        </w:rPr>
        <w:t>samosprávneho kraja, prenájom garáží pre diagnostickú techniku cestnej databanky a kance</w:t>
      </w:r>
      <w:r w:rsidR="00286A31">
        <w:rPr>
          <w:rFonts w:ascii="Times New Roman" w:hAnsi="Times New Roman" w:cs="Times New Roman"/>
          <w:sz w:val="24"/>
          <w:szCs w:val="24"/>
        </w:rPr>
        <w:t>lárie pre IVSC Bra</w:t>
      </w:r>
      <w:r w:rsidR="006D2832">
        <w:rPr>
          <w:rFonts w:ascii="Times New Roman" w:hAnsi="Times New Roman" w:cs="Times New Roman"/>
          <w:sz w:val="24"/>
          <w:szCs w:val="24"/>
        </w:rPr>
        <w:t xml:space="preserve">tislava v priestoroch NDS, a.s., </w:t>
      </w:r>
      <w:r w:rsidR="00286A31">
        <w:rPr>
          <w:rFonts w:ascii="Times New Roman" w:hAnsi="Times New Roman" w:cs="Times New Roman"/>
          <w:sz w:val="24"/>
          <w:szCs w:val="24"/>
        </w:rPr>
        <w:t xml:space="preserve">na Domkárskej ulici </w:t>
      </w:r>
      <w:r w:rsidR="00940A08">
        <w:rPr>
          <w:rFonts w:ascii="Times New Roman" w:hAnsi="Times New Roman" w:cs="Times New Roman"/>
          <w:sz w:val="24"/>
          <w:szCs w:val="24"/>
        </w:rPr>
        <w:t>v </w:t>
      </w:r>
      <w:r w:rsidR="00940A08">
        <w:rPr>
          <w:rFonts w:ascii="Times New Roman" w:hAnsi="Times New Roman" w:cs="Times New Roman"/>
          <w:sz w:val="24"/>
          <w:szCs w:val="24"/>
        </w:rPr>
        <w:t xml:space="preserve">Bratislave a </w:t>
      </w:r>
      <w:r w:rsidRPr="00B3037B">
        <w:rPr>
          <w:rFonts w:ascii="Times New Roman" w:hAnsi="Times New Roman" w:cs="Times New Roman"/>
          <w:sz w:val="24"/>
          <w:szCs w:val="24"/>
        </w:rPr>
        <w:t>prenájom špeciálnych strojov, prístrojov a</w:t>
      </w:r>
      <w:r w:rsidR="00940A08">
        <w:rPr>
          <w:rFonts w:ascii="Times New Roman" w:hAnsi="Times New Roman" w:cs="Times New Roman"/>
          <w:sz w:val="24"/>
          <w:szCs w:val="24"/>
        </w:rPr>
        <w:t> </w:t>
      </w:r>
      <w:r w:rsidRPr="00B3037B">
        <w:rPr>
          <w:rFonts w:ascii="Times New Roman" w:hAnsi="Times New Roman" w:cs="Times New Roman"/>
          <w:sz w:val="24"/>
          <w:szCs w:val="24"/>
        </w:rPr>
        <w:t>zariadení</w:t>
      </w:r>
      <w:r w:rsidR="00940A08">
        <w:rPr>
          <w:rFonts w:ascii="Times New Roman" w:hAnsi="Times New Roman" w:cs="Times New Roman"/>
          <w:sz w:val="24"/>
          <w:szCs w:val="24"/>
        </w:rPr>
        <w:t>)</w:t>
      </w:r>
      <w:r w:rsidRPr="00B3037B">
        <w:rPr>
          <w:rFonts w:ascii="Times New Roman" w:hAnsi="Times New Roman" w:cs="Times New Roman"/>
          <w:sz w:val="24"/>
          <w:szCs w:val="24"/>
        </w:rPr>
        <w:t>.</w:t>
      </w:r>
    </w:p>
    <w:p w:rsidR="007C3E6E" w:rsidRPr="00B3037B" w:rsidP="00C362EA">
      <w:pPr>
        <w:spacing w:line="240" w:lineRule="auto"/>
        <w:rPr>
          <w:rFonts w:ascii="Times New Roman" w:hAnsi="Times New Roman" w:cs="Times New Roman"/>
          <w:sz w:val="24"/>
          <w:szCs w:val="24"/>
        </w:rPr>
      </w:pPr>
    </w:p>
    <w:p w:rsidR="00940A08" w:rsidRPr="000B2D82" w:rsidP="00DE4D85">
      <w:pPr>
        <w:spacing w:line="240" w:lineRule="auto"/>
        <w:rPr>
          <w:rFonts w:ascii="Times New Roman" w:hAnsi="Times New Roman" w:cs="Times New Roman"/>
          <w:b/>
          <w:sz w:val="24"/>
          <w:szCs w:val="24"/>
        </w:rPr>
      </w:pPr>
      <w:r w:rsidRPr="00B3037B" w:rsidR="00B3037B">
        <w:rPr>
          <w:rFonts w:ascii="Times New Roman" w:hAnsi="Times New Roman" w:cs="Times New Roman"/>
          <w:sz w:val="24"/>
          <w:szCs w:val="24"/>
          <w:u w:val="single"/>
        </w:rPr>
        <w:t>Skupina RP 637</w:t>
      </w:r>
      <w:r>
        <w:rPr>
          <w:rFonts w:ascii="Times New Roman" w:hAnsi="Times New Roman" w:cs="Times New Roman"/>
          <w:sz w:val="24"/>
          <w:szCs w:val="24"/>
        </w:rPr>
        <w:t xml:space="preserve"> – </w:t>
      </w:r>
      <w:r w:rsidRPr="002C7E22">
        <w:rPr>
          <w:rFonts w:ascii="Times New Roman" w:hAnsi="Times New Roman" w:cs="Times New Roman"/>
          <w:sz w:val="24"/>
          <w:szCs w:val="24"/>
        </w:rPr>
        <w:t xml:space="preserve">Služby </w:t>
      </w:r>
      <w:r w:rsidRPr="000B2D82" w:rsidR="00CC568D">
        <w:rPr>
          <w:rFonts w:ascii="Times New Roman" w:hAnsi="Times New Roman" w:cs="Times New Roman"/>
          <w:b/>
          <w:sz w:val="24"/>
          <w:szCs w:val="24"/>
        </w:rPr>
        <w:t xml:space="preserve">33 741 162,84 </w:t>
      </w:r>
      <w:r w:rsidRPr="000B2D82" w:rsidR="00B3037B">
        <w:rPr>
          <w:rFonts w:ascii="Times New Roman" w:hAnsi="Times New Roman" w:cs="Times New Roman"/>
          <w:b/>
          <w:sz w:val="24"/>
          <w:szCs w:val="24"/>
        </w:rPr>
        <w:t>Sk</w:t>
      </w:r>
    </w:p>
    <w:p w:rsidR="00DE4D85" w:rsidRPr="00DE4D85" w:rsidP="00DE4D85">
      <w:pPr>
        <w:spacing w:line="240" w:lineRule="auto"/>
        <w:rPr>
          <w:rFonts w:ascii="Times New Roman" w:hAnsi="Times New Roman" w:cs="Times New Roman"/>
          <w:sz w:val="24"/>
          <w:szCs w:val="24"/>
        </w:rPr>
      </w:pPr>
      <w:r w:rsidRPr="00DE4D85">
        <w:rPr>
          <w:rFonts w:ascii="Times New Roman" w:hAnsi="Times New Roman" w:cs="Times New Roman"/>
          <w:sz w:val="24"/>
          <w:szCs w:val="24"/>
        </w:rPr>
        <w:t xml:space="preserve">Výdavky sa týkali služieb pre potreby úseku technického rozvoja – aktivácia služby korekcie signálu GPS v reálnom čase, implementácia softvéru Da </w:t>
      </w:r>
      <w:r w:rsidRPr="00DE4D85">
        <w:rPr>
          <w:rFonts w:ascii="Times New Roman" w:hAnsi="Times New Roman" w:cs="Times New Roman"/>
          <w:sz w:val="24"/>
          <w:szCs w:val="24"/>
        </w:rPr>
        <w:t xml:space="preserve">Tra do </w:t>
      </w:r>
      <w:r>
        <w:rPr>
          <w:rFonts w:ascii="Times New Roman" w:hAnsi="Times New Roman" w:cs="Times New Roman"/>
          <w:sz w:val="24"/>
          <w:szCs w:val="24"/>
        </w:rPr>
        <w:t xml:space="preserve">IS MCS </w:t>
      </w:r>
      <w:r w:rsidRPr="00DE4D85">
        <w:rPr>
          <w:rFonts w:ascii="Times New Roman" w:hAnsi="Times New Roman" w:cs="Times New Roman"/>
          <w:sz w:val="24"/>
          <w:szCs w:val="24"/>
        </w:rPr>
        <w:t>a implementácia dát GPS do meracieho systému Profilograph.</w:t>
      </w:r>
      <w:r>
        <w:rPr>
          <w:rFonts w:ascii="Times New Roman" w:hAnsi="Times New Roman" w:cs="Times New Roman"/>
          <w:sz w:val="24"/>
          <w:szCs w:val="24"/>
        </w:rPr>
        <w:t xml:space="preserve"> </w:t>
      </w:r>
      <w:r w:rsidRPr="00DE4D85">
        <w:rPr>
          <w:rFonts w:ascii="Times New Roman" w:hAnsi="Times New Roman" w:cs="Times New Roman"/>
          <w:sz w:val="24"/>
          <w:szCs w:val="24"/>
        </w:rPr>
        <w:t>Oddelenie technickej normalizácie a úloh rozvoja vedy techniky koordinovalo a zabezpečovalo celý proces spracovania rezortných technických podmienok, ktoré schvaľuje MDPT SR. V priebe</w:t>
      </w:r>
      <w:r w:rsidRPr="00DE4D85">
        <w:rPr>
          <w:rFonts w:ascii="Times New Roman" w:hAnsi="Times New Roman" w:cs="Times New Roman"/>
          <w:sz w:val="24"/>
          <w:szCs w:val="24"/>
        </w:rPr>
        <w:t>hu roka 2007 boli objednané úlohy, podporujúce technickú normalizáciu, jednotl</w:t>
      </w:r>
      <w:r>
        <w:rPr>
          <w:rFonts w:ascii="Times New Roman" w:hAnsi="Times New Roman" w:cs="Times New Roman"/>
          <w:sz w:val="24"/>
          <w:szCs w:val="24"/>
        </w:rPr>
        <w:t>ivé TP-</w:t>
      </w:r>
      <w:r w:rsidRPr="00DE4D85">
        <w:rPr>
          <w:rFonts w:ascii="Times New Roman" w:hAnsi="Times New Roman" w:cs="Times New Roman"/>
          <w:sz w:val="24"/>
          <w:szCs w:val="24"/>
        </w:rPr>
        <w:t>technické</w:t>
      </w:r>
      <w:r>
        <w:rPr>
          <w:rFonts w:ascii="Times New Roman" w:hAnsi="Times New Roman" w:cs="Times New Roman"/>
          <w:sz w:val="24"/>
          <w:szCs w:val="24"/>
        </w:rPr>
        <w:t xml:space="preserve"> podmienky, KL-katalógové listy a VL-</w:t>
      </w:r>
      <w:r w:rsidRPr="00DE4D85">
        <w:rPr>
          <w:rFonts w:ascii="Times New Roman" w:hAnsi="Times New Roman" w:cs="Times New Roman"/>
          <w:sz w:val="24"/>
          <w:szCs w:val="24"/>
        </w:rPr>
        <w:t>vzorové listy. V roku 2007 bolo ukončených 13 úloh a prekladov noriem.</w:t>
      </w:r>
    </w:p>
    <w:p w:rsidR="00AE3AF3" w:rsidP="00F16B44">
      <w:pPr>
        <w:spacing w:line="240" w:lineRule="auto"/>
        <w:rPr>
          <w:rFonts w:ascii="Times New Roman" w:hAnsi="Times New Roman" w:cs="Times New Roman"/>
          <w:sz w:val="24"/>
          <w:szCs w:val="24"/>
        </w:rPr>
      </w:pPr>
    </w:p>
    <w:p w:rsidR="000B2D82" w:rsidP="00DE4D85">
      <w:pPr>
        <w:spacing w:line="240" w:lineRule="auto"/>
        <w:rPr>
          <w:rFonts w:ascii="Times New Roman" w:hAnsi="Times New Roman" w:cs="Times New Roman"/>
          <w:sz w:val="24"/>
          <w:szCs w:val="24"/>
        </w:rPr>
      </w:pPr>
      <w:r w:rsidRPr="00DE4D85" w:rsidR="00DE4D85">
        <w:rPr>
          <w:rFonts w:ascii="Times New Roman" w:hAnsi="Times New Roman" w:cs="Times New Roman"/>
          <w:sz w:val="24"/>
          <w:szCs w:val="24"/>
        </w:rPr>
        <w:t>V rámci špeciálnych služieb boli uhradené odborné konzultácie a prednáškovo-konzultačné činnosti ku školeniam pre systém hospodárenia s vozovkami a systém hospodárenia s mostami.</w:t>
      </w:r>
      <w:r w:rsidR="00DE4D85">
        <w:rPr>
          <w:rFonts w:ascii="Times New Roman" w:hAnsi="Times New Roman" w:cs="Times New Roman"/>
          <w:sz w:val="24"/>
          <w:szCs w:val="24"/>
        </w:rPr>
        <w:t xml:space="preserve"> </w:t>
      </w:r>
      <w:r w:rsidRPr="00DE4D85" w:rsidR="00DE4D85">
        <w:rPr>
          <w:rFonts w:ascii="Times New Roman" w:hAnsi="Times New Roman" w:cs="Times New Roman"/>
          <w:sz w:val="24"/>
          <w:szCs w:val="24"/>
        </w:rPr>
        <w:t>V roku 2007 úsek pre riadenie investícií a správu použil finančné prostriedky na zabezpečenie smerového prieskumu vybraných sídelných útvarov SR, rutinnej prevádzky vážneho zariadenia na HP Vyšné Nemecké a na zabezpečenie školenia zamestnancov v oblasti dopravného značenia.</w:t>
      </w:r>
      <w:r w:rsidR="00DE4D85">
        <w:rPr>
          <w:rFonts w:ascii="Times New Roman" w:hAnsi="Times New Roman" w:cs="Times New Roman"/>
          <w:sz w:val="24"/>
          <w:szCs w:val="24"/>
        </w:rPr>
        <w:t xml:space="preserve"> </w:t>
      </w:r>
      <w:r w:rsidRPr="00DE4D85" w:rsidR="00DE4D85">
        <w:rPr>
          <w:rFonts w:ascii="Times New Roman" w:hAnsi="Times New Roman" w:cs="Times New Roman"/>
          <w:sz w:val="24"/>
          <w:szCs w:val="24"/>
        </w:rPr>
        <w:t>Finančné prostriedky boli použité aj na stravovanie, poplatky, odvody, dane z nehnuteľností, kolkové známky a p</w:t>
      </w:r>
      <w:r w:rsidRPr="00DE4D85" w:rsidR="00DE4D85">
        <w:rPr>
          <w:rFonts w:ascii="Times New Roman" w:hAnsi="Times New Roman" w:cs="Times New Roman"/>
          <w:sz w:val="24"/>
          <w:szCs w:val="24"/>
        </w:rPr>
        <w:t>od.</w:t>
      </w:r>
      <w:r w:rsidR="00F16B44">
        <w:rPr>
          <w:rFonts w:ascii="Times New Roman" w:hAnsi="Times New Roman" w:cs="Times New Roman"/>
          <w:sz w:val="24"/>
          <w:szCs w:val="24"/>
        </w:rPr>
        <w:t>.</w:t>
      </w:r>
    </w:p>
    <w:p w:rsidR="00406D68" w:rsidP="00DE4D85">
      <w:pPr>
        <w:spacing w:line="240" w:lineRule="auto"/>
        <w:rPr>
          <w:rFonts w:ascii="Times New Roman" w:hAnsi="Times New Roman" w:cs="Times New Roman"/>
          <w:sz w:val="24"/>
          <w:szCs w:val="24"/>
        </w:rPr>
      </w:pPr>
    </w:p>
    <w:p w:rsidR="006E2C6E" w:rsidRPr="000B2D82" w:rsidP="00DE4D85">
      <w:pPr>
        <w:spacing w:line="240" w:lineRule="auto"/>
        <w:rPr>
          <w:rFonts w:ascii="Times New Roman" w:hAnsi="Times New Roman" w:cs="Times New Roman"/>
          <w:sz w:val="24"/>
          <w:szCs w:val="24"/>
        </w:rPr>
      </w:pPr>
    </w:p>
    <w:p w:rsidR="00AA11E3" w:rsidRPr="009909AA" w:rsidP="00406D68">
      <w:pPr>
        <w:numPr>
          <w:ilvl w:val="0"/>
          <w:numId w:val="16"/>
        </w:numPr>
        <w:tabs>
          <w:tab w:val="left" w:pos="720"/>
        </w:tabs>
        <w:spacing w:line="240" w:lineRule="auto"/>
        <w:rPr>
          <w:rFonts w:ascii="Times New Roman" w:hAnsi="Times New Roman" w:cs="Times New Roman"/>
          <w:b/>
          <w:sz w:val="28"/>
          <w:szCs w:val="28"/>
          <w:u w:val="single"/>
        </w:rPr>
      </w:pPr>
      <w:r>
        <w:rPr>
          <w:rFonts w:ascii="Times New Roman" w:hAnsi="Times New Roman" w:cs="Times New Roman"/>
          <w:b/>
          <w:sz w:val="28"/>
          <w:szCs w:val="28"/>
          <w:u w:val="single"/>
        </w:rPr>
        <w:t xml:space="preserve">Kapitálové výdavky (710) na výstavbu ciest I. triedy a diaľničných </w:t>
      </w:r>
      <w:r w:rsidRPr="009909AA">
        <w:rPr>
          <w:rFonts w:ascii="Times New Roman" w:hAnsi="Times New Roman" w:cs="Times New Roman"/>
          <w:b/>
          <w:sz w:val="28"/>
          <w:szCs w:val="28"/>
          <w:u w:val="single"/>
        </w:rPr>
        <w:t>privádzačov (FK 04.5.1.2.)</w:t>
      </w:r>
    </w:p>
    <w:p w:rsidR="00406D68" w:rsidP="00406D68">
      <w:pPr>
        <w:spacing w:line="240" w:lineRule="auto"/>
        <w:rPr>
          <w:rFonts w:ascii="Times New Roman" w:hAnsi="Times New Roman" w:cs="Times New Roman"/>
          <w:b/>
          <w:sz w:val="28"/>
          <w:szCs w:val="28"/>
          <w:u w:val="single"/>
        </w:rPr>
      </w:pPr>
    </w:p>
    <w:p w:rsidR="00406D68" w:rsidRPr="00163C0F" w:rsidP="00406D68">
      <w:pPr>
        <w:spacing w:line="240" w:lineRule="auto"/>
        <w:ind w:firstLine="360"/>
        <w:rPr>
          <w:rFonts w:ascii="Times New Roman" w:hAnsi="Times New Roman" w:cs="Times New Roman"/>
          <w:b/>
          <w:sz w:val="28"/>
          <w:szCs w:val="28"/>
          <w:u w:val="single"/>
        </w:rPr>
      </w:pPr>
      <w:r>
        <w:rPr>
          <w:rFonts w:ascii="Times New Roman" w:hAnsi="Times New Roman" w:cs="Times New Roman"/>
          <w:b/>
          <w:sz w:val="28"/>
          <w:szCs w:val="28"/>
          <w:u w:val="single"/>
        </w:rPr>
        <w:t>2.1. Kapitálové výdavky podľa podprogramov a prvkov</w:t>
      </w:r>
    </w:p>
    <w:p w:rsidR="008E26C7" w:rsidP="00C362EA">
      <w:pPr>
        <w:spacing w:line="240" w:lineRule="auto"/>
        <w:rPr>
          <w:rFonts w:ascii="Times New Roman" w:hAnsi="Times New Roman" w:cs="Times New Roman"/>
          <w:b/>
          <w:sz w:val="24"/>
          <w:szCs w:val="24"/>
          <w:u w:val="single"/>
        </w:rPr>
      </w:pPr>
    </w:p>
    <w:p w:rsidR="004D40C0" w:rsidP="00C362EA">
      <w:pPr>
        <w:spacing w:line="240" w:lineRule="auto"/>
        <w:ind w:firstLine="709"/>
        <w:rPr>
          <w:rFonts w:ascii="Times New Roman" w:hAnsi="Times New Roman" w:cs="Times New Roman"/>
          <w:sz w:val="24"/>
          <w:szCs w:val="24"/>
        </w:rPr>
      </w:pPr>
      <w:r w:rsidR="005B4A41">
        <w:rPr>
          <w:rFonts w:ascii="Times New Roman" w:hAnsi="Times New Roman" w:cs="Times New Roman"/>
          <w:sz w:val="24"/>
          <w:szCs w:val="24"/>
        </w:rPr>
        <w:t xml:space="preserve">Z finančných </w:t>
      </w:r>
      <w:r w:rsidRPr="002C7E22" w:rsidR="005B4A41">
        <w:rPr>
          <w:rFonts w:ascii="Times New Roman" w:hAnsi="Times New Roman" w:cs="Times New Roman"/>
          <w:sz w:val="24"/>
          <w:szCs w:val="24"/>
        </w:rPr>
        <w:t xml:space="preserve">prostriedkov </w:t>
      </w:r>
      <w:r w:rsidR="00A72286">
        <w:rPr>
          <w:rFonts w:ascii="Times New Roman" w:hAnsi="Times New Roman" w:cs="Times New Roman"/>
          <w:sz w:val="24"/>
          <w:szCs w:val="24"/>
        </w:rPr>
        <w:t>pridelených na rok 2007</w:t>
      </w:r>
      <w:r w:rsidR="00B225E5">
        <w:rPr>
          <w:rFonts w:ascii="Times New Roman" w:hAnsi="Times New Roman" w:cs="Times New Roman"/>
          <w:sz w:val="24"/>
          <w:szCs w:val="24"/>
        </w:rPr>
        <w:t xml:space="preserve"> (upravený roz</w:t>
      </w:r>
      <w:r w:rsidR="00A72286">
        <w:rPr>
          <w:rFonts w:ascii="Times New Roman" w:hAnsi="Times New Roman" w:cs="Times New Roman"/>
          <w:sz w:val="24"/>
          <w:szCs w:val="24"/>
        </w:rPr>
        <w:t>počet k 31.12.2007</w:t>
      </w:r>
      <w:r w:rsidRPr="002C7E22" w:rsidR="005B4A41">
        <w:rPr>
          <w:rFonts w:ascii="Times New Roman" w:hAnsi="Times New Roman" w:cs="Times New Roman"/>
          <w:sz w:val="24"/>
          <w:szCs w:val="24"/>
        </w:rPr>
        <w:t xml:space="preserve">) vo výške </w:t>
      </w:r>
      <w:r w:rsidRPr="002C7E22" w:rsidR="00AA059A">
        <w:rPr>
          <w:rFonts w:ascii="Times New Roman" w:hAnsi="Times New Roman" w:cs="Times New Roman"/>
          <w:sz w:val="24"/>
          <w:szCs w:val="24"/>
        </w:rPr>
        <w:t>2 486 344</w:t>
      </w:r>
      <w:r w:rsidRPr="002C7E22" w:rsidR="00AA059A">
        <w:rPr>
          <w:rFonts w:ascii="Times New Roman" w:hAnsi="Times New Roman" w:cs="Times New Roman"/>
          <w:sz w:val="24"/>
          <w:szCs w:val="24"/>
        </w:rPr>
        <w:t> 084</w:t>
      </w:r>
      <w:r w:rsidRPr="002C7E22" w:rsidR="00AA11E3">
        <w:rPr>
          <w:rFonts w:ascii="Times New Roman" w:hAnsi="Times New Roman" w:cs="Times New Roman"/>
          <w:sz w:val="24"/>
          <w:szCs w:val="24"/>
        </w:rPr>
        <w:t>,26</w:t>
      </w:r>
      <w:r w:rsidR="00B225E5">
        <w:rPr>
          <w:rFonts w:ascii="Times New Roman" w:hAnsi="Times New Roman" w:cs="Times New Roman"/>
          <w:sz w:val="24"/>
          <w:szCs w:val="24"/>
        </w:rPr>
        <w:t xml:space="preserve"> Sk bolo k 31.12.2006</w:t>
      </w:r>
      <w:r w:rsidRPr="002C7E22" w:rsidR="005B4A41">
        <w:rPr>
          <w:rFonts w:ascii="Times New Roman" w:hAnsi="Times New Roman" w:cs="Times New Roman"/>
          <w:sz w:val="24"/>
          <w:szCs w:val="24"/>
        </w:rPr>
        <w:t xml:space="preserve"> skutočne čerpaných </w:t>
      </w:r>
      <w:r w:rsidRPr="002C7E22" w:rsidR="00AA059A">
        <w:rPr>
          <w:rFonts w:ascii="Times New Roman" w:hAnsi="Times New Roman" w:cs="Times New Roman"/>
          <w:sz w:val="24"/>
          <w:szCs w:val="24"/>
        </w:rPr>
        <w:t>2 486 344 083</w:t>
      </w:r>
      <w:r w:rsidRPr="002C7E22" w:rsidR="00AA11E3">
        <w:rPr>
          <w:rFonts w:ascii="Times New Roman" w:hAnsi="Times New Roman" w:cs="Times New Roman"/>
          <w:sz w:val="24"/>
          <w:szCs w:val="24"/>
        </w:rPr>
        <w:t>,71</w:t>
      </w:r>
      <w:r w:rsidRPr="002C7E22" w:rsidR="005B4A41">
        <w:rPr>
          <w:rFonts w:ascii="Times New Roman" w:hAnsi="Times New Roman" w:cs="Times New Roman"/>
          <w:sz w:val="24"/>
          <w:szCs w:val="24"/>
        </w:rPr>
        <w:t xml:space="preserve"> Sk</w:t>
      </w:r>
      <w:r w:rsidRPr="005B4A41" w:rsidR="005B4A41">
        <w:rPr>
          <w:rFonts w:ascii="Times New Roman" w:hAnsi="Times New Roman" w:cs="Times New Roman"/>
          <w:sz w:val="24"/>
          <w:szCs w:val="24"/>
        </w:rPr>
        <w:t xml:space="preserve">, čo predstavuje </w:t>
      </w:r>
      <w:r w:rsidR="00AA059A">
        <w:rPr>
          <w:rFonts w:ascii="Times New Roman" w:hAnsi="Times New Roman" w:cs="Times New Roman"/>
          <w:sz w:val="24"/>
          <w:szCs w:val="24"/>
        </w:rPr>
        <w:t>100 %-né plnenie</w:t>
      </w:r>
      <w:r w:rsidRPr="005B4A41" w:rsidR="005B4A41">
        <w:rPr>
          <w:rFonts w:ascii="Times New Roman" w:hAnsi="Times New Roman" w:cs="Times New Roman"/>
          <w:sz w:val="24"/>
          <w:szCs w:val="24"/>
        </w:rPr>
        <w:t>.</w:t>
      </w:r>
      <w:r w:rsidR="003A7454">
        <w:rPr>
          <w:rFonts w:ascii="Times New Roman" w:hAnsi="Times New Roman" w:cs="Times New Roman"/>
          <w:sz w:val="24"/>
          <w:szCs w:val="24"/>
        </w:rPr>
        <w:t xml:space="preserve"> </w:t>
      </w:r>
    </w:p>
    <w:p w:rsidR="004D40C0" w:rsidP="00C362EA">
      <w:pPr>
        <w:spacing w:line="240" w:lineRule="auto"/>
        <w:ind w:firstLine="709"/>
        <w:rPr>
          <w:rFonts w:ascii="Times New Roman" w:hAnsi="Times New Roman" w:cs="Times New Roman"/>
          <w:sz w:val="24"/>
          <w:szCs w:val="24"/>
        </w:rPr>
      </w:pPr>
    </w:p>
    <w:p w:rsidR="006E2C6E" w:rsidP="00B27788">
      <w:pPr>
        <w:spacing w:line="240" w:lineRule="auto"/>
        <w:ind w:firstLine="709"/>
        <w:rPr>
          <w:rFonts w:ascii="Times New Roman" w:hAnsi="Times New Roman" w:cs="Times New Roman"/>
          <w:sz w:val="24"/>
          <w:szCs w:val="24"/>
        </w:rPr>
      </w:pPr>
    </w:p>
    <w:p w:rsidR="006E2C6E" w:rsidP="00B27788">
      <w:pPr>
        <w:spacing w:line="240" w:lineRule="auto"/>
        <w:ind w:firstLine="709"/>
        <w:rPr>
          <w:rFonts w:ascii="Times New Roman" w:hAnsi="Times New Roman" w:cs="Times New Roman"/>
          <w:sz w:val="24"/>
          <w:szCs w:val="24"/>
        </w:rPr>
      </w:pPr>
    </w:p>
    <w:p w:rsidR="006E2C6E" w:rsidP="00B27788">
      <w:pPr>
        <w:spacing w:line="240" w:lineRule="auto"/>
        <w:ind w:firstLine="709"/>
        <w:rPr>
          <w:rFonts w:ascii="Times New Roman" w:hAnsi="Times New Roman" w:cs="Times New Roman"/>
          <w:sz w:val="24"/>
          <w:szCs w:val="24"/>
        </w:rPr>
      </w:pPr>
    </w:p>
    <w:p w:rsidR="008E26C7" w:rsidP="00B27788">
      <w:pPr>
        <w:spacing w:line="240" w:lineRule="auto"/>
        <w:ind w:firstLine="709"/>
        <w:rPr>
          <w:rFonts w:ascii="Times New Roman" w:hAnsi="Times New Roman" w:cs="Times New Roman"/>
          <w:sz w:val="24"/>
          <w:szCs w:val="24"/>
        </w:rPr>
      </w:pPr>
      <w:r w:rsidR="003A7454">
        <w:rPr>
          <w:rFonts w:ascii="Times New Roman" w:hAnsi="Times New Roman" w:cs="Times New Roman"/>
          <w:sz w:val="24"/>
          <w:szCs w:val="24"/>
        </w:rPr>
        <w:t xml:space="preserve">Predmetné zdroje boli podľa účelu použitia členené </w:t>
      </w:r>
      <w:r w:rsidR="00064124">
        <w:rPr>
          <w:rFonts w:ascii="Times New Roman" w:hAnsi="Times New Roman" w:cs="Times New Roman"/>
          <w:sz w:val="24"/>
          <w:szCs w:val="24"/>
        </w:rPr>
        <w:t xml:space="preserve">v rámci programu 053 – Cestná infraštruktúra </w:t>
      </w:r>
      <w:r w:rsidR="003A7454">
        <w:rPr>
          <w:rFonts w:ascii="Times New Roman" w:hAnsi="Times New Roman" w:cs="Times New Roman"/>
          <w:sz w:val="24"/>
          <w:szCs w:val="24"/>
        </w:rPr>
        <w:t>do n</w:t>
      </w:r>
      <w:r w:rsidR="00B225E5">
        <w:rPr>
          <w:rFonts w:ascii="Times New Roman" w:hAnsi="Times New Roman" w:cs="Times New Roman"/>
          <w:sz w:val="24"/>
          <w:szCs w:val="24"/>
        </w:rPr>
        <w:t>asledovných podprogramov/prvkov/</w:t>
      </w:r>
      <w:r w:rsidR="00064124">
        <w:rPr>
          <w:rFonts w:ascii="Times New Roman" w:hAnsi="Times New Roman" w:cs="Times New Roman"/>
          <w:sz w:val="24"/>
          <w:szCs w:val="24"/>
        </w:rPr>
        <w:t>projektov</w:t>
      </w:r>
      <w:r w:rsidR="003A7454">
        <w:rPr>
          <w:rFonts w:ascii="Times New Roman" w:hAnsi="Times New Roman" w:cs="Times New Roman"/>
          <w:sz w:val="24"/>
          <w:szCs w:val="24"/>
        </w:rPr>
        <w:t xml:space="preserve">:   </w:t>
      </w:r>
      <w:r w:rsidRPr="005B4A41" w:rsidR="005B4A41">
        <w:rPr>
          <w:rFonts w:ascii="Times New Roman" w:hAnsi="Times New Roman" w:cs="Times New Roman"/>
          <w:sz w:val="24"/>
          <w:szCs w:val="24"/>
        </w:rPr>
        <w:t xml:space="preserve"> </w:t>
      </w:r>
    </w:p>
    <w:p w:rsidR="006E2C6E" w:rsidP="00B27788">
      <w:pPr>
        <w:spacing w:line="240" w:lineRule="auto"/>
        <w:ind w:firstLine="709"/>
        <w:rPr>
          <w:rFonts w:ascii="Times New Roman" w:hAnsi="Times New Roman" w:cs="Times New Roman"/>
          <w:sz w:val="24"/>
          <w:szCs w:val="24"/>
        </w:rPr>
      </w:pPr>
    </w:p>
    <w:p w:rsidR="006E2C6E" w:rsidRPr="00B27788" w:rsidP="00B27788">
      <w:pPr>
        <w:spacing w:line="240" w:lineRule="auto"/>
        <w:ind w:firstLine="709"/>
        <w:rPr>
          <w:rFonts w:ascii="Times New Roman" w:hAnsi="Times New Roman" w:cs="Times New Roman"/>
          <w:sz w:val="24"/>
          <w:szCs w:val="24"/>
        </w:rPr>
      </w:pPr>
    </w:p>
    <w:p w:rsidR="0019544A" w:rsidRPr="003A7454" w:rsidP="00C362EA">
      <w:pPr>
        <w:spacing w:line="240" w:lineRule="auto"/>
        <w:ind w:firstLine="709"/>
        <w:rPr>
          <w:rFonts w:ascii="Arial Narrow" w:hAnsi="Arial Narrow" w:cs="Times New Roman"/>
        </w:rPr>
      </w:pPr>
      <w:r w:rsidRPr="003A7454" w:rsidR="003A7454">
        <w:rPr>
          <w:rFonts w:ascii="Arial Narrow" w:hAnsi="Arial Narrow" w:cs="Times New Roman"/>
        </w:rPr>
        <w:t xml:space="preserve">                                            </w:t>
      </w:r>
      <w:r w:rsidR="003A7454">
        <w:rPr>
          <w:rFonts w:ascii="Arial Narrow" w:hAnsi="Arial Narrow" w:cs="Times New Roman"/>
        </w:rPr>
        <w:t xml:space="preserve">                                                                                                                               </w:t>
      </w:r>
      <w:r w:rsidRPr="003A7454" w:rsidR="003A7454">
        <w:rPr>
          <w:rFonts w:ascii="Arial Narrow" w:hAnsi="Arial Narrow" w:cs="Times New Roman"/>
        </w:rPr>
        <w:t>(v Sk)</w:t>
      </w:r>
    </w:p>
    <w:tbl>
      <w:tblPr>
        <w:tblW w:w="93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Grid>
        <w:gridCol w:w="4860"/>
        <w:gridCol w:w="1493"/>
        <w:gridCol w:w="1493"/>
        <w:gridCol w:w="1462"/>
      </w:tblGrid>
      <w:tr>
        <w:tblPrEx>
          <w:tblW w:w="93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auto" w:val="0"/>
        </w:trPr>
        <w:tc>
          <w:tcPr>
            <w:tcW w:w="4860" w:type="dxa"/>
            <w:tcBorders>
              <w:top w:val="single" w:sz="4" w:space="0" w:color="auto"/>
              <w:left w:val="single" w:sz="4" w:space="0" w:color="auto"/>
              <w:bottom w:val="single" w:sz="4" w:space="0" w:color="auto"/>
              <w:right w:val="single" w:sz="4" w:space="0" w:color="auto"/>
              <w:tl2br w:val="nil"/>
              <w:tr2bl w:val="nil"/>
            </w:tcBorders>
            <w:shd w:val="clear" w:color="auto" w:fill="CCCCCC"/>
            <w:textDirection w:val="lrTb"/>
            <w:vAlign w:val="center"/>
          </w:tcPr>
          <w:p w:rsidR="00152BC6" w:rsidRPr="00152BC6" w:rsidP="00C362EA">
            <w:pPr>
              <w:spacing w:line="240" w:lineRule="auto"/>
              <w:jc w:val="center"/>
              <w:rPr>
                <w:rFonts w:ascii="Arial Narrow" w:hAnsi="Arial Narrow" w:cs="Times New Roman"/>
                <w:b/>
                <w:bCs/>
              </w:rPr>
            </w:pPr>
            <w:r w:rsidRPr="00152BC6">
              <w:rPr>
                <w:rFonts w:ascii="Arial Narrow" w:hAnsi="Arial Narrow" w:cs="Times New Roman"/>
                <w:b/>
                <w:bCs/>
              </w:rPr>
              <w:t>Podprogram / prvok</w:t>
            </w:r>
            <w:r w:rsidR="00064124">
              <w:rPr>
                <w:rFonts w:ascii="Arial Narrow" w:hAnsi="Arial Narrow" w:cs="Times New Roman"/>
                <w:b/>
                <w:bCs/>
              </w:rPr>
              <w:t>/projekt</w:t>
            </w:r>
          </w:p>
        </w:tc>
        <w:tc>
          <w:tcPr>
            <w:tcW w:w="1493" w:type="dxa"/>
            <w:tcBorders>
              <w:top w:val="single" w:sz="4" w:space="0" w:color="auto"/>
              <w:left w:val="single" w:sz="4" w:space="0" w:color="auto"/>
              <w:bottom w:val="single" w:sz="4" w:space="0" w:color="auto"/>
              <w:right w:val="single" w:sz="4" w:space="0" w:color="auto"/>
              <w:tl2br w:val="nil"/>
              <w:tr2bl w:val="nil"/>
            </w:tcBorders>
            <w:shd w:val="clear" w:color="auto" w:fill="CCCCCC"/>
            <w:textDirection w:val="lrTb"/>
            <w:vAlign w:val="center"/>
          </w:tcPr>
          <w:p w:rsidR="00152BC6" w:rsidRPr="00152BC6" w:rsidP="00C362EA">
            <w:pPr>
              <w:spacing w:line="240" w:lineRule="auto"/>
              <w:jc w:val="center"/>
              <w:rPr>
                <w:rFonts w:ascii="Arial" w:hAnsi="Arial" w:cs="Times New Roman"/>
                <w:b/>
                <w:bCs/>
              </w:rPr>
            </w:pPr>
            <w:r w:rsidRPr="00152BC6">
              <w:rPr>
                <w:rFonts w:ascii="Arial" w:hAnsi="Arial" w:cs="Times New Roman"/>
                <w:b/>
                <w:bCs/>
              </w:rPr>
              <w:t>Upravený rozpočet k</w:t>
            </w:r>
            <w:r w:rsidR="00AA11E3">
              <w:rPr>
                <w:rFonts w:ascii="Arial" w:hAnsi="Arial" w:cs="Times New Roman"/>
                <w:b/>
                <w:bCs/>
              </w:rPr>
              <w:t> </w:t>
            </w:r>
            <w:r w:rsidR="00B225E5">
              <w:rPr>
                <w:rFonts w:ascii="Arial" w:hAnsi="Arial" w:cs="Times New Roman"/>
                <w:b/>
                <w:bCs/>
              </w:rPr>
              <w:t>31.12.200</w:t>
            </w:r>
            <w:r w:rsidR="002B4892">
              <w:rPr>
                <w:rFonts w:ascii="Arial" w:hAnsi="Arial" w:cs="Times New Roman"/>
                <w:b/>
                <w:bCs/>
              </w:rPr>
              <w:t>7</w:t>
            </w:r>
          </w:p>
        </w:tc>
        <w:tc>
          <w:tcPr>
            <w:tcW w:w="1493" w:type="dxa"/>
            <w:tcBorders>
              <w:top w:val="single" w:sz="4" w:space="0" w:color="auto"/>
              <w:left w:val="single" w:sz="4" w:space="0" w:color="auto"/>
              <w:bottom w:val="single" w:sz="4" w:space="0" w:color="auto"/>
              <w:right w:val="single" w:sz="4" w:space="0" w:color="auto"/>
              <w:tl2br w:val="nil"/>
              <w:tr2bl w:val="nil"/>
            </w:tcBorders>
            <w:shd w:val="clear" w:color="auto" w:fill="CCCCCC"/>
            <w:textDirection w:val="lrTb"/>
            <w:vAlign w:val="center"/>
          </w:tcPr>
          <w:p w:rsidR="00152BC6" w:rsidRPr="00152BC6" w:rsidP="00C362EA">
            <w:pPr>
              <w:spacing w:line="240" w:lineRule="auto"/>
              <w:jc w:val="center"/>
              <w:rPr>
                <w:rFonts w:ascii="Arial" w:hAnsi="Arial" w:cs="Times New Roman"/>
                <w:b/>
                <w:bCs/>
              </w:rPr>
            </w:pPr>
            <w:r w:rsidR="00B225E5">
              <w:rPr>
                <w:rFonts w:ascii="Arial" w:hAnsi="Arial" w:cs="Times New Roman"/>
                <w:b/>
                <w:bCs/>
              </w:rPr>
              <w:t>Skutočné čerpanie k </w:t>
            </w:r>
            <w:r w:rsidR="00B225E5">
              <w:rPr>
                <w:rFonts w:ascii="Arial" w:hAnsi="Arial" w:cs="Times New Roman"/>
                <w:b/>
                <w:bCs/>
              </w:rPr>
              <w:t>31.12.200</w:t>
            </w:r>
            <w:r w:rsidR="002B4892">
              <w:rPr>
                <w:rFonts w:ascii="Arial" w:hAnsi="Arial" w:cs="Times New Roman"/>
                <w:b/>
                <w:bCs/>
              </w:rPr>
              <w:t>7</w:t>
            </w:r>
          </w:p>
        </w:tc>
        <w:tc>
          <w:tcPr>
            <w:tcW w:w="1462" w:type="dxa"/>
            <w:tcBorders>
              <w:top w:val="single" w:sz="4" w:space="0" w:color="auto"/>
              <w:left w:val="single" w:sz="4" w:space="0" w:color="auto"/>
              <w:bottom w:val="single" w:sz="4" w:space="0" w:color="auto"/>
              <w:right w:val="single" w:sz="4" w:space="0" w:color="auto"/>
              <w:tl2br w:val="nil"/>
              <w:tr2bl w:val="nil"/>
            </w:tcBorders>
            <w:shd w:val="clear" w:color="auto" w:fill="CCCCCC"/>
            <w:textDirection w:val="lrTb"/>
            <w:vAlign w:val="center"/>
          </w:tcPr>
          <w:p w:rsidR="00152BC6" w:rsidRPr="00152BC6" w:rsidP="00C362EA">
            <w:pPr>
              <w:spacing w:line="240" w:lineRule="auto"/>
              <w:jc w:val="center"/>
              <w:rPr>
                <w:rFonts w:ascii="Arial" w:hAnsi="Arial" w:cs="Times New Roman"/>
                <w:b/>
                <w:bCs/>
              </w:rPr>
            </w:pPr>
            <w:r w:rsidR="00F70098">
              <w:rPr>
                <w:rFonts w:ascii="Arial Narrow" w:hAnsi="Arial Narrow" w:cs="Times New Roman"/>
                <w:b/>
              </w:rPr>
              <w:t>Rozdiel</w:t>
            </w:r>
          </w:p>
        </w:tc>
      </w:tr>
      <w:tr>
        <w:tblPrEx>
          <w:tblW w:w="9308" w:type="dxa"/>
          <w:tblInd w:w="-72" w:type="dxa"/>
        </w:tblPrEx>
        <w:trPr>
          <w:trHeight w:hRule="auto" w:val="0"/>
        </w:trPr>
        <w:tc>
          <w:tcPr>
            <w:tcW w:w="486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152BC6" w:rsidRPr="00CF4DF7" w:rsidP="00C362EA">
            <w:pPr>
              <w:spacing w:line="240" w:lineRule="auto"/>
              <w:rPr>
                <w:rFonts w:ascii="Arial Narrow" w:hAnsi="Arial Narrow" w:cs="Times New Roman"/>
                <w:b/>
                <w:bCs/>
              </w:rPr>
            </w:pPr>
            <w:r w:rsidRPr="00CF4DF7">
              <w:rPr>
                <w:rFonts w:ascii="Arial Narrow" w:hAnsi="Arial Narrow" w:cs="Times New Roman"/>
              </w:rPr>
              <w:t>0530201 Výstavba cestnej siete</w:t>
            </w:r>
          </w:p>
        </w:tc>
        <w:tc>
          <w:tcPr>
            <w:tcW w:w="1493"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152BC6" w:rsidRPr="00152BC6" w:rsidP="00891064">
            <w:pPr>
              <w:spacing w:line="240" w:lineRule="auto"/>
              <w:jc w:val="right"/>
              <w:rPr>
                <w:rFonts w:ascii="Arial Narrow" w:hAnsi="Arial Narrow" w:cs="Times New Roman"/>
                <w:bCs/>
              </w:rPr>
            </w:pPr>
            <w:r w:rsidR="002B4892">
              <w:rPr>
                <w:rFonts w:ascii="Arial Narrow" w:hAnsi="Arial Narrow" w:cs="Times New Roman"/>
                <w:bCs/>
              </w:rPr>
              <w:t>1 697 769 472,94</w:t>
            </w:r>
          </w:p>
        </w:tc>
        <w:tc>
          <w:tcPr>
            <w:tcW w:w="1493"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152BC6" w:rsidRPr="00152BC6" w:rsidP="00891064">
            <w:pPr>
              <w:spacing w:line="240" w:lineRule="auto"/>
              <w:jc w:val="right"/>
              <w:rPr>
                <w:rFonts w:ascii="Arial Narrow" w:hAnsi="Arial Narrow" w:cs="Times New Roman"/>
                <w:bCs/>
              </w:rPr>
            </w:pPr>
            <w:r w:rsidR="002B4892">
              <w:rPr>
                <w:rFonts w:ascii="Arial Narrow" w:hAnsi="Arial Narrow" w:cs="Times New Roman"/>
                <w:bCs/>
              </w:rPr>
              <w:t>1 697 408 058,20</w:t>
            </w:r>
          </w:p>
        </w:tc>
        <w:tc>
          <w:tcPr>
            <w:tcW w:w="1462"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152BC6" w:rsidRPr="0019544A" w:rsidP="00891064">
            <w:pPr>
              <w:spacing w:line="240" w:lineRule="auto"/>
              <w:jc w:val="right"/>
              <w:rPr>
                <w:rFonts w:ascii="Arial Narrow" w:hAnsi="Arial Narrow" w:cs="Times New Roman"/>
                <w:bCs/>
              </w:rPr>
            </w:pPr>
            <w:r w:rsidR="002B4892">
              <w:rPr>
                <w:rFonts w:ascii="Arial Narrow" w:hAnsi="Arial Narrow" w:cs="Times New Roman"/>
                <w:bCs/>
              </w:rPr>
              <w:t>361 414,74</w:t>
            </w:r>
          </w:p>
        </w:tc>
      </w:tr>
      <w:tr>
        <w:tblPrEx>
          <w:tblW w:w="9308" w:type="dxa"/>
          <w:tblInd w:w="-72" w:type="dxa"/>
        </w:tblPrEx>
        <w:trPr>
          <w:trHeight w:hRule="auto" w:val="0"/>
        </w:trPr>
        <w:tc>
          <w:tcPr>
            <w:tcW w:w="486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152BC6" w:rsidRPr="00CF4DF7" w:rsidP="00C362EA">
            <w:pPr>
              <w:spacing w:line="240" w:lineRule="auto"/>
              <w:rPr>
                <w:rFonts w:ascii="Arial Narrow" w:hAnsi="Arial Narrow" w:cs="Times New Roman"/>
              </w:rPr>
            </w:pPr>
            <w:r w:rsidRPr="00CF4DF7">
              <w:rPr>
                <w:rFonts w:ascii="Arial Narrow" w:hAnsi="Arial Narrow" w:cs="Times New Roman"/>
              </w:rPr>
              <w:t>0530202 Obnova technickej základne údržby ciest a</w:t>
            </w:r>
            <w:r w:rsidR="00833D2E">
              <w:rPr>
                <w:rFonts w:ascii="Arial Narrow" w:hAnsi="Arial Narrow" w:cs="Times New Roman"/>
              </w:rPr>
              <w:t> </w:t>
            </w:r>
            <w:r w:rsidRPr="00CF4DF7">
              <w:rPr>
                <w:rFonts w:ascii="Arial Narrow" w:hAnsi="Arial Narrow" w:cs="Times New Roman"/>
              </w:rPr>
              <w:t>diaľnic</w:t>
            </w:r>
          </w:p>
        </w:tc>
        <w:tc>
          <w:tcPr>
            <w:tcW w:w="1493"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152BC6" w:rsidRPr="00152BC6" w:rsidP="00891064">
            <w:pPr>
              <w:spacing w:line="240" w:lineRule="auto"/>
              <w:jc w:val="right"/>
              <w:rPr>
                <w:rFonts w:ascii="Arial Narrow" w:hAnsi="Arial Narrow" w:cs="Times New Roman"/>
                <w:bCs/>
              </w:rPr>
            </w:pPr>
            <w:r w:rsidR="00FD481D">
              <w:rPr>
                <w:rFonts w:ascii="Arial Narrow" w:hAnsi="Arial Narrow" w:cs="Times New Roman"/>
                <w:bCs/>
              </w:rPr>
              <w:t>16 809 207,36</w:t>
            </w:r>
          </w:p>
        </w:tc>
        <w:tc>
          <w:tcPr>
            <w:tcW w:w="1493"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152BC6" w:rsidRPr="00152BC6" w:rsidP="00891064">
            <w:pPr>
              <w:spacing w:line="240" w:lineRule="auto"/>
              <w:jc w:val="right"/>
              <w:rPr>
                <w:rFonts w:ascii="Arial Narrow" w:hAnsi="Arial Narrow" w:cs="Times New Roman"/>
                <w:bCs/>
              </w:rPr>
            </w:pPr>
            <w:r w:rsidR="00FD481D">
              <w:rPr>
                <w:rFonts w:ascii="Arial Narrow" w:hAnsi="Arial Narrow" w:cs="Times New Roman"/>
                <w:bCs/>
              </w:rPr>
              <w:t>16 809 207</w:t>
            </w:r>
            <w:r w:rsidR="00064124">
              <w:rPr>
                <w:rFonts w:ascii="Arial Narrow" w:hAnsi="Arial Narrow" w:cs="Times New Roman"/>
                <w:bCs/>
              </w:rPr>
              <w:t>,</w:t>
            </w:r>
            <w:r w:rsidR="00FD481D">
              <w:rPr>
                <w:rFonts w:ascii="Arial Narrow" w:hAnsi="Arial Narrow" w:cs="Times New Roman"/>
                <w:bCs/>
              </w:rPr>
              <w:t>36</w:t>
            </w:r>
          </w:p>
        </w:tc>
        <w:tc>
          <w:tcPr>
            <w:tcW w:w="1462"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152BC6" w:rsidRPr="0019544A" w:rsidP="00891064">
            <w:pPr>
              <w:spacing w:line="240" w:lineRule="auto"/>
              <w:jc w:val="right"/>
              <w:rPr>
                <w:rFonts w:ascii="Arial Narrow" w:hAnsi="Arial Narrow" w:cs="Times New Roman"/>
                <w:bCs/>
              </w:rPr>
            </w:pPr>
            <w:r w:rsidR="00064124">
              <w:rPr>
                <w:rFonts w:ascii="Arial Narrow" w:hAnsi="Arial Narrow" w:cs="Times New Roman"/>
                <w:bCs/>
              </w:rPr>
              <w:t>0</w:t>
            </w:r>
            <w:r w:rsidRPr="0019544A" w:rsidR="0019544A">
              <w:rPr>
                <w:rFonts w:ascii="Arial Narrow" w:hAnsi="Arial Narrow" w:cs="Times New Roman"/>
                <w:bCs/>
              </w:rPr>
              <w:t>,</w:t>
            </w:r>
            <w:r w:rsidR="00064124">
              <w:rPr>
                <w:rFonts w:ascii="Arial Narrow" w:hAnsi="Arial Narrow" w:cs="Times New Roman"/>
                <w:bCs/>
              </w:rPr>
              <w:t>00</w:t>
            </w:r>
          </w:p>
        </w:tc>
      </w:tr>
      <w:tr>
        <w:tblPrEx>
          <w:tblW w:w="9308" w:type="dxa"/>
          <w:tblInd w:w="-72" w:type="dxa"/>
        </w:tblPrEx>
        <w:trPr>
          <w:trHeight w:hRule="auto" w:val="0"/>
        </w:trPr>
        <w:tc>
          <w:tcPr>
            <w:tcW w:w="486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152BC6" w:rsidRPr="00CF4DF7" w:rsidP="00C362EA">
            <w:pPr>
              <w:spacing w:line="240" w:lineRule="auto"/>
              <w:rPr>
                <w:rFonts w:ascii="Arial Narrow" w:hAnsi="Arial Narrow" w:cs="Times New Roman"/>
              </w:rPr>
            </w:pPr>
            <w:r w:rsidRPr="00CF4DF7">
              <w:rPr>
                <w:rFonts w:ascii="Arial Narrow" w:hAnsi="Arial Narrow" w:cs="Times New Roman"/>
              </w:rPr>
              <w:t>0530203 P</w:t>
            </w:r>
            <w:r>
              <w:rPr>
                <w:rFonts w:ascii="Arial Narrow" w:hAnsi="Arial Narrow" w:cs="Times New Roman"/>
              </w:rPr>
              <w:t xml:space="preserve">reložka št. cesty II/ 520 N. </w:t>
            </w:r>
            <w:r w:rsidRPr="00CF4DF7">
              <w:rPr>
                <w:rFonts w:ascii="Arial Narrow" w:hAnsi="Arial Narrow" w:cs="Times New Roman"/>
              </w:rPr>
              <w:t>Bystrica – Oravská Lesná</w:t>
            </w:r>
          </w:p>
        </w:tc>
        <w:tc>
          <w:tcPr>
            <w:tcW w:w="1493"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152BC6" w:rsidRPr="00152BC6" w:rsidP="00891064">
            <w:pPr>
              <w:spacing w:line="240" w:lineRule="auto"/>
              <w:jc w:val="right"/>
              <w:rPr>
                <w:rFonts w:ascii="Arial Narrow" w:hAnsi="Arial Narrow" w:cs="Times New Roman"/>
                <w:bCs/>
              </w:rPr>
            </w:pPr>
            <w:r w:rsidR="00FD481D">
              <w:rPr>
                <w:rFonts w:ascii="Arial Narrow" w:hAnsi="Arial Narrow" w:cs="Times New Roman"/>
                <w:bCs/>
              </w:rPr>
              <w:t>799 </w:t>
            </w:r>
            <w:r w:rsidR="00FD481D">
              <w:rPr>
                <w:rFonts w:ascii="Arial Narrow" w:hAnsi="Arial Narrow" w:cs="Times New Roman"/>
                <w:bCs/>
              </w:rPr>
              <w:t>771 604,50</w:t>
            </w:r>
          </w:p>
        </w:tc>
        <w:tc>
          <w:tcPr>
            <w:tcW w:w="1493"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152BC6" w:rsidRPr="00152BC6" w:rsidP="00891064">
            <w:pPr>
              <w:spacing w:line="240" w:lineRule="auto"/>
              <w:jc w:val="right"/>
              <w:rPr>
                <w:rFonts w:ascii="Arial Narrow" w:hAnsi="Arial Narrow" w:cs="Times New Roman"/>
                <w:bCs/>
              </w:rPr>
            </w:pPr>
            <w:r w:rsidR="00FD481D">
              <w:rPr>
                <w:rFonts w:ascii="Arial Narrow" w:hAnsi="Arial Narrow" w:cs="Times New Roman"/>
                <w:bCs/>
              </w:rPr>
              <w:t>799 771 604</w:t>
            </w:r>
            <w:r w:rsidR="00064124">
              <w:rPr>
                <w:rFonts w:ascii="Arial Narrow" w:hAnsi="Arial Narrow" w:cs="Times New Roman"/>
                <w:bCs/>
              </w:rPr>
              <w:t>,</w:t>
            </w:r>
            <w:r w:rsidR="00FD481D">
              <w:rPr>
                <w:rFonts w:ascii="Arial Narrow" w:hAnsi="Arial Narrow" w:cs="Times New Roman"/>
                <w:bCs/>
              </w:rPr>
              <w:t>50</w:t>
            </w:r>
          </w:p>
        </w:tc>
        <w:tc>
          <w:tcPr>
            <w:tcW w:w="1462"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152BC6" w:rsidRPr="0019544A" w:rsidP="00891064">
            <w:pPr>
              <w:spacing w:line="240" w:lineRule="auto"/>
              <w:jc w:val="right"/>
              <w:rPr>
                <w:rFonts w:ascii="Arial Narrow" w:hAnsi="Arial Narrow" w:cs="Times New Roman"/>
                <w:bCs/>
              </w:rPr>
            </w:pPr>
            <w:r w:rsidR="00064124">
              <w:rPr>
                <w:rFonts w:ascii="Arial Narrow" w:hAnsi="Arial Narrow" w:cs="Times New Roman"/>
                <w:bCs/>
              </w:rPr>
              <w:t>0,0</w:t>
            </w:r>
            <w:r w:rsidRPr="0019544A" w:rsidR="0019544A">
              <w:rPr>
                <w:rFonts w:ascii="Arial Narrow" w:hAnsi="Arial Narrow" w:cs="Times New Roman"/>
                <w:bCs/>
              </w:rPr>
              <w:t>0</w:t>
            </w:r>
          </w:p>
        </w:tc>
      </w:tr>
      <w:tr>
        <w:tblPrEx>
          <w:tblW w:w="9308" w:type="dxa"/>
          <w:tblInd w:w="-72" w:type="dxa"/>
        </w:tblPrEx>
        <w:trPr>
          <w:trHeight w:hRule="auto" w:val="0"/>
        </w:trPr>
        <w:tc>
          <w:tcPr>
            <w:tcW w:w="486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152BC6" w:rsidRPr="00CF4DF7" w:rsidP="00C362EA">
            <w:pPr>
              <w:spacing w:line="240" w:lineRule="auto"/>
              <w:rPr>
                <w:rFonts w:ascii="Arial Narrow" w:hAnsi="Arial Narrow" w:cs="Times New Roman"/>
              </w:rPr>
            </w:pPr>
            <w:r w:rsidRPr="00CF4DF7">
              <w:rPr>
                <w:rFonts w:ascii="Arial Narrow" w:hAnsi="Arial Narrow" w:cs="Times New Roman"/>
              </w:rPr>
              <w:t>0530204 Severný obchvat mesta Trnava</w:t>
            </w:r>
          </w:p>
        </w:tc>
        <w:tc>
          <w:tcPr>
            <w:tcW w:w="1493"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152BC6" w:rsidRPr="00152BC6" w:rsidP="00891064">
            <w:pPr>
              <w:spacing w:line="240" w:lineRule="auto"/>
              <w:jc w:val="right"/>
              <w:rPr>
                <w:rFonts w:ascii="Arial Narrow" w:hAnsi="Arial Narrow" w:cs="Times New Roman"/>
                <w:bCs/>
              </w:rPr>
            </w:pPr>
            <w:r w:rsidR="00064124">
              <w:rPr>
                <w:rFonts w:ascii="Arial Narrow" w:hAnsi="Arial Narrow" w:cs="Times New Roman"/>
                <w:bCs/>
              </w:rPr>
              <w:t>6</w:t>
            </w:r>
            <w:r w:rsidR="00120CD6">
              <w:rPr>
                <w:rFonts w:ascii="Arial Narrow" w:hAnsi="Arial Narrow" w:cs="Times New Roman"/>
                <w:bCs/>
              </w:rPr>
              <w:t>6</w:t>
            </w:r>
            <w:r w:rsidR="00FD481D">
              <w:rPr>
                <w:rFonts w:ascii="Arial Narrow" w:hAnsi="Arial Narrow" w:cs="Times New Roman"/>
                <w:bCs/>
              </w:rPr>
              <w:t> </w:t>
            </w:r>
            <w:r w:rsidR="00C047FA">
              <w:rPr>
                <w:rFonts w:ascii="Arial Narrow" w:hAnsi="Arial Narrow" w:cs="Times New Roman"/>
                <w:bCs/>
              </w:rPr>
              <w:t>364</w:t>
            </w:r>
            <w:r w:rsidR="00FD481D">
              <w:rPr>
                <w:rFonts w:ascii="Arial Narrow" w:hAnsi="Arial Narrow" w:cs="Times New Roman"/>
                <w:bCs/>
              </w:rPr>
              <w:t> </w:t>
            </w:r>
            <w:r w:rsidR="00C047FA">
              <w:rPr>
                <w:rFonts w:ascii="Arial Narrow" w:hAnsi="Arial Narrow" w:cs="Times New Roman"/>
                <w:bCs/>
              </w:rPr>
              <w:t>804</w:t>
            </w:r>
            <w:r w:rsidR="00FD481D">
              <w:rPr>
                <w:rFonts w:ascii="Arial Narrow" w:hAnsi="Arial Narrow" w:cs="Times New Roman"/>
                <w:bCs/>
              </w:rPr>
              <w:t>,</w:t>
            </w:r>
            <w:r w:rsidR="00C047FA">
              <w:rPr>
                <w:rFonts w:ascii="Arial Narrow" w:hAnsi="Arial Narrow" w:cs="Times New Roman"/>
                <w:bCs/>
              </w:rPr>
              <w:t>50</w:t>
            </w:r>
          </w:p>
        </w:tc>
        <w:tc>
          <w:tcPr>
            <w:tcW w:w="1493"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152BC6" w:rsidRPr="00152BC6" w:rsidP="00891064">
            <w:pPr>
              <w:spacing w:line="240" w:lineRule="auto"/>
              <w:jc w:val="right"/>
              <w:rPr>
                <w:rFonts w:ascii="Arial Narrow" w:hAnsi="Arial Narrow" w:cs="Times New Roman"/>
                <w:bCs/>
              </w:rPr>
            </w:pPr>
            <w:r w:rsidR="00064124">
              <w:rPr>
                <w:rFonts w:ascii="Arial Narrow" w:hAnsi="Arial Narrow" w:cs="Times New Roman"/>
                <w:bCs/>
              </w:rPr>
              <w:t>6</w:t>
            </w:r>
            <w:r w:rsidR="00FD481D">
              <w:rPr>
                <w:rFonts w:ascii="Arial Narrow" w:hAnsi="Arial Narrow" w:cs="Times New Roman"/>
                <w:bCs/>
              </w:rPr>
              <w:t>5 568 167,50</w:t>
            </w:r>
          </w:p>
        </w:tc>
        <w:tc>
          <w:tcPr>
            <w:tcW w:w="1462"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152BC6" w:rsidRPr="0019544A" w:rsidP="00891064">
            <w:pPr>
              <w:spacing w:line="240" w:lineRule="auto"/>
              <w:jc w:val="right"/>
              <w:rPr>
                <w:rFonts w:ascii="Arial Narrow" w:hAnsi="Arial Narrow" w:cs="Times New Roman"/>
                <w:bCs/>
              </w:rPr>
            </w:pPr>
            <w:r w:rsidR="00C047FA">
              <w:rPr>
                <w:rFonts w:ascii="Arial Narrow" w:hAnsi="Arial Narrow" w:cs="Times New Roman"/>
                <w:bCs/>
              </w:rPr>
              <w:t>796 637</w:t>
            </w:r>
            <w:r w:rsidRPr="0019544A" w:rsidR="0019544A">
              <w:rPr>
                <w:rFonts w:ascii="Arial Narrow" w:hAnsi="Arial Narrow" w:cs="Times New Roman"/>
                <w:bCs/>
              </w:rPr>
              <w:t>,</w:t>
            </w:r>
            <w:r w:rsidR="00FD481D">
              <w:rPr>
                <w:rFonts w:ascii="Arial Narrow" w:hAnsi="Arial Narrow" w:cs="Times New Roman"/>
                <w:bCs/>
              </w:rPr>
              <w:t>00</w:t>
            </w:r>
          </w:p>
        </w:tc>
      </w:tr>
      <w:tr>
        <w:tblPrEx>
          <w:tblW w:w="9308" w:type="dxa"/>
          <w:tblInd w:w="-72" w:type="dxa"/>
        </w:tblPrEx>
        <w:trPr>
          <w:trHeight w:hRule="auto" w:val="0"/>
        </w:trPr>
        <w:tc>
          <w:tcPr>
            <w:tcW w:w="486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064124" w:rsidRPr="00CF4DF7" w:rsidP="00C362EA">
            <w:pPr>
              <w:spacing w:line="240" w:lineRule="auto"/>
              <w:rPr>
                <w:rFonts w:ascii="Arial Narrow" w:hAnsi="Arial Narrow" w:cs="Times New Roman"/>
              </w:rPr>
            </w:pPr>
            <w:r w:rsidR="00013DFA">
              <w:rPr>
                <w:rFonts w:ascii="Arial Narrow" w:hAnsi="Arial Narrow" w:cs="Times New Roman"/>
              </w:rPr>
              <w:t>0530306</w:t>
            </w:r>
            <w:r w:rsidRPr="00CF4DF7">
              <w:rPr>
                <w:rFonts w:ascii="Arial Narrow" w:hAnsi="Arial Narrow" w:cs="Times New Roman"/>
              </w:rPr>
              <w:t xml:space="preserve"> </w:t>
            </w:r>
            <w:r w:rsidR="00013DFA">
              <w:rPr>
                <w:rFonts w:ascii="Arial Narrow" w:hAnsi="Arial Narrow" w:cs="Times New Roman"/>
              </w:rPr>
              <w:t>Mod. a rozv. cest. infraštruktúry – opatrenie 1.2. OP ZI</w:t>
            </w:r>
          </w:p>
        </w:tc>
        <w:tc>
          <w:tcPr>
            <w:tcW w:w="1493"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064124" w:rsidRPr="00152BC6" w:rsidP="00891064">
            <w:pPr>
              <w:spacing w:line="240" w:lineRule="auto"/>
              <w:jc w:val="right"/>
              <w:rPr>
                <w:rFonts w:ascii="Arial Narrow" w:hAnsi="Arial Narrow" w:cs="Times New Roman"/>
                <w:bCs/>
              </w:rPr>
            </w:pPr>
            <w:r w:rsidR="00FD481D">
              <w:rPr>
                <w:rFonts w:ascii="Arial Narrow" w:hAnsi="Arial Narrow" w:cs="Times New Roman"/>
                <w:bCs/>
              </w:rPr>
              <w:t>536 </w:t>
            </w:r>
            <w:r w:rsidR="00C047FA">
              <w:rPr>
                <w:rFonts w:ascii="Arial Narrow" w:hAnsi="Arial Narrow" w:cs="Times New Roman"/>
                <w:bCs/>
              </w:rPr>
              <w:t>58</w:t>
            </w:r>
            <w:r w:rsidR="00FD481D">
              <w:rPr>
                <w:rFonts w:ascii="Arial Narrow" w:hAnsi="Arial Narrow" w:cs="Times New Roman"/>
                <w:bCs/>
              </w:rPr>
              <w:t>5 </w:t>
            </w:r>
            <w:r w:rsidR="00C047FA">
              <w:rPr>
                <w:rFonts w:ascii="Arial Narrow" w:hAnsi="Arial Narrow" w:cs="Times New Roman"/>
                <w:bCs/>
              </w:rPr>
              <w:t>561</w:t>
            </w:r>
            <w:r w:rsidR="00FD481D">
              <w:rPr>
                <w:rFonts w:ascii="Arial Narrow" w:hAnsi="Arial Narrow" w:cs="Times New Roman"/>
                <w:bCs/>
              </w:rPr>
              <w:t>,</w:t>
            </w:r>
            <w:r w:rsidR="00C047FA">
              <w:rPr>
                <w:rFonts w:ascii="Arial Narrow" w:hAnsi="Arial Narrow" w:cs="Times New Roman"/>
                <w:bCs/>
              </w:rPr>
              <w:t>96</w:t>
            </w:r>
          </w:p>
        </w:tc>
        <w:tc>
          <w:tcPr>
            <w:tcW w:w="1493"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064124" w:rsidRPr="00152BC6" w:rsidP="00891064">
            <w:pPr>
              <w:spacing w:line="240" w:lineRule="auto"/>
              <w:jc w:val="right"/>
              <w:rPr>
                <w:rFonts w:ascii="Arial Narrow" w:hAnsi="Arial Narrow" w:cs="Times New Roman"/>
                <w:bCs/>
              </w:rPr>
            </w:pPr>
            <w:r w:rsidR="00FD481D">
              <w:rPr>
                <w:rFonts w:ascii="Arial Narrow" w:hAnsi="Arial Narrow" w:cs="Times New Roman"/>
                <w:bCs/>
              </w:rPr>
              <w:t>536 525 198,79</w:t>
            </w:r>
          </w:p>
        </w:tc>
        <w:tc>
          <w:tcPr>
            <w:tcW w:w="1462"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064124" w:rsidRPr="0019544A" w:rsidP="00891064">
            <w:pPr>
              <w:spacing w:line="240" w:lineRule="auto"/>
              <w:jc w:val="right"/>
              <w:rPr>
                <w:rFonts w:ascii="Arial Narrow" w:hAnsi="Arial Narrow" w:cs="Times New Roman"/>
                <w:bCs/>
              </w:rPr>
            </w:pPr>
            <w:r>
              <w:rPr>
                <w:rFonts w:ascii="Arial Narrow" w:hAnsi="Arial Narrow" w:cs="Times New Roman"/>
                <w:bCs/>
              </w:rPr>
              <w:t xml:space="preserve"> </w:t>
            </w:r>
            <w:r w:rsidR="00C047FA">
              <w:rPr>
                <w:rFonts w:ascii="Arial Narrow" w:hAnsi="Arial Narrow" w:cs="Times New Roman"/>
                <w:bCs/>
              </w:rPr>
              <w:t>60 363</w:t>
            </w:r>
            <w:r w:rsidRPr="0019544A">
              <w:rPr>
                <w:rFonts w:ascii="Arial Narrow" w:hAnsi="Arial Narrow" w:cs="Times New Roman"/>
                <w:bCs/>
              </w:rPr>
              <w:t>,</w:t>
            </w:r>
            <w:r w:rsidR="00C047FA">
              <w:rPr>
                <w:rFonts w:ascii="Arial Narrow" w:hAnsi="Arial Narrow" w:cs="Times New Roman"/>
                <w:bCs/>
              </w:rPr>
              <w:t>17</w:t>
            </w:r>
          </w:p>
        </w:tc>
      </w:tr>
      <w:tr>
        <w:tblPrEx>
          <w:tblW w:w="9308" w:type="dxa"/>
          <w:tblInd w:w="-72" w:type="dxa"/>
        </w:tblPrEx>
        <w:trPr>
          <w:trHeight w:hRule="auto" w:val="0"/>
        </w:trPr>
        <w:tc>
          <w:tcPr>
            <w:tcW w:w="486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064124" w:rsidRPr="00CF4DF7" w:rsidP="00C362EA">
            <w:pPr>
              <w:spacing w:line="240" w:lineRule="auto"/>
              <w:rPr>
                <w:rFonts w:ascii="Arial Narrow" w:hAnsi="Arial Narrow" w:cs="Times New Roman"/>
              </w:rPr>
            </w:pPr>
            <w:r>
              <w:rPr>
                <w:rFonts w:ascii="Arial Narrow" w:hAnsi="Arial Narrow" w:cs="Times New Roman"/>
              </w:rPr>
              <w:t xml:space="preserve">06E01 </w:t>
            </w:r>
            <w:r w:rsidRPr="00152BC6">
              <w:rPr>
                <w:rFonts w:ascii="Arial Narrow" w:hAnsi="Arial Narrow" w:cs="Times New Roman"/>
                <w:bCs/>
              </w:rPr>
              <w:t>MDaPT SR – Dopravná a telekomunika</w:t>
            </w:r>
            <w:r w:rsidRPr="00152BC6">
              <w:rPr>
                <w:rFonts w:ascii="Arial Narrow" w:hAnsi="Arial Narrow" w:cs="Times New Roman"/>
                <w:bCs/>
              </w:rPr>
              <w:t>čná podpora</w:t>
            </w:r>
          </w:p>
        </w:tc>
        <w:tc>
          <w:tcPr>
            <w:tcW w:w="1493"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064124" w:rsidRPr="00152BC6" w:rsidP="00891064">
            <w:pPr>
              <w:spacing w:line="240" w:lineRule="auto"/>
              <w:jc w:val="right"/>
              <w:rPr>
                <w:rFonts w:ascii="Arial Narrow" w:hAnsi="Arial Narrow" w:cs="Times New Roman"/>
                <w:bCs/>
              </w:rPr>
            </w:pPr>
            <w:r w:rsidR="00FD481D">
              <w:rPr>
                <w:rFonts w:ascii="Arial Narrow" w:hAnsi="Arial Narrow" w:cs="Times New Roman"/>
                <w:bCs/>
              </w:rPr>
              <w:t> 4 000 000</w:t>
            </w:r>
            <w:r w:rsidRPr="00152BC6">
              <w:rPr>
                <w:rFonts w:ascii="Arial Narrow" w:hAnsi="Arial Narrow" w:cs="Times New Roman"/>
                <w:bCs/>
              </w:rPr>
              <w:t>,00</w:t>
            </w:r>
          </w:p>
        </w:tc>
        <w:tc>
          <w:tcPr>
            <w:tcW w:w="1493"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064124" w:rsidRPr="00152BC6" w:rsidP="00891064">
            <w:pPr>
              <w:spacing w:line="240" w:lineRule="auto"/>
              <w:jc w:val="right"/>
              <w:rPr>
                <w:rFonts w:ascii="Arial Narrow" w:hAnsi="Arial Narrow" w:cs="Times New Roman"/>
                <w:bCs/>
              </w:rPr>
            </w:pPr>
            <w:r w:rsidR="00FD481D">
              <w:rPr>
                <w:rFonts w:ascii="Arial Narrow" w:hAnsi="Arial Narrow" w:cs="Times New Roman"/>
                <w:bCs/>
              </w:rPr>
              <w:t>3 813 426,40</w:t>
            </w:r>
          </w:p>
        </w:tc>
        <w:tc>
          <w:tcPr>
            <w:tcW w:w="1462"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064124" w:rsidRPr="0019544A" w:rsidP="00891064">
            <w:pPr>
              <w:spacing w:line="240" w:lineRule="auto"/>
              <w:jc w:val="right"/>
              <w:rPr>
                <w:rFonts w:ascii="Arial Narrow" w:hAnsi="Arial Narrow" w:cs="Times New Roman"/>
                <w:bCs/>
              </w:rPr>
            </w:pPr>
            <w:r w:rsidR="00FD481D">
              <w:rPr>
                <w:rFonts w:ascii="Arial Narrow" w:hAnsi="Arial Narrow" w:cs="Times New Roman"/>
                <w:bCs/>
              </w:rPr>
              <w:t>186 573,60</w:t>
            </w:r>
          </w:p>
        </w:tc>
      </w:tr>
      <w:tr>
        <w:tblPrEx>
          <w:tblW w:w="9308" w:type="dxa"/>
          <w:tblInd w:w="-72" w:type="dxa"/>
        </w:tblPrEx>
        <w:trPr>
          <w:trHeight w:hRule="auto" w:val="0"/>
        </w:trPr>
        <w:tc>
          <w:tcPr>
            <w:tcW w:w="4860" w:type="dxa"/>
            <w:tcBorders>
              <w:top w:val="single" w:sz="4" w:space="0" w:color="auto"/>
              <w:left w:val="single" w:sz="4" w:space="0" w:color="auto"/>
              <w:bottom w:val="single" w:sz="4" w:space="0" w:color="auto"/>
              <w:right w:val="single" w:sz="4" w:space="0" w:color="auto"/>
              <w:tl2br w:val="nil"/>
              <w:tr2bl w:val="nil"/>
            </w:tcBorders>
            <w:shd w:val="clear" w:color="auto" w:fill="CCCCCC"/>
            <w:textDirection w:val="lrTb"/>
            <w:vAlign w:val="center"/>
          </w:tcPr>
          <w:p w:rsidR="00064124" w:rsidRPr="0019544A" w:rsidP="00C362EA">
            <w:pPr>
              <w:spacing w:line="240" w:lineRule="auto"/>
              <w:rPr>
                <w:rFonts w:ascii="Arial Narrow" w:hAnsi="Arial Narrow" w:cs="Times New Roman"/>
                <w:b/>
              </w:rPr>
            </w:pPr>
            <w:r w:rsidR="00C047FA">
              <w:rPr>
                <w:rFonts w:ascii="Arial Narrow" w:hAnsi="Arial Narrow" w:cs="Times New Roman"/>
                <w:b/>
              </w:rPr>
              <w:t xml:space="preserve">KV na výstavbu ciest I. tr. a diaľ. privádzačov </w:t>
            </w:r>
            <w:r w:rsidRPr="0019544A">
              <w:rPr>
                <w:rFonts w:ascii="Arial Narrow" w:hAnsi="Arial Narrow" w:cs="Times New Roman"/>
                <w:b/>
              </w:rPr>
              <w:t>SPOLU</w:t>
            </w:r>
            <w:r w:rsidR="00C047FA">
              <w:rPr>
                <w:rFonts w:ascii="Arial Narrow" w:hAnsi="Arial Narrow" w:cs="Times New Roman"/>
                <w:b/>
              </w:rPr>
              <w:t>:</w:t>
            </w:r>
          </w:p>
        </w:tc>
        <w:tc>
          <w:tcPr>
            <w:tcW w:w="1493" w:type="dxa"/>
            <w:tcBorders>
              <w:top w:val="single" w:sz="4" w:space="0" w:color="auto"/>
              <w:left w:val="single" w:sz="4" w:space="0" w:color="auto"/>
              <w:bottom w:val="single" w:sz="4" w:space="0" w:color="auto"/>
              <w:right w:val="single" w:sz="4" w:space="0" w:color="auto"/>
              <w:tl2br w:val="nil"/>
              <w:tr2bl w:val="nil"/>
            </w:tcBorders>
            <w:shd w:val="clear" w:color="auto" w:fill="CCCCCC"/>
            <w:textDirection w:val="lrTb"/>
            <w:vAlign w:val="center"/>
          </w:tcPr>
          <w:p w:rsidR="00064124" w:rsidRPr="0019544A" w:rsidP="00891064">
            <w:pPr>
              <w:spacing w:line="240" w:lineRule="auto"/>
              <w:jc w:val="right"/>
              <w:rPr>
                <w:rFonts w:ascii="Arial Narrow" w:hAnsi="Arial Narrow" w:cs="Times New Roman"/>
                <w:b/>
                <w:bCs/>
              </w:rPr>
            </w:pPr>
            <w:r w:rsidR="00120CD6">
              <w:rPr>
                <w:rFonts w:ascii="Arial Narrow" w:hAnsi="Arial Narrow" w:cs="Times New Roman"/>
                <w:b/>
                <w:bCs/>
              </w:rPr>
              <w:t>3</w:t>
            </w:r>
            <w:r w:rsidR="00C047FA">
              <w:rPr>
                <w:rFonts w:ascii="Arial Narrow" w:hAnsi="Arial Narrow" w:cs="Times New Roman"/>
                <w:b/>
                <w:bCs/>
              </w:rPr>
              <w:t> 121 300 651,26</w:t>
            </w:r>
          </w:p>
        </w:tc>
        <w:tc>
          <w:tcPr>
            <w:tcW w:w="1493" w:type="dxa"/>
            <w:tcBorders>
              <w:top w:val="single" w:sz="4" w:space="0" w:color="auto"/>
              <w:left w:val="single" w:sz="4" w:space="0" w:color="auto"/>
              <w:bottom w:val="single" w:sz="4" w:space="0" w:color="auto"/>
              <w:right w:val="single" w:sz="4" w:space="0" w:color="auto"/>
              <w:tl2br w:val="nil"/>
              <w:tr2bl w:val="nil"/>
            </w:tcBorders>
            <w:shd w:val="clear" w:color="auto" w:fill="CCCCCC"/>
            <w:textDirection w:val="lrTb"/>
            <w:vAlign w:val="center"/>
          </w:tcPr>
          <w:p w:rsidR="00064124" w:rsidRPr="0019544A" w:rsidP="00891064">
            <w:pPr>
              <w:spacing w:line="240" w:lineRule="auto"/>
              <w:jc w:val="right"/>
              <w:rPr>
                <w:rFonts w:ascii="Arial Narrow" w:hAnsi="Arial Narrow" w:cs="Times New Roman"/>
                <w:b/>
                <w:bCs/>
              </w:rPr>
            </w:pPr>
            <w:r w:rsidR="00120CD6">
              <w:rPr>
                <w:rFonts w:ascii="Arial Narrow" w:hAnsi="Arial Narrow" w:cs="Times New Roman"/>
                <w:b/>
                <w:bCs/>
              </w:rPr>
              <w:t>3</w:t>
            </w:r>
            <w:r w:rsidR="00C047FA">
              <w:rPr>
                <w:rFonts w:ascii="Arial Narrow" w:hAnsi="Arial Narrow" w:cs="Times New Roman"/>
                <w:b/>
                <w:bCs/>
              </w:rPr>
              <w:t> 119 895 662,75</w:t>
            </w:r>
          </w:p>
        </w:tc>
        <w:tc>
          <w:tcPr>
            <w:tcW w:w="1462" w:type="dxa"/>
            <w:tcBorders>
              <w:top w:val="single" w:sz="4" w:space="0" w:color="auto"/>
              <w:left w:val="single" w:sz="4" w:space="0" w:color="auto"/>
              <w:bottom w:val="single" w:sz="4" w:space="0" w:color="auto"/>
              <w:right w:val="single" w:sz="4" w:space="0" w:color="auto"/>
              <w:tl2br w:val="nil"/>
              <w:tr2bl w:val="nil"/>
            </w:tcBorders>
            <w:shd w:val="clear" w:color="auto" w:fill="CCCCCC"/>
            <w:textDirection w:val="lrTb"/>
            <w:vAlign w:val="center"/>
          </w:tcPr>
          <w:p w:rsidR="00064124" w:rsidRPr="0019544A" w:rsidP="00891064">
            <w:pPr>
              <w:spacing w:line="240" w:lineRule="auto"/>
              <w:jc w:val="right"/>
              <w:rPr>
                <w:rFonts w:ascii="Arial Narrow" w:hAnsi="Arial Narrow" w:cs="Times New Roman"/>
                <w:b/>
                <w:bCs/>
              </w:rPr>
            </w:pPr>
            <w:r w:rsidR="00C047FA">
              <w:rPr>
                <w:rFonts w:ascii="Arial Narrow" w:hAnsi="Arial Narrow" w:cs="Times New Roman"/>
                <w:b/>
                <w:bCs/>
              </w:rPr>
              <w:t>1 404 988,51</w:t>
            </w:r>
          </w:p>
        </w:tc>
      </w:tr>
    </w:tbl>
    <w:p w:rsidR="003A7454" w:rsidP="00C362EA">
      <w:pPr>
        <w:spacing w:line="240" w:lineRule="auto"/>
        <w:ind w:firstLine="709"/>
        <w:rPr>
          <w:rFonts w:ascii="Arial Narrow" w:hAnsi="Arial Narrow" w:cs="Times New Roman"/>
        </w:rPr>
      </w:pPr>
    </w:p>
    <w:p w:rsidR="004D40C0" w:rsidP="00B27788">
      <w:pPr>
        <w:spacing w:line="240" w:lineRule="auto"/>
        <w:rPr>
          <w:rFonts w:ascii="Times New Roman" w:hAnsi="Times New Roman" w:cs="Times New Roman"/>
          <w:b/>
          <w:sz w:val="24"/>
          <w:szCs w:val="24"/>
          <w:u w:val="single"/>
        </w:rPr>
      </w:pPr>
    </w:p>
    <w:p w:rsidR="006E2C6E" w:rsidP="00B27788">
      <w:pPr>
        <w:spacing w:line="240" w:lineRule="auto"/>
        <w:rPr>
          <w:rFonts w:ascii="Times New Roman" w:hAnsi="Times New Roman" w:cs="Times New Roman"/>
          <w:b/>
          <w:sz w:val="24"/>
          <w:szCs w:val="24"/>
          <w:u w:val="single"/>
        </w:rPr>
      </w:pPr>
    </w:p>
    <w:p w:rsidR="000D7536" w:rsidRPr="00F627B6" w:rsidP="00C362EA">
      <w:pPr>
        <w:spacing w:line="240" w:lineRule="auto"/>
        <w:ind w:firstLine="709"/>
        <w:rPr>
          <w:rFonts w:ascii="Times New Roman" w:hAnsi="Times New Roman" w:cs="Times New Roman"/>
          <w:b/>
          <w:sz w:val="28"/>
          <w:szCs w:val="28"/>
        </w:rPr>
      </w:pPr>
      <w:r w:rsidRPr="00F627B6" w:rsidR="003A7454">
        <w:rPr>
          <w:rFonts w:ascii="Times New Roman" w:hAnsi="Times New Roman" w:cs="Times New Roman"/>
          <w:b/>
          <w:sz w:val="28"/>
          <w:szCs w:val="28"/>
          <w:u w:val="single"/>
        </w:rPr>
        <w:t xml:space="preserve">0530201 </w:t>
      </w:r>
      <w:r w:rsidR="00F627B6">
        <w:rPr>
          <w:rFonts w:ascii="Times New Roman" w:hAnsi="Times New Roman" w:cs="Times New Roman"/>
          <w:b/>
          <w:sz w:val="28"/>
          <w:szCs w:val="28"/>
          <w:u w:val="single"/>
        </w:rPr>
        <w:t xml:space="preserve">– </w:t>
      </w:r>
      <w:r w:rsidRPr="00F627B6" w:rsidR="003A7454">
        <w:rPr>
          <w:rFonts w:ascii="Times New Roman" w:hAnsi="Times New Roman" w:cs="Times New Roman"/>
          <w:b/>
          <w:sz w:val="28"/>
          <w:szCs w:val="28"/>
          <w:u w:val="single"/>
        </w:rPr>
        <w:t>Výstavba cestnej siete</w:t>
      </w:r>
    </w:p>
    <w:p w:rsidR="00114D1F" w:rsidP="004D40C0">
      <w:pPr>
        <w:spacing w:line="240" w:lineRule="auto"/>
        <w:ind w:firstLine="709"/>
        <w:rPr>
          <w:rFonts w:ascii="Times New Roman" w:hAnsi="Times New Roman" w:cs="Times New Roman"/>
          <w:sz w:val="28"/>
          <w:szCs w:val="28"/>
        </w:rPr>
      </w:pPr>
    </w:p>
    <w:p w:rsidR="006E2C6E" w:rsidRPr="00F627B6" w:rsidP="004D40C0">
      <w:pPr>
        <w:spacing w:line="240" w:lineRule="auto"/>
        <w:ind w:firstLine="709"/>
        <w:rPr>
          <w:rFonts w:ascii="Times New Roman" w:hAnsi="Times New Roman" w:cs="Times New Roman"/>
          <w:sz w:val="28"/>
          <w:szCs w:val="28"/>
        </w:rPr>
      </w:pPr>
    </w:p>
    <w:p w:rsidR="004D40C0" w:rsidP="004D40C0">
      <w:pPr>
        <w:spacing w:line="240" w:lineRule="auto"/>
        <w:ind w:firstLine="708"/>
        <w:rPr>
          <w:rFonts w:ascii="Times New Roman" w:hAnsi="Times New Roman" w:cs="Times New Roman"/>
          <w:sz w:val="24"/>
          <w:szCs w:val="24"/>
        </w:rPr>
      </w:pPr>
      <w:r w:rsidRPr="004D40C0">
        <w:rPr>
          <w:rFonts w:ascii="Times New Roman" w:hAnsi="Times New Roman" w:cs="Times New Roman"/>
          <w:sz w:val="24"/>
          <w:szCs w:val="24"/>
        </w:rPr>
        <w:t xml:space="preserve">Z objemu finančných prostriedkov </w:t>
      </w:r>
      <w:r>
        <w:rPr>
          <w:rFonts w:ascii="Times New Roman" w:hAnsi="Times New Roman" w:cs="Times New Roman"/>
          <w:sz w:val="24"/>
          <w:szCs w:val="24"/>
        </w:rPr>
        <w:t xml:space="preserve">vo výške 1 697 769 472,94 bolo vyčerpaných 1 697 408 058,20 Sk a nevyčerpaných 361 414,74 Sk. </w:t>
      </w:r>
    </w:p>
    <w:p w:rsidR="004D40C0" w:rsidP="004D40C0">
      <w:pPr>
        <w:spacing w:line="240" w:lineRule="auto"/>
        <w:ind w:firstLine="708"/>
        <w:rPr>
          <w:rFonts w:ascii="Times New Roman" w:hAnsi="Times New Roman" w:cs="Times New Roman"/>
          <w:sz w:val="24"/>
          <w:szCs w:val="24"/>
        </w:rPr>
      </w:pPr>
    </w:p>
    <w:p w:rsidR="004D40C0" w:rsidP="004D40C0">
      <w:pPr>
        <w:spacing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Z toho prostriedky rozpočtu 2007 predstavovali </w:t>
      </w:r>
      <w:r w:rsidRPr="004D40C0">
        <w:rPr>
          <w:rFonts w:ascii="Times New Roman" w:hAnsi="Times New Roman" w:cs="Times New Roman"/>
          <w:sz w:val="24"/>
          <w:szCs w:val="24"/>
        </w:rPr>
        <w:t>1 669 367 303,64 Sk</w:t>
      </w:r>
      <w:r>
        <w:rPr>
          <w:rFonts w:ascii="Times New Roman" w:hAnsi="Times New Roman" w:cs="Times New Roman"/>
          <w:sz w:val="24"/>
          <w:szCs w:val="24"/>
        </w:rPr>
        <w:t xml:space="preserve"> – čerpanie k 31.12.2007 predstavovalo </w:t>
      </w:r>
      <w:r w:rsidRPr="004D40C0">
        <w:rPr>
          <w:rFonts w:ascii="Times New Roman" w:hAnsi="Times New Roman" w:cs="Times New Roman"/>
          <w:sz w:val="24"/>
          <w:szCs w:val="24"/>
        </w:rPr>
        <w:t xml:space="preserve">1 669 325 866,35 Sk. </w:t>
      </w:r>
    </w:p>
    <w:p w:rsidR="00AE3AF3" w:rsidP="004D40C0">
      <w:pPr>
        <w:spacing w:line="240" w:lineRule="auto"/>
        <w:ind w:firstLine="708"/>
        <w:rPr>
          <w:rFonts w:ascii="Times New Roman" w:hAnsi="Times New Roman" w:cs="Times New Roman"/>
          <w:sz w:val="24"/>
          <w:szCs w:val="24"/>
        </w:rPr>
      </w:pPr>
    </w:p>
    <w:p w:rsidR="004D40C0" w:rsidRPr="004D40C0" w:rsidP="004D40C0">
      <w:pPr>
        <w:spacing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Prostriedky </w:t>
      </w:r>
      <w:r w:rsidRPr="004D40C0">
        <w:rPr>
          <w:rFonts w:ascii="Times New Roman" w:hAnsi="Times New Roman" w:cs="Times New Roman"/>
          <w:sz w:val="24"/>
          <w:szCs w:val="24"/>
        </w:rPr>
        <w:t xml:space="preserve">z roku 2005 </w:t>
      </w:r>
      <w:r>
        <w:rPr>
          <w:rFonts w:ascii="Times New Roman" w:hAnsi="Times New Roman" w:cs="Times New Roman"/>
          <w:sz w:val="24"/>
          <w:szCs w:val="24"/>
        </w:rPr>
        <w:t xml:space="preserve">boli </w:t>
      </w:r>
      <w:r w:rsidRPr="004D40C0">
        <w:rPr>
          <w:rFonts w:ascii="Times New Roman" w:hAnsi="Times New Roman" w:cs="Times New Roman"/>
          <w:sz w:val="24"/>
          <w:szCs w:val="24"/>
        </w:rPr>
        <w:t>vo výške 2 447</w:t>
      </w:r>
      <w:r>
        <w:rPr>
          <w:rFonts w:ascii="Times New Roman" w:hAnsi="Times New Roman" w:cs="Times New Roman"/>
          <w:sz w:val="24"/>
          <w:szCs w:val="24"/>
        </w:rPr>
        <w:t> </w:t>
      </w:r>
      <w:r w:rsidRPr="004D40C0">
        <w:rPr>
          <w:rFonts w:ascii="Times New Roman" w:hAnsi="Times New Roman" w:cs="Times New Roman"/>
          <w:sz w:val="24"/>
          <w:szCs w:val="24"/>
        </w:rPr>
        <w:t>465</w:t>
      </w:r>
      <w:r>
        <w:rPr>
          <w:rFonts w:ascii="Times New Roman" w:hAnsi="Times New Roman" w:cs="Times New Roman"/>
          <w:sz w:val="24"/>
          <w:szCs w:val="24"/>
        </w:rPr>
        <w:t>,- Sk – čerpanie</w:t>
      </w:r>
      <w:r>
        <w:rPr>
          <w:rFonts w:ascii="Times New Roman" w:hAnsi="Times New Roman" w:cs="Times New Roman"/>
          <w:sz w:val="24"/>
          <w:szCs w:val="24"/>
        </w:rPr>
        <w:t xml:space="preserve"> k 31.12.2007 predstavovalo </w:t>
      </w:r>
      <w:r w:rsidRPr="004D40C0">
        <w:rPr>
          <w:rFonts w:ascii="Times New Roman" w:hAnsi="Times New Roman" w:cs="Times New Roman"/>
          <w:sz w:val="24"/>
          <w:szCs w:val="24"/>
        </w:rPr>
        <w:t>2 447 287 Sk a</w:t>
      </w:r>
      <w:r w:rsidR="006D2832">
        <w:rPr>
          <w:rFonts w:ascii="Times New Roman" w:hAnsi="Times New Roman" w:cs="Times New Roman"/>
          <w:sz w:val="24"/>
          <w:szCs w:val="24"/>
        </w:rPr>
        <w:t xml:space="preserve"> </w:t>
      </w:r>
      <w:r w:rsidRPr="004D40C0">
        <w:rPr>
          <w:rFonts w:ascii="Times New Roman" w:hAnsi="Times New Roman" w:cs="Times New Roman"/>
          <w:sz w:val="24"/>
          <w:szCs w:val="24"/>
        </w:rPr>
        <w:t>z</w:t>
      </w:r>
      <w:r>
        <w:rPr>
          <w:rFonts w:ascii="Times New Roman" w:hAnsi="Times New Roman" w:cs="Times New Roman"/>
          <w:sz w:val="24"/>
          <w:szCs w:val="24"/>
        </w:rPr>
        <w:t xml:space="preserve"> </w:t>
      </w:r>
      <w:r w:rsidRPr="004D40C0">
        <w:rPr>
          <w:rFonts w:ascii="Times New Roman" w:hAnsi="Times New Roman" w:cs="Times New Roman"/>
          <w:sz w:val="24"/>
          <w:szCs w:val="24"/>
        </w:rPr>
        <w:t> roku 2006 vo výške 25 954 704,30 S</w:t>
      </w:r>
      <w:r>
        <w:rPr>
          <w:rFonts w:ascii="Times New Roman" w:hAnsi="Times New Roman" w:cs="Times New Roman"/>
          <w:sz w:val="24"/>
          <w:szCs w:val="24"/>
        </w:rPr>
        <w:t xml:space="preserve">k </w:t>
      </w:r>
      <w:r w:rsidR="006D2832">
        <w:rPr>
          <w:rFonts w:ascii="Times New Roman" w:hAnsi="Times New Roman" w:cs="Times New Roman"/>
          <w:sz w:val="24"/>
          <w:szCs w:val="24"/>
        </w:rPr>
        <w:t xml:space="preserve">– čerpanie k 31.12.2007 bolo </w:t>
      </w:r>
      <w:r w:rsidRPr="004D40C0">
        <w:rPr>
          <w:rFonts w:ascii="Times New Roman" w:hAnsi="Times New Roman" w:cs="Times New Roman"/>
          <w:sz w:val="24"/>
          <w:szCs w:val="24"/>
        </w:rPr>
        <w:t>25 634 904,85 Sk.</w:t>
      </w:r>
    </w:p>
    <w:p w:rsidR="002B7425" w:rsidRPr="004D40C0" w:rsidP="004D40C0">
      <w:pPr>
        <w:spacing w:line="240" w:lineRule="auto"/>
        <w:rPr>
          <w:rFonts w:ascii="Times New Roman" w:hAnsi="Times New Roman" w:cs="Times New Roman"/>
          <w:sz w:val="24"/>
          <w:szCs w:val="24"/>
        </w:rPr>
      </w:pPr>
    </w:p>
    <w:p w:rsidR="00AE3AF3" w:rsidP="008B6176">
      <w:pPr>
        <w:spacing w:line="240" w:lineRule="auto"/>
        <w:ind w:firstLine="708"/>
        <w:rPr>
          <w:rFonts w:ascii="Times New Roman" w:hAnsi="Times New Roman" w:cs="Times New Roman"/>
          <w:sz w:val="24"/>
          <w:szCs w:val="24"/>
        </w:rPr>
      </w:pPr>
      <w:r w:rsidRPr="002C7E22" w:rsidR="003A7454">
        <w:rPr>
          <w:rFonts w:ascii="Times New Roman" w:hAnsi="Times New Roman" w:cs="Times New Roman"/>
          <w:sz w:val="24"/>
          <w:szCs w:val="24"/>
        </w:rPr>
        <w:t>V priebehu roka dochádzalo k úpravám rozpočtu na jednotlivých investičných akciác</w:t>
      </w:r>
      <w:r w:rsidR="00FA3D8A">
        <w:rPr>
          <w:rFonts w:ascii="Times New Roman" w:hAnsi="Times New Roman" w:cs="Times New Roman"/>
          <w:sz w:val="24"/>
          <w:szCs w:val="24"/>
        </w:rPr>
        <w:t xml:space="preserve">h  vzhľadom na aktuálne skutočnosti </w:t>
      </w:r>
      <w:r w:rsidRPr="002C7E22" w:rsidR="003A7454">
        <w:rPr>
          <w:rFonts w:ascii="Times New Roman" w:hAnsi="Times New Roman" w:cs="Times New Roman"/>
          <w:sz w:val="24"/>
          <w:szCs w:val="24"/>
        </w:rPr>
        <w:t>súvisiace</w:t>
      </w:r>
      <w:r w:rsidRPr="002C7E22" w:rsidR="003A7454">
        <w:rPr>
          <w:rFonts w:ascii="Times New Roman" w:hAnsi="Times New Roman" w:cs="Times New Roman"/>
          <w:sz w:val="24"/>
          <w:szCs w:val="24"/>
        </w:rPr>
        <w:t xml:space="preserve"> napr. s preproje</w:t>
      </w:r>
      <w:r w:rsidR="004D40C0">
        <w:rPr>
          <w:rFonts w:ascii="Times New Roman" w:hAnsi="Times New Roman" w:cs="Times New Roman"/>
          <w:sz w:val="24"/>
          <w:szCs w:val="24"/>
        </w:rPr>
        <w:t>ktovaním už existujúcej dokumen</w:t>
      </w:r>
      <w:r w:rsidRPr="002C7E22" w:rsidR="003A7454">
        <w:rPr>
          <w:rFonts w:ascii="Times New Roman" w:hAnsi="Times New Roman" w:cs="Times New Roman"/>
          <w:sz w:val="24"/>
          <w:szCs w:val="24"/>
        </w:rPr>
        <w:t>tácie vzhľadom na neočakávané zmeny pri prekládkach inžinierskych sietí, s nes</w:t>
      </w:r>
      <w:r w:rsidRPr="002A3935" w:rsidR="003A7454">
        <w:rPr>
          <w:rFonts w:ascii="Times New Roman" w:hAnsi="Times New Roman" w:cs="Times New Roman"/>
          <w:sz w:val="24"/>
          <w:szCs w:val="24"/>
        </w:rPr>
        <w:t>korým vyhodnotením verejných súťaží a tým nemožnosťou zahájiť stavebné práce, ako aj úsporou nákladov na niektorých inve</w:t>
      </w:r>
      <w:r w:rsidR="003A7454">
        <w:rPr>
          <w:rFonts w:ascii="Times New Roman" w:hAnsi="Times New Roman" w:cs="Times New Roman"/>
          <w:sz w:val="24"/>
          <w:szCs w:val="24"/>
        </w:rPr>
        <w:t>stičných a</w:t>
      </w:r>
      <w:r w:rsidR="003A7454">
        <w:rPr>
          <w:rFonts w:ascii="Times New Roman" w:hAnsi="Times New Roman" w:cs="Times New Roman"/>
          <w:sz w:val="24"/>
          <w:szCs w:val="24"/>
        </w:rPr>
        <w:t xml:space="preserve">kciách. </w:t>
      </w:r>
    </w:p>
    <w:p w:rsidR="00B27788" w:rsidP="006E2C6E">
      <w:pPr>
        <w:spacing w:line="240" w:lineRule="auto"/>
        <w:rPr>
          <w:rFonts w:ascii="Times New Roman" w:hAnsi="Times New Roman" w:cs="Times New Roman"/>
          <w:sz w:val="24"/>
          <w:szCs w:val="24"/>
        </w:rPr>
      </w:pPr>
    </w:p>
    <w:p w:rsidR="008B6176" w:rsidP="00B27788">
      <w:pPr>
        <w:spacing w:line="240" w:lineRule="auto"/>
        <w:ind w:firstLine="708"/>
        <w:rPr>
          <w:rFonts w:ascii="Times New Roman" w:hAnsi="Times New Roman" w:cs="Times New Roman"/>
          <w:sz w:val="24"/>
          <w:szCs w:val="24"/>
        </w:rPr>
      </w:pPr>
      <w:r w:rsidR="003A7454">
        <w:rPr>
          <w:rFonts w:ascii="Times New Roman" w:hAnsi="Times New Roman" w:cs="Times New Roman"/>
          <w:sz w:val="24"/>
          <w:szCs w:val="24"/>
        </w:rPr>
        <w:t xml:space="preserve">V tomto roku </w:t>
      </w:r>
      <w:r w:rsidR="007C1D1A">
        <w:rPr>
          <w:rFonts w:ascii="Times New Roman" w:hAnsi="Times New Roman" w:cs="Times New Roman"/>
          <w:sz w:val="24"/>
          <w:szCs w:val="24"/>
        </w:rPr>
        <w:t xml:space="preserve">bolo </w:t>
      </w:r>
      <w:r w:rsidR="004D40C0">
        <w:rPr>
          <w:rFonts w:ascii="Times New Roman" w:hAnsi="Times New Roman" w:cs="Times New Roman"/>
          <w:sz w:val="24"/>
          <w:szCs w:val="24"/>
        </w:rPr>
        <w:t xml:space="preserve">stavebne ukončených a </w:t>
      </w:r>
      <w:r w:rsidRPr="002B73A7" w:rsidR="007C1D1A">
        <w:rPr>
          <w:rFonts w:ascii="Times New Roman" w:hAnsi="Times New Roman" w:cs="Times New Roman"/>
          <w:b/>
          <w:sz w:val="24"/>
          <w:szCs w:val="24"/>
        </w:rPr>
        <w:t xml:space="preserve">odovzdaných do </w:t>
      </w:r>
      <w:r w:rsidRPr="0015072C" w:rsidR="007C1D1A">
        <w:rPr>
          <w:rFonts w:ascii="Times New Roman" w:hAnsi="Times New Roman" w:cs="Times New Roman"/>
          <w:b/>
          <w:sz w:val="24"/>
          <w:szCs w:val="24"/>
        </w:rPr>
        <w:t>užívania</w:t>
      </w:r>
      <w:r w:rsidRPr="0015072C" w:rsidR="004D40C0">
        <w:rPr>
          <w:rFonts w:ascii="Times New Roman" w:hAnsi="Times New Roman" w:cs="Times New Roman"/>
          <w:b/>
          <w:sz w:val="24"/>
          <w:szCs w:val="24"/>
        </w:rPr>
        <w:t xml:space="preserve"> 8,775 km </w:t>
      </w:r>
      <w:r w:rsidRPr="0015072C" w:rsidR="0015072C">
        <w:rPr>
          <w:rFonts w:ascii="Times New Roman" w:hAnsi="Times New Roman" w:cs="Times New Roman"/>
          <w:b/>
          <w:sz w:val="24"/>
          <w:szCs w:val="24"/>
        </w:rPr>
        <w:t>nových</w:t>
      </w:r>
      <w:r w:rsidR="0015072C">
        <w:rPr>
          <w:rFonts w:ascii="Times New Roman" w:hAnsi="Times New Roman" w:cs="Times New Roman"/>
          <w:b/>
          <w:sz w:val="24"/>
          <w:szCs w:val="24"/>
        </w:rPr>
        <w:t xml:space="preserve"> a </w:t>
      </w:r>
      <w:r w:rsidRPr="00F92450" w:rsidR="003A7454">
        <w:rPr>
          <w:rFonts w:ascii="Times New Roman" w:hAnsi="Times New Roman" w:cs="Times New Roman"/>
          <w:b/>
          <w:sz w:val="24"/>
          <w:szCs w:val="24"/>
        </w:rPr>
        <w:t>zrekonštruovaných</w:t>
      </w:r>
      <w:r w:rsidR="0015072C">
        <w:rPr>
          <w:rFonts w:ascii="Times New Roman" w:hAnsi="Times New Roman" w:cs="Times New Roman"/>
          <w:b/>
          <w:sz w:val="24"/>
          <w:szCs w:val="24"/>
        </w:rPr>
        <w:t xml:space="preserve"> </w:t>
      </w:r>
      <w:r w:rsidR="00E752EC">
        <w:rPr>
          <w:rFonts w:ascii="Times New Roman" w:hAnsi="Times New Roman" w:cs="Times New Roman"/>
          <w:b/>
          <w:sz w:val="24"/>
          <w:szCs w:val="24"/>
        </w:rPr>
        <w:t xml:space="preserve">ciest </w:t>
      </w:r>
      <w:r w:rsidR="004D40C0">
        <w:rPr>
          <w:rFonts w:ascii="Times New Roman" w:hAnsi="Times New Roman" w:cs="Times New Roman"/>
          <w:b/>
          <w:sz w:val="24"/>
          <w:szCs w:val="24"/>
        </w:rPr>
        <w:t>I. triedy</w:t>
      </w:r>
      <w:r>
        <w:rPr>
          <w:rFonts w:ascii="Times New Roman" w:hAnsi="Times New Roman" w:cs="Times New Roman"/>
          <w:b/>
          <w:sz w:val="24"/>
          <w:szCs w:val="24"/>
        </w:rPr>
        <w:t xml:space="preserve"> a ich súčastí </w:t>
      </w:r>
      <w:r w:rsidRPr="008B6176">
        <w:rPr>
          <w:rFonts w:ascii="Times New Roman" w:hAnsi="Times New Roman" w:cs="Times New Roman"/>
          <w:sz w:val="24"/>
          <w:szCs w:val="24"/>
        </w:rPr>
        <w:t>(medzi ktorými je 8 mostných objektov, 4 križovatky a 3 zosuvy)</w:t>
      </w:r>
      <w:r w:rsidRPr="008B6176" w:rsidR="0015072C">
        <w:rPr>
          <w:rFonts w:ascii="Times New Roman" w:hAnsi="Times New Roman" w:cs="Times New Roman"/>
          <w:sz w:val="24"/>
          <w:szCs w:val="24"/>
        </w:rPr>
        <w:t>.</w:t>
      </w:r>
      <w:r w:rsidR="0015072C">
        <w:rPr>
          <w:rFonts w:ascii="Times New Roman" w:hAnsi="Times New Roman" w:cs="Times New Roman"/>
          <w:b/>
          <w:sz w:val="24"/>
          <w:szCs w:val="24"/>
        </w:rPr>
        <w:t xml:space="preserve"> Spolu bolo odovzdaných 20 úsekov ciest I. triedy</w:t>
      </w:r>
      <w:r w:rsidRPr="0015072C" w:rsidR="0015072C">
        <w:rPr>
          <w:rFonts w:ascii="Times New Roman" w:hAnsi="Times New Roman" w:cs="Times New Roman"/>
          <w:sz w:val="24"/>
          <w:szCs w:val="24"/>
        </w:rPr>
        <w:t>, k</w:t>
      </w:r>
      <w:r w:rsidRPr="0015072C" w:rsidR="0015072C">
        <w:rPr>
          <w:rFonts w:ascii="Times New Roman" w:hAnsi="Times New Roman" w:cs="Times New Roman"/>
          <w:sz w:val="24"/>
          <w:szCs w:val="24"/>
        </w:rPr>
        <w:t>torých</w:t>
      </w:r>
      <w:r w:rsidR="0015072C">
        <w:rPr>
          <w:rFonts w:ascii="Times New Roman" w:hAnsi="Times New Roman" w:cs="Times New Roman"/>
          <w:b/>
          <w:sz w:val="24"/>
          <w:szCs w:val="24"/>
        </w:rPr>
        <w:t xml:space="preserve"> </w:t>
      </w:r>
      <w:r w:rsidR="003A7454">
        <w:rPr>
          <w:rFonts w:ascii="Times New Roman" w:hAnsi="Times New Roman" w:cs="Times New Roman"/>
          <w:sz w:val="24"/>
          <w:szCs w:val="24"/>
        </w:rPr>
        <w:t>z</w:t>
      </w:r>
      <w:r w:rsidR="00131B3F">
        <w:rPr>
          <w:rFonts w:ascii="Times New Roman" w:hAnsi="Times New Roman" w:cs="Times New Roman"/>
          <w:sz w:val="24"/>
          <w:szCs w:val="24"/>
        </w:rPr>
        <w:t xml:space="preserve">oznam je uvedený v </w:t>
      </w:r>
      <w:r w:rsidR="003A7454">
        <w:rPr>
          <w:rFonts w:ascii="Times New Roman" w:hAnsi="Times New Roman" w:cs="Times New Roman"/>
          <w:sz w:val="24"/>
          <w:szCs w:val="24"/>
        </w:rPr>
        <w:t xml:space="preserve">tabuľke: </w:t>
      </w:r>
    </w:p>
    <w:p w:rsidR="00B27788" w:rsidP="00B27788">
      <w:pPr>
        <w:spacing w:line="240" w:lineRule="auto"/>
        <w:ind w:firstLine="708"/>
        <w:rPr>
          <w:rFonts w:ascii="Times New Roman" w:hAnsi="Times New Roman" w:cs="Times New Roman"/>
          <w:sz w:val="24"/>
          <w:szCs w:val="24"/>
        </w:rPr>
      </w:pPr>
    </w:p>
    <w:p w:rsidR="00AE3AF3" w:rsidP="008B6176">
      <w:pPr>
        <w:spacing w:line="240" w:lineRule="auto"/>
        <w:ind w:firstLine="708"/>
        <w:rPr>
          <w:rFonts w:ascii="Times New Roman" w:hAnsi="Times New Roman" w:cs="Times New Roman"/>
          <w:sz w:val="24"/>
          <w:szCs w:val="24"/>
        </w:rPr>
      </w:pPr>
    </w:p>
    <w:p w:rsidR="006E2C6E" w:rsidP="008B6176">
      <w:pPr>
        <w:spacing w:line="240" w:lineRule="auto"/>
        <w:ind w:firstLine="708"/>
        <w:rPr>
          <w:rFonts w:ascii="Times New Roman" w:hAnsi="Times New Roman" w:cs="Times New Roman"/>
          <w:sz w:val="24"/>
          <w:szCs w:val="24"/>
        </w:rPr>
      </w:pPr>
    </w:p>
    <w:p w:rsidR="006E2C6E" w:rsidP="008B6176">
      <w:pPr>
        <w:spacing w:line="240" w:lineRule="auto"/>
        <w:ind w:firstLine="708"/>
        <w:rPr>
          <w:rFonts w:ascii="Times New Roman" w:hAnsi="Times New Roman" w:cs="Times New Roman"/>
          <w:sz w:val="24"/>
          <w:szCs w:val="24"/>
        </w:rPr>
      </w:pPr>
    </w:p>
    <w:p w:rsidR="006E2C6E" w:rsidP="008B6176">
      <w:pPr>
        <w:spacing w:line="240" w:lineRule="auto"/>
        <w:ind w:firstLine="708"/>
        <w:rPr>
          <w:rFonts w:ascii="Times New Roman" w:hAnsi="Times New Roman" w:cs="Times New Roman"/>
          <w:sz w:val="24"/>
          <w:szCs w:val="24"/>
        </w:rPr>
      </w:pPr>
    </w:p>
    <w:p w:rsidR="006E2C6E" w:rsidP="008B6176">
      <w:pPr>
        <w:spacing w:line="240" w:lineRule="auto"/>
        <w:ind w:firstLine="708"/>
        <w:rPr>
          <w:rFonts w:ascii="Times New Roman" w:hAnsi="Times New Roman" w:cs="Times New Roman"/>
          <w:sz w:val="24"/>
          <w:szCs w:val="24"/>
        </w:rPr>
      </w:pPr>
    </w:p>
    <w:p w:rsidR="006E2C6E" w:rsidP="006E2C6E">
      <w:pPr>
        <w:spacing w:line="240" w:lineRule="auto"/>
        <w:rPr>
          <w:rFonts w:ascii="Times New Roman" w:hAnsi="Times New Roman" w:cs="Times New Roman"/>
          <w:sz w:val="24"/>
          <w:szCs w:val="24"/>
        </w:rPr>
      </w:pPr>
    </w:p>
    <w:tbl>
      <w:tblPr>
        <w:tblW w:w="9075" w:type="dxa"/>
        <w:tblInd w:w="55" w:type="dxa"/>
        <w:tblCellMar>
          <w:left w:w="70" w:type="dxa"/>
          <w:right w:w="70" w:type="dxa"/>
        </w:tblCellMar>
      </w:tblPr>
      <w:tblGrid>
        <w:gridCol w:w="1095"/>
        <w:gridCol w:w="1440"/>
        <w:gridCol w:w="5220"/>
        <w:gridCol w:w="1320"/>
      </w:tblGrid>
      <w:tr>
        <w:tblPrEx>
          <w:tblW w:w="9075" w:type="dxa"/>
          <w:tblInd w:w="55" w:type="dxa"/>
          <w:tblCellMar>
            <w:left w:w="70" w:type="dxa"/>
            <w:right w:w="70" w:type="dxa"/>
          </w:tblCellMar>
        </w:tblPrEx>
        <w:trPr>
          <w:trHeight w:val="510"/>
        </w:trPr>
        <w:tc>
          <w:tcPr>
            <w:tcW w:w="1095" w:type="dxa"/>
            <w:tcBorders>
              <w:top w:val="single" w:sz="8" w:space="0" w:color="auto"/>
              <w:left w:val="single" w:sz="8" w:space="0" w:color="auto"/>
              <w:bottom w:val="single" w:sz="8" w:space="0" w:color="auto"/>
              <w:right w:val="single" w:sz="8" w:space="0" w:color="auto"/>
              <w:tl2br w:val="nil"/>
              <w:tr2bl w:val="nil"/>
            </w:tcBorders>
            <w:shd w:val="clear" w:color="auto" w:fill="C0C0C0"/>
            <w:textDirection w:val="lrTb"/>
            <w:vAlign w:val="center"/>
          </w:tcPr>
          <w:p w:rsidR="008B6176" w:rsidRPr="008B6176" w:rsidP="008B6176">
            <w:pPr>
              <w:spacing w:line="240" w:lineRule="auto"/>
              <w:jc w:val="center"/>
              <w:rPr>
                <w:rFonts w:ascii="Arial Narrow" w:hAnsi="Arial Narrow" w:cs="Arial"/>
                <w:b/>
                <w:bCs/>
                <w:sz w:val="24"/>
                <w:szCs w:val="24"/>
              </w:rPr>
            </w:pPr>
            <w:r w:rsidRPr="008B6176">
              <w:rPr>
                <w:rFonts w:ascii="Arial Narrow" w:hAnsi="Arial Narrow" w:cs="Arial"/>
                <w:b/>
                <w:bCs/>
                <w:sz w:val="24"/>
                <w:szCs w:val="24"/>
              </w:rPr>
              <w:t xml:space="preserve">IVSC </w:t>
            </w:r>
          </w:p>
        </w:tc>
        <w:tc>
          <w:tcPr>
            <w:tcW w:w="1440" w:type="dxa"/>
            <w:tcBorders>
              <w:top w:val="single" w:sz="8" w:space="0" w:color="auto"/>
              <w:left w:val="single" w:sz="8" w:space="0" w:color="auto"/>
              <w:bottom w:val="single" w:sz="8" w:space="0" w:color="auto"/>
              <w:right w:val="single" w:sz="8" w:space="0" w:color="auto"/>
              <w:tl2br w:val="nil"/>
              <w:tr2bl w:val="nil"/>
            </w:tcBorders>
            <w:shd w:val="clear" w:color="auto" w:fill="C0C0C0"/>
            <w:textDirection w:val="lrTb"/>
            <w:vAlign w:val="center"/>
          </w:tcPr>
          <w:p w:rsidR="008B6176" w:rsidRPr="008B6176" w:rsidP="008B6176">
            <w:pPr>
              <w:spacing w:line="240" w:lineRule="auto"/>
              <w:jc w:val="center"/>
              <w:rPr>
                <w:rFonts w:ascii="Arial Narrow" w:hAnsi="Arial Narrow" w:cs="Arial"/>
                <w:b/>
                <w:bCs/>
                <w:sz w:val="24"/>
                <w:szCs w:val="24"/>
              </w:rPr>
            </w:pPr>
            <w:r w:rsidRPr="008B6176">
              <w:rPr>
                <w:rFonts w:ascii="Arial Narrow" w:hAnsi="Arial Narrow" w:cs="Arial"/>
                <w:b/>
                <w:bCs/>
                <w:sz w:val="24"/>
                <w:szCs w:val="24"/>
              </w:rPr>
              <w:t>Číslo stavby</w:t>
            </w:r>
          </w:p>
        </w:tc>
        <w:tc>
          <w:tcPr>
            <w:tcW w:w="5220" w:type="dxa"/>
            <w:tcBorders>
              <w:top w:val="single" w:sz="8" w:space="0" w:color="auto"/>
              <w:left w:val="single" w:sz="8" w:space="0" w:color="auto"/>
              <w:bottom w:val="single" w:sz="8" w:space="0" w:color="auto"/>
              <w:right w:val="single" w:sz="8" w:space="0" w:color="auto"/>
              <w:tl2br w:val="nil"/>
              <w:tr2bl w:val="nil"/>
            </w:tcBorders>
            <w:shd w:val="clear" w:color="auto" w:fill="C0C0C0"/>
            <w:textDirection w:val="lrTb"/>
            <w:vAlign w:val="center"/>
          </w:tcPr>
          <w:p w:rsidR="008B6176" w:rsidRPr="008B6176" w:rsidP="008B6176">
            <w:pPr>
              <w:spacing w:line="240" w:lineRule="auto"/>
              <w:jc w:val="center"/>
              <w:rPr>
                <w:rFonts w:ascii="Arial Narrow" w:hAnsi="Arial Narrow" w:cs="Arial"/>
                <w:b/>
                <w:bCs/>
                <w:sz w:val="24"/>
                <w:szCs w:val="24"/>
              </w:rPr>
            </w:pPr>
            <w:r w:rsidRPr="008B6176">
              <w:rPr>
                <w:rFonts w:ascii="Arial Narrow" w:hAnsi="Arial Narrow" w:cs="Arial"/>
                <w:b/>
                <w:bCs/>
                <w:sz w:val="24"/>
                <w:szCs w:val="24"/>
              </w:rPr>
              <w:t>Názov stavby</w:t>
            </w:r>
          </w:p>
        </w:tc>
        <w:tc>
          <w:tcPr>
            <w:tcW w:w="1320" w:type="dxa"/>
            <w:tcBorders>
              <w:top w:val="single" w:sz="8" w:space="0" w:color="auto"/>
              <w:left w:val="single" w:sz="8" w:space="0" w:color="auto"/>
              <w:bottom w:val="single" w:sz="8" w:space="0" w:color="auto"/>
              <w:right w:val="single" w:sz="8" w:space="0" w:color="auto"/>
              <w:tl2br w:val="nil"/>
              <w:tr2bl w:val="nil"/>
            </w:tcBorders>
            <w:shd w:val="clear" w:color="auto" w:fill="C0C0C0"/>
            <w:textDirection w:val="lrTb"/>
            <w:vAlign w:val="center"/>
          </w:tcPr>
          <w:p w:rsidR="008B6176" w:rsidRPr="008B6176" w:rsidP="008B6176">
            <w:pPr>
              <w:spacing w:line="240" w:lineRule="auto"/>
              <w:jc w:val="center"/>
              <w:rPr>
                <w:rFonts w:ascii="Arial Narrow" w:hAnsi="Arial Narrow" w:cs="Arial"/>
                <w:b/>
                <w:bCs/>
                <w:sz w:val="24"/>
                <w:szCs w:val="24"/>
              </w:rPr>
            </w:pPr>
            <w:r w:rsidRPr="008B6176">
              <w:rPr>
                <w:rFonts w:ascii="Arial Narrow" w:hAnsi="Arial Narrow" w:cs="Arial"/>
                <w:b/>
                <w:bCs/>
                <w:sz w:val="24"/>
                <w:szCs w:val="24"/>
              </w:rPr>
              <w:t>Dĺžka stavby v km</w:t>
            </w:r>
          </w:p>
        </w:tc>
      </w:tr>
      <w:tr>
        <w:tblPrEx>
          <w:tblW w:w="9075" w:type="dxa"/>
          <w:tblInd w:w="55" w:type="dxa"/>
          <w:tblCellMar>
            <w:left w:w="70" w:type="dxa"/>
            <w:right w:w="70" w:type="dxa"/>
          </w:tblCellMar>
        </w:tblPrEx>
        <w:trPr>
          <w:trHeight w:hRule="exact" w:val="284"/>
        </w:trPr>
        <w:tc>
          <w:tcPr>
            <w:tcW w:w="1095" w:type="dxa"/>
            <w:vMerge w:val="restart"/>
            <w:tcBorders>
              <w:top w:val="single" w:sz="8" w:space="0" w:color="auto"/>
              <w:left w:val="single" w:sz="8" w:space="0" w:color="auto"/>
              <w:bottom w:val="single" w:sz="8" w:space="0" w:color="auto"/>
              <w:right w:val="single" w:sz="8" w:space="0" w:color="auto"/>
              <w:tl2br w:val="nil"/>
              <w:tr2bl w:val="nil"/>
            </w:tcBorders>
            <w:noWrap/>
            <w:textDirection w:val="btLr"/>
            <w:vAlign w:val="center"/>
          </w:tcPr>
          <w:p w:rsidR="008B6176" w:rsidRPr="008B6176" w:rsidP="008B6176">
            <w:pPr>
              <w:spacing w:line="240" w:lineRule="auto"/>
              <w:jc w:val="center"/>
              <w:rPr>
                <w:rFonts w:ascii="Arial Narrow" w:hAnsi="Arial Narrow" w:cs="Times New Roman"/>
                <w:sz w:val="24"/>
                <w:szCs w:val="24"/>
              </w:rPr>
            </w:pPr>
            <w:r w:rsidRPr="008B6176">
              <w:rPr>
                <w:rFonts w:ascii="Arial Narrow" w:hAnsi="Arial Narrow" w:cs="Times New Roman"/>
                <w:sz w:val="24"/>
                <w:szCs w:val="24"/>
              </w:rPr>
              <w:t>BB</w:t>
            </w:r>
          </w:p>
        </w:tc>
        <w:tc>
          <w:tcPr>
            <w:tcW w:w="1440" w:type="dxa"/>
            <w:tcBorders>
              <w:top w:val="single" w:sz="8" w:space="0" w:color="auto"/>
              <w:left w:val="single" w:sz="8" w:space="0" w:color="auto"/>
              <w:bottom w:val="single" w:sz="8" w:space="0" w:color="auto"/>
              <w:right w:val="single" w:sz="8" w:space="0" w:color="auto"/>
              <w:tl2br w:val="nil"/>
              <w:tr2bl w:val="nil"/>
            </w:tcBorders>
            <w:textDirection w:val="lrTb"/>
            <w:vAlign w:val="center"/>
          </w:tcPr>
          <w:p w:rsidR="008B6176" w:rsidRPr="008B6176" w:rsidP="008B6176">
            <w:pPr>
              <w:spacing w:line="240" w:lineRule="auto"/>
              <w:jc w:val="right"/>
              <w:rPr>
                <w:rFonts w:ascii="Arial Narrow" w:hAnsi="Arial Narrow" w:cs="Times New Roman"/>
                <w:sz w:val="24"/>
                <w:szCs w:val="24"/>
              </w:rPr>
            </w:pPr>
            <w:r w:rsidRPr="008B6176">
              <w:rPr>
                <w:rFonts w:ascii="Arial Narrow" w:hAnsi="Arial Narrow" w:cs="Times New Roman"/>
                <w:sz w:val="24"/>
                <w:szCs w:val="24"/>
              </w:rPr>
              <w:t>554</w:t>
            </w:r>
          </w:p>
        </w:tc>
        <w:tc>
          <w:tcPr>
            <w:tcW w:w="5220" w:type="dxa"/>
            <w:tcBorders>
              <w:top w:val="single" w:sz="8" w:space="0" w:color="auto"/>
              <w:left w:val="single" w:sz="8" w:space="0" w:color="auto"/>
              <w:bottom w:val="single" w:sz="8" w:space="0" w:color="auto"/>
              <w:right w:val="single" w:sz="8" w:space="0" w:color="auto"/>
              <w:tl2br w:val="nil"/>
              <w:tr2bl w:val="nil"/>
            </w:tcBorders>
            <w:textDirection w:val="lrTb"/>
            <w:vAlign w:val="center"/>
          </w:tcPr>
          <w:p w:rsidR="008B6176" w:rsidRPr="008B6176" w:rsidP="008B6176">
            <w:pPr>
              <w:spacing w:line="240" w:lineRule="auto"/>
              <w:rPr>
                <w:rFonts w:ascii="Arial Narrow" w:hAnsi="Arial Narrow" w:cs="Times New Roman"/>
                <w:sz w:val="24"/>
                <w:szCs w:val="24"/>
              </w:rPr>
            </w:pPr>
            <w:r w:rsidRPr="008B6176">
              <w:rPr>
                <w:rFonts w:ascii="Arial Narrow" w:hAnsi="Arial Narrow" w:cs="Times New Roman"/>
                <w:sz w:val="24"/>
                <w:szCs w:val="24"/>
              </w:rPr>
              <w:t>I/50 Detva - most 199</w:t>
            </w:r>
          </w:p>
        </w:tc>
        <w:tc>
          <w:tcPr>
            <w:tcW w:w="1320" w:type="dxa"/>
            <w:tcBorders>
              <w:top w:val="single" w:sz="8" w:space="0" w:color="auto"/>
              <w:left w:val="single" w:sz="8" w:space="0" w:color="auto"/>
              <w:bottom w:val="single" w:sz="8" w:space="0" w:color="auto"/>
              <w:right w:val="single" w:sz="8" w:space="0" w:color="auto"/>
              <w:tl2br w:val="nil"/>
              <w:tr2bl w:val="nil"/>
            </w:tcBorders>
            <w:textDirection w:val="lrTb"/>
            <w:vAlign w:val="top"/>
          </w:tcPr>
          <w:p w:rsidR="008B6176" w:rsidRPr="008B6176" w:rsidP="008B6176">
            <w:pPr>
              <w:spacing w:line="240" w:lineRule="auto"/>
              <w:jc w:val="center"/>
              <w:rPr>
                <w:rFonts w:ascii="Arial Narrow" w:hAnsi="Arial Narrow" w:cs="Times New Roman"/>
                <w:sz w:val="24"/>
                <w:szCs w:val="24"/>
              </w:rPr>
            </w:pPr>
            <w:r w:rsidRPr="008B6176">
              <w:rPr>
                <w:rFonts w:ascii="Arial Narrow" w:hAnsi="Arial Narrow" w:cs="Times New Roman"/>
                <w:sz w:val="24"/>
                <w:szCs w:val="24"/>
              </w:rPr>
              <w:t>0,122</w:t>
            </w:r>
          </w:p>
        </w:tc>
      </w:tr>
      <w:tr>
        <w:tblPrEx>
          <w:tblW w:w="9075" w:type="dxa"/>
          <w:tblInd w:w="55" w:type="dxa"/>
          <w:tblCellMar>
            <w:left w:w="70" w:type="dxa"/>
            <w:right w:w="70" w:type="dxa"/>
          </w:tblCellMar>
        </w:tblPrEx>
        <w:trPr>
          <w:trHeight w:hRule="exact" w:val="284"/>
        </w:trPr>
        <w:tc>
          <w:tcPr>
            <w:tcW w:w="1095" w:type="dxa"/>
            <w:vMerge/>
            <w:tcBorders>
              <w:top w:val="single" w:sz="8" w:space="0" w:color="auto"/>
              <w:left w:val="single" w:sz="8" w:space="0" w:color="auto"/>
              <w:bottom w:val="single" w:sz="8" w:space="0" w:color="auto"/>
              <w:right w:val="single" w:sz="8" w:space="0" w:color="auto"/>
              <w:tl2br w:val="nil"/>
              <w:tr2bl w:val="nil"/>
            </w:tcBorders>
            <w:textDirection w:val="lrTb"/>
            <w:vAlign w:val="center"/>
          </w:tcPr>
          <w:p w:rsidR="008B6176" w:rsidRPr="008B6176" w:rsidP="008B6176">
            <w:pPr>
              <w:spacing w:line="240" w:lineRule="auto"/>
              <w:rPr>
                <w:rFonts w:ascii="Arial Narrow" w:hAnsi="Arial Narrow" w:cs="Times New Roman"/>
                <w:sz w:val="24"/>
                <w:szCs w:val="24"/>
              </w:rPr>
            </w:pPr>
          </w:p>
        </w:tc>
        <w:tc>
          <w:tcPr>
            <w:tcW w:w="1440" w:type="dxa"/>
            <w:tcBorders>
              <w:top w:val="single" w:sz="8" w:space="0" w:color="auto"/>
              <w:left w:val="single" w:sz="8" w:space="0" w:color="auto"/>
              <w:bottom w:val="single" w:sz="8" w:space="0" w:color="auto"/>
              <w:right w:val="single" w:sz="8" w:space="0" w:color="auto"/>
              <w:tl2br w:val="nil"/>
              <w:tr2bl w:val="nil"/>
            </w:tcBorders>
            <w:textDirection w:val="lrTb"/>
            <w:vAlign w:val="bottom"/>
          </w:tcPr>
          <w:p w:rsidR="008B6176" w:rsidRPr="008B6176" w:rsidP="008B6176">
            <w:pPr>
              <w:spacing w:line="240" w:lineRule="auto"/>
              <w:jc w:val="right"/>
              <w:rPr>
                <w:rFonts w:ascii="Arial Narrow" w:hAnsi="Arial Narrow" w:cs="Times New Roman"/>
                <w:sz w:val="24"/>
                <w:szCs w:val="24"/>
              </w:rPr>
            </w:pPr>
            <w:r w:rsidRPr="008B6176">
              <w:rPr>
                <w:rFonts w:ascii="Arial Narrow" w:hAnsi="Arial Narrow" w:cs="Times New Roman"/>
                <w:sz w:val="24"/>
                <w:szCs w:val="24"/>
              </w:rPr>
              <w:t>1542</w:t>
            </w:r>
          </w:p>
        </w:tc>
        <w:tc>
          <w:tcPr>
            <w:tcW w:w="5220" w:type="dxa"/>
            <w:tcBorders>
              <w:top w:val="single" w:sz="8" w:space="0" w:color="auto"/>
              <w:left w:val="single" w:sz="8" w:space="0" w:color="auto"/>
              <w:bottom w:val="single" w:sz="8" w:space="0" w:color="auto"/>
              <w:right w:val="single" w:sz="8" w:space="0" w:color="auto"/>
              <w:tl2br w:val="nil"/>
              <w:tr2bl w:val="nil"/>
            </w:tcBorders>
            <w:textDirection w:val="lrTb"/>
            <w:vAlign w:val="center"/>
          </w:tcPr>
          <w:p w:rsidR="008B6176" w:rsidRPr="008B6176" w:rsidP="008B6176">
            <w:pPr>
              <w:spacing w:line="240" w:lineRule="auto"/>
              <w:rPr>
                <w:rFonts w:ascii="Arial Narrow" w:hAnsi="Arial Narrow" w:cs="Times New Roman"/>
                <w:sz w:val="24"/>
                <w:szCs w:val="24"/>
              </w:rPr>
            </w:pPr>
            <w:r w:rsidRPr="008B6176">
              <w:rPr>
                <w:rFonts w:ascii="Arial Narrow" w:hAnsi="Arial Narrow" w:cs="Times New Roman"/>
                <w:sz w:val="24"/>
                <w:szCs w:val="24"/>
              </w:rPr>
              <w:t>I/66 Medzibrod - most 085</w:t>
            </w:r>
          </w:p>
        </w:tc>
        <w:tc>
          <w:tcPr>
            <w:tcW w:w="1320" w:type="dxa"/>
            <w:tcBorders>
              <w:top w:val="single" w:sz="8" w:space="0" w:color="auto"/>
              <w:left w:val="single" w:sz="8" w:space="0" w:color="auto"/>
              <w:bottom w:val="single" w:sz="8" w:space="0" w:color="auto"/>
              <w:right w:val="single" w:sz="8" w:space="0" w:color="auto"/>
              <w:tl2br w:val="nil"/>
              <w:tr2bl w:val="nil"/>
            </w:tcBorders>
            <w:textDirection w:val="lrTb"/>
            <w:vAlign w:val="top"/>
          </w:tcPr>
          <w:p w:rsidR="008B6176" w:rsidRPr="008B6176" w:rsidP="008B6176">
            <w:pPr>
              <w:spacing w:line="240" w:lineRule="auto"/>
              <w:jc w:val="center"/>
              <w:rPr>
                <w:rFonts w:ascii="Arial Narrow" w:hAnsi="Arial Narrow" w:cs="Times New Roman"/>
                <w:sz w:val="24"/>
                <w:szCs w:val="24"/>
              </w:rPr>
            </w:pPr>
            <w:r w:rsidRPr="008B6176">
              <w:rPr>
                <w:rFonts w:ascii="Arial Narrow" w:hAnsi="Arial Narrow" w:cs="Times New Roman"/>
                <w:sz w:val="24"/>
                <w:szCs w:val="24"/>
              </w:rPr>
              <w:t>0,628</w:t>
            </w:r>
          </w:p>
        </w:tc>
      </w:tr>
      <w:tr>
        <w:tblPrEx>
          <w:tblW w:w="9075" w:type="dxa"/>
          <w:tblInd w:w="55" w:type="dxa"/>
          <w:tblCellMar>
            <w:left w:w="70" w:type="dxa"/>
            <w:right w:w="70" w:type="dxa"/>
          </w:tblCellMar>
        </w:tblPrEx>
        <w:trPr>
          <w:trHeight w:hRule="exact" w:val="284"/>
        </w:trPr>
        <w:tc>
          <w:tcPr>
            <w:tcW w:w="1095" w:type="dxa"/>
            <w:vMerge/>
            <w:tcBorders>
              <w:top w:val="single" w:sz="8" w:space="0" w:color="auto"/>
              <w:left w:val="single" w:sz="8" w:space="0" w:color="auto"/>
              <w:bottom w:val="single" w:sz="8" w:space="0" w:color="auto"/>
              <w:right w:val="single" w:sz="8" w:space="0" w:color="auto"/>
              <w:tl2br w:val="nil"/>
              <w:tr2bl w:val="nil"/>
            </w:tcBorders>
            <w:textDirection w:val="lrTb"/>
            <w:vAlign w:val="center"/>
          </w:tcPr>
          <w:p w:rsidR="008B6176" w:rsidRPr="008B6176" w:rsidP="008B6176">
            <w:pPr>
              <w:spacing w:line="240" w:lineRule="auto"/>
              <w:rPr>
                <w:rFonts w:ascii="Arial Narrow" w:hAnsi="Arial Narrow" w:cs="Times New Roman"/>
                <w:sz w:val="24"/>
                <w:szCs w:val="24"/>
              </w:rPr>
            </w:pPr>
          </w:p>
        </w:tc>
        <w:tc>
          <w:tcPr>
            <w:tcW w:w="1440" w:type="dxa"/>
            <w:tcBorders>
              <w:top w:val="single" w:sz="8" w:space="0" w:color="auto"/>
              <w:left w:val="single" w:sz="8" w:space="0" w:color="auto"/>
              <w:bottom w:val="single" w:sz="8" w:space="0" w:color="auto"/>
              <w:right w:val="single" w:sz="8" w:space="0" w:color="auto"/>
              <w:tl2br w:val="nil"/>
              <w:tr2bl w:val="nil"/>
            </w:tcBorders>
            <w:textDirection w:val="lrTb"/>
            <w:vAlign w:val="bottom"/>
          </w:tcPr>
          <w:p w:rsidR="008B6176" w:rsidRPr="008B6176" w:rsidP="008B6176">
            <w:pPr>
              <w:spacing w:line="240" w:lineRule="auto"/>
              <w:jc w:val="right"/>
              <w:rPr>
                <w:rFonts w:ascii="Arial Narrow" w:hAnsi="Arial Narrow" w:cs="Times New Roman"/>
                <w:sz w:val="24"/>
                <w:szCs w:val="24"/>
              </w:rPr>
            </w:pPr>
            <w:r w:rsidRPr="008B6176">
              <w:rPr>
                <w:rFonts w:ascii="Arial Narrow" w:hAnsi="Arial Narrow" w:cs="Times New Roman"/>
                <w:sz w:val="24"/>
                <w:szCs w:val="24"/>
              </w:rPr>
              <w:t>1544</w:t>
            </w:r>
          </w:p>
        </w:tc>
        <w:tc>
          <w:tcPr>
            <w:tcW w:w="5220" w:type="dxa"/>
            <w:tcBorders>
              <w:top w:val="single" w:sz="8" w:space="0" w:color="auto"/>
              <w:left w:val="single" w:sz="8" w:space="0" w:color="auto"/>
              <w:bottom w:val="single" w:sz="8" w:space="0" w:color="auto"/>
              <w:right w:val="single" w:sz="8" w:space="0" w:color="auto"/>
              <w:tl2br w:val="nil"/>
              <w:tr2bl w:val="nil"/>
            </w:tcBorders>
            <w:textDirection w:val="lrTb"/>
            <w:vAlign w:val="center"/>
          </w:tcPr>
          <w:p w:rsidR="008B6176" w:rsidRPr="008B6176" w:rsidP="008B6176">
            <w:pPr>
              <w:spacing w:line="240" w:lineRule="auto"/>
              <w:rPr>
                <w:rFonts w:ascii="Arial Narrow" w:hAnsi="Arial Narrow" w:cs="Times New Roman"/>
                <w:sz w:val="24"/>
                <w:szCs w:val="24"/>
              </w:rPr>
            </w:pPr>
            <w:r w:rsidRPr="008B6176">
              <w:rPr>
                <w:rFonts w:ascii="Arial Narrow" w:hAnsi="Arial Narrow" w:cs="Times New Roman"/>
                <w:sz w:val="24"/>
                <w:szCs w:val="24"/>
              </w:rPr>
              <w:t>I/50 Kriváň - most 201</w:t>
            </w:r>
          </w:p>
        </w:tc>
        <w:tc>
          <w:tcPr>
            <w:tcW w:w="1320" w:type="dxa"/>
            <w:tcBorders>
              <w:top w:val="single" w:sz="8" w:space="0" w:color="auto"/>
              <w:left w:val="single" w:sz="8" w:space="0" w:color="auto"/>
              <w:bottom w:val="single" w:sz="8" w:space="0" w:color="auto"/>
              <w:right w:val="single" w:sz="8" w:space="0" w:color="auto"/>
              <w:tl2br w:val="nil"/>
              <w:tr2bl w:val="nil"/>
            </w:tcBorders>
            <w:textDirection w:val="lrTb"/>
            <w:vAlign w:val="top"/>
          </w:tcPr>
          <w:p w:rsidR="008B6176" w:rsidRPr="008B6176" w:rsidP="008B6176">
            <w:pPr>
              <w:spacing w:line="240" w:lineRule="auto"/>
              <w:jc w:val="center"/>
              <w:rPr>
                <w:rFonts w:ascii="Arial Narrow" w:hAnsi="Arial Narrow" w:cs="Times New Roman"/>
                <w:sz w:val="24"/>
                <w:szCs w:val="24"/>
              </w:rPr>
            </w:pPr>
            <w:r w:rsidRPr="008B6176">
              <w:rPr>
                <w:rFonts w:ascii="Arial Narrow" w:hAnsi="Arial Narrow" w:cs="Times New Roman"/>
                <w:sz w:val="24"/>
                <w:szCs w:val="24"/>
              </w:rPr>
              <w:t>0,166</w:t>
            </w:r>
          </w:p>
        </w:tc>
      </w:tr>
      <w:tr>
        <w:tblPrEx>
          <w:tblW w:w="9075" w:type="dxa"/>
          <w:tblInd w:w="55" w:type="dxa"/>
          <w:tblCellMar>
            <w:left w:w="70" w:type="dxa"/>
            <w:right w:w="70" w:type="dxa"/>
          </w:tblCellMar>
        </w:tblPrEx>
        <w:trPr>
          <w:trHeight w:hRule="exact" w:val="284"/>
        </w:trPr>
        <w:tc>
          <w:tcPr>
            <w:tcW w:w="1095" w:type="dxa"/>
            <w:vMerge/>
            <w:tcBorders>
              <w:top w:val="single" w:sz="8" w:space="0" w:color="auto"/>
              <w:left w:val="single" w:sz="8" w:space="0" w:color="auto"/>
              <w:bottom w:val="single" w:sz="8" w:space="0" w:color="auto"/>
              <w:right w:val="single" w:sz="8" w:space="0" w:color="auto"/>
              <w:tl2br w:val="nil"/>
              <w:tr2bl w:val="nil"/>
            </w:tcBorders>
            <w:textDirection w:val="lrTb"/>
            <w:vAlign w:val="center"/>
          </w:tcPr>
          <w:p w:rsidR="008B6176" w:rsidRPr="008B6176" w:rsidP="008B6176">
            <w:pPr>
              <w:spacing w:line="240" w:lineRule="auto"/>
              <w:rPr>
                <w:rFonts w:ascii="Arial Narrow" w:hAnsi="Arial Narrow" w:cs="Times New Roman"/>
                <w:sz w:val="24"/>
                <w:szCs w:val="24"/>
              </w:rPr>
            </w:pPr>
          </w:p>
        </w:tc>
        <w:tc>
          <w:tcPr>
            <w:tcW w:w="1440" w:type="dxa"/>
            <w:tcBorders>
              <w:top w:val="single" w:sz="8" w:space="0" w:color="auto"/>
              <w:left w:val="single" w:sz="8" w:space="0" w:color="auto"/>
              <w:bottom w:val="single" w:sz="8" w:space="0" w:color="auto"/>
              <w:right w:val="single" w:sz="8" w:space="0" w:color="auto"/>
              <w:tl2br w:val="nil"/>
              <w:tr2bl w:val="nil"/>
            </w:tcBorders>
            <w:textDirection w:val="lrTb"/>
            <w:vAlign w:val="bottom"/>
          </w:tcPr>
          <w:p w:rsidR="008B6176" w:rsidRPr="008B6176" w:rsidP="008B6176">
            <w:pPr>
              <w:spacing w:line="240" w:lineRule="auto"/>
              <w:jc w:val="right"/>
              <w:rPr>
                <w:rFonts w:ascii="Arial Narrow" w:hAnsi="Arial Narrow" w:cs="Times New Roman"/>
                <w:sz w:val="24"/>
                <w:szCs w:val="24"/>
              </w:rPr>
            </w:pPr>
            <w:r w:rsidRPr="008B6176">
              <w:rPr>
                <w:rFonts w:ascii="Arial Narrow" w:hAnsi="Arial Narrow" w:cs="Times New Roman"/>
                <w:sz w:val="24"/>
                <w:szCs w:val="24"/>
              </w:rPr>
              <w:t>1538</w:t>
            </w:r>
          </w:p>
        </w:tc>
        <w:tc>
          <w:tcPr>
            <w:tcW w:w="5220" w:type="dxa"/>
            <w:tcBorders>
              <w:top w:val="single" w:sz="8" w:space="0" w:color="auto"/>
              <w:left w:val="single" w:sz="8" w:space="0" w:color="auto"/>
              <w:bottom w:val="single" w:sz="8" w:space="0" w:color="auto"/>
              <w:right w:val="single" w:sz="8" w:space="0" w:color="auto"/>
              <w:tl2br w:val="nil"/>
              <w:tr2bl w:val="nil"/>
            </w:tcBorders>
            <w:textDirection w:val="lrTb"/>
            <w:vAlign w:val="top"/>
          </w:tcPr>
          <w:p w:rsidR="008B6176" w:rsidRPr="008B6176" w:rsidP="008B6176">
            <w:pPr>
              <w:spacing w:line="240" w:lineRule="auto"/>
              <w:rPr>
                <w:rFonts w:ascii="Arial Narrow" w:hAnsi="Arial Narrow" w:cs="Times New Roman"/>
                <w:sz w:val="24"/>
                <w:szCs w:val="24"/>
              </w:rPr>
            </w:pPr>
            <w:r w:rsidRPr="008B6176">
              <w:rPr>
                <w:rFonts w:ascii="Arial Narrow" w:hAnsi="Arial Narrow" w:cs="Times New Roman"/>
                <w:sz w:val="24"/>
                <w:szCs w:val="24"/>
              </w:rPr>
              <w:t>I/50 Pod</w:t>
            </w:r>
            <w:r w:rsidR="004E590E">
              <w:rPr>
                <w:rFonts w:ascii="Arial Narrow" w:hAnsi="Arial Narrow" w:cs="Times New Roman"/>
                <w:sz w:val="24"/>
                <w:szCs w:val="24"/>
              </w:rPr>
              <w:t>k</w:t>
            </w:r>
            <w:r w:rsidRPr="008B6176">
              <w:rPr>
                <w:rFonts w:ascii="Arial Narrow" w:hAnsi="Arial Narrow" w:cs="Times New Roman"/>
                <w:sz w:val="24"/>
                <w:szCs w:val="24"/>
              </w:rPr>
              <w:t>riváň - oporný múr</w:t>
            </w:r>
          </w:p>
        </w:tc>
        <w:tc>
          <w:tcPr>
            <w:tcW w:w="1320" w:type="dxa"/>
            <w:tcBorders>
              <w:top w:val="single" w:sz="8" w:space="0" w:color="auto"/>
              <w:left w:val="single" w:sz="8" w:space="0" w:color="auto"/>
              <w:bottom w:val="single" w:sz="8" w:space="0" w:color="auto"/>
              <w:right w:val="single" w:sz="8" w:space="0" w:color="auto"/>
              <w:tl2br w:val="nil"/>
              <w:tr2bl w:val="nil"/>
            </w:tcBorders>
            <w:textDirection w:val="lrTb"/>
            <w:vAlign w:val="top"/>
          </w:tcPr>
          <w:p w:rsidR="008B6176" w:rsidRPr="008B6176" w:rsidP="008B6176">
            <w:pPr>
              <w:spacing w:line="240" w:lineRule="auto"/>
              <w:jc w:val="center"/>
              <w:rPr>
                <w:rFonts w:ascii="Arial Narrow" w:hAnsi="Arial Narrow" w:cs="Times New Roman"/>
                <w:sz w:val="24"/>
                <w:szCs w:val="24"/>
              </w:rPr>
            </w:pPr>
            <w:r w:rsidRPr="008B6176">
              <w:rPr>
                <w:rFonts w:ascii="Arial Narrow" w:hAnsi="Arial Narrow" w:cs="Times New Roman"/>
                <w:sz w:val="24"/>
                <w:szCs w:val="24"/>
              </w:rPr>
              <w:t>0,290</w:t>
            </w:r>
          </w:p>
        </w:tc>
      </w:tr>
      <w:tr>
        <w:tblPrEx>
          <w:tblW w:w="9075" w:type="dxa"/>
          <w:tblInd w:w="55" w:type="dxa"/>
          <w:tblCellMar>
            <w:left w:w="70" w:type="dxa"/>
            <w:right w:w="70" w:type="dxa"/>
          </w:tblCellMar>
        </w:tblPrEx>
        <w:trPr>
          <w:trHeight w:hRule="exact" w:val="284"/>
        </w:trPr>
        <w:tc>
          <w:tcPr>
            <w:tcW w:w="1095" w:type="dxa"/>
            <w:vMerge/>
            <w:tcBorders>
              <w:top w:val="single" w:sz="8" w:space="0" w:color="auto"/>
              <w:left w:val="single" w:sz="8" w:space="0" w:color="auto"/>
              <w:bottom w:val="single" w:sz="8" w:space="0" w:color="auto"/>
              <w:right w:val="single" w:sz="8" w:space="0" w:color="auto"/>
              <w:tl2br w:val="nil"/>
              <w:tr2bl w:val="nil"/>
            </w:tcBorders>
            <w:textDirection w:val="lrTb"/>
            <w:vAlign w:val="center"/>
          </w:tcPr>
          <w:p w:rsidR="008B6176" w:rsidRPr="008B6176" w:rsidP="008B6176">
            <w:pPr>
              <w:spacing w:line="240" w:lineRule="auto"/>
              <w:rPr>
                <w:rFonts w:ascii="Arial Narrow" w:hAnsi="Arial Narrow" w:cs="Times New Roman"/>
                <w:sz w:val="24"/>
                <w:szCs w:val="24"/>
              </w:rPr>
            </w:pPr>
          </w:p>
        </w:tc>
        <w:tc>
          <w:tcPr>
            <w:tcW w:w="1440" w:type="dxa"/>
            <w:tcBorders>
              <w:top w:val="single" w:sz="8" w:space="0" w:color="auto"/>
              <w:left w:val="single" w:sz="8" w:space="0" w:color="auto"/>
              <w:bottom w:val="single" w:sz="8" w:space="0" w:color="auto"/>
              <w:right w:val="single" w:sz="8" w:space="0" w:color="auto"/>
              <w:tl2br w:val="nil"/>
              <w:tr2bl w:val="nil"/>
            </w:tcBorders>
            <w:textDirection w:val="lrTb"/>
            <w:vAlign w:val="top"/>
          </w:tcPr>
          <w:p w:rsidR="008B6176" w:rsidRPr="008B6176" w:rsidP="008B6176">
            <w:pPr>
              <w:spacing w:line="240" w:lineRule="auto"/>
              <w:jc w:val="right"/>
              <w:rPr>
                <w:rFonts w:ascii="Arial Narrow" w:hAnsi="Arial Narrow" w:cs="Times New Roman"/>
                <w:sz w:val="24"/>
                <w:szCs w:val="24"/>
              </w:rPr>
            </w:pPr>
            <w:r w:rsidRPr="008B6176">
              <w:rPr>
                <w:rFonts w:ascii="Arial Narrow" w:hAnsi="Arial Narrow" w:cs="Times New Roman"/>
                <w:sz w:val="24"/>
                <w:szCs w:val="24"/>
              </w:rPr>
              <w:t>1541</w:t>
            </w:r>
          </w:p>
        </w:tc>
        <w:tc>
          <w:tcPr>
            <w:tcW w:w="5220" w:type="dxa"/>
            <w:tcBorders>
              <w:top w:val="single" w:sz="8" w:space="0" w:color="auto"/>
              <w:left w:val="single" w:sz="8" w:space="0" w:color="auto"/>
              <w:bottom w:val="single" w:sz="8" w:space="0" w:color="auto"/>
              <w:right w:val="single" w:sz="8" w:space="0" w:color="auto"/>
              <w:tl2br w:val="nil"/>
              <w:tr2bl w:val="nil"/>
            </w:tcBorders>
            <w:textDirection w:val="lrTb"/>
            <w:vAlign w:val="top"/>
          </w:tcPr>
          <w:p w:rsidR="008B6176" w:rsidRPr="008B6176" w:rsidP="008B6176">
            <w:pPr>
              <w:spacing w:line="240" w:lineRule="auto"/>
              <w:rPr>
                <w:rFonts w:ascii="Arial Narrow" w:hAnsi="Arial Narrow" w:cs="Times New Roman"/>
                <w:sz w:val="24"/>
                <w:szCs w:val="24"/>
              </w:rPr>
            </w:pPr>
            <w:r w:rsidRPr="008B6176">
              <w:rPr>
                <w:rFonts w:ascii="Arial Narrow" w:hAnsi="Arial Narrow" w:cs="Times New Roman"/>
                <w:sz w:val="24"/>
                <w:szCs w:val="24"/>
              </w:rPr>
              <w:t>I/65 a I/50 križovatka Žiar n/Hronom</w:t>
            </w:r>
          </w:p>
        </w:tc>
        <w:tc>
          <w:tcPr>
            <w:tcW w:w="1320" w:type="dxa"/>
            <w:tcBorders>
              <w:top w:val="single" w:sz="8" w:space="0" w:color="auto"/>
              <w:left w:val="single" w:sz="8" w:space="0" w:color="auto"/>
              <w:bottom w:val="single" w:sz="8" w:space="0" w:color="auto"/>
              <w:right w:val="single" w:sz="8" w:space="0" w:color="auto"/>
              <w:tl2br w:val="nil"/>
              <w:tr2bl w:val="nil"/>
            </w:tcBorders>
            <w:textDirection w:val="lrTb"/>
            <w:vAlign w:val="top"/>
          </w:tcPr>
          <w:p w:rsidR="008B6176" w:rsidRPr="008B6176" w:rsidP="008B6176">
            <w:pPr>
              <w:spacing w:line="240" w:lineRule="auto"/>
              <w:jc w:val="center"/>
              <w:rPr>
                <w:rFonts w:ascii="Arial Narrow" w:hAnsi="Arial Narrow" w:cs="Times New Roman"/>
                <w:sz w:val="24"/>
                <w:szCs w:val="24"/>
              </w:rPr>
            </w:pPr>
            <w:r w:rsidRPr="008B6176">
              <w:rPr>
                <w:rFonts w:ascii="Arial Narrow" w:hAnsi="Arial Narrow" w:cs="Times New Roman"/>
                <w:sz w:val="24"/>
                <w:szCs w:val="24"/>
              </w:rPr>
              <w:t>0,400</w:t>
            </w:r>
          </w:p>
        </w:tc>
      </w:tr>
      <w:tr>
        <w:tblPrEx>
          <w:tblW w:w="9075" w:type="dxa"/>
          <w:tblInd w:w="55" w:type="dxa"/>
          <w:tblCellMar>
            <w:left w:w="70" w:type="dxa"/>
            <w:right w:w="70" w:type="dxa"/>
          </w:tblCellMar>
        </w:tblPrEx>
        <w:trPr>
          <w:trHeight w:hRule="exact" w:val="284"/>
        </w:trPr>
        <w:tc>
          <w:tcPr>
            <w:tcW w:w="1095" w:type="dxa"/>
            <w:vMerge w:val="restart"/>
            <w:tcBorders>
              <w:top w:val="single" w:sz="8" w:space="0" w:color="auto"/>
              <w:left w:val="single" w:sz="8" w:space="0" w:color="auto"/>
              <w:bottom w:val="single" w:sz="8" w:space="0" w:color="auto"/>
              <w:right w:val="single" w:sz="8" w:space="0" w:color="auto"/>
              <w:tl2br w:val="nil"/>
              <w:tr2bl w:val="nil"/>
            </w:tcBorders>
            <w:noWrap/>
            <w:textDirection w:val="btLr"/>
            <w:vAlign w:val="center"/>
          </w:tcPr>
          <w:p w:rsidR="008B6176" w:rsidRPr="008B6176" w:rsidP="008B6176">
            <w:pPr>
              <w:spacing w:line="240" w:lineRule="auto"/>
              <w:jc w:val="center"/>
              <w:rPr>
                <w:rFonts w:ascii="Arial Narrow" w:hAnsi="Arial Narrow" w:cs="Times New Roman"/>
                <w:sz w:val="24"/>
                <w:szCs w:val="24"/>
              </w:rPr>
            </w:pPr>
            <w:r w:rsidRPr="008B6176">
              <w:rPr>
                <w:rFonts w:ascii="Arial Narrow" w:hAnsi="Arial Narrow" w:cs="Times New Roman"/>
                <w:sz w:val="24"/>
                <w:szCs w:val="24"/>
              </w:rPr>
              <w:t>KE</w:t>
            </w:r>
          </w:p>
        </w:tc>
        <w:tc>
          <w:tcPr>
            <w:tcW w:w="1440" w:type="dxa"/>
            <w:tcBorders>
              <w:top w:val="single" w:sz="8" w:space="0" w:color="auto"/>
              <w:left w:val="single" w:sz="8" w:space="0" w:color="auto"/>
              <w:bottom w:val="single" w:sz="8" w:space="0" w:color="auto"/>
              <w:right w:val="single" w:sz="8" w:space="0" w:color="auto"/>
              <w:tl2br w:val="nil"/>
              <w:tr2bl w:val="nil"/>
            </w:tcBorders>
            <w:textDirection w:val="lrTb"/>
            <w:vAlign w:val="bottom"/>
          </w:tcPr>
          <w:p w:rsidR="008B6176" w:rsidRPr="008B6176" w:rsidP="008B6176">
            <w:pPr>
              <w:spacing w:line="240" w:lineRule="auto"/>
              <w:jc w:val="right"/>
              <w:rPr>
                <w:rFonts w:ascii="Arial Narrow" w:hAnsi="Arial Narrow" w:cs="Times New Roman"/>
                <w:sz w:val="24"/>
                <w:szCs w:val="24"/>
              </w:rPr>
            </w:pPr>
            <w:r w:rsidRPr="008B6176">
              <w:rPr>
                <w:rFonts w:ascii="Arial Narrow" w:hAnsi="Arial Narrow" w:cs="Times New Roman"/>
                <w:sz w:val="24"/>
                <w:szCs w:val="24"/>
              </w:rPr>
              <w:t>988</w:t>
            </w:r>
          </w:p>
        </w:tc>
        <w:tc>
          <w:tcPr>
            <w:tcW w:w="5220" w:type="dxa"/>
            <w:tcBorders>
              <w:top w:val="single" w:sz="8" w:space="0" w:color="auto"/>
              <w:left w:val="single" w:sz="8" w:space="0" w:color="auto"/>
              <w:bottom w:val="single" w:sz="8" w:space="0" w:color="auto"/>
              <w:right w:val="single" w:sz="8" w:space="0" w:color="auto"/>
              <w:tl2br w:val="nil"/>
              <w:tr2bl w:val="nil"/>
            </w:tcBorders>
            <w:textDirection w:val="lrTb"/>
            <w:vAlign w:val="bottom"/>
          </w:tcPr>
          <w:p w:rsidR="008B6176" w:rsidRPr="008B6176" w:rsidP="008B6176">
            <w:pPr>
              <w:spacing w:line="240" w:lineRule="auto"/>
              <w:rPr>
                <w:rFonts w:ascii="Arial Narrow" w:hAnsi="Arial Narrow" w:cs="Times New Roman"/>
                <w:sz w:val="24"/>
                <w:szCs w:val="24"/>
              </w:rPr>
            </w:pPr>
            <w:r w:rsidRPr="008B6176">
              <w:rPr>
                <w:rFonts w:ascii="Arial Narrow" w:hAnsi="Arial Narrow" w:cs="Times New Roman"/>
                <w:sz w:val="24"/>
                <w:szCs w:val="24"/>
              </w:rPr>
              <w:t>I/67 -</w:t>
            </w:r>
            <w:r>
              <w:rPr>
                <w:rFonts w:ascii="Arial Narrow" w:hAnsi="Arial Narrow" w:cs="Times New Roman"/>
                <w:sz w:val="24"/>
                <w:szCs w:val="24"/>
              </w:rPr>
              <w:t xml:space="preserve"> </w:t>
            </w:r>
            <w:r w:rsidRPr="008B6176">
              <w:rPr>
                <w:rFonts w:ascii="Arial Narrow" w:hAnsi="Arial Narrow" w:cs="Times New Roman"/>
                <w:sz w:val="24"/>
                <w:szCs w:val="24"/>
              </w:rPr>
              <w:t>076 Tatranská Kotlina most</w:t>
            </w:r>
          </w:p>
        </w:tc>
        <w:tc>
          <w:tcPr>
            <w:tcW w:w="1320" w:type="dxa"/>
            <w:tcBorders>
              <w:top w:val="single" w:sz="8" w:space="0" w:color="auto"/>
              <w:left w:val="single" w:sz="8" w:space="0" w:color="auto"/>
              <w:bottom w:val="single" w:sz="8" w:space="0" w:color="auto"/>
              <w:right w:val="single" w:sz="8" w:space="0" w:color="auto"/>
              <w:tl2br w:val="nil"/>
              <w:tr2bl w:val="nil"/>
            </w:tcBorders>
            <w:textDirection w:val="lrTb"/>
            <w:vAlign w:val="bottom"/>
          </w:tcPr>
          <w:p w:rsidR="008B6176" w:rsidRPr="008B6176" w:rsidP="008B6176">
            <w:pPr>
              <w:spacing w:line="240" w:lineRule="auto"/>
              <w:jc w:val="center"/>
              <w:rPr>
                <w:rFonts w:ascii="Arial Narrow" w:hAnsi="Arial Narrow" w:cs="Times New Roman"/>
                <w:sz w:val="24"/>
                <w:szCs w:val="24"/>
              </w:rPr>
            </w:pPr>
            <w:r w:rsidRPr="008B6176">
              <w:rPr>
                <w:rFonts w:ascii="Arial Narrow" w:hAnsi="Arial Narrow" w:cs="Times New Roman"/>
                <w:sz w:val="24"/>
                <w:szCs w:val="24"/>
              </w:rPr>
              <w:t>0,125</w:t>
            </w:r>
          </w:p>
        </w:tc>
      </w:tr>
      <w:tr>
        <w:tblPrEx>
          <w:tblW w:w="9075" w:type="dxa"/>
          <w:tblInd w:w="55" w:type="dxa"/>
          <w:tblCellMar>
            <w:left w:w="70" w:type="dxa"/>
            <w:right w:w="70" w:type="dxa"/>
          </w:tblCellMar>
        </w:tblPrEx>
        <w:trPr>
          <w:trHeight w:hRule="exact" w:val="284"/>
        </w:trPr>
        <w:tc>
          <w:tcPr>
            <w:tcW w:w="1095" w:type="dxa"/>
            <w:vMerge/>
            <w:tcBorders>
              <w:top w:val="single" w:sz="8" w:space="0" w:color="auto"/>
              <w:left w:val="single" w:sz="8" w:space="0" w:color="auto"/>
              <w:bottom w:val="single" w:sz="8" w:space="0" w:color="auto"/>
              <w:right w:val="single" w:sz="8" w:space="0" w:color="auto"/>
              <w:tl2br w:val="nil"/>
              <w:tr2bl w:val="nil"/>
            </w:tcBorders>
            <w:textDirection w:val="lrTb"/>
            <w:vAlign w:val="center"/>
          </w:tcPr>
          <w:p w:rsidR="008B6176" w:rsidRPr="008B6176" w:rsidP="008B6176">
            <w:pPr>
              <w:spacing w:line="240" w:lineRule="auto"/>
              <w:rPr>
                <w:rFonts w:ascii="Arial Narrow" w:hAnsi="Arial Narrow" w:cs="Times New Roman"/>
                <w:sz w:val="24"/>
                <w:szCs w:val="24"/>
              </w:rPr>
            </w:pPr>
          </w:p>
        </w:tc>
        <w:tc>
          <w:tcPr>
            <w:tcW w:w="1440" w:type="dxa"/>
            <w:tcBorders>
              <w:top w:val="single" w:sz="8" w:space="0" w:color="auto"/>
              <w:left w:val="single" w:sz="8" w:space="0" w:color="auto"/>
              <w:bottom w:val="single" w:sz="8" w:space="0" w:color="auto"/>
              <w:right w:val="single" w:sz="8" w:space="0" w:color="auto"/>
              <w:tl2br w:val="nil"/>
              <w:tr2bl w:val="nil"/>
            </w:tcBorders>
            <w:textDirection w:val="lrTb"/>
            <w:vAlign w:val="bottom"/>
          </w:tcPr>
          <w:p w:rsidR="008B6176" w:rsidRPr="008B6176" w:rsidP="008B6176">
            <w:pPr>
              <w:spacing w:line="240" w:lineRule="auto"/>
              <w:jc w:val="right"/>
              <w:rPr>
                <w:rFonts w:ascii="Arial Narrow" w:hAnsi="Arial Narrow" w:cs="Times New Roman"/>
                <w:sz w:val="24"/>
                <w:szCs w:val="24"/>
              </w:rPr>
            </w:pPr>
            <w:r w:rsidRPr="008B6176">
              <w:rPr>
                <w:rFonts w:ascii="Arial Narrow" w:hAnsi="Arial Narrow" w:cs="Times New Roman"/>
                <w:sz w:val="24"/>
                <w:szCs w:val="24"/>
              </w:rPr>
              <w:t>1337</w:t>
            </w:r>
          </w:p>
        </w:tc>
        <w:tc>
          <w:tcPr>
            <w:tcW w:w="5220" w:type="dxa"/>
            <w:tcBorders>
              <w:top w:val="single" w:sz="8" w:space="0" w:color="auto"/>
              <w:left w:val="single" w:sz="8" w:space="0" w:color="auto"/>
              <w:bottom w:val="single" w:sz="8" w:space="0" w:color="auto"/>
              <w:right w:val="single" w:sz="8" w:space="0" w:color="auto"/>
              <w:tl2br w:val="nil"/>
              <w:tr2bl w:val="nil"/>
            </w:tcBorders>
            <w:textDirection w:val="lrTb"/>
            <w:vAlign w:val="bottom"/>
          </w:tcPr>
          <w:p w:rsidR="008B6176" w:rsidRPr="008B6176" w:rsidP="008B6176">
            <w:pPr>
              <w:spacing w:line="240" w:lineRule="auto"/>
              <w:rPr>
                <w:rFonts w:ascii="Arial Narrow" w:hAnsi="Arial Narrow" w:cs="Times New Roman"/>
                <w:sz w:val="24"/>
                <w:szCs w:val="24"/>
              </w:rPr>
            </w:pPr>
            <w:r w:rsidRPr="008B6176">
              <w:rPr>
                <w:rFonts w:ascii="Arial Narrow" w:hAnsi="Arial Narrow" w:cs="Times New Roman"/>
                <w:sz w:val="24"/>
                <w:szCs w:val="24"/>
              </w:rPr>
              <w:t>I/50 - 358 Pozdišovce most</w:t>
            </w:r>
          </w:p>
        </w:tc>
        <w:tc>
          <w:tcPr>
            <w:tcW w:w="1320" w:type="dxa"/>
            <w:tcBorders>
              <w:top w:val="single" w:sz="8" w:space="0" w:color="auto"/>
              <w:left w:val="single" w:sz="8" w:space="0" w:color="auto"/>
              <w:bottom w:val="single" w:sz="8" w:space="0" w:color="auto"/>
              <w:right w:val="single" w:sz="8" w:space="0" w:color="auto"/>
              <w:tl2br w:val="nil"/>
              <w:tr2bl w:val="nil"/>
            </w:tcBorders>
            <w:textDirection w:val="lrTb"/>
            <w:vAlign w:val="bottom"/>
          </w:tcPr>
          <w:p w:rsidR="008B6176" w:rsidRPr="008B6176" w:rsidP="008B6176">
            <w:pPr>
              <w:spacing w:line="240" w:lineRule="auto"/>
              <w:jc w:val="center"/>
              <w:rPr>
                <w:rFonts w:ascii="Arial Narrow" w:hAnsi="Arial Narrow" w:cs="Times New Roman"/>
                <w:sz w:val="24"/>
                <w:szCs w:val="24"/>
              </w:rPr>
            </w:pPr>
            <w:r w:rsidRPr="008B6176">
              <w:rPr>
                <w:rFonts w:ascii="Arial Narrow" w:hAnsi="Arial Narrow" w:cs="Times New Roman"/>
                <w:sz w:val="24"/>
                <w:szCs w:val="24"/>
              </w:rPr>
              <w:t>0,250</w:t>
            </w:r>
          </w:p>
        </w:tc>
      </w:tr>
      <w:tr>
        <w:tblPrEx>
          <w:tblW w:w="9075" w:type="dxa"/>
          <w:tblInd w:w="55" w:type="dxa"/>
          <w:tblCellMar>
            <w:left w:w="70" w:type="dxa"/>
            <w:right w:w="70" w:type="dxa"/>
          </w:tblCellMar>
        </w:tblPrEx>
        <w:trPr>
          <w:trHeight w:hRule="exact" w:val="284"/>
        </w:trPr>
        <w:tc>
          <w:tcPr>
            <w:tcW w:w="1095" w:type="dxa"/>
            <w:vMerge/>
            <w:tcBorders>
              <w:top w:val="single" w:sz="8" w:space="0" w:color="auto"/>
              <w:left w:val="single" w:sz="8" w:space="0" w:color="auto"/>
              <w:bottom w:val="single" w:sz="8" w:space="0" w:color="auto"/>
              <w:right w:val="single" w:sz="8" w:space="0" w:color="auto"/>
              <w:tl2br w:val="nil"/>
              <w:tr2bl w:val="nil"/>
            </w:tcBorders>
            <w:textDirection w:val="lrTb"/>
            <w:vAlign w:val="center"/>
          </w:tcPr>
          <w:p w:rsidR="008B6176" w:rsidRPr="008B6176" w:rsidP="008B6176">
            <w:pPr>
              <w:spacing w:line="240" w:lineRule="auto"/>
              <w:rPr>
                <w:rFonts w:ascii="Arial Narrow" w:hAnsi="Arial Narrow" w:cs="Times New Roman"/>
                <w:sz w:val="24"/>
                <w:szCs w:val="24"/>
              </w:rPr>
            </w:pPr>
          </w:p>
        </w:tc>
        <w:tc>
          <w:tcPr>
            <w:tcW w:w="1440" w:type="dxa"/>
            <w:tcBorders>
              <w:top w:val="single" w:sz="8" w:space="0" w:color="auto"/>
              <w:left w:val="single" w:sz="8" w:space="0" w:color="auto"/>
              <w:bottom w:val="single" w:sz="8" w:space="0" w:color="auto"/>
              <w:right w:val="single" w:sz="8" w:space="0" w:color="auto"/>
              <w:tl2br w:val="nil"/>
              <w:tr2bl w:val="nil"/>
            </w:tcBorders>
            <w:textDirection w:val="lrTb"/>
            <w:vAlign w:val="bottom"/>
          </w:tcPr>
          <w:p w:rsidR="008B6176" w:rsidRPr="008B6176" w:rsidP="008B6176">
            <w:pPr>
              <w:spacing w:line="240" w:lineRule="auto"/>
              <w:jc w:val="right"/>
              <w:rPr>
                <w:rFonts w:ascii="Arial Narrow" w:hAnsi="Arial Narrow" w:cs="Times New Roman"/>
                <w:sz w:val="24"/>
                <w:szCs w:val="24"/>
              </w:rPr>
            </w:pPr>
            <w:r w:rsidRPr="008B6176">
              <w:rPr>
                <w:rFonts w:ascii="Arial Narrow" w:hAnsi="Arial Narrow" w:cs="Times New Roman"/>
                <w:sz w:val="24"/>
                <w:szCs w:val="24"/>
              </w:rPr>
              <w:t>1581</w:t>
            </w:r>
          </w:p>
        </w:tc>
        <w:tc>
          <w:tcPr>
            <w:tcW w:w="5220" w:type="dxa"/>
            <w:tcBorders>
              <w:top w:val="single" w:sz="8" w:space="0" w:color="auto"/>
              <w:left w:val="single" w:sz="8" w:space="0" w:color="auto"/>
              <w:bottom w:val="single" w:sz="8" w:space="0" w:color="auto"/>
              <w:right w:val="single" w:sz="8" w:space="0" w:color="auto"/>
              <w:tl2br w:val="nil"/>
              <w:tr2bl w:val="nil"/>
            </w:tcBorders>
            <w:textDirection w:val="lrTb"/>
            <w:vAlign w:val="bottom"/>
          </w:tcPr>
          <w:p w:rsidR="008B6176" w:rsidRPr="008B6176" w:rsidP="008B6176">
            <w:pPr>
              <w:spacing w:line="240" w:lineRule="auto"/>
              <w:rPr>
                <w:rFonts w:ascii="Arial Narrow" w:hAnsi="Arial Narrow" w:cs="Times New Roman"/>
                <w:sz w:val="24"/>
                <w:szCs w:val="24"/>
              </w:rPr>
            </w:pPr>
            <w:r w:rsidRPr="008B6176">
              <w:rPr>
                <w:rFonts w:ascii="Arial Narrow" w:hAnsi="Arial Narrow" w:cs="Times New Roman"/>
                <w:sz w:val="24"/>
                <w:szCs w:val="24"/>
              </w:rPr>
              <w:t>I/67 Tatranská Kotlina - Ždiar zosuv</w:t>
            </w:r>
          </w:p>
        </w:tc>
        <w:tc>
          <w:tcPr>
            <w:tcW w:w="1320" w:type="dxa"/>
            <w:tcBorders>
              <w:top w:val="single" w:sz="8" w:space="0" w:color="auto"/>
              <w:left w:val="single" w:sz="8" w:space="0" w:color="auto"/>
              <w:bottom w:val="single" w:sz="8" w:space="0" w:color="auto"/>
              <w:right w:val="single" w:sz="8" w:space="0" w:color="auto"/>
              <w:tl2br w:val="nil"/>
              <w:tr2bl w:val="nil"/>
            </w:tcBorders>
            <w:textDirection w:val="lrTb"/>
            <w:vAlign w:val="bottom"/>
          </w:tcPr>
          <w:p w:rsidR="008B6176" w:rsidRPr="008B6176" w:rsidP="008B6176">
            <w:pPr>
              <w:spacing w:line="240" w:lineRule="auto"/>
              <w:jc w:val="center"/>
              <w:rPr>
                <w:rFonts w:ascii="Arial Narrow" w:hAnsi="Arial Narrow" w:cs="Times New Roman"/>
                <w:sz w:val="24"/>
                <w:szCs w:val="24"/>
              </w:rPr>
            </w:pPr>
            <w:r w:rsidRPr="008B6176">
              <w:rPr>
                <w:rFonts w:ascii="Arial Narrow" w:hAnsi="Arial Narrow" w:cs="Times New Roman"/>
                <w:sz w:val="24"/>
                <w:szCs w:val="24"/>
              </w:rPr>
              <w:t>0,600</w:t>
            </w:r>
          </w:p>
        </w:tc>
      </w:tr>
      <w:tr>
        <w:tblPrEx>
          <w:tblW w:w="9075" w:type="dxa"/>
          <w:tblInd w:w="55" w:type="dxa"/>
          <w:tblCellMar>
            <w:left w:w="70" w:type="dxa"/>
            <w:right w:w="70" w:type="dxa"/>
          </w:tblCellMar>
        </w:tblPrEx>
        <w:trPr>
          <w:trHeight w:hRule="exact" w:val="284"/>
        </w:trPr>
        <w:tc>
          <w:tcPr>
            <w:tcW w:w="1095" w:type="dxa"/>
            <w:vMerge/>
            <w:tcBorders>
              <w:top w:val="single" w:sz="8" w:space="0" w:color="auto"/>
              <w:left w:val="single" w:sz="8" w:space="0" w:color="auto"/>
              <w:bottom w:val="single" w:sz="8" w:space="0" w:color="auto"/>
              <w:right w:val="single" w:sz="8" w:space="0" w:color="auto"/>
              <w:tl2br w:val="nil"/>
              <w:tr2bl w:val="nil"/>
            </w:tcBorders>
            <w:textDirection w:val="lrTb"/>
            <w:vAlign w:val="center"/>
          </w:tcPr>
          <w:p w:rsidR="008B6176" w:rsidRPr="008B6176" w:rsidP="008B6176">
            <w:pPr>
              <w:spacing w:line="240" w:lineRule="auto"/>
              <w:rPr>
                <w:rFonts w:ascii="Arial Narrow" w:hAnsi="Arial Narrow" w:cs="Times New Roman"/>
                <w:sz w:val="24"/>
                <w:szCs w:val="24"/>
              </w:rPr>
            </w:pPr>
          </w:p>
        </w:tc>
        <w:tc>
          <w:tcPr>
            <w:tcW w:w="1440" w:type="dxa"/>
            <w:tcBorders>
              <w:top w:val="single" w:sz="8" w:space="0" w:color="auto"/>
              <w:left w:val="single" w:sz="8" w:space="0" w:color="auto"/>
              <w:bottom w:val="single" w:sz="8" w:space="0" w:color="auto"/>
              <w:right w:val="single" w:sz="8" w:space="0" w:color="auto"/>
              <w:tl2br w:val="nil"/>
              <w:tr2bl w:val="nil"/>
            </w:tcBorders>
            <w:textDirection w:val="lrTb"/>
            <w:vAlign w:val="bottom"/>
          </w:tcPr>
          <w:p w:rsidR="008B6176" w:rsidRPr="008B6176" w:rsidP="008B6176">
            <w:pPr>
              <w:spacing w:line="240" w:lineRule="auto"/>
              <w:jc w:val="right"/>
              <w:rPr>
                <w:rFonts w:ascii="Arial Narrow" w:hAnsi="Arial Narrow" w:cs="Times New Roman"/>
                <w:sz w:val="24"/>
                <w:szCs w:val="24"/>
              </w:rPr>
            </w:pPr>
            <w:r w:rsidRPr="008B6176">
              <w:rPr>
                <w:rFonts w:ascii="Arial Narrow" w:hAnsi="Arial Narrow" w:cs="Times New Roman"/>
                <w:sz w:val="24"/>
                <w:szCs w:val="24"/>
              </w:rPr>
              <w:t>671</w:t>
            </w:r>
          </w:p>
        </w:tc>
        <w:tc>
          <w:tcPr>
            <w:tcW w:w="5220" w:type="dxa"/>
            <w:tcBorders>
              <w:top w:val="single" w:sz="8" w:space="0" w:color="auto"/>
              <w:left w:val="single" w:sz="8" w:space="0" w:color="auto"/>
              <w:bottom w:val="single" w:sz="8" w:space="0" w:color="auto"/>
              <w:right w:val="single" w:sz="8" w:space="0" w:color="auto"/>
              <w:tl2br w:val="nil"/>
              <w:tr2bl w:val="nil"/>
            </w:tcBorders>
            <w:textDirection w:val="lrTb"/>
            <w:vAlign w:val="bottom"/>
          </w:tcPr>
          <w:p w:rsidR="008B6176" w:rsidRPr="008B6176" w:rsidP="008B6176">
            <w:pPr>
              <w:spacing w:line="240" w:lineRule="auto"/>
              <w:rPr>
                <w:rFonts w:ascii="Arial Narrow" w:hAnsi="Arial Narrow" w:cs="Times New Roman"/>
                <w:sz w:val="24"/>
                <w:szCs w:val="24"/>
              </w:rPr>
            </w:pPr>
            <w:r w:rsidRPr="008B6176">
              <w:rPr>
                <w:rFonts w:ascii="Arial Narrow" w:hAnsi="Arial Narrow" w:cs="Times New Roman"/>
                <w:sz w:val="24"/>
                <w:szCs w:val="24"/>
              </w:rPr>
              <w:t>I/74 Humenné preložka cesty</w:t>
            </w:r>
          </w:p>
        </w:tc>
        <w:tc>
          <w:tcPr>
            <w:tcW w:w="1320" w:type="dxa"/>
            <w:tcBorders>
              <w:top w:val="single" w:sz="8" w:space="0" w:color="auto"/>
              <w:left w:val="single" w:sz="8" w:space="0" w:color="auto"/>
              <w:bottom w:val="single" w:sz="8" w:space="0" w:color="auto"/>
              <w:right w:val="single" w:sz="8" w:space="0" w:color="auto"/>
              <w:tl2br w:val="nil"/>
              <w:tr2bl w:val="nil"/>
            </w:tcBorders>
            <w:textDirection w:val="lrTb"/>
            <w:vAlign w:val="bottom"/>
          </w:tcPr>
          <w:p w:rsidR="008B6176" w:rsidRPr="008B6176" w:rsidP="008B6176">
            <w:pPr>
              <w:spacing w:line="240" w:lineRule="auto"/>
              <w:jc w:val="center"/>
              <w:rPr>
                <w:rFonts w:ascii="Arial Narrow" w:hAnsi="Arial Narrow" w:cs="Times New Roman"/>
                <w:sz w:val="24"/>
                <w:szCs w:val="24"/>
              </w:rPr>
            </w:pPr>
            <w:r w:rsidRPr="008B6176">
              <w:rPr>
                <w:rFonts w:ascii="Arial Narrow" w:hAnsi="Arial Narrow" w:cs="Times New Roman"/>
                <w:sz w:val="24"/>
                <w:szCs w:val="24"/>
              </w:rPr>
              <w:t>1,700</w:t>
            </w:r>
          </w:p>
        </w:tc>
      </w:tr>
      <w:tr>
        <w:tblPrEx>
          <w:tblW w:w="9075" w:type="dxa"/>
          <w:tblInd w:w="55" w:type="dxa"/>
          <w:tblCellMar>
            <w:left w:w="70" w:type="dxa"/>
            <w:right w:w="70" w:type="dxa"/>
          </w:tblCellMar>
        </w:tblPrEx>
        <w:trPr>
          <w:trHeight w:hRule="exact" w:val="284"/>
        </w:trPr>
        <w:tc>
          <w:tcPr>
            <w:tcW w:w="1095" w:type="dxa"/>
            <w:vMerge/>
            <w:tcBorders>
              <w:top w:val="single" w:sz="8" w:space="0" w:color="auto"/>
              <w:left w:val="single" w:sz="8" w:space="0" w:color="auto"/>
              <w:bottom w:val="single" w:sz="8" w:space="0" w:color="auto"/>
              <w:right w:val="single" w:sz="8" w:space="0" w:color="auto"/>
              <w:tl2br w:val="nil"/>
              <w:tr2bl w:val="nil"/>
            </w:tcBorders>
            <w:textDirection w:val="lrTb"/>
            <w:vAlign w:val="center"/>
          </w:tcPr>
          <w:p w:rsidR="008B6176" w:rsidRPr="008B6176" w:rsidP="008B6176">
            <w:pPr>
              <w:spacing w:line="240" w:lineRule="auto"/>
              <w:rPr>
                <w:rFonts w:ascii="Arial Narrow" w:hAnsi="Arial Narrow" w:cs="Times New Roman"/>
                <w:sz w:val="24"/>
                <w:szCs w:val="24"/>
              </w:rPr>
            </w:pPr>
          </w:p>
        </w:tc>
        <w:tc>
          <w:tcPr>
            <w:tcW w:w="1440" w:type="dxa"/>
            <w:tcBorders>
              <w:top w:val="single" w:sz="8" w:space="0" w:color="auto"/>
              <w:left w:val="single" w:sz="8" w:space="0" w:color="auto"/>
              <w:bottom w:val="single" w:sz="8" w:space="0" w:color="auto"/>
              <w:right w:val="single" w:sz="8" w:space="0" w:color="auto"/>
              <w:tl2br w:val="nil"/>
              <w:tr2bl w:val="nil"/>
            </w:tcBorders>
            <w:textDirection w:val="lrTb"/>
            <w:vAlign w:val="bottom"/>
          </w:tcPr>
          <w:p w:rsidR="008B6176" w:rsidRPr="008B6176" w:rsidP="008B6176">
            <w:pPr>
              <w:spacing w:line="240" w:lineRule="auto"/>
              <w:jc w:val="right"/>
              <w:rPr>
                <w:rFonts w:ascii="Arial Narrow" w:hAnsi="Arial Narrow" w:cs="Times New Roman"/>
                <w:sz w:val="24"/>
                <w:szCs w:val="24"/>
              </w:rPr>
            </w:pPr>
            <w:r w:rsidRPr="008B6176">
              <w:rPr>
                <w:rFonts w:ascii="Arial Narrow" w:hAnsi="Arial Narrow" w:cs="Times New Roman"/>
                <w:sz w:val="24"/>
                <w:szCs w:val="24"/>
              </w:rPr>
              <w:t>1433</w:t>
            </w:r>
          </w:p>
        </w:tc>
        <w:tc>
          <w:tcPr>
            <w:tcW w:w="5220" w:type="dxa"/>
            <w:tcBorders>
              <w:top w:val="single" w:sz="8" w:space="0" w:color="auto"/>
              <w:left w:val="single" w:sz="8" w:space="0" w:color="auto"/>
              <w:bottom w:val="single" w:sz="8" w:space="0" w:color="auto"/>
              <w:right w:val="single" w:sz="8" w:space="0" w:color="auto"/>
              <w:tl2br w:val="nil"/>
              <w:tr2bl w:val="nil"/>
            </w:tcBorders>
            <w:textDirection w:val="lrTb"/>
            <w:vAlign w:val="bottom"/>
          </w:tcPr>
          <w:p w:rsidR="008B6176" w:rsidRPr="008B6176" w:rsidP="008B6176">
            <w:pPr>
              <w:spacing w:line="240" w:lineRule="auto"/>
              <w:rPr>
                <w:rFonts w:ascii="Arial Narrow" w:hAnsi="Arial Narrow" w:cs="Times New Roman"/>
                <w:sz w:val="24"/>
                <w:szCs w:val="24"/>
              </w:rPr>
            </w:pPr>
            <w:r w:rsidRPr="008B6176">
              <w:rPr>
                <w:rFonts w:ascii="Arial Narrow" w:hAnsi="Arial Narrow" w:cs="Times New Roman"/>
                <w:sz w:val="24"/>
                <w:szCs w:val="24"/>
              </w:rPr>
              <w:t>I/74 Snina, križovatka</w:t>
            </w:r>
          </w:p>
        </w:tc>
        <w:tc>
          <w:tcPr>
            <w:tcW w:w="1320" w:type="dxa"/>
            <w:tcBorders>
              <w:top w:val="single" w:sz="8" w:space="0" w:color="auto"/>
              <w:left w:val="single" w:sz="8" w:space="0" w:color="auto"/>
              <w:bottom w:val="single" w:sz="8" w:space="0" w:color="auto"/>
              <w:right w:val="single" w:sz="8" w:space="0" w:color="auto"/>
              <w:tl2br w:val="nil"/>
              <w:tr2bl w:val="nil"/>
            </w:tcBorders>
            <w:textDirection w:val="lrTb"/>
            <w:vAlign w:val="bottom"/>
          </w:tcPr>
          <w:p w:rsidR="008B6176" w:rsidRPr="008B6176" w:rsidP="008B6176">
            <w:pPr>
              <w:spacing w:line="240" w:lineRule="auto"/>
              <w:jc w:val="center"/>
              <w:rPr>
                <w:rFonts w:ascii="Arial Narrow" w:hAnsi="Arial Narrow" w:cs="Times New Roman"/>
                <w:sz w:val="24"/>
                <w:szCs w:val="24"/>
              </w:rPr>
            </w:pPr>
            <w:r w:rsidRPr="008B6176">
              <w:rPr>
                <w:rFonts w:ascii="Arial Narrow" w:hAnsi="Arial Narrow" w:cs="Times New Roman"/>
                <w:sz w:val="24"/>
                <w:szCs w:val="24"/>
              </w:rPr>
              <w:t>0,250</w:t>
            </w:r>
          </w:p>
        </w:tc>
      </w:tr>
      <w:tr>
        <w:tblPrEx>
          <w:tblW w:w="9075" w:type="dxa"/>
          <w:tblInd w:w="55" w:type="dxa"/>
          <w:tblCellMar>
            <w:left w:w="70" w:type="dxa"/>
            <w:right w:w="70" w:type="dxa"/>
          </w:tblCellMar>
        </w:tblPrEx>
        <w:trPr>
          <w:trHeight w:hRule="exact" w:val="284"/>
        </w:trPr>
        <w:tc>
          <w:tcPr>
            <w:tcW w:w="1095" w:type="dxa"/>
            <w:vMerge/>
            <w:tcBorders>
              <w:top w:val="single" w:sz="8" w:space="0" w:color="auto"/>
              <w:left w:val="single" w:sz="8" w:space="0" w:color="auto"/>
              <w:bottom w:val="single" w:sz="8" w:space="0" w:color="auto"/>
              <w:right w:val="single" w:sz="8" w:space="0" w:color="auto"/>
              <w:tl2br w:val="nil"/>
              <w:tr2bl w:val="nil"/>
            </w:tcBorders>
            <w:textDirection w:val="lrTb"/>
            <w:vAlign w:val="center"/>
          </w:tcPr>
          <w:p w:rsidR="008B6176" w:rsidRPr="008B6176" w:rsidP="008B6176">
            <w:pPr>
              <w:spacing w:line="240" w:lineRule="auto"/>
              <w:rPr>
                <w:rFonts w:ascii="Arial Narrow" w:hAnsi="Arial Narrow" w:cs="Times New Roman"/>
                <w:sz w:val="24"/>
                <w:szCs w:val="24"/>
              </w:rPr>
            </w:pPr>
          </w:p>
        </w:tc>
        <w:tc>
          <w:tcPr>
            <w:tcW w:w="1440" w:type="dxa"/>
            <w:tcBorders>
              <w:top w:val="single" w:sz="8" w:space="0" w:color="auto"/>
              <w:left w:val="single" w:sz="8" w:space="0" w:color="auto"/>
              <w:bottom w:val="single" w:sz="8" w:space="0" w:color="auto"/>
              <w:right w:val="single" w:sz="8" w:space="0" w:color="auto"/>
              <w:tl2br w:val="nil"/>
              <w:tr2bl w:val="nil"/>
            </w:tcBorders>
            <w:textDirection w:val="lrTb"/>
            <w:vAlign w:val="bottom"/>
          </w:tcPr>
          <w:p w:rsidR="008B6176" w:rsidRPr="008B6176" w:rsidP="008B6176">
            <w:pPr>
              <w:spacing w:line="240" w:lineRule="auto"/>
              <w:jc w:val="right"/>
              <w:rPr>
                <w:rFonts w:ascii="Arial Narrow" w:hAnsi="Arial Narrow" w:cs="Times New Roman"/>
                <w:sz w:val="24"/>
                <w:szCs w:val="24"/>
              </w:rPr>
            </w:pPr>
            <w:r w:rsidRPr="008B6176">
              <w:rPr>
                <w:rFonts w:ascii="Arial Narrow" w:hAnsi="Arial Narrow" w:cs="Times New Roman"/>
                <w:sz w:val="24"/>
                <w:szCs w:val="24"/>
              </w:rPr>
              <w:t>1456</w:t>
            </w:r>
          </w:p>
        </w:tc>
        <w:tc>
          <w:tcPr>
            <w:tcW w:w="5220" w:type="dxa"/>
            <w:tcBorders>
              <w:top w:val="single" w:sz="8" w:space="0" w:color="auto"/>
              <w:left w:val="single" w:sz="8" w:space="0" w:color="auto"/>
              <w:bottom w:val="single" w:sz="8" w:space="0" w:color="auto"/>
              <w:right w:val="single" w:sz="8" w:space="0" w:color="auto"/>
              <w:tl2br w:val="nil"/>
              <w:tr2bl w:val="nil"/>
            </w:tcBorders>
            <w:textDirection w:val="lrTb"/>
            <w:vAlign w:val="bottom"/>
          </w:tcPr>
          <w:p w:rsidR="008B6176" w:rsidRPr="008B6176" w:rsidP="008B6176">
            <w:pPr>
              <w:spacing w:line="240" w:lineRule="auto"/>
              <w:rPr>
                <w:rFonts w:ascii="Arial Narrow" w:hAnsi="Arial Narrow" w:cs="Times New Roman"/>
                <w:sz w:val="24"/>
                <w:szCs w:val="24"/>
              </w:rPr>
            </w:pPr>
            <w:r w:rsidRPr="008B6176">
              <w:rPr>
                <w:rFonts w:ascii="Arial Narrow" w:hAnsi="Arial Narrow" w:cs="Times New Roman"/>
                <w:sz w:val="24"/>
                <w:szCs w:val="24"/>
              </w:rPr>
              <w:t>I/77 Nižný Mirošov, chodníky</w:t>
            </w:r>
          </w:p>
        </w:tc>
        <w:tc>
          <w:tcPr>
            <w:tcW w:w="1320" w:type="dxa"/>
            <w:tcBorders>
              <w:top w:val="single" w:sz="8" w:space="0" w:color="auto"/>
              <w:left w:val="single" w:sz="8" w:space="0" w:color="auto"/>
              <w:bottom w:val="single" w:sz="8" w:space="0" w:color="auto"/>
              <w:right w:val="single" w:sz="8" w:space="0" w:color="auto"/>
              <w:tl2br w:val="nil"/>
              <w:tr2bl w:val="nil"/>
            </w:tcBorders>
            <w:textDirection w:val="lrTb"/>
            <w:vAlign w:val="bottom"/>
          </w:tcPr>
          <w:p w:rsidR="008B6176" w:rsidRPr="008B6176" w:rsidP="008B6176">
            <w:pPr>
              <w:spacing w:line="240" w:lineRule="auto"/>
              <w:jc w:val="center"/>
              <w:rPr>
                <w:rFonts w:ascii="Arial Narrow" w:hAnsi="Arial Narrow" w:cs="Times New Roman"/>
                <w:sz w:val="24"/>
                <w:szCs w:val="24"/>
              </w:rPr>
            </w:pPr>
            <w:r w:rsidRPr="008B6176">
              <w:rPr>
                <w:rFonts w:ascii="Arial Narrow" w:hAnsi="Arial Narrow" w:cs="Times New Roman"/>
                <w:sz w:val="24"/>
                <w:szCs w:val="24"/>
              </w:rPr>
              <w:t>1,100</w:t>
            </w:r>
          </w:p>
        </w:tc>
      </w:tr>
      <w:tr>
        <w:tblPrEx>
          <w:tblW w:w="9075" w:type="dxa"/>
          <w:tblInd w:w="55" w:type="dxa"/>
          <w:tblCellMar>
            <w:left w:w="70" w:type="dxa"/>
            <w:right w:w="70" w:type="dxa"/>
          </w:tblCellMar>
        </w:tblPrEx>
        <w:trPr>
          <w:trHeight w:hRule="exact" w:val="284"/>
        </w:trPr>
        <w:tc>
          <w:tcPr>
            <w:tcW w:w="1095" w:type="dxa"/>
            <w:vMerge/>
            <w:tcBorders>
              <w:top w:val="single" w:sz="8" w:space="0" w:color="auto"/>
              <w:left w:val="single" w:sz="8" w:space="0" w:color="auto"/>
              <w:bottom w:val="single" w:sz="8" w:space="0" w:color="auto"/>
              <w:right w:val="single" w:sz="8" w:space="0" w:color="auto"/>
              <w:tl2br w:val="nil"/>
              <w:tr2bl w:val="nil"/>
            </w:tcBorders>
            <w:textDirection w:val="lrTb"/>
            <w:vAlign w:val="center"/>
          </w:tcPr>
          <w:p w:rsidR="008B6176" w:rsidRPr="008B6176" w:rsidP="008B6176">
            <w:pPr>
              <w:spacing w:line="240" w:lineRule="auto"/>
              <w:rPr>
                <w:rFonts w:ascii="Arial Narrow" w:hAnsi="Arial Narrow" w:cs="Times New Roman"/>
                <w:sz w:val="24"/>
                <w:szCs w:val="24"/>
              </w:rPr>
            </w:pPr>
          </w:p>
        </w:tc>
        <w:tc>
          <w:tcPr>
            <w:tcW w:w="1440" w:type="dxa"/>
            <w:tcBorders>
              <w:top w:val="single" w:sz="8" w:space="0" w:color="auto"/>
              <w:left w:val="single" w:sz="8" w:space="0" w:color="auto"/>
              <w:bottom w:val="single" w:sz="8" w:space="0" w:color="auto"/>
              <w:right w:val="single" w:sz="8" w:space="0" w:color="auto"/>
              <w:tl2br w:val="nil"/>
              <w:tr2bl w:val="nil"/>
            </w:tcBorders>
            <w:textDirection w:val="lrTb"/>
            <w:vAlign w:val="bottom"/>
          </w:tcPr>
          <w:p w:rsidR="008B6176" w:rsidRPr="008B6176" w:rsidP="008B6176">
            <w:pPr>
              <w:spacing w:line="240" w:lineRule="auto"/>
              <w:jc w:val="right"/>
              <w:rPr>
                <w:rFonts w:ascii="Arial Narrow" w:hAnsi="Arial Narrow" w:cs="Times New Roman"/>
                <w:sz w:val="24"/>
                <w:szCs w:val="24"/>
              </w:rPr>
            </w:pPr>
            <w:r w:rsidRPr="008B6176">
              <w:rPr>
                <w:rFonts w:ascii="Arial Narrow" w:hAnsi="Arial Narrow" w:cs="Times New Roman"/>
                <w:sz w:val="24"/>
                <w:szCs w:val="24"/>
              </w:rPr>
              <w:t>1493</w:t>
            </w:r>
          </w:p>
        </w:tc>
        <w:tc>
          <w:tcPr>
            <w:tcW w:w="5220" w:type="dxa"/>
            <w:tcBorders>
              <w:top w:val="single" w:sz="8" w:space="0" w:color="auto"/>
              <w:left w:val="single" w:sz="8" w:space="0" w:color="auto"/>
              <w:bottom w:val="single" w:sz="8" w:space="0" w:color="auto"/>
              <w:right w:val="single" w:sz="8" w:space="0" w:color="auto"/>
              <w:tl2br w:val="nil"/>
              <w:tr2bl w:val="nil"/>
            </w:tcBorders>
            <w:textDirection w:val="lrTb"/>
            <w:vAlign w:val="bottom"/>
          </w:tcPr>
          <w:p w:rsidR="008B6176" w:rsidRPr="008B6176" w:rsidP="008B6176">
            <w:pPr>
              <w:spacing w:line="240" w:lineRule="auto"/>
              <w:rPr>
                <w:rFonts w:ascii="Arial Narrow" w:hAnsi="Arial Narrow" w:cs="Times New Roman"/>
                <w:sz w:val="24"/>
                <w:szCs w:val="24"/>
              </w:rPr>
            </w:pPr>
            <w:r w:rsidRPr="008B6176">
              <w:rPr>
                <w:rFonts w:ascii="Arial Narrow" w:hAnsi="Arial Narrow" w:cs="Times New Roman"/>
                <w:sz w:val="24"/>
                <w:szCs w:val="24"/>
              </w:rPr>
              <w:t>I/77 a III/5565 Bardejov, križovatka</w:t>
            </w:r>
          </w:p>
        </w:tc>
        <w:tc>
          <w:tcPr>
            <w:tcW w:w="1320" w:type="dxa"/>
            <w:tcBorders>
              <w:top w:val="single" w:sz="8" w:space="0" w:color="auto"/>
              <w:left w:val="single" w:sz="8" w:space="0" w:color="auto"/>
              <w:bottom w:val="single" w:sz="8" w:space="0" w:color="auto"/>
              <w:right w:val="single" w:sz="8" w:space="0" w:color="auto"/>
              <w:tl2br w:val="nil"/>
              <w:tr2bl w:val="nil"/>
            </w:tcBorders>
            <w:textDirection w:val="lrTb"/>
            <w:vAlign w:val="bottom"/>
          </w:tcPr>
          <w:p w:rsidR="008B6176" w:rsidRPr="008B6176" w:rsidP="008B6176">
            <w:pPr>
              <w:spacing w:line="240" w:lineRule="auto"/>
              <w:jc w:val="center"/>
              <w:rPr>
                <w:rFonts w:ascii="Arial Narrow" w:hAnsi="Arial Narrow" w:cs="Times New Roman"/>
                <w:sz w:val="24"/>
                <w:szCs w:val="24"/>
              </w:rPr>
            </w:pPr>
            <w:r w:rsidRPr="008B6176">
              <w:rPr>
                <w:rFonts w:ascii="Arial Narrow" w:hAnsi="Arial Narrow" w:cs="Times New Roman"/>
                <w:sz w:val="24"/>
                <w:szCs w:val="24"/>
              </w:rPr>
              <w:t>0,700</w:t>
            </w:r>
          </w:p>
        </w:tc>
      </w:tr>
      <w:tr>
        <w:tblPrEx>
          <w:tblW w:w="9075" w:type="dxa"/>
          <w:tblInd w:w="55" w:type="dxa"/>
          <w:tblCellMar>
            <w:left w:w="70" w:type="dxa"/>
            <w:right w:w="70" w:type="dxa"/>
          </w:tblCellMar>
        </w:tblPrEx>
        <w:trPr>
          <w:trHeight w:hRule="exact" w:val="284"/>
        </w:trPr>
        <w:tc>
          <w:tcPr>
            <w:tcW w:w="1095" w:type="dxa"/>
            <w:vMerge/>
            <w:tcBorders>
              <w:top w:val="single" w:sz="8" w:space="0" w:color="auto"/>
              <w:left w:val="single" w:sz="8" w:space="0" w:color="auto"/>
              <w:bottom w:val="single" w:sz="8" w:space="0" w:color="auto"/>
              <w:right w:val="single" w:sz="8" w:space="0" w:color="auto"/>
              <w:tl2br w:val="nil"/>
              <w:tr2bl w:val="nil"/>
            </w:tcBorders>
            <w:textDirection w:val="lrTb"/>
            <w:vAlign w:val="center"/>
          </w:tcPr>
          <w:p w:rsidR="008B6176" w:rsidRPr="008B6176" w:rsidP="008B6176">
            <w:pPr>
              <w:spacing w:line="240" w:lineRule="auto"/>
              <w:rPr>
                <w:rFonts w:ascii="Arial Narrow" w:hAnsi="Arial Narrow" w:cs="Times New Roman"/>
                <w:sz w:val="24"/>
                <w:szCs w:val="24"/>
              </w:rPr>
            </w:pPr>
          </w:p>
        </w:tc>
        <w:tc>
          <w:tcPr>
            <w:tcW w:w="1440" w:type="dxa"/>
            <w:tcBorders>
              <w:top w:val="single" w:sz="8" w:space="0" w:color="auto"/>
              <w:left w:val="single" w:sz="8" w:space="0" w:color="auto"/>
              <w:bottom w:val="single" w:sz="8" w:space="0" w:color="auto"/>
              <w:right w:val="single" w:sz="8" w:space="0" w:color="auto"/>
              <w:tl2br w:val="nil"/>
              <w:tr2bl w:val="nil"/>
            </w:tcBorders>
            <w:textDirection w:val="lrTb"/>
            <w:vAlign w:val="bottom"/>
          </w:tcPr>
          <w:p w:rsidR="008B6176" w:rsidRPr="008B6176" w:rsidP="008B6176">
            <w:pPr>
              <w:spacing w:line="240" w:lineRule="auto"/>
              <w:jc w:val="right"/>
              <w:rPr>
                <w:rFonts w:ascii="Arial Narrow" w:hAnsi="Arial Narrow" w:cs="Times New Roman"/>
                <w:sz w:val="24"/>
                <w:szCs w:val="24"/>
              </w:rPr>
            </w:pPr>
            <w:r w:rsidRPr="008B6176">
              <w:rPr>
                <w:rFonts w:ascii="Arial Narrow" w:hAnsi="Arial Narrow" w:cs="Times New Roman"/>
                <w:sz w:val="24"/>
                <w:szCs w:val="24"/>
              </w:rPr>
              <w:t>1438</w:t>
            </w:r>
          </w:p>
        </w:tc>
        <w:tc>
          <w:tcPr>
            <w:tcW w:w="5220" w:type="dxa"/>
            <w:tcBorders>
              <w:top w:val="single" w:sz="8" w:space="0" w:color="auto"/>
              <w:left w:val="single" w:sz="8" w:space="0" w:color="auto"/>
              <w:bottom w:val="single" w:sz="8" w:space="0" w:color="auto"/>
              <w:right w:val="single" w:sz="8" w:space="0" w:color="auto"/>
              <w:tl2br w:val="nil"/>
              <w:tr2bl w:val="nil"/>
            </w:tcBorders>
            <w:textDirection w:val="lrTb"/>
            <w:vAlign w:val="bottom"/>
          </w:tcPr>
          <w:p w:rsidR="008B6176" w:rsidRPr="008B6176" w:rsidP="008B6176">
            <w:pPr>
              <w:spacing w:line="240" w:lineRule="auto"/>
              <w:rPr>
                <w:rFonts w:ascii="Arial Narrow" w:hAnsi="Arial Narrow" w:cs="Times New Roman"/>
                <w:sz w:val="24"/>
                <w:szCs w:val="24"/>
              </w:rPr>
            </w:pPr>
            <w:r w:rsidRPr="008B6176">
              <w:rPr>
                <w:rFonts w:ascii="Arial Narrow" w:hAnsi="Arial Narrow" w:cs="Times New Roman"/>
                <w:sz w:val="24"/>
                <w:szCs w:val="24"/>
              </w:rPr>
              <w:t>I/68 Pečovská Nová Ves, odvodnenie, chodníky</w:t>
            </w:r>
          </w:p>
        </w:tc>
        <w:tc>
          <w:tcPr>
            <w:tcW w:w="1320" w:type="dxa"/>
            <w:tcBorders>
              <w:top w:val="single" w:sz="8" w:space="0" w:color="auto"/>
              <w:left w:val="single" w:sz="8" w:space="0" w:color="auto"/>
              <w:bottom w:val="single" w:sz="8" w:space="0" w:color="auto"/>
              <w:right w:val="single" w:sz="8" w:space="0" w:color="auto"/>
              <w:tl2br w:val="nil"/>
              <w:tr2bl w:val="nil"/>
            </w:tcBorders>
            <w:textDirection w:val="lrTb"/>
            <w:vAlign w:val="bottom"/>
          </w:tcPr>
          <w:p w:rsidR="008B6176" w:rsidRPr="008B6176" w:rsidP="008B6176">
            <w:pPr>
              <w:spacing w:line="240" w:lineRule="auto"/>
              <w:jc w:val="center"/>
              <w:rPr>
                <w:rFonts w:ascii="Arial Narrow" w:hAnsi="Arial Narrow" w:cs="Times New Roman"/>
                <w:sz w:val="24"/>
                <w:szCs w:val="24"/>
              </w:rPr>
            </w:pPr>
            <w:r w:rsidRPr="008B6176">
              <w:rPr>
                <w:rFonts w:ascii="Arial Narrow" w:hAnsi="Arial Narrow" w:cs="Times New Roman"/>
                <w:sz w:val="24"/>
                <w:szCs w:val="24"/>
              </w:rPr>
              <w:t>1,000</w:t>
            </w:r>
          </w:p>
        </w:tc>
      </w:tr>
      <w:tr>
        <w:tblPrEx>
          <w:tblW w:w="9075" w:type="dxa"/>
          <w:tblInd w:w="55" w:type="dxa"/>
          <w:tblCellMar>
            <w:left w:w="70" w:type="dxa"/>
            <w:right w:w="70" w:type="dxa"/>
          </w:tblCellMar>
        </w:tblPrEx>
        <w:trPr>
          <w:trHeight w:hRule="exact" w:val="284"/>
        </w:trPr>
        <w:tc>
          <w:tcPr>
            <w:tcW w:w="1095" w:type="dxa"/>
            <w:vMerge w:val="restart"/>
            <w:tcBorders>
              <w:top w:val="single" w:sz="8" w:space="0" w:color="auto"/>
              <w:left w:val="single" w:sz="8" w:space="0" w:color="auto"/>
              <w:bottom w:val="single" w:sz="8" w:space="0" w:color="auto"/>
              <w:right w:val="single" w:sz="8" w:space="0" w:color="auto"/>
              <w:tl2br w:val="nil"/>
              <w:tr2bl w:val="nil"/>
            </w:tcBorders>
            <w:noWrap/>
            <w:textDirection w:val="btLr"/>
            <w:vAlign w:val="center"/>
          </w:tcPr>
          <w:p w:rsidR="008B6176" w:rsidRPr="008B6176" w:rsidP="008B6176">
            <w:pPr>
              <w:spacing w:line="240" w:lineRule="auto"/>
              <w:jc w:val="center"/>
              <w:rPr>
                <w:rFonts w:ascii="Arial Narrow" w:hAnsi="Arial Narrow" w:cs="Times New Roman"/>
                <w:sz w:val="24"/>
                <w:szCs w:val="24"/>
              </w:rPr>
            </w:pPr>
            <w:r w:rsidRPr="008B6176">
              <w:rPr>
                <w:rFonts w:ascii="Arial Narrow" w:hAnsi="Arial Narrow" w:cs="Times New Roman"/>
                <w:sz w:val="24"/>
                <w:szCs w:val="24"/>
              </w:rPr>
              <w:t>ZA</w:t>
            </w:r>
          </w:p>
        </w:tc>
        <w:tc>
          <w:tcPr>
            <w:tcW w:w="1440" w:type="dxa"/>
            <w:tcBorders>
              <w:top w:val="single" w:sz="8" w:space="0" w:color="auto"/>
              <w:left w:val="single" w:sz="8" w:space="0" w:color="auto"/>
              <w:bottom w:val="single" w:sz="8" w:space="0" w:color="auto"/>
              <w:right w:val="single" w:sz="8" w:space="0" w:color="auto"/>
              <w:tl2br w:val="nil"/>
              <w:tr2bl w:val="nil"/>
            </w:tcBorders>
            <w:textDirection w:val="lrTb"/>
            <w:vAlign w:val="top"/>
          </w:tcPr>
          <w:p w:rsidR="008B6176" w:rsidRPr="008B6176" w:rsidP="008B6176">
            <w:pPr>
              <w:spacing w:line="240" w:lineRule="auto"/>
              <w:jc w:val="right"/>
              <w:rPr>
                <w:rFonts w:ascii="Arial Narrow" w:hAnsi="Arial Narrow" w:cs="Times New Roman"/>
                <w:sz w:val="24"/>
                <w:szCs w:val="24"/>
              </w:rPr>
            </w:pPr>
            <w:r w:rsidRPr="008B6176">
              <w:rPr>
                <w:rFonts w:ascii="Arial Narrow" w:hAnsi="Arial Narrow" w:cs="Times New Roman"/>
                <w:sz w:val="24"/>
                <w:szCs w:val="24"/>
              </w:rPr>
              <w:t>1357</w:t>
            </w:r>
          </w:p>
        </w:tc>
        <w:tc>
          <w:tcPr>
            <w:tcW w:w="5220" w:type="dxa"/>
            <w:tcBorders>
              <w:top w:val="single" w:sz="8" w:space="0" w:color="auto"/>
              <w:left w:val="single" w:sz="8" w:space="0" w:color="auto"/>
              <w:bottom w:val="single" w:sz="8" w:space="0" w:color="auto"/>
              <w:right w:val="single" w:sz="8" w:space="0" w:color="auto"/>
              <w:tl2br w:val="nil"/>
              <w:tr2bl w:val="nil"/>
            </w:tcBorders>
            <w:textDirection w:val="lrTb"/>
            <w:vAlign w:val="top"/>
          </w:tcPr>
          <w:p w:rsidR="008B6176" w:rsidRPr="008B6176" w:rsidP="008B6176">
            <w:pPr>
              <w:spacing w:line="240" w:lineRule="auto"/>
              <w:rPr>
                <w:rFonts w:ascii="Arial Narrow" w:hAnsi="Arial Narrow" w:cs="Times New Roman"/>
                <w:sz w:val="24"/>
                <w:szCs w:val="24"/>
              </w:rPr>
            </w:pPr>
            <w:r w:rsidRPr="008B6176">
              <w:rPr>
                <w:rFonts w:ascii="Arial Narrow" w:hAnsi="Arial Narrow" w:cs="Times New Roman"/>
                <w:sz w:val="24"/>
                <w:szCs w:val="24"/>
              </w:rPr>
              <w:t>I/59 Dlhá nad Oravou - most 087</w:t>
            </w:r>
          </w:p>
        </w:tc>
        <w:tc>
          <w:tcPr>
            <w:tcW w:w="1320" w:type="dxa"/>
            <w:tcBorders>
              <w:top w:val="single" w:sz="8" w:space="0" w:color="auto"/>
              <w:left w:val="single" w:sz="8" w:space="0" w:color="auto"/>
              <w:bottom w:val="single" w:sz="8" w:space="0" w:color="auto"/>
              <w:right w:val="single" w:sz="8" w:space="0" w:color="auto"/>
              <w:tl2br w:val="nil"/>
              <w:tr2bl w:val="nil"/>
            </w:tcBorders>
            <w:textDirection w:val="lrTb"/>
            <w:vAlign w:val="top"/>
          </w:tcPr>
          <w:p w:rsidR="008B6176" w:rsidRPr="008B6176" w:rsidP="008B6176">
            <w:pPr>
              <w:spacing w:line="240" w:lineRule="auto"/>
              <w:jc w:val="center"/>
              <w:rPr>
                <w:rFonts w:ascii="Arial Narrow" w:hAnsi="Arial Narrow" w:cs="Times New Roman"/>
                <w:sz w:val="24"/>
                <w:szCs w:val="24"/>
              </w:rPr>
            </w:pPr>
            <w:r w:rsidRPr="008B6176">
              <w:rPr>
                <w:rFonts w:ascii="Arial Narrow" w:hAnsi="Arial Narrow" w:cs="Times New Roman"/>
                <w:sz w:val="24"/>
                <w:szCs w:val="24"/>
              </w:rPr>
              <w:t>0,145</w:t>
            </w:r>
          </w:p>
        </w:tc>
      </w:tr>
      <w:tr>
        <w:tblPrEx>
          <w:tblW w:w="9075" w:type="dxa"/>
          <w:tblInd w:w="55" w:type="dxa"/>
          <w:tblCellMar>
            <w:left w:w="70" w:type="dxa"/>
            <w:right w:w="70" w:type="dxa"/>
          </w:tblCellMar>
        </w:tblPrEx>
        <w:trPr>
          <w:trHeight w:hRule="exact" w:val="284"/>
        </w:trPr>
        <w:tc>
          <w:tcPr>
            <w:tcW w:w="1095" w:type="dxa"/>
            <w:vMerge/>
            <w:tcBorders>
              <w:top w:val="single" w:sz="8" w:space="0" w:color="auto"/>
              <w:left w:val="single" w:sz="8" w:space="0" w:color="auto"/>
              <w:bottom w:val="single" w:sz="8" w:space="0" w:color="auto"/>
              <w:right w:val="single" w:sz="8" w:space="0" w:color="auto"/>
              <w:tl2br w:val="nil"/>
              <w:tr2bl w:val="nil"/>
            </w:tcBorders>
            <w:textDirection w:val="lrTb"/>
            <w:vAlign w:val="center"/>
          </w:tcPr>
          <w:p w:rsidR="008B6176" w:rsidRPr="008B6176" w:rsidP="008B6176">
            <w:pPr>
              <w:spacing w:line="240" w:lineRule="auto"/>
              <w:rPr>
                <w:rFonts w:ascii="Arial Narrow" w:hAnsi="Arial Narrow" w:cs="Arial"/>
                <w:sz w:val="24"/>
                <w:szCs w:val="24"/>
              </w:rPr>
            </w:pPr>
          </w:p>
        </w:tc>
        <w:tc>
          <w:tcPr>
            <w:tcW w:w="1440" w:type="dxa"/>
            <w:tcBorders>
              <w:top w:val="single" w:sz="8" w:space="0" w:color="auto"/>
              <w:left w:val="single" w:sz="8" w:space="0" w:color="auto"/>
              <w:bottom w:val="single" w:sz="8" w:space="0" w:color="auto"/>
              <w:right w:val="single" w:sz="8" w:space="0" w:color="auto"/>
              <w:tl2br w:val="nil"/>
              <w:tr2bl w:val="nil"/>
            </w:tcBorders>
            <w:textDirection w:val="lrTb"/>
            <w:vAlign w:val="top"/>
          </w:tcPr>
          <w:p w:rsidR="008B6176" w:rsidRPr="008B6176" w:rsidP="008B6176">
            <w:pPr>
              <w:spacing w:line="240" w:lineRule="auto"/>
              <w:jc w:val="right"/>
              <w:rPr>
                <w:rFonts w:ascii="Arial Narrow" w:hAnsi="Arial Narrow" w:cs="Times New Roman"/>
                <w:sz w:val="24"/>
                <w:szCs w:val="24"/>
              </w:rPr>
            </w:pPr>
            <w:r w:rsidRPr="008B6176">
              <w:rPr>
                <w:rFonts w:ascii="Arial Narrow" w:hAnsi="Arial Narrow" w:cs="Times New Roman"/>
                <w:sz w:val="24"/>
                <w:szCs w:val="24"/>
              </w:rPr>
              <w:t>1274</w:t>
            </w:r>
          </w:p>
        </w:tc>
        <w:tc>
          <w:tcPr>
            <w:tcW w:w="5220" w:type="dxa"/>
            <w:tcBorders>
              <w:top w:val="single" w:sz="8" w:space="0" w:color="auto"/>
              <w:left w:val="single" w:sz="8" w:space="0" w:color="auto"/>
              <w:bottom w:val="single" w:sz="8" w:space="0" w:color="auto"/>
              <w:right w:val="single" w:sz="8" w:space="0" w:color="auto"/>
              <w:tl2br w:val="nil"/>
              <w:tr2bl w:val="nil"/>
            </w:tcBorders>
            <w:textDirection w:val="lrTb"/>
            <w:vAlign w:val="top"/>
          </w:tcPr>
          <w:p w:rsidR="008B6176" w:rsidRPr="008B6176" w:rsidP="008B6176">
            <w:pPr>
              <w:spacing w:line="240" w:lineRule="auto"/>
              <w:rPr>
                <w:rFonts w:ascii="Arial Narrow" w:hAnsi="Arial Narrow" w:cs="Times New Roman"/>
                <w:sz w:val="24"/>
                <w:szCs w:val="24"/>
              </w:rPr>
            </w:pPr>
            <w:r w:rsidRPr="008B6176">
              <w:rPr>
                <w:rFonts w:ascii="Arial Narrow" w:hAnsi="Arial Narrow" w:cs="Times New Roman"/>
                <w:sz w:val="24"/>
                <w:szCs w:val="24"/>
              </w:rPr>
              <w:t>I/65 Mošovce - mosty 084, 085</w:t>
            </w:r>
          </w:p>
        </w:tc>
        <w:tc>
          <w:tcPr>
            <w:tcW w:w="1320" w:type="dxa"/>
            <w:tcBorders>
              <w:top w:val="single" w:sz="8" w:space="0" w:color="auto"/>
              <w:left w:val="single" w:sz="8" w:space="0" w:color="auto"/>
              <w:bottom w:val="single" w:sz="8" w:space="0" w:color="auto"/>
              <w:right w:val="single" w:sz="8" w:space="0" w:color="auto"/>
              <w:tl2br w:val="nil"/>
              <w:tr2bl w:val="nil"/>
            </w:tcBorders>
            <w:textDirection w:val="lrTb"/>
            <w:vAlign w:val="top"/>
          </w:tcPr>
          <w:p w:rsidR="008B6176" w:rsidRPr="008B6176" w:rsidP="008B6176">
            <w:pPr>
              <w:spacing w:line="240" w:lineRule="auto"/>
              <w:jc w:val="center"/>
              <w:rPr>
                <w:rFonts w:ascii="Arial Narrow" w:hAnsi="Arial Narrow" w:cs="Times New Roman"/>
                <w:sz w:val="24"/>
                <w:szCs w:val="24"/>
              </w:rPr>
            </w:pPr>
            <w:r w:rsidRPr="008B6176">
              <w:rPr>
                <w:rFonts w:ascii="Arial Narrow" w:hAnsi="Arial Narrow" w:cs="Times New Roman"/>
                <w:sz w:val="24"/>
                <w:szCs w:val="24"/>
              </w:rPr>
              <w:t>0,190</w:t>
            </w:r>
          </w:p>
        </w:tc>
      </w:tr>
      <w:tr>
        <w:tblPrEx>
          <w:tblW w:w="9075" w:type="dxa"/>
          <w:tblInd w:w="55" w:type="dxa"/>
          <w:tblCellMar>
            <w:left w:w="70" w:type="dxa"/>
            <w:right w:w="70" w:type="dxa"/>
          </w:tblCellMar>
        </w:tblPrEx>
        <w:trPr>
          <w:trHeight w:hRule="exact" w:val="284"/>
        </w:trPr>
        <w:tc>
          <w:tcPr>
            <w:tcW w:w="1095" w:type="dxa"/>
            <w:vMerge/>
            <w:tcBorders>
              <w:top w:val="single" w:sz="8" w:space="0" w:color="auto"/>
              <w:left w:val="single" w:sz="8" w:space="0" w:color="auto"/>
              <w:bottom w:val="single" w:sz="8" w:space="0" w:color="auto"/>
              <w:right w:val="single" w:sz="8" w:space="0" w:color="auto"/>
              <w:tl2br w:val="nil"/>
              <w:tr2bl w:val="nil"/>
            </w:tcBorders>
            <w:textDirection w:val="lrTb"/>
            <w:vAlign w:val="center"/>
          </w:tcPr>
          <w:p w:rsidR="008B6176" w:rsidRPr="008B6176" w:rsidP="008B6176">
            <w:pPr>
              <w:spacing w:line="240" w:lineRule="auto"/>
              <w:rPr>
                <w:rFonts w:ascii="Arial Narrow" w:hAnsi="Arial Narrow" w:cs="Arial"/>
                <w:sz w:val="24"/>
                <w:szCs w:val="24"/>
              </w:rPr>
            </w:pPr>
          </w:p>
        </w:tc>
        <w:tc>
          <w:tcPr>
            <w:tcW w:w="1440" w:type="dxa"/>
            <w:tcBorders>
              <w:top w:val="single" w:sz="8" w:space="0" w:color="auto"/>
              <w:left w:val="single" w:sz="8" w:space="0" w:color="auto"/>
              <w:bottom w:val="single" w:sz="8" w:space="0" w:color="auto"/>
              <w:right w:val="single" w:sz="8" w:space="0" w:color="auto"/>
              <w:tl2br w:val="nil"/>
              <w:tr2bl w:val="nil"/>
            </w:tcBorders>
            <w:textDirection w:val="lrTb"/>
            <w:vAlign w:val="top"/>
          </w:tcPr>
          <w:p w:rsidR="008B6176" w:rsidRPr="008B6176" w:rsidP="008B6176">
            <w:pPr>
              <w:spacing w:line="240" w:lineRule="auto"/>
              <w:jc w:val="right"/>
              <w:rPr>
                <w:rFonts w:ascii="Arial Narrow" w:hAnsi="Arial Narrow" w:cs="Times New Roman"/>
                <w:sz w:val="24"/>
                <w:szCs w:val="24"/>
              </w:rPr>
            </w:pPr>
            <w:r w:rsidRPr="008B6176">
              <w:rPr>
                <w:rFonts w:ascii="Arial Narrow" w:hAnsi="Arial Narrow" w:cs="Times New Roman"/>
                <w:sz w:val="24"/>
                <w:szCs w:val="24"/>
              </w:rPr>
              <w:t>1631</w:t>
            </w:r>
          </w:p>
        </w:tc>
        <w:tc>
          <w:tcPr>
            <w:tcW w:w="5220" w:type="dxa"/>
            <w:tcBorders>
              <w:top w:val="single" w:sz="8" w:space="0" w:color="auto"/>
              <w:left w:val="single" w:sz="8" w:space="0" w:color="auto"/>
              <w:bottom w:val="single" w:sz="8" w:space="0" w:color="auto"/>
              <w:right w:val="single" w:sz="8" w:space="0" w:color="auto"/>
              <w:tl2br w:val="nil"/>
              <w:tr2bl w:val="nil"/>
            </w:tcBorders>
            <w:textDirection w:val="lrTb"/>
            <w:vAlign w:val="top"/>
          </w:tcPr>
          <w:p w:rsidR="008B6176" w:rsidRPr="008B6176" w:rsidP="008B6176">
            <w:pPr>
              <w:spacing w:line="240" w:lineRule="auto"/>
              <w:rPr>
                <w:rFonts w:ascii="Arial Narrow" w:hAnsi="Arial Narrow" w:cs="Times New Roman"/>
                <w:sz w:val="24"/>
                <w:szCs w:val="24"/>
              </w:rPr>
            </w:pPr>
            <w:r w:rsidRPr="008B6176">
              <w:rPr>
                <w:rFonts w:ascii="Arial Narrow" w:hAnsi="Arial Narrow" w:cs="Times New Roman"/>
                <w:sz w:val="24"/>
                <w:szCs w:val="24"/>
              </w:rPr>
              <w:t>I/64 Šuja -</w:t>
            </w:r>
            <w:r w:rsidRPr="008B6176">
              <w:rPr>
                <w:rFonts w:ascii="Arial Narrow" w:hAnsi="Arial Narrow" w:cs="Times New Roman"/>
                <w:sz w:val="24"/>
                <w:szCs w:val="24"/>
              </w:rPr>
              <w:t xml:space="preserve"> most 094</w:t>
            </w:r>
          </w:p>
        </w:tc>
        <w:tc>
          <w:tcPr>
            <w:tcW w:w="1320" w:type="dxa"/>
            <w:tcBorders>
              <w:top w:val="single" w:sz="8" w:space="0" w:color="auto"/>
              <w:left w:val="single" w:sz="8" w:space="0" w:color="auto"/>
              <w:bottom w:val="single" w:sz="8" w:space="0" w:color="auto"/>
              <w:right w:val="single" w:sz="8" w:space="0" w:color="auto"/>
              <w:tl2br w:val="nil"/>
              <w:tr2bl w:val="nil"/>
            </w:tcBorders>
            <w:textDirection w:val="lrTb"/>
            <w:vAlign w:val="top"/>
          </w:tcPr>
          <w:p w:rsidR="008B6176" w:rsidRPr="008B6176" w:rsidP="008B6176">
            <w:pPr>
              <w:spacing w:line="240" w:lineRule="auto"/>
              <w:jc w:val="center"/>
              <w:rPr>
                <w:rFonts w:ascii="Arial Narrow" w:hAnsi="Arial Narrow" w:cs="Times New Roman"/>
                <w:sz w:val="24"/>
                <w:szCs w:val="24"/>
              </w:rPr>
            </w:pPr>
          </w:p>
        </w:tc>
      </w:tr>
      <w:tr>
        <w:tblPrEx>
          <w:tblW w:w="9075" w:type="dxa"/>
          <w:tblInd w:w="55" w:type="dxa"/>
          <w:tblCellMar>
            <w:left w:w="70" w:type="dxa"/>
            <w:right w:w="70" w:type="dxa"/>
          </w:tblCellMar>
        </w:tblPrEx>
        <w:trPr>
          <w:trHeight w:hRule="exact" w:val="284"/>
        </w:trPr>
        <w:tc>
          <w:tcPr>
            <w:tcW w:w="1095" w:type="dxa"/>
            <w:vMerge/>
            <w:tcBorders>
              <w:top w:val="single" w:sz="8" w:space="0" w:color="auto"/>
              <w:left w:val="single" w:sz="8" w:space="0" w:color="auto"/>
              <w:bottom w:val="single" w:sz="8" w:space="0" w:color="auto"/>
              <w:right w:val="single" w:sz="8" w:space="0" w:color="auto"/>
              <w:tl2br w:val="nil"/>
              <w:tr2bl w:val="nil"/>
            </w:tcBorders>
            <w:textDirection w:val="lrTb"/>
            <w:vAlign w:val="center"/>
          </w:tcPr>
          <w:p w:rsidR="008B6176" w:rsidRPr="008B6176" w:rsidP="008B6176">
            <w:pPr>
              <w:spacing w:line="240" w:lineRule="auto"/>
              <w:rPr>
                <w:rFonts w:ascii="Arial Narrow" w:hAnsi="Arial Narrow" w:cs="Arial"/>
                <w:sz w:val="24"/>
                <w:szCs w:val="24"/>
              </w:rPr>
            </w:pPr>
          </w:p>
        </w:tc>
        <w:tc>
          <w:tcPr>
            <w:tcW w:w="1440" w:type="dxa"/>
            <w:tcBorders>
              <w:top w:val="single" w:sz="8" w:space="0" w:color="auto"/>
              <w:left w:val="single" w:sz="8" w:space="0" w:color="auto"/>
              <w:bottom w:val="single" w:sz="8" w:space="0" w:color="auto"/>
              <w:right w:val="single" w:sz="8" w:space="0" w:color="auto"/>
              <w:tl2br w:val="nil"/>
              <w:tr2bl w:val="nil"/>
            </w:tcBorders>
            <w:textDirection w:val="lrTb"/>
            <w:vAlign w:val="top"/>
          </w:tcPr>
          <w:p w:rsidR="008B6176" w:rsidRPr="008B6176" w:rsidP="008B6176">
            <w:pPr>
              <w:spacing w:line="240" w:lineRule="auto"/>
              <w:jc w:val="right"/>
              <w:rPr>
                <w:rFonts w:ascii="Arial Narrow" w:hAnsi="Arial Narrow" w:cs="Times New Roman"/>
                <w:sz w:val="24"/>
                <w:szCs w:val="24"/>
              </w:rPr>
            </w:pPr>
            <w:r w:rsidRPr="008B6176">
              <w:rPr>
                <w:rFonts w:ascii="Arial Narrow" w:hAnsi="Arial Narrow" w:cs="Times New Roman"/>
                <w:sz w:val="24"/>
                <w:szCs w:val="24"/>
              </w:rPr>
              <w:t>1354</w:t>
            </w:r>
          </w:p>
        </w:tc>
        <w:tc>
          <w:tcPr>
            <w:tcW w:w="5220" w:type="dxa"/>
            <w:tcBorders>
              <w:top w:val="single" w:sz="8" w:space="0" w:color="auto"/>
              <w:left w:val="single" w:sz="8" w:space="0" w:color="auto"/>
              <w:bottom w:val="single" w:sz="8" w:space="0" w:color="auto"/>
              <w:right w:val="single" w:sz="8" w:space="0" w:color="auto"/>
              <w:tl2br w:val="nil"/>
              <w:tr2bl w:val="nil"/>
            </w:tcBorders>
            <w:textDirection w:val="lrTb"/>
            <w:vAlign w:val="top"/>
          </w:tcPr>
          <w:p w:rsidR="008B6176" w:rsidRPr="008B6176" w:rsidP="008B6176">
            <w:pPr>
              <w:spacing w:line="240" w:lineRule="auto"/>
              <w:rPr>
                <w:rFonts w:ascii="Arial Narrow" w:hAnsi="Arial Narrow" w:cs="Times New Roman"/>
                <w:sz w:val="24"/>
                <w:szCs w:val="24"/>
              </w:rPr>
            </w:pPr>
            <w:r w:rsidRPr="008B6176">
              <w:rPr>
                <w:rFonts w:ascii="Arial Narrow" w:hAnsi="Arial Narrow" w:cs="Times New Roman"/>
                <w:sz w:val="24"/>
                <w:szCs w:val="24"/>
              </w:rPr>
              <w:t>I/78 Príslop - zosuv I. etapa</w:t>
            </w:r>
          </w:p>
        </w:tc>
        <w:tc>
          <w:tcPr>
            <w:tcW w:w="1320" w:type="dxa"/>
            <w:tcBorders>
              <w:top w:val="single" w:sz="8" w:space="0" w:color="auto"/>
              <w:left w:val="single" w:sz="8" w:space="0" w:color="auto"/>
              <w:bottom w:val="single" w:sz="8" w:space="0" w:color="auto"/>
              <w:right w:val="single" w:sz="8" w:space="0" w:color="auto"/>
              <w:tl2br w:val="nil"/>
              <w:tr2bl w:val="nil"/>
            </w:tcBorders>
            <w:textDirection w:val="lrTb"/>
            <w:vAlign w:val="top"/>
          </w:tcPr>
          <w:p w:rsidR="008B6176" w:rsidRPr="008B6176" w:rsidP="008B6176">
            <w:pPr>
              <w:spacing w:line="240" w:lineRule="auto"/>
              <w:jc w:val="center"/>
              <w:rPr>
                <w:rFonts w:ascii="Arial Narrow" w:hAnsi="Arial Narrow" w:cs="Times New Roman"/>
                <w:sz w:val="24"/>
                <w:szCs w:val="24"/>
              </w:rPr>
            </w:pPr>
            <w:r w:rsidRPr="008B6176">
              <w:rPr>
                <w:rFonts w:ascii="Arial Narrow" w:hAnsi="Arial Narrow" w:cs="Times New Roman"/>
                <w:sz w:val="24"/>
                <w:szCs w:val="24"/>
              </w:rPr>
              <w:t>0,410</w:t>
            </w:r>
          </w:p>
        </w:tc>
      </w:tr>
      <w:tr>
        <w:tblPrEx>
          <w:tblW w:w="9075" w:type="dxa"/>
          <w:tblInd w:w="55" w:type="dxa"/>
          <w:tblCellMar>
            <w:left w:w="70" w:type="dxa"/>
            <w:right w:w="70" w:type="dxa"/>
          </w:tblCellMar>
        </w:tblPrEx>
        <w:trPr>
          <w:trHeight w:hRule="exact" w:val="284"/>
        </w:trPr>
        <w:tc>
          <w:tcPr>
            <w:tcW w:w="1095" w:type="dxa"/>
            <w:vMerge/>
            <w:tcBorders>
              <w:top w:val="single" w:sz="8" w:space="0" w:color="auto"/>
              <w:left w:val="single" w:sz="8" w:space="0" w:color="auto"/>
              <w:bottom w:val="single" w:sz="8" w:space="0" w:color="auto"/>
              <w:right w:val="single" w:sz="8" w:space="0" w:color="auto"/>
              <w:tl2br w:val="nil"/>
              <w:tr2bl w:val="nil"/>
            </w:tcBorders>
            <w:textDirection w:val="lrTb"/>
            <w:vAlign w:val="center"/>
          </w:tcPr>
          <w:p w:rsidR="008B6176" w:rsidRPr="008B6176" w:rsidP="008B6176">
            <w:pPr>
              <w:spacing w:line="240" w:lineRule="auto"/>
              <w:rPr>
                <w:rFonts w:ascii="Arial Narrow" w:hAnsi="Arial Narrow" w:cs="Arial"/>
                <w:sz w:val="24"/>
                <w:szCs w:val="24"/>
              </w:rPr>
            </w:pPr>
          </w:p>
        </w:tc>
        <w:tc>
          <w:tcPr>
            <w:tcW w:w="1440" w:type="dxa"/>
            <w:tcBorders>
              <w:top w:val="single" w:sz="8" w:space="0" w:color="auto"/>
              <w:left w:val="single" w:sz="8" w:space="0" w:color="auto"/>
              <w:bottom w:val="single" w:sz="8" w:space="0" w:color="auto"/>
              <w:right w:val="single" w:sz="8" w:space="0" w:color="auto"/>
              <w:tl2br w:val="nil"/>
              <w:tr2bl w:val="nil"/>
            </w:tcBorders>
            <w:textDirection w:val="lrTb"/>
            <w:vAlign w:val="top"/>
          </w:tcPr>
          <w:p w:rsidR="008B6176" w:rsidRPr="008B6176" w:rsidP="008B6176">
            <w:pPr>
              <w:spacing w:line="240" w:lineRule="auto"/>
              <w:jc w:val="right"/>
              <w:rPr>
                <w:rFonts w:ascii="Arial Narrow" w:hAnsi="Arial Narrow" w:cs="Times New Roman"/>
                <w:sz w:val="24"/>
                <w:szCs w:val="24"/>
              </w:rPr>
            </w:pPr>
            <w:r w:rsidRPr="008B6176">
              <w:rPr>
                <w:rFonts w:ascii="Arial Narrow" w:hAnsi="Arial Narrow" w:cs="Times New Roman"/>
                <w:sz w:val="24"/>
                <w:szCs w:val="24"/>
              </w:rPr>
              <w:t>1353</w:t>
            </w:r>
          </w:p>
        </w:tc>
        <w:tc>
          <w:tcPr>
            <w:tcW w:w="5220" w:type="dxa"/>
            <w:tcBorders>
              <w:top w:val="single" w:sz="8" w:space="0" w:color="auto"/>
              <w:left w:val="single" w:sz="8" w:space="0" w:color="auto"/>
              <w:bottom w:val="single" w:sz="8" w:space="0" w:color="auto"/>
              <w:right w:val="single" w:sz="8" w:space="0" w:color="auto"/>
              <w:tl2br w:val="nil"/>
              <w:tr2bl w:val="nil"/>
            </w:tcBorders>
            <w:textDirection w:val="lrTb"/>
            <w:vAlign w:val="top"/>
          </w:tcPr>
          <w:p w:rsidR="008B6176" w:rsidRPr="008B6176" w:rsidP="008B6176">
            <w:pPr>
              <w:spacing w:line="240" w:lineRule="auto"/>
              <w:rPr>
                <w:rFonts w:ascii="Arial Narrow" w:hAnsi="Arial Narrow" w:cs="Times New Roman"/>
                <w:sz w:val="24"/>
                <w:szCs w:val="24"/>
              </w:rPr>
            </w:pPr>
            <w:r w:rsidRPr="008B6176">
              <w:rPr>
                <w:rFonts w:ascii="Arial Narrow" w:hAnsi="Arial Narrow" w:cs="Times New Roman"/>
                <w:sz w:val="24"/>
                <w:szCs w:val="24"/>
              </w:rPr>
              <w:t xml:space="preserve">I/50 Bánovce nad Bebravou </w:t>
            </w:r>
            <w:r w:rsidR="00131B3F">
              <w:rPr>
                <w:rFonts w:ascii="Arial Narrow" w:hAnsi="Arial Narrow" w:cs="Times New Roman"/>
                <w:sz w:val="24"/>
                <w:szCs w:val="24"/>
              </w:rPr>
              <w:t>–</w:t>
            </w:r>
            <w:r w:rsidRPr="008B6176">
              <w:rPr>
                <w:rFonts w:ascii="Arial Narrow" w:hAnsi="Arial Narrow" w:cs="Times New Roman"/>
                <w:sz w:val="24"/>
                <w:szCs w:val="24"/>
              </w:rPr>
              <w:t xml:space="preserve"> zosuv</w:t>
            </w:r>
          </w:p>
        </w:tc>
        <w:tc>
          <w:tcPr>
            <w:tcW w:w="1320" w:type="dxa"/>
            <w:tcBorders>
              <w:top w:val="single" w:sz="8" w:space="0" w:color="auto"/>
              <w:left w:val="single" w:sz="8" w:space="0" w:color="auto"/>
              <w:bottom w:val="single" w:sz="8" w:space="0" w:color="auto"/>
              <w:right w:val="single" w:sz="8" w:space="0" w:color="auto"/>
              <w:tl2br w:val="nil"/>
              <w:tr2bl w:val="nil"/>
            </w:tcBorders>
            <w:textDirection w:val="lrTb"/>
            <w:vAlign w:val="top"/>
          </w:tcPr>
          <w:p w:rsidR="008B6176" w:rsidRPr="008B6176" w:rsidP="008B6176">
            <w:pPr>
              <w:spacing w:line="240" w:lineRule="auto"/>
              <w:jc w:val="center"/>
              <w:rPr>
                <w:rFonts w:ascii="Arial Narrow" w:hAnsi="Arial Narrow" w:cs="Times New Roman"/>
                <w:sz w:val="24"/>
                <w:szCs w:val="24"/>
              </w:rPr>
            </w:pPr>
            <w:r w:rsidRPr="008B6176">
              <w:rPr>
                <w:rFonts w:ascii="Arial Narrow" w:hAnsi="Arial Narrow" w:cs="Times New Roman"/>
                <w:sz w:val="24"/>
                <w:szCs w:val="24"/>
              </w:rPr>
              <w:t>0,300</w:t>
            </w:r>
          </w:p>
        </w:tc>
      </w:tr>
      <w:tr>
        <w:tblPrEx>
          <w:tblW w:w="9075" w:type="dxa"/>
          <w:tblInd w:w="55" w:type="dxa"/>
          <w:tblCellMar>
            <w:left w:w="70" w:type="dxa"/>
            <w:right w:w="70" w:type="dxa"/>
          </w:tblCellMar>
        </w:tblPrEx>
        <w:trPr>
          <w:trHeight w:hRule="exact" w:val="284"/>
        </w:trPr>
        <w:tc>
          <w:tcPr>
            <w:tcW w:w="1095" w:type="dxa"/>
            <w:vMerge/>
            <w:tcBorders>
              <w:top w:val="single" w:sz="8" w:space="0" w:color="auto"/>
              <w:left w:val="single" w:sz="8" w:space="0" w:color="auto"/>
              <w:bottom w:val="single" w:sz="8" w:space="0" w:color="auto"/>
              <w:right w:val="single" w:sz="8" w:space="0" w:color="auto"/>
              <w:tl2br w:val="nil"/>
              <w:tr2bl w:val="nil"/>
            </w:tcBorders>
            <w:textDirection w:val="lrTb"/>
            <w:vAlign w:val="center"/>
          </w:tcPr>
          <w:p w:rsidR="008B6176" w:rsidRPr="008B6176" w:rsidP="008B6176">
            <w:pPr>
              <w:spacing w:line="240" w:lineRule="auto"/>
              <w:rPr>
                <w:rFonts w:ascii="Arial Narrow" w:hAnsi="Arial Narrow" w:cs="Arial"/>
                <w:sz w:val="24"/>
                <w:szCs w:val="24"/>
              </w:rPr>
            </w:pPr>
          </w:p>
        </w:tc>
        <w:tc>
          <w:tcPr>
            <w:tcW w:w="1440" w:type="dxa"/>
            <w:tcBorders>
              <w:top w:val="single" w:sz="8" w:space="0" w:color="auto"/>
              <w:left w:val="single" w:sz="8" w:space="0" w:color="auto"/>
              <w:bottom w:val="single" w:sz="8" w:space="0" w:color="auto"/>
              <w:right w:val="single" w:sz="8" w:space="0" w:color="auto"/>
              <w:tl2br w:val="nil"/>
              <w:tr2bl w:val="nil"/>
            </w:tcBorders>
            <w:textDirection w:val="lrTb"/>
            <w:vAlign w:val="top"/>
          </w:tcPr>
          <w:p w:rsidR="008B6176" w:rsidRPr="008B6176" w:rsidP="008B6176">
            <w:pPr>
              <w:spacing w:line="240" w:lineRule="auto"/>
              <w:jc w:val="right"/>
              <w:rPr>
                <w:rFonts w:ascii="Arial Narrow" w:hAnsi="Arial Narrow" w:cs="Times New Roman"/>
                <w:sz w:val="24"/>
                <w:szCs w:val="24"/>
              </w:rPr>
            </w:pPr>
            <w:r w:rsidRPr="008B6176">
              <w:rPr>
                <w:rFonts w:ascii="Arial Narrow" w:hAnsi="Arial Narrow" w:cs="Times New Roman"/>
                <w:sz w:val="24"/>
                <w:szCs w:val="24"/>
              </w:rPr>
              <w:t>1425</w:t>
            </w:r>
          </w:p>
        </w:tc>
        <w:tc>
          <w:tcPr>
            <w:tcW w:w="5220" w:type="dxa"/>
            <w:tcBorders>
              <w:top w:val="single" w:sz="8" w:space="0" w:color="auto"/>
              <w:left w:val="single" w:sz="8" w:space="0" w:color="auto"/>
              <w:bottom w:val="single" w:sz="8" w:space="0" w:color="auto"/>
              <w:right w:val="single" w:sz="8" w:space="0" w:color="auto"/>
              <w:tl2br w:val="nil"/>
              <w:tr2bl w:val="nil"/>
            </w:tcBorders>
            <w:textDirection w:val="lrTb"/>
            <w:vAlign w:val="top"/>
          </w:tcPr>
          <w:p w:rsidR="008B6176" w:rsidRPr="008B6176" w:rsidP="008B6176">
            <w:pPr>
              <w:spacing w:line="240" w:lineRule="auto"/>
              <w:rPr>
                <w:rFonts w:ascii="Arial Narrow" w:hAnsi="Arial Narrow" w:cs="Times New Roman"/>
                <w:sz w:val="24"/>
                <w:szCs w:val="24"/>
              </w:rPr>
            </w:pPr>
            <w:r w:rsidRPr="008B6176">
              <w:rPr>
                <w:rFonts w:ascii="Arial Narrow" w:hAnsi="Arial Narrow" w:cs="Times New Roman"/>
                <w:sz w:val="24"/>
                <w:szCs w:val="24"/>
              </w:rPr>
              <w:t xml:space="preserve">I/18 Sučany </w:t>
            </w:r>
            <w:r w:rsidR="00131B3F">
              <w:rPr>
                <w:rFonts w:ascii="Arial Narrow" w:hAnsi="Arial Narrow" w:cs="Times New Roman"/>
                <w:sz w:val="24"/>
                <w:szCs w:val="24"/>
              </w:rPr>
              <w:t>–</w:t>
            </w:r>
            <w:r w:rsidRPr="008B6176">
              <w:rPr>
                <w:rFonts w:ascii="Arial Narrow" w:hAnsi="Arial Narrow" w:cs="Times New Roman"/>
                <w:sz w:val="24"/>
                <w:szCs w:val="24"/>
              </w:rPr>
              <w:t xml:space="preserve"> križovatka</w:t>
            </w:r>
          </w:p>
        </w:tc>
        <w:tc>
          <w:tcPr>
            <w:tcW w:w="1320" w:type="dxa"/>
            <w:tcBorders>
              <w:top w:val="single" w:sz="8" w:space="0" w:color="auto"/>
              <w:left w:val="single" w:sz="8" w:space="0" w:color="auto"/>
              <w:bottom w:val="single" w:sz="8" w:space="0" w:color="auto"/>
              <w:right w:val="single" w:sz="8" w:space="0" w:color="auto"/>
              <w:tl2br w:val="nil"/>
              <w:tr2bl w:val="nil"/>
            </w:tcBorders>
            <w:textDirection w:val="lrTb"/>
            <w:vAlign w:val="top"/>
          </w:tcPr>
          <w:p w:rsidR="008B6176" w:rsidRPr="008B6176" w:rsidP="008B6176">
            <w:pPr>
              <w:spacing w:line="240" w:lineRule="auto"/>
              <w:jc w:val="center"/>
              <w:rPr>
                <w:rFonts w:ascii="Arial Narrow" w:hAnsi="Arial Narrow" w:cs="Times New Roman"/>
                <w:sz w:val="24"/>
                <w:szCs w:val="24"/>
              </w:rPr>
            </w:pPr>
            <w:r w:rsidRPr="008B6176">
              <w:rPr>
                <w:rFonts w:ascii="Arial Narrow" w:hAnsi="Arial Narrow" w:cs="Times New Roman"/>
                <w:sz w:val="24"/>
                <w:szCs w:val="24"/>
              </w:rPr>
              <w:t>0,379</w:t>
            </w:r>
          </w:p>
        </w:tc>
      </w:tr>
      <w:tr>
        <w:tblPrEx>
          <w:tblW w:w="9075" w:type="dxa"/>
          <w:tblInd w:w="55" w:type="dxa"/>
          <w:tblCellMar>
            <w:left w:w="70" w:type="dxa"/>
            <w:right w:w="70" w:type="dxa"/>
          </w:tblCellMar>
        </w:tblPrEx>
        <w:trPr>
          <w:trHeight w:hRule="exact" w:val="284"/>
        </w:trPr>
        <w:tc>
          <w:tcPr>
            <w:tcW w:w="7755" w:type="dxa"/>
            <w:gridSpan w:val="3"/>
            <w:tcBorders>
              <w:top w:val="single" w:sz="8" w:space="0" w:color="auto"/>
              <w:left w:val="single" w:sz="8" w:space="0" w:color="auto"/>
              <w:bottom w:val="single" w:sz="8" w:space="0" w:color="auto"/>
              <w:right w:val="single" w:sz="8" w:space="0" w:color="auto"/>
              <w:tl2br w:val="nil"/>
              <w:tr2bl w:val="nil"/>
            </w:tcBorders>
            <w:shd w:val="clear" w:color="auto" w:fill="C0C0C0"/>
            <w:textDirection w:val="lrTb"/>
            <w:vAlign w:val="center"/>
          </w:tcPr>
          <w:p w:rsidR="004F6F2B" w:rsidRPr="004F6F2B" w:rsidP="004F6F2B">
            <w:pPr>
              <w:spacing w:line="240" w:lineRule="auto"/>
              <w:rPr>
                <w:rFonts w:ascii="Arial Narrow" w:hAnsi="Arial Narrow" w:cs="Times New Roman"/>
                <w:b/>
                <w:sz w:val="24"/>
                <w:szCs w:val="24"/>
              </w:rPr>
            </w:pPr>
            <w:r>
              <w:rPr>
                <w:rFonts w:ascii="Arial Narrow" w:hAnsi="Arial Narrow" w:cs="Times New Roman"/>
                <w:b/>
                <w:sz w:val="24"/>
                <w:szCs w:val="24"/>
              </w:rPr>
              <w:t xml:space="preserve">                                              </w:t>
            </w:r>
            <w:r w:rsidRPr="004F6F2B">
              <w:rPr>
                <w:rFonts w:ascii="Arial Narrow" w:hAnsi="Arial Narrow" w:cs="Times New Roman"/>
                <w:b/>
                <w:sz w:val="24"/>
                <w:szCs w:val="24"/>
              </w:rPr>
              <w:t>S P O L U</w:t>
            </w:r>
          </w:p>
        </w:tc>
        <w:tc>
          <w:tcPr>
            <w:tcW w:w="1320" w:type="dxa"/>
            <w:tcBorders>
              <w:top w:val="single" w:sz="8" w:space="0" w:color="auto"/>
              <w:left w:val="single" w:sz="8" w:space="0" w:color="auto"/>
              <w:bottom w:val="single" w:sz="8" w:space="0" w:color="auto"/>
              <w:right w:val="single" w:sz="8" w:space="0" w:color="auto"/>
              <w:tl2br w:val="nil"/>
              <w:tr2bl w:val="nil"/>
            </w:tcBorders>
            <w:shd w:val="clear" w:color="auto" w:fill="C0C0C0"/>
            <w:textDirection w:val="lrTb"/>
            <w:vAlign w:val="center"/>
          </w:tcPr>
          <w:p w:rsidR="004F6F2B" w:rsidRPr="00D732C7" w:rsidP="008B6176">
            <w:pPr>
              <w:spacing w:line="240" w:lineRule="auto"/>
              <w:jc w:val="center"/>
              <w:rPr>
                <w:rFonts w:ascii="Arial Narrow" w:hAnsi="Arial Narrow" w:cs="Times New Roman"/>
                <w:b/>
                <w:sz w:val="24"/>
                <w:szCs w:val="24"/>
              </w:rPr>
            </w:pPr>
            <w:r w:rsidRPr="00D732C7">
              <w:rPr>
                <w:rFonts w:ascii="Arial Narrow" w:hAnsi="Arial Narrow" w:cs="Times New Roman"/>
                <w:b/>
                <w:sz w:val="24"/>
                <w:szCs w:val="24"/>
              </w:rPr>
              <w:t>8,775</w:t>
            </w:r>
          </w:p>
        </w:tc>
      </w:tr>
    </w:tbl>
    <w:p w:rsidR="00AA08DA" w:rsidRPr="00791BB6" w:rsidP="008B6176">
      <w:pPr>
        <w:spacing w:line="240" w:lineRule="auto"/>
        <w:ind w:firstLine="709"/>
        <w:rPr>
          <w:rFonts w:ascii="Times New Roman" w:hAnsi="Times New Roman" w:cs="Times New Roman"/>
          <w:bCs/>
          <w:sz w:val="24"/>
          <w:szCs w:val="24"/>
        </w:rPr>
      </w:pPr>
    </w:p>
    <w:p w:rsidR="00B21D03" w:rsidP="00131B3F">
      <w:pPr>
        <w:spacing w:line="240" w:lineRule="auto"/>
        <w:rPr>
          <w:rFonts w:ascii="Times New Roman" w:hAnsi="Times New Roman" w:cs="Times New Roman"/>
          <w:b/>
          <w:bCs/>
          <w:sz w:val="24"/>
          <w:szCs w:val="24"/>
          <w:u w:val="single"/>
        </w:rPr>
      </w:pPr>
    </w:p>
    <w:p w:rsidR="00131B3F" w:rsidRPr="00F665BB" w:rsidP="00131B3F">
      <w:pPr>
        <w:spacing w:line="240" w:lineRule="auto"/>
        <w:rPr>
          <w:rFonts w:ascii="Times New Roman" w:hAnsi="Times New Roman" w:cs="Times New Roman"/>
          <w:b/>
          <w:bCs/>
          <w:sz w:val="24"/>
          <w:szCs w:val="24"/>
          <w:u w:val="single"/>
        </w:rPr>
      </w:pPr>
      <w:r w:rsidRPr="00F665BB" w:rsidR="00D732C7">
        <w:rPr>
          <w:rFonts w:ascii="Times New Roman" w:hAnsi="Times New Roman" w:cs="Times New Roman"/>
          <w:b/>
          <w:bCs/>
          <w:sz w:val="24"/>
          <w:szCs w:val="24"/>
          <w:u w:val="single"/>
        </w:rPr>
        <w:t>IVSC Bratislava</w:t>
      </w:r>
      <w:r w:rsidRPr="00F665BB">
        <w:rPr>
          <w:rFonts w:ascii="Times New Roman" w:hAnsi="Times New Roman" w:cs="Times New Roman"/>
          <w:b/>
          <w:bCs/>
          <w:sz w:val="24"/>
          <w:szCs w:val="24"/>
          <w:u w:val="single"/>
        </w:rPr>
        <w:t xml:space="preserve"> </w:t>
      </w:r>
    </w:p>
    <w:p w:rsidR="00131B3F" w:rsidP="00D732C7">
      <w:pPr>
        <w:spacing w:line="240" w:lineRule="auto"/>
        <w:ind w:firstLine="709"/>
        <w:rPr>
          <w:rFonts w:ascii="Times New Roman" w:hAnsi="Times New Roman" w:cs="Times New Roman"/>
          <w:b/>
          <w:bCs/>
          <w:sz w:val="24"/>
          <w:szCs w:val="24"/>
        </w:rPr>
      </w:pPr>
    </w:p>
    <w:p w:rsidR="00D732C7" w:rsidP="00131B3F">
      <w:pPr>
        <w:spacing w:line="240" w:lineRule="auto"/>
        <w:rPr>
          <w:rFonts w:ascii="Times New Roman" w:hAnsi="Times New Roman" w:cs="Times New Roman"/>
          <w:bCs/>
          <w:sz w:val="24"/>
          <w:szCs w:val="24"/>
        </w:rPr>
      </w:pPr>
      <w:r w:rsidR="00131B3F">
        <w:rPr>
          <w:rFonts w:ascii="Times New Roman" w:hAnsi="Times New Roman" w:cs="Times New Roman"/>
          <w:b/>
          <w:bCs/>
          <w:sz w:val="24"/>
          <w:szCs w:val="24"/>
        </w:rPr>
        <w:t xml:space="preserve">Nedokončené </w:t>
      </w:r>
      <w:r w:rsidRPr="00D732C7">
        <w:rPr>
          <w:rFonts w:ascii="Times New Roman" w:hAnsi="Times New Roman" w:cs="Times New Roman"/>
          <w:b/>
          <w:bCs/>
          <w:sz w:val="24"/>
          <w:szCs w:val="24"/>
        </w:rPr>
        <w:t>stavby</w:t>
      </w:r>
      <w:r w:rsidRPr="00D732C7">
        <w:rPr>
          <w:rFonts w:ascii="Times New Roman" w:hAnsi="Times New Roman" w:cs="Times New Roman"/>
          <w:bCs/>
          <w:sz w:val="24"/>
          <w:szCs w:val="24"/>
        </w:rPr>
        <w:t xml:space="preserve">: </w:t>
      </w:r>
    </w:p>
    <w:p w:rsidR="00D732C7" w:rsidRPr="00D732C7" w:rsidP="00D732C7">
      <w:pPr>
        <w:spacing w:line="240" w:lineRule="auto"/>
        <w:ind w:firstLine="709"/>
        <w:rPr>
          <w:rFonts w:ascii="Times New Roman" w:hAnsi="Times New Roman" w:cs="Times New Roman"/>
          <w:bCs/>
          <w:sz w:val="24"/>
          <w:szCs w:val="24"/>
        </w:rPr>
      </w:pPr>
    </w:p>
    <w:p w:rsidR="00D732C7" w:rsidP="00D732C7">
      <w:pPr>
        <w:spacing w:line="240" w:lineRule="auto"/>
        <w:ind w:left="360"/>
        <w:rPr>
          <w:rFonts w:ascii="Times New Roman" w:hAnsi="Times New Roman" w:cs="Times New Roman"/>
          <w:b/>
          <w:sz w:val="24"/>
          <w:szCs w:val="24"/>
        </w:rPr>
      </w:pPr>
      <w:r w:rsidRPr="00D732C7">
        <w:rPr>
          <w:rFonts w:ascii="Times New Roman" w:hAnsi="Times New Roman" w:cs="Times New Roman"/>
          <w:b/>
          <w:sz w:val="24"/>
          <w:szCs w:val="24"/>
        </w:rPr>
        <w:t xml:space="preserve">I/65 Nitra </w:t>
      </w:r>
      <w:r w:rsidRPr="00D732C7">
        <w:rPr>
          <w:rFonts w:ascii="Times New Roman" w:hAnsi="Times New Roman" w:cs="Times New Roman"/>
          <w:b/>
          <w:sz w:val="24"/>
          <w:szCs w:val="24"/>
        </w:rPr>
        <w:t>– H</w:t>
      </w:r>
      <w:r>
        <w:rPr>
          <w:rFonts w:ascii="Times New Roman" w:hAnsi="Times New Roman" w:cs="Times New Roman"/>
          <w:b/>
          <w:sz w:val="24"/>
          <w:szCs w:val="24"/>
        </w:rPr>
        <w:t xml:space="preserve">ronský Beňadik, BO, lokalita Tesárske </w:t>
      </w:r>
      <w:r w:rsidRPr="00D732C7">
        <w:rPr>
          <w:rFonts w:ascii="Times New Roman" w:hAnsi="Times New Roman" w:cs="Times New Roman"/>
          <w:b/>
          <w:sz w:val="24"/>
          <w:szCs w:val="24"/>
        </w:rPr>
        <w:t>Mlyňany, Beladice</w:t>
      </w:r>
      <w:r>
        <w:rPr>
          <w:rFonts w:ascii="Times New Roman" w:hAnsi="Times New Roman" w:cs="Times New Roman"/>
          <w:b/>
          <w:sz w:val="24"/>
          <w:szCs w:val="24"/>
        </w:rPr>
        <w:t xml:space="preserve"> </w:t>
      </w:r>
    </w:p>
    <w:p w:rsidR="00D732C7" w:rsidRPr="00D732C7" w:rsidP="00D732C7">
      <w:pPr>
        <w:spacing w:line="240" w:lineRule="auto"/>
        <w:ind w:left="360"/>
        <w:rPr>
          <w:rFonts w:ascii="Times New Roman" w:hAnsi="Times New Roman" w:cs="Times New Roman"/>
          <w:b/>
          <w:sz w:val="24"/>
          <w:szCs w:val="24"/>
        </w:rPr>
      </w:pPr>
      <w:r w:rsidRPr="00D732C7">
        <w:rPr>
          <w:rFonts w:ascii="Times New Roman" w:hAnsi="Times New Roman" w:cs="Times New Roman"/>
          <w:sz w:val="24"/>
          <w:szCs w:val="24"/>
        </w:rPr>
        <w:t>Na stavbe bolo preinves</w:t>
      </w:r>
      <w:r>
        <w:rPr>
          <w:rFonts w:ascii="Times New Roman" w:hAnsi="Times New Roman" w:cs="Times New Roman"/>
          <w:sz w:val="24"/>
          <w:szCs w:val="24"/>
        </w:rPr>
        <w:t xml:space="preserve">tovaných 882 000,- </w:t>
      </w:r>
      <w:r w:rsidRPr="00D732C7">
        <w:rPr>
          <w:rFonts w:ascii="Times New Roman" w:hAnsi="Times New Roman" w:cs="Times New Roman"/>
          <w:sz w:val="24"/>
          <w:szCs w:val="24"/>
        </w:rPr>
        <w:t>Sk iba v rámci zabezpečenia projektovej prípravy. Stavebné práce neboli realizované.</w:t>
      </w:r>
    </w:p>
    <w:p w:rsidR="00D732C7" w:rsidRPr="00D732C7" w:rsidP="00D732C7">
      <w:pPr>
        <w:spacing w:line="240" w:lineRule="auto"/>
        <w:ind w:firstLine="360"/>
        <w:rPr>
          <w:rFonts w:ascii="Times New Roman" w:hAnsi="Times New Roman" w:cs="Times New Roman"/>
          <w:b/>
          <w:sz w:val="24"/>
          <w:szCs w:val="24"/>
        </w:rPr>
      </w:pPr>
      <w:r>
        <w:rPr>
          <w:rFonts w:ascii="Times New Roman" w:hAnsi="Times New Roman" w:cs="Times New Roman"/>
          <w:b/>
          <w:sz w:val="24"/>
          <w:szCs w:val="24"/>
        </w:rPr>
        <w:t xml:space="preserve">I/64 Topoľčany, preložka, 2.stavba, </w:t>
      </w:r>
      <w:r w:rsidRPr="00D732C7">
        <w:rPr>
          <w:rFonts w:ascii="Times New Roman" w:hAnsi="Times New Roman" w:cs="Times New Roman"/>
          <w:b/>
          <w:sz w:val="24"/>
          <w:szCs w:val="24"/>
        </w:rPr>
        <w:t>II.</w:t>
      </w:r>
      <w:r>
        <w:rPr>
          <w:rFonts w:ascii="Times New Roman" w:hAnsi="Times New Roman" w:cs="Times New Roman"/>
          <w:b/>
          <w:sz w:val="24"/>
          <w:szCs w:val="24"/>
        </w:rPr>
        <w:t xml:space="preserve"> </w:t>
      </w:r>
      <w:r w:rsidRPr="00D732C7">
        <w:rPr>
          <w:rFonts w:ascii="Times New Roman" w:hAnsi="Times New Roman" w:cs="Times New Roman"/>
          <w:b/>
          <w:sz w:val="24"/>
          <w:szCs w:val="24"/>
        </w:rPr>
        <w:t>etapa</w:t>
      </w:r>
    </w:p>
    <w:p w:rsidR="00D732C7" w:rsidRPr="00D732C7" w:rsidP="00D732C7">
      <w:pPr>
        <w:spacing w:line="240" w:lineRule="auto"/>
        <w:ind w:left="360"/>
        <w:rPr>
          <w:rFonts w:ascii="Times New Roman" w:hAnsi="Times New Roman" w:cs="Times New Roman"/>
          <w:bCs/>
          <w:sz w:val="24"/>
          <w:szCs w:val="24"/>
        </w:rPr>
      </w:pPr>
      <w:r w:rsidRPr="00D732C7">
        <w:rPr>
          <w:rFonts w:ascii="Times New Roman" w:hAnsi="Times New Roman" w:cs="Times New Roman"/>
          <w:sz w:val="24"/>
          <w:szCs w:val="24"/>
        </w:rPr>
        <w:t>Realizáciou II.</w:t>
      </w:r>
      <w:r>
        <w:rPr>
          <w:rFonts w:ascii="Times New Roman" w:hAnsi="Times New Roman" w:cs="Times New Roman"/>
          <w:sz w:val="24"/>
          <w:szCs w:val="24"/>
        </w:rPr>
        <w:t xml:space="preserve"> </w:t>
      </w:r>
      <w:r w:rsidRPr="00D732C7">
        <w:rPr>
          <w:rFonts w:ascii="Times New Roman" w:hAnsi="Times New Roman" w:cs="Times New Roman"/>
          <w:sz w:val="24"/>
          <w:szCs w:val="24"/>
        </w:rPr>
        <w:t>etapy bude dobudovaný obchvat mesta Topoľčany, ktorého prvá časť bola realizovaná v rokoch 1990-1993. V roku 2007 bolo preinvestovan</w:t>
      </w:r>
      <w:r>
        <w:rPr>
          <w:rFonts w:ascii="Times New Roman" w:hAnsi="Times New Roman" w:cs="Times New Roman"/>
          <w:sz w:val="24"/>
          <w:szCs w:val="24"/>
        </w:rPr>
        <w:t xml:space="preserve">ých 1 510 199,59 Sk z toho stavebné náklady predstavovali 97 104,- </w:t>
      </w:r>
      <w:r w:rsidRPr="00D732C7">
        <w:rPr>
          <w:rFonts w:ascii="Times New Roman" w:hAnsi="Times New Roman" w:cs="Times New Roman"/>
          <w:sz w:val="24"/>
          <w:szCs w:val="24"/>
        </w:rPr>
        <w:t>Sk.</w:t>
      </w:r>
    </w:p>
    <w:p w:rsidR="00D732C7" w:rsidRPr="00D732C7" w:rsidP="00D732C7">
      <w:pPr>
        <w:spacing w:line="240" w:lineRule="auto"/>
        <w:ind w:firstLine="360"/>
        <w:rPr>
          <w:rFonts w:ascii="Times New Roman" w:hAnsi="Times New Roman" w:cs="Times New Roman"/>
          <w:b/>
          <w:sz w:val="24"/>
          <w:szCs w:val="24"/>
        </w:rPr>
      </w:pPr>
      <w:r w:rsidRPr="00D732C7">
        <w:rPr>
          <w:rFonts w:ascii="Times New Roman" w:hAnsi="Times New Roman" w:cs="Times New Roman"/>
          <w:b/>
          <w:sz w:val="24"/>
          <w:szCs w:val="24"/>
        </w:rPr>
        <w:t>I/75 Galanta, obchvat, 1. stavba</w:t>
      </w:r>
    </w:p>
    <w:p w:rsidR="00D732C7" w:rsidRPr="00D732C7" w:rsidP="00D732C7">
      <w:pPr>
        <w:spacing w:line="240" w:lineRule="auto"/>
        <w:ind w:left="360"/>
        <w:rPr>
          <w:rFonts w:ascii="Times New Roman" w:hAnsi="Times New Roman" w:cs="Times New Roman"/>
          <w:b/>
          <w:sz w:val="24"/>
          <w:szCs w:val="24"/>
        </w:rPr>
      </w:pPr>
      <w:r w:rsidRPr="00D732C7">
        <w:rPr>
          <w:rFonts w:ascii="Times New Roman" w:hAnsi="Times New Roman" w:cs="Times New Roman"/>
          <w:sz w:val="24"/>
          <w:szCs w:val="24"/>
        </w:rPr>
        <w:t xml:space="preserve">Dobudovaním závodu Samsung </w:t>
      </w:r>
      <w:r w:rsidRPr="00D732C7">
        <w:rPr>
          <w:rFonts w:ascii="Times New Roman" w:hAnsi="Times New Roman" w:cs="Times New Roman"/>
          <w:sz w:val="24"/>
          <w:szCs w:val="24"/>
        </w:rPr>
        <w:t>Elektroni</w:t>
      </w:r>
      <w:r w:rsidR="006D2832">
        <w:rPr>
          <w:rFonts w:ascii="Times New Roman" w:hAnsi="Times New Roman" w:cs="Times New Roman"/>
          <w:sz w:val="24"/>
          <w:szCs w:val="24"/>
        </w:rPr>
        <w:t xml:space="preserve">cs Slovakia, s.r.o., </w:t>
      </w:r>
      <w:r w:rsidRPr="00D732C7">
        <w:rPr>
          <w:rFonts w:ascii="Times New Roman" w:hAnsi="Times New Roman" w:cs="Times New Roman"/>
          <w:sz w:val="24"/>
          <w:szCs w:val="24"/>
        </w:rPr>
        <w:t>a prirodzeným nárastom dopravy sa neúnosne zvýšila dopravná zaťaženosť komunikácií v meste Galanta, hlavne počtom kamiónov. Súčasťou 1.</w:t>
      </w:r>
      <w:r>
        <w:rPr>
          <w:rFonts w:ascii="Times New Roman" w:hAnsi="Times New Roman" w:cs="Times New Roman"/>
          <w:sz w:val="24"/>
          <w:szCs w:val="24"/>
        </w:rPr>
        <w:t xml:space="preserve"> </w:t>
      </w:r>
      <w:r w:rsidRPr="00D732C7">
        <w:rPr>
          <w:rFonts w:ascii="Times New Roman" w:hAnsi="Times New Roman" w:cs="Times New Roman"/>
          <w:sz w:val="24"/>
          <w:szCs w:val="24"/>
        </w:rPr>
        <w:t>stavby je aj pripojenie areálu Samsungu E.S. na obchvat tak, aby nákladná doprava z tohto areálu obchádzala zastavanú časť mesta. Stavba je spolufinancovaná z</w:t>
      </w:r>
      <w:r>
        <w:rPr>
          <w:rFonts w:ascii="Times New Roman" w:hAnsi="Times New Roman" w:cs="Times New Roman"/>
          <w:sz w:val="24"/>
          <w:szCs w:val="24"/>
        </w:rPr>
        <w:t xml:space="preserve"> fondu </w:t>
      </w:r>
      <w:r w:rsidRPr="00D732C7">
        <w:rPr>
          <w:rFonts w:ascii="Times New Roman" w:hAnsi="Times New Roman" w:cs="Times New Roman"/>
          <w:sz w:val="24"/>
          <w:szCs w:val="24"/>
        </w:rPr>
        <w:t xml:space="preserve">ERDF. Z rozpočtu SSC bolo </w:t>
      </w:r>
      <w:r w:rsidR="006D2832">
        <w:rPr>
          <w:rFonts w:ascii="Times New Roman" w:hAnsi="Times New Roman" w:cs="Times New Roman"/>
          <w:sz w:val="24"/>
          <w:szCs w:val="24"/>
        </w:rPr>
        <w:t>u</w:t>
      </w:r>
      <w:r w:rsidRPr="00D732C7">
        <w:rPr>
          <w:rFonts w:ascii="Times New Roman" w:hAnsi="Times New Roman" w:cs="Times New Roman"/>
          <w:sz w:val="24"/>
          <w:szCs w:val="24"/>
        </w:rPr>
        <w:t>hradených 22 129 204,16 Sk na majetkovo-právne vysporiadanie a projektovú prípravu celej stavby.</w:t>
      </w:r>
    </w:p>
    <w:p w:rsidR="00B21D03" w:rsidP="00D732C7">
      <w:pPr>
        <w:spacing w:line="240" w:lineRule="auto"/>
        <w:rPr>
          <w:rFonts w:ascii="Times New Roman" w:hAnsi="Times New Roman" w:cs="Times New Roman"/>
          <w:sz w:val="24"/>
          <w:szCs w:val="24"/>
        </w:rPr>
      </w:pPr>
    </w:p>
    <w:p w:rsidR="009A52FB" w:rsidRPr="00D732C7" w:rsidP="00D732C7">
      <w:pPr>
        <w:spacing w:line="240" w:lineRule="auto"/>
        <w:rPr>
          <w:rFonts w:ascii="Times New Roman" w:hAnsi="Times New Roman" w:cs="Times New Roman"/>
          <w:sz w:val="24"/>
          <w:szCs w:val="24"/>
        </w:rPr>
      </w:pPr>
    </w:p>
    <w:p w:rsidR="00D732C7" w:rsidRPr="00D732C7" w:rsidP="00D732C7">
      <w:pPr>
        <w:tabs>
          <w:tab w:val="left" w:pos="360"/>
        </w:tabs>
        <w:spacing w:line="240" w:lineRule="auto"/>
        <w:rPr>
          <w:rFonts w:ascii="Times New Roman" w:hAnsi="Times New Roman" w:cs="Times New Roman"/>
          <w:bCs/>
          <w:sz w:val="24"/>
          <w:szCs w:val="24"/>
        </w:rPr>
      </w:pPr>
      <w:r>
        <w:rPr>
          <w:rFonts w:ascii="Times New Roman" w:hAnsi="Times New Roman" w:cs="Times New Roman"/>
          <w:bCs/>
          <w:sz w:val="24"/>
          <w:szCs w:val="24"/>
        </w:rPr>
        <w:tab/>
      </w:r>
      <w:r w:rsidRPr="00D732C7">
        <w:rPr>
          <w:rFonts w:ascii="Times New Roman" w:hAnsi="Times New Roman" w:cs="Times New Roman"/>
          <w:bCs/>
          <w:sz w:val="24"/>
          <w:szCs w:val="24"/>
        </w:rPr>
        <w:t>Za vypracovanie technickej štúdie a zá</w:t>
      </w:r>
      <w:r w:rsidR="00FA3D8A">
        <w:rPr>
          <w:rFonts w:ascii="Times New Roman" w:hAnsi="Times New Roman" w:cs="Times New Roman"/>
          <w:bCs/>
          <w:sz w:val="24"/>
          <w:szCs w:val="24"/>
        </w:rPr>
        <w:t>meru boli realiz</w:t>
      </w:r>
      <w:r w:rsidR="00FA3D8A">
        <w:rPr>
          <w:rFonts w:ascii="Times New Roman" w:hAnsi="Times New Roman" w:cs="Times New Roman"/>
          <w:bCs/>
          <w:sz w:val="24"/>
          <w:szCs w:val="24"/>
        </w:rPr>
        <w:t xml:space="preserve">ované platby za </w:t>
      </w:r>
      <w:r w:rsidRPr="00D732C7">
        <w:rPr>
          <w:rFonts w:ascii="Times New Roman" w:hAnsi="Times New Roman" w:cs="Times New Roman"/>
          <w:bCs/>
          <w:sz w:val="24"/>
          <w:szCs w:val="24"/>
        </w:rPr>
        <w:t>tieto stavby:</w:t>
      </w:r>
    </w:p>
    <w:p w:rsidR="00D732C7" w:rsidRPr="00D732C7" w:rsidP="00D732C7">
      <w:pPr>
        <w:spacing w:line="240" w:lineRule="auto"/>
        <w:ind w:firstLine="360"/>
        <w:rPr>
          <w:rFonts w:ascii="Times New Roman" w:hAnsi="Times New Roman" w:cs="Times New Roman"/>
          <w:sz w:val="24"/>
          <w:szCs w:val="24"/>
        </w:rPr>
      </w:pPr>
      <w:r w:rsidRPr="00D732C7">
        <w:rPr>
          <w:rFonts w:ascii="Times New Roman" w:hAnsi="Times New Roman" w:cs="Times New Roman"/>
          <w:sz w:val="24"/>
          <w:szCs w:val="24"/>
        </w:rPr>
        <w:t>I/51 Senica – Jablonica – Trstín – vo výške 1 310 047,20 Sk</w:t>
      </w:r>
    </w:p>
    <w:p w:rsidR="00D732C7" w:rsidRPr="00D732C7" w:rsidP="00D732C7">
      <w:pPr>
        <w:spacing w:line="240" w:lineRule="auto"/>
        <w:ind w:firstLine="360"/>
        <w:rPr>
          <w:rFonts w:ascii="Times New Roman" w:hAnsi="Times New Roman" w:cs="Times New Roman"/>
          <w:sz w:val="24"/>
          <w:szCs w:val="24"/>
        </w:rPr>
      </w:pPr>
      <w:r w:rsidRPr="00D732C7">
        <w:rPr>
          <w:rFonts w:ascii="Times New Roman" w:hAnsi="Times New Roman" w:cs="Times New Roman"/>
          <w:sz w:val="24"/>
          <w:szCs w:val="24"/>
        </w:rPr>
        <w:t>I/64 Komjatice – Nitra – vo výške 81 740,50 Sk</w:t>
      </w:r>
    </w:p>
    <w:p w:rsidR="00D732C7" w:rsidRPr="00D732C7" w:rsidP="00D732C7">
      <w:pPr>
        <w:spacing w:line="240" w:lineRule="auto"/>
        <w:ind w:firstLine="360"/>
        <w:rPr>
          <w:rFonts w:ascii="Times New Roman" w:hAnsi="Times New Roman" w:cs="Times New Roman"/>
          <w:sz w:val="24"/>
          <w:szCs w:val="24"/>
        </w:rPr>
      </w:pPr>
      <w:r w:rsidRPr="00D732C7">
        <w:rPr>
          <w:rFonts w:ascii="Times New Roman" w:hAnsi="Times New Roman" w:cs="Times New Roman"/>
          <w:sz w:val="24"/>
          <w:szCs w:val="24"/>
        </w:rPr>
        <w:t>I/75 Šaľa – obchvat – vo výške 88 000 Sk</w:t>
      </w:r>
    </w:p>
    <w:p w:rsidR="00D732C7" w:rsidRPr="00D732C7" w:rsidP="00D732C7">
      <w:pPr>
        <w:spacing w:line="240" w:lineRule="auto"/>
        <w:ind w:firstLine="360"/>
        <w:rPr>
          <w:rFonts w:ascii="Times New Roman" w:hAnsi="Times New Roman" w:cs="Times New Roman"/>
          <w:sz w:val="24"/>
          <w:szCs w:val="24"/>
        </w:rPr>
      </w:pPr>
      <w:r w:rsidRPr="00D732C7">
        <w:rPr>
          <w:rFonts w:ascii="Times New Roman" w:hAnsi="Times New Roman" w:cs="Times New Roman"/>
          <w:sz w:val="24"/>
          <w:szCs w:val="24"/>
        </w:rPr>
        <w:t>I/61 Bratislava – Senec – vo výške 62 270 Sk</w:t>
      </w:r>
    </w:p>
    <w:p w:rsidR="00D732C7" w:rsidRPr="00D732C7" w:rsidP="00D732C7">
      <w:pPr>
        <w:spacing w:line="240" w:lineRule="auto"/>
        <w:ind w:firstLine="360"/>
        <w:rPr>
          <w:rFonts w:ascii="Times New Roman" w:hAnsi="Times New Roman" w:cs="Times New Roman"/>
          <w:sz w:val="24"/>
          <w:szCs w:val="24"/>
        </w:rPr>
      </w:pPr>
      <w:r w:rsidRPr="00D732C7">
        <w:rPr>
          <w:rFonts w:ascii="Times New Roman" w:hAnsi="Times New Roman" w:cs="Times New Roman"/>
          <w:sz w:val="24"/>
          <w:szCs w:val="24"/>
        </w:rPr>
        <w:t>I/63 Iža – BO – vo výške 201 465,</w:t>
      </w:r>
      <w:r w:rsidRPr="00D732C7">
        <w:rPr>
          <w:rFonts w:ascii="Times New Roman" w:hAnsi="Times New Roman" w:cs="Times New Roman"/>
          <w:sz w:val="24"/>
          <w:szCs w:val="24"/>
        </w:rPr>
        <w:t>820 Sk</w:t>
      </w:r>
    </w:p>
    <w:p w:rsidR="00D732C7" w:rsidRPr="00D732C7" w:rsidP="00D732C7">
      <w:pPr>
        <w:spacing w:line="240" w:lineRule="auto"/>
        <w:rPr>
          <w:rFonts w:ascii="Arial" w:hAnsi="Arial" w:cs="Arial"/>
          <w:sz w:val="24"/>
          <w:szCs w:val="24"/>
        </w:rPr>
      </w:pPr>
    </w:p>
    <w:p w:rsidR="00D732C7" w:rsidRPr="00D732C7" w:rsidP="00D732C7">
      <w:pPr>
        <w:spacing w:line="240" w:lineRule="auto"/>
        <w:ind w:left="360"/>
        <w:rPr>
          <w:rFonts w:ascii="Times New Roman" w:hAnsi="Times New Roman" w:cs="Times New Roman"/>
          <w:sz w:val="24"/>
          <w:szCs w:val="24"/>
        </w:rPr>
      </w:pPr>
      <w:r w:rsidR="00FA3D8A">
        <w:rPr>
          <w:rFonts w:ascii="Times New Roman" w:hAnsi="Times New Roman" w:cs="Times New Roman"/>
          <w:sz w:val="24"/>
          <w:szCs w:val="24"/>
        </w:rPr>
        <w:t xml:space="preserve">Za </w:t>
      </w:r>
      <w:r w:rsidRPr="00D732C7">
        <w:rPr>
          <w:rFonts w:ascii="Times New Roman" w:hAnsi="Times New Roman" w:cs="Times New Roman"/>
          <w:sz w:val="24"/>
          <w:szCs w:val="24"/>
        </w:rPr>
        <w:t>vypracovanie dokum</w:t>
      </w:r>
      <w:r w:rsidR="00FA3D8A">
        <w:rPr>
          <w:rFonts w:ascii="Times New Roman" w:hAnsi="Times New Roman" w:cs="Times New Roman"/>
          <w:sz w:val="24"/>
          <w:szCs w:val="24"/>
        </w:rPr>
        <w:t xml:space="preserve">entácie na územné rozhodnutie, stavebného zámeru, </w:t>
      </w:r>
      <w:r w:rsidRPr="00D732C7" w:rsidR="00FA3D8A">
        <w:rPr>
          <w:rFonts w:ascii="Times New Roman" w:hAnsi="Times New Roman" w:cs="Times New Roman"/>
          <w:sz w:val="24"/>
          <w:szCs w:val="24"/>
        </w:rPr>
        <w:t>stavebné</w:t>
      </w:r>
      <w:r w:rsidR="00FA3D8A">
        <w:rPr>
          <w:rFonts w:ascii="Times New Roman" w:hAnsi="Times New Roman" w:cs="Times New Roman"/>
          <w:sz w:val="24"/>
          <w:szCs w:val="24"/>
        </w:rPr>
        <w:t>ho</w:t>
      </w:r>
      <w:r w:rsidR="009E0911">
        <w:rPr>
          <w:rFonts w:ascii="Times New Roman" w:hAnsi="Times New Roman" w:cs="Times New Roman"/>
          <w:sz w:val="24"/>
          <w:szCs w:val="24"/>
        </w:rPr>
        <w:t xml:space="preserve"> povolenia</w:t>
      </w:r>
      <w:r w:rsidRPr="00D732C7" w:rsidR="00FA3D8A">
        <w:rPr>
          <w:rFonts w:ascii="Times New Roman" w:hAnsi="Times New Roman" w:cs="Times New Roman"/>
          <w:sz w:val="24"/>
          <w:szCs w:val="24"/>
        </w:rPr>
        <w:t xml:space="preserve"> a ponuku </w:t>
      </w:r>
      <w:r w:rsidRPr="00D732C7">
        <w:rPr>
          <w:rFonts w:ascii="Times New Roman" w:hAnsi="Times New Roman" w:cs="Times New Roman"/>
          <w:sz w:val="24"/>
          <w:szCs w:val="24"/>
        </w:rPr>
        <w:t xml:space="preserve">boli realizované platby pre tieto stavby:  </w:t>
      </w:r>
    </w:p>
    <w:p w:rsidR="00D732C7" w:rsidRPr="00D732C7" w:rsidP="00D732C7">
      <w:pPr>
        <w:spacing w:line="240" w:lineRule="auto"/>
        <w:ind w:firstLine="360"/>
        <w:rPr>
          <w:rFonts w:ascii="Times New Roman" w:hAnsi="Times New Roman" w:cs="Times New Roman"/>
          <w:sz w:val="24"/>
          <w:szCs w:val="24"/>
        </w:rPr>
      </w:pPr>
      <w:r w:rsidRPr="00D732C7">
        <w:rPr>
          <w:rFonts w:ascii="Times New Roman" w:hAnsi="Times New Roman" w:cs="Times New Roman"/>
          <w:sz w:val="24"/>
          <w:szCs w:val="24"/>
        </w:rPr>
        <w:t>I/51 Holíč – obchvat, II. etapa – vo výške 2 053 806,70 Sk</w:t>
      </w:r>
    </w:p>
    <w:p w:rsidR="00D732C7" w:rsidRPr="00D732C7" w:rsidP="00D732C7">
      <w:pPr>
        <w:spacing w:line="240" w:lineRule="auto"/>
        <w:ind w:firstLine="360"/>
        <w:rPr>
          <w:rFonts w:ascii="Times New Roman" w:hAnsi="Times New Roman" w:cs="Times New Roman"/>
          <w:sz w:val="24"/>
          <w:szCs w:val="24"/>
        </w:rPr>
      </w:pPr>
      <w:r w:rsidRPr="00D732C7">
        <w:rPr>
          <w:rFonts w:ascii="Times New Roman" w:hAnsi="Times New Roman" w:cs="Times New Roman"/>
          <w:sz w:val="24"/>
          <w:szCs w:val="24"/>
        </w:rPr>
        <w:t>Šárovce – Kalná n/Hronom, BO – vo výške 1 13</w:t>
      </w:r>
      <w:r w:rsidRPr="00D732C7">
        <w:rPr>
          <w:rFonts w:ascii="Times New Roman" w:hAnsi="Times New Roman" w:cs="Times New Roman"/>
          <w:sz w:val="24"/>
          <w:szCs w:val="24"/>
        </w:rPr>
        <w:t>0 500 Sk</w:t>
      </w:r>
    </w:p>
    <w:p w:rsidR="00D732C7" w:rsidRPr="00D732C7" w:rsidP="00FA3D8A">
      <w:pPr>
        <w:spacing w:line="240" w:lineRule="auto"/>
        <w:ind w:firstLine="360"/>
        <w:rPr>
          <w:rFonts w:ascii="Times New Roman" w:hAnsi="Times New Roman" w:cs="Times New Roman"/>
          <w:sz w:val="24"/>
          <w:szCs w:val="24"/>
        </w:rPr>
      </w:pPr>
      <w:r w:rsidRPr="00D732C7">
        <w:rPr>
          <w:rFonts w:ascii="Times New Roman" w:hAnsi="Times New Roman" w:cs="Times New Roman"/>
          <w:sz w:val="24"/>
          <w:szCs w:val="24"/>
        </w:rPr>
        <w:t>I/51 Vráble – obchvat – vo výške 1 538 497,80 Sk</w:t>
      </w:r>
    </w:p>
    <w:p w:rsidR="00D732C7" w:rsidRPr="00D732C7" w:rsidP="00D732C7">
      <w:pPr>
        <w:spacing w:line="240" w:lineRule="auto"/>
        <w:ind w:firstLine="360"/>
        <w:rPr>
          <w:rFonts w:ascii="Times New Roman" w:hAnsi="Times New Roman" w:cs="Times New Roman"/>
          <w:sz w:val="24"/>
          <w:szCs w:val="24"/>
        </w:rPr>
      </w:pPr>
      <w:r w:rsidRPr="00D732C7">
        <w:rPr>
          <w:rFonts w:ascii="Times New Roman" w:hAnsi="Times New Roman" w:cs="Times New Roman"/>
          <w:sz w:val="24"/>
          <w:szCs w:val="24"/>
        </w:rPr>
        <w:t>I/76 Štúrovo, Nánska ul. – vo výške 1 255 872,50 Sk</w:t>
      </w:r>
    </w:p>
    <w:p w:rsidR="00D732C7" w:rsidRPr="00D732C7" w:rsidP="00D732C7">
      <w:pPr>
        <w:spacing w:line="240" w:lineRule="auto"/>
        <w:ind w:firstLine="360"/>
        <w:rPr>
          <w:rFonts w:ascii="Times New Roman" w:hAnsi="Times New Roman" w:cs="Times New Roman"/>
          <w:sz w:val="24"/>
          <w:szCs w:val="24"/>
        </w:rPr>
      </w:pPr>
      <w:r w:rsidRPr="00D732C7">
        <w:rPr>
          <w:rFonts w:ascii="Times New Roman" w:hAnsi="Times New Roman" w:cs="Times New Roman"/>
          <w:sz w:val="24"/>
          <w:szCs w:val="24"/>
        </w:rPr>
        <w:t>I/64 Nitra – Dolné Krškany, odvodnenie – vo výške 258 625,50 Sk</w:t>
      </w:r>
    </w:p>
    <w:p w:rsidR="00D732C7" w:rsidRPr="00D732C7" w:rsidP="00D732C7">
      <w:pPr>
        <w:spacing w:line="240" w:lineRule="auto"/>
        <w:ind w:firstLine="360"/>
        <w:rPr>
          <w:rFonts w:ascii="Times New Roman" w:hAnsi="Times New Roman" w:cs="Times New Roman"/>
          <w:sz w:val="24"/>
          <w:szCs w:val="24"/>
        </w:rPr>
      </w:pPr>
      <w:r w:rsidRPr="00D732C7">
        <w:rPr>
          <w:rFonts w:ascii="Times New Roman" w:hAnsi="Times New Roman" w:cs="Times New Roman"/>
          <w:sz w:val="24"/>
          <w:szCs w:val="24"/>
        </w:rPr>
        <w:t>I/2 Kúty – KNL – vo výške 1 021 158,04 Sk</w:t>
      </w:r>
    </w:p>
    <w:p w:rsidR="00D732C7" w:rsidRPr="00D732C7" w:rsidP="00D732C7">
      <w:pPr>
        <w:spacing w:line="240" w:lineRule="auto"/>
        <w:ind w:firstLine="360"/>
        <w:rPr>
          <w:rFonts w:ascii="Times New Roman" w:hAnsi="Times New Roman" w:cs="Times New Roman"/>
          <w:sz w:val="24"/>
          <w:szCs w:val="24"/>
        </w:rPr>
      </w:pPr>
      <w:r w:rsidR="00131B3F">
        <w:rPr>
          <w:rFonts w:ascii="Times New Roman" w:hAnsi="Times New Roman" w:cs="Times New Roman"/>
          <w:sz w:val="24"/>
          <w:szCs w:val="24"/>
        </w:rPr>
        <w:t xml:space="preserve">I/51 Levice – </w:t>
      </w:r>
      <w:r w:rsidRPr="00D732C7">
        <w:rPr>
          <w:rFonts w:ascii="Times New Roman" w:hAnsi="Times New Roman" w:cs="Times New Roman"/>
          <w:sz w:val="24"/>
          <w:szCs w:val="24"/>
        </w:rPr>
        <w:t xml:space="preserve">križovatka s Tabakovou  – </w:t>
      </w:r>
      <w:r w:rsidRPr="00D732C7">
        <w:rPr>
          <w:rFonts w:ascii="Times New Roman" w:hAnsi="Times New Roman" w:cs="Times New Roman"/>
          <w:sz w:val="24"/>
          <w:szCs w:val="24"/>
        </w:rPr>
        <w:t>vo výške</w:t>
      </w:r>
    </w:p>
    <w:p w:rsidR="00D732C7" w:rsidRPr="00D732C7" w:rsidP="00D732C7">
      <w:pPr>
        <w:spacing w:line="240" w:lineRule="auto"/>
        <w:ind w:firstLine="360"/>
        <w:rPr>
          <w:rFonts w:ascii="Times New Roman" w:hAnsi="Times New Roman" w:cs="Times New Roman"/>
          <w:sz w:val="24"/>
          <w:szCs w:val="24"/>
        </w:rPr>
      </w:pPr>
      <w:r w:rsidRPr="00D732C7">
        <w:rPr>
          <w:rFonts w:ascii="Times New Roman" w:hAnsi="Times New Roman" w:cs="Times New Roman"/>
          <w:sz w:val="24"/>
          <w:szCs w:val="24"/>
        </w:rPr>
        <w:t>I/75 Plášťovce, zosuv – vo výške 592 884 Sk</w:t>
      </w:r>
    </w:p>
    <w:p w:rsidR="00D732C7" w:rsidRPr="00D732C7" w:rsidP="00D732C7">
      <w:pPr>
        <w:spacing w:line="240" w:lineRule="auto"/>
        <w:ind w:firstLine="360"/>
        <w:rPr>
          <w:rFonts w:ascii="Times New Roman" w:hAnsi="Times New Roman" w:cs="Times New Roman"/>
          <w:sz w:val="24"/>
          <w:szCs w:val="24"/>
        </w:rPr>
      </w:pPr>
      <w:r w:rsidR="00131B3F">
        <w:rPr>
          <w:rFonts w:ascii="Times New Roman" w:hAnsi="Times New Roman" w:cs="Times New Roman"/>
          <w:sz w:val="24"/>
          <w:szCs w:val="24"/>
        </w:rPr>
        <w:t xml:space="preserve">I/75 Galanta –  </w:t>
      </w:r>
      <w:r w:rsidRPr="00D732C7">
        <w:rPr>
          <w:rFonts w:ascii="Times New Roman" w:hAnsi="Times New Roman" w:cs="Times New Roman"/>
          <w:sz w:val="24"/>
          <w:szCs w:val="24"/>
        </w:rPr>
        <w:t>obchvat, 2. stavba – vo výške 3 935 000 Sk</w:t>
      </w:r>
    </w:p>
    <w:p w:rsidR="00D732C7" w:rsidP="008B6176">
      <w:pPr>
        <w:spacing w:line="240" w:lineRule="auto"/>
        <w:ind w:firstLine="709"/>
        <w:rPr>
          <w:rFonts w:ascii="Times New Roman" w:hAnsi="Times New Roman" w:cs="Times New Roman"/>
          <w:bCs/>
          <w:sz w:val="24"/>
          <w:szCs w:val="24"/>
        </w:rPr>
      </w:pPr>
    </w:p>
    <w:p w:rsidR="00A02C3F" w:rsidRPr="00F665BB" w:rsidP="00131B3F">
      <w:pPr>
        <w:spacing w:line="240" w:lineRule="auto"/>
        <w:rPr>
          <w:rFonts w:ascii="Times New Roman" w:hAnsi="Times New Roman" w:cs="Times New Roman"/>
          <w:bCs/>
          <w:sz w:val="24"/>
          <w:szCs w:val="24"/>
          <w:u w:val="single"/>
        </w:rPr>
      </w:pPr>
      <w:r w:rsidRPr="00F665BB" w:rsidR="00787C83">
        <w:rPr>
          <w:rFonts w:ascii="Times New Roman" w:hAnsi="Times New Roman" w:cs="Times New Roman"/>
          <w:b/>
          <w:bCs/>
          <w:sz w:val="24"/>
          <w:szCs w:val="24"/>
          <w:u w:val="single"/>
        </w:rPr>
        <w:t>IVSC Banská Bystrica</w:t>
      </w:r>
    </w:p>
    <w:p w:rsidR="008169B3" w:rsidP="00131B3F">
      <w:pPr>
        <w:spacing w:line="240" w:lineRule="auto"/>
        <w:rPr>
          <w:rFonts w:ascii="Times New Roman" w:hAnsi="Times New Roman" w:cs="Times New Roman"/>
          <w:b/>
          <w:sz w:val="24"/>
          <w:szCs w:val="24"/>
        </w:rPr>
      </w:pPr>
    </w:p>
    <w:p w:rsidR="00131B3F" w:rsidP="00131B3F">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Ukončené stavby: </w:t>
      </w:r>
    </w:p>
    <w:p w:rsidR="008169B3" w:rsidP="00131B3F">
      <w:pPr>
        <w:spacing w:line="240" w:lineRule="auto"/>
        <w:rPr>
          <w:rFonts w:ascii="Times New Roman" w:hAnsi="Times New Roman" w:cs="Times New Roman"/>
          <w:b/>
          <w:sz w:val="24"/>
          <w:szCs w:val="24"/>
        </w:rPr>
      </w:pPr>
    </w:p>
    <w:p w:rsidR="008169B3" w:rsidP="008169B3">
      <w:pPr>
        <w:spacing w:line="240" w:lineRule="auto"/>
        <w:ind w:firstLine="360"/>
        <w:rPr>
          <w:rFonts w:ascii="Times New Roman" w:hAnsi="Times New Roman" w:cs="Times New Roman"/>
          <w:b/>
          <w:sz w:val="24"/>
          <w:szCs w:val="24"/>
        </w:rPr>
      </w:pPr>
      <w:r>
        <w:rPr>
          <w:rFonts w:ascii="Times New Roman" w:hAnsi="Times New Roman" w:cs="Times New Roman"/>
          <w:b/>
          <w:sz w:val="24"/>
          <w:szCs w:val="24"/>
        </w:rPr>
        <w:t xml:space="preserve">I/50 Detva, most 199 </w:t>
      </w:r>
    </w:p>
    <w:p w:rsidR="00131B3F" w:rsidRPr="008169B3" w:rsidP="008169B3">
      <w:pPr>
        <w:spacing w:line="240" w:lineRule="auto"/>
        <w:ind w:left="360"/>
        <w:rPr>
          <w:rFonts w:ascii="Times New Roman" w:hAnsi="Times New Roman" w:cs="Times New Roman"/>
          <w:sz w:val="24"/>
          <w:szCs w:val="24"/>
        </w:rPr>
      </w:pPr>
      <w:r w:rsidRPr="00131B3F" w:rsidR="008169B3">
        <w:rPr>
          <w:rFonts w:ascii="Times New Roman" w:hAnsi="Times New Roman" w:cs="Times New Roman"/>
          <w:sz w:val="24"/>
          <w:szCs w:val="24"/>
        </w:rPr>
        <w:t>Rekonštrukcia mosta si vyžiadala celkové náklady v</w:t>
      </w:r>
      <w:r w:rsidR="008169B3">
        <w:rPr>
          <w:rFonts w:ascii="Times New Roman" w:hAnsi="Times New Roman" w:cs="Times New Roman"/>
          <w:sz w:val="24"/>
          <w:szCs w:val="24"/>
        </w:rPr>
        <w:t xml:space="preserve">o výške 1 575 854,00 </w:t>
      </w:r>
      <w:r w:rsidRPr="00131B3F" w:rsidR="008169B3">
        <w:rPr>
          <w:rFonts w:ascii="Times New Roman" w:hAnsi="Times New Roman" w:cs="Times New Roman"/>
          <w:sz w:val="24"/>
          <w:szCs w:val="24"/>
        </w:rPr>
        <w:t>Sk, z kto</w:t>
      </w:r>
      <w:r w:rsidRPr="00131B3F" w:rsidR="008169B3">
        <w:rPr>
          <w:rFonts w:ascii="Times New Roman" w:hAnsi="Times New Roman" w:cs="Times New Roman"/>
          <w:sz w:val="24"/>
          <w:szCs w:val="24"/>
        </w:rPr>
        <w:t>rých stavebné nákl</w:t>
      </w:r>
      <w:r w:rsidR="008169B3">
        <w:rPr>
          <w:rFonts w:ascii="Times New Roman" w:hAnsi="Times New Roman" w:cs="Times New Roman"/>
          <w:sz w:val="24"/>
          <w:szCs w:val="24"/>
        </w:rPr>
        <w:t>ady predstavovali 1 575 854,- Sk.</w:t>
      </w:r>
    </w:p>
    <w:p w:rsidR="00131B3F" w:rsidRPr="00131B3F" w:rsidP="00131B3F">
      <w:pPr>
        <w:spacing w:line="240" w:lineRule="auto"/>
        <w:ind w:firstLine="360"/>
        <w:rPr>
          <w:rFonts w:ascii="Times New Roman" w:hAnsi="Times New Roman" w:cs="Times New Roman"/>
          <w:b/>
          <w:sz w:val="24"/>
          <w:szCs w:val="24"/>
        </w:rPr>
      </w:pPr>
      <w:r w:rsidR="008169B3">
        <w:rPr>
          <w:rFonts w:ascii="Times New Roman" w:hAnsi="Times New Roman" w:cs="Times New Roman"/>
          <w:b/>
          <w:sz w:val="24"/>
          <w:szCs w:val="24"/>
        </w:rPr>
        <w:t xml:space="preserve">I/66 Medzibrod, </w:t>
      </w:r>
      <w:r w:rsidRPr="00131B3F">
        <w:rPr>
          <w:rFonts w:ascii="Times New Roman" w:hAnsi="Times New Roman" w:cs="Times New Roman"/>
          <w:b/>
          <w:sz w:val="24"/>
          <w:szCs w:val="24"/>
        </w:rPr>
        <w:t>most 085</w:t>
      </w:r>
    </w:p>
    <w:p w:rsidR="00131B3F" w:rsidRPr="00131B3F" w:rsidP="00131B3F">
      <w:pPr>
        <w:spacing w:line="240" w:lineRule="auto"/>
        <w:ind w:left="360"/>
        <w:rPr>
          <w:rFonts w:ascii="Times New Roman" w:hAnsi="Times New Roman" w:cs="Times New Roman"/>
          <w:sz w:val="24"/>
          <w:szCs w:val="24"/>
        </w:rPr>
      </w:pPr>
      <w:r w:rsidRPr="00131B3F">
        <w:rPr>
          <w:rFonts w:ascii="Times New Roman" w:hAnsi="Times New Roman" w:cs="Times New Roman"/>
          <w:sz w:val="24"/>
          <w:szCs w:val="24"/>
        </w:rPr>
        <w:t>Rekonštrukcia mosta si vyžiadala celkové náklady v</w:t>
      </w:r>
      <w:r w:rsidR="008169B3">
        <w:rPr>
          <w:rFonts w:ascii="Times New Roman" w:hAnsi="Times New Roman" w:cs="Times New Roman"/>
          <w:sz w:val="24"/>
          <w:szCs w:val="24"/>
        </w:rPr>
        <w:t xml:space="preserve">o výške 15 633 494,- </w:t>
      </w:r>
      <w:r w:rsidRPr="00131B3F">
        <w:rPr>
          <w:rFonts w:ascii="Times New Roman" w:hAnsi="Times New Roman" w:cs="Times New Roman"/>
          <w:sz w:val="24"/>
          <w:szCs w:val="24"/>
        </w:rPr>
        <w:t>Sk, z ktorých stavebné n</w:t>
      </w:r>
      <w:r w:rsidR="008169B3">
        <w:rPr>
          <w:rFonts w:ascii="Times New Roman" w:hAnsi="Times New Roman" w:cs="Times New Roman"/>
          <w:sz w:val="24"/>
          <w:szCs w:val="24"/>
        </w:rPr>
        <w:t xml:space="preserve">áklady predstavovali 15 569 234,- </w:t>
      </w:r>
      <w:r w:rsidRPr="00131B3F">
        <w:rPr>
          <w:rFonts w:ascii="Times New Roman" w:hAnsi="Times New Roman" w:cs="Times New Roman"/>
          <w:sz w:val="24"/>
          <w:szCs w:val="24"/>
        </w:rPr>
        <w:t>Sk</w:t>
      </w:r>
      <w:r w:rsidR="008169B3">
        <w:rPr>
          <w:rFonts w:ascii="Times New Roman" w:hAnsi="Times New Roman" w:cs="Times New Roman"/>
          <w:sz w:val="24"/>
          <w:szCs w:val="24"/>
        </w:rPr>
        <w:t>.</w:t>
      </w:r>
    </w:p>
    <w:p w:rsidR="00131B3F" w:rsidRPr="00131B3F" w:rsidP="00131B3F">
      <w:pPr>
        <w:spacing w:line="240" w:lineRule="auto"/>
        <w:ind w:firstLine="360"/>
        <w:rPr>
          <w:rFonts w:ascii="Times New Roman" w:hAnsi="Times New Roman" w:cs="Times New Roman"/>
          <w:b/>
          <w:sz w:val="24"/>
          <w:szCs w:val="24"/>
        </w:rPr>
      </w:pPr>
      <w:r w:rsidR="008169B3">
        <w:rPr>
          <w:rFonts w:ascii="Times New Roman" w:hAnsi="Times New Roman" w:cs="Times New Roman"/>
          <w:b/>
          <w:sz w:val="24"/>
          <w:szCs w:val="24"/>
        </w:rPr>
        <w:t xml:space="preserve">I/50 Kriváň, </w:t>
      </w:r>
      <w:r w:rsidRPr="00131B3F">
        <w:rPr>
          <w:rFonts w:ascii="Times New Roman" w:hAnsi="Times New Roman" w:cs="Times New Roman"/>
          <w:b/>
          <w:sz w:val="24"/>
          <w:szCs w:val="24"/>
        </w:rPr>
        <w:t>most 201</w:t>
      </w:r>
    </w:p>
    <w:p w:rsidR="00131B3F" w:rsidRPr="00131B3F" w:rsidP="00131B3F">
      <w:pPr>
        <w:pStyle w:val="Styl3"/>
        <w:spacing w:line="240" w:lineRule="auto"/>
        <w:ind w:left="360"/>
        <w:rPr>
          <w:rFonts w:ascii="Times New Roman" w:hAnsi="Times New Roman" w:cs="Times New Roman"/>
          <w:sz w:val="24"/>
        </w:rPr>
      </w:pPr>
      <w:r w:rsidRPr="00131B3F">
        <w:rPr>
          <w:rFonts w:ascii="Times New Roman" w:hAnsi="Times New Roman" w:cs="Times New Roman"/>
          <w:sz w:val="24"/>
        </w:rPr>
        <w:t>Most bol v roku 2007 stavebne ukončený a boli vykonané práce na obnove rímsy, spriahovacej doske, hydroizolácii, živičných vrstiev a bezpečnostných zariadení. Náklady v roku boli uhradené vo výške 8 796 392,40 Sk, z</w:t>
      </w:r>
      <w:r w:rsidR="008169B3">
        <w:rPr>
          <w:rFonts w:ascii="Times New Roman" w:hAnsi="Times New Roman" w:cs="Times New Roman"/>
          <w:sz w:val="24"/>
        </w:rPr>
        <w:t xml:space="preserve"> toho stavebné v sume 8 774 544,- </w:t>
      </w:r>
      <w:r w:rsidRPr="00131B3F">
        <w:rPr>
          <w:rFonts w:ascii="Times New Roman" w:hAnsi="Times New Roman" w:cs="Times New Roman"/>
          <w:sz w:val="24"/>
        </w:rPr>
        <w:t xml:space="preserve">Sk. </w:t>
      </w:r>
    </w:p>
    <w:p w:rsidR="00131B3F" w:rsidRPr="00131B3F" w:rsidP="00131B3F">
      <w:pPr>
        <w:spacing w:line="240" w:lineRule="auto"/>
        <w:ind w:firstLine="360"/>
        <w:rPr>
          <w:rFonts w:ascii="Times New Roman" w:hAnsi="Times New Roman" w:cs="Times New Roman"/>
          <w:sz w:val="24"/>
          <w:szCs w:val="24"/>
        </w:rPr>
      </w:pPr>
      <w:r w:rsidRPr="00131B3F">
        <w:rPr>
          <w:rFonts w:ascii="Times New Roman" w:hAnsi="Times New Roman" w:cs="Times New Roman"/>
          <w:b/>
          <w:sz w:val="24"/>
          <w:szCs w:val="24"/>
        </w:rPr>
        <w:t>I/50 Podkriváň, oporný múr</w:t>
      </w:r>
    </w:p>
    <w:p w:rsidR="00131B3F" w:rsidRPr="00131B3F" w:rsidP="00C22BD7">
      <w:pPr>
        <w:spacing w:line="240" w:lineRule="auto"/>
        <w:ind w:left="360"/>
        <w:rPr>
          <w:rFonts w:ascii="Times New Roman" w:hAnsi="Times New Roman" w:cs="Times New Roman"/>
          <w:sz w:val="24"/>
          <w:szCs w:val="24"/>
        </w:rPr>
      </w:pPr>
      <w:r w:rsidR="00C22BD7">
        <w:rPr>
          <w:rFonts w:ascii="Times New Roman" w:hAnsi="Times New Roman" w:cs="Times New Roman"/>
          <w:sz w:val="24"/>
          <w:szCs w:val="24"/>
        </w:rPr>
        <w:t xml:space="preserve">Preinvestovaná suma dosiahla </w:t>
      </w:r>
      <w:r w:rsidRPr="00131B3F">
        <w:rPr>
          <w:rFonts w:ascii="Times New Roman" w:hAnsi="Times New Roman" w:cs="Times New Roman"/>
          <w:sz w:val="24"/>
          <w:szCs w:val="24"/>
        </w:rPr>
        <w:t>9 812 </w:t>
      </w:r>
      <w:r w:rsidR="00C22BD7">
        <w:rPr>
          <w:rFonts w:ascii="Times New Roman" w:hAnsi="Times New Roman" w:cs="Times New Roman"/>
          <w:sz w:val="24"/>
          <w:szCs w:val="24"/>
        </w:rPr>
        <w:t xml:space="preserve">874,30 Sk. Z toho stavebné náklady predstavovali </w:t>
      </w:r>
      <w:r w:rsidR="008169B3">
        <w:rPr>
          <w:rFonts w:ascii="Times New Roman" w:hAnsi="Times New Roman" w:cs="Times New Roman"/>
          <w:sz w:val="24"/>
          <w:szCs w:val="24"/>
        </w:rPr>
        <w:t xml:space="preserve">9 790 155,- </w:t>
      </w:r>
      <w:r w:rsidRPr="00131B3F">
        <w:rPr>
          <w:rFonts w:ascii="Times New Roman" w:hAnsi="Times New Roman" w:cs="Times New Roman"/>
          <w:sz w:val="24"/>
          <w:szCs w:val="24"/>
        </w:rPr>
        <w:t xml:space="preserve">Sk. </w:t>
      </w:r>
    </w:p>
    <w:p w:rsidR="00131B3F" w:rsidRPr="00131B3F" w:rsidP="00131B3F">
      <w:pPr>
        <w:spacing w:line="240" w:lineRule="auto"/>
        <w:ind w:firstLine="360"/>
        <w:rPr>
          <w:rFonts w:ascii="Times New Roman" w:hAnsi="Times New Roman" w:cs="Times New Roman"/>
          <w:b/>
          <w:sz w:val="24"/>
          <w:szCs w:val="24"/>
        </w:rPr>
      </w:pPr>
      <w:r w:rsidRPr="00131B3F">
        <w:rPr>
          <w:rFonts w:ascii="Times New Roman" w:hAnsi="Times New Roman" w:cs="Times New Roman"/>
          <w:b/>
          <w:sz w:val="24"/>
          <w:szCs w:val="24"/>
        </w:rPr>
        <w:t>I/65 a I/50 Žiar nad Hronom, križovatka</w:t>
      </w:r>
    </w:p>
    <w:p w:rsidR="00131B3F" w:rsidRPr="00131B3F" w:rsidP="00C22BD7">
      <w:pPr>
        <w:spacing w:line="240" w:lineRule="auto"/>
        <w:ind w:left="360"/>
        <w:rPr>
          <w:rFonts w:ascii="Times New Roman" w:hAnsi="Times New Roman" w:cs="Times New Roman"/>
          <w:sz w:val="24"/>
          <w:szCs w:val="24"/>
        </w:rPr>
      </w:pPr>
      <w:r w:rsidRPr="00131B3F">
        <w:rPr>
          <w:rFonts w:ascii="Times New Roman" w:hAnsi="Times New Roman" w:cs="Times New Roman"/>
          <w:sz w:val="24"/>
          <w:szCs w:val="24"/>
        </w:rPr>
        <w:t xml:space="preserve">Stavba </w:t>
      </w:r>
      <w:r w:rsidR="00C22BD7">
        <w:rPr>
          <w:rFonts w:ascii="Times New Roman" w:hAnsi="Times New Roman" w:cs="Times New Roman"/>
          <w:sz w:val="24"/>
          <w:szCs w:val="24"/>
        </w:rPr>
        <w:t xml:space="preserve">bola </w:t>
      </w:r>
      <w:r w:rsidRPr="00131B3F">
        <w:rPr>
          <w:rFonts w:ascii="Times New Roman" w:hAnsi="Times New Roman" w:cs="Times New Roman"/>
          <w:sz w:val="24"/>
          <w:szCs w:val="24"/>
        </w:rPr>
        <w:t>ukončená</w:t>
      </w:r>
      <w:r w:rsidR="00C22BD7">
        <w:rPr>
          <w:rFonts w:ascii="Times New Roman" w:hAnsi="Times New Roman" w:cs="Times New Roman"/>
          <w:sz w:val="24"/>
          <w:szCs w:val="24"/>
        </w:rPr>
        <w:t xml:space="preserve"> v 3. kvartály roku 2007, </w:t>
      </w:r>
      <w:r w:rsidRPr="00131B3F">
        <w:rPr>
          <w:rFonts w:ascii="Times New Roman" w:hAnsi="Times New Roman" w:cs="Times New Roman"/>
          <w:sz w:val="24"/>
          <w:szCs w:val="24"/>
        </w:rPr>
        <w:t>keď bola zrealizovaná úprava križovatky, o</w:t>
      </w:r>
      <w:r w:rsidR="00B27788">
        <w:rPr>
          <w:rFonts w:ascii="Times New Roman" w:hAnsi="Times New Roman" w:cs="Times New Roman"/>
          <w:sz w:val="24"/>
          <w:szCs w:val="24"/>
        </w:rPr>
        <w:t xml:space="preserve">porného múra a </w:t>
      </w:r>
      <w:r w:rsidRPr="00131B3F">
        <w:rPr>
          <w:rFonts w:ascii="Times New Roman" w:hAnsi="Times New Roman" w:cs="Times New Roman"/>
          <w:sz w:val="24"/>
          <w:szCs w:val="24"/>
        </w:rPr>
        <w:t>tiež výmena živičného krytu vozovky v dĺžke cca 1500 m</w:t>
      </w:r>
      <w:r w:rsidR="00C22BD7">
        <w:rPr>
          <w:rFonts w:ascii="Times New Roman" w:hAnsi="Times New Roman" w:cs="Times New Roman"/>
          <w:sz w:val="24"/>
          <w:szCs w:val="24"/>
        </w:rPr>
        <w:t xml:space="preserve">. </w:t>
      </w:r>
      <w:r w:rsidR="00B27788">
        <w:rPr>
          <w:rFonts w:ascii="Times New Roman" w:hAnsi="Times New Roman" w:cs="Times New Roman"/>
          <w:sz w:val="24"/>
          <w:szCs w:val="24"/>
        </w:rPr>
        <w:t xml:space="preserve">Skutočná platba </w:t>
      </w:r>
      <w:r w:rsidR="00C22BD7">
        <w:rPr>
          <w:rFonts w:ascii="Times New Roman" w:hAnsi="Times New Roman" w:cs="Times New Roman"/>
          <w:sz w:val="24"/>
          <w:szCs w:val="24"/>
        </w:rPr>
        <w:t xml:space="preserve">predstavovala 58 700 695,20 Sk, </w:t>
      </w:r>
      <w:r w:rsidRPr="00131B3F">
        <w:rPr>
          <w:rFonts w:ascii="Times New Roman" w:hAnsi="Times New Roman" w:cs="Times New Roman"/>
          <w:sz w:val="24"/>
          <w:szCs w:val="24"/>
        </w:rPr>
        <w:t xml:space="preserve">z čoho </w:t>
      </w:r>
      <w:r w:rsidR="00C22BD7">
        <w:rPr>
          <w:rFonts w:ascii="Times New Roman" w:hAnsi="Times New Roman" w:cs="Times New Roman"/>
          <w:sz w:val="24"/>
          <w:szCs w:val="24"/>
        </w:rPr>
        <w:t xml:space="preserve">bolo 58 540 018,80 Sk </w:t>
      </w:r>
      <w:r w:rsidRPr="00131B3F">
        <w:rPr>
          <w:rFonts w:ascii="Times New Roman" w:hAnsi="Times New Roman" w:cs="Times New Roman"/>
          <w:sz w:val="24"/>
          <w:szCs w:val="24"/>
        </w:rPr>
        <w:t>za stavebné práce.</w:t>
      </w:r>
    </w:p>
    <w:p w:rsidR="00C22BD7" w:rsidP="00C22BD7">
      <w:pPr>
        <w:spacing w:line="240" w:lineRule="auto"/>
        <w:rPr>
          <w:rFonts w:ascii="Times New Roman" w:hAnsi="Times New Roman" w:cs="Times New Roman"/>
          <w:b/>
          <w:sz w:val="24"/>
          <w:szCs w:val="24"/>
        </w:rPr>
      </w:pPr>
    </w:p>
    <w:p w:rsidR="00C22BD7" w:rsidP="00C22BD7">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Nedokončené stavby: </w:t>
      </w:r>
    </w:p>
    <w:p w:rsidR="00C22BD7" w:rsidP="00131B3F">
      <w:pPr>
        <w:spacing w:line="240" w:lineRule="auto"/>
        <w:ind w:firstLine="360"/>
        <w:rPr>
          <w:rFonts w:ascii="Times New Roman" w:hAnsi="Times New Roman" w:cs="Times New Roman"/>
          <w:b/>
          <w:sz w:val="24"/>
          <w:szCs w:val="24"/>
        </w:rPr>
      </w:pPr>
    </w:p>
    <w:p w:rsidR="00131B3F" w:rsidRPr="00131B3F" w:rsidP="00131B3F">
      <w:pPr>
        <w:spacing w:line="240" w:lineRule="auto"/>
        <w:ind w:firstLine="360"/>
        <w:rPr>
          <w:rFonts w:ascii="Times New Roman" w:hAnsi="Times New Roman" w:cs="Times New Roman"/>
          <w:b/>
          <w:sz w:val="24"/>
          <w:szCs w:val="24"/>
        </w:rPr>
      </w:pPr>
      <w:r w:rsidR="00C22BD7">
        <w:rPr>
          <w:rFonts w:ascii="Times New Roman" w:hAnsi="Times New Roman" w:cs="Times New Roman"/>
          <w:b/>
          <w:sz w:val="24"/>
          <w:szCs w:val="24"/>
        </w:rPr>
        <w:t xml:space="preserve">I/65 Dolné Plachtince – </w:t>
      </w:r>
      <w:r w:rsidRPr="00131B3F">
        <w:rPr>
          <w:rFonts w:ascii="Times New Roman" w:hAnsi="Times New Roman" w:cs="Times New Roman"/>
          <w:b/>
          <w:sz w:val="24"/>
          <w:szCs w:val="24"/>
        </w:rPr>
        <w:t>most 052</w:t>
      </w:r>
    </w:p>
    <w:p w:rsidR="00AD329C" w:rsidRPr="00B21D03" w:rsidP="00B21D03">
      <w:pPr>
        <w:spacing w:line="240" w:lineRule="auto"/>
        <w:ind w:left="360"/>
        <w:rPr>
          <w:rFonts w:ascii="Times New Roman" w:hAnsi="Times New Roman" w:cs="Times New Roman"/>
          <w:bCs/>
          <w:sz w:val="24"/>
          <w:szCs w:val="24"/>
        </w:rPr>
      </w:pPr>
      <w:r w:rsidRPr="00131B3F" w:rsidR="00131B3F">
        <w:rPr>
          <w:rFonts w:ascii="Times New Roman" w:hAnsi="Times New Roman" w:cs="Times New Roman"/>
          <w:sz w:val="24"/>
          <w:szCs w:val="24"/>
        </w:rPr>
        <w:t>S</w:t>
      </w:r>
      <w:r w:rsidR="001A659C">
        <w:rPr>
          <w:rFonts w:ascii="Times New Roman" w:hAnsi="Times New Roman" w:cs="Times New Roman"/>
          <w:bCs/>
          <w:sz w:val="24"/>
          <w:szCs w:val="24"/>
        </w:rPr>
        <w:t xml:space="preserve">tavebné práce sa </w:t>
      </w:r>
      <w:r w:rsidRPr="00131B3F" w:rsidR="00131B3F">
        <w:rPr>
          <w:rFonts w:ascii="Times New Roman" w:hAnsi="Times New Roman" w:cs="Times New Roman"/>
          <w:bCs/>
          <w:sz w:val="24"/>
          <w:szCs w:val="24"/>
        </w:rPr>
        <w:t>z dôvodu nezabezpečenia súťaže na výber zhotoviteľa nezačali a budú realizované až v roku 2008. V roku 2007 bola zabezpečovaná majetkovo-právna príprava stavby v sume 28 827,70 Sk.</w:t>
      </w:r>
    </w:p>
    <w:p w:rsidR="00131B3F" w:rsidRPr="00131B3F" w:rsidP="00131B3F">
      <w:pPr>
        <w:spacing w:line="240" w:lineRule="auto"/>
        <w:ind w:firstLine="360"/>
        <w:rPr>
          <w:rFonts w:ascii="Times New Roman" w:hAnsi="Times New Roman" w:cs="Times New Roman"/>
          <w:b/>
          <w:sz w:val="24"/>
          <w:szCs w:val="24"/>
        </w:rPr>
      </w:pPr>
      <w:r w:rsidRPr="00131B3F">
        <w:rPr>
          <w:rFonts w:ascii="Times New Roman" w:hAnsi="Times New Roman" w:cs="Times New Roman"/>
          <w:b/>
          <w:sz w:val="24"/>
          <w:szCs w:val="24"/>
        </w:rPr>
        <w:t>I/59 Jelenec – núdzový záliv</w:t>
      </w:r>
    </w:p>
    <w:p w:rsidR="00131B3F" w:rsidRPr="00131B3F" w:rsidP="001A659C">
      <w:pPr>
        <w:spacing w:line="240" w:lineRule="auto"/>
        <w:ind w:left="360"/>
        <w:rPr>
          <w:rFonts w:ascii="Times New Roman" w:hAnsi="Times New Roman" w:cs="Times New Roman"/>
          <w:sz w:val="24"/>
          <w:szCs w:val="24"/>
        </w:rPr>
      </w:pPr>
      <w:r w:rsidRPr="00131B3F">
        <w:rPr>
          <w:rFonts w:ascii="Times New Roman" w:hAnsi="Times New Roman" w:cs="Times New Roman"/>
          <w:sz w:val="24"/>
          <w:szCs w:val="24"/>
        </w:rPr>
        <w:t xml:space="preserve">Pôvodný plán na realizáciu stavby </w:t>
      </w:r>
      <w:r w:rsidR="001A659C">
        <w:rPr>
          <w:rFonts w:ascii="Times New Roman" w:hAnsi="Times New Roman" w:cs="Times New Roman"/>
          <w:sz w:val="24"/>
          <w:szCs w:val="24"/>
        </w:rPr>
        <w:t xml:space="preserve">prestavoval </w:t>
      </w:r>
      <w:r w:rsidRPr="00131B3F">
        <w:rPr>
          <w:rFonts w:ascii="Times New Roman" w:hAnsi="Times New Roman" w:cs="Times New Roman"/>
          <w:sz w:val="24"/>
          <w:szCs w:val="24"/>
        </w:rPr>
        <w:t>69,000 mil. Sk. Zhotoviteľ realizoval sta</w:t>
      </w:r>
      <w:r w:rsidRPr="00131B3F">
        <w:rPr>
          <w:rFonts w:ascii="Times New Roman" w:hAnsi="Times New Roman" w:cs="Times New Roman"/>
          <w:sz w:val="24"/>
          <w:szCs w:val="24"/>
        </w:rPr>
        <w:t xml:space="preserve">vebné práce na 3. úseku – Hanesy v objeme 87,995 mil. Sk. Zvýšenie ceny stavebných prác oproti ZOD </w:t>
      </w:r>
      <w:r w:rsidR="001A659C">
        <w:rPr>
          <w:rFonts w:ascii="Times New Roman" w:hAnsi="Times New Roman" w:cs="Times New Roman"/>
          <w:sz w:val="24"/>
          <w:szCs w:val="24"/>
        </w:rPr>
        <w:t xml:space="preserve">o </w:t>
      </w:r>
      <w:r w:rsidRPr="00131B3F">
        <w:rPr>
          <w:rFonts w:ascii="Times New Roman" w:hAnsi="Times New Roman" w:cs="Times New Roman"/>
          <w:sz w:val="24"/>
          <w:szCs w:val="24"/>
        </w:rPr>
        <w:t xml:space="preserve">vyše 40 mil. Sk vyplýval zo zmeny technického riešenia na základe reklamácie PD u GP. Bola zrealizovaná hlavná trasa vrátane núdzového zálivu v dĺžke </w:t>
      </w:r>
      <w:smartTag w:uri="urn:schemas-microsoft-com:office:smarttags" w:element="metricconverter">
        <w:smartTagPr>
          <w:attr w:name="ProductID" w:val="0,9 km"/>
        </w:smartTagPr>
        <w:r w:rsidRPr="00131B3F">
          <w:rPr>
            <w:rFonts w:ascii="Times New Roman" w:hAnsi="Times New Roman" w:cs="Times New Roman"/>
            <w:sz w:val="24"/>
            <w:szCs w:val="24"/>
          </w:rPr>
          <w:t>0,9 km</w:t>
        </w:r>
      </w:smartTag>
      <w:r w:rsidRPr="00131B3F">
        <w:rPr>
          <w:rFonts w:ascii="Times New Roman" w:hAnsi="Times New Roman" w:cs="Times New Roman"/>
          <w:sz w:val="24"/>
          <w:szCs w:val="24"/>
        </w:rPr>
        <w:t xml:space="preserve">, tri zárubne múry, dva oporné múry, ktoré boli dané do predčasného užívania v 12/2005 a úniková cestička s dažďovou kanalizáciou vrátane ORL. V roku 2007 sa realizovali práce na </w:t>
      </w:r>
      <w:smartTag w:uri="urn:schemas-microsoft-com:office:smarttags" w:element="metricconverter">
        <w:smartTagPr>
          <w:attr w:name="ProductID" w:val="1. a"/>
        </w:smartTagPr>
        <w:r w:rsidRPr="00131B3F">
          <w:rPr>
            <w:rFonts w:ascii="Times New Roman" w:hAnsi="Times New Roman" w:cs="Times New Roman"/>
            <w:sz w:val="24"/>
            <w:szCs w:val="24"/>
          </w:rPr>
          <w:t>1. a</w:t>
        </w:r>
      </w:smartTag>
      <w:r w:rsidR="005721F7">
        <w:rPr>
          <w:rFonts w:ascii="Times New Roman" w:hAnsi="Times New Roman" w:cs="Times New Roman"/>
          <w:sz w:val="24"/>
          <w:szCs w:val="24"/>
        </w:rPr>
        <w:t xml:space="preserve"> 2. úseku s</w:t>
      </w:r>
      <w:r w:rsidRPr="00131B3F">
        <w:rPr>
          <w:rFonts w:ascii="Times New Roman" w:hAnsi="Times New Roman" w:cs="Times New Roman"/>
          <w:sz w:val="24"/>
          <w:szCs w:val="24"/>
        </w:rPr>
        <w:t> celko</w:t>
      </w:r>
      <w:r w:rsidR="001A659C">
        <w:rPr>
          <w:rFonts w:ascii="Times New Roman" w:hAnsi="Times New Roman" w:cs="Times New Roman"/>
          <w:sz w:val="24"/>
          <w:szCs w:val="24"/>
        </w:rPr>
        <w:t>vými nákladmi 108 149 336,80 Sk, z čoho</w:t>
      </w:r>
      <w:r w:rsidRPr="00131B3F">
        <w:rPr>
          <w:rFonts w:ascii="Times New Roman" w:hAnsi="Times New Roman" w:cs="Times New Roman"/>
          <w:sz w:val="24"/>
          <w:szCs w:val="24"/>
        </w:rPr>
        <w:t xml:space="preserve"> stavebné náklad</w:t>
      </w:r>
      <w:r w:rsidRPr="00131B3F">
        <w:rPr>
          <w:rFonts w:ascii="Times New Roman" w:hAnsi="Times New Roman" w:cs="Times New Roman"/>
          <w:sz w:val="24"/>
          <w:szCs w:val="24"/>
        </w:rPr>
        <w:t xml:space="preserve">y </w:t>
      </w:r>
      <w:r w:rsidR="001A659C">
        <w:rPr>
          <w:rFonts w:ascii="Times New Roman" w:hAnsi="Times New Roman" w:cs="Times New Roman"/>
          <w:sz w:val="24"/>
          <w:szCs w:val="24"/>
        </w:rPr>
        <w:t xml:space="preserve">boli </w:t>
      </w:r>
      <w:r w:rsidRPr="00131B3F">
        <w:rPr>
          <w:rFonts w:ascii="Times New Roman" w:hAnsi="Times New Roman" w:cs="Times New Roman"/>
          <w:sz w:val="24"/>
          <w:szCs w:val="24"/>
        </w:rPr>
        <w:t>vo výške 106 998 243,80 Sk.</w:t>
      </w:r>
    </w:p>
    <w:p w:rsidR="00131B3F" w:rsidRPr="00131B3F" w:rsidP="00B27788">
      <w:pPr>
        <w:spacing w:line="240" w:lineRule="auto"/>
        <w:ind w:firstLine="360"/>
        <w:rPr>
          <w:rFonts w:ascii="Times New Roman" w:hAnsi="Times New Roman" w:cs="Times New Roman"/>
          <w:b/>
          <w:sz w:val="24"/>
          <w:szCs w:val="24"/>
        </w:rPr>
      </w:pPr>
      <w:r w:rsidRPr="00131B3F">
        <w:rPr>
          <w:rFonts w:ascii="Times New Roman" w:hAnsi="Times New Roman" w:cs="Times New Roman"/>
          <w:b/>
          <w:sz w:val="24"/>
          <w:szCs w:val="24"/>
        </w:rPr>
        <w:t>I/72 Piesok – Bystrá I. etapa</w:t>
      </w:r>
    </w:p>
    <w:p w:rsidR="00B27788" w:rsidRPr="00B27788" w:rsidP="00B27788">
      <w:pPr>
        <w:spacing w:line="240" w:lineRule="auto"/>
        <w:ind w:left="360"/>
        <w:rPr>
          <w:rFonts w:ascii="Times New Roman" w:hAnsi="Times New Roman" w:cs="Times New Roman"/>
          <w:sz w:val="24"/>
          <w:szCs w:val="24"/>
        </w:rPr>
      </w:pPr>
      <w:r w:rsidRPr="001A659C" w:rsidR="00131B3F">
        <w:rPr>
          <w:rFonts w:ascii="Times New Roman" w:hAnsi="Times New Roman" w:cs="Times New Roman"/>
          <w:sz w:val="24"/>
          <w:szCs w:val="24"/>
        </w:rPr>
        <w:t>Celkový nákl</w:t>
      </w:r>
      <w:r w:rsidR="005721F7">
        <w:rPr>
          <w:rFonts w:ascii="Times New Roman" w:hAnsi="Times New Roman" w:cs="Times New Roman"/>
          <w:sz w:val="24"/>
          <w:szCs w:val="24"/>
        </w:rPr>
        <w:t xml:space="preserve">ad stavby bol upravený o </w:t>
      </w:r>
      <w:r w:rsidRPr="001A659C" w:rsidR="00131B3F">
        <w:rPr>
          <w:rFonts w:ascii="Times New Roman" w:hAnsi="Times New Roman" w:cs="Times New Roman"/>
          <w:sz w:val="24"/>
          <w:szCs w:val="24"/>
        </w:rPr>
        <w:t xml:space="preserve">práce </w:t>
      </w:r>
      <w:r w:rsidR="005721F7">
        <w:rPr>
          <w:rFonts w:ascii="Times New Roman" w:hAnsi="Times New Roman" w:cs="Times New Roman"/>
          <w:sz w:val="24"/>
          <w:szCs w:val="24"/>
        </w:rPr>
        <w:t xml:space="preserve">naviac </w:t>
      </w:r>
      <w:r w:rsidRPr="001A659C" w:rsidR="00131B3F">
        <w:rPr>
          <w:rFonts w:ascii="Times New Roman" w:hAnsi="Times New Roman" w:cs="Times New Roman"/>
          <w:sz w:val="24"/>
          <w:szCs w:val="24"/>
        </w:rPr>
        <w:t>spôsobené výmenou nevhodného podložia a súvisiacim</w:t>
      </w:r>
      <w:r w:rsidRPr="001A659C" w:rsidR="001A659C">
        <w:rPr>
          <w:rFonts w:ascii="Times New Roman" w:hAnsi="Times New Roman" w:cs="Times New Roman"/>
          <w:sz w:val="24"/>
          <w:szCs w:val="24"/>
        </w:rPr>
        <w:t xml:space="preserve">i zmenami technického riešenia. </w:t>
      </w:r>
      <w:r w:rsidRPr="001A659C" w:rsidR="00131B3F">
        <w:rPr>
          <w:rFonts w:ascii="Times New Roman" w:hAnsi="Times New Roman" w:cs="Times New Roman"/>
          <w:sz w:val="24"/>
          <w:szCs w:val="24"/>
        </w:rPr>
        <w:t>Z rozpočtu SSC bolo v roku 2007 preinvestovaných 15 711 446,22 Sk z čoho 12 055 810,22 Sk na stavebné práce.</w:t>
      </w:r>
    </w:p>
    <w:p w:rsidR="001A659C" w:rsidRPr="001A659C" w:rsidP="001A659C">
      <w:pPr>
        <w:spacing w:line="240" w:lineRule="auto"/>
        <w:ind w:firstLine="360"/>
        <w:rPr>
          <w:rFonts w:ascii="Times New Roman" w:hAnsi="Times New Roman" w:cs="Times New Roman"/>
          <w:b/>
          <w:sz w:val="24"/>
          <w:szCs w:val="24"/>
        </w:rPr>
      </w:pPr>
      <w:r w:rsidR="00AC0657">
        <w:rPr>
          <w:rFonts w:ascii="Times New Roman" w:hAnsi="Times New Roman" w:cs="Times New Roman"/>
          <w:b/>
          <w:sz w:val="24"/>
          <w:szCs w:val="24"/>
        </w:rPr>
        <w:t xml:space="preserve">I/72 Piesok – Bystrá, </w:t>
      </w:r>
      <w:r w:rsidRPr="001A659C">
        <w:rPr>
          <w:rFonts w:ascii="Times New Roman" w:hAnsi="Times New Roman" w:cs="Times New Roman"/>
          <w:b/>
          <w:sz w:val="24"/>
          <w:szCs w:val="24"/>
        </w:rPr>
        <w:t>II. etapa</w:t>
      </w:r>
    </w:p>
    <w:p w:rsidR="001A659C" w:rsidRPr="00B27788" w:rsidP="001A659C">
      <w:pPr>
        <w:spacing w:line="240" w:lineRule="auto"/>
        <w:ind w:left="360"/>
        <w:rPr>
          <w:rFonts w:ascii="Times New Roman" w:hAnsi="Times New Roman" w:cs="Times New Roman"/>
          <w:bCs/>
          <w:sz w:val="24"/>
          <w:szCs w:val="24"/>
        </w:rPr>
      </w:pPr>
      <w:r w:rsidRPr="00B27788">
        <w:rPr>
          <w:rFonts w:ascii="Times New Roman" w:hAnsi="Times New Roman" w:cs="Times New Roman"/>
          <w:sz w:val="24"/>
          <w:szCs w:val="24"/>
        </w:rPr>
        <w:t xml:space="preserve">Stavba je spolufinancovaná s prostriedkov ERDF. </w:t>
      </w:r>
      <w:r w:rsidRPr="00B27788">
        <w:rPr>
          <w:rFonts w:ascii="Times New Roman" w:hAnsi="Times New Roman" w:cs="Times New Roman"/>
          <w:bCs/>
          <w:sz w:val="24"/>
          <w:szCs w:val="24"/>
        </w:rPr>
        <w:t>Stavebné práce vo výške cca 0,5 mil. nepresiahli najnižšiu čiastku mesačných faktúr, ktorá je stanovená na 3 % zo zmluvnej ceny, preto nemohli byť z uvedeného dôvodu fakturované. Náklad stavby bol znížený o cca 24 mil. Sk z titulu spresnenia nákladu po ukončení súťaže na zhotoviteľa stavby.</w:t>
      </w:r>
    </w:p>
    <w:p w:rsidR="00B27788" w:rsidRPr="00B27788" w:rsidP="00B27788">
      <w:pPr>
        <w:pStyle w:val="Styl3"/>
        <w:spacing w:line="240" w:lineRule="auto"/>
        <w:ind w:left="360"/>
        <w:rPr>
          <w:rFonts w:ascii="Times New Roman" w:hAnsi="Times New Roman" w:cs="Times New Roman"/>
          <w:sz w:val="24"/>
        </w:rPr>
      </w:pPr>
      <w:r w:rsidRPr="00B27788" w:rsidR="001A659C">
        <w:rPr>
          <w:rFonts w:ascii="Times New Roman" w:hAnsi="Times New Roman" w:cs="Times New Roman"/>
          <w:sz w:val="24"/>
        </w:rPr>
        <w:t>Z rozpočtu SSC bolo v roku 2007 preinvestovaných 4 443 314 Sk, ktoré boli vynaložené na majetkovo-právne vysporiadanie a zabezpečenia projektov.</w:t>
      </w:r>
    </w:p>
    <w:p w:rsidR="00131B3F" w:rsidRPr="00131B3F" w:rsidP="00131B3F">
      <w:pPr>
        <w:spacing w:line="240" w:lineRule="auto"/>
        <w:ind w:firstLine="360"/>
        <w:rPr>
          <w:rFonts w:ascii="Times New Roman" w:hAnsi="Times New Roman" w:cs="Times New Roman"/>
          <w:b/>
          <w:sz w:val="24"/>
          <w:szCs w:val="24"/>
        </w:rPr>
      </w:pPr>
      <w:r w:rsidRPr="00131B3F">
        <w:rPr>
          <w:rFonts w:ascii="Times New Roman" w:hAnsi="Times New Roman" w:cs="Times New Roman"/>
          <w:b/>
          <w:sz w:val="24"/>
          <w:szCs w:val="24"/>
        </w:rPr>
        <w:t>I/50 Lovčica – hranica kraja, sanácia</w:t>
      </w:r>
    </w:p>
    <w:p w:rsidR="00131B3F" w:rsidRPr="00131B3F" w:rsidP="001A659C">
      <w:pPr>
        <w:spacing w:line="240" w:lineRule="auto"/>
        <w:ind w:left="360"/>
        <w:rPr>
          <w:rFonts w:ascii="Times New Roman" w:hAnsi="Times New Roman" w:cs="Times New Roman"/>
          <w:bCs/>
          <w:sz w:val="24"/>
          <w:szCs w:val="24"/>
        </w:rPr>
      </w:pPr>
      <w:r w:rsidRPr="00131B3F">
        <w:rPr>
          <w:rFonts w:ascii="Times New Roman" w:hAnsi="Times New Roman" w:cs="Times New Roman"/>
          <w:sz w:val="24"/>
          <w:szCs w:val="24"/>
        </w:rPr>
        <w:t>Stavba je spoluf</w:t>
      </w:r>
      <w:r w:rsidR="001A659C">
        <w:rPr>
          <w:rFonts w:ascii="Times New Roman" w:hAnsi="Times New Roman" w:cs="Times New Roman"/>
          <w:sz w:val="24"/>
          <w:szCs w:val="24"/>
        </w:rPr>
        <w:t xml:space="preserve">inancovaná s prostriedkov ERDF. </w:t>
      </w:r>
      <w:r w:rsidRPr="00131B3F">
        <w:rPr>
          <w:rFonts w:ascii="Times New Roman" w:hAnsi="Times New Roman" w:cs="Times New Roman"/>
          <w:bCs/>
          <w:sz w:val="24"/>
          <w:szCs w:val="24"/>
        </w:rPr>
        <w:t>Stavebné práce sa začali na objekte priepustu, na ktorý bolo vydané nariadenie uskutočniť nevyhnutné úpravy. Fakturácia neprebehla, z dôvodu nedosiahnutia minimálnej finančnej čiastky. Bolo však prestavaných 0,726 mil. Sk, ktoré budú fakturované až v roku 2008. Na ostatné objekty do konca roka 2007 nebolo vydané stavebné povolenie.</w:t>
      </w:r>
    </w:p>
    <w:p w:rsidR="00B27788" w:rsidRPr="00B27788" w:rsidP="00B27788">
      <w:pPr>
        <w:pStyle w:val="Styl3"/>
        <w:spacing w:line="240" w:lineRule="auto"/>
        <w:ind w:left="360"/>
        <w:rPr>
          <w:rFonts w:ascii="Times New Roman" w:hAnsi="Times New Roman" w:cs="Times New Roman"/>
          <w:sz w:val="24"/>
        </w:rPr>
      </w:pPr>
      <w:r w:rsidRPr="00131B3F" w:rsidR="00131B3F">
        <w:rPr>
          <w:rFonts w:cs="Times New Roman"/>
        </w:rPr>
        <w:t>Z </w:t>
      </w:r>
      <w:r w:rsidRPr="00B27788" w:rsidR="00131B3F">
        <w:rPr>
          <w:rFonts w:ascii="Times New Roman" w:hAnsi="Times New Roman" w:cs="Times New Roman"/>
          <w:sz w:val="24"/>
        </w:rPr>
        <w:t>rozpočtu SSC bolo v roku 2007 preinvestovaných 2 973 851,50 Sk, ktoré boli vynaložené na majetkovo-právne vysporiadanie a zabezpečenia projektov.</w:t>
      </w:r>
    </w:p>
    <w:p w:rsidR="00131B3F" w:rsidRPr="00131B3F" w:rsidP="00131B3F">
      <w:pPr>
        <w:spacing w:line="240" w:lineRule="auto"/>
        <w:ind w:firstLine="360"/>
        <w:rPr>
          <w:rFonts w:ascii="Times New Roman" w:hAnsi="Times New Roman" w:cs="Times New Roman"/>
          <w:b/>
          <w:sz w:val="24"/>
          <w:szCs w:val="24"/>
        </w:rPr>
      </w:pPr>
      <w:r w:rsidRPr="00131B3F">
        <w:rPr>
          <w:rFonts w:ascii="Times New Roman" w:hAnsi="Times New Roman" w:cs="Times New Roman"/>
          <w:b/>
          <w:sz w:val="24"/>
          <w:szCs w:val="24"/>
        </w:rPr>
        <w:t>I/66 Banská Bystrica – preložka cesty (Severný obchvat)</w:t>
      </w:r>
    </w:p>
    <w:p w:rsidR="00B27788" w:rsidRPr="00B27788" w:rsidP="00B27788">
      <w:pPr>
        <w:spacing w:line="240" w:lineRule="auto"/>
        <w:ind w:left="360"/>
        <w:rPr>
          <w:rFonts w:ascii="Times New Roman" w:hAnsi="Times New Roman" w:cs="Times New Roman"/>
          <w:sz w:val="24"/>
          <w:szCs w:val="24"/>
        </w:rPr>
      </w:pPr>
      <w:r w:rsidRPr="00131B3F" w:rsidR="00131B3F">
        <w:rPr>
          <w:rFonts w:ascii="Times New Roman" w:hAnsi="Times New Roman" w:cs="Times New Roman"/>
          <w:sz w:val="24"/>
          <w:szCs w:val="24"/>
        </w:rPr>
        <w:t>V roku 2007 bolo preinvesto</w:t>
      </w:r>
      <w:r w:rsidR="005721F7">
        <w:rPr>
          <w:rFonts w:ascii="Times New Roman" w:hAnsi="Times New Roman" w:cs="Times New Roman"/>
          <w:sz w:val="24"/>
          <w:szCs w:val="24"/>
        </w:rPr>
        <w:t xml:space="preserve">vaných  celkom  182 127 820,50 </w:t>
      </w:r>
      <w:r w:rsidRPr="00131B3F" w:rsidR="00131B3F">
        <w:rPr>
          <w:rFonts w:ascii="Times New Roman" w:hAnsi="Times New Roman" w:cs="Times New Roman"/>
          <w:sz w:val="24"/>
          <w:szCs w:val="24"/>
        </w:rPr>
        <w:t xml:space="preserve">Sk.  Z toho 104 931 372,50 Sk </w:t>
      </w:r>
      <w:r w:rsidR="001A659C">
        <w:rPr>
          <w:rFonts w:ascii="Times New Roman" w:hAnsi="Times New Roman" w:cs="Times New Roman"/>
          <w:sz w:val="24"/>
          <w:szCs w:val="24"/>
        </w:rPr>
        <w:t>i</w:t>
      </w:r>
      <w:r w:rsidR="001A659C">
        <w:rPr>
          <w:rFonts w:ascii="Times New Roman" w:hAnsi="Times New Roman" w:cs="Times New Roman"/>
          <w:sz w:val="24"/>
          <w:szCs w:val="24"/>
        </w:rPr>
        <w:t xml:space="preserve">šlo </w:t>
      </w:r>
      <w:r w:rsidRPr="00131B3F" w:rsidR="00131B3F">
        <w:rPr>
          <w:rFonts w:ascii="Times New Roman" w:hAnsi="Times New Roman" w:cs="Times New Roman"/>
          <w:sz w:val="24"/>
          <w:szCs w:val="24"/>
        </w:rPr>
        <w:t>na zabezpečenie výkupov dotknutých pozemkov a 77 196 448 Sk na projektovú dokumentáciu. Aj v roku 2008 budú pokračovať práce spojené s prípravou stavby.</w:t>
      </w:r>
    </w:p>
    <w:p w:rsidR="00131B3F" w:rsidRPr="00131B3F" w:rsidP="00131B3F">
      <w:pPr>
        <w:spacing w:line="240" w:lineRule="auto"/>
        <w:ind w:firstLine="360"/>
        <w:rPr>
          <w:rFonts w:ascii="Times New Roman" w:hAnsi="Times New Roman" w:cs="Times New Roman"/>
          <w:b/>
          <w:sz w:val="24"/>
          <w:szCs w:val="24"/>
        </w:rPr>
      </w:pPr>
      <w:r w:rsidR="00AC0657">
        <w:rPr>
          <w:rFonts w:ascii="Times New Roman" w:hAnsi="Times New Roman" w:cs="Times New Roman"/>
          <w:b/>
          <w:sz w:val="24"/>
          <w:szCs w:val="24"/>
        </w:rPr>
        <w:t xml:space="preserve">I/66 Banská Bystrica, </w:t>
      </w:r>
      <w:r w:rsidRPr="00131B3F">
        <w:rPr>
          <w:rFonts w:ascii="Times New Roman" w:hAnsi="Times New Roman" w:cs="Times New Roman"/>
          <w:b/>
          <w:sz w:val="24"/>
          <w:szCs w:val="24"/>
        </w:rPr>
        <w:t>križovatka III/06634</w:t>
      </w:r>
    </w:p>
    <w:p w:rsidR="00B27788" w:rsidRPr="00B27788" w:rsidP="00B27788">
      <w:pPr>
        <w:spacing w:line="240" w:lineRule="auto"/>
        <w:ind w:left="360"/>
        <w:rPr>
          <w:rFonts w:ascii="Times New Roman" w:hAnsi="Times New Roman" w:cs="Times New Roman"/>
          <w:sz w:val="24"/>
          <w:szCs w:val="24"/>
        </w:rPr>
      </w:pPr>
      <w:r w:rsidR="005721F7">
        <w:rPr>
          <w:rFonts w:ascii="Times New Roman" w:hAnsi="Times New Roman" w:cs="Times New Roman"/>
          <w:sz w:val="24"/>
          <w:szCs w:val="24"/>
        </w:rPr>
        <w:t>Stavba je spolufinancovaná z</w:t>
      </w:r>
      <w:r w:rsidRPr="00131B3F" w:rsidR="00131B3F">
        <w:rPr>
          <w:rFonts w:ascii="Times New Roman" w:hAnsi="Times New Roman" w:cs="Times New Roman"/>
          <w:sz w:val="24"/>
          <w:szCs w:val="24"/>
        </w:rPr>
        <w:t> prostriedkov ERDF. Vybudovanie križovatky cesty I/59 s cestou III/06634 je pre komunikačný systém mesta Banská Bystrica mimoriadne dôležité, vzhľadom na existujúce kolízne úrovňové napojenie cesty III/ 06634 na cestu I/59, ako aj vzhľadom na rastúcu intenzitu dopravy na ceste I/66 v úseku 89,600 – 90,100 v prieťahu mestom Banská Bystrica. Z</w:t>
      </w:r>
      <w:r w:rsidRPr="00131B3F" w:rsidR="00131B3F">
        <w:rPr>
          <w:rFonts w:ascii="Times New Roman" w:hAnsi="Times New Roman" w:cs="Times New Roman"/>
          <w:bCs/>
          <w:sz w:val="24"/>
          <w:szCs w:val="24"/>
        </w:rPr>
        <w:t> dôvodu oneskoreného termínu začatia stavby oproti predpokladanému a tým nenaplnenia minimálnej čia</w:t>
      </w:r>
      <w:r w:rsidR="00DB740E">
        <w:rPr>
          <w:rFonts w:ascii="Times New Roman" w:hAnsi="Times New Roman" w:cs="Times New Roman"/>
          <w:bCs/>
          <w:sz w:val="24"/>
          <w:szCs w:val="24"/>
        </w:rPr>
        <w:t xml:space="preserve">stky pre fakturáciu v roku 2007, </w:t>
      </w:r>
      <w:r w:rsidRPr="00131B3F" w:rsidR="00131B3F">
        <w:rPr>
          <w:rFonts w:ascii="Times New Roman" w:hAnsi="Times New Roman" w:cs="Times New Roman"/>
          <w:bCs/>
          <w:sz w:val="24"/>
          <w:szCs w:val="24"/>
        </w:rPr>
        <w:t>neboli hradené žiadne stavebné práce a suma vo výške 21 811 371,6</w:t>
      </w:r>
      <w:r w:rsidRPr="00131B3F" w:rsidR="00131B3F">
        <w:rPr>
          <w:rFonts w:ascii="Times New Roman" w:hAnsi="Times New Roman" w:cs="Times New Roman"/>
          <w:bCs/>
          <w:sz w:val="24"/>
          <w:szCs w:val="24"/>
        </w:rPr>
        <w:t>0 Sk bola preinvestovaná v rámci prípravy stavby.</w:t>
      </w:r>
    </w:p>
    <w:p w:rsidR="00131B3F" w:rsidRPr="00131B3F" w:rsidP="00131B3F">
      <w:pPr>
        <w:spacing w:line="240" w:lineRule="auto"/>
        <w:ind w:firstLine="360"/>
        <w:rPr>
          <w:rFonts w:ascii="Times New Roman" w:hAnsi="Times New Roman" w:cs="Times New Roman"/>
          <w:b/>
          <w:sz w:val="24"/>
          <w:szCs w:val="24"/>
        </w:rPr>
      </w:pPr>
      <w:r w:rsidRPr="00131B3F">
        <w:rPr>
          <w:rFonts w:ascii="Times New Roman" w:hAnsi="Times New Roman" w:cs="Times New Roman"/>
          <w:b/>
          <w:sz w:val="24"/>
          <w:szCs w:val="24"/>
        </w:rPr>
        <w:t>I/59 Motyčky – núdzový záliv</w:t>
      </w:r>
    </w:p>
    <w:p w:rsidR="00AD329C" w:rsidP="00B21D03">
      <w:pPr>
        <w:spacing w:line="240" w:lineRule="auto"/>
        <w:ind w:left="360"/>
        <w:rPr>
          <w:rFonts w:ascii="Times New Roman" w:hAnsi="Times New Roman" w:cs="Times New Roman"/>
          <w:sz w:val="24"/>
          <w:szCs w:val="24"/>
        </w:rPr>
      </w:pPr>
      <w:r w:rsidR="005721F7">
        <w:rPr>
          <w:rFonts w:ascii="Times New Roman" w:hAnsi="Times New Roman" w:cs="Times New Roman"/>
          <w:sz w:val="24"/>
          <w:szCs w:val="24"/>
        </w:rPr>
        <w:t>Stavba je spolufinancovaná z</w:t>
      </w:r>
      <w:r w:rsidRPr="00131B3F" w:rsidR="00131B3F">
        <w:rPr>
          <w:rFonts w:ascii="Times New Roman" w:hAnsi="Times New Roman" w:cs="Times New Roman"/>
          <w:sz w:val="24"/>
          <w:szCs w:val="24"/>
        </w:rPr>
        <w:t xml:space="preserve"> prostriedkov ERDF. Z </w:t>
      </w:r>
      <w:r w:rsidRPr="00131B3F" w:rsidR="00131B3F">
        <w:rPr>
          <w:rFonts w:ascii="Times New Roman" w:hAnsi="Times New Roman" w:cs="Times New Roman"/>
          <w:bCs/>
          <w:sz w:val="24"/>
          <w:szCs w:val="24"/>
        </w:rPr>
        <w:t>dôvodu oneskoreného termínu dodania stavebných povolení na jednotlivé objekty stavby oproti predpokladanému termínu bolo v roku</w:t>
      </w:r>
      <w:r w:rsidRPr="00131B3F" w:rsidR="00131B3F">
        <w:rPr>
          <w:rFonts w:ascii="Times New Roman" w:hAnsi="Times New Roman" w:cs="Times New Roman"/>
          <w:bCs/>
          <w:sz w:val="24"/>
          <w:szCs w:val="24"/>
        </w:rPr>
        <w:t xml:space="preserve"> 2007 hradených</w:t>
      </w:r>
      <w:r>
        <w:rPr>
          <w:rFonts w:ascii="Times New Roman" w:hAnsi="Times New Roman" w:cs="Times New Roman"/>
          <w:bCs/>
          <w:sz w:val="24"/>
          <w:szCs w:val="24"/>
        </w:rPr>
        <w:t xml:space="preserve"> z rozpočtu SSC 3 831 989,10 Sk, </w:t>
      </w:r>
      <w:r w:rsidRPr="00131B3F" w:rsidR="00131B3F">
        <w:rPr>
          <w:rFonts w:ascii="Times New Roman" w:hAnsi="Times New Roman" w:cs="Times New Roman"/>
          <w:bCs/>
          <w:sz w:val="24"/>
          <w:szCs w:val="24"/>
        </w:rPr>
        <w:t>z čoho bolo v rámci stavebných (neoprávnených nákladov) hradených 0,864 mil. Sk.</w:t>
      </w:r>
    </w:p>
    <w:p w:rsidR="00B21D03" w:rsidRPr="00B21D03" w:rsidP="00B21D03">
      <w:pPr>
        <w:spacing w:line="240" w:lineRule="auto"/>
        <w:ind w:left="360"/>
        <w:rPr>
          <w:rFonts w:ascii="Times New Roman" w:hAnsi="Times New Roman" w:cs="Times New Roman"/>
          <w:sz w:val="24"/>
          <w:szCs w:val="24"/>
        </w:rPr>
      </w:pPr>
    </w:p>
    <w:p w:rsidR="00131B3F" w:rsidRPr="00AD329C" w:rsidP="00AD329C">
      <w:pPr>
        <w:tabs>
          <w:tab w:val="left" w:pos="360"/>
        </w:tabs>
        <w:spacing w:line="240" w:lineRule="auto"/>
        <w:rPr>
          <w:rFonts w:ascii="Times New Roman" w:hAnsi="Times New Roman" w:cs="Times New Roman"/>
          <w:bCs/>
          <w:sz w:val="24"/>
          <w:szCs w:val="24"/>
        </w:rPr>
      </w:pPr>
      <w:r w:rsidRPr="00131B3F">
        <w:rPr>
          <w:rFonts w:ascii="Times New Roman" w:hAnsi="Times New Roman" w:cs="Times New Roman"/>
          <w:bCs/>
          <w:sz w:val="24"/>
          <w:szCs w:val="24"/>
        </w:rPr>
        <w:t>Za vypracovanie technickej štúdie a zámeru boli reali</w:t>
      </w:r>
      <w:r w:rsidR="00AD329C">
        <w:rPr>
          <w:rFonts w:ascii="Times New Roman" w:hAnsi="Times New Roman" w:cs="Times New Roman"/>
          <w:bCs/>
          <w:sz w:val="24"/>
          <w:szCs w:val="24"/>
        </w:rPr>
        <w:t>zované platby pre tieto stavby:</w:t>
      </w:r>
    </w:p>
    <w:p w:rsidR="00131B3F" w:rsidRPr="00AD329C" w:rsidP="00131B3F">
      <w:pPr>
        <w:spacing w:line="240" w:lineRule="auto"/>
        <w:ind w:firstLine="360"/>
        <w:rPr>
          <w:rFonts w:ascii="Times New Roman" w:hAnsi="Times New Roman" w:cs="Times New Roman"/>
          <w:sz w:val="24"/>
          <w:szCs w:val="24"/>
        </w:rPr>
      </w:pPr>
      <w:r w:rsidRPr="00AD329C" w:rsidR="00AD329C">
        <w:rPr>
          <w:rFonts w:ascii="Times New Roman" w:hAnsi="Times New Roman" w:cs="Times New Roman"/>
          <w:sz w:val="24"/>
          <w:szCs w:val="24"/>
        </w:rPr>
        <w:t xml:space="preserve">I/66 Polomka – hranica </w:t>
      </w:r>
      <w:r w:rsidRPr="00AD329C">
        <w:rPr>
          <w:rFonts w:ascii="Times New Roman" w:hAnsi="Times New Roman" w:cs="Times New Roman"/>
          <w:sz w:val="24"/>
          <w:szCs w:val="24"/>
        </w:rPr>
        <w:t>kraja STO – vo výš</w:t>
      </w:r>
      <w:r w:rsidRPr="00AD329C">
        <w:rPr>
          <w:rFonts w:ascii="Times New Roman" w:hAnsi="Times New Roman" w:cs="Times New Roman"/>
          <w:sz w:val="24"/>
          <w:szCs w:val="24"/>
        </w:rPr>
        <w:t>ke</w:t>
      </w:r>
      <w:r w:rsidR="005721F7">
        <w:rPr>
          <w:rFonts w:ascii="Times New Roman" w:hAnsi="Times New Roman" w:cs="Times New Roman"/>
          <w:sz w:val="24"/>
          <w:szCs w:val="24"/>
        </w:rPr>
        <w:t xml:space="preserve"> </w:t>
      </w:r>
      <w:r w:rsidRPr="00AD329C">
        <w:rPr>
          <w:rFonts w:ascii="Times New Roman" w:hAnsi="Times New Roman" w:cs="Times New Roman"/>
          <w:sz w:val="24"/>
          <w:szCs w:val="24"/>
        </w:rPr>
        <w:t>1 625 147,30 Sk</w:t>
      </w:r>
    </w:p>
    <w:p w:rsidR="00131B3F" w:rsidRPr="00AD329C" w:rsidP="00131B3F">
      <w:pPr>
        <w:spacing w:line="240" w:lineRule="auto"/>
        <w:ind w:firstLine="360"/>
        <w:rPr>
          <w:rFonts w:ascii="Times New Roman" w:hAnsi="Times New Roman" w:cs="Times New Roman"/>
          <w:sz w:val="24"/>
          <w:szCs w:val="24"/>
        </w:rPr>
      </w:pPr>
      <w:r w:rsidR="00AD329C">
        <w:rPr>
          <w:rFonts w:ascii="Times New Roman" w:hAnsi="Times New Roman" w:cs="Times New Roman"/>
          <w:sz w:val="24"/>
          <w:szCs w:val="24"/>
        </w:rPr>
        <w:t xml:space="preserve">I/66 Slovenská Ľupča – </w:t>
      </w:r>
      <w:r w:rsidRPr="00AD329C">
        <w:rPr>
          <w:rFonts w:ascii="Times New Roman" w:hAnsi="Times New Roman" w:cs="Times New Roman"/>
          <w:sz w:val="24"/>
          <w:szCs w:val="24"/>
        </w:rPr>
        <w:t>Korytnica,</w:t>
      </w:r>
      <w:r w:rsidR="00AD329C">
        <w:rPr>
          <w:rFonts w:ascii="Times New Roman" w:hAnsi="Times New Roman" w:cs="Times New Roman"/>
          <w:sz w:val="24"/>
          <w:szCs w:val="24"/>
        </w:rPr>
        <w:t xml:space="preserve"> hranica k</w:t>
      </w:r>
      <w:r w:rsidRPr="00AD329C">
        <w:rPr>
          <w:rFonts w:ascii="Times New Roman" w:hAnsi="Times New Roman" w:cs="Times New Roman"/>
          <w:sz w:val="24"/>
          <w:szCs w:val="24"/>
        </w:rPr>
        <w:t>raja – vo výške 4 245 142,90 Sk</w:t>
      </w:r>
    </w:p>
    <w:p w:rsidR="00131B3F" w:rsidRPr="00AD329C" w:rsidP="00131B3F">
      <w:pPr>
        <w:spacing w:line="240" w:lineRule="auto"/>
        <w:ind w:firstLine="360"/>
        <w:rPr>
          <w:rFonts w:ascii="Times New Roman" w:hAnsi="Times New Roman" w:cs="Times New Roman"/>
          <w:sz w:val="24"/>
          <w:szCs w:val="24"/>
        </w:rPr>
      </w:pPr>
      <w:r w:rsidR="00AD329C">
        <w:rPr>
          <w:rFonts w:ascii="Times New Roman" w:hAnsi="Times New Roman" w:cs="Times New Roman"/>
          <w:sz w:val="24"/>
          <w:szCs w:val="24"/>
        </w:rPr>
        <w:t xml:space="preserve">I/66 Brezno – </w:t>
      </w:r>
      <w:r w:rsidRPr="00AD329C">
        <w:rPr>
          <w:rFonts w:ascii="Times New Roman" w:hAnsi="Times New Roman" w:cs="Times New Roman"/>
          <w:sz w:val="24"/>
          <w:szCs w:val="24"/>
        </w:rPr>
        <w:t>Polomka STO – vo výške 996 863 Sk</w:t>
      </w:r>
    </w:p>
    <w:p w:rsidR="00131B3F" w:rsidRPr="00AD329C" w:rsidP="00131B3F">
      <w:pPr>
        <w:spacing w:line="240" w:lineRule="auto"/>
        <w:ind w:firstLine="360"/>
        <w:rPr>
          <w:rFonts w:ascii="Times New Roman" w:hAnsi="Times New Roman" w:cs="Times New Roman"/>
          <w:sz w:val="24"/>
          <w:szCs w:val="24"/>
        </w:rPr>
      </w:pPr>
      <w:r w:rsidR="00AD329C">
        <w:rPr>
          <w:rFonts w:ascii="Times New Roman" w:hAnsi="Times New Roman" w:cs="Times New Roman"/>
          <w:sz w:val="24"/>
          <w:szCs w:val="24"/>
        </w:rPr>
        <w:t xml:space="preserve">I/75 Veľký Krtíš – </w:t>
      </w:r>
      <w:r w:rsidRPr="00AD329C">
        <w:rPr>
          <w:rFonts w:ascii="Times New Roman" w:hAnsi="Times New Roman" w:cs="Times New Roman"/>
          <w:sz w:val="24"/>
          <w:szCs w:val="24"/>
        </w:rPr>
        <w:t>Pôtor, sanácia – vo výške 2 177 464,50 Sk</w:t>
      </w:r>
    </w:p>
    <w:p w:rsidR="00131B3F" w:rsidRPr="00131B3F" w:rsidP="00131B3F">
      <w:pPr>
        <w:tabs>
          <w:tab w:val="left" w:pos="360"/>
        </w:tabs>
        <w:spacing w:line="240" w:lineRule="auto"/>
        <w:rPr>
          <w:rFonts w:ascii="Times New Roman" w:hAnsi="Times New Roman" w:cs="Times New Roman"/>
          <w:b/>
          <w:sz w:val="24"/>
          <w:szCs w:val="24"/>
        </w:rPr>
      </w:pPr>
    </w:p>
    <w:p w:rsidR="009E0911" w:rsidRPr="00D732C7" w:rsidP="009E0911">
      <w:pPr>
        <w:spacing w:line="240" w:lineRule="auto"/>
        <w:rPr>
          <w:rFonts w:ascii="Times New Roman" w:hAnsi="Times New Roman" w:cs="Times New Roman"/>
          <w:sz w:val="24"/>
          <w:szCs w:val="24"/>
        </w:rPr>
      </w:pPr>
      <w:r>
        <w:rPr>
          <w:rFonts w:ascii="Times New Roman" w:hAnsi="Times New Roman" w:cs="Times New Roman"/>
          <w:sz w:val="24"/>
          <w:szCs w:val="24"/>
        </w:rPr>
        <w:t xml:space="preserve">Za </w:t>
      </w:r>
      <w:r w:rsidRPr="00D732C7">
        <w:rPr>
          <w:rFonts w:ascii="Times New Roman" w:hAnsi="Times New Roman" w:cs="Times New Roman"/>
          <w:sz w:val="24"/>
          <w:szCs w:val="24"/>
        </w:rPr>
        <w:t>vypracovanie dokum</w:t>
      </w:r>
      <w:r>
        <w:rPr>
          <w:rFonts w:ascii="Times New Roman" w:hAnsi="Times New Roman" w:cs="Times New Roman"/>
          <w:sz w:val="24"/>
          <w:szCs w:val="24"/>
        </w:rPr>
        <w:t xml:space="preserve">entácie na územné rozhodnutie, </w:t>
      </w:r>
      <w:r>
        <w:rPr>
          <w:rFonts w:ascii="Times New Roman" w:hAnsi="Times New Roman" w:cs="Times New Roman"/>
          <w:sz w:val="24"/>
          <w:szCs w:val="24"/>
        </w:rPr>
        <w:t xml:space="preserve">stavebného zámeru, </w:t>
      </w:r>
      <w:r w:rsidRPr="00D732C7">
        <w:rPr>
          <w:rFonts w:ascii="Times New Roman" w:hAnsi="Times New Roman" w:cs="Times New Roman"/>
          <w:sz w:val="24"/>
          <w:szCs w:val="24"/>
        </w:rPr>
        <w:t>stavebné</w:t>
      </w:r>
      <w:r>
        <w:rPr>
          <w:rFonts w:ascii="Times New Roman" w:hAnsi="Times New Roman" w:cs="Times New Roman"/>
          <w:sz w:val="24"/>
          <w:szCs w:val="24"/>
        </w:rPr>
        <w:t>ho povolenia</w:t>
      </w:r>
      <w:r w:rsidRPr="00D732C7">
        <w:rPr>
          <w:rFonts w:ascii="Times New Roman" w:hAnsi="Times New Roman" w:cs="Times New Roman"/>
          <w:sz w:val="24"/>
          <w:szCs w:val="24"/>
        </w:rPr>
        <w:t xml:space="preserve"> a ponuku boli realizované platby pre tieto stavby:  </w:t>
      </w:r>
    </w:p>
    <w:p w:rsidR="00131B3F" w:rsidRPr="00AD329C" w:rsidP="009E0911">
      <w:pPr>
        <w:spacing w:line="240" w:lineRule="auto"/>
        <w:ind w:left="1260"/>
        <w:rPr>
          <w:rFonts w:ascii="Times New Roman" w:hAnsi="Times New Roman" w:cs="Times New Roman"/>
          <w:sz w:val="24"/>
          <w:szCs w:val="24"/>
        </w:rPr>
      </w:pPr>
      <w:r w:rsidRPr="00AD329C" w:rsidR="00AD329C">
        <w:rPr>
          <w:rFonts w:ascii="Times New Roman" w:hAnsi="Times New Roman" w:cs="Times New Roman"/>
          <w:sz w:val="24"/>
          <w:szCs w:val="24"/>
        </w:rPr>
        <w:t xml:space="preserve">I/66 Polomka – </w:t>
      </w:r>
      <w:r w:rsidRPr="00AD329C">
        <w:rPr>
          <w:rFonts w:ascii="Times New Roman" w:hAnsi="Times New Roman" w:cs="Times New Roman"/>
          <w:sz w:val="24"/>
          <w:szCs w:val="24"/>
        </w:rPr>
        <w:t>bodová závada – vo výške 2 011 100 Sk</w:t>
      </w:r>
    </w:p>
    <w:p w:rsidR="00131B3F" w:rsidRPr="00AD329C" w:rsidP="009E0911">
      <w:pPr>
        <w:spacing w:line="240" w:lineRule="auto"/>
        <w:ind w:left="1260"/>
        <w:rPr>
          <w:rFonts w:ascii="Times New Roman" w:hAnsi="Times New Roman" w:cs="Times New Roman"/>
          <w:sz w:val="24"/>
          <w:szCs w:val="24"/>
        </w:rPr>
      </w:pPr>
      <w:r w:rsidRPr="00AD329C">
        <w:rPr>
          <w:rFonts w:ascii="Times New Roman" w:hAnsi="Times New Roman" w:cs="Times New Roman"/>
          <w:sz w:val="24"/>
          <w:szCs w:val="24"/>
        </w:rPr>
        <w:t>I</w:t>
      </w:r>
      <w:r w:rsidR="00AD329C">
        <w:rPr>
          <w:rFonts w:ascii="Times New Roman" w:hAnsi="Times New Roman" w:cs="Times New Roman"/>
          <w:sz w:val="24"/>
          <w:szCs w:val="24"/>
        </w:rPr>
        <w:t xml:space="preserve">/65 Kremnica – </w:t>
      </w:r>
      <w:r w:rsidRPr="00AD329C">
        <w:rPr>
          <w:rFonts w:ascii="Times New Roman" w:hAnsi="Times New Roman" w:cs="Times New Roman"/>
          <w:sz w:val="24"/>
          <w:szCs w:val="24"/>
        </w:rPr>
        <w:t>Kremnické Bane, rekonštrukcia – vo výške 47 600 Sk</w:t>
      </w:r>
    </w:p>
    <w:p w:rsidR="00131B3F" w:rsidRPr="00AD329C" w:rsidP="00B21D03">
      <w:pPr>
        <w:spacing w:line="240" w:lineRule="auto"/>
        <w:ind w:firstLine="1260"/>
        <w:rPr>
          <w:rFonts w:ascii="Times New Roman" w:hAnsi="Times New Roman" w:cs="Times New Roman"/>
          <w:sz w:val="24"/>
          <w:szCs w:val="24"/>
        </w:rPr>
      </w:pPr>
      <w:r w:rsidR="00AD329C">
        <w:rPr>
          <w:rFonts w:ascii="Times New Roman" w:hAnsi="Times New Roman" w:cs="Times New Roman"/>
          <w:sz w:val="24"/>
          <w:szCs w:val="24"/>
        </w:rPr>
        <w:t xml:space="preserve">I/50 Zvolen – </w:t>
      </w:r>
      <w:r w:rsidRPr="00AD329C">
        <w:rPr>
          <w:rFonts w:ascii="Times New Roman" w:hAnsi="Times New Roman" w:cs="Times New Roman"/>
          <w:sz w:val="24"/>
          <w:szCs w:val="24"/>
        </w:rPr>
        <w:t>Pustý hrad, Neresnica III. etapa – vo výške 396 032 Sk</w:t>
      </w:r>
    </w:p>
    <w:p w:rsidR="00131B3F" w:rsidRPr="00AD329C" w:rsidP="00B21D03">
      <w:pPr>
        <w:spacing w:line="240" w:lineRule="auto"/>
        <w:ind w:firstLine="1260"/>
        <w:rPr>
          <w:rFonts w:ascii="Times New Roman" w:hAnsi="Times New Roman" w:cs="Times New Roman"/>
          <w:sz w:val="24"/>
          <w:szCs w:val="24"/>
        </w:rPr>
      </w:pPr>
      <w:r w:rsidR="00AD329C">
        <w:rPr>
          <w:rFonts w:ascii="Times New Roman" w:hAnsi="Times New Roman" w:cs="Times New Roman"/>
          <w:sz w:val="24"/>
          <w:szCs w:val="24"/>
        </w:rPr>
        <w:t xml:space="preserve">I/66 Polomka – </w:t>
      </w:r>
      <w:r w:rsidRPr="00AD329C">
        <w:rPr>
          <w:rFonts w:ascii="Times New Roman" w:hAnsi="Times New Roman" w:cs="Times New Roman"/>
          <w:sz w:val="24"/>
          <w:szCs w:val="24"/>
        </w:rPr>
        <w:t>sanácia v km 140,020 – vo výške 417 095,45 Sk</w:t>
      </w:r>
    </w:p>
    <w:p w:rsidR="00131B3F" w:rsidRPr="00AD329C" w:rsidP="00B21D03">
      <w:pPr>
        <w:spacing w:line="240" w:lineRule="auto"/>
        <w:ind w:firstLine="1260"/>
        <w:rPr>
          <w:rFonts w:ascii="Times New Roman" w:hAnsi="Times New Roman" w:cs="Times New Roman"/>
          <w:sz w:val="24"/>
          <w:szCs w:val="24"/>
        </w:rPr>
      </w:pPr>
      <w:r w:rsidRPr="00AD329C">
        <w:rPr>
          <w:rFonts w:ascii="Times New Roman" w:hAnsi="Times New Roman" w:cs="Times New Roman"/>
          <w:sz w:val="24"/>
          <w:szCs w:val="24"/>
        </w:rPr>
        <w:t>I/50  Píla – Mýtna – vo výške 544 330 Sk</w:t>
      </w:r>
    </w:p>
    <w:p w:rsidR="00131B3F" w:rsidRPr="00AD329C" w:rsidP="00B21D03">
      <w:pPr>
        <w:spacing w:line="240" w:lineRule="auto"/>
        <w:ind w:firstLine="1260"/>
        <w:rPr>
          <w:rFonts w:ascii="Times New Roman" w:hAnsi="Times New Roman" w:cs="Times New Roman"/>
          <w:sz w:val="24"/>
          <w:szCs w:val="24"/>
        </w:rPr>
      </w:pPr>
      <w:r w:rsidRPr="00AD329C">
        <w:rPr>
          <w:rFonts w:ascii="Times New Roman" w:hAnsi="Times New Roman" w:cs="Times New Roman"/>
          <w:sz w:val="24"/>
          <w:szCs w:val="24"/>
        </w:rPr>
        <w:t xml:space="preserve">I/50 Zvolen – </w:t>
      </w:r>
      <w:r w:rsidRPr="00AD329C">
        <w:rPr>
          <w:rFonts w:ascii="Times New Roman" w:hAnsi="Times New Roman" w:cs="Times New Roman"/>
          <w:sz w:val="24"/>
          <w:szCs w:val="24"/>
        </w:rPr>
        <w:t>Bučina – vo výške 542 116,40 Sk</w:t>
      </w:r>
    </w:p>
    <w:p w:rsidR="00B27788" w:rsidP="00C80171">
      <w:pPr>
        <w:spacing w:line="240" w:lineRule="auto"/>
        <w:rPr>
          <w:rFonts w:ascii="Times New Roman" w:hAnsi="Times New Roman" w:cs="Times New Roman"/>
          <w:b/>
          <w:sz w:val="24"/>
          <w:szCs w:val="24"/>
          <w:u w:val="single"/>
        </w:rPr>
      </w:pPr>
    </w:p>
    <w:p w:rsidR="00036E0A" w:rsidRPr="00F665BB" w:rsidP="00C80171">
      <w:pPr>
        <w:spacing w:line="240" w:lineRule="auto"/>
        <w:rPr>
          <w:rFonts w:ascii="Times New Roman" w:hAnsi="Times New Roman" w:cs="Times New Roman"/>
          <w:b/>
          <w:sz w:val="24"/>
          <w:szCs w:val="24"/>
          <w:u w:val="single"/>
        </w:rPr>
      </w:pPr>
      <w:r w:rsidRPr="00F665BB" w:rsidR="004F0AB1">
        <w:rPr>
          <w:rFonts w:ascii="Times New Roman" w:hAnsi="Times New Roman" w:cs="Times New Roman"/>
          <w:b/>
          <w:sz w:val="24"/>
          <w:szCs w:val="24"/>
          <w:u w:val="single"/>
        </w:rPr>
        <w:t>IVSC Košice</w:t>
      </w:r>
    </w:p>
    <w:p w:rsidR="00C80171" w:rsidP="00C80171">
      <w:pPr>
        <w:spacing w:line="240" w:lineRule="auto"/>
        <w:rPr>
          <w:rFonts w:ascii="Times New Roman" w:hAnsi="Times New Roman" w:cs="Times New Roman"/>
          <w:sz w:val="24"/>
          <w:szCs w:val="24"/>
        </w:rPr>
      </w:pPr>
    </w:p>
    <w:p w:rsidR="00C80171" w:rsidP="00C80171">
      <w:pPr>
        <w:spacing w:line="240" w:lineRule="auto"/>
        <w:rPr>
          <w:rFonts w:ascii="Times New Roman" w:hAnsi="Times New Roman" w:cs="Times New Roman"/>
          <w:b/>
          <w:sz w:val="24"/>
          <w:szCs w:val="24"/>
        </w:rPr>
      </w:pPr>
      <w:r w:rsidRPr="00C80171">
        <w:rPr>
          <w:rFonts w:ascii="Times New Roman" w:hAnsi="Times New Roman" w:cs="Times New Roman"/>
          <w:b/>
          <w:sz w:val="24"/>
          <w:szCs w:val="24"/>
        </w:rPr>
        <w:t xml:space="preserve">Ukončené stavby </w:t>
      </w:r>
    </w:p>
    <w:p w:rsidR="001B67B7" w:rsidP="001B67B7">
      <w:pPr>
        <w:autoSpaceDE/>
        <w:autoSpaceDN/>
        <w:spacing w:line="240" w:lineRule="atLeast"/>
        <w:jc w:val="left"/>
        <w:textAlignment w:val="auto"/>
        <w:rPr>
          <w:rFonts w:ascii="Tms Rmn" w:hAnsi="Tms Rmn" w:cs="Tms Rmn"/>
          <w:b/>
          <w:bCs/>
          <w:color w:val="000000"/>
          <w:lang w:eastAsia="sk-SK"/>
        </w:rPr>
      </w:pPr>
    </w:p>
    <w:p w:rsidR="00D63629" w:rsidRPr="00D63629" w:rsidP="00D63629">
      <w:pPr>
        <w:spacing w:line="240" w:lineRule="auto"/>
        <w:ind w:firstLine="360"/>
        <w:rPr>
          <w:rFonts w:ascii="Times New Roman" w:hAnsi="Times New Roman" w:cs="Times New Roman"/>
          <w:sz w:val="24"/>
          <w:szCs w:val="24"/>
        </w:rPr>
      </w:pPr>
      <w:r w:rsidR="00C80171">
        <w:rPr>
          <w:rFonts w:ascii="Times New Roman" w:hAnsi="Times New Roman" w:cs="Times New Roman"/>
          <w:b/>
          <w:sz w:val="24"/>
          <w:szCs w:val="24"/>
        </w:rPr>
        <w:t xml:space="preserve">I/67 - 076 Tatranská Kotlina, </w:t>
      </w:r>
      <w:r w:rsidRPr="00D63629">
        <w:rPr>
          <w:rFonts w:ascii="Times New Roman" w:hAnsi="Times New Roman" w:cs="Times New Roman"/>
          <w:b/>
          <w:sz w:val="24"/>
          <w:szCs w:val="24"/>
        </w:rPr>
        <w:t>most</w:t>
      </w:r>
      <w:r w:rsidRPr="00D63629">
        <w:rPr>
          <w:rFonts w:ascii="Times New Roman" w:hAnsi="Times New Roman" w:cs="Times New Roman"/>
          <w:sz w:val="24"/>
          <w:szCs w:val="24"/>
        </w:rPr>
        <w:tab/>
      </w:r>
    </w:p>
    <w:p w:rsidR="00D63629" w:rsidRPr="00D63629" w:rsidP="00C80171">
      <w:pPr>
        <w:spacing w:line="240" w:lineRule="auto"/>
        <w:ind w:left="360"/>
        <w:rPr>
          <w:rFonts w:ascii="Times New Roman" w:hAnsi="Times New Roman" w:cs="Times New Roman"/>
          <w:sz w:val="24"/>
          <w:szCs w:val="24"/>
        </w:rPr>
      </w:pPr>
      <w:r w:rsidRPr="00D63629">
        <w:rPr>
          <w:rFonts w:ascii="Times New Roman" w:hAnsi="Times New Roman" w:cs="Times New Roman"/>
          <w:bCs/>
          <w:sz w:val="24"/>
          <w:szCs w:val="24"/>
        </w:rPr>
        <w:t>Stavba bola zameraná na čiastočnú rekonštrukciu spodnej stavby a kompletnej rekonštrukcii hornej stavby mostného objektu. Súčasťou stavby boli aj úpravy ces</w:t>
      </w:r>
      <w:r w:rsidR="00C80171">
        <w:rPr>
          <w:rFonts w:ascii="Times New Roman" w:hAnsi="Times New Roman" w:cs="Times New Roman"/>
          <w:bCs/>
          <w:sz w:val="24"/>
          <w:szCs w:val="24"/>
        </w:rPr>
        <w:t xml:space="preserve">tného telesa (rozšírenie cesty) </w:t>
      </w:r>
      <w:r w:rsidRPr="00D63629">
        <w:rPr>
          <w:rFonts w:ascii="Times New Roman" w:hAnsi="Times New Roman" w:cs="Times New Roman"/>
          <w:bCs/>
          <w:sz w:val="24"/>
          <w:szCs w:val="24"/>
        </w:rPr>
        <w:t>a úpravy koryta vodného toku</w:t>
      </w:r>
      <w:r w:rsidRPr="00D63629">
        <w:rPr>
          <w:rFonts w:ascii="Times New Roman" w:hAnsi="Times New Roman" w:cs="Times New Roman"/>
          <w:b/>
          <w:sz w:val="24"/>
          <w:szCs w:val="24"/>
        </w:rPr>
        <w:t xml:space="preserve">. </w:t>
      </w:r>
      <w:r w:rsidRPr="00D63629">
        <w:rPr>
          <w:rFonts w:ascii="Times New Roman" w:hAnsi="Times New Roman" w:cs="Times New Roman"/>
          <w:sz w:val="24"/>
          <w:szCs w:val="24"/>
        </w:rPr>
        <w:t>Stavba bola v roku 2007 ukončená a bolo preinvestovaných 2 311</w:t>
      </w:r>
      <w:r w:rsidR="005721F7">
        <w:rPr>
          <w:rFonts w:ascii="Times New Roman" w:hAnsi="Times New Roman" w:cs="Times New Roman"/>
          <w:sz w:val="24"/>
          <w:szCs w:val="24"/>
        </w:rPr>
        <w:t xml:space="preserve"> 542,60 Sk, </w:t>
      </w:r>
      <w:r w:rsidR="00C80171">
        <w:rPr>
          <w:rFonts w:ascii="Times New Roman" w:hAnsi="Times New Roman" w:cs="Times New Roman"/>
          <w:sz w:val="24"/>
          <w:szCs w:val="24"/>
        </w:rPr>
        <w:t xml:space="preserve">z čoho </w:t>
      </w:r>
      <w:r w:rsidRPr="00D63629">
        <w:rPr>
          <w:rFonts w:ascii="Times New Roman" w:hAnsi="Times New Roman" w:cs="Times New Roman"/>
          <w:sz w:val="24"/>
          <w:szCs w:val="24"/>
        </w:rPr>
        <w:t xml:space="preserve">2 187 124,10 Sk </w:t>
      </w:r>
      <w:r w:rsidR="00C80171">
        <w:rPr>
          <w:rFonts w:ascii="Times New Roman" w:hAnsi="Times New Roman" w:cs="Times New Roman"/>
          <w:sz w:val="24"/>
          <w:szCs w:val="24"/>
        </w:rPr>
        <w:t xml:space="preserve">na </w:t>
      </w:r>
      <w:r w:rsidRPr="00D63629">
        <w:rPr>
          <w:rFonts w:ascii="Times New Roman" w:hAnsi="Times New Roman" w:cs="Times New Roman"/>
          <w:sz w:val="24"/>
          <w:szCs w:val="24"/>
        </w:rPr>
        <w:t>stavebné práce.</w:t>
      </w:r>
    </w:p>
    <w:p w:rsidR="00D63629" w:rsidRPr="00D63629" w:rsidP="00D63629">
      <w:pPr>
        <w:spacing w:line="240" w:lineRule="auto"/>
        <w:ind w:firstLine="360"/>
        <w:rPr>
          <w:rFonts w:ascii="Times New Roman" w:hAnsi="Times New Roman" w:cs="Times New Roman"/>
          <w:b/>
          <w:sz w:val="24"/>
          <w:szCs w:val="24"/>
        </w:rPr>
      </w:pPr>
      <w:r w:rsidR="00C80171">
        <w:rPr>
          <w:rFonts w:ascii="Times New Roman" w:hAnsi="Times New Roman" w:cs="Times New Roman"/>
          <w:b/>
          <w:sz w:val="24"/>
          <w:szCs w:val="24"/>
        </w:rPr>
        <w:t xml:space="preserve">I/50 - 358 Pozdišovce, </w:t>
      </w:r>
      <w:r w:rsidRPr="00D63629">
        <w:rPr>
          <w:rFonts w:ascii="Times New Roman" w:hAnsi="Times New Roman" w:cs="Times New Roman"/>
          <w:b/>
          <w:sz w:val="24"/>
          <w:szCs w:val="24"/>
        </w:rPr>
        <w:t>most</w:t>
      </w:r>
    </w:p>
    <w:p w:rsidR="00D63629" w:rsidRPr="00D63629" w:rsidP="00C80171">
      <w:pPr>
        <w:spacing w:line="240" w:lineRule="auto"/>
        <w:ind w:left="360"/>
        <w:rPr>
          <w:rFonts w:ascii="Times New Roman" w:hAnsi="Times New Roman" w:cs="Times New Roman"/>
          <w:b/>
          <w:bCs/>
          <w:i/>
          <w:sz w:val="24"/>
          <w:szCs w:val="24"/>
        </w:rPr>
      </w:pPr>
      <w:r w:rsidRPr="00D63629">
        <w:rPr>
          <w:rFonts w:ascii="Times New Roman" w:hAnsi="Times New Roman" w:cs="Times New Roman"/>
          <w:bCs/>
          <w:sz w:val="24"/>
          <w:szCs w:val="24"/>
        </w:rPr>
        <w:t>Na jestvujúcom mostnom objekte boli vykonané práce na rekonštrukcii hornej stavby mostného objektu a most bol odovzdaný do užívania. Celkové náklady v roku 20</w:t>
      </w:r>
      <w:r w:rsidR="00C80171">
        <w:rPr>
          <w:rFonts w:ascii="Times New Roman" w:hAnsi="Times New Roman" w:cs="Times New Roman"/>
          <w:bCs/>
          <w:sz w:val="24"/>
          <w:szCs w:val="24"/>
        </w:rPr>
        <w:t xml:space="preserve">07 tvorili sumu 4 163 585,21 Sk, z čoho stavebné náklady predstavovali </w:t>
      </w:r>
      <w:r w:rsidRPr="00D63629">
        <w:rPr>
          <w:rFonts w:ascii="Times New Roman" w:hAnsi="Times New Roman" w:cs="Times New Roman"/>
          <w:bCs/>
          <w:sz w:val="24"/>
          <w:szCs w:val="24"/>
        </w:rPr>
        <w:t>4 125 505,21 Sk.</w:t>
      </w:r>
    </w:p>
    <w:p w:rsidR="00D63629" w:rsidRPr="00D63629" w:rsidP="00C80171">
      <w:pPr>
        <w:tabs>
          <w:tab w:val="left" w:pos="360"/>
        </w:tabs>
        <w:spacing w:line="240" w:lineRule="auto"/>
        <w:ind w:left="360"/>
        <w:rPr>
          <w:rFonts w:ascii="Times New Roman" w:hAnsi="Times New Roman" w:cs="Times New Roman"/>
          <w:b/>
          <w:bCs/>
          <w:sz w:val="24"/>
          <w:szCs w:val="24"/>
        </w:rPr>
      </w:pPr>
      <w:r w:rsidRPr="00D63629">
        <w:rPr>
          <w:rFonts w:ascii="Times New Roman" w:hAnsi="Times New Roman" w:cs="Times New Roman"/>
          <w:b/>
          <w:bCs/>
          <w:sz w:val="24"/>
          <w:szCs w:val="24"/>
        </w:rPr>
        <w:t>I/67 Tatranská Kotl</w:t>
      </w:r>
      <w:r w:rsidR="00C80171">
        <w:rPr>
          <w:rFonts w:ascii="Times New Roman" w:hAnsi="Times New Roman" w:cs="Times New Roman"/>
          <w:b/>
          <w:bCs/>
          <w:sz w:val="24"/>
          <w:szCs w:val="24"/>
        </w:rPr>
        <w:t xml:space="preserve">ina – </w:t>
      </w:r>
      <w:r w:rsidRPr="00D63629">
        <w:rPr>
          <w:rFonts w:ascii="Times New Roman" w:hAnsi="Times New Roman" w:cs="Times New Roman"/>
          <w:b/>
          <w:bCs/>
          <w:sz w:val="24"/>
          <w:szCs w:val="24"/>
        </w:rPr>
        <w:t xml:space="preserve">Ždiar </w:t>
      </w:r>
    </w:p>
    <w:p w:rsidR="00D63629" w:rsidP="00C80171">
      <w:pPr>
        <w:spacing w:line="240" w:lineRule="auto"/>
        <w:ind w:left="360"/>
        <w:rPr>
          <w:rFonts w:ascii="Times New Roman" w:hAnsi="Times New Roman" w:cs="Times New Roman"/>
          <w:sz w:val="24"/>
          <w:szCs w:val="24"/>
        </w:rPr>
      </w:pPr>
      <w:r w:rsidR="00AC0657">
        <w:rPr>
          <w:rFonts w:ascii="Times New Roman" w:hAnsi="Times New Roman" w:cs="Times New Roman"/>
          <w:sz w:val="24"/>
          <w:szCs w:val="24"/>
        </w:rPr>
        <w:t xml:space="preserve">Stavba </w:t>
      </w:r>
      <w:r w:rsidRPr="00D63629">
        <w:rPr>
          <w:rFonts w:ascii="Times New Roman" w:hAnsi="Times New Roman" w:cs="Times New Roman"/>
          <w:sz w:val="24"/>
          <w:szCs w:val="24"/>
        </w:rPr>
        <w:t>rieši</w:t>
      </w:r>
      <w:r w:rsidR="00AC0657">
        <w:rPr>
          <w:rFonts w:ascii="Times New Roman" w:hAnsi="Times New Roman" w:cs="Times New Roman"/>
          <w:sz w:val="24"/>
          <w:szCs w:val="24"/>
        </w:rPr>
        <w:t>la</w:t>
      </w:r>
      <w:r w:rsidRPr="00D63629">
        <w:rPr>
          <w:rFonts w:ascii="Times New Roman" w:hAnsi="Times New Roman" w:cs="Times New Roman"/>
          <w:sz w:val="24"/>
          <w:szCs w:val="24"/>
        </w:rPr>
        <w:t xml:space="preserve"> sanáciu cestn</w:t>
      </w:r>
      <w:r w:rsidRPr="00D63629">
        <w:rPr>
          <w:rFonts w:ascii="Times New Roman" w:hAnsi="Times New Roman" w:cs="Times New Roman"/>
          <w:sz w:val="24"/>
          <w:szCs w:val="24"/>
        </w:rPr>
        <w:t>ého telesa narušeného zosuvom. Celkové náklady rok</w:t>
      </w:r>
      <w:r w:rsidR="00C80171">
        <w:rPr>
          <w:rFonts w:ascii="Times New Roman" w:hAnsi="Times New Roman" w:cs="Times New Roman"/>
          <w:sz w:val="24"/>
          <w:szCs w:val="24"/>
        </w:rPr>
        <w:t xml:space="preserve">u 2007 boli vyčíslené vo výške </w:t>
      </w:r>
      <w:r w:rsidRPr="00D63629">
        <w:rPr>
          <w:rFonts w:ascii="Times New Roman" w:hAnsi="Times New Roman" w:cs="Times New Roman"/>
          <w:sz w:val="24"/>
          <w:szCs w:val="24"/>
        </w:rPr>
        <w:t>20 382 618,60 Sk a z toho stavebné náklady vo výške 19 745 342,90 Sk.</w:t>
      </w:r>
    </w:p>
    <w:p w:rsidR="00D63629" w:rsidRPr="00D63629" w:rsidP="00C80171">
      <w:pPr>
        <w:tabs>
          <w:tab w:val="left" w:pos="360"/>
        </w:tabs>
        <w:spacing w:line="240" w:lineRule="auto"/>
        <w:ind w:left="360"/>
        <w:rPr>
          <w:rFonts w:ascii="Times New Roman" w:hAnsi="Times New Roman" w:cs="Times New Roman"/>
          <w:b/>
          <w:sz w:val="24"/>
          <w:szCs w:val="24"/>
        </w:rPr>
      </w:pPr>
      <w:r w:rsidR="00C80171">
        <w:rPr>
          <w:rFonts w:ascii="Times New Roman" w:hAnsi="Times New Roman" w:cs="Times New Roman"/>
          <w:b/>
          <w:sz w:val="24"/>
          <w:szCs w:val="24"/>
        </w:rPr>
        <w:t xml:space="preserve">I/74 Humenné, </w:t>
      </w:r>
      <w:r w:rsidRPr="00D63629">
        <w:rPr>
          <w:rFonts w:ascii="Times New Roman" w:hAnsi="Times New Roman" w:cs="Times New Roman"/>
          <w:b/>
          <w:sz w:val="24"/>
          <w:szCs w:val="24"/>
        </w:rPr>
        <w:t>preložka cesty</w:t>
      </w:r>
    </w:p>
    <w:p w:rsidR="00D63629" w:rsidRPr="00D63629" w:rsidP="00C80171">
      <w:pPr>
        <w:spacing w:line="240" w:lineRule="auto"/>
        <w:ind w:left="360"/>
        <w:rPr>
          <w:rFonts w:ascii="Times New Roman" w:hAnsi="Times New Roman" w:cs="Times New Roman"/>
          <w:bCs/>
          <w:sz w:val="24"/>
          <w:szCs w:val="24"/>
        </w:rPr>
      </w:pPr>
      <w:r w:rsidRPr="00D63629">
        <w:rPr>
          <w:rFonts w:ascii="Times New Roman" w:hAnsi="Times New Roman" w:cs="Times New Roman"/>
          <w:sz w:val="24"/>
          <w:szCs w:val="24"/>
        </w:rPr>
        <w:t>Preložka cesty bola stavebne uko</w:t>
      </w:r>
      <w:r w:rsidR="00C80171">
        <w:rPr>
          <w:rFonts w:ascii="Times New Roman" w:hAnsi="Times New Roman" w:cs="Times New Roman"/>
          <w:sz w:val="24"/>
          <w:szCs w:val="24"/>
        </w:rPr>
        <w:t>nčená v roku 2007. Celkové náklady predstavo</w:t>
      </w:r>
      <w:r w:rsidR="00C80171">
        <w:rPr>
          <w:rFonts w:ascii="Times New Roman" w:hAnsi="Times New Roman" w:cs="Times New Roman"/>
          <w:sz w:val="24"/>
          <w:szCs w:val="24"/>
        </w:rPr>
        <w:t xml:space="preserve">vali 50 239 575,80 Sk, </w:t>
      </w:r>
      <w:r w:rsidRPr="00D63629">
        <w:rPr>
          <w:rFonts w:ascii="Times New Roman" w:hAnsi="Times New Roman" w:cs="Times New Roman"/>
          <w:sz w:val="24"/>
          <w:szCs w:val="24"/>
        </w:rPr>
        <w:t>z ktorých na stavebné práce bolo použitých 50 069 286,80 Sk.</w:t>
      </w:r>
    </w:p>
    <w:p w:rsidR="00D63629" w:rsidRPr="00D63629" w:rsidP="00AC0657">
      <w:pPr>
        <w:tabs>
          <w:tab w:val="left" w:pos="360"/>
        </w:tabs>
        <w:spacing w:line="240" w:lineRule="auto"/>
        <w:ind w:left="360"/>
        <w:rPr>
          <w:rFonts w:ascii="Times New Roman" w:hAnsi="Times New Roman" w:cs="Times New Roman"/>
          <w:b/>
          <w:bCs/>
          <w:sz w:val="24"/>
          <w:szCs w:val="24"/>
        </w:rPr>
      </w:pPr>
      <w:r w:rsidRPr="00D63629">
        <w:rPr>
          <w:rFonts w:ascii="Times New Roman" w:hAnsi="Times New Roman" w:cs="Times New Roman"/>
          <w:b/>
          <w:sz w:val="24"/>
          <w:szCs w:val="24"/>
        </w:rPr>
        <w:t>I/74 Snina križovatka</w:t>
      </w:r>
      <w:r w:rsidRPr="00D63629">
        <w:rPr>
          <w:rFonts w:ascii="Times New Roman" w:hAnsi="Times New Roman" w:cs="Times New Roman"/>
          <w:b/>
          <w:bCs/>
          <w:sz w:val="24"/>
          <w:szCs w:val="24"/>
        </w:rPr>
        <w:t xml:space="preserve"> </w:t>
        <w:tab/>
      </w:r>
    </w:p>
    <w:p w:rsidR="00D63629" w:rsidP="00AC0657">
      <w:pPr>
        <w:spacing w:line="240" w:lineRule="auto"/>
        <w:ind w:left="360"/>
        <w:rPr>
          <w:rFonts w:ascii="Times New Roman" w:hAnsi="Times New Roman" w:cs="Times New Roman"/>
          <w:sz w:val="24"/>
          <w:szCs w:val="24"/>
        </w:rPr>
      </w:pPr>
      <w:r w:rsidRPr="00D63629">
        <w:rPr>
          <w:rFonts w:ascii="Times New Roman" w:hAnsi="Times New Roman" w:cs="Times New Roman"/>
          <w:bCs/>
          <w:sz w:val="24"/>
          <w:szCs w:val="24"/>
        </w:rPr>
        <w:t xml:space="preserve">Stavba bola zameraná na prestavbu </w:t>
      </w:r>
      <w:r w:rsidRPr="00D63629">
        <w:rPr>
          <w:rFonts w:ascii="Times New Roman" w:hAnsi="Times New Roman" w:cs="Times New Roman"/>
          <w:sz w:val="24"/>
          <w:szCs w:val="24"/>
        </w:rPr>
        <w:t>existujúcej priesečnej križovatky na okružnú. Stavba bola ukončená v roku 2007 a náklady v roku dos</w:t>
      </w:r>
      <w:r w:rsidR="00AC0657">
        <w:rPr>
          <w:rFonts w:ascii="Times New Roman" w:hAnsi="Times New Roman" w:cs="Times New Roman"/>
          <w:sz w:val="24"/>
          <w:szCs w:val="24"/>
        </w:rPr>
        <w:t>iahli úroveň 28</w:t>
      </w:r>
      <w:r w:rsidR="00AC0657">
        <w:rPr>
          <w:rFonts w:ascii="Times New Roman" w:hAnsi="Times New Roman" w:cs="Times New Roman"/>
          <w:sz w:val="24"/>
          <w:szCs w:val="24"/>
        </w:rPr>
        <w:t xml:space="preserve"> 281 077,60 Sk, z toho za </w:t>
      </w:r>
      <w:r w:rsidRPr="00D63629">
        <w:rPr>
          <w:rFonts w:ascii="Times New Roman" w:hAnsi="Times New Roman" w:cs="Times New Roman"/>
          <w:sz w:val="24"/>
          <w:szCs w:val="24"/>
        </w:rPr>
        <w:t>stavebné práce 28 152 914,60 Sk.</w:t>
      </w:r>
    </w:p>
    <w:p w:rsidR="001B67B7" w:rsidP="00AC0657">
      <w:pPr>
        <w:spacing w:line="240" w:lineRule="auto"/>
        <w:ind w:left="360"/>
        <w:rPr>
          <w:rFonts w:ascii="Times New Roman" w:hAnsi="Times New Roman" w:cs="Times New Roman"/>
          <w:b/>
          <w:sz w:val="24"/>
          <w:szCs w:val="24"/>
        </w:rPr>
      </w:pPr>
      <w:r>
        <w:rPr>
          <w:rFonts w:ascii="Times New Roman" w:hAnsi="Times New Roman" w:cs="Times New Roman"/>
          <w:b/>
          <w:sz w:val="24"/>
          <w:szCs w:val="24"/>
        </w:rPr>
        <w:t>I/77 Nižný Mirošov, chodníky</w:t>
      </w:r>
    </w:p>
    <w:p w:rsidR="001B67B7" w:rsidP="001B67B7">
      <w:pPr>
        <w:spacing w:line="240" w:lineRule="auto"/>
        <w:ind w:left="360"/>
        <w:rPr>
          <w:rFonts w:ascii="Times New Roman" w:hAnsi="Times New Roman" w:cs="Times New Roman"/>
          <w:sz w:val="24"/>
          <w:szCs w:val="24"/>
        </w:rPr>
      </w:pPr>
      <w:r w:rsidR="009A52FB">
        <w:rPr>
          <w:rFonts w:ascii="Times New Roman" w:hAnsi="Times New Roman" w:cs="Times New Roman"/>
          <w:sz w:val="24"/>
          <w:szCs w:val="24"/>
        </w:rPr>
        <w:t>C</w:t>
      </w:r>
      <w:r w:rsidRPr="00131B3F">
        <w:rPr>
          <w:rFonts w:ascii="Times New Roman" w:hAnsi="Times New Roman" w:cs="Times New Roman"/>
          <w:sz w:val="24"/>
          <w:szCs w:val="24"/>
        </w:rPr>
        <w:t xml:space="preserve">elkové náklady </w:t>
      </w:r>
      <w:r w:rsidR="009A52FB">
        <w:rPr>
          <w:rFonts w:ascii="Times New Roman" w:hAnsi="Times New Roman" w:cs="Times New Roman"/>
          <w:sz w:val="24"/>
          <w:szCs w:val="24"/>
        </w:rPr>
        <w:t xml:space="preserve">boli </w:t>
      </w:r>
      <w:r w:rsidRPr="00131B3F">
        <w:rPr>
          <w:rFonts w:ascii="Times New Roman" w:hAnsi="Times New Roman" w:cs="Times New Roman"/>
          <w:sz w:val="24"/>
          <w:szCs w:val="24"/>
        </w:rPr>
        <w:t>v</w:t>
      </w:r>
      <w:r>
        <w:rPr>
          <w:rFonts w:ascii="Times New Roman" w:hAnsi="Times New Roman" w:cs="Times New Roman"/>
          <w:sz w:val="24"/>
          <w:szCs w:val="24"/>
        </w:rPr>
        <w:t xml:space="preserve">o výške 7 269 140,30 </w:t>
      </w:r>
      <w:r w:rsidR="009A52FB">
        <w:rPr>
          <w:rFonts w:ascii="Times New Roman" w:hAnsi="Times New Roman" w:cs="Times New Roman"/>
          <w:sz w:val="24"/>
          <w:szCs w:val="24"/>
        </w:rPr>
        <w:t xml:space="preserve">Sk, </w:t>
      </w:r>
      <w:r w:rsidRPr="00131B3F">
        <w:rPr>
          <w:rFonts w:ascii="Times New Roman" w:hAnsi="Times New Roman" w:cs="Times New Roman"/>
          <w:sz w:val="24"/>
          <w:szCs w:val="24"/>
        </w:rPr>
        <w:t>stavebné nákl</w:t>
      </w:r>
      <w:r>
        <w:rPr>
          <w:rFonts w:ascii="Times New Roman" w:hAnsi="Times New Roman" w:cs="Times New Roman"/>
          <w:sz w:val="24"/>
          <w:szCs w:val="24"/>
        </w:rPr>
        <w:t xml:space="preserve">ady predstavovali 7 051 203,70 Sk a náklady na projektovú dokumentáciu 217 936,60 Sk. </w:t>
      </w:r>
    </w:p>
    <w:p w:rsidR="00D63629" w:rsidRPr="00D63629" w:rsidP="00AC0657">
      <w:pPr>
        <w:tabs>
          <w:tab w:val="left" w:pos="360"/>
        </w:tabs>
        <w:spacing w:line="240" w:lineRule="auto"/>
        <w:ind w:left="360"/>
        <w:rPr>
          <w:rFonts w:ascii="Times New Roman" w:hAnsi="Times New Roman" w:cs="Times New Roman"/>
          <w:b/>
          <w:bCs/>
          <w:sz w:val="24"/>
          <w:szCs w:val="24"/>
        </w:rPr>
      </w:pPr>
      <w:r w:rsidR="00AC0657">
        <w:rPr>
          <w:rFonts w:ascii="Times New Roman" w:hAnsi="Times New Roman" w:cs="Times New Roman"/>
          <w:b/>
          <w:sz w:val="24"/>
          <w:szCs w:val="24"/>
        </w:rPr>
        <w:t>I/77 a III/5565 Barde</w:t>
      </w:r>
      <w:r w:rsidR="00AC0657">
        <w:rPr>
          <w:rFonts w:ascii="Times New Roman" w:hAnsi="Times New Roman" w:cs="Times New Roman"/>
          <w:b/>
          <w:sz w:val="24"/>
          <w:szCs w:val="24"/>
        </w:rPr>
        <w:t xml:space="preserve">jov, </w:t>
      </w:r>
      <w:r w:rsidRPr="00D63629">
        <w:rPr>
          <w:rFonts w:ascii="Times New Roman" w:hAnsi="Times New Roman" w:cs="Times New Roman"/>
          <w:b/>
          <w:sz w:val="24"/>
          <w:szCs w:val="24"/>
        </w:rPr>
        <w:t>križovatka</w:t>
      </w:r>
      <w:r w:rsidRPr="00D63629">
        <w:rPr>
          <w:rFonts w:ascii="Times New Roman" w:hAnsi="Times New Roman" w:cs="Times New Roman"/>
          <w:b/>
          <w:bCs/>
          <w:sz w:val="24"/>
          <w:szCs w:val="24"/>
        </w:rPr>
        <w:t xml:space="preserve"> </w:t>
      </w:r>
    </w:p>
    <w:p w:rsidR="00D63629" w:rsidP="00AC0657">
      <w:pPr>
        <w:spacing w:line="240" w:lineRule="auto"/>
        <w:ind w:left="360"/>
        <w:rPr>
          <w:rFonts w:ascii="Times New Roman" w:hAnsi="Times New Roman" w:cs="Times New Roman"/>
          <w:b/>
          <w:sz w:val="24"/>
          <w:szCs w:val="24"/>
        </w:rPr>
      </w:pPr>
      <w:r w:rsidR="00AC0657">
        <w:rPr>
          <w:rFonts w:ascii="Times New Roman" w:hAnsi="Times New Roman" w:cs="Times New Roman"/>
          <w:sz w:val="24"/>
          <w:szCs w:val="24"/>
        </w:rPr>
        <w:t xml:space="preserve">Stavba </w:t>
      </w:r>
      <w:r w:rsidRPr="00D63629">
        <w:rPr>
          <w:rFonts w:ascii="Times New Roman" w:hAnsi="Times New Roman" w:cs="Times New Roman"/>
          <w:sz w:val="24"/>
          <w:szCs w:val="24"/>
        </w:rPr>
        <w:t>rieši</w:t>
      </w:r>
      <w:r w:rsidR="00AC0657">
        <w:rPr>
          <w:rFonts w:ascii="Times New Roman" w:hAnsi="Times New Roman" w:cs="Times New Roman"/>
          <w:sz w:val="24"/>
          <w:szCs w:val="24"/>
        </w:rPr>
        <w:t>la</w:t>
      </w:r>
      <w:r w:rsidRPr="00D63629">
        <w:rPr>
          <w:rFonts w:ascii="Times New Roman" w:hAnsi="Times New Roman" w:cs="Times New Roman"/>
          <w:sz w:val="24"/>
          <w:szCs w:val="24"/>
        </w:rPr>
        <w:t xml:space="preserve"> prestavbu s</w:t>
      </w:r>
      <w:r w:rsidR="005721F7">
        <w:rPr>
          <w:rFonts w:ascii="Times New Roman" w:hAnsi="Times New Roman" w:cs="Times New Roman"/>
          <w:sz w:val="24"/>
          <w:szCs w:val="24"/>
        </w:rPr>
        <w:t xml:space="preserve">účasnej priesečnej križovatky </w:t>
      </w:r>
      <w:r w:rsidRPr="00D63629">
        <w:rPr>
          <w:rFonts w:ascii="Times New Roman" w:hAnsi="Times New Roman" w:cs="Times New Roman"/>
          <w:sz w:val="24"/>
          <w:szCs w:val="24"/>
        </w:rPr>
        <w:t>na okružnú. Stavebné práce boli ukončené v roku 2007 a vyžiadali si celkové náklady v roku na úrovni 17 480 574,50 Sk</w:t>
      </w:r>
      <w:r w:rsidR="005721F7">
        <w:rPr>
          <w:rFonts w:ascii="Times New Roman" w:hAnsi="Times New Roman" w:cs="Times New Roman"/>
          <w:sz w:val="24"/>
          <w:szCs w:val="24"/>
        </w:rPr>
        <w:t>,</w:t>
      </w:r>
      <w:r w:rsidRPr="00D63629">
        <w:rPr>
          <w:rFonts w:ascii="Times New Roman" w:hAnsi="Times New Roman" w:cs="Times New Roman"/>
          <w:sz w:val="24"/>
          <w:szCs w:val="24"/>
        </w:rPr>
        <w:t xml:space="preserve"> z čoho skutočné stavebné práce dosiahli úroveň 17 004 572,50 Sk.</w:t>
      </w:r>
    </w:p>
    <w:p w:rsidR="00992947" w:rsidRPr="00D63629" w:rsidP="00C80171">
      <w:pPr>
        <w:tabs>
          <w:tab w:val="left" w:pos="360"/>
          <w:tab w:val="left" w:pos="540"/>
        </w:tabs>
        <w:spacing w:line="240" w:lineRule="auto"/>
        <w:ind w:left="360"/>
        <w:rPr>
          <w:rFonts w:ascii="Times New Roman" w:hAnsi="Times New Roman" w:cs="Times New Roman"/>
          <w:b/>
          <w:sz w:val="24"/>
          <w:szCs w:val="24"/>
        </w:rPr>
      </w:pPr>
      <w:r w:rsidR="00C80171">
        <w:rPr>
          <w:rFonts w:ascii="Times New Roman" w:hAnsi="Times New Roman" w:cs="Times New Roman"/>
          <w:b/>
          <w:sz w:val="24"/>
          <w:szCs w:val="24"/>
        </w:rPr>
        <w:t xml:space="preserve">I/68 Pečovská Nová Ves, </w:t>
      </w:r>
      <w:r w:rsidRPr="00D63629">
        <w:rPr>
          <w:rFonts w:ascii="Times New Roman" w:hAnsi="Times New Roman" w:cs="Times New Roman"/>
          <w:b/>
          <w:sz w:val="24"/>
          <w:szCs w:val="24"/>
        </w:rPr>
        <w:t>odvodnenie chodníky</w:t>
        <w:tab/>
      </w:r>
    </w:p>
    <w:p w:rsidR="00992947" w:rsidP="00C80171">
      <w:pPr>
        <w:spacing w:line="240" w:lineRule="auto"/>
        <w:ind w:left="360"/>
        <w:rPr>
          <w:rFonts w:ascii="Times New Roman" w:hAnsi="Times New Roman" w:cs="Times New Roman"/>
          <w:b/>
          <w:sz w:val="24"/>
          <w:szCs w:val="24"/>
        </w:rPr>
      </w:pPr>
      <w:r w:rsidRPr="00D63629">
        <w:rPr>
          <w:rFonts w:ascii="Times New Roman" w:hAnsi="Times New Roman" w:cs="Times New Roman"/>
          <w:sz w:val="24"/>
          <w:szCs w:val="24"/>
        </w:rPr>
        <w:t>Akcia bola v roku 2007 stavebne ukončená a</w:t>
      </w:r>
      <w:r w:rsidR="00AC0657">
        <w:rPr>
          <w:rFonts w:ascii="Times New Roman" w:hAnsi="Times New Roman" w:cs="Times New Roman"/>
          <w:sz w:val="24"/>
          <w:szCs w:val="24"/>
        </w:rPr>
        <w:t xml:space="preserve"> bolo </w:t>
      </w:r>
      <w:r w:rsidRPr="00D63629">
        <w:rPr>
          <w:rFonts w:ascii="Times New Roman" w:hAnsi="Times New Roman" w:cs="Times New Roman"/>
          <w:sz w:val="24"/>
          <w:szCs w:val="24"/>
        </w:rPr>
        <w:t>preinvestovaných 10 637 999,80 Sk z ktorých</w:t>
      </w:r>
      <w:r w:rsidR="00AC0657">
        <w:rPr>
          <w:rFonts w:ascii="Times New Roman" w:hAnsi="Times New Roman" w:cs="Times New Roman"/>
          <w:sz w:val="24"/>
          <w:szCs w:val="24"/>
        </w:rPr>
        <w:t xml:space="preserve"> stavebné práce tvorili sumu </w:t>
      </w:r>
      <w:r w:rsidRPr="00D63629">
        <w:rPr>
          <w:rFonts w:ascii="Times New Roman" w:hAnsi="Times New Roman" w:cs="Times New Roman"/>
          <w:sz w:val="24"/>
          <w:szCs w:val="24"/>
        </w:rPr>
        <w:t>10 569 634,30 Sk</w:t>
      </w:r>
      <w:r w:rsidR="00AC0657">
        <w:rPr>
          <w:rFonts w:ascii="Times New Roman" w:hAnsi="Times New Roman" w:cs="Times New Roman"/>
          <w:sz w:val="24"/>
          <w:szCs w:val="24"/>
        </w:rPr>
        <w:t>.</w:t>
      </w:r>
    </w:p>
    <w:p w:rsidR="00C80171" w:rsidP="00B21D03">
      <w:pPr>
        <w:spacing w:line="240" w:lineRule="auto"/>
        <w:rPr>
          <w:rFonts w:ascii="Times New Roman" w:hAnsi="Times New Roman" w:cs="Times New Roman"/>
          <w:b/>
          <w:sz w:val="24"/>
          <w:szCs w:val="24"/>
        </w:rPr>
      </w:pPr>
    </w:p>
    <w:p w:rsidR="00AC0657" w:rsidP="00AC0657">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Nedokončené </w:t>
      </w:r>
      <w:r w:rsidRPr="00C80171">
        <w:rPr>
          <w:rFonts w:ascii="Times New Roman" w:hAnsi="Times New Roman" w:cs="Times New Roman"/>
          <w:b/>
          <w:sz w:val="24"/>
          <w:szCs w:val="24"/>
        </w:rPr>
        <w:t xml:space="preserve">stavby </w:t>
      </w:r>
    </w:p>
    <w:p w:rsidR="00AC0657" w:rsidRPr="00C80171" w:rsidP="00AC0657">
      <w:pPr>
        <w:spacing w:line="240" w:lineRule="auto"/>
        <w:rPr>
          <w:rFonts w:ascii="Times New Roman" w:hAnsi="Times New Roman" w:cs="Times New Roman"/>
          <w:b/>
          <w:sz w:val="24"/>
          <w:szCs w:val="24"/>
        </w:rPr>
      </w:pPr>
    </w:p>
    <w:p w:rsidR="00D63629" w:rsidRPr="00D63629" w:rsidP="00C80171">
      <w:pPr>
        <w:spacing w:line="240" w:lineRule="auto"/>
        <w:ind w:firstLine="360"/>
        <w:rPr>
          <w:rFonts w:ascii="Times New Roman" w:hAnsi="Times New Roman" w:cs="Times New Roman"/>
          <w:b/>
          <w:sz w:val="24"/>
          <w:szCs w:val="24"/>
        </w:rPr>
      </w:pPr>
      <w:r w:rsidRPr="00D63629">
        <w:rPr>
          <w:rFonts w:ascii="Times New Roman" w:hAnsi="Times New Roman" w:cs="Times New Roman"/>
          <w:b/>
          <w:sz w:val="24"/>
          <w:szCs w:val="24"/>
        </w:rPr>
        <w:t>I/74 - 016 Dlhé nad Cirochou most</w:t>
      </w:r>
    </w:p>
    <w:p w:rsidR="00893F93" w:rsidP="00B27788">
      <w:pPr>
        <w:spacing w:line="240" w:lineRule="auto"/>
        <w:ind w:left="360"/>
        <w:rPr>
          <w:rFonts w:ascii="Times New Roman" w:hAnsi="Times New Roman" w:cs="Times New Roman"/>
          <w:b/>
          <w:sz w:val="24"/>
          <w:szCs w:val="24"/>
        </w:rPr>
      </w:pPr>
      <w:r w:rsidRPr="00D63629" w:rsidR="00D63629">
        <w:rPr>
          <w:rFonts w:ascii="Times New Roman" w:hAnsi="Times New Roman" w:cs="Times New Roman"/>
          <w:sz w:val="24"/>
          <w:szCs w:val="24"/>
        </w:rPr>
        <w:t xml:space="preserve">Súčasťou stavby </w:t>
      </w:r>
      <w:r w:rsidRPr="00D63629" w:rsidR="00D63629">
        <w:rPr>
          <w:rFonts w:ascii="Times New Roman" w:hAnsi="Times New Roman" w:cs="Times New Roman"/>
          <w:sz w:val="24"/>
          <w:szCs w:val="24"/>
        </w:rPr>
        <w:t>je výstavba nového a rekonštrukcia jestvujúceho mostného objektu vrátane úpravy komunikácie a budovania vyvolaných investícií. V roku 2007 bolo preinvestovaných 25 684 130,50 Sk, z ktorých stavebné náklady tvorili 25 500 795 Sk.</w:t>
      </w:r>
    </w:p>
    <w:p w:rsidR="00D63629" w:rsidRPr="00D63629" w:rsidP="00893F93">
      <w:pPr>
        <w:tabs>
          <w:tab w:val="left" w:pos="360"/>
        </w:tabs>
        <w:spacing w:line="240" w:lineRule="auto"/>
        <w:ind w:left="360"/>
        <w:rPr>
          <w:rFonts w:ascii="Times New Roman" w:hAnsi="Times New Roman" w:cs="Times New Roman"/>
          <w:b/>
          <w:sz w:val="24"/>
          <w:szCs w:val="24"/>
        </w:rPr>
      </w:pPr>
      <w:r w:rsidR="00C80171">
        <w:rPr>
          <w:rFonts w:ascii="Times New Roman" w:hAnsi="Times New Roman" w:cs="Times New Roman"/>
          <w:b/>
          <w:sz w:val="24"/>
          <w:szCs w:val="24"/>
        </w:rPr>
        <w:t xml:space="preserve">I/77 Mokroluh – Bardejov, </w:t>
      </w:r>
      <w:r w:rsidRPr="00D63629">
        <w:rPr>
          <w:rFonts w:ascii="Times New Roman" w:hAnsi="Times New Roman" w:cs="Times New Roman"/>
          <w:b/>
          <w:sz w:val="24"/>
          <w:szCs w:val="24"/>
        </w:rPr>
        <w:t>rekonštrukcia cesty</w:t>
      </w:r>
    </w:p>
    <w:p w:rsidR="00D63629" w:rsidRPr="00D63629" w:rsidP="00C80171">
      <w:pPr>
        <w:spacing w:line="240" w:lineRule="auto"/>
        <w:ind w:left="360"/>
        <w:rPr>
          <w:rFonts w:ascii="Times New Roman" w:hAnsi="Times New Roman" w:cs="Times New Roman"/>
          <w:bCs/>
          <w:sz w:val="24"/>
          <w:szCs w:val="24"/>
        </w:rPr>
      </w:pPr>
      <w:r w:rsidR="00C80171">
        <w:rPr>
          <w:rFonts w:ascii="Times New Roman" w:hAnsi="Times New Roman" w:cs="Times New Roman"/>
          <w:sz w:val="24"/>
          <w:szCs w:val="24"/>
        </w:rPr>
        <w:t xml:space="preserve">Práce </w:t>
      </w:r>
      <w:r w:rsidRPr="00D63629">
        <w:rPr>
          <w:rFonts w:ascii="Times New Roman" w:hAnsi="Times New Roman" w:cs="Times New Roman"/>
          <w:sz w:val="24"/>
          <w:szCs w:val="24"/>
        </w:rPr>
        <w:t>pokračovali v rozsahu, ktorý umožnil preinvestovať v roku 2007 91 186 24</w:t>
      </w:r>
      <w:r w:rsidR="00C80171">
        <w:rPr>
          <w:rFonts w:ascii="Times New Roman" w:hAnsi="Times New Roman" w:cs="Times New Roman"/>
          <w:sz w:val="24"/>
          <w:szCs w:val="24"/>
        </w:rPr>
        <w:t xml:space="preserve">1,60 Sk, z toho na stavebné práce </w:t>
      </w:r>
      <w:r w:rsidRPr="00D63629">
        <w:rPr>
          <w:rFonts w:ascii="Times New Roman" w:hAnsi="Times New Roman" w:cs="Times New Roman"/>
          <w:sz w:val="24"/>
          <w:szCs w:val="24"/>
        </w:rPr>
        <w:t>91 081 392,60 Sk</w:t>
      </w:r>
      <w:r w:rsidR="00C80171">
        <w:rPr>
          <w:rFonts w:ascii="Times New Roman" w:hAnsi="Times New Roman" w:cs="Times New Roman"/>
          <w:sz w:val="24"/>
          <w:szCs w:val="24"/>
        </w:rPr>
        <w:t>.</w:t>
      </w:r>
    </w:p>
    <w:p w:rsidR="00D63629" w:rsidRPr="00D63629" w:rsidP="00D63629">
      <w:pPr>
        <w:tabs>
          <w:tab w:val="left" w:pos="360"/>
        </w:tabs>
        <w:spacing w:line="240" w:lineRule="auto"/>
        <w:rPr>
          <w:rFonts w:ascii="Times New Roman" w:hAnsi="Times New Roman" w:cs="Times New Roman"/>
          <w:b/>
          <w:sz w:val="24"/>
          <w:szCs w:val="24"/>
        </w:rPr>
      </w:pPr>
      <w:r w:rsidRPr="00D63629">
        <w:rPr>
          <w:rFonts w:ascii="Times New Roman" w:hAnsi="Times New Roman" w:cs="Times New Roman"/>
          <w:b/>
          <w:sz w:val="24"/>
          <w:szCs w:val="24"/>
        </w:rPr>
        <w:tab/>
      </w:r>
      <w:r w:rsidR="00C80171">
        <w:rPr>
          <w:rFonts w:ascii="Times New Roman" w:hAnsi="Times New Roman" w:cs="Times New Roman"/>
          <w:b/>
          <w:sz w:val="24"/>
          <w:szCs w:val="24"/>
        </w:rPr>
        <w:t xml:space="preserve">I/68 Lipany, </w:t>
      </w:r>
      <w:r w:rsidRPr="00D63629">
        <w:rPr>
          <w:rFonts w:ascii="Times New Roman" w:hAnsi="Times New Roman" w:cs="Times New Roman"/>
          <w:b/>
          <w:sz w:val="24"/>
          <w:szCs w:val="24"/>
        </w:rPr>
        <w:t>preložka cesty</w:t>
      </w:r>
    </w:p>
    <w:p w:rsidR="00D63629" w:rsidRPr="00D63629" w:rsidP="00C80171">
      <w:pPr>
        <w:spacing w:line="240" w:lineRule="auto"/>
        <w:ind w:left="360"/>
        <w:rPr>
          <w:rFonts w:ascii="Times New Roman" w:hAnsi="Times New Roman" w:cs="Times New Roman"/>
          <w:sz w:val="24"/>
          <w:szCs w:val="24"/>
        </w:rPr>
      </w:pPr>
      <w:r w:rsidRPr="00D63629">
        <w:rPr>
          <w:rFonts w:ascii="Times New Roman" w:hAnsi="Times New Roman" w:cs="Times New Roman"/>
          <w:sz w:val="24"/>
          <w:szCs w:val="24"/>
        </w:rPr>
        <w:t xml:space="preserve">Celkové náklady preinvestované na stavbe v roku 2007 boli vo výške 59 301 401,20 Sk a stavebné práce skutočne zrealizované boli hradené </w:t>
      </w:r>
      <w:r w:rsidR="00C80171">
        <w:rPr>
          <w:rFonts w:ascii="Times New Roman" w:hAnsi="Times New Roman" w:cs="Times New Roman"/>
          <w:sz w:val="24"/>
          <w:szCs w:val="24"/>
        </w:rPr>
        <w:t>v</w:t>
      </w:r>
      <w:r w:rsidRPr="00D63629">
        <w:rPr>
          <w:rFonts w:ascii="Times New Roman" w:hAnsi="Times New Roman" w:cs="Times New Roman"/>
          <w:sz w:val="24"/>
          <w:szCs w:val="24"/>
        </w:rPr>
        <w:t>o výške 58 687 057,70 Sk</w:t>
      </w:r>
      <w:r w:rsidR="00C80171">
        <w:rPr>
          <w:rFonts w:ascii="Times New Roman" w:hAnsi="Times New Roman" w:cs="Times New Roman"/>
          <w:sz w:val="24"/>
          <w:szCs w:val="24"/>
        </w:rPr>
        <w:t>.</w:t>
      </w:r>
    </w:p>
    <w:p w:rsidR="00D63629" w:rsidRPr="00D63629" w:rsidP="00D63629">
      <w:pPr>
        <w:spacing w:line="240" w:lineRule="auto"/>
        <w:ind w:firstLine="360"/>
        <w:rPr>
          <w:rFonts w:ascii="Times New Roman" w:hAnsi="Times New Roman" w:cs="Times New Roman"/>
          <w:sz w:val="24"/>
          <w:szCs w:val="24"/>
        </w:rPr>
      </w:pPr>
      <w:r w:rsidR="00C80171">
        <w:rPr>
          <w:rFonts w:ascii="Times New Roman" w:hAnsi="Times New Roman" w:cs="Times New Roman"/>
          <w:b/>
          <w:sz w:val="24"/>
          <w:szCs w:val="24"/>
        </w:rPr>
        <w:t xml:space="preserve">I/73 Kuková – okresná hranica, </w:t>
      </w:r>
      <w:r w:rsidRPr="00D63629">
        <w:rPr>
          <w:rFonts w:ascii="Times New Roman" w:hAnsi="Times New Roman" w:cs="Times New Roman"/>
          <w:b/>
          <w:sz w:val="24"/>
          <w:szCs w:val="24"/>
        </w:rPr>
        <w:t>zosuv</w:t>
      </w:r>
      <w:r w:rsidRPr="00D63629">
        <w:rPr>
          <w:rFonts w:ascii="Times New Roman" w:hAnsi="Times New Roman" w:cs="Times New Roman"/>
          <w:sz w:val="24"/>
          <w:szCs w:val="24"/>
        </w:rPr>
        <w:t xml:space="preserve"> </w:t>
      </w:r>
    </w:p>
    <w:p w:rsidR="00D63629" w:rsidRPr="00C80171" w:rsidP="00C80171">
      <w:pPr>
        <w:tabs>
          <w:tab w:val="left" w:pos="360"/>
        </w:tabs>
        <w:spacing w:line="240" w:lineRule="auto"/>
        <w:ind w:left="360"/>
        <w:rPr>
          <w:rFonts w:ascii="Times New Roman" w:hAnsi="Times New Roman" w:cs="Times New Roman"/>
          <w:bCs/>
          <w:sz w:val="24"/>
          <w:szCs w:val="24"/>
        </w:rPr>
      </w:pPr>
      <w:r w:rsidRPr="00D63629">
        <w:rPr>
          <w:rFonts w:ascii="Times New Roman" w:hAnsi="Times New Roman" w:cs="Times New Roman"/>
          <w:sz w:val="24"/>
          <w:szCs w:val="24"/>
        </w:rPr>
        <w:t>Súčasťou stavby je oporný múr a opatrenia na usmernenie a zachyte</w:t>
      </w:r>
      <w:r w:rsidR="00893F93">
        <w:rPr>
          <w:rFonts w:ascii="Times New Roman" w:hAnsi="Times New Roman" w:cs="Times New Roman"/>
          <w:sz w:val="24"/>
          <w:szCs w:val="24"/>
        </w:rPr>
        <w:t>nie zrážkových vôd. P</w:t>
      </w:r>
      <w:r w:rsidRPr="00D63629">
        <w:rPr>
          <w:rFonts w:ascii="Times New Roman" w:hAnsi="Times New Roman" w:cs="Times New Roman"/>
          <w:sz w:val="24"/>
          <w:szCs w:val="24"/>
        </w:rPr>
        <w:t xml:space="preserve">reinvestovaných </w:t>
      </w:r>
      <w:r w:rsidR="00893F93">
        <w:rPr>
          <w:rFonts w:ascii="Times New Roman" w:hAnsi="Times New Roman" w:cs="Times New Roman"/>
          <w:sz w:val="24"/>
          <w:szCs w:val="24"/>
        </w:rPr>
        <w:t xml:space="preserve">bolo 15 998 664,60 Sk, z toho </w:t>
      </w:r>
      <w:r w:rsidRPr="00D63629">
        <w:rPr>
          <w:rFonts w:ascii="Times New Roman" w:hAnsi="Times New Roman" w:cs="Times New Roman"/>
          <w:sz w:val="24"/>
          <w:szCs w:val="24"/>
        </w:rPr>
        <w:t>stavebné práce tvorili 15 </w:t>
      </w:r>
      <w:r w:rsidRPr="00D63629">
        <w:rPr>
          <w:rFonts w:ascii="Times New Roman" w:hAnsi="Times New Roman" w:cs="Times New Roman"/>
          <w:sz w:val="24"/>
          <w:szCs w:val="24"/>
        </w:rPr>
        <w:t>457 424,10 Sk.</w:t>
      </w:r>
    </w:p>
    <w:p w:rsidR="00D63629" w:rsidRPr="00D63629" w:rsidP="00D63629">
      <w:pPr>
        <w:tabs>
          <w:tab w:val="left" w:pos="360"/>
        </w:tabs>
        <w:spacing w:line="240" w:lineRule="auto"/>
        <w:rPr>
          <w:rFonts w:ascii="Times New Roman" w:hAnsi="Times New Roman" w:cs="Times New Roman"/>
          <w:b/>
          <w:bCs/>
          <w:sz w:val="24"/>
          <w:szCs w:val="24"/>
        </w:rPr>
      </w:pPr>
      <w:r w:rsidRPr="00D63629">
        <w:rPr>
          <w:rFonts w:ascii="Times New Roman" w:hAnsi="Times New Roman" w:cs="Times New Roman"/>
          <w:b/>
          <w:bCs/>
          <w:sz w:val="24"/>
          <w:szCs w:val="24"/>
        </w:rPr>
        <w:tab/>
      </w:r>
      <w:r w:rsidR="00C80171">
        <w:rPr>
          <w:rFonts w:ascii="Times New Roman" w:hAnsi="Times New Roman" w:cs="Times New Roman"/>
          <w:b/>
          <w:sz w:val="24"/>
          <w:szCs w:val="24"/>
        </w:rPr>
        <w:t xml:space="preserve">I/73 Chmeľov, </w:t>
      </w:r>
      <w:r w:rsidRPr="00D63629">
        <w:rPr>
          <w:rFonts w:ascii="Times New Roman" w:hAnsi="Times New Roman" w:cs="Times New Roman"/>
          <w:b/>
          <w:sz w:val="24"/>
          <w:szCs w:val="24"/>
        </w:rPr>
        <w:t>autobusová zastávka</w:t>
      </w:r>
      <w:r w:rsidRPr="00D63629">
        <w:rPr>
          <w:rFonts w:ascii="Times New Roman" w:hAnsi="Times New Roman" w:cs="Times New Roman"/>
          <w:b/>
          <w:bCs/>
          <w:sz w:val="24"/>
          <w:szCs w:val="24"/>
        </w:rPr>
        <w:t xml:space="preserve"> </w:t>
      </w:r>
    </w:p>
    <w:p w:rsidR="00D63629" w:rsidRPr="00D63629" w:rsidP="00C80171">
      <w:pPr>
        <w:tabs>
          <w:tab w:val="left" w:pos="360"/>
        </w:tabs>
        <w:spacing w:line="240" w:lineRule="auto"/>
        <w:ind w:left="360"/>
        <w:rPr>
          <w:rFonts w:ascii="Times New Roman" w:hAnsi="Times New Roman" w:cs="Times New Roman"/>
          <w:sz w:val="24"/>
          <w:szCs w:val="24"/>
        </w:rPr>
      </w:pPr>
      <w:r w:rsidRPr="00D63629">
        <w:rPr>
          <w:rFonts w:ascii="Times New Roman" w:hAnsi="Times New Roman" w:cs="Times New Roman"/>
          <w:sz w:val="24"/>
          <w:szCs w:val="24"/>
        </w:rPr>
        <w:t>Stavba je zameraná na výstavbu pešej komunikác</w:t>
      </w:r>
      <w:r w:rsidR="00C80171">
        <w:rPr>
          <w:rFonts w:ascii="Times New Roman" w:hAnsi="Times New Roman" w:cs="Times New Roman"/>
          <w:sz w:val="24"/>
          <w:szCs w:val="24"/>
        </w:rPr>
        <w:t xml:space="preserve">ie v súbehu s cestou I. triedy a </w:t>
      </w:r>
      <w:r w:rsidRPr="00D63629">
        <w:rPr>
          <w:rFonts w:ascii="Times New Roman" w:hAnsi="Times New Roman" w:cs="Times New Roman"/>
          <w:sz w:val="24"/>
          <w:szCs w:val="24"/>
        </w:rPr>
        <w:t>riešenie odvodnenia z dôvodu zvýšenia bezpečnosti a odstránenia</w:t>
      </w:r>
      <w:r w:rsidR="00C80171">
        <w:rPr>
          <w:rFonts w:ascii="Times New Roman" w:hAnsi="Times New Roman" w:cs="Times New Roman"/>
          <w:sz w:val="24"/>
          <w:szCs w:val="24"/>
        </w:rPr>
        <w:t xml:space="preserve"> pešej dopravy zo štátnej cesty</w:t>
      </w:r>
      <w:r w:rsidRPr="00D63629">
        <w:rPr>
          <w:rFonts w:ascii="Times New Roman" w:hAnsi="Times New Roman" w:cs="Times New Roman"/>
          <w:sz w:val="24"/>
          <w:szCs w:val="24"/>
        </w:rPr>
        <w:t>. Celkové náklady v roku 2007 dosiahli úroveň</w:t>
      </w:r>
      <w:r w:rsidR="00C80171">
        <w:rPr>
          <w:rFonts w:ascii="Times New Roman" w:hAnsi="Times New Roman" w:cs="Times New Roman"/>
          <w:sz w:val="24"/>
          <w:szCs w:val="24"/>
        </w:rPr>
        <w:t xml:space="preserve"> 18 099 512,40 Sk, </w:t>
      </w:r>
      <w:r w:rsidRPr="00D63629">
        <w:rPr>
          <w:rFonts w:ascii="Times New Roman" w:hAnsi="Times New Roman" w:cs="Times New Roman"/>
          <w:sz w:val="24"/>
          <w:szCs w:val="24"/>
        </w:rPr>
        <w:t>z ktorých podiel stavebných nákladov bol na úrovni 17 999 909,40 Sk</w:t>
      </w:r>
      <w:r w:rsidR="00C80171">
        <w:rPr>
          <w:rFonts w:ascii="Times New Roman" w:hAnsi="Times New Roman" w:cs="Times New Roman"/>
          <w:sz w:val="24"/>
          <w:szCs w:val="24"/>
        </w:rPr>
        <w:t>.</w:t>
      </w:r>
    </w:p>
    <w:p w:rsidR="00D63629" w:rsidRPr="00D63629" w:rsidP="00D63629">
      <w:pPr>
        <w:tabs>
          <w:tab w:val="left" w:pos="360"/>
        </w:tabs>
        <w:spacing w:line="240" w:lineRule="auto"/>
        <w:rPr>
          <w:rFonts w:ascii="Times New Roman" w:hAnsi="Times New Roman" w:cs="Times New Roman"/>
          <w:b/>
          <w:sz w:val="24"/>
          <w:szCs w:val="24"/>
        </w:rPr>
      </w:pPr>
      <w:r w:rsidRPr="00D63629">
        <w:rPr>
          <w:rFonts w:ascii="Times New Roman" w:hAnsi="Times New Roman" w:cs="Times New Roman"/>
          <w:b/>
          <w:sz w:val="24"/>
          <w:szCs w:val="24"/>
        </w:rPr>
        <w:tab/>
        <w:t>I/73 Giraltovce prieťah, rekonštrukcia cesty</w:t>
      </w:r>
    </w:p>
    <w:p w:rsidR="00D63629" w:rsidRPr="00C80171" w:rsidP="00C80171">
      <w:pPr>
        <w:tabs>
          <w:tab w:val="left" w:pos="360"/>
        </w:tabs>
        <w:spacing w:line="240" w:lineRule="auto"/>
        <w:ind w:left="360"/>
        <w:rPr>
          <w:rFonts w:ascii="Times New Roman" w:hAnsi="Times New Roman" w:cs="Times New Roman"/>
          <w:sz w:val="24"/>
          <w:szCs w:val="24"/>
        </w:rPr>
      </w:pPr>
      <w:r w:rsidR="005721F7">
        <w:rPr>
          <w:rFonts w:ascii="Times New Roman" w:hAnsi="Times New Roman" w:cs="Times New Roman"/>
          <w:sz w:val="24"/>
          <w:szCs w:val="24"/>
        </w:rPr>
        <w:t>Stavba je spolufinancovaná z</w:t>
      </w:r>
      <w:r w:rsidRPr="00C80171">
        <w:rPr>
          <w:rFonts w:ascii="Times New Roman" w:hAnsi="Times New Roman" w:cs="Times New Roman"/>
          <w:sz w:val="24"/>
          <w:szCs w:val="24"/>
        </w:rPr>
        <w:t> prostriedkov ERDF. Rieši rekonštrukciu</w:t>
      </w:r>
      <w:r w:rsidRPr="00C80171" w:rsidR="00C80171">
        <w:rPr>
          <w:rFonts w:ascii="Times New Roman" w:hAnsi="Times New Roman" w:cs="Times New Roman"/>
          <w:sz w:val="24"/>
          <w:szCs w:val="24"/>
        </w:rPr>
        <w:t xml:space="preserve"> štátnej cesty v prieťahu obce</w:t>
      </w:r>
      <w:r w:rsidRPr="00C80171">
        <w:rPr>
          <w:rFonts w:ascii="Times New Roman" w:hAnsi="Times New Roman" w:cs="Times New Roman"/>
          <w:sz w:val="24"/>
          <w:szCs w:val="24"/>
        </w:rPr>
        <w:t>. Z rozpočtu</w:t>
      </w:r>
      <w:r w:rsidRPr="00C80171">
        <w:rPr>
          <w:rFonts w:ascii="Times New Roman" w:hAnsi="Times New Roman" w:cs="Times New Roman"/>
          <w:sz w:val="24"/>
          <w:szCs w:val="24"/>
        </w:rPr>
        <w:t xml:space="preserve"> SSC bolo v roku 2007 p</w:t>
      </w:r>
      <w:r w:rsidR="00C80171">
        <w:rPr>
          <w:rFonts w:ascii="Times New Roman" w:hAnsi="Times New Roman" w:cs="Times New Roman"/>
          <w:sz w:val="24"/>
          <w:szCs w:val="24"/>
        </w:rPr>
        <w:t xml:space="preserve">reinvestovaných 5 358 745,21 Sk, </w:t>
      </w:r>
      <w:r w:rsidRPr="00C80171">
        <w:rPr>
          <w:rFonts w:ascii="Times New Roman" w:hAnsi="Times New Roman" w:cs="Times New Roman"/>
          <w:sz w:val="24"/>
          <w:szCs w:val="24"/>
        </w:rPr>
        <w:t>z čoho bolo uhradených 5 236 889,21 Sk na neoprávnené náklady stavebných prác.</w:t>
      </w:r>
    </w:p>
    <w:p w:rsidR="00D63629" w:rsidRPr="00D63629" w:rsidP="00D63629">
      <w:pPr>
        <w:tabs>
          <w:tab w:val="left" w:pos="360"/>
        </w:tabs>
        <w:spacing w:line="240" w:lineRule="auto"/>
        <w:rPr>
          <w:rFonts w:ascii="Times New Roman" w:hAnsi="Times New Roman" w:cs="Times New Roman"/>
          <w:sz w:val="24"/>
          <w:szCs w:val="24"/>
        </w:rPr>
      </w:pPr>
    </w:p>
    <w:p w:rsidR="00D63629" w:rsidRPr="00C80171" w:rsidP="00C80171">
      <w:pPr>
        <w:tabs>
          <w:tab w:val="left" w:pos="360"/>
        </w:tabs>
        <w:spacing w:line="240" w:lineRule="auto"/>
        <w:rPr>
          <w:rFonts w:ascii="Times New Roman" w:hAnsi="Times New Roman" w:cs="Times New Roman"/>
          <w:bCs/>
          <w:sz w:val="24"/>
          <w:szCs w:val="24"/>
        </w:rPr>
      </w:pPr>
      <w:r w:rsidRPr="00C80171">
        <w:rPr>
          <w:rFonts w:ascii="Times New Roman" w:hAnsi="Times New Roman" w:cs="Times New Roman"/>
          <w:bCs/>
          <w:sz w:val="24"/>
          <w:szCs w:val="24"/>
        </w:rPr>
        <w:t>Za vypracovanie technickej štúdie a zámeru boli realizované platby pre tieto stavby:</w:t>
      </w:r>
    </w:p>
    <w:p w:rsidR="00D63629" w:rsidRPr="00C80171" w:rsidP="00D63629">
      <w:pPr>
        <w:spacing w:line="240" w:lineRule="auto"/>
        <w:ind w:firstLine="360"/>
        <w:rPr>
          <w:rFonts w:ascii="Times New Roman" w:hAnsi="Times New Roman" w:cs="Times New Roman"/>
          <w:sz w:val="24"/>
          <w:szCs w:val="24"/>
        </w:rPr>
      </w:pPr>
      <w:r w:rsidR="00C80171">
        <w:rPr>
          <w:rFonts w:ascii="Times New Roman" w:hAnsi="Times New Roman" w:cs="Times New Roman"/>
          <w:sz w:val="24"/>
          <w:szCs w:val="24"/>
        </w:rPr>
        <w:t xml:space="preserve">I/18 Nižný Hrabovec – </w:t>
      </w:r>
      <w:r w:rsidRPr="00C80171">
        <w:rPr>
          <w:rFonts w:ascii="Times New Roman" w:hAnsi="Times New Roman" w:cs="Times New Roman"/>
          <w:sz w:val="24"/>
          <w:szCs w:val="24"/>
        </w:rPr>
        <w:t xml:space="preserve">Petrovce nad </w:t>
      </w:r>
      <w:r w:rsidRPr="00C80171">
        <w:rPr>
          <w:rFonts w:ascii="Times New Roman" w:hAnsi="Times New Roman" w:cs="Times New Roman"/>
          <w:sz w:val="24"/>
          <w:szCs w:val="24"/>
        </w:rPr>
        <w:t>Laborcom – vo výške</w:t>
      </w:r>
      <w:r w:rsidR="005721F7">
        <w:rPr>
          <w:rFonts w:ascii="Times New Roman" w:hAnsi="Times New Roman" w:cs="Times New Roman"/>
          <w:sz w:val="24"/>
          <w:szCs w:val="24"/>
        </w:rPr>
        <w:t xml:space="preserve"> </w:t>
      </w:r>
      <w:r w:rsidRPr="00C80171">
        <w:rPr>
          <w:rFonts w:ascii="Times New Roman" w:hAnsi="Times New Roman" w:cs="Times New Roman"/>
          <w:sz w:val="24"/>
          <w:szCs w:val="24"/>
        </w:rPr>
        <w:t>1 098 324,60 Sk</w:t>
      </w:r>
    </w:p>
    <w:p w:rsidR="00D63629" w:rsidRPr="00C80171" w:rsidP="00D63629">
      <w:pPr>
        <w:spacing w:line="240" w:lineRule="auto"/>
        <w:ind w:firstLine="360"/>
        <w:rPr>
          <w:rFonts w:ascii="Times New Roman" w:hAnsi="Times New Roman" w:cs="Times New Roman"/>
          <w:sz w:val="24"/>
          <w:szCs w:val="24"/>
        </w:rPr>
      </w:pPr>
      <w:r w:rsidR="00C80171">
        <w:rPr>
          <w:rFonts w:ascii="Times New Roman" w:hAnsi="Times New Roman" w:cs="Times New Roman"/>
          <w:sz w:val="24"/>
          <w:szCs w:val="24"/>
        </w:rPr>
        <w:t xml:space="preserve">I/68 Sabinov, </w:t>
      </w:r>
      <w:r w:rsidRPr="00C80171">
        <w:rPr>
          <w:rFonts w:ascii="Times New Roman" w:hAnsi="Times New Roman" w:cs="Times New Roman"/>
          <w:sz w:val="24"/>
          <w:szCs w:val="24"/>
        </w:rPr>
        <w:t>pr</w:t>
      </w:r>
      <w:r w:rsidR="009E0911">
        <w:rPr>
          <w:rFonts w:ascii="Times New Roman" w:hAnsi="Times New Roman" w:cs="Times New Roman"/>
          <w:sz w:val="24"/>
          <w:szCs w:val="24"/>
        </w:rPr>
        <w:t xml:space="preserve">eložka cesty – vo výške 433 495,- </w:t>
      </w:r>
      <w:r w:rsidRPr="00C80171">
        <w:rPr>
          <w:rFonts w:ascii="Times New Roman" w:hAnsi="Times New Roman" w:cs="Times New Roman"/>
          <w:sz w:val="24"/>
          <w:szCs w:val="24"/>
        </w:rPr>
        <w:t>Sk</w:t>
      </w:r>
    </w:p>
    <w:p w:rsidR="00D63629" w:rsidRPr="00C80171" w:rsidP="00D63629">
      <w:pPr>
        <w:spacing w:line="240" w:lineRule="auto"/>
        <w:ind w:firstLine="360"/>
        <w:rPr>
          <w:rFonts w:ascii="Times New Roman" w:hAnsi="Times New Roman" w:cs="Times New Roman"/>
          <w:sz w:val="24"/>
          <w:szCs w:val="24"/>
        </w:rPr>
      </w:pPr>
      <w:r w:rsidR="00C80171">
        <w:rPr>
          <w:rFonts w:ascii="Times New Roman" w:hAnsi="Times New Roman" w:cs="Times New Roman"/>
          <w:sz w:val="24"/>
          <w:szCs w:val="24"/>
        </w:rPr>
        <w:t xml:space="preserve">I/68 Prešov – </w:t>
      </w:r>
      <w:r w:rsidRPr="00C80171">
        <w:rPr>
          <w:rFonts w:ascii="Times New Roman" w:hAnsi="Times New Roman" w:cs="Times New Roman"/>
          <w:sz w:val="24"/>
          <w:szCs w:val="24"/>
        </w:rPr>
        <w:t>Lipany preložka – vo výške 771 367,50 Sk</w:t>
      </w:r>
    </w:p>
    <w:p w:rsidR="00D63629" w:rsidRPr="00C80171" w:rsidP="00D63629">
      <w:pPr>
        <w:spacing w:line="240" w:lineRule="auto"/>
        <w:ind w:firstLine="360"/>
        <w:rPr>
          <w:rFonts w:ascii="Times New Roman" w:hAnsi="Times New Roman" w:cs="Times New Roman"/>
          <w:sz w:val="24"/>
          <w:szCs w:val="24"/>
        </w:rPr>
      </w:pPr>
      <w:r w:rsidR="00C80171">
        <w:rPr>
          <w:rFonts w:ascii="Times New Roman" w:hAnsi="Times New Roman" w:cs="Times New Roman"/>
          <w:sz w:val="24"/>
          <w:szCs w:val="24"/>
        </w:rPr>
        <w:t xml:space="preserve">I/74 Snina – Kolonica, </w:t>
      </w:r>
      <w:r w:rsidRPr="00C80171">
        <w:rPr>
          <w:rFonts w:ascii="Times New Roman" w:hAnsi="Times New Roman" w:cs="Times New Roman"/>
          <w:sz w:val="24"/>
          <w:szCs w:val="24"/>
        </w:rPr>
        <w:t>preložka – vo výške 71 759,40 Sk</w:t>
      </w:r>
    </w:p>
    <w:p w:rsidR="00D63629" w:rsidRPr="00C80171" w:rsidP="00D63629">
      <w:pPr>
        <w:spacing w:line="240" w:lineRule="auto"/>
        <w:ind w:firstLine="360"/>
        <w:rPr>
          <w:rFonts w:ascii="Times New Roman" w:hAnsi="Times New Roman" w:cs="Times New Roman"/>
          <w:sz w:val="24"/>
          <w:szCs w:val="24"/>
        </w:rPr>
      </w:pPr>
      <w:r w:rsidR="00C80171">
        <w:rPr>
          <w:rFonts w:ascii="Times New Roman" w:hAnsi="Times New Roman" w:cs="Times New Roman"/>
          <w:sz w:val="24"/>
          <w:szCs w:val="24"/>
        </w:rPr>
        <w:t xml:space="preserve">I/68 Prešov, Bardejovská – </w:t>
      </w:r>
      <w:r w:rsidRPr="00C80171">
        <w:rPr>
          <w:rFonts w:ascii="Times New Roman" w:hAnsi="Times New Roman" w:cs="Times New Roman"/>
          <w:sz w:val="24"/>
          <w:szCs w:val="24"/>
        </w:rPr>
        <w:t>Sabinovská u</w:t>
      </w:r>
      <w:r w:rsidR="009E0911">
        <w:rPr>
          <w:rFonts w:ascii="Times New Roman" w:hAnsi="Times New Roman" w:cs="Times New Roman"/>
          <w:sz w:val="24"/>
          <w:szCs w:val="24"/>
        </w:rPr>
        <w:t>l., preložka – vo</w:t>
      </w:r>
      <w:r w:rsidR="009E0911">
        <w:rPr>
          <w:rFonts w:ascii="Times New Roman" w:hAnsi="Times New Roman" w:cs="Times New Roman"/>
          <w:sz w:val="24"/>
          <w:szCs w:val="24"/>
        </w:rPr>
        <w:t xml:space="preserve"> výške 828 240,- </w:t>
      </w:r>
      <w:r w:rsidRPr="00C80171">
        <w:rPr>
          <w:rFonts w:ascii="Times New Roman" w:hAnsi="Times New Roman" w:cs="Times New Roman"/>
          <w:sz w:val="24"/>
          <w:szCs w:val="24"/>
        </w:rPr>
        <w:t>Sk</w:t>
      </w:r>
    </w:p>
    <w:p w:rsidR="00D63629" w:rsidRPr="00C80171" w:rsidP="00D63629">
      <w:pPr>
        <w:spacing w:line="240" w:lineRule="auto"/>
        <w:ind w:firstLine="360"/>
        <w:rPr>
          <w:rFonts w:ascii="Times New Roman" w:hAnsi="Times New Roman" w:cs="Times New Roman"/>
          <w:sz w:val="24"/>
          <w:szCs w:val="24"/>
        </w:rPr>
      </w:pPr>
      <w:r w:rsidR="00C80171">
        <w:rPr>
          <w:rFonts w:ascii="Times New Roman" w:hAnsi="Times New Roman" w:cs="Times New Roman"/>
          <w:sz w:val="24"/>
          <w:szCs w:val="24"/>
        </w:rPr>
        <w:t xml:space="preserve">I/74 Brekov – </w:t>
      </w:r>
      <w:r w:rsidRPr="00C80171">
        <w:rPr>
          <w:rFonts w:ascii="Times New Roman" w:hAnsi="Times New Roman" w:cs="Times New Roman"/>
          <w:sz w:val="24"/>
          <w:szCs w:val="24"/>
        </w:rPr>
        <w:t>Humenné, preložka – vo výške 702 433,20 Sk</w:t>
      </w:r>
    </w:p>
    <w:p w:rsidR="00D63629" w:rsidRPr="00C80171" w:rsidP="00D63629">
      <w:pPr>
        <w:spacing w:line="240" w:lineRule="auto"/>
        <w:ind w:firstLine="360"/>
        <w:rPr>
          <w:rFonts w:ascii="Times New Roman" w:hAnsi="Times New Roman" w:cs="Times New Roman"/>
          <w:sz w:val="24"/>
          <w:szCs w:val="24"/>
        </w:rPr>
      </w:pPr>
      <w:r w:rsidR="00C80171">
        <w:rPr>
          <w:rFonts w:ascii="Times New Roman" w:hAnsi="Times New Roman" w:cs="Times New Roman"/>
          <w:sz w:val="24"/>
          <w:szCs w:val="24"/>
        </w:rPr>
        <w:t xml:space="preserve">I/67 Gemerská Poloma – </w:t>
      </w:r>
      <w:r w:rsidRPr="00C80171">
        <w:rPr>
          <w:rFonts w:ascii="Times New Roman" w:hAnsi="Times New Roman" w:cs="Times New Roman"/>
          <w:sz w:val="24"/>
          <w:szCs w:val="24"/>
        </w:rPr>
        <w:t>Stratená</w:t>
      </w:r>
      <w:r w:rsidR="009E0911">
        <w:rPr>
          <w:rFonts w:ascii="Times New Roman" w:hAnsi="Times New Roman" w:cs="Times New Roman"/>
          <w:sz w:val="24"/>
          <w:szCs w:val="24"/>
        </w:rPr>
        <w:t xml:space="preserve">, preložka – vo výške 2 196 978,- </w:t>
      </w:r>
      <w:r w:rsidRPr="00C80171">
        <w:rPr>
          <w:rFonts w:ascii="Times New Roman" w:hAnsi="Times New Roman" w:cs="Times New Roman"/>
          <w:sz w:val="24"/>
          <w:szCs w:val="24"/>
        </w:rPr>
        <w:t>Sk</w:t>
      </w:r>
    </w:p>
    <w:p w:rsidR="00D63629" w:rsidRPr="00C80171" w:rsidP="00D63629">
      <w:pPr>
        <w:spacing w:line="240" w:lineRule="auto"/>
        <w:ind w:firstLine="360"/>
        <w:rPr>
          <w:rFonts w:ascii="Times New Roman" w:hAnsi="Times New Roman" w:cs="Times New Roman"/>
          <w:sz w:val="24"/>
          <w:szCs w:val="24"/>
        </w:rPr>
      </w:pPr>
      <w:r w:rsidRPr="00C80171">
        <w:rPr>
          <w:rFonts w:ascii="Times New Roman" w:hAnsi="Times New Roman" w:cs="Times New Roman"/>
          <w:sz w:val="24"/>
          <w:szCs w:val="24"/>
        </w:rPr>
        <w:t>I/67 Lysá Poľana most – 087 – vo výške 989 162,10 Sk</w:t>
      </w:r>
    </w:p>
    <w:p w:rsidR="009E0911" w:rsidP="009E0911">
      <w:pPr>
        <w:spacing w:line="240" w:lineRule="auto"/>
        <w:rPr>
          <w:rFonts w:ascii="Times New Roman" w:hAnsi="Times New Roman" w:cs="Times New Roman"/>
          <w:sz w:val="24"/>
          <w:szCs w:val="24"/>
        </w:rPr>
      </w:pPr>
    </w:p>
    <w:p w:rsidR="009E0911" w:rsidRPr="00D732C7" w:rsidP="009E0911">
      <w:pPr>
        <w:spacing w:line="240" w:lineRule="auto"/>
        <w:rPr>
          <w:rFonts w:ascii="Times New Roman" w:hAnsi="Times New Roman" w:cs="Times New Roman"/>
          <w:sz w:val="24"/>
          <w:szCs w:val="24"/>
        </w:rPr>
      </w:pPr>
      <w:r>
        <w:rPr>
          <w:rFonts w:ascii="Times New Roman" w:hAnsi="Times New Roman" w:cs="Times New Roman"/>
          <w:sz w:val="24"/>
          <w:szCs w:val="24"/>
        </w:rPr>
        <w:t xml:space="preserve">Za </w:t>
      </w:r>
      <w:r w:rsidRPr="00D732C7">
        <w:rPr>
          <w:rFonts w:ascii="Times New Roman" w:hAnsi="Times New Roman" w:cs="Times New Roman"/>
          <w:sz w:val="24"/>
          <w:szCs w:val="24"/>
        </w:rPr>
        <w:t>vypracovanie dokum</w:t>
      </w:r>
      <w:r>
        <w:rPr>
          <w:rFonts w:ascii="Times New Roman" w:hAnsi="Times New Roman" w:cs="Times New Roman"/>
          <w:sz w:val="24"/>
          <w:szCs w:val="24"/>
        </w:rPr>
        <w:t>entácie na územné rozhodnutie, stave</w:t>
      </w:r>
      <w:r>
        <w:rPr>
          <w:rFonts w:ascii="Times New Roman" w:hAnsi="Times New Roman" w:cs="Times New Roman"/>
          <w:sz w:val="24"/>
          <w:szCs w:val="24"/>
        </w:rPr>
        <w:t xml:space="preserve">bného zámeru, </w:t>
      </w:r>
      <w:r w:rsidRPr="00D732C7">
        <w:rPr>
          <w:rFonts w:ascii="Times New Roman" w:hAnsi="Times New Roman" w:cs="Times New Roman"/>
          <w:sz w:val="24"/>
          <w:szCs w:val="24"/>
        </w:rPr>
        <w:t>stavebné</w:t>
      </w:r>
      <w:r>
        <w:rPr>
          <w:rFonts w:ascii="Times New Roman" w:hAnsi="Times New Roman" w:cs="Times New Roman"/>
          <w:sz w:val="24"/>
          <w:szCs w:val="24"/>
        </w:rPr>
        <w:t>ho povolenia</w:t>
      </w:r>
      <w:r w:rsidRPr="00D732C7">
        <w:rPr>
          <w:rFonts w:ascii="Times New Roman" w:hAnsi="Times New Roman" w:cs="Times New Roman"/>
          <w:sz w:val="24"/>
          <w:szCs w:val="24"/>
        </w:rPr>
        <w:t xml:space="preserve"> a ponuku boli realizované platby pre tieto stavby:  </w:t>
      </w:r>
    </w:p>
    <w:p w:rsidR="00D63629" w:rsidRPr="00A547A5" w:rsidP="00D63629">
      <w:pPr>
        <w:spacing w:line="240" w:lineRule="auto"/>
        <w:ind w:firstLine="360"/>
        <w:rPr>
          <w:rFonts w:ascii="Times New Roman" w:hAnsi="Times New Roman" w:cs="Times New Roman"/>
          <w:sz w:val="24"/>
          <w:szCs w:val="24"/>
        </w:rPr>
      </w:pPr>
      <w:r w:rsidR="00C80171">
        <w:rPr>
          <w:rFonts w:ascii="Times New Roman" w:hAnsi="Times New Roman" w:cs="Times New Roman"/>
          <w:sz w:val="24"/>
          <w:szCs w:val="24"/>
        </w:rPr>
        <w:t xml:space="preserve">I/73 Giraltovce – </w:t>
      </w:r>
      <w:r w:rsidRPr="00A547A5">
        <w:rPr>
          <w:rFonts w:ascii="Times New Roman" w:hAnsi="Times New Roman" w:cs="Times New Roman"/>
          <w:sz w:val="24"/>
          <w:szCs w:val="24"/>
        </w:rPr>
        <w:t>Fijaš, rekonštru</w:t>
      </w:r>
      <w:r w:rsidR="009E0911">
        <w:rPr>
          <w:rFonts w:ascii="Times New Roman" w:hAnsi="Times New Roman" w:cs="Times New Roman"/>
          <w:sz w:val="24"/>
          <w:szCs w:val="24"/>
        </w:rPr>
        <w:t xml:space="preserve">kcia cesty – vo výške 1 180 837,- </w:t>
      </w:r>
      <w:r w:rsidRPr="00A547A5">
        <w:rPr>
          <w:rFonts w:ascii="Times New Roman" w:hAnsi="Times New Roman" w:cs="Times New Roman"/>
          <w:sz w:val="24"/>
          <w:szCs w:val="24"/>
        </w:rPr>
        <w:t>Sk</w:t>
      </w:r>
    </w:p>
    <w:p w:rsidR="00D63629" w:rsidRPr="00A547A5" w:rsidP="00D63629">
      <w:pPr>
        <w:spacing w:line="240" w:lineRule="auto"/>
        <w:ind w:firstLine="360"/>
        <w:rPr>
          <w:rFonts w:ascii="Times New Roman" w:hAnsi="Times New Roman" w:cs="Times New Roman"/>
          <w:sz w:val="24"/>
          <w:szCs w:val="24"/>
        </w:rPr>
      </w:pPr>
      <w:r w:rsidR="00C80171">
        <w:rPr>
          <w:rFonts w:ascii="Times New Roman" w:hAnsi="Times New Roman" w:cs="Times New Roman"/>
          <w:sz w:val="24"/>
          <w:szCs w:val="24"/>
        </w:rPr>
        <w:t xml:space="preserve">I/77 Spišská Belá – </w:t>
      </w:r>
      <w:r w:rsidRPr="00A547A5">
        <w:rPr>
          <w:rFonts w:ascii="Times New Roman" w:hAnsi="Times New Roman" w:cs="Times New Roman"/>
          <w:sz w:val="24"/>
          <w:szCs w:val="24"/>
        </w:rPr>
        <w:t>Bušovce, rekonštrukcia – vo výške 1 197 044,80 Sk</w:t>
      </w:r>
    </w:p>
    <w:p w:rsidR="00D63629" w:rsidRPr="00A547A5" w:rsidP="00D63629">
      <w:pPr>
        <w:spacing w:line="240" w:lineRule="auto"/>
        <w:ind w:firstLine="360"/>
        <w:rPr>
          <w:rFonts w:ascii="Times New Roman" w:hAnsi="Times New Roman" w:cs="Times New Roman"/>
          <w:sz w:val="24"/>
          <w:szCs w:val="24"/>
        </w:rPr>
      </w:pPr>
      <w:r w:rsidR="00C80171">
        <w:rPr>
          <w:rFonts w:ascii="Times New Roman" w:hAnsi="Times New Roman" w:cs="Times New Roman"/>
          <w:sz w:val="24"/>
          <w:szCs w:val="24"/>
        </w:rPr>
        <w:t xml:space="preserve">I/77 Bardejov – </w:t>
      </w:r>
      <w:r w:rsidRPr="00A547A5">
        <w:rPr>
          <w:rFonts w:ascii="Times New Roman" w:hAnsi="Times New Roman" w:cs="Times New Roman"/>
          <w:sz w:val="24"/>
          <w:szCs w:val="24"/>
        </w:rPr>
        <w:t>Bardejov</w:t>
      </w:r>
      <w:r w:rsidR="009E0911">
        <w:rPr>
          <w:rFonts w:ascii="Times New Roman" w:hAnsi="Times New Roman" w:cs="Times New Roman"/>
          <w:sz w:val="24"/>
          <w:szCs w:val="24"/>
        </w:rPr>
        <w:t xml:space="preserve">ské kúpele – vo výške 1 802 612,- </w:t>
      </w:r>
      <w:r w:rsidRPr="00A547A5">
        <w:rPr>
          <w:rFonts w:ascii="Times New Roman" w:hAnsi="Times New Roman" w:cs="Times New Roman"/>
          <w:sz w:val="24"/>
          <w:szCs w:val="24"/>
        </w:rPr>
        <w:t>Sk</w:t>
      </w:r>
    </w:p>
    <w:p w:rsidR="00D63629" w:rsidRPr="00D63629" w:rsidP="009E0911">
      <w:pPr>
        <w:spacing w:line="240" w:lineRule="auto"/>
        <w:ind w:firstLine="360"/>
        <w:rPr>
          <w:rFonts w:ascii="Times New Roman" w:hAnsi="Times New Roman" w:cs="Times New Roman"/>
          <w:sz w:val="24"/>
          <w:szCs w:val="24"/>
        </w:rPr>
      </w:pPr>
      <w:r w:rsidR="00C80171">
        <w:rPr>
          <w:rFonts w:ascii="Times New Roman" w:hAnsi="Times New Roman" w:cs="Times New Roman"/>
          <w:sz w:val="24"/>
          <w:szCs w:val="24"/>
        </w:rPr>
        <w:t xml:space="preserve">I/50 a I/18 Michalovce, rekonštrukcia </w:t>
      </w:r>
      <w:r w:rsidRPr="00A547A5">
        <w:rPr>
          <w:rFonts w:ascii="Times New Roman" w:hAnsi="Times New Roman" w:cs="Times New Roman"/>
          <w:sz w:val="24"/>
          <w:szCs w:val="24"/>
        </w:rPr>
        <w:t>kr</w:t>
      </w:r>
      <w:r w:rsidR="009E0911">
        <w:rPr>
          <w:rFonts w:ascii="Times New Roman" w:hAnsi="Times New Roman" w:cs="Times New Roman"/>
          <w:sz w:val="24"/>
          <w:szCs w:val="24"/>
        </w:rPr>
        <w:t>ižovatky – vo výške 1 018 000,- Sk</w:t>
      </w:r>
    </w:p>
    <w:p w:rsidR="00D63629" w:rsidRPr="00A547A5" w:rsidP="00D63629">
      <w:pPr>
        <w:spacing w:line="240" w:lineRule="auto"/>
        <w:ind w:firstLine="360"/>
        <w:rPr>
          <w:rFonts w:ascii="Times New Roman" w:hAnsi="Times New Roman" w:cs="Times New Roman"/>
          <w:sz w:val="24"/>
          <w:szCs w:val="24"/>
        </w:rPr>
      </w:pPr>
      <w:r w:rsidR="00C80171">
        <w:rPr>
          <w:rFonts w:ascii="Times New Roman" w:hAnsi="Times New Roman" w:cs="Times New Roman"/>
          <w:sz w:val="24"/>
          <w:szCs w:val="24"/>
        </w:rPr>
        <w:t xml:space="preserve">I/79 – </w:t>
      </w:r>
      <w:r w:rsidRPr="00A547A5">
        <w:rPr>
          <w:rFonts w:ascii="Times New Roman" w:hAnsi="Times New Roman" w:cs="Times New Roman"/>
          <w:sz w:val="24"/>
          <w:szCs w:val="24"/>
        </w:rPr>
        <w:t>036 Viničky most – vo výške 456 117,50 Sk</w:t>
      </w:r>
    </w:p>
    <w:p w:rsidR="00D63629" w:rsidRPr="00A547A5" w:rsidP="00D63629">
      <w:pPr>
        <w:spacing w:line="240" w:lineRule="auto"/>
        <w:ind w:firstLine="360"/>
        <w:rPr>
          <w:rFonts w:ascii="Times New Roman" w:hAnsi="Times New Roman" w:cs="Times New Roman"/>
          <w:sz w:val="24"/>
          <w:szCs w:val="24"/>
        </w:rPr>
      </w:pPr>
      <w:r w:rsidR="00C80171">
        <w:rPr>
          <w:rFonts w:ascii="Times New Roman" w:hAnsi="Times New Roman" w:cs="Times New Roman"/>
          <w:sz w:val="24"/>
          <w:szCs w:val="24"/>
        </w:rPr>
        <w:t xml:space="preserve">I/67 – </w:t>
      </w:r>
      <w:r w:rsidRPr="00A547A5">
        <w:rPr>
          <w:rFonts w:ascii="Times New Roman" w:hAnsi="Times New Roman" w:cs="Times New Roman"/>
          <w:sz w:val="24"/>
          <w:szCs w:val="24"/>
        </w:rPr>
        <w:t>059 Veľká Lomnica most – vo výške 536 166,40 Sk</w:t>
      </w:r>
    </w:p>
    <w:p w:rsidR="00D63629" w:rsidRPr="00A547A5" w:rsidP="00D63629">
      <w:pPr>
        <w:spacing w:line="240" w:lineRule="auto"/>
        <w:ind w:firstLine="360"/>
        <w:rPr>
          <w:rFonts w:ascii="Times New Roman" w:hAnsi="Times New Roman" w:cs="Times New Roman"/>
          <w:sz w:val="24"/>
          <w:szCs w:val="24"/>
        </w:rPr>
      </w:pPr>
      <w:r w:rsidR="00C80171">
        <w:rPr>
          <w:rFonts w:ascii="Times New Roman" w:hAnsi="Times New Roman" w:cs="Times New Roman"/>
          <w:sz w:val="24"/>
          <w:szCs w:val="24"/>
        </w:rPr>
        <w:t xml:space="preserve">I/77 – </w:t>
      </w:r>
      <w:r w:rsidRPr="00A547A5">
        <w:rPr>
          <w:rFonts w:ascii="Times New Roman" w:hAnsi="Times New Roman" w:cs="Times New Roman"/>
          <w:sz w:val="24"/>
          <w:szCs w:val="24"/>
        </w:rPr>
        <w:t>022 Hn</w:t>
      </w:r>
      <w:r w:rsidR="009E0911">
        <w:rPr>
          <w:rFonts w:ascii="Times New Roman" w:hAnsi="Times New Roman" w:cs="Times New Roman"/>
          <w:sz w:val="24"/>
          <w:szCs w:val="24"/>
        </w:rPr>
        <w:t xml:space="preserve">iezdne most – vo výške 351 080,- </w:t>
      </w:r>
      <w:r w:rsidRPr="00A547A5">
        <w:rPr>
          <w:rFonts w:ascii="Times New Roman" w:hAnsi="Times New Roman" w:cs="Times New Roman"/>
          <w:sz w:val="24"/>
          <w:szCs w:val="24"/>
        </w:rPr>
        <w:t>Sk</w:t>
      </w:r>
    </w:p>
    <w:p w:rsidR="00D63629" w:rsidRPr="00A547A5" w:rsidP="00D63629">
      <w:pPr>
        <w:spacing w:line="240" w:lineRule="auto"/>
        <w:ind w:firstLine="360"/>
        <w:rPr>
          <w:rFonts w:ascii="Times New Roman" w:hAnsi="Times New Roman" w:cs="Times New Roman"/>
          <w:sz w:val="24"/>
          <w:szCs w:val="24"/>
        </w:rPr>
      </w:pPr>
      <w:r w:rsidR="00C80171">
        <w:rPr>
          <w:rFonts w:ascii="Times New Roman" w:hAnsi="Times New Roman" w:cs="Times New Roman"/>
          <w:sz w:val="24"/>
          <w:szCs w:val="24"/>
        </w:rPr>
        <w:t xml:space="preserve">I/74 – </w:t>
      </w:r>
      <w:r w:rsidRPr="00A547A5">
        <w:rPr>
          <w:rFonts w:ascii="Times New Roman" w:hAnsi="Times New Roman" w:cs="Times New Roman"/>
          <w:sz w:val="24"/>
          <w:szCs w:val="24"/>
        </w:rPr>
        <w:t xml:space="preserve">007 </w:t>
      </w:r>
      <w:r w:rsidR="009E0911">
        <w:rPr>
          <w:rFonts w:ascii="Times New Roman" w:hAnsi="Times New Roman" w:cs="Times New Roman"/>
          <w:sz w:val="24"/>
          <w:szCs w:val="24"/>
        </w:rPr>
        <w:t xml:space="preserve">Humenné most – vo výške 435 000,- </w:t>
      </w:r>
      <w:r w:rsidRPr="00A547A5">
        <w:rPr>
          <w:rFonts w:ascii="Times New Roman" w:hAnsi="Times New Roman" w:cs="Times New Roman"/>
          <w:sz w:val="24"/>
          <w:szCs w:val="24"/>
        </w:rPr>
        <w:t>Sk</w:t>
      </w:r>
    </w:p>
    <w:p w:rsidR="00D63629" w:rsidRPr="00A547A5" w:rsidP="00D63629">
      <w:pPr>
        <w:spacing w:line="240" w:lineRule="auto"/>
        <w:ind w:firstLine="360"/>
        <w:rPr>
          <w:rFonts w:ascii="Times New Roman" w:hAnsi="Times New Roman" w:cs="Times New Roman"/>
          <w:sz w:val="24"/>
          <w:szCs w:val="24"/>
        </w:rPr>
      </w:pPr>
      <w:r w:rsidR="00C80171">
        <w:rPr>
          <w:rFonts w:ascii="Times New Roman" w:hAnsi="Times New Roman" w:cs="Times New Roman"/>
          <w:sz w:val="24"/>
          <w:szCs w:val="24"/>
        </w:rPr>
        <w:t xml:space="preserve">I/73 – </w:t>
      </w:r>
      <w:r w:rsidRPr="00A547A5">
        <w:rPr>
          <w:rFonts w:ascii="Times New Roman" w:hAnsi="Times New Roman" w:cs="Times New Roman"/>
          <w:sz w:val="24"/>
          <w:szCs w:val="24"/>
        </w:rPr>
        <w:t>025 Svidník m</w:t>
      </w:r>
      <w:r w:rsidRPr="00A547A5">
        <w:rPr>
          <w:rFonts w:ascii="Times New Roman" w:hAnsi="Times New Roman" w:cs="Times New Roman"/>
          <w:sz w:val="24"/>
          <w:szCs w:val="24"/>
        </w:rPr>
        <w:t>ost – vo výške 619 299,80 Sk</w:t>
      </w:r>
    </w:p>
    <w:p w:rsidR="00D63629" w:rsidRPr="00A547A5" w:rsidP="00D63629">
      <w:pPr>
        <w:spacing w:line="240" w:lineRule="auto"/>
        <w:ind w:firstLine="360"/>
        <w:rPr>
          <w:rFonts w:ascii="Times New Roman" w:hAnsi="Times New Roman" w:cs="Times New Roman"/>
          <w:sz w:val="24"/>
          <w:szCs w:val="24"/>
        </w:rPr>
      </w:pPr>
      <w:r w:rsidR="00C80171">
        <w:rPr>
          <w:rFonts w:ascii="Times New Roman" w:hAnsi="Times New Roman" w:cs="Times New Roman"/>
          <w:sz w:val="24"/>
          <w:szCs w:val="24"/>
        </w:rPr>
        <w:t xml:space="preserve">I/73 – </w:t>
      </w:r>
      <w:r w:rsidRPr="00A547A5">
        <w:rPr>
          <w:rFonts w:ascii="Times New Roman" w:hAnsi="Times New Roman" w:cs="Times New Roman"/>
          <w:sz w:val="24"/>
          <w:szCs w:val="24"/>
        </w:rPr>
        <w:t xml:space="preserve">025 </w:t>
      </w:r>
      <w:r w:rsidR="009E0911">
        <w:rPr>
          <w:rFonts w:ascii="Times New Roman" w:hAnsi="Times New Roman" w:cs="Times New Roman"/>
          <w:sz w:val="24"/>
          <w:szCs w:val="24"/>
        </w:rPr>
        <w:t xml:space="preserve">Svidník most – vo výške 397 640,- </w:t>
      </w:r>
      <w:r w:rsidRPr="00A547A5">
        <w:rPr>
          <w:rFonts w:ascii="Times New Roman" w:hAnsi="Times New Roman" w:cs="Times New Roman"/>
          <w:sz w:val="24"/>
          <w:szCs w:val="24"/>
        </w:rPr>
        <w:t>Sk</w:t>
      </w:r>
    </w:p>
    <w:p w:rsidR="009A52FB" w:rsidP="00D63629">
      <w:pPr>
        <w:tabs>
          <w:tab w:val="left" w:pos="360"/>
        </w:tabs>
        <w:spacing w:line="240" w:lineRule="auto"/>
        <w:rPr>
          <w:rFonts w:ascii="Times New Roman" w:hAnsi="Times New Roman" w:cs="Times New Roman"/>
          <w:b/>
          <w:sz w:val="24"/>
          <w:szCs w:val="24"/>
        </w:rPr>
      </w:pPr>
      <w:r w:rsidRPr="00D63629" w:rsidR="00D63629">
        <w:rPr>
          <w:rFonts w:ascii="Times New Roman" w:hAnsi="Times New Roman" w:cs="Times New Roman"/>
          <w:b/>
          <w:sz w:val="24"/>
          <w:szCs w:val="24"/>
        </w:rPr>
        <w:tab/>
      </w:r>
    </w:p>
    <w:p w:rsidR="00D63629" w:rsidRPr="00D63629" w:rsidP="00D63629">
      <w:pPr>
        <w:tabs>
          <w:tab w:val="left" w:pos="360"/>
        </w:tabs>
        <w:spacing w:line="240" w:lineRule="auto"/>
        <w:rPr>
          <w:rFonts w:ascii="Times New Roman" w:hAnsi="Times New Roman" w:cs="Times New Roman"/>
          <w:b/>
          <w:sz w:val="24"/>
          <w:szCs w:val="24"/>
        </w:rPr>
      </w:pPr>
      <w:r w:rsidRPr="00D63629">
        <w:rPr>
          <w:rFonts w:ascii="Times New Roman" w:hAnsi="Times New Roman" w:cs="Times New Roman"/>
          <w:b/>
          <w:sz w:val="24"/>
          <w:szCs w:val="24"/>
        </w:rPr>
        <w:tab/>
      </w:r>
    </w:p>
    <w:p w:rsidR="00D63629" w:rsidRPr="00D63629" w:rsidP="00D63629">
      <w:pPr>
        <w:tabs>
          <w:tab w:val="left" w:pos="0"/>
        </w:tabs>
        <w:spacing w:line="240" w:lineRule="auto"/>
        <w:rPr>
          <w:rFonts w:ascii="Times New Roman" w:hAnsi="Times New Roman" w:cs="Times New Roman"/>
          <w:b/>
          <w:sz w:val="24"/>
          <w:szCs w:val="24"/>
        </w:rPr>
      </w:pPr>
      <w:r w:rsidR="00893F93">
        <w:rPr>
          <w:rFonts w:ascii="Times New Roman" w:hAnsi="Times New Roman" w:cs="Times New Roman"/>
          <w:b/>
          <w:sz w:val="24"/>
          <w:szCs w:val="24"/>
        </w:rPr>
        <w:t>Diaľničné p</w:t>
      </w:r>
      <w:r w:rsidRPr="00D63629">
        <w:rPr>
          <w:rFonts w:ascii="Times New Roman" w:hAnsi="Times New Roman" w:cs="Times New Roman"/>
          <w:b/>
          <w:sz w:val="24"/>
          <w:szCs w:val="24"/>
        </w:rPr>
        <w:t>rivádzače:</w:t>
      </w:r>
    </w:p>
    <w:p w:rsidR="009A52FB" w:rsidRPr="00D63629" w:rsidP="00D63629">
      <w:pPr>
        <w:tabs>
          <w:tab w:val="left" w:pos="0"/>
        </w:tabs>
        <w:spacing w:line="240" w:lineRule="auto"/>
        <w:rPr>
          <w:rFonts w:ascii="Times New Roman" w:hAnsi="Times New Roman" w:cs="Times New Roman"/>
          <w:b/>
          <w:sz w:val="24"/>
          <w:szCs w:val="24"/>
        </w:rPr>
      </w:pPr>
    </w:p>
    <w:p w:rsidR="00D63629" w:rsidRPr="00D63629" w:rsidP="00D63629">
      <w:pPr>
        <w:tabs>
          <w:tab w:val="left" w:pos="360"/>
        </w:tabs>
        <w:spacing w:line="240" w:lineRule="auto"/>
        <w:rPr>
          <w:rFonts w:ascii="Times New Roman" w:hAnsi="Times New Roman" w:cs="Times New Roman"/>
          <w:b/>
          <w:sz w:val="24"/>
          <w:szCs w:val="24"/>
        </w:rPr>
      </w:pPr>
      <w:r w:rsidRPr="00D63629">
        <w:rPr>
          <w:rFonts w:ascii="Times New Roman" w:hAnsi="Times New Roman" w:cs="Times New Roman"/>
          <w:b/>
          <w:sz w:val="24"/>
          <w:szCs w:val="24"/>
        </w:rPr>
        <w:tab/>
        <w:t>I/67 Poprad – Kežmarok  I. etapa</w:t>
        <w:tab/>
      </w:r>
    </w:p>
    <w:p w:rsidR="009A52FB" w:rsidP="009A52FB">
      <w:pPr>
        <w:tabs>
          <w:tab w:val="left" w:pos="360"/>
        </w:tabs>
        <w:spacing w:line="240" w:lineRule="auto"/>
        <w:ind w:left="360"/>
        <w:rPr>
          <w:rFonts w:ascii="Times New Roman" w:hAnsi="Times New Roman" w:cs="Times New Roman"/>
          <w:sz w:val="24"/>
          <w:szCs w:val="24"/>
        </w:rPr>
      </w:pPr>
      <w:r w:rsidRPr="00D63629" w:rsidR="00D63629">
        <w:rPr>
          <w:rFonts w:ascii="Times New Roman" w:hAnsi="Times New Roman" w:cs="Times New Roman"/>
          <w:sz w:val="24"/>
          <w:szCs w:val="24"/>
        </w:rPr>
        <w:t>P</w:t>
      </w:r>
      <w:r w:rsidR="00A547A5">
        <w:rPr>
          <w:rFonts w:ascii="Times New Roman" w:hAnsi="Times New Roman" w:cs="Times New Roman"/>
          <w:sz w:val="24"/>
          <w:szCs w:val="24"/>
        </w:rPr>
        <w:t xml:space="preserve">latby za </w:t>
      </w:r>
      <w:r w:rsidRPr="00D63629" w:rsidR="00D63629">
        <w:rPr>
          <w:rFonts w:ascii="Times New Roman" w:hAnsi="Times New Roman" w:cs="Times New Roman"/>
          <w:sz w:val="24"/>
          <w:szCs w:val="24"/>
        </w:rPr>
        <w:t>stavbu v roku 20</w:t>
      </w:r>
      <w:r w:rsidR="00A547A5">
        <w:rPr>
          <w:rFonts w:ascii="Times New Roman" w:hAnsi="Times New Roman" w:cs="Times New Roman"/>
          <w:sz w:val="24"/>
          <w:szCs w:val="24"/>
        </w:rPr>
        <w:t xml:space="preserve">07 predstavovali </w:t>
      </w:r>
      <w:r w:rsidRPr="00D63629" w:rsidR="00D63629">
        <w:rPr>
          <w:rFonts w:ascii="Times New Roman" w:hAnsi="Times New Roman" w:cs="Times New Roman"/>
          <w:sz w:val="24"/>
          <w:szCs w:val="24"/>
        </w:rPr>
        <w:t>4 1</w:t>
      </w:r>
      <w:r w:rsidR="00A547A5">
        <w:rPr>
          <w:rFonts w:ascii="Times New Roman" w:hAnsi="Times New Roman" w:cs="Times New Roman"/>
          <w:sz w:val="24"/>
          <w:szCs w:val="24"/>
        </w:rPr>
        <w:t>51 </w:t>
      </w:r>
      <w:r w:rsidR="005721F7">
        <w:rPr>
          <w:rFonts w:ascii="Times New Roman" w:hAnsi="Times New Roman" w:cs="Times New Roman"/>
          <w:sz w:val="24"/>
          <w:szCs w:val="24"/>
        </w:rPr>
        <w:t>127 Sk, a to na majetkovo-právn</w:t>
      </w:r>
      <w:r w:rsidR="00A547A5">
        <w:rPr>
          <w:rFonts w:ascii="Times New Roman" w:hAnsi="Times New Roman" w:cs="Times New Roman"/>
          <w:sz w:val="24"/>
          <w:szCs w:val="24"/>
        </w:rPr>
        <w:t>u prípravu stavby a projektovú dokume</w:t>
      </w:r>
      <w:r w:rsidR="00A547A5">
        <w:rPr>
          <w:rFonts w:ascii="Times New Roman" w:hAnsi="Times New Roman" w:cs="Times New Roman"/>
          <w:sz w:val="24"/>
          <w:szCs w:val="24"/>
        </w:rPr>
        <w:t>ntáciu</w:t>
      </w:r>
      <w:r w:rsidRPr="00D63629" w:rsidR="00D63629">
        <w:rPr>
          <w:rFonts w:ascii="Times New Roman" w:hAnsi="Times New Roman" w:cs="Times New Roman"/>
          <w:sz w:val="24"/>
          <w:szCs w:val="24"/>
        </w:rPr>
        <w:t xml:space="preserve">. </w:t>
      </w:r>
    </w:p>
    <w:p w:rsidR="009A52FB" w:rsidRPr="00D63629" w:rsidP="009A52FB">
      <w:pPr>
        <w:tabs>
          <w:tab w:val="left" w:pos="360"/>
        </w:tabs>
        <w:spacing w:line="240" w:lineRule="auto"/>
        <w:ind w:left="360"/>
        <w:rPr>
          <w:rFonts w:ascii="Times New Roman" w:hAnsi="Times New Roman" w:cs="Times New Roman"/>
          <w:sz w:val="24"/>
          <w:szCs w:val="24"/>
        </w:rPr>
      </w:pPr>
    </w:p>
    <w:p w:rsidR="00D63629" w:rsidRPr="00D63629" w:rsidP="00D63629">
      <w:pPr>
        <w:tabs>
          <w:tab w:val="left" w:pos="0"/>
          <w:tab w:val="left" w:pos="360"/>
        </w:tabs>
        <w:spacing w:line="240" w:lineRule="auto"/>
        <w:rPr>
          <w:rFonts w:ascii="Times New Roman" w:hAnsi="Times New Roman" w:cs="Times New Roman"/>
          <w:sz w:val="24"/>
          <w:szCs w:val="24"/>
        </w:rPr>
      </w:pPr>
      <w:r w:rsidR="00A547A5">
        <w:rPr>
          <w:rFonts w:ascii="Times New Roman" w:hAnsi="Times New Roman" w:cs="Times New Roman"/>
          <w:b/>
          <w:sz w:val="24"/>
          <w:szCs w:val="24"/>
        </w:rPr>
        <w:tab/>
        <w:t xml:space="preserve">Privádzač Košice, Prešovská – </w:t>
      </w:r>
      <w:r w:rsidRPr="00D63629">
        <w:rPr>
          <w:rFonts w:ascii="Times New Roman" w:hAnsi="Times New Roman" w:cs="Times New Roman"/>
          <w:b/>
          <w:sz w:val="24"/>
          <w:szCs w:val="24"/>
        </w:rPr>
        <w:t>Sečovská III. et</w:t>
      </w:r>
      <w:r w:rsidR="00A547A5">
        <w:rPr>
          <w:rFonts w:ascii="Times New Roman" w:hAnsi="Times New Roman" w:cs="Times New Roman"/>
          <w:b/>
          <w:sz w:val="24"/>
          <w:szCs w:val="24"/>
        </w:rPr>
        <w:t>apa</w:t>
      </w:r>
    </w:p>
    <w:p w:rsidR="00D63629" w:rsidRPr="00D63629" w:rsidP="00A547A5">
      <w:pPr>
        <w:tabs>
          <w:tab w:val="left" w:pos="360"/>
        </w:tabs>
        <w:spacing w:line="240" w:lineRule="auto"/>
        <w:ind w:left="360"/>
        <w:rPr>
          <w:rFonts w:ascii="Times New Roman" w:hAnsi="Times New Roman" w:cs="Times New Roman"/>
          <w:sz w:val="24"/>
          <w:szCs w:val="24"/>
        </w:rPr>
      </w:pPr>
      <w:r w:rsidR="00CA149F">
        <w:rPr>
          <w:rFonts w:ascii="Times New Roman" w:hAnsi="Times New Roman" w:cs="Times New Roman"/>
          <w:sz w:val="24"/>
          <w:szCs w:val="24"/>
        </w:rPr>
        <w:t>Stavba je spolufinancovaná z</w:t>
      </w:r>
      <w:r w:rsidRPr="00D63629">
        <w:rPr>
          <w:rFonts w:ascii="Times New Roman" w:hAnsi="Times New Roman" w:cs="Times New Roman"/>
          <w:sz w:val="24"/>
          <w:szCs w:val="24"/>
        </w:rPr>
        <w:t> prostriedkov ERDF. Z prostriedkov SSC bolo uhradených 5 266 423,60 Sk na výkupy a projekty. Priebeh stavebných prác umožnil preinvestovanie neoprávnených nákladov sta</w:t>
      </w:r>
      <w:r w:rsidRPr="00D63629">
        <w:rPr>
          <w:rFonts w:ascii="Times New Roman" w:hAnsi="Times New Roman" w:cs="Times New Roman"/>
          <w:sz w:val="24"/>
          <w:szCs w:val="24"/>
        </w:rPr>
        <w:t>vebných prác vo výške 22 969 631,35 Sk.</w:t>
      </w:r>
    </w:p>
    <w:p w:rsidR="00D63629" w:rsidRPr="00D63629" w:rsidP="00D63629">
      <w:pPr>
        <w:tabs>
          <w:tab w:val="left" w:pos="360"/>
        </w:tabs>
        <w:spacing w:line="240" w:lineRule="auto"/>
        <w:ind w:firstLine="360"/>
        <w:rPr>
          <w:rFonts w:ascii="Times New Roman" w:hAnsi="Times New Roman" w:cs="Times New Roman"/>
          <w:b/>
          <w:sz w:val="24"/>
          <w:szCs w:val="24"/>
        </w:rPr>
      </w:pPr>
      <w:r w:rsidRPr="00D63629">
        <w:rPr>
          <w:rFonts w:ascii="Times New Roman" w:hAnsi="Times New Roman" w:cs="Times New Roman"/>
          <w:b/>
          <w:sz w:val="24"/>
          <w:szCs w:val="24"/>
        </w:rPr>
        <w:t>I/68 Privádzač Prešov západ</w:t>
      </w:r>
    </w:p>
    <w:p w:rsidR="00D63629" w:rsidRPr="00D63629" w:rsidP="00A547A5">
      <w:pPr>
        <w:spacing w:line="240" w:lineRule="auto"/>
        <w:ind w:left="360"/>
        <w:rPr>
          <w:rFonts w:ascii="Times New Roman" w:hAnsi="Times New Roman" w:cs="Times New Roman"/>
          <w:bCs/>
          <w:sz w:val="24"/>
          <w:szCs w:val="24"/>
        </w:rPr>
      </w:pPr>
      <w:r w:rsidRPr="00D63629">
        <w:rPr>
          <w:rFonts w:ascii="Times New Roman" w:hAnsi="Times New Roman" w:cs="Times New Roman"/>
          <w:bCs/>
          <w:sz w:val="24"/>
          <w:szCs w:val="24"/>
        </w:rPr>
        <w:t>Celkové náklady na stavbu roku 2</w:t>
      </w:r>
      <w:r w:rsidR="00A547A5">
        <w:rPr>
          <w:rFonts w:ascii="Times New Roman" w:hAnsi="Times New Roman" w:cs="Times New Roman"/>
          <w:bCs/>
          <w:sz w:val="24"/>
          <w:szCs w:val="24"/>
        </w:rPr>
        <w:t xml:space="preserve">007 predstavovali </w:t>
      </w:r>
      <w:r w:rsidRPr="00D63629">
        <w:rPr>
          <w:rFonts w:ascii="Times New Roman" w:hAnsi="Times New Roman" w:cs="Times New Roman"/>
          <w:bCs/>
          <w:sz w:val="24"/>
          <w:szCs w:val="24"/>
        </w:rPr>
        <w:t xml:space="preserve">17 116 2004 Sk. Za skutočne realizované </w:t>
      </w:r>
      <w:r w:rsidR="00A547A5">
        <w:rPr>
          <w:rFonts w:ascii="Times New Roman" w:hAnsi="Times New Roman" w:cs="Times New Roman"/>
          <w:bCs/>
          <w:sz w:val="24"/>
          <w:szCs w:val="24"/>
        </w:rPr>
        <w:t xml:space="preserve">stavebné </w:t>
      </w:r>
      <w:r w:rsidRPr="00D63629">
        <w:rPr>
          <w:rFonts w:ascii="Times New Roman" w:hAnsi="Times New Roman" w:cs="Times New Roman"/>
          <w:bCs/>
          <w:sz w:val="24"/>
          <w:szCs w:val="24"/>
        </w:rPr>
        <w:t xml:space="preserve">práce bola </w:t>
      </w:r>
      <w:r w:rsidR="00A547A5">
        <w:rPr>
          <w:rFonts w:ascii="Times New Roman" w:hAnsi="Times New Roman" w:cs="Times New Roman"/>
          <w:bCs/>
          <w:sz w:val="24"/>
          <w:szCs w:val="24"/>
        </w:rPr>
        <w:t xml:space="preserve">zhotoviteľovi </w:t>
      </w:r>
      <w:r w:rsidRPr="00D63629">
        <w:rPr>
          <w:rFonts w:ascii="Times New Roman" w:hAnsi="Times New Roman" w:cs="Times New Roman"/>
          <w:bCs/>
          <w:sz w:val="24"/>
          <w:szCs w:val="24"/>
        </w:rPr>
        <w:t>uhra</w:t>
      </w:r>
      <w:r w:rsidR="00A547A5">
        <w:rPr>
          <w:rFonts w:ascii="Times New Roman" w:hAnsi="Times New Roman" w:cs="Times New Roman"/>
          <w:bCs/>
          <w:sz w:val="24"/>
          <w:szCs w:val="24"/>
        </w:rPr>
        <w:t xml:space="preserve">dená suma </w:t>
      </w:r>
      <w:r w:rsidRPr="00D63629">
        <w:rPr>
          <w:rFonts w:ascii="Times New Roman" w:hAnsi="Times New Roman" w:cs="Times New Roman"/>
          <w:bCs/>
          <w:sz w:val="24"/>
          <w:szCs w:val="24"/>
        </w:rPr>
        <w:t>12 547 921,20 Sk.</w:t>
      </w:r>
    </w:p>
    <w:p w:rsidR="00992947" w:rsidP="00992947">
      <w:pPr>
        <w:spacing w:line="240" w:lineRule="auto"/>
        <w:ind w:firstLine="709"/>
        <w:rPr>
          <w:rFonts w:ascii="Times New Roman" w:hAnsi="Times New Roman" w:cs="Times New Roman"/>
          <w:bCs/>
          <w:sz w:val="24"/>
          <w:szCs w:val="24"/>
        </w:rPr>
      </w:pPr>
    </w:p>
    <w:p w:rsidR="00992947" w:rsidRPr="00F665BB" w:rsidP="00F665BB">
      <w:pPr>
        <w:spacing w:line="240" w:lineRule="auto"/>
        <w:rPr>
          <w:rFonts w:ascii="Times New Roman" w:hAnsi="Times New Roman" w:cs="Times New Roman"/>
          <w:bCs/>
          <w:sz w:val="24"/>
          <w:szCs w:val="24"/>
          <w:u w:val="single"/>
        </w:rPr>
      </w:pPr>
      <w:r w:rsidRPr="00F665BB">
        <w:rPr>
          <w:rFonts w:ascii="Times New Roman" w:hAnsi="Times New Roman" w:cs="Times New Roman"/>
          <w:b/>
          <w:bCs/>
          <w:sz w:val="24"/>
          <w:szCs w:val="24"/>
          <w:u w:val="single"/>
        </w:rPr>
        <w:t>IVSC Žilina</w:t>
      </w:r>
    </w:p>
    <w:p w:rsidR="00F665BB" w:rsidP="00F665BB">
      <w:pPr>
        <w:spacing w:line="240" w:lineRule="auto"/>
        <w:rPr>
          <w:rFonts w:ascii="Times New Roman" w:hAnsi="Times New Roman" w:cs="Times New Roman"/>
          <w:bCs/>
          <w:sz w:val="24"/>
          <w:szCs w:val="24"/>
        </w:rPr>
      </w:pPr>
    </w:p>
    <w:p w:rsidR="00F665BB" w:rsidRPr="00F665BB" w:rsidP="00F665BB">
      <w:pPr>
        <w:spacing w:line="240" w:lineRule="auto"/>
        <w:rPr>
          <w:rFonts w:ascii="Times New Roman" w:hAnsi="Times New Roman" w:cs="Times New Roman"/>
          <w:b/>
          <w:bCs/>
          <w:sz w:val="24"/>
          <w:szCs w:val="24"/>
        </w:rPr>
      </w:pPr>
      <w:r w:rsidRPr="00F665BB">
        <w:rPr>
          <w:rFonts w:ascii="Times New Roman" w:hAnsi="Times New Roman" w:cs="Times New Roman"/>
          <w:b/>
          <w:bCs/>
          <w:sz w:val="24"/>
          <w:szCs w:val="24"/>
        </w:rPr>
        <w:t>Ukončené stavby</w:t>
      </w:r>
    </w:p>
    <w:p w:rsidR="00F665BB" w:rsidRPr="001E3DDA" w:rsidP="00F665BB">
      <w:pPr>
        <w:rPr>
          <w:rFonts w:ascii="Times New Roman" w:hAnsi="Times New Roman" w:cs="Times New Roman"/>
          <w:b/>
          <w:u w:val="single"/>
        </w:rPr>
      </w:pPr>
    </w:p>
    <w:p w:rsidR="00F665BB" w:rsidRPr="00F665BB" w:rsidP="00F665BB">
      <w:pPr>
        <w:tabs>
          <w:tab w:val="left" w:pos="360"/>
        </w:tabs>
        <w:spacing w:line="240" w:lineRule="auto"/>
        <w:rPr>
          <w:rFonts w:ascii="Times New Roman" w:hAnsi="Times New Roman" w:cs="Times New Roman"/>
          <w:sz w:val="24"/>
          <w:szCs w:val="24"/>
        </w:rPr>
      </w:pPr>
      <w:r w:rsidRPr="00F665BB">
        <w:rPr>
          <w:rFonts w:ascii="Times New Roman" w:hAnsi="Times New Roman" w:cs="Times New Roman"/>
          <w:b/>
          <w:sz w:val="24"/>
          <w:szCs w:val="24"/>
        </w:rPr>
        <w:tab/>
      </w:r>
      <w:r w:rsidRPr="00F665BB">
        <w:rPr>
          <w:rFonts w:ascii="Times New Roman" w:hAnsi="Times New Roman" w:cs="Times New Roman"/>
          <w:b/>
          <w:sz w:val="24"/>
          <w:szCs w:val="24"/>
        </w:rPr>
        <w:t>I/</w:t>
      </w:r>
      <w:r w:rsidR="00410CCE">
        <w:rPr>
          <w:rFonts w:ascii="Times New Roman" w:hAnsi="Times New Roman" w:cs="Times New Roman"/>
          <w:b/>
          <w:sz w:val="24"/>
          <w:szCs w:val="24"/>
        </w:rPr>
        <w:t xml:space="preserve">59 Dlhá nad </w:t>
      </w:r>
      <w:r w:rsidRPr="00F665BB">
        <w:rPr>
          <w:rFonts w:ascii="Times New Roman" w:hAnsi="Times New Roman" w:cs="Times New Roman"/>
          <w:b/>
          <w:sz w:val="24"/>
          <w:szCs w:val="24"/>
        </w:rPr>
        <w:t xml:space="preserve">Oravou – most 087 </w:t>
      </w:r>
    </w:p>
    <w:p w:rsidR="00F665BB" w:rsidRPr="00F665BB" w:rsidP="00410CCE">
      <w:pPr>
        <w:spacing w:line="240" w:lineRule="auto"/>
        <w:ind w:left="360"/>
        <w:rPr>
          <w:rFonts w:ascii="Times New Roman" w:hAnsi="Times New Roman" w:cs="Times New Roman"/>
          <w:sz w:val="24"/>
          <w:szCs w:val="24"/>
        </w:rPr>
      </w:pPr>
      <w:r w:rsidR="00410CCE">
        <w:rPr>
          <w:rFonts w:ascii="Times New Roman" w:hAnsi="Times New Roman" w:cs="Times New Roman"/>
          <w:sz w:val="24"/>
          <w:szCs w:val="24"/>
        </w:rPr>
        <w:t>V</w:t>
      </w:r>
      <w:r w:rsidRPr="00F665BB">
        <w:rPr>
          <w:rFonts w:ascii="Times New Roman" w:hAnsi="Times New Roman" w:cs="Times New Roman"/>
          <w:sz w:val="24"/>
          <w:szCs w:val="24"/>
        </w:rPr>
        <w:t> roku 2007 bolo preinvestovaných 7 600 226,40 Sk, z čoho bolo uhradených 7 586 660,40 Sk za stavebné práce.</w:t>
      </w:r>
    </w:p>
    <w:p w:rsidR="00F665BB" w:rsidRPr="00F665BB" w:rsidP="00F665BB">
      <w:pPr>
        <w:tabs>
          <w:tab w:val="left" w:pos="360"/>
        </w:tabs>
        <w:spacing w:line="240" w:lineRule="auto"/>
        <w:ind w:left="1080" w:hanging="1080"/>
        <w:rPr>
          <w:rFonts w:ascii="Times New Roman" w:hAnsi="Times New Roman" w:cs="Times New Roman"/>
          <w:b/>
          <w:sz w:val="24"/>
          <w:szCs w:val="24"/>
        </w:rPr>
      </w:pPr>
      <w:r w:rsidRPr="00F665BB">
        <w:rPr>
          <w:rFonts w:ascii="Times New Roman" w:hAnsi="Times New Roman" w:cs="Times New Roman"/>
          <w:b/>
          <w:sz w:val="24"/>
          <w:szCs w:val="24"/>
        </w:rPr>
        <w:tab/>
        <w:t>I/65 Mošovce – mosty 084, 085</w:t>
        <w:tab/>
      </w:r>
    </w:p>
    <w:p w:rsidR="00F665BB" w:rsidRPr="00F665BB" w:rsidP="00410CCE">
      <w:pPr>
        <w:spacing w:line="240" w:lineRule="auto"/>
        <w:ind w:left="360"/>
        <w:rPr>
          <w:rFonts w:ascii="Times New Roman" w:hAnsi="Times New Roman" w:cs="Times New Roman"/>
          <w:sz w:val="24"/>
          <w:szCs w:val="24"/>
        </w:rPr>
      </w:pPr>
      <w:r w:rsidR="00410CCE">
        <w:rPr>
          <w:rFonts w:ascii="Times New Roman" w:hAnsi="Times New Roman" w:cs="Times New Roman"/>
          <w:sz w:val="24"/>
          <w:szCs w:val="24"/>
        </w:rPr>
        <w:t xml:space="preserve">Preinvestovaných bolo </w:t>
      </w:r>
      <w:r w:rsidRPr="00F665BB">
        <w:rPr>
          <w:rFonts w:ascii="Times New Roman" w:hAnsi="Times New Roman" w:cs="Times New Roman"/>
          <w:sz w:val="24"/>
          <w:szCs w:val="24"/>
        </w:rPr>
        <w:t>1</w:t>
      </w:r>
      <w:r w:rsidR="00410CCE">
        <w:rPr>
          <w:rFonts w:ascii="Times New Roman" w:hAnsi="Times New Roman" w:cs="Times New Roman"/>
          <w:sz w:val="24"/>
          <w:szCs w:val="24"/>
        </w:rPr>
        <w:t xml:space="preserve">0 553 218,55 Sk, z čoho za stavebné práce </w:t>
      </w:r>
      <w:r w:rsidRPr="00F665BB">
        <w:rPr>
          <w:rFonts w:ascii="Times New Roman" w:hAnsi="Times New Roman" w:cs="Times New Roman"/>
          <w:sz w:val="24"/>
          <w:szCs w:val="24"/>
        </w:rPr>
        <w:t>10 481 399,55 Sk.</w:t>
      </w:r>
    </w:p>
    <w:p w:rsidR="00F665BB" w:rsidRPr="00F665BB" w:rsidP="00410CCE">
      <w:pPr>
        <w:tabs>
          <w:tab w:val="left" w:pos="360"/>
        </w:tabs>
        <w:spacing w:line="240" w:lineRule="auto"/>
        <w:ind w:left="360"/>
        <w:rPr>
          <w:rFonts w:ascii="Times New Roman" w:hAnsi="Times New Roman" w:cs="Times New Roman"/>
          <w:b/>
          <w:sz w:val="24"/>
          <w:szCs w:val="24"/>
        </w:rPr>
      </w:pPr>
      <w:r w:rsidRPr="00F665BB">
        <w:rPr>
          <w:rFonts w:ascii="Times New Roman" w:hAnsi="Times New Roman" w:cs="Times New Roman"/>
          <w:b/>
          <w:sz w:val="24"/>
          <w:szCs w:val="24"/>
        </w:rPr>
        <w:t>I/64 Šuja – most 094</w:t>
      </w:r>
    </w:p>
    <w:p w:rsidR="00F665BB" w:rsidRPr="00F665BB" w:rsidP="00410CCE">
      <w:pPr>
        <w:tabs>
          <w:tab w:val="left" w:pos="360"/>
        </w:tabs>
        <w:spacing w:line="240" w:lineRule="auto"/>
        <w:ind w:left="360"/>
        <w:rPr>
          <w:rFonts w:ascii="Times New Roman" w:hAnsi="Times New Roman" w:cs="Times New Roman"/>
          <w:sz w:val="24"/>
          <w:szCs w:val="24"/>
        </w:rPr>
      </w:pPr>
      <w:r w:rsidRPr="00F665BB">
        <w:rPr>
          <w:rFonts w:ascii="Times New Roman" w:hAnsi="Times New Roman" w:cs="Times New Roman"/>
          <w:sz w:val="24"/>
          <w:szCs w:val="24"/>
        </w:rPr>
        <w:t>Platby za skutočne zrealizované stavebné práce dosiahli úroveň 6 808 937,24 Sk.</w:t>
      </w:r>
    </w:p>
    <w:p w:rsidR="00F665BB" w:rsidRPr="00F665BB" w:rsidP="00F665BB">
      <w:pPr>
        <w:tabs>
          <w:tab w:val="left" w:pos="360"/>
        </w:tabs>
        <w:spacing w:line="240" w:lineRule="auto"/>
        <w:rPr>
          <w:rFonts w:ascii="Times New Roman" w:hAnsi="Times New Roman" w:cs="Times New Roman"/>
          <w:b/>
          <w:sz w:val="24"/>
          <w:szCs w:val="24"/>
        </w:rPr>
      </w:pPr>
      <w:r w:rsidR="00410CCE">
        <w:rPr>
          <w:rFonts w:ascii="Times New Roman" w:hAnsi="Times New Roman" w:cs="Times New Roman"/>
          <w:b/>
          <w:sz w:val="24"/>
          <w:szCs w:val="24"/>
        </w:rPr>
        <w:tab/>
        <w:t xml:space="preserve">I/78 Príslop – </w:t>
      </w:r>
      <w:r w:rsidRPr="00F665BB">
        <w:rPr>
          <w:rFonts w:ascii="Times New Roman" w:hAnsi="Times New Roman" w:cs="Times New Roman"/>
          <w:b/>
          <w:sz w:val="24"/>
          <w:szCs w:val="24"/>
        </w:rPr>
        <w:t>zosuv I. etapa</w:t>
      </w:r>
    </w:p>
    <w:p w:rsidR="008E3BE5" w:rsidP="00410CCE">
      <w:pPr>
        <w:tabs>
          <w:tab w:val="left" w:pos="360"/>
        </w:tabs>
        <w:spacing w:line="240" w:lineRule="auto"/>
        <w:ind w:left="360"/>
        <w:rPr>
          <w:rFonts w:ascii="Times New Roman" w:hAnsi="Times New Roman" w:cs="Times New Roman"/>
          <w:sz w:val="24"/>
          <w:szCs w:val="24"/>
        </w:rPr>
      </w:pPr>
      <w:r w:rsidR="00410CCE">
        <w:rPr>
          <w:rFonts w:ascii="Times New Roman" w:hAnsi="Times New Roman" w:cs="Times New Roman"/>
          <w:sz w:val="24"/>
          <w:szCs w:val="24"/>
        </w:rPr>
        <w:t xml:space="preserve">Čerpaných bolo 18 495 893,49 Sk, z toho za stavebné náklady </w:t>
      </w:r>
      <w:r w:rsidRPr="00F665BB" w:rsidR="00F665BB">
        <w:rPr>
          <w:rFonts w:ascii="Times New Roman" w:hAnsi="Times New Roman" w:cs="Times New Roman"/>
          <w:sz w:val="24"/>
          <w:szCs w:val="24"/>
        </w:rPr>
        <w:t>18 430 382,49 Sk.</w:t>
      </w:r>
    </w:p>
    <w:p w:rsidR="00F665BB" w:rsidP="00410CCE">
      <w:pPr>
        <w:tabs>
          <w:tab w:val="left" w:pos="360"/>
        </w:tabs>
        <w:spacing w:line="240" w:lineRule="auto"/>
        <w:ind w:left="360"/>
        <w:rPr>
          <w:rFonts w:ascii="Times New Roman" w:hAnsi="Times New Roman" w:cs="Times New Roman"/>
          <w:b/>
          <w:sz w:val="24"/>
          <w:szCs w:val="24"/>
        </w:rPr>
      </w:pPr>
      <w:r w:rsidR="008E3BE5">
        <w:rPr>
          <w:rFonts w:ascii="Times New Roman" w:hAnsi="Times New Roman" w:cs="Times New Roman"/>
          <w:b/>
          <w:sz w:val="24"/>
          <w:szCs w:val="24"/>
        </w:rPr>
        <w:t xml:space="preserve">I/50 Bánovce nad Bebravou – zosuv </w:t>
      </w:r>
      <w:r w:rsidRPr="00F665BB">
        <w:rPr>
          <w:rFonts w:ascii="Times New Roman" w:hAnsi="Times New Roman" w:cs="Times New Roman"/>
          <w:b/>
          <w:sz w:val="24"/>
          <w:szCs w:val="24"/>
        </w:rPr>
        <w:tab/>
      </w:r>
    </w:p>
    <w:p w:rsidR="008E3BE5" w:rsidRPr="008E3BE5" w:rsidP="008E3BE5">
      <w:pPr>
        <w:spacing w:line="240" w:lineRule="auto"/>
        <w:ind w:left="360"/>
        <w:rPr>
          <w:rFonts w:ascii="Times New Roman" w:hAnsi="Times New Roman" w:cs="Times New Roman"/>
          <w:sz w:val="24"/>
          <w:szCs w:val="24"/>
        </w:rPr>
      </w:pPr>
      <w:r>
        <w:rPr>
          <w:rFonts w:ascii="Times New Roman" w:hAnsi="Times New Roman" w:cs="Times New Roman"/>
          <w:sz w:val="24"/>
          <w:szCs w:val="24"/>
        </w:rPr>
        <w:t xml:space="preserve">Preinvestovaných bolo 3 653 016,50 Sk, z čoho za stavebné práce 3 647 744,00 Sk a výkupy pozemkov vo výške 5 272,50 Sk. </w:t>
      </w:r>
    </w:p>
    <w:p w:rsidR="00F665BB" w:rsidRPr="00F665BB" w:rsidP="00410CCE">
      <w:pPr>
        <w:tabs>
          <w:tab w:val="left" w:pos="360"/>
        </w:tabs>
        <w:spacing w:line="240" w:lineRule="auto"/>
        <w:ind w:left="1080" w:hanging="720"/>
        <w:rPr>
          <w:rFonts w:ascii="Times New Roman" w:hAnsi="Times New Roman" w:cs="Times New Roman"/>
          <w:b/>
          <w:sz w:val="24"/>
          <w:szCs w:val="24"/>
        </w:rPr>
      </w:pPr>
      <w:r w:rsidRPr="00F665BB">
        <w:rPr>
          <w:rFonts w:ascii="Times New Roman" w:hAnsi="Times New Roman" w:cs="Times New Roman"/>
          <w:b/>
          <w:sz w:val="24"/>
          <w:szCs w:val="24"/>
        </w:rPr>
        <w:t>I/18 Sučany – križovatka</w:t>
      </w:r>
    </w:p>
    <w:p w:rsidR="00F665BB" w:rsidP="00410CCE">
      <w:pPr>
        <w:tabs>
          <w:tab w:val="left" w:pos="360"/>
        </w:tabs>
        <w:spacing w:line="240" w:lineRule="auto"/>
        <w:ind w:left="360" w:hanging="720"/>
        <w:rPr>
          <w:rFonts w:ascii="Times New Roman" w:hAnsi="Times New Roman" w:cs="Times New Roman"/>
          <w:sz w:val="24"/>
          <w:szCs w:val="24"/>
        </w:rPr>
      </w:pPr>
      <w:r w:rsidR="00410CCE">
        <w:rPr>
          <w:rFonts w:ascii="Times New Roman" w:hAnsi="Times New Roman" w:cs="Times New Roman"/>
          <w:sz w:val="24"/>
          <w:szCs w:val="24"/>
        </w:rPr>
        <w:tab/>
      </w:r>
      <w:r w:rsidRPr="00F665BB">
        <w:rPr>
          <w:rFonts w:ascii="Times New Roman" w:hAnsi="Times New Roman" w:cs="Times New Roman"/>
          <w:sz w:val="24"/>
          <w:szCs w:val="24"/>
        </w:rPr>
        <w:t>V roku 2007 boli preinvest</w:t>
      </w:r>
      <w:r w:rsidR="00410CCE">
        <w:rPr>
          <w:rFonts w:ascii="Times New Roman" w:hAnsi="Times New Roman" w:cs="Times New Roman"/>
          <w:sz w:val="24"/>
          <w:szCs w:val="24"/>
        </w:rPr>
        <w:t xml:space="preserve">ované celkové náklady vo výške 20 728 071,80 Sk, </w:t>
      </w:r>
      <w:r w:rsidRPr="00F665BB">
        <w:rPr>
          <w:rFonts w:ascii="Times New Roman" w:hAnsi="Times New Roman" w:cs="Times New Roman"/>
          <w:sz w:val="24"/>
          <w:szCs w:val="24"/>
        </w:rPr>
        <w:t>z čoh</w:t>
      </w:r>
      <w:r w:rsidR="00410CCE">
        <w:rPr>
          <w:rFonts w:ascii="Times New Roman" w:hAnsi="Times New Roman" w:cs="Times New Roman"/>
          <w:sz w:val="24"/>
          <w:szCs w:val="24"/>
        </w:rPr>
        <w:t xml:space="preserve">o stavebné práce tvorili </w:t>
      </w:r>
      <w:r w:rsidRPr="00F665BB">
        <w:rPr>
          <w:rFonts w:ascii="Times New Roman" w:hAnsi="Times New Roman" w:cs="Times New Roman"/>
          <w:sz w:val="24"/>
          <w:szCs w:val="24"/>
        </w:rPr>
        <w:t>20 600 540,80</w:t>
      </w:r>
      <w:r w:rsidRPr="00F665BB">
        <w:rPr>
          <w:rFonts w:ascii="Times New Roman" w:hAnsi="Times New Roman" w:cs="Times New Roman"/>
          <w:sz w:val="24"/>
          <w:szCs w:val="24"/>
        </w:rPr>
        <w:t xml:space="preserve"> Sk.</w:t>
      </w:r>
    </w:p>
    <w:p w:rsidR="00410CCE" w:rsidRPr="00410CCE" w:rsidP="00410CCE">
      <w:pPr>
        <w:tabs>
          <w:tab w:val="left" w:pos="360"/>
        </w:tabs>
        <w:spacing w:line="240" w:lineRule="auto"/>
        <w:ind w:left="360" w:hanging="720"/>
        <w:rPr>
          <w:rFonts w:ascii="Times New Roman" w:hAnsi="Times New Roman" w:cs="Times New Roman"/>
          <w:sz w:val="24"/>
          <w:szCs w:val="24"/>
        </w:rPr>
      </w:pPr>
    </w:p>
    <w:p w:rsidR="00410CCE" w:rsidP="00410CCE">
      <w:pPr>
        <w:tabs>
          <w:tab w:val="left" w:pos="360"/>
        </w:tabs>
        <w:spacing w:line="240" w:lineRule="auto"/>
        <w:ind w:hanging="720"/>
        <w:rPr>
          <w:rFonts w:ascii="Times New Roman" w:hAnsi="Times New Roman" w:cs="Times New Roman"/>
          <w:b/>
          <w:sz w:val="24"/>
          <w:szCs w:val="24"/>
        </w:rPr>
      </w:pPr>
      <w:r>
        <w:rPr>
          <w:rFonts w:ascii="Times New Roman" w:hAnsi="Times New Roman" w:cs="Times New Roman"/>
          <w:b/>
          <w:sz w:val="24"/>
          <w:szCs w:val="24"/>
        </w:rPr>
        <w:tab/>
        <w:t xml:space="preserve">Nedokončené stavby: </w:t>
        <w:tab/>
      </w:r>
    </w:p>
    <w:p w:rsidR="00410CCE" w:rsidP="00410CCE">
      <w:pPr>
        <w:tabs>
          <w:tab w:val="left" w:pos="360"/>
        </w:tabs>
        <w:spacing w:line="240" w:lineRule="auto"/>
        <w:ind w:hanging="720"/>
        <w:rPr>
          <w:rFonts w:ascii="Times New Roman" w:hAnsi="Times New Roman" w:cs="Times New Roman"/>
          <w:b/>
          <w:sz w:val="24"/>
          <w:szCs w:val="24"/>
        </w:rPr>
      </w:pPr>
    </w:p>
    <w:p w:rsidR="00F665BB" w:rsidRPr="00F665BB" w:rsidP="00410CCE">
      <w:pPr>
        <w:tabs>
          <w:tab w:val="left" w:pos="360"/>
        </w:tabs>
        <w:spacing w:line="240" w:lineRule="auto"/>
        <w:ind w:hanging="720"/>
        <w:rPr>
          <w:rFonts w:ascii="Times New Roman" w:hAnsi="Times New Roman" w:cs="Times New Roman"/>
          <w:b/>
          <w:sz w:val="24"/>
          <w:szCs w:val="24"/>
        </w:rPr>
      </w:pPr>
      <w:r w:rsidR="00410CCE">
        <w:rPr>
          <w:rFonts w:ascii="Times New Roman" w:hAnsi="Times New Roman" w:cs="Times New Roman"/>
          <w:b/>
          <w:sz w:val="24"/>
          <w:szCs w:val="24"/>
        </w:rPr>
        <w:tab/>
        <w:tab/>
      </w:r>
      <w:r w:rsidRPr="00F665BB">
        <w:rPr>
          <w:rFonts w:ascii="Times New Roman" w:hAnsi="Times New Roman" w:cs="Times New Roman"/>
          <w:b/>
          <w:sz w:val="24"/>
          <w:szCs w:val="24"/>
        </w:rPr>
        <w:t>I/59 Ružomberok – most 062</w:t>
      </w:r>
    </w:p>
    <w:p w:rsidR="00F665BB" w:rsidRPr="00F665BB" w:rsidP="00410CCE">
      <w:pPr>
        <w:tabs>
          <w:tab w:val="left" w:pos="360"/>
        </w:tabs>
        <w:spacing w:line="240" w:lineRule="auto"/>
        <w:ind w:left="360" w:hanging="720"/>
        <w:rPr>
          <w:rFonts w:ascii="Times New Roman" w:hAnsi="Times New Roman" w:cs="Times New Roman"/>
          <w:sz w:val="24"/>
          <w:szCs w:val="24"/>
        </w:rPr>
      </w:pPr>
      <w:r w:rsidR="00410CCE">
        <w:rPr>
          <w:rFonts w:ascii="Times New Roman" w:hAnsi="Times New Roman" w:cs="Times New Roman"/>
          <w:sz w:val="24"/>
          <w:szCs w:val="24"/>
        </w:rPr>
        <w:tab/>
      </w:r>
      <w:r w:rsidRPr="00F665BB">
        <w:rPr>
          <w:rFonts w:ascii="Times New Roman" w:hAnsi="Times New Roman" w:cs="Times New Roman"/>
          <w:sz w:val="24"/>
          <w:szCs w:val="24"/>
        </w:rPr>
        <w:t>Na stavbe bolo preinvestovaných 8 584 667,67 Sk. Stavebné práce z dôvodu neskoršieho odovzdania staveniska boli vyfakturované na úrovni 7 121 511,17 Sk.</w:t>
      </w:r>
    </w:p>
    <w:p w:rsidR="00F665BB" w:rsidRPr="00410CCE" w:rsidP="00410CCE">
      <w:pPr>
        <w:tabs>
          <w:tab w:val="left" w:pos="360"/>
        </w:tabs>
        <w:spacing w:line="240" w:lineRule="auto"/>
        <w:rPr>
          <w:rFonts w:ascii="Times New Roman" w:hAnsi="Times New Roman" w:cs="Times New Roman"/>
          <w:sz w:val="24"/>
          <w:szCs w:val="24"/>
        </w:rPr>
      </w:pPr>
      <w:r w:rsidRPr="00F665BB">
        <w:rPr>
          <w:rFonts w:ascii="Times New Roman" w:hAnsi="Times New Roman" w:cs="Times New Roman"/>
          <w:b/>
          <w:sz w:val="24"/>
          <w:szCs w:val="24"/>
        </w:rPr>
        <w:tab/>
      </w:r>
      <w:r w:rsidR="004E0D2D">
        <w:rPr>
          <w:rFonts w:ascii="Times New Roman" w:hAnsi="Times New Roman" w:cs="Times New Roman"/>
          <w:b/>
          <w:sz w:val="24"/>
          <w:szCs w:val="24"/>
        </w:rPr>
        <w:t xml:space="preserve">Obchvat Prievidze, </w:t>
      </w:r>
      <w:r w:rsidRPr="00F665BB">
        <w:rPr>
          <w:rFonts w:ascii="Times New Roman" w:hAnsi="Times New Roman" w:cs="Times New Roman"/>
          <w:b/>
          <w:sz w:val="24"/>
          <w:szCs w:val="24"/>
        </w:rPr>
        <w:t>I. etapa, 1. stavba – M</w:t>
      </w:r>
      <w:r w:rsidRPr="00F665BB">
        <w:rPr>
          <w:rFonts w:ascii="Times New Roman" w:hAnsi="Times New Roman" w:cs="Times New Roman"/>
          <w:b/>
          <w:sz w:val="24"/>
          <w:szCs w:val="24"/>
        </w:rPr>
        <w:t>Z v trase budúcej I/64</w:t>
      </w:r>
    </w:p>
    <w:p w:rsidR="00F665BB" w:rsidRPr="00F665BB" w:rsidP="004E0D2D">
      <w:pPr>
        <w:tabs>
          <w:tab w:val="left" w:pos="360"/>
        </w:tabs>
        <w:spacing w:line="240" w:lineRule="auto"/>
        <w:ind w:left="360"/>
        <w:rPr>
          <w:rFonts w:ascii="Times New Roman" w:hAnsi="Times New Roman" w:cs="Times New Roman"/>
          <w:sz w:val="24"/>
          <w:szCs w:val="24"/>
        </w:rPr>
      </w:pPr>
      <w:r w:rsidRPr="00F665BB">
        <w:rPr>
          <w:rFonts w:ascii="Times New Roman" w:hAnsi="Times New Roman" w:cs="Times New Roman"/>
          <w:sz w:val="24"/>
          <w:szCs w:val="24"/>
        </w:rPr>
        <w:t>Stavba je spolufinancovaná s prostriedkov ERDF. Z prostriedkov SSC bolo uhradených 376 850,30 Sk na výkupy a projekty. Priebeh stavebných prác umožnil preinvestovanie neoprávnených nákladov stavebných prác vo výške 2 867 665,36 Sk.</w:t>
      </w:r>
    </w:p>
    <w:p w:rsidR="00F665BB" w:rsidRPr="00F665BB" w:rsidP="00F665BB">
      <w:pPr>
        <w:tabs>
          <w:tab w:val="left" w:pos="360"/>
        </w:tabs>
        <w:spacing w:line="240" w:lineRule="auto"/>
        <w:rPr>
          <w:rFonts w:ascii="Times New Roman" w:hAnsi="Times New Roman" w:cs="Times New Roman"/>
          <w:b/>
          <w:sz w:val="24"/>
          <w:szCs w:val="24"/>
        </w:rPr>
      </w:pPr>
      <w:r w:rsidRPr="00F665BB">
        <w:rPr>
          <w:rFonts w:ascii="Times New Roman" w:hAnsi="Times New Roman" w:cs="Times New Roman"/>
          <w:b/>
          <w:sz w:val="24"/>
          <w:szCs w:val="24"/>
        </w:rPr>
        <w:tab/>
        <w:t>I/12 Čierne, bodová závada</w:t>
      </w:r>
    </w:p>
    <w:p w:rsidR="00F665BB" w:rsidRPr="00F665BB" w:rsidP="004E0D2D">
      <w:pPr>
        <w:tabs>
          <w:tab w:val="left" w:pos="360"/>
        </w:tabs>
        <w:spacing w:line="240" w:lineRule="auto"/>
        <w:ind w:left="360"/>
        <w:rPr>
          <w:rFonts w:ascii="Times New Roman" w:hAnsi="Times New Roman" w:cs="Times New Roman"/>
          <w:sz w:val="24"/>
          <w:szCs w:val="24"/>
        </w:rPr>
      </w:pPr>
      <w:r w:rsidRPr="00F665BB">
        <w:rPr>
          <w:rFonts w:ascii="Times New Roman" w:hAnsi="Times New Roman" w:cs="Times New Roman"/>
          <w:sz w:val="24"/>
          <w:szCs w:val="24"/>
        </w:rPr>
        <w:t>Na stavbe boli  roku 2007 financované práce</w:t>
      </w:r>
      <w:r w:rsidR="001B74FC">
        <w:rPr>
          <w:rFonts w:ascii="Times New Roman" w:hAnsi="Times New Roman" w:cs="Times New Roman"/>
          <w:sz w:val="24"/>
          <w:szCs w:val="24"/>
        </w:rPr>
        <w:t xml:space="preserve"> vo výške 25 182 504,76 Sk, z toho </w:t>
      </w:r>
      <w:r w:rsidRPr="00F665BB">
        <w:rPr>
          <w:rFonts w:ascii="Times New Roman" w:hAnsi="Times New Roman" w:cs="Times New Roman"/>
          <w:sz w:val="24"/>
          <w:szCs w:val="24"/>
        </w:rPr>
        <w:t>stavebné práce vo výške 24 113 576,31 Sk</w:t>
      </w:r>
      <w:r w:rsidR="004E0D2D">
        <w:rPr>
          <w:rFonts w:ascii="Times New Roman" w:hAnsi="Times New Roman" w:cs="Times New Roman"/>
          <w:sz w:val="24"/>
          <w:szCs w:val="24"/>
        </w:rPr>
        <w:t xml:space="preserve">. </w:t>
      </w:r>
    </w:p>
    <w:p w:rsidR="00F665BB" w:rsidRPr="00F665BB" w:rsidP="00F665BB">
      <w:pPr>
        <w:spacing w:line="240" w:lineRule="auto"/>
        <w:rPr>
          <w:rFonts w:ascii="Times New Roman" w:hAnsi="Times New Roman" w:cs="Times New Roman"/>
          <w:b/>
          <w:sz w:val="24"/>
          <w:szCs w:val="24"/>
        </w:rPr>
      </w:pPr>
    </w:p>
    <w:p w:rsidR="00F665BB" w:rsidRPr="001B74FC" w:rsidP="001B74FC">
      <w:pPr>
        <w:tabs>
          <w:tab w:val="left" w:pos="360"/>
        </w:tabs>
        <w:spacing w:line="240" w:lineRule="auto"/>
        <w:rPr>
          <w:rFonts w:ascii="Times New Roman" w:hAnsi="Times New Roman" w:cs="Times New Roman"/>
          <w:bCs/>
          <w:sz w:val="24"/>
          <w:szCs w:val="24"/>
        </w:rPr>
      </w:pPr>
      <w:r w:rsidRPr="001B74FC">
        <w:rPr>
          <w:rFonts w:ascii="Times New Roman" w:hAnsi="Times New Roman" w:cs="Times New Roman"/>
          <w:bCs/>
          <w:sz w:val="24"/>
          <w:szCs w:val="24"/>
        </w:rPr>
        <w:t>Za vypracovanie technickej štúdie a zámeru boli reali</w:t>
      </w:r>
      <w:r w:rsidR="001B74FC">
        <w:rPr>
          <w:rFonts w:ascii="Times New Roman" w:hAnsi="Times New Roman" w:cs="Times New Roman"/>
          <w:bCs/>
          <w:sz w:val="24"/>
          <w:szCs w:val="24"/>
        </w:rPr>
        <w:t>zované platby pre tieto stavby:</w:t>
      </w:r>
    </w:p>
    <w:p w:rsidR="00F665BB" w:rsidRPr="001B74FC" w:rsidP="00F665BB">
      <w:pPr>
        <w:spacing w:line="240" w:lineRule="auto"/>
        <w:ind w:firstLine="360"/>
        <w:rPr>
          <w:rFonts w:ascii="Times New Roman" w:hAnsi="Times New Roman" w:cs="Times New Roman"/>
          <w:sz w:val="24"/>
          <w:szCs w:val="24"/>
        </w:rPr>
      </w:pPr>
      <w:r w:rsidRPr="001B74FC">
        <w:rPr>
          <w:rFonts w:ascii="Times New Roman" w:hAnsi="Times New Roman" w:cs="Times New Roman"/>
          <w:sz w:val="24"/>
          <w:szCs w:val="24"/>
        </w:rPr>
        <w:t xml:space="preserve">I/64 Hranica krajov – </w:t>
      </w:r>
      <w:r w:rsidRPr="001B74FC">
        <w:rPr>
          <w:rFonts w:ascii="Times New Roman" w:hAnsi="Times New Roman" w:cs="Times New Roman"/>
          <w:sz w:val="24"/>
          <w:szCs w:val="24"/>
        </w:rPr>
        <w:t xml:space="preserve">Prievidza </w:t>
      </w:r>
      <w:r w:rsidR="001B74FC">
        <w:rPr>
          <w:rFonts w:ascii="Times New Roman" w:hAnsi="Times New Roman" w:cs="Times New Roman"/>
          <w:sz w:val="24"/>
          <w:szCs w:val="24"/>
        </w:rPr>
        <w:t xml:space="preserve">– </w:t>
      </w:r>
      <w:r w:rsidRPr="001B74FC">
        <w:rPr>
          <w:rFonts w:ascii="Times New Roman" w:hAnsi="Times New Roman" w:cs="Times New Roman"/>
          <w:sz w:val="24"/>
          <w:szCs w:val="24"/>
        </w:rPr>
        <w:t>vo výške 401 206 Sk</w:t>
      </w:r>
    </w:p>
    <w:p w:rsidR="00301E2E" w:rsidP="00F665BB">
      <w:pPr>
        <w:spacing w:line="240" w:lineRule="auto"/>
        <w:rPr>
          <w:rFonts w:ascii="Times New Roman" w:hAnsi="Times New Roman" w:cs="Times New Roman"/>
          <w:sz w:val="24"/>
          <w:szCs w:val="24"/>
        </w:rPr>
      </w:pPr>
    </w:p>
    <w:p w:rsidR="00F665BB" w:rsidRPr="001B74FC" w:rsidP="009E0911">
      <w:pPr>
        <w:spacing w:line="240" w:lineRule="auto"/>
        <w:rPr>
          <w:rFonts w:ascii="Times New Roman" w:hAnsi="Times New Roman" w:cs="Times New Roman"/>
          <w:sz w:val="24"/>
          <w:szCs w:val="24"/>
        </w:rPr>
      </w:pPr>
      <w:r w:rsidR="009E0911">
        <w:rPr>
          <w:rFonts w:ascii="Times New Roman" w:hAnsi="Times New Roman" w:cs="Times New Roman"/>
          <w:sz w:val="24"/>
          <w:szCs w:val="24"/>
        </w:rPr>
        <w:t xml:space="preserve">Za </w:t>
      </w:r>
      <w:r w:rsidRPr="00D732C7" w:rsidR="009E0911">
        <w:rPr>
          <w:rFonts w:ascii="Times New Roman" w:hAnsi="Times New Roman" w:cs="Times New Roman"/>
          <w:sz w:val="24"/>
          <w:szCs w:val="24"/>
        </w:rPr>
        <w:t>vypracovanie dokum</w:t>
      </w:r>
      <w:r w:rsidR="009E0911">
        <w:rPr>
          <w:rFonts w:ascii="Times New Roman" w:hAnsi="Times New Roman" w:cs="Times New Roman"/>
          <w:sz w:val="24"/>
          <w:szCs w:val="24"/>
        </w:rPr>
        <w:t xml:space="preserve">entácie na územné rozhodnutie, stavebného zámeru, </w:t>
      </w:r>
      <w:r w:rsidRPr="00D732C7" w:rsidR="009E0911">
        <w:rPr>
          <w:rFonts w:ascii="Times New Roman" w:hAnsi="Times New Roman" w:cs="Times New Roman"/>
          <w:sz w:val="24"/>
          <w:szCs w:val="24"/>
        </w:rPr>
        <w:t>stavebné</w:t>
      </w:r>
      <w:r w:rsidR="009E0911">
        <w:rPr>
          <w:rFonts w:ascii="Times New Roman" w:hAnsi="Times New Roman" w:cs="Times New Roman"/>
          <w:sz w:val="24"/>
          <w:szCs w:val="24"/>
        </w:rPr>
        <w:t>ho povolenia</w:t>
      </w:r>
      <w:r w:rsidRPr="00D732C7" w:rsidR="009E0911">
        <w:rPr>
          <w:rFonts w:ascii="Times New Roman" w:hAnsi="Times New Roman" w:cs="Times New Roman"/>
          <w:sz w:val="24"/>
          <w:szCs w:val="24"/>
        </w:rPr>
        <w:t xml:space="preserve"> a ponuku boli realizované platby pre tieto stavby:  </w:t>
      </w:r>
      <w:r w:rsidR="001B74FC">
        <w:rPr>
          <w:rFonts w:ascii="Times New Roman" w:hAnsi="Times New Roman" w:cs="Times New Roman"/>
          <w:sz w:val="24"/>
          <w:szCs w:val="24"/>
        </w:rPr>
        <w:t xml:space="preserve"> </w:t>
      </w:r>
    </w:p>
    <w:p w:rsidR="00F665BB" w:rsidRPr="001B74FC" w:rsidP="00F665BB">
      <w:pPr>
        <w:spacing w:line="240" w:lineRule="auto"/>
        <w:ind w:firstLine="360"/>
        <w:rPr>
          <w:rFonts w:ascii="Times New Roman" w:hAnsi="Times New Roman" w:cs="Times New Roman"/>
          <w:sz w:val="24"/>
          <w:szCs w:val="24"/>
        </w:rPr>
      </w:pPr>
      <w:r w:rsidR="001B74FC">
        <w:rPr>
          <w:rFonts w:ascii="Times New Roman" w:hAnsi="Times New Roman" w:cs="Times New Roman"/>
          <w:sz w:val="24"/>
          <w:szCs w:val="24"/>
        </w:rPr>
        <w:t xml:space="preserve">I/18 Strečno – </w:t>
      </w:r>
      <w:r w:rsidRPr="001B74FC">
        <w:rPr>
          <w:rFonts w:ascii="Times New Roman" w:hAnsi="Times New Roman" w:cs="Times New Roman"/>
          <w:sz w:val="24"/>
          <w:szCs w:val="24"/>
        </w:rPr>
        <w:t xml:space="preserve">Dubná Skala </w:t>
      </w:r>
      <w:r w:rsidR="001B74FC">
        <w:rPr>
          <w:rFonts w:ascii="Times New Roman" w:hAnsi="Times New Roman" w:cs="Times New Roman"/>
          <w:sz w:val="24"/>
          <w:szCs w:val="24"/>
        </w:rPr>
        <w:t xml:space="preserve">– </w:t>
      </w:r>
      <w:r w:rsidRPr="001B74FC">
        <w:rPr>
          <w:rFonts w:ascii="Times New Roman" w:hAnsi="Times New Roman" w:cs="Times New Roman"/>
          <w:sz w:val="24"/>
          <w:szCs w:val="24"/>
        </w:rPr>
        <w:t>vo výške 1 862 647,50 Sk</w:t>
      </w:r>
    </w:p>
    <w:p w:rsidR="00F665BB" w:rsidRPr="001B74FC" w:rsidP="00F665BB">
      <w:pPr>
        <w:spacing w:line="240" w:lineRule="auto"/>
        <w:ind w:firstLine="360"/>
        <w:rPr>
          <w:rFonts w:ascii="Times New Roman" w:hAnsi="Times New Roman" w:cs="Times New Roman"/>
          <w:sz w:val="24"/>
          <w:szCs w:val="24"/>
        </w:rPr>
      </w:pPr>
      <w:r w:rsidRPr="001B74FC">
        <w:rPr>
          <w:rFonts w:ascii="Times New Roman" w:hAnsi="Times New Roman" w:cs="Times New Roman"/>
          <w:sz w:val="24"/>
          <w:szCs w:val="24"/>
        </w:rPr>
        <w:t xml:space="preserve">I/64 Nitrianske Pravno </w:t>
      </w:r>
      <w:r w:rsidRPr="001B74FC">
        <w:rPr>
          <w:rFonts w:ascii="Times New Roman" w:hAnsi="Times New Roman" w:cs="Times New Roman"/>
          <w:sz w:val="24"/>
          <w:szCs w:val="24"/>
        </w:rPr>
        <w:t xml:space="preserve">– obchvat </w:t>
      </w:r>
      <w:r w:rsidR="001B74FC">
        <w:rPr>
          <w:rFonts w:ascii="Times New Roman" w:hAnsi="Times New Roman" w:cs="Times New Roman"/>
          <w:sz w:val="24"/>
          <w:szCs w:val="24"/>
        </w:rPr>
        <w:t xml:space="preserve">– </w:t>
      </w:r>
      <w:r w:rsidRPr="001B74FC">
        <w:rPr>
          <w:rFonts w:ascii="Times New Roman" w:hAnsi="Times New Roman" w:cs="Times New Roman"/>
          <w:sz w:val="24"/>
          <w:szCs w:val="24"/>
        </w:rPr>
        <w:t>vo výške 203 180,60 Sk</w:t>
      </w:r>
    </w:p>
    <w:p w:rsidR="00F665BB" w:rsidRPr="001B74FC" w:rsidP="00F665BB">
      <w:pPr>
        <w:spacing w:line="240" w:lineRule="auto"/>
        <w:ind w:firstLine="360"/>
        <w:rPr>
          <w:rFonts w:ascii="Times New Roman" w:hAnsi="Times New Roman" w:cs="Times New Roman"/>
          <w:sz w:val="24"/>
          <w:szCs w:val="24"/>
        </w:rPr>
      </w:pPr>
      <w:r w:rsidRPr="001B74FC">
        <w:rPr>
          <w:rFonts w:ascii="Times New Roman" w:hAnsi="Times New Roman" w:cs="Times New Roman"/>
          <w:sz w:val="24"/>
          <w:szCs w:val="24"/>
        </w:rPr>
        <w:t xml:space="preserve">I/18 Žilina – Juhovýchod </w:t>
      </w:r>
      <w:r w:rsidR="001B74FC">
        <w:rPr>
          <w:rFonts w:ascii="Times New Roman" w:hAnsi="Times New Roman" w:cs="Times New Roman"/>
          <w:sz w:val="24"/>
          <w:szCs w:val="24"/>
        </w:rPr>
        <w:t xml:space="preserve">– </w:t>
      </w:r>
      <w:r w:rsidRPr="001B74FC">
        <w:rPr>
          <w:rFonts w:ascii="Times New Roman" w:hAnsi="Times New Roman" w:cs="Times New Roman"/>
          <w:sz w:val="24"/>
          <w:szCs w:val="24"/>
        </w:rPr>
        <w:t>vo výške 208 250Sk</w:t>
      </w:r>
    </w:p>
    <w:p w:rsidR="00F665BB" w:rsidRPr="009E0911" w:rsidP="009E0911">
      <w:pPr>
        <w:spacing w:line="240" w:lineRule="auto"/>
        <w:ind w:firstLine="360"/>
        <w:rPr>
          <w:rFonts w:ascii="Times New Roman" w:hAnsi="Times New Roman" w:cs="Times New Roman"/>
          <w:sz w:val="24"/>
          <w:szCs w:val="24"/>
        </w:rPr>
      </w:pPr>
      <w:r w:rsidRPr="001B74FC">
        <w:rPr>
          <w:rFonts w:ascii="Times New Roman" w:hAnsi="Times New Roman" w:cs="Times New Roman"/>
          <w:sz w:val="24"/>
          <w:szCs w:val="24"/>
        </w:rPr>
        <w:t xml:space="preserve">I/64 Rajecké Teplice – Kľače </w:t>
      </w:r>
      <w:r w:rsidR="001B74FC">
        <w:rPr>
          <w:rFonts w:ascii="Times New Roman" w:hAnsi="Times New Roman" w:cs="Times New Roman"/>
          <w:sz w:val="24"/>
          <w:szCs w:val="24"/>
        </w:rPr>
        <w:t xml:space="preserve">– </w:t>
      </w:r>
      <w:r w:rsidRPr="001B74FC">
        <w:rPr>
          <w:rFonts w:ascii="Times New Roman" w:hAnsi="Times New Roman" w:cs="Times New Roman"/>
          <w:sz w:val="24"/>
          <w:szCs w:val="24"/>
        </w:rPr>
        <w:t>vo výške 1 137 599,50 Sk</w:t>
      </w:r>
    </w:p>
    <w:p w:rsidR="00F665BB" w:rsidRPr="001B74FC" w:rsidP="009E0911">
      <w:pPr>
        <w:spacing w:line="240" w:lineRule="auto"/>
        <w:ind w:firstLine="360"/>
        <w:rPr>
          <w:rFonts w:ascii="Times New Roman" w:hAnsi="Times New Roman" w:cs="Times New Roman"/>
          <w:sz w:val="24"/>
          <w:szCs w:val="24"/>
        </w:rPr>
      </w:pPr>
      <w:r w:rsidR="001B74FC">
        <w:rPr>
          <w:rFonts w:ascii="Times New Roman" w:hAnsi="Times New Roman" w:cs="Times New Roman"/>
          <w:sz w:val="24"/>
          <w:szCs w:val="24"/>
        </w:rPr>
        <w:t xml:space="preserve">I/61 – </w:t>
      </w:r>
      <w:r w:rsidRPr="001B74FC">
        <w:rPr>
          <w:rFonts w:ascii="Times New Roman" w:hAnsi="Times New Roman" w:cs="Times New Roman"/>
          <w:sz w:val="24"/>
          <w:szCs w:val="24"/>
        </w:rPr>
        <w:t xml:space="preserve">I/57 Dubnica nad Váhom – križovatka </w:t>
      </w:r>
      <w:r w:rsidR="001B74FC">
        <w:rPr>
          <w:rFonts w:ascii="Times New Roman" w:hAnsi="Times New Roman" w:cs="Times New Roman"/>
          <w:sz w:val="24"/>
          <w:szCs w:val="24"/>
        </w:rPr>
        <w:t xml:space="preserve">– </w:t>
      </w:r>
      <w:r w:rsidRPr="001B74FC">
        <w:rPr>
          <w:rFonts w:ascii="Times New Roman" w:hAnsi="Times New Roman" w:cs="Times New Roman"/>
          <w:sz w:val="24"/>
          <w:szCs w:val="24"/>
        </w:rPr>
        <w:t>vo v</w:t>
      </w:r>
      <w:r w:rsidR="001B74FC">
        <w:rPr>
          <w:rFonts w:ascii="Times New Roman" w:hAnsi="Times New Roman" w:cs="Times New Roman"/>
          <w:sz w:val="24"/>
          <w:szCs w:val="24"/>
        </w:rPr>
        <w:t xml:space="preserve">ýške 815 150,- </w:t>
      </w:r>
      <w:r w:rsidRPr="001B74FC">
        <w:rPr>
          <w:rFonts w:ascii="Times New Roman" w:hAnsi="Times New Roman" w:cs="Times New Roman"/>
          <w:sz w:val="24"/>
          <w:szCs w:val="24"/>
        </w:rPr>
        <w:t>Sk</w:t>
      </w:r>
    </w:p>
    <w:p w:rsidR="00F665BB" w:rsidRPr="001B74FC" w:rsidP="009E0911">
      <w:pPr>
        <w:spacing w:line="240" w:lineRule="auto"/>
        <w:ind w:firstLine="360"/>
        <w:rPr>
          <w:rFonts w:ascii="Times New Roman" w:hAnsi="Times New Roman" w:cs="Times New Roman"/>
          <w:sz w:val="24"/>
          <w:szCs w:val="24"/>
        </w:rPr>
      </w:pPr>
      <w:r w:rsidR="001B74FC">
        <w:rPr>
          <w:rFonts w:ascii="Times New Roman" w:hAnsi="Times New Roman" w:cs="Times New Roman"/>
          <w:sz w:val="24"/>
          <w:szCs w:val="24"/>
        </w:rPr>
        <w:t xml:space="preserve">I/18 Strečno – </w:t>
      </w:r>
      <w:r w:rsidRPr="001B74FC">
        <w:rPr>
          <w:rFonts w:ascii="Times New Roman" w:hAnsi="Times New Roman" w:cs="Times New Roman"/>
          <w:sz w:val="24"/>
          <w:szCs w:val="24"/>
        </w:rPr>
        <w:t xml:space="preserve">most 269 </w:t>
      </w:r>
      <w:r w:rsidR="001B74FC">
        <w:rPr>
          <w:rFonts w:ascii="Times New Roman" w:hAnsi="Times New Roman" w:cs="Times New Roman"/>
          <w:sz w:val="24"/>
          <w:szCs w:val="24"/>
        </w:rPr>
        <w:t xml:space="preserve">– vo výške 558 348,- </w:t>
      </w:r>
      <w:r w:rsidRPr="001B74FC">
        <w:rPr>
          <w:rFonts w:ascii="Times New Roman" w:hAnsi="Times New Roman" w:cs="Times New Roman"/>
          <w:sz w:val="24"/>
          <w:szCs w:val="24"/>
        </w:rPr>
        <w:t>Sk</w:t>
      </w:r>
    </w:p>
    <w:p w:rsidR="00F665BB" w:rsidRPr="001B74FC" w:rsidP="009E0911">
      <w:pPr>
        <w:spacing w:line="240" w:lineRule="auto"/>
        <w:ind w:firstLine="360"/>
        <w:rPr>
          <w:rFonts w:ascii="Times New Roman" w:hAnsi="Times New Roman" w:cs="Times New Roman"/>
          <w:sz w:val="24"/>
          <w:szCs w:val="24"/>
        </w:rPr>
      </w:pPr>
      <w:r w:rsidRPr="001B74FC">
        <w:rPr>
          <w:rFonts w:ascii="Times New Roman" w:hAnsi="Times New Roman" w:cs="Times New Roman"/>
          <w:sz w:val="24"/>
          <w:szCs w:val="24"/>
        </w:rPr>
        <w:t xml:space="preserve">Statické prepočty mostov ciest I. triedy </w:t>
      </w:r>
      <w:r w:rsidR="001B74FC">
        <w:rPr>
          <w:rFonts w:ascii="Times New Roman" w:hAnsi="Times New Roman" w:cs="Times New Roman"/>
          <w:sz w:val="24"/>
          <w:szCs w:val="24"/>
        </w:rPr>
        <w:t xml:space="preserve">– vo výške 1 000 000,- </w:t>
      </w:r>
      <w:r w:rsidRPr="001B74FC">
        <w:rPr>
          <w:rFonts w:ascii="Times New Roman" w:hAnsi="Times New Roman" w:cs="Times New Roman"/>
          <w:sz w:val="24"/>
          <w:szCs w:val="24"/>
        </w:rPr>
        <w:t>Sk</w:t>
      </w:r>
    </w:p>
    <w:p w:rsidR="00F665BB" w:rsidRPr="001B74FC" w:rsidP="009E0911">
      <w:pPr>
        <w:spacing w:line="240" w:lineRule="auto"/>
        <w:ind w:firstLine="360"/>
        <w:rPr>
          <w:rFonts w:ascii="Times New Roman" w:hAnsi="Times New Roman" w:cs="Times New Roman"/>
          <w:sz w:val="24"/>
          <w:szCs w:val="24"/>
        </w:rPr>
      </w:pPr>
      <w:r w:rsidRPr="001B74FC">
        <w:rPr>
          <w:rFonts w:ascii="Times New Roman" w:hAnsi="Times New Roman" w:cs="Times New Roman"/>
          <w:sz w:val="24"/>
          <w:szCs w:val="24"/>
        </w:rPr>
        <w:t xml:space="preserve">I/11Budatín – križovatka </w:t>
      </w:r>
      <w:r w:rsidR="001B74FC">
        <w:rPr>
          <w:rFonts w:ascii="Times New Roman" w:hAnsi="Times New Roman" w:cs="Times New Roman"/>
          <w:sz w:val="24"/>
          <w:szCs w:val="24"/>
        </w:rPr>
        <w:t xml:space="preserve">– </w:t>
      </w:r>
      <w:r w:rsidRPr="001B74FC">
        <w:rPr>
          <w:rFonts w:ascii="Times New Roman" w:hAnsi="Times New Roman" w:cs="Times New Roman"/>
          <w:sz w:val="24"/>
          <w:szCs w:val="24"/>
        </w:rPr>
        <w:t>vo výške 47 195,40 Sk</w:t>
      </w:r>
    </w:p>
    <w:p w:rsidR="00F665BB" w:rsidRPr="001B74FC" w:rsidP="009E0911">
      <w:pPr>
        <w:spacing w:line="240" w:lineRule="auto"/>
        <w:ind w:firstLine="360"/>
        <w:rPr>
          <w:rFonts w:ascii="Times New Roman" w:hAnsi="Times New Roman" w:cs="Times New Roman"/>
          <w:sz w:val="24"/>
          <w:szCs w:val="24"/>
        </w:rPr>
      </w:pPr>
      <w:r w:rsidRPr="001B74FC">
        <w:rPr>
          <w:rFonts w:ascii="Times New Roman" w:hAnsi="Times New Roman" w:cs="Times New Roman"/>
          <w:sz w:val="24"/>
          <w:szCs w:val="24"/>
        </w:rPr>
        <w:t>I/50 Trenčianske Mitice – zosuv vo výške 447 633,40 Sk</w:t>
      </w:r>
    </w:p>
    <w:p w:rsidR="00F665BB" w:rsidRPr="00F665BB" w:rsidP="00F665BB">
      <w:pPr>
        <w:spacing w:line="240" w:lineRule="auto"/>
        <w:rPr>
          <w:rFonts w:ascii="Times New Roman" w:hAnsi="Times New Roman" w:cs="Times New Roman"/>
          <w:b/>
          <w:sz w:val="24"/>
          <w:szCs w:val="24"/>
        </w:rPr>
      </w:pPr>
    </w:p>
    <w:p w:rsidR="006E2C6E" w:rsidP="00F665BB">
      <w:pPr>
        <w:tabs>
          <w:tab w:val="left" w:pos="360"/>
        </w:tabs>
        <w:spacing w:line="240" w:lineRule="auto"/>
        <w:rPr>
          <w:rFonts w:ascii="Times New Roman" w:hAnsi="Times New Roman" w:cs="Times New Roman"/>
          <w:b/>
          <w:sz w:val="24"/>
          <w:szCs w:val="24"/>
        </w:rPr>
      </w:pPr>
    </w:p>
    <w:p w:rsidR="006E2C6E" w:rsidP="00F665BB">
      <w:pPr>
        <w:tabs>
          <w:tab w:val="left" w:pos="360"/>
        </w:tabs>
        <w:spacing w:line="240" w:lineRule="auto"/>
        <w:rPr>
          <w:rFonts w:ascii="Times New Roman" w:hAnsi="Times New Roman" w:cs="Times New Roman"/>
          <w:b/>
          <w:sz w:val="24"/>
          <w:szCs w:val="24"/>
        </w:rPr>
      </w:pPr>
    </w:p>
    <w:p w:rsidR="00F665BB" w:rsidRPr="00F665BB" w:rsidP="00F665BB">
      <w:pPr>
        <w:tabs>
          <w:tab w:val="left" w:pos="360"/>
        </w:tabs>
        <w:spacing w:line="240" w:lineRule="auto"/>
        <w:rPr>
          <w:rFonts w:ascii="Times New Roman" w:hAnsi="Times New Roman" w:cs="Times New Roman"/>
          <w:b/>
          <w:sz w:val="24"/>
          <w:szCs w:val="24"/>
        </w:rPr>
      </w:pPr>
      <w:r w:rsidRPr="00F665BB">
        <w:rPr>
          <w:rFonts w:ascii="Times New Roman" w:hAnsi="Times New Roman" w:cs="Times New Roman"/>
          <w:b/>
          <w:sz w:val="24"/>
          <w:szCs w:val="24"/>
        </w:rPr>
        <w:t>Privádzače:</w:t>
      </w:r>
    </w:p>
    <w:p w:rsidR="00F665BB" w:rsidRPr="00F665BB" w:rsidP="00F665BB">
      <w:pPr>
        <w:tabs>
          <w:tab w:val="left" w:pos="360"/>
        </w:tabs>
        <w:spacing w:line="240" w:lineRule="auto"/>
        <w:rPr>
          <w:rFonts w:ascii="Times New Roman" w:hAnsi="Times New Roman" w:cs="Times New Roman"/>
          <w:b/>
          <w:sz w:val="24"/>
          <w:szCs w:val="24"/>
        </w:rPr>
      </w:pPr>
    </w:p>
    <w:p w:rsidR="00F665BB" w:rsidRPr="00F665BB" w:rsidP="00F665BB">
      <w:pPr>
        <w:tabs>
          <w:tab w:val="left" w:pos="360"/>
        </w:tabs>
        <w:spacing w:line="240" w:lineRule="auto"/>
        <w:ind w:left="3538" w:hanging="3538"/>
        <w:rPr>
          <w:rFonts w:ascii="Times New Roman" w:hAnsi="Times New Roman" w:cs="Times New Roman"/>
          <w:b/>
          <w:sz w:val="24"/>
          <w:szCs w:val="24"/>
        </w:rPr>
      </w:pPr>
      <w:r w:rsidRPr="00F665BB">
        <w:rPr>
          <w:rFonts w:ascii="Times New Roman" w:hAnsi="Times New Roman" w:cs="Times New Roman"/>
          <w:b/>
          <w:sz w:val="24"/>
          <w:szCs w:val="24"/>
        </w:rPr>
        <w:tab/>
        <w:t>Čadca – obchvat, preložka I/11</w:t>
      </w:r>
    </w:p>
    <w:p w:rsidR="00F665BB" w:rsidRPr="00F665BB" w:rsidP="00F665BB">
      <w:pPr>
        <w:tabs>
          <w:tab w:val="left" w:pos="360"/>
        </w:tabs>
        <w:spacing w:line="240" w:lineRule="auto"/>
        <w:ind w:left="360"/>
        <w:rPr>
          <w:rFonts w:ascii="Times New Roman" w:hAnsi="Times New Roman" w:cs="Times New Roman"/>
          <w:sz w:val="24"/>
          <w:szCs w:val="24"/>
        </w:rPr>
      </w:pPr>
      <w:r w:rsidRPr="00F665BB">
        <w:rPr>
          <w:rFonts w:ascii="Times New Roman" w:hAnsi="Times New Roman" w:cs="Times New Roman"/>
          <w:sz w:val="24"/>
          <w:szCs w:val="24"/>
        </w:rPr>
        <w:t xml:space="preserve">V roku 2007 boli na tejto stavbe financované iba výkupy a dokumentácia stupňa DSP v celkovej hodnote 4 122 907,10 Sk. </w:t>
      </w:r>
    </w:p>
    <w:p w:rsidR="00F665BB" w:rsidRPr="00F665BB" w:rsidP="00F665BB">
      <w:pPr>
        <w:tabs>
          <w:tab w:val="left" w:pos="360"/>
        </w:tabs>
        <w:spacing w:line="240" w:lineRule="auto"/>
        <w:rPr>
          <w:rFonts w:ascii="Times New Roman" w:hAnsi="Times New Roman" w:cs="Times New Roman"/>
          <w:b/>
          <w:sz w:val="24"/>
          <w:szCs w:val="24"/>
        </w:rPr>
      </w:pPr>
      <w:r w:rsidRPr="00F665BB">
        <w:rPr>
          <w:rFonts w:ascii="Times New Roman" w:hAnsi="Times New Roman" w:cs="Times New Roman"/>
          <w:b/>
          <w:sz w:val="24"/>
          <w:szCs w:val="24"/>
        </w:rPr>
        <w:tab/>
        <w:t xml:space="preserve">Privádzač Žilina – Strážov  </w:t>
      </w:r>
    </w:p>
    <w:p w:rsidR="00F665BB" w:rsidRPr="00F665BB" w:rsidP="00F665BB">
      <w:pPr>
        <w:spacing w:line="240" w:lineRule="auto"/>
        <w:ind w:left="360"/>
        <w:rPr>
          <w:rFonts w:ascii="Times New Roman" w:hAnsi="Times New Roman" w:cs="Times New Roman"/>
          <w:sz w:val="24"/>
          <w:szCs w:val="24"/>
        </w:rPr>
      </w:pPr>
      <w:r w:rsidR="00CA149F">
        <w:rPr>
          <w:rFonts w:ascii="Times New Roman" w:hAnsi="Times New Roman" w:cs="Times New Roman"/>
          <w:sz w:val="24"/>
          <w:szCs w:val="24"/>
        </w:rPr>
        <w:t>Stavba je spolufinancovaná z</w:t>
      </w:r>
      <w:r w:rsidRPr="00F665BB">
        <w:rPr>
          <w:rFonts w:ascii="Times New Roman" w:hAnsi="Times New Roman" w:cs="Times New Roman"/>
          <w:sz w:val="24"/>
          <w:szCs w:val="24"/>
        </w:rPr>
        <w:t xml:space="preserve"> prostriedkov ERDF. Dokončenie stavby bolo zmluvne </w:t>
      </w:r>
      <w:r>
        <w:rPr>
          <w:rFonts w:ascii="Times New Roman" w:hAnsi="Times New Roman" w:cs="Times New Roman"/>
          <w:sz w:val="24"/>
          <w:szCs w:val="24"/>
        </w:rPr>
        <w:t xml:space="preserve">presunuté na mesiac jún 2008 z </w:t>
      </w:r>
      <w:r w:rsidRPr="00F665BB">
        <w:rPr>
          <w:rFonts w:ascii="Times New Roman" w:hAnsi="Times New Roman" w:cs="Times New Roman"/>
          <w:sz w:val="24"/>
          <w:szCs w:val="24"/>
        </w:rPr>
        <w:t>titulu oneskorenia pri získavaní stavebných povolení jednotlivých stavebných objektov. Z prostriedkov SSC v roku 2007 neboli hradené žiadne práce. Všetky náklady spojené zo zabezpečovaním výkupov, projektovej dokumentácie a stavebných prác boli hradené s prostriedkov ERDF.</w:t>
      </w:r>
    </w:p>
    <w:p w:rsidR="00F665BB" w:rsidRPr="00F665BB" w:rsidP="00F665BB">
      <w:pPr>
        <w:tabs>
          <w:tab w:val="left" w:pos="360"/>
        </w:tabs>
        <w:spacing w:line="240" w:lineRule="auto"/>
        <w:ind w:left="3538" w:hanging="3538"/>
        <w:rPr>
          <w:rFonts w:ascii="Times New Roman" w:hAnsi="Times New Roman" w:cs="Times New Roman"/>
          <w:b/>
          <w:sz w:val="24"/>
          <w:szCs w:val="24"/>
        </w:rPr>
      </w:pPr>
      <w:r w:rsidRPr="00F665BB">
        <w:rPr>
          <w:rFonts w:ascii="Times New Roman" w:hAnsi="Times New Roman" w:cs="Times New Roman"/>
          <w:b/>
          <w:sz w:val="24"/>
          <w:szCs w:val="24"/>
        </w:rPr>
        <w:tab/>
        <w:t xml:space="preserve">I/61 Trenčín, most </w:t>
      </w:r>
      <w:r w:rsidRPr="00F665BB">
        <w:rPr>
          <w:rFonts w:ascii="Times New Roman" w:hAnsi="Times New Roman" w:cs="Times New Roman"/>
          <w:b/>
          <w:sz w:val="24"/>
          <w:szCs w:val="24"/>
        </w:rPr>
        <w:t xml:space="preserve"> </w:t>
      </w:r>
    </w:p>
    <w:p w:rsidR="00F665BB" w:rsidRPr="00F665BB" w:rsidP="00F665BB">
      <w:pPr>
        <w:spacing w:line="240" w:lineRule="auto"/>
        <w:ind w:left="360"/>
        <w:rPr>
          <w:rFonts w:ascii="Times New Roman" w:hAnsi="Times New Roman" w:cs="Times New Roman"/>
          <w:sz w:val="24"/>
          <w:szCs w:val="24"/>
        </w:rPr>
      </w:pPr>
      <w:r w:rsidRPr="00F665BB">
        <w:rPr>
          <w:rFonts w:ascii="Times New Roman" w:hAnsi="Times New Roman" w:cs="Times New Roman"/>
          <w:sz w:val="24"/>
          <w:szCs w:val="24"/>
        </w:rPr>
        <w:t>Stavba nebola v roku 2007 stavebne zahájená a jej začiatok bol presunutý na rok 2008 a taktiež nebola fakturovaná</w:t>
      </w:r>
      <w:r>
        <w:rPr>
          <w:rFonts w:ascii="Times New Roman" w:hAnsi="Times New Roman" w:cs="Times New Roman"/>
          <w:sz w:val="24"/>
          <w:szCs w:val="24"/>
        </w:rPr>
        <w:t xml:space="preserve"> žiadna</w:t>
      </w:r>
      <w:r w:rsidRPr="00F665BB">
        <w:rPr>
          <w:rFonts w:ascii="Times New Roman" w:hAnsi="Times New Roman" w:cs="Times New Roman"/>
          <w:sz w:val="24"/>
          <w:szCs w:val="24"/>
        </w:rPr>
        <w:t xml:space="preserve"> projektová dokumentácia.</w:t>
      </w:r>
    </w:p>
    <w:p w:rsidR="00F665BB" w:rsidRPr="00F665BB" w:rsidP="00F665BB">
      <w:pPr>
        <w:tabs>
          <w:tab w:val="left" w:pos="360"/>
        </w:tabs>
        <w:spacing w:line="240" w:lineRule="auto"/>
        <w:ind w:left="5040" w:hanging="5040"/>
        <w:rPr>
          <w:rFonts w:ascii="Times New Roman" w:hAnsi="Times New Roman" w:cs="Times New Roman"/>
          <w:sz w:val="24"/>
          <w:szCs w:val="24"/>
        </w:rPr>
      </w:pPr>
      <w:r>
        <w:rPr>
          <w:rFonts w:ascii="Times New Roman" w:hAnsi="Times New Roman" w:cs="Times New Roman"/>
          <w:b/>
          <w:sz w:val="24"/>
          <w:szCs w:val="24"/>
        </w:rPr>
        <w:tab/>
        <w:t xml:space="preserve">Privádzač Žilina – juh, </w:t>
      </w:r>
      <w:r w:rsidRPr="00F665BB">
        <w:rPr>
          <w:rFonts w:ascii="Times New Roman" w:hAnsi="Times New Roman" w:cs="Times New Roman"/>
          <w:b/>
          <w:sz w:val="24"/>
          <w:szCs w:val="24"/>
        </w:rPr>
        <w:t xml:space="preserve">II. etapa Lietavská Lúčka </w:t>
      </w:r>
    </w:p>
    <w:p w:rsidR="00F665BB" w:rsidRPr="00980871" w:rsidP="00980871">
      <w:pPr>
        <w:tabs>
          <w:tab w:val="left" w:pos="360"/>
        </w:tabs>
        <w:spacing w:line="240" w:lineRule="auto"/>
        <w:ind w:left="360"/>
        <w:rPr>
          <w:rFonts w:ascii="Times New Roman" w:hAnsi="Times New Roman" w:cs="Times New Roman"/>
          <w:sz w:val="24"/>
          <w:szCs w:val="24"/>
        </w:rPr>
      </w:pPr>
      <w:r w:rsidRPr="00F665BB">
        <w:rPr>
          <w:rFonts w:ascii="Times New Roman" w:hAnsi="Times New Roman" w:cs="Times New Roman"/>
          <w:sz w:val="24"/>
          <w:szCs w:val="24"/>
        </w:rPr>
        <w:t>Z dôvodu intenzívnejšieho tempa realizácie stavebných pr</w:t>
      </w:r>
      <w:r w:rsidRPr="00F665BB">
        <w:rPr>
          <w:rFonts w:ascii="Times New Roman" w:hAnsi="Times New Roman" w:cs="Times New Roman"/>
          <w:sz w:val="24"/>
          <w:szCs w:val="24"/>
        </w:rPr>
        <w:t>á</w:t>
      </w:r>
      <w:r w:rsidR="00CA149F">
        <w:rPr>
          <w:rFonts w:ascii="Times New Roman" w:hAnsi="Times New Roman" w:cs="Times New Roman"/>
          <w:sz w:val="24"/>
          <w:szCs w:val="24"/>
        </w:rPr>
        <w:t xml:space="preserve">c s cieľom </w:t>
      </w:r>
      <w:r w:rsidRPr="00F665BB">
        <w:rPr>
          <w:rFonts w:ascii="Times New Roman" w:hAnsi="Times New Roman" w:cs="Times New Roman"/>
          <w:sz w:val="24"/>
          <w:szCs w:val="24"/>
        </w:rPr>
        <w:t>sprejazdnenia r</w:t>
      </w:r>
      <w:r w:rsidR="00CA149F">
        <w:rPr>
          <w:rFonts w:ascii="Times New Roman" w:hAnsi="Times New Roman" w:cs="Times New Roman"/>
          <w:sz w:val="24"/>
          <w:szCs w:val="24"/>
        </w:rPr>
        <w:t>ealizovaného úseku v roku 2007 v</w:t>
      </w:r>
      <w:r w:rsidRPr="00F665BB">
        <w:rPr>
          <w:rFonts w:ascii="Times New Roman" w:hAnsi="Times New Roman" w:cs="Times New Roman"/>
          <w:sz w:val="24"/>
          <w:szCs w:val="24"/>
        </w:rPr>
        <w:t> dĺžke 1 900 m</w:t>
      </w:r>
      <w:r>
        <w:rPr>
          <w:rFonts w:ascii="Times New Roman" w:hAnsi="Times New Roman" w:cs="Times New Roman"/>
          <w:sz w:val="24"/>
          <w:szCs w:val="24"/>
        </w:rPr>
        <w:t xml:space="preserve"> boli realizované </w:t>
      </w:r>
      <w:r w:rsidRPr="00F665BB">
        <w:rPr>
          <w:rFonts w:ascii="Times New Roman" w:hAnsi="Times New Roman" w:cs="Times New Roman"/>
          <w:sz w:val="24"/>
          <w:szCs w:val="24"/>
        </w:rPr>
        <w:t xml:space="preserve">investície vo výške </w:t>
      </w:r>
      <w:r w:rsidRPr="00980871">
        <w:rPr>
          <w:rFonts w:ascii="Times New Roman" w:hAnsi="Times New Roman" w:cs="Times New Roman"/>
          <w:sz w:val="24"/>
          <w:szCs w:val="24"/>
        </w:rPr>
        <w:t>497 914 075,29 Sk, na ktorých sa stavebné práce podieľali výškou 425 400 950,79 Sk.</w:t>
      </w:r>
    </w:p>
    <w:p w:rsidR="00F665BB" w:rsidP="00980871">
      <w:pPr>
        <w:spacing w:line="240" w:lineRule="auto"/>
        <w:rPr>
          <w:rFonts w:ascii="Times New Roman" w:hAnsi="Times New Roman" w:cs="Times New Roman"/>
          <w:sz w:val="24"/>
          <w:szCs w:val="24"/>
        </w:rPr>
      </w:pPr>
    </w:p>
    <w:p w:rsidR="006E2C6E" w:rsidRPr="00980871" w:rsidP="00980871">
      <w:pPr>
        <w:spacing w:line="240" w:lineRule="auto"/>
        <w:rPr>
          <w:rFonts w:ascii="Times New Roman" w:hAnsi="Times New Roman" w:cs="Times New Roman"/>
          <w:sz w:val="24"/>
          <w:szCs w:val="24"/>
        </w:rPr>
      </w:pPr>
    </w:p>
    <w:p w:rsidR="006126A4" w:rsidRPr="00980871" w:rsidP="00980871">
      <w:pPr>
        <w:spacing w:line="240" w:lineRule="auto"/>
        <w:jc w:val="center"/>
        <w:rPr>
          <w:rFonts w:ascii="Times New Roman" w:hAnsi="Times New Roman" w:cs="Times New Roman"/>
          <w:b/>
          <w:sz w:val="24"/>
          <w:szCs w:val="24"/>
        </w:rPr>
      </w:pPr>
      <w:r w:rsidRPr="00980871">
        <w:rPr>
          <w:rFonts w:ascii="Times New Roman" w:hAnsi="Times New Roman" w:cs="Times New Roman"/>
          <w:b/>
          <w:sz w:val="24"/>
          <w:szCs w:val="24"/>
        </w:rPr>
        <w:t>Financovanie z presunutých k</w:t>
      </w:r>
      <w:r w:rsidR="00980871">
        <w:rPr>
          <w:rFonts w:ascii="Times New Roman" w:hAnsi="Times New Roman" w:cs="Times New Roman"/>
          <w:b/>
          <w:sz w:val="24"/>
          <w:szCs w:val="24"/>
        </w:rPr>
        <w:t>apitálových výdavkov z roku 200</w:t>
      </w:r>
      <w:r w:rsidR="00980871">
        <w:rPr>
          <w:rFonts w:ascii="Times New Roman" w:hAnsi="Times New Roman" w:cs="Times New Roman"/>
          <w:b/>
          <w:sz w:val="24"/>
          <w:szCs w:val="24"/>
        </w:rPr>
        <w:t>5 a 2006</w:t>
      </w:r>
    </w:p>
    <w:p w:rsidR="006126A4" w:rsidRPr="00980871" w:rsidP="00980871">
      <w:pPr>
        <w:spacing w:line="240" w:lineRule="auto"/>
        <w:rPr>
          <w:rFonts w:ascii="Times New Roman" w:hAnsi="Times New Roman" w:cs="Times New Roman"/>
          <w:sz w:val="24"/>
          <w:szCs w:val="24"/>
        </w:rPr>
      </w:pPr>
    </w:p>
    <w:p w:rsidR="00980871" w:rsidRPr="00893F93" w:rsidP="00893F93">
      <w:pPr>
        <w:spacing w:line="240" w:lineRule="auto"/>
        <w:ind w:firstLine="709"/>
        <w:rPr>
          <w:rFonts w:ascii="Times New Roman" w:hAnsi="Times New Roman" w:cs="Times New Roman"/>
          <w:sz w:val="24"/>
          <w:szCs w:val="24"/>
        </w:rPr>
      </w:pPr>
      <w:r w:rsidRPr="00980871">
        <w:rPr>
          <w:rFonts w:ascii="Times New Roman" w:hAnsi="Times New Roman" w:cs="Times New Roman"/>
          <w:sz w:val="24"/>
          <w:szCs w:val="24"/>
        </w:rPr>
        <w:t xml:space="preserve">Z celkového objemu finančných prostriedkov presunutých z roku </w:t>
      </w:r>
      <w:r>
        <w:rPr>
          <w:rFonts w:ascii="Times New Roman" w:hAnsi="Times New Roman" w:cs="Times New Roman"/>
          <w:sz w:val="24"/>
          <w:szCs w:val="24"/>
        </w:rPr>
        <w:t xml:space="preserve">2005 </w:t>
      </w:r>
      <w:r w:rsidRPr="00980871">
        <w:rPr>
          <w:rFonts w:ascii="Times New Roman" w:hAnsi="Times New Roman" w:cs="Times New Roman"/>
          <w:sz w:val="24"/>
          <w:szCs w:val="24"/>
        </w:rPr>
        <w:t xml:space="preserve">vo výške 2 447 465 Sk bolo k 31.12.2007 vyčerpaných 2 447 287 Sk na výkupy pozemkov, nákupy budov alebo objektov určených na likvidáciu a na projektové práce. Finančné prostriedky boli použité na realizáciu týchto investičných akcií: I/61 Piešťany – Horná Streda; I/75 Galanta – Šaľa; I/64 Nitra – Drážovce a I/68 Lipany, preložka cesty. </w:t>
      </w:r>
    </w:p>
    <w:p w:rsidR="006E2C6E" w:rsidP="00893F93">
      <w:pPr>
        <w:spacing w:line="240" w:lineRule="auto"/>
        <w:ind w:firstLine="709"/>
        <w:rPr>
          <w:rFonts w:ascii="Times New Roman" w:hAnsi="Times New Roman" w:cs="Times New Roman"/>
          <w:sz w:val="24"/>
          <w:szCs w:val="24"/>
        </w:rPr>
      </w:pPr>
    </w:p>
    <w:p w:rsidR="009A6DDE" w:rsidP="00893F93">
      <w:pPr>
        <w:spacing w:line="240" w:lineRule="auto"/>
        <w:ind w:firstLine="709"/>
        <w:rPr>
          <w:rFonts w:ascii="Times New Roman" w:hAnsi="Times New Roman" w:cs="Times New Roman"/>
          <w:sz w:val="24"/>
          <w:szCs w:val="24"/>
        </w:rPr>
      </w:pPr>
      <w:r w:rsidRPr="00F627B6" w:rsidR="00980871">
        <w:rPr>
          <w:rFonts w:ascii="Times New Roman" w:hAnsi="Times New Roman" w:cs="Times New Roman"/>
          <w:sz w:val="24"/>
          <w:szCs w:val="24"/>
        </w:rPr>
        <w:t>Z celkového objemu finančných prostriedkov presunutých z roku 2006 vo výške 70 945 814,30 Sk bolo 31.12.2007 vyčerpaných 69 829 377,85 Sk. Finančné prostriedky boli použité na úhradu výkupov, projektových a stavebných prác týchto investičných akcií: II/426 Skalica – štátna hranica SR/ČR; I/65 Nitra – Hronský Beňadik, lokalita Tesárske Mlyňany, Beladice; I/51 Trnava, Nitrianska ulica; I/64 Topoľčany – preložka 2.stavba, II. etapa; I/51 Senica – Jablonica; I/63 a II/503 Šamorín – križovatka; I/51 Levice – prieťah; I/64 Nitra, križovatka s mestskou komunikáciou; I/61 Bratislava – Senec; I/75 Šaľa – obchvat; I/64 Komjatice – Nitra; I/51 Levice – križovatka, KNL; I/75 Demandice, zosuv; I/63 Rovinka – BO; Rekonštrukcia elektroinštalácie AB; I/68 Lipany, preložka cesty; I/50 Michalovce – križovatka; I/67 a II/526 Rožňava križovatka – Štítnik; I/67 a II//526 Rožňava križovatka – mesto; I/79 a II/552 Veľaty križovatka; I/18 – 499 Nižný Hrabovec nadcestie; I/18 – 500 Strážske nadcestie; I/18 – 468 Čierne nadcestie; I/77 Ľubotín – okresná hranica zosuvy; I/15 Domaša, rekonštrukcia vozovky; I/68 Budimír prieťah.</w:t>
      </w:r>
    </w:p>
    <w:p w:rsidR="00B27788" w:rsidP="00893F93">
      <w:pPr>
        <w:spacing w:line="240" w:lineRule="auto"/>
        <w:ind w:firstLine="709"/>
        <w:rPr>
          <w:rFonts w:ascii="Times New Roman" w:hAnsi="Times New Roman" w:cs="Times New Roman"/>
          <w:sz w:val="24"/>
          <w:szCs w:val="24"/>
        </w:rPr>
      </w:pPr>
    </w:p>
    <w:p w:rsidR="009A6DDE" w:rsidP="00893F93">
      <w:pPr>
        <w:spacing w:line="240" w:lineRule="auto"/>
        <w:ind w:firstLine="709"/>
        <w:rPr>
          <w:rFonts w:ascii="Times New Roman" w:hAnsi="Times New Roman" w:cs="Times New Roman"/>
          <w:sz w:val="24"/>
          <w:szCs w:val="24"/>
        </w:rPr>
      </w:pPr>
      <w:r w:rsidRPr="00980871" w:rsidR="00980871">
        <w:rPr>
          <w:rFonts w:ascii="Times New Roman" w:hAnsi="Times New Roman" w:cs="Times New Roman"/>
          <w:sz w:val="24"/>
          <w:szCs w:val="24"/>
        </w:rPr>
        <w:t>Ďalej boli finančné prostriedky použité</w:t>
      </w:r>
      <w:r w:rsidRPr="00980871" w:rsidR="00980871">
        <w:rPr>
          <w:rFonts w:ascii="Times New Roman" w:hAnsi="Times New Roman" w:cs="Times New Roman"/>
          <w:b/>
          <w:sz w:val="24"/>
          <w:szCs w:val="24"/>
        </w:rPr>
        <w:t xml:space="preserve"> </w:t>
      </w:r>
      <w:r w:rsidRPr="00980871" w:rsidR="00980871">
        <w:rPr>
          <w:rFonts w:ascii="Times New Roman" w:hAnsi="Times New Roman" w:cs="Times New Roman"/>
          <w:sz w:val="24"/>
          <w:szCs w:val="24"/>
        </w:rPr>
        <w:t>na dodávku špeciálneho ťažného vozidla pre diagnostické zariadenie Skiddometer v zmysle kúpnej zmluvy č.</w:t>
      </w:r>
      <w:r w:rsidR="00F627B6">
        <w:rPr>
          <w:rFonts w:ascii="Times New Roman" w:hAnsi="Times New Roman" w:cs="Times New Roman"/>
          <w:sz w:val="24"/>
          <w:szCs w:val="24"/>
        </w:rPr>
        <w:t xml:space="preserve"> 27/2100/2007 </w:t>
      </w:r>
      <w:r w:rsidRPr="00980871" w:rsidR="00980871">
        <w:rPr>
          <w:rFonts w:ascii="Times New Roman" w:hAnsi="Times New Roman" w:cs="Times New Roman"/>
          <w:sz w:val="24"/>
          <w:szCs w:val="24"/>
        </w:rPr>
        <w:t>a na aktivity spojené s majetkovo-právnou prípravou stavby I/51 Trn</w:t>
      </w:r>
      <w:r w:rsidR="00F627B6">
        <w:rPr>
          <w:rFonts w:ascii="Times New Roman" w:hAnsi="Times New Roman" w:cs="Times New Roman"/>
          <w:sz w:val="24"/>
          <w:szCs w:val="24"/>
        </w:rPr>
        <w:t>ava severný obchvat</w:t>
      </w:r>
      <w:r w:rsidRPr="00980871" w:rsidR="00980871">
        <w:rPr>
          <w:rFonts w:ascii="Times New Roman" w:hAnsi="Times New Roman" w:cs="Times New Roman"/>
          <w:sz w:val="24"/>
          <w:szCs w:val="24"/>
        </w:rPr>
        <w:t>.</w:t>
      </w:r>
    </w:p>
    <w:p w:rsidR="00B27788" w:rsidRPr="00893F93" w:rsidP="00893F93">
      <w:pPr>
        <w:spacing w:line="240" w:lineRule="auto"/>
        <w:ind w:firstLine="709"/>
        <w:rPr>
          <w:rFonts w:ascii="Times New Roman" w:hAnsi="Times New Roman" w:cs="Times New Roman"/>
          <w:b/>
          <w:sz w:val="24"/>
          <w:szCs w:val="24"/>
        </w:rPr>
      </w:pPr>
    </w:p>
    <w:p w:rsidR="006E2C6E" w:rsidP="00F627B6">
      <w:pPr>
        <w:spacing w:line="240" w:lineRule="auto"/>
        <w:rPr>
          <w:rFonts w:ascii="Times New Roman" w:hAnsi="Times New Roman" w:cs="Times New Roman"/>
          <w:b/>
          <w:sz w:val="28"/>
          <w:szCs w:val="28"/>
          <w:u w:val="single"/>
        </w:rPr>
      </w:pPr>
    </w:p>
    <w:p w:rsidR="006E2C6E" w:rsidP="00F627B6">
      <w:pPr>
        <w:spacing w:line="240" w:lineRule="auto"/>
        <w:rPr>
          <w:rFonts w:ascii="Times New Roman" w:hAnsi="Times New Roman" w:cs="Times New Roman"/>
          <w:b/>
          <w:sz w:val="28"/>
          <w:szCs w:val="28"/>
          <w:u w:val="single"/>
        </w:rPr>
      </w:pPr>
    </w:p>
    <w:p w:rsidR="006E2C6E" w:rsidP="00F627B6">
      <w:pPr>
        <w:spacing w:line="240" w:lineRule="auto"/>
        <w:rPr>
          <w:rFonts w:ascii="Times New Roman" w:hAnsi="Times New Roman" w:cs="Times New Roman"/>
          <w:b/>
          <w:sz w:val="28"/>
          <w:szCs w:val="28"/>
          <w:u w:val="single"/>
        </w:rPr>
      </w:pPr>
    </w:p>
    <w:p w:rsidR="00F627B6" w:rsidRPr="00F627B6" w:rsidP="00F627B6">
      <w:pPr>
        <w:spacing w:line="240" w:lineRule="auto"/>
        <w:rPr>
          <w:rFonts w:ascii="Times New Roman" w:hAnsi="Times New Roman" w:cs="Times New Roman"/>
          <w:b/>
          <w:sz w:val="28"/>
          <w:szCs w:val="28"/>
          <w:u w:val="single"/>
        </w:rPr>
      </w:pPr>
      <w:r w:rsidRPr="00F627B6">
        <w:rPr>
          <w:rFonts w:ascii="Times New Roman" w:hAnsi="Times New Roman" w:cs="Times New Roman"/>
          <w:b/>
          <w:sz w:val="28"/>
          <w:szCs w:val="28"/>
          <w:u w:val="single"/>
        </w:rPr>
        <w:t>053 02</w:t>
      </w:r>
      <w:r w:rsidR="008611B9">
        <w:rPr>
          <w:rFonts w:ascii="Times New Roman" w:hAnsi="Times New Roman" w:cs="Times New Roman"/>
          <w:b/>
          <w:sz w:val="28"/>
          <w:szCs w:val="28"/>
          <w:u w:val="single"/>
        </w:rPr>
        <w:t xml:space="preserve"> 02 – Obnova technickej základne údržby ciest</w:t>
      </w:r>
    </w:p>
    <w:p w:rsidR="00F627B6" w:rsidRPr="00F627B6" w:rsidP="00F627B6">
      <w:pPr>
        <w:spacing w:line="240" w:lineRule="auto"/>
        <w:rPr>
          <w:rFonts w:ascii="Times New Roman" w:hAnsi="Times New Roman" w:cs="Times New Roman"/>
          <w:b/>
          <w:sz w:val="24"/>
          <w:szCs w:val="24"/>
        </w:rPr>
      </w:pPr>
    </w:p>
    <w:p w:rsidR="00F627B6" w:rsidRPr="00F627B6" w:rsidP="00F627B6">
      <w:pPr>
        <w:spacing w:line="240" w:lineRule="auto"/>
        <w:ind w:firstLine="708"/>
        <w:rPr>
          <w:rFonts w:ascii="Times New Roman" w:hAnsi="Times New Roman" w:cs="Times New Roman"/>
          <w:sz w:val="24"/>
          <w:szCs w:val="24"/>
        </w:rPr>
      </w:pPr>
      <w:r w:rsidRPr="00F627B6">
        <w:rPr>
          <w:rFonts w:ascii="Times New Roman" w:hAnsi="Times New Roman" w:cs="Times New Roman"/>
          <w:sz w:val="24"/>
          <w:szCs w:val="24"/>
        </w:rPr>
        <w:t>Z celkového objemu finančných prostriedkov vo výške 16 809 207,36 Sk bolo           k 31.12.2007 vyčerpaných 16 809 207,36 Sk. Finančné prostriedky boli použité na:</w:t>
      </w:r>
    </w:p>
    <w:p w:rsidR="00F627B6" w:rsidRPr="00F627B6" w:rsidP="00F627B6">
      <w:pPr>
        <w:spacing w:line="240" w:lineRule="auto"/>
        <w:ind w:firstLine="708"/>
        <w:rPr>
          <w:rFonts w:ascii="Times New Roman" w:hAnsi="Times New Roman" w:cs="Times New Roman"/>
          <w:sz w:val="24"/>
          <w:szCs w:val="24"/>
        </w:rPr>
      </w:pPr>
    </w:p>
    <w:p w:rsidR="00F627B6" w:rsidRPr="00F627B6" w:rsidP="001654CB">
      <w:pPr>
        <w:numPr>
          <w:ilvl w:val="0"/>
          <w:numId w:val="32"/>
        </w:numPr>
        <w:tabs>
          <w:tab w:val="left" w:pos="1080"/>
          <w:tab w:val="clear" w:pos="1653"/>
        </w:tabs>
        <w:adjustRightInd/>
        <w:spacing w:line="240" w:lineRule="auto"/>
        <w:ind w:left="1080" w:hanging="360"/>
        <w:textAlignment w:val="auto"/>
        <w:rPr>
          <w:rFonts w:ascii="Times New Roman" w:hAnsi="Times New Roman" w:cs="Times New Roman"/>
          <w:sz w:val="24"/>
          <w:szCs w:val="24"/>
        </w:rPr>
      </w:pPr>
      <w:r w:rsidR="00CA149F">
        <w:rPr>
          <w:rFonts w:ascii="Times New Roman" w:hAnsi="Times New Roman" w:cs="Times New Roman"/>
          <w:sz w:val="24"/>
          <w:szCs w:val="24"/>
        </w:rPr>
        <w:t>n</w:t>
      </w:r>
      <w:r>
        <w:rPr>
          <w:rFonts w:ascii="Times New Roman" w:hAnsi="Times New Roman" w:cs="Times New Roman"/>
          <w:sz w:val="24"/>
          <w:szCs w:val="24"/>
        </w:rPr>
        <w:t xml:space="preserve">ákup softwarového </w:t>
      </w:r>
      <w:r w:rsidRPr="00F627B6">
        <w:rPr>
          <w:rFonts w:ascii="Times New Roman" w:hAnsi="Times New Roman" w:cs="Times New Roman"/>
          <w:sz w:val="24"/>
          <w:szCs w:val="24"/>
        </w:rPr>
        <w:t>programu CAD na modelovanie hlukových záťaží v rámci tvorby strategických hl</w:t>
      </w:r>
      <w:r>
        <w:rPr>
          <w:rFonts w:ascii="Times New Roman" w:hAnsi="Times New Roman" w:cs="Times New Roman"/>
          <w:sz w:val="24"/>
          <w:szCs w:val="24"/>
        </w:rPr>
        <w:t>ukových máp v hodnote 1 999 200,- Sk</w:t>
      </w:r>
      <w:r w:rsidRPr="00F627B6">
        <w:rPr>
          <w:rFonts w:ascii="Times New Roman" w:hAnsi="Times New Roman" w:cs="Times New Roman"/>
          <w:sz w:val="24"/>
          <w:szCs w:val="24"/>
        </w:rPr>
        <w:t>;</w:t>
      </w:r>
    </w:p>
    <w:p w:rsidR="00F627B6" w:rsidRPr="00F627B6" w:rsidP="001654CB">
      <w:pPr>
        <w:numPr>
          <w:ilvl w:val="0"/>
          <w:numId w:val="32"/>
        </w:numPr>
        <w:tabs>
          <w:tab w:val="left" w:pos="1080"/>
          <w:tab w:val="clear" w:pos="1653"/>
        </w:tabs>
        <w:adjustRightInd/>
        <w:spacing w:line="240" w:lineRule="auto"/>
        <w:ind w:left="1080" w:hanging="372"/>
        <w:textAlignment w:val="auto"/>
        <w:rPr>
          <w:rFonts w:ascii="Times New Roman" w:hAnsi="Times New Roman" w:cs="Times New Roman"/>
          <w:iCs/>
          <w:sz w:val="24"/>
          <w:szCs w:val="24"/>
        </w:rPr>
      </w:pPr>
      <w:r w:rsidR="00CA149F">
        <w:rPr>
          <w:rFonts w:ascii="Times New Roman" w:hAnsi="Times New Roman" w:cs="Times New Roman"/>
          <w:sz w:val="24"/>
          <w:szCs w:val="24"/>
        </w:rPr>
        <w:t>r</w:t>
      </w:r>
      <w:r w:rsidRPr="00F627B6">
        <w:rPr>
          <w:rFonts w:ascii="Times New Roman" w:hAnsi="Times New Roman" w:cs="Times New Roman"/>
          <w:sz w:val="24"/>
          <w:szCs w:val="24"/>
        </w:rPr>
        <w:t>ozšírenie licencie spojitej vektorovej digi</w:t>
      </w:r>
      <w:r>
        <w:rPr>
          <w:rFonts w:ascii="Times New Roman" w:hAnsi="Times New Roman" w:cs="Times New Roman"/>
          <w:sz w:val="24"/>
          <w:szCs w:val="24"/>
        </w:rPr>
        <w:t xml:space="preserve">tálnej mapy v hodnote 534 072, </w:t>
      </w:r>
      <w:r w:rsidRPr="00F627B6">
        <w:rPr>
          <w:rFonts w:ascii="Times New Roman" w:hAnsi="Times New Roman" w:cs="Times New Roman"/>
          <w:sz w:val="24"/>
          <w:szCs w:val="24"/>
        </w:rPr>
        <w:t>Sk;</w:t>
      </w:r>
    </w:p>
    <w:p w:rsidR="00F627B6" w:rsidRPr="00F627B6" w:rsidP="001654CB">
      <w:pPr>
        <w:numPr>
          <w:ilvl w:val="0"/>
          <w:numId w:val="32"/>
        </w:numPr>
        <w:tabs>
          <w:tab w:val="left" w:pos="1080"/>
          <w:tab w:val="clear" w:pos="1653"/>
        </w:tabs>
        <w:adjustRightInd/>
        <w:spacing w:line="240" w:lineRule="auto"/>
        <w:ind w:left="1080" w:hanging="372"/>
        <w:textAlignment w:val="auto"/>
        <w:rPr>
          <w:rFonts w:ascii="Times New Roman" w:hAnsi="Times New Roman" w:cs="Times New Roman"/>
          <w:sz w:val="24"/>
          <w:szCs w:val="24"/>
        </w:rPr>
      </w:pPr>
      <w:r w:rsidR="00CA149F">
        <w:rPr>
          <w:rFonts w:ascii="Times New Roman" w:hAnsi="Times New Roman" w:cs="Times New Roman"/>
          <w:sz w:val="24"/>
          <w:szCs w:val="24"/>
        </w:rPr>
        <w:t>d</w:t>
      </w:r>
      <w:r>
        <w:rPr>
          <w:rFonts w:ascii="Times New Roman" w:hAnsi="Times New Roman" w:cs="Times New Roman"/>
          <w:sz w:val="24"/>
          <w:szCs w:val="24"/>
        </w:rPr>
        <w:t xml:space="preserve">odávku hardwarového </w:t>
      </w:r>
      <w:r w:rsidRPr="00F627B6">
        <w:rPr>
          <w:rFonts w:ascii="Times New Roman" w:hAnsi="Times New Roman" w:cs="Times New Roman"/>
          <w:sz w:val="24"/>
          <w:szCs w:val="24"/>
        </w:rPr>
        <w:t>vybavenia pre vyhodnocovanie nameraných dát v rámci diagnostického</w:t>
      </w:r>
      <w:r w:rsidRPr="00F627B6">
        <w:rPr>
          <w:rFonts w:ascii="Times New Roman" w:hAnsi="Times New Roman" w:cs="Times New Roman"/>
          <w:sz w:val="24"/>
          <w:szCs w:val="24"/>
        </w:rPr>
        <w:t xml:space="preserve"> zariadenia Profilograph GE pre IS MCS</w:t>
      </w:r>
      <w:r>
        <w:rPr>
          <w:rFonts w:ascii="Times New Roman" w:hAnsi="Times New Roman" w:cs="Times New Roman"/>
          <w:sz w:val="24"/>
          <w:szCs w:val="24"/>
        </w:rPr>
        <w:t xml:space="preserve"> v hodnote 199 998,- </w:t>
      </w:r>
      <w:r w:rsidRPr="00F627B6">
        <w:rPr>
          <w:rFonts w:ascii="Times New Roman" w:hAnsi="Times New Roman" w:cs="Times New Roman"/>
          <w:sz w:val="24"/>
          <w:szCs w:val="24"/>
        </w:rPr>
        <w:t>Sk;</w:t>
      </w:r>
    </w:p>
    <w:p w:rsidR="00F627B6" w:rsidRPr="00F627B6" w:rsidP="001654CB">
      <w:pPr>
        <w:numPr>
          <w:ilvl w:val="0"/>
          <w:numId w:val="32"/>
        </w:numPr>
        <w:tabs>
          <w:tab w:val="left" w:pos="1080"/>
          <w:tab w:val="clear" w:pos="1653"/>
        </w:tabs>
        <w:adjustRightInd/>
        <w:spacing w:line="240" w:lineRule="auto"/>
        <w:ind w:left="1080" w:hanging="372"/>
        <w:textAlignment w:val="auto"/>
        <w:rPr>
          <w:rFonts w:ascii="Times New Roman" w:hAnsi="Times New Roman" w:cs="Times New Roman"/>
          <w:sz w:val="24"/>
          <w:szCs w:val="24"/>
        </w:rPr>
      </w:pPr>
      <w:r w:rsidR="00CA149F">
        <w:rPr>
          <w:rFonts w:ascii="Times New Roman" w:hAnsi="Times New Roman" w:cs="Times New Roman"/>
          <w:sz w:val="24"/>
          <w:szCs w:val="24"/>
        </w:rPr>
        <w:t>d</w:t>
      </w:r>
      <w:r w:rsidRPr="00F627B6">
        <w:rPr>
          <w:rFonts w:ascii="Times New Roman" w:hAnsi="Times New Roman" w:cs="Times New Roman"/>
          <w:sz w:val="24"/>
          <w:szCs w:val="24"/>
        </w:rPr>
        <w:t>odávku prístroja GPS pre diagnostické zariadenie Profilograph GE pre možnosť lokalizácie nameraných dát v súradniciach v hodnote 197 508,36 Sk;</w:t>
      </w:r>
    </w:p>
    <w:p w:rsidR="00F627B6" w:rsidRPr="00F627B6" w:rsidP="001654CB">
      <w:pPr>
        <w:numPr>
          <w:ilvl w:val="0"/>
          <w:numId w:val="32"/>
        </w:numPr>
        <w:tabs>
          <w:tab w:val="left" w:pos="1080"/>
          <w:tab w:val="clear" w:pos="1653"/>
        </w:tabs>
        <w:adjustRightInd/>
        <w:spacing w:line="240" w:lineRule="auto"/>
        <w:ind w:left="1080" w:hanging="372"/>
        <w:textAlignment w:val="auto"/>
        <w:rPr>
          <w:rFonts w:ascii="Times New Roman" w:hAnsi="Times New Roman" w:cs="Times New Roman"/>
          <w:sz w:val="24"/>
          <w:szCs w:val="24"/>
        </w:rPr>
      </w:pPr>
      <w:r w:rsidR="00CA149F">
        <w:rPr>
          <w:rFonts w:ascii="Times New Roman" w:hAnsi="Times New Roman" w:cs="Times New Roman"/>
          <w:sz w:val="24"/>
          <w:szCs w:val="24"/>
        </w:rPr>
        <w:t>d</w:t>
      </w:r>
      <w:r w:rsidRPr="00F627B6">
        <w:rPr>
          <w:rFonts w:ascii="Times New Roman" w:hAnsi="Times New Roman" w:cs="Times New Roman"/>
          <w:sz w:val="24"/>
          <w:szCs w:val="24"/>
        </w:rPr>
        <w:t>odávku strategických hlukových máp na vybraných úsekoch ciest I. triedy v správe SSC v zmysle ZoD č. 11</w:t>
      </w:r>
      <w:r>
        <w:rPr>
          <w:rFonts w:ascii="Times New Roman" w:hAnsi="Times New Roman" w:cs="Times New Roman"/>
          <w:sz w:val="24"/>
          <w:szCs w:val="24"/>
        </w:rPr>
        <w:t xml:space="preserve">40/29/2005 v hodnote 11 571 560,- </w:t>
      </w:r>
      <w:r w:rsidRPr="00F627B6">
        <w:rPr>
          <w:rFonts w:ascii="Times New Roman" w:hAnsi="Times New Roman" w:cs="Times New Roman"/>
          <w:sz w:val="24"/>
          <w:szCs w:val="24"/>
        </w:rPr>
        <w:t>Sk;</w:t>
      </w:r>
    </w:p>
    <w:p w:rsidR="00F627B6" w:rsidRPr="00F627B6" w:rsidP="001654CB">
      <w:pPr>
        <w:numPr>
          <w:ilvl w:val="0"/>
          <w:numId w:val="32"/>
        </w:numPr>
        <w:tabs>
          <w:tab w:val="left" w:pos="1080"/>
          <w:tab w:val="clear" w:pos="1653"/>
        </w:tabs>
        <w:adjustRightInd/>
        <w:spacing w:line="240" w:lineRule="auto"/>
        <w:ind w:left="1080" w:hanging="372"/>
        <w:textAlignment w:val="auto"/>
        <w:rPr>
          <w:rFonts w:ascii="Times New Roman" w:hAnsi="Times New Roman" w:cs="Times New Roman"/>
          <w:sz w:val="24"/>
          <w:szCs w:val="24"/>
        </w:rPr>
      </w:pPr>
      <w:r w:rsidR="00CA149F">
        <w:rPr>
          <w:rFonts w:ascii="Times New Roman" w:hAnsi="Times New Roman" w:cs="Times New Roman"/>
          <w:sz w:val="24"/>
          <w:szCs w:val="24"/>
        </w:rPr>
        <w:t>d</w:t>
      </w:r>
      <w:r w:rsidRPr="00F627B6">
        <w:rPr>
          <w:rFonts w:ascii="Times New Roman" w:hAnsi="Times New Roman" w:cs="Times New Roman"/>
          <w:sz w:val="24"/>
          <w:szCs w:val="24"/>
        </w:rPr>
        <w:t>odávku špeciálneho ťažného vozidla pre diagnostické zariadenie Skiddometer v zmysle kúpnej zmluvy č. 27/2100/2007</w:t>
      </w:r>
      <w:r>
        <w:rPr>
          <w:rFonts w:ascii="Times New Roman" w:hAnsi="Times New Roman" w:cs="Times New Roman"/>
          <w:sz w:val="24"/>
          <w:szCs w:val="24"/>
        </w:rPr>
        <w:t xml:space="preserve"> v hodnote 2 306 869,- </w:t>
      </w:r>
      <w:r w:rsidRPr="00F627B6">
        <w:rPr>
          <w:rFonts w:ascii="Times New Roman" w:hAnsi="Times New Roman" w:cs="Times New Roman"/>
          <w:sz w:val="24"/>
          <w:szCs w:val="24"/>
        </w:rPr>
        <w:t>Sk</w:t>
      </w:r>
      <w:r>
        <w:rPr>
          <w:rFonts w:ascii="Times New Roman" w:hAnsi="Times New Roman" w:cs="Times New Roman"/>
          <w:sz w:val="24"/>
          <w:szCs w:val="24"/>
        </w:rPr>
        <w:t xml:space="preserve">. </w:t>
      </w:r>
    </w:p>
    <w:p w:rsidR="00F627B6" w:rsidRPr="00F627B6" w:rsidP="00F627B6">
      <w:pPr>
        <w:spacing w:line="240" w:lineRule="auto"/>
        <w:rPr>
          <w:rFonts w:ascii="Times New Roman" w:hAnsi="Times New Roman" w:cs="Times New Roman"/>
          <w:sz w:val="24"/>
          <w:szCs w:val="24"/>
        </w:rPr>
      </w:pPr>
    </w:p>
    <w:p w:rsidR="00F627B6" w:rsidRPr="00F627B6" w:rsidP="00F627B6">
      <w:pPr>
        <w:spacing w:line="240" w:lineRule="auto"/>
        <w:rPr>
          <w:rFonts w:ascii="Times New Roman" w:hAnsi="Times New Roman" w:cs="Times New Roman"/>
          <w:b/>
          <w:sz w:val="28"/>
          <w:szCs w:val="28"/>
          <w:u w:val="single"/>
        </w:rPr>
      </w:pPr>
      <w:r w:rsidRPr="00F627B6">
        <w:rPr>
          <w:rFonts w:ascii="Times New Roman" w:hAnsi="Times New Roman" w:cs="Times New Roman"/>
          <w:b/>
          <w:sz w:val="28"/>
          <w:szCs w:val="28"/>
          <w:u w:val="single"/>
        </w:rPr>
        <w:t xml:space="preserve">053 02 03 – </w:t>
      </w:r>
      <w:r w:rsidR="008611B9">
        <w:rPr>
          <w:rFonts w:ascii="Times New Roman" w:hAnsi="Times New Roman" w:cs="Times New Roman"/>
          <w:b/>
          <w:sz w:val="28"/>
          <w:szCs w:val="28"/>
          <w:u w:val="single"/>
        </w:rPr>
        <w:t>Preložk</w:t>
      </w:r>
      <w:r w:rsidR="008611B9">
        <w:rPr>
          <w:rFonts w:ascii="Times New Roman" w:hAnsi="Times New Roman" w:cs="Times New Roman"/>
          <w:b/>
          <w:sz w:val="28"/>
          <w:szCs w:val="28"/>
          <w:u w:val="single"/>
        </w:rPr>
        <w:t xml:space="preserve">a štátnej cesty II/520 Nová Bystrica – </w:t>
      </w:r>
      <w:r w:rsidRPr="00F627B6">
        <w:rPr>
          <w:rFonts w:ascii="Times New Roman" w:hAnsi="Times New Roman" w:cs="Times New Roman"/>
          <w:b/>
          <w:sz w:val="28"/>
          <w:szCs w:val="28"/>
          <w:u w:val="single"/>
        </w:rPr>
        <w:t>Oravská Lesná</w:t>
      </w:r>
    </w:p>
    <w:p w:rsidR="00F627B6" w:rsidRPr="00F627B6" w:rsidP="00F627B6">
      <w:pPr>
        <w:spacing w:line="240" w:lineRule="auto"/>
        <w:rPr>
          <w:rFonts w:ascii="Times New Roman" w:hAnsi="Times New Roman" w:cs="Times New Roman"/>
          <w:sz w:val="28"/>
          <w:szCs w:val="28"/>
          <w:u w:val="single"/>
        </w:rPr>
      </w:pPr>
    </w:p>
    <w:p w:rsidR="00F627B6" w:rsidRPr="00F627B6" w:rsidP="00F627B6">
      <w:pPr>
        <w:spacing w:line="240" w:lineRule="auto"/>
        <w:ind w:firstLine="709"/>
        <w:rPr>
          <w:rFonts w:ascii="Times New Roman" w:hAnsi="Times New Roman" w:cs="Times New Roman"/>
          <w:sz w:val="24"/>
          <w:szCs w:val="24"/>
        </w:rPr>
      </w:pPr>
      <w:r w:rsidRPr="00F627B6">
        <w:rPr>
          <w:rFonts w:ascii="Times New Roman" w:hAnsi="Times New Roman" w:cs="Times New Roman"/>
          <w:sz w:val="24"/>
          <w:szCs w:val="24"/>
        </w:rPr>
        <w:t>Z dôvodu intenzívnejšieho tempa realizácie stavebných prác v roku 2007 v </w:t>
      </w:r>
      <w:r>
        <w:rPr>
          <w:rFonts w:ascii="Times New Roman" w:hAnsi="Times New Roman" w:cs="Times New Roman"/>
          <w:sz w:val="24"/>
          <w:szCs w:val="24"/>
        </w:rPr>
        <w:t>zmysle pri</w:t>
      </w:r>
      <w:r w:rsidR="00CA149F">
        <w:rPr>
          <w:rFonts w:ascii="Times New Roman" w:hAnsi="Times New Roman" w:cs="Times New Roman"/>
          <w:sz w:val="24"/>
          <w:szCs w:val="24"/>
        </w:rPr>
        <w:t xml:space="preserve">jatých dodatkov k Zmluve o diele </w:t>
      </w:r>
      <w:r w:rsidRPr="00F627B6">
        <w:rPr>
          <w:rFonts w:ascii="Times New Roman" w:hAnsi="Times New Roman" w:cs="Times New Roman"/>
          <w:sz w:val="24"/>
          <w:szCs w:val="24"/>
        </w:rPr>
        <w:t xml:space="preserve">je stavba rozostavaná prakticky na celej dĺžke </w:t>
      </w:r>
      <w:smartTag w:uri="urn:schemas-microsoft-com:office:smarttags" w:element="metricconverter">
        <w:smartTagPr>
          <w:attr w:name="ProductID" w:val="9ﾠ450 m"/>
        </w:smartTagPr>
        <w:r w:rsidRPr="00F627B6">
          <w:rPr>
            <w:rFonts w:ascii="Times New Roman" w:hAnsi="Times New Roman" w:cs="Times New Roman"/>
            <w:sz w:val="24"/>
            <w:szCs w:val="24"/>
          </w:rPr>
          <w:t>9 450 m</w:t>
        </w:r>
      </w:smartTag>
      <w:r w:rsidR="00CA149F">
        <w:rPr>
          <w:rFonts w:ascii="Times New Roman" w:hAnsi="Times New Roman" w:cs="Times New Roman"/>
          <w:sz w:val="24"/>
          <w:szCs w:val="24"/>
        </w:rPr>
        <w:t xml:space="preserve"> a v </w:t>
      </w:r>
      <w:r w:rsidRPr="00F627B6">
        <w:rPr>
          <w:rFonts w:ascii="Times New Roman" w:hAnsi="Times New Roman" w:cs="Times New Roman"/>
          <w:sz w:val="24"/>
          <w:szCs w:val="24"/>
        </w:rPr>
        <w:t>rámci stavebných prác bo</w:t>
      </w:r>
      <w:r>
        <w:rPr>
          <w:rFonts w:ascii="Times New Roman" w:hAnsi="Times New Roman" w:cs="Times New Roman"/>
          <w:sz w:val="24"/>
          <w:szCs w:val="24"/>
        </w:rPr>
        <w:t xml:space="preserve">lo </w:t>
      </w:r>
      <w:r>
        <w:rPr>
          <w:rFonts w:ascii="Times New Roman" w:hAnsi="Times New Roman" w:cs="Times New Roman"/>
          <w:sz w:val="24"/>
          <w:szCs w:val="24"/>
        </w:rPr>
        <w:t xml:space="preserve">preinvestovaných 791 013 141,- </w:t>
      </w:r>
      <w:r w:rsidRPr="00F627B6">
        <w:rPr>
          <w:rFonts w:ascii="Times New Roman" w:hAnsi="Times New Roman" w:cs="Times New Roman"/>
          <w:sz w:val="24"/>
          <w:szCs w:val="24"/>
        </w:rPr>
        <w:t>Sk. Zároveň boli zabezpečované výkupy pozemkov vo výške 7 822 319,50 Sk a tiež pro</w:t>
      </w:r>
      <w:r>
        <w:rPr>
          <w:rFonts w:ascii="Times New Roman" w:hAnsi="Times New Roman" w:cs="Times New Roman"/>
          <w:sz w:val="24"/>
          <w:szCs w:val="24"/>
        </w:rPr>
        <w:t xml:space="preserve">jektová dokumentácia za 936 144,- </w:t>
      </w:r>
      <w:r w:rsidRPr="00F627B6">
        <w:rPr>
          <w:rFonts w:ascii="Times New Roman" w:hAnsi="Times New Roman" w:cs="Times New Roman"/>
          <w:sz w:val="24"/>
          <w:szCs w:val="24"/>
        </w:rPr>
        <w:t>Sk. Celkovo bol</w:t>
      </w:r>
      <w:r w:rsidR="00CA149F">
        <w:rPr>
          <w:rFonts w:ascii="Times New Roman" w:hAnsi="Times New Roman" w:cs="Times New Roman"/>
          <w:sz w:val="24"/>
          <w:szCs w:val="24"/>
        </w:rPr>
        <w:t>o</w:t>
      </w:r>
      <w:r w:rsidRPr="00F627B6">
        <w:rPr>
          <w:rFonts w:ascii="Times New Roman" w:hAnsi="Times New Roman" w:cs="Times New Roman"/>
          <w:sz w:val="24"/>
          <w:szCs w:val="24"/>
        </w:rPr>
        <w:t xml:space="preserve"> v roku 2007 preinvestovaných 799 771 604,50 Sk</w:t>
      </w:r>
      <w:r w:rsidR="00CA149F">
        <w:rPr>
          <w:rFonts w:ascii="Times New Roman" w:hAnsi="Times New Roman" w:cs="Times New Roman"/>
          <w:sz w:val="24"/>
          <w:szCs w:val="24"/>
        </w:rPr>
        <w:t>.</w:t>
      </w:r>
    </w:p>
    <w:p w:rsidR="00F627B6" w:rsidRPr="00F627B6" w:rsidP="00F627B6">
      <w:pPr>
        <w:spacing w:line="240" w:lineRule="auto"/>
        <w:rPr>
          <w:rFonts w:ascii="Times New Roman" w:hAnsi="Times New Roman" w:cs="Times New Roman"/>
          <w:sz w:val="24"/>
          <w:szCs w:val="24"/>
        </w:rPr>
      </w:pPr>
    </w:p>
    <w:p w:rsidR="00F627B6" w:rsidRPr="008611B9" w:rsidP="00F627B6">
      <w:pPr>
        <w:spacing w:line="240" w:lineRule="auto"/>
        <w:rPr>
          <w:rFonts w:ascii="Times New Roman" w:hAnsi="Times New Roman" w:cs="Times New Roman"/>
          <w:b/>
          <w:sz w:val="28"/>
          <w:szCs w:val="28"/>
          <w:u w:val="single"/>
        </w:rPr>
      </w:pPr>
      <w:r w:rsidRPr="008611B9">
        <w:rPr>
          <w:rFonts w:ascii="Times New Roman" w:hAnsi="Times New Roman" w:cs="Times New Roman"/>
          <w:b/>
          <w:sz w:val="28"/>
          <w:szCs w:val="28"/>
          <w:u w:val="single"/>
        </w:rPr>
        <w:t xml:space="preserve">053 02 04 – </w:t>
      </w:r>
      <w:r w:rsidR="008611B9">
        <w:rPr>
          <w:rFonts w:ascii="Times New Roman" w:hAnsi="Times New Roman" w:cs="Times New Roman"/>
          <w:b/>
          <w:sz w:val="28"/>
          <w:szCs w:val="28"/>
          <w:u w:val="single"/>
        </w:rPr>
        <w:t>I/51 S</w:t>
      </w:r>
      <w:r w:rsidRPr="008611B9">
        <w:rPr>
          <w:rFonts w:ascii="Times New Roman" w:hAnsi="Times New Roman" w:cs="Times New Roman"/>
          <w:b/>
          <w:sz w:val="28"/>
          <w:szCs w:val="28"/>
          <w:u w:val="single"/>
        </w:rPr>
        <w:t>everný obchvat</w:t>
      </w:r>
      <w:r w:rsidR="008611B9">
        <w:rPr>
          <w:rFonts w:ascii="Times New Roman" w:hAnsi="Times New Roman" w:cs="Times New Roman"/>
          <w:b/>
          <w:sz w:val="28"/>
          <w:szCs w:val="28"/>
          <w:u w:val="single"/>
        </w:rPr>
        <w:t xml:space="preserve"> mesta Trna</w:t>
      </w:r>
      <w:r w:rsidR="008611B9">
        <w:rPr>
          <w:rFonts w:ascii="Times New Roman" w:hAnsi="Times New Roman" w:cs="Times New Roman"/>
          <w:b/>
          <w:sz w:val="28"/>
          <w:szCs w:val="28"/>
          <w:u w:val="single"/>
        </w:rPr>
        <w:t>va</w:t>
      </w:r>
    </w:p>
    <w:p w:rsidR="00F627B6" w:rsidRPr="00F627B6" w:rsidP="00F627B6">
      <w:pPr>
        <w:spacing w:line="240" w:lineRule="auto"/>
        <w:rPr>
          <w:rFonts w:ascii="Times New Roman" w:hAnsi="Times New Roman" w:cs="Times New Roman"/>
          <w:sz w:val="24"/>
          <w:szCs w:val="24"/>
        </w:rPr>
      </w:pPr>
    </w:p>
    <w:p w:rsidR="00F627B6" w:rsidRPr="00F627B6" w:rsidP="00F627B6">
      <w:pPr>
        <w:spacing w:line="240" w:lineRule="auto"/>
        <w:ind w:firstLine="360"/>
        <w:rPr>
          <w:rFonts w:ascii="Times New Roman" w:hAnsi="Times New Roman" w:cs="Times New Roman"/>
          <w:sz w:val="24"/>
          <w:szCs w:val="24"/>
        </w:rPr>
      </w:pPr>
      <w:r w:rsidRPr="00F627B6">
        <w:rPr>
          <w:rFonts w:ascii="Times New Roman" w:hAnsi="Times New Roman" w:cs="Times New Roman"/>
          <w:sz w:val="24"/>
          <w:szCs w:val="24"/>
        </w:rPr>
        <w:t xml:space="preserve"> </w:t>
      </w:r>
      <w:r>
        <w:rPr>
          <w:rFonts w:ascii="Times New Roman" w:hAnsi="Times New Roman" w:cs="Times New Roman"/>
          <w:sz w:val="24"/>
          <w:szCs w:val="24"/>
        </w:rPr>
        <w:tab/>
      </w:r>
      <w:r w:rsidRPr="00F627B6">
        <w:rPr>
          <w:rFonts w:ascii="Times New Roman" w:hAnsi="Times New Roman" w:cs="Times New Roman"/>
          <w:sz w:val="24"/>
          <w:szCs w:val="24"/>
        </w:rPr>
        <w:t xml:space="preserve">V roku 2007 bolo na stavbe preinvestovaných 23 680 563,50 Sk zo štátneho rozpočtu a 41 887 604 Sk z prostriedkov fondov ERDF. </w:t>
      </w:r>
    </w:p>
    <w:p w:rsidR="009A6DDE" w:rsidP="008611B9">
      <w:pPr>
        <w:spacing w:line="240" w:lineRule="auto"/>
        <w:ind w:firstLine="709"/>
        <w:rPr>
          <w:rFonts w:ascii="Times New Roman" w:hAnsi="Times New Roman" w:cs="Times New Roman"/>
          <w:sz w:val="24"/>
          <w:szCs w:val="24"/>
        </w:rPr>
      </w:pPr>
    </w:p>
    <w:p w:rsidR="00F627B6" w:rsidRPr="00F627B6" w:rsidP="008611B9">
      <w:pPr>
        <w:spacing w:line="240" w:lineRule="auto"/>
        <w:ind w:firstLine="709"/>
        <w:rPr>
          <w:rFonts w:ascii="Times New Roman" w:hAnsi="Times New Roman" w:cs="Times New Roman"/>
          <w:sz w:val="24"/>
          <w:szCs w:val="24"/>
        </w:rPr>
      </w:pPr>
      <w:r w:rsidRPr="00F627B6">
        <w:rPr>
          <w:rFonts w:ascii="Times New Roman" w:hAnsi="Times New Roman" w:cs="Times New Roman"/>
          <w:sz w:val="24"/>
          <w:szCs w:val="24"/>
        </w:rPr>
        <w:t>Náklady na stavebné práce predstavovali 18 542 133,20 Sk a zvyšné finančné prostriedky vo výške 47 026 034,50 Sk boli použité na aktivity spojené s majetkovo-právnou prípravou a so zabezpečovaním projektovej dokumentácie.</w:t>
      </w:r>
    </w:p>
    <w:p w:rsidR="00105FF6" w:rsidP="00105FF6">
      <w:pPr>
        <w:spacing w:line="240" w:lineRule="auto"/>
        <w:rPr>
          <w:rFonts w:ascii="Times New Roman" w:hAnsi="Times New Roman" w:cs="Times New Roman"/>
          <w:sz w:val="24"/>
          <w:szCs w:val="24"/>
        </w:rPr>
      </w:pPr>
    </w:p>
    <w:p w:rsidR="00105FF6" w:rsidRPr="00105FF6" w:rsidP="00105FF6">
      <w:pPr>
        <w:spacing w:line="240" w:lineRule="auto"/>
        <w:ind w:firstLine="709"/>
        <w:rPr>
          <w:rFonts w:ascii="Times New Roman" w:hAnsi="Times New Roman" w:cs="Times New Roman"/>
          <w:sz w:val="24"/>
          <w:szCs w:val="24"/>
        </w:rPr>
      </w:pPr>
      <w:r w:rsidRPr="00105FF6">
        <w:rPr>
          <w:rFonts w:ascii="Times New Roman" w:hAnsi="Times New Roman" w:cs="Times New Roman"/>
          <w:sz w:val="24"/>
          <w:szCs w:val="24"/>
        </w:rPr>
        <w:t>Do r</w:t>
      </w:r>
      <w:r w:rsidR="006C0E68">
        <w:rPr>
          <w:rFonts w:ascii="Times New Roman" w:hAnsi="Times New Roman" w:cs="Times New Roman"/>
          <w:sz w:val="24"/>
          <w:szCs w:val="24"/>
        </w:rPr>
        <w:t xml:space="preserve">oku 2008 boli presunuté výdavky </w:t>
      </w:r>
      <w:r w:rsidRPr="00105FF6">
        <w:rPr>
          <w:rFonts w:ascii="Times New Roman" w:hAnsi="Times New Roman" w:cs="Times New Roman"/>
          <w:sz w:val="24"/>
          <w:szCs w:val="24"/>
        </w:rPr>
        <w:t>na výstavbu ciest I. triedy a diaľničných privádzačov</w:t>
      </w:r>
      <w:r w:rsidR="006C0E68">
        <w:rPr>
          <w:rFonts w:ascii="Times New Roman" w:hAnsi="Times New Roman" w:cs="Times New Roman"/>
          <w:sz w:val="24"/>
          <w:szCs w:val="24"/>
        </w:rPr>
        <w:t xml:space="preserve"> (0530201</w:t>
      </w:r>
      <w:r w:rsidRPr="00105FF6">
        <w:rPr>
          <w:rFonts w:ascii="Times New Roman" w:hAnsi="Times New Roman" w:cs="Times New Roman"/>
          <w:sz w:val="24"/>
          <w:szCs w:val="24"/>
        </w:rPr>
        <w:t xml:space="preserve">) vo výške 47 446 100,70 Sk, na </w:t>
      </w:r>
      <w:r>
        <w:rPr>
          <w:rFonts w:ascii="Times New Roman" w:hAnsi="Times New Roman" w:cs="Times New Roman"/>
          <w:sz w:val="24"/>
          <w:szCs w:val="24"/>
        </w:rPr>
        <w:t>obnovu</w:t>
      </w:r>
      <w:r w:rsidRPr="00105FF6">
        <w:rPr>
          <w:rFonts w:ascii="Times New Roman" w:hAnsi="Times New Roman" w:cs="Times New Roman"/>
          <w:sz w:val="24"/>
          <w:szCs w:val="24"/>
        </w:rPr>
        <w:t xml:space="preserve"> technickej základne údržby ciest</w:t>
      </w:r>
      <w:r>
        <w:rPr>
          <w:rFonts w:ascii="Times New Roman" w:hAnsi="Times New Roman" w:cs="Times New Roman"/>
          <w:sz w:val="24"/>
          <w:szCs w:val="24"/>
        </w:rPr>
        <w:t xml:space="preserve"> (0530202) vo výške 3 693 131,- Sk a na pokračovanie realizácie projektu výstavby Severného obchvatu mesta Trnava vo </w:t>
      </w:r>
      <w:r w:rsidR="006C0E68">
        <w:rPr>
          <w:rFonts w:ascii="Times New Roman" w:hAnsi="Times New Roman" w:cs="Times New Roman"/>
          <w:sz w:val="24"/>
          <w:szCs w:val="24"/>
        </w:rPr>
        <w:t>výške 2 069 678,- Sk (0530201) – RO MF SR č. 29.</w:t>
      </w:r>
    </w:p>
    <w:p w:rsidR="00105FF6" w:rsidP="00FC16F9">
      <w:pPr>
        <w:spacing w:line="240" w:lineRule="auto"/>
        <w:rPr>
          <w:rFonts w:ascii="Times New Roman" w:hAnsi="Times New Roman" w:cs="Times New Roman"/>
          <w:b/>
          <w:sz w:val="28"/>
          <w:szCs w:val="28"/>
          <w:u w:val="single"/>
        </w:rPr>
      </w:pPr>
    </w:p>
    <w:p w:rsidR="006E2C6E" w:rsidP="00FC16F9">
      <w:pPr>
        <w:spacing w:line="240" w:lineRule="auto"/>
        <w:rPr>
          <w:rFonts w:ascii="Times New Roman" w:hAnsi="Times New Roman" w:cs="Times New Roman"/>
          <w:b/>
          <w:sz w:val="28"/>
          <w:szCs w:val="28"/>
          <w:u w:val="single"/>
        </w:rPr>
      </w:pPr>
    </w:p>
    <w:p w:rsidR="00072721" w:rsidRPr="00FC16F9" w:rsidP="00FC16F9">
      <w:pPr>
        <w:spacing w:line="240" w:lineRule="auto"/>
        <w:rPr>
          <w:rFonts w:ascii="Times New Roman" w:hAnsi="Times New Roman" w:cs="Times New Roman"/>
          <w:b/>
          <w:sz w:val="28"/>
          <w:szCs w:val="28"/>
          <w:u w:val="single"/>
        </w:rPr>
      </w:pPr>
      <w:r w:rsidR="00DA0FCC">
        <w:rPr>
          <w:rFonts w:ascii="Times New Roman" w:hAnsi="Times New Roman" w:cs="Times New Roman"/>
          <w:b/>
          <w:sz w:val="28"/>
          <w:szCs w:val="28"/>
          <w:u w:val="single"/>
        </w:rPr>
        <w:t xml:space="preserve">0530206 – Modernizácia a </w:t>
      </w:r>
      <w:r w:rsidRPr="00FC16F9">
        <w:rPr>
          <w:rFonts w:ascii="Times New Roman" w:hAnsi="Times New Roman" w:cs="Times New Roman"/>
          <w:b/>
          <w:sz w:val="28"/>
          <w:szCs w:val="28"/>
          <w:u w:val="single"/>
        </w:rPr>
        <w:t>rozvoj cestnej infraštruktúry – OP ZI – opatrenie</w:t>
      </w:r>
      <w:r w:rsidRPr="00FC16F9">
        <w:rPr>
          <w:rFonts w:ascii="Times New Roman" w:hAnsi="Times New Roman" w:cs="Times New Roman"/>
          <w:b/>
          <w:sz w:val="28"/>
          <w:szCs w:val="28"/>
          <w:u w:val="single"/>
        </w:rPr>
        <w:t xml:space="preserve"> 1.2.</w:t>
      </w:r>
    </w:p>
    <w:p w:rsidR="00347871" w:rsidP="009A6DDE">
      <w:pPr>
        <w:spacing w:line="240" w:lineRule="auto"/>
        <w:rPr>
          <w:rFonts w:ascii="Times New Roman" w:hAnsi="Times New Roman" w:cs="Times New Roman"/>
          <w:sz w:val="24"/>
          <w:szCs w:val="24"/>
        </w:rPr>
      </w:pPr>
    </w:p>
    <w:p w:rsidR="006E2C6E" w:rsidP="009A6DDE">
      <w:pPr>
        <w:spacing w:line="240" w:lineRule="auto"/>
        <w:rPr>
          <w:rFonts w:ascii="Times New Roman" w:hAnsi="Times New Roman" w:cs="Times New Roman"/>
          <w:sz w:val="24"/>
          <w:szCs w:val="24"/>
        </w:rPr>
      </w:pPr>
    </w:p>
    <w:p w:rsidR="00DE099E" w:rsidRPr="00DE099E" w:rsidP="00DE099E">
      <w:pPr>
        <w:spacing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Finančné prostriedky z rozpočtu </w:t>
      </w:r>
      <w:r w:rsidRPr="00DE099E">
        <w:rPr>
          <w:rFonts w:ascii="Times New Roman" w:hAnsi="Times New Roman" w:cs="Times New Roman"/>
          <w:sz w:val="24"/>
          <w:szCs w:val="24"/>
        </w:rPr>
        <w:t xml:space="preserve">EÚ </w:t>
      </w:r>
      <w:r>
        <w:rPr>
          <w:rFonts w:ascii="Times New Roman" w:hAnsi="Times New Roman" w:cs="Times New Roman"/>
          <w:sz w:val="24"/>
          <w:szCs w:val="24"/>
        </w:rPr>
        <w:t xml:space="preserve">z fondu ERDF vo výške 402 393 899,35 Sk a </w:t>
      </w:r>
      <w:r w:rsidRPr="00DE099E">
        <w:rPr>
          <w:rFonts w:ascii="Times New Roman" w:hAnsi="Times New Roman" w:cs="Times New Roman"/>
          <w:sz w:val="24"/>
          <w:szCs w:val="24"/>
        </w:rPr>
        <w:t xml:space="preserve">spolufinancovanie </w:t>
      </w:r>
      <w:r>
        <w:rPr>
          <w:rFonts w:ascii="Times New Roman" w:hAnsi="Times New Roman" w:cs="Times New Roman"/>
          <w:sz w:val="24"/>
          <w:szCs w:val="24"/>
        </w:rPr>
        <w:t>zo štátneho rozpočtu vo výške 134 131 299,44 Sk t.j. celkovo v sume   536 525 198,79 Sk boli použité na nasledovné investičné akcie (n</w:t>
      </w:r>
      <w:r w:rsidRPr="00DE099E">
        <w:rPr>
          <w:rFonts w:ascii="Times New Roman" w:hAnsi="Times New Roman" w:cs="Times New Roman"/>
          <w:sz w:val="24"/>
          <w:szCs w:val="24"/>
        </w:rPr>
        <w:t>a jednotlivých stavbách bol uplatňovaný systém predfinacovania</w:t>
      </w:r>
      <w:r>
        <w:rPr>
          <w:rFonts w:ascii="Times New Roman" w:hAnsi="Times New Roman" w:cs="Times New Roman"/>
          <w:sz w:val="24"/>
          <w:szCs w:val="24"/>
        </w:rPr>
        <w:t xml:space="preserve">): </w:t>
      </w:r>
    </w:p>
    <w:p w:rsidR="00DE099E" w:rsidRPr="00DE099E" w:rsidP="00DE099E">
      <w:pPr>
        <w:spacing w:line="240" w:lineRule="auto"/>
        <w:rPr>
          <w:rFonts w:ascii="Times New Roman" w:hAnsi="Times New Roman" w:cs="Times New Roman"/>
          <w:sz w:val="24"/>
          <w:szCs w:val="24"/>
        </w:rPr>
      </w:pPr>
    </w:p>
    <w:p w:rsidR="00DE099E" w:rsidRPr="00DE099E" w:rsidP="00A17F35">
      <w:pPr>
        <w:spacing w:line="240" w:lineRule="auto"/>
        <w:ind w:left="720" w:firstLine="360"/>
        <w:rPr>
          <w:rFonts w:ascii="Times New Roman" w:hAnsi="Times New Roman" w:cs="Times New Roman"/>
          <w:b/>
          <w:sz w:val="24"/>
          <w:szCs w:val="24"/>
        </w:rPr>
      </w:pPr>
      <w:r w:rsidR="00A17F35">
        <w:rPr>
          <w:rFonts w:ascii="Times New Roman" w:hAnsi="Times New Roman" w:cs="Times New Roman"/>
          <w:b/>
          <w:sz w:val="24"/>
          <w:szCs w:val="24"/>
        </w:rPr>
        <w:t>I/51 S</w:t>
      </w:r>
      <w:r w:rsidRPr="00DE099E">
        <w:rPr>
          <w:rFonts w:ascii="Times New Roman" w:hAnsi="Times New Roman" w:cs="Times New Roman"/>
          <w:b/>
          <w:sz w:val="24"/>
          <w:szCs w:val="24"/>
        </w:rPr>
        <w:t>everný obchvat</w:t>
      </w:r>
      <w:r w:rsidR="00A17F35">
        <w:rPr>
          <w:rFonts w:ascii="Times New Roman" w:hAnsi="Times New Roman" w:cs="Times New Roman"/>
          <w:b/>
          <w:sz w:val="24"/>
          <w:szCs w:val="24"/>
        </w:rPr>
        <w:t xml:space="preserve"> mesta Trnava</w:t>
      </w:r>
    </w:p>
    <w:p w:rsidR="00DE099E" w:rsidRPr="00DE099E" w:rsidP="00A17F35">
      <w:pPr>
        <w:tabs>
          <w:tab w:val="decimal" w:pos="5400"/>
        </w:tabs>
        <w:spacing w:line="240" w:lineRule="auto"/>
        <w:ind w:left="1080"/>
        <w:rPr>
          <w:rFonts w:ascii="Times New Roman" w:hAnsi="Times New Roman" w:cs="Times New Roman"/>
          <w:sz w:val="24"/>
          <w:szCs w:val="24"/>
        </w:rPr>
      </w:pPr>
      <w:r w:rsidR="00A17F35">
        <w:rPr>
          <w:rFonts w:ascii="Times New Roman" w:hAnsi="Times New Roman" w:cs="Times New Roman"/>
          <w:sz w:val="24"/>
          <w:szCs w:val="24"/>
        </w:rPr>
        <w:t>Spolufinancovanie zo štátneho rozpočtu</w:t>
      </w:r>
      <w:r w:rsidRPr="00DE099E">
        <w:rPr>
          <w:rFonts w:ascii="Times New Roman" w:hAnsi="Times New Roman" w:cs="Times New Roman"/>
          <w:sz w:val="24"/>
          <w:szCs w:val="24"/>
        </w:rPr>
        <w:t xml:space="preserve">: </w:t>
        <w:tab/>
        <w:t>29 290 956,09 Sk</w:t>
      </w:r>
    </w:p>
    <w:p w:rsidR="00DE099E" w:rsidRPr="00DE099E" w:rsidP="00A17F35">
      <w:pPr>
        <w:tabs>
          <w:tab w:val="decimal" w:pos="5400"/>
        </w:tabs>
        <w:spacing w:line="240" w:lineRule="auto"/>
        <w:ind w:left="1080"/>
        <w:rPr>
          <w:rFonts w:ascii="Times New Roman" w:hAnsi="Times New Roman" w:cs="Times New Roman"/>
          <w:sz w:val="24"/>
          <w:szCs w:val="24"/>
        </w:rPr>
      </w:pPr>
      <w:r w:rsidR="00A17F35">
        <w:rPr>
          <w:rFonts w:ascii="Times New Roman" w:hAnsi="Times New Roman" w:cs="Times New Roman"/>
          <w:sz w:val="24"/>
          <w:szCs w:val="24"/>
        </w:rPr>
        <w:t xml:space="preserve">Prostriedky z ERDF:                                 </w:t>
      </w:r>
      <w:r w:rsidRPr="00DE099E">
        <w:rPr>
          <w:rFonts w:ascii="Times New Roman" w:hAnsi="Times New Roman" w:cs="Times New Roman"/>
          <w:sz w:val="24"/>
          <w:szCs w:val="24"/>
        </w:rPr>
        <w:t>87 872 868,14 Sk</w:t>
      </w:r>
    </w:p>
    <w:p w:rsidR="00DE099E" w:rsidRPr="00DE099E" w:rsidP="00A17F35">
      <w:pPr>
        <w:spacing w:line="240" w:lineRule="auto"/>
        <w:ind w:left="720" w:firstLine="360"/>
        <w:rPr>
          <w:rFonts w:ascii="Times New Roman" w:hAnsi="Times New Roman" w:cs="Times New Roman"/>
          <w:b/>
          <w:sz w:val="24"/>
          <w:szCs w:val="24"/>
        </w:rPr>
      </w:pPr>
    </w:p>
    <w:p w:rsidR="00DE099E" w:rsidRPr="00DE099E" w:rsidP="00A17F35">
      <w:pPr>
        <w:spacing w:line="240" w:lineRule="auto"/>
        <w:ind w:left="720" w:firstLine="360"/>
        <w:rPr>
          <w:rFonts w:ascii="Times New Roman" w:hAnsi="Times New Roman" w:cs="Times New Roman"/>
          <w:b/>
          <w:sz w:val="24"/>
          <w:szCs w:val="24"/>
        </w:rPr>
      </w:pPr>
      <w:r w:rsidR="00A17F35">
        <w:rPr>
          <w:rFonts w:ascii="Times New Roman" w:hAnsi="Times New Roman" w:cs="Times New Roman"/>
          <w:b/>
          <w:sz w:val="24"/>
          <w:szCs w:val="24"/>
        </w:rPr>
        <w:t xml:space="preserve">I/72 Piesok – Bystrá, </w:t>
      </w:r>
      <w:r w:rsidRPr="00DE099E">
        <w:rPr>
          <w:rFonts w:ascii="Times New Roman" w:hAnsi="Times New Roman" w:cs="Times New Roman"/>
          <w:b/>
          <w:sz w:val="24"/>
          <w:szCs w:val="24"/>
        </w:rPr>
        <w:t>I. etapa</w:t>
      </w:r>
    </w:p>
    <w:p w:rsidR="00DE099E" w:rsidRPr="00DE099E" w:rsidP="00A17F35">
      <w:pPr>
        <w:tabs>
          <w:tab w:val="decimal" w:pos="5400"/>
        </w:tabs>
        <w:spacing w:line="240" w:lineRule="auto"/>
        <w:ind w:left="1080"/>
        <w:rPr>
          <w:rFonts w:ascii="Times New Roman" w:hAnsi="Times New Roman" w:cs="Times New Roman"/>
          <w:sz w:val="24"/>
          <w:szCs w:val="24"/>
        </w:rPr>
      </w:pPr>
      <w:r w:rsidR="00A17F35">
        <w:rPr>
          <w:rFonts w:ascii="Times New Roman" w:hAnsi="Times New Roman" w:cs="Times New Roman"/>
          <w:sz w:val="24"/>
          <w:szCs w:val="24"/>
        </w:rPr>
        <w:t>Spolufinancovan</w:t>
      </w:r>
      <w:r w:rsidR="00A17F35">
        <w:rPr>
          <w:rFonts w:ascii="Times New Roman" w:hAnsi="Times New Roman" w:cs="Times New Roman"/>
          <w:sz w:val="24"/>
          <w:szCs w:val="24"/>
        </w:rPr>
        <w:t>ie z</w:t>
      </w:r>
      <w:r w:rsidRPr="00DE099E">
        <w:rPr>
          <w:rFonts w:ascii="Times New Roman" w:hAnsi="Times New Roman" w:cs="Times New Roman"/>
          <w:sz w:val="24"/>
          <w:szCs w:val="24"/>
        </w:rPr>
        <w:t>o š</w:t>
      </w:r>
      <w:r w:rsidR="00A17F35">
        <w:rPr>
          <w:rFonts w:ascii="Times New Roman" w:hAnsi="Times New Roman" w:cs="Times New Roman"/>
          <w:sz w:val="24"/>
          <w:szCs w:val="24"/>
        </w:rPr>
        <w:t>tátneho rozpočtu</w:t>
      </w:r>
      <w:r w:rsidRPr="00DE099E">
        <w:rPr>
          <w:rFonts w:ascii="Times New Roman" w:hAnsi="Times New Roman" w:cs="Times New Roman"/>
          <w:sz w:val="24"/>
          <w:szCs w:val="24"/>
        </w:rPr>
        <w:t xml:space="preserve">: </w:t>
        <w:tab/>
        <w:t>15 069 763,11 Sk</w:t>
      </w:r>
    </w:p>
    <w:p w:rsidR="00DE099E" w:rsidRPr="00DE099E" w:rsidP="00A17F35">
      <w:pPr>
        <w:tabs>
          <w:tab w:val="decimal" w:pos="5400"/>
        </w:tabs>
        <w:spacing w:line="240" w:lineRule="auto"/>
        <w:ind w:left="1080"/>
        <w:rPr>
          <w:rFonts w:ascii="Times New Roman" w:hAnsi="Times New Roman" w:cs="Times New Roman"/>
          <w:sz w:val="24"/>
          <w:szCs w:val="24"/>
        </w:rPr>
      </w:pPr>
      <w:r w:rsidR="00A17F35">
        <w:rPr>
          <w:rFonts w:ascii="Times New Roman" w:hAnsi="Times New Roman" w:cs="Times New Roman"/>
          <w:sz w:val="24"/>
          <w:szCs w:val="24"/>
        </w:rPr>
        <w:t>Prostriedky z ERDF</w:t>
      </w:r>
      <w:r w:rsidRPr="00DE099E">
        <w:rPr>
          <w:rFonts w:ascii="Times New Roman" w:hAnsi="Times New Roman" w:cs="Times New Roman"/>
          <w:sz w:val="24"/>
          <w:szCs w:val="24"/>
        </w:rPr>
        <w:t>:</w:t>
      </w:r>
      <w:r w:rsidR="00A17F35">
        <w:rPr>
          <w:rFonts w:ascii="Times New Roman" w:hAnsi="Times New Roman" w:cs="Times New Roman"/>
          <w:sz w:val="24"/>
          <w:szCs w:val="24"/>
        </w:rPr>
        <w:t xml:space="preserve">                                 </w:t>
      </w:r>
      <w:r w:rsidRPr="00DE099E">
        <w:rPr>
          <w:rFonts w:ascii="Times New Roman" w:hAnsi="Times New Roman" w:cs="Times New Roman"/>
          <w:sz w:val="24"/>
          <w:szCs w:val="24"/>
        </w:rPr>
        <w:t>45 209 289,27 Sk</w:t>
      </w:r>
    </w:p>
    <w:p w:rsidR="00DE099E" w:rsidRPr="00DE099E" w:rsidP="00A17F35">
      <w:pPr>
        <w:spacing w:line="240" w:lineRule="auto"/>
        <w:ind w:left="720"/>
        <w:rPr>
          <w:rFonts w:ascii="Times New Roman" w:hAnsi="Times New Roman" w:cs="Times New Roman"/>
          <w:sz w:val="24"/>
          <w:szCs w:val="24"/>
        </w:rPr>
      </w:pPr>
    </w:p>
    <w:p w:rsidR="00DE099E" w:rsidRPr="00DE099E" w:rsidP="00A17F35">
      <w:pPr>
        <w:spacing w:line="240" w:lineRule="auto"/>
        <w:ind w:left="720" w:firstLine="360"/>
        <w:rPr>
          <w:rFonts w:ascii="Times New Roman" w:hAnsi="Times New Roman" w:cs="Times New Roman"/>
          <w:b/>
          <w:sz w:val="24"/>
          <w:szCs w:val="24"/>
        </w:rPr>
      </w:pPr>
      <w:r w:rsidR="00A17F35">
        <w:rPr>
          <w:rFonts w:ascii="Times New Roman" w:hAnsi="Times New Roman" w:cs="Times New Roman"/>
          <w:b/>
          <w:sz w:val="24"/>
          <w:szCs w:val="24"/>
        </w:rPr>
        <w:t xml:space="preserve">I/59 Motyčky, </w:t>
      </w:r>
      <w:r w:rsidRPr="00DE099E">
        <w:rPr>
          <w:rFonts w:ascii="Times New Roman" w:hAnsi="Times New Roman" w:cs="Times New Roman"/>
          <w:b/>
          <w:sz w:val="24"/>
          <w:szCs w:val="24"/>
        </w:rPr>
        <w:t>núdzový záliv</w:t>
      </w:r>
    </w:p>
    <w:p w:rsidR="00DE099E" w:rsidRPr="00DE099E" w:rsidP="00A17F35">
      <w:pPr>
        <w:tabs>
          <w:tab w:val="decimal" w:pos="5400"/>
        </w:tabs>
        <w:spacing w:line="240" w:lineRule="auto"/>
        <w:ind w:left="1080"/>
        <w:rPr>
          <w:rFonts w:ascii="Times New Roman" w:hAnsi="Times New Roman" w:cs="Times New Roman"/>
          <w:sz w:val="24"/>
          <w:szCs w:val="24"/>
        </w:rPr>
      </w:pPr>
      <w:r w:rsidR="00A17F35">
        <w:rPr>
          <w:rFonts w:ascii="Times New Roman" w:hAnsi="Times New Roman" w:cs="Times New Roman"/>
          <w:sz w:val="24"/>
          <w:szCs w:val="24"/>
        </w:rPr>
        <w:t>Spolufinancovanie z</w:t>
      </w:r>
      <w:r w:rsidRPr="00DE099E">
        <w:rPr>
          <w:rFonts w:ascii="Times New Roman" w:hAnsi="Times New Roman" w:cs="Times New Roman"/>
          <w:sz w:val="24"/>
          <w:szCs w:val="24"/>
        </w:rPr>
        <w:t>o</w:t>
      </w:r>
      <w:r w:rsidR="00A17F35">
        <w:rPr>
          <w:rFonts w:ascii="Times New Roman" w:hAnsi="Times New Roman" w:cs="Times New Roman"/>
          <w:sz w:val="24"/>
          <w:szCs w:val="24"/>
        </w:rPr>
        <w:t xml:space="preserve"> štátneho rozpočtu</w:t>
      </w:r>
      <w:r w:rsidRPr="00DE099E">
        <w:rPr>
          <w:rFonts w:ascii="Times New Roman" w:hAnsi="Times New Roman" w:cs="Times New Roman"/>
          <w:sz w:val="24"/>
          <w:szCs w:val="24"/>
        </w:rPr>
        <w:t xml:space="preserve">: </w:t>
        <w:tab/>
        <w:t>1 136 313,23 Sk</w:t>
      </w:r>
    </w:p>
    <w:p w:rsidR="00DE099E" w:rsidRPr="00DE099E" w:rsidP="00A17F35">
      <w:pPr>
        <w:tabs>
          <w:tab w:val="decimal" w:pos="5400"/>
        </w:tabs>
        <w:spacing w:line="240" w:lineRule="auto"/>
        <w:ind w:left="1080"/>
        <w:rPr>
          <w:rFonts w:ascii="Times New Roman" w:hAnsi="Times New Roman" w:cs="Times New Roman"/>
          <w:sz w:val="24"/>
          <w:szCs w:val="24"/>
        </w:rPr>
      </w:pPr>
      <w:r w:rsidR="00A17F35">
        <w:rPr>
          <w:rFonts w:ascii="Times New Roman" w:hAnsi="Times New Roman" w:cs="Times New Roman"/>
          <w:sz w:val="24"/>
          <w:szCs w:val="24"/>
        </w:rPr>
        <w:t xml:space="preserve">Prostriedky z ERDF:                                 </w:t>
      </w:r>
      <w:r w:rsidRPr="00DE099E">
        <w:rPr>
          <w:rFonts w:ascii="Times New Roman" w:hAnsi="Times New Roman" w:cs="Times New Roman"/>
          <w:sz w:val="24"/>
          <w:szCs w:val="24"/>
        </w:rPr>
        <w:t>3 408 </w:t>
      </w:r>
      <w:r w:rsidRPr="00DE099E">
        <w:rPr>
          <w:rFonts w:ascii="Times New Roman" w:hAnsi="Times New Roman" w:cs="Times New Roman"/>
          <w:sz w:val="24"/>
          <w:szCs w:val="24"/>
        </w:rPr>
        <w:t>939,67 Sk</w:t>
      </w:r>
    </w:p>
    <w:p w:rsidR="00DE099E" w:rsidRPr="00DE099E" w:rsidP="00A17F35">
      <w:pPr>
        <w:spacing w:line="240" w:lineRule="auto"/>
        <w:ind w:left="720"/>
        <w:rPr>
          <w:rFonts w:ascii="Times New Roman" w:hAnsi="Times New Roman" w:cs="Times New Roman"/>
          <w:sz w:val="24"/>
          <w:szCs w:val="24"/>
        </w:rPr>
      </w:pPr>
    </w:p>
    <w:p w:rsidR="00DE099E" w:rsidRPr="00DE099E" w:rsidP="00A17F35">
      <w:pPr>
        <w:spacing w:line="240" w:lineRule="auto"/>
        <w:ind w:left="720" w:firstLine="360"/>
        <w:rPr>
          <w:rFonts w:ascii="Times New Roman" w:hAnsi="Times New Roman" w:cs="Times New Roman"/>
          <w:b/>
          <w:sz w:val="24"/>
          <w:szCs w:val="24"/>
        </w:rPr>
      </w:pPr>
      <w:r w:rsidRPr="00DE099E">
        <w:rPr>
          <w:rFonts w:ascii="Times New Roman" w:hAnsi="Times New Roman" w:cs="Times New Roman"/>
          <w:b/>
          <w:sz w:val="24"/>
          <w:szCs w:val="24"/>
        </w:rPr>
        <w:t>I/73 Giraltovce prieťah, rekonštrukcia cesty</w:t>
      </w:r>
    </w:p>
    <w:p w:rsidR="00DE099E" w:rsidRPr="00DE099E" w:rsidP="00A17F35">
      <w:pPr>
        <w:tabs>
          <w:tab w:val="decimal" w:pos="5400"/>
        </w:tabs>
        <w:spacing w:line="240" w:lineRule="auto"/>
        <w:ind w:left="1080"/>
        <w:rPr>
          <w:rFonts w:ascii="Times New Roman" w:hAnsi="Times New Roman" w:cs="Times New Roman"/>
          <w:sz w:val="24"/>
          <w:szCs w:val="24"/>
        </w:rPr>
      </w:pPr>
      <w:r w:rsidR="00A17F35">
        <w:rPr>
          <w:rFonts w:ascii="Times New Roman" w:hAnsi="Times New Roman" w:cs="Times New Roman"/>
          <w:sz w:val="24"/>
          <w:szCs w:val="24"/>
        </w:rPr>
        <w:t>Spolufinancovanie z</w:t>
      </w:r>
      <w:r w:rsidRPr="00DE099E">
        <w:rPr>
          <w:rFonts w:ascii="Times New Roman" w:hAnsi="Times New Roman" w:cs="Times New Roman"/>
          <w:sz w:val="24"/>
          <w:szCs w:val="24"/>
        </w:rPr>
        <w:t>o š</w:t>
      </w:r>
      <w:r w:rsidR="00A17F35">
        <w:rPr>
          <w:rFonts w:ascii="Times New Roman" w:hAnsi="Times New Roman" w:cs="Times New Roman"/>
          <w:sz w:val="24"/>
          <w:szCs w:val="24"/>
        </w:rPr>
        <w:t>tátneho rozpočtu</w:t>
      </w:r>
      <w:r w:rsidRPr="00DE099E">
        <w:rPr>
          <w:rFonts w:ascii="Times New Roman" w:hAnsi="Times New Roman" w:cs="Times New Roman"/>
          <w:sz w:val="24"/>
          <w:szCs w:val="24"/>
        </w:rPr>
        <w:t xml:space="preserve">: </w:t>
        <w:tab/>
        <w:t>6 890 643,60 Sk</w:t>
      </w:r>
    </w:p>
    <w:p w:rsidR="00DE099E" w:rsidRPr="00DE099E" w:rsidP="00A17F35">
      <w:pPr>
        <w:tabs>
          <w:tab w:val="decimal" w:pos="5400"/>
        </w:tabs>
        <w:spacing w:line="240" w:lineRule="auto"/>
        <w:ind w:left="1080"/>
        <w:rPr>
          <w:rFonts w:ascii="Times New Roman" w:hAnsi="Times New Roman" w:cs="Times New Roman"/>
          <w:sz w:val="24"/>
          <w:szCs w:val="24"/>
        </w:rPr>
      </w:pPr>
      <w:r w:rsidR="00A17F35">
        <w:rPr>
          <w:rFonts w:ascii="Times New Roman" w:hAnsi="Times New Roman" w:cs="Times New Roman"/>
          <w:sz w:val="24"/>
          <w:szCs w:val="24"/>
        </w:rPr>
        <w:t xml:space="preserve">Prostriedky z ERDF:                               </w:t>
      </w:r>
      <w:r w:rsidRPr="00DE099E">
        <w:rPr>
          <w:rFonts w:ascii="Times New Roman" w:hAnsi="Times New Roman" w:cs="Times New Roman"/>
          <w:sz w:val="24"/>
          <w:szCs w:val="24"/>
        </w:rPr>
        <w:t>20 671 930,82 Sk</w:t>
      </w:r>
    </w:p>
    <w:p w:rsidR="00DE099E" w:rsidRPr="00DE099E" w:rsidP="00A17F35">
      <w:pPr>
        <w:spacing w:line="240" w:lineRule="auto"/>
        <w:ind w:left="720" w:firstLine="540"/>
        <w:rPr>
          <w:rFonts w:ascii="Times New Roman" w:hAnsi="Times New Roman" w:cs="Times New Roman"/>
          <w:b/>
          <w:sz w:val="24"/>
          <w:szCs w:val="24"/>
        </w:rPr>
      </w:pPr>
    </w:p>
    <w:p w:rsidR="00DE099E" w:rsidRPr="00DE099E" w:rsidP="00A17F35">
      <w:pPr>
        <w:spacing w:line="240" w:lineRule="auto"/>
        <w:ind w:left="720" w:firstLine="360"/>
        <w:rPr>
          <w:rFonts w:ascii="Times New Roman" w:hAnsi="Times New Roman" w:cs="Times New Roman"/>
          <w:b/>
          <w:sz w:val="24"/>
          <w:szCs w:val="24"/>
        </w:rPr>
      </w:pPr>
      <w:r w:rsidR="00A17F35">
        <w:rPr>
          <w:rFonts w:ascii="Times New Roman" w:hAnsi="Times New Roman" w:cs="Times New Roman"/>
          <w:b/>
          <w:sz w:val="24"/>
          <w:szCs w:val="24"/>
        </w:rPr>
        <w:t xml:space="preserve">Privádzač Košice, Prešovská – </w:t>
      </w:r>
      <w:r w:rsidRPr="00DE099E">
        <w:rPr>
          <w:rFonts w:ascii="Times New Roman" w:hAnsi="Times New Roman" w:cs="Times New Roman"/>
          <w:b/>
          <w:sz w:val="24"/>
          <w:szCs w:val="24"/>
        </w:rPr>
        <w:t>Sečovská III. etapa</w:t>
      </w:r>
    </w:p>
    <w:p w:rsidR="00DE099E" w:rsidRPr="00DE099E" w:rsidP="00A17F35">
      <w:pPr>
        <w:tabs>
          <w:tab w:val="decimal" w:pos="5400"/>
        </w:tabs>
        <w:spacing w:line="240" w:lineRule="auto"/>
        <w:ind w:left="1080"/>
        <w:rPr>
          <w:rFonts w:ascii="Times New Roman" w:hAnsi="Times New Roman" w:cs="Times New Roman"/>
          <w:sz w:val="24"/>
          <w:szCs w:val="24"/>
        </w:rPr>
      </w:pPr>
      <w:r w:rsidR="00A17F35">
        <w:rPr>
          <w:rFonts w:ascii="Times New Roman" w:hAnsi="Times New Roman" w:cs="Times New Roman"/>
          <w:sz w:val="24"/>
          <w:szCs w:val="24"/>
        </w:rPr>
        <w:t>Spolufinancovanie z</w:t>
      </w:r>
      <w:r w:rsidRPr="00DE099E">
        <w:rPr>
          <w:rFonts w:ascii="Times New Roman" w:hAnsi="Times New Roman" w:cs="Times New Roman"/>
          <w:sz w:val="24"/>
          <w:szCs w:val="24"/>
        </w:rPr>
        <w:t>o š</w:t>
      </w:r>
      <w:r w:rsidR="00A17F35">
        <w:rPr>
          <w:rFonts w:ascii="Times New Roman" w:hAnsi="Times New Roman" w:cs="Times New Roman"/>
          <w:sz w:val="24"/>
          <w:szCs w:val="24"/>
        </w:rPr>
        <w:t>tátneho rozpočtu</w:t>
      </w:r>
      <w:r w:rsidRPr="00DE099E">
        <w:rPr>
          <w:rFonts w:ascii="Times New Roman" w:hAnsi="Times New Roman" w:cs="Times New Roman"/>
          <w:sz w:val="24"/>
          <w:szCs w:val="24"/>
        </w:rPr>
        <w:t xml:space="preserve">: </w:t>
        <w:tab/>
        <w:t>30 223 199,08 Sk</w:t>
      </w:r>
    </w:p>
    <w:p w:rsidR="00DE099E" w:rsidRPr="00DE099E" w:rsidP="00A17F35">
      <w:pPr>
        <w:tabs>
          <w:tab w:val="decimal" w:pos="5400"/>
        </w:tabs>
        <w:spacing w:line="240" w:lineRule="auto"/>
        <w:ind w:left="1080"/>
        <w:rPr>
          <w:rFonts w:ascii="Times New Roman" w:hAnsi="Times New Roman" w:cs="Times New Roman"/>
          <w:sz w:val="24"/>
          <w:szCs w:val="24"/>
        </w:rPr>
      </w:pPr>
      <w:r w:rsidR="00A17F35">
        <w:rPr>
          <w:rFonts w:ascii="Times New Roman" w:hAnsi="Times New Roman" w:cs="Times New Roman"/>
          <w:sz w:val="24"/>
          <w:szCs w:val="24"/>
        </w:rPr>
        <w:t xml:space="preserve">Prostriedky z ERDF:                                 </w:t>
      </w:r>
      <w:r w:rsidRPr="00DE099E">
        <w:rPr>
          <w:rFonts w:ascii="Times New Roman" w:hAnsi="Times New Roman" w:cs="Times New Roman"/>
          <w:sz w:val="24"/>
          <w:szCs w:val="24"/>
        </w:rPr>
        <w:t>90 669 597,17 Sk</w:t>
      </w:r>
    </w:p>
    <w:p w:rsidR="00DE099E" w:rsidRPr="00DE099E" w:rsidP="00A1389F">
      <w:pPr>
        <w:spacing w:line="240" w:lineRule="auto"/>
        <w:rPr>
          <w:rFonts w:ascii="Times New Roman" w:hAnsi="Times New Roman" w:cs="Times New Roman"/>
          <w:b/>
          <w:sz w:val="24"/>
          <w:szCs w:val="24"/>
        </w:rPr>
      </w:pPr>
    </w:p>
    <w:p w:rsidR="00DE099E" w:rsidRPr="00DE099E" w:rsidP="00A17F35">
      <w:pPr>
        <w:spacing w:line="240" w:lineRule="auto"/>
        <w:ind w:left="720" w:firstLine="360"/>
        <w:rPr>
          <w:rFonts w:ascii="Times New Roman" w:hAnsi="Times New Roman" w:cs="Times New Roman"/>
          <w:b/>
          <w:sz w:val="24"/>
          <w:szCs w:val="24"/>
        </w:rPr>
      </w:pPr>
      <w:r w:rsidRPr="00DE099E">
        <w:rPr>
          <w:rFonts w:ascii="Times New Roman" w:hAnsi="Times New Roman" w:cs="Times New Roman"/>
          <w:b/>
          <w:sz w:val="24"/>
          <w:szCs w:val="24"/>
        </w:rPr>
        <w:t xml:space="preserve">Privádzač Žilina – Strážov  </w:t>
      </w:r>
    </w:p>
    <w:p w:rsidR="00DE099E" w:rsidRPr="00DE099E" w:rsidP="00A17F35">
      <w:pPr>
        <w:tabs>
          <w:tab w:val="decimal" w:pos="5400"/>
        </w:tabs>
        <w:spacing w:line="240" w:lineRule="auto"/>
        <w:ind w:left="1080"/>
        <w:rPr>
          <w:rFonts w:ascii="Times New Roman" w:hAnsi="Times New Roman" w:cs="Times New Roman"/>
          <w:sz w:val="24"/>
          <w:szCs w:val="24"/>
        </w:rPr>
      </w:pPr>
      <w:r w:rsidR="00A17F35">
        <w:rPr>
          <w:rFonts w:ascii="Times New Roman" w:hAnsi="Times New Roman" w:cs="Times New Roman"/>
          <w:sz w:val="24"/>
          <w:szCs w:val="24"/>
        </w:rPr>
        <w:t>Spolufinancovanie z</w:t>
      </w:r>
      <w:r w:rsidRPr="00DE099E">
        <w:rPr>
          <w:rFonts w:ascii="Times New Roman" w:hAnsi="Times New Roman" w:cs="Times New Roman"/>
          <w:sz w:val="24"/>
          <w:szCs w:val="24"/>
        </w:rPr>
        <w:t>o š</w:t>
      </w:r>
      <w:r w:rsidR="00A17F35">
        <w:rPr>
          <w:rFonts w:ascii="Times New Roman" w:hAnsi="Times New Roman" w:cs="Times New Roman"/>
          <w:sz w:val="24"/>
          <w:szCs w:val="24"/>
        </w:rPr>
        <w:t>tátneho rozpočtu</w:t>
      </w:r>
      <w:r w:rsidRPr="00DE099E">
        <w:rPr>
          <w:rFonts w:ascii="Times New Roman" w:hAnsi="Times New Roman" w:cs="Times New Roman"/>
          <w:sz w:val="24"/>
          <w:szCs w:val="24"/>
        </w:rPr>
        <w:t xml:space="preserve">: </w:t>
        <w:tab/>
        <w:t>47 747 181,57 Sk</w:t>
      </w:r>
    </w:p>
    <w:p w:rsidR="00DE099E" w:rsidRPr="00DE099E" w:rsidP="00A17F35">
      <w:pPr>
        <w:tabs>
          <w:tab w:val="decimal" w:pos="5400"/>
        </w:tabs>
        <w:spacing w:line="240" w:lineRule="auto"/>
        <w:ind w:left="1080"/>
        <w:rPr>
          <w:rFonts w:ascii="Times New Roman" w:hAnsi="Times New Roman" w:cs="Times New Roman"/>
          <w:sz w:val="24"/>
          <w:szCs w:val="24"/>
        </w:rPr>
      </w:pPr>
      <w:r w:rsidR="00A17F35">
        <w:rPr>
          <w:rFonts w:ascii="Times New Roman" w:hAnsi="Times New Roman" w:cs="Times New Roman"/>
          <w:sz w:val="24"/>
          <w:szCs w:val="24"/>
        </w:rPr>
        <w:t xml:space="preserve">Prostriedky z ERDF:                               </w:t>
      </w:r>
      <w:r w:rsidRPr="00DE099E">
        <w:rPr>
          <w:rFonts w:ascii="Times New Roman" w:hAnsi="Times New Roman" w:cs="Times New Roman"/>
          <w:sz w:val="24"/>
          <w:szCs w:val="24"/>
        </w:rPr>
        <w:t>143 241 544,57 S</w:t>
      </w:r>
      <w:r w:rsidRPr="00DE099E">
        <w:rPr>
          <w:rFonts w:ascii="Times New Roman" w:hAnsi="Times New Roman" w:cs="Times New Roman"/>
          <w:sz w:val="24"/>
          <w:szCs w:val="24"/>
        </w:rPr>
        <w:t>k</w:t>
      </w:r>
    </w:p>
    <w:p w:rsidR="00DE099E" w:rsidRPr="00DE099E" w:rsidP="00A17F35">
      <w:pPr>
        <w:tabs>
          <w:tab w:val="left" w:pos="360"/>
        </w:tabs>
        <w:spacing w:line="240" w:lineRule="auto"/>
        <w:ind w:left="720" w:firstLine="360"/>
        <w:rPr>
          <w:rFonts w:ascii="Times New Roman" w:hAnsi="Times New Roman" w:cs="Times New Roman"/>
          <w:b/>
          <w:sz w:val="24"/>
          <w:szCs w:val="24"/>
        </w:rPr>
      </w:pPr>
    </w:p>
    <w:p w:rsidR="00DE099E" w:rsidRPr="00DE099E" w:rsidP="00A17F35">
      <w:pPr>
        <w:tabs>
          <w:tab w:val="left" w:pos="360"/>
        </w:tabs>
        <w:spacing w:line="240" w:lineRule="auto"/>
        <w:ind w:left="720" w:firstLine="360"/>
        <w:rPr>
          <w:rFonts w:ascii="Times New Roman" w:hAnsi="Times New Roman" w:cs="Times New Roman"/>
          <w:b/>
          <w:sz w:val="24"/>
          <w:szCs w:val="24"/>
        </w:rPr>
      </w:pPr>
      <w:r w:rsidR="00A17F35">
        <w:rPr>
          <w:rFonts w:ascii="Times New Roman" w:hAnsi="Times New Roman" w:cs="Times New Roman"/>
          <w:b/>
          <w:sz w:val="24"/>
          <w:szCs w:val="24"/>
        </w:rPr>
        <w:t xml:space="preserve">Obchvat Prievidze, </w:t>
      </w:r>
      <w:r w:rsidRPr="00DE099E">
        <w:rPr>
          <w:rFonts w:ascii="Times New Roman" w:hAnsi="Times New Roman" w:cs="Times New Roman"/>
          <w:b/>
          <w:sz w:val="24"/>
          <w:szCs w:val="24"/>
        </w:rPr>
        <w:t>I. etapa, 1. stavba – MZ v trase budúcej I/64</w:t>
      </w:r>
    </w:p>
    <w:p w:rsidR="00DE099E" w:rsidRPr="00DE099E" w:rsidP="00A17F35">
      <w:pPr>
        <w:tabs>
          <w:tab w:val="decimal" w:pos="5400"/>
        </w:tabs>
        <w:spacing w:line="240" w:lineRule="auto"/>
        <w:ind w:left="1080"/>
        <w:rPr>
          <w:rFonts w:ascii="Times New Roman" w:hAnsi="Times New Roman" w:cs="Times New Roman"/>
          <w:sz w:val="24"/>
          <w:szCs w:val="24"/>
        </w:rPr>
      </w:pPr>
      <w:r w:rsidR="00A17F35">
        <w:rPr>
          <w:rFonts w:ascii="Times New Roman" w:hAnsi="Times New Roman" w:cs="Times New Roman"/>
          <w:sz w:val="24"/>
          <w:szCs w:val="24"/>
        </w:rPr>
        <w:t>Spolufinancovanie z</w:t>
      </w:r>
      <w:r w:rsidRPr="00DE099E">
        <w:rPr>
          <w:rFonts w:ascii="Times New Roman" w:hAnsi="Times New Roman" w:cs="Times New Roman"/>
          <w:sz w:val="24"/>
          <w:szCs w:val="24"/>
        </w:rPr>
        <w:t>o š</w:t>
      </w:r>
      <w:r w:rsidR="00A17F35">
        <w:rPr>
          <w:rFonts w:ascii="Times New Roman" w:hAnsi="Times New Roman" w:cs="Times New Roman"/>
          <w:sz w:val="24"/>
          <w:szCs w:val="24"/>
        </w:rPr>
        <w:t>tátneho rozpočtu</w:t>
      </w:r>
      <w:r w:rsidRPr="00DE099E">
        <w:rPr>
          <w:rFonts w:ascii="Times New Roman" w:hAnsi="Times New Roman" w:cs="Times New Roman"/>
          <w:sz w:val="24"/>
          <w:szCs w:val="24"/>
        </w:rPr>
        <w:t xml:space="preserve">: </w:t>
        <w:tab/>
        <w:t>3 773 242,76 Sk</w:t>
      </w:r>
    </w:p>
    <w:p w:rsidR="00DE099E" w:rsidP="00A17F35">
      <w:pPr>
        <w:tabs>
          <w:tab w:val="decimal" w:pos="5400"/>
        </w:tabs>
        <w:spacing w:line="240" w:lineRule="auto"/>
        <w:ind w:left="1080"/>
        <w:rPr>
          <w:rFonts w:ascii="Times New Roman" w:hAnsi="Times New Roman" w:cs="Times New Roman"/>
          <w:sz w:val="24"/>
          <w:szCs w:val="24"/>
        </w:rPr>
      </w:pPr>
      <w:r w:rsidR="00A17F35">
        <w:rPr>
          <w:rFonts w:ascii="Times New Roman" w:hAnsi="Times New Roman" w:cs="Times New Roman"/>
          <w:sz w:val="24"/>
          <w:szCs w:val="24"/>
        </w:rPr>
        <w:t xml:space="preserve">Prostriedky ERDF:                                  </w:t>
      </w:r>
      <w:r w:rsidRPr="00DE099E">
        <w:rPr>
          <w:rFonts w:ascii="Times New Roman" w:hAnsi="Times New Roman" w:cs="Times New Roman"/>
          <w:sz w:val="24"/>
          <w:szCs w:val="24"/>
        </w:rPr>
        <w:t>11 319 729,71 Sk</w:t>
      </w:r>
    </w:p>
    <w:p w:rsidR="00105FF6" w:rsidP="00105FF6">
      <w:pPr>
        <w:tabs>
          <w:tab w:val="decimal" w:pos="5400"/>
        </w:tabs>
        <w:spacing w:line="240" w:lineRule="auto"/>
        <w:rPr>
          <w:rFonts w:ascii="Times New Roman" w:hAnsi="Times New Roman" w:cs="Times New Roman"/>
          <w:sz w:val="24"/>
          <w:szCs w:val="24"/>
        </w:rPr>
      </w:pPr>
    </w:p>
    <w:p w:rsidR="00105FF6" w:rsidRPr="00DE099E" w:rsidP="00105FF6">
      <w:pPr>
        <w:spacing w:line="240" w:lineRule="auto"/>
        <w:rPr>
          <w:rFonts w:ascii="Times New Roman" w:hAnsi="Times New Roman" w:cs="Times New Roman"/>
          <w:sz w:val="24"/>
          <w:szCs w:val="24"/>
        </w:rPr>
      </w:pPr>
      <w:r w:rsidRPr="00105FF6">
        <w:rPr>
          <w:rFonts w:ascii="Times New Roman" w:hAnsi="Times New Roman" w:cs="Times New Roman"/>
          <w:sz w:val="24"/>
          <w:szCs w:val="24"/>
        </w:rPr>
        <w:tab/>
        <w:t>Do roku 2008 boli presunuté výdavky na</w:t>
      </w:r>
      <w:r>
        <w:rPr>
          <w:rFonts w:ascii="Times New Roman" w:hAnsi="Times New Roman" w:cs="Times New Roman"/>
          <w:sz w:val="24"/>
          <w:szCs w:val="24"/>
        </w:rPr>
        <w:t xml:space="preserve"> výstavbu ciest I. triedy a diaľničných privádzačov, vo výške 962 815 448,78 Sk, z toho prostriedky z EÚ vo výške 952 340 086,34 Sk a príslušné spolufinancovanie zo ŠR vo výške 10 475 3</w:t>
      </w:r>
      <w:r w:rsidR="006C0E68">
        <w:rPr>
          <w:rFonts w:ascii="Times New Roman" w:hAnsi="Times New Roman" w:cs="Times New Roman"/>
          <w:sz w:val="24"/>
          <w:szCs w:val="24"/>
        </w:rPr>
        <w:t xml:space="preserve">62,44 Sk – RO </w:t>
      </w:r>
      <w:r w:rsidR="00F51E4A">
        <w:rPr>
          <w:rFonts w:ascii="Times New Roman" w:hAnsi="Times New Roman" w:cs="Times New Roman"/>
          <w:sz w:val="24"/>
          <w:szCs w:val="24"/>
        </w:rPr>
        <w:t>MF SR č. 36</w:t>
      </w:r>
      <w:r>
        <w:rPr>
          <w:rFonts w:ascii="Times New Roman" w:hAnsi="Times New Roman" w:cs="Times New Roman"/>
          <w:sz w:val="24"/>
          <w:szCs w:val="24"/>
        </w:rPr>
        <w:t xml:space="preserve">. </w:t>
      </w:r>
    </w:p>
    <w:p w:rsidR="00216C96" w:rsidP="004C031B">
      <w:pPr>
        <w:spacing w:line="240" w:lineRule="auto"/>
        <w:rPr>
          <w:rFonts w:ascii="Times New Roman" w:hAnsi="Times New Roman" w:cs="Times New Roman"/>
          <w:sz w:val="24"/>
          <w:szCs w:val="24"/>
        </w:rPr>
      </w:pPr>
    </w:p>
    <w:p w:rsidR="00893F93" w:rsidRPr="00FE5D9E" w:rsidP="004C031B">
      <w:pPr>
        <w:spacing w:line="240" w:lineRule="auto"/>
        <w:rPr>
          <w:rFonts w:ascii="Times New Roman" w:hAnsi="Times New Roman" w:cs="Times New Roman"/>
          <w:sz w:val="24"/>
          <w:szCs w:val="24"/>
        </w:rPr>
      </w:pPr>
    </w:p>
    <w:p w:rsidR="007A620C" w:rsidRPr="00FC16F9" w:rsidP="00FC16F9">
      <w:pPr>
        <w:spacing w:line="240" w:lineRule="auto"/>
        <w:rPr>
          <w:rFonts w:ascii="Times New Roman" w:hAnsi="Times New Roman" w:cs="Times New Roman"/>
          <w:b/>
          <w:sz w:val="28"/>
          <w:szCs w:val="28"/>
          <w:u w:val="single"/>
        </w:rPr>
      </w:pPr>
      <w:r w:rsidRPr="00FC16F9" w:rsidR="00FE5D9E">
        <w:rPr>
          <w:rFonts w:ascii="Times New Roman" w:hAnsi="Times New Roman" w:cs="Times New Roman"/>
          <w:b/>
          <w:sz w:val="28"/>
          <w:szCs w:val="28"/>
          <w:u w:val="single"/>
        </w:rPr>
        <w:t>06E01 – MDPT SR – Dopravná a telekomunikačná podpora</w:t>
      </w:r>
    </w:p>
    <w:p w:rsidR="004B593A" w:rsidP="00532DAB">
      <w:pPr>
        <w:spacing w:line="240" w:lineRule="auto"/>
        <w:ind w:firstLine="709"/>
        <w:rPr>
          <w:rFonts w:ascii="Times New Roman" w:hAnsi="Times New Roman" w:cs="Times New Roman"/>
          <w:b/>
          <w:sz w:val="24"/>
          <w:szCs w:val="24"/>
          <w:u w:val="single"/>
        </w:rPr>
      </w:pPr>
    </w:p>
    <w:p w:rsidR="006E2C6E" w:rsidP="00532DAB">
      <w:pPr>
        <w:spacing w:line="240" w:lineRule="auto"/>
        <w:ind w:firstLine="709"/>
        <w:rPr>
          <w:rFonts w:ascii="Times New Roman" w:hAnsi="Times New Roman" w:cs="Times New Roman"/>
          <w:b/>
          <w:sz w:val="24"/>
          <w:szCs w:val="24"/>
          <w:u w:val="single"/>
        </w:rPr>
      </w:pPr>
    </w:p>
    <w:p w:rsidR="00F627B6" w:rsidRPr="00F627B6" w:rsidP="00012A3D">
      <w:pPr>
        <w:spacing w:line="240" w:lineRule="auto"/>
        <w:ind w:firstLine="709"/>
        <w:rPr>
          <w:rFonts w:ascii="Times New Roman" w:hAnsi="Times New Roman" w:cs="Times New Roman"/>
          <w:sz w:val="24"/>
          <w:szCs w:val="24"/>
        </w:rPr>
      </w:pPr>
      <w:r w:rsidRPr="00F627B6">
        <w:rPr>
          <w:rFonts w:ascii="Times New Roman" w:hAnsi="Times New Roman" w:cs="Times New Roman"/>
          <w:sz w:val="24"/>
          <w:szCs w:val="24"/>
        </w:rPr>
        <w:t>Z celkové</w:t>
      </w:r>
      <w:r w:rsidRPr="00F627B6">
        <w:rPr>
          <w:rFonts w:ascii="Times New Roman" w:hAnsi="Times New Roman" w:cs="Times New Roman"/>
          <w:sz w:val="24"/>
          <w:szCs w:val="24"/>
        </w:rPr>
        <w:t>ho objemu fina</w:t>
      </w:r>
      <w:r>
        <w:rPr>
          <w:rFonts w:ascii="Times New Roman" w:hAnsi="Times New Roman" w:cs="Times New Roman"/>
          <w:sz w:val="24"/>
          <w:szCs w:val="24"/>
        </w:rPr>
        <w:t xml:space="preserve">nčných prostriedkov vo výške 4 000 000,- </w:t>
      </w:r>
      <w:r w:rsidRPr="00F627B6">
        <w:rPr>
          <w:rFonts w:ascii="Times New Roman" w:hAnsi="Times New Roman" w:cs="Times New Roman"/>
          <w:sz w:val="24"/>
          <w:szCs w:val="24"/>
        </w:rPr>
        <w:t>Sk bolo k 31.12.2007 vyčerpaných 3 813 426,40 Sk na zabezpečenie projektov mostných objektov   na rieke Ondave v obciach Horovce a Nižný Žipov.</w:t>
      </w:r>
    </w:p>
    <w:p w:rsidR="00406D68" w:rsidP="00406D68">
      <w:pPr>
        <w:spacing w:line="240" w:lineRule="auto"/>
        <w:ind w:firstLine="360"/>
        <w:rPr>
          <w:rFonts w:ascii="Times New Roman" w:hAnsi="Times New Roman" w:cs="Times New Roman"/>
          <w:b/>
          <w:sz w:val="28"/>
          <w:szCs w:val="28"/>
          <w:u w:val="single"/>
        </w:rPr>
      </w:pPr>
    </w:p>
    <w:p w:rsidR="009A52FB" w:rsidP="00406D68">
      <w:pPr>
        <w:spacing w:line="240" w:lineRule="auto"/>
        <w:ind w:firstLine="360"/>
        <w:rPr>
          <w:rFonts w:ascii="Times New Roman" w:hAnsi="Times New Roman" w:cs="Times New Roman"/>
          <w:b/>
          <w:sz w:val="28"/>
          <w:szCs w:val="28"/>
          <w:u w:val="single"/>
        </w:rPr>
      </w:pPr>
    </w:p>
    <w:p w:rsidR="004B593A" w:rsidRPr="00163C0F" w:rsidP="00406D68">
      <w:pPr>
        <w:spacing w:line="240" w:lineRule="auto"/>
        <w:ind w:firstLine="360"/>
        <w:rPr>
          <w:rFonts w:ascii="Times New Roman" w:hAnsi="Times New Roman" w:cs="Times New Roman"/>
          <w:b/>
          <w:sz w:val="28"/>
          <w:szCs w:val="28"/>
          <w:u w:val="single"/>
        </w:rPr>
      </w:pPr>
      <w:r w:rsidR="00406D68">
        <w:rPr>
          <w:rFonts w:ascii="Times New Roman" w:hAnsi="Times New Roman" w:cs="Times New Roman"/>
          <w:b/>
          <w:sz w:val="28"/>
          <w:szCs w:val="28"/>
          <w:u w:val="single"/>
        </w:rPr>
        <w:t>2.1. Kapitálové výdavky podľa ekonomickej klasifikácie</w:t>
      </w:r>
    </w:p>
    <w:p w:rsidR="001F6C22" w:rsidRPr="001F6C22" w:rsidP="00012A3D">
      <w:pPr>
        <w:spacing w:line="240" w:lineRule="auto"/>
        <w:rPr>
          <w:rFonts w:ascii="Times New Roman" w:hAnsi="Times New Roman" w:cs="Times New Roman"/>
          <w:b/>
          <w:sz w:val="28"/>
          <w:szCs w:val="28"/>
        </w:rPr>
      </w:pPr>
    </w:p>
    <w:p w:rsidR="001F6C22" w:rsidRPr="001F6C22" w:rsidP="00012A3D">
      <w:pPr>
        <w:spacing w:line="240" w:lineRule="auto"/>
        <w:ind w:firstLine="708"/>
        <w:rPr>
          <w:rFonts w:ascii="Times New Roman" w:hAnsi="Times New Roman" w:cs="Times New Roman"/>
          <w:sz w:val="24"/>
          <w:szCs w:val="24"/>
        </w:rPr>
      </w:pPr>
      <w:r w:rsidRPr="001F6C22">
        <w:rPr>
          <w:rFonts w:ascii="Times New Roman" w:hAnsi="Times New Roman" w:cs="Times New Roman"/>
          <w:sz w:val="24"/>
          <w:szCs w:val="24"/>
        </w:rPr>
        <w:t>Z f</w:t>
      </w:r>
      <w:r>
        <w:rPr>
          <w:rFonts w:ascii="Times New Roman" w:hAnsi="Times New Roman" w:cs="Times New Roman"/>
          <w:sz w:val="24"/>
          <w:szCs w:val="24"/>
        </w:rPr>
        <w:t xml:space="preserve">inančných prostriedkov </w:t>
      </w:r>
      <w:r w:rsidRPr="001F6C22">
        <w:rPr>
          <w:rFonts w:ascii="Times New Roman" w:hAnsi="Times New Roman" w:cs="Times New Roman"/>
          <w:sz w:val="24"/>
          <w:szCs w:val="24"/>
        </w:rPr>
        <w:t>pridelených na rok 2007 vo výške 3 121 300 651,26</w:t>
      </w:r>
      <w:r>
        <w:rPr>
          <w:rFonts w:ascii="Times New Roman" w:hAnsi="Times New Roman" w:cs="Times New Roman"/>
          <w:sz w:val="24"/>
          <w:szCs w:val="24"/>
        </w:rPr>
        <w:t xml:space="preserve"> Sk (výška upraveného rozpočtu kapitálových výdavkov SSC na 04.5.1.2. Výstavbu ciest I. triedy a diaľničných privádzačov) bolo </w:t>
      </w:r>
      <w:r w:rsidRPr="001F6C22">
        <w:rPr>
          <w:rFonts w:ascii="Times New Roman" w:hAnsi="Times New Roman" w:cs="Times New Roman"/>
          <w:sz w:val="24"/>
          <w:szCs w:val="24"/>
        </w:rPr>
        <w:t>čerpaných 3 119 895 662,75 Sk, čo predstavuje plnenie na 99,95 %. Prostriedky boli použité  na:</w:t>
      </w:r>
    </w:p>
    <w:p w:rsidR="001F6C22" w:rsidP="00012A3D">
      <w:pPr>
        <w:spacing w:line="240" w:lineRule="auto"/>
        <w:rPr>
          <w:rFonts w:ascii="Times New Roman" w:hAnsi="Times New Roman" w:cs="Times New Roman"/>
          <w:sz w:val="24"/>
          <w:szCs w:val="24"/>
        </w:rPr>
      </w:pPr>
    </w:p>
    <w:p w:rsidR="00893F93" w:rsidRPr="001F6C22" w:rsidP="00012A3D">
      <w:pPr>
        <w:spacing w:line="240" w:lineRule="auto"/>
        <w:rPr>
          <w:rFonts w:ascii="Times New Roman" w:hAnsi="Times New Roman" w:cs="Times New Roman"/>
          <w:sz w:val="24"/>
          <w:szCs w:val="24"/>
        </w:rPr>
      </w:pPr>
    </w:p>
    <w:p w:rsidR="001F6C22" w:rsidRPr="001F6C22" w:rsidP="00012A3D">
      <w:pPr>
        <w:tabs>
          <w:tab w:val="decimal" w:pos="7380"/>
        </w:tabs>
        <w:spacing w:line="240" w:lineRule="auto"/>
        <w:ind w:left="720" w:right="971"/>
        <w:rPr>
          <w:rFonts w:ascii="Times New Roman" w:hAnsi="Times New Roman" w:cs="Times New Roman"/>
          <w:b/>
          <w:sz w:val="24"/>
          <w:szCs w:val="24"/>
        </w:rPr>
      </w:pPr>
      <w:r w:rsidRPr="001F6C22">
        <w:rPr>
          <w:rFonts w:ascii="Times New Roman" w:hAnsi="Times New Roman" w:cs="Times New Roman"/>
          <w:b/>
          <w:sz w:val="24"/>
          <w:szCs w:val="24"/>
        </w:rPr>
        <w:t xml:space="preserve">711 – Nákup pozemkov a nehmotných aktív ... </w:t>
        <w:tab/>
      </w:r>
      <w:r w:rsidR="00012A3D">
        <w:rPr>
          <w:rFonts w:ascii="Times New Roman" w:hAnsi="Times New Roman" w:cs="Times New Roman"/>
          <w:b/>
          <w:sz w:val="24"/>
          <w:szCs w:val="24"/>
        </w:rPr>
        <w:t xml:space="preserve">           </w:t>
      </w:r>
      <w:r w:rsidRPr="001F6C22">
        <w:rPr>
          <w:rFonts w:ascii="Times New Roman" w:hAnsi="Times New Roman" w:cs="Times New Roman"/>
          <w:b/>
          <w:sz w:val="24"/>
          <w:szCs w:val="24"/>
        </w:rPr>
        <w:t xml:space="preserve">388 329 636,52 Sk </w:t>
      </w:r>
    </w:p>
    <w:p w:rsidR="001F6C22" w:rsidRPr="001F6C22" w:rsidP="00012A3D">
      <w:pPr>
        <w:tabs>
          <w:tab w:val="decimal" w:pos="7380"/>
        </w:tabs>
        <w:spacing w:line="240" w:lineRule="auto"/>
        <w:ind w:left="720" w:right="971"/>
        <w:rPr>
          <w:rFonts w:ascii="Times New Roman" w:hAnsi="Times New Roman" w:cs="Times New Roman"/>
          <w:sz w:val="24"/>
          <w:szCs w:val="24"/>
        </w:rPr>
      </w:pPr>
      <w:r w:rsidRPr="001F6C22">
        <w:rPr>
          <w:rFonts w:ascii="Times New Roman" w:hAnsi="Times New Roman" w:cs="Times New Roman"/>
          <w:sz w:val="24"/>
          <w:szCs w:val="24"/>
        </w:rPr>
        <w:t xml:space="preserve">711 001  Pozemkov ... </w:t>
        <w:tab/>
        <w:t>357 522 629,87 Sk</w:t>
      </w:r>
    </w:p>
    <w:p w:rsidR="001F6C22" w:rsidRPr="001F6C22" w:rsidP="00012A3D">
      <w:pPr>
        <w:tabs>
          <w:tab w:val="decimal" w:pos="7380"/>
        </w:tabs>
        <w:spacing w:line="240" w:lineRule="auto"/>
        <w:ind w:left="720" w:right="971"/>
        <w:rPr>
          <w:rFonts w:ascii="Times New Roman" w:hAnsi="Times New Roman" w:cs="Times New Roman"/>
          <w:sz w:val="24"/>
          <w:szCs w:val="24"/>
        </w:rPr>
      </w:pPr>
      <w:r w:rsidRPr="001F6C22">
        <w:rPr>
          <w:rFonts w:ascii="Times New Roman" w:hAnsi="Times New Roman" w:cs="Times New Roman"/>
          <w:sz w:val="24"/>
          <w:szCs w:val="24"/>
        </w:rPr>
        <w:t xml:space="preserve">711 002  Lesov  ... </w:t>
        <w:tab/>
        <w:t>67 784,00 Sk</w:t>
      </w:r>
    </w:p>
    <w:p w:rsidR="001F6C22" w:rsidRPr="001F6C22" w:rsidP="00012A3D">
      <w:pPr>
        <w:tabs>
          <w:tab w:val="decimal" w:pos="7380"/>
        </w:tabs>
        <w:spacing w:line="240" w:lineRule="auto"/>
        <w:ind w:left="720" w:right="971"/>
        <w:rPr>
          <w:rFonts w:ascii="Times New Roman" w:hAnsi="Times New Roman" w:cs="Times New Roman"/>
          <w:i/>
          <w:iCs/>
          <w:sz w:val="24"/>
          <w:szCs w:val="24"/>
          <w:u w:val="single"/>
        </w:rPr>
      </w:pPr>
      <w:r w:rsidRPr="001F6C22">
        <w:rPr>
          <w:rFonts w:ascii="Times New Roman" w:hAnsi="Times New Roman" w:cs="Times New Roman"/>
          <w:bCs/>
          <w:sz w:val="24"/>
          <w:szCs w:val="24"/>
        </w:rPr>
        <w:t>7</w:t>
      </w:r>
      <w:r w:rsidRPr="001F6C22">
        <w:rPr>
          <w:rFonts w:ascii="Times New Roman" w:hAnsi="Times New Roman" w:cs="Times New Roman"/>
          <w:sz w:val="24"/>
          <w:szCs w:val="24"/>
        </w:rPr>
        <w:t xml:space="preserve">11 003  Softwaru ... </w:t>
        <w:tab/>
        <w:t>1 999 200,00 Sk</w:t>
      </w:r>
      <w:r w:rsidRPr="001F6C22">
        <w:rPr>
          <w:rFonts w:ascii="Times New Roman" w:hAnsi="Times New Roman" w:cs="Times New Roman"/>
          <w:i/>
          <w:iCs/>
          <w:sz w:val="24"/>
          <w:szCs w:val="24"/>
          <w:u w:val="single"/>
        </w:rPr>
        <w:t xml:space="preserve"> </w:t>
      </w:r>
    </w:p>
    <w:p w:rsidR="001F6C22" w:rsidRPr="001F6C22" w:rsidP="00012A3D">
      <w:pPr>
        <w:tabs>
          <w:tab w:val="decimal" w:pos="7380"/>
        </w:tabs>
        <w:spacing w:line="240" w:lineRule="auto"/>
        <w:ind w:left="720" w:right="971"/>
        <w:rPr>
          <w:rFonts w:ascii="Times New Roman" w:hAnsi="Times New Roman" w:cs="Times New Roman"/>
          <w:i/>
          <w:iCs/>
          <w:sz w:val="24"/>
          <w:szCs w:val="24"/>
        </w:rPr>
      </w:pPr>
      <w:r w:rsidRPr="001F6C22">
        <w:rPr>
          <w:rFonts w:ascii="Times New Roman" w:hAnsi="Times New Roman" w:cs="Times New Roman"/>
          <w:sz w:val="24"/>
          <w:szCs w:val="24"/>
        </w:rPr>
        <w:t>711 004  Licencií  ..</w:t>
      </w:r>
      <w:r w:rsidRPr="001F6C22">
        <w:rPr>
          <w:rFonts w:ascii="Times New Roman" w:hAnsi="Times New Roman" w:cs="Times New Roman"/>
          <w:sz w:val="24"/>
          <w:szCs w:val="24"/>
        </w:rPr>
        <w:t xml:space="preserve">. </w:t>
        <w:tab/>
        <w:t>534 072,00 Sk</w:t>
      </w:r>
      <w:r w:rsidRPr="001F6C22">
        <w:rPr>
          <w:rFonts w:ascii="Times New Roman" w:hAnsi="Times New Roman" w:cs="Times New Roman"/>
          <w:i/>
          <w:iCs/>
          <w:sz w:val="24"/>
          <w:szCs w:val="24"/>
        </w:rPr>
        <w:t xml:space="preserve"> </w:t>
      </w:r>
    </w:p>
    <w:p w:rsidR="001F6C22" w:rsidRPr="001F6C22" w:rsidP="00012A3D">
      <w:pPr>
        <w:tabs>
          <w:tab w:val="decimal" w:pos="7380"/>
        </w:tabs>
        <w:spacing w:line="240" w:lineRule="auto"/>
        <w:ind w:left="720" w:right="1151"/>
        <w:rPr>
          <w:rFonts w:ascii="Times New Roman" w:hAnsi="Times New Roman" w:cs="Times New Roman"/>
          <w:sz w:val="24"/>
          <w:szCs w:val="24"/>
        </w:rPr>
      </w:pPr>
      <w:r w:rsidRPr="001F6C22">
        <w:rPr>
          <w:rFonts w:ascii="Times New Roman" w:hAnsi="Times New Roman" w:cs="Times New Roman"/>
          <w:sz w:val="24"/>
          <w:szCs w:val="24"/>
        </w:rPr>
        <w:t xml:space="preserve">Realizovalo sa zakúpenie licencií na </w:t>
      </w:r>
      <w:r>
        <w:rPr>
          <w:rFonts w:ascii="Times New Roman" w:hAnsi="Times New Roman" w:cs="Times New Roman"/>
          <w:sz w:val="24"/>
          <w:szCs w:val="24"/>
        </w:rPr>
        <w:t>software</w:t>
      </w:r>
      <w:r w:rsidRPr="001F6C22">
        <w:rPr>
          <w:rFonts w:ascii="Times New Roman" w:hAnsi="Times New Roman" w:cs="Times New Roman"/>
          <w:sz w:val="24"/>
          <w:szCs w:val="24"/>
        </w:rPr>
        <w:t>, licencie na VGI2GIS a rozšírenie licencie spojitej vektorovej digitálnej mapy pre Informačný systém modelu cestnej siete.</w:t>
      </w:r>
    </w:p>
    <w:p w:rsidR="001F6C22" w:rsidP="00012A3D">
      <w:pPr>
        <w:tabs>
          <w:tab w:val="decimal" w:pos="7380"/>
        </w:tabs>
        <w:spacing w:line="240" w:lineRule="auto"/>
        <w:ind w:left="720" w:right="971"/>
        <w:rPr>
          <w:rFonts w:ascii="Times New Roman" w:hAnsi="Times New Roman" w:cs="Times New Roman"/>
          <w:bCs/>
          <w:sz w:val="24"/>
          <w:szCs w:val="24"/>
        </w:rPr>
      </w:pPr>
      <w:r w:rsidRPr="001F6C22">
        <w:rPr>
          <w:rFonts w:ascii="Times New Roman" w:hAnsi="Times New Roman" w:cs="Times New Roman"/>
          <w:bCs/>
          <w:sz w:val="24"/>
          <w:szCs w:val="24"/>
        </w:rPr>
        <w:t xml:space="preserve">711 200  Ostatné ... </w:t>
        <w:tab/>
        <w:t>28 205 950,65</w:t>
      </w:r>
      <w:r>
        <w:rPr>
          <w:rFonts w:ascii="Times New Roman" w:hAnsi="Times New Roman" w:cs="Times New Roman"/>
          <w:bCs/>
          <w:sz w:val="24"/>
          <w:szCs w:val="24"/>
        </w:rPr>
        <w:t xml:space="preserve"> Sk</w:t>
      </w:r>
    </w:p>
    <w:p w:rsidR="001F6C22" w:rsidRPr="001F6C22" w:rsidP="00012A3D">
      <w:pPr>
        <w:tabs>
          <w:tab w:val="decimal" w:pos="7380"/>
        </w:tabs>
        <w:spacing w:line="240" w:lineRule="auto"/>
        <w:ind w:left="720" w:right="971"/>
        <w:rPr>
          <w:rFonts w:ascii="Times New Roman" w:hAnsi="Times New Roman" w:cs="Times New Roman"/>
          <w:bCs/>
          <w:sz w:val="24"/>
          <w:szCs w:val="24"/>
        </w:rPr>
      </w:pPr>
      <w:r w:rsidRPr="001F6C22">
        <w:rPr>
          <w:rFonts w:ascii="Times New Roman" w:hAnsi="Times New Roman" w:cs="Times New Roman"/>
          <w:sz w:val="24"/>
          <w:szCs w:val="24"/>
        </w:rPr>
        <w:t>Čiastka  bola použitá za vypra</w:t>
      </w:r>
      <w:r w:rsidRPr="001F6C22">
        <w:rPr>
          <w:rFonts w:ascii="Times New Roman" w:hAnsi="Times New Roman" w:cs="Times New Roman"/>
          <w:sz w:val="24"/>
          <w:szCs w:val="24"/>
        </w:rPr>
        <w:t>cované znalecké posudky.</w:t>
      </w:r>
    </w:p>
    <w:p w:rsidR="001F6C22" w:rsidRPr="001F6C22" w:rsidP="00012A3D">
      <w:pPr>
        <w:tabs>
          <w:tab w:val="decimal" w:pos="7380"/>
        </w:tabs>
        <w:spacing w:line="240" w:lineRule="auto"/>
        <w:ind w:left="720" w:right="971"/>
        <w:rPr>
          <w:rFonts w:ascii="Times New Roman" w:hAnsi="Times New Roman" w:cs="Times New Roman"/>
          <w:b/>
          <w:sz w:val="24"/>
          <w:szCs w:val="24"/>
        </w:rPr>
      </w:pPr>
    </w:p>
    <w:p w:rsidR="001F6C22" w:rsidRPr="001F6C22" w:rsidP="00012A3D">
      <w:pPr>
        <w:tabs>
          <w:tab w:val="decimal" w:pos="7380"/>
        </w:tabs>
        <w:spacing w:line="240" w:lineRule="auto"/>
        <w:ind w:left="720" w:right="971"/>
        <w:rPr>
          <w:rFonts w:ascii="Times New Roman" w:hAnsi="Times New Roman" w:cs="Times New Roman"/>
          <w:b/>
          <w:sz w:val="24"/>
          <w:szCs w:val="24"/>
        </w:rPr>
      </w:pPr>
      <w:r w:rsidRPr="001F6C22">
        <w:rPr>
          <w:rFonts w:ascii="Times New Roman" w:hAnsi="Times New Roman" w:cs="Times New Roman"/>
          <w:b/>
          <w:sz w:val="24"/>
          <w:szCs w:val="24"/>
        </w:rPr>
        <w:t xml:space="preserve">712 – Nákup akýchkoľvek budov a stavieb ... </w:t>
        <w:tab/>
        <w:t xml:space="preserve">20 080 564,00 Sk </w:t>
      </w:r>
    </w:p>
    <w:p w:rsidR="001F6C22" w:rsidRPr="001F6C22" w:rsidP="00012A3D">
      <w:pPr>
        <w:tabs>
          <w:tab w:val="decimal" w:pos="7380"/>
        </w:tabs>
        <w:spacing w:line="240" w:lineRule="auto"/>
        <w:ind w:left="720" w:right="971"/>
        <w:rPr>
          <w:rFonts w:ascii="Times New Roman" w:hAnsi="Times New Roman" w:cs="Times New Roman"/>
          <w:bCs/>
          <w:sz w:val="24"/>
          <w:szCs w:val="24"/>
        </w:rPr>
      </w:pPr>
      <w:r w:rsidRPr="001F6C22">
        <w:rPr>
          <w:rFonts w:ascii="Times New Roman" w:hAnsi="Times New Roman" w:cs="Times New Roman"/>
          <w:bCs/>
          <w:sz w:val="24"/>
          <w:szCs w:val="24"/>
        </w:rPr>
        <w:t xml:space="preserve">712 002 Určených na likvidáciu ... </w:t>
        <w:tab/>
        <w:t>20 080 564,00 Sk</w:t>
      </w:r>
    </w:p>
    <w:p w:rsidR="001F6C22" w:rsidRPr="001F6C22" w:rsidP="00012A3D">
      <w:pPr>
        <w:tabs>
          <w:tab w:val="decimal" w:pos="7380"/>
        </w:tabs>
        <w:spacing w:line="240" w:lineRule="auto"/>
        <w:ind w:left="720" w:right="971"/>
        <w:rPr>
          <w:rFonts w:ascii="Times New Roman" w:hAnsi="Times New Roman" w:cs="Times New Roman"/>
          <w:b/>
          <w:sz w:val="24"/>
          <w:szCs w:val="24"/>
        </w:rPr>
      </w:pPr>
    </w:p>
    <w:p w:rsidR="001F6C22" w:rsidRPr="001F6C22" w:rsidP="00012A3D">
      <w:pPr>
        <w:tabs>
          <w:tab w:val="decimal" w:pos="7380"/>
        </w:tabs>
        <w:spacing w:line="240" w:lineRule="auto"/>
        <w:ind w:left="720" w:right="971"/>
        <w:rPr>
          <w:rFonts w:ascii="Times New Roman" w:hAnsi="Times New Roman" w:cs="Times New Roman"/>
          <w:b/>
          <w:bCs/>
          <w:sz w:val="24"/>
          <w:szCs w:val="24"/>
        </w:rPr>
      </w:pPr>
      <w:r w:rsidRPr="001F6C22">
        <w:rPr>
          <w:rFonts w:ascii="Times New Roman" w:hAnsi="Times New Roman" w:cs="Times New Roman"/>
          <w:b/>
          <w:sz w:val="24"/>
          <w:szCs w:val="24"/>
        </w:rPr>
        <w:t>713 – Nákup strojov, prístrojov, zariadení, techniky ...</w:t>
        <w:tab/>
        <w:t xml:space="preserve">12 499 480,86 Sk </w:t>
      </w:r>
    </w:p>
    <w:p w:rsidR="001F6C22" w:rsidRPr="001F6C22" w:rsidP="00012A3D">
      <w:pPr>
        <w:tabs>
          <w:tab w:val="decimal" w:pos="7380"/>
        </w:tabs>
        <w:spacing w:line="240" w:lineRule="auto"/>
        <w:ind w:left="720" w:right="971"/>
        <w:rPr>
          <w:rFonts w:ascii="Times New Roman" w:hAnsi="Times New Roman" w:cs="Times New Roman"/>
          <w:sz w:val="24"/>
          <w:szCs w:val="24"/>
        </w:rPr>
      </w:pPr>
      <w:r>
        <w:rPr>
          <w:rFonts w:ascii="Times New Roman" w:hAnsi="Times New Roman" w:cs="Times New Roman"/>
          <w:sz w:val="24"/>
          <w:szCs w:val="24"/>
        </w:rPr>
        <w:t xml:space="preserve">713 001  </w:t>
      </w:r>
      <w:r w:rsidRPr="001F6C22">
        <w:rPr>
          <w:rFonts w:ascii="Times New Roman" w:hAnsi="Times New Roman" w:cs="Times New Roman"/>
          <w:sz w:val="24"/>
          <w:szCs w:val="24"/>
        </w:rPr>
        <w:t xml:space="preserve">Interiérového vybavenia ...  </w:t>
      </w:r>
      <w:r w:rsidRPr="001F6C22">
        <w:rPr>
          <w:rFonts w:ascii="Times New Roman" w:hAnsi="Times New Roman" w:cs="Times New Roman"/>
          <w:sz w:val="24"/>
          <w:szCs w:val="24"/>
        </w:rPr>
        <w:tab/>
        <w:t>134 886,00 Sk</w:t>
      </w:r>
    </w:p>
    <w:p w:rsidR="001F6C22" w:rsidRPr="001F6C22" w:rsidP="00012A3D">
      <w:pPr>
        <w:tabs>
          <w:tab w:val="decimal" w:pos="7380"/>
        </w:tabs>
        <w:spacing w:line="240" w:lineRule="auto"/>
        <w:ind w:left="720" w:right="971"/>
        <w:rPr>
          <w:rFonts w:ascii="Times New Roman" w:hAnsi="Times New Roman" w:cs="Times New Roman"/>
          <w:iCs/>
          <w:sz w:val="24"/>
          <w:szCs w:val="24"/>
        </w:rPr>
      </w:pPr>
      <w:r>
        <w:rPr>
          <w:rFonts w:ascii="Times New Roman" w:hAnsi="Times New Roman" w:cs="Times New Roman"/>
          <w:iCs/>
          <w:sz w:val="24"/>
          <w:szCs w:val="24"/>
        </w:rPr>
        <w:t xml:space="preserve">713 002  </w:t>
      </w:r>
      <w:r w:rsidRPr="001F6C22">
        <w:rPr>
          <w:rFonts w:ascii="Times New Roman" w:hAnsi="Times New Roman" w:cs="Times New Roman"/>
          <w:iCs/>
          <w:sz w:val="24"/>
          <w:szCs w:val="24"/>
        </w:rPr>
        <w:t xml:space="preserve">Výpočtovej techniky  ... </w:t>
        <w:tab/>
        <w:t>2 767 582,90 Sk</w:t>
      </w:r>
    </w:p>
    <w:p w:rsidR="001F6C22" w:rsidRPr="001F6C22" w:rsidP="00012A3D">
      <w:pPr>
        <w:tabs>
          <w:tab w:val="decimal" w:pos="7380"/>
        </w:tabs>
        <w:spacing w:line="240" w:lineRule="auto"/>
        <w:ind w:left="720" w:right="1151"/>
        <w:rPr>
          <w:rFonts w:ascii="Times New Roman" w:hAnsi="Times New Roman" w:cs="Times New Roman"/>
          <w:sz w:val="24"/>
          <w:szCs w:val="24"/>
        </w:rPr>
      </w:pPr>
      <w:r>
        <w:rPr>
          <w:rFonts w:ascii="Times New Roman" w:hAnsi="Times New Roman" w:cs="Times New Roman"/>
          <w:sz w:val="24"/>
          <w:szCs w:val="24"/>
        </w:rPr>
        <w:t>Z</w:t>
      </w:r>
      <w:r w:rsidRPr="001F6C22">
        <w:rPr>
          <w:rFonts w:ascii="Times New Roman" w:hAnsi="Times New Roman" w:cs="Times New Roman"/>
          <w:sz w:val="24"/>
          <w:szCs w:val="24"/>
        </w:rPr>
        <w:t>akúpené PC, tlačiarne, note</w:t>
      </w:r>
      <w:r w:rsidR="004D1A5C">
        <w:rPr>
          <w:rFonts w:ascii="Times New Roman" w:hAnsi="Times New Roman" w:cs="Times New Roman"/>
          <w:sz w:val="24"/>
          <w:szCs w:val="24"/>
        </w:rPr>
        <w:t>booky a hardwarové vybavenia na</w:t>
      </w:r>
      <w:r w:rsidRPr="001F6C22">
        <w:rPr>
          <w:rFonts w:ascii="Times New Roman" w:hAnsi="Times New Roman" w:cs="Times New Roman"/>
          <w:sz w:val="24"/>
          <w:szCs w:val="24"/>
        </w:rPr>
        <w:t xml:space="preserve"> vyhodnocovanie nameraných dát v rámci diagnostického zariadenia Profilograph GE pre IS MCS.</w:t>
      </w:r>
    </w:p>
    <w:p w:rsidR="001F6C22" w:rsidRPr="001F6C22" w:rsidP="00012A3D">
      <w:pPr>
        <w:tabs>
          <w:tab w:val="decimal" w:pos="7380"/>
        </w:tabs>
        <w:spacing w:line="240" w:lineRule="auto"/>
        <w:ind w:left="720" w:right="971"/>
        <w:rPr>
          <w:rFonts w:ascii="Times New Roman" w:hAnsi="Times New Roman" w:cs="Times New Roman"/>
          <w:sz w:val="24"/>
          <w:szCs w:val="24"/>
        </w:rPr>
      </w:pPr>
      <w:r>
        <w:rPr>
          <w:rFonts w:ascii="Times New Roman" w:hAnsi="Times New Roman" w:cs="Times New Roman"/>
          <w:sz w:val="24"/>
          <w:szCs w:val="24"/>
        </w:rPr>
        <w:t xml:space="preserve">713 004  </w:t>
      </w:r>
      <w:r w:rsidRPr="001F6C22">
        <w:rPr>
          <w:rFonts w:ascii="Times New Roman" w:hAnsi="Times New Roman" w:cs="Times New Roman"/>
          <w:sz w:val="24"/>
          <w:szCs w:val="24"/>
        </w:rPr>
        <w:t>Prevádzkových strojov, prístr</w:t>
      </w:r>
      <w:r w:rsidRPr="001F6C22">
        <w:rPr>
          <w:rFonts w:ascii="Times New Roman" w:hAnsi="Times New Roman" w:cs="Times New Roman"/>
          <w:sz w:val="24"/>
          <w:szCs w:val="24"/>
        </w:rPr>
        <w:t>ojov a zariadení ....</w:t>
        <w:tab/>
        <w:t>8 094 798,60 Sk</w:t>
      </w:r>
    </w:p>
    <w:p w:rsidR="001F6C22" w:rsidRPr="001F6C22" w:rsidP="00012A3D">
      <w:pPr>
        <w:tabs>
          <w:tab w:val="decimal" w:pos="7380"/>
        </w:tabs>
        <w:spacing w:line="240" w:lineRule="auto"/>
        <w:ind w:left="720" w:right="971"/>
        <w:rPr>
          <w:rFonts w:ascii="Times New Roman" w:hAnsi="Times New Roman" w:cs="Times New Roman"/>
          <w:i/>
          <w:iCs/>
          <w:sz w:val="24"/>
          <w:szCs w:val="24"/>
        </w:rPr>
      </w:pPr>
      <w:r>
        <w:rPr>
          <w:rFonts w:ascii="Times New Roman" w:hAnsi="Times New Roman" w:cs="Times New Roman"/>
          <w:iCs/>
          <w:sz w:val="24"/>
          <w:szCs w:val="24"/>
        </w:rPr>
        <w:t xml:space="preserve">713 005  </w:t>
      </w:r>
      <w:r w:rsidRPr="001F6C22">
        <w:rPr>
          <w:rFonts w:ascii="Times New Roman" w:hAnsi="Times New Roman" w:cs="Times New Roman"/>
          <w:iCs/>
          <w:sz w:val="24"/>
          <w:szCs w:val="24"/>
        </w:rPr>
        <w:t>Špeciálnych strojov, prístrojov a zariadení ....</w:t>
        <w:tab/>
        <w:t>1 502 213,36 Sk</w:t>
      </w:r>
    </w:p>
    <w:p w:rsidR="001F6C22" w:rsidRPr="001F6C22" w:rsidP="00012A3D">
      <w:pPr>
        <w:tabs>
          <w:tab w:val="decimal" w:pos="7380"/>
        </w:tabs>
        <w:spacing w:line="240" w:lineRule="auto"/>
        <w:ind w:left="720" w:right="971"/>
        <w:rPr>
          <w:rFonts w:ascii="Times New Roman" w:hAnsi="Times New Roman" w:cs="Times New Roman"/>
          <w:b/>
          <w:sz w:val="24"/>
          <w:szCs w:val="24"/>
        </w:rPr>
      </w:pPr>
    </w:p>
    <w:p w:rsidR="001F6C22" w:rsidRPr="001F6C22" w:rsidP="00012A3D">
      <w:pPr>
        <w:tabs>
          <w:tab w:val="decimal" w:pos="7380"/>
        </w:tabs>
        <w:spacing w:line="240" w:lineRule="auto"/>
        <w:ind w:left="720" w:right="971"/>
        <w:rPr>
          <w:rFonts w:ascii="Times New Roman" w:hAnsi="Times New Roman" w:cs="Times New Roman"/>
          <w:b/>
          <w:sz w:val="24"/>
          <w:szCs w:val="24"/>
        </w:rPr>
      </w:pPr>
      <w:r w:rsidRPr="001F6C22">
        <w:rPr>
          <w:rFonts w:ascii="Times New Roman" w:hAnsi="Times New Roman" w:cs="Times New Roman"/>
          <w:b/>
          <w:sz w:val="24"/>
          <w:szCs w:val="24"/>
        </w:rPr>
        <w:t>714 – Nákup dopravných pr</w:t>
      </w:r>
      <w:r w:rsidR="00012A3D">
        <w:rPr>
          <w:rFonts w:ascii="Times New Roman" w:hAnsi="Times New Roman" w:cs="Times New Roman"/>
          <w:b/>
          <w:sz w:val="24"/>
          <w:szCs w:val="24"/>
        </w:rPr>
        <w:t xml:space="preserve">ostriedkov všetkých druhov </w:t>
      </w:r>
      <w:r w:rsidRPr="001F6C22">
        <w:rPr>
          <w:rFonts w:ascii="Times New Roman" w:hAnsi="Times New Roman" w:cs="Times New Roman"/>
          <w:b/>
          <w:sz w:val="24"/>
          <w:szCs w:val="24"/>
        </w:rPr>
        <w:tab/>
        <w:t>8 601 242,00 Sk</w:t>
      </w:r>
    </w:p>
    <w:p w:rsidR="001F6C22" w:rsidRPr="001F6C22" w:rsidP="00012A3D">
      <w:pPr>
        <w:tabs>
          <w:tab w:val="decimal" w:pos="7380"/>
        </w:tabs>
        <w:spacing w:line="240" w:lineRule="auto"/>
        <w:ind w:left="720" w:right="971"/>
        <w:rPr>
          <w:rFonts w:ascii="Times New Roman" w:hAnsi="Times New Roman" w:cs="Times New Roman"/>
          <w:sz w:val="24"/>
          <w:szCs w:val="24"/>
        </w:rPr>
      </w:pPr>
      <w:r>
        <w:rPr>
          <w:rFonts w:ascii="Times New Roman" w:hAnsi="Times New Roman" w:cs="Times New Roman"/>
          <w:sz w:val="24"/>
          <w:szCs w:val="24"/>
        </w:rPr>
        <w:t xml:space="preserve">714 001  </w:t>
      </w:r>
      <w:r w:rsidRPr="001F6C22">
        <w:rPr>
          <w:rFonts w:ascii="Times New Roman" w:hAnsi="Times New Roman" w:cs="Times New Roman"/>
          <w:sz w:val="24"/>
          <w:szCs w:val="24"/>
        </w:rPr>
        <w:t>Prevádzkových strojov, prístrojov a zariadení ....</w:t>
        <w:tab/>
        <w:t>6 294 373,00 Sk</w:t>
      </w:r>
    </w:p>
    <w:p w:rsidR="001F6C22" w:rsidRPr="001F6C22" w:rsidP="00012A3D">
      <w:pPr>
        <w:tabs>
          <w:tab w:val="decimal" w:pos="7380"/>
        </w:tabs>
        <w:spacing w:line="240" w:lineRule="auto"/>
        <w:ind w:left="720" w:right="971"/>
        <w:rPr>
          <w:rFonts w:ascii="Times New Roman" w:hAnsi="Times New Roman" w:cs="Times New Roman"/>
          <w:i/>
          <w:iCs/>
          <w:sz w:val="24"/>
          <w:szCs w:val="24"/>
        </w:rPr>
      </w:pPr>
      <w:r>
        <w:rPr>
          <w:rFonts w:ascii="Times New Roman" w:hAnsi="Times New Roman" w:cs="Times New Roman"/>
          <w:iCs/>
          <w:sz w:val="24"/>
          <w:szCs w:val="24"/>
        </w:rPr>
        <w:t xml:space="preserve">714 005  </w:t>
      </w:r>
      <w:r w:rsidRPr="001F6C22">
        <w:rPr>
          <w:rFonts w:ascii="Times New Roman" w:hAnsi="Times New Roman" w:cs="Times New Roman"/>
          <w:iCs/>
          <w:sz w:val="24"/>
          <w:szCs w:val="24"/>
        </w:rPr>
        <w:t>Špeciálnych strojov, prístrojov a zariadení ....</w:t>
        <w:tab/>
        <w:t>2 306 869,00 Sk</w:t>
      </w:r>
    </w:p>
    <w:p w:rsidR="001F6C22" w:rsidRPr="001F6C22" w:rsidP="00012A3D">
      <w:pPr>
        <w:tabs>
          <w:tab w:val="decimal" w:pos="7380"/>
        </w:tabs>
        <w:spacing w:line="240" w:lineRule="auto"/>
        <w:ind w:left="720" w:right="1151"/>
        <w:rPr>
          <w:rFonts w:ascii="Times New Roman" w:hAnsi="Times New Roman" w:cs="Times New Roman"/>
          <w:sz w:val="24"/>
          <w:szCs w:val="24"/>
        </w:rPr>
      </w:pPr>
      <w:r w:rsidR="00012A3D">
        <w:rPr>
          <w:rFonts w:ascii="Times New Roman" w:hAnsi="Times New Roman" w:cs="Times New Roman"/>
          <w:sz w:val="24"/>
          <w:szCs w:val="24"/>
        </w:rPr>
        <w:t>Realizovala sa dodávka</w:t>
      </w:r>
      <w:r w:rsidRPr="001F6C22">
        <w:rPr>
          <w:rFonts w:ascii="Times New Roman" w:hAnsi="Times New Roman" w:cs="Times New Roman"/>
          <w:sz w:val="24"/>
          <w:szCs w:val="24"/>
        </w:rPr>
        <w:t xml:space="preserve"> špeciálneho ť</w:t>
      </w:r>
      <w:r>
        <w:rPr>
          <w:rFonts w:ascii="Times New Roman" w:hAnsi="Times New Roman" w:cs="Times New Roman"/>
          <w:sz w:val="24"/>
          <w:szCs w:val="24"/>
        </w:rPr>
        <w:t>ažného vozidla pre diagnostické</w:t>
      </w:r>
      <w:r w:rsidR="00012A3D">
        <w:rPr>
          <w:rFonts w:ascii="Times New Roman" w:hAnsi="Times New Roman" w:cs="Times New Roman"/>
          <w:sz w:val="24"/>
          <w:szCs w:val="24"/>
        </w:rPr>
        <w:t xml:space="preserve"> </w:t>
      </w:r>
      <w:r w:rsidRPr="001F6C22">
        <w:rPr>
          <w:rFonts w:ascii="Times New Roman" w:hAnsi="Times New Roman" w:cs="Times New Roman"/>
          <w:sz w:val="24"/>
          <w:szCs w:val="24"/>
        </w:rPr>
        <w:t>zariadenie Skiddometer v zmysle kúpnej zmluvy č. 27/2100/2007.</w:t>
      </w:r>
    </w:p>
    <w:p w:rsidR="001F6C22" w:rsidRPr="001F6C22" w:rsidP="00012A3D">
      <w:pPr>
        <w:tabs>
          <w:tab w:val="decimal" w:pos="7380"/>
        </w:tabs>
        <w:spacing w:line="240" w:lineRule="auto"/>
        <w:ind w:left="720" w:right="971"/>
        <w:rPr>
          <w:rFonts w:ascii="Times New Roman" w:hAnsi="Times New Roman" w:cs="Times New Roman"/>
          <w:b/>
          <w:sz w:val="24"/>
          <w:szCs w:val="24"/>
        </w:rPr>
      </w:pPr>
    </w:p>
    <w:p w:rsidR="001F6C22" w:rsidRPr="001F6C22" w:rsidP="00012A3D">
      <w:pPr>
        <w:tabs>
          <w:tab w:val="decimal" w:pos="7380"/>
        </w:tabs>
        <w:spacing w:line="240" w:lineRule="auto"/>
        <w:ind w:left="720" w:right="971"/>
        <w:rPr>
          <w:rFonts w:ascii="Times New Roman" w:hAnsi="Times New Roman" w:cs="Times New Roman"/>
          <w:b/>
          <w:sz w:val="24"/>
          <w:szCs w:val="24"/>
        </w:rPr>
      </w:pPr>
      <w:r w:rsidRPr="001F6C22">
        <w:rPr>
          <w:rFonts w:ascii="Times New Roman" w:hAnsi="Times New Roman" w:cs="Times New Roman"/>
          <w:b/>
          <w:sz w:val="24"/>
          <w:szCs w:val="24"/>
        </w:rPr>
        <w:t xml:space="preserve">716 – Prípravná a projektová dokumentácia ... </w:t>
        <w:tab/>
        <w:t>189 835 792,54 Sk</w:t>
      </w:r>
    </w:p>
    <w:p w:rsidR="001F6C22" w:rsidRPr="001F6C22" w:rsidP="00012A3D">
      <w:pPr>
        <w:tabs>
          <w:tab w:val="decimal" w:pos="7380"/>
        </w:tabs>
        <w:spacing w:line="240" w:lineRule="auto"/>
        <w:ind w:left="720" w:right="1151"/>
        <w:rPr>
          <w:rFonts w:ascii="Times New Roman" w:hAnsi="Times New Roman" w:cs="Times New Roman"/>
          <w:sz w:val="24"/>
          <w:szCs w:val="24"/>
        </w:rPr>
      </w:pPr>
      <w:r w:rsidRPr="001F6C22">
        <w:rPr>
          <w:rFonts w:ascii="Times New Roman" w:hAnsi="Times New Roman" w:cs="Times New Roman"/>
          <w:sz w:val="24"/>
          <w:szCs w:val="24"/>
        </w:rPr>
        <w:t xml:space="preserve">Čerpanie </w:t>
      </w:r>
      <w:r w:rsidR="00012A3D">
        <w:rPr>
          <w:rFonts w:ascii="Times New Roman" w:hAnsi="Times New Roman" w:cs="Times New Roman"/>
          <w:sz w:val="24"/>
          <w:szCs w:val="24"/>
        </w:rPr>
        <w:t xml:space="preserve">sa uskutočňovalo </w:t>
      </w:r>
      <w:r w:rsidRPr="001F6C22">
        <w:rPr>
          <w:rFonts w:ascii="Times New Roman" w:hAnsi="Times New Roman" w:cs="Times New Roman"/>
          <w:sz w:val="24"/>
          <w:szCs w:val="24"/>
        </w:rPr>
        <w:t>v závislosti od vydaných úze</w:t>
      </w:r>
      <w:r>
        <w:rPr>
          <w:rFonts w:ascii="Times New Roman" w:hAnsi="Times New Roman" w:cs="Times New Roman"/>
          <w:sz w:val="24"/>
          <w:szCs w:val="24"/>
        </w:rPr>
        <w:t>m</w:t>
      </w:r>
      <w:r w:rsidR="00012A3D">
        <w:rPr>
          <w:rFonts w:ascii="Times New Roman" w:hAnsi="Times New Roman" w:cs="Times New Roman"/>
          <w:sz w:val="24"/>
          <w:szCs w:val="24"/>
        </w:rPr>
        <w:t xml:space="preserve">ných </w:t>
      </w:r>
      <w:r w:rsidRPr="001F6C22">
        <w:rPr>
          <w:rFonts w:ascii="Times New Roman" w:hAnsi="Times New Roman" w:cs="Times New Roman"/>
          <w:sz w:val="24"/>
          <w:szCs w:val="24"/>
        </w:rPr>
        <w:t xml:space="preserve">rozhodnutí a dodávky </w:t>
      </w:r>
      <w:r w:rsidRPr="001F6C22">
        <w:rPr>
          <w:rFonts w:ascii="Times New Roman" w:hAnsi="Times New Roman" w:cs="Times New Roman"/>
          <w:sz w:val="24"/>
          <w:szCs w:val="24"/>
        </w:rPr>
        <w:t>ponukových dokumentácií.</w:t>
      </w:r>
    </w:p>
    <w:p w:rsidR="001F6C22" w:rsidRPr="001F6C22" w:rsidP="00012A3D">
      <w:pPr>
        <w:tabs>
          <w:tab w:val="decimal" w:pos="7380"/>
        </w:tabs>
        <w:spacing w:line="240" w:lineRule="auto"/>
        <w:ind w:left="720" w:right="971"/>
        <w:rPr>
          <w:rFonts w:ascii="Times New Roman" w:hAnsi="Times New Roman" w:cs="Times New Roman"/>
          <w:b/>
          <w:sz w:val="24"/>
          <w:szCs w:val="24"/>
        </w:rPr>
      </w:pPr>
    </w:p>
    <w:p w:rsidR="001F6C22" w:rsidRPr="001F6C22" w:rsidP="00012A3D">
      <w:pPr>
        <w:tabs>
          <w:tab w:val="decimal" w:pos="7380"/>
        </w:tabs>
        <w:spacing w:line="240" w:lineRule="auto"/>
        <w:ind w:left="720" w:right="971"/>
        <w:rPr>
          <w:rFonts w:ascii="Times New Roman" w:hAnsi="Times New Roman" w:cs="Times New Roman"/>
          <w:b/>
          <w:sz w:val="24"/>
          <w:szCs w:val="24"/>
        </w:rPr>
      </w:pPr>
      <w:r w:rsidRPr="001F6C22">
        <w:rPr>
          <w:rFonts w:ascii="Times New Roman" w:hAnsi="Times New Roman" w:cs="Times New Roman"/>
          <w:b/>
          <w:sz w:val="24"/>
          <w:szCs w:val="24"/>
        </w:rPr>
        <w:t>717 – Realiz</w:t>
      </w:r>
      <w:r w:rsidR="00012A3D">
        <w:rPr>
          <w:rFonts w:ascii="Times New Roman" w:hAnsi="Times New Roman" w:cs="Times New Roman"/>
          <w:b/>
          <w:sz w:val="24"/>
          <w:szCs w:val="24"/>
        </w:rPr>
        <w:t xml:space="preserve">ácia  stavieb a ich tech. </w:t>
      </w:r>
      <w:r w:rsidRPr="001F6C22">
        <w:rPr>
          <w:rFonts w:ascii="Times New Roman" w:hAnsi="Times New Roman" w:cs="Times New Roman"/>
          <w:b/>
          <w:sz w:val="24"/>
          <w:szCs w:val="24"/>
        </w:rPr>
        <w:t xml:space="preserve">zhodnotenia ...  </w:t>
        <w:tab/>
        <w:t xml:space="preserve">2 500 548 946,83 Sk </w:t>
      </w:r>
    </w:p>
    <w:p w:rsidR="001F6C22" w:rsidRPr="001F6C22" w:rsidP="00012A3D">
      <w:pPr>
        <w:tabs>
          <w:tab w:val="decimal" w:pos="8100"/>
        </w:tabs>
        <w:spacing w:line="240" w:lineRule="auto"/>
        <w:ind w:left="720" w:right="971"/>
        <w:rPr>
          <w:rFonts w:ascii="Times New Roman" w:hAnsi="Times New Roman" w:cs="Times New Roman"/>
          <w:sz w:val="24"/>
          <w:szCs w:val="24"/>
        </w:rPr>
      </w:pPr>
      <w:r w:rsidRPr="001F6C22">
        <w:rPr>
          <w:rFonts w:ascii="Times New Roman" w:hAnsi="Times New Roman" w:cs="Times New Roman"/>
          <w:sz w:val="24"/>
          <w:szCs w:val="24"/>
        </w:rPr>
        <w:t>717</w:t>
      </w:r>
      <w:r>
        <w:rPr>
          <w:rFonts w:ascii="Times New Roman" w:hAnsi="Times New Roman" w:cs="Times New Roman"/>
          <w:sz w:val="24"/>
          <w:szCs w:val="24"/>
        </w:rPr>
        <w:t> </w:t>
      </w:r>
      <w:r w:rsidRPr="001F6C22">
        <w:rPr>
          <w:rFonts w:ascii="Times New Roman" w:hAnsi="Times New Roman" w:cs="Times New Roman"/>
          <w:sz w:val="24"/>
          <w:szCs w:val="24"/>
        </w:rPr>
        <w:t>0</w:t>
      </w:r>
      <w:r>
        <w:rPr>
          <w:rFonts w:ascii="Times New Roman" w:hAnsi="Times New Roman" w:cs="Times New Roman"/>
          <w:sz w:val="24"/>
          <w:szCs w:val="24"/>
        </w:rPr>
        <w:t xml:space="preserve">01  </w:t>
      </w:r>
      <w:r w:rsidR="00012A3D">
        <w:rPr>
          <w:rFonts w:ascii="Times New Roman" w:hAnsi="Times New Roman" w:cs="Times New Roman"/>
          <w:sz w:val="24"/>
          <w:szCs w:val="24"/>
        </w:rPr>
        <w:t xml:space="preserve">Realizácia nových stavieb...                             </w:t>
      </w:r>
      <w:r w:rsidRPr="001F6C22">
        <w:rPr>
          <w:rFonts w:ascii="Times New Roman" w:hAnsi="Times New Roman" w:cs="Times New Roman"/>
          <w:sz w:val="24"/>
          <w:szCs w:val="24"/>
        </w:rPr>
        <w:t>2 025 487 996,29</w:t>
      </w:r>
      <w:r w:rsidR="00012A3D">
        <w:rPr>
          <w:rFonts w:ascii="Times New Roman" w:hAnsi="Times New Roman" w:cs="Times New Roman"/>
          <w:sz w:val="24"/>
          <w:szCs w:val="24"/>
        </w:rPr>
        <w:t xml:space="preserve"> Sk </w:t>
      </w:r>
      <w:r w:rsidRPr="001F6C22">
        <w:rPr>
          <w:rFonts w:ascii="Times New Roman" w:hAnsi="Times New Roman" w:cs="Times New Roman"/>
          <w:sz w:val="24"/>
          <w:szCs w:val="24"/>
        </w:rPr>
        <w:tab/>
      </w:r>
    </w:p>
    <w:p w:rsidR="001F6C22" w:rsidRPr="001F6C22" w:rsidP="00012A3D">
      <w:pPr>
        <w:tabs>
          <w:tab w:val="decimal" w:pos="7380"/>
        </w:tabs>
        <w:spacing w:line="240" w:lineRule="auto"/>
        <w:ind w:left="720" w:right="971"/>
        <w:rPr>
          <w:rFonts w:ascii="Times New Roman" w:hAnsi="Times New Roman" w:cs="Times New Roman"/>
          <w:sz w:val="24"/>
          <w:szCs w:val="24"/>
        </w:rPr>
      </w:pPr>
      <w:r w:rsidRPr="001F6C22">
        <w:rPr>
          <w:rFonts w:ascii="Times New Roman" w:hAnsi="Times New Roman" w:cs="Times New Roman"/>
          <w:sz w:val="24"/>
          <w:szCs w:val="24"/>
        </w:rPr>
        <w:t xml:space="preserve">717 002 </w:t>
      </w:r>
      <w:r>
        <w:rPr>
          <w:rFonts w:ascii="Times New Roman" w:hAnsi="Times New Roman" w:cs="Times New Roman"/>
          <w:sz w:val="24"/>
          <w:szCs w:val="24"/>
        </w:rPr>
        <w:t xml:space="preserve"> </w:t>
      </w:r>
      <w:r w:rsidRPr="001F6C22">
        <w:rPr>
          <w:rFonts w:ascii="Times New Roman" w:hAnsi="Times New Roman" w:cs="Times New Roman"/>
          <w:sz w:val="24"/>
          <w:szCs w:val="24"/>
        </w:rPr>
        <w:t xml:space="preserve">Rekonštrukcie a modernizácie ... </w:t>
        <w:tab/>
      </w:r>
      <w:r w:rsidR="00012A3D">
        <w:rPr>
          <w:rFonts w:ascii="Times New Roman" w:hAnsi="Times New Roman" w:cs="Times New Roman"/>
          <w:sz w:val="24"/>
          <w:szCs w:val="24"/>
        </w:rPr>
        <w:t xml:space="preserve"> </w:t>
      </w:r>
      <w:r w:rsidRPr="001F6C22">
        <w:rPr>
          <w:rFonts w:ascii="Times New Roman" w:hAnsi="Times New Roman" w:cs="Times New Roman"/>
          <w:sz w:val="24"/>
          <w:szCs w:val="24"/>
        </w:rPr>
        <w:t>475 060 950,54 Sk</w:t>
      </w:r>
    </w:p>
    <w:p w:rsidR="00B27788" w:rsidP="00012A3D">
      <w:pPr>
        <w:spacing w:line="240" w:lineRule="auto"/>
        <w:rPr>
          <w:rFonts w:ascii="Times New Roman" w:hAnsi="Times New Roman" w:cs="Times New Roman"/>
          <w:b/>
          <w:sz w:val="24"/>
          <w:szCs w:val="24"/>
          <w:u w:val="single"/>
        </w:rPr>
      </w:pPr>
    </w:p>
    <w:p w:rsidR="00B27788" w:rsidP="00012A3D">
      <w:pPr>
        <w:spacing w:line="240" w:lineRule="auto"/>
        <w:rPr>
          <w:rFonts w:ascii="Times New Roman" w:hAnsi="Times New Roman" w:cs="Times New Roman"/>
          <w:b/>
          <w:sz w:val="24"/>
          <w:szCs w:val="24"/>
          <w:u w:val="single"/>
        </w:rPr>
      </w:pPr>
    </w:p>
    <w:p w:rsidR="00114D1F" w:rsidRPr="00114D1F" w:rsidP="00012A3D">
      <w:pPr>
        <w:numPr>
          <w:ilvl w:val="0"/>
          <w:numId w:val="16"/>
        </w:numPr>
        <w:tabs>
          <w:tab w:val="left" w:pos="720"/>
        </w:tabs>
        <w:spacing w:line="240" w:lineRule="auto"/>
        <w:rPr>
          <w:rFonts w:ascii="Times New Roman" w:hAnsi="Times New Roman" w:cs="Times New Roman"/>
          <w:b/>
          <w:sz w:val="28"/>
          <w:szCs w:val="28"/>
          <w:u w:val="single"/>
        </w:rPr>
      </w:pPr>
      <w:r>
        <w:rPr>
          <w:rFonts w:ascii="Times New Roman" w:hAnsi="Times New Roman" w:cs="Times New Roman"/>
          <w:b/>
          <w:sz w:val="28"/>
          <w:szCs w:val="28"/>
          <w:u w:val="single"/>
        </w:rPr>
        <w:t>B</w:t>
      </w:r>
      <w:r>
        <w:rPr>
          <w:rFonts w:ascii="Times New Roman" w:hAnsi="Times New Roman" w:cs="Times New Roman"/>
          <w:b/>
          <w:sz w:val="28"/>
          <w:szCs w:val="28"/>
          <w:u w:val="single"/>
        </w:rPr>
        <w:t xml:space="preserve">ežné </w:t>
      </w:r>
      <w:r w:rsidRPr="00114D1F" w:rsidR="00D15932">
        <w:rPr>
          <w:rFonts w:ascii="Times New Roman" w:hAnsi="Times New Roman" w:cs="Times New Roman"/>
          <w:b/>
          <w:sz w:val="28"/>
          <w:szCs w:val="28"/>
          <w:u w:val="single"/>
        </w:rPr>
        <w:t>a </w:t>
      </w:r>
      <w:r>
        <w:rPr>
          <w:rFonts w:ascii="Times New Roman" w:hAnsi="Times New Roman" w:cs="Times New Roman"/>
          <w:b/>
          <w:sz w:val="28"/>
          <w:szCs w:val="28"/>
          <w:u w:val="single"/>
        </w:rPr>
        <w:t xml:space="preserve"> </w:t>
      </w:r>
      <w:r w:rsidRPr="00114D1F" w:rsidR="00D15932">
        <w:rPr>
          <w:rFonts w:ascii="Times New Roman" w:hAnsi="Times New Roman" w:cs="Times New Roman"/>
          <w:b/>
          <w:sz w:val="28"/>
          <w:szCs w:val="28"/>
          <w:u w:val="single"/>
        </w:rPr>
        <w:t xml:space="preserve">kapitálové výdavky </w:t>
      </w:r>
      <w:r w:rsidRPr="00114D1F">
        <w:rPr>
          <w:rFonts w:ascii="Times New Roman" w:hAnsi="Times New Roman" w:cs="Times New Roman"/>
          <w:b/>
          <w:sz w:val="28"/>
          <w:szCs w:val="28"/>
          <w:u w:val="single"/>
        </w:rPr>
        <w:t xml:space="preserve">rozpočtovej organizácie </w:t>
      </w:r>
      <w:r w:rsidRPr="00114D1F" w:rsidR="00D15932">
        <w:rPr>
          <w:rFonts w:ascii="Times New Roman" w:hAnsi="Times New Roman" w:cs="Times New Roman"/>
          <w:b/>
          <w:sz w:val="28"/>
          <w:szCs w:val="28"/>
          <w:u w:val="single"/>
        </w:rPr>
        <w:t>Sloven</w:t>
      </w:r>
      <w:r w:rsidRPr="00114D1F">
        <w:rPr>
          <w:rFonts w:ascii="Times New Roman" w:hAnsi="Times New Roman" w:cs="Times New Roman"/>
          <w:b/>
          <w:sz w:val="28"/>
          <w:szCs w:val="28"/>
          <w:u w:val="single"/>
        </w:rPr>
        <w:t>ská správa</w:t>
      </w:r>
      <w:r w:rsidRPr="00114D1F" w:rsidR="002E5583">
        <w:rPr>
          <w:rFonts w:ascii="Times New Roman" w:hAnsi="Times New Roman" w:cs="Times New Roman"/>
          <w:b/>
          <w:sz w:val="28"/>
          <w:szCs w:val="28"/>
          <w:u w:val="single"/>
        </w:rPr>
        <w:t xml:space="preserve"> </w:t>
      </w:r>
      <w:r>
        <w:rPr>
          <w:rFonts w:ascii="Times New Roman" w:hAnsi="Times New Roman" w:cs="Times New Roman"/>
          <w:b/>
          <w:sz w:val="28"/>
          <w:szCs w:val="28"/>
          <w:u w:val="single"/>
        </w:rPr>
        <w:t xml:space="preserve"> </w:t>
      </w:r>
      <w:r w:rsidRPr="00114D1F" w:rsidR="002E5583">
        <w:rPr>
          <w:rFonts w:ascii="Times New Roman" w:hAnsi="Times New Roman" w:cs="Times New Roman"/>
          <w:b/>
          <w:sz w:val="28"/>
          <w:szCs w:val="28"/>
          <w:u w:val="single"/>
        </w:rPr>
        <w:t>ciest</w:t>
      </w:r>
      <w:r w:rsidRPr="00114D1F">
        <w:rPr>
          <w:rFonts w:ascii="Times New Roman" w:hAnsi="Times New Roman" w:cs="Times New Roman"/>
          <w:b/>
          <w:sz w:val="28"/>
          <w:szCs w:val="28"/>
          <w:u w:val="single"/>
        </w:rPr>
        <w:t xml:space="preserve"> </w:t>
      </w:r>
      <w:r>
        <w:rPr>
          <w:rFonts w:ascii="Times New Roman" w:hAnsi="Times New Roman" w:cs="Times New Roman"/>
          <w:b/>
          <w:sz w:val="28"/>
          <w:szCs w:val="28"/>
          <w:u w:val="single"/>
        </w:rPr>
        <w:t xml:space="preserve"> (FK 04.5.1.4</w:t>
      </w:r>
      <w:r w:rsidRPr="00114D1F">
        <w:rPr>
          <w:rFonts w:ascii="Times New Roman" w:hAnsi="Times New Roman" w:cs="Times New Roman"/>
          <w:b/>
          <w:sz w:val="28"/>
          <w:szCs w:val="28"/>
          <w:u w:val="single"/>
        </w:rPr>
        <w:t>.)</w:t>
      </w:r>
    </w:p>
    <w:p w:rsidR="005A17C9" w:rsidP="00012A3D">
      <w:pPr>
        <w:spacing w:line="240" w:lineRule="auto"/>
        <w:rPr>
          <w:rFonts w:ascii="Times New Roman" w:hAnsi="Times New Roman" w:cs="Times New Roman"/>
          <w:b/>
          <w:sz w:val="24"/>
          <w:szCs w:val="24"/>
          <w:u w:val="single"/>
        </w:rPr>
      </w:pPr>
    </w:p>
    <w:p w:rsidR="006E2C6E" w:rsidP="004B593A">
      <w:pPr>
        <w:spacing w:line="240" w:lineRule="auto"/>
        <w:ind w:firstLine="709"/>
        <w:rPr>
          <w:rFonts w:ascii="Times New Roman" w:hAnsi="Times New Roman" w:cs="Times New Roman"/>
          <w:b/>
          <w:sz w:val="24"/>
          <w:szCs w:val="24"/>
        </w:rPr>
      </w:pPr>
    </w:p>
    <w:p w:rsidR="00C32105" w:rsidRPr="002C7E22" w:rsidP="004B593A">
      <w:pPr>
        <w:spacing w:line="240" w:lineRule="auto"/>
        <w:ind w:firstLine="709"/>
        <w:rPr>
          <w:rFonts w:ascii="Times New Roman" w:hAnsi="Times New Roman" w:cs="Times New Roman"/>
          <w:sz w:val="24"/>
          <w:szCs w:val="24"/>
        </w:rPr>
      </w:pPr>
      <w:r w:rsidRPr="00AB1F6D" w:rsidR="00763668">
        <w:rPr>
          <w:rFonts w:ascii="Times New Roman" w:hAnsi="Times New Roman" w:cs="Times New Roman"/>
          <w:b/>
          <w:sz w:val="24"/>
          <w:szCs w:val="24"/>
        </w:rPr>
        <w:t xml:space="preserve">Bežné výdavky </w:t>
      </w:r>
      <w:r w:rsidRPr="00AB1F6D" w:rsidR="009B09BA">
        <w:rPr>
          <w:rFonts w:ascii="Times New Roman" w:hAnsi="Times New Roman" w:cs="Times New Roman"/>
          <w:b/>
          <w:sz w:val="24"/>
          <w:szCs w:val="24"/>
        </w:rPr>
        <w:t>(600)</w:t>
      </w:r>
      <w:r w:rsidRPr="002C7E22" w:rsidR="009B09BA">
        <w:rPr>
          <w:rFonts w:ascii="Times New Roman" w:hAnsi="Times New Roman" w:cs="Times New Roman"/>
          <w:sz w:val="24"/>
          <w:szCs w:val="24"/>
        </w:rPr>
        <w:t xml:space="preserve"> </w:t>
      </w:r>
      <w:r w:rsidR="005A17C9">
        <w:rPr>
          <w:rFonts w:ascii="Times New Roman" w:hAnsi="Times New Roman" w:cs="Times New Roman"/>
          <w:sz w:val="24"/>
          <w:szCs w:val="24"/>
        </w:rPr>
        <w:t xml:space="preserve">pridelené v roku </w:t>
      </w:r>
      <w:r w:rsidR="00322C97">
        <w:rPr>
          <w:rFonts w:ascii="Times New Roman" w:hAnsi="Times New Roman" w:cs="Times New Roman"/>
          <w:sz w:val="24"/>
          <w:szCs w:val="24"/>
        </w:rPr>
        <w:t>2007 (upravený rozpočet k 31.12.2007</w:t>
      </w:r>
      <w:r w:rsidRPr="002C7E22" w:rsidR="00763668">
        <w:rPr>
          <w:rFonts w:ascii="Times New Roman" w:hAnsi="Times New Roman" w:cs="Times New Roman"/>
          <w:sz w:val="24"/>
          <w:szCs w:val="24"/>
        </w:rPr>
        <w:t xml:space="preserve">) vo výške </w:t>
      </w:r>
      <w:r w:rsidR="00756D85">
        <w:rPr>
          <w:rFonts w:ascii="Times New Roman" w:hAnsi="Times New Roman" w:cs="Times New Roman"/>
          <w:sz w:val="24"/>
          <w:szCs w:val="24"/>
        </w:rPr>
        <w:t xml:space="preserve">161 845 189,80 </w:t>
      </w:r>
      <w:r w:rsidRPr="002C7E22" w:rsidR="00763668">
        <w:rPr>
          <w:rFonts w:ascii="Times New Roman" w:hAnsi="Times New Roman" w:cs="Times New Roman"/>
          <w:sz w:val="24"/>
          <w:szCs w:val="24"/>
        </w:rPr>
        <w:t xml:space="preserve">Sk boli k  </w:t>
      </w:r>
      <w:r w:rsidR="0050499F">
        <w:rPr>
          <w:rFonts w:ascii="Times New Roman" w:hAnsi="Times New Roman" w:cs="Times New Roman"/>
          <w:sz w:val="24"/>
          <w:szCs w:val="24"/>
        </w:rPr>
        <w:t>31.12.2006</w:t>
      </w:r>
      <w:r w:rsidRPr="002C7E22" w:rsidR="008A171A">
        <w:rPr>
          <w:rFonts w:ascii="Times New Roman" w:hAnsi="Times New Roman" w:cs="Times New Roman"/>
          <w:sz w:val="24"/>
          <w:szCs w:val="24"/>
        </w:rPr>
        <w:t xml:space="preserve"> vy</w:t>
      </w:r>
      <w:r w:rsidRPr="002C7E22" w:rsidR="00763668">
        <w:rPr>
          <w:rFonts w:ascii="Times New Roman" w:hAnsi="Times New Roman" w:cs="Times New Roman"/>
          <w:sz w:val="24"/>
          <w:szCs w:val="24"/>
        </w:rPr>
        <w:t>čerpané</w:t>
      </w:r>
      <w:r w:rsidRPr="002C7E22" w:rsidR="008A171A">
        <w:rPr>
          <w:rFonts w:ascii="Times New Roman" w:hAnsi="Times New Roman" w:cs="Times New Roman"/>
          <w:sz w:val="24"/>
          <w:szCs w:val="24"/>
        </w:rPr>
        <w:t xml:space="preserve"> v</w:t>
      </w:r>
      <w:r w:rsidR="00756D85">
        <w:rPr>
          <w:rFonts w:ascii="Times New Roman" w:hAnsi="Times New Roman" w:cs="Times New Roman"/>
          <w:sz w:val="24"/>
          <w:szCs w:val="24"/>
        </w:rPr>
        <w:t> takmer plnej výške. N</w:t>
      </w:r>
      <w:r w:rsidR="005A17C9">
        <w:rPr>
          <w:rFonts w:ascii="Times New Roman" w:hAnsi="Times New Roman" w:cs="Times New Roman"/>
          <w:sz w:val="24"/>
          <w:szCs w:val="24"/>
        </w:rPr>
        <w:t>edočerpal</w:t>
      </w:r>
      <w:r w:rsidR="005A17C9">
        <w:rPr>
          <w:rFonts w:ascii="Times New Roman" w:hAnsi="Times New Roman" w:cs="Times New Roman"/>
          <w:sz w:val="24"/>
          <w:szCs w:val="24"/>
        </w:rPr>
        <w:t>i sa len výdavky</w:t>
      </w:r>
      <w:r w:rsidR="00756D85">
        <w:rPr>
          <w:rFonts w:ascii="Times New Roman" w:hAnsi="Times New Roman" w:cs="Times New Roman"/>
          <w:sz w:val="24"/>
          <w:szCs w:val="24"/>
        </w:rPr>
        <w:t xml:space="preserve"> vo výške 77 062,30 Sk v</w:t>
      </w:r>
      <w:r w:rsidR="005A17C9">
        <w:rPr>
          <w:rFonts w:ascii="Times New Roman" w:hAnsi="Times New Roman" w:cs="Times New Roman"/>
          <w:sz w:val="24"/>
          <w:szCs w:val="24"/>
        </w:rPr>
        <w:t> </w:t>
      </w:r>
      <w:r w:rsidR="00756D85">
        <w:rPr>
          <w:rFonts w:ascii="Times New Roman" w:hAnsi="Times New Roman" w:cs="Times New Roman"/>
          <w:sz w:val="24"/>
          <w:szCs w:val="24"/>
        </w:rPr>
        <w:t>kategórii</w:t>
      </w:r>
      <w:r w:rsidR="005A17C9">
        <w:rPr>
          <w:rFonts w:ascii="Times New Roman" w:hAnsi="Times New Roman" w:cs="Times New Roman"/>
          <w:sz w:val="24"/>
          <w:szCs w:val="24"/>
        </w:rPr>
        <w:t xml:space="preserve"> 630 – Tovary a služby. </w:t>
      </w:r>
      <w:r w:rsidRPr="002C7E22" w:rsidR="00CD0EBA">
        <w:rPr>
          <w:rFonts w:ascii="Times New Roman" w:hAnsi="Times New Roman" w:cs="Times New Roman"/>
          <w:sz w:val="24"/>
          <w:szCs w:val="24"/>
        </w:rPr>
        <w:t>Okrem uvedených výdavkov povolilo MDPT SR v priebehu roka prekročenie čerpania bežných výdavkov SSC o</w:t>
      </w:r>
      <w:r w:rsidR="005A17C9">
        <w:rPr>
          <w:rFonts w:ascii="Times New Roman" w:hAnsi="Times New Roman" w:cs="Times New Roman"/>
          <w:sz w:val="24"/>
          <w:szCs w:val="24"/>
        </w:rPr>
        <w:t xml:space="preserve"> 4 826 853,80 </w:t>
      </w:r>
      <w:r w:rsidRPr="002C7E22" w:rsidR="00CD0EBA">
        <w:rPr>
          <w:rFonts w:ascii="Times New Roman" w:hAnsi="Times New Roman" w:cs="Times New Roman"/>
          <w:sz w:val="24"/>
          <w:szCs w:val="24"/>
        </w:rPr>
        <w:t xml:space="preserve">Sk z titulu prijatých poistných plnení. </w:t>
      </w:r>
      <w:r w:rsidRPr="002C7E22" w:rsidR="008A171A">
        <w:rPr>
          <w:rFonts w:ascii="Times New Roman" w:hAnsi="Times New Roman" w:cs="Times New Roman"/>
          <w:sz w:val="24"/>
          <w:szCs w:val="24"/>
        </w:rPr>
        <w:t>Tieto finančné prostriedky boli vyč</w:t>
      </w:r>
      <w:r w:rsidR="005A17C9">
        <w:rPr>
          <w:rFonts w:ascii="Times New Roman" w:hAnsi="Times New Roman" w:cs="Times New Roman"/>
          <w:sz w:val="24"/>
          <w:szCs w:val="24"/>
        </w:rPr>
        <w:t xml:space="preserve">erpané v plnej výške. Celkové čerpanie bežných </w:t>
      </w:r>
      <w:r w:rsidR="00114D1F">
        <w:rPr>
          <w:rFonts w:ascii="Times New Roman" w:hAnsi="Times New Roman" w:cs="Times New Roman"/>
          <w:sz w:val="24"/>
          <w:szCs w:val="24"/>
        </w:rPr>
        <w:t xml:space="preserve">výdavkov SSC tak </w:t>
      </w:r>
      <w:r w:rsidRPr="002C7E22" w:rsidR="00CD0EBA">
        <w:rPr>
          <w:rFonts w:ascii="Times New Roman" w:hAnsi="Times New Roman" w:cs="Times New Roman"/>
          <w:sz w:val="24"/>
          <w:szCs w:val="24"/>
        </w:rPr>
        <w:t xml:space="preserve">dosiahlo </w:t>
      </w:r>
      <w:r w:rsidR="005A17C9">
        <w:rPr>
          <w:rFonts w:ascii="Times New Roman" w:hAnsi="Times New Roman" w:cs="Times New Roman"/>
          <w:sz w:val="24"/>
          <w:szCs w:val="24"/>
        </w:rPr>
        <w:t xml:space="preserve">166 594 981,30 </w:t>
      </w:r>
      <w:r w:rsidRPr="002C7E22" w:rsidR="00CD0EBA">
        <w:rPr>
          <w:rFonts w:ascii="Times New Roman" w:hAnsi="Times New Roman" w:cs="Times New Roman"/>
          <w:sz w:val="24"/>
          <w:szCs w:val="24"/>
        </w:rPr>
        <w:t>Sk.</w:t>
      </w:r>
    </w:p>
    <w:p w:rsidR="005A17C9" w:rsidP="00B27788">
      <w:pPr>
        <w:spacing w:line="240" w:lineRule="auto"/>
        <w:rPr>
          <w:rFonts w:ascii="Times New Roman" w:hAnsi="Times New Roman" w:cs="Times New Roman"/>
          <w:sz w:val="24"/>
          <w:szCs w:val="24"/>
          <w:u w:val="single"/>
        </w:rPr>
      </w:pPr>
    </w:p>
    <w:p w:rsidR="00532DAB" w:rsidRPr="002E5583" w:rsidP="00B27788">
      <w:pPr>
        <w:spacing w:line="240" w:lineRule="auto"/>
        <w:ind w:firstLine="708"/>
        <w:rPr>
          <w:rFonts w:ascii="Times New Roman" w:hAnsi="Times New Roman" w:cs="Times New Roman"/>
          <w:sz w:val="24"/>
          <w:szCs w:val="24"/>
          <w:u w:val="single"/>
        </w:rPr>
      </w:pPr>
      <w:r w:rsidRPr="002E5583" w:rsidR="00763668">
        <w:rPr>
          <w:rFonts w:ascii="Times New Roman" w:hAnsi="Times New Roman" w:cs="Times New Roman"/>
          <w:sz w:val="24"/>
          <w:szCs w:val="24"/>
          <w:u w:val="single"/>
        </w:rPr>
        <w:t>Finančné prostriedky boli použité najmä na:</w:t>
      </w:r>
    </w:p>
    <w:p w:rsidR="00763668" w:rsidRPr="00763668" w:rsidP="00C362EA">
      <w:pPr>
        <w:spacing w:line="240" w:lineRule="auto"/>
        <w:ind w:left="360" w:firstLine="348"/>
        <w:rPr>
          <w:rFonts w:ascii="Times New Roman" w:hAnsi="Times New Roman" w:cs="Times New Roman"/>
          <w:sz w:val="24"/>
          <w:szCs w:val="24"/>
        </w:rPr>
      </w:pPr>
      <w:r w:rsidRPr="00763668">
        <w:rPr>
          <w:rFonts w:ascii="Times New Roman" w:hAnsi="Times New Roman" w:cs="Times New Roman"/>
          <w:sz w:val="24"/>
          <w:szCs w:val="24"/>
        </w:rPr>
        <w:t>610 – Mz</w:t>
      </w:r>
      <w:r>
        <w:rPr>
          <w:rFonts w:ascii="Times New Roman" w:hAnsi="Times New Roman" w:cs="Times New Roman"/>
          <w:sz w:val="24"/>
          <w:szCs w:val="24"/>
        </w:rPr>
        <w:t>dy, platy, služobné príjmy a OOV..........</w:t>
      </w:r>
      <w:r w:rsidR="005A17C9">
        <w:rPr>
          <w:rFonts w:ascii="Times New Roman" w:hAnsi="Times New Roman" w:cs="Times New Roman"/>
          <w:sz w:val="24"/>
          <w:szCs w:val="24"/>
        </w:rPr>
        <w:t xml:space="preserve">.............................104 384 739,10 </w:t>
      </w:r>
      <w:r w:rsidRPr="00763668">
        <w:rPr>
          <w:rFonts w:ascii="Times New Roman" w:hAnsi="Times New Roman" w:cs="Times New Roman"/>
          <w:sz w:val="24"/>
          <w:szCs w:val="24"/>
        </w:rPr>
        <w:t>Sk</w:t>
      </w:r>
    </w:p>
    <w:p w:rsidR="00763668" w:rsidRPr="00763668" w:rsidP="00C362EA">
      <w:pPr>
        <w:spacing w:line="240" w:lineRule="auto"/>
        <w:ind w:left="360" w:firstLine="348"/>
        <w:rPr>
          <w:rFonts w:ascii="Times New Roman" w:hAnsi="Times New Roman" w:cs="Times New Roman"/>
          <w:sz w:val="24"/>
          <w:szCs w:val="24"/>
        </w:rPr>
      </w:pPr>
      <w:r w:rsidRPr="00763668">
        <w:rPr>
          <w:rFonts w:ascii="Times New Roman" w:hAnsi="Times New Roman" w:cs="Times New Roman"/>
          <w:sz w:val="24"/>
          <w:szCs w:val="24"/>
        </w:rPr>
        <w:t xml:space="preserve">620 – Poistné </w:t>
      </w:r>
      <w:r w:rsidRPr="00763668">
        <w:rPr>
          <w:rFonts w:ascii="Times New Roman" w:hAnsi="Times New Roman" w:cs="Times New Roman"/>
          <w:sz w:val="24"/>
          <w:szCs w:val="24"/>
        </w:rPr>
        <w:t>a príspevok zamestnávate</w:t>
      </w:r>
      <w:r>
        <w:rPr>
          <w:rFonts w:ascii="Times New Roman" w:hAnsi="Times New Roman" w:cs="Times New Roman"/>
          <w:sz w:val="24"/>
          <w:szCs w:val="24"/>
        </w:rPr>
        <w:t>ľa do po</w:t>
      </w:r>
      <w:r w:rsidR="005A17C9">
        <w:rPr>
          <w:rFonts w:ascii="Times New Roman" w:hAnsi="Times New Roman" w:cs="Times New Roman"/>
          <w:sz w:val="24"/>
          <w:szCs w:val="24"/>
        </w:rPr>
        <w:t xml:space="preserve">isťovní......................39 188 650,70 </w:t>
      </w:r>
      <w:r w:rsidRPr="00763668">
        <w:rPr>
          <w:rFonts w:ascii="Times New Roman" w:hAnsi="Times New Roman" w:cs="Times New Roman"/>
          <w:sz w:val="24"/>
          <w:szCs w:val="24"/>
        </w:rPr>
        <w:t>Sk</w:t>
      </w:r>
    </w:p>
    <w:p w:rsidR="00763668" w:rsidRPr="00763668" w:rsidP="00C362EA">
      <w:pPr>
        <w:spacing w:line="240" w:lineRule="auto"/>
        <w:ind w:left="360" w:firstLine="348"/>
        <w:rPr>
          <w:rFonts w:ascii="Times New Roman" w:hAnsi="Times New Roman" w:cs="Times New Roman"/>
          <w:sz w:val="24"/>
          <w:szCs w:val="24"/>
        </w:rPr>
      </w:pPr>
      <w:r>
        <w:rPr>
          <w:rFonts w:ascii="Times New Roman" w:hAnsi="Times New Roman" w:cs="Times New Roman"/>
          <w:sz w:val="24"/>
          <w:szCs w:val="24"/>
        </w:rPr>
        <w:t>630 – To</w:t>
      </w:r>
      <w:r w:rsidR="005A17C9">
        <w:rPr>
          <w:rFonts w:ascii="Times New Roman" w:hAnsi="Times New Roman" w:cs="Times New Roman"/>
          <w:sz w:val="24"/>
          <w:szCs w:val="24"/>
        </w:rPr>
        <w:t xml:space="preserve">vary a služby (vrátane poistného a prostriedkov z ESF)........20 641 591,50 </w:t>
      </w:r>
      <w:r>
        <w:rPr>
          <w:rFonts w:ascii="Times New Roman" w:hAnsi="Times New Roman" w:cs="Times New Roman"/>
          <w:sz w:val="24"/>
          <w:szCs w:val="24"/>
        </w:rPr>
        <w:t>Sk</w:t>
      </w:r>
    </w:p>
    <w:p w:rsidR="00763668" w:rsidP="00C362EA">
      <w:pPr>
        <w:spacing w:line="240" w:lineRule="auto"/>
        <w:rPr>
          <w:rFonts w:ascii="Times New Roman" w:hAnsi="Times New Roman" w:cs="Times New Roman"/>
          <w:sz w:val="24"/>
          <w:szCs w:val="24"/>
        </w:rPr>
      </w:pPr>
      <w:r w:rsidRPr="00763668">
        <w:rPr>
          <w:rFonts w:ascii="Times New Roman" w:hAnsi="Times New Roman" w:cs="Times New Roman"/>
          <w:sz w:val="24"/>
          <w:szCs w:val="24"/>
        </w:rPr>
        <w:t xml:space="preserve">            640 – Bežné transfery  ......</w:t>
      </w:r>
      <w:r w:rsidR="008A171A">
        <w:rPr>
          <w:rFonts w:ascii="Times New Roman" w:hAnsi="Times New Roman" w:cs="Times New Roman"/>
          <w:sz w:val="24"/>
          <w:szCs w:val="24"/>
        </w:rPr>
        <w:t>.........................................</w:t>
      </w:r>
      <w:r w:rsidR="005A17C9">
        <w:rPr>
          <w:rFonts w:ascii="Times New Roman" w:hAnsi="Times New Roman" w:cs="Times New Roman"/>
          <w:sz w:val="24"/>
          <w:szCs w:val="24"/>
        </w:rPr>
        <w:t>.........</w:t>
      </w:r>
      <w:r w:rsidR="005A17C9">
        <w:rPr>
          <w:rFonts w:ascii="Times New Roman" w:hAnsi="Times New Roman" w:cs="Times New Roman"/>
          <w:sz w:val="24"/>
          <w:szCs w:val="24"/>
        </w:rPr>
        <w:t>......................2 380</w:t>
      </w:r>
      <w:r w:rsidRPr="00763668">
        <w:rPr>
          <w:rFonts w:ascii="Times New Roman" w:hAnsi="Times New Roman" w:cs="Times New Roman"/>
          <w:sz w:val="24"/>
          <w:szCs w:val="24"/>
        </w:rPr>
        <w:t xml:space="preserve"> 000,- Sk </w:t>
      </w:r>
    </w:p>
    <w:p w:rsidR="00763668" w:rsidRPr="00763668" w:rsidP="00C362EA">
      <w:pPr>
        <w:spacing w:line="240" w:lineRule="auto"/>
        <w:ind w:left="709"/>
        <w:rPr>
          <w:rFonts w:ascii="Times New Roman" w:hAnsi="Times New Roman" w:cs="Times New Roman"/>
          <w:sz w:val="24"/>
          <w:szCs w:val="24"/>
        </w:rPr>
      </w:pPr>
      <w:r>
        <w:rPr>
          <w:rFonts w:ascii="Times New Roman" w:hAnsi="Times New Roman" w:cs="Times New Roman"/>
          <w:sz w:val="24"/>
          <w:szCs w:val="24"/>
        </w:rPr>
        <w:t xml:space="preserve">(členské príspevky za členstvo Slovenskej správy ciest v slovenských </w:t>
      </w:r>
      <w:r w:rsidRPr="00763668">
        <w:rPr>
          <w:rFonts w:ascii="Times New Roman" w:hAnsi="Times New Roman" w:cs="Times New Roman"/>
          <w:sz w:val="24"/>
          <w:szCs w:val="24"/>
        </w:rPr>
        <w:t>a zahraničnýc</w:t>
      </w:r>
      <w:r>
        <w:rPr>
          <w:rFonts w:ascii="Times New Roman" w:hAnsi="Times New Roman" w:cs="Times New Roman"/>
          <w:sz w:val="24"/>
          <w:szCs w:val="24"/>
        </w:rPr>
        <w:t>h združeniach a </w:t>
      </w:r>
      <w:r w:rsidRPr="00763668">
        <w:rPr>
          <w:rFonts w:ascii="Times New Roman" w:hAnsi="Times New Roman" w:cs="Times New Roman"/>
          <w:sz w:val="24"/>
          <w:szCs w:val="24"/>
        </w:rPr>
        <w:t>organiz</w:t>
      </w:r>
      <w:r>
        <w:rPr>
          <w:rFonts w:ascii="Times New Roman" w:hAnsi="Times New Roman" w:cs="Times New Roman"/>
          <w:sz w:val="24"/>
          <w:szCs w:val="24"/>
        </w:rPr>
        <w:t>áciách, odstupné,</w:t>
      </w:r>
      <w:r w:rsidR="002E5583">
        <w:rPr>
          <w:rFonts w:ascii="Times New Roman" w:hAnsi="Times New Roman" w:cs="Times New Roman"/>
          <w:sz w:val="24"/>
          <w:szCs w:val="24"/>
        </w:rPr>
        <w:t xml:space="preserve"> </w:t>
      </w:r>
      <w:r>
        <w:rPr>
          <w:rFonts w:ascii="Times New Roman" w:hAnsi="Times New Roman" w:cs="Times New Roman"/>
          <w:sz w:val="24"/>
          <w:szCs w:val="24"/>
        </w:rPr>
        <w:t>odchodné a nemocenské dávky)</w:t>
      </w:r>
    </w:p>
    <w:p w:rsidR="009A52FB" w:rsidP="00C362EA">
      <w:pPr>
        <w:spacing w:line="240" w:lineRule="auto"/>
        <w:rPr>
          <w:rFonts w:ascii="Times New Roman" w:hAnsi="Times New Roman" w:cs="Times New Roman"/>
          <w:sz w:val="24"/>
          <w:szCs w:val="24"/>
        </w:rPr>
      </w:pPr>
      <w:r w:rsidR="005A17C9">
        <w:rPr>
          <w:rFonts w:ascii="Times New Roman" w:hAnsi="Times New Roman" w:cs="Times New Roman"/>
          <w:sz w:val="24"/>
          <w:szCs w:val="24"/>
        </w:rPr>
        <w:tab/>
      </w:r>
    </w:p>
    <w:p w:rsidR="00763668" w:rsidP="009A52FB">
      <w:pPr>
        <w:spacing w:line="240" w:lineRule="auto"/>
        <w:ind w:firstLine="709"/>
        <w:rPr>
          <w:rFonts w:ascii="Times New Roman" w:hAnsi="Times New Roman" w:cs="Times New Roman"/>
          <w:b/>
          <w:sz w:val="24"/>
          <w:szCs w:val="24"/>
        </w:rPr>
      </w:pPr>
      <w:r w:rsidRPr="005A17C9" w:rsidR="005A17C9">
        <w:rPr>
          <w:rFonts w:ascii="Times New Roman" w:hAnsi="Times New Roman" w:cs="Times New Roman"/>
          <w:b/>
          <w:sz w:val="24"/>
          <w:szCs w:val="24"/>
        </w:rPr>
        <w:t>S P O L U</w:t>
      </w:r>
      <w:r w:rsidR="005A17C9">
        <w:rPr>
          <w:rFonts w:ascii="Times New Roman" w:hAnsi="Times New Roman" w:cs="Times New Roman"/>
          <w:sz w:val="24"/>
          <w:szCs w:val="24"/>
        </w:rPr>
        <w:t>:......................................................</w:t>
      </w:r>
      <w:r w:rsidR="005A17C9">
        <w:rPr>
          <w:rFonts w:ascii="Times New Roman" w:hAnsi="Times New Roman" w:cs="Times New Roman"/>
          <w:sz w:val="24"/>
          <w:szCs w:val="24"/>
        </w:rPr>
        <w:t>....................................</w:t>
      </w:r>
      <w:r w:rsidRPr="005A17C9" w:rsidR="005A17C9">
        <w:rPr>
          <w:rFonts w:ascii="Times New Roman" w:hAnsi="Times New Roman" w:cs="Times New Roman"/>
          <w:b/>
          <w:sz w:val="24"/>
          <w:szCs w:val="24"/>
        </w:rPr>
        <w:t>166 594 981,30 Sk</w:t>
      </w:r>
    </w:p>
    <w:p w:rsidR="005A17C9" w:rsidRPr="005A17C9" w:rsidP="00C362EA">
      <w:pPr>
        <w:spacing w:line="240" w:lineRule="auto"/>
        <w:rPr>
          <w:rFonts w:ascii="Times New Roman" w:hAnsi="Times New Roman" w:cs="Times New Roman"/>
          <w:b/>
          <w:sz w:val="24"/>
          <w:szCs w:val="24"/>
        </w:rPr>
      </w:pPr>
    </w:p>
    <w:p w:rsidR="00763668" w:rsidRPr="00763668" w:rsidP="00C362EA">
      <w:pPr>
        <w:spacing w:line="240" w:lineRule="auto"/>
        <w:ind w:firstLine="709"/>
        <w:rPr>
          <w:rFonts w:ascii="Times New Roman" w:hAnsi="Times New Roman" w:cs="Times New Roman"/>
          <w:sz w:val="24"/>
          <w:szCs w:val="24"/>
        </w:rPr>
      </w:pPr>
      <w:r w:rsidRPr="00763668">
        <w:rPr>
          <w:rFonts w:ascii="Times New Roman" w:hAnsi="Times New Roman" w:cs="Times New Roman"/>
          <w:sz w:val="24"/>
          <w:szCs w:val="24"/>
        </w:rPr>
        <w:t>V</w:t>
      </w:r>
      <w:r>
        <w:rPr>
          <w:rFonts w:ascii="Times New Roman" w:hAnsi="Times New Roman" w:cs="Times New Roman"/>
          <w:sz w:val="24"/>
          <w:szCs w:val="24"/>
        </w:rPr>
        <w:t> </w:t>
      </w:r>
      <w:r w:rsidRPr="00763668">
        <w:rPr>
          <w:rFonts w:ascii="Times New Roman" w:hAnsi="Times New Roman" w:cs="Times New Roman"/>
          <w:sz w:val="24"/>
          <w:szCs w:val="24"/>
        </w:rPr>
        <w:t>rámci</w:t>
      </w:r>
      <w:r>
        <w:rPr>
          <w:rFonts w:ascii="Times New Roman" w:hAnsi="Times New Roman" w:cs="Times New Roman"/>
          <w:sz w:val="24"/>
          <w:szCs w:val="24"/>
        </w:rPr>
        <w:t xml:space="preserve"> </w:t>
      </w:r>
      <w:r w:rsidRPr="00763668">
        <w:rPr>
          <w:rFonts w:ascii="Times New Roman" w:hAnsi="Times New Roman" w:cs="Times New Roman"/>
          <w:b/>
          <w:sz w:val="24"/>
          <w:szCs w:val="24"/>
        </w:rPr>
        <w:t>RP 630</w:t>
      </w:r>
      <w:r>
        <w:rPr>
          <w:rFonts w:ascii="Times New Roman" w:hAnsi="Times New Roman" w:cs="Times New Roman"/>
          <w:b/>
          <w:sz w:val="24"/>
          <w:szCs w:val="24"/>
        </w:rPr>
        <w:t xml:space="preserve"> – Tovary a </w:t>
      </w:r>
      <w:r w:rsidRPr="00763668">
        <w:rPr>
          <w:rFonts w:ascii="Times New Roman" w:hAnsi="Times New Roman" w:cs="Times New Roman"/>
          <w:b/>
          <w:sz w:val="24"/>
          <w:szCs w:val="24"/>
        </w:rPr>
        <w:t>služby</w:t>
      </w:r>
      <w:r w:rsidRPr="00763668">
        <w:rPr>
          <w:rFonts w:ascii="Times New Roman" w:hAnsi="Times New Roman" w:cs="Times New Roman"/>
          <w:sz w:val="24"/>
          <w:szCs w:val="24"/>
        </w:rPr>
        <w:t xml:space="preserve"> boli finančné prostriedky použité </w:t>
      </w:r>
      <w:r>
        <w:rPr>
          <w:rFonts w:ascii="Times New Roman" w:hAnsi="Times New Roman" w:cs="Times New Roman"/>
          <w:sz w:val="24"/>
          <w:szCs w:val="24"/>
        </w:rPr>
        <w:t>nasledovne</w:t>
      </w:r>
      <w:r w:rsidRPr="00763668">
        <w:rPr>
          <w:rFonts w:ascii="Times New Roman" w:hAnsi="Times New Roman" w:cs="Times New Roman"/>
          <w:sz w:val="24"/>
          <w:szCs w:val="24"/>
        </w:rPr>
        <w:t>:</w:t>
      </w:r>
    </w:p>
    <w:p w:rsidR="00763668" w:rsidRPr="00763668" w:rsidP="00C362EA">
      <w:pPr>
        <w:spacing w:line="240" w:lineRule="auto"/>
        <w:ind w:firstLine="709"/>
        <w:rPr>
          <w:rFonts w:ascii="Times New Roman" w:hAnsi="Times New Roman" w:cs="Times New Roman"/>
          <w:sz w:val="24"/>
          <w:szCs w:val="24"/>
        </w:rPr>
      </w:pPr>
    </w:p>
    <w:p w:rsidR="00763668" w:rsidRPr="00763668" w:rsidP="00C362EA">
      <w:pPr>
        <w:spacing w:line="240" w:lineRule="auto"/>
        <w:ind w:firstLine="708"/>
        <w:rPr>
          <w:rFonts w:ascii="Times New Roman" w:hAnsi="Times New Roman" w:cs="Times New Roman"/>
          <w:sz w:val="24"/>
          <w:szCs w:val="24"/>
        </w:rPr>
      </w:pPr>
      <w:r w:rsidRPr="00763668">
        <w:rPr>
          <w:rFonts w:ascii="Times New Roman" w:hAnsi="Times New Roman" w:cs="Times New Roman"/>
          <w:sz w:val="24"/>
          <w:szCs w:val="24"/>
        </w:rPr>
        <w:t>632 E</w:t>
      </w:r>
      <w:r w:rsidR="00CC10CB">
        <w:rPr>
          <w:rFonts w:ascii="Times New Roman" w:hAnsi="Times New Roman" w:cs="Times New Roman"/>
          <w:sz w:val="24"/>
          <w:szCs w:val="24"/>
        </w:rPr>
        <w:t xml:space="preserve">nergie 4 906 671,87 </w:t>
      </w:r>
      <w:r>
        <w:rPr>
          <w:rFonts w:ascii="Times New Roman" w:hAnsi="Times New Roman" w:cs="Times New Roman"/>
          <w:sz w:val="24"/>
          <w:szCs w:val="24"/>
        </w:rPr>
        <w:t>Sk (</w:t>
      </w:r>
      <w:r w:rsidRPr="00763668">
        <w:rPr>
          <w:rFonts w:ascii="Times New Roman" w:hAnsi="Times New Roman" w:cs="Times New Roman"/>
          <w:sz w:val="24"/>
          <w:szCs w:val="24"/>
        </w:rPr>
        <w:t>energie, vodné, st</w:t>
      </w:r>
      <w:r>
        <w:rPr>
          <w:rFonts w:ascii="Times New Roman" w:hAnsi="Times New Roman" w:cs="Times New Roman"/>
          <w:sz w:val="24"/>
          <w:szCs w:val="24"/>
        </w:rPr>
        <w:t>očné, pošt. a telekomunikačné služby)</w:t>
      </w:r>
    </w:p>
    <w:p w:rsidR="00763668" w:rsidRPr="00763668" w:rsidP="00C362EA">
      <w:pPr>
        <w:spacing w:line="240" w:lineRule="auto"/>
        <w:ind w:left="708"/>
        <w:rPr>
          <w:rFonts w:ascii="Times New Roman" w:hAnsi="Times New Roman" w:cs="Times New Roman"/>
          <w:sz w:val="24"/>
          <w:szCs w:val="24"/>
        </w:rPr>
      </w:pPr>
      <w:r w:rsidR="00CC10CB">
        <w:rPr>
          <w:rFonts w:ascii="Times New Roman" w:hAnsi="Times New Roman" w:cs="Times New Roman"/>
          <w:sz w:val="24"/>
          <w:szCs w:val="24"/>
        </w:rPr>
        <w:t xml:space="preserve">633 Materiál 2 599 551,44 </w:t>
      </w:r>
      <w:r w:rsidRPr="00763668">
        <w:rPr>
          <w:rFonts w:ascii="Times New Roman" w:hAnsi="Times New Roman" w:cs="Times New Roman"/>
          <w:sz w:val="24"/>
          <w:szCs w:val="24"/>
        </w:rPr>
        <w:t>Sk (náku</w:t>
      </w:r>
      <w:r w:rsidR="00CC10CB">
        <w:rPr>
          <w:rFonts w:ascii="Times New Roman" w:hAnsi="Times New Roman" w:cs="Times New Roman"/>
          <w:sz w:val="24"/>
          <w:szCs w:val="24"/>
        </w:rPr>
        <w:t xml:space="preserve">p interiérového vybavenia, výpočtovej a telekomunikačnej </w:t>
      </w:r>
      <w:r w:rsidRPr="00763668">
        <w:rPr>
          <w:rFonts w:ascii="Times New Roman" w:hAnsi="Times New Roman" w:cs="Times New Roman"/>
          <w:sz w:val="24"/>
          <w:szCs w:val="24"/>
        </w:rPr>
        <w:t>techniky, prevádzkových strojov, prístrojov a zariadení, kancelárskeho materiálu, pracovných odevov a</w:t>
      </w:r>
      <w:r w:rsidR="00CC10CB">
        <w:rPr>
          <w:rFonts w:ascii="Times New Roman" w:hAnsi="Times New Roman" w:cs="Times New Roman"/>
          <w:sz w:val="24"/>
          <w:szCs w:val="24"/>
        </w:rPr>
        <w:t> </w:t>
      </w:r>
      <w:r w:rsidRPr="00763668">
        <w:rPr>
          <w:rFonts w:ascii="Times New Roman" w:hAnsi="Times New Roman" w:cs="Times New Roman"/>
          <w:sz w:val="24"/>
          <w:szCs w:val="24"/>
        </w:rPr>
        <w:t>obuvi</w:t>
      </w:r>
      <w:r w:rsidR="00CC10CB">
        <w:rPr>
          <w:rFonts w:ascii="Times New Roman" w:hAnsi="Times New Roman" w:cs="Times New Roman"/>
          <w:sz w:val="24"/>
          <w:szCs w:val="24"/>
        </w:rPr>
        <w:t xml:space="preserve"> a na reprezentačné výdavky</w:t>
      </w:r>
      <w:r w:rsidRPr="00763668">
        <w:rPr>
          <w:rFonts w:ascii="Times New Roman" w:hAnsi="Times New Roman" w:cs="Arial"/>
          <w:sz w:val="24"/>
          <w:szCs w:val="24"/>
        </w:rPr>
        <w:t>)</w:t>
      </w:r>
    </w:p>
    <w:p w:rsidR="00763668" w:rsidRPr="00763668" w:rsidP="00C362EA">
      <w:pPr>
        <w:spacing w:line="240" w:lineRule="auto"/>
        <w:ind w:left="708"/>
        <w:rPr>
          <w:rFonts w:ascii="Times New Roman" w:hAnsi="Times New Roman" w:cs="Times New Roman"/>
          <w:sz w:val="24"/>
          <w:szCs w:val="24"/>
        </w:rPr>
      </w:pPr>
      <w:r w:rsidR="00CC10CB">
        <w:rPr>
          <w:rFonts w:ascii="Times New Roman" w:hAnsi="Times New Roman" w:cs="Times New Roman"/>
          <w:sz w:val="24"/>
          <w:szCs w:val="24"/>
        </w:rPr>
        <w:t>634 Dopravné 23 787,- Sk ( finančné prostriedky boli použité na p</w:t>
      </w:r>
      <w:r w:rsidR="00CC10CB">
        <w:rPr>
          <w:rFonts w:ascii="Times New Roman" w:hAnsi="Times New Roman" w:cs="Times New Roman"/>
          <w:sz w:val="24"/>
          <w:szCs w:val="24"/>
        </w:rPr>
        <w:t>repravné a prenájom dopravných prostriedkov</w:t>
      </w:r>
      <w:r w:rsidRPr="00763668">
        <w:rPr>
          <w:rFonts w:ascii="Times New Roman" w:hAnsi="Times New Roman" w:cs="Times New Roman"/>
          <w:sz w:val="24"/>
          <w:szCs w:val="24"/>
        </w:rPr>
        <w:t xml:space="preserve">) </w:t>
      </w:r>
    </w:p>
    <w:p w:rsidR="00763668" w:rsidRPr="00763668" w:rsidP="00C362EA">
      <w:pPr>
        <w:spacing w:line="240" w:lineRule="auto"/>
        <w:ind w:left="708"/>
        <w:rPr>
          <w:rFonts w:ascii="Times New Roman" w:hAnsi="Times New Roman" w:cs="Times New Roman"/>
          <w:sz w:val="24"/>
          <w:szCs w:val="24"/>
        </w:rPr>
      </w:pPr>
      <w:r w:rsidRPr="00763668">
        <w:rPr>
          <w:rFonts w:ascii="Times New Roman" w:hAnsi="Times New Roman" w:cs="Times New Roman"/>
          <w:sz w:val="24"/>
          <w:szCs w:val="24"/>
        </w:rPr>
        <w:t>635 Rutinná a</w:t>
      </w:r>
      <w:r w:rsidR="00CC10CB">
        <w:rPr>
          <w:rFonts w:ascii="Times New Roman" w:hAnsi="Times New Roman" w:cs="Times New Roman"/>
          <w:sz w:val="24"/>
          <w:szCs w:val="24"/>
        </w:rPr>
        <w:t xml:space="preserve"> štandardná údržba 561 868,20 </w:t>
      </w:r>
      <w:r w:rsidRPr="00763668">
        <w:rPr>
          <w:rFonts w:ascii="Times New Roman" w:hAnsi="Times New Roman" w:cs="Times New Roman"/>
          <w:sz w:val="24"/>
          <w:szCs w:val="24"/>
        </w:rPr>
        <w:t>Sk (údržba výp</w:t>
      </w:r>
      <w:r>
        <w:rPr>
          <w:rFonts w:ascii="Times New Roman" w:hAnsi="Times New Roman" w:cs="Times New Roman"/>
          <w:sz w:val="24"/>
          <w:szCs w:val="24"/>
        </w:rPr>
        <w:t xml:space="preserve">očtovej </w:t>
      </w:r>
      <w:r w:rsidRPr="00763668">
        <w:rPr>
          <w:rFonts w:ascii="Times New Roman" w:hAnsi="Times New Roman" w:cs="Times New Roman"/>
          <w:sz w:val="24"/>
          <w:szCs w:val="24"/>
        </w:rPr>
        <w:t xml:space="preserve">techniky, budov, </w:t>
      </w:r>
      <w:r>
        <w:rPr>
          <w:rFonts w:ascii="Times New Roman" w:hAnsi="Times New Roman" w:cs="Times New Roman"/>
          <w:sz w:val="24"/>
          <w:szCs w:val="24"/>
        </w:rPr>
        <w:t xml:space="preserve"> </w:t>
      </w:r>
      <w:r w:rsidRPr="00763668">
        <w:rPr>
          <w:rFonts w:ascii="Times New Roman" w:hAnsi="Times New Roman" w:cs="Times New Roman"/>
          <w:sz w:val="24"/>
          <w:szCs w:val="24"/>
        </w:rPr>
        <w:t xml:space="preserve">priestorov </w:t>
      </w:r>
      <w:r>
        <w:rPr>
          <w:rFonts w:ascii="Times New Roman" w:hAnsi="Times New Roman" w:cs="Times New Roman"/>
          <w:sz w:val="24"/>
          <w:szCs w:val="24"/>
        </w:rPr>
        <w:t xml:space="preserve"> </w:t>
      </w:r>
      <w:r w:rsidRPr="00763668">
        <w:rPr>
          <w:rFonts w:ascii="Times New Roman" w:hAnsi="Times New Roman" w:cs="Times New Roman"/>
          <w:sz w:val="24"/>
          <w:szCs w:val="24"/>
        </w:rPr>
        <w:t>a </w:t>
      </w:r>
      <w:r>
        <w:rPr>
          <w:rFonts w:ascii="Times New Roman" w:hAnsi="Times New Roman" w:cs="Times New Roman"/>
          <w:sz w:val="24"/>
          <w:szCs w:val="24"/>
        </w:rPr>
        <w:t xml:space="preserve"> </w:t>
      </w:r>
      <w:r w:rsidRPr="00763668">
        <w:rPr>
          <w:rFonts w:ascii="Times New Roman" w:hAnsi="Times New Roman" w:cs="Times New Roman"/>
          <w:sz w:val="24"/>
          <w:szCs w:val="24"/>
        </w:rPr>
        <w:t xml:space="preserve">objektov, </w:t>
      </w:r>
      <w:r>
        <w:rPr>
          <w:rFonts w:ascii="Times New Roman" w:hAnsi="Times New Roman" w:cs="Times New Roman"/>
          <w:sz w:val="24"/>
          <w:szCs w:val="24"/>
        </w:rPr>
        <w:t xml:space="preserve"> </w:t>
      </w:r>
      <w:r w:rsidRPr="00763668">
        <w:rPr>
          <w:rFonts w:ascii="Times New Roman" w:hAnsi="Times New Roman" w:cs="Times New Roman"/>
          <w:sz w:val="24"/>
          <w:szCs w:val="24"/>
        </w:rPr>
        <w:t xml:space="preserve">špeciálnych strojov, </w:t>
      </w:r>
      <w:r>
        <w:rPr>
          <w:rFonts w:ascii="Times New Roman" w:hAnsi="Times New Roman" w:cs="Times New Roman"/>
          <w:sz w:val="24"/>
          <w:szCs w:val="24"/>
        </w:rPr>
        <w:t xml:space="preserve"> </w:t>
      </w:r>
      <w:r w:rsidRPr="00763668">
        <w:rPr>
          <w:rFonts w:ascii="Times New Roman" w:hAnsi="Times New Roman" w:cs="Times New Roman"/>
          <w:sz w:val="24"/>
          <w:szCs w:val="24"/>
        </w:rPr>
        <w:t xml:space="preserve">prístrojov </w:t>
      </w:r>
      <w:r>
        <w:rPr>
          <w:rFonts w:ascii="Times New Roman" w:hAnsi="Times New Roman" w:cs="Times New Roman"/>
          <w:sz w:val="24"/>
          <w:szCs w:val="24"/>
        </w:rPr>
        <w:t xml:space="preserve"> </w:t>
      </w:r>
      <w:r w:rsidRPr="00763668">
        <w:rPr>
          <w:rFonts w:ascii="Times New Roman" w:hAnsi="Times New Roman" w:cs="Times New Roman"/>
          <w:sz w:val="24"/>
          <w:szCs w:val="24"/>
        </w:rPr>
        <w:t>a </w:t>
      </w:r>
      <w:r>
        <w:rPr>
          <w:rFonts w:ascii="Times New Roman" w:hAnsi="Times New Roman" w:cs="Times New Roman"/>
          <w:sz w:val="24"/>
          <w:szCs w:val="24"/>
        </w:rPr>
        <w:t xml:space="preserve"> </w:t>
      </w:r>
      <w:r w:rsidRPr="00763668">
        <w:rPr>
          <w:rFonts w:ascii="Times New Roman" w:hAnsi="Times New Roman" w:cs="Times New Roman"/>
          <w:sz w:val="24"/>
          <w:szCs w:val="24"/>
        </w:rPr>
        <w:t xml:space="preserve">zariadení </w:t>
      </w:r>
      <w:r>
        <w:rPr>
          <w:rFonts w:ascii="Times New Roman" w:hAnsi="Times New Roman" w:cs="Times New Roman"/>
          <w:sz w:val="24"/>
          <w:szCs w:val="24"/>
        </w:rPr>
        <w:t xml:space="preserve"> </w:t>
      </w:r>
      <w:r w:rsidRPr="00763668">
        <w:rPr>
          <w:rFonts w:ascii="Times New Roman" w:hAnsi="Times New Roman" w:cs="Times New Roman"/>
          <w:sz w:val="24"/>
          <w:szCs w:val="24"/>
        </w:rPr>
        <w:t>a </w:t>
      </w:r>
      <w:r>
        <w:rPr>
          <w:rFonts w:ascii="Times New Roman" w:hAnsi="Times New Roman" w:cs="Times New Roman"/>
          <w:sz w:val="24"/>
          <w:szCs w:val="24"/>
        </w:rPr>
        <w:t xml:space="preserve"> </w:t>
      </w:r>
      <w:r w:rsidRPr="00763668">
        <w:rPr>
          <w:rFonts w:ascii="Times New Roman" w:hAnsi="Times New Roman" w:cs="Times New Roman"/>
          <w:sz w:val="24"/>
          <w:szCs w:val="24"/>
        </w:rPr>
        <w:t>pod.)</w:t>
      </w:r>
    </w:p>
    <w:p w:rsidR="00763668" w:rsidRPr="00763668" w:rsidP="00C362EA">
      <w:pPr>
        <w:spacing w:line="240" w:lineRule="auto"/>
        <w:ind w:firstLine="708"/>
        <w:rPr>
          <w:rFonts w:ascii="Times New Roman" w:hAnsi="Times New Roman" w:cs="Times New Roman"/>
          <w:sz w:val="24"/>
          <w:szCs w:val="24"/>
        </w:rPr>
      </w:pPr>
      <w:r w:rsidRPr="00763668">
        <w:rPr>
          <w:rFonts w:ascii="Times New Roman" w:hAnsi="Times New Roman" w:cs="Times New Roman"/>
          <w:sz w:val="24"/>
          <w:szCs w:val="24"/>
        </w:rPr>
        <w:t>636</w:t>
      </w:r>
      <w:r w:rsidR="00CC10CB">
        <w:rPr>
          <w:rFonts w:ascii="Times New Roman" w:hAnsi="Times New Roman" w:cs="Times New Roman"/>
          <w:sz w:val="24"/>
          <w:szCs w:val="24"/>
        </w:rPr>
        <w:t xml:space="preserve"> Nájomné za prenájom 762 740,50 </w:t>
      </w:r>
      <w:r w:rsidRPr="00763668">
        <w:rPr>
          <w:rFonts w:ascii="Times New Roman" w:hAnsi="Times New Roman" w:cs="Times New Roman"/>
          <w:sz w:val="24"/>
          <w:szCs w:val="24"/>
        </w:rPr>
        <w:t>Sk (hlavn</w:t>
      </w:r>
      <w:r w:rsidRPr="00763668">
        <w:rPr>
          <w:rFonts w:ascii="Times New Roman" w:hAnsi="Times New Roman" w:cs="Times New Roman"/>
          <w:sz w:val="24"/>
          <w:szCs w:val="24"/>
        </w:rPr>
        <w:t>e budov, priestorov a objektov)</w:t>
      </w:r>
    </w:p>
    <w:p w:rsidR="00763668" w:rsidRPr="00763668" w:rsidP="00C362EA">
      <w:pPr>
        <w:spacing w:line="240" w:lineRule="auto"/>
        <w:ind w:left="708"/>
        <w:rPr>
          <w:rFonts w:ascii="Times New Roman" w:hAnsi="Times New Roman" w:cs="Times New Roman"/>
          <w:sz w:val="24"/>
          <w:szCs w:val="24"/>
        </w:rPr>
      </w:pPr>
      <w:r w:rsidRPr="00763668">
        <w:rPr>
          <w:rFonts w:ascii="Times New Roman" w:hAnsi="Times New Roman" w:cs="Times New Roman"/>
          <w:iCs/>
          <w:sz w:val="24"/>
          <w:szCs w:val="24"/>
        </w:rPr>
        <w:t>637</w:t>
      </w:r>
      <w:r>
        <w:rPr>
          <w:rFonts w:ascii="Times New Roman" w:hAnsi="Times New Roman" w:cs="Times New Roman"/>
          <w:iCs/>
          <w:sz w:val="24"/>
          <w:szCs w:val="24"/>
        </w:rPr>
        <w:t xml:space="preserve"> </w:t>
      </w:r>
      <w:r w:rsidR="00CC10CB">
        <w:rPr>
          <w:rFonts w:ascii="Times New Roman" w:hAnsi="Times New Roman" w:cs="Times New Roman"/>
          <w:iCs/>
          <w:sz w:val="24"/>
          <w:szCs w:val="24"/>
        </w:rPr>
        <w:t xml:space="preserve">Služby 6 234 380,99 Sk </w:t>
      </w:r>
      <w:r w:rsidRPr="00763668">
        <w:rPr>
          <w:rFonts w:ascii="Times New Roman" w:hAnsi="Times New Roman" w:cs="Times New Roman"/>
          <w:iCs/>
          <w:sz w:val="24"/>
          <w:szCs w:val="24"/>
        </w:rPr>
        <w:t>(</w:t>
      </w:r>
      <w:r w:rsidRPr="00763668">
        <w:rPr>
          <w:rFonts w:ascii="Times New Roman" w:hAnsi="Times New Roman" w:cs="Times New Roman"/>
          <w:sz w:val="24"/>
          <w:szCs w:val="24"/>
        </w:rPr>
        <w:t>školenia, kurzy, semináre, porady, propagácia a</w:t>
      </w:r>
      <w:r>
        <w:rPr>
          <w:rFonts w:ascii="Times New Roman" w:hAnsi="Times New Roman" w:cs="Times New Roman"/>
          <w:sz w:val="24"/>
          <w:szCs w:val="24"/>
        </w:rPr>
        <w:t> </w:t>
      </w:r>
      <w:r w:rsidRPr="00763668">
        <w:rPr>
          <w:rFonts w:ascii="Times New Roman" w:hAnsi="Times New Roman" w:cs="Times New Roman"/>
          <w:sz w:val="24"/>
          <w:szCs w:val="24"/>
        </w:rPr>
        <w:t>rekla</w:t>
      </w:r>
      <w:r w:rsidR="00CC10CB">
        <w:rPr>
          <w:rFonts w:ascii="Times New Roman" w:hAnsi="Times New Roman" w:cs="Times New Roman"/>
          <w:sz w:val="24"/>
          <w:szCs w:val="24"/>
        </w:rPr>
        <w:t xml:space="preserve">ma, všeobecné a špeciálne </w:t>
      </w:r>
      <w:r w:rsidRPr="00763668">
        <w:rPr>
          <w:rFonts w:ascii="Times New Roman" w:hAnsi="Times New Roman" w:cs="Times New Roman"/>
          <w:sz w:val="24"/>
          <w:szCs w:val="24"/>
        </w:rPr>
        <w:t>slu</w:t>
      </w:r>
      <w:r w:rsidR="00CC10CB">
        <w:rPr>
          <w:rFonts w:ascii="Times New Roman" w:hAnsi="Times New Roman" w:cs="Times New Roman"/>
          <w:sz w:val="24"/>
          <w:szCs w:val="24"/>
        </w:rPr>
        <w:t>žby, štúdie, expertízy a posudky</w:t>
      </w:r>
      <w:r w:rsidRPr="00763668">
        <w:rPr>
          <w:rFonts w:ascii="Times New Roman" w:hAnsi="Times New Roman" w:cs="Times New Roman"/>
          <w:sz w:val="24"/>
          <w:szCs w:val="24"/>
        </w:rPr>
        <w:t>, pokuty a penále, stravovanie, poplatky, odvody, dane z</w:t>
      </w:r>
      <w:r w:rsidR="004B593A">
        <w:rPr>
          <w:rFonts w:ascii="Times New Roman" w:hAnsi="Times New Roman" w:cs="Times New Roman"/>
          <w:sz w:val="24"/>
          <w:szCs w:val="24"/>
        </w:rPr>
        <w:t> </w:t>
      </w:r>
      <w:r w:rsidRPr="00763668">
        <w:rPr>
          <w:rFonts w:ascii="Times New Roman" w:hAnsi="Times New Roman" w:cs="Times New Roman"/>
          <w:sz w:val="24"/>
          <w:szCs w:val="24"/>
        </w:rPr>
        <w:t>nehnuteľ</w:t>
      </w:r>
      <w:r w:rsidR="004B593A">
        <w:rPr>
          <w:rFonts w:ascii="Times New Roman" w:hAnsi="Times New Roman" w:cs="Times New Roman"/>
          <w:sz w:val="24"/>
          <w:szCs w:val="24"/>
        </w:rPr>
        <w:t xml:space="preserve">ností </w:t>
      </w:r>
      <w:r w:rsidRPr="00763668">
        <w:rPr>
          <w:rFonts w:ascii="Times New Roman" w:hAnsi="Times New Roman" w:cs="Times New Roman"/>
          <w:sz w:val="24"/>
          <w:szCs w:val="24"/>
        </w:rPr>
        <w:t>atď.)</w:t>
      </w:r>
    </w:p>
    <w:p w:rsidR="009A52FB" w:rsidP="00BF302B">
      <w:pPr>
        <w:spacing w:line="240" w:lineRule="auto"/>
        <w:jc w:val="left"/>
        <w:rPr>
          <w:rFonts w:ascii="Times New Roman" w:hAnsi="Times New Roman" w:cs="Times New Roman"/>
          <w:b/>
          <w:sz w:val="24"/>
          <w:szCs w:val="24"/>
        </w:rPr>
      </w:pPr>
      <w:r w:rsidR="00BF302B">
        <w:rPr>
          <w:rFonts w:ascii="Times New Roman" w:hAnsi="Times New Roman" w:cs="Times New Roman"/>
          <w:b/>
          <w:sz w:val="24"/>
          <w:szCs w:val="24"/>
        </w:rPr>
        <w:tab/>
      </w:r>
    </w:p>
    <w:p w:rsidR="00BF302B" w:rsidP="009A52FB">
      <w:pPr>
        <w:spacing w:line="240" w:lineRule="auto"/>
        <w:ind w:firstLine="708"/>
        <w:jc w:val="left"/>
        <w:rPr>
          <w:rFonts w:ascii="Times New Roman" w:hAnsi="Times New Roman" w:cs="Times New Roman"/>
          <w:b/>
          <w:sz w:val="24"/>
          <w:szCs w:val="24"/>
        </w:rPr>
      </w:pPr>
      <w:r>
        <w:rPr>
          <w:rFonts w:ascii="Times New Roman" w:hAnsi="Times New Roman" w:cs="Times New Roman"/>
          <w:b/>
          <w:sz w:val="24"/>
          <w:szCs w:val="24"/>
        </w:rPr>
        <w:t>S P</w:t>
      </w:r>
      <w:r>
        <w:rPr>
          <w:rFonts w:ascii="Times New Roman" w:hAnsi="Times New Roman" w:cs="Times New Roman"/>
          <w:b/>
          <w:sz w:val="24"/>
          <w:szCs w:val="24"/>
        </w:rPr>
        <w:t xml:space="preserve"> O L U</w:t>
      </w:r>
      <w:r w:rsidRPr="00BF302B">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b/>
          <w:sz w:val="24"/>
          <w:szCs w:val="24"/>
        </w:rPr>
        <w:t>15 089 000,- Sk</w:t>
      </w:r>
    </w:p>
    <w:p w:rsidR="00BF302B" w:rsidP="00BF302B">
      <w:pPr>
        <w:spacing w:line="240" w:lineRule="auto"/>
        <w:jc w:val="left"/>
        <w:rPr>
          <w:rFonts w:ascii="Times New Roman" w:hAnsi="Times New Roman" w:cs="Times New Roman"/>
          <w:b/>
          <w:sz w:val="24"/>
          <w:szCs w:val="24"/>
        </w:rPr>
      </w:pPr>
    </w:p>
    <w:p w:rsidR="00BF302B" w:rsidRPr="00F16B44" w:rsidP="00BF302B">
      <w:pPr>
        <w:spacing w:line="240" w:lineRule="auto"/>
        <w:jc w:val="left"/>
        <w:rPr>
          <w:rFonts w:ascii="Times New Roman" w:hAnsi="Times New Roman" w:cs="Times New Roman"/>
          <w:b/>
          <w:sz w:val="24"/>
          <w:szCs w:val="24"/>
        </w:rPr>
      </w:pPr>
      <w:r w:rsidRPr="00F16B44">
        <w:rPr>
          <w:rFonts w:ascii="Times New Roman" w:hAnsi="Times New Roman" w:cs="Times New Roman"/>
          <w:b/>
          <w:sz w:val="24"/>
          <w:szCs w:val="24"/>
        </w:rPr>
        <w:t>Vyhodnotenie použitia prostriedkov z poistných plnení</w:t>
      </w:r>
    </w:p>
    <w:p w:rsidR="00BF302B" w:rsidRPr="00F16B44" w:rsidP="00BF302B">
      <w:pPr>
        <w:spacing w:line="240" w:lineRule="auto"/>
        <w:rPr>
          <w:rFonts w:ascii="Times New Roman" w:hAnsi="Times New Roman" w:cs="Times New Roman"/>
          <w:sz w:val="24"/>
          <w:szCs w:val="24"/>
        </w:rPr>
      </w:pPr>
    </w:p>
    <w:p w:rsidR="00BF302B" w:rsidRPr="00F16B44" w:rsidP="00BF302B">
      <w:pPr>
        <w:spacing w:line="240" w:lineRule="auto"/>
        <w:ind w:firstLine="708"/>
        <w:rPr>
          <w:rFonts w:ascii="Times New Roman" w:hAnsi="Times New Roman" w:cs="Times New Roman"/>
          <w:sz w:val="24"/>
          <w:szCs w:val="24"/>
        </w:rPr>
      </w:pPr>
      <w:r w:rsidRPr="00F16B44">
        <w:rPr>
          <w:rFonts w:ascii="Times New Roman" w:hAnsi="Times New Roman" w:cs="Times New Roman"/>
          <w:sz w:val="24"/>
          <w:szCs w:val="24"/>
        </w:rPr>
        <w:t xml:space="preserve">Z titulu prijatých poistných plnení </w:t>
      </w:r>
      <w:r>
        <w:rPr>
          <w:rFonts w:ascii="Times New Roman" w:hAnsi="Times New Roman" w:cs="Times New Roman"/>
          <w:sz w:val="24"/>
          <w:szCs w:val="24"/>
        </w:rPr>
        <w:t xml:space="preserve">povolilo MDPT SR </w:t>
      </w:r>
      <w:r w:rsidRPr="00F16B44">
        <w:rPr>
          <w:rFonts w:ascii="Times New Roman" w:hAnsi="Times New Roman" w:cs="Times New Roman"/>
          <w:sz w:val="24"/>
          <w:szCs w:val="24"/>
        </w:rPr>
        <w:t xml:space="preserve">v priebehu roka </w:t>
      </w:r>
      <w:r>
        <w:rPr>
          <w:rFonts w:ascii="Times New Roman" w:hAnsi="Times New Roman" w:cs="Times New Roman"/>
          <w:sz w:val="24"/>
          <w:szCs w:val="24"/>
        </w:rPr>
        <w:t xml:space="preserve">2007 prekročiť limit čerpania rozpočtu výdavkov </w:t>
      </w:r>
      <w:r w:rsidRPr="00F16B44">
        <w:rPr>
          <w:rFonts w:ascii="Times New Roman" w:hAnsi="Times New Roman" w:cs="Times New Roman"/>
          <w:sz w:val="24"/>
          <w:szCs w:val="24"/>
        </w:rPr>
        <w:t xml:space="preserve">o </w:t>
      </w:r>
      <w:r w:rsidRPr="00BF302B">
        <w:rPr>
          <w:rFonts w:ascii="Times New Roman" w:hAnsi="Times New Roman" w:cs="Times New Roman"/>
          <w:b/>
          <w:sz w:val="24"/>
          <w:szCs w:val="24"/>
        </w:rPr>
        <w:t>4 826 853,80 Sk</w:t>
      </w:r>
      <w:r w:rsidRPr="00F16B44">
        <w:rPr>
          <w:rFonts w:ascii="Times New Roman" w:hAnsi="Times New Roman" w:cs="Times New Roman"/>
          <w:sz w:val="24"/>
          <w:szCs w:val="24"/>
        </w:rPr>
        <w:t xml:space="preserve">. Tieto finančné prostriedky boli vyčerpané v plnom rozsahu v kategórii 630 </w:t>
      </w:r>
      <w:r>
        <w:rPr>
          <w:rFonts w:ascii="Times New Roman" w:hAnsi="Times New Roman" w:cs="Times New Roman"/>
          <w:sz w:val="24"/>
          <w:szCs w:val="24"/>
        </w:rPr>
        <w:t xml:space="preserve">– </w:t>
      </w:r>
      <w:r w:rsidRPr="00F16B44">
        <w:rPr>
          <w:rFonts w:ascii="Times New Roman" w:hAnsi="Times New Roman" w:cs="Times New Roman"/>
          <w:sz w:val="24"/>
          <w:szCs w:val="24"/>
        </w:rPr>
        <w:t>Tovary a služby, najmä na platby za elektrickú energiu, vodné, stočné, poštovné a telekomunikačné služby a za stravovanie.</w:t>
      </w:r>
    </w:p>
    <w:p w:rsidR="00BF302B" w:rsidRPr="00F16B44" w:rsidP="00BF302B">
      <w:pPr>
        <w:spacing w:line="240" w:lineRule="auto"/>
        <w:rPr>
          <w:rFonts w:ascii="Times New Roman" w:hAnsi="Times New Roman" w:cs="Times New Roman"/>
          <w:sz w:val="24"/>
          <w:szCs w:val="24"/>
        </w:rPr>
      </w:pPr>
      <w:r w:rsidRPr="00F16B44">
        <w:rPr>
          <w:rFonts w:ascii="Times New Roman" w:hAnsi="Times New Roman" w:cs="Times New Roman"/>
          <w:sz w:val="24"/>
          <w:szCs w:val="24"/>
        </w:rPr>
        <w:t xml:space="preserve">   </w:t>
      </w:r>
      <w:r w:rsidRPr="00F16B44">
        <w:rPr>
          <w:rFonts w:ascii="Times New Roman" w:hAnsi="Times New Roman" w:cs="Times New Roman"/>
          <w:sz w:val="24"/>
          <w:szCs w:val="24"/>
        </w:rPr>
        <w:t xml:space="preserve">      </w:t>
      </w:r>
    </w:p>
    <w:p w:rsidR="00BF302B" w:rsidRPr="008B4D0C" w:rsidP="00BF302B">
      <w:pPr>
        <w:spacing w:line="240" w:lineRule="auto"/>
        <w:rPr>
          <w:rFonts w:ascii="Times New Roman" w:hAnsi="Times New Roman" w:cs="Times New Roman"/>
          <w:b/>
          <w:sz w:val="24"/>
          <w:szCs w:val="24"/>
        </w:rPr>
      </w:pPr>
      <w:r w:rsidRPr="00F16B44">
        <w:rPr>
          <w:rFonts w:ascii="Times New Roman" w:hAnsi="Times New Roman" w:cs="Times New Roman"/>
          <w:b/>
          <w:sz w:val="24"/>
          <w:szCs w:val="24"/>
        </w:rPr>
        <w:t>Vyh</w:t>
      </w:r>
      <w:r>
        <w:rPr>
          <w:rFonts w:ascii="Times New Roman" w:hAnsi="Times New Roman" w:cs="Times New Roman"/>
          <w:b/>
          <w:sz w:val="24"/>
          <w:szCs w:val="24"/>
        </w:rPr>
        <w:t xml:space="preserve">odnotenie použitia prostriedkov </w:t>
      </w:r>
      <w:r w:rsidRPr="008B4D0C">
        <w:rPr>
          <w:rFonts w:ascii="Times New Roman" w:hAnsi="Times New Roman" w:cs="Times New Roman"/>
          <w:b/>
          <w:sz w:val="24"/>
          <w:szCs w:val="24"/>
        </w:rPr>
        <w:t xml:space="preserve">EÚ z Európskeho sociálneho fondu </w:t>
      </w:r>
    </w:p>
    <w:p w:rsidR="00BF302B" w:rsidRPr="00F16B44" w:rsidP="00BF302B">
      <w:pPr>
        <w:spacing w:line="240" w:lineRule="auto"/>
        <w:rPr>
          <w:rFonts w:ascii="Times New Roman" w:hAnsi="Times New Roman" w:cs="Times New Roman"/>
          <w:sz w:val="24"/>
          <w:szCs w:val="24"/>
        </w:rPr>
      </w:pPr>
    </w:p>
    <w:p w:rsidR="00B3037B" w:rsidRPr="00C34272" w:rsidP="00C34272">
      <w:pPr>
        <w:spacing w:line="240" w:lineRule="auto"/>
        <w:ind w:firstLine="709"/>
        <w:rPr>
          <w:rFonts w:ascii="Times New Roman" w:hAnsi="Times New Roman" w:cs="Times New Roman"/>
          <w:sz w:val="24"/>
          <w:szCs w:val="24"/>
        </w:rPr>
      </w:pPr>
      <w:r w:rsidRPr="00F16B44" w:rsidR="00BF302B">
        <w:rPr>
          <w:rFonts w:ascii="Times New Roman" w:hAnsi="Times New Roman" w:cs="Times New Roman"/>
          <w:sz w:val="24"/>
          <w:szCs w:val="24"/>
        </w:rPr>
        <w:t>Z celkového objemu finančnýc</w:t>
      </w:r>
      <w:r w:rsidR="00BF302B">
        <w:rPr>
          <w:rFonts w:ascii="Times New Roman" w:hAnsi="Times New Roman" w:cs="Times New Roman"/>
          <w:sz w:val="24"/>
          <w:szCs w:val="24"/>
        </w:rPr>
        <w:t xml:space="preserve">h prostriedkov vo výške 802 800,- </w:t>
      </w:r>
      <w:r w:rsidRPr="00F16B44" w:rsidR="00BF302B">
        <w:rPr>
          <w:rFonts w:ascii="Times New Roman" w:hAnsi="Times New Roman" w:cs="Times New Roman"/>
          <w:sz w:val="24"/>
          <w:szCs w:val="24"/>
        </w:rPr>
        <w:t xml:space="preserve">Sk </w:t>
      </w:r>
      <w:r w:rsidR="00BF302B">
        <w:rPr>
          <w:rFonts w:ascii="Times New Roman" w:hAnsi="Times New Roman" w:cs="Times New Roman"/>
          <w:sz w:val="24"/>
          <w:szCs w:val="24"/>
        </w:rPr>
        <w:t xml:space="preserve">(RO MF SR č. 30) </w:t>
      </w:r>
      <w:r w:rsidRPr="00F16B44" w:rsidR="00BF302B">
        <w:rPr>
          <w:rFonts w:ascii="Times New Roman" w:hAnsi="Times New Roman" w:cs="Times New Roman"/>
          <w:sz w:val="24"/>
          <w:szCs w:val="24"/>
        </w:rPr>
        <w:t xml:space="preserve">bolo k 31.12.2007 vyčerpaných </w:t>
      </w:r>
      <w:r w:rsidRPr="00BF302B" w:rsidR="00BF302B">
        <w:rPr>
          <w:rFonts w:ascii="Times New Roman" w:hAnsi="Times New Roman" w:cs="Times New Roman"/>
          <w:b/>
          <w:sz w:val="24"/>
          <w:szCs w:val="24"/>
        </w:rPr>
        <w:t>725 737,70 Sk</w:t>
      </w:r>
      <w:r w:rsidRPr="00F16B44" w:rsidR="00BF302B">
        <w:rPr>
          <w:rFonts w:ascii="Times New Roman" w:hAnsi="Times New Roman" w:cs="Times New Roman"/>
          <w:sz w:val="24"/>
          <w:szCs w:val="24"/>
        </w:rPr>
        <w:t xml:space="preserve"> </w:t>
      </w:r>
      <w:r w:rsidR="00BF302B">
        <w:rPr>
          <w:rFonts w:ascii="Times New Roman" w:hAnsi="Times New Roman" w:cs="Times New Roman"/>
          <w:sz w:val="24"/>
          <w:szCs w:val="24"/>
        </w:rPr>
        <w:t>(v rámci</w:t>
      </w:r>
      <w:r w:rsidR="00C34272">
        <w:rPr>
          <w:rFonts w:ascii="Times New Roman" w:hAnsi="Times New Roman" w:cs="Times New Roman"/>
          <w:sz w:val="24"/>
          <w:szCs w:val="24"/>
        </w:rPr>
        <w:t xml:space="preserve"> kategórie 630</w:t>
      </w:r>
      <w:r w:rsidR="00BF302B">
        <w:rPr>
          <w:rFonts w:ascii="Times New Roman" w:hAnsi="Times New Roman" w:cs="Times New Roman"/>
          <w:sz w:val="24"/>
          <w:szCs w:val="24"/>
        </w:rPr>
        <w:t xml:space="preserve">), a to </w:t>
      </w:r>
      <w:r w:rsidRPr="00F16B44" w:rsidR="00BF302B">
        <w:rPr>
          <w:rFonts w:ascii="Times New Roman" w:hAnsi="Times New Roman" w:cs="Times New Roman"/>
          <w:sz w:val="24"/>
          <w:szCs w:val="24"/>
        </w:rPr>
        <w:t>na vzdelávanie zamestna</w:t>
      </w:r>
      <w:r w:rsidRPr="00F16B44" w:rsidR="00BF302B">
        <w:rPr>
          <w:rFonts w:ascii="Times New Roman" w:hAnsi="Times New Roman" w:cs="Times New Roman"/>
          <w:sz w:val="24"/>
          <w:szCs w:val="24"/>
        </w:rPr>
        <w:t xml:space="preserve">ncov </w:t>
      </w:r>
      <w:r w:rsidR="00C34272">
        <w:rPr>
          <w:rFonts w:ascii="Times New Roman" w:hAnsi="Times New Roman" w:cs="Times New Roman"/>
          <w:sz w:val="24"/>
          <w:szCs w:val="24"/>
        </w:rPr>
        <w:t xml:space="preserve">v oblasti jazykových vedomostí a </w:t>
      </w:r>
      <w:r w:rsidRPr="00F16B44" w:rsidR="00BF302B">
        <w:rPr>
          <w:rFonts w:ascii="Times New Roman" w:hAnsi="Times New Roman" w:cs="Times New Roman"/>
          <w:sz w:val="24"/>
          <w:szCs w:val="24"/>
        </w:rPr>
        <w:t>počítačovej gramo</w:t>
      </w:r>
      <w:r w:rsidR="00C34272">
        <w:rPr>
          <w:rFonts w:ascii="Times New Roman" w:hAnsi="Times New Roman" w:cs="Times New Roman"/>
          <w:sz w:val="24"/>
          <w:szCs w:val="24"/>
        </w:rPr>
        <w:t xml:space="preserve">tnosti </w:t>
      </w:r>
      <w:r w:rsidRPr="00F16B44" w:rsidR="00BF302B">
        <w:rPr>
          <w:rFonts w:ascii="Times New Roman" w:hAnsi="Times New Roman" w:cs="Times New Roman"/>
          <w:sz w:val="24"/>
          <w:szCs w:val="24"/>
        </w:rPr>
        <w:t>v rámci projektu vzdelávania zamestnancov z prostried</w:t>
      </w:r>
      <w:r w:rsidR="00143D80">
        <w:rPr>
          <w:rFonts w:ascii="Times New Roman" w:hAnsi="Times New Roman" w:cs="Times New Roman"/>
          <w:sz w:val="24"/>
          <w:szCs w:val="24"/>
        </w:rPr>
        <w:t xml:space="preserve">kov Európskeho sociálneho fondu (401 400,- Sk) a príslušného spolufinancovania zo štátneho rozpočtu (401 400,- Sk). </w:t>
      </w:r>
    </w:p>
    <w:p w:rsidR="00BF302B" w:rsidRPr="00BF302B" w:rsidP="00C362EA">
      <w:pPr>
        <w:spacing w:line="240" w:lineRule="auto"/>
        <w:rPr>
          <w:rFonts w:ascii="Times New Roman" w:hAnsi="Times New Roman" w:cs="Times New Roman"/>
          <w:b/>
          <w:sz w:val="24"/>
          <w:szCs w:val="24"/>
        </w:rPr>
      </w:pPr>
      <w:r w:rsidRPr="00BF302B">
        <w:rPr>
          <w:rFonts w:ascii="Times New Roman" w:hAnsi="Times New Roman" w:cs="Times New Roman"/>
          <w:b/>
          <w:sz w:val="24"/>
          <w:szCs w:val="24"/>
        </w:rPr>
        <w:t>S P O L U kategória 630 – Tovary a služby</w:t>
      </w:r>
      <w:r w:rsidRPr="00BF302B">
        <w:rPr>
          <w:rFonts w:ascii="Times New Roman" w:hAnsi="Times New Roman" w:cs="Times New Roman"/>
          <w:sz w:val="24"/>
          <w:szCs w:val="24"/>
        </w:rPr>
        <w:t>.................................................</w:t>
      </w:r>
      <w:r w:rsidRPr="00BF302B">
        <w:rPr>
          <w:rFonts w:ascii="Times New Roman" w:hAnsi="Times New Roman" w:cs="Times New Roman"/>
          <w:b/>
          <w:sz w:val="24"/>
          <w:szCs w:val="24"/>
        </w:rPr>
        <w:t xml:space="preserve">20 641 591,50 Sk </w:t>
      </w:r>
    </w:p>
    <w:p w:rsidR="009A52FB" w:rsidP="00C362EA">
      <w:pPr>
        <w:spacing w:line="240" w:lineRule="auto"/>
        <w:ind w:firstLine="708"/>
        <w:rPr>
          <w:rFonts w:ascii="Times New Roman" w:hAnsi="Times New Roman" w:cs="Times New Roman"/>
          <w:b/>
          <w:sz w:val="24"/>
          <w:szCs w:val="24"/>
        </w:rPr>
      </w:pPr>
    </w:p>
    <w:p w:rsidR="002E5583" w:rsidRPr="00013DFA" w:rsidP="00C362EA">
      <w:pPr>
        <w:spacing w:line="240" w:lineRule="auto"/>
        <w:ind w:firstLine="708"/>
        <w:rPr>
          <w:rFonts w:ascii="Times New Roman" w:hAnsi="Times New Roman" w:cs="Times New Roman"/>
          <w:sz w:val="24"/>
          <w:szCs w:val="24"/>
        </w:rPr>
      </w:pPr>
      <w:r w:rsidRPr="009B09BA" w:rsidR="00DD1931">
        <w:rPr>
          <w:rFonts w:ascii="Times New Roman" w:hAnsi="Times New Roman" w:cs="Times New Roman"/>
          <w:b/>
          <w:sz w:val="24"/>
          <w:szCs w:val="24"/>
        </w:rPr>
        <w:t xml:space="preserve">Kapitálové výdavky </w:t>
      </w:r>
      <w:r w:rsidRPr="009B09BA" w:rsidR="009F5B97">
        <w:rPr>
          <w:rFonts w:ascii="Times New Roman" w:hAnsi="Times New Roman" w:cs="Times New Roman"/>
          <w:b/>
          <w:sz w:val="24"/>
          <w:szCs w:val="24"/>
        </w:rPr>
        <w:t>(710)</w:t>
      </w:r>
      <w:r w:rsidR="00EB22AE">
        <w:rPr>
          <w:rFonts w:ascii="Times New Roman" w:hAnsi="Times New Roman" w:cs="Times New Roman"/>
          <w:sz w:val="24"/>
          <w:szCs w:val="24"/>
        </w:rPr>
        <w:t xml:space="preserve"> boli k 31.12.2007</w:t>
      </w:r>
      <w:r>
        <w:rPr>
          <w:rFonts w:ascii="Times New Roman" w:hAnsi="Times New Roman" w:cs="Times New Roman"/>
          <w:sz w:val="24"/>
          <w:szCs w:val="24"/>
        </w:rPr>
        <w:t xml:space="preserve"> </w:t>
      </w:r>
      <w:r w:rsidR="00DD1931">
        <w:rPr>
          <w:rFonts w:ascii="Times New Roman" w:hAnsi="Times New Roman" w:cs="Times New Roman"/>
          <w:sz w:val="24"/>
          <w:szCs w:val="24"/>
        </w:rPr>
        <w:t>(</w:t>
      </w:r>
      <w:r w:rsidR="00EB22AE">
        <w:rPr>
          <w:rFonts w:ascii="Times New Roman" w:hAnsi="Times New Roman" w:cs="Times New Roman"/>
          <w:sz w:val="24"/>
          <w:szCs w:val="24"/>
        </w:rPr>
        <w:t>upravený rozpočet k 31.12.2007</w:t>
      </w:r>
      <w:r>
        <w:rPr>
          <w:rFonts w:ascii="Times New Roman" w:hAnsi="Times New Roman" w:cs="Times New Roman"/>
          <w:sz w:val="24"/>
          <w:szCs w:val="24"/>
        </w:rPr>
        <w:t xml:space="preserve"> </w:t>
      </w:r>
      <w:r w:rsidR="00DD1931">
        <w:rPr>
          <w:rFonts w:ascii="Times New Roman" w:hAnsi="Times New Roman" w:cs="Times New Roman"/>
          <w:sz w:val="24"/>
          <w:szCs w:val="24"/>
        </w:rPr>
        <w:t xml:space="preserve">vo </w:t>
      </w:r>
      <w:r w:rsidRPr="00763668" w:rsidR="00DD1931">
        <w:rPr>
          <w:rFonts w:ascii="Times New Roman" w:hAnsi="Times New Roman" w:cs="Times New Roman"/>
          <w:sz w:val="24"/>
          <w:szCs w:val="24"/>
        </w:rPr>
        <w:t>výške</w:t>
      </w:r>
      <w:r w:rsidR="00DD1931">
        <w:rPr>
          <w:rFonts w:ascii="Times New Roman" w:hAnsi="Times New Roman" w:cs="Times New Roman"/>
          <w:sz w:val="24"/>
          <w:szCs w:val="24"/>
        </w:rPr>
        <w:t xml:space="preserve"> </w:t>
      </w:r>
      <w:r w:rsidR="00EB22AE">
        <w:rPr>
          <w:rFonts w:ascii="Times New Roman" w:hAnsi="Times New Roman" w:cs="Times New Roman"/>
          <w:sz w:val="24"/>
          <w:szCs w:val="24"/>
        </w:rPr>
        <w:t>7 989 190</w:t>
      </w:r>
      <w:r w:rsidR="006126A4">
        <w:rPr>
          <w:rFonts w:ascii="Times New Roman" w:hAnsi="Times New Roman" w:cs="Times New Roman"/>
          <w:sz w:val="24"/>
          <w:szCs w:val="24"/>
        </w:rPr>
        <w:t>,</w:t>
      </w:r>
      <w:r w:rsidRPr="002E5583" w:rsidR="00DD1931">
        <w:rPr>
          <w:rFonts w:ascii="Times New Roman" w:hAnsi="Times New Roman" w:cs="Times New Roman"/>
          <w:sz w:val="24"/>
          <w:szCs w:val="24"/>
        </w:rPr>
        <w:t>- Sk</w:t>
      </w:r>
      <w:r w:rsidR="008F304A">
        <w:rPr>
          <w:rFonts w:ascii="Times New Roman" w:hAnsi="Times New Roman" w:cs="Times New Roman"/>
          <w:sz w:val="24"/>
          <w:szCs w:val="24"/>
        </w:rPr>
        <w:t>)</w:t>
      </w:r>
      <w:r>
        <w:rPr>
          <w:rFonts w:ascii="Times New Roman" w:hAnsi="Times New Roman" w:cs="Times New Roman"/>
          <w:sz w:val="24"/>
          <w:szCs w:val="24"/>
        </w:rPr>
        <w:t xml:space="preserve"> </w:t>
      </w:r>
      <w:r w:rsidRPr="009F5B97" w:rsidR="009F5B97">
        <w:rPr>
          <w:rFonts w:ascii="Times New Roman" w:hAnsi="Times New Roman" w:cs="Times New Roman"/>
          <w:sz w:val="24"/>
          <w:szCs w:val="24"/>
        </w:rPr>
        <w:t>vyčerpan</w:t>
      </w:r>
      <w:r>
        <w:rPr>
          <w:rFonts w:ascii="Times New Roman" w:hAnsi="Times New Roman" w:cs="Times New Roman"/>
          <w:sz w:val="24"/>
          <w:szCs w:val="24"/>
        </w:rPr>
        <w:t xml:space="preserve">é </w:t>
      </w:r>
      <w:r w:rsidR="008F304A">
        <w:rPr>
          <w:rFonts w:ascii="Times New Roman" w:hAnsi="Times New Roman" w:cs="Times New Roman"/>
          <w:sz w:val="24"/>
          <w:szCs w:val="24"/>
        </w:rPr>
        <w:t>v</w:t>
      </w:r>
      <w:r w:rsidR="00EB22AE">
        <w:rPr>
          <w:rFonts w:ascii="Times New Roman" w:hAnsi="Times New Roman" w:cs="Times New Roman"/>
          <w:sz w:val="24"/>
          <w:szCs w:val="24"/>
        </w:rPr>
        <w:t> sume 7 989 190</w:t>
      </w:r>
      <w:r w:rsidRPr="002C7E22" w:rsidR="006126A4">
        <w:rPr>
          <w:rFonts w:ascii="Times New Roman" w:hAnsi="Times New Roman" w:cs="Times New Roman"/>
          <w:sz w:val="24"/>
          <w:szCs w:val="24"/>
        </w:rPr>
        <w:t xml:space="preserve">,- </w:t>
      </w:r>
      <w:r w:rsidRPr="002C7E22" w:rsidR="009F5B97">
        <w:rPr>
          <w:rFonts w:ascii="Times New Roman" w:hAnsi="Times New Roman" w:cs="Times New Roman"/>
          <w:sz w:val="24"/>
          <w:szCs w:val="24"/>
        </w:rPr>
        <w:t>Sk. Fin</w:t>
      </w:r>
      <w:r w:rsidRPr="002C7E22" w:rsidR="006126A4">
        <w:rPr>
          <w:rFonts w:ascii="Times New Roman" w:hAnsi="Times New Roman" w:cs="Times New Roman"/>
          <w:sz w:val="24"/>
          <w:szCs w:val="24"/>
        </w:rPr>
        <w:t>ančné</w:t>
      </w:r>
      <w:r w:rsidR="006126A4">
        <w:rPr>
          <w:rFonts w:ascii="Times New Roman" w:hAnsi="Times New Roman" w:cs="Times New Roman"/>
          <w:sz w:val="24"/>
          <w:szCs w:val="24"/>
        </w:rPr>
        <w:t xml:space="preserve"> </w:t>
      </w:r>
      <w:r w:rsidR="009F5B97">
        <w:rPr>
          <w:rFonts w:ascii="Times New Roman" w:hAnsi="Times New Roman" w:cs="Times New Roman"/>
          <w:sz w:val="24"/>
          <w:szCs w:val="24"/>
        </w:rPr>
        <w:t xml:space="preserve">prostriedky boli použité </w:t>
      </w:r>
      <w:r w:rsidR="006126A4">
        <w:rPr>
          <w:rFonts w:ascii="Times New Roman" w:hAnsi="Times New Roman" w:cs="Times New Roman"/>
          <w:sz w:val="24"/>
          <w:szCs w:val="24"/>
        </w:rPr>
        <w:t xml:space="preserve">najmä na nákup výpočtovej </w:t>
      </w:r>
      <w:r w:rsidRPr="009F5B97" w:rsidR="009F5B97">
        <w:rPr>
          <w:rFonts w:ascii="Times New Roman" w:hAnsi="Times New Roman" w:cs="Times New Roman"/>
          <w:sz w:val="24"/>
          <w:szCs w:val="24"/>
        </w:rPr>
        <w:t xml:space="preserve">techniky, </w:t>
      </w:r>
      <w:r w:rsidR="00844489">
        <w:rPr>
          <w:rFonts w:ascii="Times New Roman" w:hAnsi="Times New Roman" w:cs="Times New Roman"/>
          <w:sz w:val="24"/>
          <w:szCs w:val="24"/>
        </w:rPr>
        <w:t xml:space="preserve">softwaru, licencií, </w:t>
      </w:r>
      <w:r w:rsidRPr="009F5B97" w:rsidR="009F5B97">
        <w:rPr>
          <w:rFonts w:ascii="Times New Roman" w:hAnsi="Times New Roman" w:cs="Times New Roman"/>
          <w:sz w:val="24"/>
          <w:szCs w:val="24"/>
        </w:rPr>
        <w:t>prevádzkových a špeciálnych strojov, pr</w:t>
      </w:r>
      <w:r w:rsidR="00844489">
        <w:rPr>
          <w:rFonts w:ascii="Times New Roman" w:hAnsi="Times New Roman" w:cs="Times New Roman"/>
          <w:sz w:val="24"/>
          <w:szCs w:val="24"/>
        </w:rPr>
        <w:t xml:space="preserve">ístrojov a zariadení, interiérového vybavenia, osobného automobilu a na rekonštrukciu administratívnej budovy SSC na Miletičovej ulici v Bratislave. </w:t>
      </w:r>
    </w:p>
    <w:p w:rsidR="009A52FB" w:rsidP="00C362EA">
      <w:pPr>
        <w:spacing w:line="240" w:lineRule="auto"/>
        <w:rPr>
          <w:rFonts w:ascii="Times New Roman" w:hAnsi="Times New Roman" w:cs="Times New Roman"/>
          <w:sz w:val="24"/>
          <w:szCs w:val="24"/>
        </w:rPr>
      </w:pPr>
      <w:r w:rsidRPr="00965A84" w:rsidR="00965A84">
        <w:rPr>
          <w:rFonts w:ascii="Times New Roman" w:hAnsi="Times New Roman" w:cs="Times New Roman"/>
          <w:b/>
        </w:rPr>
        <w:tab/>
      </w:r>
      <w:r w:rsidR="001B4D46">
        <w:rPr>
          <w:rFonts w:ascii="Times New Roman" w:hAnsi="Times New Roman" w:cs="Times New Roman"/>
          <w:sz w:val="24"/>
          <w:szCs w:val="24"/>
        </w:rPr>
        <w:t xml:space="preserve"> </w:t>
      </w:r>
    </w:p>
    <w:p w:rsidR="006E2C6E" w:rsidRPr="006E2C6E" w:rsidP="00C362EA">
      <w:pPr>
        <w:spacing w:line="240" w:lineRule="auto"/>
        <w:rPr>
          <w:rFonts w:ascii="Times New Roman" w:hAnsi="Times New Roman" w:cs="Times New Roman"/>
          <w:sz w:val="24"/>
          <w:szCs w:val="24"/>
        </w:rPr>
      </w:pPr>
    </w:p>
    <w:p w:rsidR="00D27E26" w:rsidRPr="00D23807" w:rsidP="00C362EA">
      <w:pPr>
        <w:spacing w:line="240" w:lineRule="auto"/>
        <w:rPr>
          <w:rFonts w:ascii="Times New Roman" w:hAnsi="Times New Roman" w:cs="Times New Roman"/>
          <w:b/>
          <w:sz w:val="24"/>
          <w:u w:val="single"/>
        </w:rPr>
      </w:pPr>
      <w:r w:rsidRPr="00D23807">
        <w:rPr>
          <w:rFonts w:ascii="Times New Roman" w:hAnsi="Times New Roman" w:cs="Times New Roman"/>
          <w:b/>
          <w:sz w:val="24"/>
          <w:u w:val="single"/>
        </w:rPr>
        <w:t>2. ŽELEZ</w:t>
      </w:r>
      <w:r w:rsidR="002C383D">
        <w:rPr>
          <w:rFonts w:ascii="Times New Roman" w:hAnsi="Times New Roman" w:cs="Times New Roman"/>
          <w:b/>
          <w:sz w:val="24"/>
          <w:u w:val="single"/>
        </w:rPr>
        <w:t>NIČ</w:t>
      </w:r>
      <w:r w:rsidR="002C383D">
        <w:rPr>
          <w:rFonts w:ascii="Times New Roman" w:hAnsi="Times New Roman" w:cs="Times New Roman"/>
          <w:b/>
          <w:sz w:val="24"/>
          <w:u w:val="single"/>
        </w:rPr>
        <w:t>NÁ POLÍCIA – podprogram 07T04</w:t>
      </w:r>
      <w:r w:rsidRPr="00D23807">
        <w:rPr>
          <w:rFonts w:ascii="Times New Roman" w:hAnsi="Times New Roman" w:cs="Times New Roman"/>
          <w:b/>
          <w:sz w:val="24"/>
          <w:u w:val="single"/>
        </w:rPr>
        <w:t xml:space="preserve"> – Bezpečnosť dopravy </w:t>
      </w:r>
    </w:p>
    <w:p w:rsidR="006E2C6E" w:rsidRPr="00D23807" w:rsidP="00C362EA">
      <w:pPr>
        <w:spacing w:line="240" w:lineRule="auto"/>
        <w:rPr>
          <w:rFonts w:ascii="Times New Roman" w:hAnsi="Times New Roman" w:cs="Times New Roman"/>
          <w:sz w:val="24"/>
          <w:szCs w:val="24"/>
        </w:rPr>
      </w:pPr>
      <w:r w:rsidRPr="00D23807" w:rsidR="00D27E26">
        <w:rPr>
          <w:rFonts w:ascii="Times New Roman" w:hAnsi="Times New Roman" w:cs="Times New Roman"/>
          <w:sz w:val="24"/>
          <w:szCs w:val="24"/>
        </w:rPr>
        <w:tab/>
      </w:r>
    </w:p>
    <w:p w:rsidR="00324044" w:rsidP="004B593A">
      <w:pPr>
        <w:spacing w:line="240" w:lineRule="auto"/>
        <w:ind w:firstLine="708"/>
        <w:rPr>
          <w:rFonts w:ascii="Times New Roman" w:hAnsi="Times New Roman" w:cs="Times New Roman"/>
          <w:sz w:val="24"/>
          <w:szCs w:val="24"/>
        </w:rPr>
      </w:pPr>
      <w:r w:rsidRPr="00D23807" w:rsidR="00D27E26">
        <w:rPr>
          <w:rFonts w:ascii="Times New Roman" w:hAnsi="Times New Roman" w:cs="Times New Roman"/>
          <w:sz w:val="24"/>
          <w:szCs w:val="24"/>
        </w:rPr>
        <w:t xml:space="preserve">Schválený rozpočet bežných </w:t>
      </w:r>
      <w:r w:rsidR="00FC7E23">
        <w:rPr>
          <w:rFonts w:ascii="Times New Roman" w:hAnsi="Times New Roman" w:cs="Times New Roman"/>
          <w:sz w:val="24"/>
          <w:szCs w:val="24"/>
        </w:rPr>
        <w:t xml:space="preserve">výdavkov Železničnej polície </w:t>
      </w:r>
      <w:r w:rsidRPr="002C7E22" w:rsidR="00FC7E23">
        <w:rPr>
          <w:rFonts w:ascii="Times New Roman" w:hAnsi="Times New Roman" w:cs="Times New Roman"/>
          <w:sz w:val="24"/>
          <w:szCs w:val="24"/>
        </w:rPr>
        <w:t xml:space="preserve">predstavoval </w:t>
      </w:r>
      <w:r>
        <w:rPr>
          <w:rFonts w:ascii="Times New Roman" w:hAnsi="Times New Roman" w:cs="Times New Roman"/>
          <w:sz w:val="24"/>
          <w:szCs w:val="24"/>
        </w:rPr>
        <w:t>600 684 000</w:t>
      </w:r>
      <w:r w:rsidRPr="002C7E22" w:rsidR="00FC7E23">
        <w:rPr>
          <w:rFonts w:ascii="Times New Roman" w:hAnsi="Times New Roman" w:cs="Times New Roman"/>
          <w:sz w:val="24"/>
          <w:szCs w:val="24"/>
        </w:rPr>
        <w:t xml:space="preserve">,- Sk, kapitálových výdavkov 25 000 000,- </w:t>
      </w:r>
      <w:r w:rsidRPr="002C7E22" w:rsidR="00D27E26">
        <w:rPr>
          <w:rFonts w:ascii="Times New Roman" w:hAnsi="Times New Roman" w:cs="Times New Roman"/>
          <w:sz w:val="24"/>
          <w:szCs w:val="24"/>
        </w:rPr>
        <w:t>Sk</w:t>
      </w:r>
      <w:r w:rsidR="001409F4">
        <w:rPr>
          <w:rFonts w:ascii="Times New Roman" w:hAnsi="Times New Roman" w:cs="Times New Roman"/>
          <w:sz w:val="24"/>
          <w:szCs w:val="24"/>
        </w:rPr>
        <w:t>. K 31.12.2007</w:t>
      </w:r>
      <w:r w:rsidRPr="002C7E22" w:rsidR="00D27E26">
        <w:rPr>
          <w:rFonts w:ascii="Times New Roman" w:hAnsi="Times New Roman" w:cs="Times New Roman"/>
          <w:sz w:val="24"/>
          <w:szCs w:val="24"/>
        </w:rPr>
        <w:t xml:space="preserve"> boli </w:t>
      </w:r>
      <w:r w:rsidRPr="002C7E22" w:rsidR="00EC6972">
        <w:rPr>
          <w:rFonts w:ascii="Times New Roman" w:hAnsi="Times New Roman" w:cs="Times New Roman"/>
          <w:sz w:val="24"/>
          <w:szCs w:val="24"/>
        </w:rPr>
        <w:t>r</w:t>
      </w:r>
      <w:r w:rsidRPr="002C7E22" w:rsidR="00EE73BE">
        <w:rPr>
          <w:rFonts w:ascii="Times New Roman" w:hAnsi="Times New Roman" w:cs="Times New Roman"/>
          <w:sz w:val="24"/>
          <w:szCs w:val="24"/>
        </w:rPr>
        <w:t xml:space="preserve">ozpočtovými opatreniami MF SR </w:t>
      </w:r>
      <w:r w:rsidRPr="002C7E22" w:rsidR="00EC6972">
        <w:rPr>
          <w:rFonts w:ascii="Times New Roman" w:hAnsi="Times New Roman" w:cs="Times New Roman"/>
          <w:sz w:val="24"/>
          <w:szCs w:val="24"/>
        </w:rPr>
        <w:t xml:space="preserve">a MDPT SR </w:t>
      </w:r>
      <w:r w:rsidRPr="002C7E22" w:rsidR="00FC7E23">
        <w:rPr>
          <w:rFonts w:ascii="Times New Roman" w:hAnsi="Times New Roman" w:cs="Times New Roman"/>
          <w:sz w:val="24"/>
          <w:szCs w:val="24"/>
        </w:rPr>
        <w:t xml:space="preserve">upravené </w:t>
      </w:r>
      <w:r w:rsidRPr="002C7E22" w:rsidR="00EC6972">
        <w:rPr>
          <w:rFonts w:ascii="Times New Roman" w:hAnsi="Times New Roman" w:cs="Times New Roman"/>
          <w:sz w:val="24"/>
          <w:szCs w:val="24"/>
        </w:rPr>
        <w:t>bežné vý</w:t>
      </w:r>
      <w:r w:rsidRPr="002C7E22" w:rsidR="00EC6972">
        <w:rPr>
          <w:rFonts w:ascii="Times New Roman" w:hAnsi="Times New Roman" w:cs="Times New Roman"/>
          <w:sz w:val="24"/>
          <w:szCs w:val="24"/>
        </w:rPr>
        <w:t xml:space="preserve">davky </w:t>
      </w:r>
      <w:r>
        <w:rPr>
          <w:rFonts w:ascii="Times New Roman" w:hAnsi="Times New Roman" w:cs="Times New Roman"/>
          <w:sz w:val="24"/>
          <w:szCs w:val="24"/>
        </w:rPr>
        <w:t>na 621 024 000</w:t>
      </w:r>
      <w:r w:rsidRPr="002C7E22" w:rsidR="00FC7E23">
        <w:rPr>
          <w:rFonts w:ascii="Times New Roman" w:hAnsi="Times New Roman" w:cs="Times New Roman"/>
          <w:sz w:val="24"/>
          <w:szCs w:val="24"/>
        </w:rPr>
        <w:t>,- Sk</w:t>
      </w:r>
      <w:r w:rsidRPr="002C7E22" w:rsidR="00EE73BE">
        <w:rPr>
          <w:rFonts w:ascii="Times New Roman" w:hAnsi="Times New Roman" w:cs="Times New Roman"/>
          <w:sz w:val="24"/>
          <w:szCs w:val="24"/>
        </w:rPr>
        <w:t>. K</w:t>
      </w:r>
      <w:r w:rsidRPr="002C7E22" w:rsidR="00FC7E23">
        <w:rPr>
          <w:rFonts w:ascii="Times New Roman" w:hAnsi="Times New Roman" w:cs="Times New Roman"/>
          <w:sz w:val="24"/>
          <w:szCs w:val="24"/>
        </w:rPr>
        <w:t>apitálové</w:t>
      </w:r>
      <w:r>
        <w:rPr>
          <w:rFonts w:ascii="Times New Roman" w:hAnsi="Times New Roman" w:cs="Times New Roman"/>
          <w:sz w:val="24"/>
          <w:szCs w:val="24"/>
        </w:rPr>
        <w:t xml:space="preserve"> výdavky na 20 723 133,74 Sk. Celkový upravený rozpočet Železničnej polície k 31.12.2007 predstavoval  641 747 133,74 Sk.  </w:t>
      </w:r>
    </w:p>
    <w:p w:rsidR="00532DAB" w:rsidRPr="002E5583" w:rsidP="004B593A">
      <w:pPr>
        <w:spacing w:line="240" w:lineRule="auto"/>
        <w:ind w:firstLine="708"/>
        <w:rPr>
          <w:rFonts w:ascii="Times New Roman" w:hAnsi="Times New Roman" w:cs="Times New Roman"/>
          <w:sz w:val="24"/>
          <w:szCs w:val="24"/>
        </w:rPr>
      </w:pPr>
      <w:r w:rsidR="00EE73BE">
        <w:rPr>
          <w:rFonts w:ascii="Times New Roman" w:hAnsi="Times New Roman" w:cs="Times New Roman"/>
          <w:sz w:val="24"/>
          <w:szCs w:val="24"/>
        </w:rPr>
        <w:t xml:space="preserve"> </w:t>
      </w:r>
    </w:p>
    <w:p w:rsidR="002E5583" w:rsidRPr="002E5583" w:rsidP="00C362EA">
      <w:pPr>
        <w:spacing w:line="240" w:lineRule="auto"/>
        <w:jc w:val="center"/>
        <w:rPr>
          <w:rFonts w:ascii="Arial Narrow" w:hAnsi="Arial Narrow" w:cs="Times New Roman"/>
          <w:b/>
          <w:sz w:val="24"/>
          <w:szCs w:val="24"/>
        </w:rPr>
      </w:pPr>
      <w:r w:rsidRPr="00F43690" w:rsidR="00F43690">
        <w:rPr>
          <w:rFonts w:ascii="Arial Narrow" w:hAnsi="Arial Narrow" w:cs="Times New Roman"/>
          <w:b/>
          <w:sz w:val="24"/>
          <w:szCs w:val="24"/>
        </w:rPr>
        <w:t>Prehľad rozpočtových výdavkov</w:t>
      </w:r>
      <w:r w:rsidR="001409F4">
        <w:rPr>
          <w:rFonts w:ascii="Arial Narrow" w:hAnsi="Arial Narrow" w:cs="Times New Roman"/>
          <w:b/>
          <w:sz w:val="24"/>
          <w:szCs w:val="24"/>
        </w:rPr>
        <w:t xml:space="preserve"> Železničnej polície za rok 2007</w:t>
      </w:r>
    </w:p>
    <w:p w:rsidR="00F43690" w:rsidRPr="00D04D46" w:rsidP="009A52FB">
      <w:pPr>
        <w:spacing w:line="240" w:lineRule="auto"/>
        <w:ind w:right="-109"/>
        <w:rPr>
          <w:rFonts w:ascii="Arial Narrow" w:hAnsi="Arial Narrow" w:cs="Times New Roman"/>
        </w:rPr>
      </w:pPr>
      <w:r w:rsidR="002E5583">
        <w:rPr>
          <w:rFonts w:ascii="Arial Narrow" w:hAnsi="Arial Narrow" w:cs="Times New Roman"/>
        </w:rPr>
        <w:t xml:space="preserve">                               </w:t>
      </w:r>
      <w:r w:rsidR="002E5583">
        <w:rPr>
          <w:rFonts w:ascii="Arial Narrow" w:hAnsi="Arial Narrow" w:cs="Times New Roman"/>
        </w:rPr>
        <w:t xml:space="preserve">    </w:t>
      </w:r>
      <w:r w:rsidRPr="00D04D46">
        <w:rPr>
          <w:rFonts w:ascii="Arial Narrow" w:hAnsi="Arial Narrow" w:cs="Times New Roman"/>
        </w:rPr>
        <w:t xml:space="preserve">                                                                          </w:t>
      </w:r>
      <w:r>
        <w:rPr>
          <w:rFonts w:ascii="Arial Narrow" w:hAnsi="Arial Narrow" w:cs="Times New Roman"/>
        </w:rPr>
        <w:t xml:space="preserve">                                                     </w:t>
      </w:r>
      <w:r w:rsidR="00A01731">
        <w:rPr>
          <w:rFonts w:ascii="Arial Narrow" w:hAnsi="Arial Narrow" w:cs="Times New Roman"/>
        </w:rPr>
        <w:t xml:space="preserve">                     </w:t>
      </w:r>
      <w:r w:rsidRPr="00D04D46">
        <w:rPr>
          <w:rFonts w:ascii="Arial Narrow" w:hAnsi="Arial Narrow" w:cs="Times New Roman"/>
        </w:rPr>
        <w:t xml:space="preserve">    </w:t>
      </w:r>
      <w:r w:rsidR="009A52FB">
        <w:rPr>
          <w:rFonts w:ascii="Arial Narrow" w:hAnsi="Arial Narrow" w:cs="Times New Roman"/>
        </w:rPr>
        <w:t xml:space="preserve">    </w:t>
      </w:r>
      <w:r w:rsidRPr="00D04D46">
        <w:rPr>
          <w:rFonts w:ascii="Arial Narrow" w:hAnsi="Arial Narrow" w:cs="Times New Roman"/>
        </w:rPr>
        <w:t>(v Sk)</w:t>
      </w:r>
    </w:p>
    <w:tbl>
      <w:tblPr>
        <w:tblW w:w="92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Grid>
        <w:gridCol w:w="3600"/>
        <w:gridCol w:w="1440"/>
        <w:gridCol w:w="1399"/>
        <w:gridCol w:w="1440"/>
        <w:gridCol w:w="1360"/>
      </w:tblGrid>
      <w:tr>
        <w:tblPrEx>
          <w:tblW w:w="92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auto" w:val="0"/>
        </w:trPr>
        <w:tc>
          <w:tcPr>
            <w:tcW w:w="3600" w:type="dxa"/>
            <w:tcBorders>
              <w:top w:val="single" w:sz="4" w:space="0" w:color="auto"/>
              <w:left w:val="single" w:sz="4" w:space="0" w:color="auto"/>
              <w:bottom w:val="single" w:sz="4" w:space="0" w:color="auto"/>
              <w:right w:val="single" w:sz="4" w:space="0" w:color="auto"/>
              <w:tl2br w:val="nil"/>
              <w:tr2bl w:val="nil"/>
            </w:tcBorders>
            <w:shd w:val="clear" w:color="auto" w:fill="CCCCCC"/>
            <w:textDirection w:val="lrTb"/>
            <w:vAlign w:val="top"/>
          </w:tcPr>
          <w:p w:rsidR="00324044" w:rsidRPr="00D04D46" w:rsidP="00C362EA">
            <w:pPr>
              <w:spacing w:line="240" w:lineRule="auto"/>
              <w:rPr>
                <w:rFonts w:ascii="Times New Roman" w:hAnsi="Times New Roman" w:cs="Times New Roman"/>
                <w:u w:val="single"/>
              </w:rPr>
            </w:pPr>
          </w:p>
        </w:tc>
        <w:tc>
          <w:tcPr>
            <w:tcW w:w="1440" w:type="dxa"/>
            <w:tcBorders>
              <w:top w:val="single" w:sz="4" w:space="0" w:color="auto"/>
              <w:left w:val="single" w:sz="4" w:space="0" w:color="auto"/>
              <w:bottom w:val="single" w:sz="4" w:space="0" w:color="auto"/>
              <w:right w:val="single" w:sz="4" w:space="0" w:color="auto"/>
              <w:tl2br w:val="nil"/>
              <w:tr2bl w:val="nil"/>
            </w:tcBorders>
            <w:shd w:val="clear" w:color="auto" w:fill="CCCCCC"/>
            <w:textDirection w:val="lrTb"/>
            <w:vAlign w:val="center"/>
          </w:tcPr>
          <w:p w:rsidR="00324044" w:rsidRPr="00FC7E23" w:rsidP="00C362EA">
            <w:pPr>
              <w:spacing w:line="240" w:lineRule="auto"/>
              <w:jc w:val="center"/>
              <w:rPr>
                <w:rFonts w:ascii="Arial Narrow" w:hAnsi="Arial Narrow" w:cs="Times New Roman"/>
                <w:b/>
              </w:rPr>
            </w:pPr>
            <w:r w:rsidRPr="00FC7E23">
              <w:rPr>
                <w:rFonts w:ascii="Arial Narrow" w:hAnsi="Arial Narrow" w:cs="Times New Roman"/>
                <w:b/>
              </w:rPr>
              <w:t xml:space="preserve">Schválený rozpočet </w:t>
            </w:r>
            <w:r>
              <w:rPr>
                <w:rFonts w:ascii="Arial Narrow" w:hAnsi="Arial Narrow" w:cs="Times New Roman"/>
                <w:b/>
              </w:rPr>
              <w:t>k 1.1.2007</w:t>
            </w:r>
          </w:p>
        </w:tc>
        <w:tc>
          <w:tcPr>
            <w:tcW w:w="1399" w:type="dxa"/>
            <w:tcBorders>
              <w:top w:val="single" w:sz="4" w:space="0" w:color="auto"/>
              <w:left w:val="single" w:sz="4" w:space="0" w:color="auto"/>
              <w:bottom w:val="single" w:sz="4" w:space="0" w:color="auto"/>
              <w:right w:val="single" w:sz="4" w:space="0" w:color="auto"/>
              <w:tl2br w:val="nil"/>
              <w:tr2bl w:val="nil"/>
            </w:tcBorders>
            <w:shd w:val="clear" w:color="auto" w:fill="CCCCCC"/>
            <w:textDirection w:val="lrTb"/>
            <w:vAlign w:val="center"/>
          </w:tcPr>
          <w:p w:rsidR="00324044" w:rsidRPr="00FC7E23" w:rsidP="00C362EA">
            <w:pPr>
              <w:spacing w:line="240" w:lineRule="auto"/>
              <w:jc w:val="center"/>
              <w:rPr>
                <w:rFonts w:ascii="Arial Narrow" w:hAnsi="Arial Narrow" w:cs="Times New Roman"/>
                <w:b/>
              </w:rPr>
            </w:pPr>
            <w:r>
              <w:rPr>
                <w:rFonts w:ascii="Arial Narrow" w:hAnsi="Arial Narrow" w:cs="Times New Roman"/>
                <w:b/>
              </w:rPr>
              <w:t>Upravený rozpočet k 31.12.2007</w:t>
            </w:r>
          </w:p>
        </w:tc>
        <w:tc>
          <w:tcPr>
            <w:tcW w:w="1440" w:type="dxa"/>
            <w:tcBorders>
              <w:top w:val="single" w:sz="4" w:space="0" w:color="auto"/>
              <w:left w:val="single" w:sz="4" w:space="0" w:color="auto"/>
              <w:bottom w:val="single" w:sz="4" w:space="0" w:color="auto"/>
              <w:right w:val="single" w:sz="4" w:space="0" w:color="auto"/>
              <w:tl2br w:val="nil"/>
              <w:tr2bl w:val="nil"/>
            </w:tcBorders>
            <w:shd w:val="clear" w:color="auto" w:fill="CCCCCC"/>
            <w:textDirection w:val="lrTb"/>
            <w:vAlign w:val="center"/>
          </w:tcPr>
          <w:p w:rsidR="00324044" w:rsidRPr="00FC7E23" w:rsidP="00C362EA">
            <w:pPr>
              <w:spacing w:line="240" w:lineRule="auto"/>
              <w:jc w:val="center"/>
              <w:rPr>
                <w:rFonts w:ascii="Arial Narrow" w:hAnsi="Arial Narrow" w:cs="Times New Roman"/>
                <w:b/>
              </w:rPr>
            </w:pPr>
            <w:r>
              <w:rPr>
                <w:rFonts w:ascii="Arial Narrow" w:hAnsi="Arial Narrow" w:cs="Times New Roman"/>
                <w:b/>
              </w:rPr>
              <w:t>Skutočné čerpanie k 31.12.2</w:t>
            </w:r>
            <w:r>
              <w:rPr>
                <w:rFonts w:ascii="Arial Narrow" w:hAnsi="Arial Narrow" w:cs="Times New Roman"/>
                <w:b/>
              </w:rPr>
              <w:t>007</w:t>
            </w:r>
          </w:p>
        </w:tc>
        <w:tc>
          <w:tcPr>
            <w:tcW w:w="1360" w:type="dxa"/>
            <w:tcBorders>
              <w:top w:val="single" w:sz="4" w:space="0" w:color="auto"/>
              <w:left w:val="single" w:sz="4" w:space="0" w:color="auto"/>
              <w:bottom w:val="single" w:sz="4" w:space="0" w:color="auto"/>
              <w:right w:val="single" w:sz="4" w:space="0" w:color="auto"/>
              <w:tl2br w:val="nil"/>
              <w:tr2bl w:val="nil"/>
            </w:tcBorders>
            <w:shd w:val="clear" w:color="auto" w:fill="CCCCCC"/>
            <w:textDirection w:val="lrTb"/>
            <w:vAlign w:val="center"/>
          </w:tcPr>
          <w:p w:rsidR="00324044" w:rsidP="00C362EA">
            <w:pPr>
              <w:spacing w:line="240" w:lineRule="auto"/>
              <w:jc w:val="center"/>
              <w:rPr>
                <w:rFonts w:ascii="Arial Narrow" w:hAnsi="Arial Narrow" w:cs="Times New Roman"/>
                <w:b/>
              </w:rPr>
            </w:pPr>
            <w:r w:rsidR="00F70098">
              <w:rPr>
                <w:rFonts w:ascii="Arial Narrow" w:hAnsi="Arial Narrow" w:cs="Times New Roman"/>
                <w:b/>
              </w:rPr>
              <w:t>Rozdiel</w:t>
            </w:r>
          </w:p>
        </w:tc>
      </w:tr>
      <w:tr>
        <w:tblPrEx>
          <w:tblW w:w="9239" w:type="dxa"/>
          <w:tblInd w:w="108" w:type="dxa"/>
        </w:tblPrEx>
        <w:trPr>
          <w:trHeight w:hRule="auto" w:val="0"/>
        </w:trPr>
        <w:tc>
          <w:tcPr>
            <w:tcW w:w="360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324044" w:rsidRPr="00DC7250" w:rsidP="00C362EA">
            <w:pPr>
              <w:spacing w:line="240" w:lineRule="auto"/>
              <w:rPr>
                <w:rFonts w:ascii="Arial Narrow" w:hAnsi="Arial Narrow" w:cs="Times New Roman"/>
              </w:rPr>
            </w:pPr>
            <w:r w:rsidRPr="00DC7250">
              <w:rPr>
                <w:rFonts w:ascii="Arial Narrow" w:hAnsi="Arial Narrow" w:cs="Times New Roman"/>
              </w:rPr>
              <w:t>Bežné výdavky (600), z toho:</w:t>
            </w:r>
          </w:p>
        </w:tc>
        <w:tc>
          <w:tcPr>
            <w:tcW w:w="144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324044" w:rsidRPr="00DC7250" w:rsidP="00891064">
            <w:pPr>
              <w:spacing w:line="240" w:lineRule="auto"/>
              <w:jc w:val="right"/>
              <w:rPr>
                <w:rFonts w:ascii="Arial Narrow" w:hAnsi="Arial Narrow" w:cs="Times New Roman"/>
              </w:rPr>
            </w:pPr>
            <w:r>
              <w:rPr>
                <w:rFonts w:ascii="Arial Narrow" w:hAnsi="Arial Narrow" w:cs="Times New Roman"/>
              </w:rPr>
              <w:t>600 684 000,00</w:t>
            </w:r>
          </w:p>
        </w:tc>
        <w:tc>
          <w:tcPr>
            <w:tcW w:w="1399"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324044" w:rsidRPr="00DC7250" w:rsidP="00891064">
            <w:pPr>
              <w:spacing w:line="240" w:lineRule="auto"/>
              <w:jc w:val="right"/>
              <w:rPr>
                <w:rFonts w:ascii="Arial Narrow" w:hAnsi="Arial Narrow" w:cs="Times New Roman"/>
              </w:rPr>
            </w:pPr>
            <w:r>
              <w:rPr>
                <w:rFonts w:ascii="Arial Narrow" w:hAnsi="Arial Narrow" w:cs="Times New Roman"/>
              </w:rPr>
              <w:t>621 024 000,00</w:t>
            </w:r>
          </w:p>
        </w:tc>
        <w:tc>
          <w:tcPr>
            <w:tcW w:w="144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324044" w:rsidRPr="00B23854" w:rsidP="00891064">
            <w:pPr>
              <w:spacing w:line="240" w:lineRule="auto"/>
              <w:jc w:val="right"/>
              <w:rPr>
                <w:rFonts w:ascii="Arial Narrow" w:hAnsi="Arial Narrow" w:cs="Times New Roman"/>
              </w:rPr>
            </w:pPr>
            <w:r w:rsidR="00B145EF">
              <w:rPr>
                <w:rFonts w:ascii="Arial Narrow" w:hAnsi="Arial Narrow" w:cs="Times New Roman"/>
              </w:rPr>
              <w:t>621 023 8</w:t>
            </w:r>
            <w:r w:rsidR="00F4283B">
              <w:rPr>
                <w:rFonts w:ascii="Arial Narrow" w:hAnsi="Arial Narrow" w:cs="Times New Roman"/>
              </w:rPr>
              <w:t>30</w:t>
            </w:r>
            <w:r>
              <w:rPr>
                <w:rFonts w:ascii="Arial Narrow" w:hAnsi="Arial Narrow" w:cs="Times New Roman"/>
              </w:rPr>
              <w:t>,98</w:t>
            </w:r>
          </w:p>
        </w:tc>
        <w:tc>
          <w:tcPr>
            <w:tcW w:w="136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324044" w:rsidP="00891064">
            <w:pPr>
              <w:spacing w:line="240" w:lineRule="auto"/>
              <w:jc w:val="right"/>
              <w:rPr>
                <w:rFonts w:ascii="Arial Narrow" w:hAnsi="Arial Narrow" w:cs="Times New Roman"/>
              </w:rPr>
            </w:pPr>
            <w:r>
              <w:rPr>
                <w:rFonts w:ascii="Arial Narrow" w:hAnsi="Arial Narrow" w:cs="Times New Roman"/>
              </w:rPr>
              <w:t>169,12</w:t>
            </w:r>
          </w:p>
        </w:tc>
      </w:tr>
      <w:tr>
        <w:tblPrEx>
          <w:tblW w:w="9239" w:type="dxa"/>
          <w:tblInd w:w="108" w:type="dxa"/>
        </w:tblPrEx>
        <w:trPr>
          <w:trHeight w:hRule="auto" w:val="0"/>
        </w:trPr>
        <w:tc>
          <w:tcPr>
            <w:tcW w:w="360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324044" w:rsidRPr="00D04D46" w:rsidP="00C362EA">
            <w:pPr>
              <w:spacing w:line="240" w:lineRule="auto"/>
              <w:rPr>
                <w:rFonts w:ascii="Arial Narrow" w:hAnsi="Arial Narrow" w:cs="Times New Roman"/>
              </w:rPr>
            </w:pPr>
            <w:r>
              <w:rPr>
                <w:rFonts w:ascii="Arial Narrow" w:hAnsi="Arial Narrow" w:cs="Times New Roman"/>
              </w:rPr>
              <w:t>Mzdy, platy, sl. príjmy a OOV (610), z toho:</w:t>
            </w:r>
          </w:p>
        </w:tc>
        <w:tc>
          <w:tcPr>
            <w:tcW w:w="144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324044" w:rsidRPr="00D04D46" w:rsidP="00891064">
            <w:pPr>
              <w:spacing w:line="240" w:lineRule="auto"/>
              <w:jc w:val="right"/>
              <w:rPr>
                <w:rFonts w:ascii="Arial Narrow" w:hAnsi="Arial Narrow" w:cs="Times New Roman"/>
              </w:rPr>
            </w:pPr>
            <w:r>
              <w:rPr>
                <w:rFonts w:ascii="Arial Narrow" w:hAnsi="Arial Narrow" w:cs="Times New Roman"/>
              </w:rPr>
              <w:t>371 095 000,00</w:t>
            </w:r>
          </w:p>
        </w:tc>
        <w:tc>
          <w:tcPr>
            <w:tcW w:w="1399"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324044" w:rsidRPr="00D04D46" w:rsidP="00891064">
            <w:pPr>
              <w:spacing w:line="240" w:lineRule="auto"/>
              <w:jc w:val="right"/>
              <w:rPr>
                <w:rFonts w:ascii="Arial Narrow" w:hAnsi="Arial Narrow" w:cs="Times New Roman"/>
              </w:rPr>
            </w:pPr>
            <w:r>
              <w:rPr>
                <w:rFonts w:ascii="Arial Narrow" w:hAnsi="Arial Narrow" w:cs="Times New Roman"/>
              </w:rPr>
              <w:t>385 833 000,00</w:t>
            </w:r>
          </w:p>
        </w:tc>
        <w:tc>
          <w:tcPr>
            <w:tcW w:w="144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324044" w:rsidRPr="00B23854" w:rsidP="00891064">
            <w:pPr>
              <w:spacing w:line="240" w:lineRule="auto"/>
              <w:jc w:val="right"/>
              <w:rPr>
                <w:rFonts w:ascii="Arial Narrow" w:hAnsi="Arial Narrow" w:cs="Times New Roman"/>
              </w:rPr>
            </w:pPr>
            <w:r w:rsidR="00B145EF">
              <w:rPr>
                <w:rFonts w:ascii="Arial Narrow" w:hAnsi="Arial Narrow" w:cs="Times New Roman"/>
              </w:rPr>
              <w:t>385 83</w:t>
            </w:r>
            <w:r w:rsidR="00F4283B">
              <w:rPr>
                <w:rFonts w:ascii="Arial Narrow" w:hAnsi="Arial Narrow" w:cs="Times New Roman"/>
              </w:rPr>
              <w:t>3</w:t>
            </w:r>
            <w:r w:rsidR="00B145EF">
              <w:rPr>
                <w:rFonts w:ascii="Arial Narrow" w:hAnsi="Arial Narrow" w:cs="Times New Roman"/>
              </w:rPr>
              <w:t xml:space="preserve"> </w:t>
            </w:r>
            <w:r w:rsidR="00F4283B">
              <w:rPr>
                <w:rFonts w:ascii="Arial Narrow" w:hAnsi="Arial Narrow" w:cs="Times New Roman"/>
              </w:rPr>
              <w:t>000</w:t>
            </w:r>
            <w:r>
              <w:rPr>
                <w:rFonts w:ascii="Arial Narrow" w:hAnsi="Arial Narrow" w:cs="Times New Roman"/>
              </w:rPr>
              <w:t>,00</w:t>
            </w:r>
          </w:p>
        </w:tc>
        <w:tc>
          <w:tcPr>
            <w:tcW w:w="136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324044" w:rsidP="00891064">
            <w:pPr>
              <w:spacing w:line="240" w:lineRule="auto"/>
              <w:jc w:val="right"/>
              <w:rPr>
                <w:rFonts w:ascii="Arial Narrow" w:hAnsi="Arial Narrow" w:cs="Times New Roman"/>
              </w:rPr>
            </w:pPr>
            <w:r>
              <w:rPr>
                <w:rFonts w:ascii="Arial Narrow" w:hAnsi="Arial Narrow" w:cs="Times New Roman"/>
              </w:rPr>
              <w:t>0,00</w:t>
            </w:r>
          </w:p>
        </w:tc>
      </w:tr>
      <w:tr>
        <w:tblPrEx>
          <w:tblW w:w="9239" w:type="dxa"/>
          <w:tblInd w:w="108" w:type="dxa"/>
        </w:tblPrEx>
        <w:trPr>
          <w:trHeight w:hRule="auto" w:val="0"/>
        </w:trPr>
        <w:tc>
          <w:tcPr>
            <w:tcW w:w="360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324044" w:rsidP="00C362EA">
            <w:pPr>
              <w:spacing w:line="240" w:lineRule="auto"/>
              <w:rPr>
                <w:rFonts w:ascii="Arial Narrow" w:hAnsi="Arial Narrow" w:cs="Times New Roman"/>
              </w:rPr>
            </w:pPr>
            <w:r>
              <w:rPr>
                <w:rFonts w:ascii="Arial Narrow" w:hAnsi="Arial Narrow" w:cs="Times New Roman"/>
              </w:rPr>
              <w:t>Policajti</w:t>
            </w:r>
          </w:p>
        </w:tc>
        <w:tc>
          <w:tcPr>
            <w:tcW w:w="144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324044" w:rsidP="00891064">
            <w:pPr>
              <w:spacing w:line="240" w:lineRule="auto"/>
              <w:jc w:val="right"/>
              <w:rPr>
                <w:rFonts w:ascii="Arial Narrow" w:hAnsi="Arial Narrow" w:cs="Times New Roman"/>
              </w:rPr>
            </w:pPr>
            <w:r>
              <w:rPr>
                <w:rFonts w:ascii="Arial Narrow" w:hAnsi="Arial Narrow" w:cs="Times New Roman"/>
              </w:rPr>
              <w:t>335 645 000,00</w:t>
            </w:r>
          </w:p>
        </w:tc>
        <w:tc>
          <w:tcPr>
            <w:tcW w:w="1399"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324044" w:rsidP="00891064">
            <w:pPr>
              <w:spacing w:line="240" w:lineRule="auto"/>
              <w:jc w:val="right"/>
              <w:rPr>
                <w:rFonts w:ascii="Arial Narrow" w:hAnsi="Arial Narrow" w:cs="Times New Roman"/>
              </w:rPr>
            </w:pPr>
            <w:r>
              <w:rPr>
                <w:rFonts w:ascii="Arial Narrow" w:hAnsi="Arial Narrow" w:cs="Times New Roman"/>
              </w:rPr>
              <w:t>369 273 000,00</w:t>
            </w:r>
          </w:p>
        </w:tc>
        <w:tc>
          <w:tcPr>
            <w:tcW w:w="144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324044" w:rsidP="00891064">
            <w:pPr>
              <w:spacing w:line="240" w:lineRule="auto"/>
              <w:jc w:val="right"/>
              <w:rPr>
                <w:rFonts w:ascii="Arial Narrow" w:hAnsi="Arial Narrow" w:cs="Times New Roman"/>
              </w:rPr>
            </w:pPr>
            <w:r>
              <w:rPr>
                <w:rFonts w:ascii="Arial Narrow" w:hAnsi="Arial Narrow" w:cs="Times New Roman"/>
              </w:rPr>
              <w:t>369 273 000,00</w:t>
            </w:r>
          </w:p>
        </w:tc>
        <w:tc>
          <w:tcPr>
            <w:tcW w:w="136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324044" w:rsidP="00891064">
            <w:pPr>
              <w:spacing w:line="240" w:lineRule="auto"/>
              <w:jc w:val="right"/>
              <w:rPr>
                <w:rFonts w:ascii="Arial Narrow" w:hAnsi="Arial Narrow" w:cs="Times New Roman"/>
              </w:rPr>
            </w:pPr>
            <w:r>
              <w:rPr>
                <w:rFonts w:ascii="Arial Narrow" w:hAnsi="Arial Narrow" w:cs="Times New Roman"/>
              </w:rPr>
              <w:t>0,00</w:t>
            </w:r>
          </w:p>
        </w:tc>
      </w:tr>
      <w:tr>
        <w:tblPrEx>
          <w:tblW w:w="9239" w:type="dxa"/>
          <w:tblInd w:w="108" w:type="dxa"/>
        </w:tblPrEx>
        <w:trPr>
          <w:trHeight w:hRule="auto" w:val="0"/>
        </w:trPr>
        <w:tc>
          <w:tcPr>
            <w:tcW w:w="360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324044" w:rsidP="00C362EA">
            <w:pPr>
              <w:spacing w:line="240" w:lineRule="auto"/>
              <w:rPr>
                <w:rFonts w:ascii="Arial Narrow" w:hAnsi="Arial Narrow" w:cs="Times New Roman"/>
              </w:rPr>
            </w:pPr>
            <w:r>
              <w:rPr>
                <w:rFonts w:ascii="Arial Narrow" w:hAnsi="Arial Narrow" w:cs="Times New Roman"/>
              </w:rPr>
              <w:t>Zame</w:t>
            </w:r>
            <w:r>
              <w:rPr>
                <w:rFonts w:ascii="Arial Narrow" w:hAnsi="Arial Narrow" w:cs="Times New Roman"/>
              </w:rPr>
              <w:t xml:space="preserve">stnanci </w:t>
            </w:r>
          </w:p>
        </w:tc>
        <w:tc>
          <w:tcPr>
            <w:tcW w:w="144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324044" w:rsidP="00891064">
            <w:pPr>
              <w:spacing w:line="240" w:lineRule="auto"/>
              <w:jc w:val="right"/>
              <w:rPr>
                <w:rFonts w:ascii="Arial Narrow" w:hAnsi="Arial Narrow" w:cs="Times New Roman"/>
              </w:rPr>
            </w:pPr>
            <w:r>
              <w:rPr>
                <w:rFonts w:ascii="Arial Narrow" w:hAnsi="Arial Narrow" w:cs="Times New Roman"/>
              </w:rPr>
              <w:t>15 450 000,00</w:t>
            </w:r>
          </w:p>
        </w:tc>
        <w:tc>
          <w:tcPr>
            <w:tcW w:w="1399"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324044" w:rsidP="00891064">
            <w:pPr>
              <w:spacing w:line="240" w:lineRule="auto"/>
              <w:jc w:val="right"/>
              <w:rPr>
                <w:rFonts w:ascii="Arial Narrow" w:hAnsi="Arial Narrow" w:cs="Times New Roman"/>
              </w:rPr>
            </w:pPr>
            <w:r>
              <w:rPr>
                <w:rFonts w:ascii="Arial Narrow" w:hAnsi="Arial Narrow" w:cs="Times New Roman"/>
              </w:rPr>
              <w:t>16 560 000,00</w:t>
            </w:r>
          </w:p>
        </w:tc>
        <w:tc>
          <w:tcPr>
            <w:tcW w:w="144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324044" w:rsidP="00891064">
            <w:pPr>
              <w:spacing w:line="240" w:lineRule="auto"/>
              <w:jc w:val="right"/>
              <w:rPr>
                <w:rFonts w:ascii="Arial Narrow" w:hAnsi="Arial Narrow" w:cs="Times New Roman"/>
              </w:rPr>
            </w:pPr>
            <w:r>
              <w:rPr>
                <w:rFonts w:ascii="Arial Narrow" w:hAnsi="Arial Narrow" w:cs="Times New Roman"/>
              </w:rPr>
              <w:t>16 5</w:t>
            </w:r>
            <w:r w:rsidR="00F4283B">
              <w:rPr>
                <w:rFonts w:ascii="Arial Narrow" w:hAnsi="Arial Narrow" w:cs="Times New Roman"/>
              </w:rPr>
              <w:t>60</w:t>
            </w:r>
            <w:r w:rsidR="00B145EF">
              <w:rPr>
                <w:rFonts w:ascii="Arial Narrow" w:hAnsi="Arial Narrow" w:cs="Times New Roman"/>
              </w:rPr>
              <w:t xml:space="preserve"> </w:t>
            </w:r>
            <w:r w:rsidR="00F4283B">
              <w:rPr>
                <w:rFonts w:ascii="Arial Narrow" w:hAnsi="Arial Narrow" w:cs="Times New Roman"/>
              </w:rPr>
              <w:t>000</w:t>
            </w:r>
            <w:r>
              <w:rPr>
                <w:rFonts w:ascii="Arial Narrow" w:hAnsi="Arial Narrow" w:cs="Times New Roman"/>
              </w:rPr>
              <w:t>,00</w:t>
            </w:r>
          </w:p>
        </w:tc>
        <w:tc>
          <w:tcPr>
            <w:tcW w:w="136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324044" w:rsidP="00891064">
            <w:pPr>
              <w:spacing w:line="240" w:lineRule="auto"/>
              <w:jc w:val="right"/>
              <w:rPr>
                <w:rFonts w:ascii="Arial Narrow" w:hAnsi="Arial Narrow" w:cs="Times New Roman"/>
              </w:rPr>
            </w:pPr>
            <w:r w:rsidR="00F4283B">
              <w:rPr>
                <w:rFonts w:ascii="Arial Narrow" w:hAnsi="Arial Narrow" w:cs="Times New Roman"/>
              </w:rPr>
              <w:t>0</w:t>
            </w:r>
            <w:r>
              <w:rPr>
                <w:rFonts w:ascii="Arial Narrow" w:hAnsi="Arial Narrow" w:cs="Times New Roman"/>
              </w:rPr>
              <w:t>,00</w:t>
            </w:r>
          </w:p>
        </w:tc>
      </w:tr>
      <w:tr>
        <w:tblPrEx>
          <w:tblW w:w="9239" w:type="dxa"/>
          <w:tblInd w:w="108" w:type="dxa"/>
        </w:tblPrEx>
        <w:trPr>
          <w:trHeight w:hRule="auto" w:val="0"/>
        </w:trPr>
        <w:tc>
          <w:tcPr>
            <w:tcW w:w="360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324044" w:rsidRPr="00D04D46" w:rsidP="00C362EA">
            <w:pPr>
              <w:spacing w:line="240" w:lineRule="auto"/>
              <w:rPr>
                <w:rFonts w:ascii="Arial Narrow" w:hAnsi="Arial Narrow" w:cs="Times New Roman"/>
              </w:rPr>
            </w:pPr>
            <w:r>
              <w:rPr>
                <w:rFonts w:ascii="Arial Narrow" w:hAnsi="Arial Narrow" w:cs="Times New Roman"/>
              </w:rPr>
              <w:t>Poistné a príspevok do poisťovní (620)</w:t>
            </w:r>
          </w:p>
        </w:tc>
        <w:tc>
          <w:tcPr>
            <w:tcW w:w="144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324044" w:rsidRPr="00D04D46" w:rsidP="00891064">
            <w:pPr>
              <w:spacing w:line="240" w:lineRule="auto"/>
              <w:jc w:val="right"/>
              <w:rPr>
                <w:rFonts w:ascii="Arial Narrow" w:hAnsi="Arial Narrow" w:cs="Times New Roman"/>
              </w:rPr>
            </w:pPr>
            <w:r>
              <w:rPr>
                <w:rFonts w:ascii="Arial Narrow" w:hAnsi="Arial Narrow" w:cs="Times New Roman"/>
              </w:rPr>
              <w:t>119 507 000,00</w:t>
            </w:r>
          </w:p>
        </w:tc>
        <w:tc>
          <w:tcPr>
            <w:tcW w:w="1399"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324044" w:rsidRPr="00D04D46" w:rsidP="00891064">
            <w:pPr>
              <w:spacing w:line="240" w:lineRule="auto"/>
              <w:jc w:val="right"/>
              <w:rPr>
                <w:rFonts w:ascii="Arial Narrow" w:hAnsi="Arial Narrow" w:cs="Times New Roman"/>
              </w:rPr>
            </w:pPr>
            <w:r>
              <w:rPr>
                <w:rFonts w:ascii="Arial Narrow" w:hAnsi="Arial Narrow" w:cs="Times New Roman"/>
              </w:rPr>
              <w:t>123 140 000,00</w:t>
            </w:r>
          </w:p>
        </w:tc>
        <w:tc>
          <w:tcPr>
            <w:tcW w:w="144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324044" w:rsidRPr="00B23854" w:rsidP="00891064">
            <w:pPr>
              <w:spacing w:line="240" w:lineRule="auto"/>
              <w:jc w:val="right"/>
              <w:rPr>
                <w:rFonts w:ascii="Arial Narrow" w:hAnsi="Arial Narrow" w:cs="Times New Roman"/>
              </w:rPr>
            </w:pPr>
            <w:r>
              <w:rPr>
                <w:rFonts w:ascii="Arial Narrow" w:hAnsi="Arial Narrow" w:cs="Times New Roman"/>
              </w:rPr>
              <w:t>123 140 000,00</w:t>
            </w:r>
          </w:p>
        </w:tc>
        <w:tc>
          <w:tcPr>
            <w:tcW w:w="136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324044" w:rsidP="00891064">
            <w:pPr>
              <w:spacing w:line="240" w:lineRule="auto"/>
              <w:jc w:val="right"/>
              <w:rPr>
                <w:rFonts w:ascii="Arial Narrow" w:hAnsi="Arial Narrow" w:cs="Times New Roman"/>
              </w:rPr>
            </w:pPr>
            <w:r>
              <w:rPr>
                <w:rFonts w:ascii="Arial Narrow" w:hAnsi="Arial Narrow" w:cs="Times New Roman"/>
              </w:rPr>
              <w:t>0,00</w:t>
            </w:r>
          </w:p>
        </w:tc>
      </w:tr>
      <w:tr>
        <w:tblPrEx>
          <w:tblW w:w="9239" w:type="dxa"/>
          <w:tblInd w:w="108" w:type="dxa"/>
        </w:tblPrEx>
        <w:trPr>
          <w:trHeight w:hRule="auto" w:val="0"/>
        </w:trPr>
        <w:tc>
          <w:tcPr>
            <w:tcW w:w="360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324044" w:rsidRPr="00D04D46" w:rsidP="00C362EA">
            <w:pPr>
              <w:spacing w:line="240" w:lineRule="auto"/>
              <w:rPr>
                <w:rFonts w:ascii="Arial Narrow" w:hAnsi="Arial Narrow" w:cs="Times New Roman"/>
              </w:rPr>
            </w:pPr>
            <w:r>
              <w:rPr>
                <w:rFonts w:ascii="Arial Narrow" w:hAnsi="Arial Narrow" w:cs="Times New Roman"/>
              </w:rPr>
              <w:t>Tovary a služby (630)</w:t>
            </w:r>
          </w:p>
        </w:tc>
        <w:tc>
          <w:tcPr>
            <w:tcW w:w="144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324044" w:rsidRPr="00D04D46" w:rsidP="00891064">
            <w:pPr>
              <w:spacing w:line="240" w:lineRule="auto"/>
              <w:jc w:val="right"/>
              <w:rPr>
                <w:rFonts w:ascii="Arial Narrow" w:hAnsi="Arial Narrow" w:cs="Times New Roman"/>
              </w:rPr>
            </w:pPr>
            <w:r>
              <w:rPr>
                <w:rFonts w:ascii="Arial Narrow" w:hAnsi="Arial Narrow" w:cs="Times New Roman"/>
              </w:rPr>
              <w:t>100 982 000,00</w:t>
            </w:r>
          </w:p>
        </w:tc>
        <w:tc>
          <w:tcPr>
            <w:tcW w:w="1399"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324044" w:rsidRPr="00D04D46" w:rsidP="00891064">
            <w:pPr>
              <w:spacing w:line="240" w:lineRule="auto"/>
              <w:jc w:val="right"/>
              <w:rPr>
                <w:rFonts w:ascii="Arial Narrow" w:hAnsi="Arial Narrow" w:cs="Times New Roman"/>
              </w:rPr>
            </w:pPr>
            <w:r>
              <w:rPr>
                <w:rFonts w:ascii="Arial Narrow" w:hAnsi="Arial Narrow" w:cs="Times New Roman"/>
              </w:rPr>
              <w:t>103 228 000,00</w:t>
            </w:r>
          </w:p>
        </w:tc>
        <w:tc>
          <w:tcPr>
            <w:tcW w:w="144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324044" w:rsidRPr="00B23854" w:rsidP="00891064">
            <w:pPr>
              <w:spacing w:line="240" w:lineRule="auto"/>
              <w:jc w:val="right"/>
              <w:rPr>
                <w:rFonts w:ascii="Arial Narrow" w:hAnsi="Arial Narrow" w:cs="Times New Roman"/>
              </w:rPr>
            </w:pPr>
            <w:r>
              <w:rPr>
                <w:rFonts w:ascii="Arial Narrow" w:hAnsi="Arial Narrow" w:cs="Times New Roman"/>
              </w:rPr>
              <w:t>103 227 830,98</w:t>
            </w:r>
          </w:p>
        </w:tc>
        <w:tc>
          <w:tcPr>
            <w:tcW w:w="136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324044" w:rsidP="00891064">
            <w:pPr>
              <w:spacing w:line="240" w:lineRule="auto"/>
              <w:jc w:val="right"/>
              <w:rPr>
                <w:rFonts w:ascii="Arial Narrow" w:hAnsi="Arial Narrow" w:cs="Times New Roman"/>
              </w:rPr>
            </w:pPr>
            <w:r>
              <w:rPr>
                <w:rFonts w:ascii="Arial Narrow" w:hAnsi="Arial Narrow" w:cs="Times New Roman"/>
              </w:rPr>
              <w:t>169,12</w:t>
            </w:r>
          </w:p>
        </w:tc>
      </w:tr>
      <w:tr>
        <w:tblPrEx>
          <w:tblW w:w="9239" w:type="dxa"/>
          <w:tblInd w:w="108" w:type="dxa"/>
        </w:tblPrEx>
        <w:trPr>
          <w:trHeight w:hRule="auto" w:val="0"/>
        </w:trPr>
        <w:tc>
          <w:tcPr>
            <w:tcW w:w="360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324044" w:rsidRPr="00D04D46" w:rsidP="00C362EA">
            <w:pPr>
              <w:spacing w:line="240" w:lineRule="auto"/>
              <w:rPr>
                <w:rFonts w:ascii="Arial Narrow" w:hAnsi="Arial Narrow" w:cs="Times New Roman"/>
              </w:rPr>
            </w:pPr>
            <w:r>
              <w:rPr>
                <w:rFonts w:ascii="Arial Narrow" w:hAnsi="Arial Narrow" w:cs="Times New Roman"/>
              </w:rPr>
              <w:t>Bežné transfery (640)</w:t>
            </w:r>
          </w:p>
        </w:tc>
        <w:tc>
          <w:tcPr>
            <w:tcW w:w="144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324044" w:rsidRPr="00D04D46" w:rsidP="00891064">
            <w:pPr>
              <w:spacing w:line="240" w:lineRule="auto"/>
              <w:jc w:val="right"/>
              <w:rPr>
                <w:rFonts w:ascii="Arial Narrow" w:hAnsi="Arial Narrow" w:cs="Times New Roman"/>
              </w:rPr>
            </w:pPr>
            <w:r>
              <w:rPr>
                <w:rFonts w:ascii="Arial Narrow" w:hAnsi="Arial Narrow" w:cs="Times New Roman"/>
              </w:rPr>
              <w:t>9 100 000,00</w:t>
            </w:r>
          </w:p>
        </w:tc>
        <w:tc>
          <w:tcPr>
            <w:tcW w:w="1399"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324044" w:rsidRPr="00D04D46" w:rsidP="00891064">
            <w:pPr>
              <w:spacing w:line="240" w:lineRule="auto"/>
              <w:jc w:val="right"/>
              <w:rPr>
                <w:rFonts w:ascii="Arial Narrow" w:hAnsi="Arial Narrow" w:cs="Times New Roman"/>
              </w:rPr>
            </w:pPr>
            <w:r>
              <w:rPr>
                <w:rFonts w:ascii="Arial Narrow" w:hAnsi="Arial Narrow" w:cs="Times New Roman"/>
              </w:rPr>
              <w:t>8 823 000,00</w:t>
            </w:r>
          </w:p>
        </w:tc>
        <w:tc>
          <w:tcPr>
            <w:tcW w:w="144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324044" w:rsidRPr="00B23854" w:rsidP="00891064">
            <w:pPr>
              <w:spacing w:line="240" w:lineRule="auto"/>
              <w:jc w:val="right"/>
              <w:rPr>
                <w:rFonts w:ascii="Arial Narrow" w:hAnsi="Arial Narrow" w:cs="Times New Roman"/>
              </w:rPr>
            </w:pPr>
            <w:r>
              <w:rPr>
                <w:rFonts w:ascii="Arial Narrow" w:hAnsi="Arial Narrow" w:cs="Times New Roman"/>
              </w:rPr>
              <w:t>8 823 000,00</w:t>
            </w:r>
          </w:p>
        </w:tc>
        <w:tc>
          <w:tcPr>
            <w:tcW w:w="136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324044" w:rsidP="00891064">
            <w:pPr>
              <w:spacing w:line="240" w:lineRule="auto"/>
              <w:jc w:val="right"/>
              <w:rPr>
                <w:rFonts w:ascii="Arial Narrow" w:hAnsi="Arial Narrow" w:cs="Times New Roman"/>
              </w:rPr>
            </w:pPr>
            <w:r>
              <w:rPr>
                <w:rFonts w:ascii="Arial Narrow" w:hAnsi="Arial Narrow" w:cs="Times New Roman"/>
              </w:rPr>
              <w:t>0,00</w:t>
            </w:r>
          </w:p>
        </w:tc>
      </w:tr>
      <w:tr>
        <w:tblPrEx>
          <w:tblW w:w="9239" w:type="dxa"/>
          <w:tblInd w:w="108" w:type="dxa"/>
        </w:tblPrEx>
        <w:trPr>
          <w:trHeight w:hRule="auto" w:val="0"/>
        </w:trPr>
        <w:tc>
          <w:tcPr>
            <w:tcW w:w="360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324044" w:rsidP="00C362EA">
            <w:pPr>
              <w:spacing w:line="240" w:lineRule="auto"/>
              <w:rPr>
                <w:rFonts w:ascii="Arial Narrow" w:hAnsi="Arial Narrow" w:cs="Times New Roman"/>
              </w:rPr>
            </w:pPr>
            <w:r>
              <w:rPr>
                <w:rFonts w:ascii="Arial Narrow" w:hAnsi="Arial Narrow" w:cs="Times New Roman"/>
              </w:rPr>
              <w:t>Kapitálové výdavky (710)</w:t>
            </w:r>
          </w:p>
        </w:tc>
        <w:tc>
          <w:tcPr>
            <w:tcW w:w="144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324044" w:rsidRPr="00D04D46" w:rsidP="00891064">
            <w:pPr>
              <w:spacing w:line="240" w:lineRule="auto"/>
              <w:jc w:val="right"/>
              <w:rPr>
                <w:rFonts w:ascii="Arial Narrow" w:hAnsi="Arial Narrow" w:cs="Times New Roman"/>
              </w:rPr>
            </w:pPr>
            <w:r>
              <w:rPr>
                <w:rFonts w:ascii="Arial Narrow" w:hAnsi="Arial Narrow" w:cs="Times New Roman"/>
              </w:rPr>
              <w:t>25 000 000,00</w:t>
            </w:r>
          </w:p>
        </w:tc>
        <w:tc>
          <w:tcPr>
            <w:tcW w:w="1399"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324044" w:rsidRPr="00D04D46" w:rsidP="00891064">
            <w:pPr>
              <w:spacing w:line="240" w:lineRule="auto"/>
              <w:jc w:val="right"/>
              <w:rPr>
                <w:rFonts w:ascii="Arial Narrow" w:hAnsi="Arial Narrow" w:cs="Times New Roman"/>
              </w:rPr>
            </w:pPr>
            <w:r>
              <w:rPr>
                <w:rFonts w:ascii="Arial Narrow" w:hAnsi="Arial Narrow" w:cs="Times New Roman"/>
              </w:rPr>
              <w:t>20 723 133,74</w:t>
            </w:r>
          </w:p>
        </w:tc>
        <w:tc>
          <w:tcPr>
            <w:tcW w:w="144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324044" w:rsidRPr="00B23854" w:rsidP="00891064">
            <w:pPr>
              <w:spacing w:line="240" w:lineRule="auto"/>
              <w:jc w:val="right"/>
              <w:rPr>
                <w:rFonts w:ascii="Arial Narrow" w:hAnsi="Arial Narrow" w:cs="Times New Roman"/>
              </w:rPr>
            </w:pPr>
            <w:r>
              <w:rPr>
                <w:rFonts w:ascii="Arial Narrow" w:hAnsi="Arial Narrow" w:cs="Times New Roman"/>
              </w:rPr>
              <w:t>20 723 131,34</w:t>
            </w:r>
          </w:p>
        </w:tc>
        <w:tc>
          <w:tcPr>
            <w:tcW w:w="136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324044" w:rsidP="00891064">
            <w:pPr>
              <w:spacing w:line="240" w:lineRule="auto"/>
              <w:jc w:val="right"/>
              <w:rPr>
                <w:rFonts w:ascii="Arial Narrow" w:hAnsi="Arial Narrow" w:cs="Times New Roman"/>
              </w:rPr>
            </w:pPr>
            <w:r w:rsidR="0097289A">
              <w:rPr>
                <w:rFonts w:ascii="Arial Narrow" w:hAnsi="Arial Narrow" w:cs="Times New Roman"/>
              </w:rPr>
              <w:t>2,40</w:t>
            </w:r>
          </w:p>
        </w:tc>
      </w:tr>
      <w:tr>
        <w:tblPrEx>
          <w:tblW w:w="9239" w:type="dxa"/>
          <w:tblInd w:w="108" w:type="dxa"/>
        </w:tblPrEx>
        <w:trPr>
          <w:trHeight w:hRule="auto" w:val="0"/>
        </w:trPr>
        <w:tc>
          <w:tcPr>
            <w:tcW w:w="360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324044" w:rsidP="00C362EA">
            <w:pPr>
              <w:spacing w:line="240" w:lineRule="auto"/>
              <w:rPr>
                <w:rFonts w:ascii="Arial Narrow" w:hAnsi="Arial Narrow" w:cs="Times New Roman"/>
              </w:rPr>
            </w:pPr>
            <w:r>
              <w:rPr>
                <w:rFonts w:ascii="Arial Narrow" w:hAnsi="Arial Narrow" w:cs="Times New Roman"/>
              </w:rPr>
              <w:t xml:space="preserve">Povolené prekr. z titulu prijatých poist. plnení </w:t>
            </w:r>
          </w:p>
        </w:tc>
        <w:tc>
          <w:tcPr>
            <w:tcW w:w="144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324044" w:rsidP="00891064">
            <w:pPr>
              <w:spacing w:line="240" w:lineRule="auto"/>
              <w:jc w:val="right"/>
              <w:rPr>
                <w:rFonts w:ascii="Arial Narrow" w:hAnsi="Arial Narrow" w:cs="Times New Roman"/>
              </w:rPr>
            </w:pPr>
            <w:r>
              <w:rPr>
                <w:rFonts w:ascii="Arial Narrow" w:hAnsi="Arial Narrow" w:cs="Times New Roman"/>
              </w:rPr>
              <w:t>0,00</w:t>
            </w:r>
          </w:p>
        </w:tc>
        <w:tc>
          <w:tcPr>
            <w:tcW w:w="1399"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324044" w:rsidP="00891064">
            <w:pPr>
              <w:spacing w:line="240" w:lineRule="auto"/>
              <w:jc w:val="right"/>
              <w:rPr>
                <w:rFonts w:ascii="Arial Narrow" w:hAnsi="Arial Narrow" w:cs="Times New Roman"/>
              </w:rPr>
            </w:pPr>
            <w:r>
              <w:rPr>
                <w:rFonts w:ascii="Arial Narrow" w:hAnsi="Arial Narrow" w:cs="Times New Roman"/>
              </w:rPr>
              <w:t>0</w:t>
            </w:r>
          </w:p>
        </w:tc>
        <w:tc>
          <w:tcPr>
            <w:tcW w:w="144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324044" w:rsidRPr="00B23854" w:rsidP="00891064">
            <w:pPr>
              <w:spacing w:line="240" w:lineRule="auto"/>
              <w:jc w:val="right"/>
              <w:rPr>
                <w:rFonts w:ascii="Arial Narrow" w:hAnsi="Arial Narrow" w:cs="Times New Roman"/>
              </w:rPr>
            </w:pPr>
            <w:r w:rsidR="00A74897">
              <w:rPr>
                <w:rFonts w:ascii="Arial Narrow" w:hAnsi="Arial Narrow" w:cs="Times New Roman"/>
              </w:rPr>
              <w:t>804 561,4</w:t>
            </w:r>
            <w:r>
              <w:rPr>
                <w:rFonts w:ascii="Arial Narrow" w:hAnsi="Arial Narrow" w:cs="Times New Roman"/>
              </w:rPr>
              <w:t>0</w:t>
            </w:r>
          </w:p>
        </w:tc>
        <w:tc>
          <w:tcPr>
            <w:tcW w:w="136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324044" w:rsidP="00891064">
            <w:pPr>
              <w:spacing w:line="240" w:lineRule="auto"/>
              <w:jc w:val="right"/>
              <w:rPr>
                <w:rFonts w:ascii="Arial Narrow" w:hAnsi="Arial Narrow" w:cs="Times New Roman"/>
              </w:rPr>
            </w:pPr>
            <w:r>
              <w:rPr>
                <w:rFonts w:ascii="Arial Narrow" w:hAnsi="Arial Narrow" w:cs="Times New Roman"/>
              </w:rPr>
              <w:t>0,00</w:t>
            </w:r>
          </w:p>
        </w:tc>
      </w:tr>
      <w:tr>
        <w:tblPrEx>
          <w:tblW w:w="9239" w:type="dxa"/>
          <w:tblInd w:w="108" w:type="dxa"/>
        </w:tblPrEx>
        <w:trPr>
          <w:trHeight w:hRule="auto" w:val="0"/>
        </w:trPr>
        <w:tc>
          <w:tcPr>
            <w:tcW w:w="3600" w:type="dxa"/>
            <w:tcBorders>
              <w:top w:val="single" w:sz="4" w:space="0" w:color="auto"/>
              <w:left w:val="single" w:sz="4" w:space="0" w:color="auto"/>
              <w:bottom w:val="single" w:sz="4" w:space="0" w:color="auto"/>
              <w:right w:val="single" w:sz="4" w:space="0" w:color="auto"/>
              <w:tl2br w:val="nil"/>
              <w:tr2bl w:val="nil"/>
            </w:tcBorders>
            <w:shd w:val="clear" w:color="auto" w:fill="C0C0C0"/>
            <w:textDirection w:val="lrTb"/>
            <w:vAlign w:val="center"/>
          </w:tcPr>
          <w:p w:rsidR="00324044" w:rsidRPr="00FC7E23" w:rsidP="00C362EA">
            <w:pPr>
              <w:spacing w:line="240" w:lineRule="auto"/>
              <w:rPr>
                <w:rFonts w:ascii="Arial Narrow" w:hAnsi="Arial Narrow" w:cs="Times New Roman"/>
                <w:b/>
              </w:rPr>
            </w:pPr>
            <w:r w:rsidRPr="00FC7E23">
              <w:rPr>
                <w:rFonts w:ascii="Arial Narrow" w:hAnsi="Arial Narrow" w:cs="Times New Roman"/>
                <w:b/>
              </w:rPr>
              <w:t>SPOLU</w:t>
            </w:r>
          </w:p>
        </w:tc>
        <w:tc>
          <w:tcPr>
            <w:tcW w:w="1440" w:type="dxa"/>
            <w:tcBorders>
              <w:top w:val="single" w:sz="4" w:space="0" w:color="auto"/>
              <w:left w:val="single" w:sz="4" w:space="0" w:color="auto"/>
              <w:bottom w:val="single" w:sz="4" w:space="0" w:color="auto"/>
              <w:right w:val="single" w:sz="4" w:space="0" w:color="auto"/>
              <w:tl2br w:val="nil"/>
              <w:tr2bl w:val="nil"/>
            </w:tcBorders>
            <w:shd w:val="clear" w:color="auto" w:fill="C0C0C0"/>
            <w:textDirection w:val="lrTb"/>
            <w:vAlign w:val="center"/>
          </w:tcPr>
          <w:p w:rsidR="00324044" w:rsidRPr="00FC7E23" w:rsidP="00891064">
            <w:pPr>
              <w:spacing w:line="240" w:lineRule="auto"/>
              <w:jc w:val="right"/>
              <w:rPr>
                <w:rFonts w:ascii="Arial Narrow" w:hAnsi="Arial Narrow" w:cs="Times New Roman"/>
                <w:b/>
              </w:rPr>
            </w:pPr>
            <w:r>
              <w:rPr>
                <w:rFonts w:ascii="Arial Narrow" w:hAnsi="Arial Narrow" w:cs="Times New Roman"/>
                <w:b/>
              </w:rPr>
              <w:t>625 684 000,00</w:t>
            </w:r>
          </w:p>
        </w:tc>
        <w:tc>
          <w:tcPr>
            <w:tcW w:w="1399" w:type="dxa"/>
            <w:tcBorders>
              <w:top w:val="single" w:sz="4" w:space="0" w:color="auto"/>
              <w:left w:val="single" w:sz="4" w:space="0" w:color="auto"/>
              <w:bottom w:val="single" w:sz="4" w:space="0" w:color="auto"/>
              <w:right w:val="single" w:sz="4" w:space="0" w:color="auto"/>
              <w:tl2br w:val="nil"/>
              <w:tr2bl w:val="nil"/>
            </w:tcBorders>
            <w:shd w:val="clear" w:color="auto" w:fill="C0C0C0"/>
            <w:textDirection w:val="lrTb"/>
            <w:vAlign w:val="center"/>
          </w:tcPr>
          <w:p w:rsidR="00324044" w:rsidRPr="00FC7E23" w:rsidP="00891064">
            <w:pPr>
              <w:spacing w:line="240" w:lineRule="auto"/>
              <w:jc w:val="right"/>
              <w:rPr>
                <w:rFonts w:ascii="Arial Narrow" w:hAnsi="Arial Narrow" w:cs="Times New Roman"/>
                <w:b/>
              </w:rPr>
            </w:pPr>
            <w:r>
              <w:rPr>
                <w:rFonts w:ascii="Arial Narrow" w:hAnsi="Arial Narrow" w:cs="Times New Roman"/>
                <w:b/>
              </w:rPr>
              <w:t>641 747 133,74</w:t>
            </w:r>
          </w:p>
        </w:tc>
        <w:tc>
          <w:tcPr>
            <w:tcW w:w="1440" w:type="dxa"/>
            <w:tcBorders>
              <w:top w:val="single" w:sz="4" w:space="0" w:color="auto"/>
              <w:left w:val="single" w:sz="4" w:space="0" w:color="auto"/>
              <w:bottom w:val="single" w:sz="4" w:space="0" w:color="auto"/>
              <w:right w:val="single" w:sz="4" w:space="0" w:color="auto"/>
              <w:tl2br w:val="nil"/>
              <w:tr2bl w:val="nil"/>
            </w:tcBorders>
            <w:shd w:val="clear" w:color="auto" w:fill="C0C0C0"/>
            <w:textDirection w:val="lrTb"/>
            <w:vAlign w:val="center"/>
          </w:tcPr>
          <w:p w:rsidR="00324044" w:rsidRPr="00FC7E23" w:rsidP="00891064">
            <w:pPr>
              <w:spacing w:line="240" w:lineRule="auto"/>
              <w:jc w:val="right"/>
              <w:rPr>
                <w:rFonts w:ascii="Arial Narrow" w:hAnsi="Arial Narrow" w:cs="Times New Roman"/>
                <w:b/>
              </w:rPr>
            </w:pPr>
            <w:r>
              <w:rPr>
                <w:rFonts w:ascii="Arial Narrow" w:hAnsi="Arial Narrow" w:cs="Times New Roman"/>
                <w:b/>
              </w:rPr>
              <w:t>642 551 523,72</w:t>
            </w:r>
          </w:p>
        </w:tc>
        <w:tc>
          <w:tcPr>
            <w:tcW w:w="1360" w:type="dxa"/>
            <w:tcBorders>
              <w:top w:val="single" w:sz="4" w:space="0" w:color="auto"/>
              <w:left w:val="single" w:sz="4" w:space="0" w:color="auto"/>
              <w:bottom w:val="single" w:sz="4" w:space="0" w:color="auto"/>
              <w:right w:val="single" w:sz="4" w:space="0" w:color="auto"/>
              <w:tl2br w:val="nil"/>
              <w:tr2bl w:val="nil"/>
            </w:tcBorders>
            <w:shd w:val="clear" w:color="auto" w:fill="C0C0C0"/>
            <w:textDirection w:val="lrTb"/>
            <w:vAlign w:val="center"/>
          </w:tcPr>
          <w:p w:rsidR="00324044" w:rsidP="00891064">
            <w:pPr>
              <w:spacing w:line="240" w:lineRule="auto"/>
              <w:jc w:val="right"/>
              <w:rPr>
                <w:rFonts w:ascii="Arial Narrow" w:hAnsi="Arial Narrow" w:cs="Times New Roman"/>
                <w:b/>
              </w:rPr>
            </w:pPr>
            <w:r w:rsidR="0097289A">
              <w:rPr>
                <w:rFonts w:ascii="Arial Narrow" w:hAnsi="Arial Narrow" w:cs="Times New Roman"/>
                <w:b/>
              </w:rPr>
              <w:t>171,5</w:t>
            </w:r>
            <w:r>
              <w:rPr>
                <w:rFonts w:ascii="Arial Narrow" w:hAnsi="Arial Narrow" w:cs="Times New Roman"/>
                <w:b/>
              </w:rPr>
              <w:t>2</w:t>
            </w:r>
          </w:p>
        </w:tc>
      </w:tr>
    </w:tbl>
    <w:p w:rsidR="00D27E26" w:rsidP="004B593A">
      <w:pPr>
        <w:spacing w:line="240" w:lineRule="auto"/>
        <w:rPr>
          <w:rFonts w:ascii="Times New Roman" w:hAnsi="Times New Roman" w:cs="Times New Roman"/>
          <w:sz w:val="24"/>
          <w:szCs w:val="24"/>
        </w:rPr>
      </w:pPr>
    </w:p>
    <w:p w:rsidR="00532DAB" w:rsidP="00AA35C8">
      <w:pPr>
        <w:spacing w:line="240" w:lineRule="auto"/>
        <w:ind w:firstLine="708"/>
        <w:rPr>
          <w:rFonts w:ascii="Times New Roman" w:hAnsi="Times New Roman" w:cs="Times New Roman"/>
          <w:sz w:val="24"/>
          <w:szCs w:val="24"/>
        </w:rPr>
      </w:pPr>
      <w:r w:rsidR="003F4BEC">
        <w:rPr>
          <w:rFonts w:ascii="Times New Roman" w:hAnsi="Times New Roman" w:cs="Times New Roman"/>
          <w:sz w:val="24"/>
          <w:szCs w:val="24"/>
        </w:rPr>
        <w:t>Skutočné čerpani</w:t>
      </w:r>
      <w:r w:rsidR="003F4BEC">
        <w:rPr>
          <w:rFonts w:ascii="Times New Roman" w:hAnsi="Times New Roman" w:cs="Times New Roman"/>
          <w:sz w:val="24"/>
          <w:szCs w:val="24"/>
        </w:rPr>
        <w:t xml:space="preserve">e </w:t>
      </w:r>
      <w:r w:rsidRPr="002D7CCD" w:rsidR="00833D2E">
        <w:rPr>
          <w:rFonts w:ascii="Times New Roman" w:hAnsi="Times New Roman" w:cs="Times New Roman"/>
          <w:sz w:val="24"/>
          <w:szCs w:val="24"/>
        </w:rPr>
        <w:t>výdavkov dosiahlo k </w:t>
      </w:r>
      <w:r w:rsidR="00A74897">
        <w:rPr>
          <w:rFonts w:ascii="Times New Roman" w:hAnsi="Times New Roman" w:cs="Times New Roman"/>
          <w:sz w:val="24"/>
          <w:szCs w:val="24"/>
        </w:rPr>
        <w:t>31.12.2007</w:t>
      </w:r>
      <w:r w:rsidRPr="002C7E22" w:rsidR="00833D2E">
        <w:rPr>
          <w:rFonts w:ascii="Times New Roman" w:hAnsi="Times New Roman" w:cs="Times New Roman"/>
          <w:sz w:val="24"/>
          <w:szCs w:val="24"/>
        </w:rPr>
        <w:t xml:space="preserve"> sumu </w:t>
      </w:r>
      <w:r w:rsidR="00324044">
        <w:rPr>
          <w:rFonts w:ascii="Times New Roman" w:hAnsi="Times New Roman" w:cs="Times New Roman"/>
          <w:sz w:val="24"/>
          <w:szCs w:val="24"/>
        </w:rPr>
        <w:t xml:space="preserve">641 746 962,32 </w:t>
      </w:r>
      <w:r w:rsidRPr="002C7E22" w:rsidR="00833D2E">
        <w:rPr>
          <w:rFonts w:ascii="Times New Roman" w:hAnsi="Times New Roman" w:cs="Times New Roman"/>
          <w:sz w:val="24"/>
          <w:szCs w:val="24"/>
        </w:rPr>
        <w:t>Sk. Okrem uvedených výdavkov povolilo MDPT SR v priebehu roka prekročeni</w:t>
      </w:r>
      <w:r w:rsidRPr="002C7E22" w:rsidR="00A1091D">
        <w:rPr>
          <w:rFonts w:ascii="Times New Roman" w:hAnsi="Times New Roman" w:cs="Times New Roman"/>
          <w:sz w:val="24"/>
          <w:szCs w:val="24"/>
        </w:rPr>
        <w:t xml:space="preserve">e čerpania bežných výdavkov ŽP </w:t>
      </w:r>
      <w:r w:rsidRPr="002C7E22" w:rsidR="00833D2E">
        <w:rPr>
          <w:rFonts w:ascii="Times New Roman" w:hAnsi="Times New Roman" w:cs="Times New Roman"/>
          <w:sz w:val="24"/>
          <w:szCs w:val="24"/>
        </w:rPr>
        <w:t>o</w:t>
      </w:r>
      <w:r w:rsidR="00324044">
        <w:rPr>
          <w:rFonts w:ascii="Times New Roman" w:hAnsi="Times New Roman" w:cs="Times New Roman"/>
          <w:sz w:val="24"/>
          <w:szCs w:val="24"/>
        </w:rPr>
        <w:t xml:space="preserve"> 804 561,50, </w:t>
      </w:r>
      <w:r w:rsidRPr="002C7E22" w:rsidR="00833D2E">
        <w:rPr>
          <w:rFonts w:ascii="Times New Roman" w:hAnsi="Times New Roman" w:cs="Times New Roman"/>
          <w:sz w:val="24"/>
          <w:szCs w:val="24"/>
        </w:rPr>
        <w:t>Sk z titulu prijatých poistných plnení. Celkov</w:t>
      </w:r>
      <w:r w:rsidRPr="002C7E22" w:rsidR="00A1091D">
        <w:rPr>
          <w:rFonts w:ascii="Times New Roman" w:hAnsi="Times New Roman" w:cs="Times New Roman"/>
          <w:sz w:val="24"/>
          <w:szCs w:val="24"/>
        </w:rPr>
        <w:t>é čerpanie bežných</w:t>
      </w:r>
      <w:r w:rsidR="003F4BEC">
        <w:rPr>
          <w:rFonts w:ascii="Times New Roman" w:hAnsi="Times New Roman" w:cs="Times New Roman"/>
          <w:sz w:val="24"/>
          <w:szCs w:val="24"/>
        </w:rPr>
        <w:t xml:space="preserve"> a kapitálových </w:t>
      </w:r>
      <w:r w:rsidRPr="002C7E22" w:rsidR="00A1091D">
        <w:rPr>
          <w:rFonts w:ascii="Times New Roman" w:hAnsi="Times New Roman" w:cs="Times New Roman"/>
          <w:sz w:val="24"/>
          <w:szCs w:val="24"/>
        </w:rPr>
        <w:t xml:space="preserve">výdavkov ŽP </w:t>
      </w:r>
      <w:r w:rsidRPr="002C7E22" w:rsidR="00833D2E">
        <w:rPr>
          <w:rFonts w:ascii="Times New Roman" w:hAnsi="Times New Roman" w:cs="Times New Roman"/>
          <w:sz w:val="24"/>
          <w:szCs w:val="24"/>
        </w:rPr>
        <w:t xml:space="preserve">takto dosiahlo </w:t>
      </w:r>
      <w:r w:rsidR="00324044">
        <w:rPr>
          <w:rFonts w:ascii="Times New Roman" w:hAnsi="Times New Roman" w:cs="Times New Roman"/>
          <w:sz w:val="24"/>
          <w:szCs w:val="24"/>
        </w:rPr>
        <w:t xml:space="preserve">642 551 523,72 </w:t>
      </w:r>
      <w:r w:rsidRPr="002C7E22" w:rsidR="00833D2E">
        <w:rPr>
          <w:rFonts w:ascii="Times New Roman" w:hAnsi="Times New Roman" w:cs="Times New Roman"/>
          <w:sz w:val="24"/>
          <w:szCs w:val="24"/>
        </w:rPr>
        <w:t>Sk.</w:t>
      </w:r>
    </w:p>
    <w:p w:rsidR="00532DAB" w:rsidP="00532DAB">
      <w:pPr>
        <w:spacing w:line="240" w:lineRule="auto"/>
        <w:ind w:firstLine="708"/>
        <w:rPr>
          <w:rFonts w:ascii="Times New Roman" w:hAnsi="Times New Roman" w:cs="Times New Roman"/>
          <w:sz w:val="24"/>
          <w:szCs w:val="24"/>
        </w:rPr>
      </w:pPr>
    </w:p>
    <w:p w:rsidR="00AA35C8" w:rsidRPr="00AA35C8" w:rsidP="00AA35C8">
      <w:pPr>
        <w:pStyle w:val="Title"/>
        <w:spacing w:line="240" w:lineRule="auto"/>
        <w:ind w:left="180"/>
        <w:jc w:val="both"/>
        <w:rPr>
          <w:rFonts w:ascii="Times New Roman" w:hAnsi="Times New Roman" w:cs="Times New Roman"/>
          <w:b/>
          <w:u w:val="single"/>
        </w:rPr>
      </w:pPr>
      <w:r w:rsidR="00F4283B">
        <w:rPr>
          <w:rFonts w:ascii="Times New Roman" w:hAnsi="Times New Roman" w:cs="Times New Roman"/>
          <w:b/>
          <w:u w:val="single"/>
        </w:rPr>
        <w:t>2</w:t>
      </w:r>
      <w:r>
        <w:rPr>
          <w:rFonts w:ascii="Times New Roman" w:hAnsi="Times New Roman" w:cs="Times New Roman"/>
          <w:b/>
          <w:u w:val="single"/>
        </w:rPr>
        <w:t>.1</w:t>
      </w:r>
      <w:r w:rsidR="00F4283B">
        <w:rPr>
          <w:rFonts w:ascii="Times New Roman" w:hAnsi="Times New Roman" w:cs="Times New Roman"/>
          <w:b/>
          <w:u w:val="single"/>
        </w:rPr>
        <w:t>.</w:t>
      </w:r>
      <w:r>
        <w:rPr>
          <w:rFonts w:ascii="Times New Roman" w:hAnsi="Times New Roman" w:cs="Times New Roman"/>
          <w:b/>
          <w:u w:val="single"/>
        </w:rPr>
        <w:t xml:space="preserve"> Výdavky kategórie 610 – Mzdy, platy. služobné príjmy a OOV</w:t>
      </w:r>
    </w:p>
    <w:p w:rsidR="00AA35C8" w:rsidRPr="00B145EF" w:rsidP="00B145EF">
      <w:pPr>
        <w:pStyle w:val="Title"/>
        <w:spacing w:line="240" w:lineRule="auto"/>
        <w:jc w:val="both"/>
        <w:rPr>
          <w:rFonts w:ascii="Times New Roman" w:hAnsi="Times New Roman" w:cs="Times New Roman"/>
          <w:b/>
        </w:rPr>
      </w:pPr>
      <w:r>
        <w:rPr>
          <w:rFonts w:ascii="Times New Roman" w:hAnsi="Times New Roman" w:cs="Times New Roman"/>
          <w:b/>
        </w:rPr>
        <w:tab/>
      </w:r>
    </w:p>
    <w:p w:rsidR="00AA35C8" w:rsidRPr="00AA35C8" w:rsidP="00AA35C8">
      <w:pPr>
        <w:autoSpaceDE/>
        <w:autoSpaceDN/>
        <w:spacing w:line="240" w:lineRule="auto"/>
        <w:ind w:firstLine="540"/>
        <w:rPr>
          <w:rFonts w:ascii="Times New Roman" w:hAnsi="Times New Roman" w:cs="Times New Roman"/>
          <w:sz w:val="24"/>
          <w:szCs w:val="24"/>
        </w:rPr>
      </w:pPr>
      <w:r w:rsidR="00B145EF">
        <w:rPr>
          <w:rFonts w:ascii="Times New Roman" w:hAnsi="Times New Roman" w:cs="Times New Roman"/>
          <w:sz w:val="24"/>
          <w:szCs w:val="24"/>
        </w:rPr>
        <w:t xml:space="preserve">Výplaty za mesiace </w:t>
      </w:r>
      <w:r w:rsidRPr="00AA35C8">
        <w:rPr>
          <w:rFonts w:ascii="Times New Roman" w:hAnsi="Times New Roman" w:cs="Times New Roman"/>
          <w:sz w:val="24"/>
          <w:szCs w:val="24"/>
        </w:rPr>
        <w:t xml:space="preserve">1/2007 až 12/2007 dosiahli k 31.12.2007 celkové čerpanie </w:t>
      </w:r>
      <w:r w:rsidR="00B145EF">
        <w:rPr>
          <w:rFonts w:ascii="Times New Roman" w:hAnsi="Times New Roman" w:cs="Times New Roman"/>
          <w:sz w:val="24"/>
          <w:szCs w:val="24"/>
        </w:rPr>
        <w:t xml:space="preserve"> 385 833 000,- Sk</w:t>
      </w:r>
      <w:r w:rsidRPr="00AA35C8">
        <w:rPr>
          <w:rFonts w:ascii="Times New Roman" w:hAnsi="Times New Roman" w:cs="Times New Roman"/>
          <w:sz w:val="24"/>
          <w:szCs w:val="24"/>
        </w:rPr>
        <w:t xml:space="preserve">, z toho: </w:t>
      </w:r>
    </w:p>
    <w:p w:rsidR="00B145EF" w:rsidP="00B145EF">
      <w:pPr>
        <w:autoSpaceDE/>
        <w:autoSpaceDN/>
        <w:spacing w:line="240" w:lineRule="auto"/>
        <w:textAlignment w:val="auto"/>
        <w:rPr>
          <w:rFonts w:ascii="Times New Roman" w:hAnsi="Times New Roman" w:cs="Times New Roman"/>
          <w:sz w:val="24"/>
          <w:szCs w:val="24"/>
          <w:u w:val="single"/>
        </w:rPr>
      </w:pPr>
    </w:p>
    <w:p w:rsidR="00AA35C8" w:rsidRPr="00AA35C8" w:rsidP="00B145EF">
      <w:pPr>
        <w:autoSpaceDE/>
        <w:autoSpaceDN/>
        <w:spacing w:line="240" w:lineRule="auto"/>
        <w:textAlignment w:val="auto"/>
        <w:rPr>
          <w:rFonts w:ascii="Times New Roman" w:hAnsi="Times New Roman" w:cs="Times New Roman"/>
          <w:sz w:val="24"/>
          <w:szCs w:val="24"/>
        </w:rPr>
      </w:pPr>
      <w:r w:rsidR="00B145EF">
        <w:rPr>
          <w:rFonts w:ascii="Times New Roman" w:hAnsi="Times New Roman" w:cs="Times New Roman"/>
          <w:sz w:val="24"/>
          <w:szCs w:val="24"/>
          <w:u w:val="single"/>
        </w:rPr>
        <w:t>P</w:t>
      </w:r>
      <w:r w:rsidRPr="00AA35C8">
        <w:rPr>
          <w:rFonts w:ascii="Times New Roman" w:hAnsi="Times New Roman" w:cs="Times New Roman"/>
          <w:sz w:val="24"/>
          <w:szCs w:val="24"/>
          <w:u w:val="single"/>
        </w:rPr>
        <w:t>laty policajtov</w:t>
      </w:r>
      <w:r w:rsidRPr="00B145EF" w:rsidR="00B145EF">
        <w:rPr>
          <w:rFonts w:ascii="Times New Roman" w:hAnsi="Times New Roman" w:cs="Times New Roman"/>
          <w:sz w:val="24"/>
          <w:szCs w:val="24"/>
        </w:rPr>
        <w:t xml:space="preserve"> </w:t>
      </w:r>
      <w:r w:rsidRPr="00AA35C8">
        <w:rPr>
          <w:rFonts w:ascii="Times New Roman" w:hAnsi="Times New Roman" w:cs="Times New Roman"/>
          <w:sz w:val="24"/>
          <w:szCs w:val="24"/>
        </w:rPr>
        <w:t>tvorili 95,71 % z celkového čerpania a boli vo výške 369 273 000,- Sk. V rámci služobného príjmu boli vyplatené okrem priznaných náležitostí:</w:t>
      </w:r>
    </w:p>
    <w:p w:rsidR="00AA35C8" w:rsidRPr="00AA35C8" w:rsidP="00AA35C8">
      <w:pPr>
        <w:numPr>
          <w:ilvl w:val="0"/>
          <w:numId w:val="4"/>
        </w:numPr>
        <w:tabs>
          <w:tab w:val="left" w:pos="360"/>
        </w:tabs>
        <w:autoSpaceDE/>
        <w:autoSpaceDN/>
        <w:spacing w:line="240" w:lineRule="auto"/>
        <w:textAlignment w:val="auto"/>
        <w:rPr>
          <w:rFonts w:ascii="Times New Roman" w:hAnsi="Times New Roman" w:cs="Times New Roman"/>
          <w:sz w:val="24"/>
          <w:szCs w:val="24"/>
        </w:rPr>
      </w:pPr>
      <w:r w:rsidR="00B145EF">
        <w:rPr>
          <w:rFonts w:ascii="Times New Roman" w:hAnsi="Times New Roman" w:cs="Times New Roman"/>
          <w:sz w:val="24"/>
          <w:szCs w:val="24"/>
        </w:rPr>
        <w:t xml:space="preserve">Rozpočtová položka (RP) 612 – </w:t>
      </w:r>
      <w:r w:rsidRPr="00AA35C8">
        <w:rPr>
          <w:rFonts w:ascii="Times New Roman" w:hAnsi="Times New Roman" w:cs="Times New Roman"/>
          <w:sz w:val="24"/>
          <w:szCs w:val="24"/>
        </w:rPr>
        <w:t>pohyblivé príplatky (za noc, So-Ne, sviatok a nadčas) v celkovej výške 33 380 320,- Sk,  ktoré tvorili 9,04 % z celkového čerpania;</w:t>
      </w:r>
    </w:p>
    <w:p w:rsidR="00AA35C8" w:rsidRPr="00AA35C8" w:rsidP="00AA35C8">
      <w:pPr>
        <w:numPr>
          <w:ilvl w:val="0"/>
          <w:numId w:val="4"/>
        </w:numPr>
        <w:tabs>
          <w:tab w:val="left" w:pos="360"/>
        </w:tabs>
        <w:autoSpaceDE/>
        <w:autoSpaceDN/>
        <w:spacing w:line="240" w:lineRule="auto"/>
        <w:textAlignment w:val="auto"/>
        <w:rPr>
          <w:rFonts w:ascii="Times New Roman" w:hAnsi="Times New Roman" w:cs="Times New Roman"/>
          <w:sz w:val="24"/>
          <w:szCs w:val="24"/>
        </w:rPr>
      </w:pPr>
      <w:r w:rsidRPr="00AA35C8">
        <w:rPr>
          <w:rFonts w:ascii="Times New Roman" w:hAnsi="Times New Roman" w:cs="Times New Roman"/>
          <w:sz w:val="24"/>
          <w:szCs w:val="24"/>
        </w:rPr>
        <w:t>RP 614 – odmeny v celkovej výške 14 762 100,- Sk, ktoré sa podieľali na ce</w:t>
      </w:r>
      <w:r w:rsidR="00B145EF">
        <w:rPr>
          <w:rFonts w:ascii="Times New Roman" w:hAnsi="Times New Roman" w:cs="Times New Roman"/>
          <w:sz w:val="24"/>
          <w:szCs w:val="24"/>
        </w:rPr>
        <w:t>lkovom čerpaní 4 %</w:t>
      </w:r>
      <w:r w:rsidRPr="00AA35C8">
        <w:rPr>
          <w:rFonts w:ascii="Times New Roman" w:hAnsi="Times New Roman" w:cs="Times New Roman"/>
          <w:sz w:val="24"/>
          <w:szCs w:val="24"/>
        </w:rPr>
        <w:t xml:space="preserve">; </w:t>
      </w:r>
    </w:p>
    <w:p w:rsidR="00AA35C8" w:rsidRPr="00AA35C8" w:rsidP="00AA35C8">
      <w:pPr>
        <w:numPr>
          <w:ilvl w:val="0"/>
          <w:numId w:val="4"/>
        </w:numPr>
        <w:tabs>
          <w:tab w:val="left" w:pos="360"/>
        </w:tabs>
        <w:autoSpaceDE/>
        <w:autoSpaceDN/>
        <w:spacing w:line="240" w:lineRule="auto"/>
        <w:textAlignment w:val="auto"/>
        <w:rPr>
          <w:rFonts w:ascii="Times New Roman" w:hAnsi="Times New Roman" w:cs="Times New Roman"/>
          <w:sz w:val="24"/>
          <w:szCs w:val="24"/>
        </w:rPr>
      </w:pPr>
      <w:r w:rsidR="00B145EF">
        <w:rPr>
          <w:rFonts w:ascii="Times New Roman" w:hAnsi="Times New Roman" w:cs="Times New Roman"/>
          <w:sz w:val="24"/>
          <w:szCs w:val="24"/>
        </w:rPr>
        <w:t xml:space="preserve">RP 613 – </w:t>
      </w:r>
      <w:r w:rsidRPr="00AA35C8">
        <w:rPr>
          <w:rFonts w:ascii="Times New Roman" w:hAnsi="Times New Roman" w:cs="Times New Roman"/>
          <w:sz w:val="24"/>
          <w:szCs w:val="24"/>
        </w:rPr>
        <w:t>náhrada za služobnú pohotovosť vo výške 9 510,- Sk;</w:t>
      </w:r>
    </w:p>
    <w:p w:rsidR="00AA35C8" w:rsidRPr="00AA35C8" w:rsidP="00AA35C8">
      <w:pPr>
        <w:numPr>
          <w:ilvl w:val="0"/>
          <w:numId w:val="4"/>
        </w:numPr>
        <w:tabs>
          <w:tab w:val="left" w:pos="360"/>
        </w:tabs>
        <w:autoSpaceDE/>
        <w:autoSpaceDN/>
        <w:spacing w:line="240" w:lineRule="auto"/>
        <w:textAlignment w:val="auto"/>
        <w:rPr>
          <w:rFonts w:ascii="Times New Roman" w:hAnsi="Times New Roman" w:cs="Times New Roman"/>
          <w:sz w:val="24"/>
          <w:szCs w:val="24"/>
        </w:rPr>
      </w:pPr>
      <w:r w:rsidR="00B145EF">
        <w:rPr>
          <w:rFonts w:ascii="Times New Roman" w:hAnsi="Times New Roman" w:cs="Times New Roman"/>
          <w:sz w:val="24"/>
          <w:szCs w:val="24"/>
        </w:rPr>
        <w:t xml:space="preserve">RP 616 – </w:t>
      </w:r>
      <w:r w:rsidRPr="00AA35C8">
        <w:rPr>
          <w:rFonts w:ascii="Times New Roman" w:hAnsi="Times New Roman" w:cs="Times New Roman"/>
          <w:sz w:val="24"/>
          <w:szCs w:val="24"/>
        </w:rPr>
        <w:t>ďalší služobný plat vo výške 50 009 507,- Sk, ktorý sa podieľal na celkovom čerpaní 13,54 %;</w:t>
      </w:r>
    </w:p>
    <w:p w:rsidR="00AA35C8" w:rsidRPr="00AA35C8" w:rsidP="00AA35C8">
      <w:pPr>
        <w:numPr>
          <w:ilvl w:val="0"/>
          <w:numId w:val="4"/>
        </w:numPr>
        <w:tabs>
          <w:tab w:val="left" w:pos="360"/>
        </w:tabs>
        <w:autoSpaceDE/>
        <w:autoSpaceDN/>
        <w:spacing w:line="240" w:lineRule="auto"/>
        <w:textAlignment w:val="auto"/>
        <w:rPr>
          <w:rFonts w:ascii="Times New Roman" w:hAnsi="Times New Roman" w:cs="Times New Roman"/>
          <w:sz w:val="24"/>
          <w:szCs w:val="24"/>
        </w:rPr>
      </w:pPr>
      <w:r w:rsidR="00B145EF">
        <w:rPr>
          <w:rFonts w:ascii="Times New Roman" w:hAnsi="Times New Roman" w:cs="Times New Roman"/>
          <w:sz w:val="24"/>
          <w:szCs w:val="24"/>
        </w:rPr>
        <w:t xml:space="preserve">RP 611 – </w:t>
      </w:r>
      <w:r w:rsidRPr="00AA35C8">
        <w:rPr>
          <w:rFonts w:ascii="Times New Roman" w:hAnsi="Times New Roman" w:cs="Times New Roman"/>
          <w:sz w:val="24"/>
          <w:szCs w:val="24"/>
        </w:rPr>
        <w:t>náhrada za nevyčerpanú dovolenku vo výške 141 777,- Sk.</w:t>
      </w:r>
    </w:p>
    <w:p w:rsidR="00C34272" w:rsidP="00AA35C8">
      <w:pPr>
        <w:pStyle w:val="Title"/>
        <w:spacing w:line="240" w:lineRule="auto"/>
        <w:jc w:val="both"/>
        <w:rPr>
          <w:rFonts w:ascii="Times New Roman" w:hAnsi="Times New Roman" w:cs="Times New Roman"/>
          <w:szCs w:val="24"/>
        </w:rPr>
      </w:pPr>
    </w:p>
    <w:p w:rsidR="00B145EF" w:rsidP="00C34272">
      <w:pPr>
        <w:pStyle w:val="Title"/>
        <w:spacing w:line="240" w:lineRule="auto"/>
        <w:ind w:firstLine="709"/>
        <w:jc w:val="both"/>
        <w:rPr>
          <w:rFonts w:ascii="Times New Roman" w:hAnsi="Times New Roman" w:cs="Times New Roman"/>
          <w:szCs w:val="24"/>
        </w:rPr>
      </w:pPr>
      <w:r w:rsidRPr="00AA35C8" w:rsidR="00AA35C8">
        <w:rPr>
          <w:rFonts w:ascii="Times New Roman" w:hAnsi="Times New Roman" w:cs="Times New Roman"/>
          <w:szCs w:val="24"/>
        </w:rPr>
        <w:t>V rámci KTG 610 bol vyplatený služobný príjem za prvých 10 dní PN  vo výške 4 309 465,- Sk, čo predstavovalo 1,17 %. Chorobnosť za 1/2007 až 12/2007 dosiahla 3,28 %, t. j. 12 864 kalendárnych dní.  Priemerný evidenčný počet zamestnancov bol plnený na 95</w:t>
      </w:r>
      <w:r>
        <w:rPr>
          <w:rFonts w:ascii="Times New Roman" w:hAnsi="Times New Roman" w:cs="Times New Roman"/>
          <w:szCs w:val="24"/>
        </w:rPr>
        <w:t>,37 % a dosiahol 1 072,89 osoby.</w:t>
      </w:r>
    </w:p>
    <w:p w:rsidR="00AA35C8" w:rsidP="00AA35C8">
      <w:pPr>
        <w:pStyle w:val="Title"/>
        <w:spacing w:line="240" w:lineRule="auto"/>
        <w:jc w:val="both"/>
        <w:rPr>
          <w:rFonts w:ascii="Times New Roman" w:hAnsi="Times New Roman" w:cs="Times New Roman"/>
        </w:rPr>
      </w:pPr>
    </w:p>
    <w:p w:rsidR="00AA35C8" w:rsidRPr="00B145EF" w:rsidP="00AA35C8">
      <w:pPr>
        <w:pStyle w:val="Title"/>
        <w:spacing w:line="240" w:lineRule="auto"/>
        <w:jc w:val="both"/>
        <w:rPr>
          <w:rFonts w:ascii="Times New Roman" w:hAnsi="Times New Roman" w:cs="Times New Roman"/>
          <w:bCs/>
          <w:u w:val="single"/>
        </w:rPr>
      </w:pPr>
      <w:r w:rsidR="00B145EF">
        <w:rPr>
          <w:rFonts w:ascii="Times New Roman" w:hAnsi="Times New Roman" w:cs="Times New Roman"/>
          <w:u w:val="single"/>
        </w:rPr>
        <w:t>P</w:t>
      </w:r>
      <w:r w:rsidRPr="00716458">
        <w:rPr>
          <w:rFonts w:ascii="Times New Roman" w:hAnsi="Times New Roman" w:cs="Times New Roman"/>
          <w:u w:val="single"/>
        </w:rPr>
        <w:t>laty zamestnancov</w:t>
      </w:r>
      <w:r w:rsidRPr="00B145EF">
        <w:rPr>
          <w:rFonts w:ascii="Times New Roman" w:hAnsi="Times New Roman" w:cs="Times New Roman"/>
        </w:rPr>
        <w:t xml:space="preserve"> – okrem pravidelných mesačných náležitostí boli v celkovom čer</w:t>
      </w:r>
      <w:r w:rsidR="00B145EF">
        <w:rPr>
          <w:rFonts w:ascii="Times New Roman" w:hAnsi="Times New Roman" w:cs="Times New Roman"/>
        </w:rPr>
        <w:t>pa</w:t>
      </w:r>
      <w:r w:rsidR="00F4283B">
        <w:rPr>
          <w:rFonts w:ascii="Times New Roman" w:hAnsi="Times New Roman" w:cs="Times New Roman"/>
        </w:rPr>
        <w:t>ní 16 560 000</w:t>
      </w:r>
      <w:r w:rsidRPr="00B145EF">
        <w:rPr>
          <w:rFonts w:ascii="Times New Roman" w:hAnsi="Times New Roman" w:cs="Times New Roman"/>
        </w:rPr>
        <w:t>,</w:t>
      </w:r>
      <w:r w:rsidR="00F4283B">
        <w:rPr>
          <w:rFonts w:ascii="Times New Roman" w:hAnsi="Times New Roman" w:cs="Times New Roman"/>
        </w:rPr>
        <w:t xml:space="preserve">- Sk vyplatené v rámci RP 612 – </w:t>
      </w:r>
      <w:r w:rsidRPr="00B145EF">
        <w:rPr>
          <w:rFonts w:ascii="Times New Roman" w:hAnsi="Times New Roman" w:cs="Times New Roman"/>
        </w:rPr>
        <w:t>príplatky za noc, So-Ne, sviatok  a nadčas vo výške 211 599,- Sk. Preplatená bola nevyčerpaná riadna dovolenka vo výške 4 285,- Sk. Odmeny boli vyplatené vo výške 1 413 410,-</w:t>
      </w:r>
      <w:r w:rsidR="00F4283B">
        <w:rPr>
          <w:rFonts w:ascii="Times New Roman" w:hAnsi="Times New Roman" w:cs="Times New Roman"/>
        </w:rPr>
        <w:t xml:space="preserve"> Sk. </w:t>
      </w:r>
      <w:r w:rsidRPr="00B145EF">
        <w:rPr>
          <w:rFonts w:ascii="Times New Roman" w:hAnsi="Times New Roman" w:cs="Times New Roman"/>
        </w:rPr>
        <w:t>Chorobnosť za 1/2007 až 12/2007 bola vo výške 2,74 %, t. j. 841 kalendárnych dní. Priemerný evidenčný počet zamestnancov bol plnený na 98,18 % a dosiahol 83,46 osoby.</w:t>
      </w:r>
    </w:p>
    <w:p w:rsidR="00C34272" w:rsidRPr="00B145EF" w:rsidP="00AA35C8">
      <w:pPr>
        <w:pStyle w:val="Title"/>
        <w:spacing w:line="240" w:lineRule="auto"/>
        <w:ind w:left="180"/>
        <w:jc w:val="both"/>
        <w:rPr>
          <w:rFonts w:ascii="Times New Roman" w:hAnsi="Times New Roman" w:cs="Times New Roman"/>
          <w:color w:val="0000FF"/>
          <w:u w:val="single"/>
        </w:rPr>
      </w:pPr>
    </w:p>
    <w:p w:rsidR="00AA35C8" w:rsidRPr="00F4283B" w:rsidP="00C34272">
      <w:pPr>
        <w:pStyle w:val="Title"/>
        <w:spacing w:line="240" w:lineRule="auto"/>
        <w:jc w:val="both"/>
        <w:rPr>
          <w:rFonts w:ascii="Times New Roman" w:hAnsi="Times New Roman" w:cs="Times New Roman"/>
          <w:b/>
          <w:u w:val="single"/>
        </w:rPr>
      </w:pPr>
      <w:r w:rsidRPr="00F4283B" w:rsidR="00F4283B">
        <w:rPr>
          <w:rFonts w:ascii="Times New Roman" w:hAnsi="Times New Roman" w:cs="Times New Roman"/>
          <w:b/>
          <w:u w:val="single"/>
        </w:rPr>
        <w:t>2</w:t>
      </w:r>
      <w:r w:rsidRPr="00F4283B">
        <w:rPr>
          <w:rFonts w:ascii="Times New Roman" w:hAnsi="Times New Roman" w:cs="Times New Roman"/>
          <w:b/>
          <w:u w:val="single"/>
        </w:rPr>
        <w:t>.2</w:t>
      </w:r>
      <w:r w:rsidR="00F4283B">
        <w:rPr>
          <w:rFonts w:ascii="Times New Roman" w:hAnsi="Times New Roman" w:cs="Times New Roman"/>
          <w:b/>
          <w:u w:val="single"/>
        </w:rPr>
        <w:t>.</w:t>
      </w:r>
      <w:r w:rsidRPr="00F4283B">
        <w:rPr>
          <w:rFonts w:ascii="Times New Roman" w:hAnsi="Times New Roman" w:cs="Times New Roman"/>
          <w:b/>
          <w:u w:val="single"/>
        </w:rPr>
        <w:t xml:space="preserve"> </w:t>
      </w:r>
      <w:r w:rsidRPr="00F4283B" w:rsidR="00F4283B">
        <w:rPr>
          <w:rFonts w:ascii="Times New Roman" w:hAnsi="Times New Roman" w:cs="Times New Roman"/>
          <w:b/>
          <w:u w:val="single"/>
        </w:rPr>
        <w:t xml:space="preserve">Výdavky kategórie 620 – Poistné a príspevky do poisťovní </w:t>
      </w:r>
    </w:p>
    <w:p w:rsidR="00AA35C8" w:rsidP="00F4283B">
      <w:pPr>
        <w:autoSpaceDE/>
        <w:autoSpaceDN/>
        <w:spacing w:line="240" w:lineRule="auto"/>
        <w:rPr>
          <w:rFonts w:ascii="Times New Roman" w:hAnsi="Times New Roman" w:cs="Times New Roman"/>
        </w:rPr>
      </w:pPr>
    </w:p>
    <w:p w:rsidR="00AA35C8" w:rsidRPr="00F4283B" w:rsidP="00AA35C8">
      <w:pPr>
        <w:autoSpaceDE/>
        <w:autoSpaceDN/>
        <w:spacing w:line="240" w:lineRule="auto"/>
        <w:ind w:firstLine="709"/>
        <w:rPr>
          <w:rFonts w:ascii="Times New Roman" w:hAnsi="Times New Roman" w:cs="Times New Roman"/>
          <w:sz w:val="24"/>
          <w:szCs w:val="24"/>
        </w:rPr>
      </w:pPr>
      <w:r w:rsidR="00F4283B">
        <w:rPr>
          <w:rFonts w:ascii="Times New Roman" w:hAnsi="Times New Roman" w:cs="Times New Roman"/>
          <w:sz w:val="24"/>
          <w:szCs w:val="24"/>
        </w:rPr>
        <w:t xml:space="preserve">Výdavky v tejto kategórii boli </w:t>
      </w:r>
      <w:r w:rsidRPr="00F4283B">
        <w:rPr>
          <w:rFonts w:ascii="Times New Roman" w:hAnsi="Times New Roman" w:cs="Times New Roman"/>
          <w:sz w:val="24"/>
          <w:szCs w:val="24"/>
        </w:rPr>
        <w:t>k 31.12.2007 čerpané v celkovej výške 123 140 000,- Sk, z toho 95,49 % tvorili odvody zo služobných príjmov policajtov za mesiace 1/2007 až 12/2007 a 4,51 % odvody z platov zamestnancov. Odvody z výplat za 1/2007 až 12/2007 d</w:t>
      </w:r>
      <w:r w:rsidR="00F4283B">
        <w:rPr>
          <w:rFonts w:ascii="Times New Roman" w:hAnsi="Times New Roman" w:cs="Times New Roman"/>
          <w:sz w:val="24"/>
          <w:szCs w:val="24"/>
        </w:rPr>
        <w:t xml:space="preserve">osiahli 31,92 %-ný podiel z kategórie </w:t>
      </w:r>
      <w:r w:rsidRPr="00F4283B">
        <w:rPr>
          <w:rFonts w:ascii="Times New Roman" w:hAnsi="Times New Roman" w:cs="Times New Roman"/>
          <w:sz w:val="24"/>
          <w:szCs w:val="24"/>
        </w:rPr>
        <w:t xml:space="preserve">610 </w:t>
      </w:r>
      <w:r w:rsidR="00F4283B">
        <w:rPr>
          <w:rFonts w:ascii="Times New Roman" w:hAnsi="Times New Roman" w:cs="Times New Roman"/>
          <w:sz w:val="24"/>
          <w:szCs w:val="24"/>
        </w:rPr>
        <w:t>(u policajtov 31,84 %, u zamest</w:t>
      </w:r>
      <w:r w:rsidRPr="00F4283B">
        <w:rPr>
          <w:rFonts w:ascii="Times New Roman" w:hAnsi="Times New Roman" w:cs="Times New Roman"/>
          <w:sz w:val="24"/>
          <w:szCs w:val="24"/>
        </w:rPr>
        <w:t xml:space="preserve">nancov 33,57 %). Do vymeriavacieho </w:t>
      </w:r>
      <w:r w:rsidRPr="00F4283B">
        <w:rPr>
          <w:rFonts w:ascii="Times New Roman" w:hAnsi="Times New Roman" w:cs="Times New Roman"/>
          <w:sz w:val="24"/>
          <w:szCs w:val="24"/>
        </w:rPr>
        <w:t xml:space="preserve">základu na zdravotné poistenie za policajtov boli zahrnuté disciplinárne odmeny (RPP 642 035) v celkovej výške 8 405 400,- Sk. </w:t>
      </w:r>
    </w:p>
    <w:p w:rsidR="00C34272" w:rsidRPr="00B64029" w:rsidP="009A52FB">
      <w:pPr>
        <w:pStyle w:val="Title"/>
        <w:spacing w:line="240" w:lineRule="auto"/>
        <w:jc w:val="both"/>
        <w:rPr>
          <w:rFonts w:ascii="Times New Roman" w:hAnsi="Times New Roman" w:cs="Times New Roman"/>
          <w:b/>
          <w:bCs/>
        </w:rPr>
      </w:pPr>
    </w:p>
    <w:p w:rsidR="00C34272" w:rsidRPr="009A52FB" w:rsidP="009A52FB">
      <w:pPr>
        <w:pStyle w:val="Title"/>
        <w:spacing w:line="240" w:lineRule="auto"/>
        <w:jc w:val="left"/>
        <w:rPr>
          <w:rFonts w:ascii="Times New Roman" w:hAnsi="Times New Roman" w:cs="Times New Roman"/>
          <w:b/>
          <w:u w:val="single"/>
        </w:rPr>
      </w:pPr>
      <w:r w:rsidR="00466C99">
        <w:rPr>
          <w:rFonts w:ascii="Times New Roman" w:hAnsi="Times New Roman" w:cs="Times New Roman"/>
          <w:b/>
          <w:u w:val="single"/>
        </w:rPr>
        <w:t xml:space="preserve">2.3. Výdavky kategórie </w:t>
      </w:r>
      <w:r w:rsidRPr="00F444DF" w:rsidR="00AA35C8">
        <w:rPr>
          <w:rFonts w:ascii="Times New Roman" w:hAnsi="Times New Roman" w:cs="Times New Roman"/>
          <w:b/>
          <w:u w:val="single"/>
        </w:rPr>
        <w:t>630 – Tovary a služby</w:t>
      </w:r>
    </w:p>
    <w:p w:rsidR="009A52FB" w:rsidP="00AA35C8">
      <w:pPr>
        <w:pStyle w:val="Title"/>
        <w:spacing w:line="240" w:lineRule="auto"/>
        <w:jc w:val="both"/>
        <w:rPr>
          <w:rFonts w:ascii="Times New Roman" w:hAnsi="Times New Roman" w:cs="Times New Roman"/>
          <w:bCs/>
          <w:sz w:val="20"/>
        </w:rPr>
      </w:pPr>
      <w:r w:rsidR="00AA35C8">
        <w:rPr>
          <w:rFonts w:ascii="Times New Roman" w:hAnsi="Times New Roman" w:cs="Times New Roman"/>
          <w:b/>
        </w:rPr>
        <w:t xml:space="preserve">  </w:t>
      </w:r>
      <w:r w:rsidR="00AA35C8">
        <w:rPr>
          <w:rFonts w:ascii="Times New Roman" w:hAnsi="Times New Roman" w:cs="Times New Roman"/>
          <w:bCs/>
          <w:sz w:val="20"/>
        </w:rPr>
        <w:t xml:space="preserve">                                                                                </w:t>
      </w:r>
      <w:r w:rsidR="00AA35C8">
        <w:rPr>
          <w:rFonts w:ascii="Times New Roman" w:hAnsi="Times New Roman" w:cs="Times New Roman"/>
          <w:bCs/>
          <w:sz w:val="20"/>
        </w:rPr>
        <w:t xml:space="preserve">           </w:t>
      </w:r>
    </w:p>
    <w:p w:rsidR="00AA35C8" w:rsidP="009A52FB">
      <w:pPr>
        <w:pStyle w:val="Title"/>
        <w:spacing w:line="240" w:lineRule="auto"/>
        <w:ind w:right="-829"/>
        <w:jc w:val="both"/>
        <w:rPr>
          <w:rFonts w:ascii="Times New Roman" w:hAnsi="Times New Roman" w:cs="Times New Roman"/>
          <w:b/>
        </w:rPr>
      </w:pPr>
      <w:r>
        <w:rPr>
          <w:rFonts w:ascii="Times New Roman" w:hAnsi="Times New Roman" w:cs="Times New Roman"/>
          <w:bCs/>
          <w:sz w:val="20"/>
        </w:rPr>
        <w:t xml:space="preserve">                                                                      </w:t>
      </w:r>
      <w:r w:rsidR="009A52FB">
        <w:rPr>
          <w:rFonts w:ascii="Times New Roman" w:hAnsi="Times New Roman" w:cs="Times New Roman"/>
          <w:bCs/>
          <w:sz w:val="20"/>
        </w:rPr>
        <w:t xml:space="preserve">                                                                                                                      </w:t>
      </w:r>
      <w:r w:rsidR="00F444DF">
        <w:rPr>
          <w:rFonts w:ascii="Times New Roman" w:hAnsi="Times New Roman" w:cs="Times New Roman"/>
          <w:bCs/>
          <w:sz w:val="20"/>
        </w:rPr>
        <w:t>(v Sk)</w:t>
      </w:r>
    </w:p>
    <w:tbl>
      <w:tblPr>
        <w:tblW w:w="10260" w:type="dxa"/>
        <w:tblInd w:w="-290" w:type="dxa"/>
        <w:tblCellMar>
          <w:left w:w="70" w:type="dxa"/>
          <w:right w:w="70" w:type="dxa"/>
        </w:tblCellMar>
      </w:tblPr>
      <w:tblGrid>
        <w:gridCol w:w="1283"/>
        <w:gridCol w:w="1080"/>
        <w:gridCol w:w="1080"/>
        <w:gridCol w:w="1080"/>
        <w:gridCol w:w="1080"/>
        <w:gridCol w:w="1080"/>
        <w:gridCol w:w="1080"/>
        <w:gridCol w:w="1417"/>
        <w:gridCol w:w="1080"/>
      </w:tblGrid>
      <w:tr>
        <w:tblPrEx>
          <w:tblW w:w="10260" w:type="dxa"/>
          <w:tblInd w:w="-290" w:type="dxa"/>
          <w:tblCellMar>
            <w:left w:w="70" w:type="dxa"/>
            <w:right w:w="70" w:type="dxa"/>
          </w:tblCellMar>
        </w:tblPrEx>
        <w:trPr>
          <w:trHeight w:val="378"/>
        </w:trPr>
        <w:tc>
          <w:tcPr>
            <w:tcW w:w="1283" w:type="dxa"/>
            <w:tcBorders>
              <w:top w:val="double" w:sz="6" w:space="0" w:color="auto"/>
              <w:left w:val="double" w:sz="6" w:space="0" w:color="auto"/>
              <w:bottom w:val="double" w:sz="4" w:space="0" w:color="auto"/>
              <w:right w:val="double" w:sz="6" w:space="0" w:color="auto"/>
              <w:tl2br w:val="nil"/>
              <w:tr2bl w:val="nil"/>
            </w:tcBorders>
            <w:shd w:val="clear" w:color="auto" w:fill="C0C0C0"/>
            <w:noWrap/>
            <w:textDirection w:val="lrTb"/>
            <w:vAlign w:val="bottom"/>
          </w:tcPr>
          <w:p w:rsidR="00AA35C8" w:rsidP="00AA35C8">
            <w:pPr>
              <w:spacing w:line="240" w:lineRule="auto"/>
              <w:ind w:left="-47" w:right="-70"/>
              <w:jc w:val="center"/>
              <w:rPr>
                <w:rFonts w:ascii="Times New Roman" w:hAnsi="Times New Roman" w:cs="Times New Roman"/>
                <w:b/>
                <w:bCs/>
              </w:rPr>
            </w:pPr>
            <w:r w:rsidRPr="004E26F8">
              <w:rPr>
                <w:rFonts w:ascii="Times New Roman" w:hAnsi="Times New Roman" w:cs="Times New Roman"/>
                <w:b/>
                <w:bCs/>
              </w:rPr>
              <w:t>Limit</w:t>
            </w:r>
          </w:p>
          <w:p w:rsidR="00AA35C8" w:rsidRPr="004E26F8" w:rsidP="00AA35C8">
            <w:pPr>
              <w:spacing w:line="240" w:lineRule="auto"/>
              <w:ind w:left="-47" w:right="-70"/>
              <w:jc w:val="center"/>
              <w:rPr>
                <w:rFonts w:ascii="Times New Roman" w:hAnsi="Times New Roman" w:cs="Times New Roman"/>
                <w:b/>
                <w:bCs/>
              </w:rPr>
            </w:pPr>
          </w:p>
        </w:tc>
        <w:tc>
          <w:tcPr>
            <w:tcW w:w="1080" w:type="dxa"/>
            <w:tcBorders>
              <w:top w:val="double" w:sz="6" w:space="0" w:color="auto"/>
              <w:left w:val="nil"/>
              <w:bottom w:val="double" w:sz="4" w:space="0" w:color="auto"/>
              <w:right w:val="single" w:sz="8" w:space="0" w:color="auto"/>
              <w:tl2br w:val="nil"/>
              <w:tr2bl w:val="nil"/>
            </w:tcBorders>
            <w:shd w:val="clear" w:color="auto" w:fill="C0C0C0"/>
            <w:noWrap/>
            <w:textDirection w:val="lrTb"/>
            <w:vAlign w:val="center"/>
          </w:tcPr>
          <w:p w:rsidR="00AA35C8" w:rsidRPr="008C29DA" w:rsidP="00AA35C8">
            <w:pPr>
              <w:spacing w:line="240" w:lineRule="auto"/>
              <w:ind w:left="-70" w:right="-70"/>
              <w:jc w:val="center"/>
              <w:rPr>
                <w:rFonts w:ascii="Times New Roman" w:hAnsi="Times New Roman" w:cs="Times New Roman"/>
                <w:b/>
                <w:bCs/>
              </w:rPr>
            </w:pPr>
            <w:r w:rsidRPr="008C29DA">
              <w:rPr>
                <w:rFonts w:ascii="Times New Roman" w:hAnsi="Times New Roman" w:cs="Times New Roman"/>
                <w:b/>
                <w:bCs/>
              </w:rPr>
              <w:t>GR ŽP</w:t>
            </w:r>
          </w:p>
        </w:tc>
        <w:tc>
          <w:tcPr>
            <w:tcW w:w="1080" w:type="dxa"/>
            <w:tcBorders>
              <w:top w:val="double" w:sz="6" w:space="0" w:color="auto"/>
              <w:left w:val="nil"/>
              <w:bottom w:val="double" w:sz="4" w:space="0" w:color="auto"/>
              <w:right w:val="single" w:sz="8" w:space="0" w:color="auto"/>
              <w:tl2br w:val="nil"/>
              <w:tr2bl w:val="nil"/>
            </w:tcBorders>
            <w:shd w:val="clear" w:color="auto" w:fill="C0C0C0"/>
            <w:noWrap/>
            <w:textDirection w:val="lrTb"/>
            <w:vAlign w:val="center"/>
          </w:tcPr>
          <w:p w:rsidR="00AA35C8" w:rsidP="00AA35C8">
            <w:pPr>
              <w:spacing w:line="240" w:lineRule="auto"/>
              <w:ind w:left="-70" w:right="-70"/>
              <w:jc w:val="center"/>
              <w:rPr>
                <w:rFonts w:ascii="Times New Roman" w:hAnsi="Times New Roman" w:cs="Times New Roman"/>
                <w:b/>
                <w:bCs/>
              </w:rPr>
            </w:pPr>
            <w:r w:rsidRPr="008C29DA">
              <w:rPr>
                <w:rFonts w:ascii="Times New Roman" w:hAnsi="Times New Roman" w:cs="Times New Roman"/>
                <w:b/>
                <w:bCs/>
              </w:rPr>
              <w:t xml:space="preserve">ObS ŽP </w:t>
            </w:r>
          </w:p>
          <w:p w:rsidR="00AA35C8" w:rsidRPr="008C29DA" w:rsidP="00AA35C8">
            <w:pPr>
              <w:spacing w:line="240" w:lineRule="auto"/>
              <w:ind w:left="-70" w:right="-70"/>
              <w:jc w:val="center"/>
              <w:rPr>
                <w:rFonts w:ascii="Times New Roman" w:hAnsi="Times New Roman" w:cs="Times New Roman"/>
                <w:b/>
                <w:bCs/>
              </w:rPr>
            </w:pPr>
            <w:r w:rsidRPr="008C29DA">
              <w:rPr>
                <w:rFonts w:ascii="Times New Roman" w:hAnsi="Times New Roman" w:cs="Times New Roman"/>
                <w:b/>
                <w:bCs/>
              </w:rPr>
              <w:t>TT</w:t>
            </w:r>
          </w:p>
        </w:tc>
        <w:tc>
          <w:tcPr>
            <w:tcW w:w="1080" w:type="dxa"/>
            <w:tcBorders>
              <w:top w:val="double" w:sz="6" w:space="0" w:color="auto"/>
              <w:left w:val="nil"/>
              <w:bottom w:val="double" w:sz="4" w:space="0" w:color="auto"/>
              <w:right w:val="single" w:sz="8" w:space="0" w:color="auto"/>
              <w:tl2br w:val="nil"/>
              <w:tr2bl w:val="nil"/>
            </w:tcBorders>
            <w:shd w:val="clear" w:color="auto" w:fill="C0C0C0"/>
            <w:noWrap/>
            <w:textDirection w:val="lrTb"/>
            <w:vAlign w:val="center"/>
          </w:tcPr>
          <w:p w:rsidR="00AA35C8" w:rsidRPr="008C29DA" w:rsidP="00AA35C8">
            <w:pPr>
              <w:spacing w:line="240" w:lineRule="auto"/>
              <w:ind w:left="-70"/>
              <w:jc w:val="center"/>
              <w:rPr>
                <w:rFonts w:ascii="Times New Roman" w:hAnsi="Times New Roman" w:cs="Times New Roman"/>
                <w:b/>
                <w:bCs/>
              </w:rPr>
            </w:pPr>
            <w:r w:rsidRPr="008C29DA">
              <w:rPr>
                <w:rFonts w:ascii="Times New Roman" w:hAnsi="Times New Roman" w:cs="Times New Roman"/>
                <w:b/>
                <w:bCs/>
              </w:rPr>
              <w:t>ObS ŽP ZA</w:t>
            </w:r>
          </w:p>
        </w:tc>
        <w:tc>
          <w:tcPr>
            <w:tcW w:w="1080" w:type="dxa"/>
            <w:tcBorders>
              <w:top w:val="double" w:sz="6" w:space="0" w:color="auto"/>
              <w:left w:val="nil"/>
              <w:bottom w:val="double" w:sz="4" w:space="0" w:color="auto"/>
              <w:right w:val="single" w:sz="8" w:space="0" w:color="auto"/>
              <w:tl2br w:val="nil"/>
              <w:tr2bl w:val="nil"/>
            </w:tcBorders>
            <w:shd w:val="clear" w:color="auto" w:fill="C0C0C0"/>
            <w:noWrap/>
            <w:textDirection w:val="lrTb"/>
            <w:vAlign w:val="center"/>
          </w:tcPr>
          <w:p w:rsidR="00AA35C8" w:rsidP="00AA35C8">
            <w:pPr>
              <w:spacing w:line="240" w:lineRule="auto"/>
              <w:ind w:left="-70"/>
              <w:jc w:val="center"/>
              <w:rPr>
                <w:rFonts w:ascii="Times New Roman" w:hAnsi="Times New Roman" w:cs="Times New Roman"/>
                <w:b/>
                <w:bCs/>
              </w:rPr>
            </w:pPr>
            <w:r w:rsidRPr="008C29DA">
              <w:rPr>
                <w:rFonts w:ascii="Times New Roman" w:hAnsi="Times New Roman" w:cs="Times New Roman"/>
                <w:b/>
                <w:bCs/>
              </w:rPr>
              <w:t>ObS ŽP</w:t>
            </w:r>
          </w:p>
          <w:p w:rsidR="00AA35C8" w:rsidRPr="008C29DA" w:rsidP="00AA35C8">
            <w:pPr>
              <w:spacing w:line="240" w:lineRule="auto"/>
              <w:ind w:left="-70"/>
              <w:jc w:val="center"/>
              <w:rPr>
                <w:rFonts w:ascii="Times New Roman" w:hAnsi="Times New Roman" w:cs="Times New Roman"/>
                <w:b/>
                <w:bCs/>
              </w:rPr>
            </w:pPr>
            <w:r w:rsidRPr="008C29DA">
              <w:rPr>
                <w:rFonts w:ascii="Times New Roman" w:hAnsi="Times New Roman" w:cs="Times New Roman"/>
                <w:b/>
                <w:bCs/>
              </w:rPr>
              <w:t xml:space="preserve"> ZV</w:t>
            </w:r>
          </w:p>
        </w:tc>
        <w:tc>
          <w:tcPr>
            <w:tcW w:w="1080" w:type="dxa"/>
            <w:tcBorders>
              <w:top w:val="double" w:sz="6" w:space="0" w:color="auto"/>
              <w:left w:val="nil"/>
              <w:bottom w:val="double" w:sz="4" w:space="0" w:color="auto"/>
              <w:right w:val="single" w:sz="8" w:space="0" w:color="auto"/>
              <w:tl2br w:val="nil"/>
              <w:tr2bl w:val="nil"/>
            </w:tcBorders>
            <w:shd w:val="clear" w:color="auto" w:fill="C0C0C0"/>
            <w:noWrap/>
            <w:textDirection w:val="lrTb"/>
            <w:vAlign w:val="center"/>
          </w:tcPr>
          <w:p w:rsidR="00AA35C8" w:rsidP="00AA35C8">
            <w:pPr>
              <w:spacing w:line="240" w:lineRule="auto"/>
              <w:ind w:left="-70"/>
              <w:jc w:val="center"/>
              <w:rPr>
                <w:rFonts w:ascii="Times New Roman" w:hAnsi="Times New Roman" w:cs="Times New Roman"/>
                <w:b/>
                <w:bCs/>
              </w:rPr>
            </w:pPr>
            <w:r w:rsidRPr="008C29DA">
              <w:rPr>
                <w:rFonts w:ascii="Times New Roman" w:hAnsi="Times New Roman" w:cs="Times New Roman"/>
                <w:b/>
                <w:bCs/>
              </w:rPr>
              <w:t>ObS ŽP</w:t>
            </w:r>
          </w:p>
          <w:p w:rsidR="00AA35C8" w:rsidRPr="008C29DA" w:rsidP="00AA35C8">
            <w:pPr>
              <w:spacing w:line="240" w:lineRule="auto"/>
              <w:ind w:left="-70"/>
              <w:jc w:val="center"/>
              <w:rPr>
                <w:rFonts w:ascii="Times New Roman" w:hAnsi="Times New Roman" w:cs="Times New Roman"/>
                <w:b/>
                <w:bCs/>
              </w:rPr>
            </w:pPr>
            <w:r w:rsidRPr="008C29DA">
              <w:rPr>
                <w:rFonts w:ascii="Times New Roman" w:hAnsi="Times New Roman" w:cs="Times New Roman"/>
                <w:b/>
                <w:bCs/>
              </w:rPr>
              <w:t>KE</w:t>
            </w:r>
          </w:p>
        </w:tc>
        <w:tc>
          <w:tcPr>
            <w:tcW w:w="1080" w:type="dxa"/>
            <w:tcBorders>
              <w:top w:val="double" w:sz="6" w:space="0" w:color="auto"/>
              <w:left w:val="nil"/>
              <w:bottom w:val="double" w:sz="4" w:space="0" w:color="auto"/>
              <w:right w:val="nil"/>
              <w:tl2br w:val="nil"/>
              <w:tr2bl w:val="nil"/>
            </w:tcBorders>
            <w:shd w:val="clear" w:color="auto" w:fill="C0C0C0"/>
            <w:noWrap/>
            <w:textDirection w:val="lrTb"/>
            <w:vAlign w:val="center"/>
          </w:tcPr>
          <w:p w:rsidR="00AA35C8" w:rsidP="00AA35C8">
            <w:pPr>
              <w:spacing w:line="240" w:lineRule="auto"/>
              <w:ind w:left="-70"/>
              <w:jc w:val="center"/>
              <w:rPr>
                <w:rFonts w:ascii="Times New Roman" w:hAnsi="Times New Roman" w:cs="Times New Roman"/>
                <w:b/>
                <w:bCs/>
              </w:rPr>
            </w:pPr>
            <w:r w:rsidRPr="008C29DA">
              <w:rPr>
                <w:rFonts w:ascii="Times New Roman" w:hAnsi="Times New Roman" w:cs="Times New Roman"/>
                <w:b/>
                <w:bCs/>
              </w:rPr>
              <w:t>ÚZ ŽP</w:t>
            </w:r>
          </w:p>
          <w:p w:rsidR="00AA35C8" w:rsidRPr="008C29DA" w:rsidP="00AA35C8">
            <w:pPr>
              <w:spacing w:line="240" w:lineRule="auto"/>
              <w:ind w:left="-70"/>
              <w:jc w:val="center"/>
              <w:rPr>
                <w:rFonts w:ascii="Times New Roman" w:hAnsi="Times New Roman" w:cs="Times New Roman"/>
                <w:b/>
                <w:bCs/>
              </w:rPr>
            </w:pPr>
            <w:r w:rsidRPr="008C29DA">
              <w:rPr>
                <w:rFonts w:ascii="Times New Roman" w:hAnsi="Times New Roman" w:cs="Times New Roman"/>
                <w:b/>
                <w:bCs/>
              </w:rPr>
              <w:t xml:space="preserve"> KA</w:t>
            </w:r>
          </w:p>
        </w:tc>
        <w:tc>
          <w:tcPr>
            <w:tcW w:w="1417" w:type="dxa"/>
            <w:tcBorders>
              <w:top w:val="double" w:sz="6" w:space="0" w:color="auto"/>
              <w:left w:val="double" w:sz="6" w:space="0" w:color="auto"/>
              <w:bottom w:val="double" w:sz="4" w:space="0" w:color="auto"/>
              <w:right w:val="double" w:sz="6" w:space="0" w:color="auto"/>
              <w:tl2br w:val="nil"/>
              <w:tr2bl w:val="nil"/>
            </w:tcBorders>
            <w:shd w:val="clear" w:color="auto" w:fill="C0C0C0"/>
            <w:noWrap/>
            <w:textDirection w:val="lrTb"/>
            <w:vAlign w:val="center"/>
          </w:tcPr>
          <w:p w:rsidR="00AA35C8" w:rsidP="00AA35C8">
            <w:pPr>
              <w:spacing w:line="240" w:lineRule="auto"/>
              <w:jc w:val="center"/>
              <w:rPr>
                <w:rFonts w:ascii="Arial Narrow" w:hAnsi="Arial Narrow" w:cs="Arial"/>
                <w:b/>
                <w:bCs/>
                <w:sz w:val="18"/>
                <w:szCs w:val="18"/>
              </w:rPr>
            </w:pPr>
            <w:r w:rsidRPr="008C29DA">
              <w:rPr>
                <w:rFonts w:ascii="Times New Roman" w:hAnsi="Times New Roman" w:cs="Times New Roman"/>
                <w:b/>
                <w:bCs/>
              </w:rPr>
              <w:t>Ž</w:t>
            </w:r>
            <w:r w:rsidR="00F444DF">
              <w:rPr>
                <w:rFonts w:ascii="Times New Roman" w:hAnsi="Times New Roman" w:cs="Times New Roman"/>
                <w:b/>
                <w:bCs/>
              </w:rPr>
              <w:t>elezničná polícia</w:t>
            </w:r>
          </w:p>
        </w:tc>
        <w:tc>
          <w:tcPr>
            <w:tcW w:w="1080" w:type="dxa"/>
            <w:tcBorders>
              <w:top w:val="double" w:sz="4" w:space="0" w:color="auto"/>
              <w:left w:val="nil"/>
              <w:bottom w:val="double" w:sz="4" w:space="0" w:color="auto"/>
              <w:right w:val="double" w:sz="4" w:space="0" w:color="auto"/>
              <w:tl2br w:val="nil"/>
              <w:tr2bl w:val="nil"/>
            </w:tcBorders>
            <w:shd w:val="clear" w:color="auto" w:fill="C0C0C0"/>
            <w:textDirection w:val="lrTb"/>
            <w:vAlign w:val="bottom"/>
          </w:tcPr>
          <w:p w:rsidR="00AA35C8" w:rsidP="00AA35C8">
            <w:pPr>
              <w:spacing w:line="240" w:lineRule="auto"/>
              <w:ind w:left="-112"/>
              <w:jc w:val="center"/>
              <w:rPr>
                <w:rFonts w:ascii="Times New Roman" w:hAnsi="Times New Roman" w:cs="Times New Roman"/>
                <w:b/>
                <w:bCs/>
              </w:rPr>
            </w:pPr>
            <w:r w:rsidRPr="00820B00">
              <w:rPr>
                <w:rFonts w:ascii="Times New Roman" w:hAnsi="Times New Roman" w:cs="Times New Roman"/>
                <w:b/>
                <w:bCs/>
              </w:rPr>
              <w:t>§23</w:t>
            </w:r>
          </w:p>
          <w:p w:rsidR="00AA35C8" w:rsidRPr="00820B00" w:rsidP="00AA35C8">
            <w:pPr>
              <w:spacing w:line="240" w:lineRule="auto"/>
              <w:ind w:left="-112"/>
              <w:jc w:val="center"/>
              <w:rPr>
                <w:rFonts w:ascii="Times New Roman" w:hAnsi="Times New Roman" w:cs="Times New Roman"/>
                <w:b/>
                <w:bCs/>
              </w:rPr>
            </w:pPr>
            <w:r w:rsidR="00F444DF">
              <w:rPr>
                <w:rFonts w:ascii="Times New Roman" w:hAnsi="Times New Roman" w:cs="Times New Roman"/>
                <w:b/>
                <w:bCs/>
              </w:rPr>
              <w:t>Poistné plnenia</w:t>
            </w:r>
          </w:p>
        </w:tc>
      </w:tr>
      <w:tr>
        <w:tblPrEx>
          <w:tblW w:w="10260" w:type="dxa"/>
          <w:tblInd w:w="-290" w:type="dxa"/>
          <w:tblCellMar>
            <w:left w:w="70" w:type="dxa"/>
            <w:right w:w="70" w:type="dxa"/>
          </w:tblCellMar>
        </w:tblPrEx>
        <w:trPr>
          <w:trHeight w:val="243"/>
        </w:trPr>
        <w:tc>
          <w:tcPr>
            <w:tcW w:w="1283" w:type="dxa"/>
            <w:tcBorders>
              <w:top w:val="double" w:sz="4" w:space="0" w:color="auto"/>
              <w:left w:val="double" w:sz="6" w:space="0" w:color="auto"/>
              <w:bottom w:val="single" w:sz="4" w:space="0" w:color="auto"/>
              <w:right w:val="double" w:sz="6" w:space="0" w:color="auto"/>
              <w:tl2br w:val="nil"/>
              <w:tr2bl w:val="nil"/>
            </w:tcBorders>
            <w:noWrap/>
            <w:textDirection w:val="lrTb"/>
            <w:vAlign w:val="bottom"/>
          </w:tcPr>
          <w:p w:rsidR="00AA35C8" w:rsidRPr="00F444DF" w:rsidP="00AA35C8">
            <w:pPr>
              <w:spacing w:line="240" w:lineRule="auto"/>
              <w:ind w:left="-47" w:right="-70"/>
              <w:jc w:val="left"/>
              <w:rPr>
                <w:rFonts w:ascii="Times New Roman" w:hAnsi="Times New Roman" w:cs="Times New Roman"/>
                <w:bCs/>
              </w:rPr>
            </w:pPr>
            <w:r w:rsidR="00F444DF">
              <w:rPr>
                <w:rFonts w:ascii="Times New Roman" w:hAnsi="Times New Roman" w:cs="Times New Roman"/>
                <w:bCs/>
              </w:rPr>
              <w:t>Schválený</w:t>
            </w:r>
          </w:p>
        </w:tc>
        <w:tc>
          <w:tcPr>
            <w:tcW w:w="1080" w:type="dxa"/>
            <w:tcBorders>
              <w:top w:val="double" w:sz="4" w:space="0" w:color="auto"/>
              <w:left w:val="nil"/>
              <w:bottom w:val="single" w:sz="4" w:space="0" w:color="auto"/>
              <w:right w:val="single" w:sz="8" w:space="0" w:color="auto"/>
              <w:tl2br w:val="nil"/>
              <w:tr2bl w:val="nil"/>
            </w:tcBorders>
            <w:noWrap/>
            <w:textDirection w:val="lrTb"/>
            <w:vAlign w:val="center"/>
          </w:tcPr>
          <w:p w:rsidR="00AA35C8" w:rsidRPr="00F444DF" w:rsidP="00AA35C8">
            <w:pPr>
              <w:spacing w:line="240" w:lineRule="auto"/>
              <w:ind w:left="-70" w:right="110"/>
              <w:jc w:val="right"/>
              <w:rPr>
                <w:rFonts w:ascii="Times New Roman" w:hAnsi="Times New Roman" w:cs="Times New Roman"/>
                <w:bCs/>
              </w:rPr>
            </w:pPr>
            <w:r w:rsidRPr="00F444DF">
              <w:rPr>
                <w:rFonts w:ascii="Times New Roman" w:hAnsi="Times New Roman" w:cs="Times New Roman"/>
                <w:bCs/>
              </w:rPr>
              <w:t>63 329 000</w:t>
            </w:r>
          </w:p>
        </w:tc>
        <w:tc>
          <w:tcPr>
            <w:tcW w:w="1080" w:type="dxa"/>
            <w:tcBorders>
              <w:top w:val="double" w:sz="4" w:space="0" w:color="auto"/>
              <w:left w:val="nil"/>
              <w:bottom w:val="single" w:sz="4" w:space="0" w:color="auto"/>
              <w:right w:val="single" w:sz="8" w:space="0" w:color="auto"/>
              <w:tl2br w:val="nil"/>
              <w:tr2bl w:val="nil"/>
            </w:tcBorders>
            <w:noWrap/>
            <w:textDirection w:val="lrTb"/>
            <w:vAlign w:val="center"/>
          </w:tcPr>
          <w:p w:rsidR="00AA35C8" w:rsidRPr="00F444DF" w:rsidP="00AA35C8">
            <w:pPr>
              <w:spacing w:line="240" w:lineRule="auto"/>
              <w:ind w:left="-70" w:right="110"/>
              <w:jc w:val="right"/>
              <w:rPr>
                <w:rFonts w:ascii="Times New Roman" w:hAnsi="Times New Roman" w:cs="Times New Roman"/>
                <w:bCs/>
              </w:rPr>
            </w:pPr>
            <w:r w:rsidRPr="00F444DF">
              <w:rPr>
                <w:rFonts w:ascii="Times New Roman" w:hAnsi="Times New Roman" w:cs="Times New Roman"/>
                <w:bCs/>
              </w:rPr>
              <w:t>11 681 000</w:t>
            </w:r>
          </w:p>
        </w:tc>
        <w:tc>
          <w:tcPr>
            <w:tcW w:w="1080" w:type="dxa"/>
            <w:tcBorders>
              <w:top w:val="double" w:sz="4" w:space="0" w:color="auto"/>
              <w:left w:val="nil"/>
              <w:bottom w:val="single" w:sz="4" w:space="0" w:color="auto"/>
              <w:right w:val="single" w:sz="8" w:space="0" w:color="auto"/>
              <w:tl2br w:val="nil"/>
              <w:tr2bl w:val="nil"/>
            </w:tcBorders>
            <w:noWrap/>
            <w:textDirection w:val="lrTb"/>
            <w:vAlign w:val="center"/>
          </w:tcPr>
          <w:p w:rsidR="00AA35C8" w:rsidRPr="00F444DF" w:rsidP="00AA35C8">
            <w:pPr>
              <w:spacing w:line="240" w:lineRule="auto"/>
              <w:jc w:val="right"/>
              <w:rPr>
                <w:rFonts w:ascii="Times New Roman" w:hAnsi="Times New Roman" w:cs="Times New Roman"/>
                <w:bCs/>
              </w:rPr>
            </w:pPr>
            <w:r w:rsidRPr="00F444DF">
              <w:rPr>
                <w:rFonts w:ascii="Times New Roman" w:hAnsi="Times New Roman" w:cs="Times New Roman"/>
                <w:bCs/>
              </w:rPr>
              <w:t>7 828 000</w:t>
            </w:r>
          </w:p>
        </w:tc>
        <w:tc>
          <w:tcPr>
            <w:tcW w:w="1080" w:type="dxa"/>
            <w:tcBorders>
              <w:top w:val="double" w:sz="4" w:space="0" w:color="auto"/>
              <w:left w:val="nil"/>
              <w:bottom w:val="single" w:sz="4" w:space="0" w:color="auto"/>
              <w:right w:val="single" w:sz="8" w:space="0" w:color="auto"/>
              <w:tl2br w:val="nil"/>
              <w:tr2bl w:val="nil"/>
            </w:tcBorders>
            <w:noWrap/>
            <w:textDirection w:val="lrTb"/>
            <w:vAlign w:val="center"/>
          </w:tcPr>
          <w:p w:rsidR="00AA35C8" w:rsidRPr="00F444DF" w:rsidP="00AA35C8">
            <w:pPr>
              <w:spacing w:line="240" w:lineRule="auto"/>
              <w:jc w:val="right"/>
              <w:rPr>
                <w:rFonts w:ascii="Times New Roman" w:hAnsi="Times New Roman" w:cs="Times New Roman"/>
                <w:bCs/>
              </w:rPr>
            </w:pPr>
            <w:r w:rsidRPr="00F444DF">
              <w:rPr>
                <w:rFonts w:ascii="Times New Roman" w:hAnsi="Times New Roman" w:cs="Times New Roman"/>
                <w:bCs/>
              </w:rPr>
              <w:t>6 607 000</w:t>
            </w:r>
          </w:p>
        </w:tc>
        <w:tc>
          <w:tcPr>
            <w:tcW w:w="1080" w:type="dxa"/>
            <w:tcBorders>
              <w:top w:val="double" w:sz="4" w:space="0" w:color="auto"/>
              <w:left w:val="nil"/>
              <w:bottom w:val="single" w:sz="4" w:space="0" w:color="auto"/>
              <w:right w:val="single" w:sz="8" w:space="0" w:color="auto"/>
              <w:tl2br w:val="nil"/>
              <w:tr2bl w:val="nil"/>
            </w:tcBorders>
            <w:noWrap/>
            <w:textDirection w:val="lrTb"/>
            <w:vAlign w:val="center"/>
          </w:tcPr>
          <w:p w:rsidR="00AA35C8" w:rsidRPr="00F444DF" w:rsidP="00AA35C8">
            <w:pPr>
              <w:spacing w:line="240" w:lineRule="auto"/>
              <w:ind w:left="-70"/>
              <w:jc w:val="right"/>
              <w:rPr>
                <w:rFonts w:ascii="Times New Roman" w:hAnsi="Times New Roman" w:cs="Times New Roman"/>
                <w:bCs/>
              </w:rPr>
            </w:pPr>
            <w:r w:rsidRPr="00F444DF">
              <w:rPr>
                <w:rFonts w:ascii="Times New Roman" w:hAnsi="Times New Roman" w:cs="Times New Roman"/>
                <w:bCs/>
              </w:rPr>
              <w:t>10 460 000</w:t>
            </w:r>
          </w:p>
        </w:tc>
        <w:tc>
          <w:tcPr>
            <w:tcW w:w="1080" w:type="dxa"/>
            <w:tcBorders>
              <w:top w:val="double" w:sz="4" w:space="0" w:color="auto"/>
              <w:left w:val="nil"/>
              <w:bottom w:val="single" w:sz="4" w:space="0" w:color="auto"/>
              <w:right w:val="double" w:sz="6" w:space="0" w:color="auto"/>
              <w:tl2br w:val="nil"/>
              <w:tr2bl w:val="nil"/>
            </w:tcBorders>
            <w:noWrap/>
            <w:textDirection w:val="lrTb"/>
            <w:vAlign w:val="center"/>
          </w:tcPr>
          <w:p w:rsidR="00AA35C8" w:rsidRPr="00F444DF" w:rsidP="00AA35C8">
            <w:pPr>
              <w:spacing w:line="240" w:lineRule="auto"/>
              <w:ind w:left="-70"/>
              <w:jc w:val="right"/>
              <w:rPr>
                <w:rFonts w:ascii="Times New Roman" w:hAnsi="Times New Roman" w:cs="Times New Roman"/>
                <w:bCs/>
              </w:rPr>
            </w:pPr>
            <w:r w:rsidRPr="00F444DF">
              <w:rPr>
                <w:rFonts w:ascii="Times New Roman" w:hAnsi="Times New Roman" w:cs="Times New Roman"/>
                <w:bCs/>
              </w:rPr>
              <w:t>1 077 000</w:t>
            </w:r>
          </w:p>
        </w:tc>
        <w:tc>
          <w:tcPr>
            <w:tcW w:w="1417" w:type="dxa"/>
            <w:tcBorders>
              <w:top w:val="double" w:sz="4" w:space="0" w:color="auto"/>
              <w:left w:val="nil"/>
              <w:bottom w:val="single" w:sz="4" w:space="0" w:color="auto"/>
              <w:right w:val="double" w:sz="6" w:space="0" w:color="auto"/>
              <w:tl2br w:val="nil"/>
              <w:tr2bl w:val="nil"/>
            </w:tcBorders>
            <w:noWrap/>
            <w:textDirection w:val="lrTb"/>
            <w:vAlign w:val="center"/>
          </w:tcPr>
          <w:p w:rsidR="00AA35C8" w:rsidRPr="00F444DF" w:rsidP="00AA35C8">
            <w:pPr>
              <w:spacing w:line="240" w:lineRule="auto"/>
              <w:jc w:val="right"/>
              <w:rPr>
                <w:rFonts w:ascii="Times New Roman" w:hAnsi="Times New Roman" w:cs="Times New Roman"/>
                <w:bCs/>
              </w:rPr>
            </w:pPr>
            <w:r w:rsidRPr="00F444DF">
              <w:rPr>
                <w:rFonts w:ascii="Times New Roman" w:hAnsi="Times New Roman" w:cs="Times New Roman"/>
                <w:bCs/>
              </w:rPr>
              <w:t>100 982 000</w:t>
            </w:r>
          </w:p>
        </w:tc>
        <w:tc>
          <w:tcPr>
            <w:tcW w:w="1080" w:type="dxa"/>
            <w:tcBorders>
              <w:top w:val="double" w:sz="4" w:space="0" w:color="auto"/>
              <w:left w:val="nil"/>
              <w:bottom w:val="single" w:sz="4" w:space="0" w:color="auto"/>
              <w:right w:val="double" w:sz="4" w:space="0" w:color="auto"/>
              <w:tl2br w:val="nil"/>
              <w:tr2bl w:val="nil"/>
            </w:tcBorders>
            <w:textDirection w:val="lrTb"/>
            <w:vAlign w:val="bottom"/>
          </w:tcPr>
          <w:p w:rsidR="00AA35C8" w:rsidRPr="00F444DF" w:rsidP="00AA35C8">
            <w:pPr>
              <w:spacing w:line="240" w:lineRule="auto"/>
              <w:ind w:left="-112"/>
              <w:jc w:val="right"/>
              <w:rPr>
                <w:rFonts w:ascii="Times New Roman" w:hAnsi="Times New Roman" w:cs="Times New Roman"/>
                <w:bCs/>
              </w:rPr>
            </w:pPr>
            <w:r w:rsidRPr="00F444DF">
              <w:rPr>
                <w:rFonts w:ascii="Times New Roman" w:hAnsi="Times New Roman" w:cs="Times New Roman"/>
                <w:bCs/>
              </w:rPr>
              <w:t>0</w:t>
            </w:r>
          </w:p>
        </w:tc>
      </w:tr>
      <w:tr>
        <w:tblPrEx>
          <w:tblW w:w="10260" w:type="dxa"/>
          <w:tblInd w:w="-290" w:type="dxa"/>
          <w:tblCellMar>
            <w:left w:w="70" w:type="dxa"/>
            <w:right w:w="70" w:type="dxa"/>
          </w:tblCellMar>
        </w:tblPrEx>
        <w:trPr>
          <w:trHeight w:val="250"/>
        </w:trPr>
        <w:tc>
          <w:tcPr>
            <w:tcW w:w="1283" w:type="dxa"/>
            <w:tcBorders>
              <w:top w:val="single" w:sz="4" w:space="0" w:color="auto"/>
              <w:left w:val="double" w:sz="6" w:space="0" w:color="auto"/>
              <w:bottom w:val="double" w:sz="6" w:space="0" w:color="auto"/>
              <w:right w:val="double" w:sz="6" w:space="0" w:color="auto"/>
              <w:tl2br w:val="nil"/>
              <w:tr2bl w:val="nil"/>
            </w:tcBorders>
            <w:noWrap/>
            <w:textDirection w:val="lrTb"/>
            <w:vAlign w:val="bottom"/>
          </w:tcPr>
          <w:p w:rsidR="00AA35C8" w:rsidRPr="00F444DF" w:rsidP="00AA35C8">
            <w:pPr>
              <w:spacing w:line="240" w:lineRule="auto"/>
              <w:ind w:left="-47" w:right="-70"/>
              <w:jc w:val="left"/>
              <w:rPr>
                <w:rFonts w:ascii="Times New Roman" w:hAnsi="Times New Roman" w:cs="Times New Roman"/>
                <w:bCs/>
              </w:rPr>
            </w:pPr>
            <w:r w:rsidRPr="00F444DF">
              <w:rPr>
                <w:rFonts w:ascii="Times New Roman" w:hAnsi="Times New Roman" w:cs="Times New Roman"/>
                <w:bCs/>
              </w:rPr>
              <w:t>Upravený</w:t>
            </w:r>
          </w:p>
        </w:tc>
        <w:tc>
          <w:tcPr>
            <w:tcW w:w="1080" w:type="dxa"/>
            <w:tcBorders>
              <w:top w:val="single" w:sz="4" w:space="0" w:color="auto"/>
              <w:left w:val="nil"/>
              <w:bottom w:val="double" w:sz="6" w:space="0" w:color="auto"/>
              <w:right w:val="single" w:sz="8" w:space="0" w:color="auto"/>
              <w:tl2br w:val="nil"/>
              <w:tr2bl w:val="nil"/>
            </w:tcBorders>
            <w:noWrap/>
            <w:textDirection w:val="lrTb"/>
            <w:vAlign w:val="center"/>
          </w:tcPr>
          <w:p w:rsidR="00AA35C8" w:rsidRPr="00F444DF" w:rsidP="00AA35C8">
            <w:pPr>
              <w:spacing w:line="240" w:lineRule="auto"/>
              <w:ind w:left="-70" w:right="-70"/>
              <w:jc w:val="right"/>
              <w:rPr>
                <w:rFonts w:ascii="Times New Roman" w:hAnsi="Times New Roman" w:cs="Times New Roman"/>
                <w:bCs/>
                <w:sz w:val="18"/>
                <w:szCs w:val="18"/>
              </w:rPr>
            </w:pPr>
            <w:r w:rsidRPr="00F444DF">
              <w:rPr>
                <w:rFonts w:ascii="Times New Roman" w:hAnsi="Times New Roman" w:cs="Times New Roman"/>
                <w:bCs/>
                <w:sz w:val="18"/>
                <w:szCs w:val="18"/>
              </w:rPr>
              <w:t>68 547 263,66</w:t>
            </w:r>
          </w:p>
        </w:tc>
        <w:tc>
          <w:tcPr>
            <w:tcW w:w="1080" w:type="dxa"/>
            <w:tcBorders>
              <w:top w:val="single" w:sz="4" w:space="0" w:color="auto"/>
              <w:left w:val="nil"/>
              <w:bottom w:val="double" w:sz="6" w:space="0" w:color="auto"/>
              <w:right w:val="single" w:sz="8" w:space="0" w:color="auto"/>
              <w:tl2br w:val="nil"/>
              <w:tr2bl w:val="nil"/>
            </w:tcBorders>
            <w:noWrap/>
            <w:textDirection w:val="lrTb"/>
            <w:vAlign w:val="center"/>
          </w:tcPr>
          <w:p w:rsidR="00AA35C8" w:rsidRPr="00F444DF" w:rsidP="00AA35C8">
            <w:pPr>
              <w:spacing w:line="240" w:lineRule="auto"/>
              <w:ind w:left="-70" w:right="-70"/>
              <w:jc w:val="right"/>
              <w:rPr>
                <w:rFonts w:ascii="Times New Roman" w:hAnsi="Times New Roman" w:cs="Times New Roman"/>
                <w:bCs/>
                <w:sz w:val="18"/>
                <w:szCs w:val="18"/>
              </w:rPr>
            </w:pPr>
            <w:r w:rsidRPr="00F444DF">
              <w:rPr>
                <w:rFonts w:ascii="Times New Roman" w:hAnsi="Times New Roman" w:cs="Times New Roman"/>
                <w:bCs/>
                <w:sz w:val="18"/>
                <w:szCs w:val="18"/>
              </w:rPr>
              <w:t>10 709 328,92</w:t>
            </w:r>
          </w:p>
        </w:tc>
        <w:tc>
          <w:tcPr>
            <w:tcW w:w="1080" w:type="dxa"/>
            <w:tcBorders>
              <w:top w:val="single" w:sz="4" w:space="0" w:color="auto"/>
              <w:left w:val="nil"/>
              <w:bottom w:val="double" w:sz="6" w:space="0" w:color="auto"/>
              <w:right w:val="single" w:sz="8" w:space="0" w:color="auto"/>
              <w:tl2br w:val="nil"/>
              <w:tr2bl w:val="nil"/>
            </w:tcBorders>
            <w:noWrap/>
            <w:textDirection w:val="lrTb"/>
            <w:vAlign w:val="center"/>
          </w:tcPr>
          <w:p w:rsidR="00AA35C8" w:rsidRPr="00F444DF" w:rsidP="00AA35C8">
            <w:pPr>
              <w:spacing w:line="240" w:lineRule="auto"/>
              <w:ind w:left="-80"/>
              <w:jc w:val="right"/>
              <w:rPr>
                <w:rFonts w:ascii="Times New Roman" w:hAnsi="Times New Roman" w:cs="Times New Roman"/>
                <w:bCs/>
                <w:sz w:val="18"/>
                <w:szCs w:val="18"/>
              </w:rPr>
            </w:pPr>
            <w:r w:rsidRPr="00F444DF">
              <w:rPr>
                <w:rFonts w:ascii="Times New Roman" w:hAnsi="Times New Roman" w:cs="Times New Roman"/>
                <w:bCs/>
                <w:sz w:val="18"/>
                <w:szCs w:val="18"/>
              </w:rPr>
              <w:t>7 310 008,49</w:t>
            </w:r>
          </w:p>
        </w:tc>
        <w:tc>
          <w:tcPr>
            <w:tcW w:w="1080" w:type="dxa"/>
            <w:tcBorders>
              <w:top w:val="single" w:sz="4" w:space="0" w:color="auto"/>
              <w:left w:val="nil"/>
              <w:bottom w:val="double" w:sz="6" w:space="0" w:color="auto"/>
              <w:right w:val="single" w:sz="8" w:space="0" w:color="auto"/>
              <w:tl2br w:val="nil"/>
              <w:tr2bl w:val="nil"/>
            </w:tcBorders>
            <w:noWrap/>
            <w:textDirection w:val="lrTb"/>
            <w:vAlign w:val="center"/>
          </w:tcPr>
          <w:p w:rsidR="00AA35C8" w:rsidRPr="00F444DF" w:rsidP="00AA35C8">
            <w:pPr>
              <w:spacing w:line="240" w:lineRule="auto"/>
              <w:ind w:left="-80"/>
              <w:jc w:val="right"/>
              <w:rPr>
                <w:rFonts w:ascii="Times New Roman" w:hAnsi="Times New Roman" w:cs="Times New Roman"/>
                <w:bCs/>
                <w:sz w:val="18"/>
                <w:szCs w:val="18"/>
              </w:rPr>
            </w:pPr>
            <w:r w:rsidRPr="00F444DF">
              <w:rPr>
                <w:rFonts w:ascii="Times New Roman" w:hAnsi="Times New Roman" w:cs="Times New Roman"/>
                <w:bCs/>
                <w:sz w:val="18"/>
                <w:szCs w:val="18"/>
              </w:rPr>
              <w:t>5 731 386,88</w:t>
            </w:r>
          </w:p>
        </w:tc>
        <w:tc>
          <w:tcPr>
            <w:tcW w:w="1080" w:type="dxa"/>
            <w:tcBorders>
              <w:top w:val="single" w:sz="4" w:space="0" w:color="auto"/>
              <w:left w:val="nil"/>
              <w:bottom w:val="double" w:sz="6" w:space="0" w:color="auto"/>
              <w:right w:val="single" w:sz="8" w:space="0" w:color="auto"/>
              <w:tl2br w:val="nil"/>
              <w:tr2bl w:val="nil"/>
            </w:tcBorders>
            <w:noWrap/>
            <w:textDirection w:val="lrTb"/>
            <w:vAlign w:val="center"/>
          </w:tcPr>
          <w:p w:rsidR="00AA35C8" w:rsidRPr="00F444DF" w:rsidP="00AA35C8">
            <w:pPr>
              <w:spacing w:line="240" w:lineRule="auto"/>
              <w:ind w:left="-80"/>
              <w:jc w:val="right"/>
              <w:rPr>
                <w:rFonts w:ascii="Times New Roman" w:hAnsi="Times New Roman" w:cs="Times New Roman"/>
                <w:bCs/>
                <w:sz w:val="18"/>
                <w:szCs w:val="18"/>
              </w:rPr>
            </w:pPr>
            <w:r w:rsidRPr="00F444DF">
              <w:rPr>
                <w:rFonts w:ascii="Times New Roman" w:hAnsi="Times New Roman" w:cs="Times New Roman"/>
                <w:bCs/>
                <w:sz w:val="18"/>
                <w:szCs w:val="18"/>
              </w:rPr>
              <w:t>9 924 518,85</w:t>
            </w:r>
          </w:p>
        </w:tc>
        <w:tc>
          <w:tcPr>
            <w:tcW w:w="1080" w:type="dxa"/>
            <w:tcBorders>
              <w:top w:val="single" w:sz="4" w:space="0" w:color="auto"/>
              <w:left w:val="nil"/>
              <w:bottom w:val="double" w:sz="6" w:space="0" w:color="auto"/>
              <w:right w:val="double" w:sz="6" w:space="0" w:color="auto"/>
              <w:tl2br w:val="nil"/>
              <w:tr2bl w:val="nil"/>
            </w:tcBorders>
            <w:noWrap/>
            <w:textDirection w:val="lrTb"/>
            <w:vAlign w:val="center"/>
          </w:tcPr>
          <w:p w:rsidR="00AA35C8" w:rsidRPr="00F444DF" w:rsidP="00AA35C8">
            <w:pPr>
              <w:spacing w:line="240" w:lineRule="auto"/>
              <w:ind w:left="-80" w:right="-40"/>
              <w:jc w:val="right"/>
              <w:rPr>
                <w:rFonts w:ascii="Times New Roman" w:hAnsi="Times New Roman" w:cs="Times New Roman"/>
                <w:bCs/>
                <w:sz w:val="18"/>
                <w:szCs w:val="18"/>
              </w:rPr>
            </w:pPr>
            <w:r w:rsidRPr="00F444DF">
              <w:rPr>
                <w:rFonts w:ascii="Times New Roman" w:hAnsi="Times New Roman" w:cs="Times New Roman"/>
                <w:bCs/>
                <w:sz w:val="18"/>
                <w:szCs w:val="18"/>
              </w:rPr>
              <w:t>1 005 493,20</w:t>
            </w:r>
          </w:p>
        </w:tc>
        <w:tc>
          <w:tcPr>
            <w:tcW w:w="1417" w:type="dxa"/>
            <w:tcBorders>
              <w:top w:val="nil"/>
              <w:left w:val="nil"/>
              <w:bottom w:val="double" w:sz="6" w:space="0" w:color="auto"/>
              <w:right w:val="double" w:sz="6" w:space="0" w:color="auto"/>
              <w:tl2br w:val="nil"/>
              <w:tr2bl w:val="nil"/>
            </w:tcBorders>
            <w:noWrap/>
            <w:textDirection w:val="lrTb"/>
            <w:vAlign w:val="center"/>
          </w:tcPr>
          <w:p w:rsidR="00AA35C8" w:rsidRPr="00F444DF" w:rsidP="00AA35C8">
            <w:pPr>
              <w:spacing w:line="240" w:lineRule="auto"/>
              <w:ind w:left="-70"/>
              <w:jc w:val="right"/>
              <w:rPr>
                <w:rFonts w:ascii="Times New Roman" w:hAnsi="Times New Roman" w:cs="Times New Roman"/>
                <w:bCs/>
                <w:sz w:val="18"/>
                <w:szCs w:val="18"/>
              </w:rPr>
            </w:pPr>
            <w:r w:rsidRPr="00F444DF">
              <w:rPr>
                <w:rFonts w:ascii="Times New Roman" w:hAnsi="Times New Roman" w:cs="Times New Roman"/>
                <w:bCs/>
                <w:sz w:val="18"/>
                <w:szCs w:val="18"/>
              </w:rPr>
              <w:t>103 228 000,00</w:t>
            </w:r>
          </w:p>
        </w:tc>
        <w:tc>
          <w:tcPr>
            <w:tcW w:w="1080" w:type="dxa"/>
            <w:tcBorders>
              <w:top w:val="single" w:sz="4" w:space="0" w:color="auto"/>
              <w:left w:val="nil"/>
              <w:bottom w:val="nil"/>
              <w:right w:val="double" w:sz="4" w:space="0" w:color="auto"/>
              <w:tl2br w:val="nil"/>
              <w:tr2bl w:val="nil"/>
            </w:tcBorders>
            <w:textDirection w:val="lrTb"/>
            <w:vAlign w:val="bottom"/>
          </w:tcPr>
          <w:p w:rsidR="00AA35C8" w:rsidRPr="00F444DF" w:rsidP="00AA35C8">
            <w:pPr>
              <w:spacing w:line="240" w:lineRule="auto"/>
              <w:jc w:val="right"/>
              <w:rPr>
                <w:rFonts w:ascii="Times New Roman" w:hAnsi="Times New Roman" w:cs="Times New Roman"/>
                <w:bCs/>
                <w:sz w:val="18"/>
                <w:szCs w:val="18"/>
              </w:rPr>
            </w:pPr>
            <w:r w:rsidRPr="00F444DF">
              <w:rPr>
                <w:rFonts w:ascii="Times New Roman" w:hAnsi="Times New Roman" w:cs="Times New Roman"/>
                <w:bCs/>
                <w:sz w:val="18"/>
                <w:szCs w:val="18"/>
              </w:rPr>
              <w:t>804 561,</w:t>
            </w:r>
            <w:r w:rsidRPr="00F444DF">
              <w:rPr>
                <w:rFonts w:ascii="Times New Roman" w:hAnsi="Times New Roman" w:cs="Times New Roman"/>
                <w:bCs/>
                <w:sz w:val="18"/>
                <w:szCs w:val="18"/>
              </w:rPr>
              <w:t>5</w:t>
            </w:r>
          </w:p>
        </w:tc>
      </w:tr>
      <w:tr>
        <w:tblPrEx>
          <w:tblW w:w="10260" w:type="dxa"/>
          <w:tblInd w:w="-290" w:type="dxa"/>
          <w:tblCellMar>
            <w:left w:w="70" w:type="dxa"/>
            <w:right w:w="70" w:type="dxa"/>
          </w:tblCellMar>
        </w:tblPrEx>
        <w:trPr>
          <w:trHeight w:val="91"/>
        </w:trPr>
        <w:tc>
          <w:tcPr>
            <w:tcW w:w="1283" w:type="dxa"/>
            <w:tcBorders>
              <w:top w:val="nil"/>
              <w:left w:val="double" w:sz="6" w:space="0" w:color="auto"/>
              <w:bottom w:val="single" w:sz="4" w:space="0" w:color="auto"/>
              <w:right w:val="nil"/>
              <w:tl2br w:val="nil"/>
              <w:tr2bl w:val="nil"/>
            </w:tcBorders>
            <w:shd w:val="clear" w:color="auto" w:fill="C0C0C0"/>
            <w:noWrap/>
            <w:textDirection w:val="lrTb"/>
            <w:vAlign w:val="bottom"/>
          </w:tcPr>
          <w:p w:rsidR="00AA35C8" w:rsidRPr="00F444DF" w:rsidP="00AA35C8">
            <w:pPr>
              <w:spacing w:line="240" w:lineRule="auto"/>
              <w:ind w:left="-47" w:right="-70"/>
              <w:jc w:val="left"/>
              <w:rPr>
                <w:rFonts w:ascii="Times New Roman" w:hAnsi="Times New Roman" w:cs="Times New Roman"/>
                <w:b/>
                <w:bCs/>
              </w:rPr>
            </w:pPr>
            <w:r w:rsidRPr="00F444DF">
              <w:rPr>
                <w:rFonts w:ascii="Times New Roman" w:hAnsi="Times New Roman" w:cs="Times New Roman"/>
                <w:b/>
                <w:bCs/>
              </w:rPr>
              <w:t>K 31.12.2007</w:t>
            </w:r>
          </w:p>
        </w:tc>
        <w:tc>
          <w:tcPr>
            <w:tcW w:w="1080" w:type="dxa"/>
            <w:tcBorders>
              <w:top w:val="nil"/>
              <w:left w:val="double" w:sz="6" w:space="0" w:color="auto"/>
              <w:bottom w:val="single" w:sz="4" w:space="0" w:color="auto"/>
              <w:right w:val="single" w:sz="8" w:space="0" w:color="auto"/>
              <w:tl2br w:val="nil"/>
              <w:tr2bl w:val="nil"/>
            </w:tcBorders>
            <w:shd w:val="clear" w:color="auto" w:fill="C0C0C0"/>
            <w:noWrap/>
            <w:textDirection w:val="lrTb"/>
            <w:vAlign w:val="center"/>
          </w:tcPr>
          <w:p w:rsidR="00AA35C8" w:rsidRPr="00F444DF" w:rsidP="00AA35C8">
            <w:pPr>
              <w:spacing w:line="240" w:lineRule="auto"/>
              <w:ind w:left="-70" w:right="-70"/>
              <w:jc w:val="center"/>
              <w:rPr>
                <w:rFonts w:ascii="Times New Roman" w:hAnsi="Times New Roman" w:cs="Times New Roman"/>
                <w:b/>
                <w:bCs/>
                <w:sz w:val="18"/>
                <w:szCs w:val="18"/>
              </w:rPr>
            </w:pPr>
            <w:r w:rsidRPr="00F444DF">
              <w:rPr>
                <w:rFonts w:ascii="Times New Roman" w:hAnsi="Times New Roman" w:cs="Times New Roman"/>
                <w:b/>
                <w:bCs/>
                <w:sz w:val="18"/>
                <w:szCs w:val="18"/>
              </w:rPr>
              <w:t>68 547 094,64</w:t>
            </w:r>
          </w:p>
        </w:tc>
        <w:tc>
          <w:tcPr>
            <w:tcW w:w="1080" w:type="dxa"/>
            <w:tcBorders>
              <w:top w:val="nil"/>
              <w:left w:val="nil"/>
              <w:bottom w:val="single" w:sz="4" w:space="0" w:color="auto"/>
              <w:right w:val="single" w:sz="8" w:space="0" w:color="auto"/>
              <w:tl2br w:val="nil"/>
              <w:tr2bl w:val="nil"/>
            </w:tcBorders>
            <w:shd w:val="clear" w:color="auto" w:fill="C0C0C0"/>
            <w:noWrap/>
            <w:textDirection w:val="lrTb"/>
            <w:vAlign w:val="center"/>
          </w:tcPr>
          <w:p w:rsidR="00AA35C8" w:rsidRPr="00F444DF" w:rsidP="00AA35C8">
            <w:pPr>
              <w:spacing w:line="240" w:lineRule="auto"/>
              <w:ind w:left="-70" w:right="-70"/>
              <w:jc w:val="center"/>
              <w:rPr>
                <w:rFonts w:ascii="Times New Roman" w:hAnsi="Times New Roman" w:cs="Times New Roman"/>
                <w:b/>
                <w:bCs/>
                <w:sz w:val="18"/>
                <w:szCs w:val="18"/>
              </w:rPr>
            </w:pPr>
            <w:r w:rsidRPr="00F444DF">
              <w:rPr>
                <w:rFonts w:ascii="Times New Roman" w:hAnsi="Times New Roman" w:cs="Times New Roman"/>
                <w:b/>
                <w:bCs/>
                <w:sz w:val="18"/>
                <w:szCs w:val="18"/>
              </w:rPr>
              <w:t>10 709 328,92</w:t>
            </w:r>
          </w:p>
        </w:tc>
        <w:tc>
          <w:tcPr>
            <w:tcW w:w="1080" w:type="dxa"/>
            <w:tcBorders>
              <w:top w:val="nil"/>
              <w:left w:val="nil"/>
              <w:bottom w:val="single" w:sz="4" w:space="0" w:color="auto"/>
              <w:right w:val="single" w:sz="8" w:space="0" w:color="auto"/>
              <w:tl2br w:val="nil"/>
              <w:tr2bl w:val="nil"/>
            </w:tcBorders>
            <w:shd w:val="clear" w:color="auto" w:fill="C0C0C0"/>
            <w:noWrap/>
            <w:textDirection w:val="lrTb"/>
            <w:vAlign w:val="center"/>
          </w:tcPr>
          <w:p w:rsidR="00AA35C8" w:rsidRPr="00F444DF" w:rsidP="00AA35C8">
            <w:pPr>
              <w:spacing w:line="240" w:lineRule="auto"/>
              <w:ind w:left="-70"/>
              <w:jc w:val="center"/>
              <w:rPr>
                <w:rFonts w:ascii="Times New Roman" w:hAnsi="Times New Roman" w:cs="Times New Roman"/>
                <w:b/>
                <w:bCs/>
                <w:sz w:val="18"/>
                <w:szCs w:val="18"/>
              </w:rPr>
            </w:pPr>
            <w:r w:rsidRPr="00F444DF">
              <w:rPr>
                <w:rFonts w:ascii="Times New Roman" w:hAnsi="Times New Roman" w:cs="Times New Roman"/>
                <w:b/>
                <w:bCs/>
                <w:sz w:val="18"/>
                <w:szCs w:val="18"/>
              </w:rPr>
              <w:t>7 310 008,49</w:t>
            </w:r>
          </w:p>
        </w:tc>
        <w:tc>
          <w:tcPr>
            <w:tcW w:w="1080" w:type="dxa"/>
            <w:tcBorders>
              <w:top w:val="nil"/>
              <w:left w:val="nil"/>
              <w:bottom w:val="single" w:sz="4" w:space="0" w:color="auto"/>
              <w:right w:val="single" w:sz="8" w:space="0" w:color="auto"/>
              <w:tl2br w:val="nil"/>
              <w:tr2bl w:val="nil"/>
            </w:tcBorders>
            <w:shd w:val="clear" w:color="auto" w:fill="C0C0C0"/>
            <w:noWrap/>
            <w:textDirection w:val="lrTb"/>
            <w:vAlign w:val="center"/>
          </w:tcPr>
          <w:p w:rsidR="00AA35C8" w:rsidRPr="00F444DF" w:rsidP="00AA35C8">
            <w:pPr>
              <w:spacing w:line="240" w:lineRule="auto"/>
              <w:ind w:left="-70"/>
              <w:jc w:val="center"/>
              <w:rPr>
                <w:rFonts w:ascii="Times New Roman" w:hAnsi="Times New Roman" w:cs="Times New Roman"/>
                <w:b/>
                <w:bCs/>
                <w:sz w:val="18"/>
                <w:szCs w:val="18"/>
              </w:rPr>
            </w:pPr>
            <w:r w:rsidRPr="00F444DF">
              <w:rPr>
                <w:rFonts w:ascii="Times New Roman" w:hAnsi="Times New Roman" w:cs="Times New Roman"/>
                <w:b/>
                <w:bCs/>
                <w:sz w:val="18"/>
                <w:szCs w:val="18"/>
              </w:rPr>
              <w:t>5 731 386,88</w:t>
            </w:r>
          </w:p>
        </w:tc>
        <w:tc>
          <w:tcPr>
            <w:tcW w:w="1080" w:type="dxa"/>
            <w:tcBorders>
              <w:top w:val="nil"/>
              <w:left w:val="nil"/>
              <w:bottom w:val="single" w:sz="4" w:space="0" w:color="auto"/>
              <w:right w:val="single" w:sz="8" w:space="0" w:color="auto"/>
              <w:tl2br w:val="nil"/>
              <w:tr2bl w:val="nil"/>
            </w:tcBorders>
            <w:shd w:val="clear" w:color="auto" w:fill="C0C0C0"/>
            <w:noWrap/>
            <w:textDirection w:val="lrTb"/>
            <w:vAlign w:val="center"/>
          </w:tcPr>
          <w:p w:rsidR="00AA35C8" w:rsidRPr="00F444DF" w:rsidP="00AA35C8">
            <w:pPr>
              <w:spacing w:line="240" w:lineRule="auto"/>
              <w:ind w:left="-70"/>
              <w:jc w:val="center"/>
              <w:rPr>
                <w:rFonts w:ascii="Times New Roman" w:hAnsi="Times New Roman" w:cs="Times New Roman"/>
                <w:b/>
                <w:bCs/>
                <w:sz w:val="18"/>
                <w:szCs w:val="18"/>
              </w:rPr>
            </w:pPr>
            <w:r w:rsidRPr="00F444DF">
              <w:rPr>
                <w:rFonts w:ascii="Times New Roman" w:hAnsi="Times New Roman" w:cs="Times New Roman"/>
                <w:b/>
                <w:bCs/>
                <w:sz w:val="18"/>
                <w:szCs w:val="18"/>
              </w:rPr>
              <w:t>9 924 518,85</w:t>
            </w:r>
          </w:p>
        </w:tc>
        <w:tc>
          <w:tcPr>
            <w:tcW w:w="1080" w:type="dxa"/>
            <w:tcBorders>
              <w:top w:val="nil"/>
              <w:left w:val="nil"/>
              <w:bottom w:val="single" w:sz="4" w:space="0" w:color="auto"/>
              <w:right w:val="double" w:sz="6" w:space="0" w:color="auto"/>
              <w:tl2br w:val="nil"/>
              <w:tr2bl w:val="nil"/>
            </w:tcBorders>
            <w:shd w:val="clear" w:color="auto" w:fill="C0C0C0"/>
            <w:noWrap/>
            <w:textDirection w:val="lrTb"/>
            <w:vAlign w:val="center"/>
          </w:tcPr>
          <w:p w:rsidR="00AA35C8" w:rsidRPr="00F444DF" w:rsidP="00AA35C8">
            <w:pPr>
              <w:spacing w:line="240" w:lineRule="auto"/>
              <w:ind w:left="-70" w:right="-70"/>
              <w:jc w:val="center"/>
              <w:rPr>
                <w:rFonts w:ascii="Times New Roman" w:hAnsi="Times New Roman" w:cs="Times New Roman"/>
                <w:b/>
                <w:bCs/>
                <w:sz w:val="18"/>
                <w:szCs w:val="18"/>
              </w:rPr>
            </w:pPr>
            <w:r w:rsidRPr="00F444DF">
              <w:rPr>
                <w:rFonts w:ascii="Times New Roman" w:hAnsi="Times New Roman" w:cs="Times New Roman"/>
                <w:b/>
                <w:bCs/>
                <w:sz w:val="18"/>
                <w:szCs w:val="18"/>
              </w:rPr>
              <w:t>1 005 493,20</w:t>
            </w:r>
          </w:p>
        </w:tc>
        <w:tc>
          <w:tcPr>
            <w:tcW w:w="1417" w:type="dxa"/>
            <w:tcBorders>
              <w:top w:val="single" w:sz="4" w:space="0" w:color="auto"/>
              <w:left w:val="nil"/>
              <w:bottom w:val="single" w:sz="4" w:space="0" w:color="auto"/>
              <w:right w:val="double" w:sz="6" w:space="0" w:color="auto"/>
              <w:tl2br w:val="nil"/>
              <w:tr2bl w:val="nil"/>
            </w:tcBorders>
            <w:shd w:val="clear" w:color="auto" w:fill="C0C0C0"/>
            <w:noWrap/>
            <w:textDirection w:val="lrTb"/>
            <w:vAlign w:val="center"/>
          </w:tcPr>
          <w:p w:rsidR="00AA35C8" w:rsidRPr="00F444DF" w:rsidP="00AA35C8">
            <w:pPr>
              <w:spacing w:line="240" w:lineRule="auto"/>
              <w:ind w:left="-70"/>
              <w:jc w:val="right"/>
              <w:rPr>
                <w:rFonts w:ascii="Times New Roman" w:hAnsi="Times New Roman" w:cs="Times New Roman"/>
                <w:b/>
                <w:bCs/>
                <w:sz w:val="18"/>
                <w:szCs w:val="18"/>
              </w:rPr>
            </w:pPr>
            <w:r w:rsidRPr="00F444DF">
              <w:rPr>
                <w:rFonts w:ascii="Times New Roman" w:hAnsi="Times New Roman" w:cs="Times New Roman"/>
                <w:b/>
                <w:bCs/>
                <w:sz w:val="18"/>
                <w:szCs w:val="18"/>
              </w:rPr>
              <w:t>103 227 830,98</w:t>
            </w:r>
          </w:p>
        </w:tc>
        <w:tc>
          <w:tcPr>
            <w:tcW w:w="1080" w:type="dxa"/>
            <w:tcBorders>
              <w:top w:val="double" w:sz="4" w:space="0" w:color="auto"/>
              <w:left w:val="nil"/>
              <w:bottom w:val="single" w:sz="4" w:space="0" w:color="auto"/>
              <w:right w:val="double" w:sz="4" w:space="0" w:color="auto"/>
              <w:tl2br w:val="nil"/>
              <w:tr2bl w:val="nil"/>
            </w:tcBorders>
            <w:shd w:val="clear" w:color="auto" w:fill="C0C0C0"/>
            <w:textDirection w:val="lrTb"/>
            <w:vAlign w:val="top"/>
          </w:tcPr>
          <w:p w:rsidR="00AA35C8" w:rsidRPr="00F444DF" w:rsidP="00AA35C8">
            <w:pPr>
              <w:spacing w:line="240" w:lineRule="auto"/>
              <w:ind w:left="-10"/>
              <w:jc w:val="right"/>
              <w:rPr>
                <w:rFonts w:ascii="Times New Roman" w:hAnsi="Times New Roman" w:cs="Times New Roman"/>
                <w:b/>
                <w:sz w:val="18"/>
                <w:szCs w:val="18"/>
              </w:rPr>
            </w:pPr>
            <w:r w:rsidRPr="00F444DF">
              <w:rPr>
                <w:rFonts w:ascii="Times New Roman" w:hAnsi="Times New Roman" w:cs="Times New Roman"/>
                <w:b/>
                <w:sz w:val="18"/>
                <w:szCs w:val="18"/>
              </w:rPr>
              <w:t>804 561,4</w:t>
            </w:r>
          </w:p>
        </w:tc>
      </w:tr>
      <w:tr>
        <w:tblPrEx>
          <w:tblW w:w="10260" w:type="dxa"/>
          <w:tblInd w:w="-290" w:type="dxa"/>
          <w:tblCellMar>
            <w:left w:w="70" w:type="dxa"/>
            <w:right w:w="70" w:type="dxa"/>
          </w:tblCellMar>
        </w:tblPrEx>
        <w:trPr>
          <w:trHeight w:val="210"/>
        </w:trPr>
        <w:tc>
          <w:tcPr>
            <w:tcW w:w="1283" w:type="dxa"/>
            <w:tcBorders>
              <w:top w:val="single" w:sz="4" w:space="0" w:color="auto"/>
              <w:left w:val="double" w:sz="6" w:space="0" w:color="auto"/>
              <w:bottom w:val="double" w:sz="6" w:space="0" w:color="auto"/>
              <w:right w:val="double" w:sz="6" w:space="0" w:color="auto"/>
              <w:tl2br w:val="nil"/>
              <w:tr2bl w:val="nil"/>
            </w:tcBorders>
            <w:noWrap/>
            <w:textDirection w:val="lrTb"/>
            <w:vAlign w:val="bottom"/>
          </w:tcPr>
          <w:p w:rsidR="00AA35C8" w:rsidRPr="00F444DF" w:rsidP="00AA35C8">
            <w:pPr>
              <w:spacing w:line="240" w:lineRule="auto"/>
              <w:ind w:left="-47" w:right="-70"/>
              <w:jc w:val="left"/>
              <w:rPr>
                <w:rFonts w:ascii="Times New Roman" w:hAnsi="Times New Roman" w:cs="Times New Roman"/>
                <w:bCs/>
              </w:rPr>
            </w:pPr>
            <w:r w:rsidRPr="00F444DF">
              <w:rPr>
                <w:rFonts w:ascii="Times New Roman" w:hAnsi="Times New Roman" w:cs="Times New Roman"/>
                <w:bCs/>
              </w:rPr>
              <w:t>% plnenia</w:t>
            </w:r>
          </w:p>
        </w:tc>
        <w:tc>
          <w:tcPr>
            <w:tcW w:w="1080" w:type="dxa"/>
            <w:tcBorders>
              <w:top w:val="single" w:sz="4" w:space="0" w:color="auto"/>
              <w:left w:val="single" w:sz="8" w:space="0" w:color="auto"/>
              <w:bottom w:val="double" w:sz="6" w:space="0" w:color="auto"/>
              <w:right w:val="single" w:sz="8" w:space="0" w:color="auto"/>
              <w:tl2br w:val="nil"/>
              <w:tr2bl w:val="nil"/>
            </w:tcBorders>
            <w:noWrap/>
            <w:textDirection w:val="lrTb"/>
            <w:vAlign w:val="center"/>
          </w:tcPr>
          <w:p w:rsidR="00AA35C8" w:rsidRPr="00F444DF" w:rsidP="00AA35C8">
            <w:pPr>
              <w:spacing w:line="240" w:lineRule="auto"/>
              <w:jc w:val="center"/>
              <w:rPr>
                <w:rFonts w:ascii="Times New Roman" w:hAnsi="Times New Roman" w:cs="Times New Roman"/>
                <w:bCs/>
                <w:sz w:val="18"/>
                <w:szCs w:val="18"/>
              </w:rPr>
            </w:pPr>
            <w:r w:rsidRPr="00F444DF">
              <w:rPr>
                <w:rFonts w:ascii="Times New Roman" w:hAnsi="Times New Roman" w:cs="Times New Roman"/>
                <w:bCs/>
                <w:sz w:val="18"/>
                <w:szCs w:val="18"/>
              </w:rPr>
              <w:t>100,00 %</w:t>
            </w:r>
          </w:p>
        </w:tc>
        <w:tc>
          <w:tcPr>
            <w:tcW w:w="1080" w:type="dxa"/>
            <w:tcBorders>
              <w:top w:val="single" w:sz="4" w:space="0" w:color="auto"/>
              <w:left w:val="nil"/>
              <w:bottom w:val="double" w:sz="6" w:space="0" w:color="auto"/>
              <w:right w:val="single" w:sz="8" w:space="0" w:color="auto"/>
              <w:tl2br w:val="nil"/>
              <w:tr2bl w:val="nil"/>
            </w:tcBorders>
            <w:noWrap/>
            <w:textDirection w:val="lrTb"/>
            <w:vAlign w:val="center"/>
          </w:tcPr>
          <w:p w:rsidR="00AA35C8" w:rsidRPr="00F444DF" w:rsidP="00AA35C8">
            <w:pPr>
              <w:spacing w:line="240" w:lineRule="auto"/>
              <w:ind w:left="-70" w:right="-70"/>
              <w:jc w:val="center"/>
              <w:rPr>
                <w:rFonts w:ascii="Times New Roman" w:hAnsi="Times New Roman" w:cs="Times New Roman"/>
                <w:bCs/>
                <w:sz w:val="18"/>
                <w:szCs w:val="18"/>
              </w:rPr>
            </w:pPr>
            <w:r w:rsidRPr="00F444DF">
              <w:rPr>
                <w:rFonts w:ascii="Times New Roman" w:hAnsi="Times New Roman" w:cs="Times New Roman"/>
                <w:bCs/>
                <w:sz w:val="18"/>
                <w:szCs w:val="18"/>
              </w:rPr>
              <w:t>100,00 %</w:t>
            </w:r>
          </w:p>
        </w:tc>
        <w:tc>
          <w:tcPr>
            <w:tcW w:w="1080" w:type="dxa"/>
            <w:tcBorders>
              <w:top w:val="single" w:sz="4" w:space="0" w:color="auto"/>
              <w:left w:val="nil"/>
              <w:bottom w:val="double" w:sz="6" w:space="0" w:color="auto"/>
              <w:right w:val="single" w:sz="8" w:space="0" w:color="auto"/>
              <w:tl2br w:val="nil"/>
              <w:tr2bl w:val="nil"/>
            </w:tcBorders>
            <w:noWrap/>
            <w:textDirection w:val="lrTb"/>
            <w:vAlign w:val="center"/>
          </w:tcPr>
          <w:p w:rsidR="00AA35C8" w:rsidRPr="00F444DF" w:rsidP="00AA35C8">
            <w:pPr>
              <w:spacing w:line="240" w:lineRule="auto"/>
              <w:jc w:val="center"/>
              <w:rPr>
                <w:rFonts w:ascii="Times New Roman" w:hAnsi="Times New Roman" w:cs="Times New Roman"/>
                <w:bCs/>
                <w:sz w:val="18"/>
                <w:szCs w:val="18"/>
              </w:rPr>
            </w:pPr>
            <w:r w:rsidRPr="00F444DF">
              <w:rPr>
                <w:rFonts w:ascii="Times New Roman" w:hAnsi="Times New Roman" w:cs="Times New Roman"/>
                <w:bCs/>
                <w:sz w:val="18"/>
                <w:szCs w:val="18"/>
              </w:rPr>
              <w:t>100,00 %</w:t>
            </w:r>
          </w:p>
        </w:tc>
        <w:tc>
          <w:tcPr>
            <w:tcW w:w="1080" w:type="dxa"/>
            <w:tcBorders>
              <w:top w:val="single" w:sz="4" w:space="0" w:color="auto"/>
              <w:left w:val="nil"/>
              <w:bottom w:val="double" w:sz="6" w:space="0" w:color="auto"/>
              <w:right w:val="single" w:sz="8" w:space="0" w:color="auto"/>
              <w:tl2br w:val="nil"/>
              <w:tr2bl w:val="nil"/>
            </w:tcBorders>
            <w:noWrap/>
            <w:textDirection w:val="lrTb"/>
            <w:vAlign w:val="center"/>
          </w:tcPr>
          <w:p w:rsidR="00AA35C8" w:rsidRPr="00F444DF" w:rsidP="00AA35C8">
            <w:pPr>
              <w:spacing w:line="240" w:lineRule="auto"/>
              <w:jc w:val="center"/>
              <w:rPr>
                <w:rFonts w:ascii="Times New Roman" w:hAnsi="Times New Roman" w:cs="Times New Roman"/>
                <w:bCs/>
                <w:sz w:val="18"/>
                <w:szCs w:val="18"/>
              </w:rPr>
            </w:pPr>
            <w:r w:rsidRPr="00F444DF">
              <w:rPr>
                <w:rFonts w:ascii="Times New Roman" w:hAnsi="Times New Roman" w:cs="Times New Roman"/>
                <w:bCs/>
                <w:sz w:val="18"/>
                <w:szCs w:val="18"/>
              </w:rPr>
              <w:t>100,00 %</w:t>
            </w:r>
          </w:p>
        </w:tc>
        <w:tc>
          <w:tcPr>
            <w:tcW w:w="1080" w:type="dxa"/>
            <w:tcBorders>
              <w:top w:val="single" w:sz="4" w:space="0" w:color="auto"/>
              <w:left w:val="nil"/>
              <w:bottom w:val="double" w:sz="6" w:space="0" w:color="auto"/>
              <w:right w:val="single" w:sz="8" w:space="0" w:color="auto"/>
              <w:tl2br w:val="nil"/>
              <w:tr2bl w:val="nil"/>
            </w:tcBorders>
            <w:noWrap/>
            <w:textDirection w:val="lrTb"/>
            <w:vAlign w:val="center"/>
          </w:tcPr>
          <w:p w:rsidR="00AA35C8" w:rsidRPr="00F444DF" w:rsidP="00AA35C8">
            <w:pPr>
              <w:spacing w:line="240" w:lineRule="auto"/>
              <w:jc w:val="center"/>
              <w:rPr>
                <w:rFonts w:ascii="Times New Roman" w:hAnsi="Times New Roman" w:cs="Times New Roman"/>
                <w:bCs/>
                <w:sz w:val="18"/>
                <w:szCs w:val="18"/>
              </w:rPr>
            </w:pPr>
            <w:r w:rsidRPr="00F444DF">
              <w:rPr>
                <w:rFonts w:ascii="Times New Roman" w:hAnsi="Times New Roman" w:cs="Times New Roman"/>
                <w:bCs/>
                <w:sz w:val="18"/>
                <w:szCs w:val="18"/>
              </w:rPr>
              <w:t>100,00 %</w:t>
            </w:r>
          </w:p>
        </w:tc>
        <w:tc>
          <w:tcPr>
            <w:tcW w:w="1080" w:type="dxa"/>
            <w:tcBorders>
              <w:top w:val="single" w:sz="4" w:space="0" w:color="auto"/>
              <w:left w:val="nil"/>
              <w:bottom w:val="double" w:sz="6" w:space="0" w:color="auto"/>
              <w:right w:val="double" w:sz="6" w:space="0" w:color="auto"/>
              <w:tl2br w:val="nil"/>
              <w:tr2bl w:val="nil"/>
            </w:tcBorders>
            <w:noWrap/>
            <w:textDirection w:val="lrTb"/>
            <w:vAlign w:val="center"/>
          </w:tcPr>
          <w:p w:rsidR="00AA35C8" w:rsidRPr="00F444DF" w:rsidP="00AA35C8">
            <w:pPr>
              <w:spacing w:line="240" w:lineRule="auto"/>
              <w:jc w:val="center"/>
              <w:rPr>
                <w:rFonts w:ascii="Times New Roman" w:hAnsi="Times New Roman" w:cs="Times New Roman"/>
                <w:bCs/>
                <w:sz w:val="18"/>
                <w:szCs w:val="18"/>
              </w:rPr>
            </w:pPr>
            <w:r w:rsidRPr="00F444DF">
              <w:rPr>
                <w:rFonts w:ascii="Times New Roman" w:hAnsi="Times New Roman" w:cs="Times New Roman"/>
                <w:bCs/>
                <w:sz w:val="18"/>
                <w:szCs w:val="18"/>
              </w:rPr>
              <w:t>100,00 %</w:t>
            </w:r>
          </w:p>
        </w:tc>
        <w:tc>
          <w:tcPr>
            <w:tcW w:w="1417" w:type="dxa"/>
            <w:tcBorders>
              <w:top w:val="single" w:sz="4" w:space="0" w:color="auto"/>
              <w:left w:val="nil"/>
              <w:bottom w:val="double" w:sz="6" w:space="0" w:color="auto"/>
              <w:right w:val="double" w:sz="6" w:space="0" w:color="auto"/>
              <w:tl2br w:val="nil"/>
              <w:tr2bl w:val="nil"/>
            </w:tcBorders>
            <w:noWrap/>
            <w:textDirection w:val="lrTb"/>
            <w:vAlign w:val="center"/>
          </w:tcPr>
          <w:p w:rsidR="00AA35C8" w:rsidRPr="00F444DF" w:rsidP="00AA35C8">
            <w:pPr>
              <w:spacing w:line="240" w:lineRule="auto"/>
              <w:jc w:val="center"/>
              <w:rPr>
                <w:rFonts w:ascii="Times New Roman" w:hAnsi="Times New Roman" w:cs="Times New Roman"/>
                <w:bCs/>
                <w:sz w:val="18"/>
                <w:szCs w:val="18"/>
              </w:rPr>
            </w:pPr>
            <w:r w:rsidRPr="00F444DF">
              <w:rPr>
                <w:rFonts w:ascii="Times New Roman" w:hAnsi="Times New Roman" w:cs="Times New Roman"/>
                <w:bCs/>
                <w:sz w:val="18"/>
                <w:szCs w:val="18"/>
              </w:rPr>
              <w:t>100,00 %</w:t>
            </w:r>
          </w:p>
        </w:tc>
        <w:tc>
          <w:tcPr>
            <w:tcW w:w="1080" w:type="dxa"/>
            <w:tcBorders>
              <w:top w:val="single" w:sz="4" w:space="0" w:color="auto"/>
              <w:left w:val="nil"/>
              <w:bottom w:val="double" w:sz="4" w:space="0" w:color="auto"/>
              <w:right w:val="double" w:sz="4" w:space="0" w:color="auto"/>
              <w:tl2br w:val="nil"/>
              <w:tr2bl w:val="nil"/>
            </w:tcBorders>
            <w:textDirection w:val="lrTb"/>
            <w:vAlign w:val="top"/>
          </w:tcPr>
          <w:p w:rsidR="00AA35C8" w:rsidRPr="00F444DF" w:rsidP="00AA35C8">
            <w:pPr>
              <w:spacing w:line="240" w:lineRule="auto"/>
              <w:ind w:left="-10"/>
              <w:jc w:val="right"/>
              <w:rPr>
                <w:rFonts w:ascii="Times New Roman" w:hAnsi="Times New Roman" w:cs="Times New Roman"/>
                <w:sz w:val="18"/>
                <w:szCs w:val="18"/>
              </w:rPr>
            </w:pPr>
            <w:r w:rsidRPr="00F444DF">
              <w:rPr>
                <w:rFonts w:ascii="Times New Roman" w:hAnsi="Times New Roman" w:cs="Times New Roman"/>
                <w:sz w:val="18"/>
                <w:szCs w:val="18"/>
              </w:rPr>
              <w:t>100,00 %</w:t>
            </w:r>
          </w:p>
        </w:tc>
      </w:tr>
    </w:tbl>
    <w:p w:rsidR="00AA35C8" w:rsidP="00AA35C8">
      <w:pPr>
        <w:pStyle w:val="Title"/>
        <w:spacing w:line="240" w:lineRule="auto"/>
        <w:jc w:val="left"/>
        <w:rPr>
          <w:rFonts w:ascii="Times New Roman" w:hAnsi="Times New Roman" w:cs="Times New Roman"/>
          <w:bCs/>
          <w:sz w:val="20"/>
        </w:rPr>
      </w:pPr>
      <w:r w:rsidRPr="001B4605">
        <w:rPr>
          <w:rFonts w:ascii="Times New Roman" w:hAnsi="Times New Roman" w:cs="Times New Roman"/>
          <w:b/>
          <w:bCs/>
          <w:sz w:val="20"/>
        </w:rPr>
        <w:t xml:space="preserve">    </w:t>
      </w:r>
      <w:r>
        <w:rPr>
          <w:rFonts w:ascii="Times New Roman" w:hAnsi="Times New Roman" w:cs="Times New Roman"/>
          <w:bCs/>
          <w:sz w:val="20"/>
        </w:rPr>
        <w:t xml:space="preserve">                                                                      </w:t>
      </w:r>
    </w:p>
    <w:p w:rsidR="00AA35C8" w:rsidRPr="00E734B6" w:rsidP="009A52FB">
      <w:pPr>
        <w:pStyle w:val="Title"/>
        <w:spacing w:line="240" w:lineRule="auto"/>
        <w:ind w:right="-829"/>
        <w:jc w:val="right"/>
        <w:rPr>
          <w:rFonts w:ascii="Times New Roman" w:hAnsi="Times New Roman" w:cs="Times New Roman"/>
        </w:rPr>
      </w:pPr>
      <w:r>
        <w:rPr>
          <w:rFonts w:ascii="Times New Roman" w:hAnsi="Times New Roman" w:cs="Times New Roman"/>
          <w:bCs/>
          <w:sz w:val="20"/>
        </w:rPr>
        <w:t xml:space="preserve">                                      </w:t>
      </w:r>
      <w:r w:rsidR="009A52FB">
        <w:rPr>
          <w:rFonts w:ascii="Times New Roman" w:hAnsi="Times New Roman" w:cs="Times New Roman"/>
          <w:bCs/>
          <w:sz w:val="20"/>
        </w:rPr>
        <w:t xml:space="preserve">        </w:t>
      </w:r>
      <w:r w:rsidR="00F444DF">
        <w:rPr>
          <w:rFonts w:ascii="Times New Roman" w:hAnsi="Times New Roman" w:cs="Times New Roman"/>
          <w:bCs/>
          <w:sz w:val="20"/>
        </w:rPr>
        <w:t>(v Sk)</w:t>
      </w:r>
    </w:p>
    <w:tbl>
      <w:tblPr>
        <w:tblW w:w="10240" w:type="dxa"/>
        <w:tblInd w:w="-290" w:type="dxa"/>
        <w:tblCellMar>
          <w:left w:w="70" w:type="dxa"/>
          <w:right w:w="70" w:type="dxa"/>
        </w:tblCellMar>
      </w:tblPr>
      <w:tblGrid>
        <w:gridCol w:w="440"/>
        <w:gridCol w:w="1383"/>
        <w:gridCol w:w="1260"/>
        <w:gridCol w:w="1260"/>
        <w:gridCol w:w="1260"/>
        <w:gridCol w:w="1260"/>
        <w:gridCol w:w="1076"/>
        <w:gridCol w:w="1444"/>
        <w:gridCol w:w="857"/>
      </w:tblGrid>
      <w:tr>
        <w:tblPrEx>
          <w:tblW w:w="10240" w:type="dxa"/>
          <w:tblInd w:w="-290" w:type="dxa"/>
          <w:tblCellMar>
            <w:left w:w="70" w:type="dxa"/>
            <w:right w:w="70" w:type="dxa"/>
          </w:tblCellMar>
        </w:tblPrEx>
        <w:trPr>
          <w:trHeight w:val="191"/>
        </w:trPr>
        <w:tc>
          <w:tcPr>
            <w:tcW w:w="10240" w:type="dxa"/>
            <w:gridSpan w:val="9"/>
            <w:tcBorders>
              <w:top w:val="double" w:sz="6" w:space="0" w:color="auto"/>
              <w:left w:val="double" w:sz="6" w:space="0" w:color="auto"/>
              <w:bottom w:val="single" w:sz="8" w:space="0" w:color="auto"/>
              <w:right w:val="double" w:sz="6" w:space="0" w:color="000000"/>
              <w:tl2br w:val="nil"/>
              <w:tr2bl w:val="nil"/>
            </w:tcBorders>
            <w:shd w:val="clear" w:color="auto" w:fill="C0C0C0"/>
            <w:noWrap/>
            <w:textDirection w:val="lrTb"/>
            <w:vAlign w:val="center"/>
          </w:tcPr>
          <w:p w:rsidR="00AA35C8" w:rsidRPr="005F7693" w:rsidP="00AA35C8">
            <w:pPr>
              <w:spacing w:line="240" w:lineRule="auto"/>
              <w:jc w:val="center"/>
              <w:rPr>
                <w:rFonts w:ascii="Times New Roman" w:hAnsi="Times New Roman" w:cs="Times New Roman"/>
                <w:b/>
                <w:bCs/>
              </w:rPr>
            </w:pPr>
            <w:r w:rsidRPr="005F7693">
              <w:rPr>
                <w:rFonts w:ascii="Times New Roman" w:hAnsi="Times New Roman" w:cs="Times New Roman"/>
                <w:b/>
                <w:bCs/>
              </w:rPr>
              <w:t xml:space="preserve">BV - KTG 630 - tovary  a služby </w:t>
            </w:r>
            <w:r>
              <w:rPr>
                <w:rFonts w:ascii="Times New Roman" w:hAnsi="Times New Roman" w:cs="Times New Roman"/>
                <w:b/>
                <w:bCs/>
              </w:rPr>
              <w:t>–</w:t>
            </w:r>
            <w:r w:rsidRPr="005F7693">
              <w:rPr>
                <w:rFonts w:ascii="Times New Roman" w:hAnsi="Times New Roman" w:cs="Times New Roman"/>
                <w:b/>
                <w:bCs/>
              </w:rPr>
              <w:t xml:space="preserve"> </w:t>
            </w:r>
            <w:r>
              <w:rPr>
                <w:rFonts w:ascii="Times New Roman" w:hAnsi="Times New Roman" w:cs="Times New Roman"/>
                <w:b/>
                <w:bCs/>
              </w:rPr>
              <w:t>K 31.12.2007 podľa</w:t>
            </w:r>
            <w:r w:rsidR="00F444DF">
              <w:rPr>
                <w:rFonts w:ascii="Times New Roman" w:hAnsi="Times New Roman" w:cs="Times New Roman"/>
                <w:b/>
                <w:bCs/>
              </w:rPr>
              <w:t xml:space="preserve"> rozpočtových položiek</w:t>
            </w:r>
          </w:p>
        </w:tc>
      </w:tr>
      <w:tr>
        <w:tblPrEx>
          <w:tblW w:w="10240" w:type="dxa"/>
          <w:tblInd w:w="-290" w:type="dxa"/>
          <w:tblCellMar>
            <w:left w:w="70" w:type="dxa"/>
            <w:right w:w="70" w:type="dxa"/>
          </w:tblCellMar>
        </w:tblPrEx>
        <w:trPr>
          <w:trHeight w:val="253"/>
        </w:trPr>
        <w:tc>
          <w:tcPr>
            <w:tcW w:w="440" w:type="dxa"/>
            <w:tcBorders>
              <w:top w:val="nil"/>
              <w:left w:val="double" w:sz="6" w:space="0" w:color="auto"/>
              <w:bottom w:val="double" w:sz="6" w:space="0" w:color="auto"/>
              <w:right w:val="double" w:sz="6" w:space="0" w:color="auto"/>
              <w:tl2br w:val="nil"/>
              <w:tr2bl w:val="nil"/>
            </w:tcBorders>
            <w:shd w:val="clear" w:color="auto" w:fill="C0C0C0"/>
            <w:noWrap/>
            <w:textDirection w:val="lrTb"/>
            <w:vAlign w:val="bottom"/>
          </w:tcPr>
          <w:p w:rsidR="00AA35C8" w:rsidRPr="005F7693" w:rsidP="00AA35C8">
            <w:pPr>
              <w:spacing w:line="240" w:lineRule="auto"/>
              <w:jc w:val="center"/>
              <w:rPr>
                <w:rFonts w:ascii="Times New Roman" w:hAnsi="Times New Roman" w:cs="Times New Roman"/>
                <w:b/>
                <w:bCs/>
              </w:rPr>
            </w:pPr>
            <w:r w:rsidRPr="005F7693">
              <w:rPr>
                <w:rFonts w:ascii="Times New Roman" w:hAnsi="Times New Roman" w:cs="Times New Roman"/>
                <w:b/>
                <w:bCs/>
              </w:rPr>
              <w:t>RP</w:t>
            </w:r>
          </w:p>
        </w:tc>
        <w:tc>
          <w:tcPr>
            <w:tcW w:w="1383" w:type="dxa"/>
            <w:tcBorders>
              <w:top w:val="nil"/>
              <w:left w:val="nil"/>
              <w:bottom w:val="double" w:sz="6" w:space="0" w:color="auto"/>
              <w:right w:val="single" w:sz="8" w:space="0" w:color="auto"/>
              <w:tl2br w:val="nil"/>
              <w:tr2bl w:val="nil"/>
            </w:tcBorders>
            <w:shd w:val="clear" w:color="auto" w:fill="C0C0C0"/>
            <w:noWrap/>
            <w:textDirection w:val="lrTb"/>
            <w:vAlign w:val="bottom"/>
          </w:tcPr>
          <w:p w:rsidR="00AA35C8" w:rsidRPr="005F7693" w:rsidP="00AA35C8">
            <w:pPr>
              <w:spacing w:line="240" w:lineRule="auto"/>
              <w:ind w:left="-127"/>
              <w:jc w:val="center"/>
              <w:rPr>
                <w:rFonts w:ascii="Times New Roman" w:hAnsi="Times New Roman" w:cs="Times New Roman"/>
                <w:b/>
                <w:bCs/>
              </w:rPr>
            </w:pPr>
            <w:r w:rsidRPr="005F7693">
              <w:rPr>
                <w:rFonts w:ascii="Times New Roman" w:hAnsi="Times New Roman" w:cs="Times New Roman"/>
                <w:b/>
                <w:bCs/>
              </w:rPr>
              <w:t>GR</w:t>
            </w:r>
            <w:r>
              <w:rPr>
                <w:rFonts w:ascii="Times New Roman" w:hAnsi="Times New Roman" w:cs="Times New Roman"/>
                <w:b/>
                <w:bCs/>
              </w:rPr>
              <w:t xml:space="preserve"> ŽP</w:t>
            </w:r>
          </w:p>
        </w:tc>
        <w:tc>
          <w:tcPr>
            <w:tcW w:w="1260" w:type="dxa"/>
            <w:tcBorders>
              <w:top w:val="nil"/>
              <w:left w:val="nil"/>
              <w:bottom w:val="double" w:sz="6" w:space="0" w:color="auto"/>
              <w:right w:val="single" w:sz="8" w:space="0" w:color="auto"/>
              <w:tl2br w:val="nil"/>
              <w:tr2bl w:val="nil"/>
            </w:tcBorders>
            <w:shd w:val="clear" w:color="auto" w:fill="C0C0C0"/>
            <w:noWrap/>
            <w:textDirection w:val="lrTb"/>
            <w:vAlign w:val="bottom"/>
          </w:tcPr>
          <w:p w:rsidR="00AA35C8" w:rsidRPr="005F7693" w:rsidP="00AA35C8">
            <w:pPr>
              <w:spacing w:line="240" w:lineRule="auto"/>
              <w:ind w:left="-70"/>
              <w:jc w:val="center"/>
              <w:rPr>
                <w:rFonts w:ascii="Times New Roman" w:hAnsi="Times New Roman" w:cs="Times New Roman"/>
                <w:b/>
                <w:bCs/>
              </w:rPr>
            </w:pPr>
            <w:r w:rsidRPr="005F7693">
              <w:rPr>
                <w:rFonts w:ascii="Times New Roman" w:hAnsi="Times New Roman" w:cs="Times New Roman"/>
                <w:b/>
                <w:bCs/>
              </w:rPr>
              <w:t>ObS ŽP TT</w:t>
            </w:r>
          </w:p>
        </w:tc>
        <w:tc>
          <w:tcPr>
            <w:tcW w:w="1260" w:type="dxa"/>
            <w:tcBorders>
              <w:top w:val="nil"/>
              <w:left w:val="nil"/>
              <w:bottom w:val="double" w:sz="6" w:space="0" w:color="auto"/>
              <w:right w:val="single" w:sz="8" w:space="0" w:color="auto"/>
              <w:tl2br w:val="nil"/>
              <w:tr2bl w:val="nil"/>
            </w:tcBorders>
            <w:shd w:val="clear" w:color="auto" w:fill="C0C0C0"/>
            <w:noWrap/>
            <w:textDirection w:val="lrTb"/>
            <w:vAlign w:val="bottom"/>
          </w:tcPr>
          <w:p w:rsidR="00AA35C8" w:rsidRPr="005F7693" w:rsidP="00AA35C8">
            <w:pPr>
              <w:spacing w:line="240" w:lineRule="auto"/>
              <w:ind w:left="-70"/>
              <w:jc w:val="center"/>
              <w:rPr>
                <w:rFonts w:ascii="Times New Roman" w:hAnsi="Times New Roman" w:cs="Times New Roman"/>
                <w:b/>
                <w:bCs/>
              </w:rPr>
            </w:pPr>
            <w:r w:rsidRPr="005F7693">
              <w:rPr>
                <w:rFonts w:ascii="Times New Roman" w:hAnsi="Times New Roman" w:cs="Times New Roman"/>
                <w:b/>
                <w:bCs/>
              </w:rPr>
              <w:t>ObS ŽP ZA</w:t>
            </w:r>
          </w:p>
        </w:tc>
        <w:tc>
          <w:tcPr>
            <w:tcW w:w="1260" w:type="dxa"/>
            <w:tcBorders>
              <w:top w:val="nil"/>
              <w:left w:val="nil"/>
              <w:bottom w:val="double" w:sz="6" w:space="0" w:color="auto"/>
              <w:right w:val="single" w:sz="8" w:space="0" w:color="auto"/>
              <w:tl2br w:val="nil"/>
              <w:tr2bl w:val="nil"/>
            </w:tcBorders>
            <w:shd w:val="clear" w:color="auto" w:fill="C0C0C0"/>
            <w:noWrap/>
            <w:textDirection w:val="lrTb"/>
            <w:vAlign w:val="bottom"/>
          </w:tcPr>
          <w:p w:rsidR="00AA35C8" w:rsidRPr="005F7693" w:rsidP="00AA35C8">
            <w:pPr>
              <w:spacing w:line="240" w:lineRule="auto"/>
              <w:ind w:left="-70"/>
              <w:jc w:val="center"/>
              <w:rPr>
                <w:rFonts w:ascii="Times New Roman" w:hAnsi="Times New Roman" w:cs="Times New Roman"/>
                <w:b/>
                <w:bCs/>
              </w:rPr>
            </w:pPr>
            <w:r w:rsidRPr="005F7693">
              <w:rPr>
                <w:rFonts w:ascii="Times New Roman" w:hAnsi="Times New Roman" w:cs="Times New Roman"/>
                <w:b/>
                <w:bCs/>
              </w:rPr>
              <w:t>ObS ŽP ZV</w:t>
            </w:r>
          </w:p>
        </w:tc>
        <w:tc>
          <w:tcPr>
            <w:tcW w:w="1260" w:type="dxa"/>
            <w:tcBorders>
              <w:top w:val="nil"/>
              <w:left w:val="nil"/>
              <w:bottom w:val="double" w:sz="6" w:space="0" w:color="auto"/>
              <w:right w:val="single" w:sz="8" w:space="0" w:color="auto"/>
              <w:tl2br w:val="nil"/>
              <w:tr2bl w:val="nil"/>
            </w:tcBorders>
            <w:shd w:val="clear" w:color="auto" w:fill="C0C0C0"/>
            <w:noWrap/>
            <w:textDirection w:val="lrTb"/>
            <w:vAlign w:val="bottom"/>
          </w:tcPr>
          <w:p w:rsidR="00AA35C8" w:rsidRPr="005F7693" w:rsidP="00AA35C8">
            <w:pPr>
              <w:spacing w:line="240" w:lineRule="auto"/>
              <w:ind w:left="-70"/>
              <w:jc w:val="center"/>
              <w:rPr>
                <w:rFonts w:ascii="Times New Roman" w:hAnsi="Times New Roman" w:cs="Times New Roman"/>
                <w:b/>
                <w:bCs/>
              </w:rPr>
            </w:pPr>
            <w:r w:rsidRPr="005F7693">
              <w:rPr>
                <w:rFonts w:ascii="Times New Roman" w:hAnsi="Times New Roman" w:cs="Times New Roman"/>
                <w:b/>
                <w:bCs/>
              </w:rPr>
              <w:t>ObS ŽP KE</w:t>
            </w:r>
          </w:p>
        </w:tc>
        <w:tc>
          <w:tcPr>
            <w:tcW w:w="1076" w:type="dxa"/>
            <w:tcBorders>
              <w:top w:val="nil"/>
              <w:left w:val="nil"/>
              <w:bottom w:val="double" w:sz="6" w:space="0" w:color="auto"/>
              <w:right w:val="double" w:sz="6" w:space="0" w:color="auto"/>
              <w:tl2br w:val="nil"/>
              <w:tr2bl w:val="nil"/>
            </w:tcBorders>
            <w:shd w:val="clear" w:color="auto" w:fill="C0C0C0"/>
            <w:noWrap/>
            <w:textDirection w:val="lrTb"/>
            <w:vAlign w:val="bottom"/>
          </w:tcPr>
          <w:p w:rsidR="00AA35C8" w:rsidRPr="005F7693" w:rsidP="00AA35C8">
            <w:pPr>
              <w:spacing w:line="240" w:lineRule="auto"/>
              <w:ind w:left="-70"/>
              <w:jc w:val="center"/>
              <w:rPr>
                <w:rFonts w:ascii="Times New Roman" w:hAnsi="Times New Roman" w:cs="Times New Roman"/>
                <w:b/>
                <w:bCs/>
              </w:rPr>
            </w:pPr>
            <w:r w:rsidRPr="005F7693">
              <w:rPr>
                <w:rFonts w:ascii="Times New Roman" w:hAnsi="Times New Roman" w:cs="Times New Roman"/>
                <w:b/>
                <w:bCs/>
              </w:rPr>
              <w:t>ÚZ ŽP K</w:t>
            </w:r>
            <w:r>
              <w:rPr>
                <w:rFonts w:ascii="Times New Roman" w:hAnsi="Times New Roman" w:cs="Times New Roman"/>
                <w:b/>
                <w:bCs/>
              </w:rPr>
              <w:t>A</w:t>
            </w:r>
          </w:p>
        </w:tc>
        <w:tc>
          <w:tcPr>
            <w:tcW w:w="1444" w:type="dxa"/>
            <w:tcBorders>
              <w:top w:val="nil"/>
              <w:left w:val="nil"/>
              <w:bottom w:val="double" w:sz="6" w:space="0" w:color="auto"/>
              <w:right w:val="single" w:sz="4" w:space="0" w:color="auto"/>
              <w:tl2br w:val="nil"/>
              <w:tr2bl w:val="nil"/>
            </w:tcBorders>
            <w:shd w:val="clear" w:color="auto" w:fill="C0C0C0"/>
            <w:noWrap/>
            <w:textDirection w:val="lrTb"/>
            <w:vAlign w:val="bottom"/>
          </w:tcPr>
          <w:p w:rsidR="00AA35C8" w:rsidRPr="005F7693" w:rsidP="00AA35C8">
            <w:pPr>
              <w:spacing w:line="240" w:lineRule="auto"/>
              <w:ind w:left="-66"/>
              <w:jc w:val="center"/>
              <w:rPr>
                <w:rFonts w:ascii="Times New Roman" w:hAnsi="Times New Roman" w:cs="Times New Roman"/>
                <w:b/>
                <w:bCs/>
              </w:rPr>
            </w:pPr>
            <w:r w:rsidR="00F444DF">
              <w:rPr>
                <w:rFonts w:ascii="Times New Roman" w:hAnsi="Times New Roman" w:cs="Times New Roman"/>
                <w:b/>
                <w:bCs/>
              </w:rPr>
              <w:t>Žel. polícia</w:t>
            </w:r>
          </w:p>
        </w:tc>
        <w:tc>
          <w:tcPr>
            <w:tcW w:w="857" w:type="dxa"/>
            <w:tcBorders>
              <w:top w:val="nil"/>
              <w:left w:val="single" w:sz="4" w:space="0" w:color="auto"/>
              <w:bottom w:val="double" w:sz="6" w:space="0" w:color="auto"/>
              <w:right w:val="double" w:sz="6" w:space="0" w:color="auto"/>
              <w:tl2br w:val="nil"/>
              <w:tr2bl w:val="nil"/>
            </w:tcBorders>
            <w:shd w:val="clear" w:color="auto" w:fill="C0C0C0"/>
            <w:textDirection w:val="lrTb"/>
            <w:vAlign w:val="bottom"/>
          </w:tcPr>
          <w:p w:rsidR="00AA35C8" w:rsidRPr="005F7693" w:rsidP="00AA35C8">
            <w:pPr>
              <w:spacing w:line="240" w:lineRule="auto"/>
              <w:ind w:left="-70"/>
              <w:jc w:val="center"/>
              <w:rPr>
                <w:rFonts w:ascii="Times New Roman" w:hAnsi="Times New Roman" w:cs="Times New Roman"/>
                <w:b/>
                <w:bCs/>
              </w:rPr>
            </w:pPr>
            <w:r>
              <w:rPr>
                <w:rFonts w:ascii="Times New Roman" w:hAnsi="Times New Roman" w:cs="Times New Roman"/>
                <w:b/>
                <w:bCs/>
              </w:rPr>
              <w:t>Podiel</w:t>
            </w:r>
          </w:p>
        </w:tc>
      </w:tr>
      <w:tr>
        <w:tblPrEx>
          <w:tblW w:w="10240" w:type="dxa"/>
          <w:tblInd w:w="-290" w:type="dxa"/>
          <w:tblCellMar>
            <w:left w:w="70" w:type="dxa"/>
            <w:right w:w="70" w:type="dxa"/>
          </w:tblCellMar>
        </w:tblPrEx>
        <w:trPr>
          <w:trHeight w:val="171"/>
        </w:trPr>
        <w:tc>
          <w:tcPr>
            <w:tcW w:w="440" w:type="dxa"/>
            <w:tcBorders>
              <w:top w:val="double" w:sz="6" w:space="0" w:color="auto"/>
              <w:left w:val="double" w:sz="6" w:space="0" w:color="auto"/>
              <w:bottom w:val="single" w:sz="8" w:space="0" w:color="auto"/>
              <w:right w:val="double" w:sz="6" w:space="0" w:color="auto"/>
              <w:tl2br w:val="nil"/>
              <w:tr2bl w:val="nil"/>
            </w:tcBorders>
            <w:noWrap/>
            <w:textDirection w:val="lrTb"/>
            <w:vAlign w:val="bottom"/>
          </w:tcPr>
          <w:p w:rsidR="00AA35C8" w:rsidRPr="00F444DF" w:rsidP="00AA35C8">
            <w:pPr>
              <w:spacing w:line="240" w:lineRule="auto"/>
              <w:jc w:val="center"/>
              <w:rPr>
                <w:rFonts w:ascii="Times New Roman" w:hAnsi="Times New Roman" w:cs="Times New Roman"/>
              </w:rPr>
            </w:pPr>
            <w:r w:rsidRPr="00F444DF">
              <w:rPr>
                <w:rFonts w:ascii="Times New Roman" w:hAnsi="Times New Roman" w:cs="Times New Roman"/>
              </w:rPr>
              <w:t>631</w:t>
            </w:r>
          </w:p>
        </w:tc>
        <w:tc>
          <w:tcPr>
            <w:tcW w:w="1383" w:type="dxa"/>
            <w:tcBorders>
              <w:top w:val="double" w:sz="6" w:space="0" w:color="auto"/>
              <w:left w:val="nil"/>
              <w:bottom w:val="single" w:sz="8" w:space="0" w:color="auto"/>
              <w:right w:val="nil"/>
              <w:tl2br w:val="nil"/>
              <w:tr2bl w:val="nil"/>
            </w:tcBorders>
            <w:noWrap/>
            <w:textDirection w:val="lrTb"/>
            <w:vAlign w:val="bottom"/>
          </w:tcPr>
          <w:p w:rsidR="00AA35C8" w:rsidRPr="00F444DF" w:rsidP="00AA35C8">
            <w:pPr>
              <w:spacing w:line="240" w:lineRule="auto"/>
              <w:jc w:val="right"/>
              <w:rPr>
                <w:rFonts w:ascii="Times New Roman" w:hAnsi="Times New Roman" w:cs="Times New Roman"/>
              </w:rPr>
            </w:pPr>
            <w:r w:rsidRPr="00F444DF">
              <w:rPr>
                <w:rFonts w:ascii="Times New Roman" w:hAnsi="Times New Roman" w:cs="Times New Roman"/>
              </w:rPr>
              <w:t>495 711,89</w:t>
            </w:r>
          </w:p>
        </w:tc>
        <w:tc>
          <w:tcPr>
            <w:tcW w:w="1260" w:type="dxa"/>
            <w:tcBorders>
              <w:top w:val="double" w:sz="6" w:space="0" w:color="auto"/>
              <w:left w:val="single" w:sz="8" w:space="0" w:color="auto"/>
              <w:bottom w:val="single" w:sz="8" w:space="0" w:color="auto"/>
              <w:right w:val="single" w:sz="8" w:space="0" w:color="auto"/>
              <w:tl2br w:val="nil"/>
              <w:tr2bl w:val="nil"/>
            </w:tcBorders>
            <w:noWrap/>
            <w:textDirection w:val="lrTb"/>
            <w:vAlign w:val="bottom"/>
          </w:tcPr>
          <w:p w:rsidR="00AA35C8" w:rsidRPr="00F444DF" w:rsidP="00AA35C8">
            <w:pPr>
              <w:spacing w:line="240" w:lineRule="auto"/>
              <w:jc w:val="right"/>
              <w:rPr>
                <w:rFonts w:ascii="Times New Roman" w:hAnsi="Times New Roman" w:cs="Times New Roman"/>
              </w:rPr>
            </w:pPr>
            <w:r w:rsidRPr="00F444DF">
              <w:rPr>
                <w:rFonts w:ascii="Times New Roman" w:hAnsi="Times New Roman" w:cs="Times New Roman"/>
              </w:rPr>
              <w:t>134 452,00</w:t>
            </w:r>
          </w:p>
        </w:tc>
        <w:tc>
          <w:tcPr>
            <w:tcW w:w="1260" w:type="dxa"/>
            <w:tcBorders>
              <w:top w:val="double" w:sz="6" w:space="0" w:color="auto"/>
              <w:left w:val="nil"/>
              <w:bottom w:val="single" w:sz="8" w:space="0" w:color="auto"/>
              <w:right w:val="single" w:sz="8" w:space="0" w:color="auto"/>
              <w:tl2br w:val="nil"/>
              <w:tr2bl w:val="nil"/>
            </w:tcBorders>
            <w:noWrap/>
            <w:textDirection w:val="lrTb"/>
            <w:vAlign w:val="bottom"/>
          </w:tcPr>
          <w:p w:rsidR="00AA35C8" w:rsidRPr="00F444DF" w:rsidP="00AA35C8">
            <w:pPr>
              <w:spacing w:line="240" w:lineRule="auto"/>
              <w:jc w:val="right"/>
              <w:rPr>
                <w:rFonts w:ascii="Times New Roman" w:hAnsi="Times New Roman" w:cs="Times New Roman"/>
                <w:sz w:val="16"/>
                <w:szCs w:val="16"/>
              </w:rPr>
            </w:pPr>
            <w:r w:rsidRPr="00F444DF">
              <w:rPr>
                <w:rFonts w:ascii="Times New Roman" w:hAnsi="Times New Roman" w:cs="Times New Roman"/>
                <w:sz w:val="16"/>
                <w:szCs w:val="16"/>
              </w:rPr>
              <w:t>56 481,00</w:t>
            </w:r>
          </w:p>
        </w:tc>
        <w:tc>
          <w:tcPr>
            <w:tcW w:w="1260" w:type="dxa"/>
            <w:tcBorders>
              <w:top w:val="double" w:sz="6" w:space="0" w:color="auto"/>
              <w:left w:val="nil"/>
              <w:bottom w:val="single" w:sz="8" w:space="0" w:color="auto"/>
              <w:right w:val="single" w:sz="8" w:space="0" w:color="auto"/>
              <w:tl2br w:val="nil"/>
              <w:tr2bl w:val="nil"/>
            </w:tcBorders>
            <w:noWrap/>
            <w:textDirection w:val="lrTb"/>
            <w:vAlign w:val="bottom"/>
          </w:tcPr>
          <w:p w:rsidR="00AA35C8" w:rsidRPr="00F444DF" w:rsidP="00AA35C8">
            <w:pPr>
              <w:spacing w:line="240" w:lineRule="auto"/>
              <w:ind w:left="-70"/>
              <w:jc w:val="right"/>
              <w:rPr>
                <w:rFonts w:ascii="Times New Roman" w:hAnsi="Times New Roman" w:cs="Times New Roman"/>
                <w:sz w:val="16"/>
                <w:szCs w:val="16"/>
              </w:rPr>
            </w:pPr>
            <w:r w:rsidRPr="00F444DF">
              <w:rPr>
                <w:rFonts w:ascii="Times New Roman" w:hAnsi="Times New Roman" w:cs="Times New Roman"/>
                <w:sz w:val="16"/>
                <w:szCs w:val="16"/>
              </w:rPr>
              <w:t>41 059,50</w:t>
            </w:r>
          </w:p>
        </w:tc>
        <w:tc>
          <w:tcPr>
            <w:tcW w:w="1260" w:type="dxa"/>
            <w:tcBorders>
              <w:top w:val="double" w:sz="6" w:space="0" w:color="auto"/>
              <w:left w:val="nil"/>
              <w:bottom w:val="single" w:sz="8" w:space="0" w:color="auto"/>
              <w:right w:val="single" w:sz="8" w:space="0" w:color="auto"/>
              <w:tl2br w:val="nil"/>
              <w:tr2bl w:val="nil"/>
            </w:tcBorders>
            <w:noWrap/>
            <w:textDirection w:val="lrTb"/>
            <w:vAlign w:val="bottom"/>
          </w:tcPr>
          <w:p w:rsidR="00AA35C8" w:rsidRPr="00F444DF" w:rsidP="00AA35C8">
            <w:pPr>
              <w:spacing w:line="240" w:lineRule="auto"/>
              <w:jc w:val="right"/>
              <w:rPr>
                <w:rFonts w:ascii="Times New Roman" w:hAnsi="Times New Roman" w:cs="Times New Roman"/>
                <w:sz w:val="16"/>
                <w:szCs w:val="16"/>
              </w:rPr>
            </w:pPr>
            <w:r w:rsidRPr="00F444DF">
              <w:rPr>
                <w:rFonts w:ascii="Times New Roman" w:hAnsi="Times New Roman" w:cs="Times New Roman"/>
                <w:sz w:val="16"/>
                <w:szCs w:val="16"/>
              </w:rPr>
              <w:t>180 364,50</w:t>
            </w:r>
          </w:p>
        </w:tc>
        <w:tc>
          <w:tcPr>
            <w:tcW w:w="1076" w:type="dxa"/>
            <w:tcBorders>
              <w:top w:val="double" w:sz="6" w:space="0" w:color="auto"/>
              <w:left w:val="nil"/>
              <w:bottom w:val="single" w:sz="8" w:space="0" w:color="auto"/>
              <w:right w:val="double" w:sz="6" w:space="0" w:color="auto"/>
              <w:tl2br w:val="nil"/>
              <w:tr2bl w:val="nil"/>
            </w:tcBorders>
            <w:noWrap/>
            <w:textDirection w:val="lrTb"/>
            <w:vAlign w:val="bottom"/>
          </w:tcPr>
          <w:p w:rsidR="00AA35C8" w:rsidRPr="00F444DF" w:rsidP="00AA35C8">
            <w:pPr>
              <w:spacing w:line="240" w:lineRule="auto"/>
              <w:jc w:val="right"/>
              <w:rPr>
                <w:rFonts w:ascii="Times New Roman" w:hAnsi="Times New Roman" w:cs="Times New Roman"/>
              </w:rPr>
            </w:pPr>
            <w:r w:rsidRPr="00F444DF">
              <w:rPr>
                <w:rFonts w:ascii="Times New Roman" w:hAnsi="Times New Roman" w:cs="Times New Roman"/>
              </w:rPr>
              <w:t>664,00</w:t>
            </w:r>
          </w:p>
        </w:tc>
        <w:tc>
          <w:tcPr>
            <w:tcW w:w="1444" w:type="dxa"/>
            <w:tcBorders>
              <w:top w:val="double" w:sz="6" w:space="0" w:color="auto"/>
              <w:left w:val="nil"/>
              <w:bottom w:val="single" w:sz="8" w:space="0" w:color="auto"/>
              <w:right w:val="single" w:sz="4" w:space="0" w:color="auto"/>
              <w:tl2br w:val="nil"/>
              <w:tr2bl w:val="nil"/>
            </w:tcBorders>
            <w:noWrap/>
            <w:textDirection w:val="lrTb"/>
            <w:vAlign w:val="bottom"/>
          </w:tcPr>
          <w:p w:rsidR="00AA35C8" w:rsidRPr="00F444DF" w:rsidP="00AA35C8">
            <w:pPr>
              <w:spacing w:line="240" w:lineRule="auto"/>
              <w:jc w:val="right"/>
              <w:rPr>
                <w:rFonts w:ascii="Times New Roman" w:hAnsi="Times New Roman" w:cs="Times New Roman"/>
              </w:rPr>
            </w:pPr>
            <w:r w:rsidRPr="00F444DF">
              <w:rPr>
                <w:rFonts w:ascii="Times New Roman" w:hAnsi="Times New Roman" w:cs="Times New Roman"/>
              </w:rPr>
              <w:t>908 732,89</w:t>
            </w:r>
          </w:p>
        </w:tc>
        <w:tc>
          <w:tcPr>
            <w:tcW w:w="857" w:type="dxa"/>
            <w:tcBorders>
              <w:top w:val="double" w:sz="6" w:space="0" w:color="auto"/>
              <w:left w:val="single" w:sz="4" w:space="0" w:color="auto"/>
              <w:bottom w:val="single" w:sz="8" w:space="0" w:color="auto"/>
              <w:right w:val="double" w:sz="6" w:space="0" w:color="auto"/>
              <w:tl2br w:val="nil"/>
              <w:tr2bl w:val="nil"/>
            </w:tcBorders>
            <w:textDirection w:val="lrTb"/>
            <w:vAlign w:val="bottom"/>
          </w:tcPr>
          <w:p w:rsidR="00AA35C8" w:rsidRPr="00F444DF" w:rsidP="00AA35C8">
            <w:pPr>
              <w:spacing w:line="240" w:lineRule="auto"/>
              <w:ind w:left="-74"/>
              <w:jc w:val="right"/>
              <w:rPr>
                <w:rFonts w:ascii="Times New Roman" w:hAnsi="Times New Roman" w:cs="Times New Roman"/>
                <w:sz w:val="16"/>
                <w:szCs w:val="16"/>
              </w:rPr>
            </w:pPr>
            <w:r w:rsidRPr="00F444DF">
              <w:rPr>
                <w:rFonts w:ascii="Times New Roman" w:hAnsi="Times New Roman" w:cs="Times New Roman"/>
                <w:sz w:val="16"/>
                <w:szCs w:val="16"/>
              </w:rPr>
              <w:t>0,88 %</w:t>
            </w:r>
          </w:p>
        </w:tc>
      </w:tr>
      <w:tr>
        <w:tblPrEx>
          <w:tblW w:w="10240" w:type="dxa"/>
          <w:tblInd w:w="-290" w:type="dxa"/>
          <w:tblCellMar>
            <w:left w:w="70" w:type="dxa"/>
            <w:right w:w="70" w:type="dxa"/>
          </w:tblCellMar>
        </w:tblPrEx>
        <w:trPr>
          <w:trHeight w:val="109"/>
        </w:trPr>
        <w:tc>
          <w:tcPr>
            <w:tcW w:w="440" w:type="dxa"/>
            <w:tcBorders>
              <w:top w:val="nil"/>
              <w:left w:val="double" w:sz="6" w:space="0" w:color="auto"/>
              <w:bottom w:val="single" w:sz="8" w:space="0" w:color="auto"/>
              <w:right w:val="double" w:sz="6" w:space="0" w:color="auto"/>
              <w:tl2br w:val="nil"/>
              <w:tr2bl w:val="nil"/>
            </w:tcBorders>
            <w:noWrap/>
            <w:textDirection w:val="lrTb"/>
            <w:vAlign w:val="bottom"/>
          </w:tcPr>
          <w:p w:rsidR="00AA35C8" w:rsidRPr="00F444DF" w:rsidP="00AA35C8">
            <w:pPr>
              <w:spacing w:line="240" w:lineRule="auto"/>
              <w:jc w:val="center"/>
              <w:rPr>
                <w:rFonts w:ascii="Times New Roman" w:hAnsi="Times New Roman" w:cs="Times New Roman"/>
              </w:rPr>
            </w:pPr>
            <w:r w:rsidRPr="00F444DF">
              <w:rPr>
                <w:rFonts w:ascii="Times New Roman" w:hAnsi="Times New Roman" w:cs="Times New Roman"/>
              </w:rPr>
              <w:t>632</w:t>
            </w:r>
          </w:p>
        </w:tc>
        <w:tc>
          <w:tcPr>
            <w:tcW w:w="1383" w:type="dxa"/>
            <w:tcBorders>
              <w:top w:val="nil"/>
              <w:left w:val="nil"/>
              <w:bottom w:val="single" w:sz="8" w:space="0" w:color="auto"/>
              <w:right w:val="nil"/>
              <w:tl2br w:val="nil"/>
              <w:tr2bl w:val="nil"/>
            </w:tcBorders>
            <w:noWrap/>
            <w:textDirection w:val="lrTb"/>
            <w:vAlign w:val="bottom"/>
          </w:tcPr>
          <w:p w:rsidR="00AA35C8" w:rsidRPr="00F444DF" w:rsidP="00AA35C8">
            <w:pPr>
              <w:spacing w:line="240" w:lineRule="auto"/>
              <w:jc w:val="right"/>
              <w:rPr>
                <w:rFonts w:ascii="Times New Roman" w:hAnsi="Times New Roman" w:cs="Times New Roman"/>
              </w:rPr>
            </w:pPr>
            <w:r w:rsidRPr="00F444DF">
              <w:rPr>
                <w:rFonts w:ascii="Times New Roman" w:hAnsi="Times New Roman" w:cs="Times New Roman"/>
              </w:rPr>
              <w:t>6 604 254,50</w:t>
            </w:r>
          </w:p>
        </w:tc>
        <w:tc>
          <w:tcPr>
            <w:tcW w:w="1260" w:type="dxa"/>
            <w:tcBorders>
              <w:top w:val="nil"/>
              <w:left w:val="single" w:sz="8" w:space="0" w:color="auto"/>
              <w:bottom w:val="single" w:sz="8" w:space="0" w:color="auto"/>
              <w:right w:val="single" w:sz="8" w:space="0" w:color="auto"/>
              <w:tl2br w:val="nil"/>
              <w:tr2bl w:val="nil"/>
            </w:tcBorders>
            <w:noWrap/>
            <w:textDirection w:val="lrTb"/>
            <w:vAlign w:val="bottom"/>
          </w:tcPr>
          <w:p w:rsidR="00AA35C8" w:rsidRPr="00F444DF" w:rsidP="00AA35C8">
            <w:pPr>
              <w:spacing w:line="240" w:lineRule="auto"/>
              <w:jc w:val="right"/>
              <w:rPr>
                <w:rFonts w:ascii="Times New Roman" w:hAnsi="Times New Roman" w:cs="Times New Roman"/>
              </w:rPr>
            </w:pPr>
            <w:r w:rsidRPr="00F444DF">
              <w:rPr>
                <w:rFonts w:ascii="Times New Roman" w:hAnsi="Times New Roman" w:cs="Times New Roman"/>
              </w:rPr>
              <w:t>3</w:t>
            </w:r>
            <w:r w:rsidRPr="00F444DF">
              <w:rPr>
                <w:rFonts w:ascii="Times New Roman" w:hAnsi="Times New Roman" w:cs="Times New Roman"/>
              </w:rPr>
              <w:t xml:space="preserve"> 349 135,69</w:t>
            </w:r>
          </w:p>
        </w:tc>
        <w:tc>
          <w:tcPr>
            <w:tcW w:w="1260" w:type="dxa"/>
            <w:tcBorders>
              <w:top w:val="nil"/>
              <w:left w:val="nil"/>
              <w:bottom w:val="single" w:sz="8" w:space="0" w:color="auto"/>
              <w:right w:val="single" w:sz="8" w:space="0" w:color="auto"/>
              <w:tl2br w:val="nil"/>
              <w:tr2bl w:val="nil"/>
            </w:tcBorders>
            <w:noWrap/>
            <w:textDirection w:val="lrTb"/>
            <w:vAlign w:val="bottom"/>
          </w:tcPr>
          <w:p w:rsidR="00AA35C8" w:rsidRPr="00F444DF" w:rsidP="00AA35C8">
            <w:pPr>
              <w:spacing w:line="240" w:lineRule="auto"/>
              <w:jc w:val="right"/>
              <w:rPr>
                <w:rFonts w:ascii="Times New Roman" w:hAnsi="Times New Roman" w:cs="Times New Roman"/>
                <w:sz w:val="16"/>
                <w:szCs w:val="16"/>
              </w:rPr>
            </w:pPr>
            <w:r w:rsidRPr="00F444DF">
              <w:rPr>
                <w:rFonts w:ascii="Times New Roman" w:hAnsi="Times New Roman" w:cs="Times New Roman"/>
                <w:sz w:val="16"/>
                <w:szCs w:val="16"/>
              </w:rPr>
              <w:t>2 657 420,30</w:t>
            </w:r>
          </w:p>
        </w:tc>
        <w:tc>
          <w:tcPr>
            <w:tcW w:w="1260" w:type="dxa"/>
            <w:tcBorders>
              <w:top w:val="nil"/>
              <w:left w:val="nil"/>
              <w:bottom w:val="single" w:sz="8" w:space="0" w:color="auto"/>
              <w:right w:val="single" w:sz="8" w:space="0" w:color="auto"/>
              <w:tl2br w:val="nil"/>
              <w:tr2bl w:val="nil"/>
            </w:tcBorders>
            <w:noWrap/>
            <w:textDirection w:val="lrTb"/>
            <w:vAlign w:val="bottom"/>
          </w:tcPr>
          <w:p w:rsidR="00AA35C8" w:rsidRPr="00F444DF" w:rsidP="00AA35C8">
            <w:pPr>
              <w:spacing w:line="240" w:lineRule="auto"/>
              <w:ind w:left="-70"/>
              <w:jc w:val="right"/>
              <w:rPr>
                <w:rFonts w:ascii="Times New Roman" w:hAnsi="Times New Roman" w:cs="Times New Roman"/>
                <w:sz w:val="16"/>
                <w:szCs w:val="16"/>
              </w:rPr>
            </w:pPr>
            <w:r w:rsidRPr="00F444DF">
              <w:rPr>
                <w:rFonts w:ascii="Times New Roman" w:hAnsi="Times New Roman" w:cs="Times New Roman"/>
                <w:sz w:val="16"/>
                <w:szCs w:val="16"/>
              </w:rPr>
              <w:t>2 251 094,50</w:t>
            </w:r>
          </w:p>
        </w:tc>
        <w:tc>
          <w:tcPr>
            <w:tcW w:w="1260" w:type="dxa"/>
            <w:tcBorders>
              <w:top w:val="nil"/>
              <w:left w:val="nil"/>
              <w:bottom w:val="single" w:sz="8" w:space="0" w:color="auto"/>
              <w:right w:val="single" w:sz="8" w:space="0" w:color="auto"/>
              <w:tl2br w:val="nil"/>
              <w:tr2bl w:val="nil"/>
            </w:tcBorders>
            <w:noWrap/>
            <w:textDirection w:val="lrTb"/>
            <w:vAlign w:val="bottom"/>
          </w:tcPr>
          <w:p w:rsidR="00AA35C8" w:rsidRPr="00F444DF" w:rsidP="00AA35C8">
            <w:pPr>
              <w:spacing w:line="240" w:lineRule="auto"/>
              <w:jc w:val="right"/>
              <w:rPr>
                <w:rFonts w:ascii="Times New Roman" w:hAnsi="Times New Roman" w:cs="Times New Roman"/>
                <w:sz w:val="16"/>
                <w:szCs w:val="16"/>
              </w:rPr>
            </w:pPr>
            <w:r w:rsidRPr="00F444DF">
              <w:rPr>
                <w:rFonts w:ascii="Times New Roman" w:hAnsi="Times New Roman" w:cs="Times New Roman"/>
                <w:sz w:val="16"/>
                <w:szCs w:val="16"/>
              </w:rPr>
              <w:t>3 649 695,38</w:t>
            </w:r>
          </w:p>
        </w:tc>
        <w:tc>
          <w:tcPr>
            <w:tcW w:w="1076" w:type="dxa"/>
            <w:tcBorders>
              <w:top w:val="nil"/>
              <w:left w:val="nil"/>
              <w:bottom w:val="single" w:sz="8" w:space="0" w:color="auto"/>
              <w:right w:val="double" w:sz="6" w:space="0" w:color="auto"/>
              <w:tl2br w:val="nil"/>
              <w:tr2bl w:val="nil"/>
            </w:tcBorders>
            <w:noWrap/>
            <w:textDirection w:val="lrTb"/>
            <w:vAlign w:val="bottom"/>
          </w:tcPr>
          <w:p w:rsidR="00AA35C8" w:rsidRPr="00F444DF" w:rsidP="00AA35C8">
            <w:pPr>
              <w:spacing w:line="240" w:lineRule="auto"/>
              <w:jc w:val="right"/>
              <w:rPr>
                <w:rFonts w:ascii="Times New Roman" w:hAnsi="Times New Roman" w:cs="Times New Roman"/>
              </w:rPr>
            </w:pPr>
            <w:r w:rsidRPr="00F444DF">
              <w:rPr>
                <w:rFonts w:ascii="Times New Roman" w:hAnsi="Times New Roman" w:cs="Times New Roman"/>
              </w:rPr>
              <w:t>246 649,80</w:t>
            </w:r>
          </w:p>
        </w:tc>
        <w:tc>
          <w:tcPr>
            <w:tcW w:w="1444" w:type="dxa"/>
            <w:tcBorders>
              <w:top w:val="nil"/>
              <w:left w:val="nil"/>
              <w:bottom w:val="single" w:sz="8" w:space="0" w:color="auto"/>
              <w:right w:val="single" w:sz="4" w:space="0" w:color="auto"/>
              <w:tl2br w:val="nil"/>
              <w:tr2bl w:val="nil"/>
            </w:tcBorders>
            <w:noWrap/>
            <w:textDirection w:val="lrTb"/>
            <w:vAlign w:val="bottom"/>
          </w:tcPr>
          <w:p w:rsidR="00AA35C8" w:rsidRPr="00F444DF" w:rsidP="00AA35C8">
            <w:pPr>
              <w:spacing w:line="240" w:lineRule="auto"/>
              <w:ind w:left="-70"/>
              <w:jc w:val="right"/>
              <w:rPr>
                <w:rFonts w:ascii="Times New Roman" w:hAnsi="Times New Roman" w:cs="Times New Roman"/>
              </w:rPr>
            </w:pPr>
            <w:r w:rsidRPr="00F444DF">
              <w:rPr>
                <w:rFonts w:ascii="Times New Roman" w:hAnsi="Times New Roman" w:cs="Times New Roman"/>
              </w:rPr>
              <w:t>18 758 250,17</w:t>
            </w:r>
          </w:p>
        </w:tc>
        <w:tc>
          <w:tcPr>
            <w:tcW w:w="857" w:type="dxa"/>
            <w:tcBorders>
              <w:top w:val="nil"/>
              <w:left w:val="single" w:sz="4" w:space="0" w:color="auto"/>
              <w:bottom w:val="single" w:sz="8" w:space="0" w:color="auto"/>
              <w:right w:val="double" w:sz="6" w:space="0" w:color="auto"/>
              <w:tl2br w:val="nil"/>
              <w:tr2bl w:val="nil"/>
            </w:tcBorders>
            <w:textDirection w:val="lrTb"/>
            <w:vAlign w:val="bottom"/>
          </w:tcPr>
          <w:p w:rsidR="00AA35C8" w:rsidRPr="00F444DF" w:rsidP="00AA35C8">
            <w:pPr>
              <w:spacing w:line="240" w:lineRule="auto"/>
              <w:ind w:left="-74"/>
              <w:jc w:val="right"/>
              <w:rPr>
                <w:rFonts w:ascii="Times New Roman" w:hAnsi="Times New Roman" w:cs="Times New Roman"/>
                <w:sz w:val="16"/>
                <w:szCs w:val="16"/>
              </w:rPr>
            </w:pPr>
            <w:r w:rsidRPr="00F444DF">
              <w:rPr>
                <w:rFonts w:ascii="Times New Roman" w:hAnsi="Times New Roman" w:cs="Times New Roman"/>
                <w:sz w:val="16"/>
                <w:szCs w:val="16"/>
              </w:rPr>
              <w:t>18,17 %</w:t>
            </w:r>
          </w:p>
        </w:tc>
      </w:tr>
      <w:tr>
        <w:tblPrEx>
          <w:tblW w:w="10240" w:type="dxa"/>
          <w:tblInd w:w="-290" w:type="dxa"/>
          <w:tblCellMar>
            <w:left w:w="70" w:type="dxa"/>
            <w:right w:w="70" w:type="dxa"/>
          </w:tblCellMar>
        </w:tblPrEx>
        <w:trPr>
          <w:trHeight w:val="60"/>
        </w:trPr>
        <w:tc>
          <w:tcPr>
            <w:tcW w:w="440" w:type="dxa"/>
            <w:tcBorders>
              <w:top w:val="nil"/>
              <w:left w:val="double" w:sz="6" w:space="0" w:color="auto"/>
              <w:bottom w:val="single" w:sz="8" w:space="0" w:color="auto"/>
              <w:right w:val="double" w:sz="6" w:space="0" w:color="auto"/>
              <w:tl2br w:val="nil"/>
              <w:tr2bl w:val="nil"/>
            </w:tcBorders>
            <w:noWrap/>
            <w:textDirection w:val="lrTb"/>
            <w:vAlign w:val="bottom"/>
          </w:tcPr>
          <w:p w:rsidR="00AA35C8" w:rsidRPr="00F444DF" w:rsidP="00AA35C8">
            <w:pPr>
              <w:spacing w:line="240" w:lineRule="auto"/>
              <w:jc w:val="center"/>
              <w:rPr>
                <w:rFonts w:ascii="Times New Roman" w:hAnsi="Times New Roman" w:cs="Times New Roman"/>
              </w:rPr>
            </w:pPr>
            <w:r w:rsidRPr="00F444DF">
              <w:rPr>
                <w:rFonts w:ascii="Times New Roman" w:hAnsi="Times New Roman" w:cs="Times New Roman"/>
              </w:rPr>
              <w:t>633</w:t>
            </w:r>
          </w:p>
        </w:tc>
        <w:tc>
          <w:tcPr>
            <w:tcW w:w="1383" w:type="dxa"/>
            <w:tcBorders>
              <w:top w:val="nil"/>
              <w:left w:val="nil"/>
              <w:bottom w:val="single" w:sz="8" w:space="0" w:color="auto"/>
              <w:right w:val="nil"/>
              <w:tl2br w:val="nil"/>
              <w:tr2bl w:val="nil"/>
            </w:tcBorders>
            <w:noWrap/>
            <w:textDirection w:val="lrTb"/>
            <w:vAlign w:val="bottom"/>
          </w:tcPr>
          <w:p w:rsidR="00AA35C8" w:rsidRPr="00F444DF" w:rsidP="00AA35C8">
            <w:pPr>
              <w:spacing w:line="240" w:lineRule="auto"/>
              <w:jc w:val="right"/>
              <w:rPr>
                <w:rFonts w:ascii="Times New Roman" w:hAnsi="Times New Roman" w:cs="Times New Roman"/>
              </w:rPr>
            </w:pPr>
            <w:r w:rsidRPr="00F444DF">
              <w:rPr>
                <w:rFonts w:ascii="Times New Roman" w:hAnsi="Times New Roman" w:cs="Times New Roman"/>
              </w:rPr>
              <w:t>19 467 972,02</w:t>
            </w:r>
          </w:p>
        </w:tc>
        <w:tc>
          <w:tcPr>
            <w:tcW w:w="1260" w:type="dxa"/>
            <w:tcBorders>
              <w:top w:val="nil"/>
              <w:left w:val="single" w:sz="8" w:space="0" w:color="auto"/>
              <w:bottom w:val="single" w:sz="8" w:space="0" w:color="auto"/>
              <w:right w:val="single" w:sz="8" w:space="0" w:color="auto"/>
              <w:tl2br w:val="nil"/>
              <w:tr2bl w:val="nil"/>
            </w:tcBorders>
            <w:noWrap/>
            <w:textDirection w:val="lrTb"/>
            <w:vAlign w:val="bottom"/>
          </w:tcPr>
          <w:p w:rsidR="00AA35C8" w:rsidRPr="00F444DF" w:rsidP="00AA35C8">
            <w:pPr>
              <w:spacing w:line="240" w:lineRule="auto"/>
              <w:jc w:val="right"/>
              <w:rPr>
                <w:rFonts w:ascii="Times New Roman" w:hAnsi="Times New Roman" w:cs="Times New Roman"/>
              </w:rPr>
            </w:pPr>
            <w:r w:rsidRPr="00F444DF">
              <w:rPr>
                <w:rFonts w:ascii="Times New Roman" w:hAnsi="Times New Roman" w:cs="Times New Roman"/>
              </w:rPr>
              <w:t>1 241 834,90</w:t>
            </w:r>
          </w:p>
        </w:tc>
        <w:tc>
          <w:tcPr>
            <w:tcW w:w="1260" w:type="dxa"/>
            <w:tcBorders>
              <w:top w:val="nil"/>
              <w:left w:val="nil"/>
              <w:bottom w:val="single" w:sz="8" w:space="0" w:color="auto"/>
              <w:right w:val="single" w:sz="8" w:space="0" w:color="auto"/>
              <w:tl2br w:val="nil"/>
              <w:tr2bl w:val="nil"/>
            </w:tcBorders>
            <w:noWrap/>
            <w:textDirection w:val="lrTb"/>
            <w:vAlign w:val="bottom"/>
          </w:tcPr>
          <w:p w:rsidR="00AA35C8" w:rsidRPr="00F444DF" w:rsidP="00AA35C8">
            <w:pPr>
              <w:spacing w:line="240" w:lineRule="auto"/>
              <w:jc w:val="right"/>
              <w:rPr>
                <w:rFonts w:ascii="Times New Roman" w:hAnsi="Times New Roman" w:cs="Times New Roman"/>
                <w:sz w:val="16"/>
                <w:szCs w:val="16"/>
              </w:rPr>
            </w:pPr>
            <w:r w:rsidRPr="00F444DF">
              <w:rPr>
                <w:rFonts w:ascii="Times New Roman" w:hAnsi="Times New Roman" w:cs="Times New Roman"/>
                <w:sz w:val="16"/>
                <w:szCs w:val="16"/>
              </w:rPr>
              <w:t>907 684,70</w:t>
            </w:r>
          </w:p>
        </w:tc>
        <w:tc>
          <w:tcPr>
            <w:tcW w:w="1260" w:type="dxa"/>
            <w:tcBorders>
              <w:top w:val="nil"/>
              <w:left w:val="nil"/>
              <w:bottom w:val="single" w:sz="8" w:space="0" w:color="auto"/>
              <w:right w:val="single" w:sz="8" w:space="0" w:color="auto"/>
              <w:tl2br w:val="nil"/>
              <w:tr2bl w:val="nil"/>
            </w:tcBorders>
            <w:noWrap/>
            <w:textDirection w:val="lrTb"/>
            <w:vAlign w:val="bottom"/>
          </w:tcPr>
          <w:p w:rsidR="00AA35C8" w:rsidRPr="00F444DF" w:rsidP="00AA35C8">
            <w:pPr>
              <w:spacing w:line="240" w:lineRule="auto"/>
              <w:ind w:left="-70"/>
              <w:jc w:val="right"/>
              <w:rPr>
                <w:rFonts w:ascii="Times New Roman" w:hAnsi="Times New Roman" w:cs="Times New Roman"/>
                <w:sz w:val="16"/>
                <w:szCs w:val="16"/>
              </w:rPr>
            </w:pPr>
            <w:r w:rsidRPr="00F444DF">
              <w:rPr>
                <w:rFonts w:ascii="Times New Roman" w:hAnsi="Times New Roman" w:cs="Times New Roman"/>
                <w:sz w:val="16"/>
                <w:szCs w:val="16"/>
              </w:rPr>
              <w:t>784 438,70</w:t>
            </w:r>
          </w:p>
        </w:tc>
        <w:tc>
          <w:tcPr>
            <w:tcW w:w="1260" w:type="dxa"/>
            <w:tcBorders>
              <w:top w:val="nil"/>
              <w:left w:val="nil"/>
              <w:bottom w:val="single" w:sz="8" w:space="0" w:color="auto"/>
              <w:right w:val="single" w:sz="8" w:space="0" w:color="auto"/>
              <w:tl2br w:val="nil"/>
              <w:tr2bl w:val="nil"/>
            </w:tcBorders>
            <w:noWrap/>
            <w:textDirection w:val="lrTb"/>
            <w:vAlign w:val="bottom"/>
          </w:tcPr>
          <w:p w:rsidR="00AA35C8" w:rsidRPr="00F444DF" w:rsidP="00AA35C8">
            <w:pPr>
              <w:spacing w:line="240" w:lineRule="auto"/>
              <w:jc w:val="right"/>
              <w:rPr>
                <w:rFonts w:ascii="Times New Roman" w:hAnsi="Times New Roman" w:cs="Times New Roman"/>
                <w:sz w:val="16"/>
                <w:szCs w:val="16"/>
              </w:rPr>
            </w:pPr>
            <w:r w:rsidRPr="00F444DF">
              <w:rPr>
                <w:rFonts w:ascii="Times New Roman" w:hAnsi="Times New Roman" w:cs="Times New Roman"/>
                <w:sz w:val="16"/>
                <w:szCs w:val="16"/>
              </w:rPr>
              <w:t>1 493 256,27</w:t>
            </w:r>
          </w:p>
        </w:tc>
        <w:tc>
          <w:tcPr>
            <w:tcW w:w="1076" w:type="dxa"/>
            <w:tcBorders>
              <w:top w:val="nil"/>
              <w:left w:val="nil"/>
              <w:bottom w:val="single" w:sz="8" w:space="0" w:color="auto"/>
              <w:right w:val="double" w:sz="6" w:space="0" w:color="auto"/>
              <w:tl2br w:val="nil"/>
              <w:tr2bl w:val="nil"/>
            </w:tcBorders>
            <w:noWrap/>
            <w:textDirection w:val="lrTb"/>
            <w:vAlign w:val="bottom"/>
          </w:tcPr>
          <w:p w:rsidR="00AA35C8" w:rsidRPr="00F444DF" w:rsidP="00AA35C8">
            <w:pPr>
              <w:spacing w:line="240" w:lineRule="auto"/>
              <w:jc w:val="right"/>
              <w:rPr>
                <w:rFonts w:ascii="Times New Roman" w:hAnsi="Times New Roman" w:cs="Times New Roman"/>
              </w:rPr>
            </w:pPr>
            <w:r w:rsidRPr="00F444DF">
              <w:rPr>
                <w:rFonts w:ascii="Times New Roman" w:hAnsi="Times New Roman" w:cs="Times New Roman"/>
              </w:rPr>
              <w:t>423 086,40</w:t>
            </w:r>
          </w:p>
        </w:tc>
        <w:tc>
          <w:tcPr>
            <w:tcW w:w="1444" w:type="dxa"/>
            <w:tcBorders>
              <w:top w:val="nil"/>
              <w:left w:val="nil"/>
              <w:bottom w:val="single" w:sz="8" w:space="0" w:color="auto"/>
              <w:right w:val="single" w:sz="4" w:space="0" w:color="auto"/>
              <w:tl2br w:val="nil"/>
              <w:tr2bl w:val="nil"/>
            </w:tcBorders>
            <w:noWrap/>
            <w:textDirection w:val="lrTb"/>
            <w:vAlign w:val="bottom"/>
          </w:tcPr>
          <w:p w:rsidR="00AA35C8" w:rsidRPr="00F444DF" w:rsidP="00AA35C8">
            <w:pPr>
              <w:spacing w:line="240" w:lineRule="auto"/>
              <w:ind w:left="-70"/>
              <w:jc w:val="right"/>
              <w:rPr>
                <w:rFonts w:ascii="Times New Roman" w:hAnsi="Times New Roman" w:cs="Times New Roman"/>
              </w:rPr>
            </w:pPr>
            <w:r w:rsidRPr="00F444DF">
              <w:rPr>
                <w:rFonts w:ascii="Times New Roman" w:hAnsi="Times New Roman" w:cs="Times New Roman"/>
              </w:rPr>
              <w:t>24 318 272,99</w:t>
            </w:r>
          </w:p>
        </w:tc>
        <w:tc>
          <w:tcPr>
            <w:tcW w:w="857" w:type="dxa"/>
            <w:tcBorders>
              <w:top w:val="nil"/>
              <w:left w:val="single" w:sz="4" w:space="0" w:color="auto"/>
              <w:bottom w:val="single" w:sz="8" w:space="0" w:color="auto"/>
              <w:right w:val="double" w:sz="6" w:space="0" w:color="auto"/>
              <w:tl2br w:val="nil"/>
              <w:tr2bl w:val="nil"/>
            </w:tcBorders>
            <w:textDirection w:val="lrTb"/>
            <w:vAlign w:val="bottom"/>
          </w:tcPr>
          <w:p w:rsidR="00AA35C8" w:rsidRPr="00F444DF" w:rsidP="00AA35C8">
            <w:pPr>
              <w:spacing w:line="240" w:lineRule="auto"/>
              <w:ind w:left="-74"/>
              <w:jc w:val="right"/>
              <w:rPr>
                <w:rFonts w:ascii="Times New Roman" w:hAnsi="Times New Roman" w:cs="Times New Roman"/>
                <w:sz w:val="16"/>
                <w:szCs w:val="16"/>
              </w:rPr>
            </w:pPr>
            <w:r w:rsidRPr="00F444DF">
              <w:rPr>
                <w:rFonts w:ascii="Times New Roman" w:hAnsi="Times New Roman" w:cs="Times New Roman"/>
                <w:sz w:val="16"/>
                <w:szCs w:val="16"/>
              </w:rPr>
              <w:t>23,56 %</w:t>
            </w:r>
          </w:p>
        </w:tc>
      </w:tr>
      <w:tr>
        <w:tblPrEx>
          <w:tblW w:w="10240" w:type="dxa"/>
          <w:tblInd w:w="-290" w:type="dxa"/>
          <w:tblCellMar>
            <w:left w:w="70" w:type="dxa"/>
            <w:right w:w="70" w:type="dxa"/>
          </w:tblCellMar>
        </w:tblPrEx>
        <w:trPr>
          <w:trHeight w:val="159"/>
        </w:trPr>
        <w:tc>
          <w:tcPr>
            <w:tcW w:w="440" w:type="dxa"/>
            <w:tcBorders>
              <w:top w:val="nil"/>
              <w:left w:val="double" w:sz="6" w:space="0" w:color="auto"/>
              <w:bottom w:val="single" w:sz="8" w:space="0" w:color="auto"/>
              <w:right w:val="double" w:sz="6" w:space="0" w:color="auto"/>
              <w:tl2br w:val="nil"/>
              <w:tr2bl w:val="nil"/>
            </w:tcBorders>
            <w:noWrap/>
            <w:textDirection w:val="lrTb"/>
            <w:vAlign w:val="bottom"/>
          </w:tcPr>
          <w:p w:rsidR="00AA35C8" w:rsidRPr="00F444DF" w:rsidP="00AA35C8">
            <w:pPr>
              <w:spacing w:line="240" w:lineRule="auto"/>
              <w:jc w:val="center"/>
              <w:rPr>
                <w:rFonts w:ascii="Times New Roman" w:hAnsi="Times New Roman" w:cs="Times New Roman"/>
              </w:rPr>
            </w:pPr>
            <w:r w:rsidRPr="00F444DF">
              <w:rPr>
                <w:rFonts w:ascii="Times New Roman" w:hAnsi="Times New Roman" w:cs="Times New Roman"/>
              </w:rPr>
              <w:t>634</w:t>
            </w:r>
          </w:p>
        </w:tc>
        <w:tc>
          <w:tcPr>
            <w:tcW w:w="1383" w:type="dxa"/>
            <w:tcBorders>
              <w:top w:val="nil"/>
              <w:left w:val="nil"/>
              <w:bottom w:val="single" w:sz="8" w:space="0" w:color="auto"/>
              <w:right w:val="nil"/>
              <w:tl2br w:val="nil"/>
              <w:tr2bl w:val="nil"/>
            </w:tcBorders>
            <w:noWrap/>
            <w:textDirection w:val="lrTb"/>
            <w:vAlign w:val="bottom"/>
          </w:tcPr>
          <w:p w:rsidR="00AA35C8" w:rsidRPr="00F444DF" w:rsidP="00AA35C8">
            <w:pPr>
              <w:spacing w:line="240" w:lineRule="auto"/>
              <w:jc w:val="right"/>
              <w:rPr>
                <w:rFonts w:ascii="Times New Roman" w:hAnsi="Times New Roman" w:cs="Times New Roman"/>
              </w:rPr>
            </w:pPr>
            <w:r w:rsidRPr="00F444DF">
              <w:rPr>
                <w:rFonts w:ascii="Times New Roman" w:hAnsi="Times New Roman" w:cs="Times New Roman"/>
              </w:rPr>
              <w:t>1 253 616,36</w:t>
            </w:r>
          </w:p>
        </w:tc>
        <w:tc>
          <w:tcPr>
            <w:tcW w:w="1260" w:type="dxa"/>
            <w:tcBorders>
              <w:top w:val="nil"/>
              <w:left w:val="single" w:sz="8" w:space="0" w:color="auto"/>
              <w:bottom w:val="single" w:sz="8" w:space="0" w:color="auto"/>
              <w:right w:val="single" w:sz="8" w:space="0" w:color="auto"/>
              <w:tl2br w:val="nil"/>
              <w:tr2bl w:val="nil"/>
            </w:tcBorders>
            <w:noWrap/>
            <w:textDirection w:val="lrTb"/>
            <w:vAlign w:val="bottom"/>
          </w:tcPr>
          <w:p w:rsidR="00AA35C8" w:rsidRPr="00F444DF" w:rsidP="00AA35C8">
            <w:pPr>
              <w:spacing w:line="240" w:lineRule="auto"/>
              <w:jc w:val="right"/>
              <w:rPr>
                <w:rFonts w:ascii="Times New Roman" w:hAnsi="Times New Roman" w:cs="Times New Roman"/>
              </w:rPr>
            </w:pPr>
            <w:r w:rsidRPr="00F444DF">
              <w:rPr>
                <w:rFonts w:ascii="Times New Roman" w:hAnsi="Times New Roman" w:cs="Times New Roman"/>
              </w:rPr>
              <w:t>1 949 289,43</w:t>
            </w:r>
          </w:p>
        </w:tc>
        <w:tc>
          <w:tcPr>
            <w:tcW w:w="1260" w:type="dxa"/>
            <w:tcBorders>
              <w:top w:val="nil"/>
              <w:left w:val="nil"/>
              <w:bottom w:val="single" w:sz="8" w:space="0" w:color="auto"/>
              <w:right w:val="single" w:sz="8" w:space="0" w:color="auto"/>
              <w:tl2br w:val="nil"/>
              <w:tr2bl w:val="nil"/>
            </w:tcBorders>
            <w:noWrap/>
            <w:textDirection w:val="lrTb"/>
            <w:vAlign w:val="bottom"/>
          </w:tcPr>
          <w:p w:rsidR="00AA35C8" w:rsidRPr="00F444DF" w:rsidP="00AA35C8">
            <w:pPr>
              <w:spacing w:line="240" w:lineRule="auto"/>
              <w:jc w:val="right"/>
              <w:rPr>
                <w:rFonts w:ascii="Times New Roman" w:hAnsi="Times New Roman" w:cs="Times New Roman"/>
                <w:sz w:val="16"/>
                <w:szCs w:val="16"/>
              </w:rPr>
            </w:pPr>
            <w:r w:rsidRPr="00F444DF">
              <w:rPr>
                <w:rFonts w:ascii="Times New Roman" w:hAnsi="Times New Roman" w:cs="Times New Roman"/>
                <w:sz w:val="16"/>
                <w:szCs w:val="16"/>
              </w:rPr>
              <w:t>1 133 948,94</w:t>
            </w:r>
          </w:p>
        </w:tc>
        <w:tc>
          <w:tcPr>
            <w:tcW w:w="1260" w:type="dxa"/>
            <w:tcBorders>
              <w:top w:val="nil"/>
              <w:left w:val="nil"/>
              <w:bottom w:val="single" w:sz="8" w:space="0" w:color="auto"/>
              <w:right w:val="single" w:sz="8" w:space="0" w:color="auto"/>
              <w:tl2br w:val="nil"/>
              <w:tr2bl w:val="nil"/>
            </w:tcBorders>
            <w:noWrap/>
            <w:textDirection w:val="lrTb"/>
            <w:vAlign w:val="bottom"/>
          </w:tcPr>
          <w:p w:rsidR="00AA35C8" w:rsidRPr="00F444DF" w:rsidP="00AA35C8">
            <w:pPr>
              <w:spacing w:line="240" w:lineRule="auto"/>
              <w:ind w:left="-70"/>
              <w:jc w:val="right"/>
              <w:rPr>
                <w:rFonts w:ascii="Times New Roman" w:hAnsi="Times New Roman" w:cs="Times New Roman"/>
                <w:sz w:val="16"/>
                <w:szCs w:val="16"/>
              </w:rPr>
            </w:pPr>
            <w:r w:rsidRPr="00F444DF">
              <w:rPr>
                <w:rFonts w:ascii="Times New Roman" w:hAnsi="Times New Roman" w:cs="Times New Roman"/>
                <w:sz w:val="16"/>
                <w:szCs w:val="16"/>
              </w:rPr>
              <w:t>1 097 099,58</w:t>
            </w:r>
          </w:p>
        </w:tc>
        <w:tc>
          <w:tcPr>
            <w:tcW w:w="1260" w:type="dxa"/>
            <w:tcBorders>
              <w:top w:val="nil"/>
              <w:left w:val="nil"/>
              <w:bottom w:val="single" w:sz="8" w:space="0" w:color="auto"/>
              <w:right w:val="single" w:sz="8" w:space="0" w:color="auto"/>
              <w:tl2br w:val="nil"/>
              <w:tr2bl w:val="nil"/>
            </w:tcBorders>
            <w:noWrap/>
            <w:textDirection w:val="lrTb"/>
            <w:vAlign w:val="bottom"/>
          </w:tcPr>
          <w:p w:rsidR="00AA35C8" w:rsidRPr="00F444DF" w:rsidP="00AA35C8">
            <w:pPr>
              <w:spacing w:line="240" w:lineRule="auto"/>
              <w:jc w:val="right"/>
              <w:rPr>
                <w:rFonts w:ascii="Times New Roman" w:hAnsi="Times New Roman" w:cs="Times New Roman"/>
                <w:sz w:val="16"/>
                <w:szCs w:val="16"/>
              </w:rPr>
            </w:pPr>
            <w:r w:rsidRPr="00F444DF">
              <w:rPr>
                <w:rFonts w:ascii="Times New Roman" w:hAnsi="Times New Roman" w:cs="Times New Roman"/>
                <w:sz w:val="16"/>
                <w:szCs w:val="16"/>
              </w:rPr>
              <w:t>1 718 543,97</w:t>
            </w:r>
          </w:p>
        </w:tc>
        <w:tc>
          <w:tcPr>
            <w:tcW w:w="1076" w:type="dxa"/>
            <w:tcBorders>
              <w:top w:val="nil"/>
              <w:left w:val="nil"/>
              <w:bottom w:val="single" w:sz="8" w:space="0" w:color="auto"/>
              <w:right w:val="double" w:sz="6" w:space="0" w:color="auto"/>
              <w:tl2br w:val="nil"/>
              <w:tr2bl w:val="nil"/>
            </w:tcBorders>
            <w:noWrap/>
            <w:textDirection w:val="lrTb"/>
            <w:vAlign w:val="bottom"/>
          </w:tcPr>
          <w:p w:rsidR="00AA35C8" w:rsidRPr="00F444DF" w:rsidP="00AA35C8">
            <w:pPr>
              <w:spacing w:line="240" w:lineRule="auto"/>
              <w:jc w:val="right"/>
              <w:rPr>
                <w:rFonts w:ascii="Times New Roman" w:hAnsi="Times New Roman" w:cs="Times New Roman"/>
              </w:rPr>
            </w:pPr>
            <w:r w:rsidRPr="00F444DF">
              <w:rPr>
                <w:rFonts w:ascii="Times New Roman" w:hAnsi="Times New Roman" w:cs="Times New Roman"/>
              </w:rPr>
              <w:t>14 959,00</w:t>
            </w:r>
          </w:p>
        </w:tc>
        <w:tc>
          <w:tcPr>
            <w:tcW w:w="1444" w:type="dxa"/>
            <w:tcBorders>
              <w:top w:val="nil"/>
              <w:left w:val="nil"/>
              <w:bottom w:val="single" w:sz="8" w:space="0" w:color="auto"/>
              <w:right w:val="single" w:sz="4" w:space="0" w:color="auto"/>
              <w:tl2br w:val="nil"/>
              <w:tr2bl w:val="nil"/>
            </w:tcBorders>
            <w:noWrap/>
            <w:textDirection w:val="lrTb"/>
            <w:vAlign w:val="bottom"/>
          </w:tcPr>
          <w:p w:rsidR="00AA35C8" w:rsidRPr="00F444DF" w:rsidP="00AA35C8">
            <w:pPr>
              <w:spacing w:line="240" w:lineRule="auto"/>
              <w:jc w:val="right"/>
              <w:rPr>
                <w:rFonts w:ascii="Times New Roman" w:hAnsi="Times New Roman" w:cs="Times New Roman"/>
              </w:rPr>
            </w:pPr>
            <w:r w:rsidRPr="00F444DF">
              <w:rPr>
                <w:rFonts w:ascii="Times New Roman" w:hAnsi="Times New Roman" w:cs="Times New Roman"/>
              </w:rPr>
              <w:t>7 167 457,28</w:t>
            </w:r>
          </w:p>
        </w:tc>
        <w:tc>
          <w:tcPr>
            <w:tcW w:w="857" w:type="dxa"/>
            <w:tcBorders>
              <w:top w:val="nil"/>
              <w:left w:val="single" w:sz="4" w:space="0" w:color="auto"/>
              <w:bottom w:val="single" w:sz="8" w:space="0" w:color="auto"/>
              <w:right w:val="double" w:sz="6" w:space="0" w:color="auto"/>
              <w:tl2br w:val="nil"/>
              <w:tr2bl w:val="nil"/>
            </w:tcBorders>
            <w:textDirection w:val="lrTb"/>
            <w:vAlign w:val="bottom"/>
          </w:tcPr>
          <w:p w:rsidR="00AA35C8" w:rsidRPr="00F444DF" w:rsidP="00AA35C8">
            <w:pPr>
              <w:spacing w:line="240" w:lineRule="auto"/>
              <w:ind w:left="-74"/>
              <w:jc w:val="right"/>
              <w:rPr>
                <w:rFonts w:ascii="Times New Roman" w:hAnsi="Times New Roman" w:cs="Times New Roman"/>
                <w:sz w:val="16"/>
                <w:szCs w:val="16"/>
              </w:rPr>
            </w:pPr>
            <w:r w:rsidRPr="00F444DF">
              <w:rPr>
                <w:rFonts w:ascii="Times New Roman" w:hAnsi="Times New Roman" w:cs="Times New Roman"/>
                <w:sz w:val="16"/>
                <w:szCs w:val="16"/>
              </w:rPr>
              <w:t>6,94 %</w:t>
            </w:r>
          </w:p>
        </w:tc>
      </w:tr>
      <w:tr>
        <w:tblPrEx>
          <w:tblW w:w="10240" w:type="dxa"/>
          <w:tblInd w:w="-290" w:type="dxa"/>
          <w:tblCellMar>
            <w:left w:w="70" w:type="dxa"/>
            <w:right w:w="70" w:type="dxa"/>
          </w:tblCellMar>
        </w:tblPrEx>
        <w:trPr>
          <w:trHeight w:val="73"/>
        </w:trPr>
        <w:tc>
          <w:tcPr>
            <w:tcW w:w="440" w:type="dxa"/>
            <w:tcBorders>
              <w:top w:val="nil"/>
              <w:left w:val="double" w:sz="6" w:space="0" w:color="auto"/>
              <w:bottom w:val="single" w:sz="8" w:space="0" w:color="auto"/>
              <w:right w:val="double" w:sz="6" w:space="0" w:color="auto"/>
              <w:tl2br w:val="nil"/>
              <w:tr2bl w:val="nil"/>
            </w:tcBorders>
            <w:noWrap/>
            <w:textDirection w:val="lrTb"/>
            <w:vAlign w:val="bottom"/>
          </w:tcPr>
          <w:p w:rsidR="00AA35C8" w:rsidRPr="00F444DF" w:rsidP="00AA35C8">
            <w:pPr>
              <w:spacing w:line="240" w:lineRule="auto"/>
              <w:jc w:val="center"/>
              <w:rPr>
                <w:rFonts w:ascii="Times New Roman" w:hAnsi="Times New Roman" w:cs="Times New Roman"/>
              </w:rPr>
            </w:pPr>
            <w:r w:rsidRPr="00F444DF">
              <w:rPr>
                <w:rFonts w:ascii="Times New Roman" w:hAnsi="Times New Roman" w:cs="Times New Roman"/>
              </w:rPr>
              <w:t>635</w:t>
            </w:r>
          </w:p>
        </w:tc>
        <w:tc>
          <w:tcPr>
            <w:tcW w:w="1383" w:type="dxa"/>
            <w:tcBorders>
              <w:top w:val="nil"/>
              <w:left w:val="nil"/>
              <w:bottom w:val="single" w:sz="8" w:space="0" w:color="auto"/>
              <w:right w:val="nil"/>
              <w:tl2br w:val="nil"/>
              <w:tr2bl w:val="nil"/>
            </w:tcBorders>
            <w:noWrap/>
            <w:textDirection w:val="lrTb"/>
            <w:vAlign w:val="bottom"/>
          </w:tcPr>
          <w:p w:rsidR="00AA35C8" w:rsidRPr="00F444DF" w:rsidP="00AA35C8">
            <w:pPr>
              <w:spacing w:line="240" w:lineRule="auto"/>
              <w:jc w:val="right"/>
              <w:rPr>
                <w:rFonts w:ascii="Times New Roman" w:hAnsi="Times New Roman" w:cs="Times New Roman"/>
              </w:rPr>
            </w:pPr>
            <w:r w:rsidRPr="00F444DF">
              <w:rPr>
                <w:rFonts w:ascii="Times New Roman" w:hAnsi="Times New Roman" w:cs="Times New Roman"/>
              </w:rPr>
              <w:t>7 209 393,15</w:t>
            </w:r>
          </w:p>
        </w:tc>
        <w:tc>
          <w:tcPr>
            <w:tcW w:w="1260" w:type="dxa"/>
            <w:tcBorders>
              <w:top w:val="nil"/>
              <w:left w:val="single" w:sz="8" w:space="0" w:color="auto"/>
              <w:bottom w:val="single" w:sz="8" w:space="0" w:color="auto"/>
              <w:right w:val="single" w:sz="8" w:space="0" w:color="auto"/>
              <w:tl2br w:val="nil"/>
              <w:tr2bl w:val="nil"/>
            </w:tcBorders>
            <w:noWrap/>
            <w:textDirection w:val="lrTb"/>
            <w:vAlign w:val="bottom"/>
          </w:tcPr>
          <w:p w:rsidR="00AA35C8" w:rsidRPr="00F444DF" w:rsidP="00AA35C8">
            <w:pPr>
              <w:spacing w:line="240" w:lineRule="auto"/>
              <w:jc w:val="right"/>
              <w:rPr>
                <w:rFonts w:ascii="Times New Roman" w:hAnsi="Times New Roman" w:cs="Times New Roman"/>
              </w:rPr>
            </w:pPr>
            <w:r w:rsidRPr="00F444DF">
              <w:rPr>
                <w:rFonts w:ascii="Times New Roman" w:hAnsi="Times New Roman" w:cs="Times New Roman"/>
              </w:rPr>
              <w:t>319 281,31</w:t>
            </w:r>
          </w:p>
        </w:tc>
        <w:tc>
          <w:tcPr>
            <w:tcW w:w="1260" w:type="dxa"/>
            <w:tcBorders>
              <w:top w:val="nil"/>
              <w:left w:val="nil"/>
              <w:bottom w:val="single" w:sz="8" w:space="0" w:color="auto"/>
              <w:right w:val="single" w:sz="8" w:space="0" w:color="auto"/>
              <w:tl2br w:val="nil"/>
              <w:tr2bl w:val="nil"/>
            </w:tcBorders>
            <w:noWrap/>
            <w:textDirection w:val="lrTb"/>
            <w:vAlign w:val="bottom"/>
          </w:tcPr>
          <w:p w:rsidR="00AA35C8" w:rsidRPr="00F444DF" w:rsidP="00AA35C8">
            <w:pPr>
              <w:spacing w:line="240" w:lineRule="auto"/>
              <w:jc w:val="right"/>
              <w:rPr>
                <w:rFonts w:ascii="Times New Roman" w:hAnsi="Times New Roman" w:cs="Times New Roman"/>
                <w:sz w:val="16"/>
                <w:szCs w:val="16"/>
              </w:rPr>
            </w:pPr>
            <w:r w:rsidRPr="00F444DF">
              <w:rPr>
                <w:rFonts w:ascii="Times New Roman" w:hAnsi="Times New Roman" w:cs="Times New Roman"/>
                <w:sz w:val="16"/>
                <w:szCs w:val="16"/>
              </w:rPr>
              <w:t>642 758,00</w:t>
            </w:r>
          </w:p>
        </w:tc>
        <w:tc>
          <w:tcPr>
            <w:tcW w:w="1260" w:type="dxa"/>
            <w:tcBorders>
              <w:top w:val="nil"/>
              <w:left w:val="nil"/>
              <w:bottom w:val="single" w:sz="8" w:space="0" w:color="auto"/>
              <w:right w:val="single" w:sz="8" w:space="0" w:color="auto"/>
              <w:tl2br w:val="nil"/>
              <w:tr2bl w:val="nil"/>
            </w:tcBorders>
            <w:noWrap/>
            <w:textDirection w:val="lrTb"/>
            <w:vAlign w:val="bottom"/>
          </w:tcPr>
          <w:p w:rsidR="00AA35C8" w:rsidRPr="00F444DF" w:rsidP="00AA35C8">
            <w:pPr>
              <w:spacing w:line="240" w:lineRule="auto"/>
              <w:ind w:left="-70"/>
              <w:jc w:val="right"/>
              <w:rPr>
                <w:rFonts w:ascii="Times New Roman" w:hAnsi="Times New Roman" w:cs="Times New Roman"/>
                <w:sz w:val="16"/>
                <w:szCs w:val="16"/>
              </w:rPr>
            </w:pPr>
            <w:r w:rsidRPr="00F444DF">
              <w:rPr>
                <w:rFonts w:ascii="Times New Roman" w:hAnsi="Times New Roman" w:cs="Times New Roman"/>
                <w:sz w:val="16"/>
                <w:szCs w:val="16"/>
              </w:rPr>
              <w:t>63 530,45</w:t>
            </w:r>
          </w:p>
        </w:tc>
        <w:tc>
          <w:tcPr>
            <w:tcW w:w="1260" w:type="dxa"/>
            <w:tcBorders>
              <w:top w:val="nil"/>
              <w:left w:val="nil"/>
              <w:bottom w:val="single" w:sz="8" w:space="0" w:color="auto"/>
              <w:right w:val="single" w:sz="8" w:space="0" w:color="auto"/>
              <w:tl2br w:val="nil"/>
              <w:tr2bl w:val="nil"/>
            </w:tcBorders>
            <w:noWrap/>
            <w:textDirection w:val="lrTb"/>
            <w:vAlign w:val="bottom"/>
          </w:tcPr>
          <w:p w:rsidR="00AA35C8" w:rsidRPr="00F444DF" w:rsidP="00AA35C8">
            <w:pPr>
              <w:spacing w:line="240" w:lineRule="auto"/>
              <w:jc w:val="right"/>
              <w:rPr>
                <w:rFonts w:ascii="Times New Roman" w:hAnsi="Times New Roman" w:cs="Times New Roman"/>
                <w:sz w:val="16"/>
                <w:szCs w:val="16"/>
              </w:rPr>
            </w:pPr>
            <w:r w:rsidRPr="00F444DF">
              <w:rPr>
                <w:rFonts w:ascii="Times New Roman" w:hAnsi="Times New Roman" w:cs="Times New Roman"/>
                <w:sz w:val="16"/>
                <w:szCs w:val="16"/>
              </w:rPr>
              <w:t>253 252,10</w:t>
            </w:r>
          </w:p>
        </w:tc>
        <w:tc>
          <w:tcPr>
            <w:tcW w:w="1076" w:type="dxa"/>
            <w:tcBorders>
              <w:top w:val="nil"/>
              <w:left w:val="nil"/>
              <w:bottom w:val="single" w:sz="8" w:space="0" w:color="auto"/>
              <w:right w:val="double" w:sz="6" w:space="0" w:color="auto"/>
              <w:tl2br w:val="nil"/>
              <w:tr2bl w:val="nil"/>
            </w:tcBorders>
            <w:noWrap/>
            <w:textDirection w:val="lrTb"/>
            <w:vAlign w:val="bottom"/>
          </w:tcPr>
          <w:p w:rsidR="00AA35C8" w:rsidRPr="00F444DF" w:rsidP="00AA35C8">
            <w:pPr>
              <w:spacing w:line="240" w:lineRule="auto"/>
              <w:jc w:val="right"/>
              <w:rPr>
                <w:rFonts w:ascii="Times New Roman" w:hAnsi="Times New Roman" w:cs="Times New Roman"/>
              </w:rPr>
            </w:pPr>
            <w:r w:rsidRPr="00F444DF">
              <w:rPr>
                <w:rFonts w:ascii="Times New Roman" w:hAnsi="Times New Roman" w:cs="Times New Roman"/>
              </w:rPr>
              <w:t>44 221,30</w:t>
            </w:r>
          </w:p>
        </w:tc>
        <w:tc>
          <w:tcPr>
            <w:tcW w:w="1444" w:type="dxa"/>
            <w:tcBorders>
              <w:top w:val="nil"/>
              <w:left w:val="nil"/>
              <w:bottom w:val="single" w:sz="8" w:space="0" w:color="auto"/>
              <w:right w:val="single" w:sz="4" w:space="0" w:color="auto"/>
              <w:tl2br w:val="nil"/>
              <w:tr2bl w:val="nil"/>
            </w:tcBorders>
            <w:noWrap/>
            <w:textDirection w:val="lrTb"/>
            <w:vAlign w:val="bottom"/>
          </w:tcPr>
          <w:p w:rsidR="00AA35C8" w:rsidRPr="00F444DF" w:rsidP="00AA35C8">
            <w:pPr>
              <w:spacing w:line="240" w:lineRule="auto"/>
              <w:jc w:val="right"/>
              <w:rPr>
                <w:rFonts w:ascii="Times New Roman" w:hAnsi="Times New Roman" w:cs="Times New Roman"/>
              </w:rPr>
            </w:pPr>
            <w:r w:rsidRPr="00F444DF">
              <w:rPr>
                <w:rFonts w:ascii="Times New Roman" w:hAnsi="Times New Roman" w:cs="Times New Roman"/>
              </w:rPr>
              <w:t>8 532 436,31</w:t>
            </w:r>
          </w:p>
        </w:tc>
        <w:tc>
          <w:tcPr>
            <w:tcW w:w="857" w:type="dxa"/>
            <w:tcBorders>
              <w:top w:val="nil"/>
              <w:left w:val="single" w:sz="4" w:space="0" w:color="auto"/>
              <w:bottom w:val="single" w:sz="8" w:space="0" w:color="auto"/>
              <w:right w:val="double" w:sz="6" w:space="0" w:color="auto"/>
              <w:tl2br w:val="nil"/>
              <w:tr2bl w:val="nil"/>
            </w:tcBorders>
            <w:textDirection w:val="lrTb"/>
            <w:vAlign w:val="bottom"/>
          </w:tcPr>
          <w:p w:rsidR="00AA35C8" w:rsidRPr="00F444DF" w:rsidP="00AA35C8">
            <w:pPr>
              <w:spacing w:line="240" w:lineRule="auto"/>
              <w:ind w:left="-74"/>
              <w:jc w:val="right"/>
              <w:rPr>
                <w:rFonts w:ascii="Times New Roman" w:hAnsi="Times New Roman" w:cs="Times New Roman"/>
                <w:sz w:val="16"/>
                <w:szCs w:val="16"/>
              </w:rPr>
            </w:pPr>
            <w:r w:rsidRPr="00F444DF">
              <w:rPr>
                <w:rFonts w:ascii="Times New Roman" w:hAnsi="Times New Roman" w:cs="Times New Roman"/>
                <w:sz w:val="16"/>
                <w:szCs w:val="16"/>
              </w:rPr>
              <w:t>8,27 %</w:t>
            </w:r>
          </w:p>
        </w:tc>
      </w:tr>
      <w:tr>
        <w:tblPrEx>
          <w:tblW w:w="10240" w:type="dxa"/>
          <w:tblInd w:w="-290" w:type="dxa"/>
          <w:tblCellMar>
            <w:left w:w="70" w:type="dxa"/>
            <w:right w:w="70" w:type="dxa"/>
          </w:tblCellMar>
        </w:tblPrEx>
        <w:trPr>
          <w:trHeight w:val="182"/>
        </w:trPr>
        <w:tc>
          <w:tcPr>
            <w:tcW w:w="440" w:type="dxa"/>
            <w:tcBorders>
              <w:top w:val="nil"/>
              <w:left w:val="double" w:sz="6" w:space="0" w:color="auto"/>
              <w:bottom w:val="single" w:sz="8" w:space="0" w:color="auto"/>
              <w:right w:val="double" w:sz="6" w:space="0" w:color="auto"/>
              <w:tl2br w:val="nil"/>
              <w:tr2bl w:val="nil"/>
            </w:tcBorders>
            <w:noWrap/>
            <w:textDirection w:val="lrTb"/>
            <w:vAlign w:val="bottom"/>
          </w:tcPr>
          <w:p w:rsidR="00AA35C8" w:rsidRPr="00F444DF" w:rsidP="00AA35C8">
            <w:pPr>
              <w:spacing w:line="240" w:lineRule="auto"/>
              <w:jc w:val="center"/>
              <w:rPr>
                <w:rFonts w:ascii="Times New Roman" w:hAnsi="Times New Roman" w:cs="Times New Roman"/>
              </w:rPr>
            </w:pPr>
            <w:r w:rsidRPr="00F444DF">
              <w:rPr>
                <w:rFonts w:ascii="Times New Roman" w:hAnsi="Times New Roman" w:cs="Times New Roman"/>
              </w:rPr>
              <w:t>636</w:t>
            </w:r>
          </w:p>
        </w:tc>
        <w:tc>
          <w:tcPr>
            <w:tcW w:w="1383" w:type="dxa"/>
            <w:tcBorders>
              <w:top w:val="nil"/>
              <w:left w:val="nil"/>
              <w:bottom w:val="single" w:sz="8" w:space="0" w:color="auto"/>
              <w:right w:val="nil"/>
              <w:tl2br w:val="nil"/>
              <w:tr2bl w:val="nil"/>
            </w:tcBorders>
            <w:noWrap/>
            <w:textDirection w:val="lrTb"/>
            <w:vAlign w:val="bottom"/>
          </w:tcPr>
          <w:p w:rsidR="00AA35C8" w:rsidRPr="00F444DF" w:rsidP="00AA35C8">
            <w:pPr>
              <w:spacing w:line="240" w:lineRule="auto"/>
              <w:jc w:val="right"/>
              <w:rPr>
                <w:rFonts w:ascii="Times New Roman" w:hAnsi="Times New Roman" w:cs="Times New Roman"/>
              </w:rPr>
            </w:pPr>
            <w:r w:rsidRPr="00F444DF">
              <w:rPr>
                <w:rFonts w:ascii="Times New Roman" w:hAnsi="Times New Roman" w:cs="Times New Roman"/>
              </w:rPr>
              <w:t>659 117,80</w:t>
            </w:r>
          </w:p>
        </w:tc>
        <w:tc>
          <w:tcPr>
            <w:tcW w:w="1260" w:type="dxa"/>
            <w:tcBorders>
              <w:top w:val="nil"/>
              <w:left w:val="single" w:sz="8" w:space="0" w:color="auto"/>
              <w:bottom w:val="single" w:sz="8" w:space="0" w:color="auto"/>
              <w:right w:val="single" w:sz="8" w:space="0" w:color="auto"/>
              <w:tl2br w:val="nil"/>
              <w:tr2bl w:val="nil"/>
            </w:tcBorders>
            <w:noWrap/>
            <w:textDirection w:val="lrTb"/>
            <w:vAlign w:val="bottom"/>
          </w:tcPr>
          <w:p w:rsidR="00AA35C8" w:rsidRPr="00F444DF" w:rsidP="00AA35C8">
            <w:pPr>
              <w:spacing w:line="240" w:lineRule="auto"/>
              <w:jc w:val="right"/>
              <w:rPr>
                <w:rFonts w:ascii="Times New Roman" w:hAnsi="Times New Roman" w:cs="Times New Roman"/>
              </w:rPr>
            </w:pPr>
            <w:r w:rsidRPr="00F444DF">
              <w:rPr>
                <w:rFonts w:ascii="Times New Roman" w:hAnsi="Times New Roman" w:cs="Times New Roman"/>
              </w:rPr>
              <w:t>1 206 223,40</w:t>
            </w:r>
          </w:p>
        </w:tc>
        <w:tc>
          <w:tcPr>
            <w:tcW w:w="1260" w:type="dxa"/>
            <w:tcBorders>
              <w:top w:val="nil"/>
              <w:left w:val="nil"/>
              <w:bottom w:val="single" w:sz="8" w:space="0" w:color="auto"/>
              <w:right w:val="single" w:sz="8" w:space="0" w:color="auto"/>
              <w:tl2br w:val="nil"/>
              <w:tr2bl w:val="nil"/>
            </w:tcBorders>
            <w:noWrap/>
            <w:textDirection w:val="lrTb"/>
            <w:vAlign w:val="bottom"/>
          </w:tcPr>
          <w:p w:rsidR="00AA35C8" w:rsidRPr="00F444DF" w:rsidP="00AA35C8">
            <w:pPr>
              <w:spacing w:line="240" w:lineRule="auto"/>
              <w:jc w:val="right"/>
              <w:rPr>
                <w:rFonts w:ascii="Times New Roman" w:hAnsi="Times New Roman" w:cs="Times New Roman"/>
                <w:sz w:val="16"/>
                <w:szCs w:val="16"/>
              </w:rPr>
            </w:pPr>
            <w:r w:rsidRPr="00F444DF">
              <w:rPr>
                <w:rFonts w:ascii="Times New Roman" w:hAnsi="Times New Roman" w:cs="Times New Roman"/>
                <w:sz w:val="16"/>
                <w:szCs w:val="16"/>
              </w:rPr>
              <w:t>715 173,80</w:t>
            </w:r>
          </w:p>
        </w:tc>
        <w:tc>
          <w:tcPr>
            <w:tcW w:w="1260" w:type="dxa"/>
            <w:tcBorders>
              <w:top w:val="nil"/>
              <w:left w:val="nil"/>
              <w:bottom w:val="single" w:sz="8" w:space="0" w:color="auto"/>
              <w:right w:val="single" w:sz="8" w:space="0" w:color="auto"/>
              <w:tl2br w:val="nil"/>
              <w:tr2bl w:val="nil"/>
            </w:tcBorders>
            <w:noWrap/>
            <w:textDirection w:val="lrTb"/>
            <w:vAlign w:val="bottom"/>
          </w:tcPr>
          <w:p w:rsidR="00AA35C8" w:rsidRPr="00F444DF" w:rsidP="00AA35C8">
            <w:pPr>
              <w:spacing w:line="240" w:lineRule="auto"/>
              <w:ind w:left="-70"/>
              <w:jc w:val="right"/>
              <w:rPr>
                <w:rFonts w:ascii="Times New Roman" w:hAnsi="Times New Roman" w:cs="Times New Roman"/>
                <w:sz w:val="16"/>
                <w:szCs w:val="16"/>
              </w:rPr>
            </w:pPr>
            <w:r w:rsidRPr="00F444DF">
              <w:rPr>
                <w:rFonts w:ascii="Times New Roman" w:hAnsi="Times New Roman" w:cs="Times New Roman"/>
                <w:sz w:val="16"/>
                <w:szCs w:val="16"/>
              </w:rPr>
              <w:t>531 224,20</w:t>
            </w:r>
          </w:p>
        </w:tc>
        <w:tc>
          <w:tcPr>
            <w:tcW w:w="1260" w:type="dxa"/>
            <w:tcBorders>
              <w:top w:val="nil"/>
              <w:left w:val="nil"/>
              <w:bottom w:val="single" w:sz="8" w:space="0" w:color="auto"/>
              <w:right w:val="single" w:sz="8" w:space="0" w:color="auto"/>
              <w:tl2br w:val="nil"/>
              <w:tr2bl w:val="nil"/>
            </w:tcBorders>
            <w:noWrap/>
            <w:textDirection w:val="lrTb"/>
            <w:vAlign w:val="bottom"/>
          </w:tcPr>
          <w:p w:rsidR="00AA35C8" w:rsidRPr="00F444DF" w:rsidP="00AA35C8">
            <w:pPr>
              <w:spacing w:line="240" w:lineRule="auto"/>
              <w:jc w:val="right"/>
              <w:rPr>
                <w:rFonts w:ascii="Times New Roman" w:hAnsi="Times New Roman" w:cs="Times New Roman"/>
                <w:sz w:val="16"/>
                <w:szCs w:val="16"/>
              </w:rPr>
            </w:pPr>
            <w:r w:rsidRPr="00F444DF">
              <w:rPr>
                <w:rFonts w:ascii="Times New Roman" w:hAnsi="Times New Roman" w:cs="Times New Roman"/>
                <w:sz w:val="16"/>
                <w:szCs w:val="16"/>
              </w:rPr>
              <w:t>879 197,68</w:t>
            </w:r>
          </w:p>
        </w:tc>
        <w:tc>
          <w:tcPr>
            <w:tcW w:w="1076" w:type="dxa"/>
            <w:tcBorders>
              <w:top w:val="nil"/>
              <w:left w:val="nil"/>
              <w:bottom w:val="single" w:sz="8" w:space="0" w:color="auto"/>
              <w:right w:val="double" w:sz="6" w:space="0" w:color="auto"/>
              <w:tl2br w:val="nil"/>
              <w:tr2bl w:val="nil"/>
            </w:tcBorders>
            <w:noWrap/>
            <w:textDirection w:val="lrTb"/>
            <w:vAlign w:val="bottom"/>
          </w:tcPr>
          <w:p w:rsidR="00AA35C8" w:rsidRPr="00F444DF" w:rsidP="00AA35C8">
            <w:pPr>
              <w:spacing w:line="240" w:lineRule="auto"/>
              <w:jc w:val="right"/>
              <w:rPr>
                <w:rFonts w:ascii="Times New Roman" w:hAnsi="Times New Roman" w:cs="Times New Roman"/>
              </w:rPr>
            </w:pPr>
            <w:r w:rsidRPr="00F444DF">
              <w:rPr>
                <w:rFonts w:ascii="Times New Roman" w:hAnsi="Times New Roman" w:cs="Times New Roman"/>
              </w:rPr>
              <w:t>46 434,00</w:t>
            </w:r>
          </w:p>
        </w:tc>
        <w:tc>
          <w:tcPr>
            <w:tcW w:w="1444" w:type="dxa"/>
            <w:tcBorders>
              <w:top w:val="nil"/>
              <w:left w:val="nil"/>
              <w:bottom w:val="single" w:sz="8" w:space="0" w:color="auto"/>
              <w:right w:val="single" w:sz="4" w:space="0" w:color="auto"/>
              <w:tl2br w:val="nil"/>
              <w:tr2bl w:val="nil"/>
            </w:tcBorders>
            <w:noWrap/>
            <w:textDirection w:val="lrTb"/>
            <w:vAlign w:val="bottom"/>
          </w:tcPr>
          <w:p w:rsidR="00AA35C8" w:rsidRPr="00F444DF" w:rsidP="00AA35C8">
            <w:pPr>
              <w:spacing w:line="240" w:lineRule="auto"/>
              <w:jc w:val="right"/>
              <w:rPr>
                <w:rFonts w:ascii="Times New Roman" w:hAnsi="Times New Roman" w:cs="Times New Roman"/>
              </w:rPr>
            </w:pPr>
            <w:r w:rsidRPr="00F444DF">
              <w:rPr>
                <w:rFonts w:ascii="Times New Roman" w:hAnsi="Times New Roman" w:cs="Times New Roman"/>
              </w:rPr>
              <w:t>4 037 370,88</w:t>
            </w:r>
          </w:p>
        </w:tc>
        <w:tc>
          <w:tcPr>
            <w:tcW w:w="857" w:type="dxa"/>
            <w:tcBorders>
              <w:top w:val="nil"/>
              <w:left w:val="single" w:sz="4" w:space="0" w:color="auto"/>
              <w:bottom w:val="single" w:sz="8" w:space="0" w:color="auto"/>
              <w:right w:val="double" w:sz="6" w:space="0" w:color="auto"/>
              <w:tl2br w:val="nil"/>
              <w:tr2bl w:val="nil"/>
            </w:tcBorders>
            <w:textDirection w:val="lrTb"/>
            <w:vAlign w:val="bottom"/>
          </w:tcPr>
          <w:p w:rsidR="00AA35C8" w:rsidRPr="00F444DF" w:rsidP="00AA35C8">
            <w:pPr>
              <w:spacing w:line="240" w:lineRule="auto"/>
              <w:ind w:left="-74"/>
              <w:jc w:val="right"/>
              <w:rPr>
                <w:rFonts w:ascii="Times New Roman" w:hAnsi="Times New Roman" w:cs="Times New Roman"/>
                <w:sz w:val="16"/>
                <w:szCs w:val="16"/>
              </w:rPr>
            </w:pPr>
            <w:r w:rsidRPr="00F444DF">
              <w:rPr>
                <w:rFonts w:ascii="Times New Roman" w:hAnsi="Times New Roman" w:cs="Times New Roman"/>
                <w:sz w:val="16"/>
                <w:szCs w:val="16"/>
              </w:rPr>
              <w:t>3,91 %</w:t>
            </w:r>
          </w:p>
        </w:tc>
      </w:tr>
      <w:tr>
        <w:tblPrEx>
          <w:tblW w:w="10240" w:type="dxa"/>
          <w:tblInd w:w="-290" w:type="dxa"/>
          <w:tblCellMar>
            <w:left w:w="70" w:type="dxa"/>
            <w:right w:w="70" w:type="dxa"/>
          </w:tblCellMar>
        </w:tblPrEx>
        <w:trPr>
          <w:trHeight w:val="123"/>
        </w:trPr>
        <w:tc>
          <w:tcPr>
            <w:tcW w:w="440" w:type="dxa"/>
            <w:tcBorders>
              <w:top w:val="nil"/>
              <w:left w:val="double" w:sz="6" w:space="0" w:color="auto"/>
              <w:bottom w:val="single" w:sz="8" w:space="0" w:color="auto"/>
              <w:right w:val="double" w:sz="6" w:space="0" w:color="auto"/>
              <w:tl2br w:val="nil"/>
              <w:tr2bl w:val="nil"/>
            </w:tcBorders>
            <w:noWrap/>
            <w:textDirection w:val="lrTb"/>
            <w:vAlign w:val="bottom"/>
          </w:tcPr>
          <w:p w:rsidR="00AA35C8" w:rsidRPr="00F444DF" w:rsidP="00AA35C8">
            <w:pPr>
              <w:spacing w:line="240" w:lineRule="auto"/>
              <w:jc w:val="center"/>
              <w:rPr>
                <w:rFonts w:ascii="Times New Roman" w:hAnsi="Times New Roman" w:cs="Times New Roman"/>
              </w:rPr>
            </w:pPr>
            <w:r w:rsidRPr="00F444DF">
              <w:rPr>
                <w:rFonts w:ascii="Times New Roman" w:hAnsi="Times New Roman" w:cs="Times New Roman"/>
              </w:rPr>
              <w:t>637</w:t>
            </w:r>
          </w:p>
        </w:tc>
        <w:tc>
          <w:tcPr>
            <w:tcW w:w="1383" w:type="dxa"/>
            <w:tcBorders>
              <w:top w:val="nil"/>
              <w:left w:val="nil"/>
              <w:bottom w:val="single" w:sz="8" w:space="0" w:color="auto"/>
              <w:right w:val="nil"/>
              <w:tl2br w:val="nil"/>
              <w:tr2bl w:val="nil"/>
            </w:tcBorders>
            <w:noWrap/>
            <w:textDirection w:val="lrTb"/>
            <w:vAlign w:val="bottom"/>
          </w:tcPr>
          <w:p w:rsidR="00AA35C8" w:rsidRPr="00F444DF" w:rsidP="00AA35C8">
            <w:pPr>
              <w:spacing w:line="240" w:lineRule="auto"/>
              <w:jc w:val="right"/>
              <w:rPr>
                <w:rFonts w:ascii="Times New Roman" w:hAnsi="Times New Roman" w:cs="Times New Roman"/>
              </w:rPr>
            </w:pPr>
            <w:r w:rsidRPr="00F444DF">
              <w:rPr>
                <w:rFonts w:ascii="Times New Roman" w:hAnsi="Times New Roman" w:cs="Times New Roman"/>
              </w:rPr>
              <w:t>32 857 028,92</w:t>
            </w:r>
          </w:p>
        </w:tc>
        <w:tc>
          <w:tcPr>
            <w:tcW w:w="1260" w:type="dxa"/>
            <w:tcBorders>
              <w:top w:val="nil"/>
              <w:left w:val="single" w:sz="8" w:space="0" w:color="auto"/>
              <w:bottom w:val="single" w:sz="8" w:space="0" w:color="auto"/>
              <w:right w:val="single" w:sz="8" w:space="0" w:color="auto"/>
              <w:tl2br w:val="nil"/>
              <w:tr2bl w:val="nil"/>
            </w:tcBorders>
            <w:noWrap/>
            <w:textDirection w:val="lrTb"/>
            <w:vAlign w:val="bottom"/>
          </w:tcPr>
          <w:p w:rsidR="00AA35C8" w:rsidRPr="00F444DF" w:rsidP="00AA35C8">
            <w:pPr>
              <w:spacing w:line="240" w:lineRule="auto"/>
              <w:jc w:val="right"/>
              <w:rPr>
                <w:rFonts w:ascii="Times New Roman" w:hAnsi="Times New Roman" w:cs="Times New Roman"/>
              </w:rPr>
            </w:pPr>
            <w:r w:rsidRPr="00F444DF">
              <w:rPr>
                <w:rFonts w:ascii="Times New Roman" w:hAnsi="Times New Roman" w:cs="Times New Roman"/>
              </w:rPr>
              <w:t>2 509 112,19</w:t>
            </w:r>
          </w:p>
        </w:tc>
        <w:tc>
          <w:tcPr>
            <w:tcW w:w="1260" w:type="dxa"/>
            <w:tcBorders>
              <w:top w:val="nil"/>
              <w:left w:val="nil"/>
              <w:bottom w:val="single" w:sz="8" w:space="0" w:color="auto"/>
              <w:right w:val="single" w:sz="8" w:space="0" w:color="auto"/>
              <w:tl2br w:val="nil"/>
              <w:tr2bl w:val="nil"/>
            </w:tcBorders>
            <w:noWrap/>
            <w:textDirection w:val="lrTb"/>
            <w:vAlign w:val="bottom"/>
          </w:tcPr>
          <w:p w:rsidR="00AA35C8" w:rsidRPr="00F444DF" w:rsidP="00AA35C8">
            <w:pPr>
              <w:spacing w:line="240" w:lineRule="auto"/>
              <w:jc w:val="right"/>
              <w:rPr>
                <w:rFonts w:ascii="Times New Roman" w:hAnsi="Times New Roman" w:cs="Times New Roman"/>
                <w:sz w:val="16"/>
                <w:szCs w:val="16"/>
              </w:rPr>
            </w:pPr>
            <w:r w:rsidRPr="00F444DF">
              <w:rPr>
                <w:rFonts w:ascii="Times New Roman" w:hAnsi="Times New Roman" w:cs="Times New Roman"/>
                <w:sz w:val="16"/>
                <w:szCs w:val="16"/>
              </w:rPr>
              <w:t>1 196 541,75</w:t>
            </w:r>
          </w:p>
        </w:tc>
        <w:tc>
          <w:tcPr>
            <w:tcW w:w="1260" w:type="dxa"/>
            <w:tcBorders>
              <w:top w:val="nil"/>
              <w:left w:val="nil"/>
              <w:bottom w:val="single" w:sz="8" w:space="0" w:color="auto"/>
              <w:right w:val="single" w:sz="8" w:space="0" w:color="auto"/>
              <w:tl2br w:val="nil"/>
              <w:tr2bl w:val="nil"/>
            </w:tcBorders>
            <w:noWrap/>
            <w:textDirection w:val="lrTb"/>
            <w:vAlign w:val="bottom"/>
          </w:tcPr>
          <w:p w:rsidR="00AA35C8" w:rsidRPr="00F444DF" w:rsidP="00AA35C8">
            <w:pPr>
              <w:spacing w:line="240" w:lineRule="auto"/>
              <w:ind w:left="-70"/>
              <w:jc w:val="right"/>
              <w:rPr>
                <w:rFonts w:ascii="Times New Roman" w:hAnsi="Times New Roman" w:cs="Times New Roman"/>
                <w:sz w:val="16"/>
                <w:szCs w:val="16"/>
              </w:rPr>
            </w:pPr>
            <w:r w:rsidRPr="00F444DF">
              <w:rPr>
                <w:rFonts w:ascii="Times New Roman" w:hAnsi="Times New Roman" w:cs="Times New Roman"/>
                <w:sz w:val="16"/>
                <w:szCs w:val="16"/>
              </w:rPr>
              <w:t>962 939,95</w:t>
            </w:r>
          </w:p>
        </w:tc>
        <w:tc>
          <w:tcPr>
            <w:tcW w:w="1260" w:type="dxa"/>
            <w:tcBorders>
              <w:top w:val="nil"/>
              <w:left w:val="nil"/>
              <w:bottom w:val="single" w:sz="8" w:space="0" w:color="auto"/>
              <w:right w:val="single" w:sz="8" w:space="0" w:color="auto"/>
              <w:tl2br w:val="nil"/>
              <w:tr2bl w:val="nil"/>
            </w:tcBorders>
            <w:noWrap/>
            <w:textDirection w:val="lrTb"/>
            <w:vAlign w:val="bottom"/>
          </w:tcPr>
          <w:p w:rsidR="00AA35C8" w:rsidRPr="00F444DF" w:rsidP="00AA35C8">
            <w:pPr>
              <w:spacing w:line="240" w:lineRule="auto"/>
              <w:jc w:val="right"/>
              <w:rPr>
                <w:rFonts w:ascii="Times New Roman" w:hAnsi="Times New Roman" w:cs="Times New Roman"/>
                <w:sz w:val="16"/>
                <w:szCs w:val="16"/>
              </w:rPr>
            </w:pPr>
            <w:r w:rsidRPr="00F444DF">
              <w:rPr>
                <w:rFonts w:ascii="Times New Roman" w:hAnsi="Times New Roman" w:cs="Times New Roman"/>
                <w:sz w:val="16"/>
                <w:szCs w:val="16"/>
              </w:rPr>
              <w:t>1 750 208,95</w:t>
            </w:r>
          </w:p>
        </w:tc>
        <w:tc>
          <w:tcPr>
            <w:tcW w:w="1076" w:type="dxa"/>
            <w:tcBorders>
              <w:top w:val="nil"/>
              <w:left w:val="nil"/>
              <w:bottom w:val="single" w:sz="8" w:space="0" w:color="auto"/>
              <w:right w:val="double" w:sz="6" w:space="0" w:color="auto"/>
              <w:tl2br w:val="nil"/>
              <w:tr2bl w:val="nil"/>
            </w:tcBorders>
            <w:noWrap/>
            <w:textDirection w:val="lrTb"/>
            <w:vAlign w:val="bottom"/>
          </w:tcPr>
          <w:p w:rsidR="00AA35C8" w:rsidRPr="00F444DF" w:rsidP="00AA35C8">
            <w:pPr>
              <w:spacing w:line="240" w:lineRule="auto"/>
              <w:jc w:val="right"/>
              <w:rPr>
                <w:rFonts w:ascii="Times New Roman" w:hAnsi="Times New Roman" w:cs="Times New Roman"/>
              </w:rPr>
            </w:pPr>
            <w:r w:rsidRPr="00F444DF">
              <w:rPr>
                <w:rFonts w:ascii="Times New Roman" w:hAnsi="Times New Roman" w:cs="Times New Roman"/>
              </w:rPr>
              <w:t>229 478,70</w:t>
            </w:r>
          </w:p>
        </w:tc>
        <w:tc>
          <w:tcPr>
            <w:tcW w:w="1444" w:type="dxa"/>
            <w:tcBorders>
              <w:top w:val="nil"/>
              <w:left w:val="nil"/>
              <w:bottom w:val="single" w:sz="8" w:space="0" w:color="auto"/>
              <w:right w:val="single" w:sz="4" w:space="0" w:color="auto"/>
              <w:tl2br w:val="nil"/>
              <w:tr2bl w:val="nil"/>
            </w:tcBorders>
            <w:noWrap/>
            <w:textDirection w:val="lrTb"/>
            <w:vAlign w:val="bottom"/>
          </w:tcPr>
          <w:p w:rsidR="00AA35C8" w:rsidRPr="00F444DF" w:rsidP="00AA35C8">
            <w:pPr>
              <w:spacing w:line="240" w:lineRule="auto"/>
              <w:ind w:left="-70"/>
              <w:jc w:val="right"/>
              <w:rPr>
                <w:rFonts w:ascii="Times New Roman" w:hAnsi="Times New Roman" w:cs="Times New Roman"/>
              </w:rPr>
            </w:pPr>
            <w:r w:rsidRPr="00F444DF">
              <w:rPr>
                <w:rFonts w:ascii="Times New Roman" w:hAnsi="Times New Roman" w:cs="Times New Roman"/>
              </w:rPr>
              <w:t>39 505 310,46</w:t>
            </w:r>
          </w:p>
        </w:tc>
        <w:tc>
          <w:tcPr>
            <w:tcW w:w="857" w:type="dxa"/>
            <w:tcBorders>
              <w:top w:val="nil"/>
              <w:left w:val="single" w:sz="4" w:space="0" w:color="auto"/>
              <w:bottom w:val="single" w:sz="8" w:space="0" w:color="auto"/>
              <w:right w:val="double" w:sz="6" w:space="0" w:color="auto"/>
              <w:tl2br w:val="nil"/>
              <w:tr2bl w:val="nil"/>
            </w:tcBorders>
            <w:textDirection w:val="lrTb"/>
            <w:vAlign w:val="bottom"/>
          </w:tcPr>
          <w:p w:rsidR="00AA35C8" w:rsidRPr="00F444DF" w:rsidP="00AA35C8">
            <w:pPr>
              <w:spacing w:line="240" w:lineRule="auto"/>
              <w:ind w:left="-74"/>
              <w:jc w:val="right"/>
              <w:rPr>
                <w:rFonts w:ascii="Times New Roman" w:hAnsi="Times New Roman" w:cs="Times New Roman"/>
                <w:sz w:val="16"/>
                <w:szCs w:val="16"/>
              </w:rPr>
            </w:pPr>
            <w:r w:rsidRPr="00F444DF">
              <w:rPr>
                <w:rFonts w:ascii="Times New Roman" w:hAnsi="Times New Roman" w:cs="Times New Roman"/>
                <w:sz w:val="16"/>
                <w:szCs w:val="16"/>
              </w:rPr>
              <w:t>38,27 %</w:t>
            </w:r>
          </w:p>
        </w:tc>
      </w:tr>
      <w:tr>
        <w:tblPrEx>
          <w:tblW w:w="10240" w:type="dxa"/>
          <w:tblInd w:w="-290" w:type="dxa"/>
          <w:tblCellMar>
            <w:left w:w="70" w:type="dxa"/>
            <w:right w:w="70" w:type="dxa"/>
          </w:tblCellMar>
        </w:tblPrEx>
        <w:trPr>
          <w:trHeight w:val="60"/>
        </w:trPr>
        <w:tc>
          <w:tcPr>
            <w:tcW w:w="440" w:type="dxa"/>
            <w:tcBorders>
              <w:top w:val="single" w:sz="8" w:space="0" w:color="auto"/>
              <w:left w:val="double" w:sz="6" w:space="0" w:color="auto"/>
              <w:bottom w:val="double" w:sz="6" w:space="0" w:color="auto"/>
              <w:right w:val="double" w:sz="6" w:space="0" w:color="auto"/>
              <w:tl2br w:val="nil"/>
              <w:tr2bl w:val="nil"/>
            </w:tcBorders>
            <w:shd w:val="clear" w:color="auto" w:fill="C0C0C0"/>
            <w:noWrap/>
            <w:textDirection w:val="lrTb"/>
            <w:vAlign w:val="bottom"/>
          </w:tcPr>
          <w:p w:rsidR="00AA35C8" w:rsidRPr="00F444DF" w:rsidP="00AA35C8">
            <w:pPr>
              <w:spacing w:line="240" w:lineRule="auto"/>
              <w:jc w:val="center"/>
              <w:rPr>
                <w:rFonts w:ascii="Times New Roman" w:hAnsi="Times New Roman" w:cs="Times New Roman"/>
                <w:b/>
                <w:bCs/>
              </w:rPr>
            </w:pPr>
            <w:r w:rsidRPr="00F444DF">
              <w:rPr>
                <w:rFonts w:ascii="Times New Roman" w:hAnsi="Times New Roman" w:cs="Times New Roman"/>
                <w:b/>
                <w:bCs/>
              </w:rPr>
              <w:t>630</w:t>
            </w:r>
          </w:p>
        </w:tc>
        <w:tc>
          <w:tcPr>
            <w:tcW w:w="1383" w:type="dxa"/>
            <w:tcBorders>
              <w:top w:val="single" w:sz="8" w:space="0" w:color="auto"/>
              <w:left w:val="nil"/>
              <w:bottom w:val="double" w:sz="6" w:space="0" w:color="auto"/>
              <w:right w:val="nil"/>
              <w:tl2br w:val="nil"/>
              <w:tr2bl w:val="nil"/>
            </w:tcBorders>
            <w:shd w:val="clear" w:color="auto" w:fill="C0C0C0"/>
            <w:noWrap/>
            <w:textDirection w:val="lrTb"/>
            <w:vAlign w:val="bottom"/>
          </w:tcPr>
          <w:p w:rsidR="00AA35C8" w:rsidRPr="00F444DF" w:rsidP="00AA35C8">
            <w:pPr>
              <w:spacing w:line="240" w:lineRule="auto"/>
              <w:jc w:val="right"/>
              <w:rPr>
                <w:rFonts w:ascii="Times New Roman" w:hAnsi="Times New Roman" w:cs="Times New Roman"/>
                <w:b/>
              </w:rPr>
            </w:pPr>
            <w:r w:rsidRPr="00F444DF">
              <w:rPr>
                <w:rFonts w:ascii="Times New Roman" w:hAnsi="Times New Roman" w:cs="Times New Roman"/>
                <w:b/>
              </w:rPr>
              <w:t>68 547 094,64</w:t>
            </w:r>
          </w:p>
        </w:tc>
        <w:tc>
          <w:tcPr>
            <w:tcW w:w="1260" w:type="dxa"/>
            <w:tcBorders>
              <w:top w:val="single" w:sz="8" w:space="0" w:color="auto"/>
              <w:left w:val="single" w:sz="8" w:space="0" w:color="auto"/>
              <w:bottom w:val="double" w:sz="6" w:space="0" w:color="auto"/>
              <w:right w:val="single" w:sz="8" w:space="0" w:color="auto"/>
              <w:tl2br w:val="nil"/>
              <w:tr2bl w:val="nil"/>
            </w:tcBorders>
            <w:shd w:val="clear" w:color="auto" w:fill="C0C0C0"/>
            <w:noWrap/>
            <w:textDirection w:val="lrTb"/>
            <w:vAlign w:val="bottom"/>
          </w:tcPr>
          <w:p w:rsidR="00AA35C8" w:rsidRPr="00F444DF" w:rsidP="00AA35C8">
            <w:pPr>
              <w:spacing w:line="240" w:lineRule="auto"/>
              <w:ind w:left="-70"/>
              <w:jc w:val="right"/>
              <w:rPr>
                <w:rFonts w:ascii="Times New Roman" w:hAnsi="Times New Roman" w:cs="Times New Roman"/>
                <w:b/>
              </w:rPr>
            </w:pPr>
            <w:r w:rsidRPr="00F444DF">
              <w:rPr>
                <w:rFonts w:ascii="Times New Roman" w:hAnsi="Times New Roman" w:cs="Times New Roman"/>
                <w:b/>
              </w:rPr>
              <w:t>10 709 328,92</w:t>
            </w:r>
          </w:p>
        </w:tc>
        <w:tc>
          <w:tcPr>
            <w:tcW w:w="1260" w:type="dxa"/>
            <w:tcBorders>
              <w:top w:val="single" w:sz="8" w:space="0" w:color="auto"/>
              <w:left w:val="nil"/>
              <w:bottom w:val="double" w:sz="6" w:space="0" w:color="auto"/>
              <w:right w:val="single" w:sz="8" w:space="0" w:color="auto"/>
              <w:tl2br w:val="nil"/>
              <w:tr2bl w:val="nil"/>
            </w:tcBorders>
            <w:shd w:val="clear" w:color="auto" w:fill="C0C0C0"/>
            <w:noWrap/>
            <w:textDirection w:val="lrTb"/>
            <w:vAlign w:val="bottom"/>
          </w:tcPr>
          <w:p w:rsidR="00AA35C8" w:rsidRPr="00F444DF" w:rsidP="00AA35C8">
            <w:pPr>
              <w:spacing w:line="240" w:lineRule="auto"/>
              <w:jc w:val="right"/>
              <w:rPr>
                <w:rFonts w:ascii="Times New Roman" w:hAnsi="Times New Roman" w:cs="Times New Roman"/>
                <w:b/>
              </w:rPr>
            </w:pPr>
            <w:r w:rsidRPr="00F444DF">
              <w:rPr>
                <w:rFonts w:ascii="Times New Roman" w:hAnsi="Times New Roman" w:cs="Times New Roman"/>
                <w:b/>
              </w:rPr>
              <w:t>7 310 008,49</w:t>
            </w:r>
          </w:p>
        </w:tc>
        <w:tc>
          <w:tcPr>
            <w:tcW w:w="1260" w:type="dxa"/>
            <w:tcBorders>
              <w:top w:val="single" w:sz="8" w:space="0" w:color="auto"/>
              <w:left w:val="nil"/>
              <w:bottom w:val="double" w:sz="6" w:space="0" w:color="auto"/>
              <w:right w:val="single" w:sz="8" w:space="0" w:color="auto"/>
              <w:tl2br w:val="nil"/>
              <w:tr2bl w:val="nil"/>
            </w:tcBorders>
            <w:shd w:val="clear" w:color="auto" w:fill="C0C0C0"/>
            <w:noWrap/>
            <w:textDirection w:val="lrTb"/>
            <w:vAlign w:val="bottom"/>
          </w:tcPr>
          <w:p w:rsidR="00AA35C8" w:rsidRPr="00F444DF" w:rsidP="00AA35C8">
            <w:pPr>
              <w:spacing w:line="240" w:lineRule="auto"/>
              <w:ind w:left="-70" w:right="-70"/>
              <w:jc w:val="right"/>
              <w:rPr>
                <w:rFonts w:ascii="Times New Roman" w:hAnsi="Times New Roman" w:cs="Times New Roman"/>
                <w:b/>
              </w:rPr>
            </w:pPr>
            <w:r w:rsidRPr="00F444DF">
              <w:rPr>
                <w:rFonts w:ascii="Times New Roman" w:hAnsi="Times New Roman" w:cs="Times New Roman"/>
                <w:b/>
              </w:rPr>
              <w:t>5 731 386,88</w:t>
            </w:r>
          </w:p>
        </w:tc>
        <w:tc>
          <w:tcPr>
            <w:tcW w:w="1260" w:type="dxa"/>
            <w:tcBorders>
              <w:top w:val="single" w:sz="8" w:space="0" w:color="auto"/>
              <w:left w:val="nil"/>
              <w:bottom w:val="double" w:sz="6" w:space="0" w:color="auto"/>
              <w:right w:val="single" w:sz="8" w:space="0" w:color="auto"/>
              <w:tl2br w:val="nil"/>
              <w:tr2bl w:val="nil"/>
            </w:tcBorders>
            <w:shd w:val="clear" w:color="auto" w:fill="C0C0C0"/>
            <w:noWrap/>
            <w:textDirection w:val="lrTb"/>
            <w:vAlign w:val="bottom"/>
          </w:tcPr>
          <w:p w:rsidR="00AA35C8" w:rsidRPr="00F444DF" w:rsidP="00AA35C8">
            <w:pPr>
              <w:spacing w:line="240" w:lineRule="auto"/>
              <w:ind w:left="-70" w:right="-70"/>
              <w:jc w:val="right"/>
              <w:rPr>
                <w:rFonts w:ascii="Times New Roman" w:hAnsi="Times New Roman" w:cs="Times New Roman"/>
                <w:b/>
              </w:rPr>
            </w:pPr>
            <w:r w:rsidRPr="00F444DF">
              <w:rPr>
                <w:rFonts w:ascii="Times New Roman" w:hAnsi="Times New Roman" w:cs="Times New Roman"/>
                <w:b/>
              </w:rPr>
              <w:t>9 924 518,85</w:t>
            </w:r>
          </w:p>
        </w:tc>
        <w:tc>
          <w:tcPr>
            <w:tcW w:w="1076" w:type="dxa"/>
            <w:tcBorders>
              <w:top w:val="single" w:sz="8" w:space="0" w:color="auto"/>
              <w:left w:val="nil"/>
              <w:bottom w:val="double" w:sz="6" w:space="0" w:color="auto"/>
              <w:right w:val="double" w:sz="6" w:space="0" w:color="auto"/>
              <w:tl2br w:val="nil"/>
              <w:tr2bl w:val="nil"/>
            </w:tcBorders>
            <w:shd w:val="clear" w:color="auto" w:fill="C0C0C0"/>
            <w:noWrap/>
            <w:textDirection w:val="lrTb"/>
            <w:vAlign w:val="bottom"/>
          </w:tcPr>
          <w:p w:rsidR="00AA35C8" w:rsidRPr="00F444DF" w:rsidP="00AA35C8">
            <w:pPr>
              <w:spacing w:line="240" w:lineRule="auto"/>
              <w:ind w:left="-70" w:right="-70"/>
              <w:jc w:val="right"/>
              <w:rPr>
                <w:rFonts w:ascii="Times New Roman" w:hAnsi="Times New Roman" w:cs="Times New Roman"/>
                <w:b/>
              </w:rPr>
            </w:pPr>
            <w:r w:rsidRPr="00F444DF">
              <w:rPr>
                <w:rFonts w:ascii="Times New Roman" w:hAnsi="Times New Roman" w:cs="Times New Roman"/>
                <w:b/>
              </w:rPr>
              <w:t>1 005 493,20</w:t>
            </w:r>
          </w:p>
        </w:tc>
        <w:tc>
          <w:tcPr>
            <w:tcW w:w="1444" w:type="dxa"/>
            <w:tcBorders>
              <w:top w:val="single" w:sz="8" w:space="0" w:color="auto"/>
              <w:left w:val="nil"/>
              <w:bottom w:val="double" w:sz="6" w:space="0" w:color="auto"/>
              <w:right w:val="single" w:sz="4" w:space="0" w:color="auto"/>
              <w:tl2br w:val="nil"/>
              <w:tr2bl w:val="nil"/>
            </w:tcBorders>
            <w:shd w:val="clear" w:color="auto" w:fill="C0C0C0"/>
            <w:noWrap/>
            <w:textDirection w:val="lrTb"/>
            <w:vAlign w:val="bottom"/>
          </w:tcPr>
          <w:p w:rsidR="00AA35C8" w:rsidRPr="00F444DF" w:rsidP="00AA35C8">
            <w:pPr>
              <w:spacing w:line="240" w:lineRule="auto"/>
              <w:ind w:left="-70" w:right="-66"/>
              <w:jc w:val="right"/>
              <w:rPr>
                <w:rFonts w:ascii="Times New Roman" w:hAnsi="Times New Roman" w:cs="Times New Roman"/>
                <w:b/>
              </w:rPr>
            </w:pPr>
            <w:r w:rsidRPr="00F444DF">
              <w:rPr>
                <w:rFonts w:ascii="Times New Roman" w:hAnsi="Times New Roman" w:cs="Times New Roman"/>
                <w:b/>
              </w:rPr>
              <w:t>103 227 830,98</w:t>
            </w:r>
          </w:p>
        </w:tc>
        <w:tc>
          <w:tcPr>
            <w:tcW w:w="857" w:type="dxa"/>
            <w:tcBorders>
              <w:top w:val="single" w:sz="8" w:space="0" w:color="auto"/>
              <w:left w:val="single" w:sz="4" w:space="0" w:color="auto"/>
              <w:bottom w:val="double" w:sz="6" w:space="0" w:color="auto"/>
              <w:right w:val="double" w:sz="6" w:space="0" w:color="auto"/>
              <w:tl2br w:val="nil"/>
              <w:tr2bl w:val="nil"/>
            </w:tcBorders>
            <w:shd w:val="clear" w:color="auto" w:fill="C0C0C0"/>
            <w:textDirection w:val="lrTb"/>
            <w:vAlign w:val="bottom"/>
          </w:tcPr>
          <w:p w:rsidR="00AA35C8" w:rsidRPr="00F444DF" w:rsidP="00AA35C8">
            <w:pPr>
              <w:spacing w:line="240" w:lineRule="auto"/>
              <w:ind w:left="-74"/>
              <w:jc w:val="right"/>
              <w:rPr>
                <w:rFonts w:ascii="Times New Roman" w:hAnsi="Times New Roman" w:cs="Times New Roman"/>
                <w:b/>
                <w:sz w:val="16"/>
                <w:szCs w:val="16"/>
              </w:rPr>
            </w:pPr>
            <w:r w:rsidRPr="00F444DF">
              <w:rPr>
                <w:rFonts w:ascii="Times New Roman" w:hAnsi="Times New Roman" w:cs="Times New Roman"/>
                <w:b/>
                <w:sz w:val="16"/>
                <w:szCs w:val="16"/>
              </w:rPr>
              <w:t>100,00%</w:t>
            </w:r>
          </w:p>
        </w:tc>
      </w:tr>
    </w:tbl>
    <w:p w:rsidR="00C34272" w:rsidRPr="00F444DF" w:rsidP="009A52FB">
      <w:pPr>
        <w:pStyle w:val="Title"/>
        <w:spacing w:line="240" w:lineRule="auto"/>
        <w:jc w:val="both"/>
        <w:rPr>
          <w:rFonts w:ascii="Times New Roman" w:hAnsi="Times New Roman" w:cs="Times New Roman"/>
          <w:b/>
        </w:rPr>
      </w:pPr>
    </w:p>
    <w:p w:rsidR="00C34272" w:rsidRPr="00F444DF" w:rsidP="00C34272">
      <w:pPr>
        <w:pStyle w:val="Title"/>
        <w:spacing w:line="240" w:lineRule="auto"/>
        <w:ind w:firstLine="708"/>
        <w:rPr>
          <w:rFonts w:ascii="Times New Roman" w:hAnsi="Times New Roman" w:cs="Times New Roman"/>
        </w:rPr>
      </w:pPr>
      <w:r w:rsidRPr="00F444DF" w:rsidR="00AA35C8">
        <w:rPr>
          <w:rFonts w:ascii="Times New Roman" w:hAnsi="Times New Roman" w:cs="Times New Roman"/>
        </w:rPr>
        <w:t xml:space="preserve">Z hľadiska štruktúry výdavkov v rámci </w:t>
      </w:r>
      <w:r w:rsidR="00F444DF">
        <w:rPr>
          <w:rFonts w:ascii="Times New Roman" w:hAnsi="Times New Roman" w:cs="Times New Roman"/>
        </w:rPr>
        <w:t xml:space="preserve">celej Železničnej polície </w:t>
      </w:r>
      <w:r w:rsidRPr="00F444DF" w:rsidR="00AA35C8">
        <w:rPr>
          <w:rFonts w:ascii="Times New Roman" w:hAnsi="Times New Roman" w:cs="Times New Roman"/>
        </w:rPr>
        <w:t>najväčší podiel k 31.12.2007 mali výdavky za služby (38,27 %) a za materiál (23,56 %).</w:t>
      </w:r>
    </w:p>
    <w:p w:rsidR="00AA35C8" w:rsidP="00F444DF">
      <w:pPr>
        <w:pStyle w:val="Title"/>
        <w:spacing w:line="240" w:lineRule="auto"/>
        <w:jc w:val="left"/>
        <w:rPr>
          <w:rFonts w:ascii="Times New Roman" w:hAnsi="Times New Roman" w:cs="Times New Roman"/>
          <w:bCs/>
          <w:sz w:val="20"/>
        </w:rPr>
      </w:pPr>
      <w:r w:rsidRPr="001B4605">
        <w:rPr>
          <w:rFonts w:ascii="Times New Roman" w:hAnsi="Times New Roman" w:cs="Times New Roman"/>
          <w:b/>
          <w:bCs/>
          <w:sz w:val="20"/>
        </w:rPr>
        <w:t xml:space="preserve">       </w:t>
      </w:r>
      <w:r>
        <w:rPr>
          <w:rFonts w:ascii="Times New Roman" w:hAnsi="Times New Roman" w:cs="Times New Roman"/>
          <w:bCs/>
          <w:sz w:val="20"/>
        </w:rPr>
        <w:t xml:space="preserve">                                                                                                                  </w:t>
      </w:r>
      <w:r w:rsidR="00F444DF">
        <w:rPr>
          <w:rFonts w:ascii="Times New Roman" w:hAnsi="Times New Roman" w:cs="Times New Roman"/>
          <w:bCs/>
          <w:sz w:val="20"/>
        </w:rPr>
        <w:t xml:space="preserve">                                  (v %)</w:t>
      </w:r>
    </w:p>
    <w:tbl>
      <w:tblPr>
        <w:tblW w:w="7080" w:type="dxa"/>
        <w:tblInd w:w="1150" w:type="dxa"/>
        <w:tblCellMar>
          <w:left w:w="70" w:type="dxa"/>
          <w:right w:w="70" w:type="dxa"/>
        </w:tblCellMar>
      </w:tblPr>
      <w:tblGrid>
        <w:gridCol w:w="585"/>
        <w:gridCol w:w="920"/>
        <w:gridCol w:w="937"/>
        <w:gridCol w:w="937"/>
        <w:gridCol w:w="937"/>
        <w:gridCol w:w="937"/>
        <w:gridCol w:w="944"/>
        <w:gridCol w:w="883"/>
      </w:tblGrid>
      <w:tr>
        <w:tblPrEx>
          <w:tblW w:w="7080" w:type="dxa"/>
          <w:tblInd w:w="1150" w:type="dxa"/>
          <w:tblCellMar>
            <w:left w:w="70" w:type="dxa"/>
            <w:right w:w="70" w:type="dxa"/>
          </w:tblCellMar>
        </w:tblPrEx>
        <w:trPr>
          <w:trHeight w:val="285"/>
        </w:trPr>
        <w:tc>
          <w:tcPr>
            <w:tcW w:w="7080" w:type="dxa"/>
            <w:gridSpan w:val="8"/>
            <w:tcBorders>
              <w:top w:val="double" w:sz="6" w:space="0" w:color="auto"/>
              <w:left w:val="double" w:sz="6" w:space="0" w:color="auto"/>
              <w:bottom w:val="single" w:sz="8" w:space="0" w:color="auto"/>
              <w:right w:val="double" w:sz="6" w:space="0" w:color="000000"/>
              <w:tl2br w:val="nil"/>
              <w:tr2bl w:val="nil"/>
            </w:tcBorders>
            <w:noWrap/>
            <w:textDirection w:val="lrTb"/>
            <w:vAlign w:val="center"/>
          </w:tcPr>
          <w:p w:rsidR="00AA35C8" w:rsidRPr="00F444DF" w:rsidP="00F444DF">
            <w:pPr>
              <w:spacing w:line="240" w:lineRule="auto"/>
              <w:ind w:left="290" w:hanging="290"/>
              <w:jc w:val="center"/>
              <w:rPr>
                <w:rFonts w:ascii="Times New Roman" w:hAnsi="Times New Roman" w:cs="Times New Roman"/>
                <w:b/>
                <w:bCs/>
              </w:rPr>
            </w:pPr>
            <w:r w:rsidRPr="00F444DF">
              <w:rPr>
                <w:rFonts w:ascii="Times New Roman" w:hAnsi="Times New Roman" w:cs="Times New Roman"/>
                <w:b/>
                <w:bCs/>
              </w:rPr>
              <w:t>PODIEL NA ČERPANÍ KTG 630 -  k</w:t>
            </w:r>
            <w:r w:rsidR="00751372">
              <w:rPr>
                <w:rFonts w:ascii="Times New Roman" w:hAnsi="Times New Roman" w:cs="Times New Roman"/>
                <w:b/>
                <w:bCs/>
              </w:rPr>
              <w:t> </w:t>
            </w:r>
            <w:r w:rsidRPr="00F444DF">
              <w:rPr>
                <w:rFonts w:ascii="Times New Roman" w:hAnsi="Times New Roman" w:cs="Times New Roman"/>
                <w:b/>
                <w:bCs/>
              </w:rPr>
              <w:t>31</w:t>
            </w:r>
            <w:r w:rsidRPr="00F444DF">
              <w:rPr>
                <w:rFonts w:ascii="Times New Roman" w:hAnsi="Times New Roman" w:cs="Times New Roman"/>
                <w:b/>
                <w:bCs/>
              </w:rPr>
              <w:t>.12.2007</w:t>
            </w:r>
          </w:p>
        </w:tc>
      </w:tr>
      <w:tr>
        <w:tblPrEx>
          <w:tblW w:w="7080" w:type="dxa"/>
          <w:tblInd w:w="1150" w:type="dxa"/>
          <w:tblCellMar>
            <w:left w:w="70" w:type="dxa"/>
            <w:right w:w="70" w:type="dxa"/>
          </w:tblCellMar>
        </w:tblPrEx>
        <w:trPr>
          <w:trHeight w:val="296"/>
        </w:trPr>
        <w:tc>
          <w:tcPr>
            <w:tcW w:w="585" w:type="dxa"/>
            <w:tcBorders>
              <w:top w:val="nil"/>
              <w:left w:val="double" w:sz="6" w:space="0" w:color="auto"/>
              <w:bottom w:val="nil"/>
              <w:right w:val="double" w:sz="6" w:space="0" w:color="auto"/>
              <w:tl2br w:val="nil"/>
              <w:tr2bl w:val="nil"/>
            </w:tcBorders>
            <w:noWrap/>
            <w:textDirection w:val="lrTb"/>
            <w:vAlign w:val="center"/>
          </w:tcPr>
          <w:p w:rsidR="00AA35C8" w:rsidRPr="00F444DF" w:rsidP="00F444DF">
            <w:pPr>
              <w:spacing w:line="240" w:lineRule="auto"/>
              <w:jc w:val="center"/>
              <w:rPr>
                <w:rFonts w:ascii="Times New Roman" w:hAnsi="Times New Roman" w:cs="Times New Roman"/>
                <w:b/>
                <w:bCs/>
              </w:rPr>
            </w:pPr>
            <w:r w:rsidRPr="00F444DF">
              <w:rPr>
                <w:rFonts w:ascii="Times New Roman" w:hAnsi="Times New Roman" w:cs="Times New Roman"/>
                <w:b/>
                <w:bCs/>
              </w:rPr>
              <w:t>RP</w:t>
            </w:r>
          </w:p>
          <w:p w:rsidR="00AA35C8" w:rsidRPr="00F444DF" w:rsidP="00F444DF">
            <w:pPr>
              <w:spacing w:line="240" w:lineRule="auto"/>
              <w:jc w:val="center"/>
              <w:rPr>
                <w:rFonts w:ascii="Times New Roman" w:hAnsi="Times New Roman" w:cs="Times New Roman"/>
                <w:b/>
                <w:bCs/>
              </w:rPr>
            </w:pPr>
            <w:r w:rsidRPr="00F444DF">
              <w:rPr>
                <w:rFonts w:ascii="Times New Roman" w:hAnsi="Times New Roman" w:cs="Times New Roman"/>
                <w:b/>
                <w:bCs/>
              </w:rPr>
              <w:t>KTG</w:t>
            </w:r>
          </w:p>
        </w:tc>
        <w:tc>
          <w:tcPr>
            <w:tcW w:w="920" w:type="dxa"/>
            <w:tcBorders>
              <w:top w:val="nil"/>
              <w:left w:val="nil"/>
              <w:bottom w:val="nil"/>
              <w:right w:val="single" w:sz="8" w:space="0" w:color="auto"/>
              <w:tl2br w:val="nil"/>
              <w:tr2bl w:val="nil"/>
            </w:tcBorders>
            <w:noWrap/>
            <w:textDirection w:val="lrTb"/>
            <w:vAlign w:val="center"/>
          </w:tcPr>
          <w:p w:rsidR="00AA35C8" w:rsidRPr="00F444DF" w:rsidP="00F444DF">
            <w:pPr>
              <w:spacing w:line="240" w:lineRule="auto"/>
              <w:jc w:val="center"/>
              <w:rPr>
                <w:rFonts w:ascii="Times New Roman" w:hAnsi="Times New Roman" w:cs="Times New Roman"/>
                <w:b/>
                <w:bCs/>
              </w:rPr>
            </w:pPr>
            <w:r w:rsidRPr="00F444DF">
              <w:rPr>
                <w:rFonts w:ascii="Times New Roman" w:hAnsi="Times New Roman" w:cs="Times New Roman"/>
                <w:b/>
                <w:bCs/>
              </w:rPr>
              <w:t>GR</w:t>
            </w:r>
          </w:p>
          <w:p w:rsidR="00AA35C8" w:rsidRPr="00F444DF" w:rsidP="00F444DF">
            <w:pPr>
              <w:spacing w:line="240" w:lineRule="auto"/>
              <w:jc w:val="center"/>
              <w:rPr>
                <w:rFonts w:ascii="Times New Roman" w:hAnsi="Times New Roman" w:cs="Times New Roman"/>
                <w:b/>
                <w:bCs/>
              </w:rPr>
            </w:pPr>
            <w:r w:rsidRPr="00F444DF">
              <w:rPr>
                <w:rFonts w:ascii="Times New Roman" w:hAnsi="Times New Roman" w:cs="Times New Roman"/>
                <w:b/>
                <w:bCs/>
              </w:rPr>
              <w:t xml:space="preserve"> ŽP</w:t>
            </w:r>
          </w:p>
        </w:tc>
        <w:tc>
          <w:tcPr>
            <w:tcW w:w="937" w:type="dxa"/>
            <w:tcBorders>
              <w:top w:val="nil"/>
              <w:left w:val="nil"/>
              <w:bottom w:val="nil"/>
              <w:right w:val="single" w:sz="8" w:space="0" w:color="auto"/>
              <w:tl2br w:val="nil"/>
              <w:tr2bl w:val="nil"/>
            </w:tcBorders>
            <w:textDirection w:val="lrTb"/>
            <w:vAlign w:val="center"/>
          </w:tcPr>
          <w:p w:rsidR="00AA35C8" w:rsidRPr="00F444DF" w:rsidP="00F444DF">
            <w:pPr>
              <w:spacing w:line="240" w:lineRule="auto"/>
              <w:jc w:val="center"/>
              <w:rPr>
                <w:rFonts w:ascii="Times New Roman" w:hAnsi="Times New Roman" w:cs="Times New Roman"/>
                <w:b/>
                <w:bCs/>
              </w:rPr>
            </w:pPr>
            <w:r w:rsidRPr="00F444DF">
              <w:rPr>
                <w:rFonts w:ascii="Times New Roman" w:hAnsi="Times New Roman" w:cs="Times New Roman"/>
                <w:b/>
                <w:bCs/>
              </w:rPr>
              <w:t>ObS ŽP TT</w:t>
            </w:r>
          </w:p>
        </w:tc>
        <w:tc>
          <w:tcPr>
            <w:tcW w:w="937" w:type="dxa"/>
            <w:tcBorders>
              <w:top w:val="nil"/>
              <w:left w:val="nil"/>
              <w:bottom w:val="nil"/>
              <w:right w:val="single" w:sz="8" w:space="0" w:color="auto"/>
              <w:tl2br w:val="nil"/>
              <w:tr2bl w:val="nil"/>
            </w:tcBorders>
            <w:textDirection w:val="lrTb"/>
            <w:vAlign w:val="center"/>
          </w:tcPr>
          <w:p w:rsidR="00AA35C8" w:rsidRPr="00F444DF" w:rsidP="00F444DF">
            <w:pPr>
              <w:spacing w:line="240" w:lineRule="auto"/>
              <w:jc w:val="center"/>
              <w:rPr>
                <w:rFonts w:ascii="Times New Roman" w:hAnsi="Times New Roman" w:cs="Times New Roman"/>
                <w:b/>
                <w:bCs/>
              </w:rPr>
            </w:pPr>
            <w:r w:rsidRPr="00F444DF">
              <w:rPr>
                <w:rFonts w:ascii="Times New Roman" w:hAnsi="Times New Roman" w:cs="Times New Roman"/>
                <w:b/>
                <w:bCs/>
              </w:rPr>
              <w:t>ObS ŽP ZA</w:t>
            </w:r>
          </w:p>
        </w:tc>
        <w:tc>
          <w:tcPr>
            <w:tcW w:w="937" w:type="dxa"/>
            <w:tcBorders>
              <w:top w:val="nil"/>
              <w:left w:val="nil"/>
              <w:bottom w:val="nil"/>
              <w:right w:val="single" w:sz="8" w:space="0" w:color="auto"/>
              <w:tl2br w:val="nil"/>
              <w:tr2bl w:val="nil"/>
            </w:tcBorders>
            <w:textDirection w:val="lrTb"/>
            <w:vAlign w:val="center"/>
          </w:tcPr>
          <w:p w:rsidR="00AA35C8" w:rsidRPr="00F444DF" w:rsidP="00F444DF">
            <w:pPr>
              <w:spacing w:line="240" w:lineRule="auto"/>
              <w:jc w:val="center"/>
              <w:rPr>
                <w:rFonts w:ascii="Times New Roman" w:hAnsi="Times New Roman" w:cs="Times New Roman"/>
                <w:b/>
                <w:bCs/>
              </w:rPr>
            </w:pPr>
            <w:r w:rsidRPr="00F444DF">
              <w:rPr>
                <w:rFonts w:ascii="Times New Roman" w:hAnsi="Times New Roman" w:cs="Times New Roman"/>
                <w:b/>
                <w:bCs/>
              </w:rPr>
              <w:t>ObS ŽP ZV</w:t>
            </w:r>
          </w:p>
        </w:tc>
        <w:tc>
          <w:tcPr>
            <w:tcW w:w="937" w:type="dxa"/>
            <w:tcBorders>
              <w:top w:val="nil"/>
              <w:left w:val="nil"/>
              <w:bottom w:val="nil"/>
              <w:right w:val="single" w:sz="8" w:space="0" w:color="auto"/>
              <w:tl2br w:val="nil"/>
              <w:tr2bl w:val="nil"/>
            </w:tcBorders>
            <w:textDirection w:val="lrTb"/>
            <w:vAlign w:val="center"/>
          </w:tcPr>
          <w:p w:rsidR="00AA35C8" w:rsidRPr="00F444DF" w:rsidP="00F444DF">
            <w:pPr>
              <w:spacing w:line="240" w:lineRule="auto"/>
              <w:jc w:val="center"/>
              <w:rPr>
                <w:rFonts w:ascii="Times New Roman" w:hAnsi="Times New Roman" w:cs="Times New Roman"/>
                <w:b/>
                <w:bCs/>
              </w:rPr>
            </w:pPr>
            <w:r w:rsidRPr="00F444DF">
              <w:rPr>
                <w:rFonts w:ascii="Times New Roman" w:hAnsi="Times New Roman" w:cs="Times New Roman"/>
                <w:b/>
                <w:bCs/>
              </w:rPr>
              <w:t>ObS ŽP KE</w:t>
            </w:r>
          </w:p>
        </w:tc>
        <w:tc>
          <w:tcPr>
            <w:tcW w:w="944" w:type="dxa"/>
            <w:tcBorders>
              <w:top w:val="nil"/>
              <w:left w:val="nil"/>
              <w:bottom w:val="nil"/>
              <w:right w:val="single" w:sz="8" w:space="0" w:color="auto"/>
              <w:tl2br w:val="nil"/>
              <w:tr2bl w:val="nil"/>
            </w:tcBorders>
            <w:textDirection w:val="lrTb"/>
            <w:vAlign w:val="center"/>
          </w:tcPr>
          <w:p w:rsidR="00AA35C8" w:rsidRPr="00F444DF" w:rsidP="00F444DF">
            <w:pPr>
              <w:spacing w:line="240" w:lineRule="auto"/>
              <w:jc w:val="center"/>
              <w:rPr>
                <w:rFonts w:ascii="Times New Roman" w:hAnsi="Times New Roman" w:cs="Times New Roman"/>
                <w:b/>
                <w:bCs/>
              </w:rPr>
            </w:pPr>
            <w:r w:rsidRPr="00F444DF">
              <w:rPr>
                <w:rFonts w:ascii="Times New Roman" w:hAnsi="Times New Roman" w:cs="Times New Roman"/>
                <w:b/>
                <w:bCs/>
              </w:rPr>
              <w:t xml:space="preserve">ÚZ ŽP </w:t>
              <w:br/>
              <w:t>KA</w:t>
            </w:r>
          </w:p>
        </w:tc>
        <w:tc>
          <w:tcPr>
            <w:tcW w:w="883" w:type="dxa"/>
            <w:tcBorders>
              <w:top w:val="nil"/>
              <w:left w:val="nil"/>
              <w:bottom w:val="nil"/>
              <w:right w:val="double" w:sz="6" w:space="0" w:color="auto"/>
              <w:tl2br w:val="nil"/>
              <w:tr2bl w:val="nil"/>
            </w:tcBorders>
            <w:noWrap/>
            <w:textDirection w:val="lrTb"/>
            <w:vAlign w:val="center"/>
          </w:tcPr>
          <w:p w:rsidR="00AA35C8" w:rsidRPr="00F444DF" w:rsidP="00F444DF">
            <w:pPr>
              <w:spacing w:line="240" w:lineRule="auto"/>
              <w:jc w:val="center"/>
              <w:rPr>
                <w:rFonts w:ascii="Times New Roman" w:hAnsi="Times New Roman" w:cs="Times New Roman"/>
                <w:b/>
                <w:bCs/>
              </w:rPr>
            </w:pPr>
            <w:r w:rsidRPr="00F444DF" w:rsidR="00F444DF">
              <w:rPr>
                <w:rFonts w:ascii="Times New Roman" w:hAnsi="Times New Roman" w:cs="Times New Roman"/>
                <w:b/>
                <w:bCs/>
              </w:rPr>
              <w:t>Žel. polícia</w:t>
            </w:r>
          </w:p>
          <w:p w:rsidR="00AA35C8" w:rsidRPr="00F444DF" w:rsidP="00F444DF">
            <w:pPr>
              <w:spacing w:line="240" w:lineRule="auto"/>
              <w:jc w:val="center"/>
              <w:rPr>
                <w:rFonts w:ascii="Times New Roman" w:hAnsi="Times New Roman" w:cs="Times New Roman"/>
                <w:b/>
                <w:bCs/>
              </w:rPr>
            </w:pPr>
          </w:p>
        </w:tc>
      </w:tr>
      <w:tr>
        <w:tblPrEx>
          <w:tblW w:w="7080" w:type="dxa"/>
          <w:tblInd w:w="1150" w:type="dxa"/>
          <w:tblCellMar>
            <w:left w:w="70" w:type="dxa"/>
            <w:right w:w="70" w:type="dxa"/>
          </w:tblCellMar>
        </w:tblPrEx>
        <w:trPr>
          <w:trHeight w:val="270"/>
        </w:trPr>
        <w:tc>
          <w:tcPr>
            <w:tcW w:w="585" w:type="dxa"/>
            <w:tcBorders>
              <w:top w:val="double" w:sz="6" w:space="0" w:color="auto"/>
              <w:left w:val="double" w:sz="6" w:space="0" w:color="auto"/>
              <w:bottom w:val="single" w:sz="4" w:space="0" w:color="auto"/>
              <w:right w:val="double" w:sz="6" w:space="0" w:color="auto"/>
              <w:tl2br w:val="nil"/>
              <w:tr2bl w:val="nil"/>
            </w:tcBorders>
            <w:noWrap/>
            <w:textDirection w:val="lrTb"/>
            <w:vAlign w:val="center"/>
          </w:tcPr>
          <w:p w:rsidR="00AA35C8" w:rsidRPr="00F444DF" w:rsidP="00F444DF">
            <w:pPr>
              <w:spacing w:line="240" w:lineRule="auto"/>
              <w:jc w:val="center"/>
              <w:rPr>
                <w:rFonts w:ascii="Times New Roman" w:hAnsi="Times New Roman" w:cs="Times New Roman"/>
              </w:rPr>
            </w:pPr>
            <w:r w:rsidRPr="00F444DF">
              <w:rPr>
                <w:rFonts w:ascii="Times New Roman" w:hAnsi="Times New Roman" w:cs="Times New Roman"/>
              </w:rPr>
              <w:t>631</w:t>
            </w:r>
          </w:p>
        </w:tc>
        <w:tc>
          <w:tcPr>
            <w:tcW w:w="920" w:type="dxa"/>
            <w:tcBorders>
              <w:top w:val="double" w:sz="6" w:space="0" w:color="auto"/>
              <w:left w:val="nil"/>
              <w:bottom w:val="single" w:sz="4" w:space="0" w:color="auto"/>
              <w:right w:val="single" w:sz="8" w:space="0" w:color="auto"/>
              <w:tl2br w:val="nil"/>
              <w:tr2bl w:val="nil"/>
            </w:tcBorders>
            <w:noWrap/>
            <w:textDirection w:val="lrTb"/>
            <w:vAlign w:val="center"/>
          </w:tcPr>
          <w:p w:rsidR="00AA35C8" w:rsidRPr="00F444DF" w:rsidP="00F444DF">
            <w:pPr>
              <w:spacing w:line="240" w:lineRule="auto"/>
              <w:jc w:val="right"/>
              <w:rPr>
                <w:rFonts w:ascii="Times New Roman" w:hAnsi="Times New Roman" w:cs="Times New Roman"/>
              </w:rPr>
            </w:pPr>
            <w:r w:rsidRPr="00F444DF">
              <w:rPr>
                <w:rFonts w:ascii="Times New Roman" w:hAnsi="Times New Roman" w:cs="Times New Roman"/>
              </w:rPr>
              <w:t>0,72 %</w:t>
            </w:r>
          </w:p>
        </w:tc>
        <w:tc>
          <w:tcPr>
            <w:tcW w:w="937" w:type="dxa"/>
            <w:tcBorders>
              <w:top w:val="double" w:sz="6" w:space="0" w:color="auto"/>
              <w:left w:val="nil"/>
              <w:bottom w:val="single" w:sz="4" w:space="0" w:color="auto"/>
              <w:right w:val="single" w:sz="8" w:space="0" w:color="auto"/>
              <w:tl2br w:val="nil"/>
              <w:tr2bl w:val="nil"/>
            </w:tcBorders>
            <w:noWrap/>
            <w:textDirection w:val="lrTb"/>
            <w:vAlign w:val="center"/>
          </w:tcPr>
          <w:p w:rsidR="00AA35C8" w:rsidRPr="00F444DF" w:rsidP="00F444DF">
            <w:pPr>
              <w:spacing w:line="240" w:lineRule="auto"/>
              <w:jc w:val="right"/>
              <w:rPr>
                <w:rFonts w:ascii="Times New Roman" w:hAnsi="Times New Roman" w:cs="Times New Roman"/>
              </w:rPr>
            </w:pPr>
            <w:r w:rsidRPr="00F444DF">
              <w:rPr>
                <w:rFonts w:ascii="Times New Roman" w:hAnsi="Times New Roman" w:cs="Times New Roman"/>
              </w:rPr>
              <w:t>1,26 %</w:t>
            </w:r>
          </w:p>
        </w:tc>
        <w:tc>
          <w:tcPr>
            <w:tcW w:w="937" w:type="dxa"/>
            <w:tcBorders>
              <w:top w:val="double" w:sz="6" w:space="0" w:color="auto"/>
              <w:left w:val="nil"/>
              <w:bottom w:val="single" w:sz="4" w:space="0" w:color="auto"/>
              <w:right w:val="single" w:sz="8" w:space="0" w:color="auto"/>
              <w:tl2br w:val="nil"/>
              <w:tr2bl w:val="nil"/>
            </w:tcBorders>
            <w:noWrap/>
            <w:textDirection w:val="lrTb"/>
            <w:vAlign w:val="center"/>
          </w:tcPr>
          <w:p w:rsidR="00AA35C8" w:rsidRPr="00F444DF" w:rsidP="00F444DF">
            <w:pPr>
              <w:spacing w:line="240" w:lineRule="auto"/>
              <w:jc w:val="right"/>
              <w:rPr>
                <w:rFonts w:ascii="Times New Roman" w:hAnsi="Times New Roman" w:cs="Times New Roman"/>
              </w:rPr>
            </w:pPr>
            <w:r w:rsidRPr="00F444DF">
              <w:rPr>
                <w:rFonts w:ascii="Times New Roman" w:hAnsi="Times New Roman" w:cs="Times New Roman"/>
              </w:rPr>
              <w:t>0,77 %</w:t>
            </w:r>
          </w:p>
        </w:tc>
        <w:tc>
          <w:tcPr>
            <w:tcW w:w="937" w:type="dxa"/>
            <w:tcBorders>
              <w:top w:val="double" w:sz="6" w:space="0" w:color="auto"/>
              <w:left w:val="nil"/>
              <w:bottom w:val="single" w:sz="4" w:space="0" w:color="auto"/>
              <w:right w:val="single" w:sz="8" w:space="0" w:color="auto"/>
              <w:tl2br w:val="nil"/>
              <w:tr2bl w:val="nil"/>
            </w:tcBorders>
            <w:noWrap/>
            <w:textDirection w:val="lrTb"/>
            <w:vAlign w:val="center"/>
          </w:tcPr>
          <w:p w:rsidR="00AA35C8" w:rsidRPr="00F444DF" w:rsidP="00F444DF">
            <w:pPr>
              <w:spacing w:line="240" w:lineRule="auto"/>
              <w:jc w:val="right"/>
              <w:rPr>
                <w:rFonts w:ascii="Times New Roman" w:hAnsi="Times New Roman" w:cs="Times New Roman"/>
              </w:rPr>
            </w:pPr>
            <w:r w:rsidRPr="00F444DF">
              <w:rPr>
                <w:rFonts w:ascii="Times New Roman" w:hAnsi="Times New Roman" w:cs="Times New Roman"/>
              </w:rPr>
              <w:t>0,72 %</w:t>
            </w:r>
          </w:p>
        </w:tc>
        <w:tc>
          <w:tcPr>
            <w:tcW w:w="937" w:type="dxa"/>
            <w:tcBorders>
              <w:top w:val="double" w:sz="6" w:space="0" w:color="auto"/>
              <w:left w:val="nil"/>
              <w:bottom w:val="single" w:sz="4" w:space="0" w:color="auto"/>
              <w:right w:val="single" w:sz="8" w:space="0" w:color="auto"/>
              <w:tl2br w:val="nil"/>
              <w:tr2bl w:val="nil"/>
            </w:tcBorders>
            <w:noWrap/>
            <w:textDirection w:val="lrTb"/>
            <w:vAlign w:val="center"/>
          </w:tcPr>
          <w:p w:rsidR="00AA35C8" w:rsidRPr="00F444DF" w:rsidP="00F444DF">
            <w:pPr>
              <w:spacing w:line="240" w:lineRule="auto"/>
              <w:jc w:val="right"/>
              <w:rPr>
                <w:rFonts w:ascii="Times New Roman" w:hAnsi="Times New Roman" w:cs="Times New Roman"/>
              </w:rPr>
            </w:pPr>
            <w:r w:rsidRPr="00F444DF">
              <w:rPr>
                <w:rFonts w:ascii="Times New Roman" w:hAnsi="Times New Roman" w:cs="Times New Roman"/>
              </w:rPr>
              <w:t>1,82 %</w:t>
            </w:r>
          </w:p>
        </w:tc>
        <w:tc>
          <w:tcPr>
            <w:tcW w:w="944" w:type="dxa"/>
            <w:tcBorders>
              <w:top w:val="double" w:sz="6" w:space="0" w:color="auto"/>
              <w:left w:val="nil"/>
              <w:bottom w:val="single" w:sz="4" w:space="0" w:color="auto"/>
              <w:right w:val="single" w:sz="8" w:space="0" w:color="auto"/>
              <w:tl2br w:val="nil"/>
              <w:tr2bl w:val="nil"/>
            </w:tcBorders>
            <w:noWrap/>
            <w:textDirection w:val="lrTb"/>
            <w:vAlign w:val="center"/>
          </w:tcPr>
          <w:p w:rsidR="00AA35C8" w:rsidRPr="00F444DF" w:rsidP="00F444DF">
            <w:pPr>
              <w:spacing w:line="240" w:lineRule="auto"/>
              <w:jc w:val="right"/>
              <w:rPr>
                <w:rFonts w:ascii="Times New Roman" w:hAnsi="Times New Roman" w:cs="Times New Roman"/>
              </w:rPr>
            </w:pPr>
            <w:r w:rsidRPr="00F444DF">
              <w:rPr>
                <w:rFonts w:ascii="Times New Roman" w:hAnsi="Times New Roman" w:cs="Times New Roman"/>
              </w:rPr>
              <w:t>0,07 %</w:t>
            </w:r>
          </w:p>
        </w:tc>
        <w:tc>
          <w:tcPr>
            <w:tcW w:w="883" w:type="dxa"/>
            <w:tcBorders>
              <w:top w:val="double" w:sz="6" w:space="0" w:color="auto"/>
              <w:left w:val="nil"/>
              <w:bottom w:val="single" w:sz="4" w:space="0" w:color="auto"/>
              <w:right w:val="double" w:sz="6" w:space="0" w:color="auto"/>
              <w:tl2br w:val="nil"/>
              <w:tr2bl w:val="nil"/>
            </w:tcBorders>
            <w:noWrap/>
            <w:textDirection w:val="lrTb"/>
            <w:vAlign w:val="center"/>
          </w:tcPr>
          <w:p w:rsidR="00AA35C8" w:rsidRPr="00F444DF" w:rsidP="00F444DF">
            <w:pPr>
              <w:spacing w:line="240" w:lineRule="auto"/>
              <w:jc w:val="right"/>
              <w:rPr>
                <w:rFonts w:ascii="Times New Roman" w:hAnsi="Times New Roman" w:cs="Times New Roman"/>
              </w:rPr>
            </w:pPr>
            <w:r w:rsidRPr="00F444DF">
              <w:rPr>
                <w:rFonts w:ascii="Times New Roman" w:hAnsi="Times New Roman" w:cs="Times New Roman"/>
              </w:rPr>
              <w:t>0,88 %</w:t>
            </w:r>
          </w:p>
        </w:tc>
      </w:tr>
      <w:tr>
        <w:tblPrEx>
          <w:tblW w:w="7080" w:type="dxa"/>
          <w:tblInd w:w="1150" w:type="dxa"/>
          <w:tblCellMar>
            <w:left w:w="70" w:type="dxa"/>
            <w:right w:w="70" w:type="dxa"/>
          </w:tblCellMar>
        </w:tblPrEx>
        <w:trPr>
          <w:trHeight w:val="255"/>
        </w:trPr>
        <w:tc>
          <w:tcPr>
            <w:tcW w:w="585" w:type="dxa"/>
            <w:tcBorders>
              <w:top w:val="nil"/>
              <w:left w:val="double" w:sz="6" w:space="0" w:color="auto"/>
              <w:bottom w:val="single" w:sz="4" w:space="0" w:color="auto"/>
              <w:right w:val="double" w:sz="6" w:space="0" w:color="auto"/>
              <w:tl2br w:val="nil"/>
              <w:tr2bl w:val="nil"/>
            </w:tcBorders>
            <w:noWrap/>
            <w:textDirection w:val="lrTb"/>
            <w:vAlign w:val="center"/>
          </w:tcPr>
          <w:p w:rsidR="00AA35C8" w:rsidRPr="00F444DF" w:rsidP="00F444DF">
            <w:pPr>
              <w:spacing w:line="240" w:lineRule="auto"/>
              <w:jc w:val="center"/>
              <w:rPr>
                <w:rFonts w:ascii="Times New Roman" w:hAnsi="Times New Roman" w:cs="Times New Roman"/>
              </w:rPr>
            </w:pPr>
            <w:r w:rsidRPr="00F444DF">
              <w:rPr>
                <w:rFonts w:ascii="Times New Roman" w:hAnsi="Times New Roman" w:cs="Times New Roman"/>
              </w:rPr>
              <w:t>632</w:t>
            </w:r>
          </w:p>
        </w:tc>
        <w:tc>
          <w:tcPr>
            <w:tcW w:w="920" w:type="dxa"/>
            <w:tcBorders>
              <w:top w:val="nil"/>
              <w:left w:val="nil"/>
              <w:bottom w:val="single" w:sz="4" w:space="0" w:color="auto"/>
              <w:right w:val="single" w:sz="8" w:space="0" w:color="auto"/>
              <w:tl2br w:val="nil"/>
              <w:tr2bl w:val="nil"/>
            </w:tcBorders>
            <w:noWrap/>
            <w:textDirection w:val="lrTb"/>
            <w:vAlign w:val="center"/>
          </w:tcPr>
          <w:p w:rsidR="00AA35C8" w:rsidRPr="00F444DF" w:rsidP="00F444DF">
            <w:pPr>
              <w:spacing w:line="240" w:lineRule="auto"/>
              <w:jc w:val="right"/>
              <w:rPr>
                <w:rFonts w:ascii="Times New Roman" w:hAnsi="Times New Roman" w:cs="Times New Roman"/>
              </w:rPr>
            </w:pPr>
            <w:r w:rsidRPr="00F444DF">
              <w:rPr>
                <w:rFonts w:ascii="Times New Roman" w:hAnsi="Times New Roman" w:cs="Times New Roman"/>
              </w:rPr>
              <w:t>9,63 %</w:t>
            </w:r>
          </w:p>
        </w:tc>
        <w:tc>
          <w:tcPr>
            <w:tcW w:w="937" w:type="dxa"/>
            <w:tcBorders>
              <w:top w:val="nil"/>
              <w:left w:val="nil"/>
              <w:bottom w:val="single" w:sz="4" w:space="0" w:color="auto"/>
              <w:right w:val="single" w:sz="8" w:space="0" w:color="auto"/>
              <w:tl2br w:val="nil"/>
              <w:tr2bl w:val="nil"/>
            </w:tcBorders>
            <w:noWrap/>
            <w:textDirection w:val="lrTb"/>
            <w:vAlign w:val="center"/>
          </w:tcPr>
          <w:p w:rsidR="00AA35C8" w:rsidRPr="00F444DF" w:rsidP="00F444DF">
            <w:pPr>
              <w:spacing w:line="240" w:lineRule="auto"/>
              <w:jc w:val="right"/>
              <w:rPr>
                <w:rFonts w:ascii="Times New Roman" w:hAnsi="Times New Roman" w:cs="Times New Roman"/>
              </w:rPr>
            </w:pPr>
            <w:r w:rsidRPr="00F444DF">
              <w:rPr>
                <w:rFonts w:ascii="Times New Roman" w:hAnsi="Times New Roman" w:cs="Times New Roman"/>
              </w:rPr>
              <w:t>31,27 %</w:t>
            </w:r>
          </w:p>
        </w:tc>
        <w:tc>
          <w:tcPr>
            <w:tcW w:w="937" w:type="dxa"/>
            <w:tcBorders>
              <w:top w:val="nil"/>
              <w:left w:val="nil"/>
              <w:bottom w:val="single" w:sz="4" w:space="0" w:color="auto"/>
              <w:right w:val="single" w:sz="8" w:space="0" w:color="auto"/>
              <w:tl2br w:val="nil"/>
              <w:tr2bl w:val="nil"/>
            </w:tcBorders>
            <w:noWrap/>
            <w:textDirection w:val="lrTb"/>
            <w:vAlign w:val="center"/>
          </w:tcPr>
          <w:p w:rsidR="00AA35C8" w:rsidRPr="00F444DF" w:rsidP="00F444DF">
            <w:pPr>
              <w:spacing w:line="240" w:lineRule="auto"/>
              <w:jc w:val="right"/>
              <w:rPr>
                <w:rFonts w:ascii="Times New Roman" w:hAnsi="Times New Roman" w:cs="Times New Roman"/>
              </w:rPr>
            </w:pPr>
            <w:r w:rsidRPr="00F444DF">
              <w:rPr>
                <w:rFonts w:ascii="Times New Roman" w:hAnsi="Times New Roman" w:cs="Times New Roman"/>
              </w:rPr>
              <w:t>36,35 %</w:t>
            </w:r>
          </w:p>
        </w:tc>
        <w:tc>
          <w:tcPr>
            <w:tcW w:w="937" w:type="dxa"/>
            <w:tcBorders>
              <w:top w:val="nil"/>
              <w:left w:val="nil"/>
              <w:bottom w:val="single" w:sz="4" w:space="0" w:color="auto"/>
              <w:right w:val="single" w:sz="8" w:space="0" w:color="auto"/>
              <w:tl2br w:val="nil"/>
              <w:tr2bl w:val="nil"/>
            </w:tcBorders>
            <w:noWrap/>
            <w:textDirection w:val="lrTb"/>
            <w:vAlign w:val="center"/>
          </w:tcPr>
          <w:p w:rsidR="00AA35C8" w:rsidRPr="00F444DF" w:rsidP="00F444DF">
            <w:pPr>
              <w:spacing w:line="240" w:lineRule="auto"/>
              <w:jc w:val="right"/>
              <w:rPr>
                <w:rFonts w:ascii="Times New Roman" w:hAnsi="Times New Roman" w:cs="Times New Roman"/>
              </w:rPr>
            </w:pPr>
            <w:r w:rsidRPr="00F444DF">
              <w:rPr>
                <w:rFonts w:ascii="Times New Roman" w:hAnsi="Times New Roman" w:cs="Times New Roman"/>
              </w:rPr>
              <w:t>39,28 %</w:t>
            </w:r>
          </w:p>
        </w:tc>
        <w:tc>
          <w:tcPr>
            <w:tcW w:w="937" w:type="dxa"/>
            <w:tcBorders>
              <w:top w:val="nil"/>
              <w:left w:val="nil"/>
              <w:bottom w:val="single" w:sz="4" w:space="0" w:color="auto"/>
              <w:right w:val="single" w:sz="8" w:space="0" w:color="auto"/>
              <w:tl2br w:val="nil"/>
              <w:tr2bl w:val="nil"/>
            </w:tcBorders>
            <w:noWrap/>
            <w:textDirection w:val="lrTb"/>
            <w:vAlign w:val="center"/>
          </w:tcPr>
          <w:p w:rsidR="00AA35C8" w:rsidRPr="00F444DF" w:rsidP="00F444DF">
            <w:pPr>
              <w:spacing w:line="240" w:lineRule="auto"/>
              <w:jc w:val="right"/>
              <w:rPr>
                <w:rFonts w:ascii="Times New Roman" w:hAnsi="Times New Roman" w:cs="Times New Roman"/>
              </w:rPr>
            </w:pPr>
            <w:r w:rsidRPr="00F444DF">
              <w:rPr>
                <w:rFonts w:ascii="Times New Roman" w:hAnsi="Times New Roman" w:cs="Times New Roman"/>
              </w:rPr>
              <w:t>36,77 %</w:t>
            </w:r>
          </w:p>
        </w:tc>
        <w:tc>
          <w:tcPr>
            <w:tcW w:w="944" w:type="dxa"/>
            <w:tcBorders>
              <w:top w:val="nil"/>
              <w:left w:val="nil"/>
              <w:bottom w:val="single" w:sz="4" w:space="0" w:color="auto"/>
              <w:right w:val="single" w:sz="8" w:space="0" w:color="auto"/>
              <w:tl2br w:val="nil"/>
              <w:tr2bl w:val="nil"/>
            </w:tcBorders>
            <w:noWrap/>
            <w:textDirection w:val="lrTb"/>
            <w:vAlign w:val="center"/>
          </w:tcPr>
          <w:p w:rsidR="00AA35C8" w:rsidRPr="00F444DF" w:rsidP="00F444DF">
            <w:pPr>
              <w:spacing w:line="240" w:lineRule="auto"/>
              <w:jc w:val="right"/>
              <w:rPr>
                <w:rFonts w:ascii="Times New Roman" w:hAnsi="Times New Roman" w:cs="Times New Roman"/>
              </w:rPr>
            </w:pPr>
            <w:r w:rsidRPr="00F444DF">
              <w:rPr>
                <w:rFonts w:ascii="Times New Roman" w:hAnsi="Times New Roman" w:cs="Times New Roman"/>
              </w:rPr>
              <w:t>24,53 %</w:t>
            </w:r>
          </w:p>
        </w:tc>
        <w:tc>
          <w:tcPr>
            <w:tcW w:w="883" w:type="dxa"/>
            <w:tcBorders>
              <w:top w:val="nil"/>
              <w:left w:val="nil"/>
              <w:bottom w:val="single" w:sz="4" w:space="0" w:color="auto"/>
              <w:right w:val="double" w:sz="6" w:space="0" w:color="auto"/>
              <w:tl2br w:val="nil"/>
              <w:tr2bl w:val="nil"/>
            </w:tcBorders>
            <w:noWrap/>
            <w:textDirection w:val="lrTb"/>
            <w:vAlign w:val="center"/>
          </w:tcPr>
          <w:p w:rsidR="00AA35C8" w:rsidRPr="00F444DF" w:rsidP="00F444DF">
            <w:pPr>
              <w:spacing w:line="240" w:lineRule="auto"/>
              <w:jc w:val="right"/>
              <w:rPr>
                <w:rFonts w:ascii="Times New Roman" w:hAnsi="Times New Roman" w:cs="Times New Roman"/>
              </w:rPr>
            </w:pPr>
            <w:r w:rsidRPr="00F444DF">
              <w:rPr>
                <w:rFonts w:ascii="Times New Roman" w:hAnsi="Times New Roman" w:cs="Times New Roman"/>
              </w:rPr>
              <w:t>18,17 %</w:t>
            </w:r>
          </w:p>
        </w:tc>
      </w:tr>
      <w:tr>
        <w:tblPrEx>
          <w:tblW w:w="7080" w:type="dxa"/>
          <w:tblInd w:w="1150" w:type="dxa"/>
          <w:tblCellMar>
            <w:left w:w="70" w:type="dxa"/>
            <w:right w:w="70" w:type="dxa"/>
          </w:tblCellMar>
        </w:tblPrEx>
        <w:trPr>
          <w:trHeight w:val="255"/>
        </w:trPr>
        <w:tc>
          <w:tcPr>
            <w:tcW w:w="585" w:type="dxa"/>
            <w:tcBorders>
              <w:top w:val="nil"/>
              <w:left w:val="double" w:sz="6" w:space="0" w:color="auto"/>
              <w:bottom w:val="single" w:sz="4" w:space="0" w:color="auto"/>
              <w:right w:val="double" w:sz="6" w:space="0" w:color="auto"/>
              <w:tl2br w:val="nil"/>
              <w:tr2bl w:val="nil"/>
            </w:tcBorders>
            <w:noWrap/>
            <w:textDirection w:val="lrTb"/>
            <w:vAlign w:val="center"/>
          </w:tcPr>
          <w:p w:rsidR="00AA35C8" w:rsidRPr="00F444DF" w:rsidP="00F444DF">
            <w:pPr>
              <w:spacing w:line="240" w:lineRule="auto"/>
              <w:jc w:val="center"/>
              <w:rPr>
                <w:rFonts w:ascii="Times New Roman" w:hAnsi="Times New Roman" w:cs="Times New Roman"/>
              </w:rPr>
            </w:pPr>
            <w:r w:rsidRPr="00F444DF">
              <w:rPr>
                <w:rFonts w:ascii="Times New Roman" w:hAnsi="Times New Roman" w:cs="Times New Roman"/>
              </w:rPr>
              <w:t>633</w:t>
            </w:r>
          </w:p>
        </w:tc>
        <w:tc>
          <w:tcPr>
            <w:tcW w:w="920" w:type="dxa"/>
            <w:tcBorders>
              <w:top w:val="nil"/>
              <w:left w:val="nil"/>
              <w:bottom w:val="single" w:sz="4" w:space="0" w:color="auto"/>
              <w:right w:val="single" w:sz="8" w:space="0" w:color="auto"/>
              <w:tl2br w:val="nil"/>
              <w:tr2bl w:val="nil"/>
            </w:tcBorders>
            <w:noWrap/>
            <w:textDirection w:val="lrTb"/>
            <w:vAlign w:val="center"/>
          </w:tcPr>
          <w:p w:rsidR="00AA35C8" w:rsidRPr="00F444DF" w:rsidP="00F444DF">
            <w:pPr>
              <w:spacing w:line="240" w:lineRule="auto"/>
              <w:jc w:val="right"/>
              <w:rPr>
                <w:rFonts w:ascii="Times New Roman" w:hAnsi="Times New Roman" w:cs="Times New Roman"/>
              </w:rPr>
            </w:pPr>
            <w:r w:rsidRPr="00F444DF">
              <w:rPr>
                <w:rFonts w:ascii="Times New Roman" w:hAnsi="Times New Roman" w:cs="Times New Roman"/>
              </w:rPr>
              <w:t>28,40 %</w:t>
            </w:r>
          </w:p>
        </w:tc>
        <w:tc>
          <w:tcPr>
            <w:tcW w:w="937" w:type="dxa"/>
            <w:tcBorders>
              <w:top w:val="nil"/>
              <w:left w:val="nil"/>
              <w:bottom w:val="single" w:sz="4" w:space="0" w:color="auto"/>
              <w:right w:val="single" w:sz="8" w:space="0" w:color="auto"/>
              <w:tl2br w:val="nil"/>
              <w:tr2bl w:val="nil"/>
            </w:tcBorders>
            <w:noWrap/>
            <w:textDirection w:val="lrTb"/>
            <w:vAlign w:val="center"/>
          </w:tcPr>
          <w:p w:rsidR="00AA35C8" w:rsidRPr="00F444DF" w:rsidP="00F444DF">
            <w:pPr>
              <w:spacing w:line="240" w:lineRule="auto"/>
              <w:jc w:val="right"/>
              <w:rPr>
                <w:rFonts w:ascii="Times New Roman" w:hAnsi="Times New Roman" w:cs="Times New Roman"/>
              </w:rPr>
            </w:pPr>
            <w:r w:rsidRPr="00F444DF">
              <w:rPr>
                <w:rFonts w:ascii="Times New Roman" w:hAnsi="Times New Roman" w:cs="Times New Roman"/>
              </w:rPr>
              <w:t>11,60 %</w:t>
            </w:r>
          </w:p>
        </w:tc>
        <w:tc>
          <w:tcPr>
            <w:tcW w:w="937" w:type="dxa"/>
            <w:tcBorders>
              <w:top w:val="nil"/>
              <w:left w:val="nil"/>
              <w:bottom w:val="single" w:sz="4" w:space="0" w:color="auto"/>
              <w:right w:val="single" w:sz="8" w:space="0" w:color="auto"/>
              <w:tl2br w:val="nil"/>
              <w:tr2bl w:val="nil"/>
            </w:tcBorders>
            <w:noWrap/>
            <w:textDirection w:val="lrTb"/>
            <w:vAlign w:val="center"/>
          </w:tcPr>
          <w:p w:rsidR="00AA35C8" w:rsidRPr="00F444DF" w:rsidP="00F444DF">
            <w:pPr>
              <w:spacing w:line="240" w:lineRule="auto"/>
              <w:jc w:val="right"/>
              <w:rPr>
                <w:rFonts w:ascii="Times New Roman" w:hAnsi="Times New Roman" w:cs="Times New Roman"/>
              </w:rPr>
            </w:pPr>
            <w:r w:rsidRPr="00F444DF">
              <w:rPr>
                <w:rFonts w:ascii="Times New Roman" w:hAnsi="Times New Roman" w:cs="Times New Roman"/>
              </w:rPr>
              <w:t>12,42 %</w:t>
            </w:r>
          </w:p>
        </w:tc>
        <w:tc>
          <w:tcPr>
            <w:tcW w:w="937" w:type="dxa"/>
            <w:tcBorders>
              <w:top w:val="nil"/>
              <w:left w:val="nil"/>
              <w:bottom w:val="single" w:sz="4" w:space="0" w:color="auto"/>
              <w:right w:val="single" w:sz="8" w:space="0" w:color="auto"/>
              <w:tl2br w:val="nil"/>
              <w:tr2bl w:val="nil"/>
            </w:tcBorders>
            <w:noWrap/>
            <w:textDirection w:val="lrTb"/>
            <w:vAlign w:val="center"/>
          </w:tcPr>
          <w:p w:rsidR="00AA35C8" w:rsidRPr="00F444DF" w:rsidP="00F444DF">
            <w:pPr>
              <w:spacing w:line="240" w:lineRule="auto"/>
              <w:jc w:val="right"/>
              <w:rPr>
                <w:rFonts w:ascii="Times New Roman" w:hAnsi="Times New Roman" w:cs="Times New Roman"/>
              </w:rPr>
            </w:pPr>
            <w:r w:rsidRPr="00F444DF">
              <w:rPr>
                <w:rFonts w:ascii="Times New Roman" w:hAnsi="Times New Roman" w:cs="Times New Roman"/>
              </w:rPr>
              <w:t>13,69 %</w:t>
            </w:r>
          </w:p>
        </w:tc>
        <w:tc>
          <w:tcPr>
            <w:tcW w:w="937" w:type="dxa"/>
            <w:tcBorders>
              <w:top w:val="nil"/>
              <w:left w:val="nil"/>
              <w:bottom w:val="single" w:sz="4" w:space="0" w:color="auto"/>
              <w:right w:val="single" w:sz="8" w:space="0" w:color="auto"/>
              <w:tl2br w:val="nil"/>
              <w:tr2bl w:val="nil"/>
            </w:tcBorders>
            <w:noWrap/>
            <w:textDirection w:val="lrTb"/>
            <w:vAlign w:val="center"/>
          </w:tcPr>
          <w:p w:rsidR="00AA35C8" w:rsidRPr="00F444DF" w:rsidP="00F444DF">
            <w:pPr>
              <w:spacing w:line="240" w:lineRule="auto"/>
              <w:jc w:val="right"/>
              <w:rPr>
                <w:rFonts w:ascii="Times New Roman" w:hAnsi="Times New Roman" w:cs="Times New Roman"/>
              </w:rPr>
            </w:pPr>
            <w:r w:rsidRPr="00F444DF">
              <w:rPr>
                <w:rFonts w:ascii="Times New Roman" w:hAnsi="Times New Roman" w:cs="Times New Roman"/>
              </w:rPr>
              <w:t>15,05 %</w:t>
            </w:r>
          </w:p>
        </w:tc>
        <w:tc>
          <w:tcPr>
            <w:tcW w:w="944" w:type="dxa"/>
            <w:tcBorders>
              <w:top w:val="nil"/>
              <w:left w:val="nil"/>
              <w:bottom w:val="single" w:sz="4" w:space="0" w:color="auto"/>
              <w:right w:val="single" w:sz="8" w:space="0" w:color="auto"/>
              <w:tl2br w:val="nil"/>
              <w:tr2bl w:val="nil"/>
            </w:tcBorders>
            <w:noWrap/>
            <w:textDirection w:val="lrTb"/>
            <w:vAlign w:val="center"/>
          </w:tcPr>
          <w:p w:rsidR="00AA35C8" w:rsidRPr="00F444DF" w:rsidP="00F444DF">
            <w:pPr>
              <w:spacing w:line="240" w:lineRule="auto"/>
              <w:jc w:val="right"/>
              <w:rPr>
                <w:rFonts w:ascii="Times New Roman" w:hAnsi="Times New Roman" w:cs="Times New Roman"/>
              </w:rPr>
            </w:pPr>
            <w:r w:rsidRPr="00F444DF">
              <w:rPr>
                <w:rFonts w:ascii="Times New Roman" w:hAnsi="Times New Roman" w:cs="Times New Roman"/>
              </w:rPr>
              <w:t>42,08 %</w:t>
            </w:r>
          </w:p>
        </w:tc>
        <w:tc>
          <w:tcPr>
            <w:tcW w:w="883" w:type="dxa"/>
            <w:tcBorders>
              <w:top w:val="nil"/>
              <w:left w:val="nil"/>
              <w:bottom w:val="single" w:sz="4" w:space="0" w:color="auto"/>
              <w:right w:val="double" w:sz="6" w:space="0" w:color="auto"/>
              <w:tl2br w:val="nil"/>
              <w:tr2bl w:val="nil"/>
            </w:tcBorders>
            <w:noWrap/>
            <w:textDirection w:val="lrTb"/>
            <w:vAlign w:val="center"/>
          </w:tcPr>
          <w:p w:rsidR="00AA35C8" w:rsidRPr="00F444DF" w:rsidP="00F444DF">
            <w:pPr>
              <w:spacing w:line="240" w:lineRule="auto"/>
              <w:jc w:val="right"/>
              <w:rPr>
                <w:rFonts w:ascii="Times New Roman" w:hAnsi="Times New Roman" w:cs="Times New Roman"/>
              </w:rPr>
            </w:pPr>
            <w:r w:rsidRPr="00F444DF">
              <w:rPr>
                <w:rFonts w:ascii="Times New Roman" w:hAnsi="Times New Roman" w:cs="Times New Roman"/>
              </w:rPr>
              <w:t>2</w:t>
            </w:r>
            <w:r w:rsidRPr="00F444DF">
              <w:rPr>
                <w:rFonts w:ascii="Times New Roman" w:hAnsi="Times New Roman" w:cs="Times New Roman"/>
              </w:rPr>
              <w:t>3,56 %</w:t>
            </w:r>
          </w:p>
        </w:tc>
      </w:tr>
      <w:tr>
        <w:tblPrEx>
          <w:tblW w:w="7080" w:type="dxa"/>
          <w:tblInd w:w="1150" w:type="dxa"/>
          <w:tblCellMar>
            <w:left w:w="70" w:type="dxa"/>
            <w:right w:w="70" w:type="dxa"/>
          </w:tblCellMar>
        </w:tblPrEx>
        <w:trPr>
          <w:trHeight w:val="255"/>
        </w:trPr>
        <w:tc>
          <w:tcPr>
            <w:tcW w:w="585" w:type="dxa"/>
            <w:tcBorders>
              <w:top w:val="nil"/>
              <w:left w:val="double" w:sz="6" w:space="0" w:color="auto"/>
              <w:bottom w:val="single" w:sz="4" w:space="0" w:color="auto"/>
              <w:right w:val="double" w:sz="6" w:space="0" w:color="auto"/>
              <w:tl2br w:val="nil"/>
              <w:tr2bl w:val="nil"/>
            </w:tcBorders>
            <w:noWrap/>
            <w:textDirection w:val="lrTb"/>
            <w:vAlign w:val="center"/>
          </w:tcPr>
          <w:p w:rsidR="00AA35C8" w:rsidRPr="00F444DF" w:rsidP="00F444DF">
            <w:pPr>
              <w:spacing w:line="240" w:lineRule="auto"/>
              <w:jc w:val="center"/>
              <w:rPr>
                <w:rFonts w:ascii="Times New Roman" w:hAnsi="Times New Roman" w:cs="Times New Roman"/>
              </w:rPr>
            </w:pPr>
            <w:r w:rsidRPr="00F444DF">
              <w:rPr>
                <w:rFonts w:ascii="Times New Roman" w:hAnsi="Times New Roman" w:cs="Times New Roman"/>
              </w:rPr>
              <w:t>634</w:t>
            </w:r>
          </w:p>
        </w:tc>
        <w:tc>
          <w:tcPr>
            <w:tcW w:w="920" w:type="dxa"/>
            <w:tcBorders>
              <w:top w:val="nil"/>
              <w:left w:val="nil"/>
              <w:bottom w:val="single" w:sz="4" w:space="0" w:color="auto"/>
              <w:right w:val="single" w:sz="8" w:space="0" w:color="auto"/>
              <w:tl2br w:val="nil"/>
              <w:tr2bl w:val="nil"/>
            </w:tcBorders>
            <w:noWrap/>
            <w:textDirection w:val="lrTb"/>
            <w:vAlign w:val="center"/>
          </w:tcPr>
          <w:p w:rsidR="00AA35C8" w:rsidRPr="00F444DF" w:rsidP="00F444DF">
            <w:pPr>
              <w:spacing w:line="240" w:lineRule="auto"/>
              <w:jc w:val="right"/>
              <w:rPr>
                <w:rFonts w:ascii="Times New Roman" w:hAnsi="Times New Roman" w:cs="Times New Roman"/>
              </w:rPr>
            </w:pPr>
            <w:r w:rsidRPr="00F444DF">
              <w:rPr>
                <w:rFonts w:ascii="Times New Roman" w:hAnsi="Times New Roman" w:cs="Times New Roman"/>
              </w:rPr>
              <w:t>1,83 %</w:t>
            </w:r>
          </w:p>
        </w:tc>
        <w:tc>
          <w:tcPr>
            <w:tcW w:w="937" w:type="dxa"/>
            <w:tcBorders>
              <w:top w:val="nil"/>
              <w:left w:val="nil"/>
              <w:bottom w:val="single" w:sz="4" w:space="0" w:color="auto"/>
              <w:right w:val="single" w:sz="8" w:space="0" w:color="auto"/>
              <w:tl2br w:val="nil"/>
              <w:tr2bl w:val="nil"/>
            </w:tcBorders>
            <w:noWrap/>
            <w:textDirection w:val="lrTb"/>
            <w:vAlign w:val="center"/>
          </w:tcPr>
          <w:p w:rsidR="00AA35C8" w:rsidRPr="00F444DF" w:rsidP="00F444DF">
            <w:pPr>
              <w:spacing w:line="240" w:lineRule="auto"/>
              <w:jc w:val="right"/>
              <w:rPr>
                <w:rFonts w:ascii="Times New Roman" w:hAnsi="Times New Roman" w:cs="Times New Roman"/>
              </w:rPr>
            </w:pPr>
            <w:r w:rsidRPr="00F444DF">
              <w:rPr>
                <w:rFonts w:ascii="Times New Roman" w:hAnsi="Times New Roman" w:cs="Times New Roman"/>
              </w:rPr>
              <w:t>18,20 %</w:t>
            </w:r>
          </w:p>
        </w:tc>
        <w:tc>
          <w:tcPr>
            <w:tcW w:w="937" w:type="dxa"/>
            <w:tcBorders>
              <w:top w:val="nil"/>
              <w:left w:val="nil"/>
              <w:bottom w:val="single" w:sz="4" w:space="0" w:color="auto"/>
              <w:right w:val="single" w:sz="8" w:space="0" w:color="auto"/>
              <w:tl2br w:val="nil"/>
              <w:tr2bl w:val="nil"/>
            </w:tcBorders>
            <w:noWrap/>
            <w:textDirection w:val="lrTb"/>
            <w:vAlign w:val="center"/>
          </w:tcPr>
          <w:p w:rsidR="00AA35C8" w:rsidRPr="00F444DF" w:rsidP="00F444DF">
            <w:pPr>
              <w:spacing w:line="240" w:lineRule="auto"/>
              <w:jc w:val="right"/>
              <w:rPr>
                <w:rFonts w:ascii="Times New Roman" w:hAnsi="Times New Roman" w:cs="Times New Roman"/>
              </w:rPr>
            </w:pPr>
            <w:r w:rsidRPr="00F444DF">
              <w:rPr>
                <w:rFonts w:ascii="Times New Roman" w:hAnsi="Times New Roman" w:cs="Times New Roman"/>
              </w:rPr>
              <w:t>15,51 %</w:t>
            </w:r>
          </w:p>
        </w:tc>
        <w:tc>
          <w:tcPr>
            <w:tcW w:w="937" w:type="dxa"/>
            <w:tcBorders>
              <w:top w:val="nil"/>
              <w:left w:val="nil"/>
              <w:bottom w:val="single" w:sz="4" w:space="0" w:color="auto"/>
              <w:right w:val="single" w:sz="8" w:space="0" w:color="auto"/>
              <w:tl2br w:val="nil"/>
              <w:tr2bl w:val="nil"/>
            </w:tcBorders>
            <w:noWrap/>
            <w:textDirection w:val="lrTb"/>
            <w:vAlign w:val="center"/>
          </w:tcPr>
          <w:p w:rsidR="00AA35C8" w:rsidRPr="00F444DF" w:rsidP="00F444DF">
            <w:pPr>
              <w:spacing w:line="240" w:lineRule="auto"/>
              <w:jc w:val="right"/>
              <w:rPr>
                <w:rFonts w:ascii="Times New Roman" w:hAnsi="Times New Roman" w:cs="Times New Roman"/>
              </w:rPr>
            </w:pPr>
            <w:r w:rsidRPr="00F444DF">
              <w:rPr>
                <w:rFonts w:ascii="Times New Roman" w:hAnsi="Times New Roman" w:cs="Times New Roman"/>
              </w:rPr>
              <w:t>19,14 %</w:t>
            </w:r>
          </w:p>
        </w:tc>
        <w:tc>
          <w:tcPr>
            <w:tcW w:w="937" w:type="dxa"/>
            <w:tcBorders>
              <w:top w:val="nil"/>
              <w:left w:val="nil"/>
              <w:bottom w:val="single" w:sz="4" w:space="0" w:color="auto"/>
              <w:right w:val="single" w:sz="8" w:space="0" w:color="auto"/>
              <w:tl2br w:val="nil"/>
              <w:tr2bl w:val="nil"/>
            </w:tcBorders>
            <w:noWrap/>
            <w:textDirection w:val="lrTb"/>
            <w:vAlign w:val="center"/>
          </w:tcPr>
          <w:p w:rsidR="00AA35C8" w:rsidRPr="00F444DF" w:rsidP="00F444DF">
            <w:pPr>
              <w:spacing w:line="240" w:lineRule="auto"/>
              <w:jc w:val="right"/>
              <w:rPr>
                <w:rFonts w:ascii="Times New Roman" w:hAnsi="Times New Roman" w:cs="Times New Roman"/>
              </w:rPr>
            </w:pPr>
            <w:r w:rsidRPr="00F444DF">
              <w:rPr>
                <w:rFonts w:ascii="Times New Roman" w:hAnsi="Times New Roman" w:cs="Times New Roman"/>
              </w:rPr>
              <w:t>17,32 %</w:t>
            </w:r>
          </w:p>
        </w:tc>
        <w:tc>
          <w:tcPr>
            <w:tcW w:w="944" w:type="dxa"/>
            <w:tcBorders>
              <w:top w:val="nil"/>
              <w:left w:val="nil"/>
              <w:bottom w:val="single" w:sz="4" w:space="0" w:color="auto"/>
              <w:right w:val="single" w:sz="8" w:space="0" w:color="auto"/>
              <w:tl2br w:val="nil"/>
              <w:tr2bl w:val="nil"/>
            </w:tcBorders>
            <w:noWrap/>
            <w:textDirection w:val="lrTb"/>
            <w:vAlign w:val="center"/>
          </w:tcPr>
          <w:p w:rsidR="00AA35C8" w:rsidRPr="00F444DF" w:rsidP="00F444DF">
            <w:pPr>
              <w:spacing w:line="240" w:lineRule="auto"/>
              <w:jc w:val="right"/>
              <w:rPr>
                <w:rFonts w:ascii="Times New Roman" w:hAnsi="Times New Roman" w:cs="Times New Roman"/>
              </w:rPr>
            </w:pPr>
            <w:r w:rsidRPr="00F444DF">
              <w:rPr>
                <w:rFonts w:ascii="Times New Roman" w:hAnsi="Times New Roman" w:cs="Times New Roman"/>
              </w:rPr>
              <w:t>1,49 %</w:t>
            </w:r>
          </w:p>
        </w:tc>
        <w:tc>
          <w:tcPr>
            <w:tcW w:w="883" w:type="dxa"/>
            <w:tcBorders>
              <w:top w:val="nil"/>
              <w:left w:val="nil"/>
              <w:bottom w:val="single" w:sz="4" w:space="0" w:color="auto"/>
              <w:right w:val="double" w:sz="6" w:space="0" w:color="auto"/>
              <w:tl2br w:val="nil"/>
              <w:tr2bl w:val="nil"/>
            </w:tcBorders>
            <w:noWrap/>
            <w:textDirection w:val="lrTb"/>
            <w:vAlign w:val="center"/>
          </w:tcPr>
          <w:p w:rsidR="00AA35C8" w:rsidRPr="00F444DF" w:rsidP="00F444DF">
            <w:pPr>
              <w:spacing w:line="240" w:lineRule="auto"/>
              <w:jc w:val="right"/>
              <w:rPr>
                <w:rFonts w:ascii="Times New Roman" w:hAnsi="Times New Roman" w:cs="Times New Roman"/>
              </w:rPr>
            </w:pPr>
            <w:r w:rsidRPr="00F444DF">
              <w:rPr>
                <w:rFonts w:ascii="Times New Roman" w:hAnsi="Times New Roman" w:cs="Times New Roman"/>
              </w:rPr>
              <w:t>6,94 %</w:t>
            </w:r>
          </w:p>
        </w:tc>
      </w:tr>
      <w:tr>
        <w:tblPrEx>
          <w:tblW w:w="7080" w:type="dxa"/>
          <w:tblInd w:w="1150" w:type="dxa"/>
          <w:tblCellMar>
            <w:left w:w="70" w:type="dxa"/>
            <w:right w:w="70" w:type="dxa"/>
          </w:tblCellMar>
        </w:tblPrEx>
        <w:trPr>
          <w:trHeight w:val="255"/>
        </w:trPr>
        <w:tc>
          <w:tcPr>
            <w:tcW w:w="585" w:type="dxa"/>
            <w:tcBorders>
              <w:top w:val="nil"/>
              <w:left w:val="double" w:sz="6" w:space="0" w:color="auto"/>
              <w:bottom w:val="single" w:sz="4" w:space="0" w:color="auto"/>
              <w:right w:val="double" w:sz="6" w:space="0" w:color="auto"/>
              <w:tl2br w:val="nil"/>
              <w:tr2bl w:val="nil"/>
            </w:tcBorders>
            <w:noWrap/>
            <w:textDirection w:val="lrTb"/>
            <w:vAlign w:val="center"/>
          </w:tcPr>
          <w:p w:rsidR="00AA35C8" w:rsidRPr="00F444DF" w:rsidP="00F444DF">
            <w:pPr>
              <w:spacing w:line="240" w:lineRule="auto"/>
              <w:jc w:val="center"/>
              <w:rPr>
                <w:rFonts w:ascii="Times New Roman" w:hAnsi="Times New Roman" w:cs="Times New Roman"/>
              </w:rPr>
            </w:pPr>
            <w:r w:rsidRPr="00F444DF">
              <w:rPr>
                <w:rFonts w:ascii="Times New Roman" w:hAnsi="Times New Roman" w:cs="Times New Roman"/>
              </w:rPr>
              <w:t>635</w:t>
            </w:r>
          </w:p>
        </w:tc>
        <w:tc>
          <w:tcPr>
            <w:tcW w:w="920" w:type="dxa"/>
            <w:tcBorders>
              <w:top w:val="nil"/>
              <w:left w:val="nil"/>
              <w:bottom w:val="single" w:sz="4" w:space="0" w:color="auto"/>
              <w:right w:val="single" w:sz="8" w:space="0" w:color="auto"/>
              <w:tl2br w:val="nil"/>
              <w:tr2bl w:val="nil"/>
            </w:tcBorders>
            <w:noWrap/>
            <w:textDirection w:val="lrTb"/>
            <w:vAlign w:val="center"/>
          </w:tcPr>
          <w:p w:rsidR="00AA35C8" w:rsidRPr="00F444DF" w:rsidP="00F444DF">
            <w:pPr>
              <w:spacing w:line="240" w:lineRule="auto"/>
              <w:jc w:val="right"/>
              <w:rPr>
                <w:rFonts w:ascii="Times New Roman" w:hAnsi="Times New Roman" w:cs="Times New Roman"/>
              </w:rPr>
            </w:pPr>
            <w:r w:rsidRPr="00F444DF">
              <w:rPr>
                <w:rFonts w:ascii="Times New Roman" w:hAnsi="Times New Roman" w:cs="Times New Roman"/>
              </w:rPr>
              <w:t>10,52 %</w:t>
            </w:r>
          </w:p>
        </w:tc>
        <w:tc>
          <w:tcPr>
            <w:tcW w:w="937" w:type="dxa"/>
            <w:tcBorders>
              <w:top w:val="nil"/>
              <w:left w:val="nil"/>
              <w:bottom w:val="single" w:sz="4" w:space="0" w:color="auto"/>
              <w:right w:val="single" w:sz="8" w:space="0" w:color="auto"/>
              <w:tl2br w:val="nil"/>
              <w:tr2bl w:val="nil"/>
            </w:tcBorders>
            <w:noWrap/>
            <w:textDirection w:val="lrTb"/>
            <w:vAlign w:val="center"/>
          </w:tcPr>
          <w:p w:rsidR="00AA35C8" w:rsidRPr="00F444DF" w:rsidP="00F444DF">
            <w:pPr>
              <w:spacing w:line="240" w:lineRule="auto"/>
              <w:jc w:val="right"/>
              <w:rPr>
                <w:rFonts w:ascii="Times New Roman" w:hAnsi="Times New Roman" w:cs="Times New Roman"/>
              </w:rPr>
            </w:pPr>
            <w:r w:rsidRPr="00F444DF">
              <w:rPr>
                <w:rFonts w:ascii="Times New Roman" w:hAnsi="Times New Roman" w:cs="Times New Roman"/>
              </w:rPr>
              <w:t>2,98 %</w:t>
            </w:r>
          </w:p>
        </w:tc>
        <w:tc>
          <w:tcPr>
            <w:tcW w:w="937" w:type="dxa"/>
            <w:tcBorders>
              <w:top w:val="nil"/>
              <w:left w:val="nil"/>
              <w:bottom w:val="single" w:sz="4" w:space="0" w:color="auto"/>
              <w:right w:val="single" w:sz="8" w:space="0" w:color="auto"/>
              <w:tl2br w:val="nil"/>
              <w:tr2bl w:val="nil"/>
            </w:tcBorders>
            <w:noWrap/>
            <w:textDirection w:val="lrTb"/>
            <w:vAlign w:val="center"/>
          </w:tcPr>
          <w:p w:rsidR="00AA35C8" w:rsidRPr="00F444DF" w:rsidP="00F444DF">
            <w:pPr>
              <w:spacing w:line="240" w:lineRule="auto"/>
              <w:jc w:val="right"/>
              <w:rPr>
                <w:rFonts w:ascii="Times New Roman" w:hAnsi="Times New Roman" w:cs="Times New Roman"/>
              </w:rPr>
            </w:pPr>
            <w:r w:rsidRPr="00F444DF">
              <w:rPr>
                <w:rFonts w:ascii="Times New Roman" w:hAnsi="Times New Roman" w:cs="Times New Roman"/>
              </w:rPr>
              <w:t>8,79 %</w:t>
            </w:r>
          </w:p>
        </w:tc>
        <w:tc>
          <w:tcPr>
            <w:tcW w:w="937" w:type="dxa"/>
            <w:tcBorders>
              <w:top w:val="nil"/>
              <w:left w:val="nil"/>
              <w:bottom w:val="single" w:sz="4" w:space="0" w:color="auto"/>
              <w:right w:val="single" w:sz="8" w:space="0" w:color="auto"/>
              <w:tl2br w:val="nil"/>
              <w:tr2bl w:val="nil"/>
            </w:tcBorders>
            <w:noWrap/>
            <w:textDirection w:val="lrTb"/>
            <w:vAlign w:val="center"/>
          </w:tcPr>
          <w:p w:rsidR="00AA35C8" w:rsidRPr="00F444DF" w:rsidP="00F444DF">
            <w:pPr>
              <w:spacing w:line="240" w:lineRule="auto"/>
              <w:jc w:val="right"/>
              <w:rPr>
                <w:rFonts w:ascii="Times New Roman" w:hAnsi="Times New Roman" w:cs="Times New Roman"/>
              </w:rPr>
            </w:pPr>
            <w:r w:rsidRPr="00F444DF">
              <w:rPr>
                <w:rFonts w:ascii="Times New Roman" w:hAnsi="Times New Roman" w:cs="Times New Roman"/>
              </w:rPr>
              <w:t>1,11 %</w:t>
            </w:r>
          </w:p>
        </w:tc>
        <w:tc>
          <w:tcPr>
            <w:tcW w:w="937" w:type="dxa"/>
            <w:tcBorders>
              <w:top w:val="nil"/>
              <w:left w:val="nil"/>
              <w:bottom w:val="single" w:sz="4" w:space="0" w:color="auto"/>
              <w:right w:val="single" w:sz="8" w:space="0" w:color="auto"/>
              <w:tl2br w:val="nil"/>
              <w:tr2bl w:val="nil"/>
            </w:tcBorders>
            <w:noWrap/>
            <w:textDirection w:val="lrTb"/>
            <w:vAlign w:val="center"/>
          </w:tcPr>
          <w:p w:rsidR="00AA35C8" w:rsidRPr="00F444DF" w:rsidP="00F444DF">
            <w:pPr>
              <w:spacing w:line="240" w:lineRule="auto"/>
              <w:jc w:val="right"/>
              <w:rPr>
                <w:rFonts w:ascii="Times New Roman" w:hAnsi="Times New Roman" w:cs="Times New Roman"/>
              </w:rPr>
            </w:pPr>
            <w:r w:rsidRPr="00F444DF">
              <w:rPr>
                <w:rFonts w:ascii="Times New Roman" w:hAnsi="Times New Roman" w:cs="Times New Roman"/>
              </w:rPr>
              <w:t>2,55 %</w:t>
            </w:r>
          </w:p>
        </w:tc>
        <w:tc>
          <w:tcPr>
            <w:tcW w:w="944" w:type="dxa"/>
            <w:tcBorders>
              <w:top w:val="nil"/>
              <w:left w:val="nil"/>
              <w:bottom w:val="single" w:sz="4" w:space="0" w:color="auto"/>
              <w:right w:val="single" w:sz="8" w:space="0" w:color="auto"/>
              <w:tl2br w:val="nil"/>
              <w:tr2bl w:val="nil"/>
            </w:tcBorders>
            <w:noWrap/>
            <w:textDirection w:val="lrTb"/>
            <w:vAlign w:val="center"/>
          </w:tcPr>
          <w:p w:rsidR="00AA35C8" w:rsidRPr="00F444DF" w:rsidP="00F444DF">
            <w:pPr>
              <w:spacing w:line="240" w:lineRule="auto"/>
              <w:jc w:val="right"/>
              <w:rPr>
                <w:rFonts w:ascii="Times New Roman" w:hAnsi="Times New Roman" w:cs="Times New Roman"/>
              </w:rPr>
            </w:pPr>
            <w:r w:rsidRPr="00F444DF">
              <w:rPr>
                <w:rFonts w:ascii="Times New Roman" w:hAnsi="Times New Roman" w:cs="Times New Roman"/>
              </w:rPr>
              <w:t>4,40 %</w:t>
            </w:r>
          </w:p>
        </w:tc>
        <w:tc>
          <w:tcPr>
            <w:tcW w:w="883" w:type="dxa"/>
            <w:tcBorders>
              <w:top w:val="nil"/>
              <w:left w:val="nil"/>
              <w:bottom w:val="single" w:sz="4" w:space="0" w:color="auto"/>
              <w:right w:val="double" w:sz="6" w:space="0" w:color="auto"/>
              <w:tl2br w:val="nil"/>
              <w:tr2bl w:val="nil"/>
            </w:tcBorders>
            <w:noWrap/>
            <w:textDirection w:val="lrTb"/>
            <w:vAlign w:val="center"/>
          </w:tcPr>
          <w:p w:rsidR="00AA35C8" w:rsidRPr="00F444DF" w:rsidP="00F444DF">
            <w:pPr>
              <w:spacing w:line="240" w:lineRule="auto"/>
              <w:jc w:val="right"/>
              <w:rPr>
                <w:rFonts w:ascii="Times New Roman" w:hAnsi="Times New Roman" w:cs="Times New Roman"/>
              </w:rPr>
            </w:pPr>
            <w:r w:rsidRPr="00F444DF">
              <w:rPr>
                <w:rFonts w:ascii="Times New Roman" w:hAnsi="Times New Roman" w:cs="Times New Roman"/>
              </w:rPr>
              <w:t>8,27 %</w:t>
            </w:r>
          </w:p>
        </w:tc>
      </w:tr>
      <w:tr>
        <w:tblPrEx>
          <w:tblW w:w="7080" w:type="dxa"/>
          <w:tblInd w:w="1150" w:type="dxa"/>
          <w:tblCellMar>
            <w:left w:w="70" w:type="dxa"/>
            <w:right w:w="70" w:type="dxa"/>
          </w:tblCellMar>
        </w:tblPrEx>
        <w:trPr>
          <w:trHeight w:val="255"/>
        </w:trPr>
        <w:tc>
          <w:tcPr>
            <w:tcW w:w="585" w:type="dxa"/>
            <w:tcBorders>
              <w:top w:val="nil"/>
              <w:left w:val="double" w:sz="6" w:space="0" w:color="auto"/>
              <w:bottom w:val="single" w:sz="4" w:space="0" w:color="auto"/>
              <w:right w:val="double" w:sz="6" w:space="0" w:color="auto"/>
              <w:tl2br w:val="nil"/>
              <w:tr2bl w:val="nil"/>
            </w:tcBorders>
            <w:noWrap/>
            <w:textDirection w:val="lrTb"/>
            <w:vAlign w:val="center"/>
          </w:tcPr>
          <w:p w:rsidR="00AA35C8" w:rsidRPr="00F444DF" w:rsidP="00F444DF">
            <w:pPr>
              <w:spacing w:line="240" w:lineRule="auto"/>
              <w:jc w:val="center"/>
              <w:rPr>
                <w:rFonts w:ascii="Times New Roman" w:hAnsi="Times New Roman" w:cs="Times New Roman"/>
              </w:rPr>
            </w:pPr>
            <w:r w:rsidRPr="00F444DF">
              <w:rPr>
                <w:rFonts w:ascii="Times New Roman" w:hAnsi="Times New Roman" w:cs="Times New Roman"/>
              </w:rPr>
              <w:t>636</w:t>
            </w:r>
          </w:p>
        </w:tc>
        <w:tc>
          <w:tcPr>
            <w:tcW w:w="920" w:type="dxa"/>
            <w:tcBorders>
              <w:top w:val="nil"/>
              <w:left w:val="nil"/>
              <w:bottom w:val="single" w:sz="4" w:space="0" w:color="auto"/>
              <w:right w:val="single" w:sz="8" w:space="0" w:color="auto"/>
              <w:tl2br w:val="nil"/>
              <w:tr2bl w:val="nil"/>
            </w:tcBorders>
            <w:noWrap/>
            <w:textDirection w:val="lrTb"/>
            <w:vAlign w:val="center"/>
          </w:tcPr>
          <w:p w:rsidR="00AA35C8" w:rsidRPr="00F444DF" w:rsidP="00F444DF">
            <w:pPr>
              <w:spacing w:line="240" w:lineRule="auto"/>
              <w:jc w:val="right"/>
              <w:rPr>
                <w:rFonts w:ascii="Times New Roman" w:hAnsi="Times New Roman" w:cs="Times New Roman"/>
              </w:rPr>
            </w:pPr>
            <w:r w:rsidRPr="00F444DF">
              <w:rPr>
                <w:rFonts w:ascii="Times New Roman" w:hAnsi="Times New Roman" w:cs="Times New Roman"/>
              </w:rPr>
              <w:t>0,96 %</w:t>
            </w:r>
          </w:p>
        </w:tc>
        <w:tc>
          <w:tcPr>
            <w:tcW w:w="937" w:type="dxa"/>
            <w:tcBorders>
              <w:top w:val="nil"/>
              <w:left w:val="nil"/>
              <w:bottom w:val="single" w:sz="4" w:space="0" w:color="auto"/>
              <w:right w:val="single" w:sz="8" w:space="0" w:color="auto"/>
              <w:tl2br w:val="nil"/>
              <w:tr2bl w:val="nil"/>
            </w:tcBorders>
            <w:noWrap/>
            <w:textDirection w:val="lrTb"/>
            <w:vAlign w:val="center"/>
          </w:tcPr>
          <w:p w:rsidR="00AA35C8" w:rsidRPr="00F444DF" w:rsidP="00F444DF">
            <w:pPr>
              <w:spacing w:line="240" w:lineRule="auto"/>
              <w:jc w:val="right"/>
              <w:rPr>
                <w:rFonts w:ascii="Times New Roman" w:hAnsi="Times New Roman" w:cs="Times New Roman"/>
              </w:rPr>
            </w:pPr>
            <w:r w:rsidRPr="00F444DF">
              <w:rPr>
                <w:rFonts w:ascii="Times New Roman" w:hAnsi="Times New Roman" w:cs="Times New Roman"/>
              </w:rPr>
              <w:t>11,26 %</w:t>
            </w:r>
          </w:p>
        </w:tc>
        <w:tc>
          <w:tcPr>
            <w:tcW w:w="937" w:type="dxa"/>
            <w:tcBorders>
              <w:top w:val="nil"/>
              <w:left w:val="nil"/>
              <w:bottom w:val="single" w:sz="4" w:space="0" w:color="auto"/>
              <w:right w:val="single" w:sz="8" w:space="0" w:color="auto"/>
              <w:tl2br w:val="nil"/>
              <w:tr2bl w:val="nil"/>
            </w:tcBorders>
            <w:noWrap/>
            <w:textDirection w:val="lrTb"/>
            <w:vAlign w:val="center"/>
          </w:tcPr>
          <w:p w:rsidR="00AA35C8" w:rsidRPr="00F444DF" w:rsidP="00F444DF">
            <w:pPr>
              <w:spacing w:line="240" w:lineRule="auto"/>
              <w:jc w:val="right"/>
              <w:rPr>
                <w:rFonts w:ascii="Times New Roman" w:hAnsi="Times New Roman" w:cs="Times New Roman"/>
              </w:rPr>
            </w:pPr>
            <w:r w:rsidRPr="00F444DF">
              <w:rPr>
                <w:rFonts w:ascii="Times New Roman" w:hAnsi="Times New Roman" w:cs="Times New Roman"/>
              </w:rPr>
              <w:t>9,78 %</w:t>
            </w:r>
          </w:p>
        </w:tc>
        <w:tc>
          <w:tcPr>
            <w:tcW w:w="937" w:type="dxa"/>
            <w:tcBorders>
              <w:top w:val="nil"/>
              <w:left w:val="nil"/>
              <w:bottom w:val="single" w:sz="4" w:space="0" w:color="auto"/>
              <w:right w:val="single" w:sz="8" w:space="0" w:color="auto"/>
              <w:tl2br w:val="nil"/>
              <w:tr2bl w:val="nil"/>
            </w:tcBorders>
            <w:noWrap/>
            <w:textDirection w:val="lrTb"/>
            <w:vAlign w:val="center"/>
          </w:tcPr>
          <w:p w:rsidR="00AA35C8" w:rsidRPr="00F444DF" w:rsidP="00F444DF">
            <w:pPr>
              <w:spacing w:line="240" w:lineRule="auto"/>
              <w:jc w:val="right"/>
              <w:rPr>
                <w:rFonts w:ascii="Times New Roman" w:hAnsi="Times New Roman" w:cs="Times New Roman"/>
              </w:rPr>
            </w:pPr>
            <w:r w:rsidRPr="00F444DF">
              <w:rPr>
                <w:rFonts w:ascii="Times New Roman" w:hAnsi="Times New Roman" w:cs="Times New Roman"/>
              </w:rPr>
              <w:t>9,27 %</w:t>
            </w:r>
          </w:p>
        </w:tc>
        <w:tc>
          <w:tcPr>
            <w:tcW w:w="937" w:type="dxa"/>
            <w:tcBorders>
              <w:top w:val="nil"/>
              <w:left w:val="nil"/>
              <w:bottom w:val="single" w:sz="4" w:space="0" w:color="auto"/>
              <w:right w:val="single" w:sz="8" w:space="0" w:color="auto"/>
              <w:tl2br w:val="nil"/>
              <w:tr2bl w:val="nil"/>
            </w:tcBorders>
            <w:noWrap/>
            <w:textDirection w:val="lrTb"/>
            <w:vAlign w:val="center"/>
          </w:tcPr>
          <w:p w:rsidR="00AA35C8" w:rsidRPr="00F444DF" w:rsidP="00F444DF">
            <w:pPr>
              <w:spacing w:line="240" w:lineRule="auto"/>
              <w:jc w:val="right"/>
              <w:rPr>
                <w:rFonts w:ascii="Times New Roman" w:hAnsi="Times New Roman" w:cs="Times New Roman"/>
              </w:rPr>
            </w:pPr>
            <w:r w:rsidRPr="00F444DF">
              <w:rPr>
                <w:rFonts w:ascii="Times New Roman" w:hAnsi="Times New Roman" w:cs="Times New Roman"/>
              </w:rPr>
              <w:t>8,86 %</w:t>
            </w:r>
          </w:p>
        </w:tc>
        <w:tc>
          <w:tcPr>
            <w:tcW w:w="944" w:type="dxa"/>
            <w:tcBorders>
              <w:top w:val="nil"/>
              <w:left w:val="nil"/>
              <w:bottom w:val="single" w:sz="4" w:space="0" w:color="auto"/>
              <w:right w:val="single" w:sz="8" w:space="0" w:color="auto"/>
              <w:tl2br w:val="nil"/>
              <w:tr2bl w:val="nil"/>
            </w:tcBorders>
            <w:noWrap/>
            <w:textDirection w:val="lrTb"/>
            <w:vAlign w:val="center"/>
          </w:tcPr>
          <w:p w:rsidR="00AA35C8" w:rsidRPr="00F444DF" w:rsidP="00F444DF">
            <w:pPr>
              <w:spacing w:line="240" w:lineRule="auto"/>
              <w:jc w:val="right"/>
              <w:rPr>
                <w:rFonts w:ascii="Times New Roman" w:hAnsi="Times New Roman" w:cs="Times New Roman"/>
              </w:rPr>
            </w:pPr>
            <w:r w:rsidRPr="00F444DF">
              <w:rPr>
                <w:rFonts w:ascii="Times New Roman" w:hAnsi="Times New Roman" w:cs="Times New Roman"/>
              </w:rPr>
              <w:t>4,62 %</w:t>
            </w:r>
          </w:p>
        </w:tc>
        <w:tc>
          <w:tcPr>
            <w:tcW w:w="883" w:type="dxa"/>
            <w:tcBorders>
              <w:top w:val="nil"/>
              <w:left w:val="nil"/>
              <w:bottom w:val="single" w:sz="4" w:space="0" w:color="auto"/>
              <w:right w:val="double" w:sz="6" w:space="0" w:color="auto"/>
              <w:tl2br w:val="nil"/>
              <w:tr2bl w:val="nil"/>
            </w:tcBorders>
            <w:noWrap/>
            <w:textDirection w:val="lrTb"/>
            <w:vAlign w:val="center"/>
          </w:tcPr>
          <w:p w:rsidR="00AA35C8" w:rsidRPr="00F444DF" w:rsidP="00F444DF">
            <w:pPr>
              <w:spacing w:line="240" w:lineRule="auto"/>
              <w:jc w:val="right"/>
              <w:rPr>
                <w:rFonts w:ascii="Times New Roman" w:hAnsi="Times New Roman" w:cs="Times New Roman"/>
              </w:rPr>
            </w:pPr>
            <w:r w:rsidRPr="00F444DF">
              <w:rPr>
                <w:rFonts w:ascii="Times New Roman" w:hAnsi="Times New Roman" w:cs="Times New Roman"/>
              </w:rPr>
              <w:t>3,91 %</w:t>
            </w:r>
          </w:p>
        </w:tc>
      </w:tr>
      <w:tr>
        <w:tblPrEx>
          <w:tblW w:w="7080" w:type="dxa"/>
          <w:tblInd w:w="1150" w:type="dxa"/>
          <w:tblCellMar>
            <w:left w:w="70" w:type="dxa"/>
            <w:right w:w="70" w:type="dxa"/>
          </w:tblCellMar>
        </w:tblPrEx>
        <w:trPr>
          <w:trHeight w:val="270"/>
        </w:trPr>
        <w:tc>
          <w:tcPr>
            <w:tcW w:w="585" w:type="dxa"/>
            <w:tcBorders>
              <w:top w:val="nil"/>
              <w:left w:val="double" w:sz="6" w:space="0" w:color="auto"/>
              <w:bottom w:val="single" w:sz="8" w:space="0" w:color="auto"/>
              <w:right w:val="double" w:sz="6" w:space="0" w:color="auto"/>
              <w:tl2br w:val="nil"/>
              <w:tr2bl w:val="nil"/>
            </w:tcBorders>
            <w:noWrap/>
            <w:textDirection w:val="lrTb"/>
            <w:vAlign w:val="center"/>
          </w:tcPr>
          <w:p w:rsidR="00AA35C8" w:rsidRPr="00F444DF" w:rsidP="00F444DF">
            <w:pPr>
              <w:spacing w:line="240" w:lineRule="auto"/>
              <w:jc w:val="center"/>
              <w:rPr>
                <w:rFonts w:ascii="Times New Roman" w:hAnsi="Times New Roman" w:cs="Times New Roman"/>
              </w:rPr>
            </w:pPr>
            <w:r w:rsidRPr="00F444DF">
              <w:rPr>
                <w:rFonts w:ascii="Times New Roman" w:hAnsi="Times New Roman" w:cs="Times New Roman"/>
              </w:rPr>
              <w:t>637</w:t>
            </w:r>
          </w:p>
        </w:tc>
        <w:tc>
          <w:tcPr>
            <w:tcW w:w="920" w:type="dxa"/>
            <w:tcBorders>
              <w:top w:val="nil"/>
              <w:left w:val="nil"/>
              <w:bottom w:val="single" w:sz="8" w:space="0" w:color="auto"/>
              <w:right w:val="single" w:sz="8" w:space="0" w:color="auto"/>
              <w:tl2br w:val="nil"/>
              <w:tr2bl w:val="nil"/>
            </w:tcBorders>
            <w:noWrap/>
            <w:textDirection w:val="lrTb"/>
            <w:vAlign w:val="center"/>
          </w:tcPr>
          <w:p w:rsidR="00AA35C8" w:rsidRPr="00F444DF" w:rsidP="00F444DF">
            <w:pPr>
              <w:spacing w:line="240" w:lineRule="auto"/>
              <w:jc w:val="right"/>
              <w:rPr>
                <w:rFonts w:ascii="Times New Roman" w:hAnsi="Times New Roman" w:cs="Times New Roman"/>
              </w:rPr>
            </w:pPr>
            <w:r w:rsidRPr="00F444DF">
              <w:rPr>
                <w:rFonts w:ascii="Times New Roman" w:hAnsi="Times New Roman" w:cs="Times New Roman"/>
              </w:rPr>
              <w:t>47,93 %</w:t>
            </w:r>
          </w:p>
        </w:tc>
        <w:tc>
          <w:tcPr>
            <w:tcW w:w="937" w:type="dxa"/>
            <w:tcBorders>
              <w:top w:val="nil"/>
              <w:left w:val="nil"/>
              <w:bottom w:val="single" w:sz="8" w:space="0" w:color="auto"/>
              <w:right w:val="single" w:sz="8" w:space="0" w:color="auto"/>
              <w:tl2br w:val="nil"/>
              <w:tr2bl w:val="nil"/>
            </w:tcBorders>
            <w:noWrap/>
            <w:textDirection w:val="lrTb"/>
            <w:vAlign w:val="center"/>
          </w:tcPr>
          <w:p w:rsidR="00AA35C8" w:rsidRPr="00F444DF" w:rsidP="00F444DF">
            <w:pPr>
              <w:spacing w:line="240" w:lineRule="auto"/>
              <w:jc w:val="right"/>
              <w:rPr>
                <w:rFonts w:ascii="Times New Roman" w:hAnsi="Times New Roman" w:cs="Times New Roman"/>
              </w:rPr>
            </w:pPr>
            <w:r w:rsidRPr="00F444DF">
              <w:rPr>
                <w:rFonts w:ascii="Times New Roman" w:hAnsi="Times New Roman" w:cs="Times New Roman"/>
              </w:rPr>
              <w:t>23,43 %</w:t>
            </w:r>
          </w:p>
        </w:tc>
        <w:tc>
          <w:tcPr>
            <w:tcW w:w="937" w:type="dxa"/>
            <w:tcBorders>
              <w:top w:val="nil"/>
              <w:left w:val="nil"/>
              <w:bottom w:val="single" w:sz="8" w:space="0" w:color="auto"/>
              <w:right w:val="single" w:sz="8" w:space="0" w:color="auto"/>
              <w:tl2br w:val="nil"/>
              <w:tr2bl w:val="nil"/>
            </w:tcBorders>
            <w:noWrap/>
            <w:textDirection w:val="lrTb"/>
            <w:vAlign w:val="center"/>
          </w:tcPr>
          <w:p w:rsidR="00AA35C8" w:rsidRPr="00F444DF" w:rsidP="00F444DF">
            <w:pPr>
              <w:spacing w:line="240" w:lineRule="auto"/>
              <w:jc w:val="right"/>
              <w:rPr>
                <w:rFonts w:ascii="Times New Roman" w:hAnsi="Times New Roman" w:cs="Times New Roman"/>
              </w:rPr>
            </w:pPr>
            <w:r w:rsidRPr="00F444DF">
              <w:rPr>
                <w:rFonts w:ascii="Times New Roman" w:hAnsi="Times New Roman" w:cs="Times New Roman"/>
              </w:rPr>
              <w:t>16,37 %</w:t>
            </w:r>
          </w:p>
        </w:tc>
        <w:tc>
          <w:tcPr>
            <w:tcW w:w="937" w:type="dxa"/>
            <w:tcBorders>
              <w:top w:val="nil"/>
              <w:left w:val="nil"/>
              <w:bottom w:val="single" w:sz="8" w:space="0" w:color="auto"/>
              <w:right w:val="single" w:sz="8" w:space="0" w:color="auto"/>
              <w:tl2br w:val="nil"/>
              <w:tr2bl w:val="nil"/>
            </w:tcBorders>
            <w:noWrap/>
            <w:textDirection w:val="lrTb"/>
            <w:vAlign w:val="center"/>
          </w:tcPr>
          <w:p w:rsidR="00AA35C8" w:rsidRPr="00F444DF" w:rsidP="00F444DF">
            <w:pPr>
              <w:spacing w:line="240" w:lineRule="auto"/>
              <w:jc w:val="right"/>
              <w:rPr>
                <w:rFonts w:ascii="Times New Roman" w:hAnsi="Times New Roman" w:cs="Times New Roman"/>
              </w:rPr>
            </w:pPr>
            <w:r w:rsidRPr="00F444DF">
              <w:rPr>
                <w:rFonts w:ascii="Times New Roman" w:hAnsi="Times New Roman" w:cs="Times New Roman"/>
              </w:rPr>
              <w:t>16,80 %</w:t>
            </w:r>
          </w:p>
        </w:tc>
        <w:tc>
          <w:tcPr>
            <w:tcW w:w="937" w:type="dxa"/>
            <w:tcBorders>
              <w:top w:val="nil"/>
              <w:left w:val="nil"/>
              <w:bottom w:val="single" w:sz="8" w:space="0" w:color="auto"/>
              <w:right w:val="single" w:sz="8" w:space="0" w:color="auto"/>
              <w:tl2br w:val="nil"/>
              <w:tr2bl w:val="nil"/>
            </w:tcBorders>
            <w:noWrap/>
            <w:textDirection w:val="lrTb"/>
            <w:vAlign w:val="center"/>
          </w:tcPr>
          <w:p w:rsidR="00AA35C8" w:rsidRPr="00F444DF" w:rsidP="00F444DF">
            <w:pPr>
              <w:spacing w:line="240" w:lineRule="auto"/>
              <w:jc w:val="right"/>
              <w:rPr>
                <w:rFonts w:ascii="Times New Roman" w:hAnsi="Times New Roman" w:cs="Times New Roman"/>
              </w:rPr>
            </w:pPr>
            <w:r w:rsidRPr="00F444DF">
              <w:rPr>
                <w:rFonts w:ascii="Times New Roman" w:hAnsi="Times New Roman" w:cs="Times New Roman"/>
              </w:rPr>
              <w:t>17,64 %</w:t>
            </w:r>
          </w:p>
        </w:tc>
        <w:tc>
          <w:tcPr>
            <w:tcW w:w="944" w:type="dxa"/>
            <w:tcBorders>
              <w:top w:val="nil"/>
              <w:left w:val="nil"/>
              <w:bottom w:val="single" w:sz="8" w:space="0" w:color="auto"/>
              <w:right w:val="single" w:sz="8" w:space="0" w:color="auto"/>
              <w:tl2br w:val="nil"/>
              <w:tr2bl w:val="nil"/>
            </w:tcBorders>
            <w:noWrap/>
            <w:textDirection w:val="lrTb"/>
            <w:vAlign w:val="center"/>
          </w:tcPr>
          <w:p w:rsidR="00AA35C8" w:rsidRPr="00F444DF" w:rsidP="00F444DF">
            <w:pPr>
              <w:spacing w:line="240" w:lineRule="auto"/>
              <w:jc w:val="right"/>
              <w:rPr>
                <w:rFonts w:ascii="Times New Roman" w:hAnsi="Times New Roman" w:cs="Times New Roman"/>
              </w:rPr>
            </w:pPr>
            <w:r w:rsidRPr="00F444DF">
              <w:rPr>
                <w:rFonts w:ascii="Times New Roman" w:hAnsi="Times New Roman" w:cs="Times New Roman"/>
              </w:rPr>
              <w:t>22,82 %</w:t>
            </w:r>
          </w:p>
        </w:tc>
        <w:tc>
          <w:tcPr>
            <w:tcW w:w="883" w:type="dxa"/>
            <w:tcBorders>
              <w:top w:val="nil"/>
              <w:left w:val="nil"/>
              <w:bottom w:val="single" w:sz="8" w:space="0" w:color="auto"/>
              <w:right w:val="double" w:sz="6" w:space="0" w:color="auto"/>
              <w:tl2br w:val="nil"/>
              <w:tr2bl w:val="nil"/>
            </w:tcBorders>
            <w:noWrap/>
            <w:textDirection w:val="lrTb"/>
            <w:vAlign w:val="center"/>
          </w:tcPr>
          <w:p w:rsidR="00AA35C8" w:rsidRPr="00F444DF" w:rsidP="00F444DF">
            <w:pPr>
              <w:spacing w:line="240" w:lineRule="auto"/>
              <w:jc w:val="right"/>
              <w:rPr>
                <w:rFonts w:ascii="Times New Roman" w:hAnsi="Times New Roman" w:cs="Times New Roman"/>
              </w:rPr>
            </w:pPr>
            <w:r w:rsidRPr="00F444DF">
              <w:rPr>
                <w:rFonts w:ascii="Times New Roman" w:hAnsi="Times New Roman" w:cs="Times New Roman"/>
              </w:rPr>
              <w:t>38,27 %</w:t>
            </w:r>
          </w:p>
        </w:tc>
      </w:tr>
      <w:tr>
        <w:tblPrEx>
          <w:tblW w:w="7080" w:type="dxa"/>
          <w:tblInd w:w="1150" w:type="dxa"/>
          <w:tblCellMar>
            <w:left w:w="70" w:type="dxa"/>
            <w:right w:w="70" w:type="dxa"/>
          </w:tblCellMar>
        </w:tblPrEx>
        <w:trPr>
          <w:trHeight w:val="270"/>
        </w:trPr>
        <w:tc>
          <w:tcPr>
            <w:tcW w:w="585" w:type="dxa"/>
            <w:tcBorders>
              <w:top w:val="nil"/>
              <w:left w:val="double" w:sz="6" w:space="0" w:color="auto"/>
              <w:bottom w:val="double" w:sz="4" w:space="0" w:color="auto"/>
              <w:right w:val="double" w:sz="6" w:space="0" w:color="auto"/>
              <w:tl2br w:val="nil"/>
              <w:tr2bl w:val="nil"/>
            </w:tcBorders>
            <w:noWrap/>
            <w:textDirection w:val="lrTb"/>
            <w:vAlign w:val="center"/>
          </w:tcPr>
          <w:p w:rsidR="00AA35C8" w:rsidRPr="00F444DF" w:rsidP="00F444DF">
            <w:pPr>
              <w:spacing w:line="240" w:lineRule="auto"/>
              <w:jc w:val="center"/>
              <w:rPr>
                <w:rFonts w:ascii="Times New Roman" w:hAnsi="Times New Roman" w:cs="Times New Roman"/>
                <w:b/>
                <w:bCs/>
              </w:rPr>
            </w:pPr>
            <w:r w:rsidRPr="00F444DF">
              <w:rPr>
                <w:rFonts w:ascii="Times New Roman" w:hAnsi="Times New Roman" w:cs="Times New Roman"/>
                <w:b/>
                <w:bCs/>
              </w:rPr>
              <w:t>630</w:t>
            </w:r>
          </w:p>
        </w:tc>
        <w:tc>
          <w:tcPr>
            <w:tcW w:w="920" w:type="dxa"/>
            <w:tcBorders>
              <w:top w:val="nil"/>
              <w:left w:val="nil"/>
              <w:bottom w:val="double" w:sz="4" w:space="0" w:color="auto"/>
              <w:right w:val="single" w:sz="8" w:space="0" w:color="auto"/>
              <w:tl2br w:val="nil"/>
              <w:tr2bl w:val="nil"/>
            </w:tcBorders>
            <w:noWrap/>
            <w:textDirection w:val="lrTb"/>
            <w:vAlign w:val="center"/>
          </w:tcPr>
          <w:p w:rsidR="00AA35C8" w:rsidRPr="00F444DF" w:rsidP="00F444DF">
            <w:pPr>
              <w:spacing w:line="240" w:lineRule="auto"/>
              <w:jc w:val="right"/>
              <w:rPr>
                <w:rFonts w:ascii="Times New Roman" w:hAnsi="Times New Roman" w:cs="Times New Roman"/>
                <w:b/>
                <w:bCs/>
                <w:sz w:val="18"/>
                <w:szCs w:val="18"/>
              </w:rPr>
            </w:pPr>
            <w:r w:rsidRPr="00F444DF">
              <w:rPr>
                <w:rFonts w:ascii="Times New Roman" w:hAnsi="Times New Roman" w:cs="Times New Roman"/>
                <w:b/>
                <w:bCs/>
                <w:sz w:val="18"/>
                <w:szCs w:val="18"/>
              </w:rPr>
              <w:t>100,00 %</w:t>
            </w:r>
          </w:p>
        </w:tc>
        <w:tc>
          <w:tcPr>
            <w:tcW w:w="937" w:type="dxa"/>
            <w:tcBorders>
              <w:top w:val="nil"/>
              <w:left w:val="nil"/>
              <w:bottom w:val="double" w:sz="4" w:space="0" w:color="auto"/>
              <w:right w:val="single" w:sz="8" w:space="0" w:color="auto"/>
              <w:tl2br w:val="nil"/>
              <w:tr2bl w:val="nil"/>
            </w:tcBorders>
            <w:noWrap/>
            <w:textDirection w:val="lrTb"/>
            <w:vAlign w:val="center"/>
          </w:tcPr>
          <w:p w:rsidR="00AA35C8" w:rsidRPr="00F444DF" w:rsidP="00F444DF">
            <w:pPr>
              <w:spacing w:line="240" w:lineRule="auto"/>
              <w:jc w:val="right"/>
              <w:rPr>
                <w:rFonts w:ascii="Times New Roman" w:hAnsi="Times New Roman" w:cs="Times New Roman"/>
                <w:b/>
                <w:bCs/>
                <w:sz w:val="18"/>
                <w:szCs w:val="18"/>
              </w:rPr>
            </w:pPr>
            <w:r w:rsidRPr="00F444DF">
              <w:rPr>
                <w:rFonts w:ascii="Times New Roman" w:hAnsi="Times New Roman" w:cs="Times New Roman"/>
                <w:b/>
                <w:bCs/>
                <w:sz w:val="18"/>
                <w:szCs w:val="18"/>
              </w:rPr>
              <w:t>100,00 %</w:t>
            </w:r>
          </w:p>
        </w:tc>
        <w:tc>
          <w:tcPr>
            <w:tcW w:w="937" w:type="dxa"/>
            <w:tcBorders>
              <w:top w:val="nil"/>
              <w:left w:val="nil"/>
              <w:bottom w:val="double" w:sz="4" w:space="0" w:color="auto"/>
              <w:right w:val="single" w:sz="8" w:space="0" w:color="auto"/>
              <w:tl2br w:val="nil"/>
              <w:tr2bl w:val="nil"/>
            </w:tcBorders>
            <w:noWrap/>
            <w:textDirection w:val="lrTb"/>
            <w:vAlign w:val="center"/>
          </w:tcPr>
          <w:p w:rsidR="00AA35C8" w:rsidRPr="00F444DF" w:rsidP="00F444DF">
            <w:pPr>
              <w:spacing w:line="240" w:lineRule="auto"/>
              <w:jc w:val="right"/>
              <w:rPr>
                <w:rFonts w:ascii="Times New Roman" w:hAnsi="Times New Roman" w:cs="Times New Roman"/>
                <w:b/>
                <w:bCs/>
                <w:sz w:val="18"/>
                <w:szCs w:val="18"/>
              </w:rPr>
            </w:pPr>
            <w:r w:rsidRPr="00F444DF">
              <w:rPr>
                <w:rFonts w:ascii="Times New Roman" w:hAnsi="Times New Roman" w:cs="Times New Roman"/>
                <w:b/>
                <w:bCs/>
                <w:sz w:val="18"/>
                <w:szCs w:val="18"/>
              </w:rPr>
              <w:t>100,00 %</w:t>
            </w:r>
          </w:p>
        </w:tc>
        <w:tc>
          <w:tcPr>
            <w:tcW w:w="937" w:type="dxa"/>
            <w:tcBorders>
              <w:top w:val="nil"/>
              <w:left w:val="nil"/>
              <w:bottom w:val="double" w:sz="4" w:space="0" w:color="auto"/>
              <w:right w:val="single" w:sz="8" w:space="0" w:color="auto"/>
              <w:tl2br w:val="nil"/>
              <w:tr2bl w:val="nil"/>
            </w:tcBorders>
            <w:noWrap/>
            <w:textDirection w:val="lrTb"/>
            <w:vAlign w:val="center"/>
          </w:tcPr>
          <w:p w:rsidR="00AA35C8" w:rsidRPr="00F444DF" w:rsidP="00F444DF">
            <w:pPr>
              <w:spacing w:line="240" w:lineRule="auto"/>
              <w:jc w:val="right"/>
              <w:rPr>
                <w:rFonts w:ascii="Times New Roman" w:hAnsi="Times New Roman" w:cs="Times New Roman"/>
                <w:b/>
                <w:bCs/>
                <w:sz w:val="18"/>
                <w:szCs w:val="18"/>
              </w:rPr>
            </w:pPr>
            <w:r w:rsidRPr="00F444DF">
              <w:rPr>
                <w:rFonts w:ascii="Times New Roman" w:hAnsi="Times New Roman" w:cs="Times New Roman"/>
                <w:b/>
                <w:bCs/>
                <w:sz w:val="18"/>
                <w:szCs w:val="18"/>
              </w:rPr>
              <w:t>100,00 %</w:t>
            </w:r>
          </w:p>
        </w:tc>
        <w:tc>
          <w:tcPr>
            <w:tcW w:w="937" w:type="dxa"/>
            <w:tcBorders>
              <w:top w:val="nil"/>
              <w:left w:val="nil"/>
              <w:bottom w:val="double" w:sz="4" w:space="0" w:color="auto"/>
              <w:right w:val="single" w:sz="8" w:space="0" w:color="auto"/>
              <w:tl2br w:val="nil"/>
              <w:tr2bl w:val="nil"/>
            </w:tcBorders>
            <w:noWrap/>
            <w:textDirection w:val="lrTb"/>
            <w:vAlign w:val="center"/>
          </w:tcPr>
          <w:p w:rsidR="00AA35C8" w:rsidRPr="00F444DF" w:rsidP="00F444DF">
            <w:pPr>
              <w:spacing w:line="240" w:lineRule="auto"/>
              <w:jc w:val="right"/>
              <w:rPr>
                <w:rFonts w:ascii="Times New Roman" w:hAnsi="Times New Roman" w:cs="Times New Roman"/>
                <w:b/>
                <w:bCs/>
                <w:sz w:val="18"/>
                <w:szCs w:val="18"/>
              </w:rPr>
            </w:pPr>
            <w:r w:rsidRPr="00F444DF">
              <w:rPr>
                <w:rFonts w:ascii="Times New Roman" w:hAnsi="Times New Roman" w:cs="Times New Roman"/>
                <w:b/>
                <w:bCs/>
                <w:sz w:val="18"/>
                <w:szCs w:val="18"/>
              </w:rPr>
              <w:t>100,00 %</w:t>
            </w:r>
          </w:p>
        </w:tc>
        <w:tc>
          <w:tcPr>
            <w:tcW w:w="944" w:type="dxa"/>
            <w:tcBorders>
              <w:top w:val="nil"/>
              <w:left w:val="nil"/>
              <w:bottom w:val="double" w:sz="4" w:space="0" w:color="auto"/>
              <w:right w:val="single" w:sz="8" w:space="0" w:color="auto"/>
              <w:tl2br w:val="nil"/>
              <w:tr2bl w:val="nil"/>
            </w:tcBorders>
            <w:noWrap/>
            <w:textDirection w:val="lrTb"/>
            <w:vAlign w:val="center"/>
          </w:tcPr>
          <w:p w:rsidR="00AA35C8" w:rsidRPr="00F444DF" w:rsidP="00F444DF">
            <w:pPr>
              <w:spacing w:line="240" w:lineRule="auto"/>
              <w:jc w:val="right"/>
              <w:rPr>
                <w:rFonts w:ascii="Times New Roman" w:hAnsi="Times New Roman" w:cs="Times New Roman"/>
                <w:b/>
                <w:bCs/>
                <w:sz w:val="18"/>
                <w:szCs w:val="18"/>
              </w:rPr>
            </w:pPr>
            <w:r w:rsidRPr="00F444DF">
              <w:rPr>
                <w:rFonts w:ascii="Times New Roman" w:hAnsi="Times New Roman" w:cs="Times New Roman"/>
                <w:b/>
                <w:bCs/>
                <w:sz w:val="18"/>
                <w:szCs w:val="18"/>
              </w:rPr>
              <w:t>100,00 %</w:t>
            </w:r>
          </w:p>
        </w:tc>
        <w:tc>
          <w:tcPr>
            <w:tcW w:w="883" w:type="dxa"/>
            <w:tcBorders>
              <w:top w:val="nil"/>
              <w:left w:val="nil"/>
              <w:bottom w:val="double" w:sz="4" w:space="0" w:color="auto"/>
              <w:right w:val="double" w:sz="6" w:space="0" w:color="auto"/>
              <w:tl2br w:val="nil"/>
              <w:tr2bl w:val="nil"/>
            </w:tcBorders>
            <w:noWrap/>
            <w:textDirection w:val="lrTb"/>
            <w:vAlign w:val="center"/>
          </w:tcPr>
          <w:p w:rsidR="00AA35C8" w:rsidRPr="00F444DF" w:rsidP="00F444DF">
            <w:pPr>
              <w:spacing w:line="240" w:lineRule="auto"/>
              <w:jc w:val="right"/>
              <w:rPr>
                <w:rFonts w:ascii="Times New Roman" w:hAnsi="Times New Roman" w:cs="Times New Roman"/>
                <w:sz w:val="18"/>
                <w:szCs w:val="18"/>
              </w:rPr>
            </w:pPr>
            <w:r w:rsidRPr="00F444DF">
              <w:rPr>
                <w:rFonts w:ascii="Times New Roman" w:hAnsi="Times New Roman" w:cs="Times New Roman"/>
                <w:sz w:val="18"/>
                <w:szCs w:val="18"/>
              </w:rPr>
              <w:t>100,00 %</w:t>
            </w:r>
          </w:p>
        </w:tc>
      </w:tr>
    </w:tbl>
    <w:p w:rsidR="00AA35C8" w:rsidP="00F444DF">
      <w:pPr>
        <w:pStyle w:val="Title"/>
        <w:spacing w:line="240" w:lineRule="auto"/>
        <w:jc w:val="left"/>
        <w:rPr>
          <w:rFonts w:ascii="Times New Roman" w:hAnsi="Times New Roman" w:cs="Times New Roman"/>
          <w:bCs/>
          <w:sz w:val="20"/>
        </w:rPr>
      </w:pPr>
    </w:p>
    <w:p w:rsidR="00AA35C8" w:rsidP="00AA35C8">
      <w:pPr>
        <w:pStyle w:val="Title"/>
        <w:spacing w:line="240" w:lineRule="auto"/>
        <w:ind w:firstLine="528"/>
        <w:jc w:val="both"/>
        <w:rPr>
          <w:rFonts w:ascii="Times New Roman" w:hAnsi="Times New Roman" w:cs="Times New Roman"/>
          <w:bCs/>
        </w:rPr>
      </w:pPr>
      <w:r w:rsidRPr="00180CDD">
        <w:rPr>
          <w:rFonts w:ascii="Times New Roman" w:hAnsi="Times New Roman" w:cs="Times New Roman"/>
          <w:bCs/>
        </w:rPr>
        <w:t>Z hľadiska vecného obsahu boli k 31.1</w:t>
      </w:r>
      <w:r w:rsidR="00C34272">
        <w:rPr>
          <w:rFonts w:ascii="Times New Roman" w:hAnsi="Times New Roman" w:cs="Times New Roman"/>
          <w:bCs/>
        </w:rPr>
        <w:t xml:space="preserve">2.2007 zabezpečené </w:t>
      </w:r>
      <w:r w:rsidRPr="00180CDD">
        <w:rPr>
          <w:rFonts w:ascii="Times New Roman" w:hAnsi="Times New Roman" w:cs="Times New Roman"/>
          <w:bCs/>
        </w:rPr>
        <w:t>tieto tovary a služby:</w:t>
      </w:r>
    </w:p>
    <w:p w:rsidR="00A24FC1" w:rsidRPr="00180CDD" w:rsidP="00AA35C8">
      <w:pPr>
        <w:pStyle w:val="Title"/>
        <w:spacing w:line="240" w:lineRule="auto"/>
        <w:ind w:firstLine="528"/>
        <w:jc w:val="both"/>
        <w:rPr>
          <w:rFonts w:ascii="Times New Roman" w:hAnsi="Times New Roman" w:cs="Times New Roman"/>
          <w:bCs/>
          <w:color w:val="FF0000"/>
        </w:rPr>
      </w:pPr>
    </w:p>
    <w:p w:rsidR="00AA35C8" w:rsidRPr="00180CDD" w:rsidP="00AA35C8">
      <w:pPr>
        <w:pStyle w:val="Title"/>
        <w:spacing w:line="240" w:lineRule="auto"/>
        <w:jc w:val="both"/>
        <w:rPr>
          <w:rFonts w:ascii="Times New Roman" w:hAnsi="Times New Roman" w:cs="Times New Roman"/>
          <w:bCs/>
        </w:rPr>
      </w:pPr>
      <w:r w:rsidRPr="00180CDD">
        <w:rPr>
          <w:rFonts w:ascii="Times New Roman" w:hAnsi="Times New Roman" w:cs="Times New Roman"/>
          <w:bCs/>
        </w:rPr>
        <w:t xml:space="preserve">-   </w:t>
      </w:r>
      <w:r w:rsidRPr="00CE31CD">
        <w:rPr>
          <w:rFonts w:ascii="Times New Roman" w:hAnsi="Times New Roman" w:cs="Times New Roman"/>
          <w:b/>
          <w:bCs/>
        </w:rPr>
        <w:t>za cestovné náhrady (RP 631) – 909 tis. Sk</w:t>
      </w:r>
      <w:r w:rsidR="00CE31CD">
        <w:rPr>
          <w:rFonts w:ascii="Times New Roman" w:hAnsi="Times New Roman" w:cs="Times New Roman"/>
          <w:bCs/>
        </w:rPr>
        <w:t xml:space="preserve">, z toho tuzemské 691 tis. Sk a </w:t>
      </w:r>
      <w:r w:rsidRPr="00180CDD">
        <w:rPr>
          <w:rFonts w:ascii="Times New Roman" w:hAnsi="Times New Roman" w:cs="Times New Roman"/>
          <w:bCs/>
        </w:rPr>
        <w:t>zahraničné 218 tis. S</w:t>
      </w:r>
      <w:r w:rsidR="00CE31CD">
        <w:rPr>
          <w:rFonts w:ascii="Times New Roman" w:hAnsi="Times New Roman" w:cs="Times New Roman"/>
          <w:bCs/>
        </w:rPr>
        <w:t>k</w:t>
      </w:r>
      <w:r w:rsidRPr="00180CDD">
        <w:rPr>
          <w:rFonts w:ascii="Times New Roman" w:hAnsi="Times New Roman" w:cs="Times New Roman"/>
          <w:bCs/>
        </w:rPr>
        <w:t>;</w:t>
      </w:r>
    </w:p>
    <w:p w:rsidR="00AA35C8" w:rsidRPr="00180CDD" w:rsidP="00AA35C8">
      <w:pPr>
        <w:pStyle w:val="Title"/>
        <w:spacing w:line="240" w:lineRule="auto"/>
        <w:jc w:val="both"/>
        <w:rPr>
          <w:rFonts w:ascii="Times New Roman" w:hAnsi="Times New Roman" w:cs="Times New Roman"/>
          <w:bCs/>
        </w:rPr>
      </w:pPr>
      <w:r w:rsidRPr="00180CDD">
        <w:rPr>
          <w:rFonts w:ascii="Times New Roman" w:hAnsi="Times New Roman" w:cs="Times New Roman"/>
          <w:bCs/>
        </w:rPr>
        <w:t xml:space="preserve">-  </w:t>
      </w:r>
      <w:r w:rsidRPr="00CE31CD">
        <w:rPr>
          <w:rFonts w:ascii="Times New Roman" w:hAnsi="Times New Roman" w:cs="Times New Roman"/>
          <w:b/>
          <w:bCs/>
        </w:rPr>
        <w:t>za energie, vodu, komunikácie (RP 632) – 18 758 tis. Sk</w:t>
      </w:r>
      <w:r w:rsidR="00CE31CD">
        <w:rPr>
          <w:rFonts w:ascii="Times New Roman" w:hAnsi="Times New Roman" w:cs="Times New Roman"/>
          <w:bCs/>
        </w:rPr>
        <w:t>, z toho elektri</w:t>
      </w:r>
      <w:r w:rsidR="00CE31CD">
        <w:rPr>
          <w:rFonts w:ascii="Times New Roman" w:hAnsi="Times New Roman" w:cs="Times New Roman"/>
          <w:bCs/>
        </w:rPr>
        <w:t xml:space="preserve">cká energia </w:t>
      </w:r>
      <w:r w:rsidRPr="00180CDD">
        <w:rPr>
          <w:rFonts w:ascii="Times New Roman" w:hAnsi="Times New Roman" w:cs="Times New Roman"/>
          <w:bCs/>
        </w:rPr>
        <w:t>4 117 tis</w:t>
      </w:r>
      <w:r w:rsidR="00CE31CD">
        <w:rPr>
          <w:rFonts w:ascii="Times New Roman" w:hAnsi="Times New Roman" w:cs="Times New Roman"/>
          <w:bCs/>
        </w:rPr>
        <w:t xml:space="preserve">. Sk, plyn a para </w:t>
      </w:r>
      <w:r w:rsidRPr="00180CDD">
        <w:rPr>
          <w:rFonts w:ascii="Times New Roman" w:hAnsi="Times New Roman" w:cs="Times New Roman"/>
          <w:bCs/>
        </w:rPr>
        <w:t>1 561</w:t>
      </w:r>
      <w:r w:rsidR="00CE31CD">
        <w:rPr>
          <w:rFonts w:ascii="Times New Roman" w:hAnsi="Times New Roman" w:cs="Times New Roman"/>
          <w:bCs/>
        </w:rPr>
        <w:t xml:space="preserve"> tis. Sk, tepelná energia </w:t>
      </w:r>
      <w:r w:rsidRPr="00180CDD">
        <w:rPr>
          <w:rFonts w:ascii="Times New Roman" w:hAnsi="Times New Roman" w:cs="Times New Roman"/>
          <w:bCs/>
        </w:rPr>
        <w:t>3 797 tis. Sk, vodné, stočné</w:t>
      </w:r>
      <w:r w:rsidR="00CE31CD">
        <w:rPr>
          <w:rFonts w:ascii="Times New Roman" w:hAnsi="Times New Roman" w:cs="Times New Roman"/>
          <w:bCs/>
        </w:rPr>
        <w:t xml:space="preserve"> </w:t>
      </w:r>
      <w:r w:rsidRPr="00180CDD">
        <w:rPr>
          <w:rFonts w:ascii="Times New Roman" w:hAnsi="Times New Roman" w:cs="Times New Roman"/>
          <w:bCs/>
        </w:rPr>
        <w:t xml:space="preserve">735 tis. Sk, poštové </w:t>
      </w:r>
      <w:r w:rsidR="00CE31CD">
        <w:rPr>
          <w:rFonts w:ascii="Times New Roman" w:hAnsi="Times New Roman" w:cs="Times New Roman"/>
          <w:bCs/>
        </w:rPr>
        <w:t xml:space="preserve">služby </w:t>
      </w:r>
      <w:r w:rsidRPr="00180CDD">
        <w:rPr>
          <w:rFonts w:ascii="Times New Roman" w:hAnsi="Times New Roman" w:cs="Times New Roman"/>
          <w:bCs/>
        </w:rPr>
        <w:t xml:space="preserve">912 tis. Sk, </w:t>
      </w:r>
      <w:r w:rsidR="00CE31CD">
        <w:rPr>
          <w:rFonts w:ascii="Times New Roman" w:hAnsi="Times New Roman" w:cs="Times New Roman"/>
          <w:bCs/>
        </w:rPr>
        <w:t xml:space="preserve"> telekomunikačné služby </w:t>
      </w:r>
      <w:r w:rsidRPr="00180CDD">
        <w:rPr>
          <w:rFonts w:ascii="Times New Roman" w:hAnsi="Times New Roman" w:cs="Times New Roman"/>
          <w:bCs/>
        </w:rPr>
        <w:t>7 636 tis. Sk;</w:t>
      </w:r>
    </w:p>
    <w:p w:rsidR="00CE31CD" w:rsidRPr="00CE31CD" w:rsidP="00AA35C8">
      <w:pPr>
        <w:pStyle w:val="Title"/>
        <w:spacing w:line="240" w:lineRule="auto"/>
        <w:jc w:val="both"/>
        <w:rPr>
          <w:rFonts w:ascii="Times New Roman" w:hAnsi="Times New Roman" w:cs="Times New Roman"/>
          <w:b/>
          <w:bCs/>
        </w:rPr>
      </w:pPr>
      <w:r w:rsidRPr="00180CDD" w:rsidR="00AA35C8">
        <w:rPr>
          <w:rFonts w:ascii="Times New Roman" w:hAnsi="Times New Roman" w:cs="Times New Roman"/>
          <w:bCs/>
        </w:rPr>
        <w:t xml:space="preserve">-   </w:t>
      </w:r>
      <w:r w:rsidRPr="00CE31CD" w:rsidR="00AA35C8">
        <w:rPr>
          <w:rFonts w:ascii="Times New Roman" w:hAnsi="Times New Roman" w:cs="Times New Roman"/>
          <w:b/>
          <w:bCs/>
        </w:rPr>
        <w:t>za materiál (RP 633) – 24 318 tis. Sk</w:t>
      </w:r>
      <w:r w:rsidRPr="00180CDD" w:rsidR="00AA35C8">
        <w:rPr>
          <w:rFonts w:ascii="Times New Roman" w:hAnsi="Times New Roman" w:cs="Times New Roman"/>
          <w:bCs/>
        </w:rPr>
        <w:t xml:space="preserve">, </w:t>
      </w:r>
      <w:r w:rsidRPr="00CE31CD">
        <w:rPr>
          <w:rFonts w:ascii="Times New Roman" w:hAnsi="Times New Roman" w:cs="Times New Roman"/>
          <w:bCs/>
        </w:rPr>
        <w:t xml:space="preserve">z toho najmä </w:t>
      </w:r>
      <w:r>
        <w:rPr>
          <w:rFonts w:ascii="Times New Roman" w:hAnsi="Times New Roman" w:cs="Times New Roman"/>
          <w:bCs/>
        </w:rPr>
        <w:t>interiérové vybavenie</w:t>
      </w:r>
      <w:r>
        <w:rPr>
          <w:rFonts w:ascii="Times New Roman" w:hAnsi="Times New Roman" w:cs="Times New Roman"/>
          <w:bCs/>
        </w:rPr>
        <w:t xml:space="preserve"> </w:t>
      </w:r>
      <w:r w:rsidRPr="00CE31CD">
        <w:rPr>
          <w:rFonts w:ascii="Times New Roman" w:hAnsi="Times New Roman" w:cs="Times New Roman"/>
          <w:bCs/>
        </w:rPr>
        <w:t>1 292</w:t>
      </w:r>
      <w:r>
        <w:rPr>
          <w:rFonts w:ascii="Times New Roman" w:hAnsi="Times New Roman" w:cs="Times New Roman"/>
          <w:bCs/>
        </w:rPr>
        <w:t xml:space="preserve"> tis. Sk, výpočtová technika </w:t>
      </w:r>
      <w:r w:rsidRPr="00CE31CD">
        <w:rPr>
          <w:rFonts w:ascii="Times New Roman" w:hAnsi="Times New Roman" w:cs="Times New Roman"/>
          <w:bCs/>
        </w:rPr>
        <w:t>2 789 tis.</w:t>
      </w:r>
      <w:r>
        <w:rPr>
          <w:rFonts w:ascii="Times New Roman" w:hAnsi="Times New Roman" w:cs="Times New Roman"/>
          <w:bCs/>
        </w:rPr>
        <w:t xml:space="preserve"> Sk, telekomunikačná technika </w:t>
      </w:r>
      <w:r w:rsidRPr="00CE31CD">
        <w:rPr>
          <w:rFonts w:ascii="Times New Roman" w:hAnsi="Times New Roman" w:cs="Times New Roman"/>
          <w:bCs/>
        </w:rPr>
        <w:t>346 tis. Sk, prevádzkové</w:t>
      </w:r>
      <w:r>
        <w:rPr>
          <w:rFonts w:ascii="Times New Roman" w:hAnsi="Times New Roman" w:cs="Times New Roman"/>
          <w:bCs/>
        </w:rPr>
        <w:t xml:space="preserve"> stroje, prístroje a zariadenia </w:t>
      </w:r>
      <w:r w:rsidRPr="00CE31CD">
        <w:rPr>
          <w:rFonts w:ascii="Times New Roman" w:hAnsi="Times New Roman" w:cs="Times New Roman"/>
          <w:bCs/>
        </w:rPr>
        <w:t xml:space="preserve">1 025 tis. Sk, špeciálne </w:t>
      </w:r>
      <w:r>
        <w:rPr>
          <w:rFonts w:ascii="Times New Roman" w:hAnsi="Times New Roman" w:cs="Times New Roman"/>
          <w:bCs/>
        </w:rPr>
        <w:t>stroje, prístroje a zariadenia 440 tis. Sk</w:t>
      </w:r>
      <w:r w:rsidRPr="00CE31CD">
        <w:rPr>
          <w:rFonts w:ascii="Times New Roman" w:hAnsi="Times New Roman" w:cs="Times New Roman"/>
          <w:bCs/>
        </w:rPr>
        <w:t>, všeobecný materiál</w:t>
      </w:r>
      <w:r>
        <w:rPr>
          <w:rFonts w:ascii="Times New Roman" w:hAnsi="Times New Roman" w:cs="Times New Roman"/>
          <w:bCs/>
        </w:rPr>
        <w:t xml:space="preserve"> </w:t>
      </w:r>
      <w:r w:rsidRPr="00CE31CD">
        <w:rPr>
          <w:rFonts w:ascii="Times New Roman" w:hAnsi="Times New Roman" w:cs="Times New Roman"/>
          <w:bCs/>
        </w:rPr>
        <w:t>5 597</w:t>
      </w:r>
      <w:r>
        <w:rPr>
          <w:rFonts w:ascii="Times New Roman" w:hAnsi="Times New Roman" w:cs="Times New Roman"/>
          <w:bCs/>
        </w:rPr>
        <w:t xml:space="preserve"> tis. Sk</w:t>
      </w:r>
      <w:r w:rsidRPr="00CE31CD">
        <w:rPr>
          <w:rFonts w:ascii="Times New Roman" w:hAnsi="Times New Roman" w:cs="Times New Roman"/>
          <w:bCs/>
        </w:rPr>
        <w:t>, špec</w:t>
      </w:r>
      <w:r>
        <w:rPr>
          <w:rFonts w:ascii="Times New Roman" w:hAnsi="Times New Roman" w:cs="Times New Roman"/>
          <w:bCs/>
        </w:rPr>
        <w:t xml:space="preserve">iálny materiál </w:t>
      </w:r>
      <w:r w:rsidRPr="00CE31CD">
        <w:rPr>
          <w:rFonts w:ascii="Times New Roman" w:hAnsi="Times New Roman" w:cs="Times New Roman"/>
          <w:bCs/>
        </w:rPr>
        <w:t>2 9</w:t>
      </w:r>
      <w:r w:rsidRPr="00CE31CD">
        <w:rPr>
          <w:rFonts w:ascii="Times New Roman" w:hAnsi="Times New Roman" w:cs="Times New Roman"/>
          <w:bCs/>
        </w:rPr>
        <w:t>72 tis. S</w:t>
      </w:r>
      <w:r>
        <w:rPr>
          <w:rFonts w:ascii="Times New Roman" w:hAnsi="Times New Roman" w:cs="Times New Roman"/>
          <w:bCs/>
        </w:rPr>
        <w:t>k</w:t>
      </w:r>
      <w:r w:rsidRPr="00CE31CD">
        <w:rPr>
          <w:rFonts w:ascii="Times New Roman" w:hAnsi="Times New Roman" w:cs="Times New Roman"/>
          <w:bCs/>
        </w:rPr>
        <w:t>,</w:t>
      </w:r>
      <w:r>
        <w:rPr>
          <w:rFonts w:ascii="Times New Roman" w:hAnsi="Times New Roman" w:cs="Times New Roman"/>
          <w:bCs/>
        </w:rPr>
        <w:t xml:space="preserve"> pracovné odevy </w:t>
      </w:r>
      <w:r w:rsidRPr="00CE31CD">
        <w:rPr>
          <w:rFonts w:ascii="Times New Roman" w:hAnsi="Times New Roman" w:cs="Times New Roman"/>
          <w:bCs/>
        </w:rPr>
        <w:t>7 754</w:t>
      </w:r>
      <w:r>
        <w:rPr>
          <w:rFonts w:ascii="Times New Roman" w:hAnsi="Times New Roman" w:cs="Times New Roman"/>
          <w:bCs/>
        </w:rPr>
        <w:t xml:space="preserve"> tis. Sk</w:t>
      </w:r>
      <w:r w:rsidRPr="00CE31CD">
        <w:rPr>
          <w:rFonts w:ascii="Times New Roman" w:hAnsi="Times New Roman" w:cs="Times New Roman"/>
          <w:bCs/>
        </w:rPr>
        <w:t>,</w:t>
      </w:r>
      <w:r>
        <w:rPr>
          <w:rFonts w:ascii="Times New Roman" w:hAnsi="Times New Roman" w:cs="Times New Roman"/>
          <w:bCs/>
        </w:rPr>
        <w:t xml:space="preserve"> softvér a licencie </w:t>
      </w:r>
      <w:r w:rsidRPr="00CE31CD">
        <w:rPr>
          <w:rFonts w:ascii="Times New Roman" w:hAnsi="Times New Roman" w:cs="Times New Roman"/>
          <w:bCs/>
        </w:rPr>
        <w:t>1 366 tis. Sk</w:t>
      </w:r>
      <w:r>
        <w:rPr>
          <w:rFonts w:ascii="Times New Roman" w:hAnsi="Times New Roman" w:cs="Times New Roman"/>
          <w:bCs/>
        </w:rPr>
        <w:t xml:space="preserve"> atď.</w:t>
      </w:r>
      <w:r w:rsidRPr="00CE31CD">
        <w:rPr>
          <w:rFonts w:ascii="Times New Roman" w:hAnsi="Times New Roman" w:cs="Times New Roman"/>
          <w:bCs/>
        </w:rPr>
        <w:t xml:space="preserve">; </w:t>
      </w:r>
    </w:p>
    <w:p w:rsidR="00AA35C8" w:rsidRPr="00180CDD" w:rsidP="00AA35C8">
      <w:pPr>
        <w:pStyle w:val="Title"/>
        <w:spacing w:line="240" w:lineRule="auto"/>
        <w:jc w:val="both"/>
        <w:rPr>
          <w:rFonts w:ascii="Times New Roman" w:hAnsi="Times New Roman" w:cs="Times New Roman"/>
          <w:bCs/>
        </w:rPr>
      </w:pPr>
      <w:r w:rsidRPr="00180CDD">
        <w:rPr>
          <w:rFonts w:ascii="Times New Roman" w:hAnsi="Times New Roman" w:cs="Times New Roman"/>
          <w:bCs/>
        </w:rPr>
        <w:t xml:space="preserve">-  </w:t>
      </w:r>
      <w:r w:rsidR="00E93C22">
        <w:rPr>
          <w:rFonts w:ascii="Times New Roman" w:hAnsi="Times New Roman" w:cs="Times New Roman"/>
          <w:b/>
          <w:bCs/>
        </w:rPr>
        <w:t>dopravné (RP 634) – 7 168</w:t>
      </w:r>
      <w:r w:rsidRPr="00CE31CD">
        <w:rPr>
          <w:rFonts w:ascii="Times New Roman" w:hAnsi="Times New Roman" w:cs="Times New Roman"/>
          <w:b/>
          <w:bCs/>
        </w:rPr>
        <w:t xml:space="preserve"> tis. Sk</w:t>
      </w:r>
      <w:r w:rsidRPr="00180CDD">
        <w:rPr>
          <w:rFonts w:ascii="Times New Roman" w:hAnsi="Times New Roman" w:cs="Times New Roman"/>
          <w:bCs/>
        </w:rPr>
        <w:t>, z toho pohonné hmoty</w:t>
      </w:r>
      <w:r w:rsidR="00CE31CD">
        <w:rPr>
          <w:rFonts w:ascii="Times New Roman" w:hAnsi="Times New Roman" w:cs="Times New Roman"/>
          <w:bCs/>
        </w:rPr>
        <w:t xml:space="preserve"> </w:t>
      </w:r>
      <w:r w:rsidRPr="00180CDD">
        <w:rPr>
          <w:rFonts w:ascii="Times New Roman" w:hAnsi="Times New Roman" w:cs="Times New Roman"/>
          <w:bCs/>
        </w:rPr>
        <w:t>4 183 tis. Sk, servis, údržba a opravy služobných cestných</w:t>
      </w:r>
      <w:r w:rsidR="00CE31CD">
        <w:rPr>
          <w:rFonts w:ascii="Times New Roman" w:hAnsi="Times New Roman" w:cs="Times New Roman"/>
          <w:bCs/>
        </w:rPr>
        <w:t xml:space="preserve"> vozidiel </w:t>
      </w:r>
      <w:r w:rsidRPr="00180CDD">
        <w:rPr>
          <w:rFonts w:ascii="Times New Roman" w:hAnsi="Times New Roman" w:cs="Times New Roman"/>
          <w:bCs/>
        </w:rPr>
        <w:t>2 354 tis. Sk</w:t>
      </w:r>
      <w:r w:rsidR="00CE31CD">
        <w:rPr>
          <w:rFonts w:ascii="Times New Roman" w:hAnsi="Times New Roman" w:cs="Times New Roman"/>
          <w:bCs/>
        </w:rPr>
        <w:t xml:space="preserve">, poistenie </w:t>
      </w:r>
      <w:r w:rsidRPr="00180CDD">
        <w:rPr>
          <w:rFonts w:ascii="Times New Roman" w:hAnsi="Times New Roman" w:cs="Times New Roman"/>
          <w:bCs/>
        </w:rPr>
        <w:t>589</w:t>
      </w:r>
      <w:r w:rsidR="00CE31CD">
        <w:rPr>
          <w:rFonts w:ascii="Times New Roman" w:hAnsi="Times New Roman" w:cs="Times New Roman"/>
          <w:bCs/>
        </w:rPr>
        <w:t xml:space="preserve"> tis. Sk, atď.</w:t>
      </w:r>
      <w:r w:rsidRPr="00180CDD">
        <w:rPr>
          <w:rFonts w:ascii="Times New Roman" w:hAnsi="Times New Roman" w:cs="Times New Roman"/>
          <w:bCs/>
        </w:rPr>
        <w:t>;</w:t>
      </w:r>
    </w:p>
    <w:p w:rsidR="00AA35C8" w:rsidRPr="00180CDD" w:rsidP="00AA35C8">
      <w:pPr>
        <w:pStyle w:val="Title"/>
        <w:spacing w:line="240" w:lineRule="auto"/>
        <w:jc w:val="both"/>
        <w:rPr>
          <w:rFonts w:ascii="Times New Roman" w:hAnsi="Times New Roman" w:cs="Times New Roman"/>
          <w:bCs/>
          <w:color w:val="FF0000"/>
        </w:rPr>
      </w:pPr>
      <w:r w:rsidRPr="00180CDD">
        <w:rPr>
          <w:rFonts w:ascii="Times New Roman" w:hAnsi="Times New Roman" w:cs="Times New Roman"/>
          <w:bCs/>
        </w:rPr>
        <w:t xml:space="preserve">-  </w:t>
      </w:r>
      <w:r w:rsidRPr="00CE31CD">
        <w:rPr>
          <w:rFonts w:ascii="Times New Roman" w:hAnsi="Times New Roman" w:cs="Times New Roman"/>
          <w:b/>
          <w:bCs/>
        </w:rPr>
        <w:t>rutinná a št</w:t>
      </w:r>
      <w:r w:rsidR="00E93C22">
        <w:rPr>
          <w:rFonts w:ascii="Times New Roman" w:hAnsi="Times New Roman" w:cs="Times New Roman"/>
          <w:b/>
          <w:bCs/>
        </w:rPr>
        <w:t>andardná údržba (RP 635) – 8 533</w:t>
      </w:r>
      <w:r w:rsidRPr="00CE31CD">
        <w:rPr>
          <w:rFonts w:ascii="Times New Roman" w:hAnsi="Times New Roman" w:cs="Times New Roman"/>
          <w:b/>
          <w:bCs/>
        </w:rPr>
        <w:t xml:space="preserve"> tis. Sk</w:t>
      </w:r>
      <w:r w:rsidR="00CE31CD">
        <w:rPr>
          <w:rFonts w:ascii="Times New Roman" w:hAnsi="Times New Roman" w:cs="Times New Roman"/>
          <w:bCs/>
        </w:rPr>
        <w:t xml:space="preserve">, z toho softvéru </w:t>
      </w:r>
      <w:r w:rsidRPr="00180CDD">
        <w:rPr>
          <w:rFonts w:ascii="Times New Roman" w:hAnsi="Times New Roman" w:cs="Times New Roman"/>
          <w:bCs/>
        </w:rPr>
        <w:t>369 tis. Sk, telekomunikačne</w:t>
      </w:r>
      <w:r w:rsidR="00CE31CD">
        <w:rPr>
          <w:rFonts w:ascii="Times New Roman" w:hAnsi="Times New Roman" w:cs="Times New Roman"/>
          <w:bCs/>
        </w:rPr>
        <w:t xml:space="preserve">j techniky 118 tis. Sk, prevádzkových strojov </w:t>
      </w:r>
      <w:r w:rsidRPr="00180CDD">
        <w:rPr>
          <w:rFonts w:ascii="Times New Roman" w:hAnsi="Times New Roman" w:cs="Times New Roman"/>
          <w:bCs/>
        </w:rPr>
        <w:t>289 tis. Sk, špeciálnych st</w:t>
      </w:r>
      <w:r w:rsidR="00CE31CD">
        <w:rPr>
          <w:rFonts w:ascii="Times New Roman" w:hAnsi="Times New Roman" w:cs="Times New Roman"/>
          <w:bCs/>
        </w:rPr>
        <w:t xml:space="preserve">rojov, prístrojov a zariadení </w:t>
      </w:r>
      <w:r w:rsidRPr="00180CDD">
        <w:rPr>
          <w:rFonts w:ascii="Times New Roman" w:hAnsi="Times New Roman" w:cs="Times New Roman"/>
          <w:bCs/>
        </w:rPr>
        <w:t xml:space="preserve">672 tis. Sk, </w:t>
      </w:r>
      <w:r w:rsidR="00CE31CD">
        <w:rPr>
          <w:rFonts w:ascii="Times New Roman" w:hAnsi="Times New Roman" w:cs="Times New Roman"/>
          <w:bCs/>
        </w:rPr>
        <w:t xml:space="preserve">budov, priestorov a objektov </w:t>
      </w:r>
      <w:r w:rsidRPr="00180CDD">
        <w:rPr>
          <w:rFonts w:ascii="Times New Roman" w:hAnsi="Times New Roman" w:cs="Times New Roman"/>
          <w:bCs/>
        </w:rPr>
        <w:t>6 871 tis. Sk</w:t>
      </w:r>
      <w:r w:rsidRPr="00180CDD">
        <w:rPr>
          <w:rFonts w:ascii="Times New Roman" w:hAnsi="Times New Roman" w:cs="Times New Roman"/>
          <w:bCs/>
        </w:rPr>
        <w:t>, (z toho</w:t>
      </w:r>
      <w:r w:rsidRPr="00180CDD">
        <w:rPr>
          <w:rFonts w:ascii="Times New Roman" w:hAnsi="Times New Roman" w:cs="Times New Roman"/>
          <w:bCs/>
          <w:color w:val="FF0000"/>
        </w:rPr>
        <w:t xml:space="preserve"> </w:t>
      </w:r>
      <w:r w:rsidR="00CE31CD">
        <w:rPr>
          <w:rFonts w:ascii="Times New Roman" w:hAnsi="Times New Roman" w:cs="Times New Roman"/>
          <w:bCs/>
        </w:rPr>
        <w:t xml:space="preserve">prevádzkových budov </w:t>
      </w:r>
      <w:r w:rsidRPr="00180CDD">
        <w:rPr>
          <w:rFonts w:ascii="Times New Roman" w:hAnsi="Times New Roman" w:cs="Times New Roman"/>
          <w:bCs/>
        </w:rPr>
        <w:t>3 573 tis. Sk,</w:t>
      </w:r>
      <w:r w:rsidRPr="00180CDD">
        <w:rPr>
          <w:rFonts w:ascii="Times New Roman" w:hAnsi="Times New Roman" w:cs="Times New Roman"/>
          <w:bCs/>
          <w:color w:val="FF0000"/>
        </w:rPr>
        <w:t xml:space="preserve"> </w:t>
      </w:r>
      <w:r w:rsidR="00CE31CD">
        <w:rPr>
          <w:rFonts w:ascii="Times New Roman" w:hAnsi="Times New Roman" w:cs="Times New Roman"/>
          <w:bCs/>
        </w:rPr>
        <w:t xml:space="preserve">bytov </w:t>
      </w:r>
      <w:r w:rsidRPr="00180CDD">
        <w:rPr>
          <w:rFonts w:ascii="Times New Roman" w:hAnsi="Times New Roman" w:cs="Times New Roman"/>
          <w:bCs/>
        </w:rPr>
        <w:t xml:space="preserve">3 298 tis. </w:t>
      </w:r>
      <w:r w:rsidR="00CE31CD">
        <w:rPr>
          <w:rFonts w:ascii="Times New Roman" w:hAnsi="Times New Roman" w:cs="Times New Roman"/>
          <w:bCs/>
        </w:rPr>
        <w:t>Sk) atď.</w:t>
      </w:r>
      <w:r w:rsidRPr="00180CDD">
        <w:rPr>
          <w:rFonts w:ascii="Times New Roman" w:hAnsi="Times New Roman" w:cs="Times New Roman"/>
          <w:bCs/>
        </w:rPr>
        <w:t>;</w:t>
      </w:r>
    </w:p>
    <w:p w:rsidR="00AA35C8" w:rsidRPr="00180CDD" w:rsidP="00AA35C8">
      <w:pPr>
        <w:pStyle w:val="Title"/>
        <w:spacing w:line="240" w:lineRule="auto"/>
        <w:jc w:val="both"/>
        <w:rPr>
          <w:rFonts w:ascii="Times New Roman" w:hAnsi="Times New Roman" w:cs="Times New Roman"/>
          <w:bCs/>
        </w:rPr>
      </w:pPr>
      <w:r w:rsidRPr="00180CDD">
        <w:rPr>
          <w:rFonts w:ascii="Times New Roman" w:hAnsi="Times New Roman" w:cs="Times New Roman"/>
          <w:bCs/>
        </w:rPr>
        <w:t xml:space="preserve">-  </w:t>
      </w:r>
      <w:r w:rsidRPr="00CE31CD">
        <w:rPr>
          <w:rFonts w:ascii="Times New Roman" w:hAnsi="Times New Roman" w:cs="Times New Roman"/>
          <w:b/>
          <w:bCs/>
        </w:rPr>
        <w:t>nájomné za prenájom (RP 636) – 4 037 tis. Sk</w:t>
      </w:r>
      <w:r w:rsidR="00CE31CD">
        <w:rPr>
          <w:rFonts w:ascii="Times New Roman" w:hAnsi="Times New Roman" w:cs="Times New Roman"/>
          <w:bCs/>
        </w:rPr>
        <w:t xml:space="preserve">, z toho za budovy </w:t>
      </w:r>
      <w:r w:rsidRPr="00180CDD">
        <w:rPr>
          <w:rFonts w:ascii="Times New Roman" w:hAnsi="Times New Roman" w:cs="Times New Roman"/>
          <w:bCs/>
        </w:rPr>
        <w:t>3 438 tis. Sk, za</w:t>
      </w:r>
      <w:r w:rsidR="00CE31CD">
        <w:rPr>
          <w:rFonts w:ascii="Times New Roman" w:hAnsi="Times New Roman" w:cs="Times New Roman"/>
          <w:bCs/>
        </w:rPr>
        <w:t xml:space="preserve"> stroje, prístroje a zariadenia </w:t>
      </w:r>
      <w:r w:rsidRPr="00180CDD">
        <w:rPr>
          <w:rFonts w:ascii="Times New Roman" w:hAnsi="Times New Roman" w:cs="Times New Roman"/>
          <w:bCs/>
        </w:rPr>
        <w:t xml:space="preserve">599 tis. Sk; </w:t>
      </w:r>
    </w:p>
    <w:p w:rsidR="00AA35C8" w:rsidRPr="00180CDD" w:rsidP="00AA35C8">
      <w:pPr>
        <w:pStyle w:val="Title"/>
        <w:spacing w:line="240" w:lineRule="auto"/>
        <w:jc w:val="both"/>
        <w:rPr>
          <w:rFonts w:ascii="Times New Roman" w:hAnsi="Times New Roman" w:cs="Times New Roman"/>
          <w:bCs/>
        </w:rPr>
      </w:pPr>
      <w:r w:rsidRPr="00180CDD">
        <w:rPr>
          <w:rFonts w:ascii="Times New Roman" w:hAnsi="Times New Roman" w:cs="Times New Roman"/>
          <w:bCs/>
        </w:rPr>
        <w:t xml:space="preserve">-  </w:t>
      </w:r>
      <w:r w:rsidR="00CE31CD">
        <w:rPr>
          <w:rFonts w:ascii="Times New Roman" w:hAnsi="Times New Roman" w:cs="Times New Roman"/>
          <w:b/>
          <w:bCs/>
        </w:rPr>
        <w:t xml:space="preserve">za služby (RP 637) – </w:t>
      </w:r>
      <w:r w:rsidRPr="00CE31CD">
        <w:rPr>
          <w:rFonts w:ascii="Times New Roman" w:hAnsi="Times New Roman" w:cs="Times New Roman"/>
          <w:b/>
          <w:bCs/>
        </w:rPr>
        <w:t>39 505 tis. Sk</w:t>
      </w:r>
      <w:r w:rsidRPr="00180CDD">
        <w:rPr>
          <w:rFonts w:ascii="Times New Roman" w:hAnsi="Times New Roman" w:cs="Times New Roman"/>
          <w:bCs/>
        </w:rPr>
        <w:t>, z toho najmä</w:t>
      </w:r>
      <w:r w:rsidR="00CE31CD">
        <w:rPr>
          <w:rFonts w:ascii="Times New Roman" w:hAnsi="Times New Roman" w:cs="Times New Roman"/>
          <w:bCs/>
        </w:rPr>
        <w:t xml:space="preserve"> šk</w:t>
      </w:r>
      <w:r w:rsidR="00CE31CD">
        <w:rPr>
          <w:rFonts w:ascii="Times New Roman" w:hAnsi="Times New Roman" w:cs="Times New Roman"/>
          <w:bCs/>
        </w:rPr>
        <w:t xml:space="preserve">olenia a kurzy </w:t>
      </w:r>
      <w:r w:rsidRPr="00180CDD">
        <w:rPr>
          <w:rFonts w:ascii="Times New Roman" w:hAnsi="Times New Roman" w:cs="Times New Roman"/>
          <w:bCs/>
        </w:rPr>
        <w:t>3 348 tis. Sk,</w:t>
      </w:r>
      <w:r w:rsidR="00CE31CD">
        <w:rPr>
          <w:rFonts w:ascii="Times New Roman" w:hAnsi="Times New Roman" w:cs="Times New Roman"/>
          <w:bCs/>
        </w:rPr>
        <w:t xml:space="preserve"> všeobecné služby </w:t>
      </w:r>
      <w:r w:rsidRPr="00180CDD">
        <w:rPr>
          <w:rFonts w:ascii="Times New Roman" w:hAnsi="Times New Roman" w:cs="Times New Roman"/>
          <w:bCs/>
        </w:rPr>
        <w:t>4 727</w:t>
      </w:r>
      <w:r w:rsidR="00CE31CD">
        <w:rPr>
          <w:rFonts w:ascii="Times New Roman" w:hAnsi="Times New Roman" w:cs="Times New Roman"/>
          <w:bCs/>
        </w:rPr>
        <w:t xml:space="preserve"> tis. Sk, špeciálne služby 6 006 tis. Sk (najmä </w:t>
      </w:r>
      <w:r w:rsidRPr="00180CDD">
        <w:rPr>
          <w:rFonts w:ascii="Times New Roman" w:hAnsi="Times New Roman" w:cs="Times New Roman"/>
          <w:bCs/>
        </w:rPr>
        <w:t>exekučné služby 5 206 tis. Sk), náhrady za zdravotní</w:t>
      </w:r>
      <w:r w:rsidR="00CE31CD">
        <w:rPr>
          <w:rFonts w:ascii="Times New Roman" w:hAnsi="Times New Roman" w:cs="Times New Roman"/>
          <w:bCs/>
        </w:rPr>
        <w:t xml:space="preserve">cku starostlivosť 346 tis. Sk, </w:t>
      </w:r>
      <w:r w:rsidRPr="00180CDD">
        <w:rPr>
          <w:rFonts w:ascii="Times New Roman" w:hAnsi="Times New Roman" w:cs="Times New Roman"/>
          <w:bCs/>
        </w:rPr>
        <w:t>štúdie,</w:t>
      </w:r>
      <w:r w:rsidR="00CE31CD">
        <w:rPr>
          <w:rFonts w:ascii="Times New Roman" w:hAnsi="Times New Roman" w:cs="Times New Roman"/>
          <w:bCs/>
        </w:rPr>
        <w:t xml:space="preserve"> expertízy, posudky </w:t>
      </w:r>
      <w:r w:rsidRPr="00180CDD">
        <w:rPr>
          <w:rFonts w:ascii="Times New Roman" w:hAnsi="Times New Roman" w:cs="Times New Roman"/>
          <w:bCs/>
        </w:rPr>
        <w:t>2 962 tis. Sk, poplatky a odvody – 904 tis.</w:t>
      </w:r>
      <w:r w:rsidR="00CE31CD">
        <w:rPr>
          <w:rFonts w:ascii="Times New Roman" w:hAnsi="Times New Roman" w:cs="Times New Roman"/>
          <w:bCs/>
        </w:rPr>
        <w:t xml:space="preserve"> Sk</w:t>
      </w:r>
      <w:r w:rsidR="00CE31CD">
        <w:rPr>
          <w:rFonts w:ascii="Times New Roman" w:hAnsi="Times New Roman" w:cs="Times New Roman"/>
          <w:bCs/>
        </w:rPr>
        <w:t xml:space="preserve">, naturálne mzdy </w:t>
      </w:r>
      <w:r w:rsidRPr="00180CDD">
        <w:rPr>
          <w:rFonts w:ascii="Times New Roman" w:hAnsi="Times New Roman" w:cs="Times New Roman"/>
          <w:bCs/>
        </w:rPr>
        <w:t>3 827 tis. Sk, stravné poukážky</w:t>
      </w:r>
      <w:r w:rsidR="00CE31CD">
        <w:rPr>
          <w:rFonts w:ascii="Times New Roman" w:hAnsi="Times New Roman" w:cs="Times New Roman"/>
          <w:bCs/>
        </w:rPr>
        <w:t xml:space="preserve"> </w:t>
      </w:r>
      <w:r w:rsidRPr="00180CDD">
        <w:rPr>
          <w:rFonts w:ascii="Times New Roman" w:hAnsi="Times New Roman" w:cs="Times New Roman"/>
          <w:bCs/>
        </w:rPr>
        <w:t xml:space="preserve">12 275 </w:t>
      </w:r>
      <w:r w:rsidR="00CE31CD">
        <w:rPr>
          <w:rFonts w:ascii="Times New Roman" w:hAnsi="Times New Roman" w:cs="Times New Roman"/>
          <w:bCs/>
        </w:rPr>
        <w:t xml:space="preserve">tis. Sk, </w:t>
      </w:r>
      <w:r w:rsidRPr="00180CDD">
        <w:rPr>
          <w:rFonts w:ascii="Times New Roman" w:hAnsi="Times New Roman" w:cs="Times New Roman"/>
          <w:bCs/>
        </w:rPr>
        <w:t>prídel do SoFo – 3 848 tis. Sk</w:t>
      </w:r>
      <w:r w:rsidR="00CE31CD">
        <w:rPr>
          <w:rFonts w:ascii="Times New Roman" w:hAnsi="Times New Roman" w:cs="Times New Roman"/>
          <w:bCs/>
        </w:rPr>
        <w:t>, atď.</w:t>
      </w:r>
      <w:r w:rsidRPr="00180CDD" w:rsidR="00CE31CD">
        <w:rPr>
          <w:rFonts w:ascii="Times New Roman" w:hAnsi="Times New Roman" w:cs="Times New Roman"/>
          <w:bCs/>
        </w:rPr>
        <w:t>;</w:t>
      </w:r>
    </w:p>
    <w:p w:rsidR="00AA35C8" w:rsidRPr="00180CDD" w:rsidP="00AA35C8">
      <w:pPr>
        <w:pStyle w:val="Title"/>
        <w:spacing w:line="240" w:lineRule="auto"/>
        <w:ind w:firstLine="180"/>
        <w:jc w:val="both"/>
        <w:rPr>
          <w:rFonts w:ascii="Times New Roman" w:hAnsi="Times New Roman" w:cs="Times New Roman"/>
          <w:bCs/>
        </w:rPr>
      </w:pPr>
    </w:p>
    <w:p w:rsidR="00A24FC1" w:rsidRPr="00180CDD" w:rsidP="00C34272">
      <w:pPr>
        <w:pStyle w:val="Title"/>
        <w:spacing w:line="240" w:lineRule="auto"/>
        <w:ind w:firstLine="709"/>
        <w:jc w:val="both"/>
        <w:rPr>
          <w:rFonts w:ascii="Times New Roman" w:hAnsi="Times New Roman" w:cs="Times New Roman"/>
          <w:bCs/>
        </w:rPr>
      </w:pPr>
      <w:r w:rsidRPr="00180CDD" w:rsidR="00AA35C8">
        <w:rPr>
          <w:rFonts w:ascii="Times New Roman" w:hAnsi="Times New Roman" w:cs="Times New Roman"/>
          <w:bCs/>
        </w:rPr>
        <w:t>Prostriedky povolené ako prekročenie rozpočtu podľa § 23 ods. 1 zákona č. 523/2004 Z. z. o rozpočtových pravidlách verejnej správy a o zmene a doplnení niektorých zákonov boli k 31.12.2007 čerpané vo výške 804 561,40 Sk, a to v rámci :</w:t>
      </w:r>
    </w:p>
    <w:p w:rsidR="00AA35C8" w:rsidRPr="00180CDD" w:rsidP="00466C99">
      <w:pPr>
        <w:pStyle w:val="Title"/>
        <w:spacing w:line="240" w:lineRule="auto"/>
        <w:ind w:left="720"/>
        <w:jc w:val="both"/>
        <w:rPr>
          <w:rFonts w:ascii="Times New Roman" w:hAnsi="Times New Roman" w:cs="Times New Roman"/>
          <w:bCs/>
        </w:rPr>
      </w:pPr>
      <w:r w:rsidRPr="00180CDD">
        <w:rPr>
          <w:rFonts w:ascii="Times New Roman" w:hAnsi="Times New Roman" w:cs="Times New Roman"/>
          <w:bCs/>
        </w:rPr>
        <w:t>- RPP 633 011 – potraviny – 35 241,- Sk;</w:t>
      </w:r>
    </w:p>
    <w:p w:rsidR="00AA35C8" w:rsidRPr="00180CDD" w:rsidP="00466C99">
      <w:pPr>
        <w:pStyle w:val="Title"/>
        <w:spacing w:line="240" w:lineRule="auto"/>
        <w:ind w:left="720"/>
        <w:jc w:val="both"/>
        <w:rPr>
          <w:rFonts w:ascii="Times New Roman" w:hAnsi="Times New Roman" w:cs="Times New Roman"/>
          <w:bCs/>
        </w:rPr>
      </w:pPr>
      <w:r w:rsidRPr="00180CDD">
        <w:rPr>
          <w:rFonts w:ascii="Times New Roman" w:hAnsi="Times New Roman" w:cs="Times New Roman"/>
          <w:bCs/>
        </w:rPr>
        <w:t>- RPP 634 002 – servis, údržba, opravy a výdavky s tým spoj. – 232 658,- Sk;</w:t>
      </w:r>
    </w:p>
    <w:p w:rsidR="00AA35C8" w:rsidP="00C34272">
      <w:pPr>
        <w:pStyle w:val="Title"/>
        <w:tabs>
          <w:tab w:val="left" w:pos="360"/>
        </w:tabs>
        <w:spacing w:line="240" w:lineRule="auto"/>
        <w:ind w:left="720"/>
        <w:jc w:val="both"/>
        <w:rPr>
          <w:rFonts w:ascii="Times New Roman" w:hAnsi="Times New Roman" w:cs="Times New Roman"/>
        </w:rPr>
      </w:pPr>
      <w:r w:rsidR="00A74897">
        <w:rPr>
          <w:rFonts w:ascii="Times New Roman" w:hAnsi="Times New Roman" w:cs="Times New Roman"/>
          <w:bCs/>
        </w:rPr>
        <w:t xml:space="preserve">- </w:t>
      </w:r>
      <w:r w:rsidRPr="00180CDD">
        <w:rPr>
          <w:rFonts w:ascii="Times New Roman" w:hAnsi="Times New Roman" w:cs="Times New Roman"/>
          <w:bCs/>
        </w:rPr>
        <w:t>RPP 637 003 – propagácia, rekla</w:t>
      </w:r>
      <w:r w:rsidR="00466C99">
        <w:rPr>
          <w:rFonts w:ascii="Times New Roman" w:hAnsi="Times New Roman" w:cs="Times New Roman"/>
          <w:bCs/>
        </w:rPr>
        <w:t>ma a inzercia – 536 6</w:t>
      </w:r>
      <w:r w:rsidR="00466C99">
        <w:rPr>
          <w:rFonts w:ascii="Times New Roman" w:hAnsi="Times New Roman" w:cs="Times New Roman"/>
          <w:bCs/>
        </w:rPr>
        <w:t xml:space="preserve">69,40 Sk. </w:t>
      </w:r>
      <w:r w:rsidRPr="00180CDD">
        <w:rPr>
          <w:rFonts w:ascii="Times New Roman" w:hAnsi="Times New Roman" w:cs="Times New Roman"/>
          <w:bCs/>
        </w:rPr>
        <w:t xml:space="preserve">Prostriedky boli použité v rámci </w:t>
      </w:r>
      <w:r w:rsidRPr="00180CDD">
        <w:rPr>
          <w:rFonts w:ascii="Times New Roman" w:hAnsi="Times New Roman" w:cs="Times New Roman"/>
        </w:rPr>
        <w:t>v rámci osláv 10. ročníka športových dní ŽP a 15. výroč</w:t>
      </w:r>
      <w:r w:rsidR="00466C99">
        <w:rPr>
          <w:rFonts w:ascii="Times New Roman" w:hAnsi="Times New Roman" w:cs="Times New Roman"/>
        </w:rPr>
        <w:t xml:space="preserve">ia vzniku ŽP, ktorých cieľom bolo </w:t>
      </w:r>
      <w:r w:rsidRPr="00180CDD">
        <w:rPr>
          <w:rFonts w:ascii="Times New Roman" w:hAnsi="Times New Roman" w:cs="Times New Roman"/>
        </w:rPr>
        <w:t>predstaviť širokej v</w:t>
      </w:r>
      <w:r w:rsidR="00466C99">
        <w:rPr>
          <w:rFonts w:ascii="Times New Roman" w:hAnsi="Times New Roman" w:cs="Times New Roman"/>
        </w:rPr>
        <w:t xml:space="preserve">erejnosti prácu príslušníkov Železničnej polície </w:t>
      </w:r>
      <w:r w:rsidRPr="00180CDD">
        <w:rPr>
          <w:rFonts w:ascii="Times New Roman" w:hAnsi="Times New Roman" w:cs="Times New Roman"/>
        </w:rPr>
        <w:t>v oblasti prevencie trestnej činnosti (nákup propagačný</w:t>
      </w:r>
      <w:r w:rsidRPr="00180CDD">
        <w:rPr>
          <w:rFonts w:ascii="Times New Roman" w:hAnsi="Times New Roman" w:cs="Times New Roman"/>
        </w:rPr>
        <w:t>ch predmetov).</w:t>
      </w:r>
    </w:p>
    <w:p w:rsidR="009A52FB" w:rsidRPr="00C34272" w:rsidP="00C34272">
      <w:pPr>
        <w:pStyle w:val="Title"/>
        <w:tabs>
          <w:tab w:val="left" w:pos="360"/>
        </w:tabs>
        <w:spacing w:line="240" w:lineRule="auto"/>
        <w:ind w:left="720"/>
        <w:jc w:val="both"/>
        <w:rPr>
          <w:rFonts w:ascii="Times New Roman" w:hAnsi="Times New Roman" w:cs="Times New Roman"/>
          <w:bCs/>
        </w:rPr>
      </w:pPr>
    </w:p>
    <w:p w:rsidR="00AA35C8" w:rsidRPr="00466C99" w:rsidP="00C34272">
      <w:pPr>
        <w:pStyle w:val="Title"/>
        <w:spacing w:line="240" w:lineRule="auto"/>
        <w:jc w:val="both"/>
        <w:rPr>
          <w:rFonts w:ascii="Times New Roman" w:hAnsi="Times New Roman" w:cs="Times New Roman"/>
          <w:b/>
          <w:u w:val="single"/>
        </w:rPr>
      </w:pPr>
      <w:r w:rsidRPr="00466C99" w:rsidR="00466C99">
        <w:rPr>
          <w:rFonts w:ascii="Times New Roman" w:hAnsi="Times New Roman" w:cs="Times New Roman"/>
          <w:b/>
          <w:u w:val="single"/>
        </w:rPr>
        <w:t xml:space="preserve">2.4. Výdavky kategórie </w:t>
      </w:r>
      <w:r w:rsidRPr="00466C99">
        <w:rPr>
          <w:rFonts w:ascii="Times New Roman" w:hAnsi="Times New Roman" w:cs="Times New Roman"/>
          <w:b/>
          <w:u w:val="single"/>
        </w:rPr>
        <w:t>640 – bežné transfery</w:t>
      </w:r>
    </w:p>
    <w:p w:rsidR="00A24FC1" w:rsidP="00C34272">
      <w:pPr>
        <w:pStyle w:val="Title"/>
        <w:spacing w:line="240" w:lineRule="auto"/>
        <w:jc w:val="both"/>
        <w:rPr>
          <w:rFonts w:ascii="Times New Roman" w:hAnsi="Times New Roman" w:cs="Times New Roman"/>
        </w:rPr>
      </w:pPr>
    </w:p>
    <w:p w:rsidR="00AA35C8" w:rsidRPr="00466C99" w:rsidP="00AA35C8">
      <w:pPr>
        <w:pStyle w:val="Title"/>
        <w:spacing w:line="240" w:lineRule="auto"/>
        <w:ind w:firstLine="709"/>
        <w:jc w:val="both"/>
        <w:rPr>
          <w:rFonts w:ascii="Times New Roman" w:hAnsi="Times New Roman" w:cs="Times New Roman"/>
        </w:rPr>
      </w:pPr>
      <w:r w:rsidR="00466C99">
        <w:rPr>
          <w:rFonts w:ascii="Times New Roman" w:hAnsi="Times New Roman" w:cs="Times New Roman"/>
        </w:rPr>
        <w:t xml:space="preserve">Bežné transfery boli </w:t>
      </w:r>
      <w:r w:rsidRPr="00466C99">
        <w:rPr>
          <w:rFonts w:ascii="Times New Roman" w:hAnsi="Times New Roman" w:cs="Times New Roman"/>
        </w:rPr>
        <w:t>k 31.12.2007</w:t>
      </w:r>
      <w:r w:rsidR="00466C99">
        <w:rPr>
          <w:rFonts w:ascii="Times New Roman" w:hAnsi="Times New Roman" w:cs="Times New Roman"/>
        </w:rPr>
        <w:t xml:space="preserve"> </w:t>
      </w:r>
      <w:r w:rsidRPr="00466C99">
        <w:rPr>
          <w:rFonts w:ascii="Times New Roman" w:hAnsi="Times New Roman" w:cs="Times New Roman"/>
        </w:rPr>
        <w:t>čerpané na 100 %, a to v rámci výplat za január až december 2007 v</w:t>
      </w:r>
      <w:r w:rsidR="00466C99">
        <w:rPr>
          <w:rFonts w:ascii="Times New Roman" w:hAnsi="Times New Roman" w:cs="Times New Roman"/>
        </w:rPr>
        <w:t> celkovej výške 8 823 000,- Sk</w:t>
      </w:r>
      <w:r w:rsidRPr="00466C99">
        <w:rPr>
          <w:rFonts w:ascii="Times New Roman" w:hAnsi="Times New Roman" w:cs="Times New Roman"/>
        </w:rPr>
        <w:t>, z toho najväčší podiel tvorili disciplinárne odmeny 8 405 400,- Sk, odstupné zamestnancom 268 130,- Sk, náhrada za prvých 10 dní PN zamestnancom vo výške 88 433,- Sk a odchodné 24 680,- Sk. Na depozit boli odvedené nevyčerpané prostriedky vo výške 11,- Sk (RPP 642 035) a na osobitný účet bol poukázaný príspevok na re</w:t>
      </w:r>
      <w:r w:rsidRPr="00466C99">
        <w:rPr>
          <w:rFonts w:ascii="Times New Roman" w:hAnsi="Times New Roman" w:cs="Times New Roman"/>
        </w:rPr>
        <w:t>kreácie vo výške 36 346,- Sk.</w:t>
      </w:r>
    </w:p>
    <w:p w:rsidR="00A24FC1" w:rsidP="00AA35C8">
      <w:pPr>
        <w:pStyle w:val="Title"/>
        <w:spacing w:line="240" w:lineRule="auto"/>
        <w:ind w:left="180"/>
        <w:jc w:val="both"/>
        <w:rPr>
          <w:rFonts w:ascii="Times New Roman" w:hAnsi="Times New Roman" w:cs="Times New Roman"/>
          <w:color w:val="0000FF"/>
          <w:u w:val="single"/>
        </w:rPr>
      </w:pPr>
    </w:p>
    <w:p w:rsidR="00AA35C8" w:rsidRPr="000C4771" w:rsidP="00C34272">
      <w:pPr>
        <w:pStyle w:val="Title"/>
        <w:spacing w:line="240" w:lineRule="auto"/>
        <w:jc w:val="both"/>
        <w:rPr>
          <w:rFonts w:ascii="Times New Roman" w:hAnsi="Times New Roman" w:cs="Times New Roman"/>
          <w:b/>
          <w:u w:val="single"/>
        </w:rPr>
      </w:pPr>
      <w:r w:rsidR="000C4771">
        <w:rPr>
          <w:rFonts w:ascii="Times New Roman" w:hAnsi="Times New Roman" w:cs="Times New Roman"/>
          <w:b/>
          <w:u w:val="single"/>
        </w:rPr>
        <w:t xml:space="preserve">2.5. Výdavky kategórie </w:t>
      </w:r>
      <w:r w:rsidRPr="000C4771">
        <w:rPr>
          <w:rFonts w:ascii="Times New Roman" w:hAnsi="Times New Roman" w:cs="Times New Roman"/>
          <w:b/>
          <w:u w:val="single"/>
        </w:rPr>
        <w:t xml:space="preserve">710 </w:t>
      </w:r>
      <w:r w:rsidR="004D1A5C">
        <w:rPr>
          <w:rFonts w:ascii="Times New Roman" w:hAnsi="Times New Roman" w:cs="Times New Roman"/>
          <w:b/>
          <w:u w:val="single"/>
        </w:rPr>
        <w:t>– obstaranie kapitálových aktív</w:t>
      </w:r>
    </w:p>
    <w:p w:rsidR="00A24FC1" w:rsidRPr="00A24FC1" w:rsidP="00A24FC1">
      <w:pPr>
        <w:pStyle w:val="Title"/>
        <w:spacing w:line="240" w:lineRule="auto"/>
        <w:ind w:left="180"/>
        <w:jc w:val="both"/>
        <w:rPr>
          <w:rFonts w:ascii="Times New Roman" w:hAnsi="Times New Roman" w:cs="Times New Roman"/>
          <w:sz w:val="20"/>
        </w:rPr>
      </w:pPr>
      <w:r w:rsidR="00AA35C8">
        <w:rPr>
          <w:rFonts w:ascii="Times New Roman" w:hAnsi="Times New Roman" w:cs="Times New Roman"/>
        </w:rPr>
        <w:tab/>
      </w:r>
    </w:p>
    <w:p w:rsidR="00AA35C8" w:rsidRPr="00226356" w:rsidP="00226356">
      <w:pPr>
        <w:pStyle w:val="Title"/>
        <w:spacing w:line="240" w:lineRule="auto"/>
        <w:ind w:left="180" w:firstLine="529"/>
        <w:jc w:val="both"/>
        <w:rPr>
          <w:rFonts w:ascii="Times New Roman" w:hAnsi="Times New Roman" w:cs="Times New Roman"/>
          <w:sz w:val="20"/>
        </w:rPr>
      </w:pPr>
      <w:r w:rsidR="009A52FB">
        <w:rPr>
          <w:rFonts w:ascii="Times New Roman" w:hAnsi="Times New Roman" w:cs="Times New Roman"/>
        </w:rPr>
        <w:t xml:space="preserve">Rozpočet </w:t>
      </w:r>
      <w:r w:rsidRPr="000C4771">
        <w:rPr>
          <w:rFonts w:ascii="Times New Roman" w:hAnsi="Times New Roman" w:cs="Times New Roman"/>
        </w:rPr>
        <w:t>vo výške 25 000 tis. Sk bol v priebehu roka uprave</w:t>
      </w:r>
      <w:r w:rsidR="000C4771">
        <w:rPr>
          <w:rFonts w:ascii="Times New Roman" w:hAnsi="Times New Roman" w:cs="Times New Roman"/>
        </w:rPr>
        <w:t xml:space="preserve">ný </w:t>
      </w:r>
      <w:r w:rsidR="009A52FB">
        <w:rPr>
          <w:rFonts w:ascii="Times New Roman" w:hAnsi="Times New Roman" w:cs="Times New Roman"/>
        </w:rPr>
        <w:t xml:space="preserve">rozpočtovými opatreniami </w:t>
      </w:r>
      <w:r w:rsidR="00226356">
        <w:rPr>
          <w:rFonts w:ascii="Times New Roman" w:hAnsi="Times New Roman" w:cs="Times New Roman"/>
        </w:rPr>
        <w:t>na výšku</w:t>
      </w:r>
      <w:r w:rsidRPr="0097289A">
        <w:rPr>
          <w:rFonts w:ascii="Times New Roman" w:hAnsi="Times New Roman" w:cs="Times New Roman"/>
        </w:rPr>
        <w:t xml:space="preserve"> </w:t>
      </w:r>
      <w:r w:rsidRPr="004655C3" w:rsidR="004655C3">
        <w:rPr>
          <w:rFonts w:ascii="Times New Roman" w:hAnsi="Times New Roman" w:cs="Times New Roman"/>
        </w:rPr>
        <w:t>20 723 133,7</w:t>
      </w:r>
      <w:r w:rsidRPr="004655C3">
        <w:rPr>
          <w:rFonts w:ascii="Times New Roman" w:hAnsi="Times New Roman" w:cs="Times New Roman"/>
        </w:rPr>
        <w:t xml:space="preserve">4 </w:t>
      </w:r>
      <w:r w:rsidRPr="004655C3" w:rsidR="00226356">
        <w:rPr>
          <w:rFonts w:ascii="Times New Roman" w:hAnsi="Times New Roman" w:cs="Times New Roman"/>
        </w:rPr>
        <w:t>Sk</w:t>
      </w:r>
      <w:r w:rsidR="004655C3">
        <w:rPr>
          <w:rFonts w:ascii="Times New Roman" w:hAnsi="Times New Roman" w:cs="Times New Roman"/>
        </w:rPr>
        <w:t xml:space="preserve"> a </w:t>
      </w:r>
      <w:r w:rsidR="00226356">
        <w:rPr>
          <w:rFonts w:ascii="Times New Roman" w:hAnsi="Times New Roman" w:cs="Times New Roman"/>
        </w:rPr>
        <w:t xml:space="preserve">skutočné čerpanie </w:t>
      </w:r>
      <w:r w:rsidR="004655C3">
        <w:rPr>
          <w:rFonts w:ascii="Times New Roman" w:hAnsi="Times New Roman" w:cs="Times New Roman"/>
        </w:rPr>
        <w:t xml:space="preserve">bolo vo výške </w:t>
      </w:r>
      <w:r w:rsidRPr="006C0D06" w:rsidR="004655C3">
        <w:rPr>
          <w:rFonts w:ascii="Times New Roman" w:hAnsi="Times New Roman" w:cs="Times New Roman"/>
          <w:b/>
        </w:rPr>
        <w:t>20 723 131,34</w:t>
      </w:r>
      <w:r w:rsidR="004655C3">
        <w:rPr>
          <w:rFonts w:ascii="Times New Roman" w:hAnsi="Times New Roman" w:cs="Times New Roman"/>
        </w:rPr>
        <w:t xml:space="preserve"> </w:t>
      </w:r>
      <w:r w:rsidRPr="006C0D06" w:rsidR="004655C3">
        <w:rPr>
          <w:rFonts w:ascii="Times New Roman" w:hAnsi="Times New Roman" w:cs="Times New Roman"/>
          <w:b/>
        </w:rPr>
        <w:t>Sk</w:t>
      </w:r>
      <w:r w:rsidR="004655C3">
        <w:rPr>
          <w:rFonts w:ascii="Times New Roman" w:hAnsi="Times New Roman" w:cs="Times New Roman"/>
        </w:rPr>
        <w:t>.</w:t>
      </w:r>
      <w:r w:rsidR="004655C3">
        <w:rPr>
          <w:rFonts w:ascii="Times New Roman" w:hAnsi="Times New Roman" w:cs="Times New Roman"/>
        </w:rPr>
        <w:t xml:space="preserve"> </w:t>
      </w:r>
      <w:r w:rsidRPr="0097289A">
        <w:rPr>
          <w:rFonts w:ascii="Times New Roman" w:hAnsi="Times New Roman" w:cs="Times New Roman"/>
        </w:rPr>
        <w:t>Rozpočtové p</w:t>
      </w:r>
      <w:r w:rsidR="0097289A">
        <w:rPr>
          <w:rFonts w:ascii="Times New Roman" w:hAnsi="Times New Roman" w:cs="Times New Roman"/>
        </w:rPr>
        <w:t>rostriedky boli použité na nasledovné investičné akcie</w:t>
      </w:r>
      <w:r w:rsidRPr="0097289A">
        <w:rPr>
          <w:rFonts w:ascii="Times New Roman" w:hAnsi="Times New Roman" w:cs="Times New Roman"/>
        </w:rPr>
        <w:t>:</w:t>
      </w:r>
    </w:p>
    <w:p w:rsidR="0097289A" w:rsidRPr="0097289A" w:rsidP="00AA35C8">
      <w:pPr>
        <w:spacing w:line="240" w:lineRule="auto"/>
        <w:ind w:firstLine="709"/>
        <w:rPr>
          <w:rFonts w:ascii="Times New Roman" w:hAnsi="Times New Roman" w:cs="Times New Roman"/>
          <w:sz w:val="24"/>
          <w:szCs w:val="24"/>
        </w:rPr>
      </w:pPr>
    </w:p>
    <w:p w:rsidR="00A24FC1" w:rsidRPr="00226356" w:rsidP="00AA35C8">
      <w:pPr>
        <w:tabs>
          <w:tab w:val="left" w:pos="360"/>
        </w:tabs>
        <w:spacing w:line="240" w:lineRule="auto"/>
        <w:rPr>
          <w:rFonts w:ascii="Times New Roman" w:hAnsi="Times New Roman" w:cs="Times New Roman"/>
          <w:sz w:val="24"/>
          <w:szCs w:val="24"/>
        </w:rPr>
      </w:pPr>
      <w:r w:rsidRPr="00226356" w:rsidR="00AA35C8">
        <w:rPr>
          <w:rFonts w:ascii="Times New Roman" w:hAnsi="Times New Roman" w:cs="Times New Roman"/>
          <w:sz w:val="24"/>
          <w:szCs w:val="24"/>
        </w:rPr>
        <w:t xml:space="preserve">a) </w:t>
      </w:r>
      <w:r w:rsidRPr="00226356" w:rsidR="00AA35C8">
        <w:rPr>
          <w:rFonts w:ascii="Times New Roman" w:hAnsi="Times New Roman" w:cs="Times New Roman"/>
          <w:sz w:val="24"/>
          <w:szCs w:val="24"/>
          <w:u w:val="single"/>
        </w:rPr>
        <w:t>IA č. 01870</w:t>
      </w:r>
      <w:r w:rsidRPr="00226356" w:rsidR="00AA35C8">
        <w:rPr>
          <w:rFonts w:ascii="Times New Roman" w:hAnsi="Times New Roman" w:cs="Times New Roman"/>
          <w:sz w:val="24"/>
          <w:szCs w:val="24"/>
        </w:rPr>
        <w:t xml:space="preserve"> – „</w:t>
      </w:r>
      <w:r w:rsidRPr="00226356" w:rsidR="00AA35C8">
        <w:rPr>
          <w:rFonts w:ascii="Times New Roman" w:hAnsi="Times New Roman" w:cs="Times New Roman"/>
          <w:bCs/>
          <w:sz w:val="24"/>
          <w:szCs w:val="24"/>
        </w:rPr>
        <w:t>Rekonštrukcia objektu ObS ŽP Žilina</w:t>
      </w:r>
      <w:r w:rsidRPr="00226356" w:rsidR="00AA35C8">
        <w:rPr>
          <w:rFonts w:ascii="Times New Roman" w:hAnsi="Times New Roman" w:cs="Times New Roman"/>
          <w:sz w:val="24"/>
          <w:szCs w:val="24"/>
        </w:rPr>
        <w:t>“ – vo výške 10 139 310,14 Sk, z toho na</w:t>
      </w:r>
      <w:r w:rsidRPr="00226356" w:rsidR="00226356">
        <w:rPr>
          <w:rFonts w:ascii="Times New Roman" w:hAnsi="Times New Roman" w:cs="Times New Roman"/>
          <w:sz w:val="24"/>
          <w:szCs w:val="24"/>
        </w:rPr>
        <w:t xml:space="preserve"> stavebné práce </w:t>
      </w:r>
      <w:r w:rsidRPr="00226356" w:rsidR="00AA35C8">
        <w:rPr>
          <w:rFonts w:ascii="Times New Roman" w:hAnsi="Times New Roman" w:cs="Times New Roman"/>
          <w:sz w:val="24"/>
          <w:szCs w:val="24"/>
        </w:rPr>
        <w:t>9 993 480,74 Sk a pro</w:t>
      </w:r>
      <w:r w:rsidRPr="00226356" w:rsidR="00226356">
        <w:rPr>
          <w:rFonts w:ascii="Times New Roman" w:hAnsi="Times New Roman" w:cs="Times New Roman"/>
          <w:sz w:val="24"/>
          <w:szCs w:val="24"/>
        </w:rPr>
        <w:t xml:space="preserve">jektovú dokumentáciu </w:t>
      </w:r>
      <w:r w:rsidRPr="00226356" w:rsidR="00AA35C8">
        <w:rPr>
          <w:rFonts w:ascii="Times New Roman" w:hAnsi="Times New Roman" w:cs="Times New Roman"/>
          <w:sz w:val="24"/>
          <w:szCs w:val="24"/>
        </w:rPr>
        <w:t>145 829,40 Sk;</w:t>
      </w:r>
    </w:p>
    <w:p w:rsidR="009A52FB" w:rsidP="00AA35C8">
      <w:pPr>
        <w:tabs>
          <w:tab w:val="left" w:pos="360"/>
        </w:tabs>
        <w:spacing w:line="240" w:lineRule="auto"/>
        <w:rPr>
          <w:rFonts w:ascii="Times New Roman" w:hAnsi="Times New Roman" w:cs="Times New Roman"/>
          <w:sz w:val="24"/>
          <w:szCs w:val="24"/>
        </w:rPr>
      </w:pPr>
    </w:p>
    <w:p w:rsidR="00A24FC1" w:rsidRPr="00226356" w:rsidP="00AA35C8">
      <w:pPr>
        <w:tabs>
          <w:tab w:val="left" w:pos="360"/>
        </w:tabs>
        <w:spacing w:line="240" w:lineRule="auto"/>
        <w:rPr>
          <w:rFonts w:ascii="Times New Roman" w:hAnsi="Times New Roman" w:cs="Times New Roman"/>
          <w:sz w:val="24"/>
          <w:szCs w:val="24"/>
        </w:rPr>
      </w:pPr>
      <w:r w:rsidRPr="00226356" w:rsidR="00AA35C8">
        <w:rPr>
          <w:rFonts w:ascii="Times New Roman" w:hAnsi="Times New Roman" w:cs="Times New Roman"/>
          <w:sz w:val="24"/>
          <w:szCs w:val="24"/>
        </w:rPr>
        <w:t xml:space="preserve">b) </w:t>
      </w:r>
      <w:r w:rsidRPr="00226356" w:rsidR="00AA35C8">
        <w:rPr>
          <w:rFonts w:ascii="Times New Roman" w:hAnsi="Times New Roman" w:cs="Times New Roman"/>
          <w:sz w:val="24"/>
          <w:szCs w:val="24"/>
          <w:u w:val="single"/>
        </w:rPr>
        <w:t xml:space="preserve">IA č. 15396 </w:t>
      </w:r>
      <w:r w:rsidRPr="00226356" w:rsidR="00AA35C8">
        <w:rPr>
          <w:rFonts w:ascii="Times New Roman" w:hAnsi="Times New Roman" w:cs="Times New Roman"/>
          <w:bCs/>
          <w:sz w:val="24"/>
          <w:szCs w:val="24"/>
        </w:rPr>
        <w:t>– „Odkanalizovanie kotercov v ÚZ ŽP Krupina“ vo výške 712</w:t>
      </w:r>
      <w:r w:rsidRPr="00226356" w:rsidR="00AA35C8">
        <w:rPr>
          <w:rFonts w:ascii="Times New Roman" w:hAnsi="Times New Roman" w:cs="Times New Roman"/>
          <w:sz w:val="24"/>
          <w:szCs w:val="24"/>
        </w:rPr>
        <w:t> 103,70 Sk, z toho na ná</w:t>
      </w:r>
      <w:r w:rsidRPr="00226356" w:rsidR="00226356">
        <w:rPr>
          <w:rFonts w:ascii="Times New Roman" w:hAnsi="Times New Roman" w:cs="Times New Roman"/>
          <w:sz w:val="24"/>
          <w:szCs w:val="24"/>
        </w:rPr>
        <w:t xml:space="preserve">klady stavebnej časti diela </w:t>
      </w:r>
      <w:r w:rsidRPr="00226356" w:rsidR="00AA35C8">
        <w:rPr>
          <w:rFonts w:ascii="Times New Roman" w:hAnsi="Times New Roman" w:cs="Times New Roman"/>
          <w:sz w:val="24"/>
          <w:szCs w:val="24"/>
        </w:rPr>
        <w:t>702 103,70 Sk a</w:t>
      </w:r>
      <w:r w:rsidRPr="00226356" w:rsidR="00226356">
        <w:rPr>
          <w:rFonts w:ascii="Times New Roman" w:hAnsi="Times New Roman" w:cs="Times New Roman"/>
          <w:sz w:val="24"/>
          <w:szCs w:val="24"/>
        </w:rPr>
        <w:t> </w:t>
      </w:r>
      <w:r w:rsidRPr="00226356" w:rsidR="00AA35C8">
        <w:rPr>
          <w:rFonts w:ascii="Times New Roman" w:hAnsi="Times New Roman" w:cs="Times New Roman"/>
          <w:sz w:val="24"/>
          <w:szCs w:val="24"/>
        </w:rPr>
        <w:t>pro</w:t>
      </w:r>
      <w:r w:rsidRPr="00226356" w:rsidR="00226356">
        <w:rPr>
          <w:rFonts w:ascii="Times New Roman" w:hAnsi="Times New Roman" w:cs="Times New Roman"/>
          <w:sz w:val="24"/>
          <w:szCs w:val="24"/>
        </w:rPr>
        <w:t xml:space="preserve">jekt. dokumentáciu </w:t>
      </w:r>
      <w:r w:rsidRPr="00226356" w:rsidR="00AA35C8">
        <w:rPr>
          <w:rFonts w:ascii="Times New Roman" w:hAnsi="Times New Roman" w:cs="Times New Roman"/>
          <w:sz w:val="24"/>
          <w:szCs w:val="24"/>
        </w:rPr>
        <w:t>10 000,- Sk;</w:t>
      </w:r>
    </w:p>
    <w:p w:rsidR="009A52FB" w:rsidP="00AA35C8">
      <w:pPr>
        <w:spacing w:line="240" w:lineRule="auto"/>
        <w:rPr>
          <w:rFonts w:ascii="Times New Roman" w:hAnsi="Times New Roman" w:cs="Times New Roman"/>
          <w:sz w:val="24"/>
          <w:szCs w:val="24"/>
        </w:rPr>
      </w:pPr>
    </w:p>
    <w:p w:rsidR="00A24FC1" w:rsidRPr="00226356" w:rsidP="00AA35C8">
      <w:pPr>
        <w:spacing w:line="240" w:lineRule="auto"/>
        <w:rPr>
          <w:rFonts w:ascii="Times New Roman" w:hAnsi="Times New Roman" w:cs="Times New Roman"/>
          <w:sz w:val="24"/>
          <w:szCs w:val="24"/>
        </w:rPr>
      </w:pPr>
      <w:r w:rsidRPr="00226356" w:rsidR="00AA35C8">
        <w:rPr>
          <w:rFonts w:ascii="Times New Roman" w:hAnsi="Times New Roman" w:cs="Times New Roman"/>
          <w:sz w:val="24"/>
          <w:szCs w:val="24"/>
        </w:rPr>
        <w:t xml:space="preserve">c) </w:t>
      </w:r>
      <w:r w:rsidRPr="00226356" w:rsidR="00AA35C8">
        <w:rPr>
          <w:rFonts w:ascii="Times New Roman" w:hAnsi="Times New Roman" w:cs="Times New Roman"/>
          <w:sz w:val="24"/>
          <w:szCs w:val="24"/>
          <w:u w:val="single"/>
        </w:rPr>
        <w:t xml:space="preserve">IA č. 17822 </w:t>
      </w:r>
      <w:r w:rsidRPr="00226356" w:rsidR="00AA35C8">
        <w:rPr>
          <w:rFonts w:ascii="Times New Roman" w:hAnsi="Times New Roman" w:cs="Times New Roman"/>
          <w:bCs/>
          <w:sz w:val="24"/>
          <w:szCs w:val="24"/>
        </w:rPr>
        <w:t xml:space="preserve">– </w:t>
      </w:r>
      <w:r>
        <w:rPr>
          <w:rFonts w:ascii="Times New Roman" w:hAnsi="Times New Roman" w:cs="Times New Roman"/>
          <w:bCs/>
          <w:sz w:val="24"/>
          <w:szCs w:val="24"/>
        </w:rPr>
        <w:t xml:space="preserve">„Rek. </w:t>
      </w:r>
      <w:r w:rsidRPr="00226356" w:rsidR="00AA35C8">
        <w:rPr>
          <w:rFonts w:ascii="Times New Roman" w:hAnsi="Times New Roman" w:cs="Times New Roman"/>
          <w:bCs/>
          <w:sz w:val="24"/>
          <w:szCs w:val="24"/>
        </w:rPr>
        <w:t>rozvodov UK a elektro v ÚZ ŽP Krupina“ vo výške 1 633 924,40</w:t>
      </w:r>
      <w:r w:rsidRPr="00226356" w:rsidR="00226356">
        <w:rPr>
          <w:rFonts w:ascii="Times New Roman" w:hAnsi="Times New Roman" w:cs="Times New Roman"/>
          <w:sz w:val="24"/>
          <w:szCs w:val="24"/>
        </w:rPr>
        <w:t xml:space="preserve"> Sk, </w:t>
      </w:r>
      <w:r w:rsidRPr="00226356" w:rsidR="00AA35C8">
        <w:rPr>
          <w:rFonts w:ascii="Times New Roman" w:hAnsi="Times New Roman" w:cs="Times New Roman"/>
          <w:sz w:val="24"/>
          <w:szCs w:val="24"/>
        </w:rPr>
        <w:t>z toho na n</w:t>
      </w:r>
      <w:r w:rsidRPr="00226356" w:rsidR="00AA35C8">
        <w:rPr>
          <w:rFonts w:ascii="Times New Roman" w:hAnsi="Times New Roman" w:cs="Times New Roman"/>
          <w:sz w:val="24"/>
          <w:szCs w:val="24"/>
        </w:rPr>
        <w:t>áklady staveb</w:t>
      </w:r>
      <w:r>
        <w:rPr>
          <w:rFonts w:ascii="Times New Roman" w:hAnsi="Times New Roman" w:cs="Times New Roman"/>
          <w:sz w:val="24"/>
          <w:szCs w:val="24"/>
        </w:rPr>
        <w:t xml:space="preserve">. </w:t>
      </w:r>
      <w:r w:rsidRPr="00226356" w:rsidR="00226356">
        <w:rPr>
          <w:rFonts w:ascii="Times New Roman" w:hAnsi="Times New Roman" w:cs="Times New Roman"/>
          <w:sz w:val="24"/>
          <w:szCs w:val="24"/>
        </w:rPr>
        <w:t xml:space="preserve">časti diela </w:t>
      </w:r>
      <w:r w:rsidRPr="00226356" w:rsidR="00AA35C8">
        <w:rPr>
          <w:rFonts w:ascii="Times New Roman" w:hAnsi="Times New Roman" w:cs="Times New Roman"/>
          <w:sz w:val="24"/>
          <w:szCs w:val="24"/>
        </w:rPr>
        <w:t xml:space="preserve">1 430 196,40 Sk </w:t>
      </w:r>
      <w:r>
        <w:rPr>
          <w:rFonts w:ascii="Times New Roman" w:hAnsi="Times New Roman" w:cs="Times New Roman"/>
          <w:sz w:val="24"/>
          <w:szCs w:val="24"/>
        </w:rPr>
        <w:t xml:space="preserve">a projekt. </w:t>
      </w:r>
      <w:r w:rsidRPr="00226356" w:rsidR="00226356">
        <w:rPr>
          <w:rFonts w:ascii="Times New Roman" w:hAnsi="Times New Roman" w:cs="Times New Roman"/>
          <w:sz w:val="24"/>
          <w:szCs w:val="24"/>
        </w:rPr>
        <w:t xml:space="preserve">dokumentáciu </w:t>
      </w:r>
      <w:r w:rsidRPr="00226356" w:rsidR="00AA35C8">
        <w:rPr>
          <w:rFonts w:ascii="Times New Roman" w:hAnsi="Times New Roman" w:cs="Times New Roman"/>
          <w:sz w:val="24"/>
          <w:szCs w:val="24"/>
        </w:rPr>
        <w:t>203 728,- Sk;</w:t>
      </w:r>
    </w:p>
    <w:p w:rsidR="009A52FB" w:rsidP="00AA35C8">
      <w:pPr>
        <w:spacing w:line="240" w:lineRule="auto"/>
        <w:rPr>
          <w:rFonts w:ascii="Times New Roman" w:hAnsi="Times New Roman" w:cs="Times New Roman"/>
          <w:sz w:val="24"/>
          <w:szCs w:val="24"/>
        </w:rPr>
      </w:pPr>
    </w:p>
    <w:p w:rsidR="00A24FC1" w:rsidRPr="00226356" w:rsidP="00AA35C8">
      <w:pPr>
        <w:spacing w:line="240" w:lineRule="auto"/>
        <w:rPr>
          <w:rFonts w:ascii="Times New Roman" w:hAnsi="Times New Roman" w:cs="Times New Roman"/>
          <w:sz w:val="24"/>
          <w:szCs w:val="24"/>
        </w:rPr>
      </w:pPr>
      <w:r w:rsidRPr="00226356" w:rsidR="00AA35C8">
        <w:rPr>
          <w:rFonts w:ascii="Times New Roman" w:hAnsi="Times New Roman" w:cs="Times New Roman"/>
          <w:sz w:val="24"/>
          <w:szCs w:val="24"/>
        </w:rPr>
        <w:t xml:space="preserve">d) </w:t>
      </w:r>
      <w:r w:rsidRPr="00226356" w:rsidR="00AA35C8">
        <w:rPr>
          <w:rFonts w:ascii="Times New Roman" w:hAnsi="Times New Roman" w:cs="Times New Roman"/>
          <w:sz w:val="24"/>
          <w:szCs w:val="24"/>
          <w:u w:val="single"/>
        </w:rPr>
        <w:t>IA č. 15402</w:t>
      </w:r>
      <w:r w:rsidRPr="00226356" w:rsidR="00AA35C8">
        <w:rPr>
          <w:rFonts w:ascii="Times New Roman" w:hAnsi="Times New Roman" w:cs="Times New Roman"/>
          <w:sz w:val="24"/>
          <w:szCs w:val="24"/>
        </w:rPr>
        <w:t xml:space="preserve"> – „Budova pre OŽP</w:t>
      </w:r>
      <w:r w:rsidRPr="00226356" w:rsidR="00AA35C8">
        <w:rPr>
          <w:rFonts w:ascii="Times New Roman" w:hAnsi="Times New Roman" w:cs="Times New Roman"/>
          <w:bCs/>
          <w:sz w:val="24"/>
          <w:szCs w:val="24"/>
        </w:rPr>
        <w:t xml:space="preserve"> Čierna nad Tisou</w:t>
      </w:r>
      <w:r w:rsidRPr="00226356" w:rsidR="00AA35C8">
        <w:rPr>
          <w:rFonts w:ascii="Times New Roman" w:hAnsi="Times New Roman" w:cs="Times New Roman"/>
          <w:sz w:val="24"/>
          <w:szCs w:val="24"/>
        </w:rPr>
        <w:t xml:space="preserve">“ – </w:t>
      </w:r>
      <w:r w:rsidRPr="00226356" w:rsidR="00AA35C8">
        <w:rPr>
          <w:rFonts w:ascii="Times New Roman" w:hAnsi="Times New Roman" w:cs="Times New Roman"/>
          <w:bCs/>
          <w:sz w:val="24"/>
          <w:szCs w:val="24"/>
        </w:rPr>
        <w:t>vo výške 923 000,-</w:t>
      </w:r>
      <w:r w:rsidRPr="00226356" w:rsidR="00AA35C8">
        <w:rPr>
          <w:rFonts w:ascii="Times New Roman" w:hAnsi="Times New Roman" w:cs="Times New Roman"/>
          <w:sz w:val="24"/>
          <w:szCs w:val="24"/>
        </w:rPr>
        <w:t xml:space="preserve"> Sk</w:t>
      </w:r>
      <w:r w:rsidRPr="00226356" w:rsidR="00226356">
        <w:rPr>
          <w:rFonts w:ascii="Times New Roman" w:hAnsi="Times New Roman" w:cs="Times New Roman"/>
          <w:sz w:val="24"/>
          <w:szCs w:val="24"/>
        </w:rPr>
        <w:t xml:space="preserve">, </w:t>
      </w:r>
      <w:r w:rsidRPr="00226356" w:rsidR="00AA35C8">
        <w:rPr>
          <w:rFonts w:ascii="Times New Roman" w:hAnsi="Times New Roman" w:cs="Times New Roman"/>
          <w:sz w:val="24"/>
          <w:szCs w:val="24"/>
        </w:rPr>
        <w:t>z toho na</w:t>
      </w:r>
      <w:r w:rsidRPr="00226356" w:rsidR="00226356">
        <w:rPr>
          <w:rFonts w:ascii="Times New Roman" w:hAnsi="Times New Roman" w:cs="Times New Roman"/>
          <w:sz w:val="24"/>
          <w:szCs w:val="24"/>
        </w:rPr>
        <w:t xml:space="preserve"> nákup pozemku </w:t>
      </w:r>
      <w:r w:rsidRPr="00226356" w:rsidR="00AA35C8">
        <w:rPr>
          <w:rFonts w:ascii="Times New Roman" w:hAnsi="Times New Roman" w:cs="Times New Roman"/>
          <w:sz w:val="24"/>
          <w:szCs w:val="24"/>
        </w:rPr>
        <w:t>131 400,- Sk a ná</w:t>
      </w:r>
      <w:r w:rsidRPr="00226356" w:rsidR="00226356">
        <w:rPr>
          <w:rFonts w:ascii="Times New Roman" w:hAnsi="Times New Roman" w:cs="Times New Roman"/>
          <w:sz w:val="24"/>
          <w:szCs w:val="24"/>
        </w:rPr>
        <w:t xml:space="preserve">kup nehnuteľnosti </w:t>
      </w:r>
      <w:r w:rsidRPr="00226356" w:rsidR="00AA35C8">
        <w:rPr>
          <w:rFonts w:ascii="Times New Roman" w:hAnsi="Times New Roman" w:cs="Times New Roman"/>
          <w:sz w:val="24"/>
          <w:szCs w:val="24"/>
        </w:rPr>
        <w:t>791 600,- Sk;</w:t>
      </w:r>
    </w:p>
    <w:p w:rsidR="009A52FB" w:rsidP="00AA35C8">
      <w:pPr>
        <w:spacing w:line="240" w:lineRule="auto"/>
        <w:rPr>
          <w:rFonts w:ascii="Times New Roman" w:hAnsi="Times New Roman" w:cs="Times New Roman"/>
          <w:sz w:val="24"/>
          <w:szCs w:val="24"/>
        </w:rPr>
      </w:pPr>
    </w:p>
    <w:p w:rsidR="00A24FC1" w:rsidRPr="00226356" w:rsidP="00AA35C8">
      <w:pPr>
        <w:spacing w:line="240" w:lineRule="auto"/>
        <w:rPr>
          <w:rFonts w:ascii="Times New Roman" w:hAnsi="Times New Roman" w:cs="Times New Roman"/>
          <w:sz w:val="24"/>
          <w:szCs w:val="24"/>
        </w:rPr>
      </w:pPr>
      <w:r w:rsidRPr="00226356" w:rsidR="00AA35C8">
        <w:rPr>
          <w:rFonts w:ascii="Times New Roman" w:hAnsi="Times New Roman" w:cs="Times New Roman"/>
          <w:sz w:val="24"/>
          <w:szCs w:val="24"/>
        </w:rPr>
        <w:t xml:space="preserve">e) </w:t>
      </w:r>
      <w:r w:rsidRPr="00226356" w:rsidR="00AA35C8">
        <w:rPr>
          <w:rFonts w:ascii="Times New Roman" w:hAnsi="Times New Roman" w:cs="Times New Roman"/>
          <w:sz w:val="24"/>
          <w:szCs w:val="24"/>
          <w:u w:val="single"/>
        </w:rPr>
        <w:t>IA č. 16044</w:t>
      </w:r>
      <w:r w:rsidRPr="00226356" w:rsidR="00AA35C8">
        <w:rPr>
          <w:rFonts w:ascii="Times New Roman" w:hAnsi="Times New Roman" w:cs="Times New Roman"/>
          <w:sz w:val="24"/>
          <w:szCs w:val="24"/>
        </w:rPr>
        <w:t xml:space="preserve"> – „</w:t>
      </w:r>
      <w:r w:rsidRPr="00226356" w:rsidR="00AA35C8">
        <w:rPr>
          <w:rFonts w:ascii="Times New Roman" w:hAnsi="Times New Roman" w:cs="Times New Roman"/>
          <w:bCs/>
          <w:sz w:val="24"/>
          <w:szCs w:val="24"/>
        </w:rPr>
        <w:t>Rekonštrukcia objektu OŽP Čierna nad Tisou</w:t>
      </w:r>
      <w:r w:rsidRPr="00226356" w:rsidR="00AA35C8">
        <w:rPr>
          <w:rFonts w:ascii="Times New Roman" w:hAnsi="Times New Roman" w:cs="Times New Roman"/>
          <w:sz w:val="24"/>
          <w:szCs w:val="24"/>
        </w:rPr>
        <w:t xml:space="preserve">“ – </w:t>
      </w:r>
      <w:r w:rsidRPr="00226356" w:rsidR="00AA35C8">
        <w:rPr>
          <w:rFonts w:ascii="Times New Roman" w:hAnsi="Times New Roman" w:cs="Times New Roman"/>
          <w:bCs/>
          <w:sz w:val="24"/>
          <w:szCs w:val="24"/>
        </w:rPr>
        <w:t>vo výške 1 026 970,-</w:t>
      </w:r>
      <w:r w:rsidRPr="00226356" w:rsidR="00AA35C8">
        <w:rPr>
          <w:rFonts w:ascii="Times New Roman" w:hAnsi="Times New Roman" w:cs="Times New Roman"/>
          <w:sz w:val="24"/>
          <w:szCs w:val="24"/>
        </w:rPr>
        <w:t xml:space="preserve"> Sk, ktoré boli použité na </w:t>
      </w:r>
      <w:r w:rsidRPr="00226356" w:rsidR="00226356">
        <w:rPr>
          <w:rFonts w:ascii="Times New Roman" w:hAnsi="Times New Roman" w:cs="Times New Roman"/>
          <w:sz w:val="24"/>
          <w:szCs w:val="24"/>
        </w:rPr>
        <w:t>projektovú dokumentáciu</w:t>
      </w:r>
      <w:r w:rsidRPr="00226356" w:rsidR="00AA35C8">
        <w:rPr>
          <w:rFonts w:ascii="Times New Roman" w:hAnsi="Times New Roman" w:cs="Times New Roman"/>
          <w:sz w:val="24"/>
          <w:szCs w:val="24"/>
        </w:rPr>
        <w:t xml:space="preserve">; </w:t>
      </w:r>
    </w:p>
    <w:p w:rsidR="009A52FB" w:rsidP="00AA35C8">
      <w:pPr>
        <w:spacing w:line="240" w:lineRule="auto"/>
        <w:rPr>
          <w:rFonts w:ascii="Times New Roman" w:hAnsi="Times New Roman" w:cs="Times New Roman"/>
          <w:sz w:val="24"/>
          <w:szCs w:val="24"/>
        </w:rPr>
      </w:pPr>
    </w:p>
    <w:p w:rsidR="00A24FC1" w:rsidRPr="00226356" w:rsidP="00AA35C8">
      <w:pPr>
        <w:spacing w:line="240" w:lineRule="auto"/>
        <w:rPr>
          <w:rFonts w:ascii="Times New Roman" w:hAnsi="Times New Roman" w:cs="Times New Roman"/>
          <w:sz w:val="24"/>
          <w:szCs w:val="24"/>
        </w:rPr>
      </w:pPr>
      <w:r w:rsidRPr="00226356" w:rsidR="00AA35C8">
        <w:rPr>
          <w:rFonts w:ascii="Times New Roman" w:hAnsi="Times New Roman" w:cs="Times New Roman"/>
          <w:sz w:val="24"/>
          <w:szCs w:val="24"/>
        </w:rPr>
        <w:t xml:space="preserve">f) </w:t>
      </w:r>
      <w:r w:rsidRPr="00226356" w:rsidR="00AA35C8">
        <w:rPr>
          <w:rFonts w:ascii="Times New Roman" w:hAnsi="Times New Roman" w:cs="Times New Roman"/>
          <w:sz w:val="24"/>
          <w:szCs w:val="24"/>
          <w:u w:val="single"/>
        </w:rPr>
        <w:t>IA č. 16040</w:t>
      </w:r>
      <w:r w:rsidRPr="00226356" w:rsidR="00AA35C8">
        <w:rPr>
          <w:rFonts w:ascii="Times New Roman" w:hAnsi="Times New Roman" w:cs="Times New Roman"/>
          <w:sz w:val="24"/>
          <w:szCs w:val="24"/>
        </w:rPr>
        <w:t xml:space="preserve"> – „</w:t>
      </w:r>
      <w:r w:rsidRPr="00226356" w:rsidR="00AA35C8">
        <w:rPr>
          <w:rFonts w:ascii="Times New Roman" w:hAnsi="Times New Roman" w:cs="Times New Roman"/>
          <w:bCs/>
          <w:sz w:val="24"/>
          <w:szCs w:val="24"/>
        </w:rPr>
        <w:t>Administratívna budova ObS ŽP Zvolen</w:t>
      </w:r>
      <w:r w:rsidRPr="00226356" w:rsidR="00AA35C8">
        <w:rPr>
          <w:rFonts w:ascii="Times New Roman" w:hAnsi="Times New Roman" w:cs="Times New Roman"/>
          <w:sz w:val="24"/>
          <w:szCs w:val="24"/>
        </w:rPr>
        <w:t xml:space="preserve">“ – </w:t>
      </w:r>
      <w:r w:rsidRPr="00226356" w:rsidR="00AA35C8">
        <w:rPr>
          <w:rFonts w:ascii="Times New Roman" w:hAnsi="Times New Roman" w:cs="Times New Roman"/>
          <w:bCs/>
          <w:sz w:val="24"/>
          <w:szCs w:val="24"/>
        </w:rPr>
        <w:t>vo výške 353 465,70</w:t>
      </w:r>
      <w:r w:rsidRPr="00226356" w:rsidR="00AA35C8">
        <w:rPr>
          <w:rFonts w:ascii="Times New Roman" w:hAnsi="Times New Roman" w:cs="Times New Roman"/>
          <w:sz w:val="24"/>
          <w:szCs w:val="24"/>
        </w:rPr>
        <w:t xml:space="preserve"> Sk, ktoré boli použité na </w:t>
      </w:r>
      <w:r w:rsidRPr="00226356" w:rsidR="00226356">
        <w:rPr>
          <w:rFonts w:ascii="Times New Roman" w:hAnsi="Times New Roman" w:cs="Times New Roman"/>
          <w:sz w:val="24"/>
          <w:szCs w:val="24"/>
        </w:rPr>
        <w:t>projektovú dokumentáciu</w:t>
      </w:r>
      <w:r w:rsidRPr="00226356" w:rsidR="00AA35C8">
        <w:rPr>
          <w:rFonts w:ascii="Times New Roman" w:hAnsi="Times New Roman" w:cs="Times New Roman"/>
          <w:sz w:val="24"/>
          <w:szCs w:val="24"/>
        </w:rPr>
        <w:t xml:space="preserve">; </w:t>
      </w:r>
    </w:p>
    <w:p w:rsidR="009A52FB" w:rsidP="00AA35C8">
      <w:pPr>
        <w:spacing w:line="240" w:lineRule="auto"/>
        <w:rPr>
          <w:rFonts w:ascii="Times New Roman" w:hAnsi="Times New Roman" w:cs="Times New Roman"/>
          <w:sz w:val="24"/>
          <w:szCs w:val="24"/>
        </w:rPr>
      </w:pPr>
    </w:p>
    <w:p w:rsidR="00A24FC1" w:rsidRPr="00226356" w:rsidP="00AA35C8">
      <w:pPr>
        <w:spacing w:line="240" w:lineRule="auto"/>
        <w:rPr>
          <w:rFonts w:ascii="Times New Roman" w:hAnsi="Times New Roman" w:cs="Times New Roman"/>
          <w:sz w:val="24"/>
          <w:szCs w:val="24"/>
        </w:rPr>
      </w:pPr>
      <w:r w:rsidRPr="00226356" w:rsidR="00AA35C8">
        <w:rPr>
          <w:rFonts w:ascii="Times New Roman" w:hAnsi="Times New Roman" w:cs="Times New Roman"/>
          <w:sz w:val="24"/>
          <w:szCs w:val="24"/>
        </w:rPr>
        <w:t xml:space="preserve">g) </w:t>
      </w:r>
      <w:r w:rsidRPr="00226356" w:rsidR="00AA35C8">
        <w:rPr>
          <w:rFonts w:ascii="Times New Roman" w:hAnsi="Times New Roman" w:cs="Times New Roman"/>
          <w:sz w:val="24"/>
          <w:szCs w:val="24"/>
          <w:u w:val="single"/>
        </w:rPr>
        <w:t>IA č. 17</w:t>
      </w:r>
      <w:r w:rsidRPr="00226356" w:rsidR="00AA35C8">
        <w:rPr>
          <w:rFonts w:ascii="Times New Roman" w:hAnsi="Times New Roman" w:cs="Times New Roman"/>
          <w:sz w:val="24"/>
          <w:szCs w:val="24"/>
          <w:u w:val="single"/>
        </w:rPr>
        <w:t xml:space="preserve">821 </w:t>
      </w:r>
      <w:r w:rsidRPr="00226356" w:rsidR="00AA35C8">
        <w:rPr>
          <w:rFonts w:ascii="Times New Roman" w:hAnsi="Times New Roman" w:cs="Times New Roman"/>
          <w:bCs/>
          <w:sz w:val="24"/>
          <w:szCs w:val="24"/>
        </w:rPr>
        <w:t>– „Klimatizácia priestorov v AB GR ŽP“ v celkovej výške 462 481,60</w:t>
      </w:r>
      <w:r w:rsidRPr="00226356" w:rsidR="00AA35C8">
        <w:rPr>
          <w:rFonts w:ascii="Times New Roman" w:hAnsi="Times New Roman" w:cs="Times New Roman"/>
          <w:sz w:val="24"/>
          <w:szCs w:val="24"/>
        </w:rPr>
        <w:t xml:space="preserve"> Sk, z toho 27  965,- Sk za p</w:t>
      </w:r>
      <w:r w:rsidRPr="00226356" w:rsidR="00226356">
        <w:rPr>
          <w:rFonts w:ascii="Times New Roman" w:hAnsi="Times New Roman" w:cs="Times New Roman"/>
          <w:sz w:val="24"/>
          <w:szCs w:val="24"/>
        </w:rPr>
        <w:t xml:space="preserve">rojek. dokumentáciu </w:t>
      </w:r>
      <w:r w:rsidRPr="00226356" w:rsidR="00AA35C8">
        <w:rPr>
          <w:rFonts w:ascii="Times New Roman" w:hAnsi="Times New Roman" w:cs="Times New Roman"/>
          <w:sz w:val="24"/>
          <w:szCs w:val="24"/>
        </w:rPr>
        <w:t>a 434 516,60 Sk na náklady sta</w:t>
      </w:r>
      <w:r w:rsidRPr="00226356" w:rsidR="00226356">
        <w:rPr>
          <w:rFonts w:ascii="Times New Roman" w:hAnsi="Times New Roman" w:cs="Times New Roman"/>
          <w:sz w:val="24"/>
          <w:szCs w:val="24"/>
        </w:rPr>
        <w:t>vebnej časti diela</w:t>
      </w:r>
      <w:r w:rsidRPr="00226356" w:rsidR="00AA35C8">
        <w:rPr>
          <w:rFonts w:ascii="Times New Roman" w:hAnsi="Times New Roman" w:cs="Times New Roman"/>
          <w:sz w:val="24"/>
          <w:szCs w:val="24"/>
        </w:rPr>
        <w:t>;</w:t>
      </w:r>
    </w:p>
    <w:p w:rsidR="009A52FB" w:rsidP="00AA35C8">
      <w:pPr>
        <w:spacing w:line="240" w:lineRule="auto"/>
        <w:rPr>
          <w:rFonts w:ascii="Times New Roman" w:hAnsi="Times New Roman" w:cs="Times New Roman"/>
          <w:sz w:val="24"/>
          <w:szCs w:val="24"/>
        </w:rPr>
      </w:pPr>
    </w:p>
    <w:p w:rsidR="00A24FC1" w:rsidRPr="00226356" w:rsidP="00AA35C8">
      <w:pPr>
        <w:spacing w:line="240" w:lineRule="auto"/>
        <w:rPr>
          <w:rFonts w:ascii="Times New Roman" w:hAnsi="Times New Roman" w:cs="Times New Roman"/>
          <w:sz w:val="24"/>
          <w:szCs w:val="24"/>
        </w:rPr>
      </w:pPr>
      <w:r w:rsidRPr="00226356" w:rsidR="00AA35C8">
        <w:rPr>
          <w:rFonts w:ascii="Times New Roman" w:hAnsi="Times New Roman" w:cs="Times New Roman"/>
          <w:sz w:val="24"/>
          <w:szCs w:val="24"/>
        </w:rPr>
        <w:t xml:space="preserve">h) </w:t>
      </w:r>
      <w:r w:rsidRPr="00226356" w:rsidR="00AA35C8">
        <w:rPr>
          <w:rFonts w:ascii="Times New Roman" w:hAnsi="Times New Roman" w:cs="Times New Roman"/>
          <w:sz w:val="24"/>
          <w:szCs w:val="24"/>
          <w:u w:val="single"/>
        </w:rPr>
        <w:t>IA č. 19872</w:t>
      </w:r>
      <w:r w:rsidRPr="00226356" w:rsidR="00AA35C8">
        <w:rPr>
          <w:rFonts w:ascii="Times New Roman" w:hAnsi="Times New Roman" w:cs="Times New Roman"/>
          <w:sz w:val="24"/>
          <w:szCs w:val="24"/>
        </w:rPr>
        <w:t xml:space="preserve"> – „</w:t>
      </w:r>
      <w:r w:rsidRPr="00226356" w:rsidR="00AA35C8">
        <w:rPr>
          <w:rFonts w:ascii="Times New Roman" w:hAnsi="Times New Roman" w:cs="Times New Roman"/>
          <w:bCs/>
          <w:sz w:val="24"/>
          <w:szCs w:val="24"/>
        </w:rPr>
        <w:t>Prípojka vody a kanalizácie k objektu OdŽP Levice</w:t>
      </w:r>
      <w:r w:rsidRPr="00226356" w:rsidR="00AA35C8">
        <w:rPr>
          <w:rFonts w:ascii="Times New Roman" w:hAnsi="Times New Roman" w:cs="Times New Roman"/>
          <w:sz w:val="24"/>
          <w:szCs w:val="24"/>
        </w:rPr>
        <w:t xml:space="preserve">“ – vo výške 21 420,- Sk, ktoré boli použité  na </w:t>
      </w:r>
      <w:r w:rsidRPr="00226356" w:rsidR="00226356">
        <w:rPr>
          <w:rFonts w:ascii="Times New Roman" w:hAnsi="Times New Roman" w:cs="Times New Roman"/>
          <w:sz w:val="24"/>
          <w:szCs w:val="24"/>
        </w:rPr>
        <w:t>projektovú dokumentáciu</w:t>
      </w:r>
      <w:r w:rsidRPr="00226356" w:rsidR="00AA35C8">
        <w:rPr>
          <w:rFonts w:ascii="Times New Roman" w:hAnsi="Times New Roman" w:cs="Times New Roman"/>
          <w:sz w:val="24"/>
          <w:szCs w:val="24"/>
        </w:rPr>
        <w:t>;</w:t>
      </w:r>
    </w:p>
    <w:p w:rsidR="009A52FB" w:rsidP="00AA35C8">
      <w:pPr>
        <w:spacing w:line="240" w:lineRule="auto"/>
        <w:rPr>
          <w:rFonts w:ascii="Times New Roman" w:hAnsi="Times New Roman" w:cs="Times New Roman"/>
          <w:sz w:val="24"/>
          <w:szCs w:val="24"/>
        </w:rPr>
      </w:pPr>
    </w:p>
    <w:p w:rsidR="00A24FC1" w:rsidRPr="00226356" w:rsidP="00AA35C8">
      <w:pPr>
        <w:spacing w:line="240" w:lineRule="auto"/>
        <w:rPr>
          <w:rFonts w:ascii="Times New Roman" w:hAnsi="Times New Roman" w:cs="Times New Roman"/>
          <w:sz w:val="24"/>
          <w:szCs w:val="24"/>
        </w:rPr>
      </w:pPr>
      <w:r w:rsidRPr="00226356" w:rsidR="00AA35C8">
        <w:rPr>
          <w:rFonts w:ascii="Times New Roman" w:hAnsi="Times New Roman" w:cs="Times New Roman"/>
          <w:sz w:val="24"/>
          <w:szCs w:val="24"/>
        </w:rPr>
        <w:t xml:space="preserve">i) </w:t>
      </w:r>
      <w:r w:rsidRPr="00226356" w:rsidR="00AA35C8">
        <w:rPr>
          <w:rFonts w:ascii="Times New Roman" w:hAnsi="Times New Roman" w:cs="Times New Roman"/>
          <w:sz w:val="24"/>
          <w:szCs w:val="24"/>
          <w:u w:val="single"/>
        </w:rPr>
        <w:t>IA č. 19873</w:t>
      </w:r>
      <w:r w:rsidRPr="00226356" w:rsidR="00AA35C8">
        <w:rPr>
          <w:rFonts w:ascii="Times New Roman" w:hAnsi="Times New Roman" w:cs="Times New Roman"/>
          <w:sz w:val="24"/>
          <w:szCs w:val="24"/>
        </w:rPr>
        <w:t xml:space="preserve"> – „</w:t>
      </w:r>
      <w:r w:rsidRPr="00226356" w:rsidR="00AA35C8">
        <w:rPr>
          <w:rFonts w:ascii="Times New Roman" w:hAnsi="Times New Roman" w:cs="Times New Roman"/>
          <w:bCs/>
          <w:sz w:val="24"/>
          <w:szCs w:val="24"/>
        </w:rPr>
        <w:t>Oplotenie a úprava fasády OdŽP Leopoldov</w:t>
      </w:r>
      <w:r w:rsidRPr="00226356" w:rsidR="00AA35C8">
        <w:rPr>
          <w:rFonts w:ascii="Times New Roman" w:hAnsi="Times New Roman" w:cs="Times New Roman"/>
          <w:sz w:val="24"/>
          <w:szCs w:val="24"/>
        </w:rPr>
        <w:t>“ – vo výške 282 904,50 Sk, ktoré boli použité  na náklady sta</w:t>
      </w:r>
      <w:r w:rsidRPr="00226356" w:rsidR="00226356">
        <w:rPr>
          <w:rFonts w:ascii="Times New Roman" w:hAnsi="Times New Roman" w:cs="Times New Roman"/>
          <w:sz w:val="24"/>
          <w:szCs w:val="24"/>
        </w:rPr>
        <w:t>vebnej časti diela</w:t>
      </w:r>
      <w:r w:rsidRPr="00226356" w:rsidR="00AA35C8">
        <w:rPr>
          <w:rFonts w:ascii="Times New Roman" w:hAnsi="Times New Roman" w:cs="Times New Roman"/>
          <w:sz w:val="24"/>
          <w:szCs w:val="24"/>
        </w:rPr>
        <w:t>;</w:t>
      </w:r>
    </w:p>
    <w:p w:rsidR="009A52FB" w:rsidP="00AA35C8">
      <w:pPr>
        <w:spacing w:line="240" w:lineRule="auto"/>
        <w:rPr>
          <w:rFonts w:ascii="Times New Roman" w:hAnsi="Times New Roman" w:cs="Times New Roman"/>
          <w:sz w:val="24"/>
          <w:szCs w:val="24"/>
        </w:rPr>
      </w:pPr>
    </w:p>
    <w:p w:rsidR="00A24FC1" w:rsidRPr="00226356" w:rsidP="00AA35C8">
      <w:pPr>
        <w:spacing w:line="240" w:lineRule="auto"/>
        <w:rPr>
          <w:rFonts w:ascii="Times New Roman" w:hAnsi="Times New Roman" w:cs="Times New Roman"/>
          <w:sz w:val="24"/>
          <w:szCs w:val="24"/>
        </w:rPr>
      </w:pPr>
      <w:r w:rsidRPr="00226356" w:rsidR="00AA35C8">
        <w:rPr>
          <w:rFonts w:ascii="Times New Roman" w:hAnsi="Times New Roman" w:cs="Times New Roman"/>
          <w:sz w:val="24"/>
          <w:szCs w:val="24"/>
        </w:rPr>
        <w:t xml:space="preserve">j) </w:t>
      </w:r>
      <w:r w:rsidRPr="00226356" w:rsidR="00AA35C8">
        <w:rPr>
          <w:rFonts w:ascii="Times New Roman" w:hAnsi="Times New Roman" w:cs="Times New Roman"/>
          <w:sz w:val="24"/>
          <w:szCs w:val="24"/>
          <w:u w:val="single"/>
        </w:rPr>
        <w:t>IA č. 10410</w:t>
      </w:r>
      <w:r w:rsidRPr="00226356" w:rsidR="00AA35C8">
        <w:rPr>
          <w:rFonts w:ascii="Times New Roman" w:hAnsi="Times New Roman" w:cs="Times New Roman"/>
          <w:sz w:val="24"/>
          <w:szCs w:val="24"/>
        </w:rPr>
        <w:t xml:space="preserve"> – „</w:t>
      </w:r>
      <w:r w:rsidRPr="00226356" w:rsidR="00AA35C8">
        <w:rPr>
          <w:rFonts w:ascii="Times New Roman" w:hAnsi="Times New Roman" w:cs="Times New Roman"/>
          <w:bCs/>
          <w:sz w:val="24"/>
          <w:szCs w:val="24"/>
        </w:rPr>
        <w:t>Špeciálne stroje, prístroje a zariadenia</w:t>
      </w:r>
      <w:r w:rsidRPr="00226356" w:rsidR="00AA35C8">
        <w:rPr>
          <w:rFonts w:ascii="Times New Roman" w:hAnsi="Times New Roman" w:cs="Times New Roman"/>
          <w:sz w:val="24"/>
          <w:szCs w:val="24"/>
        </w:rPr>
        <w:t>“</w:t>
      </w:r>
      <w:r w:rsidRPr="00226356" w:rsidR="00AA35C8">
        <w:rPr>
          <w:rFonts w:ascii="Times New Roman" w:hAnsi="Times New Roman" w:cs="Times New Roman"/>
          <w:sz w:val="24"/>
          <w:szCs w:val="24"/>
        </w:rPr>
        <w:t xml:space="preserve"> – vo výške 781 695,50 Sk na rekonštrukciu kamer</w:t>
      </w:r>
      <w:r w:rsidRPr="00226356" w:rsidR="00226356">
        <w:rPr>
          <w:rFonts w:ascii="Times New Roman" w:hAnsi="Times New Roman" w:cs="Times New Roman"/>
          <w:sz w:val="24"/>
          <w:szCs w:val="24"/>
        </w:rPr>
        <w:t>ového systému GR ŽP</w:t>
      </w:r>
      <w:r w:rsidRPr="00226356" w:rsidR="00AA35C8">
        <w:rPr>
          <w:rFonts w:ascii="Times New Roman" w:hAnsi="Times New Roman" w:cs="Times New Roman"/>
          <w:sz w:val="24"/>
          <w:szCs w:val="24"/>
        </w:rPr>
        <w:t>;</w:t>
      </w:r>
    </w:p>
    <w:p w:rsidR="009A52FB" w:rsidP="00AA35C8">
      <w:pPr>
        <w:tabs>
          <w:tab w:val="left" w:pos="360"/>
        </w:tabs>
        <w:spacing w:line="240" w:lineRule="auto"/>
        <w:rPr>
          <w:rFonts w:ascii="Times New Roman" w:hAnsi="Times New Roman" w:cs="Times New Roman"/>
          <w:sz w:val="24"/>
          <w:szCs w:val="24"/>
        </w:rPr>
      </w:pPr>
    </w:p>
    <w:p w:rsidR="00A24FC1" w:rsidRPr="00226356" w:rsidP="00AA35C8">
      <w:pPr>
        <w:tabs>
          <w:tab w:val="left" w:pos="360"/>
        </w:tabs>
        <w:spacing w:line="240" w:lineRule="auto"/>
        <w:rPr>
          <w:rFonts w:ascii="Times New Roman" w:hAnsi="Times New Roman" w:cs="Times New Roman"/>
          <w:sz w:val="24"/>
          <w:szCs w:val="24"/>
        </w:rPr>
      </w:pPr>
      <w:r w:rsidRPr="00226356" w:rsidR="00AA35C8">
        <w:rPr>
          <w:rFonts w:ascii="Times New Roman" w:hAnsi="Times New Roman" w:cs="Times New Roman"/>
          <w:sz w:val="24"/>
          <w:szCs w:val="24"/>
        </w:rPr>
        <w:t xml:space="preserve">k) </w:t>
      </w:r>
      <w:r w:rsidRPr="00226356" w:rsidR="00AA35C8">
        <w:rPr>
          <w:rFonts w:ascii="Times New Roman" w:hAnsi="Times New Roman" w:cs="Times New Roman"/>
          <w:sz w:val="24"/>
          <w:szCs w:val="24"/>
          <w:u w:val="single"/>
        </w:rPr>
        <w:t>IA č. 14771</w:t>
      </w:r>
      <w:r w:rsidRPr="00226356" w:rsidR="00AA35C8">
        <w:rPr>
          <w:rFonts w:ascii="Times New Roman" w:hAnsi="Times New Roman" w:cs="Times New Roman"/>
          <w:sz w:val="24"/>
          <w:szCs w:val="24"/>
        </w:rPr>
        <w:t xml:space="preserve"> –  „Nákup nehmotných aktív“ </w:t>
      </w:r>
      <w:r w:rsidRPr="00226356" w:rsidR="00226356">
        <w:rPr>
          <w:rFonts w:ascii="Times New Roman" w:hAnsi="Times New Roman" w:cs="Times New Roman"/>
          <w:sz w:val="24"/>
          <w:szCs w:val="24"/>
        </w:rPr>
        <w:t xml:space="preserve">– </w:t>
      </w:r>
      <w:r w:rsidRPr="00226356" w:rsidR="00AA35C8">
        <w:rPr>
          <w:rFonts w:ascii="Times New Roman" w:hAnsi="Times New Roman" w:cs="Times New Roman"/>
          <w:sz w:val="24"/>
          <w:szCs w:val="24"/>
        </w:rPr>
        <w:t>bolo realizované technické zhodnotenie programu NAFIN vo výške 56 930,- Sk;</w:t>
      </w:r>
    </w:p>
    <w:p w:rsidR="009A52FB" w:rsidP="00AA35C8">
      <w:pPr>
        <w:tabs>
          <w:tab w:val="left" w:pos="360"/>
        </w:tabs>
        <w:spacing w:line="240" w:lineRule="auto"/>
        <w:rPr>
          <w:rFonts w:ascii="Times New Roman" w:hAnsi="Times New Roman" w:cs="Times New Roman"/>
          <w:sz w:val="24"/>
          <w:szCs w:val="24"/>
        </w:rPr>
      </w:pPr>
    </w:p>
    <w:p w:rsidR="00A24FC1" w:rsidRPr="00226356" w:rsidP="00AA35C8">
      <w:pPr>
        <w:tabs>
          <w:tab w:val="left" w:pos="360"/>
        </w:tabs>
        <w:spacing w:line="240" w:lineRule="auto"/>
        <w:rPr>
          <w:rFonts w:ascii="Times New Roman" w:hAnsi="Times New Roman" w:cs="Times New Roman"/>
          <w:sz w:val="24"/>
          <w:szCs w:val="24"/>
        </w:rPr>
      </w:pPr>
      <w:r w:rsidRPr="00226356" w:rsidR="00AA35C8">
        <w:rPr>
          <w:rFonts w:ascii="Times New Roman" w:hAnsi="Times New Roman" w:cs="Times New Roman"/>
          <w:sz w:val="24"/>
          <w:szCs w:val="24"/>
        </w:rPr>
        <w:t xml:space="preserve">l) </w:t>
      </w:r>
      <w:r w:rsidRPr="00226356" w:rsidR="00AA35C8">
        <w:rPr>
          <w:rFonts w:ascii="Times New Roman" w:hAnsi="Times New Roman" w:cs="Times New Roman"/>
          <w:sz w:val="24"/>
          <w:szCs w:val="24"/>
          <w:u w:val="single"/>
        </w:rPr>
        <w:t xml:space="preserve">IA č. 14783 </w:t>
      </w:r>
      <w:r w:rsidRPr="00226356" w:rsidR="00AA35C8">
        <w:rPr>
          <w:rFonts w:ascii="Times New Roman" w:hAnsi="Times New Roman" w:cs="Times New Roman"/>
          <w:bCs/>
          <w:sz w:val="24"/>
          <w:szCs w:val="24"/>
        </w:rPr>
        <w:t>– „Nákup strojov, prístrojov, zariadení, techniky</w:t>
      </w:r>
      <w:r w:rsidRPr="00226356" w:rsidR="00AA35C8">
        <w:rPr>
          <w:rFonts w:ascii="Times New Roman" w:hAnsi="Times New Roman" w:cs="Times New Roman"/>
          <w:bCs/>
          <w:sz w:val="24"/>
          <w:szCs w:val="24"/>
        </w:rPr>
        <w:t xml:space="preserve"> a náradia“ v celkovej výške 936 875,10 Sk, z toho bolo </w:t>
      </w:r>
      <w:r w:rsidRPr="00226356" w:rsidR="00AA35C8">
        <w:rPr>
          <w:rFonts w:ascii="Times New Roman" w:hAnsi="Times New Roman" w:cs="Times New Roman"/>
          <w:sz w:val="24"/>
          <w:szCs w:val="24"/>
        </w:rPr>
        <w:t>123 510,10 Sk použitých na nák</w:t>
      </w:r>
      <w:r w:rsidRPr="00226356" w:rsidR="00226356">
        <w:rPr>
          <w:rFonts w:ascii="Times New Roman" w:hAnsi="Times New Roman" w:cs="Times New Roman"/>
          <w:sz w:val="24"/>
          <w:szCs w:val="24"/>
        </w:rPr>
        <w:t>up 4 ks notebookov</w:t>
      </w:r>
      <w:r w:rsidRPr="00226356" w:rsidR="00AA35C8">
        <w:rPr>
          <w:rFonts w:ascii="Times New Roman" w:hAnsi="Times New Roman" w:cs="Times New Roman"/>
          <w:sz w:val="24"/>
          <w:szCs w:val="24"/>
        </w:rPr>
        <w:t>, 759 767,40 S</w:t>
      </w:r>
      <w:r>
        <w:rPr>
          <w:rFonts w:ascii="Times New Roman" w:hAnsi="Times New Roman" w:cs="Times New Roman"/>
          <w:sz w:val="24"/>
          <w:szCs w:val="24"/>
        </w:rPr>
        <w:t xml:space="preserve">k na zariadenie pre integ. </w:t>
      </w:r>
      <w:r w:rsidRPr="00226356" w:rsidR="00AA35C8">
        <w:rPr>
          <w:rFonts w:ascii="Times New Roman" w:hAnsi="Times New Roman" w:cs="Times New Roman"/>
          <w:sz w:val="24"/>
          <w:szCs w:val="24"/>
        </w:rPr>
        <w:t>záchranný systém link</w:t>
      </w:r>
      <w:r w:rsidRPr="00226356" w:rsidR="00226356">
        <w:rPr>
          <w:rFonts w:ascii="Times New Roman" w:hAnsi="Times New Roman" w:cs="Times New Roman"/>
          <w:sz w:val="24"/>
          <w:szCs w:val="24"/>
        </w:rPr>
        <w:t>y 112</w:t>
      </w:r>
      <w:r w:rsidRPr="00226356" w:rsidR="00AA35C8">
        <w:rPr>
          <w:rFonts w:ascii="Times New Roman" w:hAnsi="Times New Roman" w:cs="Times New Roman"/>
          <w:sz w:val="24"/>
          <w:szCs w:val="24"/>
        </w:rPr>
        <w:t xml:space="preserve"> a 53 597,60 Sk n</w:t>
      </w:r>
      <w:r w:rsidRPr="00226356" w:rsidR="00226356">
        <w:rPr>
          <w:rFonts w:ascii="Times New Roman" w:hAnsi="Times New Roman" w:cs="Times New Roman"/>
          <w:sz w:val="24"/>
          <w:szCs w:val="24"/>
        </w:rPr>
        <w:t>a skartovací stroj</w:t>
      </w:r>
      <w:r w:rsidRPr="00226356" w:rsidR="00AA35C8">
        <w:rPr>
          <w:rFonts w:ascii="Times New Roman" w:hAnsi="Times New Roman" w:cs="Times New Roman"/>
          <w:sz w:val="24"/>
          <w:szCs w:val="24"/>
        </w:rPr>
        <w:t>;</w:t>
      </w:r>
    </w:p>
    <w:p w:rsidR="009A52FB" w:rsidP="00AA35C8">
      <w:pPr>
        <w:tabs>
          <w:tab w:val="left" w:pos="360"/>
        </w:tabs>
        <w:spacing w:line="240" w:lineRule="auto"/>
        <w:rPr>
          <w:rFonts w:ascii="Times New Roman" w:hAnsi="Times New Roman" w:cs="Times New Roman"/>
          <w:sz w:val="24"/>
          <w:szCs w:val="24"/>
        </w:rPr>
      </w:pPr>
    </w:p>
    <w:p w:rsidR="00A24FC1" w:rsidRPr="00226356" w:rsidP="00AA35C8">
      <w:pPr>
        <w:tabs>
          <w:tab w:val="left" w:pos="360"/>
        </w:tabs>
        <w:spacing w:line="240" w:lineRule="auto"/>
        <w:rPr>
          <w:rFonts w:ascii="Times New Roman" w:hAnsi="Times New Roman" w:cs="Times New Roman"/>
          <w:sz w:val="24"/>
          <w:szCs w:val="24"/>
        </w:rPr>
      </w:pPr>
      <w:r w:rsidRPr="00226356" w:rsidR="00AA35C8">
        <w:rPr>
          <w:rFonts w:ascii="Times New Roman" w:hAnsi="Times New Roman" w:cs="Times New Roman"/>
          <w:sz w:val="24"/>
          <w:szCs w:val="24"/>
        </w:rPr>
        <w:t xml:space="preserve">m) </w:t>
      </w:r>
      <w:r w:rsidRPr="00226356" w:rsidR="00AA35C8">
        <w:rPr>
          <w:rFonts w:ascii="Times New Roman" w:hAnsi="Times New Roman" w:cs="Times New Roman"/>
          <w:sz w:val="24"/>
          <w:szCs w:val="24"/>
          <w:u w:val="single"/>
        </w:rPr>
        <w:t xml:space="preserve">IA č. 14779 </w:t>
      </w:r>
      <w:r w:rsidRPr="00226356" w:rsidR="00AA35C8">
        <w:rPr>
          <w:rFonts w:ascii="Times New Roman" w:hAnsi="Times New Roman" w:cs="Times New Roman"/>
          <w:bCs/>
          <w:sz w:val="24"/>
          <w:szCs w:val="24"/>
        </w:rPr>
        <w:t xml:space="preserve">– „Rekonštrukcia a modernizácia </w:t>
      </w:r>
      <w:r w:rsidRPr="00226356" w:rsidR="00AA35C8">
        <w:rPr>
          <w:rFonts w:ascii="Times New Roman" w:hAnsi="Times New Roman" w:cs="Times New Roman"/>
          <w:bCs/>
          <w:sz w:val="24"/>
          <w:szCs w:val="24"/>
        </w:rPr>
        <w:t>strojov a zariadení“ vo výške 199 682</w:t>
      </w:r>
      <w:r w:rsidRPr="00226356" w:rsidR="00AA35C8">
        <w:rPr>
          <w:rFonts w:ascii="Times New Roman" w:hAnsi="Times New Roman" w:cs="Times New Roman"/>
          <w:sz w:val="24"/>
          <w:szCs w:val="24"/>
        </w:rPr>
        <w:t>,- Sk za dod</w:t>
      </w:r>
      <w:r w:rsidRPr="00226356" w:rsidR="00226356">
        <w:rPr>
          <w:rFonts w:ascii="Times New Roman" w:hAnsi="Times New Roman" w:cs="Times New Roman"/>
          <w:sz w:val="24"/>
          <w:szCs w:val="24"/>
        </w:rPr>
        <w:t>ávku 2 dataswithov</w:t>
      </w:r>
      <w:r w:rsidRPr="00226356" w:rsidR="00AA35C8">
        <w:rPr>
          <w:rFonts w:ascii="Times New Roman" w:hAnsi="Times New Roman" w:cs="Times New Roman"/>
          <w:sz w:val="24"/>
          <w:szCs w:val="24"/>
        </w:rPr>
        <w:t>;</w:t>
      </w:r>
    </w:p>
    <w:p w:rsidR="009A52FB" w:rsidP="00AA35C8">
      <w:pPr>
        <w:spacing w:line="240" w:lineRule="auto"/>
        <w:rPr>
          <w:rFonts w:ascii="Times New Roman" w:hAnsi="Times New Roman" w:cs="Times New Roman"/>
          <w:sz w:val="24"/>
          <w:szCs w:val="24"/>
        </w:rPr>
      </w:pPr>
    </w:p>
    <w:p w:rsidR="00A24FC1" w:rsidRPr="00A24FC1" w:rsidP="00AA35C8">
      <w:pPr>
        <w:spacing w:line="240" w:lineRule="auto"/>
        <w:rPr>
          <w:rFonts w:ascii="Times New Roman" w:hAnsi="Times New Roman" w:cs="Times New Roman"/>
          <w:sz w:val="24"/>
          <w:szCs w:val="24"/>
        </w:rPr>
      </w:pPr>
      <w:r w:rsidRPr="00226356" w:rsidR="00AA35C8">
        <w:rPr>
          <w:rFonts w:ascii="Times New Roman" w:hAnsi="Times New Roman" w:cs="Times New Roman"/>
          <w:sz w:val="24"/>
          <w:szCs w:val="24"/>
        </w:rPr>
        <w:t xml:space="preserve">n) </w:t>
      </w:r>
      <w:r w:rsidRPr="00226356" w:rsidR="00AA35C8">
        <w:rPr>
          <w:rFonts w:ascii="Times New Roman" w:hAnsi="Times New Roman" w:cs="Times New Roman"/>
          <w:sz w:val="24"/>
          <w:szCs w:val="24"/>
          <w:u w:val="single"/>
        </w:rPr>
        <w:t>IA č. 10411</w:t>
      </w:r>
      <w:r w:rsidRPr="00226356" w:rsidR="00AA35C8">
        <w:rPr>
          <w:rFonts w:ascii="Times New Roman" w:hAnsi="Times New Roman" w:cs="Times New Roman"/>
          <w:sz w:val="24"/>
          <w:szCs w:val="24"/>
        </w:rPr>
        <w:t xml:space="preserve"> – „</w:t>
      </w:r>
      <w:r w:rsidRPr="00226356" w:rsidR="00AA35C8">
        <w:rPr>
          <w:rFonts w:ascii="Times New Roman" w:hAnsi="Times New Roman" w:cs="Times New Roman"/>
          <w:bCs/>
          <w:sz w:val="24"/>
          <w:szCs w:val="24"/>
        </w:rPr>
        <w:t>Nákup dopravných prostriedkov všetkých druhov</w:t>
      </w:r>
      <w:r w:rsidRPr="00226356" w:rsidR="00AA35C8">
        <w:rPr>
          <w:rFonts w:ascii="Times New Roman" w:hAnsi="Times New Roman" w:cs="Times New Roman"/>
          <w:sz w:val="24"/>
          <w:szCs w:val="24"/>
        </w:rPr>
        <w:t>“ – vo výške 3 192 368,70 Sk za 6 ks motorových vozidiel</w:t>
      </w:r>
      <w:r>
        <w:rPr>
          <w:rFonts w:ascii="Times New Roman" w:hAnsi="Times New Roman" w:cs="Times New Roman"/>
          <w:sz w:val="24"/>
          <w:szCs w:val="24"/>
        </w:rPr>
        <w:t>.</w:t>
      </w:r>
    </w:p>
    <w:p w:rsidR="009A52FB" w:rsidP="00AA35C8">
      <w:pPr>
        <w:spacing w:line="240" w:lineRule="auto"/>
        <w:rPr>
          <w:rFonts w:ascii="Times New Roman" w:hAnsi="Times New Roman" w:cs="Times New Roman"/>
          <w:b/>
          <w:sz w:val="24"/>
          <w:szCs w:val="24"/>
        </w:rPr>
      </w:pPr>
    </w:p>
    <w:p w:rsidR="00226356" w:rsidP="00AA35C8">
      <w:pPr>
        <w:spacing w:line="240" w:lineRule="auto"/>
        <w:rPr>
          <w:rFonts w:ascii="Times New Roman" w:hAnsi="Times New Roman" w:cs="Times New Roman"/>
          <w:b/>
          <w:sz w:val="24"/>
          <w:szCs w:val="24"/>
        </w:rPr>
      </w:pPr>
      <w:r w:rsidRPr="00226356">
        <w:rPr>
          <w:rFonts w:ascii="Times New Roman" w:hAnsi="Times New Roman" w:cs="Times New Roman"/>
          <w:b/>
          <w:sz w:val="24"/>
          <w:szCs w:val="24"/>
        </w:rPr>
        <w:t>S P O L U kapitálové výdavky (710)</w:t>
      </w:r>
      <w:r w:rsidRPr="00226356">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sz w:val="24"/>
          <w:szCs w:val="24"/>
        </w:rPr>
        <w:t>................</w:t>
      </w:r>
      <w:r w:rsidRPr="00226356">
        <w:rPr>
          <w:rFonts w:ascii="Times New Roman" w:hAnsi="Times New Roman" w:cs="Times New Roman"/>
          <w:sz w:val="24"/>
          <w:szCs w:val="24"/>
        </w:rPr>
        <w:t>...............</w:t>
      </w:r>
      <w:r w:rsidRPr="00226356">
        <w:rPr>
          <w:rFonts w:ascii="Times New Roman" w:hAnsi="Times New Roman" w:cs="Times New Roman"/>
          <w:b/>
          <w:sz w:val="24"/>
          <w:szCs w:val="24"/>
        </w:rPr>
        <w:t>20 723 131,34 Sk</w:t>
      </w:r>
    </w:p>
    <w:p w:rsidR="00C34272" w:rsidP="003D349C">
      <w:pPr>
        <w:spacing w:line="240" w:lineRule="auto"/>
        <w:ind w:firstLine="709"/>
        <w:rPr>
          <w:rFonts w:ascii="Times New Roman" w:hAnsi="Times New Roman" w:cs="Times New Roman"/>
          <w:sz w:val="24"/>
          <w:szCs w:val="24"/>
        </w:rPr>
      </w:pPr>
    </w:p>
    <w:p w:rsidR="003D349C" w:rsidRPr="00DE099E" w:rsidP="003D349C">
      <w:pPr>
        <w:spacing w:line="240" w:lineRule="auto"/>
        <w:ind w:firstLine="709"/>
        <w:rPr>
          <w:rFonts w:ascii="Times New Roman" w:hAnsi="Times New Roman" w:cs="Times New Roman"/>
          <w:sz w:val="24"/>
          <w:szCs w:val="24"/>
        </w:rPr>
      </w:pPr>
      <w:r w:rsidRPr="00105FF6">
        <w:rPr>
          <w:rFonts w:ascii="Times New Roman" w:hAnsi="Times New Roman" w:cs="Times New Roman"/>
          <w:sz w:val="24"/>
          <w:szCs w:val="24"/>
        </w:rPr>
        <w:t xml:space="preserve">Do roku 2008 boli presunuté </w:t>
      </w:r>
      <w:r>
        <w:rPr>
          <w:rFonts w:ascii="Times New Roman" w:hAnsi="Times New Roman" w:cs="Times New Roman"/>
          <w:sz w:val="24"/>
          <w:szCs w:val="24"/>
        </w:rPr>
        <w:t>nevyčerpané kapitálové výdavky Železničnej polície vo výške 19 326 866,26 Sk, a to na základe oznámenia MDPT SR o výške kapitálových výdavkov, ktoré použije kapitola v nasledujúcom roku a vykonaného rozpočtového opatrenia MF SR č. 36. Išlo hlavne o nevyčerpané zdroje určené na realizáciu investičnej akcie „Rádiová digi</w:t>
      </w:r>
      <w:r w:rsidR="00FB7469">
        <w:rPr>
          <w:rFonts w:ascii="Times New Roman" w:hAnsi="Times New Roman" w:cs="Times New Roman"/>
          <w:sz w:val="24"/>
          <w:szCs w:val="24"/>
        </w:rPr>
        <w:t>tálna sieť štátnej správy SITNO“ a to z dôvodu, že verejná súťaž bola ukončená až 6.11.2007 a dodávka prostriedkov a koncových rádiokomunikačných terminálov digitálnej rádiovej siete štátnej správy SITNO“ bude uskutočnená a</w:t>
      </w:r>
      <w:r w:rsidR="004D1A5C">
        <w:rPr>
          <w:rFonts w:ascii="Times New Roman" w:hAnsi="Times New Roman" w:cs="Times New Roman"/>
          <w:sz w:val="24"/>
          <w:szCs w:val="24"/>
        </w:rPr>
        <w:t>ž</w:t>
      </w:r>
      <w:r w:rsidR="00FB7469">
        <w:rPr>
          <w:rFonts w:ascii="Times New Roman" w:hAnsi="Times New Roman" w:cs="Times New Roman"/>
          <w:sz w:val="24"/>
          <w:szCs w:val="24"/>
        </w:rPr>
        <w:t xml:space="preserve"> po 90 dňoch od podpísania zmluvy medzi dodávateľom a Železničnou políciou, teda v mesiaci február 2008. </w:t>
      </w:r>
    </w:p>
    <w:p w:rsidR="003D349C" w:rsidP="00A24FC1">
      <w:pPr>
        <w:pStyle w:val="Title"/>
        <w:spacing w:line="240" w:lineRule="auto"/>
        <w:jc w:val="both"/>
        <w:rPr>
          <w:rFonts w:ascii="Times New Roman" w:hAnsi="Times New Roman" w:cs="Times New Roman"/>
          <w:b/>
          <w:u w:val="single"/>
        </w:rPr>
      </w:pPr>
    </w:p>
    <w:p w:rsidR="00AA35C8" w:rsidRPr="00A24FC1" w:rsidP="00A24FC1">
      <w:pPr>
        <w:pStyle w:val="Title"/>
        <w:spacing w:line="240" w:lineRule="auto"/>
        <w:jc w:val="both"/>
        <w:rPr>
          <w:rFonts w:ascii="Times New Roman" w:hAnsi="Times New Roman" w:cs="Times New Roman"/>
          <w:b/>
          <w:u w:val="single"/>
        </w:rPr>
      </w:pPr>
      <w:r w:rsidRPr="00A24FC1">
        <w:rPr>
          <w:rFonts w:ascii="Times New Roman" w:hAnsi="Times New Roman" w:cs="Times New Roman"/>
          <w:b/>
          <w:u w:val="single"/>
        </w:rPr>
        <w:t>Mimorozpočtové zdroje</w:t>
      </w:r>
    </w:p>
    <w:p w:rsidR="00AA35C8" w:rsidRPr="00AD1CBB" w:rsidP="00AA35C8">
      <w:pPr>
        <w:pStyle w:val="Title"/>
        <w:spacing w:line="240" w:lineRule="auto"/>
        <w:jc w:val="both"/>
        <w:rPr>
          <w:rFonts w:ascii="Times New Roman" w:hAnsi="Times New Roman" w:cs="Times New Roman"/>
          <w:b/>
          <w:sz w:val="20"/>
        </w:rPr>
      </w:pPr>
      <w:r w:rsidRPr="00ED68C9">
        <w:rPr>
          <w:rFonts w:ascii="Times New Roman" w:hAnsi="Times New Roman" w:cs="Times New Roman"/>
          <w:b/>
        </w:rPr>
        <w:t xml:space="preserve">     </w:t>
      </w:r>
    </w:p>
    <w:p w:rsidR="00AA35C8" w:rsidRPr="00A24FC1" w:rsidP="00AA35C8">
      <w:pPr>
        <w:pStyle w:val="Title"/>
        <w:spacing w:line="240" w:lineRule="auto"/>
        <w:ind w:firstLine="709"/>
        <w:jc w:val="both"/>
        <w:rPr>
          <w:rFonts w:ascii="Times New Roman" w:hAnsi="Times New Roman" w:cs="Times New Roman"/>
          <w:b/>
        </w:rPr>
      </w:pPr>
      <w:r w:rsidRPr="00A24FC1">
        <w:rPr>
          <w:rFonts w:ascii="Times New Roman" w:hAnsi="Times New Roman" w:cs="Times New Roman"/>
          <w:b/>
        </w:rPr>
        <w:t>K 31.12.2007 boli stavy a obraty na mimorozpočtových účtoch v ŠP nasledovné:</w:t>
      </w:r>
    </w:p>
    <w:p w:rsidR="00AA35C8" w:rsidRPr="007D3529" w:rsidP="00A24FC1">
      <w:pPr>
        <w:pStyle w:val="Title"/>
        <w:spacing w:line="240" w:lineRule="auto"/>
        <w:ind w:left="180"/>
        <w:jc w:val="both"/>
        <w:rPr>
          <w:rFonts w:ascii="Times New Roman" w:hAnsi="Times New Roman" w:cs="Times New Roman"/>
          <w:b/>
        </w:rPr>
      </w:pPr>
      <w:r w:rsidR="00A24FC1">
        <w:rPr>
          <w:rFonts w:ascii="Times New Roman" w:hAnsi="Times New Roman" w:cs="Times New Roman"/>
          <w:b/>
        </w:rPr>
        <w:t xml:space="preserve">      </w:t>
      </w:r>
    </w:p>
    <w:tbl>
      <w:tblPr>
        <w:tblW w:w="9743" w:type="dxa"/>
        <w:tblInd w:w="47" w:type="dxa"/>
        <w:tblCellMar>
          <w:left w:w="70" w:type="dxa"/>
          <w:right w:w="70" w:type="dxa"/>
        </w:tblCellMar>
      </w:tblPr>
      <w:tblGrid>
        <w:gridCol w:w="1103"/>
        <w:gridCol w:w="1260"/>
        <w:gridCol w:w="1440"/>
        <w:gridCol w:w="1390"/>
        <w:gridCol w:w="1203"/>
        <w:gridCol w:w="1509"/>
        <w:gridCol w:w="1044"/>
        <w:gridCol w:w="794"/>
      </w:tblGrid>
      <w:tr>
        <w:tblPrEx>
          <w:tblW w:w="9743" w:type="dxa"/>
          <w:tblInd w:w="47" w:type="dxa"/>
          <w:tblCellMar>
            <w:left w:w="70" w:type="dxa"/>
            <w:right w:w="70" w:type="dxa"/>
          </w:tblCellMar>
        </w:tblPrEx>
        <w:trPr>
          <w:trHeight w:val="315"/>
        </w:trPr>
        <w:tc>
          <w:tcPr>
            <w:tcW w:w="9743" w:type="dxa"/>
            <w:gridSpan w:val="8"/>
            <w:tcBorders>
              <w:top w:val="double" w:sz="4" w:space="0" w:color="auto"/>
              <w:left w:val="double" w:sz="4" w:space="0" w:color="auto"/>
              <w:bottom w:val="nil"/>
              <w:right w:val="double" w:sz="4" w:space="0" w:color="auto"/>
              <w:tl2br w:val="nil"/>
              <w:tr2bl w:val="nil"/>
            </w:tcBorders>
            <w:noWrap/>
            <w:textDirection w:val="lrTb"/>
            <w:vAlign w:val="bottom"/>
          </w:tcPr>
          <w:p w:rsidR="00AA35C8" w:rsidRPr="007D3529" w:rsidP="00AA35C8">
            <w:pPr>
              <w:spacing w:line="240" w:lineRule="auto"/>
              <w:jc w:val="center"/>
              <w:rPr>
                <w:rFonts w:ascii="Times New Roman" w:hAnsi="Times New Roman" w:cs="Times New Roman"/>
                <w:b/>
                <w:bCs/>
                <w:sz w:val="22"/>
                <w:szCs w:val="22"/>
              </w:rPr>
            </w:pPr>
            <w:r w:rsidRPr="007D3529" w:rsidR="00A24FC1">
              <w:rPr>
                <w:rFonts w:ascii="Times New Roman" w:hAnsi="Times New Roman" w:cs="Times New Roman"/>
                <w:b/>
                <w:bCs/>
                <w:sz w:val="22"/>
                <w:szCs w:val="22"/>
              </w:rPr>
              <w:t xml:space="preserve">Mimorozpočtové účty Železničnej polície </w:t>
            </w:r>
            <w:r w:rsidRPr="007D3529">
              <w:rPr>
                <w:rFonts w:ascii="Times New Roman" w:hAnsi="Times New Roman" w:cs="Times New Roman"/>
                <w:b/>
                <w:bCs/>
                <w:sz w:val="22"/>
                <w:szCs w:val="22"/>
              </w:rPr>
              <w:t>v</w:t>
            </w:r>
            <w:r w:rsidRPr="007D3529" w:rsidR="00A24FC1">
              <w:rPr>
                <w:rFonts w:ascii="Times New Roman" w:hAnsi="Times New Roman" w:cs="Times New Roman"/>
                <w:b/>
                <w:bCs/>
                <w:sz w:val="22"/>
                <w:szCs w:val="22"/>
              </w:rPr>
              <w:t> Štátnej pokladnici</w:t>
            </w:r>
          </w:p>
        </w:tc>
      </w:tr>
      <w:tr>
        <w:tblPrEx>
          <w:tblW w:w="9743" w:type="dxa"/>
          <w:tblInd w:w="47" w:type="dxa"/>
          <w:tblCellMar>
            <w:left w:w="70" w:type="dxa"/>
            <w:right w:w="70" w:type="dxa"/>
          </w:tblCellMar>
        </w:tblPrEx>
        <w:trPr>
          <w:trHeight w:val="300"/>
        </w:trPr>
        <w:tc>
          <w:tcPr>
            <w:tcW w:w="1103" w:type="dxa"/>
            <w:tcBorders>
              <w:top w:val="double" w:sz="6" w:space="0" w:color="auto"/>
              <w:left w:val="double" w:sz="4" w:space="0" w:color="auto"/>
              <w:bottom w:val="single" w:sz="4" w:space="0" w:color="auto"/>
              <w:right w:val="double" w:sz="6" w:space="0" w:color="auto"/>
              <w:tl2br w:val="nil"/>
              <w:tr2bl w:val="nil"/>
            </w:tcBorders>
            <w:noWrap/>
            <w:textDirection w:val="lrTb"/>
            <w:vAlign w:val="bottom"/>
          </w:tcPr>
          <w:p w:rsidR="00AA35C8" w:rsidRPr="007D3529" w:rsidP="00AA35C8">
            <w:pPr>
              <w:spacing w:line="240" w:lineRule="auto"/>
              <w:ind w:left="-47" w:right="-70"/>
              <w:jc w:val="center"/>
              <w:rPr>
                <w:rFonts w:ascii="Times New Roman" w:hAnsi="Times New Roman" w:cs="Times New Roman"/>
                <w:b/>
                <w:bCs/>
                <w:sz w:val="22"/>
                <w:szCs w:val="22"/>
              </w:rPr>
            </w:pPr>
            <w:r w:rsidRPr="007D3529">
              <w:rPr>
                <w:rFonts w:ascii="Times New Roman" w:hAnsi="Times New Roman" w:cs="Times New Roman"/>
                <w:b/>
                <w:bCs/>
                <w:sz w:val="22"/>
                <w:szCs w:val="22"/>
              </w:rPr>
              <w:t xml:space="preserve">7 000 </w:t>
            </w:r>
          </w:p>
        </w:tc>
        <w:tc>
          <w:tcPr>
            <w:tcW w:w="1260" w:type="dxa"/>
            <w:tcBorders>
              <w:top w:val="double" w:sz="6" w:space="0" w:color="auto"/>
              <w:left w:val="nil"/>
              <w:bottom w:val="single" w:sz="4" w:space="0" w:color="auto"/>
              <w:right w:val="single" w:sz="4" w:space="0" w:color="auto"/>
              <w:tl2br w:val="nil"/>
              <w:tr2bl w:val="nil"/>
            </w:tcBorders>
            <w:noWrap/>
            <w:textDirection w:val="lrTb"/>
            <w:vAlign w:val="bottom"/>
          </w:tcPr>
          <w:p w:rsidR="00AA35C8" w:rsidRPr="007D3529" w:rsidP="00AA35C8">
            <w:pPr>
              <w:spacing w:line="240" w:lineRule="auto"/>
              <w:ind w:left="-91"/>
              <w:jc w:val="center"/>
              <w:rPr>
                <w:rFonts w:ascii="Times New Roman" w:hAnsi="Times New Roman" w:cs="Times New Roman"/>
                <w:b/>
                <w:bCs/>
                <w:sz w:val="22"/>
                <w:szCs w:val="22"/>
              </w:rPr>
            </w:pPr>
            <w:r w:rsidRPr="007D3529">
              <w:rPr>
                <w:rFonts w:ascii="Times New Roman" w:hAnsi="Times New Roman" w:cs="Times New Roman"/>
                <w:b/>
                <w:bCs/>
                <w:sz w:val="22"/>
                <w:szCs w:val="22"/>
              </w:rPr>
              <w:t>164 197</w:t>
            </w:r>
          </w:p>
        </w:tc>
        <w:tc>
          <w:tcPr>
            <w:tcW w:w="1440" w:type="dxa"/>
            <w:tcBorders>
              <w:top w:val="double" w:sz="6" w:space="0" w:color="auto"/>
              <w:left w:val="nil"/>
              <w:bottom w:val="single" w:sz="4" w:space="0" w:color="auto"/>
              <w:right w:val="single" w:sz="4" w:space="0" w:color="auto"/>
              <w:tl2br w:val="nil"/>
              <w:tr2bl w:val="nil"/>
            </w:tcBorders>
            <w:noWrap/>
            <w:textDirection w:val="lrTb"/>
            <w:vAlign w:val="bottom"/>
          </w:tcPr>
          <w:p w:rsidR="00AA35C8" w:rsidRPr="007D3529" w:rsidP="00AA35C8">
            <w:pPr>
              <w:spacing w:line="240" w:lineRule="auto"/>
              <w:ind w:left="-70" w:right="-70"/>
              <w:jc w:val="center"/>
              <w:rPr>
                <w:rFonts w:ascii="Times New Roman" w:hAnsi="Times New Roman" w:cs="Times New Roman"/>
                <w:b/>
                <w:bCs/>
                <w:sz w:val="22"/>
                <w:szCs w:val="22"/>
              </w:rPr>
            </w:pPr>
            <w:r w:rsidRPr="007D3529">
              <w:rPr>
                <w:rFonts w:ascii="Times New Roman" w:hAnsi="Times New Roman" w:cs="Times New Roman"/>
                <w:b/>
                <w:bCs/>
                <w:sz w:val="22"/>
                <w:szCs w:val="22"/>
              </w:rPr>
              <w:t>164 218</w:t>
            </w:r>
          </w:p>
        </w:tc>
        <w:tc>
          <w:tcPr>
            <w:tcW w:w="1390" w:type="dxa"/>
            <w:tcBorders>
              <w:top w:val="double" w:sz="6" w:space="0" w:color="auto"/>
              <w:left w:val="nil"/>
              <w:bottom w:val="single" w:sz="4" w:space="0" w:color="auto"/>
              <w:right w:val="single" w:sz="4" w:space="0" w:color="auto"/>
              <w:tl2br w:val="nil"/>
              <w:tr2bl w:val="nil"/>
            </w:tcBorders>
            <w:textDirection w:val="lrTb"/>
            <w:vAlign w:val="bottom"/>
          </w:tcPr>
          <w:p w:rsidR="00AA35C8" w:rsidRPr="007D3529" w:rsidP="00AA35C8">
            <w:pPr>
              <w:spacing w:line="240" w:lineRule="auto"/>
              <w:jc w:val="center"/>
              <w:rPr>
                <w:rFonts w:ascii="Times New Roman" w:hAnsi="Times New Roman" w:cs="Times New Roman"/>
                <w:b/>
                <w:bCs/>
                <w:sz w:val="22"/>
                <w:szCs w:val="22"/>
              </w:rPr>
            </w:pPr>
            <w:r w:rsidRPr="007D3529">
              <w:rPr>
                <w:rFonts w:ascii="Times New Roman" w:hAnsi="Times New Roman" w:cs="Times New Roman"/>
                <w:b/>
                <w:bCs/>
                <w:sz w:val="22"/>
                <w:szCs w:val="22"/>
              </w:rPr>
              <w:t>164 226</w:t>
            </w:r>
          </w:p>
        </w:tc>
        <w:tc>
          <w:tcPr>
            <w:tcW w:w="1203" w:type="dxa"/>
            <w:tcBorders>
              <w:top w:val="double" w:sz="6" w:space="0" w:color="auto"/>
              <w:left w:val="nil"/>
              <w:bottom w:val="single" w:sz="4" w:space="0" w:color="auto"/>
              <w:right w:val="single" w:sz="4" w:space="0" w:color="auto"/>
              <w:tl2br w:val="nil"/>
              <w:tr2bl w:val="nil"/>
            </w:tcBorders>
            <w:noWrap/>
            <w:textDirection w:val="lrTb"/>
            <w:vAlign w:val="bottom"/>
          </w:tcPr>
          <w:p w:rsidR="00AA35C8" w:rsidRPr="007D3529" w:rsidP="00AA35C8">
            <w:pPr>
              <w:spacing w:line="240" w:lineRule="auto"/>
              <w:ind w:left="-127"/>
              <w:jc w:val="center"/>
              <w:rPr>
                <w:rFonts w:ascii="Times New Roman" w:hAnsi="Times New Roman" w:cs="Times New Roman"/>
                <w:b/>
                <w:bCs/>
                <w:sz w:val="22"/>
                <w:szCs w:val="22"/>
              </w:rPr>
            </w:pPr>
            <w:r w:rsidRPr="007D3529">
              <w:rPr>
                <w:rFonts w:ascii="Times New Roman" w:hAnsi="Times New Roman" w:cs="Times New Roman"/>
                <w:b/>
                <w:bCs/>
                <w:sz w:val="22"/>
                <w:szCs w:val="22"/>
              </w:rPr>
              <w:t xml:space="preserve"> 256 278</w:t>
            </w:r>
          </w:p>
        </w:tc>
        <w:tc>
          <w:tcPr>
            <w:tcW w:w="1509" w:type="dxa"/>
            <w:tcBorders>
              <w:top w:val="double" w:sz="6" w:space="0" w:color="auto"/>
              <w:left w:val="nil"/>
              <w:bottom w:val="single" w:sz="4" w:space="0" w:color="auto"/>
              <w:right w:val="single" w:sz="8" w:space="0" w:color="auto"/>
              <w:tl2br w:val="nil"/>
              <w:tr2bl w:val="nil"/>
            </w:tcBorders>
            <w:noWrap/>
            <w:textDirection w:val="lrTb"/>
            <w:vAlign w:val="bottom"/>
          </w:tcPr>
          <w:p w:rsidR="00AA35C8" w:rsidRPr="007D3529" w:rsidP="00AA35C8">
            <w:pPr>
              <w:spacing w:line="240" w:lineRule="auto"/>
              <w:jc w:val="center"/>
              <w:rPr>
                <w:rFonts w:ascii="Times New Roman" w:hAnsi="Times New Roman" w:cs="Times New Roman"/>
                <w:b/>
                <w:bCs/>
                <w:sz w:val="22"/>
                <w:szCs w:val="22"/>
              </w:rPr>
            </w:pPr>
            <w:r w:rsidRPr="007D3529">
              <w:rPr>
                <w:rFonts w:ascii="Times New Roman" w:hAnsi="Times New Roman" w:cs="Times New Roman"/>
                <w:b/>
                <w:bCs/>
                <w:sz w:val="22"/>
                <w:szCs w:val="22"/>
              </w:rPr>
              <w:t>Mimorozpočet</w:t>
            </w:r>
          </w:p>
        </w:tc>
        <w:tc>
          <w:tcPr>
            <w:tcW w:w="1044" w:type="dxa"/>
            <w:tcBorders>
              <w:top w:val="double" w:sz="6" w:space="0" w:color="auto"/>
              <w:left w:val="single" w:sz="4" w:space="0" w:color="auto"/>
              <w:bottom w:val="single" w:sz="4" w:space="0" w:color="auto"/>
              <w:right w:val="single" w:sz="4" w:space="0" w:color="auto"/>
              <w:tl2br w:val="nil"/>
              <w:tr2bl w:val="nil"/>
            </w:tcBorders>
            <w:noWrap/>
            <w:textDirection w:val="lrTb"/>
            <w:vAlign w:val="bottom"/>
          </w:tcPr>
          <w:p w:rsidR="00AA35C8" w:rsidRPr="007D3529" w:rsidP="00AA35C8">
            <w:pPr>
              <w:spacing w:line="240" w:lineRule="auto"/>
              <w:ind w:left="-46"/>
              <w:jc w:val="center"/>
              <w:rPr>
                <w:rFonts w:ascii="Times New Roman" w:hAnsi="Times New Roman" w:cs="Times New Roman"/>
                <w:b/>
                <w:bCs/>
                <w:sz w:val="22"/>
                <w:szCs w:val="22"/>
              </w:rPr>
            </w:pPr>
            <w:r w:rsidRPr="007D3529">
              <w:rPr>
                <w:rFonts w:ascii="Times New Roman" w:hAnsi="Times New Roman" w:cs="Times New Roman"/>
                <w:b/>
                <w:bCs/>
                <w:sz w:val="22"/>
                <w:szCs w:val="22"/>
              </w:rPr>
              <w:t>242</w:t>
            </w:r>
          </w:p>
        </w:tc>
        <w:tc>
          <w:tcPr>
            <w:tcW w:w="794" w:type="dxa"/>
            <w:tcBorders>
              <w:top w:val="double" w:sz="6" w:space="0" w:color="auto"/>
              <w:left w:val="nil"/>
              <w:bottom w:val="single" w:sz="4" w:space="0" w:color="auto"/>
              <w:right w:val="double" w:sz="4" w:space="0" w:color="auto"/>
              <w:tl2br w:val="nil"/>
              <w:tr2bl w:val="nil"/>
            </w:tcBorders>
            <w:noWrap/>
            <w:textDirection w:val="lrTb"/>
            <w:vAlign w:val="bottom"/>
          </w:tcPr>
          <w:p w:rsidR="00AA35C8" w:rsidRPr="007D3529" w:rsidP="00AA35C8">
            <w:pPr>
              <w:spacing w:line="240" w:lineRule="auto"/>
              <w:ind w:left="-46"/>
              <w:jc w:val="center"/>
              <w:rPr>
                <w:rFonts w:ascii="Times New Roman" w:hAnsi="Times New Roman" w:cs="Times New Roman"/>
                <w:b/>
                <w:bCs/>
                <w:sz w:val="22"/>
                <w:szCs w:val="22"/>
              </w:rPr>
            </w:pPr>
            <w:r w:rsidRPr="007D3529">
              <w:rPr>
                <w:rFonts w:ascii="Times New Roman" w:hAnsi="Times New Roman" w:cs="Times New Roman"/>
                <w:b/>
                <w:bCs/>
                <w:sz w:val="22"/>
                <w:szCs w:val="22"/>
              </w:rPr>
              <w:t>250</w:t>
            </w:r>
          </w:p>
        </w:tc>
      </w:tr>
      <w:tr>
        <w:tblPrEx>
          <w:tblW w:w="9743" w:type="dxa"/>
          <w:tblInd w:w="47" w:type="dxa"/>
          <w:tblCellMar>
            <w:left w:w="70" w:type="dxa"/>
            <w:right w:w="70" w:type="dxa"/>
          </w:tblCellMar>
        </w:tblPrEx>
        <w:trPr>
          <w:trHeight w:val="209"/>
        </w:trPr>
        <w:tc>
          <w:tcPr>
            <w:tcW w:w="1103" w:type="dxa"/>
            <w:tcBorders>
              <w:top w:val="nil"/>
              <w:left w:val="double" w:sz="4" w:space="0" w:color="auto"/>
              <w:bottom w:val="single" w:sz="8" w:space="0" w:color="auto"/>
              <w:right w:val="double" w:sz="6" w:space="0" w:color="auto"/>
              <w:tl2br w:val="nil"/>
              <w:tr2bl w:val="nil"/>
            </w:tcBorders>
            <w:noWrap/>
            <w:textDirection w:val="lrTb"/>
            <w:vAlign w:val="bottom"/>
          </w:tcPr>
          <w:p w:rsidR="00AA35C8" w:rsidRPr="007D3529" w:rsidP="00AA35C8">
            <w:pPr>
              <w:spacing w:line="240" w:lineRule="auto"/>
              <w:ind w:left="-47" w:right="-70"/>
              <w:jc w:val="center"/>
              <w:rPr>
                <w:rFonts w:ascii="Times New Roman" w:hAnsi="Times New Roman" w:cs="Times New Roman"/>
                <w:b/>
                <w:bCs/>
                <w:sz w:val="18"/>
                <w:szCs w:val="18"/>
              </w:rPr>
            </w:pPr>
            <w:r w:rsidRPr="007D3529">
              <w:rPr>
                <w:rFonts w:ascii="Times New Roman" w:hAnsi="Times New Roman" w:cs="Times New Roman"/>
                <w:b/>
                <w:bCs/>
                <w:sz w:val="18"/>
                <w:szCs w:val="18"/>
              </w:rPr>
              <w:t>Účet</w:t>
            </w:r>
          </w:p>
        </w:tc>
        <w:tc>
          <w:tcPr>
            <w:tcW w:w="1260" w:type="dxa"/>
            <w:tcBorders>
              <w:top w:val="nil"/>
              <w:left w:val="nil"/>
              <w:bottom w:val="single" w:sz="8" w:space="0" w:color="auto"/>
              <w:right w:val="single" w:sz="4" w:space="0" w:color="auto"/>
              <w:tl2br w:val="nil"/>
              <w:tr2bl w:val="nil"/>
            </w:tcBorders>
            <w:noWrap/>
            <w:textDirection w:val="lrTb"/>
            <w:vAlign w:val="bottom"/>
          </w:tcPr>
          <w:p w:rsidR="00AA35C8" w:rsidRPr="007D3529" w:rsidP="00AA35C8">
            <w:pPr>
              <w:spacing w:line="240" w:lineRule="auto"/>
              <w:ind w:left="-91"/>
              <w:jc w:val="center"/>
              <w:rPr>
                <w:rFonts w:ascii="Times New Roman" w:hAnsi="Times New Roman" w:cs="Times New Roman"/>
                <w:b/>
                <w:bCs/>
                <w:sz w:val="18"/>
                <w:szCs w:val="18"/>
              </w:rPr>
            </w:pPr>
            <w:r w:rsidRPr="007D3529">
              <w:rPr>
                <w:rFonts w:ascii="Times New Roman" w:hAnsi="Times New Roman" w:cs="Times New Roman"/>
                <w:b/>
                <w:bCs/>
                <w:sz w:val="18"/>
                <w:szCs w:val="18"/>
              </w:rPr>
              <w:t>SF</w:t>
            </w:r>
          </w:p>
        </w:tc>
        <w:tc>
          <w:tcPr>
            <w:tcW w:w="1440" w:type="dxa"/>
            <w:tcBorders>
              <w:top w:val="nil"/>
              <w:left w:val="nil"/>
              <w:bottom w:val="single" w:sz="8" w:space="0" w:color="auto"/>
              <w:right w:val="single" w:sz="4" w:space="0" w:color="auto"/>
              <w:tl2br w:val="nil"/>
              <w:tr2bl w:val="nil"/>
            </w:tcBorders>
            <w:noWrap/>
            <w:textDirection w:val="lrTb"/>
            <w:vAlign w:val="bottom"/>
          </w:tcPr>
          <w:p w:rsidR="00AA35C8" w:rsidRPr="007D3529" w:rsidP="00AA35C8">
            <w:pPr>
              <w:spacing w:line="240" w:lineRule="auto"/>
              <w:ind w:left="-70" w:right="-70"/>
              <w:jc w:val="center"/>
              <w:rPr>
                <w:rFonts w:ascii="Times New Roman" w:hAnsi="Times New Roman" w:cs="Times New Roman"/>
                <w:b/>
                <w:bCs/>
                <w:sz w:val="18"/>
                <w:szCs w:val="18"/>
              </w:rPr>
            </w:pPr>
            <w:r w:rsidRPr="007D3529">
              <w:rPr>
                <w:rFonts w:ascii="Times New Roman" w:hAnsi="Times New Roman" w:cs="Times New Roman"/>
                <w:b/>
                <w:bCs/>
                <w:sz w:val="18"/>
                <w:szCs w:val="18"/>
              </w:rPr>
              <w:t>Depozit</w:t>
            </w:r>
          </w:p>
        </w:tc>
        <w:tc>
          <w:tcPr>
            <w:tcW w:w="1390" w:type="dxa"/>
            <w:tcBorders>
              <w:top w:val="nil"/>
              <w:left w:val="nil"/>
              <w:bottom w:val="single" w:sz="8" w:space="0" w:color="auto"/>
              <w:right w:val="single" w:sz="4" w:space="0" w:color="auto"/>
              <w:tl2br w:val="nil"/>
              <w:tr2bl w:val="nil"/>
            </w:tcBorders>
            <w:textDirection w:val="lrTb"/>
            <w:vAlign w:val="bottom"/>
          </w:tcPr>
          <w:p w:rsidR="00AA35C8" w:rsidRPr="007D3529" w:rsidP="00AA35C8">
            <w:pPr>
              <w:spacing w:line="240" w:lineRule="auto"/>
              <w:jc w:val="center"/>
              <w:rPr>
                <w:rFonts w:ascii="Times New Roman" w:hAnsi="Times New Roman" w:cs="Times New Roman"/>
                <w:b/>
                <w:bCs/>
                <w:sz w:val="18"/>
                <w:szCs w:val="18"/>
              </w:rPr>
            </w:pPr>
            <w:r w:rsidRPr="007D3529">
              <w:rPr>
                <w:rFonts w:ascii="Times New Roman" w:hAnsi="Times New Roman" w:cs="Times New Roman"/>
                <w:b/>
                <w:bCs/>
                <w:sz w:val="18"/>
                <w:szCs w:val="18"/>
              </w:rPr>
              <w:t>Osobitný</w:t>
            </w:r>
          </w:p>
        </w:tc>
        <w:tc>
          <w:tcPr>
            <w:tcW w:w="1203" w:type="dxa"/>
            <w:tcBorders>
              <w:top w:val="nil"/>
              <w:left w:val="nil"/>
              <w:bottom w:val="single" w:sz="8" w:space="0" w:color="auto"/>
              <w:right w:val="single" w:sz="4" w:space="0" w:color="auto"/>
              <w:tl2br w:val="nil"/>
              <w:tr2bl w:val="nil"/>
            </w:tcBorders>
            <w:noWrap/>
            <w:textDirection w:val="lrTb"/>
            <w:vAlign w:val="bottom"/>
          </w:tcPr>
          <w:p w:rsidR="00AA35C8" w:rsidRPr="007D3529" w:rsidP="00AA35C8">
            <w:pPr>
              <w:spacing w:line="240" w:lineRule="auto"/>
              <w:ind w:left="-127"/>
              <w:jc w:val="center"/>
              <w:rPr>
                <w:rFonts w:ascii="Times New Roman" w:hAnsi="Times New Roman" w:cs="Times New Roman"/>
                <w:b/>
                <w:bCs/>
                <w:sz w:val="18"/>
                <w:szCs w:val="18"/>
              </w:rPr>
            </w:pPr>
            <w:r w:rsidRPr="007D3529">
              <w:rPr>
                <w:rFonts w:ascii="Times New Roman" w:hAnsi="Times New Roman" w:cs="Times New Roman"/>
                <w:b/>
                <w:bCs/>
                <w:sz w:val="18"/>
                <w:szCs w:val="18"/>
              </w:rPr>
              <w:t xml:space="preserve">  Dary a granty</w:t>
            </w:r>
          </w:p>
        </w:tc>
        <w:tc>
          <w:tcPr>
            <w:tcW w:w="1509" w:type="dxa"/>
            <w:tcBorders>
              <w:top w:val="nil"/>
              <w:left w:val="nil"/>
              <w:bottom w:val="single" w:sz="8" w:space="0" w:color="auto"/>
              <w:right w:val="single" w:sz="8" w:space="0" w:color="auto"/>
              <w:tl2br w:val="nil"/>
              <w:tr2bl w:val="nil"/>
            </w:tcBorders>
            <w:noWrap/>
            <w:textDirection w:val="lrTb"/>
            <w:vAlign w:val="bottom"/>
          </w:tcPr>
          <w:p w:rsidR="00AA35C8" w:rsidRPr="007D3529" w:rsidP="00AA35C8">
            <w:pPr>
              <w:spacing w:line="240" w:lineRule="auto"/>
              <w:jc w:val="center"/>
              <w:rPr>
                <w:rFonts w:ascii="Times New Roman" w:hAnsi="Times New Roman" w:cs="Times New Roman"/>
                <w:b/>
                <w:bCs/>
                <w:sz w:val="18"/>
                <w:szCs w:val="18"/>
              </w:rPr>
            </w:pPr>
            <w:r w:rsidRPr="007D3529">
              <w:rPr>
                <w:rFonts w:ascii="Times New Roman" w:hAnsi="Times New Roman" w:cs="Times New Roman"/>
                <w:b/>
                <w:bCs/>
                <w:sz w:val="18"/>
                <w:szCs w:val="18"/>
              </w:rPr>
              <w:t>Sk spolu</w:t>
            </w:r>
          </w:p>
        </w:tc>
        <w:tc>
          <w:tcPr>
            <w:tcW w:w="1044" w:type="dxa"/>
            <w:tcBorders>
              <w:top w:val="nil"/>
              <w:left w:val="single" w:sz="4" w:space="0" w:color="auto"/>
              <w:bottom w:val="single" w:sz="8" w:space="0" w:color="auto"/>
              <w:right w:val="single" w:sz="4" w:space="0" w:color="auto"/>
              <w:tl2br w:val="nil"/>
              <w:tr2bl w:val="nil"/>
            </w:tcBorders>
            <w:noWrap/>
            <w:textDirection w:val="lrTb"/>
            <w:vAlign w:val="bottom"/>
          </w:tcPr>
          <w:p w:rsidR="00AA35C8" w:rsidRPr="007D3529" w:rsidP="00AA35C8">
            <w:pPr>
              <w:spacing w:line="240" w:lineRule="auto"/>
              <w:ind w:left="-46"/>
              <w:jc w:val="center"/>
              <w:rPr>
                <w:rFonts w:ascii="Times New Roman" w:hAnsi="Times New Roman" w:cs="Times New Roman"/>
                <w:b/>
                <w:bCs/>
                <w:sz w:val="18"/>
                <w:szCs w:val="18"/>
              </w:rPr>
            </w:pPr>
            <w:r w:rsidRPr="007D3529">
              <w:rPr>
                <w:rFonts w:ascii="Times New Roman" w:hAnsi="Times New Roman" w:cs="Times New Roman"/>
                <w:b/>
                <w:bCs/>
                <w:sz w:val="18"/>
                <w:szCs w:val="18"/>
              </w:rPr>
              <w:t>Devízový</w:t>
            </w:r>
          </w:p>
        </w:tc>
        <w:tc>
          <w:tcPr>
            <w:tcW w:w="794" w:type="dxa"/>
            <w:tcBorders>
              <w:top w:val="nil"/>
              <w:left w:val="nil"/>
              <w:bottom w:val="single" w:sz="8" w:space="0" w:color="auto"/>
              <w:right w:val="double" w:sz="4" w:space="0" w:color="auto"/>
              <w:tl2br w:val="nil"/>
              <w:tr2bl w:val="nil"/>
            </w:tcBorders>
            <w:noWrap/>
            <w:textDirection w:val="lrTb"/>
            <w:vAlign w:val="bottom"/>
          </w:tcPr>
          <w:p w:rsidR="00AA35C8" w:rsidRPr="007D3529" w:rsidP="00AA35C8">
            <w:pPr>
              <w:spacing w:line="240" w:lineRule="auto"/>
              <w:ind w:left="-46"/>
              <w:jc w:val="center"/>
              <w:rPr>
                <w:rFonts w:ascii="Times New Roman" w:hAnsi="Times New Roman" w:cs="Times New Roman"/>
                <w:b/>
                <w:bCs/>
                <w:sz w:val="18"/>
                <w:szCs w:val="18"/>
              </w:rPr>
            </w:pPr>
            <w:r w:rsidRPr="007D3529">
              <w:rPr>
                <w:rFonts w:ascii="Times New Roman" w:hAnsi="Times New Roman" w:cs="Times New Roman"/>
                <w:b/>
                <w:bCs/>
                <w:sz w:val="18"/>
                <w:szCs w:val="18"/>
              </w:rPr>
              <w:t>D</w:t>
            </w:r>
            <w:r w:rsidRPr="007D3529">
              <w:rPr>
                <w:rFonts w:ascii="Times New Roman" w:hAnsi="Times New Roman" w:cs="Times New Roman"/>
                <w:b/>
                <w:bCs/>
                <w:sz w:val="18"/>
                <w:szCs w:val="18"/>
              </w:rPr>
              <w:t>evízový</w:t>
            </w:r>
          </w:p>
        </w:tc>
      </w:tr>
      <w:tr>
        <w:tblPrEx>
          <w:tblW w:w="9743" w:type="dxa"/>
          <w:tblInd w:w="47" w:type="dxa"/>
          <w:tblCellMar>
            <w:left w:w="70" w:type="dxa"/>
            <w:right w:w="70" w:type="dxa"/>
          </w:tblCellMar>
        </w:tblPrEx>
        <w:trPr>
          <w:trHeight w:val="156"/>
        </w:trPr>
        <w:tc>
          <w:tcPr>
            <w:tcW w:w="1103" w:type="dxa"/>
            <w:tcBorders>
              <w:top w:val="nil"/>
              <w:left w:val="double" w:sz="4" w:space="0" w:color="auto"/>
              <w:bottom w:val="double" w:sz="6" w:space="0" w:color="auto"/>
              <w:right w:val="double" w:sz="6" w:space="0" w:color="auto"/>
              <w:tl2br w:val="nil"/>
              <w:tr2bl w:val="nil"/>
            </w:tcBorders>
            <w:noWrap/>
            <w:textDirection w:val="lrTb"/>
            <w:vAlign w:val="bottom"/>
          </w:tcPr>
          <w:p w:rsidR="00AA35C8" w:rsidRPr="007D3529" w:rsidP="00AA35C8">
            <w:pPr>
              <w:spacing w:line="240" w:lineRule="auto"/>
              <w:ind w:left="-47" w:right="-70"/>
              <w:jc w:val="center"/>
              <w:rPr>
                <w:rFonts w:ascii="Times New Roman" w:hAnsi="Times New Roman" w:cs="Times New Roman"/>
                <w:b/>
                <w:bCs/>
              </w:rPr>
            </w:pPr>
            <w:r w:rsidRPr="007D3529">
              <w:rPr>
                <w:rFonts w:ascii="Times New Roman" w:hAnsi="Times New Roman" w:cs="Times New Roman"/>
                <w:b/>
                <w:bCs/>
              </w:rPr>
              <w:t xml:space="preserve">Stav  </w:t>
            </w:r>
          </w:p>
        </w:tc>
        <w:tc>
          <w:tcPr>
            <w:tcW w:w="1260" w:type="dxa"/>
            <w:tcBorders>
              <w:top w:val="nil"/>
              <w:left w:val="nil"/>
              <w:bottom w:val="double" w:sz="6" w:space="0" w:color="auto"/>
              <w:right w:val="single" w:sz="4" w:space="0" w:color="auto"/>
              <w:tl2br w:val="nil"/>
              <w:tr2bl w:val="nil"/>
            </w:tcBorders>
            <w:noWrap/>
            <w:textDirection w:val="lrTb"/>
            <w:vAlign w:val="bottom"/>
          </w:tcPr>
          <w:p w:rsidR="00AA35C8" w:rsidRPr="007D3529" w:rsidP="00AA35C8">
            <w:pPr>
              <w:spacing w:line="240" w:lineRule="auto"/>
              <w:ind w:left="-91"/>
              <w:jc w:val="center"/>
              <w:rPr>
                <w:rFonts w:ascii="Times New Roman" w:hAnsi="Times New Roman" w:cs="Times New Roman"/>
                <w:b/>
                <w:bCs/>
              </w:rPr>
            </w:pPr>
            <w:r w:rsidRPr="007D3529">
              <w:rPr>
                <w:rFonts w:ascii="Times New Roman" w:hAnsi="Times New Roman" w:cs="Times New Roman"/>
                <w:b/>
                <w:bCs/>
              </w:rPr>
              <w:t>Sk</w:t>
            </w:r>
          </w:p>
        </w:tc>
        <w:tc>
          <w:tcPr>
            <w:tcW w:w="1440" w:type="dxa"/>
            <w:tcBorders>
              <w:top w:val="nil"/>
              <w:left w:val="nil"/>
              <w:bottom w:val="double" w:sz="6" w:space="0" w:color="auto"/>
              <w:right w:val="single" w:sz="4" w:space="0" w:color="auto"/>
              <w:tl2br w:val="nil"/>
              <w:tr2bl w:val="nil"/>
            </w:tcBorders>
            <w:noWrap/>
            <w:textDirection w:val="lrTb"/>
            <w:vAlign w:val="bottom"/>
          </w:tcPr>
          <w:p w:rsidR="00AA35C8" w:rsidRPr="007D3529" w:rsidP="00AA35C8">
            <w:pPr>
              <w:spacing w:line="240" w:lineRule="auto"/>
              <w:ind w:left="-70" w:right="-70"/>
              <w:jc w:val="center"/>
              <w:rPr>
                <w:rFonts w:ascii="Times New Roman" w:hAnsi="Times New Roman" w:cs="Times New Roman"/>
                <w:b/>
                <w:bCs/>
              </w:rPr>
            </w:pPr>
            <w:r w:rsidRPr="007D3529">
              <w:rPr>
                <w:rFonts w:ascii="Times New Roman" w:hAnsi="Times New Roman" w:cs="Times New Roman"/>
                <w:b/>
                <w:bCs/>
              </w:rPr>
              <w:t>Sk</w:t>
            </w:r>
          </w:p>
        </w:tc>
        <w:tc>
          <w:tcPr>
            <w:tcW w:w="1390" w:type="dxa"/>
            <w:tcBorders>
              <w:top w:val="nil"/>
              <w:left w:val="nil"/>
              <w:bottom w:val="double" w:sz="6" w:space="0" w:color="auto"/>
              <w:right w:val="single" w:sz="4" w:space="0" w:color="auto"/>
              <w:tl2br w:val="nil"/>
              <w:tr2bl w:val="nil"/>
            </w:tcBorders>
            <w:textDirection w:val="lrTb"/>
            <w:vAlign w:val="bottom"/>
          </w:tcPr>
          <w:p w:rsidR="00AA35C8" w:rsidRPr="007D3529" w:rsidP="00AA35C8">
            <w:pPr>
              <w:spacing w:line="240" w:lineRule="auto"/>
              <w:jc w:val="center"/>
              <w:rPr>
                <w:rFonts w:ascii="Times New Roman" w:hAnsi="Times New Roman" w:cs="Times New Roman"/>
                <w:b/>
                <w:bCs/>
              </w:rPr>
            </w:pPr>
            <w:r w:rsidRPr="007D3529">
              <w:rPr>
                <w:rFonts w:ascii="Times New Roman" w:hAnsi="Times New Roman" w:cs="Times New Roman"/>
                <w:b/>
                <w:bCs/>
              </w:rPr>
              <w:t>Sk</w:t>
            </w:r>
          </w:p>
        </w:tc>
        <w:tc>
          <w:tcPr>
            <w:tcW w:w="1203" w:type="dxa"/>
            <w:tcBorders>
              <w:top w:val="nil"/>
              <w:left w:val="nil"/>
              <w:bottom w:val="double" w:sz="6" w:space="0" w:color="auto"/>
              <w:right w:val="single" w:sz="4" w:space="0" w:color="auto"/>
              <w:tl2br w:val="nil"/>
              <w:tr2bl w:val="nil"/>
            </w:tcBorders>
            <w:noWrap/>
            <w:textDirection w:val="lrTb"/>
            <w:vAlign w:val="bottom"/>
          </w:tcPr>
          <w:p w:rsidR="00AA35C8" w:rsidRPr="007D3529" w:rsidP="00AA35C8">
            <w:pPr>
              <w:spacing w:line="240" w:lineRule="auto"/>
              <w:ind w:left="-127"/>
              <w:jc w:val="center"/>
              <w:rPr>
                <w:rFonts w:ascii="Times New Roman" w:hAnsi="Times New Roman" w:cs="Times New Roman"/>
                <w:b/>
                <w:bCs/>
              </w:rPr>
            </w:pPr>
            <w:r w:rsidRPr="007D3529">
              <w:rPr>
                <w:rFonts w:ascii="Times New Roman" w:hAnsi="Times New Roman" w:cs="Times New Roman"/>
                <w:b/>
                <w:bCs/>
              </w:rPr>
              <w:t>Sk</w:t>
            </w:r>
          </w:p>
        </w:tc>
        <w:tc>
          <w:tcPr>
            <w:tcW w:w="1509" w:type="dxa"/>
            <w:tcBorders>
              <w:top w:val="nil"/>
              <w:left w:val="nil"/>
              <w:bottom w:val="double" w:sz="6" w:space="0" w:color="auto"/>
              <w:right w:val="single" w:sz="8" w:space="0" w:color="auto"/>
              <w:tl2br w:val="nil"/>
              <w:tr2bl w:val="nil"/>
            </w:tcBorders>
            <w:noWrap/>
            <w:textDirection w:val="lrTb"/>
            <w:vAlign w:val="bottom"/>
          </w:tcPr>
          <w:p w:rsidR="00AA35C8" w:rsidRPr="007D3529" w:rsidP="00AA35C8">
            <w:pPr>
              <w:spacing w:line="240" w:lineRule="auto"/>
              <w:jc w:val="center"/>
              <w:rPr>
                <w:rFonts w:ascii="Times New Roman" w:hAnsi="Times New Roman" w:cs="Times New Roman"/>
                <w:b/>
                <w:bCs/>
              </w:rPr>
            </w:pPr>
            <w:r w:rsidRPr="007D3529">
              <w:rPr>
                <w:rFonts w:ascii="Times New Roman" w:hAnsi="Times New Roman" w:cs="Times New Roman"/>
                <w:b/>
                <w:bCs/>
              </w:rPr>
              <w:t>Sk</w:t>
            </w:r>
          </w:p>
        </w:tc>
        <w:tc>
          <w:tcPr>
            <w:tcW w:w="1044" w:type="dxa"/>
            <w:tcBorders>
              <w:top w:val="nil"/>
              <w:left w:val="single" w:sz="4" w:space="0" w:color="auto"/>
              <w:bottom w:val="double" w:sz="6" w:space="0" w:color="auto"/>
              <w:right w:val="single" w:sz="4" w:space="0" w:color="auto"/>
              <w:tl2br w:val="nil"/>
              <w:tr2bl w:val="nil"/>
            </w:tcBorders>
            <w:noWrap/>
            <w:textDirection w:val="lrTb"/>
            <w:vAlign w:val="bottom"/>
          </w:tcPr>
          <w:p w:rsidR="00AA35C8" w:rsidRPr="007D3529" w:rsidP="00AA35C8">
            <w:pPr>
              <w:spacing w:line="240" w:lineRule="auto"/>
              <w:ind w:left="-46"/>
              <w:jc w:val="center"/>
              <w:rPr>
                <w:rFonts w:ascii="Times New Roman" w:hAnsi="Times New Roman" w:cs="Times New Roman"/>
                <w:b/>
                <w:bCs/>
              </w:rPr>
            </w:pPr>
            <w:r w:rsidRPr="007D3529">
              <w:rPr>
                <w:rFonts w:ascii="Times New Roman" w:hAnsi="Times New Roman" w:cs="Times New Roman"/>
                <w:b/>
                <w:bCs/>
              </w:rPr>
              <w:t>USD</w:t>
            </w:r>
          </w:p>
        </w:tc>
        <w:tc>
          <w:tcPr>
            <w:tcW w:w="794" w:type="dxa"/>
            <w:tcBorders>
              <w:top w:val="nil"/>
              <w:left w:val="nil"/>
              <w:bottom w:val="double" w:sz="6" w:space="0" w:color="auto"/>
              <w:right w:val="double" w:sz="4" w:space="0" w:color="auto"/>
              <w:tl2br w:val="nil"/>
              <w:tr2bl w:val="nil"/>
            </w:tcBorders>
            <w:noWrap/>
            <w:textDirection w:val="lrTb"/>
            <w:vAlign w:val="bottom"/>
          </w:tcPr>
          <w:p w:rsidR="00AA35C8" w:rsidRPr="007D3529" w:rsidP="00AA35C8">
            <w:pPr>
              <w:spacing w:line="240" w:lineRule="auto"/>
              <w:ind w:left="-46"/>
              <w:jc w:val="center"/>
              <w:rPr>
                <w:rFonts w:ascii="Times New Roman" w:hAnsi="Times New Roman" w:cs="Times New Roman"/>
                <w:b/>
                <w:bCs/>
              </w:rPr>
            </w:pPr>
            <w:r w:rsidRPr="007D3529">
              <w:rPr>
                <w:rFonts w:ascii="Times New Roman" w:hAnsi="Times New Roman" w:cs="Times New Roman"/>
                <w:b/>
                <w:bCs/>
              </w:rPr>
              <w:t>EUR</w:t>
            </w:r>
          </w:p>
        </w:tc>
      </w:tr>
      <w:tr>
        <w:tblPrEx>
          <w:tblW w:w="9743" w:type="dxa"/>
          <w:tblInd w:w="47" w:type="dxa"/>
          <w:tblCellMar>
            <w:left w:w="70" w:type="dxa"/>
            <w:right w:w="70" w:type="dxa"/>
          </w:tblCellMar>
        </w:tblPrEx>
        <w:trPr>
          <w:trHeight w:val="210"/>
        </w:trPr>
        <w:tc>
          <w:tcPr>
            <w:tcW w:w="1103" w:type="dxa"/>
            <w:tcBorders>
              <w:top w:val="single" w:sz="4" w:space="0" w:color="auto"/>
              <w:left w:val="double" w:sz="4" w:space="0" w:color="auto"/>
              <w:bottom w:val="single" w:sz="4" w:space="0" w:color="auto"/>
              <w:right w:val="double" w:sz="6" w:space="0" w:color="auto"/>
              <w:tl2br w:val="nil"/>
              <w:tr2bl w:val="nil"/>
            </w:tcBorders>
            <w:noWrap/>
            <w:textDirection w:val="lrTb"/>
            <w:vAlign w:val="bottom"/>
          </w:tcPr>
          <w:p w:rsidR="00AA35C8" w:rsidRPr="007D3529" w:rsidP="00AA35C8">
            <w:pPr>
              <w:spacing w:line="240" w:lineRule="auto"/>
              <w:ind w:left="-47" w:right="-70"/>
              <w:jc w:val="left"/>
              <w:rPr>
                <w:rFonts w:ascii="Times New Roman" w:hAnsi="Times New Roman" w:cs="Times New Roman"/>
                <w:b/>
                <w:bCs/>
                <w:sz w:val="22"/>
                <w:szCs w:val="22"/>
              </w:rPr>
            </w:pPr>
            <w:r w:rsidRPr="007D3529">
              <w:rPr>
                <w:rFonts w:ascii="Times New Roman" w:hAnsi="Times New Roman" w:cs="Times New Roman"/>
                <w:b/>
                <w:bCs/>
                <w:sz w:val="22"/>
                <w:szCs w:val="22"/>
              </w:rPr>
              <w:t xml:space="preserve"> K 1.01.07</w:t>
            </w:r>
          </w:p>
        </w:tc>
        <w:tc>
          <w:tcPr>
            <w:tcW w:w="1260" w:type="dxa"/>
            <w:tcBorders>
              <w:top w:val="single" w:sz="4" w:space="0" w:color="auto"/>
              <w:left w:val="nil"/>
              <w:bottom w:val="single" w:sz="4" w:space="0" w:color="auto"/>
              <w:right w:val="single" w:sz="4" w:space="0" w:color="auto"/>
              <w:tl2br w:val="nil"/>
              <w:tr2bl w:val="nil"/>
            </w:tcBorders>
            <w:noWrap/>
            <w:textDirection w:val="lrTb"/>
            <w:vAlign w:val="bottom"/>
          </w:tcPr>
          <w:p w:rsidR="00AA35C8" w:rsidRPr="007D3529" w:rsidP="00AA35C8">
            <w:pPr>
              <w:spacing w:line="240" w:lineRule="auto"/>
              <w:ind w:left="-70"/>
              <w:jc w:val="right"/>
              <w:rPr>
                <w:rFonts w:ascii="Times New Roman" w:hAnsi="Times New Roman" w:cs="Times New Roman"/>
                <w:sz w:val="22"/>
                <w:szCs w:val="22"/>
              </w:rPr>
            </w:pPr>
            <w:r w:rsidRPr="007D3529">
              <w:rPr>
                <w:rFonts w:ascii="Times New Roman" w:hAnsi="Times New Roman" w:cs="Times New Roman"/>
                <w:sz w:val="22"/>
                <w:szCs w:val="22"/>
              </w:rPr>
              <w:t>1 263 405,80</w:t>
            </w:r>
          </w:p>
        </w:tc>
        <w:tc>
          <w:tcPr>
            <w:tcW w:w="1440" w:type="dxa"/>
            <w:tcBorders>
              <w:top w:val="single" w:sz="4" w:space="0" w:color="auto"/>
              <w:left w:val="nil"/>
              <w:bottom w:val="single" w:sz="4" w:space="0" w:color="auto"/>
              <w:right w:val="single" w:sz="4" w:space="0" w:color="auto"/>
              <w:tl2br w:val="nil"/>
              <w:tr2bl w:val="nil"/>
            </w:tcBorders>
            <w:noWrap/>
            <w:textDirection w:val="lrTb"/>
            <w:vAlign w:val="bottom"/>
          </w:tcPr>
          <w:p w:rsidR="00AA35C8" w:rsidRPr="007D3529" w:rsidP="00AA35C8">
            <w:pPr>
              <w:spacing w:line="240" w:lineRule="auto"/>
              <w:jc w:val="right"/>
              <w:rPr>
                <w:rFonts w:ascii="Times New Roman" w:hAnsi="Times New Roman" w:cs="Times New Roman"/>
                <w:sz w:val="22"/>
                <w:szCs w:val="22"/>
              </w:rPr>
            </w:pPr>
            <w:r w:rsidRPr="007D3529">
              <w:rPr>
                <w:rFonts w:ascii="Times New Roman" w:hAnsi="Times New Roman" w:cs="Times New Roman"/>
                <w:sz w:val="22"/>
                <w:szCs w:val="22"/>
              </w:rPr>
              <w:t>46 024 397,00</w:t>
            </w:r>
          </w:p>
        </w:tc>
        <w:tc>
          <w:tcPr>
            <w:tcW w:w="1390" w:type="dxa"/>
            <w:tcBorders>
              <w:top w:val="single" w:sz="4" w:space="0" w:color="auto"/>
              <w:left w:val="single" w:sz="4" w:space="0" w:color="auto"/>
              <w:bottom w:val="single" w:sz="4" w:space="0" w:color="auto"/>
              <w:right w:val="nil"/>
              <w:tl2br w:val="nil"/>
              <w:tr2bl w:val="nil"/>
            </w:tcBorders>
            <w:textDirection w:val="lrTb"/>
            <w:vAlign w:val="bottom"/>
          </w:tcPr>
          <w:p w:rsidR="00AA35C8" w:rsidRPr="007D3529" w:rsidP="00AA35C8">
            <w:pPr>
              <w:spacing w:line="240" w:lineRule="auto"/>
              <w:ind w:left="-70"/>
              <w:jc w:val="right"/>
              <w:rPr>
                <w:rFonts w:ascii="Times New Roman" w:hAnsi="Times New Roman" w:cs="Times New Roman"/>
                <w:sz w:val="22"/>
                <w:szCs w:val="22"/>
              </w:rPr>
            </w:pPr>
            <w:r w:rsidRPr="007D3529">
              <w:rPr>
                <w:rFonts w:ascii="Times New Roman" w:hAnsi="Times New Roman" w:cs="Times New Roman"/>
                <w:sz w:val="22"/>
                <w:szCs w:val="22"/>
              </w:rPr>
              <w:t>38 150 385,10</w:t>
            </w:r>
          </w:p>
        </w:tc>
        <w:tc>
          <w:tcPr>
            <w:tcW w:w="1203" w:type="dxa"/>
            <w:tcBorders>
              <w:top w:val="single" w:sz="4" w:space="0" w:color="auto"/>
              <w:left w:val="single" w:sz="4" w:space="0" w:color="auto"/>
              <w:bottom w:val="single" w:sz="4" w:space="0" w:color="auto"/>
              <w:right w:val="single" w:sz="4" w:space="0" w:color="auto"/>
              <w:tl2br w:val="nil"/>
              <w:tr2bl w:val="nil"/>
            </w:tcBorders>
            <w:noWrap/>
            <w:textDirection w:val="lrTb"/>
            <w:vAlign w:val="bottom"/>
          </w:tcPr>
          <w:p w:rsidR="00AA35C8" w:rsidRPr="007D3529" w:rsidP="00AA35C8">
            <w:pPr>
              <w:spacing w:line="240" w:lineRule="auto"/>
              <w:jc w:val="right"/>
              <w:rPr>
                <w:rFonts w:ascii="Times New Roman" w:hAnsi="Times New Roman" w:cs="Times New Roman"/>
                <w:sz w:val="22"/>
                <w:szCs w:val="22"/>
              </w:rPr>
            </w:pPr>
            <w:r w:rsidRPr="007D3529">
              <w:rPr>
                <w:rFonts w:ascii="Times New Roman" w:hAnsi="Times New Roman" w:cs="Times New Roman"/>
                <w:sz w:val="22"/>
                <w:szCs w:val="22"/>
              </w:rPr>
              <w:t>50 000,00</w:t>
            </w:r>
          </w:p>
        </w:tc>
        <w:tc>
          <w:tcPr>
            <w:tcW w:w="1509" w:type="dxa"/>
            <w:tcBorders>
              <w:top w:val="single" w:sz="4" w:space="0" w:color="auto"/>
              <w:left w:val="single" w:sz="8" w:space="0" w:color="auto"/>
              <w:bottom w:val="single" w:sz="4" w:space="0" w:color="auto"/>
              <w:right w:val="single" w:sz="8" w:space="0" w:color="auto"/>
              <w:tl2br w:val="nil"/>
              <w:tr2bl w:val="nil"/>
            </w:tcBorders>
            <w:shd w:val="clear" w:color="auto" w:fill="FFFFFF"/>
            <w:noWrap/>
            <w:textDirection w:val="lrTb"/>
            <w:vAlign w:val="bottom"/>
          </w:tcPr>
          <w:p w:rsidR="00AA35C8" w:rsidRPr="007D3529" w:rsidP="00AA35C8">
            <w:pPr>
              <w:spacing w:line="240" w:lineRule="auto"/>
              <w:jc w:val="right"/>
              <w:rPr>
                <w:rFonts w:ascii="Times New Roman" w:hAnsi="Times New Roman" w:cs="Times New Roman"/>
                <w:b/>
                <w:bCs/>
              </w:rPr>
            </w:pPr>
            <w:r w:rsidRPr="007D3529">
              <w:rPr>
                <w:rFonts w:ascii="Times New Roman" w:hAnsi="Times New Roman" w:cs="Times New Roman"/>
                <w:b/>
                <w:bCs/>
              </w:rPr>
              <w:t>85 488 187,90</w:t>
            </w:r>
          </w:p>
        </w:tc>
        <w:tc>
          <w:tcPr>
            <w:tcW w:w="1044" w:type="dxa"/>
            <w:tcBorders>
              <w:top w:val="single" w:sz="4" w:space="0" w:color="auto"/>
              <w:left w:val="nil"/>
              <w:bottom w:val="single" w:sz="4" w:space="0" w:color="auto"/>
              <w:right w:val="single" w:sz="4" w:space="0" w:color="auto"/>
              <w:tl2br w:val="nil"/>
              <w:tr2bl w:val="nil"/>
            </w:tcBorders>
            <w:noWrap/>
            <w:textDirection w:val="lrTb"/>
            <w:vAlign w:val="bottom"/>
          </w:tcPr>
          <w:p w:rsidR="00AA35C8" w:rsidRPr="007D3529" w:rsidP="00AA35C8">
            <w:pPr>
              <w:spacing w:line="240" w:lineRule="auto"/>
              <w:jc w:val="right"/>
              <w:rPr>
                <w:rFonts w:ascii="Times New Roman" w:hAnsi="Times New Roman" w:cs="Times New Roman"/>
                <w:sz w:val="22"/>
                <w:szCs w:val="22"/>
              </w:rPr>
            </w:pPr>
            <w:r w:rsidRPr="007D3529">
              <w:rPr>
                <w:rFonts w:ascii="Times New Roman" w:hAnsi="Times New Roman" w:cs="Times New Roman"/>
                <w:sz w:val="22"/>
                <w:szCs w:val="22"/>
              </w:rPr>
              <w:t>$1 467,09</w:t>
            </w:r>
          </w:p>
        </w:tc>
        <w:tc>
          <w:tcPr>
            <w:tcW w:w="794" w:type="dxa"/>
            <w:tcBorders>
              <w:top w:val="single" w:sz="4" w:space="0" w:color="auto"/>
              <w:left w:val="nil"/>
              <w:bottom w:val="single" w:sz="4" w:space="0" w:color="auto"/>
              <w:right w:val="double" w:sz="4" w:space="0" w:color="auto"/>
              <w:tl2br w:val="nil"/>
              <w:tr2bl w:val="nil"/>
            </w:tcBorders>
            <w:noWrap/>
            <w:textDirection w:val="lrTb"/>
            <w:vAlign w:val="bottom"/>
          </w:tcPr>
          <w:p w:rsidR="00AA35C8" w:rsidRPr="007D3529" w:rsidP="00AA35C8">
            <w:pPr>
              <w:spacing w:line="240" w:lineRule="auto"/>
              <w:ind w:left="-46"/>
              <w:jc w:val="center"/>
              <w:rPr>
                <w:rFonts w:ascii="Times New Roman" w:hAnsi="Times New Roman" w:cs="Times New Roman"/>
                <w:sz w:val="22"/>
                <w:szCs w:val="22"/>
              </w:rPr>
            </w:pPr>
            <w:r w:rsidRPr="007D3529">
              <w:rPr>
                <w:rFonts w:ascii="Times New Roman" w:hAnsi="Times New Roman" w:cs="Times New Roman"/>
                <w:sz w:val="22"/>
                <w:szCs w:val="22"/>
              </w:rPr>
              <w:t>€ 0,00</w:t>
            </w:r>
          </w:p>
        </w:tc>
      </w:tr>
      <w:tr>
        <w:tblPrEx>
          <w:tblW w:w="9743" w:type="dxa"/>
          <w:tblInd w:w="47" w:type="dxa"/>
          <w:tblCellMar>
            <w:left w:w="70" w:type="dxa"/>
            <w:right w:w="70" w:type="dxa"/>
          </w:tblCellMar>
        </w:tblPrEx>
        <w:trPr>
          <w:trHeight w:val="285"/>
        </w:trPr>
        <w:tc>
          <w:tcPr>
            <w:tcW w:w="1103" w:type="dxa"/>
            <w:tcBorders>
              <w:top w:val="single" w:sz="4" w:space="0" w:color="auto"/>
              <w:left w:val="double" w:sz="4" w:space="0" w:color="auto"/>
              <w:bottom w:val="single" w:sz="4" w:space="0" w:color="auto"/>
              <w:right w:val="double" w:sz="6" w:space="0" w:color="auto"/>
              <w:tl2br w:val="nil"/>
              <w:tr2bl w:val="nil"/>
            </w:tcBorders>
            <w:noWrap/>
            <w:textDirection w:val="lrTb"/>
            <w:vAlign w:val="bottom"/>
          </w:tcPr>
          <w:p w:rsidR="00AA35C8" w:rsidRPr="007D3529" w:rsidP="00AA35C8">
            <w:pPr>
              <w:spacing w:line="240" w:lineRule="auto"/>
              <w:ind w:left="-47" w:right="-70"/>
              <w:jc w:val="center"/>
              <w:rPr>
                <w:rFonts w:ascii="Times New Roman" w:hAnsi="Times New Roman" w:cs="Times New Roman"/>
                <w:b/>
                <w:bCs/>
                <w:sz w:val="22"/>
                <w:szCs w:val="22"/>
              </w:rPr>
            </w:pPr>
            <w:r w:rsidRPr="007D3529">
              <w:rPr>
                <w:rFonts w:ascii="Times New Roman" w:hAnsi="Times New Roman" w:cs="Times New Roman"/>
                <w:b/>
                <w:bCs/>
                <w:sz w:val="22"/>
                <w:szCs w:val="22"/>
              </w:rPr>
              <w:t>K 31.03.07</w:t>
            </w:r>
          </w:p>
        </w:tc>
        <w:tc>
          <w:tcPr>
            <w:tcW w:w="1260" w:type="dxa"/>
            <w:tcBorders>
              <w:top w:val="single" w:sz="4" w:space="0" w:color="auto"/>
              <w:left w:val="nil"/>
              <w:bottom w:val="single" w:sz="4" w:space="0" w:color="auto"/>
              <w:right w:val="single" w:sz="4" w:space="0" w:color="auto"/>
              <w:tl2br w:val="nil"/>
              <w:tr2bl w:val="nil"/>
            </w:tcBorders>
            <w:noWrap/>
            <w:textDirection w:val="lrTb"/>
            <w:vAlign w:val="bottom"/>
          </w:tcPr>
          <w:p w:rsidR="00AA35C8" w:rsidRPr="007D3529" w:rsidP="00AA35C8">
            <w:pPr>
              <w:spacing w:line="240" w:lineRule="auto"/>
              <w:jc w:val="right"/>
              <w:rPr>
                <w:rFonts w:ascii="Times New Roman" w:hAnsi="Times New Roman" w:cs="Times New Roman"/>
                <w:sz w:val="22"/>
                <w:szCs w:val="22"/>
              </w:rPr>
            </w:pPr>
            <w:r w:rsidRPr="007D3529">
              <w:rPr>
                <w:rFonts w:ascii="Times New Roman" w:hAnsi="Times New Roman" w:cs="Times New Roman"/>
                <w:sz w:val="22"/>
                <w:szCs w:val="22"/>
              </w:rPr>
              <w:t>554 374,80</w:t>
            </w:r>
          </w:p>
        </w:tc>
        <w:tc>
          <w:tcPr>
            <w:tcW w:w="1440" w:type="dxa"/>
            <w:tcBorders>
              <w:top w:val="single" w:sz="4" w:space="0" w:color="auto"/>
              <w:left w:val="nil"/>
              <w:bottom w:val="single" w:sz="4" w:space="0" w:color="auto"/>
              <w:right w:val="single" w:sz="4" w:space="0" w:color="auto"/>
              <w:tl2br w:val="nil"/>
              <w:tr2bl w:val="nil"/>
            </w:tcBorders>
            <w:noWrap/>
            <w:textDirection w:val="lrTb"/>
            <w:vAlign w:val="bottom"/>
          </w:tcPr>
          <w:p w:rsidR="00AA35C8" w:rsidRPr="007D3529" w:rsidP="00AA35C8">
            <w:pPr>
              <w:spacing w:line="240" w:lineRule="auto"/>
              <w:jc w:val="right"/>
              <w:rPr>
                <w:rFonts w:ascii="Times New Roman" w:hAnsi="Times New Roman" w:cs="Times New Roman"/>
                <w:sz w:val="22"/>
                <w:szCs w:val="22"/>
              </w:rPr>
            </w:pPr>
            <w:r w:rsidRPr="007D3529">
              <w:rPr>
                <w:rFonts w:ascii="Times New Roman" w:hAnsi="Times New Roman" w:cs="Times New Roman"/>
                <w:sz w:val="22"/>
                <w:szCs w:val="22"/>
              </w:rPr>
              <w:t>10 261,00</w:t>
            </w:r>
          </w:p>
        </w:tc>
        <w:tc>
          <w:tcPr>
            <w:tcW w:w="1390" w:type="dxa"/>
            <w:tcBorders>
              <w:top w:val="single" w:sz="4" w:space="0" w:color="auto"/>
              <w:left w:val="single" w:sz="4" w:space="0" w:color="auto"/>
              <w:bottom w:val="single" w:sz="4" w:space="0" w:color="auto"/>
              <w:right w:val="nil"/>
              <w:tl2br w:val="nil"/>
              <w:tr2bl w:val="nil"/>
            </w:tcBorders>
            <w:textDirection w:val="lrTb"/>
            <w:vAlign w:val="bottom"/>
          </w:tcPr>
          <w:p w:rsidR="00AA35C8" w:rsidRPr="007D3529" w:rsidP="00AA35C8">
            <w:pPr>
              <w:spacing w:line="240" w:lineRule="auto"/>
              <w:ind w:left="-70"/>
              <w:jc w:val="right"/>
              <w:rPr>
                <w:rFonts w:ascii="Times New Roman" w:hAnsi="Times New Roman" w:cs="Times New Roman"/>
                <w:sz w:val="22"/>
                <w:szCs w:val="22"/>
              </w:rPr>
            </w:pPr>
            <w:r w:rsidRPr="007D3529">
              <w:rPr>
                <w:rFonts w:ascii="Times New Roman" w:hAnsi="Times New Roman" w:cs="Times New Roman"/>
                <w:sz w:val="22"/>
                <w:szCs w:val="22"/>
              </w:rPr>
              <w:t>12 927 235,40</w:t>
            </w:r>
          </w:p>
        </w:tc>
        <w:tc>
          <w:tcPr>
            <w:tcW w:w="1203" w:type="dxa"/>
            <w:tcBorders>
              <w:top w:val="single" w:sz="4" w:space="0" w:color="auto"/>
              <w:left w:val="single" w:sz="4" w:space="0" w:color="auto"/>
              <w:bottom w:val="single" w:sz="4" w:space="0" w:color="auto"/>
              <w:right w:val="single" w:sz="4" w:space="0" w:color="auto"/>
              <w:tl2br w:val="nil"/>
              <w:tr2bl w:val="nil"/>
            </w:tcBorders>
            <w:noWrap/>
            <w:textDirection w:val="lrTb"/>
            <w:vAlign w:val="bottom"/>
          </w:tcPr>
          <w:p w:rsidR="00AA35C8" w:rsidRPr="007D3529" w:rsidP="00AA35C8">
            <w:pPr>
              <w:spacing w:line="240" w:lineRule="auto"/>
              <w:jc w:val="right"/>
              <w:rPr>
                <w:rFonts w:ascii="Times New Roman" w:hAnsi="Times New Roman" w:cs="Times New Roman"/>
                <w:sz w:val="22"/>
                <w:szCs w:val="22"/>
              </w:rPr>
            </w:pPr>
            <w:r w:rsidRPr="007D3529">
              <w:rPr>
                <w:rFonts w:ascii="Times New Roman" w:hAnsi="Times New Roman" w:cs="Times New Roman"/>
                <w:sz w:val="22"/>
                <w:szCs w:val="22"/>
              </w:rPr>
              <w:t>133 000,00</w:t>
            </w:r>
          </w:p>
        </w:tc>
        <w:tc>
          <w:tcPr>
            <w:tcW w:w="1509" w:type="dxa"/>
            <w:tcBorders>
              <w:top w:val="single" w:sz="4" w:space="0" w:color="auto"/>
              <w:left w:val="single" w:sz="8" w:space="0" w:color="auto"/>
              <w:bottom w:val="single" w:sz="4" w:space="0" w:color="auto"/>
              <w:right w:val="single" w:sz="8" w:space="0" w:color="auto"/>
              <w:tl2br w:val="nil"/>
              <w:tr2bl w:val="nil"/>
            </w:tcBorders>
            <w:shd w:val="clear" w:color="auto" w:fill="FFFFFF"/>
            <w:noWrap/>
            <w:textDirection w:val="lrTb"/>
            <w:vAlign w:val="bottom"/>
          </w:tcPr>
          <w:p w:rsidR="00AA35C8" w:rsidRPr="007D3529" w:rsidP="00AA35C8">
            <w:pPr>
              <w:spacing w:line="240" w:lineRule="auto"/>
              <w:jc w:val="right"/>
              <w:rPr>
                <w:rFonts w:ascii="Times New Roman" w:hAnsi="Times New Roman" w:cs="Times New Roman"/>
                <w:b/>
                <w:bCs/>
              </w:rPr>
            </w:pPr>
            <w:r w:rsidRPr="007D3529">
              <w:rPr>
                <w:rFonts w:ascii="Times New Roman" w:hAnsi="Times New Roman" w:cs="Times New Roman"/>
                <w:b/>
                <w:bCs/>
              </w:rPr>
              <w:t>13 624 871,20</w:t>
            </w:r>
          </w:p>
        </w:tc>
        <w:tc>
          <w:tcPr>
            <w:tcW w:w="1044" w:type="dxa"/>
            <w:tcBorders>
              <w:top w:val="single" w:sz="4" w:space="0" w:color="auto"/>
              <w:left w:val="nil"/>
              <w:bottom w:val="single" w:sz="4" w:space="0" w:color="auto"/>
              <w:right w:val="single" w:sz="4" w:space="0" w:color="auto"/>
              <w:tl2br w:val="nil"/>
              <w:tr2bl w:val="nil"/>
            </w:tcBorders>
            <w:noWrap/>
            <w:textDirection w:val="lrTb"/>
            <w:vAlign w:val="bottom"/>
          </w:tcPr>
          <w:p w:rsidR="00AA35C8" w:rsidRPr="007D3529" w:rsidP="00AA35C8">
            <w:pPr>
              <w:spacing w:line="240" w:lineRule="auto"/>
              <w:jc w:val="right"/>
              <w:rPr>
                <w:rFonts w:ascii="Times New Roman" w:hAnsi="Times New Roman" w:cs="Times New Roman"/>
                <w:sz w:val="22"/>
                <w:szCs w:val="22"/>
              </w:rPr>
            </w:pPr>
            <w:r w:rsidRPr="007D3529">
              <w:rPr>
                <w:rFonts w:ascii="Times New Roman" w:hAnsi="Times New Roman" w:cs="Times New Roman"/>
                <w:sz w:val="22"/>
                <w:szCs w:val="22"/>
              </w:rPr>
              <w:t>$0,00</w:t>
            </w:r>
          </w:p>
        </w:tc>
        <w:tc>
          <w:tcPr>
            <w:tcW w:w="794" w:type="dxa"/>
            <w:tcBorders>
              <w:top w:val="single" w:sz="4" w:space="0" w:color="auto"/>
              <w:left w:val="nil"/>
              <w:bottom w:val="single" w:sz="4" w:space="0" w:color="auto"/>
              <w:right w:val="double" w:sz="4" w:space="0" w:color="auto"/>
              <w:tl2br w:val="nil"/>
              <w:tr2bl w:val="nil"/>
            </w:tcBorders>
            <w:noWrap/>
            <w:textDirection w:val="lrTb"/>
            <w:vAlign w:val="bottom"/>
          </w:tcPr>
          <w:p w:rsidR="00AA35C8" w:rsidRPr="007D3529" w:rsidP="00AA35C8">
            <w:pPr>
              <w:spacing w:line="240" w:lineRule="auto"/>
              <w:ind w:left="-46"/>
              <w:jc w:val="center"/>
              <w:rPr>
                <w:rFonts w:ascii="Times New Roman" w:hAnsi="Times New Roman" w:cs="Times New Roman"/>
                <w:sz w:val="22"/>
                <w:szCs w:val="22"/>
              </w:rPr>
            </w:pPr>
            <w:r w:rsidRPr="007D3529">
              <w:rPr>
                <w:rFonts w:ascii="Times New Roman" w:hAnsi="Times New Roman" w:cs="Times New Roman"/>
                <w:sz w:val="22"/>
                <w:szCs w:val="22"/>
              </w:rPr>
              <w:t>€ 0,00</w:t>
            </w:r>
          </w:p>
        </w:tc>
      </w:tr>
      <w:tr>
        <w:tblPrEx>
          <w:tblW w:w="9743" w:type="dxa"/>
          <w:tblInd w:w="47" w:type="dxa"/>
          <w:tblCellMar>
            <w:left w:w="70" w:type="dxa"/>
            <w:right w:w="70" w:type="dxa"/>
          </w:tblCellMar>
        </w:tblPrEx>
        <w:trPr>
          <w:trHeight w:val="300"/>
        </w:trPr>
        <w:tc>
          <w:tcPr>
            <w:tcW w:w="1103" w:type="dxa"/>
            <w:tcBorders>
              <w:top w:val="single" w:sz="4" w:space="0" w:color="auto"/>
              <w:left w:val="double" w:sz="4" w:space="0" w:color="auto"/>
              <w:bottom w:val="single" w:sz="4" w:space="0" w:color="auto"/>
              <w:right w:val="double" w:sz="6" w:space="0" w:color="auto"/>
              <w:tl2br w:val="nil"/>
              <w:tr2bl w:val="nil"/>
            </w:tcBorders>
            <w:noWrap/>
            <w:textDirection w:val="lrTb"/>
            <w:vAlign w:val="bottom"/>
          </w:tcPr>
          <w:p w:rsidR="00AA35C8" w:rsidRPr="007D3529" w:rsidP="00AA35C8">
            <w:pPr>
              <w:spacing w:line="240" w:lineRule="auto"/>
              <w:ind w:left="-47" w:right="-70"/>
              <w:jc w:val="center"/>
              <w:rPr>
                <w:rFonts w:ascii="Times New Roman" w:hAnsi="Times New Roman" w:cs="Times New Roman"/>
                <w:b/>
                <w:bCs/>
                <w:sz w:val="22"/>
                <w:szCs w:val="22"/>
              </w:rPr>
            </w:pPr>
            <w:r w:rsidRPr="007D3529">
              <w:rPr>
                <w:rFonts w:ascii="Times New Roman" w:hAnsi="Times New Roman" w:cs="Times New Roman"/>
                <w:b/>
                <w:bCs/>
                <w:sz w:val="22"/>
                <w:szCs w:val="22"/>
              </w:rPr>
              <w:t>K 30.06.07</w:t>
            </w:r>
          </w:p>
        </w:tc>
        <w:tc>
          <w:tcPr>
            <w:tcW w:w="1260" w:type="dxa"/>
            <w:tcBorders>
              <w:top w:val="single" w:sz="4" w:space="0" w:color="auto"/>
              <w:left w:val="nil"/>
              <w:bottom w:val="single" w:sz="4" w:space="0" w:color="auto"/>
              <w:right w:val="single" w:sz="4" w:space="0" w:color="auto"/>
              <w:tl2br w:val="nil"/>
              <w:tr2bl w:val="nil"/>
            </w:tcBorders>
            <w:noWrap/>
            <w:textDirection w:val="lrTb"/>
            <w:vAlign w:val="bottom"/>
          </w:tcPr>
          <w:p w:rsidR="00AA35C8" w:rsidRPr="007D3529" w:rsidP="00AA35C8">
            <w:pPr>
              <w:spacing w:line="240" w:lineRule="auto"/>
              <w:jc w:val="right"/>
              <w:rPr>
                <w:rFonts w:ascii="Times New Roman" w:hAnsi="Times New Roman" w:cs="Times New Roman"/>
              </w:rPr>
            </w:pPr>
            <w:r w:rsidRPr="007D3529">
              <w:rPr>
                <w:rFonts w:ascii="Times New Roman" w:hAnsi="Times New Roman" w:cs="Times New Roman"/>
              </w:rPr>
              <w:t>711 016,30</w:t>
            </w:r>
          </w:p>
        </w:tc>
        <w:tc>
          <w:tcPr>
            <w:tcW w:w="1440" w:type="dxa"/>
            <w:tcBorders>
              <w:top w:val="single" w:sz="4" w:space="0" w:color="auto"/>
              <w:left w:val="nil"/>
              <w:bottom w:val="single" w:sz="4" w:space="0" w:color="auto"/>
              <w:right w:val="single" w:sz="4" w:space="0" w:color="auto"/>
              <w:tl2br w:val="nil"/>
              <w:tr2bl w:val="nil"/>
            </w:tcBorders>
            <w:noWrap/>
            <w:textDirection w:val="lrTb"/>
            <w:vAlign w:val="bottom"/>
          </w:tcPr>
          <w:p w:rsidR="00AA35C8" w:rsidRPr="007D3529" w:rsidP="00AA35C8">
            <w:pPr>
              <w:spacing w:line="240" w:lineRule="auto"/>
              <w:jc w:val="right"/>
              <w:rPr>
                <w:rFonts w:ascii="Times New Roman" w:hAnsi="Times New Roman" w:cs="Times New Roman"/>
              </w:rPr>
            </w:pPr>
            <w:r w:rsidRPr="007D3529">
              <w:rPr>
                <w:rFonts w:ascii="Times New Roman" w:hAnsi="Times New Roman" w:cs="Times New Roman"/>
              </w:rPr>
              <w:t>30 895,00</w:t>
            </w:r>
          </w:p>
        </w:tc>
        <w:tc>
          <w:tcPr>
            <w:tcW w:w="1390" w:type="dxa"/>
            <w:tcBorders>
              <w:top w:val="single" w:sz="4" w:space="0" w:color="auto"/>
              <w:left w:val="single" w:sz="4" w:space="0" w:color="auto"/>
              <w:bottom w:val="single" w:sz="4" w:space="0" w:color="auto"/>
              <w:right w:val="nil"/>
              <w:tl2br w:val="nil"/>
              <w:tr2bl w:val="nil"/>
            </w:tcBorders>
            <w:textDirection w:val="lrTb"/>
            <w:vAlign w:val="bottom"/>
          </w:tcPr>
          <w:p w:rsidR="00AA35C8" w:rsidRPr="007D3529" w:rsidP="00AA35C8">
            <w:pPr>
              <w:spacing w:line="240" w:lineRule="auto"/>
              <w:jc w:val="right"/>
              <w:rPr>
                <w:rFonts w:ascii="Times New Roman" w:hAnsi="Times New Roman" w:cs="Times New Roman"/>
              </w:rPr>
            </w:pPr>
            <w:r w:rsidRPr="007D3529">
              <w:rPr>
                <w:rFonts w:ascii="Times New Roman" w:hAnsi="Times New Roman" w:cs="Times New Roman"/>
              </w:rPr>
              <w:t>16 95</w:t>
            </w:r>
            <w:r w:rsidRPr="007D3529">
              <w:rPr>
                <w:rFonts w:ascii="Times New Roman" w:hAnsi="Times New Roman" w:cs="Times New Roman"/>
              </w:rPr>
              <w:t>3 817,00</w:t>
            </w:r>
          </w:p>
        </w:tc>
        <w:tc>
          <w:tcPr>
            <w:tcW w:w="1203" w:type="dxa"/>
            <w:tcBorders>
              <w:top w:val="single" w:sz="4" w:space="0" w:color="auto"/>
              <w:left w:val="single" w:sz="4" w:space="0" w:color="auto"/>
              <w:bottom w:val="single" w:sz="4" w:space="0" w:color="auto"/>
              <w:right w:val="single" w:sz="4" w:space="0" w:color="auto"/>
              <w:tl2br w:val="nil"/>
              <w:tr2bl w:val="nil"/>
            </w:tcBorders>
            <w:noWrap/>
            <w:textDirection w:val="lrTb"/>
            <w:vAlign w:val="bottom"/>
          </w:tcPr>
          <w:p w:rsidR="00AA35C8" w:rsidRPr="007D3529" w:rsidP="00AA35C8">
            <w:pPr>
              <w:spacing w:line="240" w:lineRule="auto"/>
              <w:jc w:val="right"/>
              <w:rPr>
                <w:rFonts w:ascii="Times New Roman" w:hAnsi="Times New Roman" w:cs="Times New Roman"/>
              </w:rPr>
            </w:pPr>
            <w:r w:rsidRPr="007D3529">
              <w:rPr>
                <w:rFonts w:ascii="Times New Roman" w:hAnsi="Times New Roman" w:cs="Times New Roman"/>
              </w:rPr>
              <w:t>589 330,00</w:t>
            </w:r>
          </w:p>
        </w:tc>
        <w:tc>
          <w:tcPr>
            <w:tcW w:w="1509" w:type="dxa"/>
            <w:tcBorders>
              <w:top w:val="single" w:sz="4" w:space="0" w:color="auto"/>
              <w:left w:val="single" w:sz="8" w:space="0" w:color="auto"/>
              <w:bottom w:val="single" w:sz="4" w:space="0" w:color="auto"/>
              <w:right w:val="single" w:sz="8" w:space="0" w:color="auto"/>
              <w:tl2br w:val="nil"/>
              <w:tr2bl w:val="nil"/>
            </w:tcBorders>
            <w:shd w:val="clear" w:color="auto" w:fill="FFFFFF"/>
            <w:noWrap/>
            <w:textDirection w:val="lrTb"/>
            <w:vAlign w:val="bottom"/>
          </w:tcPr>
          <w:p w:rsidR="00AA35C8" w:rsidRPr="007D3529" w:rsidP="00AA35C8">
            <w:pPr>
              <w:spacing w:line="240" w:lineRule="auto"/>
              <w:jc w:val="right"/>
              <w:rPr>
                <w:rFonts w:ascii="Times New Roman" w:hAnsi="Times New Roman" w:cs="Times New Roman"/>
                <w:b/>
                <w:bCs/>
              </w:rPr>
            </w:pPr>
            <w:r w:rsidRPr="007D3529">
              <w:rPr>
                <w:rFonts w:ascii="Times New Roman" w:hAnsi="Times New Roman" w:cs="Times New Roman"/>
                <w:b/>
                <w:bCs/>
              </w:rPr>
              <w:t>18 285 058,30</w:t>
            </w:r>
          </w:p>
        </w:tc>
        <w:tc>
          <w:tcPr>
            <w:tcW w:w="1044" w:type="dxa"/>
            <w:tcBorders>
              <w:top w:val="single" w:sz="4" w:space="0" w:color="auto"/>
              <w:left w:val="nil"/>
              <w:bottom w:val="single" w:sz="4" w:space="0" w:color="auto"/>
              <w:right w:val="single" w:sz="4" w:space="0" w:color="auto"/>
              <w:tl2br w:val="nil"/>
              <w:tr2bl w:val="nil"/>
            </w:tcBorders>
            <w:noWrap/>
            <w:textDirection w:val="lrTb"/>
            <w:vAlign w:val="bottom"/>
          </w:tcPr>
          <w:p w:rsidR="00AA35C8" w:rsidRPr="007D3529" w:rsidP="00AA35C8">
            <w:pPr>
              <w:spacing w:line="240" w:lineRule="auto"/>
              <w:jc w:val="right"/>
              <w:rPr>
                <w:rFonts w:ascii="Times New Roman" w:hAnsi="Times New Roman" w:cs="Times New Roman"/>
                <w:bCs/>
              </w:rPr>
            </w:pPr>
            <w:r w:rsidRPr="007D3529">
              <w:rPr>
                <w:rFonts w:ascii="Times New Roman" w:hAnsi="Times New Roman" w:cs="Times New Roman"/>
              </w:rPr>
              <w:t>$ 0,00</w:t>
            </w:r>
          </w:p>
        </w:tc>
        <w:tc>
          <w:tcPr>
            <w:tcW w:w="794" w:type="dxa"/>
            <w:tcBorders>
              <w:top w:val="single" w:sz="4" w:space="0" w:color="auto"/>
              <w:left w:val="nil"/>
              <w:bottom w:val="single" w:sz="4" w:space="0" w:color="auto"/>
              <w:right w:val="double" w:sz="4" w:space="0" w:color="auto"/>
              <w:tl2br w:val="nil"/>
              <w:tr2bl w:val="nil"/>
            </w:tcBorders>
            <w:noWrap/>
            <w:textDirection w:val="lrTb"/>
            <w:vAlign w:val="bottom"/>
          </w:tcPr>
          <w:p w:rsidR="00AA35C8" w:rsidRPr="007D3529" w:rsidP="00AA35C8">
            <w:pPr>
              <w:spacing w:line="240" w:lineRule="auto"/>
              <w:ind w:left="-46"/>
              <w:jc w:val="center"/>
              <w:rPr>
                <w:rFonts w:ascii="Times New Roman" w:hAnsi="Times New Roman" w:cs="Times New Roman"/>
                <w:sz w:val="22"/>
                <w:szCs w:val="22"/>
              </w:rPr>
            </w:pPr>
            <w:r w:rsidRPr="007D3529">
              <w:rPr>
                <w:rFonts w:ascii="Times New Roman" w:hAnsi="Times New Roman" w:cs="Times New Roman"/>
                <w:sz w:val="22"/>
                <w:szCs w:val="22"/>
              </w:rPr>
              <w:t>€ 0,00</w:t>
            </w:r>
          </w:p>
        </w:tc>
      </w:tr>
      <w:tr>
        <w:tblPrEx>
          <w:tblW w:w="9743" w:type="dxa"/>
          <w:tblInd w:w="47" w:type="dxa"/>
          <w:tblCellMar>
            <w:left w:w="70" w:type="dxa"/>
            <w:right w:w="70" w:type="dxa"/>
          </w:tblCellMar>
        </w:tblPrEx>
        <w:trPr>
          <w:trHeight w:val="195"/>
        </w:trPr>
        <w:tc>
          <w:tcPr>
            <w:tcW w:w="1103" w:type="dxa"/>
            <w:tcBorders>
              <w:top w:val="single" w:sz="4" w:space="0" w:color="auto"/>
              <w:left w:val="double" w:sz="4" w:space="0" w:color="auto"/>
              <w:bottom w:val="thinThickSmallGap" w:sz="24" w:space="0" w:color="auto"/>
              <w:right w:val="double" w:sz="6" w:space="0" w:color="auto"/>
              <w:tl2br w:val="nil"/>
              <w:tr2bl w:val="nil"/>
            </w:tcBorders>
            <w:noWrap/>
            <w:textDirection w:val="lrTb"/>
            <w:vAlign w:val="bottom"/>
          </w:tcPr>
          <w:p w:rsidR="00AA35C8" w:rsidRPr="007D3529" w:rsidP="00AA35C8">
            <w:pPr>
              <w:spacing w:line="240" w:lineRule="auto"/>
              <w:ind w:left="-47" w:right="-70"/>
              <w:jc w:val="center"/>
              <w:rPr>
                <w:rFonts w:ascii="Times New Roman" w:hAnsi="Times New Roman" w:cs="Times New Roman"/>
                <w:b/>
                <w:bCs/>
                <w:sz w:val="22"/>
                <w:szCs w:val="22"/>
              </w:rPr>
            </w:pPr>
            <w:r w:rsidRPr="007D3529">
              <w:rPr>
                <w:rFonts w:ascii="Times New Roman" w:hAnsi="Times New Roman" w:cs="Times New Roman"/>
                <w:b/>
                <w:bCs/>
                <w:sz w:val="22"/>
                <w:szCs w:val="22"/>
              </w:rPr>
              <w:t>K 30.09.07</w:t>
            </w:r>
          </w:p>
        </w:tc>
        <w:tc>
          <w:tcPr>
            <w:tcW w:w="1260" w:type="dxa"/>
            <w:tcBorders>
              <w:top w:val="single" w:sz="4" w:space="0" w:color="auto"/>
              <w:left w:val="nil"/>
              <w:bottom w:val="thinThickSmallGap" w:sz="24" w:space="0" w:color="auto"/>
              <w:right w:val="single" w:sz="4" w:space="0" w:color="auto"/>
              <w:tl2br w:val="nil"/>
              <w:tr2bl w:val="nil"/>
            </w:tcBorders>
            <w:noWrap/>
            <w:textDirection w:val="lrTb"/>
            <w:vAlign w:val="bottom"/>
          </w:tcPr>
          <w:p w:rsidR="00AA35C8" w:rsidRPr="007D3529" w:rsidP="00AA35C8">
            <w:pPr>
              <w:spacing w:line="240" w:lineRule="auto"/>
              <w:jc w:val="right"/>
              <w:rPr>
                <w:rFonts w:ascii="Times New Roman" w:hAnsi="Times New Roman" w:cs="Times New Roman"/>
              </w:rPr>
            </w:pPr>
            <w:r w:rsidRPr="007D3529">
              <w:rPr>
                <w:rFonts w:ascii="Times New Roman" w:hAnsi="Times New Roman" w:cs="Times New Roman"/>
              </w:rPr>
              <w:t>954 900,30</w:t>
            </w:r>
          </w:p>
        </w:tc>
        <w:tc>
          <w:tcPr>
            <w:tcW w:w="1440" w:type="dxa"/>
            <w:tcBorders>
              <w:top w:val="single" w:sz="4" w:space="0" w:color="auto"/>
              <w:left w:val="nil"/>
              <w:bottom w:val="thinThickSmallGap" w:sz="24" w:space="0" w:color="auto"/>
              <w:right w:val="single" w:sz="4" w:space="0" w:color="auto"/>
              <w:tl2br w:val="nil"/>
              <w:tr2bl w:val="nil"/>
            </w:tcBorders>
            <w:noWrap/>
            <w:textDirection w:val="lrTb"/>
            <w:vAlign w:val="bottom"/>
          </w:tcPr>
          <w:p w:rsidR="00AA35C8" w:rsidRPr="007D3529" w:rsidP="00AA35C8">
            <w:pPr>
              <w:spacing w:line="240" w:lineRule="auto"/>
              <w:jc w:val="right"/>
              <w:rPr>
                <w:rFonts w:ascii="Times New Roman" w:hAnsi="Times New Roman" w:cs="Times New Roman"/>
              </w:rPr>
            </w:pPr>
            <w:r w:rsidRPr="007D3529">
              <w:rPr>
                <w:rFonts w:ascii="Times New Roman" w:hAnsi="Times New Roman" w:cs="Times New Roman"/>
              </w:rPr>
              <w:t>466 560,00</w:t>
            </w:r>
          </w:p>
        </w:tc>
        <w:tc>
          <w:tcPr>
            <w:tcW w:w="1390" w:type="dxa"/>
            <w:tcBorders>
              <w:top w:val="single" w:sz="4" w:space="0" w:color="auto"/>
              <w:left w:val="single" w:sz="4" w:space="0" w:color="auto"/>
              <w:bottom w:val="thinThickSmallGap" w:sz="24" w:space="0" w:color="auto"/>
              <w:right w:val="nil"/>
              <w:tl2br w:val="nil"/>
              <w:tr2bl w:val="nil"/>
            </w:tcBorders>
            <w:textDirection w:val="lrTb"/>
            <w:vAlign w:val="bottom"/>
          </w:tcPr>
          <w:p w:rsidR="00AA35C8" w:rsidRPr="007D3529" w:rsidP="00AA35C8">
            <w:pPr>
              <w:spacing w:line="240" w:lineRule="auto"/>
              <w:jc w:val="right"/>
              <w:rPr>
                <w:rFonts w:ascii="Times New Roman" w:hAnsi="Times New Roman" w:cs="Times New Roman"/>
              </w:rPr>
            </w:pPr>
            <w:r w:rsidRPr="007D3529">
              <w:rPr>
                <w:rFonts w:ascii="Times New Roman" w:hAnsi="Times New Roman" w:cs="Times New Roman"/>
              </w:rPr>
              <w:t>28 182 749,40</w:t>
            </w:r>
          </w:p>
        </w:tc>
        <w:tc>
          <w:tcPr>
            <w:tcW w:w="1203" w:type="dxa"/>
            <w:tcBorders>
              <w:top w:val="single" w:sz="4" w:space="0" w:color="auto"/>
              <w:left w:val="single" w:sz="4" w:space="0" w:color="auto"/>
              <w:bottom w:val="thinThickSmallGap" w:sz="24" w:space="0" w:color="auto"/>
              <w:right w:val="single" w:sz="4" w:space="0" w:color="auto"/>
              <w:tl2br w:val="nil"/>
              <w:tr2bl w:val="nil"/>
            </w:tcBorders>
            <w:noWrap/>
            <w:textDirection w:val="lrTb"/>
            <w:vAlign w:val="bottom"/>
          </w:tcPr>
          <w:p w:rsidR="00AA35C8" w:rsidRPr="007D3529" w:rsidP="00AA35C8">
            <w:pPr>
              <w:spacing w:line="240" w:lineRule="auto"/>
              <w:jc w:val="right"/>
              <w:rPr>
                <w:rFonts w:ascii="Times New Roman" w:hAnsi="Times New Roman" w:cs="Times New Roman"/>
              </w:rPr>
            </w:pPr>
            <w:r w:rsidRPr="007D3529">
              <w:rPr>
                <w:rFonts w:ascii="Times New Roman" w:hAnsi="Times New Roman" w:cs="Times New Roman"/>
              </w:rPr>
              <w:t>411 392,00</w:t>
            </w:r>
          </w:p>
        </w:tc>
        <w:tc>
          <w:tcPr>
            <w:tcW w:w="1509" w:type="dxa"/>
            <w:tcBorders>
              <w:top w:val="single" w:sz="4" w:space="0" w:color="auto"/>
              <w:left w:val="single" w:sz="8" w:space="0" w:color="auto"/>
              <w:bottom w:val="thinThickSmallGap" w:sz="24" w:space="0" w:color="auto"/>
              <w:right w:val="single" w:sz="8" w:space="0" w:color="auto"/>
              <w:tl2br w:val="nil"/>
              <w:tr2bl w:val="nil"/>
            </w:tcBorders>
            <w:shd w:val="clear" w:color="auto" w:fill="FFFFFF"/>
            <w:noWrap/>
            <w:textDirection w:val="lrTb"/>
            <w:vAlign w:val="bottom"/>
          </w:tcPr>
          <w:p w:rsidR="00AA35C8" w:rsidRPr="007D3529" w:rsidP="00AA35C8">
            <w:pPr>
              <w:spacing w:line="240" w:lineRule="auto"/>
              <w:jc w:val="right"/>
              <w:rPr>
                <w:rFonts w:ascii="Times New Roman" w:hAnsi="Times New Roman" w:cs="Times New Roman"/>
                <w:b/>
                <w:bCs/>
              </w:rPr>
            </w:pPr>
            <w:r w:rsidRPr="007D3529">
              <w:rPr>
                <w:rFonts w:ascii="Times New Roman" w:hAnsi="Times New Roman" w:cs="Times New Roman"/>
                <w:b/>
                <w:bCs/>
              </w:rPr>
              <w:t>30 015 601,70</w:t>
            </w:r>
          </w:p>
        </w:tc>
        <w:tc>
          <w:tcPr>
            <w:tcW w:w="1044" w:type="dxa"/>
            <w:tcBorders>
              <w:top w:val="single" w:sz="4" w:space="0" w:color="auto"/>
              <w:left w:val="nil"/>
              <w:bottom w:val="thinThickSmallGap" w:sz="24" w:space="0" w:color="auto"/>
              <w:right w:val="single" w:sz="4" w:space="0" w:color="auto"/>
              <w:tl2br w:val="nil"/>
              <w:tr2bl w:val="nil"/>
            </w:tcBorders>
            <w:noWrap/>
            <w:textDirection w:val="lrTb"/>
            <w:vAlign w:val="bottom"/>
          </w:tcPr>
          <w:p w:rsidR="00AA35C8" w:rsidRPr="007D3529" w:rsidP="00AA35C8">
            <w:pPr>
              <w:spacing w:line="240" w:lineRule="auto"/>
              <w:jc w:val="right"/>
              <w:rPr>
                <w:rFonts w:ascii="Times New Roman" w:hAnsi="Times New Roman" w:cs="Times New Roman"/>
                <w:b/>
                <w:bCs/>
              </w:rPr>
            </w:pPr>
            <w:r w:rsidRPr="007D3529">
              <w:rPr>
                <w:rFonts w:ascii="Times New Roman" w:hAnsi="Times New Roman" w:cs="Times New Roman"/>
                <w:b/>
              </w:rPr>
              <w:t>$ 0,00</w:t>
            </w:r>
          </w:p>
        </w:tc>
        <w:tc>
          <w:tcPr>
            <w:tcW w:w="794" w:type="dxa"/>
            <w:tcBorders>
              <w:top w:val="single" w:sz="4" w:space="0" w:color="auto"/>
              <w:left w:val="nil"/>
              <w:bottom w:val="thinThickSmallGap" w:sz="24" w:space="0" w:color="auto"/>
              <w:right w:val="double" w:sz="4" w:space="0" w:color="auto"/>
              <w:tl2br w:val="nil"/>
              <w:tr2bl w:val="nil"/>
            </w:tcBorders>
            <w:noWrap/>
            <w:textDirection w:val="lrTb"/>
            <w:vAlign w:val="bottom"/>
          </w:tcPr>
          <w:p w:rsidR="00AA35C8" w:rsidRPr="007D3529" w:rsidP="00AA35C8">
            <w:pPr>
              <w:spacing w:line="240" w:lineRule="auto"/>
              <w:ind w:left="-46"/>
              <w:jc w:val="center"/>
              <w:rPr>
                <w:rFonts w:ascii="Times New Roman" w:hAnsi="Times New Roman" w:cs="Times New Roman"/>
                <w:b/>
                <w:sz w:val="22"/>
                <w:szCs w:val="22"/>
              </w:rPr>
            </w:pPr>
            <w:r w:rsidRPr="007D3529">
              <w:rPr>
                <w:rFonts w:ascii="Times New Roman" w:hAnsi="Times New Roman" w:cs="Times New Roman"/>
                <w:b/>
                <w:sz w:val="22"/>
                <w:szCs w:val="22"/>
              </w:rPr>
              <w:t>€ 0,00</w:t>
            </w:r>
          </w:p>
        </w:tc>
      </w:tr>
      <w:tr>
        <w:tblPrEx>
          <w:tblW w:w="9743" w:type="dxa"/>
          <w:tblInd w:w="47" w:type="dxa"/>
          <w:tblCellMar>
            <w:left w:w="70" w:type="dxa"/>
            <w:right w:w="70" w:type="dxa"/>
          </w:tblCellMar>
        </w:tblPrEx>
        <w:trPr>
          <w:trHeight w:val="206"/>
        </w:trPr>
        <w:tc>
          <w:tcPr>
            <w:tcW w:w="1103" w:type="dxa"/>
            <w:tcBorders>
              <w:top w:val="thinThickSmallGap" w:sz="24" w:space="0" w:color="auto"/>
              <w:left w:val="double" w:sz="4" w:space="0" w:color="auto"/>
              <w:bottom w:val="double" w:sz="4" w:space="0" w:color="auto"/>
              <w:right w:val="double" w:sz="6" w:space="0" w:color="auto"/>
              <w:tl2br w:val="nil"/>
              <w:tr2bl w:val="nil"/>
            </w:tcBorders>
            <w:noWrap/>
            <w:textDirection w:val="lrTb"/>
            <w:vAlign w:val="bottom"/>
          </w:tcPr>
          <w:p w:rsidR="00AA35C8" w:rsidRPr="007D3529" w:rsidP="00AA35C8">
            <w:pPr>
              <w:spacing w:line="240" w:lineRule="auto"/>
              <w:jc w:val="left"/>
              <w:rPr>
                <w:rFonts w:ascii="Times New Roman" w:hAnsi="Times New Roman" w:cs="Times New Roman"/>
              </w:rPr>
            </w:pPr>
            <w:r w:rsidRPr="007D3529">
              <w:rPr>
                <w:rFonts w:ascii="Times New Roman" w:hAnsi="Times New Roman" w:cs="Times New Roman"/>
                <w:b/>
                <w:bCs/>
              </w:rPr>
              <w:t>K 31.12.07</w:t>
            </w:r>
          </w:p>
        </w:tc>
        <w:tc>
          <w:tcPr>
            <w:tcW w:w="1260" w:type="dxa"/>
            <w:tcBorders>
              <w:top w:val="thinThickSmallGap" w:sz="24" w:space="0" w:color="auto"/>
              <w:left w:val="nil"/>
              <w:bottom w:val="double" w:sz="4" w:space="0" w:color="auto"/>
              <w:right w:val="single" w:sz="4" w:space="0" w:color="auto"/>
              <w:tl2br w:val="nil"/>
              <w:tr2bl w:val="nil"/>
            </w:tcBorders>
            <w:noWrap/>
            <w:textDirection w:val="lrTb"/>
            <w:vAlign w:val="bottom"/>
          </w:tcPr>
          <w:p w:rsidR="00AA35C8" w:rsidRPr="007D3529" w:rsidP="00AA35C8">
            <w:pPr>
              <w:spacing w:line="240" w:lineRule="auto"/>
              <w:jc w:val="right"/>
              <w:rPr>
                <w:rFonts w:ascii="Times New Roman" w:hAnsi="Times New Roman" w:cs="Times New Roman"/>
              </w:rPr>
            </w:pPr>
            <w:r w:rsidRPr="007D3529">
              <w:rPr>
                <w:rFonts w:ascii="Times New Roman" w:hAnsi="Times New Roman" w:cs="Times New Roman"/>
                <w:b/>
                <w:bCs/>
              </w:rPr>
              <w:t>1 049 160,30</w:t>
            </w:r>
          </w:p>
        </w:tc>
        <w:tc>
          <w:tcPr>
            <w:tcW w:w="1440" w:type="dxa"/>
            <w:tcBorders>
              <w:top w:val="thinThickSmallGap" w:sz="24" w:space="0" w:color="auto"/>
              <w:left w:val="nil"/>
              <w:bottom w:val="double" w:sz="4" w:space="0" w:color="auto"/>
              <w:right w:val="single" w:sz="4" w:space="0" w:color="auto"/>
              <w:tl2br w:val="nil"/>
              <w:tr2bl w:val="nil"/>
            </w:tcBorders>
            <w:noWrap/>
            <w:textDirection w:val="lrTb"/>
            <w:vAlign w:val="bottom"/>
          </w:tcPr>
          <w:p w:rsidR="00AA35C8" w:rsidRPr="007D3529" w:rsidP="00AA35C8">
            <w:pPr>
              <w:spacing w:line="240" w:lineRule="auto"/>
              <w:jc w:val="right"/>
              <w:rPr>
                <w:rFonts w:ascii="Times New Roman" w:hAnsi="Times New Roman" w:cs="Times New Roman"/>
              </w:rPr>
            </w:pPr>
            <w:r w:rsidRPr="007D3529">
              <w:rPr>
                <w:rFonts w:ascii="Times New Roman" w:hAnsi="Times New Roman" w:cs="Times New Roman"/>
                <w:b/>
                <w:bCs/>
              </w:rPr>
              <w:t>42 115 780,00</w:t>
            </w:r>
          </w:p>
        </w:tc>
        <w:tc>
          <w:tcPr>
            <w:tcW w:w="1390" w:type="dxa"/>
            <w:tcBorders>
              <w:top w:val="thinThickSmallGap" w:sz="24" w:space="0" w:color="auto"/>
              <w:left w:val="nil"/>
              <w:bottom w:val="double" w:sz="4" w:space="0" w:color="auto"/>
              <w:right w:val="single" w:sz="4" w:space="0" w:color="auto"/>
              <w:tl2br w:val="nil"/>
              <w:tr2bl w:val="nil"/>
            </w:tcBorders>
            <w:textDirection w:val="lrTb"/>
            <w:vAlign w:val="bottom"/>
          </w:tcPr>
          <w:p w:rsidR="00AA35C8" w:rsidRPr="007D3529" w:rsidP="00AA35C8">
            <w:pPr>
              <w:spacing w:line="240" w:lineRule="auto"/>
              <w:jc w:val="right"/>
              <w:rPr>
                <w:rFonts w:ascii="Times New Roman" w:hAnsi="Times New Roman" w:cs="Times New Roman"/>
              </w:rPr>
            </w:pPr>
            <w:r w:rsidRPr="007D3529">
              <w:rPr>
                <w:rFonts w:ascii="Times New Roman" w:hAnsi="Times New Roman" w:cs="Times New Roman"/>
                <w:b/>
                <w:bCs/>
              </w:rPr>
              <w:t>41 375 917,00</w:t>
            </w:r>
          </w:p>
        </w:tc>
        <w:tc>
          <w:tcPr>
            <w:tcW w:w="1203" w:type="dxa"/>
            <w:tcBorders>
              <w:top w:val="thinThickSmallGap" w:sz="24" w:space="0" w:color="auto"/>
              <w:left w:val="nil"/>
              <w:bottom w:val="double" w:sz="4" w:space="0" w:color="auto"/>
              <w:right w:val="single" w:sz="4" w:space="0" w:color="auto"/>
              <w:tl2br w:val="nil"/>
              <w:tr2bl w:val="nil"/>
            </w:tcBorders>
            <w:noWrap/>
            <w:textDirection w:val="lrTb"/>
            <w:vAlign w:val="bottom"/>
          </w:tcPr>
          <w:p w:rsidR="00AA35C8" w:rsidRPr="007D3529" w:rsidP="00AA35C8">
            <w:pPr>
              <w:spacing w:line="240" w:lineRule="auto"/>
              <w:jc w:val="right"/>
              <w:rPr>
                <w:rFonts w:ascii="Times New Roman" w:hAnsi="Times New Roman" w:cs="Times New Roman"/>
              </w:rPr>
            </w:pPr>
            <w:r w:rsidRPr="007D3529">
              <w:rPr>
                <w:rFonts w:ascii="Times New Roman" w:hAnsi="Times New Roman" w:cs="Times New Roman"/>
                <w:b/>
                <w:bCs/>
              </w:rPr>
              <w:t>347 660,50</w:t>
            </w:r>
          </w:p>
        </w:tc>
        <w:tc>
          <w:tcPr>
            <w:tcW w:w="1509" w:type="dxa"/>
            <w:tcBorders>
              <w:top w:val="thinThickSmallGap" w:sz="24" w:space="0" w:color="auto"/>
              <w:left w:val="nil"/>
              <w:bottom w:val="double" w:sz="4" w:space="0" w:color="auto"/>
              <w:right w:val="single" w:sz="8" w:space="0" w:color="auto"/>
              <w:tl2br w:val="nil"/>
              <w:tr2bl w:val="nil"/>
            </w:tcBorders>
            <w:noWrap/>
            <w:textDirection w:val="lrTb"/>
            <w:vAlign w:val="bottom"/>
          </w:tcPr>
          <w:p w:rsidR="00AA35C8" w:rsidRPr="007D3529" w:rsidP="00AA35C8">
            <w:pPr>
              <w:spacing w:line="240" w:lineRule="auto"/>
              <w:jc w:val="right"/>
              <w:rPr>
                <w:rFonts w:ascii="Times New Roman" w:hAnsi="Times New Roman" w:cs="Times New Roman"/>
                <w:b/>
                <w:bCs/>
              </w:rPr>
            </w:pPr>
            <w:r w:rsidRPr="007D3529">
              <w:rPr>
                <w:rFonts w:ascii="Times New Roman" w:hAnsi="Times New Roman" w:cs="Times New Roman"/>
                <w:b/>
                <w:bCs/>
              </w:rPr>
              <w:t>84 888 517,80</w:t>
            </w:r>
          </w:p>
        </w:tc>
        <w:tc>
          <w:tcPr>
            <w:tcW w:w="1044" w:type="dxa"/>
            <w:tcBorders>
              <w:top w:val="thinThickSmallGap" w:sz="24" w:space="0" w:color="auto"/>
              <w:left w:val="nil"/>
              <w:bottom w:val="double" w:sz="4" w:space="0" w:color="auto"/>
              <w:right w:val="single" w:sz="4" w:space="0" w:color="auto"/>
              <w:tl2br w:val="nil"/>
              <w:tr2bl w:val="nil"/>
            </w:tcBorders>
            <w:noWrap/>
            <w:textDirection w:val="lrTb"/>
            <w:vAlign w:val="bottom"/>
          </w:tcPr>
          <w:p w:rsidR="00AA35C8" w:rsidRPr="007D3529" w:rsidP="00AA35C8">
            <w:pPr>
              <w:spacing w:line="240" w:lineRule="auto"/>
              <w:jc w:val="right"/>
              <w:rPr>
                <w:rFonts w:ascii="Times New Roman" w:hAnsi="Times New Roman" w:cs="Times New Roman"/>
              </w:rPr>
            </w:pPr>
            <w:r w:rsidRPr="007D3529">
              <w:rPr>
                <w:rFonts w:ascii="Times New Roman" w:hAnsi="Times New Roman" w:cs="Times New Roman"/>
                <w:b/>
              </w:rPr>
              <w:t>$ 0,00</w:t>
            </w:r>
          </w:p>
        </w:tc>
        <w:tc>
          <w:tcPr>
            <w:tcW w:w="794" w:type="dxa"/>
            <w:tcBorders>
              <w:top w:val="thinThickSmallGap" w:sz="24" w:space="0" w:color="auto"/>
              <w:left w:val="nil"/>
              <w:bottom w:val="double" w:sz="4" w:space="0" w:color="auto"/>
              <w:right w:val="double" w:sz="4" w:space="0" w:color="auto"/>
              <w:tl2br w:val="nil"/>
              <w:tr2bl w:val="nil"/>
            </w:tcBorders>
            <w:noWrap/>
            <w:textDirection w:val="lrTb"/>
            <w:vAlign w:val="bottom"/>
          </w:tcPr>
          <w:p w:rsidR="00AA35C8" w:rsidRPr="007D3529" w:rsidP="00AA35C8">
            <w:pPr>
              <w:spacing w:line="240" w:lineRule="auto"/>
              <w:ind w:left="-46"/>
              <w:jc w:val="center"/>
              <w:rPr>
                <w:rFonts w:ascii="Times New Roman" w:hAnsi="Times New Roman" w:cs="Times New Roman"/>
              </w:rPr>
            </w:pPr>
            <w:r w:rsidRPr="007D3529">
              <w:rPr>
                <w:rFonts w:ascii="Times New Roman" w:hAnsi="Times New Roman" w:cs="Times New Roman"/>
                <w:b/>
                <w:sz w:val="22"/>
                <w:szCs w:val="22"/>
              </w:rPr>
              <w:t>€ 0,00</w:t>
            </w:r>
          </w:p>
        </w:tc>
      </w:tr>
      <w:tr>
        <w:tblPrEx>
          <w:tblW w:w="9743" w:type="dxa"/>
          <w:tblInd w:w="47" w:type="dxa"/>
          <w:tblCellMar>
            <w:left w:w="70" w:type="dxa"/>
            <w:right w:w="70" w:type="dxa"/>
          </w:tblCellMar>
        </w:tblPrEx>
        <w:trPr>
          <w:trHeight w:val="315"/>
        </w:trPr>
        <w:tc>
          <w:tcPr>
            <w:tcW w:w="1103" w:type="dxa"/>
            <w:tcBorders>
              <w:top w:val="thinThickSmallGap" w:sz="24" w:space="0" w:color="auto"/>
              <w:left w:val="double" w:sz="4" w:space="0" w:color="auto"/>
              <w:bottom w:val="single" w:sz="4" w:space="0" w:color="auto"/>
              <w:right w:val="double" w:sz="6" w:space="0" w:color="auto"/>
              <w:tl2br w:val="nil"/>
              <w:tr2bl w:val="nil"/>
            </w:tcBorders>
            <w:noWrap/>
            <w:textDirection w:val="lrTb"/>
            <w:vAlign w:val="bottom"/>
          </w:tcPr>
          <w:p w:rsidR="00AA35C8" w:rsidRPr="007D3529" w:rsidP="00AA35C8">
            <w:pPr>
              <w:spacing w:line="240" w:lineRule="auto"/>
              <w:jc w:val="center"/>
              <w:rPr>
                <w:rFonts w:ascii="Times New Roman" w:hAnsi="Times New Roman" w:cs="Times New Roman"/>
                <w:bCs/>
              </w:rPr>
            </w:pPr>
            <w:r w:rsidRPr="007D3529">
              <w:rPr>
                <w:rFonts w:ascii="Times New Roman" w:hAnsi="Times New Roman" w:cs="Times New Roman"/>
                <w:bCs/>
              </w:rPr>
              <w:t>I. Q</w:t>
            </w:r>
          </w:p>
        </w:tc>
        <w:tc>
          <w:tcPr>
            <w:tcW w:w="1260" w:type="dxa"/>
            <w:tcBorders>
              <w:top w:val="thinThickSmallGap" w:sz="24" w:space="0" w:color="auto"/>
              <w:left w:val="nil"/>
              <w:bottom w:val="single" w:sz="4" w:space="0" w:color="auto"/>
              <w:right w:val="single" w:sz="4" w:space="0" w:color="auto"/>
              <w:tl2br w:val="nil"/>
              <w:tr2bl w:val="nil"/>
            </w:tcBorders>
            <w:noWrap/>
            <w:textDirection w:val="lrTb"/>
            <w:vAlign w:val="bottom"/>
          </w:tcPr>
          <w:p w:rsidR="00AA35C8" w:rsidRPr="007D3529" w:rsidP="00AA35C8">
            <w:pPr>
              <w:spacing w:line="240" w:lineRule="auto"/>
              <w:jc w:val="right"/>
              <w:rPr>
                <w:rFonts w:ascii="Times New Roman" w:hAnsi="Times New Roman" w:cs="Times New Roman"/>
                <w:bCs/>
              </w:rPr>
            </w:pPr>
            <w:r w:rsidRPr="007D3529">
              <w:rPr>
                <w:rFonts w:ascii="Times New Roman" w:hAnsi="Times New Roman" w:cs="Times New Roman"/>
                <w:bCs/>
              </w:rPr>
              <w:t>-709 031,00</w:t>
            </w:r>
          </w:p>
        </w:tc>
        <w:tc>
          <w:tcPr>
            <w:tcW w:w="1440" w:type="dxa"/>
            <w:tcBorders>
              <w:top w:val="thinThickSmallGap" w:sz="24" w:space="0" w:color="auto"/>
              <w:left w:val="nil"/>
              <w:bottom w:val="single" w:sz="4" w:space="0" w:color="auto"/>
              <w:right w:val="single" w:sz="4" w:space="0" w:color="auto"/>
              <w:tl2br w:val="nil"/>
              <w:tr2bl w:val="nil"/>
            </w:tcBorders>
            <w:noWrap/>
            <w:textDirection w:val="lrTb"/>
            <w:vAlign w:val="bottom"/>
          </w:tcPr>
          <w:p w:rsidR="00AA35C8" w:rsidRPr="007D3529" w:rsidP="00AA35C8">
            <w:pPr>
              <w:spacing w:line="240" w:lineRule="auto"/>
              <w:jc w:val="right"/>
              <w:rPr>
                <w:rFonts w:ascii="Times New Roman" w:hAnsi="Times New Roman" w:cs="Times New Roman"/>
                <w:bCs/>
              </w:rPr>
            </w:pPr>
            <w:r w:rsidRPr="007D3529">
              <w:rPr>
                <w:rFonts w:ascii="Times New Roman" w:hAnsi="Times New Roman" w:cs="Times New Roman"/>
                <w:bCs/>
              </w:rPr>
              <w:t>-46 014 136</w:t>
            </w:r>
            <w:r w:rsidRPr="007D3529">
              <w:rPr>
                <w:rFonts w:ascii="Times New Roman" w:hAnsi="Times New Roman" w:cs="Times New Roman"/>
                <w:bCs/>
              </w:rPr>
              <w:t>,00</w:t>
            </w:r>
          </w:p>
        </w:tc>
        <w:tc>
          <w:tcPr>
            <w:tcW w:w="1390" w:type="dxa"/>
            <w:tcBorders>
              <w:top w:val="thinThickSmallGap" w:sz="24" w:space="0" w:color="auto"/>
              <w:left w:val="nil"/>
              <w:bottom w:val="single" w:sz="4" w:space="0" w:color="auto"/>
              <w:right w:val="single" w:sz="4" w:space="0" w:color="auto"/>
              <w:tl2br w:val="nil"/>
              <w:tr2bl w:val="nil"/>
            </w:tcBorders>
            <w:textDirection w:val="lrTb"/>
            <w:vAlign w:val="bottom"/>
          </w:tcPr>
          <w:p w:rsidR="00AA35C8" w:rsidRPr="007D3529" w:rsidP="00AA35C8">
            <w:pPr>
              <w:spacing w:line="240" w:lineRule="auto"/>
              <w:jc w:val="right"/>
              <w:rPr>
                <w:rFonts w:ascii="Times New Roman" w:hAnsi="Times New Roman" w:cs="Times New Roman"/>
                <w:bCs/>
              </w:rPr>
            </w:pPr>
            <w:r w:rsidRPr="007D3529">
              <w:rPr>
                <w:rFonts w:ascii="Times New Roman" w:hAnsi="Times New Roman" w:cs="Times New Roman"/>
                <w:bCs/>
              </w:rPr>
              <w:t>-25 223 149,70</w:t>
            </w:r>
          </w:p>
        </w:tc>
        <w:tc>
          <w:tcPr>
            <w:tcW w:w="1203" w:type="dxa"/>
            <w:tcBorders>
              <w:top w:val="thinThickSmallGap" w:sz="24" w:space="0" w:color="auto"/>
              <w:left w:val="nil"/>
              <w:bottom w:val="single" w:sz="4" w:space="0" w:color="auto"/>
              <w:right w:val="single" w:sz="4" w:space="0" w:color="auto"/>
              <w:tl2br w:val="nil"/>
              <w:tr2bl w:val="nil"/>
            </w:tcBorders>
            <w:noWrap/>
            <w:textDirection w:val="lrTb"/>
            <w:vAlign w:val="bottom"/>
          </w:tcPr>
          <w:p w:rsidR="00AA35C8" w:rsidRPr="007D3529" w:rsidP="00AA35C8">
            <w:pPr>
              <w:spacing w:line="240" w:lineRule="auto"/>
              <w:jc w:val="right"/>
              <w:rPr>
                <w:rFonts w:ascii="Times New Roman" w:hAnsi="Times New Roman" w:cs="Times New Roman"/>
                <w:bCs/>
              </w:rPr>
            </w:pPr>
            <w:r w:rsidRPr="007D3529">
              <w:rPr>
                <w:rFonts w:ascii="Times New Roman" w:hAnsi="Times New Roman" w:cs="Times New Roman"/>
                <w:bCs/>
              </w:rPr>
              <w:t>83 000,00</w:t>
            </w:r>
          </w:p>
        </w:tc>
        <w:tc>
          <w:tcPr>
            <w:tcW w:w="1509" w:type="dxa"/>
            <w:tcBorders>
              <w:top w:val="thinThickSmallGap" w:sz="24" w:space="0" w:color="auto"/>
              <w:left w:val="nil"/>
              <w:bottom w:val="single" w:sz="4" w:space="0" w:color="auto"/>
              <w:right w:val="single" w:sz="8" w:space="0" w:color="auto"/>
              <w:tl2br w:val="nil"/>
              <w:tr2bl w:val="nil"/>
            </w:tcBorders>
            <w:noWrap/>
            <w:textDirection w:val="lrTb"/>
            <w:vAlign w:val="bottom"/>
          </w:tcPr>
          <w:p w:rsidR="00AA35C8" w:rsidRPr="007D3529" w:rsidP="00AA35C8">
            <w:pPr>
              <w:spacing w:line="240" w:lineRule="auto"/>
              <w:jc w:val="right"/>
              <w:rPr>
                <w:rFonts w:ascii="Times New Roman" w:hAnsi="Times New Roman" w:cs="Times New Roman"/>
                <w:b/>
                <w:bCs/>
              </w:rPr>
            </w:pPr>
            <w:r w:rsidRPr="007D3529">
              <w:rPr>
                <w:rFonts w:ascii="Times New Roman" w:hAnsi="Times New Roman" w:cs="Times New Roman"/>
                <w:b/>
                <w:bCs/>
              </w:rPr>
              <w:t>-71 863 316,70</w:t>
            </w:r>
          </w:p>
        </w:tc>
        <w:tc>
          <w:tcPr>
            <w:tcW w:w="1044" w:type="dxa"/>
            <w:tcBorders>
              <w:top w:val="thinThickSmallGap" w:sz="24" w:space="0" w:color="auto"/>
              <w:left w:val="nil"/>
              <w:bottom w:val="single" w:sz="4" w:space="0" w:color="auto"/>
              <w:right w:val="single" w:sz="4" w:space="0" w:color="auto"/>
              <w:tl2br w:val="nil"/>
              <w:tr2bl w:val="nil"/>
            </w:tcBorders>
            <w:noWrap/>
            <w:textDirection w:val="lrTb"/>
            <w:vAlign w:val="bottom"/>
          </w:tcPr>
          <w:p w:rsidR="00AA35C8" w:rsidRPr="007D3529" w:rsidP="00AA35C8">
            <w:pPr>
              <w:spacing w:line="240" w:lineRule="auto"/>
              <w:jc w:val="right"/>
              <w:rPr>
                <w:rFonts w:ascii="Times New Roman" w:hAnsi="Times New Roman" w:cs="Times New Roman"/>
                <w:bCs/>
              </w:rPr>
            </w:pPr>
            <w:r w:rsidRPr="007D3529">
              <w:rPr>
                <w:rFonts w:ascii="Times New Roman" w:hAnsi="Times New Roman" w:cs="Times New Roman"/>
                <w:bCs/>
              </w:rPr>
              <w:t>-$1 467,09</w:t>
            </w:r>
          </w:p>
        </w:tc>
        <w:tc>
          <w:tcPr>
            <w:tcW w:w="794" w:type="dxa"/>
            <w:tcBorders>
              <w:top w:val="thinThickSmallGap" w:sz="24" w:space="0" w:color="auto"/>
              <w:left w:val="nil"/>
              <w:bottom w:val="single" w:sz="4" w:space="0" w:color="auto"/>
              <w:right w:val="double" w:sz="4" w:space="0" w:color="auto"/>
              <w:tl2br w:val="nil"/>
              <w:tr2bl w:val="nil"/>
            </w:tcBorders>
            <w:noWrap/>
            <w:textDirection w:val="lrTb"/>
            <w:vAlign w:val="bottom"/>
          </w:tcPr>
          <w:p w:rsidR="00AA35C8" w:rsidRPr="007D3529" w:rsidP="00AA35C8">
            <w:pPr>
              <w:spacing w:line="240" w:lineRule="auto"/>
              <w:jc w:val="center"/>
              <w:rPr>
                <w:rFonts w:ascii="Times New Roman" w:hAnsi="Times New Roman" w:cs="Times New Roman"/>
                <w:bCs/>
              </w:rPr>
            </w:pPr>
            <w:r w:rsidRPr="007D3529">
              <w:rPr>
                <w:rFonts w:ascii="Times New Roman" w:hAnsi="Times New Roman" w:cs="Times New Roman"/>
                <w:bCs/>
              </w:rPr>
              <w:t>€ 0,00</w:t>
            </w:r>
          </w:p>
        </w:tc>
      </w:tr>
      <w:tr>
        <w:tblPrEx>
          <w:tblW w:w="9743" w:type="dxa"/>
          <w:tblInd w:w="47" w:type="dxa"/>
          <w:tblCellMar>
            <w:left w:w="70" w:type="dxa"/>
            <w:right w:w="70" w:type="dxa"/>
          </w:tblCellMar>
        </w:tblPrEx>
        <w:trPr>
          <w:trHeight w:val="84"/>
        </w:trPr>
        <w:tc>
          <w:tcPr>
            <w:tcW w:w="1103" w:type="dxa"/>
            <w:tcBorders>
              <w:top w:val="single" w:sz="4" w:space="0" w:color="auto"/>
              <w:left w:val="double" w:sz="4" w:space="0" w:color="auto"/>
              <w:bottom w:val="single" w:sz="4" w:space="0" w:color="auto"/>
              <w:right w:val="double" w:sz="6" w:space="0" w:color="auto"/>
              <w:tl2br w:val="nil"/>
              <w:tr2bl w:val="nil"/>
            </w:tcBorders>
            <w:noWrap/>
            <w:textDirection w:val="lrTb"/>
            <w:vAlign w:val="bottom"/>
          </w:tcPr>
          <w:p w:rsidR="00AA35C8" w:rsidRPr="007D3529" w:rsidP="00AA35C8">
            <w:pPr>
              <w:spacing w:line="240" w:lineRule="auto"/>
              <w:jc w:val="center"/>
              <w:rPr>
                <w:rFonts w:ascii="Times New Roman" w:hAnsi="Times New Roman" w:cs="Times New Roman"/>
                <w:bCs/>
              </w:rPr>
            </w:pPr>
            <w:r w:rsidRPr="007D3529">
              <w:rPr>
                <w:rFonts w:ascii="Times New Roman" w:hAnsi="Times New Roman" w:cs="Times New Roman"/>
                <w:bCs/>
              </w:rPr>
              <w:t>II. Q</w:t>
            </w:r>
          </w:p>
        </w:tc>
        <w:tc>
          <w:tcPr>
            <w:tcW w:w="1260" w:type="dxa"/>
            <w:tcBorders>
              <w:top w:val="single" w:sz="4" w:space="0" w:color="auto"/>
              <w:left w:val="nil"/>
              <w:bottom w:val="single" w:sz="4" w:space="0" w:color="auto"/>
              <w:right w:val="single" w:sz="4" w:space="0" w:color="auto"/>
              <w:tl2br w:val="nil"/>
              <w:tr2bl w:val="nil"/>
            </w:tcBorders>
            <w:noWrap/>
            <w:textDirection w:val="lrTb"/>
            <w:vAlign w:val="bottom"/>
          </w:tcPr>
          <w:p w:rsidR="00AA35C8" w:rsidRPr="007D3529" w:rsidP="00AA35C8">
            <w:pPr>
              <w:spacing w:line="240" w:lineRule="auto"/>
              <w:jc w:val="right"/>
              <w:rPr>
                <w:rFonts w:ascii="Times New Roman" w:hAnsi="Times New Roman" w:cs="Times New Roman"/>
              </w:rPr>
            </w:pPr>
            <w:r w:rsidRPr="007D3529">
              <w:rPr>
                <w:rFonts w:ascii="Times New Roman" w:hAnsi="Times New Roman" w:cs="Times New Roman"/>
              </w:rPr>
              <w:t>156 641,50</w:t>
            </w:r>
          </w:p>
        </w:tc>
        <w:tc>
          <w:tcPr>
            <w:tcW w:w="1440" w:type="dxa"/>
            <w:tcBorders>
              <w:top w:val="single" w:sz="4" w:space="0" w:color="auto"/>
              <w:left w:val="nil"/>
              <w:bottom w:val="single" w:sz="4" w:space="0" w:color="auto"/>
              <w:right w:val="single" w:sz="4" w:space="0" w:color="auto"/>
              <w:tl2br w:val="nil"/>
              <w:tr2bl w:val="nil"/>
            </w:tcBorders>
            <w:noWrap/>
            <w:textDirection w:val="lrTb"/>
            <w:vAlign w:val="bottom"/>
          </w:tcPr>
          <w:p w:rsidR="00AA35C8" w:rsidRPr="007D3529" w:rsidP="00AA35C8">
            <w:pPr>
              <w:spacing w:line="240" w:lineRule="auto"/>
              <w:jc w:val="right"/>
              <w:rPr>
                <w:rFonts w:ascii="Times New Roman" w:hAnsi="Times New Roman" w:cs="Times New Roman"/>
              </w:rPr>
            </w:pPr>
            <w:r w:rsidRPr="007D3529">
              <w:rPr>
                <w:rFonts w:ascii="Times New Roman" w:hAnsi="Times New Roman" w:cs="Times New Roman"/>
              </w:rPr>
              <w:t>20 634,00</w:t>
            </w:r>
          </w:p>
        </w:tc>
        <w:tc>
          <w:tcPr>
            <w:tcW w:w="1390" w:type="dxa"/>
            <w:tcBorders>
              <w:top w:val="single" w:sz="4" w:space="0" w:color="auto"/>
              <w:left w:val="nil"/>
              <w:bottom w:val="single" w:sz="4" w:space="0" w:color="auto"/>
              <w:right w:val="single" w:sz="4" w:space="0" w:color="auto"/>
              <w:tl2br w:val="nil"/>
              <w:tr2bl w:val="nil"/>
            </w:tcBorders>
            <w:textDirection w:val="lrTb"/>
            <w:vAlign w:val="bottom"/>
          </w:tcPr>
          <w:p w:rsidR="00AA35C8" w:rsidRPr="007D3529" w:rsidP="00AA35C8">
            <w:pPr>
              <w:spacing w:line="240" w:lineRule="auto"/>
              <w:jc w:val="right"/>
              <w:rPr>
                <w:rFonts w:ascii="Times New Roman" w:hAnsi="Times New Roman" w:cs="Times New Roman"/>
              </w:rPr>
            </w:pPr>
            <w:r w:rsidRPr="007D3529">
              <w:rPr>
                <w:rFonts w:ascii="Times New Roman" w:hAnsi="Times New Roman" w:cs="Times New Roman"/>
              </w:rPr>
              <w:t>4 026 581,60</w:t>
            </w:r>
          </w:p>
        </w:tc>
        <w:tc>
          <w:tcPr>
            <w:tcW w:w="1203" w:type="dxa"/>
            <w:tcBorders>
              <w:top w:val="single" w:sz="4" w:space="0" w:color="auto"/>
              <w:left w:val="nil"/>
              <w:bottom w:val="single" w:sz="4" w:space="0" w:color="auto"/>
              <w:right w:val="single" w:sz="4" w:space="0" w:color="auto"/>
              <w:tl2br w:val="nil"/>
              <w:tr2bl w:val="nil"/>
            </w:tcBorders>
            <w:noWrap/>
            <w:textDirection w:val="lrTb"/>
            <w:vAlign w:val="bottom"/>
          </w:tcPr>
          <w:p w:rsidR="00AA35C8" w:rsidRPr="007D3529" w:rsidP="00AA35C8">
            <w:pPr>
              <w:spacing w:line="240" w:lineRule="auto"/>
              <w:jc w:val="right"/>
              <w:rPr>
                <w:rFonts w:ascii="Times New Roman" w:hAnsi="Times New Roman" w:cs="Times New Roman"/>
              </w:rPr>
            </w:pPr>
            <w:r w:rsidRPr="007D3529">
              <w:rPr>
                <w:rFonts w:ascii="Times New Roman" w:hAnsi="Times New Roman" w:cs="Times New Roman"/>
              </w:rPr>
              <w:t>456 330,00</w:t>
            </w:r>
          </w:p>
        </w:tc>
        <w:tc>
          <w:tcPr>
            <w:tcW w:w="1509" w:type="dxa"/>
            <w:tcBorders>
              <w:top w:val="single" w:sz="4" w:space="0" w:color="auto"/>
              <w:left w:val="nil"/>
              <w:bottom w:val="single" w:sz="4" w:space="0" w:color="auto"/>
              <w:right w:val="single" w:sz="8" w:space="0" w:color="auto"/>
              <w:tl2br w:val="nil"/>
              <w:tr2bl w:val="nil"/>
            </w:tcBorders>
            <w:noWrap/>
            <w:textDirection w:val="lrTb"/>
            <w:vAlign w:val="bottom"/>
          </w:tcPr>
          <w:p w:rsidR="00AA35C8" w:rsidRPr="007D3529" w:rsidP="00AA35C8">
            <w:pPr>
              <w:spacing w:line="240" w:lineRule="auto"/>
              <w:jc w:val="right"/>
              <w:rPr>
                <w:rFonts w:ascii="Times New Roman" w:hAnsi="Times New Roman" w:cs="Times New Roman"/>
                <w:b/>
                <w:bCs/>
              </w:rPr>
            </w:pPr>
            <w:r w:rsidRPr="007D3529">
              <w:rPr>
                <w:rFonts w:ascii="Times New Roman" w:hAnsi="Times New Roman" w:cs="Times New Roman"/>
                <w:b/>
                <w:bCs/>
              </w:rPr>
              <w:t>4 660 187,10</w:t>
            </w:r>
          </w:p>
        </w:tc>
        <w:tc>
          <w:tcPr>
            <w:tcW w:w="1044" w:type="dxa"/>
            <w:tcBorders>
              <w:top w:val="single" w:sz="4" w:space="0" w:color="auto"/>
              <w:left w:val="nil"/>
              <w:bottom w:val="single" w:sz="4" w:space="0" w:color="auto"/>
              <w:right w:val="single" w:sz="4" w:space="0" w:color="auto"/>
              <w:tl2br w:val="nil"/>
              <w:tr2bl w:val="nil"/>
            </w:tcBorders>
            <w:noWrap/>
            <w:textDirection w:val="lrTb"/>
            <w:vAlign w:val="bottom"/>
          </w:tcPr>
          <w:p w:rsidR="00AA35C8" w:rsidRPr="007D3529" w:rsidP="00AA35C8">
            <w:pPr>
              <w:spacing w:line="240" w:lineRule="auto"/>
              <w:jc w:val="right"/>
              <w:rPr>
                <w:rFonts w:ascii="Times New Roman" w:hAnsi="Times New Roman" w:cs="Times New Roman"/>
              </w:rPr>
            </w:pPr>
            <w:r w:rsidRPr="007D3529">
              <w:rPr>
                <w:rFonts w:ascii="Times New Roman" w:hAnsi="Times New Roman" w:cs="Times New Roman"/>
              </w:rPr>
              <w:t>$0,00</w:t>
            </w:r>
          </w:p>
        </w:tc>
        <w:tc>
          <w:tcPr>
            <w:tcW w:w="794" w:type="dxa"/>
            <w:tcBorders>
              <w:top w:val="single" w:sz="4" w:space="0" w:color="auto"/>
              <w:left w:val="nil"/>
              <w:bottom w:val="single" w:sz="4" w:space="0" w:color="auto"/>
              <w:right w:val="double" w:sz="4" w:space="0" w:color="auto"/>
              <w:tl2br w:val="nil"/>
              <w:tr2bl w:val="nil"/>
            </w:tcBorders>
            <w:noWrap/>
            <w:textDirection w:val="lrTb"/>
            <w:vAlign w:val="bottom"/>
          </w:tcPr>
          <w:p w:rsidR="00AA35C8" w:rsidRPr="007D3529" w:rsidP="00AA35C8">
            <w:pPr>
              <w:spacing w:line="240" w:lineRule="auto"/>
              <w:jc w:val="center"/>
              <w:rPr>
                <w:rFonts w:ascii="Times New Roman" w:hAnsi="Times New Roman" w:cs="Times New Roman"/>
              </w:rPr>
            </w:pPr>
            <w:r w:rsidRPr="007D3529">
              <w:rPr>
                <w:rFonts w:ascii="Times New Roman" w:hAnsi="Times New Roman" w:cs="Times New Roman"/>
              </w:rPr>
              <w:t>€ 0,00</w:t>
            </w:r>
          </w:p>
        </w:tc>
      </w:tr>
      <w:tr>
        <w:tblPrEx>
          <w:tblW w:w="9743" w:type="dxa"/>
          <w:tblInd w:w="47" w:type="dxa"/>
          <w:tblCellMar>
            <w:left w:w="70" w:type="dxa"/>
            <w:right w:w="70" w:type="dxa"/>
          </w:tblCellMar>
        </w:tblPrEx>
        <w:trPr>
          <w:trHeight w:val="135"/>
        </w:trPr>
        <w:tc>
          <w:tcPr>
            <w:tcW w:w="1103" w:type="dxa"/>
            <w:tcBorders>
              <w:top w:val="single" w:sz="4" w:space="0" w:color="auto"/>
              <w:left w:val="double" w:sz="4" w:space="0" w:color="auto"/>
              <w:bottom w:val="single" w:sz="4" w:space="0" w:color="auto"/>
              <w:right w:val="double" w:sz="6" w:space="0" w:color="auto"/>
              <w:tl2br w:val="nil"/>
              <w:tr2bl w:val="nil"/>
            </w:tcBorders>
            <w:noWrap/>
            <w:textDirection w:val="lrTb"/>
            <w:vAlign w:val="bottom"/>
          </w:tcPr>
          <w:p w:rsidR="00AA35C8" w:rsidRPr="007D3529" w:rsidP="00AA35C8">
            <w:pPr>
              <w:spacing w:line="240" w:lineRule="auto"/>
              <w:jc w:val="center"/>
              <w:rPr>
                <w:rFonts w:ascii="Times New Roman" w:hAnsi="Times New Roman" w:cs="Times New Roman"/>
                <w:bCs/>
              </w:rPr>
            </w:pPr>
            <w:r w:rsidRPr="007D3529">
              <w:rPr>
                <w:rFonts w:ascii="Times New Roman" w:hAnsi="Times New Roman" w:cs="Times New Roman"/>
                <w:bCs/>
              </w:rPr>
              <w:t>III. Q</w:t>
            </w:r>
          </w:p>
        </w:tc>
        <w:tc>
          <w:tcPr>
            <w:tcW w:w="1260" w:type="dxa"/>
            <w:tcBorders>
              <w:top w:val="single" w:sz="4" w:space="0" w:color="auto"/>
              <w:left w:val="nil"/>
              <w:bottom w:val="single" w:sz="4" w:space="0" w:color="auto"/>
              <w:right w:val="single" w:sz="4" w:space="0" w:color="auto"/>
              <w:tl2br w:val="nil"/>
              <w:tr2bl w:val="nil"/>
            </w:tcBorders>
            <w:noWrap/>
            <w:textDirection w:val="lrTb"/>
            <w:vAlign w:val="bottom"/>
          </w:tcPr>
          <w:p w:rsidR="00AA35C8" w:rsidRPr="007D3529" w:rsidP="00AA35C8">
            <w:pPr>
              <w:spacing w:line="240" w:lineRule="auto"/>
              <w:jc w:val="right"/>
              <w:rPr>
                <w:rFonts w:ascii="Times New Roman" w:hAnsi="Times New Roman" w:cs="Times New Roman"/>
              </w:rPr>
            </w:pPr>
            <w:r w:rsidRPr="007D3529">
              <w:rPr>
                <w:rFonts w:ascii="Times New Roman" w:hAnsi="Times New Roman" w:cs="Times New Roman"/>
              </w:rPr>
              <w:t>243 884,00</w:t>
            </w:r>
          </w:p>
        </w:tc>
        <w:tc>
          <w:tcPr>
            <w:tcW w:w="1440" w:type="dxa"/>
            <w:tcBorders>
              <w:top w:val="single" w:sz="4" w:space="0" w:color="auto"/>
              <w:left w:val="nil"/>
              <w:bottom w:val="single" w:sz="4" w:space="0" w:color="auto"/>
              <w:right w:val="single" w:sz="4" w:space="0" w:color="auto"/>
              <w:tl2br w:val="nil"/>
              <w:tr2bl w:val="nil"/>
            </w:tcBorders>
            <w:noWrap/>
            <w:textDirection w:val="lrTb"/>
            <w:vAlign w:val="bottom"/>
          </w:tcPr>
          <w:p w:rsidR="00AA35C8" w:rsidRPr="007D3529" w:rsidP="00AA35C8">
            <w:pPr>
              <w:spacing w:line="240" w:lineRule="auto"/>
              <w:jc w:val="right"/>
              <w:rPr>
                <w:rFonts w:ascii="Times New Roman" w:hAnsi="Times New Roman" w:cs="Times New Roman"/>
              </w:rPr>
            </w:pPr>
            <w:r w:rsidRPr="007D3529">
              <w:rPr>
                <w:rFonts w:ascii="Times New Roman" w:hAnsi="Times New Roman" w:cs="Times New Roman"/>
              </w:rPr>
              <w:t>435 665,00</w:t>
            </w:r>
          </w:p>
        </w:tc>
        <w:tc>
          <w:tcPr>
            <w:tcW w:w="1390" w:type="dxa"/>
            <w:tcBorders>
              <w:top w:val="single" w:sz="4" w:space="0" w:color="auto"/>
              <w:left w:val="nil"/>
              <w:bottom w:val="single" w:sz="4" w:space="0" w:color="auto"/>
              <w:right w:val="single" w:sz="4" w:space="0" w:color="auto"/>
              <w:tl2br w:val="nil"/>
              <w:tr2bl w:val="nil"/>
            </w:tcBorders>
            <w:textDirection w:val="lrTb"/>
            <w:vAlign w:val="bottom"/>
          </w:tcPr>
          <w:p w:rsidR="00AA35C8" w:rsidRPr="007D3529" w:rsidP="00AA35C8">
            <w:pPr>
              <w:spacing w:line="240" w:lineRule="auto"/>
              <w:jc w:val="right"/>
              <w:rPr>
                <w:rFonts w:ascii="Times New Roman" w:hAnsi="Times New Roman" w:cs="Times New Roman"/>
              </w:rPr>
            </w:pPr>
            <w:r w:rsidRPr="007D3529">
              <w:rPr>
                <w:rFonts w:ascii="Times New Roman" w:hAnsi="Times New Roman" w:cs="Times New Roman"/>
              </w:rPr>
              <w:t>11 228 932,40</w:t>
            </w:r>
          </w:p>
        </w:tc>
        <w:tc>
          <w:tcPr>
            <w:tcW w:w="1203" w:type="dxa"/>
            <w:tcBorders>
              <w:top w:val="single" w:sz="4" w:space="0" w:color="auto"/>
              <w:left w:val="nil"/>
              <w:bottom w:val="single" w:sz="4" w:space="0" w:color="auto"/>
              <w:right w:val="single" w:sz="4" w:space="0" w:color="auto"/>
              <w:tl2br w:val="nil"/>
              <w:tr2bl w:val="nil"/>
            </w:tcBorders>
            <w:noWrap/>
            <w:textDirection w:val="lrTb"/>
            <w:vAlign w:val="bottom"/>
          </w:tcPr>
          <w:p w:rsidR="00AA35C8" w:rsidRPr="007D3529" w:rsidP="00AA35C8">
            <w:pPr>
              <w:spacing w:line="240" w:lineRule="auto"/>
              <w:jc w:val="right"/>
              <w:rPr>
                <w:rFonts w:ascii="Times New Roman" w:hAnsi="Times New Roman" w:cs="Times New Roman"/>
              </w:rPr>
            </w:pPr>
            <w:r w:rsidRPr="007D3529">
              <w:rPr>
                <w:rFonts w:ascii="Times New Roman" w:hAnsi="Times New Roman" w:cs="Times New Roman"/>
              </w:rPr>
              <w:t>-177 938,00</w:t>
            </w:r>
          </w:p>
        </w:tc>
        <w:tc>
          <w:tcPr>
            <w:tcW w:w="1509" w:type="dxa"/>
            <w:tcBorders>
              <w:top w:val="single" w:sz="4" w:space="0" w:color="auto"/>
              <w:left w:val="nil"/>
              <w:bottom w:val="single" w:sz="4" w:space="0" w:color="auto"/>
              <w:right w:val="single" w:sz="8" w:space="0" w:color="auto"/>
              <w:tl2br w:val="nil"/>
              <w:tr2bl w:val="nil"/>
            </w:tcBorders>
            <w:noWrap/>
            <w:textDirection w:val="lrTb"/>
            <w:vAlign w:val="bottom"/>
          </w:tcPr>
          <w:p w:rsidR="00AA35C8" w:rsidRPr="007D3529" w:rsidP="00AA35C8">
            <w:pPr>
              <w:spacing w:line="240" w:lineRule="auto"/>
              <w:jc w:val="right"/>
              <w:rPr>
                <w:rFonts w:ascii="Times New Roman" w:hAnsi="Times New Roman" w:cs="Times New Roman"/>
                <w:b/>
                <w:bCs/>
              </w:rPr>
            </w:pPr>
            <w:r w:rsidRPr="007D3529">
              <w:rPr>
                <w:rFonts w:ascii="Times New Roman" w:hAnsi="Times New Roman" w:cs="Times New Roman"/>
                <w:b/>
                <w:bCs/>
              </w:rPr>
              <w:t>11 730 543,40</w:t>
            </w:r>
          </w:p>
        </w:tc>
        <w:tc>
          <w:tcPr>
            <w:tcW w:w="1044" w:type="dxa"/>
            <w:tcBorders>
              <w:top w:val="single" w:sz="4" w:space="0" w:color="auto"/>
              <w:left w:val="nil"/>
              <w:bottom w:val="single" w:sz="4" w:space="0" w:color="auto"/>
              <w:right w:val="single" w:sz="4" w:space="0" w:color="auto"/>
              <w:tl2br w:val="nil"/>
              <w:tr2bl w:val="nil"/>
            </w:tcBorders>
            <w:noWrap/>
            <w:textDirection w:val="lrTb"/>
            <w:vAlign w:val="bottom"/>
          </w:tcPr>
          <w:p w:rsidR="00AA35C8" w:rsidRPr="007D3529" w:rsidP="00AA35C8">
            <w:pPr>
              <w:spacing w:line="240" w:lineRule="auto"/>
              <w:jc w:val="right"/>
              <w:rPr>
                <w:rFonts w:ascii="Times New Roman" w:hAnsi="Times New Roman" w:cs="Times New Roman"/>
              </w:rPr>
            </w:pPr>
            <w:r w:rsidRPr="007D3529">
              <w:rPr>
                <w:rFonts w:ascii="Times New Roman" w:hAnsi="Times New Roman" w:cs="Times New Roman"/>
              </w:rPr>
              <w:t>$0,00</w:t>
            </w:r>
          </w:p>
        </w:tc>
        <w:tc>
          <w:tcPr>
            <w:tcW w:w="794" w:type="dxa"/>
            <w:tcBorders>
              <w:top w:val="single" w:sz="4" w:space="0" w:color="auto"/>
              <w:left w:val="nil"/>
              <w:bottom w:val="single" w:sz="4" w:space="0" w:color="auto"/>
              <w:right w:val="double" w:sz="4" w:space="0" w:color="auto"/>
              <w:tl2br w:val="nil"/>
              <w:tr2bl w:val="nil"/>
            </w:tcBorders>
            <w:noWrap/>
            <w:textDirection w:val="lrTb"/>
            <w:vAlign w:val="bottom"/>
          </w:tcPr>
          <w:p w:rsidR="00AA35C8" w:rsidRPr="007D3529" w:rsidP="00AA35C8">
            <w:pPr>
              <w:spacing w:line="240" w:lineRule="auto"/>
              <w:jc w:val="center"/>
              <w:rPr>
                <w:rFonts w:ascii="Times New Roman" w:hAnsi="Times New Roman" w:cs="Times New Roman"/>
              </w:rPr>
            </w:pPr>
            <w:r w:rsidRPr="007D3529">
              <w:rPr>
                <w:rFonts w:ascii="Times New Roman" w:hAnsi="Times New Roman" w:cs="Times New Roman"/>
              </w:rPr>
              <w:t>€ 0,00</w:t>
            </w:r>
          </w:p>
        </w:tc>
      </w:tr>
      <w:tr>
        <w:tblPrEx>
          <w:tblW w:w="9743" w:type="dxa"/>
          <w:tblInd w:w="47" w:type="dxa"/>
          <w:tblCellMar>
            <w:left w:w="70" w:type="dxa"/>
            <w:right w:w="70" w:type="dxa"/>
          </w:tblCellMar>
        </w:tblPrEx>
        <w:trPr>
          <w:trHeight w:val="70"/>
        </w:trPr>
        <w:tc>
          <w:tcPr>
            <w:tcW w:w="1103" w:type="dxa"/>
            <w:tcBorders>
              <w:top w:val="single" w:sz="4" w:space="0" w:color="auto"/>
              <w:left w:val="double" w:sz="4" w:space="0" w:color="auto"/>
              <w:bottom w:val="double" w:sz="4" w:space="0" w:color="auto"/>
              <w:right w:val="double" w:sz="6" w:space="0" w:color="auto"/>
              <w:tl2br w:val="nil"/>
              <w:tr2bl w:val="nil"/>
            </w:tcBorders>
            <w:noWrap/>
            <w:textDirection w:val="lrTb"/>
            <w:vAlign w:val="bottom"/>
          </w:tcPr>
          <w:p w:rsidR="00AA35C8" w:rsidRPr="007D3529" w:rsidP="00AA35C8">
            <w:pPr>
              <w:spacing w:line="240" w:lineRule="auto"/>
              <w:jc w:val="center"/>
              <w:rPr>
                <w:rFonts w:ascii="Times New Roman" w:hAnsi="Times New Roman" w:cs="Times New Roman"/>
                <w:bCs/>
              </w:rPr>
            </w:pPr>
            <w:r w:rsidRPr="007D3529">
              <w:rPr>
                <w:rFonts w:ascii="Times New Roman" w:hAnsi="Times New Roman" w:cs="Times New Roman"/>
                <w:bCs/>
              </w:rPr>
              <w:t>IV. Q</w:t>
            </w:r>
          </w:p>
        </w:tc>
        <w:tc>
          <w:tcPr>
            <w:tcW w:w="1260" w:type="dxa"/>
            <w:tcBorders>
              <w:top w:val="single" w:sz="4" w:space="0" w:color="auto"/>
              <w:left w:val="nil"/>
              <w:bottom w:val="double" w:sz="4" w:space="0" w:color="auto"/>
              <w:right w:val="single" w:sz="4" w:space="0" w:color="auto"/>
              <w:tl2br w:val="nil"/>
              <w:tr2bl w:val="nil"/>
            </w:tcBorders>
            <w:noWrap/>
            <w:textDirection w:val="lrTb"/>
            <w:vAlign w:val="bottom"/>
          </w:tcPr>
          <w:p w:rsidR="00AA35C8" w:rsidRPr="007D3529" w:rsidP="00AA35C8">
            <w:pPr>
              <w:spacing w:line="240" w:lineRule="auto"/>
              <w:jc w:val="right"/>
              <w:rPr>
                <w:rFonts w:ascii="Times New Roman" w:hAnsi="Times New Roman" w:cs="Times New Roman"/>
              </w:rPr>
            </w:pPr>
            <w:r w:rsidRPr="007D3529">
              <w:rPr>
                <w:rFonts w:ascii="Times New Roman" w:hAnsi="Times New Roman" w:cs="Times New Roman"/>
              </w:rPr>
              <w:t>94 260,00</w:t>
            </w:r>
          </w:p>
        </w:tc>
        <w:tc>
          <w:tcPr>
            <w:tcW w:w="1440" w:type="dxa"/>
            <w:tcBorders>
              <w:top w:val="single" w:sz="4" w:space="0" w:color="auto"/>
              <w:left w:val="nil"/>
              <w:bottom w:val="double" w:sz="4" w:space="0" w:color="auto"/>
              <w:right w:val="single" w:sz="4" w:space="0" w:color="auto"/>
              <w:tl2br w:val="nil"/>
              <w:tr2bl w:val="nil"/>
            </w:tcBorders>
            <w:noWrap/>
            <w:textDirection w:val="lrTb"/>
            <w:vAlign w:val="bottom"/>
          </w:tcPr>
          <w:p w:rsidR="00AA35C8" w:rsidRPr="007D3529" w:rsidP="00AA35C8">
            <w:pPr>
              <w:spacing w:line="240" w:lineRule="auto"/>
              <w:jc w:val="right"/>
              <w:rPr>
                <w:rFonts w:ascii="Times New Roman" w:hAnsi="Times New Roman" w:cs="Times New Roman"/>
              </w:rPr>
            </w:pPr>
            <w:r w:rsidRPr="007D3529">
              <w:rPr>
                <w:rFonts w:ascii="Times New Roman" w:hAnsi="Times New Roman" w:cs="Times New Roman"/>
              </w:rPr>
              <w:t>41 649 220,00</w:t>
            </w:r>
          </w:p>
        </w:tc>
        <w:tc>
          <w:tcPr>
            <w:tcW w:w="1390" w:type="dxa"/>
            <w:tcBorders>
              <w:top w:val="single" w:sz="4" w:space="0" w:color="auto"/>
              <w:left w:val="nil"/>
              <w:bottom w:val="double" w:sz="4" w:space="0" w:color="auto"/>
              <w:right w:val="single" w:sz="4" w:space="0" w:color="auto"/>
              <w:tl2br w:val="nil"/>
              <w:tr2bl w:val="nil"/>
            </w:tcBorders>
            <w:textDirection w:val="lrTb"/>
            <w:vAlign w:val="bottom"/>
          </w:tcPr>
          <w:p w:rsidR="00AA35C8" w:rsidRPr="007D3529" w:rsidP="00AA35C8">
            <w:pPr>
              <w:spacing w:line="240" w:lineRule="auto"/>
              <w:ind w:left="-70"/>
              <w:jc w:val="right"/>
              <w:rPr>
                <w:rFonts w:ascii="Times New Roman" w:hAnsi="Times New Roman" w:cs="Times New Roman"/>
              </w:rPr>
            </w:pPr>
            <w:r w:rsidRPr="007D3529">
              <w:rPr>
                <w:rFonts w:ascii="Times New Roman" w:hAnsi="Times New Roman" w:cs="Times New Roman"/>
              </w:rPr>
              <w:t>13</w:t>
            </w:r>
            <w:r w:rsidRPr="007D3529">
              <w:rPr>
                <w:rFonts w:ascii="Times New Roman" w:hAnsi="Times New Roman" w:cs="Times New Roman"/>
              </w:rPr>
              <w:t xml:space="preserve"> 193 167,60</w:t>
            </w:r>
          </w:p>
        </w:tc>
        <w:tc>
          <w:tcPr>
            <w:tcW w:w="1203" w:type="dxa"/>
            <w:tcBorders>
              <w:top w:val="single" w:sz="4" w:space="0" w:color="auto"/>
              <w:left w:val="nil"/>
              <w:bottom w:val="double" w:sz="4" w:space="0" w:color="auto"/>
              <w:right w:val="single" w:sz="4" w:space="0" w:color="auto"/>
              <w:tl2br w:val="nil"/>
              <w:tr2bl w:val="nil"/>
            </w:tcBorders>
            <w:noWrap/>
            <w:textDirection w:val="lrTb"/>
            <w:vAlign w:val="bottom"/>
          </w:tcPr>
          <w:p w:rsidR="00AA35C8" w:rsidRPr="007D3529" w:rsidP="00AA35C8">
            <w:pPr>
              <w:spacing w:line="240" w:lineRule="auto"/>
              <w:jc w:val="right"/>
              <w:rPr>
                <w:rFonts w:ascii="Times New Roman" w:hAnsi="Times New Roman" w:cs="Times New Roman"/>
              </w:rPr>
            </w:pPr>
            <w:r w:rsidRPr="007D3529">
              <w:rPr>
                <w:rFonts w:ascii="Times New Roman" w:hAnsi="Times New Roman" w:cs="Times New Roman"/>
              </w:rPr>
              <w:t>-63 731,50</w:t>
            </w:r>
          </w:p>
        </w:tc>
        <w:tc>
          <w:tcPr>
            <w:tcW w:w="1509" w:type="dxa"/>
            <w:tcBorders>
              <w:top w:val="single" w:sz="4" w:space="0" w:color="auto"/>
              <w:left w:val="nil"/>
              <w:bottom w:val="double" w:sz="4" w:space="0" w:color="auto"/>
              <w:right w:val="single" w:sz="8" w:space="0" w:color="auto"/>
              <w:tl2br w:val="nil"/>
              <w:tr2bl w:val="nil"/>
            </w:tcBorders>
            <w:noWrap/>
            <w:textDirection w:val="lrTb"/>
            <w:vAlign w:val="bottom"/>
          </w:tcPr>
          <w:p w:rsidR="00AA35C8" w:rsidRPr="007D3529" w:rsidP="00AA35C8">
            <w:pPr>
              <w:spacing w:line="240" w:lineRule="auto"/>
              <w:jc w:val="right"/>
              <w:rPr>
                <w:rFonts w:ascii="Times New Roman" w:hAnsi="Times New Roman" w:cs="Times New Roman"/>
                <w:b/>
                <w:bCs/>
              </w:rPr>
            </w:pPr>
            <w:r w:rsidRPr="007D3529">
              <w:rPr>
                <w:rFonts w:ascii="Times New Roman" w:hAnsi="Times New Roman" w:cs="Times New Roman"/>
                <w:b/>
                <w:bCs/>
              </w:rPr>
              <w:t>54 872 916,10</w:t>
            </w:r>
          </w:p>
        </w:tc>
        <w:tc>
          <w:tcPr>
            <w:tcW w:w="1044" w:type="dxa"/>
            <w:tcBorders>
              <w:top w:val="single" w:sz="4" w:space="0" w:color="auto"/>
              <w:left w:val="nil"/>
              <w:bottom w:val="double" w:sz="4" w:space="0" w:color="auto"/>
              <w:right w:val="single" w:sz="4" w:space="0" w:color="auto"/>
              <w:tl2br w:val="nil"/>
              <w:tr2bl w:val="nil"/>
            </w:tcBorders>
            <w:noWrap/>
            <w:textDirection w:val="lrTb"/>
            <w:vAlign w:val="bottom"/>
          </w:tcPr>
          <w:p w:rsidR="00AA35C8" w:rsidRPr="007D3529" w:rsidP="00AA35C8">
            <w:pPr>
              <w:spacing w:line="240" w:lineRule="auto"/>
              <w:jc w:val="right"/>
              <w:rPr>
                <w:rFonts w:ascii="Times New Roman" w:hAnsi="Times New Roman" w:cs="Times New Roman"/>
              </w:rPr>
            </w:pPr>
            <w:r w:rsidRPr="007D3529">
              <w:rPr>
                <w:rFonts w:ascii="Times New Roman" w:hAnsi="Times New Roman" w:cs="Times New Roman"/>
              </w:rPr>
              <w:t>$0,00</w:t>
            </w:r>
          </w:p>
        </w:tc>
        <w:tc>
          <w:tcPr>
            <w:tcW w:w="794" w:type="dxa"/>
            <w:tcBorders>
              <w:top w:val="single" w:sz="4" w:space="0" w:color="auto"/>
              <w:left w:val="nil"/>
              <w:bottom w:val="double" w:sz="4" w:space="0" w:color="auto"/>
              <w:right w:val="double" w:sz="4" w:space="0" w:color="auto"/>
              <w:tl2br w:val="nil"/>
              <w:tr2bl w:val="nil"/>
            </w:tcBorders>
            <w:noWrap/>
            <w:textDirection w:val="lrTb"/>
            <w:vAlign w:val="bottom"/>
          </w:tcPr>
          <w:p w:rsidR="00AA35C8" w:rsidRPr="007D3529" w:rsidP="00AA35C8">
            <w:pPr>
              <w:spacing w:line="240" w:lineRule="auto"/>
              <w:jc w:val="center"/>
              <w:rPr>
                <w:rFonts w:ascii="Times New Roman" w:hAnsi="Times New Roman" w:cs="Times New Roman"/>
              </w:rPr>
            </w:pPr>
            <w:r w:rsidRPr="007D3529">
              <w:rPr>
                <w:rFonts w:ascii="Times New Roman" w:hAnsi="Times New Roman" w:cs="Times New Roman"/>
              </w:rPr>
              <w:t>€ 0,00</w:t>
            </w:r>
          </w:p>
        </w:tc>
      </w:tr>
    </w:tbl>
    <w:p w:rsidR="00AA35C8" w:rsidP="00AA35C8">
      <w:pPr>
        <w:pStyle w:val="Title"/>
        <w:spacing w:line="240" w:lineRule="auto"/>
        <w:ind w:left="180" w:firstLine="528"/>
        <w:jc w:val="both"/>
        <w:rPr>
          <w:rFonts w:ascii="Times New Roman" w:hAnsi="Times New Roman" w:cs="Times New Roman"/>
          <w:b/>
        </w:rPr>
      </w:pPr>
    </w:p>
    <w:p w:rsidR="00AA35C8" w:rsidRPr="009A52FB" w:rsidP="009A52FB">
      <w:pPr>
        <w:pStyle w:val="Title"/>
        <w:spacing w:line="240" w:lineRule="auto"/>
        <w:ind w:firstLine="708"/>
        <w:jc w:val="both"/>
        <w:rPr>
          <w:rFonts w:ascii="Times New Roman" w:hAnsi="Times New Roman" w:cs="Times New Roman"/>
        </w:rPr>
      </w:pPr>
      <w:r w:rsidRPr="007D3529">
        <w:rPr>
          <w:rFonts w:ascii="Times New Roman" w:hAnsi="Times New Roman" w:cs="Times New Roman"/>
        </w:rPr>
        <w:t>Z účtu SoFo boli k 31.12.2007 realizované výdavky v celkovej výške 4 080 980,50 Sk, z toho na stravov</w:t>
      </w:r>
      <w:r w:rsidR="007D3529">
        <w:rPr>
          <w:rFonts w:ascii="Times New Roman" w:hAnsi="Times New Roman" w:cs="Times New Roman"/>
        </w:rPr>
        <w:t xml:space="preserve">anie </w:t>
      </w:r>
      <w:r w:rsidRPr="007D3529">
        <w:rPr>
          <w:rFonts w:ascii="Times New Roman" w:hAnsi="Times New Roman" w:cs="Times New Roman"/>
        </w:rPr>
        <w:t>3 034 49</w:t>
      </w:r>
      <w:r w:rsidR="007D3529">
        <w:rPr>
          <w:rFonts w:ascii="Times New Roman" w:hAnsi="Times New Roman" w:cs="Times New Roman"/>
        </w:rPr>
        <w:t xml:space="preserve">6,- Sk, na kultúrne podujatia 194 280,- Sk, na regeneráciu </w:t>
      </w:r>
      <w:r w:rsidRPr="007D3529">
        <w:rPr>
          <w:rFonts w:ascii="Times New Roman" w:hAnsi="Times New Roman" w:cs="Times New Roman"/>
        </w:rPr>
        <w:t>2</w:t>
      </w:r>
      <w:r w:rsidR="007D3529">
        <w:rPr>
          <w:rFonts w:ascii="Times New Roman" w:hAnsi="Times New Roman" w:cs="Times New Roman"/>
        </w:rPr>
        <w:t xml:space="preserve">2 504,50 Sk, sociálnu výpomoc </w:t>
      </w:r>
      <w:r w:rsidRPr="007D3529">
        <w:rPr>
          <w:rFonts w:ascii="Times New Roman" w:hAnsi="Times New Roman" w:cs="Times New Roman"/>
        </w:rPr>
        <w:t>45 000</w:t>
      </w:r>
      <w:r w:rsidR="007D3529">
        <w:rPr>
          <w:rFonts w:ascii="Times New Roman" w:hAnsi="Times New Roman" w:cs="Times New Roman"/>
        </w:rPr>
        <w:t xml:space="preserve">,- Sk a príspevok na dopravu </w:t>
      </w:r>
      <w:r w:rsidRPr="007D3529">
        <w:rPr>
          <w:rFonts w:ascii="Times New Roman" w:hAnsi="Times New Roman" w:cs="Times New Roman"/>
        </w:rPr>
        <w:t>784</w:t>
      </w:r>
      <w:r w:rsidR="007D3529">
        <w:rPr>
          <w:rFonts w:ascii="Times New Roman" w:hAnsi="Times New Roman" w:cs="Times New Roman"/>
        </w:rPr>
        <w:t xml:space="preserve"> 700,- Sk.  Príjmy účtu vo výške 3 866 735,- Sk </w:t>
      </w:r>
      <w:r w:rsidRPr="007D3529">
        <w:rPr>
          <w:rFonts w:ascii="Times New Roman" w:hAnsi="Times New Roman" w:cs="Times New Roman"/>
        </w:rPr>
        <w:t>tvorili prídel za 1-12/2007 (3 847 656,- Sk) a splátky pôžičiek (19  079,- Sk).</w:t>
      </w:r>
    </w:p>
    <w:p w:rsidR="00AA35C8" w:rsidRPr="007D3529" w:rsidP="00AA35C8">
      <w:pPr>
        <w:pStyle w:val="Title"/>
        <w:spacing w:line="240" w:lineRule="auto"/>
        <w:ind w:firstLine="708"/>
        <w:jc w:val="both"/>
        <w:rPr>
          <w:rFonts w:ascii="Times New Roman" w:hAnsi="Times New Roman" w:cs="Times New Roman"/>
        </w:rPr>
      </w:pPr>
      <w:r w:rsidRPr="007D3529">
        <w:rPr>
          <w:rFonts w:ascii="Times New Roman" w:hAnsi="Times New Roman" w:cs="Times New Roman"/>
        </w:rPr>
        <w:t xml:space="preserve">Na depozitnom účte bol k 31.12.2007 zostatok vo výške 42 115 780,- Sk, ktorý tvoria prostriedky na výplaty za december 2007 (42 114 669,- Sk), zostatok nevyčerpaných prostriedkov v celkovej výške 961,- Sk (z toho KTG 610 - 9,- Sk, KTG 620 – 941,- Sk a KTG 640 – 11,- Sk) a daň z ubytovania za mesiac 12/2007 (150,- Sk). </w:t>
      </w:r>
    </w:p>
    <w:p w:rsidR="00AA35C8" w:rsidRPr="007D3529" w:rsidP="00AA35C8">
      <w:pPr>
        <w:pStyle w:val="Title"/>
        <w:spacing w:line="240" w:lineRule="auto"/>
        <w:ind w:firstLine="708"/>
        <w:jc w:val="both"/>
        <w:rPr>
          <w:rFonts w:ascii="Times New Roman" w:hAnsi="Times New Roman" w:cs="Times New Roman"/>
        </w:rPr>
      </w:pPr>
    </w:p>
    <w:p w:rsidR="00AA35C8" w:rsidRPr="007D3529" w:rsidP="00AA35C8">
      <w:pPr>
        <w:pStyle w:val="Title"/>
        <w:spacing w:line="240" w:lineRule="auto"/>
        <w:ind w:firstLine="708"/>
        <w:jc w:val="both"/>
        <w:rPr>
          <w:rFonts w:ascii="Times New Roman" w:hAnsi="Times New Roman" w:cs="Times New Roman"/>
        </w:rPr>
      </w:pPr>
      <w:r w:rsidRPr="007D3529">
        <w:rPr>
          <w:rFonts w:ascii="Times New Roman" w:hAnsi="Times New Roman" w:cs="Times New Roman"/>
        </w:rPr>
        <w:t xml:space="preserve">Realizácia príjmov a výdavkov  na osobitnom účte ministerstva (ďalej len „OÚ“) </w:t>
      </w:r>
      <w:r w:rsidR="007D3529">
        <w:rPr>
          <w:rFonts w:ascii="Times New Roman" w:hAnsi="Times New Roman" w:cs="Times New Roman"/>
        </w:rPr>
        <w:t xml:space="preserve">bola  v súlade so </w:t>
      </w:r>
      <w:r w:rsidRPr="007D3529">
        <w:rPr>
          <w:rFonts w:ascii="Times New Roman" w:hAnsi="Times New Roman" w:cs="Times New Roman"/>
        </w:rPr>
        <w:t>zákonom č. 328/2002 Z. z. o sociálnom zabezpečení policajtov a vojakov  a o zmene a doplnení niektorých zákonov</w:t>
      </w:r>
      <w:r w:rsidR="007D3529">
        <w:rPr>
          <w:rFonts w:ascii="Times New Roman" w:hAnsi="Times New Roman" w:cs="Times New Roman"/>
        </w:rPr>
        <w:t xml:space="preserve"> v znení neskorších predpisov. Tvorili ich </w:t>
      </w:r>
      <w:r w:rsidRPr="007D3529">
        <w:rPr>
          <w:rFonts w:ascii="Times New Roman" w:hAnsi="Times New Roman" w:cs="Times New Roman"/>
        </w:rPr>
        <w:t>dávky výsluhového zabezpečeni</w:t>
      </w:r>
      <w:r w:rsidRPr="007D3529">
        <w:rPr>
          <w:rFonts w:ascii="Times New Roman" w:hAnsi="Times New Roman" w:cs="Times New Roman"/>
        </w:rPr>
        <w:t>a – výsluhové dôchodky, výsluhové príspevky (66 191 402,-</w:t>
      </w:r>
      <w:r w:rsidRPr="007D3529">
        <w:rPr>
          <w:rFonts w:ascii="Times New Roman" w:hAnsi="Times New Roman" w:cs="Times New Roman"/>
          <w:color w:val="FF0000"/>
        </w:rPr>
        <w:t xml:space="preserve"> </w:t>
      </w:r>
      <w:r w:rsidRPr="007D3529">
        <w:rPr>
          <w:rFonts w:ascii="Times New Roman" w:hAnsi="Times New Roman" w:cs="Times New Roman"/>
        </w:rPr>
        <w:t>Sk), nemocenské dávky (3 504 005,- Sk), odchodné (5 335 085,- Sk), úrazové dávky (791 913,- Sk), zdravotné výkony (5 425,- Sk), dávky za služby (preventívne rehabilitácie, rekreácie, pozostalostné dávky) – 3 479 891,- Sk, vianočný príspevok (4 500,- Sk) a poštovné (24 533,- Sk). V rámci nemocenských dávok bola vyplatená náhrada služobného platu nad 10 dní vo výške 2 262 856,- Sk (484 prípadov), nemocenské – 897 182,- Sk (137 prípadov), materské 342 2</w:t>
      </w:r>
      <w:r w:rsidRPr="007D3529">
        <w:rPr>
          <w:rFonts w:ascii="Times New Roman" w:hAnsi="Times New Roman" w:cs="Times New Roman"/>
        </w:rPr>
        <w:t>36,- Sk (42 prípadov) a jedna vyrovnávacia dávka – 1 731,- Sk. Prebytok OÚ za rok 2006 bol odvedený na MF SR vo výške 30 795 173,10 Sk.</w:t>
      </w:r>
    </w:p>
    <w:p w:rsidR="00893F93" w:rsidP="00AA35C8">
      <w:pPr>
        <w:pStyle w:val="Title"/>
        <w:spacing w:line="240" w:lineRule="auto"/>
        <w:ind w:firstLine="708"/>
        <w:jc w:val="both"/>
        <w:rPr>
          <w:rFonts w:ascii="Times New Roman" w:hAnsi="Times New Roman" w:cs="Times New Roman"/>
        </w:rPr>
      </w:pPr>
    </w:p>
    <w:p w:rsidR="00AA35C8" w:rsidRPr="007D3529" w:rsidP="00AA35C8">
      <w:pPr>
        <w:pStyle w:val="Title"/>
        <w:spacing w:line="240" w:lineRule="auto"/>
        <w:ind w:firstLine="708"/>
        <w:jc w:val="both"/>
        <w:rPr>
          <w:rFonts w:ascii="Times New Roman" w:hAnsi="Times New Roman" w:cs="Times New Roman"/>
        </w:rPr>
      </w:pPr>
      <w:r w:rsidRPr="007D3529">
        <w:rPr>
          <w:rFonts w:ascii="Times New Roman" w:hAnsi="Times New Roman" w:cs="Times New Roman"/>
        </w:rPr>
        <w:t xml:space="preserve"> Príjmy OÚ tvorili: poistné z výplat za 12/2006, 1/2007 až  11/2007 vo výške 113 239 882,- Sk (z toho ŽP ako zamestnávateľ 81 266 879,- Sk a policajti – 31 973 003,- Sk), príspevok z rozpočtu na poštovné (24 533,- Sk) a rekreácie (36 346,- Sk), refundácia pozostalostných dávok vo výške 30 000,- Sk, vianočného príspevku od MPSVaR SR vo výške 4 500,- Sk a vrátené výsluhové d</w:t>
      </w:r>
      <w:r w:rsidRPr="007D3529">
        <w:rPr>
          <w:rFonts w:ascii="Times New Roman" w:hAnsi="Times New Roman" w:cs="Times New Roman"/>
        </w:rPr>
        <w:t>ôchodky z dôvodu úmrtia vo výške 22 198,- Sk.</w:t>
      </w:r>
    </w:p>
    <w:p w:rsidR="00AA35C8" w:rsidRPr="007D3529" w:rsidP="00AA35C8">
      <w:pPr>
        <w:pStyle w:val="Title"/>
        <w:spacing w:line="240" w:lineRule="auto"/>
        <w:jc w:val="both"/>
        <w:rPr>
          <w:rFonts w:ascii="Times New Roman" w:hAnsi="Times New Roman" w:cs="Times New Roman"/>
          <w:color w:val="FFFFFF"/>
          <w:sz w:val="20"/>
        </w:rPr>
      </w:pPr>
      <w:r w:rsidRPr="007D3529">
        <w:rPr>
          <w:rFonts w:ascii="Times New Roman" w:hAnsi="Times New Roman" w:cs="Times New Roman"/>
          <w:color w:val="FFFFFF"/>
          <w:sz w:val="20"/>
        </w:rPr>
        <w:t>Sk.</w:t>
      </w:r>
    </w:p>
    <w:p w:rsidR="00AA35C8" w:rsidRPr="007D3529" w:rsidP="00893F93">
      <w:pPr>
        <w:pStyle w:val="Title"/>
        <w:spacing w:line="240" w:lineRule="auto"/>
        <w:ind w:firstLine="720"/>
        <w:jc w:val="both"/>
        <w:rPr>
          <w:rFonts w:ascii="Times New Roman" w:hAnsi="Times New Roman" w:cs="Times New Roman"/>
        </w:rPr>
      </w:pPr>
      <w:r w:rsidRPr="007D3529">
        <w:rPr>
          <w:rFonts w:ascii="Times New Roman" w:hAnsi="Times New Roman" w:cs="Times New Roman"/>
        </w:rPr>
        <w:t>Na účet darov a grantov bolo k 31.12.2007 prijatých celkom 39 darov v celkovej výške 834 330,- Sk, z toho v IV. štvrťroku  2</w:t>
      </w:r>
      <w:r w:rsidR="004D1A5C">
        <w:rPr>
          <w:rFonts w:ascii="Times New Roman" w:hAnsi="Times New Roman" w:cs="Times New Roman"/>
        </w:rPr>
        <w:t>007 – 1 dar vo výške 5 000,- Sk</w:t>
      </w:r>
      <w:r w:rsidRPr="007D3529">
        <w:rPr>
          <w:rFonts w:ascii="Times New Roman" w:hAnsi="Times New Roman" w:cs="Times New Roman"/>
        </w:rPr>
        <w:t>) od darcu COOP Jednota Krupina, spotrebné družstvo</w:t>
      </w:r>
      <w:r w:rsidR="007D3529">
        <w:rPr>
          <w:rFonts w:ascii="Times New Roman" w:hAnsi="Times New Roman" w:cs="Times New Roman"/>
        </w:rPr>
        <w:t xml:space="preserve"> – účel  použitia – </w:t>
      </w:r>
      <w:r w:rsidRPr="007D3529">
        <w:rPr>
          <w:rFonts w:ascii="Times New Roman" w:hAnsi="Times New Roman" w:cs="Times New Roman"/>
        </w:rPr>
        <w:t xml:space="preserve">propagácia ŽP v rámci osláv 15. výročia </w:t>
      </w:r>
      <w:r w:rsidR="007D3529">
        <w:rPr>
          <w:rFonts w:ascii="Times New Roman" w:hAnsi="Times New Roman" w:cs="Times New Roman"/>
        </w:rPr>
        <w:t xml:space="preserve">vzniku Železničnej polície. </w:t>
      </w:r>
      <w:r w:rsidRPr="007D3529">
        <w:rPr>
          <w:rFonts w:ascii="Times New Roman" w:hAnsi="Times New Roman" w:cs="Times New Roman"/>
        </w:rPr>
        <w:t>Z účtu bol vykonaný prevod prostriedkov na osobitný príjmový účet dary a granty v celkovej výške 536 669,50 Sk (za IV. štvrťrok 2007 – 68 731,50 Sk), ktoré boli použité ako povolené prekročenie na úhradu výdavkov v rámci zabezpečenia 10. ročníka športových dní ŽP a osláv 15. výročia vzniku ŽP.</w:t>
      </w:r>
    </w:p>
    <w:p w:rsidR="00AA35C8" w:rsidRPr="007D3529" w:rsidP="00AA35C8">
      <w:pPr>
        <w:pStyle w:val="Title"/>
        <w:spacing w:line="240" w:lineRule="auto"/>
        <w:ind w:firstLine="709"/>
        <w:jc w:val="both"/>
        <w:rPr>
          <w:rFonts w:ascii="Times New Roman" w:hAnsi="Times New Roman" w:cs="Times New Roman"/>
        </w:rPr>
      </w:pPr>
      <w:r w:rsidRPr="007D3529">
        <w:rPr>
          <w:rFonts w:ascii="Times New Roman" w:hAnsi="Times New Roman" w:cs="Times New Roman"/>
        </w:rPr>
        <w:t xml:space="preserve">Devízový účet vedený v USD bol v IV. štvrťroku 2007 bez pohybov. </w:t>
      </w:r>
    </w:p>
    <w:p w:rsidR="00710ED7" w:rsidRPr="00D23807" w:rsidP="00C362EA">
      <w:pPr>
        <w:spacing w:line="240" w:lineRule="auto"/>
        <w:rPr>
          <w:rFonts w:ascii="Times New Roman" w:hAnsi="Times New Roman" w:cs="Times New Roman"/>
          <w:sz w:val="24"/>
          <w:szCs w:val="24"/>
        </w:rPr>
      </w:pPr>
    </w:p>
    <w:p w:rsidR="00D27E26" w:rsidRPr="00D23807" w:rsidP="00C362EA">
      <w:pPr>
        <w:spacing w:line="240" w:lineRule="auto"/>
        <w:rPr>
          <w:rFonts w:ascii="Times New Roman" w:hAnsi="Times New Roman" w:cs="Times New Roman"/>
          <w:b/>
          <w:sz w:val="24"/>
          <w:u w:val="single"/>
        </w:rPr>
      </w:pPr>
      <w:r w:rsidRPr="00D23807">
        <w:rPr>
          <w:rFonts w:ascii="Times New Roman" w:hAnsi="Times New Roman" w:cs="Times New Roman"/>
          <w:b/>
          <w:sz w:val="24"/>
          <w:u w:val="single"/>
        </w:rPr>
        <w:t>3. TECHNICKÁ OCHRANA A OB</w:t>
      </w:r>
      <w:r w:rsidR="006F24B5">
        <w:rPr>
          <w:rFonts w:ascii="Times New Roman" w:hAnsi="Times New Roman" w:cs="Times New Roman"/>
          <w:b/>
          <w:sz w:val="24"/>
          <w:u w:val="single"/>
        </w:rPr>
        <w:t>NOVA ŽELEZNÍC – podprogram 07T05</w:t>
      </w:r>
      <w:r w:rsidRPr="00D23807">
        <w:rPr>
          <w:rFonts w:ascii="Times New Roman" w:hAnsi="Times New Roman" w:cs="Times New Roman"/>
          <w:b/>
          <w:sz w:val="24"/>
          <w:u w:val="single"/>
        </w:rPr>
        <w:t xml:space="preserve"> – Zabezpečenie funkčnosti železničnej a cestnej dopravy v krízových situáciách </w:t>
      </w:r>
    </w:p>
    <w:p w:rsidR="00710ED7" w:rsidP="00C362EA">
      <w:pPr>
        <w:spacing w:line="240" w:lineRule="auto"/>
        <w:rPr>
          <w:rFonts w:ascii="Times New Roman" w:hAnsi="Times New Roman" w:cs="Times New Roman"/>
          <w:sz w:val="24"/>
          <w:szCs w:val="24"/>
        </w:rPr>
      </w:pPr>
      <w:r w:rsidRPr="00D23807" w:rsidR="00D27E26">
        <w:rPr>
          <w:rFonts w:ascii="Times New Roman" w:hAnsi="Times New Roman" w:cs="Times New Roman"/>
          <w:sz w:val="24"/>
          <w:szCs w:val="24"/>
        </w:rPr>
        <w:tab/>
      </w:r>
    </w:p>
    <w:p w:rsidR="00710ED7" w:rsidRPr="00F43690" w:rsidP="004B593A">
      <w:pPr>
        <w:spacing w:line="240" w:lineRule="auto"/>
        <w:jc w:val="center"/>
        <w:rPr>
          <w:rFonts w:ascii="Arial Narrow" w:hAnsi="Arial Narrow" w:cs="Times New Roman"/>
          <w:b/>
          <w:sz w:val="24"/>
          <w:szCs w:val="24"/>
        </w:rPr>
      </w:pPr>
      <w:r w:rsidRPr="00F43690" w:rsidR="00B76EE5">
        <w:rPr>
          <w:rFonts w:ascii="Arial Narrow" w:hAnsi="Arial Narrow" w:cs="Times New Roman"/>
          <w:b/>
          <w:sz w:val="24"/>
          <w:szCs w:val="24"/>
        </w:rPr>
        <w:t>Prehľad rozpočtový</w:t>
      </w:r>
      <w:r w:rsidR="00111791">
        <w:rPr>
          <w:rFonts w:ascii="Arial Narrow" w:hAnsi="Arial Narrow" w:cs="Times New Roman"/>
          <w:b/>
          <w:sz w:val="24"/>
          <w:szCs w:val="24"/>
        </w:rPr>
        <w:t xml:space="preserve">ch výdavkov TOOŽ </w:t>
      </w:r>
      <w:r w:rsidR="0024589B">
        <w:rPr>
          <w:rFonts w:ascii="Arial Narrow" w:hAnsi="Arial Narrow" w:cs="Times New Roman"/>
          <w:b/>
          <w:sz w:val="24"/>
          <w:szCs w:val="24"/>
        </w:rPr>
        <w:t>za rok 2007</w:t>
      </w:r>
    </w:p>
    <w:p w:rsidR="00B76EE5" w:rsidRPr="00D04D46" w:rsidP="00C362EA">
      <w:pPr>
        <w:spacing w:line="240" w:lineRule="auto"/>
        <w:rPr>
          <w:rFonts w:ascii="Arial Narrow" w:hAnsi="Arial Narrow" w:cs="Times New Roman"/>
        </w:rPr>
      </w:pPr>
      <w:r w:rsidRPr="00D04D46">
        <w:rPr>
          <w:rFonts w:ascii="Arial Narrow" w:hAnsi="Arial Narrow" w:cs="Times New Roman"/>
        </w:rPr>
        <w:t xml:space="preserve">                     </w:t>
      </w:r>
      <w:r>
        <w:rPr>
          <w:rFonts w:ascii="Arial Narrow" w:hAnsi="Arial Narrow" w:cs="Times New Roman"/>
        </w:rPr>
        <w:t xml:space="preserve">          </w:t>
      </w:r>
      <w:r w:rsidRPr="00D04D46">
        <w:rPr>
          <w:rFonts w:ascii="Arial Narrow" w:hAnsi="Arial Narrow" w:cs="Times New Roman"/>
        </w:rPr>
        <w:t xml:space="preserve">                                                                              </w:t>
      </w:r>
      <w:r>
        <w:rPr>
          <w:rFonts w:ascii="Arial Narrow" w:hAnsi="Arial Narrow" w:cs="Times New Roman"/>
        </w:rPr>
        <w:t xml:space="preserve">                      </w:t>
      </w:r>
      <w:r>
        <w:rPr>
          <w:rFonts w:ascii="Arial Narrow" w:hAnsi="Arial Narrow" w:cs="Times New Roman"/>
        </w:rPr>
        <w:t xml:space="preserve">                                                    </w:t>
      </w:r>
      <w:r w:rsidRPr="00D04D46">
        <w:rPr>
          <w:rFonts w:ascii="Arial Narrow" w:hAnsi="Arial Narrow" w:cs="Times New Roman"/>
        </w:rPr>
        <w:t xml:space="preserve">    (v Sk)</w:t>
      </w:r>
    </w:p>
    <w:tbl>
      <w:tblPr>
        <w:tblW w:w="96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Grid>
        <w:gridCol w:w="3060"/>
        <w:gridCol w:w="1677"/>
        <w:gridCol w:w="1677"/>
        <w:gridCol w:w="1732"/>
        <w:gridCol w:w="1495"/>
      </w:tblGrid>
      <w:tr>
        <w:tblPrEx>
          <w:tblW w:w="96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auto" w:val="0"/>
        </w:trPr>
        <w:tc>
          <w:tcPr>
            <w:tcW w:w="3060" w:type="dxa"/>
            <w:tcBorders>
              <w:top w:val="single" w:sz="4" w:space="0" w:color="auto"/>
              <w:left w:val="single" w:sz="4" w:space="0" w:color="auto"/>
              <w:bottom w:val="single" w:sz="4" w:space="0" w:color="auto"/>
              <w:right w:val="single" w:sz="4" w:space="0" w:color="auto"/>
              <w:tl2br w:val="nil"/>
              <w:tr2bl w:val="nil"/>
            </w:tcBorders>
            <w:shd w:val="clear" w:color="auto" w:fill="CCCCCC"/>
            <w:textDirection w:val="lrTb"/>
            <w:vAlign w:val="top"/>
          </w:tcPr>
          <w:p w:rsidR="00D51AA5" w:rsidRPr="00D04D46" w:rsidP="00C362EA">
            <w:pPr>
              <w:spacing w:line="240" w:lineRule="auto"/>
              <w:rPr>
                <w:rFonts w:ascii="Times New Roman" w:hAnsi="Times New Roman" w:cs="Times New Roman"/>
                <w:u w:val="single"/>
              </w:rPr>
            </w:pPr>
          </w:p>
        </w:tc>
        <w:tc>
          <w:tcPr>
            <w:tcW w:w="1677" w:type="dxa"/>
            <w:tcBorders>
              <w:top w:val="single" w:sz="4" w:space="0" w:color="auto"/>
              <w:left w:val="single" w:sz="4" w:space="0" w:color="auto"/>
              <w:bottom w:val="single" w:sz="4" w:space="0" w:color="auto"/>
              <w:right w:val="single" w:sz="4" w:space="0" w:color="auto"/>
              <w:tl2br w:val="nil"/>
              <w:tr2bl w:val="nil"/>
            </w:tcBorders>
            <w:shd w:val="clear" w:color="auto" w:fill="CCCCCC"/>
            <w:textDirection w:val="lrTb"/>
            <w:vAlign w:val="center"/>
          </w:tcPr>
          <w:p w:rsidR="00D51AA5" w:rsidRPr="00FC7E23" w:rsidP="00C362EA">
            <w:pPr>
              <w:spacing w:line="240" w:lineRule="auto"/>
              <w:jc w:val="center"/>
              <w:rPr>
                <w:rFonts w:ascii="Arial Narrow" w:hAnsi="Arial Narrow" w:cs="Times New Roman"/>
                <w:b/>
              </w:rPr>
            </w:pPr>
            <w:r w:rsidRPr="00FC7E23">
              <w:rPr>
                <w:rFonts w:ascii="Arial Narrow" w:hAnsi="Arial Narrow" w:cs="Times New Roman"/>
                <w:b/>
              </w:rPr>
              <w:t xml:space="preserve">Schválený rozpočet </w:t>
            </w:r>
            <w:r>
              <w:rPr>
                <w:rFonts w:ascii="Arial Narrow" w:hAnsi="Arial Narrow" w:cs="Times New Roman"/>
                <w:b/>
              </w:rPr>
              <w:t>k 1.1.2007</w:t>
            </w:r>
          </w:p>
        </w:tc>
        <w:tc>
          <w:tcPr>
            <w:tcW w:w="1677" w:type="dxa"/>
            <w:tcBorders>
              <w:top w:val="single" w:sz="4" w:space="0" w:color="auto"/>
              <w:left w:val="single" w:sz="4" w:space="0" w:color="auto"/>
              <w:bottom w:val="single" w:sz="4" w:space="0" w:color="auto"/>
              <w:right w:val="single" w:sz="4" w:space="0" w:color="auto"/>
              <w:tl2br w:val="nil"/>
              <w:tr2bl w:val="nil"/>
            </w:tcBorders>
            <w:shd w:val="clear" w:color="auto" w:fill="CCCCCC"/>
            <w:textDirection w:val="lrTb"/>
            <w:vAlign w:val="center"/>
          </w:tcPr>
          <w:p w:rsidR="00D51AA5" w:rsidRPr="00FC7E23" w:rsidP="00C362EA">
            <w:pPr>
              <w:spacing w:line="240" w:lineRule="auto"/>
              <w:jc w:val="center"/>
              <w:rPr>
                <w:rFonts w:ascii="Arial Narrow" w:hAnsi="Arial Narrow" w:cs="Times New Roman"/>
                <w:b/>
              </w:rPr>
            </w:pPr>
            <w:r>
              <w:rPr>
                <w:rFonts w:ascii="Arial Narrow" w:hAnsi="Arial Narrow" w:cs="Times New Roman"/>
                <w:b/>
              </w:rPr>
              <w:t>Upravený rozpočet k 31.12.2007</w:t>
            </w:r>
          </w:p>
        </w:tc>
        <w:tc>
          <w:tcPr>
            <w:tcW w:w="1732" w:type="dxa"/>
            <w:tcBorders>
              <w:top w:val="single" w:sz="4" w:space="0" w:color="auto"/>
              <w:left w:val="single" w:sz="4" w:space="0" w:color="auto"/>
              <w:bottom w:val="single" w:sz="4" w:space="0" w:color="auto"/>
              <w:right w:val="single" w:sz="4" w:space="0" w:color="auto"/>
              <w:tl2br w:val="nil"/>
              <w:tr2bl w:val="nil"/>
            </w:tcBorders>
            <w:shd w:val="clear" w:color="auto" w:fill="CCCCCC"/>
            <w:textDirection w:val="lrTb"/>
            <w:vAlign w:val="center"/>
          </w:tcPr>
          <w:p w:rsidR="00D51AA5" w:rsidRPr="00FC7E23" w:rsidP="00C362EA">
            <w:pPr>
              <w:spacing w:line="240" w:lineRule="auto"/>
              <w:jc w:val="center"/>
              <w:rPr>
                <w:rFonts w:ascii="Arial Narrow" w:hAnsi="Arial Narrow" w:cs="Times New Roman"/>
                <w:b/>
              </w:rPr>
            </w:pPr>
            <w:r>
              <w:rPr>
                <w:rFonts w:ascii="Arial Narrow" w:hAnsi="Arial Narrow" w:cs="Times New Roman"/>
                <w:b/>
              </w:rPr>
              <w:t>Skutočné čerpanie k 31.12.2007</w:t>
            </w:r>
          </w:p>
        </w:tc>
        <w:tc>
          <w:tcPr>
            <w:tcW w:w="1495" w:type="dxa"/>
            <w:tcBorders>
              <w:top w:val="single" w:sz="4" w:space="0" w:color="auto"/>
              <w:left w:val="single" w:sz="4" w:space="0" w:color="auto"/>
              <w:bottom w:val="single" w:sz="4" w:space="0" w:color="auto"/>
              <w:right w:val="single" w:sz="4" w:space="0" w:color="auto"/>
              <w:tl2br w:val="nil"/>
              <w:tr2bl w:val="nil"/>
            </w:tcBorders>
            <w:shd w:val="clear" w:color="auto" w:fill="CCCCCC"/>
            <w:textDirection w:val="lrTb"/>
            <w:vAlign w:val="center"/>
          </w:tcPr>
          <w:p w:rsidR="00D51AA5" w:rsidP="00C362EA">
            <w:pPr>
              <w:spacing w:line="240" w:lineRule="auto"/>
              <w:jc w:val="center"/>
              <w:rPr>
                <w:rFonts w:ascii="Arial Narrow" w:hAnsi="Arial Narrow" w:cs="Times New Roman"/>
                <w:b/>
              </w:rPr>
            </w:pPr>
            <w:r w:rsidR="00F70098">
              <w:rPr>
                <w:rFonts w:ascii="Arial Narrow" w:hAnsi="Arial Narrow" w:cs="Times New Roman"/>
                <w:b/>
              </w:rPr>
              <w:t>Rozdiel</w:t>
            </w:r>
          </w:p>
        </w:tc>
      </w:tr>
      <w:tr>
        <w:tblPrEx>
          <w:tblW w:w="9641" w:type="dxa"/>
          <w:tblInd w:w="108" w:type="dxa"/>
        </w:tblPrEx>
        <w:trPr>
          <w:trHeight w:hRule="auto" w:val="0"/>
        </w:trPr>
        <w:tc>
          <w:tcPr>
            <w:tcW w:w="306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D51AA5" w:rsidRPr="00DC7250" w:rsidP="00C362EA">
            <w:pPr>
              <w:spacing w:line="240" w:lineRule="auto"/>
              <w:rPr>
                <w:rFonts w:ascii="Arial Narrow" w:hAnsi="Arial Narrow" w:cs="Times New Roman"/>
              </w:rPr>
            </w:pPr>
            <w:r w:rsidRPr="00DC7250">
              <w:rPr>
                <w:rFonts w:ascii="Arial Narrow" w:hAnsi="Arial Narrow" w:cs="Times New Roman"/>
              </w:rPr>
              <w:t>Bežné výdavky (600), z toho:</w:t>
            </w:r>
          </w:p>
        </w:tc>
        <w:tc>
          <w:tcPr>
            <w:tcW w:w="1677"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D51AA5" w:rsidRPr="00DC7250" w:rsidP="00891064">
            <w:pPr>
              <w:spacing w:line="240" w:lineRule="auto"/>
              <w:jc w:val="right"/>
              <w:rPr>
                <w:rFonts w:ascii="Arial Narrow" w:hAnsi="Arial Narrow" w:cs="Times New Roman"/>
              </w:rPr>
            </w:pPr>
            <w:r>
              <w:rPr>
                <w:rFonts w:ascii="Arial Narrow" w:hAnsi="Arial Narrow" w:cs="Times New Roman"/>
              </w:rPr>
              <w:t>52 323 000,00</w:t>
            </w:r>
          </w:p>
        </w:tc>
        <w:tc>
          <w:tcPr>
            <w:tcW w:w="1677"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D51AA5" w:rsidRPr="00DC7250" w:rsidP="00891064">
            <w:pPr>
              <w:spacing w:line="240" w:lineRule="auto"/>
              <w:jc w:val="right"/>
              <w:rPr>
                <w:rFonts w:ascii="Arial Narrow" w:hAnsi="Arial Narrow" w:cs="Times New Roman"/>
              </w:rPr>
            </w:pPr>
            <w:r>
              <w:rPr>
                <w:rFonts w:ascii="Arial Narrow" w:hAnsi="Arial Narrow" w:cs="Times New Roman"/>
              </w:rPr>
              <w:t>70 435 683,00</w:t>
            </w:r>
          </w:p>
        </w:tc>
        <w:tc>
          <w:tcPr>
            <w:tcW w:w="1732"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D51AA5" w:rsidRPr="00B23854" w:rsidP="00891064">
            <w:pPr>
              <w:spacing w:line="240" w:lineRule="auto"/>
              <w:jc w:val="right"/>
              <w:rPr>
                <w:rFonts w:ascii="Arial Narrow" w:hAnsi="Arial Narrow" w:cs="Times New Roman"/>
              </w:rPr>
            </w:pPr>
            <w:r>
              <w:rPr>
                <w:rFonts w:ascii="Arial Narrow" w:hAnsi="Arial Narrow" w:cs="Times New Roman"/>
              </w:rPr>
              <w:t>69 445 895,96</w:t>
            </w:r>
          </w:p>
        </w:tc>
        <w:tc>
          <w:tcPr>
            <w:tcW w:w="149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51AA5" w:rsidP="00891064">
            <w:pPr>
              <w:spacing w:line="240" w:lineRule="auto"/>
              <w:jc w:val="right"/>
              <w:rPr>
                <w:rFonts w:ascii="Arial Narrow" w:hAnsi="Arial Narrow" w:cs="Times New Roman"/>
              </w:rPr>
            </w:pPr>
            <w:r>
              <w:rPr>
                <w:rFonts w:ascii="Arial Narrow" w:hAnsi="Arial Narrow" w:cs="Times New Roman"/>
              </w:rPr>
              <w:t>989 787,04</w:t>
            </w:r>
          </w:p>
        </w:tc>
      </w:tr>
      <w:tr>
        <w:tblPrEx>
          <w:tblW w:w="9641" w:type="dxa"/>
          <w:tblInd w:w="108" w:type="dxa"/>
        </w:tblPrEx>
        <w:trPr>
          <w:trHeight w:hRule="auto" w:val="0"/>
        </w:trPr>
        <w:tc>
          <w:tcPr>
            <w:tcW w:w="306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D51AA5" w:rsidRPr="00D04D46" w:rsidP="00C362EA">
            <w:pPr>
              <w:spacing w:line="240" w:lineRule="auto"/>
              <w:rPr>
                <w:rFonts w:ascii="Arial Narrow" w:hAnsi="Arial Narrow" w:cs="Times New Roman"/>
              </w:rPr>
            </w:pPr>
            <w:r>
              <w:rPr>
                <w:rFonts w:ascii="Arial Narrow" w:hAnsi="Arial Narrow" w:cs="Times New Roman"/>
              </w:rPr>
              <w:t>Mzdy, pl</w:t>
            </w:r>
            <w:r>
              <w:rPr>
                <w:rFonts w:ascii="Arial Narrow" w:hAnsi="Arial Narrow" w:cs="Times New Roman"/>
              </w:rPr>
              <w:t>aty, sl. príjmy a OOV (610)</w:t>
            </w:r>
          </w:p>
        </w:tc>
        <w:tc>
          <w:tcPr>
            <w:tcW w:w="1677"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D51AA5" w:rsidRPr="00D04D46" w:rsidP="00891064">
            <w:pPr>
              <w:spacing w:line="240" w:lineRule="auto"/>
              <w:jc w:val="right"/>
              <w:rPr>
                <w:rFonts w:ascii="Arial Narrow" w:hAnsi="Arial Narrow" w:cs="Times New Roman"/>
              </w:rPr>
            </w:pPr>
            <w:r>
              <w:rPr>
                <w:rFonts w:ascii="Arial Narrow" w:hAnsi="Arial Narrow" w:cs="Times New Roman"/>
              </w:rPr>
              <w:t>27 560 000,00</w:t>
            </w:r>
          </w:p>
        </w:tc>
        <w:tc>
          <w:tcPr>
            <w:tcW w:w="1677"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D51AA5" w:rsidRPr="00D04D46" w:rsidP="00891064">
            <w:pPr>
              <w:spacing w:line="240" w:lineRule="auto"/>
              <w:jc w:val="right"/>
              <w:rPr>
                <w:rFonts w:ascii="Arial Narrow" w:hAnsi="Arial Narrow" w:cs="Times New Roman"/>
              </w:rPr>
            </w:pPr>
            <w:r>
              <w:rPr>
                <w:rFonts w:ascii="Arial Narrow" w:hAnsi="Arial Narrow" w:cs="Times New Roman"/>
              </w:rPr>
              <w:t>27 878 683,00</w:t>
            </w:r>
          </w:p>
        </w:tc>
        <w:tc>
          <w:tcPr>
            <w:tcW w:w="1732"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D51AA5" w:rsidRPr="00B23854" w:rsidP="00891064">
            <w:pPr>
              <w:spacing w:line="240" w:lineRule="auto"/>
              <w:jc w:val="right"/>
              <w:rPr>
                <w:rFonts w:ascii="Arial Narrow" w:hAnsi="Arial Narrow" w:cs="Times New Roman"/>
              </w:rPr>
            </w:pPr>
            <w:r>
              <w:rPr>
                <w:rFonts w:ascii="Arial Narrow" w:hAnsi="Arial Narrow" w:cs="Times New Roman"/>
              </w:rPr>
              <w:t>27 569 276,00</w:t>
            </w:r>
          </w:p>
        </w:tc>
        <w:tc>
          <w:tcPr>
            <w:tcW w:w="149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51AA5" w:rsidP="00891064">
            <w:pPr>
              <w:spacing w:line="240" w:lineRule="auto"/>
              <w:jc w:val="right"/>
              <w:rPr>
                <w:rFonts w:ascii="Arial Narrow" w:hAnsi="Arial Narrow" w:cs="Times New Roman"/>
              </w:rPr>
            </w:pPr>
            <w:r>
              <w:rPr>
                <w:rFonts w:ascii="Arial Narrow" w:hAnsi="Arial Narrow" w:cs="Times New Roman"/>
              </w:rPr>
              <w:t>309 407,00</w:t>
            </w:r>
          </w:p>
        </w:tc>
      </w:tr>
      <w:tr>
        <w:tblPrEx>
          <w:tblW w:w="9641" w:type="dxa"/>
          <w:tblInd w:w="108" w:type="dxa"/>
        </w:tblPrEx>
        <w:trPr>
          <w:trHeight w:hRule="auto" w:val="0"/>
        </w:trPr>
        <w:tc>
          <w:tcPr>
            <w:tcW w:w="306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D51AA5" w:rsidRPr="00D04D46" w:rsidP="00C362EA">
            <w:pPr>
              <w:spacing w:line="240" w:lineRule="auto"/>
              <w:rPr>
                <w:rFonts w:ascii="Arial Narrow" w:hAnsi="Arial Narrow" w:cs="Times New Roman"/>
              </w:rPr>
            </w:pPr>
            <w:r>
              <w:rPr>
                <w:rFonts w:ascii="Arial Narrow" w:hAnsi="Arial Narrow" w:cs="Times New Roman"/>
              </w:rPr>
              <w:t>Poistné a príspevok do poisťovní (620)</w:t>
            </w:r>
          </w:p>
        </w:tc>
        <w:tc>
          <w:tcPr>
            <w:tcW w:w="1677"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D51AA5" w:rsidRPr="00D04D46" w:rsidP="00891064">
            <w:pPr>
              <w:spacing w:line="240" w:lineRule="auto"/>
              <w:jc w:val="right"/>
              <w:rPr>
                <w:rFonts w:ascii="Arial Narrow" w:hAnsi="Arial Narrow" w:cs="Times New Roman"/>
              </w:rPr>
            </w:pPr>
            <w:r>
              <w:rPr>
                <w:rFonts w:ascii="Arial Narrow" w:hAnsi="Arial Narrow" w:cs="Times New Roman"/>
              </w:rPr>
              <w:t>9 840 000,00</w:t>
            </w:r>
          </w:p>
        </w:tc>
        <w:tc>
          <w:tcPr>
            <w:tcW w:w="1677"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D51AA5" w:rsidRPr="00D04D46" w:rsidP="00891064">
            <w:pPr>
              <w:spacing w:line="240" w:lineRule="auto"/>
              <w:jc w:val="right"/>
              <w:rPr>
                <w:rFonts w:ascii="Arial Narrow" w:hAnsi="Arial Narrow" w:cs="Times New Roman"/>
              </w:rPr>
            </w:pPr>
            <w:r>
              <w:rPr>
                <w:rFonts w:ascii="Arial Narrow" w:hAnsi="Arial Narrow" w:cs="Times New Roman"/>
              </w:rPr>
              <w:t>10 151 000,00</w:t>
            </w:r>
          </w:p>
        </w:tc>
        <w:tc>
          <w:tcPr>
            <w:tcW w:w="1732"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D51AA5" w:rsidRPr="00B23854" w:rsidP="00891064">
            <w:pPr>
              <w:spacing w:line="240" w:lineRule="auto"/>
              <w:jc w:val="right"/>
              <w:rPr>
                <w:rFonts w:ascii="Arial Narrow" w:hAnsi="Arial Narrow" w:cs="Times New Roman"/>
              </w:rPr>
            </w:pPr>
            <w:r>
              <w:rPr>
                <w:rFonts w:ascii="Arial Narrow" w:hAnsi="Arial Narrow" w:cs="Times New Roman"/>
              </w:rPr>
              <w:t>9 524 005,00</w:t>
            </w:r>
          </w:p>
        </w:tc>
        <w:tc>
          <w:tcPr>
            <w:tcW w:w="149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51AA5" w:rsidP="00891064">
            <w:pPr>
              <w:spacing w:line="240" w:lineRule="auto"/>
              <w:jc w:val="right"/>
              <w:rPr>
                <w:rFonts w:ascii="Arial Narrow" w:hAnsi="Arial Narrow" w:cs="Times New Roman"/>
              </w:rPr>
            </w:pPr>
            <w:r>
              <w:rPr>
                <w:rFonts w:ascii="Arial Narrow" w:hAnsi="Arial Narrow" w:cs="Times New Roman"/>
              </w:rPr>
              <w:t>626 995,00</w:t>
            </w:r>
          </w:p>
        </w:tc>
      </w:tr>
      <w:tr>
        <w:tblPrEx>
          <w:tblW w:w="9641" w:type="dxa"/>
          <w:tblInd w:w="108" w:type="dxa"/>
        </w:tblPrEx>
        <w:trPr>
          <w:trHeight w:hRule="auto" w:val="0"/>
        </w:trPr>
        <w:tc>
          <w:tcPr>
            <w:tcW w:w="306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D51AA5" w:rsidRPr="00D04D46" w:rsidP="00C362EA">
            <w:pPr>
              <w:spacing w:line="240" w:lineRule="auto"/>
              <w:rPr>
                <w:rFonts w:ascii="Arial Narrow" w:hAnsi="Arial Narrow" w:cs="Times New Roman"/>
              </w:rPr>
            </w:pPr>
            <w:r>
              <w:rPr>
                <w:rFonts w:ascii="Arial Narrow" w:hAnsi="Arial Narrow" w:cs="Times New Roman"/>
              </w:rPr>
              <w:t>Tovary a služby (630)</w:t>
            </w:r>
          </w:p>
        </w:tc>
        <w:tc>
          <w:tcPr>
            <w:tcW w:w="1677"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D51AA5" w:rsidRPr="00D04D46" w:rsidP="00891064">
            <w:pPr>
              <w:spacing w:line="240" w:lineRule="auto"/>
              <w:jc w:val="right"/>
              <w:rPr>
                <w:rFonts w:ascii="Arial Narrow" w:hAnsi="Arial Narrow" w:cs="Times New Roman"/>
              </w:rPr>
            </w:pPr>
            <w:r>
              <w:rPr>
                <w:rFonts w:ascii="Arial Narrow" w:hAnsi="Arial Narrow" w:cs="Times New Roman"/>
              </w:rPr>
              <w:t>14 773 000,00</w:t>
            </w:r>
          </w:p>
        </w:tc>
        <w:tc>
          <w:tcPr>
            <w:tcW w:w="1677"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D51AA5" w:rsidRPr="00D04D46" w:rsidP="00891064">
            <w:pPr>
              <w:spacing w:line="240" w:lineRule="auto"/>
              <w:jc w:val="right"/>
              <w:rPr>
                <w:rFonts w:ascii="Arial Narrow" w:hAnsi="Arial Narrow" w:cs="Times New Roman"/>
              </w:rPr>
            </w:pPr>
            <w:r>
              <w:rPr>
                <w:rFonts w:ascii="Arial Narrow" w:hAnsi="Arial Narrow" w:cs="Times New Roman"/>
              </w:rPr>
              <w:t>23 485 000,00</w:t>
            </w:r>
          </w:p>
        </w:tc>
        <w:tc>
          <w:tcPr>
            <w:tcW w:w="1732"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D51AA5" w:rsidRPr="00B23854" w:rsidP="00891064">
            <w:pPr>
              <w:spacing w:line="240" w:lineRule="auto"/>
              <w:jc w:val="right"/>
              <w:rPr>
                <w:rFonts w:ascii="Arial Narrow" w:hAnsi="Arial Narrow" w:cs="Times New Roman"/>
              </w:rPr>
            </w:pPr>
            <w:r>
              <w:rPr>
                <w:rFonts w:ascii="Arial Narrow" w:hAnsi="Arial Narrow" w:cs="Times New Roman"/>
              </w:rPr>
              <w:t>23 433 102,96</w:t>
            </w:r>
          </w:p>
        </w:tc>
        <w:tc>
          <w:tcPr>
            <w:tcW w:w="149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51AA5" w:rsidP="00891064">
            <w:pPr>
              <w:spacing w:line="240" w:lineRule="auto"/>
              <w:jc w:val="right"/>
              <w:rPr>
                <w:rFonts w:ascii="Arial Narrow" w:hAnsi="Arial Narrow" w:cs="Times New Roman"/>
              </w:rPr>
            </w:pPr>
            <w:r>
              <w:rPr>
                <w:rFonts w:ascii="Arial Narrow" w:hAnsi="Arial Narrow" w:cs="Times New Roman"/>
              </w:rPr>
              <w:t>51 897,04</w:t>
            </w:r>
          </w:p>
        </w:tc>
      </w:tr>
      <w:tr>
        <w:tblPrEx>
          <w:tblW w:w="9641" w:type="dxa"/>
          <w:tblInd w:w="108" w:type="dxa"/>
        </w:tblPrEx>
        <w:trPr>
          <w:trHeight w:hRule="auto" w:val="0"/>
        </w:trPr>
        <w:tc>
          <w:tcPr>
            <w:tcW w:w="306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D51AA5" w:rsidRPr="00D04D46" w:rsidP="00C362EA">
            <w:pPr>
              <w:spacing w:line="240" w:lineRule="auto"/>
              <w:rPr>
                <w:rFonts w:ascii="Arial Narrow" w:hAnsi="Arial Narrow" w:cs="Times New Roman"/>
              </w:rPr>
            </w:pPr>
            <w:r>
              <w:rPr>
                <w:rFonts w:ascii="Arial Narrow" w:hAnsi="Arial Narrow" w:cs="Times New Roman"/>
              </w:rPr>
              <w:t>Bežné tr</w:t>
            </w:r>
            <w:r>
              <w:rPr>
                <w:rFonts w:ascii="Arial Narrow" w:hAnsi="Arial Narrow" w:cs="Times New Roman"/>
              </w:rPr>
              <w:t>ansfery (640)</w:t>
            </w:r>
          </w:p>
        </w:tc>
        <w:tc>
          <w:tcPr>
            <w:tcW w:w="1677"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D51AA5" w:rsidRPr="00D04D46" w:rsidP="00891064">
            <w:pPr>
              <w:spacing w:line="240" w:lineRule="auto"/>
              <w:jc w:val="right"/>
              <w:rPr>
                <w:rFonts w:ascii="Arial Narrow" w:hAnsi="Arial Narrow" w:cs="Times New Roman"/>
              </w:rPr>
            </w:pPr>
            <w:r>
              <w:rPr>
                <w:rFonts w:ascii="Arial Narrow" w:hAnsi="Arial Narrow" w:cs="Times New Roman"/>
              </w:rPr>
              <w:t>150 000,00</w:t>
            </w:r>
          </w:p>
        </w:tc>
        <w:tc>
          <w:tcPr>
            <w:tcW w:w="1677"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D51AA5" w:rsidRPr="00D04D46" w:rsidP="00891064">
            <w:pPr>
              <w:spacing w:line="240" w:lineRule="auto"/>
              <w:jc w:val="right"/>
              <w:rPr>
                <w:rFonts w:ascii="Arial Narrow" w:hAnsi="Arial Narrow" w:cs="Times New Roman"/>
              </w:rPr>
            </w:pPr>
            <w:r>
              <w:rPr>
                <w:rFonts w:ascii="Arial Narrow" w:hAnsi="Arial Narrow" w:cs="Times New Roman"/>
              </w:rPr>
              <w:t>8 921 000,00</w:t>
            </w:r>
          </w:p>
        </w:tc>
        <w:tc>
          <w:tcPr>
            <w:tcW w:w="1732"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D51AA5" w:rsidRPr="00B23854" w:rsidP="00891064">
            <w:pPr>
              <w:spacing w:line="240" w:lineRule="auto"/>
              <w:jc w:val="right"/>
              <w:rPr>
                <w:rFonts w:ascii="Arial Narrow" w:hAnsi="Arial Narrow" w:cs="Times New Roman"/>
              </w:rPr>
            </w:pPr>
            <w:r>
              <w:rPr>
                <w:rFonts w:ascii="Arial Narrow" w:hAnsi="Arial Narrow" w:cs="Times New Roman"/>
              </w:rPr>
              <w:t>8 919 512,00</w:t>
            </w:r>
          </w:p>
        </w:tc>
        <w:tc>
          <w:tcPr>
            <w:tcW w:w="149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51AA5" w:rsidP="00891064">
            <w:pPr>
              <w:spacing w:line="240" w:lineRule="auto"/>
              <w:jc w:val="right"/>
              <w:rPr>
                <w:rFonts w:ascii="Arial Narrow" w:hAnsi="Arial Narrow" w:cs="Times New Roman"/>
              </w:rPr>
            </w:pPr>
            <w:r>
              <w:rPr>
                <w:rFonts w:ascii="Arial Narrow" w:hAnsi="Arial Narrow" w:cs="Times New Roman"/>
              </w:rPr>
              <w:t>1 488,00</w:t>
            </w:r>
          </w:p>
        </w:tc>
      </w:tr>
      <w:tr>
        <w:tblPrEx>
          <w:tblW w:w="9641" w:type="dxa"/>
          <w:tblInd w:w="108" w:type="dxa"/>
        </w:tblPrEx>
        <w:trPr>
          <w:trHeight w:hRule="auto" w:val="0"/>
        </w:trPr>
        <w:tc>
          <w:tcPr>
            <w:tcW w:w="306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D51AA5" w:rsidP="00C362EA">
            <w:pPr>
              <w:spacing w:line="240" w:lineRule="auto"/>
              <w:rPr>
                <w:rFonts w:ascii="Arial Narrow" w:hAnsi="Arial Narrow" w:cs="Times New Roman"/>
              </w:rPr>
            </w:pPr>
            <w:r>
              <w:rPr>
                <w:rFonts w:ascii="Arial Narrow" w:hAnsi="Arial Narrow" w:cs="Times New Roman"/>
              </w:rPr>
              <w:t>Kapitálové výdavky (710)</w:t>
            </w:r>
          </w:p>
        </w:tc>
        <w:tc>
          <w:tcPr>
            <w:tcW w:w="1677"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D51AA5" w:rsidRPr="00D04D46" w:rsidP="00891064">
            <w:pPr>
              <w:spacing w:line="240" w:lineRule="auto"/>
              <w:jc w:val="right"/>
              <w:rPr>
                <w:rFonts w:ascii="Arial Narrow" w:hAnsi="Arial Narrow" w:cs="Times New Roman"/>
              </w:rPr>
            </w:pPr>
            <w:r>
              <w:rPr>
                <w:rFonts w:ascii="Arial Narrow" w:hAnsi="Arial Narrow" w:cs="Times New Roman"/>
              </w:rPr>
              <w:t>1 000 000,00</w:t>
            </w:r>
          </w:p>
        </w:tc>
        <w:tc>
          <w:tcPr>
            <w:tcW w:w="1677"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D51AA5" w:rsidRPr="00D04D46" w:rsidP="00891064">
            <w:pPr>
              <w:spacing w:line="240" w:lineRule="auto"/>
              <w:jc w:val="right"/>
              <w:rPr>
                <w:rFonts w:ascii="Arial Narrow" w:hAnsi="Arial Narrow" w:cs="Times New Roman"/>
              </w:rPr>
            </w:pPr>
            <w:r>
              <w:rPr>
                <w:rFonts w:ascii="Arial Narrow" w:hAnsi="Arial Narrow" w:cs="Times New Roman"/>
              </w:rPr>
              <w:t>1 400 000,00</w:t>
            </w:r>
          </w:p>
        </w:tc>
        <w:tc>
          <w:tcPr>
            <w:tcW w:w="1732"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D51AA5" w:rsidRPr="00B23854" w:rsidP="00891064">
            <w:pPr>
              <w:spacing w:line="240" w:lineRule="auto"/>
              <w:jc w:val="right"/>
              <w:rPr>
                <w:rFonts w:ascii="Arial Narrow" w:hAnsi="Arial Narrow" w:cs="Times New Roman"/>
              </w:rPr>
            </w:pPr>
            <w:r>
              <w:rPr>
                <w:rFonts w:ascii="Arial Narrow" w:hAnsi="Arial Narrow" w:cs="Times New Roman"/>
              </w:rPr>
              <w:t>1 369 600,00</w:t>
            </w:r>
          </w:p>
        </w:tc>
        <w:tc>
          <w:tcPr>
            <w:tcW w:w="149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51AA5" w:rsidP="00891064">
            <w:pPr>
              <w:spacing w:line="240" w:lineRule="auto"/>
              <w:jc w:val="right"/>
              <w:rPr>
                <w:rFonts w:ascii="Arial Narrow" w:hAnsi="Arial Narrow" w:cs="Times New Roman"/>
              </w:rPr>
            </w:pPr>
            <w:r>
              <w:rPr>
                <w:rFonts w:ascii="Arial Narrow" w:hAnsi="Arial Narrow" w:cs="Times New Roman"/>
              </w:rPr>
              <w:t>30 400,00</w:t>
            </w:r>
          </w:p>
        </w:tc>
      </w:tr>
      <w:tr>
        <w:tblPrEx>
          <w:tblW w:w="9641" w:type="dxa"/>
          <w:tblInd w:w="108" w:type="dxa"/>
        </w:tblPrEx>
        <w:trPr>
          <w:trHeight w:hRule="auto" w:val="0"/>
        </w:trPr>
        <w:tc>
          <w:tcPr>
            <w:tcW w:w="3060" w:type="dxa"/>
            <w:tcBorders>
              <w:top w:val="single" w:sz="4" w:space="0" w:color="auto"/>
              <w:left w:val="single" w:sz="4" w:space="0" w:color="auto"/>
              <w:bottom w:val="single" w:sz="4" w:space="0" w:color="auto"/>
              <w:right w:val="single" w:sz="4" w:space="0" w:color="auto"/>
              <w:tl2br w:val="nil"/>
              <w:tr2bl w:val="nil"/>
            </w:tcBorders>
            <w:shd w:val="clear" w:color="auto" w:fill="C0C0C0"/>
            <w:textDirection w:val="lrTb"/>
            <w:vAlign w:val="center"/>
          </w:tcPr>
          <w:p w:rsidR="00D51AA5" w:rsidRPr="00FC7E23" w:rsidP="00C362EA">
            <w:pPr>
              <w:spacing w:line="240" w:lineRule="auto"/>
              <w:rPr>
                <w:rFonts w:ascii="Arial Narrow" w:hAnsi="Arial Narrow" w:cs="Times New Roman"/>
                <w:b/>
              </w:rPr>
            </w:pPr>
            <w:r w:rsidRPr="00FC7E23">
              <w:rPr>
                <w:rFonts w:ascii="Arial Narrow" w:hAnsi="Arial Narrow" w:cs="Times New Roman"/>
                <w:b/>
              </w:rPr>
              <w:t>SPOLU</w:t>
            </w:r>
          </w:p>
        </w:tc>
        <w:tc>
          <w:tcPr>
            <w:tcW w:w="1677" w:type="dxa"/>
            <w:tcBorders>
              <w:top w:val="single" w:sz="4" w:space="0" w:color="auto"/>
              <w:left w:val="single" w:sz="4" w:space="0" w:color="auto"/>
              <w:bottom w:val="single" w:sz="4" w:space="0" w:color="auto"/>
              <w:right w:val="single" w:sz="4" w:space="0" w:color="auto"/>
              <w:tl2br w:val="nil"/>
              <w:tr2bl w:val="nil"/>
            </w:tcBorders>
            <w:shd w:val="clear" w:color="auto" w:fill="C0C0C0"/>
            <w:textDirection w:val="lrTb"/>
            <w:vAlign w:val="center"/>
          </w:tcPr>
          <w:p w:rsidR="00D51AA5" w:rsidRPr="00FC7E23" w:rsidP="00891064">
            <w:pPr>
              <w:spacing w:line="240" w:lineRule="auto"/>
              <w:jc w:val="right"/>
              <w:rPr>
                <w:rFonts w:ascii="Arial Narrow" w:hAnsi="Arial Narrow" w:cs="Times New Roman"/>
                <w:b/>
              </w:rPr>
            </w:pPr>
            <w:r>
              <w:rPr>
                <w:rFonts w:ascii="Arial Narrow" w:hAnsi="Arial Narrow" w:cs="Times New Roman"/>
                <w:b/>
              </w:rPr>
              <w:t>53 323 000,00</w:t>
            </w:r>
          </w:p>
        </w:tc>
        <w:tc>
          <w:tcPr>
            <w:tcW w:w="1677" w:type="dxa"/>
            <w:tcBorders>
              <w:top w:val="single" w:sz="4" w:space="0" w:color="auto"/>
              <w:left w:val="single" w:sz="4" w:space="0" w:color="auto"/>
              <w:bottom w:val="single" w:sz="4" w:space="0" w:color="auto"/>
              <w:right w:val="single" w:sz="4" w:space="0" w:color="auto"/>
              <w:tl2br w:val="nil"/>
              <w:tr2bl w:val="nil"/>
            </w:tcBorders>
            <w:shd w:val="clear" w:color="auto" w:fill="C0C0C0"/>
            <w:textDirection w:val="lrTb"/>
            <w:vAlign w:val="center"/>
          </w:tcPr>
          <w:p w:rsidR="00D51AA5" w:rsidRPr="00FC7E23" w:rsidP="00891064">
            <w:pPr>
              <w:spacing w:line="240" w:lineRule="auto"/>
              <w:jc w:val="right"/>
              <w:rPr>
                <w:rFonts w:ascii="Arial Narrow" w:hAnsi="Arial Narrow" w:cs="Times New Roman"/>
                <w:b/>
              </w:rPr>
            </w:pPr>
            <w:r>
              <w:rPr>
                <w:rFonts w:ascii="Arial Narrow" w:hAnsi="Arial Narrow" w:cs="Times New Roman"/>
                <w:b/>
              </w:rPr>
              <w:t>71 835 683,00</w:t>
            </w:r>
          </w:p>
        </w:tc>
        <w:tc>
          <w:tcPr>
            <w:tcW w:w="1732" w:type="dxa"/>
            <w:tcBorders>
              <w:top w:val="single" w:sz="4" w:space="0" w:color="auto"/>
              <w:left w:val="single" w:sz="4" w:space="0" w:color="auto"/>
              <w:bottom w:val="single" w:sz="4" w:space="0" w:color="auto"/>
              <w:right w:val="single" w:sz="4" w:space="0" w:color="auto"/>
              <w:tl2br w:val="nil"/>
              <w:tr2bl w:val="nil"/>
            </w:tcBorders>
            <w:shd w:val="clear" w:color="auto" w:fill="C0C0C0"/>
            <w:textDirection w:val="lrTb"/>
            <w:vAlign w:val="center"/>
          </w:tcPr>
          <w:p w:rsidR="00D51AA5" w:rsidRPr="00FC7E23" w:rsidP="00891064">
            <w:pPr>
              <w:spacing w:line="240" w:lineRule="auto"/>
              <w:jc w:val="right"/>
              <w:rPr>
                <w:rFonts w:ascii="Arial Narrow" w:hAnsi="Arial Narrow" w:cs="Times New Roman"/>
                <w:b/>
              </w:rPr>
            </w:pPr>
            <w:r>
              <w:rPr>
                <w:rFonts w:ascii="Arial Narrow" w:hAnsi="Arial Narrow" w:cs="Times New Roman"/>
                <w:b/>
              </w:rPr>
              <w:t>70 815 495,96</w:t>
            </w:r>
          </w:p>
        </w:tc>
        <w:tc>
          <w:tcPr>
            <w:tcW w:w="1495" w:type="dxa"/>
            <w:tcBorders>
              <w:top w:val="single" w:sz="4" w:space="0" w:color="auto"/>
              <w:left w:val="single" w:sz="4" w:space="0" w:color="auto"/>
              <w:bottom w:val="single" w:sz="4" w:space="0" w:color="auto"/>
              <w:right w:val="single" w:sz="4" w:space="0" w:color="auto"/>
              <w:tl2br w:val="nil"/>
              <w:tr2bl w:val="nil"/>
            </w:tcBorders>
            <w:shd w:val="clear" w:color="auto" w:fill="C0C0C0"/>
            <w:textDirection w:val="lrTb"/>
            <w:vAlign w:val="top"/>
          </w:tcPr>
          <w:p w:rsidR="00D51AA5" w:rsidP="00891064">
            <w:pPr>
              <w:spacing w:line="240" w:lineRule="auto"/>
              <w:jc w:val="right"/>
              <w:rPr>
                <w:rFonts w:ascii="Arial Narrow" w:hAnsi="Arial Narrow" w:cs="Times New Roman"/>
                <w:b/>
              </w:rPr>
            </w:pPr>
            <w:r>
              <w:rPr>
                <w:rFonts w:ascii="Arial Narrow" w:hAnsi="Arial Narrow" w:cs="Times New Roman"/>
                <w:b/>
              </w:rPr>
              <w:t>1 020 187,04</w:t>
            </w:r>
          </w:p>
        </w:tc>
      </w:tr>
    </w:tbl>
    <w:p w:rsidR="00FA3D8A" w:rsidP="0057008F">
      <w:pPr>
        <w:tabs>
          <w:tab w:val="left" w:pos="-180"/>
          <w:tab w:val="left" w:pos="0"/>
        </w:tabs>
        <w:spacing w:line="240" w:lineRule="auto"/>
        <w:rPr>
          <w:rFonts w:ascii="Times New Roman" w:hAnsi="Times New Roman" w:cs="Times New Roman"/>
          <w:sz w:val="24"/>
          <w:szCs w:val="24"/>
        </w:rPr>
      </w:pPr>
    </w:p>
    <w:p w:rsidR="00FA3D8A" w:rsidP="0057008F">
      <w:pPr>
        <w:tabs>
          <w:tab w:val="left" w:pos="-180"/>
          <w:tab w:val="left" w:pos="0"/>
        </w:tabs>
        <w:spacing w:line="240" w:lineRule="auto"/>
        <w:rPr>
          <w:rFonts w:ascii="Times New Roman" w:hAnsi="Times New Roman" w:cs="Times New Roman"/>
          <w:sz w:val="24"/>
          <w:szCs w:val="24"/>
        </w:rPr>
      </w:pPr>
      <w:r>
        <w:rPr>
          <w:rFonts w:ascii="Times New Roman" w:hAnsi="Times New Roman" w:cs="Times New Roman"/>
          <w:sz w:val="24"/>
          <w:szCs w:val="24"/>
        </w:rPr>
        <w:tab/>
        <w:t xml:space="preserve">Pôvodný rozpočet nepokrýval </w:t>
      </w:r>
      <w:r w:rsidRPr="00555E39" w:rsidR="0057008F">
        <w:rPr>
          <w:rFonts w:ascii="Times New Roman" w:hAnsi="Times New Roman" w:cs="Times New Roman"/>
          <w:sz w:val="24"/>
          <w:szCs w:val="24"/>
        </w:rPr>
        <w:t>úhradu všetkých nevyhnutných</w:t>
      </w:r>
      <w:r w:rsidRPr="00555E39" w:rsidR="0057008F">
        <w:rPr>
          <w:rFonts w:ascii="Times New Roman" w:hAnsi="Times New Roman" w:cs="Times New Roman"/>
          <w:sz w:val="24"/>
          <w:szCs w:val="24"/>
        </w:rPr>
        <w:t xml:space="preserve"> nákladov, vyplývajúcich z</w:t>
      </w:r>
      <w:r w:rsidR="0057008F">
        <w:rPr>
          <w:rFonts w:ascii="Times New Roman" w:hAnsi="Times New Roman" w:cs="Times New Roman"/>
          <w:sz w:val="24"/>
          <w:szCs w:val="24"/>
        </w:rPr>
        <w:t> realizácie Akčného plánu MDPT, zabezpečuj</w:t>
      </w:r>
      <w:r>
        <w:rPr>
          <w:rFonts w:ascii="Times New Roman" w:hAnsi="Times New Roman" w:cs="Times New Roman"/>
          <w:sz w:val="24"/>
          <w:szCs w:val="24"/>
        </w:rPr>
        <w:t xml:space="preserve">úceho úlohy uznesení vlády SR </w:t>
      </w:r>
      <w:r w:rsidR="0057008F">
        <w:rPr>
          <w:rFonts w:ascii="Times New Roman" w:hAnsi="Times New Roman" w:cs="Times New Roman"/>
          <w:sz w:val="24"/>
          <w:szCs w:val="24"/>
        </w:rPr>
        <w:t>č. 856 a 1058 z roku 2006. Rozpočtovými opatreniami MDPT SR boli zabezpečené úhrady odstupného pre zamestnancov, s ktorými bol rozviazaný pracovný pomer z dôvodu nadbytočnosti pri plnení 20 %-ného zníženia plánovaného počtu zamestnancov a prechodu organizácie na akciovú spoločnosť. Uvedeným opatrením sa zabezpečila aj úhrada nutných výdavkov pred transformáciou organizácie.</w:t>
      </w:r>
    </w:p>
    <w:p w:rsidR="001F4751" w:rsidRPr="005E1FFC" w:rsidP="00083667">
      <w:pPr>
        <w:tabs>
          <w:tab w:val="left" w:pos="-180"/>
          <w:tab w:val="left" w:pos="0"/>
        </w:tabs>
        <w:spacing w:line="240" w:lineRule="auto"/>
        <w:rPr>
          <w:rFonts w:ascii="Times New Roman" w:hAnsi="Times New Roman" w:cs="Times New Roman"/>
          <w:sz w:val="24"/>
          <w:szCs w:val="24"/>
        </w:rPr>
      </w:pPr>
      <w:r w:rsidR="00FA3D8A">
        <w:rPr>
          <w:rFonts w:ascii="Times New Roman" w:hAnsi="Times New Roman" w:cs="Times New Roman"/>
          <w:sz w:val="24"/>
          <w:szCs w:val="24"/>
        </w:rPr>
        <w:tab/>
      </w:r>
    </w:p>
    <w:p w:rsidR="00D27E26" w:rsidRPr="00D23807" w:rsidP="00C362EA">
      <w:pPr>
        <w:spacing w:line="240" w:lineRule="auto"/>
        <w:rPr>
          <w:rFonts w:ascii="Times New Roman" w:hAnsi="Times New Roman" w:cs="Times New Roman"/>
          <w:b/>
          <w:sz w:val="24"/>
          <w:u w:val="single"/>
        </w:rPr>
      </w:pPr>
      <w:r w:rsidRPr="00D23807">
        <w:rPr>
          <w:rFonts w:ascii="Times New Roman" w:hAnsi="Times New Roman" w:cs="Times New Roman"/>
          <w:b/>
          <w:sz w:val="24"/>
          <w:u w:val="single"/>
        </w:rPr>
        <w:t>4. ŠTÁTNA PLAVEBNÁ SPRÁVA – prvok 0</w:t>
      </w:r>
      <w:r w:rsidRPr="00D23807">
        <w:rPr>
          <w:rFonts w:ascii="Times New Roman" w:hAnsi="Times New Roman" w:cs="Times New Roman"/>
          <w:b/>
          <w:sz w:val="24"/>
          <w:u w:val="single"/>
        </w:rPr>
        <w:t>7T0305 –  Regulácia vodnej dopravy</w:t>
      </w:r>
    </w:p>
    <w:p w:rsidR="001F4751" w:rsidP="00C362EA">
      <w:pPr>
        <w:spacing w:line="240" w:lineRule="auto"/>
        <w:rPr>
          <w:rFonts w:ascii="Times New Roman" w:hAnsi="Times New Roman" w:cs="Times New Roman"/>
          <w:sz w:val="24"/>
          <w:szCs w:val="24"/>
        </w:rPr>
      </w:pPr>
    </w:p>
    <w:p w:rsidR="001F4751" w:rsidRPr="00C34272" w:rsidP="00C34272">
      <w:pPr>
        <w:spacing w:line="240" w:lineRule="auto"/>
        <w:jc w:val="center"/>
        <w:rPr>
          <w:rFonts w:ascii="Arial Narrow" w:hAnsi="Arial Narrow" w:cs="Times New Roman"/>
          <w:b/>
          <w:sz w:val="24"/>
          <w:szCs w:val="24"/>
        </w:rPr>
      </w:pPr>
      <w:r w:rsidRPr="00F43690" w:rsidR="0046782C">
        <w:rPr>
          <w:rFonts w:ascii="Arial Narrow" w:hAnsi="Arial Narrow" w:cs="Times New Roman"/>
          <w:b/>
          <w:sz w:val="24"/>
          <w:szCs w:val="24"/>
        </w:rPr>
        <w:t>Prehľad rozpočtov</w:t>
      </w:r>
      <w:r w:rsidR="0046782C">
        <w:rPr>
          <w:rFonts w:ascii="Arial Narrow" w:hAnsi="Arial Narrow" w:cs="Times New Roman"/>
          <w:b/>
          <w:sz w:val="24"/>
          <w:szCs w:val="24"/>
        </w:rPr>
        <w:t>ých výdavkov Štátnej plavebnej správy</w:t>
      </w:r>
      <w:r w:rsidR="008D39B1">
        <w:rPr>
          <w:rFonts w:ascii="Arial Narrow" w:hAnsi="Arial Narrow" w:cs="Times New Roman"/>
          <w:b/>
          <w:sz w:val="24"/>
          <w:szCs w:val="24"/>
        </w:rPr>
        <w:t xml:space="preserve"> za rok 2007</w:t>
      </w:r>
    </w:p>
    <w:p w:rsidR="0046782C" w:rsidRPr="00D04D46" w:rsidP="00C362EA">
      <w:pPr>
        <w:spacing w:line="240" w:lineRule="auto"/>
        <w:rPr>
          <w:rFonts w:ascii="Arial Narrow" w:hAnsi="Arial Narrow" w:cs="Times New Roman"/>
        </w:rPr>
      </w:pPr>
      <w:r w:rsidRPr="00D04D46">
        <w:rPr>
          <w:rFonts w:ascii="Arial Narrow" w:hAnsi="Arial Narrow" w:cs="Times New Roman"/>
        </w:rPr>
        <w:t xml:space="preserve">                     </w:t>
      </w:r>
      <w:r>
        <w:rPr>
          <w:rFonts w:ascii="Arial Narrow" w:hAnsi="Arial Narrow" w:cs="Times New Roman"/>
        </w:rPr>
        <w:t xml:space="preserve">          </w:t>
      </w:r>
      <w:r w:rsidRPr="00D04D46">
        <w:rPr>
          <w:rFonts w:ascii="Arial Narrow" w:hAnsi="Arial Narrow" w:cs="Times New Roman"/>
        </w:rPr>
        <w:t xml:space="preserve">                                                                              </w:t>
      </w:r>
      <w:r>
        <w:rPr>
          <w:rFonts w:ascii="Arial Narrow" w:hAnsi="Arial Narrow" w:cs="Times New Roman"/>
        </w:rPr>
        <w:t xml:space="preserve">                                            </w:t>
      </w:r>
      <w:r>
        <w:rPr>
          <w:rFonts w:ascii="Arial Narrow" w:hAnsi="Arial Narrow" w:cs="Times New Roman"/>
        </w:rPr>
        <w:t xml:space="preserve">                              </w:t>
      </w:r>
      <w:r w:rsidRPr="00D04D46">
        <w:rPr>
          <w:rFonts w:ascii="Arial Narrow" w:hAnsi="Arial Narrow" w:cs="Times New Roman"/>
        </w:rPr>
        <w:t xml:space="preserve">    (v Sk)</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Grid>
        <w:gridCol w:w="2806"/>
        <w:gridCol w:w="1514"/>
        <w:gridCol w:w="1620"/>
        <w:gridCol w:w="1620"/>
        <w:gridCol w:w="1440"/>
      </w:tblGrid>
      <w:tr>
        <w:tblPrEx>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auto" w:val="0"/>
        </w:trPr>
        <w:tc>
          <w:tcPr>
            <w:tcW w:w="2806" w:type="dxa"/>
            <w:tcBorders>
              <w:top w:val="single" w:sz="4" w:space="0" w:color="auto"/>
              <w:left w:val="single" w:sz="4" w:space="0" w:color="auto"/>
              <w:bottom w:val="single" w:sz="4" w:space="0" w:color="auto"/>
              <w:right w:val="single" w:sz="4" w:space="0" w:color="auto"/>
              <w:tl2br w:val="nil"/>
              <w:tr2bl w:val="nil"/>
            </w:tcBorders>
            <w:shd w:val="clear" w:color="auto" w:fill="CCCCCC"/>
            <w:textDirection w:val="lrTb"/>
            <w:vAlign w:val="top"/>
          </w:tcPr>
          <w:p w:rsidR="008D39B1" w:rsidRPr="00D04D46" w:rsidP="00C362EA">
            <w:pPr>
              <w:spacing w:line="240" w:lineRule="auto"/>
              <w:rPr>
                <w:rFonts w:ascii="Times New Roman" w:hAnsi="Times New Roman" w:cs="Times New Roman"/>
                <w:u w:val="single"/>
              </w:rPr>
            </w:pPr>
          </w:p>
        </w:tc>
        <w:tc>
          <w:tcPr>
            <w:tcW w:w="1514" w:type="dxa"/>
            <w:tcBorders>
              <w:top w:val="single" w:sz="4" w:space="0" w:color="auto"/>
              <w:left w:val="single" w:sz="4" w:space="0" w:color="auto"/>
              <w:bottom w:val="single" w:sz="4" w:space="0" w:color="auto"/>
              <w:right w:val="single" w:sz="4" w:space="0" w:color="auto"/>
              <w:tl2br w:val="nil"/>
              <w:tr2bl w:val="nil"/>
            </w:tcBorders>
            <w:shd w:val="clear" w:color="auto" w:fill="CCCCCC"/>
            <w:textDirection w:val="lrTb"/>
            <w:vAlign w:val="center"/>
          </w:tcPr>
          <w:p w:rsidR="008D39B1" w:rsidRPr="00FC7E23" w:rsidP="00C362EA">
            <w:pPr>
              <w:spacing w:line="240" w:lineRule="auto"/>
              <w:jc w:val="center"/>
              <w:rPr>
                <w:rFonts w:ascii="Arial Narrow" w:hAnsi="Arial Narrow" w:cs="Times New Roman"/>
                <w:b/>
              </w:rPr>
            </w:pPr>
            <w:r w:rsidRPr="00FC7E23">
              <w:rPr>
                <w:rFonts w:ascii="Arial Narrow" w:hAnsi="Arial Narrow" w:cs="Times New Roman"/>
                <w:b/>
              </w:rPr>
              <w:t xml:space="preserve">Schválený rozpočet </w:t>
            </w:r>
            <w:r>
              <w:rPr>
                <w:rFonts w:ascii="Arial Narrow" w:hAnsi="Arial Narrow" w:cs="Times New Roman"/>
                <w:b/>
              </w:rPr>
              <w:t>k 1.1.2007</w:t>
            </w:r>
          </w:p>
        </w:tc>
        <w:tc>
          <w:tcPr>
            <w:tcW w:w="1620" w:type="dxa"/>
            <w:tcBorders>
              <w:top w:val="single" w:sz="4" w:space="0" w:color="auto"/>
              <w:left w:val="single" w:sz="4" w:space="0" w:color="auto"/>
              <w:bottom w:val="single" w:sz="4" w:space="0" w:color="auto"/>
              <w:right w:val="single" w:sz="4" w:space="0" w:color="auto"/>
              <w:tl2br w:val="nil"/>
              <w:tr2bl w:val="nil"/>
            </w:tcBorders>
            <w:shd w:val="clear" w:color="auto" w:fill="CCCCCC"/>
            <w:textDirection w:val="lrTb"/>
            <w:vAlign w:val="center"/>
          </w:tcPr>
          <w:p w:rsidR="008D39B1" w:rsidRPr="00FC7E23" w:rsidP="00C362EA">
            <w:pPr>
              <w:spacing w:line="240" w:lineRule="auto"/>
              <w:jc w:val="center"/>
              <w:rPr>
                <w:rFonts w:ascii="Arial Narrow" w:hAnsi="Arial Narrow" w:cs="Times New Roman"/>
                <w:b/>
              </w:rPr>
            </w:pPr>
            <w:r>
              <w:rPr>
                <w:rFonts w:ascii="Arial Narrow" w:hAnsi="Arial Narrow" w:cs="Times New Roman"/>
                <w:b/>
              </w:rPr>
              <w:t>Upravený rozpočet k 31.12.2007</w:t>
            </w:r>
          </w:p>
        </w:tc>
        <w:tc>
          <w:tcPr>
            <w:tcW w:w="1620" w:type="dxa"/>
            <w:tcBorders>
              <w:top w:val="single" w:sz="4" w:space="0" w:color="auto"/>
              <w:left w:val="single" w:sz="4" w:space="0" w:color="auto"/>
              <w:bottom w:val="single" w:sz="4" w:space="0" w:color="auto"/>
              <w:right w:val="single" w:sz="4" w:space="0" w:color="auto"/>
              <w:tl2br w:val="nil"/>
              <w:tr2bl w:val="nil"/>
            </w:tcBorders>
            <w:shd w:val="clear" w:color="auto" w:fill="CCCCCC"/>
            <w:textDirection w:val="lrTb"/>
            <w:vAlign w:val="center"/>
          </w:tcPr>
          <w:p w:rsidR="008D39B1" w:rsidRPr="00FC7E23" w:rsidP="00C362EA">
            <w:pPr>
              <w:spacing w:line="240" w:lineRule="auto"/>
              <w:jc w:val="center"/>
              <w:rPr>
                <w:rFonts w:ascii="Arial Narrow" w:hAnsi="Arial Narrow" w:cs="Times New Roman"/>
                <w:b/>
              </w:rPr>
            </w:pPr>
            <w:r>
              <w:rPr>
                <w:rFonts w:ascii="Arial Narrow" w:hAnsi="Arial Narrow" w:cs="Times New Roman"/>
                <w:b/>
              </w:rPr>
              <w:t>Skutočné čerpanie k 31.12.2007</w:t>
            </w:r>
          </w:p>
        </w:tc>
        <w:tc>
          <w:tcPr>
            <w:tcW w:w="1440" w:type="dxa"/>
            <w:tcBorders>
              <w:top w:val="single" w:sz="4" w:space="0" w:color="auto"/>
              <w:left w:val="single" w:sz="4" w:space="0" w:color="auto"/>
              <w:bottom w:val="single" w:sz="4" w:space="0" w:color="auto"/>
              <w:right w:val="single" w:sz="4" w:space="0" w:color="auto"/>
              <w:tl2br w:val="nil"/>
              <w:tr2bl w:val="nil"/>
            </w:tcBorders>
            <w:shd w:val="clear" w:color="auto" w:fill="CCCCCC"/>
            <w:textDirection w:val="lrTb"/>
            <w:vAlign w:val="center"/>
          </w:tcPr>
          <w:p w:rsidR="008D39B1" w:rsidP="008D39B1">
            <w:pPr>
              <w:spacing w:line="240" w:lineRule="auto"/>
              <w:jc w:val="center"/>
              <w:rPr>
                <w:rFonts w:ascii="Arial Narrow" w:hAnsi="Arial Narrow" w:cs="Times New Roman"/>
                <w:b/>
              </w:rPr>
            </w:pPr>
            <w:r w:rsidR="00F70098">
              <w:rPr>
                <w:rFonts w:ascii="Arial Narrow" w:hAnsi="Arial Narrow" w:cs="Times New Roman"/>
                <w:b/>
              </w:rPr>
              <w:t>Rozdiel</w:t>
            </w:r>
          </w:p>
        </w:tc>
      </w:tr>
      <w:tr>
        <w:tblPrEx>
          <w:tblW w:w="9000" w:type="dxa"/>
          <w:tblInd w:w="108" w:type="dxa"/>
        </w:tblPrEx>
        <w:trPr>
          <w:trHeight w:hRule="auto" w:val="0"/>
        </w:trPr>
        <w:tc>
          <w:tcPr>
            <w:tcW w:w="2806"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8D39B1" w:rsidRPr="00DC7250" w:rsidP="00C362EA">
            <w:pPr>
              <w:spacing w:line="240" w:lineRule="auto"/>
              <w:rPr>
                <w:rFonts w:ascii="Arial Narrow" w:hAnsi="Arial Narrow" w:cs="Times New Roman"/>
              </w:rPr>
            </w:pPr>
            <w:r w:rsidRPr="00DC7250">
              <w:rPr>
                <w:rFonts w:ascii="Arial Narrow" w:hAnsi="Arial Narrow" w:cs="Times New Roman"/>
              </w:rPr>
              <w:t>Bežné výdavky (600), z toho:</w:t>
            </w:r>
          </w:p>
        </w:tc>
        <w:tc>
          <w:tcPr>
            <w:tcW w:w="1514"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8D39B1" w:rsidRPr="00DC7250" w:rsidP="00891064">
            <w:pPr>
              <w:spacing w:line="240" w:lineRule="auto"/>
              <w:jc w:val="right"/>
              <w:rPr>
                <w:rFonts w:ascii="Arial Narrow" w:hAnsi="Arial Narrow" w:cs="Times New Roman"/>
              </w:rPr>
            </w:pPr>
            <w:r w:rsidR="0093609A">
              <w:rPr>
                <w:rFonts w:ascii="Arial Narrow" w:hAnsi="Arial Narrow" w:cs="Times New Roman"/>
              </w:rPr>
              <w:t>39 079</w:t>
            </w:r>
            <w:r>
              <w:rPr>
                <w:rFonts w:ascii="Arial Narrow" w:hAnsi="Arial Narrow" w:cs="Times New Roman"/>
              </w:rPr>
              <w:t> 000,00</w:t>
            </w:r>
          </w:p>
        </w:tc>
        <w:tc>
          <w:tcPr>
            <w:tcW w:w="162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8D39B1" w:rsidRPr="00DC7250" w:rsidP="00891064">
            <w:pPr>
              <w:spacing w:line="240" w:lineRule="auto"/>
              <w:jc w:val="right"/>
              <w:rPr>
                <w:rFonts w:ascii="Arial Narrow" w:hAnsi="Arial Narrow" w:cs="Times New Roman"/>
              </w:rPr>
            </w:pPr>
            <w:r w:rsidR="0093609A">
              <w:rPr>
                <w:rFonts w:ascii="Arial Narrow" w:hAnsi="Arial Narrow" w:cs="Times New Roman"/>
              </w:rPr>
              <w:t>40 381 520</w:t>
            </w:r>
            <w:r>
              <w:rPr>
                <w:rFonts w:ascii="Arial Narrow" w:hAnsi="Arial Narrow" w:cs="Times New Roman"/>
              </w:rPr>
              <w:t>,00</w:t>
            </w:r>
          </w:p>
        </w:tc>
        <w:tc>
          <w:tcPr>
            <w:tcW w:w="162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8D39B1" w:rsidRPr="00B23854" w:rsidP="00891064">
            <w:pPr>
              <w:spacing w:line="240" w:lineRule="auto"/>
              <w:jc w:val="right"/>
              <w:rPr>
                <w:rFonts w:ascii="Arial Narrow" w:hAnsi="Arial Narrow" w:cs="Times New Roman"/>
              </w:rPr>
            </w:pPr>
            <w:r w:rsidR="00BE023A">
              <w:rPr>
                <w:rFonts w:ascii="Arial Narrow" w:hAnsi="Arial Narrow" w:cs="Times New Roman"/>
              </w:rPr>
              <w:t>40 375 051,15</w:t>
            </w:r>
          </w:p>
        </w:tc>
        <w:tc>
          <w:tcPr>
            <w:tcW w:w="144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8D39B1" w:rsidP="00891064">
            <w:pPr>
              <w:spacing w:line="240" w:lineRule="auto"/>
              <w:jc w:val="right"/>
              <w:rPr>
                <w:rFonts w:ascii="Arial Narrow" w:hAnsi="Arial Narrow" w:cs="Times New Roman"/>
              </w:rPr>
            </w:pPr>
            <w:r w:rsidR="00BE023A">
              <w:rPr>
                <w:rFonts w:ascii="Arial Narrow" w:hAnsi="Arial Narrow" w:cs="Times New Roman"/>
              </w:rPr>
              <w:t>6 468,85</w:t>
            </w:r>
          </w:p>
        </w:tc>
      </w:tr>
      <w:tr>
        <w:tblPrEx>
          <w:tblW w:w="9000" w:type="dxa"/>
          <w:tblInd w:w="108" w:type="dxa"/>
        </w:tblPrEx>
        <w:trPr>
          <w:trHeight w:hRule="auto" w:val="0"/>
        </w:trPr>
        <w:tc>
          <w:tcPr>
            <w:tcW w:w="2806"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8D39B1" w:rsidRPr="00D04D46" w:rsidP="00C362EA">
            <w:pPr>
              <w:spacing w:line="240" w:lineRule="auto"/>
              <w:rPr>
                <w:rFonts w:ascii="Arial Narrow" w:hAnsi="Arial Narrow" w:cs="Times New Roman"/>
              </w:rPr>
            </w:pPr>
            <w:r>
              <w:rPr>
                <w:rFonts w:ascii="Arial Narrow" w:hAnsi="Arial Narrow" w:cs="Times New Roman"/>
              </w:rPr>
              <w:t>Mzdy, platy, sl. príjmy a OOV (6</w:t>
            </w:r>
            <w:r>
              <w:rPr>
                <w:rFonts w:ascii="Arial Narrow" w:hAnsi="Arial Narrow" w:cs="Times New Roman"/>
              </w:rPr>
              <w:t>10)</w:t>
            </w:r>
          </w:p>
        </w:tc>
        <w:tc>
          <w:tcPr>
            <w:tcW w:w="1514"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8D39B1" w:rsidRPr="00D04D46" w:rsidP="00891064">
            <w:pPr>
              <w:spacing w:line="240" w:lineRule="auto"/>
              <w:jc w:val="right"/>
              <w:rPr>
                <w:rFonts w:ascii="Arial Narrow" w:hAnsi="Arial Narrow" w:cs="Times New Roman"/>
              </w:rPr>
            </w:pPr>
            <w:r w:rsidR="0093609A">
              <w:rPr>
                <w:rFonts w:ascii="Arial Narrow" w:hAnsi="Arial Narrow" w:cs="Times New Roman"/>
              </w:rPr>
              <w:t>19 317</w:t>
            </w:r>
            <w:r>
              <w:rPr>
                <w:rFonts w:ascii="Arial Narrow" w:hAnsi="Arial Narrow" w:cs="Times New Roman"/>
              </w:rPr>
              <w:t> 000,00</w:t>
            </w:r>
          </w:p>
        </w:tc>
        <w:tc>
          <w:tcPr>
            <w:tcW w:w="162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8D39B1" w:rsidRPr="00D04D46" w:rsidP="00891064">
            <w:pPr>
              <w:spacing w:line="240" w:lineRule="auto"/>
              <w:jc w:val="right"/>
              <w:rPr>
                <w:rFonts w:ascii="Arial Narrow" w:hAnsi="Arial Narrow" w:cs="Times New Roman"/>
              </w:rPr>
            </w:pPr>
            <w:r w:rsidR="0093609A">
              <w:rPr>
                <w:rFonts w:ascii="Arial Narrow" w:hAnsi="Arial Narrow" w:cs="Times New Roman"/>
              </w:rPr>
              <w:t>19 819</w:t>
            </w:r>
            <w:r>
              <w:rPr>
                <w:rFonts w:ascii="Arial Narrow" w:hAnsi="Arial Narrow" w:cs="Times New Roman"/>
              </w:rPr>
              <w:t> 000,00</w:t>
            </w:r>
          </w:p>
        </w:tc>
        <w:tc>
          <w:tcPr>
            <w:tcW w:w="162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8D39B1" w:rsidRPr="00B23854" w:rsidP="00891064">
            <w:pPr>
              <w:spacing w:line="240" w:lineRule="auto"/>
              <w:jc w:val="right"/>
              <w:rPr>
                <w:rFonts w:ascii="Arial Narrow" w:hAnsi="Arial Narrow" w:cs="Times New Roman"/>
              </w:rPr>
            </w:pPr>
            <w:r w:rsidR="00BE023A">
              <w:rPr>
                <w:rFonts w:ascii="Arial Narrow" w:hAnsi="Arial Narrow" w:cs="Times New Roman"/>
              </w:rPr>
              <w:t>19 819 000,00</w:t>
            </w:r>
          </w:p>
        </w:tc>
        <w:tc>
          <w:tcPr>
            <w:tcW w:w="144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8D39B1" w:rsidP="00891064">
            <w:pPr>
              <w:spacing w:line="240" w:lineRule="auto"/>
              <w:jc w:val="right"/>
              <w:rPr>
                <w:rFonts w:ascii="Arial Narrow" w:hAnsi="Arial Narrow" w:cs="Times New Roman"/>
              </w:rPr>
            </w:pPr>
            <w:r w:rsidR="00BE023A">
              <w:rPr>
                <w:rFonts w:ascii="Arial Narrow" w:hAnsi="Arial Narrow" w:cs="Times New Roman"/>
              </w:rPr>
              <w:t>0,00</w:t>
            </w:r>
          </w:p>
        </w:tc>
      </w:tr>
      <w:tr>
        <w:tblPrEx>
          <w:tblW w:w="9000" w:type="dxa"/>
          <w:tblInd w:w="108" w:type="dxa"/>
        </w:tblPrEx>
        <w:trPr>
          <w:trHeight w:hRule="auto" w:val="0"/>
        </w:trPr>
        <w:tc>
          <w:tcPr>
            <w:tcW w:w="2806"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8D39B1" w:rsidRPr="00D04D46" w:rsidP="00C362EA">
            <w:pPr>
              <w:spacing w:line="240" w:lineRule="auto"/>
              <w:rPr>
                <w:rFonts w:ascii="Arial Narrow" w:hAnsi="Arial Narrow" w:cs="Times New Roman"/>
              </w:rPr>
            </w:pPr>
            <w:r>
              <w:rPr>
                <w:rFonts w:ascii="Arial Narrow" w:hAnsi="Arial Narrow" w:cs="Times New Roman"/>
              </w:rPr>
              <w:t>Poistné a prísp. do poisťovní (620)</w:t>
            </w:r>
          </w:p>
        </w:tc>
        <w:tc>
          <w:tcPr>
            <w:tcW w:w="1514"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8D39B1" w:rsidRPr="00D04D46" w:rsidP="00891064">
            <w:pPr>
              <w:spacing w:line="240" w:lineRule="auto"/>
              <w:jc w:val="right"/>
              <w:rPr>
                <w:rFonts w:ascii="Arial Narrow" w:hAnsi="Arial Narrow" w:cs="Times New Roman"/>
              </w:rPr>
            </w:pPr>
            <w:r w:rsidR="0093609A">
              <w:rPr>
                <w:rFonts w:ascii="Arial Narrow" w:hAnsi="Arial Narrow" w:cs="Times New Roman"/>
              </w:rPr>
              <w:t>6 761</w:t>
            </w:r>
            <w:r>
              <w:rPr>
                <w:rFonts w:ascii="Arial Narrow" w:hAnsi="Arial Narrow" w:cs="Times New Roman"/>
              </w:rPr>
              <w:t xml:space="preserve"> 000,00</w:t>
            </w:r>
          </w:p>
        </w:tc>
        <w:tc>
          <w:tcPr>
            <w:tcW w:w="162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8D39B1" w:rsidRPr="00D04D46" w:rsidP="00891064">
            <w:pPr>
              <w:spacing w:line="240" w:lineRule="auto"/>
              <w:jc w:val="right"/>
              <w:rPr>
                <w:rFonts w:ascii="Arial Narrow" w:hAnsi="Arial Narrow" w:cs="Times New Roman"/>
              </w:rPr>
            </w:pPr>
            <w:r w:rsidR="0093609A">
              <w:rPr>
                <w:rFonts w:ascii="Arial Narrow" w:hAnsi="Arial Narrow" w:cs="Times New Roman"/>
              </w:rPr>
              <w:t>6 737</w:t>
            </w:r>
            <w:r>
              <w:rPr>
                <w:rFonts w:ascii="Arial Narrow" w:hAnsi="Arial Narrow" w:cs="Times New Roman"/>
              </w:rPr>
              <w:t> 000,00</w:t>
            </w:r>
          </w:p>
        </w:tc>
        <w:tc>
          <w:tcPr>
            <w:tcW w:w="162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8D39B1" w:rsidRPr="00B23854" w:rsidP="00891064">
            <w:pPr>
              <w:spacing w:line="240" w:lineRule="auto"/>
              <w:jc w:val="right"/>
              <w:rPr>
                <w:rFonts w:ascii="Arial Narrow" w:hAnsi="Arial Narrow" w:cs="Times New Roman"/>
              </w:rPr>
            </w:pPr>
            <w:r>
              <w:rPr>
                <w:rFonts w:ascii="Arial Narrow" w:hAnsi="Arial Narrow" w:cs="Times New Roman"/>
              </w:rPr>
              <w:t>6</w:t>
            </w:r>
            <w:r w:rsidR="00BE023A">
              <w:rPr>
                <w:rFonts w:ascii="Arial Narrow" w:hAnsi="Arial Narrow" w:cs="Times New Roman"/>
              </w:rPr>
              <w:t> 737 000,00</w:t>
            </w:r>
          </w:p>
        </w:tc>
        <w:tc>
          <w:tcPr>
            <w:tcW w:w="144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8D39B1" w:rsidP="00891064">
            <w:pPr>
              <w:spacing w:line="240" w:lineRule="auto"/>
              <w:jc w:val="right"/>
              <w:rPr>
                <w:rFonts w:ascii="Arial Narrow" w:hAnsi="Arial Narrow" w:cs="Times New Roman"/>
              </w:rPr>
            </w:pPr>
            <w:r w:rsidR="00BE023A">
              <w:rPr>
                <w:rFonts w:ascii="Arial Narrow" w:hAnsi="Arial Narrow" w:cs="Times New Roman"/>
              </w:rPr>
              <w:t>0,00</w:t>
            </w:r>
          </w:p>
        </w:tc>
      </w:tr>
      <w:tr>
        <w:tblPrEx>
          <w:tblW w:w="9000" w:type="dxa"/>
          <w:tblInd w:w="108" w:type="dxa"/>
        </w:tblPrEx>
        <w:trPr>
          <w:trHeight w:hRule="auto" w:val="0"/>
        </w:trPr>
        <w:tc>
          <w:tcPr>
            <w:tcW w:w="2806"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8D39B1" w:rsidRPr="00D04D46" w:rsidP="00C362EA">
            <w:pPr>
              <w:spacing w:line="240" w:lineRule="auto"/>
              <w:rPr>
                <w:rFonts w:ascii="Arial Narrow" w:hAnsi="Arial Narrow" w:cs="Times New Roman"/>
              </w:rPr>
            </w:pPr>
            <w:r>
              <w:rPr>
                <w:rFonts w:ascii="Arial Narrow" w:hAnsi="Arial Narrow" w:cs="Times New Roman"/>
              </w:rPr>
              <w:t>Tovary a služby (630)</w:t>
            </w:r>
          </w:p>
        </w:tc>
        <w:tc>
          <w:tcPr>
            <w:tcW w:w="1514"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8D39B1" w:rsidRPr="00D04D46" w:rsidP="00891064">
            <w:pPr>
              <w:spacing w:line="240" w:lineRule="auto"/>
              <w:jc w:val="right"/>
              <w:rPr>
                <w:rFonts w:ascii="Arial Narrow" w:hAnsi="Arial Narrow" w:cs="Times New Roman"/>
              </w:rPr>
            </w:pPr>
            <w:r w:rsidR="0093609A">
              <w:rPr>
                <w:rFonts w:ascii="Arial Narrow" w:hAnsi="Arial Narrow" w:cs="Times New Roman"/>
              </w:rPr>
              <w:t>12 801</w:t>
            </w:r>
            <w:r>
              <w:rPr>
                <w:rFonts w:ascii="Arial Narrow" w:hAnsi="Arial Narrow" w:cs="Times New Roman"/>
              </w:rPr>
              <w:t> 000,00</w:t>
            </w:r>
          </w:p>
        </w:tc>
        <w:tc>
          <w:tcPr>
            <w:tcW w:w="162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8D39B1" w:rsidRPr="00D04D46" w:rsidP="00891064">
            <w:pPr>
              <w:spacing w:line="240" w:lineRule="auto"/>
              <w:jc w:val="right"/>
              <w:rPr>
                <w:rFonts w:ascii="Arial Narrow" w:hAnsi="Arial Narrow" w:cs="Times New Roman"/>
              </w:rPr>
            </w:pPr>
            <w:r w:rsidR="0093609A">
              <w:rPr>
                <w:rFonts w:ascii="Arial Narrow" w:hAnsi="Arial Narrow" w:cs="Times New Roman"/>
              </w:rPr>
              <w:t>13 343 230</w:t>
            </w:r>
            <w:r>
              <w:rPr>
                <w:rFonts w:ascii="Arial Narrow" w:hAnsi="Arial Narrow" w:cs="Times New Roman"/>
              </w:rPr>
              <w:t>,00</w:t>
            </w:r>
          </w:p>
        </w:tc>
        <w:tc>
          <w:tcPr>
            <w:tcW w:w="162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8D39B1" w:rsidRPr="00B23854" w:rsidP="00891064">
            <w:pPr>
              <w:spacing w:line="240" w:lineRule="auto"/>
              <w:jc w:val="right"/>
              <w:rPr>
                <w:rFonts w:ascii="Arial Narrow" w:hAnsi="Arial Narrow" w:cs="Times New Roman"/>
              </w:rPr>
            </w:pPr>
            <w:r>
              <w:rPr>
                <w:rFonts w:ascii="Arial Narrow" w:hAnsi="Arial Narrow" w:cs="Times New Roman"/>
              </w:rPr>
              <w:t>1</w:t>
            </w:r>
            <w:r w:rsidR="00BE023A">
              <w:rPr>
                <w:rFonts w:ascii="Arial Narrow" w:hAnsi="Arial Narrow" w:cs="Times New Roman"/>
              </w:rPr>
              <w:t>3 336 761,15</w:t>
            </w:r>
          </w:p>
        </w:tc>
        <w:tc>
          <w:tcPr>
            <w:tcW w:w="144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8D39B1" w:rsidP="00891064">
            <w:pPr>
              <w:spacing w:line="240" w:lineRule="auto"/>
              <w:jc w:val="right"/>
              <w:rPr>
                <w:rFonts w:ascii="Arial Narrow" w:hAnsi="Arial Narrow" w:cs="Times New Roman"/>
              </w:rPr>
            </w:pPr>
            <w:r w:rsidR="00BE023A">
              <w:rPr>
                <w:rFonts w:ascii="Arial Narrow" w:hAnsi="Arial Narrow" w:cs="Times New Roman"/>
              </w:rPr>
              <w:t>6 468,85</w:t>
            </w:r>
          </w:p>
        </w:tc>
      </w:tr>
      <w:tr>
        <w:tblPrEx>
          <w:tblW w:w="9000" w:type="dxa"/>
          <w:tblInd w:w="108" w:type="dxa"/>
        </w:tblPrEx>
        <w:trPr>
          <w:trHeight w:hRule="auto" w:val="0"/>
        </w:trPr>
        <w:tc>
          <w:tcPr>
            <w:tcW w:w="2806"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8D39B1" w:rsidRPr="00D04D46" w:rsidP="00C362EA">
            <w:pPr>
              <w:spacing w:line="240" w:lineRule="auto"/>
              <w:rPr>
                <w:rFonts w:ascii="Arial Narrow" w:hAnsi="Arial Narrow" w:cs="Times New Roman"/>
              </w:rPr>
            </w:pPr>
            <w:r>
              <w:rPr>
                <w:rFonts w:ascii="Arial Narrow" w:hAnsi="Arial Narrow" w:cs="Times New Roman"/>
              </w:rPr>
              <w:t>Bežné transfery (640)</w:t>
            </w:r>
          </w:p>
        </w:tc>
        <w:tc>
          <w:tcPr>
            <w:tcW w:w="1514"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8D39B1" w:rsidRPr="00D04D46" w:rsidP="00891064">
            <w:pPr>
              <w:spacing w:line="240" w:lineRule="auto"/>
              <w:jc w:val="right"/>
              <w:rPr>
                <w:rFonts w:ascii="Arial Narrow" w:hAnsi="Arial Narrow" w:cs="Times New Roman"/>
              </w:rPr>
            </w:pPr>
            <w:r>
              <w:rPr>
                <w:rFonts w:ascii="Arial Narrow" w:hAnsi="Arial Narrow" w:cs="Times New Roman"/>
              </w:rPr>
              <w:t>200 000,00</w:t>
            </w:r>
          </w:p>
        </w:tc>
        <w:tc>
          <w:tcPr>
            <w:tcW w:w="162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8D39B1" w:rsidRPr="00D04D46" w:rsidP="00891064">
            <w:pPr>
              <w:spacing w:line="240" w:lineRule="auto"/>
              <w:jc w:val="right"/>
              <w:rPr>
                <w:rFonts w:ascii="Arial Narrow" w:hAnsi="Arial Narrow" w:cs="Times New Roman"/>
              </w:rPr>
            </w:pPr>
            <w:r w:rsidR="0093609A">
              <w:rPr>
                <w:rFonts w:ascii="Arial Narrow" w:hAnsi="Arial Narrow" w:cs="Times New Roman"/>
              </w:rPr>
              <w:t>482 290</w:t>
            </w:r>
            <w:r>
              <w:rPr>
                <w:rFonts w:ascii="Arial Narrow" w:hAnsi="Arial Narrow" w:cs="Times New Roman"/>
              </w:rPr>
              <w:t>,00</w:t>
            </w:r>
          </w:p>
        </w:tc>
        <w:tc>
          <w:tcPr>
            <w:tcW w:w="162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8D39B1" w:rsidRPr="00B23854" w:rsidP="00891064">
            <w:pPr>
              <w:spacing w:line="240" w:lineRule="auto"/>
              <w:jc w:val="right"/>
              <w:rPr>
                <w:rFonts w:ascii="Arial Narrow" w:hAnsi="Arial Narrow" w:cs="Times New Roman"/>
              </w:rPr>
            </w:pPr>
            <w:r w:rsidR="00BE023A">
              <w:rPr>
                <w:rFonts w:ascii="Arial Narrow" w:hAnsi="Arial Narrow" w:cs="Times New Roman"/>
              </w:rPr>
              <w:t>482 2</w:t>
            </w:r>
            <w:r w:rsidR="00BE023A">
              <w:rPr>
                <w:rFonts w:ascii="Arial Narrow" w:hAnsi="Arial Narrow" w:cs="Times New Roman"/>
              </w:rPr>
              <w:t>90,00</w:t>
            </w:r>
          </w:p>
        </w:tc>
        <w:tc>
          <w:tcPr>
            <w:tcW w:w="144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8D39B1" w:rsidP="00891064">
            <w:pPr>
              <w:spacing w:line="240" w:lineRule="auto"/>
              <w:jc w:val="right"/>
              <w:rPr>
                <w:rFonts w:ascii="Arial Narrow" w:hAnsi="Arial Narrow" w:cs="Times New Roman"/>
              </w:rPr>
            </w:pPr>
            <w:r w:rsidR="00BE023A">
              <w:rPr>
                <w:rFonts w:ascii="Arial Narrow" w:hAnsi="Arial Narrow" w:cs="Times New Roman"/>
              </w:rPr>
              <w:t>0,00</w:t>
            </w:r>
          </w:p>
        </w:tc>
      </w:tr>
      <w:tr>
        <w:tblPrEx>
          <w:tblW w:w="9000" w:type="dxa"/>
          <w:tblInd w:w="108" w:type="dxa"/>
        </w:tblPrEx>
        <w:trPr>
          <w:trHeight w:hRule="auto" w:val="0"/>
        </w:trPr>
        <w:tc>
          <w:tcPr>
            <w:tcW w:w="2806"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8D39B1" w:rsidP="00C362EA">
            <w:pPr>
              <w:spacing w:line="240" w:lineRule="auto"/>
              <w:rPr>
                <w:rFonts w:ascii="Arial Narrow" w:hAnsi="Arial Narrow" w:cs="Times New Roman"/>
              </w:rPr>
            </w:pPr>
            <w:r>
              <w:rPr>
                <w:rFonts w:ascii="Arial Narrow" w:hAnsi="Arial Narrow" w:cs="Times New Roman"/>
              </w:rPr>
              <w:t>Kapitálové výdavky (710)</w:t>
            </w:r>
          </w:p>
        </w:tc>
        <w:tc>
          <w:tcPr>
            <w:tcW w:w="1514"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8D39B1" w:rsidRPr="00D04D46" w:rsidP="00891064">
            <w:pPr>
              <w:spacing w:line="240" w:lineRule="auto"/>
              <w:jc w:val="right"/>
              <w:rPr>
                <w:rFonts w:ascii="Arial Narrow" w:hAnsi="Arial Narrow" w:cs="Times New Roman"/>
              </w:rPr>
            </w:pPr>
            <w:r w:rsidR="0093609A">
              <w:rPr>
                <w:rFonts w:ascii="Arial Narrow" w:hAnsi="Arial Narrow" w:cs="Times New Roman"/>
              </w:rPr>
              <w:t>1</w:t>
            </w:r>
            <w:r>
              <w:rPr>
                <w:rFonts w:ascii="Arial Narrow" w:hAnsi="Arial Narrow" w:cs="Times New Roman"/>
              </w:rPr>
              <w:t> 000 000,00</w:t>
            </w:r>
          </w:p>
        </w:tc>
        <w:tc>
          <w:tcPr>
            <w:tcW w:w="162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8D39B1" w:rsidRPr="00D04D46" w:rsidP="00891064">
            <w:pPr>
              <w:spacing w:line="240" w:lineRule="auto"/>
              <w:jc w:val="right"/>
              <w:rPr>
                <w:rFonts w:ascii="Arial Narrow" w:hAnsi="Arial Narrow" w:cs="Times New Roman"/>
              </w:rPr>
            </w:pPr>
            <w:r w:rsidR="0093609A">
              <w:rPr>
                <w:rFonts w:ascii="Arial Narrow" w:hAnsi="Arial Narrow" w:cs="Times New Roman"/>
              </w:rPr>
              <w:t xml:space="preserve">1 000 </w:t>
            </w:r>
            <w:r>
              <w:rPr>
                <w:rFonts w:ascii="Arial Narrow" w:hAnsi="Arial Narrow" w:cs="Times New Roman"/>
              </w:rPr>
              <w:t>000,00</w:t>
            </w:r>
          </w:p>
        </w:tc>
        <w:tc>
          <w:tcPr>
            <w:tcW w:w="162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8D39B1" w:rsidRPr="00B23854" w:rsidP="00891064">
            <w:pPr>
              <w:spacing w:line="240" w:lineRule="auto"/>
              <w:jc w:val="right"/>
              <w:rPr>
                <w:rFonts w:ascii="Arial Narrow" w:hAnsi="Arial Narrow" w:cs="Times New Roman"/>
              </w:rPr>
            </w:pPr>
            <w:r w:rsidR="00BE023A">
              <w:rPr>
                <w:rFonts w:ascii="Arial Narrow" w:hAnsi="Arial Narrow" w:cs="Times New Roman"/>
              </w:rPr>
              <w:t>999 979,50</w:t>
            </w:r>
          </w:p>
        </w:tc>
        <w:tc>
          <w:tcPr>
            <w:tcW w:w="144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8D39B1" w:rsidP="00891064">
            <w:pPr>
              <w:spacing w:line="240" w:lineRule="auto"/>
              <w:jc w:val="right"/>
              <w:rPr>
                <w:rFonts w:ascii="Arial Narrow" w:hAnsi="Arial Narrow" w:cs="Times New Roman"/>
              </w:rPr>
            </w:pPr>
            <w:r w:rsidR="00BE023A">
              <w:rPr>
                <w:rFonts w:ascii="Arial Narrow" w:hAnsi="Arial Narrow" w:cs="Times New Roman"/>
              </w:rPr>
              <w:t>20,50</w:t>
            </w:r>
          </w:p>
        </w:tc>
      </w:tr>
      <w:tr>
        <w:tblPrEx>
          <w:tblW w:w="9000" w:type="dxa"/>
          <w:tblInd w:w="108" w:type="dxa"/>
        </w:tblPrEx>
        <w:trPr>
          <w:trHeight w:hRule="auto" w:val="0"/>
        </w:trPr>
        <w:tc>
          <w:tcPr>
            <w:tcW w:w="2806" w:type="dxa"/>
            <w:tcBorders>
              <w:top w:val="single" w:sz="4" w:space="0" w:color="auto"/>
              <w:left w:val="single" w:sz="4" w:space="0" w:color="auto"/>
              <w:bottom w:val="single" w:sz="4" w:space="0" w:color="auto"/>
              <w:right w:val="single" w:sz="4" w:space="0" w:color="auto"/>
              <w:tl2br w:val="nil"/>
              <w:tr2bl w:val="nil"/>
            </w:tcBorders>
            <w:shd w:val="clear" w:color="auto" w:fill="C0C0C0"/>
            <w:textDirection w:val="lrTb"/>
            <w:vAlign w:val="center"/>
          </w:tcPr>
          <w:p w:rsidR="008D39B1" w:rsidRPr="00FC7E23" w:rsidP="00C362EA">
            <w:pPr>
              <w:spacing w:line="240" w:lineRule="auto"/>
              <w:rPr>
                <w:rFonts w:ascii="Arial Narrow" w:hAnsi="Arial Narrow" w:cs="Times New Roman"/>
                <w:b/>
              </w:rPr>
            </w:pPr>
            <w:r w:rsidRPr="00FC7E23">
              <w:rPr>
                <w:rFonts w:ascii="Arial Narrow" w:hAnsi="Arial Narrow" w:cs="Times New Roman"/>
                <w:b/>
              </w:rPr>
              <w:t>SPOLU</w:t>
            </w:r>
          </w:p>
        </w:tc>
        <w:tc>
          <w:tcPr>
            <w:tcW w:w="1514" w:type="dxa"/>
            <w:tcBorders>
              <w:top w:val="single" w:sz="4" w:space="0" w:color="auto"/>
              <w:left w:val="single" w:sz="4" w:space="0" w:color="auto"/>
              <w:bottom w:val="single" w:sz="4" w:space="0" w:color="auto"/>
              <w:right w:val="single" w:sz="4" w:space="0" w:color="auto"/>
              <w:tl2br w:val="nil"/>
              <w:tr2bl w:val="nil"/>
            </w:tcBorders>
            <w:shd w:val="clear" w:color="auto" w:fill="C0C0C0"/>
            <w:textDirection w:val="lrTb"/>
            <w:vAlign w:val="center"/>
          </w:tcPr>
          <w:p w:rsidR="008D39B1" w:rsidRPr="00FC7E23" w:rsidP="00891064">
            <w:pPr>
              <w:spacing w:line="240" w:lineRule="auto"/>
              <w:jc w:val="right"/>
              <w:rPr>
                <w:rFonts w:ascii="Arial Narrow" w:hAnsi="Arial Narrow" w:cs="Times New Roman"/>
                <w:b/>
              </w:rPr>
            </w:pPr>
            <w:r w:rsidR="0093609A">
              <w:rPr>
                <w:rFonts w:ascii="Arial Narrow" w:hAnsi="Arial Narrow" w:cs="Times New Roman"/>
                <w:b/>
              </w:rPr>
              <w:t>40 079</w:t>
            </w:r>
            <w:r>
              <w:rPr>
                <w:rFonts w:ascii="Arial Narrow" w:hAnsi="Arial Narrow" w:cs="Times New Roman"/>
                <w:b/>
              </w:rPr>
              <w:t> 000,00</w:t>
            </w:r>
          </w:p>
        </w:tc>
        <w:tc>
          <w:tcPr>
            <w:tcW w:w="1620" w:type="dxa"/>
            <w:tcBorders>
              <w:top w:val="single" w:sz="4" w:space="0" w:color="auto"/>
              <w:left w:val="single" w:sz="4" w:space="0" w:color="auto"/>
              <w:bottom w:val="single" w:sz="4" w:space="0" w:color="auto"/>
              <w:right w:val="single" w:sz="4" w:space="0" w:color="auto"/>
              <w:tl2br w:val="nil"/>
              <w:tr2bl w:val="nil"/>
            </w:tcBorders>
            <w:shd w:val="clear" w:color="auto" w:fill="C0C0C0"/>
            <w:textDirection w:val="lrTb"/>
            <w:vAlign w:val="center"/>
          </w:tcPr>
          <w:p w:rsidR="008D39B1" w:rsidRPr="00FC7E23" w:rsidP="00891064">
            <w:pPr>
              <w:spacing w:line="240" w:lineRule="auto"/>
              <w:jc w:val="right"/>
              <w:rPr>
                <w:rFonts w:ascii="Arial Narrow" w:hAnsi="Arial Narrow" w:cs="Times New Roman"/>
                <w:b/>
              </w:rPr>
            </w:pPr>
            <w:r w:rsidR="0093609A">
              <w:rPr>
                <w:rFonts w:ascii="Arial Narrow" w:hAnsi="Arial Narrow" w:cs="Times New Roman"/>
                <w:b/>
              </w:rPr>
              <w:t>41 381 520</w:t>
            </w:r>
            <w:r>
              <w:rPr>
                <w:rFonts w:ascii="Arial Narrow" w:hAnsi="Arial Narrow" w:cs="Times New Roman"/>
                <w:b/>
              </w:rPr>
              <w:t>,00</w:t>
            </w:r>
          </w:p>
        </w:tc>
        <w:tc>
          <w:tcPr>
            <w:tcW w:w="1620" w:type="dxa"/>
            <w:tcBorders>
              <w:top w:val="single" w:sz="4" w:space="0" w:color="auto"/>
              <w:left w:val="single" w:sz="4" w:space="0" w:color="auto"/>
              <w:bottom w:val="single" w:sz="4" w:space="0" w:color="auto"/>
              <w:right w:val="single" w:sz="4" w:space="0" w:color="auto"/>
              <w:tl2br w:val="nil"/>
              <w:tr2bl w:val="nil"/>
            </w:tcBorders>
            <w:shd w:val="clear" w:color="auto" w:fill="C0C0C0"/>
            <w:textDirection w:val="lrTb"/>
            <w:vAlign w:val="center"/>
          </w:tcPr>
          <w:p w:rsidR="008D39B1" w:rsidRPr="00FC7E23" w:rsidP="00891064">
            <w:pPr>
              <w:spacing w:line="240" w:lineRule="auto"/>
              <w:jc w:val="right"/>
              <w:rPr>
                <w:rFonts w:ascii="Arial Narrow" w:hAnsi="Arial Narrow" w:cs="Times New Roman"/>
                <w:b/>
              </w:rPr>
            </w:pPr>
            <w:r w:rsidR="00BE023A">
              <w:rPr>
                <w:rFonts w:ascii="Arial Narrow" w:hAnsi="Arial Narrow" w:cs="Times New Roman"/>
                <w:b/>
              </w:rPr>
              <w:t>41 375 030,65</w:t>
            </w:r>
          </w:p>
        </w:tc>
        <w:tc>
          <w:tcPr>
            <w:tcW w:w="1440" w:type="dxa"/>
            <w:tcBorders>
              <w:top w:val="single" w:sz="4" w:space="0" w:color="auto"/>
              <w:left w:val="single" w:sz="4" w:space="0" w:color="auto"/>
              <w:bottom w:val="single" w:sz="4" w:space="0" w:color="auto"/>
              <w:right w:val="single" w:sz="4" w:space="0" w:color="auto"/>
              <w:tl2br w:val="nil"/>
              <w:tr2bl w:val="nil"/>
            </w:tcBorders>
            <w:shd w:val="clear" w:color="auto" w:fill="C0C0C0"/>
            <w:textDirection w:val="lrTb"/>
            <w:vAlign w:val="center"/>
          </w:tcPr>
          <w:p w:rsidR="008D39B1" w:rsidP="00891064">
            <w:pPr>
              <w:spacing w:line="240" w:lineRule="auto"/>
              <w:jc w:val="right"/>
              <w:rPr>
                <w:rFonts w:ascii="Arial Narrow" w:hAnsi="Arial Narrow" w:cs="Times New Roman"/>
                <w:b/>
              </w:rPr>
            </w:pPr>
            <w:r w:rsidR="00BE023A">
              <w:rPr>
                <w:rFonts w:ascii="Arial Narrow" w:hAnsi="Arial Narrow" w:cs="Times New Roman"/>
                <w:b/>
              </w:rPr>
              <w:t>6 489,35</w:t>
            </w:r>
          </w:p>
        </w:tc>
      </w:tr>
    </w:tbl>
    <w:p w:rsidR="004B593A" w:rsidP="00C362EA">
      <w:pPr>
        <w:spacing w:line="240" w:lineRule="auto"/>
        <w:rPr>
          <w:rFonts w:ascii="Times New Roman" w:hAnsi="Times New Roman" w:cs="Times New Roman"/>
          <w:sz w:val="24"/>
        </w:rPr>
      </w:pPr>
    </w:p>
    <w:p w:rsidR="001F02D0" w:rsidRPr="00200CFD" w:rsidP="00C34272">
      <w:pPr>
        <w:spacing w:line="240" w:lineRule="auto"/>
        <w:ind w:firstLine="709"/>
        <w:rPr>
          <w:rFonts w:ascii="Times New Roman" w:hAnsi="Times New Roman" w:cs="Times New Roman"/>
          <w:sz w:val="24"/>
          <w:szCs w:val="24"/>
        </w:rPr>
      </w:pPr>
      <w:r w:rsidR="00014E45">
        <w:rPr>
          <w:rFonts w:ascii="Times New Roman" w:hAnsi="Times New Roman" w:cs="Times New Roman"/>
          <w:sz w:val="24"/>
          <w:szCs w:val="24"/>
        </w:rPr>
        <w:t xml:space="preserve">Z </w:t>
      </w:r>
      <w:r w:rsidRPr="00200CFD" w:rsidR="00014E45">
        <w:rPr>
          <w:rFonts w:ascii="Times New Roman" w:hAnsi="Times New Roman" w:cs="Times New Roman"/>
          <w:sz w:val="24"/>
          <w:szCs w:val="24"/>
        </w:rPr>
        <w:t xml:space="preserve">prostriedkov </w:t>
      </w:r>
      <w:r w:rsidR="00014E45">
        <w:rPr>
          <w:rFonts w:ascii="Times New Roman" w:hAnsi="Times New Roman" w:cs="Times New Roman"/>
          <w:sz w:val="24"/>
          <w:szCs w:val="24"/>
        </w:rPr>
        <w:t xml:space="preserve">upraveného rozpočtu </w:t>
      </w:r>
      <w:r w:rsidRPr="00200CFD" w:rsidR="00014E45">
        <w:rPr>
          <w:rFonts w:ascii="Times New Roman" w:hAnsi="Times New Roman" w:cs="Times New Roman"/>
          <w:sz w:val="24"/>
          <w:szCs w:val="24"/>
        </w:rPr>
        <w:t xml:space="preserve">vo výške </w:t>
      </w:r>
      <w:r w:rsidR="00BE023A">
        <w:rPr>
          <w:rFonts w:ascii="Times New Roman" w:hAnsi="Times New Roman" w:cs="Times New Roman"/>
          <w:sz w:val="24"/>
          <w:szCs w:val="24"/>
        </w:rPr>
        <w:t>41 381 520</w:t>
      </w:r>
      <w:r w:rsidRPr="00AB1F6D" w:rsidR="00014E45">
        <w:rPr>
          <w:rFonts w:ascii="Times New Roman" w:hAnsi="Times New Roman" w:cs="Times New Roman"/>
          <w:sz w:val="24"/>
          <w:szCs w:val="24"/>
        </w:rPr>
        <w:t>,- Sk</w:t>
      </w:r>
      <w:r w:rsidR="00BE023A">
        <w:rPr>
          <w:rFonts w:ascii="Times New Roman" w:hAnsi="Times New Roman" w:cs="Times New Roman"/>
          <w:sz w:val="24"/>
          <w:szCs w:val="24"/>
        </w:rPr>
        <w:t xml:space="preserve"> bolo vyčerpaných 41 375 030,65 </w:t>
      </w:r>
      <w:r w:rsidRPr="00AB1F6D" w:rsidR="00014E45">
        <w:rPr>
          <w:rFonts w:ascii="Times New Roman" w:hAnsi="Times New Roman" w:cs="Times New Roman"/>
          <w:sz w:val="24"/>
          <w:szCs w:val="24"/>
        </w:rPr>
        <w:t>S</w:t>
      </w:r>
      <w:r w:rsidR="00BE023A">
        <w:rPr>
          <w:rFonts w:ascii="Times New Roman" w:hAnsi="Times New Roman" w:cs="Times New Roman"/>
          <w:sz w:val="24"/>
          <w:szCs w:val="24"/>
        </w:rPr>
        <w:t xml:space="preserve">k. </w:t>
      </w:r>
      <w:r w:rsidRPr="00200CFD" w:rsidR="00014E45">
        <w:rPr>
          <w:rFonts w:ascii="Times New Roman" w:hAnsi="Times New Roman" w:cs="Times New Roman"/>
          <w:sz w:val="24"/>
          <w:szCs w:val="24"/>
        </w:rPr>
        <w:t>Na prevádzkovom výdavkovom účte zostali z</w:t>
      </w:r>
      <w:r w:rsidR="00BE023A">
        <w:rPr>
          <w:rFonts w:ascii="Times New Roman" w:hAnsi="Times New Roman" w:cs="Times New Roman"/>
          <w:sz w:val="24"/>
          <w:szCs w:val="24"/>
        </w:rPr>
        <w:t>a rok 2007</w:t>
      </w:r>
      <w:r w:rsidRPr="00200CFD" w:rsidR="00014E45">
        <w:rPr>
          <w:rFonts w:ascii="Times New Roman" w:hAnsi="Times New Roman" w:cs="Times New Roman"/>
          <w:sz w:val="24"/>
          <w:szCs w:val="24"/>
        </w:rPr>
        <w:t xml:space="preserve"> nev</w:t>
      </w:r>
      <w:r w:rsidR="00BE023A">
        <w:rPr>
          <w:rFonts w:ascii="Times New Roman" w:hAnsi="Times New Roman" w:cs="Times New Roman"/>
          <w:sz w:val="24"/>
          <w:szCs w:val="24"/>
        </w:rPr>
        <w:t xml:space="preserve">yčerpané prostriedky v hodnote </w:t>
      </w:r>
      <w:r w:rsidR="00084589">
        <w:rPr>
          <w:rFonts w:ascii="Times New Roman" w:hAnsi="Times New Roman" w:cs="Times New Roman"/>
          <w:sz w:val="24"/>
          <w:szCs w:val="24"/>
        </w:rPr>
        <w:t xml:space="preserve">6 489,35 Sk, z čoho 6 468,85 </w:t>
      </w:r>
      <w:r w:rsidR="00BE023A">
        <w:rPr>
          <w:rFonts w:ascii="Times New Roman" w:hAnsi="Times New Roman" w:cs="Times New Roman"/>
          <w:sz w:val="24"/>
          <w:szCs w:val="24"/>
        </w:rPr>
        <w:t>Sk, predstavuje šetrenie</w:t>
      </w:r>
      <w:r w:rsidR="00B65EF2">
        <w:rPr>
          <w:rFonts w:ascii="Times New Roman" w:hAnsi="Times New Roman" w:cs="Times New Roman"/>
          <w:sz w:val="24"/>
          <w:szCs w:val="24"/>
        </w:rPr>
        <w:t xml:space="preserve"> </w:t>
      </w:r>
      <w:r w:rsidR="00BE023A">
        <w:rPr>
          <w:rFonts w:ascii="Times New Roman" w:hAnsi="Times New Roman" w:cs="Times New Roman"/>
          <w:sz w:val="24"/>
          <w:szCs w:val="24"/>
        </w:rPr>
        <w:t>v kategórii 630 – Tovary a služby a 20,5</w:t>
      </w:r>
      <w:r w:rsidRPr="00200CFD" w:rsidR="00014E45">
        <w:rPr>
          <w:rFonts w:ascii="Times New Roman" w:hAnsi="Times New Roman" w:cs="Times New Roman"/>
          <w:sz w:val="24"/>
          <w:szCs w:val="24"/>
        </w:rPr>
        <w:t>0 Sk je zostatok nevyčerpaný</w:t>
      </w:r>
      <w:r w:rsidR="00014E45">
        <w:rPr>
          <w:rFonts w:ascii="Times New Roman" w:hAnsi="Times New Roman" w:cs="Times New Roman"/>
          <w:sz w:val="24"/>
          <w:szCs w:val="24"/>
        </w:rPr>
        <w:t>ch kapitálových výdavkov</w:t>
      </w:r>
      <w:r w:rsidRPr="00200CFD" w:rsidR="00014E45">
        <w:rPr>
          <w:rFonts w:ascii="Times New Roman" w:hAnsi="Times New Roman" w:cs="Times New Roman"/>
          <w:sz w:val="24"/>
          <w:szCs w:val="24"/>
        </w:rPr>
        <w:t>.</w:t>
      </w:r>
    </w:p>
    <w:p w:rsidR="001F02D0" w:rsidP="00C34272">
      <w:pPr>
        <w:spacing w:line="240" w:lineRule="auto"/>
        <w:ind w:firstLine="709"/>
        <w:rPr>
          <w:rFonts w:ascii="Times New Roman" w:hAnsi="Times New Roman" w:cs="Times New Roman"/>
          <w:sz w:val="24"/>
        </w:rPr>
      </w:pPr>
      <w:r w:rsidR="00014E45">
        <w:rPr>
          <w:rFonts w:ascii="Times New Roman" w:hAnsi="Times New Roman" w:cs="Times New Roman"/>
          <w:sz w:val="24"/>
        </w:rPr>
        <w:t>Na položkách 610 – Mzdy, platy, služobné pr</w:t>
      </w:r>
      <w:r w:rsidR="00014E45">
        <w:rPr>
          <w:rFonts w:ascii="Times New Roman" w:hAnsi="Times New Roman" w:cs="Times New Roman"/>
          <w:sz w:val="24"/>
        </w:rPr>
        <w:t>íjmy</w:t>
      </w:r>
      <w:r w:rsidR="00BE023A">
        <w:rPr>
          <w:rFonts w:ascii="Times New Roman" w:hAnsi="Times New Roman" w:cs="Times New Roman"/>
          <w:sz w:val="24"/>
        </w:rPr>
        <w:t xml:space="preserve"> a OOV</w:t>
      </w:r>
      <w:r w:rsidR="00014E45">
        <w:rPr>
          <w:rFonts w:ascii="Times New Roman" w:hAnsi="Times New Roman" w:cs="Times New Roman"/>
          <w:sz w:val="24"/>
        </w:rPr>
        <w:t>, ako aj na pol</w:t>
      </w:r>
      <w:r w:rsidR="00BE023A">
        <w:rPr>
          <w:rFonts w:ascii="Times New Roman" w:hAnsi="Times New Roman" w:cs="Times New Roman"/>
          <w:sz w:val="24"/>
        </w:rPr>
        <w:t xml:space="preserve">ožkách 620 – Poistné </w:t>
      </w:r>
      <w:r w:rsidR="00014E45">
        <w:rPr>
          <w:rFonts w:ascii="Times New Roman" w:hAnsi="Times New Roman" w:cs="Times New Roman"/>
          <w:sz w:val="24"/>
        </w:rPr>
        <w:t xml:space="preserve">a príspevky zamestnávateľa do </w:t>
      </w:r>
      <w:r w:rsidR="00BE023A">
        <w:rPr>
          <w:rFonts w:ascii="Times New Roman" w:hAnsi="Times New Roman" w:cs="Times New Roman"/>
          <w:sz w:val="24"/>
        </w:rPr>
        <w:t>poisťovní dosiahlo čerpanie 100 % výšku. M</w:t>
      </w:r>
      <w:r w:rsidR="00014E45">
        <w:rPr>
          <w:rFonts w:ascii="Times New Roman" w:hAnsi="Times New Roman" w:cs="Times New Roman"/>
          <w:sz w:val="24"/>
        </w:rPr>
        <w:t>imo</w:t>
      </w:r>
      <w:r w:rsidR="00BE023A">
        <w:rPr>
          <w:rFonts w:ascii="Times New Roman" w:hAnsi="Times New Roman" w:cs="Times New Roman"/>
          <w:sz w:val="24"/>
        </w:rPr>
        <w:t>-</w:t>
      </w:r>
      <w:r w:rsidR="00014E45">
        <w:rPr>
          <w:rFonts w:ascii="Times New Roman" w:hAnsi="Times New Roman" w:cs="Times New Roman"/>
          <w:sz w:val="24"/>
        </w:rPr>
        <w:t xml:space="preserve">rozpočtové prostriedky na mzdy prijaté neboli.     </w:t>
      </w:r>
    </w:p>
    <w:p w:rsidR="00B65EF2" w:rsidP="00C34272">
      <w:pPr>
        <w:spacing w:line="240" w:lineRule="auto"/>
        <w:rPr>
          <w:rFonts w:ascii="Times New Roman" w:hAnsi="Times New Roman" w:cs="Times New Roman"/>
          <w:sz w:val="24"/>
        </w:rPr>
      </w:pPr>
      <w:r w:rsidR="00EE52EF">
        <w:rPr>
          <w:rFonts w:ascii="Times New Roman" w:hAnsi="Times New Roman" w:cs="Times New Roman"/>
          <w:sz w:val="24"/>
        </w:rPr>
        <w:t xml:space="preserve">           Takmer 32,3</w:t>
      </w:r>
      <w:r w:rsidR="00363C78">
        <w:rPr>
          <w:rFonts w:ascii="Times New Roman" w:hAnsi="Times New Roman" w:cs="Times New Roman"/>
          <w:sz w:val="24"/>
        </w:rPr>
        <w:t xml:space="preserve"> % rozpočtových prostriedkov vo vý</w:t>
      </w:r>
      <w:r w:rsidR="00EE52EF">
        <w:rPr>
          <w:rFonts w:ascii="Times New Roman" w:hAnsi="Times New Roman" w:cs="Times New Roman"/>
          <w:sz w:val="24"/>
        </w:rPr>
        <w:t xml:space="preserve">ške 13 336 761,15 </w:t>
      </w:r>
      <w:r w:rsidR="00363C78">
        <w:rPr>
          <w:rFonts w:ascii="Times New Roman" w:hAnsi="Times New Roman" w:cs="Times New Roman"/>
          <w:sz w:val="24"/>
        </w:rPr>
        <w:t>Sk preds</w:t>
      </w:r>
      <w:r w:rsidR="00363C78">
        <w:rPr>
          <w:rFonts w:ascii="Times New Roman" w:hAnsi="Times New Roman" w:cs="Times New Roman"/>
          <w:sz w:val="24"/>
        </w:rPr>
        <w:t xml:space="preserve">tavujú náklady na </w:t>
      </w:r>
      <w:r w:rsidRPr="00AB1F6D" w:rsidR="00363C78">
        <w:rPr>
          <w:rFonts w:ascii="Times New Roman" w:hAnsi="Times New Roman" w:cs="Times New Roman"/>
          <w:sz w:val="24"/>
        </w:rPr>
        <w:t>tovary a služby,</w:t>
      </w:r>
      <w:r w:rsidR="00363C78">
        <w:rPr>
          <w:rFonts w:ascii="Times New Roman" w:hAnsi="Times New Roman" w:cs="Times New Roman"/>
          <w:sz w:val="24"/>
        </w:rPr>
        <w:t xml:space="preserve"> z toho služby </w:t>
      </w:r>
      <w:r w:rsidR="005C19B5">
        <w:rPr>
          <w:rFonts w:ascii="Times New Roman" w:hAnsi="Times New Roman" w:cs="Times New Roman"/>
          <w:sz w:val="24"/>
        </w:rPr>
        <w:t xml:space="preserve">(637) </w:t>
      </w:r>
      <w:r w:rsidR="00363C78">
        <w:rPr>
          <w:rFonts w:ascii="Times New Roman" w:hAnsi="Times New Roman" w:cs="Times New Roman"/>
          <w:sz w:val="24"/>
        </w:rPr>
        <w:t>dosiahli</w:t>
      </w:r>
      <w:r w:rsidR="00EE52EF">
        <w:rPr>
          <w:rFonts w:ascii="Times New Roman" w:hAnsi="Times New Roman" w:cs="Times New Roman"/>
          <w:sz w:val="24"/>
        </w:rPr>
        <w:t xml:space="preserve"> čerpanie vo výške 5 242 429,70 Sk</w:t>
      </w:r>
      <w:r w:rsidR="00363C78">
        <w:rPr>
          <w:rFonts w:ascii="Times New Roman" w:hAnsi="Times New Roman" w:cs="Times New Roman"/>
          <w:sz w:val="24"/>
        </w:rPr>
        <w:t>, a to hl</w:t>
      </w:r>
      <w:r w:rsidR="005C19B5">
        <w:rPr>
          <w:rFonts w:ascii="Times New Roman" w:hAnsi="Times New Roman" w:cs="Times New Roman"/>
          <w:sz w:val="24"/>
        </w:rPr>
        <w:t>avne z dôvodu, že upratovanie administratívnej budovy</w:t>
      </w:r>
      <w:r w:rsidR="00363C78">
        <w:rPr>
          <w:rFonts w:ascii="Times New Roman" w:hAnsi="Times New Roman" w:cs="Times New Roman"/>
          <w:sz w:val="24"/>
        </w:rPr>
        <w:t xml:space="preserve">, údržba zelene, zimná údržba ako </w:t>
      </w:r>
      <w:r w:rsidR="009B1140">
        <w:rPr>
          <w:rFonts w:ascii="Times New Roman" w:hAnsi="Times New Roman" w:cs="Times New Roman"/>
          <w:sz w:val="24"/>
        </w:rPr>
        <w:t xml:space="preserve">aj údržba plavidiel sa vykonáva </w:t>
      </w:r>
      <w:r w:rsidR="00363C78">
        <w:rPr>
          <w:rFonts w:ascii="Times New Roman" w:hAnsi="Times New Roman" w:cs="Times New Roman"/>
          <w:sz w:val="24"/>
        </w:rPr>
        <w:t>dodávateľským spôsobom</w:t>
      </w:r>
      <w:r w:rsidR="001F4751">
        <w:rPr>
          <w:rFonts w:ascii="Times New Roman" w:hAnsi="Times New Roman" w:cs="Times New Roman"/>
          <w:sz w:val="24"/>
        </w:rPr>
        <w:t>. Výdavky</w:t>
      </w:r>
      <w:r w:rsidR="001F4751">
        <w:rPr>
          <w:rFonts w:ascii="Times New Roman" w:hAnsi="Times New Roman" w:cs="Times New Roman"/>
          <w:sz w:val="24"/>
        </w:rPr>
        <w:t xml:space="preserve"> boli </w:t>
      </w:r>
      <w:r w:rsidR="005C19B5">
        <w:rPr>
          <w:rFonts w:ascii="Times New Roman" w:hAnsi="Times New Roman" w:cs="Times New Roman"/>
          <w:sz w:val="24"/>
        </w:rPr>
        <w:t>použité na, zo zákona vyplývajúce, revízie elektrických a požiarnych zariadení, na zaplatenie daní z nehnuteľností a m</w:t>
      </w:r>
      <w:r w:rsidR="00EE52EF">
        <w:rPr>
          <w:rFonts w:ascii="Times New Roman" w:hAnsi="Times New Roman" w:cs="Times New Roman"/>
          <w:sz w:val="24"/>
        </w:rPr>
        <w:t>iestnych poplatkov (2 067 044,50</w:t>
      </w:r>
      <w:r w:rsidR="004C31B4">
        <w:rPr>
          <w:rFonts w:ascii="Times New Roman" w:hAnsi="Times New Roman" w:cs="Times New Roman"/>
          <w:sz w:val="24"/>
        </w:rPr>
        <w:t xml:space="preserve"> Sk</w:t>
      </w:r>
      <w:r>
        <w:rPr>
          <w:rFonts w:ascii="Times New Roman" w:hAnsi="Times New Roman" w:cs="Times New Roman"/>
          <w:sz w:val="24"/>
        </w:rPr>
        <w:t xml:space="preserve"> – pomerne vysoké výdavky na tejto podpoložke boli spôsobené vyrubením dodatočnej dane z nehnuteľnosti na časti pozemkov v správe ŠPS v k.ú. Nivy Magistrátom hlavného mesta SR Bratislavy</w:t>
      </w:r>
      <w:r w:rsidR="004C31B4">
        <w:rPr>
          <w:rFonts w:ascii="Times New Roman" w:hAnsi="Times New Roman" w:cs="Times New Roman"/>
          <w:sz w:val="24"/>
        </w:rPr>
        <w:t>)</w:t>
      </w:r>
      <w:r>
        <w:rPr>
          <w:rFonts w:ascii="Times New Roman" w:hAnsi="Times New Roman" w:cs="Times New Roman"/>
          <w:sz w:val="24"/>
        </w:rPr>
        <w:t xml:space="preserve">, na všeobecné služby (1 274 051,12 Sk), stravovanie zamestnancov (835 027,- Sk) </w:t>
      </w:r>
      <w:r w:rsidR="004C31B4">
        <w:rPr>
          <w:rFonts w:ascii="Times New Roman" w:hAnsi="Times New Roman" w:cs="Times New Roman"/>
          <w:sz w:val="24"/>
        </w:rPr>
        <w:t xml:space="preserve">atď.. </w:t>
      </w:r>
    </w:p>
    <w:p w:rsidR="008B0949" w:rsidRPr="00200CFD" w:rsidP="008B0949">
      <w:pPr>
        <w:spacing w:line="240" w:lineRule="auto"/>
        <w:ind w:firstLine="709"/>
        <w:rPr>
          <w:rFonts w:ascii="Times New Roman" w:hAnsi="Times New Roman" w:cs="Times New Roman"/>
          <w:sz w:val="24"/>
          <w:szCs w:val="24"/>
        </w:rPr>
      </w:pPr>
      <w:r w:rsidR="001F4751">
        <w:rPr>
          <w:rFonts w:ascii="Times New Roman" w:hAnsi="Times New Roman" w:cs="Times New Roman"/>
          <w:sz w:val="24"/>
        </w:rPr>
        <w:t xml:space="preserve">Bežné transfery vo výške 482 290,- Sk </w:t>
      </w:r>
      <w:r>
        <w:rPr>
          <w:rFonts w:ascii="Times New Roman" w:hAnsi="Times New Roman" w:cs="Times New Roman"/>
          <w:sz w:val="24"/>
        </w:rPr>
        <w:t xml:space="preserve">boli použité najmä na </w:t>
      </w:r>
      <w:r w:rsidR="001F4751">
        <w:rPr>
          <w:rFonts w:ascii="Times New Roman" w:hAnsi="Times New Roman" w:cs="Times New Roman"/>
          <w:sz w:val="24"/>
        </w:rPr>
        <w:t xml:space="preserve">odchodné a </w:t>
      </w:r>
      <w:r>
        <w:rPr>
          <w:rFonts w:ascii="Times New Roman" w:hAnsi="Times New Roman" w:cs="Times New Roman"/>
          <w:sz w:val="24"/>
        </w:rPr>
        <w:t>odstupn</w:t>
      </w:r>
      <w:r>
        <w:rPr>
          <w:rFonts w:ascii="Times New Roman" w:hAnsi="Times New Roman" w:cs="Times New Roman"/>
          <w:sz w:val="24"/>
        </w:rPr>
        <w:t xml:space="preserve">é. </w:t>
      </w:r>
    </w:p>
    <w:p w:rsidR="008B0949" w:rsidP="008B0949">
      <w:pPr>
        <w:spacing w:line="240" w:lineRule="auto"/>
        <w:ind w:firstLine="709"/>
        <w:rPr>
          <w:rFonts w:ascii="Times New Roman" w:hAnsi="Times New Roman" w:cs="Times New Roman"/>
          <w:sz w:val="24"/>
        </w:rPr>
      </w:pPr>
    </w:p>
    <w:p w:rsidR="001B782E" w:rsidP="001B782E">
      <w:pPr>
        <w:spacing w:line="240" w:lineRule="auto"/>
        <w:ind w:firstLine="709"/>
        <w:rPr>
          <w:rFonts w:ascii="Times New Roman" w:hAnsi="Times New Roman" w:cs="Times New Roman"/>
          <w:sz w:val="24"/>
        </w:rPr>
      </w:pPr>
      <w:r w:rsidR="00592125">
        <w:rPr>
          <w:rFonts w:ascii="Times New Roman" w:hAnsi="Times New Roman" w:cs="Times New Roman"/>
          <w:sz w:val="24"/>
        </w:rPr>
        <w:t xml:space="preserve">Rozpočtované </w:t>
      </w:r>
      <w:r w:rsidRPr="00AB1F6D" w:rsidR="00592125">
        <w:rPr>
          <w:rFonts w:ascii="Times New Roman" w:hAnsi="Times New Roman" w:cs="Times New Roman"/>
          <w:sz w:val="24"/>
        </w:rPr>
        <w:t>kapitálové výdavky</w:t>
      </w:r>
      <w:r w:rsidRPr="00AB1F6D" w:rsidR="008B0949">
        <w:rPr>
          <w:rFonts w:ascii="Times New Roman" w:hAnsi="Times New Roman" w:cs="Times New Roman"/>
          <w:sz w:val="24"/>
        </w:rPr>
        <w:t xml:space="preserve"> (710)</w:t>
      </w:r>
      <w:r w:rsidR="00064E12">
        <w:rPr>
          <w:rFonts w:ascii="Times New Roman" w:hAnsi="Times New Roman" w:cs="Times New Roman"/>
          <w:sz w:val="24"/>
        </w:rPr>
        <w:t xml:space="preserve"> </w:t>
      </w:r>
      <w:r w:rsidR="00BB6EA4">
        <w:rPr>
          <w:rFonts w:ascii="Times New Roman" w:hAnsi="Times New Roman" w:cs="Times New Roman"/>
          <w:sz w:val="24"/>
        </w:rPr>
        <w:t xml:space="preserve">vo výške 999 979,50 Sk </w:t>
      </w:r>
      <w:r w:rsidR="00054287">
        <w:rPr>
          <w:rFonts w:ascii="Times New Roman" w:hAnsi="Times New Roman" w:cs="Times New Roman"/>
          <w:sz w:val="24"/>
        </w:rPr>
        <w:t xml:space="preserve">boli </w:t>
      </w:r>
      <w:r w:rsidR="00BB6EA4">
        <w:rPr>
          <w:rFonts w:ascii="Times New Roman" w:hAnsi="Times New Roman" w:cs="Times New Roman"/>
          <w:sz w:val="24"/>
        </w:rPr>
        <w:t>použité na</w:t>
      </w:r>
      <w:r>
        <w:rPr>
          <w:rFonts w:ascii="Times New Roman" w:hAnsi="Times New Roman" w:cs="Times New Roman"/>
          <w:sz w:val="24"/>
        </w:rPr>
        <w:t>:</w:t>
      </w:r>
    </w:p>
    <w:p w:rsidR="001B782E" w:rsidP="001B782E">
      <w:pPr>
        <w:numPr>
          <w:ilvl w:val="0"/>
          <w:numId w:val="4"/>
        </w:numPr>
        <w:tabs>
          <w:tab w:val="left" w:pos="360"/>
        </w:tabs>
        <w:spacing w:line="240" w:lineRule="auto"/>
        <w:rPr>
          <w:rFonts w:ascii="Times New Roman" w:hAnsi="Times New Roman" w:cs="Times New Roman"/>
          <w:sz w:val="24"/>
        </w:rPr>
      </w:pPr>
      <w:r>
        <w:rPr>
          <w:rFonts w:ascii="Times New Roman" w:hAnsi="Times New Roman" w:cs="Times New Roman"/>
          <w:sz w:val="24"/>
        </w:rPr>
        <w:t xml:space="preserve">nákup softwaru v sume </w:t>
      </w:r>
      <w:r w:rsidR="00BB6EA4">
        <w:rPr>
          <w:rFonts w:ascii="Times New Roman" w:hAnsi="Times New Roman" w:cs="Times New Roman"/>
          <w:sz w:val="24"/>
        </w:rPr>
        <w:t>238 000,- Sk, z toho 119 000,- Sk na úpravu programu evidencie vodcov malých plavidiel a členov lodných posádok a 119 000,</w:t>
      </w:r>
      <w:r>
        <w:rPr>
          <w:rFonts w:ascii="Times New Roman" w:hAnsi="Times New Roman" w:cs="Times New Roman"/>
          <w:sz w:val="24"/>
        </w:rPr>
        <w:t xml:space="preserve">- </w:t>
      </w:r>
      <w:r w:rsidR="00BB6EA4">
        <w:rPr>
          <w:rFonts w:ascii="Times New Roman" w:hAnsi="Times New Roman" w:cs="Times New Roman"/>
          <w:sz w:val="24"/>
        </w:rPr>
        <w:t>Sk na program na evidenci</w:t>
      </w:r>
      <w:r>
        <w:rPr>
          <w:rFonts w:ascii="Times New Roman" w:hAnsi="Times New Roman" w:cs="Times New Roman"/>
          <w:sz w:val="24"/>
        </w:rPr>
        <w:t>u služobných lodníckych knižiek;</w:t>
      </w:r>
    </w:p>
    <w:p w:rsidR="00054287" w:rsidP="00054287">
      <w:pPr>
        <w:numPr>
          <w:ilvl w:val="0"/>
          <w:numId w:val="4"/>
        </w:numPr>
        <w:tabs>
          <w:tab w:val="left" w:pos="360"/>
        </w:tabs>
        <w:spacing w:line="240" w:lineRule="auto"/>
        <w:rPr>
          <w:rFonts w:ascii="Times New Roman" w:hAnsi="Times New Roman" w:cs="Times New Roman"/>
          <w:sz w:val="24"/>
        </w:rPr>
      </w:pPr>
      <w:r w:rsidR="001B782E">
        <w:rPr>
          <w:rFonts w:ascii="Times New Roman" w:hAnsi="Times New Roman" w:cs="Times New Roman"/>
          <w:sz w:val="24"/>
        </w:rPr>
        <w:t xml:space="preserve">nákup </w:t>
      </w:r>
      <w:r w:rsidR="00BB6EA4">
        <w:rPr>
          <w:rFonts w:ascii="Times New Roman" w:hAnsi="Times New Roman" w:cs="Times New Roman"/>
          <w:sz w:val="24"/>
        </w:rPr>
        <w:t>výpočtove</w:t>
      </w:r>
      <w:r w:rsidR="001B782E">
        <w:rPr>
          <w:rFonts w:ascii="Times New Roman" w:hAnsi="Times New Roman" w:cs="Times New Roman"/>
          <w:sz w:val="24"/>
        </w:rPr>
        <w:t xml:space="preserve">j techniky – </w:t>
      </w:r>
      <w:r w:rsidR="00BB6EA4">
        <w:rPr>
          <w:rFonts w:ascii="Times New Roman" w:hAnsi="Times New Roman" w:cs="Times New Roman"/>
          <w:sz w:val="24"/>
        </w:rPr>
        <w:t>bolo zakúpených 6 ks notebookov v celkovej sume 218 830,- Sk a sieťová farebná tlačiareň v sume 74 958,</w:t>
      </w:r>
      <w:r w:rsidR="001B782E">
        <w:rPr>
          <w:rFonts w:ascii="Times New Roman" w:hAnsi="Times New Roman" w:cs="Times New Roman"/>
          <w:sz w:val="24"/>
        </w:rPr>
        <w:t>10 Sk</w:t>
      </w:r>
      <w:r>
        <w:rPr>
          <w:rFonts w:ascii="Times New Roman" w:hAnsi="Times New Roman" w:cs="Times New Roman"/>
          <w:sz w:val="24"/>
        </w:rPr>
        <w:t>;</w:t>
      </w:r>
    </w:p>
    <w:p w:rsidR="00054287" w:rsidP="00054287">
      <w:pPr>
        <w:numPr>
          <w:ilvl w:val="0"/>
          <w:numId w:val="4"/>
        </w:numPr>
        <w:tabs>
          <w:tab w:val="left" w:pos="360"/>
        </w:tabs>
        <w:spacing w:line="240" w:lineRule="auto"/>
        <w:rPr>
          <w:rFonts w:ascii="Times New Roman" w:hAnsi="Times New Roman" w:cs="Times New Roman"/>
          <w:sz w:val="24"/>
        </w:rPr>
      </w:pPr>
      <w:r w:rsidR="00BB6EA4">
        <w:rPr>
          <w:rFonts w:ascii="Times New Roman" w:hAnsi="Times New Roman" w:cs="Times New Roman"/>
          <w:sz w:val="24"/>
        </w:rPr>
        <w:t>vybave</w:t>
      </w:r>
      <w:r>
        <w:rPr>
          <w:rFonts w:ascii="Times New Roman" w:hAnsi="Times New Roman" w:cs="Times New Roman"/>
          <w:sz w:val="24"/>
        </w:rPr>
        <w:t xml:space="preserve">nie serverovne klimatizáciou vo výške </w:t>
      </w:r>
      <w:r w:rsidR="00BB6EA4">
        <w:rPr>
          <w:rFonts w:ascii="Times New Roman" w:hAnsi="Times New Roman" w:cs="Times New Roman"/>
          <w:sz w:val="24"/>
        </w:rPr>
        <w:t>88 732,</w:t>
      </w:r>
      <w:r>
        <w:rPr>
          <w:rFonts w:ascii="Times New Roman" w:hAnsi="Times New Roman" w:cs="Times New Roman"/>
          <w:sz w:val="24"/>
        </w:rPr>
        <w:t>50 Sk;</w:t>
      </w:r>
    </w:p>
    <w:p w:rsidR="00054287" w:rsidP="00054287">
      <w:pPr>
        <w:numPr>
          <w:ilvl w:val="0"/>
          <w:numId w:val="4"/>
        </w:numPr>
        <w:tabs>
          <w:tab w:val="left" w:pos="360"/>
        </w:tabs>
        <w:spacing w:line="240" w:lineRule="auto"/>
        <w:rPr>
          <w:rFonts w:ascii="Times New Roman" w:hAnsi="Times New Roman" w:cs="Times New Roman"/>
          <w:sz w:val="24"/>
        </w:rPr>
      </w:pPr>
      <w:r w:rsidR="00BB6EA4">
        <w:rPr>
          <w:rFonts w:ascii="Times New Roman" w:hAnsi="Times New Roman" w:cs="Times New Roman"/>
          <w:sz w:val="24"/>
        </w:rPr>
        <w:t>zateplenie administratívnej budovy na pobočke v</w:t>
      </w:r>
      <w:r>
        <w:rPr>
          <w:rFonts w:ascii="Times New Roman" w:hAnsi="Times New Roman" w:cs="Times New Roman"/>
          <w:sz w:val="24"/>
        </w:rPr>
        <w:t xml:space="preserve"> Košiciach v sume </w:t>
      </w:r>
      <w:r w:rsidR="00BB6EA4">
        <w:rPr>
          <w:rFonts w:ascii="Times New Roman" w:hAnsi="Times New Roman" w:cs="Times New Roman"/>
          <w:sz w:val="24"/>
        </w:rPr>
        <w:t>219 943,</w:t>
      </w:r>
      <w:r>
        <w:rPr>
          <w:rFonts w:ascii="Times New Roman" w:hAnsi="Times New Roman" w:cs="Times New Roman"/>
          <w:sz w:val="24"/>
        </w:rPr>
        <w:t>- Sk</w:t>
      </w:r>
    </w:p>
    <w:p w:rsidR="00BB6EA4" w:rsidP="00054287">
      <w:pPr>
        <w:numPr>
          <w:ilvl w:val="0"/>
          <w:numId w:val="4"/>
        </w:numPr>
        <w:tabs>
          <w:tab w:val="left" w:pos="360"/>
        </w:tabs>
        <w:spacing w:line="240" w:lineRule="auto"/>
        <w:rPr>
          <w:rFonts w:ascii="Times New Roman" w:hAnsi="Times New Roman" w:cs="Times New Roman"/>
          <w:sz w:val="24"/>
        </w:rPr>
      </w:pPr>
      <w:r>
        <w:rPr>
          <w:rFonts w:ascii="Times New Roman" w:hAnsi="Times New Roman" w:cs="Times New Roman"/>
          <w:sz w:val="24"/>
        </w:rPr>
        <w:t>v rámci stav</w:t>
      </w:r>
      <w:r w:rsidR="00054287">
        <w:rPr>
          <w:rFonts w:ascii="Times New Roman" w:hAnsi="Times New Roman" w:cs="Times New Roman"/>
          <w:sz w:val="24"/>
        </w:rPr>
        <w:t xml:space="preserve">ebných prác na pohotovostnom zariadení v Klokočove (pobočka Košice) bolo </w:t>
      </w:r>
      <w:r>
        <w:rPr>
          <w:rFonts w:ascii="Times New Roman" w:hAnsi="Times New Roman" w:cs="Times New Roman"/>
          <w:sz w:val="24"/>
        </w:rPr>
        <w:t>uskutočnené prepojenie žumpy na mestskú kanalizáciu, montáž nosnej striešky a zábradlia v celkovej sume 159 515,90 Sk.</w:t>
      </w:r>
    </w:p>
    <w:p w:rsidR="00064E12" w:rsidRPr="0056027D" w:rsidP="009B12F0">
      <w:pPr>
        <w:spacing w:line="240" w:lineRule="auto"/>
        <w:rPr>
          <w:rFonts w:ascii="Times New Roman" w:hAnsi="Times New Roman" w:cs="Times New Roman"/>
          <w:sz w:val="24"/>
        </w:rPr>
      </w:pPr>
    </w:p>
    <w:p w:rsidR="00D27E26" w:rsidP="00C362EA">
      <w:pPr>
        <w:spacing w:line="240" w:lineRule="auto"/>
        <w:rPr>
          <w:rFonts w:ascii="Times New Roman" w:hAnsi="Times New Roman" w:cs="Times New Roman"/>
          <w:b/>
          <w:sz w:val="24"/>
          <w:u w:val="single"/>
        </w:rPr>
      </w:pPr>
      <w:r w:rsidR="00545A3C">
        <w:rPr>
          <w:rFonts w:ascii="Times New Roman" w:hAnsi="Times New Roman" w:cs="Times New Roman"/>
          <w:b/>
          <w:sz w:val="24"/>
          <w:u w:val="single"/>
        </w:rPr>
        <w:t>5.</w:t>
      </w:r>
      <w:r w:rsidR="00545A3C">
        <w:rPr>
          <w:rFonts w:ascii="Times New Roman" w:hAnsi="Times New Roman" w:cs="Times New Roman"/>
          <w:b/>
          <w:sz w:val="24"/>
          <w:u w:val="single"/>
        </w:rPr>
        <w:t xml:space="preserve"> </w:t>
      </w:r>
      <w:r w:rsidRPr="00D23807">
        <w:rPr>
          <w:rFonts w:ascii="Times New Roman" w:hAnsi="Times New Roman" w:cs="Times New Roman"/>
          <w:b/>
          <w:sz w:val="24"/>
          <w:u w:val="single"/>
        </w:rPr>
        <w:t xml:space="preserve">ÚRAD </w:t>
      </w:r>
      <w:r w:rsidR="00F65122">
        <w:rPr>
          <w:rFonts w:ascii="Times New Roman" w:hAnsi="Times New Roman" w:cs="Times New Roman"/>
          <w:b/>
          <w:sz w:val="24"/>
          <w:u w:val="single"/>
        </w:rPr>
        <w:t xml:space="preserve">PRE REGULÁCIU ŽELEZNIČNEJ DOPRAVY </w:t>
      </w:r>
      <w:r w:rsidRPr="00D23807">
        <w:rPr>
          <w:rFonts w:ascii="Times New Roman" w:hAnsi="Times New Roman" w:cs="Times New Roman"/>
          <w:b/>
          <w:sz w:val="24"/>
          <w:u w:val="single"/>
        </w:rPr>
        <w:t>– prvok</w:t>
      </w:r>
      <w:r w:rsidR="004D1A5C">
        <w:rPr>
          <w:rFonts w:ascii="Times New Roman" w:hAnsi="Times New Roman" w:cs="Times New Roman"/>
          <w:b/>
          <w:sz w:val="24"/>
          <w:u w:val="single"/>
        </w:rPr>
        <w:t xml:space="preserve"> 07T0301 –  Regulácia dopravy na</w:t>
      </w:r>
      <w:r w:rsidRPr="00D23807">
        <w:rPr>
          <w:rFonts w:ascii="Times New Roman" w:hAnsi="Times New Roman" w:cs="Times New Roman"/>
          <w:b/>
          <w:sz w:val="24"/>
          <w:u w:val="single"/>
        </w:rPr>
        <w:t xml:space="preserve"> dráhach</w:t>
      </w:r>
    </w:p>
    <w:p w:rsidR="002442CD" w:rsidP="00C362EA">
      <w:pPr>
        <w:spacing w:line="240" w:lineRule="auto"/>
        <w:rPr>
          <w:rFonts w:ascii="Arial Narrow" w:hAnsi="Arial Narrow" w:cs="Times New Roman"/>
          <w:sz w:val="18"/>
          <w:szCs w:val="18"/>
        </w:rPr>
      </w:pPr>
    </w:p>
    <w:p w:rsidR="009A52FB" w:rsidRPr="002442CD" w:rsidP="00C362EA">
      <w:pPr>
        <w:spacing w:line="240" w:lineRule="auto"/>
        <w:rPr>
          <w:rFonts w:ascii="Arial Narrow" w:hAnsi="Arial Narrow" w:cs="Times New Roman"/>
          <w:sz w:val="18"/>
          <w:szCs w:val="18"/>
        </w:rPr>
      </w:pPr>
    </w:p>
    <w:p w:rsidR="00037B27" w:rsidRPr="00F43690" w:rsidP="00C362EA">
      <w:pPr>
        <w:spacing w:line="240" w:lineRule="auto"/>
        <w:jc w:val="center"/>
        <w:rPr>
          <w:rFonts w:ascii="Arial Narrow" w:hAnsi="Arial Narrow" w:cs="Times New Roman"/>
          <w:b/>
          <w:sz w:val="24"/>
          <w:szCs w:val="24"/>
        </w:rPr>
      </w:pPr>
      <w:r w:rsidRPr="00F43690">
        <w:rPr>
          <w:rFonts w:ascii="Arial Narrow" w:hAnsi="Arial Narrow" w:cs="Times New Roman"/>
          <w:b/>
          <w:sz w:val="24"/>
          <w:szCs w:val="24"/>
        </w:rPr>
        <w:t>Prehľad rozpočtový</w:t>
      </w:r>
      <w:r>
        <w:rPr>
          <w:rFonts w:ascii="Arial Narrow" w:hAnsi="Arial Narrow" w:cs="Times New Roman"/>
          <w:b/>
          <w:sz w:val="24"/>
          <w:szCs w:val="24"/>
        </w:rPr>
        <w:t xml:space="preserve">ch výdavkov </w:t>
      </w:r>
      <w:r w:rsidR="00545A3C">
        <w:rPr>
          <w:rFonts w:ascii="Arial Narrow" w:hAnsi="Arial Narrow" w:cs="Times New Roman"/>
          <w:b/>
          <w:sz w:val="24"/>
          <w:szCs w:val="24"/>
        </w:rPr>
        <w:t xml:space="preserve">Úradu pre reguláciu železničnej </w:t>
      </w:r>
      <w:r>
        <w:rPr>
          <w:rFonts w:ascii="Arial Narrow" w:hAnsi="Arial Narrow" w:cs="Times New Roman"/>
          <w:b/>
          <w:sz w:val="24"/>
          <w:szCs w:val="24"/>
        </w:rPr>
        <w:t xml:space="preserve">dopravy </w:t>
      </w:r>
      <w:r w:rsidR="00933E44">
        <w:rPr>
          <w:rFonts w:ascii="Arial Narrow" w:hAnsi="Arial Narrow" w:cs="Times New Roman"/>
          <w:b/>
          <w:sz w:val="24"/>
          <w:szCs w:val="24"/>
        </w:rPr>
        <w:t>za rok 2007</w:t>
      </w:r>
    </w:p>
    <w:p w:rsidR="00037B27" w:rsidRPr="00D04D46" w:rsidP="00C362EA">
      <w:pPr>
        <w:spacing w:line="240" w:lineRule="auto"/>
        <w:rPr>
          <w:rFonts w:ascii="Arial Narrow" w:hAnsi="Arial Narrow" w:cs="Times New Roman"/>
        </w:rPr>
      </w:pPr>
      <w:r w:rsidRPr="00D04D46">
        <w:rPr>
          <w:rFonts w:ascii="Arial Narrow" w:hAnsi="Arial Narrow" w:cs="Times New Roman"/>
        </w:rPr>
        <w:t xml:space="preserve">                     </w:t>
      </w:r>
      <w:r>
        <w:rPr>
          <w:rFonts w:ascii="Arial Narrow" w:hAnsi="Arial Narrow" w:cs="Times New Roman"/>
        </w:rPr>
        <w:t xml:space="preserve">          </w:t>
      </w:r>
      <w:r w:rsidRPr="00D04D46">
        <w:rPr>
          <w:rFonts w:ascii="Arial Narrow" w:hAnsi="Arial Narrow" w:cs="Times New Roman"/>
        </w:rPr>
        <w:t xml:space="preserve">                                                     </w:t>
      </w:r>
      <w:r w:rsidRPr="00D04D46">
        <w:rPr>
          <w:rFonts w:ascii="Arial Narrow" w:hAnsi="Arial Narrow" w:cs="Times New Roman"/>
        </w:rPr>
        <w:t xml:space="preserve">                         </w:t>
      </w:r>
      <w:r>
        <w:rPr>
          <w:rFonts w:ascii="Arial Narrow" w:hAnsi="Arial Narrow" w:cs="Times New Roman"/>
        </w:rPr>
        <w:t xml:space="preserve">                                                                          </w:t>
      </w:r>
      <w:r w:rsidRPr="00D04D46">
        <w:rPr>
          <w:rFonts w:ascii="Arial Narrow" w:hAnsi="Arial Narrow" w:cs="Times New Roman"/>
        </w:rPr>
        <w:t xml:space="preserve">    (v Sk)</w:t>
      </w:r>
    </w:p>
    <w:tbl>
      <w:tblPr>
        <w:tblW w:w="9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Grid>
        <w:gridCol w:w="2880"/>
        <w:gridCol w:w="1620"/>
        <w:gridCol w:w="1610"/>
        <w:gridCol w:w="1542"/>
        <w:gridCol w:w="1473"/>
      </w:tblGrid>
      <w:tr>
        <w:tblPrEx>
          <w:tblW w:w="9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auto" w:val="0"/>
        </w:trPr>
        <w:tc>
          <w:tcPr>
            <w:tcW w:w="2880" w:type="dxa"/>
            <w:tcBorders>
              <w:top w:val="single" w:sz="4" w:space="0" w:color="auto"/>
              <w:left w:val="single" w:sz="4" w:space="0" w:color="auto"/>
              <w:bottom w:val="single" w:sz="4" w:space="0" w:color="auto"/>
              <w:right w:val="single" w:sz="4" w:space="0" w:color="auto"/>
              <w:tl2br w:val="nil"/>
              <w:tr2bl w:val="nil"/>
            </w:tcBorders>
            <w:shd w:val="clear" w:color="auto" w:fill="CCCCCC"/>
            <w:textDirection w:val="lrTb"/>
            <w:vAlign w:val="top"/>
          </w:tcPr>
          <w:p w:rsidR="00933E44" w:rsidRPr="00D04D46" w:rsidP="00C362EA">
            <w:pPr>
              <w:spacing w:line="240" w:lineRule="auto"/>
              <w:rPr>
                <w:rFonts w:ascii="Times New Roman" w:hAnsi="Times New Roman" w:cs="Times New Roman"/>
                <w:u w:val="single"/>
              </w:rPr>
            </w:pPr>
          </w:p>
        </w:tc>
        <w:tc>
          <w:tcPr>
            <w:tcW w:w="1620" w:type="dxa"/>
            <w:tcBorders>
              <w:top w:val="single" w:sz="4" w:space="0" w:color="auto"/>
              <w:left w:val="single" w:sz="4" w:space="0" w:color="auto"/>
              <w:bottom w:val="single" w:sz="4" w:space="0" w:color="auto"/>
              <w:right w:val="single" w:sz="4" w:space="0" w:color="auto"/>
              <w:tl2br w:val="nil"/>
              <w:tr2bl w:val="nil"/>
            </w:tcBorders>
            <w:shd w:val="clear" w:color="auto" w:fill="CCCCCC"/>
            <w:textDirection w:val="lrTb"/>
            <w:vAlign w:val="center"/>
          </w:tcPr>
          <w:p w:rsidR="00535C42" w:rsidP="00C362EA">
            <w:pPr>
              <w:spacing w:line="240" w:lineRule="auto"/>
              <w:jc w:val="center"/>
              <w:rPr>
                <w:rFonts w:ascii="Arial Narrow" w:hAnsi="Arial Narrow" w:cs="Times New Roman"/>
                <w:b/>
              </w:rPr>
            </w:pPr>
            <w:r w:rsidR="00933E44">
              <w:rPr>
                <w:rFonts w:ascii="Arial Narrow" w:hAnsi="Arial Narrow" w:cs="Times New Roman"/>
                <w:b/>
              </w:rPr>
              <w:t>Schvále</w:t>
            </w:r>
            <w:r w:rsidRPr="00FC7E23" w:rsidR="00933E44">
              <w:rPr>
                <w:rFonts w:ascii="Arial Narrow" w:hAnsi="Arial Narrow" w:cs="Times New Roman"/>
                <w:b/>
              </w:rPr>
              <w:t xml:space="preserve">ný rozpočet </w:t>
            </w:r>
          </w:p>
          <w:p w:rsidR="00933E44" w:rsidRPr="00FC7E23" w:rsidP="00C362EA">
            <w:pPr>
              <w:spacing w:line="240" w:lineRule="auto"/>
              <w:jc w:val="center"/>
              <w:rPr>
                <w:rFonts w:ascii="Arial Narrow" w:hAnsi="Arial Narrow" w:cs="Times New Roman"/>
                <w:b/>
              </w:rPr>
            </w:pPr>
            <w:r>
              <w:rPr>
                <w:rFonts w:ascii="Arial Narrow" w:hAnsi="Arial Narrow" w:cs="Times New Roman"/>
                <w:b/>
              </w:rPr>
              <w:t>k 1.1.2007</w:t>
            </w:r>
          </w:p>
        </w:tc>
        <w:tc>
          <w:tcPr>
            <w:tcW w:w="1610" w:type="dxa"/>
            <w:tcBorders>
              <w:top w:val="single" w:sz="4" w:space="0" w:color="auto"/>
              <w:left w:val="single" w:sz="4" w:space="0" w:color="auto"/>
              <w:bottom w:val="single" w:sz="4" w:space="0" w:color="auto"/>
              <w:right w:val="single" w:sz="4" w:space="0" w:color="auto"/>
              <w:tl2br w:val="nil"/>
              <w:tr2bl w:val="nil"/>
            </w:tcBorders>
            <w:shd w:val="clear" w:color="auto" w:fill="CCCCCC"/>
            <w:textDirection w:val="lrTb"/>
            <w:vAlign w:val="center"/>
          </w:tcPr>
          <w:p w:rsidR="00933E44" w:rsidRPr="00FC7E23" w:rsidP="00C362EA">
            <w:pPr>
              <w:spacing w:line="240" w:lineRule="auto"/>
              <w:jc w:val="center"/>
              <w:rPr>
                <w:rFonts w:ascii="Arial Narrow" w:hAnsi="Arial Narrow" w:cs="Times New Roman"/>
                <w:b/>
              </w:rPr>
            </w:pPr>
            <w:r>
              <w:rPr>
                <w:rFonts w:ascii="Arial Narrow" w:hAnsi="Arial Narrow" w:cs="Times New Roman"/>
                <w:b/>
              </w:rPr>
              <w:t>Upravený rozpočet k 31.12.2007</w:t>
            </w:r>
          </w:p>
        </w:tc>
        <w:tc>
          <w:tcPr>
            <w:tcW w:w="1542" w:type="dxa"/>
            <w:tcBorders>
              <w:top w:val="single" w:sz="4" w:space="0" w:color="auto"/>
              <w:left w:val="single" w:sz="4" w:space="0" w:color="auto"/>
              <w:bottom w:val="single" w:sz="4" w:space="0" w:color="auto"/>
              <w:right w:val="single" w:sz="4" w:space="0" w:color="auto"/>
              <w:tl2br w:val="nil"/>
              <w:tr2bl w:val="nil"/>
            </w:tcBorders>
            <w:shd w:val="clear" w:color="auto" w:fill="CCCCCC"/>
            <w:textDirection w:val="lrTb"/>
            <w:vAlign w:val="center"/>
          </w:tcPr>
          <w:p w:rsidR="00933E44" w:rsidRPr="00FC7E23" w:rsidP="00C362EA">
            <w:pPr>
              <w:spacing w:line="240" w:lineRule="auto"/>
              <w:jc w:val="center"/>
              <w:rPr>
                <w:rFonts w:ascii="Arial Narrow" w:hAnsi="Arial Narrow" w:cs="Times New Roman"/>
                <w:b/>
              </w:rPr>
            </w:pPr>
            <w:r>
              <w:rPr>
                <w:rFonts w:ascii="Arial Narrow" w:hAnsi="Arial Narrow" w:cs="Times New Roman"/>
                <w:b/>
              </w:rPr>
              <w:t>Skutočné čerpanie k 31.12.2007</w:t>
            </w:r>
          </w:p>
        </w:tc>
        <w:tc>
          <w:tcPr>
            <w:tcW w:w="1473" w:type="dxa"/>
            <w:tcBorders>
              <w:top w:val="single" w:sz="4" w:space="0" w:color="auto"/>
              <w:left w:val="single" w:sz="4" w:space="0" w:color="auto"/>
              <w:bottom w:val="single" w:sz="4" w:space="0" w:color="auto"/>
              <w:right w:val="single" w:sz="4" w:space="0" w:color="auto"/>
              <w:tl2br w:val="nil"/>
              <w:tr2bl w:val="nil"/>
            </w:tcBorders>
            <w:shd w:val="clear" w:color="auto" w:fill="CCCCCC"/>
            <w:textDirection w:val="lrTb"/>
            <w:vAlign w:val="center"/>
          </w:tcPr>
          <w:p w:rsidR="00933E44" w:rsidP="00C362EA">
            <w:pPr>
              <w:spacing w:line="240" w:lineRule="auto"/>
              <w:jc w:val="center"/>
              <w:rPr>
                <w:rFonts w:ascii="Arial Narrow" w:hAnsi="Arial Narrow" w:cs="Times New Roman"/>
                <w:b/>
              </w:rPr>
            </w:pPr>
            <w:r w:rsidR="00F70098">
              <w:rPr>
                <w:rFonts w:ascii="Arial Narrow" w:hAnsi="Arial Narrow" w:cs="Times New Roman"/>
                <w:b/>
              </w:rPr>
              <w:t>Rozdiel</w:t>
            </w:r>
          </w:p>
        </w:tc>
      </w:tr>
      <w:tr>
        <w:tblPrEx>
          <w:tblW w:w="9125" w:type="dxa"/>
          <w:tblInd w:w="108" w:type="dxa"/>
        </w:tblPrEx>
        <w:trPr>
          <w:trHeight w:hRule="auto" w:val="0"/>
        </w:trPr>
        <w:tc>
          <w:tcPr>
            <w:tcW w:w="288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933E44" w:rsidRPr="00DC7250" w:rsidP="00C362EA">
            <w:pPr>
              <w:spacing w:line="240" w:lineRule="auto"/>
              <w:rPr>
                <w:rFonts w:ascii="Arial Narrow" w:hAnsi="Arial Narrow" w:cs="Times New Roman"/>
              </w:rPr>
            </w:pPr>
            <w:r w:rsidRPr="00DC7250">
              <w:rPr>
                <w:rFonts w:ascii="Arial Narrow" w:hAnsi="Arial Narrow" w:cs="Times New Roman"/>
              </w:rPr>
              <w:t>Bežné výdavky (600), z toho:</w:t>
            </w:r>
          </w:p>
        </w:tc>
        <w:tc>
          <w:tcPr>
            <w:tcW w:w="162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933E44" w:rsidRPr="00DC7250" w:rsidP="0031346C">
            <w:pPr>
              <w:spacing w:line="240" w:lineRule="auto"/>
              <w:jc w:val="right"/>
              <w:rPr>
                <w:rFonts w:ascii="Arial Narrow" w:hAnsi="Arial Narrow" w:cs="Times New Roman"/>
              </w:rPr>
            </w:pPr>
            <w:r>
              <w:rPr>
                <w:rFonts w:ascii="Arial Narrow" w:hAnsi="Arial Narrow" w:cs="Times New Roman"/>
              </w:rPr>
              <w:t>49 086 000,00</w:t>
            </w:r>
          </w:p>
        </w:tc>
        <w:tc>
          <w:tcPr>
            <w:tcW w:w="161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933E44" w:rsidRPr="00DC7250" w:rsidP="0031346C">
            <w:pPr>
              <w:spacing w:line="240" w:lineRule="auto"/>
              <w:jc w:val="right"/>
              <w:rPr>
                <w:rFonts w:ascii="Arial Narrow" w:hAnsi="Arial Narrow" w:cs="Times New Roman"/>
              </w:rPr>
            </w:pPr>
            <w:r>
              <w:rPr>
                <w:rFonts w:ascii="Arial Narrow" w:hAnsi="Arial Narrow" w:cs="Times New Roman"/>
              </w:rPr>
              <w:t>38 253 866,00</w:t>
            </w:r>
          </w:p>
        </w:tc>
        <w:tc>
          <w:tcPr>
            <w:tcW w:w="1542"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933E44" w:rsidRPr="00B23854" w:rsidP="0031346C">
            <w:pPr>
              <w:spacing w:line="240" w:lineRule="auto"/>
              <w:jc w:val="right"/>
              <w:rPr>
                <w:rFonts w:ascii="Arial Narrow" w:hAnsi="Arial Narrow" w:cs="Times New Roman"/>
              </w:rPr>
            </w:pPr>
            <w:r>
              <w:rPr>
                <w:rFonts w:ascii="Arial Narrow" w:hAnsi="Arial Narrow" w:cs="Times New Roman"/>
              </w:rPr>
              <w:t>37 068 152,28</w:t>
            </w:r>
          </w:p>
        </w:tc>
        <w:tc>
          <w:tcPr>
            <w:tcW w:w="1473"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933E44" w:rsidP="0031346C">
            <w:pPr>
              <w:spacing w:line="240" w:lineRule="auto"/>
              <w:jc w:val="right"/>
              <w:rPr>
                <w:rFonts w:ascii="Arial Narrow" w:hAnsi="Arial Narrow" w:cs="Times New Roman"/>
              </w:rPr>
            </w:pPr>
            <w:r w:rsidR="00815A81">
              <w:rPr>
                <w:rFonts w:ascii="Arial Narrow" w:hAnsi="Arial Narrow" w:cs="Times New Roman"/>
              </w:rPr>
              <w:t>1 185 713,72</w:t>
            </w:r>
          </w:p>
        </w:tc>
      </w:tr>
      <w:tr>
        <w:tblPrEx>
          <w:tblW w:w="9125" w:type="dxa"/>
          <w:tblInd w:w="108" w:type="dxa"/>
        </w:tblPrEx>
        <w:trPr>
          <w:trHeight w:hRule="auto" w:val="0"/>
        </w:trPr>
        <w:tc>
          <w:tcPr>
            <w:tcW w:w="288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933E44" w:rsidRPr="00D04D46" w:rsidP="00C362EA">
            <w:pPr>
              <w:spacing w:line="240" w:lineRule="auto"/>
              <w:rPr>
                <w:rFonts w:ascii="Arial Narrow" w:hAnsi="Arial Narrow" w:cs="Times New Roman"/>
              </w:rPr>
            </w:pPr>
            <w:r w:rsidR="00B33474">
              <w:rPr>
                <w:rFonts w:ascii="Arial Narrow" w:hAnsi="Arial Narrow" w:cs="Times New Roman"/>
              </w:rPr>
              <w:t>Mzdy, platy</w:t>
            </w:r>
            <w:r>
              <w:rPr>
                <w:rFonts w:ascii="Arial Narrow" w:hAnsi="Arial Narrow" w:cs="Times New Roman"/>
              </w:rPr>
              <w:t>, sl. príjmy a OOV (610)</w:t>
            </w:r>
          </w:p>
        </w:tc>
        <w:tc>
          <w:tcPr>
            <w:tcW w:w="162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933E44" w:rsidRPr="00D04D46" w:rsidP="0031346C">
            <w:pPr>
              <w:spacing w:line="240" w:lineRule="auto"/>
              <w:jc w:val="right"/>
              <w:rPr>
                <w:rFonts w:ascii="Arial Narrow" w:hAnsi="Arial Narrow" w:cs="Times New Roman"/>
              </w:rPr>
            </w:pPr>
            <w:r>
              <w:rPr>
                <w:rFonts w:ascii="Arial Narrow" w:hAnsi="Arial Narrow" w:cs="Times New Roman"/>
              </w:rPr>
              <w:t>24 804 000,00</w:t>
            </w:r>
          </w:p>
        </w:tc>
        <w:tc>
          <w:tcPr>
            <w:tcW w:w="161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933E44" w:rsidRPr="00D04D46" w:rsidP="0031346C">
            <w:pPr>
              <w:spacing w:line="240" w:lineRule="auto"/>
              <w:jc w:val="right"/>
              <w:rPr>
                <w:rFonts w:ascii="Arial Narrow" w:hAnsi="Arial Narrow" w:cs="Times New Roman"/>
              </w:rPr>
            </w:pPr>
            <w:r>
              <w:rPr>
                <w:rFonts w:ascii="Arial Narrow" w:hAnsi="Arial Narrow" w:cs="Times New Roman"/>
              </w:rPr>
              <w:t>22 300 000,00</w:t>
            </w:r>
          </w:p>
        </w:tc>
        <w:tc>
          <w:tcPr>
            <w:tcW w:w="1542"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933E44" w:rsidRPr="00B23854" w:rsidP="0031346C">
            <w:pPr>
              <w:spacing w:line="240" w:lineRule="auto"/>
              <w:jc w:val="right"/>
              <w:rPr>
                <w:rFonts w:ascii="Arial Narrow" w:hAnsi="Arial Narrow" w:cs="Times New Roman"/>
              </w:rPr>
            </w:pPr>
            <w:r>
              <w:rPr>
                <w:rFonts w:ascii="Arial Narrow" w:hAnsi="Arial Narrow" w:cs="Times New Roman"/>
              </w:rPr>
              <w:t>22 300 000,00</w:t>
            </w:r>
          </w:p>
        </w:tc>
        <w:tc>
          <w:tcPr>
            <w:tcW w:w="1473"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933E44" w:rsidP="0031346C">
            <w:pPr>
              <w:spacing w:line="240" w:lineRule="auto"/>
              <w:jc w:val="right"/>
              <w:rPr>
                <w:rFonts w:ascii="Arial Narrow" w:hAnsi="Arial Narrow" w:cs="Times New Roman"/>
              </w:rPr>
            </w:pPr>
            <w:r>
              <w:rPr>
                <w:rFonts w:ascii="Arial Narrow" w:hAnsi="Arial Narrow" w:cs="Times New Roman"/>
              </w:rPr>
              <w:t>0,00</w:t>
            </w:r>
          </w:p>
        </w:tc>
      </w:tr>
      <w:tr>
        <w:tblPrEx>
          <w:tblW w:w="9125" w:type="dxa"/>
          <w:tblInd w:w="108" w:type="dxa"/>
        </w:tblPrEx>
        <w:trPr>
          <w:trHeight w:hRule="auto" w:val="0"/>
        </w:trPr>
        <w:tc>
          <w:tcPr>
            <w:tcW w:w="288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933E44" w:rsidRPr="00D04D46" w:rsidP="00C362EA">
            <w:pPr>
              <w:spacing w:line="240" w:lineRule="auto"/>
              <w:rPr>
                <w:rFonts w:ascii="Arial Narrow" w:hAnsi="Arial Narrow" w:cs="Times New Roman"/>
              </w:rPr>
            </w:pPr>
            <w:r>
              <w:rPr>
                <w:rFonts w:ascii="Arial Narrow" w:hAnsi="Arial Narrow" w:cs="Times New Roman"/>
              </w:rPr>
              <w:t>Poistné a prís. do poisťovní (620)</w:t>
            </w:r>
          </w:p>
        </w:tc>
        <w:tc>
          <w:tcPr>
            <w:tcW w:w="162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933E44" w:rsidRPr="00D04D46" w:rsidP="0031346C">
            <w:pPr>
              <w:spacing w:line="240" w:lineRule="auto"/>
              <w:jc w:val="right"/>
              <w:rPr>
                <w:rFonts w:ascii="Arial Narrow" w:hAnsi="Arial Narrow" w:cs="Times New Roman"/>
              </w:rPr>
            </w:pPr>
            <w:r>
              <w:rPr>
                <w:rFonts w:ascii="Arial Narrow" w:hAnsi="Arial Narrow" w:cs="Times New Roman"/>
              </w:rPr>
              <w:t>8 600 000,00</w:t>
            </w:r>
          </w:p>
        </w:tc>
        <w:tc>
          <w:tcPr>
            <w:tcW w:w="161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933E44" w:rsidRPr="00D04D46" w:rsidP="0031346C">
            <w:pPr>
              <w:spacing w:line="240" w:lineRule="auto"/>
              <w:jc w:val="right"/>
              <w:rPr>
                <w:rFonts w:ascii="Arial Narrow" w:hAnsi="Arial Narrow" w:cs="Times New Roman"/>
              </w:rPr>
            </w:pPr>
            <w:r>
              <w:rPr>
                <w:rFonts w:ascii="Arial Narrow" w:hAnsi="Arial Narrow" w:cs="Times New Roman"/>
              </w:rPr>
              <w:t>7 800 000,00</w:t>
            </w:r>
          </w:p>
        </w:tc>
        <w:tc>
          <w:tcPr>
            <w:tcW w:w="1542"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933E44" w:rsidRPr="00B23854" w:rsidP="0031346C">
            <w:pPr>
              <w:spacing w:line="240" w:lineRule="auto"/>
              <w:jc w:val="right"/>
              <w:rPr>
                <w:rFonts w:ascii="Arial Narrow" w:hAnsi="Arial Narrow" w:cs="Times New Roman"/>
              </w:rPr>
            </w:pPr>
            <w:r>
              <w:rPr>
                <w:rFonts w:ascii="Arial Narrow" w:hAnsi="Arial Narrow" w:cs="Times New Roman"/>
              </w:rPr>
              <w:t>7 484 811,00</w:t>
            </w:r>
          </w:p>
        </w:tc>
        <w:tc>
          <w:tcPr>
            <w:tcW w:w="1473"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933E44" w:rsidP="0031346C">
            <w:pPr>
              <w:spacing w:line="240" w:lineRule="auto"/>
              <w:jc w:val="right"/>
              <w:rPr>
                <w:rFonts w:ascii="Arial Narrow" w:hAnsi="Arial Narrow" w:cs="Times New Roman"/>
              </w:rPr>
            </w:pPr>
            <w:r>
              <w:rPr>
                <w:rFonts w:ascii="Arial Narrow" w:hAnsi="Arial Narrow" w:cs="Times New Roman"/>
              </w:rPr>
              <w:t>315 189,00</w:t>
            </w:r>
          </w:p>
        </w:tc>
      </w:tr>
      <w:tr>
        <w:tblPrEx>
          <w:tblW w:w="9125" w:type="dxa"/>
          <w:tblInd w:w="108" w:type="dxa"/>
        </w:tblPrEx>
        <w:trPr>
          <w:trHeight w:hRule="auto" w:val="0"/>
        </w:trPr>
        <w:tc>
          <w:tcPr>
            <w:tcW w:w="288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933E44" w:rsidRPr="00D04D46" w:rsidP="00C362EA">
            <w:pPr>
              <w:spacing w:line="240" w:lineRule="auto"/>
              <w:rPr>
                <w:rFonts w:ascii="Arial Narrow" w:hAnsi="Arial Narrow" w:cs="Times New Roman"/>
              </w:rPr>
            </w:pPr>
            <w:r>
              <w:rPr>
                <w:rFonts w:ascii="Arial Narrow" w:hAnsi="Arial Narrow" w:cs="Times New Roman"/>
              </w:rPr>
              <w:t>Tovary a služby (630)</w:t>
            </w:r>
          </w:p>
        </w:tc>
        <w:tc>
          <w:tcPr>
            <w:tcW w:w="162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933E44" w:rsidRPr="00D04D46" w:rsidP="0031346C">
            <w:pPr>
              <w:spacing w:line="240" w:lineRule="auto"/>
              <w:jc w:val="right"/>
              <w:rPr>
                <w:rFonts w:ascii="Arial Narrow" w:hAnsi="Arial Narrow" w:cs="Times New Roman"/>
              </w:rPr>
            </w:pPr>
            <w:r>
              <w:rPr>
                <w:rFonts w:ascii="Arial Narrow" w:hAnsi="Arial Narrow" w:cs="Times New Roman"/>
              </w:rPr>
              <w:t>15 282 000,00</w:t>
            </w:r>
          </w:p>
        </w:tc>
        <w:tc>
          <w:tcPr>
            <w:tcW w:w="161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933E44" w:rsidRPr="00D04D46" w:rsidP="0031346C">
            <w:pPr>
              <w:spacing w:line="240" w:lineRule="auto"/>
              <w:jc w:val="right"/>
              <w:rPr>
                <w:rFonts w:ascii="Arial Narrow" w:hAnsi="Arial Narrow" w:cs="Times New Roman"/>
              </w:rPr>
            </w:pPr>
            <w:r>
              <w:rPr>
                <w:rFonts w:ascii="Arial Narrow" w:hAnsi="Arial Narrow" w:cs="Times New Roman"/>
              </w:rPr>
              <w:t>7 833 86</w:t>
            </w:r>
            <w:r>
              <w:rPr>
                <w:rFonts w:ascii="Arial Narrow" w:hAnsi="Arial Narrow" w:cs="Times New Roman"/>
              </w:rPr>
              <w:t>6,00</w:t>
            </w:r>
          </w:p>
        </w:tc>
        <w:tc>
          <w:tcPr>
            <w:tcW w:w="1542"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933E44" w:rsidRPr="00B23854" w:rsidP="0031346C">
            <w:pPr>
              <w:spacing w:line="240" w:lineRule="auto"/>
              <w:jc w:val="right"/>
              <w:rPr>
                <w:rFonts w:ascii="Arial Narrow" w:hAnsi="Arial Narrow" w:cs="Times New Roman"/>
              </w:rPr>
            </w:pPr>
            <w:r>
              <w:rPr>
                <w:rFonts w:ascii="Arial Narrow" w:hAnsi="Arial Narrow" w:cs="Times New Roman"/>
              </w:rPr>
              <w:t>7 027 734,28</w:t>
            </w:r>
          </w:p>
        </w:tc>
        <w:tc>
          <w:tcPr>
            <w:tcW w:w="1473"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933E44" w:rsidP="0031346C">
            <w:pPr>
              <w:spacing w:line="240" w:lineRule="auto"/>
              <w:jc w:val="right"/>
              <w:rPr>
                <w:rFonts w:ascii="Arial Narrow" w:hAnsi="Arial Narrow" w:cs="Times New Roman"/>
              </w:rPr>
            </w:pPr>
            <w:r w:rsidR="00815A81">
              <w:rPr>
                <w:rFonts w:ascii="Arial Narrow" w:hAnsi="Arial Narrow" w:cs="Times New Roman"/>
              </w:rPr>
              <w:t>806 131,72</w:t>
            </w:r>
          </w:p>
        </w:tc>
      </w:tr>
      <w:tr>
        <w:tblPrEx>
          <w:tblW w:w="9125" w:type="dxa"/>
          <w:tblInd w:w="108" w:type="dxa"/>
        </w:tblPrEx>
        <w:trPr>
          <w:trHeight w:hRule="auto" w:val="0"/>
        </w:trPr>
        <w:tc>
          <w:tcPr>
            <w:tcW w:w="288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933E44" w:rsidRPr="00D04D46" w:rsidP="00C362EA">
            <w:pPr>
              <w:spacing w:line="240" w:lineRule="auto"/>
              <w:rPr>
                <w:rFonts w:ascii="Arial Narrow" w:hAnsi="Arial Narrow" w:cs="Times New Roman"/>
              </w:rPr>
            </w:pPr>
            <w:r>
              <w:rPr>
                <w:rFonts w:ascii="Arial Narrow" w:hAnsi="Arial Narrow" w:cs="Times New Roman"/>
              </w:rPr>
              <w:t>Bežné transfery (640)</w:t>
            </w:r>
          </w:p>
        </w:tc>
        <w:tc>
          <w:tcPr>
            <w:tcW w:w="162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933E44" w:rsidRPr="00D04D46" w:rsidP="0031346C">
            <w:pPr>
              <w:spacing w:line="240" w:lineRule="auto"/>
              <w:jc w:val="right"/>
              <w:rPr>
                <w:rFonts w:ascii="Arial Narrow" w:hAnsi="Arial Narrow" w:cs="Times New Roman"/>
              </w:rPr>
            </w:pPr>
            <w:r>
              <w:rPr>
                <w:rFonts w:ascii="Arial Narrow" w:hAnsi="Arial Narrow" w:cs="Times New Roman"/>
              </w:rPr>
              <w:t>400 000,00</w:t>
            </w:r>
          </w:p>
        </w:tc>
        <w:tc>
          <w:tcPr>
            <w:tcW w:w="161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933E44" w:rsidRPr="00D04D46" w:rsidP="0031346C">
            <w:pPr>
              <w:spacing w:line="240" w:lineRule="auto"/>
              <w:jc w:val="right"/>
              <w:rPr>
                <w:rFonts w:ascii="Arial Narrow" w:hAnsi="Arial Narrow" w:cs="Times New Roman"/>
              </w:rPr>
            </w:pPr>
            <w:r>
              <w:rPr>
                <w:rFonts w:ascii="Arial Narrow" w:hAnsi="Arial Narrow" w:cs="Times New Roman"/>
              </w:rPr>
              <w:t>320 000,00</w:t>
            </w:r>
          </w:p>
        </w:tc>
        <w:tc>
          <w:tcPr>
            <w:tcW w:w="1542"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933E44" w:rsidRPr="00B23854" w:rsidP="0031346C">
            <w:pPr>
              <w:spacing w:line="240" w:lineRule="auto"/>
              <w:jc w:val="right"/>
              <w:rPr>
                <w:rFonts w:ascii="Arial Narrow" w:hAnsi="Arial Narrow" w:cs="Times New Roman"/>
              </w:rPr>
            </w:pPr>
            <w:r>
              <w:rPr>
                <w:rFonts w:ascii="Arial Narrow" w:hAnsi="Arial Narrow" w:cs="Times New Roman"/>
              </w:rPr>
              <w:t>255 607,00</w:t>
            </w:r>
          </w:p>
        </w:tc>
        <w:tc>
          <w:tcPr>
            <w:tcW w:w="1473"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933E44" w:rsidP="0031346C">
            <w:pPr>
              <w:spacing w:line="240" w:lineRule="auto"/>
              <w:jc w:val="right"/>
              <w:rPr>
                <w:rFonts w:ascii="Arial Narrow" w:hAnsi="Arial Narrow" w:cs="Times New Roman"/>
              </w:rPr>
            </w:pPr>
            <w:r w:rsidR="00815A81">
              <w:rPr>
                <w:rFonts w:ascii="Arial Narrow" w:hAnsi="Arial Narrow" w:cs="Times New Roman"/>
              </w:rPr>
              <w:t>64 393,00</w:t>
            </w:r>
          </w:p>
        </w:tc>
      </w:tr>
      <w:tr>
        <w:tblPrEx>
          <w:tblW w:w="9125" w:type="dxa"/>
          <w:tblInd w:w="108" w:type="dxa"/>
        </w:tblPrEx>
        <w:trPr>
          <w:trHeight w:hRule="auto" w:val="0"/>
        </w:trPr>
        <w:tc>
          <w:tcPr>
            <w:tcW w:w="288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933E44" w:rsidP="00C362EA">
            <w:pPr>
              <w:spacing w:line="240" w:lineRule="auto"/>
              <w:rPr>
                <w:rFonts w:ascii="Arial Narrow" w:hAnsi="Arial Narrow" w:cs="Times New Roman"/>
              </w:rPr>
            </w:pPr>
            <w:r>
              <w:rPr>
                <w:rFonts w:ascii="Arial Narrow" w:hAnsi="Arial Narrow" w:cs="Times New Roman"/>
              </w:rPr>
              <w:t>Kapitálové výdavky (710)</w:t>
            </w:r>
          </w:p>
        </w:tc>
        <w:tc>
          <w:tcPr>
            <w:tcW w:w="162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933E44" w:rsidRPr="00D04D46" w:rsidP="0031346C">
            <w:pPr>
              <w:spacing w:line="240" w:lineRule="auto"/>
              <w:jc w:val="right"/>
              <w:rPr>
                <w:rFonts w:ascii="Arial Narrow" w:hAnsi="Arial Narrow" w:cs="Times New Roman"/>
              </w:rPr>
            </w:pPr>
            <w:r>
              <w:rPr>
                <w:rFonts w:ascii="Arial Narrow" w:hAnsi="Arial Narrow" w:cs="Times New Roman"/>
              </w:rPr>
              <w:t>1 000 000,00</w:t>
            </w:r>
          </w:p>
        </w:tc>
        <w:tc>
          <w:tcPr>
            <w:tcW w:w="161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933E44" w:rsidRPr="00D04D46" w:rsidP="0031346C">
            <w:pPr>
              <w:spacing w:line="240" w:lineRule="auto"/>
              <w:jc w:val="right"/>
              <w:rPr>
                <w:rFonts w:ascii="Arial Narrow" w:hAnsi="Arial Narrow" w:cs="Times New Roman"/>
              </w:rPr>
            </w:pPr>
            <w:r>
              <w:rPr>
                <w:rFonts w:ascii="Arial Narrow" w:hAnsi="Arial Narrow" w:cs="Times New Roman"/>
              </w:rPr>
              <w:t>985 600,00</w:t>
            </w:r>
          </w:p>
        </w:tc>
        <w:tc>
          <w:tcPr>
            <w:tcW w:w="1542"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933E44" w:rsidRPr="00B23854" w:rsidP="0031346C">
            <w:pPr>
              <w:spacing w:line="240" w:lineRule="auto"/>
              <w:jc w:val="right"/>
              <w:rPr>
                <w:rFonts w:ascii="Arial Narrow" w:hAnsi="Arial Narrow" w:cs="Times New Roman"/>
              </w:rPr>
            </w:pPr>
            <w:r>
              <w:rPr>
                <w:rFonts w:ascii="Arial Narrow" w:hAnsi="Arial Narrow" w:cs="Times New Roman"/>
              </w:rPr>
              <w:t>985 598,50</w:t>
            </w:r>
          </w:p>
        </w:tc>
        <w:tc>
          <w:tcPr>
            <w:tcW w:w="1473"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933E44" w:rsidP="0031346C">
            <w:pPr>
              <w:spacing w:line="240" w:lineRule="auto"/>
              <w:jc w:val="right"/>
              <w:rPr>
                <w:rFonts w:ascii="Arial Narrow" w:hAnsi="Arial Narrow" w:cs="Times New Roman"/>
              </w:rPr>
            </w:pPr>
            <w:r w:rsidR="00815A81">
              <w:rPr>
                <w:rFonts w:ascii="Arial Narrow" w:hAnsi="Arial Narrow" w:cs="Times New Roman"/>
              </w:rPr>
              <w:t>1,50</w:t>
            </w:r>
          </w:p>
        </w:tc>
      </w:tr>
      <w:tr>
        <w:tblPrEx>
          <w:tblW w:w="9125" w:type="dxa"/>
          <w:tblInd w:w="108" w:type="dxa"/>
        </w:tblPrEx>
        <w:trPr>
          <w:trHeight w:hRule="auto" w:val="0"/>
        </w:trPr>
        <w:tc>
          <w:tcPr>
            <w:tcW w:w="2880" w:type="dxa"/>
            <w:tcBorders>
              <w:top w:val="single" w:sz="4" w:space="0" w:color="auto"/>
              <w:left w:val="single" w:sz="4" w:space="0" w:color="auto"/>
              <w:bottom w:val="single" w:sz="4" w:space="0" w:color="auto"/>
              <w:right w:val="single" w:sz="4" w:space="0" w:color="auto"/>
              <w:tl2br w:val="nil"/>
              <w:tr2bl w:val="nil"/>
            </w:tcBorders>
            <w:shd w:val="clear" w:color="auto" w:fill="C0C0C0"/>
            <w:textDirection w:val="lrTb"/>
            <w:vAlign w:val="center"/>
          </w:tcPr>
          <w:p w:rsidR="00933E44" w:rsidRPr="00FC7E23" w:rsidP="00C362EA">
            <w:pPr>
              <w:spacing w:line="240" w:lineRule="auto"/>
              <w:rPr>
                <w:rFonts w:ascii="Arial Narrow" w:hAnsi="Arial Narrow" w:cs="Times New Roman"/>
                <w:b/>
              </w:rPr>
            </w:pPr>
            <w:r w:rsidRPr="00FC7E23">
              <w:rPr>
                <w:rFonts w:ascii="Arial Narrow" w:hAnsi="Arial Narrow" w:cs="Times New Roman"/>
                <w:b/>
              </w:rPr>
              <w:t>SPOLU</w:t>
            </w:r>
          </w:p>
        </w:tc>
        <w:tc>
          <w:tcPr>
            <w:tcW w:w="1620" w:type="dxa"/>
            <w:tcBorders>
              <w:top w:val="single" w:sz="4" w:space="0" w:color="auto"/>
              <w:left w:val="single" w:sz="4" w:space="0" w:color="auto"/>
              <w:bottom w:val="single" w:sz="4" w:space="0" w:color="auto"/>
              <w:right w:val="single" w:sz="4" w:space="0" w:color="auto"/>
              <w:tl2br w:val="nil"/>
              <w:tr2bl w:val="nil"/>
            </w:tcBorders>
            <w:shd w:val="clear" w:color="auto" w:fill="C0C0C0"/>
            <w:textDirection w:val="lrTb"/>
            <w:vAlign w:val="center"/>
          </w:tcPr>
          <w:p w:rsidR="00933E44" w:rsidRPr="00FC7E23" w:rsidP="0031346C">
            <w:pPr>
              <w:spacing w:line="240" w:lineRule="auto"/>
              <w:jc w:val="right"/>
              <w:rPr>
                <w:rFonts w:ascii="Arial Narrow" w:hAnsi="Arial Narrow" w:cs="Times New Roman"/>
                <w:b/>
              </w:rPr>
            </w:pPr>
            <w:r>
              <w:rPr>
                <w:rFonts w:ascii="Arial Narrow" w:hAnsi="Arial Narrow" w:cs="Times New Roman"/>
                <w:b/>
              </w:rPr>
              <w:t xml:space="preserve">50 086 000,00 </w:t>
            </w:r>
          </w:p>
        </w:tc>
        <w:tc>
          <w:tcPr>
            <w:tcW w:w="1610" w:type="dxa"/>
            <w:tcBorders>
              <w:top w:val="single" w:sz="4" w:space="0" w:color="auto"/>
              <w:left w:val="single" w:sz="4" w:space="0" w:color="auto"/>
              <w:bottom w:val="single" w:sz="4" w:space="0" w:color="auto"/>
              <w:right w:val="single" w:sz="4" w:space="0" w:color="auto"/>
              <w:tl2br w:val="nil"/>
              <w:tr2bl w:val="nil"/>
            </w:tcBorders>
            <w:shd w:val="clear" w:color="auto" w:fill="C0C0C0"/>
            <w:textDirection w:val="lrTb"/>
            <w:vAlign w:val="center"/>
          </w:tcPr>
          <w:p w:rsidR="00933E44" w:rsidRPr="00FC7E23" w:rsidP="0031346C">
            <w:pPr>
              <w:spacing w:line="240" w:lineRule="auto"/>
              <w:jc w:val="right"/>
              <w:rPr>
                <w:rFonts w:ascii="Arial Narrow" w:hAnsi="Arial Narrow" w:cs="Times New Roman"/>
                <w:b/>
              </w:rPr>
            </w:pPr>
            <w:r>
              <w:rPr>
                <w:rFonts w:ascii="Arial Narrow" w:hAnsi="Arial Narrow" w:cs="Times New Roman"/>
                <w:b/>
              </w:rPr>
              <w:t>39 239 466,00</w:t>
            </w:r>
          </w:p>
        </w:tc>
        <w:tc>
          <w:tcPr>
            <w:tcW w:w="1542" w:type="dxa"/>
            <w:tcBorders>
              <w:top w:val="single" w:sz="4" w:space="0" w:color="auto"/>
              <w:left w:val="single" w:sz="4" w:space="0" w:color="auto"/>
              <w:bottom w:val="single" w:sz="4" w:space="0" w:color="auto"/>
              <w:right w:val="single" w:sz="4" w:space="0" w:color="auto"/>
              <w:tl2br w:val="nil"/>
              <w:tr2bl w:val="nil"/>
            </w:tcBorders>
            <w:shd w:val="clear" w:color="auto" w:fill="C0C0C0"/>
            <w:textDirection w:val="lrTb"/>
            <w:vAlign w:val="center"/>
          </w:tcPr>
          <w:p w:rsidR="00933E44" w:rsidRPr="00FC7E23" w:rsidP="0031346C">
            <w:pPr>
              <w:spacing w:line="240" w:lineRule="auto"/>
              <w:jc w:val="right"/>
              <w:rPr>
                <w:rFonts w:ascii="Arial Narrow" w:hAnsi="Arial Narrow" w:cs="Times New Roman"/>
                <w:b/>
              </w:rPr>
            </w:pPr>
            <w:r>
              <w:rPr>
                <w:rFonts w:ascii="Arial Narrow" w:hAnsi="Arial Narrow" w:cs="Times New Roman"/>
                <w:b/>
              </w:rPr>
              <w:t>38 053 750,78</w:t>
            </w:r>
          </w:p>
        </w:tc>
        <w:tc>
          <w:tcPr>
            <w:tcW w:w="1473" w:type="dxa"/>
            <w:tcBorders>
              <w:top w:val="single" w:sz="4" w:space="0" w:color="auto"/>
              <w:left w:val="single" w:sz="4" w:space="0" w:color="auto"/>
              <w:bottom w:val="single" w:sz="4" w:space="0" w:color="auto"/>
              <w:right w:val="single" w:sz="4" w:space="0" w:color="auto"/>
              <w:tl2br w:val="nil"/>
              <w:tr2bl w:val="nil"/>
            </w:tcBorders>
            <w:shd w:val="clear" w:color="auto" w:fill="C0C0C0"/>
            <w:textDirection w:val="lrTb"/>
            <w:vAlign w:val="center"/>
          </w:tcPr>
          <w:p w:rsidR="00933E44" w:rsidP="0031346C">
            <w:pPr>
              <w:spacing w:line="240" w:lineRule="auto"/>
              <w:jc w:val="right"/>
              <w:rPr>
                <w:rFonts w:ascii="Arial Narrow" w:hAnsi="Arial Narrow" w:cs="Times New Roman"/>
                <w:b/>
              </w:rPr>
            </w:pPr>
            <w:r w:rsidR="00815A81">
              <w:rPr>
                <w:rFonts w:ascii="Arial Narrow" w:hAnsi="Arial Narrow" w:cs="Times New Roman"/>
                <w:b/>
              </w:rPr>
              <w:t>1 185 715,22</w:t>
            </w:r>
          </w:p>
        </w:tc>
      </w:tr>
    </w:tbl>
    <w:p w:rsidR="009A52FB" w:rsidP="00C362EA">
      <w:pPr>
        <w:spacing w:line="240" w:lineRule="auto"/>
        <w:rPr>
          <w:rFonts w:ascii="Times New Roman" w:hAnsi="Times New Roman" w:cs="Times New Roman"/>
          <w:sz w:val="24"/>
          <w:szCs w:val="24"/>
        </w:rPr>
      </w:pPr>
    </w:p>
    <w:p w:rsidR="00FC1671" w:rsidP="00FC1671">
      <w:pPr>
        <w:spacing w:line="240" w:lineRule="auto"/>
        <w:ind w:firstLine="709"/>
        <w:rPr>
          <w:rFonts w:ascii="Times New Roman" w:hAnsi="Times New Roman" w:cs="Times New Roman"/>
          <w:sz w:val="24"/>
          <w:szCs w:val="24"/>
        </w:rPr>
      </w:pPr>
      <w:r w:rsidRPr="00FC1671" w:rsidR="0091678E">
        <w:rPr>
          <w:rFonts w:ascii="Times New Roman" w:hAnsi="Times New Roman" w:cs="Times New Roman"/>
          <w:sz w:val="24"/>
          <w:szCs w:val="24"/>
        </w:rPr>
        <w:t>Ú</w:t>
      </w:r>
      <w:r w:rsidR="007F1BC7">
        <w:rPr>
          <w:rFonts w:ascii="Times New Roman" w:hAnsi="Times New Roman" w:cs="Times New Roman"/>
          <w:sz w:val="24"/>
          <w:szCs w:val="24"/>
        </w:rPr>
        <w:t xml:space="preserve">rad </w:t>
      </w:r>
      <w:r w:rsidRPr="00FC1671" w:rsidR="00917347">
        <w:rPr>
          <w:rFonts w:ascii="Times New Roman" w:hAnsi="Times New Roman" w:cs="Times New Roman"/>
          <w:sz w:val="24"/>
          <w:szCs w:val="24"/>
        </w:rPr>
        <w:t>z</w:t>
      </w:r>
      <w:r w:rsidR="004D1A5C">
        <w:rPr>
          <w:rFonts w:ascii="Times New Roman" w:hAnsi="Times New Roman" w:cs="Times New Roman"/>
          <w:sz w:val="24"/>
          <w:szCs w:val="24"/>
        </w:rPr>
        <w:t xml:space="preserve"> upraveného </w:t>
      </w:r>
      <w:r w:rsidRPr="00FC1671" w:rsidR="0091678E">
        <w:rPr>
          <w:rFonts w:ascii="Times New Roman" w:hAnsi="Times New Roman" w:cs="Times New Roman"/>
          <w:sz w:val="24"/>
          <w:szCs w:val="24"/>
        </w:rPr>
        <w:t>rozpo</w:t>
      </w:r>
      <w:r w:rsidRPr="00FC1671" w:rsidR="00815A81">
        <w:rPr>
          <w:rFonts w:ascii="Times New Roman" w:hAnsi="Times New Roman" w:cs="Times New Roman"/>
          <w:sz w:val="24"/>
          <w:szCs w:val="24"/>
        </w:rPr>
        <w:t xml:space="preserve">čtu </w:t>
      </w:r>
      <w:r w:rsidR="00B30468">
        <w:rPr>
          <w:rFonts w:ascii="Times New Roman" w:hAnsi="Times New Roman" w:cs="Times New Roman"/>
          <w:sz w:val="24"/>
          <w:szCs w:val="24"/>
        </w:rPr>
        <w:t xml:space="preserve">vo </w:t>
      </w:r>
      <w:r w:rsidR="00B30468">
        <w:rPr>
          <w:rFonts w:ascii="Times New Roman" w:hAnsi="Times New Roman" w:cs="Times New Roman"/>
          <w:sz w:val="24"/>
          <w:szCs w:val="24"/>
        </w:rPr>
        <w:t xml:space="preserve">výške 39 239 466,00 </w:t>
      </w:r>
      <w:r w:rsidRPr="00FC1671" w:rsidR="0091678E">
        <w:rPr>
          <w:rFonts w:ascii="Times New Roman" w:hAnsi="Times New Roman" w:cs="Times New Roman"/>
          <w:sz w:val="24"/>
          <w:szCs w:val="24"/>
        </w:rPr>
        <w:t xml:space="preserve">Sk, </w:t>
      </w:r>
      <w:r w:rsidRPr="00FC1671" w:rsidR="00382BD8">
        <w:rPr>
          <w:rFonts w:ascii="Times New Roman" w:hAnsi="Times New Roman" w:cs="Times New Roman"/>
          <w:sz w:val="24"/>
          <w:szCs w:val="24"/>
        </w:rPr>
        <w:t xml:space="preserve">nevyčerpal 1 185 715,22 </w:t>
      </w:r>
      <w:r w:rsidRPr="00FC1671" w:rsidR="0091678E">
        <w:rPr>
          <w:rFonts w:ascii="Times New Roman" w:hAnsi="Times New Roman" w:cs="Times New Roman"/>
          <w:sz w:val="24"/>
          <w:szCs w:val="24"/>
        </w:rPr>
        <w:t xml:space="preserve">Sk, a to hlavne v kategórii </w:t>
      </w:r>
      <w:r w:rsidRPr="00FC1671" w:rsidR="00917347">
        <w:rPr>
          <w:rFonts w:ascii="Times New Roman" w:hAnsi="Times New Roman" w:cs="Times New Roman"/>
          <w:sz w:val="24"/>
          <w:szCs w:val="24"/>
        </w:rPr>
        <w:t>630</w:t>
      </w:r>
      <w:r w:rsidRPr="00FC1671" w:rsidR="00382BD8">
        <w:rPr>
          <w:rFonts w:ascii="Times New Roman" w:hAnsi="Times New Roman" w:cs="Times New Roman"/>
          <w:sz w:val="24"/>
          <w:szCs w:val="24"/>
        </w:rPr>
        <w:t xml:space="preserve">–Tovary a služby (806 131,72 </w:t>
      </w:r>
      <w:r w:rsidRPr="00FC1671" w:rsidR="0091678E">
        <w:rPr>
          <w:rFonts w:ascii="Times New Roman" w:hAnsi="Times New Roman" w:cs="Times New Roman"/>
          <w:sz w:val="24"/>
          <w:szCs w:val="24"/>
        </w:rPr>
        <w:t xml:space="preserve">Sk).  </w:t>
      </w:r>
      <w:r w:rsidRPr="00FC1671" w:rsidR="002F761B">
        <w:rPr>
          <w:rFonts w:ascii="Times New Roman" w:hAnsi="Times New Roman" w:cs="Times New Roman"/>
          <w:sz w:val="24"/>
          <w:szCs w:val="24"/>
        </w:rPr>
        <w:t xml:space="preserve">  </w:t>
      </w:r>
    </w:p>
    <w:p w:rsidR="00FC1671" w:rsidRPr="00FC1671" w:rsidP="00FC1671">
      <w:pPr>
        <w:spacing w:line="240" w:lineRule="auto"/>
        <w:ind w:firstLine="709"/>
        <w:rPr>
          <w:rFonts w:ascii="Times New Roman" w:hAnsi="Times New Roman" w:cs="Times New Roman"/>
          <w:sz w:val="24"/>
          <w:szCs w:val="24"/>
        </w:rPr>
      </w:pPr>
    </w:p>
    <w:p w:rsidR="00FC1671" w:rsidRPr="00FC1671" w:rsidP="00FC1671">
      <w:pPr>
        <w:autoSpaceDE/>
        <w:autoSpaceDN/>
        <w:spacing w:line="240" w:lineRule="atLeast"/>
        <w:ind w:firstLine="709"/>
        <w:textAlignment w:val="auto"/>
        <w:rPr>
          <w:rFonts w:ascii="Times New Roman" w:hAnsi="Times New Roman" w:cs="Times New Roman"/>
          <w:color w:val="000000"/>
          <w:sz w:val="24"/>
          <w:szCs w:val="24"/>
          <w:lang w:eastAsia="sk-SK"/>
        </w:rPr>
      </w:pPr>
      <w:r w:rsidRPr="00FC1671">
        <w:rPr>
          <w:rFonts w:ascii="Times New Roman" w:hAnsi="Times New Roman" w:cs="Times New Roman"/>
          <w:color w:val="000000"/>
          <w:sz w:val="24"/>
          <w:szCs w:val="24"/>
          <w:lang w:eastAsia="sk-SK"/>
        </w:rPr>
        <w:t>Nedoče</w:t>
      </w:r>
      <w:r>
        <w:rPr>
          <w:rFonts w:ascii="Times New Roman" w:hAnsi="Times New Roman" w:cs="Times New Roman"/>
          <w:color w:val="000000"/>
          <w:sz w:val="24"/>
          <w:szCs w:val="24"/>
          <w:lang w:eastAsia="sk-SK"/>
        </w:rPr>
        <w:t xml:space="preserve">rpanie týchto prostriedkov nastalo </w:t>
      </w:r>
      <w:r w:rsidRPr="00FC1671">
        <w:rPr>
          <w:rFonts w:ascii="Times New Roman" w:hAnsi="Times New Roman" w:cs="Times New Roman"/>
          <w:color w:val="000000"/>
          <w:sz w:val="24"/>
          <w:szCs w:val="24"/>
          <w:lang w:eastAsia="sk-SK"/>
        </w:rPr>
        <w:t xml:space="preserve">hlavne z dôvodu neobsadenia niekoľkých štátnozamestnaneckých miest, kde bol predpoklad ich naplnenia. Z uvedeného dôvodu nebolo ani nutné obstarávať plánovanú výpočtovú techniku, kancelársky nábytok, materiál atď.. Nečerpanie zdrojov vzniklo aj z dôvodu menšieho zapojenia sa </w:t>
      </w:r>
      <w:r>
        <w:rPr>
          <w:rFonts w:ascii="Times New Roman" w:hAnsi="Times New Roman" w:cs="Times New Roman"/>
          <w:color w:val="000000"/>
          <w:sz w:val="24"/>
          <w:szCs w:val="24"/>
          <w:lang w:eastAsia="sk-SK"/>
        </w:rPr>
        <w:t xml:space="preserve">počtu zamestnancov </w:t>
      </w:r>
      <w:r w:rsidRPr="00FC1671">
        <w:rPr>
          <w:rFonts w:ascii="Times New Roman" w:hAnsi="Times New Roman" w:cs="Times New Roman"/>
          <w:color w:val="000000"/>
          <w:sz w:val="24"/>
          <w:szCs w:val="24"/>
          <w:lang w:eastAsia="sk-SK"/>
        </w:rPr>
        <w:t xml:space="preserve">do doplnkového dôchodkového sporenia ako bol predpoklad. </w:t>
      </w:r>
    </w:p>
    <w:p w:rsidR="00B700BF" w:rsidP="00C362EA">
      <w:pPr>
        <w:spacing w:line="240" w:lineRule="auto"/>
        <w:rPr>
          <w:rFonts w:ascii="Times New Roman" w:hAnsi="Times New Roman" w:cs="Times New Roman"/>
          <w:sz w:val="24"/>
          <w:szCs w:val="24"/>
        </w:rPr>
      </w:pPr>
    </w:p>
    <w:p w:rsidR="004B593A" w:rsidP="00C362EA">
      <w:pPr>
        <w:spacing w:line="240" w:lineRule="auto"/>
        <w:rPr>
          <w:rFonts w:ascii="Times New Roman" w:hAnsi="Times New Roman" w:cs="Times New Roman"/>
          <w:sz w:val="24"/>
          <w:szCs w:val="24"/>
        </w:rPr>
      </w:pPr>
      <w:r w:rsidR="00B700BF">
        <w:rPr>
          <w:rFonts w:ascii="Times New Roman" w:hAnsi="Times New Roman" w:cs="Times New Roman"/>
          <w:sz w:val="24"/>
          <w:szCs w:val="24"/>
        </w:rPr>
        <w:tab/>
      </w:r>
      <w:r w:rsidRPr="00F35553" w:rsidR="00B700BF">
        <w:rPr>
          <w:rFonts w:ascii="Times New Roman" w:hAnsi="Times New Roman" w:cs="Times New Roman"/>
          <w:sz w:val="24"/>
          <w:szCs w:val="24"/>
          <w:u w:val="single"/>
        </w:rPr>
        <w:t>Čerpanie výdavkov</w:t>
      </w:r>
      <w:r w:rsidR="00B700BF">
        <w:rPr>
          <w:rFonts w:ascii="Times New Roman" w:hAnsi="Times New Roman" w:cs="Times New Roman"/>
          <w:sz w:val="24"/>
          <w:szCs w:val="24"/>
        </w:rPr>
        <w:t xml:space="preserve">: </w:t>
      </w:r>
    </w:p>
    <w:p w:rsidR="00B700BF" w:rsidP="00C362EA">
      <w:pPr>
        <w:spacing w:line="240" w:lineRule="auto"/>
        <w:rPr>
          <w:rFonts w:ascii="Times New Roman" w:hAnsi="Times New Roman" w:cs="Times New Roman"/>
          <w:sz w:val="24"/>
          <w:szCs w:val="24"/>
        </w:rPr>
      </w:pPr>
    </w:p>
    <w:p w:rsidR="00F35553" w:rsidRPr="00B700BF" w:rsidP="00C362EA">
      <w:pPr>
        <w:spacing w:line="240" w:lineRule="auto"/>
        <w:rPr>
          <w:rFonts w:ascii="Times New Roman" w:hAnsi="Times New Roman" w:cs="Times New Roman"/>
          <w:sz w:val="24"/>
          <w:szCs w:val="24"/>
        </w:rPr>
      </w:pPr>
      <w:r w:rsidRPr="00B700BF" w:rsidR="00B700BF">
        <w:rPr>
          <w:rFonts w:ascii="Times New Roman" w:hAnsi="Times New Roman" w:cs="Times New Roman"/>
          <w:sz w:val="24"/>
          <w:szCs w:val="24"/>
        </w:rPr>
        <w:t>610 –</w:t>
      </w:r>
      <w:r>
        <w:rPr>
          <w:rFonts w:ascii="Times New Roman" w:hAnsi="Times New Roman" w:cs="Times New Roman"/>
          <w:sz w:val="24"/>
          <w:szCs w:val="24"/>
        </w:rPr>
        <w:t xml:space="preserve"> M</w:t>
      </w:r>
      <w:r w:rsidRPr="00B700BF" w:rsidR="00B700BF">
        <w:rPr>
          <w:rFonts w:ascii="Times New Roman" w:hAnsi="Times New Roman" w:cs="Times New Roman"/>
          <w:sz w:val="24"/>
          <w:szCs w:val="24"/>
        </w:rPr>
        <w:t>zdy, platy, sl. príjmy a OOV –</w:t>
      </w:r>
      <w:r w:rsidR="00B700BF">
        <w:rPr>
          <w:rFonts w:ascii="Times New Roman" w:hAnsi="Times New Roman" w:cs="Times New Roman"/>
          <w:sz w:val="24"/>
          <w:szCs w:val="24"/>
        </w:rPr>
        <w:t xml:space="preserve"> výdavky v tejto kategórii boli vyčerpané v plnej výške. </w:t>
      </w:r>
      <w:r w:rsidRPr="00B700BF" w:rsidR="00B700BF">
        <w:rPr>
          <w:rFonts w:ascii="Times New Roman" w:hAnsi="Times New Roman" w:cs="Times New Roman"/>
          <w:sz w:val="24"/>
          <w:szCs w:val="24"/>
        </w:rPr>
        <w:t>Prostriedky na mzdy za december boli odvedené na depozitný</w:t>
      </w:r>
      <w:r>
        <w:rPr>
          <w:rFonts w:ascii="Times New Roman" w:hAnsi="Times New Roman" w:cs="Times New Roman"/>
          <w:sz w:val="24"/>
          <w:szCs w:val="24"/>
        </w:rPr>
        <w:t xml:space="preserve"> účet. S</w:t>
      </w:r>
      <w:r w:rsidRPr="00B700BF" w:rsidR="00B700BF">
        <w:rPr>
          <w:rFonts w:ascii="Times New Roman" w:hAnsi="Times New Roman" w:cs="Times New Roman"/>
          <w:sz w:val="24"/>
          <w:szCs w:val="24"/>
        </w:rPr>
        <w:t>kutočne vyplatená čiast</w:t>
      </w:r>
      <w:r w:rsidR="00B700BF">
        <w:rPr>
          <w:rFonts w:ascii="Times New Roman" w:hAnsi="Times New Roman" w:cs="Times New Roman"/>
          <w:sz w:val="24"/>
          <w:szCs w:val="24"/>
        </w:rPr>
        <w:t>ka je</w:t>
      </w:r>
      <w:r>
        <w:rPr>
          <w:rFonts w:ascii="Times New Roman" w:hAnsi="Times New Roman" w:cs="Times New Roman"/>
          <w:sz w:val="24"/>
          <w:szCs w:val="24"/>
        </w:rPr>
        <w:t xml:space="preserve"> 22 261 066,- Sk. P</w:t>
      </w:r>
      <w:r w:rsidR="00B700BF">
        <w:rPr>
          <w:rFonts w:ascii="Times New Roman" w:hAnsi="Times New Roman" w:cs="Times New Roman"/>
          <w:sz w:val="24"/>
          <w:szCs w:val="24"/>
        </w:rPr>
        <w:t xml:space="preserve">rostriedky vo výške </w:t>
      </w:r>
      <w:r w:rsidRPr="00B700BF" w:rsidR="00B700BF">
        <w:rPr>
          <w:rFonts w:ascii="Times New Roman" w:hAnsi="Times New Roman" w:cs="Times New Roman"/>
          <w:sz w:val="24"/>
          <w:szCs w:val="24"/>
        </w:rPr>
        <w:t>38 934</w:t>
      </w:r>
      <w:r w:rsidRPr="00B700BF" w:rsidR="00B700BF">
        <w:rPr>
          <w:rFonts w:ascii="Times New Roman" w:hAnsi="Times New Roman" w:cs="Times New Roman"/>
          <w:sz w:val="24"/>
          <w:szCs w:val="24"/>
        </w:rPr>
        <w:t>,- Sk</w:t>
      </w:r>
      <w:r w:rsidR="00B700BF">
        <w:rPr>
          <w:rFonts w:ascii="Times New Roman" w:hAnsi="Times New Roman" w:cs="Times New Roman"/>
          <w:sz w:val="24"/>
          <w:szCs w:val="24"/>
        </w:rPr>
        <w:t xml:space="preserve"> boli odvedené</w:t>
      </w:r>
      <w:r w:rsidRPr="00B700BF" w:rsidR="00B700BF">
        <w:rPr>
          <w:rFonts w:ascii="Times New Roman" w:hAnsi="Times New Roman" w:cs="Times New Roman"/>
          <w:sz w:val="24"/>
          <w:szCs w:val="24"/>
        </w:rPr>
        <w:t xml:space="preserve"> na príjmov</w:t>
      </w:r>
      <w:r w:rsidR="00B700BF">
        <w:rPr>
          <w:rFonts w:ascii="Times New Roman" w:hAnsi="Times New Roman" w:cs="Times New Roman"/>
          <w:sz w:val="24"/>
          <w:szCs w:val="24"/>
        </w:rPr>
        <w:t xml:space="preserve">ý účet štátneho rozpočtu </w:t>
      </w:r>
      <w:r w:rsidRPr="00B700BF" w:rsidR="00B700BF">
        <w:rPr>
          <w:rFonts w:ascii="Times New Roman" w:hAnsi="Times New Roman" w:cs="Times New Roman"/>
          <w:sz w:val="24"/>
          <w:szCs w:val="24"/>
        </w:rPr>
        <w:t>v zmysle rozpočtových pravidiel</w:t>
      </w:r>
      <w:r w:rsidR="009B12F0">
        <w:rPr>
          <w:rFonts w:ascii="Times New Roman" w:hAnsi="Times New Roman" w:cs="Times New Roman"/>
          <w:sz w:val="24"/>
          <w:szCs w:val="24"/>
        </w:rPr>
        <w:t xml:space="preserve">, začiatkom roka 2008. </w:t>
      </w:r>
    </w:p>
    <w:p w:rsidR="00F35553" w:rsidP="00C362EA">
      <w:pPr>
        <w:spacing w:line="240" w:lineRule="auto"/>
        <w:rPr>
          <w:rFonts w:ascii="Times New Roman" w:hAnsi="Times New Roman" w:cs="Times New Roman"/>
          <w:sz w:val="24"/>
          <w:szCs w:val="24"/>
        </w:rPr>
      </w:pPr>
      <w:r w:rsidRPr="00F35553">
        <w:rPr>
          <w:rFonts w:ascii="Times New Roman" w:hAnsi="Times New Roman" w:cs="Times New Roman"/>
          <w:sz w:val="24"/>
          <w:szCs w:val="24"/>
        </w:rPr>
        <w:t xml:space="preserve">620 – Poistné a príspevok </w:t>
      </w:r>
      <w:r>
        <w:rPr>
          <w:rFonts w:ascii="Times New Roman" w:hAnsi="Times New Roman" w:cs="Times New Roman"/>
          <w:sz w:val="24"/>
          <w:szCs w:val="24"/>
        </w:rPr>
        <w:t>do poisťovní – č</w:t>
      </w:r>
      <w:r w:rsidRPr="00F35553">
        <w:rPr>
          <w:rFonts w:ascii="Times New Roman" w:hAnsi="Times New Roman" w:cs="Times New Roman"/>
          <w:sz w:val="24"/>
          <w:szCs w:val="24"/>
        </w:rPr>
        <w:t>erpanie  prostriedkov  sa odvíjalo  od  čerpania  v kategórií 610. Na depozitný účet  bolo odvedených 982 799,- Sk, čo je o 27 832,- Sk viacej ako bolo skutočne potrebné na odvody do  poisťovní. Čiastka 27 832,- Sk bola odvedená na príjmový účet.</w:t>
      </w:r>
      <w:r>
        <w:rPr>
          <w:rFonts w:ascii="Times New Roman" w:hAnsi="Times New Roman" w:cs="Times New Roman"/>
          <w:sz w:val="24"/>
          <w:szCs w:val="24"/>
        </w:rPr>
        <w:t xml:space="preserve"> </w:t>
      </w:r>
      <w:r w:rsidRPr="00F35553">
        <w:rPr>
          <w:rFonts w:ascii="Times New Roman" w:hAnsi="Times New Roman" w:cs="Times New Roman"/>
          <w:sz w:val="24"/>
          <w:szCs w:val="24"/>
        </w:rPr>
        <w:t xml:space="preserve">Nižšie čerpanie oproti rozpočtu bolo z dôvodu zapojenia sa </w:t>
      </w:r>
      <w:r>
        <w:rPr>
          <w:rFonts w:ascii="Times New Roman" w:hAnsi="Times New Roman" w:cs="Times New Roman"/>
          <w:sz w:val="24"/>
          <w:szCs w:val="24"/>
        </w:rPr>
        <w:t xml:space="preserve">do </w:t>
      </w:r>
      <w:r w:rsidRPr="00F35553">
        <w:rPr>
          <w:rFonts w:ascii="Times New Roman" w:hAnsi="Times New Roman" w:cs="Times New Roman"/>
          <w:sz w:val="24"/>
          <w:szCs w:val="24"/>
        </w:rPr>
        <w:t xml:space="preserve">doplnkového dôchodkového sporenia </w:t>
      </w:r>
      <w:r w:rsidR="009152A7">
        <w:rPr>
          <w:rFonts w:ascii="Times New Roman" w:hAnsi="Times New Roman" w:cs="Times New Roman"/>
          <w:sz w:val="24"/>
          <w:szCs w:val="24"/>
        </w:rPr>
        <w:t>až v druhej polov</w:t>
      </w:r>
      <w:r w:rsidR="009152A7">
        <w:rPr>
          <w:rFonts w:ascii="Times New Roman" w:hAnsi="Times New Roman" w:cs="Times New Roman"/>
          <w:sz w:val="24"/>
          <w:szCs w:val="24"/>
        </w:rPr>
        <w:t>ici roka 2007.</w:t>
      </w:r>
    </w:p>
    <w:p w:rsidR="00F35553" w:rsidP="00C362EA">
      <w:pPr>
        <w:spacing w:line="240" w:lineRule="auto"/>
        <w:rPr>
          <w:rFonts w:ascii="Times New Roman" w:hAnsi="Times New Roman" w:cs="Times New Roman"/>
          <w:sz w:val="24"/>
          <w:szCs w:val="24"/>
        </w:rPr>
      </w:pPr>
      <w:r>
        <w:rPr>
          <w:rFonts w:ascii="Times New Roman" w:hAnsi="Times New Roman" w:cs="Times New Roman"/>
          <w:sz w:val="24"/>
          <w:szCs w:val="24"/>
        </w:rPr>
        <w:t xml:space="preserve">630 – Tovary a ďalšie </w:t>
      </w:r>
      <w:r w:rsidR="00E96B76">
        <w:rPr>
          <w:rFonts w:ascii="Times New Roman" w:hAnsi="Times New Roman" w:cs="Times New Roman"/>
          <w:sz w:val="24"/>
          <w:szCs w:val="24"/>
        </w:rPr>
        <w:t xml:space="preserve">služby </w:t>
      </w:r>
    </w:p>
    <w:p w:rsidR="00F35553" w:rsidRPr="00F35553" w:rsidP="00C362EA">
      <w:pPr>
        <w:spacing w:line="240" w:lineRule="auto"/>
        <w:rPr>
          <w:rFonts w:ascii="Times New Roman" w:hAnsi="Times New Roman" w:cs="Times New Roman"/>
          <w:sz w:val="24"/>
          <w:szCs w:val="24"/>
        </w:rPr>
      </w:pPr>
      <w:r>
        <w:rPr>
          <w:rFonts w:ascii="Times New Roman" w:hAnsi="Times New Roman" w:cs="Times New Roman"/>
          <w:sz w:val="24"/>
          <w:szCs w:val="24"/>
        </w:rPr>
        <w:t>631 – C</w:t>
      </w:r>
      <w:r w:rsidRPr="00F35553">
        <w:rPr>
          <w:rFonts w:ascii="Times New Roman" w:hAnsi="Times New Roman" w:cs="Times New Roman"/>
          <w:sz w:val="24"/>
          <w:szCs w:val="24"/>
        </w:rPr>
        <w:t>estovné</w:t>
      </w:r>
      <w:r>
        <w:rPr>
          <w:rFonts w:ascii="Times New Roman" w:hAnsi="Times New Roman" w:cs="Times New Roman"/>
          <w:sz w:val="24"/>
          <w:szCs w:val="24"/>
        </w:rPr>
        <w:t xml:space="preserve"> – </w:t>
      </w:r>
      <w:r w:rsidRPr="00F35553">
        <w:rPr>
          <w:rFonts w:ascii="Times New Roman" w:hAnsi="Times New Roman" w:cs="Times New Roman"/>
          <w:sz w:val="24"/>
          <w:szCs w:val="24"/>
        </w:rPr>
        <w:t xml:space="preserve">bolo čerpané vo výške  940 947,41 Sk z toho tuzemské 418 095,50- Sk a zahraničné vo výške 522 851,91 Sk. </w:t>
      </w:r>
    </w:p>
    <w:p w:rsidR="00F35553" w:rsidRPr="00F35553" w:rsidP="00C362EA">
      <w:pPr>
        <w:spacing w:line="240" w:lineRule="auto"/>
        <w:rPr>
          <w:rFonts w:ascii="Times New Roman" w:hAnsi="Times New Roman" w:cs="Times New Roman"/>
          <w:sz w:val="24"/>
          <w:szCs w:val="24"/>
        </w:rPr>
      </w:pPr>
      <w:r>
        <w:rPr>
          <w:rFonts w:ascii="Times New Roman" w:hAnsi="Times New Roman" w:cs="Times New Roman"/>
          <w:sz w:val="24"/>
          <w:szCs w:val="24"/>
        </w:rPr>
        <w:t>632 – E</w:t>
      </w:r>
      <w:r w:rsidRPr="00F35553">
        <w:rPr>
          <w:rFonts w:ascii="Times New Roman" w:hAnsi="Times New Roman" w:cs="Times New Roman"/>
          <w:sz w:val="24"/>
          <w:szCs w:val="24"/>
        </w:rPr>
        <w:t xml:space="preserve">nergie, voda a komunikácie </w:t>
      </w:r>
      <w:r>
        <w:rPr>
          <w:rFonts w:ascii="Times New Roman" w:hAnsi="Times New Roman" w:cs="Times New Roman"/>
          <w:sz w:val="24"/>
          <w:szCs w:val="24"/>
        </w:rPr>
        <w:t xml:space="preserve">vo výške 1 652 869,60 Sk </w:t>
      </w:r>
      <w:r w:rsidRPr="00F35553">
        <w:rPr>
          <w:rFonts w:ascii="Times New Roman" w:hAnsi="Times New Roman" w:cs="Times New Roman"/>
          <w:sz w:val="24"/>
          <w:szCs w:val="24"/>
        </w:rPr>
        <w:t>podľa uzatvorených zmlúv</w:t>
      </w:r>
      <w:r>
        <w:rPr>
          <w:rFonts w:ascii="Times New Roman" w:hAnsi="Times New Roman" w:cs="Times New Roman"/>
          <w:sz w:val="24"/>
          <w:szCs w:val="24"/>
        </w:rPr>
        <w:t>.</w:t>
      </w:r>
    </w:p>
    <w:p w:rsidR="00F35553" w:rsidRPr="00F35553" w:rsidP="00C362EA">
      <w:pPr>
        <w:spacing w:line="240" w:lineRule="auto"/>
        <w:rPr>
          <w:rFonts w:ascii="Times New Roman" w:hAnsi="Times New Roman" w:cs="Times New Roman"/>
          <w:sz w:val="24"/>
          <w:szCs w:val="24"/>
        </w:rPr>
      </w:pPr>
      <w:r>
        <w:rPr>
          <w:rFonts w:ascii="Times New Roman" w:hAnsi="Times New Roman" w:cs="Times New Roman"/>
          <w:sz w:val="24"/>
          <w:szCs w:val="24"/>
        </w:rPr>
        <w:t>633</w:t>
      </w:r>
      <w:r>
        <w:rPr>
          <w:rFonts w:ascii="Times New Roman" w:hAnsi="Times New Roman" w:cs="Times New Roman"/>
          <w:sz w:val="24"/>
          <w:szCs w:val="24"/>
        </w:rPr>
        <w:t xml:space="preserve"> – M</w:t>
      </w:r>
      <w:r w:rsidRPr="00F35553">
        <w:rPr>
          <w:rFonts w:ascii="Times New Roman" w:hAnsi="Times New Roman" w:cs="Times New Roman"/>
          <w:sz w:val="24"/>
          <w:szCs w:val="24"/>
        </w:rPr>
        <w:t xml:space="preserve">ateriál  </w:t>
      </w:r>
      <w:r>
        <w:rPr>
          <w:rFonts w:ascii="Times New Roman" w:hAnsi="Times New Roman" w:cs="Times New Roman"/>
          <w:sz w:val="24"/>
          <w:szCs w:val="24"/>
        </w:rPr>
        <w:t xml:space="preserve">vo výške 1 231 779,66 Sk – </w:t>
      </w:r>
      <w:r w:rsidRPr="00F35553">
        <w:rPr>
          <w:rFonts w:ascii="Times New Roman" w:hAnsi="Times New Roman" w:cs="Times New Roman"/>
          <w:sz w:val="24"/>
          <w:szCs w:val="24"/>
        </w:rPr>
        <w:t>najviac prostriedkov bolo čerp</w:t>
      </w:r>
      <w:r>
        <w:rPr>
          <w:rFonts w:ascii="Times New Roman" w:hAnsi="Times New Roman" w:cs="Times New Roman"/>
          <w:sz w:val="24"/>
          <w:szCs w:val="24"/>
        </w:rPr>
        <w:t xml:space="preserve">aných na podpoložkách všeob. </w:t>
      </w:r>
      <w:r w:rsidRPr="00F35553">
        <w:rPr>
          <w:rFonts w:ascii="Times New Roman" w:hAnsi="Times New Roman" w:cs="Times New Roman"/>
          <w:sz w:val="24"/>
          <w:szCs w:val="24"/>
        </w:rPr>
        <w:t>materiál</w:t>
      </w:r>
      <w:r w:rsidR="007F1BC7">
        <w:rPr>
          <w:rFonts w:ascii="Times New Roman" w:hAnsi="Times New Roman" w:cs="Times New Roman"/>
          <w:sz w:val="24"/>
          <w:szCs w:val="24"/>
        </w:rPr>
        <w:t xml:space="preserve"> – </w:t>
      </w:r>
      <w:r w:rsidRPr="00F35553">
        <w:rPr>
          <w:rFonts w:ascii="Times New Roman" w:hAnsi="Times New Roman" w:cs="Times New Roman"/>
          <w:sz w:val="24"/>
          <w:szCs w:val="24"/>
        </w:rPr>
        <w:t>438 169,46 Sk</w:t>
      </w:r>
      <w:r w:rsidR="007F1BC7">
        <w:rPr>
          <w:rFonts w:ascii="Times New Roman" w:hAnsi="Times New Roman" w:cs="Times New Roman"/>
          <w:sz w:val="24"/>
          <w:szCs w:val="24"/>
        </w:rPr>
        <w:t xml:space="preserve"> a interiérové </w:t>
      </w:r>
      <w:r w:rsidRPr="00F35553">
        <w:rPr>
          <w:rFonts w:ascii="Times New Roman" w:hAnsi="Times New Roman" w:cs="Times New Roman"/>
          <w:sz w:val="24"/>
          <w:szCs w:val="24"/>
        </w:rPr>
        <w:t>vybaveni</w:t>
      </w:r>
      <w:r w:rsidR="007F1BC7">
        <w:rPr>
          <w:rFonts w:ascii="Times New Roman" w:hAnsi="Times New Roman" w:cs="Times New Roman"/>
          <w:sz w:val="24"/>
          <w:szCs w:val="24"/>
        </w:rPr>
        <w:t xml:space="preserve">e – </w:t>
      </w:r>
      <w:r w:rsidRPr="00F35553">
        <w:rPr>
          <w:rFonts w:ascii="Times New Roman" w:hAnsi="Times New Roman" w:cs="Times New Roman"/>
          <w:sz w:val="24"/>
          <w:szCs w:val="24"/>
        </w:rPr>
        <w:t>182 546,- Sk</w:t>
      </w:r>
      <w:r>
        <w:rPr>
          <w:rFonts w:ascii="Times New Roman" w:hAnsi="Times New Roman" w:cs="Times New Roman"/>
          <w:sz w:val="24"/>
          <w:szCs w:val="24"/>
        </w:rPr>
        <w:t xml:space="preserve">. </w:t>
      </w:r>
    </w:p>
    <w:p w:rsidR="00F35553" w:rsidRPr="00F35553" w:rsidP="00C362EA">
      <w:pPr>
        <w:spacing w:line="240" w:lineRule="auto"/>
        <w:rPr>
          <w:rFonts w:ascii="Times New Roman" w:hAnsi="Times New Roman" w:cs="Times New Roman"/>
          <w:sz w:val="24"/>
          <w:szCs w:val="24"/>
        </w:rPr>
      </w:pPr>
      <w:r w:rsidR="00E96B76">
        <w:rPr>
          <w:rFonts w:ascii="Times New Roman" w:hAnsi="Times New Roman" w:cs="Times New Roman"/>
          <w:sz w:val="24"/>
          <w:szCs w:val="24"/>
        </w:rPr>
        <w:t xml:space="preserve">634 – </w:t>
      </w:r>
      <w:r w:rsidRPr="00F35553">
        <w:rPr>
          <w:rFonts w:ascii="Times New Roman" w:hAnsi="Times New Roman" w:cs="Times New Roman"/>
          <w:sz w:val="24"/>
          <w:szCs w:val="24"/>
        </w:rPr>
        <w:t>Dopravné</w:t>
      </w:r>
      <w:r>
        <w:rPr>
          <w:rFonts w:ascii="Times New Roman" w:hAnsi="Times New Roman" w:cs="Times New Roman"/>
          <w:sz w:val="24"/>
          <w:szCs w:val="24"/>
        </w:rPr>
        <w:t xml:space="preserve"> v sume </w:t>
      </w:r>
      <w:r w:rsidR="00E96B76">
        <w:rPr>
          <w:rFonts w:ascii="Times New Roman" w:hAnsi="Times New Roman" w:cs="Times New Roman"/>
          <w:sz w:val="24"/>
          <w:szCs w:val="24"/>
        </w:rPr>
        <w:t xml:space="preserve">83 619,46 Sk bolo čerpané na nevyhnutné služobné jazdy </w:t>
      </w:r>
      <w:r w:rsidRPr="00F35553">
        <w:rPr>
          <w:rFonts w:ascii="Times New Roman" w:hAnsi="Times New Roman" w:cs="Times New Roman"/>
          <w:sz w:val="24"/>
          <w:szCs w:val="24"/>
        </w:rPr>
        <w:t>a zmluvné a ha</w:t>
      </w:r>
      <w:r w:rsidRPr="00F35553">
        <w:rPr>
          <w:rFonts w:ascii="Times New Roman" w:hAnsi="Times New Roman" w:cs="Times New Roman"/>
          <w:sz w:val="24"/>
          <w:szCs w:val="24"/>
        </w:rPr>
        <w:t>varijne poistenie  osobných automobilov.</w:t>
      </w:r>
    </w:p>
    <w:p w:rsidR="00F35553" w:rsidRPr="00F35553" w:rsidP="00C362EA">
      <w:pPr>
        <w:spacing w:line="240" w:lineRule="auto"/>
        <w:rPr>
          <w:rFonts w:ascii="Times New Roman" w:hAnsi="Times New Roman" w:cs="Times New Roman"/>
          <w:sz w:val="24"/>
          <w:szCs w:val="24"/>
        </w:rPr>
      </w:pPr>
      <w:r w:rsidR="00E96B76">
        <w:rPr>
          <w:rFonts w:ascii="Times New Roman" w:hAnsi="Times New Roman" w:cs="Times New Roman"/>
          <w:sz w:val="24"/>
          <w:szCs w:val="24"/>
        </w:rPr>
        <w:t xml:space="preserve">635 – </w:t>
      </w:r>
      <w:r w:rsidRPr="00F35553">
        <w:rPr>
          <w:rFonts w:ascii="Times New Roman" w:hAnsi="Times New Roman" w:cs="Times New Roman"/>
          <w:sz w:val="24"/>
          <w:szCs w:val="24"/>
        </w:rPr>
        <w:t xml:space="preserve">Rutinná a štandardná údržba </w:t>
      </w:r>
      <w:r w:rsidR="00E96B76">
        <w:rPr>
          <w:rFonts w:ascii="Times New Roman" w:hAnsi="Times New Roman" w:cs="Times New Roman"/>
          <w:sz w:val="24"/>
          <w:szCs w:val="24"/>
        </w:rPr>
        <w:t xml:space="preserve">vo výške 151 633,90 Sk </w:t>
      </w:r>
      <w:r w:rsidRPr="00F35553">
        <w:rPr>
          <w:rFonts w:ascii="Times New Roman" w:hAnsi="Times New Roman" w:cs="Times New Roman"/>
          <w:sz w:val="24"/>
          <w:szCs w:val="24"/>
        </w:rPr>
        <w:t>na  údržbu strojov, prístrojov a zariadení.</w:t>
      </w:r>
    </w:p>
    <w:p w:rsidR="00F35553" w:rsidRPr="00F35553" w:rsidP="00C362EA">
      <w:pPr>
        <w:spacing w:line="240" w:lineRule="auto"/>
        <w:rPr>
          <w:rFonts w:ascii="Times New Roman" w:hAnsi="Times New Roman" w:cs="Times New Roman"/>
          <w:sz w:val="24"/>
          <w:szCs w:val="24"/>
        </w:rPr>
      </w:pPr>
      <w:r w:rsidR="00E96B76">
        <w:rPr>
          <w:rFonts w:ascii="Times New Roman" w:hAnsi="Times New Roman" w:cs="Times New Roman"/>
          <w:sz w:val="24"/>
          <w:szCs w:val="24"/>
        </w:rPr>
        <w:t xml:space="preserve">636 – Nájomné za prenájom v sume 487 122,41 Sk </w:t>
      </w:r>
      <w:r w:rsidRPr="00F35553">
        <w:rPr>
          <w:rFonts w:ascii="Times New Roman" w:hAnsi="Times New Roman" w:cs="Times New Roman"/>
          <w:sz w:val="24"/>
          <w:szCs w:val="24"/>
        </w:rPr>
        <w:t>zodpovedá uzavretým zmluvám o prenájme nebytových prie</w:t>
      </w:r>
      <w:r w:rsidR="00E96B76">
        <w:rPr>
          <w:rFonts w:ascii="Times New Roman" w:hAnsi="Times New Roman" w:cs="Times New Roman"/>
          <w:sz w:val="24"/>
          <w:szCs w:val="24"/>
        </w:rPr>
        <w:t>storov na kan</w:t>
      </w:r>
      <w:r w:rsidR="00E96B76">
        <w:rPr>
          <w:rFonts w:ascii="Times New Roman" w:hAnsi="Times New Roman" w:cs="Times New Roman"/>
          <w:sz w:val="24"/>
          <w:szCs w:val="24"/>
        </w:rPr>
        <w:t xml:space="preserve">celárie pre </w:t>
      </w:r>
      <w:r w:rsidRPr="00F35553">
        <w:rPr>
          <w:rFonts w:ascii="Times New Roman" w:hAnsi="Times New Roman" w:cs="Times New Roman"/>
          <w:sz w:val="24"/>
          <w:szCs w:val="24"/>
        </w:rPr>
        <w:t>zamestnancov</w:t>
      </w:r>
      <w:r w:rsidR="00E96B76">
        <w:rPr>
          <w:rFonts w:ascii="Times New Roman" w:hAnsi="Times New Roman" w:cs="Times New Roman"/>
          <w:sz w:val="24"/>
          <w:szCs w:val="24"/>
        </w:rPr>
        <w:t xml:space="preserve"> úradu.</w:t>
      </w:r>
      <w:r w:rsidRPr="00F35553">
        <w:rPr>
          <w:rFonts w:ascii="Times New Roman" w:hAnsi="Times New Roman" w:cs="Times New Roman"/>
          <w:sz w:val="24"/>
          <w:szCs w:val="24"/>
        </w:rPr>
        <w:t xml:space="preserve"> </w:t>
      </w:r>
    </w:p>
    <w:p w:rsidR="00F35553" w:rsidP="00C362EA">
      <w:pPr>
        <w:spacing w:line="240" w:lineRule="auto"/>
        <w:rPr>
          <w:rFonts w:ascii="Times New Roman" w:hAnsi="Times New Roman" w:cs="Times New Roman"/>
          <w:sz w:val="24"/>
          <w:szCs w:val="24"/>
        </w:rPr>
      </w:pPr>
      <w:r w:rsidRPr="00F35553">
        <w:rPr>
          <w:rFonts w:ascii="Times New Roman" w:hAnsi="Times New Roman" w:cs="Times New Roman"/>
          <w:sz w:val="24"/>
          <w:szCs w:val="24"/>
        </w:rPr>
        <w:t>637</w:t>
      </w:r>
      <w:r w:rsidR="00E96B76">
        <w:rPr>
          <w:rFonts w:ascii="Times New Roman" w:hAnsi="Times New Roman" w:cs="Times New Roman"/>
          <w:sz w:val="24"/>
          <w:szCs w:val="24"/>
        </w:rPr>
        <w:t xml:space="preserve"> – </w:t>
      </w:r>
      <w:r w:rsidRPr="00F35553">
        <w:rPr>
          <w:rFonts w:ascii="Times New Roman" w:hAnsi="Times New Roman" w:cs="Times New Roman"/>
          <w:sz w:val="24"/>
          <w:szCs w:val="24"/>
        </w:rPr>
        <w:t>Služby</w:t>
      </w:r>
      <w:r w:rsidR="00E96B76">
        <w:rPr>
          <w:rFonts w:ascii="Times New Roman" w:hAnsi="Times New Roman" w:cs="Times New Roman"/>
          <w:sz w:val="24"/>
          <w:szCs w:val="24"/>
        </w:rPr>
        <w:t xml:space="preserve"> boli čerpané v sume 2 479 761,84 Sk. Najviac výdavkov bolo použitých na ochranu</w:t>
      </w:r>
      <w:r w:rsidRPr="00F35553">
        <w:rPr>
          <w:rFonts w:ascii="Times New Roman" w:hAnsi="Times New Roman" w:cs="Times New Roman"/>
          <w:sz w:val="24"/>
          <w:szCs w:val="24"/>
        </w:rPr>
        <w:t xml:space="preserve"> objektov</w:t>
      </w:r>
      <w:r w:rsidR="00E96B76">
        <w:rPr>
          <w:rFonts w:ascii="Times New Roman" w:hAnsi="Times New Roman" w:cs="Times New Roman"/>
          <w:sz w:val="24"/>
          <w:szCs w:val="24"/>
        </w:rPr>
        <w:t xml:space="preserve">, ktoré úradu </w:t>
      </w:r>
      <w:r w:rsidRPr="00F35553">
        <w:rPr>
          <w:rFonts w:ascii="Times New Roman" w:hAnsi="Times New Roman" w:cs="Times New Roman"/>
          <w:sz w:val="24"/>
          <w:szCs w:val="24"/>
        </w:rPr>
        <w:t>refakturujú prenajímatelia pr</w:t>
      </w:r>
      <w:r w:rsidR="00E96B76">
        <w:rPr>
          <w:rFonts w:ascii="Times New Roman" w:hAnsi="Times New Roman" w:cs="Times New Roman"/>
          <w:sz w:val="24"/>
          <w:szCs w:val="24"/>
        </w:rPr>
        <w:t>iestorov vo výške 530 665,70 Sk</w:t>
      </w:r>
      <w:r w:rsidRPr="00F35553">
        <w:rPr>
          <w:rFonts w:ascii="Times New Roman" w:hAnsi="Times New Roman" w:cs="Times New Roman"/>
          <w:sz w:val="24"/>
          <w:szCs w:val="24"/>
        </w:rPr>
        <w:t xml:space="preserve">, </w:t>
      </w:r>
      <w:r w:rsidR="00E96B76">
        <w:rPr>
          <w:rFonts w:ascii="Times New Roman" w:hAnsi="Times New Roman" w:cs="Times New Roman"/>
          <w:sz w:val="24"/>
          <w:szCs w:val="24"/>
        </w:rPr>
        <w:t xml:space="preserve">ďalej na </w:t>
      </w:r>
      <w:r w:rsidRPr="00F35553">
        <w:rPr>
          <w:rFonts w:ascii="Times New Roman" w:hAnsi="Times New Roman" w:cs="Times New Roman"/>
          <w:sz w:val="24"/>
          <w:szCs w:val="24"/>
        </w:rPr>
        <w:t>stravova</w:t>
      </w:r>
      <w:r w:rsidR="00E96B76">
        <w:rPr>
          <w:rFonts w:ascii="Times New Roman" w:hAnsi="Times New Roman" w:cs="Times New Roman"/>
          <w:sz w:val="24"/>
          <w:szCs w:val="24"/>
        </w:rPr>
        <w:t>nie zamestnancov vo výške 596</w:t>
      </w:r>
      <w:r w:rsidR="00E96B76">
        <w:rPr>
          <w:rFonts w:ascii="Times New Roman" w:hAnsi="Times New Roman" w:cs="Times New Roman"/>
          <w:sz w:val="24"/>
          <w:szCs w:val="24"/>
        </w:rPr>
        <w:t> 035,- Sk</w:t>
      </w:r>
      <w:r w:rsidRPr="00F35553">
        <w:rPr>
          <w:rFonts w:ascii="Times New Roman" w:hAnsi="Times New Roman" w:cs="Times New Roman"/>
          <w:sz w:val="24"/>
          <w:szCs w:val="24"/>
        </w:rPr>
        <w:t xml:space="preserve">, </w:t>
      </w:r>
      <w:r w:rsidR="00E96B76">
        <w:rPr>
          <w:rFonts w:ascii="Times New Roman" w:hAnsi="Times New Roman" w:cs="Times New Roman"/>
          <w:sz w:val="24"/>
          <w:szCs w:val="24"/>
        </w:rPr>
        <w:t xml:space="preserve">všeobecné služby </w:t>
      </w:r>
      <w:r w:rsidRPr="00F35553">
        <w:rPr>
          <w:rFonts w:ascii="Times New Roman" w:hAnsi="Times New Roman" w:cs="Times New Roman"/>
          <w:sz w:val="24"/>
          <w:szCs w:val="24"/>
        </w:rPr>
        <w:t>vo výške 405 734,05 Sk, odmeny za dohody o vedľ</w:t>
      </w:r>
      <w:r w:rsidR="00E96B76">
        <w:rPr>
          <w:rFonts w:ascii="Times New Roman" w:hAnsi="Times New Roman" w:cs="Times New Roman"/>
          <w:sz w:val="24"/>
          <w:szCs w:val="24"/>
        </w:rPr>
        <w:t xml:space="preserve">ajšej pracovnej činnosti </w:t>
      </w:r>
      <w:r w:rsidRPr="00F35553">
        <w:rPr>
          <w:rFonts w:ascii="Times New Roman" w:hAnsi="Times New Roman" w:cs="Times New Roman"/>
          <w:sz w:val="24"/>
          <w:szCs w:val="24"/>
        </w:rPr>
        <w:t>vo výške 306 120,- Sk a školenia</w:t>
      </w:r>
      <w:r w:rsidR="00E96B76">
        <w:rPr>
          <w:rFonts w:ascii="Times New Roman" w:hAnsi="Times New Roman" w:cs="Times New Roman"/>
          <w:sz w:val="24"/>
          <w:szCs w:val="24"/>
        </w:rPr>
        <w:t xml:space="preserve">, kurzy, semináre </w:t>
      </w:r>
      <w:r w:rsidRPr="00F35553">
        <w:rPr>
          <w:rFonts w:ascii="Times New Roman" w:hAnsi="Times New Roman" w:cs="Times New Roman"/>
          <w:sz w:val="24"/>
          <w:szCs w:val="24"/>
        </w:rPr>
        <w:t xml:space="preserve">zamestnancov  vo výške 115 537,- Sk. </w:t>
      </w:r>
    </w:p>
    <w:p w:rsidR="00A97B5F" w:rsidRPr="00F35553" w:rsidP="00C362EA">
      <w:pPr>
        <w:spacing w:line="240" w:lineRule="auto"/>
        <w:rPr>
          <w:rFonts w:ascii="Times New Roman" w:hAnsi="Times New Roman" w:cs="Times New Roman"/>
          <w:sz w:val="24"/>
          <w:szCs w:val="24"/>
        </w:rPr>
      </w:pPr>
      <w:r>
        <w:rPr>
          <w:rFonts w:ascii="Times New Roman" w:hAnsi="Times New Roman" w:cs="Times New Roman"/>
          <w:sz w:val="24"/>
          <w:szCs w:val="24"/>
        </w:rPr>
        <w:t>640 – Bežné transfery</w:t>
      </w:r>
    </w:p>
    <w:p w:rsidR="00F35553" w:rsidP="00C362EA">
      <w:pPr>
        <w:spacing w:line="240" w:lineRule="auto"/>
        <w:rPr>
          <w:rFonts w:ascii="Times New Roman" w:hAnsi="Times New Roman" w:cs="Times New Roman"/>
          <w:sz w:val="24"/>
          <w:szCs w:val="24"/>
        </w:rPr>
      </w:pPr>
      <w:r w:rsidR="00A97B5F">
        <w:rPr>
          <w:rFonts w:ascii="Times New Roman" w:hAnsi="Times New Roman" w:cs="Times New Roman"/>
          <w:sz w:val="24"/>
          <w:szCs w:val="24"/>
        </w:rPr>
        <w:t xml:space="preserve">Boli čerpané na odchodné, </w:t>
      </w:r>
      <w:r w:rsidRPr="00A97B5F" w:rsidR="00A97B5F">
        <w:rPr>
          <w:rFonts w:ascii="Times New Roman" w:hAnsi="Times New Roman" w:cs="Times New Roman"/>
          <w:sz w:val="24"/>
          <w:szCs w:val="24"/>
        </w:rPr>
        <w:t>odstu</w:t>
      </w:r>
      <w:r w:rsidR="00A97B5F">
        <w:rPr>
          <w:rFonts w:ascii="Times New Roman" w:hAnsi="Times New Roman" w:cs="Times New Roman"/>
          <w:sz w:val="24"/>
          <w:szCs w:val="24"/>
        </w:rPr>
        <w:t xml:space="preserve">pné a na </w:t>
      </w:r>
      <w:r w:rsidRPr="00A97B5F" w:rsidR="00A97B5F">
        <w:rPr>
          <w:rFonts w:ascii="Times New Roman" w:hAnsi="Times New Roman" w:cs="Times New Roman"/>
          <w:sz w:val="24"/>
          <w:szCs w:val="24"/>
        </w:rPr>
        <w:t>PN</w:t>
      </w:r>
      <w:r w:rsidR="00A97B5F">
        <w:rPr>
          <w:rFonts w:ascii="Times New Roman" w:hAnsi="Times New Roman" w:cs="Times New Roman"/>
          <w:sz w:val="24"/>
          <w:szCs w:val="24"/>
        </w:rPr>
        <w:t xml:space="preserve">. </w:t>
      </w:r>
    </w:p>
    <w:p w:rsidR="00A97B5F" w:rsidP="00C362EA">
      <w:pPr>
        <w:spacing w:line="240" w:lineRule="auto"/>
        <w:rPr>
          <w:rFonts w:ascii="Times New Roman" w:hAnsi="Times New Roman" w:cs="Times New Roman"/>
          <w:sz w:val="24"/>
          <w:szCs w:val="24"/>
        </w:rPr>
      </w:pPr>
    </w:p>
    <w:p w:rsidR="00A97B5F" w:rsidP="00C362EA">
      <w:pPr>
        <w:spacing w:line="240" w:lineRule="auto"/>
        <w:rPr>
          <w:rFonts w:ascii="Times New Roman" w:hAnsi="Times New Roman" w:cs="Times New Roman"/>
          <w:sz w:val="24"/>
          <w:szCs w:val="24"/>
        </w:rPr>
      </w:pPr>
      <w:r>
        <w:rPr>
          <w:rFonts w:ascii="Times New Roman" w:hAnsi="Times New Roman" w:cs="Times New Roman"/>
          <w:sz w:val="24"/>
          <w:szCs w:val="24"/>
        </w:rPr>
        <w:t xml:space="preserve">710 – </w:t>
      </w:r>
      <w:r w:rsidR="007F1BC7">
        <w:rPr>
          <w:rFonts w:ascii="Times New Roman" w:hAnsi="Times New Roman" w:cs="Times New Roman"/>
          <w:sz w:val="24"/>
          <w:szCs w:val="24"/>
        </w:rPr>
        <w:t>Obstarávanie kapitálových aktív</w:t>
      </w:r>
      <w:r>
        <w:rPr>
          <w:rFonts w:ascii="Times New Roman" w:hAnsi="Times New Roman" w:cs="Times New Roman"/>
          <w:sz w:val="24"/>
          <w:szCs w:val="24"/>
        </w:rPr>
        <w:t xml:space="preserve"> </w:t>
      </w:r>
    </w:p>
    <w:p w:rsidR="00A97B5F" w:rsidRPr="00A97B5F" w:rsidP="00C362EA">
      <w:pPr>
        <w:spacing w:line="240" w:lineRule="auto"/>
        <w:rPr>
          <w:rFonts w:ascii="Times New Roman" w:hAnsi="Times New Roman" w:cs="Times New Roman"/>
          <w:sz w:val="24"/>
          <w:szCs w:val="24"/>
        </w:rPr>
      </w:pPr>
      <w:r>
        <w:rPr>
          <w:rFonts w:ascii="Times New Roman" w:hAnsi="Times New Roman" w:cs="Times New Roman"/>
          <w:sz w:val="24"/>
          <w:szCs w:val="24"/>
        </w:rPr>
        <w:t xml:space="preserve">Nákup </w:t>
      </w:r>
      <w:r w:rsidRPr="00A97B5F">
        <w:rPr>
          <w:rFonts w:ascii="Times New Roman" w:hAnsi="Times New Roman" w:cs="Times New Roman"/>
          <w:sz w:val="24"/>
          <w:szCs w:val="24"/>
        </w:rPr>
        <w:t xml:space="preserve">súborov výpočtovej techniky </w:t>
      </w:r>
      <w:r>
        <w:rPr>
          <w:rFonts w:ascii="Times New Roman" w:hAnsi="Times New Roman" w:cs="Times New Roman"/>
          <w:sz w:val="24"/>
          <w:szCs w:val="24"/>
        </w:rPr>
        <w:t xml:space="preserve">pre nových zamestnancov a obnova starej výpočtovej techniky </w:t>
      </w:r>
      <w:r w:rsidRPr="00A97B5F">
        <w:rPr>
          <w:rFonts w:ascii="Times New Roman" w:hAnsi="Times New Roman" w:cs="Times New Roman"/>
          <w:sz w:val="24"/>
          <w:szCs w:val="24"/>
        </w:rPr>
        <w:t xml:space="preserve">vo výške 985 598,50 Sk. </w:t>
      </w:r>
    </w:p>
    <w:p w:rsidR="00382BD8" w:rsidP="00C362EA">
      <w:pPr>
        <w:spacing w:line="240" w:lineRule="auto"/>
        <w:rPr>
          <w:rFonts w:ascii="Times New Roman" w:hAnsi="Times New Roman" w:cs="Times New Roman"/>
          <w:sz w:val="24"/>
          <w:szCs w:val="24"/>
        </w:rPr>
      </w:pPr>
    </w:p>
    <w:p w:rsidR="00D27E26" w:rsidP="00C362EA">
      <w:pPr>
        <w:spacing w:line="240" w:lineRule="auto"/>
        <w:rPr>
          <w:rFonts w:ascii="Times New Roman" w:hAnsi="Times New Roman" w:cs="Times New Roman"/>
          <w:b/>
          <w:sz w:val="24"/>
          <w:u w:val="single"/>
        </w:rPr>
      </w:pPr>
      <w:r w:rsidRPr="00D23807">
        <w:rPr>
          <w:rFonts w:ascii="Times New Roman" w:hAnsi="Times New Roman" w:cs="Times New Roman"/>
          <w:b/>
          <w:sz w:val="24"/>
          <w:u w:val="single"/>
        </w:rPr>
        <w:t>6. TELEKOMUNIKAČNÝ ÚRAD SR</w:t>
      </w:r>
      <w:r w:rsidR="00F13901">
        <w:rPr>
          <w:rFonts w:ascii="Times New Roman" w:hAnsi="Times New Roman" w:cs="Times New Roman"/>
          <w:b/>
          <w:sz w:val="24"/>
          <w:u w:val="single"/>
        </w:rPr>
        <w:t xml:space="preserve"> – prvok 07T0302 – </w:t>
      </w:r>
      <w:r w:rsidR="008F304A">
        <w:rPr>
          <w:rFonts w:ascii="Times New Roman" w:hAnsi="Times New Roman" w:cs="Times New Roman"/>
          <w:b/>
          <w:sz w:val="24"/>
          <w:u w:val="single"/>
        </w:rPr>
        <w:t xml:space="preserve">Reg. </w:t>
      </w:r>
      <w:r w:rsidRPr="00D23807">
        <w:rPr>
          <w:rFonts w:ascii="Times New Roman" w:hAnsi="Times New Roman" w:cs="Times New Roman"/>
          <w:b/>
          <w:sz w:val="24"/>
          <w:u w:val="single"/>
        </w:rPr>
        <w:t>telekomunikačného  trhu</w:t>
      </w:r>
    </w:p>
    <w:p w:rsidR="00497572" w:rsidRPr="00D23807" w:rsidP="00C362EA">
      <w:pPr>
        <w:spacing w:line="240" w:lineRule="auto"/>
        <w:rPr>
          <w:rFonts w:ascii="Times New Roman" w:hAnsi="Times New Roman" w:cs="Times New Roman"/>
          <w:b/>
          <w:sz w:val="24"/>
          <w:u w:val="single"/>
        </w:rPr>
      </w:pPr>
    </w:p>
    <w:p w:rsidR="00F13901" w:rsidRPr="00F43690" w:rsidP="00C362EA">
      <w:pPr>
        <w:spacing w:line="240" w:lineRule="auto"/>
        <w:jc w:val="center"/>
        <w:rPr>
          <w:rFonts w:ascii="Arial Narrow" w:hAnsi="Arial Narrow" w:cs="Times New Roman"/>
          <w:b/>
          <w:sz w:val="24"/>
          <w:szCs w:val="24"/>
        </w:rPr>
      </w:pPr>
      <w:r w:rsidRPr="00F43690">
        <w:rPr>
          <w:rFonts w:ascii="Arial Narrow" w:hAnsi="Arial Narrow" w:cs="Times New Roman"/>
          <w:b/>
          <w:sz w:val="24"/>
          <w:szCs w:val="24"/>
        </w:rPr>
        <w:t>Prehľad rozpočtov</w:t>
      </w:r>
      <w:r>
        <w:rPr>
          <w:rFonts w:ascii="Arial Narrow" w:hAnsi="Arial Narrow" w:cs="Times New Roman"/>
          <w:b/>
          <w:sz w:val="24"/>
          <w:szCs w:val="24"/>
        </w:rPr>
        <w:t xml:space="preserve">ých výdavkov Telekomunikačného úradu SR </w:t>
      </w:r>
      <w:r w:rsidR="006F2920">
        <w:rPr>
          <w:rFonts w:ascii="Arial Narrow" w:hAnsi="Arial Narrow" w:cs="Times New Roman"/>
          <w:b/>
          <w:sz w:val="24"/>
          <w:szCs w:val="24"/>
        </w:rPr>
        <w:t>za rok 2007</w:t>
      </w:r>
    </w:p>
    <w:p w:rsidR="00F13901" w:rsidRPr="00D04D46" w:rsidP="00C362EA">
      <w:pPr>
        <w:spacing w:line="240" w:lineRule="auto"/>
        <w:rPr>
          <w:rFonts w:ascii="Arial Narrow" w:hAnsi="Arial Narrow" w:cs="Times New Roman"/>
        </w:rPr>
      </w:pPr>
      <w:r w:rsidRPr="00D04D46">
        <w:rPr>
          <w:rFonts w:ascii="Arial Narrow" w:hAnsi="Arial Narrow" w:cs="Times New Roman"/>
        </w:rPr>
        <w:t xml:space="preserve">                     </w:t>
      </w:r>
      <w:r>
        <w:rPr>
          <w:rFonts w:ascii="Arial Narrow" w:hAnsi="Arial Narrow" w:cs="Times New Roman"/>
        </w:rPr>
        <w:t xml:space="preserve">          </w:t>
      </w:r>
      <w:r w:rsidRPr="00D04D46">
        <w:rPr>
          <w:rFonts w:ascii="Arial Narrow" w:hAnsi="Arial Narrow" w:cs="Times New Roman"/>
        </w:rPr>
        <w:t xml:space="preserve">                                                                              </w:t>
      </w:r>
      <w:r>
        <w:rPr>
          <w:rFonts w:ascii="Arial Narrow" w:hAnsi="Arial Narrow" w:cs="Times New Roman"/>
        </w:rPr>
        <w:t xml:space="preserve">                                                                          </w:t>
      </w:r>
      <w:r w:rsidRPr="00D04D46">
        <w:rPr>
          <w:rFonts w:ascii="Arial Narrow" w:hAnsi="Arial Narrow" w:cs="Times New Roman"/>
        </w:rPr>
        <w:t xml:space="preserve">    (v Sk)</w:t>
      </w:r>
    </w:p>
    <w:tbl>
      <w:tblPr>
        <w:tblW w:w="93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Grid>
        <w:gridCol w:w="3060"/>
        <w:gridCol w:w="1622"/>
        <w:gridCol w:w="1653"/>
        <w:gridCol w:w="1591"/>
        <w:gridCol w:w="1440"/>
      </w:tblGrid>
      <w:tr>
        <w:tblPrEx>
          <w:tblW w:w="93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auto" w:val="0"/>
        </w:trPr>
        <w:tc>
          <w:tcPr>
            <w:tcW w:w="3060" w:type="dxa"/>
            <w:tcBorders>
              <w:top w:val="single" w:sz="4" w:space="0" w:color="auto"/>
              <w:left w:val="single" w:sz="4" w:space="0" w:color="auto"/>
              <w:bottom w:val="single" w:sz="4" w:space="0" w:color="auto"/>
              <w:right w:val="single" w:sz="4" w:space="0" w:color="auto"/>
              <w:tl2br w:val="nil"/>
              <w:tr2bl w:val="nil"/>
            </w:tcBorders>
            <w:shd w:val="clear" w:color="auto" w:fill="CCCCCC"/>
            <w:textDirection w:val="lrTb"/>
            <w:vAlign w:val="top"/>
          </w:tcPr>
          <w:p w:rsidR="009152A7" w:rsidRPr="00D04D46" w:rsidP="00C362EA">
            <w:pPr>
              <w:spacing w:line="240" w:lineRule="auto"/>
              <w:rPr>
                <w:rFonts w:ascii="Times New Roman" w:hAnsi="Times New Roman" w:cs="Times New Roman"/>
                <w:u w:val="single"/>
              </w:rPr>
            </w:pPr>
          </w:p>
        </w:tc>
        <w:tc>
          <w:tcPr>
            <w:tcW w:w="1622" w:type="dxa"/>
            <w:tcBorders>
              <w:top w:val="single" w:sz="4" w:space="0" w:color="auto"/>
              <w:left w:val="single" w:sz="4" w:space="0" w:color="auto"/>
              <w:bottom w:val="single" w:sz="4" w:space="0" w:color="auto"/>
              <w:right w:val="single" w:sz="4" w:space="0" w:color="auto"/>
              <w:tl2br w:val="nil"/>
              <w:tr2bl w:val="nil"/>
            </w:tcBorders>
            <w:shd w:val="clear" w:color="auto" w:fill="CCCCCC"/>
            <w:textDirection w:val="lrTb"/>
            <w:vAlign w:val="center"/>
          </w:tcPr>
          <w:p w:rsidR="009152A7" w:rsidRPr="00FC7E23" w:rsidP="00C362EA">
            <w:pPr>
              <w:spacing w:line="240" w:lineRule="auto"/>
              <w:jc w:val="center"/>
              <w:rPr>
                <w:rFonts w:ascii="Arial Narrow" w:hAnsi="Arial Narrow" w:cs="Times New Roman"/>
                <w:b/>
              </w:rPr>
            </w:pPr>
            <w:r w:rsidRPr="00FC7E23">
              <w:rPr>
                <w:rFonts w:ascii="Arial Narrow" w:hAnsi="Arial Narrow" w:cs="Times New Roman"/>
                <w:b/>
              </w:rPr>
              <w:t xml:space="preserve">Schválený rozpočet </w:t>
            </w:r>
            <w:r>
              <w:rPr>
                <w:rFonts w:ascii="Arial Narrow" w:hAnsi="Arial Narrow" w:cs="Times New Roman"/>
                <w:b/>
              </w:rPr>
              <w:t>k 1.1.2007</w:t>
            </w:r>
          </w:p>
        </w:tc>
        <w:tc>
          <w:tcPr>
            <w:tcW w:w="1653" w:type="dxa"/>
            <w:tcBorders>
              <w:top w:val="single" w:sz="4" w:space="0" w:color="auto"/>
              <w:left w:val="single" w:sz="4" w:space="0" w:color="auto"/>
              <w:bottom w:val="single" w:sz="4" w:space="0" w:color="auto"/>
              <w:right w:val="single" w:sz="4" w:space="0" w:color="auto"/>
              <w:tl2br w:val="nil"/>
              <w:tr2bl w:val="nil"/>
            </w:tcBorders>
            <w:shd w:val="clear" w:color="auto" w:fill="CCCCCC"/>
            <w:textDirection w:val="lrTb"/>
            <w:vAlign w:val="center"/>
          </w:tcPr>
          <w:p w:rsidR="009152A7" w:rsidRPr="00FC7E23" w:rsidP="00C362EA">
            <w:pPr>
              <w:spacing w:line="240" w:lineRule="auto"/>
              <w:jc w:val="center"/>
              <w:rPr>
                <w:rFonts w:ascii="Arial Narrow" w:hAnsi="Arial Narrow" w:cs="Times New Roman"/>
                <w:b/>
              </w:rPr>
            </w:pPr>
            <w:r>
              <w:rPr>
                <w:rFonts w:ascii="Arial Narrow" w:hAnsi="Arial Narrow" w:cs="Times New Roman"/>
                <w:b/>
              </w:rPr>
              <w:t>Upravený rozpočet k 31.12.2007</w:t>
            </w:r>
          </w:p>
        </w:tc>
        <w:tc>
          <w:tcPr>
            <w:tcW w:w="1591" w:type="dxa"/>
            <w:tcBorders>
              <w:top w:val="single" w:sz="4" w:space="0" w:color="auto"/>
              <w:left w:val="single" w:sz="4" w:space="0" w:color="auto"/>
              <w:bottom w:val="single" w:sz="4" w:space="0" w:color="auto"/>
              <w:right w:val="single" w:sz="4" w:space="0" w:color="auto"/>
              <w:tl2br w:val="nil"/>
              <w:tr2bl w:val="nil"/>
            </w:tcBorders>
            <w:shd w:val="clear" w:color="auto" w:fill="CCCCCC"/>
            <w:textDirection w:val="lrTb"/>
            <w:vAlign w:val="center"/>
          </w:tcPr>
          <w:p w:rsidR="009152A7" w:rsidRPr="00FC7E23" w:rsidP="00C362EA">
            <w:pPr>
              <w:spacing w:line="240" w:lineRule="auto"/>
              <w:jc w:val="center"/>
              <w:rPr>
                <w:rFonts w:ascii="Arial Narrow" w:hAnsi="Arial Narrow" w:cs="Times New Roman"/>
                <w:b/>
              </w:rPr>
            </w:pPr>
            <w:r>
              <w:rPr>
                <w:rFonts w:ascii="Arial Narrow" w:hAnsi="Arial Narrow" w:cs="Times New Roman"/>
                <w:b/>
              </w:rPr>
              <w:t>Skutočné čerpanie k 31.12.2007</w:t>
            </w:r>
          </w:p>
        </w:tc>
        <w:tc>
          <w:tcPr>
            <w:tcW w:w="1440" w:type="dxa"/>
            <w:tcBorders>
              <w:top w:val="single" w:sz="4" w:space="0" w:color="auto"/>
              <w:left w:val="single" w:sz="4" w:space="0" w:color="auto"/>
              <w:bottom w:val="single" w:sz="4" w:space="0" w:color="auto"/>
              <w:right w:val="single" w:sz="4" w:space="0" w:color="auto"/>
              <w:tl2br w:val="nil"/>
              <w:tr2bl w:val="nil"/>
            </w:tcBorders>
            <w:shd w:val="clear" w:color="auto" w:fill="CCCCCC"/>
            <w:textDirection w:val="lrTb"/>
            <w:vAlign w:val="center"/>
          </w:tcPr>
          <w:p w:rsidR="009152A7" w:rsidP="00C362EA">
            <w:pPr>
              <w:spacing w:line="240" w:lineRule="auto"/>
              <w:jc w:val="center"/>
              <w:rPr>
                <w:rFonts w:ascii="Arial Narrow" w:hAnsi="Arial Narrow" w:cs="Times New Roman"/>
                <w:b/>
              </w:rPr>
            </w:pPr>
            <w:r w:rsidR="00F70098">
              <w:rPr>
                <w:rFonts w:ascii="Arial Narrow" w:hAnsi="Arial Narrow" w:cs="Times New Roman"/>
                <w:b/>
              </w:rPr>
              <w:t>Rozdiel</w:t>
            </w:r>
          </w:p>
        </w:tc>
      </w:tr>
      <w:tr>
        <w:tblPrEx>
          <w:tblW w:w="9366" w:type="dxa"/>
          <w:tblInd w:w="108" w:type="dxa"/>
        </w:tblPrEx>
        <w:trPr>
          <w:trHeight w:hRule="auto" w:val="0"/>
        </w:trPr>
        <w:tc>
          <w:tcPr>
            <w:tcW w:w="306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9152A7" w:rsidRPr="00DC7250" w:rsidP="00C362EA">
            <w:pPr>
              <w:spacing w:line="240" w:lineRule="auto"/>
              <w:rPr>
                <w:rFonts w:ascii="Arial Narrow" w:hAnsi="Arial Narrow" w:cs="Times New Roman"/>
              </w:rPr>
            </w:pPr>
            <w:r w:rsidRPr="00DC7250">
              <w:rPr>
                <w:rFonts w:ascii="Arial Narrow" w:hAnsi="Arial Narrow" w:cs="Times New Roman"/>
              </w:rPr>
              <w:t>Bežné výdavky (600), z toho:</w:t>
            </w:r>
          </w:p>
        </w:tc>
        <w:tc>
          <w:tcPr>
            <w:tcW w:w="1622"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9152A7" w:rsidRPr="00DC7250" w:rsidP="0031346C">
            <w:pPr>
              <w:spacing w:line="240" w:lineRule="auto"/>
              <w:jc w:val="right"/>
              <w:rPr>
                <w:rFonts w:ascii="Arial Narrow" w:hAnsi="Arial Narrow" w:cs="Times New Roman"/>
              </w:rPr>
            </w:pPr>
            <w:r>
              <w:rPr>
                <w:rFonts w:ascii="Arial Narrow" w:hAnsi="Arial Narrow" w:cs="Times New Roman"/>
              </w:rPr>
              <w:t>106 358 000,00</w:t>
            </w:r>
          </w:p>
        </w:tc>
        <w:tc>
          <w:tcPr>
            <w:tcW w:w="1653"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9152A7" w:rsidRPr="00DC7250" w:rsidP="0031346C">
            <w:pPr>
              <w:spacing w:line="240" w:lineRule="auto"/>
              <w:jc w:val="right"/>
              <w:rPr>
                <w:rFonts w:ascii="Arial Narrow" w:hAnsi="Arial Narrow" w:cs="Times New Roman"/>
              </w:rPr>
            </w:pPr>
            <w:r>
              <w:rPr>
                <w:rFonts w:ascii="Arial Narrow" w:hAnsi="Arial Narrow" w:cs="Times New Roman"/>
              </w:rPr>
              <w:t>102 807 022,84</w:t>
            </w:r>
          </w:p>
        </w:tc>
        <w:tc>
          <w:tcPr>
            <w:tcW w:w="1591"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9152A7" w:rsidRPr="00B23854" w:rsidP="0031346C">
            <w:pPr>
              <w:spacing w:line="240" w:lineRule="auto"/>
              <w:jc w:val="right"/>
              <w:rPr>
                <w:rFonts w:ascii="Arial Narrow" w:hAnsi="Arial Narrow" w:cs="Times New Roman"/>
              </w:rPr>
            </w:pPr>
            <w:r>
              <w:rPr>
                <w:rFonts w:ascii="Arial Narrow" w:hAnsi="Arial Narrow" w:cs="Times New Roman"/>
              </w:rPr>
              <w:t>102 764 874,73</w:t>
            </w:r>
          </w:p>
        </w:tc>
        <w:tc>
          <w:tcPr>
            <w:tcW w:w="144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9152A7" w:rsidP="0031346C">
            <w:pPr>
              <w:spacing w:line="240" w:lineRule="auto"/>
              <w:jc w:val="right"/>
              <w:rPr>
                <w:rFonts w:ascii="Arial Narrow" w:hAnsi="Arial Narrow" w:cs="Times New Roman"/>
              </w:rPr>
            </w:pPr>
            <w:r>
              <w:rPr>
                <w:rFonts w:ascii="Arial Narrow" w:hAnsi="Arial Narrow" w:cs="Times New Roman"/>
              </w:rPr>
              <w:t>42 148,11</w:t>
            </w:r>
          </w:p>
        </w:tc>
      </w:tr>
      <w:tr>
        <w:tblPrEx>
          <w:tblW w:w="9366" w:type="dxa"/>
          <w:tblInd w:w="108" w:type="dxa"/>
        </w:tblPrEx>
        <w:trPr>
          <w:trHeight w:hRule="auto" w:val="0"/>
        </w:trPr>
        <w:tc>
          <w:tcPr>
            <w:tcW w:w="306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9152A7" w:rsidRPr="00D04D46" w:rsidP="00C362EA">
            <w:pPr>
              <w:spacing w:line="240" w:lineRule="auto"/>
              <w:rPr>
                <w:rFonts w:ascii="Arial Narrow" w:hAnsi="Arial Narrow" w:cs="Times New Roman"/>
              </w:rPr>
            </w:pPr>
            <w:r>
              <w:rPr>
                <w:rFonts w:ascii="Arial Narrow" w:hAnsi="Arial Narrow" w:cs="Times New Roman"/>
              </w:rPr>
              <w:t>Mzdy, platy, sl. príjmy a OOV (610)</w:t>
            </w:r>
          </w:p>
        </w:tc>
        <w:tc>
          <w:tcPr>
            <w:tcW w:w="1622"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9152A7" w:rsidRPr="00D04D46" w:rsidP="0031346C">
            <w:pPr>
              <w:spacing w:line="240" w:lineRule="auto"/>
              <w:jc w:val="right"/>
              <w:rPr>
                <w:rFonts w:ascii="Arial Narrow" w:hAnsi="Arial Narrow" w:cs="Times New Roman"/>
              </w:rPr>
            </w:pPr>
            <w:r>
              <w:rPr>
                <w:rFonts w:ascii="Arial Narrow" w:hAnsi="Arial Narrow" w:cs="Times New Roman"/>
              </w:rPr>
              <w:t>54 018 000,00</w:t>
            </w:r>
          </w:p>
        </w:tc>
        <w:tc>
          <w:tcPr>
            <w:tcW w:w="1653"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9152A7" w:rsidRPr="00D04D46" w:rsidP="0031346C">
            <w:pPr>
              <w:spacing w:line="240" w:lineRule="auto"/>
              <w:jc w:val="right"/>
              <w:rPr>
                <w:rFonts w:ascii="Arial Narrow" w:hAnsi="Arial Narrow" w:cs="Times New Roman"/>
              </w:rPr>
            </w:pPr>
            <w:r>
              <w:rPr>
                <w:rFonts w:ascii="Arial Narrow" w:hAnsi="Arial Narrow" w:cs="Times New Roman"/>
              </w:rPr>
              <w:t>55 347 000,00</w:t>
            </w:r>
          </w:p>
        </w:tc>
        <w:tc>
          <w:tcPr>
            <w:tcW w:w="1591"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9152A7" w:rsidRPr="00B23854" w:rsidP="0031346C">
            <w:pPr>
              <w:spacing w:line="240" w:lineRule="auto"/>
              <w:jc w:val="right"/>
              <w:rPr>
                <w:rFonts w:ascii="Arial Narrow" w:hAnsi="Arial Narrow" w:cs="Times New Roman"/>
              </w:rPr>
            </w:pPr>
            <w:r>
              <w:rPr>
                <w:rFonts w:ascii="Arial Narrow" w:hAnsi="Arial Narrow" w:cs="Times New Roman"/>
              </w:rPr>
              <w:t>55 346 972,00</w:t>
            </w:r>
          </w:p>
        </w:tc>
        <w:tc>
          <w:tcPr>
            <w:tcW w:w="144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9152A7" w:rsidP="0031346C">
            <w:pPr>
              <w:spacing w:line="240" w:lineRule="auto"/>
              <w:jc w:val="right"/>
              <w:rPr>
                <w:rFonts w:ascii="Arial Narrow" w:hAnsi="Arial Narrow" w:cs="Times New Roman"/>
              </w:rPr>
            </w:pPr>
            <w:r>
              <w:rPr>
                <w:rFonts w:ascii="Arial Narrow" w:hAnsi="Arial Narrow" w:cs="Times New Roman"/>
              </w:rPr>
              <w:t>28,00</w:t>
            </w:r>
          </w:p>
        </w:tc>
      </w:tr>
      <w:tr>
        <w:tblPrEx>
          <w:tblW w:w="9366" w:type="dxa"/>
          <w:tblInd w:w="108" w:type="dxa"/>
        </w:tblPrEx>
        <w:trPr>
          <w:trHeight w:hRule="auto" w:val="0"/>
        </w:trPr>
        <w:tc>
          <w:tcPr>
            <w:tcW w:w="306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9152A7" w:rsidRPr="00D04D46" w:rsidP="00C362EA">
            <w:pPr>
              <w:spacing w:line="240" w:lineRule="auto"/>
              <w:rPr>
                <w:rFonts w:ascii="Arial Narrow" w:hAnsi="Arial Narrow" w:cs="Times New Roman"/>
              </w:rPr>
            </w:pPr>
            <w:r>
              <w:rPr>
                <w:rFonts w:ascii="Arial Narrow" w:hAnsi="Arial Narrow" w:cs="Times New Roman"/>
              </w:rPr>
              <w:t>Poistné a príspevok do poisťovní (620)</w:t>
            </w:r>
          </w:p>
        </w:tc>
        <w:tc>
          <w:tcPr>
            <w:tcW w:w="1622"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9152A7" w:rsidRPr="00D04D46" w:rsidP="0031346C">
            <w:pPr>
              <w:spacing w:line="240" w:lineRule="auto"/>
              <w:jc w:val="right"/>
              <w:rPr>
                <w:rFonts w:ascii="Arial Narrow" w:hAnsi="Arial Narrow" w:cs="Times New Roman"/>
              </w:rPr>
            </w:pPr>
            <w:r>
              <w:rPr>
                <w:rFonts w:ascii="Arial Narrow" w:hAnsi="Arial Narrow" w:cs="Times New Roman"/>
              </w:rPr>
              <w:t>18 798 000,00</w:t>
            </w:r>
          </w:p>
        </w:tc>
        <w:tc>
          <w:tcPr>
            <w:tcW w:w="1653"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9152A7" w:rsidRPr="00D04D46" w:rsidP="0031346C">
            <w:pPr>
              <w:spacing w:line="240" w:lineRule="auto"/>
              <w:jc w:val="right"/>
              <w:rPr>
                <w:rFonts w:ascii="Arial Narrow" w:hAnsi="Arial Narrow" w:cs="Times New Roman"/>
              </w:rPr>
            </w:pPr>
            <w:r>
              <w:rPr>
                <w:rFonts w:ascii="Arial Narrow" w:hAnsi="Arial Narrow" w:cs="Times New Roman"/>
              </w:rPr>
              <w:t>19 683 000,00</w:t>
            </w:r>
          </w:p>
        </w:tc>
        <w:tc>
          <w:tcPr>
            <w:tcW w:w="1591"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9152A7" w:rsidRPr="00B23854" w:rsidP="0031346C">
            <w:pPr>
              <w:spacing w:line="240" w:lineRule="auto"/>
              <w:jc w:val="right"/>
              <w:rPr>
                <w:rFonts w:ascii="Arial Narrow" w:hAnsi="Arial Narrow" w:cs="Times New Roman"/>
              </w:rPr>
            </w:pPr>
            <w:r>
              <w:rPr>
                <w:rFonts w:ascii="Arial Narrow" w:hAnsi="Arial Narrow" w:cs="Times New Roman"/>
              </w:rPr>
              <w:t>19 683 000,00</w:t>
            </w:r>
          </w:p>
        </w:tc>
        <w:tc>
          <w:tcPr>
            <w:tcW w:w="144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9152A7" w:rsidP="0031346C">
            <w:pPr>
              <w:spacing w:line="240" w:lineRule="auto"/>
              <w:jc w:val="right"/>
              <w:rPr>
                <w:rFonts w:ascii="Arial Narrow" w:hAnsi="Arial Narrow" w:cs="Times New Roman"/>
              </w:rPr>
            </w:pPr>
            <w:r>
              <w:rPr>
                <w:rFonts w:ascii="Arial Narrow" w:hAnsi="Arial Narrow" w:cs="Times New Roman"/>
              </w:rPr>
              <w:t>0,00</w:t>
            </w:r>
          </w:p>
        </w:tc>
      </w:tr>
      <w:tr>
        <w:tblPrEx>
          <w:tblW w:w="9366" w:type="dxa"/>
          <w:tblInd w:w="108" w:type="dxa"/>
        </w:tblPrEx>
        <w:trPr>
          <w:trHeight w:hRule="auto" w:val="0"/>
        </w:trPr>
        <w:tc>
          <w:tcPr>
            <w:tcW w:w="306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9152A7" w:rsidRPr="00D04D46" w:rsidP="00C362EA">
            <w:pPr>
              <w:spacing w:line="240" w:lineRule="auto"/>
              <w:rPr>
                <w:rFonts w:ascii="Arial Narrow" w:hAnsi="Arial Narrow" w:cs="Times New Roman"/>
              </w:rPr>
            </w:pPr>
            <w:r>
              <w:rPr>
                <w:rFonts w:ascii="Arial Narrow" w:hAnsi="Arial Narrow" w:cs="Times New Roman"/>
              </w:rPr>
              <w:t>Tovary a služby (630), z toho:</w:t>
            </w:r>
          </w:p>
        </w:tc>
        <w:tc>
          <w:tcPr>
            <w:tcW w:w="1622"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9152A7" w:rsidRPr="00D04D46" w:rsidP="0031346C">
            <w:pPr>
              <w:spacing w:line="240" w:lineRule="auto"/>
              <w:jc w:val="right"/>
              <w:rPr>
                <w:rFonts w:ascii="Arial Narrow" w:hAnsi="Arial Narrow" w:cs="Times New Roman"/>
              </w:rPr>
            </w:pPr>
            <w:r w:rsidR="00682706">
              <w:rPr>
                <w:rFonts w:ascii="Arial Narrow" w:hAnsi="Arial Narrow" w:cs="Times New Roman"/>
              </w:rPr>
              <w:t>33 042</w:t>
            </w:r>
            <w:r>
              <w:rPr>
                <w:rFonts w:ascii="Arial Narrow" w:hAnsi="Arial Narrow" w:cs="Times New Roman"/>
              </w:rPr>
              <w:t> 000,00</w:t>
            </w:r>
          </w:p>
        </w:tc>
        <w:tc>
          <w:tcPr>
            <w:tcW w:w="1653"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9152A7" w:rsidRPr="00D04D46" w:rsidP="0031346C">
            <w:pPr>
              <w:spacing w:line="240" w:lineRule="auto"/>
              <w:jc w:val="right"/>
              <w:rPr>
                <w:rFonts w:ascii="Arial Narrow" w:hAnsi="Arial Narrow" w:cs="Times New Roman"/>
              </w:rPr>
            </w:pPr>
            <w:r>
              <w:rPr>
                <w:rFonts w:ascii="Arial Narrow" w:hAnsi="Arial Narrow" w:cs="Times New Roman"/>
              </w:rPr>
              <w:t>24 677 022,84</w:t>
            </w:r>
          </w:p>
        </w:tc>
        <w:tc>
          <w:tcPr>
            <w:tcW w:w="1591"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9152A7" w:rsidRPr="00B23854" w:rsidP="0031346C">
            <w:pPr>
              <w:spacing w:line="240" w:lineRule="auto"/>
              <w:jc w:val="right"/>
              <w:rPr>
                <w:rFonts w:ascii="Arial Narrow" w:hAnsi="Arial Narrow" w:cs="Times New Roman"/>
              </w:rPr>
            </w:pPr>
            <w:r>
              <w:rPr>
                <w:rFonts w:ascii="Arial Narrow" w:hAnsi="Arial Narrow" w:cs="Times New Roman"/>
              </w:rPr>
              <w:t>24 646 002,73</w:t>
            </w:r>
          </w:p>
        </w:tc>
        <w:tc>
          <w:tcPr>
            <w:tcW w:w="144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9152A7" w:rsidP="0031346C">
            <w:pPr>
              <w:spacing w:line="240" w:lineRule="auto"/>
              <w:jc w:val="right"/>
              <w:rPr>
                <w:rFonts w:ascii="Arial Narrow" w:hAnsi="Arial Narrow" w:cs="Times New Roman"/>
              </w:rPr>
            </w:pPr>
            <w:r w:rsidR="00DC3C54">
              <w:rPr>
                <w:rFonts w:ascii="Arial Narrow" w:hAnsi="Arial Narrow" w:cs="Times New Roman"/>
              </w:rPr>
              <w:t>31 020,11</w:t>
            </w:r>
          </w:p>
        </w:tc>
      </w:tr>
      <w:tr>
        <w:tblPrEx>
          <w:tblW w:w="9366" w:type="dxa"/>
          <w:tblInd w:w="108" w:type="dxa"/>
        </w:tblPrEx>
        <w:trPr>
          <w:trHeight w:hRule="auto" w:val="0"/>
        </w:trPr>
        <w:tc>
          <w:tcPr>
            <w:tcW w:w="306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9152A7" w:rsidP="00C362EA">
            <w:pPr>
              <w:spacing w:line="240" w:lineRule="auto"/>
              <w:rPr>
                <w:rFonts w:ascii="Arial Narrow" w:hAnsi="Arial Narrow" w:cs="Times New Roman"/>
              </w:rPr>
            </w:pPr>
            <w:r>
              <w:rPr>
                <w:rFonts w:ascii="Arial Narrow" w:hAnsi="Arial Narrow" w:cs="Times New Roman"/>
              </w:rPr>
              <w:t>Prostriedky z rozpočtu EÚ – ESF</w:t>
            </w:r>
          </w:p>
        </w:tc>
        <w:tc>
          <w:tcPr>
            <w:tcW w:w="1622"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9152A7" w:rsidP="0031346C">
            <w:pPr>
              <w:spacing w:line="240" w:lineRule="auto"/>
              <w:jc w:val="right"/>
              <w:rPr>
                <w:rFonts w:ascii="Arial Narrow" w:hAnsi="Arial Narrow" w:cs="Times New Roman"/>
              </w:rPr>
            </w:pPr>
            <w:r>
              <w:rPr>
                <w:rFonts w:ascii="Arial Narrow" w:hAnsi="Arial Narrow" w:cs="Times New Roman"/>
              </w:rPr>
              <w:t>0,00</w:t>
            </w:r>
          </w:p>
        </w:tc>
        <w:tc>
          <w:tcPr>
            <w:tcW w:w="1653"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9152A7" w:rsidP="0031346C">
            <w:pPr>
              <w:spacing w:line="240" w:lineRule="auto"/>
              <w:jc w:val="right"/>
              <w:rPr>
                <w:rFonts w:ascii="Arial Narrow" w:hAnsi="Arial Narrow" w:cs="Times New Roman"/>
              </w:rPr>
            </w:pPr>
            <w:r>
              <w:rPr>
                <w:rFonts w:ascii="Arial Narrow" w:hAnsi="Arial Narrow" w:cs="Times New Roman"/>
              </w:rPr>
              <w:t>77 511,24</w:t>
            </w:r>
          </w:p>
        </w:tc>
        <w:tc>
          <w:tcPr>
            <w:tcW w:w="1591"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9152A7" w:rsidRPr="00B23854" w:rsidP="0031346C">
            <w:pPr>
              <w:spacing w:line="240" w:lineRule="auto"/>
              <w:jc w:val="right"/>
              <w:rPr>
                <w:rFonts w:ascii="Arial Narrow" w:hAnsi="Arial Narrow" w:cs="Times New Roman"/>
              </w:rPr>
            </w:pPr>
            <w:r>
              <w:rPr>
                <w:rFonts w:ascii="Arial Narrow" w:hAnsi="Arial Narrow" w:cs="Times New Roman"/>
              </w:rPr>
              <w:t>77 511,24</w:t>
            </w:r>
          </w:p>
        </w:tc>
        <w:tc>
          <w:tcPr>
            <w:tcW w:w="144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9152A7" w:rsidP="0031346C">
            <w:pPr>
              <w:spacing w:line="240" w:lineRule="auto"/>
              <w:jc w:val="right"/>
              <w:rPr>
                <w:rFonts w:ascii="Arial Narrow" w:hAnsi="Arial Narrow" w:cs="Times New Roman"/>
              </w:rPr>
            </w:pPr>
            <w:r w:rsidR="00DC3C54">
              <w:rPr>
                <w:rFonts w:ascii="Arial Narrow" w:hAnsi="Arial Narrow" w:cs="Times New Roman"/>
              </w:rPr>
              <w:t>0,00</w:t>
            </w:r>
          </w:p>
        </w:tc>
      </w:tr>
      <w:tr>
        <w:tblPrEx>
          <w:tblW w:w="9366" w:type="dxa"/>
          <w:tblInd w:w="108" w:type="dxa"/>
        </w:tblPrEx>
        <w:trPr>
          <w:trHeight w:hRule="auto" w:val="0"/>
        </w:trPr>
        <w:tc>
          <w:tcPr>
            <w:tcW w:w="306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9152A7" w:rsidP="00C362EA">
            <w:pPr>
              <w:spacing w:line="240" w:lineRule="auto"/>
              <w:rPr>
                <w:rFonts w:ascii="Arial Narrow" w:hAnsi="Arial Narrow" w:cs="Times New Roman"/>
              </w:rPr>
            </w:pPr>
            <w:r>
              <w:rPr>
                <w:rFonts w:ascii="Arial Narrow" w:hAnsi="Arial Narrow" w:cs="Times New Roman"/>
              </w:rPr>
              <w:t>Spolufinancovanie ESF</w:t>
            </w:r>
            <w:r>
              <w:rPr>
                <w:rFonts w:ascii="Arial Narrow" w:hAnsi="Arial Narrow" w:cs="Times New Roman"/>
              </w:rPr>
              <w:t xml:space="preserve"> zo ŠR </w:t>
            </w:r>
          </w:p>
        </w:tc>
        <w:tc>
          <w:tcPr>
            <w:tcW w:w="1622"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9152A7" w:rsidP="0031346C">
            <w:pPr>
              <w:spacing w:line="240" w:lineRule="auto"/>
              <w:jc w:val="right"/>
              <w:rPr>
                <w:rFonts w:ascii="Arial Narrow" w:hAnsi="Arial Narrow" w:cs="Times New Roman"/>
              </w:rPr>
            </w:pPr>
            <w:r>
              <w:rPr>
                <w:rFonts w:ascii="Arial Narrow" w:hAnsi="Arial Narrow" w:cs="Times New Roman"/>
              </w:rPr>
              <w:t>0,00</w:t>
            </w:r>
          </w:p>
        </w:tc>
        <w:tc>
          <w:tcPr>
            <w:tcW w:w="1653"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9152A7" w:rsidP="0031346C">
            <w:pPr>
              <w:spacing w:line="240" w:lineRule="auto"/>
              <w:jc w:val="right"/>
              <w:rPr>
                <w:rFonts w:ascii="Arial Narrow" w:hAnsi="Arial Narrow" w:cs="Times New Roman"/>
              </w:rPr>
            </w:pPr>
            <w:r>
              <w:rPr>
                <w:rFonts w:ascii="Arial Narrow" w:hAnsi="Arial Narrow" w:cs="Times New Roman"/>
              </w:rPr>
              <w:t>77 511,60</w:t>
            </w:r>
          </w:p>
        </w:tc>
        <w:tc>
          <w:tcPr>
            <w:tcW w:w="1591"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9152A7" w:rsidRPr="00B23854" w:rsidP="0031346C">
            <w:pPr>
              <w:spacing w:line="240" w:lineRule="auto"/>
              <w:jc w:val="right"/>
              <w:rPr>
                <w:rFonts w:ascii="Arial Narrow" w:hAnsi="Arial Narrow" w:cs="Times New Roman"/>
              </w:rPr>
            </w:pPr>
            <w:r>
              <w:rPr>
                <w:rFonts w:ascii="Arial Narrow" w:hAnsi="Arial Narrow" w:cs="Times New Roman"/>
              </w:rPr>
              <w:t>77 511,60</w:t>
            </w:r>
          </w:p>
        </w:tc>
        <w:tc>
          <w:tcPr>
            <w:tcW w:w="144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9152A7" w:rsidP="0031346C">
            <w:pPr>
              <w:spacing w:line="240" w:lineRule="auto"/>
              <w:jc w:val="right"/>
              <w:rPr>
                <w:rFonts w:ascii="Arial Narrow" w:hAnsi="Arial Narrow" w:cs="Times New Roman"/>
              </w:rPr>
            </w:pPr>
            <w:r w:rsidR="00DC3C54">
              <w:rPr>
                <w:rFonts w:ascii="Arial Narrow" w:hAnsi="Arial Narrow" w:cs="Times New Roman"/>
              </w:rPr>
              <w:t>0,00</w:t>
            </w:r>
          </w:p>
        </w:tc>
      </w:tr>
      <w:tr>
        <w:tblPrEx>
          <w:tblW w:w="9366" w:type="dxa"/>
          <w:tblInd w:w="108" w:type="dxa"/>
        </w:tblPrEx>
        <w:trPr>
          <w:trHeight w:hRule="auto" w:val="0"/>
        </w:trPr>
        <w:tc>
          <w:tcPr>
            <w:tcW w:w="306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9152A7" w:rsidRPr="00D04D46" w:rsidP="00C362EA">
            <w:pPr>
              <w:spacing w:line="240" w:lineRule="auto"/>
              <w:rPr>
                <w:rFonts w:ascii="Arial Narrow" w:hAnsi="Arial Narrow" w:cs="Times New Roman"/>
              </w:rPr>
            </w:pPr>
            <w:r>
              <w:rPr>
                <w:rFonts w:ascii="Arial Narrow" w:hAnsi="Arial Narrow" w:cs="Times New Roman"/>
              </w:rPr>
              <w:t>Bežné transfery (640)</w:t>
            </w:r>
          </w:p>
        </w:tc>
        <w:tc>
          <w:tcPr>
            <w:tcW w:w="1622"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9152A7" w:rsidRPr="00D04D46" w:rsidP="0031346C">
            <w:pPr>
              <w:spacing w:line="240" w:lineRule="auto"/>
              <w:jc w:val="right"/>
              <w:rPr>
                <w:rFonts w:ascii="Arial Narrow" w:hAnsi="Arial Narrow" w:cs="Times New Roman"/>
              </w:rPr>
            </w:pPr>
            <w:r>
              <w:rPr>
                <w:rFonts w:ascii="Arial Narrow" w:hAnsi="Arial Narrow" w:cs="Times New Roman"/>
              </w:rPr>
              <w:t>500 000,00</w:t>
            </w:r>
          </w:p>
        </w:tc>
        <w:tc>
          <w:tcPr>
            <w:tcW w:w="1653"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9152A7" w:rsidRPr="00D04D46" w:rsidP="00691786">
            <w:pPr>
              <w:spacing w:line="240" w:lineRule="auto"/>
              <w:jc w:val="right"/>
              <w:rPr>
                <w:rFonts w:ascii="Arial Narrow" w:hAnsi="Arial Narrow" w:cs="Times New Roman"/>
              </w:rPr>
            </w:pPr>
            <w:r>
              <w:rPr>
                <w:rFonts w:ascii="Arial Narrow" w:hAnsi="Arial Narrow" w:cs="Times New Roman"/>
              </w:rPr>
              <w:t>3 100 000,00</w:t>
            </w:r>
          </w:p>
        </w:tc>
        <w:tc>
          <w:tcPr>
            <w:tcW w:w="1591"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9152A7" w:rsidRPr="00B23854" w:rsidP="0031346C">
            <w:pPr>
              <w:spacing w:line="240" w:lineRule="auto"/>
              <w:jc w:val="right"/>
              <w:rPr>
                <w:rFonts w:ascii="Arial Narrow" w:hAnsi="Arial Narrow" w:cs="Times New Roman"/>
              </w:rPr>
            </w:pPr>
            <w:r>
              <w:rPr>
                <w:rFonts w:ascii="Arial Narrow" w:hAnsi="Arial Narrow" w:cs="Times New Roman"/>
              </w:rPr>
              <w:t>3 088 900,00</w:t>
            </w:r>
          </w:p>
        </w:tc>
        <w:tc>
          <w:tcPr>
            <w:tcW w:w="144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9152A7" w:rsidP="0031346C">
            <w:pPr>
              <w:spacing w:line="240" w:lineRule="auto"/>
              <w:jc w:val="right"/>
              <w:rPr>
                <w:rFonts w:ascii="Arial Narrow" w:hAnsi="Arial Narrow" w:cs="Times New Roman"/>
              </w:rPr>
            </w:pPr>
            <w:r w:rsidR="00DC3C54">
              <w:rPr>
                <w:rFonts w:ascii="Arial Narrow" w:hAnsi="Arial Narrow" w:cs="Times New Roman"/>
              </w:rPr>
              <w:t>11 100,00</w:t>
            </w:r>
          </w:p>
        </w:tc>
      </w:tr>
      <w:tr>
        <w:tblPrEx>
          <w:tblW w:w="9366" w:type="dxa"/>
          <w:tblInd w:w="108" w:type="dxa"/>
        </w:tblPrEx>
        <w:trPr>
          <w:trHeight w:hRule="auto" w:val="0"/>
        </w:trPr>
        <w:tc>
          <w:tcPr>
            <w:tcW w:w="306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9152A7" w:rsidP="00C362EA">
            <w:pPr>
              <w:spacing w:line="240" w:lineRule="auto"/>
              <w:rPr>
                <w:rFonts w:ascii="Arial Narrow" w:hAnsi="Arial Narrow" w:cs="Times New Roman"/>
              </w:rPr>
            </w:pPr>
            <w:r>
              <w:rPr>
                <w:rFonts w:ascii="Arial Narrow" w:hAnsi="Arial Narrow" w:cs="Times New Roman"/>
              </w:rPr>
              <w:t>Kapitálové výdavky (710)</w:t>
            </w:r>
          </w:p>
        </w:tc>
        <w:tc>
          <w:tcPr>
            <w:tcW w:w="1622"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9152A7" w:rsidRPr="00D04D46" w:rsidP="0031346C">
            <w:pPr>
              <w:spacing w:line="240" w:lineRule="auto"/>
              <w:jc w:val="right"/>
              <w:rPr>
                <w:rFonts w:ascii="Arial Narrow" w:hAnsi="Arial Narrow" w:cs="Times New Roman"/>
              </w:rPr>
            </w:pPr>
            <w:r>
              <w:rPr>
                <w:rFonts w:ascii="Arial Narrow" w:hAnsi="Arial Narrow" w:cs="Times New Roman"/>
              </w:rPr>
              <w:t>2 000 000,00</w:t>
            </w:r>
          </w:p>
        </w:tc>
        <w:tc>
          <w:tcPr>
            <w:tcW w:w="1653"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9152A7" w:rsidRPr="00D04D46" w:rsidP="0031346C">
            <w:pPr>
              <w:spacing w:line="240" w:lineRule="auto"/>
              <w:jc w:val="right"/>
              <w:rPr>
                <w:rFonts w:ascii="Arial Narrow" w:hAnsi="Arial Narrow" w:cs="Times New Roman"/>
              </w:rPr>
            </w:pPr>
            <w:r>
              <w:rPr>
                <w:rFonts w:ascii="Arial Narrow" w:hAnsi="Arial Narrow" w:cs="Times New Roman"/>
              </w:rPr>
              <w:t>7 500 000,00</w:t>
            </w:r>
          </w:p>
        </w:tc>
        <w:tc>
          <w:tcPr>
            <w:tcW w:w="1591"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9152A7" w:rsidRPr="00B23854" w:rsidP="0031346C">
            <w:pPr>
              <w:spacing w:line="240" w:lineRule="auto"/>
              <w:jc w:val="right"/>
              <w:rPr>
                <w:rFonts w:ascii="Arial Narrow" w:hAnsi="Arial Narrow" w:cs="Times New Roman"/>
              </w:rPr>
            </w:pPr>
            <w:r>
              <w:rPr>
                <w:rFonts w:ascii="Arial Narrow" w:hAnsi="Arial Narrow" w:cs="Times New Roman"/>
              </w:rPr>
              <w:t>7 453 699,60</w:t>
            </w:r>
          </w:p>
        </w:tc>
        <w:tc>
          <w:tcPr>
            <w:tcW w:w="144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9152A7" w:rsidP="0031346C">
            <w:pPr>
              <w:spacing w:line="240" w:lineRule="auto"/>
              <w:jc w:val="right"/>
              <w:rPr>
                <w:rFonts w:ascii="Arial Narrow" w:hAnsi="Arial Narrow" w:cs="Times New Roman"/>
              </w:rPr>
            </w:pPr>
            <w:r w:rsidR="00DC3C54">
              <w:rPr>
                <w:rFonts w:ascii="Arial Narrow" w:hAnsi="Arial Narrow" w:cs="Times New Roman"/>
              </w:rPr>
              <w:t>46 300,40</w:t>
            </w:r>
          </w:p>
        </w:tc>
      </w:tr>
      <w:tr>
        <w:tblPrEx>
          <w:tblW w:w="9366" w:type="dxa"/>
          <w:tblInd w:w="108" w:type="dxa"/>
        </w:tblPrEx>
        <w:trPr>
          <w:trHeight w:hRule="auto" w:val="0"/>
        </w:trPr>
        <w:tc>
          <w:tcPr>
            <w:tcW w:w="3060" w:type="dxa"/>
            <w:tcBorders>
              <w:top w:val="single" w:sz="4" w:space="0" w:color="auto"/>
              <w:left w:val="single" w:sz="4" w:space="0" w:color="auto"/>
              <w:bottom w:val="single" w:sz="4" w:space="0" w:color="auto"/>
              <w:right w:val="single" w:sz="4" w:space="0" w:color="auto"/>
              <w:tl2br w:val="nil"/>
              <w:tr2bl w:val="nil"/>
            </w:tcBorders>
            <w:shd w:val="clear" w:color="auto" w:fill="C0C0C0"/>
            <w:textDirection w:val="lrTb"/>
            <w:vAlign w:val="center"/>
          </w:tcPr>
          <w:p w:rsidR="009152A7" w:rsidRPr="00FC7E23" w:rsidP="00C362EA">
            <w:pPr>
              <w:spacing w:line="240" w:lineRule="auto"/>
              <w:rPr>
                <w:rFonts w:ascii="Arial Narrow" w:hAnsi="Arial Narrow" w:cs="Times New Roman"/>
                <w:b/>
              </w:rPr>
            </w:pPr>
            <w:r w:rsidRPr="00FC7E23">
              <w:rPr>
                <w:rFonts w:ascii="Arial Narrow" w:hAnsi="Arial Narrow" w:cs="Times New Roman"/>
                <w:b/>
              </w:rPr>
              <w:t>SPOLU</w:t>
            </w:r>
          </w:p>
        </w:tc>
        <w:tc>
          <w:tcPr>
            <w:tcW w:w="1622" w:type="dxa"/>
            <w:tcBorders>
              <w:top w:val="single" w:sz="4" w:space="0" w:color="auto"/>
              <w:left w:val="single" w:sz="4" w:space="0" w:color="auto"/>
              <w:bottom w:val="single" w:sz="4" w:space="0" w:color="auto"/>
              <w:right w:val="single" w:sz="4" w:space="0" w:color="auto"/>
              <w:tl2br w:val="nil"/>
              <w:tr2bl w:val="nil"/>
            </w:tcBorders>
            <w:shd w:val="clear" w:color="auto" w:fill="C0C0C0"/>
            <w:textDirection w:val="lrTb"/>
            <w:vAlign w:val="center"/>
          </w:tcPr>
          <w:p w:rsidR="009152A7" w:rsidRPr="00FC7E23" w:rsidP="0031346C">
            <w:pPr>
              <w:spacing w:line="240" w:lineRule="auto"/>
              <w:jc w:val="right"/>
              <w:rPr>
                <w:rFonts w:ascii="Arial Narrow" w:hAnsi="Arial Narrow" w:cs="Times New Roman"/>
                <w:b/>
              </w:rPr>
            </w:pPr>
            <w:r>
              <w:rPr>
                <w:rFonts w:ascii="Arial Narrow" w:hAnsi="Arial Narrow" w:cs="Times New Roman"/>
                <w:b/>
              </w:rPr>
              <w:t>108 358 000,00</w:t>
            </w:r>
          </w:p>
        </w:tc>
        <w:tc>
          <w:tcPr>
            <w:tcW w:w="1653" w:type="dxa"/>
            <w:tcBorders>
              <w:top w:val="single" w:sz="4" w:space="0" w:color="auto"/>
              <w:left w:val="single" w:sz="4" w:space="0" w:color="auto"/>
              <w:bottom w:val="single" w:sz="4" w:space="0" w:color="auto"/>
              <w:right w:val="single" w:sz="4" w:space="0" w:color="auto"/>
              <w:tl2br w:val="nil"/>
              <w:tr2bl w:val="nil"/>
            </w:tcBorders>
            <w:shd w:val="clear" w:color="auto" w:fill="C0C0C0"/>
            <w:textDirection w:val="lrTb"/>
            <w:vAlign w:val="center"/>
          </w:tcPr>
          <w:p w:rsidR="009152A7" w:rsidRPr="00FC7E23" w:rsidP="0031346C">
            <w:pPr>
              <w:spacing w:line="240" w:lineRule="auto"/>
              <w:jc w:val="right"/>
              <w:rPr>
                <w:rFonts w:ascii="Arial Narrow" w:hAnsi="Arial Narrow" w:cs="Times New Roman"/>
                <w:b/>
              </w:rPr>
            </w:pPr>
            <w:r>
              <w:rPr>
                <w:rFonts w:ascii="Arial Narrow" w:hAnsi="Arial Narrow" w:cs="Times New Roman"/>
                <w:b/>
              </w:rPr>
              <w:t>110 307 022,84</w:t>
            </w:r>
          </w:p>
        </w:tc>
        <w:tc>
          <w:tcPr>
            <w:tcW w:w="1591" w:type="dxa"/>
            <w:tcBorders>
              <w:top w:val="single" w:sz="4" w:space="0" w:color="auto"/>
              <w:left w:val="single" w:sz="4" w:space="0" w:color="auto"/>
              <w:bottom w:val="single" w:sz="4" w:space="0" w:color="auto"/>
              <w:right w:val="single" w:sz="4" w:space="0" w:color="auto"/>
              <w:tl2br w:val="nil"/>
              <w:tr2bl w:val="nil"/>
            </w:tcBorders>
            <w:shd w:val="clear" w:color="auto" w:fill="C0C0C0"/>
            <w:textDirection w:val="lrTb"/>
            <w:vAlign w:val="center"/>
          </w:tcPr>
          <w:p w:rsidR="009152A7" w:rsidRPr="00FC7E23" w:rsidP="0031346C">
            <w:pPr>
              <w:spacing w:line="240" w:lineRule="auto"/>
              <w:jc w:val="right"/>
              <w:rPr>
                <w:rFonts w:ascii="Arial Narrow" w:hAnsi="Arial Narrow" w:cs="Times New Roman"/>
                <w:b/>
              </w:rPr>
            </w:pPr>
            <w:r>
              <w:rPr>
                <w:rFonts w:ascii="Arial Narrow" w:hAnsi="Arial Narrow" w:cs="Times New Roman"/>
                <w:b/>
              </w:rPr>
              <w:t>110 218 574,33</w:t>
            </w:r>
          </w:p>
        </w:tc>
        <w:tc>
          <w:tcPr>
            <w:tcW w:w="1440" w:type="dxa"/>
            <w:tcBorders>
              <w:top w:val="single" w:sz="4" w:space="0" w:color="auto"/>
              <w:left w:val="single" w:sz="4" w:space="0" w:color="auto"/>
              <w:bottom w:val="single" w:sz="4" w:space="0" w:color="auto"/>
              <w:right w:val="single" w:sz="4" w:space="0" w:color="auto"/>
              <w:tl2br w:val="nil"/>
              <w:tr2bl w:val="nil"/>
            </w:tcBorders>
            <w:shd w:val="clear" w:color="auto" w:fill="C0C0C0"/>
            <w:textDirection w:val="lrTb"/>
            <w:vAlign w:val="center"/>
          </w:tcPr>
          <w:p w:rsidR="009152A7" w:rsidP="0031346C">
            <w:pPr>
              <w:spacing w:line="240" w:lineRule="auto"/>
              <w:jc w:val="right"/>
              <w:rPr>
                <w:rFonts w:ascii="Arial Narrow" w:hAnsi="Arial Narrow" w:cs="Times New Roman"/>
                <w:b/>
              </w:rPr>
            </w:pPr>
            <w:r w:rsidR="00DC3C54">
              <w:rPr>
                <w:rFonts w:ascii="Arial Narrow" w:hAnsi="Arial Narrow" w:cs="Times New Roman"/>
                <w:b/>
              </w:rPr>
              <w:t>88 448,51</w:t>
            </w:r>
          </w:p>
        </w:tc>
      </w:tr>
    </w:tbl>
    <w:p w:rsidR="00D27E26" w:rsidRPr="00D23807" w:rsidP="00C362EA">
      <w:pPr>
        <w:spacing w:line="240" w:lineRule="auto"/>
        <w:rPr>
          <w:rFonts w:ascii="Times New Roman" w:hAnsi="Times New Roman" w:cs="Times New Roman"/>
          <w:sz w:val="24"/>
          <w:szCs w:val="24"/>
        </w:rPr>
      </w:pPr>
    </w:p>
    <w:p w:rsidR="00D32BFF" w:rsidP="00FC1671">
      <w:pPr>
        <w:spacing w:line="240" w:lineRule="auto"/>
        <w:ind w:firstLine="720"/>
        <w:rPr>
          <w:rFonts w:ascii="Times New Roman" w:hAnsi="Times New Roman" w:cs="Times New Roman"/>
          <w:sz w:val="24"/>
          <w:szCs w:val="24"/>
        </w:rPr>
      </w:pPr>
      <w:r w:rsidRPr="00D23807" w:rsidR="00D27E26">
        <w:rPr>
          <w:rFonts w:ascii="Times New Roman" w:hAnsi="Times New Roman" w:cs="Times New Roman"/>
          <w:sz w:val="24"/>
          <w:szCs w:val="24"/>
        </w:rPr>
        <w:t>V kategór</w:t>
      </w:r>
      <w:r w:rsidRPr="00D23807" w:rsidR="00D27E26">
        <w:rPr>
          <w:rFonts w:ascii="Times New Roman" w:hAnsi="Times New Roman" w:cs="Times New Roman"/>
          <w:sz w:val="24"/>
          <w:szCs w:val="24"/>
        </w:rPr>
        <w:t xml:space="preserve">ii </w:t>
      </w:r>
      <w:r w:rsidRPr="00AB1F6D" w:rsidR="00D27E26">
        <w:rPr>
          <w:rFonts w:ascii="Times New Roman" w:hAnsi="Times New Roman" w:cs="Times New Roman"/>
          <w:sz w:val="24"/>
          <w:szCs w:val="24"/>
        </w:rPr>
        <w:t xml:space="preserve">610 – mzdy, platy, služobné príjmy a OOV </w:t>
      </w:r>
      <w:r w:rsidR="007F1BC7">
        <w:rPr>
          <w:rFonts w:ascii="Times New Roman" w:hAnsi="Times New Roman" w:cs="Times New Roman"/>
          <w:sz w:val="24"/>
          <w:szCs w:val="24"/>
        </w:rPr>
        <w:t xml:space="preserve">a </w:t>
      </w:r>
      <w:r w:rsidRPr="00AB1F6D" w:rsidR="00D27E26">
        <w:rPr>
          <w:rFonts w:ascii="Times New Roman" w:hAnsi="Times New Roman" w:cs="Times New Roman"/>
          <w:sz w:val="24"/>
          <w:szCs w:val="24"/>
        </w:rPr>
        <w:t xml:space="preserve">v kategórii 620 – </w:t>
      </w:r>
      <w:r w:rsidRPr="00AB1F6D" w:rsidR="00D77908">
        <w:rPr>
          <w:rFonts w:ascii="Times New Roman" w:hAnsi="Times New Roman" w:cs="Times New Roman"/>
          <w:sz w:val="24"/>
          <w:szCs w:val="24"/>
        </w:rPr>
        <w:t xml:space="preserve">poistné </w:t>
      </w:r>
      <w:r w:rsidRPr="00AB1F6D" w:rsidR="002D0F94">
        <w:rPr>
          <w:rFonts w:ascii="Times New Roman" w:hAnsi="Times New Roman" w:cs="Times New Roman"/>
          <w:sz w:val="24"/>
          <w:szCs w:val="24"/>
        </w:rPr>
        <w:t>a príspevok do poisťovní</w:t>
      </w:r>
      <w:r w:rsidRPr="00AB1F6D" w:rsidR="004C3785">
        <w:rPr>
          <w:rFonts w:ascii="Times New Roman" w:hAnsi="Times New Roman" w:cs="Times New Roman"/>
          <w:sz w:val="24"/>
          <w:szCs w:val="24"/>
        </w:rPr>
        <w:t xml:space="preserve"> boli</w:t>
      </w:r>
      <w:r w:rsidRPr="00D23807" w:rsidR="004C3785">
        <w:rPr>
          <w:rFonts w:ascii="Times New Roman" w:hAnsi="Times New Roman" w:cs="Times New Roman"/>
          <w:sz w:val="24"/>
          <w:szCs w:val="24"/>
        </w:rPr>
        <w:t xml:space="preserve"> čerpané prostriedky </w:t>
      </w:r>
      <w:r w:rsidR="004C3785">
        <w:rPr>
          <w:rFonts w:ascii="Times New Roman" w:hAnsi="Times New Roman" w:cs="Times New Roman"/>
          <w:sz w:val="24"/>
          <w:szCs w:val="24"/>
        </w:rPr>
        <w:t xml:space="preserve">takmer </w:t>
      </w:r>
      <w:r w:rsidR="00D72400">
        <w:rPr>
          <w:rFonts w:ascii="Times New Roman" w:hAnsi="Times New Roman" w:cs="Times New Roman"/>
          <w:sz w:val="24"/>
          <w:szCs w:val="24"/>
        </w:rPr>
        <w:t>vo výške 100 %</w:t>
      </w:r>
      <w:r w:rsidRPr="00D23807" w:rsidR="00D27E26">
        <w:rPr>
          <w:rFonts w:ascii="Times New Roman" w:hAnsi="Times New Roman" w:cs="Times New Roman"/>
          <w:sz w:val="24"/>
          <w:szCs w:val="24"/>
        </w:rPr>
        <w:t>.</w:t>
      </w:r>
      <w:r w:rsidR="00D77908">
        <w:rPr>
          <w:rFonts w:ascii="Times New Roman" w:hAnsi="Times New Roman" w:cs="Times New Roman"/>
          <w:sz w:val="24"/>
          <w:szCs w:val="24"/>
        </w:rPr>
        <w:t xml:space="preserve"> </w:t>
      </w:r>
    </w:p>
    <w:p w:rsidR="00D32BFF" w:rsidRPr="00FC1671" w:rsidP="00FC1671">
      <w:pPr>
        <w:spacing w:line="240" w:lineRule="auto"/>
        <w:ind w:firstLine="720"/>
        <w:rPr>
          <w:rFonts w:ascii="Times New Roman" w:hAnsi="Times New Roman" w:cs="Times New Roman"/>
          <w:sz w:val="24"/>
          <w:szCs w:val="24"/>
        </w:rPr>
      </w:pPr>
      <w:r w:rsidRPr="00AB1F6D" w:rsidR="00D27E26">
        <w:rPr>
          <w:rFonts w:ascii="Times New Roman" w:hAnsi="Times New Roman" w:cs="Times New Roman"/>
          <w:sz w:val="24"/>
          <w:szCs w:val="24"/>
        </w:rPr>
        <w:t xml:space="preserve">V oblasti </w:t>
      </w:r>
      <w:r w:rsidRPr="00AB1F6D" w:rsidR="00D77908">
        <w:rPr>
          <w:rFonts w:ascii="Times New Roman" w:hAnsi="Times New Roman" w:cs="Times New Roman"/>
          <w:sz w:val="24"/>
          <w:szCs w:val="24"/>
        </w:rPr>
        <w:t xml:space="preserve">tovarov a služieb (630) boli </w:t>
      </w:r>
      <w:r w:rsidRPr="00AB1F6D" w:rsidR="00D27E26">
        <w:rPr>
          <w:rFonts w:ascii="Times New Roman" w:hAnsi="Times New Roman" w:cs="Times New Roman"/>
          <w:sz w:val="24"/>
        </w:rPr>
        <w:t>ušetre</w:t>
      </w:r>
      <w:r w:rsidR="0014128D">
        <w:rPr>
          <w:rFonts w:ascii="Times New Roman" w:hAnsi="Times New Roman" w:cs="Times New Roman"/>
          <w:sz w:val="24"/>
        </w:rPr>
        <w:t>né zdroje vo výške 31 020,11 Sk.</w:t>
      </w:r>
    </w:p>
    <w:p w:rsidR="00497572" w:rsidRPr="00AB1F6D" w:rsidP="00A04B57">
      <w:pPr>
        <w:spacing w:line="240" w:lineRule="auto"/>
        <w:ind w:firstLine="705"/>
        <w:rPr>
          <w:rFonts w:ascii="Times New Roman" w:hAnsi="Times New Roman" w:cs="Times New Roman"/>
          <w:sz w:val="24"/>
          <w:szCs w:val="24"/>
        </w:rPr>
      </w:pPr>
      <w:r w:rsidRPr="00AB1F6D" w:rsidR="00D77908">
        <w:rPr>
          <w:rFonts w:ascii="Times New Roman" w:hAnsi="Times New Roman" w:cs="Times New Roman"/>
          <w:sz w:val="24"/>
        </w:rPr>
        <w:t>Čerp</w:t>
      </w:r>
      <w:r w:rsidR="0014128D">
        <w:rPr>
          <w:rFonts w:ascii="Times New Roman" w:hAnsi="Times New Roman" w:cs="Times New Roman"/>
          <w:sz w:val="24"/>
        </w:rPr>
        <w:t>anie v sume 24 490 979,89 Sk</w:t>
      </w:r>
      <w:r w:rsidRPr="00AB1F6D" w:rsidR="0063080A">
        <w:rPr>
          <w:rFonts w:ascii="Times New Roman" w:hAnsi="Times New Roman" w:cs="Times New Roman"/>
          <w:sz w:val="24"/>
        </w:rPr>
        <w:t xml:space="preserve"> (bez ESF)</w:t>
      </w:r>
      <w:r w:rsidR="00745937">
        <w:rPr>
          <w:rFonts w:ascii="Times New Roman" w:hAnsi="Times New Roman" w:cs="Times New Roman"/>
          <w:sz w:val="24"/>
        </w:rPr>
        <w:t xml:space="preserve"> predstavovali </w:t>
      </w:r>
      <w:r w:rsidRPr="00AB1F6D" w:rsidR="00D77908">
        <w:rPr>
          <w:rFonts w:ascii="Times New Roman" w:hAnsi="Times New Roman" w:cs="Times New Roman"/>
          <w:sz w:val="24"/>
        </w:rPr>
        <w:t>výdavky n</w:t>
      </w:r>
      <w:r w:rsidRPr="00AB1F6D" w:rsidR="003843FD">
        <w:rPr>
          <w:rFonts w:ascii="Times New Roman" w:hAnsi="Times New Roman" w:cs="Times New Roman"/>
          <w:sz w:val="24"/>
        </w:rPr>
        <w:t xml:space="preserve">a: 631 – </w:t>
      </w:r>
      <w:r w:rsidR="009B639A">
        <w:rPr>
          <w:rFonts w:ascii="Times New Roman" w:hAnsi="Times New Roman" w:cs="Times New Roman"/>
          <w:sz w:val="24"/>
        </w:rPr>
        <w:t xml:space="preserve">cestovné (3 485 367,40 </w:t>
      </w:r>
      <w:r w:rsidRPr="00AB1F6D" w:rsidR="00D77908">
        <w:rPr>
          <w:rFonts w:ascii="Times New Roman" w:hAnsi="Times New Roman" w:cs="Times New Roman"/>
          <w:sz w:val="24"/>
        </w:rPr>
        <w:t>Sk), 632 – energiu, v</w:t>
      </w:r>
      <w:r w:rsidRPr="00AB1F6D" w:rsidR="0063080A">
        <w:rPr>
          <w:rFonts w:ascii="Times New Roman" w:hAnsi="Times New Roman" w:cs="Times New Roman"/>
          <w:sz w:val="24"/>
        </w:rPr>
        <w:t>odu a</w:t>
      </w:r>
      <w:r w:rsidR="009B639A">
        <w:rPr>
          <w:rFonts w:ascii="Times New Roman" w:hAnsi="Times New Roman" w:cs="Times New Roman"/>
          <w:sz w:val="24"/>
        </w:rPr>
        <w:t xml:space="preserve"> komunikácie (4 459 145,49 </w:t>
      </w:r>
      <w:r w:rsidRPr="00AB1F6D" w:rsidR="00D77908">
        <w:rPr>
          <w:rFonts w:ascii="Times New Roman" w:hAnsi="Times New Roman" w:cs="Times New Roman"/>
          <w:sz w:val="24"/>
        </w:rPr>
        <w:t>Sk</w:t>
      </w:r>
      <w:r w:rsidR="009B639A">
        <w:rPr>
          <w:rFonts w:ascii="Times New Roman" w:hAnsi="Times New Roman" w:cs="Times New Roman"/>
          <w:sz w:val="24"/>
        </w:rPr>
        <w:t xml:space="preserve">), 633 – materiál (2 605 844,52 </w:t>
      </w:r>
      <w:r w:rsidRPr="00AB1F6D" w:rsidR="00D77908">
        <w:rPr>
          <w:rFonts w:ascii="Times New Roman" w:hAnsi="Times New Roman" w:cs="Times New Roman"/>
          <w:sz w:val="24"/>
        </w:rPr>
        <w:t>Sk)</w:t>
      </w:r>
      <w:r w:rsidR="009B639A">
        <w:rPr>
          <w:rFonts w:ascii="Times New Roman" w:hAnsi="Times New Roman" w:cs="Times New Roman"/>
          <w:sz w:val="24"/>
        </w:rPr>
        <w:t xml:space="preserve">, 634 – dopravné (2 119 693,42 </w:t>
      </w:r>
      <w:r w:rsidRPr="00AB1F6D" w:rsidR="005B2902">
        <w:rPr>
          <w:rFonts w:ascii="Times New Roman" w:hAnsi="Times New Roman" w:cs="Times New Roman"/>
          <w:sz w:val="24"/>
        </w:rPr>
        <w:t>Sk), 635 –</w:t>
      </w:r>
      <w:r w:rsidRPr="00AB1F6D" w:rsidR="00C64A3D">
        <w:rPr>
          <w:rFonts w:ascii="Times New Roman" w:hAnsi="Times New Roman" w:cs="Times New Roman"/>
          <w:sz w:val="24"/>
        </w:rPr>
        <w:t xml:space="preserve"> rutinnú a štandardnú</w:t>
      </w:r>
      <w:r w:rsidR="007F1BC7">
        <w:rPr>
          <w:rFonts w:ascii="Times New Roman" w:hAnsi="Times New Roman" w:cs="Times New Roman"/>
          <w:sz w:val="24"/>
        </w:rPr>
        <w:t xml:space="preserve"> údržbu</w:t>
      </w:r>
      <w:r w:rsidR="009B639A">
        <w:rPr>
          <w:rFonts w:ascii="Times New Roman" w:hAnsi="Times New Roman" w:cs="Times New Roman"/>
          <w:sz w:val="24"/>
        </w:rPr>
        <w:t xml:space="preserve"> (1 108 812,40 Sk), 636 – nájomné (725 133,80 Sk) a 637 – služby (9 986 982,86 </w:t>
      </w:r>
      <w:r w:rsidRPr="00AB1F6D" w:rsidR="0063080A">
        <w:rPr>
          <w:rFonts w:ascii="Times New Roman" w:hAnsi="Times New Roman" w:cs="Times New Roman"/>
          <w:sz w:val="24"/>
        </w:rPr>
        <w:t xml:space="preserve">Sk, </w:t>
      </w:r>
      <w:r w:rsidRPr="00AB1F6D" w:rsidR="005B2902">
        <w:rPr>
          <w:rFonts w:ascii="Times New Roman" w:hAnsi="Times New Roman" w:cs="Times New Roman"/>
          <w:sz w:val="24"/>
        </w:rPr>
        <w:t>špeciálne s</w:t>
      </w:r>
      <w:r w:rsidRPr="00AB1F6D" w:rsidR="0063080A">
        <w:rPr>
          <w:rFonts w:ascii="Times New Roman" w:hAnsi="Times New Roman" w:cs="Times New Roman"/>
          <w:sz w:val="24"/>
        </w:rPr>
        <w:t xml:space="preserve">lužby, </w:t>
      </w:r>
      <w:r w:rsidRPr="00AB1F6D" w:rsidR="005B2902">
        <w:rPr>
          <w:rFonts w:ascii="Times New Roman" w:hAnsi="Times New Roman" w:cs="Times New Roman"/>
          <w:sz w:val="24"/>
        </w:rPr>
        <w:t>štúdie, expertízy</w:t>
      </w:r>
      <w:r w:rsidRPr="00AB1F6D" w:rsidR="0063080A">
        <w:rPr>
          <w:rFonts w:ascii="Times New Roman" w:hAnsi="Times New Roman" w:cs="Times New Roman"/>
          <w:sz w:val="24"/>
        </w:rPr>
        <w:t xml:space="preserve">, posudky, stravovanie </w:t>
      </w:r>
      <w:r w:rsidRPr="00AB1F6D" w:rsidR="005B2902">
        <w:rPr>
          <w:rFonts w:ascii="Times New Roman" w:hAnsi="Times New Roman" w:cs="Times New Roman"/>
          <w:sz w:val="24"/>
        </w:rPr>
        <w:t xml:space="preserve">atď.). </w:t>
      </w:r>
      <w:r w:rsidRPr="00AB1F6D" w:rsidR="00D77908">
        <w:rPr>
          <w:rFonts w:ascii="Times New Roman" w:hAnsi="Times New Roman" w:cs="Times New Roman"/>
          <w:sz w:val="24"/>
        </w:rPr>
        <w:t xml:space="preserve">    </w:t>
      </w:r>
    </w:p>
    <w:p w:rsidR="00497572" w:rsidRPr="00AB1F6D" w:rsidP="00A04B57">
      <w:pPr>
        <w:spacing w:line="240" w:lineRule="auto"/>
        <w:ind w:firstLine="720"/>
        <w:rPr>
          <w:rFonts w:ascii="Times New Roman" w:hAnsi="Times New Roman" w:cs="Times New Roman"/>
          <w:sz w:val="24"/>
          <w:szCs w:val="24"/>
        </w:rPr>
      </w:pPr>
      <w:r w:rsidRPr="00AB1F6D" w:rsidR="00305C32">
        <w:rPr>
          <w:rFonts w:ascii="Times New Roman" w:hAnsi="Times New Roman" w:cs="Times New Roman"/>
          <w:sz w:val="24"/>
          <w:szCs w:val="24"/>
        </w:rPr>
        <w:t>Bežné transfery (640) boli če</w:t>
      </w:r>
      <w:r w:rsidR="0014128D">
        <w:rPr>
          <w:rFonts w:ascii="Times New Roman" w:hAnsi="Times New Roman" w:cs="Times New Roman"/>
          <w:sz w:val="24"/>
          <w:szCs w:val="24"/>
        </w:rPr>
        <w:t>rpané v sume 3 088 900</w:t>
      </w:r>
      <w:r w:rsidRPr="00AB1F6D" w:rsidR="0063080A">
        <w:rPr>
          <w:rFonts w:ascii="Times New Roman" w:hAnsi="Times New Roman" w:cs="Times New Roman"/>
          <w:sz w:val="24"/>
          <w:szCs w:val="24"/>
        </w:rPr>
        <w:t xml:space="preserve">,- Sk na odstupné zamestnancom </w:t>
      </w:r>
      <w:r w:rsidRPr="00AB1F6D" w:rsidR="00E83D13">
        <w:rPr>
          <w:rFonts w:ascii="Times New Roman" w:hAnsi="Times New Roman" w:cs="Times New Roman"/>
          <w:sz w:val="24"/>
          <w:szCs w:val="24"/>
        </w:rPr>
        <w:t xml:space="preserve">odchádzajúcim do dôchodku. </w:t>
      </w:r>
      <w:r w:rsidRPr="00AB1F6D" w:rsidR="0063080A">
        <w:rPr>
          <w:rFonts w:ascii="Times New Roman" w:hAnsi="Times New Roman" w:cs="Times New Roman"/>
          <w:sz w:val="24"/>
          <w:szCs w:val="24"/>
        </w:rPr>
        <w:t xml:space="preserve"> </w:t>
      </w:r>
      <w:r w:rsidRPr="00AB1F6D" w:rsidR="00305C32">
        <w:rPr>
          <w:rFonts w:ascii="Times New Roman" w:hAnsi="Times New Roman" w:cs="Times New Roman"/>
          <w:sz w:val="24"/>
          <w:szCs w:val="24"/>
        </w:rPr>
        <w:t xml:space="preserve"> </w:t>
      </w:r>
    </w:p>
    <w:p w:rsidR="00CD62A3" w:rsidRPr="00AB1F6D" w:rsidP="00C362EA">
      <w:pPr>
        <w:spacing w:line="240" w:lineRule="auto"/>
        <w:ind w:firstLine="720"/>
        <w:rPr>
          <w:rFonts w:ascii="Times New Roman" w:hAnsi="Times New Roman" w:cs="Times New Roman"/>
          <w:sz w:val="24"/>
          <w:szCs w:val="24"/>
        </w:rPr>
      </w:pPr>
      <w:r w:rsidRPr="00AB1F6D">
        <w:rPr>
          <w:rFonts w:ascii="Times New Roman" w:hAnsi="Times New Roman" w:cs="Times New Roman"/>
          <w:sz w:val="24"/>
          <w:szCs w:val="24"/>
        </w:rPr>
        <w:t>Kapitálové výdavky (71</w:t>
      </w:r>
      <w:r w:rsidRPr="00AB1F6D">
        <w:rPr>
          <w:rFonts w:ascii="Times New Roman" w:hAnsi="Times New Roman" w:cs="Times New Roman"/>
          <w:sz w:val="24"/>
          <w:szCs w:val="24"/>
        </w:rPr>
        <w:t>0)</w:t>
      </w:r>
      <w:r w:rsidR="0014128D">
        <w:rPr>
          <w:rFonts w:ascii="Times New Roman" w:hAnsi="Times New Roman" w:cs="Times New Roman"/>
          <w:sz w:val="24"/>
          <w:szCs w:val="24"/>
        </w:rPr>
        <w:t xml:space="preserve"> vo výške 7 453 699,60 </w:t>
      </w:r>
      <w:r w:rsidRPr="00AB1F6D">
        <w:rPr>
          <w:rFonts w:ascii="Times New Roman" w:hAnsi="Times New Roman" w:cs="Times New Roman"/>
          <w:sz w:val="24"/>
          <w:szCs w:val="24"/>
        </w:rPr>
        <w:t>Sk použi</w:t>
      </w:r>
      <w:r w:rsidR="004D2CC4">
        <w:rPr>
          <w:rFonts w:ascii="Times New Roman" w:hAnsi="Times New Roman" w:cs="Times New Roman"/>
          <w:sz w:val="24"/>
          <w:szCs w:val="24"/>
        </w:rPr>
        <w:t xml:space="preserve">l TÚ SR na obstaranie interiérového vybavenia (451 302,60 Sk), nákup výpočtovej techniky (510 450,50 Sk), nákup telekomunikačnej techniky (65 977,- Sk), na prípravnú a projektovú dokumentáciu (257 540,- Sk) a rekonštrukciu </w:t>
      </w:r>
      <w:r w:rsidR="004D2CC4">
        <w:rPr>
          <w:rFonts w:ascii="Times New Roman" w:hAnsi="Times New Roman" w:cs="Times New Roman"/>
          <w:sz w:val="24"/>
          <w:szCs w:val="24"/>
        </w:rPr>
        <w:t xml:space="preserve">a modernizáciu stavieb </w:t>
      </w:r>
      <w:r w:rsidR="00B96A51">
        <w:rPr>
          <w:rFonts w:ascii="Times New Roman" w:hAnsi="Times New Roman" w:cs="Times New Roman"/>
          <w:sz w:val="24"/>
          <w:szCs w:val="24"/>
        </w:rPr>
        <w:t xml:space="preserve">– modernizácia klimatizácie v budove sídla úradu </w:t>
      </w:r>
      <w:r w:rsidR="004D2CC4">
        <w:rPr>
          <w:rFonts w:ascii="Times New Roman" w:hAnsi="Times New Roman" w:cs="Times New Roman"/>
          <w:sz w:val="24"/>
          <w:szCs w:val="24"/>
        </w:rPr>
        <w:t xml:space="preserve">(6 168 429,50 Sk). </w:t>
      </w:r>
    </w:p>
    <w:p w:rsidR="00B80BB6" w:rsidP="00B80BB6">
      <w:pPr>
        <w:pStyle w:val="BodyText3"/>
        <w:spacing w:after="0" w:line="240" w:lineRule="auto"/>
        <w:rPr>
          <w:rFonts w:ascii="Times New Roman" w:hAnsi="Times New Roman" w:cs="Times New Roman"/>
          <w:sz w:val="24"/>
          <w:szCs w:val="24"/>
        </w:rPr>
      </w:pPr>
      <w:r w:rsidR="00305C32">
        <w:rPr>
          <w:rFonts w:ascii="Times New Roman" w:hAnsi="Times New Roman" w:cs="Times New Roman"/>
          <w:sz w:val="24"/>
          <w:szCs w:val="24"/>
        </w:rPr>
        <w:t xml:space="preserve"> </w:t>
      </w:r>
    </w:p>
    <w:p w:rsidR="00B80BB6" w:rsidRPr="00B80BB6" w:rsidP="00B80BB6">
      <w:pPr>
        <w:pStyle w:val="BodyText3"/>
        <w:spacing w:after="0" w:line="240" w:lineRule="auto"/>
        <w:ind w:firstLine="709"/>
        <w:rPr>
          <w:rFonts w:ascii="Times New Roman" w:hAnsi="Times New Roman" w:cs="Times New Roman"/>
          <w:b/>
          <w:sz w:val="24"/>
          <w:szCs w:val="24"/>
          <w:u w:val="single"/>
        </w:rPr>
      </w:pPr>
      <w:r w:rsidRPr="00B80BB6">
        <w:rPr>
          <w:rFonts w:ascii="Times New Roman" w:hAnsi="Times New Roman" w:cs="Times New Roman"/>
          <w:b/>
          <w:sz w:val="24"/>
          <w:szCs w:val="24"/>
          <w:u w:val="single"/>
        </w:rPr>
        <w:t>Výdavky kryté z rozpočtu EÚ</w:t>
      </w:r>
    </w:p>
    <w:p w:rsidR="00B80BB6" w:rsidRPr="00B80BB6" w:rsidP="00B80BB6">
      <w:pPr>
        <w:pStyle w:val="BodyText3"/>
        <w:spacing w:after="0" w:line="240" w:lineRule="auto"/>
        <w:rPr>
          <w:rFonts w:ascii="Times New Roman" w:hAnsi="Times New Roman" w:cs="Times New Roman"/>
          <w:sz w:val="24"/>
          <w:szCs w:val="24"/>
        </w:rPr>
      </w:pPr>
    </w:p>
    <w:p w:rsidR="00B80BB6" w:rsidRPr="00B80BB6" w:rsidP="00B80BB6">
      <w:pPr>
        <w:spacing w:line="240" w:lineRule="auto"/>
        <w:ind w:firstLine="720"/>
        <w:rPr>
          <w:rFonts w:ascii="Times New Roman" w:hAnsi="Times New Roman" w:cs="Times New Roman"/>
          <w:sz w:val="24"/>
          <w:szCs w:val="24"/>
        </w:rPr>
      </w:pPr>
      <w:r w:rsidR="0014128D">
        <w:rPr>
          <w:rFonts w:ascii="Times New Roman" w:hAnsi="Times New Roman" w:cs="Times New Roman"/>
          <w:sz w:val="24"/>
          <w:szCs w:val="24"/>
        </w:rPr>
        <w:t>V roku 2007</w:t>
      </w:r>
      <w:r w:rsidRPr="00B80BB6">
        <w:rPr>
          <w:rFonts w:ascii="Times New Roman" w:hAnsi="Times New Roman" w:cs="Times New Roman"/>
          <w:sz w:val="24"/>
          <w:szCs w:val="24"/>
        </w:rPr>
        <w:t xml:space="preserve"> úrad </w:t>
      </w:r>
      <w:r>
        <w:rPr>
          <w:rFonts w:ascii="Times New Roman" w:hAnsi="Times New Roman" w:cs="Times New Roman"/>
          <w:sz w:val="24"/>
          <w:szCs w:val="24"/>
        </w:rPr>
        <w:t>obdr</w:t>
      </w:r>
      <w:r w:rsidRPr="00B80BB6">
        <w:rPr>
          <w:rFonts w:ascii="Times New Roman" w:hAnsi="Times New Roman" w:cs="Times New Roman"/>
          <w:sz w:val="24"/>
          <w:szCs w:val="24"/>
        </w:rPr>
        <w:t xml:space="preserve">žal </w:t>
      </w:r>
      <w:r>
        <w:rPr>
          <w:rFonts w:ascii="Times New Roman" w:hAnsi="Times New Roman" w:cs="Times New Roman"/>
          <w:sz w:val="24"/>
          <w:szCs w:val="24"/>
        </w:rPr>
        <w:t xml:space="preserve">z </w:t>
      </w:r>
      <w:r w:rsidRPr="00B80BB6">
        <w:rPr>
          <w:rFonts w:ascii="Times New Roman" w:hAnsi="Times New Roman" w:cs="Times New Roman"/>
          <w:sz w:val="24"/>
          <w:szCs w:val="24"/>
        </w:rPr>
        <w:t xml:space="preserve">Európskeho sociálneho fondu </w:t>
      </w:r>
      <w:r w:rsidR="0014128D">
        <w:rPr>
          <w:rFonts w:ascii="Times New Roman" w:hAnsi="Times New Roman" w:cs="Times New Roman"/>
          <w:sz w:val="24"/>
          <w:szCs w:val="24"/>
        </w:rPr>
        <w:t>a príslušného spolufinancovania zo štátneho rozpočtu prostriedky vo výške 155 </w:t>
      </w:r>
      <w:r w:rsidR="0014128D">
        <w:rPr>
          <w:rFonts w:ascii="Times New Roman" w:hAnsi="Times New Roman" w:cs="Times New Roman"/>
          <w:sz w:val="24"/>
          <w:szCs w:val="24"/>
        </w:rPr>
        <w:t xml:space="preserve">022,84 </w:t>
      </w:r>
      <w:r w:rsidRPr="00B80BB6">
        <w:rPr>
          <w:rFonts w:ascii="Times New Roman" w:hAnsi="Times New Roman" w:cs="Times New Roman"/>
          <w:sz w:val="24"/>
          <w:szCs w:val="24"/>
        </w:rPr>
        <w:t>Sk. Tieto boli určené na vzdeláva</w:t>
      </w:r>
      <w:r w:rsidR="001D2550">
        <w:rPr>
          <w:rFonts w:ascii="Times New Roman" w:hAnsi="Times New Roman" w:cs="Times New Roman"/>
          <w:sz w:val="24"/>
          <w:szCs w:val="24"/>
        </w:rPr>
        <w:t xml:space="preserve">nie zamestnancov TÚ SR s cieľom </w:t>
      </w:r>
      <w:r>
        <w:rPr>
          <w:rFonts w:ascii="Times New Roman" w:hAnsi="Times New Roman" w:cs="Times New Roman"/>
          <w:sz w:val="24"/>
          <w:szCs w:val="24"/>
        </w:rPr>
        <w:t>získania Os</w:t>
      </w:r>
      <w:r w:rsidR="0014128D">
        <w:rPr>
          <w:rFonts w:ascii="Times New Roman" w:hAnsi="Times New Roman" w:cs="Times New Roman"/>
          <w:sz w:val="24"/>
          <w:szCs w:val="24"/>
        </w:rPr>
        <w:t>vedčeni</w:t>
      </w:r>
      <w:r w:rsidR="00B96A51">
        <w:rPr>
          <w:rFonts w:ascii="Times New Roman" w:hAnsi="Times New Roman" w:cs="Times New Roman"/>
          <w:sz w:val="24"/>
          <w:szCs w:val="24"/>
        </w:rPr>
        <w:t>a ECDL</w:t>
      </w:r>
      <w:r w:rsidR="0014128D">
        <w:rPr>
          <w:rFonts w:ascii="Times New Roman" w:hAnsi="Times New Roman" w:cs="Times New Roman"/>
          <w:sz w:val="24"/>
          <w:szCs w:val="24"/>
        </w:rPr>
        <w:t xml:space="preserve">. </w:t>
      </w:r>
    </w:p>
    <w:p w:rsidR="00D32BFF" w:rsidRPr="006D3102" w:rsidP="00A04B57">
      <w:pPr>
        <w:spacing w:line="240" w:lineRule="auto"/>
        <w:rPr>
          <w:rFonts w:ascii="Times New Roman" w:hAnsi="Times New Roman" w:cs="Times New Roman"/>
          <w:sz w:val="24"/>
          <w:szCs w:val="24"/>
        </w:rPr>
      </w:pPr>
    </w:p>
    <w:p w:rsidR="00D27E26" w:rsidP="00C362EA">
      <w:pPr>
        <w:spacing w:line="240" w:lineRule="auto"/>
        <w:rPr>
          <w:rFonts w:ascii="Times New Roman" w:hAnsi="Times New Roman" w:cs="Times New Roman"/>
          <w:b/>
          <w:sz w:val="24"/>
          <w:u w:val="single"/>
        </w:rPr>
      </w:pPr>
      <w:r w:rsidR="00303AE6">
        <w:rPr>
          <w:rFonts w:ascii="Times New Roman" w:hAnsi="Times New Roman" w:cs="Times New Roman"/>
          <w:b/>
          <w:sz w:val="24"/>
          <w:u w:val="single"/>
        </w:rPr>
        <w:t>7</w:t>
      </w:r>
      <w:r w:rsidRPr="00D23807">
        <w:rPr>
          <w:rFonts w:ascii="Times New Roman" w:hAnsi="Times New Roman" w:cs="Times New Roman"/>
          <w:b/>
          <w:sz w:val="24"/>
          <w:u w:val="single"/>
        </w:rPr>
        <w:t>. POŠTOVÝ REGUL</w:t>
      </w:r>
      <w:r w:rsidR="006D3102">
        <w:rPr>
          <w:rFonts w:ascii="Times New Roman" w:hAnsi="Times New Roman" w:cs="Times New Roman"/>
          <w:b/>
          <w:sz w:val="24"/>
          <w:u w:val="single"/>
        </w:rPr>
        <w:t xml:space="preserve">AČNÝ ÚRAD </w:t>
      </w:r>
      <w:r w:rsidR="00F65122">
        <w:rPr>
          <w:rFonts w:ascii="Times New Roman" w:hAnsi="Times New Roman" w:cs="Times New Roman"/>
          <w:b/>
          <w:sz w:val="24"/>
          <w:u w:val="single"/>
        </w:rPr>
        <w:t>– prvok 07T0304</w:t>
      </w:r>
      <w:r w:rsidR="008F304A">
        <w:rPr>
          <w:rFonts w:ascii="Times New Roman" w:hAnsi="Times New Roman" w:cs="Times New Roman"/>
          <w:b/>
          <w:sz w:val="24"/>
          <w:u w:val="single"/>
        </w:rPr>
        <w:t xml:space="preserve"> –  Regul. </w:t>
      </w:r>
      <w:r w:rsidRPr="00D23807">
        <w:rPr>
          <w:rFonts w:ascii="Times New Roman" w:hAnsi="Times New Roman" w:cs="Times New Roman"/>
          <w:b/>
          <w:sz w:val="24"/>
          <w:u w:val="single"/>
        </w:rPr>
        <w:t>trhu poštových služieb</w:t>
      </w:r>
    </w:p>
    <w:p w:rsidR="00D32BFF" w:rsidRPr="00D23807" w:rsidP="00C362EA">
      <w:pPr>
        <w:spacing w:line="240" w:lineRule="auto"/>
        <w:rPr>
          <w:rFonts w:ascii="Times New Roman" w:hAnsi="Times New Roman" w:cs="Times New Roman"/>
          <w:b/>
          <w:sz w:val="24"/>
          <w:u w:val="single"/>
        </w:rPr>
      </w:pPr>
    </w:p>
    <w:p w:rsidR="00497572" w:rsidP="00C362EA">
      <w:pPr>
        <w:spacing w:line="240" w:lineRule="auto"/>
        <w:jc w:val="center"/>
        <w:rPr>
          <w:rFonts w:ascii="Arial Narrow" w:hAnsi="Arial Narrow" w:cs="Times New Roman"/>
          <w:b/>
          <w:sz w:val="24"/>
          <w:szCs w:val="24"/>
        </w:rPr>
      </w:pPr>
      <w:r w:rsidR="008F304A">
        <w:rPr>
          <w:rFonts w:ascii="Arial Narrow" w:hAnsi="Arial Narrow" w:cs="Times New Roman"/>
          <w:b/>
          <w:sz w:val="24"/>
          <w:szCs w:val="24"/>
        </w:rPr>
        <w:t xml:space="preserve">         </w:t>
      </w:r>
      <w:r w:rsidRPr="00F43690" w:rsidR="006D3102">
        <w:rPr>
          <w:rFonts w:ascii="Arial Narrow" w:hAnsi="Arial Narrow" w:cs="Times New Roman"/>
          <w:b/>
          <w:sz w:val="24"/>
          <w:szCs w:val="24"/>
        </w:rPr>
        <w:t>Prehľad rozpočtov</w:t>
      </w:r>
      <w:r w:rsidR="006D3102">
        <w:rPr>
          <w:rFonts w:ascii="Arial Narrow" w:hAnsi="Arial Narrow" w:cs="Times New Roman"/>
          <w:b/>
          <w:sz w:val="24"/>
          <w:szCs w:val="24"/>
        </w:rPr>
        <w:t xml:space="preserve">ých výdavkov Poštového regulačného úradu </w:t>
      </w:r>
      <w:r w:rsidR="0016077D">
        <w:rPr>
          <w:rFonts w:ascii="Arial Narrow" w:hAnsi="Arial Narrow" w:cs="Times New Roman"/>
          <w:b/>
          <w:sz w:val="24"/>
          <w:szCs w:val="24"/>
        </w:rPr>
        <w:t>za rok 2007</w:t>
      </w:r>
      <w:r w:rsidR="008F304A">
        <w:rPr>
          <w:rFonts w:ascii="Arial Narrow" w:hAnsi="Arial Narrow" w:cs="Times New Roman"/>
          <w:b/>
          <w:sz w:val="24"/>
          <w:szCs w:val="24"/>
        </w:rPr>
        <w:t xml:space="preserve">  </w:t>
      </w:r>
    </w:p>
    <w:p w:rsidR="006D3102" w:rsidRPr="008F304A" w:rsidP="00C362EA">
      <w:pPr>
        <w:spacing w:line="240" w:lineRule="auto"/>
        <w:jc w:val="center"/>
        <w:rPr>
          <w:rFonts w:ascii="Arial Narrow" w:hAnsi="Arial Narrow" w:cs="Times New Roman"/>
          <w:b/>
          <w:sz w:val="24"/>
          <w:szCs w:val="24"/>
        </w:rPr>
      </w:pPr>
      <w:r w:rsidR="00497572">
        <w:rPr>
          <w:rFonts w:ascii="Arial Narrow" w:hAnsi="Arial Narrow" w:cs="Times New Roman"/>
          <w:b/>
          <w:sz w:val="24"/>
          <w:szCs w:val="24"/>
        </w:rPr>
        <w:t xml:space="preserve">                                                                                                                                                        </w:t>
      </w:r>
      <w:r w:rsidR="008F304A">
        <w:rPr>
          <w:rFonts w:ascii="Arial Narrow" w:hAnsi="Arial Narrow" w:cs="Times New Roman"/>
          <w:b/>
          <w:sz w:val="24"/>
          <w:szCs w:val="24"/>
        </w:rPr>
        <w:t xml:space="preserve">   </w:t>
      </w:r>
      <w:r w:rsidRPr="008F304A" w:rsidR="008F304A">
        <w:rPr>
          <w:rFonts w:ascii="Arial Narrow" w:hAnsi="Arial Narrow" w:cs="Times New Roman"/>
        </w:rPr>
        <w:t>(v Sk)</w:t>
      </w:r>
      <w:r w:rsidRPr="008F304A">
        <w:rPr>
          <w:rFonts w:ascii="Arial Narrow" w:hAnsi="Arial Narrow" w:cs="Times New Roman"/>
        </w:rPr>
        <w:t xml:space="preserve">                                                                                                                                                                                          </w:t>
      </w:r>
    </w:p>
    <w:tbl>
      <w:tblPr>
        <w:tblW w:w="93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Grid>
        <w:gridCol w:w="3060"/>
        <w:gridCol w:w="1620"/>
        <w:gridCol w:w="1620"/>
        <w:gridCol w:w="1620"/>
        <w:gridCol w:w="1473"/>
      </w:tblGrid>
      <w:tr>
        <w:tblPrEx>
          <w:tblW w:w="93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auto" w:val="0"/>
        </w:trPr>
        <w:tc>
          <w:tcPr>
            <w:tcW w:w="3060" w:type="dxa"/>
            <w:tcBorders>
              <w:top w:val="single" w:sz="4" w:space="0" w:color="auto"/>
              <w:left w:val="single" w:sz="4" w:space="0" w:color="auto"/>
              <w:bottom w:val="single" w:sz="4" w:space="0" w:color="auto"/>
              <w:right w:val="single" w:sz="4" w:space="0" w:color="auto"/>
              <w:tl2br w:val="nil"/>
              <w:tr2bl w:val="nil"/>
            </w:tcBorders>
            <w:shd w:val="clear" w:color="auto" w:fill="CCCCCC"/>
            <w:textDirection w:val="lrTb"/>
            <w:vAlign w:val="top"/>
          </w:tcPr>
          <w:p w:rsidR="0016077D" w:rsidRPr="00D04D46" w:rsidP="00C362EA">
            <w:pPr>
              <w:spacing w:line="240" w:lineRule="auto"/>
              <w:rPr>
                <w:rFonts w:ascii="Times New Roman" w:hAnsi="Times New Roman" w:cs="Times New Roman"/>
                <w:u w:val="single"/>
              </w:rPr>
            </w:pPr>
          </w:p>
        </w:tc>
        <w:tc>
          <w:tcPr>
            <w:tcW w:w="1620" w:type="dxa"/>
            <w:tcBorders>
              <w:top w:val="single" w:sz="4" w:space="0" w:color="auto"/>
              <w:left w:val="single" w:sz="4" w:space="0" w:color="auto"/>
              <w:bottom w:val="single" w:sz="4" w:space="0" w:color="auto"/>
              <w:right w:val="single" w:sz="4" w:space="0" w:color="auto"/>
              <w:tl2br w:val="nil"/>
              <w:tr2bl w:val="nil"/>
            </w:tcBorders>
            <w:shd w:val="clear" w:color="auto" w:fill="CCCCCC"/>
            <w:textDirection w:val="lrTb"/>
            <w:vAlign w:val="center"/>
          </w:tcPr>
          <w:p w:rsidR="0016077D" w:rsidRPr="00FC7E23" w:rsidP="00C362EA">
            <w:pPr>
              <w:spacing w:line="240" w:lineRule="auto"/>
              <w:jc w:val="center"/>
              <w:rPr>
                <w:rFonts w:ascii="Arial Narrow" w:hAnsi="Arial Narrow" w:cs="Times New Roman"/>
                <w:b/>
              </w:rPr>
            </w:pPr>
            <w:r w:rsidRPr="00FC7E23">
              <w:rPr>
                <w:rFonts w:ascii="Arial Narrow" w:hAnsi="Arial Narrow" w:cs="Times New Roman"/>
                <w:b/>
              </w:rPr>
              <w:t xml:space="preserve">Schválený rozpočet </w:t>
            </w:r>
            <w:r>
              <w:rPr>
                <w:rFonts w:ascii="Arial Narrow" w:hAnsi="Arial Narrow" w:cs="Times New Roman"/>
                <w:b/>
              </w:rPr>
              <w:t>k 1.1.2007</w:t>
            </w:r>
          </w:p>
        </w:tc>
        <w:tc>
          <w:tcPr>
            <w:tcW w:w="1620" w:type="dxa"/>
            <w:tcBorders>
              <w:top w:val="single" w:sz="4" w:space="0" w:color="auto"/>
              <w:left w:val="single" w:sz="4" w:space="0" w:color="auto"/>
              <w:bottom w:val="single" w:sz="4" w:space="0" w:color="auto"/>
              <w:right w:val="single" w:sz="4" w:space="0" w:color="auto"/>
              <w:tl2br w:val="nil"/>
              <w:tr2bl w:val="nil"/>
            </w:tcBorders>
            <w:shd w:val="clear" w:color="auto" w:fill="CCCCCC"/>
            <w:textDirection w:val="lrTb"/>
            <w:vAlign w:val="center"/>
          </w:tcPr>
          <w:p w:rsidR="0016077D" w:rsidRPr="00FC7E23" w:rsidP="00C362EA">
            <w:pPr>
              <w:spacing w:line="240" w:lineRule="auto"/>
              <w:jc w:val="center"/>
              <w:rPr>
                <w:rFonts w:ascii="Arial Narrow" w:hAnsi="Arial Narrow" w:cs="Times New Roman"/>
                <w:b/>
              </w:rPr>
            </w:pPr>
            <w:r>
              <w:rPr>
                <w:rFonts w:ascii="Arial Narrow" w:hAnsi="Arial Narrow" w:cs="Times New Roman"/>
                <w:b/>
              </w:rPr>
              <w:t>Upravený rozpočet k 31.12.2007</w:t>
            </w:r>
          </w:p>
        </w:tc>
        <w:tc>
          <w:tcPr>
            <w:tcW w:w="1620" w:type="dxa"/>
            <w:tcBorders>
              <w:top w:val="single" w:sz="4" w:space="0" w:color="auto"/>
              <w:left w:val="single" w:sz="4" w:space="0" w:color="auto"/>
              <w:bottom w:val="single" w:sz="4" w:space="0" w:color="auto"/>
              <w:right w:val="single" w:sz="4" w:space="0" w:color="auto"/>
              <w:tl2br w:val="nil"/>
              <w:tr2bl w:val="nil"/>
            </w:tcBorders>
            <w:shd w:val="clear" w:color="auto" w:fill="CCCCCC"/>
            <w:textDirection w:val="lrTb"/>
            <w:vAlign w:val="center"/>
          </w:tcPr>
          <w:p w:rsidR="0016077D" w:rsidRPr="00FC7E23" w:rsidP="00C362EA">
            <w:pPr>
              <w:spacing w:line="240" w:lineRule="auto"/>
              <w:jc w:val="center"/>
              <w:rPr>
                <w:rFonts w:ascii="Arial Narrow" w:hAnsi="Arial Narrow" w:cs="Times New Roman"/>
                <w:b/>
              </w:rPr>
            </w:pPr>
            <w:r>
              <w:rPr>
                <w:rFonts w:ascii="Arial Narrow" w:hAnsi="Arial Narrow" w:cs="Times New Roman"/>
                <w:b/>
              </w:rPr>
              <w:t>Skutočné čerpanie k 31.12.2007</w:t>
            </w:r>
          </w:p>
        </w:tc>
        <w:tc>
          <w:tcPr>
            <w:tcW w:w="1473" w:type="dxa"/>
            <w:tcBorders>
              <w:top w:val="single" w:sz="4" w:space="0" w:color="auto"/>
              <w:left w:val="single" w:sz="4" w:space="0" w:color="auto"/>
              <w:bottom w:val="single" w:sz="4" w:space="0" w:color="auto"/>
              <w:right w:val="single" w:sz="4" w:space="0" w:color="auto"/>
              <w:tl2br w:val="nil"/>
              <w:tr2bl w:val="nil"/>
            </w:tcBorders>
            <w:shd w:val="clear" w:color="auto" w:fill="CCCCCC"/>
            <w:textDirection w:val="lrTb"/>
            <w:vAlign w:val="center"/>
          </w:tcPr>
          <w:p w:rsidR="0016077D" w:rsidP="00C362EA">
            <w:pPr>
              <w:spacing w:line="240" w:lineRule="auto"/>
              <w:jc w:val="center"/>
              <w:rPr>
                <w:rFonts w:ascii="Arial Narrow" w:hAnsi="Arial Narrow" w:cs="Times New Roman"/>
                <w:b/>
              </w:rPr>
            </w:pPr>
            <w:r w:rsidR="00F70098">
              <w:rPr>
                <w:rFonts w:ascii="Arial Narrow" w:hAnsi="Arial Narrow" w:cs="Times New Roman"/>
                <w:b/>
              </w:rPr>
              <w:t>Rozdiel</w:t>
            </w:r>
          </w:p>
        </w:tc>
      </w:tr>
      <w:tr>
        <w:tblPrEx>
          <w:tblW w:w="9393" w:type="dxa"/>
          <w:tblInd w:w="108" w:type="dxa"/>
        </w:tblPrEx>
        <w:trPr>
          <w:trHeight w:hRule="auto" w:val="0"/>
        </w:trPr>
        <w:tc>
          <w:tcPr>
            <w:tcW w:w="306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16077D" w:rsidRPr="00DC7250" w:rsidP="00C362EA">
            <w:pPr>
              <w:spacing w:line="240" w:lineRule="auto"/>
              <w:rPr>
                <w:rFonts w:ascii="Arial Narrow" w:hAnsi="Arial Narrow" w:cs="Times New Roman"/>
              </w:rPr>
            </w:pPr>
            <w:r w:rsidRPr="00DC7250">
              <w:rPr>
                <w:rFonts w:ascii="Arial Narrow" w:hAnsi="Arial Narrow" w:cs="Times New Roman"/>
              </w:rPr>
              <w:t>Bežné výdavky (600), z toho:</w:t>
            </w:r>
          </w:p>
        </w:tc>
        <w:tc>
          <w:tcPr>
            <w:tcW w:w="162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16077D" w:rsidRPr="00DC7250" w:rsidP="00B6004F">
            <w:pPr>
              <w:spacing w:line="240" w:lineRule="auto"/>
              <w:jc w:val="right"/>
              <w:rPr>
                <w:rFonts w:ascii="Arial Narrow" w:hAnsi="Arial Narrow" w:cs="Times New Roman"/>
              </w:rPr>
            </w:pPr>
            <w:r w:rsidR="00286AE9">
              <w:rPr>
                <w:rFonts w:ascii="Arial Narrow" w:hAnsi="Arial Narrow" w:cs="Times New Roman"/>
              </w:rPr>
              <w:t>10 387</w:t>
            </w:r>
            <w:r>
              <w:rPr>
                <w:rFonts w:ascii="Arial Narrow" w:hAnsi="Arial Narrow" w:cs="Times New Roman"/>
              </w:rPr>
              <w:t> 000,00</w:t>
            </w:r>
          </w:p>
        </w:tc>
        <w:tc>
          <w:tcPr>
            <w:tcW w:w="162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16077D" w:rsidRPr="00DC7250" w:rsidP="00B6004F">
            <w:pPr>
              <w:spacing w:line="240" w:lineRule="auto"/>
              <w:jc w:val="right"/>
              <w:rPr>
                <w:rFonts w:ascii="Arial Narrow" w:hAnsi="Arial Narrow" w:cs="Times New Roman"/>
              </w:rPr>
            </w:pPr>
            <w:r w:rsidR="00A136FB">
              <w:rPr>
                <w:rFonts w:ascii="Arial Narrow" w:hAnsi="Arial Narrow" w:cs="Times New Roman"/>
              </w:rPr>
              <w:t>10 247 602</w:t>
            </w:r>
            <w:r>
              <w:rPr>
                <w:rFonts w:ascii="Arial Narrow" w:hAnsi="Arial Narrow" w:cs="Times New Roman"/>
              </w:rPr>
              <w:t>,00</w:t>
            </w:r>
          </w:p>
        </w:tc>
        <w:tc>
          <w:tcPr>
            <w:tcW w:w="162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16077D" w:rsidRPr="00B23854" w:rsidP="00B6004F">
            <w:pPr>
              <w:spacing w:line="240" w:lineRule="auto"/>
              <w:jc w:val="right"/>
              <w:rPr>
                <w:rFonts w:ascii="Arial Narrow" w:hAnsi="Arial Narrow" w:cs="Times New Roman"/>
              </w:rPr>
            </w:pPr>
            <w:r>
              <w:rPr>
                <w:rFonts w:ascii="Arial Narrow" w:hAnsi="Arial Narrow" w:cs="Times New Roman"/>
              </w:rPr>
              <w:t>10 230 217,72</w:t>
            </w:r>
          </w:p>
        </w:tc>
        <w:tc>
          <w:tcPr>
            <w:tcW w:w="1473"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16077D" w:rsidP="00B6004F">
            <w:pPr>
              <w:spacing w:line="240" w:lineRule="auto"/>
              <w:jc w:val="right"/>
              <w:rPr>
                <w:rFonts w:ascii="Arial Narrow" w:hAnsi="Arial Narrow" w:cs="Times New Roman"/>
              </w:rPr>
            </w:pPr>
            <w:r w:rsidR="00745937">
              <w:rPr>
                <w:rFonts w:ascii="Arial Narrow" w:hAnsi="Arial Narrow" w:cs="Times New Roman"/>
              </w:rPr>
              <w:t>17 384,28</w:t>
            </w:r>
          </w:p>
        </w:tc>
      </w:tr>
      <w:tr>
        <w:tblPrEx>
          <w:tblW w:w="9393" w:type="dxa"/>
          <w:tblInd w:w="108" w:type="dxa"/>
        </w:tblPrEx>
        <w:trPr>
          <w:trHeight w:hRule="auto" w:val="0"/>
        </w:trPr>
        <w:tc>
          <w:tcPr>
            <w:tcW w:w="306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16077D" w:rsidRPr="00D04D46" w:rsidP="00C362EA">
            <w:pPr>
              <w:spacing w:line="240" w:lineRule="auto"/>
              <w:rPr>
                <w:rFonts w:ascii="Arial Narrow" w:hAnsi="Arial Narrow" w:cs="Times New Roman"/>
              </w:rPr>
            </w:pPr>
            <w:r>
              <w:rPr>
                <w:rFonts w:ascii="Arial Narrow" w:hAnsi="Arial Narrow" w:cs="Times New Roman"/>
              </w:rPr>
              <w:t>Mzdy, platy, sl. príjmy a OOV (610)</w:t>
            </w:r>
          </w:p>
        </w:tc>
        <w:tc>
          <w:tcPr>
            <w:tcW w:w="162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16077D" w:rsidRPr="00D04D46" w:rsidP="00B6004F">
            <w:pPr>
              <w:spacing w:line="240" w:lineRule="auto"/>
              <w:jc w:val="right"/>
              <w:rPr>
                <w:rFonts w:ascii="Arial Narrow" w:hAnsi="Arial Narrow" w:cs="Times New Roman"/>
              </w:rPr>
            </w:pPr>
            <w:r>
              <w:rPr>
                <w:rFonts w:ascii="Arial Narrow" w:hAnsi="Arial Narrow" w:cs="Times New Roman"/>
              </w:rPr>
              <w:t>5 372 000,00</w:t>
            </w:r>
          </w:p>
        </w:tc>
        <w:tc>
          <w:tcPr>
            <w:tcW w:w="162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16077D" w:rsidRPr="00D04D46" w:rsidP="00B6004F">
            <w:pPr>
              <w:spacing w:line="240" w:lineRule="auto"/>
              <w:jc w:val="right"/>
              <w:rPr>
                <w:rFonts w:ascii="Arial Narrow" w:hAnsi="Arial Narrow" w:cs="Times New Roman"/>
              </w:rPr>
            </w:pPr>
            <w:r>
              <w:rPr>
                <w:rFonts w:ascii="Arial Narrow" w:hAnsi="Arial Narrow" w:cs="Times New Roman"/>
              </w:rPr>
              <w:t>5 260 000,00</w:t>
            </w:r>
          </w:p>
        </w:tc>
        <w:tc>
          <w:tcPr>
            <w:tcW w:w="162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16077D" w:rsidRPr="00B23854" w:rsidP="00B6004F">
            <w:pPr>
              <w:spacing w:line="240" w:lineRule="auto"/>
              <w:jc w:val="right"/>
              <w:rPr>
                <w:rFonts w:ascii="Arial Narrow" w:hAnsi="Arial Narrow" w:cs="Times New Roman"/>
              </w:rPr>
            </w:pPr>
            <w:r>
              <w:rPr>
                <w:rFonts w:ascii="Arial Narrow" w:hAnsi="Arial Narrow" w:cs="Times New Roman"/>
              </w:rPr>
              <w:t>5 260 000,0</w:t>
            </w:r>
            <w:r>
              <w:rPr>
                <w:rFonts w:ascii="Arial Narrow" w:hAnsi="Arial Narrow" w:cs="Times New Roman"/>
              </w:rPr>
              <w:t>0</w:t>
            </w:r>
          </w:p>
        </w:tc>
        <w:tc>
          <w:tcPr>
            <w:tcW w:w="1473"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16077D" w:rsidP="00B6004F">
            <w:pPr>
              <w:spacing w:line="240" w:lineRule="auto"/>
              <w:jc w:val="right"/>
              <w:rPr>
                <w:rFonts w:ascii="Arial Narrow" w:hAnsi="Arial Narrow" w:cs="Times New Roman"/>
              </w:rPr>
            </w:pPr>
            <w:r>
              <w:rPr>
                <w:rFonts w:ascii="Arial Narrow" w:hAnsi="Arial Narrow" w:cs="Times New Roman"/>
              </w:rPr>
              <w:t>0,00</w:t>
            </w:r>
          </w:p>
        </w:tc>
      </w:tr>
      <w:tr>
        <w:tblPrEx>
          <w:tblW w:w="9393" w:type="dxa"/>
          <w:tblInd w:w="108" w:type="dxa"/>
        </w:tblPrEx>
        <w:trPr>
          <w:trHeight w:hRule="auto" w:val="0"/>
        </w:trPr>
        <w:tc>
          <w:tcPr>
            <w:tcW w:w="306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16077D" w:rsidRPr="00D04D46" w:rsidP="00C362EA">
            <w:pPr>
              <w:spacing w:line="240" w:lineRule="auto"/>
              <w:rPr>
                <w:rFonts w:ascii="Arial Narrow" w:hAnsi="Arial Narrow" w:cs="Times New Roman"/>
              </w:rPr>
            </w:pPr>
            <w:r>
              <w:rPr>
                <w:rFonts w:ascii="Arial Narrow" w:hAnsi="Arial Narrow" w:cs="Times New Roman"/>
              </w:rPr>
              <w:t>Poistné a príspevok do poisťovní (620)</w:t>
            </w:r>
          </w:p>
        </w:tc>
        <w:tc>
          <w:tcPr>
            <w:tcW w:w="162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16077D" w:rsidRPr="00D04D46" w:rsidP="00B6004F">
            <w:pPr>
              <w:spacing w:line="240" w:lineRule="auto"/>
              <w:jc w:val="right"/>
              <w:rPr>
                <w:rFonts w:ascii="Arial Narrow" w:hAnsi="Arial Narrow" w:cs="Times New Roman"/>
              </w:rPr>
            </w:pPr>
            <w:r>
              <w:rPr>
                <w:rFonts w:ascii="Arial Narrow" w:hAnsi="Arial Narrow" w:cs="Times New Roman"/>
              </w:rPr>
              <w:t>1 872 000,00</w:t>
            </w:r>
          </w:p>
        </w:tc>
        <w:tc>
          <w:tcPr>
            <w:tcW w:w="162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16077D" w:rsidRPr="00D04D46" w:rsidP="00B6004F">
            <w:pPr>
              <w:spacing w:line="240" w:lineRule="auto"/>
              <w:jc w:val="right"/>
              <w:rPr>
                <w:rFonts w:ascii="Arial Narrow" w:hAnsi="Arial Narrow" w:cs="Times New Roman"/>
              </w:rPr>
            </w:pPr>
            <w:r>
              <w:rPr>
                <w:rFonts w:ascii="Arial Narrow" w:hAnsi="Arial Narrow" w:cs="Times New Roman"/>
              </w:rPr>
              <w:t>1 909 000,00</w:t>
            </w:r>
          </w:p>
        </w:tc>
        <w:tc>
          <w:tcPr>
            <w:tcW w:w="162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16077D" w:rsidRPr="00B23854" w:rsidP="00B6004F">
            <w:pPr>
              <w:spacing w:line="240" w:lineRule="auto"/>
              <w:jc w:val="right"/>
              <w:rPr>
                <w:rFonts w:ascii="Arial Narrow" w:hAnsi="Arial Narrow" w:cs="Times New Roman"/>
              </w:rPr>
            </w:pPr>
            <w:r>
              <w:rPr>
                <w:rFonts w:ascii="Arial Narrow" w:hAnsi="Arial Narrow" w:cs="Times New Roman"/>
              </w:rPr>
              <w:t>1 908 771,00</w:t>
            </w:r>
          </w:p>
        </w:tc>
        <w:tc>
          <w:tcPr>
            <w:tcW w:w="1473"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16077D" w:rsidP="00B6004F">
            <w:pPr>
              <w:spacing w:line="240" w:lineRule="auto"/>
              <w:jc w:val="right"/>
              <w:rPr>
                <w:rFonts w:ascii="Arial Narrow" w:hAnsi="Arial Narrow" w:cs="Times New Roman"/>
              </w:rPr>
            </w:pPr>
            <w:r>
              <w:rPr>
                <w:rFonts w:ascii="Arial Narrow" w:hAnsi="Arial Narrow" w:cs="Times New Roman"/>
              </w:rPr>
              <w:t>229,00</w:t>
            </w:r>
          </w:p>
        </w:tc>
      </w:tr>
      <w:tr>
        <w:tblPrEx>
          <w:tblW w:w="9393" w:type="dxa"/>
          <w:tblInd w:w="108" w:type="dxa"/>
        </w:tblPrEx>
        <w:trPr>
          <w:trHeight w:hRule="auto" w:val="0"/>
        </w:trPr>
        <w:tc>
          <w:tcPr>
            <w:tcW w:w="306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16077D" w:rsidRPr="00D04D46" w:rsidP="00C362EA">
            <w:pPr>
              <w:spacing w:line="240" w:lineRule="auto"/>
              <w:rPr>
                <w:rFonts w:ascii="Arial Narrow" w:hAnsi="Arial Narrow" w:cs="Times New Roman"/>
              </w:rPr>
            </w:pPr>
            <w:r>
              <w:rPr>
                <w:rFonts w:ascii="Arial Narrow" w:hAnsi="Arial Narrow" w:cs="Times New Roman"/>
              </w:rPr>
              <w:t>Tovary a služby (630)</w:t>
            </w:r>
          </w:p>
        </w:tc>
        <w:tc>
          <w:tcPr>
            <w:tcW w:w="162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16077D" w:rsidRPr="00D04D46" w:rsidP="00B6004F">
            <w:pPr>
              <w:spacing w:line="240" w:lineRule="auto"/>
              <w:jc w:val="right"/>
              <w:rPr>
                <w:rFonts w:ascii="Arial Narrow" w:hAnsi="Arial Narrow" w:cs="Times New Roman"/>
              </w:rPr>
            </w:pPr>
            <w:r>
              <w:rPr>
                <w:rFonts w:ascii="Arial Narrow" w:hAnsi="Arial Narrow" w:cs="Times New Roman"/>
              </w:rPr>
              <w:t>3 043 000,00</w:t>
            </w:r>
          </w:p>
        </w:tc>
        <w:tc>
          <w:tcPr>
            <w:tcW w:w="162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16077D" w:rsidRPr="00D04D46" w:rsidP="00B6004F">
            <w:pPr>
              <w:spacing w:line="240" w:lineRule="auto"/>
              <w:jc w:val="right"/>
              <w:rPr>
                <w:rFonts w:ascii="Arial Narrow" w:hAnsi="Arial Narrow" w:cs="Times New Roman"/>
              </w:rPr>
            </w:pPr>
            <w:r>
              <w:rPr>
                <w:rFonts w:ascii="Arial Narrow" w:hAnsi="Arial Narrow" w:cs="Times New Roman"/>
              </w:rPr>
              <w:t>3 043 000,00</w:t>
            </w:r>
          </w:p>
        </w:tc>
        <w:tc>
          <w:tcPr>
            <w:tcW w:w="162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16077D" w:rsidRPr="00B23854" w:rsidP="00B6004F">
            <w:pPr>
              <w:spacing w:line="240" w:lineRule="auto"/>
              <w:jc w:val="right"/>
              <w:rPr>
                <w:rFonts w:ascii="Arial Narrow" w:hAnsi="Arial Narrow" w:cs="Times New Roman"/>
              </w:rPr>
            </w:pPr>
            <w:r>
              <w:rPr>
                <w:rFonts w:ascii="Arial Narrow" w:hAnsi="Arial Narrow" w:cs="Times New Roman"/>
              </w:rPr>
              <w:t>3 037 363,72</w:t>
            </w:r>
          </w:p>
        </w:tc>
        <w:tc>
          <w:tcPr>
            <w:tcW w:w="1473"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16077D" w:rsidP="00B6004F">
            <w:pPr>
              <w:spacing w:line="240" w:lineRule="auto"/>
              <w:jc w:val="right"/>
              <w:rPr>
                <w:rFonts w:ascii="Arial Narrow" w:hAnsi="Arial Narrow" w:cs="Times New Roman"/>
              </w:rPr>
            </w:pPr>
            <w:r>
              <w:rPr>
                <w:rFonts w:ascii="Arial Narrow" w:hAnsi="Arial Narrow" w:cs="Times New Roman"/>
              </w:rPr>
              <w:t>5 636,28</w:t>
            </w:r>
          </w:p>
        </w:tc>
      </w:tr>
      <w:tr>
        <w:tblPrEx>
          <w:tblW w:w="9393" w:type="dxa"/>
          <w:tblInd w:w="108" w:type="dxa"/>
        </w:tblPrEx>
        <w:trPr>
          <w:trHeight w:hRule="auto" w:val="0"/>
        </w:trPr>
        <w:tc>
          <w:tcPr>
            <w:tcW w:w="306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16077D" w:rsidRPr="00D04D46" w:rsidP="00C362EA">
            <w:pPr>
              <w:spacing w:line="240" w:lineRule="auto"/>
              <w:rPr>
                <w:rFonts w:ascii="Arial Narrow" w:hAnsi="Arial Narrow" w:cs="Times New Roman"/>
              </w:rPr>
            </w:pPr>
            <w:r>
              <w:rPr>
                <w:rFonts w:ascii="Arial Narrow" w:hAnsi="Arial Narrow" w:cs="Times New Roman"/>
              </w:rPr>
              <w:t>Bežné transfery (640)</w:t>
            </w:r>
          </w:p>
        </w:tc>
        <w:tc>
          <w:tcPr>
            <w:tcW w:w="162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16077D" w:rsidRPr="00D04D46" w:rsidP="00B6004F">
            <w:pPr>
              <w:spacing w:line="240" w:lineRule="auto"/>
              <w:jc w:val="right"/>
              <w:rPr>
                <w:rFonts w:ascii="Arial Narrow" w:hAnsi="Arial Narrow" w:cs="Times New Roman"/>
              </w:rPr>
            </w:pPr>
            <w:r>
              <w:rPr>
                <w:rFonts w:ascii="Arial Narrow" w:hAnsi="Arial Narrow" w:cs="Times New Roman"/>
              </w:rPr>
              <w:t>100 000,00</w:t>
            </w:r>
          </w:p>
        </w:tc>
        <w:tc>
          <w:tcPr>
            <w:tcW w:w="162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16077D" w:rsidRPr="00D04D46" w:rsidP="00B6004F">
            <w:pPr>
              <w:spacing w:line="240" w:lineRule="auto"/>
              <w:jc w:val="right"/>
              <w:rPr>
                <w:rFonts w:ascii="Arial Narrow" w:hAnsi="Arial Narrow" w:cs="Times New Roman"/>
              </w:rPr>
            </w:pPr>
            <w:r>
              <w:rPr>
                <w:rFonts w:ascii="Arial Narrow" w:hAnsi="Arial Narrow" w:cs="Times New Roman"/>
              </w:rPr>
              <w:t>35 602 ,00</w:t>
            </w:r>
          </w:p>
        </w:tc>
        <w:tc>
          <w:tcPr>
            <w:tcW w:w="162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16077D" w:rsidRPr="00B23854" w:rsidP="00B6004F">
            <w:pPr>
              <w:spacing w:line="240" w:lineRule="auto"/>
              <w:jc w:val="right"/>
              <w:rPr>
                <w:rFonts w:ascii="Arial Narrow" w:hAnsi="Arial Narrow" w:cs="Times New Roman"/>
              </w:rPr>
            </w:pPr>
            <w:r>
              <w:rPr>
                <w:rFonts w:ascii="Arial Narrow" w:hAnsi="Arial Narrow" w:cs="Times New Roman"/>
              </w:rPr>
              <w:t>24 083,00</w:t>
            </w:r>
          </w:p>
        </w:tc>
        <w:tc>
          <w:tcPr>
            <w:tcW w:w="1473"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16077D" w:rsidP="00B6004F">
            <w:pPr>
              <w:spacing w:line="240" w:lineRule="auto"/>
              <w:jc w:val="right"/>
              <w:rPr>
                <w:rFonts w:ascii="Arial Narrow" w:hAnsi="Arial Narrow" w:cs="Times New Roman"/>
              </w:rPr>
            </w:pPr>
            <w:r>
              <w:rPr>
                <w:rFonts w:ascii="Arial Narrow" w:hAnsi="Arial Narrow" w:cs="Times New Roman"/>
              </w:rPr>
              <w:t>11 519,00</w:t>
            </w:r>
          </w:p>
        </w:tc>
      </w:tr>
      <w:tr>
        <w:tblPrEx>
          <w:tblW w:w="9393" w:type="dxa"/>
          <w:tblInd w:w="108" w:type="dxa"/>
        </w:tblPrEx>
        <w:trPr>
          <w:trHeight w:hRule="auto" w:val="0"/>
        </w:trPr>
        <w:tc>
          <w:tcPr>
            <w:tcW w:w="306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16077D" w:rsidP="00C362EA">
            <w:pPr>
              <w:spacing w:line="240" w:lineRule="auto"/>
              <w:rPr>
                <w:rFonts w:ascii="Arial Narrow" w:hAnsi="Arial Narrow" w:cs="Times New Roman"/>
              </w:rPr>
            </w:pPr>
            <w:r>
              <w:rPr>
                <w:rFonts w:ascii="Arial Narrow" w:hAnsi="Arial Narrow" w:cs="Times New Roman"/>
              </w:rPr>
              <w:t>Kapitálové výdavky (710)</w:t>
            </w:r>
          </w:p>
        </w:tc>
        <w:tc>
          <w:tcPr>
            <w:tcW w:w="162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16077D" w:rsidRPr="00D04D46" w:rsidP="00B6004F">
            <w:pPr>
              <w:spacing w:line="240" w:lineRule="auto"/>
              <w:jc w:val="right"/>
              <w:rPr>
                <w:rFonts w:ascii="Arial Narrow" w:hAnsi="Arial Narrow" w:cs="Times New Roman"/>
              </w:rPr>
            </w:pPr>
            <w:r>
              <w:rPr>
                <w:rFonts w:ascii="Arial Narrow" w:hAnsi="Arial Narrow" w:cs="Times New Roman"/>
              </w:rPr>
              <w:t>1</w:t>
            </w:r>
            <w:r>
              <w:rPr>
                <w:rFonts w:ascii="Arial Narrow" w:hAnsi="Arial Narrow" w:cs="Times New Roman"/>
              </w:rPr>
              <w:t> 000 000,00</w:t>
            </w:r>
          </w:p>
        </w:tc>
        <w:tc>
          <w:tcPr>
            <w:tcW w:w="162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16077D" w:rsidRPr="00D04D46" w:rsidP="00B6004F">
            <w:pPr>
              <w:spacing w:line="240" w:lineRule="auto"/>
              <w:jc w:val="right"/>
              <w:rPr>
                <w:rFonts w:ascii="Arial Narrow" w:hAnsi="Arial Narrow" w:cs="Times New Roman"/>
              </w:rPr>
            </w:pPr>
            <w:r>
              <w:rPr>
                <w:rFonts w:ascii="Arial Narrow" w:hAnsi="Arial Narrow" w:cs="Times New Roman"/>
              </w:rPr>
              <w:t>1 504 000,00</w:t>
            </w:r>
          </w:p>
        </w:tc>
        <w:tc>
          <w:tcPr>
            <w:tcW w:w="162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16077D" w:rsidRPr="00B23854" w:rsidP="00B6004F">
            <w:pPr>
              <w:spacing w:line="240" w:lineRule="auto"/>
              <w:jc w:val="right"/>
              <w:rPr>
                <w:rFonts w:ascii="Arial Narrow" w:hAnsi="Arial Narrow" w:cs="Times New Roman"/>
              </w:rPr>
            </w:pPr>
            <w:r>
              <w:rPr>
                <w:rFonts w:ascii="Arial Narrow" w:hAnsi="Arial Narrow" w:cs="Times New Roman"/>
              </w:rPr>
              <w:t>1 503 717,70</w:t>
            </w:r>
          </w:p>
        </w:tc>
        <w:tc>
          <w:tcPr>
            <w:tcW w:w="1473"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16077D" w:rsidP="00B6004F">
            <w:pPr>
              <w:spacing w:line="240" w:lineRule="auto"/>
              <w:jc w:val="right"/>
              <w:rPr>
                <w:rFonts w:ascii="Arial Narrow" w:hAnsi="Arial Narrow" w:cs="Times New Roman"/>
              </w:rPr>
            </w:pPr>
            <w:r>
              <w:rPr>
                <w:rFonts w:ascii="Arial Narrow" w:hAnsi="Arial Narrow" w:cs="Times New Roman"/>
              </w:rPr>
              <w:t>282,30</w:t>
            </w:r>
          </w:p>
        </w:tc>
      </w:tr>
      <w:tr>
        <w:tblPrEx>
          <w:tblW w:w="9393" w:type="dxa"/>
          <w:tblInd w:w="108" w:type="dxa"/>
        </w:tblPrEx>
        <w:trPr>
          <w:trHeight w:hRule="auto" w:val="0"/>
        </w:trPr>
        <w:tc>
          <w:tcPr>
            <w:tcW w:w="3060" w:type="dxa"/>
            <w:tcBorders>
              <w:top w:val="single" w:sz="4" w:space="0" w:color="auto"/>
              <w:left w:val="single" w:sz="4" w:space="0" w:color="auto"/>
              <w:bottom w:val="single" w:sz="4" w:space="0" w:color="auto"/>
              <w:right w:val="single" w:sz="4" w:space="0" w:color="auto"/>
              <w:tl2br w:val="nil"/>
              <w:tr2bl w:val="nil"/>
            </w:tcBorders>
            <w:shd w:val="clear" w:color="auto" w:fill="C0C0C0"/>
            <w:textDirection w:val="lrTb"/>
            <w:vAlign w:val="center"/>
          </w:tcPr>
          <w:p w:rsidR="0016077D" w:rsidRPr="00FC7E23" w:rsidP="00C362EA">
            <w:pPr>
              <w:spacing w:line="240" w:lineRule="auto"/>
              <w:rPr>
                <w:rFonts w:ascii="Arial Narrow" w:hAnsi="Arial Narrow" w:cs="Times New Roman"/>
                <w:b/>
              </w:rPr>
            </w:pPr>
            <w:r w:rsidRPr="00FC7E23">
              <w:rPr>
                <w:rFonts w:ascii="Arial Narrow" w:hAnsi="Arial Narrow" w:cs="Times New Roman"/>
                <w:b/>
              </w:rPr>
              <w:t>SPOLU</w:t>
            </w:r>
          </w:p>
        </w:tc>
        <w:tc>
          <w:tcPr>
            <w:tcW w:w="1620" w:type="dxa"/>
            <w:tcBorders>
              <w:top w:val="single" w:sz="4" w:space="0" w:color="auto"/>
              <w:left w:val="single" w:sz="4" w:space="0" w:color="auto"/>
              <w:bottom w:val="single" w:sz="4" w:space="0" w:color="auto"/>
              <w:right w:val="single" w:sz="4" w:space="0" w:color="auto"/>
              <w:tl2br w:val="nil"/>
              <w:tr2bl w:val="nil"/>
            </w:tcBorders>
            <w:shd w:val="clear" w:color="auto" w:fill="C0C0C0"/>
            <w:textDirection w:val="lrTb"/>
            <w:vAlign w:val="center"/>
          </w:tcPr>
          <w:p w:rsidR="0016077D" w:rsidRPr="00FC7E23" w:rsidP="00B6004F">
            <w:pPr>
              <w:spacing w:line="240" w:lineRule="auto"/>
              <w:jc w:val="right"/>
              <w:rPr>
                <w:rFonts w:ascii="Arial Narrow" w:hAnsi="Arial Narrow" w:cs="Times New Roman"/>
                <w:b/>
              </w:rPr>
            </w:pPr>
            <w:r>
              <w:rPr>
                <w:rFonts w:ascii="Arial Narrow" w:hAnsi="Arial Narrow" w:cs="Times New Roman"/>
                <w:b/>
              </w:rPr>
              <w:t>11 387 000,00</w:t>
            </w:r>
          </w:p>
        </w:tc>
        <w:tc>
          <w:tcPr>
            <w:tcW w:w="1620" w:type="dxa"/>
            <w:tcBorders>
              <w:top w:val="single" w:sz="4" w:space="0" w:color="auto"/>
              <w:left w:val="single" w:sz="4" w:space="0" w:color="auto"/>
              <w:bottom w:val="single" w:sz="4" w:space="0" w:color="auto"/>
              <w:right w:val="single" w:sz="4" w:space="0" w:color="auto"/>
              <w:tl2br w:val="nil"/>
              <w:tr2bl w:val="nil"/>
            </w:tcBorders>
            <w:shd w:val="clear" w:color="auto" w:fill="C0C0C0"/>
            <w:textDirection w:val="lrTb"/>
            <w:vAlign w:val="center"/>
          </w:tcPr>
          <w:p w:rsidR="0016077D" w:rsidRPr="00FC7E23" w:rsidP="00B6004F">
            <w:pPr>
              <w:spacing w:line="240" w:lineRule="auto"/>
              <w:jc w:val="right"/>
              <w:rPr>
                <w:rFonts w:ascii="Arial Narrow" w:hAnsi="Arial Narrow" w:cs="Times New Roman"/>
                <w:b/>
              </w:rPr>
            </w:pPr>
            <w:r>
              <w:rPr>
                <w:rFonts w:ascii="Arial Narrow" w:hAnsi="Arial Narrow" w:cs="Times New Roman"/>
                <w:b/>
              </w:rPr>
              <w:t>11 751 602,00</w:t>
            </w:r>
          </w:p>
        </w:tc>
        <w:tc>
          <w:tcPr>
            <w:tcW w:w="1620" w:type="dxa"/>
            <w:tcBorders>
              <w:top w:val="single" w:sz="4" w:space="0" w:color="auto"/>
              <w:left w:val="single" w:sz="4" w:space="0" w:color="auto"/>
              <w:bottom w:val="single" w:sz="4" w:space="0" w:color="auto"/>
              <w:right w:val="single" w:sz="4" w:space="0" w:color="auto"/>
              <w:tl2br w:val="nil"/>
              <w:tr2bl w:val="nil"/>
            </w:tcBorders>
            <w:shd w:val="clear" w:color="auto" w:fill="C0C0C0"/>
            <w:textDirection w:val="lrTb"/>
            <w:vAlign w:val="center"/>
          </w:tcPr>
          <w:p w:rsidR="0016077D" w:rsidRPr="00FC7E23" w:rsidP="00B6004F">
            <w:pPr>
              <w:spacing w:line="240" w:lineRule="auto"/>
              <w:jc w:val="right"/>
              <w:rPr>
                <w:rFonts w:ascii="Arial Narrow" w:hAnsi="Arial Narrow" w:cs="Times New Roman"/>
                <w:b/>
              </w:rPr>
            </w:pPr>
            <w:r>
              <w:rPr>
                <w:rFonts w:ascii="Arial Narrow" w:hAnsi="Arial Narrow" w:cs="Times New Roman"/>
                <w:b/>
              </w:rPr>
              <w:t>11 733 935,42</w:t>
            </w:r>
          </w:p>
        </w:tc>
        <w:tc>
          <w:tcPr>
            <w:tcW w:w="1473" w:type="dxa"/>
            <w:tcBorders>
              <w:top w:val="single" w:sz="4" w:space="0" w:color="auto"/>
              <w:left w:val="single" w:sz="4" w:space="0" w:color="auto"/>
              <w:bottom w:val="single" w:sz="4" w:space="0" w:color="auto"/>
              <w:right w:val="single" w:sz="4" w:space="0" w:color="auto"/>
              <w:tl2br w:val="nil"/>
              <w:tr2bl w:val="nil"/>
            </w:tcBorders>
            <w:shd w:val="clear" w:color="auto" w:fill="C0C0C0"/>
            <w:textDirection w:val="lrTb"/>
            <w:vAlign w:val="center"/>
          </w:tcPr>
          <w:p w:rsidR="0016077D" w:rsidP="00B6004F">
            <w:pPr>
              <w:spacing w:line="240" w:lineRule="auto"/>
              <w:jc w:val="right"/>
              <w:rPr>
                <w:rFonts w:ascii="Arial Narrow" w:hAnsi="Arial Narrow" w:cs="Times New Roman"/>
                <w:b/>
              </w:rPr>
            </w:pPr>
            <w:r w:rsidR="00745937">
              <w:rPr>
                <w:rFonts w:ascii="Arial Narrow" w:hAnsi="Arial Narrow" w:cs="Times New Roman"/>
                <w:b/>
              </w:rPr>
              <w:t>17 666,58</w:t>
            </w:r>
          </w:p>
        </w:tc>
      </w:tr>
    </w:tbl>
    <w:p w:rsidR="004B593A" w:rsidP="00C362EA">
      <w:pPr>
        <w:pStyle w:val="BodyTextIndent"/>
        <w:tabs>
          <w:tab w:val="left" w:pos="284"/>
        </w:tabs>
        <w:spacing w:line="240" w:lineRule="auto"/>
        <w:rPr>
          <w:rFonts w:ascii="Times New Roman" w:hAnsi="Times New Roman" w:cs="Times New Roman"/>
          <w:sz w:val="24"/>
          <w:szCs w:val="24"/>
        </w:rPr>
      </w:pPr>
    </w:p>
    <w:p w:rsidR="00BC5432" w:rsidP="00C362EA">
      <w:pPr>
        <w:pStyle w:val="BodyTextIndent"/>
        <w:tabs>
          <w:tab w:val="left" w:pos="284"/>
        </w:tabs>
        <w:spacing w:line="240" w:lineRule="auto"/>
        <w:rPr>
          <w:rFonts w:ascii="Times New Roman" w:hAnsi="Times New Roman" w:cs="Times New Roman"/>
          <w:sz w:val="24"/>
          <w:szCs w:val="24"/>
        </w:rPr>
      </w:pPr>
      <w:r w:rsidRPr="00BC5432">
        <w:rPr>
          <w:rFonts w:ascii="Times New Roman" w:hAnsi="Times New Roman" w:cs="Times New Roman"/>
          <w:sz w:val="24"/>
          <w:szCs w:val="24"/>
        </w:rPr>
        <w:t xml:space="preserve">Prevažnú časť čerpania </w:t>
      </w:r>
      <w:r w:rsidRPr="00AB1F6D">
        <w:rPr>
          <w:rFonts w:ascii="Times New Roman" w:hAnsi="Times New Roman" w:cs="Times New Roman"/>
          <w:sz w:val="24"/>
          <w:szCs w:val="24"/>
        </w:rPr>
        <w:t>rozpočtu bežných výdavkov</w:t>
      </w:r>
      <w:r w:rsidRPr="00BC5432">
        <w:rPr>
          <w:rFonts w:ascii="Times New Roman" w:hAnsi="Times New Roman" w:cs="Times New Roman"/>
          <w:sz w:val="24"/>
          <w:szCs w:val="24"/>
        </w:rPr>
        <w:t xml:space="preserve"> tvoria m</w:t>
      </w:r>
      <w:r>
        <w:rPr>
          <w:rFonts w:ascii="Times New Roman" w:hAnsi="Times New Roman" w:cs="Times New Roman"/>
          <w:sz w:val="24"/>
          <w:szCs w:val="24"/>
        </w:rPr>
        <w:t>zd</w:t>
      </w:r>
      <w:r w:rsidR="008F304A">
        <w:rPr>
          <w:rFonts w:ascii="Times New Roman" w:hAnsi="Times New Roman" w:cs="Times New Roman"/>
          <w:sz w:val="24"/>
          <w:szCs w:val="24"/>
        </w:rPr>
        <w:t xml:space="preserve">y, platy  </w:t>
      </w:r>
      <w:r>
        <w:rPr>
          <w:rFonts w:ascii="Times New Roman" w:hAnsi="Times New Roman" w:cs="Times New Roman"/>
          <w:sz w:val="24"/>
          <w:szCs w:val="24"/>
        </w:rPr>
        <w:t xml:space="preserve">a OOV (610) </w:t>
      </w:r>
      <w:r w:rsidRPr="00BC5432">
        <w:rPr>
          <w:rFonts w:ascii="Times New Roman" w:hAnsi="Times New Roman" w:cs="Times New Roman"/>
          <w:sz w:val="24"/>
          <w:szCs w:val="24"/>
        </w:rPr>
        <w:t>čerpané</w:t>
      </w:r>
      <w:r w:rsidR="00745937">
        <w:rPr>
          <w:rFonts w:ascii="Times New Roman" w:hAnsi="Times New Roman" w:cs="Times New Roman"/>
          <w:sz w:val="24"/>
          <w:szCs w:val="24"/>
        </w:rPr>
        <w:t xml:space="preserve"> v objeme 5 260</w:t>
      </w:r>
      <w:r w:rsidR="001D2550">
        <w:rPr>
          <w:rFonts w:ascii="Times New Roman" w:hAnsi="Times New Roman" w:cs="Times New Roman"/>
          <w:sz w:val="24"/>
          <w:szCs w:val="24"/>
        </w:rPr>
        <w:t xml:space="preserve"> 000,- Sk</w:t>
      </w:r>
      <w:r>
        <w:rPr>
          <w:rFonts w:ascii="Times New Roman" w:hAnsi="Times New Roman" w:cs="Times New Roman"/>
          <w:sz w:val="24"/>
          <w:szCs w:val="24"/>
        </w:rPr>
        <w:t xml:space="preserve">. </w:t>
      </w:r>
    </w:p>
    <w:p w:rsidR="00DE3EE2" w:rsidP="00C362EA">
      <w:pPr>
        <w:spacing w:line="240" w:lineRule="auto"/>
        <w:ind w:firstLine="705"/>
        <w:rPr>
          <w:rFonts w:ascii="Times New Roman" w:hAnsi="Times New Roman" w:cs="Times New Roman"/>
          <w:sz w:val="24"/>
          <w:szCs w:val="24"/>
        </w:rPr>
      </w:pPr>
      <w:r w:rsidR="00745937">
        <w:rPr>
          <w:rFonts w:ascii="Times New Roman" w:hAnsi="Times New Roman" w:cs="Times New Roman"/>
          <w:sz w:val="24"/>
          <w:szCs w:val="24"/>
        </w:rPr>
        <w:t>V kategórii 630 – Tovary a služby č</w:t>
      </w:r>
      <w:r w:rsidR="00543C92">
        <w:rPr>
          <w:rFonts w:ascii="Times New Roman" w:hAnsi="Times New Roman" w:cs="Times New Roman"/>
          <w:sz w:val="24"/>
          <w:szCs w:val="24"/>
        </w:rPr>
        <w:t xml:space="preserve">erpanie v sume 3 037 363,72 </w:t>
      </w:r>
      <w:r w:rsidR="0019319E">
        <w:rPr>
          <w:rFonts w:ascii="Times New Roman" w:hAnsi="Times New Roman" w:cs="Times New Roman"/>
          <w:sz w:val="24"/>
          <w:szCs w:val="24"/>
        </w:rPr>
        <w:t xml:space="preserve">Sk </w:t>
      </w:r>
      <w:r w:rsidR="00745937">
        <w:rPr>
          <w:rFonts w:ascii="Times New Roman" w:hAnsi="Times New Roman" w:cs="Times New Roman"/>
          <w:sz w:val="24"/>
          <w:szCs w:val="24"/>
        </w:rPr>
        <w:t xml:space="preserve">predstavovali </w:t>
      </w:r>
      <w:r w:rsidRPr="00203D87" w:rsidR="00BC5432">
        <w:rPr>
          <w:rFonts w:ascii="Times New Roman" w:hAnsi="Times New Roman" w:cs="Times New Roman"/>
          <w:sz w:val="24"/>
          <w:szCs w:val="24"/>
        </w:rPr>
        <w:t>výda</w:t>
      </w:r>
      <w:r w:rsidR="00B74748">
        <w:rPr>
          <w:rFonts w:ascii="Times New Roman" w:hAnsi="Times New Roman" w:cs="Times New Roman"/>
          <w:sz w:val="24"/>
          <w:szCs w:val="24"/>
        </w:rPr>
        <w:t>vky</w:t>
      </w:r>
      <w:r w:rsidR="00745937">
        <w:rPr>
          <w:rFonts w:ascii="Times New Roman" w:hAnsi="Times New Roman" w:cs="Times New Roman"/>
          <w:sz w:val="24"/>
          <w:szCs w:val="24"/>
        </w:rPr>
        <w:t xml:space="preserve"> na: 631 – cestovné (433 797,46 </w:t>
      </w:r>
      <w:r w:rsidRPr="00203D87" w:rsidR="00BC5432">
        <w:rPr>
          <w:rFonts w:ascii="Times New Roman" w:hAnsi="Times New Roman" w:cs="Times New Roman"/>
          <w:sz w:val="24"/>
          <w:szCs w:val="24"/>
        </w:rPr>
        <w:t>Sk), 632 – energiu, vodu a komunikácie (</w:t>
      </w:r>
      <w:r w:rsidR="00745937">
        <w:rPr>
          <w:rFonts w:ascii="Times New Roman" w:hAnsi="Times New Roman" w:cs="Times New Roman"/>
          <w:sz w:val="24"/>
          <w:szCs w:val="24"/>
        </w:rPr>
        <w:t xml:space="preserve">447 548,20 </w:t>
      </w:r>
      <w:r w:rsidRPr="00203D87" w:rsidR="00BC5432">
        <w:rPr>
          <w:rFonts w:ascii="Times New Roman" w:hAnsi="Times New Roman" w:cs="Times New Roman"/>
          <w:sz w:val="24"/>
          <w:szCs w:val="24"/>
        </w:rPr>
        <w:t>Sk</w:t>
      </w:r>
      <w:r w:rsidR="00745937">
        <w:rPr>
          <w:rFonts w:ascii="Times New Roman" w:hAnsi="Times New Roman" w:cs="Times New Roman"/>
          <w:sz w:val="24"/>
          <w:szCs w:val="24"/>
        </w:rPr>
        <w:t xml:space="preserve">), 633 – materiál (419 986,70 </w:t>
      </w:r>
      <w:r w:rsidRPr="00203D87" w:rsidR="00BC5432">
        <w:rPr>
          <w:rFonts w:ascii="Times New Roman" w:hAnsi="Times New Roman" w:cs="Times New Roman"/>
          <w:sz w:val="24"/>
          <w:szCs w:val="24"/>
        </w:rPr>
        <w:t xml:space="preserve">Sk), 634 – dopravné </w:t>
      </w:r>
      <w:r w:rsidR="00745937">
        <w:rPr>
          <w:rFonts w:ascii="Times New Roman" w:hAnsi="Times New Roman" w:cs="Times New Roman"/>
          <w:sz w:val="24"/>
          <w:szCs w:val="24"/>
        </w:rPr>
        <w:t xml:space="preserve">(216 030,74 </w:t>
      </w:r>
      <w:r w:rsidRPr="00203D87" w:rsidR="00C64A3D">
        <w:rPr>
          <w:rFonts w:ascii="Times New Roman" w:hAnsi="Times New Roman" w:cs="Times New Roman"/>
          <w:sz w:val="24"/>
          <w:szCs w:val="24"/>
        </w:rPr>
        <w:t xml:space="preserve">Sk), 635 – rutinnú </w:t>
      </w:r>
      <w:r w:rsidR="00745937">
        <w:rPr>
          <w:rFonts w:ascii="Times New Roman" w:hAnsi="Times New Roman" w:cs="Times New Roman"/>
          <w:sz w:val="24"/>
          <w:szCs w:val="24"/>
        </w:rPr>
        <w:t>a štandardnú údržbu (645 712,96 Sk), 6</w:t>
      </w:r>
      <w:r w:rsidR="00745937">
        <w:rPr>
          <w:rFonts w:ascii="Times New Roman" w:hAnsi="Times New Roman" w:cs="Times New Roman"/>
          <w:sz w:val="24"/>
          <w:szCs w:val="24"/>
        </w:rPr>
        <w:t xml:space="preserve">36 – nájomné (28 336,00 </w:t>
      </w:r>
      <w:r w:rsidRPr="00203D87" w:rsidR="00BC5432">
        <w:rPr>
          <w:rFonts w:ascii="Times New Roman" w:hAnsi="Times New Roman" w:cs="Times New Roman"/>
          <w:sz w:val="24"/>
          <w:szCs w:val="24"/>
        </w:rPr>
        <w:t>S</w:t>
      </w:r>
      <w:r w:rsidR="00745937">
        <w:rPr>
          <w:rFonts w:ascii="Times New Roman" w:hAnsi="Times New Roman" w:cs="Times New Roman"/>
          <w:sz w:val="24"/>
          <w:szCs w:val="24"/>
        </w:rPr>
        <w:t xml:space="preserve">k), 637 – služby (845 951,66 </w:t>
      </w:r>
      <w:r w:rsidRPr="00203D87" w:rsidR="00BC5432">
        <w:rPr>
          <w:rFonts w:ascii="Times New Roman" w:hAnsi="Times New Roman" w:cs="Times New Roman"/>
          <w:sz w:val="24"/>
          <w:szCs w:val="24"/>
        </w:rPr>
        <w:t>Sk</w:t>
      </w:r>
      <w:r w:rsidRPr="00203D87" w:rsidR="00C64A3D">
        <w:rPr>
          <w:rFonts w:ascii="Times New Roman" w:hAnsi="Times New Roman" w:cs="Times New Roman"/>
          <w:sz w:val="24"/>
          <w:szCs w:val="24"/>
        </w:rPr>
        <w:t>).</w:t>
      </w:r>
      <w:r w:rsidRPr="00203D87" w:rsidR="00646D6B">
        <w:rPr>
          <w:rFonts w:ascii="Times New Roman" w:hAnsi="Times New Roman" w:cs="Times New Roman"/>
          <w:sz w:val="24"/>
          <w:szCs w:val="24"/>
        </w:rPr>
        <w:t xml:space="preserve"> </w:t>
      </w:r>
    </w:p>
    <w:p w:rsidR="00D32BFF" w:rsidP="00A04B57">
      <w:pPr>
        <w:spacing w:line="240" w:lineRule="auto"/>
        <w:ind w:firstLine="705"/>
        <w:rPr>
          <w:rFonts w:ascii="Times New Roman" w:hAnsi="Times New Roman" w:cs="Times New Roman"/>
          <w:sz w:val="24"/>
          <w:szCs w:val="24"/>
        </w:rPr>
      </w:pPr>
    </w:p>
    <w:p w:rsidR="006A44AF" w:rsidRPr="00FC1671" w:rsidP="00FC1671">
      <w:pPr>
        <w:spacing w:line="240" w:lineRule="auto"/>
        <w:ind w:firstLine="705"/>
        <w:rPr>
          <w:rFonts w:ascii="Times New Roman" w:hAnsi="Times New Roman" w:cs="Times New Roman"/>
          <w:sz w:val="24"/>
          <w:szCs w:val="24"/>
        </w:rPr>
      </w:pPr>
      <w:r w:rsidR="00543C92">
        <w:rPr>
          <w:rFonts w:ascii="Times New Roman" w:hAnsi="Times New Roman" w:cs="Times New Roman"/>
          <w:sz w:val="24"/>
          <w:szCs w:val="24"/>
        </w:rPr>
        <w:t xml:space="preserve">Kapitálové </w:t>
      </w:r>
      <w:r w:rsidRPr="00AB1F6D" w:rsidR="00203D87">
        <w:rPr>
          <w:rFonts w:ascii="Times New Roman" w:hAnsi="Times New Roman" w:cs="Times New Roman"/>
          <w:sz w:val="24"/>
          <w:szCs w:val="24"/>
        </w:rPr>
        <w:t>výdavky</w:t>
      </w:r>
      <w:r w:rsidRPr="00A15B18" w:rsidR="008F304A">
        <w:rPr>
          <w:rFonts w:ascii="Times New Roman" w:hAnsi="Times New Roman" w:cs="Times New Roman"/>
          <w:sz w:val="24"/>
          <w:szCs w:val="24"/>
        </w:rPr>
        <w:t xml:space="preserve"> (710) boli čerpané v sume </w:t>
      </w:r>
      <w:r w:rsidR="00543C92">
        <w:rPr>
          <w:rFonts w:ascii="Times New Roman" w:hAnsi="Times New Roman" w:cs="Times New Roman"/>
          <w:sz w:val="24"/>
          <w:szCs w:val="24"/>
        </w:rPr>
        <w:t xml:space="preserve">1 503 717,70 </w:t>
      </w:r>
      <w:r w:rsidRPr="00A15B18" w:rsidR="00DE3EE2">
        <w:rPr>
          <w:rFonts w:ascii="Times New Roman" w:hAnsi="Times New Roman" w:cs="Times New Roman"/>
          <w:sz w:val="24"/>
          <w:szCs w:val="24"/>
        </w:rPr>
        <w:t>Sk na</w:t>
      </w:r>
      <w:r w:rsidR="00F95F41">
        <w:rPr>
          <w:rFonts w:ascii="Times New Roman" w:hAnsi="Times New Roman" w:cs="Times New Roman"/>
          <w:sz w:val="24"/>
          <w:szCs w:val="24"/>
        </w:rPr>
        <w:t xml:space="preserve"> rekonštrukciu a modernizáciu sídla úradu v sume 352 855,50 Sk (ukončená bola 2. etapa RaM podzemného podlažia), na rekonštrukciu a technické zhodnotenie LAN v sume 52 418,50 Sk, na technické zhodnotenie prípojky optickým káblom v súvislosti so zabezpečením internetového pripojenia v sume 32 976,00 Sk, dovybavenie digitálneho multifunkčného zariadenia</w:t>
      </w:r>
      <w:r w:rsidR="007F1BC7">
        <w:rPr>
          <w:rFonts w:ascii="Times New Roman" w:hAnsi="Times New Roman" w:cs="Times New Roman"/>
          <w:sz w:val="24"/>
          <w:szCs w:val="24"/>
        </w:rPr>
        <w:t xml:space="preserve"> o pripojenie </w:t>
      </w:r>
      <w:r w:rsidR="00C50562">
        <w:rPr>
          <w:rFonts w:ascii="Times New Roman" w:hAnsi="Times New Roman" w:cs="Times New Roman"/>
          <w:sz w:val="24"/>
          <w:szCs w:val="24"/>
        </w:rPr>
        <w:t xml:space="preserve">do PC siete v sume 8 330,- Sk, nákup osobného motorového vozidla v sume 807 137,70 Sk a obstaranie garáže a pozemku pod garážou v sume 250 000,- Sk. </w:t>
      </w:r>
    </w:p>
    <w:p w:rsidR="00D27E26" w:rsidP="00C362EA">
      <w:pPr>
        <w:spacing w:line="240" w:lineRule="auto"/>
        <w:rPr>
          <w:rFonts w:ascii="Times New Roman" w:hAnsi="Times New Roman" w:cs="Times New Roman"/>
          <w:b/>
          <w:sz w:val="24"/>
          <w:u w:val="single"/>
        </w:rPr>
      </w:pPr>
      <w:r w:rsidR="00303AE6">
        <w:rPr>
          <w:rFonts w:ascii="Times New Roman" w:hAnsi="Times New Roman" w:cs="Times New Roman"/>
          <w:b/>
          <w:sz w:val="24"/>
          <w:u w:val="single"/>
        </w:rPr>
        <w:t>8</w:t>
      </w:r>
      <w:r w:rsidRPr="00D23807">
        <w:rPr>
          <w:rFonts w:ascii="Times New Roman" w:hAnsi="Times New Roman" w:cs="Times New Roman"/>
          <w:b/>
          <w:sz w:val="24"/>
          <w:u w:val="single"/>
        </w:rPr>
        <w:t>.</w:t>
      </w:r>
      <w:r w:rsidR="00F65122">
        <w:rPr>
          <w:rFonts w:ascii="Times New Roman" w:hAnsi="Times New Roman" w:cs="Times New Roman"/>
          <w:b/>
          <w:sz w:val="24"/>
          <w:u w:val="single"/>
        </w:rPr>
        <w:t xml:space="preserve"> LETECKÝ ÚRAD SR – prvok 07T0303</w:t>
      </w:r>
      <w:r w:rsidRPr="00D23807">
        <w:rPr>
          <w:rFonts w:ascii="Times New Roman" w:hAnsi="Times New Roman" w:cs="Times New Roman"/>
          <w:b/>
          <w:sz w:val="24"/>
          <w:u w:val="single"/>
        </w:rPr>
        <w:t xml:space="preserve"> –  Regulácia v civilnom letectve</w:t>
      </w:r>
    </w:p>
    <w:p w:rsidR="004B593A" w:rsidRPr="00D23807" w:rsidP="00C362EA">
      <w:pPr>
        <w:spacing w:line="240" w:lineRule="auto"/>
        <w:rPr>
          <w:rFonts w:ascii="Times New Roman" w:hAnsi="Times New Roman" w:cs="Times New Roman"/>
          <w:b/>
          <w:sz w:val="24"/>
          <w:u w:val="single"/>
        </w:rPr>
      </w:pPr>
    </w:p>
    <w:p w:rsidR="005D134E" w:rsidRPr="00F43690" w:rsidP="00C362EA">
      <w:pPr>
        <w:spacing w:line="240" w:lineRule="auto"/>
        <w:jc w:val="center"/>
        <w:rPr>
          <w:rFonts w:ascii="Arial Narrow" w:hAnsi="Arial Narrow" w:cs="Times New Roman"/>
          <w:b/>
          <w:sz w:val="24"/>
          <w:szCs w:val="24"/>
        </w:rPr>
      </w:pPr>
      <w:r w:rsidRPr="00F43690">
        <w:rPr>
          <w:rFonts w:ascii="Arial Narrow" w:hAnsi="Arial Narrow" w:cs="Times New Roman"/>
          <w:b/>
          <w:sz w:val="24"/>
          <w:szCs w:val="24"/>
        </w:rPr>
        <w:t>Prehľad rozpočtov</w:t>
      </w:r>
      <w:r w:rsidR="00506F22">
        <w:rPr>
          <w:rFonts w:ascii="Arial Narrow" w:hAnsi="Arial Narrow" w:cs="Times New Roman"/>
          <w:b/>
          <w:sz w:val="24"/>
          <w:szCs w:val="24"/>
        </w:rPr>
        <w:t xml:space="preserve">ých výdavkov Leteckého </w:t>
      </w:r>
      <w:r>
        <w:rPr>
          <w:rFonts w:ascii="Arial Narrow" w:hAnsi="Arial Narrow" w:cs="Times New Roman"/>
          <w:b/>
          <w:sz w:val="24"/>
          <w:szCs w:val="24"/>
        </w:rPr>
        <w:t xml:space="preserve">úradu </w:t>
      </w:r>
      <w:r w:rsidR="00506F22">
        <w:rPr>
          <w:rFonts w:ascii="Arial Narrow" w:hAnsi="Arial Narrow" w:cs="Times New Roman"/>
          <w:b/>
          <w:sz w:val="24"/>
          <w:szCs w:val="24"/>
        </w:rPr>
        <w:t xml:space="preserve">SR </w:t>
      </w:r>
      <w:r w:rsidR="00545A3C">
        <w:rPr>
          <w:rFonts w:ascii="Arial Narrow" w:hAnsi="Arial Narrow" w:cs="Times New Roman"/>
          <w:b/>
          <w:sz w:val="24"/>
          <w:szCs w:val="24"/>
        </w:rPr>
        <w:t>za rok 2</w:t>
      </w:r>
      <w:r w:rsidR="001D0627">
        <w:rPr>
          <w:rFonts w:ascii="Arial Narrow" w:hAnsi="Arial Narrow" w:cs="Times New Roman"/>
          <w:b/>
          <w:sz w:val="24"/>
          <w:szCs w:val="24"/>
        </w:rPr>
        <w:t>0</w:t>
      </w:r>
      <w:r w:rsidR="001D0627">
        <w:rPr>
          <w:rFonts w:ascii="Arial Narrow" w:hAnsi="Arial Narrow" w:cs="Times New Roman"/>
          <w:b/>
          <w:sz w:val="24"/>
          <w:szCs w:val="24"/>
        </w:rPr>
        <w:t>07</w:t>
      </w:r>
    </w:p>
    <w:p w:rsidR="005D134E" w:rsidRPr="00D04D46" w:rsidP="00C362EA">
      <w:pPr>
        <w:spacing w:line="240" w:lineRule="auto"/>
        <w:rPr>
          <w:rFonts w:ascii="Arial Narrow" w:hAnsi="Arial Narrow" w:cs="Times New Roman"/>
        </w:rPr>
      </w:pPr>
      <w:r w:rsidRPr="00D04D46">
        <w:rPr>
          <w:rFonts w:ascii="Arial Narrow" w:hAnsi="Arial Narrow" w:cs="Times New Roman"/>
        </w:rPr>
        <w:t xml:space="preserve">                     </w:t>
      </w:r>
      <w:r>
        <w:rPr>
          <w:rFonts w:ascii="Arial Narrow" w:hAnsi="Arial Narrow" w:cs="Times New Roman"/>
        </w:rPr>
        <w:t xml:space="preserve">          </w:t>
      </w:r>
      <w:r w:rsidRPr="00D04D46">
        <w:rPr>
          <w:rFonts w:ascii="Arial Narrow" w:hAnsi="Arial Narrow" w:cs="Times New Roman"/>
        </w:rPr>
        <w:t xml:space="preserve">                                                                              </w:t>
      </w:r>
      <w:r>
        <w:rPr>
          <w:rFonts w:ascii="Arial Narrow" w:hAnsi="Arial Narrow" w:cs="Times New Roman"/>
        </w:rPr>
        <w:t xml:space="preserve">                                                                          </w:t>
      </w:r>
      <w:r w:rsidRPr="00D04D46">
        <w:rPr>
          <w:rFonts w:ascii="Arial Narrow" w:hAnsi="Arial Narrow" w:cs="Times New Roman"/>
        </w:rPr>
        <w:t xml:space="preserve">    (v Sk)</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Grid>
        <w:gridCol w:w="3060"/>
        <w:gridCol w:w="1440"/>
        <w:gridCol w:w="1563"/>
        <w:gridCol w:w="1440"/>
        <w:gridCol w:w="1495"/>
      </w:tblGrid>
      <w:tr>
        <w:tblPrEx>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auto" w:val="0"/>
        </w:trPr>
        <w:tc>
          <w:tcPr>
            <w:tcW w:w="3060" w:type="dxa"/>
            <w:tcBorders>
              <w:top w:val="single" w:sz="4" w:space="0" w:color="auto"/>
              <w:left w:val="single" w:sz="4" w:space="0" w:color="auto"/>
              <w:bottom w:val="single" w:sz="4" w:space="0" w:color="auto"/>
              <w:right w:val="single" w:sz="4" w:space="0" w:color="auto"/>
              <w:tl2br w:val="nil"/>
              <w:tr2bl w:val="nil"/>
            </w:tcBorders>
            <w:shd w:val="clear" w:color="auto" w:fill="CCCCCC"/>
            <w:textDirection w:val="lrTb"/>
            <w:vAlign w:val="top"/>
          </w:tcPr>
          <w:p w:rsidR="001D0627" w:rsidRPr="00D04D46" w:rsidP="00C362EA">
            <w:pPr>
              <w:spacing w:line="240" w:lineRule="auto"/>
              <w:rPr>
                <w:rFonts w:ascii="Times New Roman" w:hAnsi="Times New Roman" w:cs="Times New Roman"/>
                <w:u w:val="single"/>
              </w:rPr>
            </w:pPr>
          </w:p>
        </w:tc>
        <w:tc>
          <w:tcPr>
            <w:tcW w:w="1440" w:type="dxa"/>
            <w:tcBorders>
              <w:top w:val="single" w:sz="4" w:space="0" w:color="auto"/>
              <w:left w:val="single" w:sz="4" w:space="0" w:color="auto"/>
              <w:bottom w:val="single" w:sz="4" w:space="0" w:color="auto"/>
              <w:right w:val="single" w:sz="4" w:space="0" w:color="auto"/>
              <w:tl2br w:val="nil"/>
              <w:tr2bl w:val="nil"/>
            </w:tcBorders>
            <w:shd w:val="clear" w:color="auto" w:fill="CCCCCC"/>
            <w:textDirection w:val="lrTb"/>
            <w:vAlign w:val="center"/>
          </w:tcPr>
          <w:p w:rsidR="001D0627" w:rsidRPr="00FC7E23" w:rsidP="00C362EA">
            <w:pPr>
              <w:spacing w:line="240" w:lineRule="auto"/>
              <w:jc w:val="center"/>
              <w:rPr>
                <w:rFonts w:ascii="Arial Narrow" w:hAnsi="Arial Narrow" w:cs="Times New Roman"/>
                <w:b/>
              </w:rPr>
            </w:pPr>
            <w:r w:rsidRPr="00FC7E23">
              <w:rPr>
                <w:rFonts w:ascii="Arial Narrow" w:hAnsi="Arial Narrow" w:cs="Times New Roman"/>
                <w:b/>
              </w:rPr>
              <w:t xml:space="preserve">Schválený rozpočet </w:t>
            </w:r>
            <w:r>
              <w:rPr>
                <w:rFonts w:ascii="Arial Narrow" w:hAnsi="Arial Narrow" w:cs="Times New Roman"/>
                <w:b/>
              </w:rPr>
              <w:t>k 1.1.2007</w:t>
            </w:r>
          </w:p>
        </w:tc>
        <w:tc>
          <w:tcPr>
            <w:tcW w:w="1563" w:type="dxa"/>
            <w:tcBorders>
              <w:top w:val="single" w:sz="4" w:space="0" w:color="auto"/>
              <w:left w:val="single" w:sz="4" w:space="0" w:color="auto"/>
              <w:bottom w:val="single" w:sz="4" w:space="0" w:color="auto"/>
              <w:right w:val="single" w:sz="4" w:space="0" w:color="auto"/>
              <w:tl2br w:val="nil"/>
              <w:tr2bl w:val="nil"/>
            </w:tcBorders>
            <w:shd w:val="clear" w:color="auto" w:fill="CCCCCC"/>
            <w:textDirection w:val="lrTb"/>
            <w:vAlign w:val="center"/>
          </w:tcPr>
          <w:p w:rsidR="001D0627" w:rsidRPr="00FC7E23" w:rsidP="00C362EA">
            <w:pPr>
              <w:spacing w:line="240" w:lineRule="auto"/>
              <w:jc w:val="center"/>
              <w:rPr>
                <w:rFonts w:ascii="Arial Narrow" w:hAnsi="Arial Narrow" w:cs="Times New Roman"/>
                <w:b/>
              </w:rPr>
            </w:pPr>
            <w:r w:rsidRPr="00FC7E23">
              <w:rPr>
                <w:rFonts w:ascii="Arial Narrow" w:hAnsi="Arial Narrow" w:cs="Times New Roman"/>
                <w:b/>
              </w:rPr>
              <w:t xml:space="preserve">Upravený </w:t>
            </w:r>
            <w:r>
              <w:rPr>
                <w:rFonts w:ascii="Arial Narrow" w:hAnsi="Arial Narrow" w:cs="Times New Roman"/>
                <w:b/>
              </w:rPr>
              <w:t>rozpočet k 31.12.20</w:t>
            </w:r>
            <w:r>
              <w:rPr>
                <w:rFonts w:ascii="Arial Narrow" w:hAnsi="Arial Narrow" w:cs="Times New Roman"/>
                <w:b/>
              </w:rPr>
              <w:t>07</w:t>
            </w:r>
          </w:p>
        </w:tc>
        <w:tc>
          <w:tcPr>
            <w:tcW w:w="1440" w:type="dxa"/>
            <w:tcBorders>
              <w:top w:val="single" w:sz="4" w:space="0" w:color="auto"/>
              <w:left w:val="single" w:sz="4" w:space="0" w:color="auto"/>
              <w:bottom w:val="single" w:sz="4" w:space="0" w:color="auto"/>
              <w:right w:val="single" w:sz="4" w:space="0" w:color="auto"/>
              <w:tl2br w:val="nil"/>
              <w:tr2bl w:val="nil"/>
            </w:tcBorders>
            <w:shd w:val="clear" w:color="auto" w:fill="CCCCCC"/>
            <w:textDirection w:val="lrTb"/>
            <w:vAlign w:val="center"/>
          </w:tcPr>
          <w:p w:rsidR="001D0627" w:rsidRPr="00FC7E23" w:rsidP="00C362EA">
            <w:pPr>
              <w:spacing w:line="240" w:lineRule="auto"/>
              <w:jc w:val="center"/>
              <w:rPr>
                <w:rFonts w:ascii="Arial Narrow" w:hAnsi="Arial Narrow" w:cs="Times New Roman"/>
                <w:b/>
              </w:rPr>
            </w:pPr>
            <w:r>
              <w:rPr>
                <w:rFonts w:ascii="Arial Narrow" w:hAnsi="Arial Narrow" w:cs="Times New Roman"/>
                <w:b/>
              </w:rPr>
              <w:t>Skutočné čerpanie k 31.12.2007</w:t>
            </w:r>
          </w:p>
        </w:tc>
        <w:tc>
          <w:tcPr>
            <w:tcW w:w="1495" w:type="dxa"/>
            <w:tcBorders>
              <w:top w:val="single" w:sz="4" w:space="0" w:color="auto"/>
              <w:left w:val="single" w:sz="4" w:space="0" w:color="auto"/>
              <w:bottom w:val="single" w:sz="4" w:space="0" w:color="auto"/>
              <w:right w:val="single" w:sz="4" w:space="0" w:color="auto"/>
              <w:tl2br w:val="nil"/>
              <w:tr2bl w:val="nil"/>
            </w:tcBorders>
            <w:shd w:val="clear" w:color="auto" w:fill="CCCCCC"/>
            <w:textDirection w:val="lrTb"/>
            <w:vAlign w:val="center"/>
          </w:tcPr>
          <w:p w:rsidR="001D0627" w:rsidP="00C362EA">
            <w:pPr>
              <w:spacing w:line="240" w:lineRule="auto"/>
              <w:jc w:val="center"/>
              <w:rPr>
                <w:rFonts w:ascii="Arial Narrow" w:hAnsi="Arial Narrow" w:cs="Times New Roman"/>
                <w:b/>
              </w:rPr>
            </w:pPr>
            <w:r w:rsidR="00F70098">
              <w:rPr>
                <w:rFonts w:ascii="Arial Narrow" w:hAnsi="Arial Narrow" w:cs="Times New Roman"/>
                <w:b/>
              </w:rPr>
              <w:t>Rozdiel</w:t>
            </w:r>
          </w:p>
        </w:tc>
      </w:tr>
      <w:tr>
        <w:tblPrEx>
          <w:tblW w:w="8998" w:type="dxa"/>
          <w:tblInd w:w="108" w:type="dxa"/>
        </w:tblPrEx>
        <w:trPr>
          <w:trHeight w:hRule="auto" w:val="0"/>
        </w:trPr>
        <w:tc>
          <w:tcPr>
            <w:tcW w:w="306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1D0627" w:rsidRPr="00DC7250" w:rsidP="00C362EA">
            <w:pPr>
              <w:spacing w:line="240" w:lineRule="auto"/>
              <w:rPr>
                <w:rFonts w:ascii="Arial Narrow" w:hAnsi="Arial Narrow" w:cs="Times New Roman"/>
              </w:rPr>
            </w:pPr>
            <w:r w:rsidRPr="00DC7250">
              <w:rPr>
                <w:rFonts w:ascii="Arial Narrow" w:hAnsi="Arial Narrow" w:cs="Times New Roman"/>
              </w:rPr>
              <w:t>Bežné výdavky (600), z toho:</w:t>
            </w:r>
          </w:p>
        </w:tc>
        <w:tc>
          <w:tcPr>
            <w:tcW w:w="144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1D0627" w:rsidRPr="00DC7250" w:rsidP="00B6004F">
            <w:pPr>
              <w:spacing w:line="240" w:lineRule="auto"/>
              <w:jc w:val="right"/>
              <w:rPr>
                <w:rFonts w:ascii="Arial Narrow" w:hAnsi="Arial Narrow" w:cs="Times New Roman"/>
              </w:rPr>
            </w:pPr>
            <w:r w:rsidR="00564854">
              <w:rPr>
                <w:rFonts w:ascii="Arial Narrow" w:hAnsi="Arial Narrow" w:cs="Times New Roman"/>
              </w:rPr>
              <w:t>56 334</w:t>
            </w:r>
            <w:r>
              <w:rPr>
                <w:rFonts w:ascii="Arial Narrow" w:hAnsi="Arial Narrow" w:cs="Times New Roman"/>
              </w:rPr>
              <w:t> 000,00</w:t>
            </w:r>
          </w:p>
        </w:tc>
        <w:tc>
          <w:tcPr>
            <w:tcW w:w="1563"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1D0627" w:rsidRPr="00DC7250" w:rsidP="00B6004F">
            <w:pPr>
              <w:spacing w:line="240" w:lineRule="auto"/>
              <w:jc w:val="right"/>
              <w:rPr>
                <w:rFonts w:ascii="Arial Narrow" w:hAnsi="Arial Narrow" w:cs="Times New Roman"/>
              </w:rPr>
            </w:pPr>
            <w:r w:rsidR="00564854">
              <w:rPr>
                <w:rFonts w:ascii="Arial Narrow" w:hAnsi="Arial Narrow" w:cs="Times New Roman"/>
              </w:rPr>
              <w:t>58 929 000</w:t>
            </w:r>
            <w:r>
              <w:rPr>
                <w:rFonts w:ascii="Arial Narrow" w:hAnsi="Arial Narrow" w:cs="Times New Roman"/>
              </w:rPr>
              <w:t>,00</w:t>
            </w:r>
          </w:p>
        </w:tc>
        <w:tc>
          <w:tcPr>
            <w:tcW w:w="144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1D0627" w:rsidRPr="00B23854" w:rsidP="00B6004F">
            <w:pPr>
              <w:spacing w:line="240" w:lineRule="auto"/>
              <w:jc w:val="right"/>
              <w:rPr>
                <w:rFonts w:ascii="Arial Narrow" w:hAnsi="Arial Narrow" w:cs="Times New Roman"/>
              </w:rPr>
            </w:pPr>
            <w:r>
              <w:rPr>
                <w:rFonts w:ascii="Arial Narrow" w:hAnsi="Arial Narrow" w:cs="Times New Roman"/>
              </w:rPr>
              <w:t>5</w:t>
            </w:r>
            <w:r w:rsidR="00564854">
              <w:rPr>
                <w:rFonts w:ascii="Arial Narrow" w:hAnsi="Arial Narrow" w:cs="Times New Roman"/>
              </w:rPr>
              <w:t>8 825 236,85</w:t>
            </w:r>
          </w:p>
        </w:tc>
        <w:tc>
          <w:tcPr>
            <w:tcW w:w="1495"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1D0627" w:rsidP="00B6004F">
            <w:pPr>
              <w:spacing w:line="240" w:lineRule="auto"/>
              <w:jc w:val="right"/>
              <w:rPr>
                <w:rFonts w:ascii="Arial Narrow" w:hAnsi="Arial Narrow" w:cs="Times New Roman"/>
              </w:rPr>
            </w:pPr>
            <w:r w:rsidR="00564854">
              <w:rPr>
                <w:rFonts w:ascii="Arial Narrow" w:hAnsi="Arial Narrow" w:cs="Times New Roman"/>
              </w:rPr>
              <w:t>103 763,15</w:t>
            </w:r>
          </w:p>
        </w:tc>
      </w:tr>
      <w:tr>
        <w:tblPrEx>
          <w:tblW w:w="8998" w:type="dxa"/>
          <w:tblInd w:w="108" w:type="dxa"/>
        </w:tblPrEx>
        <w:trPr>
          <w:trHeight w:hRule="auto" w:val="0"/>
        </w:trPr>
        <w:tc>
          <w:tcPr>
            <w:tcW w:w="306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1D0627" w:rsidRPr="00D04D46" w:rsidP="00C362EA">
            <w:pPr>
              <w:spacing w:line="240" w:lineRule="auto"/>
              <w:rPr>
                <w:rFonts w:ascii="Arial Narrow" w:hAnsi="Arial Narrow" w:cs="Times New Roman"/>
              </w:rPr>
            </w:pPr>
            <w:r>
              <w:rPr>
                <w:rFonts w:ascii="Arial Narrow" w:hAnsi="Arial Narrow" w:cs="Times New Roman"/>
              </w:rPr>
              <w:t>Mzdy, platy, sl. príjmy a OOV (610)</w:t>
            </w:r>
          </w:p>
        </w:tc>
        <w:tc>
          <w:tcPr>
            <w:tcW w:w="144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1D0627" w:rsidRPr="00D04D46" w:rsidP="00B6004F">
            <w:pPr>
              <w:spacing w:line="240" w:lineRule="auto"/>
              <w:jc w:val="right"/>
              <w:rPr>
                <w:rFonts w:ascii="Arial Narrow" w:hAnsi="Arial Narrow" w:cs="Times New Roman"/>
              </w:rPr>
            </w:pPr>
            <w:r>
              <w:rPr>
                <w:rFonts w:ascii="Arial Narrow" w:hAnsi="Arial Narrow" w:cs="Times New Roman"/>
              </w:rPr>
              <w:t>22 764 000,00</w:t>
            </w:r>
          </w:p>
        </w:tc>
        <w:tc>
          <w:tcPr>
            <w:tcW w:w="1563"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1D0627" w:rsidRPr="00D04D46" w:rsidP="00B6004F">
            <w:pPr>
              <w:spacing w:line="240" w:lineRule="auto"/>
              <w:jc w:val="right"/>
              <w:rPr>
                <w:rFonts w:ascii="Arial Narrow" w:hAnsi="Arial Narrow" w:cs="Times New Roman"/>
              </w:rPr>
            </w:pPr>
            <w:r>
              <w:rPr>
                <w:rFonts w:ascii="Arial Narrow" w:hAnsi="Arial Narrow" w:cs="Times New Roman"/>
              </w:rPr>
              <w:t>23 279 000,00</w:t>
            </w:r>
          </w:p>
        </w:tc>
        <w:tc>
          <w:tcPr>
            <w:tcW w:w="144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1D0627" w:rsidRPr="00B23854" w:rsidP="00B6004F">
            <w:pPr>
              <w:spacing w:line="240" w:lineRule="auto"/>
              <w:jc w:val="right"/>
              <w:rPr>
                <w:rFonts w:ascii="Arial Narrow" w:hAnsi="Arial Narrow" w:cs="Times New Roman"/>
              </w:rPr>
            </w:pPr>
            <w:r>
              <w:rPr>
                <w:rFonts w:ascii="Arial Narrow" w:hAnsi="Arial Narrow" w:cs="Times New Roman"/>
              </w:rPr>
              <w:t>23 193 225,00</w:t>
            </w:r>
          </w:p>
        </w:tc>
        <w:tc>
          <w:tcPr>
            <w:tcW w:w="1495"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1D0627" w:rsidP="00B6004F">
            <w:pPr>
              <w:spacing w:line="240" w:lineRule="auto"/>
              <w:jc w:val="right"/>
              <w:rPr>
                <w:rFonts w:ascii="Arial Narrow" w:hAnsi="Arial Narrow" w:cs="Times New Roman"/>
              </w:rPr>
            </w:pPr>
            <w:r>
              <w:rPr>
                <w:rFonts w:ascii="Arial Narrow" w:hAnsi="Arial Narrow" w:cs="Times New Roman"/>
              </w:rPr>
              <w:t>85 775,00</w:t>
            </w:r>
          </w:p>
        </w:tc>
      </w:tr>
      <w:tr>
        <w:tblPrEx>
          <w:tblW w:w="8998" w:type="dxa"/>
          <w:tblInd w:w="108" w:type="dxa"/>
        </w:tblPrEx>
        <w:trPr>
          <w:trHeight w:hRule="auto" w:val="0"/>
        </w:trPr>
        <w:tc>
          <w:tcPr>
            <w:tcW w:w="306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1D0627" w:rsidRPr="00D04D46" w:rsidP="00C362EA">
            <w:pPr>
              <w:spacing w:line="240" w:lineRule="auto"/>
              <w:rPr>
                <w:rFonts w:ascii="Arial Narrow" w:hAnsi="Arial Narrow" w:cs="Times New Roman"/>
              </w:rPr>
            </w:pPr>
            <w:r>
              <w:rPr>
                <w:rFonts w:ascii="Arial Narrow" w:hAnsi="Arial Narrow" w:cs="Times New Roman"/>
              </w:rPr>
              <w:t>Poistné a príspevok do poisťovní (620)</w:t>
            </w:r>
          </w:p>
        </w:tc>
        <w:tc>
          <w:tcPr>
            <w:tcW w:w="144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1D0627" w:rsidRPr="00D04D46" w:rsidP="00B6004F">
            <w:pPr>
              <w:spacing w:line="240" w:lineRule="auto"/>
              <w:jc w:val="right"/>
              <w:rPr>
                <w:rFonts w:ascii="Arial Narrow" w:hAnsi="Arial Narrow" w:cs="Times New Roman"/>
              </w:rPr>
            </w:pPr>
            <w:r>
              <w:rPr>
                <w:rFonts w:ascii="Arial Narrow" w:hAnsi="Arial Narrow" w:cs="Times New Roman"/>
              </w:rPr>
              <w:t xml:space="preserve">8 </w:t>
            </w:r>
            <w:r>
              <w:rPr>
                <w:rFonts w:ascii="Arial Narrow" w:hAnsi="Arial Narrow" w:cs="Times New Roman"/>
              </w:rPr>
              <w:t>496 000,00</w:t>
            </w:r>
          </w:p>
        </w:tc>
        <w:tc>
          <w:tcPr>
            <w:tcW w:w="1563"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1D0627" w:rsidRPr="00D04D46" w:rsidP="00B6004F">
            <w:pPr>
              <w:spacing w:line="240" w:lineRule="auto"/>
              <w:jc w:val="right"/>
              <w:rPr>
                <w:rFonts w:ascii="Arial Narrow" w:hAnsi="Arial Narrow" w:cs="Times New Roman"/>
              </w:rPr>
            </w:pPr>
            <w:r>
              <w:rPr>
                <w:rFonts w:ascii="Arial Narrow" w:hAnsi="Arial Narrow" w:cs="Times New Roman"/>
              </w:rPr>
              <w:t>8 716 000,00</w:t>
            </w:r>
          </w:p>
        </w:tc>
        <w:tc>
          <w:tcPr>
            <w:tcW w:w="144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1D0627" w:rsidRPr="00B23854" w:rsidP="00B6004F">
            <w:pPr>
              <w:spacing w:line="240" w:lineRule="auto"/>
              <w:jc w:val="right"/>
              <w:rPr>
                <w:rFonts w:ascii="Arial Narrow" w:hAnsi="Arial Narrow" w:cs="Times New Roman"/>
              </w:rPr>
            </w:pPr>
            <w:r>
              <w:rPr>
                <w:rFonts w:ascii="Arial Narrow" w:hAnsi="Arial Narrow" w:cs="Times New Roman"/>
              </w:rPr>
              <w:t>8 715 744,00</w:t>
            </w:r>
          </w:p>
        </w:tc>
        <w:tc>
          <w:tcPr>
            <w:tcW w:w="1495"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1D0627" w:rsidP="00B6004F">
            <w:pPr>
              <w:spacing w:line="240" w:lineRule="auto"/>
              <w:jc w:val="right"/>
              <w:rPr>
                <w:rFonts w:ascii="Arial Narrow" w:hAnsi="Arial Narrow" w:cs="Times New Roman"/>
              </w:rPr>
            </w:pPr>
            <w:r w:rsidR="00564854">
              <w:rPr>
                <w:rFonts w:ascii="Arial Narrow" w:hAnsi="Arial Narrow" w:cs="Times New Roman"/>
              </w:rPr>
              <w:t>256,00</w:t>
            </w:r>
          </w:p>
        </w:tc>
      </w:tr>
      <w:tr>
        <w:tblPrEx>
          <w:tblW w:w="8998" w:type="dxa"/>
          <w:tblInd w:w="108" w:type="dxa"/>
        </w:tblPrEx>
        <w:trPr>
          <w:trHeight w:hRule="auto" w:val="0"/>
        </w:trPr>
        <w:tc>
          <w:tcPr>
            <w:tcW w:w="306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1D0627" w:rsidRPr="00D04D46" w:rsidP="00C362EA">
            <w:pPr>
              <w:spacing w:line="240" w:lineRule="auto"/>
              <w:rPr>
                <w:rFonts w:ascii="Arial Narrow" w:hAnsi="Arial Narrow" w:cs="Times New Roman"/>
              </w:rPr>
            </w:pPr>
            <w:r>
              <w:rPr>
                <w:rFonts w:ascii="Arial Narrow" w:hAnsi="Arial Narrow" w:cs="Times New Roman"/>
              </w:rPr>
              <w:t>Tovary a služby (630)</w:t>
            </w:r>
          </w:p>
        </w:tc>
        <w:tc>
          <w:tcPr>
            <w:tcW w:w="144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1D0627" w:rsidRPr="00D04D46" w:rsidP="00B6004F">
            <w:pPr>
              <w:spacing w:line="240" w:lineRule="auto"/>
              <w:jc w:val="right"/>
              <w:rPr>
                <w:rFonts w:ascii="Arial Narrow" w:hAnsi="Arial Narrow" w:cs="Times New Roman"/>
              </w:rPr>
            </w:pPr>
            <w:r>
              <w:rPr>
                <w:rFonts w:ascii="Arial Narrow" w:hAnsi="Arial Narrow" w:cs="Times New Roman"/>
              </w:rPr>
              <w:t>24 774 000,00</w:t>
            </w:r>
          </w:p>
        </w:tc>
        <w:tc>
          <w:tcPr>
            <w:tcW w:w="1563"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1D0627" w:rsidRPr="00D04D46" w:rsidP="00B6004F">
            <w:pPr>
              <w:spacing w:line="240" w:lineRule="auto"/>
              <w:jc w:val="right"/>
              <w:rPr>
                <w:rFonts w:ascii="Arial Narrow" w:hAnsi="Arial Narrow" w:cs="Times New Roman"/>
              </w:rPr>
            </w:pPr>
            <w:r>
              <w:rPr>
                <w:rFonts w:ascii="Arial Narrow" w:hAnsi="Arial Narrow" w:cs="Times New Roman"/>
              </w:rPr>
              <w:t>24 514 850,00</w:t>
            </w:r>
          </w:p>
        </w:tc>
        <w:tc>
          <w:tcPr>
            <w:tcW w:w="144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1D0627" w:rsidRPr="00B23854" w:rsidP="00B6004F">
            <w:pPr>
              <w:spacing w:line="240" w:lineRule="auto"/>
              <w:jc w:val="right"/>
              <w:rPr>
                <w:rFonts w:ascii="Arial Narrow" w:hAnsi="Arial Narrow" w:cs="Times New Roman"/>
              </w:rPr>
            </w:pPr>
            <w:r>
              <w:rPr>
                <w:rFonts w:ascii="Arial Narrow" w:hAnsi="Arial Narrow" w:cs="Times New Roman"/>
              </w:rPr>
              <w:t>24 497 366,85</w:t>
            </w:r>
          </w:p>
        </w:tc>
        <w:tc>
          <w:tcPr>
            <w:tcW w:w="1495"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1D0627" w:rsidP="00B6004F">
            <w:pPr>
              <w:spacing w:line="240" w:lineRule="auto"/>
              <w:jc w:val="right"/>
              <w:rPr>
                <w:rFonts w:ascii="Arial Narrow" w:hAnsi="Arial Narrow" w:cs="Times New Roman"/>
              </w:rPr>
            </w:pPr>
            <w:r w:rsidR="00564854">
              <w:rPr>
                <w:rFonts w:ascii="Arial Narrow" w:hAnsi="Arial Narrow" w:cs="Times New Roman"/>
              </w:rPr>
              <w:t>17 483,15</w:t>
            </w:r>
          </w:p>
        </w:tc>
      </w:tr>
      <w:tr>
        <w:tblPrEx>
          <w:tblW w:w="8998" w:type="dxa"/>
          <w:tblInd w:w="108" w:type="dxa"/>
        </w:tblPrEx>
        <w:trPr>
          <w:trHeight w:hRule="auto" w:val="0"/>
        </w:trPr>
        <w:tc>
          <w:tcPr>
            <w:tcW w:w="306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1D0627" w:rsidRPr="00D04D46" w:rsidP="00C362EA">
            <w:pPr>
              <w:spacing w:line="240" w:lineRule="auto"/>
              <w:rPr>
                <w:rFonts w:ascii="Arial Narrow" w:hAnsi="Arial Narrow" w:cs="Times New Roman"/>
              </w:rPr>
            </w:pPr>
            <w:r>
              <w:rPr>
                <w:rFonts w:ascii="Arial Narrow" w:hAnsi="Arial Narrow" w:cs="Times New Roman"/>
              </w:rPr>
              <w:t>Bežné transfery (640)</w:t>
            </w:r>
          </w:p>
        </w:tc>
        <w:tc>
          <w:tcPr>
            <w:tcW w:w="144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1D0627" w:rsidRPr="00D04D46" w:rsidP="00B6004F">
            <w:pPr>
              <w:spacing w:line="240" w:lineRule="auto"/>
              <w:jc w:val="right"/>
              <w:rPr>
                <w:rFonts w:ascii="Arial Narrow" w:hAnsi="Arial Narrow" w:cs="Times New Roman"/>
              </w:rPr>
            </w:pPr>
            <w:r>
              <w:rPr>
                <w:rFonts w:ascii="Arial Narrow" w:hAnsi="Arial Narrow" w:cs="Times New Roman"/>
              </w:rPr>
              <w:t>300 000,00</w:t>
            </w:r>
          </w:p>
        </w:tc>
        <w:tc>
          <w:tcPr>
            <w:tcW w:w="1563"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1D0627" w:rsidRPr="00D04D46" w:rsidP="00B6004F">
            <w:pPr>
              <w:spacing w:line="240" w:lineRule="auto"/>
              <w:jc w:val="right"/>
              <w:rPr>
                <w:rFonts w:ascii="Arial Narrow" w:hAnsi="Arial Narrow" w:cs="Times New Roman"/>
              </w:rPr>
            </w:pPr>
            <w:r>
              <w:rPr>
                <w:rFonts w:ascii="Arial Narrow" w:hAnsi="Arial Narrow" w:cs="Times New Roman"/>
              </w:rPr>
              <w:t>2 419 150,00</w:t>
            </w:r>
          </w:p>
        </w:tc>
        <w:tc>
          <w:tcPr>
            <w:tcW w:w="144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1D0627" w:rsidRPr="00B23854" w:rsidP="00B6004F">
            <w:pPr>
              <w:spacing w:line="240" w:lineRule="auto"/>
              <w:jc w:val="right"/>
              <w:rPr>
                <w:rFonts w:ascii="Arial Narrow" w:hAnsi="Arial Narrow" w:cs="Times New Roman"/>
              </w:rPr>
            </w:pPr>
            <w:r>
              <w:rPr>
                <w:rFonts w:ascii="Arial Narrow" w:hAnsi="Arial Narrow" w:cs="Times New Roman"/>
              </w:rPr>
              <w:t>2 418 901,00</w:t>
            </w:r>
          </w:p>
        </w:tc>
        <w:tc>
          <w:tcPr>
            <w:tcW w:w="1495"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1D0627" w:rsidP="00B6004F">
            <w:pPr>
              <w:spacing w:line="240" w:lineRule="auto"/>
              <w:jc w:val="right"/>
              <w:rPr>
                <w:rFonts w:ascii="Arial Narrow" w:hAnsi="Arial Narrow" w:cs="Times New Roman"/>
              </w:rPr>
            </w:pPr>
            <w:r w:rsidR="00564854">
              <w:rPr>
                <w:rFonts w:ascii="Arial Narrow" w:hAnsi="Arial Narrow" w:cs="Times New Roman"/>
              </w:rPr>
              <w:t>249,00</w:t>
            </w:r>
          </w:p>
        </w:tc>
      </w:tr>
      <w:tr>
        <w:tblPrEx>
          <w:tblW w:w="8998" w:type="dxa"/>
          <w:tblInd w:w="108" w:type="dxa"/>
        </w:tblPrEx>
        <w:trPr>
          <w:trHeight w:hRule="auto" w:val="0"/>
        </w:trPr>
        <w:tc>
          <w:tcPr>
            <w:tcW w:w="306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1D0627" w:rsidP="00C362EA">
            <w:pPr>
              <w:spacing w:line="240" w:lineRule="auto"/>
              <w:rPr>
                <w:rFonts w:ascii="Arial Narrow" w:hAnsi="Arial Narrow" w:cs="Times New Roman"/>
              </w:rPr>
            </w:pPr>
            <w:r>
              <w:rPr>
                <w:rFonts w:ascii="Arial Narrow" w:hAnsi="Arial Narrow" w:cs="Times New Roman"/>
              </w:rPr>
              <w:t>Kapitálové výdavky (710)</w:t>
            </w:r>
          </w:p>
        </w:tc>
        <w:tc>
          <w:tcPr>
            <w:tcW w:w="144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1D0627" w:rsidRPr="00D04D46" w:rsidP="00B6004F">
            <w:pPr>
              <w:spacing w:line="240" w:lineRule="auto"/>
              <w:jc w:val="right"/>
              <w:rPr>
                <w:rFonts w:ascii="Arial Narrow" w:hAnsi="Arial Narrow" w:cs="Times New Roman"/>
              </w:rPr>
            </w:pPr>
            <w:r>
              <w:rPr>
                <w:rFonts w:ascii="Arial Narrow" w:hAnsi="Arial Narrow" w:cs="Times New Roman"/>
              </w:rPr>
              <w:t>1 000 000,00</w:t>
            </w:r>
          </w:p>
        </w:tc>
        <w:tc>
          <w:tcPr>
            <w:tcW w:w="1563"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1D0627" w:rsidRPr="00D04D46" w:rsidP="00B6004F">
            <w:pPr>
              <w:spacing w:line="240" w:lineRule="auto"/>
              <w:jc w:val="right"/>
              <w:rPr>
                <w:rFonts w:ascii="Arial Narrow" w:hAnsi="Arial Narrow" w:cs="Times New Roman"/>
              </w:rPr>
            </w:pPr>
            <w:r w:rsidR="00564854">
              <w:rPr>
                <w:rFonts w:ascii="Arial Narrow" w:hAnsi="Arial Narrow" w:cs="Times New Roman"/>
              </w:rPr>
              <w:t>4 500 000</w:t>
            </w:r>
            <w:r>
              <w:rPr>
                <w:rFonts w:ascii="Arial Narrow" w:hAnsi="Arial Narrow" w:cs="Times New Roman"/>
              </w:rPr>
              <w:t>,00</w:t>
            </w:r>
          </w:p>
        </w:tc>
        <w:tc>
          <w:tcPr>
            <w:tcW w:w="144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1D0627" w:rsidRPr="00B23854" w:rsidP="00B6004F">
            <w:pPr>
              <w:spacing w:line="240" w:lineRule="auto"/>
              <w:jc w:val="right"/>
              <w:rPr>
                <w:rFonts w:ascii="Arial Narrow" w:hAnsi="Arial Narrow" w:cs="Times New Roman"/>
              </w:rPr>
            </w:pPr>
            <w:r w:rsidR="00564854">
              <w:rPr>
                <w:rFonts w:ascii="Arial Narrow" w:hAnsi="Arial Narrow" w:cs="Times New Roman"/>
              </w:rPr>
              <w:t>4 498 919,50</w:t>
            </w:r>
          </w:p>
        </w:tc>
        <w:tc>
          <w:tcPr>
            <w:tcW w:w="1495"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1D0627" w:rsidP="00B6004F">
            <w:pPr>
              <w:spacing w:line="240" w:lineRule="auto"/>
              <w:jc w:val="right"/>
              <w:rPr>
                <w:rFonts w:ascii="Arial Narrow" w:hAnsi="Arial Narrow" w:cs="Times New Roman"/>
              </w:rPr>
            </w:pPr>
            <w:r w:rsidR="00564854">
              <w:rPr>
                <w:rFonts w:ascii="Arial Narrow" w:hAnsi="Arial Narrow" w:cs="Times New Roman"/>
              </w:rPr>
              <w:t>1 080</w:t>
            </w:r>
            <w:r w:rsidR="00564854">
              <w:rPr>
                <w:rFonts w:ascii="Arial Narrow" w:hAnsi="Arial Narrow" w:cs="Times New Roman"/>
              </w:rPr>
              <w:t>,50</w:t>
            </w:r>
          </w:p>
        </w:tc>
      </w:tr>
      <w:tr>
        <w:tblPrEx>
          <w:tblW w:w="8998" w:type="dxa"/>
          <w:tblInd w:w="108" w:type="dxa"/>
        </w:tblPrEx>
        <w:trPr>
          <w:trHeight w:hRule="auto" w:val="0"/>
        </w:trPr>
        <w:tc>
          <w:tcPr>
            <w:tcW w:w="3060" w:type="dxa"/>
            <w:tcBorders>
              <w:top w:val="single" w:sz="4" w:space="0" w:color="auto"/>
              <w:left w:val="single" w:sz="4" w:space="0" w:color="auto"/>
              <w:bottom w:val="single" w:sz="4" w:space="0" w:color="auto"/>
              <w:right w:val="single" w:sz="4" w:space="0" w:color="auto"/>
              <w:tl2br w:val="nil"/>
              <w:tr2bl w:val="nil"/>
            </w:tcBorders>
            <w:shd w:val="clear" w:color="auto" w:fill="C0C0C0"/>
            <w:textDirection w:val="lrTb"/>
            <w:vAlign w:val="center"/>
          </w:tcPr>
          <w:p w:rsidR="001D0627" w:rsidRPr="00FC7E23" w:rsidP="00C362EA">
            <w:pPr>
              <w:spacing w:line="240" w:lineRule="auto"/>
              <w:rPr>
                <w:rFonts w:ascii="Arial Narrow" w:hAnsi="Arial Narrow" w:cs="Times New Roman"/>
                <w:b/>
              </w:rPr>
            </w:pPr>
            <w:r w:rsidRPr="00FC7E23">
              <w:rPr>
                <w:rFonts w:ascii="Arial Narrow" w:hAnsi="Arial Narrow" w:cs="Times New Roman"/>
                <w:b/>
              </w:rPr>
              <w:t>SPOLU</w:t>
            </w:r>
          </w:p>
        </w:tc>
        <w:tc>
          <w:tcPr>
            <w:tcW w:w="1440" w:type="dxa"/>
            <w:tcBorders>
              <w:top w:val="single" w:sz="4" w:space="0" w:color="auto"/>
              <w:left w:val="single" w:sz="4" w:space="0" w:color="auto"/>
              <w:bottom w:val="single" w:sz="4" w:space="0" w:color="auto"/>
              <w:right w:val="single" w:sz="4" w:space="0" w:color="auto"/>
              <w:tl2br w:val="nil"/>
              <w:tr2bl w:val="nil"/>
            </w:tcBorders>
            <w:shd w:val="clear" w:color="auto" w:fill="C0C0C0"/>
            <w:textDirection w:val="lrTb"/>
            <w:vAlign w:val="center"/>
          </w:tcPr>
          <w:p w:rsidR="001D0627" w:rsidRPr="00FC7E23" w:rsidP="00B6004F">
            <w:pPr>
              <w:spacing w:line="240" w:lineRule="auto"/>
              <w:jc w:val="right"/>
              <w:rPr>
                <w:rFonts w:ascii="Arial Narrow" w:hAnsi="Arial Narrow" w:cs="Times New Roman"/>
                <w:b/>
              </w:rPr>
            </w:pPr>
            <w:r w:rsidR="00564854">
              <w:rPr>
                <w:rFonts w:ascii="Arial Narrow" w:hAnsi="Arial Narrow" w:cs="Times New Roman"/>
                <w:b/>
              </w:rPr>
              <w:t>57 334 000</w:t>
            </w:r>
            <w:r>
              <w:rPr>
                <w:rFonts w:ascii="Arial Narrow" w:hAnsi="Arial Narrow" w:cs="Times New Roman"/>
                <w:b/>
              </w:rPr>
              <w:t>,00</w:t>
            </w:r>
          </w:p>
        </w:tc>
        <w:tc>
          <w:tcPr>
            <w:tcW w:w="1563" w:type="dxa"/>
            <w:tcBorders>
              <w:top w:val="single" w:sz="4" w:space="0" w:color="auto"/>
              <w:left w:val="single" w:sz="4" w:space="0" w:color="auto"/>
              <w:bottom w:val="single" w:sz="4" w:space="0" w:color="auto"/>
              <w:right w:val="single" w:sz="4" w:space="0" w:color="auto"/>
              <w:tl2br w:val="nil"/>
              <w:tr2bl w:val="nil"/>
            </w:tcBorders>
            <w:shd w:val="clear" w:color="auto" w:fill="C0C0C0"/>
            <w:textDirection w:val="lrTb"/>
            <w:vAlign w:val="center"/>
          </w:tcPr>
          <w:p w:rsidR="001D0627" w:rsidRPr="00FC7E23" w:rsidP="00B6004F">
            <w:pPr>
              <w:spacing w:line="240" w:lineRule="auto"/>
              <w:jc w:val="right"/>
              <w:rPr>
                <w:rFonts w:ascii="Arial Narrow" w:hAnsi="Arial Narrow" w:cs="Times New Roman"/>
                <w:b/>
              </w:rPr>
            </w:pPr>
            <w:r w:rsidR="00564854">
              <w:rPr>
                <w:rFonts w:ascii="Arial Narrow" w:hAnsi="Arial Narrow" w:cs="Times New Roman"/>
                <w:b/>
              </w:rPr>
              <w:t>63 429 000,00</w:t>
            </w:r>
          </w:p>
        </w:tc>
        <w:tc>
          <w:tcPr>
            <w:tcW w:w="1440" w:type="dxa"/>
            <w:tcBorders>
              <w:top w:val="single" w:sz="4" w:space="0" w:color="auto"/>
              <w:left w:val="single" w:sz="4" w:space="0" w:color="auto"/>
              <w:bottom w:val="single" w:sz="4" w:space="0" w:color="auto"/>
              <w:right w:val="single" w:sz="4" w:space="0" w:color="auto"/>
              <w:tl2br w:val="nil"/>
              <w:tr2bl w:val="nil"/>
            </w:tcBorders>
            <w:shd w:val="clear" w:color="auto" w:fill="C0C0C0"/>
            <w:textDirection w:val="lrTb"/>
            <w:vAlign w:val="center"/>
          </w:tcPr>
          <w:p w:rsidR="001D0627" w:rsidRPr="00FC7E23" w:rsidP="00B6004F">
            <w:pPr>
              <w:spacing w:line="240" w:lineRule="auto"/>
              <w:jc w:val="right"/>
              <w:rPr>
                <w:rFonts w:ascii="Arial Narrow" w:hAnsi="Arial Narrow" w:cs="Times New Roman"/>
                <w:b/>
              </w:rPr>
            </w:pPr>
            <w:r w:rsidR="00564854">
              <w:rPr>
                <w:rFonts w:ascii="Arial Narrow" w:hAnsi="Arial Narrow" w:cs="Times New Roman"/>
                <w:b/>
              </w:rPr>
              <w:t>63 324 156,35</w:t>
            </w:r>
          </w:p>
        </w:tc>
        <w:tc>
          <w:tcPr>
            <w:tcW w:w="1495" w:type="dxa"/>
            <w:tcBorders>
              <w:top w:val="single" w:sz="4" w:space="0" w:color="auto"/>
              <w:left w:val="single" w:sz="4" w:space="0" w:color="auto"/>
              <w:bottom w:val="single" w:sz="4" w:space="0" w:color="auto"/>
              <w:right w:val="single" w:sz="4" w:space="0" w:color="auto"/>
              <w:tl2br w:val="nil"/>
              <w:tr2bl w:val="nil"/>
            </w:tcBorders>
            <w:shd w:val="clear" w:color="auto" w:fill="C0C0C0"/>
            <w:textDirection w:val="lrTb"/>
            <w:vAlign w:val="center"/>
          </w:tcPr>
          <w:p w:rsidR="001D0627" w:rsidP="00B6004F">
            <w:pPr>
              <w:spacing w:line="240" w:lineRule="auto"/>
              <w:jc w:val="right"/>
              <w:rPr>
                <w:rFonts w:ascii="Arial Narrow" w:hAnsi="Arial Narrow" w:cs="Times New Roman"/>
                <w:b/>
              </w:rPr>
            </w:pPr>
            <w:r w:rsidR="00564854">
              <w:rPr>
                <w:rFonts w:ascii="Arial Narrow" w:hAnsi="Arial Narrow" w:cs="Times New Roman"/>
                <w:b/>
              </w:rPr>
              <w:t>104 843,65</w:t>
            </w:r>
          </w:p>
        </w:tc>
      </w:tr>
    </w:tbl>
    <w:p w:rsidR="00D60717" w:rsidP="00D60717">
      <w:pPr>
        <w:spacing w:line="240" w:lineRule="auto"/>
        <w:ind w:left="62"/>
        <w:rPr>
          <w:rFonts w:ascii="Times New Roman" w:hAnsi="Times New Roman" w:cs="Times New Roman"/>
          <w:b/>
          <w:sz w:val="24"/>
          <w:szCs w:val="24"/>
        </w:rPr>
      </w:pPr>
    </w:p>
    <w:p w:rsidR="00D60717" w:rsidRPr="00D60717" w:rsidP="00D60717">
      <w:pPr>
        <w:spacing w:line="240" w:lineRule="auto"/>
        <w:ind w:left="62" w:firstLine="643"/>
        <w:rPr>
          <w:rFonts w:ascii="Times New Roman" w:hAnsi="Times New Roman" w:cs="Times New Roman"/>
          <w:b/>
          <w:sz w:val="24"/>
          <w:szCs w:val="24"/>
        </w:rPr>
      </w:pPr>
      <w:r w:rsidRPr="00D60717">
        <w:rPr>
          <w:rFonts w:ascii="Times New Roman" w:hAnsi="Times New Roman" w:cs="Times New Roman"/>
          <w:sz w:val="24"/>
          <w:szCs w:val="24"/>
        </w:rPr>
        <w:t>Úradu sa nepodarilo v priebehu roka 2007 naplniť záväzný limit počtu zamestnancov – 78. Z toho dôvodu nečerpal rozpočtové prostriedky na základné platy podľa rozpočtu. Nedočerpané prostriedky v položke 611- Tarifný plat, osobný plat, základný plat,... úrad čerpal na odmeny za kvalitné plnenie úloh a za výkon služobných úloh, pracovných činností nad rozsah činností vyplývajúcich z príslušného štátnozamestnaneckého miesta  alebo druhu práce a riešil plnenie úloh pri nenaplnenom záväznom počte zamestnancov.</w:t>
      </w:r>
    </w:p>
    <w:p w:rsidR="008F3A37" w:rsidP="001D0627">
      <w:pPr>
        <w:spacing w:line="240" w:lineRule="auto"/>
        <w:rPr>
          <w:rFonts w:ascii="Times New Roman" w:hAnsi="Times New Roman" w:cs="Times New Roman"/>
          <w:sz w:val="24"/>
          <w:szCs w:val="24"/>
        </w:rPr>
      </w:pPr>
    </w:p>
    <w:p w:rsidR="000D6D91" w:rsidP="00400D30">
      <w:pPr>
        <w:spacing w:line="240" w:lineRule="auto"/>
        <w:ind w:left="62" w:firstLine="643"/>
        <w:rPr>
          <w:rFonts w:ascii="Times New Roman" w:hAnsi="Times New Roman" w:cs="Times New Roman"/>
          <w:sz w:val="24"/>
          <w:szCs w:val="24"/>
        </w:rPr>
      </w:pPr>
      <w:r w:rsidRPr="008F3A37" w:rsidR="00EE6A70">
        <w:rPr>
          <w:rFonts w:ascii="Times New Roman" w:hAnsi="Times New Roman" w:cs="Times New Roman"/>
          <w:sz w:val="24"/>
          <w:szCs w:val="24"/>
        </w:rPr>
        <w:t xml:space="preserve">Čerpanie </w:t>
      </w:r>
      <w:r w:rsidRPr="00AB1F6D" w:rsidR="0019319E">
        <w:rPr>
          <w:rFonts w:ascii="Times New Roman" w:hAnsi="Times New Roman" w:cs="Times New Roman"/>
          <w:sz w:val="24"/>
          <w:szCs w:val="24"/>
        </w:rPr>
        <w:t>tovarov a služieb (630)</w:t>
      </w:r>
      <w:r w:rsidR="00564854">
        <w:rPr>
          <w:rFonts w:ascii="Times New Roman" w:hAnsi="Times New Roman" w:cs="Times New Roman"/>
          <w:sz w:val="24"/>
          <w:szCs w:val="24"/>
        </w:rPr>
        <w:t xml:space="preserve"> v sume 24 497 366,85 </w:t>
      </w:r>
      <w:r w:rsidRPr="008F3A37" w:rsidR="0019319E">
        <w:rPr>
          <w:rFonts w:ascii="Times New Roman" w:hAnsi="Times New Roman" w:cs="Times New Roman"/>
          <w:sz w:val="24"/>
          <w:szCs w:val="24"/>
        </w:rPr>
        <w:t xml:space="preserve">Sk </w:t>
      </w:r>
      <w:r w:rsidR="008F3A37">
        <w:rPr>
          <w:rFonts w:ascii="Times New Roman" w:hAnsi="Times New Roman" w:cs="Times New Roman"/>
          <w:sz w:val="24"/>
          <w:szCs w:val="24"/>
        </w:rPr>
        <w:t xml:space="preserve">predstavovali hlavne </w:t>
      </w:r>
      <w:r w:rsidRPr="008F3A37" w:rsidR="00EE6A70">
        <w:rPr>
          <w:rFonts w:ascii="Times New Roman" w:hAnsi="Times New Roman" w:cs="Times New Roman"/>
          <w:sz w:val="24"/>
          <w:szCs w:val="24"/>
        </w:rPr>
        <w:t>výdavky</w:t>
      </w:r>
      <w:r w:rsidRPr="008F3A37" w:rsidR="0019319E">
        <w:rPr>
          <w:rFonts w:ascii="Times New Roman" w:hAnsi="Times New Roman" w:cs="Times New Roman"/>
          <w:sz w:val="24"/>
          <w:szCs w:val="24"/>
        </w:rPr>
        <w:t xml:space="preserve"> na: 631 – cestovné (</w:t>
      </w:r>
      <w:r w:rsidR="00564854">
        <w:rPr>
          <w:rFonts w:ascii="Times New Roman" w:hAnsi="Times New Roman" w:cs="Times New Roman"/>
          <w:sz w:val="24"/>
          <w:szCs w:val="24"/>
        </w:rPr>
        <w:t xml:space="preserve">4 208 306,38 </w:t>
      </w:r>
      <w:r w:rsidRPr="008F3A37" w:rsidR="00EE6A70">
        <w:rPr>
          <w:rFonts w:ascii="Times New Roman" w:hAnsi="Times New Roman" w:cs="Times New Roman"/>
          <w:sz w:val="24"/>
          <w:szCs w:val="24"/>
        </w:rPr>
        <w:t>Sk), 632 – energiu, vodu a komunikácie (</w:t>
      </w:r>
      <w:r w:rsidR="00564854">
        <w:rPr>
          <w:rFonts w:ascii="Times New Roman" w:hAnsi="Times New Roman" w:cs="Times New Roman"/>
          <w:sz w:val="24"/>
          <w:szCs w:val="24"/>
        </w:rPr>
        <w:t xml:space="preserve">2 596 341,51 </w:t>
      </w:r>
      <w:r w:rsidRPr="008F3A37" w:rsidR="00EE6A70">
        <w:rPr>
          <w:rFonts w:ascii="Times New Roman" w:hAnsi="Times New Roman" w:cs="Times New Roman"/>
          <w:sz w:val="24"/>
          <w:szCs w:val="24"/>
        </w:rPr>
        <w:t>Sk</w:t>
      </w:r>
      <w:r w:rsidRPr="008F3A37" w:rsidR="00A22B94">
        <w:rPr>
          <w:rFonts w:ascii="Times New Roman" w:hAnsi="Times New Roman" w:cs="Times New Roman"/>
          <w:sz w:val="24"/>
          <w:szCs w:val="24"/>
        </w:rPr>
        <w:t>), 633</w:t>
      </w:r>
      <w:r w:rsidR="00741808">
        <w:rPr>
          <w:rFonts w:ascii="Times New Roman" w:hAnsi="Times New Roman" w:cs="Times New Roman"/>
          <w:sz w:val="24"/>
          <w:szCs w:val="24"/>
        </w:rPr>
        <w:t xml:space="preserve"> – materiál</w:t>
      </w:r>
      <w:r w:rsidR="00741808">
        <w:rPr>
          <w:rFonts w:ascii="Times New Roman" w:hAnsi="Times New Roman" w:cs="Times New Roman"/>
          <w:sz w:val="24"/>
          <w:szCs w:val="24"/>
        </w:rPr>
        <w:t xml:space="preserve"> (2 309 201,82 </w:t>
      </w:r>
      <w:r w:rsidRPr="008F3A37" w:rsidR="00EE6A70">
        <w:rPr>
          <w:rFonts w:ascii="Times New Roman" w:hAnsi="Times New Roman" w:cs="Times New Roman"/>
          <w:sz w:val="24"/>
          <w:szCs w:val="24"/>
        </w:rPr>
        <w:t>Sk</w:t>
      </w:r>
      <w:r w:rsidR="00741808">
        <w:rPr>
          <w:rFonts w:ascii="Times New Roman" w:hAnsi="Times New Roman" w:cs="Times New Roman"/>
          <w:sz w:val="24"/>
          <w:szCs w:val="24"/>
        </w:rPr>
        <w:t>)</w:t>
      </w:r>
      <w:r w:rsidRPr="008F3A37" w:rsidR="00EE6A70">
        <w:rPr>
          <w:rFonts w:ascii="Times New Roman" w:hAnsi="Times New Roman" w:cs="Times New Roman"/>
          <w:sz w:val="24"/>
          <w:szCs w:val="24"/>
        </w:rPr>
        <w:t xml:space="preserve">, 634 – dopravné </w:t>
      </w:r>
      <w:r w:rsidR="00741808">
        <w:rPr>
          <w:rFonts w:ascii="Times New Roman" w:hAnsi="Times New Roman" w:cs="Times New Roman"/>
          <w:sz w:val="24"/>
          <w:szCs w:val="24"/>
        </w:rPr>
        <w:t>(7 748 111,19 Sk</w:t>
      </w:r>
      <w:r w:rsidR="008F3A37">
        <w:rPr>
          <w:rFonts w:ascii="Times New Roman" w:hAnsi="Times New Roman" w:cs="Times New Roman"/>
          <w:sz w:val="24"/>
          <w:szCs w:val="24"/>
        </w:rPr>
        <w:t>, p</w:t>
      </w:r>
      <w:r w:rsidRPr="008F3A37" w:rsidR="008F3A37">
        <w:rPr>
          <w:rFonts w:ascii="Times New Roman" w:hAnsi="Times New Roman" w:cs="Times New Roman"/>
          <w:sz w:val="24"/>
          <w:szCs w:val="24"/>
        </w:rPr>
        <w:t>omerne vysoké čerpanie tejto položky súvisí najmä s vyššou opotrebovanosťou (fyzickou) osobných áut a lietadiel a vyššími cenami pohonn</w:t>
      </w:r>
      <w:r w:rsidR="00741808">
        <w:rPr>
          <w:rFonts w:ascii="Times New Roman" w:hAnsi="Times New Roman" w:cs="Times New Roman"/>
          <w:sz w:val="24"/>
          <w:szCs w:val="24"/>
        </w:rPr>
        <w:t>ých hmôt</w:t>
      </w:r>
      <w:r w:rsidRPr="008F3A37" w:rsidR="0019319E">
        <w:rPr>
          <w:rFonts w:ascii="Times New Roman" w:hAnsi="Times New Roman" w:cs="Times New Roman"/>
          <w:sz w:val="24"/>
          <w:szCs w:val="24"/>
        </w:rPr>
        <w:t xml:space="preserve">), </w:t>
      </w:r>
      <w:r w:rsidRPr="008F3A37" w:rsidR="00A22B94">
        <w:rPr>
          <w:rFonts w:ascii="Times New Roman" w:hAnsi="Times New Roman" w:cs="Times New Roman"/>
          <w:sz w:val="24"/>
          <w:szCs w:val="24"/>
        </w:rPr>
        <w:t xml:space="preserve">635 –  rutinnú </w:t>
      </w:r>
      <w:r w:rsidRPr="008F3A37" w:rsidR="008F3A37">
        <w:rPr>
          <w:rFonts w:ascii="Times New Roman" w:hAnsi="Times New Roman" w:cs="Times New Roman"/>
          <w:sz w:val="24"/>
          <w:szCs w:val="24"/>
        </w:rPr>
        <w:t>a štandardnú ú</w:t>
      </w:r>
      <w:r w:rsidR="00741808">
        <w:rPr>
          <w:rFonts w:ascii="Times New Roman" w:hAnsi="Times New Roman" w:cs="Times New Roman"/>
          <w:sz w:val="24"/>
          <w:szCs w:val="24"/>
        </w:rPr>
        <w:t>držbu (707 905,10 Sk</w:t>
      </w:r>
      <w:r w:rsidRPr="008F3A37" w:rsidR="00A22B94">
        <w:rPr>
          <w:rFonts w:ascii="Times New Roman" w:hAnsi="Times New Roman" w:cs="Times New Roman"/>
          <w:sz w:val="24"/>
          <w:szCs w:val="24"/>
        </w:rPr>
        <w:t xml:space="preserve">), </w:t>
      </w:r>
      <w:r w:rsidR="00741808">
        <w:rPr>
          <w:rFonts w:ascii="Times New Roman" w:hAnsi="Times New Roman" w:cs="Times New Roman"/>
          <w:sz w:val="24"/>
          <w:szCs w:val="24"/>
        </w:rPr>
        <w:t xml:space="preserve">636 </w:t>
      </w:r>
      <w:r w:rsidR="00741808">
        <w:rPr>
          <w:rFonts w:ascii="Times New Roman" w:hAnsi="Times New Roman" w:cs="Times New Roman"/>
          <w:sz w:val="24"/>
          <w:szCs w:val="24"/>
        </w:rPr>
        <w:t xml:space="preserve">– nájomné (3 390,15 </w:t>
      </w:r>
      <w:r w:rsidRPr="008F3A37" w:rsidR="00EE6A70">
        <w:rPr>
          <w:rFonts w:ascii="Times New Roman" w:hAnsi="Times New Roman" w:cs="Times New Roman"/>
          <w:sz w:val="24"/>
          <w:szCs w:val="24"/>
        </w:rPr>
        <w:t xml:space="preserve">Sk), 637 </w:t>
      </w:r>
      <w:r w:rsidR="00741808">
        <w:rPr>
          <w:rFonts w:ascii="Times New Roman" w:hAnsi="Times New Roman" w:cs="Times New Roman"/>
          <w:sz w:val="24"/>
          <w:szCs w:val="24"/>
        </w:rPr>
        <w:t xml:space="preserve">– služby (6 924 110,70 Sk). </w:t>
      </w:r>
    </w:p>
    <w:p w:rsidR="000D6D91" w:rsidRPr="000D6D91" w:rsidP="000D6D91">
      <w:pPr>
        <w:spacing w:line="240" w:lineRule="auto"/>
        <w:ind w:left="62" w:firstLine="643"/>
        <w:rPr>
          <w:rFonts w:ascii="Times New Roman" w:hAnsi="Times New Roman" w:cs="Times New Roman"/>
          <w:sz w:val="24"/>
          <w:szCs w:val="24"/>
        </w:rPr>
      </w:pPr>
      <w:r w:rsidRPr="000D6D91">
        <w:rPr>
          <w:rFonts w:ascii="Times New Roman" w:hAnsi="Times New Roman" w:cs="Times New Roman"/>
          <w:sz w:val="24"/>
          <w:szCs w:val="24"/>
        </w:rPr>
        <w:t>Bežné transfery</w:t>
      </w:r>
      <w:r>
        <w:rPr>
          <w:rFonts w:ascii="Times New Roman" w:hAnsi="Times New Roman" w:cs="Times New Roman"/>
          <w:sz w:val="24"/>
          <w:szCs w:val="24"/>
        </w:rPr>
        <w:t xml:space="preserve"> boli </w:t>
      </w:r>
      <w:r w:rsidRPr="000D6D91">
        <w:rPr>
          <w:rFonts w:ascii="Times New Roman" w:hAnsi="Times New Roman" w:cs="Times New Roman"/>
          <w:sz w:val="24"/>
          <w:szCs w:val="24"/>
        </w:rPr>
        <w:t>čerpané na odchodné , odstupné , nemocenské dávky a transfery neziskovým organizáciám.</w:t>
      </w:r>
    </w:p>
    <w:p w:rsidR="008F3A37" w:rsidRPr="008F3A37" w:rsidP="00C362EA">
      <w:pPr>
        <w:spacing w:line="240" w:lineRule="auto"/>
        <w:ind w:firstLine="705"/>
        <w:rPr>
          <w:rFonts w:ascii="Times New Roman" w:hAnsi="Times New Roman" w:cs="Times New Roman"/>
          <w:sz w:val="24"/>
          <w:szCs w:val="24"/>
        </w:rPr>
      </w:pPr>
    </w:p>
    <w:p w:rsidR="00400D30" w:rsidP="00400D30">
      <w:pPr>
        <w:spacing w:line="240" w:lineRule="auto"/>
        <w:ind w:firstLine="705"/>
        <w:rPr>
          <w:rFonts w:ascii="Times New Roman" w:hAnsi="Times New Roman" w:cs="Times New Roman"/>
          <w:sz w:val="24"/>
          <w:szCs w:val="24"/>
        </w:rPr>
      </w:pPr>
      <w:r w:rsidRPr="00AB1F6D" w:rsidR="00EE6A70">
        <w:rPr>
          <w:rFonts w:ascii="Times New Roman" w:hAnsi="Times New Roman" w:cs="Times New Roman"/>
          <w:sz w:val="24"/>
          <w:szCs w:val="24"/>
        </w:rPr>
        <w:t>Kapitálové výdavky (7</w:t>
      </w:r>
      <w:r w:rsidRPr="00AB1F6D" w:rsidR="0019319E">
        <w:rPr>
          <w:rFonts w:ascii="Times New Roman" w:hAnsi="Times New Roman" w:cs="Times New Roman"/>
          <w:sz w:val="24"/>
          <w:szCs w:val="24"/>
        </w:rPr>
        <w:t>10) boli</w:t>
      </w:r>
      <w:r w:rsidRPr="00DD6FFB" w:rsidR="0019319E">
        <w:rPr>
          <w:rFonts w:ascii="Times New Roman" w:hAnsi="Times New Roman" w:cs="Times New Roman"/>
          <w:sz w:val="24"/>
          <w:szCs w:val="24"/>
        </w:rPr>
        <w:t xml:space="preserve"> čerpané vo výš</w:t>
      </w:r>
      <w:r w:rsidR="00741808">
        <w:rPr>
          <w:rFonts w:ascii="Times New Roman" w:hAnsi="Times New Roman" w:cs="Times New Roman"/>
          <w:sz w:val="24"/>
          <w:szCs w:val="24"/>
        </w:rPr>
        <w:t xml:space="preserve">ke 4 498 919,50 Sk. </w:t>
      </w:r>
      <w:r w:rsidRPr="009A182A" w:rsidR="009A182A">
        <w:rPr>
          <w:rFonts w:ascii="Times New Roman" w:hAnsi="Times New Roman" w:cs="Times New Roman"/>
          <w:sz w:val="24"/>
          <w:szCs w:val="24"/>
        </w:rPr>
        <w:t xml:space="preserve">Prostriedky boli čerpané </w:t>
      </w:r>
      <w:r w:rsidRPr="009A182A" w:rsidR="009A182A">
        <w:rPr>
          <w:rFonts w:ascii="Times New Roman" w:hAnsi="Times New Roman" w:cs="Times New Roman"/>
          <w:sz w:val="24"/>
          <w:szCs w:val="24"/>
        </w:rPr>
        <w:t xml:space="preserve">na: </w:t>
      </w:r>
      <w:r>
        <w:rPr>
          <w:rFonts w:ascii="Times New Roman" w:hAnsi="Times New Roman" w:cs="Times New Roman"/>
          <w:sz w:val="24"/>
          <w:szCs w:val="24"/>
        </w:rPr>
        <w:t xml:space="preserve">- </w:t>
      </w:r>
      <w:r w:rsidR="009A182A">
        <w:rPr>
          <w:rFonts w:ascii="Times New Roman" w:hAnsi="Times New Roman" w:cs="Times New Roman"/>
          <w:sz w:val="24"/>
          <w:szCs w:val="24"/>
        </w:rPr>
        <w:t>nákup výpočtovej techniky..........</w:t>
      </w:r>
      <w:r>
        <w:rPr>
          <w:rFonts w:ascii="Times New Roman" w:hAnsi="Times New Roman" w:cs="Times New Roman"/>
          <w:sz w:val="24"/>
          <w:szCs w:val="24"/>
        </w:rPr>
        <w:t>.</w:t>
      </w:r>
      <w:r w:rsidR="009A182A">
        <w:rPr>
          <w:rFonts w:ascii="Times New Roman" w:hAnsi="Times New Roman" w:cs="Times New Roman"/>
          <w:sz w:val="24"/>
          <w:szCs w:val="24"/>
        </w:rPr>
        <w:t>....................</w:t>
      </w:r>
      <w:r>
        <w:rPr>
          <w:rFonts w:ascii="Times New Roman" w:hAnsi="Times New Roman" w:cs="Times New Roman"/>
          <w:sz w:val="24"/>
          <w:szCs w:val="24"/>
        </w:rPr>
        <w:t>...............................</w:t>
      </w:r>
      <w:r w:rsidR="00741808">
        <w:rPr>
          <w:rFonts w:ascii="Times New Roman" w:hAnsi="Times New Roman" w:cs="Times New Roman"/>
          <w:sz w:val="24"/>
          <w:szCs w:val="24"/>
        </w:rPr>
        <w:t xml:space="preserve">657 710,60 </w:t>
      </w:r>
      <w:r w:rsidRPr="009A182A" w:rsidR="009A182A">
        <w:rPr>
          <w:rFonts w:ascii="Times New Roman" w:hAnsi="Times New Roman" w:cs="Times New Roman"/>
          <w:sz w:val="24"/>
          <w:szCs w:val="24"/>
        </w:rPr>
        <w:t>Sk</w:t>
      </w:r>
    </w:p>
    <w:p w:rsidR="00741808" w:rsidRPr="009A182A" w:rsidP="00400D30">
      <w:pPr>
        <w:spacing w:line="240" w:lineRule="auto"/>
        <w:ind w:firstLine="705"/>
        <w:rPr>
          <w:rFonts w:ascii="Times New Roman" w:hAnsi="Times New Roman" w:cs="Times New Roman"/>
          <w:sz w:val="24"/>
          <w:szCs w:val="24"/>
        </w:rPr>
      </w:pPr>
      <w:r w:rsidR="00400D30">
        <w:rPr>
          <w:rFonts w:ascii="Times New Roman" w:hAnsi="Times New Roman" w:cs="Times New Roman"/>
          <w:sz w:val="24"/>
          <w:szCs w:val="24"/>
        </w:rPr>
        <w:t xml:space="preserve">       - </w:t>
      </w:r>
      <w:r>
        <w:rPr>
          <w:rFonts w:ascii="Times New Roman" w:hAnsi="Times New Roman" w:cs="Times New Roman"/>
          <w:sz w:val="24"/>
          <w:szCs w:val="24"/>
        </w:rPr>
        <w:t>nákup softwaru..................................................................................855 986,00 Sk</w:t>
      </w:r>
    </w:p>
    <w:p w:rsidR="009A182A" w:rsidRPr="009A182A" w:rsidP="00400D30">
      <w:pPr>
        <w:adjustRightInd/>
        <w:spacing w:line="240" w:lineRule="auto"/>
        <w:ind w:left="900"/>
        <w:jc w:val="left"/>
        <w:textAlignment w:val="auto"/>
        <w:rPr>
          <w:rFonts w:ascii="Times New Roman" w:hAnsi="Times New Roman" w:cs="Times New Roman"/>
          <w:sz w:val="24"/>
          <w:szCs w:val="24"/>
        </w:rPr>
      </w:pPr>
      <w:r w:rsidR="00400D30">
        <w:rPr>
          <w:rFonts w:ascii="Times New Roman" w:hAnsi="Times New Roman" w:cs="Times New Roman"/>
          <w:sz w:val="24"/>
          <w:szCs w:val="24"/>
        </w:rPr>
        <w:t xml:space="preserve">    - </w:t>
      </w:r>
      <w:r w:rsidR="00741808">
        <w:rPr>
          <w:rFonts w:ascii="Times New Roman" w:hAnsi="Times New Roman" w:cs="Times New Roman"/>
          <w:sz w:val="24"/>
          <w:szCs w:val="24"/>
        </w:rPr>
        <w:t>obstaranie špeciálnych s</w:t>
      </w:r>
      <w:r w:rsidR="00741808">
        <w:rPr>
          <w:rFonts w:ascii="Times New Roman" w:hAnsi="Times New Roman" w:cs="Times New Roman"/>
          <w:sz w:val="24"/>
          <w:szCs w:val="24"/>
        </w:rPr>
        <w:t xml:space="preserve">trojov, prístrojov a zariadení......................948 587,20 </w:t>
      </w:r>
      <w:r w:rsidRPr="009A182A">
        <w:rPr>
          <w:rFonts w:ascii="Times New Roman" w:hAnsi="Times New Roman" w:cs="Times New Roman"/>
          <w:sz w:val="24"/>
          <w:szCs w:val="24"/>
        </w:rPr>
        <w:t>Sk</w:t>
      </w:r>
    </w:p>
    <w:p w:rsidR="009A182A" w:rsidRPr="009A182A" w:rsidP="00400D30">
      <w:pPr>
        <w:adjustRightInd/>
        <w:spacing w:line="240" w:lineRule="auto"/>
        <w:ind w:left="900"/>
        <w:jc w:val="left"/>
        <w:textAlignment w:val="auto"/>
        <w:rPr>
          <w:rFonts w:ascii="Times New Roman" w:hAnsi="Times New Roman" w:cs="Times New Roman"/>
          <w:sz w:val="24"/>
          <w:szCs w:val="24"/>
        </w:rPr>
      </w:pPr>
      <w:r w:rsidR="00400D30">
        <w:rPr>
          <w:rFonts w:ascii="Times New Roman" w:hAnsi="Times New Roman" w:cs="Times New Roman"/>
          <w:sz w:val="24"/>
          <w:szCs w:val="24"/>
        </w:rPr>
        <w:t xml:space="preserve">    - nákup osobného auta.........</w:t>
      </w:r>
      <w:r>
        <w:rPr>
          <w:rFonts w:ascii="Times New Roman" w:hAnsi="Times New Roman" w:cs="Times New Roman"/>
          <w:sz w:val="24"/>
          <w:szCs w:val="24"/>
        </w:rPr>
        <w:t>..............................................................</w:t>
      </w:r>
      <w:r w:rsidR="00741808">
        <w:rPr>
          <w:rFonts w:ascii="Times New Roman" w:hAnsi="Times New Roman" w:cs="Times New Roman"/>
          <w:sz w:val="24"/>
          <w:szCs w:val="24"/>
        </w:rPr>
        <w:t>807 137, 7</w:t>
      </w:r>
      <w:r w:rsidRPr="009A182A">
        <w:rPr>
          <w:rFonts w:ascii="Times New Roman" w:hAnsi="Times New Roman" w:cs="Times New Roman"/>
          <w:sz w:val="24"/>
          <w:szCs w:val="24"/>
        </w:rPr>
        <w:t>0 Sk</w:t>
      </w:r>
    </w:p>
    <w:p w:rsidR="009A182A" w:rsidRPr="009A182A" w:rsidP="00400D30">
      <w:pPr>
        <w:adjustRightInd/>
        <w:spacing w:line="240" w:lineRule="auto"/>
        <w:ind w:left="900"/>
        <w:jc w:val="left"/>
        <w:textAlignment w:val="auto"/>
        <w:rPr>
          <w:rFonts w:ascii="Times New Roman" w:hAnsi="Times New Roman" w:cs="Times New Roman"/>
          <w:sz w:val="24"/>
          <w:szCs w:val="24"/>
        </w:rPr>
      </w:pPr>
      <w:r w:rsidR="00400D30">
        <w:rPr>
          <w:rFonts w:ascii="Times New Roman" w:hAnsi="Times New Roman" w:cs="Times New Roman"/>
          <w:sz w:val="24"/>
          <w:szCs w:val="24"/>
        </w:rPr>
        <w:t xml:space="preserve">    - </w:t>
      </w:r>
      <w:r w:rsidR="00741808">
        <w:rPr>
          <w:rFonts w:ascii="Times New Roman" w:hAnsi="Times New Roman" w:cs="Times New Roman"/>
          <w:sz w:val="24"/>
          <w:szCs w:val="24"/>
        </w:rPr>
        <w:t>prípravná a proje</w:t>
      </w:r>
      <w:r w:rsidR="00400D30">
        <w:rPr>
          <w:rFonts w:ascii="Times New Roman" w:hAnsi="Times New Roman" w:cs="Times New Roman"/>
          <w:sz w:val="24"/>
          <w:szCs w:val="24"/>
        </w:rPr>
        <w:t>ktová dokumentácia.............</w:t>
      </w:r>
      <w:r w:rsidR="00741808">
        <w:rPr>
          <w:rFonts w:ascii="Times New Roman" w:hAnsi="Times New Roman" w:cs="Times New Roman"/>
          <w:sz w:val="24"/>
          <w:szCs w:val="24"/>
        </w:rPr>
        <w:t xml:space="preserve">..............................1 229 498,00 </w:t>
      </w:r>
      <w:r>
        <w:rPr>
          <w:rFonts w:ascii="Times New Roman" w:hAnsi="Times New Roman" w:cs="Times New Roman"/>
          <w:sz w:val="24"/>
          <w:szCs w:val="24"/>
        </w:rPr>
        <w:t>Sk</w:t>
      </w:r>
    </w:p>
    <w:p w:rsidR="00F93DF6" w:rsidRPr="009A182A" w:rsidP="00400D30">
      <w:pPr>
        <w:spacing w:line="240" w:lineRule="auto"/>
        <w:rPr>
          <w:rFonts w:ascii="Times New Roman" w:hAnsi="Times New Roman" w:cs="Times New Roman"/>
          <w:sz w:val="24"/>
          <w:szCs w:val="24"/>
        </w:rPr>
      </w:pPr>
    </w:p>
    <w:p w:rsidR="00F93DF6" w:rsidP="00F93DF6">
      <w:pPr>
        <w:spacing w:line="240" w:lineRule="auto"/>
        <w:rPr>
          <w:rFonts w:ascii="Times New Roman" w:hAnsi="Times New Roman" w:cs="Times New Roman"/>
          <w:b/>
          <w:sz w:val="24"/>
          <w:u w:val="single"/>
        </w:rPr>
      </w:pPr>
      <w:r w:rsidR="00303AE6">
        <w:rPr>
          <w:rFonts w:ascii="Times New Roman" w:hAnsi="Times New Roman" w:cs="Times New Roman"/>
          <w:b/>
          <w:sz w:val="24"/>
          <w:u w:val="single"/>
        </w:rPr>
        <w:t>9</w:t>
      </w:r>
      <w:r w:rsidRPr="00D23807">
        <w:rPr>
          <w:rFonts w:ascii="Times New Roman" w:hAnsi="Times New Roman" w:cs="Times New Roman"/>
          <w:b/>
          <w:sz w:val="24"/>
          <w:u w:val="single"/>
        </w:rPr>
        <w:t>.</w:t>
      </w:r>
      <w:r>
        <w:rPr>
          <w:rFonts w:ascii="Times New Roman" w:hAnsi="Times New Roman" w:cs="Times New Roman"/>
          <w:b/>
          <w:sz w:val="24"/>
          <w:u w:val="single"/>
        </w:rPr>
        <w:t xml:space="preserve"> ÚRAD VEREJNÉHO ZDRAVOTNÍCTVA MDPT SR – podprogram 07T06 – Hygiena a ochrana zdravia </w:t>
      </w:r>
    </w:p>
    <w:p w:rsidR="00F93DF6" w:rsidRPr="00D23807" w:rsidP="00F93DF6">
      <w:pPr>
        <w:spacing w:line="240" w:lineRule="auto"/>
        <w:rPr>
          <w:rFonts w:ascii="Times New Roman" w:hAnsi="Times New Roman" w:cs="Times New Roman"/>
          <w:b/>
          <w:sz w:val="24"/>
          <w:u w:val="single"/>
        </w:rPr>
      </w:pPr>
    </w:p>
    <w:p w:rsidR="00F93DF6" w:rsidRPr="00F43690" w:rsidP="00F93DF6">
      <w:pPr>
        <w:spacing w:line="240" w:lineRule="auto"/>
        <w:jc w:val="center"/>
        <w:rPr>
          <w:rFonts w:ascii="Arial Narrow" w:hAnsi="Arial Narrow" w:cs="Times New Roman"/>
          <w:b/>
          <w:sz w:val="24"/>
          <w:szCs w:val="24"/>
        </w:rPr>
      </w:pPr>
      <w:r w:rsidRPr="00F43690">
        <w:rPr>
          <w:rFonts w:ascii="Arial Narrow" w:hAnsi="Arial Narrow" w:cs="Times New Roman"/>
          <w:b/>
          <w:sz w:val="24"/>
          <w:szCs w:val="24"/>
        </w:rPr>
        <w:t>Pre</w:t>
      </w:r>
      <w:r w:rsidRPr="00F43690">
        <w:rPr>
          <w:rFonts w:ascii="Arial Narrow" w:hAnsi="Arial Narrow" w:cs="Times New Roman"/>
          <w:b/>
          <w:sz w:val="24"/>
          <w:szCs w:val="24"/>
        </w:rPr>
        <w:t>hľad rozpočtov</w:t>
      </w:r>
      <w:r w:rsidR="00DF6AD0">
        <w:rPr>
          <w:rFonts w:ascii="Arial Narrow" w:hAnsi="Arial Narrow" w:cs="Times New Roman"/>
          <w:b/>
          <w:sz w:val="24"/>
          <w:szCs w:val="24"/>
        </w:rPr>
        <w:t xml:space="preserve">ých výdavkov Úradu verejného zdravotníctva MDPT SR </w:t>
      </w:r>
      <w:r w:rsidR="00400D30">
        <w:rPr>
          <w:rFonts w:ascii="Arial Narrow" w:hAnsi="Arial Narrow" w:cs="Times New Roman"/>
          <w:b/>
          <w:sz w:val="24"/>
          <w:szCs w:val="24"/>
        </w:rPr>
        <w:t>za rok 2007</w:t>
      </w:r>
    </w:p>
    <w:p w:rsidR="00F93DF6" w:rsidRPr="00D04D46" w:rsidP="00F93DF6">
      <w:pPr>
        <w:spacing w:line="240" w:lineRule="auto"/>
        <w:rPr>
          <w:rFonts w:ascii="Arial Narrow" w:hAnsi="Arial Narrow" w:cs="Times New Roman"/>
        </w:rPr>
      </w:pPr>
      <w:r w:rsidRPr="00D04D46">
        <w:rPr>
          <w:rFonts w:ascii="Arial Narrow" w:hAnsi="Arial Narrow" w:cs="Times New Roman"/>
        </w:rPr>
        <w:t xml:space="preserve">                     </w:t>
      </w:r>
      <w:r>
        <w:rPr>
          <w:rFonts w:ascii="Arial Narrow" w:hAnsi="Arial Narrow" w:cs="Times New Roman"/>
        </w:rPr>
        <w:t xml:space="preserve">          </w:t>
      </w:r>
      <w:r w:rsidRPr="00D04D46">
        <w:rPr>
          <w:rFonts w:ascii="Arial Narrow" w:hAnsi="Arial Narrow" w:cs="Times New Roman"/>
        </w:rPr>
        <w:t xml:space="preserve">                                                                              </w:t>
      </w:r>
      <w:r>
        <w:rPr>
          <w:rFonts w:ascii="Arial Narrow" w:hAnsi="Arial Narrow" w:cs="Times New Roman"/>
        </w:rPr>
        <w:t xml:space="preserve">                                                                      </w:t>
      </w:r>
      <w:r>
        <w:rPr>
          <w:rFonts w:ascii="Arial Narrow" w:hAnsi="Arial Narrow" w:cs="Times New Roman"/>
        </w:rPr>
        <w:t xml:space="preserve">    </w:t>
      </w:r>
      <w:r w:rsidRPr="00D04D46">
        <w:rPr>
          <w:rFonts w:ascii="Arial Narrow" w:hAnsi="Arial Narrow" w:cs="Times New Roman"/>
        </w:rPr>
        <w:t xml:space="preserve">    (v Sk)</w:t>
      </w:r>
    </w:p>
    <w:tbl>
      <w:tblPr>
        <w:tblW w:w="89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Grid>
        <w:gridCol w:w="3240"/>
        <w:gridCol w:w="1440"/>
        <w:gridCol w:w="1417"/>
        <w:gridCol w:w="1463"/>
        <w:gridCol w:w="1393"/>
      </w:tblGrid>
      <w:tr>
        <w:tblPrEx>
          <w:tblW w:w="89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auto" w:val="0"/>
        </w:trPr>
        <w:tc>
          <w:tcPr>
            <w:tcW w:w="3240" w:type="dxa"/>
            <w:tcBorders>
              <w:top w:val="single" w:sz="4" w:space="0" w:color="auto"/>
              <w:left w:val="single" w:sz="4" w:space="0" w:color="auto"/>
              <w:bottom w:val="single" w:sz="4" w:space="0" w:color="auto"/>
              <w:right w:val="single" w:sz="4" w:space="0" w:color="auto"/>
              <w:tl2br w:val="nil"/>
              <w:tr2bl w:val="nil"/>
            </w:tcBorders>
            <w:shd w:val="clear" w:color="auto" w:fill="CCCCCC"/>
            <w:textDirection w:val="lrTb"/>
            <w:vAlign w:val="top"/>
          </w:tcPr>
          <w:p w:rsidR="00303AE6" w:rsidRPr="00D04D46" w:rsidP="00330EDD">
            <w:pPr>
              <w:spacing w:line="240" w:lineRule="auto"/>
              <w:rPr>
                <w:rFonts w:ascii="Times New Roman" w:hAnsi="Times New Roman" w:cs="Times New Roman"/>
                <w:u w:val="single"/>
              </w:rPr>
            </w:pPr>
          </w:p>
        </w:tc>
        <w:tc>
          <w:tcPr>
            <w:tcW w:w="1440" w:type="dxa"/>
            <w:tcBorders>
              <w:top w:val="single" w:sz="4" w:space="0" w:color="auto"/>
              <w:left w:val="single" w:sz="4" w:space="0" w:color="auto"/>
              <w:bottom w:val="single" w:sz="4" w:space="0" w:color="auto"/>
              <w:right w:val="single" w:sz="4" w:space="0" w:color="auto"/>
              <w:tl2br w:val="nil"/>
              <w:tr2bl w:val="nil"/>
            </w:tcBorders>
            <w:shd w:val="clear" w:color="auto" w:fill="CCCCCC"/>
            <w:textDirection w:val="lrTb"/>
            <w:vAlign w:val="center"/>
          </w:tcPr>
          <w:p w:rsidR="00303AE6" w:rsidRPr="00FC7E23" w:rsidP="00330EDD">
            <w:pPr>
              <w:spacing w:line="240" w:lineRule="auto"/>
              <w:jc w:val="center"/>
              <w:rPr>
                <w:rFonts w:ascii="Arial Narrow" w:hAnsi="Arial Narrow" w:cs="Times New Roman"/>
                <w:b/>
              </w:rPr>
            </w:pPr>
            <w:r w:rsidRPr="00FC7E23">
              <w:rPr>
                <w:rFonts w:ascii="Arial Narrow" w:hAnsi="Arial Narrow" w:cs="Times New Roman"/>
                <w:b/>
              </w:rPr>
              <w:t xml:space="preserve">Schválený rozpočet </w:t>
            </w:r>
            <w:r>
              <w:rPr>
                <w:rFonts w:ascii="Arial Narrow" w:hAnsi="Arial Narrow" w:cs="Times New Roman"/>
                <w:b/>
              </w:rPr>
              <w:t>k 1.1.2007</w:t>
            </w:r>
          </w:p>
        </w:tc>
        <w:tc>
          <w:tcPr>
            <w:tcW w:w="1417" w:type="dxa"/>
            <w:tcBorders>
              <w:top w:val="single" w:sz="4" w:space="0" w:color="auto"/>
              <w:left w:val="single" w:sz="4" w:space="0" w:color="auto"/>
              <w:bottom w:val="single" w:sz="4" w:space="0" w:color="auto"/>
              <w:right w:val="single" w:sz="4" w:space="0" w:color="auto"/>
              <w:tl2br w:val="nil"/>
              <w:tr2bl w:val="nil"/>
            </w:tcBorders>
            <w:shd w:val="clear" w:color="auto" w:fill="CCCCCC"/>
            <w:textDirection w:val="lrTb"/>
            <w:vAlign w:val="center"/>
          </w:tcPr>
          <w:p w:rsidR="00303AE6" w:rsidRPr="00FC7E23" w:rsidP="00330EDD">
            <w:pPr>
              <w:spacing w:line="240" w:lineRule="auto"/>
              <w:jc w:val="center"/>
              <w:rPr>
                <w:rFonts w:ascii="Arial Narrow" w:hAnsi="Arial Narrow" w:cs="Times New Roman"/>
                <w:b/>
              </w:rPr>
            </w:pPr>
            <w:r w:rsidRPr="00FC7E23">
              <w:rPr>
                <w:rFonts w:ascii="Arial Narrow" w:hAnsi="Arial Narrow" w:cs="Times New Roman"/>
                <w:b/>
              </w:rPr>
              <w:t xml:space="preserve">Upravený </w:t>
            </w:r>
            <w:r>
              <w:rPr>
                <w:rFonts w:ascii="Arial Narrow" w:hAnsi="Arial Narrow" w:cs="Times New Roman"/>
                <w:b/>
              </w:rPr>
              <w:t>rozpočet k 31.12.2007</w:t>
            </w:r>
          </w:p>
        </w:tc>
        <w:tc>
          <w:tcPr>
            <w:tcW w:w="1463" w:type="dxa"/>
            <w:tcBorders>
              <w:top w:val="single" w:sz="4" w:space="0" w:color="auto"/>
              <w:left w:val="single" w:sz="4" w:space="0" w:color="auto"/>
              <w:bottom w:val="single" w:sz="4" w:space="0" w:color="auto"/>
              <w:right w:val="single" w:sz="4" w:space="0" w:color="auto"/>
              <w:tl2br w:val="nil"/>
              <w:tr2bl w:val="nil"/>
            </w:tcBorders>
            <w:shd w:val="clear" w:color="auto" w:fill="CCCCCC"/>
            <w:textDirection w:val="lrTb"/>
            <w:vAlign w:val="center"/>
          </w:tcPr>
          <w:p w:rsidR="00303AE6" w:rsidRPr="00FC7E23" w:rsidP="00330EDD">
            <w:pPr>
              <w:spacing w:line="240" w:lineRule="auto"/>
              <w:jc w:val="center"/>
              <w:rPr>
                <w:rFonts w:ascii="Arial Narrow" w:hAnsi="Arial Narrow" w:cs="Times New Roman"/>
                <w:b/>
              </w:rPr>
            </w:pPr>
            <w:r>
              <w:rPr>
                <w:rFonts w:ascii="Arial Narrow" w:hAnsi="Arial Narrow" w:cs="Times New Roman"/>
                <w:b/>
              </w:rPr>
              <w:t>Skutočné čerpanie k 31.12.2007</w:t>
            </w:r>
          </w:p>
        </w:tc>
        <w:tc>
          <w:tcPr>
            <w:tcW w:w="1393" w:type="dxa"/>
            <w:tcBorders>
              <w:top w:val="single" w:sz="4" w:space="0" w:color="auto"/>
              <w:left w:val="single" w:sz="4" w:space="0" w:color="auto"/>
              <w:bottom w:val="single" w:sz="4" w:space="0" w:color="auto"/>
              <w:right w:val="single" w:sz="4" w:space="0" w:color="auto"/>
              <w:tl2br w:val="nil"/>
              <w:tr2bl w:val="nil"/>
            </w:tcBorders>
            <w:shd w:val="clear" w:color="auto" w:fill="CCCCCC"/>
            <w:textDirection w:val="lrTb"/>
            <w:vAlign w:val="center"/>
          </w:tcPr>
          <w:p w:rsidR="00303AE6" w:rsidP="00330EDD">
            <w:pPr>
              <w:spacing w:line="240" w:lineRule="auto"/>
              <w:jc w:val="center"/>
              <w:rPr>
                <w:rFonts w:ascii="Arial Narrow" w:hAnsi="Arial Narrow" w:cs="Times New Roman"/>
                <w:b/>
              </w:rPr>
            </w:pPr>
            <w:r w:rsidR="00F70098">
              <w:rPr>
                <w:rFonts w:ascii="Arial Narrow" w:hAnsi="Arial Narrow" w:cs="Times New Roman"/>
                <w:b/>
              </w:rPr>
              <w:t>Rozdiel</w:t>
            </w:r>
          </w:p>
        </w:tc>
      </w:tr>
      <w:tr>
        <w:tblPrEx>
          <w:tblW w:w="8953" w:type="dxa"/>
          <w:tblInd w:w="108" w:type="dxa"/>
        </w:tblPrEx>
        <w:trPr>
          <w:trHeight w:hRule="auto" w:val="0"/>
        </w:trPr>
        <w:tc>
          <w:tcPr>
            <w:tcW w:w="324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303AE6" w:rsidRPr="00DC7250" w:rsidP="00330EDD">
            <w:pPr>
              <w:spacing w:line="240" w:lineRule="auto"/>
              <w:rPr>
                <w:rFonts w:ascii="Arial Narrow" w:hAnsi="Arial Narrow" w:cs="Times New Roman"/>
              </w:rPr>
            </w:pPr>
            <w:r w:rsidRPr="00DC7250">
              <w:rPr>
                <w:rFonts w:ascii="Arial Narrow" w:hAnsi="Arial Narrow" w:cs="Times New Roman"/>
              </w:rPr>
              <w:t>Bežné výdavky (600), z toho:</w:t>
            </w:r>
          </w:p>
        </w:tc>
        <w:tc>
          <w:tcPr>
            <w:tcW w:w="144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303AE6" w:rsidRPr="00DC7250" w:rsidP="00330EDD">
            <w:pPr>
              <w:spacing w:line="240" w:lineRule="auto"/>
              <w:jc w:val="right"/>
              <w:rPr>
                <w:rFonts w:ascii="Arial Narrow" w:hAnsi="Arial Narrow" w:cs="Times New Roman"/>
              </w:rPr>
            </w:pPr>
            <w:r>
              <w:rPr>
                <w:rFonts w:ascii="Arial Narrow" w:hAnsi="Arial Narrow" w:cs="Times New Roman"/>
              </w:rPr>
              <w:t>23 825 000,00</w:t>
            </w:r>
          </w:p>
        </w:tc>
        <w:tc>
          <w:tcPr>
            <w:tcW w:w="1417"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303AE6" w:rsidRPr="00DC7250" w:rsidP="00330EDD">
            <w:pPr>
              <w:spacing w:line="240" w:lineRule="auto"/>
              <w:jc w:val="right"/>
              <w:rPr>
                <w:rFonts w:ascii="Arial Narrow" w:hAnsi="Arial Narrow" w:cs="Times New Roman"/>
              </w:rPr>
            </w:pPr>
            <w:r w:rsidR="00345086">
              <w:rPr>
                <w:rFonts w:ascii="Arial Narrow" w:hAnsi="Arial Narrow" w:cs="Times New Roman"/>
              </w:rPr>
              <w:t>25 801</w:t>
            </w:r>
            <w:r>
              <w:rPr>
                <w:rFonts w:ascii="Arial Narrow" w:hAnsi="Arial Narrow" w:cs="Times New Roman"/>
              </w:rPr>
              <w:t> 000,00</w:t>
            </w:r>
          </w:p>
        </w:tc>
        <w:tc>
          <w:tcPr>
            <w:tcW w:w="1463"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303AE6" w:rsidRPr="00B23854" w:rsidP="00330EDD">
            <w:pPr>
              <w:spacing w:line="240" w:lineRule="auto"/>
              <w:jc w:val="right"/>
              <w:rPr>
                <w:rFonts w:ascii="Arial Narrow" w:hAnsi="Arial Narrow" w:cs="Times New Roman"/>
              </w:rPr>
            </w:pPr>
            <w:r>
              <w:rPr>
                <w:rFonts w:ascii="Arial Narrow" w:hAnsi="Arial Narrow" w:cs="Times New Roman"/>
              </w:rPr>
              <w:t>2</w:t>
            </w:r>
            <w:r w:rsidR="00345086">
              <w:rPr>
                <w:rFonts w:ascii="Arial Narrow" w:hAnsi="Arial Narrow" w:cs="Times New Roman"/>
              </w:rPr>
              <w:t>5 040 987,45</w:t>
            </w:r>
          </w:p>
        </w:tc>
        <w:tc>
          <w:tcPr>
            <w:tcW w:w="1393"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303AE6" w:rsidP="00330EDD">
            <w:pPr>
              <w:spacing w:line="240" w:lineRule="auto"/>
              <w:jc w:val="right"/>
              <w:rPr>
                <w:rFonts w:ascii="Arial Narrow" w:hAnsi="Arial Narrow" w:cs="Times New Roman"/>
              </w:rPr>
            </w:pPr>
            <w:r w:rsidR="00D866DF">
              <w:rPr>
                <w:rFonts w:ascii="Arial Narrow" w:hAnsi="Arial Narrow" w:cs="Times New Roman"/>
              </w:rPr>
              <w:t>760 012,55</w:t>
            </w:r>
          </w:p>
        </w:tc>
      </w:tr>
      <w:tr>
        <w:tblPrEx>
          <w:tblW w:w="8953" w:type="dxa"/>
          <w:tblInd w:w="108" w:type="dxa"/>
        </w:tblPrEx>
        <w:trPr>
          <w:trHeight w:hRule="auto" w:val="0"/>
        </w:trPr>
        <w:tc>
          <w:tcPr>
            <w:tcW w:w="324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303AE6" w:rsidRPr="00D04D46" w:rsidP="00330EDD">
            <w:pPr>
              <w:spacing w:line="240" w:lineRule="auto"/>
              <w:rPr>
                <w:rFonts w:ascii="Arial Narrow" w:hAnsi="Arial Narrow" w:cs="Times New Roman"/>
              </w:rPr>
            </w:pPr>
            <w:r>
              <w:rPr>
                <w:rFonts w:ascii="Arial Narrow" w:hAnsi="Arial Narrow" w:cs="Times New Roman"/>
              </w:rPr>
              <w:t>Mzdy, platy, sl. príjmy a OOV (610)</w:t>
            </w:r>
          </w:p>
        </w:tc>
        <w:tc>
          <w:tcPr>
            <w:tcW w:w="144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303AE6" w:rsidRPr="00D04D46" w:rsidP="00330EDD">
            <w:pPr>
              <w:spacing w:line="240" w:lineRule="auto"/>
              <w:jc w:val="right"/>
              <w:rPr>
                <w:rFonts w:ascii="Arial Narrow" w:hAnsi="Arial Narrow" w:cs="Times New Roman"/>
              </w:rPr>
            </w:pPr>
            <w:r>
              <w:rPr>
                <w:rFonts w:ascii="Arial Narrow" w:hAnsi="Arial Narrow" w:cs="Times New Roman"/>
              </w:rPr>
              <w:t>13 501 000,00</w:t>
            </w:r>
          </w:p>
        </w:tc>
        <w:tc>
          <w:tcPr>
            <w:tcW w:w="1417"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303AE6" w:rsidRPr="00D04D46" w:rsidP="00330EDD">
            <w:pPr>
              <w:spacing w:line="240" w:lineRule="auto"/>
              <w:jc w:val="right"/>
              <w:rPr>
                <w:rFonts w:ascii="Arial Narrow" w:hAnsi="Arial Narrow" w:cs="Times New Roman"/>
              </w:rPr>
            </w:pPr>
            <w:r>
              <w:rPr>
                <w:rFonts w:ascii="Arial Narrow" w:hAnsi="Arial Narrow" w:cs="Times New Roman"/>
              </w:rPr>
              <w:t>14 099</w:t>
            </w:r>
            <w:r>
              <w:rPr>
                <w:rFonts w:ascii="Arial Narrow" w:hAnsi="Arial Narrow" w:cs="Times New Roman"/>
              </w:rPr>
              <w:t> 000,00</w:t>
            </w:r>
          </w:p>
        </w:tc>
        <w:tc>
          <w:tcPr>
            <w:tcW w:w="1463"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303AE6" w:rsidRPr="00B23854" w:rsidP="00330EDD">
            <w:pPr>
              <w:spacing w:line="240" w:lineRule="auto"/>
              <w:jc w:val="right"/>
              <w:rPr>
                <w:rFonts w:ascii="Arial Narrow" w:hAnsi="Arial Narrow" w:cs="Times New Roman"/>
              </w:rPr>
            </w:pPr>
            <w:r>
              <w:rPr>
                <w:rFonts w:ascii="Arial Narrow" w:hAnsi="Arial Narrow" w:cs="Times New Roman"/>
              </w:rPr>
              <w:t>14 153 969,00</w:t>
            </w:r>
          </w:p>
        </w:tc>
        <w:tc>
          <w:tcPr>
            <w:tcW w:w="1393"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303AE6" w:rsidP="00330EDD">
            <w:pPr>
              <w:spacing w:line="240" w:lineRule="auto"/>
              <w:jc w:val="right"/>
              <w:rPr>
                <w:rFonts w:ascii="Arial Narrow" w:hAnsi="Arial Narrow" w:cs="Times New Roman"/>
              </w:rPr>
            </w:pPr>
            <w:r w:rsidR="00D866DF">
              <w:rPr>
                <w:rFonts w:ascii="Arial Narrow" w:hAnsi="Arial Narrow" w:cs="Times New Roman"/>
              </w:rPr>
              <w:t>- 54 969,00</w:t>
            </w:r>
          </w:p>
        </w:tc>
      </w:tr>
      <w:tr>
        <w:tblPrEx>
          <w:tblW w:w="8953" w:type="dxa"/>
          <w:tblInd w:w="108" w:type="dxa"/>
        </w:tblPrEx>
        <w:trPr>
          <w:trHeight w:hRule="auto" w:val="0"/>
        </w:trPr>
        <w:tc>
          <w:tcPr>
            <w:tcW w:w="324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303AE6" w:rsidRPr="00D04D46" w:rsidP="00330EDD">
            <w:pPr>
              <w:spacing w:line="240" w:lineRule="auto"/>
              <w:rPr>
                <w:rFonts w:ascii="Arial Narrow" w:hAnsi="Arial Narrow" w:cs="Times New Roman"/>
              </w:rPr>
            </w:pPr>
            <w:r>
              <w:rPr>
                <w:rFonts w:ascii="Arial Narrow" w:hAnsi="Arial Narrow" w:cs="Times New Roman"/>
              </w:rPr>
              <w:t>Poistné a príspevok do poisťovní (620)</w:t>
            </w:r>
          </w:p>
        </w:tc>
        <w:tc>
          <w:tcPr>
            <w:tcW w:w="144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303AE6" w:rsidRPr="00D04D46" w:rsidP="00330EDD">
            <w:pPr>
              <w:spacing w:line="240" w:lineRule="auto"/>
              <w:jc w:val="right"/>
              <w:rPr>
                <w:rFonts w:ascii="Arial Narrow" w:hAnsi="Arial Narrow" w:cs="Times New Roman"/>
              </w:rPr>
            </w:pPr>
            <w:r>
              <w:rPr>
                <w:rFonts w:ascii="Arial Narrow" w:hAnsi="Arial Narrow" w:cs="Times New Roman"/>
              </w:rPr>
              <w:t>4 680 000,00</w:t>
            </w:r>
          </w:p>
        </w:tc>
        <w:tc>
          <w:tcPr>
            <w:tcW w:w="1417"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303AE6" w:rsidRPr="00D04D46" w:rsidP="00330EDD">
            <w:pPr>
              <w:spacing w:line="240" w:lineRule="auto"/>
              <w:jc w:val="right"/>
              <w:rPr>
                <w:rFonts w:ascii="Arial Narrow" w:hAnsi="Arial Narrow" w:cs="Times New Roman"/>
              </w:rPr>
            </w:pPr>
            <w:r>
              <w:rPr>
                <w:rFonts w:ascii="Arial Narrow" w:hAnsi="Arial Narrow" w:cs="Times New Roman"/>
              </w:rPr>
              <w:t>4 889 000,00</w:t>
            </w:r>
          </w:p>
        </w:tc>
        <w:tc>
          <w:tcPr>
            <w:tcW w:w="1463"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303AE6" w:rsidRPr="00B23854" w:rsidP="00330EDD">
            <w:pPr>
              <w:spacing w:line="240" w:lineRule="auto"/>
              <w:jc w:val="right"/>
              <w:rPr>
                <w:rFonts w:ascii="Arial Narrow" w:hAnsi="Arial Narrow" w:cs="Times New Roman"/>
              </w:rPr>
            </w:pPr>
            <w:r>
              <w:rPr>
                <w:rFonts w:ascii="Arial Narrow" w:hAnsi="Arial Narrow" w:cs="Times New Roman"/>
              </w:rPr>
              <w:t>4 812 525,50</w:t>
            </w:r>
          </w:p>
        </w:tc>
        <w:tc>
          <w:tcPr>
            <w:tcW w:w="1393"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303AE6" w:rsidP="00330EDD">
            <w:pPr>
              <w:spacing w:line="240" w:lineRule="auto"/>
              <w:jc w:val="right"/>
              <w:rPr>
                <w:rFonts w:ascii="Arial Narrow" w:hAnsi="Arial Narrow" w:cs="Times New Roman"/>
              </w:rPr>
            </w:pPr>
            <w:r w:rsidR="00345086">
              <w:rPr>
                <w:rFonts w:ascii="Arial Narrow" w:hAnsi="Arial Narrow" w:cs="Times New Roman"/>
              </w:rPr>
              <w:t>76 474,50</w:t>
            </w:r>
          </w:p>
        </w:tc>
      </w:tr>
      <w:tr>
        <w:tblPrEx>
          <w:tblW w:w="8953" w:type="dxa"/>
          <w:tblInd w:w="108" w:type="dxa"/>
        </w:tblPrEx>
        <w:trPr>
          <w:trHeight w:hRule="auto" w:val="0"/>
        </w:trPr>
        <w:tc>
          <w:tcPr>
            <w:tcW w:w="324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303AE6" w:rsidRPr="00D04D46" w:rsidP="00330EDD">
            <w:pPr>
              <w:spacing w:line="240" w:lineRule="auto"/>
              <w:rPr>
                <w:rFonts w:ascii="Arial Narrow" w:hAnsi="Arial Narrow" w:cs="Times New Roman"/>
              </w:rPr>
            </w:pPr>
            <w:r>
              <w:rPr>
                <w:rFonts w:ascii="Arial Narrow" w:hAnsi="Arial Narrow" w:cs="Times New Roman"/>
              </w:rPr>
              <w:t>Tovary a služby (630)</w:t>
            </w:r>
          </w:p>
        </w:tc>
        <w:tc>
          <w:tcPr>
            <w:tcW w:w="144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303AE6" w:rsidRPr="00D04D46" w:rsidP="00330EDD">
            <w:pPr>
              <w:spacing w:line="240" w:lineRule="auto"/>
              <w:jc w:val="right"/>
              <w:rPr>
                <w:rFonts w:ascii="Arial Narrow" w:hAnsi="Arial Narrow" w:cs="Times New Roman"/>
              </w:rPr>
            </w:pPr>
            <w:r>
              <w:rPr>
                <w:rFonts w:ascii="Arial Narrow" w:hAnsi="Arial Narrow" w:cs="Times New Roman"/>
              </w:rPr>
              <w:t>6 653 000,00</w:t>
            </w:r>
          </w:p>
        </w:tc>
        <w:tc>
          <w:tcPr>
            <w:tcW w:w="1417"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303AE6" w:rsidRPr="00D04D46" w:rsidP="00330EDD">
            <w:pPr>
              <w:spacing w:line="240" w:lineRule="auto"/>
              <w:jc w:val="right"/>
              <w:rPr>
                <w:rFonts w:ascii="Arial Narrow" w:hAnsi="Arial Narrow" w:cs="Times New Roman"/>
              </w:rPr>
            </w:pPr>
            <w:r>
              <w:rPr>
                <w:rFonts w:ascii="Arial Narrow" w:hAnsi="Arial Narrow" w:cs="Times New Roman"/>
              </w:rPr>
              <w:t>6 653 000,00</w:t>
            </w:r>
          </w:p>
        </w:tc>
        <w:tc>
          <w:tcPr>
            <w:tcW w:w="1463"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303AE6" w:rsidRPr="00B23854" w:rsidP="00330EDD">
            <w:pPr>
              <w:spacing w:line="240" w:lineRule="auto"/>
              <w:jc w:val="right"/>
              <w:rPr>
                <w:rFonts w:ascii="Arial Narrow" w:hAnsi="Arial Narrow" w:cs="Times New Roman"/>
              </w:rPr>
            </w:pPr>
            <w:r>
              <w:rPr>
                <w:rFonts w:ascii="Arial Narrow" w:hAnsi="Arial Narrow" w:cs="Times New Roman"/>
              </w:rPr>
              <w:t>5 944 287,95</w:t>
            </w:r>
          </w:p>
        </w:tc>
        <w:tc>
          <w:tcPr>
            <w:tcW w:w="1393"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303AE6" w:rsidP="00330EDD">
            <w:pPr>
              <w:spacing w:line="240" w:lineRule="auto"/>
              <w:jc w:val="right"/>
              <w:rPr>
                <w:rFonts w:ascii="Arial Narrow" w:hAnsi="Arial Narrow" w:cs="Times New Roman"/>
              </w:rPr>
            </w:pPr>
            <w:r w:rsidR="00345086">
              <w:rPr>
                <w:rFonts w:ascii="Arial Narrow" w:hAnsi="Arial Narrow" w:cs="Times New Roman"/>
              </w:rPr>
              <w:t>708 712,05</w:t>
            </w:r>
          </w:p>
        </w:tc>
      </w:tr>
      <w:tr>
        <w:tblPrEx>
          <w:tblW w:w="8953" w:type="dxa"/>
          <w:tblInd w:w="108" w:type="dxa"/>
        </w:tblPrEx>
        <w:trPr>
          <w:trHeight w:hRule="auto" w:val="0"/>
        </w:trPr>
        <w:tc>
          <w:tcPr>
            <w:tcW w:w="324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303AE6" w:rsidRPr="00D04D46" w:rsidP="00330EDD">
            <w:pPr>
              <w:spacing w:line="240" w:lineRule="auto"/>
              <w:rPr>
                <w:rFonts w:ascii="Arial Narrow" w:hAnsi="Arial Narrow" w:cs="Times New Roman"/>
              </w:rPr>
            </w:pPr>
            <w:r>
              <w:rPr>
                <w:rFonts w:ascii="Arial Narrow" w:hAnsi="Arial Narrow" w:cs="Times New Roman"/>
              </w:rPr>
              <w:t>Bežné transfery (640)</w:t>
            </w:r>
          </w:p>
        </w:tc>
        <w:tc>
          <w:tcPr>
            <w:tcW w:w="144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303AE6" w:rsidRPr="00D04D46" w:rsidP="00330EDD">
            <w:pPr>
              <w:spacing w:line="240" w:lineRule="auto"/>
              <w:jc w:val="right"/>
              <w:rPr>
                <w:rFonts w:ascii="Arial Narrow" w:hAnsi="Arial Narrow" w:cs="Times New Roman"/>
              </w:rPr>
            </w:pPr>
            <w:r>
              <w:rPr>
                <w:rFonts w:ascii="Arial Narrow" w:hAnsi="Arial Narrow" w:cs="Times New Roman"/>
              </w:rPr>
              <w:t>160 000,00</w:t>
            </w:r>
          </w:p>
        </w:tc>
        <w:tc>
          <w:tcPr>
            <w:tcW w:w="1417"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303AE6" w:rsidRPr="00D04D46" w:rsidP="00330EDD">
            <w:pPr>
              <w:spacing w:line="240" w:lineRule="auto"/>
              <w:jc w:val="right"/>
              <w:rPr>
                <w:rFonts w:ascii="Arial Narrow" w:hAnsi="Arial Narrow" w:cs="Times New Roman"/>
              </w:rPr>
            </w:pPr>
            <w:r>
              <w:rPr>
                <w:rFonts w:ascii="Arial Narrow" w:hAnsi="Arial Narrow" w:cs="Times New Roman"/>
              </w:rPr>
              <w:t>160 000,00</w:t>
            </w:r>
          </w:p>
        </w:tc>
        <w:tc>
          <w:tcPr>
            <w:tcW w:w="1463"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303AE6" w:rsidRPr="00B23854" w:rsidP="00330EDD">
            <w:pPr>
              <w:spacing w:line="240" w:lineRule="auto"/>
              <w:jc w:val="right"/>
              <w:rPr>
                <w:rFonts w:ascii="Arial Narrow" w:hAnsi="Arial Narrow" w:cs="Times New Roman"/>
              </w:rPr>
            </w:pPr>
            <w:r>
              <w:rPr>
                <w:rFonts w:ascii="Arial Narrow" w:hAnsi="Arial Narrow" w:cs="Times New Roman"/>
              </w:rPr>
              <w:t>130 205,00</w:t>
            </w:r>
          </w:p>
        </w:tc>
        <w:tc>
          <w:tcPr>
            <w:tcW w:w="1393"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303AE6" w:rsidP="00330EDD">
            <w:pPr>
              <w:spacing w:line="240" w:lineRule="auto"/>
              <w:jc w:val="right"/>
              <w:rPr>
                <w:rFonts w:ascii="Arial Narrow" w:hAnsi="Arial Narrow" w:cs="Times New Roman"/>
              </w:rPr>
            </w:pPr>
            <w:r w:rsidR="00345086">
              <w:rPr>
                <w:rFonts w:ascii="Arial Narrow" w:hAnsi="Arial Narrow" w:cs="Times New Roman"/>
              </w:rPr>
              <w:t>29 7</w:t>
            </w:r>
            <w:r w:rsidR="00345086">
              <w:rPr>
                <w:rFonts w:ascii="Arial Narrow" w:hAnsi="Arial Narrow" w:cs="Times New Roman"/>
              </w:rPr>
              <w:t>95,00</w:t>
            </w:r>
          </w:p>
        </w:tc>
      </w:tr>
      <w:tr>
        <w:tblPrEx>
          <w:tblW w:w="8953" w:type="dxa"/>
          <w:tblInd w:w="108" w:type="dxa"/>
        </w:tblPrEx>
        <w:trPr>
          <w:trHeight w:hRule="auto" w:val="0"/>
        </w:trPr>
        <w:tc>
          <w:tcPr>
            <w:tcW w:w="324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303AE6" w:rsidP="00330EDD">
            <w:pPr>
              <w:spacing w:line="240" w:lineRule="auto"/>
              <w:rPr>
                <w:rFonts w:ascii="Arial Narrow" w:hAnsi="Arial Narrow" w:cs="Times New Roman"/>
              </w:rPr>
            </w:pPr>
            <w:r>
              <w:rPr>
                <w:rFonts w:ascii="Arial Narrow" w:hAnsi="Arial Narrow" w:cs="Times New Roman"/>
              </w:rPr>
              <w:t>Kapitálové výdavky (710)</w:t>
            </w:r>
          </w:p>
        </w:tc>
        <w:tc>
          <w:tcPr>
            <w:tcW w:w="144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303AE6" w:rsidRPr="00D04D46" w:rsidP="00330EDD">
            <w:pPr>
              <w:spacing w:line="240" w:lineRule="auto"/>
              <w:jc w:val="right"/>
              <w:rPr>
                <w:rFonts w:ascii="Arial Narrow" w:hAnsi="Arial Narrow" w:cs="Times New Roman"/>
              </w:rPr>
            </w:pPr>
            <w:r>
              <w:rPr>
                <w:rFonts w:ascii="Arial Narrow" w:hAnsi="Arial Narrow" w:cs="Times New Roman"/>
              </w:rPr>
              <w:t>1 000 000,00</w:t>
            </w:r>
          </w:p>
        </w:tc>
        <w:tc>
          <w:tcPr>
            <w:tcW w:w="1417"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303AE6" w:rsidRPr="00D04D46" w:rsidP="00330EDD">
            <w:pPr>
              <w:spacing w:line="240" w:lineRule="auto"/>
              <w:jc w:val="right"/>
              <w:rPr>
                <w:rFonts w:ascii="Arial Narrow" w:hAnsi="Arial Narrow" w:cs="Times New Roman"/>
              </w:rPr>
            </w:pPr>
            <w:r>
              <w:rPr>
                <w:rFonts w:ascii="Arial Narrow" w:hAnsi="Arial Narrow" w:cs="Times New Roman"/>
              </w:rPr>
              <w:t>1 000 000,00</w:t>
            </w:r>
          </w:p>
        </w:tc>
        <w:tc>
          <w:tcPr>
            <w:tcW w:w="1463"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303AE6" w:rsidRPr="00B23854" w:rsidP="00330EDD">
            <w:pPr>
              <w:spacing w:line="240" w:lineRule="auto"/>
              <w:jc w:val="right"/>
              <w:rPr>
                <w:rFonts w:ascii="Arial Narrow" w:hAnsi="Arial Narrow" w:cs="Times New Roman"/>
              </w:rPr>
            </w:pPr>
            <w:r>
              <w:rPr>
                <w:rFonts w:ascii="Arial Narrow" w:hAnsi="Arial Narrow" w:cs="Times New Roman"/>
              </w:rPr>
              <w:t>998 065,00</w:t>
            </w:r>
          </w:p>
        </w:tc>
        <w:tc>
          <w:tcPr>
            <w:tcW w:w="1393"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303AE6" w:rsidP="00330EDD">
            <w:pPr>
              <w:spacing w:line="240" w:lineRule="auto"/>
              <w:jc w:val="right"/>
              <w:rPr>
                <w:rFonts w:ascii="Arial Narrow" w:hAnsi="Arial Narrow" w:cs="Times New Roman"/>
              </w:rPr>
            </w:pPr>
            <w:r w:rsidR="00345086">
              <w:rPr>
                <w:rFonts w:ascii="Arial Narrow" w:hAnsi="Arial Narrow" w:cs="Times New Roman"/>
              </w:rPr>
              <w:t>1 935,00</w:t>
            </w:r>
          </w:p>
        </w:tc>
      </w:tr>
      <w:tr>
        <w:tblPrEx>
          <w:tblW w:w="8953" w:type="dxa"/>
          <w:tblInd w:w="108" w:type="dxa"/>
        </w:tblPrEx>
        <w:trPr>
          <w:trHeight w:hRule="auto" w:val="0"/>
        </w:trPr>
        <w:tc>
          <w:tcPr>
            <w:tcW w:w="3240" w:type="dxa"/>
            <w:tcBorders>
              <w:top w:val="single" w:sz="4" w:space="0" w:color="auto"/>
              <w:left w:val="single" w:sz="4" w:space="0" w:color="auto"/>
              <w:bottom w:val="single" w:sz="4" w:space="0" w:color="auto"/>
              <w:right w:val="single" w:sz="4" w:space="0" w:color="auto"/>
              <w:tl2br w:val="nil"/>
              <w:tr2bl w:val="nil"/>
            </w:tcBorders>
            <w:shd w:val="clear" w:color="auto" w:fill="C0C0C0"/>
            <w:textDirection w:val="lrTb"/>
            <w:vAlign w:val="center"/>
          </w:tcPr>
          <w:p w:rsidR="00303AE6" w:rsidRPr="00FC7E23" w:rsidP="00330EDD">
            <w:pPr>
              <w:spacing w:line="240" w:lineRule="auto"/>
              <w:rPr>
                <w:rFonts w:ascii="Arial Narrow" w:hAnsi="Arial Narrow" w:cs="Times New Roman"/>
                <w:b/>
              </w:rPr>
            </w:pPr>
            <w:r w:rsidRPr="00FC7E23">
              <w:rPr>
                <w:rFonts w:ascii="Arial Narrow" w:hAnsi="Arial Narrow" w:cs="Times New Roman"/>
                <w:b/>
              </w:rPr>
              <w:t>SPOLU</w:t>
            </w:r>
          </w:p>
        </w:tc>
        <w:tc>
          <w:tcPr>
            <w:tcW w:w="1440" w:type="dxa"/>
            <w:tcBorders>
              <w:top w:val="single" w:sz="4" w:space="0" w:color="auto"/>
              <w:left w:val="single" w:sz="4" w:space="0" w:color="auto"/>
              <w:bottom w:val="single" w:sz="4" w:space="0" w:color="auto"/>
              <w:right w:val="single" w:sz="4" w:space="0" w:color="auto"/>
              <w:tl2br w:val="nil"/>
              <w:tr2bl w:val="nil"/>
            </w:tcBorders>
            <w:shd w:val="clear" w:color="auto" w:fill="C0C0C0"/>
            <w:textDirection w:val="lrTb"/>
            <w:vAlign w:val="center"/>
          </w:tcPr>
          <w:p w:rsidR="00303AE6" w:rsidRPr="00FC7E23" w:rsidP="00330EDD">
            <w:pPr>
              <w:spacing w:line="240" w:lineRule="auto"/>
              <w:jc w:val="right"/>
              <w:rPr>
                <w:rFonts w:ascii="Arial Narrow" w:hAnsi="Arial Narrow" w:cs="Times New Roman"/>
                <w:b/>
              </w:rPr>
            </w:pPr>
            <w:r>
              <w:rPr>
                <w:rFonts w:ascii="Arial Narrow" w:hAnsi="Arial Narrow" w:cs="Times New Roman"/>
                <w:b/>
              </w:rPr>
              <w:t>25 994 000,00</w:t>
            </w:r>
          </w:p>
        </w:tc>
        <w:tc>
          <w:tcPr>
            <w:tcW w:w="1417" w:type="dxa"/>
            <w:tcBorders>
              <w:top w:val="single" w:sz="4" w:space="0" w:color="auto"/>
              <w:left w:val="single" w:sz="4" w:space="0" w:color="auto"/>
              <w:bottom w:val="single" w:sz="4" w:space="0" w:color="auto"/>
              <w:right w:val="single" w:sz="4" w:space="0" w:color="auto"/>
              <w:tl2br w:val="nil"/>
              <w:tr2bl w:val="nil"/>
            </w:tcBorders>
            <w:shd w:val="clear" w:color="auto" w:fill="C0C0C0"/>
            <w:textDirection w:val="lrTb"/>
            <w:vAlign w:val="center"/>
          </w:tcPr>
          <w:p w:rsidR="00303AE6" w:rsidRPr="00FC7E23" w:rsidP="00330EDD">
            <w:pPr>
              <w:spacing w:line="240" w:lineRule="auto"/>
              <w:jc w:val="right"/>
              <w:rPr>
                <w:rFonts w:ascii="Arial Narrow" w:hAnsi="Arial Narrow" w:cs="Times New Roman"/>
                <w:b/>
              </w:rPr>
            </w:pPr>
            <w:r>
              <w:rPr>
                <w:rFonts w:ascii="Arial Narrow" w:hAnsi="Arial Narrow" w:cs="Times New Roman"/>
                <w:b/>
              </w:rPr>
              <w:t>26 801 000,00</w:t>
            </w:r>
          </w:p>
        </w:tc>
        <w:tc>
          <w:tcPr>
            <w:tcW w:w="1463" w:type="dxa"/>
            <w:tcBorders>
              <w:top w:val="single" w:sz="4" w:space="0" w:color="auto"/>
              <w:left w:val="single" w:sz="4" w:space="0" w:color="auto"/>
              <w:bottom w:val="single" w:sz="4" w:space="0" w:color="auto"/>
              <w:right w:val="single" w:sz="4" w:space="0" w:color="auto"/>
              <w:tl2br w:val="nil"/>
              <w:tr2bl w:val="nil"/>
            </w:tcBorders>
            <w:shd w:val="clear" w:color="auto" w:fill="C0C0C0"/>
            <w:textDirection w:val="lrTb"/>
            <w:vAlign w:val="center"/>
          </w:tcPr>
          <w:p w:rsidR="00303AE6" w:rsidRPr="00FC7E23" w:rsidP="00330EDD">
            <w:pPr>
              <w:spacing w:line="240" w:lineRule="auto"/>
              <w:jc w:val="right"/>
              <w:rPr>
                <w:rFonts w:ascii="Arial Narrow" w:hAnsi="Arial Narrow" w:cs="Times New Roman"/>
                <w:b/>
              </w:rPr>
            </w:pPr>
            <w:r>
              <w:rPr>
                <w:rFonts w:ascii="Arial Narrow" w:hAnsi="Arial Narrow" w:cs="Times New Roman"/>
                <w:b/>
              </w:rPr>
              <w:t>26 039 052,45</w:t>
            </w:r>
          </w:p>
        </w:tc>
        <w:tc>
          <w:tcPr>
            <w:tcW w:w="1393" w:type="dxa"/>
            <w:tcBorders>
              <w:top w:val="single" w:sz="4" w:space="0" w:color="auto"/>
              <w:left w:val="single" w:sz="4" w:space="0" w:color="auto"/>
              <w:bottom w:val="single" w:sz="4" w:space="0" w:color="auto"/>
              <w:right w:val="single" w:sz="4" w:space="0" w:color="auto"/>
              <w:tl2br w:val="nil"/>
              <w:tr2bl w:val="nil"/>
            </w:tcBorders>
            <w:shd w:val="clear" w:color="auto" w:fill="C0C0C0"/>
            <w:textDirection w:val="lrTb"/>
            <w:vAlign w:val="center"/>
          </w:tcPr>
          <w:p w:rsidR="00303AE6" w:rsidP="00330EDD">
            <w:pPr>
              <w:spacing w:line="240" w:lineRule="auto"/>
              <w:jc w:val="right"/>
              <w:rPr>
                <w:rFonts w:ascii="Arial Narrow" w:hAnsi="Arial Narrow" w:cs="Times New Roman"/>
                <w:b/>
              </w:rPr>
            </w:pPr>
            <w:r w:rsidR="00D866DF">
              <w:rPr>
                <w:rFonts w:ascii="Arial Narrow" w:hAnsi="Arial Narrow" w:cs="Times New Roman"/>
                <w:b/>
              </w:rPr>
              <w:t>761 947,55</w:t>
            </w:r>
          </w:p>
        </w:tc>
      </w:tr>
    </w:tbl>
    <w:p w:rsidR="00F93DF6" w:rsidP="00277D03">
      <w:pPr>
        <w:spacing w:line="240" w:lineRule="auto"/>
        <w:rPr>
          <w:rFonts w:ascii="Times New Roman" w:hAnsi="Times New Roman" w:cs="Times New Roman"/>
          <w:sz w:val="24"/>
          <w:szCs w:val="24"/>
        </w:rPr>
      </w:pPr>
    </w:p>
    <w:p w:rsidR="00733FFD" w:rsidP="00277D03">
      <w:pPr>
        <w:pStyle w:val="BodyText2"/>
        <w:spacing w:line="240" w:lineRule="auto"/>
        <w:ind w:firstLine="705"/>
        <w:rPr>
          <w:rFonts w:ascii="Times New Roman" w:hAnsi="Times New Roman" w:cs="Times New Roman"/>
          <w:sz w:val="24"/>
          <w:szCs w:val="24"/>
        </w:rPr>
      </w:pPr>
      <w:r w:rsidRPr="004C7B9C" w:rsidR="004C7B9C">
        <w:rPr>
          <w:rFonts w:ascii="Times New Roman" w:hAnsi="Times New Roman" w:cs="Times New Roman"/>
          <w:iCs/>
          <w:sz w:val="24"/>
          <w:szCs w:val="24"/>
        </w:rPr>
        <w:t>Pridelené rozpočtové prostr</w:t>
      </w:r>
      <w:r w:rsidR="00C65C09">
        <w:rPr>
          <w:rFonts w:ascii="Times New Roman" w:hAnsi="Times New Roman" w:cs="Times New Roman"/>
          <w:iCs/>
          <w:sz w:val="24"/>
          <w:szCs w:val="24"/>
        </w:rPr>
        <w:t xml:space="preserve">iedky ÚVZ MDPT SR vyčerpal na 97,16%, nevyčerpaných zostalo 761 947,55 </w:t>
      </w:r>
      <w:r w:rsidRPr="004C7B9C" w:rsidR="004C7B9C">
        <w:rPr>
          <w:rFonts w:ascii="Times New Roman" w:hAnsi="Times New Roman" w:cs="Times New Roman"/>
          <w:iCs/>
          <w:sz w:val="24"/>
          <w:szCs w:val="24"/>
        </w:rPr>
        <w:t xml:space="preserve">Sk. </w:t>
      </w:r>
      <w:r w:rsidRPr="004C7B9C" w:rsidR="004C7B9C">
        <w:rPr>
          <w:rFonts w:ascii="Times New Roman" w:hAnsi="Times New Roman" w:cs="Times New Roman"/>
          <w:sz w:val="24"/>
          <w:szCs w:val="24"/>
        </w:rPr>
        <w:t xml:space="preserve">Bežnými výdavkami úrad zabezpečoval financovanie chodu organizácie podľa </w:t>
      </w:r>
      <w:r w:rsidR="00064A21">
        <w:rPr>
          <w:rFonts w:ascii="Times New Roman" w:hAnsi="Times New Roman" w:cs="Times New Roman"/>
          <w:sz w:val="24"/>
          <w:szCs w:val="24"/>
        </w:rPr>
        <w:t>schváleného rozpočtu na rok 2007</w:t>
      </w:r>
      <w:r w:rsidRPr="004C7B9C" w:rsidR="004C7B9C">
        <w:rPr>
          <w:rFonts w:ascii="Times New Roman" w:hAnsi="Times New Roman" w:cs="Times New Roman"/>
          <w:sz w:val="24"/>
          <w:szCs w:val="24"/>
        </w:rPr>
        <w:t xml:space="preserve"> pri dodržiavaní hospodárnosti, efektívnosti a účinnosti pri hospodárení s verejnými prostriedkami. </w:t>
      </w:r>
    </w:p>
    <w:p w:rsidR="00A778F4" w:rsidP="00277D03">
      <w:pPr>
        <w:spacing w:line="240" w:lineRule="auto"/>
        <w:ind w:right="-284"/>
        <w:rPr>
          <w:rFonts w:ascii="Times New Roman" w:hAnsi="Times New Roman" w:cs="Times New Roman"/>
          <w:b/>
        </w:rPr>
      </w:pPr>
    </w:p>
    <w:p w:rsidR="001F5DBC" w:rsidP="00277D03">
      <w:pPr>
        <w:spacing w:line="240" w:lineRule="auto"/>
        <w:ind w:right="-284"/>
        <w:rPr>
          <w:rFonts w:ascii="Times New Roman" w:hAnsi="Times New Roman" w:cs="Times New Roman"/>
          <w:sz w:val="24"/>
          <w:szCs w:val="24"/>
        </w:rPr>
      </w:pPr>
      <w:r>
        <w:rPr>
          <w:rFonts w:ascii="Times New Roman" w:hAnsi="Times New Roman" w:cs="Times New Roman"/>
          <w:b/>
        </w:rPr>
        <w:tab/>
      </w:r>
      <w:r w:rsidRPr="001F5DBC">
        <w:rPr>
          <w:rFonts w:ascii="Times New Roman" w:hAnsi="Times New Roman" w:cs="Times New Roman"/>
          <w:sz w:val="24"/>
          <w:szCs w:val="24"/>
        </w:rPr>
        <w:t>V rámci kategórie 610 – mzdy, platy, služobné príjmy a OOV bol</w:t>
      </w:r>
      <w:r w:rsidRPr="001F5DBC">
        <w:rPr>
          <w:rFonts w:ascii="Times New Roman" w:hAnsi="Times New Roman" w:cs="Times New Roman"/>
          <w:sz w:val="24"/>
          <w:szCs w:val="24"/>
        </w:rPr>
        <w:t xml:space="preserve"> v mzdách za mesiac november 2007</w:t>
      </w:r>
      <w:r>
        <w:rPr>
          <w:rFonts w:ascii="Times New Roman" w:hAnsi="Times New Roman" w:cs="Times New Roman"/>
          <w:sz w:val="24"/>
          <w:szCs w:val="24"/>
        </w:rPr>
        <w:t xml:space="preserve"> vyplatený príspevok sociálnej výpomoci</w:t>
      </w:r>
      <w:r w:rsidR="005467CC">
        <w:rPr>
          <w:rFonts w:ascii="Times New Roman" w:hAnsi="Times New Roman" w:cs="Times New Roman"/>
          <w:sz w:val="24"/>
          <w:szCs w:val="24"/>
        </w:rPr>
        <w:t xml:space="preserve"> zo sociálneho fondu vo výške 55</w:t>
      </w:r>
      <w:r>
        <w:rPr>
          <w:rFonts w:ascii="Times New Roman" w:hAnsi="Times New Roman" w:cs="Times New Roman"/>
          <w:sz w:val="24"/>
          <w:szCs w:val="24"/>
        </w:rPr>
        <w:t> 920,- Sk</w:t>
      </w:r>
      <w:r w:rsidR="007F1BC7">
        <w:rPr>
          <w:rFonts w:ascii="Times New Roman" w:hAnsi="Times New Roman" w:cs="Times New Roman"/>
          <w:sz w:val="24"/>
          <w:szCs w:val="24"/>
        </w:rPr>
        <w:t>. Vzhľadom na to</w:t>
      </w:r>
      <w:r w:rsidR="005467CC">
        <w:rPr>
          <w:rFonts w:ascii="Times New Roman" w:hAnsi="Times New Roman" w:cs="Times New Roman"/>
          <w:sz w:val="24"/>
          <w:szCs w:val="24"/>
        </w:rPr>
        <w:t>, že v Štátnej pokladnici bol vykonaný len prevod medzi záväzkami a nevykonal sa prevod medzi účtami Sociálny fond a Výdavkový účet, v nákladovej časti vzniklo vyššie čerpanie mzdových pro</w:t>
      </w:r>
      <w:r w:rsidR="006A1495">
        <w:rPr>
          <w:rFonts w:ascii="Times New Roman" w:hAnsi="Times New Roman" w:cs="Times New Roman"/>
          <w:sz w:val="24"/>
          <w:szCs w:val="24"/>
        </w:rPr>
        <w:t>striedkov ako je upravený limit</w:t>
      </w:r>
      <w:r w:rsidR="005467CC">
        <w:rPr>
          <w:rFonts w:ascii="Times New Roman" w:hAnsi="Times New Roman" w:cs="Times New Roman"/>
          <w:sz w:val="24"/>
          <w:szCs w:val="24"/>
        </w:rPr>
        <w:t>.</w:t>
      </w:r>
      <w:r w:rsidR="006A1495">
        <w:rPr>
          <w:rFonts w:ascii="Times New Roman" w:hAnsi="Times New Roman" w:cs="Times New Roman"/>
          <w:sz w:val="24"/>
          <w:szCs w:val="24"/>
        </w:rPr>
        <w:t xml:space="preserve"> </w:t>
      </w:r>
      <w:r w:rsidR="005467CC">
        <w:rPr>
          <w:rFonts w:ascii="Times New Roman" w:hAnsi="Times New Roman" w:cs="Times New Roman"/>
          <w:sz w:val="24"/>
          <w:szCs w:val="24"/>
        </w:rPr>
        <w:t xml:space="preserve">Keďže už nebolo možné vykonať v Štátnej pokladnici zmeny za rok 2007, tento prevod vo výške 55 920,- Sk úrad realizoval dňa 18.1.2008 medzi účtami Sociálny fond a Depozitný účet, z ktorého budú finančné prostriedky v zmysle zákona prevedené. </w:t>
      </w:r>
      <w:r w:rsidR="00293AB1">
        <w:rPr>
          <w:rFonts w:ascii="Times New Roman" w:hAnsi="Times New Roman" w:cs="Times New Roman"/>
          <w:sz w:val="24"/>
          <w:szCs w:val="24"/>
        </w:rPr>
        <w:t xml:space="preserve">Rozdiel 951,- Sk sú nedočerpané mzdy. </w:t>
      </w:r>
    </w:p>
    <w:p w:rsidR="00A778F4" w:rsidP="00277D03">
      <w:pPr>
        <w:spacing w:line="240" w:lineRule="auto"/>
        <w:ind w:right="-284"/>
        <w:rPr>
          <w:rFonts w:ascii="Times New Roman" w:hAnsi="Times New Roman" w:cs="Times New Roman"/>
          <w:b/>
          <w:sz w:val="24"/>
          <w:szCs w:val="24"/>
        </w:rPr>
      </w:pPr>
    </w:p>
    <w:p w:rsidR="00733FFD" w:rsidP="00733FFD">
      <w:pPr>
        <w:spacing w:line="240" w:lineRule="auto"/>
        <w:ind w:right="-284"/>
        <w:jc w:val="center"/>
        <w:rPr>
          <w:rFonts w:ascii="Times New Roman" w:hAnsi="Times New Roman" w:cs="Times New Roman"/>
          <w:b/>
          <w:sz w:val="24"/>
          <w:szCs w:val="24"/>
        </w:rPr>
      </w:pPr>
      <w:r w:rsidRPr="00733FFD">
        <w:rPr>
          <w:rFonts w:ascii="Times New Roman" w:hAnsi="Times New Roman" w:cs="Times New Roman"/>
          <w:b/>
          <w:sz w:val="24"/>
          <w:szCs w:val="24"/>
        </w:rPr>
        <w:t>Čerpanie kategórie 630 – Tovary a</w:t>
      </w:r>
      <w:r w:rsidR="00293AB1">
        <w:rPr>
          <w:rFonts w:ascii="Times New Roman" w:hAnsi="Times New Roman" w:cs="Times New Roman"/>
          <w:b/>
          <w:sz w:val="24"/>
          <w:szCs w:val="24"/>
        </w:rPr>
        <w:t> </w:t>
      </w:r>
      <w:r w:rsidRPr="00733FFD">
        <w:rPr>
          <w:rFonts w:ascii="Times New Roman" w:hAnsi="Times New Roman" w:cs="Times New Roman"/>
          <w:b/>
          <w:sz w:val="24"/>
          <w:szCs w:val="24"/>
        </w:rPr>
        <w:t>služby</w:t>
      </w:r>
    </w:p>
    <w:p w:rsidR="00293AB1" w:rsidRPr="00733FFD" w:rsidP="00733FFD">
      <w:pPr>
        <w:spacing w:line="240" w:lineRule="auto"/>
        <w:ind w:right="-284"/>
        <w:jc w:val="center"/>
        <w:rPr>
          <w:rFonts w:ascii="Times New Roman" w:hAnsi="Times New Roman" w:cs="Times New Roman"/>
          <w:b/>
          <w:sz w:val="24"/>
          <w:szCs w:val="24"/>
        </w:rPr>
      </w:pPr>
    </w:p>
    <w:tbl>
      <w:tblPr>
        <w:tblW w:w="7431"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Grid>
        <w:gridCol w:w="3888"/>
        <w:gridCol w:w="1701"/>
        <w:gridCol w:w="1842"/>
      </w:tblGrid>
      <w:tr>
        <w:tblPrEx>
          <w:tblW w:w="7431"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auto" w:val="0"/>
        </w:trPr>
        <w:tc>
          <w:tcPr>
            <w:tcW w:w="3888" w:type="dxa"/>
            <w:tcBorders>
              <w:top w:val="single" w:sz="4" w:space="0" w:color="auto"/>
              <w:left w:val="single" w:sz="4" w:space="0" w:color="auto"/>
              <w:bottom w:val="single" w:sz="4" w:space="0" w:color="auto"/>
              <w:right w:val="single" w:sz="4" w:space="0" w:color="auto"/>
              <w:tl2br w:val="nil"/>
              <w:tr2bl w:val="nil"/>
            </w:tcBorders>
            <w:shd w:val="clear" w:color="auto" w:fill="C0C0C0"/>
            <w:textDirection w:val="lrTb"/>
            <w:vAlign w:val="center"/>
          </w:tcPr>
          <w:p w:rsidR="00AD0110" w:rsidRPr="00733FFD" w:rsidP="00733FFD">
            <w:pPr>
              <w:pStyle w:val="BodyText2"/>
              <w:spacing w:line="240" w:lineRule="auto"/>
              <w:jc w:val="center"/>
              <w:rPr>
                <w:rFonts w:ascii="Times New Roman" w:hAnsi="Times New Roman" w:cs="Times New Roman"/>
                <w:b/>
                <w:iCs/>
                <w:sz w:val="20"/>
              </w:rPr>
            </w:pPr>
            <w:r w:rsidRPr="00733FFD">
              <w:rPr>
                <w:rFonts w:ascii="Times New Roman" w:hAnsi="Times New Roman" w:cs="Times New Roman"/>
                <w:b/>
                <w:iCs/>
                <w:sz w:val="20"/>
              </w:rPr>
              <w:t>Tovar a služby (630)</w:t>
            </w:r>
          </w:p>
        </w:tc>
        <w:tc>
          <w:tcPr>
            <w:tcW w:w="1701" w:type="dxa"/>
            <w:tcBorders>
              <w:top w:val="single" w:sz="4" w:space="0" w:color="auto"/>
              <w:left w:val="single" w:sz="4" w:space="0" w:color="auto"/>
              <w:bottom w:val="single" w:sz="4" w:space="0" w:color="auto"/>
              <w:right w:val="single" w:sz="4" w:space="0" w:color="auto"/>
              <w:tl2br w:val="nil"/>
              <w:tr2bl w:val="nil"/>
            </w:tcBorders>
            <w:shd w:val="clear" w:color="auto" w:fill="C0C0C0"/>
            <w:textDirection w:val="lrTb"/>
            <w:vAlign w:val="center"/>
          </w:tcPr>
          <w:p w:rsidR="00AD0110" w:rsidRPr="00733FFD" w:rsidP="00733FFD">
            <w:pPr>
              <w:pStyle w:val="BodyText2"/>
              <w:spacing w:line="240" w:lineRule="auto"/>
              <w:jc w:val="center"/>
              <w:rPr>
                <w:rFonts w:ascii="Times New Roman" w:hAnsi="Times New Roman" w:cs="Times New Roman"/>
                <w:b/>
                <w:iCs/>
                <w:sz w:val="20"/>
              </w:rPr>
            </w:pPr>
            <w:r w:rsidRPr="00733FFD">
              <w:rPr>
                <w:rFonts w:ascii="Times New Roman" w:hAnsi="Times New Roman" w:cs="Times New Roman"/>
                <w:b/>
                <w:iCs/>
                <w:sz w:val="20"/>
              </w:rPr>
              <w:t>Upravený rozpočet k 31.</w:t>
            </w:r>
            <w:r>
              <w:rPr>
                <w:rFonts w:ascii="Times New Roman" w:hAnsi="Times New Roman" w:cs="Times New Roman"/>
                <w:b/>
                <w:iCs/>
                <w:sz w:val="20"/>
              </w:rPr>
              <w:t>12.2007</w:t>
            </w:r>
            <w:r w:rsidRPr="00733FFD">
              <w:rPr>
                <w:rFonts w:ascii="Times New Roman" w:hAnsi="Times New Roman" w:cs="Times New Roman"/>
                <w:b/>
                <w:iCs/>
                <w:sz w:val="20"/>
              </w:rPr>
              <w:t xml:space="preserve"> </w:t>
            </w:r>
          </w:p>
        </w:tc>
        <w:tc>
          <w:tcPr>
            <w:tcW w:w="1842" w:type="dxa"/>
            <w:tcBorders>
              <w:top w:val="single" w:sz="4" w:space="0" w:color="auto"/>
              <w:left w:val="single" w:sz="4" w:space="0" w:color="auto"/>
              <w:bottom w:val="single" w:sz="4" w:space="0" w:color="auto"/>
              <w:right w:val="single" w:sz="4" w:space="0" w:color="auto"/>
              <w:tl2br w:val="nil"/>
              <w:tr2bl w:val="nil"/>
            </w:tcBorders>
            <w:shd w:val="clear" w:color="auto" w:fill="C0C0C0"/>
            <w:textDirection w:val="lrTb"/>
            <w:vAlign w:val="center"/>
          </w:tcPr>
          <w:p w:rsidR="00AD0110" w:rsidRPr="00733FFD" w:rsidP="00733FFD">
            <w:pPr>
              <w:pStyle w:val="BodyText2"/>
              <w:spacing w:line="240" w:lineRule="auto"/>
              <w:jc w:val="center"/>
              <w:rPr>
                <w:rFonts w:ascii="Times New Roman" w:hAnsi="Times New Roman" w:cs="Times New Roman"/>
                <w:b/>
                <w:iCs/>
                <w:sz w:val="20"/>
              </w:rPr>
            </w:pPr>
            <w:r w:rsidRPr="00733FFD">
              <w:rPr>
                <w:rFonts w:ascii="Times New Roman" w:hAnsi="Times New Roman" w:cs="Times New Roman"/>
                <w:b/>
                <w:iCs/>
                <w:sz w:val="20"/>
              </w:rPr>
              <w:t>Skutočnosť k 31.</w:t>
            </w:r>
            <w:r>
              <w:rPr>
                <w:rFonts w:ascii="Times New Roman" w:hAnsi="Times New Roman" w:cs="Times New Roman"/>
                <w:b/>
                <w:iCs/>
                <w:sz w:val="20"/>
              </w:rPr>
              <w:t>12.2007</w:t>
            </w:r>
          </w:p>
        </w:tc>
      </w:tr>
      <w:tr>
        <w:tblPrEx>
          <w:tblW w:w="7431" w:type="dxa"/>
          <w:tblInd w:w="1008" w:type="dxa"/>
        </w:tblPrEx>
        <w:trPr>
          <w:trHeight w:hRule="auto" w:val="0"/>
        </w:trPr>
        <w:tc>
          <w:tcPr>
            <w:tcW w:w="388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D0110" w:rsidRPr="00733FFD" w:rsidP="00733FFD">
            <w:pPr>
              <w:pStyle w:val="BodyText2"/>
              <w:spacing w:line="240" w:lineRule="auto"/>
              <w:rPr>
                <w:rFonts w:ascii="Times New Roman" w:hAnsi="Times New Roman" w:cs="Times New Roman"/>
                <w:iCs/>
                <w:sz w:val="20"/>
              </w:rPr>
            </w:pPr>
            <w:r>
              <w:rPr>
                <w:rFonts w:ascii="Times New Roman" w:hAnsi="Times New Roman" w:cs="Times New Roman"/>
                <w:iCs/>
                <w:sz w:val="20"/>
              </w:rPr>
              <w:t>631 C</w:t>
            </w:r>
            <w:r w:rsidRPr="00733FFD">
              <w:rPr>
                <w:rFonts w:ascii="Times New Roman" w:hAnsi="Times New Roman" w:cs="Times New Roman"/>
                <w:iCs/>
                <w:sz w:val="20"/>
              </w:rPr>
              <w:t>estovné náh</w:t>
            </w:r>
            <w:r w:rsidRPr="00733FFD">
              <w:rPr>
                <w:rFonts w:ascii="Times New Roman" w:hAnsi="Times New Roman" w:cs="Times New Roman"/>
                <w:iCs/>
                <w:sz w:val="20"/>
              </w:rPr>
              <w:t xml:space="preserve">rady </w:t>
            </w:r>
          </w:p>
        </w:tc>
        <w:tc>
          <w:tcPr>
            <w:tcW w:w="170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D0110" w:rsidRPr="00733FFD" w:rsidP="00733FFD">
            <w:pPr>
              <w:pStyle w:val="BodyText2"/>
              <w:spacing w:line="240" w:lineRule="auto"/>
              <w:jc w:val="right"/>
              <w:rPr>
                <w:rFonts w:ascii="Times New Roman" w:hAnsi="Times New Roman" w:cs="Times New Roman"/>
                <w:iCs/>
                <w:sz w:val="20"/>
              </w:rPr>
            </w:pPr>
            <w:r w:rsidRPr="00733FFD">
              <w:rPr>
                <w:rFonts w:ascii="Times New Roman" w:hAnsi="Times New Roman" w:cs="Times New Roman"/>
                <w:iCs/>
                <w:sz w:val="20"/>
              </w:rPr>
              <w:t>430 000</w:t>
            </w:r>
          </w:p>
        </w:tc>
        <w:tc>
          <w:tcPr>
            <w:tcW w:w="184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D0110" w:rsidRPr="00733FFD" w:rsidP="00733FFD">
            <w:pPr>
              <w:pStyle w:val="BodyText2"/>
              <w:spacing w:line="240" w:lineRule="auto"/>
              <w:jc w:val="right"/>
              <w:rPr>
                <w:rFonts w:ascii="Times New Roman" w:hAnsi="Times New Roman" w:cs="Times New Roman"/>
                <w:iCs/>
                <w:sz w:val="20"/>
              </w:rPr>
            </w:pPr>
            <w:r w:rsidRPr="00733FFD">
              <w:rPr>
                <w:rFonts w:ascii="Times New Roman" w:hAnsi="Times New Roman" w:cs="Times New Roman"/>
                <w:iCs/>
                <w:sz w:val="20"/>
              </w:rPr>
              <w:t>424 464,53</w:t>
            </w:r>
          </w:p>
        </w:tc>
      </w:tr>
      <w:tr>
        <w:tblPrEx>
          <w:tblW w:w="7431" w:type="dxa"/>
          <w:tblInd w:w="1008" w:type="dxa"/>
        </w:tblPrEx>
        <w:trPr>
          <w:trHeight w:hRule="auto" w:val="0"/>
        </w:trPr>
        <w:tc>
          <w:tcPr>
            <w:tcW w:w="388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D0110" w:rsidRPr="00733FFD" w:rsidP="00733FFD">
            <w:pPr>
              <w:pStyle w:val="BodyText2"/>
              <w:spacing w:line="240" w:lineRule="auto"/>
              <w:rPr>
                <w:rFonts w:ascii="Times New Roman" w:hAnsi="Times New Roman" w:cs="Times New Roman"/>
                <w:iCs/>
                <w:sz w:val="20"/>
              </w:rPr>
            </w:pPr>
            <w:r w:rsidRPr="00733FFD">
              <w:rPr>
                <w:rFonts w:ascii="Times New Roman" w:hAnsi="Times New Roman" w:cs="Times New Roman"/>
                <w:iCs/>
                <w:sz w:val="20"/>
              </w:rPr>
              <w:t>6</w:t>
            </w:r>
            <w:r>
              <w:rPr>
                <w:rFonts w:ascii="Times New Roman" w:hAnsi="Times New Roman" w:cs="Times New Roman"/>
                <w:iCs/>
                <w:sz w:val="20"/>
              </w:rPr>
              <w:t>32 E</w:t>
            </w:r>
            <w:r w:rsidRPr="00733FFD">
              <w:rPr>
                <w:rFonts w:ascii="Times New Roman" w:hAnsi="Times New Roman" w:cs="Times New Roman"/>
                <w:iCs/>
                <w:sz w:val="20"/>
              </w:rPr>
              <w:t>nergie, voda a komunikácie</w:t>
            </w:r>
          </w:p>
        </w:tc>
        <w:tc>
          <w:tcPr>
            <w:tcW w:w="170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D0110" w:rsidRPr="00733FFD" w:rsidP="00733FFD">
            <w:pPr>
              <w:pStyle w:val="BodyText2"/>
              <w:spacing w:line="240" w:lineRule="auto"/>
              <w:jc w:val="right"/>
              <w:rPr>
                <w:rFonts w:ascii="Times New Roman" w:hAnsi="Times New Roman" w:cs="Times New Roman"/>
                <w:iCs/>
                <w:sz w:val="20"/>
              </w:rPr>
            </w:pPr>
            <w:r w:rsidRPr="00733FFD">
              <w:rPr>
                <w:rFonts w:ascii="Times New Roman" w:hAnsi="Times New Roman" w:cs="Times New Roman"/>
                <w:iCs/>
                <w:sz w:val="20"/>
              </w:rPr>
              <w:t>1 521 000</w:t>
            </w:r>
          </w:p>
        </w:tc>
        <w:tc>
          <w:tcPr>
            <w:tcW w:w="184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D0110" w:rsidRPr="00733FFD" w:rsidP="00733FFD">
            <w:pPr>
              <w:pStyle w:val="BodyText2"/>
              <w:spacing w:line="240" w:lineRule="auto"/>
              <w:jc w:val="right"/>
              <w:rPr>
                <w:rFonts w:ascii="Times New Roman" w:hAnsi="Times New Roman" w:cs="Times New Roman"/>
                <w:iCs/>
                <w:sz w:val="20"/>
              </w:rPr>
            </w:pPr>
            <w:r w:rsidRPr="00733FFD">
              <w:rPr>
                <w:rFonts w:ascii="Times New Roman" w:hAnsi="Times New Roman" w:cs="Times New Roman"/>
                <w:iCs/>
                <w:sz w:val="20"/>
              </w:rPr>
              <w:t>1 485 548,80</w:t>
            </w:r>
          </w:p>
        </w:tc>
      </w:tr>
      <w:tr>
        <w:tblPrEx>
          <w:tblW w:w="7431" w:type="dxa"/>
          <w:tblInd w:w="1008" w:type="dxa"/>
        </w:tblPrEx>
        <w:trPr>
          <w:trHeight w:hRule="auto" w:val="0"/>
        </w:trPr>
        <w:tc>
          <w:tcPr>
            <w:tcW w:w="388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D0110" w:rsidRPr="00733FFD" w:rsidP="00733FFD">
            <w:pPr>
              <w:pStyle w:val="BodyText2"/>
              <w:spacing w:line="240" w:lineRule="auto"/>
              <w:rPr>
                <w:rFonts w:ascii="Times New Roman" w:hAnsi="Times New Roman" w:cs="Times New Roman"/>
                <w:iCs/>
                <w:sz w:val="20"/>
              </w:rPr>
            </w:pPr>
            <w:r w:rsidRPr="00733FFD">
              <w:rPr>
                <w:rFonts w:ascii="Times New Roman" w:hAnsi="Times New Roman" w:cs="Times New Roman"/>
                <w:iCs/>
                <w:sz w:val="20"/>
              </w:rPr>
              <w:t>63</w:t>
            </w:r>
            <w:r>
              <w:rPr>
                <w:rFonts w:ascii="Times New Roman" w:hAnsi="Times New Roman" w:cs="Times New Roman"/>
                <w:iCs/>
                <w:sz w:val="20"/>
              </w:rPr>
              <w:t>3 M</w:t>
            </w:r>
            <w:r w:rsidRPr="00733FFD">
              <w:rPr>
                <w:rFonts w:ascii="Times New Roman" w:hAnsi="Times New Roman" w:cs="Times New Roman"/>
                <w:iCs/>
                <w:sz w:val="20"/>
              </w:rPr>
              <w:t>ateriál a služby</w:t>
            </w:r>
          </w:p>
        </w:tc>
        <w:tc>
          <w:tcPr>
            <w:tcW w:w="170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D0110" w:rsidRPr="00733FFD" w:rsidP="00733FFD">
            <w:pPr>
              <w:pStyle w:val="BodyText2"/>
              <w:spacing w:line="240" w:lineRule="auto"/>
              <w:jc w:val="right"/>
              <w:rPr>
                <w:rFonts w:ascii="Times New Roman" w:hAnsi="Times New Roman" w:cs="Times New Roman"/>
                <w:iCs/>
                <w:sz w:val="20"/>
              </w:rPr>
            </w:pPr>
            <w:r w:rsidRPr="00733FFD">
              <w:rPr>
                <w:rFonts w:ascii="Times New Roman" w:hAnsi="Times New Roman" w:cs="Times New Roman"/>
                <w:iCs/>
                <w:sz w:val="20"/>
              </w:rPr>
              <w:t>1 627 000</w:t>
            </w:r>
          </w:p>
        </w:tc>
        <w:tc>
          <w:tcPr>
            <w:tcW w:w="184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D0110" w:rsidRPr="00733FFD" w:rsidP="00733FFD">
            <w:pPr>
              <w:pStyle w:val="BodyText2"/>
              <w:spacing w:line="240" w:lineRule="auto"/>
              <w:jc w:val="right"/>
              <w:rPr>
                <w:rFonts w:ascii="Times New Roman" w:hAnsi="Times New Roman" w:cs="Times New Roman"/>
                <w:iCs/>
                <w:sz w:val="20"/>
              </w:rPr>
            </w:pPr>
            <w:r>
              <w:rPr>
                <w:rFonts w:ascii="Times New Roman" w:hAnsi="Times New Roman" w:cs="Times New Roman"/>
                <w:iCs/>
                <w:sz w:val="20"/>
              </w:rPr>
              <w:t>1 456 297</w:t>
            </w:r>
            <w:r w:rsidRPr="00733FFD">
              <w:rPr>
                <w:rFonts w:ascii="Times New Roman" w:hAnsi="Times New Roman" w:cs="Times New Roman"/>
                <w:iCs/>
                <w:sz w:val="20"/>
              </w:rPr>
              <w:t>,34</w:t>
            </w:r>
          </w:p>
        </w:tc>
      </w:tr>
      <w:tr>
        <w:tblPrEx>
          <w:tblW w:w="7431" w:type="dxa"/>
          <w:tblInd w:w="1008" w:type="dxa"/>
        </w:tblPrEx>
        <w:trPr>
          <w:trHeight w:hRule="auto" w:val="0"/>
        </w:trPr>
        <w:tc>
          <w:tcPr>
            <w:tcW w:w="388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D0110" w:rsidRPr="00733FFD" w:rsidP="00733FFD">
            <w:pPr>
              <w:pStyle w:val="BodyText2"/>
              <w:spacing w:line="240" w:lineRule="auto"/>
              <w:rPr>
                <w:rFonts w:ascii="Times New Roman" w:hAnsi="Times New Roman" w:cs="Times New Roman"/>
                <w:iCs/>
                <w:sz w:val="20"/>
              </w:rPr>
            </w:pPr>
            <w:r w:rsidRPr="00733FFD">
              <w:rPr>
                <w:rFonts w:ascii="Times New Roman" w:hAnsi="Times New Roman" w:cs="Times New Roman"/>
                <w:iCs/>
                <w:sz w:val="20"/>
              </w:rPr>
              <w:t>6</w:t>
            </w:r>
            <w:r>
              <w:rPr>
                <w:rFonts w:ascii="Times New Roman" w:hAnsi="Times New Roman" w:cs="Times New Roman"/>
                <w:iCs/>
                <w:sz w:val="20"/>
              </w:rPr>
              <w:t>34 D</w:t>
            </w:r>
            <w:r w:rsidRPr="00733FFD">
              <w:rPr>
                <w:rFonts w:ascii="Times New Roman" w:hAnsi="Times New Roman" w:cs="Times New Roman"/>
                <w:iCs/>
                <w:sz w:val="20"/>
              </w:rPr>
              <w:t>opravné</w:t>
            </w:r>
          </w:p>
        </w:tc>
        <w:tc>
          <w:tcPr>
            <w:tcW w:w="170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D0110" w:rsidRPr="00733FFD" w:rsidP="00733FFD">
            <w:pPr>
              <w:pStyle w:val="BodyText2"/>
              <w:spacing w:line="240" w:lineRule="auto"/>
              <w:jc w:val="right"/>
              <w:rPr>
                <w:rFonts w:ascii="Times New Roman" w:hAnsi="Times New Roman" w:cs="Times New Roman"/>
                <w:iCs/>
                <w:sz w:val="20"/>
              </w:rPr>
            </w:pPr>
            <w:r w:rsidRPr="00733FFD">
              <w:rPr>
                <w:rFonts w:ascii="Times New Roman" w:hAnsi="Times New Roman" w:cs="Times New Roman"/>
                <w:iCs/>
                <w:sz w:val="20"/>
              </w:rPr>
              <w:t>486 000</w:t>
            </w:r>
          </w:p>
        </w:tc>
        <w:tc>
          <w:tcPr>
            <w:tcW w:w="184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D0110" w:rsidRPr="00733FFD" w:rsidP="00733FFD">
            <w:pPr>
              <w:pStyle w:val="BodyText2"/>
              <w:spacing w:line="240" w:lineRule="auto"/>
              <w:jc w:val="right"/>
              <w:rPr>
                <w:rFonts w:ascii="Times New Roman" w:hAnsi="Times New Roman" w:cs="Times New Roman"/>
                <w:iCs/>
                <w:sz w:val="20"/>
              </w:rPr>
            </w:pPr>
            <w:r w:rsidRPr="00733FFD">
              <w:rPr>
                <w:rFonts w:ascii="Times New Roman" w:hAnsi="Times New Roman" w:cs="Times New Roman"/>
                <w:iCs/>
                <w:sz w:val="20"/>
              </w:rPr>
              <w:t>422 114,81</w:t>
            </w:r>
          </w:p>
        </w:tc>
      </w:tr>
      <w:tr>
        <w:tblPrEx>
          <w:tblW w:w="7431" w:type="dxa"/>
          <w:tblInd w:w="1008" w:type="dxa"/>
        </w:tblPrEx>
        <w:trPr>
          <w:trHeight w:hRule="auto" w:val="0"/>
        </w:trPr>
        <w:tc>
          <w:tcPr>
            <w:tcW w:w="388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D0110" w:rsidRPr="00733FFD" w:rsidP="00733FFD">
            <w:pPr>
              <w:pStyle w:val="BodyText2"/>
              <w:spacing w:line="240" w:lineRule="auto"/>
              <w:rPr>
                <w:rFonts w:ascii="Times New Roman" w:hAnsi="Times New Roman" w:cs="Times New Roman"/>
                <w:iCs/>
                <w:sz w:val="20"/>
              </w:rPr>
            </w:pPr>
            <w:r>
              <w:rPr>
                <w:rFonts w:ascii="Times New Roman" w:hAnsi="Times New Roman" w:cs="Times New Roman"/>
                <w:iCs/>
                <w:sz w:val="20"/>
              </w:rPr>
              <w:t>635 R</w:t>
            </w:r>
            <w:r w:rsidRPr="00733FFD">
              <w:rPr>
                <w:rFonts w:ascii="Times New Roman" w:hAnsi="Times New Roman" w:cs="Times New Roman"/>
                <w:iCs/>
                <w:sz w:val="20"/>
              </w:rPr>
              <w:t>utinná a štandardná údržba</w:t>
            </w:r>
          </w:p>
        </w:tc>
        <w:tc>
          <w:tcPr>
            <w:tcW w:w="170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D0110" w:rsidRPr="00733FFD" w:rsidP="00733FFD">
            <w:pPr>
              <w:pStyle w:val="BodyText2"/>
              <w:spacing w:line="240" w:lineRule="auto"/>
              <w:jc w:val="right"/>
              <w:rPr>
                <w:rFonts w:ascii="Times New Roman" w:hAnsi="Times New Roman" w:cs="Times New Roman"/>
                <w:iCs/>
                <w:sz w:val="20"/>
              </w:rPr>
            </w:pPr>
            <w:r w:rsidRPr="00733FFD">
              <w:rPr>
                <w:rFonts w:ascii="Times New Roman" w:hAnsi="Times New Roman" w:cs="Times New Roman"/>
                <w:iCs/>
                <w:sz w:val="20"/>
              </w:rPr>
              <w:t>229 000</w:t>
            </w:r>
          </w:p>
        </w:tc>
        <w:tc>
          <w:tcPr>
            <w:tcW w:w="184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D0110" w:rsidRPr="00733FFD" w:rsidP="00733FFD">
            <w:pPr>
              <w:pStyle w:val="BodyText2"/>
              <w:spacing w:line="240" w:lineRule="auto"/>
              <w:jc w:val="right"/>
              <w:rPr>
                <w:rFonts w:ascii="Times New Roman" w:hAnsi="Times New Roman" w:cs="Times New Roman"/>
                <w:iCs/>
                <w:sz w:val="20"/>
              </w:rPr>
            </w:pPr>
            <w:r>
              <w:rPr>
                <w:rFonts w:ascii="Times New Roman" w:hAnsi="Times New Roman" w:cs="Times New Roman"/>
                <w:iCs/>
                <w:sz w:val="20"/>
              </w:rPr>
              <w:t>171 972</w:t>
            </w:r>
            <w:r w:rsidRPr="00733FFD">
              <w:rPr>
                <w:rFonts w:ascii="Times New Roman" w:hAnsi="Times New Roman" w:cs="Times New Roman"/>
                <w:iCs/>
                <w:sz w:val="20"/>
              </w:rPr>
              <w:t>,40</w:t>
            </w:r>
          </w:p>
        </w:tc>
      </w:tr>
      <w:tr>
        <w:tblPrEx>
          <w:tblW w:w="7431" w:type="dxa"/>
          <w:tblInd w:w="1008" w:type="dxa"/>
        </w:tblPrEx>
        <w:trPr>
          <w:trHeight w:hRule="auto" w:val="0"/>
        </w:trPr>
        <w:tc>
          <w:tcPr>
            <w:tcW w:w="388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D0110" w:rsidRPr="00733FFD" w:rsidP="00733FFD">
            <w:pPr>
              <w:pStyle w:val="BodyText2"/>
              <w:spacing w:line="240" w:lineRule="auto"/>
              <w:rPr>
                <w:rFonts w:ascii="Times New Roman" w:hAnsi="Times New Roman" w:cs="Times New Roman"/>
                <w:iCs/>
                <w:sz w:val="20"/>
              </w:rPr>
            </w:pPr>
            <w:r>
              <w:rPr>
                <w:rFonts w:ascii="Times New Roman" w:hAnsi="Times New Roman" w:cs="Times New Roman"/>
                <w:iCs/>
                <w:sz w:val="20"/>
              </w:rPr>
              <w:t>636 N</w:t>
            </w:r>
            <w:r w:rsidRPr="00733FFD">
              <w:rPr>
                <w:rFonts w:ascii="Times New Roman" w:hAnsi="Times New Roman" w:cs="Times New Roman"/>
                <w:iCs/>
                <w:sz w:val="20"/>
              </w:rPr>
              <w:t>ájomné</w:t>
            </w:r>
          </w:p>
        </w:tc>
        <w:tc>
          <w:tcPr>
            <w:tcW w:w="170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D0110" w:rsidRPr="00733FFD" w:rsidP="00733FFD">
            <w:pPr>
              <w:pStyle w:val="BodyText2"/>
              <w:spacing w:line="240" w:lineRule="auto"/>
              <w:jc w:val="right"/>
              <w:rPr>
                <w:rFonts w:ascii="Times New Roman" w:hAnsi="Times New Roman" w:cs="Times New Roman"/>
                <w:iCs/>
                <w:sz w:val="20"/>
              </w:rPr>
            </w:pPr>
            <w:r w:rsidRPr="00733FFD">
              <w:rPr>
                <w:rFonts w:ascii="Times New Roman" w:hAnsi="Times New Roman" w:cs="Times New Roman"/>
                <w:iCs/>
                <w:sz w:val="20"/>
              </w:rPr>
              <w:t>470 000</w:t>
            </w:r>
          </w:p>
        </w:tc>
        <w:tc>
          <w:tcPr>
            <w:tcW w:w="184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D0110" w:rsidRPr="00733FFD" w:rsidP="00733FFD">
            <w:pPr>
              <w:pStyle w:val="BodyText2"/>
              <w:spacing w:line="240" w:lineRule="auto"/>
              <w:jc w:val="right"/>
              <w:rPr>
                <w:rFonts w:ascii="Times New Roman" w:hAnsi="Times New Roman" w:cs="Times New Roman"/>
                <w:iCs/>
                <w:sz w:val="20"/>
              </w:rPr>
            </w:pPr>
            <w:r w:rsidRPr="00733FFD">
              <w:rPr>
                <w:rFonts w:ascii="Times New Roman" w:hAnsi="Times New Roman" w:cs="Times New Roman"/>
                <w:iCs/>
                <w:sz w:val="20"/>
              </w:rPr>
              <w:t>464 366,90</w:t>
            </w:r>
          </w:p>
        </w:tc>
      </w:tr>
      <w:tr>
        <w:tblPrEx>
          <w:tblW w:w="7431" w:type="dxa"/>
          <w:tblInd w:w="1008" w:type="dxa"/>
        </w:tblPrEx>
        <w:trPr>
          <w:trHeight w:hRule="auto" w:val="0"/>
        </w:trPr>
        <w:tc>
          <w:tcPr>
            <w:tcW w:w="388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D0110" w:rsidRPr="00733FFD" w:rsidP="00733FFD">
            <w:pPr>
              <w:pStyle w:val="BodyText2"/>
              <w:spacing w:line="240" w:lineRule="auto"/>
              <w:rPr>
                <w:rFonts w:ascii="Times New Roman" w:hAnsi="Times New Roman" w:cs="Times New Roman"/>
                <w:iCs/>
                <w:sz w:val="20"/>
              </w:rPr>
            </w:pPr>
            <w:r>
              <w:rPr>
                <w:rFonts w:ascii="Times New Roman" w:hAnsi="Times New Roman" w:cs="Times New Roman"/>
                <w:iCs/>
                <w:sz w:val="20"/>
              </w:rPr>
              <w:t>637 S</w:t>
            </w:r>
            <w:r w:rsidRPr="00733FFD">
              <w:rPr>
                <w:rFonts w:ascii="Times New Roman" w:hAnsi="Times New Roman" w:cs="Times New Roman"/>
                <w:iCs/>
                <w:sz w:val="20"/>
              </w:rPr>
              <w:t>lužby</w:t>
            </w:r>
          </w:p>
        </w:tc>
        <w:tc>
          <w:tcPr>
            <w:tcW w:w="170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D0110" w:rsidRPr="00733FFD" w:rsidP="00733FFD">
            <w:pPr>
              <w:pStyle w:val="BodyText2"/>
              <w:spacing w:line="240" w:lineRule="auto"/>
              <w:jc w:val="right"/>
              <w:rPr>
                <w:rFonts w:ascii="Times New Roman" w:hAnsi="Times New Roman" w:cs="Times New Roman"/>
                <w:iCs/>
                <w:sz w:val="20"/>
              </w:rPr>
            </w:pPr>
            <w:r w:rsidRPr="00733FFD">
              <w:rPr>
                <w:rFonts w:ascii="Times New Roman" w:hAnsi="Times New Roman" w:cs="Times New Roman"/>
                <w:iCs/>
                <w:sz w:val="20"/>
              </w:rPr>
              <w:t>1 890 000</w:t>
            </w:r>
          </w:p>
        </w:tc>
        <w:tc>
          <w:tcPr>
            <w:tcW w:w="184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D0110" w:rsidRPr="00733FFD" w:rsidP="00733FFD">
            <w:pPr>
              <w:pStyle w:val="BodyText2"/>
              <w:spacing w:line="240" w:lineRule="auto"/>
              <w:jc w:val="right"/>
              <w:rPr>
                <w:rFonts w:ascii="Times New Roman" w:hAnsi="Times New Roman" w:cs="Times New Roman"/>
                <w:iCs/>
                <w:sz w:val="20"/>
              </w:rPr>
            </w:pPr>
            <w:r>
              <w:rPr>
                <w:rFonts w:ascii="Times New Roman" w:hAnsi="Times New Roman" w:cs="Times New Roman"/>
                <w:iCs/>
                <w:sz w:val="20"/>
              </w:rPr>
              <w:t>1 519 523,17</w:t>
            </w:r>
          </w:p>
        </w:tc>
      </w:tr>
      <w:tr>
        <w:tblPrEx>
          <w:tblW w:w="7431" w:type="dxa"/>
          <w:tblInd w:w="1008" w:type="dxa"/>
        </w:tblPrEx>
        <w:trPr>
          <w:trHeight w:hRule="auto" w:val="0"/>
        </w:trPr>
        <w:tc>
          <w:tcPr>
            <w:tcW w:w="3888" w:type="dxa"/>
            <w:tcBorders>
              <w:top w:val="single" w:sz="4" w:space="0" w:color="auto"/>
              <w:left w:val="single" w:sz="4" w:space="0" w:color="auto"/>
              <w:bottom w:val="single" w:sz="4" w:space="0" w:color="auto"/>
              <w:right w:val="single" w:sz="4" w:space="0" w:color="auto"/>
              <w:tl2br w:val="nil"/>
              <w:tr2bl w:val="nil"/>
            </w:tcBorders>
            <w:shd w:val="clear" w:color="auto" w:fill="C0C0C0"/>
            <w:textDirection w:val="lrTb"/>
            <w:vAlign w:val="center"/>
          </w:tcPr>
          <w:p w:rsidR="00AD0110" w:rsidRPr="00592934" w:rsidP="00733FFD">
            <w:pPr>
              <w:pStyle w:val="BodyText2"/>
              <w:spacing w:line="240" w:lineRule="auto"/>
              <w:rPr>
                <w:rFonts w:ascii="Times New Roman" w:hAnsi="Times New Roman" w:cs="Times New Roman"/>
                <w:b/>
                <w:iCs/>
                <w:sz w:val="20"/>
              </w:rPr>
            </w:pPr>
            <w:r w:rsidRPr="00592934">
              <w:rPr>
                <w:rFonts w:ascii="Times New Roman" w:hAnsi="Times New Roman" w:cs="Times New Roman"/>
                <w:b/>
                <w:iCs/>
                <w:sz w:val="20"/>
              </w:rPr>
              <w:t>630 SPOLU</w:t>
            </w:r>
          </w:p>
        </w:tc>
        <w:tc>
          <w:tcPr>
            <w:tcW w:w="1701" w:type="dxa"/>
            <w:tcBorders>
              <w:top w:val="single" w:sz="4" w:space="0" w:color="auto"/>
              <w:left w:val="single" w:sz="4" w:space="0" w:color="auto"/>
              <w:bottom w:val="single" w:sz="4" w:space="0" w:color="auto"/>
              <w:right w:val="single" w:sz="4" w:space="0" w:color="auto"/>
              <w:tl2br w:val="nil"/>
              <w:tr2bl w:val="nil"/>
            </w:tcBorders>
            <w:shd w:val="clear" w:color="auto" w:fill="C0C0C0"/>
            <w:textDirection w:val="lrTb"/>
            <w:vAlign w:val="center"/>
          </w:tcPr>
          <w:p w:rsidR="00AD0110" w:rsidRPr="00592934" w:rsidP="00733FFD">
            <w:pPr>
              <w:pStyle w:val="BodyText2"/>
              <w:spacing w:line="240" w:lineRule="auto"/>
              <w:jc w:val="right"/>
              <w:rPr>
                <w:rFonts w:ascii="Times New Roman" w:hAnsi="Times New Roman" w:cs="Times New Roman"/>
                <w:b/>
                <w:iCs/>
                <w:sz w:val="20"/>
              </w:rPr>
            </w:pPr>
            <w:r w:rsidRPr="00592934">
              <w:rPr>
                <w:rFonts w:ascii="Times New Roman" w:hAnsi="Times New Roman" w:cs="Times New Roman"/>
                <w:b/>
                <w:iCs/>
                <w:sz w:val="20"/>
              </w:rPr>
              <w:t>6 653 000</w:t>
            </w:r>
          </w:p>
        </w:tc>
        <w:tc>
          <w:tcPr>
            <w:tcW w:w="1842" w:type="dxa"/>
            <w:tcBorders>
              <w:top w:val="single" w:sz="4" w:space="0" w:color="auto"/>
              <w:left w:val="single" w:sz="4" w:space="0" w:color="auto"/>
              <w:bottom w:val="single" w:sz="4" w:space="0" w:color="auto"/>
              <w:right w:val="single" w:sz="4" w:space="0" w:color="auto"/>
              <w:tl2br w:val="nil"/>
              <w:tr2bl w:val="nil"/>
            </w:tcBorders>
            <w:shd w:val="clear" w:color="auto" w:fill="C0C0C0"/>
            <w:textDirection w:val="lrTb"/>
            <w:vAlign w:val="center"/>
          </w:tcPr>
          <w:p w:rsidR="00AD0110" w:rsidRPr="00592934" w:rsidP="00733FFD">
            <w:pPr>
              <w:pStyle w:val="BodyText2"/>
              <w:spacing w:line="240" w:lineRule="auto"/>
              <w:jc w:val="right"/>
              <w:rPr>
                <w:rFonts w:ascii="Times New Roman" w:hAnsi="Times New Roman" w:cs="Times New Roman"/>
                <w:b/>
                <w:iCs/>
                <w:sz w:val="20"/>
              </w:rPr>
            </w:pPr>
            <w:r w:rsidRPr="00592934">
              <w:rPr>
                <w:rFonts w:ascii="Times New Roman" w:hAnsi="Times New Roman" w:cs="Times New Roman"/>
                <w:b/>
                <w:iCs/>
                <w:sz w:val="20"/>
              </w:rPr>
              <w:t>5 944 287,95</w:t>
            </w:r>
          </w:p>
        </w:tc>
      </w:tr>
    </w:tbl>
    <w:p w:rsidR="00733FFD" w:rsidRPr="00733FFD" w:rsidP="00277D03">
      <w:pPr>
        <w:pStyle w:val="BodyText2"/>
        <w:spacing w:line="240" w:lineRule="auto"/>
        <w:rPr>
          <w:rFonts w:ascii="Times New Roman" w:hAnsi="Times New Roman" w:cs="Times New Roman"/>
          <w:b/>
          <w:sz w:val="20"/>
        </w:rPr>
      </w:pPr>
    </w:p>
    <w:p w:rsidR="00592934" w:rsidRPr="00592934" w:rsidP="00277D03">
      <w:pPr>
        <w:spacing w:line="240" w:lineRule="auto"/>
        <w:ind w:right="-284" w:firstLine="705"/>
        <w:rPr>
          <w:rFonts w:ascii="Times New Roman" w:hAnsi="Times New Roman" w:cs="Times New Roman"/>
          <w:sz w:val="24"/>
          <w:szCs w:val="24"/>
        </w:rPr>
      </w:pPr>
      <w:r w:rsidRPr="00592934" w:rsidR="008F09DF">
        <w:rPr>
          <w:rFonts w:ascii="Times New Roman" w:hAnsi="Times New Roman" w:cs="Times New Roman"/>
          <w:sz w:val="24"/>
          <w:szCs w:val="24"/>
        </w:rPr>
        <w:t>Kapitálové výdavky (710) boli čerpané vo výš</w:t>
      </w:r>
      <w:r w:rsidRPr="00592934" w:rsidR="00733FFD">
        <w:rPr>
          <w:rFonts w:ascii="Times New Roman" w:hAnsi="Times New Roman" w:cs="Times New Roman"/>
          <w:sz w:val="24"/>
          <w:szCs w:val="24"/>
        </w:rPr>
        <w:t xml:space="preserve">ke 998 065,00 </w:t>
      </w:r>
      <w:r>
        <w:rPr>
          <w:rFonts w:ascii="Times New Roman" w:hAnsi="Times New Roman" w:cs="Times New Roman"/>
          <w:sz w:val="24"/>
          <w:szCs w:val="24"/>
        </w:rPr>
        <w:t xml:space="preserve">Sk. Boli použité </w:t>
      </w:r>
      <w:r w:rsidRPr="00592934">
        <w:rPr>
          <w:rFonts w:ascii="Times New Roman" w:hAnsi="Times New Roman" w:cs="Times New Roman"/>
          <w:sz w:val="24"/>
          <w:szCs w:val="24"/>
        </w:rPr>
        <w:t xml:space="preserve">na financovanie prevádzkových strojov, prístrojov a zariadení a na dokúpenie </w:t>
      </w:r>
      <w:r>
        <w:rPr>
          <w:rFonts w:ascii="Times New Roman" w:hAnsi="Times New Roman" w:cs="Times New Roman"/>
          <w:sz w:val="24"/>
          <w:szCs w:val="24"/>
        </w:rPr>
        <w:t xml:space="preserve">výpočtovej techniky, ktorou sa </w:t>
      </w:r>
      <w:r w:rsidRPr="00592934">
        <w:rPr>
          <w:rFonts w:ascii="Times New Roman" w:hAnsi="Times New Roman" w:cs="Times New Roman"/>
          <w:sz w:val="24"/>
          <w:szCs w:val="24"/>
        </w:rPr>
        <w:t>nahradili star</w:t>
      </w:r>
      <w:r w:rsidRPr="00592934">
        <w:rPr>
          <w:rFonts w:ascii="Times New Roman" w:hAnsi="Times New Roman" w:cs="Times New Roman"/>
          <w:sz w:val="24"/>
          <w:szCs w:val="24"/>
        </w:rPr>
        <w:t>é a vyradené prístroje:</w:t>
      </w:r>
      <w:r w:rsidR="00277D03">
        <w:rPr>
          <w:rFonts w:ascii="Times New Roman" w:hAnsi="Times New Roman" w:cs="Times New Roman"/>
          <w:sz w:val="24"/>
          <w:szCs w:val="24"/>
        </w:rPr>
        <w:t xml:space="preserve"> </w:t>
      </w:r>
      <w:r w:rsidRPr="00592934">
        <w:rPr>
          <w:rFonts w:ascii="Times New Roman" w:hAnsi="Times New Roman" w:cs="Times New Roman"/>
          <w:sz w:val="24"/>
          <w:szCs w:val="24"/>
        </w:rPr>
        <w:t>PC špeciálne pre potreby oddelenia chemických analýz  (51 420,- Sk)</w:t>
      </w:r>
      <w:r w:rsidR="00277D03">
        <w:rPr>
          <w:rFonts w:ascii="Times New Roman" w:hAnsi="Times New Roman" w:cs="Times New Roman"/>
          <w:sz w:val="24"/>
          <w:szCs w:val="24"/>
        </w:rPr>
        <w:t xml:space="preserve">, </w:t>
      </w:r>
      <w:r w:rsidRPr="00592934">
        <w:rPr>
          <w:rFonts w:ascii="Times New Roman" w:hAnsi="Times New Roman" w:cs="Times New Roman"/>
          <w:sz w:val="24"/>
          <w:szCs w:val="24"/>
        </w:rPr>
        <w:t>Notebook  (34 117,50 Sk)</w:t>
      </w:r>
      <w:r w:rsidR="00277D03">
        <w:rPr>
          <w:rFonts w:ascii="Times New Roman" w:hAnsi="Times New Roman" w:cs="Times New Roman"/>
          <w:sz w:val="24"/>
          <w:szCs w:val="24"/>
        </w:rPr>
        <w:t xml:space="preserve">, </w:t>
      </w:r>
      <w:r w:rsidRPr="00592934">
        <w:rPr>
          <w:rFonts w:ascii="Times New Roman" w:hAnsi="Times New Roman" w:cs="Times New Roman"/>
          <w:sz w:val="24"/>
          <w:szCs w:val="24"/>
        </w:rPr>
        <w:t>5 ks počítačových zostáv  (150 951,50 Sk)</w:t>
      </w:r>
      <w:r w:rsidR="00277D03">
        <w:rPr>
          <w:rFonts w:ascii="Times New Roman" w:hAnsi="Times New Roman" w:cs="Times New Roman"/>
          <w:sz w:val="24"/>
          <w:szCs w:val="24"/>
        </w:rPr>
        <w:t>, a</w:t>
      </w:r>
      <w:r w:rsidRPr="00592934">
        <w:rPr>
          <w:rFonts w:ascii="Times New Roman" w:hAnsi="Times New Roman" w:cs="Times New Roman"/>
          <w:sz w:val="24"/>
          <w:szCs w:val="24"/>
        </w:rPr>
        <w:t>nalyzátor vibrácií pôsobiacich na ľudské telo  (423 259,- Sk)</w:t>
      </w:r>
      <w:r w:rsidR="00277D03">
        <w:rPr>
          <w:rFonts w:ascii="Times New Roman" w:hAnsi="Times New Roman" w:cs="Times New Roman"/>
          <w:sz w:val="24"/>
          <w:szCs w:val="24"/>
        </w:rPr>
        <w:t>, m</w:t>
      </w:r>
      <w:r w:rsidRPr="00592934">
        <w:rPr>
          <w:rFonts w:ascii="Times New Roman" w:hAnsi="Times New Roman" w:cs="Times New Roman"/>
          <w:sz w:val="24"/>
          <w:szCs w:val="24"/>
        </w:rPr>
        <w:t>ulticontrol prístroj – kontro</w:t>
      </w:r>
      <w:r w:rsidRPr="00592934">
        <w:rPr>
          <w:rFonts w:ascii="Times New Roman" w:hAnsi="Times New Roman" w:cs="Times New Roman"/>
          <w:sz w:val="24"/>
          <w:szCs w:val="24"/>
        </w:rPr>
        <w:t>la certokláv  (145 656,- Sk)</w:t>
      </w:r>
      <w:r w:rsidR="00277D03">
        <w:rPr>
          <w:rFonts w:ascii="Times New Roman" w:hAnsi="Times New Roman" w:cs="Times New Roman"/>
          <w:sz w:val="24"/>
          <w:szCs w:val="24"/>
        </w:rPr>
        <w:t>, v</w:t>
      </w:r>
      <w:r w:rsidRPr="00592934">
        <w:rPr>
          <w:rFonts w:ascii="Times New Roman" w:hAnsi="Times New Roman" w:cs="Times New Roman"/>
          <w:sz w:val="24"/>
          <w:szCs w:val="24"/>
        </w:rPr>
        <w:t>odný kúpeľ  (41 947,50 Sk)</w:t>
      </w:r>
      <w:r w:rsidR="00277D03">
        <w:rPr>
          <w:rFonts w:ascii="Times New Roman" w:hAnsi="Times New Roman" w:cs="Times New Roman"/>
          <w:sz w:val="24"/>
          <w:szCs w:val="24"/>
        </w:rPr>
        <w:t xml:space="preserve"> a </w:t>
      </w:r>
      <w:r w:rsidRPr="00592934">
        <w:rPr>
          <w:rFonts w:ascii="Times New Roman" w:hAnsi="Times New Roman" w:cs="Times New Roman"/>
          <w:sz w:val="24"/>
          <w:szCs w:val="24"/>
        </w:rPr>
        <w:t>DustTrak Aerosol Monitor  (150 713,50 Sk)</w:t>
      </w:r>
    </w:p>
    <w:p w:rsidR="00A778F4" w:rsidRPr="00592934" w:rsidP="00592934">
      <w:pPr>
        <w:spacing w:line="240" w:lineRule="auto"/>
        <w:rPr>
          <w:rFonts w:ascii="Times New Roman" w:hAnsi="Times New Roman" w:cs="Times New Roman"/>
          <w:sz w:val="24"/>
          <w:szCs w:val="24"/>
        </w:rPr>
      </w:pPr>
    </w:p>
    <w:p w:rsidR="00D27E26" w:rsidRPr="00D23807" w:rsidP="002063D3">
      <w:pPr>
        <w:spacing w:line="240" w:lineRule="auto"/>
        <w:rPr>
          <w:rFonts w:ascii="Times New Roman" w:hAnsi="Times New Roman" w:cs="Times New Roman"/>
          <w:b/>
          <w:sz w:val="24"/>
          <w:u w:val="single"/>
        </w:rPr>
      </w:pPr>
      <w:r w:rsidR="00303AE6">
        <w:rPr>
          <w:rFonts w:ascii="Times New Roman" w:hAnsi="Times New Roman" w:cs="Times New Roman"/>
          <w:b/>
          <w:sz w:val="24"/>
          <w:u w:val="single"/>
        </w:rPr>
        <w:t>10</w:t>
      </w:r>
      <w:r w:rsidRPr="00D23807">
        <w:rPr>
          <w:rFonts w:ascii="Times New Roman" w:hAnsi="Times New Roman" w:cs="Times New Roman"/>
          <w:b/>
          <w:sz w:val="24"/>
          <w:u w:val="single"/>
        </w:rPr>
        <w:t>. KRAJSKÉ ÚRADY PRE CESTNÚ DOP</w:t>
      </w:r>
      <w:r w:rsidR="002063D3">
        <w:rPr>
          <w:rFonts w:ascii="Times New Roman" w:hAnsi="Times New Roman" w:cs="Times New Roman"/>
          <w:b/>
          <w:sz w:val="24"/>
          <w:u w:val="single"/>
        </w:rPr>
        <w:t xml:space="preserve">RAVU A  POZEMNÉ KOMUNIKÁCIE </w:t>
      </w:r>
      <w:r w:rsidRPr="00D23807">
        <w:rPr>
          <w:rFonts w:ascii="Times New Roman" w:hAnsi="Times New Roman" w:cs="Times New Roman"/>
          <w:b/>
          <w:sz w:val="24"/>
          <w:u w:val="single"/>
        </w:rPr>
        <w:t xml:space="preserve">– prvok – 07T0306 – Regulácia cestnej dopravy  </w:t>
      </w:r>
    </w:p>
    <w:p w:rsidR="00A778F4" w:rsidRPr="00D23807" w:rsidP="002063D3">
      <w:pPr>
        <w:spacing w:line="240" w:lineRule="auto"/>
        <w:rPr>
          <w:rFonts w:ascii="Times New Roman" w:hAnsi="Times New Roman" w:cs="Times New Roman"/>
          <w:sz w:val="24"/>
        </w:rPr>
      </w:pPr>
    </w:p>
    <w:p w:rsidR="004B593A" w:rsidRPr="00F43690" w:rsidP="00C83B10">
      <w:pPr>
        <w:spacing w:line="240" w:lineRule="auto"/>
        <w:jc w:val="center"/>
        <w:rPr>
          <w:rFonts w:ascii="Arial Narrow" w:hAnsi="Arial Narrow" w:cs="Times New Roman"/>
          <w:b/>
          <w:sz w:val="24"/>
          <w:szCs w:val="24"/>
        </w:rPr>
      </w:pPr>
      <w:r w:rsidRPr="00D23807" w:rsidR="00D27E26">
        <w:rPr>
          <w:rFonts w:ascii="Times New Roman" w:hAnsi="Times New Roman" w:cs="Times New Roman"/>
        </w:rPr>
        <w:tab/>
      </w:r>
      <w:r w:rsidRPr="00F43690" w:rsidR="003F25A8">
        <w:rPr>
          <w:rFonts w:ascii="Arial Narrow" w:hAnsi="Arial Narrow" w:cs="Times New Roman"/>
          <w:b/>
          <w:sz w:val="24"/>
          <w:szCs w:val="24"/>
        </w:rPr>
        <w:t>Prehľad rozpočtov</w:t>
      </w:r>
      <w:r w:rsidR="003F25A8">
        <w:rPr>
          <w:rFonts w:ascii="Arial Narrow" w:hAnsi="Arial Narrow" w:cs="Times New Roman"/>
          <w:b/>
          <w:sz w:val="24"/>
          <w:szCs w:val="24"/>
        </w:rPr>
        <w:t>ých výdavkov 8 Krajských ú</w:t>
      </w:r>
      <w:r w:rsidR="003F25A8">
        <w:rPr>
          <w:rFonts w:ascii="Arial Narrow" w:hAnsi="Arial Narrow" w:cs="Times New Roman"/>
          <w:b/>
          <w:sz w:val="24"/>
          <w:szCs w:val="24"/>
        </w:rPr>
        <w:t xml:space="preserve">radov pre cestnú dopravu a pozemné komunikácie </w:t>
      </w:r>
      <w:r w:rsidR="00A778F4">
        <w:rPr>
          <w:rFonts w:ascii="Arial Narrow" w:hAnsi="Arial Narrow" w:cs="Times New Roman"/>
          <w:b/>
          <w:sz w:val="24"/>
          <w:szCs w:val="24"/>
        </w:rPr>
        <w:t>za rok 2007</w:t>
      </w:r>
    </w:p>
    <w:p w:rsidR="003F25A8" w:rsidRPr="00D04D46" w:rsidP="00C362EA">
      <w:pPr>
        <w:spacing w:line="240" w:lineRule="auto"/>
        <w:rPr>
          <w:rFonts w:ascii="Arial Narrow" w:hAnsi="Arial Narrow" w:cs="Times New Roman"/>
        </w:rPr>
      </w:pPr>
      <w:r w:rsidRPr="00D04D46">
        <w:rPr>
          <w:rFonts w:ascii="Arial Narrow" w:hAnsi="Arial Narrow" w:cs="Times New Roman"/>
        </w:rPr>
        <w:t xml:space="preserve">                     </w:t>
      </w:r>
      <w:r>
        <w:rPr>
          <w:rFonts w:ascii="Arial Narrow" w:hAnsi="Arial Narrow" w:cs="Times New Roman"/>
        </w:rPr>
        <w:t xml:space="preserve">          </w:t>
      </w:r>
      <w:r w:rsidRPr="00D04D46">
        <w:rPr>
          <w:rFonts w:ascii="Arial Narrow" w:hAnsi="Arial Narrow" w:cs="Times New Roman"/>
        </w:rPr>
        <w:t xml:space="preserve">                                                                              </w:t>
      </w:r>
      <w:r>
        <w:rPr>
          <w:rFonts w:ascii="Arial Narrow" w:hAnsi="Arial Narrow" w:cs="Times New Roman"/>
        </w:rPr>
        <w:t xml:space="preserve">                                                                          </w:t>
      </w:r>
      <w:r w:rsidRPr="00D04D46">
        <w:rPr>
          <w:rFonts w:ascii="Arial Narrow" w:hAnsi="Arial Narrow" w:cs="Times New Roman"/>
        </w:rPr>
        <w:t xml:space="preserve">    (v Sk)</w:t>
      </w:r>
    </w:p>
    <w:tbl>
      <w:tblPr>
        <w:tblW w:w="91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Grid>
        <w:gridCol w:w="3420"/>
        <w:gridCol w:w="1440"/>
        <w:gridCol w:w="1440"/>
        <w:gridCol w:w="1440"/>
        <w:gridCol w:w="1377"/>
      </w:tblGrid>
      <w:tr>
        <w:tblPrEx>
          <w:tblW w:w="91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auto" w:val="0"/>
        </w:trPr>
        <w:tc>
          <w:tcPr>
            <w:tcW w:w="3420" w:type="dxa"/>
            <w:tcBorders>
              <w:top w:val="single" w:sz="4" w:space="0" w:color="auto"/>
              <w:left w:val="single" w:sz="4" w:space="0" w:color="auto"/>
              <w:bottom w:val="single" w:sz="4" w:space="0" w:color="auto"/>
              <w:right w:val="single" w:sz="4" w:space="0" w:color="auto"/>
              <w:tl2br w:val="nil"/>
              <w:tr2bl w:val="nil"/>
            </w:tcBorders>
            <w:shd w:val="clear" w:color="auto" w:fill="CCCCCC"/>
            <w:textDirection w:val="lrTb"/>
            <w:vAlign w:val="top"/>
          </w:tcPr>
          <w:p w:rsidR="00270E65" w:rsidRPr="00D04D46" w:rsidP="00C362EA">
            <w:pPr>
              <w:spacing w:line="240" w:lineRule="auto"/>
              <w:rPr>
                <w:rFonts w:ascii="Times New Roman" w:hAnsi="Times New Roman" w:cs="Times New Roman"/>
                <w:u w:val="single"/>
              </w:rPr>
            </w:pPr>
          </w:p>
        </w:tc>
        <w:tc>
          <w:tcPr>
            <w:tcW w:w="1440" w:type="dxa"/>
            <w:tcBorders>
              <w:top w:val="single" w:sz="4" w:space="0" w:color="auto"/>
              <w:left w:val="single" w:sz="4" w:space="0" w:color="auto"/>
              <w:bottom w:val="single" w:sz="4" w:space="0" w:color="auto"/>
              <w:right w:val="single" w:sz="4" w:space="0" w:color="auto"/>
              <w:tl2br w:val="nil"/>
              <w:tr2bl w:val="nil"/>
            </w:tcBorders>
            <w:shd w:val="clear" w:color="auto" w:fill="CCCCCC"/>
            <w:textDirection w:val="lrTb"/>
            <w:vAlign w:val="center"/>
          </w:tcPr>
          <w:p w:rsidR="00270E65" w:rsidRPr="00FC7E23" w:rsidP="00C362EA">
            <w:pPr>
              <w:spacing w:line="240" w:lineRule="auto"/>
              <w:jc w:val="center"/>
              <w:rPr>
                <w:rFonts w:ascii="Arial Narrow" w:hAnsi="Arial Narrow" w:cs="Times New Roman"/>
                <w:b/>
              </w:rPr>
            </w:pPr>
            <w:r w:rsidRPr="00FC7E23">
              <w:rPr>
                <w:rFonts w:ascii="Arial Narrow" w:hAnsi="Arial Narrow" w:cs="Times New Roman"/>
                <w:b/>
              </w:rPr>
              <w:t>Sc</w:t>
            </w:r>
            <w:r w:rsidRPr="00FC7E23">
              <w:rPr>
                <w:rFonts w:ascii="Arial Narrow" w:hAnsi="Arial Narrow" w:cs="Times New Roman"/>
                <w:b/>
              </w:rPr>
              <w:t xml:space="preserve">hválený rozpočet </w:t>
            </w:r>
            <w:r>
              <w:rPr>
                <w:rFonts w:ascii="Arial Narrow" w:hAnsi="Arial Narrow" w:cs="Times New Roman"/>
                <w:b/>
              </w:rPr>
              <w:t>k 1.1.2007</w:t>
            </w:r>
          </w:p>
        </w:tc>
        <w:tc>
          <w:tcPr>
            <w:tcW w:w="1440" w:type="dxa"/>
            <w:tcBorders>
              <w:top w:val="single" w:sz="4" w:space="0" w:color="auto"/>
              <w:left w:val="single" w:sz="4" w:space="0" w:color="auto"/>
              <w:bottom w:val="single" w:sz="4" w:space="0" w:color="auto"/>
              <w:right w:val="single" w:sz="4" w:space="0" w:color="auto"/>
              <w:tl2br w:val="nil"/>
              <w:tr2bl w:val="nil"/>
            </w:tcBorders>
            <w:shd w:val="clear" w:color="auto" w:fill="CCCCCC"/>
            <w:textDirection w:val="lrTb"/>
            <w:vAlign w:val="center"/>
          </w:tcPr>
          <w:p w:rsidR="00270E65" w:rsidRPr="00FC7E23" w:rsidP="00C362EA">
            <w:pPr>
              <w:spacing w:line="240" w:lineRule="auto"/>
              <w:jc w:val="center"/>
              <w:rPr>
                <w:rFonts w:ascii="Arial Narrow" w:hAnsi="Arial Narrow" w:cs="Times New Roman"/>
                <w:b/>
              </w:rPr>
            </w:pPr>
            <w:r>
              <w:rPr>
                <w:rFonts w:ascii="Arial Narrow" w:hAnsi="Arial Narrow" w:cs="Times New Roman"/>
                <w:b/>
              </w:rPr>
              <w:t>Upravený rozpočet k 31.12.2007</w:t>
            </w:r>
          </w:p>
        </w:tc>
        <w:tc>
          <w:tcPr>
            <w:tcW w:w="1440" w:type="dxa"/>
            <w:tcBorders>
              <w:top w:val="single" w:sz="4" w:space="0" w:color="auto"/>
              <w:left w:val="single" w:sz="4" w:space="0" w:color="auto"/>
              <w:bottom w:val="single" w:sz="4" w:space="0" w:color="auto"/>
              <w:right w:val="single" w:sz="4" w:space="0" w:color="auto"/>
              <w:tl2br w:val="nil"/>
              <w:tr2bl w:val="nil"/>
            </w:tcBorders>
            <w:shd w:val="clear" w:color="auto" w:fill="CCCCCC"/>
            <w:textDirection w:val="lrTb"/>
            <w:vAlign w:val="center"/>
          </w:tcPr>
          <w:p w:rsidR="00270E65" w:rsidRPr="00FC7E23" w:rsidP="00C362EA">
            <w:pPr>
              <w:spacing w:line="240" w:lineRule="auto"/>
              <w:jc w:val="center"/>
              <w:rPr>
                <w:rFonts w:ascii="Arial Narrow" w:hAnsi="Arial Narrow" w:cs="Times New Roman"/>
                <w:b/>
              </w:rPr>
            </w:pPr>
            <w:r w:rsidRPr="00FC7E23">
              <w:rPr>
                <w:rFonts w:ascii="Arial Narrow" w:hAnsi="Arial Narrow" w:cs="Times New Roman"/>
                <w:b/>
              </w:rPr>
              <w:t>Skutočné čerpanie k</w:t>
            </w:r>
            <w:r>
              <w:rPr>
                <w:rFonts w:ascii="Arial Narrow" w:hAnsi="Arial Narrow" w:cs="Times New Roman"/>
                <w:b/>
              </w:rPr>
              <w:t> 31.12.2007</w:t>
            </w:r>
          </w:p>
        </w:tc>
        <w:tc>
          <w:tcPr>
            <w:tcW w:w="1377" w:type="dxa"/>
            <w:tcBorders>
              <w:top w:val="single" w:sz="4" w:space="0" w:color="auto"/>
              <w:left w:val="single" w:sz="4" w:space="0" w:color="auto"/>
              <w:bottom w:val="single" w:sz="4" w:space="0" w:color="auto"/>
              <w:right w:val="single" w:sz="4" w:space="0" w:color="auto"/>
              <w:tl2br w:val="nil"/>
              <w:tr2bl w:val="nil"/>
            </w:tcBorders>
            <w:shd w:val="clear" w:color="auto" w:fill="CCCCCC"/>
            <w:textDirection w:val="lrTb"/>
            <w:vAlign w:val="center"/>
          </w:tcPr>
          <w:p w:rsidR="00270E65" w:rsidRPr="00FC7E23" w:rsidP="00C362EA">
            <w:pPr>
              <w:spacing w:line="240" w:lineRule="auto"/>
              <w:jc w:val="center"/>
              <w:rPr>
                <w:rFonts w:ascii="Arial Narrow" w:hAnsi="Arial Narrow" w:cs="Times New Roman"/>
                <w:b/>
              </w:rPr>
            </w:pPr>
            <w:r w:rsidR="00F70098">
              <w:rPr>
                <w:rFonts w:ascii="Arial Narrow" w:hAnsi="Arial Narrow" w:cs="Times New Roman"/>
                <w:b/>
              </w:rPr>
              <w:t>Rozdiel</w:t>
            </w:r>
          </w:p>
        </w:tc>
      </w:tr>
      <w:tr>
        <w:tblPrEx>
          <w:tblW w:w="9117" w:type="dxa"/>
          <w:tblInd w:w="108" w:type="dxa"/>
        </w:tblPrEx>
        <w:trPr>
          <w:trHeight w:hRule="auto" w:val="0"/>
        </w:trPr>
        <w:tc>
          <w:tcPr>
            <w:tcW w:w="342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270E65" w:rsidRPr="00DC7250" w:rsidP="00C362EA">
            <w:pPr>
              <w:spacing w:line="240" w:lineRule="auto"/>
              <w:rPr>
                <w:rFonts w:ascii="Arial Narrow" w:hAnsi="Arial Narrow" w:cs="Times New Roman"/>
              </w:rPr>
            </w:pPr>
            <w:r w:rsidRPr="00DC7250">
              <w:rPr>
                <w:rFonts w:ascii="Arial Narrow" w:hAnsi="Arial Narrow" w:cs="Times New Roman"/>
              </w:rPr>
              <w:t>Bežné výdavky (600), z toho:</w:t>
            </w:r>
          </w:p>
        </w:tc>
        <w:tc>
          <w:tcPr>
            <w:tcW w:w="144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270E65" w:rsidRPr="00DC7250" w:rsidP="002F45A0">
            <w:pPr>
              <w:spacing w:line="240" w:lineRule="auto"/>
              <w:jc w:val="right"/>
              <w:rPr>
                <w:rFonts w:ascii="Arial Narrow" w:hAnsi="Arial Narrow" w:cs="Times New Roman"/>
              </w:rPr>
            </w:pPr>
            <w:r>
              <w:rPr>
                <w:rFonts w:ascii="Arial Narrow" w:hAnsi="Arial Narrow" w:cs="Times New Roman"/>
              </w:rPr>
              <w:t>170 734 000,00</w:t>
            </w:r>
          </w:p>
        </w:tc>
        <w:tc>
          <w:tcPr>
            <w:tcW w:w="144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270E65" w:rsidRPr="00DC7250" w:rsidP="002F45A0">
            <w:pPr>
              <w:spacing w:line="240" w:lineRule="auto"/>
              <w:jc w:val="right"/>
              <w:rPr>
                <w:rFonts w:ascii="Arial Narrow" w:hAnsi="Arial Narrow" w:cs="Times New Roman"/>
              </w:rPr>
            </w:pPr>
            <w:r>
              <w:rPr>
                <w:rFonts w:ascii="Arial Narrow" w:hAnsi="Arial Narrow" w:cs="Times New Roman"/>
              </w:rPr>
              <w:t>186 520 269,00</w:t>
            </w:r>
          </w:p>
        </w:tc>
        <w:tc>
          <w:tcPr>
            <w:tcW w:w="144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270E65" w:rsidRPr="00B23854" w:rsidP="002F45A0">
            <w:pPr>
              <w:spacing w:line="240" w:lineRule="auto"/>
              <w:jc w:val="right"/>
              <w:rPr>
                <w:rFonts w:ascii="Arial Narrow" w:hAnsi="Arial Narrow" w:cs="Times New Roman"/>
              </w:rPr>
            </w:pPr>
            <w:r>
              <w:rPr>
                <w:rFonts w:ascii="Arial Narrow" w:hAnsi="Arial Narrow" w:cs="Times New Roman"/>
              </w:rPr>
              <w:t>186 339 053,79</w:t>
            </w:r>
          </w:p>
        </w:tc>
        <w:tc>
          <w:tcPr>
            <w:tcW w:w="1377"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270E65" w:rsidP="002F45A0">
            <w:pPr>
              <w:spacing w:line="240" w:lineRule="auto"/>
              <w:jc w:val="right"/>
              <w:rPr>
                <w:rFonts w:ascii="Arial Narrow" w:hAnsi="Arial Narrow" w:cs="Times New Roman"/>
              </w:rPr>
            </w:pPr>
            <w:r>
              <w:rPr>
                <w:rFonts w:ascii="Arial Narrow" w:hAnsi="Arial Narrow" w:cs="Times New Roman"/>
              </w:rPr>
              <w:t>181 215,21</w:t>
            </w:r>
          </w:p>
        </w:tc>
      </w:tr>
      <w:tr>
        <w:tblPrEx>
          <w:tblW w:w="9117" w:type="dxa"/>
          <w:tblInd w:w="108" w:type="dxa"/>
        </w:tblPrEx>
        <w:trPr>
          <w:trHeight w:hRule="auto" w:val="0"/>
        </w:trPr>
        <w:tc>
          <w:tcPr>
            <w:tcW w:w="342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270E65" w:rsidRPr="00D04D46" w:rsidP="00C362EA">
            <w:pPr>
              <w:spacing w:line="240" w:lineRule="auto"/>
              <w:rPr>
                <w:rFonts w:ascii="Arial Narrow" w:hAnsi="Arial Narrow" w:cs="Times New Roman"/>
              </w:rPr>
            </w:pPr>
            <w:r>
              <w:rPr>
                <w:rFonts w:ascii="Arial Narrow" w:hAnsi="Arial Narrow" w:cs="Times New Roman"/>
              </w:rPr>
              <w:t>Mzdy, platy, sl. príjmy a OOV (610)</w:t>
            </w:r>
          </w:p>
        </w:tc>
        <w:tc>
          <w:tcPr>
            <w:tcW w:w="144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270E65" w:rsidRPr="00D04D46" w:rsidP="002F45A0">
            <w:pPr>
              <w:spacing w:line="240" w:lineRule="auto"/>
              <w:jc w:val="right"/>
              <w:rPr>
                <w:rFonts w:ascii="Arial Narrow" w:hAnsi="Arial Narrow" w:cs="Times New Roman"/>
              </w:rPr>
            </w:pPr>
            <w:r>
              <w:rPr>
                <w:rFonts w:ascii="Arial Narrow" w:hAnsi="Arial Narrow" w:cs="Times New Roman"/>
              </w:rPr>
              <w:t>93 030 000,00</w:t>
            </w:r>
          </w:p>
        </w:tc>
        <w:tc>
          <w:tcPr>
            <w:tcW w:w="144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270E65" w:rsidRPr="00D04D46" w:rsidP="002F45A0">
            <w:pPr>
              <w:spacing w:line="240" w:lineRule="auto"/>
              <w:jc w:val="right"/>
              <w:rPr>
                <w:rFonts w:ascii="Arial Narrow" w:hAnsi="Arial Narrow" w:cs="Times New Roman"/>
              </w:rPr>
            </w:pPr>
            <w:r>
              <w:rPr>
                <w:rFonts w:ascii="Arial Narrow" w:hAnsi="Arial Narrow" w:cs="Times New Roman"/>
              </w:rPr>
              <w:t>99 418 317,00</w:t>
            </w:r>
          </w:p>
        </w:tc>
        <w:tc>
          <w:tcPr>
            <w:tcW w:w="144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270E65" w:rsidRPr="00B23854" w:rsidP="002F45A0">
            <w:pPr>
              <w:spacing w:line="240" w:lineRule="auto"/>
              <w:jc w:val="right"/>
              <w:rPr>
                <w:rFonts w:ascii="Arial Narrow" w:hAnsi="Arial Narrow" w:cs="Times New Roman"/>
              </w:rPr>
            </w:pPr>
            <w:r>
              <w:rPr>
                <w:rFonts w:ascii="Arial Narrow" w:hAnsi="Arial Narrow" w:cs="Times New Roman"/>
              </w:rPr>
              <w:t>99 418 </w:t>
            </w:r>
            <w:r>
              <w:rPr>
                <w:rFonts w:ascii="Arial Narrow" w:hAnsi="Arial Narrow" w:cs="Times New Roman"/>
              </w:rPr>
              <w:t>317,00</w:t>
            </w:r>
          </w:p>
        </w:tc>
        <w:tc>
          <w:tcPr>
            <w:tcW w:w="1377"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270E65" w:rsidP="002F45A0">
            <w:pPr>
              <w:spacing w:line="240" w:lineRule="auto"/>
              <w:jc w:val="right"/>
              <w:rPr>
                <w:rFonts w:ascii="Arial Narrow" w:hAnsi="Arial Narrow" w:cs="Times New Roman"/>
              </w:rPr>
            </w:pPr>
            <w:r>
              <w:rPr>
                <w:rFonts w:ascii="Arial Narrow" w:hAnsi="Arial Narrow" w:cs="Times New Roman"/>
              </w:rPr>
              <w:t>0,00</w:t>
            </w:r>
          </w:p>
        </w:tc>
      </w:tr>
      <w:tr>
        <w:tblPrEx>
          <w:tblW w:w="9117" w:type="dxa"/>
          <w:tblInd w:w="108" w:type="dxa"/>
        </w:tblPrEx>
        <w:trPr>
          <w:trHeight w:hRule="auto" w:val="0"/>
        </w:trPr>
        <w:tc>
          <w:tcPr>
            <w:tcW w:w="342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270E65" w:rsidRPr="00D04D46" w:rsidP="00C362EA">
            <w:pPr>
              <w:spacing w:line="240" w:lineRule="auto"/>
              <w:rPr>
                <w:rFonts w:ascii="Arial Narrow" w:hAnsi="Arial Narrow" w:cs="Times New Roman"/>
              </w:rPr>
            </w:pPr>
            <w:r>
              <w:rPr>
                <w:rFonts w:ascii="Arial Narrow" w:hAnsi="Arial Narrow" w:cs="Times New Roman"/>
              </w:rPr>
              <w:t>Poistné a príspevok do poisťovní (620)</w:t>
            </w:r>
          </w:p>
        </w:tc>
        <w:tc>
          <w:tcPr>
            <w:tcW w:w="144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270E65" w:rsidRPr="00D04D46" w:rsidP="002F45A0">
            <w:pPr>
              <w:spacing w:line="240" w:lineRule="auto"/>
              <w:jc w:val="right"/>
              <w:rPr>
                <w:rFonts w:ascii="Arial Narrow" w:hAnsi="Arial Narrow" w:cs="Times New Roman"/>
              </w:rPr>
            </w:pPr>
            <w:r>
              <w:rPr>
                <w:rFonts w:ascii="Arial Narrow" w:hAnsi="Arial Narrow" w:cs="Times New Roman"/>
              </w:rPr>
              <w:t>33 117 000,00</w:t>
            </w:r>
          </w:p>
        </w:tc>
        <w:tc>
          <w:tcPr>
            <w:tcW w:w="144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270E65" w:rsidRPr="00D04D46" w:rsidP="002F45A0">
            <w:pPr>
              <w:spacing w:line="240" w:lineRule="auto"/>
              <w:jc w:val="right"/>
              <w:rPr>
                <w:rFonts w:ascii="Arial Narrow" w:hAnsi="Arial Narrow" w:cs="Times New Roman"/>
              </w:rPr>
            </w:pPr>
            <w:r>
              <w:rPr>
                <w:rFonts w:ascii="Arial Narrow" w:hAnsi="Arial Narrow" w:cs="Times New Roman"/>
              </w:rPr>
              <w:t>35 829 049,00</w:t>
            </w:r>
          </w:p>
        </w:tc>
        <w:tc>
          <w:tcPr>
            <w:tcW w:w="144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270E65" w:rsidRPr="00B23854" w:rsidP="002F45A0">
            <w:pPr>
              <w:spacing w:line="240" w:lineRule="auto"/>
              <w:jc w:val="right"/>
              <w:rPr>
                <w:rFonts w:ascii="Arial Narrow" w:hAnsi="Arial Narrow" w:cs="Times New Roman"/>
              </w:rPr>
            </w:pPr>
            <w:r>
              <w:rPr>
                <w:rFonts w:ascii="Arial Narrow" w:hAnsi="Arial Narrow" w:cs="Times New Roman"/>
              </w:rPr>
              <w:t>35 817 683,00</w:t>
            </w:r>
          </w:p>
        </w:tc>
        <w:tc>
          <w:tcPr>
            <w:tcW w:w="1377"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270E65" w:rsidP="002F45A0">
            <w:pPr>
              <w:spacing w:line="240" w:lineRule="auto"/>
              <w:jc w:val="right"/>
              <w:rPr>
                <w:rFonts w:ascii="Arial Narrow" w:hAnsi="Arial Narrow" w:cs="Times New Roman"/>
              </w:rPr>
            </w:pPr>
            <w:r>
              <w:rPr>
                <w:rFonts w:ascii="Arial Narrow" w:hAnsi="Arial Narrow" w:cs="Times New Roman"/>
              </w:rPr>
              <w:t>11 366,00</w:t>
            </w:r>
          </w:p>
        </w:tc>
      </w:tr>
      <w:tr>
        <w:tblPrEx>
          <w:tblW w:w="9117" w:type="dxa"/>
          <w:tblInd w:w="108" w:type="dxa"/>
        </w:tblPrEx>
        <w:trPr>
          <w:trHeight w:hRule="auto" w:val="0"/>
        </w:trPr>
        <w:tc>
          <w:tcPr>
            <w:tcW w:w="342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270E65" w:rsidRPr="00D04D46" w:rsidP="00C362EA">
            <w:pPr>
              <w:spacing w:line="240" w:lineRule="auto"/>
              <w:rPr>
                <w:rFonts w:ascii="Arial Narrow" w:hAnsi="Arial Narrow" w:cs="Times New Roman"/>
              </w:rPr>
            </w:pPr>
            <w:r>
              <w:rPr>
                <w:rFonts w:ascii="Arial Narrow" w:hAnsi="Arial Narrow" w:cs="Times New Roman"/>
              </w:rPr>
              <w:t>Tovary a služby (630)</w:t>
            </w:r>
          </w:p>
        </w:tc>
        <w:tc>
          <w:tcPr>
            <w:tcW w:w="144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270E65" w:rsidRPr="00D04D46" w:rsidP="002F45A0">
            <w:pPr>
              <w:spacing w:line="240" w:lineRule="auto"/>
              <w:jc w:val="right"/>
              <w:rPr>
                <w:rFonts w:ascii="Arial Narrow" w:hAnsi="Arial Narrow" w:cs="Times New Roman"/>
              </w:rPr>
            </w:pPr>
            <w:r>
              <w:rPr>
                <w:rFonts w:ascii="Arial Narrow" w:hAnsi="Arial Narrow" w:cs="Times New Roman"/>
              </w:rPr>
              <w:t>43 883 000,00</w:t>
            </w:r>
          </w:p>
        </w:tc>
        <w:tc>
          <w:tcPr>
            <w:tcW w:w="144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270E65" w:rsidRPr="00D04D46" w:rsidP="002F45A0">
            <w:pPr>
              <w:spacing w:line="240" w:lineRule="auto"/>
              <w:jc w:val="right"/>
              <w:rPr>
                <w:rFonts w:ascii="Arial Narrow" w:hAnsi="Arial Narrow" w:cs="Times New Roman"/>
              </w:rPr>
            </w:pPr>
            <w:r>
              <w:rPr>
                <w:rFonts w:ascii="Arial Narrow" w:hAnsi="Arial Narrow" w:cs="Times New Roman"/>
              </w:rPr>
              <w:t>41 639 345,00</w:t>
            </w:r>
          </w:p>
        </w:tc>
        <w:tc>
          <w:tcPr>
            <w:tcW w:w="144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270E65" w:rsidRPr="00B23854" w:rsidP="002F45A0">
            <w:pPr>
              <w:spacing w:line="240" w:lineRule="auto"/>
              <w:jc w:val="right"/>
              <w:rPr>
                <w:rFonts w:ascii="Arial Narrow" w:hAnsi="Arial Narrow" w:cs="Times New Roman"/>
              </w:rPr>
            </w:pPr>
            <w:r>
              <w:rPr>
                <w:rFonts w:ascii="Arial Narrow" w:hAnsi="Arial Narrow" w:cs="Times New Roman"/>
              </w:rPr>
              <w:t>41 628 059,29</w:t>
            </w:r>
          </w:p>
        </w:tc>
        <w:tc>
          <w:tcPr>
            <w:tcW w:w="1377"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270E65" w:rsidP="002F45A0">
            <w:pPr>
              <w:spacing w:line="240" w:lineRule="auto"/>
              <w:jc w:val="right"/>
              <w:rPr>
                <w:rFonts w:ascii="Arial Narrow" w:hAnsi="Arial Narrow" w:cs="Times New Roman"/>
              </w:rPr>
            </w:pPr>
            <w:r>
              <w:rPr>
                <w:rFonts w:ascii="Arial Narrow" w:hAnsi="Arial Narrow" w:cs="Times New Roman"/>
              </w:rPr>
              <w:t>11 285,71</w:t>
            </w:r>
          </w:p>
        </w:tc>
      </w:tr>
      <w:tr>
        <w:tblPrEx>
          <w:tblW w:w="9117" w:type="dxa"/>
          <w:tblInd w:w="108" w:type="dxa"/>
        </w:tblPrEx>
        <w:trPr>
          <w:trHeight w:hRule="auto" w:val="0"/>
        </w:trPr>
        <w:tc>
          <w:tcPr>
            <w:tcW w:w="342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270E65" w:rsidRPr="00D04D46" w:rsidP="00C362EA">
            <w:pPr>
              <w:spacing w:line="240" w:lineRule="auto"/>
              <w:rPr>
                <w:rFonts w:ascii="Arial Narrow" w:hAnsi="Arial Narrow" w:cs="Times New Roman"/>
              </w:rPr>
            </w:pPr>
            <w:r>
              <w:rPr>
                <w:rFonts w:ascii="Arial Narrow" w:hAnsi="Arial Narrow" w:cs="Times New Roman"/>
              </w:rPr>
              <w:t>Bežné transfery (640)</w:t>
            </w:r>
          </w:p>
        </w:tc>
        <w:tc>
          <w:tcPr>
            <w:tcW w:w="144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270E65" w:rsidRPr="00D04D46" w:rsidP="002F45A0">
            <w:pPr>
              <w:spacing w:line="240" w:lineRule="auto"/>
              <w:jc w:val="right"/>
              <w:rPr>
                <w:rFonts w:ascii="Arial Narrow" w:hAnsi="Arial Narrow" w:cs="Times New Roman"/>
              </w:rPr>
            </w:pPr>
            <w:r>
              <w:rPr>
                <w:rFonts w:ascii="Arial Narrow" w:hAnsi="Arial Narrow" w:cs="Times New Roman"/>
              </w:rPr>
              <w:t>704 000,00</w:t>
            </w:r>
          </w:p>
        </w:tc>
        <w:tc>
          <w:tcPr>
            <w:tcW w:w="144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270E65" w:rsidRPr="00D04D46" w:rsidP="002F45A0">
            <w:pPr>
              <w:spacing w:line="240" w:lineRule="auto"/>
              <w:jc w:val="right"/>
              <w:rPr>
                <w:rFonts w:ascii="Arial Narrow" w:hAnsi="Arial Narrow" w:cs="Times New Roman"/>
              </w:rPr>
            </w:pPr>
            <w:r>
              <w:rPr>
                <w:rFonts w:ascii="Arial Narrow" w:hAnsi="Arial Narrow" w:cs="Times New Roman"/>
              </w:rPr>
              <w:t>9 633 558,00</w:t>
            </w:r>
          </w:p>
        </w:tc>
        <w:tc>
          <w:tcPr>
            <w:tcW w:w="144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270E65" w:rsidRPr="00B23854" w:rsidP="002F45A0">
            <w:pPr>
              <w:spacing w:line="240" w:lineRule="auto"/>
              <w:jc w:val="right"/>
              <w:rPr>
                <w:rFonts w:ascii="Arial Narrow" w:hAnsi="Arial Narrow" w:cs="Times New Roman"/>
              </w:rPr>
            </w:pPr>
            <w:r>
              <w:rPr>
                <w:rFonts w:ascii="Arial Narrow" w:hAnsi="Arial Narrow" w:cs="Times New Roman"/>
              </w:rPr>
              <w:t>9 474 994,50</w:t>
            </w:r>
          </w:p>
        </w:tc>
        <w:tc>
          <w:tcPr>
            <w:tcW w:w="1377"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270E65" w:rsidP="002F45A0">
            <w:pPr>
              <w:spacing w:line="240" w:lineRule="auto"/>
              <w:jc w:val="right"/>
              <w:rPr>
                <w:rFonts w:ascii="Arial Narrow" w:hAnsi="Arial Narrow" w:cs="Times New Roman"/>
              </w:rPr>
            </w:pPr>
            <w:r>
              <w:rPr>
                <w:rFonts w:ascii="Arial Narrow" w:hAnsi="Arial Narrow" w:cs="Times New Roman"/>
              </w:rPr>
              <w:t>158 563,50</w:t>
            </w:r>
          </w:p>
        </w:tc>
      </w:tr>
      <w:tr>
        <w:tblPrEx>
          <w:tblW w:w="9117" w:type="dxa"/>
          <w:tblInd w:w="108" w:type="dxa"/>
        </w:tblPrEx>
        <w:trPr>
          <w:trHeight w:hRule="auto" w:val="0"/>
        </w:trPr>
        <w:tc>
          <w:tcPr>
            <w:tcW w:w="342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270E65" w:rsidP="00C362EA">
            <w:pPr>
              <w:spacing w:line="240" w:lineRule="auto"/>
              <w:rPr>
                <w:rFonts w:ascii="Arial Narrow" w:hAnsi="Arial Narrow" w:cs="Times New Roman"/>
              </w:rPr>
            </w:pPr>
            <w:r>
              <w:rPr>
                <w:rFonts w:ascii="Arial Narrow" w:hAnsi="Arial Narrow" w:cs="Times New Roman"/>
              </w:rPr>
              <w:t>Kapit</w:t>
            </w:r>
            <w:r>
              <w:rPr>
                <w:rFonts w:ascii="Arial Narrow" w:hAnsi="Arial Narrow" w:cs="Times New Roman"/>
              </w:rPr>
              <w:t>álové výdavky (710)</w:t>
            </w:r>
          </w:p>
        </w:tc>
        <w:tc>
          <w:tcPr>
            <w:tcW w:w="144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270E65" w:rsidRPr="00D04D46" w:rsidP="002F45A0">
            <w:pPr>
              <w:spacing w:line="240" w:lineRule="auto"/>
              <w:jc w:val="right"/>
              <w:rPr>
                <w:rFonts w:ascii="Arial Narrow" w:hAnsi="Arial Narrow" w:cs="Times New Roman"/>
              </w:rPr>
            </w:pPr>
            <w:r>
              <w:rPr>
                <w:rFonts w:ascii="Arial Narrow" w:hAnsi="Arial Narrow" w:cs="Times New Roman"/>
              </w:rPr>
              <w:t>6 000 000,00</w:t>
            </w:r>
          </w:p>
        </w:tc>
        <w:tc>
          <w:tcPr>
            <w:tcW w:w="144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270E65" w:rsidRPr="00D04D46" w:rsidP="002F45A0">
            <w:pPr>
              <w:spacing w:line="240" w:lineRule="auto"/>
              <w:jc w:val="right"/>
              <w:rPr>
                <w:rFonts w:ascii="Arial Narrow" w:hAnsi="Arial Narrow" w:cs="Times New Roman"/>
              </w:rPr>
            </w:pPr>
            <w:r>
              <w:rPr>
                <w:rFonts w:ascii="Arial Narrow" w:hAnsi="Arial Narrow" w:cs="Times New Roman"/>
              </w:rPr>
              <w:t>5 308 341</w:t>
            </w:r>
            <w:r w:rsidR="00981093">
              <w:rPr>
                <w:rFonts w:ascii="Arial Narrow" w:hAnsi="Arial Narrow" w:cs="Times New Roman"/>
              </w:rPr>
              <w:t>,5</w:t>
            </w:r>
            <w:r>
              <w:rPr>
                <w:rFonts w:ascii="Arial Narrow" w:hAnsi="Arial Narrow" w:cs="Times New Roman"/>
              </w:rPr>
              <w:t>0</w:t>
            </w:r>
          </w:p>
        </w:tc>
        <w:tc>
          <w:tcPr>
            <w:tcW w:w="144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270E65" w:rsidRPr="00B23854" w:rsidP="002F45A0">
            <w:pPr>
              <w:spacing w:line="240" w:lineRule="auto"/>
              <w:jc w:val="right"/>
              <w:rPr>
                <w:rFonts w:ascii="Arial Narrow" w:hAnsi="Arial Narrow" w:cs="Times New Roman"/>
              </w:rPr>
            </w:pPr>
            <w:r>
              <w:rPr>
                <w:rFonts w:ascii="Arial Narrow" w:hAnsi="Arial Narrow" w:cs="Times New Roman"/>
              </w:rPr>
              <w:t>5 307 771,50</w:t>
            </w:r>
          </w:p>
        </w:tc>
        <w:tc>
          <w:tcPr>
            <w:tcW w:w="1377"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270E65" w:rsidP="002F45A0">
            <w:pPr>
              <w:spacing w:line="240" w:lineRule="auto"/>
              <w:jc w:val="right"/>
              <w:rPr>
                <w:rFonts w:ascii="Arial Narrow" w:hAnsi="Arial Narrow" w:cs="Times New Roman"/>
              </w:rPr>
            </w:pPr>
            <w:r w:rsidR="00981093">
              <w:rPr>
                <w:rFonts w:ascii="Arial Narrow" w:hAnsi="Arial Narrow" w:cs="Times New Roman"/>
              </w:rPr>
              <w:t>570</w:t>
            </w:r>
          </w:p>
        </w:tc>
      </w:tr>
      <w:tr>
        <w:tblPrEx>
          <w:tblW w:w="9117" w:type="dxa"/>
          <w:tblInd w:w="108" w:type="dxa"/>
        </w:tblPrEx>
        <w:trPr>
          <w:trHeight w:hRule="auto" w:val="0"/>
        </w:trPr>
        <w:tc>
          <w:tcPr>
            <w:tcW w:w="3420" w:type="dxa"/>
            <w:tcBorders>
              <w:top w:val="single" w:sz="4" w:space="0" w:color="auto"/>
              <w:left w:val="single" w:sz="4" w:space="0" w:color="auto"/>
              <w:bottom w:val="single" w:sz="4" w:space="0" w:color="auto"/>
              <w:right w:val="single" w:sz="4" w:space="0" w:color="auto"/>
              <w:tl2br w:val="nil"/>
              <w:tr2bl w:val="nil"/>
            </w:tcBorders>
            <w:shd w:val="clear" w:color="auto" w:fill="C0C0C0"/>
            <w:textDirection w:val="lrTb"/>
            <w:vAlign w:val="center"/>
          </w:tcPr>
          <w:p w:rsidR="00270E65" w:rsidRPr="00FC7E23" w:rsidP="00C362EA">
            <w:pPr>
              <w:spacing w:line="240" w:lineRule="auto"/>
              <w:rPr>
                <w:rFonts w:ascii="Arial Narrow" w:hAnsi="Arial Narrow" w:cs="Times New Roman"/>
                <w:b/>
              </w:rPr>
            </w:pPr>
            <w:r w:rsidRPr="00FC7E23">
              <w:rPr>
                <w:rFonts w:ascii="Arial Narrow" w:hAnsi="Arial Narrow" w:cs="Times New Roman"/>
                <w:b/>
              </w:rPr>
              <w:t>SPOLU</w:t>
            </w:r>
          </w:p>
        </w:tc>
        <w:tc>
          <w:tcPr>
            <w:tcW w:w="1440" w:type="dxa"/>
            <w:tcBorders>
              <w:top w:val="single" w:sz="4" w:space="0" w:color="auto"/>
              <w:left w:val="single" w:sz="4" w:space="0" w:color="auto"/>
              <w:bottom w:val="single" w:sz="4" w:space="0" w:color="auto"/>
              <w:right w:val="single" w:sz="4" w:space="0" w:color="auto"/>
              <w:tl2br w:val="nil"/>
              <w:tr2bl w:val="nil"/>
            </w:tcBorders>
            <w:shd w:val="clear" w:color="auto" w:fill="C0C0C0"/>
            <w:textDirection w:val="lrTb"/>
            <w:vAlign w:val="center"/>
          </w:tcPr>
          <w:p w:rsidR="00270E65" w:rsidRPr="00FC7E23" w:rsidP="002F45A0">
            <w:pPr>
              <w:spacing w:line="240" w:lineRule="auto"/>
              <w:jc w:val="right"/>
              <w:rPr>
                <w:rFonts w:ascii="Arial Narrow" w:hAnsi="Arial Narrow" w:cs="Times New Roman"/>
                <w:b/>
              </w:rPr>
            </w:pPr>
            <w:r>
              <w:rPr>
                <w:rFonts w:ascii="Arial Narrow" w:hAnsi="Arial Narrow" w:cs="Times New Roman"/>
                <w:b/>
              </w:rPr>
              <w:t>176 734 000,00</w:t>
            </w:r>
          </w:p>
        </w:tc>
        <w:tc>
          <w:tcPr>
            <w:tcW w:w="1440" w:type="dxa"/>
            <w:tcBorders>
              <w:top w:val="single" w:sz="4" w:space="0" w:color="auto"/>
              <w:left w:val="single" w:sz="4" w:space="0" w:color="auto"/>
              <w:bottom w:val="single" w:sz="4" w:space="0" w:color="auto"/>
              <w:right w:val="single" w:sz="4" w:space="0" w:color="auto"/>
              <w:tl2br w:val="nil"/>
              <w:tr2bl w:val="nil"/>
            </w:tcBorders>
            <w:shd w:val="clear" w:color="auto" w:fill="C0C0C0"/>
            <w:textDirection w:val="lrTb"/>
            <w:vAlign w:val="center"/>
          </w:tcPr>
          <w:p w:rsidR="00270E65" w:rsidRPr="00FC7E23" w:rsidP="002F45A0">
            <w:pPr>
              <w:spacing w:line="240" w:lineRule="auto"/>
              <w:jc w:val="right"/>
              <w:rPr>
                <w:rFonts w:ascii="Arial Narrow" w:hAnsi="Arial Narrow" w:cs="Times New Roman"/>
                <w:b/>
              </w:rPr>
            </w:pPr>
            <w:r>
              <w:rPr>
                <w:rFonts w:ascii="Arial Narrow" w:hAnsi="Arial Narrow" w:cs="Times New Roman"/>
                <w:b/>
              </w:rPr>
              <w:t>191 828 610,50</w:t>
            </w:r>
          </w:p>
        </w:tc>
        <w:tc>
          <w:tcPr>
            <w:tcW w:w="1440" w:type="dxa"/>
            <w:tcBorders>
              <w:top w:val="single" w:sz="4" w:space="0" w:color="auto"/>
              <w:left w:val="single" w:sz="4" w:space="0" w:color="auto"/>
              <w:bottom w:val="single" w:sz="4" w:space="0" w:color="auto"/>
              <w:right w:val="single" w:sz="4" w:space="0" w:color="auto"/>
              <w:tl2br w:val="nil"/>
              <w:tr2bl w:val="nil"/>
            </w:tcBorders>
            <w:shd w:val="clear" w:color="auto" w:fill="C0C0C0"/>
            <w:textDirection w:val="lrTb"/>
            <w:vAlign w:val="center"/>
          </w:tcPr>
          <w:p w:rsidR="00270E65" w:rsidRPr="00FC7E23" w:rsidP="002F45A0">
            <w:pPr>
              <w:spacing w:line="240" w:lineRule="auto"/>
              <w:jc w:val="right"/>
              <w:rPr>
                <w:rFonts w:ascii="Arial Narrow" w:hAnsi="Arial Narrow" w:cs="Times New Roman"/>
                <w:b/>
              </w:rPr>
            </w:pPr>
            <w:r>
              <w:rPr>
                <w:rFonts w:ascii="Arial Narrow" w:hAnsi="Arial Narrow" w:cs="Times New Roman"/>
                <w:b/>
              </w:rPr>
              <w:t>191 646 825,29</w:t>
            </w:r>
          </w:p>
        </w:tc>
        <w:tc>
          <w:tcPr>
            <w:tcW w:w="1377" w:type="dxa"/>
            <w:tcBorders>
              <w:top w:val="single" w:sz="4" w:space="0" w:color="auto"/>
              <w:left w:val="single" w:sz="4" w:space="0" w:color="auto"/>
              <w:bottom w:val="single" w:sz="4" w:space="0" w:color="auto"/>
              <w:right w:val="single" w:sz="4" w:space="0" w:color="auto"/>
              <w:tl2br w:val="nil"/>
              <w:tr2bl w:val="nil"/>
            </w:tcBorders>
            <w:shd w:val="clear" w:color="auto" w:fill="C0C0C0"/>
            <w:textDirection w:val="lrTb"/>
            <w:vAlign w:val="center"/>
          </w:tcPr>
          <w:p w:rsidR="00270E65" w:rsidP="002F45A0">
            <w:pPr>
              <w:spacing w:line="240" w:lineRule="auto"/>
              <w:jc w:val="right"/>
              <w:rPr>
                <w:rFonts w:ascii="Arial Narrow" w:hAnsi="Arial Narrow" w:cs="Times New Roman"/>
                <w:b/>
              </w:rPr>
            </w:pPr>
            <w:r>
              <w:rPr>
                <w:rFonts w:ascii="Arial Narrow" w:hAnsi="Arial Narrow" w:cs="Times New Roman"/>
                <w:b/>
              </w:rPr>
              <w:t>181 </w:t>
            </w:r>
            <w:r w:rsidR="00981093">
              <w:rPr>
                <w:rFonts w:ascii="Arial Narrow" w:hAnsi="Arial Narrow" w:cs="Times New Roman"/>
                <w:b/>
              </w:rPr>
              <w:t>785</w:t>
            </w:r>
            <w:r>
              <w:rPr>
                <w:rFonts w:ascii="Arial Narrow" w:hAnsi="Arial Narrow" w:cs="Times New Roman"/>
                <w:b/>
              </w:rPr>
              <w:t>,</w:t>
            </w:r>
            <w:r w:rsidR="00981093">
              <w:rPr>
                <w:rFonts w:ascii="Arial Narrow" w:hAnsi="Arial Narrow" w:cs="Times New Roman"/>
                <w:b/>
              </w:rPr>
              <w:t>2</w:t>
            </w:r>
            <w:r>
              <w:rPr>
                <w:rFonts w:ascii="Arial Narrow" w:hAnsi="Arial Narrow" w:cs="Times New Roman"/>
                <w:b/>
              </w:rPr>
              <w:t>1</w:t>
            </w:r>
          </w:p>
        </w:tc>
      </w:tr>
    </w:tbl>
    <w:p w:rsidR="004B593A" w:rsidP="00300F7C">
      <w:pPr>
        <w:pStyle w:val="Title"/>
        <w:spacing w:line="240" w:lineRule="auto"/>
        <w:jc w:val="both"/>
        <w:rPr>
          <w:rFonts w:ascii="Times New Roman" w:hAnsi="Times New Roman" w:cs="Times New Roman"/>
        </w:rPr>
      </w:pPr>
    </w:p>
    <w:p w:rsidR="00C30D3E" w:rsidRPr="00023E03" w:rsidP="00300F7C">
      <w:pPr>
        <w:spacing w:line="240" w:lineRule="auto"/>
        <w:ind w:firstLine="708"/>
        <w:rPr>
          <w:rFonts w:ascii="Times New Roman" w:hAnsi="Times New Roman" w:cs="Times New Roman"/>
          <w:sz w:val="24"/>
          <w:szCs w:val="24"/>
        </w:rPr>
      </w:pPr>
      <w:r w:rsidRPr="00023E03" w:rsidR="00023E03">
        <w:rPr>
          <w:rFonts w:ascii="Times New Roman" w:hAnsi="Times New Roman" w:cs="Times New Roman"/>
          <w:sz w:val="24"/>
          <w:szCs w:val="24"/>
        </w:rPr>
        <w:t>Bežné výdavky boli čerpané na mzdy, platy, služobn</w:t>
      </w:r>
      <w:r w:rsidR="00085666">
        <w:rPr>
          <w:rFonts w:ascii="Times New Roman" w:hAnsi="Times New Roman" w:cs="Times New Roman"/>
          <w:sz w:val="24"/>
          <w:szCs w:val="24"/>
        </w:rPr>
        <w:t xml:space="preserve">é príjmy a OOV v </w:t>
      </w:r>
      <w:r w:rsidR="006A44AF">
        <w:rPr>
          <w:rFonts w:ascii="Times New Roman" w:hAnsi="Times New Roman" w:cs="Times New Roman"/>
          <w:sz w:val="24"/>
          <w:szCs w:val="24"/>
        </w:rPr>
        <w:t xml:space="preserve">100 %-nej výške a primerane </w:t>
      </w:r>
      <w:r w:rsidR="00023E03">
        <w:rPr>
          <w:rFonts w:ascii="Times New Roman" w:hAnsi="Times New Roman" w:cs="Times New Roman"/>
          <w:sz w:val="24"/>
          <w:szCs w:val="24"/>
        </w:rPr>
        <w:t xml:space="preserve">k mzdovým prostriedkom aj </w:t>
      </w:r>
      <w:r w:rsidR="001445D1">
        <w:rPr>
          <w:rFonts w:ascii="Times New Roman" w:hAnsi="Times New Roman" w:cs="Times New Roman"/>
          <w:sz w:val="24"/>
          <w:szCs w:val="24"/>
        </w:rPr>
        <w:t xml:space="preserve">na </w:t>
      </w:r>
      <w:r w:rsidR="00023E03">
        <w:rPr>
          <w:rFonts w:ascii="Times New Roman" w:hAnsi="Times New Roman" w:cs="Times New Roman"/>
          <w:sz w:val="24"/>
          <w:szCs w:val="24"/>
        </w:rPr>
        <w:t xml:space="preserve">poistné a príspevok do poisťovní. </w:t>
      </w:r>
    </w:p>
    <w:p w:rsidR="003C3B6A" w:rsidP="003C3B6A">
      <w:pPr>
        <w:spacing w:line="240" w:lineRule="auto"/>
        <w:ind w:firstLine="708"/>
        <w:rPr>
          <w:rFonts w:ascii="Times New Roman" w:hAnsi="Times New Roman" w:cs="Times New Roman"/>
          <w:color w:val="000000"/>
          <w:sz w:val="24"/>
          <w:szCs w:val="24"/>
        </w:rPr>
      </w:pPr>
    </w:p>
    <w:p w:rsidR="003C3B6A" w:rsidP="003C3B6A">
      <w:pPr>
        <w:spacing w:line="240" w:lineRule="auto"/>
        <w:ind w:firstLine="708"/>
        <w:rPr>
          <w:rFonts w:ascii="Times New Roman" w:hAnsi="Times New Roman" w:cs="Times New Roman"/>
          <w:sz w:val="24"/>
          <w:szCs w:val="24"/>
        </w:rPr>
      </w:pPr>
      <w:r w:rsidR="00023E03">
        <w:rPr>
          <w:rFonts w:ascii="Times New Roman" w:hAnsi="Times New Roman" w:cs="Times New Roman"/>
          <w:color w:val="000000"/>
          <w:sz w:val="24"/>
          <w:szCs w:val="24"/>
        </w:rPr>
        <w:t xml:space="preserve">V kategórii 630 – </w:t>
      </w:r>
      <w:r w:rsidRPr="00023E03" w:rsidR="00023E03">
        <w:rPr>
          <w:rFonts w:ascii="Times New Roman" w:hAnsi="Times New Roman" w:cs="Times New Roman"/>
          <w:color w:val="000000"/>
          <w:sz w:val="24"/>
          <w:szCs w:val="24"/>
        </w:rPr>
        <w:t xml:space="preserve">tovary a služby bolo čerpanie </w:t>
      </w:r>
      <w:r w:rsidR="001445D1">
        <w:rPr>
          <w:rFonts w:ascii="Times New Roman" w:hAnsi="Times New Roman" w:cs="Times New Roman"/>
          <w:color w:val="000000"/>
          <w:sz w:val="24"/>
          <w:szCs w:val="24"/>
        </w:rPr>
        <w:t xml:space="preserve">výdavkov </w:t>
      </w:r>
      <w:r w:rsidRPr="00023E03" w:rsidR="00023E03">
        <w:rPr>
          <w:rFonts w:ascii="Times New Roman" w:hAnsi="Times New Roman" w:cs="Times New Roman"/>
          <w:color w:val="000000"/>
          <w:sz w:val="24"/>
          <w:szCs w:val="24"/>
        </w:rPr>
        <w:t>v prevažnej mie</w:t>
      </w:r>
      <w:r w:rsidR="00023E03">
        <w:rPr>
          <w:rFonts w:ascii="Times New Roman" w:hAnsi="Times New Roman" w:cs="Times New Roman"/>
          <w:color w:val="000000"/>
          <w:sz w:val="24"/>
          <w:szCs w:val="24"/>
        </w:rPr>
        <w:t xml:space="preserve">re za elektrickú energiu, </w:t>
      </w:r>
      <w:r w:rsidR="008D27E4">
        <w:rPr>
          <w:rFonts w:ascii="Times New Roman" w:hAnsi="Times New Roman" w:cs="Times New Roman"/>
          <w:color w:val="000000"/>
          <w:sz w:val="24"/>
          <w:szCs w:val="24"/>
        </w:rPr>
        <w:t xml:space="preserve">vodné a stočné, </w:t>
      </w:r>
      <w:r w:rsidRPr="00023E03" w:rsidR="00023E03">
        <w:rPr>
          <w:rFonts w:ascii="Times New Roman" w:hAnsi="Times New Roman" w:cs="Times New Roman"/>
          <w:color w:val="000000"/>
          <w:sz w:val="24"/>
          <w:szCs w:val="24"/>
        </w:rPr>
        <w:t>telekomunikačné</w:t>
      </w:r>
      <w:r w:rsidR="00023E03">
        <w:rPr>
          <w:rFonts w:ascii="Times New Roman" w:hAnsi="Times New Roman" w:cs="Times New Roman"/>
          <w:color w:val="000000"/>
          <w:sz w:val="24"/>
          <w:szCs w:val="24"/>
        </w:rPr>
        <w:t xml:space="preserve"> poplatky, </w:t>
      </w:r>
      <w:r w:rsidR="008D27E4">
        <w:rPr>
          <w:rFonts w:ascii="Times New Roman" w:hAnsi="Times New Roman" w:cs="Times New Roman"/>
          <w:color w:val="000000"/>
          <w:sz w:val="24"/>
          <w:szCs w:val="24"/>
        </w:rPr>
        <w:t xml:space="preserve">kancelársky </w:t>
      </w:r>
      <w:r w:rsidRPr="00023E03" w:rsidR="00023E03">
        <w:rPr>
          <w:rFonts w:ascii="Times New Roman" w:hAnsi="Times New Roman" w:cs="Times New Roman"/>
          <w:color w:val="000000"/>
          <w:sz w:val="24"/>
          <w:szCs w:val="24"/>
        </w:rPr>
        <w:t>materiál</w:t>
      </w:r>
      <w:r w:rsidR="008D27E4">
        <w:rPr>
          <w:rFonts w:ascii="Times New Roman" w:hAnsi="Times New Roman" w:cs="Times New Roman"/>
          <w:color w:val="000000"/>
          <w:sz w:val="24"/>
          <w:szCs w:val="24"/>
        </w:rPr>
        <w:t xml:space="preserve">, </w:t>
      </w:r>
      <w:r w:rsidR="008D27E4">
        <w:rPr>
          <w:rFonts w:ascii="Times New Roman" w:hAnsi="Times New Roman" w:cs="Times New Roman"/>
          <w:sz w:val="24"/>
          <w:szCs w:val="24"/>
        </w:rPr>
        <w:t xml:space="preserve">výpočtovú techniku, </w:t>
      </w:r>
      <w:r w:rsidRPr="00023E03" w:rsidR="00023E03">
        <w:rPr>
          <w:rFonts w:ascii="Times New Roman" w:hAnsi="Times New Roman" w:cs="Times New Roman"/>
          <w:sz w:val="24"/>
          <w:szCs w:val="24"/>
        </w:rPr>
        <w:t>materiál, pohonné hmoty atď.</w:t>
      </w:r>
      <w:r w:rsidR="008D27E4">
        <w:rPr>
          <w:rFonts w:ascii="Times New Roman" w:hAnsi="Times New Roman" w:cs="Times New Roman"/>
          <w:color w:val="000000"/>
          <w:sz w:val="24"/>
          <w:szCs w:val="24"/>
        </w:rPr>
        <w:t xml:space="preserve"> </w:t>
      </w:r>
      <w:r w:rsidRPr="003C3B6A" w:rsidR="00023E03">
        <w:rPr>
          <w:rFonts w:ascii="Times New Roman" w:hAnsi="Times New Roman" w:cs="Times New Roman"/>
          <w:color w:val="000000"/>
          <w:sz w:val="24"/>
          <w:szCs w:val="24"/>
        </w:rPr>
        <w:t>Bežné transfery boli použité na odstupné, náhrady príjmu za PN a OČR a na položke 641</w:t>
      </w:r>
      <w:r w:rsidRPr="003C3B6A" w:rsidR="001445D1">
        <w:rPr>
          <w:rFonts w:ascii="Times New Roman" w:hAnsi="Times New Roman" w:cs="Times New Roman"/>
          <w:color w:val="000000"/>
          <w:sz w:val="24"/>
          <w:szCs w:val="24"/>
        </w:rPr>
        <w:t xml:space="preserve">009 sa </w:t>
      </w:r>
      <w:r w:rsidRPr="003C3B6A" w:rsidR="00023E03">
        <w:rPr>
          <w:rFonts w:ascii="Times New Roman" w:hAnsi="Times New Roman" w:cs="Times New Roman"/>
          <w:color w:val="000000"/>
          <w:sz w:val="24"/>
          <w:szCs w:val="24"/>
        </w:rPr>
        <w:t>čerpali bežné transfery určené na financovanie</w:t>
      </w:r>
      <w:r w:rsidRPr="003C3B6A">
        <w:rPr>
          <w:rFonts w:ascii="Times New Roman" w:hAnsi="Times New Roman" w:cs="Times New Roman"/>
          <w:color w:val="000000"/>
          <w:sz w:val="24"/>
          <w:szCs w:val="24"/>
        </w:rPr>
        <w:t xml:space="preserve"> </w:t>
      </w:r>
      <w:r w:rsidRPr="003C3B6A">
        <w:rPr>
          <w:rFonts w:ascii="Times New Roman" w:hAnsi="Times New Roman" w:cs="Times New Roman"/>
          <w:sz w:val="24"/>
          <w:szCs w:val="24"/>
        </w:rPr>
        <w:t xml:space="preserve">preneseného výkon pôsobnosti štátnej správy na obce a VÚC. </w:t>
      </w:r>
    </w:p>
    <w:p w:rsidR="003C3B6A" w:rsidP="003C3B6A">
      <w:pPr>
        <w:spacing w:line="240" w:lineRule="auto"/>
        <w:ind w:firstLine="708"/>
        <w:rPr>
          <w:rFonts w:ascii="Times New Roman" w:hAnsi="Times New Roman" w:cs="Times New Roman"/>
          <w:sz w:val="24"/>
          <w:szCs w:val="24"/>
        </w:rPr>
      </w:pPr>
    </w:p>
    <w:p w:rsidR="003C3B6A" w:rsidP="003C3B6A">
      <w:pPr>
        <w:spacing w:line="240" w:lineRule="auto"/>
        <w:ind w:firstLine="708"/>
        <w:rPr>
          <w:rFonts w:ascii="Times New Roman" w:hAnsi="Times New Roman" w:cs="Times New Roman"/>
          <w:sz w:val="24"/>
          <w:szCs w:val="24"/>
        </w:rPr>
      </w:pPr>
    </w:p>
    <w:p w:rsidR="003C3B6A" w:rsidP="003C3B6A">
      <w:pPr>
        <w:spacing w:line="240" w:lineRule="auto"/>
        <w:ind w:firstLine="708"/>
        <w:jc w:val="center"/>
        <w:rPr>
          <w:rFonts w:ascii="Times New Roman" w:hAnsi="Times New Roman" w:cs="Times New Roman"/>
          <w:sz w:val="24"/>
          <w:szCs w:val="24"/>
        </w:rPr>
      </w:pPr>
      <w:r>
        <w:rPr>
          <w:rFonts w:ascii="Times New Roman" w:hAnsi="Times New Roman" w:cs="Times New Roman"/>
          <w:sz w:val="24"/>
          <w:szCs w:val="24"/>
        </w:rPr>
        <w:t xml:space="preserve">Dotácie na prenesený </w:t>
      </w:r>
      <w:r w:rsidRPr="003C3B6A">
        <w:rPr>
          <w:rFonts w:ascii="Times New Roman" w:hAnsi="Times New Roman" w:cs="Times New Roman"/>
          <w:sz w:val="24"/>
          <w:szCs w:val="24"/>
        </w:rPr>
        <w:t>výkon pôsobnosti štátnej správy na obce a VÚC</w:t>
      </w:r>
    </w:p>
    <w:p w:rsidR="003C3B6A" w:rsidRPr="003C3B6A" w:rsidP="003C3B6A">
      <w:pPr>
        <w:pStyle w:val="BodyTextIndent"/>
        <w:spacing w:line="240" w:lineRule="auto"/>
        <w:rPr>
          <w:rFonts w:ascii="Times New Roman" w:hAnsi="Times New Roman" w:cs="Times New Roman"/>
          <w:sz w:val="24"/>
          <w:szCs w:val="24"/>
        </w:rPr>
      </w:pPr>
    </w:p>
    <w:tbl>
      <w:tblPr>
        <w:tblW w:w="0" w:type="auto"/>
        <w:tblInd w:w="2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Grid>
        <w:gridCol w:w="1843"/>
        <w:gridCol w:w="1843"/>
        <w:gridCol w:w="1984"/>
      </w:tblGrid>
      <w:tr>
        <w:tblPrEx>
          <w:tblW w:w="0" w:type="auto"/>
          <w:tblInd w:w="2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auto" w:val="0"/>
        </w:trPr>
        <w:tc>
          <w:tcPr>
            <w:tcW w:w="1843"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3C3B6A" w:rsidRPr="003C3B6A" w:rsidP="003C3B6A">
            <w:pPr>
              <w:pStyle w:val="BodyTextIndent"/>
              <w:spacing w:line="240" w:lineRule="auto"/>
              <w:ind w:firstLine="0"/>
              <w:jc w:val="center"/>
              <w:rPr>
                <w:rFonts w:ascii="Times New Roman" w:hAnsi="Times New Roman" w:cs="Times New Roman"/>
                <w:sz w:val="24"/>
                <w:szCs w:val="24"/>
              </w:rPr>
            </w:pPr>
            <w:r w:rsidRPr="003C3B6A">
              <w:rPr>
                <w:rFonts w:ascii="Times New Roman" w:hAnsi="Times New Roman" w:cs="Times New Roman"/>
                <w:sz w:val="24"/>
                <w:szCs w:val="24"/>
              </w:rPr>
              <w:t>Schválený rozpočet k 1.1.2007</w:t>
            </w:r>
          </w:p>
        </w:tc>
        <w:tc>
          <w:tcPr>
            <w:tcW w:w="1843"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3C3B6A" w:rsidRPr="003C3B6A" w:rsidP="003C3B6A">
            <w:pPr>
              <w:pStyle w:val="BodyTextIndent"/>
              <w:spacing w:line="240" w:lineRule="auto"/>
              <w:ind w:firstLine="0"/>
              <w:jc w:val="center"/>
              <w:rPr>
                <w:rFonts w:ascii="Times New Roman" w:hAnsi="Times New Roman" w:cs="Times New Roman"/>
                <w:sz w:val="24"/>
                <w:szCs w:val="24"/>
              </w:rPr>
            </w:pPr>
            <w:r w:rsidRPr="003C3B6A">
              <w:rPr>
                <w:rFonts w:ascii="Times New Roman" w:hAnsi="Times New Roman" w:cs="Times New Roman"/>
                <w:sz w:val="24"/>
                <w:szCs w:val="24"/>
              </w:rPr>
              <w:t>Upravený rozpočet k 31.12.2007</w:t>
            </w:r>
          </w:p>
        </w:tc>
        <w:tc>
          <w:tcPr>
            <w:tcW w:w="198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3C3B6A" w:rsidRPr="003C3B6A" w:rsidP="003C3B6A">
            <w:pPr>
              <w:pStyle w:val="BodyTextIndent"/>
              <w:spacing w:line="240" w:lineRule="auto"/>
              <w:ind w:firstLine="0"/>
              <w:jc w:val="center"/>
              <w:rPr>
                <w:rFonts w:ascii="Times New Roman" w:hAnsi="Times New Roman" w:cs="Times New Roman"/>
                <w:sz w:val="24"/>
                <w:szCs w:val="24"/>
              </w:rPr>
            </w:pPr>
            <w:r w:rsidRPr="003C3B6A">
              <w:rPr>
                <w:rFonts w:ascii="Times New Roman" w:hAnsi="Times New Roman" w:cs="Times New Roman"/>
                <w:sz w:val="24"/>
                <w:szCs w:val="24"/>
              </w:rPr>
              <w:t>Skutočné čerpanie k 31.12.2007</w:t>
            </w:r>
          </w:p>
        </w:tc>
      </w:tr>
      <w:tr>
        <w:tblPrEx>
          <w:tblW w:w="0" w:type="auto"/>
          <w:tblInd w:w="2088" w:type="dxa"/>
        </w:tblPrEx>
        <w:trPr>
          <w:trHeight w:hRule="auto" w:val="0"/>
        </w:trPr>
        <w:tc>
          <w:tcPr>
            <w:tcW w:w="1843"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3C3B6A" w:rsidRPr="003C3B6A" w:rsidP="003C3B6A">
            <w:pPr>
              <w:pStyle w:val="BodyTextIndent"/>
              <w:spacing w:line="240" w:lineRule="auto"/>
              <w:ind w:firstLine="0"/>
              <w:rPr>
                <w:rFonts w:ascii="Times New Roman" w:hAnsi="Times New Roman" w:cs="Times New Roman"/>
                <w:sz w:val="24"/>
                <w:szCs w:val="24"/>
              </w:rPr>
            </w:pPr>
            <w:r w:rsidRPr="003C3B6A">
              <w:rPr>
                <w:rFonts w:ascii="Times New Roman" w:hAnsi="Times New Roman" w:cs="Times New Roman"/>
                <w:sz w:val="24"/>
                <w:szCs w:val="24"/>
              </w:rPr>
              <w:t>7 423 000,00 Sk</w:t>
            </w:r>
          </w:p>
        </w:tc>
        <w:tc>
          <w:tcPr>
            <w:tcW w:w="1843"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3C3B6A" w:rsidRPr="003C3B6A" w:rsidP="003C3B6A">
            <w:pPr>
              <w:pStyle w:val="BodyTextIndent"/>
              <w:spacing w:line="240" w:lineRule="auto"/>
              <w:ind w:firstLine="0"/>
              <w:rPr>
                <w:rFonts w:ascii="Times New Roman" w:hAnsi="Times New Roman" w:cs="Times New Roman"/>
                <w:sz w:val="24"/>
                <w:szCs w:val="24"/>
              </w:rPr>
            </w:pPr>
            <w:r w:rsidRPr="003C3B6A">
              <w:rPr>
                <w:rFonts w:ascii="Times New Roman" w:hAnsi="Times New Roman" w:cs="Times New Roman"/>
                <w:sz w:val="24"/>
                <w:szCs w:val="24"/>
              </w:rPr>
              <w:t>7 652 000,00 Sk</w:t>
            </w:r>
          </w:p>
        </w:tc>
        <w:tc>
          <w:tcPr>
            <w:tcW w:w="198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3C3B6A" w:rsidRPr="003C3B6A" w:rsidP="003C3B6A">
            <w:pPr>
              <w:pStyle w:val="BodyTextIndent"/>
              <w:spacing w:line="240" w:lineRule="auto"/>
              <w:ind w:firstLine="0"/>
              <w:rPr>
                <w:rFonts w:ascii="Times New Roman" w:hAnsi="Times New Roman" w:cs="Times New Roman"/>
                <w:sz w:val="24"/>
                <w:szCs w:val="24"/>
              </w:rPr>
            </w:pPr>
            <w:r w:rsidRPr="003C3B6A">
              <w:rPr>
                <w:rFonts w:ascii="Times New Roman" w:hAnsi="Times New Roman" w:cs="Times New Roman"/>
                <w:sz w:val="24"/>
                <w:szCs w:val="24"/>
              </w:rPr>
              <w:t>7 544 956,50 Sk</w:t>
            </w:r>
          </w:p>
        </w:tc>
      </w:tr>
    </w:tbl>
    <w:p w:rsidR="003C3B6A" w:rsidP="003C3B6A">
      <w:pPr>
        <w:pStyle w:val="BodyTextIndent"/>
        <w:spacing w:line="240" w:lineRule="auto"/>
        <w:rPr>
          <w:rFonts w:ascii="Times New Roman" w:hAnsi="Times New Roman" w:cs="Times New Roman"/>
        </w:rPr>
      </w:pPr>
      <w:r>
        <w:rPr>
          <w:rFonts w:ascii="Times New Roman" w:hAnsi="Times New Roman" w:cs="Times New Roman"/>
        </w:rPr>
        <w:t xml:space="preserve"> </w:t>
      </w:r>
    </w:p>
    <w:p w:rsidR="003C3B6A" w:rsidP="003C3B6A">
      <w:pPr>
        <w:pStyle w:val="BodyTextIndent"/>
        <w:spacing w:line="240" w:lineRule="auto"/>
        <w:rPr>
          <w:rFonts w:ascii="Times New Roman" w:hAnsi="Times New Roman" w:cs="Times New Roman"/>
          <w:sz w:val="24"/>
        </w:rPr>
      </w:pPr>
    </w:p>
    <w:p w:rsidR="003C3B6A" w:rsidP="003C3B6A">
      <w:pPr>
        <w:tabs>
          <w:tab w:val="left" w:pos="4860"/>
          <w:tab w:val="left" w:pos="6660"/>
          <w:tab w:val="left" w:pos="7920"/>
        </w:tabs>
        <w:spacing w:line="240" w:lineRule="auto"/>
        <w:ind w:firstLine="709"/>
        <w:jc w:val="center"/>
        <w:rPr>
          <w:rFonts w:ascii="Times New Roman" w:hAnsi="Times New Roman" w:cs="Times New Roman"/>
          <w:sz w:val="24"/>
          <w:szCs w:val="24"/>
        </w:rPr>
      </w:pPr>
      <w:r>
        <w:rPr>
          <w:rFonts w:ascii="Times New Roman" w:hAnsi="Times New Roman" w:cs="Times New Roman"/>
          <w:sz w:val="24"/>
          <w:szCs w:val="24"/>
        </w:rPr>
        <w:t xml:space="preserve">Dotácia bola rozdelená medzi jednotlivé </w:t>
      </w:r>
    </w:p>
    <w:p w:rsidR="003C3B6A" w:rsidP="003C3B6A">
      <w:pPr>
        <w:tabs>
          <w:tab w:val="left" w:pos="4860"/>
          <w:tab w:val="left" w:pos="6660"/>
          <w:tab w:val="left" w:pos="7920"/>
        </w:tabs>
        <w:spacing w:line="240" w:lineRule="auto"/>
        <w:ind w:firstLine="709"/>
        <w:jc w:val="center"/>
        <w:rPr>
          <w:rFonts w:ascii="Times New Roman" w:hAnsi="Times New Roman" w:cs="Times New Roman"/>
          <w:sz w:val="24"/>
          <w:szCs w:val="24"/>
        </w:rPr>
      </w:pPr>
      <w:r>
        <w:rPr>
          <w:rFonts w:ascii="Times New Roman" w:hAnsi="Times New Roman" w:cs="Times New Roman"/>
          <w:sz w:val="24"/>
          <w:szCs w:val="24"/>
        </w:rPr>
        <w:t>Krajské úrady pre cestnú dopravu a pozemné komunikácie takto:</w:t>
      </w:r>
    </w:p>
    <w:p w:rsidR="003C3B6A" w:rsidP="003C3B6A">
      <w:pPr>
        <w:tabs>
          <w:tab w:val="left" w:pos="4860"/>
          <w:tab w:val="left" w:pos="6660"/>
          <w:tab w:val="left" w:pos="7920"/>
        </w:tabs>
        <w:spacing w:line="240" w:lineRule="auto"/>
        <w:ind w:firstLine="709"/>
        <w:rPr>
          <w:rFonts w:ascii="Times New Roman" w:hAnsi="Times New Roman" w:cs="Times New Roman"/>
          <w:sz w:val="24"/>
          <w:szCs w:val="24"/>
        </w:rPr>
      </w:pPr>
    </w:p>
    <w:tbl>
      <w:tblPr>
        <w:tblW w:w="0" w:type="auto"/>
        <w:tblInd w:w="2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Grid>
        <w:gridCol w:w="2977"/>
        <w:gridCol w:w="2693"/>
      </w:tblGrid>
      <w:tr>
        <w:tblPrEx>
          <w:tblW w:w="0" w:type="auto"/>
          <w:tblInd w:w="2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auto" w:val="0"/>
        </w:trPr>
        <w:tc>
          <w:tcPr>
            <w:tcW w:w="297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3C3B6A" w:rsidRPr="003C3B6A" w:rsidP="003C3B6A">
            <w:pPr>
              <w:tabs>
                <w:tab w:val="left" w:pos="4860"/>
                <w:tab w:val="left" w:pos="6660"/>
                <w:tab w:val="left" w:pos="7920"/>
              </w:tabs>
              <w:spacing w:line="240" w:lineRule="auto"/>
              <w:rPr>
                <w:rFonts w:ascii="Times New Roman" w:hAnsi="Times New Roman" w:cs="Times New Roman"/>
                <w:sz w:val="24"/>
                <w:szCs w:val="24"/>
              </w:rPr>
            </w:pPr>
            <w:r w:rsidRPr="003C3B6A">
              <w:rPr>
                <w:rFonts w:ascii="Times New Roman" w:hAnsi="Times New Roman" w:cs="Times New Roman"/>
                <w:sz w:val="24"/>
                <w:szCs w:val="24"/>
              </w:rPr>
              <w:t xml:space="preserve"> KÚ CDa</w:t>
            </w:r>
            <w:r w:rsidRPr="003C3B6A">
              <w:rPr>
                <w:rFonts w:ascii="Times New Roman" w:hAnsi="Times New Roman" w:cs="Times New Roman"/>
                <w:sz w:val="24"/>
                <w:szCs w:val="24"/>
              </w:rPr>
              <w:t>PK Bratislava</w:t>
            </w:r>
          </w:p>
        </w:tc>
        <w:tc>
          <w:tcPr>
            <w:tcW w:w="2693"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3C3B6A" w:rsidRPr="003C3B6A" w:rsidP="003C3B6A">
            <w:pPr>
              <w:tabs>
                <w:tab w:val="left" w:pos="4860"/>
                <w:tab w:val="left" w:pos="6660"/>
                <w:tab w:val="left" w:pos="7920"/>
              </w:tabs>
              <w:spacing w:line="240" w:lineRule="auto"/>
              <w:jc w:val="right"/>
              <w:rPr>
                <w:rFonts w:ascii="Times New Roman" w:hAnsi="Times New Roman" w:cs="Times New Roman"/>
                <w:sz w:val="24"/>
                <w:szCs w:val="24"/>
              </w:rPr>
            </w:pPr>
            <w:r w:rsidRPr="003C3B6A">
              <w:rPr>
                <w:rFonts w:ascii="Times New Roman" w:hAnsi="Times New Roman" w:cs="Times New Roman"/>
                <w:sz w:val="24"/>
                <w:szCs w:val="24"/>
              </w:rPr>
              <w:t>899 000,00 Sk</w:t>
            </w:r>
          </w:p>
        </w:tc>
      </w:tr>
      <w:tr>
        <w:tblPrEx>
          <w:tblW w:w="0" w:type="auto"/>
          <w:tblInd w:w="2088" w:type="dxa"/>
        </w:tblPrEx>
        <w:trPr>
          <w:trHeight w:hRule="auto" w:val="0"/>
        </w:trPr>
        <w:tc>
          <w:tcPr>
            <w:tcW w:w="297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3C3B6A" w:rsidRPr="003C3B6A" w:rsidP="003C3B6A">
            <w:pPr>
              <w:tabs>
                <w:tab w:val="left" w:pos="4860"/>
                <w:tab w:val="left" w:pos="6660"/>
                <w:tab w:val="left" w:pos="7920"/>
              </w:tabs>
              <w:spacing w:line="240" w:lineRule="auto"/>
              <w:rPr>
                <w:rFonts w:ascii="Times New Roman" w:hAnsi="Times New Roman" w:cs="Times New Roman"/>
                <w:sz w:val="24"/>
                <w:szCs w:val="24"/>
              </w:rPr>
            </w:pPr>
            <w:r w:rsidRPr="003C3B6A">
              <w:rPr>
                <w:rFonts w:ascii="Times New Roman" w:hAnsi="Times New Roman" w:cs="Times New Roman"/>
                <w:sz w:val="24"/>
                <w:szCs w:val="24"/>
              </w:rPr>
              <w:t>KÚ CDaPK Trnava</w:t>
            </w:r>
          </w:p>
        </w:tc>
        <w:tc>
          <w:tcPr>
            <w:tcW w:w="2693"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3C3B6A" w:rsidRPr="003C3B6A" w:rsidP="003C3B6A">
            <w:pPr>
              <w:tabs>
                <w:tab w:val="left" w:pos="4860"/>
                <w:tab w:val="left" w:pos="6660"/>
                <w:tab w:val="left" w:pos="7920"/>
              </w:tabs>
              <w:spacing w:line="240" w:lineRule="auto"/>
              <w:jc w:val="right"/>
              <w:rPr>
                <w:rFonts w:ascii="Times New Roman" w:hAnsi="Times New Roman" w:cs="Times New Roman"/>
                <w:sz w:val="24"/>
                <w:szCs w:val="24"/>
              </w:rPr>
            </w:pPr>
            <w:r w:rsidRPr="003C3B6A">
              <w:rPr>
                <w:rFonts w:ascii="Times New Roman" w:hAnsi="Times New Roman" w:cs="Times New Roman"/>
                <w:sz w:val="24"/>
                <w:szCs w:val="24"/>
              </w:rPr>
              <w:t>780 000,00 Sk</w:t>
            </w:r>
          </w:p>
        </w:tc>
      </w:tr>
      <w:tr>
        <w:tblPrEx>
          <w:tblW w:w="0" w:type="auto"/>
          <w:tblInd w:w="2088" w:type="dxa"/>
        </w:tblPrEx>
        <w:trPr>
          <w:trHeight w:hRule="auto" w:val="0"/>
        </w:trPr>
        <w:tc>
          <w:tcPr>
            <w:tcW w:w="297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3C3B6A" w:rsidRPr="003C3B6A" w:rsidP="003C3B6A">
            <w:pPr>
              <w:tabs>
                <w:tab w:val="left" w:pos="4860"/>
                <w:tab w:val="left" w:pos="6660"/>
                <w:tab w:val="left" w:pos="7920"/>
              </w:tabs>
              <w:spacing w:line="240" w:lineRule="auto"/>
              <w:rPr>
                <w:rFonts w:ascii="Times New Roman" w:hAnsi="Times New Roman" w:cs="Times New Roman"/>
                <w:sz w:val="24"/>
                <w:szCs w:val="24"/>
              </w:rPr>
            </w:pPr>
            <w:r w:rsidRPr="003C3B6A">
              <w:rPr>
                <w:rFonts w:ascii="Times New Roman" w:hAnsi="Times New Roman" w:cs="Times New Roman"/>
                <w:sz w:val="24"/>
                <w:szCs w:val="24"/>
              </w:rPr>
              <w:t>KÚ CDaPK Nitra</w:t>
            </w:r>
          </w:p>
        </w:tc>
        <w:tc>
          <w:tcPr>
            <w:tcW w:w="2693"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3C3B6A" w:rsidRPr="003C3B6A" w:rsidP="003C3B6A">
            <w:pPr>
              <w:tabs>
                <w:tab w:val="left" w:pos="4860"/>
                <w:tab w:val="left" w:pos="6660"/>
                <w:tab w:val="left" w:pos="7920"/>
              </w:tabs>
              <w:spacing w:line="240" w:lineRule="auto"/>
              <w:jc w:val="right"/>
              <w:rPr>
                <w:rFonts w:ascii="Times New Roman" w:hAnsi="Times New Roman" w:cs="Times New Roman"/>
                <w:sz w:val="24"/>
                <w:szCs w:val="24"/>
              </w:rPr>
            </w:pPr>
            <w:r w:rsidRPr="003C3B6A">
              <w:rPr>
                <w:rFonts w:ascii="Times New Roman" w:hAnsi="Times New Roman" w:cs="Times New Roman"/>
                <w:sz w:val="24"/>
                <w:szCs w:val="24"/>
              </w:rPr>
              <w:t>1 002 000,00 Sk</w:t>
            </w:r>
          </w:p>
        </w:tc>
      </w:tr>
      <w:tr>
        <w:tblPrEx>
          <w:tblW w:w="0" w:type="auto"/>
          <w:tblInd w:w="2088" w:type="dxa"/>
        </w:tblPrEx>
        <w:trPr>
          <w:trHeight w:hRule="auto" w:val="0"/>
        </w:trPr>
        <w:tc>
          <w:tcPr>
            <w:tcW w:w="297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3C3B6A" w:rsidRPr="003C3B6A" w:rsidP="003C3B6A">
            <w:pPr>
              <w:tabs>
                <w:tab w:val="left" w:pos="4860"/>
                <w:tab w:val="left" w:pos="6660"/>
                <w:tab w:val="left" w:pos="7920"/>
              </w:tabs>
              <w:spacing w:line="240" w:lineRule="auto"/>
              <w:rPr>
                <w:rFonts w:ascii="Times New Roman" w:hAnsi="Times New Roman" w:cs="Times New Roman"/>
                <w:sz w:val="24"/>
                <w:szCs w:val="24"/>
              </w:rPr>
            </w:pPr>
            <w:r w:rsidRPr="003C3B6A">
              <w:rPr>
                <w:rFonts w:ascii="Times New Roman" w:hAnsi="Times New Roman" w:cs="Times New Roman"/>
                <w:sz w:val="24"/>
                <w:szCs w:val="24"/>
              </w:rPr>
              <w:t>KÚ CDaPK Trenčín</w:t>
            </w:r>
          </w:p>
        </w:tc>
        <w:tc>
          <w:tcPr>
            <w:tcW w:w="2693"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3C3B6A" w:rsidRPr="003C3B6A" w:rsidP="003C3B6A">
            <w:pPr>
              <w:tabs>
                <w:tab w:val="left" w:pos="4860"/>
                <w:tab w:val="left" w:pos="6660"/>
                <w:tab w:val="left" w:pos="7920"/>
              </w:tabs>
              <w:spacing w:line="240" w:lineRule="auto"/>
              <w:jc w:val="right"/>
              <w:rPr>
                <w:rFonts w:ascii="Times New Roman" w:hAnsi="Times New Roman" w:cs="Times New Roman"/>
                <w:sz w:val="24"/>
                <w:szCs w:val="24"/>
              </w:rPr>
            </w:pPr>
            <w:r w:rsidRPr="003C3B6A">
              <w:rPr>
                <w:rFonts w:ascii="Times New Roman" w:hAnsi="Times New Roman" w:cs="Times New Roman"/>
                <w:sz w:val="24"/>
                <w:szCs w:val="24"/>
              </w:rPr>
              <w:t>849 000,00 Sk</w:t>
            </w:r>
          </w:p>
        </w:tc>
      </w:tr>
      <w:tr>
        <w:tblPrEx>
          <w:tblW w:w="0" w:type="auto"/>
          <w:tblInd w:w="2088" w:type="dxa"/>
        </w:tblPrEx>
        <w:trPr>
          <w:trHeight w:hRule="auto" w:val="0"/>
        </w:trPr>
        <w:tc>
          <w:tcPr>
            <w:tcW w:w="297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3C3B6A" w:rsidRPr="003C3B6A" w:rsidP="003C3B6A">
            <w:pPr>
              <w:tabs>
                <w:tab w:val="left" w:pos="4860"/>
                <w:tab w:val="left" w:pos="6660"/>
                <w:tab w:val="left" w:pos="7920"/>
              </w:tabs>
              <w:spacing w:line="240" w:lineRule="auto"/>
              <w:rPr>
                <w:rFonts w:ascii="Times New Roman" w:hAnsi="Times New Roman" w:cs="Times New Roman"/>
                <w:sz w:val="24"/>
                <w:szCs w:val="24"/>
              </w:rPr>
            </w:pPr>
            <w:r w:rsidRPr="003C3B6A">
              <w:rPr>
                <w:rFonts w:ascii="Times New Roman" w:hAnsi="Times New Roman" w:cs="Times New Roman"/>
                <w:sz w:val="24"/>
                <w:szCs w:val="24"/>
              </w:rPr>
              <w:t>KÚ CDaPK Ban.Bystrica</w:t>
            </w:r>
          </w:p>
        </w:tc>
        <w:tc>
          <w:tcPr>
            <w:tcW w:w="2693"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3C3B6A" w:rsidRPr="003C3B6A" w:rsidP="003C3B6A">
            <w:pPr>
              <w:tabs>
                <w:tab w:val="left" w:pos="4860"/>
                <w:tab w:val="left" w:pos="6660"/>
                <w:tab w:val="left" w:pos="7920"/>
              </w:tabs>
              <w:spacing w:line="240" w:lineRule="auto"/>
              <w:jc w:val="right"/>
              <w:rPr>
                <w:rFonts w:ascii="Times New Roman" w:hAnsi="Times New Roman" w:cs="Times New Roman"/>
                <w:sz w:val="24"/>
                <w:szCs w:val="24"/>
              </w:rPr>
            </w:pPr>
            <w:r w:rsidRPr="003C3B6A">
              <w:rPr>
                <w:rFonts w:ascii="Times New Roman" w:hAnsi="Times New Roman" w:cs="Times New Roman"/>
                <w:sz w:val="24"/>
                <w:szCs w:val="24"/>
              </w:rPr>
              <w:t>930 000,00 Sk</w:t>
            </w:r>
          </w:p>
        </w:tc>
      </w:tr>
      <w:tr>
        <w:tblPrEx>
          <w:tblW w:w="0" w:type="auto"/>
          <w:tblInd w:w="2088" w:type="dxa"/>
        </w:tblPrEx>
        <w:trPr>
          <w:trHeight w:hRule="auto" w:val="0"/>
        </w:trPr>
        <w:tc>
          <w:tcPr>
            <w:tcW w:w="297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3C3B6A" w:rsidRPr="003C3B6A" w:rsidP="003C3B6A">
            <w:pPr>
              <w:tabs>
                <w:tab w:val="left" w:pos="4860"/>
                <w:tab w:val="left" w:pos="6660"/>
                <w:tab w:val="left" w:pos="7920"/>
              </w:tabs>
              <w:spacing w:line="240" w:lineRule="auto"/>
              <w:rPr>
                <w:rFonts w:ascii="Times New Roman" w:hAnsi="Times New Roman" w:cs="Times New Roman"/>
                <w:sz w:val="24"/>
                <w:szCs w:val="24"/>
              </w:rPr>
            </w:pPr>
            <w:r w:rsidRPr="003C3B6A">
              <w:rPr>
                <w:rFonts w:ascii="Times New Roman" w:hAnsi="Times New Roman" w:cs="Times New Roman"/>
                <w:sz w:val="24"/>
                <w:szCs w:val="24"/>
              </w:rPr>
              <w:t>KÚ CDaPK Žilina</w:t>
            </w:r>
          </w:p>
        </w:tc>
        <w:tc>
          <w:tcPr>
            <w:tcW w:w="2693"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3C3B6A" w:rsidRPr="003C3B6A" w:rsidP="003C3B6A">
            <w:pPr>
              <w:tabs>
                <w:tab w:val="left" w:pos="4860"/>
                <w:tab w:val="left" w:pos="6660"/>
                <w:tab w:val="left" w:pos="7920"/>
              </w:tabs>
              <w:spacing w:line="240" w:lineRule="auto"/>
              <w:jc w:val="right"/>
              <w:rPr>
                <w:rFonts w:ascii="Times New Roman" w:hAnsi="Times New Roman" w:cs="Times New Roman"/>
                <w:sz w:val="24"/>
                <w:szCs w:val="24"/>
              </w:rPr>
            </w:pPr>
            <w:r w:rsidRPr="003C3B6A">
              <w:rPr>
                <w:rFonts w:ascii="Times New Roman" w:hAnsi="Times New Roman" w:cs="Times New Roman"/>
                <w:sz w:val="24"/>
                <w:szCs w:val="24"/>
              </w:rPr>
              <w:t>979 000,00 Sk</w:t>
            </w:r>
          </w:p>
        </w:tc>
      </w:tr>
      <w:tr>
        <w:tblPrEx>
          <w:tblW w:w="0" w:type="auto"/>
          <w:tblInd w:w="2088" w:type="dxa"/>
        </w:tblPrEx>
        <w:trPr>
          <w:trHeight w:hRule="auto" w:val="0"/>
        </w:trPr>
        <w:tc>
          <w:tcPr>
            <w:tcW w:w="297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3C3B6A" w:rsidRPr="003C3B6A" w:rsidP="003C3B6A">
            <w:pPr>
              <w:tabs>
                <w:tab w:val="left" w:pos="4860"/>
                <w:tab w:val="left" w:pos="6660"/>
                <w:tab w:val="left" w:pos="7920"/>
              </w:tabs>
              <w:spacing w:line="240" w:lineRule="auto"/>
              <w:rPr>
                <w:rFonts w:ascii="Times New Roman" w:hAnsi="Times New Roman" w:cs="Times New Roman"/>
                <w:sz w:val="24"/>
                <w:szCs w:val="24"/>
              </w:rPr>
            </w:pPr>
            <w:r w:rsidRPr="003C3B6A">
              <w:rPr>
                <w:rFonts w:ascii="Times New Roman" w:hAnsi="Times New Roman" w:cs="Times New Roman"/>
                <w:sz w:val="24"/>
                <w:szCs w:val="24"/>
              </w:rPr>
              <w:t>KÚ CDaPK Prešov</w:t>
            </w:r>
          </w:p>
        </w:tc>
        <w:tc>
          <w:tcPr>
            <w:tcW w:w="2693"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3C3B6A" w:rsidRPr="003C3B6A" w:rsidP="003C3B6A">
            <w:pPr>
              <w:tabs>
                <w:tab w:val="left" w:pos="4860"/>
                <w:tab w:val="left" w:pos="6660"/>
                <w:tab w:val="left" w:pos="7920"/>
              </w:tabs>
              <w:spacing w:line="240" w:lineRule="auto"/>
              <w:jc w:val="right"/>
              <w:rPr>
                <w:rFonts w:ascii="Times New Roman" w:hAnsi="Times New Roman" w:cs="Times New Roman"/>
                <w:sz w:val="24"/>
                <w:szCs w:val="24"/>
              </w:rPr>
            </w:pPr>
            <w:r w:rsidRPr="003C3B6A">
              <w:rPr>
                <w:rFonts w:ascii="Times New Roman" w:hAnsi="Times New Roman" w:cs="Times New Roman"/>
                <w:sz w:val="24"/>
                <w:szCs w:val="24"/>
              </w:rPr>
              <w:t>1 125 000,00 Sk</w:t>
            </w:r>
          </w:p>
        </w:tc>
      </w:tr>
      <w:tr>
        <w:tblPrEx>
          <w:tblW w:w="0" w:type="auto"/>
          <w:tblInd w:w="2088" w:type="dxa"/>
        </w:tblPrEx>
        <w:trPr>
          <w:trHeight w:hRule="auto" w:val="0"/>
        </w:trPr>
        <w:tc>
          <w:tcPr>
            <w:tcW w:w="297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3C3B6A" w:rsidRPr="003C3B6A" w:rsidP="003C3B6A">
            <w:pPr>
              <w:tabs>
                <w:tab w:val="left" w:pos="4860"/>
                <w:tab w:val="left" w:pos="6660"/>
                <w:tab w:val="left" w:pos="7920"/>
              </w:tabs>
              <w:spacing w:line="240" w:lineRule="auto"/>
              <w:rPr>
                <w:rFonts w:ascii="Times New Roman" w:hAnsi="Times New Roman" w:cs="Times New Roman"/>
                <w:sz w:val="24"/>
                <w:szCs w:val="24"/>
              </w:rPr>
            </w:pPr>
            <w:r w:rsidRPr="003C3B6A">
              <w:rPr>
                <w:rFonts w:ascii="Times New Roman" w:hAnsi="Times New Roman" w:cs="Times New Roman"/>
                <w:sz w:val="24"/>
                <w:szCs w:val="24"/>
              </w:rPr>
              <w:t>KÚ CDaPK Košice</w:t>
            </w:r>
          </w:p>
        </w:tc>
        <w:tc>
          <w:tcPr>
            <w:tcW w:w="2693"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3C3B6A" w:rsidRPr="003C3B6A" w:rsidP="003C3B6A">
            <w:pPr>
              <w:tabs>
                <w:tab w:val="left" w:pos="4860"/>
                <w:tab w:val="left" w:pos="6660"/>
                <w:tab w:val="left" w:pos="7920"/>
              </w:tabs>
              <w:spacing w:line="240" w:lineRule="auto"/>
              <w:jc w:val="right"/>
              <w:rPr>
                <w:rFonts w:ascii="Times New Roman" w:hAnsi="Times New Roman" w:cs="Times New Roman"/>
                <w:sz w:val="24"/>
                <w:szCs w:val="24"/>
              </w:rPr>
            </w:pPr>
            <w:r w:rsidRPr="003C3B6A">
              <w:rPr>
                <w:rFonts w:ascii="Times New Roman" w:hAnsi="Times New Roman" w:cs="Times New Roman"/>
                <w:sz w:val="24"/>
                <w:szCs w:val="24"/>
              </w:rPr>
              <w:t>1 088 000,00 Sk</w:t>
            </w:r>
          </w:p>
        </w:tc>
      </w:tr>
    </w:tbl>
    <w:p w:rsidR="003C3B6A" w:rsidP="003C3B6A">
      <w:pPr>
        <w:tabs>
          <w:tab w:val="left" w:pos="4860"/>
          <w:tab w:val="left" w:pos="6660"/>
          <w:tab w:val="left" w:pos="7920"/>
        </w:tabs>
        <w:spacing w:line="240" w:lineRule="auto"/>
        <w:ind w:firstLine="709"/>
        <w:rPr>
          <w:rFonts w:ascii="Times New Roman" w:hAnsi="Times New Roman" w:cs="Times New Roman"/>
          <w:sz w:val="24"/>
          <w:szCs w:val="24"/>
        </w:rPr>
      </w:pPr>
    </w:p>
    <w:p w:rsidR="003C3B6A" w:rsidP="003C3B6A">
      <w:pPr>
        <w:tabs>
          <w:tab w:val="left" w:pos="4860"/>
          <w:tab w:val="left" w:pos="6660"/>
          <w:tab w:val="left" w:pos="7920"/>
        </w:tabs>
        <w:spacing w:line="240" w:lineRule="auto"/>
        <w:ind w:firstLine="709"/>
        <w:jc w:val="center"/>
        <w:rPr>
          <w:rFonts w:ascii="Times New Roman" w:hAnsi="Times New Roman" w:cs="Times New Roman"/>
          <w:sz w:val="24"/>
          <w:szCs w:val="24"/>
        </w:rPr>
      </w:pPr>
      <w:r>
        <w:rPr>
          <w:rFonts w:ascii="Times New Roman" w:hAnsi="Times New Roman" w:cs="Times New Roman"/>
          <w:sz w:val="24"/>
          <w:szCs w:val="24"/>
        </w:rPr>
        <w:t>Poukázaním prostriedkov obciam boli poverené jednotlivé krajské úrady.</w:t>
      </w:r>
    </w:p>
    <w:p w:rsidR="003C3B6A" w:rsidP="003C3B6A">
      <w:pPr>
        <w:spacing w:line="240" w:lineRule="auto"/>
        <w:rPr>
          <w:rFonts w:ascii="Times New Roman" w:hAnsi="Times New Roman" w:cs="Times New Roman"/>
          <w:sz w:val="24"/>
          <w:szCs w:val="24"/>
        </w:rPr>
      </w:pPr>
    </w:p>
    <w:p w:rsidR="003C3B6A" w:rsidP="003C3B6A">
      <w:pPr>
        <w:spacing w:line="240" w:lineRule="auto"/>
        <w:ind w:firstLine="708"/>
        <w:rPr>
          <w:rFonts w:ascii="Times New Roman" w:hAnsi="Times New Roman" w:cs="Times New Roman"/>
          <w:sz w:val="24"/>
          <w:szCs w:val="24"/>
        </w:rPr>
      </w:pPr>
      <w:r w:rsidRPr="003C3B6A">
        <w:rPr>
          <w:rFonts w:ascii="Times New Roman" w:hAnsi="Times New Roman" w:cs="Times New Roman"/>
          <w:sz w:val="24"/>
          <w:szCs w:val="24"/>
        </w:rPr>
        <w:t xml:space="preserve">Dotácia sa poskytuje na základe Výnosu MDPT SR č. 2482/M-2005 z 21. novembra 2005 o poskytovaní dotácií na úhradu nákladov preneseného výkonu štátnej správy obciam na vykonávanie špeciálneho stavebného úradu pre miestne a účelové komunikácie. </w:t>
      </w:r>
    </w:p>
    <w:p w:rsidR="003C3B6A" w:rsidRPr="00C83B10" w:rsidP="003C3B6A">
      <w:pPr>
        <w:spacing w:line="240" w:lineRule="auto"/>
        <w:ind w:firstLine="708"/>
        <w:rPr>
          <w:rFonts w:ascii="Times New Roman" w:hAnsi="Times New Roman" w:cs="Times New Roman"/>
          <w:sz w:val="24"/>
          <w:szCs w:val="24"/>
        </w:rPr>
      </w:pPr>
    </w:p>
    <w:p w:rsidR="00C30D3E" w:rsidRPr="00AB1F6D" w:rsidP="00C30D3E">
      <w:pPr>
        <w:autoSpaceDE/>
        <w:autoSpaceDN/>
        <w:spacing w:line="240" w:lineRule="auto"/>
        <w:ind w:firstLine="708"/>
        <w:rPr>
          <w:rFonts w:ascii="Times New Roman" w:hAnsi="Times New Roman" w:cs="Times New Roman"/>
          <w:color w:val="000000"/>
          <w:sz w:val="24"/>
          <w:szCs w:val="24"/>
        </w:rPr>
      </w:pPr>
      <w:r w:rsidRPr="00AB1F6D" w:rsidR="001445D1">
        <w:rPr>
          <w:rFonts w:ascii="Times New Roman" w:hAnsi="Times New Roman" w:cs="Times New Roman"/>
          <w:color w:val="000000"/>
          <w:sz w:val="24"/>
          <w:szCs w:val="24"/>
        </w:rPr>
        <w:t>K</w:t>
      </w:r>
      <w:r w:rsidRPr="00AB1F6D" w:rsidR="009B6C1E">
        <w:rPr>
          <w:rFonts w:ascii="Times New Roman" w:hAnsi="Times New Roman" w:cs="Times New Roman"/>
          <w:color w:val="000000"/>
          <w:sz w:val="24"/>
          <w:szCs w:val="24"/>
        </w:rPr>
        <w:t>apitálové výdavky</w:t>
      </w:r>
      <w:r w:rsidR="00F169FA">
        <w:rPr>
          <w:rFonts w:ascii="Times New Roman" w:hAnsi="Times New Roman" w:cs="Times New Roman"/>
          <w:color w:val="000000"/>
          <w:sz w:val="24"/>
          <w:szCs w:val="24"/>
        </w:rPr>
        <w:t xml:space="preserve"> (710) boli použité najmä nákup výpočtovej, kancelárskej, telekomunikačnej techniky a osobných motorových vozidiel (po 1 kuse) – KÚ Prešov, </w:t>
      </w:r>
      <w:r w:rsidRPr="00AB1F6D" w:rsidR="008333F5">
        <w:rPr>
          <w:rFonts w:ascii="Times New Roman" w:hAnsi="Times New Roman" w:cs="Times New Roman"/>
          <w:color w:val="000000"/>
          <w:sz w:val="24"/>
          <w:szCs w:val="24"/>
        </w:rPr>
        <w:t xml:space="preserve"> </w:t>
      </w:r>
      <w:r w:rsidR="00F169FA">
        <w:rPr>
          <w:rFonts w:ascii="Times New Roman" w:hAnsi="Times New Roman" w:cs="Times New Roman"/>
          <w:color w:val="000000"/>
          <w:sz w:val="24"/>
          <w:szCs w:val="24"/>
        </w:rPr>
        <w:t>KÚ Banská Bystrica, KÚ Trenčín, KÚ Nitra, KÚ Trnava. Celkové č</w:t>
      </w:r>
      <w:r w:rsidRPr="00AB1F6D" w:rsidR="00023E03">
        <w:rPr>
          <w:rFonts w:ascii="Times New Roman" w:hAnsi="Times New Roman" w:cs="Times New Roman"/>
          <w:color w:val="000000"/>
          <w:sz w:val="24"/>
          <w:szCs w:val="24"/>
        </w:rPr>
        <w:t>erpa</w:t>
      </w:r>
      <w:r w:rsidR="00632787">
        <w:rPr>
          <w:rFonts w:ascii="Times New Roman" w:hAnsi="Times New Roman" w:cs="Times New Roman"/>
          <w:color w:val="000000"/>
          <w:sz w:val="24"/>
          <w:szCs w:val="24"/>
        </w:rPr>
        <w:t xml:space="preserve">nie </w:t>
      </w:r>
      <w:r w:rsidR="00F169FA">
        <w:rPr>
          <w:rFonts w:ascii="Times New Roman" w:hAnsi="Times New Roman" w:cs="Times New Roman"/>
          <w:color w:val="000000"/>
          <w:sz w:val="24"/>
          <w:szCs w:val="24"/>
        </w:rPr>
        <w:t xml:space="preserve">kapitálových výdavkov krajských úradov </w:t>
      </w:r>
      <w:r w:rsidR="00632787">
        <w:rPr>
          <w:rFonts w:ascii="Times New Roman" w:hAnsi="Times New Roman" w:cs="Times New Roman"/>
          <w:color w:val="000000"/>
          <w:sz w:val="24"/>
          <w:szCs w:val="24"/>
        </w:rPr>
        <w:t>b</w:t>
      </w:r>
      <w:r w:rsidR="00C83B10">
        <w:rPr>
          <w:rFonts w:ascii="Times New Roman" w:hAnsi="Times New Roman" w:cs="Times New Roman"/>
          <w:color w:val="000000"/>
          <w:sz w:val="24"/>
          <w:szCs w:val="24"/>
        </w:rPr>
        <w:t xml:space="preserve">olo vykázané vo výške 5 307 771,50 Sk. </w:t>
      </w:r>
      <w:r w:rsidRPr="00AB1F6D" w:rsidR="00023E03">
        <w:rPr>
          <w:rFonts w:ascii="Times New Roman" w:hAnsi="Times New Roman" w:cs="Times New Roman"/>
          <w:color w:val="000000"/>
          <w:sz w:val="24"/>
          <w:szCs w:val="24"/>
        </w:rPr>
        <w:t xml:space="preserve"> </w:t>
      </w:r>
    </w:p>
    <w:p w:rsidR="003C3B6A" w:rsidRPr="00D23807" w:rsidP="00C362EA">
      <w:pPr>
        <w:spacing w:line="240" w:lineRule="auto"/>
        <w:rPr>
          <w:rFonts w:ascii="Times New Roman" w:hAnsi="Times New Roman" w:cs="Times New Roman"/>
          <w:b/>
          <w:sz w:val="24"/>
          <w:u w:val="single"/>
        </w:rPr>
      </w:pPr>
    </w:p>
    <w:p w:rsidR="00D27E26" w:rsidP="00C362EA">
      <w:pPr>
        <w:spacing w:line="240" w:lineRule="auto"/>
        <w:rPr>
          <w:rFonts w:ascii="Times New Roman" w:hAnsi="Times New Roman" w:cs="Times New Roman"/>
          <w:b/>
          <w:sz w:val="24"/>
          <w:u w:val="single"/>
        </w:rPr>
      </w:pPr>
      <w:r w:rsidR="00303AE6">
        <w:rPr>
          <w:rFonts w:ascii="Times New Roman" w:hAnsi="Times New Roman" w:cs="Times New Roman"/>
          <w:b/>
          <w:sz w:val="24"/>
          <w:u w:val="single"/>
        </w:rPr>
        <w:t>11</w:t>
      </w:r>
      <w:r w:rsidRPr="00D23807">
        <w:rPr>
          <w:rFonts w:ascii="Times New Roman" w:hAnsi="Times New Roman" w:cs="Times New Roman"/>
          <w:b/>
          <w:sz w:val="24"/>
          <w:u w:val="single"/>
        </w:rPr>
        <w:t>. MINISTERSTVO DOPRAVY, PÔŠT A T</w:t>
      </w:r>
      <w:r w:rsidR="001B09BB">
        <w:rPr>
          <w:rFonts w:ascii="Times New Roman" w:hAnsi="Times New Roman" w:cs="Times New Roman"/>
          <w:b/>
          <w:sz w:val="24"/>
          <w:u w:val="single"/>
        </w:rPr>
        <w:t>ELEKOMUNIKÁCIÍ SR (ÚRAD) – podprogram</w:t>
      </w:r>
      <w:r w:rsidRPr="00D23807">
        <w:rPr>
          <w:rFonts w:ascii="Times New Roman" w:hAnsi="Times New Roman" w:cs="Times New Roman"/>
          <w:b/>
          <w:sz w:val="24"/>
          <w:u w:val="single"/>
        </w:rPr>
        <w:t xml:space="preserve"> – 07T01 – Riadenie a podpora programov  </w:t>
      </w:r>
    </w:p>
    <w:p w:rsidR="00DD1720" w:rsidRPr="009848A2" w:rsidP="00C362EA">
      <w:pPr>
        <w:spacing w:line="240" w:lineRule="auto"/>
        <w:rPr>
          <w:rFonts w:ascii="Times New Roman" w:hAnsi="Times New Roman" w:cs="Times New Roman"/>
          <w:b/>
          <w:sz w:val="24"/>
          <w:u w:val="single"/>
        </w:rPr>
      </w:pPr>
    </w:p>
    <w:p w:rsidR="00D27E26" w:rsidRPr="00B90745" w:rsidP="00C362EA">
      <w:pPr>
        <w:spacing w:line="240" w:lineRule="auto"/>
        <w:ind w:firstLine="708"/>
        <w:rPr>
          <w:rFonts w:ascii="Times New Roman" w:hAnsi="Times New Roman" w:cs="Times New Roman"/>
          <w:b/>
          <w:sz w:val="24"/>
          <w:szCs w:val="24"/>
        </w:rPr>
      </w:pPr>
      <w:r w:rsidRPr="00B90745" w:rsidR="001B09BB">
        <w:rPr>
          <w:rFonts w:ascii="Times New Roman" w:hAnsi="Times New Roman" w:cs="Times New Roman"/>
          <w:b/>
          <w:sz w:val="24"/>
          <w:szCs w:val="24"/>
        </w:rPr>
        <w:t xml:space="preserve">Prvok 07T0101 – </w:t>
      </w:r>
      <w:r w:rsidRPr="00B90745">
        <w:rPr>
          <w:rFonts w:ascii="Times New Roman" w:hAnsi="Times New Roman" w:cs="Times New Roman"/>
          <w:b/>
          <w:sz w:val="24"/>
          <w:szCs w:val="24"/>
        </w:rPr>
        <w:t>Ústredn</w:t>
      </w:r>
      <w:r w:rsidRPr="00B90745">
        <w:rPr>
          <w:rFonts w:ascii="Times New Roman" w:hAnsi="Times New Roman" w:cs="Times New Roman"/>
          <w:b/>
          <w:sz w:val="24"/>
          <w:szCs w:val="24"/>
        </w:rPr>
        <w:t>ý orgán</w:t>
      </w:r>
      <w:r w:rsidRPr="00B90745" w:rsidR="001B09BB">
        <w:rPr>
          <w:rFonts w:ascii="Times New Roman" w:hAnsi="Times New Roman" w:cs="Times New Roman"/>
          <w:b/>
          <w:sz w:val="24"/>
          <w:szCs w:val="24"/>
        </w:rPr>
        <w:t xml:space="preserve"> – MDPT SR </w:t>
      </w:r>
    </w:p>
    <w:p w:rsidR="00B90745" w:rsidRPr="00B90745" w:rsidP="00C362EA">
      <w:pPr>
        <w:spacing w:line="240" w:lineRule="auto"/>
        <w:ind w:firstLine="708"/>
        <w:rPr>
          <w:rFonts w:ascii="Times New Roman" w:hAnsi="Times New Roman" w:cs="Times New Roman"/>
          <w:b/>
          <w:sz w:val="24"/>
          <w:szCs w:val="24"/>
        </w:rPr>
      </w:pPr>
      <w:r w:rsidRPr="00B90745">
        <w:rPr>
          <w:rFonts w:ascii="Times New Roman" w:hAnsi="Times New Roman" w:cs="Times New Roman"/>
          <w:b/>
          <w:sz w:val="24"/>
          <w:szCs w:val="24"/>
        </w:rPr>
        <w:t xml:space="preserve">Prvok 07T0102 – Technická pomoc MDPT SR (ŠF) </w:t>
      </w:r>
    </w:p>
    <w:p w:rsidR="001B09BB" w:rsidP="00C362EA">
      <w:pPr>
        <w:spacing w:line="240" w:lineRule="auto"/>
        <w:ind w:firstLine="708"/>
        <w:rPr>
          <w:rFonts w:ascii="Times New Roman" w:hAnsi="Times New Roman" w:cs="Times New Roman"/>
          <w:b/>
          <w:sz w:val="24"/>
          <w:szCs w:val="24"/>
        </w:rPr>
      </w:pPr>
      <w:r w:rsidR="00C27BF2">
        <w:rPr>
          <w:rFonts w:ascii="Times New Roman" w:hAnsi="Times New Roman" w:cs="Times New Roman"/>
          <w:b/>
          <w:sz w:val="24"/>
          <w:szCs w:val="24"/>
        </w:rPr>
        <w:t>Prvok 07T0104 – Podpora rozvojových úloh v oblasti informatizácie spoločnosti</w:t>
      </w:r>
      <w:r w:rsidRPr="00B90745" w:rsidR="00C27BF2">
        <w:rPr>
          <w:rFonts w:ascii="Times New Roman" w:hAnsi="Times New Roman" w:cs="Times New Roman"/>
          <w:b/>
          <w:sz w:val="24"/>
          <w:szCs w:val="24"/>
        </w:rPr>
        <w:t xml:space="preserve"> </w:t>
      </w:r>
    </w:p>
    <w:p w:rsidR="00DD1720" w:rsidRPr="002D0919" w:rsidP="00300F7C">
      <w:pPr>
        <w:spacing w:line="240" w:lineRule="auto"/>
        <w:rPr>
          <w:rFonts w:ascii="Times New Roman" w:hAnsi="Times New Roman" w:cs="Times New Roman"/>
          <w:b/>
          <w:sz w:val="24"/>
          <w:szCs w:val="24"/>
        </w:rPr>
      </w:pPr>
    </w:p>
    <w:p w:rsidR="002D0919" w:rsidP="002D0919">
      <w:pPr>
        <w:spacing w:line="240" w:lineRule="auto"/>
        <w:jc w:val="center"/>
        <w:rPr>
          <w:rFonts w:ascii="Arial Narrow" w:hAnsi="Arial Narrow" w:cs="Times New Roman"/>
          <w:b/>
          <w:sz w:val="24"/>
          <w:szCs w:val="24"/>
        </w:rPr>
      </w:pPr>
      <w:r w:rsidRPr="00F43690">
        <w:rPr>
          <w:rFonts w:ascii="Arial Narrow" w:hAnsi="Arial Narrow" w:cs="Times New Roman"/>
          <w:b/>
          <w:sz w:val="24"/>
          <w:szCs w:val="24"/>
        </w:rPr>
        <w:t>Prehľad rozpočtov</w:t>
      </w:r>
      <w:r>
        <w:rPr>
          <w:rFonts w:ascii="Arial Narrow" w:hAnsi="Arial Narrow" w:cs="Times New Roman"/>
          <w:b/>
          <w:sz w:val="24"/>
          <w:szCs w:val="24"/>
        </w:rPr>
        <w:t>ých vý</w:t>
      </w:r>
      <w:r w:rsidR="00A5299D">
        <w:rPr>
          <w:rFonts w:ascii="Arial Narrow" w:hAnsi="Arial Narrow" w:cs="Times New Roman"/>
          <w:b/>
          <w:sz w:val="24"/>
          <w:szCs w:val="24"/>
        </w:rPr>
        <w:t>davkov úradu MDPT SR za rok 2007</w:t>
      </w:r>
      <w:r>
        <w:rPr>
          <w:rFonts w:ascii="Arial Narrow" w:hAnsi="Arial Narrow" w:cs="Times New Roman"/>
          <w:b/>
          <w:sz w:val="24"/>
          <w:szCs w:val="24"/>
        </w:rPr>
        <w:t xml:space="preserve">, vrátane prostriedkov </w:t>
      </w:r>
    </w:p>
    <w:p w:rsidR="004B593A" w:rsidRPr="0051222C" w:rsidP="0051222C">
      <w:pPr>
        <w:spacing w:line="240" w:lineRule="auto"/>
        <w:jc w:val="center"/>
        <w:rPr>
          <w:rFonts w:ascii="Arial Narrow" w:hAnsi="Arial Narrow" w:cs="Times New Roman"/>
          <w:b/>
          <w:sz w:val="24"/>
          <w:szCs w:val="24"/>
        </w:rPr>
      </w:pPr>
      <w:r w:rsidR="002D0919">
        <w:rPr>
          <w:rFonts w:ascii="Arial Narrow" w:hAnsi="Arial Narrow" w:cs="Times New Roman"/>
          <w:b/>
          <w:sz w:val="24"/>
          <w:szCs w:val="24"/>
        </w:rPr>
        <w:t>na podporu informatizácie spoloč</w:t>
      </w:r>
      <w:r w:rsidR="002D0919">
        <w:rPr>
          <w:rFonts w:ascii="Arial Narrow" w:hAnsi="Arial Narrow" w:cs="Times New Roman"/>
          <w:b/>
          <w:sz w:val="24"/>
          <w:szCs w:val="24"/>
        </w:rPr>
        <w:t>nosti</w:t>
      </w:r>
      <w:r w:rsidR="00CA7757">
        <w:rPr>
          <w:rFonts w:ascii="Arial Narrow" w:hAnsi="Arial Narrow" w:cs="Times New Roman"/>
          <w:b/>
          <w:sz w:val="24"/>
          <w:szCs w:val="24"/>
        </w:rPr>
        <w:t xml:space="preserve"> a vyčerpanej technickej asistencie</w:t>
      </w:r>
      <w:r w:rsidR="002D0919">
        <w:rPr>
          <w:rFonts w:ascii="Arial Narrow" w:hAnsi="Arial Narrow" w:cs="Times New Roman"/>
        </w:rPr>
        <w:t xml:space="preserve">  </w:t>
      </w:r>
      <w:r w:rsidRPr="00D04D46" w:rsidR="002D0919">
        <w:rPr>
          <w:rFonts w:ascii="Arial Narrow" w:hAnsi="Arial Narrow" w:cs="Times New Roman"/>
        </w:rPr>
        <w:t xml:space="preserve">                                                                    </w:t>
      </w:r>
    </w:p>
    <w:p w:rsidR="002D0919" w:rsidRPr="00D04D46" w:rsidP="002D0919">
      <w:pPr>
        <w:spacing w:line="240" w:lineRule="auto"/>
        <w:rPr>
          <w:rFonts w:ascii="Arial Narrow" w:hAnsi="Arial Narrow" w:cs="Times New Roman"/>
        </w:rPr>
      </w:pPr>
      <w:r w:rsidRPr="00D04D46">
        <w:rPr>
          <w:rFonts w:ascii="Arial Narrow" w:hAnsi="Arial Narrow" w:cs="Times New Roman"/>
        </w:rPr>
        <w:t xml:space="preserve">          </w:t>
      </w:r>
      <w:r>
        <w:rPr>
          <w:rFonts w:ascii="Arial Narrow" w:hAnsi="Arial Narrow" w:cs="Times New Roman"/>
        </w:rPr>
        <w:t xml:space="preserve">                                                                         </w:t>
      </w:r>
      <w:r w:rsidR="00CC3689">
        <w:rPr>
          <w:rFonts w:ascii="Arial Narrow" w:hAnsi="Arial Narrow" w:cs="Times New Roman"/>
        </w:rPr>
        <w:t xml:space="preserve">                                                              </w:t>
      </w:r>
      <w:r w:rsidR="00CC3689">
        <w:rPr>
          <w:rFonts w:ascii="Arial Narrow" w:hAnsi="Arial Narrow" w:cs="Times New Roman"/>
        </w:rPr>
        <w:t xml:space="preserve">                                     </w:t>
      </w:r>
      <w:r>
        <w:rPr>
          <w:rFonts w:ascii="Arial Narrow" w:hAnsi="Arial Narrow" w:cs="Times New Roman"/>
        </w:rPr>
        <w:t xml:space="preserve"> </w:t>
      </w:r>
      <w:r w:rsidRPr="00D04D46">
        <w:rPr>
          <w:rFonts w:ascii="Arial Narrow" w:hAnsi="Arial Narrow" w:cs="Times New Roman"/>
        </w:rPr>
        <w:t>(v Sk)</w:t>
      </w: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Grid>
        <w:gridCol w:w="3600"/>
        <w:gridCol w:w="1440"/>
        <w:gridCol w:w="1620"/>
        <w:gridCol w:w="1440"/>
        <w:gridCol w:w="1440"/>
      </w:tblGrid>
      <w:tr>
        <w:tblPrEx>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auto" w:val="0"/>
        </w:trPr>
        <w:tc>
          <w:tcPr>
            <w:tcW w:w="3600" w:type="dxa"/>
            <w:tcBorders>
              <w:top w:val="single" w:sz="4" w:space="0" w:color="auto"/>
              <w:left w:val="single" w:sz="4" w:space="0" w:color="auto"/>
              <w:bottom w:val="single" w:sz="4" w:space="0" w:color="auto"/>
              <w:right w:val="single" w:sz="4" w:space="0" w:color="auto"/>
              <w:tl2br w:val="nil"/>
              <w:tr2bl w:val="nil"/>
            </w:tcBorders>
            <w:shd w:val="clear" w:color="auto" w:fill="CCCCCC"/>
            <w:textDirection w:val="lrTb"/>
            <w:vAlign w:val="top"/>
          </w:tcPr>
          <w:p w:rsidR="00277D03" w:rsidRPr="00D04D46" w:rsidP="008845FB">
            <w:pPr>
              <w:spacing w:line="240" w:lineRule="auto"/>
              <w:rPr>
                <w:rFonts w:ascii="Times New Roman" w:hAnsi="Times New Roman" w:cs="Times New Roman"/>
                <w:u w:val="single"/>
              </w:rPr>
            </w:pPr>
          </w:p>
        </w:tc>
        <w:tc>
          <w:tcPr>
            <w:tcW w:w="1440" w:type="dxa"/>
            <w:tcBorders>
              <w:top w:val="single" w:sz="4" w:space="0" w:color="auto"/>
              <w:left w:val="single" w:sz="4" w:space="0" w:color="auto"/>
              <w:bottom w:val="single" w:sz="4" w:space="0" w:color="auto"/>
              <w:right w:val="single" w:sz="4" w:space="0" w:color="auto"/>
              <w:tl2br w:val="nil"/>
              <w:tr2bl w:val="nil"/>
            </w:tcBorders>
            <w:shd w:val="clear" w:color="auto" w:fill="CCCCCC"/>
            <w:textDirection w:val="lrTb"/>
            <w:vAlign w:val="center"/>
          </w:tcPr>
          <w:p w:rsidR="00277D03" w:rsidRPr="00FC7E23" w:rsidP="008845FB">
            <w:pPr>
              <w:spacing w:line="240" w:lineRule="auto"/>
              <w:jc w:val="center"/>
              <w:rPr>
                <w:rFonts w:ascii="Arial Narrow" w:hAnsi="Arial Narrow" w:cs="Times New Roman"/>
                <w:b/>
              </w:rPr>
            </w:pPr>
            <w:r w:rsidRPr="00FC7E23">
              <w:rPr>
                <w:rFonts w:ascii="Arial Narrow" w:hAnsi="Arial Narrow" w:cs="Times New Roman"/>
                <w:b/>
              </w:rPr>
              <w:t xml:space="preserve">Schválený rozpočet </w:t>
            </w:r>
            <w:r>
              <w:rPr>
                <w:rFonts w:ascii="Arial Narrow" w:hAnsi="Arial Narrow" w:cs="Times New Roman"/>
                <w:b/>
              </w:rPr>
              <w:t>k 1.1.2007</w:t>
            </w:r>
          </w:p>
        </w:tc>
        <w:tc>
          <w:tcPr>
            <w:tcW w:w="1620" w:type="dxa"/>
            <w:tcBorders>
              <w:top w:val="single" w:sz="4" w:space="0" w:color="auto"/>
              <w:left w:val="single" w:sz="4" w:space="0" w:color="auto"/>
              <w:bottom w:val="single" w:sz="4" w:space="0" w:color="auto"/>
              <w:right w:val="single" w:sz="4" w:space="0" w:color="auto"/>
              <w:tl2br w:val="nil"/>
              <w:tr2bl w:val="nil"/>
            </w:tcBorders>
            <w:shd w:val="clear" w:color="auto" w:fill="CCCCCC"/>
            <w:textDirection w:val="lrTb"/>
            <w:vAlign w:val="center"/>
          </w:tcPr>
          <w:p w:rsidR="00277D03" w:rsidRPr="00FC7E23" w:rsidP="008845FB">
            <w:pPr>
              <w:spacing w:line="240" w:lineRule="auto"/>
              <w:jc w:val="center"/>
              <w:rPr>
                <w:rFonts w:ascii="Arial Narrow" w:hAnsi="Arial Narrow" w:cs="Times New Roman"/>
                <w:b/>
              </w:rPr>
            </w:pPr>
            <w:r w:rsidRPr="00FC7E23">
              <w:rPr>
                <w:rFonts w:ascii="Arial Narrow" w:hAnsi="Arial Narrow" w:cs="Times New Roman"/>
                <w:b/>
              </w:rPr>
              <w:t>Upravený rozpočet k</w:t>
            </w:r>
            <w:r>
              <w:rPr>
                <w:rFonts w:ascii="Arial Narrow" w:hAnsi="Arial Narrow" w:cs="Times New Roman"/>
                <w:b/>
              </w:rPr>
              <w:t> 31.12.2007</w:t>
            </w:r>
          </w:p>
        </w:tc>
        <w:tc>
          <w:tcPr>
            <w:tcW w:w="1440" w:type="dxa"/>
            <w:tcBorders>
              <w:top w:val="single" w:sz="4" w:space="0" w:color="auto"/>
              <w:left w:val="single" w:sz="4" w:space="0" w:color="auto"/>
              <w:bottom w:val="single" w:sz="4" w:space="0" w:color="auto"/>
              <w:right w:val="single" w:sz="4" w:space="0" w:color="auto"/>
              <w:tl2br w:val="nil"/>
              <w:tr2bl w:val="nil"/>
            </w:tcBorders>
            <w:shd w:val="clear" w:color="auto" w:fill="CCCCCC"/>
            <w:textDirection w:val="lrTb"/>
            <w:vAlign w:val="center"/>
          </w:tcPr>
          <w:p w:rsidR="00277D03" w:rsidRPr="00FC7E23" w:rsidP="008845FB">
            <w:pPr>
              <w:spacing w:line="240" w:lineRule="auto"/>
              <w:jc w:val="center"/>
              <w:rPr>
                <w:rFonts w:ascii="Arial Narrow" w:hAnsi="Arial Narrow" w:cs="Times New Roman"/>
                <w:b/>
              </w:rPr>
            </w:pPr>
            <w:r w:rsidRPr="00FC7E23">
              <w:rPr>
                <w:rFonts w:ascii="Arial Narrow" w:hAnsi="Arial Narrow" w:cs="Times New Roman"/>
                <w:b/>
              </w:rPr>
              <w:t>Skutočné čerpanie k</w:t>
            </w:r>
            <w:r>
              <w:rPr>
                <w:rFonts w:ascii="Arial Narrow" w:hAnsi="Arial Narrow" w:cs="Times New Roman"/>
                <w:b/>
              </w:rPr>
              <w:t> 31.12.2007</w:t>
            </w:r>
          </w:p>
        </w:tc>
        <w:tc>
          <w:tcPr>
            <w:tcW w:w="1440" w:type="dxa"/>
            <w:tcBorders>
              <w:top w:val="single" w:sz="4" w:space="0" w:color="auto"/>
              <w:left w:val="single" w:sz="4" w:space="0" w:color="auto"/>
              <w:bottom w:val="single" w:sz="4" w:space="0" w:color="auto"/>
              <w:right w:val="single" w:sz="4" w:space="0" w:color="auto"/>
              <w:tl2br w:val="nil"/>
              <w:tr2bl w:val="nil"/>
            </w:tcBorders>
            <w:shd w:val="clear" w:color="auto" w:fill="CCCCCC"/>
            <w:textDirection w:val="lrTb"/>
            <w:vAlign w:val="center"/>
          </w:tcPr>
          <w:p w:rsidR="00277D03" w:rsidRPr="00FC7E23" w:rsidP="008845FB">
            <w:pPr>
              <w:spacing w:line="240" w:lineRule="auto"/>
              <w:jc w:val="center"/>
              <w:rPr>
                <w:rFonts w:ascii="Arial Narrow" w:hAnsi="Arial Narrow" w:cs="Times New Roman"/>
                <w:b/>
              </w:rPr>
            </w:pPr>
            <w:r w:rsidR="00F70098">
              <w:rPr>
                <w:rFonts w:ascii="Arial Narrow" w:hAnsi="Arial Narrow" w:cs="Times New Roman"/>
                <w:b/>
              </w:rPr>
              <w:t>Rozdiel</w:t>
            </w:r>
          </w:p>
        </w:tc>
      </w:tr>
      <w:tr>
        <w:tblPrEx>
          <w:tblW w:w="9540" w:type="dxa"/>
          <w:tblInd w:w="-72" w:type="dxa"/>
        </w:tblPrEx>
        <w:trPr>
          <w:trHeight w:hRule="auto" w:val="0"/>
        </w:trPr>
        <w:tc>
          <w:tcPr>
            <w:tcW w:w="360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277D03" w:rsidRPr="00DC7250" w:rsidP="008845FB">
            <w:pPr>
              <w:spacing w:line="240" w:lineRule="auto"/>
              <w:rPr>
                <w:rFonts w:ascii="Arial Narrow" w:hAnsi="Arial Narrow" w:cs="Times New Roman"/>
              </w:rPr>
            </w:pPr>
            <w:r>
              <w:rPr>
                <w:rFonts w:ascii="Arial Narrow" w:hAnsi="Arial Narrow" w:cs="Times New Roman"/>
              </w:rPr>
              <w:t xml:space="preserve">01.1.3 Zahraničná oblasť (640 - BT) </w:t>
            </w:r>
          </w:p>
        </w:tc>
        <w:tc>
          <w:tcPr>
            <w:tcW w:w="144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277D03" w:rsidP="008845FB">
            <w:pPr>
              <w:spacing w:line="240" w:lineRule="auto"/>
              <w:jc w:val="right"/>
              <w:rPr>
                <w:rFonts w:ascii="Arial Narrow" w:hAnsi="Arial Narrow" w:cs="Times New Roman"/>
              </w:rPr>
            </w:pPr>
            <w:r w:rsidR="007D18CF">
              <w:rPr>
                <w:rFonts w:ascii="Arial Narrow" w:hAnsi="Arial Narrow" w:cs="Times New Roman"/>
              </w:rPr>
              <w:t>22 035 000,00</w:t>
            </w:r>
          </w:p>
        </w:tc>
        <w:tc>
          <w:tcPr>
            <w:tcW w:w="162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277D03" w:rsidRPr="00E519A4" w:rsidP="008845FB">
            <w:pPr>
              <w:spacing w:line="240" w:lineRule="auto"/>
              <w:jc w:val="right"/>
              <w:rPr>
                <w:rFonts w:ascii="Arial Narrow" w:hAnsi="Arial Narrow" w:cs="Times New Roman"/>
              </w:rPr>
            </w:pPr>
            <w:r>
              <w:rPr>
                <w:rFonts w:ascii="Arial Narrow" w:hAnsi="Arial Narrow" w:cs="Times New Roman"/>
              </w:rPr>
              <w:t xml:space="preserve">   </w:t>
            </w:r>
            <w:r w:rsidR="007D18CF">
              <w:rPr>
                <w:rFonts w:ascii="Arial Narrow" w:hAnsi="Arial Narrow" w:cs="Times New Roman"/>
              </w:rPr>
              <w:t>20 035 000,00</w:t>
            </w:r>
          </w:p>
        </w:tc>
        <w:tc>
          <w:tcPr>
            <w:tcW w:w="144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277D03" w:rsidP="008845FB">
            <w:pPr>
              <w:spacing w:line="240" w:lineRule="auto"/>
              <w:jc w:val="right"/>
              <w:rPr>
                <w:rFonts w:ascii="Arial Narrow" w:hAnsi="Arial Narrow" w:cs="Times New Roman"/>
              </w:rPr>
            </w:pPr>
            <w:r w:rsidR="00345837">
              <w:rPr>
                <w:rFonts w:ascii="Arial Narrow" w:hAnsi="Arial Narrow" w:cs="Times New Roman"/>
              </w:rPr>
              <w:t>19 925 315,35</w:t>
            </w:r>
          </w:p>
        </w:tc>
        <w:tc>
          <w:tcPr>
            <w:tcW w:w="144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277D03" w:rsidP="008845FB">
            <w:pPr>
              <w:spacing w:line="240" w:lineRule="auto"/>
              <w:jc w:val="right"/>
              <w:rPr>
                <w:rFonts w:ascii="Arial Narrow" w:hAnsi="Arial Narrow" w:cs="Times New Roman"/>
              </w:rPr>
            </w:pPr>
            <w:r w:rsidR="00345837">
              <w:rPr>
                <w:rFonts w:ascii="Arial Narrow" w:hAnsi="Arial Narrow" w:cs="Times New Roman"/>
              </w:rPr>
              <w:t>109 684,65</w:t>
            </w:r>
          </w:p>
        </w:tc>
      </w:tr>
      <w:tr>
        <w:tblPrEx>
          <w:tblW w:w="9540" w:type="dxa"/>
          <w:tblInd w:w="-72" w:type="dxa"/>
        </w:tblPrEx>
        <w:trPr>
          <w:trHeight w:hRule="auto" w:val="0"/>
        </w:trPr>
        <w:tc>
          <w:tcPr>
            <w:tcW w:w="360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277D03" w:rsidRPr="00B80024" w:rsidP="008845FB">
            <w:pPr>
              <w:spacing w:line="240" w:lineRule="auto"/>
              <w:rPr>
                <w:rFonts w:ascii="Arial Narrow" w:hAnsi="Arial Narrow" w:cs="Times New Roman"/>
                <w:highlight w:val="lightGray"/>
              </w:rPr>
            </w:pPr>
            <w:r w:rsidRPr="00B80024">
              <w:rPr>
                <w:rFonts w:ascii="Arial Narrow" w:hAnsi="Arial Narrow" w:cs="Times New Roman"/>
              </w:rPr>
              <w:t>04.5.1.1 MDPT S</w:t>
            </w:r>
            <w:r w:rsidRPr="00B80024">
              <w:rPr>
                <w:rFonts w:ascii="Arial Narrow" w:hAnsi="Arial Narrow" w:cs="Times New Roman"/>
              </w:rPr>
              <w:t>R</w:t>
            </w:r>
            <w:r>
              <w:rPr>
                <w:rFonts w:ascii="Arial Narrow" w:hAnsi="Arial Narrow" w:cs="Times New Roman"/>
              </w:rPr>
              <w:t xml:space="preserve"> - </w:t>
            </w:r>
            <w:r w:rsidRPr="00B80024">
              <w:rPr>
                <w:rFonts w:ascii="Arial Narrow" w:hAnsi="Arial Narrow" w:cs="Times New Roman"/>
              </w:rPr>
              <w:t>aparát MDPT SR</w:t>
            </w:r>
          </w:p>
        </w:tc>
        <w:tc>
          <w:tcPr>
            <w:tcW w:w="144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277D03" w:rsidRPr="00B80024" w:rsidP="008845FB">
            <w:pPr>
              <w:spacing w:line="240" w:lineRule="auto"/>
              <w:jc w:val="right"/>
              <w:rPr>
                <w:rFonts w:ascii="Arial Narrow" w:hAnsi="Arial Narrow" w:cs="Times New Roman"/>
                <w:highlight w:val="lightGray"/>
              </w:rPr>
            </w:pPr>
            <w:r w:rsidRPr="006C7767" w:rsidR="006C7767">
              <w:rPr>
                <w:rFonts w:ascii="Arial Narrow" w:hAnsi="Arial Narrow" w:cs="Times New Roman"/>
              </w:rPr>
              <w:t>757 522 000,00</w:t>
            </w:r>
          </w:p>
        </w:tc>
        <w:tc>
          <w:tcPr>
            <w:tcW w:w="162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277D03" w:rsidRPr="00E519A4" w:rsidP="008845FB">
            <w:pPr>
              <w:spacing w:line="240" w:lineRule="auto"/>
              <w:jc w:val="right"/>
              <w:rPr>
                <w:rFonts w:ascii="Arial Narrow" w:hAnsi="Arial Narrow" w:cs="Times New Roman"/>
              </w:rPr>
            </w:pPr>
            <w:r w:rsidR="006C7767">
              <w:rPr>
                <w:rFonts w:ascii="Arial Narrow" w:hAnsi="Arial Narrow" w:cs="Times New Roman"/>
              </w:rPr>
              <w:t>632 151 522,27</w:t>
            </w:r>
          </w:p>
        </w:tc>
        <w:tc>
          <w:tcPr>
            <w:tcW w:w="144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277D03" w:rsidRPr="00EF7657" w:rsidP="008845FB">
            <w:pPr>
              <w:spacing w:line="240" w:lineRule="auto"/>
              <w:jc w:val="right"/>
              <w:rPr>
                <w:rFonts w:ascii="Arial Narrow" w:hAnsi="Arial Narrow" w:cs="Times New Roman"/>
              </w:rPr>
            </w:pPr>
            <w:r w:rsidR="006C7767">
              <w:rPr>
                <w:rFonts w:ascii="Arial Narrow" w:hAnsi="Arial Narrow" w:cs="Times New Roman"/>
              </w:rPr>
              <w:t>634 231 140,96</w:t>
            </w:r>
          </w:p>
        </w:tc>
        <w:tc>
          <w:tcPr>
            <w:tcW w:w="144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277D03" w:rsidRPr="00EF7657" w:rsidP="008845FB">
            <w:pPr>
              <w:spacing w:line="240" w:lineRule="auto"/>
              <w:jc w:val="right"/>
              <w:rPr>
                <w:rFonts w:ascii="Arial Narrow" w:hAnsi="Arial Narrow" w:cs="Times New Roman"/>
              </w:rPr>
            </w:pPr>
            <w:r w:rsidR="006C7767">
              <w:rPr>
                <w:rFonts w:ascii="Arial Narrow" w:hAnsi="Arial Narrow" w:cs="Times New Roman"/>
              </w:rPr>
              <w:t>- 2 079 618,69</w:t>
            </w:r>
          </w:p>
        </w:tc>
      </w:tr>
      <w:tr>
        <w:tblPrEx>
          <w:tblW w:w="9540" w:type="dxa"/>
          <w:tblInd w:w="-72" w:type="dxa"/>
        </w:tblPrEx>
        <w:trPr>
          <w:trHeight w:hRule="auto" w:val="0"/>
        </w:trPr>
        <w:tc>
          <w:tcPr>
            <w:tcW w:w="360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277D03" w:rsidRPr="00DC7250" w:rsidP="008845FB">
            <w:pPr>
              <w:spacing w:line="240" w:lineRule="auto"/>
              <w:rPr>
                <w:rFonts w:ascii="Arial Narrow" w:hAnsi="Arial Narrow" w:cs="Times New Roman"/>
              </w:rPr>
            </w:pPr>
            <w:r w:rsidRPr="00DC7250">
              <w:rPr>
                <w:rFonts w:ascii="Arial Narrow" w:hAnsi="Arial Narrow" w:cs="Times New Roman"/>
              </w:rPr>
              <w:t>Bežné výdavky (600), z toho:</w:t>
            </w:r>
          </w:p>
        </w:tc>
        <w:tc>
          <w:tcPr>
            <w:tcW w:w="144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277D03" w:rsidRPr="00DC7250" w:rsidP="008845FB">
            <w:pPr>
              <w:spacing w:line="240" w:lineRule="auto"/>
              <w:jc w:val="right"/>
              <w:rPr>
                <w:rFonts w:ascii="Arial Narrow" w:hAnsi="Arial Narrow" w:cs="Times New Roman"/>
              </w:rPr>
            </w:pPr>
            <w:r>
              <w:rPr>
                <w:rFonts w:ascii="Arial Narrow" w:hAnsi="Arial Narrow" w:cs="Times New Roman"/>
              </w:rPr>
              <w:t>6</w:t>
            </w:r>
            <w:r w:rsidR="00345837">
              <w:rPr>
                <w:rFonts w:ascii="Arial Narrow" w:hAnsi="Arial Narrow" w:cs="Times New Roman"/>
              </w:rPr>
              <w:t>84 136 000,00</w:t>
            </w:r>
          </w:p>
        </w:tc>
        <w:tc>
          <w:tcPr>
            <w:tcW w:w="162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277D03" w:rsidRPr="00DC7250" w:rsidP="008845FB">
            <w:pPr>
              <w:spacing w:line="240" w:lineRule="auto"/>
              <w:jc w:val="right"/>
              <w:rPr>
                <w:rFonts w:ascii="Arial Narrow" w:hAnsi="Arial Narrow" w:cs="Times New Roman"/>
              </w:rPr>
            </w:pPr>
            <w:r w:rsidR="00345837">
              <w:rPr>
                <w:rFonts w:ascii="Arial Narrow" w:hAnsi="Arial Narrow" w:cs="Times New Roman"/>
              </w:rPr>
              <w:t>578 557 924,94</w:t>
            </w:r>
          </w:p>
        </w:tc>
        <w:tc>
          <w:tcPr>
            <w:tcW w:w="144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277D03" w:rsidRPr="00B23854" w:rsidP="008845FB">
            <w:pPr>
              <w:spacing w:line="240" w:lineRule="auto"/>
              <w:jc w:val="right"/>
              <w:rPr>
                <w:rFonts w:ascii="Arial Narrow" w:hAnsi="Arial Narrow" w:cs="Times New Roman"/>
              </w:rPr>
            </w:pPr>
            <w:r w:rsidR="00345837">
              <w:rPr>
                <w:rFonts w:ascii="Arial Narrow" w:hAnsi="Arial Narrow" w:cs="Times New Roman"/>
              </w:rPr>
              <w:t>569 609 182,77</w:t>
            </w:r>
          </w:p>
        </w:tc>
        <w:tc>
          <w:tcPr>
            <w:tcW w:w="144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277D03" w:rsidP="008845FB">
            <w:pPr>
              <w:spacing w:line="240" w:lineRule="auto"/>
              <w:jc w:val="right"/>
              <w:rPr>
                <w:rFonts w:ascii="Arial Narrow" w:hAnsi="Arial Narrow" w:cs="Times New Roman"/>
              </w:rPr>
            </w:pPr>
            <w:r w:rsidR="00345837">
              <w:rPr>
                <w:rFonts w:ascii="Arial Narrow" w:hAnsi="Arial Narrow" w:cs="Times New Roman"/>
              </w:rPr>
              <w:t>8 948 742,17</w:t>
            </w:r>
          </w:p>
        </w:tc>
      </w:tr>
      <w:tr>
        <w:tblPrEx>
          <w:tblW w:w="9540" w:type="dxa"/>
          <w:tblInd w:w="-72" w:type="dxa"/>
        </w:tblPrEx>
        <w:trPr>
          <w:trHeight w:hRule="auto" w:val="0"/>
        </w:trPr>
        <w:tc>
          <w:tcPr>
            <w:tcW w:w="360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277D03" w:rsidRPr="00D04D46" w:rsidP="008845FB">
            <w:pPr>
              <w:spacing w:line="240" w:lineRule="auto"/>
              <w:rPr>
                <w:rFonts w:ascii="Arial Narrow" w:hAnsi="Arial Narrow" w:cs="Times New Roman"/>
              </w:rPr>
            </w:pPr>
            <w:r>
              <w:rPr>
                <w:rFonts w:ascii="Arial Narrow" w:hAnsi="Arial Narrow" w:cs="Times New Roman"/>
              </w:rPr>
              <w:t>Mzdy, platy, sl. príjmy a OOV (610)</w:t>
            </w:r>
          </w:p>
        </w:tc>
        <w:tc>
          <w:tcPr>
            <w:tcW w:w="144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277D03" w:rsidRPr="00D04D46" w:rsidP="008845FB">
            <w:pPr>
              <w:spacing w:line="240" w:lineRule="auto"/>
              <w:jc w:val="right"/>
              <w:rPr>
                <w:rFonts w:ascii="Arial Narrow" w:hAnsi="Arial Narrow" w:cs="Times New Roman"/>
              </w:rPr>
            </w:pPr>
            <w:r w:rsidR="00345837">
              <w:rPr>
                <w:rFonts w:ascii="Arial Narrow" w:hAnsi="Arial Narrow" w:cs="Times New Roman"/>
              </w:rPr>
              <w:t xml:space="preserve">116 382 </w:t>
            </w:r>
            <w:r>
              <w:rPr>
                <w:rFonts w:ascii="Arial Narrow" w:hAnsi="Arial Narrow" w:cs="Times New Roman"/>
              </w:rPr>
              <w:t>000,00</w:t>
            </w:r>
          </w:p>
        </w:tc>
        <w:tc>
          <w:tcPr>
            <w:tcW w:w="162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277D03" w:rsidRPr="00D04D46" w:rsidP="008845FB">
            <w:pPr>
              <w:spacing w:line="240" w:lineRule="auto"/>
              <w:jc w:val="right"/>
              <w:rPr>
                <w:rFonts w:ascii="Arial Narrow" w:hAnsi="Arial Narrow" w:cs="Times New Roman"/>
              </w:rPr>
            </w:pPr>
            <w:r>
              <w:rPr>
                <w:rFonts w:ascii="Arial Narrow" w:hAnsi="Arial Narrow" w:cs="Times New Roman"/>
              </w:rPr>
              <w:t>1</w:t>
            </w:r>
            <w:r w:rsidR="00345837">
              <w:rPr>
                <w:rFonts w:ascii="Arial Narrow" w:hAnsi="Arial Narrow" w:cs="Times New Roman"/>
              </w:rPr>
              <w:t>22 996 575,40</w:t>
            </w:r>
          </w:p>
        </w:tc>
        <w:tc>
          <w:tcPr>
            <w:tcW w:w="144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277D03" w:rsidRPr="00B23854" w:rsidP="008845FB">
            <w:pPr>
              <w:spacing w:line="240" w:lineRule="auto"/>
              <w:jc w:val="right"/>
              <w:rPr>
                <w:rFonts w:ascii="Arial Narrow" w:hAnsi="Arial Narrow" w:cs="Times New Roman"/>
              </w:rPr>
            </w:pPr>
            <w:r w:rsidR="00345837">
              <w:rPr>
                <w:rFonts w:ascii="Arial Narrow" w:hAnsi="Arial Narrow" w:cs="Times New Roman"/>
              </w:rPr>
              <w:t>122 922 001,00</w:t>
            </w:r>
          </w:p>
        </w:tc>
        <w:tc>
          <w:tcPr>
            <w:tcW w:w="144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277D03" w:rsidP="008845FB">
            <w:pPr>
              <w:spacing w:line="240" w:lineRule="auto"/>
              <w:jc w:val="right"/>
              <w:rPr>
                <w:rFonts w:ascii="Arial Narrow" w:hAnsi="Arial Narrow" w:cs="Times New Roman"/>
              </w:rPr>
            </w:pPr>
            <w:r w:rsidR="00345837">
              <w:rPr>
                <w:rFonts w:ascii="Arial Narrow" w:hAnsi="Arial Narrow" w:cs="Times New Roman"/>
              </w:rPr>
              <w:t>74 574,</w:t>
            </w:r>
            <w:r w:rsidR="00345837">
              <w:rPr>
                <w:rFonts w:ascii="Arial Narrow" w:hAnsi="Arial Narrow" w:cs="Times New Roman"/>
              </w:rPr>
              <w:t>40</w:t>
            </w:r>
          </w:p>
        </w:tc>
      </w:tr>
      <w:tr>
        <w:tblPrEx>
          <w:tblW w:w="9540" w:type="dxa"/>
          <w:tblInd w:w="-72" w:type="dxa"/>
        </w:tblPrEx>
        <w:trPr>
          <w:trHeight w:hRule="auto" w:val="0"/>
        </w:trPr>
        <w:tc>
          <w:tcPr>
            <w:tcW w:w="360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277D03" w:rsidRPr="00D04D46" w:rsidP="008845FB">
            <w:pPr>
              <w:spacing w:line="240" w:lineRule="auto"/>
              <w:rPr>
                <w:rFonts w:ascii="Arial Narrow" w:hAnsi="Arial Narrow" w:cs="Times New Roman"/>
              </w:rPr>
            </w:pPr>
            <w:r>
              <w:rPr>
                <w:rFonts w:ascii="Arial Narrow" w:hAnsi="Arial Narrow" w:cs="Times New Roman"/>
              </w:rPr>
              <w:t>Poistné a príspevok do poisťovní (620)</w:t>
            </w:r>
          </w:p>
        </w:tc>
        <w:tc>
          <w:tcPr>
            <w:tcW w:w="144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277D03" w:rsidRPr="00D04D46" w:rsidP="008845FB">
            <w:pPr>
              <w:spacing w:line="240" w:lineRule="auto"/>
              <w:jc w:val="right"/>
              <w:rPr>
                <w:rFonts w:ascii="Arial Narrow" w:hAnsi="Arial Narrow" w:cs="Times New Roman"/>
              </w:rPr>
            </w:pPr>
            <w:r w:rsidR="00345837">
              <w:rPr>
                <w:rFonts w:ascii="Arial Narrow" w:hAnsi="Arial Narrow" w:cs="Times New Roman"/>
              </w:rPr>
              <w:t>40 595</w:t>
            </w:r>
            <w:r>
              <w:rPr>
                <w:rFonts w:ascii="Arial Narrow" w:hAnsi="Arial Narrow" w:cs="Times New Roman"/>
              </w:rPr>
              <w:t> 000,00</w:t>
            </w:r>
          </w:p>
        </w:tc>
        <w:tc>
          <w:tcPr>
            <w:tcW w:w="162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277D03" w:rsidRPr="00D04D46" w:rsidP="008845FB">
            <w:pPr>
              <w:spacing w:line="240" w:lineRule="auto"/>
              <w:jc w:val="right"/>
              <w:rPr>
                <w:rFonts w:ascii="Arial Narrow" w:hAnsi="Arial Narrow" w:cs="Times New Roman"/>
              </w:rPr>
            </w:pPr>
            <w:r>
              <w:rPr>
                <w:rFonts w:ascii="Arial Narrow" w:hAnsi="Arial Narrow" w:cs="Times New Roman"/>
              </w:rPr>
              <w:t xml:space="preserve"> 3</w:t>
            </w:r>
            <w:r w:rsidR="00345837">
              <w:rPr>
                <w:rFonts w:ascii="Arial Narrow" w:hAnsi="Arial Narrow" w:cs="Times New Roman"/>
              </w:rPr>
              <w:t>8 777 661,85</w:t>
            </w:r>
          </w:p>
        </w:tc>
        <w:tc>
          <w:tcPr>
            <w:tcW w:w="144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277D03" w:rsidRPr="00B23854" w:rsidP="008845FB">
            <w:pPr>
              <w:spacing w:line="240" w:lineRule="auto"/>
              <w:jc w:val="right"/>
              <w:rPr>
                <w:rFonts w:ascii="Arial Narrow" w:hAnsi="Arial Narrow" w:cs="Times New Roman"/>
              </w:rPr>
            </w:pPr>
            <w:r>
              <w:rPr>
                <w:rFonts w:ascii="Arial Narrow" w:hAnsi="Arial Narrow" w:cs="Times New Roman"/>
              </w:rPr>
              <w:t>3</w:t>
            </w:r>
            <w:r w:rsidR="00345837">
              <w:rPr>
                <w:rFonts w:ascii="Arial Narrow" w:hAnsi="Arial Narrow" w:cs="Times New Roman"/>
              </w:rPr>
              <w:t>8 564 946,00</w:t>
            </w:r>
          </w:p>
        </w:tc>
        <w:tc>
          <w:tcPr>
            <w:tcW w:w="144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277D03" w:rsidP="008845FB">
            <w:pPr>
              <w:spacing w:line="240" w:lineRule="auto"/>
              <w:jc w:val="right"/>
              <w:rPr>
                <w:rFonts w:ascii="Arial Narrow" w:hAnsi="Arial Narrow" w:cs="Times New Roman"/>
              </w:rPr>
            </w:pPr>
            <w:r w:rsidR="00345837">
              <w:rPr>
                <w:rFonts w:ascii="Arial Narrow" w:hAnsi="Arial Narrow" w:cs="Times New Roman"/>
              </w:rPr>
              <w:t>212 715,85</w:t>
            </w:r>
          </w:p>
        </w:tc>
      </w:tr>
      <w:tr>
        <w:tblPrEx>
          <w:tblW w:w="9540" w:type="dxa"/>
          <w:tblInd w:w="-72" w:type="dxa"/>
        </w:tblPrEx>
        <w:trPr>
          <w:trHeight w:hRule="auto" w:val="0"/>
        </w:trPr>
        <w:tc>
          <w:tcPr>
            <w:tcW w:w="360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277D03" w:rsidRPr="00D04D46" w:rsidP="008845FB">
            <w:pPr>
              <w:spacing w:line="240" w:lineRule="auto"/>
              <w:rPr>
                <w:rFonts w:ascii="Arial Narrow" w:hAnsi="Arial Narrow" w:cs="Times New Roman"/>
              </w:rPr>
            </w:pPr>
            <w:r>
              <w:rPr>
                <w:rFonts w:ascii="Arial Narrow" w:hAnsi="Arial Narrow" w:cs="Times New Roman"/>
              </w:rPr>
              <w:t>Tovary a služby (630)</w:t>
            </w:r>
          </w:p>
        </w:tc>
        <w:tc>
          <w:tcPr>
            <w:tcW w:w="144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277D03" w:rsidRPr="00D04D46" w:rsidP="008845FB">
            <w:pPr>
              <w:spacing w:line="240" w:lineRule="auto"/>
              <w:jc w:val="right"/>
              <w:rPr>
                <w:rFonts w:ascii="Arial Narrow" w:hAnsi="Arial Narrow" w:cs="Times New Roman"/>
              </w:rPr>
            </w:pPr>
            <w:r w:rsidR="00345837">
              <w:rPr>
                <w:rFonts w:ascii="Arial Narrow" w:hAnsi="Arial Narrow" w:cs="Times New Roman"/>
              </w:rPr>
              <w:t>522 286 000</w:t>
            </w:r>
            <w:r>
              <w:rPr>
                <w:rFonts w:ascii="Arial Narrow" w:hAnsi="Arial Narrow" w:cs="Times New Roman"/>
              </w:rPr>
              <w:t>,00</w:t>
            </w:r>
          </w:p>
        </w:tc>
        <w:tc>
          <w:tcPr>
            <w:tcW w:w="162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277D03" w:rsidRPr="00D04D46" w:rsidP="008845FB">
            <w:pPr>
              <w:spacing w:line="240" w:lineRule="auto"/>
              <w:jc w:val="right"/>
              <w:rPr>
                <w:rFonts w:ascii="Arial Narrow" w:hAnsi="Arial Narrow" w:cs="Times New Roman"/>
              </w:rPr>
            </w:pPr>
            <w:r>
              <w:rPr>
                <w:rFonts w:ascii="Arial Narrow" w:hAnsi="Arial Narrow" w:cs="Times New Roman"/>
              </w:rPr>
              <w:t>4</w:t>
            </w:r>
            <w:r w:rsidR="00345837">
              <w:rPr>
                <w:rFonts w:ascii="Arial Narrow" w:hAnsi="Arial Narrow" w:cs="Times New Roman"/>
              </w:rPr>
              <w:t>14 086 664,59</w:t>
            </w:r>
          </w:p>
        </w:tc>
        <w:tc>
          <w:tcPr>
            <w:tcW w:w="144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277D03" w:rsidRPr="00B23854" w:rsidP="008845FB">
            <w:pPr>
              <w:spacing w:line="240" w:lineRule="auto"/>
              <w:jc w:val="right"/>
              <w:rPr>
                <w:rFonts w:ascii="Arial Narrow" w:hAnsi="Arial Narrow" w:cs="Times New Roman"/>
              </w:rPr>
            </w:pPr>
            <w:r>
              <w:rPr>
                <w:rFonts w:ascii="Arial Narrow" w:hAnsi="Arial Narrow" w:cs="Times New Roman"/>
              </w:rPr>
              <w:t>4</w:t>
            </w:r>
            <w:r w:rsidR="00345837">
              <w:rPr>
                <w:rFonts w:ascii="Arial Narrow" w:hAnsi="Arial Narrow" w:cs="Times New Roman"/>
              </w:rPr>
              <w:t>05 573 904,77</w:t>
            </w:r>
          </w:p>
        </w:tc>
        <w:tc>
          <w:tcPr>
            <w:tcW w:w="144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277D03" w:rsidP="008845FB">
            <w:pPr>
              <w:spacing w:line="240" w:lineRule="auto"/>
              <w:jc w:val="right"/>
              <w:rPr>
                <w:rFonts w:ascii="Arial Narrow" w:hAnsi="Arial Narrow" w:cs="Times New Roman"/>
              </w:rPr>
            </w:pPr>
            <w:r w:rsidR="00345837">
              <w:rPr>
                <w:rFonts w:ascii="Arial Narrow" w:hAnsi="Arial Narrow" w:cs="Times New Roman"/>
              </w:rPr>
              <w:t>8 512 759,82</w:t>
            </w:r>
          </w:p>
        </w:tc>
      </w:tr>
      <w:tr>
        <w:tblPrEx>
          <w:tblW w:w="9540" w:type="dxa"/>
          <w:tblInd w:w="-72" w:type="dxa"/>
        </w:tblPrEx>
        <w:trPr>
          <w:trHeight w:hRule="auto" w:val="0"/>
        </w:trPr>
        <w:tc>
          <w:tcPr>
            <w:tcW w:w="360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277D03" w:rsidRPr="00D04D46" w:rsidP="008845FB">
            <w:pPr>
              <w:spacing w:line="240" w:lineRule="auto"/>
              <w:rPr>
                <w:rFonts w:ascii="Arial Narrow" w:hAnsi="Arial Narrow" w:cs="Times New Roman"/>
              </w:rPr>
            </w:pPr>
            <w:r>
              <w:rPr>
                <w:rFonts w:ascii="Arial Narrow" w:hAnsi="Arial Narrow" w:cs="Times New Roman"/>
              </w:rPr>
              <w:t>Bežné transfery (640)</w:t>
            </w:r>
          </w:p>
        </w:tc>
        <w:tc>
          <w:tcPr>
            <w:tcW w:w="144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277D03" w:rsidRPr="00D04D46" w:rsidP="008845FB">
            <w:pPr>
              <w:spacing w:line="240" w:lineRule="auto"/>
              <w:jc w:val="right"/>
              <w:rPr>
                <w:rFonts w:ascii="Arial Narrow" w:hAnsi="Arial Narrow" w:cs="Times New Roman"/>
              </w:rPr>
            </w:pPr>
            <w:r w:rsidR="00345837">
              <w:rPr>
                <w:rFonts w:ascii="Arial Narrow" w:hAnsi="Arial Narrow" w:cs="Times New Roman"/>
              </w:rPr>
              <w:t>4 873 000,00</w:t>
            </w:r>
          </w:p>
        </w:tc>
        <w:tc>
          <w:tcPr>
            <w:tcW w:w="162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277D03" w:rsidRPr="00D04D46" w:rsidP="008845FB">
            <w:pPr>
              <w:spacing w:line="240" w:lineRule="auto"/>
              <w:jc w:val="right"/>
              <w:rPr>
                <w:rFonts w:ascii="Arial Narrow" w:hAnsi="Arial Narrow" w:cs="Times New Roman"/>
              </w:rPr>
            </w:pPr>
            <w:r w:rsidR="00345837">
              <w:rPr>
                <w:rFonts w:ascii="Arial Narrow" w:hAnsi="Arial Narrow" w:cs="Times New Roman"/>
              </w:rPr>
              <w:t>2 697 023,10</w:t>
            </w:r>
          </w:p>
        </w:tc>
        <w:tc>
          <w:tcPr>
            <w:tcW w:w="144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277D03" w:rsidRPr="00B23854" w:rsidP="008845FB">
            <w:pPr>
              <w:spacing w:line="240" w:lineRule="auto"/>
              <w:jc w:val="right"/>
              <w:rPr>
                <w:rFonts w:ascii="Arial Narrow" w:hAnsi="Arial Narrow" w:cs="Times New Roman"/>
              </w:rPr>
            </w:pPr>
            <w:r w:rsidR="00345837">
              <w:rPr>
                <w:rFonts w:ascii="Arial Narrow" w:hAnsi="Arial Narrow" w:cs="Times New Roman"/>
              </w:rPr>
              <w:t>2 548 331,00</w:t>
            </w:r>
          </w:p>
        </w:tc>
        <w:tc>
          <w:tcPr>
            <w:tcW w:w="144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277D03" w:rsidP="008845FB">
            <w:pPr>
              <w:spacing w:line="240" w:lineRule="auto"/>
              <w:jc w:val="right"/>
              <w:rPr>
                <w:rFonts w:ascii="Arial Narrow" w:hAnsi="Arial Narrow" w:cs="Times New Roman"/>
              </w:rPr>
            </w:pPr>
            <w:r w:rsidR="00345837">
              <w:rPr>
                <w:rFonts w:ascii="Arial Narrow" w:hAnsi="Arial Narrow" w:cs="Times New Roman"/>
              </w:rPr>
              <w:t>148 692,10</w:t>
            </w:r>
          </w:p>
        </w:tc>
      </w:tr>
      <w:tr>
        <w:tblPrEx>
          <w:tblW w:w="9540" w:type="dxa"/>
          <w:tblInd w:w="-72" w:type="dxa"/>
        </w:tblPrEx>
        <w:trPr>
          <w:trHeight w:hRule="auto" w:val="0"/>
        </w:trPr>
        <w:tc>
          <w:tcPr>
            <w:tcW w:w="360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277D03" w:rsidP="008845FB">
            <w:pPr>
              <w:spacing w:line="240" w:lineRule="auto"/>
              <w:rPr>
                <w:rFonts w:ascii="Arial Narrow" w:hAnsi="Arial Narrow" w:cs="Times New Roman"/>
              </w:rPr>
            </w:pPr>
            <w:r>
              <w:rPr>
                <w:rFonts w:ascii="Arial Narrow" w:hAnsi="Arial Narrow" w:cs="Times New Roman"/>
              </w:rPr>
              <w:t>Kapi</w:t>
            </w:r>
            <w:r>
              <w:rPr>
                <w:rFonts w:ascii="Arial Narrow" w:hAnsi="Arial Narrow" w:cs="Times New Roman"/>
              </w:rPr>
              <w:t>tálové výdavky a transfery (710,720)</w:t>
            </w:r>
          </w:p>
        </w:tc>
        <w:tc>
          <w:tcPr>
            <w:tcW w:w="144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277D03" w:rsidRPr="00D04D46" w:rsidP="008845FB">
            <w:pPr>
              <w:spacing w:line="240" w:lineRule="auto"/>
              <w:jc w:val="right"/>
              <w:rPr>
                <w:rFonts w:ascii="Arial Narrow" w:hAnsi="Arial Narrow" w:cs="Times New Roman"/>
              </w:rPr>
            </w:pPr>
            <w:r w:rsidR="00345837">
              <w:rPr>
                <w:rFonts w:ascii="Arial Narrow" w:hAnsi="Arial Narrow" w:cs="Times New Roman"/>
              </w:rPr>
              <w:t>73 386</w:t>
            </w:r>
            <w:r>
              <w:rPr>
                <w:rFonts w:ascii="Arial Narrow" w:hAnsi="Arial Narrow" w:cs="Times New Roman"/>
              </w:rPr>
              <w:t> 000,00</w:t>
            </w:r>
          </w:p>
        </w:tc>
        <w:tc>
          <w:tcPr>
            <w:tcW w:w="162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277D03" w:rsidRPr="00D04D46" w:rsidP="008845FB">
            <w:pPr>
              <w:spacing w:line="240" w:lineRule="auto"/>
              <w:jc w:val="right"/>
              <w:rPr>
                <w:rFonts w:ascii="Arial Narrow" w:hAnsi="Arial Narrow" w:cs="Times New Roman"/>
              </w:rPr>
            </w:pPr>
            <w:r>
              <w:rPr>
                <w:rFonts w:ascii="Arial Narrow" w:hAnsi="Arial Narrow" w:cs="Times New Roman"/>
              </w:rPr>
              <w:t xml:space="preserve">  </w:t>
            </w:r>
            <w:r w:rsidR="00345837">
              <w:rPr>
                <w:rFonts w:ascii="Arial Narrow" w:hAnsi="Arial Narrow" w:cs="Times New Roman"/>
              </w:rPr>
              <w:t>53 593 597,33</w:t>
            </w:r>
          </w:p>
        </w:tc>
        <w:tc>
          <w:tcPr>
            <w:tcW w:w="144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277D03" w:rsidRPr="00B23854" w:rsidP="008845FB">
            <w:pPr>
              <w:spacing w:line="240" w:lineRule="auto"/>
              <w:jc w:val="right"/>
              <w:rPr>
                <w:rFonts w:ascii="Arial Narrow" w:hAnsi="Arial Narrow" w:cs="Times New Roman"/>
              </w:rPr>
            </w:pPr>
            <w:r w:rsidR="00345837">
              <w:rPr>
                <w:rFonts w:ascii="Arial Narrow" w:hAnsi="Arial Narrow" w:cs="Times New Roman"/>
              </w:rPr>
              <w:t>64 621 958,19</w:t>
            </w:r>
          </w:p>
        </w:tc>
        <w:tc>
          <w:tcPr>
            <w:tcW w:w="144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277D03" w:rsidP="008845FB">
            <w:pPr>
              <w:spacing w:line="240" w:lineRule="auto"/>
              <w:jc w:val="right"/>
              <w:rPr>
                <w:rFonts w:ascii="Arial Narrow" w:hAnsi="Arial Narrow" w:cs="Times New Roman"/>
              </w:rPr>
            </w:pPr>
            <w:r w:rsidR="001A4A5C">
              <w:rPr>
                <w:rFonts w:ascii="Arial Narrow" w:hAnsi="Arial Narrow" w:cs="Times New Roman"/>
              </w:rPr>
              <w:t>- 11 028 360,86</w:t>
            </w:r>
          </w:p>
        </w:tc>
      </w:tr>
      <w:tr>
        <w:tblPrEx>
          <w:tblW w:w="9540" w:type="dxa"/>
          <w:tblInd w:w="-72" w:type="dxa"/>
        </w:tblPrEx>
        <w:trPr>
          <w:trHeight w:hRule="auto" w:val="0"/>
        </w:trPr>
        <w:tc>
          <w:tcPr>
            <w:tcW w:w="360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277D03" w:rsidP="008845FB">
            <w:pPr>
              <w:spacing w:line="240" w:lineRule="auto"/>
              <w:rPr>
                <w:rFonts w:ascii="Arial Narrow" w:hAnsi="Arial Narrow" w:cs="Times New Roman"/>
              </w:rPr>
            </w:pPr>
            <w:r>
              <w:rPr>
                <w:rFonts w:ascii="Arial Narrow" w:hAnsi="Arial Narrow" w:cs="Times New Roman"/>
              </w:rPr>
              <w:t>04.5.1.5 Ústav cestnej dopravy (640 - BT)</w:t>
            </w:r>
          </w:p>
        </w:tc>
        <w:tc>
          <w:tcPr>
            <w:tcW w:w="144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277D03" w:rsidP="008845FB">
            <w:pPr>
              <w:spacing w:line="240" w:lineRule="auto"/>
              <w:jc w:val="right"/>
              <w:rPr>
                <w:rFonts w:ascii="Arial Narrow" w:hAnsi="Arial Narrow" w:cs="Times New Roman"/>
              </w:rPr>
            </w:pPr>
            <w:r>
              <w:rPr>
                <w:rFonts w:ascii="Arial Narrow" w:hAnsi="Arial Narrow" w:cs="Times New Roman"/>
              </w:rPr>
              <w:t>0,00</w:t>
            </w:r>
          </w:p>
        </w:tc>
        <w:tc>
          <w:tcPr>
            <w:tcW w:w="162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277D03" w:rsidP="008845FB">
            <w:pPr>
              <w:spacing w:line="240" w:lineRule="auto"/>
              <w:jc w:val="right"/>
              <w:rPr>
                <w:rFonts w:ascii="Arial Narrow" w:hAnsi="Arial Narrow" w:cs="Times New Roman"/>
              </w:rPr>
            </w:pPr>
            <w:r w:rsidR="001A4A5C">
              <w:rPr>
                <w:rFonts w:ascii="Arial Narrow" w:hAnsi="Arial Narrow" w:cs="Times New Roman"/>
              </w:rPr>
              <w:t xml:space="preserve">    1 089 036,90</w:t>
            </w:r>
          </w:p>
        </w:tc>
        <w:tc>
          <w:tcPr>
            <w:tcW w:w="144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277D03" w:rsidRPr="008E32F7" w:rsidP="008845FB">
            <w:pPr>
              <w:spacing w:line="240" w:lineRule="auto"/>
              <w:jc w:val="right"/>
              <w:rPr>
                <w:rFonts w:ascii="Arial Narrow" w:hAnsi="Arial Narrow" w:cs="Times New Roman"/>
              </w:rPr>
            </w:pPr>
            <w:r>
              <w:rPr>
                <w:rFonts w:ascii="Arial Narrow" w:hAnsi="Arial Narrow" w:cs="Times New Roman"/>
              </w:rPr>
              <w:t>1</w:t>
            </w:r>
            <w:r w:rsidR="001A4A5C">
              <w:rPr>
                <w:rFonts w:ascii="Arial Narrow" w:hAnsi="Arial Narrow" w:cs="Times New Roman"/>
              </w:rPr>
              <w:t> 046 238,00</w:t>
            </w:r>
          </w:p>
        </w:tc>
        <w:tc>
          <w:tcPr>
            <w:tcW w:w="144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277D03" w:rsidP="008845FB">
            <w:pPr>
              <w:spacing w:line="240" w:lineRule="auto"/>
              <w:jc w:val="right"/>
              <w:rPr>
                <w:rFonts w:ascii="Arial Narrow" w:hAnsi="Arial Narrow" w:cs="Times New Roman"/>
              </w:rPr>
            </w:pPr>
            <w:r w:rsidR="001A4A5C">
              <w:rPr>
                <w:rFonts w:ascii="Arial Narrow" w:hAnsi="Arial Narrow" w:cs="Times New Roman"/>
              </w:rPr>
              <w:t>42 798,90</w:t>
            </w:r>
          </w:p>
        </w:tc>
      </w:tr>
      <w:tr>
        <w:tblPrEx>
          <w:tblW w:w="9540" w:type="dxa"/>
          <w:tblInd w:w="-72" w:type="dxa"/>
        </w:tblPrEx>
        <w:trPr>
          <w:trHeight w:hRule="auto" w:val="0"/>
        </w:trPr>
        <w:tc>
          <w:tcPr>
            <w:tcW w:w="360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277D03" w:rsidRPr="00B80024" w:rsidP="008845FB">
            <w:pPr>
              <w:spacing w:line="240" w:lineRule="auto"/>
              <w:rPr>
                <w:rFonts w:ascii="Arial Narrow" w:hAnsi="Arial Narrow" w:cs="Times New Roman"/>
              </w:rPr>
            </w:pPr>
            <w:r>
              <w:rPr>
                <w:rFonts w:ascii="Arial Narrow" w:hAnsi="Arial Narrow" w:cs="Times New Roman"/>
              </w:rPr>
              <w:t>04.8.6. Výskum v obl. komunikácií (640 – BT)</w:t>
            </w:r>
          </w:p>
        </w:tc>
        <w:tc>
          <w:tcPr>
            <w:tcW w:w="144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277D03" w:rsidRPr="00B80024" w:rsidP="008845FB">
            <w:pPr>
              <w:spacing w:line="240" w:lineRule="auto"/>
              <w:jc w:val="right"/>
              <w:rPr>
                <w:rFonts w:ascii="Arial Narrow" w:hAnsi="Arial Narrow" w:cs="Times New Roman"/>
              </w:rPr>
            </w:pPr>
            <w:r>
              <w:rPr>
                <w:rFonts w:ascii="Arial Narrow" w:hAnsi="Arial Narrow" w:cs="Times New Roman"/>
              </w:rPr>
              <w:t>5 000 000,00</w:t>
            </w:r>
          </w:p>
        </w:tc>
        <w:tc>
          <w:tcPr>
            <w:tcW w:w="162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277D03" w:rsidRPr="00B80024" w:rsidP="008845FB">
            <w:pPr>
              <w:spacing w:line="240" w:lineRule="auto"/>
              <w:jc w:val="right"/>
              <w:rPr>
                <w:rFonts w:ascii="Arial Narrow" w:hAnsi="Arial Narrow" w:cs="Times New Roman"/>
              </w:rPr>
            </w:pPr>
            <w:r w:rsidR="001A4A5C">
              <w:rPr>
                <w:rFonts w:ascii="Arial Narrow" w:hAnsi="Arial Narrow" w:cs="Times New Roman"/>
              </w:rPr>
              <w:t xml:space="preserve">       15</w:t>
            </w:r>
            <w:r>
              <w:rPr>
                <w:rFonts w:ascii="Arial Narrow" w:hAnsi="Arial Narrow" w:cs="Times New Roman"/>
              </w:rPr>
              <w:t> 000 000,00</w:t>
            </w:r>
          </w:p>
        </w:tc>
        <w:tc>
          <w:tcPr>
            <w:tcW w:w="144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277D03" w:rsidRPr="008E32F7" w:rsidP="008845FB">
            <w:pPr>
              <w:spacing w:line="240" w:lineRule="auto"/>
              <w:jc w:val="right"/>
              <w:rPr>
                <w:rFonts w:ascii="Arial Narrow" w:hAnsi="Arial Narrow" w:cs="Times New Roman"/>
              </w:rPr>
            </w:pPr>
            <w:r>
              <w:rPr>
                <w:rFonts w:ascii="Arial Narrow" w:hAnsi="Arial Narrow" w:cs="Times New Roman"/>
              </w:rPr>
              <w:t>14</w:t>
            </w:r>
            <w:r w:rsidR="001A4A5C">
              <w:rPr>
                <w:rFonts w:ascii="Arial Narrow" w:hAnsi="Arial Narrow" w:cs="Times New Roman"/>
              </w:rPr>
              <w:t> 746 920,00</w:t>
            </w:r>
          </w:p>
        </w:tc>
        <w:tc>
          <w:tcPr>
            <w:tcW w:w="144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277D03" w:rsidP="008845FB">
            <w:pPr>
              <w:spacing w:line="240" w:lineRule="auto"/>
              <w:jc w:val="right"/>
              <w:rPr>
                <w:rFonts w:ascii="Arial Narrow" w:hAnsi="Arial Narrow" w:cs="Times New Roman"/>
              </w:rPr>
            </w:pPr>
            <w:r w:rsidR="001A4A5C">
              <w:rPr>
                <w:rFonts w:ascii="Arial Narrow" w:hAnsi="Arial Narrow" w:cs="Times New Roman"/>
              </w:rPr>
              <w:t>253 080,00</w:t>
            </w:r>
          </w:p>
        </w:tc>
      </w:tr>
      <w:tr>
        <w:tblPrEx>
          <w:tblW w:w="9540" w:type="dxa"/>
          <w:tblInd w:w="-72" w:type="dxa"/>
        </w:tblPrEx>
        <w:trPr>
          <w:trHeight w:hRule="auto" w:val="0"/>
        </w:trPr>
        <w:tc>
          <w:tcPr>
            <w:tcW w:w="360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277D03" w:rsidRPr="00B80024" w:rsidP="008845FB">
            <w:pPr>
              <w:spacing w:line="240" w:lineRule="auto"/>
              <w:rPr>
                <w:rFonts w:ascii="Arial Narrow" w:hAnsi="Arial Narrow" w:cs="Times New Roman"/>
              </w:rPr>
            </w:pPr>
            <w:r w:rsidR="001A4A5C">
              <w:rPr>
                <w:rFonts w:ascii="Arial Narrow" w:hAnsi="Arial Narrow" w:cs="Times New Roman"/>
              </w:rPr>
              <w:t>04.</w:t>
            </w:r>
            <w:r>
              <w:rPr>
                <w:rFonts w:ascii="Arial Narrow" w:hAnsi="Arial Narrow" w:cs="Times New Roman"/>
              </w:rPr>
              <w:t>6.</w:t>
            </w:r>
            <w:r w:rsidR="001A4A5C">
              <w:rPr>
                <w:rFonts w:ascii="Arial Narrow" w:hAnsi="Arial Narrow" w:cs="Times New Roman"/>
              </w:rPr>
              <w:t xml:space="preserve">0. Núdzové komunikácie </w:t>
            </w:r>
            <w:r>
              <w:rPr>
                <w:rFonts w:ascii="Arial Narrow" w:hAnsi="Arial Narrow" w:cs="Times New Roman"/>
              </w:rPr>
              <w:t>(723 – KT)</w:t>
            </w:r>
          </w:p>
        </w:tc>
        <w:tc>
          <w:tcPr>
            <w:tcW w:w="144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277D03" w:rsidP="008845FB">
            <w:pPr>
              <w:spacing w:line="240" w:lineRule="auto"/>
              <w:jc w:val="right"/>
              <w:rPr>
                <w:rFonts w:ascii="Arial Narrow" w:hAnsi="Arial Narrow" w:cs="Times New Roman"/>
              </w:rPr>
            </w:pPr>
            <w:r>
              <w:rPr>
                <w:rFonts w:ascii="Arial Narrow" w:hAnsi="Arial Narrow" w:cs="Times New Roman"/>
              </w:rPr>
              <w:t>0,00</w:t>
            </w:r>
          </w:p>
        </w:tc>
        <w:tc>
          <w:tcPr>
            <w:tcW w:w="162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277D03" w:rsidP="008845FB">
            <w:pPr>
              <w:spacing w:line="240" w:lineRule="auto"/>
              <w:jc w:val="right"/>
              <w:rPr>
                <w:rFonts w:ascii="Arial Narrow" w:hAnsi="Arial Narrow" w:cs="Times New Roman"/>
              </w:rPr>
            </w:pPr>
            <w:r w:rsidR="001A4A5C">
              <w:rPr>
                <w:rFonts w:ascii="Arial Narrow" w:hAnsi="Arial Narrow" w:cs="Times New Roman"/>
              </w:rPr>
              <w:t xml:space="preserve">      500</w:t>
            </w:r>
            <w:r>
              <w:rPr>
                <w:rFonts w:ascii="Arial Narrow" w:hAnsi="Arial Narrow" w:cs="Times New Roman"/>
              </w:rPr>
              <w:t> 000,00</w:t>
            </w:r>
          </w:p>
        </w:tc>
        <w:tc>
          <w:tcPr>
            <w:tcW w:w="144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277D03" w:rsidRPr="008E32F7" w:rsidP="008845FB">
            <w:pPr>
              <w:spacing w:line="240" w:lineRule="auto"/>
              <w:jc w:val="right"/>
              <w:rPr>
                <w:rFonts w:ascii="Arial Narrow" w:hAnsi="Arial Narrow" w:cs="Times New Roman"/>
              </w:rPr>
            </w:pPr>
            <w:r>
              <w:rPr>
                <w:rFonts w:ascii="Arial Narrow" w:hAnsi="Arial Narrow" w:cs="Times New Roman"/>
              </w:rPr>
              <w:t>500 000,00</w:t>
            </w:r>
          </w:p>
        </w:tc>
        <w:tc>
          <w:tcPr>
            <w:tcW w:w="144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277D03" w:rsidP="008845FB">
            <w:pPr>
              <w:spacing w:line="240" w:lineRule="auto"/>
              <w:jc w:val="right"/>
              <w:rPr>
                <w:rFonts w:ascii="Arial Narrow" w:hAnsi="Arial Narrow" w:cs="Times New Roman"/>
              </w:rPr>
            </w:pPr>
            <w:r w:rsidR="001A4A5C">
              <w:rPr>
                <w:rFonts w:ascii="Arial Narrow" w:hAnsi="Arial Narrow" w:cs="Times New Roman"/>
              </w:rPr>
              <w:t>0,00</w:t>
            </w:r>
          </w:p>
        </w:tc>
      </w:tr>
      <w:tr>
        <w:tblPrEx>
          <w:tblW w:w="9540" w:type="dxa"/>
          <w:tblInd w:w="-72" w:type="dxa"/>
        </w:tblPrEx>
        <w:trPr>
          <w:trHeight w:hRule="auto" w:val="0"/>
        </w:trPr>
        <w:tc>
          <w:tcPr>
            <w:tcW w:w="360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277D03" w:rsidRPr="00B80024" w:rsidP="008845FB">
            <w:pPr>
              <w:spacing w:line="240" w:lineRule="auto"/>
              <w:rPr>
                <w:rFonts w:ascii="Arial Narrow" w:hAnsi="Arial Narrow" w:cs="Times New Roman"/>
              </w:rPr>
            </w:pPr>
            <w:r w:rsidRPr="00B80024">
              <w:rPr>
                <w:rFonts w:ascii="Arial Narrow" w:hAnsi="Arial Narrow" w:cs="Times New Roman"/>
              </w:rPr>
              <w:t>09.8.0 Vzdelávanie (630 –</w:t>
            </w:r>
            <w:r>
              <w:rPr>
                <w:rFonts w:ascii="Arial Narrow" w:hAnsi="Arial Narrow" w:cs="Times New Roman"/>
              </w:rPr>
              <w:t xml:space="preserve"> Tovary a služby</w:t>
            </w:r>
            <w:r w:rsidRPr="00B80024">
              <w:rPr>
                <w:rFonts w:ascii="Arial Narrow" w:hAnsi="Arial Narrow" w:cs="Times New Roman"/>
              </w:rPr>
              <w:t>)</w:t>
            </w:r>
          </w:p>
        </w:tc>
        <w:tc>
          <w:tcPr>
            <w:tcW w:w="144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277D03" w:rsidRPr="00B80024" w:rsidP="008845FB">
            <w:pPr>
              <w:spacing w:line="240" w:lineRule="auto"/>
              <w:jc w:val="right"/>
              <w:rPr>
                <w:rFonts w:ascii="Arial Narrow" w:hAnsi="Arial Narrow" w:cs="Times New Roman"/>
              </w:rPr>
            </w:pPr>
            <w:r>
              <w:rPr>
                <w:rFonts w:ascii="Arial Narrow" w:hAnsi="Arial Narrow" w:cs="Times New Roman"/>
              </w:rPr>
              <w:t>2 000 000,00</w:t>
            </w:r>
          </w:p>
        </w:tc>
        <w:tc>
          <w:tcPr>
            <w:tcW w:w="162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277D03" w:rsidRPr="00B80024" w:rsidP="008845FB">
            <w:pPr>
              <w:spacing w:line="240" w:lineRule="auto"/>
              <w:jc w:val="right"/>
              <w:rPr>
                <w:rFonts w:ascii="Arial Narrow" w:hAnsi="Arial Narrow" w:cs="Times New Roman"/>
              </w:rPr>
            </w:pPr>
            <w:r>
              <w:rPr>
                <w:rFonts w:ascii="Arial Narrow" w:hAnsi="Arial Narrow" w:cs="Times New Roman"/>
              </w:rPr>
              <w:t xml:space="preserve">   2 000 000,00</w:t>
            </w:r>
          </w:p>
        </w:tc>
        <w:tc>
          <w:tcPr>
            <w:tcW w:w="144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277D03" w:rsidRPr="008E32F7" w:rsidP="008845FB">
            <w:pPr>
              <w:spacing w:line="240" w:lineRule="auto"/>
              <w:jc w:val="right"/>
              <w:rPr>
                <w:rFonts w:ascii="Arial Narrow" w:hAnsi="Arial Narrow" w:cs="Times New Roman"/>
              </w:rPr>
            </w:pPr>
            <w:r>
              <w:rPr>
                <w:rFonts w:ascii="Arial Narrow" w:hAnsi="Arial Narrow" w:cs="Times New Roman"/>
              </w:rPr>
              <w:t>1</w:t>
            </w:r>
            <w:r w:rsidR="001A4A5C">
              <w:rPr>
                <w:rFonts w:ascii="Arial Narrow" w:hAnsi="Arial Narrow" w:cs="Times New Roman"/>
              </w:rPr>
              <w:t> </w:t>
            </w:r>
            <w:r>
              <w:rPr>
                <w:rFonts w:ascii="Arial Narrow" w:hAnsi="Arial Narrow" w:cs="Times New Roman"/>
              </w:rPr>
              <w:t>9</w:t>
            </w:r>
            <w:r w:rsidR="001A4A5C">
              <w:rPr>
                <w:rFonts w:ascii="Arial Narrow" w:hAnsi="Arial Narrow" w:cs="Times New Roman"/>
              </w:rPr>
              <w:t>99 589,91</w:t>
            </w:r>
          </w:p>
        </w:tc>
        <w:tc>
          <w:tcPr>
            <w:tcW w:w="144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277D03" w:rsidP="008845FB">
            <w:pPr>
              <w:spacing w:line="240" w:lineRule="auto"/>
              <w:jc w:val="right"/>
              <w:rPr>
                <w:rFonts w:ascii="Arial Narrow" w:hAnsi="Arial Narrow" w:cs="Times New Roman"/>
              </w:rPr>
            </w:pPr>
            <w:r w:rsidR="001A4A5C">
              <w:rPr>
                <w:rFonts w:ascii="Arial Narrow" w:hAnsi="Arial Narrow" w:cs="Times New Roman"/>
              </w:rPr>
              <w:t>410,09</w:t>
            </w:r>
          </w:p>
        </w:tc>
      </w:tr>
      <w:tr>
        <w:tblPrEx>
          <w:tblW w:w="9540" w:type="dxa"/>
          <w:tblInd w:w="-72" w:type="dxa"/>
        </w:tblPrEx>
        <w:trPr>
          <w:trHeight w:hRule="auto" w:val="0"/>
        </w:trPr>
        <w:tc>
          <w:tcPr>
            <w:tcW w:w="3600" w:type="dxa"/>
            <w:tcBorders>
              <w:top w:val="single" w:sz="4" w:space="0" w:color="auto"/>
              <w:left w:val="single" w:sz="4" w:space="0" w:color="auto"/>
              <w:bottom w:val="single" w:sz="4" w:space="0" w:color="auto"/>
              <w:right w:val="single" w:sz="4" w:space="0" w:color="auto"/>
              <w:tl2br w:val="nil"/>
              <w:tr2bl w:val="nil"/>
            </w:tcBorders>
            <w:shd w:val="clear" w:color="auto" w:fill="CCCCCC"/>
            <w:textDirection w:val="lrTb"/>
            <w:vAlign w:val="center"/>
          </w:tcPr>
          <w:p w:rsidR="00277D03" w:rsidRPr="00FC7E23" w:rsidP="008845FB">
            <w:pPr>
              <w:spacing w:line="240" w:lineRule="auto"/>
              <w:rPr>
                <w:rFonts w:ascii="Arial Narrow" w:hAnsi="Arial Narrow" w:cs="Times New Roman"/>
                <w:b/>
              </w:rPr>
            </w:pPr>
            <w:r w:rsidRPr="00FC7E23">
              <w:rPr>
                <w:rFonts w:ascii="Arial Narrow" w:hAnsi="Arial Narrow" w:cs="Times New Roman"/>
                <w:b/>
              </w:rPr>
              <w:t>SPOLU</w:t>
            </w:r>
          </w:p>
        </w:tc>
        <w:tc>
          <w:tcPr>
            <w:tcW w:w="1440" w:type="dxa"/>
            <w:tcBorders>
              <w:top w:val="single" w:sz="4" w:space="0" w:color="auto"/>
              <w:left w:val="single" w:sz="4" w:space="0" w:color="auto"/>
              <w:bottom w:val="single" w:sz="4" w:space="0" w:color="auto"/>
              <w:right w:val="single" w:sz="4" w:space="0" w:color="auto"/>
              <w:tl2br w:val="nil"/>
              <w:tr2bl w:val="nil"/>
            </w:tcBorders>
            <w:shd w:val="clear" w:color="auto" w:fill="CCCCCC"/>
            <w:textDirection w:val="lrTb"/>
            <w:vAlign w:val="center"/>
          </w:tcPr>
          <w:p w:rsidR="00277D03" w:rsidRPr="00FC7E23" w:rsidP="008845FB">
            <w:pPr>
              <w:spacing w:line="240" w:lineRule="auto"/>
              <w:jc w:val="right"/>
              <w:rPr>
                <w:rFonts w:ascii="Arial Narrow" w:hAnsi="Arial Narrow" w:cs="Times New Roman"/>
                <w:b/>
              </w:rPr>
            </w:pPr>
            <w:r>
              <w:rPr>
                <w:rFonts w:ascii="Arial Narrow" w:hAnsi="Arial Narrow" w:cs="Times New Roman"/>
                <w:b/>
              </w:rPr>
              <w:t>7</w:t>
            </w:r>
            <w:r w:rsidR="001A4A5C">
              <w:rPr>
                <w:rFonts w:ascii="Arial Narrow" w:hAnsi="Arial Narrow" w:cs="Times New Roman"/>
                <w:b/>
              </w:rPr>
              <w:t>86 557 000,00</w:t>
            </w:r>
          </w:p>
        </w:tc>
        <w:tc>
          <w:tcPr>
            <w:tcW w:w="1620" w:type="dxa"/>
            <w:tcBorders>
              <w:top w:val="single" w:sz="4" w:space="0" w:color="auto"/>
              <w:left w:val="single" w:sz="4" w:space="0" w:color="auto"/>
              <w:bottom w:val="single" w:sz="4" w:space="0" w:color="auto"/>
              <w:right w:val="single" w:sz="4" w:space="0" w:color="auto"/>
              <w:tl2br w:val="nil"/>
              <w:tr2bl w:val="nil"/>
            </w:tcBorders>
            <w:shd w:val="clear" w:color="auto" w:fill="CCCCCC"/>
            <w:textDirection w:val="lrTb"/>
            <w:vAlign w:val="center"/>
          </w:tcPr>
          <w:p w:rsidR="00277D03" w:rsidRPr="00FC7E23" w:rsidP="008845FB">
            <w:pPr>
              <w:spacing w:line="240" w:lineRule="auto"/>
              <w:jc w:val="right"/>
              <w:rPr>
                <w:rFonts w:ascii="Arial Narrow" w:hAnsi="Arial Narrow" w:cs="Times New Roman"/>
                <w:b/>
              </w:rPr>
            </w:pPr>
            <w:r>
              <w:rPr>
                <w:rFonts w:ascii="Arial Narrow" w:hAnsi="Arial Narrow" w:cs="Times New Roman"/>
                <w:b/>
              </w:rPr>
              <w:t xml:space="preserve">   </w:t>
            </w:r>
            <w:r w:rsidR="001A4A5C">
              <w:rPr>
                <w:rFonts w:ascii="Arial Narrow" w:hAnsi="Arial Narrow" w:cs="Times New Roman"/>
                <w:b/>
              </w:rPr>
              <w:t>670 775 559,17</w:t>
            </w:r>
          </w:p>
        </w:tc>
        <w:tc>
          <w:tcPr>
            <w:tcW w:w="1440" w:type="dxa"/>
            <w:tcBorders>
              <w:top w:val="single" w:sz="4" w:space="0" w:color="auto"/>
              <w:left w:val="single" w:sz="4" w:space="0" w:color="auto"/>
              <w:bottom w:val="single" w:sz="4" w:space="0" w:color="auto"/>
              <w:right w:val="single" w:sz="4" w:space="0" w:color="auto"/>
              <w:tl2br w:val="nil"/>
              <w:tr2bl w:val="nil"/>
            </w:tcBorders>
            <w:shd w:val="clear" w:color="auto" w:fill="CCCCCC"/>
            <w:textDirection w:val="lrTb"/>
            <w:vAlign w:val="center"/>
          </w:tcPr>
          <w:p w:rsidR="00277D03" w:rsidRPr="00FC7E23" w:rsidP="008845FB">
            <w:pPr>
              <w:spacing w:line="240" w:lineRule="auto"/>
              <w:jc w:val="right"/>
              <w:rPr>
                <w:rFonts w:ascii="Arial Narrow" w:hAnsi="Arial Narrow" w:cs="Times New Roman"/>
                <w:b/>
              </w:rPr>
            </w:pPr>
            <w:r w:rsidR="001A4A5C">
              <w:rPr>
                <w:rFonts w:ascii="Arial Narrow" w:hAnsi="Arial Narrow" w:cs="Times New Roman"/>
                <w:b/>
              </w:rPr>
              <w:t>672 449 204,22</w:t>
            </w:r>
          </w:p>
        </w:tc>
        <w:tc>
          <w:tcPr>
            <w:tcW w:w="1440" w:type="dxa"/>
            <w:tcBorders>
              <w:top w:val="single" w:sz="4" w:space="0" w:color="auto"/>
              <w:left w:val="single" w:sz="4" w:space="0" w:color="auto"/>
              <w:bottom w:val="single" w:sz="4" w:space="0" w:color="auto"/>
              <w:right w:val="single" w:sz="4" w:space="0" w:color="auto"/>
              <w:tl2br w:val="nil"/>
              <w:tr2bl w:val="nil"/>
            </w:tcBorders>
            <w:shd w:val="clear" w:color="auto" w:fill="CCCCCC"/>
            <w:textDirection w:val="lrTb"/>
            <w:vAlign w:val="center"/>
          </w:tcPr>
          <w:p w:rsidR="00277D03" w:rsidP="008845FB">
            <w:pPr>
              <w:spacing w:line="240" w:lineRule="auto"/>
              <w:jc w:val="right"/>
              <w:rPr>
                <w:rFonts w:ascii="Arial Narrow" w:hAnsi="Arial Narrow" w:cs="Times New Roman"/>
                <w:b/>
              </w:rPr>
            </w:pPr>
            <w:r w:rsidR="006C7767">
              <w:rPr>
                <w:rFonts w:ascii="Arial Narrow" w:hAnsi="Arial Narrow" w:cs="Times New Roman"/>
                <w:b/>
              </w:rPr>
              <w:t>-1 673 645,05</w:t>
            </w:r>
          </w:p>
        </w:tc>
      </w:tr>
    </w:tbl>
    <w:p w:rsidR="004B593A" w:rsidP="00C362EA">
      <w:pPr>
        <w:pStyle w:val="Title"/>
        <w:spacing w:line="240" w:lineRule="auto"/>
        <w:jc w:val="both"/>
        <w:rPr>
          <w:rFonts w:ascii="Arial Narrow" w:hAnsi="Arial Narrow" w:cs="Times New Roman"/>
          <w:sz w:val="20"/>
        </w:rPr>
      </w:pPr>
    </w:p>
    <w:p w:rsidR="006B5EB3" w:rsidP="00C362EA">
      <w:pPr>
        <w:spacing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Prehľad prostriedkov z rozpočtu EÚ a príslušného spolufinancovania </w:t>
      </w:r>
      <w:r w:rsidRPr="00343FBD">
        <w:rPr>
          <w:rFonts w:ascii="Times New Roman" w:hAnsi="Times New Roman" w:cs="Times New Roman"/>
          <w:b/>
          <w:sz w:val="24"/>
          <w:szCs w:val="24"/>
          <w:u w:val="single"/>
        </w:rPr>
        <w:t xml:space="preserve">zo ŠR </w:t>
      </w:r>
    </w:p>
    <w:p w:rsidR="004B593A" w:rsidRPr="00300F7C" w:rsidP="00E95FB9">
      <w:pPr>
        <w:spacing w:line="240" w:lineRule="auto"/>
        <w:jc w:val="center"/>
        <w:rPr>
          <w:rFonts w:ascii="Times New Roman" w:hAnsi="Times New Roman" w:cs="Times New Roman"/>
          <w:b/>
          <w:sz w:val="24"/>
          <w:szCs w:val="24"/>
          <w:u w:val="single"/>
        </w:rPr>
      </w:pPr>
      <w:r w:rsidR="008A63AC">
        <w:rPr>
          <w:rFonts w:ascii="Times New Roman" w:hAnsi="Times New Roman" w:cs="Times New Roman"/>
          <w:b/>
          <w:sz w:val="24"/>
          <w:szCs w:val="24"/>
          <w:u w:val="single"/>
        </w:rPr>
        <w:t>za rok 2007</w:t>
      </w:r>
      <w:r w:rsidRPr="008F304A" w:rsidR="006B5EB3">
        <w:rPr>
          <w:rFonts w:ascii="Times New Roman" w:hAnsi="Times New Roman" w:cs="Times New Roman"/>
          <w:b/>
          <w:sz w:val="24"/>
          <w:szCs w:val="24"/>
          <w:u w:val="single"/>
        </w:rPr>
        <w:t xml:space="preserve"> – Technická asistencia</w:t>
      </w:r>
    </w:p>
    <w:p w:rsidR="001E3413" w:rsidRPr="006B5EB3" w:rsidP="000D08F8">
      <w:pPr>
        <w:spacing w:line="240" w:lineRule="auto"/>
        <w:rPr>
          <w:rFonts w:ascii="Arial Narrow" w:hAnsi="Arial Narrow" w:cs="Times New Roman"/>
        </w:rPr>
      </w:pPr>
      <w:r w:rsidRPr="006B5EB3" w:rsidR="00CF7987">
        <w:rPr>
          <w:rFonts w:ascii="Arial Narrow" w:hAnsi="Arial Narrow" w:cs="Times New Roman"/>
        </w:rPr>
        <w:t xml:space="preserve">         </w:t>
      </w:r>
      <w:r w:rsidRPr="006B5EB3" w:rsidR="00CF7987">
        <w:rPr>
          <w:rFonts w:ascii="Arial Narrow" w:hAnsi="Arial Narrow" w:cs="Times New Roman"/>
        </w:rPr>
        <w:t xml:space="preserve">                                                                                                                                           </w:t>
      </w:r>
      <w:r w:rsidR="00CF7987">
        <w:rPr>
          <w:rFonts w:ascii="Arial Narrow" w:hAnsi="Arial Narrow" w:cs="Times New Roman"/>
        </w:rPr>
        <w:t xml:space="preserve">                                 </w:t>
      </w:r>
      <w:r w:rsidRPr="006B5EB3" w:rsidR="00CF7987">
        <w:rPr>
          <w:rFonts w:ascii="Arial Narrow" w:hAnsi="Arial Narrow" w:cs="Times New Roman"/>
        </w:rPr>
        <w:t>(v tis. Sk)</w:t>
      </w:r>
    </w:p>
    <w:tbl>
      <w:tblPr>
        <w:tblW w:w="8981"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
      <w:tblGrid>
        <w:gridCol w:w="919"/>
        <w:gridCol w:w="701"/>
        <w:gridCol w:w="720"/>
        <w:gridCol w:w="720"/>
        <w:gridCol w:w="720"/>
        <w:gridCol w:w="720"/>
        <w:gridCol w:w="720"/>
        <w:gridCol w:w="720"/>
        <w:gridCol w:w="720"/>
        <w:gridCol w:w="701"/>
        <w:gridCol w:w="720"/>
        <w:gridCol w:w="900"/>
      </w:tblGrid>
      <w:tr>
        <w:tblPrEx>
          <w:tblW w:w="8981"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480"/>
        </w:trPr>
        <w:tc>
          <w:tcPr>
            <w:tcW w:w="919" w:type="dxa"/>
            <w:vMerge w:val="restart"/>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1E3413" w:rsidRPr="001D06AB" w:rsidP="000D08F8">
            <w:pPr>
              <w:spacing w:line="240" w:lineRule="auto"/>
              <w:jc w:val="center"/>
              <w:rPr>
                <w:rFonts w:ascii="Arial Narrow" w:hAnsi="Arial Narrow" w:cs="Times New Roman"/>
                <w:b/>
                <w:bCs/>
                <w:sz w:val="28"/>
                <w:szCs w:val="28"/>
              </w:rPr>
            </w:pPr>
            <w:r w:rsidRPr="001D06AB">
              <w:rPr>
                <w:rFonts w:ascii="Arial Narrow" w:hAnsi="Arial Narrow" w:cs="Times New Roman"/>
                <w:b/>
                <w:bCs/>
                <w:sz w:val="28"/>
                <w:szCs w:val="28"/>
              </w:rPr>
              <w:t>Projekt</w:t>
            </w:r>
          </w:p>
        </w:tc>
        <w:tc>
          <w:tcPr>
            <w:tcW w:w="2861" w:type="dxa"/>
            <w:gridSpan w:val="4"/>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1E3413" w:rsidRPr="001D06AB" w:rsidP="000D08F8">
            <w:pPr>
              <w:spacing w:line="240" w:lineRule="auto"/>
              <w:jc w:val="center"/>
              <w:rPr>
                <w:rFonts w:ascii="Arial Narrow" w:hAnsi="Arial Narrow" w:cs="Times New Roman"/>
                <w:b/>
                <w:bCs/>
                <w:sz w:val="28"/>
                <w:szCs w:val="28"/>
              </w:rPr>
            </w:pPr>
            <w:r w:rsidRPr="001D06AB">
              <w:rPr>
                <w:rFonts w:ascii="Arial Narrow" w:hAnsi="Arial Narrow" w:cs="Times New Roman"/>
                <w:b/>
                <w:bCs/>
                <w:sz w:val="28"/>
                <w:szCs w:val="28"/>
              </w:rPr>
              <w:t>Rozpočet</w:t>
            </w:r>
          </w:p>
        </w:tc>
        <w:tc>
          <w:tcPr>
            <w:tcW w:w="2880" w:type="dxa"/>
            <w:gridSpan w:val="4"/>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1E3413" w:rsidRPr="001D06AB" w:rsidP="000D08F8">
            <w:pPr>
              <w:spacing w:line="240" w:lineRule="auto"/>
              <w:jc w:val="center"/>
              <w:rPr>
                <w:rFonts w:ascii="Arial Narrow" w:hAnsi="Arial Narrow" w:cs="Times New Roman"/>
                <w:b/>
                <w:bCs/>
                <w:sz w:val="28"/>
                <w:szCs w:val="28"/>
              </w:rPr>
            </w:pPr>
            <w:r w:rsidRPr="001D06AB">
              <w:rPr>
                <w:rFonts w:ascii="Arial Narrow" w:hAnsi="Arial Narrow" w:cs="Times New Roman"/>
                <w:b/>
                <w:bCs/>
                <w:sz w:val="28"/>
                <w:szCs w:val="28"/>
              </w:rPr>
              <w:t>Čerpanie výdavkov</w:t>
            </w:r>
          </w:p>
        </w:tc>
        <w:tc>
          <w:tcPr>
            <w:tcW w:w="2321" w:type="dxa"/>
            <w:gridSpan w:val="3"/>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1E3413" w:rsidRPr="001D06AB" w:rsidP="000D08F8">
            <w:pPr>
              <w:spacing w:line="240" w:lineRule="auto"/>
              <w:jc w:val="center"/>
              <w:rPr>
                <w:rFonts w:ascii="Arial Narrow" w:hAnsi="Arial Narrow" w:cs="Times New Roman"/>
                <w:b/>
                <w:bCs/>
                <w:sz w:val="28"/>
                <w:szCs w:val="28"/>
              </w:rPr>
            </w:pPr>
            <w:r w:rsidRPr="001D06AB">
              <w:rPr>
                <w:rFonts w:ascii="Arial Narrow" w:hAnsi="Arial Narrow" w:cs="Times New Roman"/>
                <w:b/>
                <w:bCs/>
                <w:sz w:val="28"/>
                <w:szCs w:val="28"/>
              </w:rPr>
              <w:t>Zostatok</w:t>
            </w:r>
          </w:p>
        </w:tc>
      </w:tr>
      <w:tr>
        <w:tblPrEx>
          <w:tblW w:w="8981" w:type="dxa"/>
          <w:tblInd w:w="89" w:type="dxa"/>
          <w:tblCellMar>
            <w:left w:w="70" w:type="dxa"/>
            <w:right w:w="70" w:type="dxa"/>
          </w:tblCellMar>
        </w:tblPrEx>
        <w:trPr>
          <w:trHeight w:val="345"/>
        </w:trPr>
        <w:tc>
          <w:tcPr>
            <w:tcW w:w="919" w:type="dxa"/>
            <w:vMerge/>
            <w:tcBorders>
              <w:top w:val="single" w:sz="4" w:space="0" w:color="auto"/>
              <w:left w:val="single" w:sz="4" w:space="0" w:color="auto"/>
              <w:bottom w:val="single" w:sz="4" w:space="0" w:color="auto"/>
              <w:right w:val="single" w:sz="4" w:space="0" w:color="auto"/>
              <w:tl2br w:val="nil"/>
              <w:tr2bl w:val="nil"/>
            </w:tcBorders>
            <w:textDirection w:val="lrTb"/>
            <w:vAlign w:val="center"/>
          </w:tcPr>
          <w:p w:rsidR="001E3413" w:rsidRPr="001D06AB" w:rsidP="000D08F8">
            <w:pPr>
              <w:spacing w:line="240" w:lineRule="auto"/>
              <w:rPr>
                <w:rFonts w:ascii="Arial Narrow" w:hAnsi="Arial Narrow" w:cs="Times New Roman"/>
                <w:b/>
                <w:bCs/>
              </w:rPr>
            </w:pPr>
          </w:p>
        </w:tc>
        <w:tc>
          <w:tcPr>
            <w:tcW w:w="701" w:type="dxa"/>
            <w:vMerge w:val="restart"/>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1E3413" w:rsidRPr="001E3413" w:rsidP="000D08F8">
            <w:pPr>
              <w:spacing w:line="240" w:lineRule="auto"/>
              <w:jc w:val="center"/>
              <w:rPr>
                <w:rFonts w:ascii="Arial Narrow" w:hAnsi="Arial Narrow" w:cs="Times New Roman"/>
                <w:sz w:val="18"/>
                <w:szCs w:val="18"/>
              </w:rPr>
            </w:pPr>
            <w:r w:rsidRPr="001E3413">
              <w:rPr>
                <w:rFonts w:ascii="Arial Narrow" w:hAnsi="Arial Narrow" w:cs="Times New Roman"/>
                <w:sz w:val="18"/>
                <w:szCs w:val="18"/>
              </w:rPr>
              <w:t xml:space="preserve">EÚ </w:t>
            </w:r>
          </w:p>
        </w:tc>
        <w:tc>
          <w:tcPr>
            <w:tcW w:w="720" w:type="dxa"/>
            <w:vMerge w:val="restart"/>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1E3413" w:rsidRPr="001E3413" w:rsidP="000D08F8">
            <w:pPr>
              <w:spacing w:line="240" w:lineRule="auto"/>
              <w:jc w:val="center"/>
              <w:rPr>
                <w:rFonts w:ascii="Arial Narrow" w:hAnsi="Arial Narrow" w:cs="Times New Roman"/>
                <w:sz w:val="18"/>
                <w:szCs w:val="18"/>
              </w:rPr>
            </w:pPr>
            <w:r w:rsidRPr="001E3413">
              <w:rPr>
                <w:rFonts w:ascii="Arial Narrow" w:hAnsi="Arial Narrow" w:cs="Times New Roman"/>
                <w:sz w:val="18"/>
                <w:szCs w:val="18"/>
              </w:rPr>
              <w:t xml:space="preserve">ŠR </w:t>
            </w:r>
          </w:p>
        </w:tc>
        <w:tc>
          <w:tcPr>
            <w:tcW w:w="1440" w:type="dxa"/>
            <w:gridSpan w:val="2"/>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1E3413" w:rsidRPr="001E3413" w:rsidP="000D08F8">
            <w:pPr>
              <w:spacing w:line="240" w:lineRule="auto"/>
              <w:jc w:val="center"/>
              <w:rPr>
                <w:rFonts w:ascii="Arial Narrow" w:hAnsi="Arial Narrow" w:cs="Times New Roman"/>
                <w:sz w:val="18"/>
                <w:szCs w:val="18"/>
              </w:rPr>
            </w:pPr>
            <w:r w:rsidRPr="001E3413">
              <w:rPr>
                <w:rFonts w:ascii="Arial Narrow" w:hAnsi="Arial Narrow" w:cs="Times New Roman"/>
                <w:sz w:val="18"/>
                <w:szCs w:val="18"/>
              </w:rPr>
              <w:t>Prost. z min. roko</w:t>
            </w:r>
            <w:r w:rsidRPr="001E3413">
              <w:rPr>
                <w:rFonts w:ascii="Arial Narrow" w:hAnsi="Arial Narrow" w:cs="Times New Roman"/>
                <w:sz w:val="18"/>
                <w:szCs w:val="18"/>
              </w:rPr>
              <w:t>v</w:t>
            </w:r>
          </w:p>
        </w:tc>
        <w:tc>
          <w:tcPr>
            <w:tcW w:w="720" w:type="dxa"/>
            <w:vMerge w:val="restart"/>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1E3413" w:rsidRPr="001E3413" w:rsidP="000D08F8">
            <w:pPr>
              <w:spacing w:line="240" w:lineRule="auto"/>
              <w:jc w:val="center"/>
              <w:rPr>
                <w:rFonts w:ascii="Arial Narrow" w:hAnsi="Arial Narrow" w:cs="Times New Roman"/>
                <w:sz w:val="18"/>
                <w:szCs w:val="18"/>
              </w:rPr>
            </w:pPr>
            <w:r w:rsidRPr="001E3413">
              <w:rPr>
                <w:rFonts w:ascii="Arial Narrow" w:hAnsi="Arial Narrow" w:cs="Times New Roman"/>
                <w:sz w:val="18"/>
                <w:szCs w:val="18"/>
              </w:rPr>
              <w:t>EÚ</w:t>
            </w:r>
          </w:p>
          <w:p w:rsidR="001E3413" w:rsidRPr="001E3413" w:rsidP="000D08F8">
            <w:pPr>
              <w:spacing w:line="240" w:lineRule="auto"/>
              <w:jc w:val="center"/>
              <w:rPr>
                <w:rFonts w:ascii="Arial Narrow" w:hAnsi="Arial Narrow" w:cs="Times New Roman"/>
                <w:sz w:val="18"/>
                <w:szCs w:val="18"/>
              </w:rPr>
            </w:pPr>
            <w:r>
              <w:rPr>
                <w:rFonts w:ascii="Arial Narrow" w:hAnsi="Arial Narrow" w:cs="Times New Roman"/>
                <w:sz w:val="18"/>
                <w:szCs w:val="18"/>
              </w:rPr>
              <w:t xml:space="preserve"> (</w:t>
            </w:r>
            <w:r w:rsidR="008A63AC">
              <w:rPr>
                <w:rFonts w:ascii="Arial Narrow" w:hAnsi="Arial Narrow" w:cs="Times New Roman"/>
                <w:sz w:val="18"/>
                <w:szCs w:val="18"/>
              </w:rPr>
              <w:t>2007</w:t>
            </w:r>
            <w:r w:rsidRPr="001E3413">
              <w:rPr>
                <w:rFonts w:ascii="Arial Narrow" w:hAnsi="Arial Narrow" w:cs="Times New Roman"/>
                <w:sz w:val="18"/>
                <w:szCs w:val="18"/>
              </w:rPr>
              <w:t>)</w:t>
            </w:r>
          </w:p>
        </w:tc>
        <w:tc>
          <w:tcPr>
            <w:tcW w:w="720" w:type="dxa"/>
            <w:vMerge w:val="restart"/>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1E3413" w:rsidRPr="001E3413" w:rsidP="000D08F8">
            <w:pPr>
              <w:spacing w:line="240" w:lineRule="auto"/>
              <w:jc w:val="center"/>
              <w:rPr>
                <w:rFonts w:ascii="Arial Narrow" w:hAnsi="Arial Narrow" w:cs="Times New Roman"/>
                <w:sz w:val="18"/>
                <w:szCs w:val="18"/>
              </w:rPr>
            </w:pPr>
            <w:r w:rsidRPr="001E3413">
              <w:rPr>
                <w:rFonts w:ascii="Arial Narrow" w:hAnsi="Arial Narrow" w:cs="Times New Roman"/>
                <w:sz w:val="18"/>
                <w:szCs w:val="18"/>
              </w:rPr>
              <w:t>ŠR</w:t>
            </w:r>
          </w:p>
          <w:p w:rsidR="001E3413" w:rsidRPr="001E3413" w:rsidP="000D08F8">
            <w:pPr>
              <w:spacing w:line="240" w:lineRule="auto"/>
              <w:jc w:val="center"/>
              <w:rPr>
                <w:rFonts w:ascii="Arial Narrow" w:hAnsi="Arial Narrow" w:cs="Times New Roman"/>
                <w:sz w:val="18"/>
                <w:szCs w:val="18"/>
              </w:rPr>
            </w:pPr>
            <w:r>
              <w:rPr>
                <w:rFonts w:ascii="Arial Narrow" w:hAnsi="Arial Narrow" w:cs="Times New Roman"/>
                <w:sz w:val="18"/>
                <w:szCs w:val="18"/>
              </w:rPr>
              <w:t xml:space="preserve"> (</w:t>
            </w:r>
            <w:r w:rsidR="000C453B">
              <w:rPr>
                <w:rFonts w:ascii="Arial Narrow" w:hAnsi="Arial Narrow" w:cs="Times New Roman"/>
                <w:sz w:val="18"/>
                <w:szCs w:val="18"/>
              </w:rPr>
              <w:t>2007</w:t>
            </w:r>
            <w:r w:rsidRPr="001E3413">
              <w:rPr>
                <w:rFonts w:ascii="Arial Narrow" w:hAnsi="Arial Narrow" w:cs="Times New Roman"/>
                <w:sz w:val="18"/>
                <w:szCs w:val="18"/>
              </w:rPr>
              <w:t>)</w:t>
            </w:r>
          </w:p>
        </w:tc>
        <w:tc>
          <w:tcPr>
            <w:tcW w:w="1440" w:type="dxa"/>
            <w:gridSpan w:val="2"/>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1E3413" w:rsidRPr="001E3413" w:rsidP="000D08F8">
            <w:pPr>
              <w:spacing w:line="240" w:lineRule="auto"/>
              <w:jc w:val="center"/>
              <w:rPr>
                <w:rFonts w:ascii="Arial Narrow" w:hAnsi="Arial Narrow" w:cs="Times New Roman"/>
                <w:sz w:val="18"/>
                <w:szCs w:val="18"/>
              </w:rPr>
            </w:pPr>
            <w:r>
              <w:rPr>
                <w:rFonts w:ascii="Arial Narrow" w:hAnsi="Arial Narrow" w:cs="Times New Roman"/>
                <w:sz w:val="18"/>
                <w:szCs w:val="18"/>
              </w:rPr>
              <w:t xml:space="preserve">Prost. z min. </w:t>
            </w:r>
            <w:r w:rsidRPr="001E3413">
              <w:rPr>
                <w:rFonts w:ascii="Arial Narrow" w:hAnsi="Arial Narrow" w:cs="Times New Roman"/>
                <w:sz w:val="18"/>
                <w:szCs w:val="18"/>
              </w:rPr>
              <w:t>rokov</w:t>
            </w:r>
          </w:p>
        </w:tc>
        <w:tc>
          <w:tcPr>
            <w:tcW w:w="701" w:type="dxa"/>
            <w:vMerge w:val="restart"/>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1E3413" w:rsidRPr="001E3413" w:rsidP="000D08F8">
            <w:pPr>
              <w:spacing w:line="240" w:lineRule="auto"/>
              <w:jc w:val="center"/>
              <w:rPr>
                <w:rFonts w:ascii="Arial Narrow" w:hAnsi="Arial Narrow" w:cs="Times New Roman"/>
                <w:sz w:val="18"/>
                <w:szCs w:val="18"/>
              </w:rPr>
            </w:pPr>
            <w:r w:rsidRPr="001E3413">
              <w:rPr>
                <w:rFonts w:ascii="Arial Narrow" w:hAnsi="Arial Narrow" w:cs="Times New Roman"/>
                <w:sz w:val="18"/>
                <w:szCs w:val="18"/>
              </w:rPr>
              <w:t>EÚ</w:t>
            </w:r>
          </w:p>
        </w:tc>
        <w:tc>
          <w:tcPr>
            <w:tcW w:w="720" w:type="dxa"/>
            <w:vMerge w:val="restart"/>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1E3413" w:rsidRPr="001E3413" w:rsidP="000D08F8">
            <w:pPr>
              <w:spacing w:line="240" w:lineRule="auto"/>
              <w:jc w:val="center"/>
              <w:rPr>
                <w:rFonts w:ascii="Arial Narrow" w:hAnsi="Arial Narrow" w:cs="Times New Roman"/>
                <w:sz w:val="18"/>
                <w:szCs w:val="18"/>
              </w:rPr>
            </w:pPr>
            <w:r w:rsidRPr="001E3413">
              <w:rPr>
                <w:rFonts w:ascii="Arial Narrow" w:hAnsi="Arial Narrow" w:cs="Times New Roman"/>
                <w:sz w:val="18"/>
                <w:szCs w:val="18"/>
              </w:rPr>
              <w:t>ŠR</w:t>
            </w:r>
          </w:p>
        </w:tc>
        <w:tc>
          <w:tcPr>
            <w:tcW w:w="900" w:type="dxa"/>
            <w:vMerge w:val="restart"/>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1E3413" w:rsidRPr="001E3413" w:rsidP="000D08F8">
            <w:pPr>
              <w:spacing w:line="240" w:lineRule="auto"/>
              <w:jc w:val="center"/>
              <w:rPr>
                <w:rFonts w:ascii="Arial Narrow" w:hAnsi="Arial Narrow" w:cs="Times New Roman"/>
                <w:sz w:val="18"/>
                <w:szCs w:val="18"/>
              </w:rPr>
            </w:pPr>
            <w:r w:rsidR="00CF7987">
              <w:rPr>
                <w:rFonts w:ascii="Arial Narrow" w:hAnsi="Arial Narrow" w:cs="Times New Roman"/>
                <w:sz w:val="18"/>
                <w:szCs w:val="18"/>
              </w:rPr>
              <w:t>Presun do roku</w:t>
            </w:r>
            <w:r w:rsidR="008A63AC">
              <w:rPr>
                <w:rFonts w:ascii="Arial Narrow" w:hAnsi="Arial Narrow" w:cs="Times New Roman"/>
                <w:sz w:val="18"/>
                <w:szCs w:val="18"/>
              </w:rPr>
              <w:t xml:space="preserve"> 2008</w:t>
            </w:r>
          </w:p>
        </w:tc>
      </w:tr>
      <w:tr>
        <w:tblPrEx>
          <w:tblW w:w="8981" w:type="dxa"/>
          <w:tblInd w:w="89" w:type="dxa"/>
          <w:tblCellMar>
            <w:left w:w="70" w:type="dxa"/>
            <w:right w:w="70" w:type="dxa"/>
          </w:tblCellMar>
        </w:tblPrEx>
        <w:trPr>
          <w:trHeight w:val="345"/>
        </w:trPr>
        <w:tc>
          <w:tcPr>
            <w:tcW w:w="919" w:type="dxa"/>
            <w:vMerge/>
            <w:tcBorders>
              <w:top w:val="single" w:sz="4" w:space="0" w:color="auto"/>
              <w:left w:val="single" w:sz="4" w:space="0" w:color="auto"/>
              <w:bottom w:val="single" w:sz="4" w:space="0" w:color="auto"/>
              <w:right w:val="single" w:sz="4" w:space="0" w:color="auto"/>
              <w:tl2br w:val="nil"/>
              <w:tr2bl w:val="nil"/>
            </w:tcBorders>
            <w:textDirection w:val="lrTb"/>
            <w:vAlign w:val="center"/>
          </w:tcPr>
          <w:p w:rsidR="001E3413" w:rsidRPr="001D06AB" w:rsidP="000D08F8">
            <w:pPr>
              <w:spacing w:line="240" w:lineRule="auto"/>
              <w:rPr>
                <w:rFonts w:ascii="Arial Narrow" w:hAnsi="Arial Narrow" w:cs="Times New Roman"/>
                <w:b/>
                <w:bCs/>
              </w:rPr>
            </w:pPr>
          </w:p>
        </w:tc>
        <w:tc>
          <w:tcPr>
            <w:tcW w:w="701" w:type="dxa"/>
            <w:vMerge/>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1E3413" w:rsidRPr="001D06AB" w:rsidP="000D08F8">
            <w:pPr>
              <w:spacing w:line="240" w:lineRule="auto"/>
              <w:jc w:val="center"/>
              <w:rPr>
                <w:rFonts w:ascii="Arial Narrow" w:hAnsi="Arial Narrow" w:cs="Times New Roman"/>
              </w:rPr>
            </w:pPr>
          </w:p>
        </w:tc>
        <w:tc>
          <w:tcPr>
            <w:tcW w:w="720" w:type="dxa"/>
            <w:vMerge/>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1E3413" w:rsidRPr="001D06AB" w:rsidP="000D08F8">
            <w:pPr>
              <w:spacing w:line="240" w:lineRule="auto"/>
              <w:jc w:val="center"/>
              <w:rPr>
                <w:rFonts w:ascii="Arial Narrow" w:hAnsi="Arial Narrow" w:cs="Times New Roman"/>
              </w:rPr>
            </w:pPr>
          </w:p>
        </w:tc>
        <w:tc>
          <w:tcPr>
            <w:tcW w:w="72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1E3413" w:rsidP="000D08F8">
            <w:pPr>
              <w:spacing w:line="240" w:lineRule="auto"/>
              <w:jc w:val="center"/>
              <w:rPr>
                <w:rFonts w:ascii="Arial Narrow" w:hAnsi="Arial Narrow" w:cs="Times New Roman"/>
              </w:rPr>
            </w:pPr>
            <w:r>
              <w:rPr>
                <w:rFonts w:ascii="Arial Narrow" w:hAnsi="Arial Narrow" w:cs="Times New Roman"/>
              </w:rPr>
              <w:t>EÚ</w:t>
            </w:r>
          </w:p>
        </w:tc>
        <w:tc>
          <w:tcPr>
            <w:tcW w:w="72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1E3413" w:rsidP="000D08F8">
            <w:pPr>
              <w:spacing w:line="240" w:lineRule="auto"/>
              <w:jc w:val="center"/>
              <w:rPr>
                <w:rFonts w:ascii="Arial Narrow" w:hAnsi="Arial Narrow" w:cs="Times New Roman"/>
              </w:rPr>
            </w:pPr>
            <w:r>
              <w:rPr>
                <w:rFonts w:ascii="Arial Narrow" w:hAnsi="Arial Narrow" w:cs="Times New Roman"/>
              </w:rPr>
              <w:t>ŠR</w:t>
            </w:r>
          </w:p>
        </w:tc>
        <w:tc>
          <w:tcPr>
            <w:tcW w:w="720" w:type="dxa"/>
            <w:vMerge/>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1E3413" w:rsidRPr="001D06AB" w:rsidP="000D08F8">
            <w:pPr>
              <w:spacing w:line="240" w:lineRule="auto"/>
              <w:jc w:val="center"/>
              <w:rPr>
                <w:rFonts w:ascii="Arial Narrow" w:hAnsi="Arial Narrow" w:cs="Times New Roman"/>
              </w:rPr>
            </w:pPr>
          </w:p>
        </w:tc>
        <w:tc>
          <w:tcPr>
            <w:tcW w:w="720" w:type="dxa"/>
            <w:vMerge/>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1E3413" w:rsidRPr="001D06AB" w:rsidP="000D08F8">
            <w:pPr>
              <w:spacing w:line="240" w:lineRule="auto"/>
              <w:jc w:val="center"/>
              <w:rPr>
                <w:rFonts w:ascii="Arial Narrow" w:hAnsi="Arial Narrow" w:cs="Times New Roman"/>
              </w:rPr>
            </w:pPr>
          </w:p>
        </w:tc>
        <w:tc>
          <w:tcPr>
            <w:tcW w:w="72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1E3413" w:rsidP="000D08F8">
            <w:pPr>
              <w:spacing w:line="240" w:lineRule="auto"/>
              <w:jc w:val="center"/>
              <w:rPr>
                <w:rFonts w:ascii="Arial Narrow" w:hAnsi="Arial Narrow" w:cs="Times New Roman"/>
              </w:rPr>
            </w:pPr>
            <w:r>
              <w:rPr>
                <w:rFonts w:ascii="Arial Narrow" w:hAnsi="Arial Narrow" w:cs="Times New Roman"/>
              </w:rPr>
              <w:t>EÚ</w:t>
            </w:r>
          </w:p>
        </w:tc>
        <w:tc>
          <w:tcPr>
            <w:tcW w:w="72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1E3413" w:rsidP="000D08F8">
            <w:pPr>
              <w:spacing w:line="240" w:lineRule="auto"/>
              <w:ind w:left="-70" w:firstLine="70"/>
              <w:jc w:val="center"/>
              <w:rPr>
                <w:rFonts w:ascii="Arial Narrow" w:hAnsi="Arial Narrow" w:cs="Times New Roman"/>
              </w:rPr>
            </w:pPr>
            <w:r>
              <w:rPr>
                <w:rFonts w:ascii="Arial Narrow" w:hAnsi="Arial Narrow" w:cs="Times New Roman"/>
              </w:rPr>
              <w:t>ŠR</w:t>
            </w:r>
          </w:p>
        </w:tc>
        <w:tc>
          <w:tcPr>
            <w:tcW w:w="701" w:type="dxa"/>
            <w:vMerge/>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1E3413" w:rsidRPr="001D06AB" w:rsidP="000D08F8">
            <w:pPr>
              <w:spacing w:line="240" w:lineRule="auto"/>
              <w:jc w:val="center"/>
              <w:rPr>
                <w:rFonts w:ascii="Arial Narrow" w:hAnsi="Arial Narrow" w:cs="Times New Roman"/>
              </w:rPr>
            </w:pPr>
          </w:p>
        </w:tc>
        <w:tc>
          <w:tcPr>
            <w:tcW w:w="720" w:type="dxa"/>
            <w:vMerge/>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1E3413" w:rsidRPr="001D06AB" w:rsidP="000D08F8">
            <w:pPr>
              <w:spacing w:line="240" w:lineRule="auto"/>
              <w:jc w:val="center"/>
              <w:rPr>
                <w:rFonts w:ascii="Arial Narrow" w:hAnsi="Arial Narrow" w:cs="Times New Roman"/>
              </w:rPr>
            </w:pPr>
          </w:p>
        </w:tc>
        <w:tc>
          <w:tcPr>
            <w:tcW w:w="900" w:type="dxa"/>
            <w:vMerge/>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1E3413" w:rsidP="000D08F8">
            <w:pPr>
              <w:spacing w:line="240" w:lineRule="auto"/>
              <w:jc w:val="center"/>
              <w:rPr>
                <w:rFonts w:ascii="Arial Narrow" w:hAnsi="Arial Narrow" w:cs="Times New Roman"/>
              </w:rPr>
            </w:pPr>
          </w:p>
        </w:tc>
      </w:tr>
      <w:tr>
        <w:tblPrEx>
          <w:tblW w:w="8981" w:type="dxa"/>
          <w:tblInd w:w="89" w:type="dxa"/>
          <w:tblCellMar>
            <w:left w:w="70" w:type="dxa"/>
            <w:right w:w="70" w:type="dxa"/>
          </w:tblCellMar>
        </w:tblPrEx>
        <w:trPr>
          <w:trHeight w:val="330"/>
        </w:trPr>
        <w:tc>
          <w:tcPr>
            <w:tcW w:w="919"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1E3413" w:rsidRPr="001D06AB" w:rsidP="000D08F8">
            <w:pPr>
              <w:spacing w:line="240" w:lineRule="auto"/>
              <w:rPr>
                <w:rFonts w:ascii="Arial Narrow" w:hAnsi="Arial Narrow" w:cs="Times New Roman"/>
              </w:rPr>
            </w:pPr>
            <w:r w:rsidRPr="001D06AB">
              <w:rPr>
                <w:rFonts w:ascii="Arial Narrow" w:hAnsi="Arial Narrow" w:cs="Times New Roman"/>
              </w:rPr>
              <w:t> </w:t>
            </w:r>
          </w:p>
        </w:tc>
        <w:tc>
          <w:tcPr>
            <w:tcW w:w="8062" w:type="dxa"/>
            <w:gridSpan w:val="11"/>
            <w:tcBorders>
              <w:top w:val="single" w:sz="4" w:space="0" w:color="auto"/>
              <w:left w:val="single" w:sz="4" w:space="0" w:color="auto"/>
              <w:bottom w:val="single" w:sz="4" w:space="0" w:color="auto"/>
              <w:right w:val="single" w:sz="4" w:space="0" w:color="auto"/>
              <w:tl2br w:val="nil"/>
              <w:tr2bl w:val="nil"/>
            </w:tcBorders>
            <w:shd w:val="clear" w:color="auto" w:fill="C0C0C0"/>
            <w:noWrap/>
            <w:textDirection w:val="lrTb"/>
            <w:vAlign w:val="center"/>
          </w:tcPr>
          <w:p w:rsidR="001E3413" w:rsidRPr="006B5EB3" w:rsidP="000D08F8">
            <w:pPr>
              <w:spacing w:line="240" w:lineRule="auto"/>
              <w:ind w:firstLine="708"/>
              <w:jc w:val="center"/>
              <w:rPr>
                <w:rFonts w:ascii="Arial Narrow" w:hAnsi="Arial Narrow" w:cs="Times New Roman"/>
                <w:b/>
              </w:rPr>
            </w:pPr>
            <w:r w:rsidRPr="006B5EB3">
              <w:rPr>
                <w:rFonts w:ascii="Arial Narrow" w:hAnsi="Arial Narrow" w:cs="Times New Roman"/>
                <w:b/>
              </w:rPr>
              <w:t>Prvok 07T0102 – Technická pomoc MDPT SR (ŠF)</w:t>
            </w:r>
          </w:p>
        </w:tc>
      </w:tr>
      <w:tr>
        <w:tblPrEx>
          <w:tblW w:w="8981" w:type="dxa"/>
          <w:tblInd w:w="89" w:type="dxa"/>
          <w:tblCellMar>
            <w:left w:w="70" w:type="dxa"/>
            <w:right w:w="70" w:type="dxa"/>
          </w:tblCellMar>
        </w:tblPrEx>
        <w:trPr>
          <w:trHeight w:val="255"/>
        </w:trPr>
        <w:tc>
          <w:tcPr>
            <w:tcW w:w="919"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1E3413" w:rsidRPr="001D06AB" w:rsidP="000D08F8">
            <w:pPr>
              <w:spacing w:line="240" w:lineRule="auto"/>
              <w:jc w:val="center"/>
              <w:rPr>
                <w:rFonts w:ascii="Arial Narrow" w:hAnsi="Arial Narrow" w:cs="Times New Roman"/>
              </w:rPr>
            </w:pPr>
            <w:r>
              <w:rPr>
                <w:rFonts w:ascii="Arial Narrow" w:hAnsi="Arial Narrow" w:cs="Times New Roman"/>
              </w:rPr>
              <w:t>Technická asistencia</w:t>
            </w:r>
          </w:p>
        </w:tc>
        <w:tc>
          <w:tcPr>
            <w:tcW w:w="701"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1E3413" w:rsidRPr="001D06AB" w:rsidP="000D08F8">
            <w:pPr>
              <w:spacing w:line="240" w:lineRule="auto"/>
              <w:jc w:val="right"/>
              <w:rPr>
                <w:rFonts w:ascii="Arial Narrow" w:hAnsi="Arial Narrow" w:cs="Times New Roman"/>
              </w:rPr>
            </w:pPr>
            <w:r w:rsidR="00ED1951">
              <w:rPr>
                <w:rFonts w:ascii="Arial Narrow" w:hAnsi="Arial Narrow" w:cs="Times New Roman"/>
              </w:rPr>
              <w:t>9 000</w:t>
            </w:r>
          </w:p>
        </w:tc>
        <w:tc>
          <w:tcPr>
            <w:tcW w:w="72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1E3413" w:rsidRPr="001D06AB" w:rsidP="000D08F8">
            <w:pPr>
              <w:spacing w:line="240" w:lineRule="auto"/>
              <w:jc w:val="right"/>
              <w:rPr>
                <w:rFonts w:ascii="Arial Narrow" w:hAnsi="Arial Narrow" w:cs="Times New Roman"/>
              </w:rPr>
            </w:pPr>
            <w:r w:rsidR="00267A33">
              <w:rPr>
                <w:rFonts w:ascii="Arial Narrow" w:hAnsi="Arial Narrow" w:cs="Times New Roman"/>
              </w:rPr>
              <w:t>3 00</w:t>
            </w:r>
            <w:r w:rsidR="00287094">
              <w:rPr>
                <w:rFonts w:ascii="Arial Narrow" w:hAnsi="Arial Narrow" w:cs="Times New Roman"/>
              </w:rPr>
              <w:t>0</w:t>
            </w:r>
          </w:p>
        </w:tc>
        <w:tc>
          <w:tcPr>
            <w:tcW w:w="72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1E3413" w:rsidRPr="001D06AB" w:rsidP="000D08F8">
            <w:pPr>
              <w:spacing w:line="240" w:lineRule="auto"/>
              <w:jc w:val="right"/>
              <w:rPr>
                <w:rFonts w:ascii="Arial Narrow" w:hAnsi="Arial Narrow" w:cs="Times New Roman"/>
              </w:rPr>
            </w:pPr>
            <w:r w:rsidR="00287094">
              <w:rPr>
                <w:rFonts w:ascii="Arial Narrow" w:hAnsi="Arial Narrow" w:cs="Times New Roman"/>
              </w:rPr>
              <w:t>59 136</w:t>
            </w:r>
          </w:p>
        </w:tc>
        <w:tc>
          <w:tcPr>
            <w:tcW w:w="72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1E3413" w:rsidRPr="001D06AB" w:rsidP="000D08F8">
            <w:pPr>
              <w:spacing w:line="240" w:lineRule="auto"/>
              <w:jc w:val="right"/>
              <w:rPr>
                <w:rFonts w:ascii="Arial Narrow" w:hAnsi="Arial Narrow" w:cs="Times New Roman"/>
              </w:rPr>
            </w:pPr>
            <w:r w:rsidR="007C59C3">
              <w:rPr>
                <w:rFonts w:ascii="Arial Narrow" w:hAnsi="Arial Narrow" w:cs="Times New Roman"/>
              </w:rPr>
              <w:t>1</w:t>
            </w:r>
            <w:r w:rsidR="00103753">
              <w:rPr>
                <w:rFonts w:ascii="Arial Narrow" w:hAnsi="Arial Narrow" w:cs="Times New Roman"/>
              </w:rPr>
              <w:t>9</w:t>
            </w:r>
            <w:r w:rsidR="00287094">
              <w:rPr>
                <w:rFonts w:ascii="Arial Narrow" w:hAnsi="Arial Narrow" w:cs="Times New Roman"/>
              </w:rPr>
              <w:t xml:space="preserve"> 616</w:t>
            </w:r>
          </w:p>
        </w:tc>
        <w:tc>
          <w:tcPr>
            <w:tcW w:w="72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1E3413" w:rsidRPr="001D06AB" w:rsidP="000D08F8">
            <w:pPr>
              <w:spacing w:line="240" w:lineRule="auto"/>
              <w:jc w:val="right"/>
              <w:rPr>
                <w:rFonts w:ascii="Arial Narrow" w:hAnsi="Arial Narrow" w:cs="Times New Roman"/>
              </w:rPr>
            </w:pPr>
            <w:r w:rsidR="007C59C3">
              <w:rPr>
                <w:rFonts w:ascii="Arial Narrow" w:hAnsi="Arial Narrow" w:cs="Times New Roman"/>
              </w:rPr>
              <w:t>8 0</w:t>
            </w:r>
            <w:r w:rsidR="00267A33">
              <w:rPr>
                <w:rFonts w:ascii="Arial Narrow" w:hAnsi="Arial Narrow" w:cs="Times New Roman"/>
              </w:rPr>
              <w:t>98</w:t>
            </w:r>
          </w:p>
        </w:tc>
        <w:tc>
          <w:tcPr>
            <w:tcW w:w="72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1E3413" w:rsidRPr="001D06AB" w:rsidP="000D08F8">
            <w:pPr>
              <w:spacing w:line="240" w:lineRule="auto"/>
              <w:jc w:val="right"/>
              <w:rPr>
                <w:rFonts w:ascii="Arial Narrow" w:hAnsi="Arial Narrow" w:cs="Times New Roman"/>
              </w:rPr>
            </w:pPr>
            <w:r w:rsidR="00267A33">
              <w:rPr>
                <w:rFonts w:ascii="Arial Narrow" w:hAnsi="Arial Narrow" w:cs="Times New Roman"/>
              </w:rPr>
              <w:t>2 699</w:t>
            </w:r>
          </w:p>
        </w:tc>
        <w:tc>
          <w:tcPr>
            <w:tcW w:w="72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1E3413" w:rsidRPr="001D06AB" w:rsidP="000D08F8">
            <w:pPr>
              <w:spacing w:line="240" w:lineRule="auto"/>
              <w:jc w:val="right"/>
              <w:rPr>
                <w:rFonts w:ascii="Arial Narrow" w:hAnsi="Arial Narrow" w:cs="Times New Roman"/>
              </w:rPr>
            </w:pPr>
            <w:r w:rsidR="00267A33">
              <w:rPr>
                <w:rFonts w:ascii="Arial Narrow" w:hAnsi="Arial Narrow" w:cs="Times New Roman"/>
              </w:rPr>
              <w:t>25 446</w:t>
            </w:r>
          </w:p>
        </w:tc>
        <w:tc>
          <w:tcPr>
            <w:tcW w:w="72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1E3413" w:rsidRPr="001D06AB" w:rsidP="000D08F8">
            <w:pPr>
              <w:spacing w:line="240" w:lineRule="auto"/>
              <w:jc w:val="right"/>
              <w:rPr>
                <w:rFonts w:ascii="Arial Narrow" w:hAnsi="Arial Narrow" w:cs="Times New Roman"/>
              </w:rPr>
            </w:pPr>
            <w:r w:rsidR="002325B5">
              <w:rPr>
                <w:rFonts w:ascii="Arial Narrow" w:hAnsi="Arial Narrow" w:cs="Times New Roman"/>
              </w:rPr>
              <w:t xml:space="preserve">8 </w:t>
            </w:r>
            <w:r w:rsidR="00267A33">
              <w:rPr>
                <w:rFonts w:ascii="Arial Narrow" w:hAnsi="Arial Narrow" w:cs="Times New Roman"/>
              </w:rPr>
              <w:t>482</w:t>
            </w:r>
          </w:p>
        </w:tc>
        <w:tc>
          <w:tcPr>
            <w:tcW w:w="701"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1E3413" w:rsidRPr="001D06AB" w:rsidP="000D08F8">
            <w:pPr>
              <w:spacing w:line="240" w:lineRule="auto"/>
              <w:jc w:val="right"/>
              <w:rPr>
                <w:rFonts w:ascii="Arial Narrow" w:hAnsi="Arial Narrow" w:cs="Times New Roman"/>
              </w:rPr>
            </w:pPr>
            <w:r w:rsidR="00EF48B7">
              <w:rPr>
                <w:rFonts w:ascii="Arial Narrow" w:hAnsi="Arial Narrow" w:cs="Times New Roman"/>
              </w:rPr>
              <w:t>34 592</w:t>
            </w:r>
          </w:p>
        </w:tc>
        <w:tc>
          <w:tcPr>
            <w:tcW w:w="72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1E3413" w:rsidRPr="001D06AB" w:rsidP="000D08F8">
            <w:pPr>
              <w:spacing w:line="240" w:lineRule="auto"/>
              <w:jc w:val="right"/>
              <w:rPr>
                <w:rFonts w:ascii="Arial Narrow" w:hAnsi="Arial Narrow" w:cs="Times New Roman"/>
              </w:rPr>
            </w:pPr>
            <w:r w:rsidR="00EF48B7">
              <w:rPr>
                <w:rFonts w:ascii="Arial Narrow" w:hAnsi="Arial Narrow" w:cs="Times New Roman"/>
              </w:rPr>
              <w:t>11 435</w:t>
            </w:r>
          </w:p>
        </w:tc>
        <w:tc>
          <w:tcPr>
            <w:tcW w:w="90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1E3413" w:rsidRPr="001D06AB" w:rsidP="000D08F8">
            <w:pPr>
              <w:spacing w:line="240" w:lineRule="auto"/>
              <w:jc w:val="right"/>
              <w:rPr>
                <w:rFonts w:ascii="Arial Narrow" w:hAnsi="Arial Narrow" w:cs="Times New Roman"/>
              </w:rPr>
            </w:pPr>
            <w:r w:rsidR="00EF48B7">
              <w:rPr>
                <w:rFonts w:ascii="Arial Narrow" w:hAnsi="Arial Narrow" w:cs="Times New Roman"/>
              </w:rPr>
              <w:t>46 027</w:t>
            </w:r>
          </w:p>
        </w:tc>
      </w:tr>
    </w:tbl>
    <w:p w:rsidR="001E3413" w:rsidP="000D08F8">
      <w:pPr>
        <w:spacing w:line="240" w:lineRule="auto"/>
        <w:rPr>
          <w:rFonts w:ascii="Times New Roman" w:hAnsi="Times New Roman" w:cs="Times New Roman"/>
          <w:sz w:val="24"/>
          <w:szCs w:val="24"/>
          <w:u w:val="single"/>
        </w:rPr>
      </w:pPr>
    </w:p>
    <w:p w:rsidR="00267A33" w:rsidRPr="00103753" w:rsidP="00AC2D47">
      <w:pPr>
        <w:pStyle w:val="BodyText2"/>
        <w:spacing w:line="240" w:lineRule="auto"/>
        <w:ind w:firstLine="709"/>
        <w:rPr>
          <w:rFonts w:ascii="Times New Roman" w:hAnsi="Times New Roman" w:cs="Times New Roman"/>
          <w:sz w:val="24"/>
          <w:szCs w:val="24"/>
        </w:rPr>
      </w:pPr>
      <w:r w:rsidRPr="00AA137D" w:rsidR="00435C32">
        <w:rPr>
          <w:rFonts w:ascii="Times New Roman" w:hAnsi="Times New Roman" w:cs="Times New Roman"/>
          <w:sz w:val="24"/>
          <w:szCs w:val="24"/>
        </w:rPr>
        <w:t xml:space="preserve">Schválený rozpočet technickej asistencie predstavoval k 1.1.2007 len prostriedky z rozpočtu EÚ (ERDF), a to výške </w:t>
      </w:r>
      <w:r w:rsidRPr="00AA137D" w:rsidR="00ED1951">
        <w:rPr>
          <w:rFonts w:ascii="Times New Roman" w:hAnsi="Times New Roman" w:cs="Times New Roman"/>
          <w:sz w:val="24"/>
          <w:szCs w:val="24"/>
        </w:rPr>
        <w:t xml:space="preserve">49 673 </w:t>
      </w:r>
      <w:r w:rsidRPr="00AA137D" w:rsidR="00435C32">
        <w:rPr>
          <w:rFonts w:ascii="Times New Roman" w:hAnsi="Times New Roman" w:cs="Times New Roman"/>
          <w:sz w:val="24"/>
          <w:szCs w:val="24"/>
        </w:rPr>
        <w:t xml:space="preserve">tis. </w:t>
      </w:r>
      <w:r w:rsidRPr="00AA137D" w:rsidR="00AA137D">
        <w:rPr>
          <w:rFonts w:ascii="Times New Roman" w:hAnsi="Times New Roman" w:cs="Times New Roman"/>
          <w:sz w:val="24"/>
          <w:szCs w:val="24"/>
        </w:rPr>
        <w:t xml:space="preserve">Sk. Rozpočtovým opatrením </w:t>
      </w:r>
      <w:r w:rsidRPr="00AA137D" w:rsidR="00435C32">
        <w:rPr>
          <w:rFonts w:ascii="Times New Roman" w:hAnsi="Times New Roman" w:cs="Times New Roman"/>
          <w:sz w:val="24"/>
          <w:szCs w:val="24"/>
        </w:rPr>
        <w:t>MF SR č. 2 sa pôvodný rozpočet navýšil o prostriedky z minulých rokov vo výške 78 752 tis. Sk, z toho z fondu ERDF vo výške 5</w:t>
      </w:r>
      <w:r w:rsidRPr="00AA137D" w:rsidR="00435C32">
        <w:rPr>
          <w:rFonts w:ascii="Times New Roman" w:hAnsi="Times New Roman" w:cs="Times New Roman"/>
          <w:sz w:val="24"/>
          <w:szCs w:val="24"/>
        </w:rPr>
        <w:t>9 136 tis. Sk a príslušného spolufinancovania zo štátneho ro</w:t>
      </w:r>
      <w:r w:rsidRPr="00AA137D" w:rsidR="00AA137D">
        <w:rPr>
          <w:rFonts w:ascii="Times New Roman" w:hAnsi="Times New Roman" w:cs="Times New Roman"/>
          <w:sz w:val="24"/>
          <w:szCs w:val="24"/>
        </w:rPr>
        <w:t xml:space="preserve">zpočtu vo výške 19 616 tis. Sk. </w:t>
      </w:r>
      <w:r w:rsidR="00F606D4">
        <w:rPr>
          <w:rFonts w:ascii="Times New Roman" w:hAnsi="Times New Roman" w:cs="Times New Roman"/>
          <w:sz w:val="24"/>
          <w:szCs w:val="24"/>
        </w:rPr>
        <w:t xml:space="preserve">Celkovo </w:t>
      </w:r>
      <w:r w:rsidRPr="00103753" w:rsidR="00F606D4">
        <w:rPr>
          <w:rFonts w:ascii="Times New Roman" w:hAnsi="Times New Roman" w:cs="Times New Roman"/>
          <w:sz w:val="24"/>
          <w:szCs w:val="24"/>
        </w:rPr>
        <w:t xml:space="preserve">128 425 tis. Sk. </w:t>
      </w:r>
    </w:p>
    <w:p w:rsidR="002325B5" w:rsidP="00AC2D47">
      <w:pPr>
        <w:pStyle w:val="BodyText2"/>
        <w:spacing w:line="240" w:lineRule="auto"/>
        <w:ind w:firstLine="709"/>
        <w:rPr>
          <w:rFonts w:ascii="Times New Roman" w:hAnsi="Times New Roman" w:cs="Times New Roman"/>
          <w:sz w:val="24"/>
          <w:szCs w:val="24"/>
        </w:rPr>
      </w:pPr>
      <w:r w:rsidR="00267A33">
        <w:rPr>
          <w:rFonts w:ascii="Times New Roman" w:hAnsi="Times New Roman" w:cs="Times New Roman"/>
          <w:sz w:val="24"/>
          <w:szCs w:val="24"/>
        </w:rPr>
        <w:t xml:space="preserve">Na základe požiadavky kapitoly MDPT SR, v nadväznosti na uznesenia vlády SR č. 328/2004, 612/2004, 544/2005 a 727/2005, sa rozpočtovým opatrením MF SR č. 8 </w:t>
      </w:r>
      <w:r w:rsidRPr="00C0431E" w:rsidR="00267A33">
        <w:rPr>
          <w:rFonts w:ascii="Times New Roman" w:hAnsi="Times New Roman" w:cs="Times New Roman"/>
          <w:sz w:val="24"/>
          <w:szCs w:val="24"/>
        </w:rPr>
        <w:t>zabezpe</w:t>
      </w:r>
      <w:r w:rsidR="00103753">
        <w:rPr>
          <w:rFonts w:ascii="Times New Roman" w:hAnsi="Times New Roman" w:cs="Times New Roman"/>
          <w:sz w:val="24"/>
          <w:szCs w:val="24"/>
        </w:rPr>
        <w:t xml:space="preserve">čil presun prostriedkov </w:t>
      </w:r>
      <w:r w:rsidRPr="00C0431E" w:rsidR="00267A33">
        <w:rPr>
          <w:rFonts w:ascii="Times New Roman" w:hAnsi="Times New Roman" w:cs="Times New Roman"/>
          <w:sz w:val="24"/>
          <w:szCs w:val="24"/>
        </w:rPr>
        <w:t>z</w:t>
      </w:r>
      <w:r w:rsidR="00267A33">
        <w:rPr>
          <w:rFonts w:ascii="Times New Roman" w:hAnsi="Times New Roman" w:cs="Times New Roman"/>
          <w:sz w:val="24"/>
          <w:szCs w:val="24"/>
        </w:rPr>
        <w:t> kategórie 630 – Tovary</w:t>
      </w:r>
      <w:r w:rsidRPr="00C0431E" w:rsidR="00267A33">
        <w:rPr>
          <w:rFonts w:ascii="Times New Roman" w:hAnsi="Times New Roman" w:cs="Times New Roman"/>
          <w:sz w:val="24"/>
          <w:szCs w:val="24"/>
        </w:rPr>
        <w:t xml:space="preserve"> a</w:t>
      </w:r>
      <w:r w:rsidR="00267A33">
        <w:rPr>
          <w:rFonts w:ascii="Times New Roman" w:hAnsi="Times New Roman" w:cs="Times New Roman"/>
          <w:sz w:val="24"/>
          <w:szCs w:val="24"/>
        </w:rPr>
        <w:t> služ</w:t>
      </w:r>
      <w:r w:rsidRPr="00C0431E" w:rsidR="00267A33">
        <w:rPr>
          <w:rFonts w:ascii="Times New Roman" w:hAnsi="Times New Roman" w:cs="Times New Roman"/>
          <w:sz w:val="24"/>
          <w:szCs w:val="24"/>
        </w:rPr>
        <w:t>b</w:t>
      </w:r>
      <w:r w:rsidR="00267A33">
        <w:rPr>
          <w:rFonts w:ascii="Times New Roman" w:hAnsi="Times New Roman" w:cs="Times New Roman"/>
          <w:sz w:val="24"/>
          <w:szCs w:val="24"/>
        </w:rPr>
        <w:t xml:space="preserve">y do kategórie 610 – Mzdy, platy, služobné príjmy a OOV vo výške 12 000 000,- Sk, z toho prostriedkov EÚ vo výške 9 000 000,- Sk </w:t>
      </w:r>
      <w:r w:rsidR="00103753">
        <w:rPr>
          <w:rFonts w:ascii="Times New Roman" w:hAnsi="Times New Roman" w:cs="Times New Roman"/>
          <w:sz w:val="24"/>
          <w:szCs w:val="24"/>
        </w:rPr>
        <w:t xml:space="preserve">(v rámci TA z kategórie 630)) </w:t>
      </w:r>
      <w:r w:rsidR="00267A33">
        <w:rPr>
          <w:rFonts w:ascii="Times New Roman" w:hAnsi="Times New Roman" w:cs="Times New Roman"/>
          <w:sz w:val="24"/>
          <w:szCs w:val="24"/>
        </w:rPr>
        <w:t>a príslušného sp</w:t>
      </w:r>
      <w:r w:rsidR="00267A33">
        <w:rPr>
          <w:rFonts w:ascii="Times New Roman" w:hAnsi="Times New Roman" w:cs="Times New Roman"/>
          <w:sz w:val="24"/>
          <w:szCs w:val="24"/>
        </w:rPr>
        <w:t>olufinancovania zo ŠR vo výške 3 000 000,- Sk</w:t>
      </w:r>
      <w:r w:rsidR="00103753">
        <w:rPr>
          <w:rFonts w:ascii="Times New Roman" w:hAnsi="Times New Roman" w:cs="Times New Roman"/>
          <w:sz w:val="24"/>
          <w:szCs w:val="24"/>
        </w:rPr>
        <w:t xml:space="preserve"> (navýšenie TA z kategórie 630 úradu MDPT SR)</w:t>
      </w:r>
      <w:r w:rsidR="00267A33">
        <w:rPr>
          <w:rFonts w:ascii="Times New Roman" w:hAnsi="Times New Roman" w:cs="Times New Roman"/>
          <w:sz w:val="24"/>
          <w:szCs w:val="24"/>
        </w:rPr>
        <w:t xml:space="preserve">. Finančné prostriedky boli určené na refundáciu miezd oprávnených zamestnancov MDPT SR. </w:t>
      </w:r>
    </w:p>
    <w:p w:rsidR="001E054F" w:rsidP="00D80BD1">
      <w:pPr>
        <w:pStyle w:val="BodyText2"/>
        <w:spacing w:line="240" w:lineRule="auto"/>
        <w:ind w:firstLine="709"/>
        <w:rPr>
          <w:rFonts w:ascii="Times New Roman" w:hAnsi="Times New Roman" w:cs="Times New Roman"/>
          <w:sz w:val="24"/>
          <w:szCs w:val="24"/>
        </w:rPr>
      </w:pPr>
      <w:r w:rsidRPr="00AA137D" w:rsidR="00AA137D">
        <w:rPr>
          <w:rFonts w:ascii="Times New Roman" w:hAnsi="Times New Roman" w:cs="Times New Roman"/>
          <w:sz w:val="24"/>
          <w:szCs w:val="24"/>
        </w:rPr>
        <w:t xml:space="preserve">V súvislosti so zmenou finančného plánu – realokáciou prostriedkov EÚ z opatrenia Technická pomoc MDPT SR na opatrenie 1.3. Modernizácia a rozvoj infraštruktúry leteckej dopravy OP ZI (schválená Monitorovacím výborom pre štrukturálne fondy a Európskou komisiou dňa 23.5.2007), vykonalo MF SR rozpočtové opatrenie č. 31/2007, ktorým </w:t>
      </w:r>
      <w:r w:rsidRPr="00AA137D" w:rsidR="00AA137D">
        <w:rPr>
          <w:rFonts w:ascii="Times New Roman" w:hAnsi="Times New Roman" w:cs="Times New Roman"/>
          <w:sz w:val="24"/>
          <w:szCs w:val="24"/>
        </w:rPr>
        <w:t>sa  viazali</w:t>
      </w:r>
      <w:r w:rsidRPr="00AA137D" w:rsidR="00AA137D">
        <w:rPr>
          <w:rFonts w:ascii="Times New Roman" w:hAnsi="Times New Roman" w:cs="Times New Roman"/>
          <w:b/>
          <w:sz w:val="24"/>
          <w:szCs w:val="24"/>
        </w:rPr>
        <w:t xml:space="preserve"> </w:t>
      </w:r>
      <w:r w:rsidRPr="00AA137D" w:rsidR="00AA137D">
        <w:rPr>
          <w:rFonts w:ascii="Times New Roman" w:hAnsi="Times New Roman" w:cs="Times New Roman"/>
          <w:sz w:val="24"/>
          <w:szCs w:val="24"/>
        </w:rPr>
        <w:t>bežné výdavky v kategórii 630 – Tovary a služb</w:t>
      </w:r>
      <w:r w:rsidR="007F1BC7">
        <w:rPr>
          <w:rFonts w:ascii="Times New Roman" w:hAnsi="Times New Roman" w:cs="Times New Roman"/>
          <w:sz w:val="24"/>
          <w:szCs w:val="24"/>
        </w:rPr>
        <w:t>y – prostriedky EÚ na programe 0</w:t>
      </w:r>
      <w:r w:rsidRPr="00AA137D" w:rsidR="00AA137D">
        <w:rPr>
          <w:rFonts w:ascii="Times New Roman" w:hAnsi="Times New Roman" w:cs="Times New Roman"/>
          <w:sz w:val="24"/>
          <w:szCs w:val="24"/>
        </w:rPr>
        <w:t>7T – Tvorba a implemen</w:t>
      </w:r>
      <w:r w:rsidR="00AA137D">
        <w:rPr>
          <w:rFonts w:ascii="Times New Roman" w:hAnsi="Times New Roman" w:cs="Times New Roman"/>
          <w:sz w:val="24"/>
          <w:szCs w:val="24"/>
        </w:rPr>
        <w:t xml:space="preserve">tácia politík v sume </w:t>
      </w:r>
      <w:r w:rsidRPr="00F606D4" w:rsidR="00AA137D">
        <w:rPr>
          <w:rFonts w:ascii="Times New Roman" w:hAnsi="Times New Roman" w:cs="Times New Roman"/>
          <w:b/>
          <w:sz w:val="24"/>
          <w:szCs w:val="24"/>
        </w:rPr>
        <w:t>40 673 tis. Sk</w:t>
      </w:r>
      <w:r w:rsidRPr="00AA137D" w:rsidR="00AA137D">
        <w:rPr>
          <w:rFonts w:ascii="Times New Roman" w:hAnsi="Times New Roman" w:cs="Times New Roman"/>
          <w:sz w:val="24"/>
          <w:szCs w:val="24"/>
        </w:rPr>
        <w:t xml:space="preserve"> – Tech</w:t>
      </w:r>
      <w:r w:rsidR="00AA137D">
        <w:rPr>
          <w:rFonts w:ascii="Times New Roman" w:hAnsi="Times New Roman" w:cs="Times New Roman"/>
          <w:sz w:val="24"/>
          <w:szCs w:val="24"/>
        </w:rPr>
        <w:t>nická pomoc MDPT SR (fond ERDF) a povolilo prekročenie limitu kapitálových transferov (720) – prostrie</w:t>
      </w:r>
      <w:r w:rsidR="007F1BC7">
        <w:rPr>
          <w:rFonts w:ascii="Times New Roman" w:hAnsi="Times New Roman" w:cs="Times New Roman"/>
          <w:sz w:val="24"/>
          <w:szCs w:val="24"/>
        </w:rPr>
        <w:t>dkov EÚ na programe 0</w:t>
      </w:r>
      <w:r w:rsidR="00AA137D">
        <w:rPr>
          <w:rFonts w:ascii="Times New Roman" w:hAnsi="Times New Roman" w:cs="Times New Roman"/>
          <w:sz w:val="24"/>
          <w:szCs w:val="24"/>
        </w:rPr>
        <w:t>55 – Letecká doprava a infraštruktúra o 40</w:t>
      </w:r>
      <w:r w:rsidR="002E224A">
        <w:rPr>
          <w:rFonts w:ascii="Times New Roman" w:hAnsi="Times New Roman" w:cs="Times New Roman"/>
          <w:sz w:val="24"/>
          <w:szCs w:val="24"/>
        </w:rPr>
        <w:t xml:space="preserve"> 673 tis. Sk. </w:t>
      </w:r>
    </w:p>
    <w:p w:rsidR="001E054F" w:rsidRPr="001049B0" w:rsidP="001049B0">
      <w:pPr>
        <w:pStyle w:val="BodyText2"/>
        <w:spacing w:line="240" w:lineRule="auto"/>
        <w:ind w:firstLine="709"/>
        <w:rPr>
          <w:rFonts w:ascii="Times New Roman" w:hAnsi="Times New Roman" w:cs="Times New Roman"/>
          <w:b/>
          <w:sz w:val="24"/>
          <w:szCs w:val="24"/>
          <w:u w:val="single"/>
        </w:rPr>
      </w:pPr>
      <w:r w:rsidRPr="001049B0" w:rsidR="002E224A">
        <w:rPr>
          <w:rFonts w:ascii="Times New Roman" w:hAnsi="Times New Roman" w:cs="Times New Roman"/>
          <w:sz w:val="24"/>
          <w:szCs w:val="24"/>
        </w:rPr>
        <w:t>Po uvedenom rozpočtovom opatrení boli k dispozícii, na pln</w:t>
      </w:r>
      <w:r w:rsidRPr="001049B0" w:rsidR="003B3AFF">
        <w:rPr>
          <w:rFonts w:ascii="Times New Roman" w:hAnsi="Times New Roman" w:cs="Times New Roman"/>
          <w:sz w:val="24"/>
          <w:szCs w:val="24"/>
        </w:rPr>
        <w:t xml:space="preserve">enie úloh technickej asistencie, </w:t>
      </w:r>
      <w:r w:rsidRPr="001049B0" w:rsidR="002E224A">
        <w:rPr>
          <w:rFonts w:ascii="Times New Roman" w:hAnsi="Times New Roman" w:cs="Times New Roman"/>
          <w:sz w:val="24"/>
          <w:szCs w:val="24"/>
        </w:rPr>
        <w:t xml:space="preserve">zdroje vo výške </w:t>
      </w:r>
      <w:r w:rsidRPr="001049B0" w:rsidR="007C59C3">
        <w:rPr>
          <w:rFonts w:ascii="Times New Roman" w:hAnsi="Times New Roman" w:cs="Times New Roman"/>
          <w:b/>
          <w:sz w:val="24"/>
          <w:szCs w:val="24"/>
        </w:rPr>
        <w:t>90</w:t>
      </w:r>
      <w:r w:rsidRPr="001049B0" w:rsidR="007C35CA">
        <w:rPr>
          <w:rFonts w:ascii="Times New Roman" w:hAnsi="Times New Roman" w:cs="Times New Roman"/>
          <w:b/>
          <w:sz w:val="24"/>
          <w:szCs w:val="24"/>
        </w:rPr>
        <w:t> 751 982,01</w:t>
      </w:r>
      <w:r w:rsidRPr="001049B0" w:rsidR="00325B58">
        <w:rPr>
          <w:rFonts w:ascii="Times New Roman" w:hAnsi="Times New Roman" w:cs="Times New Roman"/>
          <w:b/>
          <w:sz w:val="24"/>
          <w:szCs w:val="24"/>
        </w:rPr>
        <w:t xml:space="preserve"> </w:t>
      </w:r>
      <w:r w:rsidRPr="001049B0" w:rsidR="002E224A">
        <w:rPr>
          <w:rFonts w:ascii="Times New Roman" w:hAnsi="Times New Roman" w:cs="Times New Roman"/>
          <w:b/>
          <w:sz w:val="24"/>
          <w:szCs w:val="24"/>
        </w:rPr>
        <w:t>Sk</w:t>
      </w:r>
      <w:r w:rsidRPr="001049B0" w:rsidR="00F606D4">
        <w:rPr>
          <w:rFonts w:ascii="Times New Roman" w:hAnsi="Times New Roman" w:cs="Times New Roman"/>
          <w:sz w:val="24"/>
          <w:szCs w:val="24"/>
        </w:rPr>
        <w:t>. K 31.12.2007</w:t>
      </w:r>
      <w:r w:rsidRPr="001049B0" w:rsidR="00A25E3E">
        <w:rPr>
          <w:rFonts w:ascii="Times New Roman" w:hAnsi="Times New Roman" w:cs="Times New Roman"/>
          <w:sz w:val="24"/>
          <w:szCs w:val="24"/>
        </w:rPr>
        <w:t xml:space="preserve"> bolo vyčerpaných </w:t>
      </w:r>
      <w:r w:rsidRPr="001049B0" w:rsidR="007C35CA">
        <w:rPr>
          <w:rFonts w:ascii="Times New Roman" w:hAnsi="Times New Roman" w:cs="Times New Roman"/>
          <w:b/>
          <w:sz w:val="24"/>
          <w:szCs w:val="24"/>
        </w:rPr>
        <w:t>44 724 988,97</w:t>
      </w:r>
      <w:r w:rsidRPr="001049B0" w:rsidR="00A25E3E">
        <w:rPr>
          <w:rFonts w:ascii="Times New Roman" w:hAnsi="Times New Roman" w:cs="Times New Roman"/>
          <w:b/>
          <w:sz w:val="24"/>
          <w:szCs w:val="24"/>
        </w:rPr>
        <w:t xml:space="preserve"> </w:t>
      </w:r>
      <w:r w:rsidRPr="001049B0" w:rsidR="00325B58">
        <w:rPr>
          <w:rFonts w:ascii="Times New Roman" w:hAnsi="Times New Roman" w:cs="Times New Roman"/>
          <w:b/>
          <w:sz w:val="24"/>
          <w:szCs w:val="24"/>
        </w:rPr>
        <w:t>Sk</w:t>
      </w:r>
      <w:r w:rsidRPr="001049B0" w:rsidR="00325B58">
        <w:rPr>
          <w:rFonts w:ascii="Times New Roman" w:hAnsi="Times New Roman" w:cs="Times New Roman"/>
          <w:sz w:val="24"/>
          <w:szCs w:val="24"/>
        </w:rPr>
        <w:t xml:space="preserve"> </w:t>
      </w:r>
      <w:r w:rsidRPr="001049B0" w:rsidR="00F606D4">
        <w:rPr>
          <w:rFonts w:ascii="Times New Roman" w:hAnsi="Times New Roman" w:cs="Times New Roman"/>
          <w:sz w:val="24"/>
          <w:szCs w:val="24"/>
        </w:rPr>
        <w:t>a do r</w:t>
      </w:r>
      <w:r w:rsidRPr="001049B0" w:rsidR="00F606D4">
        <w:rPr>
          <w:rFonts w:ascii="Times New Roman" w:hAnsi="Times New Roman" w:cs="Times New Roman"/>
          <w:sz w:val="24"/>
          <w:szCs w:val="24"/>
        </w:rPr>
        <w:t>oku</w:t>
      </w:r>
      <w:r w:rsidRPr="001049B0" w:rsidR="00EF48B7">
        <w:rPr>
          <w:rFonts w:ascii="Times New Roman" w:hAnsi="Times New Roman" w:cs="Times New Roman"/>
          <w:sz w:val="24"/>
          <w:szCs w:val="24"/>
        </w:rPr>
        <w:t xml:space="preserve"> 2008 </w:t>
      </w:r>
      <w:r w:rsidRPr="001049B0" w:rsidR="003B3AFF">
        <w:rPr>
          <w:rFonts w:ascii="Times New Roman" w:hAnsi="Times New Roman" w:cs="Times New Roman"/>
          <w:sz w:val="24"/>
          <w:szCs w:val="24"/>
        </w:rPr>
        <w:t xml:space="preserve">sa presunulo </w:t>
      </w:r>
      <w:r w:rsidRPr="001049B0" w:rsidR="00EF48B7">
        <w:rPr>
          <w:rFonts w:ascii="Times New Roman" w:hAnsi="Times New Roman" w:cs="Times New Roman"/>
          <w:b/>
          <w:sz w:val="24"/>
          <w:szCs w:val="24"/>
        </w:rPr>
        <w:t>46 026 993,04 Sk</w:t>
      </w:r>
      <w:r w:rsidRPr="001049B0" w:rsidR="003B3AFF">
        <w:rPr>
          <w:rFonts w:ascii="Times New Roman" w:hAnsi="Times New Roman" w:cs="Times New Roman"/>
          <w:sz w:val="24"/>
          <w:szCs w:val="24"/>
        </w:rPr>
        <w:t xml:space="preserve">, z toho prostriedkov </w:t>
      </w:r>
      <w:r w:rsidRPr="001049B0" w:rsidR="00EF48B7">
        <w:rPr>
          <w:rFonts w:ascii="Times New Roman" w:hAnsi="Times New Roman" w:cs="Times New Roman"/>
          <w:sz w:val="24"/>
          <w:szCs w:val="24"/>
        </w:rPr>
        <w:t>z EÚ vo výške 34 592 063,57 S</w:t>
      </w:r>
      <w:r w:rsidRPr="001049B0" w:rsidR="003B3AFF">
        <w:rPr>
          <w:rFonts w:ascii="Times New Roman" w:hAnsi="Times New Roman" w:cs="Times New Roman"/>
          <w:sz w:val="24"/>
          <w:szCs w:val="24"/>
        </w:rPr>
        <w:t xml:space="preserve">k a príslušné spolufin. </w:t>
      </w:r>
      <w:r w:rsidRPr="001049B0" w:rsidR="00EF48B7">
        <w:rPr>
          <w:rFonts w:ascii="Times New Roman" w:hAnsi="Times New Roman" w:cs="Times New Roman"/>
          <w:sz w:val="24"/>
          <w:szCs w:val="24"/>
        </w:rPr>
        <w:t xml:space="preserve">zo ŠR vo výške 11 434 929,47 Sk (RO MF SR č. 36). </w:t>
      </w:r>
    </w:p>
    <w:p w:rsidR="00D63054" w:rsidRPr="00D63054" w:rsidP="00E95FB9">
      <w:pPr>
        <w:spacing w:line="240" w:lineRule="auto"/>
        <w:rPr>
          <w:rFonts w:ascii="Times New Roman" w:hAnsi="Times New Roman" w:cs="Times New Roman"/>
          <w:sz w:val="24"/>
          <w:szCs w:val="24"/>
        </w:rPr>
      </w:pPr>
      <w:r w:rsidRPr="001049B0">
        <w:rPr>
          <w:rFonts w:ascii="Times New Roman" w:hAnsi="Times New Roman" w:cs="Times New Roman"/>
          <w:sz w:val="24"/>
          <w:szCs w:val="24"/>
        </w:rPr>
        <w:tab/>
        <w:t>Čerpanie prostriedkov technickej asistencie</w:t>
      </w:r>
      <w:r w:rsidRPr="00D63054">
        <w:rPr>
          <w:rFonts w:ascii="Times New Roman" w:hAnsi="Times New Roman" w:cs="Times New Roman"/>
          <w:sz w:val="24"/>
          <w:szCs w:val="24"/>
        </w:rPr>
        <w:t xml:space="preserve"> bolo v rozpočte úradu MDPT SR vo výške 43 338 5</w:t>
      </w:r>
      <w:r w:rsidRPr="00D63054">
        <w:rPr>
          <w:rFonts w:ascii="Times New Roman" w:hAnsi="Times New Roman" w:cs="Times New Roman"/>
          <w:sz w:val="24"/>
          <w:szCs w:val="24"/>
        </w:rPr>
        <w:t>99,17 Sk (kategórie 610,</w:t>
      </w:r>
      <w:r>
        <w:rPr>
          <w:rFonts w:ascii="Times New Roman" w:hAnsi="Times New Roman" w:cs="Times New Roman"/>
          <w:sz w:val="24"/>
          <w:szCs w:val="24"/>
        </w:rPr>
        <w:t xml:space="preserve"> </w:t>
      </w:r>
      <w:r w:rsidRPr="00D63054">
        <w:rPr>
          <w:rFonts w:ascii="Times New Roman" w:hAnsi="Times New Roman" w:cs="Times New Roman"/>
          <w:sz w:val="24"/>
          <w:szCs w:val="24"/>
        </w:rPr>
        <w:t>620,</w:t>
      </w:r>
      <w:r>
        <w:rPr>
          <w:rFonts w:ascii="Times New Roman" w:hAnsi="Times New Roman" w:cs="Times New Roman"/>
          <w:sz w:val="24"/>
          <w:szCs w:val="24"/>
        </w:rPr>
        <w:t xml:space="preserve"> 630 </w:t>
      </w:r>
      <w:r w:rsidRPr="00D63054">
        <w:rPr>
          <w:rFonts w:ascii="Times New Roman" w:hAnsi="Times New Roman" w:cs="Times New Roman"/>
          <w:sz w:val="24"/>
          <w:szCs w:val="24"/>
        </w:rPr>
        <w:t xml:space="preserve">a 710) a Slovenskej správy ciest vo výške 1 386 389,80 Sk (v kategórii 610 a 620). </w:t>
      </w:r>
    </w:p>
    <w:p w:rsidR="00D63054" w:rsidP="00E95FB9">
      <w:pPr>
        <w:spacing w:line="240" w:lineRule="auto"/>
        <w:rPr>
          <w:rFonts w:ascii="Times New Roman" w:hAnsi="Times New Roman" w:cs="Times New Roman"/>
          <w:sz w:val="24"/>
          <w:szCs w:val="24"/>
          <w:u w:val="single"/>
        </w:rPr>
      </w:pPr>
    </w:p>
    <w:p w:rsidR="0022583B" w:rsidP="00E95FB9">
      <w:pPr>
        <w:spacing w:line="240" w:lineRule="auto"/>
        <w:ind w:firstLine="708"/>
        <w:rPr>
          <w:rFonts w:ascii="Times New Roman" w:hAnsi="Times New Roman" w:cs="Times New Roman"/>
          <w:b/>
          <w:sz w:val="24"/>
          <w:szCs w:val="24"/>
        </w:rPr>
      </w:pPr>
      <w:r>
        <w:rPr>
          <w:rFonts w:ascii="Times New Roman" w:hAnsi="Times New Roman" w:cs="Times New Roman"/>
          <w:b/>
          <w:sz w:val="24"/>
          <w:szCs w:val="24"/>
        </w:rPr>
        <w:t>Technická asistencia za rok 20</w:t>
      </w:r>
      <w:r w:rsidR="00A56188">
        <w:rPr>
          <w:rFonts w:ascii="Times New Roman" w:hAnsi="Times New Roman" w:cs="Times New Roman"/>
          <w:b/>
          <w:sz w:val="24"/>
          <w:szCs w:val="24"/>
        </w:rPr>
        <w:t>07</w:t>
      </w:r>
      <w:r>
        <w:rPr>
          <w:rFonts w:ascii="Times New Roman" w:hAnsi="Times New Roman" w:cs="Times New Roman"/>
          <w:b/>
          <w:sz w:val="24"/>
          <w:szCs w:val="24"/>
        </w:rPr>
        <w:t xml:space="preserve"> zahŕňa nasledovné projekty: </w:t>
      </w:r>
    </w:p>
    <w:tbl>
      <w:tblPr>
        <w:tblW w:w="18020" w:type="dxa"/>
        <w:tblInd w:w="55" w:type="dxa"/>
        <w:tblCellMar>
          <w:left w:w="70" w:type="dxa"/>
          <w:right w:w="70" w:type="dxa"/>
        </w:tblCellMar>
      </w:tblPr>
      <w:tblGrid>
        <w:gridCol w:w="11580"/>
        <w:gridCol w:w="1740"/>
        <w:gridCol w:w="1480"/>
        <w:gridCol w:w="1600"/>
        <w:gridCol w:w="1620"/>
      </w:tblGrid>
      <w:tr>
        <w:tblPrEx>
          <w:tblW w:w="18020" w:type="dxa"/>
          <w:tblInd w:w="55" w:type="dxa"/>
          <w:tblCellMar>
            <w:left w:w="70" w:type="dxa"/>
            <w:right w:w="70" w:type="dxa"/>
          </w:tblCellMar>
        </w:tblPrEx>
        <w:trPr>
          <w:trHeight w:val="255"/>
        </w:trPr>
        <w:tc>
          <w:tcPr>
            <w:tcW w:w="18020" w:type="dxa"/>
            <w:gridSpan w:val="5"/>
            <w:tcBorders>
              <w:top w:val="nil"/>
              <w:left w:val="nil"/>
              <w:bottom w:val="nil"/>
              <w:right w:val="nil"/>
              <w:tl2br w:val="nil"/>
              <w:tr2bl w:val="nil"/>
            </w:tcBorders>
            <w:noWrap/>
            <w:textDirection w:val="lrTb"/>
            <w:vAlign w:val="bottom"/>
          </w:tcPr>
          <w:p w:rsidR="00D37435" w:rsidP="00E95FB9">
            <w:pPr>
              <w:spacing w:line="240" w:lineRule="auto"/>
              <w:rPr>
                <w:rFonts w:ascii="Times New Roman" w:hAnsi="Times New Roman" w:cs="Times New Roman"/>
                <w:sz w:val="24"/>
                <w:szCs w:val="24"/>
                <w:lang w:eastAsia="sk-SK"/>
              </w:rPr>
            </w:pPr>
          </w:p>
          <w:p w:rsidR="00D37435" w:rsidRPr="00D37435" w:rsidP="00E95FB9">
            <w:pPr>
              <w:spacing w:line="240" w:lineRule="auto"/>
              <w:rPr>
                <w:rFonts w:ascii="Times New Roman" w:hAnsi="Times New Roman" w:cs="Times New Roman"/>
                <w:sz w:val="24"/>
                <w:szCs w:val="24"/>
                <w:lang w:eastAsia="sk-SK"/>
              </w:rPr>
            </w:pPr>
            <w:r>
              <w:rPr>
                <w:rFonts w:ascii="Times New Roman" w:hAnsi="Times New Roman" w:cs="Times New Roman"/>
                <w:sz w:val="24"/>
                <w:szCs w:val="24"/>
                <w:lang w:eastAsia="sk-SK"/>
              </w:rPr>
              <w:t xml:space="preserve">- </w:t>
            </w:r>
            <w:r w:rsidRPr="00D37435">
              <w:rPr>
                <w:rFonts w:ascii="Times New Roman" w:hAnsi="Times New Roman" w:cs="Times New Roman"/>
                <w:sz w:val="24"/>
                <w:szCs w:val="24"/>
                <w:lang w:eastAsia="sk-SK"/>
              </w:rPr>
              <w:t>Refundácia platov MDPT SR a</w:t>
            </w:r>
            <w:r w:rsidR="00E95FB9">
              <w:rPr>
                <w:rFonts w:ascii="Times New Roman" w:hAnsi="Times New Roman" w:cs="Times New Roman"/>
                <w:sz w:val="24"/>
                <w:szCs w:val="24"/>
                <w:lang w:eastAsia="sk-SK"/>
              </w:rPr>
              <w:t> </w:t>
            </w:r>
            <w:r w:rsidRPr="00D37435">
              <w:rPr>
                <w:rFonts w:ascii="Times New Roman" w:hAnsi="Times New Roman" w:cs="Times New Roman"/>
                <w:sz w:val="24"/>
                <w:szCs w:val="24"/>
                <w:lang w:eastAsia="sk-SK"/>
              </w:rPr>
              <w:t>SSC</w:t>
            </w:r>
          </w:p>
        </w:tc>
      </w:tr>
      <w:tr>
        <w:tblPrEx>
          <w:tblW w:w="18020" w:type="dxa"/>
          <w:tblInd w:w="55" w:type="dxa"/>
          <w:tblCellMar>
            <w:left w:w="70" w:type="dxa"/>
            <w:right w:w="70" w:type="dxa"/>
          </w:tblCellMar>
        </w:tblPrEx>
        <w:trPr>
          <w:trHeight w:val="255"/>
        </w:trPr>
        <w:tc>
          <w:tcPr>
            <w:tcW w:w="18020" w:type="dxa"/>
            <w:gridSpan w:val="5"/>
            <w:tcBorders>
              <w:top w:val="nil"/>
              <w:left w:val="nil"/>
              <w:bottom w:val="nil"/>
              <w:right w:val="nil"/>
              <w:tl2br w:val="nil"/>
              <w:tr2bl w:val="nil"/>
            </w:tcBorders>
            <w:noWrap/>
            <w:textDirection w:val="lrTb"/>
            <w:vAlign w:val="bottom"/>
          </w:tcPr>
          <w:p w:rsidR="00D37435" w:rsidRPr="00D37435" w:rsidP="00E95FB9">
            <w:pPr>
              <w:spacing w:line="240" w:lineRule="auto"/>
              <w:rPr>
                <w:rFonts w:ascii="Times New Roman" w:hAnsi="Times New Roman" w:cs="Times New Roman"/>
                <w:sz w:val="24"/>
                <w:szCs w:val="24"/>
                <w:lang w:eastAsia="sk-SK"/>
              </w:rPr>
            </w:pPr>
            <w:r>
              <w:rPr>
                <w:rFonts w:ascii="Times New Roman" w:hAnsi="Times New Roman" w:cs="Times New Roman"/>
                <w:sz w:val="24"/>
                <w:szCs w:val="24"/>
                <w:lang w:eastAsia="sk-SK"/>
              </w:rPr>
              <w:t xml:space="preserve">- </w:t>
            </w:r>
            <w:r w:rsidRPr="00D37435">
              <w:rPr>
                <w:rFonts w:ascii="Times New Roman" w:hAnsi="Times New Roman" w:cs="Times New Roman"/>
                <w:sz w:val="24"/>
                <w:szCs w:val="24"/>
                <w:lang w:eastAsia="sk-SK"/>
              </w:rPr>
              <w:t>Vypracovanie regionálneho plánu dopravnej obslužnosti</w:t>
            </w:r>
          </w:p>
        </w:tc>
      </w:tr>
      <w:tr>
        <w:tblPrEx>
          <w:tblW w:w="18020" w:type="dxa"/>
          <w:tblInd w:w="55" w:type="dxa"/>
          <w:tblCellMar>
            <w:left w:w="70" w:type="dxa"/>
            <w:right w:w="70" w:type="dxa"/>
          </w:tblCellMar>
        </w:tblPrEx>
        <w:trPr>
          <w:trHeight w:val="255"/>
        </w:trPr>
        <w:tc>
          <w:tcPr>
            <w:tcW w:w="18020" w:type="dxa"/>
            <w:gridSpan w:val="5"/>
            <w:tcBorders>
              <w:top w:val="nil"/>
              <w:left w:val="nil"/>
              <w:bottom w:val="nil"/>
              <w:right w:val="nil"/>
              <w:tl2br w:val="nil"/>
              <w:tr2bl w:val="nil"/>
            </w:tcBorders>
            <w:noWrap/>
            <w:textDirection w:val="lrTb"/>
            <w:vAlign w:val="bottom"/>
          </w:tcPr>
          <w:p w:rsidR="00D37435" w:rsidRPr="00D37435" w:rsidP="00D37435">
            <w:pPr>
              <w:spacing w:line="240" w:lineRule="auto"/>
              <w:rPr>
                <w:rFonts w:ascii="Times New Roman" w:hAnsi="Times New Roman" w:cs="Times New Roman"/>
                <w:sz w:val="24"/>
                <w:szCs w:val="24"/>
                <w:lang w:eastAsia="sk-SK"/>
              </w:rPr>
            </w:pPr>
            <w:r>
              <w:rPr>
                <w:rFonts w:ascii="Times New Roman" w:hAnsi="Times New Roman" w:cs="Times New Roman"/>
                <w:sz w:val="24"/>
                <w:szCs w:val="24"/>
                <w:lang w:eastAsia="sk-SK"/>
              </w:rPr>
              <w:t xml:space="preserve">- </w:t>
            </w:r>
            <w:r w:rsidRPr="00D37435">
              <w:rPr>
                <w:rFonts w:ascii="Times New Roman" w:hAnsi="Times New Roman" w:cs="Times New Roman"/>
                <w:sz w:val="24"/>
                <w:szCs w:val="24"/>
                <w:lang w:eastAsia="sk-SK"/>
              </w:rPr>
              <w:t xml:space="preserve">Štúdia realizovateľnosti </w:t>
            </w:r>
            <w:r>
              <w:rPr>
                <w:rFonts w:ascii="Times New Roman" w:hAnsi="Times New Roman" w:cs="Times New Roman"/>
                <w:sz w:val="24"/>
                <w:szCs w:val="24"/>
                <w:lang w:eastAsia="sk-SK"/>
              </w:rPr>
              <w:t xml:space="preserve">– </w:t>
            </w:r>
            <w:r w:rsidRPr="00D37435">
              <w:rPr>
                <w:rFonts w:ascii="Times New Roman" w:hAnsi="Times New Roman" w:cs="Times New Roman"/>
                <w:sz w:val="24"/>
                <w:szCs w:val="24"/>
                <w:lang w:eastAsia="sk-SK"/>
              </w:rPr>
              <w:t>V</w:t>
            </w:r>
            <w:r>
              <w:rPr>
                <w:rFonts w:ascii="Times New Roman" w:hAnsi="Times New Roman" w:cs="Times New Roman"/>
                <w:sz w:val="24"/>
                <w:szCs w:val="24"/>
                <w:lang w:eastAsia="sk-SK"/>
              </w:rPr>
              <w:t>.</w:t>
            </w:r>
            <w:r w:rsidRPr="00D37435">
              <w:rPr>
                <w:rFonts w:ascii="Times New Roman" w:hAnsi="Times New Roman" w:cs="Times New Roman"/>
                <w:sz w:val="24"/>
                <w:szCs w:val="24"/>
                <w:lang w:eastAsia="sk-SK"/>
              </w:rPr>
              <w:t xml:space="preserve"> a</w:t>
            </w:r>
            <w:r>
              <w:rPr>
                <w:rFonts w:ascii="Times New Roman" w:hAnsi="Times New Roman" w:cs="Times New Roman"/>
                <w:sz w:val="24"/>
                <w:szCs w:val="24"/>
                <w:lang w:eastAsia="sk-SK"/>
              </w:rPr>
              <w:t> </w:t>
            </w:r>
            <w:r w:rsidRPr="00D37435">
              <w:rPr>
                <w:rFonts w:ascii="Times New Roman" w:hAnsi="Times New Roman" w:cs="Times New Roman"/>
                <w:sz w:val="24"/>
                <w:szCs w:val="24"/>
                <w:lang w:eastAsia="sk-SK"/>
              </w:rPr>
              <w:t>VI</w:t>
            </w:r>
            <w:r>
              <w:rPr>
                <w:rFonts w:ascii="Times New Roman" w:hAnsi="Times New Roman" w:cs="Times New Roman"/>
                <w:sz w:val="24"/>
                <w:szCs w:val="24"/>
                <w:lang w:eastAsia="sk-SK"/>
              </w:rPr>
              <w:t>.</w:t>
            </w:r>
            <w:r w:rsidRPr="00D37435">
              <w:rPr>
                <w:rFonts w:ascii="Times New Roman" w:hAnsi="Times New Roman" w:cs="Times New Roman"/>
                <w:sz w:val="24"/>
                <w:szCs w:val="24"/>
                <w:lang w:eastAsia="sk-SK"/>
              </w:rPr>
              <w:t xml:space="preserve"> koridor</w:t>
            </w:r>
          </w:p>
        </w:tc>
      </w:tr>
      <w:tr>
        <w:tblPrEx>
          <w:tblW w:w="18020" w:type="dxa"/>
          <w:tblInd w:w="55" w:type="dxa"/>
          <w:tblCellMar>
            <w:left w:w="70" w:type="dxa"/>
            <w:right w:w="70" w:type="dxa"/>
          </w:tblCellMar>
        </w:tblPrEx>
        <w:trPr>
          <w:trHeight w:val="255"/>
        </w:trPr>
        <w:tc>
          <w:tcPr>
            <w:tcW w:w="18020" w:type="dxa"/>
            <w:gridSpan w:val="5"/>
            <w:tcBorders>
              <w:top w:val="nil"/>
              <w:left w:val="nil"/>
              <w:bottom w:val="nil"/>
              <w:right w:val="nil"/>
              <w:tl2br w:val="nil"/>
              <w:tr2bl w:val="nil"/>
            </w:tcBorders>
            <w:noWrap/>
            <w:textDirection w:val="lrTb"/>
            <w:vAlign w:val="bottom"/>
          </w:tcPr>
          <w:p w:rsidR="00D37435" w:rsidRPr="00D37435" w:rsidP="00D37435">
            <w:pPr>
              <w:spacing w:line="240" w:lineRule="auto"/>
              <w:rPr>
                <w:rFonts w:ascii="Times New Roman" w:hAnsi="Times New Roman" w:cs="Times New Roman"/>
                <w:sz w:val="24"/>
                <w:szCs w:val="24"/>
                <w:lang w:eastAsia="sk-SK"/>
              </w:rPr>
            </w:pPr>
            <w:r>
              <w:rPr>
                <w:rFonts w:ascii="Times New Roman" w:hAnsi="Times New Roman" w:cs="Times New Roman"/>
                <w:sz w:val="24"/>
                <w:szCs w:val="24"/>
                <w:lang w:eastAsia="sk-SK"/>
              </w:rPr>
              <w:t xml:space="preserve">- </w:t>
            </w:r>
            <w:r w:rsidRPr="00D37435">
              <w:rPr>
                <w:rFonts w:ascii="Times New Roman" w:hAnsi="Times New Roman" w:cs="Times New Roman"/>
                <w:sz w:val="24"/>
                <w:szCs w:val="24"/>
                <w:lang w:eastAsia="sk-SK"/>
              </w:rPr>
              <w:t>Výkon rezortnej expertízy</w:t>
            </w:r>
          </w:p>
        </w:tc>
      </w:tr>
      <w:tr>
        <w:tblPrEx>
          <w:tblW w:w="18020" w:type="dxa"/>
          <w:tblInd w:w="55" w:type="dxa"/>
          <w:tblCellMar>
            <w:left w:w="70" w:type="dxa"/>
            <w:right w:w="70" w:type="dxa"/>
          </w:tblCellMar>
        </w:tblPrEx>
        <w:trPr>
          <w:trHeight w:val="255"/>
        </w:trPr>
        <w:tc>
          <w:tcPr>
            <w:tcW w:w="18020" w:type="dxa"/>
            <w:gridSpan w:val="5"/>
            <w:tcBorders>
              <w:top w:val="nil"/>
              <w:left w:val="nil"/>
              <w:bottom w:val="nil"/>
              <w:right w:val="nil"/>
              <w:tl2br w:val="nil"/>
              <w:tr2bl w:val="nil"/>
            </w:tcBorders>
            <w:noWrap/>
            <w:textDirection w:val="lrTb"/>
            <w:vAlign w:val="bottom"/>
          </w:tcPr>
          <w:p w:rsidR="00D37435" w:rsidRPr="00D37435" w:rsidP="00D37435">
            <w:pPr>
              <w:spacing w:line="240" w:lineRule="auto"/>
              <w:rPr>
                <w:rFonts w:ascii="Times New Roman" w:hAnsi="Times New Roman" w:cs="Times New Roman"/>
                <w:sz w:val="24"/>
                <w:szCs w:val="24"/>
                <w:lang w:eastAsia="sk-SK"/>
              </w:rPr>
            </w:pPr>
            <w:r>
              <w:rPr>
                <w:rFonts w:ascii="Times New Roman" w:hAnsi="Times New Roman" w:cs="Times New Roman"/>
                <w:sz w:val="24"/>
                <w:szCs w:val="24"/>
                <w:lang w:eastAsia="sk-SK"/>
              </w:rPr>
              <w:t xml:space="preserve">- </w:t>
            </w:r>
            <w:r w:rsidRPr="00D37435">
              <w:rPr>
                <w:rFonts w:ascii="Times New Roman" w:hAnsi="Times New Roman" w:cs="Times New Roman"/>
                <w:sz w:val="24"/>
                <w:szCs w:val="24"/>
                <w:lang w:eastAsia="sk-SK"/>
              </w:rPr>
              <w:t>Prekladateľské a tlmočnícke služby</w:t>
            </w:r>
          </w:p>
        </w:tc>
      </w:tr>
      <w:tr>
        <w:tblPrEx>
          <w:tblW w:w="18020" w:type="dxa"/>
          <w:tblInd w:w="55" w:type="dxa"/>
          <w:tblCellMar>
            <w:left w:w="70" w:type="dxa"/>
            <w:right w:w="70" w:type="dxa"/>
          </w:tblCellMar>
        </w:tblPrEx>
        <w:trPr>
          <w:trHeight w:val="255"/>
        </w:trPr>
        <w:tc>
          <w:tcPr>
            <w:tcW w:w="18020" w:type="dxa"/>
            <w:gridSpan w:val="5"/>
            <w:tcBorders>
              <w:top w:val="nil"/>
              <w:left w:val="nil"/>
              <w:bottom w:val="nil"/>
              <w:right w:val="nil"/>
              <w:tl2br w:val="nil"/>
              <w:tr2bl w:val="nil"/>
            </w:tcBorders>
            <w:noWrap/>
            <w:textDirection w:val="lrTb"/>
            <w:vAlign w:val="bottom"/>
          </w:tcPr>
          <w:p w:rsidR="00D37435" w:rsidRPr="00D37435" w:rsidP="00D37435">
            <w:pPr>
              <w:spacing w:line="240" w:lineRule="auto"/>
              <w:rPr>
                <w:rFonts w:ascii="Times New Roman" w:hAnsi="Times New Roman" w:cs="Times New Roman"/>
                <w:sz w:val="24"/>
                <w:szCs w:val="24"/>
                <w:lang w:eastAsia="sk-SK"/>
              </w:rPr>
            </w:pPr>
            <w:r>
              <w:rPr>
                <w:rFonts w:ascii="Times New Roman" w:hAnsi="Times New Roman" w:cs="Times New Roman"/>
                <w:sz w:val="24"/>
                <w:szCs w:val="24"/>
                <w:lang w:eastAsia="sk-SK"/>
              </w:rPr>
              <w:t xml:space="preserve">- Odborná príprava </w:t>
            </w:r>
            <w:r w:rsidRPr="00D37435">
              <w:rPr>
                <w:rFonts w:ascii="Times New Roman" w:hAnsi="Times New Roman" w:cs="Times New Roman"/>
                <w:sz w:val="24"/>
                <w:szCs w:val="24"/>
                <w:lang w:eastAsia="sk-SK"/>
              </w:rPr>
              <w:t>zamestnancov</w:t>
            </w:r>
          </w:p>
        </w:tc>
      </w:tr>
      <w:tr>
        <w:tblPrEx>
          <w:tblW w:w="18020" w:type="dxa"/>
          <w:tblInd w:w="55" w:type="dxa"/>
          <w:tblCellMar>
            <w:left w:w="70" w:type="dxa"/>
            <w:right w:w="70" w:type="dxa"/>
          </w:tblCellMar>
        </w:tblPrEx>
        <w:trPr>
          <w:trHeight w:val="255"/>
        </w:trPr>
        <w:tc>
          <w:tcPr>
            <w:tcW w:w="18020" w:type="dxa"/>
            <w:gridSpan w:val="5"/>
            <w:tcBorders>
              <w:top w:val="nil"/>
              <w:left w:val="nil"/>
              <w:bottom w:val="nil"/>
              <w:right w:val="nil"/>
              <w:tl2br w:val="nil"/>
              <w:tr2bl w:val="nil"/>
            </w:tcBorders>
            <w:noWrap/>
            <w:textDirection w:val="lrTb"/>
            <w:vAlign w:val="bottom"/>
          </w:tcPr>
          <w:p w:rsidR="00D37435" w:rsidRPr="00D37435" w:rsidP="00D37435">
            <w:pPr>
              <w:spacing w:line="240" w:lineRule="auto"/>
              <w:rPr>
                <w:rFonts w:ascii="Times New Roman" w:hAnsi="Times New Roman" w:cs="Times New Roman"/>
                <w:sz w:val="24"/>
                <w:szCs w:val="24"/>
                <w:lang w:eastAsia="sk-SK"/>
              </w:rPr>
            </w:pPr>
            <w:r>
              <w:rPr>
                <w:rFonts w:ascii="Times New Roman" w:hAnsi="Times New Roman" w:cs="Times New Roman"/>
                <w:sz w:val="24"/>
                <w:szCs w:val="24"/>
                <w:lang w:eastAsia="sk-SK"/>
              </w:rPr>
              <w:t xml:space="preserve">- </w:t>
            </w:r>
            <w:r w:rsidRPr="00D37435">
              <w:rPr>
                <w:rFonts w:ascii="Times New Roman" w:hAnsi="Times New Roman" w:cs="Times New Roman"/>
                <w:sz w:val="24"/>
                <w:szCs w:val="24"/>
                <w:lang w:eastAsia="sk-SK"/>
              </w:rPr>
              <w:t>Vypracovanie Interného manuálu MDPT SR</w:t>
            </w:r>
          </w:p>
        </w:tc>
      </w:tr>
      <w:tr>
        <w:tblPrEx>
          <w:tblW w:w="18020" w:type="dxa"/>
          <w:tblInd w:w="55" w:type="dxa"/>
          <w:tblCellMar>
            <w:left w:w="70" w:type="dxa"/>
            <w:right w:w="70" w:type="dxa"/>
          </w:tblCellMar>
        </w:tblPrEx>
        <w:trPr>
          <w:trHeight w:val="255"/>
        </w:trPr>
        <w:tc>
          <w:tcPr>
            <w:tcW w:w="18020" w:type="dxa"/>
            <w:gridSpan w:val="5"/>
            <w:tcBorders>
              <w:top w:val="nil"/>
              <w:left w:val="nil"/>
              <w:bottom w:val="nil"/>
              <w:right w:val="nil"/>
              <w:tl2br w:val="nil"/>
              <w:tr2bl w:val="nil"/>
            </w:tcBorders>
            <w:noWrap/>
            <w:textDirection w:val="lrTb"/>
            <w:vAlign w:val="bottom"/>
          </w:tcPr>
          <w:p w:rsidR="00D37435" w:rsidRPr="00D37435" w:rsidP="00D37435">
            <w:pPr>
              <w:spacing w:line="240" w:lineRule="auto"/>
              <w:rPr>
                <w:rFonts w:ascii="Times New Roman" w:hAnsi="Times New Roman" w:cs="Times New Roman"/>
                <w:sz w:val="24"/>
                <w:szCs w:val="24"/>
                <w:lang w:eastAsia="sk-SK"/>
              </w:rPr>
            </w:pPr>
            <w:r>
              <w:rPr>
                <w:rFonts w:ascii="Times New Roman" w:hAnsi="Times New Roman" w:cs="Times New Roman"/>
                <w:sz w:val="24"/>
                <w:szCs w:val="24"/>
                <w:lang w:eastAsia="sk-SK"/>
              </w:rPr>
              <w:t xml:space="preserve">- </w:t>
            </w:r>
            <w:r w:rsidRPr="00D37435">
              <w:rPr>
                <w:rFonts w:ascii="Times New Roman" w:hAnsi="Times New Roman" w:cs="Times New Roman"/>
                <w:sz w:val="24"/>
                <w:szCs w:val="24"/>
                <w:lang w:eastAsia="sk-SK"/>
              </w:rPr>
              <w:t>Odborný seminár k otázkam finančnej kontroly</w:t>
            </w:r>
          </w:p>
        </w:tc>
      </w:tr>
      <w:tr>
        <w:tblPrEx>
          <w:tblW w:w="18020" w:type="dxa"/>
          <w:tblInd w:w="55" w:type="dxa"/>
          <w:tblCellMar>
            <w:left w:w="70" w:type="dxa"/>
            <w:right w:w="70" w:type="dxa"/>
          </w:tblCellMar>
        </w:tblPrEx>
        <w:trPr>
          <w:trHeight w:val="255"/>
        </w:trPr>
        <w:tc>
          <w:tcPr>
            <w:tcW w:w="18020" w:type="dxa"/>
            <w:gridSpan w:val="5"/>
            <w:tcBorders>
              <w:top w:val="nil"/>
              <w:left w:val="nil"/>
              <w:bottom w:val="nil"/>
              <w:right w:val="nil"/>
              <w:tl2br w:val="nil"/>
              <w:tr2bl w:val="nil"/>
            </w:tcBorders>
            <w:noWrap/>
            <w:textDirection w:val="lrTb"/>
            <w:vAlign w:val="bottom"/>
          </w:tcPr>
          <w:p w:rsidR="00D37435" w:rsidRPr="00D37435" w:rsidP="00D37435">
            <w:pPr>
              <w:spacing w:line="240" w:lineRule="auto"/>
              <w:rPr>
                <w:rFonts w:ascii="Times New Roman" w:hAnsi="Times New Roman" w:cs="Times New Roman"/>
                <w:sz w:val="24"/>
                <w:szCs w:val="24"/>
                <w:lang w:eastAsia="sk-SK"/>
              </w:rPr>
            </w:pPr>
            <w:r>
              <w:rPr>
                <w:rFonts w:ascii="Times New Roman" w:hAnsi="Times New Roman" w:cs="Times New Roman"/>
                <w:sz w:val="24"/>
                <w:szCs w:val="24"/>
                <w:lang w:eastAsia="sk-SK"/>
              </w:rPr>
              <w:t>-</w:t>
            </w:r>
            <w:r>
              <w:rPr>
                <w:rFonts w:ascii="Times New Roman" w:hAnsi="Times New Roman" w:cs="Times New Roman"/>
                <w:sz w:val="24"/>
                <w:szCs w:val="24"/>
                <w:lang w:eastAsia="sk-SK"/>
              </w:rPr>
              <w:t xml:space="preserve"> </w:t>
            </w:r>
            <w:r w:rsidRPr="00D37435">
              <w:rPr>
                <w:rFonts w:ascii="Times New Roman" w:hAnsi="Times New Roman" w:cs="Times New Roman"/>
                <w:sz w:val="24"/>
                <w:szCs w:val="24"/>
                <w:lang w:eastAsia="sk-SK"/>
              </w:rPr>
              <w:t>Informačný deň o rozvoji dopravnej infraštruktúry</w:t>
            </w:r>
          </w:p>
        </w:tc>
      </w:tr>
      <w:tr>
        <w:tblPrEx>
          <w:tblW w:w="18020" w:type="dxa"/>
          <w:tblInd w:w="55" w:type="dxa"/>
          <w:tblCellMar>
            <w:left w:w="70" w:type="dxa"/>
            <w:right w:w="70" w:type="dxa"/>
          </w:tblCellMar>
        </w:tblPrEx>
        <w:trPr>
          <w:trHeight w:val="255"/>
        </w:trPr>
        <w:tc>
          <w:tcPr>
            <w:tcW w:w="18020" w:type="dxa"/>
            <w:gridSpan w:val="5"/>
            <w:tcBorders>
              <w:top w:val="nil"/>
              <w:left w:val="nil"/>
              <w:bottom w:val="nil"/>
              <w:right w:val="nil"/>
              <w:tl2br w:val="nil"/>
              <w:tr2bl w:val="nil"/>
            </w:tcBorders>
            <w:noWrap/>
            <w:textDirection w:val="lrTb"/>
            <w:vAlign w:val="bottom"/>
          </w:tcPr>
          <w:p w:rsidR="00D37435" w:rsidRPr="00D37435" w:rsidP="00D37435">
            <w:pPr>
              <w:spacing w:line="240" w:lineRule="auto"/>
              <w:rPr>
                <w:rFonts w:ascii="Times New Roman" w:hAnsi="Times New Roman" w:cs="Times New Roman"/>
                <w:sz w:val="24"/>
                <w:szCs w:val="24"/>
                <w:lang w:eastAsia="sk-SK"/>
              </w:rPr>
            </w:pPr>
            <w:r>
              <w:rPr>
                <w:rFonts w:ascii="Times New Roman" w:hAnsi="Times New Roman" w:cs="Times New Roman"/>
                <w:sz w:val="24"/>
                <w:szCs w:val="24"/>
                <w:lang w:eastAsia="sk-SK"/>
              </w:rPr>
              <w:t xml:space="preserve">- </w:t>
            </w:r>
            <w:r w:rsidRPr="00D37435">
              <w:rPr>
                <w:rFonts w:ascii="Times New Roman" w:hAnsi="Times New Roman" w:cs="Times New Roman"/>
                <w:sz w:val="24"/>
                <w:szCs w:val="24"/>
                <w:lang w:eastAsia="sk-SK"/>
              </w:rPr>
              <w:t>Zriadenie a udržiavanie web stránky</w:t>
            </w:r>
          </w:p>
        </w:tc>
      </w:tr>
      <w:tr>
        <w:tblPrEx>
          <w:tblW w:w="18020" w:type="dxa"/>
          <w:tblInd w:w="55" w:type="dxa"/>
          <w:tblCellMar>
            <w:left w:w="70" w:type="dxa"/>
            <w:right w:w="70" w:type="dxa"/>
          </w:tblCellMar>
        </w:tblPrEx>
        <w:trPr>
          <w:trHeight w:val="255"/>
        </w:trPr>
        <w:tc>
          <w:tcPr>
            <w:tcW w:w="18020" w:type="dxa"/>
            <w:gridSpan w:val="5"/>
            <w:tcBorders>
              <w:top w:val="nil"/>
              <w:left w:val="nil"/>
              <w:bottom w:val="nil"/>
              <w:right w:val="nil"/>
              <w:tl2br w:val="nil"/>
              <w:tr2bl w:val="nil"/>
            </w:tcBorders>
            <w:noWrap/>
            <w:textDirection w:val="lrTb"/>
            <w:vAlign w:val="bottom"/>
          </w:tcPr>
          <w:p w:rsidR="00D37435" w:rsidRPr="00D37435" w:rsidP="00D37435">
            <w:pPr>
              <w:spacing w:line="240" w:lineRule="auto"/>
              <w:rPr>
                <w:rFonts w:ascii="Times New Roman" w:hAnsi="Times New Roman" w:cs="Times New Roman"/>
                <w:sz w:val="24"/>
                <w:szCs w:val="24"/>
                <w:lang w:eastAsia="sk-SK"/>
              </w:rPr>
            </w:pPr>
            <w:r>
              <w:rPr>
                <w:rFonts w:ascii="Times New Roman" w:hAnsi="Times New Roman" w:cs="Times New Roman"/>
                <w:sz w:val="24"/>
                <w:szCs w:val="24"/>
                <w:lang w:eastAsia="sk-SK"/>
              </w:rPr>
              <w:t xml:space="preserve">- </w:t>
            </w:r>
            <w:r w:rsidRPr="00D37435">
              <w:rPr>
                <w:rFonts w:ascii="Times New Roman" w:hAnsi="Times New Roman" w:cs="Times New Roman"/>
                <w:sz w:val="24"/>
                <w:szCs w:val="24"/>
                <w:lang w:eastAsia="sk-SK"/>
              </w:rPr>
              <w:t>Odborný posu</w:t>
            </w:r>
            <w:r>
              <w:rPr>
                <w:rFonts w:ascii="Times New Roman" w:hAnsi="Times New Roman" w:cs="Times New Roman"/>
                <w:sz w:val="24"/>
                <w:szCs w:val="24"/>
                <w:lang w:eastAsia="sk-SK"/>
              </w:rPr>
              <w:t>dok Správy o hodnotení strategic</w:t>
            </w:r>
            <w:r w:rsidRPr="00D37435">
              <w:rPr>
                <w:rFonts w:ascii="Times New Roman" w:hAnsi="Times New Roman" w:cs="Times New Roman"/>
                <w:sz w:val="24"/>
                <w:szCs w:val="24"/>
                <w:lang w:eastAsia="sk-SK"/>
              </w:rPr>
              <w:t>kého dokumentu OP Doprava</w:t>
            </w:r>
          </w:p>
        </w:tc>
      </w:tr>
      <w:tr>
        <w:tblPrEx>
          <w:tblW w:w="18020" w:type="dxa"/>
          <w:tblInd w:w="55" w:type="dxa"/>
          <w:tblCellMar>
            <w:left w:w="70" w:type="dxa"/>
            <w:right w:w="70" w:type="dxa"/>
          </w:tblCellMar>
        </w:tblPrEx>
        <w:trPr>
          <w:trHeight w:val="255"/>
        </w:trPr>
        <w:tc>
          <w:tcPr>
            <w:tcW w:w="18020" w:type="dxa"/>
            <w:gridSpan w:val="5"/>
            <w:tcBorders>
              <w:top w:val="nil"/>
              <w:left w:val="nil"/>
              <w:bottom w:val="nil"/>
              <w:right w:val="nil"/>
              <w:tl2br w:val="nil"/>
              <w:tr2bl w:val="nil"/>
            </w:tcBorders>
            <w:noWrap/>
            <w:textDirection w:val="lrTb"/>
            <w:vAlign w:val="bottom"/>
          </w:tcPr>
          <w:p w:rsidR="00D37435" w:rsidRPr="00D37435" w:rsidP="00D37435">
            <w:pPr>
              <w:spacing w:line="240" w:lineRule="auto"/>
              <w:rPr>
                <w:rFonts w:ascii="Times New Roman" w:hAnsi="Times New Roman" w:cs="Times New Roman"/>
                <w:sz w:val="24"/>
                <w:szCs w:val="24"/>
                <w:lang w:eastAsia="sk-SK"/>
              </w:rPr>
            </w:pPr>
            <w:r>
              <w:rPr>
                <w:rFonts w:ascii="Times New Roman" w:hAnsi="Times New Roman" w:cs="Times New Roman"/>
                <w:sz w:val="24"/>
                <w:szCs w:val="24"/>
                <w:lang w:eastAsia="sk-SK"/>
              </w:rPr>
              <w:t xml:space="preserve">- </w:t>
            </w:r>
            <w:r w:rsidRPr="00D37435">
              <w:rPr>
                <w:rFonts w:ascii="Times New Roman" w:hAnsi="Times New Roman" w:cs="Times New Roman"/>
                <w:sz w:val="24"/>
                <w:szCs w:val="24"/>
                <w:lang w:eastAsia="sk-SK"/>
              </w:rPr>
              <w:t>Nákup výpočtovej techniky</w:t>
            </w:r>
          </w:p>
        </w:tc>
      </w:tr>
      <w:tr>
        <w:tblPrEx>
          <w:tblW w:w="18020" w:type="dxa"/>
          <w:tblInd w:w="55" w:type="dxa"/>
          <w:tblCellMar>
            <w:left w:w="70" w:type="dxa"/>
            <w:right w:w="70" w:type="dxa"/>
          </w:tblCellMar>
        </w:tblPrEx>
        <w:trPr>
          <w:trHeight w:val="255"/>
        </w:trPr>
        <w:tc>
          <w:tcPr>
            <w:tcW w:w="18020" w:type="dxa"/>
            <w:gridSpan w:val="5"/>
            <w:tcBorders>
              <w:top w:val="nil"/>
              <w:left w:val="nil"/>
              <w:bottom w:val="nil"/>
              <w:right w:val="nil"/>
              <w:tl2br w:val="nil"/>
              <w:tr2bl w:val="nil"/>
            </w:tcBorders>
            <w:noWrap/>
            <w:textDirection w:val="lrTb"/>
            <w:vAlign w:val="bottom"/>
          </w:tcPr>
          <w:p w:rsidR="00D37435" w:rsidRPr="00D37435" w:rsidP="00D37435">
            <w:pPr>
              <w:spacing w:line="240" w:lineRule="auto"/>
              <w:rPr>
                <w:rFonts w:ascii="Times New Roman" w:hAnsi="Times New Roman" w:cs="Times New Roman"/>
                <w:sz w:val="24"/>
                <w:szCs w:val="24"/>
                <w:lang w:eastAsia="sk-SK"/>
              </w:rPr>
            </w:pPr>
            <w:r>
              <w:rPr>
                <w:rFonts w:ascii="Times New Roman" w:hAnsi="Times New Roman" w:cs="Times New Roman"/>
                <w:sz w:val="24"/>
                <w:szCs w:val="24"/>
                <w:lang w:eastAsia="sk-SK"/>
              </w:rPr>
              <w:t xml:space="preserve">- </w:t>
            </w:r>
            <w:r w:rsidRPr="00D37435">
              <w:rPr>
                <w:rFonts w:ascii="Times New Roman" w:hAnsi="Times New Roman" w:cs="Times New Roman"/>
                <w:sz w:val="24"/>
                <w:szCs w:val="24"/>
                <w:lang w:eastAsia="sk-SK"/>
              </w:rPr>
              <w:t>Štúdia systém</w:t>
            </w:r>
            <w:r>
              <w:rPr>
                <w:rFonts w:ascii="Times New Roman" w:hAnsi="Times New Roman" w:cs="Times New Roman"/>
                <w:sz w:val="24"/>
                <w:szCs w:val="24"/>
                <w:lang w:eastAsia="sk-SK"/>
              </w:rPr>
              <w:t>u</w:t>
            </w:r>
            <w:r w:rsidRPr="00D37435">
              <w:rPr>
                <w:rFonts w:ascii="Times New Roman" w:hAnsi="Times New Roman" w:cs="Times New Roman"/>
                <w:sz w:val="24"/>
                <w:szCs w:val="24"/>
                <w:lang w:eastAsia="sk-SK"/>
              </w:rPr>
              <w:t xml:space="preserve"> pre riadenie a kontrolu prípravy a</w:t>
            </w:r>
            <w:r w:rsidR="00D80BD1">
              <w:rPr>
                <w:rFonts w:ascii="Times New Roman" w:hAnsi="Times New Roman" w:cs="Times New Roman"/>
                <w:sz w:val="24"/>
                <w:szCs w:val="24"/>
                <w:lang w:eastAsia="sk-SK"/>
              </w:rPr>
              <w:t> </w:t>
            </w:r>
            <w:r w:rsidRPr="00D37435">
              <w:rPr>
                <w:rFonts w:ascii="Times New Roman" w:hAnsi="Times New Roman" w:cs="Times New Roman"/>
                <w:sz w:val="24"/>
                <w:szCs w:val="24"/>
                <w:lang w:eastAsia="sk-SK"/>
              </w:rPr>
              <w:t>implementác</w:t>
            </w:r>
            <w:r w:rsidRPr="00D37435">
              <w:rPr>
                <w:rFonts w:ascii="Times New Roman" w:hAnsi="Times New Roman" w:cs="Times New Roman"/>
                <w:sz w:val="24"/>
                <w:szCs w:val="24"/>
                <w:lang w:eastAsia="sk-SK"/>
              </w:rPr>
              <w:t>ie</w:t>
            </w:r>
          </w:p>
        </w:tc>
      </w:tr>
      <w:tr>
        <w:tblPrEx>
          <w:tblW w:w="18020" w:type="dxa"/>
          <w:tblInd w:w="55" w:type="dxa"/>
          <w:tblCellMar>
            <w:left w:w="70" w:type="dxa"/>
            <w:right w:w="70" w:type="dxa"/>
          </w:tblCellMar>
        </w:tblPrEx>
        <w:trPr>
          <w:trHeight w:val="255"/>
        </w:trPr>
        <w:tc>
          <w:tcPr>
            <w:tcW w:w="18020" w:type="dxa"/>
            <w:gridSpan w:val="5"/>
            <w:tcBorders>
              <w:top w:val="nil"/>
              <w:left w:val="nil"/>
              <w:bottom w:val="nil"/>
              <w:right w:val="nil"/>
              <w:tl2br w:val="nil"/>
              <w:tr2bl w:val="nil"/>
            </w:tcBorders>
            <w:noWrap/>
            <w:textDirection w:val="lrTb"/>
            <w:vAlign w:val="bottom"/>
          </w:tcPr>
          <w:p w:rsidR="00D37435" w:rsidRPr="00D37435" w:rsidP="00D37435">
            <w:pPr>
              <w:spacing w:line="240" w:lineRule="auto"/>
              <w:rPr>
                <w:rFonts w:ascii="Times New Roman" w:hAnsi="Times New Roman" w:cs="Times New Roman"/>
                <w:sz w:val="24"/>
                <w:szCs w:val="24"/>
                <w:lang w:eastAsia="sk-SK"/>
              </w:rPr>
            </w:pPr>
            <w:r>
              <w:rPr>
                <w:rFonts w:ascii="Times New Roman" w:hAnsi="Times New Roman" w:cs="Times New Roman"/>
                <w:sz w:val="24"/>
                <w:szCs w:val="24"/>
                <w:lang w:eastAsia="sk-SK"/>
              </w:rPr>
              <w:t xml:space="preserve">- </w:t>
            </w:r>
            <w:r w:rsidRPr="00D37435">
              <w:rPr>
                <w:rFonts w:ascii="Times New Roman" w:hAnsi="Times New Roman" w:cs="Times New Roman"/>
                <w:sz w:val="24"/>
                <w:szCs w:val="24"/>
                <w:lang w:eastAsia="sk-SK"/>
              </w:rPr>
              <w:t>Štúdia zhodnotenia VIP</w:t>
            </w:r>
          </w:p>
        </w:tc>
      </w:tr>
      <w:tr>
        <w:tblPrEx>
          <w:tblW w:w="18020" w:type="dxa"/>
          <w:tblInd w:w="55" w:type="dxa"/>
          <w:tblCellMar>
            <w:left w:w="70" w:type="dxa"/>
            <w:right w:w="70" w:type="dxa"/>
          </w:tblCellMar>
        </w:tblPrEx>
        <w:trPr>
          <w:trHeight w:val="255"/>
        </w:trPr>
        <w:tc>
          <w:tcPr>
            <w:tcW w:w="18020" w:type="dxa"/>
            <w:gridSpan w:val="5"/>
            <w:tcBorders>
              <w:top w:val="nil"/>
              <w:left w:val="nil"/>
              <w:bottom w:val="nil"/>
              <w:right w:val="nil"/>
              <w:tl2br w:val="nil"/>
              <w:tr2bl w:val="nil"/>
            </w:tcBorders>
            <w:noWrap/>
            <w:textDirection w:val="lrTb"/>
            <w:vAlign w:val="bottom"/>
          </w:tcPr>
          <w:p w:rsidR="00D37435" w:rsidRPr="00D37435" w:rsidP="00D37435">
            <w:pPr>
              <w:spacing w:line="240" w:lineRule="auto"/>
              <w:rPr>
                <w:rFonts w:ascii="Times New Roman" w:hAnsi="Times New Roman" w:cs="Times New Roman"/>
                <w:sz w:val="24"/>
                <w:szCs w:val="24"/>
                <w:lang w:eastAsia="sk-SK"/>
              </w:rPr>
            </w:pPr>
            <w:r>
              <w:rPr>
                <w:rFonts w:ascii="Times New Roman" w:hAnsi="Times New Roman" w:cs="Times New Roman"/>
                <w:sz w:val="24"/>
                <w:szCs w:val="24"/>
                <w:lang w:eastAsia="sk-SK"/>
              </w:rPr>
              <w:t xml:space="preserve">- </w:t>
            </w:r>
            <w:r w:rsidRPr="00D37435">
              <w:rPr>
                <w:rFonts w:ascii="Times New Roman" w:hAnsi="Times New Roman" w:cs="Times New Roman"/>
                <w:sz w:val="24"/>
                <w:szCs w:val="24"/>
                <w:lang w:eastAsia="sk-SK"/>
              </w:rPr>
              <w:t>Terminál intermodálnej prepravy Košice</w:t>
            </w:r>
          </w:p>
        </w:tc>
      </w:tr>
      <w:tr>
        <w:tblPrEx>
          <w:tblW w:w="18020" w:type="dxa"/>
          <w:tblInd w:w="55" w:type="dxa"/>
          <w:tblCellMar>
            <w:left w:w="70" w:type="dxa"/>
            <w:right w:w="70" w:type="dxa"/>
          </w:tblCellMar>
        </w:tblPrEx>
        <w:trPr>
          <w:trHeight w:val="255"/>
        </w:trPr>
        <w:tc>
          <w:tcPr>
            <w:tcW w:w="11580" w:type="dxa"/>
            <w:tcBorders>
              <w:top w:val="nil"/>
              <w:left w:val="nil"/>
              <w:bottom w:val="nil"/>
              <w:right w:val="nil"/>
              <w:tl2br w:val="nil"/>
              <w:tr2bl w:val="nil"/>
            </w:tcBorders>
            <w:noWrap/>
            <w:textDirection w:val="lrTb"/>
            <w:vAlign w:val="bottom"/>
          </w:tcPr>
          <w:p w:rsidR="00D37435" w:rsidRPr="00D37435" w:rsidP="00D37435">
            <w:pPr>
              <w:spacing w:line="240" w:lineRule="auto"/>
              <w:rPr>
                <w:rFonts w:ascii="Times New Roman" w:hAnsi="Times New Roman" w:cs="Times New Roman"/>
                <w:sz w:val="24"/>
                <w:szCs w:val="24"/>
                <w:lang w:eastAsia="sk-SK"/>
              </w:rPr>
            </w:pPr>
            <w:r>
              <w:rPr>
                <w:rFonts w:ascii="Times New Roman" w:hAnsi="Times New Roman" w:cs="Times New Roman"/>
                <w:sz w:val="24"/>
                <w:szCs w:val="24"/>
                <w:lang w:eastAsia="sk-SK"/>
              </w:rPr>
              <w:t xml:space="preserve">- </w:t>
            </w:r>
            <w:r w:rsidRPr="00D37435">
              <w:rPr>
                <w:rFonts w:ascii="Times New Roman" w:hAnsi="Times New Roman" w:cs="Times New Roman"/>
                <w:sz w:val="24"/>
                <w:szCs w:val="24"/>
                <w:lang w:eastAsia="sk-SK"/>
              </w:rPr>
              <w:t>Te</w:t>
            </w:r>
            <w:r w:rsidR="001E054F">
              <w:rPr>
                <w:rFonts w:ascii="Times New Roman" w:hAnsi="Times New Roman" w:cs="Times New Roman"/>
                <w:sz w:val="24"/>
                <w:szCs w:val="24"/>
                <w:lang w:eastAsia="sk-SK"/>
              </w:rPr>
              <w:t>r</w:t>
            </w:r>
            <w:r w:rsidRPr="00D37435">
              <w:rPr>
                <w:rFonts w:ascii="Times New Roman" w:hAnsi="Times New Roman" w:cs="Times New Roman"/>
                <w:sz w:val="24"/>
                <w:szCs w:val="24"/>
                <w:lang w:eastAsia="sk-SK"/>
              </w:rPr>
              <w:t>minál intermodálnej prepravy Žilina</w:t>
            </w:r>
          </w:p>
        </w:tc>
        <w:tc>
          <w:tcPr>
            <w:tcW w:w="1740" w:type="dxa"/>
            <w:tcBorders>
              <w:top w:val="nil"/>
              <w:left w:val="nil"/>
              <w:bottom w:val="nil"/>
              <w:right w:val="nil"/>
              <w:tl2br w:val="nil"/>
              <w:tr2bl w:val="nil"/>
            </w:tcBorders>
            <w:noWrap/>
            <w:textDirection w:val="lrTb"/>
            <w:vAlign w:val="bottom"/>
          </w:tcPr>
          <w:p w:rsidR="00D37435" w:rsidRPr="00D37435" w:rsidP="00D37435">
            <w:pPr>
              <w:spacing w:line="240" w:lineRule="auto"/>
              <w:rPr>
                <w:rFonts w:ascii="Arial" w:hAnsi="Arial" w:cs="Arial"/>
                <w:lang w:eastAsia="sk-SK"/>
              </w:rPr>
            </w:pPr>
          </w:p>
        </w:tc>
        <w:tc>
          <w:tcPr>
            <w:tcW w:w="1480" w:type="dxa"/>
            <w:tcBorders>
              <w:top w:val="nil"/>
              <w:left w:val="nil"/>
              <w:bottom w:val="nil"/>
              <w:right w:val="nil"/>
              <w:tl2br w:val="nil"/>
              <w:tr2bl w:val="nil"/>
            </w:tcBorders>
            <w:noWrap/>
            <w:textDirection w:val="lrTb"/>
            <w:vAlign w:val="bottom"/>
          </w:tcPr>
          <w:p w:rsidR="00D37435" w:rsidRPr="00D37435" w:rsidP="00D37435">
            <w:pPr>
              <w:spacing w:line="240" w:lineRule="auto"/>
              <w:rPr>
                <w:rFonts w:ascii="Arial" w:hAnsi="Arial" w:cs="Arial"/>
                <w:lang w:eastAsia="sk-SK"/>
              </w:rPr>
            </w:pPr>
          </w:p>
        </w:tc>
        <w:tc>
          <w:tcPr>
            <w:tcW w:w="1600" w:type="dxa"/>
            <w:tcBorders>
              <w:top w:val="nil"/>
              <w:left w:val="nil"/>
              <w:bottom w:val="nil"/>
              <w:right w:val="nil"/>
              <w:tl2br w:val="nil"/>
              <w:tr2bl w:val="nil"/>
            </w:tcBorders>
            <w:noWrap/>
            <w:textDirection w:val="lrTb"/>
            <w:vAlign w:val="bottom"/>
          </w:tcPr>
          <w:p w:rsidR="00D37435" w:rsidRPr="00D37435" w:rsidP="00D37435">
            <w:pPr>
              <w:spacing w:line="240" w:lineRule="auto"/>
              <w:rPr>
                <w:rFonts w:ascii="Arial" w:hAnsi="Arial" w:cs="Arial"/>
                <w:lang w:eastAsia="sk-SK"/>
              </w:rPr>
            </w:pPr>
          </w:p>
        </w:tc>
        <w:tc>
          <w:tcPr>
            <w:tcW w:w="1620" w:type="dxa"/>
            <w:tcBorders>
              <w:top w:val="nil"/>
              <w:left w:val="nil"/>
              <w:bottom w:val="nil"/>
              <w:right w:val="nil"/>
              <w:tl2br w:val="nil"/>
              <w:tr2bl w:val="nil"/>
            </w:tcBorders>
            <w:noWrap/>
            <w:textDirection w:val="lrTb"/>
            <w:vAlign w:val="bottom"/>
          </w:tcPr>
          <w:p w:rsidR="00D37435" w:rsidRPr="00D37435" w:rsidP="00D37435">
            <w:pPr>
              <w:spacing w:line="240" w:lineRule="auto"/>
              <w:rPr>
                <w:rFonts w:ascii="Arial" w:hAnsi="Arial" w:cs="Arial"/>
                <w:lang w:eastAsia="sk-SK"/>
              </w:rPr>
            </w:pPr>
          </w:p>
        </w:tc>
      </w:tr>
      <w:tr>
        <w:tblPrEx>
          <w:tblW w:w="18020" w:type="dxa"/>
          <w:tblInd w:w="55" w:type="dxa"/>
          <w:tblCellMar>
            <w:left w:w="70" w:type="dxa"/>
            <w:right w:w="70" w:type="dxa"/>
          </w:tblCellMar>
        </w:tblPrEx>
        <w:trPr>
          <w:trHeight w:val="255"/>
        </w:trPr>
        <w:tc>
          <w:tcPr>
            <w:tcW w:w="11580" w:type="dxa"/>
            <w:tcBorders>
              <w:top w:val="nil"/>
              <w:left w:val="nil"/>
              <w:bottom w:val="nil"/>
              <w:right w:val="nil"/>
              <w:tl2br w:val="nil"/>
              <w:tr2bl w:val="nil"/>
            </w:tcBorders>
            <w:noWrap/>
            <w:textDirection w:val="lrTb"/>
            <w:vAlign w:val="bottom"/>
          </w:tcPr>
          <w:p w:rsidR="00D37435" w:rsidRPr="00D37435" w:rsidP="00D37435">
            <w:pPr>
              <w:spacing w:line="240" w:lineRule="auto"/>
              <w:rPr>
                <w:rFonts w:ascii="Times New Roman" w:hAnsi="Times New Roman" w:cs="Times New Roman"/>
                <w:sz w:val="24"/>
                <w:szCs w:val="24"/>
                <w:lang w:eastAsia="sk-SK"/>
              </w:rPr>
            </w:pPr>
            <w:r>
              <w:rPr>
                <w:rFonts w:ascii="Times New Roman" w:hAnsi="Times New Roman" w:cs="Times New Roman"/>
                <w:sz w:val="24"/>
                <w:szCs w:val="24"/>
                <w:lang w:eastAsia="sk-SK"/>
              </w:rPr>
              <w:t xml:space="preserve">- </w:t>
            </w:r>
            <w:r w:rsidRPr="00D37435">
              <w:rPr>
                <w:rFonts w:ascii="Times New Roman" w:hAnsi="Times New Roman" w:cs="Times New Roman"/>
                <w:sz w:val="24"/>
                <w:szCs w:val="24"/>
                <w:lang w:eastAsia="sk-SK"/>
              </w:rPr>
              <w:t>Publicita projektov dopravnej infraštruktúry spolufinancovaných z fondov EÚ</w:t>
            </w:r>
          </w:p>
        </w:tc>
        <w:tc>
          <w:tcPr>
            <w:tcW w:w="1740" w:type="dxa"/>
            <w:tcBorders>
              <w:top w:val="nil"/>
              <w:left w:val="nil"/>
              <w:bottom w:val="nil"/>
              <w:right w:val="nil"/>
              <w:tl2br w:val="nil"/>
              <w:tr2bl w:val="nil"/>
            </w:tcBorders>
            <w:noWrap/>
            <w:textDirection w:val="lrTb"/>
            <w:vAlign w:val="bottom"/>
          </w:tcPr>
          <w:p w:rsidR="00D37435" w:rsidRPr="00D37435" w:rsidP="00D37435">
            <w:pPr>
              <w:spacing w:line="240" w:lineRule="auto"/>
              <w:rPr>
                <w:rFonts w:ascii="Arial" w:hAnsi="Arial" w:cs="Arial"/>
                <w:lang w:eastAsia="sk-SK"/>
              </w:rPr>
            </w:pPr>
          </w:p>
        </w:tc>
        <w:tc>
          <w:tcPr>
            <w:tcW w:w="1480" w:type="dxa"/>
            <w:tcBorders>
              <w:top w:val="nil"/>
              <w:left w:val="nil"/>
              <w:bottom w:val="nil"/>
              <w:right w:val="nil"/>
              <w:tl2br w:val="nil"/>
              <w:tr2bl w:val="nil"/>
            </w:tcBorders>
            <w:noWrap/>
            <w:textDirection w:val="lrTb"/>
            <w:vAlign w:val="bottom"/>
          </w:tcPr>
          <w:p w:rsidR="00D37435" w:rsidRPr="00D37435" w:rsidP="00D37435">
            <w:pPr>
              <w:spacing w:line="240" w:lineRule="auto"/>
              <w:rPr>
                <w:rFonts w:ascii="Arial" w:hAnsi="Arial" w:cs="Arial"/>
                <w:lang w:eastAsia="sk-SK"/>
              </w:rPr>
            </w:pPr>
          </w:p>
        </w:tc>
        <w:tc>
          <w:tcPr>
            <w:tcW w:w="1600" w:type="dxa"/>
            <w:tcBorders>
              <w:top w:val="nil"/>
              <w:left w:val="nil"/>
              <w:bottom w:val="nil"/>
              <w:right w:val="nil"/>
              <w:tl2br w:val="nil"/>
              <w:tr2bl w:val="nil"/>
            </w:tcBorders>
            <w:noWrap/>
            <w:textDirection w:val="lrTb"/>
            <w:vAlign w:val="bottom"/>
          </w:tcPr>
          <w:p w:rsidR="00D37435" w:rsidRPr="00D37435" w:rsidP="00D37435">
            <w:pPr>
              <w:spacing w:line="240" w:lineRule="auto"/>
              <w:rPr>
                <w:rFonts w:ascii="Arial" w:hAnsi="Arial" w:cs="Arial"/>
                <w:lang w:eastAsia="sk-SK"/>
              </w:rPr>
            </w:pPr>
          </w:p>
        </w:tc>
        <w:tc>
          <w:tcPr>
            <w:tcW w:w="1620" w:type="dxa"/>
            <w:tcBorders>
              <w:top w:val="nil"/>
              <w:left w:val="nil"/>
              <w:bottom w:val="nil"/>
              <w:right w:val="nil"/>
              <w:tl2br w:val="nil"/>
              <w:tr2bl w:val="nil"/>
            </w:tcBorders>
            <w:noWrap/>
            <w:textDirection w:val="lrTb"/>
            <w:vAlign w:val="bottom"/>
          </w:tcPr>
          <w:p w:rsidR="00D37435" w:rsidRPr="00D37435" w:rsidP="00D37435">
            <w:pPr>
              <w:spacing w:line="240" w:lineRule="auto"/>
              <w:rPr>
                <w:rFonts w:ascii="Arial" w:hAnsi="Arial" w:cs="Arial"/>
                <w:lang w:eastAsia="sk-SK"/>
              </w:rPr>
            </w:pPr>
          </w:p>
        </w:tc>
      </w:tr>
    </w:tbl>
    <w:p w:rsidR="000C453B" w:rsidRPr="00D23807" w:rsidP="00D37435">
      <w:pPr>
        <w:spacing w:line="240" w:lineRule="auto"/>
        <w:rPr>
          <w:rFonts w:ascii="Times New Roman" w:hAnsi="Times New Roman" w:cs="Times New Roman"/>
          <w:b/>
          <w:sz w:val="28"/>
          <w:szCs w:val="28"/>
        </w:rPr>
      </w:pPr>
    </w:p>
    <w:p w:rsidR="001D2EE0" w:rsidP="001049B0">
      <w:pPr>
        <w:spacing w:line="240" w:lineRule="auto"/>
        <w:rPr>
          <w:rFonts w:ascii="Times New Roman" w:hAnsi="Times New Roman" w:cs="Times New Roman"/>
          <w:sz w:val="24"/>
          <w:szCs w:val="24"/>
          <w:u w:val="single"/>
        </w:rPr>
      </w:pPr>
      <w:r w:rsidR="005733E8">
        <w:rPr>
          <w:rFonts w:ascii="Times New Roman" w:hAnsi="Times New Roman" w:cs="Times New Roman"/>
          <w:sz w:val="24"/>
          <w:szCs w:val="24"/>
          <w:u w:val="single"/>
        </w:rPr>
        <w:t>01.1.3</w:t>
      </w:r>
      <w:r w:rsidR="000C453B">
        <w:rPr>
          <w:rFonts w:ascii="Times New Roman" w:hAnsi="Times New Roman" w:cs="Times New Roman"/>
          <w:sz w:val="24"/>
          <w:szCs w:val="24"/>
          <w:u w:val="single"/>
        </w:rPr>
        <w:t>.</w:t>
      </w:r>
      <w:r w:rsidR="005733E8">
        <w:rPr>
          <w:rFonts w:ascii="Times New Roman" w:hAnsi="Times New Roman" w:cs="Times New Roman"/>
          <w:sz w:val="24"/>
          <w:szCs w:val="24"/>
          <w:u w:val="single"/>
        </w:rPr>
        <w:t xml:space="preserve"> – Zahraničná oblasť</w:t>
      </w:r>
    </w:p>
    <w:p w:rsidR="001049B0" w:rsidRPr="001049B0" w:rsidP="001049B0">
      <w:pPr>
        <w:spacing w:line="240" w:lineRule="auto"/>
        <w:rPr>
          <w:rFonts w:ascii="Times New Roman" w:hAnsi="Times New Roman" w:cs="Times New Roman"/>
          <w:sz w:val="24"/>
          <w:szCs w:val="24"/>
          <w:u w:val="single"/>
        </w:rPr>
      </w:pPr>
    </w:p>
    <w:p w:rsidR="005733E8" w:rsidRPr="00E95FB9" w:rsidP="00C362EA">
      <w:pPr>
        <w:spacing w:line="240" w:lineRule="auto"/>
        <w:ind w:firstLine="540"/>
        <w:rPr>
          <w:rFonts w:ascii="Times New Roman" w:hAnsi="Times New Roman" w:cs="Times New Roman"/>
          <w:sz w:val="24"/>
        </w:rPr>
      </w:pPr>
      <w:r w:rsidRPr="00816C2D">
        <w:rPr>
          <w:rFonts w:ascii="Times New Roman" w:hAnsi="Times New Roman" w:cs="Times New Roman"/>
          <w:sz w:val="24"/>
        </w:rPr>
        <w:t xml:space="preserve">Skutočné čerpanie bolo </w:t>
      </w:r>
      <w:r w:rsidR="000C453B">
        <w:rPr>
          <w:rFonts w:ascii="Times New Roman" w:hAnsi="Times New Roman" w:cs="Times New Roman"/>
          <w:sz w:val="24"/>
        </w:rPr>
        <w:t>do</w:t>
      </w:r>
      <w:r w:rsidR="000C453B">
        <w:rPr>
          <w:rFonts w:ascii="Times New Roman" w:hAnsi="Times New Roman" w:cs="Times New Roman"/>
          <w:sz w:val="24"/>
        </w:rPr>
        <w:t>siahnuté vo výške 19 925 315,35 Sk</w:t>
      </w:r>
      <w:r w:rsidRPr="00AB1F6D">
        <w:rPr>
          <w:rFonts w:ascii="Times New Roman" w:hAnsi="Times New Roman" w:cs="Times New Roman"/>
          <w:sz w:val="24"/>
        </w:rPr>
        <w:t>. Tieto</w:t>
      </w:r>
      <w:r w:rsidRPr="00816C2D">
        <w:rPr>
          <w:rFonts w:ascii="Times New Roman" w:hAnsi="Times New Roman" w:cs="Times New Roman"/>
          <w:sz w:val="24"/>
        </w:rPr>
        <w:t xml:space="preserve"> výdavky</w:t>
      </w:r>
      <w:r>
        <w:rPr>
          <w:rFonts w:ascii="Times New Roman" w:hAnsi="Times New Roman" w:cs="Times New Roman"/>
          <w:sz w:val="24"/>
        </w:rPr>
        <w:t xml:space="preserve"> </w:t>
      </w:r>
      <w:r w:rsidRPr="00816C2D">
        <w:rPr>
          <w:rFonts w:ascii="Times New Roman" w:hAnsi="Times New Roman" w:cs="Times New Roman"/>
          <w:sz w:val="24"/>
        </w:rPr>
        <w:t>boli použité na úhradu poplatkov za členstv</w:t>
      </w:r>
      <w:r w:rsidR="007F1BC7">
        <w:rPr>
          <w:rFonts w:ascii="Times New Roman" w:hAnsi="Times New Roman" w:cs="Times New Roman"/>
          <w:sz w:val="24"/>
        </w:rPr>
        <w:t xml:space="preserve">o v medzinárodných </w:t>
      </w:r>
      <w:r>
        <w:rPr>
          <w:rFonts w:ascii="Times New Roman" w:hAnsi="Times New Roman" w:cs="Times New Roman"/>
          <w:sz w:val="24"/>
        </w:rPr>
        <w:t xml:space="preserve">inštitúciách, </w:t>
      </w:r>
      <w:r w:rsidRPr="00816C2D">
        <w:rPr>
          <w:rFonts w:ascii="Times New Roman" w:hAnsi="Times New Roman" w:cs="Times New Roman"/>
          <w:sz w:val="24"/>
        </w:rPr>
        <w:t>v ktorých je</w:t>
      </w:r>
      <w:r>
        <w:rPr>
          <w:rFonts w:ascii="Times New Roman" w:hAnsi="Times New Roman" w:cs="Times New Roman"/>
          <w:sz w:val="24"/>
        </w:rPr>
        <w:t xml:space="preserve"> MDPT SR členom.</w:t>
      </w:r>
      <w:r w:rsidR="00C33BEC">
        <w:rPr>
          <w:rFonts w:ascii="Times New Roman" w:hAnsi="Times New Roman" w:cs="Times New Roman"/>
          <w:sz w:val="24"/>
        </w:rPr>
        <w:t xml:space="preserve">  </w:t>
      </w:r>
      <w:r w:rsidR="00E95FB9">
        <w:rPr>
          <w:rFonts w:ascii="Times New Roman" w:hAnsi="Times New Roman" w:cs="Times New Roman"/>
          <w:sz w:val="24"/>
        </w:rPr>
        <w:t>Uvedené zdroje boli z časti alokované v medzirezortnom podprograme 09707 – Príspevky SR do medzináro</w:t>
      </w:r>
      <w:r w:rsidR="00E95FB9">
        <w:rPr>
          <w:rFonts w:ascii="Times New Roman" w:hAnsi="Times New Roman" w:cs="Times New Roman"/>
          <w:sz w:val="24"/>
        </w:rPr>
        <w:t>dných organizácií – MDPT ST (v gestorstve MZV SR), a to vo výške 17 520 tis. Sk. Zvyšné v </w:t>
      </w:r>
      <w:r w:rsidRPr="00E95FB9" w:rsidR="00E95FB9">
        <w:rPr>
          <w:rFonts w:ascii="Times New Roman" w:hAnsi="Times New Roman" w:cs="Times New Roman"/>
          <w:sz w:val="24"/>
        </w:rPr>
        <w:t xml:space="preserve">podprograme </w:t>
      </w:r>
      <w:r w:rsidRPr="00E95FB9" w:rsidR="00E95FB9">
        <w:rPr>
          <w:rFonts w:ascii="Times New Roman" w:hAnsi="Times New Roman" w:cs="Times New Roman"/>
          <w:sz w:val="24"/>
          <w:szCs w:val="24"/>
        </w:rPr>
        <w:t>07T0101 – Ústredný orgán – MDPT SR</w:t>
      </w:r>
      <w:r w:rsidR="00E95FB9">
        <w:rPr>
          <w:rFonts w:ascii="Times New Roman" w:hAnsi="Times New Roman" w:cs="Times New Roman"/>
          <w:sz w:val="24"/>
          <w:szCs w:val="24"/>
        </w:rPr>
        <w:t>.</w:t>
      </w:r>
      <w:r w:rsidRPr="00E95FB9" w:rsidR="00E95FB9">
        <w:rPr>
          <w:rFonts w:ascii="Times New Roman" w:hAnsi="Times New Roman" w:cs="Times New Roman"/>
          <w:sz w:val="24"/>
        </w:rPr>
        <w:t xml:space="preserve"> </w:t>
      </w:r>
      <w:r w:rsidRPr="00E95FB9" w:rsidR="00C33BEC">
        <w:rPr>
          <w:rFonts w:ascii="Times New Roman" w:hAnsi="Times New Roman" w:cs="Times New Roman"/>
          <w:sz w:val="24"/>
        </w:rPr>
        <w:t xml:space="preserve">  </w:t>
      </w:r>
    </w:p>
    <w:p w:rsidR="005733E8" w:rsidP="00C362EA">
      <w:pPr>
        <w:spacing w:line="240" w:lineRule="auto"/>
        <w:rPr>
          <w:rFonts w:ascii="Times New Roman" w:hAnsi="Times New Roman" w:cs="Times New Roman"/>
          <w:sz w:val="24"/>
          <w:szCs w:val="24"/>
          <w:u w:val="single"/>
        </w:rPr>
      </w:pPr>
    </w:p>
    <w:p w:rsidR="005733E8" w:rsidP="00C362EA">
      <w:pPr>
        <w:spacing w:line="240" w:lineRule="auto"/>
        <w:rPr>
          <w:rFonts w:ascii="Times New Roman" w:hAnsi="Times New Roman" w:cs="Times New Roman"/>
          <w:sz w:val="24"/>
          <w:szCs w:val="24"/>
          <w:u w:val="single"/>
        </w:rPr>
      </w:pPr>
      <w:r w:rsidR="000C453B">
        <w:rPr>
          <w:rFonts w:ascii="Times New Roman" w:hAnsi="Times New Roman" w:cs="Times New Roman"/>
          <w:sz w:val="24"/>
          <w:szCs w:val="24"/>
          <w:u w:val="single"/>
        </w:rPr>
        <w:t>02.1.0.</w:t>
      </w:r>
      <w:r>
        <w:rPr>
          <w:rFonts w:ascii="Times New Roman" w:hAnsi="Times New Roman" w:cs="Times New Roman"/>
          <w:sz w:val="24"/>
          <w:szCs w:val="24"/>
          <w:u w:val="single"/>
        </w:rPr>
        <w:t>3</w:t>
      </w:r>
      <w:r w:rsidR="000C453B">
        <w:rPr>
          <w:rFonts w:ascii="Times New Roman" w:hAnsi="Times New Roman" w:cs="Times New Roman"/>
          <w:sz w:val="24"/>
          <w:szCs w:val="24"/>
          <w:u w:val="single"/>
        </w:rPr>
        <w:t>.</w:t>
      </w:r>
      <w:r>
        <w:rPr>
          <w:rFonts w:ascii="Times New Roman" w:hAnsi="Times New Roman" w:cs="Times New Roman"/>
          <w:sz w:val="24"/>
          <w:szCs w:val="24"/>
          <w:u w:val="single"/>
        </w:rPr>
        <w:t xml:space="preserve"> – Hospodárska mobilizácia</w:t>
      </w:r>
    </w:p>
    <w:p w:rsidR="001D2EE0" w:rsidP="00C362EA">
      <w:pPr>
        <w:spacing w:line="240" w:lineRule="auto"/>
        <w:ind w:firstLine="540"/>
        <w:rPr>
          <w:rFonts w:ascii="Times New Roman" w:hAnsi="Times New Roman" w:cs="Times New Roman"/>
          <w:sz w:val="24"/>
          <w:szCs w:val="24"/>
        </w:rPr>
      </w:pPr>
    </w:p>
    <w:p w:rsidR="005733E8" w:rsidRPr="00D80BD1" w:rsidP="007F1BC7">
      <w:pPr>
        <w:spacing w:line="240" w:lineRule="auto"/>
        <w:ind w:firstLine="540"/>
        <w:rPr>
          <w:rFonts w:ascii="Times New Roman" w:hAnsi="Times New Roman" w:cs="Times New Roman"/>
          <w:sz w:val="24"/>
          <w:szCs w:val="24"/>
        </w:rPr>
      </w:pPr>
      <w:r w:rsidRPr="005733E8">
        <w:rPr>
          <w:rFonts w:ascii="Times New Roman" w:hAnsi="Times New Roman" w:cs="Times New Roman"/>
          <w:sz w:val="24"/>
          <w:szCs w:val="24"/>
        </w:rPr>
        <w:t>Vo vyššie uvedenej tabuľke prehľadu rozpočtových vý</w:t>
      </w:r>
      <w:r w:rsidR="000C453B">
        <w:rPr>
          <w:rFonts w:ascii="Times New Roman" w:hAnsi="Times New Roman" w:cs="Times New Roman"/>
          <w:sz w:val="24"/>
          <w:szCs w:val="24"/>
        </w:rPr>
        <w:t>davkov úradu MDPT SR za ro</w:t>
      </w:r>
      <w:r w:rsidR="000C453B">
        <w:rPr>
          <w:rFonts w:ascii="Times New Roman" w:hAnsi="Times New Roman" w:cs="Times New Roman"/>
          <w:sz w:val="24"/>
          <w:szCs w:val="24"/>
        </w:rPr>
        <w:t>k 2007</w:t>
      </w:r>
      <w:r>
        <w:rPr>
          <w:rFonts w:ascii="Times New Roman" w:hAnsi="Times New Roman" w:cs="Times New Roman"/>
          <w:sz w:val="24"/>
          <w:szCs w:val="24"/>
        </w:rPr>
        <w:t xml:space="preserve"> </w:t>
      </w:r>
      <w:r w:rsidR="007F1BC7">
        <w:rPr>
          <w:rFonts w:ascii="Times New Roman" w:hAnsi="Times New Roman" w:cs="Times New Roman"/>
          <w:sz w:val="24"/>
          <w:szCs w:val="24"/>
        </w:rPr>
        <w:t xml:space="preserve">hospodárska mobilizácia </w:t>
      </w:r>
      <w:r>
        <w:rPr>
          <w:rFonts w:ascii="Times New Roman" w:hAnsi="Times New Roman" w:cs="Times New Roman"/>
          <w:sz w:val="24"/>
          <w:szCs w:val="24"/>
        </w:rPr>
        <w:t>zahrnutá nie je, keďže transfery pre hospodársku mobilizáciu sú alokované v inom pro</w:t>
      </w:r>
      <w:r w:rsidR="00A64F18">
        <w:rPr>
          <w:rFonts w:ascii="Times New Roman" w:hAnsi="Times New Roman" w:cs="Times New Roman"/>
          <w:sz w:val="24"/>
          <w:szCs w:val="24"/>
        </w:rPr>
        <w:t>grame, a to v podprograme 06H0D</w:t>
      </w:r>
      <w:r>
        <w:rPr>
          <w:rFonts w:ascii="Times New Roman" w:hAnsi="Times New Roman" w:cs="Times New Roman"/>
          <w:sz w:val="24"/>
          <w:szCs w:val="24"/>
        </w:rPr>
        <w:t>– Hospodárska mobilizácia MDPT SR, ktorý kapitola rieši ako účastník medzirezortného programu pod gestorstvom</w:t>
      </w:r>
      <w:r w:rsidR="007F1BC7">
        <w:rPr>
          <w:rFonts w:ascii="Times New Roman" w:hAnsi="Times New Roman" w:cs="Times New Roman"/>
          <w:sz w:val="24"/>
          <w:szCs w:val="24"/>
        </w:rPr>
        <w:t xml:space="preserve"> </w:t>
      </w:r>
      <w:r w:rsidR="007F1BC7">
        <w:rPr>
          <w:rFonts w:ascii="Times New Roman" w:hAnsi="Times New Roman" w:cs="Times New Roman"/>
          <w:sz w:val="24"/>
          <w:szCs w:val="24"/>
        </w:rPr>
        <w:t xml:space="preserve">Ministerstva hospodárstva SR. </w:t>
      </w:r>
      <w:r w:rsidRPr="00816C2D">
        <w:rPr>
          <w:rFonts w:ascii="Times New Roman" w:hAnsi="Times New Roman" w:cs="Times New Roman"/>
          <w:sz w:val="24"/>
        </w:rPr>
        <w:t>V oblasti  hospodárskej mo</w:t>
      </w:r>
      <w:r w:rsidR="001049B0">
        <w:rPr>
          <w:rFonts w:ascii="Times New Roman" w:hAnsi="Times New Roman" w:cs="Times New Roman"/>
          <w:sz w:val="24"/>
        </w:rPr>
        <w:t xml:space="preserve">bilizácie </w:t>
      </w:r>
      <w:r w:rsidR="00D80BD1">
        <w:rPr>
          <w:rFonts w:ascii="Times New Roman" w:hAnsi="Times New Roman" w:cs="Times New Roman"/>
          <w:sz w:val="24"/>
        </w:rPr>
        <w:t>bol</w:t>
      </w:r>
      <w:r w:rsidR="00A64F18">
        <w:rPr>
          <w:rFonts w:ascii="Times New Roman" w:hAnsi="Times New Roman" w:cs="Times New Roman"/>
          <w:sz w:val="24"/>
        </w:rPr>
        <w:t xml:space="preserve"> </w:t>
      </w:r>
      <w:r>
        <w:rPr>
          <w:rFonts w:ascii="Times New Roman" w:hAnsi="Times New Roman" w:cs="Times New Roman"/>
          <w:sz w:val="24"/>
        </w:rPr>
        <w:t>schválený roz</w:t>
      </w:r>
      <w:r w:rsidR="00A64F18">
        <w:rPr>
          <w:rFonts w:ascii="Times New Roman" w:hAnsi="Times New Roman" w:cs="Times New Roman"/>
          <w:sz w:val="24"/>
        </w:rPr>
        <w:t xml:space="preserve">počet vo výške 40 000 tis. </w:t>
      </w:r>
      <w:r w:rsidR="000C453B">
        <w:rPr>
          <w:rFonts w:ascii="Times New Roman" w:hAnsi="Times New Roman" w:cs="Times New Roman"/>
          <w:sz w:val="24"/>
        </w:rPr>
        <w:t>Sk. K 31.12.2007</w:t>
      </w:r>
      <w:r w:rsidR="00F50C9F">
        <w:rPr>
          <w:rFonts w:ascii="Times New Roman" w:hAnsi="Times New Roman" w:cs="Times New Roman"/>
          <w:sz w:val="24"/>
        </w:rPr>
        <w:t xml:space="preserve"> </w:t>
      </w:r>
      <w:r w:rsidR="007F1BC7">
        <w:rPr>
          <w:rFonts w:ascii="Times New Roman" w:hAnsi="Times New Roman" w:cs="Times New Roman"/>
          <w:sz w:val="24"/>
        </w:rPr>
        <w:t>z</w:t>
      </w:r>
      <w:r w:rsidR="001049B0">
        <w:rPr>
          <w:rFonts w:ascii="Times New Roman" w:hAnsi="Times New Roman" w:cs="Times New Roman"/>
          <w:sz w:val="24"/>
        </w:rPr>
        <w:t xml:space="preserve">ostal </w:t>
      </w:r>
      <w:r w:rsidR="000C453B">
        <w:rPr>
          <w:rFonts w:ascii="Times New Roman" w:hAnsi="Times New Roman" w:cs="Times New Roman"/>
          <w:sz w:val="24"/>
        </w:rPr>
        <w:t>nezmenený.</w:t>
      </w:r>
      <w:r w:rsidR="00D80BD1">
        <w:rPr>
          <w:rFonts w:ascii="Times New Roman" w:hAnsi="Times New Roman" w:cs="Times New Roman"/>
          <w:sz w:val="24"/>
        </w:rPr>
        <w:t xml:space="preserve"> </w:t>
      </w:r>
      <w:r w:rsidRPr="00816C2D">
        <w:rPr>
          <w:rFonts w:ascii="Times New Roman" w:hAnsi="Times New Roman" w:cs="Times New Roman"/>
          <w:sz w:val="24"/>
        </w:rPr>
        <w:t xml:space="preserve">Čerpanie </w:t>
      </w:r>
      <w:r w:rsidR="000C453B">
        <w:rPr>
          <w:rFonts w:ascii="Times New Roman" w:hAnsi="Times New Roman" w:cs="Times New Roman"/>
          <w:sz w:val="24"/>
        </w:rPr>
        <w:t>k 31.12.2007</w:t>
      </w:r>
      <w:r w:rsidR="007823AC">
        <w:rPr>
          <w:rFonts w:ascii="Times New Roman" w:hAnsi="Times New Roman" w:cs="Times New Roman"/>
          <w:sz w:val="24"/>
        </w:rPr>
        <w:t xml:space="preserve"> </w:t>
      </w:r>
      <w:r w:rsidRPr="00816C2D">
        <w:rPr>
          <w:rFonts w:ascii="Times New Roman" w:hAnsi="Times New Roman" w:cs="Times New Roman"/>
          <w:sz w:val="24"/>
        </w:rPr>
        <w:t xml:space="preserve">bolo </w:t>
      </w:r>
      <w:r w:rsidR="000C453B">
        <w:rPr>
          <w:rFonts w:ascii="Times New Roman" w:hAnsi="Times New Roman" w:cs="Times New Roman"/>
          <w:sz w:val="24"/>
        </w:rPr>
        <w:t xml:space="preserve">vykázané vo výške 39 829 497,95 </w:t>
      </w:r>
      <w:r w:rsidRPr="00AB1F6D" w:rsidR="00DD1720">
        <w:rPr>
          <w:rFonts w:ascii="Times New Roman" w:hAnsi="Times New Roman" w:cs="Times New Roman"/>
          <w:sz w:val="24"/>
        </w:rPr>
        <w:t>Sk</w:t>
      </w:r>
      <w:r w:rsidR="000C453B">
        <w:rPr>
          <w:rFonts w:ascii="Times New Roman" w:hAnsi="Times New Roman" w:cs="Times New Roman"/>
          <w:sz w:val="24"/>
        </w:rPr>
        <w:t xml:space="preserve"> </w:t>
      </w:r>
      <w:r w:rsidR="007F1BC7">
        <w:rPr>
          <w:rFonts w:ascii="Times New Roman" w:hAnsi="Times New Roman" w:cs="Times New Roman"/>
          <w:sz w:val="24"/>
        </w:rPr>
        <w:t xml:space="preserve">a  finančné </w:t>
      </w:r>
      <w:r w:rsidR="00A64F18">
        <w:rPr>
          <w:rFonts w:ascii="Times New Roman" w:hAnsi="Times New Roman" w:cs="Times New Roman"/>
          <w:sz w:val="24"/>
        </w:rPr>
        <w:t xml:space="preserve">prostriedky </w:t>
      </w:r>
      <w:r w:rsidRPr="00816C2D">
        <w:rPr>
          <w:rFonts w:ascii="Times New Roman" w:hAnsi="Times New Roman" w:cs="Times New Roman"/>
          <w:sz w:val="24"/>
        </w:rPr>
        <w:t xml:space="preserve">boli použité na </w:t>
      </w:r>
      <w:r>
        <w:rPr>
          <w:rFonts w:ascii="Times New Roman" w:hAnsi="Times New Roman" w:cs="Times New Roman"/>
          <w:sz w:val="24"/>
          <w:szCs w:val="24"/>
        </w:rPr>
        <w:t>náhradu n</w:t>
      </w:r>
      <w:r>
        <w:rPr>
          <w:rFonts w:ascii="Times New Roman" w:hAnsi="Times New Roman" w:cs="Times New Roman"/>
          <w:sz w:val="24"/>
          <w:szCs w:val="24"/>
        </w:rPr>
        <w:t>ákladov hospodárskej mobilizácie</w:t>
      </w:r>
      <w:r w:rsidR="00D80BD1">
        <w:rPr>
          <w:rFonts w:ascii="Times New Roman" w:hAnsi="Times New Roman" w:cs="Times New Roman"/>
          <w:sz w:val="24"/>
        </w:rPr>
        <w:t xml:space="preserve">, v zmysle </w:t>
      </w:r>
      <w:r w:rsidR="000C453B">
        <w:rPr>
          <w:rFonts w:ascii="Times New Roman" w:hAnsi="Times New Roman" w:cs="Times New Roman"/>
          <w:sz w:val="24"/>
        </w:rPr>
        <w:t xml:space="preserve"> </w:t>
      </w:r>
      <w:r w:rsidRPr="00F97A4B" w:rsidR="00D80BD1">
        <w:rPr>
          <w:rFonts w:ascii="Times New Roman" w:hAnsi="Times New Roman" w:cs="Times New Roman"/>
          <w:sz w:val="24"/>
          <w:szCs w:val="24"/>
        </w:rPr>
        <w:t>vy</w:t>
      </w:r>
      <w:r w:rsidR="00D80BD1">
        <w:rPr>
          <w:rFonts w:ascii="Times New Roman" w:hAnsi="Times New Roman" w:cs="Times New Roman"/>
          <w:sz w:val="24"/>
          <w:szCs w:val="24"/>
        </w:rPr>
        <w:t>hlášky</w:t>
      </w:r>
      <w:r w:rsidRPr="00F97A4B" w:rsidR="00D80BD1">
        <w:rPr>
          <w:rFonts w:ascii="Times New Roman" w:hAnsi="Times New Roman" w:cs="Times New Roman"/>
          <w:sz w:val="24"/>
          <w:szCs w:val="24"/>
        </w:rPr>
        <w:t xml:space="preserve"> </w:t>
      </w:r>
      <w:r w:rsidR="00D80BD1">
        <w:rPr>
          <w:rFonts w:ascii="Times New Roman" w:hAnsi="Times New Roman" w:cs="Times New Roman"/>
          <w:sz w:val="24"/>
          <w:szCs w:val="24"/>
        </w:rPr>
        <w:t xml:space="preserve">MH SR č. 98/2003 Z.z., </w:t>
      </w:r>
      <w:r w:rsidRPr="00F97A4B" w:rsidR="00D80BD1">
        <w:rPr>
          <w:rFonts w:ascii="Times New Roman" w:hAnsi="Times New Roman" w:cs="Times New Roman"/>
          <w:sz w:val="24"/>
          <w:szCs w:val="24"/>
        </w:rPr>
        <w:t>ktorou sa ustanovujú podrobnosti o výdav</w:t>
      </w:r>
      <w:r w:rsidR="00A64F18">
        <w:rPr>
          <w:rFonts w:ascii="Times New Roman" w:hAnsi="Times New Roman" w:cs="Times New Roman"/>
          <w:sz w:val="24"/>
          <w:szCs w:val="24"/>
        </w:rPr>
        <w:t xml:space="preserve">koch na hospodársku mobilizáciu </w:t>
      </w:r>
      <w:r w:rsidRPr="00F97A4B" w:rsidR="00D80BD1">
        <w:rPr>
          <w:rFonts w:ascii="Times New Roman" w:hAnsi="Times New Roman" w:cs="Times New Roman"/>
          <w:sz w:val="24"/>
          <w:szCs w:val="24"/>
        </w:rPr>
        <w:t xml:space="preserve">z prostriedkov </w:t>
      </w:r>
      <w:r w:rsidR="007F1BC7">
        <w:rPr>
          <w:rFonts w:ascii="Times New Roman" w:hAnsi="Times New Roman" w:cs="Times New Roman"/>
          <w:sz w:val="24"/>
          <w:szCs w:val="24"/>
        </w:rPr>
        <w:t xml:space="preserve">štátneho </w:t>
      </w:r>
      <w:r w:rsidR="00D80BD1">
        <w:rPr>
          <w:rFonts w:ascii="Times New Roman" w:hAnsi="Times New Roman" w:cs="Times New Roman"/>
          <w:sz w:val="24"/>
          <w:szCs w:val="24"/>
        </w:rPr>
        <w:t xml:space="preserve">rozpočtu. Výdavky boli použité </w:t>
      </w:r>
      <w:r w:rsidRPr="00F97A4B" w:rsidR="00D80BD1">
        <w:rPr>
          <w:rFonts w:ascii="Times New Roman" w:hAnsi="Times New Roman" w:cs="Times New Roman"/>
          <w:sz w:val="24"/>
          <w:szCs w:val="24"/>
        </w:rPr>
        <w:t>najmä na refundácie miezd pracovníkov útvarov krízové</w:t>
      </w:r>
      <w:r w:rsidRPr="00F97A4B" w:rsidR="00D80BD1">
        <w:rPr>
          <w:rFonts w:ascii="Times New Roman" w:hAnsi="Times New Roman" w:cs="Times New Roman"/>
          <w:sz w:val="24"/>
          <w:szCs w:val="24"/>
        </w:rPr>
        <w:t>ho riadenia subjektov hospodárskej mobilizácie (98 % p</w:t>
      </w:r>
      <w:r w:rsidR="00A64F18">
        <w:rPr>
          <w:rFonts w:ascii="Times New Roman" w:hAnsi="Times New Roman" w:cs="Times New Roman"/>
          <w:sz w:val="24"/>
          <w:szCs w:val="24"/>
        </w:rPr>
        <w:t xml:space="preserve">rostriedkov), ich preškolenie, </w:t>
      </w:r>
      <w:r w:rsidRPr="00F97A4B" w:rsidR="00D80BD1">
        <w:rPr>
          <w:rFonts w:ascii="Times New Roman" w:hAnsi="Times New Roman" w:cs="Times New Roman"/>
          <w:sz w:val="24"/>
          <w:szCs w:val="24"/>
        </w:rPr>
        <w:t>s tým súvisiace cestovné výdavky</w:t>
      </w:r>
      <w:r w:rsidR="00D80BD1">
        <w:rPr>
          <w:rFonts w:ascii="Times New Roman" w:hAnsi="Times New Roman" w:cs="Times New Roman"/>
          <w:sz w:val="24"/>
          <w:szCs w:val="24"/>
        </w:rPr>
        <w:t xml:space="preserve"> a</w:t>
      </w:r>
      <w:r w:rsidRPr="00F97A4B" w:rsidR="00D80BD1">
        <w:rPr>
          <w:rFonts w:ascii="Times New Roman" w:hAnsi="Times New Roman" w:cs="Times New Roman"/>
          <w:sz w:val="24"/>
          <w:szCs w:val="24"/>
        </w:rPr>
        <w:t xml:space="preserve"> refundácie výdavkov na materiá</w:t>
      </w:r>
      <w:r w:rsidR="00D80BD1">
        <w:rPr>
          <w:rFonts w:ascii="Times New Roman" w:hAnsi="Times New Roman" w:cs="Times New Roman"/>
          <w:sz w:val="24"/>
          <w:szCs w:val="24"/>
        </w:rPr>
        <w:t xml:space="preserve">lové zabezpečenie ich činnosti. </w:t>
      </w:r>
      <w:r>
        <w:rPr>
          <w:rFonts w:ascii="Times New Roman" w:hAnsi="Times New Roman" w:cs="Times New Roman"/>
          <w:sz w:val="24"/>
        </w:rPr>
        <w:t>Ús</w:t>
      </w:r>
      <w:r w:rsidR="000C453B">
        <w:rPr>
          <w:rFonts w:ascii="Times New Roman" w:hAnsi="Times New Roman" w:cs="Times New Roman"/>
          <w:sz w:val="24"/>
        </w:rPr>
        <w:t xml:space="preserve">pora vo výške 170 502,05 Sk bola spôsobená </w:t>
      </w:r>
      <w:r w:rsidR="00F10019">
        <w:rPr>
          <w:rFonts w:ascii="Times New Roman" w:hAnsi="Times New Roman" w:cs="Times New Roman"/>
          <w:sz w:val="24"/>
        </w:rPr>
        <w:t xml:space="preserve">chorobnosťou a náhradami </w:t>
      </w:r>
      <w:r>
        <w:rPr>
          <w:rFonts w:ascii="Times New Roman" w:hAnsi="Times New Roman" w:cs="Times New Roman"/>
          <w:sz w:val="24"/>
        </w:rPr>
        <w:t>nákl</w:t>
      </w:r>
      <w:r>
        <w:rPr>
          <w:rFonts w:ascii="Times New Roman" w:hAnsi="Times New Roman" w:cs="Times New Roman"/>
          <w:sz w:val="24"/>
        </w:rPr>
        <w:t>a</w:t>
      </w:r>
      <w:r w:rsidR="00F10019">
        <w:rPr>
          <w:rFonts w:ascii="Times New Roman" w:hAnsi="Times New Roman" w:cs="Times New Roman"/>
          <w:sz w:val="24"/>
        </w:rPr>
        <w:t xml:space="preserve">dov </w:t>
      </w:r>
      <w:r>
        <w:rPr>
          <w:rFonts w:ascii="Times New Roman" w:hAnsi="Times New Roman" w:cs="Times New Roman"/>
          <w:sz w:val="24"/>
        </w:rPr>
        <w:t xml:space="preserve">v zmysle platných predpisov. </w:t>
      </w:r>
    </w:p>
    <w:p w:rsidR="00A64F18" w:rsidP="00C362EA">
      <w:pPr>
        <w:spacing w:line="240" w:lineRule="auto"/>
        <w:rPr>
          <w:rFonts w:ascii="Times New Roman" w:hAnsi="Times New Roman" w:cs="Times New Roman"/>
          <w:sz w:val="24"/>
        </w:rPr>
      </w:pPr>
    </w:p>
    <w:p w:rsidR="001E054F" w:rsidRPr="00A64F18" w:rsidP="00C362EA">
      <w:pPr>
        <w:spacing w:line="240" w:lineRule="auto"/>
        <w:rPr>
          <w:rFonts w:ascii="Times New Roman" w:hAnsi="Times New Roman" w:cs="Times New Roman"/>
          <w:sz w:val="24"/>
          <w:u w:val="single"/>
        </w:rPr>
      </w:pPr>
      <w:r w:rsidRPr="00A9617E" w:rsidR="005733E8">
        <w:rPr>
          <w:rFonts w:ascii="Times New Roman" w:hAnsi="Times New Roman" w:cs="Times New Roman"/>
          <w:sz w:val="24"/>
          <w:u w:val="single"/>
        </w:rPr>
        <w:t>04</w:t>
      </w:r>
      <w:r w:rsidR="00F10019">
        <w:rPr>
          <w:rFonts w:ascii="Times New Roman" w:hAnsi="Times New Roman" w:cs="Times New Roman"/>
          <w:sz w:val="24"/>
          <w:u w:val="single"/>
        </w:rPr>
        <w:t>.</w:t>
      </w:r>
      <w:r w:rsidRPr="00A9617E" w:rsidR="005733E8">
        <w:rPr>
          <w:rFonts w:ascii="Times New Roman" w:hAnsi="Times New Roman" w:cs="Times New Roman"/>
          <w:sz w:val="24"/>
          <w:u w:val="single"/>
        </w:rPr>
        <w:t>5</w:t>
      </w:r>
      <w:r w:rsidR="00F10019">
        <w:rPr>
          <w:rFonts w:ascii="Times New Roman" w:hAnsi="Times New Roman" w:cs="Times New Roman"/>
          <w:sz w:val="24"/>
          <w:u w:val="single"/>
        </w:rPr>
        <w:t>.</w:t>
      </w:r>
      <w:r w:rsidRPr="00A9617E" w:rsidR="005733E8">
        <w:rPr>
          <w:rFonts w:ascii="Times New Roman" w:hAnsi="Times New Roman" w:cs="Times New Roman"/>
          <w:sz w:val="24"/>
          <w:u w:val="single"/>
        </w:rPr>
        <w:t>1</w:t>
      </w:r>
      <w:r w:rsidR="00F10019">
        <w:rPr>
          <w:rFonts w:ascii="Times New Roman" w:hAnsi="Times New Roman" w:cs="Times New Roman"/>
          <w:sz w:val="24"/>
          <w:u w:val="single"/>
        </w:rPr>
        <w:t>.</w:t>
      </w:r>
      <w:r w:rsidRPr="00A9617E" w:rsidR="005733E8">
        <w:rPr>
          <w:rFonts w:ascii="Times New Roman" w:hAnsi="Times New Roman" w:cs="Times New Roman"/>
          <w:sz w:val="24"/>
          <w:u w:val="single"/>
        </w:rPr>
        <w:t>5 – Ústav cestnej dopravy</w:t>
      </w:r>
      <w:r w:rsidR="007F1BC7">
        <w:rPr>
          <w:rFonts w:ascii="Times New Roman" w:hAnsi="Times New Roman" w:cs="Times New Roman"/>
          <w:sz w:val="24"/>
          <w:u w:val="single"/>
        </w:rPr>
        <w:t xml:space="preserve"> (pozri </w:t>
      </w:r>
      <w:r w:rsidR="00545A3C">
        <w:rPr>
          <w:rFonts w:ascii="Times New Roman" w:hAnsi="Times New Roman" w:cs="Times New Roman"/>
          <w:sz w:val="24"/>
          <w:u w:val="single"/>
        </w:rPr>
        <w:t xml:space="preserve">časť </w:t>
      </w:r>
      <w:r w:rsidR="001368CE">
        <w:rPr>
          <w:rFonts w:ascii="Times New Roman" w:hAnsi="Times New Roman" w:cs="Times New Roman"/>
          <w:sz w:val="24"/>
          <w:u w:val="single"/>
        </w:rPr>
        <w:t>1.10. Príspevkové or</w:t>
      </w:r>
      <w:r w:rsidR="007F1BC7">
        <w:rPr>
          <w:rFonts w:ascii="Times New Roman" w:hAnsi="Times New Roman" w:cs="Times New Roman"/>
          <w:sz w:val="24"/>
          <w:u w:val="single"/>
        </w:rPr>
        <w:t xml:space="preserve">ganizácie </w:t>
      </w:r>
      <w:r w:rsidR="00430AA5">
        <w:rPr>
          <w:rFonts w:ascii="Times New Roman" w:hAnsi="Times New Roman" w:cs="Times New Roman"/>
          <w:sz w:val="24"/>
          <w:u w:val="single"/>
        </w:rPr>
        <w:t xml:space="preserve">v pôsobnosti </w:t>
      </w:r>
      <w:r w:rsidR="001368CE">
        <w:rPr>
          <w:rFonts w:ascii="Times New Roman" w:hAnsi="Times New Roman" w:cs="Times New Roman"/>
          <w:sz w:val="24"/>
          <w:u w:val="single"/>
        </w:rPr>
        <w:t>MDPT SR)</w:t>
      </w:r>
    </w:p>
    <w:p w:rsidR="00E95FB9" w:rsidP="00C362EA">
      <w:pPr>
        <w:spacing w:line="240" w:lineRule="auto"/>
        <w:rPr>
          <w:rFonts w:ascii="Times New Roman" w:hAnsi="Times New Roman" w:cs="Times New Roman"/>
          <w:sz w:val="24"/>
          <w:szCs w:val="24"/>
          <w:u w:val="single"/>
        </w:rPr>
      </w:pPr>
    </w:p>
    <w:p w:rsidR="00430AA5" w:rsidP="00C362EA">
      <w:pPr>
        <w:spacing w:line="240" w:lineRule="auto"/>
        <w:rPr>
          <w:rFonts w:ascii="Times New Roman" w:hAnsi="Times New Roman" w:cs="Times New Roman"/>
          <w:sz w:val="24"/>
          <w:szCs w:val="24"/>
          <w:u w:val="single"/>
        </w:rPr>
      </w:pPr>
      <w:r w:rsidRPr="004C577F" w:rsidR="005733E8">
        <w:rPr>
          <w:rFonts w:ascii="Times New Roman" w:hAnsi="Times New Roman" w:cs="Times New Roman"/>
          <w:sz w:val="24"/>
          <w:szCs w:val="24"/>
          <w:u w:val="single"/>
        </w:rPr>
        <w:t>04</w:t>
      </w:r>
      <w:r w:rsidR="002D7F2E">
        <w:rPr>
          <w:rFonts w:ascii="Times New Roman" w:hAnsi="Times New Roman" w:cs="Times New Roman"/>
          <w:sz w:val="24"/>
          <w:szCs w:val="24"/>
          <w:u w:val="single"/>
        </w:rPr>
        <w:t>.</w:t>
      </w:r>
      <w:r w:rsidRPr="004C577F" w:rsidR="005733E8">
        <w:rPr>
          <w:rFonts w:ascii="Times New Roman" w:hAnsi="Times New Roman" w:cs="Times New Roman"/>
          <w:sz w:val="24"/>
          <w:szCs w:val="24"/>
          <w:u w:val="single"/>
        </w:rPr>
        <w:t>8</w:t>
      </w:r>
      <w:r w:rsidR="002D7F2E">
        <w:rPr>
          <w:rFonts w:ascii="Times New Roman" w:hAnsi="Times New Roman" w:cs="Times New Roman"/>
          <w:sz w:val="24"/>
          <w:szCs w:val="24"/>
          <w:u w:val="single"/>
        </w:rPr>
        <w:t xml:space="preserve">.6 </w:t>
      </w:r>
      <w:r w:rsidRPr="004C577F" w:rsidR="005733E8">
        <w:rPr>
          <w:rFonts w:ascii="Times New Roman" w:hAnsi="Times New Roman" w:cs="Times New Roman"/>
          <w:sz w:val="24"/>
          <w:szCs w:val="24"/>
          <w:u w:val="single"/>
        </w:rPr>
        <w:t>– Výskum a vývoj v oblasti komunikácií</w:t>
      </w:r>
    </w:p>
    <w:p w:rsidR="006337E7" w:rsidP="00C362EA">
      <w:pPr>
        <w:spacing w:line="240" w:lineRule="auto"/>
        <w:rPr>
          <w:rFonts w:ascii="Times New Roman" w:hAnsi="Times New Roman" w:cs="Times New Roman"/>
          <w:sz w:val="24"/>
          <w:szCs w:val="24"/>
          <w:u w:val="single"/>
        </w:rPr>
      </w:pPr>
    </w:p>
    <w:p w:rsidR="006F5B00" w:rsidRPr="001E054F" w:rsidP="001E054F">
      <w:pPr>
        <w:spacing w:line="240" w:lineRule="auto"/>
        <w:ind w:firstLine="709"/>
        <w:rPr>
          <w:rFonts w:ascii="Times New Roman" w:hAnsi="Times New Roman" w:cs="Times New Roman"/>
          <w:sz w:val="24"/>
          <w:szCs w:val="24"/>
        </w:rPr>
      </w:pPr>
      <w:r w:rsidRPr="00E230F3" w:rsidR="00E230F3">
        <w:rPr>
          <w:rFonts w:ascii="Times New Roman" w:hAnsi="Times New Roman" w:cs="Times New Roman"/>
          <w:sz w:val="24"/>
          <w:szCs w:val="24"/>
        </w:rPr>
        <w:t xml:space="preserve">V súlade so zákonom o štátnom </w:t>
      </w:r>
      <w:r w:rsidR="005E2F1C">
        <w:rPr>
          <w:rFonts w:ascii="Times New Roman" w:hAnsi="Times New Roman" w:cs="Times New Roman"/>
          <w:sz w:val="24"/>
          <w:szCs w:val="24"/>
        </w:rPr>
        <w:t>rozpočte na rok 2007</w:t>
      </w:r>
      <w:r w:rsidR="00E230F3">
        <w:rPr>
          <w:rFonts w:ascii="Times New Roman" w:hAnsi="Times New Roman" w:cs="Times New Roman"/>
          <w:sz w:val="24"/>
          <w:szCs w:val="24"/>
        </w:rPr>
        <w:t xml:space="preserve"> poskytlo MDPT SR </w:t>
      </w:r>
      <w:r w:rsidRPr="00E230F3" w:rsidR="00E230F3">
        <w:rPr>
          <w:rFonts w:ascii="Times New Roman" w:hAnsi="Times New Roman" w:cs="Times New Roman"/>
          <w:sz w:val="24"/>
          <w:szCs w:val="24"/>
        </w:rPr>
        <w:t>dotácie</w:t>
      </w:r>
      <w:r w:rsidRPr="00E230F3" w:rsidR="00E230F3">
        <w:rPr>
          <w:rFonts w:ascii="Times New Roman" w:hAnsi="Times New Roman" w:cs="Times New Roman"/>
          <w:sz w:val="24"/>
          <w:szCs w:val="24"/>
        </w:rPr>
        <w:t xml:space="preserve"> na riešenie projektov výskumu a vývoja v oblasti elektronických </w:t>
      </w:r>
      <w:r w:rsidR="005E2F1C">
        <w:rPr>
          <w:rFonts w:ascii="Times New Roman" w:hAnsi="Times New Roman" w:cs="Times New Roman"/>
          <w:sz w:val="24"/>
          <w:szCs w:val="24"/>
        </w:rPr>
        <w:t xml:space="preserve">komunikácií a poštových služieb </w:t>
      </w:r>
      <w:r w:rsidRPr="00E230F3" w:rsidR="00E230F3">
        <w:rPr>
          <w:rFonts w:ascii="Times New Roman" w:hAnsi="Times New Roman" w:cs="Times New Roman"/>
          <w:sz w:val="24"/>
          <w:szCs w:val="24"/>
        </w:rPr>
        <w:t>v c</w:t>
      </w:r>
      <w:r w:rsidR="005E2F1C">
        <w:rPr>
          <w:rFonts w:ascii="Times New Roman" w:hAnsi="Times New Roman" w:cs="Times New Roman"/>
          <w:sz w:val="24"/>
          <w:szCs w:val="24"/>
        </w:rPr>
        <w:t xml:space="preserve">elkovej výške 14 746 920,- </w:t>
      </w:r>
      <w:r w:rsidRPr="00E230F3" w:rsidR="00E230F3">
        <w:rPr>
          <w:rFonts w:ascii="Times New Roman" w:hAnsi="Times New Roman" w:cs="Times New Roman"/>
          <w:sz w:val="24"/>
          <w:szCs w:val="24"/>
        </w:rPr>
        <w:t>Sk.</w:t>
      </w:r>
      <w:r w:rsidR="00E230F3">
        <w:rPr>
          <w:rFonts w:ascii="Times New Roman" w:hAnsi="Times New Roman" w:cs="Times New Roman"/>
          <w:sz w:val="24"/>
          <w:szCs w:val="24"/>
        </w:rPr>
        <w:t xml:space="preserve"> </w:t>
      </w:r>
      <w:r w:rsidRPr="00E230F3" w:rsidR="00E230F3">
        <w:rPr>
          <w:rFonts w:ascii="Times New Roman" w:hAnsi="Times New Roman" w:cs="Times New Roman"/>
          <w:sz w:val="24"/>
          <w:szCs w:val="24"/>
        </w:rPr>
        <w:t>Dotácie boli poskytnuté v súlade so zákonom č. 523/2004 Z. z. o </w:t>
      </w:r>
      <w:r w:rsidR="00E230F3">
        <w:rPr>
          <w:rFonts w:ascii="Times New Roman" w:hAnsi="Times New Roman" w:cs="Times New Roman"/>
          <w:sz w:val="24"/>
          <w:szCs w:val="24"/>
        </w:rPr>
        <w:t xml:space="preserve"> </w:t>
      </w:r>
      <w:r w:rsidRPr="00E230F3" w:rsidR="00E230F3">
        <w:rPr>
          <w:rFonts w:ascii="Times New Roman" w:hAnsi="Times New Roman" w:cs="Times New Roman"/>
          <w:sz w:val="24"/>
          <w:szCs w:val="24"/>
        </w:rPr>
        <w:t>rozpočtových pravidlách verejnej správy</w:t>
      </w:r>
      <w:r w:rsidR="001E054F">
        <w:rPr>
          <w:rFonts w:ascii="Times New Roman" w:hAnsi="Times New Roman" w:cs="Times New Roman"/>
          <w:sz w:val="24"/>
          <w:szCs w:val="24"/>
        </w:rPr>
        <w:t xml:space="preserve"> </w:t>
      </w:r>
      <w:r w:rsidR="001E054F">
        <w:rPr>
          <w:rFonts w:ascii="Times New Roman" w:hAnsi="Times New Roman" w:cs="Times New Roman"/>
          <w:spacing w:val="-2"/>
          <w:sz w:val="24"/>
          <w:szCs w:val="24"/>
        </w:rPr>
        <w:t xml:space="preserve">a </w:t>
      </w:r>
      <w:r w:rsidR="00E230F3">
        <w:rPr>
          <w:rFonts w:ascii="Times New Roman" w:hAnsi="Times New Roman" w:cs="Times New Roman"/>
          <w:spacing w:val="-2"/>
          <w:sz w:val="24"/>
          <w:szCs w:val="24"/>
        </w:rPr>
        <w:t>Výnosom M</w:t>
      </w:r>
      <w:bookmarkStart w:id="0" w:name="_Toc88172382"/>
      <w:r w:rsidR="00E230F3">
        <w:rPr>
          <w:rFonts w:ascii="Times New Roman" w:hAnsi="Times New Roman" w:cs="Times New Roman"/>
          <w:spacing w:val="-2"/>
          <w:sz w:val="24"/>
          <w:szCs w:val="24"/>
        </w:rPr>
        <w:t xml:space="preserve">DPT SR </w:t>
      </w:r>
      <w:r w:rsidRPr="00E230F3" w:rsidR="00E230F3">
        <w:rPr>
          <w:rFonts w:ascii="Times New Roman" w:hAnsi="Times New Roman" w:cs="Times New Roman"/>
          <w:spacing w:val="-2"/>
          <w:sz w:val="24"/>
          <w:szCs w:val="24"/>
        </w:rPr>
        <w:t>č.</w:t>
      </w:r>
      <w:r w:rsidRPr="00E230F3" w:rsidR="00E230F3">
        <w:rPr>
          <w:rFonts w:ascii="Times New Roman" w:hAnsi="Times New Roman" w:cs="Times New Roman"/>
          <w:spacing w:val="-2"/>
          <w:sz w:val="24"/>
          <w:szCs w:val="24"/>
        </w:rPr>
        <w:t> 1300/M-2005</w:t>
      </w:r>
      <w:bookmarkEnd w:id="0"/>
      <w:r w:rsidRPr="00E230F3" w:rsidR="00E230F3">
        <w:rPr>
          <w:rFonts w:ascii="Times New Roman" w:hAnsi="Times New Roman" w:cs="Times New Roman"/>
          <w:sz w:val="24"/>
          <w:szCs w:val="24"/>
        </w:rPr>
        <w:t xml:space="preserve"> o poskytovaní dotácií na výskum a vývoj v oblasti elektronických komunikácií a poštových služieb na riešenie týchto projektov:</w:t>
      </w:r>
    </w:p>
    <w:p w:rsidR="00641574" w:rsidP="002471AB">
      <w:pPr>
        <w:spacing w:line="240" w:lineRule="auto"/>
        <w:rPr>
          <w:rFonts w:ascii="Times New Roman" w:hAnsi="Times New Roman" w:cs="Times New Roman"/>
        </w:rPr>
      </w:pPr>
    </w:p>
    <w:tbl>
      <w:tblPr>
        <w:tblW w:w="9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28" w:type="dxa"/>
          <w:bottom w:w="0" w:type="dxa"/>
          <w:right w:w="28" w:type="dxa"/>
        </w:tblCellMar>
      </w:tblPr>
      <w:tblGrid>
        <w:gridCol w:w="1418"/>
        <w:gridCol w:w="6620"/>
        <w:gridCol w:w="1276"/>
      </w:tblGrid>
      <w:tr>
        <w:tblPrEx>
          <w:tblW w:w="9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28" w:type="dxa"/>
            <w:bottom w:w="0" w:type="dxa"/>
            <w:right w:w="28" w:type="dxa"/>
          </w:tblCellMar>
        </w:tblPrEx>
        <w:trPr>
          <w:cantSplit/>
          <w:trHeight w:hRule="auto" w:val="0"/>
          <w:tblHeader/>
          <w:jc w:val="center"/>
        </w:trPr>
        <w:tc>
          <w:tcPr>
            <w:tcW w:w="1418" w:type="dxa"/>
            <w:tcBorders>
              <w:top w:val="single" w:sz="4" w:space="0" w:color="auto"/>
              <w:left w:val="single" w:sz="4" w:space="0" w:color="auto"/>
              <w:bottom w:val="double" w:sz="4" w:space="0" w:color="auto"/>
              <w:right w:val="single" w:sz="4" w:space="0" w:color="auto"/>
              <w:tl2br w:val="nil"/>
              <w:tr2bl w:val="nil"/>
            </w:tcBorders>
            <w:shd w:val="clear" w:color="auto" w:fill="C0C0C0"/>
            <w:textDirection w:val="lrTb"/>
            <w:vAlign w:val="center"/>
          </w:tcPr>
          <w:p w:rsidR="002471AB" w:rsidRPr="00E230F3" w:rsidP="00634079">
            <w:pPr>
              <w:spacing w:line="240" w:lineRule="auto"/>
              <w:jc w:val="center"/>
              <w:rPr>
                <w:rFonts w:ascii="Arial Narrow" w:hAnsi="Arial Narrow" w:cs="Times New Roman"/>
                <w:b/>
              </w:rPr>
            </w:pPr>
            <w:r w:rsidRPr="00E230F3">
              <w:rPr>
                <w:rFonts w:ascii="Arial Narrow" w:hAnsi="Arial Narrow" w:cs="Times New Roman"/>
                <w:b/>
              </w:rPr>
              <w:t>Zmluva</w:t>
              <w:br/>
            </w:r>
            <w:r w:rsidRPr="00E230F3">
              <w:rPr>
                <w:rFonts w:ascii="Arial Narrow" w:hAnsi="Arial Narrow" w:cs="Times New Roman"/>
              </w:rPr>
              <w:t>(evid. č. MDPT SR)</w:t>
            </w:r>
          </w:p>
        </w:tc>
        <w:tc>
          <w:tcPr>
            <w:tcW w:w="6620" w:type="dxa"/>
            <w:tcBorders>
              <w:top w:val="single" w:sz="4" w:space="0" w:color="auto"/>
              <w:left w:val="single" w:sz="4" w:space="0" w:color="auto"/>
              <w:bottom w:val="double" w:sz="4" w:space="0" w:color="auto"/>
              <w:right w:val="single" w:sz="4" w:space="0" w:color="auto"/>
              <w:tl2br w:val="nil"/>
              <w:tr2bl w:val="nil"/>
            </w:tcBorders>
            <w:shd w:val="clear" w:color="auto" w:fill="C0C0C0"/>
            <w:textDirection w:val="lrTb"/>
            <w:vAlign w:val="center"/>
          </w:tcPr>
          <w:p w:rsidR="002471AB" w:rsidRPr="00E230F3" w:rsidP="00634079">
            <w:pPr>
              <w:spacing w:line="240" w:lineRule="auto"/>
              <w:jc w:val="center"/>
              <w:rPr>
                <w:rFonts w:ascii="Arial Narrow" w:hAnsi="Arial Narrow" w:cs="Times New Roman"/>
                <w:b/>
                <w:sz w:val="24"/>
                <w:szCs w:val="24"/>
              </w:rPr>
            </w:pPr>
            <w:r w:rsidRPr="00E230F3">
              <w:rPr>
                <w:rFonts w:ascii="Arial Narrow" w:hAnsi="Arial Narrow" w:cs="Times New Roman"/>
                <w:b/>
                <w:sz w:val="24"/>
                <w:szCs w:val="24"/>
              </w:rPr>
              <w:t>Názov projektu</w:t>
            </w:r>
          </w:p>
        </w:tc>
        <w:tc>
          <w:tcPr>
            <w:tcW w:w="1276" w:type="dxa"/>
            <w:tcBorders>
              <w:top w:val="single" w:sz="4" w:space="0" w:color="auto"/>
              <w:left w:val="single" w:sz="4" w:space="0" w:color="auto"/>
              <w:bottom w:val="double" w:sz="4" w:space="0" w:color="auto"/>
              <w:right w:val="single" w:sz="4" w:space="0" w:color="auto"/>
              <w:tl2br w:val="nil"/>
              <w:tr2bl w:val="nil"/>
            </w:tcBorders>
            <w:shd w:val="clear" w:color="auto" w:fill="C0C0C0"/>
            <w:textDirection w:val="lrTb"/>
            <w:vAlign w:val="center"/>
          </w:tcPr>
          <w:p w:rsidR="002471AB" w:rsidRPr="00E230F3" w:rsidP="00634079">
            <w:pPr>
              <w:spacing w:line="240" w:lineRule="auto"/>
              <w:jc w:val="center"/>
              <w:rPr>
                <w:rFonts w:ascii="Arial Narrow" w:hAnsi="Arial Narrow" w:cs="Times New Roman"/>
                <w:b/>
              </w:rPr>
            </w:pPr>
            <w:r w:rsidRPr="00E230F3">
              <w:rPr>
                <w:rFonts w:ascii="Arial Narrow" w:hAnsi="Arial Narrow" w:cs="Times New Roman"/>
                <w:b/>
              </w:rPr>
              <w:t>Výška poskytnutej dotácie [tis. Sk]</w:t>
            </w:r>
          </w:p>
        </w:tc>
      </w:tr>
      <w:tr>
        <w:tblPrEx>
          <w:tblW w:w="9314" w:type="dxa"/>
          <w:jc w:val="center"/>
          <w:tblLayout w:type="fixed"/>
          <w:tblCellMar>
            <w:top w:w="0" w:type="dxa"/>
            <w:left w:w="28" w:type="dxa"/>
            <w:bottom w:w="0" w:type="dxa"/>
            <w:right w:w="28" w:type="dxa"/>
          </w:tblCellMar>
        </w:tblPrEx>
        <w:trPr>
          <w:cantSplit/>
          <w:trHeight w:val="275"/>
          <w:jc w:val="center"/>
        </w:trPr>
        <w:tc>
          <w:tcPr>
            <w:tcW w:w="1418" w:type="dxa"/>
            <w:tcBorders>
              <w:top w:val="double" w:sz="4" w:space="0" w:color="auto"/>
              <w:left w:val="single" w:sz="4" w:space="0" w:color="auto"/>
              <w:bottom w:val="single" w:sz="4" w:space="0" w:color="auto"/>
              <w:right w:val="single" w:sz="4" w:space="0" w:color="auto"/>
              <w:tl2br w:val="nil"/>
              <w:tr2bl w:val="nil"/>
            </w:tcBorders>
            <w:textDirection w:val="lrTb"/>
            <w:vAlign w:val="top"/>
          </w:tcPr>
          <w:p w:rsidR="002471AB" w:rsidP="00634079">
            <w:pPr>
              <w:spacing w:line="240" w:lineRule="auto"/>
              <w:jc w:val="center"/>
              <w:rPr>
                <w:rFonts w:ascii="Arial Narrow" w:hAnsi="Arial Narrow" w:cs="Times New Roman"/>
              </w:rPr>
            </w:pPr>
          </w:p>
        </w:tc>
        <w:tc>
          <w:tcPr>
            <w:tcW w:w="6620" w:type="dxa"/>
            <w:tcBorders>
              <w:top w:val="double" w:sz="4" w:space="0" w:color="auto"/>
              <w:left w:val="single" w:sz="4" w:space="0" w:color="auto"/>
              <w:bottom w:val="single" w:sz="4" w:space="0" w:color="auto"/>
              <w:right w:val="single" w:sz="4" w:space="0" w:color="auto"/>
              <w:tl2br w:val="nil"/>
              <w:tr2bl w:val="nil"/>
            </w:tcBorders>
            <w:textDirection w:val="lrTb"/>
            <w:vAlign w:val="center"/>
          </w:tcPr>
          <w:p w:rsidR="002471AB" w:rsidRPr="00004A6B" w:rsidP="0063407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240" w:lineRule="auto"/>
              <w:ind w:left="57" w:right="57"/>
              <w:rPr>
                <w:rFonts w:ascii="Arial Narrow" w:hAnsi="Arial Narrow" w:cs="Times New Roman"/>
                <w:b/>
                <w:lang w:eastAsia="cs-CZ"/>
              </w:rPr>
            </w:pPr>
            <w:r>
              <w:rPr>
                <w:rFonts w:ascii="Arial Narrow" w:hAnsi="Arial Narrow" w:cs="Times New Roman"/>
                <w:b/>
                <w:lang w:eastAsia="cs-CZ"/>
              </w:rPr>
              <w:t xml:space="preserve">Výskumný ústav spojov, n. o. Banská </w:t>
            </w:r>
            <w:r>
              <w:rPr>
                <w:rFonts w:ascii="Arial Narrow" w:hAnsi="Arial Narrow" w:cs="Times New Roman"/>
                <w:b/>
                <w:lang w:eastAsia="cs-CZ"/>
              </w:rPr>
              <w:t xml:space="preserve">Bystrica </w:t>
            </w:r>
          </w:p>
        </w:tc>
        <w:tc>
          <w:tcPr>
            <w:tcW w:w="1276" w:type="dxa"/>
            <w:tcBorders>
              <w:top w:val="double" w:sz="4" w:space="0" w:color="auto"/>
              <w:left w:val="single" w:sz="4" w:space="0" w:color="auto"/>
              <w:bottom w:val="single" w:sz="4" w:space="0" w:color="auto"/>
              <w:right w:val="single" w:sz="4" w:space="0" w:color="auto"/>
              <w:tl2br w:val="nil"/>
              <w:tr2bl w:val="nil"/>
            </w:tcBorders>
            <w:textDirection w:val="lrTb"/>
            <w:vAlign w:val="center"/>
          </w:tcPr>
          <w:p w:rsidR="002471AB" w:rsidP="0063407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240" w:lineRule="auto"/>
              <w:ind w:left="73"/>
              <w:jc w:val="center"/>
              <w:rPr>
                <w:rFonts w:ascii="Arial Narrow" w:hAnsi="Arial Narrow" w:cs="Times New Roman"/>
              </w:rPr>
            </w:pPr>
          </w:p>
        </w:tc>
      </w:tr>
      <w:tr>
        <w:tblPrEx>
          <w:tblW w:w="9314" w:type="dxa"/>
          <w:jc w:val="center"/>
          <w:tblLayout w:type="fixed"/>
          <w:tblCellMar>
            <w:top w:w="0" w:type="dxa"/>
            <w:left w:w="28" w:type="dxa"/>
            <w:bottom w:w="0" w:type="dxa"/>
            <w:right w:w="28" w:type="dxa"/>
          </w:tblCellMar>
        </w:tblPrEx>
        <w:trPr>
          <w:cantSplit/>
          <w:trHeight w:val="275"/>
          <w:jc w:val="center"/>
        </w:trPr>
        <w:tc>
          <w:tcPr>
            <w:tcW w:w="1418" w:type="dxa"/>
            <w:tcBorders>
              <w:top w:val="single" w:sz="4" w:space="0" w:color="auto"/>
              <w:left w:val="single" w:sz="4" w:space="0" w:color="auto"/>
              <w:bottom w:val="nil"/>
              <w:right w:val="single" w:sz="4" w:space="0" w:color="auto"/>
              <w:tl2br w:val="nil"/>
              <w:tr2bl w:val="nil"/>
            </w:tcBorders>
            <w:textDirection w:val="lrTb"/>
            <w:vAlign w:val="top"/>
          </w:tcPr>
          <w:p w:rsidR="002471AB" w:rsidP="00634079">
            <w:pPr>
              <w:spacing w:line="240" w:lineRule="auto"/>
              <w:jc w:val="center"/>
              <w:rPr>
                <w:rFonts w:ascii="Arial Narrow" w:hAnsi="Arial Narrow" w:cs="Times New Roman"/>
              </w:rPr>
            </w:pPr>
            <w:r>
              <w:rPr>
                <w:rFonts w:ascii="Arial Narrow" w:hAnsi="Arial Narrow" w:cs="Times New Roman"/>
              </w:rPr>
              <w:t>62/260/2007</w:t>
            </w:r>
          </w:p>
        </w:tc>
        <w:tc>
          <w:tcPr>
            <w:tcW w:w="6620" w:type="dxa"/>
            <w:tcBorders>
              <w:top w:val="single" w:sz="4" w:space="0" w:color="auto"/>
              <w:left w:val="single" w:sz="4" w:space="0" w:color="auto"/>
              <w:bottom w:val="nil"/>
              <w:right w:val="single" w:sz="4" w:space="0" w:color="auto"/>
              <w:tl2br w:val="nil"/>
              <w:tr2bl w:val="nil"/>
            </w:tcBorders>
            <w:textDirection w:val="lrTb"/>
            <w:vAlign w:val="center"/>
          </w:tcPr>
          <w:p w:rsidR="002471AB" w:rsidP="002471AB">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240" w:lineRule="auto"/>
              <w:ind w:right="57"/>
              <w:rPr>
                <w:rFonts w:ascii="Arial Narrow" w:hAnsi="Arial Narrow" w:cs="Times New Roman"/>
                <w:lang w:eastAsia="cs-CZ"/>
              </w:rPr>
            </w:pPr>
            <w:r>
              <w:rPr>
                <w:rFonts w:ascii="Arial Narrow" w:hAnsi="Arial Narrow" w:cs="Times New Roman"/>
                <w:lang w:eastAsia="cs-CZ"/>
              </w:rPr>
              <w:t xml:space="preserve"> Revízia nového regulačného rámca EÚ v kontexte hodnotenia skúsenosti s liberalizáciou</w:t>
            </w:r>
          </w:p>
          <w:p w:rsidR="002471AB" w:rsidP="0063407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240" w:lineRule="auto"/>
              <w:ind w:left="57" w:right="57"/>
              <w:rPr>
                <w:rFonts w:ascii="Arial Narrow" w:hAnsi="Arial Narrow" w:cs="Times New Roman"/>
                <w:lang w:eastAsia="cs-CZ"/>
              </w:rPr>
            </w:pPr>
            <w:r>
              <w:rPr>
                <w:rFonts w:ascii="Arial Narrow" w:hAnsi="Arial Narrow" w:cs="Times New Roman"/>
                <w:lang w:eastAsia="cs-CZ"/>
              </w:rPr>
              <w:t>trhu elektronických komunikácií na Slovensku</w:t>
            </w:r>
          </w:p>
        </w:tc>
        <w:tc>
          <w:tcPr>
            <w:tcW w:w="1276" w:type="dxa"/>
            <w:tcBorders>
              <w:top w:val="single" w:sz="4" w:space="0" w:color="auto"/>
              <w:left w:val="single" w:sz="4" w:space="0" w:color="auto"/>
              <w:bottom w:val="nil"/>
              <w:right w:val="single" w:sz="4" w:space="0" w:color="auto"/>
              <w:tl2br w:val="nil"/>
              <w:tr2bl w:val="nil"/>
            </w:tcBorders>
            <w:textDirection w:val="lrTb"/>
            <w:vAlign w:val="center"/>
          </w:tcPr>
          <w:p w:rsidR="002471AB" w:rsidP="0063407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240" w:lineRule="auto"/>
              <w:ind w:left="73"/>
              <w:jc w:val="center"/>
              <w:rPr>
                <w:rFonts w:ascii="Arial Narrow" w:hAnsi="Arial Narrow" w:cs="Times New Roman"/>
              </w:rPr>
            </w:pPr>
            <w:r>
              <w:rPr>
                <w:rFonts w:ascii="Arial Narrow" w:hAnsi="Arial Narrow" w:cs="Times New Roman"/>
              </w:rPr>
              <w:t xml:space="preserve">    720 000</w:t>
            </w:r>
          </w:p>
        </w:tc>
      </w:tr>
      <w:tr>
        <w:tblPrEx>
          <w:tblW w:w="9314" w:type="dxa"/>
          <w:jc w:val="center"/>
          <w:tblLayout w:type="fixed"/>
          <w:tblCellMar>
            <w:top w:w="0" w:type="dxa"/>
            <w:left w:w="28" w:type="dxa"/>
            <w:bottom w:w="0" w:type="dxa"/>
            <w:right w:w="28" w:type="dxa"/>
          </w:tblCellMar>
        </w:tblPrEx>
        <w:trPr>
          <w:cantSplit/>
          <w:trHeight w:val="275"/>
          <w:jc w:val="center"/>
        </w:trPr>
        <w:tc>
          <w:tcPr>
            <w:tcW w:w="1418" w:type="dxa"/>
            <w:tcBorders>
              <w:top w:val="single" w:sz="4" w:space="0" w:color="auto"/>
              <w:left w:val="single" w:sz="4" w:space="0" w:color="auto"/>
              <w:bottom w:val="nil"/>
              <w:right w:val="single" w:sz="4" w:space="0" w:color="auto"/>
              <w:tl2br w:val="nil"/>
              <w:tr2bl w:val="nil"/>
            </w:tcBorders>
            <w:textDirection w:val="lrTb"/>
            <w:vAlign w:val="top"/>
          </w:tcPr>
          <w:p w:rsidR="002471AB" w:rsidP="00634079">
            <w:pPr>
              <w:spacing w:line="240" w:lineRule="auto"/>
              <w:jc w:val="center"/>
              <w:rPr>
                <w:rFonts w:ascii="Arial Narrow" w:hAnsi="Arial Narrow" w:cs="Times New Roman"/>
              </w:rPr>
            </w:pPr>
            <w:r>
              <w:rPr>
                <w:rFonts w:ascii="Arial Narrow" w:hAnsi="Arial Narrow" w:cs="Times New Roman"/>
              </w:rPr>
              <w:t>63/260/2007</w:t>
            </w:r>
          </w:p>
        </w:tc>
        <w:tc>
          <w:tcPr>
            <w:tcW w:w="6620" w:type="dxa"/>
            <w:tcBorders>
              <w:top w:val="single" w:sz="4" w:space="0" w:color="auto"/>
              <w:left w:val="single" w:sz="4" w:space="0" w:color="auto"/>
              <w:bottom w:val="nil"/>
              <w:right w:val="single" w:sz="4" w:space="0" w:color="auto"/>
              <w:tl2br w:val="nil"/>
              <w:tr2bl w:val="nil"/>
            </w:tcBorders>
            <w:textDirection w:val="lrTb"/>
            <w:vAlign w:val="center"/>
          </w:tcPr>
          <w:p w:rsidR="002471AB" w:rsidP="00634079">
            <w:pPr>
              <w:spacing w:line="240" w:lineRule="auto"/>
              <w:ind w:left="57" w:right="57"/>
              <w:rPr>
                <w:rFonts w:ascii="Arial Narrow" w:hAnsi="Arial Narrow" w:cs="Times New Roman"/>
              </w:rPr>
            </w:pPr>
            <w:r>
              <w:rPr>
                <w:rFonts w:ascii="Arial Narrow" w:hAnsi="Arial Narrow" w:cs="Times New Roman"/>
              </w:rPr>
              <w:t>Návrh koncepcie, zamerania a podpora informačnej kampane prechodu na pozems</w:t>
            </w:r>
            <w:r>
              <w:rPr>
                <w:rFonts w:ascii="Arial Narrow" w:hAnsi="Arial Narrow" w:cs="Times New Roman"/>
              </w:rPr>
              <w:t xml:space="preserve">ké digitálne vysielanie </w:t>
            </w:r>
          </w:p>
        </w:tc>
        <w:tc>
          <w:tcPr>
            <w:tcW w:w="1276" w:type="dxa"/>
            <w:tcBorders>
              <w:top w:val="single" w:sz="4" w:space="0" w:color="auto"/>
              <w:left w:val="single" w:sz="4" w:space="0" w:color="auto"/>
              <w:bottom w:val="nil"/>
              <w:right w:val="single" w:sz="4" w:space="0" w:color="auto"/>
              <w:tl2br w:val="nil"/>
              <w:tr2bl w:val="nil"/>
            </w:tcBorders>
            <w:textDirection w:val="lrTb"/>
            <w:vAlign w:val="center"/>
          </w:tcPr>
          <w:p w:rsidR="002471AB" w:rsidP="0063407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240" w:lineRule="auto"/>
              <w:ind w:left="73"/>
              <w:jc w:val="center"/>
              <w:rPr>
                <w:rFonts w:ascii="Arial Narrow" w:hAnsi="Arial Narrow" w:cs="Times New Roman"/>
              </w:rPr>
            </w:pPr>
            <w:r>
              <w:rPr>
                <w:rFonts w:ascii="Arial Narrow" w:hAnsi="Arial Narrow" w:cs="Times New Roman"/>
              </w:rPr>
              <w:t xml:space="preserve">  1 000 000</w:t>
            </w:r>
          </w:p>
        </w:tc>
      </w:tr>
      <w:tr>
        <w:tblPrEx>
          <w:tblW w:w="9314" w:type="dxa"/>
          <w:jc w:val="center"/>
          <w:tblLayout w:type="fixed"/>
          <w:tblCellMar>
            <w:top w:w="0" w:type="dxa"/>
            <w:left w:w="28" w:type="dxa"/>
            <w:bottom w:w="0" w:type="dxa"/>
            <w:right w:w="28" w:type="dxa"/>
          </w:tblCellMar>
        </w:tblPrEx>
        <w:trPr>
          <w:cantSplit/>
          <w:trHeight w:val="275"/>
          <w:jc w:val="center"/>
        </w:trPr>
        <w:tc>
          <w:tcPr>
            <w:tcW w:w="141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471AB" w:rsidP="00634079">
            <w:pPr>
              <w:spacing w:line="240" w:lineRule="auto"/>
              <w:jc w:val="center"/>
              <w:rPr>
                <w:rFonts w:ascii="Arial Narrow" w:hAnsi="Arial Narrow" w:cs="Times New Roman"/>
              </w:rPr>
            </w:pPr>
            <w:r>
              <w:rPr>
                <w:rFonts w:ascii="Arial Narrow" w:hAnsi="Arial Narrow" w:cs="Times New Roman"/>
              </w:rPr>
              <w:t>64/260/2007</w:t>
            </w:r>
          </w:p>
        </w:tc>
        <w:tc>
          <w:tcPr>
            <w:tcW w:w="662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2471AB" w:rsidP="00634079">
            <w:pPr>
              <w:spacing w:line="240" w:lineRule="auto"/>
              <w:ind w:left="57" w:right="57"/>
              <w:rPr>
                <w:rFonts w:ascii="Arial Narrow" w:hAnsi="Arial Narrow" w:cs="Times New Roman"/>
                <w:color w:val="000000"/>
                <w:lang w:eastAsia="sk-SK"/>
              </w:rPr>
            </w:pPr>
            <w:r>
              <w:rPr>
                <w:rFonts w:ascii="Arial Narrow" w:hAnsi="Arial Narrow" w:cs="Times New Roman"/>
                <w:color w:val="000000"/>
                <w:lang w:eastAsia="sk-SK"/>
              </w:rPr>
              <w:t>Širokopásmový prístup v</w:t>
            </w:r>
            <w:r w:rsidR="00FC1671">
              <w:rPr>
                <w:rFonts w:ascii="Arial Narrow" w:hAnsi="Arial Narrow" w:cs="Times New Roman"/>
                <w:color w:val="000000"/>
                <w:lang w:eastAsia="sk-SK"/>
              </w:rPr>
              <w:t> </w:t>
            </w:r>
            <w:r>
              <w:rPr>
                <w:rFonts w:ascii="Arial Narrow" w:hAnsi="Arial Narrow" w:cs="Times New Roman"/>
                <w:color w:val="000000"/>
                <w:lang w:eastAsia="sk-SK"/>
              </w:rPr>
              <w:t>SR</w:t>
            </w:r>
          </w:p>
        </w:tc>
        <w:tc>
          <w:tcPr>
            <w:tcW w:w="1276"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2471AB" w:rsidP="0063407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240" w:lineRule="auto"/>
              <w:ind w:left="73"/>
              <w:jc w:val="center"/>
              <w:rPr>
                <w:rFonts w:ascii="Arial Narrow" w:hAnsi="Arial Narrow" w:cs="Times New Roman"/>
              </w:rPr>
            </w:pPr>
            <w:r>
              <w:rPr>
                <w:rFonts w:ascii="Arial Narrow" w:hAnsi="Arial Narrow" w:cs="Times New Roman"/>
              </w:rPr>
              <w:t xml:space="preserve">     700 000</w:t>
            </w:r>
          </w:p>
        </w:tc>
      </w:tr>
      <w:tr>
        <w:tblPrEx>
          <w:tblW w:w="9314" w:type="dxa"/>
          <w:jc w:val="center"/>
          <w:tblLayout w:type="fixed"/>
          <w:tblCellMar>
            <w:top w:w="0" w:type="dxa"/>
            <w:left w:w="28" w:type="dxa"/>
            <w:bottom w:w="0" w:type="dxa"/>
            <w:right w:w="28" w:type="dxa"/>
          </w:tblCellMar>
        </w:tblPrEx>
        <w:trPr>
          <w:cantSplit/>
          <w:trHeight w:val="275"/>
          <w:jc w:val="center"/>
        </w:trPr>
        <w:tc>
          <w:tcPr>
            <w:tcW w:w="1418" w:type="dxa"/>
            <w:tcBorders>
              <w:top w:val="single" w:sz="4" w:space="0" w:color="auto"/>
              <w:left w:val="single" w:sz="4" w:space="0" w:color="auto"/>
              <w:bottom w:val="nil"/>
              <w:right w:val="single" w:sz="4" w:space="0" w:color="auto"/>
              <w:tl2br w:val="nil"/>
              <w:tr2bl w:val="nil"/>
            </w:tcBorders>
            <w:textDirection w:val="lrTb"/>
            <w:vAlign w:val="top"/>
          </w:tcPr>
          <w:p w:rsidR="002471AB" w:rsidP="00634079">
            <w:pPr>
              <w:spacing w:line="240" w:lineRule="auto"/>
              <w:jc w:val="center"/>
              <w:rPr>
                <w:rFonts w:ascii="Arial Narrow" w:hAnsi="Arial Narrow" w:cs="Times New Roman"/>
              </w:rPr>
            </w:pPr>
            <w:r>
              <w:rPr>
                <w:rFonts w:ascii="Arial Narrow" w:hAnsi="Arial Narrow" w:cs="Times New Roman"/>
              </w:rPr>
              <w:t>65/260/2007</w:t>
            </w:r>
          </w:p>
        </w:tc>
        <w:tc>
          <w:tcPr>
            <w:tcW w:w="6620" w:type="dxa"/>
            <w:tcBorders>
              <w:top w:val="single" w:sz="4" w:space="0" w:color="auto"/>
              <w:left w:val="single" w:sz="4" w:space="0" w:color="auto"/>
              <w:bottom w:val="nil"/>
              <w:right w:val="single" w:sz="4" w:space="0" w:color="auto"/>
              <w:tl2br w:val="nil"/>
              <w:tr2bl w:val="nil"/>
            </w:tcBorders>
            <w:textDirection w:val="lrTb"/>
            <w:vAlign w:val="center"/>
          </w:tcPr>
          <w:p w:rsidR="002471AB" w:rsidP="00634079">
            <w:pPr>
              <w:spacing w:line="240" w:lineRule="auto"/>
              <w:ind w:left="57" w:right="57"/>
              <w:rPr>
                <w:rFonts w:ascii="Arial Narrow" w:hAnsi="Arial Narrow" w:cs="Times New Roman"/>
                <w:color w:val="000000"/>
                <w:lang w:eastAsia="sk-SK"/>
              </w:rPr>
            </w:pPr>
            <w:r>
              <w:rPr>
                <w:rFonts w:ascii="Arial Narrow" w:hAnsi="Arial Narrow" w:cs="Times New Roman"/>
                <w:color w:val="000000"/>
                <w:lang w:eastAsia="sk-SK"/>
              </w:rPr>
              <w:t xml:space="preserve">Rozvoj a systemizácia slovenskej tech.  terminológie v oblasti elektron. komunikácií </w:t>
            </w:r>
          </w:p>
        </w:tc>
        <w:tc>
          <w:tcPr>
            <w:tcW w:w="1276" w:type="dxa"/>
            <w:tcBorders>
              <w:top w:val="single" w:sz="4" w:space="0" w:color="auto"/>
              <w:left w:val="single" w:sz="4" w:space="0" w:color="auto"/>
              <w:bottom w:val="nil"/>
              <w:right w:val="single" w:sz="4" w:space="0" w:color="auto"/>
              <w:tl2br w:val="nil"/>
              <w:tr2bl w:val="nil"/>
            </w:tcBorders>
            <w:textDirection w:val="lrTb"/>
            <w:vAlign w:val="center"/>
          </w:tcPr>
          <w:p w:rsidR="002471AB" w:rsidP="0063407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240" w:lineRule="auto"/>
              <w:ind w:left="73"/>
              <w:jc w:val="center"/>
              <w:rPr>
                <w:rFonts w:ascii="Arial Narrow" w:hAnsi="Arial Narrow" w:cs="Times New Roman"/>
              </w:rPr>
            </w:pPr>
            <w:r>
              <w:rPr>
                <w:rFonts w:ascii="Arial Narrow" w:hAnsi="Arial Narrow" w:cs="Times New Roman"/>
              </w:rPr>
              <w:t xml:space="preserve">     500 000</w:t>
            </w:r>
          </w:p>
        </w:tc>
      </w:tr>
      <w:tr>
        <w:tblPrEx>
          <w:tblW w:w="9314" w:type="dxa"/>
          <w:jc w:val="center"/>
          <w:tblLayout w:type="fixed"/>
          <w:tblCellMar>
            <w:top w:w="0" w:type="dxa"/>
            <w:left w:w="28" w:type="dxa"/>
            <w:bottom w:w="0" w:type="dxa"/>
            <w:right w:w="28" w:type="dxa"/>
          </w:tblCellMar>
        </w:tblPrEx>
        <w:trPr>
          <w:cantSplit/>
          <w:trHeight w:val="275"/>
          <w:jc w:val="center"/>
        </w:trPr>
        <w:tc>
          <w:tcPr>
            <w:tcW w:w="141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471AB" w:rsidP="00634079">
            <w:pPr>
              <w:spacing w:line="240" w:lineRule="auto"/>
              <w:jc w:val="center"/>
              <w:rPr>
                <w:rFonts w:ascii="Arial Narrow" w:hAnsi="Arial Narrow" w:cs="Times New Roman"/>
              </w:rPr>
            </w:pPr>
            <w:r>
              <w:rPr>
                <w:rFonts w:ascii="Arial Narrow" w:hAnsi="Arial Narrow" w:cs="Times New Roman"/>
              </w:rPr>
              <w:t>66/260/2007</w:t>
            </w:r>
          </w:p>
        </w:tc>
        <w:tc>
          <w:tcPr>
            <w:tcW w:w="662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2471AB" w:rsidP="00634079">
            <w:pPr>
              <w:spacing w:line="240" w:lineRule="auto"/>
              <w:ind w:left="57" w:right="57"/>
              <w:rPr>
                <w:rFonts w:ascii="Arial Narrow" w:hAnsi="Arial Narrow" w:cs="Times New Roman"/>
                <w:color w:val="000000"/>
                <w:lang w:eastAsia="sk-SK"/>
              </w:rPr>
            </w:pPr>
            <w:r>
              <w:rPr>
                <w:rFonts w:ascii="Arial Narrow" w:hAnsi="Arial Narrow" w:cs="Times New Roman"/>
                <w:color w:val="000000"/>
                <w:lang w:eastAsia="sk-SK"/>
              </w:rPr>
              <w:t>Globálne navigačné systémy (GNSS)</w:t>
            </w:r>
          </w:p>
        </w:tc>
        <w:tc>
          <w:tcPr>
            <w:tcW w:w="1276"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2471AB" w:rsidP="0063407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240" w:lineRule="auto"/>
              <w:ind w:left="73"/>
              <w:jc w:val="center"/>
              <w:rPr>
                <w:rFonts w:ascii="Arial Narrow" w:hAnsi="Arial Narrow" w:cs="Times New Roman"/>
              </w:rPr>
            </w:pPr>
            <w:r>
              <w:rPr>
                <w:rFonts w:ascii="Arial Narrow" w:hAnsi="Arial Narrow" w:cs="Times New Roman"/>
              </w:rPr>
              <w:t xml:space="preserve">     75</w:t>
            </w:r>
            <w:r>
              <w:rPr>
                <w:rFonts w:ascii="Arial Narrow" w:hAnsi="Arial Narrow" w:cs="Times New Roman"/>
              </w:rPr>
              <w:t>0 000</w:t>
            </w:r>
          </w:p>
        </w:tc>
      </w:tr>
      <w:tr>
        <w:tblPrEx>
          <w:tblW w:w="9314" w:type="dxa"/>
          <w:jc w:val="center"/>
          <w:tblLayout w:type="fixed"/>
          <w:tblCellMar>
            <w:top w:w="0" w:type="dxa"/>
            <w:left w:w="28" w:type="dxa"/>
            <w:bottom w:w="0" w:type="dxa"/>
            <w:right w:w="28" w:type="dxa"/>
          </w:tblCellMar>
        </w:tblPrEx>
        <w:trPr>
          <w:cantSplit/>
          <w:trHeight w:val="275"/>
          <w:jc w:val="center"/>
        </w:trPr>
        <w:tc>
          <w:tcPr>
            <w:tcW w:w="141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471AB" w:rsidP="00634079">
            <w:pPr>
              <w:spacing w:line="240" w:lineRule="auto"/>
              <w:jc w:val="center"/>
              <w:rPr>
                <w:rFonts w:ascii="Arial Narrow" w:hAnsi="Arial Narrow" w:cs="Times New Roman"/>
              </w:rPr>
            </w:pPr>
            <w:r>
              <w:rPr>
                <w:rFonts w:ascii="Arial Narrow" w:hAnsi="Arial Narrow" w:cs="Times New Roman"/>
              </w:rPr>
              <w:t>67/260/2007</w:t>
            </w:r>
          </w:p>
        </w:tc>
        <w:tc>
          <w:tcPr>
            <w:tcW w:w="662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2471AB" w:rsidP="00634079">
            <w:pPr>
              <w:spacing w:line="240" w:lineRule="auto"/>
              <w:ind w:left="57" w:right="57"/>
              <w:rPr>
                <w:rFonts w:ascii="Arial Narrow" w:hAnsi="Arial Narrow" w:cs="Times New Roman"/>
                <w:color w:val="000000"/>
                <w:lang w:eastAsia="sk-SK"/>
              </w:rPr>
            </w:pPr>
            <w:r>
              <w:rPr>
                <w:rFonts w:ascii="Arial Narrow" w:hAnsi="Arial Narrow" w:cs="Times New Roman"/>
                <w:color w:val="000000"/>
                <w:lang w:eastAsia="sk-SK"/>
              </w:rPr>
              <w:t>Výskum systému prístupových miest verejnej poštovej siete na zmluvnom základe ako podporného riešenia na zab. univerzálnej pošt. služby na úplne liberal. trhu v SR</w:t>
            </w:r>
          </w:p>
        </w:tc>
        <w:tc>
          <w:tcPr>
            <w:tcW w:w="1276"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2471AB" w:rsidP="0063407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240" w:lineRule="auto"/>
              <w:ind w:left="73"/>
              <w:jc w:val="center"/>
              <w:rPr>
                <w:rFonts w:ascii="Arial Narrow" w:hAnsi="Arial Narrow" w:cs="Times New Roman"/>
              </w:rPr>
            </w:pPr>
            <w:r>
              <w:rPr>
                <w:rFonts w:ascii="Arial Narrow" w:hAnsi="Arial Narrow" w:cs="Times New Roman"/>
              </w:rPr>
              <w:t xml:space="preserve">     360 000</w:t>
            </w:r>
          </w:p>
        </w:tc>
      </w:tr>
      <w:tr>
        <w:tblPrEx>
          <w:tblW w:w="9314" w:type="dxa"/>
          <w:jc w:val="center"/>
          <w:tblLayout w:type="fixed"/>
          <w:tblCellMar>
            <w:top w:w="0" w:type="dxa"/>
            <w:left w:w="28" w:type="dxa"/>
            <w:bottom w:w="0" w:type="dxa"/>
            <w:right w:w="28" w:type="dxa"/>
          </w:tblCellMar>
        </w:tblPrEx>
        <w:trPr>
          <w:cantSplit/>
          <w:trHeight w:val="275"/>
          <w:jc w:val="center"/>
        </w:trPr>
        <w:tc>
          <w:tcPr>
            <w:tcW w:w="141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471AB" w:rsidP="00634079">
            <w:pPr>
              <w:spacing w:line="240" w:lineRule="auto"/>
              <w:jc w:val="center"/>
              <w:rPr>
                <w:rFonts w:ascii="Arial Narrow" w:hAnsi="Arial Narrow" w:cs="Times New Roman"/>
              </w:rPr>
            </w:pPr>
          </w:p>
        </w:tc>
        <w:tc>
          <w:tcPr>
            <w:tcW w:w="662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2471AB" w:rsidRPr="00BC203A" w:rsidP="00634079">
            <w:pPr>
              <w:spacing w:line="240" w:lineRule="auto"/>
              <w:ind w:left="57" w:right="57"/>
              <w:rPr>
                <w:rFonts w:ascii="Arial Narrow" w:hAnsi="Arial Narrow" w:cs="Times New Roman"/>
                <w:b/>
                <w:color w:val="000000"/>
                <w:lang w:eastAsia="sk-SK"/>
              </w:rPr>
            </w:pPr>
            <w:r>
              <w:rPr>
                <w:rFonts w:ascii="Arial Narrow" w:hAnsi="Arial Narrow" w:cs="Times New Roman"/>
                <w:b/>
                <w:color w:val="000000"/>
                <w:lang w:eastAsia="sk-SK"/>
              </w:rPr>
              <w:t>Mediálny inštitút</w:t>
            </w:r>
            <w:r w:rsidRPr="00BC203A">
              <w:rPr>
                <w:rFonts w:ascii="Arial Narrow" w:hAnsi="Arial Narrow" w:cs="Times New Roman"/>
                <w:b/>
                <w:color w:val="000000"/>
                <w:lang w:eastAsia="sk-SK"/>
              </w:rPr>
              <w:t>, Občiansk</w:t>
            </w:r>
            <w:r>
              <w:rPr>
                <w:rFonts w:ascii="Arial Narrow" w:hAnsi="Arial Narrow" w:cs="Times New Roman"/>
                <w:b/>
                <w:color w:val="000000"/>
                <w:lang w:eastAsia="sk-SK"/>
              </w:rPr>
              <w:t>e</w:t>
            </w:r>
            <w:r w:rsidRPr="00BC203A">
              <w:rPr>
                <w:rFonts w:ascii="Arial Narrow" w:hAnsi="Arial Narrow" w:cs="Times New Roman"/>
                <w:b/>
                <w:color w:val="000000"/>
                <w:lang w:eastAsia="sk-SK"/>
              </w:rPr>
              <w:t xml:space="preserve"> združenie Bratislava</w:t>
            </w:r>
          </w:p>
        </w:tc>
        <w:tc>
          <w:tcPr>
            <w:tcW w:w="1276"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2471AB" w:rsidP="0063407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240" w:lineRule="auto"/>
              <w:ind w:left="73"/>
              <w:jc w:val="center"/>
              <w:rPr>
                <w:rFonts w:ascii="Arial Narrow" w:hAnsi="Arial Narrow" w:cs="Times New Roman"/>
              </w:rPr>
            </w:pPr>
          </w:p>
        </w:tc>
      </w:tr>
      <w:tr>
        <w:tblPrEx>
          <w:tblW w:w="9314" w:type="dxa"/>
          <w:jc w:val="center"/>
          <w:tblLayout w:type="fixed"/>
          <w:tblCellMar>
            <w:top w:w="0" w:type="dxa"/>
            <w:left w:w="28" w:type="dxa"/>
            <w:bottom w:w="0" w:type="dxa"/>
            <w:right w:w="28" w:type="dxa"/>
          </w:tblCellMar>
        </w:tblPrEx>
        <w:trPr>
          <w:cantSplit/>
          <w:trHeight w:val="275"/>
          <w:jc w:val="center"/>
        </w:trPr>
        <w:tc>
          <w:tcPr>
            <w:tcW w:w="141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471AB" w:rsidP="00634079">
            <w:pPr>
              <w:spacing w:line="240" w:lineRule="auto"/>
              <w:jc w:val="center"/>
              <w:rPr>
                <w:rFonts w:ascii="Arial Narrow" w:hAnsi="Arial Narrow" w:cs="Times New Roman"/>
              </w:rPr>
            </w:pPr>
            <w:r>
              <w:rPr>
                <w:rFonts w:ascii="Arial Narrow" w:hAnsi="Arial Narrow" w:cs="Times New Roman"/>
              </w:rPr>
              <w:t>68//26</w:t>
            </w:r>
            <w:r>
              <w:rPr>
                <w:rFonts w:ascii="Arial Narrow" w:hAnsi="Arial Narrow" w:cs="Times New Roman"/>
              </w:rPr>
              <w:t>0/2007</w:t>
            </w:r>
          </w:p>
        </w:tc>
        <w:tc>
          <w:tcPr>
            <w:tcW w:w="662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2471AB" w:rsidP="00634079">
            <w:pPr>
              <w:spacing w:line="240" w:lineRule="auto"/>
              <w:ind w:left="57" w:right="57"/>
              <w:rPr>
                <w:rFonts w:ascii="Arial Narrow" w:hAnsi="Arial Narrow" w:cs="Times New Roman"/>
                <w:color w:val="000000"/>
                <w:lang w:eastAsia="sk-SK"/>
              </w:rPr>
            </w:pPr>
            <w:r>
              <w:rPr>
                <w:rFonts w:ascii="Arial Narrow" w:hAnsi="Arial Narrow" w:cs="Times New Roman"/>
                <w:color w:val="000000"/>
                <w:lang w:eastAsia="sk-SK"/>
              </w:rPr>
              <w:t xml:space="preserve">Právna analýza možností financovania prechodu na digitálne vysielanie </w:t>
            </w:r>
          </w:p>
        </w:tc>
        <w:tc>
          <w:tcPr>
            <w:tcW w:w="1276"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2471AB" w:rsidP="0063407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240" w:lineRule="auto"/>
              <w:ind w:left="73"/>
              <w:jc w:val="center"/>
              <w:rPr>
                <w:rFonts w:ascii="Arial Narrow" w:hAnsi="Arial Narrow" w:cs="Times New Roman"/>
              </w:rPr>
            </w:pPr>
            <w:r>
              <w:rPr>
                <w:rFonts w:ascii="Arial Narrow" w:hAnsi="Arial Narrow" w:cs="Times New Roman"/>
              </w:rPr>
              <w:t xml:space="preserve">     570 000</w:t>
            </w:r>
          </w:p>
        </w:tc>
      </w:tr>
      <w:tr>
        <w:tblPrEx>
          <w:tblW w:w="9314" w:type="dxa"/>
          <w:jc w:val="center"/>
          <w:tblLayout w:type="fixed"/>
          <w:tblCellMar>
            <w:top w:w="0" w:type="dxa"/>
            <w:left w:w="28" w:type="dxa"/>
            <w:bottom w:w="0" w:type="dxa"/>
            <w:right w:w="28" w:type="dxa"/>
          </w:tblCellMar>
        </w:tblPrEx>
        <w:trPr>
          <w:cantSplit/>
          <w:trHeight w:val="275"/>
          <w:jc w:val="center"/>
        </w:trPr>
        <w:tc>
          <w:tcPr>
            <w:tcW w:w="141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471AB" w:rsidP="00634079">
            <w:pPr>
              <w:spacing w:line="240" w:lineRule="auto"/>
              <w:jc w:val="center"/>
              <w:rPr>
                <w:rFonts w:ascii="Arial Narrow" w:hAnsi="Arial Narrow" w:cs="Times New Roman"/>
              </w:rPr>
            </w:pPr>
          </w:p>
        </w:tc>
        <w:tc>
          <w:tcPr>
            <w:tcW w:w="662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2471AB" w:rsidRPr="00BC203A" w:rsidP="00634079">
            <w:pPr>
              <w:spacing w:line="240" w:lineRule="auto"/>
              <w:ind w:left="57" w:right="57"/>
              <w:rPr>
                <w:rFonts w:ascii="Arial Narrow" w:hAnsi="Arial Narrow" w:cs="Times New Roman"/>
                <w:b/>
                <w:color w:val="000000"/>
                <w:lang w:eastAsia="sk-SK"/>
              </w:rPr>
            </w:pPr>
            <w:r w:rsidRPr="00BC203A">
              <w:rPr>
                <w:rFonts w:ascii="Arial Narrow" w:hAnsi="Arial Narrow" w:cs="Times New Roman"/>
                <w:b/>
                <w:color w:val="000000"/>
                <w:lang w:eastAsia="sk-SK"/>
              </w:rPr>
              <w:t>Žilinská univerzita</w:t>
            </w:r>
            <w:r>
              <w:rPr>
                <w:rFonts w:ascii="Arial Narrow" w:hAnsi="Arial Narrow" w:cs="Times New Roman"/>
                <w:b/>
                <w:color w:val="000000"/>
                <w:lang w:eastAsia="sk-SK"/>
              </w:rPr>
              <w:t>, Žilina</w:t>
            </w:r>
          </w:p>
        </w:tc>
        <w:tc>
          <w:tcPr>
            <w:tcW w:w="1276"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2471AB" w:rsidP="0063407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240" w:lineRule="auto"/>
              <w:ind w:left="73"/>
              <w:jc w:val="center"/>
              <w:rPr>
                <w:rFonts w:ascii="Arial Narrow" w:hAnsi="Arial Narrow" w:cs="Times New Roman"/>
              </w:rPr>
            </w:pPr>
          </w:p>
        </w:tc>
      </w:tr>
      <w:tr>
        <w:tblPrEx>
          <w:tblW w:w="9314" w:type="dxa"/>
          <w:jc w:val="center"/>
          <w:tblLayout w:type="fixed"/>
          <w:tblCellMar>
            <w:top w:w="0" w:type="dxa"/>
            <w:left w:w="28" w:type="dxa"/>
            <w:bottom w:w="0" w:type="dxa"/>
            <w:right w:w="28" w:type="dxa"/>
          </w:tblCellMar>
        </w:tblPrEx>
        <w:trPr>
          <w:cantSplit/>
          <w:trHeight w:val="275"/>
          <w:jc w:val="center"/>
        </w:trPr>
        <w:tc>
          <w:tcPr>
            <w:tcW w:w="141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471AB" w:rsidP="00634079">
            <w:pPr>
              <w:spacing w:line="240" w:lineRule="auto"/>
              <w:jc w:val="center"/>
              <w:rPr>
                <w:rFonts w:ascii="Arial Narrow" w:hAnsi="Arial Narrow" w:cs="Times New Roman"/>
              </w:rPr>
            </w:pPr>
            <w:r>
              <w:rPr>
                <w:rFonts w:ascii="Arial Narrow" w:hAnsi="Arial Narrow" w:cs="Times New Roman"/>
              </w:rPr>
              <w:t>69/260/2007</w:t>
            </w:r>
          </w:p>
        </w:tc>
        <w:tc>
          <w:tcPr>
            <w:tcW w:w="662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2471AB" w:rsidP="00634079">
            <w:pPr>
              <w:spacing w:line="240" w:lineRule="auto"/>
              <w:ind w:left="57" w:right="57"/>
              <w:rPr>
                <w:rFonts w:ascii="Arial Narrow" w:hAnsi="Arial Narrow" w:cs="Times New Roman"/>
                <w:color w:val="000000"/>
                <w:lang w:eastAsia="sk-SK"/>
              </w:rPr>
            </w:pPr>
            <w:r>
              <w:rPr>
                <w:rFonts w:ascii="Arial Narrow" w:hAnsi="Arial Narrow" w:cs="Times New Roman"/>
                <w:color w:val="000000"/>
                <w:lang w:eastAsia="sk-SK"/>
              </w:rPr>
              <w:t>Výskum uplatnenia alternatívnych mechanizmov financovania univerzálnej poštovej služby v SR po zrušení poštovej výhrady</w:t>
            </w:r>
          </w:p>
        </w:tc>
        <w:tc>
          <w:tcPr>
            <w:tcW w:w="1276"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2471AB" w:rsidP="0063407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240" w:lineRule="auto"/>
              <w:ind w:left="73"/>
              <w:jc w:val="center"/>
              <w:rPr>
                <w:rFonts w:ascii="Arial Narrow" w:hAnsi="Arial Narrow" w:cs="Times New Roman"/>
              </w:rPr>
            </w:pPr>
            <w:r>
              <w:rPr>
                <w:rFonts w:ascii="Arial Narrow" w:hAnsi="Arial Narrow" w:cs="Times New Roman"/>
              </w:rPr>
              <w:t xml:space="preserve"> </w:t>
            </w:r>
            <w:r>
              <w:rPr>
                <w:rFonts w:ascii="Arial Narrow" w:hAnsi="Arial Narrow" w:cs="Times New Roman"/>
              </w:rPr>
              <w:t xml:space="preserve">    400 000</w:t>
            </w:r>
          </w:p>
        </w:tc>
      </w:tr>
      <w:tr>
        <w:tblPrEx>
          <w:tblW w:w="9314" w:type="dxa"/>
          <w:jc w:val="center"/>
          <w:tblLayout w:type="fixed"/>
          <w:tblCellMar>
            <w:top w:w="0" w:type="dxa"/>
            <w:left w:w="28" w:type="dxa"/>
            <w:bottom w:w="0" w:type="dxa"/>
            <w:right w:w="28" w:type="dxa"/>
          </w:tblCellMar>
        </w:tblPrEx>
        <w:trPr>
          <w:cantSplit/>
          <w:trHeight w:val="275"/>
          <w:jc w:val="center"/>
        </w:trPr>
        <w:tc>
          <w:tcPr>
            <w:tcW w:w="141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471AB" w:rsidP="00634079">
            <w:pPr>
              <w:spacing w:line="240" w:lineRule="auto"/>
              <w:jc w:val="center"/>
              <w:rPr>
                <w:rFonts w:ascii="Arial Narrow" w:hAnsi="Arial Narrow" w:cs="Times New Roman"/>
              </w:rPr>
            </w:pPr>
          </w:p>
        </w:tc>
        <w:tc>
          <w:tcPr>
            <w:tcW w:w="662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2471AB" w:rsidRPr="00BC203A" w:rsidP="00634079">
            <w:pPr>
              <w:spacing w:line="240" w:lineRule="auto"/>
              <w:ind w:left="57" w:right="57"/>
              <w:rPr>
                <w:rFonts w:ascii="Arial Narrow" w:hAnsi="Arial Narrow" w:cs="Times New Roman"/>
                <w:b/>
                <w:color w:val="000000"/>
                <w:lang w:eastAsia="sk-SK"/>
              </w:rPr>
            </w:pPr>
            <w:r w:rsidRPr="00BC203A">
              <w:rPr>
                <w:rFonts w:ascii="Arial Narrow" w:hAnsi="Arial Narrow" w:cs="Times New Roman"/>
                <w:b/>
                <w:color w:val="000000"/>
                <w:lang w:eastAsia="sk-SK"/>
              </w:rPr>
              <w:t xml:space="preserve">Centrum pre výskum etnicity a kultúry, Občianske združenie Bratislava </w:t>
            </w:r>
          </w:p>
        </w:tc>
        <w:tc>
          <w:tcPr>
            <w:tcW w:w="1276"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2471AB" w:rsidP="0063407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240" w:lineRule="auto"/>
              <w:ind w:left="73"/>
              <w:jc w:val="center"/>
              <w:rPr>
                <w:rFonts w:ascii="Arial Narrow" w:hAnsi="Arial Narrow" w:cs="Times New Roman"/>
              </w:rPr>
            </w:pPr>
          </w:p>
        </w:tc>
      </w:tr>
      <w:tr>
        <w:tblPrEx>
          <w:tblW w:w="9314" w:type="dxa"/>
          <w:jc w:val="center"/>
          <w:tblLayout w:type="fixed"/>
          <w:tblCellMar>
            <w:top w:w="0" w:type="dxa"/>
            <w:left w:w="28" w:type="dxa"/>
            <w:bottom w:w="0" w:type="dxa"/>
            <w:right w:w="28" w:type="dxa"/>
          </w:tblCellMar>
        </w:tblPrEx>
        <w:trPr>
          <w:cantSplit/>
          <w:trHeight w:val="275"/>
          <w:jc w:val="center"/>
        </w:trPr>
        <w:tc>
          <w:tcPr>
            <w:tcW w:w="141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471AB" w:rsidP="00634079">
            <w:pPr>
              <w:spacing w:line="240" w:lineRule="auto"/>
              <w:jc w:val="center"/>
              <w:rPr>
                <w:rFonts w:ascii="Arial Narrow" w:hAnsi="Arial Narrow" w:cs="Times New Roman"/>
              </w:rPr>
            </w:pPr>
            <w:r>
              <w:rPr>
                <w:rFonts w:ascii="Arial Narrow" w:hAnsi="Arial Narrow" w:cs="Times New Roman"/>
              </w:rPr>
              <w:t>90/260/2007</w:t>
            </w:r>
          </w:p>
        </w:tc>
        <w:tc>
          <w:tcPr>
            <w:tcW w:w="662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2471AB" w:rsidP="00634079">
            <w:pPr>
              <w:spacing w:line="240" w:lineRule="auto"/>
              <w:ind w:left="57" w:right="57"/>
              <w:rPr>
                <w:rFonts w:ascii="Arial Narrow" w:hAnsi="Arial Narrow" w:cs="Times New Roman"/>
                <w:color w:val="000000"/>
                <w:lang w:eastAsia="sk-SK"/>
              </w:rPr>
            </w:pPr>
            <w:r>
              <w:rPr>
                <w:rFonts w:ascii="Arial Narrow" w:hAnsi="Arial Narrow" w:cs="Times New Roman"/>
                <w:color w:val="000000"/>
                <w:lang w:eastAsia="sk-SK"/>
              </w:rPr>
              <w:t>Zabezpečenie obsahovej náplne informačného portálu digitálneho vysielania</w:t>
            </w:r>
          </w:p>
        </w:tc>
        <w:tc>
          <w:tcPr>
            <w:tcW w:w="1276"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2471AB" w:rsidP="0063407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240" w:lineRule="auto"/>
              <w:ind w:left="73"/>
              <w:jc w:val="center"/>
              <w:rPr>
                <w:rFonts w:ascii="Arial Narrow" w:hAnsi="Arial Narrow" w:cs="Times New Roman"/>
              </w:rPr>
            </w:pPr>
            <w:r>
              <w:rPr>
                <w:rFonts w:ascii="Arial Narrow" w:hAnsi="Arial Narrow" w:cs="Times New Roman"/>
              </w:rPr>
              <w:t xml:space="preserve">    517 680</w:t>
            </w:r>
          </w:p>
        </w:tc>
      </w:tr>
      <w:tr>
        <w:tblPrEx>
          <w:tblW w:w="9314" w:type="dxa"/>
          <w:jc w:val="center"/>
          <w:tblLayout w:type="fixed"/>
          <w:tblCellMar>
            <w:top w:w="0" w:type="dxa"/>
            <w:left w:w="28" w:type="dxa"/>
            <w:bottom w:w="0" w:type="dxa"/>
            <w:right w:w="28" w:type="dxa"/>
          </w:tblCellMar>
        </w:tblPrEx>
        <w:trPr>
          <w:cantSplit/>
          <w:trHeight w:val="275"/>
          <w:jc w:val="center"/>
        </w:trPr>
        <w:tc>
          <w:tcPr>
            <w:tcW w:w="141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471AB" w:rsidP="00634079">
            <w:pPr>
              <w:spacing w:line="240" w:lineRule="auto"/>
              <w:jc w:val="center"/>
              <w:rPr>
                <w:rFonts w:ascii="Arial Narrow" w:hAnsi="Arial Narrow" w:cs="Times New Roman"/>
              </w:rPr>
            </w:pPr>
          </w:p>
        </w:tc>
        <w:tc>
          <w:tcPr>
            <w:tcW w:w="662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2471AB" w:rsidRPr="005863C1" w:rsidP="00634079">
            <w:pPr>
              <w:spacing w:line="240" w:lineRule="auto"/>
              <w:ind w:left="57" w:right="57"/>
              <w:rPr>
                <w:rFonts w:ascii="Arial Narrow" w:hAnsi="Arial Narrow" w:cs="Times New Roman"/>
                <w:b/>
                <w:color w:val="000000"/>
                <w:lang w:eastAsia="sk-SK"/>
              </w:rPr>
            </w:pPr>
            <w:r w:rsidRPr="005863C1">
              <w:rPr>
                <w:rFonts w:ascii="Arial Narrow" w:hAnsi="Arial Narrow" w:cs="Times New Roman"/>
                <w:b/>
                <w:color w:val="000000"/>
                <w:lang w:eastAsia="sk-SK"/>
              </w:rPr>
              <w:t>Výskumný ústav spojov, n. o. Banská Bystrica</w:t>
            </w:r>
          </w:p>
        </w:tc>
        <w:tc>
          <w:tcPr>
            <w:tcW w:w="1276"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2471AB" w:rsidP="0063407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240" w:lineRule="auto"/>
              <w:ind w:left="73"/>
              <w:jc w:val="center"/>
              <w:rPr>
                <w:rFonts w:ascii="Arial Narrow" w:hAnsi="Arial Narrow" w:cs="Times New Roman"/>
              </w:rPr>
            </w:pPr>
          </w:p>
        </w:tc>
      </w:tr>
      <w:tr>
        <w:tblPrEx>
          <w:tblW w:w="9314" w:type="dxa"/>
          <w:jc w:val="center"/>
          <w:tblLayout w:type="fixed"/>
          <w:tblCellMar>
            <w:top w:w="0" w:type="dxa"/>
            <w:left w:w="28" w:type="dxa"/>
            <w:bottom w:w="0" w:type="dxa"/>
            <w:right w:w="28" w:type="dxa"/>
          </w:tblCellMar>
        </w:tblPrEx>
        <w:trPr>
          <w:cantSplit/>
          <w:trHeight w:val="275"/>
          <w:jc w:val="center"/>
        </w:trPr>
        <w:tc>
          <w:tcPr>
            <w:tcW w:w="141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471AB" w:rsidRPr="005863C1" w:rsidP="00634079">
            <w:pPr>
              <w:spacing w:line="240" w:lineRule="auto"/>
              <w:jc w:val="center"/>
              <w:rPr>
                <w:rFonts w:ascii="Arial Narrow" w:hAnsi="Arial Narrow" w:cs="Times New Roman"/>
              </w:rPr>
            </w:pPr>
            <w:r w:rsidRPr="005863C1">
              <w:rPr>
                <w:rFonts w:ascii="Arial Narrow" w:hAnsi="Arial Narrow" w:cs="Times New Roman"/>
              </w:rPr>
              <w:t>91</w:t>
            </w:r>
            <w:r>
              <w:rPr>
                <w:rFonts w:ascii="Arial Narrow" w:hAnsi="Arial Narrow" w:cs="Times New Roman"/>
              </w:rPr>
              <w:t>260/2007</w:t>
            </w:r>
          </w:p>
        </w:tc>
        <w:tc>
          <w:tcPr>
            <w:tcW w:w="662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2471AB" w:rsidP="00634079">
            <w:pPr>
              <w:spacing w:line="240" w:lineRule="auto"/>
              <w:ind w:left="57" w:right="57"/>
              <w:rPr>
                <w:rFonts w:ascii="Arial Narrow" w:hAnsi="Arial Narrow" w:cs="Times New Roman"/>
                <w:color w:val="000000"/>
                <w:lang w:eastAsia="sk-SK"/>
              </w:rPr>
            </w:pPr>
            <w:r>
              <w:rPr>
                <w:rFonts w:ascii="Arial Narrow" w:hAnsi="Arial Narrow" w:cs="Times New Roman"/>
                <w:color w:val="000000"/>
                <w:lang w:eastAsia="sk-SK"/>
              </w:rPr>
              <w:t>Šírenie poz</w:t>
            </w:r>
            <w:r>
              <w:rPr>
                <w:rFonts w:ascii="Arial Narrow" w:hAnsi="Arial Narrow" w:cs="Times New Roman"/>
                <w:color w:val="000000"/>
                <w:lang w:eastAsia="sk-SK"/>
              </w:rPr>
              <w:t>natkov o prechode na pozemské digitálne TV vysielanie prostred. masmédií</w:t>
            </w:r>
          </w:p>
        </w:tc>
        <w:tc>
          <w:tcPr>
            <w:tcW w:w="1276"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2471AB" w:rsidP="0063407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240" w:lineRule="auto"/>
              <w:ind w:left="73"/>
              <w:jc w:val="center"/>
              <w:rPr>
                <w:rFonts w:ascii="Arial Narrow" w:hAnsi="Arial Narrow" w:cs="Times New Roman"/>
              </w:rPr>
            </w:pPr>
            <w:r>
              <w:rPr>
                <w:rFonts w:ascii="Arial Narrow" w:hAnsi="Arial Narrow" w:cs="Times New Roman"/>
              </w:rPr>
              <w:t xml:space="preserve"> 1 090 040</w:t>
            </w:r>
          </w:p>
        </w:tc>
      </w:tr>
      <w:tr>
        <w:tblPrEx>
          <w:tblW w:w="9314" w:type="dxa"/>
          <w:jc w:val="center"/>
          <w:tblLayout w:type="fixed"/>
          <w:tblCellMar>
            <w:top w:w="0" w:type="dxa"/>
            <w:left w:w="28" w:type="dxa"/>
            <w:bottom w:w="0" w:type="dxa"/>
            <w:right w:w="28" w:type="dxa"/>
          </w:tblCellMar>
        </w:tblPrEx>
        <w:trPr>
          <w:cantSplit/>
          <w:trHeight w:val="275"/>
          <w:jc w:val="center"/>
        </w:trPr>
        <w:tc>
          <w:tcPr>
            <w:tcW w:w="141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471AB" w:rsidP="00634079">
            <w:pPr>
              <w:spacing w:line="240" w:lineRule="auto"/>
              <w:jc w:val="center"/>
              <w:rPr>
                <w:rFonts w:ascii="Arial Narrow" w:hAnsi="Arial Narrow" w:cs="Times New Roman"/>
              </w:rPr>
            </w:pPr>
            <w:r>
              <w:rPr>
                <w:rFonts w:ascii="Arial Narrow" w:hAnsi="Arial Narrow" w:cs="Times New Roman"/>
              </w:rPr>
              <w:t>92/260/2007</w:t>
            </w:r>
          </w:p>
        </w:tc>
        <w:tc>
          <w:tcPr>
            <w:tcW w:w="662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2471AB" w:rsidP="00634079">
            <w:pPr>
              <w:spacing w:line="240" w:lineRule="auto"/>
              <w:ind w:left="57" w:right="57"/>
              <w:rPr>
                <w:rFonts w:ascii="Arial Narrow" w:hAnsi="Arial Narrow" w:cs="Times New Roman"/>
                <w:color w:val="000000"/>
                <w:lang w:eastAsia="sk-SK"/>
              </w:rPr>
            </w:pPr>
            <w:r>
              <w:rPr>
                <w:rFonts w:ascii="Arial Narrow" w:hAnsi="Arial Narrow" w:cs="Times New Roman"/>
                <w:color w:val="000000"/>
                <w:lang w:eastAsia="sk-SK"/>
              </w:rPr>
              <w:t>Spotrebiteľské aspekty prijímacích zariadení</w:t>
            </w:r>
          </w:p>
        </w:tc>
        <w:tc>
          <w:tcPr>
            <w:tcW w:w="1276"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2471AB" w:rsidP="0063407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240" w:lineRule="auto"/>
              <w:ind w:left="73"/>
              <w:jc w:val="center"/>
              <w:rPr>
                <w:rFonts w:ascii="Arial Narrow" w:hAnsi="Arial Narrow" w:cs="Times New Roman"/>
              </w:rPr>
            </w:pPr>
            <w:r>
              <w:rPr>
                <w:rFonts w:ascii="Arial Narrow" w:hAnsi="Arial Narrow" w:cs="Times New Roman"/>
              </w:rPr>
              <w:t xml:space="preserve">    880 000</w:t>
            </w:r>
          </w:p>
        </w:tc>
      </w:tr>
      <w:tr>
        <w:tblPrEx>
          <w:tblW w:w="9314" w:type="dxa"/>
          <w:jc w:val="center"/>
          <w:tblLayout w:type="fixed"/>
          <w:tblCellMar>
            <w:top w:w="0" w:type="dxa"/>
            <w:left w:w="28" w:type="dxa"/>
            <w:bottom w:w="0" w:type="dxa"/>
            <w:right w:w="28" w:type="dxa"/>
          </w:tblCellMar>
        </w:tblPrEx>
        <w:trPr>
          <w:cantSplit/>
          <w:trHeight w:val="275"/>
          <w:jc w:val="center"/>
        </w:trPr>
        <w:tc>
          <w:tcPr>
            <w:tcW w:w="141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471AB" w:rsidP="00634079">
            <w:pPr>
              <w:spacing w:line="240" w:lineRule="auto"/>
              <w:jc w:val="center"/>
              <w:rPr>
                <w:rFonts w:ascii="Arial Narrow" w:hAnsi="Arial Narrow" w:cs="Times New Roman"/>
              </w:rPr>
            </w:pPr>
            <w:r>
              <w:rPr>
                <w:rFonts w:ascii="Arial Narrow" w:hAnsi="Arial Narrow" w:cs="Times New Roman"/>
              </w:rPr>
              <w:t>93/260/2007</w:t>
            </w:r>
          </w:p>
        </w:tc>
        <w:tc>
          <w:tcPr>
            <w:tcW w:w="662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2471AB" w:rsidP="00634079">
            <w:pPr>
              <w:spacing w:line="240" w:lineRule="auto"/>
              <w:ind w:left="57" w:right="57"/>
              <w:rPr>
                <w:rFonts w:ascii="Arial Narrow" w:hAnsi="Arial Narrow" w:cs="Times New Roman"/>
                <w:color w:val="000000"/>
                <w:lang w:eastAsia="sk-SK"/>
              </w:rPr>
            </w:pPr>
            <w:r>
              <w:rPr>
                <w:rFonts w:ascii="Arial Narrow" w:hAnsi="Arial Narrow" w:cs="Times New Roman"/>
                <w:color w:val="000000"/>
                <w:lang w:eastAsia="sk-SK"/>
              </w:rPr>
              <w:t>Priebežné monitorovanie a vyhodnocovanie plnenia Stratégie prechodu a spracovanie jej akt</w:t>
            </w:r>
            <w:r>
              <w:rPr>
                <w:rFonts w:ascii="Arial Narrow" w:hAnsi="Arial Narrow" w:cs="Times New Roman"/>
                <w:color w:val="000000"/>
                <w:lang w:eastAsia="sk-SK"/>
              </w:rPr>
              <w:t>ualizovaného znenia</w:t>
            </w:r>
          </w:p>
        </w:tc>
        <w:tc>
          <w:tcPr>
            <w:tcW w:w="1276"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2471AB" w:rsidP="0063407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240" w:lineRule="auto"/>
              <w:ind w:left="73"/>
              <w:jc w:val="center"/>
              <w:rPr>
                <w:rFonts w:ascii="Arial Narrow" w:hAnsi="Arial Narrow" w:cs="Times New Roman"/>
              </w:rPr>
            </w:pPr>
            <w:r>
              <w:rPr>
                <w:rFonts w:ascii="Arial Narrow" w:hAnsi="Arial Narrow" w:cs="Times New Roman"/>
              </w:rPr>
              <w:t xml:space="preserve">    890 000</w:t>
            </w:r>
          </w:p>
        </w:tc>
      </w:tr>
      <w:tr>
        <w:tblPrEx>
          <w:tblW w:w="9314" w:type="dxa"/>
          <w:jc w:val="center"/>
          <w:tblLayout w:type="fixed"/>
          <w:tblCellMar>
            <w:top w:w="0" w:type="dxa"/>
            <w:left w:w="28" w:type="dxa"/>
            <w:bottom w:w="0" w:type="dxa"/>
            <w:right w:w="28" w:type="dxa"/>
          </w:tblCellMar>
        </w:tblPrEx>
        <w:trPr>
          <w:cantSplit/>
          <w:trHeight w:val="275"/>
          <w:jc w:val="center"/>
        </w:trPr>
        <w:tc>
          <w:tcPr>
            <w:tcW w:w="141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471AB" w:rsidP="00634079">
            <w:pPr>
              <w:spacing w:line="240" w:lineRule="auto"/>
              <w:jc w:val="center"/>
              <w:rPr>
                <w:rFonts w:ascii="Arial Narrow" w:hAnsi="Arial Narrow" w:cs="Times New Roman"/>
              </w:rPr>
            </w:pPr>
            <w:r>
              <w:rPr>
                <w:rFonts w:ascii="Arial Narrow" w:hAnsi="Arial Narrow" w:cs="Times New Roman"/>
              </w:rPr>
              <w:t>94/260/2007</w:t>
            </w:r>
          </w:p>
        </w:tc>
        <w:tc>
          <w:tcPr>
            <w:tcW w:w="662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2471AB" w:rsidP="00634079">
            <w:pPr>
              <w:spacing w:line="240" w:lineRule="auto"/>
              <w:ind w:left="57" w:right="57"/>
              <w:rPr>
                <w:rFonts w:ascii="Arial Narrow" w:hAnsi="Arial Narrow" w:cs="Times New Roman"/>
                <w:color w:val="000000"/>
                <w:lang w:eastAsia="sk-SK"/>
              </w:rPr>
            </w:pPr>
            <w:r>
              <w:rPr>
                <w:rFonts w:ascii="Arial Narrow" w:hAnsi="Arial Narrow" w:cs="Times New Roman"/>
                <w:color w:val="000000"/>
                <w:lang w:eastAsia="sk-SK"/>
              </w:rPr>
              <w:t>Výskum možností dokrývania územia vysielačmi DVB-T malého výkonu</w:t>
            </w:r>
          </w:p>
        </w:tc>
        <w:tc>
          <w:tcPr>
            <w:tcW w:w="1276"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2471AB" w:rsidP="0063407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240" w:lineRule="auto"/>
              <w:ind w:left="73"/>
              <w:jc w:val="center"/>
              <w:rPr>
                <w:rFonts w:ascii="Arial Narrow" w:hAnsi="Arial Narrow" w:cs="Times New Roman"/>
              </w:rPr>
            </w:pPr>
            <w:r>
              <w:rPr>
                <w:rFonts w:ascii="Arial Narrow" w:hAnsi="Arial Narrow" w:cs="Times New Roman"/>
              </w:rPr>
              <w:t xml:space="preserve">    980 000</w:t>
            </w:r>
          </w:p>
        </w:tc>
      </w:tr>
      <w:tr>
        <w:tblPrEx>
          <w:tblW w:w="9314" w:type="dxa"/>
          <w:jc w:val="center"/>
          <w:tblLayout w:type="fixed"/>
          <w:tblCellMar>
            <w:top w:w="0" w:type="dxa"/>
            <w:left w:w="28" w:type="dxa"/>
            <w:bottom w:w="0" w:type="dxa"/>
            <w:right w:w="28" w:type="dxa"/>
          </w:tblCellMar>
        </w:tblPrEx>
        <w:trPr>
          <w:cantSplit/>
          <w:trHeight w:val="275"/>
          <w:jc w:val="center"/>
        </w:trPr>
        <w:tc>
          <w:tcPr>
            <w:tcW w:w="141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471AB" w:rsidP="00634079">
            <w:pPr>
              <w:spacing w:line="240" w:lineRule="auto"/>
              <w:jc w:val="center"/>
              <w:rPr>
                <w:rFonts w:ascii="Arial Narrow" w:hAnsi="Arial Narrow" w:cs="Times New Roman"/>
              </w:rPr>
            </w:pPr>
            <w:r>
              <w:rPr>
                <w:rFonts w:ascii="Arial Narrow" w:hAnsi="Arial Narrow" w:cs="Times New Roman"/>
              </w:rPr>
              <w:t>95/260/2007</w:t>
            </w:r>
          </w:p>
        </w:tc>
        <w:tc>
          <w:tcPr>
            <w:tcW w:w="662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2471AB" w:rsidP="00634079">
            <w:pPr>
              <w:spacing w:line="240" w:lineRule="auto"/>
              <w:ind w:left="57" w:right="57"/>
              <w:rPr>
                <w:rFonts w:ascii="Arial Narrow" w:hAnsi="Arial Narrow" w:cs="Times New Roman"/>
                <w:color w:val="000000"/>
                <w:lang w:eastAsia="sk-SK"/>
              </w:rPr>
            </w:pPr>
            <w:r>
              <w:rPr>
                <w:rFonts w:ascii="Arial Narrow" w:hAnsi="Arial Narrow" w:cs="Times New Roman"/>
                <w:color w:val="000000"/>
                <w:lang w:eastAsia="sk-SK"/>
              </w:rPr>
              <w:t xml:space="preserve">Sociálno-ekonomické prieskumy informovanosti a postojov obyvateľstva, vyhodnocovanie plnenia  cieľov digitalizácie </w:t>
            </w:r>
          </w:p>
        </w:tc>
        <w:tc>
          <w:tcPr>
            <w:tcW w:w="1276"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2471AB" w:rsidP="0063407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240" w:lineRule="auto"/>
              <w:ind w:left="73"/>
              <w:jc w:val="center"/>
              <w:rPr>
                <w:rFonts w:ascii="Arial Narrow" w:hAnsi="Arial Narrow" w:cs="Times New Roman"/>
              </w:rPr>
            </w:pPr>
            <w:r>
              <w:rPr>
                <w:rFonts w:ascii="Arial Narrow" w:hAnsi="Arial Narrow" w:cs="Times New Roman"/>
              </w:rPr>
              <w:t xml:space="preserve">    9</w:t>
            </w:r>
            <w:r>
              <w:rPr>
                <w:rFonts w:ascii="Arial Narrow" w:hAnsi="Arial Narrow" w:cs="Times New Roman"/>
              </w:rPr>
              <w:t>80 000</w:t>
            </w:r>
          </w:p>
        </w:tc>
      </w:tr>
      <w:tr>
        <w:tblPrEx>
          <w:tblW w:w="9314" w:type="dxa"/>
          <w:jc w:val="center"/>
          <w:tblLayout w:type="fixed"/>
          <w:tblCellMar>
            <w:top w:w="0" w:type="dxa"/>
            <w:left w:w="28" w:type="dxa"/>
            <w:bottom w:w="0" w:type="dxa"/>
            <w:right w:w="28" w:type="dxa"/>
          </w:tblCellMar>
        </w:tblPrEx>
        <w:trPr>
          <w:cantSplit/>
          <w:trHeight w:val="275"/>
          <w:jc w:val="center"/>
        </w:trPr>
        <w:tc>
          <w:tcPr>
            <w:tcW w:w="141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471AB" w:rsidP="00634079">
            <w:pPr>
              <w:spacing w:line="240" w:lineRule="auto"/>
              <w:jc w:val="center"/>
              <w:rPr>
                <w:rFonts w:ascii="Arial Narrow" w:hAnsi="Arial Narrow" w:cs="Times New Roman"/>
              </w:rPr>
            </w:pPr>
            <w:r>
              <w:rPr>
                <w:rFonts w:ascii="Arial Narrow" w:hAnsi="Arial Narrow" w:cs="Times New Roman"/>
              </w:rPr>
              <w:t>102/260/2007</w:t>
            </w:r>
          </w:p>
        </w:tc>
        <w:tc>
          <w:tcPr>
            <w:tcW w:w="662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2471AB" w:rsidP="00634079">
            <w:pPr>
              <w:spacing w:line="240" w:lineRule="auto"/>
              <w:ind w:left="57" w:right="57"/>
              <w:rPr>
                <w:rFonts w:ascii="Arial Narrow" w:hAnsi="Arial Narrow" w:cs="Times New Roman"/>
                <w:color w:val="000000"/>
                <w:lang w:eastAsia="sk-SK"/>
              </w:rPr>
            </w:pPr>
            <w:r>
              <w:rPr>
                <w:rFonts w:ascii="Arial Narrow" w:hAnsi="Arial Narrow" w:cs="Times New Roman"/>
                <w:color w:val="000000"/>
                <w:lang w:eastAsia="sk-SK"/>
              </w:rPr>
              <w:t>Rozpracovanie výsledkov konferencie RRC-06 z hľadiska akcelerácie rozvoja pozemského digitálneho TV  vysielania na Slovensku</w:t>
            </w:r>
          </w:p>
        </w:tc>
        <w:tc>
          <w:tcPr>
            <w:tcW w:w="1276"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2471AB" w:rsidP="0063407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240" w:lineRule="auto"/>
              <w:ind w:left="73"/>
              <w:jc w:val="center"/>
              <w:rPr>
                <w:rFonts w:ascii="Arial Narrow" w:hAnsi="Arial Narrow" w:cs="Times New Roman"/>
              </w:rPr>
            </w:pPr>
            <w:r>
              <w:rPr>
                <w:rFonts w:ascii="Arial Narrow" w:hAnsi="Arial Narrow" w:cs="Times New Roman"/>
              </w:rPr>
              <w:t xml:space="preserve"> 1 180 000</w:t>
            </w:r>
          </w:p>
        </w:tc>
      </w:tr>
      <w:tr>
        <w:tblPrEx>
          <w:tblW w:w="9314" w:type="dxa"/>
          <w:jc w:val="center"/>
          <w:tblLayout w:type="fixed"/>
          <w:tblCellMar>
            <w:top w:w="0" w:type="dxa"/>
            <w:left w:w="28" w:type="dxa"/>
            <w:bottom w:w="0" w:type="dxa"/>
            <w:right w:w="28" w:type="dxa"/>
          </w:tblCellMar>
        </w:tblPrEx>
        <w:trPr>
          <w:cantSplit/>
          <w:trHeight w:val="275"/>
          <w:jc w:val="center"/>
        </w:trPr>
        <w:tc>
          <w:tcPr>
            <w:tcW w:w="141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471AB" w:rsidP="00634079">
            <w:pPr>
              <w:spacing w:line="240" w:lineRule="auto"/>
              <w:jc w:val="center"/>
              <w:rPr>
                <w:rFonts w:ascii="Arial Narrow" w:hAnsi="Arial Narrow" w:cs="Times New Roman"/>
              </w:rPr>
            </w:pPr>
            <w:r>
              <w:rPr>
                <w:rFonts w:ascii="Arial Narrow" w:hAnsi="Arial Narrow" w:cs="Times New Roman"/>
              </w:rPr>
              <w:t>103/260/2007</w:t>
            </w:r>
          </w:p>
        </w:tc>
        <w:tc>
          <w:tcPr>
            <w:tcW w:w="662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2471AB" w:rsidP="00634079">
            <w:pPr>
              <w:spacing w:line="240" w:lineRule="auto"/>
              <w:ind w:left="57" w:right="57"/>
              <w:rPr>
                <w:rFonts w:ascii="Arial Narrow" w:hAnsi="Arial Narrow" w:cs="Times New Roman"/>
                <w:color w:val="000000"/>
                <w:lang w:eastAsia="sk-SK"/>
              </w:rPr>
            </w:pPr>
            <w:r>
              <w:rPr>
                <w:rFonts w:ascii="Arial Narrow" w:hAnsi="Arial Narrow" w:cs="Times New Roman"/>
                <w:color w:val="000000"/>
                <w:lang w:eastAsia="sk-SK"/>
              </w:rPr>
              <w:t>Výskum nových systémov vysielania na poskytovanie multimediálnych služieb</w:t>
            </w:r>
          </w:p>
        </w:tc>
        <w:tc>
          <w:tcPr>
            <w:tcW w:w="1276"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2471AB" w:rsidP="0063407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240" w:lineRule="auto"/>
              <w:ind w:left="73"/>
              <w:jc w:val="center"/>
              <w:rPr>
                <w:rFonts w:ascii="Arial Narrow" w:hAnsi="Arial Narrow" w:cs="Times New Roman"/>
              </w:rPr>
            </w:pPr>
            <w:r>
              <w:rPr>
                <w:rFonts w:ascii="Arial Narrow" w:hAnsi="Arial Narrow" w:cs="Times New Roman"/>
              </w:rPr>
              <w:t xml:space="preserve">    620 000</w:t>
            </w:r>
          </w:p>
        </w:tc>
      </w:tr>
      <w:tr>
        <w:tblPrEx>
          <w:tblW w:w="9314" w:type="dxa"/>
          <w:jc w:val="center"/>
          <w:tblLayout w:type="fixed"/>
          <w:tblCellMar>
            <w:top w:w="0" w:type="dxa"/>
            <w:left w:w="28" w:type="dxa"/>
            <w:bottom w:w="0" w:type="dxa"/>
            <w:right w:w="28" w:type="dxa"/>
          </w:tblCellMar>
        </w:tblPrEx>
        <w:trPr>
          <w:cantSplit/>
          <w:trHeight w:val="275"/>
          <w:jc w:val="center"/>
        </w:trPr>
        <w:tc>
          <w:tcPr>
            <w:tcW w:w="141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471AB" w:rsidP="00634079">
            <w:pPr>
              <w:spacing w:line="240" w:lineRule="auto"/>
              <w:jc w:val="center"/>
              <w:rPr>
                <w:rFonts w:ascii="Arial Narrow" w:hAnsi="Arial Narrow" w:cs="Times New Roman"/>
              </w:rPr>
            </w:pPr>
            <w:r>
              <w:rPr>
                <w:rFonts w:ascii="Arial Narrow" w:hAnsi="Arial Narrow" w:cs="Times New Roman"/>
              </w:rPr>
              <w:t>333/260/2007</w:t>
            </w:r>
          </w:p>
        </w:tc>
        <w:tc>
          <w:tcPr>
            <w:tcW w:w="662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2471AB" w:rsidP="00634079">
            <w:pPr>
              <w:spacing w:line="240" w:lineRule="auto"/>
              <w:ind w:left="57" w:right="57"/>
              <w:rPr>
                <w:rFonts w:ascii="Arial Narrow" w:hAnsi="Arial Narrow" w:cs="Times New Roman"/>
                <w:color w:val="000000"/>
                <w:lang w:eastAsia="sk-SK"/>
              </w:rPr>
            </w:pPr>
            <w:r>
              <w:rPr>
                <w:rFonts w:ascii="Arial Narrow" w:hAnsi="Arial Narrow" w:cs="Times New Roman"/>
                <w:color w:val="000000"/>
                <w:lang w:eastAsia="sk-SK"/>
              </w:rPr>
              <w:t>Vypracovanie technickej normalizačnej informácie (TNI prijímačov DVB-T)</w:t>
            </w:r>
          </w:p>
        </w:tc>
        <w:tc>
          <w:tcPr>
            <w:tcW w:w="1276"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2471AB" w:rsidP="0063407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240" w:lineRule="auto"/>
              <w:ind w:left="73"/>
              <w:jc w:val="center"/>
              <w:rPr>
                <w:rFonts w:ascii="Arial Narrow" w:hAnsi="Arial Narrow" w:cs="Times New Roman"/>
              </w:rPr>
            </w:pPr>
            <w:r>
              <w:rPr>
                <w:rFonts w:ascii="Arial Narrow" w:hAnsi="Arial Narrow" w:cs="Times New Roman"/>
              </w:rPr>
              <w:t xml:space="preserve">   210 000</w:t>
            </w:r>
          </w:p>
        </w:tc>
      </w:tr>
      <w:tr>
        <w:tblPrEx>
          <w:tblW w:w="9314" w:type="dxa"/>
          <w:jc w:val="center"/>
          <w:tblLayout w:type="fixed"/>
          <w:tblCellMar>
            <w:top w:w="0" w:type="dxa"/>
            <w:left w:w="28" w:type="dxa"/>
            <w:bottom w:w="0" w:type="dxa"/>
            <w:right w:w="28" w:type="dxa"/>
          </w:tblCellMar>
        </w:tblPrEx>
        <w:trPr>
          <w:cantSplit/>
          <w:trHeight w:val="275"/>
          <w:jc w:val="center"/>
        </w:trPr>
        <w:tc>
          <w:tcPr>
            <w:tcW w:w="141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471AB" w:rsidP="00634079">
            <w:pPr>
              <w:spacing w:line="240" w:lineRule="auto"/>
              <w:jc w:val="center"/>
              <w:rPr>
                <w:rFonts w:ascii="Arial Narrow" w:hAnsi="Arial Narrow" w:cs="Times New Roman"/>
              </w:rPr>
            </w:pPr>
          </w:p>
        </w:tc>
        <w:tc>
          <w:tcPr>
            <w:tcW w:w="662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2471AB" w:rsidRPr="00E14EB4" w:rsidP="00634079">
            <w:pPr>
              <w:spacing w:line="240" w:lineRule="auto"/>
              <w:ind w:left="57" w:right="57"/>
              <w:rPr>
                <w:rFonts w:ascii="Arial Narrow" w:hAnsi="Arial Narrow" w:cs="Times New Roman"/>
                <w:b/>
                <w:color w:val="000000"/>
                <w:lang w:eastAsia="sk-SK"/>
              </w:rPr>
            </w:pPr>
            <w:r w:rsidRPr="00E14EB4">
              <w:rPr>
                <w:rFonts w:ascii="Arial Narrow" w:hAnsi="Arial Narrow" w:cs="Times New Roman"/>
                <w:b/>
                <w:color w:val="000000"/>
                <w:lang w:eastAsia="sk-SK"/>
              </w:rPr>
              <w:t>Mediálny inštitút, Občianske združenie Bratislava</w:t>
            </w:r>
          </w:p>
        </w:tc>
        <w:tc>
          <w:tcPr>
            <w:tcW w:w="1276"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2471AB" w:rsidP="0063407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240" w:lineRule="auto"/>
              <w:ind w:left="73"/>
              <w:jc w:val="center"/>
              <w:rPr>
                <w:rFonts w:ascii="Arial Narrow" w:hAnsi="Arial Narrow" w:cs="Times New Roman"/>
              </w:rPr>
            </w:pPr>
          </w:p>
        </w:tc>
      </w:tr>
      <w:tr>
        <w:tblPrEx>
          <w:tblW w:w="9314" w:type="dxa"/>
          <w:jc w:val="center"/>
          <w:tblLayout w:type="fixed"/>
          <w:tblCellMar>
            <w:top w:w="0" w:type="dxa"/>
            <w:left w:w="28" w:type="dxa"/>
            <w:bottom w:w="0" w:type="dxa"/>
            <w:right w:w="28" w:type="dxa"/>
          </w:tblCellMar>
        </w:tblPrEx>
        <w:trPr>
          <w:cantSplit/>
          <w:trHeight w:val="275"/>
          <w:jc w:val="center"/>
        </w:trPr>
        <w:tc>
          <w:tcPr>
            <w:tcW w:w="141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471AB" w:rsidP="00634079">
            <w:pPr>
              <w:spacing w:line="240" w:lineRule="auto"/>
              <w:jc w:val="center"/>
              <w:rPr>
                <w:rFonts w:ascii="Arial Narrow" w:hAnsi="Arial Narrow" w:cs="Times New Roman"/>
              </w:rPr>
            </w:pPr>
            <w:r>
              <w:rPr>
                <w:rFonts w:ascii="Arial Narrow" w:hAnsi="Arial Narrow" w:cs="Times New Roman"/>
              </w:rPr>
              <w:t>130/260/2007</w:t>
            </w:r>
          </w:p>
        </w:tc>
        <w:tc>
          <w:tcPr>
            <w:tcW w:w="662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2471AB" w:rsidRPr="00E14EB4" w:rsidP="00E95FB9">
            <w:pPr>
              <w:spacing w:line="240" w:lineRule="auto"/>
              <w:ind w:left="57" w:right="57"/>
              <w:rPr>
                <w:rFonts w:ascii="Arial Narrow" w:hAnsi="Arial Narrow" w:cs="Times New Roman"/>
                <w:color w:val="000000"/>
                <w:lang w:eastAsia="sk-SK"/>
              </w:rPr>
            </w:pPr>
            <w:r w:rsidRPr="00E14EB4">
              <w:rPr>
                <w:rFonts w:ascii="Arial Narrow" w:hAnsi="Arial Narrow" w:cs="Times New Roman"/>
                <w:color w:val="000000"/>
                <w:lang w:eastAsia="sk-SK"/>
              </w:rPr>
              <w:t xml:space="preserve">Spôsob </w:t>
            </w:r>
            <w:r w:rsidR="00E95FB9">
              <w:rPr>
                <w:rFonts w:ascii="Arial Narrow" w:hAnsi="Arial Narrow" w:cs="Times New Roman"/>
                <w:color w:val="000000"/>
                <w:lang w:eastAsia="sk-SK"/>
              </w:rPr>
              <w:t xml:space="preserve">riešenia zavádzania dig. </w:t>
            </w:r>
            <w:r w:rsidRPr="00E14EB4">
              <w:rPr>
                <w:rFonts w:ascii="Arial Narrow" w:hAnsi="Arial Narrow" w:cs="Times New Roman"/>
                <w:color w:val="000000"/>
                <w:lang w:eastAsia="sk-SK"/>
              </w:rPr>
              <w:t>vysielania v</w:t>
            </w:r>
            <w:r w:rsidR="001E054F">
              <w:rPr>
                <w:rFonts w:ascii="Arial Narrow" w:hAnsi="Arial Narrow" w:cs="Times New Roman"/>
                <w:color w:val="000000"/>
                <w:lang w:eastAsia="sk-SK"/>
              </w:rPr>
              <w:t> </w:t>
            </w:r>
            <w:r w:rsidRPr="00E14EB4">
              <w:rPr>
                <w:rFonts w:ascii="Arial Narrow" w:hAnsi="Arial Narrow" w:cs="Times New Roman"/>
                <w:color w:val="000000"/>
                <w:lang w:eastAsia="sk-SK"/>
              </w:rPr>
              <w:t>SR a</w:t>
            </w:r>
            <w:r>
              <w:rPr>
                <w:rFonts w:ascii="Arial Narrow" w:hAnsi="Arial Narrow" w:cs="Times New Roman"/>
                <w:color w:val="000000"/>
                <w:lang w:eastAsia="sk-SK"/>
              </w:rPr>
              <w:t> </w:t>
            </w:r>
            <w:r w:rsidRPr="00E14EB4">
              <w:rPr>
                <w:rFonts w:ascii="Arial Narrow" w:hAnsi="Arial Narrow" w:cs="Times New Roman"/>
                <w:color w:val="000000"/>
                <w:lang w:eastAsia="sk-SK"/>
              </w:rPr>
              <w:t>kvantifikácia</w:t>
            </w:r>
            <w:r w:rsidR="00E95FB9">
              <w:rPr>
                <w:rFonts w:ascii="Arial Narrow" w:hAnsi="Arial Narrow" w:cs="Times New Roman"/>
                <w:color w:val="000000"/>
                <w:lang w:eastAsia="sk-SK"/>
              </w:rPr>
              <w:t xml:space="preserve"> rozsahu fin. </w:t>
            </w:r>
            <w:r>
              <w:rPr>
                <w:rFonts w:ascii="Arial Narrow" w:hAnsi="Arial Narrow" w:cs="Times New Roman"/>
                <w:color w:val="000000"/>
                <w:lang w:eastAsia="sk-SK"/>
              </w:rPr>
              <w:t>podp</w:t>
            </w:r>
            <w:r w:rsidR="00E95FB9">
              <w:rPr>
                <w:rFonts w:ascii="Arial Narrow" w:hAnsi="Arial Narrow" w:cs="Times New Roman"/>
                <w:color w:val="000000"/>
                <w:lang w:eastAsia="sk-SK"/>
              </w:rPr>
              <w:t>ory zo str</w:t>
            </w:r>
            <w:r w:rsidR="00E95FB9">
              <w:rPr>
                <w:rFonts w:ascii="Arial Narrow" w:hAnsi="Arial Narrow" w:cs="Times New Roman"/>
                <w:color w:val="000000"/>
                <w:lang w:eastAsia="sk-SK"/>
              </w:rPr>
              <w:t xml:space="preserve">any štátu </w:t>
            </w:r>
            <w:r>
              <w:rPr>
                <w:rFonts w:ascii="Arial Narrow" w:hAnsi="Arial Narrow" w:cs="Times New Roman"/>
                <w:color w:val="000000"/>
                <w:lang w:eastAsia="sk-SK"/>
              </w:rPr>
              <w:t>vo vzťahu k obyvateľstvu a vo vzťahu</w:t>
            </w:r>
            <w:r w:rsidR="00E95FB9">
              <w:rPr>
                <w:rFonts w:ascii="Arial Narrow" w:hAnsi="Arial Narrow" w:cs="Times New Roman"/>
                <w:color w:val="000000"/>
                <w:lang w:eastAsia="sk-SK"/>
              </w:rPr>
              <w:t xml:space="preserve"> </w:t>
            </w:r>
            <w:r>
              <w:rPr>
                <w:rFonts w:ascii="Arial Narrow" w:hAnsi="Arial Narrow" w:cs="Times New Roman"/>
                <w:color w:val="000000"/>
                <w:lang w:eastAsia="sk-SK"/>
              </w:rPr>
              <w:t>k verejnoprávnym médiám</w:t>
            </w:r>
          </w:p>
        </w:tc>
        <w:tc>
          <w:tcPr>
            <w:tcW w:w="1276"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2471AB" w:rsidP="0063407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240" w:lineRule="auto"/>
              <w:ind w:left="73"/>
              <w:jc w:val="center"/>
              <w:rPr>
                <w:rFonts w:ascii="Arial Narrow" w:hAnsi="Arial Narrow" w:cs="Times New Roman"/>
              </w:rPr>
            </w:pPr>
            <w:r>
              <w:rPr>
                <w:rFonts w:ascii="Arial Narrow" w:hAnsi="Arial Narrow" w:cs="Times New Roman"/>
              </w:rPr>
              <w:t xml:space="preserve">    400 000</w:t>
            </w:r>
          </w:p>
        </w:tc>
      </w:tr>
      <w:tr>
        <w:tblPrEx>
          <w:tblW w:w="9314" w:type="dxa"/>
          <w:jc w:val="center"/>
          <w:tblLayout w:type="fixed"/>
          <w:tblCellMar>
            <w:top w:w="0" w:type="dxa"/>
            <w:left w:w="28" w:type="dxa"/>
            <w:bottom w:w="0" w:type="dxa"/>
            <w:right w:w="28" w:type="dxa"/>
          </w:tblCellMar>
        </w:tblPrEx>
        <w:trPr>
          <w:cantSplit/>
          <w:trHeight w:val="275"/>
          <w:jc w:val="center"/>
        </w:trPr>
        <w:tc>
          <w:tcPr>
            <w:tcW w:w="141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471AB" w:rsidP="00634079">
            <w:pPr>
              <w:spacing w:line="240" w:lineRule="auto"/>
              <w:jc w:val="center"/>
              <w:rPr>
                <w:rFonts w:ascii="Arial Narrow" w:hAnsi="Arial Narrow" w:cs="Times New Roman"/>
              </w:rPr>
            </w:pPr>
          </w:p>
        </w:tc>
        <w:tc>
          <w:tcPr>
            <w:tcW w:w="662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2471AB" w:rsidRPr="00403BB3" w:rsidP="00634079">
            <w:pPr>
              <w:spacing w:line="240" w:lineRule="auto"/>
              <w:ind w:left="57" w:right="57"/>
              <w:rPr>
                <w:rFonts w:ascii="Arial Narrow" w:hAnsi="Arial Narrow" w:cs="Times New Roman"/>
                <w:b/>
                <w:color w:val="000000"/>
                <w:lang w:eastAsia="sk-SK"/>
              </w:rPr>
            </w:pPr>
            <w:r w:rsidRPr="00403BB3">
              <w:rPr>
                <w:rFonts w:ascii="Arial Narrow" w:hAnsi="Arial Narrow" w:cs="Times New Roman"/>
                <w:b/>
                <w:color w:val="000000"/>
                <w:lang w:eastAsia="sk-SK"/>
              </w:rPr>
              <w:t>TBDS, a.s. Bratislava</w:t>
            </w:r>
          </w:p>
        </w:tc>
        <w:tc>
          <w:tcPr>
            <w:tcW w:w="1276"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2471AB" w:rsidP="0063407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240" w:lineRule="auto"/>
              <w:ind w:left="73"/>
              <w:jc w:val="center"/>
              <w:rPr>
                <w:rFonts w:ascii="Arial Narrow" w:hAnsi="Arial Narrow" w:cs="Times New Roman"/>
              </w:rPr>
            </w:pPr>
          </w:p>
        </w:tc>
      </w:tr>
      <w:tr>
        <w:tblPrEx>
          <w:tblW w:w="9314" w:type="dxa"/>
          <w:jc w:val="center"/>
          <w:tblLayout w:type="fixed"/>
          <w:tblCellMar>
            <w:top w:w="0" w:type="dxa"/>
            <w:left w:w="28" w:type="dxa"/>
            <w:bottom w:w="0" w:type="dxa"/>
            <w:right w:w="28" w:type="dxa"/>
          </w:tblCellMar>
        </w:tblPrEx>
        <w:trPr>
          <w:cantSplit/>
          <w:trHeight w:val="275"/>
          <w:jc w:val="center"/>
        </w:trPr>
        <w:tc>
          <w:tcPr>
            <w:tcW w:w="141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471AB" w:rsidP="00634079">
            <w:pPr>
              <w:spacing w:line="240" w:lineRule="auto"/>
              <w:jc w:val="center"/>
              <w:rPr>
                <w:rFonts w:ascii="Arial Narrow" w:hAnsi="Arial Narrow" w:cs="Times New Roman"/>
              </w:rPr>
            </w:pPr>
            <w:r>
              <w:rPr>
                <w:rFonts w:ascii="Arial Narrow" w:hAnsi="Arial Narrow" w:cs="Times New Roman"/>
              </w:rPr>
              <w:t>146/260/2007</w:t>
            </w:r>
          </w:p>
        </w:tc>
        <w:tc>
          <w:tcPr>
            <w:tcW w:w="662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2471AB" w:rsidRPr="00BD1D76" w:rsidP="00634079">
            <w:pPr>
              <w:spacing w:line="240" w:lineRule="auto"/>
              <w:ind w:left="57" w:right="57"/>
              <w:rPr>
                <w:rFonts w:ascii="Arial Narrow" w:hAnsi="Arial Narrow" w:cs="Times New Roman"/>
                <w:color w:val="000000"/>
                <w:lang w:eastAsia="sk-SK"/>
              </w:rPr>
            </w:pPr>
            <w:r w:rsidRPr="00BD1D76">
              <w:rPr>
                <w:rFonts w:ascii="Arial Narrow" w:hAnsi="Arial Narrow" w:cs="Times New Roman"/>
                <w:color w:val="000000"/>
                <w:lang w:eastAsia="sk-SK"/>
              </w:rPr>
              <w:t xml:space="preserve">Aplikovaný </w:t>
            </w:r>
            <w:r>
              <w:rPr>
                <w:rFonts w:ascii="Arial Narrow" w:hAnsi="Arial Narrow" w:cs="Times New Roman"/>
                <w:color w:val="000000"/>
                <w:lang w:eastAsia="sk-SK"/>
              </w:rPr>
              <w:t>výskum rozvojového projektu v rámci pokračovania programu rozvoja infraštruktúry výskumu a</w:t>
            </w:r>
            <w:r w:rsidR="006F5B00">
              <w:rPr>
                <w:rFonts w:ascii="Arial Narrow" w:hAnsi="Arial Narrow" w:cs="Times New Roman"/>
                <w:color w:val="000000"/>
                <w:lang w:eastAsia="sk-SK"/>
              </w:rPr>
              <w:t> </w:t>
            </w:r>
            <w:r>
              <w:rPr>
                <w:rFonts w:ascii="Arial Narrow" w:hAnsi="Arial Narrow" w:cs="Times New Roman"/>
                <w:color w:val="000000"/>
                <w:lang w:eastAsia="sk-SK"/>
              </w:rPr>
              <w:t>vývoja pilotného DVB-T vysielani</w:t>
            </w:r>
            <w:r>
              <w:rPr>
                <w:rFonts w:ascii="Arial Narrow" w:hAnsi="Arial Narrow" w:cs="Times New Roman"/>
                <w:color w:val="000000"/>
                <w:lang w:eastAsia="sk-SK"/>
              </w:rPr>
              <w:t>a v podmienkach SR</w:t>
            </w:r>
          </w:p>
        </w:tc>
        <w:tc>
          <w:tcPr>
            <w:tcW w:w="1276"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2471AB" w:rsidP="0063407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240" w:lineRule="auto"/>
              <w:ind w:left="73"/>
              <w:jc w:val="center"/>
              <w:rPr>
                <w:rFonts w:ascii="Arial Narrow" w:hAnsi="Arial Narrow" w:cs="Times New Roman"/>
              </w:rPr>
            </w:pPr>
            <w:r>
              <w:rPr>
                <w:rFonts w:ascii="Arial Narrow" w:hAnsi="Arial Narrow" w:cs="Times New Roman"/>
              </w:rPr>
              <w:t xml:space="preserve">  </w:t>
            </w:r>
          </w:p>
          <w:p w:rsidR="002471AB" w:rsidP="0063407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240" w:lineRule="auto"/>
              <w:ind w:left="73"/>
              <w:jc w:val="center"/>
              <w:rPr>
                <w:rFonts w:ascii="Arial Narrow" w:hAnsi="Arial Narrow" w:cs="Times New Roman"/>
              </w:rPr>
            </w:pPr>
            <w:r>
              <w:rPr>
                <w:rFonts w:ascii="Arial Narrow" w:hAnsi="Arial Narrow" w:cs="Times New Roman"/>
              </w:rPr>
              <w:t>1 309 000</w:t>
            </w:r>
          </w:p>
        </w:tc>
      </w:tr>
      <w:tr>
        <w:tblPrEx>
          <w:tblW w:w="9314" w:type="dxa"/>
          <w:jc w:val="center"/>
          <w:tblLayout w:type="fixed"/>
          <w:tblCellMar>
            <w:top w:w="0" w:type="dxa"/>
            <w:left w:w="28" w:type="dxa"/>
            <w:bottom w:w="0" w:type="dxa"/>
            <w:right w:w="28" w:type="dxa"/>
          </w:tblCellMar>
        </w:tblPrEx>
        <w:trPr>
          <w:cantSplit/>
          <w:trHeight w:val="275"/>
          <w:jc w:val="center"/>
        </w:trPr>
        <w:tc>
          <w:tcPr>
            <w:tcW w:w="141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471AB" w:rsidP="00634079">
            <w:pPr>
              <w:spacing w:line="240" w:lineRule="auto"/>
              <w:jc w:val="center"/>
              <w:rPr>
                <w:rFonts w:ascii="Arial Narrow" w:hAnsi="Arial Narrow" w:cs="Times New Roman"/>
              </w:rPr>
            </w:pPr>
          </w:p>
        </w:tc>
        <w:tc>
          <w:tcPr>
            <w:tcW w:w="662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2471AB" w:rsidRPr="009A31C9" w:rsidP="00634079">
            <w:pPr>
              <w:spacing w:line="240" w:lineRule="auto"/>
              <w:ind w:left="57" w:right="57"/>
              <w:rPr>
                <w:rFonts w:ascii="Arial Narrow" w:hAnsi="Arial Narrow" w:cs="Times New Roman"/>
                <w:b/>
                <w:color w:val="000000"/>
                <w:lang w:eastAsia="sk-SK"/>
              </w:rPr>
            </w:pPr>
            <w:r w:rsidRPr="009A31C9">
              <w:rPr>
                <w:rFonts w:ascii="Arial Narrow" w:hAnsi="Arial Narrow" w:cs="Times New Roman"/>
                <w:b/>
                <w:color w:val="000000"/>
                <w:lang w:eastAsia="sk-SK"/>
              </w:rPr>
              <w:t>Telecom  Corp. s r.o., Vranov nad Topľou</w:t>
            </w:r>
          </w:p>
        </w:tc>
        <w:tc>
          <w:tcPr>
            <w:tcW w:w="1276"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2471AB" w:rsidP="0063407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240" w:lineRule="auto"/>
              <w:ind w:left="73"/>
              <w:jc w:val="center"/>
              <w:rPr>
                <w:rFonts w:ascii="Arial Narrow" w:hAnsi="Arial Narrow" w:cs="Times New Roman"/>
              </w:rPr>
            </w:pPr>
          </w:p>
        </w:tc>
      </w:tr>
      <w:tr>
        <w:tblPrEx>
          <w:tblW w:w="9314" w:type="dxa"/>
          <w:jc w:val="center"/>
          <w:tblLayout w:type="fixed"/>
          <w:tblCellMar>
            <w:top w:w="0" w:type="dxa"/>
            <w:left w:w="28" w:type="dxa"/>
            <w:bottom w:w="0" w:type="dxa"/>
            <w:right w:w="28" w:type="dxa"/>
          </w:tblCellMar>
        </w:tblPrEx>
        <w:trPr>
          <w:cantSplit/>
          <w:trHeight w:val="275"/>
          <w:jc w:val="center"/>
        </w:trPr>
        <w:tc>
          <w:tcPr>
            <w:tcW w:w="141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471AB" w:rsidP="00634079">
            <w:pPr>
              <w:spacing w:line="240" w:lineRule="auto"/>
              <w:jc w:val="center"/>
              <w:rPr>
                <w:rFonts w:ascii="Arial Narrow" w:hAnsi="Arial Narrow" w:cs="Times New Roman"/>
              </w:rPr>
            </w:pPr>
            <w:r>
              <w:rPr>
                <w:rFonts w:ascii="Arial Narrow" w:hAnsi="Arial Narrow" w:cs="Times New Roman"/>
              </w:rPr>
              <w:t>147/147/2007</w:t>
            </w:r>
          </w:p>
        </w:tc>
        <w:tc>
          <w:tcPr>
            <w:tcW w:w="662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2471AB" w:rsidRPr="009A31C9" w:rsidP="00634079">
            <w:pPr>
              <w:spacing w:line="240" w:lineRule="auto"/>
              <w:ind w:left="57" w:right="57"/>
              <w:rPr>
                <w:rFonts w:ascii="Arial Narrow" w:hAnsi="Arial Narrow" w:cs="Times New Roman"/>
                <w:b/>
                <w:color w:val="000000"/>
                <w:lang w:eastAsia="sk-SK"/>
              </w:rPr>
            </w:pPr>
            <w:r w:rsidRPr="00BD1D76">
              <w:rPr>
                <w:rFonts w:ascii="Arial Narrow" w:hAnsi="Arial Narrow" w:cs="Times New Roman"/>
                <w:color w:val="000000"/>
                <w:lang w:eastAsia="sk-SK"/>
              </w:rPr>
              <w:t xml:space="preserve">Aplikovaný </w:t>
            </w:r>
            <w:r>
              <w:rPr>
                <w:rFonts w:ascii="Arial Narrow" w:hAnsi="Arial Narrow" w:cs="Times New Roman"/>
                <w:color w:val="000000"/>
                <w:lang w:eastAsia="sk-SK"/>
              </w:rPr>
              <w:t>výskum rozvojového projektu v rámci pokračovania programu rozvoja infraštruktúry výskumu a</w:t>
            </w:r>
            <w:r w:rsidR="006F5B00">
              <w:rPr>
                <w:rFonts w:ascii="Arial Narrow" w:hAnsi="Arial Narrow" w:cs="Times New Roman"/>
                <w:color w:val="000000"/>
                <w:lang w:eastAsia="sk-SK"/>
              </w:rPr>
              <w:t> </w:t>
            </w:r>
            <w:r>
              <w:rPr>
                <w:rFonts w:ascii="Arial Narrow" w:hAnsi="Arial Narrow" w:cs="Times New Roman"/>
                <w:color w:val="000000"/>
                <w:lang w:eastAsia="sk-SK"/>
              </w:rPr>
              <w:t>vývoja pilotného DVB-T vysielania v podmienkach SR</w:t>
            </w:r>
          </w:p>
        </w:tc>
        <w:tc>
          <w:tcPr>
            <w:tcW w:w="1276"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2471AB" w:rsidP="0063407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240" w:lineRule="auto"/>
              <w:ind w:left="73"/>
              <w:jc w:val="center"/>
              <w:rPr>
                <w:rFonts w:ascii="Arial Narrow" w:hAnsi="Arial Narrow" w:cs="Times New Roman"/>
              </w:rPr>
            </w:pPr>
            <w:r>
              <w:rPr>
                <w:rFonts w:ascii="Arial Narrow" w:hAnsi="Arial Narrow" w:cs="Times New Roman"/>
              </w:rPr>
              <w:t xml:space="preserve">   690 200</w:t>
            </w:r>
          </w:p>
        </w:tc>
      </w:tr>
      <w:tr>
        <w:tblPrEx>
          <w:tblW w:w="9314" w:type="dxa"/>
          <w:jc w:val="center"/>
          <w:tblLayout w:type="fixed"/>
          <w:tblCellMar>
            <w:top w:w="0" w:type="dxa"/>
            <w:left w:w="28" w:type="dxa"/>
            <w:bottom w:w="0" w:type="dxa"/>
            <w:right w:w="28" w:type="dxa"/>
          </w:tblCellMar>
        </w:tblPrEx>
        <w:trPr>
          <w:cantSplit/>
          <w:trHeight w:val="275"/>
          <w:jc w:val="center"/>
        </w:trPr>
        <w:tc>
          <w:tcPr>
            <w:tcW w:w="1418" w:type="dxa"/>
            <w:tcBorders>
              <w:top w:val="single" w:sz="4" w:space="0" w:color="auto"/>
              <w:left w:val="single" w:sz="4" w:space="0" w:color="auto"/>
              <w:bottom w:val="single" w:sz="4" w:space="0" w:color="auto"/>
              <w:right w:val="single" w:sz="4" w:space="0" w:color="auto"/>
              <w:tl2br w:val="nil"/>
              <w:tr2bl w:val="nil"/>
            </w:tcBorders>
            <w:shd w:val="clear" w:color="auto" w:fill="C0C0C0"/>
            <w:textDirection w:val="lrTb"/>
            <w:vAlign w:val="top"/>
          </w:tcPr>
          <w:p w:rsidR="002471AB" w:rsidRPr="00E230F3" w:rsidP="00634079">
            <w:pPr>
              <w:spacing w:line="240" w:lineRule="auto"/>
              <w:jc w:val="center"/>
              <w:rPr>
                <w:rFonts w:ascii="Arial Narrow" w:hAnsi="Arial Narrow" w:cs="Times New Roman"/>
              </w:rPr>
            </w:pPr>
          </w:p>
        </w:tc>
        <w:tc>
          <w:tcPr>
            <w:tcW w:w="6620" w:type="dxa"/>
            <w:tcBorders>
              <w:top w:val="single" w:sz="4" w:space="0" w:color="auto"/>
              <w:left w:val="single" w:sz="4" w:space="0" w:color="auto"/>
              <w:bottom w:val="single" w:sz="4" w:space="0" w:color="auto"/>
              <w:right w:val="single" w:sz="4" w:space="0" w:color="auto"/>
              <w:tl2br w:val="nil"/>
              <w:tr2bl w:val="nil"/>
            </w:tcBorders>
            <w:shd w:val="clear" w:color="auto" w:fill="C0C0C0"/>
            <w:textDirection w:val="lrTb"/>
            <w:vAlign w:val="center"/>
          </w:tcPr>
          <w:p w:rsidR="002471AB" w:rsidRPr="003F3107" w:rsidP="00634079">
            <w:pPr>
              <w:spacing w:line="240" w:lineRule="auto"/>
              <w:ind w:left="57" w:right="57"/>
              <w:jc w:val="center"/>
              <w:rPr>
                <w:rFonts w:ascii="Arial Narrow" w:hAnsi="Arial Narrow" w:cs="Times New Roman"/>
                <w:b/>
              </w:rPr>
            </w:pPr>
            <w:r w:rsidRPr="003F3107">
              <w:rPr>
                <w:rFonts w:ascii="Arial Narrow" w:hAnsi="Arial Narrow" w:cs="Times New Roman"/>
                <w:b/>
              </w:rPr>
              <w:t>S P O</w:t>
            </w:r>
            <w:r>
              <w:rPr>
                <w:rFonts w:ascii="Arial Narrow" w:hAnsi="Arial Narrow" w:cs="Times New Roman"/>
                <w:b/>
              </w:rPr>
              <w:t> </w:t>
            </w:r>
            <w:r w:rsidRPr="003F3107">
              <w:rPr>
                <w:rFonts w:ascii="Arial Narrow" w:hAnsi="Arial Narrow" w:cs="Times New Roman"/>
                <w:b/>
              </w:rPr>
              <w:t>L U</w:t>
            </w:r>
          </w:p>
        </w:tc>
        <w:tc>
          <w:tcPr>
            <w:tcW w:w="1276" w:type="dxa"/>
            <w:tcBorders>
              <w:top w:val="single" w:sz="4" w:space="0" w:color="auto"/>
              <w:left w:val="single" w:sz="4" w:space="0" w:color="auto"/>
              <w:bottom w:val="single" w:sz="4" w:space="0" w:color="auto"/>
              <w:right w:val="single" w:sz="4" w:space="0" w:color="auto"/>
              <w:tl2br w:val="nil"/>
              <w:tr2bl w:val="nil"/>
            </w:tcBorders>
            <w:shd w:val="clear" w:color="auto" w:fill="C0C0C0"/>
            <w:textDirection w:val="lrTb"/>
            <w:vAlign w:val="center"/>
          </w:tcPr>
          <w:p w:rsidR="002471AB" w:rsidRPr="003F3107" w:rsidP="0063407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240" w:lineRule="auto"/>
              <w:ind w:left="73"/>
              <w:jc w:val="center"/>
              <w:rPr>
                <w:rFonts w:ascii="Arial Narrow" w:hAnsi="Arial Narrow" w:cs="Times New Roman"/>
                <w:b/>
              </w:rPr>
            </w:pPr>
            <w:r>
              <w:rPr>
                <w:rFonts w:ascii="Arial Narrow" w:hAnsi="Arial Narrow" w:cs="Times New Roman"/>
                <w:b/>
              </w:rPr>
              <w:t>14 746 920</w:t>
            </w:r>
          </w:p>
        </w:tc>
      </w:tr>
    </w:tbl>
    <w:p w:rsidR="00641574" w:rsidP="00C362EA">
      <w:pPr>
        <w:spacing w:line="240" w:lineRule="auto"/>
        <w:rPr>
          <w:rFonts w:ascii="Times New Roman" w:hAnsi="Times New Roman" w:cs="Times New Roman"/>
          <w:sz w:val="24"/>
          <w:szCs w:val="24"/>
          <w:u w:val="single"/>
        </w:rPr>
      </w:pPr>
    </w:p>
    <w:p w:rsidR="005733E8" w:rsidRPr="00073F28" w:rsidP="00C362EA">
      <w:pPr>
        <w:spacing w:line="240" w:lineRule="auto"/>
        <w:rPr>
          <w:rFonts w:ascii="Times New Roman" w:hAnsi="Times New Roman" w:cs="Times New Roman"/>
          <w:sz w:val="24"/>
          <w:szCs w:val="24"/>
          <w:u w:val="single"/>
        </w:rPr>
      </w:pPr>
      <w:r w:rsidRPr="00073F28">
        <w:rPr>
          <w:rFonts w:ascii="Times New Roman" w:hAnsi="Times New Roman" w:cs="Times New Roman"/>
          <w:sz w:val="24"/>
          <w:szCs w:val="24"/>
          <w:u w:val="single"/>
        </w:rPr>
        <w:t>09</w:t>
      </w:r>
      <w:r w:rsidRPr="00073F28" w:rsidR="00073F28">
        <w:rPr>
          <w:rFonts w:ascii="Times New Roman" w:hAnsi="Times New Roman" w:cs="Times New Roman"/>
          <w:sz w:val="24"/>
          <w:szCs w:val="24"/>
          <w:u w:val="single"/>
        </w:rPr>
        <w:t>.</w:t>
      </w:r>
      <w:r w:rsidRPr="00073F28">
        <w:rPr>
          <w:rFonts w:ascii="Times New Roman" w:hAnsi="Times New Roman" w:cs="Times New Roman"/>
          <w:sz w:val="24"/>
          <w:szCs w:val="24"/>
          <w:u w:val="single"/>
        </w:rPr>
        <w:t>8</w:t>
      </w:r>
      <w:r w:rsidRPr="00073F28" w:rsidR="00073F28">
        <w:rPr>
          <w:rFonts w:ascii="Times New Roman" w:hAnsi="Times New Roman" w:cs="Times New Roman"/>
          <w:sz w:val="24"/>
          <w:szCs w:val="24"/>
          <w:u w:val="single"/>
        </w:rPr>
        <w:t>.</w:t>
      </w:r>
      <w:r w:rsidRPr="00073F28">
        <w:rPr>
          <w:rFonts w:ascii="Times New Roman" w:hAnsi="Times New Roman" w:cs="Times New Roman"/>
          <w:sz w:val="24"/>
          <w:szCs w:val="24"/>
          <w:u w:val="single"/>
        </w:rPr>
        <w:t>0 – Vzdelávanie inde neklasifikované</w:t>
      </w:r>
    </w:p>
    <w:p w:rsidR="00EE216E" w:rsidP="00C362EA">
      <w:pPr>
        <w:pStyle w:val="Heading6"/>
        <w:spacing w:line="240" w:lineRule="auto"/>
        <w:ind w:firstLine="540"/>
        <w:rPr>
          <w:rFonts w:ascii="Times New Roman" w:hAnsi="Times New Roman" w:cs="Times New Roman"/>
          <w:b w:val="0"/>
          <w:sz w:val="24"/>
          <w:szCs w:val="24"/>
        </w:rPr>
      </w:pPr>
    </w:p>
    <w:p w:rsidR="005733E8" w:rsidP="00C362EA">
      <w:pPr>
        <w:pStyle w:val="Heading6"/>
        <w:spacing w:line="240" w:lineRule="auto"/>
        <w:ind w:firstLine="540"/>
        <w:rPr>
          <w:rFonts w:ascii="Times New Roman" w:hAnsi="Times New Roman" w:cs="Times New Roman"/>
          <w:b w:val="0"/>
          <w:sz w:val="24"/>
          <w:szCs w:val="24"/>
        </w:rPr>
      </w:pPr>
      <w:r w:rsidRPr="00073F28">
        <w:rPr>
          <w:rFonts w:ascii="Times New Roman" w:hAnsi="Times New Roman" w:cs="Times New Roman"/>
          <w:b w:val="0"/>
          <w:sz w:val="24"/>
          <w:szCs w:val="24"/>
        </w:rPr>
        <w:t>Finančné pr</w:t>
      </w:r>
      <w:r w:rsidR="005F53DD">
        <w:rPr>
          <w:rFonts w:ascii="Times New Roman" w:hAnsi="Times New Roman" w:cs="Times New Roman"/>
          <w:b w:val="0"/>
          <w:sz w:val="24"/>
          <w:szCs w:val="24"/>
        </w:rPr>
        <w:t xml:space="preserve">ostriedky vo výške 1 999 589,91 Sk </w:t>
      </w:r>
      <w:r w:rsidRPr="00073F28">
        <w:rPr>
          <w:rFonts w:ascii="Times New Roman" w:hAnsi="Times New Roman" w:cs="Times New Roman"/>
          <w:b w:val="0"/>
          <w:sz w:val="24"/>
          <w:szCs w:val="24"/>
        </w:rPr>
        <w:t>boli použité na jazykové kurzy, školenia a odborné semináre v rámci vzdelávania zamestnancov organizovaných osobným úradom ministerstva a podľa požiadaviek jednotlivých útvarov.</w:t>
      </w:r>
    </w:p>
    <w:p w:rsidR="006F5B00" w:rsidP="00AE2D69">
      <w:pPr>
        <w:spacing w:line="240" w:lineRule="auto"/>
        <w:rPr>
          <w:rFonts w:ascii="Times New Roman" w:hAnsi="Times New Roman" w:cs="Times New Roman"/>
          <w:sz w:val="24"/>
          <w:szCs w:val="24"/>
          <w:u w:val="single"/>
        </w:rPr>
      </w:pPr>
    </w:p>
    <w:p w:rsidR="00AE2D69" w:rsidRPr="00CB3995" w:rsidP="00AE2D69">
      <w:pPr>
        <w:spacing w:line="240" w:lineRule="auto"/>
        <w:rPr>
          <w:rFonts w:ascii="Times New Roman" w:hAnsi="Times New Roman" w:cs="Times New Roman"/>
          <w:sz w:val="24"/>
          <w:szCs w:val="24"/>
          <w:u w:val="single"/>
        </w:rPr>
      </w:pPr>
      <w:r>
        <w:rPr>
          <w:rFonts w:ascii="Times New Roman" w:hAnsi="Times New Roman" w:cs="Times New Roman"/>
          <w:sz w:val="24"/>
          <w:szCs w:val="24"/>
          <w:u w:val="single"/>
        </w:rPr>
        <w:t>0</w:t>
      </w:r>
      <w:r w:rsidRPr="00CB3995">
        <w:rPr>
          <w:rFonts w:ascii="Times New Roman" w:hAnsi="Times New Roman" w:cs="Times New Roman"/>
          <w:sz w:val="24"/>
          <w:szCs w:val="24"/>
          <w:u w:val="single"/>
        </w:rPr>
        <w:t>4.5.1.1 MDPT SR</w:t>
      </w:r>
      <w:r>
        <w:rPr>
          <w:rFonts w:ascii="Times New Roman" w:hAnsi="Times New Roman" w:cs="Times New Roman"/>
          <w:sz w:val="24"/>
          <w:szCs w:val="24"/>
          <w:u w:val="single"/>
        </w:rPr>
        <w:t xml:space="preserve"> – </w:t>
      </w:r>
      <w:r w:rsidRPr="00CB3995">
        <w:rPr>
          <w:rFonts w:ascii="Times New Roman" w:hAnsi="Times New Roman" w:cs="Times New Roman"/>
          <w:sz w:val="24"/>
          <w:szCs w:val="24"/>
          <w:u w:val="single"/>
        </w:rPr>
        <w:t>aparát MDPT SR</w:t>
      </w:r>
    </w:p>
    <w:p w:rsidR="00AE2D69" w:rsidP="00AE2D69">
      <w:pPr>
        <w:spacing w:line="240" w:lineRule="auto"/>
        <w:ind w:firstLine="709"/>
        <w:rPr>
          <w:rFonts w:ascii="Times New Roman" w:hAnsi="Times New Roman" w:cs="Times New Roman"/>
          <w:sz w:val="24"/>
        </w:rPr>
      </w:pPr>
    </w:p>
    <w:p w:rsidR="008C72D5" w:rsidRPr="007C59C3" w:rsidP="001049B0">
      <w:pPr>
        <w:spacing w:line="240" w:lineRule="auto"/>
        <w:ind w:firstLine="709"/>
        <w:rPr>
          <w:rFonts w:ascii="Times New Roman" w:hAnsi="Times New Roman" w:cs="Times New Roman"/>
          <w:sz w:val="24"/>
        </w:rPr>
      </w:pPr>
      <w:r w:rsidRPr="007C59C3" w:rsidR="00AE2D69">
        <w:rPr>
          <w:rFonts w:ascii="Times New Roman" w:hAnsi="Times New Roman" w:cs="Times New Roman"/>
          <w:sz w:val="24"/>
        </w:rPr>
        <w:t xml:space="preserve">V rozpise záväzných ukazovateľov štátneho rozpočtu na rok 2007 boli pre MDPT SR určené záväzné ukazovatele v oblasti bežných výdavkov (600) vo výške </w:t>
      </w:r>
      <w:r w:rsidR="00103753">
        <w:rPr>
          <w:rFonts w:ascii="Times New Roman" w:hAnsi="Times New Roman" w:cs="Times New Roman"/>
          <w:sz w:val="24"/>
        </w:rPr>
        <w:t xml:space="preserve">684 136 </w:t>
      </w:r>
      <w:r w:rsidRPr="007C59C3" w:rsidR="00AE2D69">
        <w:rPr>
          <w:rFonts w:ascii="Times New Roman" w:hAnsi="Times New Roman" w:cs="Times New Roman"/>
          <w:sz w:val="24"/>
        </w:rPr>
        <w:t>000,- Sk, z toho pre správu m</w:t>
      </w:r>
      <w:r w:rsidRPr="007C59C3" w:rsidR="00AE2D69">
        <w:rPr>
          <w:rFonts w:ascii="Times New Roman" w:hAnsi="Times New Roman" w:cs="Times New Roman"/>
          <w:sz w:val="24"/>
        </w:rPr>
        <w:t xml:space="preserve">inisterstva </w:t>
      </w:r>
      <w:r w:rsidR="00103753">
        <w:rPr>
          <w:rFonts w:ascii="Times New Roman" w:hAnsi="Times New Roman" w:cs="Times New Roman"/>
          <w:sz w:val="24"/>
        </w:rPr>
        <w:t>391 </w:t>
      </w:r>
      <w:r w:rsidRPr="007C59C3" w:rsidR="00AE2D69">
        <w:rPr>
          <w:rFonts w:ascii="Times New Roman" w:hAnsi="Times New Roman" w:cs="Times New Roman"/>
          <w:sz w:val="24"/>
        </w:rPr>
        <w:t>4</w:t>
      </w:r>
      <w:r w:rsidR="00103753">
        <w:rPr>
          <w:rFonts w:ascii="Times New Roman" w:hAnsi="Times New Roman" w:cs="Times New Roman"/>
          <w:sz w:val="24"/>
        </w:rPr>
        <w:t xml:space="preserve">50 </w:t>
      </w:r>
      <w:r w:rsidRPr="007C59C3" w:rsidR="00AE2D69">
        <w:rPr>
          <w:rFonts w:ascii="Times New Roman" w:hAnsi="Times New Roman" w:cs="Times New Roman"/>
          <w:sz w:val="24"/>
        </w:rPr>
        <w:t xml:space="preserve">000,- Sk a na plnenie rozvojových úloh informatizácie spoločnosti </w:t>
      </w:r>
      <w:r w:rsidR="00103753">
        <w:rPr>
          <w:rFonts w:ascii="Times New Roman" w:hAnsi="Times New Roman" w:cs="Times New Roman"/>
          <w:sz w:val="24"/>
        </w:rPr>
        <w:t xml:space="preserve">292 686 </w:t>
      </w:r>
      <w:r w:rsidRPr="007C59C3" w:rsidR="00AE2D69">
        <w:rPr>
          <w:rFonts w:ascii="Times New Roman" w:hAnsi="Times New Roman" w:cs="Times New Roman"/>
          <w:sz w:val="24"/>
        </w:rPr>
        <w:t xml:space="preserve">000,- Sk. Rozpočtovými opatreniami boli záväzné ukazovatele upravené na </w:t>
      </w:r>
      <w:r w:rsidR="00103753">
        <w:rPr>
          <w:rFonts w:ascii="Times New Roman" w:hAnsi="Times New Roman" w:cs="Times New Roman"/>
          <w:sz w:val="24"/>
        </w:rPr>
        <w:t xml:space="preserve">578 557 </w:t>
      </w:r>
      <w:r w:rsidRPr="007C59C3" w:rsidR="00AE2D69">
        <w:rPr>
          <w:rFonts w:ascii="Times New Roman" w:hAnsi="Times New Roman" w:cs="Times New Roman"/>
          <w:sz w:val="24"/>
        </w:rPr>
        <w:t>924,94 Sk</w:t>
      </w:r>
      <w:r w:rsidR="00103753">
        <w:rPr>
          <w:rFonts w:ascii="Times New Roman" w:hAnsi="Times New Roman" w:cs="Times New Roman"/>
          <w:sz w:val="24"/>
        </w:rPr>
        <w:t xml:space="preserve">, z toho zdroje </w:t>
      </w:r>
      <w:r w:rsidRPr="007C59C3" w:rsidR="00AE2D69">
        <w:rPr>
          <w:rFonts w:ascii="Times New Roman" w:hAnsi="Times New Roman" w:cs="Times New Roman"/>
          <w:sz w:val="24"/>
        </w:rPr>
        <w:t>aparát</w:t>
      </w:r>
      <w:r w:rsidR="00103753">
        <w:rPr>
          <w:rFonts w:ascii="Times New Roman" w:hAnsi="Times New Roman" w:cs="Times New Roman"/>
          <w:sz w:val="24"/>
        </w:rPr>
        <w:t>u</w:t>
      </w:r>
      <w:r w:rsidRPr="007C59C3" w:rsidR="00AE2D69">
        <w:rPr>
          <w:rFonts w:ascii="Times New Roman" w:hAnsi="Times New Roman" w:cs="Times New Roman"/>
          <w:sz w:val="24"/>
        </w:rPr>
        <w:t xml:space="preserve"> MDPT SR </w:t>
      </w:r>
      <w:r w:rsidR="00103753">
        <w:rPr>
          <w:rFonts w:ascii="Times New Roman" w:hAnsi="Times New Roman" w:cs="Times New Roman"/>
          <w:sz w:val="24"/>
        </w:rPr>
        <w:t xml:space="preserve">predstavovali </w:t>
      </w:r>
      <w:r w:rsidRPr="007C59C3" w:rsidR="00AE2D69">
        <w:rPr>
          <w:rFonts w:ascii="Times New Roman" w:hAnsi="Times New Roman" w:cs="Times New Roman"/>
          <w:sz w:val="24"/>
        </w:rPr>
        <w:t>3</w:t>
      </w:r>
      <w:r w:rsidR="00103753">
        <w:rPr>
          <w:rFonts w:ascii="Times New Roman" w:hAnsi="Times New Roman" w:cs="Times New Roman"/>
          <w:sz w:val="24"/>
        </w:rPr>
        <w:t xml:space="preserve">13 696 </w:t>
      </w:r>
      <w:r w:rsidRPr="007C59C3" w:rsidR="00AE2D69">
        <w:rPr>
          <w:rFonts w:ascii="Times New Roman" w:hAnsi="Times New Roman" w:cs="Times New Roman"/>
          <w:sz w:val="24"/>
        </w:rPr>
        <w:t>423,10</w:t>
      </w:r>
      <w:r w:rsidR="00103753">
        <w:rPr>
          <w:rFonts w:ascii="Times New Roman" w:hAnsi="Times New Roman" w:cs="Times New Roman"/>
          <w:sz w:val="24"/>
        </w:rPr>
        <w:t xml:space="preserve"> Sk a zostato</w:t>
      </w:r>
      <w:r w:rsidR="00103753">
        <w:rPr>
          <w:rFonts w:ascii="Times New Roman" w:hAnsi="Times New Roman" w:cs="Times New Roman"/>
          <w:sz w:val="24"/>
        </w:rPr>
        <w:t xml:space="preserve">k prostriedkov </w:t>
      </w:r>
      <w:r w:rsidRPr="007C59C3" w:rsidR="00AE2D69">
        <w:rPr>
          <w:rFonts w:ascii="Times New Roman" w:hAnsi="Times New Roman" w:cs="Times New Roman"/>
          <w:sz w:val="24"/>
        </w:rPr>
        <w:t>informatizáci</w:t>
      </w:r>
      <w:r w:rsidR="00103753">
        <w:rPr>
          <w:rFonts w:ascii="Times New Roman" w:hAnsi="Times New Roman" w:cs="Times New Roman"/>
          <w:sz w:val="24"/>
        </w:rPr>
        <w:t>e</w:t>
      </w:r>
      <w:r w:rsidRPr="007C59C3" w:rsidR="00AE2D69">
        <w:rPr>
          <w:rFonts w:ascii="Times New Roman" w:hAnsi="Times New Roman" w:cs="Times New Roman"/>
          <w:sz w:val="24"/>
        </w:rPr>
        <w:t xml:space="preserve"> spoločnosti </w:t>
      </w:r>
      <w:r w:rsidR="00103753">
        <w:rPr>
          <w:rFonts w:ascii="Times New Roman" w:hAnsi="Times New Roman" w:cs="Times New Roman"/>
          <w:sz w:val="24"/>
        </w:rPr>
        <w:t xml:space="preserve">po jej delimitácií na Úrad vlády a MF SR) 222 686 </w:t>
      </w:r>
      <w:r w:rsidRPr="007C59C3" w:rsidR="00AE2D69">
        <w:rPr>
          <w:rFonts w:ascii="Times New Roman" w:hAnsi="Times New Roman" w:cs="Times New Roman"/>
          <w:sz w:val="24"/>
        </w:rPr>
        <w:t>000,- Sk</w:t>
      </w:r>
      <w:r w:rsidR="00103753">
        <w:rPr>
          <w:rFonts w:ascii="Times New Roman" w:hAnsi="Times New Roman" w:cs="Times New Roman"/>
          <w:sz w:val="24"/>
        </w:rPr>
        <w:t xml:space="preserve"> (RO MF SR č. </w:t>
      </w:r>
      <w:r w:rsidR="00B831AE">
        <w:rPr>
          <w:rFonts w:ascii="Times New Roman" w:hAnsi="Times New Roman" w:cs="Times New Roman"/>
          <w:sz w:val="24"/>
        </w:rPr>
        <w:t xml:space="preserve">6 a 7). </w:t>
      </w:r>
      <w:r w:rsidRPr="007C59C3" w:rsidR="00AE2D69">
        <w:rPr>
          <w:rFonts w:ascii="Times New Roman" w:hAnsi="Times New Roman" w:cs="Times New Roman"/>
          <w:sz w:val="24"/>
        </w:rPr>
        <w:t>Čerpané výdavky za sledovan</w:t>
      </w:r>
      <w:r w:rsidR="00B65BD6">
        <w:rPr>
          <w:rFonts w:ascii="Times New Roman" w:hAnsi="Times New Roman" w:cs="Times New Roman"/>
          <w:sz w:val="24"/>
        </w:rPr>
        <w:t xml:space="preserve">é obdobie boli vo výške 569 609 </w:t>
      </w:r>
      <w:r w:rsidRPr="007C59C3" w:rsidR="00AE2D69">
        <w:rPr>
          <w:rFonts w:ascii="Times New Roman" w:hAnsi="Times New Roman" w:cs="Times New Roman"/>
          <w:sz w:val="24"/>
        </w:rPr>
        <w:t>182,77 Sk, z</w:t>
      </w:r>
      <w:r w:rsidR="00B831AE">
        <w:rPr>
          <w:rFonts w:ascii="Times New Roman" w:hAnsi="Times New Roman" w:cs="Times New Roman"/>
          <w:sz w:val="24"/>
        </w:rPr>
        <w:t> </w:t>
      </w:r>
      <w:r w:rsidRPr="007C59C3" w:rsidR="00AE2D69">
        <w:rPr>
          <w:rFonts w:ascii="Times New Roman" w:hAnsi="Times New Roman" w:cs="Times New Roman"/>
          <w:sz w:val="24"/>
        </w:rPr>
        <w:t>toho</w:t>
      </w:r>
      <w:r w:rsidR="00B831AE">
        <w:rPr>
          <w:rFonts w:ascii="Times New Roman" w:hAnsi="Times New Roman" w:cs="Times New Roman"/>
          <w:sz w:val="24"/>
        </w:rPr>
        <w:t xml:space="preserve"> aparát </w:t>
      </w:r>
      <w:r w:rsidR="00B65BD6">
        <w:rPr>
          <w:rFonts w:ascii="Times New Roman" w:hAnsi="Times New Roman" w:cs="Times New Roman"/>
          <w:sz w:val="24"/>
        </w:rPr>
        <w:t xml:space="preserve">346 923 182,77 Sk </w:t>
      </w:r>
      <w:r w:rsidR="001049B0">
        <w:rPr>
          <w:rFonts w:ascii="Times New Roman" w:hAnsi="Times New Roman" w:cs="Times New Roman"/>
          <w:sz w:val="24"/>
        </w:rPr>
        <w:t xml:space="preserve">(vrátane technickej asistencie) </w:t>
      </w:r>
      <w:r w:rsidR="001049B0">
        <w:rPr>
          <w:rFonts w:ascii="Times New Roman" w:hAnsi="Times New Roman" w:cs="Times New Roman"/>
          <w:sz w:val="24"/>
        </w:rPr>
        <w:t xml:space="preserve">a delimitovaná </w:t>
      </w:r>
      <w:r w:rsidRPr="007C59C3" w:rsidR="00AE2D69">
        <w:rPr>
          <w:rFonts w:ascii="Times New Roman" w:hAnsi="Times New Roman" w:cs="Times New Roman"/>
          <w:sz w:val="24"/>
        </w:rPr>
        <w:t>inform</w:t>
      </w:r>
      <w:r w:rsidR="001049B0">
        <w:rPr>
          <w:rFonts w:ascii="Times New Roman" w:hAnsi="Times New Roman" w:cs="Times New Roman"/>
          <w:sz w:val="24"/>
        </w:rPr>
        <w:t>atizácia</w:t>
      </w:r>
      <w:r w:rsidR="00B65BD6">
        <w:rPr>
          <w:rFonts w:ascii="Times New Roman" w:hAnsi="Times New Roman" w:cs="Times New Roman"/>
          <w:sz w:val="24"/>
        </w:rPr>
        <w:t xml:space="preserve"> spoločnosti 222 686 000,- Sk. </w:t>
      </w:r>
    </w:p>
    <w:p w:rsidR="00B65BD6" w:rsidRPr="00635CFE" w:rsidP="00635CFE">
      <w:pPr>
        <w:spacing w:line="240" w:lineRule="auto"/>
        <w:ind w:firstLine="709"/>
        <w:rPr>
          <w:rFonts w:ascii="Times New Roman" w:hAnsi="Times New Roman" w:cs="Times New Roman"/>
          <w:sz w:val="24"/>
          <w:szCs w:val="24"/>
        </w:rPr>
      </w:pPr>
      <w:r>
        <w:rPr>
          <w:rFonts w:ascii="Times New Roman" w:hAnsi="Times New Roman" w:cs="Times New Roman"/>
          <w:sz w:val="24"/>
        </w:rPr>
        <w:t xml:space="preserve">Schválený rozpočet vo výške 391 450 000,- Sk neobsahuje </w:t>
      </w:r>
      <w:r>
        <w:rPr>
          <w:rFonts w:ascii="Times New Roman" w:hAnsi="Times New Roman" w:cs="Times New Roman"/>
          <w:color w:val="000000"/>
          <w:sz w:val="24"/>
          <w:szCs w:val="24"/>
        </w:rPr>
        <w:t>bežné transfery vo výške 7 423 000,- Sk určené</w:t>
      </w:r>
      <w:r w:rsidRPr="003C3B6A" w:rsidR="008C72D5">
        <w:rPr>
          <w:rFonts w:ascii="Times New Roman" w:hAnsi="Times New Roman" w:cs="Times New Roman"/>
          <w:color w:val="000000"/>
          <w:sz w:val="24"/>
          <w:szCs w:val="24"/>
        </w:rPr>
        <w:t xml:space="preserve"> na financovanie </w:t>
      </w:r>
      <w:r w:rsidRPr="003C3B6A" w:rsidR="008C72D5">
        <w:rPr>
          <w:rFonts w:ascii="Times New Roman" w:hAnsi="Times New Roman" w:cs="Times New Roman"/>
          <w:sz w:val="24"/>
          <w:szCs w:val="24"/>
        </w:rPr>
        <w:t>preneseného výkon</w:t>
      </w:r>
      <w:r w:rsidR="007E2789">
        <w:rPr>
          <w:rFonts w:ascii="Times New Roman" w:hAnsi="Times New Roman" w:cs="Times New Roman"/>
          <w:sz w:val="24"/>
          <w:szCs w:val="24"/>
        </w:rPr>
        <w:t>u</w:t>
      </w:r>
      <w:r w:rsidRPr="003C3B6A" w:rsidR="008C72D5">
        <w:rPr>
          <w:rFonts w:ascii="Times New Roman" w:hAnsi="Times New Roman" w:cs="Times New Roman"/>
          <w:sz w:val="24"/>
          <w:szCs w:val="24"/>
        </w:rPr>
        <w:t xml:space="preserve"> pôsobnosti štátnej správy na obce a</w:t>
      </w:r>
      <w:r>
        <w:rPr>
          <w:rFonts w:ascii="Times New Roman" w:hAnsi="Times New Roman" w:cs="Times New Roman"/>
          <w:sz w:val="24"/>
          <w:szCs w:val="24"/>
        </w:rPr>
        <w:t> </w:t>
      </w:r>
      <w:r w:rsidRPr="003C3B6A" w:rsidR="008C72D5">
        <w:rPr>
          <w:rFonts w:ascii="Times New Roman" w:hAnsi="Times New Roman" w:cs="Times New Roman"/>
          <w:sz w:val="24"/>
          <w:szCs w:val="24"/>
        </w:rPr>
        <w:t>VÚC</w:t>
      </w:r>
      <w:r>
        <w:rPr>
          <w:rFonts w:ascii="Times New Roman" w:hAnsi="Times New Roman" w:cs="Times New Roman"/>
          <w:sz w:val="24"/>
          <w:szCs w:val="24"/>
        </w:rPr>
        <w:t xml:space="preserve">, ktoré síce boli </w:t>
      </w:r>
      <w:r>
        <w:rPr>
          <w:rFonts w:ascii="Times New Roman" w:hAnsi="Times New Roman" w:cs="Times New Roman"/>
          <w:sz w:val="24"/>
          <w:szCs w:val="24"/>
        </w:rPr>
        <w:t>pôvod</w:t>
      </w:r>
      <w:r w:rsidR="007E2789">
        <w:rPr>
          <w:rFonts w:ascii="Times New Roman" w:hAnsi="Times New Roman" w:cs="Times New Roman"/>
          <w:sz w:val="24"/>
          <w:szCs w:val="24"/>
        </w:rPr>
        <w:t>ne zahrnuté v schválenom rozpoč</w:t>
      </w:r>
      <w:r>
        <w:rPr>
          <w:rFonts w:ascii="Times New Roman" w:hAnsi="Times New Roman" w:cs="Times New Roman"/>
          <w:sz w:val="24"/>
          <w:szCs w:val="24"/>
        </w:rPr>
        <w:t>t</w:t>
      </w:r>
      <w:r w:rsidR="007E2789">
        <w:rPr>
          <w:rFonts w:ascii="Times New Roman" w:hAnsi="Times New Roman" w:cs="Times New Roman"/>
          <w:sz w:val="24"/>
          <w:szCs w:val="24"/>
        </w:rPr>
        <w:t>e</w:t>
      </w:r>
      <w:r>
        <w:rPr>
          <w:rFonts w:ascii="Times New Roman" w:hAnsi="Times New Roman" w:cs="Times New Roman"/>
          <w:sz w:val="24"/>
          <w:szCs w:val="24"/>
        </w:rPr>
        <w:t xml:space="preserve"> úradu ale neskôr vnútorným rozpočtovým opatrením presunuté na jednotlivé krajské úrady pre cestnú dopravu a pozemné komunikácie, ktoré boli poverené  poukázaním týchto prostriedkov obciam. </w:t>
      </w:r>
    </w:p>
    <w:p w:rsidR="006F5B00" w:rsidP="001049B0">
      <w:pPr>
        <w:spacing w:line="240" w:lineRule="auto"/>
        <w:ind w:firstLine="709"/>
        <w:rPr>
          <w:rFonts w:ascii="Times New Roman" w:hAnsi="Times New Roman" w:cs="Times New Roman"/>
          <w:sz w:val="24"/>
        </w:rPr>
      </w:pPr>
      <w:r w:rsidRPr="00AB1F6D" w:rsidR="00AE2D69">
        <w:rPr>
          <w:rFonts w:ascii="Times New Roman" w:hAnsi="Times New Roman" w:cs="Times New Roman"/>
          <w:sz w:val="24"/>
        </w:rPr>
        <w:t>Úspora v kat</w:t>
      </w:r>
      <w:r w:rsidR="007E2789">
        <w:rPr>
          <w:rFonts w:ascii="Times New Roman" w:hAnsi="Times New Roman" w:cs="Times New Roman"/>
          <w:sz w:val="24"/>
        </w:rPr>
        <w:t xml:space="preserve">egórii (610) – </w:t>
      </w:r>
      <w:r w:rsidR="007E2789">
        <w:rPr>
          <w:rFonts w:ascii="Times New Roman" w:hAnsi="Times New Roman" w:cs="Times New Roman"/>
          <w:sz w:val="24"/>
        </w:rPr>
        <w:t>M</w:t>
      </w:r>
      <w:r w:rsidR="001049B0">
        <w:rPr>
          <w:rFonts w:ascii="Times New Roman" w:hAnsi="Times New Roman" w:cs="Times New Roman"/>
          <w:sz w:val="24"/>
        </w:rPr>
        <w:t xml:space="preserve">zdy, platy, služobné </w:t>
      </w:r>
      <w:r w:rsidRPr="00AB1F6D" w:rsidR="00AE2D69">
        <w:rPr>
          <w:rFonts w:ascii="Times New Roman" w:hAnsi="Times New Roman" w:cs="Times New Roman"/>
          <w:sz w:val="24"/>
        </w:rPr>
        <w:t xml:space="preserve">príjmy a OOV vo výške </w:t>
      </w:r>
      <w:r w:rsidR="001049B0">
        <w:rPr>
          <w:rFonts w:ascii="Times New Roman" w:hAnsi="Times New Roman" w:cs="Times New Roman"/>
          <w:sz w:val="24"/>
        </w:rPr>
        <w:t xml:space="preserve">74 </w:t>
      </w:r>
      <w:r w:rsidR="00AE2D69">
        <w:rPr>
          <w:rFonts w:ascii="Times New Roman" w:hAnsi="Times New Roman" w:cs="Times New Roman"/>
          <w:sz w:val="24"/>
        </w:rPr>
        <w:t>574,40</w:t>
      </w:r>
      <w:r w:rsidRPr="00AB1F6D" w:rsidR="00AE2D69">
        <w:rPr>
          <w:rFonts w:ascii="Times New Roman" w:hAnsi="Times New Roman" w:cs="Times New Roman"/>
          <w:sz w:val="24"/>
        </w:rPr>
        <w:t xml:space="preserve"> Sk (vrátane </w:t>
      </w:r>
      <w:r w:rsidR="00AE2D69">
        <w:rPr>
          <w:rFonts w:ascii="Times New Roman" w:hAnsi="Times New Roman" w:cs="Times New Roman"/>
          <w:sz w:val="24"/>
        </w:rPr>
        <w:t xml:space="preserve">technickej asistencie </w:t>
      </w:r>
      <w:r w:rsidRPr="00AB1F6D" w:rsidR="00AE2D69">
        <w:rPr>
          <w:rFonts w:ascii="Times New Roman" w:hAnsi="Times New Roman" w:cs="Times New Roman"/>
          <w:sz w:val="24"/>
        </w:rPr>
        <w:t>) vznikla v súvislosti s plnením uznesenia vlády SR č. 328/2004 v znení uznesenia vlád</w:t>
      </w:r>
      <w:r w:rsidR="001049B0">
        <w:rPr>
          <w:rFonts w:ascii="Times New Roman" w:hAnsi="Times New Roman" w:cs="Times New Roman"/>
          <w:sz w:val="24"/>
        </w:rPr>
        <w:t xml:space="preserve">y č. 612/2004 bod C.1, keď finančné </w:t>
      </w:r>
      <w:r w:rsidRPr="00AB1F6D" w:rsidR="00AE2D69">
        <w:rPr>
          <w:rFonts w:ascii="Times New Roman" w:hAnsi="Times New Roman" w:cs="Times New Roman"/>
          <w:sz w:val="24"/>
        </w:rPr>
        <w:t>prostriedky získané refundáciou platov oprávnených pracovníkov boli použité na úsporu mzdových prostriedkov.</w:t>
      </w:r>
    </w:p>
    <w:p w:rsidR="006F5B00" w:rsidRPr="00635CFE" w:rsidP="00635CFE">
      <w:pPr>
        <w:spacing w:line="240" w:lineRule="auto"/>
        <w:ind w:firstLine="709"/>
        <w:rPr>
          <w:rFonts w:ascii="Times New Roman" w:hAnsi="Times New Roman" w:cs="Times New Roman"/>
          <w:sz w:val="24"/>
        </w:rPr>
      </w:pPr>
      <w:r w:rsidR="007E2789">
        <w:rPr>
          <w:rFonts w:ascii="Times New Roman" w:hAnsi="Times New Roman" w:cs="Times New Roman"/>
          <w:sz w:val="24"/>
        </w:rPr>
        <w:t>V kategórii 620 – P</w:t>
      </w:r>
      <w:r w:rsidRPr="00AB1F6D" w:rsidR="00AE2D69">
        <w:rPr>
          <w:rFonts w:ascii="Times New Roman" w:hAnsi="Times New Roman" w:cs="Times New Roman"/>
          <w:sz w:val="24"/>
        </w:rPr>
        <w:t>oistné a príspe</w:t>
      </w:r>
      <w:r w:rsidR="001049B0">
        <w:rPr>
          <w:rFonts w:ascii="Times New Roman" w:hAnsi="Times New Roman" w:cs="Times New Roman"/>
          <w:sz w:val="24"/>
        </w:rPr>
        <w:t xml:space="preserve">vok do poisťovní vznikla úspora 212 715,85 </w:t>
      </w:r>
      <w:r w:rsidRPr="00AB1F6D" w:rsidR="00AE2D69">
        <w:rPr>
          <w:rFonts w:ascii="Times New Roman" w:hAnsi="Times New Roman" w:cs="Times New Roman"/>
          <w:sz w:val="24"/>
        </w:rPr>
        <w:t>Sk (vrátane</w:t>
      </w:r>
      <w:r w:rsidR="00AE2D69">
        <w:rPr>
          <w:rFonts w:ascii="Times New Roman" w:hAnsi="Times New Roman" w:cs="Times New Roman"/>
          <w:sz w:val="24"/>
        </w:rPr>
        <w:t xml:space="preserve"> technickej asistencie </w:t>
      </w:r>
      <w:r w:rsidRPr="00AB1F6D" w:rsidR="00AE2D69">
        <w:rPr>
          <w:rFonts w:ascii="Times New Roman" w:hAnsi="Times New Roman" w:cs="Times New Roman"/>
          <w:sz w:val="24"/>
        </w:rPr>
        <w:t xml:space="preserve">). </w:t>
      </w:r>
    </w:p>
    <w:p w:rsidR="006F5B00" w:rsidP="001049B0">
      <w:pPr>
        <w:spacing w:line="240" w:lineRule="auto"/>
        <w:ind w:firstLine="709"/>
        <w:rPr>
          <w:rFonts w:ascii="Times New Roman" w:hAnsi="Times New Roman" w:cs="Times New Roman"/>
          <w:color w:val="000000"/>
          <w:sz w:val="24"/>
          <w:szCs w:val="24"/>
          <w:lang w:eastAsia="sk-SK"/>
        </w:rPr>
      </w:pPr>
      <w:r w:rsidRPr="001049B0" w:rsidR="00AE2D69">
        <w:rPr>
          <w:rFonts w:ascii="Times New Roman" w:hAnsi="Times New Roman" w:cs="Times New Roman"/>
          <w:color w:val="000000"/>
          <w:sz w:val="24"/>
          <w:szCs w:val="24"/>
          <w:lang w:eastAsia="sk-SK"/>
        </w:rPr>
        <w:t xml:space="preserve">V kategórii </w:t>
      </w:r>
      <w:r w:rsidRPr="001049B0" w:rsidR="00AE2D69">
        <w:rPr>
          <w:rFonts w:ascii="Times New Roman" w:hAnsi="Times New Roman" w:cs="Times New Roman"/>
          <w:bCs/>
          <w:color w:val="000000"/>
          <w:sz w:val="24"/>
          <w:szCs w:val="24"/>
          <w:lang w:eastAsia="sk-SK"/>
        </w:rPr>
        <w:t>630 – Tovary a služby</w:t>
      </w:r>
      <w:r w:rsidRPr="001049B0" w:rsidR="00AE2D69">
        <w:rPr>
          <w:rFonts w:ascii="Times New Roman" w:hAnsi="Times New Roman" w:cs="Times New Roman"/>
          <w:color w:val="000000"/>
          <w:sz w:val="24"/>
          <w:szCs w:val="24"/>
          <w:lang w:eastAsia="sk-SK"/>
        </w:rPr>
        <w:t xml:space="preserve"> bol pre správu ministerstva a na plnenie úloh   vrátane  informatizácie spoločnosti a technickej asistencie určen</w:t>
      </w:r>
      <w:r w:rsidR="001049B0">
        <w:rPr>
          <w:rFonts w:ascii="Times New Roman" w:hAnsi="Times New Roman" w:cs="Times New Roman"/>
          <w:color w:val="000000"/>
          <w:sz w:val="24"/>
          <w:szCs w:val="24"/>
          <w:lang w:eastAsia="sk-SK"/>
        </w:rPr>
        <w:t xml:space="preserve">ý pôvodný rozpočet vo výške 522 286 </w:t>
      </w:r>
      <w:r w:rsidRPr="001049B0" w:rsidR="00AE2D69">
        <w:rPr>
          <w:rFonts w:ascii="Times New Roman" w:hAnsi="Times New Roman" w:cs="Times New Roman"/>
          <w:color w:val="000000"/>
          <w:sz w:val="24"/>
          <w:szCs w:val="24"/>
          <w:lang w:eastAsia="sk-SK"/>
        </w:rPr>
        <w:t xml:space="preserve">000,- Sk. Rozpočtovými </w:t>
      </w:r>
      <w:r w:rsidR="001049B0">
        <w:rPr>
          <w:rFonts w:ascii="Times New Roman" w:hAnsi="Times New Roman" w:cs="Times New Roman"/>
          <w:color w:val="000000"/>
          <w:sz w:val="24"/>
          <w:szCs w:val="24"/>
          <w:lang w:eastAsia="sk-SK"/>
        </w:rPr>
        <w:t xml:space="preserve">opatreniami bol upravený na 414 086 </w:t>
      </w:r>
      <w:r w:rsidRPr="001049B0" w:rsidR="00AE2D69">
        <w:rPr>
          <w:rFonts w:ascii="Times New Roman" w:hAnsi="Times New Roman" w:cs="Times New Roman"/>
          <w:color w:val="000000"/>
          <w:sz w:val="24"/>
          <w:szCs w:val="24"/>
          <w:lang w:eastAsia="sk-SK"/>
        </w:rPr>
        <w:t>664,59 Sk. Sku</w:t>
      </w:r>
      <w:r w:rsidR="001049B0">
        <w:rPr>
          <w:rFonts w:ascii="Times New Roman" w:hAnsi="Times New Roman" w:cs="Times New Roman"/>
          <w:color w:val="000000"/>
          <w:sz w:val="24"/>
          <w:szCs w:val="24"/>
          <w:lang w:eastAsia="sk-SK"/>
        </w:rPr>
        <w:t xml:space="preserve">točné čerpanie dosiahlo 405 573 </w:t>
      </w:r>
      <w:r w:rsidRPr="001049B0" w:rsidR="00AE2D69">
        <w:rPr>
          <w:rFonts w:ascii="Times New Roman" w:hAnsi="Times New Roman" w:cs="Times New Roman"/>
          <w:color w:val="000000"/>
          <w:sz w:val="24"/>
          <w:szCs w:val="24"/>
          <w:lang w:eastAsia="sk-SK"/>
        </w:rPr>
        <w:t xml:space="preserve">904,77 Sk </w:t>
      </w:r>
      <w:r w:rsidR="001049B0">
        <w:rPr>
          <w:rFonts w:ascii="Times New Roman" w:hAnsi="Times New Roman" w:cs="Times New Roman"/>
          <w:color w:val="000000"/>
          <w:sz w:val="24"/>
          <w:szCs w:val="24"/>
          <w:lang w:eastAsia="sk-SK"/>
        </w:rPr>
        <w:t xml:space="preserve">(97,9 %), nečerpaných zostalo 8 512 </w:t>
      </w:r>
      <w:r w:rsidRPr="001049B0" w:rsidR="00AE2D69">
        <w:rPr>
          <w:rFonts w:ascii="Times New Roman" w:hAnsi="Times New Roman" w:cs="Times New Roman"/>
          <w:color w:val="000000"/>
          <w:sz w:val="24"/>
          <w:szCs w:val="24"/>
          <w:lang w:eastAsia="sk-SK"/>
        </w:rPr>
        <w:t xml:space="preserve">759,82 Sk.  </w:t>
      </w:r>
    </w:p>
    <w:p w:rsidR="00AE2D69" w:rsidP="006F5B00">
      <w:pPr>
        <w:spacing w:line="240" w:lineRule="auto"/>
        <w:ind w:firstLine="709"/>
        <w:rPr>
          <w:rFonts w:ascii="Times New Roman" w:hAnsi="Times New Roman" w:cs="Times New Roman"/>
          <w:color w:val="000000"/>
          <w:sz w:val="24"/>
          <w:szCs w:val="24"/>
          <w:lang w:eastAsia="sk-SK"/>
        </w:rPr>
      </w:pPr>
      <w:r w:rsidR="001049B0">
        <w:rPr>
          <w:rFonts w:ascii="Times New Roman" w:hAnsi="Times New Roman" w:cs="Times New Roman"/>
          <w:color w:val="000000"/>
          <w:sz w:val="24"/>
          <w:szCs w:val="24"/>
          <w:lang w:eastAsia="sk-SK"/>
        </w:rPr>
        <w:t xml:space="preserve">Celková úspora v kategórii 630 je </w:t>
      </w:r>
      <w:r w:rsidR="007E2789">
        <w:rPr>
          <w:rFonts w:ascii="Times New Roman" w:hAnsi="Times New Roman" w:cs="Times New Roman"/>
          <w:color w:val="000000"/>
          <w:sz w:val="24"/>
          <w:szCs w:val="24"/>
          <w:lang w:eastAsia="sk-SK"/>
        </w:rPr>
        <w:t>vo výške 8 512 759,82 Sk</w:t>
      </w:r>
      <w:r>
        <w:rPr>
          <w:rFonts w:ascii="Times New Roman" w:hAnsi="Times New Roman" w:cs="Times New Roman"/>
          <w:color w:val="000000"/>
          <w:sz w:val="24"/>
          <w:szCs w:val="24"/>
          <w:lang w:eastAsia="sk-SK"/>
        </w:rPr>
        <w:t xml:space="preserve">. Uvedená úspora sa skladá  z </w:t>
      </w:r>
      <w:r w:rsidR="007E2789">
        <w:rPr>
          <w:rFonts w:ascii="Times New Roman" w:hAnsi="Times New Roman" w:cs="Times New Roman"/>
          <w:color w:val="000000"/>
          <w:sz w:val="24"/>
          <w:szCs w:val="24"/>
          <w:lang w:eastAsia="sk-SK"/>
        </w:rPr>
        <w:t> nasledovných položiek:  631 – C</w:t>
      </w:r>
      <w:r>
        <w:rPr>
          <w:rFonts w:ascii="Times New Roman" w:hAnsi="Times New Roman" w:cs="Times New Roman"/>
          <w:color w:val="000000"/>
          <w:sz w:val="24"/>
          <w:szCs w:val="24"/>
          <w:lang w:eastAsia="sk-SK"/>
        </w:rPr>
        <w:t xml:space="preserve">estovné </w:t>
      </w:r>
      <w:r w:rsidR="007E2789">
        <w:rPr>
          <w:rFonts w:ascii="Times New Roman" w:hAnsi="Times New Roman" w:cs="Times New Roman"/>
          <w:color w:val="000000"/>
          <w:sz w:val="24"/>
          <w:szCs w:val="24"/>
          <w:lang w:eastAsia="sk-SK"/>
        </w:rPr>
        <w:t>náhrady (450 119,63 Sk), 632 – P</w:t>
      </w:r>
      <w:r>
        <w:rPr>
          <w:rFonts w:ascii="Times New Roman" w:hAnsi="Times New Roman" w:cs="Times New Roman"/>
          <w:color w:val="000000"/>
          <w:sz w:val="24"/>
          <w:szCs w:val="24"/>
          <w:lang w:eastAsia="sk-SK"/>
        </w:rPr>
        <w:t>oštovn</w:t>
      </w:r>
      <w:r w:rsidR="007E2789">
        <w:rPr>
          <w:rFonts w:ascii="Times New Roman" w:hAnsi="Times New Roman" w:cs="Times New Roman"/>
          <w:color w:val="000000"/>
          <w:sz w:val="24"/>
          <w:szCs w:val="24"/>
          <w:lang w:eastAsia="sk-SK"/>
        </w:rPr>
        <w:t xml:space="preserve">é a telekomunikačné služby (821 594,07 Sk), 633 – materiál (924 </w:t>
      </w:r>
      <w:r>
        <w:rPr>
          <w:rFonts w:ascii="Times New Roman" w:hAnsi="Times New Roman" w:cs="Times New Roman"/>
          <w:color w:val="000000"/>
          <w:sz w:val="24"/>
          <w:szCs w:val="24"/>
          <w:lang w:eastAsia="sk-SK"/>
        </w:rPr>
        <w:t>712,75 Sk), 6</w:t>
      </w:r>
      <w:r>
        <w:rPr>
          <w:rFonts w:ascii="Times New Roman" w:hAnsi="Times New Roman" w:cs="Times New Roman"/>
          <w:color w:val="000000"/>
          <w:sz w:val="24"/>
          <w:szCs w:val="24"/>
          <w:lang w:eastAsia="sk-SK"/>
        </w:rPr>
        <w:t>3</w:t>
      </w:r>
      <w:r w:rsidR="007E2789">
        <w:rPr>
          <w:rFonts w:ascii="Times New Roman" w:hAnsi="Times New Roman" w:cs="Times New Roman"/>
          <w:color w:val="000000"/>
          <w:sz w:val="24"/>
          <w:szCs w:val="24"/>
          <w:lang w:eastAsia="sk-SK"/>
        </w:rPr>
        <w:t xml:space="preserve">4 – Dopravné (712 425,12 Sk), 635 – Rutinná a štandardná údržba (339 </w:t>
      </w:r>
      <w:r>
        <w:rPr>
          <w:rFonts w:ascii="Times New Roman" w:hAnsi="Times New Roman" w:cs="Times New Roman"/>
          <w:color w:val="000000"/>
          <w:sz w:val="24"/>
          <w:szCs w:val="24"/>
          <w:lang w:eastAsia="sk-SK"/>
        </w:rPr>
        <w:t>178,80 Sk),</w:t>
      </w:r>
      <w:r>
        <w:rPr>
          <w:rFonts w:ascii="Times New Roman" w:hAnsi="Times New Roman" w:cs="Times New Roman"/>
          <w:color w:val="FF0000"/>
          <w:sz w:val="24"/>
          <w:szCs w:val="24"/>
          <w:lang w:eastAsia="sk-SK"/>
        </w:rPr>
        <w:t xml:space="preserve"> </w:t>
      </w:r>
      <w:r w:rsidR="007E2789">
        <w:rPr>
          <w:rFonts w:ascii="Times New Roman" w:hAnsi="Times New Roman" w:cs="Times New Roman"/>
          <w:color w:val="000000"/>
          <w:sz w:val="24"/>
          <w:szCs w:val="24"/>
          <w:lang w:eastAsia="sk-SK"/>
        </w:rPr>
        <w:t xml:space="preserve">636 – Nájomné za prenájom (190 799,13 Sk), 637 – Služby (5 073 </w:t>
      </w:r>
      <w:r>
        <w:rPr>
          <w:rFonts w:ascii="Times New Roman" w:hAnsi="Times New Roman" w:cs="Times New Roman"/>
          <w:color w:val="000000"/>
          <w:sz w:val="24"/>
          <w:szCs w:val="24"/>
          <w:lang w:eastAsia="sk-SK"/>
        </w:rPr>
        <w:t>930,32 Sk) atď.. Vynaložené výdavky boli č</w:t>
      </w:r>
      <w:r w:rsidR="001049B0">
        <w:rPr>
          <w:rFonts w:ascii="Times New Roman" w:hAnsi="Times New Roman" w:cs="Times New Roman"/>
          <w:color w:val="000000"/>
          <w:sz w:val="24"/>
          <w:szCs w:val="24"/>
          <w:lang w:eastAsia="sk-SK"/>
        </w:rPr>
        <w:t xml:space="preserve">erpané rovnomerne so schváleným, </w:t>
      </w:r>
      <w:r>
        <w:rPr>
          <w:rFonts w:ascii="Times New Roman" w:hAnsi="Times New Roman" w:cs="Times New Roman"/>
          <w:color w:val="000000"/>
          <w:sz w:val="24"/>
          <w:szCs w:val="24"/>
          <w:lang w:eastAsia="sk-SK"/>
        </w:rPr>
        <w:t>ako i upraveným rozpočtom a v súlade s  platnými predpismi pre rozpočtové hospodárenie. Úspora vyplynula z úsporných opatrení zameraných na efektívne využívanie finančných prostriedkov a vrátených výdavkov z refundácii technickej asistencie.</w:t>
      </w:r>
    </w:p>
    <w:p w:rsidR="006F5B00" w:rsidRPr="00635CFE" w:rsidP="00635CFE">
      <w:pPr>
        <w:spacing w:line="240" w:lineRule="auto"/>
        <w:ind w:firstLine="709"/>
        <w:rPr>
          <w:rFonts w:ascii="Times New Roman" w:hAnsi="Times New Roman" w:cs="Times New Roman"/>
          <w:sz w:val="24"/>
        </w:rPr>
      </w:pPr>
      <w:r w:rsidRPr="001049B0" w:rsidR="001049B0">
        <w:rPr>
          <w:rFonts w:ascii="Times New Roman" w:hAnsi="Times New Roman" w:cs="Times New Roman"/>
          <w:sz w:val="24"/>
          <w:szCs w:val="24"/>
          <w:lang w:eastAsia="sk-SK"/>
        </w:rPr>
        <w:t>Na plnenie úloh informatizácie spoločnosti</w:t>
      </w:r>
      <w:r w:rsidRPr="001049B0" w:rsidR="001049B0">
        <w:rPr>
          <w:rFonts w:ascii="Times New Roman" w:hAnsi="Times New Roman" w:cs="Times New Roman"/>
          <w:color w:val="000000"/>
          <w:sz w:val="24"/>
          <w:szCs w:val="24"/>
          <w:lang w:eastAsia="sk-SK"/>
        </w:rPr>
        <w:t xml:space="preserve"> bol</w:t>
      </w:r>
      <w:r w:rsidR="001049B0">
        <w:rPr>
          <w:rFonts w:ascii="Times New Roman" w:hAnsi="Times New Roman" w:cs="Times New Roman"/>
          <w:color w:val="000000"/>
          <w:sz w:val="24"/>
          <w:szCs w:val="24"/>
          <w:lang w:eastAsia="sk-SK"/>
        </w:rPr>
        <w:t xml:space="preserve"> sch</w:t>
      </w:r>
      <w:r w:rsidR="001049B0">
        <w:rPr>
          <w:rFonts w:ascii="Times New Roman" w:hAnsi="Times New Roman" w:cs="Times New Roman"/>
          <w:color w:val="000000"/>
          <w:sz w:val="24"/>
          <w:szCs w:val="24"/>
          <w:lang w:eastAsia="sk-SK"/>
        </w:rPr>
        <w:t>válený rozp</w:t>
      </w:r>
      <w:r w:rsidR="007E2789">
        <w:rPr>
          <w:rFonts w:ascii="Times New Roman" w:hAnsi="Times New Roman" w:cs="Times New Roman"/>
          <w:color w:val="000000"/>
          <w:sz w:val="24"/>
          <w:szCs w:val="24"/>
          <w:lang w:eastAsia="sk-SK"/>
        </w:rPr>
        <w:t>očet vo výške 292 686 tis. Sk</w:t>
      </w:r>
      <w:r w:rsidR="001049B0">
        <w:rPr>
          <w:rFonts w:ascii="Times New Roman" w:hAnsi="Times New Roman" w:cs="Times New Roman"/>
          <w:color w:val="000000"/>
          <w:sz w:val="24"/>
          <w:szCs w:val="24"/>
          <w:lang w:eastAsia="sk-SK"/>
        </w:rPr>
        <w:t xml:space="preserve">. Rozpočtovými opatreniami č. 6 a 7 sa upravil na 222 686 tis. Sk, čo predstavovalo skutočné plnenie rozpočtu ku dňu delimitácie zvyšných prostriedkov na Úrad vlády SR a MF SR, v súvislosti s </w:t>
      </w:r>
      <w:r w:rsidRPr="008A078C" w:rsidR="001049B0">
        <w:rPr>
          <w:rFonts w:ascii="Times New Roman" w:hAnsi="Times New Roman" w:cs="Times New Roman"/>
          <w:sz w:val="24"/>
        </w:rPr>
        <w:t>prechodom kompetencií v oblasti informatizácie spoločnosti</w:t>
      </w:r>
      <w:r w:rsidR="001049B0">
        <w:rPr>
          <w:rFonts w:ascii="Times New Roman" w:hAnsi="Times New Roman" w:cs="Times New Roman"/>
          <w:sz w:val="24"/>
        </w:rPr>
        <w:t xml:space="preserve">. </w:t>
      </w:r>
    </w:p>
    <w:p w:rsidR="00AE2D69" w:rsidRPr="00405D96" w:rsidP="00635CFE">
      <w:pPr>
        <w:spacing w:line="240" w:lineRule="auto"/>
        <w:ind w:firstLine="709"/>
        <w:rPr>
          <w:rFonts w:ascii="Times New Roman" w:hAnsi="Times New Roman" w:cs="Times New Roman"/>
          <w:color w:val="000000"/>
          <w:sz w:val="24"/>
          <w:szCs w:val="24"/>
          <w:lang w:eastAsia="sk-SK"/>
        </w:rPr>
      </w:pPr>
      <w:r w:rsidRPr="001D2EE0">
        <w:rPr>
          <w:rFonts w:ascii="Times New Roman" w:hAnsi="Times New Roman" w:cs="Times New Roman"/>
          <w:sz w:val="24"/>
          <w:szCs w:val="24"/>
        </w:rPr>
        <w:t>Okrem uvedeného boli v roku 200</w:t>
      </w:r>
      <w:r>
        <w:rPr>
          <w:rFonts w:ascii="Times New Roman" w:hAnsi="Times New Roman" w:cs="Times New Roman"/>
          <w:sz w:val="24"/>
          <w:szCs w:val="24"/>
        </w:rPr>
        <w:t>7</w:t>
      </w:r>
      <w:r w:rsidR="00635CFE">
        <w:rPr>
          <w:rFonts w:ascii="Times New Roman" w:hAnsi="Times New Roman" w:cs="Times New Roman"/>
          <w:sz w:val="24"/>
          <w:szCs w:val="24"/>
        </w:rPr>
        <w:t xml:space="preserve">, </w:t>
      </w:r>
      <w:r w:rsidRPr="001D2EE0">
        <w:rPr>
          <w:rFonts w:ascii="Times New Roman" w:hAnsi="Times New Roman" w:cs="Times New Roman"/>
          <w:sz w:val="24"/>
          <w:szCs w:val="24"/>
        </w:rPr>
        <w:t xml:space="preserve">v rámci kategórie </w:t>
      </w:r>
      <w:r w:rsidR="00635CFE">
        <w:rPr>
          <w:rFonts w:ascii="Times New Roman" w:hAnsi="Times New Roman" w:cs="Times New Roman"/>
          <w:sz w:val="24"/>
          <w:szCs w:val="24"/>
        </w:rPr>
        <w:t>630 – T</w:t>
      </w:r>
      <w:r w:rsidR="001049B0">
        <w:rPr>
          <w:rFonts w:ascii="Times New Roman" w:hAnsi="Times New Roman" w:cs="Times New Roman"/>
          <w:sz w:val="24"/>
          <w:szCs w:val="24"/>
        </w:rPr>
        <w:t xml:space="preserve">ovary a služby vo výške 12 000 000,- </w:t>
      </w:r>
      <w:r w:rsidR="00635CFE">
        <w:rPr>
          <w:rFonts w:ascii="Times New Roman" w:hAnsi="Times New Roman" w:cs="Times New Roman"/>
          <w:bCs/>
          <w:sz w:val="24"/>
          <w:szCs w:val="24"/>
        </w:rPr>
        <w:t xml:space="preserve">Sk, realizované </w:t>
      </w:r>
      <w:r>
        <w:rPr>
          <w:rFonts w:ascii="Times New Roman" w:hAnsi="Times New Roman" w:cs="Times New Roman"/>
          <w:bCs/>
          <w:sz w:val="24"/>
          <w:szCs w:val="24"/>
        </w:rPr>
        <w:t xml:space="preserve">Výskumným   ústavom   dopravným   </w:t>
      </w:r>
      <w:r w:rsidRPr="001D2EE0">
        <w:rPr>
          <w:rFonts w:ascii="Times New Roman" w:hAnsi="Times New Roman" w:cs="Times New Roman"/>
          <w:bCs/>
          <w:sz w:val="24"/>
          <w:szCs w:val="24"/>
        </w:rPr>
        <w:t>v</w:t>
      </w:r>
      <w:r w:rsidR="00635CFE">
        <w:rPr>
          <w:rFonts w:ascii="Times New Roman" w:hAnsi="Times New Roman" w:cs="Times New Roman"/>
          <w:bCs/>
          <w:sz w:val="24"/>
          <w:szCs w:val="24"/>
        </w:rPr>
        <w:t> </w:t>
      </w:r>
      <w:r w:rsidRPr="001D2EE0">
        <w:rPr>
          <w:rFonts w:ascii="Times New Roman" w:hAnsi="Times New Roman" w:cs="Times New Roman"/>
          <w:bCs/>
          <w:sz w:val="24"/>
          <w:szCs w:val="24"/>
        </w:rPr>
        <w:t>Žiline</w:t>
      </w:r>
      <w:r w:rsidR="00635CFE">
        <w:rPr>
          <w:rFonts w:ascii="Times New Roman" w:hAnsi="Times New Roman" w:cs="Times New Roman"/>
          <w:bCs/>
          <w:sz w:val="24"/>
          <w:szCs w:val="24"/>
        </w:rPr>
        <w:t xml:space="preserve">, nasledovné </w:t>
      </w:r>
      <w:r w:rsidRPr="001D2EE0">
        <w:rPr>
          <w:rFonts w:ascii="Times New Roman" w:hAnsi="Times New Roman" w:cs="Times New Roman"/>
          <w:bCs/>
          <w:sz w:val="24"/>
          <w:szCs w:val="24"/>
        </w:rPr>
        <w:t xml:space="preserve">zmluvy na </w:t>
      </w:r>
      <w:r>
        <w:rPr>
          <w:rFonts w:ascii="Times New Roman" w:hAnsi="Times New Roman" w:cs="Times New Roman"/>
          <w:bCs/>
          <w:sz w:val="24"/>
          <w:szCs w:val="24"/>
        </w:rPr>
        <w:t>„ Zabezpečenie t</w:t>
      </w:r>
      <w:r w:rsidRPr="001D2EE0">
        <w:rPr>
          <w:rFonts w:ascii="Times New Roman" w:hAnsi="Times New Roman" w:cs="Times New Roman"/>
          <w:bCs/>
          <w:sz w:val="24"/>
          <w:szCs w:val="24"/>
        </w:rPr>
        <w:t>rvalých a anal</w:t>
      </w:r>
      <w:r>
        <w:rPr>
          <w:rFonts w:ascii="Times New Roman" w:hAnsi="Times New Roman" w:cs="Times New Roman"/>
          <w:bCs/>
          <w:sz w:val="24"/>
          <w:szCs w:val="24"/>
        </w:rPr>
        <w:t>y</w:t>
      </w:r>
      <w:r w:rsidRPr="001D2EE0">
        <w:rPr>
          <w:rFonts w:ascii="Times New Roman" w:hAnsi="Times New Roman" w:cs="Times New Roman"/>
          <w:bCs/>
          <w:sz w:val="24"/>
          <w:szCs w:val="24"/>
        </w:rPr>
        <w:t>tických činností pre oblasť dopravy</w:t>
      </w:r>
      <w:r>
        <w:rPr>
          <w:rFonts w:ascii="Times New Roman" w:hAnsi="Times New Roman" w:cs="Times New Roman"/>
          <w:bCs/>
          <w:sz w:val="24"/>
          <w:szCs w:val="24"/>
        </w:rPr>
        <w:t>“</w:t>
      </w:r>
      <w:r w:rsidRPr="001D2EE0">
        <w:rPr>
          <w:rFonts w:ascii="Times New Roman" w:hAnsi="Times New Roman" w:cs="Times New Roman"/>
          <w:bCs/>
          <w:sz w:val="24"/>
          <w:szCs w:val="24"/>
        </w:rPr>
        <w:t xml:space="preserve">:   </w:t>
      </w:r>
    </w:p>
    <w:p w:rsidR="006F5B00" w:rsidP="00AE2D69">
      <w:pPr>
        <w:spacing w:line="240" w:lineRule="auto"/>
        <w:rPr>
          <w:rFonts w:ascii="Times New Roman" w:hAnsi="Times New Roman" w:cs="Times New Roman"/>
        </w:rPr>
      </w:pPr>
    </w:p>
    <w:tbl>
      <w:tblPr>
        <w:tblW w:w="9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28" w:type="dxa"/>
          <w:bottom w:w="0" w:type="dxa"/>
          <w:right w:w="28" w:type="dxa"/>
        </w:tblCellMar>
      </w:tblPr>
      <w:tblGrid>
        <w:gridCol w:w="1418"/>
        <w:gridCol w:w="6624"/>
        <w:gridCol w:w="1272"/>
      </w:tblGrid>
      <w:tr>
        <w:tblPrEx>
          <w:tblW w:w="9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28" w:type="dxa"/>
            <w:bottom w:w="0" w:type="dxa"/>
            <w:right w:w="28" w:type="dxa"/>
          </w:tblCellMar>
        </w:tblPrEx>
        <w:trPr>
          <w:cantSplit/>
          <w:trHeight w:hRule="auto" w:val="0"/>
          <w:tblHeader/>
          <w:jc w:val="center"/>
        </w:trPr>
        <w:tc>
          <w:tcPr>
            <w:tcW w:w="1418" w:type="dxa"/>
            <w:tcBorders>
              <w:top w:val="single" w:sz="4" w:space="0" w:color="auto"/>
              <w:left w:val="single" w:sz="4" w:space="0" w:color="auto"/>
              <w:bottom w:val="double" w:sz="4" w:space="0" w:color="auto"/>
              <w:right w:val="single" w:sz="4" w:space="0" w:color="auto"/>
              <w:tl2br w:val="nil"/>
              <w:tr2bl w:val="nil"/>
            </w:tcBorders>
            <w:shd w:val="clear" w:color="auto" w:fill="CCCCCC"/>
            <w:textDirection w:val="lrTb"/>
            <w:vAlign w:val="center"/>
          </w:tcPr>
          <w:p w:rsidR="00AE2D69" w:rsidP="00634079">
            <w:pPr>
              <w:spacing w:line="240" w:lineRule="auto"/>
              <w:jc w:val="center"/>
              <w:rPr>
                <w:rFonts w:ascii="Arial Narrow" w:hAnsi="Arial Narrow" w:cs="Times New Roman"/>
                <w:b/>
              </w:rPr>
            </w:pPr>
            <w:r>
              <w:rPr>
                <w:rFonts w:ascii="Arial Narrow" w:hAnsi="Arial Narrow" w:cs="Times New Roman"/>
                <w:b/>
              </w:rPr>
              <w:t>Zmluva</w:t>
              <w:br/>
            </w:r>
            <w:r>
              <w:rPr>
                <w:rFonts w:ascii="Arial Narrow" w:hAnsi="Arial Narrow" w:cs="Times New Roman"/>
              </w:rPr>
              <w:t>(evid. č. MDPT SR)</w:t>
            </w:r>
          </w:p>
        </w:tc>
        <w:tc>
          <w:tcPr>
            <w:tcW w:w="6624" w:type="dxa"/>
            <w:tcBorders>
              <w:top w:val="single" w:sz="4" w:space="0" w:color="auto"/>
              <w:left w:val="single" w:sz="4" w:space="0" w:color="auto"/>
              <w:bottom w:val="double" w:sz="4" w:space="0" w:color="auto"/>
              <w:right w:val="single" w:sz="4" w:space="0" w:color="auto"/>
              <w:tl2br w:val="nil"/>
              <w:tr2bl w:val="nil"/>
            </w:tcBorders>
            <w:shd w:val="clear" w:color="auto" w:fill="CCCCCC"/>
            <w:textDirection w:val="lrTb"/>
            <w:vAlign w:val="center"/>
          </w:tcPr>
          <w:p w:rsidR="00AE2D69" w:rsidP="00634079">
            <w:pPr>
              <w:spacing w:line="240" w:lineRule="auto"/>
              <w:jc w:val="center"/>
              <w:rPr>
                <w:rFonts w:ascii="Arial Narrow" w:hAnsi="Arial Narrow" w:cs="Times New Roman"/>
                <w:b/>
                <w:sz w:val="24"/>
                <w:szCs w:val="24"/>
              </w:rPr>
            </w:pPr>
            <w:r>
              <w:rPr>
                <w:rFonts w:ascii="Arial Narrow" w:hAnsi="Arial Narrow" w:cs="Times New Roman"/>
                <w:b/>
                <w:sz w:val="24"/>
                <w:szCs w:val="24"/>
              </w:rPr>
              <w:t>Názov projektu</w:t>
            </w:r>
          </w:p>
        </w:tc>
        <w:tc>
          <w:tcPr>
            <w:tcW w:w="1272" w:type="dxa"/>
            <w:tcBorders>
              <w:top w:val="single" w:sz="4" w:space="0" w:color="auto"/>
              <w:left w:val="single" w:sz="4" w:space="0" w:color="auto"/>
              <w:bottom w:val="double" w:sz="4" w:space="0" w:color="auto"/>
              <w:right w:val="single" w:sz="4" w:space="0" w:color="auto"/>
              <w:tl2br w:val="nil"/>
              <w:tr2bl w:val="nil"/>
            </w:tcBorders>
            <w:shd w:val="clear" w:color="auto" w:fill="CCCCCC"/>
            <w:textDirection w:val="lrTb"/>
            <w:vAlign w:val="center"/>
          </w:tcPr>
          <w:p w:rsidR="00AE2D69" w:rsidP="00634079">
            <w:pPr>
              <w:spacing w:line="240" w:lineRule="auto"/>
              <w:jc w:val="center"/>
              <w:rPr>
                <w:rFonts w:ascii="Arial Narrow" w:hAnsi="Arial Narrow" w:cs="Times New Roman"/>
                <w:b/>
              </w:rPr>
            </w:pPr>
            <w:r>
              <w:rPr>
                <w:rFonts w:ascii="Arial Narrow" w:hAnsi="Arial Narrow" w:cs="Times New Roman"/>
                <w:b/>
              </w:rPr>
              <w:t>Výška poskytnutej dotácie [ Sk]</w:t>
            </w:r>
          </w:p>
        </w:tc>
      </w:tr>
      <w:tr>
        <w:tblPrEx>
          <w:tblW w:w="9314" w:type="dxa"/>
          <w:jc w:val="center"/>
          <w:tblLayout w:type="fixed"/>
          <w:tblCellMar>
            <w:top w:w="0" w:type="dxa"/>
            <w:left w:w="28" w:type="dxa"/>
            <w:bottom w:w="0" w:type="dxa"/>
            <w:right w:w="28" w:type="dxa"/>
          </w:tblCellMar>
        </w:tblPrEx>
        <w:trPr>
          <w:cantSplit/>
          <w:trHeight w:val="275"/>
          <w:jc w:val="center"/>
        </w:trPr>
        <w:tc>
          <w:tcPr>
            <w:tcW w:w="1418" w:type="dxa"/>
            <w:tcBorders>
              <w:top w:val="double" w:sz="4" w:space="0" w:color="auto"/>
              <w:left w:val="single" w:sz="4" w:space="0" w:color="auto"/>
              <w:bottom w:val="nil"/>
              <w:right w:val="single" w:sz="4" w:space="0" w:color="auto"/>
              <w:tl2br w:val="nil"/>
              <w:tr2bl w:val="nil"/>
            </w:tcBorders>
            <w:textDirection w:val="lrTb"/>
            <w:vAlign w:val="top"/>
          </w:tcPr>
          <w:p w:rsidR="00AE2D69" w:rsidP="00634079">
            <w:pPr>
              <w:spacing w:line="240" w:lineRule="auto"/>
              <w:jc w:val="center"/>
              <w:rPr>
                <w:rFonts w:ascii="Arial Narrow" w:hAnsi="Arial Narrow" w:cs="Times New Roman"/>
              </w:rPr>
            </w:pPr>
          </w:p>
        </w:tc>
        <w:tc>
          <w:tcPr>
            <w:tcW w:w="6624" w:type="dxa"/>
            <w:tcBorders>
              <w:top w:val="double" w:sz="4" w:space="0" w:color="auto"/>
              <w:left w:val="single" w:sz="4" w:space="0" w:color="auto"/>
              <w:bottom w:val="nil"/>
              <w:right w:val="single" w:sz="4" w:space="0" w:color="auto"/>
              <w:tl2br w:val="nil"/>
              <w:tr2bl w:val="nil"/>
            </w:tcBorders>
            <w:textDirection w:val="lrTb"/>
            <w:vAlign w:val="center"/>
          </w:tcPr>
          <w:p w:rsidR="00AE2D69" w:rsidRPr="009C47D7" w:rsidP="0063407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240" w:lineRule="auto"/>
              <w:ind w:left="57" w:right="57"/>
              <w:rPr>
                <w:rFonts w:ascii="Arial Narrow" w:hAnsi="Arial Narrow" w:cs="Times New Roman"/>
                <w:b/>
                <w:lang w:eastAsia="cs-CZ"/>
              </w:rPr>
            </w:pPr>
            <w:r w:rsidRPr="009C47D7">
              <w:rPr>
                <w:rFonts w:ascii="Arial Narrow" w:hAnsi="Arial Narrow" w:cs="Times New Roman"/>
                <w:b/>
                <w:lang w:eastAsia="cs-CZ"/>
              </w:rPr>
              <w:t>Výskumný ústav dopravný  Žilina</w:t>
            </w:r>
          </w:p>
        </w:tc>
        <w:tc>
          <w:tcPr>
            <w:tcW w:w="1272" w:type="dxa"/>
            <w:tcBorders>
              <w:top w:val="double" w:sz="4" w:space="0" w:color="auto"/>
              <w:left w:val="single" w:sz="4" w:space="0" w:color="auto"/>
              <w:bottom w:val="nil"/>
              <w:right w:val="single" w:sz="4" w:space="0" w:color="auto"/>
              <w:tl2br w:val="nil"/>
              <w:tr2bl w:val="nil"/>
            </w:tcBorders>
            <w:textDirection w:val="lrTb"/>
            <w:vAlign w:val="center"/>
          </w:tcPr>
          <w:p w:rsidR="00AE2D69" w:rsidP="0063407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240" w:lineRule="auto"/>
              <w:ind w:left="73"/>
              <w:jc w:val="center"/>
              <w:rPr>
                <w:rFonts w:ascii="Arial Narrow" w:hAnsi="Arial Narrow" w:cs="Times New Roman"/>
              </w:rPr>
            </w:pPr>
          </w:p>
        </w:tc>
      </w:tr>
      <w:tr>
        <w:tblPrEx>
          <w:tblW w:w="9314" w:type="dxa"/>
          <w:jc w:val="center"/>
          <w:tblLayout w:type="fixed"/>
          <w:tblCellMar>
            <w:top w:w="0" w:type="dxa"/>
            <w:left w:w="28" w:type="dxa"/>
            <w:bottom w:w="0" w:type="dxa"/>
            <w:right w:w="28" w:type="dxa"/>
          </w:tblCellMar>
        </w:tblPrEx>
        <w:trPr>
          <w:cantSplit/>
          <w:trHeight w:val="275"/>
          <w:jc w:val="center"/>
        </w:trPr>
        <w:tc>
          <w:tcPr>
            <w:tcW w:w="1418" w:type="dxa"/>
            <w:tcBorders>
              <w:top w:val="double" w:sz="4" w:space="0" w:color="auto"/>
              <w:left w:val="single" w:sz="4" w:space="0" w:color="auto"/>
              <w:bottom w:val="nil"/>
              <w:right w:val="single" w:sz="4" w:space="0" w:color="auto"/>
              <w:tl2br w:val="nil"/>
              <w:tr2bl w:val="nil"/>
            </w:tcBorders>
            <w:textDirection w:val="lrTb"/>
            <w:vAlign w:val="top"/>
          </w:tcPr>
          <w:p w:rsidR="00AE2D69" w:rsidP="00634079">
            <w:pPr>
              <w:spacing w:line="240" w:lineRule="auto"/>
              <w:jc w:val="center"/>
              <w:rPr>
                <w:rFonts w:ascii="Arial Narrow" w:hAnsi="Arial Narrow" w:cs="Times New Roman"/>
              </w:rPr>
            </w:pPr>
            <w:r>
              <w:rPr>
                <w:rFonts w:ascii="Arial Narrow" w:hAnsi="Arial Narrow" w:cs="Times New Roman"/>
              </w:rPr>
              <w:t>ZD-101/2007</w:t>
            </w:r>
          </w:p>
        </w:tc>
        <w:tc>
          <w:tcPr>
            <w:tcW w:w="6624" w:type="dxa"/>
            <w:tcBorders>
              <w:top w:val="double" w:sz="4" w:space="0" w:color="auto"/>
              <w:left w:val="single" w:sz="4" w:space="0" w:color="auto"/>
              <w:bottom w:val="nil"/>
              <w:right w:val="single" w:sz="4" w:space="0" w:color="auto"/>
              <w:tl2br w:val="nil"/>
              <w:tr2bl w:val="nil"/>
            </w:tcBorders>
            <w:textDirection w:val="lrTb"/>
            <w:vAlign w:val="center"/>
          </w:tcPr>
          <w:p w:rsidR="00AE2D69" w:rsidP="0063407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240" w:lineRule="auto"/>
              <w:ind w:left="57" w:right="57"/>
              <w:rPr>
                <w:rFonts w:ascii="Arial Narrow" w:hAnsi="Arial Narrow" w:cs="Times New Roman"/>
                <w:lang w:eastAsia="cs-CZ"/>
              </w:rPr>
            </w:pPr>
            <w:r>
              <w:rPr>
                <w:rFonts w:ascii="Arial Narrow" w:hAnsi="Arial Narrow" w:cs="Times New Roman"/>
                <w:lang w:eastAsia="cs-CZ"/>
              </w:rPr>
              <w:t>Aktualizácia a doplnenie databázy Predpisov EHK OSN, ktoré sa týkajú harmoniz.</w:t>
            </w:r>
          </w:p>
          <w:p w:rsidR="00AE2D69" w:rsidP="0063407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240" w:lineRule="auto"/>
              <w:ind w:left="57" w:right="57"/>
              <w:rPr>
                <w:rFonts w:ascii="Arial Narrow" w:hAnsi="Arial Narrow" w:cs="Times New Roman"/>
                <w:lang w:eastAsia="cs-CZ"/>
              </w:rPr>
            </w:pPr>
            <w:r>
              <w:rPr>
                <w:rFonts w:ascii="Arial Narrow" w:hAnsi="Arial Narrow" w:cs="Times New Roman"/>
                <w:lang w:eastAsia="cs-CZ"/>
              </w:rPr>
              <w:t>vozidiel cest. dopravy a </w:t>
            </w:r>
            <w:r>
              <w:rPr>
                <w:rFonts w:ascii="Arial Narrow" w:hAnsi="Arial Narrow" w:cs="Times New Roman"/>
                <w:lang w:eastAsia="cs-CZ"/>
              </w:rPr>
              <w:t>prezentácia databázy predpisov EHK OSN na webe MDPT</w:t>
            </w:r>
          </w:p>
        </w:tc>
        <w:tc>
          <w:tcPr>
            <w:tcW w:w="1272" w:type="dxa"/>
            <w:tcBorders>
              <w:top w:val="double" w:sz="4" w:space="0" w:color="auto"/>
              <w:left w:val="single" w:sz="4" w:space="0" w:color="auto"/>
              <w:bottom w:val="nil"/>
              <w:right w:val="single" w:sz="4" w:space="0" w:color="auto"/>
              <w:tl2br w:val="nil"/>
              <w:tr2bl w:val="nil"/>
            </w:tcBorders>
            <w:textDirection w:val="lrTb"/>
            <w:vAlign w:val="center"/>
          </w:tcPr>
          <w:p w:rsidR="00AE2D69" w:rsidP="0063407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240" w:lineRule="auto"/>
              <w:ind w:left="73"/>
              <w:jc w:val="center"/>
              <w:rPr>
                <w:rFonts w:ascii="Arial Narrow" w:hAnsi="Arial Narrow" w:cs="Times New Roman"/>
              </w:rPr>
            </w:pPr>
            <w:r>
              <w:rPr>
                <w:rFonts w:ascii="Arial Narrow" w:hAnsi="Arial Narrow" w:cs="Times New Roman"/>
              </w:rPr>
              <w:t xml:space="preserve">     650 000</w:t>
            </w:r>
          </w:p>
        </w:tc>
      </w:tr>
      <w:tr>
        <w:tblPrEx>
          <w:tblW w:w="9314" w:type="dxa"/>
          <w:jc w:val="center"/>
          <w:tblLayout w:type="fixed"/>
          <w:tblCellMar>
            <w:top w:w="0" w:type="dxa"/>
            <w:left w:w="28" w:type="dxa"/>
            <w:bottom w:w="0" w:type="dxa"/>
            <w:right w:w="28" w:type="dxa"/>
          </w:tblCellMar>
        </w:tblPrEx>
        <w:trPr>
          <w:cantSplit/>
          <w:trHeight w:val="275"/>
          <w:jc w:val="center"/>
        </w:trPr>
        <w:tc>
          <w:tcPr>
            <w:tcW w:w="1418" w:type="dxa"/>
            <w:tcBorders>
              <w:top w:val="single" w:sz="4" w:space="0" w:color="auto"/>
              <w:left w:val="single" w:sz="4" w:space="0" w:color="auto"/>
              <w:bottom w:val="nil"/>
              <w:right w:val="single" w:sz="4" w:space="0" w:color="auto"/>
              <w:tl2br w:val="nil"/>
              <w:tr2bl w:val="nil"/>
            </w:tcBorders>
            <w:textDirection w:val="lrTb"/>
            <w:vAlign w:val="top"/>
          </w:tcPr>
          <w:p w:rsidR="00AE2D69" w:rsidP="00634079">
            <w:pPr>
              <w:spacing w:line="240" w:lineRule="auto"/>
              <w:jc w:val="center"/>
              <w:rPr>
                <w:rFonts w:ascii="Arial Narrow" w:hAnsi="Arial Narrow" w:cs="Times New Roman"/>
              </w:rPr>
            </w:pPr>
            <w:r>
              <w:rPr>
                <w:rFonts w:ascii="Arial Narrow" w:hAnsi="Arial Narrow" w:cs="Times New Roman"/>
              </w:rPr>
              <w:t>ZD-102/2007</w:t>
            </w:r>
          </w:p>
        </w:tc>
        <w:tc>
          <w:tcPr>
            <w:tcW w:w="6624" w:type="dxa"/>
            <w:tcBorders>
              <w:top w:val="single" w:sz="4" w:space="0" w:color="auto"/>
              <w:left w:val="single" w:sz="4" w:space="0" w:color="auto"/>
              <w:bottom w:val="nil"/>
              <w:right w:val="single" w:sz="4" w:space="0" w:color="auto"/>
              <w:tl2br w:val="nil"/>
              <w:tr2bl w:val="nil"/>
            </w:tcBorders>
            <w:textDirection w:val="lrTb"/>
            <w:vAlign w:val="center"/>
          </w:tcPr>
          <w:p w:rsidR="00AE2D69" w:rsidP="00634079">
            <w:pPr>
              <w:spacing w:line="240" w:lineRule="auto"/>
              <w:ind w:left="57" w:right="57"/>
              <w:rPr>
                <w:rFonts w:ascii="Arial Narrow" w:hAnsi="Arial Narrow" w:cs="Times New Roman"/>
              </w:rPr>
            </w:pPr>
            <w:r>
              <w:rPr>
                <w:rFonts w:ascii="Arial Narrow" w:hAnsi="Arial Narrow" w:cs="Times New Roman"/>
              </w:rPr>
              <w:t>Európska integrácia – Konzultačné a terminologické stredisko pre dopravnú legislatívu</w:t>
            </w:r>
          </w:p>
          <w:p w:rsidR="00AE2D69" w:rsidP="00634079">
            <w:pPr>
              <w:spacing w:line="240" w:lineRule="auto"/>
              <w:ind w:left="57" w:right="57"/>
              <w:rPr>
                <w:rFonts w:ascii="Arial Narrow" w:hAnsi="Arial Narrow" w:cs="Times New Roman"/>
              </w:rPr>
            </w:pPr>
            <w:r>
              <w:rPr>
                <w:rFonts w:ascii="Arial Narrow" w:hAnsi="Arial Narrow" w:cs="Times New Roman"/>
              </w:rPr>
              <w:t xml:space="preserve">EÚ a dokumentač.stredisko pre medzinárodné zmluvy v oblasti dopravy, pôšt a telekom </w:t>
            </w:r>
          </w:p>
        </w:tc>
        <w:tc>
          <w:tcPr>
            <w:tcW w:w="1272" w:type="dxa"/>
            <w:tcBorders>
              <w:top w:val="single" w:sz="4" w:space="0" w:color="auto"/>
              <w:left w:val="single" w:sz="4" w:space="0" w:color="auto"/>
              <w:bottom w:val="nil"/>
              <w:right w:val="single" w:sz="4" w:space="0" w:color="auto"/>
              <w:tl2br w:val="nil"/>
              <w:tr2bl w:val="nil"/>
            </w:tcBorders>
            <w:textDirection w:val="lrTb"/>
            <w:vAlign w:val="center"/>
          </w:tcPr>
          <w:p w:rsidR="00AE2D69" w:rsidP="0063407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240" w:lineRule="auto"/>
              <w:ind w:left="73"/>
              <w:jc w:val="center"/>
              <w:rPr>
                <w:rFonts w:ascii="Arial Narrow" w:hAnsi="Arial Narrow" w:cs="Times New Roman"/>
              </w:rPr>
            </w:pPr>
            <w:r>
              <w:rPr>
                <w:rFonts w:ascii="Arial Narrow" w:hAnsi="Arial Narrow" w:cs="Times New Roman"/>
              </w:rPr>
              <w:t xml:space="preserve">  1 350</w:t>
            </w:r>
            <w:r>
              <w:rPr>
                <w:rFonts w:ascii="Arial Narrow" w:hAnsi="Arial Narrow" w:cs="Times New Roman"/>
              </w:rPr>
              <w:t xml:space="preserve"> 000</w:t>
            </w:r>
          </w:p>
        </w:tc>
      </w:tr>
      <w:tr>
        <w:tblPrEx>
          <w:tblW w:w="9314" w:type="dxa"/>
          <w:jc w:val="center"/>
          <w:tblLayout w:type="fixed"/>
          <w:tblCellMar>
            <w:top w:w="0" w:type="dxa"/>
            <w:left w:w="28" w:type="dxa"/>
            <w:bottom w:w="0" w:type="dxa"/>
            <w:right w:w="28" w:type="dxa"/>
          </w:tblCellMar>
        </w:tblPrEx>
        <w:trPr>
          <w:cantSplit/>
          <w:trHeight w:val="275"/>
          <w:jc w:val="center"/>
        </w:trPr>
        <w:tc>
          <w:tcPr>
            <w:tcW w:w="141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E2D69" w:rsidP="00634079">
            <w:pPr>
              <w:spacing w:line="240" w:lineRule="auto"/>
              <w:jc w:val="center"/>
              <w:rPr>
                <w:rFonts w:ascii="Arial Narrow" w:hAnsi="Arial Narrow" w:cs="Times New Roman"/>
              </w:rPr>
            </w:pPr>
            <w:r>
              <w:rPr>
                <w:rFonts w:ascii="Arial Narrow" w:hAnsi="Arial Narrow" w:cs="Times New Roman"/>
              </w:rPr>
              <w:t>ZD-103/2007</w:t>
            </w:r>
          </w:p>
        </w:tc>
        <w:tc>
          <w:tcPr>
            <w:tcW w:w="6624"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AE2D69" w:rsidP="00634079">
            <w:pPr>
              <w:spacing w:line="240" w:lineRule="auto"/>
              <w:ind w:left="57" w:right="57"/>
              <w:rPr>
                <w:rFonts w:ascii="Arial Narrow" w:hAnsi="Arial Narrow" w:cs="Times New Roman"/>
                <w:color w:val="000000"/>
                <w:lang w:eastAsia="sk-SK"/>
              </w:rPr>
            </w:pPr>
            <w:r>
              <w:rPr>
                <w:rFonts w:ascii="Arial Narrow" w:hAnsi="Arial Narrow" w:cs="Times New Roman"/>
                <w:color w:val="000000"/>
                <w:lang w:eastAsia="sk-SK"/>
              </w:rPr>
              <w:t>Štatistika dopravy</w:t>
            </w:r>
          </w:p>
        </w:tc>
        <w:tc>
          <w:tcPr>
            <w:tcW w:w="1272"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AE2D69" w:rsidP="0063407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240" w:lineRule="auto"/>
              <w:ind w:left="73"/>
              <w:jc w:val="center"/>
              <w:rPr>
                <w:rFonts w:ascii="Arial Narrow" w:hAnsi="Arial Narrow" w:cs="Times New Roman"/>
              </w:rPr>
            </w:pPr>
            <w:r>
              <w:rPr>
                <w:rFonts w:ascii="Arial Narrow" w:hAnsi="Arial Narrow" w:cs="Times New Roman"/>
              </w:rPr>
              <w:t xml:space="preserve">  2 700 000</w:t>
            </w:r>
          </w:p>
        </w:tc>
      </w:tr>
      <w:tr>
        <w:tblPrEx>
          <w:tblW w:w="9314" w:type="dxa"/>
          <w:jc w:val="center"/>
          <w:tblLayout w:type="fixed"/>
          <w:tblCellMar>
            <w:top w:w="0" w:type="dxa"/>
            <w:left w:w="28" w:type="dxa"/>
            <w:bottom w:w="0" w:type="dxa"/>
            <w:right w:w="28" w:type="dxa"/>
          </w:tblCellMar>
        </w:tblPrEx>
        <w:trPr>
          <w:cantSplit/>
          <w:trHeight w:val="275"/>
          <w:jc w:val="center"/>
        </w:trPr>
        <w:tc>
          <w:tcPr>
            <w:tcW w:w="1418" w:type="dxa"/>
            <w:tcBorders>
              <w:top w:val="single" w:sz="4" w:space="0" w:color="auto"/>
              <w:left w:val="single" w:sz="4" w:space="0" w:color="auto"/>
              <w:bottom w:val="nil"/>
              <w:right w:val="single" w:sz="4" w:space="0" w:color="auto"/>
              <w:tl2br w:val="nil"/>
              <w:tr2bl w:val="nil"/>
            </w:tcBorders>
            <w:textDirection w:val="lrTb"/>
            <w:vAlign w:val="top"/>
          </w:tcPr>
          <w:p w:rsidR="00AE2D69" w:rsidP="00634079">
            <w:pPr>
              <w:spacing w:line="240" w:lineRule="auto"/>
              <w:jc w:val="center"/>
              <w:rPr>
                <w:rFonts w:ascii="Arial Narrow" w:hAnsi="Arial Narrow" w:cs="Times New Roman"/>
              </w:rPr>
            </w:pPr>
            <w:r>
              <w:rPr>
                <w:rFonts w:ascii="Arial Narrow" w:hAnsi="Arial Narrow" w:cs="Times New Roman"/>
              </w:rPr>
              <w:t>ZD-104/2007</w:t>
            </w:r>
          </w:p>
        </w:tc>
        <w:tc>
          <w:tcPr>
            <w:tcW w:w="6624" w:type="dxa"/>
            <w:tcBorders>
              <w:top w:val="single" w:sz="4" w:space="0" w:color="auto"/>
              <w:left w:val="single" w:sz="4" w:space="0" w:color="auto"/>
              <w:bottom w:val="nil"/>
              <w:right w:val="single" w:sz="4" w:space="0" w:color="auto"/>
              <w:tl2br w:val="nil"/>
              <w:tr2bl w:val="nil"/>
            </w:tcBorders>
            <w:textDirection w:val="lrTb"/>
            <w:vAlign w:val="center"/>
          </w:tcPr>
          <w:p w:rsidR="00AE2D69" w:rsidP="00634079">
            <w:pPr>
              <w:spacing w:line="240" w:lineRule="auto"/>
              <w:ind w:left="57" w:right="57"/>
              <w:rPr>
                <w:rFonts w:ascii="Arial Narrow" w:hAnsi="Arial Narrow" w:cs="Times New Roman"/>
                <w:color w:val="000000"/>
                <w:lang w:eastAsia="sk-SK"/>
              </w:rPr>
            </w:pPr>
            <w:r>
              <w:rPr>
                <w:rFonts w:ascii="Arial Narrow" w:hAnsi="Arial Narrow" w:cs="Times New Roman"/>
                <w:color w:val="000000"/>
                <w:lang w:eastAsia="sk-SK"/>
              </w:rPr>
              <w:t>Dokumentácia Intermodálnej  dopravy a</w:t>
            </w:r>
            <w:r w:rsidR="00FC1671">
              <w:rPr>
                <w:rFonts w:ascii="Arial Narrow" w:hAnsi="Arial Narrow" w:cs="Times New Roman"/>
                <w:color w:val="000000"/>
                <w:lang w:eastAsia="sk-SK"/>
              </w:rPr>
              <w:t> </w:t>
            </w:r>
            <w:r>
              <w:rPr>
                <w:rFonts w:ascii="Arial Narrow" w:hAnsi="Arial Narrow" w:cs="Times New Roman"/>
                <w:color w:val="000000"/>
                <w:lang w:eastAsia="sk-SK"/>
              </w:rPr>
              <w:t>logistiky</w:t>
            </w:r>
          </w:p>
        </w:tc>
        <w:tc>
          <w:tcPr>
            <w:tcW w:w="1272" w:type="dxa"/>
            <w:tcBorders>
              <w:top w:val="single" w:sz="4" w:space="0" w:color="auto"/>
              <w:left w:val="single" w:sz="4" w:space="0" w:color="auto"/>
              <w:bottom w:val="nil"/>
              <w:right w:val="single" w:sz="4" w:space="0" w:color="auto"/>
              <w:tl2br w:val="nil"/>
              <w:tr2bl w:val="nil"/>
            </w:tcBorders>
            <w:textDirection w:val="lrTb"/>
            <w:vAlign w:val="center"/>
          </w:tcPr>
          <w:p w:rsidR="00AE2D69" w:rsidP="0063407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240" w:lineRule="auto"/>
              <w:ind w:left="73"/>
              <w:jc w:val="center"/>
              <w:rPr>
                <w:rFonts w:ascii="Arial Narrow" w:hAnsi="Arial Narrow" w:cs="Times New Roman"/>
              </w:rPr>
            </w:pPr>
            <w:r>
              <w:rPr>
                <w:rFonts w:ascii="Arial Narrow" w:hAnsi="Arial Narrow" w:cs="Times New Roman"/>
              </w:rPr>
              <w:t xml:space="preserve">     200 000</w:t>
            </w:r>
          </w:p>
        </w:tc>
      </w:tr>
      <w:tr>
        <w:tblPrEx>
          <w:tblW w:w="9314" w:type="dxa"/>
          <w:jc w:val="center"/>
          <w:tblLayout w:type="fixed"/>
          <w:tblCellMar>
            <w:top w:w="0" w:type="dxa"/>
            <w:left w:w="28" w:type="dxa"/>
            <w:bottom w:w="0" w:type="dxa"/>
            <w:right w:w="28" w:type="dxa"/>
          </w:tblCellMar>
        </w:tblPrEx>
        <w:trPr>
          <w:cantSplit/>
          <w:trHeight w:val="275"/>
          <w:jc w:val="center"/>
        </w:trPr>
        <w:tc>
          <w:tcPr>
            <w:tcW w:w="141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E2D69" w:rsidP="00634079">
            <w:pPr>
              <w:spacing w:line="240" w:lineRule="auto"/>
              <w:jc w:val="center"/>
              <w:rPr>
                <w:rFonts w:ascii="Arial Narrow" w:hAnsi="Arial Narrow" w:cs="Times New Roman"/>
              </w:rPr>
            </w:pPr>
            <w:r>
              <w:rPr>
                <w:rFonts w:ascii="Arial Narrow" w:hAnsi="Arial Narrow" w:cs="Times New Roman"/>
              </w:rPr>
              <w:t>ZD-105/2007</w:t>
            </w:r>
          </w:p>
        </w:tc>
        <w:tc>
          <w:tcPr>
            <w:tcW w:w="6624"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AE2D69" w:rsidP="00634079">
            <w:pPr>
              <w:spacing w:line="240" w:lineRule="auto"/>
              <w:ind w:left="57" w:right="57"/>
              <w:rPr>
                <w:rFonts w:ascii="Arial Narrow" w:hAnsi="Arial Narrow" w:cs="Times New Roman"/>
                <w:color w:val="000000"/>
                <w:lang w:eastAsia="sk-SK"/>
              </w:rPr>
            </w:pPr>
            <w:r>
              <w:rPr>
                <w:rFonts w:ascii="Arial Narrow" w:hAnsi="Arial Narrow" w:cs="Times New Roman"/>
                <w:color w:val="000000"/>
                <w:lang w:eastAsia="sk-SK"/>
              </w:rPr>
              <w:t>Databanka dopravnej sústavy SR. Zabezpečenie spracovania a implementácie vstupných dát pre aktualizáciu dátového skladu</w:t>
            </w:r>
          </w:p>
        </w:tc>
        <w:tc>
          <w:tcPr>
            <w:tcW w:w="1272"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AE2D69" w:rsidP="0063407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240" w:lineRule="auto"/>
              <w:ind w:left="73"/>
              <w:jc w:val="center"/>
              <w:rPr>
                <w:rFonts w:ascii="Arial Narrow" w:hAnsi="Arial Narrow" w:cs="Times New Roman"/>
              </w:rPr>
            </w:pPr>
            <w:r>
              <w:rPr>
                <w:rFonts w:ascii="Arial Narrow" w:hAnsi="Arial Narrow" w:cs="Times New Roman"/>
              </w:rPr>
              <w:t xml:space="preserve">  1 200 000</w:t>
            </w:r>
          </w:p>
        </w:tc>
      </w:tr>
      <w:tr>
        <w:tblPrEx>
          <w:tblW w:w="9314" w:type="dxa"/>
          <w:jc w:val="center"/>
          <w:tblLayout w:type="fixed"/>
          <w:tblCellMar>
            <w:top w:w="0" w:type="dxa"/>
            <w:left w:w="28" w:type="dxa"/>
            <w:bottom w:w="0" w:type="dxa"/>
            <w:right w:w="28" w:type="dxa"/>
          </w:tblCellMar>
        </w:tblPrEx>
        <w:trPr>
          <w:cantSplit/>
          <w:trHeight w:val="275"/>
          <w:jc w:val="center"/>
        </w:trPr>
        <w:tc>
          <w:tcPr>
            <w:tcW w:w="141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E2D69" w:rsidP="00634079">
            <w:pPr>
              <w:spacing w:line="240" w:lineRule="auto"/>
              <w:jc w:val="center"/>
              <w:rPr>
                <w:rFonts w:ascii="Arial Narrow" w:hAnsi="Arial Narrow" w:cs="Times New Roman"/>
              </w:rPr>
            </w:pPr>
            <w:r>
              <w:rPr>
                <w:rFonts w:ascii="Arial Narrow" w:hAnsi="Arial Narrow" w:cs="Times New Roman"/>
              </w:rPr>
              <w:t>ZD-106/2007</w:t>
            </w:r>
          </w:p>
        </w:tc>
        <w:tc>
          <w:tcPr>
            <w:tcW w:w="6624"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AE2D69" w:rsidP="00634079">
            <w:pPr>
              <w:spacing w:line="240" w:lineRule="auto"/>
              <w:ind w:left="57" w:right="57"/>
              <w:rPr>
                <w:rFonts w:ascii="Arial Narrow" w:hAnsi="Arial Narrow" w:cs="Times New Roman"/>
                <w:color w:val="000000"/>
                <w:lang w:eastAsia="sk-SK"/>
              </w:rPr>
            </w:pPr>
            <w:r>
              <w:rPr>
                <w:rFonts w:ascii="Arial Narrow" w:hAnsi="Arial Narrow" w:cs="Times New Roman"/>
                <w:color w:val="000000"/>
                <w:lang w:eastAsia="sk-SK"/>
              </w:rPr>
              <w:t xml:space="preserve">Intermodálne dopravné informačné centrum </w:t>
            </w:r>
          </w:p>
        </w:tc>
        <w:tc>
          <w:tcPr>
            <w:tcW w:w="1272"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AE2D69" w:rsidP="0063407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240" w:lineRule="auto"/>
              <w:ind w:left="73"/>
              <w:jc w:val="center"/>
              <w:rPr>
                <w:rFonts w:ascii="Arial Narrow" w:hAnsi="Arial Narrow" w:cs="Times New Roman"/>
              </w:rPr>
            </w:pPr>
            <w:r>
              <w:rPr>
                <w:rFonts w:ascii="Arial Narrow" w:hAnsi="Arial Narrow" w:cs="Times New Roman"/>
              </w:rPr>
              <w:t xml:space="preserve">    500 000</w:t>
            </w:r>
          </w:p>
        </w:tc>
      </w:tr>
      <w:tr>
        <w:tblPrEx>
          <w:tblW w:w="9314" w:type="dxa"/>
          <w:jc w:val="center"/>
          <w:tblLayout w:type="fixed"/>
          <w:tblCellMar>
            <w:top w:w="0" w:type="dxa"/>
            <w:left w:w="28" w:type="dxa"/>
            <w:bottom w:w="0" w:type="dxa"/>
            <w:right w:w="28" w:type="dxa"/>
          </w:tblCellMar>
        </w:tblPrEx>
        <w:trPr>
          <w:cantSplit/>
          <w:trHeight w:val="275"/>
          <w:jc w:val="center"/>
        </w:trPr>
        <w:tc>
          <w:tcPr>
            <w:tcW w:w="1418" w:type="dxa"/>
            <w:tcBorders>
              <w:top w:val="single" w:sz="4" w:space="0" w:color="auto"/>
              <w:left w:val="single" w:sz="4" w:space="0" w:color="auto"/>
              <w:bottom w:val="nil"/>
              <w:right w:val="single" w:sz="4" w:space="0" w:color="auto"/>
              <w:tl2br w:val="nil"/>
              <w:tr2bl w:val="nil"/>
            </w:tcBorders>
            <w:textDirection w:val="lrTb"/>
            <w:vAlign w:val="top"/>
          </w:tcPr>
          <w:p w:rsidR="00AE2D69" w:rsidP="00634079">
            <w:pPr>
              <w:spacing w:line="240" w:lineRule="auto"/>
              <w:jc w:val="center"/>
              <w:rPr>
                <w:rFonts w:ascii="Arial Narrow" w:hAnsi="Arial Narrow" w:cs="Times New Roman"/>
              </w:rPr>
            </w:pPr>
            <w:r>
              <w:rPr>
                <w:rFonts w:ascii="Arial Narrow" w:hAnsi="Arial Narrow" w:cs="Times New Roman"/>
              </w:rPr>
              <w:t>ZD-107/2007</w:t>
            </w:r>
          </w:p>
        </w:tc>
        <w:tc>
          <w:tcPr>
            <w:tcW w:w="6624" w:type="dxa"/>
            <w:tcBorders>
              <w:top w:val="single" w:sz="4" w:space="0" w:color="auto"/>
              <w:left w:val="single" w:sz="4" w:space="0" w:color="auto"/>
              <w:bottom w:val="nil"/>
              <w:right w:val="single" w:sz="4" w:space="0" w:color="auto"/>
              <w:tl2br w:val="nil"/>
              <w:tr2bl w:val="nil"/>
            </w:tcBorders>
            <w:textDirection w:val="lrTb"/>
            <w:vAlign w:val="center"/>
          </w:tcPr>
          <w:p w:rsidR="00AE2D69" w:rsidP="00634079">
            <w:pPr>
              <w:spacing w:line="240" w:lineRule="auto"/>
              <w:ind w:left="57" w:right="57"/>
              <w:rPr>
                <w:rFonts w:ascii="Arial Narrow" w:hAnsi="Arial Narrow" w:cs="Times New Roman"/>
              </w:rPr>
            </w:pPr>
            <w:r>
              <w:rPr>
                <w:rFonts w:ascii="Arial Narrow" w:hAnsi="Arial Narrow" w:cs="Times New Roman"/>
              </w:rPr>
              <w:t>Monitoring a analýza životného prostredia</w:t>
            </w:r>
          </w:p>
        </w:tc>
        <w:tc>
          <w:tcPr>
            <w:tcW w:w="1272" w:type="dxa"/>
            <w:tcBorders>
              <w:top w:val="single" w:sz="4" w:space="0" w:color="auto"/>
              <w:left w:val="single" w:sz="4" w:space="0" w:color="auto"/>
              <w:bottom w:val="nil"/>
              <w:right w:val="single" w:sz="4" w:space="0" w:color="auto"/>
              <w:tl2br w:val="nil"/>
              <w:tr2bl w:val="nil"/>
            </w:tcBorders>
            <w:textDirection w:val="lrTb"/>
            <w:vAlign w:val="center"/>
          </w:tcPr>
          <w:p w:rsidR="00AE2D69" w:rsidP="0063407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240" w:lineRule="auto"/>
              <w:ind w:left="73"/>
              <w:jc w:val="center"/>
              <w:rPr>
                <w:rFonts w:ascii="Arial Narrow" w:hAnsi="Arial Narrow" w:cs="Times New Roman"/>
              </w:rPr>
            </w:pPr>
            <w:r>
              <w:rPr>
                <w:rFonts w:ascii="Arial Narrow" w:hAnsi="Arial Narrow" w:cs="Times New Roman"/>
              </w:rPr>
              <w:t xml:space="preserve">    700 000</w:t>
            </w:r>
          </w:p>
        </w:tc>
      </w:tr>
      <w:tr>
        <w:tblPrEx>
          <w:tblW w:w="9314" w:type="dxa"/>
          <w:jc w:val="center"/>
          <w:tblLayout w:type="fixed"/>
          <w:tblCellMar>
            <w:top w:w="0" w:type="dxa"/>
            <w:left w:w="28" w:type="dxa"/>
            <w:bottom w:w="0" w:type="dxa"/>
            <w:right w:w="28" w:type="dxa"/>
          </w:tblCellMar>
        </w:tblPrEx>
        <w:trPr>
          <w:cantSplit/>
          <w:trHeight w:val="275"/>
          <w:jc w:val="center"/>
        </w:trPr>
        <w:tc>
          <w:tcPr>
            <w:tcW w:w="141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E2D69" w:rsidP="00634079">
            <w:pPr>
              <w:spacing w:line="240" w:lineRule="auto"/>
              <w:jc w:val="center"/>
              <w:rPr>
                <w:rFonts w:ascii="Arial Narrow" w:hAnsi="Arial Narrow" w:cs="Times New Roman"/>
              </w:rPr>
            </w:pPr>
            <w:r>
              <w:rPr>
                <w:rFonts w:ascii="Arial Narrow" w:hAnsi="Arial Narrow" w:cs="Times New Roman"/>
              </w:rPr>
              <w:t>ZD-108/2007</w:t>
            </w:r>
          </w:p>
        </w:tc>
        <w:tc>
          <w:tcPr>
            <w:tcW w:w="6624"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AE2D69" w:rsidP="00634079">
            <w:pPr>
              <w:spacing w:line="240" w:lineRule="auto"/>
              <w:ind w:left="57" w:right="57"/>
              <w:rPr>
                <w:rFonts w:ascii="Arial Narrow" w:hAnsi="Arial Narrow" w:cs="Times New Roman"/>
              </w:rPr>
            </w:pPr>
            <w:r>
              <w:rPr>
                <w:rFonts w:ascii="Arial Narrow" w:hAnsi="Arial Narrow" w:cs="Times New Roman"/>
              </w:rPr>
              <w:t xml:space="preserve">Systematický monitoring a aktualizácia databáz STN, medzinárodných a európskych noriem za oblasť </w:t>
            </w:r>
            <w:r>
              <w:rPr>
                <w:rFonts w:ascii="Arial Narrow" w:hAnsi="Arial Narrow" w:cs="Times New Roman"/>
              </w:rPr>
              <w:t>dopravy: Spracovanie databázy noriem nachádzajúcich sa v technických smerniciach a predpisoch EHK OSN</w:t>
            </w:r>
          </w:p>
        </w:tc>
        <w:tc>
          <w:tcPr>
            <w:tcW w:w="1272"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AE2D69" w:rsidP="0063407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240" w:lineRule="auto"/>
              <w:ind w:left="73"/>
              <w:jc w:val="center"/>
              <w:rPr>
                <w:rFonts w:ascii="Arial Narrow" w:hAnsi="Arial Narrow" w:cs="Times New Roman"/>
              </w:rPr>
            </w:pPr>
            <w:r>
              <w:rPr>
                <w:rFonts w:ascii="Arial Narrow" w:hAnsi="Arial Narrow" w:cs="Times New Roman"/>
              </w:rPr>
              <w:t xml:space="preserve">    500 000</w:t>
            </w:r>
          </w:p>
        </w:tc>
      </w:tr>
      <w:tr>
        <w:tblPrEx>
          <w:tblW w:w="9314" w:type="dxa"/>
          <w:jc w:val="center"/>
          <w:tblLayout w:type="fixed"/>
          <w:tblCellMar>
            <w:top w:w="0" w:type="dxa"/>
            <w:left w:w="28" w:type="dxa"/>
            <w:bottom w:w="0" w:type="dxa"/>
            <w:right w:w="28" w:type="dxa"/>
          </w:tblCellMar>
        </w:tblPrEx>
        <w:trPr>
          <w:cantSplit/>
          <w:trHeight w:val="275"/>
          <w:jc w:val="center"/>
        </w:trPr>
        <w:tc>
          <w:tcPr>
            <w:tcW w:w="141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E2D69" w:rsidP="00634079">
            <w:pPr>
              <w:spacing w:line="240" w:lineRule="auto"/>
              <w:jc w:val="center"/>
              <w:rPr>
                <w:rFonts w:ascii="Arial Narrow" w:hAnsi="Arial Narrow" w:cs="Times New Roman"/>
              </w:rPr>
            </w:pPr>
            <w:r>
              <w:rPr>
                <w:rFonts w:ascii="Arial Narrow" w:hAnsi="Arial Narrow" w:cs="Times New Roman"/>
              </w:rPr>
              <w:t>ZD-109/2007</w:t>
            </w:r>
          </w:p>
        </w:tc>
        <w:tc>
          <w:tcPr>
            <w:tcW w:w="6624"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AE2D69" w:rsidP="0063407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240" w:lineRule="auto"/>
              <w:ind w:left="57" w:right="57"/>
              <w:rPr>
                <w:rFonts w:ascii="Arial Narrow" w:hAnsi="Arial Narrow" w:cs="Times New Roman"/>
                <w:lang w:eastAsia="cs-CZ"/>
              </w:rPr>
            </w:pPr>
            <w:r>
              <w:rPr>
                <w:rFonts w:ascii="Arial Narrow" w:hAnsi="Arial Narrow" w:cs="Times New Roman"/>
                <w:lang w:eastAsia="cs-CZ"/>
              </w:rPr>
              <w:t>Zapojenie rezortu dopravy do medzinárodného projektu – Budovanie Observatória pre</w:t>
            </w:r>
          </w:p>
          <w:p w:rsidR="00AE2D69" w:rsidP="0063407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240" w:lineRule="auto"/>
              <w:ind w:left="57" w:right="57"/>
              <w:rPr>
                <w:rFonts w:ascii="Arial Narrow" w:hAnsi="Arial Narrow" w:cs="Times New Roman"/>
                <w:lang w:eastAsia="cs-CZ"/>
              </w:rPr>
            </w:pPr>
            <w:r>
              <w:rPr>
                <w:rFonts w:ascii="Arial Narrow" w:hAnsi="Arial Narrow" w:cs="Times New Roman"/>
                <w:lang w:eastAsia="cs-CZ"/>
              </w:rPr>
              <w:t xml:space="preserve">cestnú bezpečnosť v Európe </w:t>
            </w:r>
          </w:p>
        </w:tc>
        <w:tc>
          <w:tcPr>
            <w:tcW w:w="1272"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AE2D69" w:rsidP="0063407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240" w:lineRule="auto"/>
              <w:ind w:left="73"/>
              <w:jc w:val="center"/>
              <w:rPr>
                <w:rFonts w:ascii="Arial Narrow" w:hAnsi="Arial Narrow" w:cs="Times New Roman"/>
              </w:rPr>
            </w:pPr>
            <w:r>
              <w:rPr>
                <w:rFonts w:ascii="Arial Narrow" w:hAnsi="Arial Narrow" w:cs="Times New Roman"/>
              </w:rPr>
              <w:t xml:space="preserve">    200 000</w:t>
            </w:r>
          </w:p>
        </w:tc>
      </w:tr>
      <w:tr>
        <w:tblPrEx>
          <w:tblW w:w="9314" w:type="dxa"/>
          <w:jc w:val="center"/>
          <w:tblLayout w:type="fixed"/>
          <w:tblCellMar>
            <w:top w:w="0" w:type="dxa"/>
            <w:left w:w="28" w:type="dxa"/>
            <w:bottom w:w="0" w:type="dxa"/>
            <w:right w:w="28" w:type="dxa"/>
          </w:tblCellMar>
        </w:tblPrEx>
        <w:trPr>
          <w:cantSplit/>
          <w:trHeight w:val="275"/>
          <w:jc w:val="center"/>
        </w:trPr>
        <w:tc>
          <w:tcPr>
            <w:tcW w:w="141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E2D69" w:rsidP="00634079">
            <w:pPr>
              <w:spacing w:line="240" w:lineRule="auto"/>
              <w:jc w:val="center"/>
              <w:rPr>
                <w:rFonts w:ascii="Arial Narrow" w:hAnsi="Arial Narrow" w:cs="Times New Roman"/>
              </w:rPr>
            </w:pPr>
            <w:r>
              <w:rPr>
                <w:rFonts w:ascii="Arial Narrow" w:hAnsi="Arial Narrow" w:cs="Times New Roman"/>
              </w:rPr>
              <w:t>ZD-110</w:t>
            </w:r>
            <w:r>
              <w:rPr>
                <w:rFonts w:ascii="Arial Narrow" w:hAnsi="Arial Narrow" w:cs="Times New Roman"/>
              </w:rPr>
              <w:t>/2007</w:t>
            </w:r>
          </w:p>
        </w:tc>
        <w:tc>
          <w:tcPr>
            <w:tcW w:w="6624"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AE2D69" w:rsidP="00634079">
            <w:pPr>
              <w:spacing w:line="240" w:lineRule="auto"/>
              <w:ind w:left="57" w:right="57"/>
              <w:rPr>
                <w:rFonts w:ascii="Arial Narrow" w:hAnsi="Arial Narrow" w:cs="Times New Roman"/>
              </w:rPr>
            </w:pPr>
            <w:r>
              <w:rPr>
                <w:rFonts w:ascii="Arial Narrow" w:hAnsi="Arial Narrow" w:cs="Times New Roman"/>
              </w:rPr>
              <w:t xml:space="preserve">Metodika pre systematický zber údajov nepriamych ukazovateľov cestnej bezpečnosti </w:t>
            </w:r>
          </w:p>
        </w:tc>
        <w:tc>
          <w:tcPr>
            <w:tcW w:w="1272"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AE2D69" w:rsidP="0063407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240" w:lineRule="auto"/>
              <w:ind w:left="73"/>
              <w:jc w:val="center"/>
              <w:rPr>
                <w:rFonts w:ascii="Arial Narrow" w:hAnsi="Arial Narrow" w:cs="Times New Roman"/>
              </w:rPr>
            </w:pPr>
            <w:r>
              <w:rPr>
                <w:rFonts w:ascii="Arial Narrow" w:hAnsi="Arial Narrow" w:cs="Times New Roman"/>
              </w:rPr>
              <w:t xml:space="preserve">    850 000</w:t>
            </w:r>
          </w:p>
        </w:tc>
      </w:tr>
      <w:tr>
        <w:tblPrEx>
          <w:tblW w:w="9314" w:type="dxa"/>
          <w:jc w:val="center"/>
          <w:tblLayout w:type="fixed"/>
          <w:tblCellMar>
            <w:top w:w="0" w:type="dxa"/>
            <w:left w:w="28" w:type="dxa"/>
            <w:bottom w:w="0" w:type="dxa"/>
            <w:right w:w="28" w:type="dxa"/>
          </w:tblCellMar>
        </w:tblPrEx>
        <w:trPr>
          <w:cantSplit/>
          <w:trHeight w:val="275"/>
          <w:jc w:val="center"/>
        </w:trPr>
        <w:tc>
          <w:tcPr>
            <w:tcW w:w="141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E2D69" w:rsidP="00634079">
            <w:pPr>
              <w:spacing w:line="240" w:lineRule="auto"/>
              <w:jc w:val="center"/>
              <w:rPr>
                <w:rFonts w:ascii="Arial Narrow" w:hAnsi="Arial Narrow" w:cs="Times New Roman"/>
              </w:rPr>
            </w:pPr>
            <w:r>
              <w:rPr>
                <w:rFonts w:ascii="Arial Narrow" w:hAnsi="Arial Narrow" w:cs="Times New Roman"/>
              </w:rPr>
              <w:t>ZD-111/2007</w:t>
            </w:r>
          </w:p>
        </w:tc>
        <w:tc>
          <w:tcPr>
            <w:tcW w:w="6624"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AE2D69" w:rsidP="00634079">
            <w:pPr>
              <w:spacing w:line="240" w:lineRule="auto"/>
              <w:ind w:left="116" w:right="57" w:hanging="116"/>
              <w:rPr>
                <w:rFonts w:ascii="Arial Narrow" w:hAnsi="Arial Narrow" w:cs="Times New Roman"/>
                <w:color w:val="000000"/>
                <w:lang w:eastAsia="sk-SK"/>
              </w:rPr>
            </w:pPr>
            <w:r>
              <w:rPr>
                <w:rFonts w:ascii="Arial Narrow" w:hAnsi="Arial Narrow" w:cs="Times New Roman"/>
                <w:color w:val="000000"/>
                <w:lang w:eastAsia="sk-SK"/>
              </w:rPr>
              <w:t xml:space="preserve"> Štúdia o možnostiach implementácie európskych skúsenosti v oblasti rýchlostného  manažmentu do národných podmienok     </w:t>
            </w:r>
          </w:p>
        </w:tc>
        <w:tc>
          <w:tcPr>
            <w:tcW w:w="1272"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AE2D69" w:rsidP="0063407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240" w:lineRule="auto"/>
              <w:ind w:left="73"/>
              <w:jc w:val="center"/>
              <w:rPr>
                <w:rFonts w:ascii="Arial Narrow" w:hAnsi="Arial Narrow" w:cs="Times New Roman"/>
              </w:rPr>
            </w:pPr>
            <w:r>
              <w:rPr>
                <w:rFonts w:ascii="Arial Narrow" w:hAnsi="Arial Narrow" w:cs="Times New Roman"/>
              </w:rPr>
              <w:t xml:space="preserve">    350 000</w:t>
            </w:r>
          </w:p>
        </w:tc>
      </w:tr>
      <w:tr>
        <w:tblPrEx>
          <w:tblW w:w="9314" w:type="dxa"/>
          <w:jc w:val="center"/>
          <w:tblLayout w:type="fixed"/>
          <w:tblCellMar>
            <w:top w:w="0" w:type="dxa"/>
            <w:left w:w="28" w:type="dxa"/>
            <w:bottom w:w="0" w:type="dxa"/>
            <w:right w:w="28" w:type="dxa"/>
          </w:tblCellMar>
        </w:tblPrEx>
        <w:trPr>
          <w:cantSplit/>
          <w:trHeight w:val="275"/>
          <w:jc w:val="center"/>
        </w:trPr>
        <w:tc>
          <w:tcPr>
            <w:tcW w:w="141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E2D69" w:rsidP="00634079">
            <w:pPr>
              <w:spacing w:line="240" w:lineRule="auto"/>
              <w:jc w:val="center"/>
              <w:rPr>
                <w:rFonts w:ascii="Arial Narrow" w:hAnsi="Arial Narrow" w:cs="Times New Roman"/>
              </w:rPr>
            </w:pPr>
            <w:r>
              <w:rPr>
                <w:rFonts w:ascii="Arial Narrow" w:hAnsi="Arial Narrow" w:cs="Times New Roman"/>
              </w:rPr>
              <w:t>ZD-112/2</w:t>
            </w:r>
            <w:r>
              <w:rPr>
                <w:rFonts w:ascii="Arial Narrow" w:hAnsi="Arial Narrow" w:cs="Times New Roman"/>
              </w:rPr>
              <w:t>007</w:t>
            </w:r>
          </w:p>
        </w:tc>
        <w:tc>
          <w:tcPr>
            <w:tcW w:w="6624"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AE2D69" w:rsidP="00634079">
            <w:pPr>
              <w:spacing w:line="240" w:lineRule="auto"/>
              <w:ind w:left="57" w:right="57"/>
              <w:rPr>
                <w:rFonts w:ascii="Arial Narrow" w:hAnsi="Arial Narrow" w:cs="Times New Roman"/>
                <w:color w:val="000000"/>
                <w:lang w:eastAsia="sk-SK"/>
              </w:rPr>
            </w:pPr>
            <w:r>
              <w:rPr>
                <w:rFonts w:ascii="Arial Narrow" w:hAnsi="Arial Narrow" w:cs="Times New Roman"/>
                <w:color w:val="000000"/>
                <w:lang w:eastAsia="sk-SK"/>
              </w:rPr>
              <w:t>Aplikácia Smernice EP a Rady o riadení bezpečnosti cestnej infraštruktúry v podmienkach SR</w:t>
            </w:r>
          </w:p>
        </w:tc>
        <w:tc>
          <w:tcPr>
            <w:tcW w:w="1272"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AE2D69" w:rsidP="0063407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240" w:lineRule="auto"/>
              <w:ind w:left="73"/>
              <w:jc w:val="center"/>
              <w:rPr>
                <w:rFonts w:ascii="Arial Narrow" w:hAnsi="Arial Narrow" w:cs="Times New Roman"/>
              </w:rPr>
            </w:pPr>
            <w:r>
              <w:rPr>
                <w:rFonts w:ascii="Arial Narrow" w:hAnsi="Arial Narrow" w:cs="Times New Roman"/>
              </w:rPr>
              <w:t xml:space="preserve">    350 000</w:t>
            </w:r>
          </w:p>
        </w:tc>
      </w:tr>
      <w:tr>
        <w:tblPrEx>
          <w:tblW w:w="9314" w:type="dxa"/>
          <w:jc w:val="center"/>
          <w:tblLayout w:type="fixed"/>
          <w:tblCellMar>
            <w:top w:w="0" w:type="dxa"/>
            <w:left w:w="28" w:type="dxa"/>
            <w:bottom w:w="0" w:type="dxa"/>
            <w:right w:w="28" w:type="dxa"/>
          </w:tblCellMar>
        </w:tblPrEx>
        <w:trPr>
          <w:cantSplit/>
          <w:trHeight w:val="275"/>
          <w:jc w:val="center"/>
        </w:trPr>
        <w:tc>
          <w:tcPr>
            <w:tcW w:w="141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E2D69" w:rsidP="00634079">
            <w:pPr>
              <w:spacing w:line="240" w:lineRule="auto"/>
              <w:jc w:val="center"/>
              <w:rPr>
                <w:rFonts w:ascii="Arial Narrow" w:hAnsi="Arial Narrow" w:cs="Times New Roman"/>
              </w:rPr>
            </w:pPr>
            <w:r>
              <w:rPr>
                <w:rFonts w:ascii="Arial Narrow" w:hAnsi="Arial Narrow" w:cs="Times New Roman"/>
              </w:rPr>
              <w:t>ZD-113/2007</w:t>
            </w:r>
          </w:p>
        </w:tc>
        <w:tc>
          <w:tcPr>
            <w:tcW w:w="6624"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AE2D69" w:rsidP="00634079">
            <w:pPr>
              <w:spacing w:line="240" w:lineRule="auto"/>
              <w:ind w:left="57" w:right="57"/>
              <w:rPr>
                <w:rFonts w:ascii="Arial Narrow" w:hAnsi="Arial Narrow" w:cs="Times New Roman"/>
                <w:color w:val="000000"/>
                <w:lang w:eastAsia="sk-SK"/>
              </w:rPr>
            </w:pPr>
            <w:r>
              <w:rPr>
                <w:rFonts w:ascii="Arial Narrow" w:hAnsi="Arial Narrow" w:cs="Times New Roman"/>
                <w:color w:val="000000"/>
                <w:lang w:eastAsia="sk-SK"/>
              </w:rPr>
              <w:t>Návrh technického predpisu – Technické podmienky na používanie posypových materiálov na báze chloridu horečnatého na pozemných komunikác</w:t>
            </w:r>
            <w:r>
              <w:rPr>
                <w:rFonts w:ascii="Arial Narrow" w:hAnsi="Arial Narrow" w:cs="Times New Roman"/>
                <w:color w:val="000000"/>
                <w:lang w:eastAsia="sk-SK"/>
              </w:rPr>
              <w:t>iách</w:t>
            </w:r>
          </w:p>
        </w:tc>
        <w:tc>
          <w:tcPr>
            <w:tcW w:w="1272"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AE2D69" w:rsidP="0063407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240" w:lineRule="auto"/>
              <w:rPr>
                <w:rFonts w:ascii="Arial Narrow" w:hAnsi="Arial Narrow" w:cs="Times New Roman"/>
              </w:rPr>
            </w:pPr>
            <w:r>
              <w:rPr>
                <w:rFonts w:ascii="Arial Narrow" w:hAnsi="Arial Narrow" w:cs="Times New Roman"/>
              </w:rPr>
              <w:t xml:space="preserve">          650 000</w:t>
            </w:r>
          </w:p>
        </w:tc>
      </w:tr>
      <w:tr>
        <w:tblPrEx>
          <w:tblW w:w="9314" w:type="dxa"/>
          <w:jc w:val="center"/>
          <w:tblLayout w:type="fixed"/>
          <w:tblCellMar>
            <w:top w:w="0" w:type="dxa"/>
            <w:left w:w="28" w:type="dxa"/>
            <w:bottom w:w="0" w:type="dxa"/>
            <w:right w:w="28" w:type="dxa"/>
          </w:tblCellMar>
        </w:tblPrEx>
        <w:trPr>
          <w:cantSplit/>
          <w:trHeight w:val="275"/>
          <w:jc w:val="center"/>
        </w:trPr>
        <w:tc>
          <w:tcPr>
            <w:tcW w:w="141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E2D69" w:rsidP="00634079">
            <w:pPr>
              <w:spacing w:line="240" w:lineRule="auto"/>
              <w:jc w:val="center"/>
              <w:rPr>
                <w:rFonts w:ascii="Arial Narrow" w:hAnsi="Arial Narrow" w:cs="Times New Roman"/>
              </w:rPr>
            </w:pPr>
            <w:r>
              <w:rPr>
                <w:rFonts w:ascii="Arial Narrow" w:hAnsi="Arial Narrow" w:cs="Times New Roman"/>
              </w:rPr>
              <w:t>ZD-114/2007</w:t>
            </w:r>
          </w:p>
        </w:tc>
        <w:tc>
          <w:tcPr>
            <w:tcW w:w="6624"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AE2D69" w:rsidP="00634079">
            <w:pPr>
              <w:spacing w:line="240" w:lineRule="auto"/>
              <w:ind w:left="57" w:right="57"/>
              <w:rPr>
                <w:rFonts w:ascii="Arial Narrow" w:hAnsi="Arial Narrow" w:cs="Times New Roman"/>
                <w:color w:val="000000"/>
                <w:lang w:eastAsia="sk-SK"/>
              </w:rPr>
            </w:pPr>
            <w:r>
              <w:rPr>
                <w:rFonts w:ascii="Arial Narrow" w:hAnsi="Arial Narrow" w:cs="Times New Roman"/>
                <w:color w:val="000000"/>
                <w:lang w:eastAsia="sk-SK"/>
              </w:rPr>
              <w:t>Riešenie systému výkonov vo verejnom záujme pri prevádzkovaní osobnej dopravy na</w:t>
            </w:r>
          </w:p>
          <w:p w:rsidR="00AE2D69" w:rsidP="00634079">
            <w:pPr>
              <w:spacing w:line="240" w:lineRule="auto"/>
              <w:ind w:left="57" w:right="57"/>
              <w:rPr>
                <w:rFonts w:ascii="Arial Narrow" w:hAnsi="Arial Narrow" w:cs="Times New Roman"/>
                <w:color w:val="000000"/>
                <w:lang w:eastAsia="sk-SK"/>
              </w:rPr>
            </w:pPr>
            <w:r>
              <w:rPr>
                <w:rFonts w:ascii="Arial Narrow" w:hAnsi="Arial Narrow" w:cs="Times New Roman"/>
                <w:color w:val="000000"/>
                <w:lang w:eastAsia="sk-SK"/>
              </w:rPr>
              <w:t>dráhe s dôrazom na riešenie ich financovania</w:t>
            </w:r>
          </w:p>
        </w:tc>
        <w:tc>
          <w:tcPr>
            <w:tcW w:w="1272"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AE2D69" w:rsidP="0063407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240" w:lineRule="auto"/>
              <w:ind w:left="73"/>
              <w:jc w:val="center"/>
              <w:rPr>
                <w:rFonts w:ascii="Arial Narrow" w:hAnsi="Arial Narrow" w:cs="Times New Roman"/>
              </w:rPr>
            </w:pPr>
            <w:r>
              <w:rPr>
                <w:rFonts w:ascii="Arial Narrow" w:hAnsi="Arial Narrow" w:cs="Times New Roman"/>
              </w:rPr>
              <w:t xml:space="preserve">     800 000</w:t>
            </w:r>
          </w:p>
        </w:tc>
      </w:tr>
      <w:tr>
        <w:tblPrEx>
          <w:tblW w:w="9314" w:type="dxa"/>
          <w:jc w:val="center"/>
          <w:tblLayout w:type="fixed"/>
          <w:tblCellMar>
            <w:top w:w="0" w:type="dxa"/>
            <w:left w:w="28" w:type="dxa"/>
            <w:bottom w:w="0" w:type="dxa"/>
            <w:right w:w="28" w:type="dxa"/>
          </w:tblCellMar>
        </w:tblPrEx>
        <w:trPr>
          <w:cantSplit/>
          <w:trHeight w:val="275"/>
          <w:jc w:val="center"/>
        </w:trPr>
        <w:tc>
          <w:tcPr>
            <w:tcW w:w="141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E2D69" w:rsidP="00634079">
            <w:pPr>
              <w:spacing w:line="240" w:lineRule="auto"/>
              <w:jc w:val="center"/>
              <w:rPr>
                <w:rFonts w:ascii="Arial Narrow" w:hAnsi="Arial Narrow" w:cs="Times New Roman"/>
              </w:rPr>
            </w:pPr>
            <w:r>
              <w:rPr>
                <w:rFonts w:ascii="Arial Narrow" w:hAnsi="Arial Narrow" w:cs="Times New Roman"/>
              </w:rPr>
              <w:t>ZD-116/2006</w:t>
            </w:r>
          </w:p>
        </w:tc>
        <w:tc>
          <w:tcPr>
            <w:tcW w:w="6624"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AE2D69" w:rsidP="00634079">
            <w:pPr>
              <w:spacing w:line="240" w:lineRule="auto"/>
              <w:ind w:left="57" w:right="57"/>
              <w:rPr>
                <w:rFonts w:ascii="Arial Narrow" w:hAnsi="Arial Narrow" w:cs="Times New Roman"/>
              </w:rPr>
            </w:pPr>
            <w:r>
              <w:rPr>
                <w:rFonts w:ascii="Arial Narrow" w:hAnsi="Arial Narrow" w:cs="Times New Roman"/>
              </w:rPr>
              <w:t>Predbežné ekonomické zhodnotenie terminálov intermodálnych prepráv v</w:t>
            </w:r>
            <w:r>
              <w:rPr>
                <w:rFonts w:ascii="Arial Narrow" w:hAnsi="Arial Narrow" w:cs="Times New Roman"/>
              </w:rPr>
              <w:t xml:space="preserve"> SR </w:t>
            </w:r>
          </w:p>
        </w:tc>
        <w:tc>
          <w:tcPr>
            <w:tcW w:w="1272"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AE2D69" w:rsidP="0063407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240" w:lineRule="auto"/>
              <w:ind w:left="73"/>
              <w:jc w:val="center"/>
              <w:rPr>
                <w:rFonts w:ascii="Arial Narrow" w:hAnsi="Arial Narrow" w:cs="Times New Roman"/>
              </w:rPr>
            </w:pPr>
            <w:r>
              <w:rPr>
                <w:rFonts w:ascii="Arial Narrow" w:hAnsi="Arial Narrow" w:cs="Times New Roman"/>
              </w:rPr>
              <w:t xml:space="preserve">    150 000</w:t>
            </w:r>
          </w:p>
        </w:tc>
      </w:tr>
      <w:tr>
        <w:tblPrEx>
          <w:tblW w:w="9314" w:type="dxa"/>
          <w:jc w:val="center"/>
          <w:tblLayout w:type="fixed"/>
          <w:tblCellMar>
            <w:top w:w="0" w:type="dxa"/>
            <w:left w:w="28" w:type="dxa"/>
            <w:bottom w:w="0" w:type="dxa"/>
            <w:right w:w="28" w:type="dxa"/>
          </w:tblCellMar>
        </w:tblPrEx>
        <w:trPr>
          <w:cantSplit/>
          <w:trHeight w:val="275"/>
          <w:jc w:val="center"/>
        </w:trPr>
        <w:tc>
          <w:tcPr>
            <w:tcW w:w="141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E2D69" w:rsidP="00634079">
            <w:pPr>
              <w:spacing w:line="240" w:lineRule="auto"/>
              <w:jc w:val="center"/>
              <w:rPr>
                <w:rFonts w:ascii="Arial Narrow" w:hAnsi="Arial Narrow" w:cs="Times New Roman"/>
              </w:rPr>
            </w:pPr>
            <w:r>
              <w:rPr>
                <w:rFonts w:ascii="Arial Narrow" w:hAnsi="Arial Narrow" w:cs="Times New Roman"/>
              </w:rPr>
              <w:t>ZD-120/2007</w:t>
            </w:r>
          </w:p>
        </w:tc>
        <w:tc>
          <w:tcPr>
            <w:tcW w:w="6624"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AE2D69" w:rsidP="00634079">
            <w:pPr>
              <w:pStyle w:val="BlockText"/>
              <w:spacing w:before="0" w:after="0"/>
              <w:rPr>
                <w:rFonts w:cs="Times New Roman"/>
              </w:rPr>
            </w:pPr>
            <w:r>
              <w:rPr>
                <w:rFonts w:cs="Times New Roman"/>
              </w:rPr>
              <w:t xml:space="preserve"> Odborné poradenstvo potrebné na vypracovanie návrhu vykonávacej vyhlášky k zákonu o dráhach – stavebný a technický poriadok dráh</w:t>
            </w:r>
          </w:p>
        </w:tc>
        <w:tc>
          <w:tcPr>
            <w:tcW w:w="1272"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AE2D69" w:rsidP="0063407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240" w:lineRule="auto"/>
              <w:ind w:left="73"/>
              <w:jc w:val="center"/>
              <w:rPr>
                <w:rFonts w:ascii="Arial Narrow" w:hAnsi="Arial Narrow" w:cs="Times New Roman"/>
              </w:rPr>
            </w:pPr>
            <w:r>
              <w:rPr>
                <w:rFonts w:ascii="Arial Narrow" w:hAnsi="Arial Narrow" w:cs="Times New Roman"/>
              </w:rPr>
              <w:t xml:space="preserve">     375 000</w:t>
            </w:r>
          </w:p>
        </w:tc>
      </w:tr>
      <w:tr>
        <w:tblPrEx>
          <w:tblW w:w="9314" w:type="dxa"/>
          <w:jc w:val="center"/>
          <w:tblLayout w:type="fixed"/>
          <w:tblCellMar>
            <w:top w:w="0" w:type="dxa"/>
            <w:left w:w="28" w:type="dxa"/>
            <w:bottom w:w="0" w:type="dxa"/>
            <w:right w:w="28" w:type="dxa"/>
          </w:tblCellMar>
        </w:tblPrEx>
        <w:trPr>
          <w:cantSplit/>
          <w:trHeight w:val="275"/>
          <w:jc w:val="center"/>
        </w:trPr>
        <w:tc>
          <w:tcPr>
            <w:tcW w:w="141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E2D69" w:rsidP="00634079">
            <w:pPr>
              <w:spacing w:line="240" w:lineRule="auto"/>
              <w:jc w:val="center"/>
              <w:rPr>
                <w:rFonts w:ascii="Arial Narrow" w:hAnsi="Arial Narrow" w:cs="Times New Roman"/>
              </w:rPr>
            </w:pPr>
            <w:r>
              <w:rPr>
                <w:rFonts w:ascii="Arial Narrow" w:hAnsi="Arial Narrow" w:cs="Times New Roman"/>
              </w:rPr>
              <w:t>ZD-121/2007</w:t>
            </w:r>
          </w:p>
        </w:tc>
        <w:tc>
          <w:tcPr>
            <w:tcW w:w="6624"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AE2D69" w:rsidP="00634079">
            <w:pPr>
              <w:spacing w:line="240" w:lineRule="auto"/>
              <w:ind w:left="57" w:right="57"/>
              <w:rPr>
                <w:rFonts w:ascii="Arial Narrow" w:hAnsi="Arial Narrow" w:cs="Times New Roman"/>
                <w:bCs/>
              </w:rPr>
            </w:pPr>
            <w:r>
              <w:rPr>
                <w:rFonts w:ascii="Arial Narrow" w:hAnsi="Arial Narrow" w:cs="Times New Roman"/>
                <w:bCs/>
              </w:rPr>
              <w:t xml:space="preserve">Analytické materiály pre  operatívne  potreby odborov MDPT SR. </w:t>
            </w:r>
          </w:p>
        </w:tc>
        <w:tc>
          <w:tcPr>
            <w:tcW w:w="1272"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AE2D69" w:rsidP="0063407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240" w:lineRule="auto"/>
              <w:ind w:left="73"/>
              <w:jc w:val="center"/>
              <w:rPr>
                <w:rFonts w:ascii="Arial Narrow" w:hAnsi="Arial Narrow" w:cs="Times New Roman"/>
                <w:bCs/>
              </w:rPr>
            </w:pPr>
            <w:r>
              <w:rPr>
                <w:rFonts w:ascii="Arial Narrow" w:hAnsi="Arial Narrow" w:cs="Times New Roman"/>
                <w:bCs/>
              </w:rPr>
              <w:t xml:space="preserve">     475 000</w:t>
            </w:r>
          </w:p>
        </w:tc>
      </w:tr>
      <w:tr>
        <w:tblPrEx>
          <w:tblW w:w="9314" w:type="dxa"/>
          <w:jc w:val="center"/>
          <w:tblLayout w:type="fixed"/>
          <w:tblCellMar>
            <w:top w:w="0" w:type="dxa"/>
            <w:left w:w="28" w:type="dxa"/>
            <w:bottom w:w="0" w:type="dxa"/>
            <w:right w:w="28" w:type="dxa"/>
          </w:tblCellMar>
        </w:tblPrEx>
        <w:trPr>
          <w:cantSplit/>
          <w:trHeight w:val="275"/>
          <w:jc w:val="center"/>
        </w:trPr>
        <w:tc>
          <w:tcPr>
            <w:tcW w:w="1418" w:type="dxa"/>
            <w:tcBorders>
              <w:top w:val="single" w:sz="4" w:space="0" w:color="auto"/>
              <w:left w:val="single" w:sz="4" w:space="0" w:color="auto"/>
              <w:bottom w:val="single" w:sz="4" w:space="0" w:color="auto"/>
              <w:right w:val="single" w:sz="4" w:space="0" w:color="auto"/>
              <w:tl2br w:val="nil"/>
              <w:tr2bl w:val="nil"/>
            </w:tcBorders>
            <w:shd w:val="clear" w:color="auto" w:fill="CCCCCC"/>
            <w:textDirection w:val="lrTb"/>
            <w:vAlign w:val="top"/>
          </w:tcPr>
          <w:p w:rsidR="00AE2D69" w:rsidP="00634079">
            <w:pPr>
              <w:tabs>
                <w:tab w:val="left" w:pos="1185"/>
              </w:tabs>
              <w:spacing w:line="240" w:lineRule="auto"/>
              <w:jc w:val="left"/>
              <w:rPr>
                <w:rFonts w:ascii="Arial Narrow" w:hAnsi="Arial Narrow" w:cs="Times New Roman"/>
              </w:rPr>
            </w:pPr>
            <w:r>
              <w:rPr>
                <w:rFonts w:ascii="Arial Narrow" w:hAnsi="Arial Narrow" w:cs="Times New Roman"/>
              </w:rPr>
              <w:tab/>
            </w:r>
          </w:p>
        </w:tc>
        <w:tc>
          <w:tcPr>
            <w:tcW w:w="6624" w:type="dxa"/>
            <w:tcBorders>
              <w:top w:val="single" w:sz="4" w:space="0" w:color="auto"/>
              <w:left w:val="single" w:sz="4" w:space="0" w:color="auto"/>
              <w:bottom w:val="single" w:sz="4" w:space="0" w:color="auto"/>
              <w:right w:val="single" w:sz="4" w:space="0" w:color="auto"/>
              <w:tl2br w:val="nil"/>
              <w:tr2bl w:val="nil"/>
            </w:tcBorders>
            <w:shd w:val="clear" w:color="auto" w:fill="CCCCCC"/>
            <w:textDirection w:val="lrTb"/>
            <w:vAlign w:val="center"/>
          </w:tcPr>
          <w:p w:rsidR="00AE2D69" w:rsidP="00634079">
            <w:pPr>
              <w:spacing w:line="240" w:lineRule="auto"/>
              <w:ind w:left="57" w:right="57"/>
              <w:jc w:val="center"/>
              <w:rPr>
                <w:rFonts w:ascii="Arial Narrow" w:hAnsi="Arial Narrow" w:cs="Times New Roman"/>
                <w:b/>
              </w:rPr>
            </w:pPr>
            <w:r>
              <w:rPr>
                <w:rFonts w:ascii="Arial Narrow" w:hAnsi="Arial Narrow" w:cs="Times New Roman"/>
                <w:b/>
              </w:rPr>
              <w:t>S P O L U</w:t>
            </w:r>
          </w:p>
        </w:tc>
        <w:tc>
          <w:tcPr>
            <w:tcW w:w="1272" w:type="dxa"/>
            <w:tcBorders>
              <w:top w:val="single" w:sz="4" w:space="0" w:color="auto"/>
              <w:left w:val="single" w:sz="4" w:space="0" w:color="auto"/>
              <w:bottom w:val="single" w:sz="4" w:space="0" w:color="auto"/>
              <w:right w:val="single" w:sz="4" w:space="0" w:color="auto"/>
              <w:tl2br w:val="nil"/>
              <w:tr2bl w:val="nil"/>
            </w:tcBorders>
            <w:shd w:val="clear" w:color="auto" w:fill="CCCCCC"/>
            <w:textDirection w:val="lrTb"/>
            <w:vAlign w:val="center"/>
          </w:tcPr>
          <w:p w:rsidR="00AE2D69" w:rsidP="0063407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240" w:lineRule="auto"/>
              <w:ind w:left="73"/>
              <w:jc w:val="center"/>
              <w:rPr>
                <w:rFonts w:ascii="Arial Narrow" w:hAnsi="Arial Narrow" w:cs="Times New Roman"/>
                <w:b/>
              </w:rPr>
            </w:pPr>
            <w:r>
              <w:rPr>
                <w:rFonts w:ascii="Arial Narrow" w:hAnsi="Arial Narrow" w:cs="Times New Roman"/>
                <w:b/>
              </w:rPr>
              <w:t>12 000 000</w:t>
            </w:r>
          </w:p>
        </w:tc>
      </w:tr>
    </w:tbl>
    <w:p w:rsidR="006F5B00" w:rsidP="00AE2D69">
      <w:pPr>
        <w:spacing w:line="240" w:lineRule="auto"/>
        <w:rPr>
          <w:rFonts w:ascii="Times New Roman" w:hAnsi="Times New Roman" w:cs="Times New Roman"/>
          <w:sz w:val="24"/>
          <w:szCs w:val="24"/>
        </w:rPr>
      </w:pPr>
    </w:p>
    <w:p w:rsidR="00635CFE" w:rsidP="00AE2D69">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tab/>
      </w:r>
    </w:p>
    <w:p w:rsidR="00AE2D69" w:rsidP="00AE2D69">
      <w:pPr>
        <w:spacing w:line="240" w:lineRule="auto"/>
        <w:rPr>
          <w:rFonts w:ascii="Times New Roman" w:hAnsi="Times New Roman" w:cs="Times New Roman"/>
          <w:sz w:val="24"/>
          <w:szCs w:val="24"/>
        </w:rPr>
      </w:pPr>
      <w:r w:rsidR="00635CFE">
        <w:rPr>
          <w:rFonts w:ascii="Times New Roman" w:hAnsi="Times New Roman" w:cs="Times New Roman"/>
          <w:sz w:val="24"/>
          <w:szCs w:val="24"/>
        </w:rPr>
        <w:t xml:space="preserve">Ďalej boli v kategórii 630 – Tovary a služby zabezpečené, v sume 5 000 000,- </w:t>
      </w:r>
      <w:r>
        <w:rPr>
          <w:rFonts w:ascii="Times New Roman" w:hAnsi="Times New Roman" w:cs="Times New Roman"/>
          <w:sz w:val="24"/>
          <w:szCs w:val="24"/>
        </w:rPr>
        <w:t>Sk</w:t>
      </w:r>
      <w:r w:rsidR="00635CFE">
        <w:rPr>
          <w:rFonts w:ascii="Times New Roman" w:hAnsi="Times New Roman" w:cs="Times New Roman"/>
          <w:sz w:val="24"/>
          <w:szCs w:val="24"/>
        </w:rPr>
        <w:t>,</w:t>
      </w:r>
      <w:r>
        <w:rPr>
          <w:rFonts w:ascii="Times New Roman" w:hAnsi="Times New Roman" w:cs="Times New Roman"/>
          <w:sz w:val="24"/>
          <w:szCs w:val="24"/>
        </w:rPr>
        <w:t xml:space="preserve"> V</w:t>
      </w:r>
      <w:r w:rsidR="00635CFE">
        <w:rPr>
          <w:rFonts w:ascii="Times New Roman" w:hAnsi="Times New Roman" w:cs="Times New Roman"/>
          <w:sz w:val="24"/>
          <w:szCs w:val="24"/>
        </w:rPr>
        <w:t xml:space="preserve">ýskumným ústavom spojov, n.o. Banská Bystrica, </w:t>
      </w:r>
      <w:r>
        <w:rPr>
          <w:rFonts w:ascii="Times New Roman" w:hAnsi="Times New Roman" w:cs="Times New Roman"/>
          <w:sz w:val="24"/>
          <w:szCs w:val="24"/>
        </w:rPr>
        <w:t>zmluvy „Trvalých a analytických činností pre oblasť pošty, telekomunik</w:t>
      </w:r>
      <w:r w:rsidR="00635CFE">
        <w:rPr>
          <w:rFonts w:ascii="Times New Roman" w:hAnsi="Times New Roman" w:cs="Times New Roman"/>
          <w:sz w:val="24"/>
          <w:szCs w:val="24"/>
        </w:rPr>
        <w:t xml:space="preserve">ácii a informačných technológii, </w:t>
      </w:r>
      <w:r>
        <w:rPr>
          <w:rFonts w:ascii="Times New Roman" w:hAnsi="Times New Roman" w:cs="Times New Roman"/>
          <w:sz w:val="24"/>
          <w:szCs w:val="24"/>
        </w:rPr>
        <w:t>nasledovne:</w:t>
      </w:r>
    </w:p>
    <w:p w:rsidR="006F5B00" w:rsidP="00AE2D69">
      <w:pPr>
        <w:spacing w:line="240" w:lineRule="auto"/>
        <w:rPr>
          <w:rFonts w:ascii="Times New Roman" w:hAnsi="Times New Roman" w:cs="Times New Roman"/>
          <w:sz w:val="24"/>
          <w:szCs w:val="24"/>
        </w:rPr>
      </w:pPr>
    </w:p>
    <w:p w:rsidR="00635CFE" w:rsidP="00AE2D69">
      <w:pPr>
        <w:spacing w:line="240" w:lineRule="auto"/>
        <w:rPr>
          <w:rFonts w:ascii="Times New Roman" w:hAnsi="Times New Roman" w:cs="Times New Roman"/>
          <w:sz w:val="24"/>
          <w:szCs w:val="24"/>
        </w:rPr>
      </w:pPr>
    </w:p>
    <w:tbl>
      <w:tblPr>
        <w:tblW w:w="9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28" w:type="dxa"/>
          <w:bottom w:w="0" w:type="dxa"/>
          <w:right w:w="28" w:type="dxa"/>
        </w:tblCellMar>
      </w:tblPr>
      <w:tblGrid>
        <w:gridCol w:w="1418"/>
        <w:gridCol w:w="6620"/>
        <w:gridCol w:w="1276"/>
      </w:tblGrid>
      <w:tr>
        <w:tblPrEx>
          <w:tblW w:w="9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28" w:type="dxa"/>
            <w:bottom w:w="0" w:type="dxa"/>
            <w:right w:w="28" w:type="dxa"/>
          </w:tblCellMar>
        </w:tblPrEx>
        <w:trPr>
          <w:cantSplit/>
          <w:trHeight w:hRule="auto" w:val="0"/>
          <w:tblHeader/>
          <w:jc w:val="center"/>
        </w:trPr>
        <w:tc>
          <w:tcPr>
            <w:tcW w:w="1418" w:type="dxa"/>
            <w:tcBorders>
              <w:top w:val="single" w:sz="4" w:space="0" w:color="auto"/>
              <w:left w:val="single" w:sz="4" w:space="0" w:color="auto"/>
              <w:bottom w:val="double" w:sz="4" w:space="0" w:color="auto"/>
              <w:right w:val="single" w:sz="4" w:space="0" w:color="auto"/>
              <w:tl2br w:val="nil"/>
              <w:tr2bl w:val="nil"/>
            </w:tcBorders>
            <w:shd w:val="clear" w:color="auto" w:fill="C0C0C0"/>
            <w:textDirection w:val="lrTb"/>
            <w:vAlign w:val="center"/>
          </w:tcPr>
          <w:p w:rsidR="00AE2D69" w:rsidRPr="00E230F3" w:rsidP="00634079">
            <w:pPr>
              <w:spacing w:line="240" w:lineRule="auto"/>
              <w:jc w:val="center"/>
              <w:rPr>
                <w:rFonts w:ascii="Arial Narrow" w:hAnsi="Arial Narrow" w:cs="Times New Roman"/>
                <w:b/>
              </w:rPr>
            </w:pPr>
            <w:r w:rsidRPr="00E230F3">
              <w:rPr>
                <w:rFonts w:ascii="Arial Narrow" w:hAnsi="Arial Narrow" w:cs="Times New Roman"/>
                <w:b/>
              </w:rPr>
              <w:t>Zmluva</w:t>
              <w:br/>
            </w:r>
            <w:r w:rsidRPr="00E230F3">
              <w:rPr>
                <w:rFonts w:ascii="Arial Narrow" w:hAnsi="Arial Narrow" w:cs="Times New Roman"/>
              </w:rPr>
              <w:t>(evid. č. MDPT SR)</w:t>
            </w:r>
          </w:p>
        </w:tc>
        <w:tc>
          <w:tcPr>
            <w:tcW w:w="6620" w:type="dxa"/>
            <w:tcBorders>
              <w:top w:val="single" w:sz="4" w:space="0" w:color="auto"/>
              <w:left w:val="single" w:sz="4" w:space="0" w:color="auto"/>
              <w:bottom w:val="double" w:sz="4" w:space="0" w:color="auto"/>
              <w:right w:val="single" w:sz="4" w:space="0" w:color="auto"/>
              <w:tl2br w:val="nil"/>
              <w:tr2bl w:val="nil"/>
            </w:tcBorders>
            <w:shd w:val="clear" w:color="auto" w:fill="C0C0C0"/>
            <w:textDirection w:val="lrTb"/>
            <w:vAlign w:val="center"/>
          </w:tcPr>
          <w:p w:rsidR="00AE2D69" w:rsidRPr="00E230F3" w:rsidP="00634079">
            <w:pPr>
              <w:spacing w:line="240" w:lineRule="auto"/>
              <w:jc w:val="center"/>
              <w:rPr>
                <w:rFonts w:ascii="Arial Narrow" w:hAnsi="Arial Narrow" w:cs="Times New Roman"/>
                <w:b/>
                <w:sz w:val="24"/>
                <w:szCs w:val="24"/>
              </w:rPr>
            </w:pPr>
            <w:r w:rsidRPr="00E230F3">
              <w:rPr>
                <w:rFonts w:ascii="Arial Narrow" w:hAnsi="Arial Narrow" w:cs="Times New Roman"/>
                <w:b/>
                <w:sz w:val="24"/>
                <w:szCs w:val="24"/>
              </w:rPr>
              <w:t>Názov projektu</w:t>
            </w:r>
          </w:p>
        </w:tc>
        <w:tc>
          <w:tcPr>
            <w:tcW w:w="1276" w:type="dxa"/>
            <w:tcBorders>
              <w:top w:val="single" w:sz="4" w:space="0" w:color="auto"/>
              <w:left w:val="single" w:sz="4" w:space="0" w:color="auto"/>
              <w:bottom w:val="double" w:sz="4" w:space="0" w:color="auto"/>
              <w:right w:val="single" w:sz="4" w:space="0" w:color="auto"/>
              <w:tl2br w:val="nil"/>
              <w:tr2bl w:val="nil"/>
            </w:tcBorders>
            <w:shd w:val="clear" w:color="auto" w:fill="C0C0C0"/>
            <w:textDirection w:val="lrTb"/>
            <w:vAlign w:val="center"/>
          </w:tcPr>
          <w:p w:rsidR="00AE2D69" w:rsidRPr="00E230F3" w:rsidP="00634079">
            <w:pPr>
              <w:spacing w:line="240" w:lineRule="auto"/>
              <w:jc w:val="center"/>
              <w:rPr>
                <w:rFonts w:ascii="Arial Narrow" w:hAnsi="Arial Narrow" w:cs="Times New Roman"/>
                <w:b/>
              </w:rPr>
            </w:pPr>
            <w:r w:rsidRPr="00E230F3">
              <w:rPr>
                <w:rFonts w:ascii="Arial Narrow" w:hAnsi="Arial Narrow" w:cs="Times New Roman"/>
                <w:b/>
              </w:rPr>
              <w:t>Výška poskytnutej dotácie [tis. Sk]</w:t>
            </w:r>
          </w:p>
        </w:tc>
      </w:tr>
      <w:tr>
        <w:tblPrEx>
          <w:tblW w:w="9314" w:type="dxa"/>
          <w:jc w:val="center"/>
          <w:tblLayout w:type="fixed"/>
          <w:tblCellMar>
            <w:top w:w="0" w:type="dxa"/>
            <w:left w:w="28" w:type="dxa"/>
            <w:bottom w:w="0" w:type="dxa"/>
            <w:right w:w="28" w:type="dxa"/>
          </w:tblCellMar>
        </w:tblPrEx>
        <w:trPr>
          <w:cantSplit/>
          <w:trHeight w:val="275"/>
          <w:jc w:val="center"/>
        </w:trPr>
        <w:tc>
          <w:tcPr>
            <w:tcW w:w="1418" w:type="dxa"/>
            <w:tcBorders>
              <w:top w:val="double" w:sz="4" w:space="0" w:color="auto"/>
              <w:left w:val="single" w:sz="4" w:space="0" w:color="auto"/>
              <w:bottom w:val="single" w:sz="4" w:space="0" w:color="auto"/>
              <w:right w:val="single" w:sz="4" w:space="0" w:color="auto"/>
              <w:tl2br w:val="nil"/>
              <w:tr2bl w:val="nil"/>
            </w:tcBorders>
            <w:textDirection w:val="lrTb"/>
            <w:vAlign w:val="top"/>
          </w:tcPr>
          <w:p w:rsidR="00AE2D69" w:rsidP="00634079">
            <w:pPr>
              <w:spacing w:line="240" w:lineRule="auto"/>
              <w:jc w:val="center"/>
              <w:rPr>
                <w:rFonts w:ascii="Arial Narrow" w:hAnsi="Arial Narrow" w:cs="Times New Roman"/>
              </w:rPr>
            </w:pPr>
          </w:p>
        </w:tc>
        <w:tc>
          <w:tcPr>
            <w:tcW w:w="6620" w:type="dxa"/>
            <w:tcBorders>
              <w:top w:val="double" w:sz="4" w:space="0" w:color="auto"/>
              <w:left w:val="single" w:sz="4" w:space="0" w:color="auto"/>
              <w:bottom w:val="single" w:sz="4" w:space="0" w:color="auto"/>
              <w:right w:val="single" w:sz="4" w:space="0" w:color="auto"/>
              <w:tl2br w:val="nil"/>
              <w:tr2bl w:val="nil"/>
            </w:tcBorders>
            <w:textDirection w:val="lrTb"/>
            <w:vAlign w:val="center"/>
          </w:tcPr>
          <w:p w:rsidR="00AE2D69" w:rsidRPr="00004A6B" w:rsidP="0063407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240" w:lineRule="auto"/>
              <w:ind w:left="57" w:right="57"/>
              <w:rPr>
                <w:rFonts w:ascii="Arial Narrow" w:hAnsi="Arial Narrow" w:cs="Times New Roman"/>
                <w:b/>
                <w:lang w:eastAsia="cs-CZ"/>
              </w:rPr>
            </w:pPr>
            <w:r>
              <w:rPr>
                <w:rFonts w:ascii="Arial Narrow" w:hAnsi="Arial Narrow" w:cs="Times New Roman"/>
                <w:b/>
                <w:lang w:eastAsia="cs-CZ"/>
              </w:rPr>
              <w:t xml:space="preserve">Výskumný ústav spojov, n. o. Banská Bystrica </w:t>
            </w:r>
          </w:p>
        </w:tc>
        <w:tc>
          <w:tcPr>
            <w:tcW w:w="1276" w:type="dxa"/>
            <w:tcBorders>
              <w:top w:val="double" w:sz="4" w:space="0" w:color="auto"/>
              <w:left w:val="single" w:sz="4" w:space="0" w:color="auto"/>
              <w:bottom w:val="single" w:sz="4" w:space="0" w:color="auto"/>
              <w:right w:val="single" w:sz="4" w:space="0" w:color="auto"/>
              <w:tl2br w:val="nil"/>
              <w:tr2bl w:val="nil"/>
            </w:tcBorders>
            <w:textDirection w:val="lrTb"/>
            <w:vAlign w:val="center"/>
          </w:tcPr>
          <w:p w:rsidR="00AE2D69" w:rsidP="0063407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240" w:lineRule="auto"/>
              <w:ind w:left="73"/>
              <w:jc w:val="center"/>
              <w:rPr>
                <w:rFonts w:ascii="Arial Narrow" w:hAnsi="Arial Narrow" w:cs="Times New Roman"/>
              </w:rPr>
            </w:pPr>
          </w:p>
        </w:tc>
      </w:tr>
      <w:tr>
        <w:tblPrEx>
          <w:tblW w:w="9314" w:type="dxa"/>
          <w:jc w:val="center"/>
          <w:tblLayout w:type="fixed"/>
          <w:tblCellMar>
            <w:top w:w="0" w:type="dxa"/>
            <w:left w:w="28" w:type="dxa"/>
            <w:bottom w:w="0" w:type="dxa"/>
            <w:right w:w="28" w:type="dxa"/>
          </w:tblCellMar>
        </w:tblPrEx>
        <w:trPr>
          <w:cantSplit/>
          <w:trHeight w:val="275"/>
          <w:jc w:val="center"/>
        </w:trPr>
        <w:tc>
          <w:tcPr>
            <w:tcW w:w="1418" w:type="dxa"/>
            <w:tcBorders>
              <w:top w:val="single" w:sz="4" w:space="0" w:color="auto"/>
              <w:left w:val="single" w:sz="4" w:space="0" w:color="auto"/>
              <w:bottom w:val="nil"/>
              <w:right w:val="single" w:sz="4" w:space="0" w:color="auto"/>
              <w:tl2br w:val="nil"/>
              <w:tr2bl w:val="nil"/>
            </w:tcBorders>
            <w:textDirection w:val="lrTb"/>
            <w:vAlign w:val="top"/>
          </w:tcPr>
          <w:p w:rsidR="00AE2D69" w:rsidP="00634079">
            <w:pPr>
              <w:spacing w:line="240" w:lineRule="auto"/>
              <w:jc w:val="center"/>
              <w:rPr>
                <w:rFonts w:ascii="Arial Narrow" w:hAnsi="Arial Narrow" w:cs="Times New Roman"/>
              </w:rPr>
            </w:pPr>
            <w:r>
              <w:rPr>
                <w:rFonts w:ascii="Arial Narrow" w:hAnsi="Arial Narrow" w:cs="Times New Roman"/>
              </w:rPr>
              <w:t>34/260/2007</w:t>
            </w:r>
          </w:p>
        </w:tc>
        <w:tc>
          <w:tcPr>
            <w:tcW w:w="6620" w:type="dxa"/>
            <w:tcBorders>
              <w:top w:val="single" w:sz="4" w:space="0" w:color="auto"/>
              <w:left w:val="single" w:sz="4" w:space="0" w:color="auto"/>
              <w:bottom w:val="nil"/>
              <w:right w:val="single" w:sz="4" w:space="0" w:color="auto"/>
              <w:tl2br w:val="nil"/>
              <w:tr2bl w:val="nil"/>
            </w:tcBorders>
            <w:textDirection w:val="lrTb"/>
            <w:vAlign w:val="center"/>
          </w:tcPr>
          <w:p w:rsidR="00AE2D69" w:rsidP="0063407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240" w:lineRule="auto"/>
              <w:ind w:left="57" w:right="57"/>
              <w:rPr>
                <w:rFonts w:ascii="Arial Narrow" w:hAnsi="Arial Narrow" w:cs="Times New Roman"/>
                <w:lang w:eastAsia="cs-CZ"/>
              </w:rPr>
            </w:pPr>
            <w:r>
              <w:rPr>
                <w:rFonts w:ascii="Arial Narrow" w:hAnsi="Arial Narrow" w:cs="Times New Roman"/>
                <w:lang w:eastAsia="cs-CZ"/>
              </w:rPr>
              <w:t>Štatistika elektronických komunikácií</w:t>
            </w:r>
          </w:p>
        </w:tc>
        <w:tc>
          <w:tcPr>
            <w:tcW w:w="1276" w:type="dxa"/>
            <w:tcBorders>
              <w:top w:val="single" w:sz="4" w:space="0" w:color="auto"/>
              <w:left w:val="single" w:sz="4" w:space="0" w:color="auto"/>
              <w:bottom w:val="nil"/>
              <w:right w:val="single" w:sz="4" w:space="0" w:color="auto"/>
              <w:tl2br w:val="nil"/>
              <w:tr2bl w:val="nil"/>
            </w:tcBorders>
            <w:textDirection w:val="lrTb"/>
            <w:vAlign w:val="center"/>
          </w:tcPr>
          <w:p w:rsidR="00AE2D69" w:rsidP="0063407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240" w:lineRule="auto"/>
              <w:ind w:left="73"/>
              <w:jc w:val="center"/>
              <w:rPr>
                <w:rFonts w:ascii="Arial Narrow" w:hAnsi="Arial Narrow" w:cs="Times New Roman"/>
              </w:rPr>
            </w:pPr>
            <w:r>
              <w:rPr>
                <w:rFonts w:ascii="Arial Narrow" w:hAnsi="Arial Narrow" w:cs="Times New Roman"/>
              </w:rPr>
              <w:t>1 750 000</w:t>
            </w:r>
          </w:p>
        </w:tc>
      </w:tr>
      <w:tr>
        <w:tblPrEx>
          <w:tblW w:w="9314" w:type="dxa"/>
          <w:jc w:val="center"/>
          <w:tblLayout w:type="fixed"/>
          <w:tblCellMar>
            <w:top w:w="0" w:type="dxa"/>
            <w:left w:w="28" w:type="dxa"/>
            <w:bottom w:w="0" w:type="dxa"/>
            <w:right w:w="28" w:type="dxa"/>
          </w:tblCellMar>
        </w:tblPrEx>
        <w:trPr>
          <w:cantSplit/>
          <w:trHeight w:val="275"/>
          <w:jc w:val="center"/>
        </w:trPr>
        <w:tc>
          <w:tcPr>
            <w:tcW w:w="1418" w:type="dxa"/>
            <w:tcBorders>
              <w:top w:val="single" w:sz="4" w:space="0" w:color="auto"/>
              <w:left w:val="single" w:sz="4" w:space="0" w:color="auto"/>
              <w:bottom w:val="nil"/>
              <w:right w:val="single" w:sz="4" w:space="0" w:color="auto"/>
              <w:tl2br w:val="nil"/>
              <w:tr2bl w:val="nil"/>
            </w:tcBorders>
            <w:textDirection w:val="lrTb"/>
            <w:vAlign w:val="top"/>
          </w:tcPr>
          <w:p w:rsidR="00AE2D69" w:rsidP="00634079">
            <w:pPr>
              <w:spacing w:line="240" w:lineRule="auto"/>
              <w:jc w:val="center"/>
              <w:rPr>
                <w:rFonts w:ascii="Arial Narrow" w:hAnsi="Arial Narrow" w:cs="Times New Roman"/>
              </w:rPr>
            </w:pPr>
            <w:r>
              <w:rPr>
                <w:rFonts w:ascii="Arial Narrow" w:hAnsi="Arial Narrow" w:cs="Times New Roman"/>
              </w:rPr>
              <w:t>33/260/2007</w:t>
            </w:r>
          </w:p>
        </w:tc>
        <w:tc>
          <w:tcPr>
            <w:tcW w:w="6620" w:type="dxa"/>
            <w:tcBorders>
              <w:top w:val="single" w:sz="4" w:space="0" w:color="auto"/>
              <w:left w:val="single" w:sz="4" w:space="0" w:color="auto"/>
              <w:bottom w:val="nil"/>
              <w:right w:val="single" w:sz="4" w:space="0" w:color="auto"/>
              <w:tl2br w:val="nil"/>
              <w:tr2bl w:val="nil"/>
            </w:tcBorders>
            <w:textDirection w:val="lrTb"/>
            <w:vAlign w:val="center"/>
          </w:tcPr>
          <w:p w:rsidR="00AE2D69" w:rsidP="00634079">
            <w:pPr>
              <w:spacing w:line="240" w:lineRule="auto"/>
              <w:ind w:left="57" w:right="57"/>
              <w:rPr>
                <w:rFonts w:ascii="Arial Narrow" w:hAnsi="Arial Narrow" w:cs="Times New Roman"/>
              </w:rPr>
            </w:pPr>
            <w:r>
              <w:rPr>
                <w:rFonts w:ascii="Arial Narrow" w:hAnsi="Arial Narrow" w:cs="Times New Roman"/>
              </w:rPr>
              <w:t>Informatika – Prezentačný systém</w:t>
            </w:r>
          </w:p>
        </w:tc>
        <w:tc>
          <w:tcPr>
            <w:tcW w:w="1276" w:type="dxa"/>
            <w:tcBorders>
              <w:top w:val="single" w:sz="4" w:space="0" w:color="auto"/>
              <w:left w:val="single" w:sz="4" w:space="0" w:color="auto"/>
              <w:bottom w:val="nil"/>
              <w:right w:val="single" w:sz="4" w:space="0" w:color="auto"/>
              <w:tl2br w:val="nil"/>
              <w:tr2bl w:val="nil"/>
            </w:tcBorders>
            <w:textDirection w:val="lrTb"/>
            <w:vAlign w:val="center"/>
          </w:tcPr>
          <w:p w:rsidR="00AE2D69" w:rsidP="0063407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240" w:lineRule="auto"/>
              <w:ind w:left="73"/>
              <w:jc w:val="center"/>
              <w:rPr>
                <w:rFonts w:ascii="Arial Narrow" w:hAnsi="Arial Narrow" w:cs="Times New Roman"/>
              </w:rPr>
            </w:pPr>
            <w:r>
              <w:rPr>
                <w:rFonts w:ascii="Arial Narrow" w:hAnsi="Arial Narrow" w:cs="Times New Roman"/>
              </w:rPr>
              <w:t xml:space="preserve">   300 000</w:t>
            </w:r>
          </w:p>
        </w:tc>
      </w:tr>
      <w:tr>
        <w:tblPrEx>
          <w:tblW w:w="9314" w:type="dxa"/>
          <w:jc w:val="center"/>
          <w:tblLayout w:type="fixed"/>
          <w:tblCellMar>
            <w:top w:w="0" w:type="dxa"/>
            <w:left w:w="28" w:type="dxa"/>
            <w:bottom w:w="0" w:type="dxa"/>
            <w:right w:w="28" w:type="dxa"/>
          </w:tblCellMar>
        </w:tblPrEx>
        <w:trPr>
          <w:cantSplit/>
          <w:trHeight w:val="275"/>
          <w:jc w:val="center"/>
        </w:trPr>
        <w:tc>
          <w:tcPr>
            <w:tcW w:w="141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E2D69" w:rsidP="00634079">
            <w:pPr>
              <w:spacing w:line="240" w:lineRule="auto"/>
              <w:jc w:val="center"/>
              <w:rPr>
                <w:rFonts w:ascii="Arial Narrow" w:hAnsi="Arial Narrow" w:cs="Times New Roman"/>
              </w:rPr>
            </w:pPr>
            <w:r>
              <w:rPr>
                <w:rFonts w:ascii="Arial Narrow" w:hAnsi="Arial Narrow" w:cs="Times New Roman"/>
              </w:rPr>
              <w:t>32/260/2007</w:t>
            </w:r>
          </w:p>
        </w:tc>
        <w:tc>
          <w:tcPr>
            <w:tcW w:w="662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AE2D69" w:rsidP="00634079">
            <w:pPr>
              <w:spacing w:line="240" w:lineRule="auto"/>
              <w:ind w:left="57" w:right="57"/>
              <w:rPr>
                <w:rFonts w:ascii="Arial Narrow" w:hAnsi="Arial Narrow" w:cs="Times New Roman"/>
                <w:color w:val="000000"/>
                <w:lang w:eastAsia="sk-SK"/>
              </w:rPr>
            </w:pPr>
            <w:r>
              <w:rPr>
                <w:rFonts w:ascii="Arial Narrow" w:hAnsi="Arial Narrow" w:cs="Times New Roman"/>
                <w:color w:val="000000"/>
                <w:lang w:eastAsia="sk-SK"/>
              </w:rPr>
              <w:t xml:space="preserve">Európska </w:t>
            </w:r>
            <w:r>
              <w:rPr>
                <w:rFonts w:ascii="Arial Narrow" w:hAnsi="Arial Narrow" w:cs="Times New Roman"/>
                <w:color w:val="000000"/>
                <w:lang w:eastAsia="sk-SK"/>
              </w:rPr>
              <w:t>integrácia v oblasti telekomunikácií</w:t>
            </w:r>
          </w:p>
        </w:tc>
        <w:tc>
          <w:tcPr>
            <w:tcW w:w="1276"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AE2D69" w:rsidP="0063407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240" w:lineRule="auto"/>
              <w:ind w:left="73"/>
              <w:jc w:val="center"/>
              <w:rPr>
                <w:rFonts w:ascii="Arial Narrow" w:hAnsi="Arial Narrow" w:cs="Times New Roman"/>
              </w:rPr>
            </w:pPr>
            <w:r>
              <w:rPr>
                <w:rFonts w:ascii="Arial Narrow" w:hAnsi="Arial Narrow" w:cs="Times New Roman"/>
              </w:rPr>
              <w:t xml:space="preserve">   500 000</w:t>
            </w:r>
          </w:p>
        </w:tc>
      </w:tr>
      <w:tr>
        <w:tblPrEx>
          <w:tblW w:w="9314" w:type="dxa"/>
          <w:jc w:val="center"/>
          <w:tblLayout w:type="fixed"/>
          <w:tblCellMar>
            <w:top w:w="0" w:type="dxa"/>
            <w:left w:w="28" w:type="dxa"/>
            <w:bottom w:w="0" w:type="dxa"/>
            <w:right w:w="28" w:type="dxa"/>
          </w:tblCellMar>
        </w:tblPrEx>
        <w:trPr>
          <w:cantSplit/>
          <w:trHeight w:val="275"/>
          <w:jc w:val="center"/>
        </w:trPr>
        <w:tc>
          <w:tcPr>
            <w:tcW w:w="1418" w:type="dxa"/>
            <w:tcBorders>
              <w:top w:val="single" w:sz="4" w:space="0" w:color="auto"/>
              <w:left w:val="single" w:sz="4" w:space="0" w:color="auto"/>
              <w:bottom w:val="nil"/>
              <w:right w:val="single" w:sz="4" w:space="0" w:color="auto"/>
              <w:tl2br w:val="nil"/>
              <w:tr2bl w:val="nil"/>
            </w:tcBorders>
            <w:textDirection w:val="lrTb"/>
            <w:vAlign w:val="top"/>
          </w:tcPr>
          <w:p w:rsidR="00AE2D69" w:rsidP="00634079">
            <w:pPr>
              <w:spacing w:line="240" w:lineRule="auto"/>
              <w:jc w:val="center"/>
              <w:rPr>
                <w:rFonts w:ascii="Arial Narrow" w:hAnsi="Arial Narrow" w:cs="Times New Roman"/>
              </w:rPr>
            </w:pPr>
            <w:r>
              <w:rPr>
                <w:rFonts w:ascii="Arial Narrow" w:hAnsi="Arial Narrow" w:cs="Times New Roman"/>
              </w:rPr>
              <w:t>31/260/2007</w:t>
            </w:r>
          </w:p>
        </w:tc>
        <w:tc>
          <w:tcPr>
            <w:tcW w:w="6620" w:type="dxa"/>
            <w:tcBorders>
              <w:top w:val="single" w:sz="4" w:space="0" w:color="auto"/>
              <w:left w:val="single" w:sz="4" w:space="0" w:color="auto"/>
              <w:bottom w:val="nil"/>
              <w:right w:val="single" w:sz="4" w:space="0" w:color="auto"/>
              <w:tl2br w:val="nil"/>
              <w:tr2bl w:val="nil"/>
            </w:tcBorders>
            <w:textDirection w:val="lrTb"/>
            <w:vAlign w:val="center"/>
          </w:tcPr>
          <w:p w:rsidR="00AE2D69" w:rsidP="00634079">
            <w:pPr>
              <w:spacing w:line="240" w:lineRule="auto"/>
              <w:ind w:left="57" w:right="57"/>
              <w:rPr>
                <w:rFonts w:ascii="Arial Narrow" w:hAnsi="Arial Narrow" w:cs="Times New Roman"/>
                <w:color w:val="000000"/>
                <w:lang w:eastAsia="sk-SK"/>
              </w:rPr>
            </w:pPr>
            <w:r>
              <w:rPr>
                <w:rFonts w:ascii="Arial Narrow" w:hAnsi="Arial Narrow" w:cs="Times New Roman"/>
                <w:color w:val="000000"/>
                <w:lang w:eastAsia="sk-SK"/>
              </w:rPr>
              <w:t>Prognostické a analytické činnosti</w:t>
            </w:r>
          </w:p>
        </w:tc>
        <w:tc>
          <w:tcPr>
            <w:tcW w:w="1276" w:type="dxa"/>
            <w:tcBorders>
              <w:top w:val="single" w:sz="4" w:space="0" w:color="auto"/>
              <w:left w:val="single" w:sz="4" w:space="0" w:color="auto"/>
              <w:bottom w:val="nil"/>
              <w:right w:val="single" w:sz="4" w:space="0" w:color="auto"/>
              <w:tl2br w:val="nil"/>
              <w:tr2bl w:val="nil"/>
            </w:tcBorders>
            <w:textDirection w:val="lrTb"/>
            <w:vAlign w:val="center"/>
          </w:tcPr>
          <w:p w:rsidR="00AE2D69" w:rsidP="0063407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240" w:lineRule="auto"/>
              <w:ind w:left="73"/>
              <w:jc w:val="center"/>
              <w:rPr>
                <w:rFonts w:ascii="Arial Narrow" w:hAnsi="Arial Narrow" w:cs="Times New Roman"/>
              </w:rPr>
            </w:pPr>
            <w:r>
              <w:rPr>
                <w:rFonts w:ascii="Arial Narrow" w:hAnsi="Arial Narrow" w:cs="Times New Roman"/>
              </w:rPr>
              <w:t xml:space="preserve">   600 000</w:t>
            </w:r>
          </w:p>
        </w:tc>
      </w:tr>
      <w:tr>
        <w:tblPrEx>
          <w:tblW w:w="9314" w:type="dxa"/>
          <w:jc w:val="center"/>
          <w:tblLayout w:type="fixed"/>
          <w:tblCellMar>
            <w:top w:w="0" w:type="dxa"/>
            <w:left w:w="28" w:type="dxa"/>
            <w:bottom w:w="0" w:type="dxa"/>
            <w:right w:w="28" w:type="dxa"/>
          </w:tblCellMar>
        </w:tblPrEx>
        <w:trPr>
          <w:cantSplit/>
          <w:trHeight w:val="275"/>
          <w:jc w:val="center"/>
        </w:trPr>
        <w:tc>
          <w:tcPr>
            <w:tcW w:w="141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E2D69" w:rsidP="00634079">
            <w:pPr>
              <w:spacing w:line="240" w:lineRule="auto"/>
              <w:jc w:val="center"/>
              <w:rPr>
                <w:rFonts w:ascii="Arial Narrow" w:hAnsi="Arial Narrow" w:cs="Times New Roman"/>
              </w:rPr>
            </w:pPr>
            <w:r>
              <w:rPr>
                <w:rFonts w:ascii="Arial Narrow" w:hAnsi="Arial Narrow" w:cs="Times New Roman"/>
              </w:rPr>
              <w:t>30/260/2007</w:t>
            </w:r>
          </w:p>
        </w:tc>
        <w:tc>
          <w:tcPr>
            <w:tcW w:w="662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AE2D69" w:rsidP="00634079">
            <w:pPr>
              <w:spacing w:line="240" w:lineRule="auto"/>
              <w:ind w:left="57" w:right="57"/>
              <w:rPr>
                <w:rFonts w:ascii="Arial Narrow" w:hAnsi="Arial Narrow" w:cs="Times New Roman"/>
                <w:color w:val="000000"/>
                <w:lang w:eastAsia="sk-SK"/>
              </w:rPr>
            </w:pPr>
            <w:r>
              <w:rPr>
                <w:rFonts w:ascii="Arial Narrow" w:hAnsi="Arial Narrow" w:cs="Times New Roman"/>
                <w:color w:val="000000"/>
                <w:lang w:eastAsia="sk-SK"/>
              </w:rPr>
              <w:t>Národná tabuľka frekvenčného spektra – NTFS</w:t>
            </w:r>
          </w:p>
        </w:tc>
        <w:tc>
          <w:tcPr>
            <w:tcW w:w="1276"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AE2D69" w:rsidP="0063407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240" w:lineRule="auto"/>
              <w:ind w:left="73"/>
              <w:jc w:val="center"/>
              <w:rPr>
                <w:rFonts w:ascii="Arial Narrow" w:hAnsi="Arial Narrow" w:cs="Times New Roman"/>
              </w:rPr>
            </w:pPr>
            <w:r>
              <w:rPr>
                <w:rFonts w:ascii="Arial Narrow" w:hAnsi="Arial Narrow" w:cs="Times New Roman"/>
              </w:rPr>
              <w:t xml:space="preserve">   800 000</w:t>
            </w:r>
          </w:p>
        </w:tc>
      </w:tr>
      <w:tr>
        <w:tblPrEx>
          <w:tblW w:w="9314" w:type="dxa"/>
          <w:jc w:val="center"/>
          <w:tblLayout w:type="fixed"/>
          <w:tblCellMar>
            <w:top w:w="0" w:type="dxa"/>
            <w:left w:w="28" w:type="dxa"/>
            <w:bottom w:w="0" w:type="dxa"/>
            <w:right w:w="28" w:type="dxa"/>
          </w:tblCellMar>
        </w:tblPrEx>
        <w:trPr>
          <w:cantSplit/>
          <w:trHeight w:val="275"/>
          <w:jc w:val="center"/>
        </w:trPr>
        <w:tc>
          <w:tcPr>
            <w:tcW w:w="141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E2D69" w:rsidP="00634079">
            <w:pPr>
              <w:spacing w:line="240" w:lineRule="auto"/>
              <w:jc w:val="center"/>
              <w:rPr>
                <w:rFonts w:ascii="Arial Narrow" w:hAnsi="Arial Narrow" w:cs="Times New Roman"/>
              </w:rPr>
            </w:pPr>
            <w:r>
              <w:rPr>
                <w:rFonts w:ascii="Arial Narrow" w:hAnsi="Arial Narrow" w:cs="Times New Roman"/>
              </w:rPr>
              <w:t>29/260/2007</w:t>
            </w:r>
          </w:p>
        </w:tc>
        <w:tc>
          <w:tcPr>
            <w:tcW w:w="662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AE2D69" w:rsidP="00634079">
            <w:pPr>
              <w:spacing w:line="240" w:lineRule="auto"/>
              <w:ind w:left="57" w:right="57"/>
              <w:rPr>
                <w:rFonts w:ascii="Arial Narrow" w:hAnsi="Arial Narrow" w:cs="Times New Roman"/>
                <w:color w:val="000000"/>
                <w:lang w:eastAsia="sk-SK"/>
              </w:rPr>
            </w:pPr>
            <w:r>
              <w:rPr>
                <w:rFonts w:ascii="Arial Narrow" w:hAnsi="Arial Narrow" w:cs="Times New Roman"/>
                <w:color w:val="000000"/>
                <w:lang w:eastAsia="sk-SK"/>
              </w:rPr>
              <w:t>Výkon MDPT SR ako člena ETSI</w:t>
            </w:r>
          </w:p>
        </w:tc>
        <w:tc>
          <w:tcPr>
            <w:tcW w:w="1276"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AE2D69" w:rsidP="0063407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240" w:lineRule="auto"/>
              <w:ind w:left="73"/>
              <w:jc w:val="center"/>
              <w:rPr>
                <w:rFonts w:ascii="Arial Narrow" w:hAnsi="Arial Narrow" w:cs="Times New Roman"/>
              </w:rPr>
            </w:pPr>
            <w:r>
              <w:rPr>
                <w:rFonts w:ascii="Arial Narrow" w:hAnsi="Arial Narrow" w:cs="Times New Roman"/>
              </w:rPr>
              <w:t xml:space="preserve">   700 000</w:t>
            </w:r>
          </w:p>
        </w:tc>
      </w:tr>
      <w:tr>
        <w:tblPrEx>
          <w:tblW w:w="9314" w:type="dxa"/>
          <w:jc w:val="center"/>
          <w:tblLayout w:type="fixed"/>
          <w:tblCellMar>
            <w:top w:w="0" w:type="dxa"/>
            <w:left w:w="28" w:type="dxa"/>
            <w:bottom w:w="0" w:type="dxa"/>
            <w:right w:w="28" w:type="dxa"/>
          </w:tblCellMar>
        </w:tblPrEx>
        <w:trPr>
          <w:cantSplit/>
          <w:trHeight w:val="275"/>
          <w:jc w:val="center"/>
        </w:trPr>
        <w:tc>
          <w:tcPr>
            <w:tcW w:w="141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E2D69" w:rsidP="00634079">
            <w:pPr>
              <w:spacing w:line="240" w:lineRule="auto"/>
              <w:jc w:val="center"/>
              <w:rPr>
                <w:rFonts w:ascii="Arial Narrow" w:hAnsi="Arial Narrow" w:cs="Times New Roman"/>
              </w:rPr>
            </w:pPr>
            <w:r>
              <w:rPr>
                <w:rFonts w:ascii="Arial Narrow" w:hAnsi="Arial Narrow" w:cs="Times New Roman"/>
              </w:rPr>
              <w:t>28//260/2007</w:t>
            </w:r>
          </w:p>
        </w:tc>
        <w:tc>
          <w:tcPr>
            <w:tcW w:w="662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AE2D69" w:rsidP="00634079">
            <w:pPr>
              <w:spacing w:line="240" w:lineRule="auto"/>
              <w:ind w:left="57" w:right="57"/>
              <w:rPr>
                <w:rFonts w:ascii="Arial Narrow" w:hAnsi="Arial Narrow" w:cs="Times New Roman"/>
                <w:color w:val="000000"/>
                <w:lang w:eastAsia="sk-SK"/>
              </w:rPr>
            </w:pPr>
            <w:r>
              <w:rPr>
                <w:rFonts w:ascii="Arial Narrow" w:hAnsi="Arial Narrow" w:cs="Times New Roman"/>
                <w:color w:val="000000"/>
                <w:lang w:eastAsia="sk-SK"/>
              </w:rPr>
              <w:t>Harmonizovaný prístup k regulácií elektronických komunikačných sietí a</w:t>
            </w:r>
            <w:r w:rsidR="00635CFE">
              <w:rPr>
                <w:rFonts w:ascii="Arial Narrow" w:hAnsi="Arial Narrow" w:cs="Times New Roman"/>
                <w:color w:val="000000"/>
                <w:lang w:eastAsia="sk-SK"/>
              </w:rPr>
              <w:t> </w:t>
            </w:r>
            <w:r>
              <w:rPr>
                <w:rFonts w:ascii="Arial Narrow" w:hAnsi="Arial Narrow" w:cs="Times New Roman"/>
                <w:color w:val="000000"/>
                <w:lang w:eastAsia="sk-SK"/>
              </w:rPr>
              <w:t>služieb</w:t>
            </w:r>
          </w:p>
        </w:tc>
        <w:tc>
          <w:tcPr>
            <w:tcW w:w="1276"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AE2D69" w:rsidP="0063407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240" w:lineRule="auto"/>
              <w:ind w:left="73"/>
              <w:jc w:val="center"/>
              <w:rPr>
                <w:rFonts w:ascii="Arial Narrow" w:hAnsi="Arial Narrow" w:cs="Times New Roman"/>
              </w:rPr>
            </w:pPr>
            <w:r>
              <w:rPr>
                <w:rFonts w:ascii="Arial Narrow" w:hAnsi="Arial Narrow" w:cs="Times New Roman"/>
              </w:rPr>
              <w:t xml:space="preserve">   350 000</w:t>
            </w:r>
          </w:p>
        </w:tc>
      </w:tr>
      <w:tr>
        <w:tblPrEx>
          <w:tblW w:w="9314" w:type="dxa"/>
          <w:jc w:val="center"/>
          <w:tblLayout w:type="fixed"/>
          <w:tblCellMar>
            <w:top w:w="0" w:type="dxa"/>
            <w:left w:w="28" w:type="dxa"/>
            <w:bottom w:w="0" w:type="dxa"/>
            <w:right w:w="28" w:type="dxa"/>
          </w:tblCellMar>
        </w:tblPrEx>
        <w:trPr>
          <w:cantSplit/>
          <w:trHeight w:val="275"/>
          <w:jc w:val="center"/>
        </w:trPr>
        <w:tc>
          <w:tcPr>
            <w:tcW w:w="1418" w:type="dxa"/>
            <w:tcBorders>
              <w:top w:val="single" w:sz="4" w:space="0" w:color="auto"/>
              <w:left w:val="single" w:sz="4" w:space="0" w:color="auto"/>
              <w:bottom w:val="single" w:sz="4" w:space="0" w:color="auto"/>
              <w:right w:val="single" w:sz="4" w:space="0" w:color="auto"/>
              <w:tl2br w:val="nil"/>
              <w:tr2bl w:val="nil"/>
            </w:tcBorders>
            <w:shd w:val="clear" w:color="auto" w:fill="C0C0C0"/>
            <w:textDirection w:val="lrTb"/>
            <w:vAlign w:val="top"/>
          </w:tcPr>
          <w:p w:rsidR="00AE2D69" w:rsidRPr="00E230F3" w:rsidP="00634079">
            <w:pPr>
              <w:spacing w:line="240" w:lineRule="auto"/>
              <w:jc w:val="center"/>
              <w:rPr>
                <w:rFonts w:ascii="Arial Narrow" w:hAnsi="Arial Narrow" w:cs="Times New Roman"/>
              </w:rPr>
            </w:pPr>
          </w:p>
        </w:tc>
        <w:tc>
          <w:tcPr>
            <w:tcW w:w="6620" w:type="dxa"/>
            <w:tcBorders>
              <w:top w:val="single" w:sz="4" w:space="0" w:color="auto"/>
              <w:left w:val="single" w:sz="4" w:space="0" w:color="auto"/>
              <w:bottom w:val="single" w:sz="4" w:space="0" w:color="auto"/>
              <w:right w:val="single" w:sz="4" w:space="0" w:color="auto"/>
              <w:tl2br w:val="nil"/>
              <w:tr2bl w:val="nil"/>
            </w:tcBorders>
            <w:shd w:val="clear" w:color="auto" w:fill="C0C0C0"/>
            <w:textDirection w:val="lrTb"/>
            <w:vAlign w:val="center"/>
          </w:tcPr>
          <w:p w:rsidR="00AE2D69" w:rsidRPr="003F3107" w:rsidP="00634079">
            <w:pPr>
              <w:spacing w:line="240" w:lineRule="auto"/>
              <w:ind w:left="57" w:right="57"/>
              <w:jc w:val="center"/>
              <w:rPr>
                <w:rFonts w:ascii="Arial Narrow" w:hAnsi="Arial Narrow" w:cs="Times New Roman"/>
                <w:b/>
              </w:rPr>
            </w:pPr>
            <w:r w:rsidRPr="003F3107">
              <w:rPr>
                <w:rFonts w:ascii="Arial Narrow" w:hAnsi="Arial Narrow" w:cs="Times New Roman"/>
                <w:b/>
              </w:rPr>
              <w:t>S P O</w:t>
            </w:r>
            <w:r>
              <w:rPr>
                <w:rFonts w:ascii="Arial Narrow" w:hAnsi="Arial Narrow" w:cs="Times New Roman"/>
                <w:b/>
              </w:rPr>
              <w:t> </w:t>
            </w:r>
            <w:r w:rsidRPr="003F3107">
              <w:rPr>
                <w:rFonts w:ascii="Arial Narrow" w:hAnsi="Arial Narrow" w:cs="Times New Roman"/>
                <w:b/>
              </w:rPr>
              <w:t>L U</w:t>
            </w:r>
          </w:p>
        </w:tc>
        <w:tc>
          <w:tcPr>
            <w:tcW w:w="1276" w:type="dxa"/>
            <w:tcBorders>
              <w:top w:val="single" w:sz="4" w:space="0" w:color="auto"/>
              <w:left w:val="single" w:sz="4" w:space="0" w:color="auto"/>
              <w:bottom w:val="single" w:sz="4" w:space="0" w:color="auto"/>
              <w:right w:val="single" w:sz="4" w:space="0" w:color="auto"/>
              <w:tl2br w:val="nil"/>
              <w:tr2bl w:val="nil"/>
            </w:tcBorders>
            <w:shd w:val="clear" w:color="auto" w:fill="C0C0C0"/>
            <w:textDirection w:val="lrTb"/>
            <w:vAlign w:val="center"/>
          </w:tcPr>
          <w:p w:rsidR="00AE2D69" w:rsidRPr="003F3107" w:rsidP="0063407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240" w:lineRule="auto"/>
              <w:ind w:left="73"/>
              <w:jc w:val="center"/>
              <w:rPr>
                <w:rFonts w:ascii="Arial Narrow" w:hAnsi="Arial Narrow" w:cs="Times New Roman"/>
                <w:b/>
              </w:rPr>
            </w:pPr>
            <w:r w:rsidRPr="003F3107">
              <w:rPr>
                <w:rFonts w:ascii="Arial Narrow" w:hAnsi="Arial Narrow" w:cs="Times New Roman"/>
                <w:b/>
              </w:rPr>
              <w:t>5</w:t>
            </w:r>
            <w:r>
              <w:rPr>
                <w:rFonts w:ascii="Arial Narrow" w:hAnsi="Arial Narrow" w:cs="Times New Roman"/>
                <w:b/>
              </w:rPr>
              <w:t> </w:t>
            </w:r>
            <w:r w:rsidRPr="003F3107">
              <w:rPr>
                <w:rFonts w:ascii="Arial Narrow" w:hAnsi="Arial Narrow" w:cs="Times New Roman"/>
                <w:b/>
              </w:rPr>
              <w:t>000</w:t>
            </w:r>
            <w:r>
              <w:rPr>
                <w:rFonts w:ascii="Arial Narrow" w:hAnsi="Arial Narrow" w:cs="Times New Roman"/>
                <w:b/>
              </w:rPr>
              <w:t xml:space="preserve"> 000</w:t>
            </w:r>
          </w:p>
        </w:tc>
      </w:tr>
    </w:tbl>
    <w:p w:rsidR="006F5B00" w:rsidP="00AE2D69">
      <w:pPr>
        <w:spacing w:line="240" w:lineRule="auto"/>
        <w:rPr>
          <w:rFonts w:ascii="Times New Roman" w:hAnsi="Times New Roman" w:cs="Times New Roman"/>
          <w:sz w:val="24"/>
          <w:szCs w:val="24"/>
        </w:rPr>
      </w:pPr>
    </w:p>
    <w:p w:rsidR="006F5B00" w:rsidRPr="00635CFE" w:rsidP="00635CFE">
      <w:pPr>
        <w:spacing w:line="240" w:lineRule="auto"/>
        <w:ind w:firstLine="360"/>
        <w:rPr>
          <w:rFonts w:ascii="Times New Roman" w:hAnsi="Times New Roman" w:cs="Times New Roman"/>
          <w:sz w:val="24"/>
          <w:szCs w:val="24"/>
        </w:rPr>
      </w:pPr>
      <w:r w:rsidR="00AE2D69">
        <w:rPr>
          <w:rFonts w:ascii="Times New Roman" w:hAnsi="Times New Roman" w:cs="Times New Roman"/>
          <w:sz w:val="24"/>
          <w:szCs w:val="24"/>
        </w:rPr>
        <w:t xml:space="preserve"> </w:t>
      </w:r>
      <w:r w:rsidR="00635CFE">
        <w:rPr>
          <w:rFonts w:ascii="Times New Roman" w:hAnsi="Times New Roman" w:cs="Times New Roman"/>
          <w:sz w:val="24"/>
          <w:szCs w:val="24"/>
        </w:rPr>
        <w:tab/>
        <w:t xml:space="preserve">Okrem spomínaných úloh MDPT SR </w:t>
      </w:r>
      <w:r w:rsidR="00AE2D69">
        <w:rPr>
          <w:rFonts w:ascii="Times New Roman" w:hAnsi="Times New Roman" w:cs="Times New Roman"/>
          <w:sz w:val="24"/>
          <w:szCs w:val="24"/>
        </w:rPr>
        <w:t>zabezpečilo prostredníctvom Výskumného ústavu spojov, n.o. Bans</w:t>
      </w:r>
      <w:r w:rsidR="00635CFE">
        <w:rPr>
          <w:rFonts w:ascii="Times New Roman" w:hAnsi="Times New Roman" w:cs="Times New Roman"/>
          <w:sz w:val="24"/>
          <w:szCs w:val="24"/>
        </w:rPr>
        <w:t xml:space="preserve">ká Bystrica, projekty: </w:t>
      </w:r>
      <w:r w:rsidR="00AE2D69">
        <w:rPr>
          <w:rFonts w:ascii="Times New Roman" w:hAnsi="Times New Roman" w:cs="Times New Roman"/>
          <w:sz w:val="24"/>
          <w:szCs w:val="24"/>
        </w:rPr>
        <w:t>„Zmluva 331/2007 – Prevzatie technick</w:t>
      </w:r>
      <w:r w:rsidR="00AE2D69">
        <w:rPr>
          <w:rFonts w:ascii="Times New Roman" w:hAnsi="Times New Roman" w:cs="Times New Roman"/>
          <w:sz w:val="24"/>
          <w:szCs w:val="24"/>
        </w:rPr>
        <w:t>ých noriem a špecifikácia  z oblasti</w:t>
      </w:r>
      <w:r w:rsidR="00635CFE">
        <w:rPr>
          <w:rFonts w:ascii="Times New Roman" w:hAnsi="Times New Roman" w:cs="Times New Roman"/>
          <w:sz w:val="24"/>
          <w:szCs w:val="24"/>
        </w:rPr>
        <w:t xml:space="preserve">  elektronických  komunikácií“ </w:t>
      </w:r>
      <w:r w:rsidR="00AE2D69">
        <w:rPr>
          <w:rFonts w:ascii="Times New Roman" w:hAnsi="Times New Roman" w:cs="Times New Roman"/>
          <w:sz w:val="24"/>
          <w:szCs w:val="24"/>
        </w:rPr>
        <w:t>vo výške 950.810,- Sk, ako aj „Zmluva 332/2007 – Nové elektronické komunikačné siete a služby“ vo výške 357.000,- Sk.</w:t>
      </w:r>
    </w:p>
    <w:p w:rsidR="00E357E2" w:rsidP="00AE2D69">
      <w:pPr>
        <w:spacing w:line="240" w:lineRule="auto"/>
        <w:ind w:firstLine="709"/>
        <w:rPr>
          <w:rFonts w:ascii="Times New Roman" w:hAnsi="Times New Roman" w:cs="Times New Roman"/>
          <w:sz w:val="24"/>
        </w:rPr>
      </w:pPr>
    </w:p>
    <w:p w:rsidR="008C28C7" w:rsidP="008C28C7">
      <w:pPr>
        <w:spacing w:line="240" w:lineRule="auto"/>
        <w:ind w:firstLine="709"/>
        <w:rPr>
          <w:rFonts w:ascii="Times New Roman" w:hAnsi="Times New Roman" w:cs="Times New Roman"/>
          <w:sz w:val="24"/>
        </w:rPr>
      </w:pPr>
      <w:r w:rsidRPr="00635CFE" w:rsidR="00AE2D69">
        <w:rPr>
          <w:rFonts w:ascii="Times New Roman" w:hAnsi="Times New Roman" w:cs="Times New Roman"/>
          <w:sz w:val="24"/>
        </w:rPr>
        <w:t>Výdavky v kategórii 640 –</w:t>
      </w:r>
      <w:r w:rsidRPr="00635CFE" w:rsidR="00AE2D69">
        <w:rPr>
          <w:rFonts w:ascii="Times New Roman" w:hAnsi="Times New Roman" w:cs="Times New Roman"/>
          <w:b/>
          <w:sz w:val="24"/>
        </w:rPr>
        <w:t xml:space="preserve"> </w:t>
      </w:r>
      <w:r w:rsidRPr="00635CFE" w:rsidR="00635CFE">
        <w:rPr>
          <w:rFonts w:ascii="Times New Roman" w:hAnsi="Times New Roman" w:cs="Times New Roman"/>
          <w:sz w:val="24"/>
        </w:rPr>
        <w:t>B</w:t>
      </w:r>
      <w:r w:rsidRPr="00635CFE" w:rsidR="00AE2D69">
        <w:rPr>
          <w:rFonts w:ascii="Times New Roman" w:hAnsi="Times New Roman" w:cs="Times New Roman"/>
          <w:sz w:val="24"/>
        </w:rPr>
        <w:t>ežné transfery určené v pôvodnom rozpise záväzných ukazovateľov pre správu ministerstva</w:t>
      </w:r>
      <w:r w:rsidR="00635CFE">
        <w:rPr>
          <w:rFonts w:ascii="Times New Roman" w:hAnsi="Times New Roman" w:cs="Times New Roman"/>
          <w:sz w:val="24"/>
        </w:rPr>
        <w:t xml:space="preserve"> vo výške 4 873 000,- Sk boli r</w:t>
      </w:r>
      <w:r w:rsidRPr="00635CFE" w:rsidR="00AE2D69">
        <w:rPr>
          <w:rFonts w:ascii="Times New Roman" w:hAnsi="Times New Roman" w:cs="Times New Roman"/>
          <w:sz w:val="24"/>
        </w:rPr>
        <w:t xml:space="preserve">ozpočtovými opatreniami upravené na </w:t>
      </w:r>
      <w:r w:rsidR="00635CFE">
        <w:rPr>
          <w:rFonts w:ascii="Times New Roman" w:hAnsi="Times New Roman" w:cs="Times New Roman"/>
          <w:sz w:val="24"/>
        </w:rPr>
        <w:t xml:space="preserve">2 697 023,10 Sk. </w:t>
      </w:r>
      <w:r w:rsidRPr="00635CFE" w:rsidR="00AE2D69">
        <w:rPr>
          <w:rFonts w:ascii="Times New Roman" w:hAnsi="Times New Roman" w:cs="Times New Roman"/>
          <w:sz w:val="24"/>
        </w:rPr>
        <w:t xml:space="preserve">Ich skutočné čerpanie bolo dosiahnuté vo výške </w:t>
      </w:r>
      <w:r w:rsidR="00635CFE">
        <w:rPr>
          <w:rFonts w:ascii="Times New Roman" w:hAnsi="Times New Roman" w:cs="Times New Roman"/>
          <w:sz w:val="24"/>
        </w:rPr>
        <w:t xml:space="preserve">2 548 331,- Sk. </w:t>
      </w:r>
      <w:r w:rsidRPr="00635CFE" w:rsidR="00AE2D69">
        <w:rPr>
          <w:rFonts w:ascii="Times New Roman" w:hAnsi="Times New Roman" w:cs="Times New Roman"/>
          <w:sz w:val="24"/>
        </w:rPr>
        <w:t xml:space="preserve">Podstatnú časť výdavkov </w:t>
      </w:r>
      <w:r>
        <w:rPr>
          <w:rFonts w:ascii="Times New Roman" w:hAnsi="Times New Roman" w:cs="Times New Roman"/>
          <w:sz w:val="24"/>
        </w:rPr>
        <w:t xml:space="preserve">vo výške 1 050 000,- Sk </w:t>
      </w:r>
      <w:r w:rsidRPr="00635CFE" w:rsidR="00AE2D69">
        <w:rPr>
          <w:rFonts w:ascii="Times New Roman" w:hAnsi="Times New Roman" w:cs="Times New Roman"/>
          <w:sz w:val="24"/>
        </w:rPr>
        <w:t>tvorili transfery</w:t>
      </w:r>
      <w:r w:rsidR="00635CFE">
        <w:rPr>
          <w:rFonts w:ascii="Times New Roman" w:hAnsi="Times New Roman" w:cs="Times New Roman"/>
          <w:sz w:val="24"/>
        </w:rPr>
        <w:t xml:space="preserve"> občianskym združeniam, nadáciám, školám a obciam </w:t>
      </w:r>
      <w:r w:rsidRPr="00635CFE" w:rsidR="00AE2D69">
        <w:rPr>
          <w:rFonts w:ascii="Times New Roman" w:hAnsi="Times New Roman" w:cs="Times New Roman"/>
          <w:sz w:val="24"/>
        </w:rPr>
        <w:t>poskytnuté na projekt</w:t>
      </w:r>
      <w:r w:rsidR="00635CFE">
        <w:rPr>
          <w:rFonts w:ascii="Times New Roman" w:hAnsi="Times New Roman" w:cs="Times New Roman"/>
          <w:sz w:val="24"/>
        </w:rPr>
        <w:t>y</w:t>
      </w:r>
      <w:r w:rsidRPr="00635CFE" w:rsidR="00AE2D69">
        <w:rPr>
          <w:rFonts w:ascii="Times New Roman" w:hAnsi="Times New Roman" w:cs="Times New Roman"/>
          <w:sz w:val="24"/>
        </w:rPr>
        <w:t xml:space="preserve"> v oblasti prevencie bezpečnosti cestn</w:t>
      </w:r>
      <w:r>
        <w:rPr>
          <w:rFonts w:ascii="Times New Roman" w:hAnsi="Times New Roman" w:cs="Times New Roman"/>
          <w:sz w:val="24"/>
        </w:rPr>
        <w:t xml:space="preserve">ej premávky pod názvom „BECEP“. Transfery obciam boli poskytnuté na základe RO MF SR č. 22, ktorým bol </w:t>
      </w:r>
      <w:r>
        <w:rPr>
          <w:rFonts w:ascii="Times New Roman" w:hAnsi="Times New Roman" w:cs="Times New Roman"/>
          <w:color w:val="000000"/>
          <w:sz w:val="24"/>
          <w:szCs w:val="24"/>
          <w:lang w:eastAsia="sk-SK"/>
        </w:rPr>
        <w:t xml:space="preserve">zvýšený limit výdavkov – </w:t>
      </w:r>
      <w:r w:rsidRPr="008C28C7">
        <w:rPr>
          <w:rFonts w:ascii="Times New Roman" w:hAnsi="Times New Roman" w:cs="Times New Roman"/>
          <w:color w:val="000000"/>
          <w:sz w:val="24"/>
          <w:szCs w:val="24"/>
          <w:lang w:eastAsia="sk-SK"/>
        </w:rPr>
        <w:t>účelovýc</w:t>
      </w:r>
      <w:r>
        <w:rPr>
          <w:rFonts w:ascii="Times New Roman" w:hAnsi="Times New Roman" w:cs="Times New Roman"/>
          <w:color w:val="000000"/>
          <w:sz w:val="24"/>
          <w:szCs w:val="24"/>
          <w:lang w:eastAsia="sk-SK"/>
        </w:rPr>
        <w:t>h prostrie</w:t>
      </w:r>
      <w:r>
        <w:rPr>
          <w:rFonts w:ascii="Times New Roman" w:hAnsi="Times New Roman" w:cs="Times New Roman"/>
          <w:color w:val="000000"/>
          <w:sz w:val="24"/>
          <w:szCs w:val="24"/>
          <w:lang w:eastAsia="sk-SK"/>
        </w:rPr>
        <w:t xml:space="preserve">dkov o 670 000,- Sk. </w:t>
      </w:r>
      <w:r w:rsidRPr="008C28C7">
        <w:rPr>
          <w:rFonts w:ascii="Times New Roman" w:hAnsi="Times New Roman" w:cs="Times New Roman"/>
          <w:color w:val="000000"/>
          <w:sz w:val="24"/>
          <w:szCs w:val="24"/>
          <w:lang w:eastAsia="sk-SK"/>
        </w:rPr>
        <w:t>Účelové prostriedky boli učené</w:t>
      </w:r>
      <w:r>
        <w:rPr>
          <w:rFonts w:ascii="Times New Roman" w:hAnsi="Times New Roman" w:cs="Times New Roman"/>
          <w:color w:val="000000"/>
          <w:sz w:val="24"/>
          <w:szCs w:val="24"/>
          <w:lang w:eastAsia="sk-SK"/>
        </w:rPr>
        <w:t xml:space="preserve"> </w:t>
      </w:r>
      <w:r w:rsidRPr="008C28C7">
        <w:rPr>
          <w:rFonts w:ascii="Times New Roman" w:hAnsi="Times New Roman" w:cs="Times New Roman"/>
          <w:color w:val="000000"/>
          <w:sz w:val="24"/>
          <w:szCs w:val="24"/>
          <w:lang w:eastAsia="sk-SK"/>
        </w:rPr>
        <w:t>pre obce v zmysle Výnosu MDPT SR č. 1448/M-2007 o poskytovaní dotácií v oblasti bezpečnosti cestnej premávky.</w:t>
      </w:r>
    </w:p>
    <w:p w:rsidR="00E357E2" w:rsidP="008C28C7">
      <w:pPr>
        <w:spacing w:line="240" w:lineRule="auto"/>
        <w:ind w:firstLine="709"/>
        <w:rPr>
          <w:rFonts w:ascii="Times New Roman" w:hAnsi="Times New Roman" w:cs="Times New Roman"/>
          <w:sz w:val="24"/>
        </w:rPr>
      </w:pPr>
      <w:r w:rsidRPr="00635CFE" w:rsidR="00AE2D69">
        <w:rPr>
          <w:rFonts w:ascii="Times New Roman" w:hAnsi="Times New Roman" w:cs="Times New Roman"/>
          <w:sz w:val="24"/>
        </w:rPr>
        <w:t>Ďalšiu časť výdavkov tvorili poskytnuté príspevky na odstupn</w:t>
      </w:r>
      <w:r w:rsidR="008C28C7">
        <w:rPr>
          <w:rFonts w:ascii="Times New Roman" w:hAnsi="Times New Roman" w:cs="Times New Roman"/>
          <w:sz w:val="24"/>
        </w:rPr>
        <w:t>é a odchodné zamestnancom MDPT.</w:t>
      </w:r>
    </w:p>
    <w:p w:rsidR="00635CFE" w:rsidP="00E357E2">
      <w:pPr>
        <w:spacing w:line="240" w:lineRule="auto"/>
        <w:ind w:firstLine="709"/>
        <w:rPr>
          <w:rFonts w:ascii="Times New Roman" w:hAnsi="Times New Roman" w:cs="Times New Roman"/>
          <w:sz w:val="24"/>
        </w:rPr>
      </w:pPr>
      <w:r w:rsidR="007A7F47">
        <w:rPr>
          <w:rFonts w:ascii="Times New Roman" w:hAnsi="Times New Roman" w:cs="Times New Roman"/>
          <w:sz w:val="24"/>
        </w:rPr>
        <w:t xml:space="preserve">Na BECEP boli použité finančné prostriedky vo výške cca 9 000 tis. Sk aj v rámci kategórie 630 – Tovary a služby, a to na projekty televíznych a rozhlasových kampaní v oblasti bezpečnosti cestnej premávky, </w:t>
      </w:r>
      <w:r w:rsidR="0071071D">
        <w:rPr>
          <w:rFonts w:ascii="Times New Roman" w:hAnsi="Times New Roman" w:cs="Times New Roman"/>
          <w:sz w:val="24"/>
        </w:rPr>
        <w:t xml:space="preserve">protialkoholických kampaní, reklám na autobusoch, </w:t>
      </w:r>
      <w:r w:rsidR="007A7F47">
        <w:rPr>
          <w:rFonts w:ascii="Times New Roman" w:hAnsi="Times New Roman" w:cs="Times New Roman"/>
          <w:sz w:val="24"/>
        </w:rPr>
        <w:t>di</w:t>
      </w:r>
      <w:r w:rsidR="007A7F47">
        <w:rPr>
          <w:rFonts w:ascii="Times New Roman" w:hAnsi="Times New Roman" w:cs="Times New Roman"/>
          <w:sz w:val="24"/>
        </w:rPr>
        <w:t>stribúciu letákov, vlajok,</w:t>
      </w:r>
      <w:r w:rsidR="0071071D">
        <w:rPr>
          <w:rFonts w:ascii="Times New Roman" w:hAnsi="Times New Roman" w:cs="Times New Roman"/>
          <w:sz w:val="24"/>
        </w:rPr>
        <w:t xml:space="preserve"> </w:t>
      </w:r>
      <w:r w:rsidR="008E6563">
        <w:rPr>
          <w:rFonts w:ascii="Times New Roman" w:hAnsi="Times New Roman" w:cs="Times New Roman"/>
          <w:sz w:val="24"/>
        </w:rPr>
        <w:t>časopisov, r</w:t>
      </w:r>
      <w:r w:rsidR="007E2789">
        <w:rPr>
          <w:rFonts w:ascii="Times New Roman" w:hAnsi="Times New Roman" w:cs="Times New Roman"/>
          <w:sz w:val="24"/>
        </w:rPr>
        <w:t>eflexných viest, DVD – zdravotnú výchovu</w:t>
      </w:r>
      <w:r w:rsidR="008E6563">
        <w:rPr>
          <w:rFonts w:ascii="Times New Roman" w:hAnsi="Times New Roman" w:cs="Times New Roman"/>
          <w:sz w:val="24"/>
        </w:rPr>
        <w:t>, a pod..</w:t>
      </w:r>
      <w:r w:rsidR="007A7F47">
        <w:rPr>
          <w:rFonts w:ascii="Times New Roman" w:hAnsi="Times New Roman" w:cs="Times New Roman"/>
          <w:sz w:val="24"/>
        </w:rPr>
        <w:t xml:space="preserve">  </w:t>
      </w:r>
    </w:p>
    <w:p w:rsidR="00E357E2" w:rsidP="009223AC">
      <w:pPr>
        <w:spacing w:line="240" w:lineRule="auto"/>
        <w:ind w:firstLine="709"/>
        <w:rPr>
          <w:rFonts w:ascii="Times New Roman" w:hAnsi="Times New Roman" w:cs="Times New Roman"/>
          <w:sz w:val="24"/>
        </w:rPr>
      </w:pPr>
    </w:p>
    <w:p w:rsidR="006F5B00" w:rsidP="009223AC">
      <w:pPr>
        <w:spacing w:line="240" w:lineRule="auto"/>
        <w:ind w:firstLine="709"/>
        <w:rPr>
          <w:rFonts w:ascii="Times New Roman" w:hAnsi="Times New Roman" w:cs="Times New Roman"/>
          <w:sz w:val="24"/>
        </w:rPr>
      </w:pPr>
      <w:r w:rsidRPr="009223AC" w:rsidR="00AE2D69">
        <w:rPr>
          <w:rFonts w:ascii="Times New Roman" w:hAnsi="Times New Roman" w:cs="Times New Roman"/>
          <w:sz w:val="24"/>
        </w:rPr>
        <w:t>V oblasti</w:t>
      </w:r>
      <w:r w:rsidRPr="009223AC" w:rsidR="00AE2D69">
        <w:rPr>
          <w:rFonts w:ascii="Times New Roman" w:hAnsi="Times New Roman" w:cs="Times New Roman"/>
          <w:b/>
          <w:sz w:val="24"/>
        </w:rPr>
        <w:t xml:space="preserve"> </w:t>
      </w:r>
      <w:r w:rsidRPr="009223AC" w:rsidR="00AE2D69">
        <w:rPr>
          <w:rFonts w:ascii="Times New Roman" w:hAnsi="Times New Roman" w:cs="Times New Roman"/>
          <w:sz w:val="24"/>
        </w:rPr>
        <w:t>kapitálových výdavkov (710) boli pre správu ministerstva určené</w:t>
      </w:r>
      <w:r w:rsidR="009223AC">
        <w:rPr>
          <w:rFonts w:ascii="Times New Roman" w:hAnsi="Times New Roman" w:cs="Times New Roman"/>
          <w:sz w:val="24"/>
        </w:rPr>
        <w:t xml:space="preserve"> záväzné ukazovatele vo výške 73 386 000,- </w:t>
      </w:r>
      <w:r w:rsidRPr="009223AC" w:rsidR="00AE2D69">
        <w:rPr>
          <w:rFonts w:ascii="Times New Roman" w:hAnsi="Times New Roman" w:cs="Times New Roman"/>
          <w:sz w:val="24"/>
        </w:rPr>
        <w:t>Sk. Rozpočtovými opatreniami bol rozpočet kapitá</w:t>
      </w:r>
      <w:r w:rsidRPr="009223AC" w:rsidR="00AE2D69">
        <w:rPr>
          <w:rFonts w:ascii="Times New Roman" w:hAnsi="Times New Roman" w:cs="Times New Roman"/>
          <w:sz w:val="24"/>
        </w:rPr>
        <w:t xml:space="preserve">lových výdavkov aparátu upravený na </w:t>
      </w:r>
      <w:r w:rsidR="009223AC">
        <w:rPr>
          <w:rFonts w:ascii="Times New Roman" w:hAnsi="Times New Roman" w:cs="Times New Roman"/>
          <w:sz w:val="24"/>
        </w:rPr>
        <w:t xml:space="preserve">53 593 597,33 </w:t>
      </w:r>
      <w:r w:rsidRPr="009223AC" w:rsidR="00AE2D69">
        <w:rPr>
          <w:rFonts w:ascii="Times New Roman" w:hAnsi="Times New Roman" w:cs="Times New Roman"/>
          <w:sz w:val="24"/>
        </w:rPr>
        <w:t>Sk. Skutočné čerpanie bolo</w:t>
      </w:r>
      <w:r w:rsidR="009223AC">
        <w:rPr>
          <w:rFonts w:ascii="Times New Roman" w:hAnsi="Times New Roman" w:cs="Times New Roman"/>
          <w:sz w:val="24"/>
        </w:rPr>
        <w:t xml:space="preserve"> vo výške upraveného rozpočtu </w:t>
      </w:r>
      <w:r w:rsidRPr="009223AC" w:rsidR="00AE2D69">
        <w:rPr>
          <w:rFonts w:ascii="Times New Roman" w:hAnsi="Times New Roman" w:cs="Times New Roman"/>
          <w:sz w:val="24"/>
        </w:rPr>
        <w:t xml:space="preserve">(vrátane prostriedkov technickej asistencie vo výške </w:t>
      </w:r>
      <w:r w:rsidR="009223AC">
        <w:rPr>
          <w:rFonts w:ascii="Times New Roman" w:hAnsi="Times New Roman" w:cs="Times New Roman"/>
          <w:sz w:val="24"/>
        </w:rPr>
        <w:t>1 163 097,33 Sk</w:t>
      </w:r>
      <w:r w:rsidR="009503DA">
        <w:rPr>
          <w:rFonts w:ascii="Times New Roman" w:hAnsi="Times New Roman" w:cs="Times New Roman"/>
          <w:sz w:val="24"/>
        </w:rPr>
        <w:t>)</w:t>
      </w:r>
      <w:r w:rsidRPr="009223AC" w:rsidR="00AE2D69">
        <w:rPr>
          <w:rFonts w:ascii="Times New Roman" w:hAnsi="Times New Roman" w:cs="Times New Roman"/>
          <w:sz w:val="24"/>
        </w:rPr>
        <w:t>.</w:t>
      </w:r>
    </w:p>
    <w:p w:rsidR="00E357E2" w:rsidP="00A356C9">
      <w:pPr>
        <w:spacing w:line="240" w:lineRule="auto"/>
        <w:ind w:firstLine="709"/>
        <w:rPr>
          <w:rFonts w:ascii="Times New Roman" w:hAnsi="Times New Roman" w:cs="Times New Roman"/>
          <w:sz w:val="24"/>
        </w:rPr>
      </w:pPr>
      <w:r w:rsidR="009503DA">
        <w:rPr>
          <w:rFonts w:ascii="Times New Roman" w:hAnsi="Times New Roman" w:cs="Times New Roman"/>
          <w:sz w:val="24"/>
        </w:rPr>
        <w:t>Suma nad uvedené čerpanie vo výške 11 028 360,</w:t>
      </w:r>
      <w:r w:rsidR="00A356C9">
        <w:rPr>
          <w:rFonts w:ascii="Times New Roman" w:hAnsi="Times New Roman" w:cs="Times New Roman"/>
          <w:sz w:val="24"/>
        </w:rPr>
        <w:t xml:space="preserve">86 predstavuje mimorozpočtové prostriedky prijaté z rozpočtu EÚ </w:t>
      </w:r>
      <w:r w:rsidR="009503DA">
        <w:rPr>
          <w:rFonts w:ascii="Times New Roman" w:hAnsi="Times New Roman" w:cs="Times New Roman"/>
          <w:sz w:val="24"/>
        </w:rPr>
        <w:t>na realizáciu projektu IRIS EUROPE</w:t>
      </w:r>
      <w:r w:rsidR="00A356C9">
        <w:rPr>
          <w:rFonts w:ascii="Times New Roman" w:hAnsi="Times New Roman" w:cs="Times New Roman"/>
          <w:sz w:val="24"/>
        </w:rPr>
        <w:t xml:space="preserve"> – projekt TEN-T.  </w:t>
      </w:r>
    </w:p>
    <w:p w:rsidR="006F5B00" w:rsidP="009223AC">
      <w:pPr>
        <w:spacing w:line="240" w:lineRule="auto"/>
        <w:ind w:firstLine="709"/>
        <w:rPr>
          <w:rFonts w:ascii="Times New Roman" w:hAnsi="Times New Roman" w:cs="Times New Roman"/>
          <w:sz w:val="24"/>
        </w:rPr>
      </w:pPr>
      <w:r w:rsidR="00AE2D69">
        <w:rPr>
          <w:rFonts w:ascii="Times New Roman" w:hAnsi="Times New Roman" w:cs="Times New Roman"/>
          <w:sz w:val="24"/>
        </w:rPr>
        <w:t xml:space="preserve">Podstatnú časť kapitálových výdavkov predstavovali uhradené faktúry </w:t>
      </w:r>
      <w:r w:rsidR="009223AC">
        <w:rPr>
          <w:rFonts w:ascii="Times New Roman" w:hAnsi="Times New Roman" w:cs="Times New Roman"/>
          <w:sz w:val="24"/>
        </w:rPr>
        <w:t xml:space="preserve">za projekt IRIS vo výške18 627 223,33 Sk, ako aj </w:t>
      </w:r>
      <w:r w:rsidR="00AE2D69">
        <w:rPr>
          <w:rFonts w:ascii="Times New Roman" w:hAnsi="Times New Roman" w:cs="Times New Roman"/>
          <w:sz w:val="24"/>
        </w:rPr>
        <w:t>výdavky na rekonštrukciu</w:t>
      </w:r>
      <w:r w:rsidR="009223AC">
        <w:rPr>
          <w:rFonts w:ascii="Times New Roman" w:hAnsi="Times New Roman" w:cs="Times New Roman"/>
          <w:sz w:val="24"/>
        </w:rPr>
        <w:t xml:space="preserve"> budovy (výmena okien) v sume </w:t>
      </w:r>
      <w:r w:rsidR="009223AC">
        <w:rPr>
          <w:rFonts w:ascii="Times New Roman" w:hAnsi="Times New Roman" w:cs="Times New Roman"/>
          <w:sz w:val="24"/>
        </w:rPr>
        <w:t xml:space="preserve">25 000 000,- </w:t>
      </w:r>
      <w:r w:rsidR="00AE2D69">
        <w:rPr>
          <w:rFonts w:ascii="Times New Roman" w:hAnsi="Times New Roman" w:cs="Times New Roman"/>
          <w:sz w:val="24"/>
        </w:rPr>
        <w:t xml:space="preserve">Sk a  </w:t>
      </w:r>
      <w:r w:rsidRPr="00AB1F6D" w:rsidR="00AE2D69">
        <w:rPr>
          <w:rFonts w:ascii="Times New Roman" w:hAnsi="Times New Roman" w:cs="Times New Roman"/>
          <w:sz w:val="24"/>
        </w:rPr>
        <w:t>nákup výpočtovej techniky</w:t>
      </w:r>
      <w:r w:rsidR="00AE2D69">
        <w:rPr>
          <w:rFonts w:ascii="Times New Roman" w:hAnsi="Times New Roman" w:cs="Times New Roman"/>
          <w:sz w:val="24"/>
        </w:rPr>
        <w:t xml:space="preserve"> </w:t>
      </w:r>
      <w:r w:rsidRPr="00AB1F6D" w:rsidR="00AE2D69">
        <w:rPr>
          <w:rFonts w:ascii="Times New Roman" w:hAnsi="Times New Roman" w:cs="Times New Roman"/>
          <w:sz w:val="24"/>
        </w:rPr>
        <w:t xml:space="preserve"> vo výške</w:t>
      </w:r>
      <w:r w:rsidR="009223AC">
        <w:rPr>
          <w:rFonts w:ascii="Times New Roman" w:hAnsi="Times New Roman" w:cs="Times New Roman"/>
          <w:sz w:val="24"/>
        </w:rPr>
        <w:t>3 676 434,61 Sk</w:t>
      </w:r>
      <w:r w:rsidRPr="00AB1F6D" w:rsidR="00AE2D69">
        <w:rPr>
          <w:rFonts w:ascii="Times New Roman" w:hAnsi="Times New Roman" w:cs="Times New Roman"/>
          <w:sz w:val="24"/>
        </w:rPr>
        <w:t xml:space="preserve">. Okrem toho boli kapitálové výdavky použité na nákup licencií a špeciálnych strojov a zariadení pre MDPT SR. </w:t>
      </w:r>
    </w:p>
    <w:p w:rsidR="00E357E2" w:rsidP="006F5B00">
      <w:pPr>
        <w:spacing w:line="240" w:lineRule="auto"/>
        <w:ind w:firstLine="709"/>
        <w:rPr>
          <w:rFonts w:ascii="Times New Roman" w:hAnsi="Times New Roman" w:cs="Times New Roman"/>
          <w:sz w:val="24"/>
        </w:rPr>
      </w:pPr>
    </w:p>
    <w:p w:rsidR="00AE2D69" w:rsidRPr="009223AC" w:rsidP="006F5B00">
      <w:pPr>
        <w:spacing w:line="240" w:lineRule="auto"/>
        <w:ind w:firstLine="709"/>
        <w:rPr>
          <w:rFonts w:ascii="Times New Roman" w:hAnsi="Times New Roman" w:cs="Times New Roman"/>
          <w:sz w:val="24"/>
        </w:rPr>
      </w:pPr>
      <w:r w:rsidRPr="009223AC">
        <w:rPr>
          <w:rFonts w:ascii="Times New Roman" w:hAnsi="Times New Roman" w:cs="Times New Roman"/>
          <w:sz w:val="24"/>
        </w:rPr>
        <w:t>Na plnenie rozvojových úloh informatizácie spoločnosti boli vyčlenené kapit</w:t>
      </w:r>
      <w:r w:rsidRPr="009223AC">
        <w:rPr>
          <w:rFonts w:ascii="Times New Roman" w:hAnsi="Times New Roman" w:cs="Times New Roman"/>
          <w:sz w:val="24"/>
        </w:rPr>
        <w:t>álové výdavky</w:t>
      </w:r>
      <w:r w:rsidR="009223AC">
        <w:rPr>
          <w:rFonts w:ascii="Times New Roman" w:hAnsi="Times New Roman" w:cs="Times New Roman"/>
          <w:sz w:val="24"/>
        </w:rPr>
        <w:t xml:space="preserve"> (710) vo výške 20 500 000,- </w:t>
      </w:r>
      <w:r w:rsidRPr="009223AC">
        <w:rPr>
          <w:rFonts w:ascii="Times New Roman" w:hAnsi="Times New Roman" w:cs="Times New Roman"/>
          <w:sz w:val="24"/>
        </w:rPr>
        <w:t>Sk. Vzhľadom na oddelimitovanie informatizácie spoločnosti  bol rozpočet  rozpočtovým</w:t>
      </w:r>
      <w:r w:rsidR="009223AC">
        <w:rPr>
          <w:rFonts w:ascii="Times New Roman" w:hAnsi="Times New Roman" w:cs="Times New Roman"/>
          <w:sz w:val="24"/>
        </w:rPr>
        <w:t>i</w:t>
      </w:r>
      <w:r w:rsidRPr="009223AC">
        <w:rPr>
          <w:rFonts w:ascii="Times New Roman" w:hAnsi="Times New Roman" w:cs="Times New Roman"/>
          <w:sz w:val="24"/>
        </w:rPr>
        <w:t xml:space="preserve"> opatren</w:t>
      </w:r>
      <w:r w:rsidR="009223AC">
        <w:rPr>
          <w:rFonts w:ascii="Times New Roman" w:hAnsi="Times New Roman" w:cs="Times New Roman"/>
          <w:sz w:val="24"/>
        </w:rPr>
        <w:t xml:space="preserve">iami </w:t>
      </w:r>
      <w:r w:rsidRPr="009223AC">
        <w:rPr>
          <w:rFonts w:ascii="Times New Roman" w:hAnsi="Times New Roman" w:cs="Times New Roman"/>
          <w:sz w:val="24"/>
        </w:rPr>
        <w:t>presunutý na MF a Úrad vlády SR.</w:t>
      </w:r>
    </w:p>
    <w:p w:rsidR="006F5B00" w:rsidP="00AE2D69">
      <w:pPr>
        <w:spacing w:line="240" w:lineRule="auto"/>
        <w:rPr>
          <w:rFonts w:ascii="Times New Roman" w:hAnsi="Times New Roman" w:cs="Times New Roman"/>
        </w:rPr>
      </w:pPr>
    </w:p>
    <w:p w:rsidR="00A356C9" w:rsidRPr="00037B90" w:rsidP="00AE2D69">
      <w:pPr>
        <w:spacing w:line="240" w:lineRule="auto"/>
        <w:rPr>
          <w:rFonts w:ascii="Times New Roman" w:hAnsi="Times New Roman" w:cs="Times New Roman"/>
        </w:rPr>
      </w:pPr>
    </w:p>
    <w:p w:rsidR="00684D28" w:rsidP="00C362EA">
      <w:pPr>
        <w:spacing w:line="240" w:lineRule="auto"/>
        <w:rPr>
          <w:rFonts w:ascii="Times New Roman" w:hAnsi="Times New Roman" w:cs="Times New Roman"/>
          <w:b/>
          <w:sz w:val="24"/>
          <w:u w:val="single"/>
        </w:rPr>
      </w:pPr>
      <w:r w:rsidR="00E85BE9">
        <w:rPr>
          <w:rFonts w:ascii="Times New Roman" w:hAnsi="Times New Roman" w:cs="Times New Roman"/>
          <w:b/>
          <w:sz w:val="24"/>
          <w:u w:val="single"/>
        </w:rPr>
        <w:t>12</w:t>
      </w:r>
      <w:r w:rsidR="004E794B">
        <w:rPr>
          <w:rFonts w:ascii="Times New Roman" w:hAnsi="Times New Roman" w:cs="Times New Roman"/>
          <w:b/>
          <w:sz w:val="24"/>
          <w:u w:val="single"/>
        </w:rPr>
        <w:t>. VÝSKUM A VÝVOJ V OBLASTI DOPRAVY – podprogram</w:t>
      </w:r>
      <w:r w:rsidR="003D2D2D">
        <w:rPr>
          <w:rFonts w:ascii="Times New Roman" w:hAnsi="Times New Roman" w:cs="Times New Roman"/>
          <w:b/>
          <w:sz w:val="24"/>
          <w:u w:val="single"/>
        </w:rPr>
        <w:t xml:space="preserve"> – 07T02</w:t>
      </w:r>
      <w:r w:rsidRPr="00D23807" w:rsidR="004E794B">
        <w:rPr>
          <w:rFonts w:ascii="Times New Roman" w:hAnsi="Times New Roman" w:cs="Times New Roman"/>
          <w:b/>
          <w:sz w:val="24"/>
          <w:u w:val="single"/>
        </w:rPr>
        <w:t xml:space="preserve"> </w:t>
      </w:r>
      <w:r w:rsidR="003D2D2D">
        <w:rPr>
          <w:rFonts w:ascii="Times New Roman" w:hAnsi="Times New Roman" w:cs="Times New Roman"/>
          <w:b/>
          <w:sz w:val="24"/>
          <w:u w:val="single"/>
        </w:rPr>
        <w:t>– Veda a</w:t>
      </w:r>
      <w:r w:rsidR="00AE2D69">
        <w:rPr>
          <w:rFonts w:ascii="Times New Roman" w:hAnsi="Times New Roman" w:cs="Times New Roman"/>
          <w:b/>
          <w:sz w:val="24"/>
          <w:u w:val="single"/>
        </w:rPr>
        <w:t> </w:t>
      </w:r>
      <w:r w:rsidR="003D2D2D">
        <w:rPr>
          <w:rFonts w:ascii="Times New Roman" w:hAnsi="Times New Roman" w:cs="Times New Roman"/>
          <w:b/>
          <w:sz w:val="24"/>
          <w:u w:val="single"/>
        </w:rPr>
        <w:t>výskum</w:t>
      </w:r>
    </w:p>
    <w:p w:rsidR="00AE2D69" w:rsidRPr="00AE2D69" w:rsidP="00C362EA">
      <w:pPr>
        <w:spacing w:line="240" w:lineRule="auto"/>
        <w:rPr>
          <w:rFonts w:ascii="Times New Roman" w:hAnsi="Times New Roman" w:cs="Times New Roman"/>
          <w:b/>
          <w:sz w:val="24"/>
          <w:u w:val="single"/>
        </w:rPr>
      </w:pPr>
    </w:p>
    <w:p w:rsidR="006F5B00" w:rsidP="008C28C7">
      <w:pPr>
        <w:spacing w:line="240" w:lineRule="auto"/>
        <w:rPr>
          <w:rFonts w:ascii="Times New Roman" w:hAnsi="Times New Roman" w:cs="Times New Roman"/>
          <w:sz w:val="24"/>
          <w:szCs w:val="24"/>
        </w:rPr>
      </w:pPr>
      <w:r w:rsidR="003D2D2D">
        <w:rPr>
          <w:rFonts w:ascii="Times New Roman" w:hAnsi="Times New Roman" w:cs="Times New Roman"/>
          <w:color w:val="000000"/>
          <w:sz w:val="24"/>
          <w:szCs w:val="24"/>
          <w:lang w:eastAsia="sk-SK"/>
        </w:rPr>
        <w:tab/>
      </w:r>
      <w:r w:rsidR="007E2789">
        <w:rPr>
          <w:rFonts w:ascii="Times New Roman" w:hAnsi="Times New Roman" w:cs="Times New Roman"/>
          <w:sz w:val="24"/>
          <w:szCs w:val="24"/>
        </w:rPr>
        <w:t>Z ka</w:t>
      </w:r>
      <w:r w:rsidR="007E2789">
        <w:rPr>
          <w:rFonts w:ascii="Times New Roman" w:hAnsi="Times New Roman" w:cs="Times New Roman"/>
          <w:sz w:val="24"/>
          <w:szCs w:val="24"/>
        </w:rPr>
        <w:t>tegórie 630 – T</w:t>
      </w:r>
      <w:r w:rsidRPr="00035CA6" w:rsidR="00AE2D69">
        <w:rPr>
          <w:rFonts w:ascii="Times New Roman" w:hAnsi="Times New Roman" w:cs="Times New Roman"/>
          <w:sz w:val="24"/>
          <w:szCs w:val="24"/>
        </w:rPr>
        <w:t>ovary a</w:t>
      </w:r>
      <w:r w:rsidR="00AE2D69">
        <w:rPr>
          <w:rFonts w:ascii="Times New Roman" w:hAnsi="Times New Roman" w:cs="Times New Roman"/>
          <w:sz w:val="24"/>
          <w:szCs w:val="24"/>
        </w:rPr>
        <w:t> </w:t>
      </w:r>
      <w:r w:rsidRPr="00035CA6" w:rsidR="00AE2D69">
        <w:rPr>
          <w:rFonts w:ascii="Times New Roman" w:hAnsi="Times New Roman" w:cs="Times New Roman"/>
          <w:sz w:val="24"/>
          <w:szCs w:val="24"/>
        </w:rPr>
        <w:t>služby</w:t>
      </w:r>
      <w:r w:rsidR="00AE2D69">
        <w:rPr>
          <w:rFonts w:ascii="Times New Roman" w:hAnsi="Times New Roman" w:cs="Times New Roman"/>
          <w:sz w:val="24"/>
          <w:szCs w:val="24"/>
        </w:rPr>
        <w:t xml:space="preserve"> </w:t>
      </w:r>
      <w:r w:rsidRPr="00035CA6" w:rsidR="00AE2D69">
        <w:rPr>
          <w:rFonts w:ascii="Times New Roman" w:hAnsi="Times New Roman" w:cs="Times New Roman"/>
          <w:sz w:val="24"/>
          <w:szCs w:val="24"/>
        </w:rPr>
        <w:t>bolo</w:t>
      </w:r>
      <w:r w:rsidR="00AE2D69">
        <w:rPr>
          <w:rFonts w:ascii="Times New Roman" w:hAnsi="Times New Roman" w:cs="Times New Roman"/>
          <w:sz w:val="24"/>
          <w:szCs w:val="24"/>
        </w:rPr>
        <w:t xml:space="preserve"> </w:t>
      </w:r>
      <w:r w:rsidR="009223AC">
        <w:rPr>
          <w:rFonts w:ascii="Times New Roman" w:hAnsi="Times New Roman" w:cs="Times New Roman"/>
          <w:sz w:val="24"/>
          <w:szCs w:val="24"/>
        </w:rPr>
        <w:t xml:space="preserve">v roku 2007 vo výške 12 000 000,- </w:t>
      </w:r>
      <w:r w:rsidRPr="00035CA6" w:rsidR="00AE2D69">
        <w:rPr>
          <w:rFonts w:ascii="Times New Roman" w:hAnsi="Times New Roman" w:cs="Times New Roman"/>
          <w:bCs/>
          <w:sz w:val="24"/>
          <w:szCs w:val="24"/>
        </w:rPr>
        <w:t>Sk</w:t>
      </w:r>
      <w:r w:rsidRPr="00035CA6" w:rsidR="00AE2D69">
        <w:rPr>
          <w:rFonts w:ascii="Times New Roman" w:hAnsi="Times New Roman" w:cs="Times New Roman"/>
          <w:b/>
          <w:bCs/>
          <w:sz w:val="24"/>
          <w:szCs w:val="24"/>
        </w:rPr>
        <w:t xml:space="preserve"> </w:t>
      </w:r>
      <w:r w:rsidRPr="00035CA6" w:rsidR="00AE2D69">
        <w:rPr>
          <w:rFonts w:ascii="Times New Roman" w:hAnsi="Times New Roman" w:cs="Times New Roman"/>
          <w:bCs/>
          <w:sz w:val="24"/>
          <w:szCs w:val="24"/>
        </w:rPr>
        <w:t xml:space="preserve">financované aj </w:t>
      </w:r>
      <w:r w:rsidRPr="00035CA6" w:rsidR="00AE2D69">
        <w:rPr>
          <w:rFonts w:ascii="Times New Roman" w:hAnsi="Times New Roman" w:cs="Times New Roman"/>
          <w:sz w:val="24"/>
          <w:szCs w:val="24"/>
        </w:rPr>
        <w:t xml:space="preserve">pokračovanie riešenia medzinárodného projektu CONNECT v súlade uznesením vlády SR č. 1147 z 1.12.2004 zameraného predovšetkým na otázky riešenia infraštruktúry monitorovania dopravy v SR, dopravných informačných centier, elektronického výberu mýta, prepravy nebezpečného tovaru a návrhu tabuliek TMC polôh. </w:t>
      </w:r>
    </w:p>
    <w:p w:rsidR="009223AC" w:rsidRPr="00E357E2" w:rsidP="00E357E2">
      <w:pPr>
        <w:spacing w:line="240" w:lineRule="auto"/>
        <w:ind w:firstLine="709"/>
        <w:rPr>
          <w:rFonts w:ascii="Times New Roman" w:hAnsi="Times New Roman" w:cs="Times New Roman"/>
          <w:sz w:val="24"/>
          <w:szCs w:val="24"/>
        </w:rPr>
      </w:pPr>
      <w:r w:rsidRPr="00035CA6" w:rsidR="00AE2D69">
        <w:rPr>
          <w:rFonts w:ascii="Times New Roman" w:hAnsi="Times New Roman" w:cs="Times New Roman"/>
          <w:sz w:val="24"/>
          <w:szCs w:val="24"/>
        </w:rPr>
        <w:t xml:space="preserve">Na riešení sa podieľajú výskumné kapacity privátneho, vysokoškolského a neziskového sektora SR a v priebehu minulého roka prebiehala úzka spolupráca so zahraničnými partnermi zo 6 krajín EÚ, ktoré sa zúčastňujú na riešení. Výsledky riešenia pravidelne monitoruje EK, ktorá sa podieľa na financovaní projektu. V súlade so zmluvným zabezpečením sa v decembri 2007 konalo priebežné oponentské konanie, ktoré odporučilo prijať výsledky riešenia za rok 2007 a pokračovať v riešení v roku 2008. </w:t>
      </w:r>
    </w:p>
    <w:p w:rsidR="00684D28" w:rsidRPr="00684D28" w:rsidP="00C362EA">
      <w:pPr>
        <w:pStyle w:val="Heading8"/>
        <w:pBdr>
          <w:top w:val="thinThickLargeGap" w:sz="24" w:space="1" w:color="auto" w:shadow="1"/>
          <w:left w:val="thinThickLargeGap" w:sz="24" w:space="1" w:color="auto" w:shadow="1"/>
          <w:bottom w:val="thinThickLargeGap" w:sz="24" w:space="1" w:color="auto" w:shadow="1"/>
          <w:right w:val="thinThickLargeGap" w:sz="24" w:space="1" w:color="auto" w:shadow="1"/>
        </w:pBdr>
        <w:shd w:val="pct15" w:color="000000" w:fill="FFFFFF"/>
        <w:spacing w:line="240" w:lineRule="auto"/>
        <w:rPr>
          <w:rFonts w:ascii="Times New Roman" w:hAnsi="Times New Roman" w:cs="Times New Roman"/>
          <w:i w:val="0"/>
        </w:rPr>
      </w:pPr>
      <w:r w:rsidRPr="00684D28">
        <w:rPr>
          <w:rFonts w:ascii="Times New Roman" w:hAnsi="Times New Roman" w:cs="Times New Roman"/>
          <w:i w:val="0"/>
        </w:rPr>
        <w:t>Dotácie štátneho rozpočtu hospodárskym subjektom</w:t>
      </w:r>
    </w:p>
    <w:p w:rsidR="00037B90" w:rsidP="00C362EA">
      <w:pPr>
        <w:spacing w:line="240" w:lineRule="auto"/>
        <w:rPr>
          <w:rFonts w:ascii="Times New Roman" w:hAnsi="Times New Roman" w:cs="Times New Roman"/>
          <w:b/>
          <w:i/>
          <w:sz w:val="26"/>
        </w:rPr>
      </w:pPr>
    </w:p>
    <w:p w:rsidR="00F82884" w:rsidRPr="00D23807" w:rsidP="00C362EA">
      <w:pPr>
        <w:spacing w:line="240" w:lineRule="auto"/>
        <w:rPr>
          <w:rFonts w:ascii="Times New Roman" w:hAnsi="Times New Roman" w:cs="Times New Roman"/>
          <w:b/>
          <w:i/>
          <w:sz w:val="26"/>
        </w:rPr>
      </w:pPr>
    </w:p>
    <w:p w:rsidR="00684D28" w:rsidRPr="00D50048" w:rsidP="00C362EA">
      <w:pPr>
        <w:pStyle w:val="NormalIndent"/>
        <w:tabs>
          <w:tab w:val="left" w:pos="0"/>
        </w:tabs>
        <w:spacing w:line="240" w:lineRule="auto"/>
        <w:ind w:left="0"/>
        <w:rPr>
          <w:rFonts w:ascii="Times New Roman" w:hAnsi="Times New Roman" w:cs="Times New Roman"/>
          <w:bCs/>
          <w:sz w:val="28"/>
          <w:szCs w:val="28"/>
        </w:rPr>
      </w:pPr>
      <w:r w:rsidRPr="00CB40FF">
        <w:rPr>
          <w:rFonts w:ascii="Times New Roman" w:hAnsi="Times New Roman" w:cs="Times New Roman"/>
          <w:b/>
          <w:bCs/>
          <w:sz w:val="28"/>
          <w:szCs w:val="28"/>
        </w:rPr>
        <w:t xml:space="preserve">A: Národná diaľničná spoločnosť, a.s. </w:t>
      </w:r>
      <w:r w:rsidRPr="00D50048">
        <w:rPr>
          <w:rFonts w:ascii="Times New Roman" w:hAnsi="Times New Roman" w:cs="Times New Roman"/>
          <w:sz w:val="28"/>
          <w:szCs w:val="28"/>
        </w:rPr>
        <w:t>– program 053 – Cestná inf</w:t>
      </w:r>
      <w:r>
        <w:rPr>
          <w:rFonts w:ascii="Times New Roman" w:hAnsi="Times New Roman" w:cs="Times New Roman"/>
          <w:sz w:val="28"/>
          <w:szCs w:val="28"/>
        </w:rPr>
        <w:t>ra</w:t>
      </w:r>
      <w:r w:rsidRPr="00D50048">
        <w:rPr>
          <w:rFonts w:ascii="Times New Roman" w:hAnsi="Times New Roman" w:cs="Times New Roman"/>
          <w:sz w:val="28"/>
          <w:szCs w:val="28"/>
        </w:rPr>
        <w:t xml:space="preserve">štruktúra </w:t>
      </w:r>
    </w:p>
    <w:p w:rsidR="00684D28" w:rsidRPr="00024551" w:rsidP="00C362EA">
      <w:pPr>
        <w:spacing w:line="240" w:lineRule="auto"/>
        <w:rPr>
          <w:rFonts w:ascii="Times New Roman" w:hAnsi="Times New Roman" w:cs="Times New Roman"/>
          <w:b/>
          <w:sz w:val="24"/>
          <w:szCs w:val="24"/>
        </w:rPr>
      </w:pPr>
    </w:p>
    <w:p w:rsidR="00684D28" w:rsidP="0022359E">
      <w:pPr>
        <w:spacing w:line="240" w:lineRule="auto"/>
        <w:ind w:firstLine="709"/>
        <w:rPr>
          <w:rFonts w:ascii="Times New Roman" w:hAnsi="Times New Roman" w:cs="Times New Roman"/>
          <w:sz w:val="24"/>
          <w:szCs w:val="24"/>
        </w:rPr>
      </w:pPr>
      <w:r>
        <w:rPr>
          <w:rFonts w:ascii="Times New Roman" w:hAnsi="Times New Roman" w:cs="Times New Roman"/>
          <w:sz w:val="24"/>
          <w:szCs w:val="24"/>
        </w:rPr>
        <w:t>Prostried</w:t>
      </w:r>
      <w:r w:rsidR="0022359E">
        <w:rPr>
          <w:rFonts w:ascii="Times New Roman" w:hAnsi="Times New Roman" w:cs="Times New Roman"/>
          <w:sz w:val="24"/>
          <w:szCs w:val="24"/>
        </w:rPr>
        <w:t>ky zo štátneho rozpočtu boli Národnej diaľničnej spoločnosti</w:t>
      </w:r>
      <w:r>
        <w:rPr>
          <w:rFonts w:ascii="Times New Roman" w:hAnsi="Times New Roman" w:cs="Times New Roman"/>
          <w:sz w:val="24"/>
          <w:szCs w:val="24"/>
        </w:rPr>
        <w:t>, a.s.</w:t>
      </w:r>
      <w:r w:rsidR="007E2789">
        <w:rPr>
          <w:rFonts w:ascii="Times New Roman" w:hAnsi="Times New Roman" w:cs="Times New Roman"/>
          <w:sz w:val="24"/>
          <w:szCs w:val="24"/>
        </w:rPr>
        <w:t xml:space="preserve">, (ďalej len NDS) </w:t>
      </w:r>
      <w:r>
        <w:rPr>
          <w:rFonts w:ascii="Times New Roman" w:hAnsi="Times New Roman" w:cs="Times New Roman"/>
          <w:sz w:val="24"/>
          <w:szCs w:val="24"/>
        </w:rPr>
        <w:t>poskytov</w:t>
      </w:r>
      <w:r w:rsidR="001C7E6C">
        <w:rPr>
          <w:rFonts w:ascii="Times New Roman" w:hAnsi="Times New Roman" w:cs="Times New Roman"/>
          <w:sz w:val="24"/>
          <w:szCs w:val="24"/>
        </w:rPr>
        <w:t>ané v zmysle Dodatku č. 3/2007</w:t>
      </w:r>
      <w:r>
        <w:rPr>
          <w:rFonts w:ascii="Times New Roman" w:hAnsi="Times New Roman" w:cs="Times New Roman"/>
          <w:sz w:val="24"/>
          <w:szCs w:val="24"/>
        </w:rPr>
        <w:t xml:space="preserve"> k Dohode o účelovosti použitia finančných prostriedkov </w:t>
      </w:r>
      <w:r w:rsidR="0022359E">
        <w:rPr>
          <w:rFonts w:ascii="Times New Roman" w:hAnsi="Times New Roman" w:cs="Times New Roman"/>
          <w:sz w:val="24"/>
          <w:szCs w:val="24"/>
        </w:rPr>
        <w:t>zo štátneh</w:t>
      </w:r>
      <w:r w:rsidR="001C7E6C">
        <w:rPr>
          <w:rFonts w:ascii="Times New Roman" w:hAnsi="Times New Roman" w:cs="Times New Roman"/>
          <w:sz w:val="24"/>
          <w:szCs w:val="24"/>
        </w:rPr>
        <w:t>o rozpočtu“</w:t>
      </w:r>
      <w:r>
        <w:rPr>
          <w:rFonts w:ascii="Times New Roman" w:hAnsi="Times New Roman" w:cs="Times New Roman"/>
          <w:sz w:val="24"/>
          <w:szCs w:val="24"/>
        </w:rPr>
        <w:t xml:space="preserve">, v ktorom bol uvedený rozpočet pre NDS, a.s.. </w:t>
      </w:r>
    </w:p>
    <w:p w:rsidR="00F82884" w:rsidP="00C362EA">
      <w:pPr>
        <w:spacing w:line="240" w:lineRule="auto"/>
        <w:ind w:firstLine="709"/>
        <w:rPr>
          <w:rFonts w:ascii="Times New Roman" w:hAnsi="Times New Roman" w:cs="Times New Roman"/>
          <w:sz w:val="24"/>
          <w:szCs w:val="24"/>
        </w:rPr>
      </w:pPr>
    </w:p>
    <w:p w:rsidR="00684D28" w:rsidP="00C362EA">
      <w:pPr>
        <w:spacing w:line="240" w:lineRule="auto"/>
        <w:ind w:firstLine="709"/>
        <w:rPr>
          <w:rFonts w:ascii="Times New Roman" w:hAnsi="Times New Roman" w:cs="Times New Roman"/>
          <w:sz w:val="24"/>
          <w:szCs w:val="24"/>
        </w:rPr>
      </w:pPr>
      <w:r w:rsidRPr="008254A6">
        <w:rPr>
          <w:rFonts w:ascii="Times New Roman" w:hAnsi="Times New Roman" w:cs="Times New Roman"/>
          <w:sz w:val="24"/>
          <w:szCs w:val="24"/>
        </w:rPr>
        <w:t>V prie</w:t>
      </w:r>
      <w:r w:rsidR="00982355">
        <w:rPr>
          <w:rFonts w:ascii="Times New Roman" w:hAnsi="Times New Roman" w:cs="Times New Roman"/>
          <w:sz w:val="24"/>
          <w:szCs w:val="24"/>
        </w:rPr>
        <w:t>beh</w:t>
      </w:r>
      <w:r w:rsidR="00982355">
        <w:rPr>
          <w:rFonts w:ascii="Times New Roman" w:hAnsi="Times New Roman" w:cs="Times New Roman"/>
          <w:sz w:val="24"/>
          <w:szCs w:val="24"/>
        </w:rPr>
        <w:t>u roka 2007</w:t>
      </w:r>
      <w:r>
        <w:rPr>
          <w:rFonts w:ascii="Times New Roman" w:hAnsi="Times New Roman" w:cs="Times New Roman"/>
          <w:sz w:val="24"/>
          <w:szCs w:val="24"/>
        </w:rPr>
        <w:t xml:space="preserve"> boli tieto výdavky </w:t>
      </w:r>
      <w:r w:rsidRPr="008254A6">
        <w:rPr>
          <w:rFonts w:ascii="Times New Roman" w:hAnsi="Times New Roman" w:cs="Times New Roman"/>
          <w:sz w:val="24"/>
          <w:szCs w:val="24"/>
        </w:rPr>
        <w:t>upravované prostredníctvom rozpočtových opatrení MF SR a  MDPT SR vzhľadom na aktuálne potreby, vyplývajúce</w:t>
      </w:r>
      <w:r>
        <w:rPr>
          <w:rFonts w:ascii="Times New Roman" w:hAnsi="Times New Roman" w:cs="Times New Roman"/>
          <w:sz w:val="24"/>
          <w:szCs w:val="24"/>
        </w:rPr>
        <w:t xml:space="preserve"> z rokovaní a dohôd a súvisiace s rýchlosťou realizácie </w:t>
      </w:r>
      <w:r w:rsidRPr="008254A6">
        <w:rPr>
          <w:rFonts w:ascii="Times New Roman" w:hAnsi="Times New Roman" w:cs="Times New Roman"/>
          <w:sz w:val="24"/>
          <w:szCs w:val="24"/>
        </w:rPr>
        <w:t>jednotlivýc</w:t>
      </w:r>
      <w:r>
        <w:rPr>
          <w:rFonts w:ascii="Times New Roman" w:hAnsi="Times New Roman" w:cs="Times New Roman"/>
          <w:sz w:val="24"/>
          <w:szCs w:val="24"/>
        </w:rPr>
        <w:t xml:space="preserve">h neinvestičných a investičných akcií. </w:t>
      </w:r>
    </w:p>
    <w:p w:rsidR="00F82884" w:rsidP="00C362EA">
      <w:pPr>
        <w:spacing w:line="240" w:lineRule="auto"/>
        <w:ind w:firstLine="709"/>
        <w:rPr>
          <w:rFonts w:ascii="Times New Roman" w:hAnsi="Times New Roman" w:cs="Times New Roman"/>
          <w:sz w:val="24"/>
          <w:szCs w:val="24"/>
        </w:rPr>
      </w:pPr>
    </w:p>
    <w:p w:rsidR="00684D28" w:rsidRPr="008254A6" w:rsidP="00C362EA">
      <w:pPr>
        <w:spacing w:line="240" w:lineRule="auto"/>
        <w:ind w:firstLine="709"/>
        <w:rPr>
          <w:rFonts w:ascii="Times New Roman" w:hAnsi="Times New Roman" w:cs="Times New Roman"/>
          <w:sz w:val="24"/>
          <w:szCs w:val="24"/>
        </w:rPr>
      </w:pPr>
      <w:r>
        <w:rPr>
          <w:rFonts w:ascii="Times New Roman" w:hAnsi="Times New Roman" w:cs="Times New Roman"/>
          <w:sz w:val="24"/>
          <w:szCs w:val="24"/>
        </w:rPr>
        <w:t>Nasledujúce tabuľky poskytujú prehľad o vývoji rozpočtu ND</w:t>
      </w:r>
      <w:r w:rsidR="007E2789">
        <w:rPr>
          <w:rFonts w:ascii="Times New Roman" w:hAnsi="Times New Roman" w:cs="Times New Roman"/>
          <w:sz w:val="24"/>
          <w:szCs w:val="24"/>
        </w:rPr>
        <w:t xml:space="preserve">S, a.s., </w:t>
      </w:r>
      <w:r>
        <w:rPr>
          <w:rFonts w:ascii="Times New Roman" w:hAnsi="Times New Roman" w:cs="Times New Roman"/>
          <w:sz w:val="24"/>
          <w:szCs w:val="24"/>
        </w:rPr>
        <w:t xml:space="preserve">v priebehu roka. </w:t>
      </w:r>
    </w:p>
    <w:p w:rsidR="00684D28" w:rsidP="00C362EA">
      <w:pPr>
        <w:spacing w:line="240" w:lineRule="auto"/>
        <w:rPr>
          <w:rFonts w:ascii="Times New Roman" w:hAnsi="Times New Roman" w:cs="Times New Roman"/>
          <w:sz w:val="24"/>
          <w:szCs w:val="24"/>
        </w:rPr>
      </w:pPr>
    </w:p>
    <w:p w:rsidR="00F82884" w:rsidP="00C362EA">
      <w:pPr>
        <w:spacing w:line="240" w:lineRule="auto"/>
        <w:rPr>
          <w:rFonts w:ascii="Times New Roman" w:hAnsi="Times New Roman" w:cs="Times New Roman"/>
          <w:sz w:val="24"/>
          <w:szCs w:val="24"/>
        </w:rPr>
      </w:pPr>
    </w:p>
    <w:p w:rsidR="00684D28" w:rsidRPr="007D0A26" w:rsidP="00C362EA">
      <w:pPr>
        <w:spacing w:line="240" w:lineRule="auto"/>
        <w:rPr>
          <w:rFonts w:ascii="Times New Roman" w:hAnsi="Times New Roman" w:cs="Times New Roman"/>
          <w:b/>
          <w:sz w:val="24"/>
          <w:szCs w:val="24"/>
        </w:rPr>
      </w:pPr>
      <w:r w:rsidRPr="007D0A26">
        <w:rPr>
          <w:rFonts w:ascii="Times New Roman" w:hAnsi="Times New Roman" w:cs="Times New Roman"/>
          <w:b/>
          <w:sz w:val="24"/>
          <w:szCs w:val="24"/>
        </w:rPr>
        <w:t>FK 04.5.1.2</w:t>
      </w:r>
      <w:r>
        <w:rPr>
          <w:rFonts w:ascii="Times New Roman" w:hAnsi="Times New Roman" w:cs="Times New Roman"/>
          <w:b/>
          <w:sz w:val="24"/>
          <w:szCs w:val="24"/>
        </w:rPr>
        <w:t xml:space="preserve"> – Údržba, opravy a výstavba diaľnic a rýchlostných ciest  </w:t>
      </w:r>
      <w:r w:rsidRPr="007D0A26">
        <w:rPr>
          <w:rFonts w:ascii="Times New Roman" w:hAnsi="Times New Roman" w:cs="Times New Roman"/>
          <w:b/>
          <w:sz w:val="24"/>
          <w:szCs w:val="24"/>
        </w:rPr>
        <w:t xml:space="preserve">  </w:t>
      </w:r>
    </w:p>
    <w:p w:rsidR="00F82884" w:rsidP="00C362EA">
      <w:pPr>
        <w:spacing w:line="240" w:lineRule="auto"/>
        <w:rPr>
          <w:rFonts w:ascii="Times New Roman" w:hAnsi="Times New Roman" w:cs="Times New Roman"/>
          <w:sz w:val="24"/>
          <w:szCs w:val="24"/>
        </w:rPr>
      </w:pPr>
    </w:p>
    <w:p w:rsidR="00684D28" w:rsidRPr="00BF5A91" w:rsidP="00C362EA">
      <w:pPr>
        <w:spacing w:line="240" w:lineRule="auto"/>
        <w:rPr>
          <w:rFonts w:ascii="Times New Roman" w:hAnsi="Times New Roman" w:cs="Times New Roman"/>
          <w:sz w:val="24"/>
          <w:szCs w:val="24"/>
        </w:rPr>
      </w:pPr>
      <w:r w:rsidRPr="00BF5A91">
        <w:rPr>
          <w:rFonts w:ascii="Times New Roman" w:hAnsi="Times New Roman" w:cs="Times New Roman"/>
          <w:sz w:val="24"/>
          <w:szCs w:val="24"/>
        </w:rPr>
        <w:t xml:space="preserve">Podprogram 05301 – Správa, údržba a opravy ciest a diaľnic </w:t>
      </w:r>
    </w:p>
    <w:p w:rsidR="00F82884" w:rsidRPr="00F82884" w:rsidP="00C362EA">
      <w:pPr>
        <w:spacing w:line="240" w:lineRule="auto"/>
        <w:rPr>
          <w:rFonts w:ascii="Times New Roman" w:hAnsi="Times New Roman" w:cs="Times New Roman"/>
          <w:sz w:val="24"/>
          <w:szCs w:val="24"/>
        </w:rPr>
      </w:pPr>
      <w:r w:rsidRPr="00BF5A91" w:rsidR="00684D28">
        <w:rPr>
          <w:rFonts w:ascii="Times New Roman" w:hAnsi="Times New Roman" w:cs="Times New Roman"/>
          <w:sz w:val="24"/>
          <w:szCs w:val="24"/>
        </w:rPr>
        <w:t>Prvok 0530102 – Správa, údržba a opravy diaľn</w:t>
      </w:r>
      <w:r w:rsidRPr="00BF5A91" w:rsidR="00684D28">
        <w:rPr>
          <w:rFonts w:ascii="Times New Roman" w:hAnsi="Times New Roman" w:cs="Times New Roman"/>
          <w:sz w:val="24"/>
          <w:szCs w:val="24"/>
        </w:rPr>
        <w:t xml:space="preserve">ic a rýchlostných ciest  </w:t>
      </w:r>
    </w:p>
    <w:p w:rsidR="00684D28" w:rsidRPr="00067751" w:rsidP="00C362EA">
      <w:pPr>
        <w:spacing w:line="240" w:lineRule="auto"/>
        <w:rPr>
          <w:rFonts w:ascii="Times New Roman" w:hAnsi="Times New Roman" w:cs="Times New Roman"/>
          <w:sz w:val="24"/>
          <w:szCs w:val="24"/>
          <w:u w:val="single"/>
        </w:rPr>
      </w:pPr>
      <w:r w:rsidRPr="00BF5A91">
        <w:rPr>
          <w:rFonts w:ascii="Times New Roman" w:hAnsi="Times New Roman" w:cs="Times New Roman"/>
          <w:sz w:val="24"/>
          <w:szCs w:val="24"/>
          <w:u w:val="single"/>
        </w:rPr>
        <w:t>Štátny rozpočet</w:t>
      </w:r>
    </w:p>
    <w:p w:rsidR="00F82884" w:rsidP="00C362EA">
      <w:pPr>
        <w:spacing w:line="240" w:lineRule="auto"/>
        <w:rPr>
          <w:rFonts w:ascii="Arial Narrow" w:hAnsi="Arial Narrow" w:cs="Times New Roman"/>
        </w:rPr>
      </w:pPr>
    </w:p>
    <w:p w:rsidR="00684D28" w:rsidRPr="00D04D46" w:rsidP="00C362EA">
      <w:pPr>
        <w:spacing w:line="240" w:lineRule="auto"/>
        <w:rPr>
          <w:rFonts w:ascii="Arial Narrow" w:hAnsi="Arial Narrow" w:cs="Times New Roman"/>
        </w:rPr>
      </w:pPr>
      <w:r>
        <w:rPr>
          <w:rFonts w:ascii="Arial Narrow" w:hAnsi="Arial Narrow" w:cs="Times New Roman"/>
        </w:rPr>
        <w:t xml:space="preserve">                       </w:t>
      </w:r>
      <w:r w:rsidRPr="00D04D46">
        <w:rPr>
          <w:rFonts w:ascii="Arial Narrow" w:hAnsi="Arial Narrow" w:cs="Times New Roman"/>
        </w:rPr>
        <w:t xml:space="preserve">     </w:t>
      </w:r>
      <w:r>
        <w:rPr>
          <w:rFonts w:ascii="Arial Narrow" w:hAnsi="Arial Narrow" w:cs="Times New Roman"/>
        </w:rPr>
        <w:t xml:space="preserve">  </w:t>
      </w:r>
      <w:r w:rsidRPr="00D04D46">
        <w:rPr>
          <w:rFonts w:ascii="Arial Narrow" w:hAnsi="Arial Narrow" w:cs="Times New Roman"/>
        </w:rPr>
        <w:t xml:space="preserve">                                                                                                                       </w:t>
      </w:r>
      <w:r>
        <w:rPr>
          <w:rFonts w:ascii="Arial Narrow" w:hAnsi="Arial Narrow" w:cs="Times New Roman"/>
        </w:rPr>
        <w:t xml:space="preserve">                                      </w:t>
      </w:r>
      <w:r w:rsidRPr="00D04D46">
        <w:rPr>
          <w:rFonts w:ascii="Arial Narrow" w:hAnsi="Arial Narrow" w:cs="Times New Roman"/>
        </w:rPr>
        <w:t>(v Sk)</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Grid>
        <w:gridCol w:w="3528"/>
        <w:gridCol w:w="1800"/>
        <w:gridCol w:w="1800"/>
        <w:gridCol w:w="1872"/>
      </w:tblGrid>
      <w:tr>
        <w:tblPrEx>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auto" w:val="0"/>
        </w:trPr>
        <w:tc>
          <w:tcPr>
            <w:tcW w:w="3528" w:type="dxa"/>
            <w:tcBorders>
              <w:top w:val="single" w:sz="4" w:space="0" w:color="auto"/>
              <w:left w:val="single" w:sz="4" w:space="0" w:color="auto"/>
              <w:bottom w:val="single" w:sz="4" w:space="0" w:color="auto"/>
              <w:right w:val="single" w:sz="4" w:space="0" w:color="auto"/>
              <w:tl2br w:val="nil"/>
              <w:tr2bl w:val="nil"/>
            </w:tcBorders>
            <w:shd w:val="clear" w:color="auto" w:fill="CCCCCC"/>
            <w:textDirection w:val="lrTb"/>
            <w:vAlign w:val="top"/>
          </w:tcPr>
          <w:p w:rsidR="00684D28" w:rsidRPr="00D04D46" w:rsidP="00C362EA">
            <w:pPr>
              <w:spacing w:line="240" w:lineRule="auto"/>
              <w:rPr>
                <w:rFonts w:ascii="Times New Roman" w:hAnsi="Times New Roman" w:cs="Times New Roman"/>
                <w:u w:val="single"/>
              </w:rPr>
            </w:pPr>
          </w:p>
        </w:tc>
        <w:tc>
          <w:tcPr>
            <w:tcW w:w="1800" w:type="dxa"/>
            <w:tcBorders>
              <w:top w:val="single" w:sz="4" w:space="0" w:color="auto"/>
              <w:left w:val="single" w:sz="4" w:space="0" w:color="auto"/>
              <w:bottom w:val="single" w:sz="4" w:space="0" w:color="auto"/>
              <w:right w:val="single" w:sz="4" w:space="0" w:color="auto"/>
              <w:tl2br w:val="nil"/>
              <w:tr2bl w:val="nil"/>
            </w:tcBorders>
            <w:shd w:val="clear" w:color="auto" w:fill="CCCCCC"/>
            <w:textDirection w:val="lrTb"/>
            <w:vAlign w:val="center"/>
          </w:tcPr>
          <w:p w:rsidR="00684D28" w:rsidRPr="00D04D46" w:rsidP="00C362EA">
            <w:pPr>
              <w:spacing w:line="240" w:lineRule="auto"/>
              <w:jc w:val="center"/>
              <w:rPr>
                <w:rFonts w:ascii="Arial Narrow" w:hAnsi="Arial Narrow" w:cs="Times New Roman"/>
              </w:rPr>
            </w:pPr>
            <w:r w:rsidRPr="00D04D46">
              <w:rPr>
                <w:rFonts w:ascii="Arial Narrow" w:hAnsi="Arial Narrow" w:cs="Times New Roman"/>
              </w:rPr>
              <w:t>Schválený rozpočet</w:t>
            </w:r>
            <w:r w:rsidR="0022359E">
              <w:rPr>
                <w:rFonts w:ascii="Arial Narrow" w:hAnsi="Arial Narrow" w:cs="Times New Roman"/>
              </w:rPr>
              <w:t xml:space="preserve"> k 1.1.200</w:t>
            </w:r>
            <w:r w:rsidR="00982355">
              <w:rPr>
                <w:rFonts w:ascii="Arial Narrow" w:hAnsi="Arial Narrow" w:cs="Times New Roman"/>
              </w:rPr>
              <w:t>7</w:t>
            </w:r>
          </w:p>
        </w:tc>
        <w:tc>
          <w:tcPr>
            <w:tcW w:w="1800" w:type="dxa"/>
            <w:tcBorders>
              <w:top w:val="single" w:sz="4" w:space="0" w:color="auto"/>
              <w:left w:val="single" w:sz="4" w:space="0" w:color="auto"/>
              <w:bottom w:val="single" w:sz="4" w:space="0" w:color="auto"/>
              <w:right w:val="single" w:sz="4" w:space="0" w:color="auto"/>
              <w:tl2br w:val="nil"/>
              <w:tr2bl w:val="nil"/>
            </w:tcBorders>
            <w:shd w:val="clear" w:color="auto" w:fill="CCCCCC"/>
            <w:textDirection w:val="lrTb"/>
            <w:vAlign w:val="center"/>
          </w:tcPr>
          <w:p w:rsidR="00684D28" w:rsidRPr="00D04D46" w:rsidP="00C362EA">
            <w:pPr>
              <w:spacing w:line="240" w:lineRule="auto"/>
              <w:jc w:val="center"/>
              <w:rPr>
                <w:rFonts w:ascii="Arial Narrow" w:hAnsi="Arial Narrow" w:cs="Times New Roman"/>
              </w:rPr>
            </w:pPr>
            <w:r w:rsidR="0022359E">
              <w:rPr>
                <w:rFonts w:ascii="Arial Narrow" w:hAnsi="Arial Narrow" w:cs="Times New Roman"/>
              </w:rPr>
              <w:t>Upravený rozpočet k 31.12.200</w:t>
            </w:r>
            <w:r w:rsidR="00982355">
              <w:rPr>
                <w:rFonts w:ascii="Arial Narrow" w:hAnsi="Arial Narrow" w:cs="Times New Roman"/>
              </w:rPr>
              <w:t>7</w:t>
            </w:r>
          </w:p>
        </w:tc>
        <w:tc>
          <w:tcPr>
            <w:tcW w:w="1872" w:type="dxa"/>
            <w:tcBorders>
              <w:top w:val="single" w:sz="4" w:space="0" w:color="auto"/>
              <w:left w:val="single" w:sz="4" w:space="0" w:color="auto"/>
              <w:bottom w:val="single" w:sz="4" w:space="0" w:color="auto"/>
              <w:right w:val="single" w:sz="4" w:space="0" w:color="auto"/>
              <w:tl2br w:val="nil"/>
              <w:tr2bl w:val="nil"/>
            </w:tcBorders>
            <w:shd w:val="clear" w:color="auto" w:fill="CCCCCC"/>
            <w:textDirection w:val="lrTb"/>
            <w:vAlign w:val="center"/>
          </w:tcPr>
          <w:p w:rsidR="00684D28" w:rsidRPr="00D04D46" w:rsidP="00C362EA">
            <w:pPr>
              <w:spacing w:line="240" w:lineRule="auto"/>
              <w:jc w:val="center"/>
              <w:rPr>
                <w:rFonts w:ascii="Arial Narrow" w:hAnsi="Arial Narrow" w:cs="Times New Roman"/>
              </w:rPr>
            </w:pPr>
            <w:r w:rsidR="0022359E">
              <w:rPr>
                <w:rFonts w:ascii="Arial Narrow" w:hAnsi="Arial Narrow" w:cs="Times New Roman"/>
              </w:rPr>
              <w:t>Skutočné čerpanie k 31.12.200</w:t>
            </w:r>
            <w:r w:rsidR="00982355">
              <w:rPr>
                <w:rFonts w:ascii="Arial Narrow" w:hAnsi="Arial Narrow" w:cs="Times New Roman"/>
              </w:rPr>
              <w:t>7</w:t>
            </w:r>
          </w:p>
        </w:tc>
      </w:tr>
      <w:tr>
        <w:tblPrEx>
          <w:tblW w:w="9000" w:type="dxa"/>
          <w:tblInd w:w="108" w:type="dxa"/>
        </w:tblPrEx>
        <w:trPr>
          <w:trHeight w:hRule="auto" w:val="0"/>
        </w:trPr>
        <w:tc>
          <w:tcPr>
            <w:tcW w:w="3528"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684D28" w:rsidRPr="00D04D46" w:rsidP="00C362EA">
            <w:pPr>
              <w:spacing w:line="240" w:lineRule="auto"/>
              <w:rPr>
                <w:rFonts w:ascii="Arial Narrow" w:hAnsi="Arial Narrow" w:cs="Times New Roman"/>
              </w:rPr>
            </w:pPr>
            <w:r>
              <w:rPr>
                <w:rFonts w:ascii="Arial Narrow" w:hAnsi="Arial Narrow" w:cs="Times New Roman"/>
              </w:rPr>
              <w:t>Bežné transfery (64</w:t>
            </w:r>
            <w:r w:rsidRPr="00D04D46">
              <w:rPr>
                <w:rFonts w:ascii="Arial Narrow" w:hAnsi="Arial Narrow" w:cs="Times New Roman"/>
              </w:rPr>
              <w:t>0) na údržbu</w:t>
            </w:r>
            <w:r>
              <w:rPr>
                <w:rFonts w:ascii="Arial Narrow" w:hAnsi="Arial Narrow" w:cs="Times New Roman"/>
              </w:rPr>
              <w:t xml:space="preserve"> </w:t>
            </w:r>
            <w:r w:rsidRPr="00D04D46">
              <w:rPr>
                <w:rFonts w:ascii="Arial Narrow" w:hAnsi="Arial Narrow" w:cs="Times New Roman"/>
              </w:rPr>
              <w:t>a</w:t>
            </w:r>
            <w:r>
              <w:rPr>
                <w:rFonts w:ascii="Arial Narrow" w:hAnsi="Arial Narrow" w:cs="Times New Roman"/>
              </w:rPr>
              <w:t> </w:t>
            </w:r>
            <w:r w:rsidRPr="00D04D46">
              <w:rPr>
                <w:rFonts w:ascii="Arial Narrow" w:hAnsi="Arial Narrow" w:cs="Times New Roman"/>
              </w:rPr>
              <w:t>opravy</w:t>
            </w:r>
            <w:r>
              <w:rPr>
                <w:rFonts w:ascii="Arial Narrow" w:hAnsi="Arial Narrow" w:cs="Times New Roman"/>
              </w:rPr>
              <w:t xml:space="preserve"> diaľnic a rýchlostných ciest</w:t>
            </w:r>
          </w:p>
        </w:tc>
        <w:tc>
          <w:tcPr>
            <w:tcW w:w="180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684D28" w:rsidRPr="00D04D46" w:rsidP="00C362EA">
            <w:pPr>
              <w:spacing w:line="240" w:lineRule="auto"/>
              <w:jc w:val="center"/>
              <w:rPr>
                <w:rFonts w:ascii="Arial Narrow" w:hAnsi="Arial Narrow" w:cs="Times New Roman"/>
              </w:rPr>
            </w:pPr>
            <w:r w:rsidR="001C7E6C">
              <w:rPr>
                <w:rFonts w:ascii="Arial Narrow" w:hAnsi="Arial Narrow" w:cs="Times New Roman"/>
              </w:rPr>
              <w:t xml:space="preserve">960 000 </w:t>
            </w:r>
            <w:r>
              <w:rPr>
                <w:rFonts w:ascii="Arial Narrow" w:hAnsi="Arial Narrow" w:cs="Times New Roman"/>
              </w:rPr>
              <w:t>000</w:t>
            </w:r>
            <w:r w:rsidR="00696505">
              <w:rPr>
                <w:rFonts w:ascii="Arial Narrow" w:hAnsi="Arial Narrow" w:cs="Times New Roman"/>
              </w:rPr>
              <w:t>,00</w:t>
            </w:r>
          </w:p>
        </w:tc>
        <w:tc>
          <w:tcPr>
            <w:tcW w:w="180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684D28" w:rsidRPr="00D04D46" w:rsidP="00C362EA">
            <w:pPr>
              <w:spacing w:line="240" w:lineRule="auto"/>
              <w:jc w:val="center"/>
              <w:rPr>
                <w:rFonts w:ascii="Arial Narrow" w:hAnsi="Arial Narrow" w:cs="Times New Roman"/>
              </w:rPr>
            </w:pPr>
            <w:r w:rsidR="001C7E6C">
              <w:rPr>
                <w:rFonts w:ascii="Arial Narrow" w:hAnsi="Arial Narrow" w:cs="Times New Roman"/>
              </w:rPr>
              <w:t>960</w:t>
            </w:r>
            <w:r>
              <w:rPr>
                <w:rFonts w:ascii="Arial Narrow" w:hAnsi="Arial Narrow" w:cs="Times New Roman"/>
              </w:rPr>
              <w:t> </w:t>
            </w:r>
            <w:r w:rsidR="001C7E6C">
              <w:rPr>
                <w:rFonts w:ascii="Arial Narrow" w:hAnsi="Arial Narrow" w:cs="Times New Roman"/>
              </w:rPr>
              <w:t>000</w:t>
            </w:r>
            <w:r w:rsidR="00696505">
              <w:rPr>
                <w:rFonts w:ascii="Arial Narrow" w:hAnsi="Arial Narrow" w:cs="Times New Roman"/>
              </w:rPr>
              <w:t> </w:t>
            </w:r>
            <w:r>
              <w:rPr>
                <w:rFonts w:ascii="Arial Narrow" w:hAnsi="Arial Narrow" w:cs="Times New Roman"/>
              </w:rPr>
              <w:t>000</w:t>
            </w:r>
            <w:r w:rsidR="00696505">
              <w:rPr>
                <w:rFonts w:ascii="Arial Narrow" w:hAnsi="Arial Narrow" w:cs="Times New Roman"/>
              </w:rPr>
              <w:t>,00</w:t>
            </w:r>
          </w:p>
        </w:tc>
        <w:tc>
          <w:tcPr>
            <w:tcW w:w="1872"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684D28" w:rsidRPr="0078647F" w:rsidP="00C362EA">
            <w:pPr>
              <w:spacing w:line="240" w:lineRule="auto"/>
              <w:jc w:val="center"/>
              <w:rPr>
                <w:rFonts w:ascii="Arial Narrow" w:hAnsi="Arial Narrow" w:cs="Times New Roman"/>
              </w:rPr>
            </w:pPr>
            <w:r w:rsidR="001C7E6C">
              <w:rPr>
                <w:rFonts w:ascii="Arial Narrow" w:hAnsi="Arial Narrow" w:cs="Times New Roman"/>
              </w:rPr>
              <w:t>960 000</w:t>
            </w:r>
            <w:r w:rsidR="00696505">
              <w:rPr>
                <w:rFonts w:ascii="Arial Narrow" w:hAnsi="Arial Narrow" w:cs="Times New Roman"/>
              </w:rPr>
              <w:t> </w:t>
            </w:r>
            <w:r>
              <w:rPr>
                <w:rFonts w:ascii="Arial Narrow" w:hAnsi="Arial Narrow" w:cs="Times New Roman"/>
              </w:rPr>
              <w:t>000</w:t>
            </w:r>
            <w:r w:rsidR="00696505">
              <w:rPr>
                <w:rFonts w:ascii="Arial Narrow" w:hAnsi="Arial Narrow" w:cs="Times New Roman"/>
              </w:rPr>
              <w:t>,00</w:t>
            </w:r>
          </w:p>
        </w:tc>
      </w:tr>
    </w:tbl>
    <w:p w:rsidR="00684D28" w:rsidP="00C362EA">
      <w:pPr>
        <w:spacing w:line="240" w:lineRule="auto"/>
        <w:rPr>
          <w:rFonts w:ascii="Times New Roman" w:hAnsi="Times New Roman" w:cs="Times New Roman"/>
          <w:sz w:val="24"/>
          <w:szCs w:val="24"/>
        </w:rPr>
      </w:pPr>
    </w:p>
    <w:p w:rsidR="00684D28" w:rsidP="00C362EA">
      <w:pPr>
        <w:spacing w:line="240" w:lineRule="auto"/>
        <w:rPr>
          <w:rFonts w:ascii="Times New Roman" w:hAnsi="Times New Roman" w:cs="Times New Roman"/>
          <w:sz w:val="24"/>
          <w:szCs w:val="24"/>
        </w:rPr>
      </w:pPr>
      <w:r>
        <w:rPr>
          <w:rFonts w:ascii="Times New Roman" w:hAnsi="Times New Roman" w:cs="Times New Roman"/>
          <w:sz w:val="24"/>
          <w:szCs w:val="24"/>
        </w:rPr>
        <w:t>Podprogram 05303</w:t>
      </w:r>
      <w:r w:rsidRPr="00DC7250">
        <w:rPr>
          <w:rFonts w:ascii="Times New Roman" w:hAnsi="Times New Roman" w:cs="Times New Roman"/>
          <w:sz w:val="24"/>
          <w:szCs w:val="24"/>
        </w:rPr>
        <w:t xml:space="preserve"> –</w:t>
      </w:r>
      <w:r>
        <w:rPr>
          <w:rFonts w:ascii="Times New Roman" w:hAnsi="Times New Roman" w:cs="Times New Roman"/>
          <w:sz w:val="24"/>
          <w:szCs w:val="24"/>
        </w:rPr>
        <w:t xml:space="preserve"> Výstavba diaľnic a rýchlostných ciest </w:t>
      </w:r>
    </w:p>
    <w:p w:rsidR="00684D28" w:rsidP="00C362EA">
      <w:pPr>
        <w:spacing w:line="240" w:lineRule="auto"/>
        <w:rPr>
          <w:rFonts w:ascii="Times New Roman" w:hAnsi="Times New Roman" w:cs="Times New Roman"/>
          <w:sz w:val="24"/>
          <w:szCs w:val="24"/>
        </w:rPr>
      </w:pPr>
      <w:r>
        <w:rPr>
          <w:rFonts w:ascii="Times New Roman" w:hAnsi="Times New Roman" w:cs="Times New Roman"/>
          <w:sz w:val="24"/>
          <w:szCs w:val="24"/>
        </w:rPr>
        <w:t xml:space="preserve">Prvok 0530305 Diaľnice a rýchlostné cesty </w:t>
      </w:r>
    </w:p>
    <w:p w:rsidR="00684D28" w:rsidP="00C362EA">
      <w:pPr>
        <w:spacing w:line="240" w:lineRule="auto"/>
        <w:rPr>
          <w:rFonts w:ascii="Times New Roman" w:hAnsi="Times New Roman" w:cs="Times New Roman"/>
          <w:sz w:val="24"/>
          <w:szCs w:val="24"/>
          <w:u w:val="single"/>
        </w:rPr>
      </w:pPr>
      <w:r w:rsidRPr="00BF5A91">
        <w:rPr>
          <w:rFonts w:ascii="Times New Roman" w:hAnsi="Times New Roman" w:cs="Times New Roman"/>
          <w:sz w:val="24"/>
          <w:szCs w:val="24"/>
          <w:u w:val="single"/>
        </w:rPr>
        <w:t xml:space="preserve">Štátny rozpočet, bez prostriedkov EÚ a spolufinancovania zo štátneho rozpočtu   </w:t>
      </w:r>
    </w:p>
    <w:p w:rsidR="00F82884" w:rsidRPr="00067751" w:rsidP="00C362EA">
      <w:pPr>
        <w:spacing w:line="240" w:lineRule="auto"/>
        <w:rPr>
          <w:rFonts w:ascii="Times New Roman" w:hAnsi="Times New Roman" w:cs="Times New Roman"/>
          <w:sz w:val="24"/>
          <w:szCs w:val="24"/>
          <w:u w:val="single"/>
        </w:rPr>
      </w:pPr>
    </w:p>
    <w:p w:rsidR="00684D28" w:rsidRPr="00D04D46" w:rsidP="00C362EA">
      <w:pPr>
        <w:spacing w:line="240" w:lineRule="auto"/>
        <w:rPr>
          <w:rFonts w:ascii="Arial Narrow" w:hAnsi="Arial Narrow" w:cs="Times New Roman"/>
        </w:rPr>
      </w:pPr>
      <w:r>
        <w:rPr>
          <w:rFonts w:ascii="Arial Narrow" w:hAnsi="Arial Narrow" w:cs="Times New Roman"/>
        </w:rPr>
        <w:t xml:space="preserve">                      </w:t>
      </w:r>
      <w:r w:rsidRPr="00D04D46">
        <w:rPr>
          <w:rFonts w:ascii="Arial Narrow" w:hAnsi="Arial Narrow" w:cs="Times New Roman"/>
        </w:rPr>
        <w:t xml:space="preserve">                                                                                                                   </w:t>
      </w:r>
      <w:r w:rsidRPr="00D04D46">
        <w:rPr>
          <w:rFonts w:ascii="Arial Narrow" w:hAnsi="Arial Narrow" w:cs="Times New Roman"/>
        </w:rPr>
        <w:t xml:space="preserve">      </w:t>
      </w:r>
      <w:r>
        <w:rPr>
          <w:rFonts w:ascii="Arial Narrow" w:hAnsi="Arial Narrow" w:cs="Times New Roman"/>
        </w:rPr>
        <w:t xml:space="preserve">                                            </w:t>
      </w:r>
      <w:r w:rsidRPr="00D04D46">
        <w:rPr>
          <w:rFonts w:ascii="Arial Narrow" w:hAnsi="Arial Narrow" w:cs="Times New Roman"/>
        </w:rPr>
        <w:t>(v Sk)</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Grid>
        <w:gridCol w:w="3528"/>
        <w:gridCol w:w="1800"/>
        <w:gridCol w:w="1800"/>
        <w:gridCol w:w="1872"/>
      </w:tblGrid>
      <w:tr>
        <w:tblPrEx>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auto" w:val="0"/>
        </w:trPr>
        <w:tc>
          <w:tcPr>
            <w:tcW w:w="3528" w:type="dxa"/>
            <w:tcBorders>
              <w:top w:val="single" w:sz="4" w:space="0" w:color="auto"/>
              <w:left w:val="single" w:sz="4" w:space="0" w:color="auto"/>
              <w:bottom w:val="single" w:sz="4" w:space="0" w:color="auto"/>
              <w:right w:val="single" w:sz="4" w:space="0" w:color="auto"/>
              <w:tl2br w:val="nil"/>
              <w:tr2bl w:val="nil"/>
            </w:tcBorders>
            <w:shd w:val="clear" w:color="auto" w:fill="CCCCCC"/>
            <w:textDirection w:val="lrTb"/>
            <w:vAlign w:val="top"/>
          </w:tcPr>
          <w:p w:rsidR="00684D28" w:rsidRPr="00D04D46" w:rsidP="00C362EA">
            <w:pPr>
              <w:spacing w:line="240" w:lineRule="auto"/>
              <w:rPr>
                <w:rFonts w:ascii="Times New Roman" w:hAnsi="Times New Roman" w:cs="Times New Roman"/>
                <w:u w:val="single"/>
              </w:rPr>
            </w:pPr>
          </w:p>
        </w:tc>
        <w:tc>
          <w:tcPr>
            <w:tcW w:w="1800" w:type="dxa"/>
            <w:tcBorders>
              <w:top w:val="single" w:sz="4" w:space="0" w:color="auto"/>
              <w:left w:val="single" w:sz="4" w:space="0" w:color="auto"/>
              <w:bottom w:val="single" w:sz="4" w:space="0" w:color="auto"/>
              <w:right w:val="single" w:sz="4" w:space="0" w:color="auto"/>
              <w:tl2br w:val="nil"/>
              <w:tr2bl w:val="nil"/>
            </w:tcBorders>
            <w:shd w:val="clear" w:color="auto" w:fill="CCCCCC"/>
            <w:textDirection w:val="lrTb"/>
            <w:vAlign w:val="center"/>
          </w:tcPr>
          <w:p w:rsidR="00684D28" w:rsidRPr="00D04D46" w:rsidP="00C362EA">
            <w:pPr>
              <w:spacing w:line="240" w:lineRule="auto"/>
              <w:jc w:val="center"/>
              <w:rPr>
                <w:rFonts w:ascii="Arial Narrow" w:hAnsi="Arial Narrow" w:cs="Times New Roman"/>
              </w:rPr>
            </w:pPr>
            <w:r w:rsidRPr="00D04D46">
              <w:rPr>
                <w:rFonts w:ascii="Arial Narrow" w:hAnsi="Arial Narrow" w:cs="Times New Roman"/>
              </w:rPr>
              <w:t xml:space="preserve">Schválený rozpočet </w:t>
            </w:r>
            <w:r w:rsidR="0022359E">
              <w:rPr>
                <w:rFonts w:ascii="Arial Narrow" w:hAnsi="Arial Narrow" w:cs="Times New Roman"/>
              </w:rPr>
              <w:t>k 1.1.200</w:t>
            </w:r>
            <w:r w:rsidR="00982355">
              <w:rPr>
                <w:rFonts w:ascii="Arial Narrow" w:hAnsi="Arial Narrow" w:cs="Times New Roman"/>
              </w:rPr>
              <w:t>7</w:t>
            </w:r>
          </w:p>
        </w:tc>
        <w:tc>
          <w:tcPr>
            <w:tcW w:w="1800" w:type="dxa"/>
            <w:tcBorders>
              <w:top w:val="single" w:sz="4" w:space="0" w:color="auto"/>
              <w:left w:val="single" w:sz="4" w:space="0" w:color="auto"/>
              <w:bottom w:val="single" w:sz="4" w:space="0" w:color="auto"/>
              <w:right w:val="single" w:sz="4" w:space="0" w:color="auto"/>
              <w:tl2br w:val="nil"/>
              <w:tr2bl w:val="nil"/>
            </w:tcBorders>
            <w:shd w:val="clear" w:color="auto" w:fill="CCCCCC"/>
            <w:textDirection w:val="lrTb"/>
            <w:vAlign w:val="center"/>
          </w:tcPr>
          <w:p w:rsidR="00684D28" w:rsidRPr="00D04D46" w:rsidP="00C362EA">
            <w:pPr>
              <w:spacing w:line="240" w:lineRule="auto"/>
              <w:jc w:val="center"/>
              <w:rPr>
                <w:rFonts w:ascii="Arial Narrow" w:hAnsi="Arial Narrow" w:cs="Times New Roman"/>
              </w:rPr>
            </w:pPr>
            <w:r w:rsidR="0022359E">
              <w:rPr>
                <w:rFonts w:ascii="Arial Narrow" w:hAnsi="Arial Narrow" w:cs="Times New Roman"/>
              </w:rPr>
              <w:t>Upravený rozpočet k 31.12.200</w:t>
            </w:r>
            <w:r w:rsidR="00982355">
              <w:rPr>
                <w:rFonts w:ascii="Arial Narrow" w:hAnsi="Arial Narrow" w:cs="Times New Roman"/>
              </w:rPr>
              <w:t>7</w:t>
            </w:r>
          </w:p>
        </w:tc>
        <w:tc>
          <w:tcPr>
            <w:tcW w:w="1872" w:type="dxa"/>
            <w:tcBorders>
              <w:top w:val="single" w:sz="4" w:space="0" w:color="auto"/>
              <w:left w:val="single" w:sz="4" w:space="0" w:color="auto"/>
              <w:bottom w:val="single" w:sz="4" w:space="0" w:color="auto"/>
              <w:right w:val="single" w:sz="4" w:space="0" w:color="auto"/>
              <w:tl2br w:val="nil"/>
              <w:tr2bl w:val="nil"/>
            </w:tcBorders>
            <w:shd w:val="clear" w:color="auto" w:fill="CCCCCC"/>
            <w:textDirection w:val="lrTb"/>
            <w:vAlign w:val="center"/>
          </w:tcPr>
          <w:p w:rsidR="00684D28" w:rsidRPr="00D04D46" w:rsidP="00C362EA">
            <w:pPr>
              <w:spacing w:line="240" w:lineRule="auto"/>
              <w:jc w:val="center"/>
              <w:rPr>
                <w:rFonts w:ascii="Arial Narrow" w:hAnsi="Arial Narrow" w:cs="Times New Roman"/>
              </w:rPr>
            </w:pPr>
            <w:r w:rsidR="0022359E">
              <w:rPr>
                <w:rFonts w:ascii="Arial Narrow" w:hAnsi="Arial Narrow" w:cs="Times New Roman"/>
              </w:rPr>
              <w:t>Skutočné čerpanie k 31.12.200</w:t>
            </w:r>
            <w:r w:rsidR="00982355">
              <w:rPr>
                <w:rFonts w:ascii="Arial Narrow" w:hAnsi="Arial Narrow" w:cs="Times New Roman"/>
              </w:rPr>
              <w:t>7</w:t>
            </w:r>
          </w:p>
        </w:tc>
      </w:tr>
      <w:tr>
        <w:tblPrEx>
          <w:tblW w:w="9000" w:type="dxa"/>
          <w:tblInd w:w="108" w:type="dxa"/>
        </w:tblPrEx>
        <w:trPr>
          <w:trHeight w:hRule="auto" w:val="0"/>
        </w:trPr>
        <w:tc>
          <w:tcPr>
            <w:tcW w:w="3528"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684D28" w:rsidRPr="00D04D46" w:rsidP="00C362EA">
            <w:pPr>
              <w:spacing w:line="240" w:lineRule="auto"/>
              <w:rPr>
                <w:rFonts w:ascii="Arial Narrow" w:hAnsi="Arial Narrow" w:cs="Times New Roman"/>
              </w:rPr>
            </w:pPr>
            <w:r>
              <w:rPr>
                <w:rFonts w:ascii="Arial Narrow" w:hAnsi="Arial Narrow" w:cs="Times New Roman"/>
              </w:rPr>
              <w:t>Kapitálové transfery (72</w:t>
            </w:r>
            <w:r w:rsidRPr="00D04D46">
              <w:rPr>
                <w:rFonts w:ascii="Arial Narrow" w:hAnsi="Arial Narrow" w:cs="Times New Roman"/>
              </w:rPr>
              <w:t>0) na výstavbu</w:t>
            </w:r>
            <w:r>
              <w:rPr>
                <w:rFonts w:ascii="Arial Narrow" w:hAnsi="Arial Narrow" w:cs="Times New Roman"/>
              </w:rPr>
              <w:t xml:space="preserve"> diaľnic a rýchlostných ciest</w:t>
            </w:r>
          </w:p>
        </w:tc>
        <w:tc>
          <w:tcPr>
            <w:tcW w:w="180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684D28" w:rsidRPr="00D04D46" w:rsidP="00C362EA">
            <w:pPr>
              <w:spacing w:line="240" w:lineRule="auto"/>
              <w:jc w:val="center"/>
              <w:rPr>
                <w:rFonts w:ascii="Arial Narrow" w:hAnsi="Arial Narrow" w:cs="Times New Roman"/>
              </w:rPr>
            </w:pPr>
            <w:r w:rsidR="00CC31D6">
              <w:rPr>
                <w:rFonts w:ascii="Arial Narrow" w:hAnsi="Arial Narrow" w:cs="Times New Roman"/>
              </w:rPr>
              <w:t>5 305 356</w:t>
            </w:r>
            <w:r w:rsidR="00696505">
              <w:rPr>
                <w:rFonts w:ascii="Arial Narrow" w:hAnsi="Arial Narrow" w:cs="Times New Roman"/>
              </w:rPr>
              <w:t> </w:t>
            </w:r>
            <w:r w:rsidR="00425E1B">
              <w:rPr>
                <w:rFonts w:ascii="Arial Narrow" w:hAnsi="Arial Narrow" w:cs="Times New Roman"/>
              </w:rPr>
              <w:t>000</w:t>
            </w:r>
            <w:r w:rsidR="00696505">
              <w:rPr>
                <w:rFonts w:ascii="Arial Narrow" w:hAnsi="Arial Narrow" w:cs="Times New Roman"/>
              </w:rPr>
              <w:t>,00</w:t>
            </w:r>
            <w:r w:rsidRPr="00D6674F" w:rsidR="004A6E08">
              <w:rPr>
                <w:rFonts w:ascii="Arial Narrow" w:hAnsi="Arial Narrow" w:cs="Times New Roman"/>
              </w:rPr>
              <w:t>*</w:t>
            </w:r>
          </w:p>
        </w:tc>
        <w:tc>
          <w:tcPr>
            <w:tcW w:w="180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684D28" w:rsidRPr="00D04D46" w:rsidP="00C362EA">
            <w:pPr>
              <w:spacing w:line="240" w:lineRule="auto"/>
              <w:jc w:val="center"/>
              <w:rPr>
                <w:rFonts w:ascii="Arial Narrow" w:hAnsi="Arial Narrow" w:cs="Times New Roman"/>
              </w:rPr>
            </w:pPr>
            <w:r w:rsidR="00CC31D6">
              <w:rPr>
                <w:rFonts w:ascii="Arial Narrow" w:hAnsi="Arial Narrow" w:cs="Times New Roman"/>
              </w:rPr>
              <w:t>7 610 325 921,59</w:t>
            </w:r>
            <w:r w:rsidR="005B7AAE">
              <w:rPr>
                <w:rFonts w:ascii="Arial Narrow" w:hAnsi="Arial Narrow" w:cs="Times New Roman"/>
              </w:rPr>
              <w:t>*</w:t>
            </w:r>
          </w:p>
        </w:tc>
        <w:tc>
          <w:tcPr>
            <w:tcW w:w="1872"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684D28" w:rsidRPr="003A3AA1" w:rsidP="00C362EA">
            <w:pPr>
              <w:spacing w:line="240" w:lineRule="auto"/>
              <w:jc w:val="center"/>
              <w:rPr>
                <w:rFonts w:ascii="Arial Narrow" w:hAnsi="Arial Narrow" w:cs="Times New Roman"/>
              </w:rPr>
            </w:pPr>
            <w:r w:rsidR="002A16D4">
              <w:rPr>
                <w:rFonts w:ascii="Arial Narrow" w:hAnsi="Arial Narrow" w:cs="Times New Roman"/>
              </w:rPr>
              <w:t>7</w:t>
            </w:r>
            <w:r w:rsidR="002A16D4">
              <w:rPr>
                <w:rFonts w:ascii="Arial Narrow" w:hAnsi="Arial Narrow" w:cs="Times New Roman"/>
              </w:rPr>
              <w:t> 657 097 864,01</w:t>
            </w:r>
            <w:r w:rsidR="005B7AAE">
              <w:rPr>
                <w:rFonts w:ascii="Arial Narrow" w:hAnsi="Arial Narrow" w:cs="Times New Roman"/>
              </w:rPr>
              <w:t>**</w:t>
            </w:r>
          </w:p>
        </w:tc>
      </w:tr>
    </w:tbl>
    <w:p w:rsidR="00684D28" w:rsidRPr="00037B90" w:rsidP="00C362EA">
      <w:pPr>
        <w:spacing w:line="240" w:lineRule="auto"/>
        <w:rPr>
          <w:rFonts w:ascii="Arial Narrow" w:hAnsi="Arial Narrow" w:cs="Times New Roman"/>
        </w:rPr>
      </w:pPr>
      <w:r w:rsidR="004A6E08">
        <w:rPr>
          <w:rFonts w:ascii="Arial Narrow" w:hAnsi="Arial Narrow" w:cs="Times New Roman"/>
        </w:rPr>
        <w:t>*Úvery</w:t>
      </w:r>
      <w:r w:rsidRPr="00D6674F">
        <w:rPr>
          <w:rFonts w:ascii="Arial Narrow" w:hAnsi="Arial Narrow" w:cs="Times New Roman"/>
        </w:rPr>
        <w:t xml:space="preserve"> </w:t>
      </w:r>
      <w:r w:rsidR="004A6E08">
        <w:rPr>
          <w:rFonts w:ascii="Arial Narrow" w:hAnsi="Arial Narrow" w:cs="Times New Roman"/>
        </w:rPr>
        <w:t>EIB a</w:t>
      </w:r>
      <w:r w:rsidR="005B7AAE">
        <w:rPr>
          <w:rFonts w:ascii="Arial Narrow" w:hAnsi="Arial Narrow" w:cs="Times New Roman"/>
        </w:rPr>
        <w:t> </w:t>
      </w:r>
      <w:r w:rsidRPr="00D6674F">
        <w:rPr>
          <w:rFonts w:ascii="Arial Narrow" w:hAnsi="Arial Narrow" w:cs="Times New Roman"/>
        </w:rPr>
        <w:t>JBIC</w:t>
      </w:r>
      <w:r w:rsidR="005B7AAE">
        <w:rPr>
          <w:rFonts w:ascii="Arial Narrow" w:hAnsi="Arial Narrow" w:cs="Times New Roman"/>
        </w:rPr>
        <w:t xml:space="preserve">  **Vrátane TEN-T</w:t>
      </w:r>
    </w:p>
    <w:p w:rsidR="00037B90" w:rsidP="00C362EA">
      <w:pPr>
        <w:spacing w:line="240" w:lineRule="auto"/>
        <w:rPr>
          <w:rFonts w:ascii="Times New Roman" w:hAnsi="Times New Roman" w:cs="Times New Roman"/>
          <w:sz w:val="24"/>
          <w:szCs w:val="24"/>
        </w:rPr>
      </w:pPr>
    </w:p>
    <w:p w:rsidR="00684D28" w:rsidP="00C362EA">
      <w:pPr>
        <w:spacing w:line="240" w:lineRule="auto"/>
        <w:rPr>
          <w:rFonts w:ascii="Times New Roman" w:hAnsi="Times New Roman" w:cs="Times New Roman"/>
          <w:sz w:val="24"/>
          <w:szCs w:val="24"/>
        </w:rPr>
      </w:pPr>
      <w:r w:rsidRPr="00BF5A91">
        <w:rPr>
          <w:rFonts w:ascii="Times New Roman" w:hAnsi="Times New Roman" w:cs="Times New Roman"/>
          <w:sz w:val="24"/>
          <w:szCs w:val="24"/>
        </w:rPr>
        <w:t>Podprogram 05303 – Výstavba diaľnic a rýchlostných ciest</w:t>
      </w:r>
    </w:p>
    <w:p w:rsidR="00684D28" w:rsidP="00C362EA">
      <w:pPr>
        <w:spacing w:line="240" w:lineRule="auto"/>
        <w:rPr>
          <w:rFonts w:ascii="Times New Roman" w:hAnsi="Times New Roman" w:cs="Times New Roman"/>
          <w:bCs/>
          <w:sz w:val="24"/>
          <w:szCs w:val="24"/>
        </w:rPr>
      </w:pPr>
      <w:r>
        <w:rPr>
          <w:rFonts w:ascii="Times New Roman" w:hAnsi="Times New Roman" w:cs="Times New Roman"/>
          <w:sz w:val="24"/>
          <w:szCs w:val="24"/>
        </w:rPr>
        <w:t>P</w:t>
      </w:r>
      <w:r w:rsidRPr="00BF5A91">
        <w:rPr>
          <w:rFonts w:ascii="Times New Roman" w:hAnsi="Times New Roman" w:cs="Times New Roman"/>
          <w:bCs/>
          <w:sz w:val="24"/>
          <w:szCs w:val="24"/>
        </w:rPr>
        <w:t>rvok 0530302 D1 Mengusovce –</w:t>
      </w:r>
      <w:r>
        <w:rPr>
          <w:rFonts w:ascii="Times New Roman" w:hAnsi="Times New Roman" w:cs="Times New Roman"/>
          <w:bCs/>
          <w:sz w:val="24"/>
          <w:szCs w:val="24"/>
        </w:rPr>
        <w:t xml:space="preserve"> Jánovce (projekt KF)</w:t>
      </w:r>
    </w:p>
    <w:p w:rsidR="00684D28" w:rsidP="00C362EA">
      <w:pPr>
        <w:spacing w:line="240" w:lineRule="auto"/>
        <w:rPr>
          <w:rFonts w:ascii="Times New Roman" w:hAnsi="Times New Roman" w:cs="Times New Roman"/>
          <w:sz w:val="24"/>
          <w:szCs w:val="24"/>
        </w:rPr>
      </w:pPr>
      <w:r>
        <w:rPr>
          <w:rFonts w:ascii="Times New Roman" w:hAnsi="Times New Roman" w:cs="Times New Roman"/>
          <w:bCs/>
          <w:sz w:val="24"/>
          <w:szCs w:val="24"/>
        </w:rPr>
        <w:t>Prvok 0530306 Modernizácia a rozvoj cestnej infraštruktúry – opatrenie 1.2. OP ZI)</w:t>
      </w:r>
      <w:r>
        <w:rPr>
          <w:rFonts w:ascii="Times New Roman" w:hAnsi="Times New Roman" w:cs="Times New Roman"/>
          <w:sz w:val="24"/>
          <w:szCs w:val="24"/>
        </w:rPr>
        <w:t xml:space="preserve"> </w:t>
      </w:r>
    </w:p>
    <w:p w:rsidR="00037B90" w:rsidP="00C362EA">
      <w:pPr>
        <w:spacing w:line="240" w:lineRule="auto"/>
        <w:rPr>
          <w:rFonts w:ascii="Times New Roman" w:hAnsi="Times New Roman" w:cs="Times New Roman"/>
          <w:sz w:val="24"/>
          <w:szCs w:val="24"/>
          <w:u w:val="single"/>
        </w:rPr>
      </w:pPr>
      <w:r w:rsidRPr="00BF5A91" w:rsidR="00684D28">
        <w:rPr>
          <w:rFonts w:ascii="Times New Roman" w:hAnsi="Times New Roman" w:cs="Times New Roman"/>
          <w:sz w:val="24"/>
          <w:szCs w:val="24"/>
          <w:u w:val="single"/>
        </w:rPr>
        <w:t xml:space="preserve">Prostriedky z rozpočtu EÚ a príslušné spolufinancovanie zo štátneho rozpočtu </w:t>
      </w:r>
    </w:p>
    <w:p w:rsidR="00F82884" w:rsidRPr="00067751" w:rsidP="00C362EA">
      <w:pPr>
        <w:spacing w:line="240" w:lineRule="auto"/>
        <w:rPr>
          <w:rFonts w:ascii="Times New Roman" w:hAnsi="Times New Roman" w:cs="Times New Roman"/>
          <w:sz w:val="24"/>
          <w:szCs w:val="24"/>
          <w:u w:val="single"/>
        </w:rPr>
      </w:pPr>
    </w:p>
    <w:p w:rsidR="00684D28" w:rsidRPr="00D04D46" w:rsidP="00C362EA">
      <w:pPr>
        <w:spacing w:line="240" w:lineRule="auto"/>
        <w:rPr>
          <w:rFonts w:ascii="Arial Narrow" w:hAnsi="Arial Narrow" w:cs="Times New Roman"/>
        </w:rPr>
      </w:pPr>
      <w:r>
        <w:rPr>
          <w:rFonts w:ascii="Arial Narrow" w:hAnsi="Arial Narrow" w:cs="Times New Roman"/>
        </w:rPr>
        <w:t xml:space="preserve">                      </w:t>
      </w:r>
      <w:r w:rsidRPr="00D04D46">
        <w:rPr>
          <w:rFonts w:ascii="Arial Narrow" w:hAnsi="Arial Narrow" w:cs="Times New Roman"/>
        </w:rPr>
        <w:t xml:space="preserve">                                                                                                                         </w:t>
      </w:r>
      <w:r>
        <w:rPr>
          <w:rFonts w:ascii="Arial Narrow" w:hAnsi="Arial Narrow" w:cs="Times New Roman"/>
        </w:rPr>
        <w:t xml:space="preserve">                                           </w:t>
      </w:r>
      <w:r>
        <w:rPr>
          <w:rFonts w:ascii="Arial Narrow" w:hAnsi="Arial Narrow" w:cs="Times New Roman"/>
        </w:rPr>
        <w:t xml:space="preserve"> </w:t>
      </w:r>
      <w:r w:rsidRPr="00D04D46">
        <w:rPr>
          <w:rFonts w:ascii="Arial Narrow" w:hAnsi="Arial Narrow" w:cs="Times New Roman"/>
        </w:rPr>
        <w:t>(v Sk)</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Grid>
        <w:gridCol w:w="3528"/>
        <w:gridCol w:w="1800"/>
        <w:gridCol w:w="1800"/>
        <w:gridCol w:w="1872"/>
      </w:tblGrid>
      <w:tr>
        <w:tblPrEx>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auto" w:val="0"/>
        </w:trPr>
        <w:tc>
          <w:tcPr>
            <w:tcW w:w="3528" w:type="dxa"/>
            <w:tcBorders>
              <w:top w:val="single" w:sz="4" w:space="0" w:color="auto"/>
              <w:left w:val="single" w:sz="4" w:space="0" w:color="auto"/>
              <w:bottom w:val="single" w:sz="4" w:space="0" w:color="auto"/>
              <w:right w:val="single" w:sz="4" w:space="0" w:color="auto"/>
              <w:tl2br w:val="nil"/>
              <w:tr2bl w:val="nil"/>
            </w:tcBorders>
            <w:shd w:val="clear" w:color="auto" w:fill="CCCCCC"/>
            <w:textDirection w:val="lrTb"/>
            <w:vAlign w:val="top"/>
          </w:tcPr>
          <w:p w:rsidR="00684D28" w:rsidRPr="00D04D46" w:rsidP="00C362EA">
            <w:pPr>
              <w:spacing w:line="240" w:lineRule="auto"/>
              <w:rPr>
                <w:rFonts w:ascii="Times New Roman" w:hAnsi="Times New Roman" w:cs="Times New Roman"/>
                <w:u w:val="single"/>
              </w:rPr>
            </w:pPr>
          </w:p>
        </w:tc>
        <w:tc>
          <w:tcPr>
            <w:tcW w:w="1800" w:type="dxa"/>
            <w:tcBorders>
              <w:top w:val="single" w:sz="4" w:space="0" w:color="auto"/>
              <w:left w:val="single" w:sz="4" w:space="0" w:color="auto"/>
              <w:bottom w:val="single" w:sz="4" w:space="0" w:color="auto"/>
              <w:right w:val="single" w:sz="4" w:space="0" w:color="auto"/>
              <w:tl2br w:val="nil"/>
              <w:tr2bl w:val="nil"/>
            </w:tcBorders>
            <w:shd w:val="clear" w:color="auto" w:fill="CCCCCC"/>
            <w:textDirection w:val="lrTb"/>
            <w:vAlign w:val="center"/>
          </w:tcPr>
          <w:p w:rsidR="00684D28" w:rsidRPr="00D04D46" w:rsidP="00C362EA">
            <w:pPr>
              <w:spacing w:line="240" w:lineRule="auto"/>
              <w:jc w:val="center"/>
              <w:rPr>
                <w:rFonts w:ascii="Arial Narrow" w:hAnsi="Arial Narrow" w:cs="Times New Roman"/>
              </w:rPr>
            </w:pPr>
            <w:r w:rsidRPr="00D04D46">
              <w:rPr>
                <w:rFonts w:ascii="Arial Narrow" w:hAnsi="Arial Narrow" w:cs="Times New Roman"/>
              </w:rPr>
              <w:t xml:space="preserve">Schválený rozpočet </w:t>
            </w:r>
            <w:r w:rsidR="0022359E">
              <w:rPr>
                <w:rFonts w:ascii="Arial Narrow" w:hAnsi="Arial Narrow" w:cs="Times New Roman"/>
              </w:rPr>
              <w:t>k 1.1.200</w:t>
            </w:r>
            <w:r w:rsidR="00CC31D6">
              <w:rPr>
                <w:rFonts w:ascii="Arial Narrow" w:hAnsi="Arial Narrow" w:cs="Times New Roman"/>
              </w:rPr>
              <w:t>7</w:t>
            </w:r>
          </w:p>
        </w:tc>
        <w:tc>
          <w:tcPr>
            <w:tcW w:w="1800" w:type="dxa"/>
            <w:tcBorders>
              <w:top w:val="single" w:sz="4" w:space="0" w:color="auto"/>
              <w:left w:val="single" w:sz="4" w:space="0" w:color="auto"/>
              <w:bottom w:val="single" w:sz="4" w:space="0" w:color="auto"/>
              <w:right w:val="single" w:sz="4" w:space="0" w:color="auto"/>
              <w:tl2br w:val="nil"/>
              <w:tr2bl w:val="nil"/>
            </w:tcBorders>
            <w:shd w:val="clear" w:color="auto" w:fill="CCCCCC"/>
            <w:textDirection w:val="lrTb"/>
            <w:vAlign w:val="center"/>
          </w:tcPr>
          <w:p w:rsidR="00684D28" w:rsidRPr="00D04D46" w:rsidP="00C362EA">
            <w:pPr>
              <w:spacing w:line="240" w:lineRule="auto"/>
              <w:jc w:val="center"/>
              <w:rPr>
                <w:rFonts w:ascii="Arial Narrow" w:hAnsi="Arial Narrow" w:cs="Times New Roman"/>
              </w:rPr>
            </w:pPr>
            <w:r w:rsidRPr="00D04D46">
              <w:rPr>
                <w:rFonts w:ascii="Arial Narrow" w:hAnsi="Arial Narrow" w:cs="Times New Roman"/>
              </w:rPr>
              <w:t>Upravený rozpočet k 31</w:t>
            </w:r>
            <w:r w:rsidR="0022359E">
              <w:rPr>
                <w:rFonts w:ascii="Arial Narrow" w:hAnsi="Arial Narrow" w:cs="Times New Roman"/>
              </w:rPr>
              <w:t>.12.200</w:t>
            </w:r>
            <w:r w:rsidR="00CC31D6">
              <w:rPr>
                <w:rFonts w:ascii="Arial Narrow" w:hAnsi="Arial Narrow" w:cs="Times New Roman"/>
              </w:rPr>
              <w:t>7</w:t>
            </w:r>
          </w:p>
        </w:tc>
        <w:tc>
          <w:tcPr>
            <w:tcW w:w="1872" w:type="dxa"/>
            <w:tcBorders>
              <w:top w:val="single" w:sz="4" w:space="0" w:color="auto"/>
              <w:left w:val="single" w:sz="4" w:space="0" w:color="auto"/>
              <w:bottom w:val="single" w:sz="4" w:space="0" w:color="auto"/>
              <w:right w:val="single" w:sz="4" w:space="0" w:color="auto"/>
              <w:tl2br w:val="nil"/>
              <w:tr2bl w:val="nil"/>
            </w:tcBorders>
            <w:shd w:val="clear" w:color="auto" w:fill="CCCCCC"/>
            <w:textDirection w:val="lrTb"/>
            <w:vAlign w:val="center"/>
          </w:tcPr>
          <w:p w:rsidR="00684D28" w:rsidRPr="00D04D46" w:rsidP="00C362EA">
            <w:pPr>
              <w:spacing w:line="240" w:lineRule="auto"/>
              <w:jc w:val="center"/>
              <w:rPr>
                <w:rFonts w:ascii="Arial Narrow" w:hAnsi="Arial Narrow" w:cs="Times New Roman"/>
              </w:rPr>
            </w:pPr>
            <w:r w:rsidR="0022359E">
              <w:rPr>
                <w:rFonts w:ascii="Arial Narrow" w:hAnsi="Arial Narrow" w:cs="Times New Roman"/>
              </w:rPr>
              <w:t>Skutočné čerpanie k 31.12.200</w:t>
            </w:r>
            <w:r w:rsidR="00CC31D6">
              <w:rPr>
                <w:rFonts w:ascii="Arial Narrow" w:hAnsi="Arial Narrow" w:cs="Times New Roman"/>
              </w:rPr>
              <w:t>7</w:t>
            </w:r>
          </w:p>
        </w:tc>
      </w:tr>
      <w:tr>
        <w:tblPrEx>
          <w:tblW w:w="9000" w:type="dxa"/>
          <w:tblInd w:w="108" w:type="dxa"/>
        </w:tblPrEx>
        <w:trPr>
          <w:trHeight w:hRule="auto" w:val="0"/>
        </w:trPr>
        <w:tc>
          <w:tcPr>
            <w:tcW w:w="3528"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425E1B" w:rsidRPr="00D04D46" w:rsidP="00C362EA">
            <w:pPr>
              <w:spacing w:line="240" w:lineRule="auto"/>
              <w:rPr>
                <w:rFonts w:ascii="Arial Narrow" w:hAnsi="Arial Narrow" w:cs="Times New Roman"/>
              </w:rPr>
            </w:pPr>
            <w:r>
              <w:rPr>
                <w:rFonts w:ascii="Arial Narrow" w:hAnsi="Arial Narrow" w:cs="Times New Roman"/>
              </w:rPr>
              <w:t>Kapitálové transfery (72</w:t>
            </w:r>
            <w:r w:rsidRPr="00D04D46">
              <w:rPr>
                <w:rFonts w:ascii="Arial Narrow" w:hAnsi="Arial Narrow" w:cs="Times New Roman"/>
              </w:rPr>
              <w:t>0) na výstavbu</w:t>
            </w:r>
            <w:r>
              <w:rPr>
                <w:rFonts w:ascii="Arial Narrow" w:hAnsi="Arial Narrow" w:cs="Times New Roman"/>
              </w:rPr>
              <w:t xml:space="preserve"> diaľnic a rýchlostných ciest – prostriedky EÚ </w:t>
            </w:r>
          </w:p>
        </w:tc>
        <w:tc>
          <w:tcPr>
            <w:tcW w:w="180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425E1B" w:rsidRPr="00D04D46" w:rsidP="00C362EA">
            <w:pPr>
              <w:spacing w:line="240" w:lineRule="auto"/>
              <w:jc w:val="center"/>
              <w:rPr>
                <w:rFonts w:ascii="Arial Narrow" w:hAnsi="Arial Narrow" w:cs="Times New Roman"/>
              </w:rPr>
            </w:pPr>
            <w:r w:rsidR="00CC31D6">
              <w:rPr>
                <w:rFonts w:ascii="Arial Narrow" w:hAnsi="Arial Narrow" w:cs="Times New Roman"/>
              </w:rPr>
              <w:t>1 749 196</w:t>
            </w:r>
            <w:r>
              <w:rPr>
                <w:rFonts w:ascii="Arial Narrow" w:hAnsi="Arial Narrow" w:cs="Times New Roman"/>
              </w:rPr>
              <w:t> 000,00</w:t>
            </w:r>
          </w:p>
        </w:tc>
        <w:tc>
          <w:tcPr>
            <w:tcW w:w="180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425E1B" w:rsidRPr="00D04D46" w:rsidP="00C362EA">
            <w:pPr>
              <w:spacing w:line="240" w:lineRule="auto"/>
              <w:jc w:val="center"/>
              <w:rPr>
                <w:rFonts w:ascii="Arial Narrow" w:hAnsi="Arial Narrow" w:cs="Times New Roman"/>
              </w:rPr>
            </w:pPr>
            <w:r w:rsidR="000C1CC6">
              <w:rPr>
                <w:rFonts w:ascii="Arial Narrow" w:hAnsi="Arial Narrow" w:cs="Times New Roman"/>
              </w:rPr>
              <w:t>2 234 577 615,53</w:t>
            </w:r>
          </w:p>
        </w:tc>
        <w:tc>
          <w:tcPr>
            <w:tcW w:w="1872"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425E1B" w:rsidRPr="00D04D46" w:rsidP="007E4795">
            <w:pPr>
              <w:spacing w:line="240" w:lineRule="auto"/>
              <w:jc w:val="center"/>
              <w:rPr>
                <w:rFonts w:ascii="Arial Narrow" w:hAnsi="Arial Narrow" w:cs="Times New Roman"/>
              </w:rPr>
            </w:pPr>
            <w:r w:rsidR="002A16D4">
              <w:rPr>
                <w:rFonts w:ascii="Arial Narrow" w:hAnsi="Arial Narrow" w:cs="Times New Roman"/>
              </w:rPr>
              <w:t>2 234 577 615,53</w:t>
            </w:r>
          </w:p>
        </w:tc>
      </w:tr>
      <w:tr>
        <w:tblPrEx>
          <w:tblW w:w="9000" w:type="dxa"/>
          <w:tblInd w:w="108" w:type="dxa"/>
        </w:tblPrEx>
        <w:trPr>
          <w:trHeight w:hRule="auto" w:val="0"/>
        </w:trPr>
        <w:tc>
          <w:tcPr>
            <w:tcW w:w="3528"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425E1B" w:rsidP="00C362EA">
            <w:pPr>
              <w:spacing w:line="240" w:lineRule="auto"/>
              <w:rPr>
                <w:rFonts w:ascii="Arial Narrow" w:hAnsi="Arial Narrow" w:cs="Times New Roman"/>
              </w:rPr>
            </w:pPr>
            <w:r>
              <w:rPr>
                <w:rFonts w:ascii="Arial Narrow" w:hAnsi="Arial Narrow" w:cs="Times New Roman"/>
              </w:rPr>
              <w:t>Kap. transfery (</w:t>
            </w:r>
            <w:r>
              <w:rPr>
                <w:rFonts w:ascii="Arial Narrow" w:hAnsi="Arial Narrow" w:cs="Times New Roman"/>
              </w:rPr>
              <w:t>72</w:t>
            </w:r>
            <w:r w:rsidRPr="00D04D46">
              <w:rPr>
                <w:rFonts w:ascii="Arial Narrow" w:hAnsi="Arial Narrow" w:cs="Times New Roman"/>
              </w:rPr>
              <w:t>0) na výstavbu</w:t>
            </w:r>
            <w:r>
              <w:rPr>
                <w:rFonts w:ascii="Arial Narrow" w:hAnsi="Arial Narrow" w:cs="Times New Roman"/>
              </w:rPr>
              <w:t xml:space="preserve"> diaľnic a  rýchl.  ciest – prost. ŠR na spolufinancovania</w:t>
            </w:r>
          </w:p>
        </w:tc>
        <w:tc>
          <w:tcPr>
            <w:tcW w:w="180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425E1B" w:rsidP="00C362EA">
            <w:pPr>
              <w:spacing w:line="240" w:lineRule="auto"/>
              <w:jc w:val="center"/>
              <w:rPr>
                <w:rFonts w:ascii="Arial Narrow" w:hAnsi="Arial Narrow" w:cs="Times New Roman"/>
              </w:rPr>
            </w:pPr>
            <w:r w:rsidR="00CC31D6">
              <w:rPr>
                <w:rFonts w:ascii="Arial Narrow" w:hAnsi="Arial Narrow" w:cs="Times New Roman"/>
              </w:rPr>
              <w:t>514 817</w:t>
            </w:r>
            <w:r>
              <w:rPr>
                <w:rFonts w:ascii="Arial Narrow" w:hAnsi="Arial Narrow" w:cs="Times New Roman"/>
              </w:rPr>
              <w:t> 000,00</w:t>
            </w:r>
          </w:p>
        </w:tc>
        <w:tc>
          <w:tcPr>
            <w:tcW w:w="180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425E1B" w:rsidP="00C362EA">
            <w:pPr>
              <w:spacing w:line="240" w:lineRule="auto"/>
              <w:jc w:val="center"/>
              <w:rPr>
                <w:rFonts w:ascii="Arial Narrow" w:hAnsi="Arial Narrow" w:cs="Times New Roman"/>
              </w:rPr>
            </w:pPr>
            <w:r w:rsidR="000C1CC6">
              <w:rPr>
                <w:rFonts w:ascii="Arial Narrow" w:hAnsi="Arial Narrow" w:cs="Times New Roman"/>
              </w:rPr>
              <w:t>732 197 647,58</w:t>
            </w:r>
          </w:p>
        </w:tc>
        <w:tc>
          <w:tcPr>
            <w:tcW w:w="1872"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425E1B" w:rsidP="007E4795">
            <w:pPr>
              <w:spacing w:line="240" w:lineRule="auto"/>
              <w:jc w:val="center"/>
              <w:rPr>
                <w:rFonts w:ascii="Arial Narrow" w:hAnsi="Arial Narrow" w:cs="Times New Roman"/>
              </w:rPr>
            </w:pPr>
            <w:r w:rsidR="002A16D4">
              <w:rPr>
                <w:rFonts w:ascii="Arial Narrow" w:hAnsi="Arial Narrow" w:cs="Times New Roman"/>
              </w:rPr>
              <w:t>732 197 647,58</w:t>
            </w:r>
          </w:p>
        </w:tc>
      </w:tr>
    </w:tbl>
    <w:p w:rsidR="00684D28" w:rsidP="00C362EA">
      <w:pPr>
        <w:spacing w:line="240" w:lineRule="auto"/>
        <w:rPr>
          <w:rFonts w:ascii="Times New Roman" w:hAnsi="Times New Roman" w:cs="Times New Roman"/>
          <w:b/>
          <w:sz w:val="24"/>
          <w:szCs w:val="24"/>
        </w:rPr>
      </w:pPr>
    </w:p>
    <w:p w:rsidR="00F82884" w:rsidP="00C362EA">
      <w:pPr>
        <w:spacing w:line="240" w:lineRule="auto"/>
        <w:rPr>
          <w:rFonts w:ascii="Times New Roman" w:hAnsi="Times New Roman" w:cs="Times New Roman"/>
          <w:b/>
          <w:sz w:val="24"/>
          <w:szCs w:val="24"/>
        </w:rPr>
      </w:pPr>
    </w:p>
    <w:p w:rsidR="00684D28" w:rsidRPr="008254A6" w:rsidP="00C362EA">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VYHODNOTENIE ČERPANIA </w:t>
      </w:r>
      <w:r w:rsidR="007201F8">
        <w:rPr>
          <w:rFonts w:ascii="Times New Roman" w:hAnsi="Times New Roman" w:cs="Times New Roman"/>
          <w:b/>
          <w:sz w:val="24"/>
          <w:szCs w:val="24"/>
        </w:rPr>
        <w:t xml:space="preserve">POSKYTNUÝCH </w:t>
      </w:r>
      <w:r>
        <w:rPr>
          <w:rFonts w:ascii="Times New Roman" w:hAnsi="Times New Roman" w:cs="Times New Roman"/>
          <w:b/>
          <w:sz w:val="24"/>
          <w:szCs w:val="24"/>
        </w:rPr>
        <w:t>DOTÁCIÍ</w:t>
      </w:r>
    </w:p>
    <w:p w:rsidR="00684D28" w:rsidP="00C362EA">
      <w:pPr>
        <w:spacing w:line="240" w:lineRule="auto"/>
        <w:rPr>
          <w:rFonts w:ascii="Times New Roman" w:hAnsi="Times New Roman" w:cs="Times New Roman"/>
          <w:b/>
          <w:sz w:val="24"/>
          <w:szCs w:val="24"/>
          <w:u w:val="single"/>
        </w:rPr>
      </w:pPr>
    </w:p>
    <w:p w:rsidR="002710B0" w:rsidP="00C362EA">
      <w:pPr>
        <w:spacing w:line="240" w:lineRule="auto"/>
        <w:rPr>
          <w:rFonts w:ascii="Times New Roman" w:hAnsi="Times New Roman" w:cs="Times New Roman"/>
          <w:b/>
          <w:sz w:val="24"/>
          <w:szCs w:val="24"/>
          <w:u w:val="single"/>
        </w:rPr>
      </w:pPr>
    </w:p>
    <w:p w:rsidR="00684D28" w:rsidP="00C362EA">
      <w:pPr>
        <w:spacing w:line="240" w:lineRule="auto"/>
        <w:rPr>
          <w:rFonts w:ascii="Times New Roman" w:hAnsi="Times New Roman" w:cs="Times New Roman"/>
          <w:b/>
          <w:sz w:val="24"/>
          <w:szCs w:val="24"/>
          <w:u w:val="single"/>
        </w:rPr>
      </w:pPr>
      <w:r>
        <w:rPr>
          <w:rFonts w:ascii="Times New Roman" w:hAnsi="Times New Roman" w:cs="Times New Roman"/>
          <w:b/>
          <w:sz w:val="24"/>
          <w:szCs w:val="24"/>
          <w:u w:val="single"/>
        </w:rPr>
        <w:t>1. Bežné transfery (64</w:t>
      </w:r>
      <w:r w:rsidRPr="005B4A41">
        <w:rPr>
          <w:rFonts w:ascii="Times New Roman" w:hAnsi="Times New Roman" w:cs="Times New Roman"/>
          <w:b/>
          <w:sz w:val="24"/>
          <w:szCs w:val="24"/>
          <w:u w:val="single"/>
        </w:rPr>
        <w:t>0) na údržbu a</w:t>
      </w:r>
      <w:r>
        <w:rPr>
          <w:rFonts w:ascii="Times New Roman" w:hAnsi="Times New Roman" w:cs="Times New Roman"/>
          <w:b/>
          <w:sz w:val="24"/>
          <w:szCs w:val="24"/>
          <w:u w:val="single"/>
        </w:rPr>
        <w:t> </w:t>
      </w:r>
      <w:r w:rsidRPr="005B4A41">
        <w:rPr>
          <w:rFonts w:ascii="Times New Roman" w:hAnsi="Times New Roman" w:cs="Times New Roman"/>
          <w:b/>
          <w:sz w:val="24"/>
          <w:szCs w:val="24"/>
          <w:u w:val="single"/>
        </w:rPr>
        <w:t>oprav</w:t>
      </w:r>
      <w:r>
        <w:rPr>
          <w:rFonts w:ascii="Times New Roman" w:hAnsi="Times New Roman" w:cs="Times New Roman"/>
          <w:b/>
          <w:sz w:val="24"/>
          <w:szCs w:val="24"/>
          <w:u w:val="single"/>
        </w:rPr>
        <w:t xml:space="preserve">y diaľnic a rýchlostných ciest </w:t>
      </w:r>
    </w:p>
    <w:p w:rsidR="00684D28" w:rsidP="00C362EA">
      <w:pPr>
        <w:spacing w:line="240" w:lineRule="auto"/>
        <w:rPr>
          <w:rFonts w:ascii="Times New Roman" w:hAnsi="Times New Roman" w:cs="Times New Roman"/>
          <w:b/>
          <w:sz w:val="24"/>
          <w:szCs w:val="24"/>
          <w:u w:val="single"/>
        </w:rPr>
      </w:pPr>
    </w:p>
    <w:p w:rsidR="002710B0" w:rsidP="00C362EA">
      <w:pPr>
        <w:spacing w:line="240" w:lineRule="auto"/>
        <w:rPr>
          <w:rFonts w:ascii="Times New Roman" w:hAnsi="Times New Roman" w:cs="Times New Roman"/>
          <w:b/>
          <w:sz w:val="24"/>
          <w:szCs w:val="24"/>
          <w:u w:val="single"/>
        </w:rPr>
      </w:pPr>
    </w:p>
    <w:p w:rsidR="00684D28" w:rsidP="00C362EA">
      <w:pPr>
        <w:spacing w:line="240" w:lineRule="auto"/>
        <w:rPr>
          <w:rFonts w:ascii="Times New Roman" w:hAnsi="Times New Roman" w:cs="Times New Roman"/>
          <w:sz w:val="24"/>
          <w:szCs w:val="24"/>
        </w:rPr>
      </w:pPr>
      <w:r w:rsidRPr="004F3430">
        <w:rPr>
          <w:rFonts w:ascii="Times New Roman" w:hAnsi="Times New Roman" w:cs="Times New Roman"/>
          <w:b/>
          <w:sz w:val="24"/>
          <w:szCs w:val="24"/>
        </w:rPr>
        <w:tab/>
      </w:r>
      <w:r w:rsidR="007E2789">
        <w:rPr>
          <w:rFonts w:ascii="Times New Roman" w:hAnsi="Times New Roman" w:cs="Times New Roman"/>
          <w:sz w:val="24"/>
          <w:szCs w:val="24"/>
        </w:rPr>
        <w:t xml:space="preserve">NDS, a.s., </w:t>
      </w:r>
      <w:r w:rsidRPr="004F3430">
        <w:rPr>
          <w:rFonts w:ascii="Times New Roman" w:hAnsi="Times New Roman" w:cs="Times New Roman"/>
          <w:sz w:val="24"/>
          <w:szCs w:val="24"/>
        </w:rPr>
        <w:t>na základe mesačného čerpania neinvestičných prostriedkov predkladala MDPT SR žiadosti o poskytnutie dotácií zo štátneho rozpočtu.</w:t>
      </w:r>
      <w:r>
        <w:rPr>
          <w:rFonts w:ascii="Times New Roman" w:hAnsi="Times New Roman" w:cs="Times New Roman"/>
          <w:sz w:val="24"/>
          <w:szCs w:val="24"/>
        </w:rPr>
        <w:t xml:space="preserve"> Výška upraveného rozpoč</w:t>
      </w:r>
      <w:r w:rsidR="00B31913">
        <w:rPr>
          <w:rFonts w:ascii="Times New Roman" w:hAnsi="Times New Roman" w:cs="Times New Roman"/>
          <w:sz w:val="24"/>
          <w:szCs w:val="24"/>
        </w:rPr>
        <w:t>tu k 31.1</w:t>
      </w:r>
      <w:r w:rsidR="007E2789">
        <w:rPr>
          <w:rFonts w:ascii="Times New Roman" w:hAnsi="Times New Roman" w:cs="Times New Roman"/>
          <w:sz w:val="24"/>
          <w:szCs w:val="24"/>
        </w:rPr>
        <w:t>2.2007</w:t>
      </w:r>
      <w:r w:rsidR="00684627">
        <w:rPr>
          <w:rFonts w:ascii="Times New Roman" w:hAnsi="Times New Roman" w:cs="Times New Roman"/>
          <w:sz w:val="24"/>
          <w:szCs w:val="24"/>
        </w:rPr>
        <w:t xml:space="preserve"> predstavovala 960 000 000</w:t>
      </w:r>
      <w:r>
        <w:rPr>
          <w:rFonts w:ascii="Times New Roman" w:hAnsi="Times New Roman" w:cs="Times New Roman"/>
          <w:sz w:val="24"/>
          <w:szCs w:val="24"/>
        </w:rPr>
        <w:t xml:space="preserve">,- Sk, </w:t>
      </w:r>
      <w:r w:rsidR="00D72400">
        <w:rPr>
          <w:rFonts w:ascii="Times New Roman" w:hAnsi="Times New Roman" w:cs="Times New Roman"/>
          <w:sz w:val="24"/>
          <w:szCs w:val="24"/>
        </w:rPr>
        <w:t xml:space="preserve">v </w:t>
      </w:r>
      <w:r>
        <w:rPr>
          <w:rFonts w:ascii="Times New Roman" w:hAnsi="Times New Roman" w:cs="Times New Roman"/>
          <w:sz w:val="24"/>
          <w:szCs w:val="24"/>
        </w:rPr>
        <w:t xml:space="preserve">členení: </w:t>
      </w:r>
    </w:p>
    <w:p w:rsidR="00F82884" w:rsidP="00C362EA">
      <w:pPr>
        <w:spacing w:line="240" w:lineRule="auto"/>
        <w:rPr>
          <w:rFonts w:ascii="Times New Roman" w:hAnsi="Times New Roman" w:cs="Times New Roman"/>
          <w:sz w:val="24"/>
          <w:szCs w:val="24"/>
        </w:rPr>
      </w:pPr>
    </w:p>
    <w:p w:rsidR="002710B0" w:rsidP="00C362EA">
      <w:pPr>
        <w:spacing w:line="240" w:lineRule="auto"/>
        <w:rPr>
          <w:rFonts w:ascii="Times New Roman" w:hAnsi="Times New Roman" w:cs="Times New Roman"/>
          <w:sz w:val="24"/>
          <w:szCs w:val="24"/>
        </w:rPr>
      </w:pPr>
    </w:p>
    <w:p w:rsidR="00684D28" w:rsidP="00C362EA">
      <w:pPr>
        <w:spacing w:line="240" w:lineRule="auto"/>
        <w:ind w:firstLine="709"/>
        <w:rPr>
          <w:rFonts w:ascii="Times New Roman" w:hAnsi="Times New Roman" w:cs="Times New Roman"/>
          <w:sz w:val="24"/>
          <w:szCs w:val="24"/>
        </w:rPr>
      </w:pPr>
      <w:r>
        <w:rPr>
          <w:rFonts w:ascii="Times New Roman" w:hAnsi="Times New Roman" w:cs="Times New Roman"/>
          <w:sz w:val="24"/>
          <w:szCs w:val="24"/>
        </w:rPr>
        <w:t>Mzdy, platy, služobné príjmy a OOV.......</w:t>
      </w:r>
      <w:r>
        <w:rPr>
          <w:rFonts w:ascii="Times New Roman" w:hAnsi="Times New Roman" w:cs="Times New Roman"/>
          <w:sz w:val="24"/>
          <w:szCs w:val="24"/>
        </w:rPr>
        <w:t>.............</w:t>
      </w:r>
      <w:r w:rsidR="00684627">
        <w:rPr>
          <w:rFonts w:ascii="Times New Roman" w:hAnsi="Times New Roman" w:cs="Times New Roman"/>
          <w:sz w:val="24"/>
          <w:szCs w:val="24"/>
        </w:rPr>
        <w:t>.........................155 497</w:t>
      </w:r>
      <w:r>
        <w:rPr>
          <w:rFonts w:ascii="Times New Roman" w:hAnsi="Times New Roman" w:cs="Times New Roman"/>
          <w:sz w:val="24"/>
          <w:szCs w:val="24"/>
        </w:rPr>
        <w:t> 000,- Sk</w:t>
      </w:r>
    </w:p>
    <w:p w:rsidR="00684D28" w:rsidP="00C362EA">
      <w:pPr>
        <w:spacing w:line="240" w:lineRule="auto"/>
        <w:ind w:firstLine="709"/>
        <w:rPr>
          <w:rFonts w:ascii="Times New Roman" w:hAnsi="Times New Roman" w:cs="Times New Roman"/>
          <w:sz w:val="24"/>
          <w:szCs w:val="24"/>
        </w:rPr>
      </w:pPr>
      <w:r>
        <w:rPr>
          <w:rFonts w:ascii="Times New Roman" w:hAnsi="Times New Roman" w:cs="Times New Roman"/>
          <w:sz w:val="24"/>
          <w:szCs w:val="24"/>
        </w:rPr>
        <w:t>Poistné a príspevok do poisťovní............................</w:t>
      </w:r>
      <w:r w:rsidR="00684627">
        <w:rPr>
          <w:rFonts w:ascii="Times New Roman" w:hAnsi="Times New Roman" w:cs="Times New Roman"/>
          <w:sz w:val="24"/>
          <w:szCs w:val="24"/>
        </w:rPr>
        <w:t>..........................54 347</w:t>
      </w:r>
      <w:r>
        <w:rPr>
          <w:rFonts w:ascii="Times New Roman" w:hAnsi="Times New Roman" w:cs="Times New Roman"/>
          <w:sz w:val="24"/>
          <w:szCs w:val="24"/>
        </w:rPr>
        <w:t> 000,- Sk</w:t>
      </w:r>
    </w:p>
    <w:p w:rsidR="00684D28" w:rsidP="00C362EA">
      <w:pPr>
        <w:spacing w:line="240" w:lineRule="auto"/>
        <w:ind w:firstLine="709"/>
        <w:rPr>
          <w:rFonts w:ascii="Times New Roman" w:hAnsi="Times New Roman" w:cs="Times New Roman"/>
          <w:sz w:val="24"/>
          <w:szCs w:val="24"/>
        </w:rPr>
      </w:pPr>
      <w:r>
        <w:rPr>
          <w:rFonts w:ascii="Times New Roman" w:hAnsi="Times New Roman" w:cs="Times New Roman"/>
          <w:sz w:val="24"/>
          <w:szCs w:val="24"/>
        </w:rPr>
        <w:t>Tovary a služby.......................................................</w:t>
      </w:r>
      <w:r w:rsidR="00684627">
        <w:rPr>
          <w:rFonts w:ascii="Times New Roman" w:hAnsi="Times New Roman" w:cs="Times New Roman"/>
          <w:sz w:val="24"/>
          <w:szCs w:val="24"/>
        </w:rPr>
        <w:t xml:space="preserve">..........................37 </w:t>
      </w:r>
      <w:r w:rsidR="00684627">
        <w:rPr>
          <w:rFonts w:ascii="Times New Roman" w:hAnsi="Times New Roman" w:cs="Times New Roman"/>
          <w:sz w:val="24"/>
          <w:szCs w:val="24"/>
        </w:rPr>
        <w:t xml:space="preserve">337 </w:t>
      </w:r>
      <w:r>
        <w:rPr>
          <w:rFonts w:ascii="Times New Roman" w:hAnsi="Times New Roman" w:cs="Times New Roman"/>
          <w:sz w:val="24"/>
          <w:szCs w:val="24"/>
        </w:rPr>
        <w:t>000,- Sk</w:t>
      </w:r>
    </w:p>
    <w:p w:rsidR="00684D28" w:rsidP="00C362EA">
      <w:pPr>
        <w:spacing w:line="240" w:lineRule="auto"/>
        <w:ind w:firstLine="709"/>
        <w:rPr>
          <w:rFonts w:ascii="Times New Roman" w:hAnsi="Times New Roman" w:cs="Times New Roman"/>
          <w:sz w:val="24"/>
          <w:szCs w:val="24"/>
        </w:rPr>
      </w:pPr>
      <w:r>
        <w:rPr>
          <w:rFonts w:ascii="Times New Roman" w:hAnsi="Times New Roman" w:cs="Times New Roman"/>
          <w:sz w:val="24"/>
          <w:szCs w:val="24"/>
        </w:rPr>
        <w:t>Výdavky na údržbu, prípravu a realizáciu RC</w:t>
      </w:r>
      <w:r w:rsidR="00684627">
        <w:rPr>
          <w:rFonts w:ascii="Times New Roman" w:hAnsi="Times New Roman" w:cs="Times New Roman"/>
          <w:sz w:val="24"/>
          <w:szCs w:val="24"/>
        </w:rPr>
        <w:t xml:space="preserve"> – SSÚD..................510 819</w:t>
      </w:r>
      <w:r>
        <w:rPr>
          <w:rFonts w:ascii="Times New Roman" w:hAnsi="Times New Roman" w:cs="Times New Roman"/>
          <w:sz w:val="24"/>
          <w:szCs w:val="24"/>
        </w:rPr>
        <w:t> 000,- Sk</w:t>
      </w:r>
    </w:p>
    <w:p w:rsidR="00037B90" w:rsidRPr="00B5507A" w:rsidP="00B5507A">
      <w:pPr>
        <w:spacing w:line="240" w:lineRule="auto"/>
        <w:ind w:firstLine="709"/>
        <w:rPr>
          <w:rFonts w:ascii="Times New Roman" w:hAnsi="Times New Roman" w:cs="Times New Roman"/>
          <w:sz w:val="24"/>
          <w:szCs w:val="24"/>
        </w:rPr>
      </w:pPr>
      <w:r w:rsidR="00684D28">
        <w:rPr>
          <w:rFonts w:ascii="Times New Roman" w:hAnsi="Times New Roman" w:cs="Times New Roman"/>
          <w:sz w:val="24"/>
          <w:szCs w:val="24"/>
        </w:rPr>
        <w:t>Výdavky na údržbu, prípravu a realizáciu RC</w:t>
      </w:r>
      <w:r w:rsidR="00684627">
        <w:rPr>
          <w:rFonts w:ascii="Times New Roman" w:hAnsi="Times New Roman" w:cs="Times New Roman"/>
          <w:sz w:val="24"/>
          <w:szCs w:val="24"/>
        </w:rPr>
        <w:t xml:space="preserve"> – SSÚR..................202 000</w:t>
      </w:r>
      <w:r w:rsidR="00684D28">
        <w:rPr>
          <w:rFonts w:ascii="Times New Roman" w:hAnsi="Times New Roman" w:cs="Times New Roman"/>
          <w:sz w:val="24"/>
          <w:szCs w:val="24"/>
        </w:rPr>
        <w:t xml:space="preserve"> 000,- Sk </w:t>
      </w:r>
    </w:p>
    <w:p w:rsidR="00F82884" w:rsidP="00C362EA">
      <w:pPr>
        <w:spacing w:line="240" w:lineRule="auto"/>
        <w:ind w:firstLine="709"/>
        <w:rPr>
          <w:rFonts w:ascii="Times New Roman" w:hAnsi="Times New Roman" w:cs="Times New Roman"/>
          <w:b/>
          <w:sz w:val="24"/>
          <w:szCs w:val="24"/>
        </w:rPr>
      </w:pPr>
    </w:p>
    <w:p w:rsidR="00684D28" w:rsidP="00C362EA">
      <w:pPr>
        <w:spacing w:line="240" w:lineRule="auto"/>
        <w:ind w:firstLine="709"/>
        <w:rPr>
          <w:rFonts w:ascii="Times New Roman" w:hAnsi="Times New Roman" w:cs="Times New Roman"/>
          <w:b/>
          <w:sz w:val="24"/>
          <w:szCs w:val="24"/>
        </w:rPr>
      </w:pPr>
      <w:r w:rsidRPr="00077767">
        <w:rPr>
          <w:rFonts w:ascii="Times New Roman" w:hAnsi="Times New Roman" w:cs="Times New Roman"/>
          <w:b/>
          <w:sz w:val="24"/>
          <w:szCs w:val="24"/>
        </w:rPr>
        <w:t>S P O L U</w:t>
      </w:r>
      <w:r>
        <w:rPr>
          <w:rFonts w:ascii="Times New Roman" w:hAnsi="Times New Roman" w:cs="Times New Roman"/>
          <w:sz w:val="24"/>
          <w:szCs w:val="24"/>
        </w:rPr>
        <w:t>:.............................................................</w:t>
      </w:r>
      <w:r>
        <w:rPr>
          <w:rFonts w:ascii="Times New Roman" w:hAnsi="Times New Roman" w:cs="Times New Roman"/>
          <w:sz w:val="24"/>
          <w:szCs w:val="24"/>
        </w:rPr>
        <w:t>.........................</w:t>
      </w:r>
      <w:r w:rsidR="00B31913">
        <w:rPr>
          <w:rFonts w:ascii="Times New Roman" w:hAnsi="Times New Roman" w:cs="Times New Roman"/>
          <w:sz w:val="24"/>
          <w:szCs w:val="24"/>
        </w:rPr>
        <w:t>.</w:t>
      </w:r>
      <w:r w:rsidR="00684627">
        <w:rPr>
          <w:rFonts w:ascii="Times New Roman" w:hAnsi="Times New Roman" w:cs="Times New Roman"/>
          <w:b/>
          <w:sz w:val="24"/>
          <w:szCs w:val="24"/>
        </w:rPr>
        <w:t>960</w:t>
      </w:r>
      <w:r w:rsidRPr="00077767">
        <w:rPr>
          <w:rFonts w:ascii="Times New Roman" w:hAnsi="Times New Roman" w:cs="Times New Roman"/>
          <w:b/>
          <w:sz w:val="24"/>
          <w:szCs w:val="24"/>
        </w:rPr>
        <w:t> </w:t>
      </w:r>
      <w:r w:rsidR="00684627">
        <w:rPr>
          <w:rFonts w:ascii="Times New Roman" w:hAnsi="Times New Roman" w:cs="Times New Roman"/>
          <w:b/>
          <w:sz w:val="24"/>
          <w:szCs w:val="24"/>
        </w:rPr>
        <w:t>000</w:t>
      </w:r>
      <w:r w:rsidR="00B31913">
        <w:rPr>
          <w:rFonts w:ascii="Times New Roman" w:hAnsi="Times New Roman" w:cs="Times New Roman"/>
          <w:b/>
          <w:sz w:val="24"/>
          <w:szCs w:val="24"/>
        </w:rPr>
        <w:t xml:space="preserve"> </w:t>
      </w:r>
      <w:r w:rsidRPr="00077767">
        <w:rPr>
          <w:rFonts w:ascii="Times New Roman" w:hAnsi="Times New Roman" w:cs="Times New Roman"/>
          <w:b/>
          <w:sz w:val="24"/>
          <w:szCs w:val="24"/>
        </w:rPr>
        <w:t>000,- Sk</w:t>
      </w:r>
    </w:p>
    <w:p w:rsidR="00F82884" w:rsidP="006F5B00">
      <w:pPr>
        <w:spacing w:line="240" w:lineRule="auto"/>
        <w:rPr>
          <w:rFonts w:ascii="Times New Roman" w:hAnsi="Times New Roman" w:cs="Times New Roman"/>
          <w:sz w:val="24"/>
          <w:szCs w:val="24"/>
        </w:rPr>
      </w:pPr>
    </w:p>
    <w:p w:rsidR="002710B0" w:rsidP="006F5B00">
      <w:pPr>
        <w:spacing w:line="240" w:lineRule="auto"/>
        <w:rPr>
          <w:rFonts w:ascii="Times New Roman" w:hAnsi="Times New Roman" w:cs="Times New Roman"/>
          <w:sz w:val="24"/>
          <w:szCs w:val="24"/>
        </w:rPr>
      </w:pPr>
    </w:p>
    <w:p w:rsidR="00684D28" w:rsidP="00C362EA">
      <w:pPr>
        <w:spacing w:line="240" w:lineRule="auto"/>
        <w:ind w:firstLine="709"/>
        <w:rPr>
          <w:rFonts w:ascii="Times New Roman" w:hAnsi="Times New Roman" w:cs="Times New Roman"/>
          <w:sz w:val="24"/>
        </w:rPr>
      </w:pPr>
      <w:r w:rsidRPr="00077767">
        <w:rPr>
          <w:rFonts w:ascii="Times New Roman" w:hAnsi="Times New Roman" w:cs="Times New Roman"/>
          <w:sz w:val="24"/>
          <w:szCs w:val="24"/>
        </w:rPr>
        <w:t xml:space="preserve">NDS, a.s. v roku </w:t>
      </w:r>
      <w:r w:rsidR="00D4157C">
        <w:rPr>
          <w:rFonts w:ascii="Times New Roman" w:hAnsi="Times New Roman" w:cs="Times New Roman"/>
          <w:sz w:val="24"/>
          <w:szCs w:val="24"/>
        </w:rPr>
        <w:t>2007</w:t>
      </w:r>
      <w:r>
        <w:rPr>
          <w:rFonts w:ascii="Times New Roman" w:hAnsi="Times New Roman" w:cs="Times New Roman"/>
          <w:sz w:val="24"/>
          <w:szCs w:val="24"/>
        </w:rPr>
        <w:t xml:space="preserve"> vyčerpala </w:t>
      </w:r>
      <w:r w:rsidRPr="00077767">
        <w:rPr>
          <w:rFonts w:ascii="Times New Roman" w:hAnsi="Times New Roman" w:cs="Times New Roman"/>
          <w:sz w:val="24"/>
          <w:szCs w:val="24"/>
        </w:rPr>
        <w:t xml:space="preserve">neinvestičné prostriedky pridelené z MDPT SR v plnej výške </w:t>
      </w:r>
      <w:r w:rsidR="00D4157C">
        <w:rPr>
          <w:rFonts w:ascii="Times New Roman" w:hAnsi="Times New Roman" w:cs="Times New Roman"/>
          <w:sz w:val="24"/>
          <w:szCs w:val="24"/>
        </w:rPr>
        <w:t>960 000</w:t>
      </w:r>
      <w:r w:rsidRPr="00AB1F6D">
        <w:rPr>
          <w:rFonts w:ascii="Times New Roman" w:hAnsi="Times New Roman" w:cs="Times New Roman"/>
          <w:sz w:val="24"/>
          <w:szCs w:val="24"/>
        </w:rPr>
        <w:t> 000,- Sk</w:t>
      </w:r>
      <w:r>
        <w:rPr>
          <w:rFonts w:ascii="Times New Roman" w:hAnsi="Times New Roman" w:cs="Times New Roman"/>
          <w:sz w:val="24"/>
          <w:szCs w:val="24"/>
        </w:rPr>
        <w:t xml:space="preserve"> </w:t>
      </w:r>
      <w:r w:rsidRPr="00077767">
        <w:rPr>
          <w:rFonts w:ascii="Times New Roman" w:hAnsi="Times New Roman" w:cs="Times New Roman"/>
          <w:sz w:val="24"/>
          <w:szCs w:val="24"/>
        </w:rPr>
        <w:t>v predpísanom členení.</w:t>
      </w:r>
      <w:r>
        <w:rPr>
          <w:rFonts w:ascii="Times New Roman" w:hAnsi="Times New Roman" w:cs="Times New Roman"/>
          <w:sz w:val="24"/>
          <w:szCs w:val="24"/>
        </w:rPr>
        <w:t xml:space="preserve"> Vyhodnotenie splnenia plánovaného % -ta štandardu údržby je uvedené vo vyhodnotení programovej štruktúry. V rámci opráv vozoviek diaľnic a rýchlostných ciest boli v</w:t>
      </w:r>
      <w:r w:rsidR="00D4157C">
        <w:rPr>
          <w:rFonts w:ascii="Times New Roman" w:hAnsi="Times New Roman" w:cs="Times New Roman"/>
          <w:sz w:val="24"/>
          <w:szCs w:val="24"/>
        </w:rPr>
        <w:t> roku 2007</w:t>
      </w:r>
      <w:r>
        <w:rPr>
          <w:rFonts w:ascii="Times New Roman" w:hAnsi="Times New Roman" w:cs="Times New Roman"/>
          <w:sz w:val="24"/>
          <w:szCs w:val="24"/>
        </w:rPr>
        <w:t xml:space="preserve"> </w:t>
      </w:r>
      <w:r w:rsidR="00F37FD4">
        <w:rPr>
          <w:rFonts w:ascii="Times New Roman" w:hAnsi="Times New Roman" w:cs="Times New Roman"/>
          <w:sz w:val="24"/>
          <w:szCs w:val="24"/>
        </w:rPr>
        <w:t xml:space="preserve">zo štátneho rozpočtu </w:t>
      </w:r>
      <w:r>
        <w:rPr>
          <w:rFonts w:ascii="Times New Roman" w:hAnsi="Times New Roman" w:cs="Times New Roman"/>
          <w:sz w:val="24"/>
          <w:szCs w:val="24"/>
        </w:rPr>
        <w:t xml:space="preserve">vykonané </w:t>
      </w:r>
      <w:r>
        <w:rPr>
          <w:rFonts w:ascii="Times New Roman" w:hAnsi="Times New Roman" w:cs="Times New Roman"/>
          <w:sz w:val="24"/>
        </w:rPr>
        <w:t>opra</w:t>
      </w:r>
      <w:r w:rsidR="00B31913">
        <w:rPr>
          <w:rFonts w:ascii="Times New Roman" w:hAnsi="Times New Roman" w:cs="Times New Roman"/>
          <w:sz w:val="24"/>
        </w:rPr>
        <w:t xml:space="preserve">vy na plánovaných úsekoch diaľnic a rýchlostných ciest </w:t>
      </w:r>
      <w:r>
        <w:rPr>
          <w:rFonts w:ascii="Times New Roman" w:hAnsi="Times New Roman" w:cs="Times New Roman"/>
          <w:sz w:val="24"/>
        </w:rPr>
        <w:t xml:space="preserve">v dĺžke </w:t>
      </w:r>
      <w:r w:rsidR="000B43BE">
        <w:rPr>
          <w:rFonts w:ascii="Times New Roman" w:hAnsi="Times New Roman" w:cs="Times New Roman"/>
          <w:sz w:val="24"/>
          <w:u w:val="single"/>
        </w:rPr>
        <w:t>63,1</w:t>
      </w:r>
      <w:r w:rsidRPr="009E3674">
        <w:rPr>
          <w:rFonts w:ascii="Times New Roman" w:hAnsi="Times New Roman" w:cs="Times New Roman"/>
          <w:sz w:val="24"/>
          <w:u w:val="single"/>
        </w:rPr>
        <w:t xml:space="preserve"> km</w:t>
      </w:r>
      <w:r>
        <w:rPr>
          <w:rFonts w:ascii="Times New Roman" w:hAnsi="Times New Roman" w:cs="Times New Roman"/>
          <w:sz w:val="24"/>
        </w:rPr>
        <w:t xml:space="preserve"> jazdných pásov, ktoré tým prešli do kvalifikačného stupň</w:t>
      </w:r>
      <w:r>
        <w:rPr>
          <w:rFonts w:ascii="Times New Roman" w:hAnsi="Times New Roman" w:cs="Times New Roman"/>
          <w:sz w:val="24"/>
        </w:rPr>
        <w:t>a 1. Boli to nasledovné úseky:</w:t>
      </w:r>
    </w:p>
    <w:p w:rsidR="00037B90" w:rsidP="002627FD">
      <w:pPr>
        <w:autoSpaceDE/>
        <w:autoSpaceDN/>
        <w:spacing w:line="240" w:lineRule="auto"/>
        <w:ind w:firstLine="709"/>
        <w:textAlignment w:val="auto"/>
        <w:rPr>
          <w:rFonts w:ascii="Times New Roman" w:hAnsi="Times New Roman" w:cs="Times New Roman"/>
          <w:sz w:val="24"/>
          <w:u w:val="single"/>
        </w:rPr>
      </w:pPr>
    </w:p>
    <w:p w:rsidR="00886564" w:rsidRPr="006F5B00" w:rsidP="006F5B00">
      <w:pPr>
        <w:autoSpaceDE/>
        <w:autoSpaceDN/>
        <w:spacing w:before="120" w:after="120" w:line="360" w:lineRule="auto"/>
        <w:ind w:firstLine="709"/>
        <w:textAlignment w:val="auto"/>
        <w:rPr>
          <w:rFonts w:ascii="Times New Roman" w:hAnsi="Times New Roman" w:cs="Times New Roman"/>
          <w:b/>
          <w:sz w:val="22"/>
          <w:szCs w:val="22"/>
          <w:u w:val="single"/>
        </w:rPr>
      </w:pPr>
      <w:r w:rsidRPr="006F5B00" w:rsidR="00B31913">
        <w:rPr>
          <w:rFonts w:ascii="Times New Roman" w:hAnsi="Times New Roman" w:cs="Times New Roman"/>
          <w:b/>
          <w:sz w:val="22"/>
          <w:szCs w:val="22"/>
          <w:u w:val="single"/>
        </w:rPr>
        <w:t xml:space="preserve">Diaľnice: </w:t>
      </w:r>
    </w:p>
    <w:p w:rsidR="00886564" w:rsidRPr="00886564" w:rsidP="000B43BE">
      <w:pPr>
        <w:pStyle w:val="PlainText"/>
        <w:spacing w:before="120" w:after="120" w:line="360" w:lineRule="auto"/>
        <w:rPr>
          <w:rFonts w:ascii="Times New Roman" w:hAnsi="Times New Roman" w:cs="Times New Roman"/>
          <w:b/>
          <w:sz w:val="24"/>
        </w:rPr>
      </w:pPr>
      <w:r w:rsidRPr="00886564">
        <w:rPr>
          <w:rFonts w:ascii="Times New Roman" w:hAnsi="Times New Roman" w:cs="Times New Roman"/>
          <w:b/>
          <w:sz w:val="24"/>
        </w:rPr>
        <w:t xml:space="preserve">1. D2 hranica SR/ČR – Bratislava:                        </w:t>
      </w:r>
      <w:r>
        <w:rPr>
          <w:rFonts w:ascii="Times New Roman" w:hAnsi="Times New Roman" w:cs="Times New Roman"/>
          <w:b/>
          <w:sz w:val="24"/>
        </w:rPr>
        <w:t xml:space="preserve"> </w:t>
      </w:r>
      <w:r w:rsidR="00803A26">
        <w:rPr>
          <w:rFonts w:ascii="Times New Roman" w:hAnsi="Times New Roman" w:cs="Times New Roman"/>
          <w:b/>
          <w:sz w:val="24"/>
        </w:rPr>
        <w:t xml:space="preserve"> </w:t>
      </w:r>
      <w:r w:rsidRPr="00886564">
        <w:rPr>
          <w:rFonts w:ascii="Times New Roman" w:hAnsi="Times New Roman" w:cs="Times New Roman"/>
          <w:b/>
          <w:sz w:val="24"/>
        </w:rPr>
        <w:t>2. D1 Bratislava – Horná Streda:</w:t>
      </w:r>
    </w:p>
    <w:p w:rsidR="00886564" w:rsidP="000B43BE">
      <w:pPr>
        <w:pStyle w:val="PlainText"/>
        <w:spacing w:before="120" w:after="120" w:line="360" w:lineRule="auto"/>
        <w:rPr>
          <w:rFonts w:ascii="Times New Roman" w:hAnsi="Times New Roman" w:cs="Times New Roman"/>
          <w:sz w:val="24"/>
        </w:rPr>
      </w:pPr>
      <w:r>
        <w:rPr>
          <w:rFonts w:ascii="Times New Roman" w:hAnsi="Times New Roman" w:cs="Times New Roman"/>
          <w:sz w:val="24"/>
        </w:rPr>
        <w:t>ĽJP km 66,2 – km 65,2 = 1,0 km</w:t>
      </w:r>
      <w:r w:rsidRPr="00886564">
        <w:rPr>
          <w:rFonts w:ascii="Times New Roman" w:hAnsi="Times New Roman" w:cs="Times New Roman"/>
          <w:sz w:val="24"/>
        </w:rPr>
        <w:t xml:space="preserve"> </w:t>
      </w:r>
      <w:r>
        <w:rPr>
          <w:rFonts w:ascii="Times New Roman" w:hAnsi="Times New Roman" w:cs="Times New Roman"/>
          <w:sz w:val="24"/>
        </w:rPr>
        <w:t xml:space="preserve">                               PJP km 30,7 – km 32,5 = 1,8 km</w:t>
      </w:r>
    </w:p>
    <w:p w:rsidR="00886564" w:rsidP="000B43BE">
      <w:pPr>
        <w:pStyle w:val="PlainText"/>
        <w:spacing w:before="120" w:after="120" w:line="360" w:lineRule="auto"/>
        <w:rPr>
          <w:rFonts w:ascii="Times New Roman" w:hAnsi="Times New Roman" w:cs="Times New Roman"/>
          <w:sz w:val="24"/>
        </w:rPr>
      </w:pPr>
      <w:r>
        <w:rPr>
          <w:rFonts w:ascii="Times New Roman" w:hAnsi="Times New Roman" w:cs="Times New Roman"/>
          <w:sz w:val="24"/>
        </w:rPr>
        <w:t xml:space="preserve">PJP km 66,0 – km 67,7 = 1,7 </w:t>
      </w:r>
      <w:r>
        <w:rPr>
          <w:rFonts w:ascii="Times New Roman" w:hAnsi="Times New Roman" w:cs="Times New Roman"/>
          <w:sz w:val="24"/>
        </w:rPr>
        <w:t>km</w:t>
      </w:r>
      <w:r w:rsidRPr="00886564">
        <w:rPr>
          <w:rFonts w:ascii="Times New Roman" w:hAnsi="Times New Roman" w:cs="Times New Roman"/>
          <w:sz w:val="24"/>
        </w:rPr>
        <w:t xml:space="preserve"> </w:t>
      </w:r>
      <w:r>
        <w:rPr>
          <w:rFonts w:ascii="Times New Roman" w:hAnsi="Times New Roman" w:cs="Times New Roman"/>
          <w:sz w:val="24"/>
        </w:rPr>
        <w:t xml:space="preserve">                               PJP km 18,5 – km 19,0 = 0,5 km</w:t>
      </w:r>
    </w:p>
    <w:p w:rsidR="00886564" w:rsidP="000B43BE">
      <w:pPr>
        <w:pStyle w:val="PlainText"/>
        <w:spacing w:before="120" w:after="120" w:line="360" w:lineRule="auto"/>
        <w:rPr>
          <w:rFonts w:ascii="Times New Roman" w:hAnsi="Times New Roman" w:cs="Times New Roman"/>
          <w:sz w:val="24"/>
        </w:rPr>
      </w:pPr>
      <w:r>
        <w:rPr>
          <w:rFonts w:ascii="Times New Roman" w:hAnsi="Times New Roman" w:cs="Times New Roman"/>
          <w:sz w:val="24"/>
        </w:rPr>
        <w:t>PJP km 89,6 – km 90,5 = 0,9 km                                PJP km 19,5 – km 26,3 = 6,8 km</w:t>
      </w:r>
    </w:p>
    <w:p w:rsidR="00886564" w:rsidP="000B43BE">
      <w:pPr>
        <w:pStyle w:val="PlainText"/>
        <w:spacing w:before="120" w:after="120" w:line="360" w:lineRule="auto"/>
        <w:rPr>
          <w:rFonts w:ascii="Times New Roman" w:hAnsi="Times New Roman" w:cs="Times New Roman"/>
          <w:sz w:val="24"/>
        </w:rPr>
      </w:pPr>
      <w:r>
        <w:rPr>
          <w:rFonts w:ascii="Times New Roman" w:hAnsi="Times New Roman" w:cs="Times New Roman"/>
          <w:sz w:val="24"/>
        </w:rPr>
        <w:t>PJP km 36,7 – km 38,5 = 1,8 km                                ĽJP km 77,5 – km 70,6 = 6,9 km</w:t>
      </w:r>
    </w:p>
    <w:p w:rsidR="00886564" w:rsidP="000B43BE">
      <w:pPr>
        <w:pStyle w:val="PlainText"/>
        <w:spacing w:before="120" w:after="120" w:line="360" w:lineRule="auto"/>
        <w:rPr>
          <w:rFonts w:ascii="Times New Roman" w:hAnsi="Times New Roman" w:cs="Times New Roman"/>
          <w:sz w:val="24"/>
        </w:rPr>
      </w:pPr>
      <w:r>
        <w:rPr>
          <w:rFonts w:ascii="Times New Roman" w:hAnsi="Times New Roman" w:cs="Times New Roman"/>
          <w:sz w:val="24"/>
        </w:rPr>
        <w:t xml:space="preserve">Vetvy križovatky Lamač 1,0 km                                 ĽJP km 94,0 – km 91,5 = </w:t>
      </w:r>
      <w:smartTag w:uri="urn:schemas-microsoft-com:office:smarttags" w:element="metricconverter">
        <w:smartTagPr>
          <w:attr w:name="ProductID" w:val="2,5 km"/>
        </w:smartTagPr>
        <w:r>
          <w:rPr>
            <w:rFonts w:ascii="Times New Roman" w:hAnsi="Times New Roman" w:cs="Times New Roman"/>
            <w:sz w:val="24"/>
          </w:rPr>
          <w:t>2,5 km</w:t>
        </w:r>
      </w:smartTag>
    </w:p>
    <w:p w:rsidR="00886564" w:rsidP="000B43BE">
      <w:pPr>
        <w:pStyle w:val="PlainText"/>
        <w:spacing w:before="120" w:after="120" w:line="360" w:lineRule="auto"/>
        <w:rPr>
          <w:rFonts w:ascii="Times New Roman" w:hAnsi="Times New Roman" w:cs="Times New Roman"/>
          <w:sz w:val="24"/>
        </w:rPr>
      </w:pPr>
      <w:r>
        <w:rPr>
          <w:rFonts w:ascii="Times New Roman" w:hAnsi="Times New Roman" w:cs="Times New Roman"/>
          <w:sz w:val="24"/>
        </w:rPr>
        <w:t xml:space="preserve">Spolu: 6,4 km                                                              ĽJP km 38,9 – km 34,9 = </w:t>
      </w:r>
      <w:smartTag w:uri="urn:schemas-microsoft-com:office:smarttags" w:element="metricconverter">
        <w:smartTagPr>
          <w:attr w:name="ProductID" w:val="4,0 km"/>
        </w:smartTagPr>
        <w:r>
          <w:rPr>
            <w:rFonts w:ascii="Times New Roman" w:hAnsi="Times New Roman" w:cs="Times New Roman"/>
            <w:sz w:val="24"/>
          </w:rPr>
          <w:t>4,0 km</w:t>
        </w:r>
      </w:smartTag>
    </w:p>
    <w:p w:rsidR="00886564" w:rsidP="000B43BE">
      <w:pPr>
        <w:pStyle w:val="PlainText"/>
        <w:spacing w:before="120" w:after="120" w:line="360" w:lineRule="auto"/>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rPr>
        <w:t xml:space="preserve">                      </w:t>
      </w:r>
      <w:r w:rsidR="00803A26">
        <w:rPr>
          <w:rFonts w:ascii="Times New Roman" w:hAnsi="Times New Roman" w:cs="Times New Roman"/>
          <w:sz w:val="24"/>
        </w:rPr>
        <w:t xml:space="preserve"> </w:t>
      </w:r>
      <w:r>
        <w:rPr>
          <w:rFonts w:ascii="Times New Roman" w:hAnsi="Times New Roman" w:cs="Times New Roman"/>
          <w:sz w:val="24"/>
        </w:rPr>
        <w:t xml:space="preserve">Vetvy križovatky Trnava </w:t>
      </w:r>
      <w:smartTag w:uri="urn:schemas-microsoft-com:office:smarttags" w:element="metricconverter">
        <w:smartTagPr>
          <w:attr w:name="ProductID" w:val="2,3 km"/>
        </w:smartTagPr>
        <w:r>
          <w:rPr>
            <w:rFonts w:ascii="Times New Roman" w:hAnsi="Times New Roman" w:cs="Times New Roman"/>
            <w:sz w:val="24"/>
          </w:rPr>
          <w:t>2,3 km</w:t>
        </w:r>
      </w:smartTag>
    </w:p>
    <w:p w:rsidR="00886564" w:rsidP="000B43BE">
      <w:pPr>
        <w:pStyle w:val="PlainText"/>
        <w:spacing w:before="120" w:after="120" w:line="360" w:lineRule="auto"/>
        <w:rPr>
          <w:rFonts w:ascii="Times New Roman" w:hAnsi="Times New Roman" w:cs="Times New Roman"/>
          <w:sz w:val="24"/>
        </w:rPr>
      </w:pPr>
      <w:r>
        <w:rPr>
          <w:rFonts w:ascii="Times New Roman" w:hAnsi="Times New Roman" w:cs="Times New Roman"/>
          <w:sz w:val="24"/>
        </w:rPr>
        <w:t xml:space="preserve">                                                                                    </w:t>
      </w:r>
      <w:r w:rsidR="00803A26">
        <w:rPr>
          <w:rFonts w:ascii="Times New Roman" w:hAnsi="Times New Roman" w:cs="Times New Roman"/>
          <w:sz w:val="24"/>
        </w:rPr>
        <w:t xml:space="preserve"> </w:t>
      </w:r>
      <w:r>
        <w:rPr>
          <w:rFonts w:ascii="Times New Roman" w:hAnsi="Times New Roman" w:cs="Times New Roman"/>
          <w:sz w:val="24"/>
        </w:rPr>
        <w:t>Spolu: 24,8 km</w:t>
      </w:r>
    </w:p>
    <w:p w:rsidR="006F5B00" w:rsidRPr="006F5B00" w:rsidP="000B43BE">
      <w:pPr>
        <w:pStyle w:val="PlainText"/>
        <w:spacing w:before="120" w:after="120" w:line="360" w:lineRule="auto"/>
        <w:rPr>
          <w:rFonts w:ascii="Times New Roman" w:hAnsi="Times New Roman" w:cs="Times New Roman"/>
          <w:sz w:val="24"/>
        </w:rPr>
      </w:pPr>
    </w:p>
    <w:p w:rsidR="00886564" w:rsidRPr="00B8282D" w:rsidP="000B43BE">
      <w:pPr>
        <w:pStyle w:val="PlainText"/>
        <w:spacing w:before="120" w:after="120" w:line="360" w:lineRule="auto"/>
        <w:rPr>
          <w:rFonts w:ascii="Times New Roman" w:hAnsi="Times New Roman" w:cs="Times New Roman"/>
          <w:b/>
          <w:sz w:val="24"/>
        </w:rPr>
      </w:pPr>
      <w:r>
        <w:rPr>
          <w:rFonts w:ascii="Times New Roman" w:hAnsi="Times New Roman" w:cs="Times New Roman"/>
          <w:b/>
          <w:sz w:val="24"/>
        </w:rPr>
        <w:t>3</w:t>
      </w:r>
      <w:r w:rsidRPr="00B8282D">
        <w:rPr>
          <w:rFonts w:ascii="Times New Roman" w:hAnsi="Times New Roman" w:cs="Times New Roman"/>
          <w:b/>
          <w:sz w:val="24"/>
        </w:rPr>
        <w:t xml:space="preserve">. D1 </w:t>
      </w:r>
      <w:r>
        <w:rPr>
          <w:rFonts w:ascii="Times New Roman" w:hAnsi="Times New Roman" w:cs="Times New Roman"/>
          <w:b/>
          <w:sz w:val="24"/>
        </w:rPr>
        <w:t>Ivachnová</w:t>
      </w:r>
      <w:r w:rsidRPr="00B8282D">
        <w:rPr>
          <w:rFonts w:ascii="Times New Roman" w:hAnsi="Times New Roman" w:cs="Times New Roman"/>
          <w:b/>
          <w:sz w:val="24"/>
        </w:rPr>
        <w:t xml:space="preserve"> – </w:t>
      </w:r>
      <w:r>
        <w:rPr>
          <w:rFonts w:ascii="Times New Roman" w:hAnsi="Times New Roman" w:cs="Times New Roman"/>
          <w:b/>
          <w:sz w:val="24"/>
        </w:rPr>
        <w:t>Važec</w:t>
      </w:r>
      <w:r w:rsidRPr="00B8282D">
        <w:rPr>
          <w:rFonts w:ascii="Times New Roman" w:hAnsi="Times New Roman" w:cs="Times New Roman"/>
          <w:b/>
          <w:sz w:val="24"/>
        </w:rPr>
        <w:t>:</w:t>
      </w:r>
      <w:r>
        <w:rPr>
          <w:rFonts w:ascii="Times New Roman" w:hAnsi="Times New Roman" w:cs="Times New Roman"/>
          <w:b/>
          <w:sz w:val="24"/>
        </w:rPr>
        <w:t xml:space="preserve">                                         </w:t>
      </w:r>
      <w:r w:rsidR="00803A26">
        <w:rPr>
          <w:rFonts w:ascii="Times New Roman" w:hAnsi="Times New Roman" w:cs="Times New Roman"/>
          <w:b/>
          <w:sz w:val="24"/>
        </w:rPr>
        <w:t xml:space="preserve"> </w:t>
      </w:r>
      <w:r>
        <w:rPr>
          <w:rFonts w:ascii="Times New Roman" w:hAnsi="Times New Roman" w:cs="Times New Roman"/>
          <w:b/>
          <w:sz w:val="24"/>
        </w:rPr>
        <w:t>4</w:t>
      </w:r>
      <w:r w:rsidRPr="00B8282D">
        <w:rPr>
          <w:rFonts w:ascii="Times New Roman" w:hAnsi="Times New Roman" w:cs="Times New Roman"/>
          <w:b/>
          <w:sz w:val="24"/>
        </w:rPr>
        <w:t xml:space="preserve">. D1 </w:t>
      </w:r>
      <w:r>
        <w:rPr>
          <w:rFonts w:ascii="Times New Roman" w:hAnsi="Times New Roman" w:cs="Times New Roman"/>
          <w:b/>
          <w:sz w:val="24"/>
        </w:rPr>
        <w:t>Prešov</w:t>
      </w:r>
      <w:r w:rsidRPr="00B8282D">
        <w:rPr>
          <w:rFonts w:ascii="Times New Roman" w:hAnsi="Times New Roman" w:cs="Times New Roman"/>
          <w:b/>
          <w:sz w:val="24"/>
        </w:rPr>
        <w:t xml:space="preserve"> – </w:t>
      </w:r>
      <w:r>
        <w:rPr>
          <w:rFonts w:ascii="Times New Roman" w:hAnsi="Times New Roman" w:cs="Times New Roman"/>
          <w:b/>
          <w:sz w:val="24"/>
        </w:rPr>
        <w:t>Budimír:</w:t>
      </w:r>
    </w:p>
    <w:p w:rsidR="00886564" w:rsidP="000B43BE">
      <w:pPr>
        <w:pStyle w:val="PlainText"/>
        <w:spacing w:before="120" w:after="120" w:line="360" w:lineRule="auto"/>
        <w:rPr>
          <w:rFonts w:ascii="Times New Roman" w:hAnsi="Times New Roman" w:cs="Times New Roman"/>
          <w:sz w:val="24"/>
        </w:rPr>
      </w:pPr>
      <w:r>
        <w:rPr>
          <w:rFonts w:ascii="Times New Roman" w:hAnsi="Times New Roman" w:cs="Times New Roman"/>
          <w:sz w:val="24"/>
        </w:rPr>
        <w:t>PJP km 455,</w:t>
      </w:r>
      <w:r>
        <w:rPr>
          <w:rFonts w:ascii="Times New Roman" w:hAnsi="Times New Roman" w:cs="Times New Roman"/>
          <w:sz w:val="24"/>
        </w:rPr>
        <w:t xml:space="preserve">0 – km 458,0 = 3,0 km                           </w:t>
      </w:r>
      <w:r w:rsidR="00803A26">
        <w:rPr>
          <w:rFonts w:ascii="Times New Roman" w:hAnsi="Times New Roman" w:cs="Times New Roman"/>
          <w:sz w:val="24"/>
        </w:rPr>
        <w:t xml:space="preserve"> </w:t>
      </w:r>
      <w:r>
        <w:rPr>
          <w:rFonts w:ascii="Times New Roman" w:hAnsi="Times New Roman" w:cs="Times New Roman"/>
          <w:sz w:val="24"/>
        </w:rPr>
        <w:t xml:space="preserve">PJP km 607,8 – km 608,8 = </w:t>
      </w:r>
      <w:smartTag w:uri="urn:schemas-microsoft-com:office:smarttags" w:element="metricconverter">
        <w:smartTagPr>
          <w:attr w:name="ProductID" w:val="1,0 km"/>
        </w:smartTagPr>
        <w:r>
          <w:rPr>
            <w:rFonts w:ascii="Times New Roman" w:hAnsi="Times New Roman" w:cs="Times New Roman"/>
            <w:sz w:val="24"/>
          </w:rPr>
          <w:t>1,0 km</w:t>
        </w:r>
      </w:smartTag>
    </w:p>
    <w:p w:rsidR="00886564" w:rsidP="000B43BE">
      <w:pPr>
        <w:pStyle w:val="PlainText"/>
        <w:spacing w:before="120" w:after="120" w:line="360" w:lineRule="auto"/>
        <w:rPr>
          <w:rFonts w:ascii="Times New Roman" w:hAnsi="Times New Roman" w:cs="Times New Roman"/>
          <w:sz w:val="24"/>
        </w:rPr>
      </w:pPr>
      <w:r>
        <w:rPr>
          <w:rFonts w:ascii="Times New Roman" w:hAnsi="Times New Roman" w:cs="Times New Roman"/>
          <w:sz w:val="24"/>
        </w:rPr>
        <w:t xml:space="preserve">ĽJP km 455,0 – km 458,0 = 3,0 km                           </w:t>
      </w:r>
      <w:r w:rsidR="00803A26">
        <w:rPr>
          <w:rFonts w:ascii="Times New Roman" w:hAnsi="Times New Roman" w:cs="Times New Roman"/>
          <w:sz w:val="24"/>
        </w:rPr>
        <w:t xml:space="preserve"> </w:t>
      </w:r>
      <w:r>
        <w:rPr>
          <w:rFonts w:ascii="Times New Roman" w:hAnsi="Times New Roman" w:cs="Times New Roman"/>
          <w:sz w:val="24"/>
        </w:rPr>
        <w:t xml:space="preserve">ĽJP km 588,5 – km 591,0 = </w:t>
      </w:r>
      <w:smartTag w:uri="urn:schemas-microsoft-com:office:smarttags" w:element="metricconverter">
        <w:smartTagPr>
          <w:attr w:name="ProductID" w:val="2,5 km"/>
        </w:smartTagPr>
        <w:r>
          <w:rPr>
            <w:rFonts w:ascii="Times New Roman" w:hAnsi="Times New Roman" w:cs="Times New Roman"/>
            <w:sz w:val="24"/>
          </w:rPr>
          <w:t>2,5 km</w:t>
        </w:r>
      </w:smartTag>
    </w:p>
    <w:p w:rsidR="00886564" w:rsidP="000B43BE">
      <w:pPr>
        <w:pStyle w:val="PlainText"/>
        <w:spacing w:before="120" w:after="120" w:line="360" w:lineRule="auto"/>
        <w:rPr>
          <w:rFonts w:ascii="Times New Roman" w:hAnsi="Times New Roman" w:cs="Times New Roman"/>
          <w:sz w:val="24"/>
        </w:rPr>
      </w:pPr>
      <w:r>
        <w:rPr>
          <w:rFonts w:ascii="Times New Roman" w:hAnsi="Times New Roman" w:cs="Times New Roman"/>
          <w:sz w:val="24"/>
        </w:rPr>
        <w:t xml:space="preserve">Spolu: 6,0 km                                                             </w:t>
      </w:r>
      <w:r w:rsidR="00803A26">
        <w:rPr>
          <w:rFonts w:ascii="Times New Roman" w:hAnsi="Times New Roman" w:cs="Times New Roman"/>
          <w:sz w:val="24"/>
        </w:rPr>
        <w:t xml:space="preserve"> </w:t>
      </w:r>
      <w:r>
        <w:rPr>
          <w:rFonts w:ascii="Times New Roman" w:hAnsi="Times New Roman" w:cs="Times New Roman"/>
          <w:sz w:val="24"/>
        </w:rPr>
        <w:t>ĽJP km</w:t>
      </w:r>
      <w:r>
        <w:rPr>
          <w:rFonts w:ascii="Times New Roman" w:hAnsi="Times New Roman" w:cs="Times New Roman"/>
          <w:sz w:val="24"/>
        </w:rPr>
        <w:t xml:space="preserve"> 608,8 – km 606,8 = </w:t>
      </w:r>
      <w:smartTag w:uri="urn:schemas-microsoft-com:office:smarttags" w:element="metricconverter">
        <w:smartTagPr>
          <w:attr w:name="ProductID" w:val="2,0 km"/>
        </w:smartTagPr>
        <w:r>
          <w:rPr>
            <w:rFonts w:ascii="Times New Roman" w:hAnsi="Times New Roman" w:cs="Times New Roman"/>
            <w:sz w:val="24"/>
          </w:rPr>
          <w:t>2,0 km</w:t>
        </w:r>
      </w:smartTag>
    </w:p>
    <w:p w:rsidR="00886564" w:rsidP="000B43BE">
      <w:pPr>
        <w:pStyle w:val="PlainText"/>
        <w:spacing w:before="120" w:after="120" w:line="360" w:lineRule="auto"/>
        <w:rPr>
          <w:rFonts w:ascii="Times New Roman" w:hAnsi="Times New Roman" w:cs="Times New Roman"/>
          <w:sz w:val="24"/>
        </w:rPr>
      </w:pPr>
      <w:r>
        <w:rPr>
          <w:rFonts w:ascii="Times New Roman" w:hAnsi="Times New Roman" w:cs="Times New Roman"/>
          <w:sz w:val="24"/>
        </w:rPr>
        <w:t xml:space="preserve">                                                                                    </w:t>
      </w:r>
      <w:r w:rsidR="00803A26">
        <w:rPr>
          <w:rFonts w:ascii="Times New Roman" w:hAnsi="Times New Roman" w:cs="Times New Roman"/>
          <w:sz w:val="24"/>
        </w:rPr>
        <w:t xml:space="preserve"> </w:t>
      </w:r>
      <w:r>
        <w:rPr>
          <w:rFonts w:ascii="Times New Roman" w:hAnsi="Times New Roman" w:cs="Times New Roman"/>
          <w:sz w:val="24"/>
        </w:rPr>
        <w:t xml:space="preserve">Spolu: </w:t>
      </w:r>
      <w:smartTag w:uri="urn:schemas-microsoft-com:office:smarttags" w:element="metricconverter">
        <w:smartTagPr>
          <w:attr w:name="ProductID" w:val="5,5 km"/>
        </w:smartTagPr>
        <w:r>
          <w:rPr>
            <w:rFonts w:ascii="Times New Roman" w:hAnsi="Times New Roman" w:cs="Times New Roman"/>
            <w:sz w:val="24"/>
          </w:rPr>
          <w:t>5,5 km</w:t>
        </w:r>
      </w:smartTag>
    </w:p>
    <w:p w:rsidR="00886564" w:rsidRPr="00B8282D" w:rsidP="000B43BE">
      <w:pPr>
        <w:pStyle w:val="PlainText"/>
        <w:spacing w:before="120" w:after="120" w:line="360" w:lineRule="auto"/>
        <w:rPr>
          <w:rFonts w:ascii="Times New Roman" w:hAnsi="Times New Roman" w:cs="Times New Roman"/>
          <w:b/>
          <w:sz w:val="24"/>
        </w:rPr>
      </w:pPr>
      <w:r>
        <w:rPr>
          <w:rFonts w:ascii="Times New Roman" w:hAnsi="Times New Roman" w:cs="Times New Roman"/>
          <w:b/>
          <w:sz w:val="24"/>
        </w:rPr>
        <w:t>5</w:t>
      </w:r>
      <w:r w:rsidRPr="00B8282D">
        <w:rPr>
          <w:rFonts w:ascii="Times New Roman" w:hAnsi="Times New Roman" w:cs="Times New Roman"/>
          <w:b/>
          <w:sz w:val="24"/>
        </w:rPr>
        <w:t xml:space="preserve">. </w:t>
      </w:r>
      <w:r>
        <w:rPr>
          <w:rFonts w:ascii="Times New Roman" w:hAnsi="Times New Roman" w:cs="Times New Roman"/>
          <w:b/>
          <w:sz w:val="24"/>
        </w:rPr>
        <w:t>D3</w:t>
      </w:r>
      <w:r w:rsidRPr="00B8282D">
        <w:rPr>
          <w:rFonts w:ascii="Times New Roman" w:hAnsi="Times New Roman" w:cs="Times New Roman"/>
          <w:b/>
          <w:sz w:val="24"/>
        </w:rPr>
        <w:t xml:space="preserve"> </w:t>
      </w:r>
      <w:r>
        <w:rPr>
          <w:rFonts w:ascii="Times New Roman" w:hAnsi="Times New Roman" w:cs="Times New Roman"/>
          <w:b/>
          <w:sz w:val="24"/>
        </w:rPr>
        <w:t>Čadca</w:t>
      </w:r>
      <w:r w:rsidRPr="00B8282D">
        <w:rPr>
          <w:rFonts w:ascii="Times New Roman" w:hAnsi="Times New Roman" w:cs="Times New Roman"/>
          <w:b/>
          <w:sz w:val="24"/>
        </w:rPr>
        <w:t xml:space="preserve"> – </w:t>
      </w:r>
      <w:r>
        <w:rPr>
          <w:rFonts w:ascii="Times New Roman" w:hAnsi="Times New Roman" w:cs="Times New Roman"/>
          <w:b/>
          <w:sz w:val="24"/>
        </w:rPr>
        <w:t>Žilina</w:t>
      </w:r>
      <w:r w:rsidRPr="00B8282D">
        <w:rPr>
          <w:rFonts w:ascii="Times New Roman" w:hAnsi="Times New Roman" w:cs="Times New Roman"/>
          <w:b/>
          <w:sz w:val="24"/>
        </w:rPr>
        <w:t>:</w:t>
      </w:r>
    </w:p>
    <w:p w:rsidR="00886564" w:rsidP="000B43BE">
      <w:pPr>
        <w:pStyle w:val="PlainText"/>
        <w:spacing w:before="120" w:after="120" w:line="360" w:lineRule="auto"/>
        <w:rPr>
          <w:rFonts w:ascii="Times New Roman" w:hAnsi="Times New Roman" w:cs="Times New Roman"/>
          <w:sz w:val="24"/>
        </w:rPr>
      </w:pPr>
      <w:r>
        <w:rPr>
          <w:rFonts w:ascii="Times New Roman" w:hAnsi="Times New Roman" w:cs="Times New Roman"/>
          <w:sz w:val="24"/>
        </w:rPr>
        <w:t xml:space="preserve">PJP km 438,0 – km 439,5 = </w:t>
      </w:r>
      <w:smartTag w:uri="urn:schemas-microsoft-com:office:smarttags" w:element="metricconverter">
        <w:smartTagPr>
          <w:attr w:name="ProductID" w:val="1,5 km"/>
        </w:smartTagPr>
        <w:r>
          <w:rPr>
            <w:rFonts w:ascii="Times New Roman" w:hAnsi="Times New Roman" w:cs="Times New Roman"/>
            <w:sz w:val="24"/>
          </w:rPr>
          <w:t>1,5 km</w:t>
        </w:r>
      </w:smartTag>
    </w:p>
    <w:p w:rsidR="00886564" w:rsidP="000B43BE">
      <w:pPr>
        <w:pStyle w:val="PlainText"/>
        <w:spacing w:before="120" w:after="120" w:line="360" w:lineRule="auto"/>
        <w:rPr>
          <w:rFonts w:ascii="Times New Roman" w:hAnsi="Times New Roman" w:cs="Times New Roman"/>
          <w:sz w:val="24"/>
        </w:rPr>
      </w:pPr>
      <w:r>
        <w:rPr>
          <w:rFonts w:ascii="Times New Roman" w:hAnsi="Times New Roman" w:cs="Times New Roman"/>
          <w:sz w:val="24"/>
        </w:rPr>
        <w:t xml:space="preserve">Spolu: </w:t>
      </w:r>
      <w:smartTag w:uri="urn:schemas-microsoft-com:office:smarttags" w:element="metricconverter">
        <w:smartTagPr>
          <w:attr w:name="ProductID" w:val="1,5 km"/>
        </w:smartTagPr>
        <w:r>
          <w:rPr>
            <w:rFonts w:ascii="Times New Roman" w:hAnsi="Times New Roman" w:cs="Times New Roman"/>
            <w:sz w:val="24"/>
          </w:rPr>
          <w:t>1,5 km</w:t>
        </w:r>
      </w:smartTag>
    </w:p>
    <w:p w:rsidR="00886564" w:rsidRPr="002710B0" w:rsidP="000B43BE">
      <w:pPr>
        <w:pStyle w:val="PlainText"/>
        <w:spacing w:before="120" w:after="120" w:line="360" w:lineRule="auto"/>
        <w:rPr>
          <w:rFonts w:ascii="Times New Roman" w:hAnsi="Times New Roman" w:cs="Times New Roman"/>
          <w:b/>
          <w:sz w:val="24"/>
        </w:rPr>
      </w:pPr>
      <w:r w:rsidRPr="00B8282D">
        <w:rPr>
          <w:rFonts w:ascii="Times New Roman" w:hAnsi="Times New Roman" w:cs="Times New Roman"/>
          <w:b/>
          <w:sz w:val="24"/>
        </w:rPr>
        <w:t>Celkom: 44,3 km</w:t>
      </w:r>
    </w:p>
    <w:p w:rsidR="00886564" w:rsidRPr="002710B0" w:rsidP="002710B0">
      <w:pPr>
        <w:autoSpaceDE/>
        <w:autoSpaceDN/>
        <w:spacing w:before="120" w:after="120" w:line="360" w:lineRule="auto"/>
        <w:ind w:firstLine="709"/>
        <w:textAlignment w:val="auto"/>
        <w:rPr>
          <w:rFonts w:ascii="Times New Roman" w:hAnsi="Times New Roman" w:cs="Times New Roman"/>
          <w:b/>
          <w:sz w:val="24"/>
          <w:szCs w:val="24"/>
          <w:u w:val="single"/>
          <w:lang w:eastAsia="sk-SK"/>
        </w:rPr>
      </w:pPr>
      <w:r w:rsidRPr="002710B0">
        <w:rPr>
          <w:rFonts w:ascii="Times New Roman" w:hAnsi="Times New Roman" w:cs="Times New Roman"/>
          <w:b/>
          <w:sz w:val="24"/>
          <w:szCs w:val="24"/>
          <w:u w:val="single"/>
          <w:lang w:eastAsia="sk-SK"/>
        </w:rPr>
        <w:t xml:space="preserve">Rýchlostné cesty: </w:t>
      </w:r>
    </w:p>
    <w:p w:rsidR="00886564" w:rsidRPr="00B8282D" w:rsidP="000B43BE">
      <w:pPr>
        <w:pStyle w:val="PlainText"/>
        <w:spacing w:before="120" w:after="120" w:line="360" w:lineRule="auto"/>
        <w:rPr>
          <w:rFonts w:ascii="Times New Roman" w:hAnsi="Times New Roman" w:cs="Times New Roman"/>
          <w:b/>
          <w:sz w:val="24"/>
        </w:rPr>
      </w:pPr>
      <w:r>
        <w:rPr>
          <w:rFonts w:ascii="Times New Roman" w:hAnsi="Times New Roman" w:cs="Times New Roman"/>
          <w:b/>
          <w:sz w:val="24"/>
        </w:rPr>
        <w:t>1. R1 Trnava - Nitra</w:t>
      </w:r>
      <w:r w:rsidRPr="009569CD">
        <w:rPr>
          <w:rFonts w:ascii="Times New Roman" w:hAnsi="Times New Roman" w:cs="Times New Roman"/>
          <w:b/>
          <w:sz w:val="24"/>
        </w:rPr>
        <w:t xml:space="preserve">: </w:t>
      </w:r>
      <w:r>
        <w:rPr>
          <w:rFonts w:ascii="Times New Roman" w:hAnsi="Times New Roman" w:cs="Times New Roman"/>
          <w:b/>
          <w:sz w:val="24"/>
        </w:rPr>
        <w:t xml:space="preserve">    </w:t>
      </w:r>
      <w:r>
        <w:rPr>
          <w:rFonts w:ascii="Times New Roman" w:hAnsi="Times New Roman" w:cs="Times New Roman"/>
          <w:b/>
          <w:sz w:val="24"/>
        </w:rPr>
        <w:t xml:space="preserve">                         </w:t>
      </w:r>
      <w:r w:rsidR="00803A26">
        <w:rPr>
          <w:rFonts w:ascii="Times New Roman" w:hAnsi="Times New Roman" w:cs="Times New Roman"/>
          <w:b/>
          <w:sz w:val="24"/>
        </w:rPr>
        <w:t xml:space="preserve">         </w:t>
      </w:r>
      <w:r w:rsidRPr="00B8282D">
        <w:rPr>
          <w:rFonts w:ascii="Times New Roman" w:hAnsi="Times New Roman" w:cs="Times New Roman"/>
          <w:b/>
          <w:sz w:val="24"/>
        </w:rPr>
        <w:t xml:space="preserve">2. </w:t>
      </w:r>
      <w:r w:rsidR="00803A26">
        <w:rPr>
          <w:rFonts w:ascii="Times New Roman" w:hAnsi="Times New Roman" w:cs="Times New Roman"/>
          <w:b/>
          <w:sz w:val="24"/>
        </w:rPr>
        <w:t xml:space="preserve">R1 Šáš. </w:t>
      </w:r>
      <w:r>
        <w:rPr>
          <w:rFonts w:ascii="Times New Roman" w:hAnsi="Times New Roman" w:cs="Times New Roman"/>
          <w:b/>
          <w:sz w:val="24"/>
        </w:rPr>
        <w:t>Podhradie – Zvolen – B. Bystrica</w:t>
      </w:r>
      <w:r w:rsidRPr="00B8282D">
        <w:rPr>
          <w:rFonts w:ascii="Times New Roman" w:hAnsi="Times New Roman" w:cs="Times New Roman"/>
          <w:b/>
          <w:sz w:val="24"/>
        </w:rPr>
        <w:t>:</w:t>
      </w:r>
    </w:p>
    <w:p w:rsidR="00886564" w:rsidP="000B43BE">
      <w:pPr>
        <w:pStyle w:val="PlainText"/>
        <w:spacing w:before="120" w:after="120" w:line="360" w:lineRule="auto"/>
        <w:rPr>
          <w:rFonts w:ascii="Times New Roman" w:hAnsi="Times New Roman" w:cs="Times New Roman"/>
          <w:sz w:val="24"/>
        </w:rPr>
      </w:pPr>
      <w:r>
        <w:rPr>
          <w:rFonts w:ascii="Times New Roman" w:hAnsi="Times New Roman" w:cs="Times New Roman"/>
          <w:sz w:val="24"/>
        </w:rPr>
        <w:t xml:space="preserve">ĽJP km 160,5 – km 159,5 = 1,0 km          </w:t>
      </w:r>
      <w:r w:rsidR="00803A26">
        <w:rPr>
          <w:rFonts w:ascii="Times New Roman" w:hAnsi="Times New Roman" w:cs="Times New Roman"/>
          <w:sz w:val="24"/>
        </w:rPr>
        <w:t xml:space="preserve">        </w:t>
      </w:r>
      <w:r>
        <w:rPr>
          <w:rFonts w:ascii="Times New Roman" w:hAnsi="Times New Roman" w:cs="Times New Roman"/>
          <w:sz w:val="24"/>
        </w:rPr>
        <w:t xml:space="preserve">I/59 km 0,0 – km 2,9 = </w:t>
      </w:r>
      <w:smartTag w:uri="urn:schemas-microsoft-com:office:smarttags" w:element="metricconverter">
        <w:smartTagPr>
          <w:attr w:name="ProductID" w:val="2,9 km"/>
        </w:smartTagPr>
        <w:r>
          <w:rPr>
            <w:rFonts w:ascii="Times New Roman" w:hAnsi="Times New Roman" w:cs="Times New Roman"/>
            <w:sz w:val="24"/>
          </w:rPr>
          <w:t>2,9 km</w:t>
        </w:r>
      </w:smartTag>
    </w:p>
    <w:p w:rsidR="00886564" w:rsidP="000B43BE">
      <w:pPr>
        <w:pStyle w:val="PlainText"/>
        <w:spacing w:before="120" w:after="120" w:line="360" w:lineRule="auto"/>
        <w:rPr>
          <w:rFonts w:ascii="Times New Roman" w:hAnsi="Times New Roman" w:cs="Times New Roman"/>
          <w:sz w:val="24"/>
        </w:rPr>
      </w:pPr>
      <w:r>
        <w:rPr>
          <w:rFonts w:ascii="Times New Roman" w:hAnsi="Times New Roman" w:cs="Times New Roman"/>
          <w:sz w:val="24"/>
        </w:rPr>
        <w:t xml:space="preserve">ĽJP km 130,0 – km 134,0 = 4,0 km          </w:t>
      </w:r>
      <w:r w:rsidR="00803A26">
        <w:rPr>
          <w:rFonts w:ascii="Times New Roman" w:hAnsi="Times New Roman" w:cs="Times New Roman"/>
          <w:sz w:val="24"/>
        </w:rPr>
        <w:t xml:space="preserve">        </w:t>
      </w:r>
      <w:r>
        <w:rPr>
          <w:rFonts w:ascii="Times New Roman" w:hAnsi="Times New Roman" w:cs="Times New Roman"/>
          <w:sz w:val="24"/>
        </w:rPr>
        <w:t xml:space="preserve">I/50 km 216,7 – km 216,9 = </w:t>
      </w:r>
      <w:smartTag w:uri="urn:schemas-microsoft-com:office:smarttags" w:element="metricconverter">
        <w:smartTagPr>
          <w:attr w:name="ProductID" w:val="0,2 km"/>
        </w:smartTagPr>
        <w:r>
          <w:rPr>
            <w:rFonts w:ascii="Times New Roman" w:hAnsi="Times New Roman" w:cs="Times New Roman"/>
            <w:sz w:val="24"/>
          </w:rPr>
          <w:t>0,2 km</w:t>
        </w:r>
      </w:smartTag>
    </w:p>
    <w:p w:rsidR="00886564" w:rsidP="000B43BE">
      <w:pPr>
        <w:pStyle w:val="PlainText"/>
        <w:spacing w:before="120" w:after="120" w:line="360" w:lineRule="auto"/>
        <w:rPr>
          <w:rFonts w:ascii="Times New Roman" w:hAnsi="Times New Roman" w:cs="Times New Roman"/>
          <w:sz w:val="24"/>
        </w:rPr>
      </w:pPr>
      <w:r>
        <w:rPr>
          <w:rFonts w:ascii="Times New Roman" w:hAnsi="Times New Roman" w:cs="Times New Roman"/>
          <w:sz w:val="24"/>
        </w:rPr>
        <w:t xml:space="preserve">PJP km 130,0 </w:t>
      </w:r>
      <w:r>
        <w:rPr>
          <w:rFonts w:ascii="Times New Roman" w:hAnsi="Times New Roman" w:cs="Times New Roman"/>
          <w:sz w:val="24"/>
        </w:rPr>
        <w:t xml:space="preserve">– km 134,0 = 4,0 km          </w:t>
      </w:r>
      <w:r w:rsidR="00803A26">
        <w:rPr>
          <w:rFonts w:ascii="Times New Roman" w:hAnsi="Times New Roman" w:cs="Times New Roman"/>
          <w:sz w:val="24"/>
        </w:rPr>
        <w:t xml:space="preserve">        </w:t>
      </w:r>
      <w:r>
        <w:rPr>
          <w:rFonts w:ascii="Times New Roman" w:hAnsi="Times New Roman" w:cs="Times New Roman"/>
          <w:sz w:val="24"/>
        </w:rPr>
        <w:t xml:space="preserve">I/50 km 217,2 – km 217,3= </w:t>
      </w:r>
      <w:smartTag w:uri="urn:schemas-microsoft-com:office:smarttags" w:element="metricconverter">
        <w:smartTagPr>
          <w:attr w:name="ProductID" w:val="0,1 km"/>
        </w:smartTagPr>
        <w:r>
          <w:rPr>
            <w:rFonts w:ascii="Times New Roman" w:hAnsi="Times New Roman" w:cs="Times New Roman"/>
            <w:sz w:val="24"/>
          </w:rPr>
          <w:t>0,1 km</w:t>
        </w:r>
      </w:smartTag>
    </w:p>
    <w:p w:rsidR="00886564" w:rsidP="000B43BE">
      <w:pPr>
        <w:pStyle w:val="PlainText"/>
        <w:spacing w:before="120" w:after="120" w:line="360" w:lineRule="auto"/>
        <w:rPr>
          <w:rFonts w:ascii="Times New Roman" w:hAnsi="Times New Roman" w:cs="Times New Roman"/>
          <w:sz w:val="24"/>
        </w:rPr>
      </w:pPr>
      <w:r>
        <w:rPr>
          <w:rFonts w:ascii="Times New Roman" w:hAnsi="Times New Roman" w:cs="Times New Roman"/>
          <w:sz w:val="24"/>
        </w:rPr>
        <w:t>Spolu: 9,0 km</w:t>
      </w:r>
      <w:r w:rsidRPr="00886564">
        <w:rPr>
          <w:rFonts w:ascii="Times New Roman" w:hAnsi="Times New Roman" w:cs="Times New Roman"/>
          <w:sz w:val="24"/>
        </w:rPr>
        <w:t xml:space="preserve"> </w:t>
      </w:r>
      <w:r>
        <w:rPr>
          <w:rFonts w:ascii="Times New Roman" w:hAnsi="Times New Roman" w:cs="Times New Roman"/>
          <w:sz w:val="24"/>
        </w:rPr>
        <w:t xml:space="preserve">                                           </w:t>
      </w:r>
      <w:r w:rsidR="00803A26">
        <w:rPr>
          <w:rFonts w:ascii="Times New Roman" w:hAnsi="Times New Roman" w:cs="Times New Roman"/>
          <w:sz w:val="24"/>
        </w:rPr>
        <w:t xml:space="preserve">        </w:t>
      </w:r>
      <w:r>
        <w:rPr>
          <w:rFonts w:ascii="Times New Roman" w:hAnsi="Times New Roman" w:cs="Times New Roman"/>
          <w:sz w:val="24"/>
        </w:rPr>
        <w:t xml:space="preserve">I/50 km 218,7 – km 219,1 = </w:t>
      </w:r>
      <w:smartTag w:uri="urn:schemas-microsoft-com:office:smarttags" w:element="metricconverter">
        <w:smartTagPr>
          <w:attr w:name="ProductID" w:val="0,4 km"/>
        </w:smartTagPr>
        <w:r>
          <w:rPr>
            <w:rFonts w:ascii="Times New Roman" w:hAnsi="Times New Roman" w:cs="Times New Roman"/>
            <w:sz w:val="24"/>
          </w:rPr>
          <w:t>0,4 km</w:t>
        </w:r>
      </w:smartTag>
    </w:p>
    <w:p w:rsidR="00886564" w:rsidP="000B43BE">
      <w:pPr>
        <w:pStyle w:val="PlainText"/>
        <w:spacing w:before="120" w:after="120" w:line="360" w:lineRule="auto"/>
        <w:rPr>
          <w:rFonts w:ascii="Times New Roman" w:hAnsi="Times New Roman" w:cs="Times New Roman"/>
          <w:sz w:val="24"/>
        </w:rPr>
      </w:pPr>
      <w:r>
        <w:rPr>
          <w:rFonts w:ascii="Times New Roman" w:hAnsi="Times New Roman" w:cs="Times New Roman"/>
          <w:sz w:val="24"/>
        </w:rPr>
        <w:t xml:space="preserve">                                                                   </w:t>
      </w:r>
      <w:r w:rsidR="00803A26">
        <w:rPr>
          <w:rFonts w:ascii="Times New Roman" w:hAnsi="Times New Roman" w:cs="Times New Roman"/>
          <w:sz w:val="24"/>
        </w:rPr>
        <w:t xml:space="preserve">        </w:t>
      </w:r>
      <w:r>
        <w:rPr>
          <w:rFonts w:ascii="Times New Roman" w:hAnsi="Times New Roman" w:cs="Times New Roman"/>
          <w:sz w:val="24"/>
        </w:rPr>
        <w:t xml:space="preserve">I/50 km 220,4 – km 222,8 = </w:t>
      </w:r>
      <w:smartTag w:uri="urn:schemas-microsoft-com:office:smarttags" w:element="metricconverter">
        <w:smartTagPr>
          <w:attr w:name="ProductID" w:val="2,4 km"/>
        </w:smartTagPr>
        <w:r>
          <w:rPr>
            <w:rFonts w:ascii="Times New Roman" w:hAnsi="Times New Roman" w:cs="Times New Roman"/>
            <w:sz w:val="24"/>
          </w:rPr>
          <w:t>2,4 km</w:t>
        </w:r>
      </w:smartTag>
    </w:p>
    <w:p w:rsidR="00886564" w:rsidP="000B43BE">
      <w:pPr>
        <w:pStyle w:val="PlainText"/>
        <w:spacing w:before="120" w:after="120" w:line="360" w:lineRule="auto"/>
        <w:rPr>
          <w:rFonts w:ascii="Times New Roman" w:hAnsi="Times New Roman" w:cs="Times New Roman"/>
          <w:sz w:val="24"/>
        </w:rPr>
      </w:pPr>
      <w:r>
        <w:rPr>
          <w:rFonts w:ascii="Times New Roman" w:hAnsi="Times New Roman" w:cs="Times New Roman"/>
          <w:sz w:val="24"/>
        </w:rPr>
        <w:t xml:space="preserve">                                                                   </w:t>
      </w:r>
      <w:r w:rsidR="00803A26">
        <w:rPr>
          <w:rFonts w:ascii="Times New Roman" w:hAnsi="Times New Roman" w:cs="Times New Roman"/>
          <w:sz w:val="24"/>
        </w:rPr>
        <w:t xml:space="preserve">        </w:t>
      </w:r>
      <w:r>
        <w:rPr>
          <w:rFonts w:ascii="Times New Roman" w:hAnsi="Times New Roman" w:cs="Times New Roman"/>
          <w:sz w:val="24"/>
        </w:rPr>
        <w:t>Spolu: 6,0 km</w:t>
      </w:r>
    </w:p>
    <w:p w:rsidR="00200969" w:rsidRPr="00B8282D" w:rsidP="000B43BE">
      <w:pPr>
        <w:pStyle w:val="PlainText"/>
        <w:spacing w:before="120" w:after="120" w:line="360" w:lineRule="auto"/>
        <w:rPr>
          <w:rFonts w:ascii="Times New Roman" w:hAnsi="Times New Roman" w:cs="Times New Roman"/>
          <w:b/>
          <w:sz w:val="24"/>
        </w:rPr>
      </w:pPr>
      <w:r w:rsidR="00886564">
        <w:rPr>
          <w:rFonts w:ascii="Times New Roman" w:hAnsi="Times New Roman" w:cs="Times New Roman"/>
          <w:b/>
          <w:sz w:val="24"/>
        </w:rPr>
        <w:t>3</w:t>
      </w:r>
      <w:r w:rsidRPr="00B8282D" w:rsidR="00886564">
        <w:rPr>
          <w:rFonts w:ascii="Times New Roman" w:hAnsi="Times New Roman" w:cs="Times New Roman"/>
          <w:b/>
          <w:sz w:val="24"/>
        </w:rPr>
        <w:t xml:space="preserve">. </w:t>
      </w:r>
      <w:r w:rsidR="00886564">
        <w:rPr>
          <w:rFonts w:ascii="Times New Roman" w:hAnsi="Times New Roman" w:cs="Times New Roman"/>
          <w:b/>
          <w:sz w:val="24"/>
        </w:rPr>
        <w:t>R2, R4 Košice</w:t>
      </w:r>
      <w:r w:rsidRPr="00B8282D" w:rsidR="00886564">
        <w:rPr>
          <w:rFonts w:ascii="Times New Roman" w:hAnsi="Times New Roman" w:cs="Times New Roman"/>
          <w:b/>
          <w:sz w:val="24"/>
        </w:rPr>
        <w:t>:</w:t>
      </w:r>
      <w:r>
        <w:rPr>
          <w:rFonts w:ascii="Times New Roman" w:hAnsi="Times New Roman" w:cs="Times New Roman"/>
          <w:b/>
          <w:sz w:val="24"/>
        </w:rPr>
        <w:t xml:space="preserve"> </w:t>
      </w:r>
      <w:r w:rsidR="00803A26">
        <w:rPr>
          <w:rFonts w:ascii="Times New Roman" w:hAnsi="Times New Roman" w:cs="Times New Roman"/>
          <w:b/>
          <w:sz w:val="24"/>
        </w:rPr>
        <w:t xml:space="preserve">                                            </w:t>
      </w:r>
      <w:r>
        <w:rPr>
          <w:rFonts w:ascii="Times New Roman" w:hAnsi="Times New Roman" w:cs="Times New Roman"/>
          <w:b/>
          <w:sz w:val="24"/>
        </w:rPr>
        <w:t>4</w:t>
      </w:r>
      <w:r w:rsidRPr="00B8282D">
        <w:rPr>
          <w:rFonts w:ascii="Times New Roman" w:hAnsi="Times New Roman" w:cs="Times New Roman"/>
          <w:b/>
          <w:sz w:val="24"/>
        </w:rPr>
        <w:t xml:space="preserve">. </w:t>
      </w:r>
      <w:r>
        <w:rPr>
          <w:rFonts w:ascii="Times New Roman" w:hAnsi="Times New Roman" w:cs="Times New Roman"/>
          <w:b/>
          <w:sz w:val="24"/>
        </w:rPr>
        <w:t>R2 Trenčín</w:t>
      </w:r>
      <w:r w:rsidRPr="00B8282D">
        <w:rPr>
          <w:rFonts w:ascii="Times New Roman" w:hAnsi="Times New Roman" w:cs="Times New Roman"/>
          <w:b/>
          <w:sz w:val="24"/>
        </w:rPr>
        <w:t>:</w:t>
      </w:r>
    </w:p>
    <w:p w:rsidR="00200969" w:rsidP="000B43BE">
      <w:pPr>
        <w:pStyle w:val="PlainText"/>
        <w:spacing w:before="120" w:after="120" w:line="360" w:lineRule="auto"/>
        <w:rPr>
          <w:rFonts w:ascii="Times New Roman" w:hAnsi="Times New Roman" w:cs="Times New Roman"/>
          <w:sz w:val="24"/>
        </w:rPr>
      </w:pPr>
      <w:r w:rsidR="00886564">
        <w:rPr>
          <w:rFonts w:ascii="Times New Roman" w:hAnsi="Times New Roman" w:cs="Times New Roman"/>
          <w:sz w:val="24"/>
        </w:rPr>
        <w:t>I/50 km 432,6 – km 435,0 = 2,4 km</w:t>
      </w:r>
      <w:r>
        <w:rPr>
          <w:rFonts w:ascii="Times New Roman" w:hAnsi="Times New Roman" w:cs="Times New Roman"/>
          <w:sz w:val="24"/>
        </w:rPr>
        <w:t xml:space="preserve"> </w:t>
      </w:r>
      <w:r w:rsidR="00803A26">
        <w:rPr>
          <w:rFonts w:ascii="Times New Roman" w:hAnsi="Times New Roman" w:cs="Times New Roman"/>
          <w:sz w:val="24"/>
        </w:rPr>
        <w:t xml:space="preserve">                 </w:t>
      </w:r>
      <w:r>
        <w:rPr>
          <w:rFonts w:ascii="Times New Roman" w:hAnsi="Times New Roman" w:cs="Times New Roman"/>
          <w:sz w:val="24"/>
        </w:rPr>
        <w:t xml:space="preserve">I/50 km 111,0 – km 112,4 = </w:t>
      </w:r>
      <w:smartTag w:uri="urn:schemas-microsoft-com:office:smarttags" w:element="metricconverter">
        <w:smartTagPr>
          <w:attr w:name="ProductID" w:val="1,4 km"/>
        </w:smartTagPr>
        <w:r>
          <w:rPr>
            <w:rFonts w:ascii="Times New Roman" w:hAnsi="Times New Roman" w:cs="Times New Roman"/>
            <w:sz w:val="24"/>
          </w:rPr>
          <w:t>1,4 km</w:t>
        </w:r>
      </w:smartTag>
    </w:p>
    <w:p w:rsidR="00200969" w:rsidP="000B43BE">
      <w:pPr>
        <w:pStyle w:val="PlainText"/>
        <w:spacing w:before="120" w:after="120" w:line="360" w:lineRule="auto"/>
        <w:rPr>
          <w:rFonts w:ascii="Times New Roman" w:hAnsi="Times New Roman" w:cs="Times New Roman"/>
          <w:sz w:val="24"/>
        </w:rPr>
      </w:pPr>
      <w:r w:rsidR="00886564">
        <w:rPr>
          <w:rFonts w:ascii="Times New Roman" w:hAnsi="Times New Roman" w:cs="Times New Roman"/>
          <w:sz w:val="24"/>
        </w:rPr>
        <w:t>Spolu: 2,4 km</w:t>
      </w:r>
      <w:r>
        <w:rPr>
          <w:rFonts w:ascii="Times New Roman" w:hAnsi="Times New Roman" w:cs="Times New Roman"/>
          <w:sz w:val="24"/>
        </w:rPr>
        <w:t xml:space="preserve"> </w:t>
      </w:r>
      <w:r w:rsidR="00803A26">
        <w:rPr>
          <w:rFonts w:ascii="Times New Roman" w:hAnsi="Times New Roman" w:cs="Times New Roman"/>
          <w:sz w:val="24"/>
        </w:rPr>
        <w:t xml:space="preserve">                                                   </w:t>
      </w:r>
      <w:r>
        <w:rPr>
          <w:rFonts w:ascii="Times New Roman" w:hAnsi="Times New Roman" w:cs="Times New Roman"/>
          <w:sz w:val="24"/>
        </w:rPr>
        <w:t xml:space="preserve">Spolu: </w:t>
      </w:r>
      <w:smartTag w:uri="urn:schemas-microsoft-com:office:smarttags" w:element="metricconverter">
        <w:smartTagPr>
          <w:attr w:name="ProductID" w:val="1,4 km"/>
        </w:smartTagPr>
        <w:r>
          <w:rPr>
            <w:rFonts w:ascii="Times New Roman" w:hAnsi="Times New Roman" w:cs="Times New Roman"/>
            <w:sz w:val="24"/>
          </w:rPr>
          <w:t>1,4 km</w:t>
        </w:r>
      </w:smartTag>
    </w:p>
    <w:p w:rsidR="00803A26" w:rsidRPr="000B43BE" w:rsidP="000B43BE">
      <w:pPr>
        <w:pStyle w:val="PlainText"/>
        <w:spacing w:before="120" w:after="120" w:line="360" w:lineRule="auto"/>
        <w:rPr>
          <w:rFonts w:ascii="Times New Roman" w:hAnsi="Times New Roman" w:cs="Times New Roman"/>
          <w:b/>
          <w:sz w:val="24"/>
        </w:rPr>
      </w:pPr>
      <w:r w:rsidRPr="00B8282D" w:rsidR="00886564">
        <w:rPr>
          <w:rFonts w:ascii="Times New Roman" w:hAnsi="Times New Roman" w:cs="Times New Roman"/>
          <w:b/>
          <w:sz w:val="24"/>
        </w:rPr>
        <w:t xml:space="preserve">Celkom: </w:t>
      </w:r>
      <w:r w:rsidR="00886564">
        <w:rPr>
          <w:rFonts w:ascii="Times New Roman" w:hAnsi="Times New Roman" w:cs="Times New Roman"/>
          <w:b/>
          <w:sz w:val="24"/>
        </w:rPr>
        <w:t>18,8</w:t>
      </w:r>
      <w:r w:rsidRPr="00B8282D" w:rsidR="00886564">
        <w:rPr>
          <w:rFonts w:ascii="Times New Roman" w:hAnsi="Times New Roman" w:cs="Times New Roman"/>
          <w:b/>
          <w:sz w:val="24"/>
        </w:rPr>
        <w:t xml:space="preserve"> km</w:t>
      </w:r>
    </w:p>
    <w:p w:rsidR="00F82884" w:rsidRPr="000B43BE" w:rsidP="000B43BE">
      <w:pPr>
        <w:pStyle w:val="PlainText"/>
        <w:spacing w:before="120" w:after="120" w:line="360" w:lineRule="auto"/>
        <w:rPr>
          <w:rFonts w:ascii="Times New Roman" w:hAnsi="Times New Roman" w:cs="Times New Roman"/>
          <w:b/>
          <w:sz w:val="24"/>
          <w:szCs w:val="24"/>
        </w:rPr>
      </w:pPr>
      <w:r w:rsidRPr="000B43BE" w:rsidR="00803A26">
        <w:rPr>
          <w:rFonts w:ascii="Times New Roman" w:hAnsi="Times New Roman" w:cs="Times New Roman"/>
          <w:b/>
          <w:sz w:val="24"/>
          <w:szCs w:val="24"/>
        </w:rPr>
        <w:t>Celkom za diaľnice a rýchlostné cesty</w:t>
      </w:r>
      <w:r w:rsidRPr="000B43BE" w:rsidR="00886564">
        <w:rPr>
          <w:rFonts w:ascii="Times New Roman" w:hAnsi="Times New Roman" w:cs="Times New Roman"/>
          <w:b/>
          <w:sz w:val="24"/>
          <w:szCs w:val="24"/>
        </w:rPr>
        <w:t>: 63,1 km</w:t>
      </w:r>
    </w:p>
    <w:p w:rsidR="00803A26" w:rsidP="000B43BE">
      <w:pPr>
        <w:autoSpaceDE/>
        <w:autoSpaceDN/>
        <w:spacing w:before="120" w:after="120" w:line="360" w:lineRule="auto"/>
        <w:textAlignment w:val="auto"/>
        <w:rPr>
          <w:rFonts w:ascii="Times New Roman" w:hAnsi="Times New Roman" w:cs="Times New Roman"/>
          <w:sz w:val="24"/>
        </w:rPr>
      </w:pPr>
      <w:r>
        <w:rPr>
          <w:rFonts w:ascii="Times New Roman" w:hAnsi="Times New Roman" w:cs="Times New Roman"/>
          <w:sz w:val="24"/>
        </w:rPr>
        <w:t xml:space="preserve">Vysvetlivky: ĽJP – ľavý jazdný pruh, PJP – pravý jazdný pruh. </w:t>
      </w:r>
    </w:p>
    <w:p w:rsidR="00F82884" w:rsidP="00803A26">
      <w:pPr>
        <w:autoSpaceDE/>
        <w:autoSpaceDN/>
        <w:spacing w:line="240" w:lineRule="auto"/>
        <w:textAlignment w:val="auto"/>
        <w:rPr>
          <w:rFonts w:ascii="Times New Roman" w:hAnsi="Times New Roman" w:cs="Times New Roman"/>
          <w:sz w:val="24"/>
        </w:rPr>
      </w:pPr>
      <w:r w:rsidRPr="00803A26" w:rsidR="00803A26">
        <w:rPr>
          <w:rFonts w:ascii="Times New Roman" w:hAnsi="Times New Roman" w:cs="Times New Roman"/>
          <w:sz w:val="24"/>
          <w:u w:val="single"/>
        </w:rPr>
        <w:t>Pozn.:</w:t>
      </w:r>
      <w:r w:rsidR="00803A26">
        <w:rPr>
          <w:rFonts w:ascii="Times New Roman" w:hAnsi="Times New Roman" w:cs="Times New Roman"/>
          <w:sz w:val="24"/>
        </w:rPr>
        <w:t xml:space="preserve"> Vo vyhodnotení programovej štruktúry kapitoly MDPT SR za rok 2007 je uvedená celková dĺžka opravených úsekov diaľnic a rýchlostných ciest v sume 62,5 km. Skutočne bolo opravených 63,1 km úsekov diaľnic a</w:t>
      </w:r>
      <w:r w:rsidR="00803A26">
        <w:rPr>
          <w:rFonts w:ascii="Times New Roman" w:hAnsi="Times New Roman" w:cs="Times New Roman"/>
          <w:sz w:val="24"/>
        </w:rPr>
        <w:t> rýchlostných ciest. Tent</w:t>
      </w:r>
      <w:r w:rsidR="007E2789">
        <w:rPr>
          <w:rFonts w:ascii="Times New Roman" w:hAnsi="Times New Roman" w:cs="Times New Roman"/>
          <w:sz w:val="24"/>
        </w:rPr>
        <w:t xml:space="preserve">o údaj NDS, a.s., </w:t>
      </w:r>
      <w:r w:rsidR="007201F8">
        <w:rPr>
          <w:rFonts w:ascii="Times New Roman" w:hAnsi="Times New Roman" w:cs="Times New Roman"/>
          <w:sz w:val="24"/>
        </w:rPr>
        <w:t xml:space="preserve">opravila až  </w:t>
      </w:r>
      <w:r w:rsidR="00803A26">
        <w:rPr>
          <w:rFonts w:ascii="Times New Roman" w:hAnsi="Times New Roman" w:cs="Times New Roman"/>
          <w:sz w:val="24"/>
        </w:rPr>
        <w:t xml:space="preserve"> po termíne odovzdania vyhodnotenia programovej štruktúry kapitoly MDPT SR za rok 2007 Ministerstvu financií SR. </w:t>
      </w:r>
    </w:p>
    <w:p w:rsidR="002710B0" w:rsidRPr="002710B0" w:rsidP="00803A26">
      <w:pPr>
        <w:autoSpaceDE/>
        <w:autoSpaceDN/>
        <w:spacing w:line="240" w:lineRule="auto"/>
        <w:textAlignment w:val="auto"/>
        <w:rPr>
          <w:rFonts w:ascii="Times New Roman" w:hAnsi="Times New Roman" w:cs="Times New Roman"/>
          <w:sz w:val="24"/>
        </w:rPr>
      </w:pPr>
    </w:p>
    <w:p w:rsidR="00B31913" w:rsidRPr="00B31913" w:rsidP="009E3674">
      <w:pPr>
        <w:autoSpaceDE/>
        <w:autoSpaceDN/>
        <w:spacing w:line="240" w:lineRule="auto"/>
        <w:textAlignment w:val="auto"/>
        <w:rPr>
          <w:rFonts w:ascii="Arial" w:hAnsi="Arial" w:cs="Arial"/>
          <w:b/>
          <w:bCs/>
          <w:vanish/>
          <w:sz w:val="16"/>
          <w:szCs w:val="16"/>
          <w:lang w:eastAsia="sk-SK"/>
        </w:rPr>
      </w:pPr>
    </w:p>
    <w:p w:rsidR="00684D28" w:rsidRPr="007852C5" w:rsidP="009E3674">
      <w:pPr>
        <w:spacing w:line="240" w:lineRule="auto"/>
        <w:rPr>
          <w:rFonts w:ascii="Times New Roman" w:hAnsi="Times New Roman" w:cs="Times New Roman"/>
          <w:sz w:val="24"/>
          <w:szCs w:val="24"/>
        </w:rPr>
      </w:pPr>
      <w:r>
        <w:rPr>
          <w:rFonts w:ascii="Times New Roman" w:hAnsi="Times New Roman" w:cs="Times New Roman"/>
          <w:b/>
          <w:sz w:val="24"/>
          <w:szCs w:val="24"/>
          <w:u w:val="single"/>
        </w:rPr>
        <w:t>2. Kapitálové transfery (720) na výstavbu diaľnic a rýchlostných ciest</w:t>
      </w:r>
      <w:r w:rsidRPr="007852C5">
        <w:rPr>
          <w:rFonts w:ascii="Times New Roman" w:hAnsi="Times New Roman" w:cs="Times New Roman"/>
          <w:sz w:val="24"/>
          <w:szCs w:val="24"/>
        </w:rPr>
        <w:t xml:space="preserve">, </w:t>
      </w:r>
      <w:r w:rsidRPr="00525CBA">
        <w:rPr>
          <w:rFonts w:ascii="Times New Roman" w:hAnsi="Times New Roman" w:cs="Times New Roman"/>
          <w:sz w:val="24"/>
          <w:szCs w:val="24"/>
        </w:rPr>
        <w:t>bez prostrie</w:t>
      </w:r>
      <w:r w:rsidRPr="00525CBA">
        <w:rPr>
          <w:rFonts w:ascii="Times New Roman" w:hAnsi="Times New Roman" w:cs="Times New Roman"/>
          <w:sz w:val="24"/>
          <w:szCs w:val="24"/>
        </w:rPr>
        <w:t>dkov</w:t>
      </w:r>
      <w:r w:rsidRPr="007852C5">
        <w:rPr>
          <w:rFonts w:ascii="Times New Roman" w:hAnsi="Times New Roman" w:cs="Times New Roman"/>
          <w:sz w:val="24"/>
          <w:szCs w:val="24"/>
        </w:rPr>
        <w:t xml:space="preserve"> z rozpočtu EÚ a príslušného spolufinan</w:t>
      </w:r>
      <w:r>
        <w:rPr>
          <w:rFonts w:ascii="Times New Roman" w:hAnsi="Times New Roman" w:cs="Times New Roman"/>
          <w:sz w:val="24"/>
          <w:szCs w:val="24"/>
        </w:rPr>
        <w:t>co</w:t>
      </w:r>
      <w:r w:rsidRPr="007852C5">
        <w:rPr>
          <w:rFonts w:ascii="Times New Roman" w:hAnsi="Times New Roman" w:cs="Times New Roman"/>
          <w:sz w:val="24"/>
          <w:szCs w:val="24"/>
        </w:rPr>
        <w:t>vania zo štátneho rozpočtu</w:t>
      </w:r>
    </w:p>
    <w:p w:rsidR="00F82884" w:rsidP="009E3674">
      <w:pPr>
        <w:spacing w:line="240" w:lineRule="auto"/>
        <w:rPr>
          <w:rFonts w:ascii="Times New Roman" w:hAnsi="Times New Roman" w:cs="Times New Roman"/>
          <w:b/>
          <w:sz w:val="24"/>
          <w:szCs w:val="24"/>
          <w:u w:val="single"/>
        </w:rPr>
      </w:pPr>
    </w:p>
    <w:p w:rsidR="00F82884" w:rsidP="005D446B">
      <w:pPr>
        <w:spacing w:line="240" w:lineRule="auto"/>
        <w:rPr>
          <w:rFonts w:ascii="Times New Roman" w:hAnsi="Times New Roman" w:cs="Times New Roman"/>
          <w:sz w:val="24"/>
          <w:szCs w:val="24"/>
        </w:rPr>
      </w:pPr>
      <w:r w:rsidRPr="004F3430" w:rsidR="00684D28">
        <w:rPr>
          <w:rFonts w:ascii="Times New Roman" w:hAnsi="Times New Roman" w:cs="Times New Roman"/>
          <w:b/>
          <w:sz w:val="24"/>
          <w:szCs w:val="24"/>
        </w:rPr>
        <w:tab/>
      </w:r>
      <w:r w:rsidR="00684D28">
        <w:rPr>
          <w:rFonts w:ascii="Times New Roman" w:hAnsi="Times New Roman" w:cs="Times New Roman"/>
          <w:sz w:val="24"/>
          <w:szCs w:val="24"/>
        </w:rPr>
        <w:t>S</w:t>
      </w:r>
      <w:r w:rsidRPr="004A1896" w:rsidR="00684D28">
        <w:rPr>
          <w:rFonts w:ascii="Times New Roman" w:hAnsi="Times New Roman" w:cs="Times New Roman"/>
          <w:sz w:val="24"/>
          <w:szCs w:val="24"/>
        </w:rPr>
        <w:t>uma fi</w:t>
      </w:r>
      <w:r w:rsidR="005B7AAE">
        <w:rPr>
          <w:rFonts w:ascii="Times New Roman" w:hAnsi="Times New Roman" w:cs="Times New Roman"/>
          <w:sz w:val="24"/>
          <w:szCs w:val="24"/>
        </w:rPr>
        <w:t xml:space="preserve">nančných prostriedkov poukázaná </w:t>
      </w:r>
      <w:r w:rsidR="007E2789">
        <w:rPr>
          <w:rFonts w:ascii="Times New Roman" w:hAnsi="Times New Roman" w:cs="Times New Roman"/>
          <w:sz w:val="24"/>
          <w:szCs w:val="24"/>
        </w:rPr>
        <w:t xml:space="preserve">NDS, a.s., </w:t>
      </w:r>
      <w:r w:rsidRPr="004A1896" w:rsidR="00684D28">
        <w:rPr>
          <w:rFonts w:ascii="Times New Roman" w:hAnsi="Times New Roman" w:cs="Times New Roman"/>
          <w:sz w:val="24"/>
          <w:szCs w:val="24"/>
        </w:rPr>
        <w:t>zo štátneho rozpočtu (bez spolufinancovania projektov kofinancovaných z EÚ)</w:t>
      </w:r>
      <w:r w:rsidR="00684D28">
        <w:rPr>
          <w:rFonts w:ascii="Times New Roman" w:hAnsi="Times New Roman" w:cs="Times New Roman"/>
          <w:sz w:val="24"/>
          <w:szCs w:val="24"/>
        </w:rPr>
        <w:t xml:space="preserve"> prostredníctvom kapitoly MDPT SR</w:t>
      </w:r>
      <w:r w:rsidR="00696505">
        <w:rPr>
          <w:rFonts w:ascii="Times New Roman" w:hAnsi="Times New Roman" w:cs="Times New Roman"/>
          <w:sz w:val="24"/>
          <w:szCs w:val="24"/>
        </w:rPr>
        <w:t xml:space="preserve"> vo forme investičných d</w:t>
      </w:r>
      <w:r w:rsidR="00696505">
        <w:rPr>
          <w:rFonts w:ascii="Times New Roman" w:hAnsi="Times New Roman" w:cs="Times New Roman"/>
          <w:sz w:val="24"/>
          <w:szCs w:val="24"/>
        </w:rPr>
        <w:t xml:space="preserve">otácií </w:t>
      </w:r>
      <w:r w:rsidR="00684D28">
        <w:rPr>
          <w:rFonts w:ascii="Times New Roman" w:hAnsi="Times New Roman" w:cs="Times New Roman"/>
          <w:sz w:val="24"/>
          <w:szCs w:val="24"/>
        </w:rPr>
        <w:t>na rok</w:t>
      </w:r>
      <w:r w:rsidR="00F37FD4">
        <w:rPr>
          <w:rFonts w:ascii="Times New Roman" w:hAnsi="Times New Roman" w:cs="Times New Roman"/>
          <w:sz w:val="24"/>
          <w:szCs w:val="24"/>
        </w:rPr>
        <w:t xml:space="preserve"> 2007</w:t>
      </w:r>
      <w:r w:rsidR="00696505">
        <w:rPr>
          <w:rFonts w:ascii="Times New Roman" w:hAnsi="Times New Roman" w:cs="Times New Roman"/>
          <w:sz w:val="24"/>
          <w:szCs w:val="24"/>
        </w:rPr>
        <w:t xml:space="preserve"> bola v zmysle Dodatku č. 3</w:t>
      </w:r>
      <w:r w:rsidR="00F37FD4">
        <w:rPr>
          <w:rFonts w:ascii="Times New Roman" w:hAnsi="Times New Roman" w:cs="Times New Roman"/>
          <w:sz w:val="24"/>
          <w:szCs w:val="24"/>
        </w:rPr>
        <w:t>/2007</w:t>
      </w:r>
      <w:r w:rsidR="00684D28">
        <w:rPr>
          <w:rFonts w:ascii="Times New Roman" w:hAnsi="Times New Roman" w:cs="Times New Roman"/>
          <w:sz w:val="24"/>
          <w:szCs w:val="24"/>
        </w:rPr>
        <w:t xml:space="preserve"> k Dohode o účelovosti použitia finančných prostriedkov </w:t>
      </w:r>
      <w:r w:rsidR="00F37FD4">
        <w:rPr>
          <w:rFonts w:ascii="Times New Roman" w:hAnsi="Times New Roman" w:cs="Times New Roman"/>
          <w:sz w:val="24"/>
          <w:szCs w:val="24"/>
        </w:rPr>
        <w:t>zo štátneho rozpočtu v roku 2007</w:t>
      </w:r>
      <w:r w:rsidR="00684D28">
        <w:rPr>
          <w:rFonts w:ascii="Times New Roman" w:hAnsi="Times New Roman" w:cs="Times New Roman"/>
          <w:sz w:val="24"/>
          <w:szCs w:val="24"/>
        </w:rPr>
        <w:t xml:space="preserve"> vo výšk</w:t>
      </w:r>
      <w:r w:rsidR="00696505">
        <w:rPr>
          <w:rFonts w:ascii="Times New Roman" w:hAnsi="Times New Roman" w:cs="Times New Roman"/>
          <w:sz w:val="24"/>
          <w:szCs w:val="24"/>
        </w:rPr>
        <w:t xml:space="preserve">e </w:t>
      </w:r>
      <w:r w:rsidRPr="00F67BF3" w:rsidR="0095692B">
        <w:rPr>
          <w:rFonts w:ascii="Times New Roman" w:hAnsi="Times New Roman" w:cs="Times New Roman"/>
          <w:b/>
          <w:sz w:val="24"/>
          <w:szCs w:val="24"/>
        </w:rPr>
        <w:t>6</w:t>
      </w:r>
      <w:r w:rsidRPr="00F67BF3" w:rsidR="00B2302F">
        <w:rPr>
          <w:rFonts w:ascii="Times New Roman" w:hAnsi="Times New Roman" w:cs="Times New Roman"/>
          <w:b/>
          <w:sz w:val="24"/>
          <w:szCs w:val="24"/>
        </w:rPr>
        <w:t> </w:t>
      </w:r>
      <w:r w:rsidRPr="00F67BF3" w:rsidR="009E351C">
        <w:rPr>
          <w:rFonts w:ascii="Times New Roman" w:hAnsi="Times New Roman" w:cs="Times New Roman"/>
          <w:b/>
          <w:sz w:val="24"/>
          <w:szCs w:val="24"/>
        </w:rPr>
        <w:t>123 355 119,42</w:t>
      </w:r>
      <w:r w:rsidRPr="00F67BF3" w:rsidR="0095692B">
        <w:rPr>
          <w:rFonts w:ascii="Times New Roman" w:hAnsi="Times New Roman" w:cs="Times New Roman"/>
          <w:b/>
          <w:sz w:val="24"/>
          <w:szCs w:val="24"/>
        </w:rPr>
        <w:t xml:space="preserve"> Sk</w:t>
      </w:r>
      <w:r w:rsidRPr="00AB1F6D" w:rsidR="00684D28">
        <w:rPr>
          <w:rFonts w:ascii="Times New Roman" w:hAnsi="Times New Roman" w:cs="Times New Roman"/>
          <w:sz w:val="24"/>
          <w:szCs w:val="24"/>
        </w:rPr>
        <w:t xml:space="preserve">. </w:t>
      </w:r>
      <w:r w:rsidRPr="00AB1F6D" w:rsidR="005B7AAE">
        <w:rPr>
          <w:rFonts w:ascii="Times New Roman" w:hAnsi="Times New Roman" w:cs="Times New Roman"/>
          <w:sz w:val="24"/>
          <w:szCs w:val="24"/>
        </w:rPr>
        <w:t>Čerpanie ú</w:t>
      </w:r>
      <w:r w:rsidRPr="00AB1F6D" w:rsidR="00684D28">
        <w:rPr>
          <w:rFonts w:ascii="Times New Roman" w:hAnsi="Times New Roman" w:cs="Times New Roman"/>
          <w:sz w:val="24"/>
          <w:szCs w:val="24"/>
        </w:rPr>
        <w:t>ver</w:t>
      </w:r>
      <w:r w:rsidRPr="00AB1F6D" w:rsidR="005B7AAE">
        <w:rPr>
          <w:rFonts w:ascii="Times New Roman" w:hAnsi="Times New Roman" w:cs="Times New Roman"/>
          <w:sz w:val="24"/>
          <w:szCs w:val="24"/>
        </w:rPr>
        <w:t>u</w:t>
      </w:r>
      <w:r w:rsidRPr="00AB1F6D" w:rsidR="00696505">
        <w:rPr>
          <w:rFonts w:ascii="Times New Roman" w:hAnsi="Times New Roman" w:cs="Times New Roman"/>
          <w:sz w:val="24"/>
          <w:szCs w:val="24"/>
        </w:rPr>
        <w:t xml:space="preserve"> EIB</w:t>
      </w:r>
      <w:r w:rsidR="009E351C">
        <w:rPr>
          <w:rFonts w:ascii="Times New Roman" w:hAnsi="Times New Roman" w:cs="Times New Roman"/>
          <w:sz w:val="24"/>
          <w:szCs w:val="24"/>
        </w:rPr>
        <w:t xml:space="preserve"> </w:t>
      </w:r>
      <w:r w:rsidR="00CC3689">
        <w:rPr>
          <w:rFonts w:ascii="Times New Roman" w:hAnsi="Times New Roman" w:cs="Times New Roman"/>
          <w:sz w:val="24"/>
          <w:szCs w:val="24"/>
        </w:rPr>
        <w:t xml:space="preserve">predstavovalo </w:t>
      </w:r>
      <w:r w:rsidRPr="00F67BF3" w:rsidR="0043435F">
        <w:rPr>
          <w:rFonts w:ascii="Times New Roman" w:hAnsi="Times New Roman" w:cs="Times New Roman"/>
          <w:b/>
          <w:sz w:val="24"/>
          <w:szCs w:val="24"/>
        </w:rPr>
        <w:t>1 002 174 854,60</w:t>
      </w:r>
      <w:r w:rsidRPr="00F67BF3" w:rsidR="005B7AAE">
        <w:rPr>
          <w:rFonts w:ascii="Times New Roman" w:hAnsi="Times New Roman" w:cs="Times New Roman"/>
          <w:b/>
          <w:sz w:val="24"/>
          <w:szCs w:val="24"/>
        </w:rPr>
        <w:t xml:space="preserve"> Sk</w:t>
      </w:r>
      <w:r w:rsidRPr="00AB1F6D" w:rsidR="005B7AAE">
        <w:rPr>
          <w:rFonts w:ascii="Times New Roman" w:hAnsi="Times New Roman" w:cs="Times New Roman"/>
          <w:sz w:val="24"/>
          <w:szCs w:val="24"/>
        </w:rPr>
        <w:t xml:space="preserve"> </w:t>
      </w:r>
      <w:r w:rsidRPr="00AB1F6D" w:rsidR="00696505">
        <w:rPr>
          <w:rFonts w:ascii="Times New Roman" w:hAnsi="Times New Roman" w:cs="Times New Roman"/>
          <w:sz w:val="24"/>
          <w:szCs w:val="24"/>
        </w:rPr>
        <w:t>a</w:t>
      </w:r>
      <w:r w:rsidRPr="00AB1F6D" w:rsidR="005B7AAE">
        <w:rPr>
          <w:rFonts w:ascii="Times New Roman" w:hAnsi="Times New Roman" w:cs="Times New Roman"/>
          <w:sz w:val="24"/>
          <w:szCs w:val="24"/>
        </w:rPr>
        <w:t xml:space="preserve"> finančné prostriedky úveru </w:t>
      </w:r>
      <w:r w:rsidRPr="00AB1F6D" w:rsidR="00684D28">
        <w:rPr>
          <w:rFonts w:ascii="Times New Roman" w:hAnsi="Times New Roman" w:cs="Times New Roman"/>
          <w:sz w:val="24"/>
          <w:szCs w:val="24"/>
        </w:rPr>
        <w:t xml:space="preserve">JBIC </w:t>
      </w:r>
      <w:r w:rsidRPr="00AB1F6D" w:rsidR="00684D28">
        <w:rPr>
          <w:rFonts w:ascii="Times New Roman" w:hAnsi="Times New Roman" w:cs="Times New Roman"/>
          <w:sz w:val="24"/>
          <w:szCs w:val="24"/>
        </w:rPr>
        <w:t>(</w:t>
      </w:r>
      <w:r w:rsidRPr="00AB1F6D" w:rsidR="005B7AAE">
        <w:rPr>
          <w:rFonts w:ascii="Times New Roman" w:hAnsi="Times New Roman" w:cs="Times New Roman"/>
          <w:sz w:val="24"/>
          <w:szCs w:val="24"/>
        </w:rPr>
        <w:t xml:space="preserve">obidva sú súčasťou </w:t>
      </w:r>
      <w:r w:rsidRPr="00AB1F6D" w:rsidR="00684D28">
        <w:rPr>
          <w:rFonts w:ascii="Times New Roman" w:hAnsi="Times New Roman" w:cs="Times New Roman"/>
          <w:sz w:val="24"/>
          <w:szCs w:val="24"/>
        </w:rPr>
        <w:t>rozpočtu výdavkov)</w:t>
      </w:r>
      <w:r w:rsidR="0043435F">
        <w:rPr>
          <w:rFonts w:ascii="Times New Roman" w:hAnsi="Times New Roman" w:cs="Times New Roman"/>
          <w:sz w:val="24"/>
          <w:szCs w:val="24"/>
        </w:rPr>
        <w:t xml:space="preserve"> boli použité vo výške </w:t>
      </w:r>
      <w:r w:rsidRPr="00F67BF3" w:rsidR="0043435F">
        <w:rPr>
          <w:rFonts w:ascii="Times New Roman" w:hAnsi="Times New Roman" w:cs="Times New Roman"/>
          <w:b/>
          <w:sz w:val="24"/>
          <w:szCs w:val="24"/>
        </w:rPr>
        <w:t>480 975 237,82</w:t>
      </w:r>
      <w:r w:rsidRPr="00AB1F6D" w:rsidR="005B7AAE">
        <w:rPr>
          <w:rFonts w:ascii="Times New Roman" w:hAnsi="Times New Roman" w:cs="Times New Roman"/>
          <w:sz w:val="24"/>
          <w:szCs w:val="24"/>
        </w:rPr>
        <w:t xml:space="preserve"> Sk. </w:t>
      </w:r>
    </w:p>
    <w:p w:rsidR="00A54F39" w:rsidP="00A54F39">
      <w:pPr>
        <w:spacing w:line="240" w:lineRule="auto"/>
        <w:rPr>
          <w:rFonts w:ascii="Times New Roman" w:hAnsi="Times New Roman" w:cs="Times New Roman"/>
          <w:sz w:val="24"/>
          <w:szCs w:val="24"/>
        </w:rPr>
      </w:pPr>
    </w:p>
    <w:p w:rsidR="00A54F39" w:rsidP="00A54F39">
      <w:pPr>
        <w:spacing w:line="240" w:lineRule="auto"/>
        <w:ind w:firstLine="709"/>
        <w:rPr>
          <w:rFonts w:ascii="Times New Roman" w:hAnsi="Times New Roman" w:cs="Times New Roman"/>
          <w:sz w:val="24"/>
          <w:szCs w:val="24"/>
        </w:rPr>
      </w:pPr>
      <w:r w:rsidRPr="00A54F39">
        <w:rPr>
          <w:rFonts w:ascii="Times New Roman" w:hAnsi="Times New Roman" w:cs="Times New Roman"/>
          <w:sz w:val="24"/>
          <w:szCs w:val="24"/>
        </w:rPr>
        <w:t xml:space="preserve">Použitie celkovej výšky investičných dotácií </w:t>
      </w:r>
      <w:r>
        <w:rPr>
          <w:rFonts w:ascii="Times New Roman" w:hAnsi="Times New Roman" w:cs="Times New Roman"/>
          <w:sz w:val="24"/>
          <w:szCs w:val="24"/>
        </w:rPr>
        <w:t xml:space="preserve">(bez úverov) vo výške 6 123 355 tis. Sk </w:t>
      </w:r>
      <w:r w:rsidRPr="00A54F39">
        <w:rPr>
          <w:rFonts w:ascii="Times New Roman" w:hAnsi="Times New Roman" w:cs="Times New Roman"/>
          <w:sz w:val="24"/>
          <w:szCs w:val="24"/>
        </w:rPr>
        <w:t>bolo určené</w:t>
      </w:r>
      <w:r>
        <w:rPr>
          <w:rFonts w:ascii="Times New Roman" w:hAnsi="Times New Roman" w:cs="Times New Roman"/>
          <w:sz w:val="24"/>
          <w:szCs w:val="24"/>
        </w:rPr>
        <w:t xml:space="preserve"> na: </w:t>
      </w:r>
    </w:p>
    <w:p w:rsidR="00A54F39" w:rsidP="00A54F39">
      <w:pPr>
        <w:pStyle w:val="BodyText"/>
        <w:pBdr>
          <w:top w:val="none" w:sz="0" w:space="0" w:color="auto"/>
          <w:left w:val="none" w:sz="0" w:space="0" w:color="auto"/>
          <w:bottom w:val="none" w:sz="0" w:space="0" w:color="auto"/>
          <w:right w:val="none" w:sz="0" w:space="0" w:color="auto"/>
        </w:pBdr>
        <w:shd w:val="clear" w:color="auto" w:fill="auto"/>
        <w:adjustRightInd/>
        <w:spacing w:line="240" w:lineRule="auto"/>
        <w:ind w:left="360" w:right="0"/>
        <w:textAlignment w:val="auto"/>
        <w:rPr>
          <w:rFonts w:ascii="Times New Roman" w:hAnsi="Times New Roman" w:cs="Times New Roman"/>
          <w:b w:val="0"/>
          <w:i w:val="0"/>
          <w:sz w:val="24"/>
          <w:szCs w:val="24"/>
        </w:rPr>
      </w:pPr>
    </w:p>
    <w:p w:rsidR="00A54F39" w:rsidRPr="00A54F39" w:rsidP="001654CB">
      <w:pPr>
        <w:pStyle w:val="BodyText"/>
        <w:numPr>
          <w:ilvl w:val="1"/>
          <w:numId w:val="31"/>
        </w:numPr>
        <w:pBdr>
          <w:top w:val="none" w:sz="0" w:space="0" w:color="auto"/>
          <w:left w:val="none" w:sz="0" w:space="0" w:color="auto"/>
          <w:bottom w:val="none" w:sz="0" w:space="0" w:color="auto"/>
          <w:right w:val="none" w:sz="0" w:space="0" w:color="auto"/>
        </w:pBdr>
        <w:shd w:val="clear" w:color="auto" w:fill="auto"/>
        <w:tabs>
          <w:tab w:val="left" w:pos="720"/>
          <w:tab w:val="clear" w:pos="1440"/>
        </w:tabs>
        <w:adjustRightInd/>
        <w:spacing w:line="240" w:lineRule="auto"/>
        <w:ind w:left="720" w:right="0"/>
        <w:textAlignment w:val="auto"/>
        <w:rPr>
          <w:rFonts w:ascii="Times New Roman" w:hAnsi="Times New Roman" w:cs="Times New Roman"/>
          <w:b w:val="0"/>
          <w:i w:val="0"/>
          <w:sz w:val="24"/>
          <w:szCs w:val="24"/>
        </w:rPr>
      </w:pPr>
      <w:r w:rsidRPr="00A54F39">
        <w:rPr>
          <w:rFonts w:ascii="Times New Roman" w:hAnsi="Times New Roman" w:cs="Times New Roman"/>
          <w:b w:val="0"/>
          <w:i w:val="0"/>
          <w:sz w:val="24"/>
          <w:szCs w:val="24"/>
        </w:rPr>
        <w:t>na výstavbu diaľnic a rýchlostných ciest</w:t>
      </w:r>
      <w:r>
        <w:rPr>
          <w:rFonts w:ascii="Times New Roman" w:hAnsi="Times New Roman" w:cs="Times New Roman"/>
          <w:b w:val="0"/>
          <w:i w:val="0"/>
          <w:sz w:val="24"/>
          <w:szCs w:val="24"/>
        </w:rPr>
        <w:t xml:space="preserve"> vo výške 6 095 441 tis. </w:t>
      </w:r>
      <w:r w:rsidRPr="00A54F39">
        <w:rPr>
          <w:rFonts w:ascii="Times New Roman" w:hAnsi="Times New Roman" w:cs="Times New Roman"/>
          <w:b w:val="0"/>
          <w:i w:val="0"/>
          <w:sz w:val="24"/>
          <w:szCs w:val="24"/>
        </w:rPr>
        <w:t>Sk</w:t>
      </w:r>
      <w:r>
        <w:rPr>
          <w:rFonts w:ascii="Times New Roman" w:hAnsi="Times New Roman" w:cs="Times New Roman"/>
          <w:b w:val="0"/>
          <w:i w:val="0"/>
          <w:sz w:val="24"/>
          <w:szCs w:val="24"/>
        </w:rPr>
        <w:t>, a </w:t>
      </w:r>
      <w:r>
        <w:rPr>
          <w:rFonts w:ascii="Times New Roman" w:hAnsi="Times New Roman" w:cs="Times New Roman"/>
          <w:b w:val="0"/>
          <w:i w:val="0"/>
          <w:sz w:val="24"/>
          <w:szCs w:val="24"/>
        </w:rPr>
        <w:t>to na</w:t>
      </w:r>
      <w:r w:rsidRPr="00A54F39">
        <w:rPr>
          <w:rFonts w:ascii="Times New Roman" w:hAnsi="Times New Roman" w:cs="Times New Roman"/>
          <w:b w:val="0"/>
          <w:i w:val="0"/>
          <w:sz w:val="24"/>
          <w:szCs w:val="24"/>
        </w:rPr>
        <w:t xml:space="preserve">: </w:t>
      </w:r>
    </w:p>
    <w:p w:rsidR="00A54F39" w:rsidRPr="00A54F39" w:rsidP="00A54F39">
      <w:pPr>
        <w:pStyle w:val="BodyText"/>
        <w:pBdr>
          <w:top w:val="none" w:sz="0" w:space="0" w:color="auto"/>
          <w:left w:val="none" w:sz="0" w:space="0" w:color="auto"/>
          <w:bottom w:val="none" w:sz="0" w:space="0" w:color="auto"/>
          <w:right w:val="none" w:sz="0" w:space="0" w:color="auto"/>
        </w:pBdr>
        <w:shd w:val="clear" w:color="auto" w:fill="auto"/>
        <w:tabs>
          <w:tab w:val="left" w:pos="1800"/>
        </w:tabs>
        <w:adjustRightInd/>
        <w:spacing w:line="240" w:lineRule="auto"/>
        <w:ind w:left="720" w:right="0"/>
        <w:textAlignment w:val="auto"/>
        <w:rPr>
          <w:rFonts w:ascii="Times New Roman" w:hAnsi="Times New Roman" w:cs="Times New Roman"/>
          <w:b w:val="0"/>
          <w:i w:val="0"/>
          <w:sz w:val="24"/>
          <w:szCs w:val="24"/>
        </w:rPr>
      </w:pPr>
      <w:r>
        <w:rPr>
          <w:rFonts w:ascii="Times New Roman" w:hAnsi="Times New Roman" w:cs="Times New Roman"/>
          <w:b w:val="0"/>
          <w:i w:val="0"/>
          <w:sz w:val="24"/>
          <w:szCs w:val="24"/>
        </w:rPr>
        <w:t xml:space="preserve">- </w:t>
      </w:r>
      <w:r w:rsidRPr="00A54F39">
        <w:rPr>
          <w:rFonts w:ascii="Times New Roman" w:hAnsi="Times New Roman" w:cs="Times New Roman"/>
          <w:b w:val="0"/>
          <w:i w:val="0"/>
          <w:sz w:val="24"/>
          <w:szCs w:val="24"/>
        </w:rPr>
        <w:t>výkupy pozemkov</w:t>
      </w:r>
      <w:r>
        <w:rPr>
          <w:rFonts w:ascii="Times New Roman" w:hAnsi="Times New Roman" w:cs="Times New Roman"/>
          <w:b w:val="0"/>
          <w:i w:val="0"/>
          <w:sz w:val="24"/>
          <w:szCs w:val="24"/>
        </w:rPr>
        <w:t xml:space="preserve"> vo výške............87 085 tis. </w:t>
      </w:r>
      <w:r w:rsidRPr="00A54F39">
        <w:rPr>
          <w:rFonts w:ascii="Times New Roman" w:hAnsi="Times New Roman" w:cs="Times New Roman"/>
          <w:b w:val="0"/>
          <w:i w:val="0"/>
          <w:sz w:val="24"/>
          <w:szCs w:val="24"/>
        </w:rPr>
        <w:t>Sk</w:t>
      </w:r>
    </w:p>
    <w:p w:rsidR="00A54F39" w:rsidRPr="00A54F39" w:rsidP="00A54F39">
      <w:pPr>
        <w:pStyle w:val="BodyText"/>
        <w:pBdr>
          <w:top w:val="none" w:sz="0" w:space="0" w:color="auto"/>
          <w:left w:val="none" w:sz="0" w:space="0" w:color="auto"/>
          <w:bottom w:val="none" w:sz="0" w:space="0" w:color="auto"/>
          <w:right w:val="none" w:sz="0" w:space="0" w:color="auto"/>
        </w:pBdr>
        <w:shd w:val="clear" w:color="auto" w:fill="auto"/>
        <w:tabs>
          <w:tab w:val="left" w:pos="1800"/>
        </w:tabs>
        <w:adjustRightInd/>
        <w:spacing w:line="240" w:lineRule="auto"/>
        <w:ind w:left="720" w:right="0"/>
        <w:textAlignment w:val="auto"/>
        <w:rPr>
          <w:rFonts w:ascii="Times New Roman" w:hAnsi="Times New Roman" w:cs="Times New Roman"/>
          <w:b w:val="0"/>
          <w:i w:val="0"/>
          <w:sz w:val="24"/>
          <w:szCs w:val="24"/>
        </w:rPr>
      </w:pPr>
      <w:r>
        <w:rPr>
          <w:rFonts w:ascii="Times New Roman" w:hAnsi="Times New Roman" w:cs="Times New Roman"/>
          <w:b w:val="0"/>
          <w:i w:val="0"/>
          <w:sz w:val="24"/>
          <w:szCs w:val="24"/>
        </w:rPr>
        <w:t xml:space="preserve">- projektové práce vo výške.............130 990 tis. </w:t>
      </w:r>
      <w:r w:rsidRPr="00A54F39">
        <w:rPr>
          <w:rFonts w:ascii="Times New Roman" w:hAnsi="Times New Roman" w:cs="Times New Roman"/>
          <w:b w:val="0"/>
          <w:i w:val="0"/>
          <w:sz w:val="24"/>
          <w:szCs w:val="24"/>
        </w:rPr>
        <w:t>Sk</w:t>
      </w:r>
    </w:p>
    <w:p w:rsidR="00A54F39" w:rsidRPr="00A54F39" w:rsidP="00A54F39">
      <w:pPr>
        <w:pStyle w:val="BodyText"/>
        <w:pBdr>
          <w:top w:val="none" w:sz="0" w:space="0" w:color="auto"/>
          <w:left w:val="none" w:sz="0" w:space="0" w:color="auto"/>
          <w:bottom w:val="none" w:sz="0" w:space="0" w:color="auto"/>
          <w:right w:val="none" w:sz="0" w:space="0" w:color="auto"/>
        </w:pBdr>
        <w:shd w:val="clear" w:color="auto" w:fill="auto"/>
        <w:tabs>
          <w:tab w:val="left" w:pos="1800"/>
        </w:tabs>
        <w:adjustRightInd/>
        <w:spacing w:line="240" w:lineRule="auto"/>
        <w:ind w:left="720" w:right="0"/>
        <w:textAlignment w:val="auto"/>
        <w:rPr>
          <w:rFonts w:ascii="Times New Roman" w:hAnsi="Times New Roman" w:cs="Times New Roman"/>
          <w:b w:val="0"/>
          <w:i w:val="0"/>
          <w:sz w:val="24"/>
          <w:szCs w:val="24"/>
        </w:rPr>
      </w:pPr>
      <w:r>
        <w:rPr>
          <w:rFonts w:ascii="Times New Roman" w:hAnsi="Times New Roman" w:cs="Times New Roman"/>
          <w:b w:val="0"/>
          <w:i w:val="0"/>
          <w:sz w:val="24"/>
          <w:szCs w:val="24"/>
        </w:rPr>
        <w:t xml:space="preserve">- </w:t>
      </w:r>
      <w:r w:rsidRPr="00A54F39">
        <w:rPr>
          <w:rFonts w:ascii="Times New Roman" w:hAnsi="Times New Roman" w:cs="Times New Roman"/>
          <w:b w:val="0"/>
          <w:i w:val="0"/>
          <w:sz w:val="24"/>
          <w:szCs w:val="24"/>
        </w:rPr>
        <w:t>stavebné práce</w:t>
      </w:r>
      <w:r>
        <w:rPr>
          <w:rFonts w:ascii="Times New Roman" w:hAnsi="Times New Roman" w:cs="Times New Roman"/>
          <w:b w:val="0"/>
          <w:i w:val="0"/>
          <w:sz w:val="24"/>
          <w:szCs w:val="24"/>
        </w:rPr>
        <w:t xml:space="preserve"> vo výške.............5 833 839 tis. </w:t>
      </w:r>
      <w:r w:rsidRPr="00A54F39">
        <w:rPr>
          <w:rFonts w:ascii="Times New Roman" w:hAnsi="Times New Roman" w:cs="Times New Roman"/>
          <w:b w:val="0"/>
          <w:i w:val="0"/>
          <w:sz w:val="24"/>
          <w:szCs w:val="24"/>
        </w:rPr>
        <w:t>Sk</w:t>
      </w:r>
    </w:p>
    <w:p w:rsidR="00A54F39" w:rsidP="00A54F39">
      <w:pPr>
        <w:pStyle w:val="BodyText"/>
        <w:pBdr>
          <w:top w:val="none" w:sz="0" w:space="0" w:color="auto"/>
          <w:left w:val="none" w:sz="0" w:space="0" w:color="auto"/>
          <w:bottom w:val="none" w:sz="0" w:space="0" w:color="auto"/>
          <w:right w:val="none" w:sz="0" w:space="0" w:color="auto"/>
        </w:pBdr>
        <w:shd w:val="clear" w:color="auto" w:fill="auto"/>
        <w:tabs>
          <w:tab w:val="left" w:pos="1800"/>
        </w:tabs>
        <w:adjustRightInd/>
        <w:spacing w:line="240" w:lineRule="auto"/>
        <w:ind w:left="720" w:right="0"/>
        <w:textAlignment w:val="auto"/>
        <w:rPr>
          <w:rFonts w:ascii="Times New Roman" w:hAnsi="Times New Roman" w:cs="Times New Roman"/>
          <w:b w:val="0"/>
          <w:i w:val="0"/>
          <w:sz w:val="24"/>
          <w:szCs w:val="24"/>
        </w:rPr>
      </w:pPr>
      <w:r>
        <w:rPr>
          <w:rFonts w:ascii="Times New Roman" w:hAnsi="Times New Roman" w:cs="Times New Roman"/>
          <w:b w:val="0"/>
          <w:i w:val="0"/>
          <w:sz w:val="24"/>
          <w:szCs w:val="24"/>
        </w:rPr>
        <w:t xml:space="preserve">- </w:t>
      </w:r>
      <w:r w:rsidRPr="00A54F39">
        <w:rPr>
          <w:rFonts w:ascii="Times New Roman" w:hAnsi="Times New Roman" w:cs="Times New Roman"/>
          <w:b w:val="0"/>
          <w:i w:val="0"/>
          <w:sz w:val="24"/>
          <w:szCs w:val="24"/>
        </w:rPr>
        <w:t>stro</w:t>
      </w:r>
      <w:r>
        <w:rPr>
          <w:rFonts w:ascii="Times New Roman" w:hAnsi="Times New Roman" w:cs="Times New Roman"/>
          <w:b w:val="0"/>
          <w:i w:val="0"/>
          <w:sz w:val="24"/>
          <w:szCs w:val="24"/>
        </w:rPr>
        <w:t>jné investície vo výške...............43 527 tis. Sk</w:t>
      </w:r>
    </w:p>
    <w:p w:rsidR="00A54F39" w:rsidRPr="00A54F39" w:rsidP="00A54F39">
      <w:pPr>
        <w:pStyle w:val="BodyText"/>
        <w:pBdr>
          <w:top w:val="none" w:sz="0" w:space="0" w:color="auto"/>
          <w:left w:val="none" w:sz="0" w:space="0" w:color="auto"/>
          <w:bottom w:val="none" w:sz="0" w:space="0" w:color="auto"/>
          <w:right w:val="none" w:sz="0" w:space="0" w:color="auto"/>
        </w:pBdr>
        <w:shd w:val="clear" w:color="auto" w:fill="auto"/>
        <w:tabs>
          <w:tab w:val="left" w:pos="1800"/>
        </w:tabs>
        <w:adjustRightInd/>
        <w:spacing w:line="240" w:lineRule="auto"/>
        <w:ind w:left="720" w:right="0"/>
        <w:textAlignment w:val="auto"/>
        <w:rPr>
          <w:rFonts w:ascii="Times New Roman" w:hAnsi="Times New Roman" w:cs="Times New Roman"/>
          <w:b w:val="0"/>
          <w:i w:val="0"/>
          <w:sz w:val="24"/>
          <w:szCs w:val="24"/>
        </w:rPr>
      </w:pPr>
    </w:p>
    <w:p w:rsidR="00A54F39" w:rsidRPr="00A54F39" w:rsidP="001654CB">
      <w:pPr>
        <w:pStyle w:val="BodyText"/>
        <w:numPr>
          <w:ilvl w:val="1"/>
          <w:numId w:val="31"/>
        </w:numPr>
        <w:pBdr>
          <w:top w:val="none" w:sz="0" w:space="0" w:color="auto"/>
          <w:left w:val="none" w:sz="0" w:space="0" w:color="auto"/>
          <w:bottom w:val="none" w:sz="0" w:space="0" w:color="auto"/>
          <w:right w:val="none" w:sz="0" w:space="0" w:color="auto"/>
        </w:pBdr>
        <w:shd w:val="clear" w:color="auto" w:fill="auto"/>
        <w:tabs>
          <w:tab w:val="left" w:pos="360"/>
          <w:tab w:val="clear" w:pos="1440"/>
        </w:tabs>
        <w:adjustRightInd/>
        <w:spacing w:line="240" w:lineRule="auto"/>
        <w:ind w:left="720" w:right="0"/>
        <w:textAlignment w:val="auto"/>
        <w:rPr>
          <w:rFonts w:ascii="Times New Roman" w:hAnsi="Times New Roman" w:cs="Times New Roman"/>
          <w:b w:val="0"/>
          <w:i w:val="0"/>
          <w:sz w:val="24"/>
          <w:szCs w:val="24"/>
        </w:rPr>
      </w:pPr>
      <w:r w:rsidRPr="00A54F39">
        <w:rPr>
          <w:rFonts w:ascii="Times New Roman" w:hAnsi="Times New Roman" w:cs="Times New Roman"/>
          <w:b w:val="0"/>
          <w:i w:val="0"/>
          <w:sz w:val="24"/>
          <w:szCs w:val="24"/>
        </w:rPr>
        <w:t xml:space="preserve">na financovanie záväzkov </w:t>
      </w:r>
      <w:r w:rsidR="007E2789">
        <w:rPr>
          <w:rFonts w:ascii="Times New Roman" w:hAnsi="Times New Roman" w:cs="Times New Roman"/>
          <w:b w:val="0"/>
          <w:i w:val="0"/>
          <w:sz w:val="24"/>
          <w:szCs w:val="24"/>
        </w:rPr>
        <w:t xml:space="preserve">NDS, a.s., </w:t>
      </w:r>
      <w:r w:rsidRPr="00A54F39">
        <w:rPr>
          <w:rFonts w:ascii="Times New Roman" w:hAnsi="Times New Roman" w:cs="Times New Roman"/>
          <w:b w:val="0"/>
          <w:i w:val="0"/>
          <w:sz w:val="24"/>
          <w:szCs w:val="24"/>
        </w:rPr>
        <w:t>súvisiacich s užívaním pozemkov využívaných pri výstavbe diaľnic a rýchlostných ciest, ktoré na ňu prešli na základe Zápisnice o odovzdaní a prevzatí majetku, práv a povi</w:t>
      </w:r>
      <w:r w:rsidR="007E2789">
        <w:rPr>
          <w:rFonts w:ascii="Times New Roman" w:hAnsi="Times New Roman" w:cs="Times New Roman"/>
          <w:b w:val="0"/>
          <w:i w:val="0"/>
          <w:sz w:val="24"/>
          <w:szCs w:val="24"/>
        </w:rPr>
        <w:t xml:space="preserve">nností medzi SSC, MDPT SR a NDS, a.s., </w:t>
      </w:r>
      <w:r w:rsidRPr="00A54F39">
        <w:rPr>
          <w:rFonts w:ascii="Times New Roman" w:hAnsi="Times New Roman" w:cs="Times New Roman"/>
          <w:b w:val="0"/>
          <w:i w:val="0"/>
          <w:sz w:val="24"/>
          <w:szCs w:val="24"/>
        </w:rPr>
        <w:t>zo dňa 31. 1. 2006</w:t>
      </w:r>
      <w:r>
        <w:rPr>
          <w:rFonts w:ascii="Times New Roman" w:hAnsi="Times New Roman" w:cs="Times New Roman"/>
          <w:b w:val="0"/>
          <w:i w:val="0"/>
          <w:sz w:val="24"/>
          <w:szCs w:val="24"/>
        </w:rPr>
        <w:t>, a to vo výške suma 27 914 t</w:t>
      </w:r>
      <w:r>
        <w:rPr>
          <w:rFonts w:ascii="Times New Roman" w:hAnsi="Times New Roman" w:cs="Times New Roman"/>
          <w:b w:val="0"/>
          <w:i w:val="0"/>
          <w:sz w:val="24"/>
          <w:szCs w:val="24"/>
        </w:rPr>
        <w:t>is. Sk</w:t>
      </w:r>
    </w:p>
    <w:p w:rsidR="00A54F39" w:rsidP="004A4202">
      <w:pPr>
        <w:spacing w:line="240" w:lineRule="auto"/>
        <w:rPr>
          <w:rFonts w:ascii="Times New Roman" w:hAnsi="Times New Roman" w:cs="Times New Roman"/>
          <w:sz w:val="24"/>
          <w:szCs w:val="24"/>
        </w:rPr>
      </w:pPr>
    </w:p>
    <w:p w:rsidR="00F82884" w:rsidP="002710B0">
      <w:pPr>
        <w:spacing w:line="240" w:lineRule="auto"/>
        <w:ind w:firstLine="709"/>
        <w:rPr>
          <w:rFonts w:ascii="Times New Roman" w:hAnsi="Times New Roman" w:cs="Times New Roman"/>
          <w:color w:val="000000"/>
          <w:sz w:val="24"/>
          <w:szCs w:val="24"/>
        </w:rPr>
      </w:pPr>
      <w:r w:rsidRPr="00AB1F6D" w:rsidR="005B7AAE">
        <w:rPr>
          <w:rFonts w:ascii="Times New Roman" w:hAnsi="Times New Roman" w:cs="Times New Roman"/>
          <w:sz w:val="24"/>
          <w:szCs w:val="24"/>
        </w:rPr>
        <w:t>Okrem uved</w:t>
      </w:r>
      <w:r w:rsidR="007E2789">
        <w:rPr>
          <w:rFonts w:ascii="Times New Roman" w:hAnsi="Times New Roman" w:cs="Times New Roman"/>
          <w:sz w:val="24"/>
          <w:szCs w:val="24"/>
        </w:rPr>
        <w:t xml:space="preserve">ených zdrojov použila NDS, a.s., </w:t>
      </w:r>
      <w:r w:rsidRPr="00AB1F6D" w:rsidR="005B7AAE">
        <w:rPr>
          <w:rFonts w:ascii="Times New Roman" w:hAnsi="Times New Roman" w:cs="Times New Roman"/>
          <w:sz w:val="24"/>
          <w:szCs w:val="24"/>
        </w:rPr>
        <w:t xml:space="preserve">aj </w:t>
      </w:r>
      <w:r w:rsidRPr="00AB1F6D" w:rsidR="005B7AAE">
        <w:rPr>
          <w:rFonts w:ascii="Times New Roman" w:hAnsi="Times New Roman" w:cs="Times New Roman"/>
          <w:color w:val="000000"/>
          <w:sz w:val="24"/>
          <w:szCs w:val="24"/>
        </w:rPr>
        <w:t>mimorozpočtové prost</w:t>
      </w:r>
      <w:r w:rsidR="00C87826">
        <w:rPr>
          <w:rFonts w:ascii="Times New Roman" w:hAnsi="Times New Roman" w:cs="Times New Roman"/>
          <w:color w:val="000000"/>
          <w:sz w:val="24"/>
          <w:szCs w:val="24"/>
        </w:rPr>
        <w:t xml:space="preserve">riedky TEN-T vo výške </w:t>
      </w:r>
      <w:r w:rsidRPr="00F67BF3" w:rsidR="00C87826">
        <w:rPr>
          <w:rFonts w:ascii="Times New Roman" w:hAnsi="Times New Roman" w:cs="Times New Roman"/>
          <w:b/>
          <w:color w:val="000000"/>
          <w:sz w:val="24"/>
          <w:szCs w:val="24"/>
        </w:rPr>
        <w:t>50 592 652,17</w:t>
      </w:r>
      <w:r w:rsidR="00C87826">
        <w:rPr>
          <w:rFonts w:ascii="Times New Roman" w:hAnsi="Times New Roman" w:cs="Times New Roman"/>
          <w:color w:val="000000"/>
          <w:sz w:val="24"/>
          <w:szCs w:val="24"/>
        </w:rPr>
        <w:t xml:space="preserve"> </w:t>
      </w:r>
      <w:r w:rsidRPr="00F67BF3" w:rsidR="005B7AAE">
        <w:rPr>
          <w:rFonts w:ascii="Times New Roman" w:hAnsi="Times New Roman" w:cs="Times New Roman"/>
          <w:b/>
          <w:color w:val="000000"/>
          <w:sz w:val="24"/>
          <w:szCs w:val="24"/>
        </w:rPr>
        <w:t>Sk</w:t>
      </w:r>
      <w:r w:rsidRPr="00AB1F6D" w:rsidR="005B7AAE">
        <w:rPr>
          <w:rFonts w:ascii="Times New Roman" w:hAnsi="Times New Roman" w:cs="Times New Roman"/>
          <w:color w:val="000000"/>
          <w:sz w:val="24"/>
          <w:szCs w:val="24"/>
        </w:rPr>
        <w:t xml:space="preserve">. </w:t>
      </w:r>
    </w:p>
    <w:p w:rsidR="00696505" w:rsidP="00F82884">
      <w:pPr>
        <w:spacing w:line="240" w:lineRule="auto"/>
        <w:ind w:firstLine="709"/>
        <w:rPr>
          <w:rFonts w:ascii="Times New Roman" w:hAnsi="Times New Roman" w:cs="Times New Roman"/>
          <w:sz w:val="24"/>
          <w:szCs w:val="24"/>
        </w:rPr>
      </w:pPr>
      <w:r w:rsidRPr="005D446B" w:rsidR="005B7AAE">
        <w:rPr>
          <w:rFonts w:ascii="Times New Roman" w:hAnsi="Times New Roman" w:cs="Times New Roman"/>
          <w:b/>
          <w:color w:val="000000"/>
          <w:sz w:val="24"/>
          <w:szCs w:val="24"/>
        </w:rPr>
        <w:t xml:space="preserve">Celkové čerpanie </w:t>
      </w:r>
      <w:r w:rsidRPr="00F67BF3" w:rsidR="005B7AAE">
        <w:rPr>
          <w:rFonts w:ascii="Times New Roman" w:hAnsi="Times New Roman" w:cs="Times New Roman"/>
          <w:color w:val="000000"/>
          <w:sz w:val="24"/>
          <w:szCs w:val="24"/>
        </w:rPr>
        <w:t>ka</w:t>
      </w:r>
      <w:r w:rsidR="007E2789">
        <w:rPr>
          <w:rFonts w:ascii="Times New Roman" w:hAnsi="Times New Roman" w:cs="Times New Roman"/>
          <w:color w:val="000000"/>
          <w:sz w:val="24"/>
          <w:szCs w:val="24"/>
        </w:rPr>
        <w:t xml:space="preserve">pitálových transferov NDS, a.s., </w:t>
      </w:r>
      <w:r w:rsidRPr="00F67BF3" w:rsidR="005B7AAE">
        <w:rPr>
          <w:rFonts w:ascii="Times New Roman" w:hAnsi="Times New Roman" w:cs="Times New Roman"/>
          <w:color w:val="000000"/>
          <w:sz w:val="24"/>
          <w:szCs w:val="24"/>
        </w:rPr>
        <w:t xml:space="preserve">na výstavbu diaľnic a rýchlostných ciest </w:t>
      </w:r>
      <w:r w:rsidRPr="00F67BF3" w:rsidR="000C609F">
        <w:rPr>
          <w:rFonts w:ascii="Times New Roman" w:hAnsi="Times New Roman" w:cs="Times New Roman"/>
          <w:color w:val="000000"/>
          <w:sz w:val="24"/>
          <w:szCs w:val="24"/>
        </w:rPr>
        <w:t>tak dosiahlo</w:t>
      </w:r>
      <w:r w:rsidRPr="005D446B" w:rsidR="000C609F">
        <w:rPr>
          <w:rFonts w:ascii="Times New Roman" w:hAnsi="Times New Roman" w:cs="Times New Roman"/>
          <w:b/>
          <w:color w:val="000000"/>
          <w:sz w:val="24"/>
          <w:szCs w:val="24"/>
        </w:rPr>
        <w:t xml:space="preserve"> </w:t>
      </w:r>
      <w:r w:rsidR="00B2302F">
        <w:rPr>
          <w:rFonts w:ascii="Times New Roman" w:hAnsi="Times New Roman" w:cs="Times New Roman"/>
          <w:b/>
          <w:sz w:val="24"/>
          <w:szCs w:val="24"/>
        </w:rPr>
        <w:t>7</w:t>
      </w:r>
      <w:r w:rsidRPr="005D446B" w:rsidR="004A6E08">
        <w:rPr>
          <w:rFonts w:ascii="Times New Roman" w:hAnsi="Times New Roman" w:cs="Times New Roman"/>
          <w:b/>
          <w:sz w:val="24"/>
          <w:szCs w:val="24"/>
        </w:rPr>
        <w:t> </w:t>
      </w:r>
      <w:r w:rsidR="00B2302F">
        <w:rPr>
          <w:rFonts w:ascii="Times New Roman" w:hAnsi="Times New Roman" w:cs="Times New Roman"/>
          <w:b/>
          <w:sz w:val="24"/>
          <w:szCs w:val="24"/>
        </w:rPr>
        <w:t>657 097</w:t>
      </w:r>
      <w:r w:rsidRPr="005D446B" w:rsidR="004A6E08">
        <w:rPr>
          <w:rFonts w:ascii="Times New Roman" w:hAnsi="Times New Roman" w:cs="Times New Roman"/>
          <w:b/>
          <w:sz w:val="24"/>
          <w:szCs w:val="24"/>
        </w:rPr>
        <w:t> </w:t>
      </w:r>
      <w:r w:rsidR="00B2302F">
        <w:rPr>
          <w:rFonts w:ascii="Times New Roman" w:hAnsi="Times New Roman" w:cs="Times New Roman"/>
          <w:b/>
          <w:sz w:val="24"/>
          <w:szCs w:val="24"/>
        </w:rPr>
        <w:t>864</w:t>
      </w:r>
      <w:r w:rsidRPr="005D446B" w:rsidR="004A6E08">
        <w:rPr>
          <w:rFonts w:ascii="Times New Roman" w:hAnsi="Times New Roman" w:cs="Times New Roman"/>
          <w:b/>
          <w:sz w:val="24"/>
          <w:szCs w:val="24"/>
        </w:rPr>
        <w:t>,</w:t>
      </w:r>
      <w:r w:rsidR="007201F8">
        <w:rPr>
          <w:rFonts w:ascii="Times New Roman" w:hAnsi="Times New Roman" w:cs="Times New Roman"/>
          <w:b/>
          <w:sz w:val="24"/>
          <w:szCs w:val="24"/>
        </w:rPr>
        <w:t>01</w:t>
      </w:r>
      <w:r w:rsidRPr="005D446B" w:rsidR="00684D28">
        <w:rPr>
          <w:rFonts w:ascii="Times New Roman" w:hAnsi="Times New Roman" w:cs="Times New Roman"/>
          <w:b/>
          <w:sz w:val="24"/>
          <w:szCs w:val="24"/>
        </w:rPr>
        <w:t xml:space="preserve"> Sk</w:t>
      </w:r>
      <w:r w:rsidRPr="00AB1F6D" w:rsidR="00684D28">
        <w:rPr>
          <w:rFonts w:ascii="Times New Roman" w:hAnsi="Times New Roman" w:cs="Times New Roman"/>
          <w:sz w:val="24"/>
          <w:szCs w:val="24"/>
        </w:rPr>
        <w:t>.</w:t>
      </w:r>
      <w:r w:rsidR="007E2789">
        <w:rPr>
          <w:rFonts w:ascii="Times New Roman" w:hAnsi="Times New Roman" w:cs="Times New Roman"/>
          <w:sz w:val="24"/>
          <w:szCs w:val="24"/>
        </w:rPr>
        <w:t xml:space="preserve"> NDS, a.s., </w:t>
      </w:r>
      <w:r w:rsidRPr="00AB1F6D" w:rsidR="000C609F">
        <w:rPr>
          <w:rFonts w:ascii="Times New Roman" w:hAnsi="Times New Roman" w:cs="Times New Roman"/>
          <w:sz w:val="24"/>
          <w:szCs w:val="24"/>
        </w:rPr>
        <w:t>tie</w:t>
      </w:r>
      <w:r w:rsidRPr="00AB1F6D" w:rsidR="000C609F">
        <w:rPr>
          <w:rFonts w:ascii="Times New Roman" w:hAnsi="Times New Roman" w:cs="Times New Roman"/>
          <w:sz w:val="24"/>
          <w:szCs w:val="24"/>
        </w:rPr>
        <w:t>to prostri</w:t>
      </w:r>
      <w:r w:rsidR="00B2302F">
        <w:rPr>
          <w:rFonts w:ascii="Times New Roman" w:hAnsi="Times New Roman" w:cs="Times New Roman"/>
          <w:sz w:val="24"/>
          <w:szCs w:val="24"/>
        </w:rPr>
        <w:t xml:space="preserve">edky použila na nasledujúce investičné </w:t>
      </w:r>
      <w:r w:rsidRPr="00AB1F6D" w:rsidR="00684D28">
        <w:rPr>
          <w:rFonts w:ascii="Times New Roman" w:hAnsi="Times New Roman" w:cs="Times New Roman"/>
          <w:sz w:val="24"/>
          <w:szCs w:val="24"/>
        </w:rPr>
        <w:t>akcie</w:t>
      </w:r>
      <w:r w:rsidR="00684D28">
        <w:rPr>
          <w:rFonts w:ascii="Times New Roman" w:hAnsi="Times New Roman" w:cs="Times New Roman"/>
          <w:sz w:val="24"/>
          <w:szCs w:val="24"/>
        </w:rPr>
        <w:t>:</w:t>
      </w:r>
    </w:p>
    <w:p w:rsidR="00F67BF3" w:rsidP="00F67BF3">
      <w:pPr>
        <w:spacing w:line="240" w:lineRule="auto"/>
        <w:rPr>
          <w:rFonts w:ascii="Times New Roman" w:hAnsi="Times New Roman" w:cs="Times New Roman"/>
          <w:sz w:val="24"/>
          <w:szCs w:val="24"/>
        </w:rPr>
      </w:pPr>
    </w:p>
    <w:tbl>
      <w:tblPr>
        <w:tblW w:w="11568" w:type="dxa"/>
        <w:tblInd w:w="-830" w:type="dxa"/>
        <w:tblCellMar>
          <w:left w:w="70" w:type="dxa"/>
          <w:right w:w="70" w:type="dxa"/>
        </w:tblCellMar>
      </w:tblPr>
      <w:tblGrid>
        <w:gridCol w:w="660"/>
        <w:gridCol w:w="3300"/>
        <w:gridCol w:w="1476"/>
        <w:gridCol w:w="1440"/>
        <w:gridCol w:w="1540"/>
        <w:gridCol w:w="1340"/>
        <w:gridCol w:w="1224"/>
        <w:gridCol w:w="268"/>
        <w:gridCol w:w="160"/>
        <w:gridCol w:w="160"/>
      </w:tblGrid>
      <w:tr>
        <w:tblPrEx>
          <w:tblW w:w="11568" w:type="dxa"/>
          <w:tblInd w:w="-830" w:type="dxa"/>
          <w:tblCellMar>
            <w:left w:w="70" w:type="dxa"/>
            <w:right w:w="70" w:type="dxa"/>
          </w:tblCellMar>
        </w:tblPrEx>
        <w:trPr>
          <w:gridAfter w:val="2"/>
          <w:wAfter w:w="320" w:type="dxa"/>
          <w:trHeight w:val="255"/>
        </w:trPr>
        <w:tc>
          <w:tcPr>
            <w:tcW w:w="660" w:type="dxa"/>
            <w:vMerge w:val="restart"/>
            <w:tcBorders>
              <w:top w:val="single" w:sz="8" w:space="0" w:color="auto"/>
              <w:left w:val="single" w:sz="8" w:space="0" w:color="auto"/>
              <w:bottom w:val="nil"/>
              <w:right w:val="single" w:sz="8" w:space="0" w:color="auto"/>
              <w:tl2br w:val="nil"/>
              <w:tr2bl w:val="nil"/>
            </w:tcBorders>
            <w:shd w:val="clear" w:color="auto" w:fill="99CCFF"/>
            <w:noWrap/>
            <w:textDirection w:val="lrTb"/>
            <w:vAlign w:val="center"/>
          </w:tcPr>
          <w:p w:rsidR="00F67BF3" w:rsidRPr="00064378" w:rsidP="00F67BF3">
            <w:pPr>
              <w:spacing w:line="240" w:lineRule="auto"/>
              <w:jc w:val="center"/>
              <w:rPr>
                <w:rFonts w:ascii="Arial Narrow" w:hAnsi="Arial Narrow" w:cs="Times New Roman"/>
                <w:b/>
                <w:bCs/>
              </w:rPr>
            </w:pPr>
            <w:r w:rsidRPr="00064378">
              <w:rPr>
                <w:rFonts w:ascii="Arial Narrow" w:hAnsi="Arial Narrow" w:cs="Times New Roman"/>
                <w:b/>
                <w:bCs/>
              </w:rPr>
              <w:t xml:space="preserve">Číslo </w:t>
            </w:r>
          </w:p>
          <w:p w:rsidR="00F67BF3" w:rsidRPr="00064378" w:rsidP="00F67BF3">
            <w:pPr>
              <w:spacing w:line="240" w:lineRule="auto"/>
              <w:jc w:val="center"/>
              <w:rPr>
                <w:rFonts w:ascii="Arial Narrow" w:hAnsi="Arial Narrow" w:cs="Times New Roman"/>
                <w:b/>
                <w:bCs/>
              </w:rPr>
            </w:pPr>
            <w:r w:rsidRPr="00064378">
              <w:rPr>
                <w:rFonts w:ascii="Arial Narrow" w:hAnsi="Arial Narrow" w:cs="Times New Roman"/>
                <w:b/>
                <w:bCs/>
              </w:rPr>
              <w:t>stavby</w:t>
            </w:r>
          </w:p>
        </w:tc>
        <w:tc>
          <w:tcPr>
            <w:tcW w:w="3300" w:type="dxa"/>
            <w:vMerge w:val="restart"/>
            <w:tcBorders>
              <w:top w:val="single" w:sz="8" w:space="0" w:color="auto"/>
              <w:left w:val="nil"/>
              <w:bottom w:val="nil"/>
              <w:right w:val="single" w:sz="8" w:space="0" w:color="auto"/>
              <w:tl2br w:val="nil"/>
              <w:tr2bl w:val="nil"/>
            </w:tcBorders>
            <w:shd w:val="clear" w:color="auto" w:fill="99CCFF"/>
            <w:noWrap/>
            <w:textDirection w:val="lrTb"/>
            <w:vAlign w:val="center"/>
          </w:tcPr>
          <w:p w:rsidR="00F67BF3" w:rsidRPr="00064378" w:rsidP="00F67BF3">
            <w:pPr>
              <w:spacing w:line="240" w:lineRule="auto"/>
              <w:jc w:val="center"/>
              <w:rPr>
                <w:rFonts w:ascii="Arial Narrow" w:hAnsi="Arial Narrow" w:cs="Times New Roman"/>
                <w:b/>
                <w:bCs/>
              </w:rPr>
            </w:pPr>
            <w:r w:rsidRPr="00064378">
              <w:rPr>
                <w:rFonts w:ascii="Arial Narrow" w:hAnsi="Arial Narrow" w:cs="Times New Roman"/>
                <w:b/>
                <w:bCs/>
              </w:rPr>
              <w:t>Názov stavby</w:t>
            </w:r>
          </w:p>
          <w:p w:rsidR="00F67BF3" w:rsidRPr="00064378" w:rsidP="00F67BF3">
            <w:pPr>
              <w:spacing w:line="240" w:lineRule="auto"/>
              <w:jc w:val="center"/>
              <w:rPr>
                <w:rFonts w:ascii="Arial Narrow" w:hAnsi="Arial Narrow" w:cs="Times New Roman"/>
                <w:b/>
                <w:bCs/>
              </w:rPr>
            </w:pPr>
            <w:r w:rsidRPr="00064378">
              <w:rPr>
                <w:rFonts w:ascii="Arial Narrow" w:hAnsi="Arial Narrow" w:cs="Times New Roman"/>
                <w:b/>
                <w:bCs/>
              </w:rPr>
              <w:t> </w:t>
            </w:r>
          </w:p>
        </w:tc>
        <w:tc>
          <w:tcPr>
            <w:tcW w:w="1476" w:type="dxa"/>
            <w:vMerge w:val="restart"/>
            <w:tcBorders>
              <w:top w:val="single" w:sz="8" w:space="0" w:color="auto"/>
              <w:left w:val="nil"/>
              <w:bottom w:val="nil"/>
              <w:right w:val="nil"/>
              <w:tl2br w:val="nil"/>
              <w:tr2bl w:val="nil"/>
            </w:tcBorders>
            <w:shd w:val="clear" w:color="auto" w:fill="99CCFF"/>
            <w:noWrap/>
            <w:textDirection w:val="lrTb"/>
            <w:vAlign w:val="center"/>
          </w:tcPr>
          <w:p w:rsidR="00F67BF3" w:rsidRPr="00F53F8E" w:rsidP="00F67BF3">
            <w:pPr>
              <w:spacing w:line="240" w:lineRule="auto"/>
              <w:jc w:val="center"/>
              <w:rPr>
                <w:rFonts w:ascii="Arial Narrow" w:hAnsi="Arial Narrow" w:cs="Times New Roman"/>
                <w:b/>
                <w:bCs/>
              </w:rPr>
            </w:pPr>
            <w:r w:rsidRPr="00F53F8E">
              <w:rPr>
                <w:rFonts w:ascii="Arial Narrow" w:hAnsi="Arial Narrow" w:cs="Times New Roman"/>
                <w:b/>
                <w:bCs/>
              </w:rPr>
              <w:t xml:space="preserve">Schválený </w:t>
            </w:r>
          </w:p>
          <w:p w:rsidR="00F67BF3" w:rsidRPr="00F53F8E" w:rsidP="00F67BF3">
            <w:pPr>
              <w:spacing w:line="240" w:lineRule="auto"/>
              <w:jc w:val="center"/>
              <w:rPr>
                <w:rFonts w:ascii="Arial Narrow" w:hAnsi="Arial Narrow" w:cs="Times New Roman"/>
                <w:b/>
                <w:bCs/>
              </w:rPr>
            </w:pPr>
            <w:r w:rsidRPr="00F53F8E">
              <w:rPr>
                <w:rFonts w:ascii="Arial Narrow" w:hAnsi="Arial Narrow" w:cs="Times New Roman"/>
                <w:b/>
                <w:bCs/>
              </w:rPr>
              <w:t>rozpočet</w:t>
            </w:r>
            <w:r>
              <w:rPr>
                <w:rFonts w:ascii="Arial Narrow" w:hAnsi="Arial Narrow" w:cs="Times New Roman"/>
                <w:b/>
                <w:bCs/>
              </w:rPr>
              <w:t xml:space="preserve"> (v Sk) k 1.1.2007</w:t>
            </w:r>
          </w:p>
        </w:tc>
        <w:tc>
          <w:tcPr>
            <w:tcW w:w="1440" w:type="dxa"/>
            <w:vMerge w:val="restart"/>
            <w:tcBorders>
              <w:top w:val="single" w:sz="8" w:space="0" w:color="auto"/>
              <w:left w:val="single" w:sz="8" w:space="0" w:color="auto"/>
              <w:bottom w:val="nil"/>
              <w:right w:val="single" w:sz="8" w:space="0" w:color="auto"/>
              <w:tl2br w:val="nil"/>
              <w:tr2bl w:val="nil"/>
            </w:tcBorders>
            <w:shd w:val="clear" w:color="auto" w:fill="99CCFF"/>
            <w:noWrap/>
            <w:textDirection w:val="lrTb"/>
            <w:vAlign w:val="center"/>
          </w:tcPr>
          <w:p w:rsidR="00F67BF3" w:rsidRPr="00F53F8E" w:rsidP="00F67BF3">
            <w:pPr>
              <w:spacing w:line="240" w:lineRule="auto"/>
              <w:jc w:val="center"/>
              <w:rPr>
                <w:rFonts w:ascii="Arial Narrow" w:hAnsi="Arial Narrow" w:cs="Times New Roman"/>
                <w:b/>
                <w:bCs/>
              </w:rPr>
            </w:pPr>
            <w:r w:rsidRPr="00F53F8E">
              <w:rPr>
                <w:rFonts w:ascii="Arial Narrow" w:hAnsi="Arial Narrow" w:cs="Times New Roman"/>
                <w:b/>
                <w:bCs/>
              </w:rPr>
              <w:t>Upravený rozpočet</w:t>
            </w:r>
            <w:r>
              <w:rPr>
                <w:rFonts w:ascii="Arial Narrow" w:hAnsi="Arial Narrow" w:cs="Times New Roman"/>
                <w:b/>
                <w:bCs/>
              </w:rPr>
              <w:t xml:space="preserve"> (v Sk)</w:t>
            </w:r>
          </w:p>
          <w:p w:rsidR="00F67BF3" w:rsidRPr="00F53F8E" w:rsidP="00F67BF3">
            <w:pPr>
              <w:spacing w:line="240" w:lineRule="auto"/>
              <w:jc w:val="center"/>
              <w:rPr>
                <w:rFonts w:ascii="Arial Narrow" w:hAnsi="Arial Narrow" w:cs="Times New Roman"/>
                <w:b/>
                <w:bCs/>
              </w:rPr>
            </w:pPr>
            <w:r w:rsidRPr="00F53F8E">
              <w:rPr>
                <w:rFonts w:ascii="Arial Narrow" w:hAnsi="Arial Narrow" w:cs="Times New Roman"/>
                <w:b/>
                <w:bCs/>
              </w:rPr>
              <w:t xml:space="preserve"> k</w:t>
            </w:r>
            <w:r w:rsidR="003362D6">
              <w:rPr>
                <w:rFonts w:ascii="Arial Narrow" w:hAnsi="Arial Narrow" w:cs="Times New Roman"/>
                <w:b/>
                <w:bCs/>
              </w:rPr>
              <w:t> 13</w:t>
            </w:r>
            <w:r>
              <w:rPr>
                <w:rFonts w:ascii="Arial Narrow" w:hAnsi="Arial Narrow" w:cs="Times New Roman"/>
                <w:b/>
                <w:bCs/>
              </w:rPr>
              <w:t>.12.2007</w:t>
            </w:r>
            <w:r w:rsidR="003362D6">
              <w:rPr>
                <w:rFonts w:ascii="Arial Narrow" w:hAnsi="Arial Narrow" w:cs="Times New Roman"/>
                <w:b/>
                <w:bCs/>
              </w:rPr>
              <w:t>, k RO č. 29</w:t>
            </w:r>
          </w:p>
        </w:tc>
        <w:tc>
          <w:tcPr>
            <w:tcW w:w="1540" w:type="dxa"/>
            <w:vMerge w:val="restart"/>
            <w:tcBorders>
              <w:top w:val="single" w:sz="8" w:space="0" w:color="auto"/>
              <w:left w:val="single" w:sz="8" w:space="0" w:color="auto"/>
              <w:bottom w:val="nil"/>
              <w:right w:val="single" w:sz="8" w:space="0" w:color="auto"/>
              <w:tl2br w:val="nil"/>
              <w:tr2bl w:val="nil"/>
            </w:tcBorders>
            <w:shd w:val="clear" w:color="auto" w:fill="99CCFF"/>
            <w:noWrap/>
            <w:textDirection w:val="lrTb"/>
            <w:vAlign w:val="center"/>
          </w:tcPr>
          <w:p w:rsidR="00F67BF3" w:rsidRPr="00F53F8E" w:rsidP="00F67BF3">
            <w:pPr>
              <w:spacing w:line="240" w:lineRule="auto"/>
              <w:jc w:val="center"/>
              <w:rPr>
                <w:rFonts w:ascii="Arial Narrow" w:hAnsi="Arial Narrow" w:cs="Times New Roman"/>
                <w:b/>
                <w:bCs/>
              </w:rPr>
            </w:pPr>
            <w:r w:rsidRPr="00F53F8E">
              <w:rPr>
                <w:rFonts w:ascii="Arial Narrow" w:hAnsi="Arial Narrow" w:cs="Times New Roman"/>
                <w:b/>
                <w:bCs/>
              </w:rPr>
              <w:t xml:space="preserve">Čerpanie </w:t>
            </w:r>
          </w:p>
          <w:p w:rsidR="00F67BF3" w:rsidRPr="00F53F8E" w:rsidP="00F67BF3">
            <w:pPr>
              <w:spacing w:line="240" w:lineRule="auto"/>
              <w:jc w:val="center"/>
              <w:rPr>
                <w:rFonts w:ascii="Arial Narrow" w:hAnsi="Arial Narrow" w:cs="Times New Roman"/>
                <w:b/>
                <w:bCs/>
              </w:rPr>
            </w:pPr>
            <w:r w:rsidRPr="00F53F8E">
              <w:rPr>
                <w:rFonts w:ascii="Arial Narrow" w:hAnsi="Arial Narrow" w:cs="Times New Roman"/>
                <w:b/>
                <w:bCs/>
              </w:rPr>
              <w:t>spolu</w:t>
            </w:r>
            <w:r>
              <w:rPr>
                <w:rFonts w:ascii="Arial Narrow" w:hAnsi="Arial Narrow" w:cs="Times New Roman"/>
                <w:b/>
                <w:bCs/>
              </w:rPr>
              <w:t xml:space="preserve"> (v Sk) k 31.12.2007</w:t>
            </w:r>
          </w:p>
        </w:tc>
        <w:tc>
          <w:tcPr>
            <w:tcW w:w="1340" w:type="dxa"/>
            <w:vMerge w:val="restart"/>
            <w:tcBorders>
              <w:top w:val="single" w:sz="8" w:space="0" w:color="auto"/>
              <w:left w:val="nil"/>
              <w:bottom w:val="nil"/>
              <w:right w:val="single" w:sz="8" w:space="0" w:color="auto"/>
              <w:tl2br w:val="nil"/>
              <w:tr2bl w:val="nil"/>
            </w:tcBorders>
            <w:shd w:val="clear" w:color="auto" w:fill="99CCFF"/>
            <w:noWrap/>
            <w:textDirection w:val="lrTb"/>
            <w:vAlign w:val="center"/>
          </w:tcPr>
          <w:p w:rsidR="00F67BF3" w:rsidRPr="00F53F8E" w:rsidP="00F67BF3">
            <w:pPr>
              <w:spacing w:line="240" w:lineRule="auto"/>
              <w:jc w:val="center"/>
              <w:rPr>
                <w:rFonts w:ascii="Arial Narrow" w:hAnsi="Arial Narrow" w:cs="Times New Roman"/>
                <w:b/>
                <w:bCs/>
              </w:rPr>
            </w:pPr>
            <w:r w:rsidRPr="00F53F8E">
              <w:rPr>
                <w:rFonts w:ascii="Arial Narrow" w:hAnsi="Arial Narrow" w:cs="Times New Roman"/>
                <w:b/>
                <w:bCs/>
              </w:rPr>
              <w:t>Presun do</w:t>
            </w:r>
          </w:p>
          <w:p w:rsidR="00F67BF3" w:rsidRPr="00F53F8E" w:rsidP="00F67BF3">
            <w:pPr>
              <w:spacing w:line="240" w:lineRule="auto"/>
              <w:jc w:val="center"/>
              <w:rPr>
                <w:rFonts w:ascii="Arial Narrow" w:hAnsi="Arial Narrow" w:cs="Times New Roman"/>
                <w:b/>
                <w:bCs/>
              </w:rPr>
            </w:pPr>
            <w:r>
              <w:rPr>
                <w:rFonts w:ascii="Arial Narrow" w:hAnsi="Arial Narrow" w:cs="Times New Roman"/>
                <w:b/>
                <w:bCs/>
              </w:rPr>
              <w:t>2008 (v Sk)</w:t>
            </w:r>
          </w:p>
        </w:tc>
        <w:tc>
          <w:tcPr>
            <w:tcW w:w="1224" w:type="dxa"/>
            <w:vMerge w:val="restart"/>
            <w:tcBorders>
              <w:top w:val="single" w:sz="8" w:space="0" w:color="auto"/>
              <w:left w:val="nil"/>
              <w:bottom w:val="nil"/>
              <w:right w:val="single" w:sz="8" w:space="0" w:color="auto"/>
              <w:tl2br w:val="nil"/>
              <w:tr2bl w:val="nil"/>
            </w:tcBorders>
            <w:shd w:val="clear" w:color="auto" w:fill="99CCFF"/>
            <w:noWrap/>
            <w:textDirection w:val="lrTb"/>
            <w:vAlign w:val="center"/>
          </w:tcPr>
          <w:p w:rsidR="00F67BF3" w:rsidRPr="00F53F8E" w:rsidP="00F67BF3">
            <w:pPr>
              <w:spacing w:line="240" w:lineRule="auto"/>
              <w:jc w:val="center"/>
              <w:rPr>
                <w:rFonts w:ascii="Arial Narrow" w:hAnsi="Arial Narrow" w:cs="Times New Roman"/>
                <w:b/>
                <w:bCs/>
              </w:rPr>
            </w:pPr>
            <w:r w:rsidRPr="00F53F8E">
              <w:rPr>
                <w:rFonts w:ascii="Arial Narrow" w:hAnsi="Arial Narrow" w:cs="Times New Roman"/>
                <w:b/>
                <w:bCs/>
              </w:rPr>
              <w:t>Zostatok</w:t>
            </w:r>
          </w:p>
          <w:p w:rsidR="00F67BF3" w:rsidRPr="00F53F8E" w:rsidP="00F67BF3">
            <w:pPr>
              <w:spacing w:line="240" w:lineRule="auto"/>
              <w:jc w:val="center"/>
              <w:rPr>
                <w:rFonts w:ascii="Arial Narrow" w:hAnsi="Arial Narrow" w:cs="Times New Roman"/>
                <w:b/>
                <w:bCs/>
              </w:rPr>
            </w:pPr>
            <w:r w:rsidRPr="00F53F8E">
              <w:rPr>
                <w:rFonts w:ascii="Arial Narrow" w:hAnsi="Arial Narrow" w:cs="Times New Roman"/>
                <w:b/>
                <w:bCs/>
              </w:rPr>
              <w:t xml:space="preserve"> = nevyčerpané</w:t>
            </w:r>
          </w:p>
        </w:tc>
        <w:tc>
          <w:tcPr>
            <w:tcW w:w="268" w:type="dxa"/>
            <w:tcBorders>
              <w:top w:val="nil"/>
              <w:left w:val="nil"/>
              <w:bottom w:val="nil"/>
              <w:right w:val="nil"/>
              <w:tl2br w:val="nil"/>
              <w:tr2bl w:val="nil"/>
            </w:tcBorders>
            <w:noWrap/>
            <w:textDirection w:val="lrTb"/>
            <w:vAlign w:val="bottom"/>
          </w:tcPr>
          <w:p w:rsidR="00F67BF3" w:rsidRPr="00F53F8E" w:rsidP="00F67BF3">
            <w:pPr>
              <w:spacing w:line="240" w:lineRule="auto"/>
              <w:jc w:val="center"/>
              <w:rPr>
                <w:rFonts w:ascii="Arial Narrow" w:hAnsi="Arial Narrow" w:cs="Times New Roman"/>
                <w:b/>
                <w:bCs/>
              </w:rPr>
            </w:pPr>
          </w:p>
        </w:tc>
      </w:tr>
      <w:tr>
        <w:tblPrEx>
          <w:tblW w:w="11568" w:type="dxa"/>
          <w:tblInd w:w="-830" w:type="dxa"/>
          <w:tblCellMar>
            <w:left w:w="70" w:type="dxa"/>
            <w:right w:w="70" w:type="dxa"/>
          </w:tblCellMar>
        </w:tblPrEx>
        <w:trPr>
          <w:gridAfter w:val="2"/>
          <w:wAfter w:w="320" w:type="dxa"/>
          <w:trHeight w:val="270"/>
        </w:trPr>
        <w:tc>
          <w:tcPr>
            <w:tcW w:w="660" w:type="dxa"/>
            <w:vMerge/>
            <w:tcBorders>
              <w:top w:val="nil"/>
              <w:left w:val="single" w:sz="8" w:space="0" w:color="auto"/>
              <w:bottom w:val="single" w:sz="8" w:space="0" w:color="auto"/>
              <w:right w:val="single" w:sz="8" w:space="0" w:color="auto"/>
              <w:tl2br w:val="nil"/>
              <w:tr2bl w:val="nil"/>
            </w:tcBorders>
            <w:shd w:val="clear" w:color="auto" w:fill="99CCFF"/>
            <w:noWrap/>
            <w:textDirection w:val="lrTb"/>
            <w:vAlign w:val="bottom"/>
          </w:tcPr>
          <w:p w:rsidR="00F67BF3" w:rsidRPr="00064378" w:rsidP="00F67BF3">
            <w:pPr>
              <w:spacing w:line="240" w:lineRule="auto"/>
              <w:jc w:val="center"/>
              <w:rPr>
                <w:rFonts w:ascii="Arial Narrow" w:hAnsi="Arial Narrow" w:cs="Times New Roman"/>
                <w:b/>
                <w:bCs/>
              </w:rPr>
            </w:pPr>
          </w:p>
        </w:tc>
        <w:tc>
          <w:tcPr>
            <w:tcW w:w="3300" w:type="dxa"/>
            <w:vMerge/>
            <w:tcBorders>
              <w:top w:val="nil"/>
              <w:left w:val="nil"/>
              <w:bottom w:val="single" w:sz="8" w:space="0" w:color="auto"/>
              <w:right w:val="single" w:sz="8" w:space="0" w:color="auto"/>
              <w:tl2br w:val="nil"/>
              <w:tr2bl w:val="nil"/>
            </w:tcBorders>
            <w:shd w:val="clear" w:color="auto" w:fill="99CCFF"/>
            <w:noWrap/>
            <w:textDirection w:val="lrTb"/>
            <w:vAlign w:val="bottom"/>
          </w:tcPr>
          <w:p w:rsidR="00F67BF3" w:rsidRPr="00064378" w:rsidP="00F67BF3">
            <w:pPr>
              <w:spacing w:line="240" w:lineRule="auto"/>
              <w:jc w:val="center"/>
              <w:rPr>
                <w:rFonts w:ascii="Arial Narrow" w:hAnsi="Arial Narrow" w:cs="Times New Roman"/>
                <w:b/>
                <w:bCs/>
              </w:rPr>
            </w:pPr>
          </w:p>
        </w:tc>
        <w:tc>
          <w:tcPr>
            <w:tcW w:w="1476" w:type="dxa"/>
            <w:vMerge/>
            <w:tcBorders>
              <w:top w:val="nil"/>
              <w:left w:val="nil"/>
              <w:bottom w:val="nil"/>
              <w:right w:val="nil"/>
              <w:tl2br w:val="nil"/>
              <w:tr2bl w:val="nil"/>
            </w:tcBorders>
            <w:shd w:val="clear" w:color="auto" w:fill="99CCFF"/>
            <w:noWrap/>
            <w:textDirection w:val="lrTb"/>
            <w:vAlign w:val="bottom"/>
          </w:tcPr>
          <w:p w:rsidR="00F67BF3" w:rsidRPr="00F53F8E" w:rsidP="00F67BF3">
            <w:pPr>
              <w:spacing w:line="240" w:lineRule="auto"/>
              <w:jc w:val="center"/>
              <w:rPr>
                <w:rFonts w:ascii="Arial Narrow" w:hAnsi="Arial Narrow" w:cs="Times New Roman"/>
                <w:b/>
                <w:bCs/>
              </w:rPr>
            </w:pPr>
          </w:p>
        </w:tc>
        <w:tc>
          <w:tcPr>
            <w:tcW w:w="1440" w:type="dxa"/>
            <w:vMerge/>
            <w:tcBorders>
              <w:top w:val="nil"/>
              <w:left w:val="single" w:sz="8" w:space="0" w:color="auto"/>
              <w:bottom w:val="nil"/>
              <w:right w:val="single" w:sz="8" w:space="0" w:color="auto"/>
              <w:tl2br w:val="nil"/>
              <w:tr2bl w:val="nil"/>
            </w:tcBorders>
            <w:shd w:val="clear" w:color="auto" w:fill="99CCFF"/>
            <w:noWrap/>
            <w:textDirection w:val="lrTb"/>
            <w:vAlign w:val="bottom"/>
          </w:tcPr>
          <w:p w:rsidR="00F67BF3" w:rsidRPr="00F53F8E" w:rsidP="00F67BF3">
            <w:pPr>
              <w:spacing w:line="240" w:lineRule="auto"/>
              <w:jc w:val="center"/>
              <w:rPr>
                <w:rFonts w:ascii="Arial Narrow" w:hAnsi="Arial Narrow" w:cs="Times New Roman"/>
                <w:b/>
                <w:bCs/>
              </w:rPr>
            </w:pPr>
          </w:p>
        </w:tc>
        <w:tc>
          <w:tcPr>
            <w:tcW w:w="1540" w:type="dxa"/>
            <w:vMerge/>
            <w:tcBorders>
              <w:top w:val="nil"/>
              <w:left w:val="single" w:sz="8" w:space="0" w:color="auto"/>
              <w:bottom w:val="single" w:sz="8" w:space="0" w:color="auto"/>
              <w:right w:val="single" w:sz="8" w:space="0" w:color="auto"/>
              <w:tl2br w:val="nil"/>
              <w:tr2bl w:val="nil"/>
            </w:tcBorders>
            <w:shd w:val="clear" w:color="auto" w:fill="99CCFF"/>
            <w:noWrap/>
            <w:textDirection w:val="lrTb"/>
            <w:vAlign w:val="bottom"/>
          </w:tcPr>
          <w:p w:rsidR="00F67BF3" w:rsidRPr="00F53F8E" w:rsidP="00F67BF3">
            <w:pPr>
              <w:spacing w:line="240" w:lineRule="auto"/>
              <w:jc w:val="center"/>
              <w:rPr>
                <w:rFonts w:ascii="Arial Narrow" w:hAnsi="Arial Narrow" w:cs="Times New Roman"/>
                <w:b/>
                <w:bCs/>
              </w:rPr>
            </w:pPr>
          </w:p>
        </w:tc>
        <w:tc>
          <w:tcPr>
            <w:tcW w:w="1340" w:type="dxa"/>
            <w:vMerge/>
            <w:tcBorders>
              <w:top w:val="nil"/>
              <w:left w:val="nil"/>
              <w:bottom w:val="single" w:sz="8" w:space="0" w:color="auto"/>
              <w:right w:val="single" w:sz="8" w:space="0" w:color="auto"/>
              <w:tl2br w:val="nil"/>
              <w:tr2bl w:val="nil"/>
            </w:tcBorders>
            <w:shd w:val="clear" w:color="auto" w:fill="99CCFF"/>
            <w:noWrap/>
            <w:textDirection w:val="lrTb"/>
            <w:vAlign w:val="bottom"/>
          </w:tcPr>
          <w:p w:rsidR="00F67BF3" w:rsidRPr="00F53F8E" w:rsidP="00F67BF3">
            <w:pPr>
              <w:spacing w:line="240" w:lineRule="auto"/>
              <w:jc w:val="center"/>
              <w:rPr>
                <w:rFonts w:ascii="Arial Narrow" w:hAnsi="Arial Narrow" w:cs="Times New Roman"/>
                <w:b/>
                <w:bCs/>
              </w:rPr>
            </w:pPr>
          </w:p>
        </w:tc>
        <w:tc>
          <w:tcPr>
            <w:tcW w:w="1224" w:type="dxa"/>
            <w:vMerge/>
            <w:tcBorders>
              <w:top w:val="nil"/>
              <w:left w:val="nil"/>
              <w:bottom w:val="single" w:sz="8" w:space="0" w:color="auto"/>
              <w:right w:val="single" w:sz="8" w:space="0" w:color="auto"/>
              <w:tl2br w:val="nil"/>
              <w:tr2bl w:val="nil"/>
            </w:tcBorders>
            <w:shd w:val="clear" w:color="auto" w:fill="99CCFF"/>
            <w:noWrap/>
            <w:textDirection w:val="lrTb"/>
            <w:vAlign w:val="bottom"/>
          </w:tcPr>
          <w:p w:rsidR="00F67BF3" w:rsidRPr="00F53F8E" w:rsidP="00F67BF3">
            <w:pPr>
              <w:spacing w:line="240" w:lineRule="auto"/>
              <w:jc w:val="center"/>
              <w:rPr>
                <w:rFonts w:ascii="Arial Narrow" w:hAnsi="Arial Narrow" w:cs="Times New Roman"/>
                <w:b/>
                <w:bCs/>
              </w:rPr>
            </w:pPr>
          </w:p>
        </w:tc>
        <w:tc>
          <w:tcPr>
            <w:tcW w:w="268" w:type="dxa"/>
            <w:tcBorders>
              <w:top w:val="nil"/>
              <w:left w:val="nil"/>
              <w:bottom w:val="nil"/>
              <w:right w:val="nil"/>
              <w:tl2br w:val="nil"/>
              <w:tr2bl w:val="nil"/>
            </w:tcBorders>
            <w:noWrap/>
            <w:textDirection w:val="lrTb"/>
            <w:vAlign w:val="bottom"/>
          </w:tcPr>
          <w:p w:rsidR="00F67BF3" w:rsidRPr="00F53F8E" w:rsidP="00F67BF3">
            <w:pPr>
              <w:spacing w:line="240" w:lineRule="auto"/>
              <w:jc w:val="center"/>
              <w:rPr>
                <w:rFonts w:ascii="Arial Narrow" w:hAnsi="Arial Narrow" w:cs="Times New Roman"/>
                <w:b/>
                <w:bCs/>
              </w:rPr>
            </w:pPr>
          </w:p>
        </w:tc>
      </w:tr>
      <w:tr>
        <w:tblPrEx>
          <w:tblW w:w="11568" w:type="dxa"/>
          <w:tblInd w:w="-830" w:type="dxa"/>
          <w:tblCellMar>
            <w:left w:w="70" w:type="dxa"/>
            <w:right w:w="70" w:type="dxa"/>
          </w:tblCellMar>
        </w:tblPrEx>
        <w:trPr>
          <w:gridAfter w:val="2"/>
          <w:wAfter w:w="320" w:type="dxa"/>
          <w:trHeight w:val="227"/>
        </w:trPr>
        <w:tc>
          <w:tcPr>
            <w:tcW w:w="660" w:type="dxa"/>
            <w:tcBorders>
              <w:top w:val="nil"/>
              <w:left w:val="single" w:sz="8" w:space="0" w:color="auto"/>
              <w:bottom w:val="single" w:sz="4" w:space="0" w:color="auto"/>
              <w:right w:val="nil"/>
              <w:tl2br w:val="nil"/>
              <w:tr2bl w:val="nil"/>
            </w:tcBorders>
            <w:noWrap/>
            <w:textDirection w:val="lrTb"/>
            <w:vAlign w:val="center"/>
          </w:tcPr>
          <w:p w:rsidR="00F67BF3" w:rsidRPr="00064378" w:rsidP="00F67BF3">
            <w:pPr>
              <w:spacing w:line="240" w:lineRule="auto"/>
              <w:jc w:val="right"/>
              <w:rPr>
                <w:rFonts w:ascii="Arial Narrow" w:hAnsi="Arial Narrow" w:cs="Times New Roman"/>
              </w:rPr>
            </w:pPr>
            <w:r w:rsidRPr="00064378">
              <w:rPr>
                <w:rFonts w:ascii="Arial Narrow" w:hAnsi="Arial Narrow" w:cs="Times New Roman"/>
              </w:rPr>
              <w:t>13325</w:t>
            </w:r>
          </w:p>
        </w:tc>
        <w:tc>
          <w:tcPr>
            <w:tcW w:w="3300" w:type="dxa"/>
            <w:tcBorders>
              <w:top w:val="nil"/>
              <w:left w:val="single" w:sz="8" w:space="0" w:color="auto"/>
              <w:bottom w:val="single" w:sz="4" w:space="0" w:color="auto"/>
              <w:right w:val="nil"/>
              <w:tl2br w:val="nil"/>
              <w:tr2bl w:val="nil"/>
            </w:tcBorders>
            <w:noWrap/>
            <w:textDirection w:val="lrTb"/>
            <w:vAlign w:val="center"/>
          </w:tcPr>
          <w:p w:rsidR="00F67BF3" w:rsidRPr="00064378" w:rsidP="00F67BF3">
            <w:pPr>
              <w:spacing w:line="240" w:lineRule="auto"/>
              <w:rPr>
                <w:rFonts w:ascii="Arial Narrow" w:hAnsi="Arial Narrow" w:cs="Times New Roman"/>
              </w:rPr>
            </w:pPr>
            <w:r w:rsidRPr="00064378">
              <w:rPr>
                <w:rFonts w:ascii="Arial Narrow" w:hAnsi="Arial Narrow" w:cs="Times New Roman"/>
              </w:rPr>
              <w:t xml:space="preserve">Vysporiadanie starých stavieb </w:t>
            </w:r>
          </w:p>
        </w:tc>
        <w:tc>
          <w:tcPr>
            <w:tcW w:w="1476" w:type="dxa"/>
            <w:tcBorders>
              <w:top w:val="single" w:sz="8" w:space="0" w:color="auto"/>
              <w:left w:val="single" w:sz="8" w:space="0" w:color="auto"/>
              <w:bottom w:val="single" w:sz="4" w:space="0" w:color="auto"/>
              <w:right w:val="nil"/>
              <w:tl2br w:val="nil"/>
              <w:tr2bl w:val="nil"/>
            </w:tcBorders>
            <w:noWrap/>
            <w:textDirection w:val="lrTb"/>
            <w:vAlign w:val="center"/>
          </w:tcPr>
          <w:p w:rsidR="00F67BF3" w:rsidRPr="00F53F8E" w:rsidP="00F67BF3">
            <w:pPr>
              <w:spacing w:line="240" w:lineRule="auto"/>
              <w:jc w:val="right"/>
              <w:rPr>
                <w:rFonts w:ascii="Arial Narrow" w:hAnsi="Arial Narrow" w:cs="Times New Roman"/>
                <w:b/>
                <w:bCs/>
              </w:rPr>
            </w:pPr>
            <w:r>
              <w:rPr>
                <w:rFonts w:ascii="Arial Narrow" w:hAnsi="Arial Narrow" w:cs="Times New Roman"/>
                <w:b/>
                <w:bCs/>
              </w:rPr>
              <w:t>3 860 00</w:t>
            </w:r>
            <w:r w:rsidRPr="00F53F8E">
              <w:rPr>
                <w:rFonts w:ascii="Arial Narrow" w:hAnsi="Arial Narrow" w:cs="Times New Roman"/>
                <w:b/>
                <w:bCs/>
              </w:rPr>
              <w:t>0,00</w:t>
            </w:r>
          </w:p>
        </w:tc>
        <w:tc>
          <w:tcPr>
            <w:tcW w:w="1440" w:type="dxa"/>
            <w:tcBorders>
              <w:top w:val="single" w:sz="8" w:space="0" w:color="auto"/>
              <w:left w:val="single" w:sz="8" w:space="0" w:color="auto"/>
              <w:bottom w:val="single" w:sz="4" w:space="0" w:color="auto"/>
              <w:right w:val="nil"/>
              <w:tl2br w:val="nil"/>
              <w:tr2bl w:val="nil"/>
            </w:tcBorders>
            <w:noWrap/>
            <w:textDirection w:val="lrTb"/>
            <w:vAlign w:val="center"/>
          </w:tcPr>
          <w:p w:rsidR="00F67BF3" w:rsidRPr="00F53F8E" w:rsidP="00F67BF3">
            <w:pPr>
              <w:spacing w:line="240" w:lineRule="auto"/>
              <w:jc w:val="right"/>
              <w:rPr>
                <w:rFonts w:ascii="Arial Narrow" w:hAnsi="Arial Narrow" w:cs="Times New Roman"/>
                <w:b/>
                <w:bCs/>
              </w:rPr>
            </w:pPr>
            <w:r>
              <w:rPr>
                <w:rFonts w:ascii="Arial Narrow" w:hAnsi="Arial Narrow" w:cs="Times New Roman"/>
                <w:b/>
                <w:bCs/>
              </w:rPr>
              <w:t>105 000,00</w:t>
            </w:r>
          </w:p>
        </w:tc>
        <w:tc>
          <w:tcPr>
            <w:tcW w:w="1540" w:type="dxa"/>
            <w:tcBorders>
              <w:top w:val="nil"/>
              <w:left w:val="single" w:sz="8" w:space="0" w:color="auto"/>
              <w:bottom w:val="single" w:sz="4" w:space="0" w:color="auto"/>
              <w:right w:val="single" w:sz="8" w:space="0" w:color="auto"/>
              <w:tl2br w:val="nil"/>
              <w:tr2bl w:val="nil"/>
            </w:tcBorders>
            <w:noWrap/>
            <w:textDirection w:val="lrTb"/>
            <w:vAlign w:val="center"/>
          </w:tcPr>
          <w:p w:rsidR="00F67BF3" w:rsidRPr="00F53F8E" w:rsidP="00F67BF3">
            <w:pPr>
              <w:spacing w:line="240" w:lineRule="auto"/>
              <w:jc w:val="right"/>
              <w:rPr>
                <w:rFonts w:ascii="Arial Narrow" w:hAnsi="Arial Narrow" w:cs="Times New Roman"/>
                <w:b/>
                <w:bCs/>
              </w:rPr>
            </w:pPr>
            <w:r>
              <w:rPr>
                <w:rFonts w:ascii="Arial Narrow" w:hAnsi="Arial Narrow" w:cs="Times New Roman"/>
                <w:b/>
                <w:bCs/>
              </w:rPr>
              <w:t>105 000,00</w:t>
            </w:r>
          </w:p>
        </w:tc>
        <w:tc>
          <w:tcPr>
            <w:tcW w:w="1340" w:type="dxa"/>
            <w:tcBorders>
              <w:top w:val="nil"/>
              <w:left w:val="nil"/>
              <w:bottom w:val="single" w:sz="4" w:space="0" w:color="auto"/>
              <w:right w:val="single" w:sz="8" w:space="0" w:color="auto"/>
              <w:tl2br w:val="nil"/>
              <w:tr2bl w:val="nil"/>
            </w:tcBorders>
            <w:noWrap/>
            <w:textDirection w:val="lrTb"/>
            <w:vAlign w:val="center"/>
          </w:tcPr>
          <w:p w:rsidR="00F67BF3" w:rsidRPr="00F53F8E" w:rsidP="00F67BF3">
            <w:pPr>
              <w:spacing w:line="240" w:lineRule="auto"/>
              <w:jc w:val="right"/>
              <w:rPr>
                <w:rFonts w:ascii="Arial Narrow" w:hAnsi="Arial Narrow" w:cs="Times New Roman"/>
                <w:b/>
                <w:bCs/>
              </w:rPr>
            </w:pPr>
            <w:r w:rsidRPr="00F53F8E">
              <w:rPr>
                <w:rFonts w:ascii="Arial Narrow" w:hAnsi="Arial Narrow" w:cs="Times New Roman"/>
                <w:b/>
                <w:bCs/>
              </w:rPr>
              <w:t> </w:t>
            </w:r>
            <w:r>
              <w:rPr>
                <w:rFonts w:ascii="Arial Narrow" w:hAnsi="Arial Narrow" w:cs="Times New Roman"/>
                <w:b/>
                <w:bCs/>
              </w:rPr>
              <w:t>0,00</w:t>
            </w:r>
          </w:p>
        </w:tc>
        <w:tc>
          <w:tcPr>
            <w:tcW w:w="1224" w:type="dxa"/>
            <w:tcBorders>
              <w:top w:val="nil"/>
              <w:left w:val="nil"/>
              <w:bottom w:val="single" w:sz="4" w:space="0" w:color="auto"/>
              <w:right w:val="single" w:sz="8" w:space="0" w:color="auto"/>
              <w:tl2br w:val="nil"/>
              <w:tr2bl w:val="nil"/>
            </w:tcBorders>
            <w:noWrap/>
            <w:textDirection w:val="lrTb"/>
            <w:vAlign w:val="center"/>
          </w:tcPr>
          <w:p w:rsidR="00F67BF3" w:rsidRPr="00F53F8E" w:rsidP="00F67BF3">
            <w:pPr>
              <w:spacing w:line="240" w:lineRule="auto"/>
              <w:jc w:val="right"/>
              <w:rPr>
                <w:rFonts w:ascii="Arial Narrow" w:hAnsi="Arial Narrow" w:cs="Times New Roman"/>
                <w:b/>
                <w:bCs/>
              </w:rPr>
            </w:pPr>
            <w:r w:rsidRPr="00F53F8E">
              <w:rPr>
                <w:rFonts w:ascii="Arial Narrow" w:hAnsi="Arial Narrow" w:cs="Times New Roman"/>
                <w:b/>
                <w:bCs/>
              </w:rPr>
              <w:t>0,00</w:t>
            </w:r>
          </w:p>
        </w:tc>
        <w:tc>
          <w:tcPr>
            <w:tcW w:w="268" w:type="dxa"/>
            <w:tcBorders>
              <w:top w:val="nil"/>
              <w:left w:val="nil"/>
              <w:bottom w:val="nil"/>
              <w:right w:val="nil"/>
              <w:tl2br w:val="nil"/>
              <w:tr2bl w:val="nil"/>
            </w:tcBorders>
            <w:noWrap/>
            <w:textDirection w:val="lrTb"/>
            <w:vAlign w:val="bottom"/>
          </w:tcPr>
          <w:p w:rsidR="00F67BF3" w:rsidRPr="00F53F8E" w:rsidP="00F67BF3">
            <w:pPr>
              <w:spacing w:line="240" w:lineRule="auto"/>
              <w:rPr>
                <w:rFonts w:ascii="Arial Narrow" w:hAnsi="Arial Narrow" w:cs="Times New Roman"/>
              </w:rPr>
            </w:pPr>
          </w:p>
        </w:tc>
      </w:tr>
      <w:tr>
        <w:tblPrEx>
          <w:tblW w:w="11568" w:type="dxa"/>
          <w:tblInd w:w="-830" w:type="dxa"/>
          <w:tblCellMar>
            <w:left w:w="70" w:type="dxa"/>
            <w:right w:w="70" w:type="dxa"/>
          </w:tblCellMar>
        </w:tblPrEx>
        <w:trPr>
          <w:gridAfter w:val="2"/>
          <w:wAfter w:w="320" w:type="dxa"/>
          <w:trHeight w:val="227"/>
        </w:trPr>
        <w:tc>
          <w:tcPr>
            <w:tcW w:w="660" w:type="dxa"/>
            <w:tcBorders>
              <w:top w:val="nil"/>
              <w:left w:val="single" w:sz="8" w:space="0" w:color="auto"/>
              <w:bottom w:val="single" w:sz="4" w:space="0" w:color="auto"/>
              <w:right w:val="nil"/>
              <w:tl2br w:val="nil"/>
              <w:tr2bl w:val="nil"/>
            </w:tcBorders>
            <w:noWrap/>
            <w:textDirection w:val="lrTb"/>
            <w:vAlign w:val="center"/>
          </w:tcPr>
          <w:p w:rsidR="00F67BF3" w:rsidRPr="00064378" w:rsidP="00F67BF3">
            <w:pPr>
              <w:spacing w:line="240" w:lineRule="auto"/>
              <w:jc w:val="right"/>
              <w:rPr>
                <w:rFonts w:ascii="Arial Narrow" w:hAnsi="Arial Narrow" w:cs="Times New Roman"/>
              </w:rPr>
            </w:pPr>
            <w:r w:rsidRPr="00064378">
              <w:rPr>
                <w:rFonts w:ascii="Arial Narrow" w:hAnsi="Arial Narrow" w:cs="Times New Roman"/>
              </w:rPr>
              <w:t>1541</w:t>
            </w:r>
          </w:p>
        </w:tc>
        <w:tc>
          <w:tcPr>
            <w:tcW w:w="3300" w:type="dxa"/>
            <w:tcBorders>
              <w:top w:val="nil"/>
              <w:left w:val="single" w:sz="8" w:space="0" w:color="auto"/>
              <w:bottom w:val="single" w:sz="4" w:space="0" w:color="auto"/>
              <w:right w:val="nil"/>
              <w:tl2br w:val="nil"/>
              <w:tr2bl w:val="nil"/>
            </w:tcBorders>
            <w:noWrap/>
            <w:textDirection w:val="lrTb"/>
            <w:vAlign w:val="center"/>
          </w:tcPr>
          <w:p w:rsidR="00F67BF3" w:rsidRPr="00064378" w:rsidP="00F67BF3">
            <w:pPr>
              <w:spacing w:line="240" w:lineRule="auto"/>
              <w:rPr>
                <w:rFonts w:ascii="Arial Narrow" w:hAnsi="Arial Narrow" w:cs="Times New Roman"/>
              </w:rPr>
            </w:pPr>
            <w:r>
              <w:rPr>
                <w:rFonts w:ascii="Arial Narrow" w:hAnsi="Arial Narrow" w:cs="Times New Roman"/>
              </w:rPr>
              <w:t xml:space="preserve">D1 Chocholná </w:t>
            </w:r>
            <w:r w:rsidR="002710B0">
              <w:rPr>
                <w:rFonts w:ascii="Arial Narrow" w:hAnsi="Arial Narrow" w:cs="Times New Roman"/>
              </w:rPr>
              <w:t>–</w:t>
            </w:r>
            <w:r>
              <w:rPr>
                <w:rFonts w:ascii="Arial Narrow" w:hAnsi="Arial Narrow" w:cs="Times New Roman"/>
              </w:rPr>
              <w:t xml:space="preserve"> </w:t>
            </w:r>
            <w:r w:rsidRPr="00064378">
              <w:rPr>
                <w:rFonts w:ascii="Arial Narrow" w:hAnsi="Arial Narrow" w:cs="Times New Roman"/>
              </w:rPr>
              <w:t>Skala</w:t>
            </w:r>
          </w:p>
        </w:tc>
        <w:tc>
          <w:tcPr>
            <w:tcW w:w="1476" w:type="dxa"/>
            <w:tcBorders>
              <w:top w:val="nil"/>
              <w:left w:val="single" w:sz="8" w:space="0" w:color="auto"/>
              <w:bottom w:val="single" w:sz="4" w:space="0" w:color="auto"/>
              <w:right w:val="nil"/>
              <w:tl2br w:val="nil"/>
              <w:tr2bl w:val="nil"/>
            </w:tcBorders>
            <w:noWrap/>
            <w:textDirection w:val="lrTb"/>
            <w:vAlign w:val="center"/>
          </w:tcPr>
          <w:p w:rsidR="00F67BF3" w:rsidRPr="00F53F8E" w:rsidP="00F67BF3">
            <w:pPr>
              <w:spacing w:line="240" w:lineRule="auto"/>
              <w:jc w:val="right"/>
              <w:rPr>
                <w:rFonts w:ascii="Arial Narrow" w:hAnsi="Arial Narrow" w:cs="Times New Roman"/>
                <w:b/>
                <w:bCs/>
              </w:rPr>
            </w:pPr>
            <w:r w:rsidRPr="00F53F8E">
              <w:rPr>
                <w:rFonts w:ascii="Arial Narrow" w:hAnsi="Arial Narrow" w:cs="Times New Roman"/>
                <w:b/>
                <w:bCs/>
              </w:rPr>
              <w:t>0,00</w:t>
            </w:r>
          </w:p>
        </w:tc>
        <w:tc>
          <w:tcPr>
            <w:tcW w:w="1440" w:type="dxa"/>
            <w:tcBorders>
              <w:top w:val="nil"/>
              <w:left w:val="single" w:sz="8" w:space="0" w:color="auto"/>
              <w:bottom w:val="single" w:sz="4" w:space="0" w:color="auto"/>
              <w:right w:val="nil"/>
              <w:tl2br w:val="nil"/>
              <w:tr2bl w:val="nil"/>
            </w:tcBorders>
            <w:noWrap/>
            <w:textDirection w:val="lrTb"/>
            <w:vAlign w:val="center"/>
          </w:tcPr>
          <w:p w:rsidR="00F67BF3" w:rsidRPr="00F53F8E" w:rsidP="00F67BF3">
            <w:pPr>
              <w:spacing w:line="240" w:lineRule="auto"/>
              <w:jc w:val="right"/>
              <w:rPr>
                <w:rFonts w:ascii="Arial Narrow" w:hAnsi="Arial Narrow" w:cs="Times New Roman"/>
                <w:b/>
                <w:bCs/>
              </w:rPr>
            </w:pPr>
            <w:r>
              <w:rPr>
                <w:rFonts w:ascii="Arial Narrow" w:hAnsi="Arial Narrow" w:cs="Times New Roman"/>
                <w:b/>
                <w:bCs/>
              </w:rPr>
              <w:t>10</w:t>
            </w:r>
            <w:r w:rsidRPr="00F53F8E">
              <w:rPr>
                <w:rFonts w:ascii="Arial Narrow" w:hAnsi="Arial Narrow" w:cs="Times New Roman"/>
                <w:b/>
                <w:bCs/>
              </w:rPr>
              <w:t xml:space="preserve"> 000,00</w:t>
            </w:r>
          </w:p>
        </w:tc>
        <w:tc>
          <w:tcPr>
            <w:tcW w:w="1540" w:type="dxa"/>
            <w:tcBorders>
              <w:top w:val="nil"/>
              <w:left w:val="single" w:sz="8" w:space="0" w:color="auto"/>
              <w:bottom w:val="single" w:sz="4" w:space="0" w:color="auto"/>
              <w:right w:val="single" w:sz="8" w:space="0" w:color="auto"/>
              <w:tl2br w:val="nil"/>
              <w:tr2bl w:val="nil"/>
            </w:tcBorders>
            <w:noWrap/>
            <w:textDirection w:val="lrTb"/>
            <w:vAlign w:val="center"/>
          </w:tcPr>
          <w:p w:rsidR="00F67BF3" w:rsidRPr="00F53F8E" w:rsidP="00F67BF3">
            <w:pPr>
              <w:spacing w:line="240" w:lineRule="auto"/>
              <w:jc w:val="right"/>
              <w:rPr>
                <w:rFonts w:ascii="Arial Narrow" w:hAnsi="Arial Narrow" w:cs="Times New Roman"/>
                <w:b/>
                <w:bCs/>
              </w:rPr>
            </w:pPr>
            <w:r>
              <w:rPr>
                <w:rFonts w:ascii="Arial Narrow" w:hAnsi="Arial Narrow" w:cs="Times New Roman"/>
                <w:b/>
                <w:bCs/>
              </w:rPr>
              <w:t>10</w:t>
            </w:r>
            <w:r w:rsidRPr="00F53F8E">
              <w:rPr>
                <w:rFonts w:ascii="Arial Narrow" w:hAnsi="Arial Narrow" w:cs="Times New Roman"/>
                <w:b/>
                <w:bCs/>
              </w:rPr>
              <w:t xml:space="preserve"> 000,00</w:t>
            </w:r>
          </w:p>
        </w:tc>
        <w:tc>
          <w:tcPr>
            <w:tcW w:w="1340" w:type="dxa"/>
            <w:tcBorders>
              <w:top w:val="nil"/>
              <w:left w:val="nil"/>
              <w:bottom w:val="single" w:sz="4" w:space="0" w:color="auto"/>
              <w:right w:val="single" w:sz="8" w:space="0" w:color="auto"/>
              <w:tl2br w:val="nil"/>
              <w:tr2bl w:val="nil"/>
            </w:tcBorders>
            <w:noWrap/>
            <w:textDirection w:val="lrTb"/>
            <w:vAlign w:val="center"/>
          </w:tcPr>
          <w:p w:rsidR="00F67BF3" w:rsidRPr="00F53F8E" w:rsidP="00F67BF3">
            <w:pPr>
              <w:spacing w:line="240" w:lineRule="auto"/>
              <w:jc w:val="right"/>
              <w:rPr>
                <w:rFonts w:ascii="Arial Narrow" w:hAnsi="Arial Narrow" w:cs="Times New Roman"/>
                <w:b/>
                <w:bCs/>
              </w:rPr>
            </w:pPr>
            <w:r w:rsidRPr="00F53F8E">
              <w:rPr>
                <w:rFonts w:ascii="Arial Narrow" w:hAnsi="Arial Narrow" w:cs="Times New Roman"/>
                <w:b/>
                <w:bCs/>
              </w:rPr>
              <w:t> </w:t>
            </w:r>
            <w:r>
              <w:rPr>
                <w:rFonts w:ascii="Arial Narrow" w:hAnsi="Arial Narrow" w:cs="Times New Roman"/>
                <w:b/>
                <w:bCs/>
              </w:rPr>
              <w:t>0,00</w:t>
            </w:r>
          </w:p>
        </w:tc>
        <w:tc>
          <w:tcPr>
            <w:tcW w:w="1224" w:type="dxa"/>
            <w:tcBorders>
              <w:top w:val="nil"/>
              <w:left w:val="nil"/>
              <w:bottom w:val="single" w:sz="4" w:space="0" w:color="auto"/>
              <w:right w:val="single" w:sz="8" w:space="0" w:color="auto"/>
              <w:tl2br w:val="nil"/>
              <w:tr2bl w:val="nil"/>
            </w:tcBorders>
            <w:noWrap/>
            <w:textDirection w:val="lrTb"/>
            <w:vAlign w:val="center"/>
          </w:tcPr>
          <w:p w:rsidR="00F67BF3" w:rsidRPr="00F53F8E" w:rsidP="00F67BF3">
            <w:pPr>
              <w:spacing w:line="240" w:lineRule="auto"/>
              <w:jc w:val="right"/>
              <w:rPr>
                <w:rFonts w:ascii="Arial Narrow" w:hAnsi="Arial Narrow" w:cs="Times New Roman"/>
                <w:b/>
                <w:bCs/>
              </w:rPr>
            </w:pPr>
            <w:r w:rsidRPr="00F53F8E">
              <w:rPr>
                <w:rFonts w:ascii="Arial Narrow" w:hAnsi="Arial Narrow" w:cs="Times New Roman"/>
                <w:b/>
                <w:bCs/>
              </w:rPr>
              <w:t>0,00</w:t>
            </w:r>
          </w:p>
        </w:tc>
        <w:tc>
          <w:tcPr>
            <w:tcW w:w="268" w:type="dxa"/>
            <w:tcBorders>
              <w:top w:val="nil"/>
              <w:left w:val="nil"/>
              <w:bottom w:val="nil"/>
              <w:right w:val="nil"/>
              <w:tl2br w:val="nil"/>
              <w:tr2bl w:val="nil"/>
            </w:tcBorders>
            <w:noWrap/>
            <w:textDirection w:val="lrTb"/>
            <w:vAlign w:val="bottom"/>
          </w:tcPr>
          <w:p w:rsidR="00F67BF3" w:rsidRPr="00F53F8E" w:rsidP="00F67BF3">
            <w:pPr>
              <w:spacing w:line="240" w:lineRule="auto"/>
              <w:rPr>
                <w:rFonts w:ascii="Arial Narrow" w:hAnsi="Arial Narrow" w:cs="Times New Roman"/>
              </w:rPr>
            </w:pPr>
          </w:p>
        </w:tc>
      </w:tr>
      <w:tr>
        <w:tblPrEx>
          <w:tblW w:w="11568" w:type="dxa"/>
          <w:tblInd w:w="-830" w:type="dxa"/>
          <w:tblCellMar>
            <w:left w:w="70" w:type="dxa"/>
            <w:right w:w="70" w:type="dxa"/>
          </w:tblCellMar>
        </w:tblPrEx>
        <w:trPr>
          <w:gridAfter w:val="2"/>
          <w:wAfter w:w="320" w:type="dxa"/>
          <w:trHeight w:val="227"/>
        </w:trPr>
        <w:tc>
          <w:tcPr>
            <w:tcW w:w="660" w:type="dxa"/>
            <w:tcBorders>
              <w:top w:val="nil"/>
              <w:left w:val="single" w:sz="8" w:space="0" w:color="auto"/>
              <w:bottom w:val="single" w:sz="4" w:space="0" w:color="auto"/>
              <w:right w:val="nil"/>
              <w:tl2br w:val="nil"/>
              <w:tr2bl w:val="nil"/>
            </w:tcBorders>
            <w:noWrap/>
            <w:textDirection w:val="lrTb"/>
            <w:vAlign w:val="center"/>
          </w:tcPr>
          <w:p w:rsidR="00F67BF3" w:rsidRPr="00064378" w:rsidP="00F67BF3">
            <w:pPr>
              <w:spacing w:line="240" w:lineRule="auto"/>
              <w:jc w:val="right"/>
              <w:rPr>
                <w:rFonts w:ascii="Arial Narrow" w:hAnsi="Arial Narrow" w:cs="Times New Roman"/>
              </w:rPr>
            </w:pPr>
            <w:r>
              <w:rPr>
                <w:rFonts w:ascii="Arial Narrow" w:hAnsi="Arial Narrow" w:cs="Times New Roman"/>
              </w:rPr>
              <w:t>13287</w:t>
            </w:r>
          </w:p>
        </w:tc>
        <w:tc>
          <w:tcPr>
            <w:tcW w:w="3300" w:type="dxa"/>
            <w:tcBorders>
              <w:top w:val="nil"/>
              <w:left w:val="single" w:sz="8" w:space="0" w:color="auto"/>
              <w:bottom w:val="single" w:sz="4" w:space="0" w:color="auto"/>
              <w:right w:val="nil"/>
              <w:tl2br w:val="nil"/>
              <w:tr2bl w:val="nil"/>
            </w:tcBorders>
            <w:noWrap/>
            <w:textDirection w:val="lrTb"/>
            <w:vAlign w:val="center"/>
          </w:tcPr>
          <w:p w:rsidR="00F67BF3" w:rsidRPr="00064378" w:rsidP="00F67BF3">
            <w:pPr>
              <w:spacing w:line="240" w:lineRule="auto"/>
              <w:rPr>
                <w:rFonts w:ascii="Arial Narrow" w:hAnsi="Arial Narrow" w:cs="Times New Roman"/>
              </w:rPr>
            </w:pPr>
            <w:r>
              <w:rPr>
                <w:rFonts w:ascii="Arial Narrow" w:hAnsi="Arial Narrow" w:cs="Times New Roman"/>
              </w:rPr>
              <w:t xml:space="preserve">D1 Hybe </w:t>
            </w:r>
            <w:r w:rsidR="002710B0">
              <w:rPr>
                <w:rFonts w:ascii="Arial Narrow" w:hAnsi="Arial Narrow" w:cs="Times New Roman"/>
              </w:rPr>
              <w:t>–</w:t>
            </w:r>
            <w:r>
              <w:rPr>
                <w:rFonts w:ascii="Arial Narrow" w:hAnsi="Arial Narrow" w:cs="Times New Roman"/>
              </w:rPr>
              <w:t xml:space="preserve"> Važec</w:t>
            </w:r>
          </w:p>
        </w:tc>
        <w:tc>
          <w:tcPr>
            <w:tcW w:w="1476" w:type="dxa"/>
            <w:tcBorders>
              <w:top w:val="nil"/>
              <w:left w:val="single" w:sz="8" w:space="0" w:color="auto"/>
              <w:bottom w:val="single" w:sz="4" w:space="0" w:color="auto"/>
              <w:right w:val="nil"/>
              <w:tl2br w:val="nil"/>
              <w:tr2bl w:val="nil"/>
            </w:tcBorders>
            <w:noWrap/>
            <w:textDirection w:val="lrTb"/>
            <w:vAlign w:val="center"/>
          </w:tcPr>
          <w:p w:rsidR="00F67BF3" w:rsidRPr="00F53F8E" w:rsidP="00F67BF3">
            <w:pPr>
              <w:spacing w:line="240" w:lineRule="auto"/>
              <w:jc w:val="right"/>
              <w:rPr>
                <w:rFonts w:ascii="Arial Narrow" w:hAnsi="Arial Narrow" w:cs="Times New Roman"/>
                <w:b/>
                <w:bCs/>
              </w:rPr>
            </w:pPr>
            <w:r>
              <w:rPr>
                <w:rFonts w:ascii="Arial Narrow" w:hAnsi="Arial Narrow" w:cs="Times New Roman"/>
                <w:b/>
                <w:bCs/>
              </w:rPr>
              <w:t>664 808 000,00</w:t>
            </w:r>
          </w:p>
        </w:tc>
        <w:tc>
          <w:tcPr>
            <w:tcW w:w="1440" w:type="dxa"/>
            <w:tcBorders>
              <w:top w:val="nil"/>
              <w:left w:val="single" w:sz="8" w:space="0" w:color="auto"/>
              <w:bottom w:val="single" w:sz="4" w:space="0" w:color="auto"/>
              <w:right w:val="nil"/>
              <w:tl2br w:val="nil"/>
              <w:tr2bl w:val="nil"/>
            </w:tcBorders>
            <w:noWrap/>
            <w:textDirection w:val="lrTb"/>
            <w:vAlign w:val="center"/>
          </w:tcPr>
          <w:p w:rsidR="00F67BF3" w:rsidRPr="00F53F8E" w:rsidP="00F67BF3">
            <w:pPr>
              <w:spacing w:line="240" w:lineRule="auto"/>
              <w:jc w:val="right"/>
              <w:rPr>
                <w:rFonts w:ascii="Arial Narrow" w:hAnsi="Arial Narrow" w:cs="Times New Roman"/>
                <w:b/>
                <w:bCs/>
              </w:rPr>
            </w:pPr>
            <w:r>
              <w:rPr>
                <w:rFonts w:ascii="Arial Narrow" w:hAnsi="Arial Narrow" w:cs="Times New Roman"/>
                <w:b/>
                <w:bCs/>
              </w:rPr>
              <w:t>25 159 000,00</w:t>
            </w:r>
          </w:p>
        </w:tc>
        <w:tc>
          <w:tcPr>
            <w:tcW w:w="1540" w:type="dxa"/>
            <w:tcBorders>
              <w:top w:val="nil"/>
              <w:left w:val="single" w:sz="8" w:space="0" w:color="auto"/>
              <w:bottom w:val="single" w:sz="4" w:space="0" w:color="auto"/>
              <w:right w:val="single" w:sz="8" w:space="0" w:color="auto"/>
              <w:tl2br w:val="nil"/>
              <w:tr2bl w:val="nil"/>
            </w:tcBorders>
            <w:noWrap/>
            <w:textDirection w:val="lrTb"/>
            <w:vAlign w:val="center"/>
          </w:tcPr>
          <w:p w:rsidR="00F67BF3" w:rsidRPr="00F53F8E" w:rsidP="00F67BF3">
            <w:pPr>
              <w:spacing w:line="240" w:lineRule="auto"/>
              <w:jc w:val="right"/>
              <w:rPr>
                <w:rFonts w:ascii="Arial Narrow" w:hAnsi="Arial Narrow" w:cs="Times New Roman"/>
                <w:b/>
                <w:bCs/>
              </w:rPr>
            </w:pPr>
            <w:r>
              <w:rPr>
                <w:rFonts w:ascii="Arial Narrow" w:hAnsi="Arial Narrow" w:cs="Times New Roman"/>
                <w:b/>
                <w:bCs/>
              </w:rPr>
              <w:t>25 159 000,00</w:t>
            </w:r>
          </w:p>
        </w:tc>
        <w:tc>
          <w:tcPr>
            <w:tcW w:w="1340" w:type="dxa"/>
            <w:tcBorders>
              <w:top w:val="nil"/>
              <w:left w:val="nil"/>
              <w:bottom w:val="single" w:sz="4" w:space="0" w:color="auto"/>
              <w:right w:val="single" w:sz="8" w:space="0" w:color="auto"/>
              <w:tl2br w:val="nil"/>
              <w:tr2bl w:val="nil"/>
            </w:tcBorders>
            <w:noWrap/>
            <w:textDirection w:val="lrTb"/>
            <w:vAlign w:val="center"/>
          </w:tcPr>
          <w:p w:rsidR="00F67BF3" w:rsidRPr="00F53F8E" w:rsidP="00F67BF3">
            <w:pPr>
              <w:spacing w:line="240" w:lineRule="auto"/>
              <w:jc w:val="right"/>
              <w:rPr>
                <w:rFonts w:ascii="Arial Narrow" w:hAnsi="Arial Narrow" w:cs="Times New Roman"/>
                <w:b/>
                <w:bCs/>
              </w:rPr>
            </w:pPr>
            <w:r w:rsidRPr="00F53F8E">
              <w:rPr>
                <w:rFonts w:ascii="Arial Narrow" w:hAnsi="Arial Narrow" w:cs="Times New Roman"/>
                <w:b/>
                <w:bCs/>
              </w:rPr>
              <w:t> </w:t>
            </w:r>
            <w:r>
              <w:rPr>
                <w:rFonts w:ascii="Arial Narrow" w:hAnsi="Arial Narrow" w:cs="Times New Roman"/>
                <w:b/>
                <w:bCs/>
              </w:rPr>
              <w:t>0,00</w:t>
            </w:r>
          </w:p>
        </w:tc>
        <w:tc>
          <w:tcPr>
            <w:tcW w:w="1224" w:type="dxa"/>
            <w:tcBorders>
              <w:top w:val="nil"/>
              <w:left w:val="nil"/>
              <w:bottom w:val="single" w:sz="4" w:space="0" w:color="auto"/>
              <w:right w:val="single" w:sz="8" w:space="0" w:color="auto"/>
              <w:tl2br w:val="nil"/>
              <w:tr2bl w:val="nil"/>
            </w:tcBorders>
            <w:noWrap/>
            <w:textDirection w:val="lrTb"/>
            <w:vAlign w:val="center"/>
          </w:tcPr>
          <w:p w:rsidR="00F67BF3" w:rsidRPr="00F53F8E" w:rsidP="00F67BF3">
            <w:pPr>
              <w:spacing w:line="240" w:lineRule="auto"/>
              <w:jc w:val="right"/>
              <w:rPr>
                <w:rFonts w:ascii="Arial Narrow" w:hAnsi="Arial Narrow" w:cs="Times New Roman"/>
                <w:b/>
                <w:bCs/>
              </w:rPr>
            </w:pPr>
          </w:p>
        </w:tc>
        <w:tc>
          <w:tcPr>
            <w:tcW w:w="268" w:type="dxa"/>
            <w:tcBorders>
              <w:top w:val="nil"/>
              <w:left w:val="nil"/>
              <w:bottom w:val="nil"/>
              <w:right w:val="nil"/>
              <w:tl2br w:val="nil"/>
              <w:tr2bl w:val="nil"/>
            </w:tcBorders>
            <w:noWrap/>
            <w:textDirection w:val="lrTb"/>
            <w:vAlign w:val="bottom"/>
          </w:tcPr>
          <w:p w:rsidR="00F67BF3" w:rsidRPr="00F53F8E" w:rsidP="00F67BF3">
            <w:pPr>
              <w:spacing w:line="240" w:lineRule="auto"/>
              <w:rPr>
                <w:rFonts w:ascii="Arial Narrow" w:hAnsi="Arial Narrow" w:cs="Times New Roman"/>
              </w:rPr>
            </w:pPr>
          </w:p>
        </w:tc>
      </w:tr>
      <w:tr>
        <w:tblPrEx>
          <w:tblW w:w="11568" w:type="dxa"/>
          <w:tblInd w:w="-830" w:type="dxa"/>
          <w:tblCellMar>
            <w:left w:w="70" w:type="dxa"/>
            <w:right w:w="70" w:type="dxa"/>
          </w:tblCellMar>
        </w:tblPrEx>
        <w:trPr>
          <w:gridAfter w:val="2"/>
          <w:wAfter w:w="320" w:type="dxa"/>
          <w:trHeight w:val="227"/>
        </w:trPr>
        <w:tc>
          <w:tcPr>
            <w:tcW w:w="660" w:type="dxa"/>
            <w:tcBorders>
              <w:top w:val="nil"/>
              <w:left w:val="single" w:sz="8" w:space="0" w:color="auto"/>
              <w:bottom w:val="single" w:sz="4" w:space="0" w:color="auto"/>
              <w:right w:val="nil"/>
              <w:tl2br w:val="nil"/>
              <w:tr2bl w:val="nil"/>
            </w:tcBorders>
            <w:noWrap/>
            <w:textDirection w:val="lrTb"/>
            <w:vAlign w:val="center"/>
          </w:tcPr>
          <w:p w:rsidR="00F67BF3" w:rsidRPr="00064378" w:rsidP="00F67BF3">
            <w:pPr>
              <w:spacing w:line="240" w:lineRule="auto"/>
              <w:jc w:val="right"/>
              <w:rPr>
                <w:rFonts w:ascii="Arial Narrow" w:hAnsi="Arial Narrow" w:cs="Times New Roman"/>
              </w:rPr>
            </w:pPr>
            <w:r>
              <w:rPr>
                <w:rFonts w:ascii="Arial Narrow" w:hAnsi="Arial Narrow" w:cs="Times New Roman"/>
              </w:rPr>
              <w:t>13288</w:t>
            </w:r>
          </w:p>
        </w:tc>
        <w:tc>
          <w:tcPr>
            <w:tcW w:w="3300" w:type="dxa"/>
            <w:tcBorders>
              <w:top w:val="nil"/>
              <w:left w:val="single" w:sz="8" w:space="0" w:color="auto"/>
              <w:bottom w:val="single" w:sz="4" w:space="0" w:color="auto"/>
              <w:right w:val="nil"/>
              <w:tl2br w:val="nil"/>
              <w:tr2bl w:val="nil"/>
            </w:tcBorders>
            <w:noWrap/>
            <w:textDirection w:val="lrTb"/>
            <w:vAlign w:val="center"/>
          </w:tcPr>
          <w:p w:rsidR="00F67BF3" w:rsidRPr="00064378" w:rsidP="00F67BF3">
            <w:pPr>
              <w:spacing w:line="240" w:lineRule="auto"/>
              <w:rPr>
                <w:rFonts w:ascii="Arial Narrow" w:hAnsi="Arial Narrow" w:cs="Times New Roman"/>
              </w:rPr>
            </w:pPr>
            <w:r>
              <w:rPr>
                <w:rFonts w:ascii="Arial Narrow" w:hAnsi="Arial Narrow" w:cs="Times New Roman"/>
              </w:rPr>
              <w:t>D1 Horná Streda</w:t>
            </w:r>
            <w:r>
              <w:rPr>
                <w:rFonts w:ascii="Arial Narrow" w:hAnsi="Arial Narrow" w:cs="Times New Roman"/>
              </w:rPr>
              <w:t xml:space="preserve"> - Nové Mesto n/Váhom</w:t>
            </w:r>
          </w:p>
        </w:tc>
        <w:tc>
          <w:tcPr>
            <w:tcW w:w="1476" w:type="dxa"/>
            <w:tcBorders>
              <w:top w:val="nil"/>
              <w:left w:val="single" w:sz="8" w:space="0" w:color="auto"/>
              <w:bottom w:val="single" w:sz="4" w:space="0" w:color="auto"/>
              <w:right w:val="nil"/>
              <w:tl2br w:val="nil"/>
              <w:tr2bl w:val="nil"/>
            </w:tcBorders>
            <w:noWrap/>
            <w:textDirection w:val="lrTb"/>
            <w:vAlign w:val="center"/>
          </w:tcPr>
          <w:p w:rsidR="00F67BF3" w:rsidP="00F67BF3">
            <w:pPr>
              <w:spacing w:line="240" w:lineRule="auto"/>
              <w:jc w:val="right"/>
              <w:rPr>
                <w:rFonts w:ascii="Arial Narrow" w:hAnsi="Arial Narrow" w:cs="Times New Roman"/>
                <w:b/>
                <w:bCs/>
              </w:rPr>
            </w:pPr>
            <w:r>
              <w:rPr>
                <w:rFonts w:ascii="Arial Narrow" w:hAnsi="Arial Narrow" w:cs="Times New Roman"/>
                <w:b/>
                <w:bCs/>
              </w:rPr>
              <w:t>0,00</w:t>
            </w:r>
          </w:p>
        </w:tc>
        <w:tc>
          <w:tcPr>
            <w:tcW w:w="1440" w:type="dxa"/>
            <w:tcBorders>
              <w:top w:val="nil"/>
              <w:left w:val="single" w:sz="8" w:space="0" w:color="auto"/>
              <w:bottom w:val="single" w:sz="4" w:space="0" w:color="auto"/>
              <w:right w:val="nil"/>
              <w:tl2br w:val="nil"/>
              <w:tr2bl w:val="nil"/>
            </w:tcBorders>
            <w:noWrap/>
            <w:textDirection w:val="lrTb"/>
            <w:vAlign w:val="center"/>
          </w:tcPr>
          <w:p w:rsidR="00F67BF3" w:rsidRPr="00F53F8E" w:rsidP="00F67BF3">
            <w:pPr>
              <w:spacing w:line="240" w:lineRule="auto"/>
              <w:jc w:val="right"/>
              <w:rPr>
                <w:rFonts w:ascii="Arial Narrow" w:hAnsi="Arial Narrow" w:cs="Times New Roman"/>
                <w:b/>
                <w:bCs/>
              </w:rPr>
            </w:pPr>
            <w:r>
              <w:rPr>
                <w:rFonts w:ascii="Arial Narrow" w:hAnsi="Arial Narrow" w:cs="Times New Roman"/>
                <w:b/>
                <w:bCs/>
              </w:rPr>
              <w:t>5 000,00</w:t>
            </w:r>
          </w:p>
        </w:tc>
        <w:tc>
          <w:tcPr>
            <w:tcW w:w="1540" w:type="dxa"/>
            <w:tcBorders>
              <w:top w:val="nil"/>
              <w:left w:val="single" w:sz="8" w:space="0" w:color="auto"/>
              <w:bottom w:val="single" w:sz="4" w:space="0" w:color="auto"/>
              <w:right w:val="single" w:sz="8" w:space="0" w:color="auto"/>
              <w:tl2br w:val="nil"/>
              <w:tr2bl w:val="nil"/>
            </w:tcBorders>
            <w:noWrap/>
            <w:textDirection w:val="lrTb"/>
            <w:vAlign w:val="center"/>
          </w:tcPr>
          <w:p w:rsidR="00F67BF3" w:rsidRPr="00F53F8E" w:rsidP="00F67BF3">
            <w:pPr>
              <w:spacing w:line="240" w:lineRule="auto"/>
              <w:jc w:val="right"/>
              <w:rPr>
                <w:rFonts w:ascii="Arial Narrow" w:hAnsi="Arial Narrow" w:cs="Times New Roman"/>
                <w:b/>
                <w:bCs/>
              </w:rPr>
            </w:pPr>
            <w:r>
              <w:rPr>
                <w:rFonts w:ascii="Arial Narrow" w:hAnsi="Arial Narrow" w:cs="Times New Roman"/>
                <w:b/>
                <w:bCs/>
              </w:rPr>
              <w:t>5 000,00</w:t>
            </w:r>
          </w:p>
        </w:tc>
        <w:tc>
          <w:tcPr>
            <w:tcW w:w="1340" w:type="dxa"/>
            <w:tcBorders>
              <w:top w:val="nil"/>
              <w:left w:val="nil"/>
              <w:bottom w:val="single" w:sz="4" w:space="0" w:color="auto"/>
              <w:right w:val="single" w:sz="8" w:space="0" w:color="auto"/>
              <w:tl2br w:val="nil"/>
              <w:tr2bl w:val="nil"/>
            </w:tcBorders>
            <w:noWrap/>
            <w:textDirection w:val="lrTb"/>
            <w:vAlign w:val="center"/>
          </w:tcPr>
          <w:p w:rsidR="00F67BF3" w:rsidRPr="00F53F8E" w:rsidP="00F67BF3">
            <w:pPr>
              <w:spacing w:line="240" w:lineRule="auto"/>
              <w:jc w:val="right"/>
              <w:rPr>
                <w:rFonts w:ascii="Arial Narrow" w:hAnsi="Arial Narrow" w:cs="Times New Roman"/>
                <w:b/>
                <w:bCs/>
              </w:rPr>
            </w:pPr>
            <w:r w:rsidRPr="00F53F8E">
              <w:rPr>
                <w:rFonts w:ascii="Arial Narrow" w:hAnsi="Arial Narrow" w:cs="Times New Roman"/>
                <w:b/>
                <w:bCs/>
              </w:rPr>
              <w:t> </w:t>
            </w:r>
            <w:r>
              <w:rPr>
                <w:rFonts w:ascii="Arial Narrow" w:hAnsi="Arial Narrow" w:cs="Times New Roman"/>
                <w:b/>
                <w:bCs/>
              </w:rPr>
              <w:t>0,00</w:t>
            </w:r>
          </w:p>
        </w:tc>
        <w:tc>
          <w:tcPr>
            <w:tcW w:w="1224" w:type="dxa"/>
            <w:tcBorders>
              <w:top w:val="nil"/>
              <w:left w:val="nil"/>
              <w:bottom w:val="single" w:sz="4" w:space="0" w:color="auto"/>
              <w:right w:val="single" w:sz="8" w:space="0" w:color="auto"/>
              <w:tl2br w:val="nil"/>
              <w:tr2bl w:val="nil"/>
            </w:tcBorders>
            <w:noWrap/>
            <w:textDirection w:val="lrTb"/>
            <w:vAlign w:val="center"/>
          </w:tcPr>
          <w:p w:rsidR="00F67BF3" w:rsidRPr="00F53F8E" w:rsidP="00F67BF3">
            <w:pPr>
              <w:spacing w:line="240" w:lineRule="auto"/>
              <w:jc w:val="right"/>
              <w:rPr>
                <w:rFonts w:ascii="Arial Narrow" w:hAnsi="Arial Narrow" w:cs="Times New Roman"/>
                <w:b/>
                <w:bCs/>
              </w:rPr>
            </w:pPr>
          </w:p>
        </w:tc>
        <w:tc>
          <w:tcPr>
            <w:tcW w:w="268" w:type="dxa"/>
            <w:tcBorders>
              <w:top w:val="nil"/>
              <w:left w:val="nil"/>
              <w:bottom w:val="nil"/>
              <w:right w:val="nil"/>
              <w:tl2br w:val="nil"/>
              <w:tr2bl w:val="nil"/>
            </w:tcBorders>
            <w:noWrap/>
            <w:textDirection w:val="lrTb"/>
            <w:vAlign w:val="bottom"/>
          </w:tcPr>
          <w:p w:rsidR="00F67BF3" w:rsidRPr="00F53F8E" w:rsidP="00F67BF3">
            <w:pPr>
              <w:spacing w:line="240" w:lineRule="auto"/>
              <w:rPr>
                <w:rFonts w:ascii="Arial Narrow" w:hAnsi="Arial Narrow" w:cs="Times New Roman"/>
              </w:rPr>
            </w:pPr>
          </w:p>
        </w:tc>
      </w:tr>
      <w:tr>
        <w:tblPrEx>
          <w:tblW w:w="11568" w:type="dxa"/>
          <w:tblInd w:w="-830" w:type="dxa"/>
          <w:tblCellMar>
            <w:left w:w="70" w:type="dxa"/>
            <w:right w:w="70" w:type="dxa"/>
          </w:tblCellMar>
        </w:tblPrEx>
        <w:trPr>
          <w:gridAfter w:val="2"/>
          <w:wAfter w:w="320" w:type="dxa"/>
          <w:trHeight w:val="227"/>
        </w:trPr>
        <w:tc>
          <w:tcPr>
            <w:tcW w:w="660" w:type="dxa"/>
            <w:tcBorders>
              <w:top w:val="nil"/>
              <w:left w:val="single" w:sz="8" w:space="0" w:color="auto"/>
              <w:bottom w:val="single" w:sz="4" w:space="0" w:color="auto"/>
              <w:right w:val="nil"/>
              <w:tl2br w:val="nil"/>
              <w:tr2bl w:val="nil"/>
            </w:tcBorders>
            <w:noWrap/>
            <w:textDirection w:val="lrTb"/>
            <w:vAlign w:val="center"/>
          </w:tcPr>
          <w:p w:rsidR="00F67BF3" w:rsidRPr="00064378" w:rsidP="00F67BF3">
            <w:pPr>
              <w:spacing w:line="240" w:lineRule="auto"/>
              <w:jc w:val="right"/>
              <w:rPr>
                <w:rFonts w:ascii="Arial Narrow" w:hAnsi="Arial Narrow" w:cs="Times New Roman"/>
              </w:rPr>
            </w:pPr>
            <w:r w:rsidRPr="00064378">
              <w:rPr>
                <w:rFonts w:ascii="Arial Narrow" w:hAnsi="Arial Narrow" w:cs="Times New Roman"/>
              </w:rPr>
              <w:t>13289</w:t>
            </w:r>
          </w:p>
        </w:tc>
        <w:tc>
          <w:tcPr>
            <w:tcW w:w="3300" w:type="dxa"/>
            <w:tcBorders>
              <w:top w:val="nil"/>
              <w:left w:val="single" w:sz="8" w:space="0" w:color="auto"/>
              <w:bottom w:val="single" w:sz="4" w:space="0" w:color="auto"/>
              <w:right w:val="nil"/>
              <w:tl2br w:val="nil"/>
              <w:tr2bl w:val="nil"/>
            </w:tcBorders>
            <w:noWrap/>
            <w:textDirection w:val="lrTb"/>
            <w:vAlign w:val="center"/>
          </w:tcPr>
          <w:p w:rsidR="00F67BF3" w:rsidRPr="00064378" w:rsidP="00F67BF3">
            <w:pPr>
              <w:spacing w:line="240" w:lineRule="auto"/>
              <w:rPr>
                <w:rFonts w:ascii="Arial Narrow" w:hAnsi="Arial Narrow" w:cs="Times New Roman"/>
              </w:rPr>
            </w:pPr>
            <w:r w:rsidRPr="00064378">
              <w:rPr>
                <w:rFonts w:ascii="Arial Narrow" w:hAnsi="Arial Narrow" w:cs="Times New Roman"/>
              </w:rPr>
              <w:t xml:space="preserve">D1 Bratislava, Mierová </w:t>
            </w:r>
            <w:r w:rsidR="002710B0">
              <w:rPr>
                <w:rFonts w:ascii="Arial Narrow" w:hAnsi="Arial Narrow" w:cs="Times New Roman"/>
              </w:rPr>
              <w:t>–</w:t>
            </w:r>
            <w:r w:rsidRPr="00064378">
              <w:rPr>
                <w:rFonts w:ascii="Arial Narrow" w:hAnsi="Arial Narrow" w:cs="Times New Roman"/>
              </w:rPr>
              <w:t xml:space="preserve"> Senecká</w:t>
            </w:r>
          </w:p>
        </w:tc>
        <w:tc>
          <w:tcPr>
            <w:tcW w:w="1476" w:type="dxa"/>
            <w:tcBorders>
              <w:top w:val="nil"/>
              <w:left w:val="single" w:sz="8" w:space="0" w:color="auto"/>
              <w:bottom w:val="single" w:sz="4" w:space="0" w:color="auto"/>
              <w:right w:val="nil"/>
              <w:tl2br w:val="nil"/>
              <w:tr2bl w:val="nil"/>
            </w:tcBorders>
            <w:noWrap/>
            <w:textDirection w:val="lrTb"/>
            <w:vAlign w:val="center"/>
          </w:tcPr>
          <w:p w:rsidR="00F67BF3" w:rsidRPr="00F53F8E" w:rsidP="00F67BF3">
            <w:pPr>
              <w:spacing w:line="240" w:lineRule="auto"/>
              <w:jc w:val="right"/>
              <w:rPr>
                <w:rFonts w:ascii="Arial Narrow" w:hAnsi="Arial Narrow" w:cs="Times New Roman"/>
                <w:b/>
                <w:bCs/>
              </w:rPr>
            </w:pPr>
            <w:r>
              <w:rPr>
                <w:rFonts w:ascii="Arial Narrow" w:hAnsi="Arial Narrow" w:cs="Times New Roman"/>
                <w:b/>
                <w:bCs/>
              </w:rPr>
              <w:t>50 000 00</w:t>
            </w:r>
            <w:r w:rsidRPr="00F53F8E">
              <w:rPr>
                <w:rFonts w:ascii="Arial Narrow" w:hAnsi="Arial Narrow" w:cs="Times New Roman"/>
                <w:b/>
                <w:bCs/>
              </w:rPr>
              <w:t>0,00</w:t>
            </w:r>
          </w:p>
        </w:tc>
        <w:tc>
          <w:tcPr>
            <w:tcW w:w="1440" w:type="dxa"/>
            <w:tcBorders>
              <w:top w:val="nil"/>
              <w:left w:val="single" w:sz="8" w:space="0" w:color="auto"/>
              <w:bottom w:val="single" w:sz="4" w:space="0" w:color="auto"/>
              <w:right w:val="nil"/>
              <w:tl2br w:val="nil"/>
              <w:tr2bl w:val="nil"/>
            </w:tcBorders>
            <w:noWrap/>
            <w:textDirection w:val="lrTb"/>
            <w:vAlign w:val="center"/>
          </w:tcPr>
          <w:p w:rsidR="00F67BF3" w:rsidRPr="00F53F8E" w:rsidP="00F67BF3">
            <w:pPr>
              <w:spacing w:line="240" w:lineRule="auto"/>
              <w:jc w:val="right"/>
              <w:rPr>
                <w:rFonts w:ascii="Arial Narrow" w:hAnsi="Arial Narrow" w:cs="Times New Roman"/>
                <w:b/>
                <w:bCs/>
              </w:rPr>
            </w:pPr>
            <w:r>
              <w:rPr>
                <w:rFonts w:ascii="Arial Narrow" w:hAnsi="Arial Narrow" w:cs="Times New Roman"/>
                <w:b/>
                <w:bCs/>
              </w:rPr>
              <w:t>9 454</w:t>
            </w:r>
            <w:r w:rsidRPr="00F53F8E">
              <w:rPr>
                <w:rFonts w:ascii="Arial Narrow" w:hAnsi="Arial Narrow" w:cs="Times New Roman"/>
                <w:b/>
                <w:bCs/>
              </w:rPr>
              <w:t xml:space="preserve"> 000,00</w:t>
            </w:r>
          </w:p>
        </w:tc>
        <w:tc>
          <w:tcPr>
            <w:tcW w:w="1540" w:type="dxa"/>
            <w:tcBorders>
              <w:top w:val="nil"/>
              <w:left w:val="single" w:sz="8" w:space="0" w:color="auto"/>
              <w:bottom w:val="single" w:sz="4" w:space="0" w:color="auto"/>
              <w:right w:val="single" w:sz="8" w:space="0" w:color="auto"/>
              <w:tl2br w:val="nil"/>
              <w:tr2bl w:val="nil"/>
            </w:tcBorders>
            <w:noWrap/>
            <w:textDirection w:val="lrTb"/>
            <w:vAlign w:val="center"/>
          </w:tcPr>
          <w:p w:rsidR="00F67BF3" w:rsidRPr="00F53F8E" w:rsidP="00F67BF3">
            <w:pPr>
              <w:spacing w:line="240" w:lineRule="auto"/>
              <w:jc w:val="right"/>
              <w:rPr>
                <w:rFonts w:ascii="Arial Narrow" w:hAnsi="Arial Narrow" w:cs="Times New Roman"/>
                <w:b/>
                <w:bCs/>
              </w:rPr>
            </w:pPr>
            <w:r>
              <w:rPr>
                <w:rFonts w:ascii="Arial Narrow" w:hAnsi="Arial Narrow" w:cs="Times New Roman"/>
                <w:b/>
                <w:bCs/>
              </w:rPr>
              <w:t>9 454</w:t>
            </w:r>
            <w:r w:rsidRPr="00F53F8E">
              <w:rPr>
                <w:rFonts w:ascii="Arial Narrow" w:hAnsi="Arial Narrow" w:cs="Times New Roman"/>
                <w:b/>
                <w:bCs/>
              </w:rPr>
              <w:t xml:space="preserve"> 000,00</w:t>
            </w:r>
          </w:p>
        </w:tc>
        <w:tc>
          <w:tcPr>
            <w:tcW w:w="1340" w:type="dxa"/>
            <w:tcBorders>
              <w:top w:val="nil"/>
              <w:left w:val="nil"/>
              <w:bottom w:val="single" w:sz="4" w:space="0" w:color="auto"/>
              <w:right w:val="single" w:sz="8" w:space="0" w:color="auto"/>
              <w:tl2br w:val="nil"/>
              <w:tr2bl w:val="nil"/>
            </w:tcBorders>
            <w:noWrap/>
            <w:textDirection w:val="lrTb"/>
            <w:vAlign w:val="center"/>
          </w:tcPr>
          <w:p w:rsidR="00F67BF3" w:rsidRPr="00F53F8E" w:rsidP="00F67BF3">
            <w:pPr>
              <w:spacing w:line="240" w:lineRule="auto"/>
              <w:jc w:val="right"/>
              <w:rPr>
                <w:rFonts w:ascii="Arial Narrow" w:hAnsi="Arial Narrow" w:cs="Times New Roman"/>
                <w:b/>
                <w:bCs/>
              </w:rPr>
            </w:pPr>
            <w:r w:rsidRPr="00F53F8E">
              <w:rPr>
                <w:rFonts w:ascii="Arial Narrow" w:hAnsi="Arial Narrow" w:cs="Times New Roman"/>
                <w:b/>
                <w:bCs/>
              </w:rPr>
              <w:t> </w:t>
            </w:r>
            <w:r>
              <w:rPr>
                <w:rFonts w:ascii="Arial Narrow" w:hAnsi="Arial Narrow" w:cs="Times New Roman"/>
                <w:b/>
                <w:bCs/>
              </w:rPr>
              <w:t>0,00</w:t>
            </w:r>
          </w:p>
        </w:tc>
        <w:tc>
          <w:tcPr>
            <w:tcW w:w="1224" w:type="dxa"/>
            <w:tcBorders>
              <w:top w:val="nil"/>
              <w:left w:val="nil"/>
              <w:bottom w:val="single" w:sz="4" w:space="0" w:color="auto"/>
              <w:right w:val="single" w:sz="8" w:space="0" w:color="auto"/>
              <w:tl2br w:val="nil"/>
              <w:tr2bl w:val="nil"/>
            </w:tcBorders>
            <w:noWrap/>
            <w:textDirection w:val="lrTb"/>
            <w:vAlign w:val="center"/>
          </w:tcPr>
          <w:p w:rsidR="00F67BF3" w:rsidRPr="00F53F8E" w:rsidP="00F67BF3">
            <w:pPr>
              <w:spacing w:line="240" w:lineRule="auto"/>
              <w:jc w:val="right"/>
              <w:rPr>
                <w:rFonts w:ascii="Arial Narrow" w:hAnsi="Arial Narrow" w:cs="Times New Roman"/>
                <w:b/>
                <w:bCs/>
              </w:rPr>
            </w:pPr>
            <w:r w:rsidRPr="00F53F8E">
              <w:rPr>
                <w:rFonts w:ascii="Arial Narrow" w:hAnsi="Arial Narrow" w:cs="Times New Roman"/>
                <w:b/>
                <w:bCs/>
              </w:rPr>
              <w:t>0,00</w:t>
            </w:r>
          </w:p>
        </w:tc>
        <w:tc>
          <w:tcPr>
            <w:tcW w:w="268" w:type="dxa"/>
            <w:tcBorders>
              <w:top w:val="nil"/>
              <w:left w:val="nil"/>
              <w:bottom w:val="nil"/>
              <w:right w:val="nil"/>
              <w:tl2br w:val="nil"/>
              <w:tr2bl w:val="nil"/>
            </w:tcBorders>
            <w:noWrap/>
            <w:textDirection w:val="lrTb"/>
            <w:vAlign w:val="bottom"/>
          </w:tcPr>
          <w:p w:rsidR="00F67BF3" w:rsidRPr="00F53F8E" w:rsidP="00F67BF3">
            <w:pPr>
              <w:spacing w:line="240" w:lineRule="auto"/>
              <w:rPr>
                <w:rFonts w:ascii="Arial Narrow" w:hAnsi="Arial Narrow" w:cs="Times New Roman"/>
              </w:rPr>
            </w:pPr>
          </w:p>
        </w:tc>
      </w:tr>
      <w:tr>
        <w:tblPrEx>
          <w:tblW w:w="11568" w:type="dxa"/>
          <w:tblInd w:w="-830" w:type="dxa"/>
          <w:tblCellMar>
            <w:left w:w="70" w:type="dxa"/>
            <w:right w:w="70" w:type="dxa"/>
          </w:tblCellMar>
        </w:tblPrEx>
        <w:trPr>
          <w:gridAfter w:val="2"/>
          <w:wAfter w:w="320" w:type="dxa"/>
          <w:trHeight w:val="227"/>
        </w:trPr>
        <w:tc>
          <w:tcPr>
            <w:tcW w:w="660" w:type="dxa"/>
            <w:tcBorders>
              <w:top w:val="nil"/>
              <w:left w:val="single" w:sz="8" w:space="0" w:color="auto"/>
              <w:bottom w:val="single" w:sz="4" w:space="0" w:color="auto"/>
              <w:right w:val="nil"/>
              <w:tl2br w:val="nil"/>
              <w:tr2bl w:val="nil"/>
            </w:tcBorders>
            <w:noWrap/>
            <w:textDirection w:val="lrTb"/>
            <w:vAlign w:val="center"/>
          </w:tcPr>
          <w:p w:rsidR="00F67BF3" w:rsidRPr="00064378" w:rsidP="00F67BF3">
            <w:pPr>
              <w:spacing w:line="240" w:lineRule="auto"/>
              <w:jc w:val="right"/>
              <w:rPr>
                <w:rFonts w:ascii="Arial Narrow" w:hAnsi="Arial Narrow" w:cs="Times New Roman"/>
              </w:rPr>
            </w:pPr>
            <w:r w:rsidRPr="00064378">
              <w:rPr>
                <w:rFonts w:ascii="Arial Narrow" w:hAnsi="Arial Narrow" w:cs="Times New Roman"/>
              </w:rPr>
              <w:t>13291</w:t>
            </w:r>
          </w:p>
        </w:tc>
        <w:tc>
          <w:tcPr>
            <w:tcW w:w="3300" w:type="dxa"/>
            <w:tcBorders>
              <w:top w:val="nil"/>
              <w:left w:val="single" w:sz="8" w:space="0" w:color="auto"/>
              <w:bottom w:val="single" w:sz="4" w:space="0" w:color="auto"/>
              <w:right w:val="nil"/>
              <w:tl2br w:val="nil"/>
              <w:tr2bl w:val="nil"/>
            </w:tcBorders>
            <w:noWrap/>
            <w:textDirection w:val="lrTb"/>
            <w:vAlign w:val="center"/>
          </w:tcPr>
          <w:p w:rsidR="00F67BF3" w:rsidRPr="00064378" w:rsidP="00F67BF3">
            <w:pPr>
              <w:spacing w:line="240" w:lineRule="auto"/>
              <w:rPr>
                <w:rFonts w:ascii="Arial Narrow" w:hAnsi="Arial Narrow" w:cs="Times New Roman"/>
              </w:rPr>
            </w:pPr>
            <w:r>
              <w:rPr>
                <w:rFonts w:ascii="Arial Narrow" w:hAnsi="Arial Narrow" w:cs="Times New Roman"/>
              </w:rPr>
              <w:t xml:space="preserve">D1 Nemšová </w:t>
            </w:r>
            <w:r w:rsidR="002710B0">
              <w:rPr>
                <w:rFonts w:ascii="Arial Narrow" w:hAnsi="Arial Narrow" w:cs="Times New Roman"/>
              </w:rPr>
              <w:t>–</w:t>
            </w:r>
            <w:r>
              <w:rPr>
                <w:rFonts w:ascii="Arial Narrow" w:hAnsi="Arial Narrow" w:cs="Times New Roman"/>
              </w:rPr>
              <w:t xml:space="preserve"> </w:t>
            </w:r>
            <w:r w:rsidRPr="00064378">
              <w:rPr>
                <w:rFonts w:ascii="Arial Narrow" w:hAnsi="Arial Narrow" w:cs="Times New Roman"/>
              </w:rPr>
              <w:t>Ladce</w:t>
            </w:r>
          </w:p>
        </w:tc>
        <w:tc>
          <w:tcPr>
            <w:tcW w:w="1476" w:type="dxa"/>
            <w:tcBorders>
              <w:top w:val="nil"/>
              <w:left w:val="single" w:sz="8" w:space="0" w:color="auto"/>
              <w:bottom w:val="single" w:sz="4" w:space="0" w:color="auto"/>
              <w:right w:val="nil"/>
              <w:tl2br w:val="nil"/>
              <w:tr2bl w:val="nil"/>
            </w:tcBorders>
            <w:noWrap/>
            <w:textDirection w:val="lrTb"/>
            <w:vAlign w:val="center"/>
          </w:tcPr>
          <w:p w:rsidR="00F67BF3" w:rsidRPr="00F53F8E" w:rsidP="00F67BF3">
            <w:pPr>
              <w:spacing w:line="240" w:lineRule="auto"/>
              <w:jc w:val="right"/>
              <w:rPr>
                <w:rFonts w:ascii="Arial Narrow" w:hAnsi="Arial Narrow" w:cs="Times New Roman"/>
                <w:b/>
                <w:bCs/>
              </w:rPr>
            </w:pPr>
            <w:r w:rsidRPr="00F53F8E">
              <w:rPr>
                <w:rFonts w:ascii="Arial Narrow" w:hAnsi="Arial Narrow" w:cs="Times New Roman"/>
                <w:b/>
                <w:bCs/>
              </w:rPr>
              <w:t>0,00</w:t>
            </w:r>
          </w:p>
        </w:tc>
        <w:tc>
          <w:tcPr>
            <w:tcW w:w="1440" w:type="dxa"/>
            <w:tcBorders>
              <w:top w:val="nil"/>
              <w:left w:val="single" w:sz="8" w:space="0" w:color="auto"/>
              <w:bottom w:val="single" w:sz="4" w:space="0" w:color="auto"/>
              <w:right w:val="nil"/>
              <w:tl2br w:val="nil"/>
              <w:tr2bl w:val="nil"/>
            </w:tcBorders>
            <w:noWrap/>
            <w:textDirection w:val="lrTb"/>
            <w:vAlign w:val="center"/>
          </w:tcPr>
          <w:p w:rsidR="00F67BF3" w:rsidRPr="00F53F8E" w:rsidP="00F67BF3">
            <w:pPr>
              <w:spacing w:line="240" w:lineRule="auto"/>
              <w:jc w:val="right"/>
              <w:rPr>
                <w:rFonts w:ascii="Arial Narrow" w:hAnsi="Arial Narrow" w:cs="Times New Roman"/>
                <w:b/>
                <w:bCs/>
              </w:rPr>
            </w:pPr>
            <w:r>
              <w:rPr>
                <w:rFonts w:ascii="Arial Narrow" w:hAnsi="Arial Narrow" w:cs="Times New Roman"/>
                <w:b/>
                <w:bCs/>
              </w:rPr>
              <w:t>0</w:t>
            </w:r>
            <w:r w:rsidRPr="00F53F8E">
              <w:rPr>
                <w:rFonts w:ascii="Arial Narrow" w:hAnsi="Arial Narrow" w:cs="Times New Roman"/>
                <w:b/>
                <w:bCs/>
              </w:rPr>
              <w:t>,00</w:t>
            </w:r>
          </w:p>
        </w:tc>
        <w:tc>
          <w:tcPr>
            <w:tcW w:w="1540" w:type="dxa"/>
            <w:tcBorders>
              <w:top w:val="nil"/>
              <w:left w:val="single" w:sz="8" w:space="0" w:color="auto"/>
              <w:bottom w:val="single" w:sz="4" w:space="0" w:color="auto"/>
              <w:right w:val="single" w:sz="8" w:space="0" w:color="auto"/>
              <w:tl2br w:val="nil"/>
              <w:tr2bl w:val="nil"/>
            </w:tcBorders>
            <w:noWrap/>
            <w:textDirection w:val="lrTb"/>
            <w:vAlign w:val="center"/>
          </w:tcPr>
          <w:p w:rsidR="00F67BF3" w:rsidRPr="00F53F8E" w:rsidP="00F67BF3">
            <w:pPr>
              <w:spacing w:line="240" w:lineRule="auto"/>
              <w:jc w:val="right"/>
              <w:rPr>
                <w:rFonts w:ascii="Arial Narrow" w:hAnsi="Arial Narrow" w:cs="Times New Roman"/>
                <w:b/>
                <w:bCs/>
              </w:rPr>
            </w:pPr>
            <w:r>
              <w:rPr>
                <w:rFonts w:ascii="Arial Narrow" w:hAnsi="Arial Narrow" w:cs="Times New Roman"/>
                <w:b/>
                <w:bCs/>
              </w:rPr>
              <w:t>0</w:t>
            </w:r>
            <w:r w:rsidRPr="00F53F8E">
              <w:rPr>
                <w:rFonts w:ascii="Arial Narrow" w:hAnsi="Arial Narrow" w:cs="Times New Roman"/>
                <w:b/>
                <w:bCs/>
              </w:rPr>
              <w:t>,00</w:t>
            </w:r>
          </w:p>
        </w:tc>
        <w:tc>
          <w:tcPr>
            <w:tcW w:w="1340" w:type="dxa"/>
            <w:tcBorders>
              <w:top w:val="nil"/>
              <w:left w:val="nil"/>
              <w:bottom w:val="single" w:sz="4" w:space="0" w:color="auto"/>
              <w:right w:val="single" w:sz="8" w:space="0" w:color="auto"/>
              <w:tl2br w:val="nil"/>
              <w:tr2bl w:val="nil"/>
            </w:tcBorders>
            <w:noWrap/>
            <w:textDirection w:val="lrTb"/>
            <w:vAlign w:val="center"/>
          </w:tcPr>
          <w:p w:rsidR="00F67BF3" w:rsidRPr="00F53F8E" w:rsidP="00F67BF3">
            <w:pPr>
              <w:spacing w:line="240" w:lineRule="auto"/>
              <w:jc w:val="right"/>
              <w:rPr>
                <w:rFonts w:ascii="Arial Narrow" w:hAnsi="Arial Narrow" w:cs="Times New Roman"/>
                <w:b/>
                <w:bCs/>
              </w:rPr>
            </w:pPr>
            <w:r w:rsidRPr="00F53F8E">
              <w:rPr>
                <w:rFonts w:ascii="Arial Narrow" w:hAnsi="Arial Narrow" w:cs="Times New Roman"/>
                <w:b/>
                <w:bCs/>
              </w:rPr>
              <w:t> </w:t>
            </w:r>
            <w:r>
              <w:rPr>
                <w:rFonts w:ascii="Arial Narrow" w:hAnsi="Arial Narrow" w:cs="Times New Roman"/>
                <w:b/>
                <w:bCs/>
              </w:rPr>
              <w:t>0,00</w:t>
            </w:r>
          </w:p>
        </w:tc>
        <w:tc>
          <w:tcPr>
            <w:tcW w:w="1224" w:type="dxa"/>
            <w:tcBorders>
              <w:top w:val="nil"/>
              <w:left w:val="nil"/>
              <w:bottom w:val="single" w:sz="4" w:space="0" w:color="auto"/>
              <w:right w:val="single" w:sz="8" w:space="0" w:color="auto"/>
              <w:tl2br w:val="nil"/>
              <w:tr2bl w:val="nil"/>
            </w:tcBorders>
            <w:noWrap/>
            <w:textDirection w:val="lrTb"/>
            <w:vAlign w:val="center"/>
          </w:tcPr>
          <w:p w:rsidR="00F67BF3" w:rsidRPr="00F53F8E" w:rsidP="00F67BF3">
            <w:pPr>
              <w:spacing w:line="240" w:lineRule="auto"/>
              <w:jc w:val="right"/>
              <w:rPr>
                <w:rFonts w:ascii="Arial Narrow" w:hAnsi="Arial Narrow" w:cs="Times New Roman"/>
                <w:b/>
                <w:bCs/>
              </w:rPr>
            </w:pPr>
            <w:r w:rsidRPr="00F53F8E">
              <w:rPr>
                <w:rFonts w:ascii="Arial Narrow" w:hAnsi="Arial Narrow" w:cs="Times New Roman"/>
                <w:b/>
                <w:bCs/>
              </w:rPr>
              <w:t>0,00</w:t>
            </w:r>
          </w:p>
        </w:tc>
        <w:tc>
          <w:tcPr>
            <w:tcW w:w="268" w:type="dxa"/>
            <w:tcBorders>
              <w:top w:val="nil"/>
              <w:left w:val="nil"/>
              <w:bottom w:val="nil"/>
              <w:right w:val="nil"/>
              <w:tl2br w:val="nil"/>
              <w:tr2bl w:val="nil"/>
            </w:tcBorders>
            <w:noWrap/>
            <w:textDirection w:val="lrTb"/>
            <w:vAlign w:val="bottom"/>
          </w:tcPr>
          <w:p w:rsidR="00F67BF3" w:rsidRPr="00F53F8E" w:rsidP="00F67BF3">
            <w:pPr>
              <w:spacing w:line="240" w:lineRule="auto"/>
              <w:rPr>
                <w:rFonts w:ascii="Arial Narrow" w:hAnsi="Arial Narrow" w:cs="Times New Roman"/>
              </w:rPr>
            </w:pPr>
          </w:p>
        </w:tc>
      </w:tr>
      <w:tr>
        <w:tblPrEx>
          <w:tblW w:w="11568" w:type="dxa"/>
          <w:tblInd w:w="-830" w:type="dxa"/>
          <w:tblCellMar>
            <w:left w:w="70" w:type="dxa"/>
            <w:right w:w="70" w:type="dxa"/>
          </w:tblCellMar>
        </w:tblPrEx>
        <w:trPr>
          <w:gridAfter w:val="2"/>
          <w:wAfter w:w="320" w:type="dxa"/>
          <w:trHeight w:val="227"/>
        </w:trPr>
        <w:tc>
          <w:tcPr>
            <w:tcW w:w="660" w:type="dxa"/>
            <w:tcBorders>
              <w:top w:val="nil"/>
              <w:left w:val="single" w:sz="8" w:space="0" w:color="auto"/>
              <w:bottom w:val="single" w:sz="4" w:space="0" w:color="auto"/>
              <w:right w:val="nil"/>
              <w:tl2br w:val="nil"/>
              <w:tr2bl w:val="nil"/>
            </w:tcBorders>
            <w:noWrap/>
            <w:textDirection w:val="lrTb"/>
            <w:vAlign w:val="center"/>
          </w:tcPr>
          <w:p w:rsidR="00F67BF3" w:rsidRPr="00064378" w:rsidP="00F67BF3">
            <w:pPr>
              <w:spacing w:line="240" w:lineRule="auto"/>
              <w:jc w:val="right"/>
              <w:rPr>
                <w:rFonts w:ascii="Arial Narrow" w:hAnsi="Arial Narrow" w:cs="Times New Roman"/>
              </w:rPr>
            </w:pPr>
            <w:r w:rsidRPr="00064378">
              <w:rPr>
                <w:rFonts w:ascii="Arial Narrow" w:hAnsi="Arial Narrow" w:cs="Times New Roman"/>
              </w:rPr>
              <w:t>1542</w:t>
            </w:r>
          </w:p>
        </w:tc>
        <w:tc>
          <w:tcPr>
            <w:tcW w:w="3300" w:type="dxa"/>
            <w:tcBorders>
              <w:top w:val="nil"/>
              <w:left w:val="single" w:sz="8" w:space="0" w:color="auto"/>
              <w:bottom w:val="single" w:sz="4" w:space="0" w:color="auto"/>
              <w:right w:val="nil"/>
              <w:tl2br w:val="nil"/>
              <w:tr2bl w:val="nil"/>
            </w:tcBorders>
            <w:noWrap/>
            <w:textDirection w:val="lrTb"/>
            <w:vAlign w:val="center"/>
          </w:tcPr>
          <w:p w:rsidR="00F67BF3" w:rsidRPr="00064378" w:rsidP="00F67BF3">
            <w:pPr>
              <w:spacing w:line="240" w:lineRule="auto"/>
              <w:rPr>
                <w:rFonts w:ascii="Arial Narrow" w:hAnsi="Arial Narrow" w:cs="Times New Roman"/>
              </w:rPr>
            </w:pPr>
            <w:r>
              <w:rPr>
                <w:rFonts w:ascii="Arial Narrow" w:hAnsi="Arial Narrow" w:cs="Times New Roman"/>
              </w:rPr>
              <w:t xml:space="preserve">D1 Skala </w:t>
            </w:r>
            <w:r w:rsidR="002710B0">
              <w:rPr>
                <w:rFonts w:ascii="Arial Narrow" w:hAnsi="Arial Narrow" w:cs="Times New Roman"/>
              </w:rPr>
              <w:t>–</w:t>
            </w:r>
            <w:r>
              <w:rPr>
                <w:rFonts w:ascii="Arial Narrow" w:hAnsi="Arial Narrow" w:cs="Times New Roman"/>
              </w:rPr>
              <w:t xml:space="preserve"> </w:t>
            </w:r>
            <w:r w:rsidRPr="00064378">
              <w:rPr>
                <w:rFonts w:ascii="Arial Narrow" w:hAnsi="Arial Narrow" w:cs="Times New Roman"/>
              </w:rPr>
              <w:t>Nemšová</w:t>
            </w:r>
          </w:p>
        </w:tc>
        <w:tc>
          <w:tcPr>
            <w:tcW w:w="1476" w:type="dxa"/>
            <w:tcBorders>
              <w:top w:val="nil"/>
              <w:left w:val="single" w:sz="8" w:space="0" w:color="auto"/>
              <w:bottom w:val="single" w:sz="4" w:space="0" w:color="auto"/>
              <w:right w:val="nil"/>
              <w:tl2br w:val="nil"/>
              <w:tr2bl w:val="nil"/>
            </w:tcBorders>
            <w:noWrap/>
            <w:textDirection w:val="lrTb"/>
            <w:vAlign w:val="center"/>
          </w:tcPr>
          <w:p w:rsidR="00F67BF3" w:rsidRPr="00F53F8E" w:rsidP="00F67BF3">
            <w:pPr>
              <w:spacing w:line="240" w:lineRule="auto"/>
              <w:jc w:val="right"/>
              <w:rPr>
                <w:rFonts w:ascii="Arial Narrow" w:hAnsi="Arial Narrow" w:cs="Times New Roman"/>
                <w:b/>
                <w:bCs/>
              </w:rPr>
            </w:pPr>
            <w:r w:rsidRPr="00F53F8E">
              <w:rPr>
                <w:rFonts w:ascii="Arial Narrow" w:hAnsi="Arial Narrow" w:cs="Times New Roman"/>
                <w:b/>
                <w:bCs/>
              </w:rPr>
              <w:t>0,00</w:t>
            </w:r>
          </w:p>
        </w:tc>
        <w:tc>
          <w:tcPr>
            <w:tcW w:w="1440" w:type="dxa"/>
            <w:tcBorders>
              <w:top w:val="nil"/>
              <w:left w:val="single" w:sz="8" w:space="0" w:color="auto"/>
              <w:bottom w:val="single" w:sz="4" w:space="0" w:color="auto"/>
              <w:right w:val="nil"/>
              <w:tl2br w:val="nil"/>
              <w:tr2bl w:val="nil"/>
            </w:tcBorders>
            <w:noWrap/>
            <w:textDirection w:val="lrTb"/>
            <w:vAlign w:val="center"/>
          </w:tcPr>
          <w:p w:rsidR="00F67BF3" w:rsidRPr="00F53F8E" w:rsidP="00F67BF3">
            <w:pPr>
              <w:spacing w:line="240" w:lineRule="auto"/>
              <w:jc w:val="right"/>
              <w:rPr>
                <w:rFonts w:ascii="Arial Narrow" w:hAnsi="Arial Narrow" w:cs="Times New Roman"/>
                <w:b/>
                <w:bCs/>
              </w:rPr>
            </w:pPr>
            <w:r w:rsidRPr="00F53F8E">
              <w:rPr>
                <w:rFonts w:ascii="Arial Narrow" w:hAnsi="Arial Narrow" w:cs="Times New Roman"/>
                <w:b/>
                <w:bCs/>
              </w:rPr>
              <w:t>0,00</w:t>
            </w:r>
          </w:p>
        </w:tc>
        <w:tc>
          <w:tcPr>
            <w:tcW w:w="1540" w:type="dxa"/>
            <w:tcBorders>
              <w:top w:val="nil"/>
              <w:left w:val="single" w:sz="8" w:space="0" w:color="auto"/>
              <w:bottom w:val="single" w:sz="4" w:space="0" w:color="auto"/>
              <w:right w:val="single" w:sz="8" w:space="0" w:color="auto"/>
              <w:tl2br w:val="nil"/>
              <w:tr2bl w:val="nil"/>
            </w:tcBorders>
            <w:noWrap/>
            <w:textDirection w:val="lrTb"/>
            <w:vAlign w:val="center"/>
          </w:tcPr>
          <w:p w:rsidR="00F67BF3" w:rsidRPr="00F53F8E" w:rsidP="00F67BF3">
            <w:pPr>
              <w:spacing w:line="240" w:lineRule="auto"/>
              <w:jc w:val="right"/>
              <w:rPr>
                <w:rFonts w:ascii="Arial Narrow" w:hAnsi="Arial Narrow" w:cs="Times New Roman"/>
                <w:b/>
                <w:bCs/>
              </w:rPr>
            </w:pPr>
            <w:r w:rsidRPr="00F53F8E">
              <w:rPr>
                <w:rFonts w:ascii="Arial Narrow" w:hAnsi="Arial Narrow" w:cs="Times New Roman"/>
                <w:b/>
                <w:bCs/>
              </w:rPr>
              <w:t>0,00</w:t>
            </w:r>
          </w:p>
        </w:tc>
        <w:tc>
          <w:tcPr>
            <w:tcW w:w="1340" w:type="dxa"/>
            <w:tcBorders>
              <w:top w:val="nil"/>
              <w:left w:val="nil"/>
              <w:bottom w:val="single" w:sz="4" w:space="0" w:color="auto"/>
              <w:right w:val="single" w:sz="8" w:space="0" w:color="auto"/>
              <w:tl2br w:val="nil"/>
              <w:tr2bl w:val="nil"/>
            </w:tcBorders>
            <w:noWrap/>
            <w:textDirection w:val="lrTb"/>
            <w:vAlign w:val="center"/>
          </w:tcPr>
          <w:p w:rsidR="00F67BF3" w:rsidRPr="00F53F8E" w:rsidP="00F67BF3">
            <w:pPr>
              <w:spacing w:line="240" w:lineRule="auto"/>
              <w:jc w:val="right"/>
              <w:rPr>
                <w:rFonts w:ascii="Arial Narrow" w:hAnsi="Arial Narrow" w:cs="Times New Roman"/>
                <w:b/>
                <w:bCs/>
              </w:rPr>
            </w:pPr>
            <w:r w:rsidRPr="00F53F8E">
              <w:rPr>
                <w:rFonts w:ascii="Arial Narrow" w:hAnsi="Arial Narrow" w:cs="Times New Roman"/>
                <w:b/>
                <w:bCs/>
              </w:rPr>
              <w:t> </w:t>
            </w:r>
            <w:r>
              <w:rPr>
                <w:rFonts w:ascii="Arial Narrow" w:hAnsi="Arial Narrow" w:cs="Times New Roman"/>
                <w:b/>
                <w:bCs/>
              </w:rPr>
              <w:t>0,00</w:t>
            </w:r>
          </w:p>
        </w:tc>
        <w:tc>
          <w:tcPr>
            <w:tcW w:w="1224" w:type="dxa"/>
            <w:tcBorders>
              <w:top w:val="nil"/>
              <w:left w:val="nil"/>
              <w:bottom w:val="single" w:sz="4" w:space="0" w:color="auto"/>
              <w:right w:val="single" w:sz="8" w:space="0" w:color="auto"/>
              <w:tl2br w:val="nil"/>
              <w:tr2bl w:val="nil"/>
            </w:tcBorders>
            <w:noWrap/>
            <w:textDirection w:val="lrTb"/>
            <w:vAlign w:val="center"/>
          </w:tcPr>
          <w:p w:rsidR="00F67BF3" w:rsidRPr="00F53F8E" w:rsidP="00F67BF3">
            <w:pPr>
              <w:spacing w:line="240" w:lineRule="auto"/>
              <w:jc w:val="right"/>
              <w:rPr>
                <w:rFonts w:ascii="Arial Narrow" w:hAnsi="Arial Narrow" w:cs="Times New Roman"/>
                <w:b/>
                <w:bCs/>
              </w:rPr>
            </w:pPr>
            <w:r w:rsidRPr="00F53F8E">
              <w:rPr>
                <w:rFonts w:ascii="Arial Narrow" w:hAnsi="Arial Narrow" w:cs="Times New Roman"/>
                <w:b/>
                <w:bCs/>
              </w:rPr>
              <w:t>0,00</w:t>
            </w:r>
          </w:p>
        </w:tc>
        <w:tc>
          <w:tcPr>
            <w:tcW w:w="268" w:type="dxa"/>
            <w:tcBorders>
              <w:top w:val="nil"/>
              <w:left w:val="nil"/>
              <w:bottom w:val="nil"/>
              <w:right w:val="nil"/>
              <w:tl2br w:val="nil"/>
              <w:tr2bl w:val="nil"/>
            </w:tcBorders>
            <w:noWrap/>
            <w:textDirection w:val="lrTb"/>
            <w:vAlign w:val="bottom"/>
          </w:tcPr>
          <w:p w:rsidR="00F67BF3" w:rsidRPr="00F53F8E" w:rsidP="00F67BF3">
            <w:pPr>
              <w:spacing w:line="240" w:lineRule="auto"/>
              <w:rPr>
                <w:rFonts w:ascii="Arial Narrow" w:hAnsi="Arial Narrow" w:cs="Times New Roman"/>
              </w:rPr>
            </w:pPr>
          </w:p>
        </w:tc>
      </w:tr>
      <w:tr>
        <w:tblPrEx>
          <w:tblW w:w="11568" w:type="dxa"/>
          <w:tblInd w:w="-830" w:type="dxa"/>
          <w:tblCellMar>
            <w:left w:w="70" w:type="dxa"/>
            <w:right w:w="70" w:type="dxa"/>
          </w:tblCellMar>
        </w:tblPrEx>
        <w:trPr>
          <w:gridAfter w:val="2"/>
          <w:wAfter w:w="320" w:type="dxa"/>
          <w:trHeight w:val="227"/>
        </w:trPr>
        <w:tc>
          <w:tcPr>
            <w:tcW w:w="660" w:type="dxa"/>
            <w:tcBorders>
              <w:top w:val="nil"/>
              <w:left w:val="single" w:sz="8" w:space="0" w:color="auto"/>
              <w:bottom w:val="single" w:sz="4" w:space="0" w:color="auto"/>
              <w:right w:val="nil"/>
              <w:tl2br w:val="nil"/>
              <w:tr2bl w:val="nil"/>
            </w:tcBorders>
            <w:noWrap/>
            <w:textDirection w:val="lrTb"/>
            <w:vAlign w:val="center"/>
          </w:tcPr>
          <w:p w:rsidR="00F67BF3" w:rsidRPr="00064378" w:rsidP="00F67BF3">
            <w:pPr>
              <w:spacing w:line="240" w:lineRule="auto"/>
              <w:jc w:val="right"/>
              <w:rPr>
                <w:rFonts w:ascii="Arial Narrow" w:hAnsi="Arial Narrow" w:cs="Times New Roman"/>
              </w:rPr>
            </w:pPr>
            <w:r>
              <w:rPr>
                <w:rFonts w:ascii="Arial Narrow" w:hAnsi="Arial Narrow" w:cs="Times New Roman"/>
              </w:rPr>
              <w:t>05683</w:t>
            </w:r>
          </w:p>
        </w:tc>
        <w:tc>
          <w:tcPr>
            <w:tcW w:w="3300" w:type="dxa"/>
            <w:tcBorders>
              <w:top w:val="nil"/>
              <w:left w:val="single" w:sz="8" w:space="0" w:color="auto"/>
              <w:bottom w:val="single" w:sz="4" w:space="0" w:color="auto"/>
              <w:right w:val="nil"/>
              <w:tl2br w:val="nil"/>
              <w:tr2bl w:val="nil"/>
            </w:tcBorders>
            <w:noWrap/>
            <w:textDirection w:val="lrTb"/>
            <w:vAlign w:val="center"/>
          </w:tcPr>
          <w:p w:rsidR="00F67BF3" w:rsidRPr="00064378" w:rsidP="00F67BF3">
            <w:pPr>
              <w:spacing w:line="240" w:lineRule="auto"/>
              <w:rPr>
                <w:rFonts w:ascii="Arial Narrow" w:hAnsi="Arial Narrow" w:cs="Times New Roman"/>
              </w:rPr>
            </w:pPr>
            <w:r>
              <w:rPr>
                <w:rFonts w:ascii="Arial Narrow" w:hAnsi="Arial Narrow" w:cs="Times New Roman"/>
              </w:rPr>
              <w:t xml:space="preserve">D1 Turany </w:t>
            </w:r>
            <w:r w:rsidR="002710B0">
              <w:rPr>
                <w:rFonts w:ascii="Arial Narrow" w:hAnsi="Arial Narrow" w:cs="Times New Roman"/>
              </w:rPr>
              <w:t>–</w:t>
            </w:r>
            <w:r>
              <w:rPr>
                <w:rFonts w:ascii="Arial Narrow" w:hAnsi="Arial Narrow" w:cs="Times New Roman"/>
              </w:rPr>
              <w:t xml:space="preserve"> Hubová</w:t>
            </w:r>
          </w:p>
        </w:tc>
        <w:tc>
          <w:tcPr>
            <w:tcW w:w="1476" w:type="dxa"/>
            <w:tcBorders>
              <w:top w:val="nil"/>
              <w:left w:val="single" w:sz="8" w:space="0" w:color="auto"/>
              <w:bottom w:val="single" w:sz="4" w:space="0" w:color="auto"/>
              <w:right w:val="nil"/>
              <w:tl2br w:val="nil"/>
              <w:tr2bl w:val="nil"/>
            </w:tcBorders>
            <w:noWrap/>
            <w:textDirection w:val="lrTb"/>
            <w:vAlign w:val="center"/>
          </w:tcPr>
          <w:p w:rsidR="00F67BF3" w:rsidRPr="00F53F8E" w:rsidP="00F67BF3">
            <w:pPr>
              <w:spacing w:line="240" w:lineRule="auto"/>
              <w:jc w:val="right"/>
              <w:rPr>
                <w:rFonts w:ascii="Arial Narrow" w:hAnsi="Arial Narrow" w:cs="Times New Roman"/>
                <w:b/>
                <w:bCs/>
              </w:rPr>
            </w:pPr>
            <w:r>
              <w:rPr>
                <w:rFonts w:ascii="Arial Narrow" w:hAnsi="Arial Narrow" w:cs="Times New Roman"/>
                <w:b/>
                <w:bCs/>
              </w:rPr>
              <w:t>100 000 000,00</w:t>
            </w:r>
          </w:p>
        </w:tc>
        <w:tc>
          <w:tcPr>
            <w:tcW w:w="1440" w:type="dxa"/>
            <w:tcBorders>
              <w:top w:val="nil"/>
              <w:left w:val="single" w:sz="8" w:space="0" w:color="auto"/>
              <w:bottom w:val="single" w:sz="4" w:space="0" w:color="auto"/>
              <w:right w:val="nil"/>
              <w:tl2br w:val="nil"/>
              <w:tr2bl w:val="nil"/>
            </w:tcBorders>
            <w:noWrap/>
            <w:textDirection w:val="lrTb"/>
            <w:vAlign w:val="center"/>
          </w:tcPr>
          <w:p w:rsidR="00F67BF3" w:rsidRPr="00F53F8E" w:rsidP="00F67BF3">
            <w:pPr>
              <w:spacing w:line="240" w:lineRule="auto"/>
              <w:jc w:val="right"/>
              <w:rPr>
                <w:rFonts w:ascii="Arial Narrow" w:hAnsi="Arial Narrow" w:cs="Times New Roman"/>
                <w:b/>
                <w:bCs/>
              </w:rPr>
            </w:pPr>
            <w:r>
              <w:rPr>
                <w:rFonts w:ascii="Arial Narrow" w:hAnsi="Arial Narrow" w:cs="Times New Roman"/>
                <w:b/>
                <w:bCs/>
              </w:rPr>
              <w:t>0,00</w:t>
            </w:r>
          </w:p>
        </w:tc>
        <w:tc>
          <w:tcPr>
            <w:tcW w:w="1540" w:type="dxa"/>
            <w:tcBorders>
              <w:top w:val="nil"/>
              <w:left w:val="single" w:sz="8" w:space="0" w:color="auto"/>
              <w:bottom w:val="single" w:sz="4" w:space="0" w:color="auto"/>
              <w:right w:val="single" w:sz="8" w:space="0" w:color="auto"/>
              <w:tl2br w:val="nil"/>
              <w:tr2bl w:val="nil"/>
            </w:tcBorders>
            <w:noWrap/>
            <w:textDirection w:val="lrTb"/>
            <w:vAlign w:val="center"/>
          </w:tcPr>
          <w:p w:rsidR="00F67BF3" w:rsidRPr="00F53F8E" w:rsidP="00F67BF3">
            <w:pPr>
              <w:spacing w:line="240" w:lineRule="auto"/>
              <w:jc w:val="right"/>
              <w:rPr>
                <w:rFonts w:ascii="Arial Narrow" w:hAnsi="Arial Narrow" w:cs="Times New Roman"/>
                <w:b/>
                <w:bCs/>
              </w:rPr>
            </w:pPr>
            <w:r>
              <w:rPr>
                <w:rFonts w:ascii="Arial Narrow" w:hAnsi="Arial Narrow" w:cs="Times New Roman"/>
                <w:b/>
                <w:bCs/>
              </w:rPr>
              <w:t>0,00</w:t>
            </w:r>
          </w:p>
        </w:tc>
        <w:tc>
          <w:tcPr>
            <w:tcW w:w="1340" w:type="dxa"/>
            <w:tcBorders>
              <w:top w:val="nil"/>
              <w:left w:val="nil"/>
              <w:bottom w:val="single" w:sz="4" w:space="0" w:color="auto"/>
              <w:right w:val="single" w:sz="8" w:space="0" w:color="auto"/>
              <w:tl2br w:val="nil"/>
              <w:tr2bl w:val="nil"/>
            </w:tcBorders>
            <w:noWrap/>
            <w:textDirection w:val="lrTb"/>
            <w:vAlign w:val="center"/>
          </w:tcPr>
          <w:p w:rsidR="00F67BF3" w:rsidRPr="00F53F8E" w:rsidP="00F67BF3">
            <w:pPr>
              <w:spacing w:line="240" w:lineRule="auto"/>
              <w:jc w:val="right"/>
              <w:rPr>
                <w:rFonts w:ascii="Arial Narrow" w:hAnsi="Arial Narrow" w:cs="Times New Roman"/>
                <w:b/>
                <w:bCs/>
              </w:rPr>
            </w:pPr>
            <w:r w:rsidRPr="00F53F8E">
              <w:rPr>
                <w:rFonts w:ascii="Arial Narrow" w:hAnsi="Arial Narrow" w:cs="Times New Roman"/>
                <w:b/>
                <w:bCs/>
              </w:rPr>
              <w:t> </w:t>
            </w:r>
            <w:r>
              <w:rPr>
                <w:rFonts w:ascii="Arial Narrow" w:hAnsi="Arial Narrow" w:cs="Times New Roman"/>
                <w:b/>
                <w:bCs/>
              </w:rPr>
              <w:t>0,00</w:t>
            </w:r>
          </w:p>
        </w:tc>
        <w:tc>
          <w:tcPr>
            <w:tcW w:w="1224" w:type="dxa"/>
            <w:tcBorders>
              <w:top w:val="nil"/>
              <w:left w:val="nil"/>
              <w:bottom w:val="single" w:sz="4" w:space="0" w:color="auto"/>
              <w:right w:val="single" w:sz="8" w:space="0" w:color="auto"/>
              <w:tl2br w:val="nil"/>
              <w:tr2bl w:val="nil"/>
            </w:tcBorders>
            <w:noWrap/>
            <w:textDirection w:val="lrTb"/>
            <w:vAlign w:val="center"/>
          </w:tcPr>
          <w:p w:rsidR="00F67BF3" w:rsidRPr="00F53F8E" w:rsidP="00F67BF3">
            <w:pPr>
              <w:spacing w:line="240" w:lineRule="auto"/>
              <w:jc w:val="right"/>
              <w:rPr>
                <w:rFonts w:ascii="Arial Narrow" w:hAnsi="Arial Narrow" w:cs="Times New Roman"/>
                <w:b/>
                <w:bCs/>
              </w:rPr>
            </w:pPr>
          </w:p>
        </w:tc>
        <w:tc>
          <w:tcPr>
            <w:tcW w:w="268" w:type="dxa"/>
            <w:tcBorders>
              <w:top w:val="nil"/>
              <w:left w:val="nil"/>
              <w:bottom w:val="nil"/>
              <w:right w:val="nil"/>
              <w:tl2br w:val="nil"/>
              <w:tr2bl w:val="nil"/>
            </w:tcBorders>
            <w:noWrap/>
            <w:textDirection w:val="lrTb"/>
            <w:vAlign w:val="bottom"/>
          </w:tcPr>
          <w:p w:rsidR="00F67BF3" w:rsidRPr="00F53F8E" w:rsidP="00F67BF3">
            <w:pPr>
              <w:spacing w:line="240" w:lineRule="auto"/>
              <w:rPr>
                <w:rFonts w:ascii="Arial Narrow" w:hAnsi="Arial Narrow" w:cs="Times New Roman"/>
              </w:rPr>
            </w:pPr>
          </w:p>
        </w:tc>
      </w:tr>
      <w:tr>
        <w:tblPrEx>
          <w:tblW w:w="11568" w:type="dxa"/>
          <w:tblInd w:w="-830" w:type="dxa"/>
          <w:tblCellMar>
            <w:left w:w="70" w:type="dxa"/>
            <w:right w:w="70" w:type="dxa"/>
          </w:tblCellMar>
        </w:tblPrEx>
        <w:trPr>
          <w:gridAfter w:val="2"/>
          <w:wAfter w:w="320" w:type="dxa"/>
          <w:trHeight w:val="227"/>
        </w:trPr>
        <w:tc>
          <w:tcPr>
            <w:tcW w:w="660" w:type="dxa"/>
            <w:tcBorders>
              <w:top w:val="nil"/>
              <w:left w:val="single" w:sz="8" w:space="0" w:color="auto"/>
              <w:bottom w:val="single" w:sz="4" w:space="0" w:color="auto"/>
              <w:right w:val="nil"/>
              <w:tl2br w:val="nil"/>
              <w:tr2bl w:val="nil"/>
            </w:tcBorders>
            <w:noWrap/>
            <w:textDirection w:val="lrTb"/>
            <w:vAlign w:val="center"/>
          </w:tcPr>
          <w:p w:rsidR="00F67BF3" w:rsidRPr="00064378" w:rsidP="00F67BF3">
            <w:pPr>
              <w:spacing w:line="240" w:lineRule="auto"/>
              <w:jc w:val="right"/>
              <w:rPr>
                <w:rFonts w:ascii="Arial Narrow" w:hAnsi="Arial Narrow" w:cs="Times New Roman"/>
              </w:rPr>
            </w:pPr>
            <w:r>
              <w:rPr>
                <w:rFonts w:ascii="Arial Narrow" w:hAnsi="Arial Narrow" w:cs="Times New Roman"/>
              </w:rPr>
              <w:t>13313</w:t>
            </w:r>
          </w:p>
        </w:tc>
        <w:tc>
          <w:tcPr>
            <w:tcW w:w="3300" w:type="dxa"/>
            <w:tcBorders>
              <w:top w:val="nil"/>
              <w:left w:val="single" w:sz="8" w:space="0" w:color="auto"/>
              <w:bottom w:val="single" w:sz="4" w:space="0" w:color="auto"/>
              <w:right w:val="nil"/>
              <w:tl2br w:val="nil"/>
              <w:tr2bl w:val="nil"/>
            </w:tcBorders>
            <w:noWrap/>
            <w:textDirection w:val="lrTb"/>
            <w:vAlign w:val="center"/>
          </w:tcPr>
          <w:p w:rsidR="00F67BF3" w:rsidRPr="00064378" w:rsidP="00F67BF3">
            <w:pPr>
              <w:spacing w:line="240" w:lineRule="auto"/>
              <w:rPr>
                <w:rFonts w:ascii="Arial Narrow" w:hAnsi="Arial Narrow" w:cs="Times New Roman"/>
              </w:rPr>
            </w:pPr>
            <w:r>
              <w:rPr>
                <w:rFonts w:ascii="Arial Narrow" w:hAnsi="Arial Narrow" w:cs="Times New Roman"/>
              </w:rPr>
              <w:t xml:space="preserve">D1 Dubná Skala </w:t>
            </w:r>
            <w:r w:rsidR="002710B0">
              <w:rPr>
                <w:rFonts w:ascii="Arial Narrow" w:hAnsi="Arial Narrow" w:cs="Times New Roman"/>
              </w:rPr>
              <w:t>–</w:t>
            </w:r>
            <w:r>
              <w:rPr>
                <w:rFonts w:ascii="Arial Narrow" w:hAnsi="Arial Narrow" w:cs="Times New Roman"/>
              </w:rPr>
              <w:t xml:space="preserve"> Turany</w:t>
            </w:r>
          </w:p>
        </w:tc>
        <w:tc>
          <w:tcPr>
            <w:tcW w:w="1476" w:type="dxa"/>
            <w:tcBorders>
              <w:top w:val="nil"/>
              <w:left w:val="single" w:sz="8" w:space="0" w:color="auto"/>
              <w:bottom w:val="single" w:sz="4" w:space="0" w:color="auto"/>
              <w:right w:val="nil"/>
              <w:tl2br w:val="nil"/>
              <w:tr2bl w:val="nil"/>
            </w:tcBorders>
            <w:noWrap/>
            <w:textDirection w:val="lrTb"/>
            <w:vAlign w:val="center"/>
          </w:tcPr>
          <w:p w:rsidR="00F67BF3" w:rsidP="00F67BF3">
            <w:pPr>
              <w:spacing w:line="240" w:lineRule="auto"/>
              <w:jc w:val="right"/>
              <w:rPr>
                <w:rFonts w:ascii="Arial Narrow" w:hAnsi="Arial Narrow" w:cs="Times New Roman"/>
                <w:b/>
                <w:bCs/>
              </w:rPr>
            </w:pPr>
            <w:r>
              <w:rPr>
                <w:rFonts w:ascii="Arial Narrow" w:hAnsi="Arial Narrow" w:cs="Times New Roman"/>
                <w:b/>
                <w:bCs/>
              </w:rPr>
              <w:t>0,00</w:t>
            </w:r>
          </w:p>
        </w:tc>
        <w:tc>
          <w:tcPr>
            <w:tcW w:w="1440" w:type="dxa"/>
            <w:tcBorders>
              <w:top w:val="nil"/>
              <w:left w:val="single" w:sz="8" w:space="0" w:color="auto"/>
              <w:bottom w:val="single" w:sz="4" w:space="0" w:color="auto"/>
              <w:right w:val="nil"/>
              <w:tl2br w:val="nil"/>
              <w:tr2bl w:val="nil"/>
            </w:tcBorders>
            <w:noWrap/>
            <w:textDirection w:val="lrTb"/>
            <w:vAlign w:val="center"/>
          </w:tcPr>
          <w:p w:rsidR="00F67BF3" w:rsidRPr="00F53F8E" w:rsidP="00F67BF3">
            <w:pPr>
              <w:spacing w:line="240" w:lineRule="auto"/>
              <w:jc w:val="right"/>
              <w:rPr>
                <w:rFonts w:ascii="Arial Narrow" w:hAnsi="Arial Narrow" w:cs="Times New Roman"/>
                <w:b/>
                <w:bCs/>
              </w:rPr>
            </w:pPr>
            <w:r>
              <w:rPr>
                <w:rFonts w:ascii="Arial Narrow" w:hAnsi="Arial Narrow" w:cs="Times New Roman"/>
                <w:b/>
                <w:bCs/>
              </w:rPr>
              <w:t>1 865 000,00</w:t>
            </w:r>
          </w:p>
        </w:tc>
        <w:tc>
          <w:tcPr>
            <w:tcW w:w="1540" w:type="dxa"/>
            <w:tcBorders>
              <w:top w:val="nil"/>
              <w:left w:val="single" w:sz="8" w:space="0" w:color="auto"/>
              <w:bottom w:val="single" w:sz="4" w:space="0" w:color="auto"/>
              <w:right w:val="single" w:sz="8" w:space="0" w:color="auto"/>
              <w:tl2br w:val="nil"/>
              <w:tr2bl w:val="nil"/>
            </w:tcBorders>
            <w:noWrap/>
            <w:textDirection w:val="lrTb"/>
            <w:vAlign w:val="center"/>
          </w:tcPr>
          <w:p w:rsidR="00F67BF3" w:rsidRPr="00F53F8E" w:rsidP="00F67BF3">
            <w:pPr>
              <w:spacing w:line="240" w:lineRule="auto"/>
              <w:jc w:val="right"/>
              <w:rPr>
                <w:rFonts w:ascii="Arial Narrow" w:hAnsi="Arial Narrow" w:cs="Times New Roman"/>
                <w:b/>
                <w:bCs/>
              </w:rPr>
            </w:pPr>
            <w:r>
              <w:rPr>
                <w:rFonts w:ascii="Arial Narrow" w:hAnsi="Arial Narrow" w:cs="Times New Roman"/>
                <w:b/>
                <w:bCs/>
              </w:rPr>
              <w:t>1 865 000,00</w:t>
            </w:r>
          </w:p>
        </w:tc>
        <w:tc>
          <w:tcPr>
            <w:tcW w:w="1340" w:type="dxa"/>
            <w:tcBorders>
              <w:top w:val="nil"/>
              <w:left w:val="nil"/>
              <w:bottom w:val="single" w:sz="4" w:space="0" w:color="auto"/>
              <w:right w:val="single" w:sz="8" w:space="0" w:color="auto"/>
              <w:tl2br w:val="nil"/>
              <w:tr2bl w:val="nil"/>
            </w:tcBorders>
            <w:noWrap/>
            <w:textDirection w:val="lrTb"/>
            <w:vAlign w:val="center"/>
          </w:tcPr>
          <w:p w:rsidR="00F67BF3" w:rsidRPr="00F53F8E" w:rsidP="00F67BF3">
            <w:pPr>
              <w:spacing w:line="240" w:lineRule="auto"/>
              <w:jc w:val="right"/>
              <w:rPr>
                <w:rFonts w:ascii="Arial Narrow" w:hAnsi="Arial Narrow" w:cs="Times New Roman"/>
                <w:b/>
                <w:bCs/>
              </w:rPr>
            </w:pPr>
            <w:r w:rsidRPr="00F53F8E">
              <w:rPr>
                <w:rFonts w:ascii="Arial Narrow" w:hAnsi="Arial Narrow" w:cs="Times New Roman"/>
                <w:b/>
                <w:bCs/>
              </w:rPr>
              <w:t> </w:t>
            </w:r>
            <w:r>
              <w:rPr>
                <w:rFonts w:ascii="Arial Narrow" w:hAnsi="Arial Narrow" w:cs="Times New Roman"/>
                <w:b/>
                <w:bCs/>
              </w:rPr>
              <w:t>0,00</w:t>
            </w:r>
          </w:p>
        </w:tc>
        <w:tc>
          <w:tcPr>
            <w:tcW w:w="1224" w:type="dxa"/>
            <w:tcBorders>
              <w:top w:val="nil"/>
              <w:left w:val="nil"/>
              <w:bottom w:val="single" w:sz="4" w:space="0" w:color="auto"/>
              <w:right w:val="single" w:sz="8" w:space="0" w:color="auto"/>
              <w:tl2br w:val="nil"/>
              <w:tr2bl w:val="nil"/>
            </w:tcBorders>
            <w:noWrap/>
            <w:textDirection w:val="lrTb"/>
            <w:vAlign w:val="center"/>
          </w:tcPr>
          <w:p w:rsidR="00F67BF3" w:rsidRPr="00F53F8E" w:rsidP="00F67BF3">
            <w:pPr>
              <w:spacing w:line="240" w:lineRule="auto"/>
              <w:jc w:val="right"/>
              <w:rPr>
                <w:rFonts w:ascii="Arial Narrow" w:hAnsi="Arial Narrow" w:cs="Times New Roman"/>
                <w:b/>
                <w:bCs/>
              </w:rPr>
            </w:pPr>
          </w:p>
        </w:tc>
        <w:tc>
          <w:tcPr>
            <w:tcW w:w="268" w:type="dxa"/>
            <w:tcBorders>
              <w:top w:val="nil"/>
              <w:left w:val="nil"/>
              <w:bottom w:val="nil"/>
              <w:right w:val="nil"/>
              <w:tl2br w:val="nil"/>
              <w:tr2bl w:val="nil"/>
            </w:tcBorders>
            <w:noWrap/>
            <w:textDirection w:val="lrTb"/>
            <w:vAlign w:val="bottom"/>
          </w:tcPr>
          <w:p w:rsidR="00F67BF3" w:rsidRPr="00F53F8E" w:rsidP="00F67BF3">
            <w:pPr>
              <w:spacing w:line="240" w:lineRule="auto"/>
              <w:rPr>
                <w:rFonts w:ascii="Arial Narrow" w:hAnsi="Arial Narrow" w:cs="Times New Roman"/>
              </w:rPr>
            </w:pPr>
          </w:p>
        </w:tc>
      </w:tr>
      <w:tr>
        <w:tblPrEx>
          <w:tblW w:w="11568" w:type="dxa"/>
          <w:tblInd w:w="-830" w:type="dxa"/>
          <w:tblCellMar>
            <w:left w:w="70" w:type="dxa"/>
            <w:right w:w="70" w:type="dxa"/>
          </w:tblCellMar>
        </w:tblPrEx>
        <w:trPr>
          <w:gridAfter w:val="2"/>
          <w:wAfter w:w="320" w:type="dxa"/>
          <w:trHeight w:val="227"/>
        </w:trPr>
        <w:tc>
          <w:tcPr>
            <w:tcW w:w="660" w:type="dxa"/>
            <w:tcBorders>
              <w:top w:val="nil"/>
              <w:left w:val="single" w:sz="8" w:space="0" w:color="auto"/>
              <w:bottom w:val="single" w:sz="4" w:space="0" w:color="auto"/>
              <w:right w:val="nil"/>
              <w:tl2br w:val="nil"/>
              <w:tr2bl w:val="nil"/>
            </w:tcBorders>
            <w:noWrap/>
            <w:textDirection w:val="lrTb"/>
            <w:vAlign w:val="center"/>
          </w:tcPr>
          <w:p w:rsidR="00F67BF3" w:rsidRPr="00064378" w:rsidP="00F67BF3">
            <w:pPr>
              <w:spacing w:line="240" w:lineRule="auto"/>
              <w:jc w:val="right"/>
              <w:rPr>
                <w:rFonts w:ascii="Arial Narrow" w:hAnsi="Arial Narrow" w:cs="Times New Roman"/>
              </w:rPr>
            </w:pPr>
            <w:r w:rsidRPr="00064378">
              <w:rPr>
                <w:rFonts w:ascii="Arial Narrow" w:hAnsi="Arial Narrow" w:cs="Times New Roman"/>
              </w:rPr>
              <w:t>13294</w:t>
            </w:r>
          </w:p>
        </w:tc>
        <w:tc>
          <w:tcPr>
            <w:tcW w:w="3300" w:type="dxa"/>
            <w:tcBorders>
              <w:top w:val="nil"/>
              <w:left w:val="single" w:sz="8" w:space="0" w:color="auto"/>
              <w:bottom w:val="single" w:sz="4" w:space="0" w:color="auto"/>
              <w:right w:val="nil"/>
              <w:tl2br w:val="nil"/>
              <w:tr2bl w:val="nil"/>
            </w:tcBorders>
            <w:noWrap/>
            <w:textDirection w:val="lrTb"/>
            <w:vAlign w:val="center"/>
          </w:tcPr>
          <w:p w:rsidR="00F67BF3" w:rsidRPr="00064378" w:rsidP="00F67BF3">
            <w:pPr>
              <w:spacing w:line="240" w:lineRule="auto"/>
              <w:rPr>
                <w:rFonts w:ascii="Arial Narrow" w:hAnsi="Arial Narrow" w:cs="Times New Roman"/>
              </w:rPr>
            </w:pPr>
            <w:r w:rsidRPr="00064378">
              <w:rPr>
                <w:rFonts w:ascii="Arial Narrow" w:hAnsi="Arial Narrow" w:cs="Times New Roman"/>
              </w:rPr>
              <w:t>D1 Višňové - Dubná Skala (štôlňa)</w:t>
            </w:r>
          </w:p>
        </w:tc>
        <w:tc>
          <w:tcPr>
            <w:tcW w:w="1476" w:type="dxa"/>
            <w:tcBorders>
              <w:top w:val="nil"/>
              <w:left w:val="single" w:sz="8" w:space="0" w:color="auto"/>
              <w:bottom w:val="single" w:sz="4" w:space="0" w:color="auto"/>
              <w:right w:val="nil"/>
              <w:tl2br w:val="nil"/>
              <w:tr2bl w:val="nil"/>
            </w:tcBorders>
            <w:noWrap/>
            <w:textDirection w:val="lrTb"/>
            <w:vAlign w:val="center"/>
          </w:tcPr>
          <w:p w:rsidR="00F67BF3" w:rsidRPr="00F53F8E" w:rsidP="00F67BF3">
            <w:pPr>
              <w:spacing w:line="240" w:lineRule="auto"/>
              <w:jc w:val="right"/>
              <w:rPr>
                <w:rFonts w:ascii="Arial Narrow" w:hAnsi="Arial Narrow" w:cs="Times New Roman"/>
                <w:b/>
                <w:bCs/>
              </w:rPr>
            </w:pPr>
            <w:r>
              <w:rPr>
                <w:rFonts w:ascii="Arial Narrow" w:hAnsi="Arial Narrow" w:cs="Times New Roman"/>
                <w:b/>
                <w:bCs/>
              </w:rPr>
              <w:t>20 000 00</w:t>
            </w:r>
            <w:r w:rsidRPr="00F53F8E">
              <w:rPr>
                <w:rFonts w:ascii="Arial Narrow" w:hAnsi="Arial Narrow" w:cs="Times New Roman"/>
                <w:b/>
                <w:bCs/>
              </w:rPr>
              <w:t>0,00</w:t>
            </w:r>
          </w:p>
        </w:tc>
        <w:tc>
          <w:tcPr>
            <w:tcW w:w="1440" w:type="dxa"/>
            <w:tcBorders>
              <w:top w:val="nil"/>
              <w:left w:val="single" w:sz="8" w:space="0" w:color="auto"/>
              <w:bottom w:val="single" w:sz="4" w:space="0" w:color="auto"/>
              <w:right w:val="nil"/>
              <w:tl2br w:val="nil"/>
              <w:tr2bl w:val="nil"/>
            </w:tcBorders>
            <w:noWrap/>
            <w:textDirection w:val="lrTb"/>
            <w:vAlign w:val="center"/>
          </w:tcPr>
          <w:p w:rsidR="00F67BF3" w:rsidRPr="00F53F8E" w:rsidP="00F67BF3">
            <w:pPr>
              <w:spacing w:line="240" w:lineRule="auto"/>
              <w:jc w:val="right"/>
              <w:rPr>
                <w:rFonts w:ascii="Arial Narrow" w:hAnsi="Arial Narrow" w:cs="Times New Roman"/>
                <w:b/>
                <w:bCs/>
              </w:rPr>
            </w:pPr>
            <w:r>
              <w:rPr>
                <w:rFonts w:ascii="Arial Narrow" w:hAnsi="Arial Narrow" w:cs="Times New Roman"/>
                <w:b/>
                <w:bCs/>
              </w:rPr>
              <w:t>42 369 000</w:t>
            </w:r>
            <w:r w:rsidRPr="00F53F8E">
              <w:rPr>
                <w:rFonts w:ascii="Arial Narrow" w:hAnsi="Arial Narrow" w:cs="Times New Roman"/>
                <w:b/>
                <w:bCs/>
              </w:rPr>
              <w:t>,00</w:t>
            </w:r>
          </w:p>
        </w:tc>
        <w:tc>
          <w:tcPr>
            <w:tcW w:w="1540" w:type="dxa"/>
            <w:tcBorders>
              <w:top w:val="nil"/>
              <w:left w:val="single" w:sz="8" w:space="0" w:color="auto"/>
              <w:bottom w:val="single" w:sz="4" w:space="0" w:color="auto"/>
              <w:right w:val="single" w:sz="8" w:space="0" w:color="auto"/>
              <w:tl2br w:val="nil"/>
              <w:tr2bl w:val="nil"/>
            </w:tcBorders>
            <w:noWrap/>
            <w:textDirection w:val="lrTb"/>
            <w:vAlign w:val="center"/>
          </w:tcPr>
          <w:p w:rsidR="00F67BF3" w:rsidRPr="00F53F8E" w:rsidP="00F67BF3">
            <w:pPr>
              <w:spacing w:line="240" w:lineRule="auto"/>
              <w:jc w:val="right"/>
              <w:rPr>
                <w:rFonts w:ascii="Arial Narrow" w:hAnsi="Arial Narrow" w:cs="Times New Roman"/>
                <w:b/>
                <w:bCs/>
              </w:rPr>
            </w:pPr>
            <w:r>
              <w:rPr>
                <w:rFonts w:ascii="Arial Narrow" w:hAnsi="Arial Narrow" w:cs="Times New Roman"/>
                <w:b/>
                <w:bCs/>
              </w:rPr>
              <w:t>42 369 000</w:t>
            </w:r>
            <w:r w:rsidRPr="00F53F8E">
              <w:rPr>
                <w:rFonts w:ascii="Arial Narrow" w:hAnsi="Arial Narrow" w:cs="Times New Roman"/>
                <w:b/>
                <w:bCs/>
              </w:rPr>
              <w:t>,00</w:t>
            </w:r>
          </w:p>
        </w:tc>
        <w:tc>
          <w:tcPr>
            <w:tcW w:w="1340" w:type="dxa"/>
            <w:tcBorders>
              <w:top w:val="nil"/>
              <w:left w:val="nil"/>
              <w:bottom w:val="single" w:sz="4" w:space="0" w:color="auto"/>
              <w:right w:val="single" w:sz="8" w:space="0" w:color="auto"/>
              <w:tl2br w:val="nil"/>
              <w:tr2bl w:val="nil"/>
            </w:tcBorders>
            <w:noWrap/>
            <w:textDirection w:val="lrTb"/>
            <w:vAlign w:val="center"/>
          </w:tcPr>
          <w:p w:rsidR="00F67BF3" w:rsidRPr="00F53F8E" w:rsidP="00F67BF3">
            <w:pPr>
              <w:spacing w:line="240" w:lineRule="auto"/>
              <w:jc w:val="right"/>
              <w:rPr>
                <w:rFonts w:ascii="Arial Narrow" w:hAnsi="Arial Narrow" w:cs="Times New Roman"/>
                <w:b/>
                <w:bCs/>
              </w:rPr>
            </w:pPr>
            <w:r w:rsidRPr="00F53F8E">
              <w:rPr>
                <w:rFonts w:ascii="Arial Narrow" w:hAnsi="Arial Narrow" w:cs="Times New Roman"/>
                <w:b/>
                <w:bCs/>
              </w:rPr>
              <w:t> </w:t>
            </w:r>
            <w:r>
              <w:rPr>
                <w:rFonts w:ascii="Arial Narrow" w:hAnsi="Arial Narrow" w:cs="Times New Roman"/>
                <w:b/>
                <w:bCs/>
              </w:rPr>
              <w:t>0,00</w:t>
            </w:r>
          </w:p>
        </w:tc>
        <w:tc>
          <w:tcPr>
            <w:tcW w:w="1224" w:type="dxa"/>
            <w:tcBorders>
              <w:top w:val="nil"/>
              <w:left w:val="nil"/>
              <w:bottom w:val="single" w:sz="4" w:space="0" w:color="auto"/>
              <w:right w:val="single" w:sz="8" w:space="0" w:color="auto"/>
              <w:tl2br w:val="nil"/>
              <w:tr2bl w:val="nil"/>
            </w:tcBorders>
            <w:noWrap/>
            <w:textDirection w:val="lrTb"/>
            <w:vAlign w:val="center"/>
          </w:tcPr>
          <w:p w:rsidR="00F67BF3" w:rsidRPr="00F53F8E" w:rsidP="00F67BF3">
            <w:pPr>
              <w:spacing w:line="240" w:lineRule="auto"/>
              <w:jc w:val="right"/>
              <w:rPr>
                <w:rFonts w:ascii="Arial Narrow" w:hAnsi="Arial Narrow" w:cs="Times New Roman"/>
                <w:b/>
                <w:bCs/>
              </w:rPr>
            </w:pPr>
            <w:r w:rsidRPr="00F53F8E">
              <w:rPr>
                <w:rFonts w:ascii="Arial Narrow" w:hAnsi="Arial Narrow" w:cs="Times New Roman"/>
                <w:b/>
                <w:bCs/>
              </w:rPr>
              <w:t>0,00</w:t>
            </w:r>
          </w:p>
        </w:tc>
        <w:tc>
          <w:tcPr>
            <w:tcW w:w="268" w:type="dxa"/>
            <w:tcBorders>
              <w:top w:val="nil"/>
              <w:left w:val="nil"/>
              <w:bottom w:val="nil"/>
              <w:right w:val="nil"/>
              <w:tl2br w:val="nil"/>
              <w:tr2bl w:val="nil"/>
            </w:tcBorders>
            <w:noWrap/>
            <w:textDirection w:val="lrTb"/>
            <w:vAlign w:val="bottom"/>
          </w:tcPr>
          <w:p w:rsidR="00F67BF3" w:rsidRPr="00F53F8E" w:rsidP="00F67BF3">
            <w:pPr>
              <w:spacing w:line="240" w:lineRule="auto"/>
              <w:rPr>
                <w:rFonts w:ascii="Arial Narrow" w:hAnsi="Arial Narrow" w:cs="Times New Roman"/>
              </w:rPr>
            </w:pPr>
          </w:p>
        </w:tc>
      </w:tr>
      <w:tr>
        <w:tblPrEx>
          <w:tblW w:w="11568" w:type="dxa"/>
          <w:tblInd w:w="-830" w:type="dxa"/>
          <w:tblCellMar>
            <w:left w:w="70" w:type="dxa"/>
            <w:right w:w="70" w:type="dxa"/>
          </w:tblCellMar>
        </w:tblPrEx>
        <w:trPr>
          <w:gridAfter w:val="2"/>
          <w:wAfter w:w="320" w:type="dxa"/>
          <w:trHeight w:val="227"/>
        </w:trPr>
        <w:tc>
          <w:tcPr>
            <w:tcW w:w="660" w:type="dxa"/>
            <w:tcBorders>
              <w:top w:val="nil"/>
              <w:left w:val="single" w:sz="8" w:space="0" w:color="auto"/>
              <w:bottom w:val="nil"/>
              <w:right w:val="nil"/>
              <w:tl2br w:val="nil"/>
              <w:tr2bl w:val="nil"/>
            </w:tcBorders>
            <w:noWrap/>
            <w:textDirection w:val="lrTb"/>
            <w:vAlign w:val="center"/>
          </w:tcPr>
          <w:p w:rsidR="00F67BF3" w:rsidRPr="00064378" w:rsidP="00F67BF3">
            <w:pPr>
              <w:spacing w:line="240" w:lineRule="auto"/>
              <w:jc w:val="right"/>
              <w:rPr>
                <w:rFonts w:ascii="Arial Narrow" w:hAnsi="Arial Narrow" w:cs="Times New Roman"/>
              </w:rPr>
            </w:pPr>
            <w:r w:rsidRPr="00064378">
              <w:rPr>
                <w:rFonts w:ascii="Arial Narrow" w:hAnsi="Arial Narrow" w:cs="Times New Roman"/>
              </w:rPr>
              <w:t>13292</w:t>
            </w:r>
          </w:p>
        </w:tc>
        <w:tc>
          <w:tcPr>
            <w:tcW w:w="3300" w:type="dxa"/>
            <w:tcBorders>
              <w:top w:val="nil"/>
              <w:left w:val="single" w:sz="8" w:space="0" w:color="auto"/>
              <w:bottom w:val="nil"/>
              <w:right w:val="nil"/>
              <w:tl2br w:val="nil"/>
              <w:tr2bl w:val="nil"/>
            </w:tcBorders>
            <w:noWrap/>
            <w:textDirection w:val="lrTb"/>
            <w:vAlign w:val="center"/>
          </w:tcPr>
          <w:p w:rsidR="00F67BF3" w:rsidRPr="00064378" w:rsidP="00F67BF3">
            <w:pPr>
              <w:spacing w:line="240" w:lineRule="auto"/>
              <w:rPr>
                <w:rFonts w:ascii="Arial Narrow" w:hAnsi="Arial Narrow" w:cs="Times New Roman"/>
              </w:rPr>
            </w:pPr>
            <w:r>
              <w:rPr>
                <w:rFonts w:ascii="Arial Narrow" w:hAnsi="Arial Narrow" w:cs="Times New Roman"/>
              </w:rPr>
              <w:t xml:space="preserve">D1 Ladce </w:t>
            </w:r>
            <w:r w:rsidR="002710B0">
              <w:rPr>
                <w:rFonts w:ascii="Arial Narrow" w:hAnsi="Arial Narrow" w:cs="Times New Roman"/>
              </w:rPr>
              <w:t>–</w:t>
            </w:r>
            <w:r>
              <w:rPr>
                <w:rFonts w:ascii="Arial Narrow" w:hAnsi="Arial Narrow" w:cs="Times New Roman"/>
              </w:rPr>
              <w:t xml:space="preserve"> </w:t>
            </w:r>
            <w:r w:rsidRPr="00064378">
              <w:rPr>
                <w:rFonts w:ascii="Arial Narrow" w:hAnsi="Arial Narrow" w:cs="Times New Roman"/>
              </w:rPr>
              <w:t>Sverepec</w:t>
            </w:r>
          </w:p>
        </w:tc>
        <w:tc>
          <w:tcPr>
            <w:tcW w:w="1476" w:type="dxa"/>
            <w:tcBorders>
              <w:top w:val="nil"/>
              <w:left w:val="single" w:sz="8" w:space="0" w:color="auto"/>
              <w:bottom w:val="single" w:sz="4" w:space="0" w:color="auto"/>
              <w:right w:val="nil"/>
              <w:tl2br w:val="nil"/>
              <w:tr2bl w:val="nil"/>
            </w:tcBorders>
            <w:noWrap/>
            <w:textDirection w:val="lrTb"/>
            <w:vAlign w:val="center"/>
          </w:tcPr>
          <w:p w:rsidR="00F67BF3" w:rsidRPr="00F53F8E" w:rsidP="00F67BF3">
            <w:pPr>
              <w:spacing w:line="240" w:lineRule="auto"/>
              <w:jc w:val="right"/>
              <w:rPr>
                <w:rFonts w:ascii="Arial Narrow" w:hAnsi="Arial Narrow" w:cs="Times New Roman"/>
                <w:b/>
                <w:bCs/>
              </w:rPr>
            </w:pPr>
            <w:r>
              <w:rPr>
                <w:rFonts w:ascii="Arial Narrow" w:hAnsi="Arial Narrow" w:cs="Times New Roman"/>
                <w:b/>
                <w:bCs/>
              </w:rPr>
              <w:t>204 850 00</w:t>
            </w:r>
            <w:r w:rsidRPr="00F53F8E">
              <w:rPr>
                <w:rFonts w:ascii="Arial Narrow" w:hAnsi="Arial Narrow" w:cs="Times New Roman"/>
                <w:b/>
                <w:bCs/>
              </w:rPr>
              <w:t>0,00</w:t>
            </w:r>
          </w:p>
        </w:tc>
        <w:tc>
          <w:tcPr>
            <w:tcW w:w="1440" w:type="dxa"/>
            <w:tcBorders>
              <w:top w:val="nil"/>
              <w:left w:val="single" w:sz="8" w:space="0" w:color="auto"/>
              <w:bottom w:val="single" w:sz="4" w:space="0" w:color="auto"/>
              <w:right w:val="nil"/>
              <w:tl2br w:val="nil"/>
              <w:tr2bl w:val="nil"/>
            </w:tcBorders>
            <w:noWrap/>
            <w:textDirection w:val="lrTb"/>
            <w:vAlign w:val="center"/>
          </w:tcPr>
          <w:p w:rsidR="00F67BF3" w:rsidRPr="00F53F8E" w:rsidP="00F67BF3">
            <w:pPr>
              <w:spacing w:line="240" w:lineRule="auto"/>
              <w:jc w:val="right"/>
              <w:rPr>
                <w:rFonts w:ascii="Arial Narrow" w:hAnsi="Arial Narrow" w:cs="Times New Roman"/>
                <w:b/>
                <w:bCs/>
              </w:rPr>
            </w:pPr>
            <w:r>
              <w:rPr>
                <w:rFonts w:ascii="Arial Narrow" w:hAnsi="Arial Narrow" w:cs="Times New Roman"/>
                <w:b/>
                <w:bCs/>
              </w:rPr>
              <w:t>92 700</w:t>
            </w:r>
            <w:r w:rsidRPr="00F53F8E">
              <w:rPr>
                <w:rFonts w:ascii="Arial Narrow" w:hAnsi="Arial Narrow" w:cs="Times New Roman"/>
                <w:b/>
                <w:bCs/>
              </w:rPr>
              <w:t xml:space="preserve"> 000,00</w:t>
            </w:r>
          </w:p>
        </w:tc>
        <w:tc>
          <w:tcPr>
            <w:tcW w:w="1540" w:type="dxa"/>
            <w:tcBorders>
              <w:top w:val="nil"/>
              <w:left w:val="single" w:sz="8" w:space="0" w:color="auto"/>
              <w:bottom w:val="single" w:sz="4" w:space="0" w:color="auto"/>
              <w:right w:val="single" w:sz="8" w:space="0" w:color="auto"/>
              <w:tl2br w:val="nil"/>
              <w:tr2bl w:val="nil"/>
            </w:tcBorders>
            <w:noWrap/>
            <w:textDirection w:val="lrTb"/>
            <w:vAlign w:val="center"/>
          </w:tcPr>
          <w:p w:rsidR="00F67BF3" w:rsidRPr="00F53F8E" w:rsidP="00F67BF3">
            <w:pPr>
              <w:spacing w:line="240" w:lineRule="auto"/>
              <w:jc w:val="right"/>
              <w:rPr>
                <w:rFonts w:ascii="Arial Narrow" w:hAnsi="Arial Narrow" w:cs="Times New Roman"/>
                <w:b/>
                <w:bCs/>
              </w:rPr>
            </w:pPr>
            <w:r>
              <w:rPr>
                <w:rFonts w:ascii="Arial Narrow" w:hAnsi="Arial Narrow" w:cs="Times New Roman"/>
                <w:b/>
                <w:bCs/>
              </w:rPr>
              <w:t>92 700</w:t>
            </w:r>
            <w:r w:rsidRPr="00F53F8E">
              <w:rPr>
                <w:rFonts w:ascii="Arial Narrow" w:hAnsi="Arial Narrow" w:cs="Times New Roman"/>
                <w:b/>
                <w:bCs/>
              </w:rPr>
              <w:t xml:space="preserve"> 000,00</w:t>
            </w:r>
          </w:p>
        </w:tc>
        <w:tc>
          <w:tcPr>
            <w:tcW w:w="1340" w:type="dxa"/>
            <w:tcBorders>
              <w:top w:val="nil"/>
              <w:left w:val="nil"/>
              <w:bottom w:val="single" w:sz="4" w:space="0" w:color="auto"/>
              <w:right w:val="single" w:sz="8" w:space="0" w:color="auto"/>
              <w:tl2br w:val="nil"/>
              <w:tr2bl w:val="nil"/>
            </w:tcBorders>
            <w:noWrap/>
            <w:textDirection w:val="lrTb"/>
            <w:vAlign w:val="center"/>
          </w:tcPr>
          <w:p w:rsidR="00F67BF3" w:rsidRPr="00F53F8E" w:rsidP="00F67BF3">
            <w:pPr>
              <w:spacing w:line="240" w:lineRule="auto"/>
              <w:jc w:val="right"/>
              <w:rPr>
                <w:rFonts w:ascii="Arial Narrow" w:hAnsi="Arial Narrow" w:cs="Times New Roman"/>
                <w:b/>
                <w:bCs/>
              </w:rPr>
            </w:pPr>
            <w:r w:rsidRPr="00F53F8E">
              <w:rPr>
                <w:rFonts w:ascii="Arial Narrow" w:hAnsi="Arial Narrow" w:cs="Times New Roman"/>
                <w:b/>
                <w:bCs/>
              </w:rPr>
              <w:t> </w:t>
            </w:r>
            <w:r>
              <w:rPr>
                <w:rFonts w:ascii="Arial Narrow" w:hAnsi="Arial Narrow" w:cs="Times New Roman"/>
                <w:b/>
                <w:bCs/>
              </w:rPr>
              <w:t>0,00</w:t>
            </w:r>
          </w:p>
        </w:tc>
        <w:tc>
          <w:tcPr>
            <w:tcW w:w="1224" w:type="dxa"/>
            <w:tcBorders>
              <w:top w:val="nil"/>
              <w:left w:val="nil"/>
              <w:bottom w:val="single" w:sz="4" w:space="0" w:color="auto"/>
              <w:right w:val="single" w:sz="8" w:space="0" w:color="auto"/>
              <w:tl2br w:val="nil"/>
              <w:tr2bl w:val="nil"/>
            </w:tcBorders>
            <w:noWrap/>
            <w:textDirection w:val="lrTb"/>
            <w:vAlign w:val="center"/>
          </w:tcPr>
          <w:p w:rsidR="00F67BF3" w:rsidRPr="00F53F8E" w:rsidP="00F67BF3">
            <w:pPr>
              <w:spacing w:line="240" w:lineRule="auto"/>
              <w:jc w:val="right"/>
              <w:rPr>
                <w:rFonts w:ascii="Arial Narrow" w:hAnsi="Arial Narrow" w:cs="Times New Roman"/>
                <w:b/>
                <w:bCs/>
              </w:rPr>
            </w:pPr>
            <w:r w:rsidRPr="00F53F8E">
              <w:rPr>
                <w:rFonts w:ascii="Arial Narrow" w:hAnsi="Arial Narrow" w:cs="Times New Roman"/>
                <w:b/>
                <w:bCs/>
              </w:rPr>
              <w:t>0,00</w:t>
            </w:r>
          </w:p>
        </w:tc>
        <w:tc>
          <w:tcPr>
            <w:tcW w:w="268" w:type="dxa"/>
            <w:tcBorders>
              <w:top w:val="nil"/>
              <w:left w:val="nil"/>
              <w:bottom w:val="nil"/>
              <w:right w:val="nil"/>
              <w:tl2br w:val="nil"/>
              <w:tr2bl w:val="nil"/>
            </w:tcBorders>
            <w:noWrap/>
            <w:textDirection w:val="lrTb"/>
            <w:vAlign w:val="bottom"/>
          </w:tcPr>
          <w:p w:rsidR="00F67BF3" w:rsidRPr="00F53F8E" w:rsidP="00F67BF3">
            <w:pPr>
              <w:spacing w:line="240" w:lineRule="auto"/>
              <w:rPr>
                <w:rFonts w:ascii="Arial Narrow" w:hAnsi="Arial Narrow" w:cs="Times New Roman"/>
              </w:rPr>
            </w:pPr>
          </w:p>
        </w:tc>
      </w:tr>
      <w:tr>
        <w:tblPrEx>
          <w:tblW w:w="11568" w:type="dxa"/>
          <w:tblInd w:w="-830" w:type="dxa"/>
          <w:tblCellMar>
            <w:left w:w="70" w:type="dxa"/>
            <w:right w:w="70" w:type="dxa"/>
          </w:tblCellMar>
        </w:tblPrEx>
        <w:trPr>
          <w:gridAfter w:val="2"/>
          <w:wAfter w:w="320" w:type="dxa"/>
          <w:trHeight w:val="227"/>
        </w:trPr>
        <w:tc>
          <w:tcPr>
            <w:tcW w:w="660" w:type="dxa"/>
            <w:tcBorders>
              <w:top w:val="single" w:sz="4" w:space="0" w:color="auto"/>
              <w:left w:val="single" w:sz="8" w:space="0" w:color="auto"/>
              <w:bottom w:val="single" w:sz="4" w:space="0" w:color="auto"/>
              <w:right w:val="nil"/>
              <w:tl2br w:val="nil"/>
              <w:tr2bl w:val="nil"/>
            </w:tcBorders>
            <w:noWrap/>
            <w:textDirection w:val="lrTb"/>
            <w:vAlign w:val="center"/>
          </w:tcPr>
          <w:p w:rsidR="00F67BF3" w:rsidRPr="00064378" w:rsidP="00F67BF3">
            <w:pPr>
              <w:spacing w:line="240" w:lineRule="auto"/>
              <w:jc w:val="right"/>
              <w:rPr>
                <w:rFonts w:ascii="Arial Narrow" w:hAnsi="Arial Narrow" w:cs="Times New Roman"/>
              </w:rPr>
            </w:pPr>
            <w:r w:rsidRPr="00064378">
              <w:rPr>
                <w:rFonts w:ascii="Arial Narrow" w:hAnsi="Arial Narrow" w:cs="Times New Roman"/>
              </w:rPr>
              <w:t>3436</w:t>
            </w:r>
          </w:p>
        </w:tc>
        <w:tc>
          <w:tcPr>
            <w:tcW w:w="3300" w:type="dxa"/>
            <w:tcBorders>
              <w:top w:val="single" w:sz="4" w:space="0" w:color="auto"/>
              <w:left w:val="single" w:sz="8" w:space="0" w:color="auto"/>
              <w:bottom w:val="single" w:sz="4" w:space="0" w:color="auto"/>
              <w:right w:val="nil"/>
              <w:tl2br w:val="nil"/>
              <w:tr2bl w:val="nil"/>
            </w:tcBorders>
            <w:noWrap/>
            <w:textDirection w:val="lrTb"/>
            <w:vAlign w:val="center"/>
          </w:tcPr>
          <w:p w:rsidR="00F67BF3" w:rsidRPr="00064378" w:rsidP="00F67BF3">
            <w:pPr>
              <w:spacing w:line="240" w:lineRule="auto"/>
              <w:rPr>
                <w:rFonts w:ascii="Arial Narrow" w:hAnsi="Arial Narrow" w:cs="Times New Roman"/>
              </w:rPr>
            </w:pPr>
            <w:r w:rsidRPr="00064378">
              <w:rPr>
                <w:rFonts w:ascii="Arial Narrow" w:hAnsi="Arial Narrow" w:cs="Times New Roman"/>
              </w:rPr>
              <w:t>D1 Jablonov - (Studenec) Behárovce</w:t>
            </w:r>
          </w:p>
        </w:tc>
        <w:tc>
          <w:tcPr>
            <w:tcW w:w="1476" w:type="dxa"/>
            <w:tcBorders>
              <w:top w:val="nil"/>
              <w:left w:val="single" w:sz="8" w:space="0" w:color="auto"/>
              <w:bottom w:val="single" w:sz="4" w:space="0" w:color="auto"/>
              <w:right w:val="nil"/>
              <w:tl2br w:val="nil"/>
              <w:tr2bl w:val="nil"/>
            </w:tcBorders>
            <w:noWrap/>
            <w:textDirection w:val="lrTb"/>
            <w:vAlign w:val="center"/>
          </w:tcPr>
          <w:p w:rsidR="00F67BF3" w:rsidRPr="00F53F8E" w:rsidP="00F67BF3">
            <w:pPr>
              <w:spacing w:line="240" w:lineRule="auto"/>
              <w:jc w:val="right"/>
              <w:rPr>
                <w:rFonts w:ascii="Arial Narrow" w:hAnsi="Arial Narrow" w:cs="Times New Roman"/>
                <w:b/>
                <w:bCs/>
              </w:rPr>
            </w:pPr>
            <w:r w:rsidRPr="00F53F8E">
              <w:rPr>
                <w:rFonts w:ascii="Arial Narrow" w:hAnsi="Arial Narrow" w:cs="Times New Roman"/>
                <w:b/>
                <w:bCs/>
              </w:rPr>
              <w:t>0,00</w:t>
            </w:r>
          </w:p>
        </w:tc>
        <w:tc>
          <w:tcPr>
            <w:tcW w:w="1440" w:type="dxa"/>
            <w:tcBorders>
              <w:top w:val="nil"/>
              <w:left w:val="single" w:sz="8" w:space="0" w:color="auto"/>
              <w:bottom w:val="single" w:sz="4" w:space="0" w:color="auto"/>
              <w:right w:val="nil"/>
              <w:tl2br w:val="nil"/>
              <w:tr2bl w:val="nil"/>
            </w:tcBorders>
            <w:noWrap/>
            <w:textDirection w:val="lrTb"/>
            <w:vAlign w:val="center"/>
          </w:tcPr>
          <w:p w:rsidR="00F67BF3" w:rsidRPr="00F53F8E" w:rsidP="00F67BF3">
            <w:pPr>
              <w:spacing w:line="240" w:lineRule="auto"/>
              <w:jc w:val="right"/>
              <w:rPr>
                <w:rFonts w:ascii="Arial Narrow" w:hAnsi="Arial Narrow" w:cs="Times New Roman"/>
                <w:b/>
                <w:bCs/>
              </w:rPr>
            </w:pPr>
            <w:r w:rsidRPr="00F53F8E">
              <w:rPr>
                <w:rFonts w:ascii="Arial Narrow" w:hAnsi="Arial Narrow" w:cs="Times New Roman"/>
                <w:b/>
                <w:bCs/>
              </w:rPr>
              <w:t>0,00</w:t>
            </w:r>
          </w:p>
        </w:tc>
        <w:tc>
          <w:tcPr>
            <w:tcW w:w="1540" w:type="dxa"/>
            <w:tcBorders>
              <w:top w:val="nil"/>
              <w:left w:val="single" w:sz="8" w:space="0" w:color="auto"/>
              <w:bottom w:val="single" w:sz="4" w:space="0" w:color="auto"/>
              <w:right w:val="single" w:sz="8" w:space="0" w:color="auto"/>
              <w:tl2br w:val="nil"/>
              <w:tr2bl w:val="nil"/>
            </w:tcBorders>
            <w:noWrap/>
            <w:textDirection w:val="lrTb"/>
            <w:vAlign w:val="center"/>
          </w:tcPr>
          <w:p w:rsidR="00F67BF3" w:rsidRPr="00F53F8E" w:rsidP="00F67BF3">
            <w:pPr>
              <w:spacing w:line="240" w:lineRule="auto"/>
              <w:jc w:val="right"/>
              <w:rPr>
                <w:rFonts w:ascii="Arial Narrow" w:hAnsi="Arial Narrow" w:cs="Times New Roman"/>
                <w:b/>
                <w:bCs/>
              </w:rPr>
            </w:pPr>
            <w:r w:rsidRPr="00F53F8E">
              <w:rPr>
                <w:rFonts w:ascii="Arial Narrow" w:hAnsi="Arial Narrow" w:cs="Times New Roman"/>
                <w:b/>
                <w:bCs/>
              </w:rPr>
              <w:t>0,00</w:t>
            </w:r>
          </w:p>
        </w:tc>
        <w:tc>
          <w:tcPr>
            <w:tcW w:w="1340" w:type="dxa"/>
            <w:tcBorders>
              <w:top w:val="nil"/>
              <w:left w:val="nil"/>
              <w:bottom w:val="single" w:sz="4" w:space="0" w:color="auto"/>
              <w:right w:val="single" w:sz="8" w:space="0" w:color="auto"/>
              <w:tl2br w:val="nil"/>
              <w:tr2bl w:val="nil"/>
            </w:tcBorders>
            <w:noWrap/>
            <w:textDirection w:val="lrTb"/>
            <w:vAlign w:val="center"/>
          </w:tcPr>
          <w:p w:rsidR="00F67BF3" w:rsidRPr="00F53F8E" w:rsidP="00F67BF3">
            <w:pPr>
              <w:spacing w:line="240" w:lineRule="auto"/>
              <w:jc w:val="right"/>
              <w:rPr>
                <w:rFonts w:ascii="Arial Narrow" w:hAnsi="Arial Narrow" w:cs="Times New Roman"/>
                <w:b/>
                <w:bCs/>
              </w:rPr>
            </w:pPr>
            <w:r w:rsidRPr="00F53F8E">
              <w:rPr>
                <w:rFonts w:ascii="Arial Narrow" w:hAnsi="Arial Narrow" w:cs="Times New Roman"/>
                <w:b/>
                <w:bCs/>
              </w:rPr>
              <w:t> </w:t>
            </w:r>
            <w:r>
              <w:rPr>
                <w:rFonts w:ascii="Arial Narrow" w:hAnsi="Arial Narrow" w:cs="Times New Roman"/>
                <w:b/>
                <w:bCs/>
              </w:rPr>
              <w:t>0,00</w:t>
            </w:r>
          </w:p>
        </w:tc>
        <w:tc>
          <w:tcPr>
            <w:tcW w:w="1224" w:type="dxa"/>
            <w:tcBorders>
              <w:top w:val="nil"/>
              <w:left w:val="nil"/>
              <w:bottom w:val="single" w:sz="4" w:space="0" w:color="auto"/>
              <w:right w:val="single" w:sz="8" w:space="0" w:color="auto"/>
              <w:tl2br w:val="nil"/>
              <w:tr2bl w:val="nil"/>
            </w:tcBorders>
            <w:noWrap/>
            <w:textDirection w:val="lrTb"/>
            <w:vAlign w:val="center"/>
          </w:tcPr>
          <w:p w:rsidR="00F67BF3" w:rsidRPr="00F53F8E" w:rsidP="00F67BF3">
            <w:pPr>
              <w:spacing w:line="240" w:lineRule="auto"/>
              <w:jc w:val="right"/>
              <w:rPr>
                <w:rFonts w:ascii="Arial Narrow" w:hAnsi="Arial Narrow" w:cs="Times New Roman"/>
                <w:b/>
                <w:bCs/>
              </w:rPr>
            </w:pPr>
            <w:r w:rsidRPr="00F53F8E">
              <w:rPr>
                <w:rFonts w:ascii="Arial Narrow" w:hAnsi="Arial Narrow" w:cs="Times New Roman"/>
                <w:b/>
                <w:bCs/>
              </w:rPr>
              <w:t>0,00</w:t>
            </w:r>
          </w:p>
        </w:tc>
        <w:tc>
          <w:tcPr>
            <w:tcW w:w="268" w:type="dxa"/>
            <w:tcBorders>
              <w:top w:val="nil"/>
              <w:left w:val="nil"/>
              <w:bottom w:val="nil"/>
              <w:right w:val="nil"/>
              <w:tl2br w:val="nil"/>
              <w:tr2bl w:val="nil"/>
            </w:tcBorders>
            <w:noWrap/>
            <w:textDirection w:val="lrTb"/>
            <w:vAlign w:val="bottom"/>
          </w:tcPr>
          <w:p w:rsidR="00F67BF3" w:rsidRPr="00F53F8E" w:rsidP="00F67BF3">
            <w:pPr>
              <w:spacing w:line="240" w:lineRule="auto"/>
              <w:rPr>
                <w:rFonts w:ascii="Arial Narrow" w:hAnsi="Arial Narrow" w:cs="Times New Roman"/>
              </w:rPr>
            </w:pPr>
          </w:p>
        </w:tc>
      </w:tr>
      <w:tr>
        <w:tblPrEx>
          <w:tblW w:w="11568" w:type="dxa"/>
          <w:tblInd w:w="-830" w:type="dxa"/>
          <w:tblCellMar>
            <w:left w:w="70" w:type="dxa"/>
            <w:right w:w="70" w:type="dxa"/>
          </w:tblCellMar>
        </w:tblPrEx>
        <w:trPr>
          <w:gridAfter w:val="2"/>
          <w:wAfter w:w="320" w:type="dxa"/>
          <w:trHeight w:val="227"/>
        </w:trPr>
        <w:tc>
          <w:tcPr>
            <w:tcW w:w="660" w:type="dxa"/>
            <w:tcBorders>
              <w:top w:val="nil"/>
              <w:left w:val="single" w:sz="8" w:space="0" w:color="auto"/>
              <w:bottom w:val="single" w:sz="4" w:space="0" w:color="auto"/>
              <w:right w:val="nil"/>
              <w:tl2br w:val="nil"/>
              <w:tr2bl w:val="nil"/>
            </w:tcBorders>
            <w:noWrap/>
            <w:textDirection w:val="lrTb"/>
            <w:vAlign w:val="center"/>
          </w:tcPr>
          <w:p w:rsidR="00F67BF3" w:rsidRPr="00064378" w:rsidP="00F67BF3">
            <w:pPr>
              <w:spacing w:line="240" w:lineRule="auto"/>
              <w:jc w:val="right"/>
              <w:rPr>
                <w:rFonts w:ascii="Arial Narrow" w:hAnsi="Arial Narrow" w:cs="Times New Roman"/>
              </w:rPr>
            </w:pPr>
            <w:r w:rsidRPr="00064378">
              <w:rPr>
                <w:rFonts w:ascii="Arial Narrow" w:hAnsi="Arial Narrow" w:cs="Times New Roman"/>
              </w:rPr>
              <w:t>13295</w:t>
            </w:r>
          </w:p>
        </w:tc>
        <w:tc>
          <w:tcPr>
            <w:tcW w:w="3300" w:type="dxa"/>
            <w:tcBorders>
              <w:top w:val="nil"/>
              <w:left w:val="single" w:sz="8" w:space="0" w:color="auto"/>
              <w:bottom w:val="single" w:sz="4" w:space="0" w:color="auto"/>
              <w:right w:val="nil"/>
              <w:tl2br w:val="nil"/>
              <w:tr2bl w:val="nil"/>
            </w:tcBorders>
            <w:noWrap/>
            <w:textDirection w:val="lrTb"/>
            <w:vAlign w:val="center"/>
          </w:tcPr>
          <w:p w:rsidR="00F67BF3" w:rsidRPr="00064378" w:rsidP="00F67BF3">
            <w:pPr>
              <w:spacing w:line="240" w:lineRule="auto"/>
              <w:rPr>
                <w:rFonts w:ascii="Arial Narrow" w:hAnsi="Arial Narrow" w:cs="Times New Roman"/>
              </w:rPr>
            </w:pPr>
            <w:r w:rsidRPr="00064378">
              <w:rPr>
                <w:rFonts w:ascii="Arial Narrow" w:hAnsi="Arial Narrow" w:cs="Times New Roman"/>
              </w:rPr>
              <w:t>D1 Mengusov</w:t>
            </w:r>
            <w:r w:rsidRPr="00064378">
              <w:rPr>
                <w:rFonts w:ascii="Arial Narrow" w:hAnsi="Arial Narrow" w:cs="Times New Roman"/>
              </w:rPr>
              <w:t xml:space="preserve">ce - Jánovce </w:t>
            </w:r>
          </w:p>
        </w:tc>
        <w:tc>
          <w:tcPr>
            <w:tcW w:w="1476" w:type="dxa"/>
            <w:tcBorders>
              <w:top w:val="nil"/>
              <w:left w:val="single" w:sz="8" w:space="0" w:color="auto"/>
              <w:bottom w:val="single" w:sz="4" w:space="0" w:color="auto"/>
              <w:right w:val="nil"/>
              <w:tl2br w:val="nil"/>
              <w:tr2bl w:val="nil"/>
            </w:tcBorders>
            <w:noWrap/>
            <w:textDirection w:val="lrTb"/>
            <w:vAlign w:val="center"/>
          </w:tcPr>
          <w:p w:rsidR="00F67BF3" w:rsidRPr="00F53F8E" w:rsidP="00F67BF3">
            <w:pPr>
              <w:spacing w:line="240" w:lineRule="auto"/>
              <w:jc w:val="right"/>
              <w:rPr>
                <w:rFonts w:ascii="Arial Narrow" w:hAnsi="Arial Narrow" w:cs="Times New Roman"/>
                <w:b/>
                <w:bCs/>
              </w:rPr>
            </w:pPr>
            <w:r>
              <w:rPr>
                <w:rFonts w:ascii="Arial Narrow" w:hAnsi="Arial Narrow" w:cs="Times New Roman"/>
                <w:b/>
                <w:bCs/>
              </w:rPr>
              <w:t>150 000 00</w:t>
            </w:r>
            <w:r w:rsidRPr="00F53F8E">
              <w:rPr>
                <w:rFonts w:ascii="Arial Narrow" w:hAnsi="Arial Narrow" w:cs="Times New Roman"/>
                <w:b/>
                <w:bCs/>
              </w:rPr>
              <w:t>0,00</w:t>
            </w:r>
          </w:p>
        </w:tc>
        <w:tc>
          <w:tcPr>
            <w:tcW w:w="1440" w:type="dxa"/>
            <w:tcBorders>
              <w:top w:val="nil"/>
              <w:left w:val="single" w:sz="8" w:space="0" w:color="auto"/>
              <w:bottom w:val="single" w:sz="4" w:space="0" w:color="auto"/>
              <w:right w:val="nil"/>
              <w:tl2br w:val="nil"/>
              <w:tr2bl w:val="nil"/>
            </w:tcBorders>
            <w:noWrap/>
            <w:textDirection w:val="lrTb"/>
            <w:vAlign w:val="center"/>
          </w:tcPr>
          <w:p w:rsidR="00F67BF3" w:rsidRPr="00F53F8E" w:rsidP="00F67BF3">
            <w:pPr>
              <w:spacing w:line="240" w:lineRule="auto"/>
              <w:jc w:val="right"/>
              <w:rPr>
                <w:rFonts w:ascii="Arial Narrow" w:hAnsi="Arial Narrow" w:cs="Times New Roman"/>
                <w:b/>
                <w:bCs/>
              </w:rPr>
            </w:pPr>
            <w:r>
              <w:rPr>
                <w:rFonts w:ascii="Arial Narrow" w:hAnsi="Arial Narrow" w:cs="Times New Roman"/>
                <w:b/>
                <w:bCs/>
              </w:rPr>
              <w:t>3 264 00</w:t>
            </w:r>
            <w:r w:rsidRPr="00F53F8E">
              <w:rPr>
                <w:rFonts w:ascii="Arial Narrow" w:hAnsi="Arial Narrow" w:cs="Times New Roman"/>
                <w:b/>
                <w:bCs/>
              </w:rPr>
              <w:t>0,00</w:t>
            </w:r>
          </w:p>
        </w:tc>
        <w:tc>
          <w:tcPr>
            <w:tcW w:w="1540" w:type="dxa"/>
            <w:tcBorders>
              <w:top w:val="nil"/>
              <w:left w:val="single" w:sz="8" w:space="0" w:color="auto"/>
              <w:bottom w:val="single" w:sz="4" w:space="0" w:color="auto"/>
              <w:right w:val="single" w:sz="8" w:space="0" w:color="auto"/>
              <w:tl2br w:val="nil"/>
              <w:tr2bl w:val="nil"/>
            </w:tcBorders>
            <w:noWrap/>
            <w:textDirection w:val="lrTb"/>
            <w:vAlign w:val="center"/>
          </w:tcPr>
          <w:p w:rsidR="00F67BF3" w:rsidRPr="00F53F8E" w:rsidP="00F67BF3">
            <w:pPr>
              <w:spacing w:line="240" w:lineRule="auto"/>
              <w:jc w:val="right"/>
              <w:rPr>
                <w:rFonts w:ascii="Arial Narrow" w:hAnsi="Arial Narrow" w:cs="Times New Roman"/>
                <w:b/>
                <w:bCs/>
              </w:rPr>
            </w:pPr>
            <w:r>
              <w:rPr>
                <w:rFonts w:ascii="Arial Narrow" w:hAnsi="Arial Narrow" w:cs="Times New Roman"/>
                <w:b/>
                <w:bCs/>
              </w:rPr>
              <w:t>3 264 00</w:t>
            </w:r>
            <w:r w:rsidRPr="00F53F8E">
              <w:rPr>
                <w:rFonts w:ascii="Arial Narrow" w:hAnsi="Arial Narrow" w:cs="Times New Roman"/>
                <w:b/>
                <w:bCs/>
              </w:rPr>
              <w:t>0,00</w:t>
            </w:r>
          </w:p>
        </w:tc>
        <w:tc>
          <w:tcPr>
            <w:tcW w:w="1340" w:type="dxa"/>
            <w:tcBorders>
              <w:top w:val="nil"/>
              <w:left w:val="nil"/>
              <w:bottom w:val="single" w:sz="4" w:space="0" w:color="auto"/>
              <w:right w:val="single" w:sz="8" w:space="0" w:color="auto"/>
              <w:tl2br w:val="nil"/>
              <w:tr2bl w:val="nil"/>
            </w:tcBorders>
            <w:noWrap/>
            <w:textDirection w:val="lrTb"/>
            <w:vAlign w:val="center"/>
          </w:tcPr>
          <w:p w:rsidR="00F67BF3" w:rsidRPr="00F53F8E" w:rsidP="00F67BF3">
            <w:pPr>
              <w:spacing w:line="240" w:lineRule="auto"/>
              <w:jc w:val="right"/>
              <w:rPr>
                <w:rFonts w:ascii="Arial Narrow" w:hAnsi="Arial Narrow" w:cs="Times New Roman"/>
                <w:b/>
                <w:bCs/>
              </w:rPr>
            </w:pPr>
            <w:r w:rsidRPr="00F53F8E">
              <w:rPr>
                <w:rFonts w:ascii="Arial Narrow" w:hAnsi="Arial Narrow" w:cs="Times New Roman"/>
                <w:b/>
                <w:bCs/>
              </w:rPr>
              <w:t> </w:t>
            </w:r>
            <w:r>
              <w:rPr>
                <w:rFonts w:ascii="Arial Narrow" w:hAnsi="Arial Narrow" w:cs="Times New Roman"/>
                <w:b/>
                <w:bCs/>
              </w:rPr>
              <w:t>0,00</w:t>
            </w:r>
          </w:p>
        </w:tc>
        <w:tc>
          <w:tcPr>
            <w:tcW w:w="1224" w:type="dxa"/>
            <w:tcBorders>
              <w:top w:val="nil"/>
              <w:left w:val="nil"/>
              <w:bottom w:val="single" w:sz="4" w:space="0" w:color="auto"/>
              <w:right w:val="single" w:sz="8" w:space="0" w:color="auto"/>
              <w:tl2br w:val="nil"/>
              <w:tr2bl w:val="nil"/>
            </w:tcBorders>
            <w:noWrap/>
            <w:textDirection w:val="lrTb"/>
            <w:vAlign w:val="center"/>
          </w:tcPr>
          <w:p w:rsidR="00F67BF3" w:rsidRPr="00F53F8E" w:rsidP="00F67BF3">
            <w:pPr>
              <w:spacing w:line="240" w:lineRule="auto"/>
              <w:jc w:val="right"/>
              <w:rPr>
                <w:rFonts w:ascii="Arial Narrow" w:hAnsi="Arial Narrow" w:cs="Times New Roman"/>
                <w:b/>
                <w:bCs/>
              </w:rPr>
            </w:pPr>
            <w:r w:rsidRPr="00F53F8E">
              <w:rPr>
                <w:rFonts w:ascii="Arial Narrow" w:hAnsi="Arial Narrow" w:cs="Times New Roman"/>
                <w:b/>
                <w:bCs/>
              </w:rPr>
              <w:t>0,00</w:t>
            </w:r>
          </w:p>
        </w:tc>
        <w:tc>
          <w:tcPr>
            <w:tcW w:w="268" w:type="dxa"/>
            <w:tcBorders>
              <w:top w:val="nil"/>
              <w:left w:val="nil"/>
              <w:bottom w:val="nil"/>
              <w:right w:val="nil"/>
              <w:tl2br w:val="nil"/>
              <w:tr2bl w:val="nil"/>
            </w:tcBorders>
            <w:noWrap/>
            <w:textDirection w:val="lrTb"/>
            <w:vAlign w:val="bottom"/>
          </w:tcPr>
          <w:p w:rsidR="00F67BF3" w:rsidRPr="00F53F8E" w:rsidP="00F67BF3">
            <w:pPr>
              <w:spacing w:line="240" w:lineRule="auto"/>
              <w:rPr>
                <w:rFonts w:ascii="Arial Narrow" w:hAnsi="Arial Narrow" w:cs="Times New Roman"/>
              </w:rPr>
            </w:pPr>
          </w:p>
        </w:tc>
      </w:tr>
      <w:tr>
        <w:tblPrEx>
          <w:tblW w:w="11568" w:type="dxa"/>
          <w:tblInd w:w="-830" w:type="dxa"/>
          <w:tblCellMar>
            <w:left w:w="70" w:type="dxa"/>
            <w:right w:w="70" w:type="dxa"/>
          </w:tblCellMar>
        </w:tblPrEx>
        <w:trPr>
          <w:gridAfter w:val="2"/>
          <w:wAfter w:w="320" w:type="dxa"/>
          <w:trHeight w:val="227"/>
        </w:trPr>
        <w:tc>
          <w:tcPr>
            <w:tcW w:w="660" w:type="dxa"/>
            <w:tcBorders>
              <w:top w:val="nil"/>
              <w:left w:val="single" w:sz="8" w:space="0" w:color="auto"/>
              <w:bottom w:val="single" w:sz="4" w:space="0" w:color="auto"/>
              <w:right w:val="nil"/>
              <w:tl2br w:val="nil"/>
              <w:tr2bl w:val="nil"/>
            </w:tcBorders>
            <w:noWrap/>
            <w:textDirection w:val="lrTb"/>
            <w:vAlign w:val="center"/>
          </w:tcPr>
          <w:p w:rsidR="00F67BF3" w:rsidRPr="00064378" w:rsidP="00F67BF3">
            <w:pPr>
              <w:spacing w:line="240" w:lineRule="auto"/>
              <w:jc w:val="right"/>
              <w:rPr>
                <w:rFonts w:ascii="Arial Narrow" w:hAnsi="Arial Narrow" w:cs="Times New Roman"/>
              </w:rPr>
            </w:pPr>
            <w:r>
              <w:rPr>
                <w:rFonts w:ascii="Arial Narrow" w:hAnsi="Arial Narrow" w:cs="Times New Roman"/>
              </w:rPr>
              <w:t>1775</w:t>
            </w:r>
          </w:p>
        </w:tc>
        <w:tc>
          <w:tcPr>
            <w:tcW w:w="3300" w:type="dxa"/>
            <w:tcBorders>
              <w:top w:val="nil"/>
              <w:left w:val="single" w:sz="8" w:space="0" w:color="auto"/>
              <w:bottom w:val="single" w:sz="4" w:space="0" w:color="auto"/>
              <w:right w:val="nil"/>
              <w:tl2br w:val="nil"/>
              <w:tr2bl w:val="nil"/>
            </w:tcBorders>
            <w:noWrap/>
            <w:textDirection w:val="lrTb"/>
            <w:vAlign w:val="center"/>
          </w:tcPr>
          <w:p w:rsidR="00F67BF3" w:rsidRPr="00064378" w:rsidP="00F67BF3">
            <w:pPr>
              <w:spacing w:line="240" w:lineRule="auto"/>
              <w:rPr>
                <w:rFonts w:ascii="Arial Narrow" w:hAnsi="Arial Narrow" w:cs="Times New Roman"/>
              </w:rPr>
            </w:pPr>
            <w:r w:rsidRPr="00064378">
              <w:rPr>
                <w:rFonts w:ascii="Arial Narrow" w:hAnsi="Arial Narrow" w:cs="Times New Roman"/>
              </w:rPr>
              <w:t xml:space="preserve">D1 </w:t>
            </w:r>
            <w:r>
              <w:rPr>
                <w:rFonts w:ascii="Arial Narrow" w:hAnsi="Arial Narrow" w:cs="Times New Roman"/>
              </w:rPr>
              <w:t xml:space="preserve">Jánovce </w:t>
            </w:r>
            <w:r w:rsidR="002710B0">
              <w:rPr>
                <w:rFonts w:ascii="Arial Narrow" w:hAnsi="Arial Narrow" w:cs="Times New Roman"/>
              </w:rPr>
              <w:t>–</w:t>
            </w:r>
            <w:r>
              <w:rPr>
                <w:rFonts w:ascii="Arial Narrow" w:hAnsi="Arial Narrow" w:cs="Times New Roman"/>
              </w:rPr>
              <w:t xml:space="preserve"> Jablonov</w:t>
            </w:r>
          </w:p>
        </w:tc>
        <w:tc>
          <w:tcPr>
            <w:tcW w:w="1476" w:type="dxa"/>
            <w:tcBorders>
              <w:top w:val="nil"/>
              <w:left w:val="single" w:sz="8" w:space="0" w:color="auto"/>
              <w:bottom w:val="single" w:sz="4" w:space="0" w:color="auto"/>
              <w:right w:val="nil"/>
              <w:tl2br w:val="nil"/>
              <w:tr2bl w:val="nil"/>
            </w:tcBorders>
            <w:noWrap/>
            <w:textDirection w:val="lrTb"/>
            <w:vAlign w:val="center"/>
          </w:tcPr>
          <w:p w:rsidR="00F67BF3" w:rsidRPr="00F53F8E" w:rsidP="00F67BF3">
            <w:pPr>
              <w:spacing w:line="240" w:lineRule="auto"/>
              <w:jc w:val="right"/>
              <w:rPr>
                <w:rFonts w:ascii="Arial Narrow" w:hAnsi="Arial Narrow" w:cs="Times New Roman"/>
                <w:b/>
                <w:bCs/>
              </w:rPr>
            </w:pPr>
            <w:r w:rsidRPr="00F53F8E">
              <w:rPr>
                <w:rFonts w:ascii="Arial Narrow" w:hAnsi="Arial Narrow" w:cs="Times New Roman"/>
                <w:b/>
                <w:bCs/>
              </w:rPr>
              <w:t>0,00</w:t>
            </w:r>
          </w:p>
        </w:tc>
        <w:tc>
          <w:tcPr>
            <w:tcW w:w="1440" w:type="dxa"/>
            <w:tcBorders>
              <w:top w:val="nil"/>
              <w:left w:val="single" w:sz="8" w:space="0" w:color="auto"/>
              <w:bottom w:val="single" w:sz="4" w:space="0" w:color="auto"/>
              <w:right w:val="nil"/>
              <w:tl2br w:val="nil"/>
              <w:tr2bl w:val="nil"/>
            </w:tcBorders>
            <w:noWrap/>
            <w:textDirection w:val="lrTb"/>
            <w:vAlign w:val="center"/>
          </w:tcPr>
          <w:p w:rsidR="00F67BF3" w:rsidRPr="00F53F8E" w:rsidP="00F67BF3">
            <w:pPr>
              <w:spacing w:line="240" w:lineRule="auto"/>
              <w:jc w:val="right"/>
              <w:rPr>
                <w:rFonts w:ascii="Arial Narrow" w:hAnsi="Arial Narrow" w:cs="Times New Roman"/>
                <w:b/>
                <w:bCs/>
              </w:rPr>
            </w:pPr>
            <w:r>
              <w:rPr>
                <w:rFonts w:ascii="Arial Narrow" w:hAnsi="Arial Narrow" w:cs="Times New Roman"/>
                <w:b/>
                <w:bCs/>
              </w:rPr>
              <w:t>1 757 000,00</w:t>
            </w:r>
          </w:p>
        </w:tc>
        <w:tc>
          <w:tcPr>
            <w:tcW w:w="1540" w:type="dxa"/>
            <w:tcBorders>
              <w:top w:val="nil"/>
              <w:left w:val="single" w:sz="8" w:space="0" w:color="auto"/>
              <w:bottom w:val="single" w:sz="4" w:space="0" w:color="auto"/>
              <w:right w:val="single" w:sz="8" w:space="0" w:color="auto"/>
              <w:tl2br w:val="nil"/>
              <w:tr2bl w:val="nil"/>
            </w:tcBorders>
            <w:noWrap/>
            <w:textDirection w:val="lrTb"/>
            <w:vAlign w:val="center"/>
          </w:tcPr>
          <w:p w:rsidR="00F67BF3" w:rsidRPr="00F53F8E" w:rsidP="00F67BF3">
            <w:pPr>
              <w:spacing w:line="240" w:lineRule="auto"/>
              <w:jc w:val="right"/>
              <w:rPr>
                <w:rFonts w:ascii="Arial Narrow" w:hAnsi="Arial Narrow" w:cs="Times New Roman"/>
                <w:b/>
                <w:bCs/>
              </w:rPr>
            </w:pPr>
            <w:r>
              <w:rPr>
                <w:rFonts w:ascii="Arial Narrow" w:hAnsi="Arial Narrow" w:cs="Times New Roman"/>
                <w:b/>
                <w:bCs/>
              </w:rPr>
              <w:t>1 757 000,00</w:t>
            </w:r>
          </w:p>
        </w:tc>
        <w:tc>
          <w:tcPr>
            <w:tcW w:w="1340" w:type="dxa"/>
            <w:tcBorders>
              <w:top w:val="nil"/>
              <w:left w:val="nil"/>
              <w:bottom w:val="single" w:sz="4" w:space="0" w:color="auto"/>
              <w:right w:val="single" w:sz="8" w:space="0" w:color="auto"/>
              <w:tl2br w:val="nil"/>
              <w:tr2bl w:val="nil"/>
            </w:tcBorders>
            <w:noWrap/>
            <w:textDirection w:val="lrTb"/>
            <w:vAlign w:val="center"/>
          </w:tcPr>
          <w:p w:rsidR="00F67BF3" w:rsidRPr="00F53F8E" w:rsidP="00F67BF3">
            <w:pPr>
              <w:spacing w:line="240" w:lineRule="auto"/>
              <w:jc w:val="right"/>
              <w:rPr>
                <w:rFonts w:ascii="Arial Narrow" w:hAnsi="Arial Narrow" w:cs="Times New Roman"/>
                <w:b/>
                <w:bCs/>
              </w:rPr>
            </w:pPr>
            <w:r w:rsidRPr="00F53F8E">
              <w:rPr>
                <w:rFonts w:ascii="Arial Narrow" w:hAnsi="Arial Narrow" w:cs="Times New Roman"/>
                <w:b/>
                <w:bCs/>
              </w:rPr>
              <w:t> </w:t>
            </w:r>
            <w:r>
              <w:rPr>
                <w:rFonts w:ascii="Arial Narrow" w:hAnsi="Arial Narrow" w:cs="Times New Roman"/>
                <w:b/>
                <w:bCs/>
              </w:rPr>
              <w:t>0,00</w:t>
            </w:r>
          </w:p>
        </w:tc>
        <w:tc>
          <w:tcPr>
            <w:tcW w:w="1224" w:type="dxa"/>
            <w:tcBorders>
              <w:top w:val="nil"/>
              <w:left w:val="nil"/>
              <w:bottom w:val="single" w:sz="4" w:space="0" w:color="auto"/>
              <w:right w:val="single" w:sz="8" w:space="0" w:color="auto"/>
              <w:tl2br w:val="nil"/>
              <w:tr2bl w:val="nil"/>
            </w:tcBorders>
            <w:noWrap/>
            <w:textDirection w:val="lrTb"/>
            <w:vAlign w:val="center"/>
          </w:tcPr>
          <w:p w:rsidR="00F67BF3" w:rsidRPr="00F53F8E" w:rsidP="00F67BF3">
            <w:pPr>
              <w:spacing w:line="240" w:lineRule="auto"/>
              <w:jc w:val="right"/>
              <w:rPr>
                <w:rFonts w:ascii="Arial Narrow" w:hAnsi="Arial Narrow" w:cs="Times New Roman"/>
                <w:b/>
                <w:bCs/>
              </w:rPr>
            </w:pPr>
            <w:r w:rsidRPr="00F53F8E">
              <w:rPr>
                <w:rFonts w:ascii="Arial Narrow" w:hAnsi="Arial Narrow" w:cs="Times New Roman"/>
                <w:b/>
                <w:bCs/>
              </w:rPr>
              <w:t>0,00</w:t>
            </w:r>
          </w:p>
        </w:tc>
        <w:tc>
          <w:tcPr>
            <w:tcW w:w="268" w:type="dxa"/>
            <w:tcBorders>
              <w:top w:val="nil"/>
              <w:left w:val="nil"/>
              <w:bottom w:val="nil"/>
              <w:right w:val="nil"/>
              <w:tl2br w:val="nil"/>
              <w:tr2bl w:val="nil"/>
            </w:tcBorders>
            <w:noWrap/>
            <w:textDirection w:val="lrTb"/>
            <w:vAlign w:val="bottom"/>
          </w:tcPr>
          <w:p w:rsidR="00F67BF3" w:rsidRPr="00F53F8E" w:rsidP="00F67BF3">
            <w:pPr>
              <w:spacing w:line="240" w:lineRule="auto"/>
              <w:rPr>
                <w:rFonts w:ascii="Arial Narrow" w:hAnsi="Arial Narrow" w:cs="Times New Roman"/>
              </w:rPr>
            </w:pPr>
          </w:p>
        </w:tc>
      </w:tr>
      <w:tr>
        <w:tblPrEx>
          <w:tblW w:w="11568" w:type="dxa"/>
          <w:tblInd w:w="-830" w:type="dxa"/>
          <w:tblCellMar>
            <w:left w:w="70" w:type="dxa"/>
            <w:right w:w="70" w:type="dxa"/>
          </w:tblCellMar>
        </w:tblPrEx>
        <w:trPr>
          <w:gridAfter w:val="2"/>
          <w:wAfter w:w="320" w:type="dxa"/>
          <w:trHeight w:val="227"/>
        </w:trPr>
        <w:tc>
          <w:tcPr>
            <w:tcW w:w="660" w:type="dxa"/>
            <w:tcBorders>
              <w:top w:val="nil"/>
              <w:left w:val="single" w:sz="8" w:space="0" w:color="auto"/>
              <w:bottom w:val="single" w:sz="4" w:space="0" w:color="auto"/>
              <w:right w:val="nil"/>
              <w:tl2br w:val="nil"/>
              <w:tr2bl w:val="nil"/>
            </w:tcBorders>
            <w:noWrap/>
            <w:textDirection w:val="lrTb"/>
            <w:vAlign w:val="center"/>
          </w:tcPr>
          <w:p w:rsidR="00F67BF3" w:rsidRPr="00064378" w:rsidP="00F67BF3">
            <w:pPr>
              <w:spacing w:line="240" w:lineRule="auto"/>
              <w:jc w:val="right"/>
              <w:rPr>
                <w:rFonts w:ascii="Arial Narrow" w:hAnsi="Arial Narrow" w:cs="Times New Roman"/>
              </w:rPr>
            </w:pPr>
            <w:r w:rsidRPr="00064378">
              <w:rPr>
                <w:rFonts w:ascii="Arial Narrow" w:hAnsi="Arial Narrow" w:cs="Times New Roman"/>
              </w:rPr>
              <w:t>13296</w:t>
            </w:r>
          </w:p>
        </w:tc>
        <w:tc>
          <w:tcPr>
            <w:tcW w:w="3300" w:type="dxa"/>
            <w:tcBorders>
              <w:top w:val="nil"/>
              <w:left w:val="single" w:sz="8" w:space="0" w:color="auto"/>
              <w:bottom w:val="single" w:sz="4" w:space="0" w:color="auto"/>
              <w:right w:val="nil"/>
              <w:tl2br w:val="nil"/>
              <w:tr2bl w:val="nil"/>
            </w:tcBorders>
            <w:noWrap/>
            <w:textDirection w:val="lrTb"/>
            <w:vAlign w:val="center"/>
          </w:tcPr>
          <w:p w:rsidR="00F67BF3" w:rsidRPr="00064378" w:rsidP="00F67BF3">
            <w:pPr>
              <w:spacing w:line="240" w:lineRule="auto"/>
              <w:rPr>
                <w:rFonts w:ascii="Arial Narrow" w:hAnsi="Arial Narrow" w:cs="Times New Roman"/>
              </w:rPr>
            </w:pPr>
            <w:r>
              <w:rPr>
                <w:rFonts w:ascii="Arial Narrow" w:hAnsi="Arial Narrow" w:cs="Times New Roman"/>
              </w:rPr>
              <w:t xml:space="preserve">D1 Važec </w:t>
            </w:r>
            <w:r w:rsidR="002710B0">
              <w:rPr>
                <w:rFonts w:ascii="Arial Narrow" w:hAnsi="Arial Narrow" w:cs="Times New Roman"/>
              </w:rPr>
              <w:t>–</w:t>
            </w:r>
            <w:r>
              <w:rPr>
                <w:rFonts w:ascii="Arial Narrow" w:hAnsi="Arial Narrow" w:cs="Times New Roman"/>
              </w:rPr>
              <w:t xml:space="preserve"> </w:t>
            </w:r>
            <w:r w:rsidRPr="00064378">
              <w:rPr>
                <w:rFonts w:ascii="Arial Narrow" w:hAnsi="Arial Narrow" w:cs="Times New Roman"/>
              </w:rPr>
              <w:t>Mengusovce</w:t>
            </w:r>
          </w:p>
        </w:tc>
        <w:tc>
          <w:tcPr>
            <w:tcW w:w="1476" w:type="dxa"/>
            <w:tcBorders>
              <w:top w:val="nil"/>
              <w:left w:val="single" w:sz="8" w:space="0" w:color="auto"/>
              <w:bottom w:val="single" w:sz="4" w:space="0" w:color="auto"/>
              <w:right w:val="nil"/>
              <w:tl2br w:val="nil"/>
              <w:tr2bl w:val="nil"/>
            </w:tcBorders>
            <w:noWrap/>
            <w:textDirection w:val="lrTb"/>
            <w:vAlign w:val="center"/>
          </w:tcPr>
          <w:p w:rsidR="00F67BF3" w:rsidRPr="00F53F8E" w:rsidP="00F67BF3">
            <w:pPr>
              <w:spacing w:line="240" w:lineRule="auto"/>
              <w:jc w:val="right"/>
              <w:rPr>
                <w:rFonts w:ascii="Arial Narrow" w:hAnsi="Arial Narrow" w:cs="Times New Roman"/>
                <w:b/>
                <w:bCs/>
              </w:rPr>
            </w:pPr>
            <w:r w:rsidRPr="00F53F8E">
              <w:rPr>
                <w:rFonts w:ascii="Arial Narrow" w:hAnsi="Arial Narrow" w:cs="Times New Roman"/>
                <w:b/>
                <w:bCs/>
              </w:rPr>
              <w:t>0,00</w:t>
            </w:r>
          </w:p>
        </w:tc>
        <w:tc>
          <w:tcPr>
            <w:tcW w:w="1440" w:type="dxa"/>
            <w:tcBorders>
              <w:top w:val="nil"/>
              <w:left w:val="single" w:sz="8" w:space="0" w:color="auto"/>
              <w:bottom w:val="single" w:sz="4" w:space="0" w:color="auto"/>
              <w:right w:val="nil"/>
              <w:tl2br w:val="nil"/>
              <w:tr2bl w:val="nil"/>
            </w:tcBorders>
            <w:noWrap/>
            <w:textDirection w:val="lrTb"/>
            <w:vAlign w:val="center"/>
          </w:tcPr>
          <w:p w:rsidR="00F67BF3" w:rsidRPr="00F53F8E" w:rsidP="00F67BF3">
            <w:pPr>
              <w:spacing w:line="240" w:lineRule="auto"/>
              <w:jc w:val="right"/>
              <w:rPr>
                <w:rFonts w:ascii="Arial Narrow" w:hAnsi="Arial Narrow" w:cs="Times New Roman"/>
                <w:b/>
                <w:bCs/>
              </w:rPr>
            </w:pPr>
            <w:r>
              <w:rPr>
                <w:rFonts w:ascii="Arial Narrow" w:hAnsi="Arial Narrow" w:cs="Times New Roman"/>
                <w:b/>
                <w:bCs/>
              </w:rPr>
              <w:t>1 134 286 000</w:t>
            </w:r>
            <w:r w:rsidRPr="00F53F8E">
              <w:rPr>
                <w:rFonts w:ascii="Arial Narrow" w:hAnsi="Arial Narrow" w:cs="Times New Roman"/>
                <w:b/>
                <w:bCs/>
              </w:rPr>
              <w:t>,00</w:t>
            </w:r>
          </w:p>
        </w:tc>
        <w:tc>
          <w:tcPr>
            <w:tcW w:w="1540" w:type="dxa"/>
            <w:tcBorders>
              <w:top w:val="nil"/>
              <w:left w:val="single" w:sz="8" w:space="0" w:color="auto"/>
              <w:bottom w:val="single" w:sz="4" w:space="0" w:color="auto"/>
              <w:right w:val="single" w:sz="8" w:space="0" w:color="auto"/>
              <w:tl2br w:val="nil"/>
              <w:tr2bl w:val="nil"/>
            </w:tcBorders>
            <w:noWrap/>
            <w:textDirection w:val="lrTb"/>
            <w:vAlign w:val="center"/>
          </w:tcPr>
          <w:p w:rsidR="00F67BF3" w:rsidRPr="00F53F8E" w:rsidP="00F67BF3">
            <w:pPr>
              <w:spacing w:line="240" w:lineRule="auto"/>
              <w:jc w:val="right"/>
              <w:rPr>
                <w:rFonts w:ascii="Arial Narrow" w:hAnsi="Arial Narrow" w:cs="Times New Roman"/>
                <w:b/>
                <w:bCs/>
              </w:rPr>
            </w:pPr>
            <w:r>
              <w:rPr>
                <w:rFonts w:ascii="Arial Narrow" w:hAnsi="Arial Narrow" w:cs="Times New Roman"/>
                <w:b/>
                <w:bCs/>
              </w:rPr>
              <w:t>1 134 286 000</w:t>
            </w:r>
            <w:r w:rsidRPr="00F53F8E">
              <w:rPr>
                <w:rFonts w:ascii="Arial Narrow" w:hAnsi="Arial Narrow" w:cs="Times New Roman"/>
                <w:b/>
                <w:bCs/>
              </w:rPr>
              <w:t>,00</w:t>
            </w:r>
          </w:p>
        </w:tc>
        <w:tc>
          <w:tcPr>
            <w:tcW w:w="1340" w:type="dxa"/>
            <w:tcBorders>
              <w:top w:val="nil"/>
              <w:left w:val="nil"/>
              <w:bottom w:val="single" w:sz="4" w:space="0" w:color="auto"/>
              <w:right w:val="single" w:sz="8" w:space="0" w:color="auto"/>
              <w:tl2br w:val="nil"/>
              <w:tr2bl w:val="nil"/>
            </w:tcBorders>
            <w:noWrap/>
            <w:textDirection w:val="lrTb"/>
            <w:vAlign w:val="center"/>
          </w:tcPr>
          <w:p w:rsidR="00F67BF3" w:rsidRPr="00F53F8E" w:rsidP="00F67BF3">
            <w:pPr>
              <w:spacing w:line="240" w:lineRule="auto"/>
              <w:jc w:val="right"/>
              <w:rPr>
                <w:rFonts w:ascii="Arial Narrow" w:hAnsi="Arial Narrow" w:cs="Times New Roman"/>
                <w:b/>
                <w:bCs/>
              </w:rPr>
            </w:pPr>
            <w:r w:rsidRPr="00F53F8E">
              <w:rPr>
                <w:rFonts w:ascii="Arial Narrow" w:hAnsi="Arial Narrow" w:cs="Times New Roman"/>
                <w:b/>
                <w:bCs/>
              </w:rPr>
              <w:t> </w:t>
            </w:r>
            <w:r>
              <w:rPr>
                <w:rFonts w:ascii="Arial Narrow" w:hAnsi="Arial Narrow" w:cs="Times New Roman"/>
                <w:b/>
                <w:bCs/>
              </w:rPr>
              <w:t>0,00</w:t>
            </w:r>
          </w:p>
        </w:tc>
        <w:tc>
          <w:tcPr>
            <w:tcW w:w="1224" w:type="dxa"/>
            <w:tcBorders>
              <w:top w:val="nil"/>
              <w:left w:val="nil"/>
              <w:bottom w:val="single" w:sz="4" w:space="0" w:color="auto"/>
              <w:right w:val="single" w:sz="8" w:space="0" w:color="auto"/>
              <w:tl2br w:val="nil"/>
              <w:tr2bl w:val="nil"/>
            </w:tcBorders>
            <w:noWrap/>
            <w:textDirection w:val="lrTb"/>
            <w:vAlign w:val="center"/>
          </w:tcPr>
          <w:p w:rsidR="00F67BF3" w:rsidRPr="00F53F8E" w:rsidP="00F67BF3">
            <w:pPr>
              <w:spacing w:line="240" w:lineRule="auto"/>
              <w:jc w:val="right"/>
              <w:rPr>
                <w:rFonts w:ascii="Arial Narrow" w:hAnsi="Arial Narrow" w:cs="Times New Roman"/>
                <w:b/>
                <w:bCs/>
              </w:rPr>
            </w:pPr>
            <w:r w:rsidRPr="00F53F8E">
              <w:rPr>
                <w:rFonts w:ascii="Arial Narrow" w:hAnsi="Arial Narrow" w:cs="Times New Roman"/>
                <w:b/>
                <w:bCs/>
              </w:rPr>
              <w:t>0,00</w:t>
            </w:r>
          </w:p>
        </w:tc>
        <w:tc>
          <w:tcPr>
            <w:tcW w:w="268" w:type="dxa"/>
            <w:tcBorders>
              <w:top w:val="nil"/>
              <w:left w:val="nil"/>
              <w:bottom w:val="nil"/>
              <w:right w:val="nil"/>
              <w:tl2br w:val="nil"/>
              <w:tr2bl w:val="nil"/>
            </w:tcBorders>
            <w:noWrap/>
            <w:textDirection w:val="lrTb"/>
            <w:vAlign w:val="bottom"/>
          </w:tcPr>
          <w:p w:rsidR="00F67BF3" w:rsidRPr="00F53F8E" w:rsidP="00F67BF3">
            <w:pPr>
              <w:spacing w:line="240" w:lineRule="auto"/>
              <w:rPr>
                <w:rFonts w:ascii="Arial Narrow" w:hAnsi="Arial Narrow" w:cs="Times New Roman"/>
              </w:rPr>
            </w:pPr>
          </w:p>
        </w:tc>
      </w:tr>
      <w:tr>
        <w:tblPrEx>
          <w:tblW w:w="11568" w:type="dxa"/>
          <w:tblInd w:w="-830" w:type="dxa"/>
          <w:tblCellMar>
            <w:left w:w="70" w:type="dxa"/>
            <w:right w:w="70" w:type="dxa"/>
          </w:tblCellMar>
        </w:tblPrEx>
        <w:trPr>
          <w:gridAfter w:val="2"/>
          <w:wAfter w:w="320" w:type="dxa"/>
          <w:trHeight w:val="227"/>
        </w:trPr>
        <w:tc>
          <w:tcPr>
            <w:tcW w:w="660" w:type="dxa"/>
            <w:tcBorders>
              <w:top w:val="nil"/>
              <w:left w:val="single" w:sz="8" w:space="0" w:color="auto"/>
              <w:bottom w:val="single" w:sz="4" w:space="0" w:color="auto"/>
              <w:right w:val="nil"/>
              <w:tl2br w:val="nil"/>
              <w:tr2bl w:val="nil"/>
            </w:tcBorders>
            <w:noWrap/>
            <w:textDirection w:val="lrTb"/>
            <w:vAlign w:val="center"/>
          </w:tcPr>
          <w:p w:rsidR="00F67BF3" w:rsidRPr="00064378" w:rsidP="00F67BF3">
            <w:pPr>
              <w:spacing w:line="240" w:lineRule="auto"/>
              <w:jc w:val="right"/>
              <w:rPr>
                <w:rFonts w:ascii="Arial Narrow" w:hAnsi="Arial Narrow" w:cs="Times New Roman"/>
              </w:rPr>
            </w:pPr>
            <w:r>
              <w:rPr>
                <w:rFonts w:ascii="Arial Narrow" w:hAnsi="Arial Narrow" w:cs="Times New Roman"/>
              </w:rPr>
              <w:t>13297</w:t>
            </w:r>
          </w:p>
        </w:tc>
        <w:tc>
          <w:tcPr>
            <w:tcW w:w="3300" w:type="dxa"/>
            <w:tcBorders>
              <w:top w:val="nil"/>
              <w:left w:val="single" w:sz="8" w:space="0" w:color="auto"/>
              <w:bottom w:val="single" w:sz="4" w:space="0" w:color="auto"/>
              <w:right w:val="nil"/>
              <w:tl2br w:val="nil"/>
              <w:tr2bl w:val="nil"/>
            </w:tcBorders>
            <w:noWrap/>
            <w:textDirection w:val="lrTb"/>
            <w:vAlign w:val="center"/>
          </w:tcPr>
          <w:p w:rsidR="00F67BF3" w:rsidRPr="00064378" w:rsidP="00F67BF3">
            <w:pPr>
              <w:spacing w:line="240" w:lineRule="auto"/>
              <w:rPr>
                <w:rFonts w:ascii="Arial Narrow" w:hAnsi="Arial Narrow" w:cs="Times New Roman"/>
              </w:rPr>
            </w:pPr>
            <w:r>
              <w:rPr>
                <w:rFonts w:ascii="Arial Narrow" w:hAnsi="Arial Narrow" w:cs="Times New Roman"/>
              </w:rPr>
              <w:t>D1 Privádzač Púchov</w:t>
            </w:r>
          </w:p>
        </w:tc>
        <w:tc>
          <w:tcPr>
            <w:tcW w:w="1476" w:type="dxa"/>
            <w:tcBorders>
              <w:top w:val="nil"/>
              <w:left w:val="single" w:sz="8" w:space="0" w:color="auto"/>
              <w:bottom w:val="single" w:sz="4" w:space="0" w:color="auto"/>
              <w:right w:val="nil"/>
              <w:tl2br w:val="nil"/>
              <w:tr2bl w:val="nil"/>
            </w:tcBorders>
            <w:noWrap/>
            <w:textDirection w:val="lrTb"/>
            <w:vAlign w:val="center"/>
          </w:tcPr>
          <w:p w:rsidR="00F67BF3" w:rsidRPr="00F53F8E" w:rsidP="00F67BF3">
            <w:pPr>
              <w:spacing w:line="240" w:lineRule="auto"/>
              <w:jc w:val="right"/>
              <w:rPr>
                <w:rFonts w:ascii="Arial Narrow" w:hAnsi="Arial Narrow" w:cs="Times New Roman"/>
                <w:b/>
                <w:bCs/>
              </w:rPr>
            </w:pPr>
            <w:r>
              <w:rPr>
                <w:rFonts w:ascii="Arial Narrow" w:hAnsi="Arial Narrow" w:cs="Times New Roman"/>
                <w:b/>
                <w:bCs/>
              </w:rPr>
              <w:t>0,00</w:t>
            </w:r>
          </w:p>
        </w:tc>
        <w:tc>
          <w:tcPr>
            <w:tcW w:w="1440" w:type="dxa"/>
            <w:tcBorders>
              <w:top w:val="nil"/>
              <w:left w:val="single" w:sz="8" w:space="0" w:color="auto"/>
              <w:bottom w:val="single" w:sz="4" w:space="0" w:color="auto"/>
              <w:right w:val="nil"/>
              <w:tl2br w:val="nil"/>
              <w:tr2bl w:val="nil"/>
            </w:tcBorders>
            <w:noWrap/>
            <w:textDirection w:val="lrTb"/>
            <w:vAlign w:val="center"/>
          </w:tcPr>
          <w:p w:rsidR="00F67BF3" w:rsidRPr="00F53F8E" w:rsidP="00F67BF3">
            <w:pPr>
              <w:spacing w:line="240" w:lineRule="auto"/>
              <w:jc w:val="right"/>
              <w:rPr>
                <w:rFonts w:ascii="Arial Narrow" w:hAnsi="Arial Narrow" w:cs="Times New Roman"/>
                <w:b/>
                <w:bCs/>
              </w:rPr>
            </w:pPr>
            <w:r>
              <w:rPr>
                <w:rFonts w:ascii="Arial Narrow" w:hAnsi="Arial Narrow" w:cs="Times New Roman"/>
                <w:b/>
                <w:bCs/>
              </w:rPr>
              <w:t>250 00</w:t>
            </w:r>
            <w:r>
              <w:rPr>
                <w:rFonts w:ascii="Arial Narrow" w:hAnsi="Arial Narrow" w:cs="Times New Roman"/>
                <w:b/>
                <w:bCs/>
              </w:rPr>
              <w:t>0,00</w:t>
            </w:r>
          </w:p>
        </w:tc>
        <w:tc>
          <w:tcPr>
            <w:tcW w:w="1540" w:type="dxa"/>
            <w:tcBorders>
              <w:top w:val="nil"/>
              <w:left w:val="single" w:sz="8" w:space="0" w:color="auto"/>
              <w:bottom w:val="single" w:sz="4" w:space="0" w:color="auto"/>
              <w:right w:val="single" w:sz="8" w:space="0" w:color="auto"/>
              <w:tl2br w:val="nil"/>
              <w:tr2bl w:val="nil"/>
            </w:tcBorders>
            <w:noWrap/>
            <w:textDirection w:val="lrTb"/>
            <w:vAlign w:val="center"/>
          </w:tcPr>
          <w:p w:rsidR="00F67BF3" w:rsidRPr="00F53F8E" w:rsidP="00F67BF3">
            <w:pPr>
              <w:spacing w:line="240" w:lineRule="auto"/>
              <w:jc w:val="right"/>
              <w:rPr>
                <w:rFonts w:ascii="Arial Narrow" w:hAnsi="Arial Narrow" w:cs="Times New Roman"/>
                <w:b/>
                <w:bCs/>
              </w:rPr>
            </w:pPr>
            <w:r>
              <w:rPr>
                <w:rFonts w:ascii="Arial Narrow" w:hAnsi="Arial Narrow" w:cs="Times New Roman"/>
                <w:b/>
                <w:bCs/>
              </w:rPr>
              <w:t>250 000,00</w:t>
            </w:r>
          </w:p>
        </w:tc>
        <w:tc>
          <w:tcPr>
            <w:tcW w:w="1340" w:type="dxa"/>
            <w:tcBorders>
              <w:top w:val="nil"/>
              <w:left w:val="nil"/>
              <w:bottom w:val="single" w:sz="4" w:space="0" w:color="auto"/>
              <w:right w:val="single" w:sz="8" w:space="0" w:color="auto"/>
              <w:tl2br w:val="nil"/>
              <w:tr2bl w:val="nil"/>
            </w:tcBorders>
            <w:noWrap/>
            <w:textDirection w:val="lrTb"/>
            <w:vAlign w:val="center"/>
          </w:tcPr>
          <w:p w:rsidR="00F67BF3" w:rsidRPr="00F53F8E" w:rsidP="00F67BF3">
            <w:pPr>
              <w:spacing w:line="240" w:lineRule="auto"/>
              <w:jc w:val="right"/>
              <w:rPr>
                <w:rFonts w:ascii="Arial Narrow" w:hAnsi="Arial Narrow" w:cs="Times New Roman"/>
                <w:b/>
                <w:bCs/>
              </w:rPr>
            </w:pPr>
            <w:r w:rsidRPr="00F53F8E">
              <w:rPr>
                <w:rFonts w:ascii="Arial Narrow" w:hAnsi="Arial Narrow" w:cs="Times New Roman"/>
                <w:b/>
                <w:bCs/>
              </w:rPr>
              <w:t> </w:t>
            </w:r>
            <w:r>
              <w:rPr>
                <w:rFonts w:ascii="Arial Narrow" w:hAnsi="Arial Narrow" w:cs="Times New Roman"/>
                <w:b/>
                <w:bCs/>
              </w:rPr>
              <w:t>0,00</w:t>
            </w:r>
          </w:p>
        </w:tc>
        <w:tc>
          <w:tcPr>
            <w:tcW w:w="1224" w:type="dxa"/>
            <w:tcBorders>
              <w:top w:val="nil"/>
              <w:left w:val="nil"/>
              <w:bottom w:val="single" w:sz="4" w:space="0" w:color="auto"/>
              <w:right w:val="single" w:sz="8" w:space="0" w:color="auto"/>
              <w:tl2br w:val="nil"/>
              <w:tr2bl w:val="nil"/>
            </w:tcBorders>
            <w:noWrap/>
            <w:textDirection w:val="lrTb"/>
            <w:vAlign w:val="center"/>
          </w:tcPr>
          <w:p w:rsidR="00F67BF3" w:rsidRPr="00F53F8E" w:rsidP="00F67BF3">
            <w:pPr>
              <w:spacing w:line="240" w:lineRule="auto"/>
              <w:jc w:val="right"/>
              <w:rPr>
                <w:rFonts w:ascii="Arial Narrow" w:hAnsi="Arial Narrow" w:cs="Times New Roman"/>
                <w:b/>
                <w:bCs/>
              </w:rPr>
            </w:pPr>
            <w:r>
              <w:rPr>
                <w:rFonts w:ascii="Arial Narrow" w:hAnsi="Arial Narrow" w:cs="Times New Roman"/>
                <w:b/>
                <w:bCs/>
              </w:rPr>
              <w:t>0,00</w:t>
            </w:r>
          </w:p>
        </w:tc>
        <w:tc>
          <w:tcPr>
            <w:tcW w:w="268" w:type="dxa"/>
            <w:tcBorders>
              <w:top w:val="nil"/>
              <w:left w:val="nil"/>
              <w:bottom w:val="nil"/>
              <w:right w:val="nil"/>
              <w:tl2br w:val="nil"/>
              <w:tr2bl w:val="nil"/>
            </w:tcBorders>
            <w:noWrap/>
            <w:textDirection w:val="lrTb"/>
            <w:vAlign w:val="bottom"/>
          </w:tcPr>
          <w:p w:rsidR="00F67BF3" w:rsidRPr="00F53F8E" w:rsidP="00F67BF3">
            <w:pPr>
              <w:spacing w:line="240" w:lineRule="auto"/>
              <w:rPr>
                <w:rFonts w:ascii="Arial Narrow" w:hAnsi="Arial Narrow" w:cs="Times New Roman"/>
              </w:rPr>
            </w:pPr>
          </w:p>
        </w:tc>
      </w:tr>
      <w:tr>
        <w:tblPrEx>
          <w:tblW w:w="11568" w:type="dxa"/>
          <w:tblInd w:w="-830" w:type="dxa"/>
          <w:tblCellMar>
            <w:left w:w="70" w:type="dxa"/>
            <w:right w:w="70" w:type="dxa"/>
          </w:tblCellMar>
        </w:tblPrEx>
        <w:trPr>
          <w:gridAfter w:val="2"/>
          <w:wAfter w:w="320" w:type="dxa"/>
          <w:trHeight w:val="227"/>
        </w:trPr>
        <w:tc>
          <w:tcPr>
            <w:tcW w:w="660" w:type="dxa"/>
            <w:tcBorders>
              <w:top w:val="nil"/>
              <w:left w:val="single" w:sz="8" w:space="0" w:color="auto"/>
              <w:bottom w:val="single" w:sz="4" w:space="0" w:color="auto"/>
              <w:right w:val="nil"/>
              <w:tl2br w:val="nil"/>
              <w:tr2bl w:val="nil"/>
            </w:tcBorders>
            <w:noWrap/>
            <w:textDirection w:val="lrTb"/>
            <w:vAlign w:val="center"/>
          </w:tcPr>
          <w:p w:rsidR="00F67BF3" w:rsidRPr="00064378" w:rsidP="00F67BF3">
            <w:pPr>
              <w:spacing w:line="240" w:lineRule="auto"/>
              <w:jc w:val="right"/>
              <w:rPr>
                <w:rFonts w:ascii="Arial Narrow" w:hAnsi="Arial Narrow" w:cs="Times New Roman"/>
              </w:rPr>
            </w:pPr>
            <w:r w:rsidRPr="00064378">
              <w:rPr>
                <w:rFonts w:ascii="Arial Narrow" w:hAnsi="Arial Narrow" w:cs="Times New Roman"/>
              </w:rPr>
              <w:t>1566</w:t>
            </w:r>
          </w:p>
        </w:tc>
        <w:tc>
          <w:tcPr>
            <w:tcW w:w="3300" w:type="dxa"/>
            <w:tcBorders>
              <w:top w:val="nil"/>
              <w:left w:val="single" w:sz="8" w:space="0" w:color="auto"/>
              <w:bottom w:val="single" w:sz="4" w:space="0" w:color="auto"/>
              <w:right w:val="nil"/>
              <w:tl2br w:val="nil"/>
              <w:tr2bl w:val="nil"/>
            </w:tcBorders>
            <w:noWrap/>
            <w:textDirection w:val="lrTb"/>
            <w:vAlign w:val="center"/>
          </w:tcPr>
          <w:p w:rsidR="00F67BF3" w:rsidRPr="00064378" w:rsidP="00F67BF3">
            <w:pPr>
              <w:spacing w:line="240" w:lineRule="auto"/>
              <w:rPr>
                <w:rFonts w:ascii="Arial Narrow" w:hAnsi="Arial Narrow" w:cs="Times New Roman"/>
              </w:rPr>
            </w:pPr>
            <w:r w:rsidRPr="00064378">
              <w:rPr>
                <w:rFonts w:ascii="Arial Narrow" w:hAnsi="Arial Narrow" w:cs="Times New Roman"/>
              </w:rPr>
              <w:t>D1 Sverepec - Považská Bystrica, I. úsek</w:t>
            </w:r>
          </w:p>
        </w:tc>
        <w:tc>
          <w:tcPr>
            <w:tcW w:w="1476" w:type="dxa"/>
            <w:tcBorders>
              <w:top w:val="nil"/>
              <w:left w:val="single" w:sz="8" w:space="0" w:color="auto"/>
              <w:bottom w:val="single" w:sz="4" w:space="0" w:color="auto"/>
              <w:right w:val="nil"/>
              <w:tl2br w:val="nil"/>
              <w:tr2bl w:val="nil"/>
            </w:tcBorders>
            <w:noWrap/>
            <w:textDirection w:val="lrTb"/>
            <w:vAlign w:val="center"/>
          </w:tcPr>
          <w:p w:rsidR="00F67BF3" w:rsidRPr="00F53F8E" w:rsidP="00F67BF3">
            <w:pPr>
              <w:spacing w:line="240" w:lineRule="auto"/>
              <w:jc w:val="right"/>
              <w:rPr>
                <w:rFonts w:ascii="Arial Narrow" w:hAnsi="Arial Narrow" w:cs="Times New Roman"/>
                <w:b/>
                <w:bCs/>
              </w:rPr>
            </w:pPr>
            <w:r>
              <w:rPr>
                <w:rFonts w:ascii="Arial Narrow" w:hAnsi="Arial Narrow" w:cs="Times New Roman"/>
                <w:b/>
                <w:bCs/>
              </w:rPr>
              <w:t>0,00</w:t>
            </w:r>
          </w:p>
        </w:tc>
        <w:tc>
          <w:tcPr>
            <w:tcW w:w="1440" w:type="dxa"/>
            <w:tcBorders>
              <w:top w:val="nil"/>
              <w:left w:val="single" w:sz="8" w:space="0" w:color="auto"/>
              <w:bottom w:val="single" w:sz="4" w:space="0" w:color="auto"/>
              <w:right w:val="nil"/>
              <w:tl2br w:val="nil"/>
              <w:tr2bl w:val="nil"/>
            </w:tcBorders>
            <w:noWrap/>
            <w:textDirection w:val="lrTb"/>
            <w:vAlign w:val="center"/>
          </w:tcPr>
          <w:p w:rsidR="00F67BF3" w:rsidRPr="00F53F8E" w:rsidP="00F67BF3">
            <w:pPr>
              <w:spacing w:line="240" w:lineRule="auto"/>
              <w:jc w:val="right"/>
              <w:rPr>
                <w:rFonts w:ascii="Arial Narrow" w:hAnsi="Arial Narrow" w:cs="Times New Roman"/>
                <w:b/>
                <w:bCs/>
              </w:rPr>
            </w:pPr>
            <w:r>
              <w:rPr>
                <w:rFonts w:ascii="Arial Narrow" w:hAnsi="Arial Narrow" w:cs="Times New Roman"/>
                <w:b/>
                <w:bCs/>
              </w:rPr>
              <w:t>20 948</w:t>
            </w:r>
            <w:r w:rsidRPr="00F53F8E">
              <w:rPr>
                <w:rFonts w:ascii="Arial Narrow" w:hAnsi="Arial Narrow" w:cs="Times New Roman"/>
                <w:b/>
                <w:bCs/>
              </w:rPr>
              <w:t xml:space="preserve"> 000,00</w:t>
            </w:r>
          </w:p>
        </w:tc>
        <w:tc>
          <w:tcPr>
            <w:tcW w:w="1540" w:type="dxa"/>
            <w:tcBorders>
              <w:top w:val="nil"/>
              <w:left w:val="single" w:sz="8" w:space="0" w:color="auto"/>
              <w:bottom w:val="single" w:sz="4" w:space="0" w:color="auto"/>
              <w:right w:val="single" w:sz="8" w:space="0" w:color="auto"/>
              <w:tl2br w:val="nil"/>
              <w:tr2bl w:val="nil"/>
            </w:tcBorders>
            <w:noWrap/>
            <w:textDirection w:val="lrTb"/>
            <w:vAlign w:val="center"/>
          </w:tcPr>
          <w:p w:rsidR="00F67BF3" w:rsidRPr="00F53F8E" w:rsidP="00F67BF3">
            <w:pPr>
              <w:spacing w:line="240" w:lineRule="auto"/>
              <w:jc w:val="right"/>
              <w:rPr>
                <w:rFonts w:ascii="Arial Narrow" w:hAnsi="Arial Narrow" w:cs="Times New Roman"/>
                <w:b/>
                <w:bCs/>
              </w:rPr>
            </w:pPr>
            <w:r>
              <w:rPr>
                <w:rFonts w:ascii="Arial Narrow" w:hAnsi="Arial Narrow" w:cs="Times New Roman"/>
                <w:b/>
                <w:bCs/>
              </w:rPr>
              <w:t>20 948</w:t>
            </w:r>
            <w:r w:rsidRPr="00F53F8E">
              <w:rPr>
                <w:rFonts w:ascii="Arial Narrow" w:hAnsi="Arial Narrow" w:cs="Times New Roman"/>
                <w:b/>
                <w:bCs/>
              </w:rPr>
              <w:t xml:space="preserve"> 000,00</w:t>
            </w:r>
          </w:p>
        </w:tc>
        <w:tc>
          <w:tcPr>
            <w:tcW w:w="1340" w:type="dxa"/>
            <w:tcBorders>
              <w:top w:val="nil"/>
              <w:left w:val="nil"/>
              <w:bottom w:val="single" w:sz="4" w:space="0" w:color="auto"/>
              <w:right w:val="single" w:sz="8" w:space="0" w:color="auto"/>
              <w:tl2br w:val="nil"/>
              <w:tr2bl w:val="nil"/>
            </w:tcBorders>
            <w:noWrap/>
            <w:textDirection w:val="lrTb"/>
            <w:vAlign w:val="center"/>
          </w:tcPr>
          <w:p w:rsidR="00F67BF3" w:rsidRPr="00F53F8E" w:rsidP="00F67BF3">
            <w:pPr>
              <w:spacing w:line="240" w:lineRule="auto"/>
              <w:jc w:val="right"/>
              <w:rPr>
                <w:rFonts w:ascii="Arial Narrow" w:hAnsi="Arial Narrow" w:cs="Times New Roman"/>
                <w:b/>
                <w:bCs/>
              </w:rPr>
            </w:pPr>
            <w:r w:rsidRPr="00F53F8E">
              <w:rPr>
                <w:rFonts w:ascii="Arial Narrow" w:hAnsi="Arial Narrow" w:cs="Times New Roman"/>
                <w:b/>
                <w:bCs/>
              </w:rPr>
              <w:t> </w:t>
            </w:r>
            <w:r>
              <w:rPr>
                <w:rFonts w:ascii="Arial Narrow" w:hAnsi="Arial Narrow" w:cs="Times New Roman"/>
                <w:b/>
                <w:bCs/>
              </w:rPr>
              <w:t>0,00</w:t>
            </w:r>
          </w:p>
        </w:tc>
        <w:tc>
          <w:tcPr>
            <w:tcW w:w="1224" w:type="dxa"/>
            <w:tcBorders>
              <w:top w:val="nil"/>
              <w:left w:val="nil"/>
              <w:bottom w:val="single" w:sz="4" w:space="0" w:color="auto"/>
              <w:right w:val="single" w:sz="8" w:space="0" w:color="auto"/>
              <w:tl2br w:val="nil"/>
              <w:tr2bl w:val="nil"/>
            </w:tcBorders>
            <w:noWrap/>
            <w:textDirection w:val="lrTb"/>
            <w:vAlign w:val="center"/>
          </w:tcPr>
          <w:p w:rsidR="00F67BF3" w:rsidRPr="00F53F8E" w:rsidP="00F67BF3">
            <w:pPr>
              <w:spacing w:line="240" w:lineRule="auto"/>
              <w:jc w:val="right"/>
              <w:rPr>
                <w:rFonts w:ascii="Arial Narrow" w:hAnsi="Arial Narrow" w:cs="Times New Roman"/>
                <w:b/>
                <w:bCs/>
              </w:rPr>
            </w:pPr>
            <w:r w:rsidRPr="00F53F8E">
              <w:rPr>
                <w:rFonts w:ascii="Arial Narrow" w:hAnsi="Arial Narrow" w:cs="Times New Roman"/>
                <w:b/>
                <w:bCs/>
              </w:rPr>
              <w:t>0,00</w:t>
            </w:r>
          </w:p>
        </w:tc>
        <w:tc>
          <w:tcPr>
            <w:tcW w:w="268" w:type="dxa"/>
            <w:tcBorders>
              <w:top w:val="nil"/>
              <w:left w:val="nil"/>
              <w:bottom w:val="nil"/>
              <w:right w:val="nil"/>
              <w:tl2br w:val="nil"/>
              <w:tr2bl w:val="nil"/>
            </w:tcBorders>
            <w:noWrap/>
            <w:textDirection w:val="lrTb"/>
            <w:vAlign w:val="bottom"/>
          </w:tcPr>
          <w:p w:rsidR="00F67BF3" w:rsidRPr="00F53F8E" w:rsidP="00F67BF3">
            <w:pPr>
              <w:spacing w:line="240" w:lineRule="auto"/>
              <w:rPr>
                <w:rFonts w:ascii="Arial Narrow" w:hAnsi="Arial Narrow" w:cs="Times New Roman"/>
              </w:rPr>
            </w:pPr>
          </w:p>
        </w:tc>
      </w:tr>
      <w:tr>
        <w:tblPrEx>
          <w:tblW w:w="11568" w:type="dxa"/>
          <w:tblInd w:w="-830" w:type="dxa"/>
          <w:tblCellMar>
            <w:left w:w="70" w:type="dxa"/>
            <w:right w:w="70" w:type="dxa"/>
          </w:tblCellMar>
        </w:tblPrEx>
        <w:trPr>
          <w:gridAfter w:val="2"/>
          <w:wAfter w:w="320" w:type="dxa"/>
          <w:trHeight w:val="227"/>
        </w:trPr>
        <w:tc>
          <w:tcPr>
            <w:tcW w:w="660" w:type="dxa"/>
            <w:tcBorders>
              <w:top w:val="nil"/>
              <w:left w:val="single" w:sz="8" w:space="0" w:color="auto"/>
              <w:bottom w:val="single" w:sz="4" w:space="0" w:color="auto"/>
              <w:right w:val="nil"/>
              <w:tl2br w:val="nil"/>
              <w:tr2bl w:val="nil"/>
            </w:tcBorders>
            <w:noWrap/>
            <w:textDirection w:val="lrTb"/>
            <w:vAlign w:val="center"/>
          </w:tcPr>
          <w:p w:rsidR="00F67BF3" w:rsidRPr="00064378" w:rsidP="00F67BF3">
            <w:pPr>
              <w:spacing w:line="240" w:lineRule="auto"/>
              <w:jc w:val="right"/>
              <w:rPr>
                <w:rFonts w:ascii="Arial Narrow" w:hAnsi="Arial Narrow" w:cs="Times New Roman"/>
              </w:rPr>
            </w:pPr>
            <w:r w:rsidRPr="00064378">
              <w:rPr>
                <w:rFonts w:ascii="Arial Narrow" w:hAnsi="Arial Narrow" w:cs="Times New Roman"/>
              </w:rPr>
              <w:t> </w:t>
            </w:r>
          </w:p>
        </w:tc>
        <w:tc>
          <w:tcPr>
            <w:tcW w:w="3300" w:type="dxa"/>
            <w:tcBorders>
              <w:top w:val="nil"/>
              <w:left w:val="single" w:sz="8" w:space="0" w:color="auto"/>
              <w:bottom w:val="single" w:sz="4" w:space="0" w:color="auto"/>
              <w:right w:val="nil"/>
              <w:tl2br w:val="nil"/>
              <w:tr2bl w:val="nil"/>
            </w:tcBorders>
            <w:noWrap/>
            <w:textDirection w:val="lrTb"/>
            <w:vAlign w:val="center"/>
          </w:tcPr>
          <w:p w:rsidR="00F67BF3" w:rsidRPr="00064378" w:rsidP="00F67BF3">
            <w:pPr>
              <w:spacing w:line="240" w:lineRule="auto"/>
              <w:rPr>
                <w:rFonts w:ascii="Arial Narrow" w:hAnsi="Arial Narrow" w:cs="Times New Roman"/>
                <w:color w:val="FF0000"/>
              </w:rPr>
            </w:pPr>
            <w:r w:rsidRPr="00064378">
              <w:rPr>
                <w:rFonts w:ascii="Arial Narrow" w:hAnsi="Arial Narrow" w:cs="Times New Roman"/>
                <w:color w:val="FF0000"/>
              </w:rPr>
              <w:t>v tom: úver EIB IX.</w:t>
            </w:r>
          </w:p>
        </w:tc>
        <w:tc>
          <w:tcPr>
            <w:tcW w:w="1476" w:type="dxa"/>
            <w:tcBorders>
              <w:top w:val="nil"/>
              <w:left w:val="single" w:sz="8" w:space="0" w:color="auto"/>
              <w:bottom w:val="single" w:sz="4" w:space="0" w:color="auto"/>
              <w:right w:val="nil"/>
              <w:tl2br w:val="nil"/>
              <w:tr2bl w:val="nil"/>
            </w:tcBorders>
            <w:noWrap/>
            <w:textDirection w:val="lrTb"/>
            <w:vAlign w:val="center"/>
          </w:tcPr>
          <w:p w:rsidR="00F67BF3" w:rsidRPr="00F53F8E" w:rsidP="00F67BF3">
            <w:pPr>
              <w:spacing w:line="240" w:lineRule="auto"/>
              <w:jc w:val="right"/>
              <w:rPr>
                <w:rFonts w:ascii="Arial Narrow" w:hAnsi="Arial Narrow" w:cs="Times New Roman"/>
                <w:b/>
                <w:bCs/>
                <w:color w:val="FF0000"/>
              </w:rPr>
            </w:pPr>
            <w:r>
              <w:rPr>
                <w:rFonts w:ascii="Arial Narrow" w:hAnsi="Arial Narrow" w:cs="Times New Roman"/>
                <w:b/>
                <w:bCs/>
                <w:color w:val="FF0000"/>
              </w:rPr>
              <w:t>0,00</w:t>
            </w:r>
          </w:p>
        </w:tc>
        <w:tc>
          <w:tcPr>
            <w:tcW w:w="1440" w:type="dxa"/>
            <w:tcBorders>
              <w:top w:val="nil"/>
              <w:left w:val="single" w:sz="8" w:space="0" w:color="auto"/>
              <w:bottom w:val="single" w:sz="4" w:space="0" w:color="auto"/>
              <w:right w:val="nil"/>
              <w:tl2br w:val="nil"/>
              <w:tr2bl w:val="nil"/>
            </w:tcBorders>
            <w:noWrap/>
            <w:textDirection w:val="lrTb"/>
            <w:vAlign w:val="center"/>
          </w:tcPr>
          <w:p w:rsidR="00F67BF3" w:rsidRPr="00F53F8E" w:rsidP="00F67BF3">
            <w:pPr>
              <w:spacing w:line="240" w:lineRule="auto"/>
              <w:jc w:val="right"/>
              <w:rPr>
                <w:rFonts w:ascii="Arial Narrow" w:hAnsi="Arial Narrow" w:cs="Times New Roman"/>
                <w:b/>
                <w:bCs/>
                <w:color w:val="FF0000"/>
              </w:rPr>
            </w:pPr>
            <w:r w:rsidRPr="00F53F8E">
              <w:rPr>
                <w:rFonts w:ascii="Arial Narrow" w:hAnsi="Arial Narrow" w:cs="Times New Roman"/>
                <w:b/>
                <w:bCs/>
                <w:color w:val="FF0000"/>
              </w:rPr>
              <w:t>0,00</w:t>
            </w:r>
          </w:p>
        </w:tc>
        <w:tc>
          <w:tcPr>
            <w:tcW w:w="1540" w:type="dxa"/>
            <w:tcBorders>
              <w:top w:val="nil"/>
              <w:left w:val="single" w:sz="8" w:space="0" w:color="auto"/>
              <w:bottom w:val="single" w:sz="4" w:space="0" w:color="auto"/>
              <w:right w:val="single" w:sz="8" w:space="0" w:color="auto"/>
              <w:tl2br w:val="nil"/>
              <w:tr2bl w:val="nil"/>
            </w:tcBorders>
            <w:noWrap/>
            <w:textDirection w:val="lrTb"/>
            <w:vAlign w:val="center"/>
          </w:tcPr>
          <w:p w:rsidR="00F67BF3" w:rsidRPr="00F53F8E" w:rsidP="00F67BF3">
            <w:pPr>
              <w:spacing w:line="240" w:lineRule="auto"/>
              <w:jc w:val="right"/>
              <w:rPr>
                <w:rFonts w:ascii="Arial Narrow" w:hAnsi="Arial Narrow" w:cs="Times New Roman"/>
                <w:b/>
                <w:bCs/>
                <w:color w:val="FF0000"/>
              </w:rPr>
            </w:pPr>
            <w:r w:rsidRPr="00F53F8E">
              <w:rPr>
                <w:rFonts w:ascii="Arial Narrow" w:hAnsi="Arial Narrow" w:cs="Times New Roman"/>
                <w:b/>
                <w:bCs/>
                <w:color w:val="FF0000"/>
              </w:rPr>
              <w:t>0,00</w:t>
            </w:r>
          </w:p>
        </w:tc>
        <w:tc>
          <w:tcPr>
            <w:tcW w:w="1340" w:type="dxa"/>
            <w:tcBorders>
              <w:top w:val="nil"/>
              <w:left w:val="nil"/>
              <w:bottom w:val="single" w:sz="4" w:space="0" w:color="auto"/>
              <w:right w:val="single" w:sz="8" w:space="0" w:color="auto"/>
              <w:tl2br w:val="nil"/>
              <w:tr2bl w:val="nil"/>
            </w:tcBorders>
            <w:noWrap/>
            <w:textDirection w:val="lrTb"/>
            <w:vAlign w:val="center"/>
          </w:tcPr>
          <w:p w:rsidR="00F67BF3" w:rsidRPr="00405D61" w:rsidP="00F67BF3">
            <w:pPr>
              <w:spacing w:line="240" w:lineRule="auto"/>
              <w:jc w:val="right"/>
              <w:rPr>
                <w:rFonts w:ascii="Arial Narrow" w:hAnsi="Arial Narrow" w:cs="Times New Roman"/>
                <w:b/>
                <w:bCs/>
                <w:color w:val="FF0000"/>
              </w:rPr>
            </w:pPr>
            <w:r w:rsidRPr="00405D61">
              <w:rPr>
                <w:rFonts w:ascii="Arial Narrow" w:hAnsi="Arial Narrow" w:cs="Times New Roman"/>
                <w:b/>
                <w:bCs/>
                <w:color w:val="FF0000"/>
              </w:rPr>
              <w:t> 0,00</w:t>
            </w:r>
          </w:p>
        </w:tc>
        <w:tc>
          <w:tcPr>
            <w:tcW w:w="1224" w:type="dxa"/>
            <w:tcBorders>
              <w:top w:val="nil"/>
              <w:left w:val="nil"/>
              <w:bottom w:val="single" w:sz="4" w:space="0" w:color="auto"/>
              <w:right w:val="single" w:sz="8" w:space="0" w:color="auto"/>
              <w:tl2br w:val="nil"/>
              <w:tr2bl w:val="nil"/>
            </w:tcBorders>
            <w:noWrap/>
            <w:textDirection w:val="lrTb"/>
            <w:vAlign w:val="center"/>
          </w:tcPr>
          <w:p w:rsidR="00F67BF3" w:rsidRPr="00F53F8E" w:rsidP="00F67BF3">
            <w:pPr>
              <w:spacing w:line="240" w:lineRule="auto"/>
              <w:jc w:val="right"/>
              <w:rPr>
                <w:rFonts w:ascii="Arial Narrow" w:hAnsi="Arial Narrow" w:cs="Times New Roman"/>
                <w:b/>
                <w:bCs/>
                <w:color w:val="FF0000"/>
              </w:rPr>
            </w:pPr>
            <w:r w:rsidRPr="00F53F8E">
              <w:rPr>
                <w:rFonts w:ascii="Arial Narrow" w:hAnsi="Arial Narrow" w:cs="Times New Roman"/>
                <w:b/>
                <w:bCs/>
                <w:color w:val="FF0000"/>
              </w:rPr>
              <w:t>0,00</w:t>
            </w:r>
          </w:p>
        </w:tc>
        <w:tc>
          <w:tcPr>
            <w:tcW w:w="268" w:type="dxa"/>
            <w:tcBorders>
              <w:top w:val="nil"/>
              <w:left w:val="nil"/>
              <w:bottom w:val="nil"/>
              <w:right w:val="nil"/>
              <w:tl2br w:val="nil"/>
              <w:tr2bl w:val="nil"/>
            </w:tcBorders>
            <w:noWrap/>
            <w:textDirection w:val="lrTb"/>
            <w:vAlign w:val="bottom"/>
          </w:tcPr>
          <w:p w:rsidR="00F67BF3" w:rsidRPr="00F53F8E" w:rsidP="00F67BF3">
            <w:pPr>
              <w:spacing w:line="240" w:lineRule="auto"/>
              <w:rPr>
                <w:rFonts w:ascii="Arial Narrow" w:hAnsi="Arial Narrow" w:cs="Times New Roman"/>
                <w:color w:val="FF0000"/>
              </w:rPr>
            </w:pPr>
          </w:p>
        </w:tc>
      </w:tr>
      <w:tr>
        <w:tblPrEx>
          <w:tblW w:w="11568" w:type="dxa"/>
          <w:tblInd w:w="-830" w:type="dxa"/>
          <w:tblCellMar>
            <w:left w:w="70" w:type="dxa"/>
            <w:right w:w="70" w:type="dxa"/>
          </w:tblCellMar>
        </w:tblPrEx>
        <w:trPr>
          <w:gridAfter w:val="2"/>
          <w:wAfter w:w="320" w:type="dxa"/>
          <w:trHeight w:val="227"/>
        </w:trPr>
        <w:tc>
          <w:tcPr>
            <w:tcW w:w="660" w:type="dxa"/>
            <w:tcBorders>
              <w:top w:val="single" w:sz="4" w:space="0" w:color="auto"/>
              <w:left w:val="single" w:sz="4" w:space="0" w:color="auto"/>
              <w:bottom w:val="single" w:sz="4" w:space="0" w:color="auto"/>
              <w:right w:val="nil"/>
              <w:tl2br w:val="nil"/>
              <w:tr2bl w:val="nil"/>
            </w:tcBorders>
            <w:noWrap/>
            <w:textDirection w:val="lrTb"/>
            <w:vAlign w:val="center"/>
          </w:tcPr>
          <w:p w:rsidR="00F67BF3" w:rsidRPr="00064378" w:rsidP="00F67BF3">
            <w:pPr>
              <w:spacing w:line="240" w:lineRule="auto"/>
              <w:jc w:val="right"/>
              <w:rPr>
                <w:rFonts w:ascii="Arial Narrow" w:hAnsi="Arial Narrow" w:cs="Times New Roman"/>
              </w:rPr>
            </w:pPr>
            <w:r w:rsidRPr="00064378">
              <w:rPr>
                <w:rFonts w:ascii="Arial Narrow" w:hAnsi="Arial Narrow" w:cs="Times New Roman"/>
              </w:rPr>
              <w:t>1567</w:t>
            </w:r>
          </w:p>
        </w:tc>
        <w:tc>
          <w:tcPr>
            <w:tcW w:w="3300" w:type="dxa"/>
            <w:tcBorders>
              <w:top w:val="single" w:sz="4" w:space="0" w:color="auto"/>
              <w:left w:val="single" w:sz="8" w:space="0" w:color="auto"/>
              <w:bottom w:val="single" w:sz="4" w:space="0" w:color="auto"/>
              <w:right w:val="nil"/>
              <w:tl2br w:val="nil"/>
              <w:tr2bl w:val="nil"/>
            </w:tcBorders>
            <w:noWrap/>
            <w:textDirection w:val="lrTb"/>
            <w:vAlign w:val="center"/>
          </w:tcPr>
          <w:p w:rsidR="00F67BF3" w:rsidRPr="00064378" w:rsidP="00F67BF3">
            <w:pPr>
              <w:spacing w:line="240" w:lineRule="auto"/>
              <w:rPr>
                <w:rFonts w:ascii="Arial Narrow" w:hAnsi="Arial Narrow" w:cs="Times New Roman"/>
              </w:rPr>
            </w:pPr>
            <w:r w:rsidRPr="00064378">
              <w:rPr>
                <w:rFonts w:ascii="Arial Narrow" w:hAnsi="Arial Narrow" w:cs="Times New Roman"/>
              </w:rPr>
              <w:t>D1 Sverepec - Považská Bystrica, II. úsek</w:t>
            </w:r>
          </w:p>
        </w:tc>
        <w:tc>
          <w:tcPr>
            <w:tcW w:w="1476" w:type="dxa"/>
            <w:tcBorders>
              <w:top w:val="single" w:sz="4" w:space="0" w:color="auto"/>
              <w:left w:val="single" w:sz="8" w:space="0" w:color="auto"/>
              <w:bottom w:val="single" w:sz="4" w:space="0" w:color="auto"/>
              <w:right w:val="nil"/>
              <w:tl2br w:val="nil"/>
              <w:tr2bl w:val="nil"/>
            </w:tcBorders>
            <w:noWrap/>
            <w:textDirection w:val="lrTb"/>
            <w:vAlign w:val="center"/>
          </w:tcPr>
          <w:p w:rsidR="00F67BF3" w:rsidRPr="00F53F8E" w:rsidP="00F67BF3">
            <w:pPr>
              <w:spacing w:line="240" w:lineRule="auto"/>
              <w:jc w:val="right"/>
              <w:rPr>
                <w:rFonts w:ascii="Arial Narrow" w:hAnsi="Arial Narrow" w:cs="Times New Roman"/>
                <w:b/>
                <w:bCs/>
              </w:rPr>
            </w:pPr>
            <w:r>
              <w:rPr>
                <w:rFonts w:ascii="Arial Narrow" w:hAnsi="Arial Narrow" w:cs="Times New Roman"/>
                <w:b/>
                <w:bCs/>
              </w:rPr>
              <w:t>0,00</w:t>
            </w:r>
          </w:p>
        </w:tc>
        <w:tc>
          <w:tcPr>
            <w:tcW w:w="1440" w:type="dxa"/>
            <w:tcBorders>
              <w:top w:val="single" w:sz="4" w:space="0" w:color="auto"/>
              <w:left w:val="single" w:sz="8" w:space="0" w:color="auto"/>
              <w:bottom w:val="single" w:sz="4" w:space="0" w:color="auto"/>
              <w:right w:val="nil"/>
              <w:tl2br w:val="nil"/>
              <w:tr2bl w:val="nil"/>
            </w:tcBorders>
            <w:noWrap/>
            <w:textDirection w:val="lrTb"/>
            <w:vAlign w:val="center"/>
          </w:tcPr>
          <w:p w:rsidR="00F67BF3" w:rsidRPr="00F53F8E" w:rsidP="00F67BF3">
            <w:pPr>
              <w:spacing w:line="240" w:lineRule="auto"/>
              <w:jc w:val="right"/>
              <w:rPr>
                <w:rFonts w:ascii="Arial Narrow" w:hAnsi="Arial Narrow" w:cs="Times New Roman"/>
                <w:b/>
                <w:bCs/>
              </w:rPr>
            </w:pPr>
            <w:r>
              <w:rPr>
                <w:rFonts w:ascii="Arial Narrow" w:hAnsi="Arial Narrow" w:cs="Times New Roman"/>
                <w:b/>
                <w:bCs/>
              </w:rPr>
              <w:t xml:space="preserve">10 732 </w:t>
            </w:r>
            <w:r w:rsidRPr="00F53F8E">
              <w:rPr>
                <w:rFonts w:ascii="Arial Narrow" w:hAnsi="Arial Narrow" w:cs="Times New Roman"/>
                <w:b/>
                <w:bCs/>
              </w:rPr>
              <w:t>000,00</w:t>
            </w:r>
          </w:p>
        </w:tc>
        <w:tc>
          <w:tcPr>
            <w:tcW w:w="1540" w:type="dxa"/>
            <w:tcBorders>
              <w:top w:val="single" w:sz="4" w:space="0" w:color="auto"/>
              <w:left w:val="single" w:sz="8" w:space="0" w:color="auto"/>
              <w:bottom w:val="single" w:sz="4" w:space="0" w:color="auto"/>
              <w:right w:val="single" w:sz="8" w:space="0" w:color="auto"/>
              <w:tl2br w:val="nil"/>
              <w:tr2bl w:val="nil"/>
            </w:tcBorders>
            <w:noWrap/>
            <w:textDirection w:val="lrTb"/>
            <w:vAlign w:val="center"/>
          </w:tcPr>
          <w:p w:rsidR="00F67BF3" w:rsidRPr="00F53F8E" w:rsidP="00F67BF3">
            <w:pPr>
              <w:spacing w:line="240" w:lineRule="auto"/>
              <w:jc w:val="right"/>
              <w:rPr>
                <w:rFonts w:ascii="Arial Narrow" w:hAnsi="Arial Narrow" w:cs="Times New Roman"/>
                <w:b/>
                <w:bCs/>
              </w:rPr>
            </w:pPr>
            <w:r>
              <w:rPr>
                <w:rFonts w:ascii="Arial Narrow" w:hAnsi="Arial Narrow" w:cs="Times New Roman"/>
                <w:b/>
                <w:bCs/>
              </w:rPr>
              <w:t xml:space="preserve">10 732 </w:t>
            </w:r>
            <w:r w:rsidRPr="00F53F8E">
              <w:rPr>
                <w:rFonts w:ascii="Arial Narrow" w:hAnsi="Arial Narrow" w:cs="Times New Roman"/>
                <w:b/>
                <w:bCs/>
              </w:rPr>
              <w:t>000,00</w:t>
            </w:r>
          </w:p>
        </w:tc>
        <w:tc>
          <w:tcPr>
            <w:tcW w:w="1340" w:type="dxa"/>
            <w:tcBorders>
              <w:top w:val="single" w:sz="4" w:space="0" w:color="auto"/>
              <w:left w:val="nil"/>
              <w:bottom w:val="single" w:sz="4" w:space="0" w:color="auto"/>
              <w:right w:val="single" w:sz="8" w:space="0" w:color="auto"/>
              <w:tl2br w:val="nil"/>
              <w:tr2bl w:val="nil"/>
            </w:tcBorders>
            <w:noWrap/>
            <w:textDirection w:val="lrTb"/>
            <w:vAlign w:val="center"/>
          </w:tcPr>
          <w:p w:rsidR="00F67BF3" w:rsidRPr="00F53F8E" w:rsidP="00F67BF3">
            <w:pPr>
              <w:spacing w:line="240" w:lineRule="auto"/>
              <w:jc w:val="right"/>
              <w:rPr>
                <w:rFonts w:ascii="Arial Narrow" w:hAnsi="Arial Narrow" w:cs="Times New Roman"/>
                <w:b/>
                <w:bCs/>
              </w:rPr>
            </w:pPr>
            <w:r w:rsidRPr="00F53F8E">
              <w:rPr>
                <w:rFonts w:ascii="Arial Narrow" w:hAnsi="Arial Narrow" w:cs="Times New Roman"/>
                <w:b/>
                <w:bCs/>
              </w:rPr>
              <w:t> </w:t>
            </w:r>
            <w:r>
              <w:rPr>
                <w:rFonts w:ascii="Arial Narrow" w:hAnsi="Arial Narrow" w:cs="Times New Roman"/>
                <w:b/>
                <w:bCs/>
              </w:rPr>
              <w:t>0,00</w:t>
            </w:r>
          </w:p>
        </w:tc>
        <w:tc>
          <w:tcPr>
            <w:tcW w:w="1224" w:type="dxa"/>
            <w:tcBorders>
              <w:top w:val="single" w:sz="4" w:space="0" w:color="auto"/>
              <w:left w:val="nil"/>
              <w:bottom w:val="single" w:sz="4" w:space="0" w:color="auto"/>
              <w:right w:val="single" w:sz="4" w:space="0" w:color="auto"/>
              <w:tl2br w:val="nil"/>
              <w:tr2bl w:val="nil"/>
            </w:tcBorders>
            <w:noWrap/>
            <w:textDirection w:val="lrTb"/>
            <w:vAlign w:val="center"/>
          </w:tcPr>
          <w:p w:rsidR="00F67BF3" w:rsidRPr="00F53F8E" w:rsidP="00F67BF3">
            <w:pPr>
              <w:spacing w:line="240" w:lineRule="auto"/>
              <w:jc w:val="right"/>
              <w:rPr>
                <w:rFonts w:ascii="Arial Narrow" w:hAnsi="Arial Narrow" w:cs="Times New Roman"/>
                <w:b/>
                <w:bCs/>
              </w:rPr>
            </w:pPr>
            <w:r w:rsidRPr="00F53F8E">
              <w:rPr>
                <w:rFonts w:ascii="Arial Narrow" w:hAnsi="Arial Narrow" w:cs="Times New Roman"/>
                <w:b/>
                <w:bCs/>
              </w:rPr>
              <w:t>0,00</w:t>
            </w:r>
          </w:p>
        </w:tc>
        <w:tc>
          <w:tcPr>
            <w:tcW w:w="268" w:type="dxa"/>
            <w:tcBorders>
              <w:top w:val="nil"/>
              <w:left w:val="single" w:sz="4" w:space="0" w:color="auto"/>
              <w:bottom w:val="nil"/>
              <w:right w:val="nil"/>
              <w:tl2br w:val="nil"/>
              <w:tr2bl w:val="nil"/>
            </w:tcBorders>
            <w:noWrap/>
            <w:textDirection w:val="lrTb"/>
            <w:vAlign w:val="bottom"/>
          </w:tcPr>
          <w:p w:rsidR="00F67BF3" w:rsidRPr="00F53F8E" w:rsidP="00F67BF3">
            <w:pPr>
              <w:spacing w:line="240" w:lineRule="auto"/>
              <w:rPr>
                <w:rFonts w:ascii="Arial Narrow" w:hAnsi="Arial Narrow" w:cs="Times New Roman"/>
              </w:rPr>
            </w:pPr>
          </w:p>
        </w:tc>
      </w:tr>
      <w:tr>
        <w:tblPrEx>
          <w:tblW w:w="11568" w:type="dxa"/>
          <w:tblInd w:w="-830" w:type="dxa"/>
          <w:tblCellMar>
            <w:left w:w="70" w:type="dxa"/>
            <w:right w:w="70" w:type="dxa"/>
          </w:tblCellMar>
        </w:tblPrEx>
        <w:trPr>
          <w:gridAfter w:val="2"/>
          <w:wAfter w:w="320" w:type="dxa"/>
          <w:trHeight w:val="227"/>
        </w:trPr>
        <w:tc>
          <w:tcPr>
            <w:tcW w:w="660" w:type="dxa"/>
            <w:tcBorders>
              <w:top w:val="nil"/>
              <w:left w:val="single" w:sz="8" w:space="0" w:color="auto"/>
              <w:bottom w:val="single" w:sz="4" w:space="0" w:color="auto"/>
              <w:right w:val="nil"/>
              <w:tl2br w:val="nil"/>
              <w:tr2bl w:val="nil"/>
            </w:tcBorders>
            <w:noWrap/>
            <w:textDirection w:val="lrTb"/>
            <w:vAlign w:val="center"/>
          </w:tcPr>
          <w:p w:rsidR="00F67BF3" w:rsidRPr="00064378" w:rsidP="00F67BF3">
            <w:pPr>
              <w:spacing w:line="240" w:lineRule="auto"/>
              <w:jc w:val="right"/>
              <w:rPr>
                <w:rFonts w:ascii="Arial Narrow" w:hAnsi="Arial Narrow" w:cs="Times New Roman"/>
              </w:rPr>
            </w:pPr>
            <w:r w:rsidRPr="00064378">
              <w:rPr>
                <w:rFonts w:ascii="Arial Narrow" w:hAnsi="Arial Narrow" w:cs="Times New Roman"/>
              </w:rPr>
              <w:t> </w:t>
            </w:r>
          </w:p>
        </w:tc>
        <w:tc>
          <w:tcPr>
            <w:tcW w:w="3300" w:type="dxa"/>
            <w:tcBorders>
              <w:top w:val="nil"/>
              <w:left w:val="single" w:sz="8" w:space="0" w:color="auto"/>
              <w:bottom w:val="single" w:sz="4" w:space="0" w:color="auto"/>
              <w:right w:val="nil"/>
              <w:tl2br w:val="nil"/>
              <w:tr2bl w:val="nil"/>
            </w:tcBorders>
            <w:noWrap/>
            <w:textDirection w:val="lrTb"/>
            <w:vAlign w:val="center"/>
          </w:tcPr>
          <w:p w:rsidR="00F67BF3" w:rsidRPr="00064378" w:rsidP="00F67BF3">
            <w:pPr>
              <w:spacing w:line="240" w:lineRule="auto"/>
              <w:rPr>
                <w:rFonts w:ascii="Arial Narrow" w:hAnsi="Arial Narrow" w:cs="Times New Roman"/>
                <w:color w:val="FF0000"/>
              </w:rPr>
            </w:pPr>
            <w:r w:rsidRPr="00064378">
              <w:rPr>
                <w:rFonts w:ascii="Arial Narrow" w:hAnsi="Arial Narrow" w:cs="Times New Roman"/>
                <w:color w:val="FF0000"/>
              </w:rPr>
              <w:t>v tom: úver EIB IX.</w:t>
            </w:r>
          </w:p>
        </w:tc>
        <w:tc>
          <w:tcPr>
            <w:tcW w:w="1476" w:type="dxa"/>
            <w:tcBorders>
              <w:top w:val="nil"/>
              <w:left w:val="single" w:sz="8" w:space="0" w:color="auto"/>
              <w:bottom w:val="single" w:sz="4" w:space="0" w:color="auto"/>
              <w:right w:val="nil"/>
              <w:tl2br w:val="nil"/>
              <w:tr2bl w:val="nil"/>
            </w:tcBorders>
            <w:noWrap/>
            <w:textDirection w:val="lrTb"/>
            <w:vAlign w:val="center"/>
          </w:tcPr>
          <w:p w:rsidR="00F67BF3" w:rsidRPr="00F53F8E" w:rsidP="00F67BF3">
            <w:pPr>
              <w:spacing w:line="240" w:lineRule="auto"/>
              <w:jc w:val="right"/>
              <w:rPr>
                <w:rFonts w:ascii="Arial Narrow" w:hAnsi="Arial Narrow" w:cs="Times New Roman"/>
                <w:b/>
                <w:bCs/>
                <w:color w:val="FF0000"/>
              </w:rPr>
            </w:pPr>
            <w:r>
              <w:rPr>
                <w:rFonts w:ascii="Arial Narrow" w:hAnsi="Arial Narrow" w:cs="Times New Roman"/>
                <w:b/>
                <w:bCs/>
                <w:color w:val="FF0000"/>
              </w:rPr>
              <w:t>0,00</w:t>
            </w:r>
          </w:p>
        </w:tc>
        <w:tc>
          <w:tcPr>
            <w:tcW w:w="1440" w:type="dxa"/>
            <w:tcBorders>
              <w:top w:val="nil"/>
              <w:left w:val="single" w:sz="8" w:space="0" w:color="auto"/>
              <w:bottom w:val="single" w:sz="4" w:space="0" w:color="auto"/>
              <w:right w:val="nil"/>
              <w:tl2br w:val="nil"/>
              <w:tr2bl w:val="nil"/>
            </w:tcBorders>
            <w:noWrap/>
            <w:textDirection w:val="lrTb"/>
            <w:vAlign w:val="center"/>
          </w:tcPr>
          <w:p w:rsidR="00F67BF3" w:rsidRPr="00F53F8E" w:rsidP="00F67BF3">
            <w:pPr>
              <w:spacing w:line="240" w:lineRule="auto"/>
              <w:jc w:val="right"/>
              <w:rPr>
                <w:rFonts w:ascii="Arial Narrow" w:hAnsi="Arial Narrow" w:cs="Times New Roman"/>
                <w:b/>
                <w:bCs/>
                <w:color w:val="FF0000"/>
              </w:rPr>
            </w:pPr>
            <w:r w:rsidRPr="00F53F8E">
              <w:rPr>
                <w:rFonts w:ascii="Arial Narrow" w:hAnsi="Arial Narrow" w:cs="Times New Roman"/>
                <w:b/>
                <w:bCs/>
                <w:color w:val="FF0000"/>
              </w:rPr>
              <w:t>0,00</w:t>
            </w:r>
          </w:p>
        </w:tc>
        <w:tc>
          <w:tcPr>
            <w:tcW w:w="1540" w:type="dxa"/>
            <w:tcBorders>
              <w:top w:val="nil"/>
              <w:left w:val="single" w:sz="8" w:space="0" w:color="auto"/>
              <w:bottom w:val="single" w:sz="4" w:space="0" w:color="auto"/>
              <w:right w:val="single" w:sz="8" w:space="0" w:color="auto"/>
              <w:tl2br w:val="nil"/>
              <w:tr2bl w:val="nil"/>
            </w:tcBorders>
            <w:noWrap/>
            <w:textDirection w:val="lrTb"/>
            <w:vAlign w:val="center"/>
          </w:tcPr>
          <w:p w:rsidR="00F67BF3" w:rsidRPr="00F53F8E" w:rsidP="00F67BF3">
            <w:pPr>
              <w:spacing w:line="240" w:lineRule="auto"/>
              <w:jc w:val="right"/>
              <w:rPr>
                <w:rFonts w:ascii="Arial Narrow" w:hAnsi="Arial Narrow" w:cs="Times New Roman"/>
                <w:b/>
                <w:bCs/>
                <w:color w:val="FF0000"/>
              </w:rPr>
            </w:pPr>
            <w:r w:rsidRPr="00F53F8E">
              <w:rPr>
                <w:rFonts w:ascii="Arial Narrow" w:hAnsi="Arial Narrow" w:cs="Times New Roman"/>
                <w:b/>
                <w:bCs/>
                <w:color w:val="FF0000"/>
              </w:rPr>
              <w:t>0,00</w:t>
            </w:r>
          </w:p>
        </w:tc>
        <w:tc>
          <w:tcPr>
            <w:tcW w:w="1340" w:type="dxa"/>
            <w:tcBorders>
              <w:top w:val="nil"/>
              <w:left w:val="nil"/>
              <w:bottom w:val="single" w:sz="4" w:space="0" w:color="auto"/>
              <w:right w:val="single" w:sz="8" w:space="0" w:color="auto"/>
              <w:tl2br w:val="nil"/>
              <w:tr2bl w:val="nil"/>
            </w:tcBorders>
            <w:noWrap/>
            <w:textDirection w:val="lrTb"/>
            <w:vAlign w:val="center"/>
          </w:tcPr>
          <w:p w:rsidR="00F67BF3" w:rsidRPr="00405D61" w:rsidP="00F67BF3">
            <w:pPr>
              <w:spacing w:line="240" w:lineRule="auto"/>
              <w:jc w:val="right"/>
              <w:rPr>
                <w:rFonts w:ascii="Arial Narrow" w:hAnsi="Arial Narrow" w:cs="Times New Roman"/>
                <w:b/>
                <w:bCs/>
                <w:color w:val="FF0000"/>
              </w:rPr>
            </w:pPr>
            <w:r w:rsidRPr="00405D61">
              <w:rPr>
                <w:rFonts w:ascii="Arial Narrow" w:hAnsi="Arial Narrow" w:cs="Times New Roman"/>
                <w:b/>
                <w:bCs/>
                <w:color w:val="FF0000"/>
              </w:rPr>
              <w:t> 0,00</w:t>
            </w:r>
          </w:p>
        </w:tc>
        <w:tc>
          <w:tcPr>
            <w:tcW w:w="1224" w:type="dxa"/>
            <w:tcBorders>
              <w:top w:val="nil"/>
              <w:left w:val="nil"/>
              <w:bottom w:val="single" w:sz="4" w:space="0" w:color="auto"/>
              <w:right w:val="single" w:sz="8" w:space="0" w:color="auto"/>
              <w:tl2br w:val="nil"/>
              <w:tr2bl w:val="nil"/>
            </w:tcBorders>
            <w:noWrap/>
            <w:textDirection w:val="lrTb"/>
            <w:vAlign w:val="center"/>
          </w:tcPr>
          <w:p w:rsidR="00F67BF3" w:rsidRPr="00F53F8E" w:rsidP="00F67BF3">
            <w:pPr>
              <w:spacing w:line="240" w:lineRule="auto"/>
              <w:jc w:val="right"/>
              <w:rPr>
                <w:rFonts w:ascii="Arial Narrow" w:hAnsi="Arial Narrow" w:cs="Times New Roman"/>
                <w:b/>
                <w:bCs/>
                <w:color w:val="FF0000"/>
              </w:rPr>
            </w:pPr>
            <w:r w:rsidRPr="00F53F8E">
              <w:rPr>
                <w:rFonts w:ascii="Arial Narrow" w:hAnsi="Arial Narrow" w:cs="Times New Roman"/>
                <w:b/>
                <w:bCs/>
                <w:color w:val="FF0000"/>
              </w:rPr>
              <w:t>0,00</w:t>
            </w:r>
          </w:p>
        </w:tc>
        <w:tc>
          <w:tcPr>
            <w:tcW w:w="268" w:type="dxa"/>
            <w:tcBorders>
              <w:top w:val="nil"/>
              <w:left w:val="nil"/>
              <w:bottom w:val="nil"/>
              <w:right w:val="nil"/>
              <w:tl2br w:val="nil"/>
              <w:tr2bl w:val="nil"/>
            </w:tcBorders>
            <w:noWrap/>
            <w:textDirection w:val="lrTb"/>
            <w:vAlign w:val="bottom"/>
          </w:tcPr>
          <w:p w:rsidR="00F67BF3" w:rsidRPr="00F53F8E" w:rsidP="00F67BF3">
            <w:pPr>
              <w:spacing w:line="240" w:lineRule="auto"/>
              <w:rPr>
                <w:rFonts w:ascii="Arial Narrow" w:hAnsi="Arial Narrow" w:cs="Times New Roman"/>
              </w:rPr>
            </w:pPr>
          </w:p>
        </w:tc>
      </w:tr>
      <w:tr>
        <w:tblPrEx>
          <w:tblW w:w="11568" w:type="dxa"/>
          <w:tblInd w:w="-830" w:type="dxa"/>
          <w:tblCellMar>
            <w:left w:w="70" w:type="dxa"/>
            <w:right w:w="70" w:type="dxa"/>
          </w:tblCellMar>
        </w:tblPrEx>
        <w:trPr>
          <w:gridAfter w:val="2"/>
          <w:wAfter w:w="320" w:type="dxa"/>
          <w:trHeight w:val="227"/>
        </w:trPr>
        <w:tc>
          <w:tcPr>
            <w:tcW w:w="660" w:type="dxa"/>
            <w:tcBorders>
              <w:top w:val="nil"/>
              <w:left w:val="single" w:sz="8" w:space="0" w:color="auto"/>
              <w:bottom w:val="single" w:sz="4" w:space="0" w:color="auto"/>
              <w:right w:val="nil"/>
              <w:tl2br w:val="nil"/>
              <w:tr2bl w:val="nil"/>
            </w:tcBorders>
            <w:noWrap/>
            <w:textDirection w:val="lrTb"/>
            <w:vAlign w:val="center"/>
          </w:tcPr>
          <w:p w:rsidR="00F67BF3" w:rsidRPr="00064378" w:rsidP="00F67BF3">
            <w:pPr>
              <w:spacing w:line="240" w:lineRule="auto"/>
              <w:jc w:val="right"/>
              <w:rPr>
                <w:rFonts w:ascii="Arial Narrow" w:hAnsi="Arial Narrow" w:cs="Times New Roman"/>
              </w:rPr>
            </w:pPr>
            <w:r>
              <w:rPr>
                <w:rFonts w:ascii="Arial Narrow" w:hAnsi="Arial Narrow" w:cs="Times New Roman"/>
              </w:rPr>
              <w:t>13307</w:t>
            </w:r>
          </w:p>
        </w:tc>
        <w:tc>
          <w:tcPr>
            <w:tcW w:w="3300" w:type="dxa"/>
            <w:tcBorders>
              <w:top w:val="nil"/>
              <w:left w:val="single" w:sz="8" w:space="0" w:color="auto"/>
              <w:bottom w:val="single" w:sz="4" w:space="0" w:color="auto"/>
              <w:right w:val="nil"/>
              <w:tl2br w:val="nil"/>
              <w:tr2bl w:val="nil"/>
            </w:tcBorders>
            <w:noWrap/>
            <w:textDirection w:val="lrTb"/>
            <w:vAlign w:val="center"/>
          </w:tcPr>
          <w:p w:rsidR="00F67BF3" w:rsidRPr="00064378" w:rsidP="00F67BF3">
            <w:pPr>
              <w:spacing w:line="240" w:lineRule="auto"/>
              <w:rPr>
                <w:rFonts w:ascii="Arial Narrow" w:hAnsi="Arial Narrow" w:cs="Times New Roman"/>
              </w:rPr>
            </w:pPr>
            <w:r>
              <w:rPr>
                <w:rFonts w:ascii="Arial Narrow" w:hAnsi="Arial Narrow" w:cs="Times New Roman"/>
              </w:rPr>
              <w:t>D1 Privádzač Poprad - Kežmarok I. etapa</w:t>
            </w:r>
          </w:p>
        </w:tc>
        <w:tc>
          <w:tcPr>
            <w:tcW w:w="1476" w:type="dxa"/>
            <w:tcBorders>
              <w:top w:val="nil"/>
              <w:left w:val="single" w:sz="8" w:space="0" w:color="auto"/>
              <w:bottom w:val="single" w:sz="4" w:space="0" w:color="auto"/>
              <w:right w:val="nil"/>
              <w:tl2br w:val="nil"/>
              <w:tr2bl w:val="nil"/>
            </w:tcBorders>
            <w:noWrap/>
            <w:textDirection w:val="lrTb"/>
            <w:vAlign w:val="center"/>
          </w:tcPr>
          <w:p w:rsidR="00F67BF3" w:rsidRPr="00F53F8E" w:rsidP="00F67BF3">
            <w:pPr>
              <w:spacing w:line="240" w:lineRule="auto"/>
              <w:jc w:val="right"/>
              <w:rPr>
                <w:rFonts w:ascii="Arial Narrow" w:hAnsi="Arial Narrow" w:cs="Times New Roman"/>
                <w:b/>
                <w:bCs/>
              </w:rPr>
            </w:pPr>
            <w:r>
              <w:rPr>
                <w:rFonts w:ascii="Arial Narrow" w:hAnsi="Arial Narrow" w:cs="Times New Roman"/>
                <w:b/>
                <w:bCs/>
              </w:rPr>
              <w:t>250 000 000,00</w:t>
            </w:r>
          </w:p>
        </w:tc>
        <w:tc>
          <w:tcPr>
            <w:tcW w:w="1440" w:type="dxa"/>
            <w:tcBorders>
              <w:top w:val="nil"/>
              <w:left w:val="single" w:sz="8" w:space="0" w:color="auto"/>
              <w:bottom w:val="single" w:sz="4" w:space="0" w:color="auto"/>
              <w:right w:val="nil"/>
              <w:tl2br w:val="nil"/>
              <w:tr2bl w:val="nil"/>
            </w:tcBorders>
            <w:noWrap/>
            <w:textDirection w:val="lrTb"/>
            <w:vAlign w:val="center"/>
          </w:tcPr>
          <w:p w:rsidR="00F67BF3" w:rsidRPr="00F53F8E" w:rsidP="00F67BF3">
            <w:pPr>
              <w:spacing w:line="240" w:lineRule="auto"/>
              <w:jc w:val="right"/>
              <w:rPr>
                <w:rFonts w:ascii="Arial Narrow" w:hAnsi="Arial Narrow" w:cs="Times New Roman"/>
                <w:b/>
                <w:bCs/>
              </w:rPr>
            </w:pPr>
            <w:r>
              <w:rPr>
                <w:rFonts w:ascii="Arial Narrow" w:hAnsi="Arial Narrow" w:cs="Times New Roman"/>
                <w:b/>
                <w:bCs/>
              </w:rPr>
              <w:t>0,00</w:t>
            </w:r>
          </w:p>
        </w:tc>
        <w:tc>
          <w:tcPr>
            <w:tcW w:w="1540" w:type="dxa"/>
            <w:tcBorders>
              <w:top w:val="nil"/>
              <w:left w:val="single" w:sz="8" w:space="0" w:color="auto"/>
              <w:bottom w:val="single" w:sz="4" w:space="0" w:color="auto"/>
              <w:right w:val="single" w:sz="8" w:space="0" w:color="auto"/>
              <w:tl2br w:val="nil"/>
              <w:tr2bl w:val="nil"/>
            </w:tcBorders>
            <w:noWrap/>
            <w:textDirection w:val="lrTb"/>
            <w:vAlign w:val="center"/>
          </w:tcPr>
          <w:p w:rsidR="00F67BF3" w:rsidRPr="00F53F8E" w:rsidP="00F67BF3">
            <w:pPr>
              <w:spacing w:line="240" w:lineRule="auto"/>
              <w:jc w:val="right"/>
              <w:rPr>
                <w:rFonts w:ascii="Arial Narrow" w:hAnsi="Arial Narrow" w:cs="Times New Roman"/>
                <w:b/>
                <w:bCs/>
              </w:rPr>
            </w:pPr>
            <w:r>
              <w:rPr>
                <w:rFonts w:ascii="Arial Narrow" w:hAnsi="Arial Narrow" w:cs="Times New Roman"/>
                <w:b/>
                <w:bCs/>
              </w:rPr>
              <w:t>0,00</w:t>
            </w:r>
          </w:p>
        </w:tc>
        <w:tc>
          <w:tcPr>
            <w:tcW w:w="1340" w:type="dxa"/>
            <w:tcBorders>
              <w:top w:val="nil"/>
              <w:left w:val="nil"/>
              <w:bottom w:val="single" w:sz="4" w:space="0" w:color="auto"/>
              <w:right w:val="single" w:sz="8" w:space="0" w:color="auto"/>
              <w:tl2br w:val="nil"/>
              <w:tr2bl w:val="nil"/>
            </w:tcBorders>
            <w:noWrap/>
            <w:textDirection w:val="lrTb"/>
            <w:vAlign w:val="center"/>
          </w:tcPr>
          <w:p w:rsidR="00F67BF3" w:rsidRPr="00F53F8E" w:rsidP="00F67BF3">
            <w:pPr>
              <w:spacing w:line="240" w:lineRule="auto"/>
              <w:jc w:val="right"/>
              <w:rPr>
                <w:rFonts w:ascii="Arial Narrow" w:hAnsi="Arial Narrow" w:cs="Times New Roman"/>
                <w:b/>
                <w:bCs/>
              </w:rPr>
            </w:pPr>
            <w:r w:rsidRPr="00F53F8E">
              <w:rPr>
                <w:rFonts w:ascii="Arial Narrow" w:hAnsi="Arial Narrow" w:cs="Times New Roman"/>
                <w:b/>
                <w:bCs/>
              </w:rPr>
              <w:t> </w:t>
            </w:r>
            <w:r>
              <w:rPr>
                <w:rFonts w:ascii="Arial Narrow" w:hAnsi="Arial Narrow" w:cs="Times New Roman"/>
                <w:b/>
                <w:bCs/>
              </w:rPr>
              <w:t>0,00</w:t>
            </w:r>
          </w:p>
        </w:tc>
        <w:tc>
          <w:tcPr>
            <w:tcW w:w="1224" w:type="dxa"/>
            <w:tcBorders>
              <w:top w:val="nil"/>
              <w:left w:val="nil"/>
              <w:bottom w:val="single" w:sz="4" w:space="0" w:color="auto"/>
              <w:right w:val="single" w:sz="8" w:space="0" w:color="auto"/>
              <w:tl2br w:val="nil"/>
              <w:tr2bl w:val="nil"/>
            </w:tcBorders>
            <w:noWrap/>
            <w:textDirection w:val="lrTb"/>
            <w:vAlign w:val="center"/>
          </w:tcPr>
          <w:p w:rsidR="00F67BF3" w:rsidRPr="00F53F8E" w:rsidP="00F67BF3">
            <w:pPr>
              <w:spacing w:line="240" w:lineRule="auto"/>
              <w:jc w:val="right"/>
              <w:rPr>
                <w:rFonts w:ascii="Arial Narrow" w:hAnsi="Arial Narrow" w:cs="Times New Roman"/>
                <w:b/>
                <w:bCs/>
              </w:rPr>
            </w:pPr>
            <w:r>
              <w:rPr>
                <w:rFonts w:ascii="Arial Narrow" w:hAnsi="Arial Narrow" w:cs="Times New Roman"/>
                <w:b/>
                <w:bCs/>
              </w:rPr>
              <w:t>0,00</w:t>
            </w:r>
          </w:p>
        </w:tc>
        <w:tc>
          <w:tcPr>
            <w:tcW w:w="268" w:type="dxa"/>
            <w:tcBorders>
              <w:top w:val="nil"/>
              <w:left w:val="nil"/>
              <w:bottom w:val="nil"/>
              <w:right w:val="nil"/>
              <w:tl2br w:val="nil"/>
              <w:tr2bl w:val="nil"/>
            </w:tcBorders>
            <w:noWrap/>
            <w:textDirection w:val="lrTb"/>
            <w:vAlign w:val="bottom"/>
          </w:tcPr>
          <w:p w:rsidR="00F67BF3" w:rsidRPr="00F53F8E" w:rsidP="00F67BF3">
            <w:pPr>
              <w:spacing w:line="240" w:lineRule="auto"/>
              <w:rPr>
                <w:rFonts w:ascii="Arial Narrow" w:hAnsi="Arial Narrow" w:cs="Times New Roman"/>
              </w:rPr>
            </w:pPr>
          </w:p>
        </w:tc>
      </w:tr>
      <w:tr>
        <w:tblPrEx>
          <w:tblW w:w="11568" w:type="dxa"/>
          <w:tblInd w:w="-830" w:type="dxa"/>
          <w:tblCellMar>
            <w:left w:w="70" w:type="dxa"/>
            <w:right w:w="70" w:type="dxa"/>
          </w:tblCellMar>
        </w:tblPrEx>
        <w:trPr>
          <w:gridAfter w:val="2"/>
          <w:wAfter w:w="320" w:type="dxa"/>
          <w:trHeight w:val="227"/>
        </w:trPr>
        <w:tc>
          <w:tcPr>
            <w:tcW w:w="660" w:type="dxa"/>
            <w:tcBorders>
              <w:top w:val="nil"/>
              <w:left w:val="single" w:sz="8" w:space="0" w:color="auto"/>
              <w:bottom w:val="single" w:sz="4" w:space="0" w:color="auto"/>
              <w:right w:val="nil"/>
              <w:tl2br w:val="nil"/>
              <w:tr2bl w:val="nil"/>
            </w:tcBorders>
            <w:noWrap/>
            <w:textDirection w:val="lrTb"/>
            <w:vAlign w:val="center"/>
          </w:tcPr>
          <w:p w:rsidR="00F67BF3" w:rsidRPr="00064378" w:rsidP="00F67BF3">
            <w:pPr>
              <w:spacing w:line="240" w:lineRule="auto"/>
              <w:jc w:val="right"/>
              <w:rPr>
                <w:rFonts w:ascii="Arial Narrow" w:hAnsi="Arial Narrow" w:cs="Times New Roman"/>
              </w:rPr>
            </w:pPr>
            <w:r w:rsidRPr="00064378">
              <w:rPr>
                <w:rFonts w:ascii="Arial Narrow" w:hAnsi="Arial Narrow" w:cs="Times New Roman"/>
              </w:rPr>
              <w:t>05707</w:t>
            </w:r>
          </w:p>
        </w:tc>
        <w:tc>
          <w:tcPr>
            <w:tcW w:w="3300" w:type="dxa"/>
            <w:tcBorders>
              <w:top w:val="nil"/>
              <w:left w:val="single" w:sz="8" w:space="0" w:color="auto"/>
              <w:bottom w:val="single" w:sz="4" w:space="0" w:color="auto"/>
              <w:right w:val="nil"/>
              <w:tl2br w:val="nil"/>
              <w:tr2bl w:val="nil"/>
            </w:tcBorders>
            <w:noWrap/>
            <w:textDirection w:val="lrTb"/>
            <w:vAlign w:val="center"/>
          </w:tcPr>
          <w:p w:rsidR="00F67BF3" w:rsidRPr="00064378" w:rsidP="00F67BF3">
            <w:pPr>
              <w:spacing w:line="240" w:lineRule="auto"/>
              <w:rPr>
                <w:rFonts w:ascii="Arial Narrow" w:hAnsi="Arial Narrow" w:cs="Times New Roman"/>
              </w:rPr>
            </w:pPr>
            <w:r w:rsidRPr="00064378">
              <w:rPr>
                <w:rFonts w:ascii="Arial Narrow" w:hAnsi="Arial Narrow" w:cs="Times New Roman"/>
              </w:rPr>
              <w:t xml:space="preserve">D1 Odpočívadla </w:t>
            </w:r>
            <w:r w:rsidR="002710B0">
              <w:rPr>
                <w:rFonts w:ascii="Arial Narrow" w:hAnsi="Arial Narrow" w:cs="Times New Roman"/>
              </w:rPr>
              <w:t>–</w:t>
            </w:r>
            <w:r>
              <w:rPr>
                <w:rFonts w:ascii="Arial Narrow" w:hAnsi="Arial Narrow" w:cs="Times New Roman"/>
              </w:rPr>
              <w:t xml:space="preserve"> </w:t>
            </w:r>
            <w:r w:rsidRPr="00064378">
              <w:rPr>
                <w:rFonts w:ascii="Arial Narrow" w:hAnsi="Arial Narrow" w:cs="Times New Roman"/>
              </w:rPr>
              <w:t>Dechtáre</w:t>
            </w:r>
          </w:p>
        </w:tc>
        <w:tc>
          <w:tcPr>
            <w:tcW w:w="1476" w:type="dxa"/>
            <w:tcBorders>
              <w:top w:val="nil"/>
              <w:left w:val="single" w:sz="8" w:space="0" w:color="auto"/>
              <w:bottom w:val="single" w:sz="4" w:space="0" w:color="auto"/>
              <w:right w:val="nil"/>
              <w:tl2br w:val="nil"/>
              <w:tr2bl w:val="nil"/>
            </w:tcBorders>
            <w:noWrap/>
            <w:textDirection w:val="lrTb"/>
            <w:vAlign w:val="center"/>
          </w:tcPr>
          <w:p w:rsidR="00F67BF3" w:rsidRPr="00F53F8E" w:rsidP="00F67BF3">
            <w:pPr>
              <w:spacing w:line="240" w:lineRule="auto"/>
              <w:jc w:val="right"/>
              <w:rPr>
                <w:rFonts w:ascii="Arial Narrow" w:hAnsi="Arial Narrow" w:cs="Times New Roman"/>
                <w:b/>
                <w:bCs/>
              </w:rPr>
            </w:pPr>
            <w:r w:rsidRPr="00F53F8E">
              <w:rPr>
                <w:rFonts w:ascii="Arial Narrow" w:hAnsi="Arial Narrow" w:cs="Times New Roman"/>
                <w:b/>
                <w:bCs/>
              </w:rPr>
              <w:t>0,00</w:t>
            </w:r>
          </w:p>
        </w:tc>
        <w:tc>
          <w:tcPr>
            <w:tcW w:w="1440" w:type="dxa"/>
            <w:tcBorders>
              <w:top w:val="nil"/>
              <w:left w:val="single" w:sz="8" w:space="0" w:color="auto"/>
              <w:bottom w:val="single" w:sz="4" w:space="0" w:color="auto"/>
              <w:right w:val="nil"/>
              <w:tl2br w:val="nil"/>
              <w:tr2bl w:val="nil"/>
            </w:tcBorders>
            <w:noWrap/>
            <w:textDirection w:val="lrTb"/>
            <w:vAlign w:val="center"/>
          </w:tcPr>
          <w:p w:rsidR="00F67BF3" w:rsidRPr="00F53F8E" w:rsidP="00F67BF3">
            <w:pPr>
              <w:spacing w:line="240" w:lineRule="auto"/>
              <w:jc w:val="right"/>
              <w:rPr>
                <w:rFonts w:ascii="Arial Narrow" w:hAnsi="Arial Narrow" w:cs="Times New Roman"/>
                <w:b/>
                <w:bCs/>
              </w:rPr>
            </w:pPr>
            <w:r w:rsidRPr="00F53F8E">
              <w:rPr>
                <w:rFonts w:ascii="Arial Narrow" w:hAnsi="Arial Narrow" w:cs="Times New Roman"/>
                <w:b/>
                <w:bCs/>
              </w:rPr>
              <w:t>0,00</w:t>
            </w:r>
          </w:p>
        </w:tc>
        <w:tc>
          <w:tcPr>
            <w:tcW w:w="1540" w:type="dxa"/>
            <w:tcBorders>
              <w:top w:val="nil"/>
              <w:left w:val="single" w:sz="8" w:space="0" w:color="auto"/>
              <w:bottom w:val="single" w:sz="4" w:space="0" w:color="auto"/>
              <w:right w:val="single" w:sz="8" w:space="0" w:color="auto"/>
              <w:tl2br w:val="nil"/>
              <w:tr2bl w:val="nil"/>
            </w:tcBorders>
            <w:noWrap/>
            <w:textDirection w:val="lrTb"/>
            <w:vAlign w:val="center"/>
          </w:tcPr>
          <w:p w:rsidR="00F67BF3" w:rsidRPr="00F53F8E" w:rsidP="00F67BF3">
            <w:pPr>
              <w:spacing w:line="240" w:lineRule="auto"/>
              <w:jc w:val="right"/>
              <w:rPr>
                <w:rFonts w:ascii="Arial Narrow" w:hAnsi="Arial Narrow" w:cs="Times New Roman"/>
                <w:b/>
                <w:bCs/>
              </w:rPr>
            </w:pPr>
            <w:r w:rsidRPr="00F53F8E">
              <w:rPr>
                <w:rFonts w:ascii="Arial Narrow" w:hAnsi="Arial Narrow" w:cs="Times New Roman"/>
                <w:b/>
                <w:bCs/>
              </w:rPr>
              <w:t>0,00</w:t>
            </w:r>
          </w:p>
        </w:tc>
        <w:tc>
          <w:tcPr>
            <w:tcW w:w="1340" w:type="dxa"/>
            <w:tcBorders>
              <w:top w:val="nil"/>
              <w:left w:val="nil"/>
              <w:bottom w:val="single" w:sz="4" w:space="0" w:color="auto"/>
              <w:right w:val="single" w:sz="8" w:space="0" w:color="auto"/>
              <w:tl2br w:val="nil"/>
              <w:tr2bl w:val="nil"/>
            </w:tcBorders>
            <w:noWrap/>
            <w:textDirection w:val="lrTb"/>
            <w:vAlign w:val="center"/>
          </w:tcPr>
          <w:p w:rsidR="00F67BF3" w:rsidRPr="00F53F8E" w:rsidP="00F67BF3">
            <w:pPr>
              <w:spacing w:line="240" w:lineRule="auto"/>
              <w:jc w:val="right"/>
              <w:rPr>
                <w:rFonts w:ascii="Arial Narrow" w:hAnsi="Arial Narrow" w:cs="Times New Roman"/>
                <w:b/>
                <w:bCs/>
              </w:rPr>
            </w:pPr>
            <w:r w:rsidRPr="00F53F8E">
              <w:rPr>
                <w:rFonts w:ascii="Arial Narrow" w:hAnsi="Arial Narrow" w:cs="Times New Roman"/>
                <w:b/>
                <w:bCs/>
              </w:rPr>
              <w:t> </w:t>
            </w:r>
            <w:r>
              <w:rPr>
                <w:rFonts w:ascii="Arial Narrow" w:hAnsi="Arial Narrow" w:cs="Times New Roman"/>
                <w:b/>
                <w:bCs/>
              </w:rPr>
              <w:t>0,00</w:t>
            </w:r>
          </w:p>
        </w:tc>
        <w:tc>
          <w:tcPr>
            <w:tcW w:w="1224" w:type="dxa"/>
            <w:tcBorders>
              <w:top w:val="nil"/>
              <w:left w:val="nil"/>
              <w:bottom w:val="single" w:sz="4" w:space="0" w:color="auto"/>
              <w:right w:val="single" w:sz="8" w:space="0" w:color="auto"/>
              <w:tl2br w:val="nil"/>
              <w:tr2bl w:val="nil"/>
            </w:tcBorders>
            <w:noWrap/>
            <w:textDirection w:val="lrTb"/>
            <w:vAlign w:val="center"/>
          </w:tcPr>
          <w:p w:rsidR="00F67BF3" w:rsidRPr="00F53F8E" w:rsidP="00F67BF3">
            <w:pPr>
              <w:spacing w:line="240" w:lineRule="auto"/>
              <w:jc w:val="right"/>
              <w:rPr>
                <w:rFonts w:ascii="Arial Narrow" w:hAnsi="Arial Narrow" w:cs="Times New Roman"/>
                <w:b/>
                <w:bCs/>
              </w:rPr>
            </w:pPr>
            <w:r w:rsidRPr="00F53F8E">
              <w:rPr>
                <w:rFonts w:ascii="Arial Narrow" w:hAnsi="Arial Narrow" w:cs="Times New Roman"/>
                <w:b/>
                <w:bCs/>
              </w:rPr>
              <w:t>0,00</w:t>
            </w:r>
          </w:p>
        </w:tc>
        <w:tc>
          <w:tcPr>
            <w:tcW w:w="268" w:type="dxa"/>
            <w:tcBorders>
              <w:top w:val="nil"/>
              <w:left w:val="nil"/>
              <w:bottom w:val="nil"/>
              <w:right w:val="nil"/>
              <w:tl2br w:val="nil"/>
              <w:tr2bl w:val="nil"/>
            </w:tcBorders>
            <w:noWrap/>
            <w:textDirection w:val="lrTb"/>
            <w:vAlign w:val="bottom"/>
          </w:tcPr>
          <w:p w:rsidR="00F67BF3" w:rsidRPr="00F53F8E" w:rsidP="00F67BF3">
            <w:pPr>
              <w:spacing w:line="240" w:lineRule="auto"/>
              <w:rPr>
                <w:rFonts w:ascii="Arial Narrow" w:hAnsi="Arial Narrow" w:cs="Times New Roman"/>
              </w:rPr>
            </w:pPr>
          </w:p>
        </w:tc>
      </w:tr>
      <w:tr>
        <w:tblPrEx>
          <w:tblW w:w="11568" w:type="dxa"/>
          <w:tblInd w:w="-830" w:type="dxa"/>
          <w:tblCellMar>
            <w:left w:w="70" w:type="dxa"/>
            <w:right w:w="70" w:type="dxa"/>
          </w:tblCellMar>
        </w:tblPrEx>
        <w:trPr>
          <w:gridAfter w:val="2"/>
          <w:wAfter w:w="320" w:type="dxa"/>
          <w:trHeight w:val="227"/>
        </w:trPr>
        <w:tc>
          <w:tcPr>
            <w:tcW w:w="660" w:type="dxa"/>
            <w:tcBorders>
              <w:top w:val="nil"/>
              <w:left w:val="single" w:sz="8" w:space="0" w:color="auto"/>
              <w:bottom w:val="single" w:sz="4" w:space="0" w:color="auto"/>
              <w:right w:val="nil"/>
              <w:tl2br w:val="nil"/>
              <w:tr2bl w:val="nil"/>
            </w:tcBorders>
            <w:noWrap/>
            <w:textDirection w:val="lrTb"/>
            <w:vAlign w:val="center"/>
          </w:tcPr>
          <w:p w:rsidR="00F67BF3" w:rsidRPr="00064378" w:rsidP="00F67BF3">
            <w:pPr>
              <w:spacing w:line="240" w:lineRule="auto"/>
              <w:jc w:val="right"/>
              <w:rPr>
                <w:rFonts w:ascii="Arial Narrow" w:hAnsi="Arial Narrow" w:cs="Times New Roman"/>
              </w:rPr>
            </w:pPr>
            <w:r w:rsidRPr="00064378">
              <w:rPr>
                <w:rFonts w:ascii="Arial Narrow" w:hAnsi="Arial Narrow" w:cs="Times New Roman"/>
              </w:rPr>
              <w:t>13299</w:t>
            </w:r>
          </w:p>
        </w:tc>
        <w:tc>
          <w:tcPr>
            <w:tcW w:w="3300" w:type="dxa"/>
            <w:tcBorders>
              <w:top w:val="nil"/>
              <w:left w:val="single" w:sz="8" w:space="0" w:color="auto"/>
              <w:bottom w:val="single" w:sz="4" w:space="0" w:color="auto"/>
              <w:right w:val="nil"/>
              <w:tl2br w:val="nil"/>
              <w:tr2bl w:val="nil"/>
            </w:tcBorders>
            <w:noWrap/>
            <w:textDirection w:val="lrTb"/>
            <w:vAlign w:val="center"/>
          </w:tcPr>
          <w:p w:rsidR="00F67BF3" w:rsidRPr="00064378" w:rsidP="00F67BF3">
            <w:pPr>
              <w:spacing w:line="240" w:lineRule="auto"/>
              <w:rPr>
                <w:rFonts w:ascii="Arial Narrow" w:hAnsi="Arial Narrow" w:cs="Times New Roman"/>
              </w:rPr>
            </w:pPr>
            <w:r w:rsidRPr="00064378">
              <w:rPr>
                <w:rFonts w:ascii="Arial Narrow" w:hAnsi="Arial Narrow" w:cs="Times New Roman"/>
              </w:rPr>
              <w:t>D1 Vrtižer - Hričovské Podhradie</w:t>
            </w:r>
          </w:p>
        </w:tc>
        <w:tc>
          <w:tcPr>
            <w:tcW w:w="1476" w:type="dxa"/>
            <w:tcBorders>
              <w:top w:val="nil"/>
              <w:left w:val="single" w:sz="8" w:space="0" w:color="auto"/>
              <w:bottom w:val="single" w:sz="4" w:space="0" w:color="auto"/>
              <w:right w:val="nil"/>
              <w:tl2br w:val="nil"/>
              <w:tr2bl w:val="nil"/>
            </w:tcBorders>
            <w:noWrap/>
            <w:textDirection w:val="lrTb"/>
            <w:vAlign w:val="center"/>
          </w:tcPr>
          <w:p w:rsidR="00F67BF3" w:rsidRPr="00F53F8E" w:rsidP="00F67BF3">
            <w:pPr>
              <w:spacing w:line="240" w:lineRule="auto"/>
              <w:jc w:val="right"/>
              <w:rPr>
                <w:rFonts w:ascii="Arial Narrow" w:hAnsi="Arial Narrow" w:cs="Times New Roman"/>
                <w:b/>
                <w:bCs/>
              </w:rPr>
            </w:pPr>
            <w:r>
              <w:rPr>
                <w:rFonts w:ascii="Arial Narrow" w:hAnsi="Arial Narrow" w:cs="Times New Roman"/>
                <w:b/>
                <w:bCs/>
              </w:rPr>
              <w:t>57 961 00</w:t>
            </w:r>
            <w:r w:rsidRPr="00F53F8E">
              <w:rPr>
                <w:rFonts w:ascii="Arial Narrow" w:hAnsi="Arial Narrow" w:cs="Times New Roman"/>
                <w:b/>
                <w:bCs/>
              </w:rPr>
              <w:t>0,00</w:t>
            </w:r>
          </w:p>
        </w:tc>
        <w:tc>
          <w:tcPr>
            <w:tcW w:w="1440" w:type="dxa"/>
            <w:tcBorders>
              <w:top w:val="nil"/>
              <w:left w:val="single" w:sz="8" w:space="0" w:color="auto"/>
              <w:bottom w:val="single" w:sz="4" w:space="0" w:color="auto"/>
              <w:right w:val="nil"/>
              <w:tl2br w:val="nil"/>
              <w:tr2bl w:val="nil"/>
            </w:tcBorders>
            <w:noWrap/>
            <w:textDirection w:val="lrTb"/>
            <w:vAlign w:val="center"/>
          </w:tcPr>
          <w:p w:rsidR="00F67BF3" w:rsidRPr="00F53F8E" w:rsidP="00F67BF3">
            <w:pPr>
              <w:spacing w:line="240" w:lineRule="auto"/>
              <w:jc w:val="right"/>
              <w:rPr>
                <w:rFonts w:ascii="Arial Narrow" w:hAnsi="Arial Narrow" w:cs="Times New Roman"/>
                <w:b/>
                <w:bCs/>
              </w:rPr>
            </w:pPr>
            <w:r>
              <w:rPr>
                <w:rFonts w:ascii="Arial Narrow" w:hAnsi="Arial Narrow" w:cs="Times New Roman"/>
                <w:b/>
                <w:bCs/>
              </w:rPr>
              <w:t>4</w:t>
            </w:r>
            <w:r>
              <w:rPr>
                <w:rFonts w:ascii="Arial Narrow" w:hAnsi="Arial Narrow" w:cs="Times New Roman"/>
                <w:b/>
                <w:bCs/>
              </w:rPr>
              <w:t>66 261</w:t>
            </w:r>
            <w:r w:rsidRPr="00F53F8E">
              <w:rPr>
                <w:rFonts w:ascii="Arial Narrow" w:hAnsi="Arial Narrow" w:cs="Times New Roman"/>
                <w:b/>
                <w:bCs/>
              </w:rPr>
              <w:t xml:space="preserve"> 000,00</w:t>
            </w:r>
          </w:p>
        </w:tc>
        <w:tc>
          <w:tcPr>
            <w:tcW w:w="1540" w:type="dxa"/>
            <w:tcBorders>
              <w:top w:val="nil"/>
              <w:left w:val="single" w:sz="8" w:space="0" w:color="auto"/>
              <w:bottom w:val="single" w:sz="4" w:space="0" w:color="auto"/>
              <w:right w:val="single" w:sz="8" w:space="0" w:color="auto"/>
              <w:tl2br w:val="nil"/>
              <w:tr2bl w:val="nil"/>
            </w:tcBorders>
            <w:noWrap/>
            <w:textDirection w:val="lrTb"/>
            <w:vAlign w:val="center"/>
          </w:tcPr>
          <w:p w:rsidR="00F67BF3" w:rsidRPr="00F53F8E" w:rsidP="00F67BF3">
            <w:pPr>
              <w:spacing w:line="240" w:lineRule="auto"/>
              <w:jc w:val="right"/>
              <w:rPr>
                <w:rFonts w:ascii="Arial Narrow" w:hAnsi="Arial Narrow" w:cs="Times New Roman"/>
                <w:b/>
                <w:bCs/>
              </w:rPr>
            </w:pPr>
            <w:r>
              <w:rPr>
                <w:rFonts w:ascii="Arial Narrow" w:hAnsi="Arial Narrow" w:cs="Times New Roman"/>
                <w:b/>
                <w:bCs/>
              </w:rPr>
              <w:t>466 261</w:t>
            </w:r>
            <w:r w:rsidRPr="00F53F8E">
              <w:rPr>
                <w:rFonts w:ascii="Arial Narrow" w:hAnsi="Arial Narrow" w:cs="Times New Roman"/>
                <w:b/>
                <w:bCs/>
              </w:rPr>
              <w:t xml:space="preserve"> 000,00</w:t>
            </w:r>
          </w:p>
        </w:tc>
        <w:tc>
          <w:tcPr>
            <w:tcW w:w="1340" w:type="dxa"/>
            <w:tcBorders>
              <w:top w:val="nil"/>
              <w:left w:val="nil"/>
              <w:bottom w:val="single" w:sz="4" w:space="0" w:color="auto"/>
              <w:right w:val="single" w:sz="8" w:space="0" w:color="auto"/>
              <w:tl2br w:val="nil"/>
              <w:tr2bl w:val="nil"/>
            </w:tcBorders>
            <w:noWrap/>
            <w:textDirection w:val="lrTb"/>
            <w:vAlign w:val="center"/>
          </w:tcPr>
          <w:p w:rsidR="00F67BF3" w:rsidRPr="00F53F8E" w:rsidP="00F67BF3">
            <w:pPr>
              <w:spacing w:line="240" w:lineRule="auto"/>
              <w:jc w:val="right"/>
              <w:rPr>
                <w:rFonts w:ascii="Arial Narrow" w:hAnsi="Arial Narrow" w:cs="Times New Roman"/>
                <w:b/>
                <w:bCs/>
              </w:rPr>
            </w:pPr>
            <w:r w:rsidRPr="00F53F8E">
              <w:rPr>
                <w:rFonts w:ascii="Arial Narrow" w:hAnsi="Arial Narrow" w:cs="Times New Roman"/>
                <w:b/>
                <w:bCs/>
              </w:rPr>
              <w:t> </w:t>
            </w:r>
            <w:r>
              <w:rPr>
                <w:rFonts w:ascii="Arial Narrow" w:hAnsi="Arial Narrow" w:cs="Times New Roman"/>
                <w:b/>
                <w:bCs/>
              </w:rPr>
              <w:t>0,00</w:t>
            </w:r>
          </w:p>
        </w:tc>
        <w:tc>
          <w:tcPr>
            <w:tcW w:w="1224" w:type="dxa"/>
            <w:tcBorders>
              <w:top w:val="nil"/>
              <w:left w:val="nil"/>
              <w:bottom w:val="single" w:sz="4" w:space="0" w:color="auto"/>
              <w:right w:val="single" w:sz="8" w:space="0" w:color="auto"/>
              <w:tl2br w:val="nil"/>
              <w:tr2bl w:val="nil"/>
            </w:tcBorders>
            <w:noWrap/>
            <w:textDirection w:val="lrTb"/>
            <w:vAlign w:val="center"/>
          </w:tcPr>
          <w:p w:rsidR="00F67BF3" w:rsidRPr="00F53F8E" w:rsidP="00F67BF3">
            <w:pPr>
              <w:spacing w:line="240" w:lineRule="auto"/>
              <w:jc w:val="right"/>
              <w:rPr>
                <w:rFonts w:ascii="Arial Narrow" w:hAnsi="Arial Narrow" w:cs="Times New Roman"/>
                <w:b/>
                <w:bCs/>
              </w:rPr>
            </w:pPr>
            <w:r w:rsidRPr="00F53F8E">
              <w:rPr>
                <w:rFonts w:ascii="Arial Narrow" w:hAnsi="Arial Narrow" w:cs="Times New Roman"/>
                <w:b/>
                <w:bCs/>
              </w:rPr>
              <w:t>0,00</w:t>
            </w:r>
          </w:p>
        </w:tc>
        <w:tc>
          <w:tcPr>
            <w:tcW w:w="268" w:type="dxa"/>
            <w:tcBorders>
              <w:top w:val="nil"/>
              <w:left w:val="nil"/>
              <w:bottom w:val="nil"/>
              <w:right w:val="nil"/>
              <w:tl2br w:val="nil"/>
              <w:tr2bl w:val="nil"/>
            </w:tcBorders>
            <w:noWrap/>
            <w:textDirection w:val="lrTb"/>
            <w:vAlign w:val="bottom"/>
          </w:tcPr>
          <w:p w:rsidR="00F67BF3" w:rsidRPr="00F53F8E" w:rsidP="00F67BF3">
            <w:pPr>
              <w:spacing w:line="240" w:lineRule="auto"/>
              <w:rPr>
                <w:rFonts w:ascii="Arial Narrow" w:hAnsi="Arial Narrow" w:cs="Times New Roman"/>
              </w:rPr>
            </w:pPr>
          </w:p>
        </w:tc>
      </w:tr>
      <w:tr>
        <w:tblPrEx>
          <w:tblW w:w="11568" w:type="dxa"/>
          <w:tblInd w:w="-830" w:type="dxa"/>
          <w:tblCellMar>
            <w:left w:w="70" w:type="dxa"/>
            <w:right w:w="70" w:type="dxa"/>
          </w:tblCellMar>
        </w:tblPrEx>
        <w:trPr>
          <w:gridAfter w:val="2"/>
          <w:wAfter w:w="320" w:type="dxa"/>
          <w:trHeight w:val="227"/>
        </w:trPr>
        <w:tc>
          <w:tcPr>
            <w:tcW w:w="660" w:type="dxa"/>
            <w:tcBorders>
              <w:top w:val="nil"/>
              <w:left w:val="single" w:sz="8" w:space="0" w:color="auto"/>
              <w:bottom w:val="single" w:sz="4" w:space="0" w:color="auto"/>
              <w:right w:val="nil"/>
              <w:tl2br w:val="nil"/>
              <w:tr2bl w:val="nil"/>
            </w:tcBorders>
            <w:noWrap/>
            <w:textDirection w:val="lrTb"/>
            <w:vAlign w:val="center"/>
          </w:tcPr>
          <w:p w:rsidR="00F67BF3" w:rsidRPr="00064378" w:rsidP="00F67BF3">
            <w:pPr>
              <w:spacing w:line="240" w:lineRule="auto"/>
              <w:jc w:val="right"/>
              <w:rPr>
                <w:rFonts w:ascii="Arial Narrow" w:hAnsi="Arial Narrow" w:cs="Times New Roman"/>
              </w:rPr>
            </w:pPr>
            <w:r w:rsidRPr="00064378">
              <w:rPr>
                <w:rFonts w:ascii="Arial Narrow" w:hAnsi="Arial Narrow" w:cs="Times New Roman"/>
              </w:rPr>
              <w:t>1554</w:t>
            </w:r>
          </w:p>
        </w:tc>
        <w:tc>
          <w:tcPr>
            <w:tcW w:w="3300" w:type="dxa"/>
            <w:tcBorders>
              <w:top w:val="nil"/>
              <w:left w:val="single" w:sz="8" w:space="0" w:color="auto"/>
              <w:bottom w:val="single" w:sz="4" w:space="0" w:color="auto"/>
              <w:right w:val="nil"/>
              <w:tl2br w:val="nil"/>
              <w:tr2bl w:val="nil"/>
            </w:tcBorders>
            <w:noWrap/>
            <w:textDirection w:val="lrTb"/>
            <w:vAlign w:val="center"/>
          </w:tcPr>
          <w:p w:rsidR="00F67BF3" w:rsidRPr="00064378" w:rsidP="00F67BF3">
            <w:pPr>
              <w:spacing w:line="240" w:lineRule="auto"/>
              <w:rPr>
                <w:rFonts w:ascii="Arial Narrow" w:hAnsi="Arial Narrow" w:cs="Times New Roman"/>
              </w:rPr>
            </w:pPr>
            <w:r w:rsidRPr="00064378">
              <w:rPr>
                <w:rFonts w:ascii="Arial Narrow" w:hAnsi="Arial Narrow" w:cs="Times New Roman"/>
              </w:rPr>
              <w:t xml:space="preserve">D1 Behárovce - Branisko, II. etapa </w:t>
            </w:r>
          </w:p>
        </w:tc>
        <w:tc>
          <w:tcPr>
            <w:tcW w:w="1476" w:type="dxa"/>
            <w:tcBorders>
              <w:top w:val="nil"/>
              <w:left w:val="single" w:sz="8" w:space="0" w:color="auto"/>
              <w:bottom w:val="single" w:sz="4" w:space="0" w:color="auto"/>
              <w:right w:val="nil"/>
              <w:tl2br w:val="nil"/>
              <w:tr2bl w:val="nil"/>
            </w:tcBorders>
            <w:noWrap/>
            <w:textDirection w:val="lrTb"/>
            <w:vAlign w:val="center"/>
          </w:tcPr>
          <w:p w:rsidR="00F67BF3" w:rsidRPr="00F53F8E" w:rsidP="00F67BF3">
            <w:pPr>
              <w:spacing w:line="240" w:lineRule="auto"/>
              <w:jc w:val="right"/>
              <w:rPr>
                <w:rFonts w:ascii="Arial Narrow" w:hAnsi="Arial Narrow" w:cs="Times New Roman"/>
                <w:b/>
                <w:bCs/>
              </w:rPr>
            </w:pPr>
            <w:r w:rsidRPr="00F53F8E">
              <w:rPr>
                <w:rFonts w:ascii="Arial Narrow" w:hAnsi="Arial Narrow" w:cs="Times New Roman"/>
                <w:b/>
                <w:bCs/>
              </w:rPr>
              <w:t>0,00</w:t>
            </w:r>
          </w:p>
        </w:tc>
        <w:tc>
          <w:tcPr>
            <w:tcW w:w="1440" w:type="dxa"/>
            <w:tcBorders>
              <w:top w:val="nil"/>
              <w:left w:val="single" w:sz="8" w:space="0" w:color="auto"/>
              <w:bottom w:val="single" w:sz="4" w:space="0" w:color="auto"/>
              <w:right w:val="nil"/>
              <w:tl2br w:val="nil"/>
              <w:tr2bl w:val="nil"/>
            </w:tcBorders>
            <w:noWrap/>
            <w:textDirection w:val="lrTb"/>
            <w:vAlign w:val="center"/>
          </w:tcPr>
          <w:p w:rsidR="00F67BF3" w:rsidRPr="00F53F8E" w:rsidP="00F67BF3">
            <w:pPr>
              <w:spacing w:line="240" w:lineRule="auto"/>
              <w:jc w:val="right"/>
              <w:rPr>
                <w:rFonts w:ascii="Arial Narrow" w:hAnsi="Arial Narrow" w:cs="Times New Roman"/>
                <w:b/>
                <w:bCs/>
              </w:rPr>
            </w:pPr>
            <w:r>
              <w:rPr>
                <w:rFonts w:ascii="Arial Narrow" w:hAnsi="Arial Narrow" w:cs="Times New Roman"/>
                <w:b/>
                <w:bCs/>
              </w:rPr>
              <w:t>420</w:t>
            </w:r>
            <w:r w:rsidRPr="00F53F8E">
              <w:rPr>
                <w:rFonts w:ascii="Arial Narrow" w:hAnsi="Arial Narrow" w:cs="Times New Roman"/>
                <w:b/>
                <w:bCs/>
              </w:rPr>
              <w:t xml:space="preserve"> 000,00</w:t>
            </w:r>
          </w:p>
        </w:tc>
        <w:tc>
          <w:tcPr>
            <w:tcW w:w="1540" w:type="dxa"/>
            <w:tcBorders>
              <w:top w:val="nil"/>
              <w:left w:val="single" w:sz="8" w:space="0" w:color="auto"/>
              <w:bottom w:val="single" w:sz="4" w:space="0" w:color="auto"/>
              <w:right w:val="single" w:sz="8" w:space="0" w:color="auto"/>
              <w:tl2br w:val="nil"/>
              <w:tr2bl w:val="nil"/>
            </w:tcBorders>
            <w:noWrap/>
            <w:textDirection w:val="lrTb"/>
            <w:vAlign w:val="center"/>
          </w:tcPr>
          <w:p w:rsidR="00F67BF3" w:rsidRPr="00F53F8E" w:rsidP="00F67BF3">
            <w:pPr>
              <w:spacing w:line="240" w:lineRule="auto"/>
              <w:jc w:val="right"/>
              <w:rPr>
                <w:rFonts w:ascii="Arial Narrow" w:hAnsi="Arial Narrow" w:cs="Times New Roman"/>
                <w:b/>
                <w:bCs/>
              </w:rPr>
            </w:pPr>
            <w:r>
              <w:rPr>
                <w:rFonts w:ascii="Arial Narrow" w:hAnsi="Arial Narrow" w:cs="Times New Roman"/>
                <w:b/>
                <w:bCs/>
              </w:rPr>
              <w:t>420</w:t>
            </w:r>
            <w:r w:rsidRPr="00F53F8E">
              <w:rPr>
                <w:rFonts w:ascii="Arial Narrow" w:hAnsi="Arial Narrow" w:cs="Times New Roman"/>
                <w:b/>
                <w:bCs/>
              </w:rPr>
              <w:t xml:space="preserve"> 000,00</w:t>
            </w:r>
          </w:p>
        </w:tc>
        <w:tc>
          <w:tcPr>
            <w:tcW w:w="1340" w:type="dxa"/>
            <w:tcBorders>
              <w:top w:val="nil"/>
              <w:left w:val="nil"/>
              <w:bottom w:val="single" w:sz="4" w:space="0" w:color="auto"/>
              <w:right w:val="single" w:sz="8" w:space="0" w:color="auto"/>
              <w:tl2br w:val="nil"/>
              <w:tr2bl w:val="nil"/>
            </w:tcBorders>
            <w:noWrap/>
            <w:textDirection w:val="lrTb"/>
            <w:vAlign w:val="center"/>
          </w:tcPr>
          <w:p w:rsidR="00F67BF3" w:rsidRPr="00F53F8E" w:rsidP="00F67BF3">
            <w:pPr>
              <w:spacing w:line="240" w:lineRule="auto"/>
              <w:jc w:val="right"/>
              <w:rPr>
                <w:rFonts w:ascii="Arial Narrow" w:hAnsi="Arial Narrow" w:cs="Times New Roman"/>
                <w:b/>
                <w:bCs/>
              </w:rPr>
            </w:pPr>
            <w:r w:rsidRPr="00F53F8E">
              <w:rPr>
                <w:rFonts w:ascii="Arial Narrow" w:hAnsi="Arial Narrow" w:cs="Times New Roman"/>
                <w:b/>
                <w:bCs/>
              </w:rPr>
              <w:t> </w:t>
            </w:r>
            <w:r>
              <w:rPr>
                <w:rFonts w:ascii="Arial Narrow" w:hAnsi="Arial Narrow" w:cs="Times New Roman"/>
                <w:b/>
                <w:bCs/>
              </w:rPr>
              <w:t>0,00</w:t>
            </w:r>
          </w:p>
        </w:tc>
        <w:tc>
          <w:tcPr>
            <w:tcW w:w="1224" w:type="dxa"/>
            <w:tcBorders>
              <w:top w:val="nil"/>
              <w:left w:val="nil"/>
              <w:bottom w:val="single" w:sz="4" w:space="0" w:color="auto"/>
              <w:right w:val="single" w:sz="8" w:space="0" w:color="auto"/>
              <w:tl2br w:val="nil"/>
              <w:tr2bl w:val="nil"/>
            </w:tcBorders>
            <w:noWrap/>
            <w:textDirection w:val="lrTb"/>
            <w:vAlign w:val="center"/>
          </w:tcPr>
          <w:p w:rsidR="00F67BF3" w:rsidRPr="00F53F8E" w:rsidP="00F67BF3">
            <w:pPr>
              <w:spacing w:line="240" w:lineRule="auto"/>
              <w:jc w:val="right"/>
              <w:rPr>
                <w:rFonts w:ascii="Arial Narrow" w:hAnsi="Arial Narrow" w:cs="Times New Roman"/>
                <w:b/>
                <w:bCs/>
              </w:rPr>
            </w:pPr>
            <w:r w:rsidRPr="00F53F8E">
              <w:rPr>
                <w:rFonts w:ascii="Arial Narrow" w:hAnsi="Arial Narrow" w:cs="Times New Roman"/>
                <w:b/>
                <w:bCs/>
              </w:rPr>
              <w:t>0,00</w:t>
            </w:r>
          </w:p>
        </w:tc>
        <w:tc>
          <w:tcPr>
            <w:tcW w:w="268" w:type="dxa"/>
            <w:tcBorders>
              <w:top w:val="nil"/>
              <w:left w:val="nil"/>
              <w:bottom w:val="nil"/>
              <w:right w:val="nil"/>
              <w:tl2br w:val="nil"/>
              <w:tr2bl w:val="nil"/>
            </w:tcBorders>
            <w:noWrap/>
            <w:textDirection w:val="lrTb"/>
            <w:vAlign w:val="bottom"/>
          </w:tcPr>
          <w:p w:rsidR="00F67BF3" w:rsidRPr="00F53F8E" w:rsidP="00F67BF3">
            <w:pPr>
              <w:spacing w:line="240" w:lineRule="auto"/>
              <w:rPr>
                <w:rFonts w:ascii="Arial Narrow" w:hAnsi="Arial Narrow" w:cs="Times New Roman"/>
              </w:rPr>
            </w:pPr>
          </w:p>
        </w:tc>
      </w:tr>
      <w:tr>
        <w:tblPrEx>
          <w:tblW w:w="11568" w:type="dxa"/>
          <w:tblInd w:w="-830" w:type="dxa"/>
          <w:tblCellMar>
            <w:left w:w="70" w:type="dxa"/>
            <w:right w:w="70" w:type="dxa"/>
          </w:tblCellMar>
        </w:tblPrEx>
        <w:trPr>
          <w:gridAfter w:val="2"/>
          <w:wAfter w:w="320" w:type="dxa"/>
          <w:trHeight w:val="227"/>
        </w:trPr>
        <w:tc>
          <w:tcPr>
            <w:tcW w:w="660" w:type="dxa"/>
            <w:tcBorders>
              <w:top w:val="nil"/>
              <w:left w:val="single" w:sz="8" w:space="0" w:color="auto"/>
              <w:bottom w:val="single" w:sz="4" w:space="0" w:color="auto"/>
              <w:right w:val="nil"/>
              <w:tl2br w:val="nil"/>
              <w:tr2bl w:val="nil"/>
            </w:tcBorders>
            <w:noWrap/>
            <w:textDirection w:val="lrTb"/>
            <w:vAlign w:val="center"/>
          </w:tcPr>
          <w:p w:rsidR="00F67BF3" w:rsidRPr="00064378" w:rsidP="00F67BF3">
            <w:pPr>
              <w:spacing w:line="240" w:lineRule="auto"/>
              <w:jc w:val="right"/>
              <w:rPr>
                <w:rFonts w:ascii="Arial Narrow" w:hAnsi="Arial Narrow" w:cs="Times New Roman"/>
              </w:rPr>
            </w:pPr>
            <w:r w:rsidRPr="00064378">
              <w:rPr>
                <w:rFonts w:ascii="Arial Narrow" w:hAnsi="Arial Narrow" w:cs="Times New Roman"/>
              </w:rPr>
              <w:t>13298</w:t>
            </w:r>
          </w:p>
        </w:tc>
        <w:tc>
          <w:tcPr>
            <w:tcW w:w="3300" w:type="dxa"/>
            <w:tcBorders>
              <w:top w:val="nil"/>
              <w:left w:val="single" w:sz="8" w:space="0" w:color="auto"/>
              <w:bottom w:val="single" w:sz="4" w:space="0" w:color="auto"/>
              <w:right w:val="nil"/>
              <w:tl2br w:val="nil"/>
              <w:tr2bl w:val="nil"/>
            </w:tcBorders>
            <w:noWrap/>
            <w:textDirection w:val="lrTb"/>
            <w:vAlign w:val="center"/>
          </w:tcPr>
          <w:p w:rsidR="00F67BF3" w:rsidRPr="00064378" w:rsidP="00F67BF3">
            <w:pPr>
              <w:spacing w:line="240" w:lineRule="auto"/>
              <w:rPr>
                <w:rFonts w:ascii="Arial Narrow" w:hAnsi="Arial Narrow" w:cs="Times New Roman"/>
              </w:rPr>
            </w:pPr>
            <w:r w:rsidRPr="00064378">
              <w:rPr>
                <w:rFonts w:ascii="Arial Narrow" w:hAnsi="Arial Narrow" w:cs="Times New Roman"/>
              </w:rPr>
              <w:t>D1 Viedenská cesta - Prístavný most</w:t>
            </w:r>
          </w:p>
        </w:tc>
        <w:tc>
          <w:tcPr>
            <w:tcW w:w="1476" w:type="dxa"/>
            <w:tcBorders>
              <w:top w:val="nil"/>
              <w:left w:val="single" w:sz="8" w:space="0" w:color="auto"/>
              <w:bottom w:val="single" w:sz="4" w:space="0" w:color="auto"/>
              <w:right w:val="nil"/>
              <w:tl2br w:val="nil"/>
              <w:tr2bl w:val="nil"/>
            </w:tcBorders>
            <w:noWrap/>
            <w:textDirection w:val="lrTb"/>
            <w:vAlign w:val="center"/>
          </w:tcPr>
          <w:p w:rsidR="00F67BF3" w:rsidRPr="00F53F8E" w:rsidP="00F67BF3">
            <w:pPr>
              <w:spacing w:line="240" w:lineRule="auto"/>
              <w:jc w:val="right"/>
              <w:rPr>
                <w:rFonts w:ascii="Arial Narrow" w:hAnsi="Arial Narrow" w:cs="Times New Roman"/>
                <w:b/>
                <w:bCs/>
              </w:rPr>
            </w:pPr>
            <w:r>
              <w:rPr>
                <w:rFonts w:ascii="Arial Narrow" w:hAnsi="Arial Narrow" w:cs="Times New Roman"/>
                <w:b/>
                <w:bCs/>
              </w:rPr>
              <w:t>250 000 00</w:t>
            </w:r>
            <w:r w:rsidRPr="00F53F8E">
              <w:rPr>
                <w:rFonts w:ascii="Arial Narrow" w:hAnsi="Arial Narrow" w:cs="Times New Roman"/>
                <w:b/>
                <w:bCs/>
              </w:rPr>
              <w:t>0,00</w:t>
            </w:r>
          </w:p>
        </w:tc>
        <w:tc>
          <w:tcPr>
            <w:tcW w:w="1440" w:type="dxa"/>
            <w:tcBorders>
              <w:top w:val="nil"/>
              <w:left w:val="single" w:sz="8" w:space="0" w:color="auto"/>
              <w:bottom w:val="single" w:sz="4" w:space="0" w:color="auto"/>
              <w:right w:val="nil"/>
              <w:tl2br w:val="nil"/>
              <w:tr2bl w:val="nil"/>
            </w:tcBorders>
            <w:noWrap/>
            <w:textDirection w:val="lrTb"/>
            <w:vAlign w:val="center"/>
          </w:tcPr>
          <w:p w:rsidR="00F67BF3" w:rsidRPr="00F53F8E" w:rsidP="00F67BF3">
            <w:pPr>
              <w:spacing w:line="240" w:lineRule="auto"/>
              <w:jc w:val="right"/>
              <w:rPr>
                <w:rFonts w:ascii="Arial Narrow" w:hAnsi="Arial Narrow" w:cs="Times New Roman"/>
                <w:b/>
                <w:bCs/>
              </w:rPr>
            </w:pPr>
            <w:r>
              <w:rPr>
                <w:rFonts w:ascii="Arial Narrow" w:hAnsi="Arial Narrow" w:cs="Times New Roman"/>
                <w:b/>
                <w:bCs/>
              </w:rPr>
              <w:t>150</w:t>
            </w:r>
            <w:r w:rsidRPr="00F53F8E">
              <w:rPr>
                <w:rFonts w:ascii="Arial Narrow" w:hAnsi="Arial Narrow" w:cs="Times New Roman"/>
                <w:b/>
                <w:bCs/>
              </w:rPr>
              <w:t xml:space="preserve"> 000,00</w:t>
            </w:r>
          </w:p>
        </w:tc>
        <w:tc>
          <w:tcPr>
            <w:tcW w:w="1540" w:type="dxa"/>
            <w:tcBorders>
              <w:top w:val="nil"/>
              <w:left w:val="single" w:sz="8" w:space="0" w:color="auto"/>
              <w:bottom w:val="single" w:sz="4" w:space="0" w:color="auto"/>
              <w:right w:val="single" w:sz="8" w:space="0" w:color="auto"/>
              <w:tl2br w:val="nil"/>
              <w:tr2bl w:val="nil"/>
            </w:tcBorders>
            <w:noWrap/>
            <w:textDirection w:val="lrTb"/>
            <w:vAlign w:val="center"/>
          </w:tcPr>
          <w:p w:rsidR="00F67BF3" w:rsidRPr="00F53F8E" w:rsidP="00F67BF3">
            <w:pPr>
              <w:spacing w:line="240" w:lineRule="auto"/>
              <w:jc w:val="right"/>
              <w:rPr>
                <w:rFonts w:ascii="Arial Narrow" w:hAnsi="Arial Narrow" w:cs="Times New Roman"/>
                <w:b/>
                <w:bCs/>
              </w:rPr>
            </w:pPr>
            <w:r>
              <w:rPr>
                <w:rFonts w:ascii="Arial Narrow" w:hAnsi="Arial Narrow" w:cs="Times New Roman"/>
                <w:b/>
                <w:bCs/>
              </w:rPr>
              <w:t>150</w:t>
            </w:r>
            <w:r w:rsidRPr="00F53F8E">
              <w:rPr>
                <w:rFonts w:ascii="Arial Narrow" w:hAnsi="Arial Narrow" w:cs="Times New Roman"/>
                <w:b/>
                <w:bCs/>
              </w:rPr>
              <w:t xml:space="preserve"> 000,00</w:t>
            </w:r>
          </w:p>
        </w:tc>
        <w:tc>
          <w:tcPr>
            <w:tcW w:w="1340" w:type="dxa"/>
            <w:tcBorders>
              <w:top w:val="nil"/>
              <w:left w:val="nil"/>
              <w:bottom w:val="single" w:sz="4" w:space="0" w:color="auto"/>
              <w:right w:val="single" w:sz="8" w:space="0" w:color="auto"/>
              <w:tl2br w:val="nil"/>
              <w:tr2bl w:val="nil"/>
            </w:tcBorders>
            <w:noWrap/>
            <w:textDirection w:val="lrTb"/>
            <w:vAlign w:val="center"/>
          </w:tcPr>
          <w:p w:rsidR="00F67BF3" w:rsidRPr="00F53F8E" w:rsidP="00F67BF3">
            <w:pPr>
              <w:spacing w:line="240" w:lineRule="auto"/>
              <w:jc w:val="right"/>
              <w:rPr>
                <w:rFonts w:ascii="Arial Narrow" w:hAnsi="Arial Narrow" w:cs="Times New Roman"/>
                <w:b/>
                <w:bCs/>
              </w:rPr>
            </w:pPr>
            <w:r w:rsidRPr="00F53F8E">
              <w:rPr>
                <w:rFonts w:ascii="Arial Narrow" w:hAnsi="Arial Narrow" w:cs="Times New Roman"/>
                <w:b/>
                <w:bCs/>
              </w:rPr>
              <w:t> </w:t>
            </w:r>
            <w:r>
              <w:rPr>
                <w:rFonts w:ascii="Arial Narrow" w:hAnsi="Arial Narrow" w:cs="Times New Roman"/>
                <w:b/>
                <w:bCs/>
              </w:rPr>
              <w:t>0,00</w:t>
            </w:r>
          </w:p>
        </w:tc>
        <w:tc>
          <w:tcPr>
            <w:tcW w:w="1224" w:type="dxa"/>
            <w:tcBorders>
              <w:top w:val="nil"/>
              <w:left w:val="nil"/>
              <w:bottom w:val="single" w:sz="4" w:space="0" w:color="auto"/>
              <w:right w:val="single" w:sz="8" w:space="0" w:color="auto"/>
              <w:tl2br w:val="nil"/>
              <w:tr2bl w:val="nil"/>
            </w:tcBorders>
            <w:noWrap/>
            <w:textDirection w:val="lrTb"/>
            <w:vAlign w:val="center"/>
          </w:tcPr>
          <w:p w:rsidR="00F67BF3" w:rsidRPr="00F53F8E" w:rsidP="00F67BF3">
            <w:pPr>
              <w:spacing w:line="240" w:lineRule="auto"/>
              <w:jc w:val="right"/>
              <w:rPr>
                <w:rFonts w:ascii="Arial Narrow" w:hAnsi="Arial Narrow" w:cs="Times New Roman"/>
                <w:b/>
                <w:bCs/>
              </w:rPr>
            </w:pPr>
            <w:r w:rsidRPr="00F53F8E">
              <w:rPr>
                <w:rFonts w:ascii="Arial Narrow" w:hAnsi="Arial Narrow" w:cs="Times New Roman"/>
                <w:b/>
                <w:bCs/>
              </w:rPr>
              <w:t>0,00</w:t>
            </w:r>
          </w:p>
        </w:tc>
        <w:tc>
          <w:tcPr>
            <w:tcW w:w="268" w:type="dxa"/>
            <w:tcBorders>
              <w:top w:val="nil"/>
              <w:left w:val="nil"/>
              <w:bottom w:val="nil"/>
              <w:right w:val="nil"/>
              <w:tl2br w:val="nil"/>
              <w:tr2bl w:val="nil"/>
            </w:tcBorders>
            <w:noWrap/>
            <w:textDirection w:val="lrTb"/>
            <w:vAlign w:val="bottom"/>
          </w:tcPr>
          <w:p w:rsidR="00F67BF3" w:rsidRPr="00F53F8E" w:rsidP="00F67BF3">
            <w:pPr>
              <w:spacing w:line="240" w:lineRule="auto"/>
              <w:rPr>
                <w:rFonts w:ascii="Arial Narrow" w:hAnsi="Arial Narrow" w:cs="Times New Roman"/>
              </w:rPr>
            </w:pPr>
          </w:p>
        </w:tc>
      </w:tr>
      <w:tr>
        <w:tblPrEx>
          <w:tblW w:w="11568" w:type="dxa"/>
          <w:tblInd w:w="-830" w:type="dxa"/>
          <w:tblCellMar>
            <w:left w:w="70" w:type="dxa"/>
            <w:right w:w="70" w:type="dxa"/>
          </w:tblCellMar>
        </w:tblPrEx>
        <w:trPr>
          <w:gridAfter w:val="2"/>
          <w:wAfter w:w="320" w:type="dxa"/>
          <w:trHeight w:val="227"/>
        </w:trPr>
        <w:tc>
          <w:tcPr>
            <w:tcW w:w="660" w:type="dxa"/>
            <w:tcBorders>
              <w:top w:val="nil"/>
              <w:left w:val="single" w:sz="8" w:space="0" w:color="auto"/>
              <w:bottom w:val="single" w:sz="4" w:space="0" w:color="auto"/>
              <w:right w:val="nil"/>
              <w:tl2br w:val="nil"/>
              <w:tr2bl w:val="nil"/>
            </w:tcBorders>
            <w:noWrap/>
            <w:textDirection w:val="lrTb"/>
            <w:vAlign w:val="center"/>
          </w:tcPr>
          <w:p w:rsidR="00F67BF3" w:rsidRPr="00064378" w:rsidP="00F67BF3">
            <w:pPr>
              <w:spacing w:line="240" w:lineRule="auto"/>
              <w:jc w:val="right"/>
              <w:rPr>
                <w:rFonts w:ascii="Arial Narrow" w:hAnsi="Arial Narrow" w:cs="Times New Roman"/>
              </w:rPr>
            </w:pPr>
            <w:r w:rsidRPr="00064378">
              <w:rPr>
                <w:rFonts w:ascii="Arial Narrow" w:hAnsi="Arial Narrow" w:cs="Times New Roman"/>
              </w:rPr>
              <w:t>1557</w:t>
            </w:r>
          </w:p>
        </w:tc>
        <w:tc>
          <w:tcPr>
            <w:tcW w:w="3300" w:type="dxa"/>
            <w:tcBorders>
              <w:top w:val="nil"/>
              <w:left w:val="single" w:sz="8" w:space="0" w:color="auto"/>
              <w:bottom w:val="single" w:sz="4" w:space="0" w:color="auto"/>
              <w:right w:val="nil"/>
              <w:tl2br w:val="nil"/>
              <w:tr2bl w:val="nil"/>
            </w:tcBorders>
            <w:noWrap/>
            <w:textDirection w:val="lrTb"/>
            <w:vAlign w:val="center"/>
          </w:tcPr>
          <w:p w:rsidR="00F67BF3" w:rsidRPr="00064378" w:rsidP="00F67BF3">
            <w:pPr>
              <w:spacing w:line="240" w:lineRule="auto"/>
              <w:rPr>
                <w:rFonts w:ascii="Arial Narrow" w:hAnsi="Arial Narrow" w:cs="Times New Roman"/>
              </w:rPr>
            </w:pPr>
            <w:r w:rsidRPr="00064378">
              <w:rPr>
                <w:rFonts w:ascii="Arial Narrow" w:hAnsi="Arial Narrow" w:cs="Times New Roman"/>
              </w:rPr>
              <w:t xml:space="preserve">D1 Behárovce - Branisko, III.etapa </w:t>
            </w:r>
          </w:p>
        </w:tc>
        <w:tc>
          <w:tcPr>
            <w:tcW w:w="1476" w:type="dxa"/>
            <w:tcBorders>
              <w:top w:val="nil"/>
              <w:left w:val="single" w:sz="8" w:space="0" w:color="auto"/>
              <w:bottom w:val="single" w:sz="4" w:space="0" w:color="auto"/>
              <w:right w:val="nil"/>
              <w:tl2br w:val="nil"/>
              <w:tr2bl w:val="nil"/>
            </w:tcBorders>
            <w:noWrap/>
            <w:textDirection w:val="lrTb"/>
            <w:vAlign w:val="center"/>
          </w:tcPr>
          <w:p w:rsidR="00F67BF3" w:rsidRPr="00F53F8E" w:rsidP="00F67BF3">
            <w:pPr>
              <w:spacing w:line="240" w:lineRule="auto"/>
              <w:jc w:val="right"/>
              <w:rPr>
                <w:rFonts w:ascii="Arial Narrow" w:hAnsi="Arial Narrow" w:cs="Times New Roman"/>
                <w:b/>
                <w:bCs/>
              </w:rPr>
            </w:pPr>
            <w:r w:rsidRPr="00F53F8E">
              <w:rPr>
                <w:rFonts w:ascii="Arial Narrow" w:hAnsi="Arial Narrow" w:cs="Times New Roman"/>
                <w:b/>
                <w:bCs/>
              </w:rPr>
              <w:t>0,00</w:t>
            </w:r>
          </w:p>
        </w:tc>
        <w:tc>
          <w:tcPr>
            <w:tcW w:w="1440" w:type="dxa"/>
            <w:tcBorders>
              <w:top w:val="nil"/>
              <w:left w:val="single" w:sz="8" w:space="0" w:color="auto"/>
              <w:bottom w:val="single" w:sz="4" w:space="0" w:color="auto"/>
              <w:right w:val="nil"/>
              <w:tl2br w:val="nil"/>
              <w:tr2bl w:val="nil"/>
            </w:tcBorders>
            <w:noWrap/>
            <w:textDirection w:val="lrTb"/>
            <w:vAlign w:val="center"/>
          </w:tcPr>
          <w:p w:rsidR="00F67BF3" w:rsidRPr="00F53F8E" w:rsidP="00F67BF3">
            <w:pPr>
              <w:spacing w:line="240" w:lineRule="auto"/>
              <w:jc w:val="right"/>
              <w:rPr>
                <w:rFonts w:ascii="Arial Narrow" w:hAnsi="Arial Narrow" w:cs="Times New Roman"/>
                <w:b/>
                <w:bCs/>
              </w:rPr>
            </w:pPr>
            <w:r>
              <w:rPr>
                <w:rFonts w:ascii="Arial Narrow" w:hAnsi="Arial Narrow" w:cs="Times New Roman"/>
                <w:b/>
                <w:bCs/>
              </w:rPr>
              <w:t>3</w:t>
            </w:r>
            <w:r w:rsidRPr="00F53F8E">
              <w:rPr>
                <w:rFonts w:ascii="Arial Narrow" w:hAnsi="Arial Narrow" w:cs="Times New Roman"/>
                <w:b/>
                <w:bCs/>
              </w:rPr>
              <w:t>5 000,00</w:t>
            </w:r>
          </w:p>
        </w:tc>
        <w:tc>
          <w:tcPr>
            <w:tcW w:w="1540" w:type="dxa"/>
            <w:tcBorders>
              <w:top w:val="nil"/>
              <w:left w:val="single" w:sz="8" w:space="0" w:color="auto"/>
              <w:bottom w:val="single" w:sz="4" w:space="0" w:color="auto"/>
              <w:right w:val="single" w:sz="8" w:space="0" w:color="auto"/>
              <w:tl2br w:val="nil"/>
              <w:tr2bl w:val="nil"/>
            </w:tcBorders>
            <w:noWrap/>
            <w:textDirection w:val="lrTb"/>
            <w:vAlign w:val="center"/>
          </w:tcPr>
          <w:p w:rsidR="00F67BF3" w:rsidRPr="00F53F8E" w:rsidP="00F67BF3">
            <w:pPr>
              <w:spacing w:line="240" w:lineRule="auto"/>
              <w:jc w:val="right"/>
              <w:rPr>
                <w:rFonts w:ascii="Arial Narrow" w:hAnsi="Arial Narrow" w:cs="Times New Roman"/>
                <w:b/>
                <w:bCs/>
              </w:rPr>
            </w:pPr>
            <w:r>
              <w:rPr>
                <w:rFonts w:ascii="Arial Narrow" w:hAnsi="Arial Narrow" w:cs="Times New Roman"/>
                <w:b/>
                <w:bCs/>
              </w:rPr>
              <w:t>3</w:t>
            </w:r>
            <w:r w:rsidRPr="00F53F8E">
              <w:rPr>
                <w:rFonts w:ascii="Arial Narrow" w:hAnsi="Arial Narrow" w:cs="Times New Roman"/>
                <w:b/>
                <w:bCs/>
              </w:rPr>
              <w:t>5 000,00</w:t>
            </w:r>
          </w:p>
        </w:tc>
        <w:tc>
          <w:tcPr>
            <w:tcW w:w="1340" w:type="dxa"/>
            <w:tcBorders>
              <w:top w:val="nil"/>
              <w:left w:val="nil"/>
              <w:bottom w:val="single" w:sz="4" w:space="0" w:color="auto"/>
              <w:right w:val="single" w:sz="8" w:space="0" w:color="auto"/>
              <w:tl2br w:val="nil"/>
              <w:tr2bl w:val="nil"/>
            </w:tcBorders>
            <w:noWrap/>
            <w:textDirection w:val="lrTb"/>
            <w:vAlign w:val="center"/>
          </w:tcPr>
          <w:p w:rsidR="00F67BF3" w:rsidRPr="00F53F8E" w:rsidP="00F67BF3">
            <w:pPr>
              <w:spacing w:line="240" w:lineRule="auto"/>
              <w:jc w:val="right"/>
              <w:rPr>
                <w:rFonts w:ascii="Arial Narrow" w:hAnsi="Arial Narrow" w:cs="Times New Roman"/>
                <w:b/>
                <w:bCs/>
              </w:rPr>
            </w:pPr>
            <w:r w:rsidRPr="00F53F8E">
              <w:rPr>
                <w:rFonts w:ascii="Arial Narrow" w:hAnsi="Arial Narrow" w:cs="Times New Roman"/>
                <w:b/>
                <w:bCs/>
              </w:rPr>
              <w:t> </w:t>
            </w:r>
            <w:r>
              <w:rPr>
                <w:rFonts w:ascii="Arial Narrow" w:hAnsi="Arial Narrow" w:cs="Times New Roman"/>
                <w:b/>
                <w:bCs/>
              </w:rPr>
              <w:t>0,00</w:t>
            </w:r>
          </w:p>
        </w:tc>
        <w:tc>
          <w:tcPr>
            <w:tcW w:w="1224" w:type="dxa"/>
            <w:tcBorders>
              <w:top w:val="nil"/>
              <w:left w:val="nil"/>
              <w:bottom w:val="single" w:sz="4" w:space="0" w:color="auto"/>
              <w:right w:val="single" w:sz="8" w:space="0" w:color="auto"/>
              <w:tl2br w:val="nil"/>
              <w:tr2bl w:val="nil"/>
            </w:tcBorders>
            <w:noWrap/>
            <w:textDirection w:val="lrTb"/>
            <w:vAlign w:val="center"/>
          </w:tcPr>
          <w:p w:rsidR="00F67BF3" w:rsidRPr="00F53F8E" w:rsidP="00F67BF3">
            <w:pPr>
              <w:spacing w:line="240" w:lineRule="auto"/>
              <w:jc w:val="right"/>
              <w:rPr>
                <w:rFonts w:ascii="Arial Narrow" w:hAnsi="Arial Narrow" w:cs="Times New Roman"/>
                <w:b/>
                <w:bCs/>
              </w:rPr>
            </w:pPr>
            <w:r w:rsidRPr="00F53F8E">
              <w:rPr>
                <w:rFonts w:ascii="Arial Narrow" w:hAnsi="Arial Narrow" w:cs="Times New Roman"/>
                <w:b/>
                <w:bCs/>
              </w:rPr>
              <w:t>0,00</w:t>
            </w:r>
          </w:p>
        </w:tc>
        <w:tc>
          <w:tcPr>
            <w:tcW w:w="268" w:type="dxa"/>
            <w:tcBorders>
              <w:top w:val="nil"/>
              <w:left w:val="nil"/>
              <w:bottom w:val="nil"/>
              <w:right w:val="nil"/>
              <w:tl2br w:val="nil"/>
              <w:tr2bl w:val="nil"/>
            </w:tcBorders>
            <w:noWrap/>
            <w:textDirection w:val="lrTb"/>
            <w:vAlign w:val="bottom"/>
          </w:tcPr>
          <w:p w:rsidR="00F67BF3" w:rsidRPr="00F53F8E" w:rsidP="00F67BF3">
            <w:pPr>
              <w:spacing w:line="240" w:lineRule="auto"/>
              <w:rPr>
                <w:rFonts w:ascii="Arial Narrow" w:hAnsi="Arial Narrow" w:cs="Times New Roman"/>
              </w:rPr>
            </w:pPr>
          </w:p>
        </w:tc>
      </w:tr>
      <w:tr>
        <w:tblPrEx>
          <w:tblW w:w="11568" w:type="dxa"/>
          <w:tblInd w:w="-830" w:type="dxa"/>
          <w:tblCellMar>
            <w:left w:w="70" w:type="dxa"/>
            <w:right w:w="70" w:type="dxa"/>
          </w:tblCellMar>
        </w:tblPrEx>
        <w:trPr>
          <w:gridAfter w:val="2"/>
          <w:wAfter w:w="320" w:type="dxa"/>
          <w:trHeight w:val="227"/>
        </w:trPr>
        <w:tc>
          <w:tcPr>
            <w:tcW w:w="660" w:type="dxa"/>
            <w:tcBorders>
              <w:top w:val="nil"/>
              <w:left w:val="single" w:sz="8" w:space="0" w:color="auto"/>
              <w:bottom w:val="single" w:sz="4" w:space="0" w:color="auto"/>
              <w:right w:val="nil"/>
              <w:tl2br w:val="nil"/>
              <w:tr2bl w:val="nil"/>
            </w:tcBorders>
            <w:noWrap/>
            <w:textDirection w:val="lrTb"/>
            <w:vAlign w:val="center"/>
          </w:tcPr>
          <w:p w:rsidR="00F67BF3" w:rsidRPr="00064378" w:rsidP="00F67BF3">
            <w:pPr>
              <w:spacing w:line="240" w:lineRule="auto"/>
              <w:jc w:val="right"/>
              <w:rPr>
                <w:rFonts w:ascii="Arial Narrow" w:hAnsi="Arial Narrow" w:cs="Times New Roman"/>
              </w:rPr>
            </w:pPr>
            <w:r>
              <w:rPr>
                <w:rFonts w:ascii="Arial Narrow" w:hAnsi="Arial Narrow" w:cs="Times New Roman"/>
              </w:rPr>
              <w:t>13319</w:t>
            </w:r>
          </w:p>
        </w:tc>
        <w:tc>
          <w:tcPr>
            <w:tcW w:w="3300" w:type="dxa"/>
            <w:tcBorders>
              <w:top w:val="nil"/>
              <w:left w:val="single" w:sz="8" w:space="0" w:color="auto"/>
              <w:bottom w:val="single" w:sz="4" w:space="0" w:color="auto"/>
              <w:right w:val="nil"/>
              <w:tl2br w:val="nil"/>
              <w:tr2bl w:val="nil"/>
            </w:tcBorders>
            <w:noWrap/>
            <w:textDirection w:val="lrTb"/>
            <w:vAlign w:val="center"/>
          </w:tcPr>
          <w:p w:rsidR="00F67BF3" w:rsidRPr="00064378" w:rsidP="00F67BF3">
            <w:pPr>
              <w:spacing w:line="240" w:lineRule="auto"/>
              <w:rPr>
                <w:rFonts w:ascii="Arial Narrow" w:hAnsi="Arial Narrow" w:cs="Times New Roman"/>
              </w:rPr>
            </w:pPr>
            <w:r>
              <w:rPr>
                <w:rFonts w:ascii="Arial Narrow" w:hAnsi="Arial Narrow" w:cs="Times New Roman"/>
              </w:rPr>
              <w:t xml:space="preserve">D1 Prešov </w:t>
            </w:r>
            <w:r w:rsidR="002710B0">
              <w:rPr>
                <w:rFonts w:ascii="Arial Narrow" w:hAnsi="Arial Narrow" w:cs="Times New Roman"/>
              </w:rPr>
              <w:t>–</w:t>
            </w:r>
            <w:r>
              <w:rPr>
                <w:rFonts w:ascii="Arial Narrow" w:hAnsi="Arial Narrow" w:cs="Times New Roman"/>
              </w:rPr>
              <w:t xml:space="preserve"> Budimír</w:t>
            </w:r>
          </w:p>
        </w:tc>
        <w:tc>
          <w:tcPr>
            <w:tcW w:w="1476" w:type="dxa"/>
            <w:tcBorders>
              <w:top w:val="nil"/>
              <w:left w:val="single" w:sz="8" w:space="0" w:color="auto"/>
              <w:bottom w:val="single" w:sz="4" w:space="0" w:color="auto"/>
              <w:right w:val="nil"/>
              <w:tl2br w:val="nil"/>
              <w:tr2bl w:val="nil"/>
            </w:tcBorders>
            <w:noWrap/>
            <w:textDirection w:val="lrTb"/>
            <w:vAlign w:val="center"/>
          </w:tcPr>
          <w:p w:rsidR="00F67BF3" w:rsidRPr="00F53F8E" w:rsidP="00F67BF3">
            <w:pPr>
              <w:spacing w:line="240" w:lineRule="auto"/>
              <w:jc w:val="right"/>
              <w:rPr>
                <w:rFonts w:ascii="Arial Narrow" w:hAnsi="Arial Narrow" w:cs="Times New Roman"/>
                <w:b/>
                <w:bCs/>
              </w:rPr>
            </w:pPr>
            <w:r>
              <w:rPr>
                <w:rFonts w:ascii="Arial Narrow" w:hAnsi="Arial Narrow" w:cs="Times New Roman"/>
                <w:b/>
                <w:bCs/>
              </w:rPr>
              <w:t>50 000 000,00</w:t>
            </w:r>
          </w:p>
        </w:tc>
        <w:tc>
          <w:tcPr>
            <w:tcW w:w="1440" w:type="dxa"/>
            <w:tcBorders>
              <w:top w:val="nil"/>
              <w:left w:val="single" w:sz="8" w:space="0" w:color="auto"/>
              <w:bottom w:val="single" w:sz="4" w:space="0" w:color="auto"/>
              <w:right w:val="nil"/>
              <w:tl2br w:val="nil"/>
              <w:tr2bl w:val="nil"/>
            </w:tcBorders>
            <w:noWrap/>
            <w:textDirection w:val="lrTb"/>
            <w:vAlign w:val="center"/>
          </w:tcPr>
          <w:p w:rsidR="00F67BF3" w:rsidRPr="00F53F8E" w:rsidP="00F67BF3">
            <w:pPr>
              <w:spacing w:line="240" w:lineRule="auto"/>
              <w:jc w:val="right"/>
              <w:rPr>
                <w:rFonts w:ascii="Arial Narrow" w:hAnsi="Arial Narrow" w:cs="Times New Roman"/>
                <w:b/>
                <w:bCs/>
              </w:rPr>
            </w:pPr>
            <w:r>
              <w:rPr>
                <w:rFonts w:ascii="Arial Narrow" w:hAnsi="Arial Narrow" w:cs="Times New Roman"/>
                <w:b/>
                <w:bCs/>
              </w:rPr>
              <w:t>16 831 000,00</w:t>
            </w:r>
          </w:p>
        </w:tc>
        <w:tc>
          <w:tcPr>
            <w:tcW w:w="1540" w:type="dxa"/>
            <w:tcBorders>
              <w:top w:val="nil"/>
              <w:left w:val="single" w:sz="8" w:space="0" w:color="auto"/>
              <w:bottom w:val="single" w:sz="4" w:space="0" w:color="auto"/>
              <w:right w:val="single" w:sz="8" w:space="0" w:color="auto"/>
              <w:tl2br w:val="nil"/>
              <w:tr2bl w:val="nil"/>
            </w:tcBorders>
            <w:noWrap/>
            <w:textDirection w:val="lrTb"/>
            <w:vAlign w:val="center"/>
          </w:tcPr>
          <w:p w:rsidR="00F67BF3" w:rsidRPr="00F53F8E" w:rsidP="00F67BF3">
            <w:pPr>
              <w:spacing w:line="240" w:lineRule="auto"/>
              <w:jc w:val="right"/>
              <w:rPr>
                <w:rFonts w:ascii="Arial Narrow" w:hAnsi="Arial Narrow" w:cs="Times New Roman"/>
                <w:b/>
                <w:bCs/>
              </w:rPr>
            </w:pPr>
            <w:r>
              <w:rPr>
                <w:rFonts w:ascii="Arial Narrow" w:hAnsi="Arial Narrow" w:cs="Times New Roman"/>
                <w:b/>
                <w:bCs/>
              </w:rPr>
              <w:t>16 831 000,00</w:t>
            </w:r>
          </w:p>
        </w:tc>
        <w:tc>
          <w:tcPr>
            <w:tcW w:w="1340" w:type="dxa"/>
            <w:tcBorders>
              <w:top w:val="nil"/>
              <w:left w:val="nil"/>
              <w:bottom w:val="single" w:sz="4" w:space="0" w:color="auto"/>
              <w:right w:val="single" w:sz="8" w:space="0" w:color="auto"/>
              <w:tl2br w:val="nil"/>
              <w:tr2bl w:val="nil"/>
            </w:tcBorders>
            <w:noWrap/>
            <w:textDirection w:val="lrTb"/>
            <w:vAlign w:val="center"/>
          </w:tcPr>
          <w:p w:rsidR="00F67BF3" w:rsidRPr="00F53F8E" w:rsidP="00F67BF3">
            <w:pPr>
              <w:spacing w:line="240" w:lineRule="auto"/>
              <w:jc w:val="right"/>
              <w:rPr>
                <w:rFonts w:ascii="Arial Narrow" w:hAnsi="Arial Narrow" w:cs="Times New Roman"/>
                <w:b/>
                <w:bCs/>
              </w:rPr>
            </w:pPr>
            <w:r>
              <w:rPr>
                <w:rFonts w:ascii="Arial Narrow" w:hAnsi="Arial Narrow" w:cs="Times New Roman"/>
                <w:b/>
                <w:bCs/>
              </w:rPr>
              <w:t>0,00</w:t>
            </w:r>
          </w:p>
        </w:tc>
        <w:tc>
          <w:tcPr>
            <w:tcW w:w="1224" w:type="dxa"/>
            <w:tcBorders>
              <w:top w:val="nil"/>
              <w:left w:val="nil"/>
              <w:bottom w:val="single" w:sz="4" w:space="0" w:color="auto"/>
              <w:right w:val="single" w:sz="8" w:space="0" w:color="auto"/>
              <w:tl2br w:val="nil"/>
              <w:tr2bl w:val="nil"/>
            </w:tcBorders>
            <w:noWrap/>
            <w:textDirection w:val="lrTb"/>
            <w:vAlign w:val="center"/>
          </w:tcPr>
          <w:p w:rsidR="00F67BF3" w:rsidRPr="00F53F8E" w:rsidP="00F67BF3">
            <w:pPr>
              <w:spacing w:line="240" w:lineRule="auto"/>
              <w:jc w:val="right"/>
              <w:rPr>
                <w:rFonts w:ascii="Arial Narrow" w:hAnsi="Arial Narrow" w:cs="Times New Roman"/>
                <w:b/>
                <w:bCs/>
              </w:rPr>
            </w:pPr>
            <w:r>
              <w:rPr>
                <w:rFonts w:ascii="Arial Narrow" w:hAnsi="Arial Narrow" w:cs="Times New Roman"/>
                <w:b/>
                <w:bCs/>
              </w:rPr>
              <w:t>0,00</w:t>
            </w:r>
          </w:p>
        </w:tc>
        <w:tc>
          <w:tcPr>
            <w:tcW w:w="268" w:type="dxa"/>
            <w:tcBorders>
              <w:top w:val="nil"/>
              <w:left w:val="nil"/>
              <w:bottom w:val="nil"/>
              <w:right w:val="nil"/>
              <w:tl2br w:val="nil"/>
              <w:tr2bl w:val="nil"/>
            </w:tcBorders>
            <w:noWrap/>
            <w:textDirection w:val="lrTb"/>
            <w:vAlign w:val="bottom"/>
          </w:tcPr>
          <w:p w:rsidR="00F67BF3" w:rsidRPr="00F53F8E" w:rsidP="00F67BF3">
            <w:pPr>
              <w:spacing w:line="240" w:lineRule="auto"/>
              <w:rPr>
                <w:rFonts w:ascii="Arial Narrow" w:hAnsi="Arial Narrow" w:cs="Times New Roman"/>
              </w:rPr>
            </w:pPr>
          </w:p>
        </w:tc>
      </w:tr>
      <w:tr>
        <w:tblPrEx>
          <w:tblW w:w="11568" w:type="dxa"/>
          <w:tblInd w:w="-830" w:type="dxa"/>
          <w:tblCellMar>
            <w:left w:w="70" w:type="dxa"/>
            <w:right w:w="70" w:type="dxa"/>
          </w:tblCellMar>
        </w:tblPrEx>
        <w:trPr>
          <w:gridAfter w:val="2"/>
          <w:wAfter w:w="320" w:type="dxa"/>
          <w:trHeight w:val="227"/>
        </w:trPr>
        <w:tc>
          <w:tcPr>
            <w:tcW w:w="660" w:type="dxa"/>
            <w:tcBorders>
              <w:top w:val="nil"/>
              <w:left w:val="single" w:sz="8" w:space="0" w:color="auto"/>
              <w:bottom w:val="single" w:sz="4" w:space="0" w:color="auto"/>
              <w:right w:val="nil"/>
              <w:tl2br w:val="nil"/>
              <w:tr2bl w:val="nil"/>
            </w:tcBorders>
            <w:noWrap/>
            <w:textDirection w:val="lrTb"/>
            <w:vAlign w:val="center"/>
          </w:tcPr>
          <w:p w:rsidR="00F67BF3" w:rsidRPr="00064378" w:rsidP="00F67BF3">
            <w:pPr>
              <w:spacing w:line="240" w:lineRule="auto"/>
              <w:jc w:val="right"/>
              <w:rPr>
                <w:rFonts w:ascii="Arial Narrow" w:hAnsi="Arial Narrow" w:cs="Times New Roman"/>
              </w:rPr>
            </w:pPr>
            <w:r w:rsidRPr="00064378">
              <w:rPr>
                <w:rFonts w:ascii="Arial Narrow" w:hAnsi="Arial Narrow" w:cs="Times New Roman"/>
              </w:rPr>
              <w:t>13316</w:t>
            </w:r>
          </w:p>
        </w:tc>
        <w:tc>
          <w:tcPr>
            <w:tcW w:w="3300" w:type="dxa"/>
            <w:tcBorders>
              <w:top w:val="nil"/>
              <w:left w:val="single" w:sz="8" w:space="0" w:color="auto"/>
              <w:bottom w:val="single" w:sz="4" w:space="0" w:color="auto"/>
              <w:right w:val="nil"/>
              <w:tl2br w:val="nil"/>
              <w:tr2bl w:val="nil"/>
            </w:tcBorders>
            <w:noWrap/>
            <w:textDirection w:val="lrTb"/>
            <w:vAlign w:val="center"/>
          </w:tcPr>
          <w:p w:rsidR="00F67BF3" w:rsidRPr="00064378" w:rsidP="00F67BF3">
            <w:pPr>
              <w:spacing w:line="240" w:lineRule="auto"/>
              <w:rPr>
                <w:rFonts w:ascii="Arial Narrow" w:hAnsi="Arial Narrow" w:cs="Times New Roman"/>
              </w:rPr>
            </w:pPr>
            <w:r w:rsidRPr="00064378">
              <w:rPr>
                <w:rFonts w:ascii="Arial Narrow" w:hAnsi="Arial Narrow" w:cs="Times New Roman"/>
              </w:rPr>
              <w:t>D1 Svinia - Prešov západ</w:t>
            </w:r>
          </w:p>
        </w:tc>
        <w:tc>
          <w:tcPr>
            <w:tcW w:w="1476" w:type="dxa"/>
            <w:tcBorders>
              <w:top w:val="nil"/>
              <w:left w:val="single" w:sz="8" w:space="0" w:color="auto"/>
              <w:bottom w:val="single" w:sz="4" w:space="0" w:color="auto"/>
              <w:right w:val="nil"/>
              <w:tl2br w:val="nil"/>
              <w:tr2bl w:val="nil"/>
            </w:tcBorders>
            <w:noWrap/>
            <w:textDirection w:val="lrTb"/>
            <w:vAlign w:val="center"/>
          </w:tcPr>
          <w:p w:rsidR="00F67BF3" w:rsidRPr="00F53F8E" w:rsidP="00F67BF3">
            <w:pPr>
              <w:spacing w:line="240" w:lineRule="auto"/>
              <w:jc w:val="right"/>
              <w:rPr>
                <w:rFonts w:ascii="Arial Narrow" w:hAnsi="Arial Narrow" w:cs="Times New Roman"/>
                <w:b/>
                <w:bCs/>
              </w:rPr>
            </w:pPr>
            <w:r>
              <w:rPr>
                <w:rFonts w:ascii="Arial Narrow" w:hAnsi="Arial Narrow" w:cs="Times New Roman"/>
                <w:b/>
                <w:bCs/>
              </w:rPr>
              <w:t>1 750 000</w:t>
            </w:r>
            <w:r w:rsidRPr="00F53F8E">
              <w:rPr>
                <w:rFonts w:ascii="Arial Narrow" w:hAnsi="Arial Narrow" w:cs="Times New Roman"/>
                <w:b/>
                <w:bCs/>
              </w:rPr>
              <w:t xml:space="preserve"> 000,00</w:t>
            </w:r>
          </w:p>
        </w:tc>
        <w:tc>
          <w:tcPr>
            <w:tcW w:w="1440" w:type="dxa"/>
            <w:tcBorders>
              <w:top w:val="nil"/>
              <w:left w:val="single" w:sz="8" w:space="0" w:color="auto"/>
              <w:bottom w:val="single" w:sz="4" w:space="0" w:color="auto"/>
              <w:right w:val="nil"/>
              <w:tl2br w:val="nil"/>
              <w:tr2bl w:val="nil"/>
            </w:tcBorders>
            <w:noWrap/>
            <w:textDirection w:val="lrTb"/>
            <w:vAlign w:val="center"/>
          </w:tcPr>
          <w:p w:rsidR="00F67BF3" w:rsidRPr="00F53F8E" w:rsidP="00F67BF3">
            <w:pPr>
              <w:spacing w:line="240" w:lineRule="auto"/>
              <w:jc w:val="right"/>
              <w:rPr>
                <w:rFonts w:ascii="Arial Narrow" w:hAnsi="Arial Narrow" w:cs="Times New Roman"/>
                <w:b/>
                <w:bCs/>
              </w:rPr>
            </w:pPr>
            <w:r>
              <w:rPr>
                <w:rFonts w:ascii="Arial Narrow" w:hAnsi="Arial Narrow" w:cs="Times New Roman"/>
                <w:b/>
                <w:bCs/>
              </w:rPr>
              <w:t>1 731 120 000,00</w:t>
            </w:r>
          </w:p>
        </w:tc>
        <w:tc>
          <w:tcPr>
            <w:tcW w:w="1540" w:type="dxa"/>
            <w:tcBorders>
              <w:top w:val="nil"/>
              <w:left w:val="single" w:sz="8" w:space="0" w:color="auto"/>
              <w:bottom w:val="single" w:sz="4" w:space="0" w:color="auto"/>
              <w:right w:val="single" w:sz="8" w:space="0" w:color="auto"/>
              <w:tl2br w:val="nil"/>
              <w:tr2bl w:val="nil"/>
            </w:tcBorders>
            <w:noWrap/>
            <w:textDirection w:val="lrTb"/>
            <w:vAlign w:val="center"/>
          </w:tcPr>
          <w:p w:rsidR="00F67BF3" w:rsidRPr="00F53F8E" w:rsidP="00F67BF3">
            <w:pPr>
              <w:spacing w:line="240" w:lineRule="auto"/>
              <w:jc w:val="right"/>
              <w:rPr>
                <w:rFonts w:ascii="Arial Narrow" w:hAnsi="Arial Narrow" w:cs="Times New Roman"/>
                <w:b/>
                <w:bCs/>
              </w:rPr>
            </w:pPr>
            <w:r>
              <w:rPr>
                <w:rFonts w:ascii="Arial Narrow" w:hAnsi="Arial Narrow" w:cs="Times New Roman"/>
                <w:b/>
                <w:bCs/>
              </w:rPr>
              <w:t>1 002 294 854,60</w:t>
            </w:r>
          </w:p>
        </w:tc>
        <w:tc>
          <w:tcPr>
            <w:tcW w:w="1340" w:type="dxa"/>
            <w:tcBorders>
              <w:top w:val="nil"/>
              <w:left w:val="nil"/>
              <w:bottom w:val="single" w:sz="4" w:space="0" w:color="auto"/>
              <w:right w:val="single" w:sz="8" w:space="0" w:color="auto"/>
              <w:tl2br w:val="nil"/>
              <w:tr2bl w:val="nil"/>
            </w:tcBorders>
            <w:noWrap/>
            <w:textDirection w:val="lrTb"/>
            <w:vAlign w:val="center"/>
          </w:tcPr>
          <w:p w:rsidR="00F67BF3" w:rsidRPr="00F53F8E" w:rsidP="00F67BF3">
            <w:pPr>
              <w:spacing w:line="240" w:lineRule="auto"/>
              <w:jc w:val="right"/>
              <w:rPr>
                <w:rFonts w:ascii="Arial Narrow" w:hAnsi="Arial Narrow" w:cs="Times New Roman"/>
                <w:b/>
                <w:bCs/>
              </w:rPr>
            </w:pPr>
            <w:r>
              <w:rPr>
                <w:rFonts w:ascii="Arial Narrow" w:hAnsi="Arial Narrow" w:cs="Times New Roman"/>
                <w:b/>
                <w:bCs/>
              </w:rPr>
              <w:t>728 000 000,00</w:t>
            </w:r>
          </w:p>
        </w:tc>
        <w:tc>
          <w:tcPr>
            <w:tcW w:w="1224" w:type="dxa"/>
            <w:tcBorders>
              <w:top w:val="nil"/>
              <w:left w:val="nil"/>
              <w:bottom w:val="single" w:sz="4" w:space="0" w:color="auto"/>
              <w:right w:val="single" w:sz="8" w:space="0" w:color="auto"/>
              <w:tl2br w:val="nil"/>
              <w:tr2bl w:val="nil"/>
            </w:tcBorders>
            <w:noWrap/>
            <w:textDirection w:val="lrTb"/>
            <w:vAlign w:val="center"/>
          </w:tcPr>
          <w:p w:rsidR="00F67BF3" w:rsidRPr="00F53F8E" w:rsidP="00F67BF3">
            <w:pPr>
              <w:spacing w:line="240" w:lineRule="auto"/>
              <w:jc w:val="right"/>
              <w:rPr>
                <w:rFonts w:ascii="Arial Narrow" w:hAnsi="Arial Narrow" w:cs="Times New Roman"/>
                <w:b/>
                <w:bCs/>
              </w:rPr>
            </w:pPr>
            <w:r>
              <w:rPr>
                <w:rFonts w:ascii="Arial Narrow" w:hAnsi="Arial Narrow" w:cs="Times New Roman"/>
                <w:b/>
                <w:bCs/>
              </w:rPr>
              <w:t>825 145,40</w:t>
            </w:r>
          </w:p>
        </w:tc>
        <w:tc>
          <w:tcPr>
            <w:tcW w:w="268" w:type="dxa"/>
            <w:tcBorders>
              <w:top w:val="nil"/>
              <w:left w:val="nil"/>
              <w:bottom w:val="nil"/>
              <w:right w:val="nil"/>
              <w:tl2br w:val="nil"/>
              <w:tr2bl w:val="nil"/>
            </w:tcBorders>
            <w:noWrap/>
            <w:textDirection w:val="lrTb"/>
            <w:vAlign w:val="bottom"/>
          </w:tcPr>
          <w:p w:rsidR="00F67BF3" w:rsidRPr="00F53F8E" w:rsidP="00F67BF3">
            <w:pPr>
              <w:spacing w:line="240" w:lineRule="auto"/>
              <w:rPr>
                <w:rFonts w:ascii="Arial Narrow" w:hAnsi="Arial Narrow" w:cs="Times New Roman"/>
              </w:rPr>
            </w:pPr>
          </w:p>
        </w:tc>
      </w:tr>
      <w:tr>
        <w:tblPrEx>
          <w:tblW w:w="11568" w:type="dxa"/>
          <w:tblInd w:w="-830" w:type="dxa"/>
          <w:tblCellMar>
            <w:left w:w="70" w:type="dxa"/>
            <w:right w:w="70" w:type="dxa"/>
          </w:tblCellMar>
        </w:tblPrEx>
        <w:trPr>
          <w:gridAfter w:val="2"/>
          <w:wAfter w:w="320" w:type="dxa"/>
          <w:trHeight w:val="227"/>
        </w:trPr>
        <w:tc>
          <w:tcPr>
            <w:tcW w:w="660" w:type="dxa"/>
            <w:tcBorders>
              <w:top w:val="single" w:sz="4" w:space="0" w:color="auto"/>
              <w:left w:val="single" w:sz="4" w:space="0" w:color="auto"/>
              <w:bottom w:val="single" w:sz="4" w:space="0" w:color="auto"/>
              <w:right w:val="nil"/>
              <w:tl2br w:val="nil"/>
              <w:tr2bl w:val="nil"/>
            </w:tcBorders>
            <w:noWrap/>
            <w:textDirection w:val="lrTb"/>
            <w:vAlign w:val="center"/>
          </w:tcPr>
          <w:p w:rsidR="00F67BF3" w:rsidRPr="00064378" w:rsidP="00F67BF3">
            <w:pPr>
              <w:spacing w:line="240" w:lineRule="auto"/>
              <w:jc w:val="right"/>
              <w:rPr>
                <w:rFonts w:ascii="Arial Narrow" w:hAnsi="Arial Narrow" w:cs="Times New Roman"/>
              </w:rPr>
            </w:pPr>
            <w:r w:rsidRPr="00064378">
              <w:rPr>
                <w:rFonts w:ascii="Arial Narrow" w:hAnsi="Arial Narrow" w:cs="Times New Roman"/>
              </w:rPr>
              <w:t> </w:t>
            </w:r>
          </w:p>
        </w:tc>
        <w:tc>
          <w:tcPr>
            <w:tcW w:w="3300" w:type="dxa"/>
            <w:tcBorders>
              <w:top w:val="single" w:sz="4" w:space="0" w:color="auto"/>
              <w:left w:val="single" w:sz="8" w:space="0" w:color="auto"/>
              <w:bottom w:val="single" w:sz="4" w:space="0" w:color="auto"/>
              <w:right w:val="single" w:sz="4" w:space="0" w:color="auto"/>
              <w:tl2br w:val="nil"/>
              <w:tr2bl w:val="nil"/>
            </w:tcBorders>
            <w:noWrap/>
            <w:textDirection w:val="lrTb"/>
            <w:vAlign w:val="center"/>
          </w:tcPr>
          <w:p w:rsidR="00F67BF3" w:rsidRPr="00064378" w:rsidP="00F67BF3">
            <w:pPr>
              <w:spacing w:line="240" w:lineRule="auto"/>
              <w:rPr>
                <w:rFonts w:ascii="Arial Narrow" w:hAnsi="Arial Narrow" w:cs="Times New Roman"/>
                <w:color w:val="FF0000"/>
              </w:rPr>
            </w:pPr>
            <w:r w:rsidRPr="00064378">
              <w:rPr>
                <w:rFonts w:ascii="Arial Narrow" w:hAnsi="Arial Narrow" w:cs="Times New Roman"/>
                <w:color w:val="FF0000"/>
              </w:rPr>
              <w:t>v tom: úver EIB VI.</w:t>
            </w:r>
          </w:p>
        </w:tc>
        <w:tc>
          <w:tcPr>
            <w:tcW w:w="1476" w:type="dxa"/>
            <w:tcBorders>
              <w:top w:val="nil"/>
              <w:left w:val="single" w:sz="4" w:space="0" w:color="auto"/>
              <w:bottom w:val="single" w:sz="4" w:space="0" w:color="auto"/>
              <w:right w:val="nil"/>
              <w:tl2br w:val="nil"/>
              <w:tr2bl w:val="nil"/>
            </w:tcBorders>
            <w:noWrap/>
            <w:textDirection w:val="lrTb"/>
            <w:vAlign w:val="center"/>
          </w:tcPr>
          <w:p w:rsidR="00F67BF3" w:rsidRPr="00F53F8E" w:rsidP="00F67BF3">
            <w:pPr>
              <w:spacing w:line="240" w:lineRule="auto"/>
              <w:jc w:val="right"/>
              <w:rPr>
                <w:rFonts w:ascii="Arial Narrow" w:hAnsi="Arial Narrow" w:cs="Times New Roman"/>
                <w:b/>
                <w:bCs/>
                <w:color w:val="FF0000"/>
              </w:rPr>
            </w:pPr>
            <w:r>
              <w:rPr>
                <w:rFonts w:ascii="Arial Narrow" w:hAnsi="Arial Narrow" w:cs="Times New Roman"/>
                <w:b/>
                <w:bCs/>
                <w:color w:val="FF0000"/>
              </w:rPr>
              <w:t xml:space="preserve">1 750 </w:t>
            </w:r>
            <w:r>
              <w:rPr>
                <w:rFonts w:ascii="Arial Narrow" w:hAnsi="Arial Narrow" w:cs="Times New Roman"/>
                <w:b/>
                <w:bCs/>
                <w:color w:val="FF0000"/>
              </w:rPr>
              <w:t>000</w:t>
            </w:r>
            <w:r w:rsidRPr="00F53F8E">
              <w:rPr>
                <w:rFonts w:ascii="Arial Narrow" w:hAnsi="Arial Narrow" w:cs="Times New Roman"/>
                <w:b/>
                <w:bCs/>
                <w:color w:val="FF0000"/>
              </w:rPr>
              <w:t xml:space="preserve"> 000,00</w:t>
            </w:r>
          </w:p>
        </w:tc>
        <w:tc>
          <w:tcPr>
            <w:tcW w:w="1440" w:type="dxa"/>
            <w:tcBorders>
              <w:top w:val="nil"/>
              <w:left w:val="single" w:sz="8" w:space="0" w:color="auto"/>
              <w:bottom w:val="single" w:sz="4" w:space="0" w:color="auto"/>
              <w:right w:val="nil"/>
              <w:tl2br w:val="nil"/>
              <w:tr2bl w:val="nil"/>
            </w:tcBorders>
            <w:noWrap/>
            <w:textDirection w:val="lrTb"/>
            <w:vAlign w:val="center"/>
          </w:tcPr>
          <w:p w:rsidR="00F67BF3" w:rsidRPr="00F53F8E" w:rsidP="00F67BF3">
            <w:pPr>
              <w:spacing w:line="240" w:lineRule="auto"/>
              <w:jc w:val="right"/>
              <w:rPr>
                <w:rFonts w:ascii="Arial Narrow" w:hAnsi="Arial Narrow" w:cs="Times New Roman"/>
                <w:b/>
                <w:bCs/>
                <w:color w:val="FF0000"/>
              </w:rPr>
            </w:pPr>
            <w:r>
              <w:rPr>
                <w:rFonts w:ascii="Arial Narrow" w:hAnsi="Arial Narrow" w:cs="Times New Roman"/>
                <w:b/>
                <w:bCs/>
                <w:color w:val="FF0000"/>
              </w:rPr>
              <w:t>1 731 000 000,00</w:t>
            </w:r>
          </w:p>
        </w:tc>
        <w:tc>
          <w:tcPr>
            <w:tcW w:w="1540" w:type="dxa"/>
            <w:tcBorders>
              <w:top w:val="nil"/>
              <w:left w:val="single" w:sz="8" w:space="0" w:color="auto"/>
              <w:bottom w:val="single" w:sz="4" w:space="0" w:color="auto"/>
              <w:right w:val="single" w:sz="8" w:space="0" w:color="auto"/>
              <w:tl2br w:val="nil"/>
              <w:tr2bl w:val="nil"/>
            </w:tcBorders>
            <w:noWrap/>
            <w:textDirection w:val="lrTb"/>
            <w:vAlign w:val="center"/>
          </w:tcPr>
          <w:p w:rsidR="00F67BF3" w:rsidRPr="00F53F8E" w:rsidP="00F67BF3">
            <w:pPr>
              <w:spacing w:line="240" w:lineRule="auto"/>
              <w:jc w:val="right"/>
              <w:rPr>
                <w:rFonts w:ascii="Arial Narrow" w:hAnsi="Arial Narrow" w:cs="Times New Roman"/>
                <w:b/>
                <w:bCs/>
                <w:color w:val="FF0000"/>
              </w:rPr>
            </w:pPr>
            <w:r>
              <w:rPr>
                <w:rFonts w:ascii="Arial Narrow" w:hAnsi="Arial Narrow" w:cs="Times New Roman"/>
                <w:b/>
                <w:bCs/>
                <w:color w:val="FF0000"/>
              </w:rPr>
              <w:t>1 002 174 854,60</w:t>
            </w:r>
          </w:p>
        </w:tc>
        <w:tc>
          <w:tcPr>
            <w:tcW w:w="1340" w:type="dxa"/>
            <w:tcBorders>
              <w:top w:val="nil"/>
              <w:left w:val="nil"/>
              <w:bottom w:val="single" w:sz="4" w:space="0" w:color="auto"/>
              <w:right w:val="single" w:sz="8" w:space="0" w:color="auto"/>
              <w:tl2br w:val="nil"/>
              <w:tr2bl w:val="nil"/>
            </w:tcBorders>
            <w:noWrap/>
            <w:textDirection w:val="lrTb"/>
            <w:vAlign w:val="center"/>
          </w:tcPr>
          <w:p w:rsidR="00F67BF3" w:rsidRPr="00F53F8E" w:rsidP="00F67BF3">
            <w:pPr>
              <w:spacing w:line="240" w:lineRule="auto"/>
              <w:jc w:val="right"/>
              <w:rPr>
                <w:rFonts w:ascii="Arial Narrow" w:hAnsi="Arial Narrow" w:cs="Times New Roman"/>
                <w:b/>
                <w:bCs/>
                <w:color w:val="FF0000"/>
              </w:rPr>
            </w:pPr>
            <w:r>
              <w:rPr>
                <w:rFonts w:ascii="Arial Narrow" w:hAnsi="Arial Narrow" w:cs="Times New Roman"/>
                <w:b/>
                <w:bCs/>
                <w:color w:val="FF0000"/>
              </w:rPr>
              <w:t>728</w:t>
            </w:r>
            <w:r w:rsidRPr="00F53F8E">
              <w:rPr>
                <w:rFonts w:ascii="Arial Narrow" w:hAnsi="Arial Narrow" w:cs="Times New Roman"/>
                <w:b/>
                <w:bCs/>
                <w:color w:val="FF0000"/>
              </w:rPr>
              <w:t xml:space="preserve"> 000 000,00</w:t>
            </w:r>
          </w:p>
        </w:tc>
        <w:tc>
          <w:tcPr>
            <w:tcW w:w="1224" w:type="dxa"/>
            <w:tcBorders>
              <w:top w:val="nil"/>
              <w:left w:val="nil"/>
              <w:bottom w:val="single" w:sz="4" w:space="0" w:color="auto"/>
              <w:right w:val="single" w:sz="8" w:space="0" w:color="auto"/>
              <w:tl2br w:val="nil"/>
              <w:tr2bl w:val="nil"/>
            </w:tcBorders>
            <w:noWrap/>
            <w:textDirection w:val="lrTb"/>
            <w:vAlign w:val="center"/>
          </w:tcPr>
          <w:p w:rsidR="00F67BF3" w:rsidRPr="00F53F8E" w:rsidP="00F67BF3">
            <w:pPr>
              <w:spacing w:line="240" w:lineRule="auto"/>
              <w:jc w:val="right"/>
              <w:rPr>
                <w:rFonts w:ascii="Arial Narrow" w:hAnsi="Arial Narrow" w:cs="Times New Roman"/>
                <w:b/>
                <w:bCs/>
                <w:color w:val="FF0000"/>
              </w:rPr>
            </w:pPr>
            <w:r>
              <w:rPr>
                <w:rFonts w:ascii="Arial Narrow" w:hAnsi="Arial Narrow" w:cs="Times New Roman"/>
                <w:b/>
                <w:bCs/>
                <w:color w:val="FF0000"/>
              </w:rPr>
              <w:t>825 145,40</w:t>
            </w:r>
          </w:p>
        </w:tc>
        <w:tc>
          <w:tcPr>
            <w:tcW w:w="268" w:type="dxa"/>
            <w:tcBorders>
              <w:top w:val="nil"/>
              <w:left w:val="nil"/>
              <w:bottom w:val="nil"/>
              <w:right w:val="nil"/>
              <w:tl2br w:val="nil"/>
              <w:tr2bl w:val="nil"/>
            </w:tcBorders>
            <w:noWrap/>
            <w:textDirection w:val="lrTb"/>
            <w:vAlign w:val="bottom"/>
          </w:tcPr>
          <w:p w:rsidR="00F67BF3" w:rsidRPr="00F53F8E" w:rsidP="00F67BF3">
            <w:pPr>
              <w:spacing w:line="240" w:lineRule="auto"/>
              <w:rPr>
                <w:rFonts w:ascii="Arial Narrow" w:hAnsi="Arial Narrow" w:cs="Times New Roman"/>
              </w:rPr>
            </w:pPr>
          </w:p>
        </w:tc>
      </w:tr>
      <w:tr>
        <w:tblPrEx>
          <w:tblW w:w="11568" w:type="dxa"/>
          <w:tblInd w:w="-830" w:type="dxa"/>
          <w:tblCellMar>
            <w:left w:w="70" w:type="dxa"/>
            <w:right w:w="70" w:type="dxa"/>
          </w:tblCellMar>
        </w:tblPrEx>
        <w:trPr>
          <w:gridAfter w:val="2"/>
          <w:wAfter w:w="320" w:type="dxa"/>
          <w:trHeight w:val="227"/>
        </w:trPr>
        <w:tc>
          <w:tcPr>
            <w:tcW w:w="660" w:type="dxa"/>
            <w:tcBorders>
              <w:top w:val="single" w:sz="4" w:space="0" w:color="auto"/>
              <w:left w:val="single" w:sz="8" w:space="0" w:color="auto"/>
              <w:bottom w:val="single" w:sz="4" w:space="0" w:color="auto"/>
              <w:right w:val="single" w:sz="8" w:space="0" w:color="auto"/>
              <w:tl2br w:val="nil"/>
              <w:tr2bl w:val="nil"/>
            </w:tcBorders>
            <w:noWrap/>
            <w:textDirection w:val="lrTb"/>
            <w:vAlign w:val="center"/>
          </w:tcPr>
          <w:p w:rsidR="00F67BF3" w:rsidRPr="00064378" w:rsidP="00F67BF3">
            <w:pPr>
              <w:spacing w:line="240" w:lineRule="auto"/>
              <w:jc w:val="right"/>
              <w:rPr>
                <w:rFonts w:ascii="Arial Narrow" w:hAnsi="Arial Narrow" w:cs="Times New Roman"/>
              </w:rPr>
            </w:pPr>
            <w:r>
              <w:rPr>
                <w:rFonts w:ascii="Arial Narrow" w:hAnsi="Arial Narrow" w:cs="Times New Roman"/>
              </w:rPr>
              <w:t>05709</w:t>
            </w:r>
          </w:p>
        </w:tc>
        <w:tc>
          <w:tcPr>
            <w:tcW w:w="3300" w:type="dxa"/>
            <w:tcBorders>
              <w:top w:val="single" w:sz="4" w:space="0" w:color="auto"/>
              <w:left w:val="nil"/>
              <w:bottom w:val="single" w:sz="4" w:space="0" w:color="auto"/>
              <w:right w:val="nil"/>
              <w:tl2br w:val="nil"/>
              <w:tr2bl w:val="nil"/>
            </w:tcBorders>
            <w:noWrap/>
            <w:textDirection w:val="lrTb"/>
            <w:vAlign w:val="center"/>
          </w:tcPr>
          <w:p w:rsidR="00F67BF3" w:rsidRPr="00064378" w:rsidP="00F67BF3">
            <w:pPr>
              <w:spacing w:line="240" w:lineRule="auto"/>
              <w:rPr>
                <w:rFonts w:ascii="Arial Narrow" w:hAnsi="Arial Narrow" w:cs="Times New Roman"/>
              </w:rPr>
            </w:pPr>
            <w:r>
              <w:rPr>
                <w:rFonts w:ascii="Arial Narrow" w:hAnsi="Arial Narrow" w:cs="Times New Roman"/>
              </w:rPr>
              <w:t>D1 SSÚD Trenčín - modernizácia ISD D3</w:t>
            </w:r>
          </w:p>
        </w:tc>
        <w:tc>
          <w:tcPr>
            <w:tcW w:w="1476" w:type="dxa"/>
            <w:tcBorders>
              <w:top w:val="nil"/>
              <w:left w:val="single" w:sz="8" w:space="0" w:color="auto"/>
              <w:bottom w:val="single" w:sz="4" w:space="0" w:color="auto"/>
              <w:right w:val="nil"/>
              <w:tl2br w:val="nil"/>
              <w:tr2bl w:val="nil"/>
            </w:tcBorders>
            <w:noWrap/>
            <w:textDirection w:val="lrTb"/>
            <w:vAlign w:val="center"/>
          </w:tcPr>
          <w:p w:rsidR="00F67BF3" w:rsidRPr="00F53F8E" w:rsidP="00F67BF3">
            <w:pPr>
              <w:spacing w:line="240" w:lineRule="auto"/>
              <w:jc w:val="right"/>
              <w:rPr>
                <w:rFonts w:ascii="Arial Narrow" w:hAnsi="Arial Narrow" w:cs="Times New Roman"/>
                <w:b/>
                <w:bCs/>
              </w:rPr>
            </w:pPr>
            <w:r>
              <w:rPr>
                <w:rFonts w:ascii="Arial Narrow" w:hAnsi="Arial Narrow" w:cs="Times New Roman"/>
                <w:b/>
                <w:bCs/>
              </w:rPr>
              <w:t>15 000 000,00</w:t>
            </w:r>
          </w:p>
        </w:tc>
        <w:tc>
          <w:tcPr>
            <w:tcW w:w="1440" w:type="dxa"/>
            <w:tcBorders>
              <w:top w:val="nil"/>
              <w:left w:val="single" w:sz="8" w:space="0" w:color="auto"/>
              <w:bottom w:val="single" w:sz="4" w:space="0" w:color="auto"/>
              <w:right w:val="nil"/>
              <w:tl2br w:val="nil"/>
              <w:tr2bl w:val="nil"/>
            </w:tcBorders>
            <w:noWrap/>
            <w:textDirection w:val="lrTb"/>
            <w:vAlign w:val="center"/>
          </w:tcPr>
          <w:p w:rsidR="00F67BF3" w:rsidRPr="00F53F8E" w:rsidP="00F67BF3">
            <w:pPr>
              <w:spacing w:line="240" w:lineRule="auto"/>
              <w:jc w:val="right"/>
              <w:rPr>
                <w:rFonts w:ascii="Arial Narrow" w:hAnsi="Arial Narrow" w:cs="Times New Roman"/>
                <w:b/>
                <w:bCs/>
              </w:rPr>
            </w:pPr>
            <w:r>
              <w:rPr>
                <w:rFonts w:ascii="Arial Narrow" w:hAnsi="Arial Narrow" w:cs="Times New Roman"/>
                <w:b/>
                <w:bCs/>
              </w:rPr>
              <w:t>6 063 000,00</w:t>
            </w:r>
          </w:p>
        </w:tc>
        <w:tc>
          <w:tcPr>
            <w:tcW w:w="1540" w:type="dxa"/>
            <w:tcBorders>
              <w:top w:val="nil"/>
              <w:left w:val="single" w:sz="8" w:space="0" w:color="auto"/>
              <w:bottom w:val="single" w:sz="4" w:space="0" w:color="auto"/>
              <w:right w:val="single" w:sz="8" w:space="0" w:color="auto"/>
              <w:tl2br w:val="nil"/>
              <w:tr2bl w:val="nil"/>
            </w:tcBorders>
            <w:noWrap/>
            <w:textDirection w:val="lrTb"/>
            <w:vAlign w:val="center"/>
          </w:tcPr>
          <w:p w:rsidR="00F67BF3" w:rsidRPr="00F53F8E" w:rsidP="00F67BF3">
            <w:pPr>
              <w:spacing w:line="240" w:lineRule="auto"/>
              <w:jc w:val="right"/>
              <w:rPr>
                <w:rFonts w:ascii="Arial Narrow" w:hAnsi="Arial Narrow" w:cs="Times New Roman"/>
                <w:b/>
                <w:bCs/>
              </w:rPr>
            </w:pPr>
            <w:r>
              <w:rPr>
                <w:rFonts w:ascii="Arial Narrow" w:hAnsi="Arial Narrow" w:cs="Times New Roman"/>
                <w:b/>
                <w:bCs/>
              </w:rPr>
              <w:t>6 063 000,00</w:t>
            </w:r>
          </w:p>
        </w:tc>
        <w:tc>
          <w:tcPr>
            <w:tcW w:w="1340" w:type="dxa"/>
            <w:tcBorders>
              <w:top w:val="nil"/>
              <w:left w:val="nil"/>
              <w:bottom w:val="single" w:sz="4" w:space="0" w:color="auto"/>
              <w:right w:val="single" w:sz="8" w:space="0" w:color="auto"/>
              <w:tl2br w:val="nil"/>
              <w:tr2bl w:val="nil"/>
            </w:tcBorders>
            <w:noWrap/>
            <w:textDirection w:val="lrTb"/>
            <w:vAlign w:val="center"/>
          </w:tcPr>
          <w:p w:rsidR="00F67BF3" w:rsidRPr="00F53F8E" w:rsidP="00F67BF3">
            <w:pPr>
              <w:spacing w:line="240" w:lineRule="auto"/>
              <w:jc w:val="right"/>
              <w:rPr>
                <w:rFonts w:ascii="Arial Narrow" w:hAnsi="Arial Narrow" w:cs="Times New Roman"/>
                <w:b/>
                <w:bCs/>
              </w:rPr>
            </w:pPr>
            <w:r>
              <w:rPr>
                <w:rFonts w:ascii="Arial Narrow" w:hAnsi="Arial Narrow" w:cs="Times New Roman"/>
                <w:b/>
                <w:bCs/>
              </w:rPr>
              <w:t>0,00</w:t>
            </w:r>
          </w:p>
        </w:tc>
        <w:tc>
          <w:tcPr>
            <w:tcW w:w="1224" w:type="dxa"/>
            <w:tcBorders>
              <w:top w:val="nil"/>
              <w:left w:val="nil"/>
              <w:bottom w:val="single" w:sz="4" w:space="0" w:color="auto"/>
              <w:right w:val="single" w:sz="8" w:space="0" w:color="auto"/>
              <w:tl2br w:val="nil"/>
              <w:tr2bl w:val="nil"/>
            </w:tcBorders>
            <w:noWrap/>
            <w:textDirection w:val="lrTb"/>
            <w:vAlign w:val="center"/>
          </w:tcPr>
          <w:p w:rsidR="00F67BF3" w:rsidRPr="00F53F8E" w:rsidP="00F67BF3">
            <w:pPr>
              <w:spacing w:line="240" w:lineRule="auto"/>
              <w:jc w:val="right"/>
              <w:rPr>
                <w:rFonts w:ascii="Arial Narrow" w:hAnsi="Arial Narrow" w:cs="Times New Roman"/>
                <w:b/>
                <w:bCs/>
              </w:rPr>
            </w:pPr>
            <w:r>
              <w:rPr>
                <w:rFonts w:ascii="Arial Narrow" w:hAnsi="Arial Narrow" w:cs="Times New Roman"/>
                <w:b/>
                <w:bCs/>
              </w:rPr>
              <w:t>0,00</w:t>
            </w:r>
          </w:p>
        </w:tc>
        <w:tc>
          <w:tcPr>
            <w:tcW w:w="268" w:type="dxa"/>
            <w:tcBorders>
              <w:top w:val="nil"/>
              <w:left w:val="nil"/>
              <w:bottom w:val="nil"/>
              <w:right w:val="nil"/>
              <w:tl2br w:val="nil"/>
              <w:tr2bl w:val="nil"/>
            </w:tcBorders>
            <w:noWrap/>
            <w:textDirection w:val="lrTb"/>
            <w:vAlign w:val="bottom"/>
          </w:tcPr>
          <w:p w:rsidR="00F67BF3" w:rsidRPr="00F53F8E" w:rsidP="00F67BF3">
            <w:pPr>
              <w:spacing w:line="240" w:lineRule="auto"/>
              <w:rPr>
                <w:rFonts w:ascii="Arial Narrow" w:hAnsi="Arial Narrow" w:cs="Times New Roman"/>
              </w:rPr>
            </w:pPr>
          </w:p>
        </w:tc>
      </w:tr>
      <w:tr>
        <w:tblPrEx>
          <w:tblW w:w="11568" w:type="dxa"/>
          <w:tblInd w:w="-830" w:type="dxa"/>
          <w:tblCellMar>
            <w:left w:w="70" w:type="dxa"/>
            <w:right w:w="70" w:type="dxa"/>
          </w:tblCellMar>
        </w:tblPrEx>
        <w:trPr>
          <w:gridAfter w:val="2"/>
          <w:wAfter w:w="320" w:type="dxa"/>
          <w:trHeight w:val="227"/>
        </w:trPr>
        <w:tc>
          <w:tcPr>
            <w:tcW w:w="660" w:type="dxa"/>
            <w:tcBorders>
              <w:top w:val="single" w:sz="4" w:space="0" w:color="auto"/>
              <w:left w:val="single" w:sz="8" w:space="0" w:color="auto"/>
              <w:bottom w:val="single" w:sz="4" w:space="0" w:color="auto"/>
              <w:right w:val="single" w:sz="8" w:space="0" w:color="auto"/>
              <w:tl2br w:val="nil"/>
              <w:tr2bl w:val="nil"/>
            </w:tcBorders>
            <w:noWrap/>
            <w:textDirection w:val="lrTb"/>
            <w:vAlign w:val="center"/>
          </w:tcPr>
          <w:p w:rsidR="00F67BF3" w:rsidRPr="00064378" w:rsidP="00F67BF3">
            <w:pPr>
              <w:spacing w:line="240" w:lineRule="auto"/>
              <w:jc w:val="right"/>
              <w:rPr>
                <w:rFonts w:ascii="Arial Narrow" w:hAnsi="Arial Narrow" w:cs="Times New Roman"/>
              </w:rPr>
            </w:pPr>
            <w:r>
              <w:rPr>
                <w:rFonts w:ascii="Arial Narrow" w:hAnsi="Arial Narrow" w:cs="Times New Roman"/>
              </w:rPr>
              <w:t>18499</w:t>
            </w:r>
          </w:p>
        </w:tc>
        <w:tc>
          <w:tcPr>
            <w:tcW w:w="3300" w:type="dxa"/>
            <w:tcBorders>
              <w:top w:val="single" w:sz="4" w:space="0" w:color="auto"/>
              <w:left w:val="nil"/>
              <w:bottom w:val="single" w:sz="4" w:space="0" w:color="auto"/>
              <w:right w:val="nil"/>
              <w:tl2br w:val="nil"/>
              <w:tr2bl w:val="nil"/>
            </w:tcBorders>
            <w:noWrap/>
            <w:textDirection w:val="lrTb"/>
            <w:vAlign w:val="center"/>
          </w:tcPr>
          <w:p w:rsidR="00F67BF3" w:rsidRPr="00064378" w:rsidP="00F67BF3">
            <w:pPr>
              <w:spacing w:line="240" w:lineRule="auto"/>
              <w:rPr>
                <w:rFonts w:ascii="Arial Narrow" w:hAnsi="Arial Narrow" w:cs="Times New Roman"/>
              </w:rPr>
            </w:pPr>
            <w:r>
              <w:rPr>
                <w:rFonts w:ascii="Arial Narrow" w:hAnsi="Arial Narrow" w:cs="Times New Roman"/>
              </w:rPr>
              <w:t>D1 Križovatka Voderady</w:t>
            </w:r>
          </w:p>
        </w:tc>
        <w:tc>
          <w:tcPr>
            <w:tcW w:w="1476" w:type="dxa"/>
            <w:tcBorders>
              <w:top w:val="nil"/>
              <w:left w:val="single" w:sz="8" w:space="0" w:color="auto"/>
              <w:bottom w:val="single" w:sz="4" w:space="0" w:color="auto"/>
              <w:right w:val="nil"/>
              <w:tl2br w:val="nil"/>
              <w:tr2bl w:val="nil"/>
            </w:tcBorders>
            <w:noWrap/>
            <w:textDirection w:val="lrTb"/>
            <w:vAlign w:val="center"/>
          </w:tcPr>
          <w:p w:rsidR="00F67BF3" w:rsidP="00F67BF3">
            <w:pPr>
              <w:spacing w:line="240" w:lineRule="auto"/>
              <w:jc w:val="right"/>
              <w:rPr>
                <w:rFonts w:ascii="Arial Narrow" w:hAnsi="Arial Narrow" w:cs="Times New Roman"/>
                <w:b/>
                <w:bCs/>
              </w:rPr>
            </w:pPr>
            <w:r>
              <w:rPr>
                <w:rFonts w:ascii="Arial Narrow" w:hAnsi="Arial Narrow" w:cs="Times New Roman"/>
                <w:b/>
                <w:bCs/>
              </w:rPr>
              <w:t>0,00</w:t>
            </w:r>
          </w:p>
        </w:tc>
        <w:tc>
          <w:tcPr>
            <w:tcW w:w="1440" w:type="dxa"/>
            <w:tcBorders>
              <w:top w:val="nil"/>
              <w:left w:val="single" w:sz="8" w:space="0" w:color="auto"/>
              <w:bottom w:val="single" w:sz="4" w:space="0" w:color="auto"/>
              <w:right w:val="nil"/>
              <w:tl2br w:val="nil"/>
              <w:tr2bl w:val="nil"/>
            </w:tcBorders>
            <w:noWrap/>
            <w:textDirection w:val="lrTb"/>
            <w:vAlign w:val="center"/>
          </w:tcPr>
          <w:p w:rsidR="00F67BF3" w:rsidRPr="00F53F8E" w:rsidP="00F67BF3">
            <w:pPr>
              <w:spacing w:line="240" w:lineRule="auto"/>
              <w:jc w:val="right"/>
              <w:rPr>
                <w:rFonts w:ascii="Arial Narrow" w:hAnsi="Arial Narrow" w:cs="Times New Roman"/>
                <w:b/>
                <w:bCs/>
              </w:rPr>
            </w:pPr>
            <w:r>
              <w:rPr>
                <w:rFonts w:ascii="Arial Narrow" w:hAnsi="Arial Narrow" w:cs="Times New Roman"/>
                <w:b/>
                <w:bCs/>
              </w:rPr>
              <w:t>57 000 000,00</w:t>
            </w:r>
          </w:p>
        </w:tc>
        <w:tc>
          <w:tcPr>
            <w:tcW w:w="1540" w:type="dxa"/>
            <w:tcBorders>
              <w:top w:val="nil"/>
              <w:left w:val="single" w:sz="8" w:space="0" w:color="auto"/>
              <w:bottom w:val="single" w:sz="4" w:space="0" w:color="auto"/>
              <w:right w:val="single" w:sz="8" w:space="0" w:color="auto"/>
              <w:tl2br w:val="nil"/>
              <w:tr2bl w:val="nil"/>
            </w:tcBorders>
            <w:noWrap/>
            <w:textDirection w:val="lrTb"/>
            <w:vAlign w:val="center"/>
          </w:tcPr>
          <w:p w:rsidR="00F67BF3" w:rsidRPr="00F53F8E" w:rsidP="00F67BF3">
            <w:pPr>
              <w:spacing w:line="240" w:lineRule="auto"/>
              <w:jc w:val="right"/>
              <w:rPr>
                <w:rFonts w:ascii="Arial Narrow" w:hAnsi="Arial Narrow" w:cs="Times New Roman"/>
                <w:b/>
                <w:bCs/>
              </w:rPr>
            </w:pPr>
            <w:r>
              <w:rPr>
                <w:rFonts w:ascii="Arial Narrow" w:hAnsi="Arial Narrow" w:cs="Times New Roman"/>
                <w:b/>
                <w:bCs/>
              </w:rPr>
              <w:t>0,00</w:t>
            </w:r>
          </w:p>
        </w:tc>
        <w:tc>
          <w:tcPr>
            <w:tcW w:w="1340" w:type="dxa"/>
            <w:tcBorders>
              <w:top w:val="nil"/>
              <w:left w:val="nil"/>
              <w:bottom w:val="single" w:sz="4" w:space="0" w:color="auto"/>
              <w:right w:val="single" w:sz="8" w:space="0" w:color="auto"/>
              <w:tl2br w:val="nil"/>
              <w:tr2bl w:val="nil"/>
            </w:tcBorders>
            <w:noWrap/>
            <w:textDirection w:val="lrTb"/>
            <w:vAlign w:val="center"/>
          </w:tcPr>
          <w:p w:rsidR="00F67BF3" w:rsidRPr="00F53F8E" w:rsidP="00F67BF3">
            <w:pPr>
              <w:spacing w:line="240" w:lineRule="auto"/>
              <w:jc w:val="right"/>
              <w:rPr>
                <w:rFonts w:ascii="Arial Narrow" w:hAnsi="Arial Narrow" w:cs="Times New Roman"/>
                <w:b/>
                <w:bCs/>
              </w:rPr>
            </w:pPr>
            <w:r>
              <w:rPr>
                <w:rFonts w:ascii="Arial Narrow" w:hAnsi="Arial Narrow" w:cs="Times New Roman"/>
                <w:b/>
                <w:bCs/>
              </w:rPr>
              <w:t>57 000 000,00</w:t>
            </w:r>
          </w:p>
        </w:tc>
        <w:tc>
          <w:tcPr>
            <w:tcW w:w="1224" w:type="dxa"/>
            <w:tcBorders>
              <w:top w:val="nil"/>
              <w:left w:val="nil"/>
              <w:bottom w:val="single" w:sz="4" w:space="0" w:color="auto"/>
              <w:right w:val="single" w:sz="8" w:space="0" w:color="auto"/>
              <w:tl2br w:val="nil"/>
              <w:tr2bl w:val="nil"/>
            </w:tcBorders>
            <w:noWrap/>
            <w:textDirection w:val="lrTb"/>
            <w:vAlign w:val="center"/>
          </w:tcPr>
          <w:p w:rsidR="00F67BF3" w:rsidRPr="00F53F8E" w:rsidP="00F67BF3">
            <w:pPr>
              <w:spacing w:line="240" w:lineRule="auto"/>
              <w:jc w:val="right"/>
              <w:rPr>
                <w:rFonts w:ascii="Arial Narrow" w:hAnsi="Arial Narrow" w:cs="Times New Roman"/>
                <w:b/>
                <w:bCs/>
              </w:rPr>
            </w:pPr>
            <w:r>
              <w:rPr>
                <w:rFonts w:ascii="Arial Narrow" w:hAnsi="Arial Narrow" w:cs="Times New Roman"/>
                <w:b/>
                <w:bCs/>
              </w:rPr>
              <w:t>0,00</w:t>
            </w:r>
          </w:p>
        </w:tc>
        <w:tc>
          <w:tcPr>
            <w:tcW w:w="268" w:type="dxa"/>
            <w:tcBorders>
              <w:top w:val="nil"/>
              <w:left w:val="nil"/>
              <w:bottom w:val="nil"/>
              <w:right w:val="nil"/>
              <w:tl2br w:val="nil"/>
              <w:tr2bl w:val="nil"/>
            </w:tcBorders>
            <w:noWrap/>
            <w:textDirection w:val="lrTb"/>
            <w:vAlign w:val="bottom"/>
          </w:tcPr>
          <w:p w:rsidR="00F67BF3" w:rsidRPr="00F53F8E" w:rsidP="00F67BF3">
            <w:pPr>
              <w:spacing w:line="240" w:lineRule="auto"/>
              <w:rPr>
                <w:rFonts w:ascii="Arial Narrow" w:hAnsi="Arial Narrow" w:cs="Times New Roman"/>
              </w:rPr>
            </w:pPr>
          </w:p>
        </w:tc>
      </w:tr>
      <w:tr>
        <w:tblPrEx>
          <w:tblW w:w="11568" w:type="dxa"/>
          <w:tblInd w:w="-830" w:type="dxa"/>
          <w:tblCellMar>
            <w:left w:w="70" w:type="dxa"/>
            <w:right w:w="70" w:type="dxa"/>
          </w:tblCellMar>
        </w:tblPrEx>
        <w:trPr>
          <w:gridAfter w:val="2"/>
          <w:wAfter w:w="320" w:type="dxa"/>
          <w:trHeight w:val="227"/>
        </w:trPr>
        <w:tc>
          <w:tcPr>
            <w:tcW w:w="660" w:type="dxa"/>
            <w:tcBorders>
              <w:top w:val="single" w:sz="4" w:space="0" w:color="auto"/>
              <w:left w:val="single" w:sz="8" w:space="0" w:color="auto"/>
              <w:bottom w:val="single" w:sz="4" w:space="0" w:color="auto"/>
              <w:right w:val="single" w:sz="8" w:space="0" w:color="auto"/>
              <w:tl2br w:val="nil"/>
              <w:tr2bl w:val="nil"/>
            </w:tcBorders>
            <w:noWrap/>
            <w:textDirection w:val="lrTb"/>
            <w:vAlign w:val="center"/>
          </w:tcPr>
          <w:p w:rsidR="00F67BF3" w:rsidRPr="00064378" w:rsidP="00F67BF3">
            <w:pPr>
              <w:spacing w:line="240" w:lineRule="auto"/>
              <w:jc w:val="right"/>
              <w:rPr>
                <w:rFonts w:ascii="Arial Narrow" w:hAnsi="Arial Narrow" w:cs="Times New Roman"/>
              </w:rPr>
            </w:pPr>
            <w:r w:rsidRPr="00064378">
              <w:rPr>
                <w:rFonts w:ascii="Arial Narrow" w:hAnsi="Arial Narrow" w:cs="Times New Roman"/>
              </w:rPr>
              <w:t>13290</w:t>
            </w:r>
          </w:p>
        </w:tc>
        <w:tc>
          <w:tcPr>
            <w:tcW w:w="3300" w:type="dxa"/>
            <w:tcBorders>
              <w:top w:val="single" w:sz="4" w:space="0" w:color="auto"/>
              <w:left w:val="nil"/>
              <w:bottom w:val="single" w:sz="4" w:space="0" w:color="auto"/>
              <w:right w:val="nil"/>
              <w:tl2br w:val="nil"/>
              <w:tr2bl w:val="nil"/>
            </w:tcBorders>
            <w:noWrap/>
            <w:textDirection w:val="lrTb"/>
            <w:vAlign w:val="center"/>
          </w:tcPr>
          <w:p w:rsidR="00F67BF3" w:rsidRPr="00064378" w:rsidP="00F67BF3">
            <w:pPr>
              <w:spacing w:line="240" w:lineRule="auto"/>
              <w:rPr>
                <w:rFonts w:ascii="Arial Narrow" w:hAnsi="Arial Narrow" w:cs="Times New Roman"/>
              </w:rPr>
            </w:pPr>
            <w:r>
              <w:rPr>
                <w:rFonts w:ascii="Arial Narrow" w:hAnsi="Arial Narrow" w:cs="Times New Roman"/>
              </w:rPr>
              <w:t xml:space="preserve">D2 Lamač - </w:t>
            </w:r>
            <w:r w:rsidRPr="00064378">
              <w:rPr>
                <w:rFonts w:ascii="Arial Narrow" w:hAnsi="Arial Narrow" w:cs="Times New Roman"/>
              </w:rPr>
              <w:t>Staré Grunty 18 %</w:t>
            </w:r>
          </w:p>
        </w:tc>
        <w:tc>
          <w:tcPr>
            <w:tcW w:w="1476" w:type="dxa"/>
            <w:tcBorders>
              <w:top w:val="nil"/>
              <w:left w:val="single" w:sz="8" w:space="0" w:color="auto"/>
              <w:bottom w:val="single" w:sz="4" w:space="0" w:color="auto"/>
              <w:right w:val="nil"/>
              <w:tl2br w:val="nil"/>
              <w:tr2bl w:val="nil"/>
            </w:tcBorders>
            <w:noWrap/>
            <w:textDirection w:val="lrTb"/>
            <w:vAlign w:val="center"/>
          </w:tcPr>
          <w:p w:rsidR="00F67BF3" w:rsidRPr="00F53F8E" w:rsidP="00F67BF3">
            <w:pPr>
              <w:spacing w:line="240" w:lineRule="auto"/>
              <w:jc w:val="right"/>
              <w:rPr>
                <w:rFonts w:ascii="Arial Narrow" w:hAnsi="Arial Narrow" w:cs="Times New Roman"/>
                <w:b/>
                <w:bCs/>
              </w:rPr>
            </w:pPr>
            <w:r>
              <w:rPr>
                <w:rFonts w:ascii="Arial Narrow" w:hAnsi="Arial Narrow" w:cs="Times New Roman"/>
                <w:b/>
                <w:bCs/>
              </w:rPr>
              <w:t>1 085 000</w:t>
            </w:r>
            <w:r w:rsidRPr="00F53F8E">
              <w:rPr>
                <w:rFonts w:ascii="Arial Narrow" w:hAnsi="Arial Narrow" w:cs="Times New Roman"/>
                <w:b/>
                <w:bCs/>
              </w:rPr>
              <w:t xml:space="preserve"> 000,00</w:t>
            </w:r>
          </w:p>
        </w:tc>
        <w:tc>
          <w:tcPr>
            <w:tcW w:w="1440" w:type="dxa"/>
            <w:tcBorders>
              <w:top w:val="nil"/>
              <w:left w:val="single" w:sz="8" w:space="0" w:color="auto"/>
              <w:bottom w:val="single" w:sz="4" w:space="0" w:color="auto"/>
              <w:right w:val="nil"/>
              <w:tl2br w:val="nil"/>
              <w:tr2bl w:val="nil"/>
            </w:tcBorders>
            <w:noWrap/>
            <w:textDirection w:val="lrTb"/>
            <w:vAlign w:val="center"/>
          </w:tcPr>
          <w:p w:rsidR="00F67BF3" w:rsidRPr="00F53F8E" w:rsidP="00F67BF3">
            <w:pPr>
              <w:spacing w:line="240" w:lineRule="auto"/>
              <w:jc w:val="right"/>
              <w:rPr>
                <w:rFonts w:ascii="Arial Narrow" w:hAnsi="Arial Narrow" w:cs="Times New Roman"/>
                <w:b/>
                <w:bCs/>
              </w:rPr>
            </w:pPr>
            <w:r>
              <w:rPr>
                <w:rFonts w:ascii="Arial Narrow" w:hAnsi="Arial Narrow" w:cs="Times New Roman"/>
                <w:b/>
                <w:bCs/>
              </w:rPr>
              <w:t>782 775 000,00</w:t>
            </w:r>
          </w:p>
        </w:tc>
        <w:tc>
          <w:tcPr>
            <w:tcW w:w="1540" w:type="dxa"/>
            <w:tcBorders>
              <w:top w:val="nil"/>
              <w:left w:val="single" w:sz="8" w:space="0" w:color="auto"/>
              <w:bottom w:val="single" w:sz="4" w:space="0" w:color="auto"/>
              <w:right w:val="single" w:sz="8" w:space="0" w:color="auto"/>
              <w:tl2br w:val="nil"/>
              <w:tr2bl w:val="nil"/>
            </w:tcBorders>
            <w:noWrap/>
            <w:textDirection w:val="lrTb"/>
            <w:vAlign w:val="center"/>
          </w:tcPr>
          <w:p w:rsidR="00F67BF3" w:rsidRPr="00F53F8E" w:rsidP="00F67BF3">
            <w:pPr>
              <w:spacing w:line="240" w:lineRule="auto"/>
              <w:jc w:val="right"/>
              <w:rPr>
                <w:rFonts w:ascii="Arial Narrow" w:hAnsi="Arial Narrow" w:cs="Times New Roman"/>
                <w:b/>
                <w:bCs/>
              </w:rPr>
            </w:pPr>
            <w:r>
              <w:rPr>
                <w:rFonts w:ascii="Arial Narrow" w:hAnsi="Arial Narrow" w:cs="Times New Roman"/>
                <w:b/>
                <w:bCs/>
              </w:rPr>
              <w:t>590 299 237,82</w:t>
            </w:r>
          </w:p>
        </w:tc>
        <w:tc>
          <w:tcPr>
            <w:tcW w:w="1340" w:type="dxa"/>
            <w:tcBorders>
              <w:top w:val="nil"/>
              <w:left w:val="nil"/>
              <w:bottom w:val="single" w:sz="4" w:space="0" w:color="auto"/>
              <w:right w:val="single" w:sz="8" w:space="0" w:color="auto"/>
              <w:tl2br w:val="nil"/>
              <w:tr2bl w:val="nil"/>
            </w:tcBorders>
            <w:noWrap/>
            <w:textDirection w:val="lrTb"/>
            <w:vAlign w:val="center"/>
          </w:tcPr>
          <w:p w:rsidR="00F67BF3" w:rsidRPr="00F53F8E" w:rsidP="00F67BF3">
            <w:pPr>
              <w:spacing w:line="240" w:lineRule="auto"/>
              <w:jc w:val="right"/>
              <w:rPr>
                <w:rFonts w:ascii="Arial Narrow" w:hAnsi="Arial Narrow" w:cs="Times New Roman"/>
                <w:b/>
                <w:bCs/>
              </w:rPr>
            </w:pPr>
            <w:r>
              <w:rPr>
                <w:rFonts w:ascii="Arial Narrow" w:hAnsi="Arial Narrow" w:cs="Times New Roman"/>
                <w:b/>
                <w:bCs/>
              </w:rPr>
              <w:t>189 481 078,41</w:t>
            </w:r>
          </w:p>
        </w:tc>
        <w:tc>
          <w:tcPr>
            <w:tcW w:w="1224" w:type="dxa"/>
            <w:tcBorders>
              <w:top w:val="nil"/>
              <w:left w:val="nil"/>
              <w:bottom w:val="single" w:sz="4" w:space="0" w:color="auto"/>
              <w:right w:val="single" w:sz="8" w:space="0" w:color="auto"/>
              <w:tl2br w:val="nil"/>
              <w:tr2bl w:val="nil"/>
            </w:tcBorders>
            <w:noWrap/>
            <w:textDirection w:val="lrTb"/>
            <w:vAlign w:val="center"/>
          </w:tcPr>
          <w:p w:rsidR="00F67BF3" w:rsidRPr="00F53F8E" w:rsidP="00F67BF3">
            <w:pPr>
              <w:spacing w:line="240" w:lineRule="auto"/>
              <w:jc w:val="right"/>
              <w:rPr>
                <w:rFonts w:ascii="Arial Narrow" w:hAnsi="Arial Narrow" w:cs="Times New Roman"/>
                <w:b/>
                <w:bCs/>
              </w:rPr>
            </w:pPr>
            <w:r>
              <w:rPr>
                <w:rFonts w:ascii="Arial Narrow" w:hAnsi="Arial Narrow" w:cs="Times New Roman"/>
                <w:b/>
                <w:bCs/>
              </w:rPr>
              <w:t>2 994 683,77</w:t>
            </w:r>
          </w:p>
        </w:tc>
        <w:tc>
          <w:tcPr>
            <w:tcW w:w="268" w:type="dxa"/>
            <w:tcBorders>
              <w:top w:val="nil"/>
              <w:left w:val="nil"/>
              <w:bottom w:val="nil"/>
              <w:right w:val="nil"/>
              <w:tl2br w:val="nil"/>
              <w:tr2bl w:val="nil"/>
            </w:tcBorders>
            <w:noWrap/>
            <w:textDirection w:val="lrTb"/>
            <w:vAlign w:val="bottom"/>
          </w:tcPr>
          <w:p w:rsidR="00F67BF3" w:rsidRPr="00F53F8E" w:rsidP="00F67BF3">
            <w:pPr>
              <w:spacing w:line="240" w:lineRule="auto"/>
              <w:rPr>
                <w:rFonts w:ascii="Arial Narrow" w:hAnsi="Arial Narrow" w:cs="Times New Roman"/>
              </w:rPr>
            </w:pPr>
          </w:p>
        </w:tc>
      </w:tr>
      <w:tr>
        <w:tblPrEx>
          <w:tblW w:w="11568" w:type="dxa"/>
          <w:tblInd w:w="-830" w:type="dxa"/>
          <w:tblCellMar>
            <w:left w:w="70" w:type="dxa"/>
            <w:right w:w="70" w:type="dxa"/>
          </w:tblCellMar>
        </w:tblPrEx>
        <w:trPr>
          <w:gridAfter w:val="2"/>
          <w:wAfter w:w="320" w:type="dxa"/>
          <w:trHeight w:val="227"/>
        </w:trPr>
        <w:tc>
          <w:tcPr>
            <w:tcW w:w="660" w:type="dxa"/>
            <w:tcBorders>
              <w:top w:val="single" w:sz="4" w:space="0" w:color="auto"/>
              <w:left w:val="single" w:sz="4" w:space="0" w:color="auto"/>
              <w:bottom w:val="single" w:sz="4" w:space="0" w:color="auto"/>
              <w:right w:val="nil"/>
              <w:tl2br w:val="nil"/>
              <w:tr2bl w:val="nil"/>
            </w:tcBorders>
            <w:noWrap/>
            <w:textDirection w:val="lrTb"/>
            <w:vAlign w:val="center"/>
          </w:tcPr>
          <w:p w:rsidR="00F67BF3" w:rsidRPr="00064378" w:rsidP="00F67BF3">
            <w:pPr>
              <w:spacing w:line="240" w:lineRule="auto"/>
              <w:jc w:val="right"/>
              <w:rPr>
                <w:rFonts w:ascii="Arial Narrow" w:hAnsi="Arial Narrow" w:cs="Times New Roman"/>
              </w:rPr>
            </w:pPr>
            <w:r w:rsidRPr="00064378">
              <w:rPr>
                <w:rFonts w:ascii="Arial Narrow" w:hAnsi="Arial Narrow" w:cs="Times New Roman"/>
              </w:rPr>
              <w:t> </w:t>
            </w:r>
          </w:p>
        </w:tc>
        <w:tc>
          <w:tcPr>
            <w:tcW w:w="3300" w:type="dxa"/>
            <w:tcBorders>
              <w:top w:val="single" w:sz="4" w:space="0" w:color="auto"/>
              <w:left w:val="single" w:sz="8" w:space="0" w:color="auto"/>
              <w:bottom w:val="single" w:sz="4" w:space="0" w:color="auto"/>
              <w:right w:val="single" w:sz="4" w:space="0" w:color="auto"/>
              <w:tl2br w:val="nil"/>
              <w:tr2bl w:val="nil"/>
            </w:tcBorders>
            <w:noWrap/>
            <w:textDirection w:val="lrTb"/>
            <w:vAlign w:val="center"/>
          </w:tcPr>
          <w:p w:rsidR="00F67BF3" w:rsidRPr="00064378" w:rsidP="00F67BF3">
            <w:pPr>
              <w:spacing w:line="240" w:lineRule="auto"/>
              <w:rPr>
                <w:rFonts w:ascii="Arial Narrow" w:hAnsi="Arial Narrow" w:cs="Times New Roman"/>
                <w:color w:val="FF0000"/>
              </w:rPr>
            </w:pPr>
            <w:r w:rsidRPr="00064378">
              <w:rPr>
                <w:rFonts w:ascii="Arial Narrow" w:hAnsi="Arial Narrow" w:cs="Times New Roman"/>
                <w:color w:val="FF0000"/>
              </w:rPr>
              <w:t>v tom: úver JBIC</w:t>
            </w:r>
          </w:p>
        </w:tc>
        <w:tc>
          <w:tcPr>
            <w:tcW w:w="1476" w:type="dxa"/>
            <w:tcBorders>
              <w:top w:val="nil"/>
              <w:left w:val="single" w:sz="4" w:space="0" w:color="auto"/>
              <w:bottom w:val="single" w:sz="4" w:space="0" w:color="auto"/>
              <w:right w:val="nil"/>
              <w:tl2br w:val="nil"/>
              <w:tr2bl w:val="nil"/>
            </w:tcBorders>
            <w:noWrap/>
            <w:textDirection w:val="lrTb"/>
            <w:vAlign w:val="center"/>
          </w:tcPr>
          <w:p w:rsidR="00F67BF3" w:rsidRPr="00F53F8E" w:rsidP="00F67BF3">
            <w:pPr>
              <w:spacing w:line="240" w:lineRule="auto"/>
              <w:jc w:val="right"/>
              <w:rPr>
                <w:rFonts w:ascii="Arial Narrow" w:hAnsi="Arial Narrow" w:cs="Times New Roman"/>
                <w:b/>
                <w:bCs/>
                <w:color w:val="FF0000"/>
              </w:rPr>
            </w:pPr>
            <w:r>
              <w:rPr>
                <w:rFonts w:ascii="Arial Narrow" w:hAnsi="Arial Narrow" w:cs="Times New Roman"/>
                <w:b/>
                <w:bCs/>
                <w:color w:val="FF0000"/>
              </w:rPr>
              <w:t>284 000</w:t>
            </w:r>
            <w:r w:rsidRPr="00F53F8E">
              <w:rPr>
                <w:rFonts w:ascii="Arial Narrow" w:hAnsi="Arial Narrow" w:cs="Times New Roman"/>
                <w:b/>
                <w:bCs/>
                <w:color w:val="FF0000"/>
              </w:rPr>
              <w:t xml:space="preserve"> 000,00</w:t>
            </w:r>
          </w:p>
        </w:tc>
        <w:tc>
          <w:tcPr>
            <w:tcW w:w="1440" w:type="dxa"/>
            <w:tcBorders>
              <w:top w:val="nil"/>
              <w:left w:val="single" w:sz="8" w:space="0" w:color="auto"/>
              <w:bottom w:val="single" w:sz="4" w:space="0" w:color="auto"/>
              <w:right w:val="nil"/>
              <w:tl2br w:val="nil"/>
              <w:tr2bl w:val="nil"/>
            </w:tcBorders>
            <w:noWrap/>
            <w:textDirection w:val="lrTb"/>
            <w:vAlign w:val="center"/>
          </w:tcPr>
          <w:p w:rsidR="00F67BF3" w:rsidRPr="00F53F8E" w:rsidP="00F67BF3">
            <w:pPr>
              <w:spacing w:line="240" w:lineRule="auto"/>
              <w:jc w:val="right"/>
              <w:rPr>
                <w:rFonts w:ascii="Arial Narrow" w:hAnsi="Arial Narrow" w:cs="Times New Roman"/>
                <w:b/>
                <w:bCs/>
                <w:color w:val="FF0000"/>
              </w:rPr>
            </w:pPr>
            <w:r>
              <w:rPr>
                <w:rFonts w:ascii="Arial Narrow" w:hAnsi="Arial Narrow" w:cs="Times New Roman"/>
                <w:b/>
                <w:bCs/>
                <w:color w:val="FF0000"/>
              </w:rPr>
              <w:t>673 451 000,00</w:t>
            </w:r>
          </w:p>
        </w:tc>
        <w:tc>
          <w:tcPr>
            <w:tcW w:w="1540" w:type="dxa"/>
            <w:tcBorders>
              <w:top w:val="nil"/>
              <w:left w:val="single" w:sz="8" w:space="0" w:color="auto"/>
              <w:bottom w:val="single" w:sz="4" w:space="0" w:color="auto"/>
              <w:right w:val="single" w:sz="8" w:space="0" w:color="auto"/>
              <w:tl2br w:val="nil"/>
              <w:tr2bl w:val="nil"/>
            </w:tcBorders>
            <w:noWrap/>
            <w:textDirection w:val="lrTb"/>
            <w:vAlign w:val="center"/>
          </w:tcPr>
          <w:p w:rsidR="00F67BF3" w:rsidRPr="00F53F8E" w:rsidP="00F67BF3">
            <w:pPr>
              <w:spacing w:line="240" w:lineRule="auto"/>
              <w:jc w:val="right"/>
              <w:rPr>
                <w:rFonts w:ascii="Arial Narrow" w:hAnsi="Arial Narrow" w:cs="Times New Roman"/>
                <w:b/>
                <w:bCs/>
                <w:color w:val="FF0000"/>
              </w:rPr>
            </w:pPr>
            <w:r>
              <w:rPr>
                <w:rFonts w:ascii="Arial Narrow" w:hAnsi="Arial Narrow" w:cs="Times New Roman"/>
                <w:b/>
                <w:bCs/>
                <w:color w:val="FF0000"/>
              </w:rPr>
              <w:t>480 975 237,82</w:t>
            </w:r>
          </w:p>
        </w:tc>
        <w:tc>
          <w:tcPr>
            <w:tcW w:w="1340" w:type="dxa"/>
            <w:tcBorders>
              <w:top w:val="nil"/>
              <w:left w:val="nil"/>
              <w:bottom w:val="single" w:sz="4" w:space="0" w:color="auto"/>
              <w:right w:val="single" w:sz="8" w:space="0" w:color="auto"/>
              <w:tl2br w:val="nil"/>
              <w:tr2bl w:val="nil"/>
            </w:tcBorders>
            <w:noWrap/>
            <w:textDirection w:val="lrTb"/>
            <w:vAlign w:val="center"/>
          </w:tcPr>
          <w:p w:rsidR="00F67BF3" w:rsidRPr="00F53F8E" w:rsidP="00F67BF3">
            <w:pPr>
              <w:spacing w:line="240" w:lineRule="auto"/>
              <w:jc w:val="right"/>
              <w:rPr>
                <w:rFonts w:ascii="Arial Narrow" w:hAnsi="Arial Narrow" w:cs="Times New Roman"/>
                <w:b/>
                <w:bCs/>
                <w:color w:val="FF0000"/>
              </w:rPr>
            </w:pPr>
            <w:r>
              <w:rPr>
                <w:rFonts w:ascii="Arial Narrow" w:hAnsi="Arial Narrow" w:cs="Times New Roman"/>
                <w:b/>
                <w:bCs/>
                <w:color w:val="FF0000"/>
              </w:rPr>
              <w:t>189 481 078,41</w:t>
            </w:r>
          </w:p>
        </w:tc>
        <w:tc>
          <w:tcPr>
            <w:tcW w:w="1224" w:type="dxa"/>
            <w:tcBorders>
              <w:top w:val="nil"/>
              <w:left w:val="nil"/>
              <w:bottom w:val="single" w:sz="4" w:space="0" w:color="auto"/>
              <w:right w:val="single" w:sz="8" w:space="0" w:color="auto"/>
              <w:tl2br w:val="nil"/>
              <w:tr2bl w:val="nil"/>
            </w:tcBorders>
            <w:noWrap/>
            <w:textDirection w:val="lrTb"/>
            <w:vAlign w:val="center"/>
          </w:tcPr>
          <w:p w:rsidR="00F67BF3" w:rsidRPr="00F53F8E" w:rsidP="00F67BF3">
            <w:pPr>
              <w:spacing w:line="240" w:lineRule="auto"/>
              <w:jc w:val="right"/>
              <w:rPr>
                <w:rFonts w:ascii="Arial Narrow" w:hAnsi="Arial Narrow" w:cs="Times New Roman"/>
                <w:b/>
                <w:bCs/>
                <w:color w:val="FF0000"/>
              </w:rPr>
            </w:pPr>
            <w:r>
              <w:rPr>
                <w:rFonts w:ascii="Arial Narrow" w:hAnsi="Arial Narrow" w:cs="Times New Roman"/>
                <w:b/>
                <w:bCs/>
                <w:color w:val="FF0000"/>
              </w:rPr>
              <w:t>2 994 683,77</w:t>
            </w:r>
          </w:p>
        </w:tc>
        <w:tc>
          <w:tcPr>
            <w:tcW w:w="268" w:type="dxa"/>
            <w:tcBorders>
              <w:top w:val="nil"/>
              <w:left w:val="nil"/>
              <w:bottom w:val="nil"/>
              <w:right w:val="nil"/>
              <w:tl2br w:val="nil"/>
              <w:tr2bl w:val="nil"/>
            </w:tcBorders>
            <w:noWrap/>
            <w:textDirection w:val="lrTb"/>
            <w:vAlign w:val="bottom"/>
          </w:tcPr>
          <w:p w:rsidR="00F67BF3" w:rsidRPr="00F53F8E" w:rsidP="00F67BF3">
            <w:pPr>
              <w:spacing w:line="240" w:lineRule="auto"/>
              <w:rPr>
                <w:rFonts w:ascii="Arial Narrow" w:hAnsi="Arial Narrow" w:cs="Times New Roman"/>
              </w:rPr>
            </w:pPr>
          </w:p>
        </w:tc>
      </w:tr>
      <w:tr>
        <w:tblPrEx>
          <w:tblW w:w="11568" w:type="dxa"/>
          <w:tblInd w:w="-830" w:type="dxa"/>
          <w:tblCellMar>
            <w:left w:w="70" w:type="dxa"/>
            <w:right w:w="70" w:type="dxa"/>
          </w:tblCellMar>
        </w:tblPrEx>
        <w:trPr>
          <w:gridAfter w:val="2"/>
          <w:wAfter w:w="320" w:type="dxa"/>
          <w:trHeight w:val="227"/>
        </w:trPr>
        <w:tc>
          <w:tcPr>
            <w:tcW w:w="660" w:type="dxa"/>
            <w:tcBorders>
              <w:top w:val="single" w:sz="4" w:space="0" w:color="auto"/>
              <w:left w:val="single" w:sz="8" w:space="0" w:color="auto"/>
              <w:bottom w:val="single" w:sz="4" w:space="0" w:color="auto"/>
              <w:right w:val="nil"/>
              <w:tl2br w:val="nil"/>
              <w:tr2bl w:val="nil"/>
            </w:tcBorders>
            <w:noWrap/>
            <w:textDirection w:val="lrTb"/>
            <w:vAlign w:val="center"/>
          </w:tcPr>
          <w:p w:rsidR="00F67BF3" w:rsidP="00F67BF3">
            <w:pPr>
              <w:spacing w:line="240" w:lineRule="auto"/>
              <w:jc w:val="right"/>
              <w:rPr>
                <w:rFonts w:ascii="Arial Narrow" w:hAnsi="Arial Narrow" w:cs="Times New Roman"/>
              </w:rPr>
            </w:pPr>
            <w:r>
              <w:rPr>
                <w:rFonts w:ascii="Arial Narrow" w:hAnsi="Arial Narrow" w:cs="Times New Roman"/>
              </w:rPr>
              <w:t>10907</w:t>
            </w:r>
          </w:p>
        </w:tc>
        <w:tc>
          <w:tcPr>
            <w:tcW w:w="3300" w:type="dxa"/>
            <w:tcBorders>
              <w:top w:val="single" w:sz="4" w:space="0" w:color="auto"/>
              <w:left w:val="single" w:sz="8" w:space="0" w:color="auto"/>
              <w:bottom w:val="single" w:sz="4" w:space="0" w:color="auto"/>
              <w:right w:val="nil"/>
              <w:tl2br w:val="nil"/>
              <w:tr2bl w:val="nil"/>
            </w:tcBorders>
            <w:noWrap/>
            <w:textDirection w:val="lrTb"/>
            <w:vAlign w:val="center"/>
          </w:tcPr>
          <w:p w:rsidR="00F67BF3" w:rsidP="00F67BF3">
            <w:pPr>
              <w:spacing w:line="240" w:lineRule="auto"/>
              <w:rPr>
                <w:rFonts w:ascii="Arial Narrow" w:hAnsi="Arial Narrow" w:cs="Times New Roman"/>
              </w:rPr>
            </w:pPr>
            <w:r>
              <w:rPr>
                <w:rFonts w:ascii="Arial Narrow" w:hAnsi="Arial Narrow" w:cs="Times New Roman"/>
              </w:rPr>
              <w:t>D2 Lamač - St. Grunty, most cez železnicu</w:t>
            </w:r>
          </w:p>
        </w:tc>
        <w:tc>
          <w:tcPr>
            <w:tcW w:w="1476" w:type="dxa"/>
            <w:tcBorders>
              <w:top w:val="nil"/>
              <w:left w:val="single" w:sz="8" w:space="0" w:color="auto"/>
              <w:bottom w:val="single" w:sz="4" w:space="0" w:color="auto"/>
              <w:right w:val="nil"/>
              <w:tl2br w:val="nil"/>
              <w:tr2bl w:val="nil"/>
            </w:tcBorders>
            <w:noWrap/>
            <w:textDirection w:val="lrTb"/>
            <w:vAlign w:val="center"/>
          </w:tcPr>
          <w:p w:rsidR="00F67BF3" w:rsidP="00F67BF3">
            <w:pPr>
              <w:spacing w:line="240" w:lineRule="auto"/>
              <w:jc w:val="right"/>
              <w:rPr>
                <w:rFonts w:ascii="Arial Narrow" w:hAnsi="Arial Narrow" w:cs="Times New Roman"/>
                <w:b/>
                <w:bCs/>
              </w:rPr>
            </w:pPr>
            <w:r>
              <w:rPr>
                <w:rFonts w:ascii="Arial Narrow" w:hAnsi="Arial Narrow" w:cs="Times New Roman"/>
                <w:b/>
                <w:bCs/>
              </w:rPr>
              <w:t>0,00</w:t>
            </w:r>
          </w:p>
        </w:tc>
        <w:tc>
          <w:tcPr>
            <w:tcW w:w="1440" w:type="dxa"/>
            <w:tcBorders>
              <w:top w:val="nil"/>
              <w:left w:val="single" w:sz="8" w:space="0" w:color="auto"/>
              <w:bottom w:val="single" w:sz="4" w:space="0" w:color="auto"/>
              <w:right w:val="nil"/>
              <w:tl2br w:val="nil"/>
              <w:tr2bl w:val="nil"/>
            </w:tcBorders>
            <w:noWrap/>
            <w:textDirection w:val="lrTb"/>
            <w:vAlign w:val="center"/>
          </w:tcPr>
          <w:p w:rsidR="00F67BF3" w:rsidRPr="00F53F8E" w:rsidP="00F67BF3">
            <w:pPr>
              <w:spacing w:line="240" w:lineRule="auto"/>
              <w:jc w:val="right"/>
              <w:rPr>
                <w:rFonts w:ascii="Arial Narrow" w:hAnsi="Arial Narrow" w:cs="Times New Roman"/>
                <w:b/>
                <w:bCs/>
              </w:rPr>
            </w:pPr>
            <w:r>
              <w:rPr>
                <w:rFonts w:ascii="Arial Narrow" w:hAnsi="Arial Narrow" w:cs="Times New Roman"/>
                <w:b/>
                <w:bCs/>
              </w:rPr>
              <w:t>11 702 000</w:t>
            </w:r>
            <w:r>
              <w:rPr>
                <w:rFonts w:ascii="Arial Narrow" w:hAnsi="Arial Narrow" w:cs="Times New Roman"/>
                <w:b/>
                <w:bCs/>
              </w:rPr>
              <w:t>,00</w:t>
            </w:r>
          </w:p>
        </w:tc>
        <w:tc>
          <w:tcPr>
            <w:tcW w:w="1540" w:type="dxa"/>
            <w:tcBorders>
              <w:top w:val="nil"/>
              <w:left w:val="single" w:sz="8" w:space="0" w:color="auto"/>
              <w:bottom w:val="single" w:sz="4" w:space="0" w:color="auto"/>
              <w:right w:val="single" w:sz="8" w:space="0" w:color="auto"/>
              <w:tl2br w:val="nil"/>
              <w:tr2bl w:val="nil"/>
            </w:tcBorders>
            <w:noWrap/>
            <w:textDirection w:val="lrTb"/>
            <w:vAlign w:val="center"/>
          </w:tcPr>
          <w:p w:rsidR="00F67BF3" w:rsidRPr="00F53F8E" w:rsidP="00F67BF3">
            <w:pPr>
              <w:spacing w:line="240" w:lineRule="auto"/>
              <w:jc w:val="right"/>
              <w:rPr>
                <w:rFonts w:ascii="Arial Narrow" w:hAnsi="Arial Narrow" w:cs="Times New Roman"/>
                <w:b/>
                <w:bCs/>
              </w:rPr>
            </w:pPr>
            <w:r>
              <w:rPr>
                <w:rFonts w:ascii="Arial Narrow" w:hAnsi="Arial Narrow" w:cs="Times New Roman"/>
                <w:b/>
                <w:bCs/>
              </w:rPr>
              <w:t>11 702 000,00</w:t>
            </w:r>
          </w:p>
        </w:tc>
        <w:tc>
          <w:tcPr>
            <w:tcW w:w="1340" w:type="dxa"/>
            <w:tcBorders>
              <w:top w:val="nil"/>
              <w:left w:val="nil"/>
              <w:bottom w:val="single" w:sz="4" w:space="0" w:color="auto"/>
              <w:right w:val="single" w:sz="8" w:space="0" w:color="auto"/>
              <w:tl2br w:val="nil"/>
              <w:tr2bl w:val="nil"/>
            </w:tcBorders>
            <w:noWrap/>
            <w:textDirection w:val="lrTb"/>
            <w:vAlign w:val="center"/>
          </w:tcPr>
          <w:p w:rsidR="00F67BF3" w:rsidRPr="00F53F8E" w:rsidP="00F67BF3">
            <w:pPr>
              <w:spacing w:line="240" w:lineRule="auto"/>
              <w:jc w:val="right"/>
              <w:rPr>
                <w:rFonts w:ascii="Arial Narrow" w:hAnsi="Arial Narrow" w:cs="Times New Roman"/>
                <w:b/>
                <w:bCs/>
              </w:rPr>
            </w:pPr>
            <w:r>
              <w:rPr>
                <w:rFonts w:ascii="Arial Narrow" w:hAnsi="Arial Narrow" w:cs="Times New Roman"/>
                <w:b/>
                <w:bCs/>
              </w:rPr>
              <w:t>0,00</w:t>
            </w:r>
          </w:p>
        </w:tc>
        <w:tc>
          <w:tcPr>
            <w:tcW w:w="1224" w:type="dxa"/>
            <w:tcBorders>
              <w:top w:val="nil"/>
              <w:left w:val="nil"/>
              <w:bottom w:val="single" w:sz="4" w:space="0" w:color="auto"/>
              <w:right w:val="single" w:sz="8" w:space="0" w:color="auto"/>
              <w:tl2br w:val="nil"/>
              <w:tr2bl w:val="nil"/>
            </w:tcBorders>
            <w:noWrap/>
            <w:textDirection w:val="lrTb"/>
            <w:vAlign w:val="center"/>
          </w:tcPr>
          <w:p w:rsidR="00F67BF3" w:rsidRPr="00F53F8E" w:rsidP="00F67BF3">
            <w:pPr>
              <w:spacing w:line="240" w:lineRule="auto"/>
              <w:jc w:val="right"/>
              <w:rPr>
                <w:rFonts w:ascii="Arial Narrow" w:hAnsi="Arial Narrow" w:cs="Times New Roman"/>
                <w:b/>
                <w:bCs/>
              </w:rPr>
            </w:pPr>
            <w:r>
              <w:rPr>
                <w:rFonts w:ascii="Arial Narrow" w:hAnsi="Arial Narrow" w:cs="Times New Roman"/>
                <w:b/>
                <w:bCs/>
              </w:rPr>
              <w:t>0,00</w:t>
            </w:r>
          </w:p>
        </w:tc>
        <w:tc>
          <w:tcPr>
            <w:tcW w:w="268" w:type="dxa"/>
            <w:tcBorders>
              <w:top w:val="nil"/>
              <w:left w:val="nil"/>
              <w:bottom w:val="nil"/>
              <w:right w:val="nil"/>
              <w:tl2br w:val="nil"/>
              <w:tr2bl w:val="nil"/>
            </w:tcBorders>
            <w:noWrap/>
            <w:textDirection w:val="lrTb"/>
            <w:vAlign w:val="bottom"/>
          </w:tcPr>
          <w:p w:rsidR="00F67BF3" w:rsidRPr="00F53F8E" w:rsidP="00F67BF3">
            <w:pPr>
              <w:spacing w:line="240" w:lineRule="auto"/>
              <w:rPr>
                <w:rFonts w:ascii="Arial Narrow" w:hAnsi="Arial Narrow" w:cs="Times New Roman"/>
              </w:rPr>
            </w:pPr>
          </w:p>
        </w:tc>
      </w:tr>
      <w:tr>
        <w:tblPrEx>
          <w:tblW w:w="11568" w:type="dxa"/>
          <w:tblInd w:w="-830" w:type="dxa"/>
          <w:tblCellMar>
            <w:left w:w="70" w:type="dxa"/>
            <w:right w:w="70" w:type="dxa"/>
          </w:tblCellMar>
        </w:tblPrEx>
        <w:trPr>
          <w:gridAfter w:val="2"/>
          <w:wAfter w:w="320" w:type="dxa"/>
          <w:trHeight w:val="227"/>
        </w:trPr>
        <w:tc>
          <w:tcPr>
            <w:tcW w:w="660" w:type="dxa"/>
            <w:tcBorders>
              <w:top w:val="single" w:sz="4" w:space="0" w:color="auto"/>
              <w:left w:val="single" w:sz="8" w:space="0" w:color="auto"/>
              <w:bottom w:val="single" w:sz="4" w:space="0" w:color="auto"/>
              <w:right w:val="nil"/>
              <w:tl2br w:val="nil"/>
              <w:tr2bl w:val="nil"/>
            </w:tcBorders>
            <w:noWrap/>
            <w:textDirection w:val="lrTb"/>
            <w:vAlign w:val="center"/>
          </w:tcPr>
          <w:p w:rsidR="00F67BF3" w:rsidRPr="00064378" w:rsidP="00F67BF3">
            <w:pPr>
              <w:spacing w:line="240" w:lineRule="auto"/>
              <w:jc w:val="right"/>
              <w:rPr>
                <w:rFonts w:ascii="Arial Narrow" w:hAnsi="Arial Narrow" w:cs="Times New Roman"/>
              </w:rPr>
            </w:pPr>
            <w:r>
              <w:rPr>
                <w:rFonts w:ascii="Arial Narrow" w:hAnsi="Arial Narrow" w:cs="Times New Roman"/>
              </w:rPr>
              <w:t>1491</w:t>
            </w:r>
          </w:p>
        </w:tc>
        <w:tc>
          <w:tcPr>
            <w:tcW w:w="3300" w:type="dxa"/>
            <w:tcBorders>
              <w:top w:val="single" w:sz="4" w:space="0" w:color="auto"/>
              <w:left w:val="single" w:sz="8" w:space="0" w:color="auto"/>
              <w:bottom w:val="single" w:sz="4" w:space="0" w:color="auto"/>
              <w:right w:val="nil"/>
              <w:tl2br w:val="nil"/>
              <w:tr2bl w:val="nil"/>
            </w:tcBorders>
            <w:noWrap/>
            <w:textDirection w:val="lrTb"/>
            <w:vAlign w:val="center"/>
          </w:tcPr>
          <w:p w:rsidR="00F67BF3" w:rsidRPr="00064378" w:rsidP="00F67BF3">
            <w:pPr>
              <w:spacing w:line="240" w:lineRule="auto"/>
              <w:rPr>
                <w:rFonts w:ascii="Arial Narrow" w:hAnsi="Arial Narrow" w:cs="Times New Roman"/>
              </w:rPr>
            </w:pPr>
            <w:r>
              <w:rPr>
                <w:rFonts w:ascii="Arial Narrow" w:hAnsi="Arial Narrow" w:cs="Times New Roman"/>
              </w:rPr>
              <w:t xml:space="preserve">D3 Čadca </w:t>
            </w:r>
            <w:r w:rsidR="002710B0">
              <w:rPr>
                <w:rFonts w:ascii="Arial Narrow" w:hAnsi="Arial Narrow" w:cs="Times New Roman"/>
              </w:rPr>
              <w:t>–</w:t>
            </w:r>
            <w:r>
              <w:rPr>
                <w:rFonts w:ascii="Arial Narrow" w:hAnsi="Arial Narrow" w:cs="Times New Roman"/>
              </w:rPr>
              <w:t xml:space="preserve"> Oščadnica</w:t>
            </w:r>
          </w:p>
        </w:tc>
        <w:tc>
          <w:tcPr>
            <w:tcW w:w="1476" w:type="dxa"/>
            <w:tcBorders>
              <w:top w:val="nil"/>
              <w:left w:val="single" w:sz="8" w:space="0" w:color="auto"/>
              <w:bottom w:val="single" w:sz="4" w:space="0" w:color="auto"/>
              <w:right w:val="nil"/>
              <w:tl2br w:val="nil"/>
              <w:tr2bl w:val="nil"/>
            </w:tcBorders>
            <w:noWrap/>
            <w:textDirection w:val="lrTb"/>
            <w:vAlign w:val="center"/>
          </w:tcPr>
          <w:p w:rsidR="00F67BF3" w:rsidRPr="00F53F8E" w:rsidP="00F67BF3">
            <w:pPr>
              <w:spacing w:line="240" w:lineRule="auto"/>
              <w:jc w:val="right"/>
              <w:rPr>
                <w:rFonts w:ascii="Arial Narrow" w:hAnsi="Arial Narrow" w:cs="Times New Roman"/>
                <w:b/>
                <w:bCs/>
              </w:rPr>
            </w:pPr>
            <w:r>
              <w:rPr>
                <w:rFonts w:ascii="Arial Narrow" w:hAnsi="Arial Narrow" w:cs="Times New Roman"/>
                <w:b/>
                <w:bCs/>
              </w:rPr>
              <w:t>5 000 000,00</w:t>
            </w:r>
          </w:p>
        </w:tc>
        <w:tc>
          <w:tcPr>
            <w:tcW w:w="1440" w:type="dxa"/>
            <w:tcBorders>
              <w:top w:val="nil"/>
              <w:left w:val="single" w:sz="8" w:space="0" w:color="auto"/>
              <w:bottom w:val="single" w:sz="4" w:space="0" w:color="auto"/>
              <w:right w:val="nil"/>
              <w:tl2br w:val="nil"/>
              <w:tr2bl w:val="nil"/>
            </w:tcBorders>
            <w:noWrap/>
            <w:textDirection w:val="lrTb"/>
            <w:vAlign w:val="center"/>
          </w:tcPr>
          <w:p w:rsidR="00F67BF3" w:rsidRPr="00F53F8E" w:rsidP="00F67BF3">
            <w:pPr>
              <w:spacing w:line="240" w:lineRule="auto"/>
              <w:jc w:val="right"/>
              <w:rPr>
                <w:rFonts w:ascii="Arial Narrow" w:hAnsi="Arial Narrow" w:cs="Times New Roman"/>
                <w:b/>
                <w:bCs/>
              </w:rPr>
            </w:pPr>
            <w:r>
              <w:rPr>
                <w:rFonts w:ascii="Arial Narrow" w:hAnsi="Arial Narrow" w:cs="Times New Roman"/>
                <w:b/>
                <w:bCs/>
              </w:rPr>
              <w:t>0,00</w:t>
            </w:r>
          </w:p>
        </w:tc>
        <w:tc>
          <w:tcPr>
            <w:tcW w:w="1540" w:type="dxa"/>
            <w:tcBorders>
              <w:top w:val="nil"/>
              <w:left w:val="single" w:sz="8" w:space="0" w:color="auto"/>
              <w:bottom w:val="single" w:sz="4" w:space="0" w:color="auto"/>
              <w:right w:val="single" w:sz="8" w:space="0" w:color="auto"/>
              <w:tl2br w:val="nil"/>
              <w:tr2bl w:val="nil"/>
            </w:tcBorders>
            <w:noWrap/>
            <w:textDirection w:val="lrTb"/>
            <w:vAlign w:val="center"/>
          </w:tcPr>
          <w:p w:rsidR="00F67BF3" w:rsidRPr="00F53F8E" w:rsidP="00F67BF3">
            <w:pPr>
              <w:spacing w:line="240" w:lineRule="auto"/>
              <w:jc w:val="right"/>
              <w:rPr>
                <w:rFonts w:ascii="Arial Narrow" w:hAnsi="Arial Narrow" w:cs="Times New Roman"/>
                <w:b/>
                <w:bCs/>
              </w:rPr>
            </w:pPr>
            <w:r>
              <w:rPr>
                <w:rFonts w:ascii="Arial Narrow" w:hAnsi="Arial Narrow" w:cs="Times New Roman"/>
                <w:b/>
                <w:bCs/>
              </w:rPr>
              <w:t>0,00</w:t>
            </w:r>
          </w:p>
        </w:tc>
        <w:tc>
          <w:tcPr>
            <w:tcW w:w="1340" w:type="dxa"/>
            <w:tcBorders>
              <w:top w:val="nil"/>
              <w:left w:val="nil"/>
              <w:bottom w:val="single" w:sz="4" w:space="0" w:color="auto"/>
              <w:right w:val="single" w:sz="8" w:space="0" w:color="auto"/>
              <w:tl2br w:val="nil"/>
              <w:tr2bl w:val="nil"/>
            </w:tcBorders>
            <w:noWrap/>
            <w:textDirection w:val="lrTb"/>
            <w:vAlign w:val="center"/>
          </w:tcPr>
          <w:p w:rsidR="00F67BF3" w:rsidRPr="00F53F8E" w:rsidP="00F67BF3">
            <w:pPr>
              <w:spacing w:line="240" w:lineRule="auto"/>
              <w:jc w:val="right"/>
              <w:rPr>
                <w:rFonts w:ascii="Arial Narrow" w:hAnsi="Arial Narrow" w:cs="Times New Roman"/>
                <w:b/>
                <w:bCs/>
              </w:rPr>
            </w:pPr>
            <w:r w:rsidRPr="00F53F8E">
              <w:rPr>
                <w:rFonts w:ascii="Arial Narrow" w:hAnsi="Arial Narrow" w:cs="Times New Roman"/>
                <w:b/>
                <w:bCs/>
              </w:rPr>
              <w:t> </w:t>
            </w:r>
            <w:r>
              <w:rPr>
                <w:rFonts w:ascii="Arial Narrow" w:hAnsi="Arial Narrow" w:cs="Times New Roman"/>
                <w:b/>
                <w:bCs/>
              </w:rPr>
              <w:t>0,00</w:t>
            </w:r>
          </w:p>
        </w:tc>
        <w:tc>
          <w:tcPr>
            <w:tcW w:w="1224" w:type="dxa"/>
            <w:tcBorders>
              <w:top w:val="nil"/>
              <w:left w:val="nil"/>
              <w:bottom w:val="single" w:sz="4" w:space="0" w:color="auto"/>
              <w:right w:val="single" w:sz="8" w:space="0" w:color="auto"/>
              <w:tl2br w:val="nil"/>
              <w:tr2bl w:val="nil"/>
            </w:tcBorders>
            <w:noWrap/>
            <w:textDirection w:val="lrTb"/>
            <w:vAlign w:val="center"/>
          </w:tcPr>
          <w:p w:rsidR="00F67BF3" w:rsidRPr="00F53F8E" w:rsidP="00F67BF3">
            <w:pPr>
              <w:spacing w:line="240" w:lineRule="auto"/>
              <w:jc w:val="right"/>
              <w:rPr>
                <w:rFonts w:ascii="Arial Narrow" w:hAnsi="Arial Narrow" w:cs="Times New Roman"/>
                <w:b/>
                <w:bCs/>
              </w:rPr>
            </w:pPr>
            <w:r>
              <w:rPr>
                <w:rFonts w:ascii="Arial Narrow" w:hAnsi="Arial Narrow" w:cs="Times New Roman"/>
                <w:b/>
                <w:bCs/>
              </w:rPr>
              <w:t>0,00</w:t>
            </w:r>
          </w:p>
        </w:tc>
        <w:tc>
          <w:tcPr>
            <w:tcW w:w="268" w:type="dxa"/>
            <w:tcBorders>
              <w:top w:val="nil"/>
              <w:left w:val="nil"/>
              <w:bottom w:val="nil"/>
              <w:right w:val="nil"/>
              <w:tl2br w:val="nil"/>
              <w:tr2bl w:val="nil"/>
            </w:tcBorders>
            <w:noWrap/>
            <w:textDirection w:val="lrTb"/>
            <w:vAlign w:val="bottom"/>
          </w:tcPr>
          <w:p w:rsidR="00F67BF3" w:rsidRPr="00F53F8E" w:rsidP="00F67BF3">
            <w:pPr>
              <w:spacing w:line="240" w:lineRule="auto"/>
              <w:rPr>
                <w:rFonts w:ascii="Arial Narrow" w:hAnsi="Arial Narrow" w:cs="Times New Roman"/>
              </w:rPr>
            </w:pPr>
          </w:p>
        </w:tc>
      </w:tr>
      <w:tr>
        <w:tblPrEx>
          <w:tblW w:w="11568" w:type="dxa"/>
          <w:tblInd w:w="-830" w:type="dxa"/>
          <w:tblCellMar>
            <w:left w:w="70" w:type="dxa"/>
            <w:right w:w="70" w:type="dxa"/>
          </w:tblCellMar>
        </w:tblPrEx>
        <w:trPr>
          <w:gridAfter w:val="2"/>
          <w:wAfter w:w="320" w:type="dxa"/>
          <w:trHeight w:val="227"/>
        </w:trPr>
        <w:tc>
          <w:tcPr>
            <w:tcW w:w="660" w:type="dxa"/>
            <w:tcBorders>
              <w:top w:val="single" w:sz="4" w:space="0" w:color="auto"/>
              <w:left w:val="single" w:sz="8" w:space="0" w:color="auto"/>
              <w:bottom w:val="single" w:sz="4" w:space="0" w:color="auto"/>
              <w:right w:val="nil"/>
              <w:tl2br w:val="nil"/>
              <w:tr2bl w:val="nil"/>
            </w:tcBorders>
            <w:noWrap/>
            <w:textDirection w:val="lrTb"/>
            <w:vAlign w:val="center"/>
          </w:tcPr>
          <w:p w:rsidR="00F67BF3" w:rsidRPr="00064378" w:rsidP="00F67BF3">
            <w:pPr>
              <w:spacing w:line="240" w:lineRule="auto"/>
              <w:jc w:val="right"/>
              <w:rPr>
                <w:rFonts w:ascii="Arial Narrow" w:hAnsi="Arial Narrow" w:cs="Times New Roman"/>
              </w:rPr>
            </w:pPr>
            <w:r w:rsidRPr="00064378">
              <w:rPr>
                <w:rFonts w:ascii="Arial Narrow" w:hAnsi="Arial Narrow" w:cs="Times New Roman"/>
              </w:rPr>
              <w:t>13306</w:t>
            </w:r>
          </w:p>
        </w:tc>
        <w:tc>
          <w:tcPr>
            <w:tcW w:w="3300" w:type="dxa"/>
            <w:tcBorders>
              <w:top w:val="single" w:sz="4" w:space="0" w:color="auto"/>
              <w:left w:val="single" w:sz="8" w:space="0" w:color="auto"/>
              <w:bottom w:val="single" w:sz="4" w:space="0" w:color="auto"/>
              <w:right w:val="nil"/>
              <w:tl2br w:val="nil"/>
              <w:tr2bl w:val="nil"/>
            </w:tcBorders>
            <w:noWrap/>
            <w:textDirection w:val="lrTb"/>
            <w:vAlign w:val="center"/>
          </w:tcPr>
          <w:p w:rsidR="00F67BF3" w:rsidRPr="00064378" w:rsidP="00F67BF3">
            <w:pPr>
              <w:spacing w:line="240" w:lineRule="auto"/>
              <w:rPr>
                <w:rFonts w:ascii="Arial Narrow" w:hAnsi="Arial Narrow" w:cs="Times New Roman"/>
              </w:rPr>
            </w:pPr>
            <w:r w:rsidRPr="00064378">
              <w:rPr>
                <w:rFonts w:ascii="Arial Narrow" w:hAnsi="Arial Narrow" w:cs="Times New Roman"/>
              </w:rPr>
              <w:t>D3 Skalité - hranica SR/PR</w:t>
            </w:r>
          </w:p>
        </w:tc>
        <w:tc>
          <w:tcPr>
            <w:tcW w:w="1476" w:type="dxa"/>
            <w:tcBorders>
              <w:top w:val="nil"/>
              <w:left w:val="single" w:sz="8" w:space="0" w:color="auto"/>
              <w:bottom w:val="single" w:sz="4" w:space="0" w:color="auto"/>
              <w:right w:val="nil"/>
              <w:tl2br w:val="nil"/>
              <w:tr2bl w:val="nil"/>
            </w:tcBorders>
            <w:noWrap/>
            <w:textDirection w:val="lrTb"/>
            <w:vAlign w:val="center"/>
          </w:tcPr>
          <w:p w:rsidR="00F67BF3" w:rsidRPr="00F53F8E" w:rsidP="00F67BF3">
            <w:pPr>
              <w:spacing w:line="240" w:lineRule="auto"/>
              <w:jc w:val="right"/>
              <w:rPr>
                <w:rFonts w:ascii="Arial Narrow" w:hAnsi="Arial Narrow" w:cs="Times New Roman"/>
                <w:b/>
                <w:bCs/>
              </w:rPr>
            </w:pPr>
            <w:r>
              <w:rPr>
                <w:rFonts w:ascii="Arial Narrow" w:hAnsi="Arial Narrow" w:cs="Times New Roman"/>
                <w:b/>
                <w:bCs/>
              </w:rPr>
              <w:t>50 000 00</w:t>
            </w:r>
            <w:r w:rsidRPr="00F53F8E">
              <w:rPr>
                <w:rFonts w:ascii="Arial Narrow" w:hAnsi="Arial Narrow" w:cs="Times New Roman"/>
                <w:b/>
                <w:bCs/>
              </w:rPr>
              <w:t>0,00</w:t>
            </w:r>
          </w:p>
        </w:tc>
        <w:tc>
          <w:tcPr>
            <w:tcW w:w="1440" w:type="dxa"/>
            <w:tcBorders>
              <w:top w:val="nil"/>
              <w:left w:val="single" w:sz="8" w:space="0" w:color="auto"/>
              <w:bottom w:val="single" w:sz="4" w:space="0" w:color="auto"/>
              <w:right w:val="nil"/>
              <w:tl2br w:val="nil"/>
              <w:tr2bl w:val="nil"/>
            </w:tcBorders>
            <w:noWrap/>
            <w:textDirection w:val="lrTb"/>
            <w:vAlign w:val="center"/>
          </w:tcPr>
          <w:p w:rsidR="00F67BF3" w:rsidRPr="00F53F8E" w:rsidP="00F67BF3">
            <w:pPr>
              <w:spacing w:line="240" w:lineRule="auto"/>
              <w:jc w:val="right"/>
              <w:rPr>
                <w:rFonts w:ascii="Arial Narrow" w:hAnsi="Arial Narrow" w:cs="Times New Roman"/>
                <w:b/>
                <w:bCs/>
              </w:rPr>
            </w:pPr>
            <w:r>
              <w:rPr>
                <w:rFonts w:ascii="Arial Narrow" w:hAnsi="Arial Narrow" w:cs="Times New Roman"/>
                <w:b/>
                <w:bCs/>
              </w:rPr>
              <w:t>414 879 000,00</w:t>
            </w:r>
          </w:p>
        </w:tc>
        <w:tc>
          <w:tcPr>
            <w:tcW w:w="1540" w:type="dxa"/>
            <w:tcBorders>
              <w:top w:val="nil"/>
              <w:left w:val="single" w:sz="8" w:space="0" w:color="auto"/>
              <w:bottom w:val="single" w:sz="4" w:space="0" w:color="auto"/>
              <w:right w:val="single" w:sz="8" w:space="0" w:color="auto"/>
              <w:tl2br w:val="nil"/>
              <w:tr2bl w:val="nil"/>
            </w:tcBorders>
            <w:noWrap/>
            <w:textDirection w:val="lrTb"/>
            <w:vAlign w:val="center"/>
          </w:tcPr>
          <w:p w:rsidR="00F67BF3" w:rsidRPr="00F53F8E" w:rsidP="00F67BF3">
            <w:pPr>
              <w:spacing w:line="240" w:lineRule="auto"/>
              <w:jc w:val="right"/>
              <w:rPr>
                <w:rFonts w:ascii="Arial Narrow" w:hAnsi="Arial Narrow" w:cs="Times New Roman"/>
                <w:b/>
                <w:bCs/>
              </w:rPr>
            </w:pPr>
            <w:r>
              <w:rPr>
                <w:rFonts w:ascii="Arial Narrow" w:hAnsi="Arial Narrow" w:cs="Times New Roman"/>
                <w:b/>
                <w:bCs/>
              </w:rPr>
              <w:t>414 879 000,00</w:t>
            </w:r>
          </w:p>
        </w:tc>
        <w:tc>
          <w:tcPr>
            <w:tcW w:w="1340" w:type="dxa"/>
            <w:tcBorders>
              <w:top w:val="nil"/>
              <w:left w:val="nil"/>
              <w:bottom w:val="single" w:sz="4" w:space="0" w:color="auto"/>
              <w:right w:val="single" w:sz="8" w:space="0" w:color="auto"/>
              <w:tl2br w:val="nil"/>
              <w:tr2bl w:val="nil"/>
            </w:tcBorders>
            <w:noWrap/>
            <w:textDirection w:val="lrTb"/>
            <w:vAlign w:val="center"/>
          </w:tcPr>
          <w:p w:rsidR="00F67BF3" w:rsidRPr="00F53F8E" w:rsidP="00F67BF3">
            <w:pPr>
              <w:spacing w:line="240" w:lineRule="auto"/>
              <w:jc w:val="right"/>
              <w:rPr>
                <w:rFonts w:ascii="Arial Narrow" w:hAnsi="Arial Narrow" w:cs="Times New Roman"/>
                <w:b/>
                <w:bCs/>
              </w:rPr>
            </w:pPr>
            <w:r w:rsidRPr="00F53F8E">
              <w:rPr>
                <w:rFonts w:ascii="Arial Narrow" w:hAnsi="Arial Narrow" w:cs="Times New Roman"/>
                <w:b/>
                <w:bCs/>
              </w:rPr>
              <w:t> </w:t>
            </w:r>
            <w:r>
              <w:rPr>
                <w:rFonts w:ascii="Arial Narrow" w:hAnsi="Arial Narrow" w:cs="Times New Roman"/>
                <w:b/>
                <w:bCs/>
              </w:rPr>
              <w:t>0,00</w:t>
            </w:r>
          </w:p>
        </w:tc>
        <w:tc>
          <w:tcPr>
            <w:tcW w:w="1224" w:type="dxa"/>
            <w:tcBorders>
              <w:top w:val="nil"/>
              <w:left w:val="nil"/>
              <w:bottom w:val="single" w:sz="4" w:space="0" w:color="auto"/>
              <w:right w:val="single" w:sz="8" w:space="0" w:color="auto"/>
              <w:tl2br w:val="nil"/>
              <w:tr2bl w:val="nil"/>
            </w:tcBorders>
            <w:noWrap/>
            <w:textDirection w:val="lrTb"/>
            <w:vAlign w:val="center"/>
          </w:tcPr>
          <w:p w:rsidR="00F67BF3" w:rsidRPr="00F53F8E" w:rsidP="00F67BF3">
            <w:pPr>
              <w:spacing w:line="240" w:lineRule="auto"/>
              <w:jc w:val="right"/>
              <w:rPr>
                <w:rFonts w:ascii="Arial Narrow" w:hAnsi="Arial Narrow" w:cs="Times New Roman"/>
                <w:b/>
                <w:bCs/>
              </w:rPr>
            </w:pPr>
            <w:r w:rsidRPr="00F53F8E">
              <w:rPr>
                <w:rFonts w:ascii="Arial Narrow" w:hAnsi="Arial Narrow" w:cs="Times New Roman"/>
                <w:b/>
                <w:bCs/>
              </w:rPr>
              <w:t>0,00</w:t>
            </w:r>
          </w:p>
        </w:tc>
        <w:tc>
          <w:tcPr>
            <w:tcW w:w="268" w:type="dxa"/>
            <w:tcBorders>
              <w:top w:val="nil"/>
              <w:left w:val="nil"/>
              <w:bottom w:val="nil"/>
              <w:right w:val="nil"/>
              <w:tl2br w:val="nil"/>
              <w:tr2bl w:val="nil"/>
            </w:tcBorders>
            <w:noWrap/>
            <w:textDirection w:val="lrTb"/>
            <w:vAlign w:val="bottom"/>
          </w:tcPr>
          <w:p w:rsidR="00F67BF3" w:rsidRPr="00F53F8E" w:rsidP="00F67BF3">
            <w:pPr>
              <w:spacing w:line="240" w:lineRule="auto"/>
              <w:rPr>
                <w:rFonts w:ascii="Arial Narrow" w:hAnsi="Arial Narrow" w:cs="Times New Roman"/>
              </w:rPr>
            </w:pPr>
          </w:p>
        </w:tc>
      </w:tr>
      <w:tr>
        <w:tblPrEx>
          <w:tblW w:w="11568" w:type="dxa"/>
          <w:tblInd w:w="-830" w:type="dxa"/>
          <w:tblCellMar>
            <w:left w:w="70" w:type="dxa"/>
            <w:right w:w="70" w:type="dxa"/>
          </w:tblCellMar>
        </w:tblPrEx>
        <w:trPr>
          <w:gridAfter w:val="2"/>
          <w:wAfter w:w="320" w:type="dxa"/>
          <w:trHeight w:val="227"/>
        </w:trPr>
        <w:tc>
          <w:tcPr>
            <w:tcW w:w="660" w:type="dxa"/>
            <w:tcBorders>
              <w:top w:val="nil"/>
              <w:left w:val="single" w:sz="8" w:space="0" w:color="auto"/>
              <w:bottom w:val="single" w:sz="4" w:space="0" w:color="auto"/>
              <w:right w:val="nil"/>
              <w:tl2br w:val="nil"/>
              <w:tr2bl w:val="nil"/>
            </w:tcBorders>
            <w:noWrap/>
            <w:textDirection w:val="lrTb"/>
            <w:vAlign w:val="center"/>
          </w:tcPr>
          <w:p w:rsidR="00F67BF3" w:rsidRPr="00064378" w:rsidP="00F67BF3">
            <w:pPr>
              <w:spacing w:line="240" w:lineRule="auto"/>
              <w:jc w:val="right"/>
              <w:rPr>
                <w:rFonts w:ascii="Arial Narrow" w:hAnsi="Arial Narrow" w:cs="Times New Roman"/>
              </w:rPr>
            </w:pPr>
            <w:r w:rsidRPr="00064378">
              <w:rPr>
                <w:rFonts w:ascii="Arial Narrow" w:hAnsi="Arial Narrow" w:cs="Times New Roman"/>
              </w:rPr>
              <w:t>1497</w:t>
            </w:r>
          </w:p>
        </w:tc>
        <w:tc>
          <w:tcPr>
            <w:tcW w:w="3300" w:type="dxa"/>
            <w:tcBorders>
              <w:top w:val="nil"/>
              <w:left w:val="single" w:sz="8" w:space="0" w:color="auto"/>
              <w:bottom w:val="single" w:sz="4" w:space="0" w:color="auto"/>
              <w:right w:val="nil"/>
              <w:tl2br w:val="nil"/>
              <w:tr2bl w:val="nil"/>
            </w:tcBorders>
            <w:noWrap/>
            <w:textDirection w:val="lrTb"/>
            <w:vAlign w:val="center"/>
          </w:tcPr>
          <w:p w:rsidR="00F67BF3" w:rsidRPr="00064378" w:rsidP="00F67BF3">
            <w:pPr>
              <w:spacing w:line="240" w:lineRule="auto"/>
              <w:rPr>
                <w:rFonts w:ascii="Arial Narrow" w:hAnsi="Arial Narrow" w:cs="Times New Roman"/>
              </w:rPr>
            </w:pPr>
            <w:r w:rsidRPr="00064378">
              <w:rPr>
                <w:rFonts w:ascii="Arial Narrow" w:hAnsi="Arial Narrow" w:cs="Times New Roman"/>
              </w:rPr>
              <w:t>D3 Čadca - obchvat II.etapa</w:t>
            </w:r>
          </w:p>
        </w:tc>
        <w:tc>
          <w:tcPr>
            <w:tcW w:w="1476" w:type="dxa"/>
            <w:tcBorders>
              <w:top w:val="nil"/>
              <w:left w:val="single" w:sz="8" w:space="0" w:color="auto"/>
              <w:bottom w:val="single" w:sz="4" w:space="0" w:color="auto"/>
              <w:right w:val="nil"/>
              <w:tl2br w:val="nil"/>
              <w:tr2bl w:val="nil"/>
            </w:tcBorders>
            <w:noWrap/>
            <w:textDirection w:val="lrTb"/>
            <w:vAlign w:val="center"/>
          </w:tcPr>
          <w:p w:rsidR="00F67BF3" w:rsidRPr="00F53F8E" w:rsidP="00F67BF3">
            <w:pPr>
              <w:spacing w:line="240" w:lineRule="auto"/>
              <w:jc w:val="right"/>
              <w:rPr>
                <w:rFonts w:ascii="Arial Narrow" w:hAnsi="Arial Narrow" w:cs="Times New Roman"/>
                <w:b/>
                <w:bCs/>
              </w:rPr>
            </w:pPr>
            <w:r w:rsidRPr="00F53F8E">
              <w:rPr>
                <w:rFonts w:ascii="Arial Narrow" w:hAnsi="Arial Narrow" w:cs="Times New Roman"/>
                <w:b/>
                <w:bCs/>
              </w:rPr>
              <w:t>0,00</w:t>
            </w:r>
          </w:p>
        </w:tc>
        <w:tc>
          <w:tcPr>
            <w:tcW w:w="1440" w:type="dxa"/>
            <w:tcBorders>
              <w:top w:val="nil"/>
              <w:left w:val="single" w:sz="8" w:space="0" w:color="auto"/>
              <w:bottom w:val="single" w:sz="4" w:space="0" w:color="auto"/>
              <w:right w:val="nil"/>
              <w:tl2br w:val="nil"/>
              <w:tr2bl w:val="nil"/>
            </w:tcBorders>
            <w:noWrap/>
            <w:textDirection w:val="lrTb"/>
            <w:vAlign w:val="center"/>
          </w:tcPr>
          <w:p w:rsidR="00F67BF3" w:rsidRPr="00F53F8E" w:rsidP="00F67BF3">
            <w:pPr>
              <w:spacing w:line="240" w:lineRule="auto"/>
              <w:jc w:val="right"/>
              <w:rPr>
                <w:rFonts w:ascii="Arial Narrow" w:hAnsi="Arial Narrow" w:cs="Times New Roman"/>
                <w:b/>
                <w:bCs/>
              </w:rPr>
            </w:pPr>
            <w:r>
              <w:rPr>
                <w:rFonts w:ascii="Arial Narrow" w:hAnsi="Arial Narrow" w:cs="Times New Roman"/>
                <w:b/>
                <w:bCs/>
              </w:rPr>
              <w:t>0,00</w:t>
            </w:r>
          </w:p>
        </w:tc>
        <w:tc>
          <w:tcPr>
            <w:tcW w:w="1540" w:type="dxa"/>
            <w:tcBorders>
              <w:top w:val="nil"/>
              <w:left w:val="single" w:sz="8" w:space="0" w:color="auto"/>
              <w:bottom w:val="single" w:sz="4" w:space="0" w:color="auto"/>
              <w:right w:val="single" w:sz="8" w:space="0" w:color="auto"/>
              <w:tl2br w:val="nil"/>
              <w:tr2bl w:val="nil"/>
            </w:tcBorders>
            <w:noWrap/>
            <w:textDirection w:val="lrTb"/>
            <w:vAlign w:val="center"/>
          </w:tcPr>
          <w:p w:rsidR="00F67BF3" w:rsidRPr="00F53F8E" w:rsidP="00F67BF3">
            <w:pPr>
              <w:spacing w:line="240" w:lineRule="auto"/>
              <w:jc w:val="right"/>
              <w:rPr>
                <w:rFonts w:ascii="Arial Narrow" w:hAnsi="Arial Narrow" w:cs="Times New Roman"/>
                <w:b/>
                <w:bCs/>
              </w:rPr>
            </w:pPr>
            <w:r>
              <w:rPr>
                <w:rFonts w:ascii="Arial Narrow" w:hAnsi="Arial Narrow" w:cs="Times New Roman"/>
                <w:b/>
                <w:bCs/>
              </w:rPr>
              <w:t>0,00</w:t>
            </w:r>
          </w:p>
        </w:tc>
        <w:tc>
          <w:tcPr>
            <w:tcW w:w="1340" w:type="dxa"/>
            <w:tcBorders>
              <w:top w:val="nil"/>
              <w:left w:val="nil"/>
              <w:bottom w:val="single" w:sz="4" w:space="0" w:color="auto"/>
              <w:right w:val="single" w:sz="8" w:space="0" w:color="auto"/>
              <w:tl2br w:val="nil"/>
              <w:tr2bl w:val="nil"/>
            </w:tcBorders>
            <w:noWrap/>
            <w:textDirection w:val="lrTb"/>
            <w:vAlign w:val="center"/>
          </w:tcPr>
          <w:p w:rsidR="00F67BF3" w:rsidRPr="00F53F8E" w:rsidP="00F67BF3">
            <w:pPr>
              <w:spacing w:line="240" w:lineRule="auto"/>
              <w:jc w:val="right"/>
              <w:rPr>
                <w:rFonts w:ascii="Arial Narrow" w:hAnsi="Arial Narrow" w:cs="Times New Roman"/>
                <w:b/>
                <w:bCs/>
              </w:rPr>
            </w:pPr>
            <w:r w:rsidRPr="00F53F8E">
              <w:rPr>
                <w:rFonts w:ascii="Arial Narrow" w:hAnsi="Arial Narrow" w:cs="Times New Roman"/>
                <w:b/>
                <w:bCs/>
              </w:rPr>
              <w:t> </w:t>
            </w:r>
            <w:r>
              <w:rPr>
                <w:rFonts w:ascii="Arial Narrow" w:hAnsi="Arial Narrow" w:cs="Times New Roman"/>
                <w:b/>
                <w:bCs/>
              </w:rPr>
              <w:t>0,00</w:t>
            </w:r>
          </w:p>
        </w:tc>
        <w:tc>
          <w:tcPr>
            <w:tcW w:w="1224" w:type="dxa"/>
            <w:tcBorders>
              <w:top w:val="nil"/>
              <w:left w:val="nil"/>
              <w:bottom w:val="single" w:sz="4" w:space="0" w:color="auto"/>
              <w:right w:val="single" w:sz="8" w:space="0" w:color="auto"/>
              <w:tl2br w:val="nil"/>
              <w:tr2bl w:val="nil"/>
            </w:tcBorders>
            <w:noWrap/>
            <w:textDirection w:val="lrTb"/>
            <w:vAlign w:val="center"/>
          </w:tcPr>
          <w:p w:rsidR="00F67BF3" w:rsidRPr="00F53F8E" w:rsidP="00F67BF3">
            <w:pPr>
              <w:spacing w:line="240" w:lineRule="auto"/>
              <w:jc w:val="right"/>
              <w:rPr>
                <w:rFonts w:ascii="Arial Narrow" w:hAnsi="Arial Narrow" w:cs="Times New Roman"/>
                <w:b/>
                <w:bCs/>
              </w:rPr>
            </w:pPr>
            <w:r w:rsidRPr="00F53F8E">
              <w:rPr>
                <w:rFonts w:ascii="Arial Narrow" w:hAnsi="Arial Narrow" w:cs="Times New Roman"/>
                <w:b/>
                <w:bCs/>
              </w:rPr>
              <w:t>0,00</w:t>
            </w:r>
          </w:p>
        </w:tc>
        <w:tc>
          <w:tcPr>
            <w:tcW w:w="268" w:type="dxa"/>
            <w:tcBorders>
              <w:top w:val="nil"/>
              <w:left w:val="nil"/>
              <w:bottom w:val="nil"/>
              <w:right w:val="nil"/>
              <w:tl2br w:val="nil"/>
              <w:tr2bl w:val="nil"/>
            </w:tcBorders>
            <w:noWrap/>
            <w:textDirection w:val="lrTb"/>
            <w:vAlign w:val="bottom"/>
          </w:tcPr>
          <w:p w:rsidR="00F67BF3" w:rsidRPr="00F53F8E" w:rsidP="00F67BF3">
            <w:pPr>
              <w:spacing w:line="240" w:lineRule="auto"/>
              <w:rPr>
                <w:rFonts w:ascii="Arial Narrow" w:hAnsi="Arial Narrow" w:cs="Times New Roman"/>
              </w:rPr>
            </w:pPr>
          </w:p>
        </w:tc>
      </w:tr>
      <w:tr>
        <w:tblPrEx>
          <w:tblW w:w="11568" w:type="dxa"/>
          <w:tblInd w:w="-830" w:type="dxa"/>
          <w:tblCellMar>
            <w:left w:w="70" w:type="dxa"/>
            <w:right w:w="70" w:type="dxa"/>
          </w:tblCellMar>
        </w:tblPrEx>
        <w:trPr>
          <w:gridAfter w:val="2"/>
          <w:wAfter w:w="320" w:type="dxa"/>
          <w:trHeight w:val="227"/>
        </w:trPr>
        <w:tc>
          <w:tcPr>
            <w:tcW w:w="660" w:type="dxa"/>
            <w:tcBorders>
              <w:top w:val="nil"/>
              <w:left w:val="single" w:sz="8" w:space="0" w:color="auto"/>
              <w:bottom w:val="single" w:sz="4" w:space="0" w:color="auto"/>
              <w:right w:val="nil"/>
              <w:tl2br w:val="nil"/>
              <w:tr2bl w:val="nil"/>
            </w:tcBorders>
            <w:noWrap/>
            <w:textDirection w:val="lrTb"/>
            <w:vAlign w:val="center"/>
          </w:tcPr>
          <w:p w:rsidR="00F67BF3" w:rsidRPr="00064378" w:rsidP="00F67BF3">
            <w:pPr>
              <w:spacing w:line="240" w:lineRule="auto"/>
              <w:jc w:val="right"/>
              <w:rPr>
                <w:rFonts w:ascii="Arial Narrow" w:hAnsi="Arial Narrow" w:cs="Times New Roman"/>
              </w:rPr>
            </w:pPr>
            <w:r>
              <w:rPr>
                <w:rFonts w:ascii="Arial Narrow" w:hAnsi="Arial Narrow" w:cs="Times New Roman"/>
              </w:rPr>
              <w:t>1533</w:t>
            </w:r>
          </w:p>
        </w:tc>
        <w:tc>
          <w:tcPr>
            <w:tcW w:w="3300" w:type="dxa"/>
            <w:tcBorders>
              <w:top w:val="nil"/>
              <w:left w:val="single" w:sz="8" w:space="0" w:color="auto"/>
              <w:bottom w:val="single" w:sz="4" w:space="0" w:color="auto"/>
              <w:right w:val="nil"/>
              <w:tl2br w:val="nil"/>
              <w:tr2bl w:val="nil"/>
            </w:tcBorders>
            <w:noWrap/>
            <w:textDirection w:val="lrTb"/>
            <w:vAlign w:val="center"/>
          </w:tcPr>
          <w:p w:rsidR="00F67BF3" w:rsidRPr="00064378" w:rsidP="00F67BF3">
            <w:pPr>
              <w:spacing w:line="240" w:lineRule="auto"/>
              <w:rPr>
                <w:rFonts w:ascii="Arial Narrow" w:hAnsi="Arial Narrow" w:cs="Times New Roman"/>
              </w:rPr>
            </w:pPr>
            <w:r>
              <w:rPr>
                <w:rFonts w:ascii="Arial Narrow" w:hAnsi="Arial Narrow" w:cs="Times New Roman"/>
              </w:rPr>
              <w:t>D3 Čadca</w:t>
            </w:r>
            <w:r>
              <w:rPr>
                <w:rFonts w:ascii="Arial Narrow" w:hAnsi="Arial Narrow" w:cs="Times New Roman"/>
              </w:rPr>
              <w:t xml:space="preserve"> Bukov </w:t>
            </w:r>
            <w:r w:rsidR="002710B0">
              <w:rPr>
                <w:rFonts w:ascii="Arial Narrow" w:hAnsi="Arial Narrow" w:cs="Times New Roman"/>
              </w:rPr>
              <w:t>–</w:t>
            </w:r>
            <w:r>
              <w:rPr>
                <w:rFonts w:ascii="Arial Narrow" w:hAnsi="Arial Narrow" w:cs="Times New Roman"/>
              </w:rPr>
              <w:t xml:space="preserve"> Svrčinovec</w:t>
            </w:r>
          </w:p>
        </w:tc>
        <w:tc>
          <w:tcPr>
            <w:tcW w:w="1476" w:type="dxa"/>
            <w:tcBorders>
              <w:top w:val="nil"/>
              <w:left w:val="single" w:sz="8" w:space="0" w:color="auto"/>
              <w:bottom w:val="single" w:sz="4" w:space="0" w:color="auto"/>
              <w:right w:val="nil"/>
              <w:tl2br w:val="nil"/>
              <w:tr2bl w:val="nil"/>
            </w:tcBorders>
            <w:noWrap/>
            <w:textDirection w:val="lrTb"/>
            <w:vAlign w:val="center"/>
          </w:tcPr>
          <w:p w:rsidR="00F67BF3" w:rsidRPr="00F53F8E" w:rsidP="00F67BF3">
            <w:pPr>
              <w:spacing w:line="240" w:lineRule="auto"/>
              <w:jc w:val="right"/>
              <w:rPr>
                <w:rFonts w:ascii="Arial Narrow" w:hAnsi="Arial Narrow" w:cs="Times New Roman"/>
                <w:b/>
                <w:bCs/>
              </w:rPr>
            </w:pPr>
            <w:r>
              <w:rPr>
                <w:rFonts w:ascii="Arial Narrow" w:hAnsi="Arial Narrow" w:cs="Times New Roman"/>
                <w:b/>
                <w:bCs/>
              </w:rPr>
              <w:t>55 290 000,00</w:t>
            </w:r>
          </w:p>
        </w:tc>
        <w:tc>
          <w:tcPr>
            <w:tcW w:w="1440" w:type="dxa"/>
            <w:tcBorders>
              <w:top w:val="nil"/>
              <w:left w:val="single" w:sz="8" w:space="0" w:color="auto"/>
              <w:bottom w:val="single" w:sz="4" w:space="0" w:color="auto"/>
              <w:right w:val="nil"/>
              <w:tl2br w:val="nil"/>
              <w:tr2bl w:val="nil"/>
            </w:tcBorders>
            <w:noWrap/>
            <w:textDirection w:val="lrTb"/>
            <w:vAlign w:val="center"/>
          </w:tcPr>
          <w:p w:rsidR="00F67BF3" w:rsidRPr="00F53F8E" w:rsidP="00F67BF3">
            <w:pPr>
              <w:spacing w:line="240" w:lineRule="auto"/>
              <w:jc w:val="right"/>
              <w:rPr>
                <w:rFonts w:ascii="Arial Narrow" w:hAnsi="Arial Narrow" w:cs="Times New Roman"/>
                <w:b/>
                <w:bCs/>
              </w:rPr>
            </w:pPr>
            <w:r>
              <w:rPr>
                <w:rFonts w:ascii="Arial Narrow" w:hAnsi="Arial Narrow" w:cs="Times New Roman"/>
                <w:b/>
                <w:bCs/>
              </w:rPr>
              <w:t>0,00</w:t>
            </w:r>
          </w:p>
        </w:tc>
        <w:tc>
          <w:tcPr>
            <w:tcW w:w="1540" w:type="dxa"/>
            <w:tcBorders>
              <w:top w:val="nil"/>
              <w:left w:val="single" w:sz="8" w:space="0" w:color="auto"/>
              <w:bottom w:val="single" w:sz="4" w:space="0" w:color="auto"/>
              <w:right w:val="single" w:sz="8" w:space="0" w:color="auto"/>
              <w:tl2br w:val="nil"/>
              <w:tr2bl w:val="nil"/>
            </w:tcBorders>
            <w:noWrap/>
            <w:textDirection w:val="lrTb"/>
            <w:vAlign w:val="center"/>
          </w:tcPr>
          <w:p w:rsidR="00F67BF3" w:rsidRPr="00F53F8E" w:rsidP="00F67BF3">
            <w:pPr>
              <w:spacing w:line="240" w:lineRule="auto"/>
              <w:jc w:val="right"/>
              <w:rPr>
                <w:rFonts w:ascii="Arial Narrow" w:hAnsi="Arial Narrow" w:cs="Times New Roman"/>
                <w:b/>
                <w:bCs/>
              </w:rPr>
            </w:pPr>
            <w:r>
              <w:rPr>
                <w:rFonts w:ascii="Arial Narrow" w:hAnsi="Arial Narrow" w:cs="Times New Roman"/>
                <w:b/>
                <w:bCs/>
              </w:rPr>
              <w:t>0,00</w:t>
            </w:r>
          </w:p>
        </w:tc>
        <w:tc>
          <w:tcPr>
            <w:tcW w:w="1340" w:type="dxa"/>
            <w:tcBorders>
              <w:top w:val="nil"/>
              <w:left w:val="nil"/>
              <w:bottom w:val="single" w:sz="4" w:space="0" w:color="auto"/>
              <w:right w:val="single" w:sz="8" w:space="0" w:color="auto"/>
              <w:tl2br w:val="nil"/>
              <w:tr2bl w:val="nil"/>
            </w:tcBorders>
            <w:noWrap/>
            <w:textDirection w:val="lrTb"/>
            <w:vAlign w:val="center"/>
          </w:tcPr>
          <w:p w:rsidR="00F67BF3" w:rsidRPr="00F53F8E" w:rsidP="00F67BF3">
            <w:pPr>
              <w:spacing w:line="240" w:lineRule="auto"/>
              <w:jc w:val="right"/>
              <w:rPr>
                <w:rFonts w:ascii="Arial Narrow" w:hAnsi="Arial Narrow" w:cs="Times New Roman"/>
                <w:b/>
                <w:bCs/>
              </w:rPr>
            </w:pPr>
            <w:r w:rsidRPr="00F53F8E">
              <w:rPr>
                <w:rFonts w:ascii="Arial Narrow" w:hAnsi="Arial Narrow" w:cs="Times New Roman"/>
                <w:b/>
                <w:bCs/>
              </w:rPr>
              <w:t> </w:t>
            </w:r>
            <w:r>
              <w:rPr>
                <w:rFonts w:ascii="Arial Narrow" w:hAnsi="Arial Narrow" w:cs="Times New Roman"/>
                <w:b/>
                <w:bCs/>
              </w:rPr>
              <w:t>0,00</w:t>
            </w:r>
          </w:p>
        </w:tc>
        <w:tc>
          <w:tcPr>
            <w:tcW w:w="1224" w:type="dxa"/>
            <w:tcBorders>
              <w:top w:val="nil"/>
              <w:left w:val="nil"/>
              <w:bottom w:val="single" w:sz="4" w:space="0" w:color="auto"/>
              <w:right w:val="single" w:sz="8" w:space="0" w:color="auto"/>
              <w:tl2br w:val="nil"/>
              <w:tr2bl w:val="nil"/>
            </w:tcBorders>
            <w:noWrap/>
            <w:textDirection w:val="lrTb"/>
            <w:vAlign w:val="center"/>
          </w:tcPr>
          <w:p w:rsidR="00F67BF3" w:rsidRPr="00F53F8E" w:rsidP="00F67BF3">
            <w:pPr>
              <w:spacing w:line="240" w:lineRule="auto"/>
              <w:jc w:val="right"/>
              <w:rPr>
                <w:rFonts w:ascii="Arial Narrow" w:hAnsi="Arial Narrow" w:cs="Times New Roman"/>
                <w:b/>
                <w:bCs/>
              </w:rPr>
            </w:pPr>
            <w:r>
              <w:rPr>
                <w:rFonts w:ascii="Arial Narrow" w:hAnsi="Arial Narrow" w:cs="Times New Roman"/>
                <w:b/>
                <w:bCs/>
              </w:rPr>
              <w:t>0,00</w:t>
            </w:r>
          </w:p>
        </w:tc>
        <w:tc>
          <w:tcPr>
            <w:tcW w:w="268" w:type="dxa"/>
            <w:tcBorders>
              <w:top w:val="nil"/>
              <w:left w:val="nil"/>
              <w:bottom w:val="nil"/>
              <w:right w:val="nil"/>
              <w:tl2br w:val="nil"/>
              <w:tr2bl w:val="nil"/>
            </w:tcBorders>
            <w:noWrap/>
            <w:textDirection w:val="lrTb"/>
            <w:vAlign w:val="bottom"/>
          </w:tcPr>
          <w:p w:rsidR="00F67BF3" w:rsidRPr="00F53F8E" w:rsidP="00F67BF3">
            <w:pPr>
              <w:spacing w:line="240" w:lineRule="auto"/>
              <w:rPr>
                <w:rFonts w:ascii="Arial Narrow" w:hAnsi="Arial Narrow" w:cs="Times New Roman"/>
              </w:rPr>
            </w:pPr>
          </w:p>
        </w:tc>
      </w:tr>
      <w:tr>
        <w:tblPrEx>
          <w:tblW w:w="11568" w:type="dxa"/>
          <w:tblInd w:w="-830" w:type="dxa"/>
          <w:tblCellMar>
            <w:left w:w="70" w:type="dxa"/>
            <w:right w:w="70" w:type="dxa"/>
          </w:tblCellMar>
        </w:tblPrEx>
        <w:trPr>
          <w:gridAfter w:val="2"/>
          <w:wAfter w:w="320" w:type="dxa"/>
          <w:trHeight w:val="227"/>
        </w:trPr>
        <w:tc>
          <w:tcPr>
            <w:tcW w:w="660" w:type="dxa"/>
            <w:tcBorders>
              <w:top w:val="nil"/>
              <w:left w:val="single" w:sz="8" w:space="0" w:color="auto"/>
              <w:bottom w:val="single" w:sz="4" w:space="0" w:color="auto"/>
              <w:right w:val="nil"/>
              <w:tl2br w:val="nil"/>
              <w:tr2bl w:val="nil"/>
            </w:tcBorders>
            <w:noWrap/>
            <w:textDirection w:val="lrTb"/>
            <w:vAlign w:val="center"/>
          </w:tcPr>
          <w:p w:rsidR="00F67BF3" w:rsidRPr="00064378" w:rsidP="00F67BF3">
            <w:pPr>
              <w:spacing w:line="240" w:lineRule="auto"/>
              <w:jc w:val="right"/>
              <w:rPr>
                <w:rFonts w:ascii="Arial Narrow" w:hAnsi="Arial Narrow" w:cs="Times New Roman"/>
              </w:rPr>
            </w:pPr>
            <w:r>
              <w:rPr>
                <w:rFonts w:ascii="Arial Narrow" w:hAnsi="Arial Narrow" w:cs="Times New Roman"/>
              </w:rPr>
              <w:t>1570</w:t>
            </w:r>
          </w:p>
        </w:tc>
        <w:tc>
          <w:tcPr>
            <w:tcW w:w="3300" w:type="dxa"/>
            <w:tcBorders>
              <w:top w:val="nil"/>
              <w:left w:val="single" w:sz="8" w:space="0" w:color="auto"/>
              <w:bottom w:val="single" w:sz="4" w:space="0" w:color="auto"/>
              <w:right w:val="nil"/>
              <w:tl2br w:val="nil"/>
              <w:tr2bl w:val="nil"/>
            </w:tcBorders>
            <w:noWrap/>
            <w:textDirection w:val="lrTb"/>
            <w:vAlign w:val="center"/>
          </w:tcPr>
          <w:p w:rsidR="00F67BF3" w:rsidRPr="00064378" w:rsidP="00F67BF3">
            <w:pPr>
              <w:spacing w:line="240" w:lineRule="auto"/>
              <w:rPr>
                <w:rFonts w:ascii="Arial Narrow" w:hAnsi="Arial Narrow" w:cs="Times New Roman"/>
              </w:rPr>
            </w:pPr>
            <w:r>
              <w:rPr>
                <w:rFonts w:ascii="Arial Narrow" w:hAnsi="Arial Narrow" w:cs="Times New Roman"/>
              </w:rPr>
              <w:t>D3 Svrčinovec - Skalité (spolufin.TEN-T)</w:t>
            </w:r>
          </w:p>
        </w:tc>
        <w:tc>
          <w:tcPr>
            <w:tcW w:w="1476" w:type="dxa"/>
            <w:tcBorders>
              <w:top w:val="nil"/>
              <w:left w:val="single" w:sz="8" w:space="0" w:color="auto"/>
              <w:bottom w:val="single" w:sz="4" w:space="0" w:color="auto"/>
              <w:right w:val="nil"/>
              <w:tl2br w:val="nil"/>
              <w:tr2bl w:val="nil"/>
            </w:tcBorders>
            <w:noWrap/>
            <w:textDirection w:val="lrTb"/>
            <w:vAlign w:val="center"/>
          </w:tcPr>
          <w:p w:rsidR="00F67BF3" w:rsidRPr="00F53F8E" w:rsidP="00F67BF3">
            <w:pPr>
              <w:spacing w:line="240" w:lineRule="auto"/>
              <w:jc w:val="right"/>
              <w:rPr>
                <w:rFonts w:ascii="Arial Narrow" w:hAnsi="Arial Narrow" w:cs="Times New Roman"/>
                <w:b/>
                <w:bCs/>
              </w:rPr>
            </w:pPr>
            <w:r>
              <w:rPr>
                <w:rFonts w:ascii="Arial Narrow" w:hAnsi="Arial Narrow" w:cs="Times New Roman"/>
                <w:b/>
                <w:bCs/>
              </w:rPr>
              <w:t>131 999 000,00</w:t>
            </w:r>
          </w:p>
        </w:tc>
        <w:tc>
          <w:tcPr>
            <w:tcW w:w="1440" w:type="dxa"/>
            <w:tcBorders>
              <w:top w:val="nil"/>
              <w:left w:val="single" w:sz="8" w:space="0" w:color="auto"/>
              <w:bottom w:val="single" w:sz="4" w:space="0" w:color="auto"/>
              <w:right w:val="nil"/>
              <w:tl2br w:val="nil"/>
              <w:tr2bl w:val="nil"/>
            </w:tcBorders>
            <w:noWrap/>
            <w:textDirection w:val="lrTb"/>
            <w:vAlign w:val="center"/>
          </w:tcPr>
          <w:p w:rsidR="00F67BF3" w:rsidRPr="00F53F8E" w:rsidP="00F67BF3">
            <w:pPr>
              <w:spacing w:line="240" w:lineRule="auto"/>
              <w:jc w:val="right"/>
              <w:rPr>
                <w:rFonts w:ascii="Arial Narrow" w:hAnsi="Arial Narrow" w:cs="Times New Roman"/>
                <w:b/>
                <w:bCs/>
              </w:rPr>
            </w:pPr>
            <w:r>
              <w:rPr>
                <w:rFonts w:ascii="Arial Narrow" w:hAnsi="Arial Narrow" w:cs="Times New Roman"/>
                <w:b/>
                <w:bCs/>
              </w:rPr>
              <w:t>39 670 000,00</w:t>
            </w:r>
          </w:p>
        </w:tc>
        <w:tc>
          <w:tcPr>
            <w:tcW w:w="1540" w:type="dxa"/>
            <w:tcBorders>
              <w:top w:val="nil"/>
              <w:left w:val="single" w:sz="8" w:space="0" w:color="auto"/>
              <w:bottom w:val="single" w:sz="4" w:space="0" w:color="auto"/>
              <w:right w:val="single" w:sz="8" w:space="0" w:color="auto"/>
              <w:tl2br w:val="nil"/>
              <w:tr2bl w:val="nil"/>
            </w:tcBorders>
            <w:noWrap/>
            <w:textDirection w:val="lrTb"/>
            <w:vAlign w:val="center"/>
          </w:tcPr>
          <w:p w:rsidR="00F67BF3" w:rsidRPr="00F53F8E" w:rsidP="00F67BF3">
            <w:pPr>
              <w:spacing w:line="240" w:lineRule="auto"/>
              <w:jc w:val="right"/>
              <w:rPr>
                <w:rFonts w:ascii="Arial Narrow" w:hAnsi="Arial Narrow" w:cs="Times New Roman"/>
                <w:b/>
                <w:bCs/>
              </w:rPr>
            </w:pPr>
            <w:r>
              <w:rPr>
                <w:rFonts w:ascii="Arial Narrow" w:hAnsi="Arial Narrow" w:cs="Times New Roman"/>
                <w:b/>
                <w:bCs/>
              </w:rPr>
              <w:t>39 669 119,42</w:t>
            </w:r>
          </w:p>
        </w:tc>
        <w:tc>
          <w:tcPr>
            <w:tcW w:w="1340" w:type="dxa"/>
            <w:tcBorders>
              <w:top w:val="nil"/>
              <w:left w:val="nil"/>
              <w:bottom w:val="single" w:sz="4" w:space="0" w:color="auto"/>
              <w:right w:val="single" w:sz="8" w:space="0" w:color="auto"/>
              <w:tl2br w:val="nil"/>
              <w:tr2bl w:val="nil"/>
            </w:tcBorders>
            <w:noWrap/>
            <w:textDirection w:val="lrTb"/>
            <w:vAlign w:val="center"/>
          </w:tcPr>
          <w:p w:rsidR="00F67BF3" w:rsidRPr="00F53F8E" w:rsidP="00F67BF3">
            <w:pPr>
              <w:spacing w:line="240" w:lineRule="auto"/>
              <w:jc w:val="right"/>
              <w:rPr>
                <w:rFonts w:ascii="Arial Narrow" w:hAnsi="Arial Narrow" w:cs="Times New Roman"/>
                <w:b/>
                <w:bCs/>
              </w:rPr>
            </w:pPr>
            <w:r w:rsidRPr="00F53F8E">
              <w:rPr>
                <w:rFonts w:ascii="Arial Narrow" w:hAnsi="Arial Narrow" w:cs="Times New Roman"/>
                <w:b/>
                <w:bCs/>
              </w:rPr>
              <w:t> </w:t>
            </w:r>
            <w:r>
              <w:rPr>
                <w:rFonts w:ascii="Arial Narrow" w:hAnsi="Arial Narrow" w:cs="Times New Roman"/>
                <w:b/>
                <w:bCs/>
              </w:rPr>
              <w:t>0,00</w:t>
            </w:r>
          </w:p>
        </w:tc>
        <w:tc>
          <w:tcPr>
            <w:tcW w:w="1224" w:type="dxa"/>
            <w:tcBorders>
              <w:top w:val="nil"/>
              <w:left w:val="nil"/>
              <w:bottom w:val="single" w:sz="4" w:space="0" w:color="auto"/>
              <w:right w:val="single" w:sz="8" w:space="0" w:color="auto"/>
              <w:tl2br w:val="nil"/>
              <w:tr2bl w:val="nil"/>
            </w:tcBorders>
            <w:noWrap/>
            <w:textDirection w:val="lrTb"/>
            <w:vAlign w:val="center"/>
          </w:tcPr>
          <w:p w:rsidR="00F67BF3" w:rsidRPr="00F53F8E" w:rsidP="00F67BF3">
            <w:pPr>
              <w:spacing w:line="240" w:lineRule="auto"/>
              <w:jc w:val="right"/>
              <w:rPr>
                <w:rFonts w:ascii="Arial Narrow" w:hAnsi="Arial Narrow" w:cs="Times New Roman"/>
                <w:b/>
                <w:bCs/>
              </w:rPr>
            </w:pPr>
            <w:r>
              <w:rPr>
                <w:rFonts w:ascii="Arial Narrow" w:hAnsi="Arial Narrow" w:cs="Times New Roman"/>
                <w:b/>
                <w:bCs/>
              </w:rPr>
              <w:t>880,58</w:t>
            </w:r>
          </w:p>
        </w:tc>
        <w:tc>
          <w:tcPr>
            <w:tcW w:w="268" w:type="dxa"/>
            <w:tcBorders>
              <w:top w:val="nil"/>
              <w:left w:val="nil"/>
              <w:bottom w:val="nil"/>
              <w:right w:val="nil"/>
              <w:tl2br w:val="nil"/>
              <w:tr2bl w:val="nil"/>
            </w:tcBorders>
            <w:noWrap/>
            <w:textDirection w:val="lrTb"/>
            <w:vAlign w:val="bottom"/>
          </w:tcPr>
          <w:p w:rsidR="00F67BF3" w:rsidRPr="00F53F8E" w:rsidP="00F67BF3">
            <w:pPr>
              <w:spacing w:line="240" w:lineRule="auto"/>
              <w:rPr>
                <w:rFonts w:ascii="Arial Narrow" w:hAnsi="Arial Narrow" w:cs="Times New Roman"/>
              </w:rPr>
            </w:pPr>
          </w:p>
        </w:tc>
      </w:tr>
      <w:tr>
        <w:tblPrEx>
          <w:tblW w:w="11568" w:type="dxa"/>
          <w:tblInd w:w="-830" w:type="dxa"/>
          <w:tblCellMar>
            <w:left w:w="70" w:type="dxa"/>
            <w:right w:w="70" w:type="dxa"/>
          </w:tblCellMar>
        </w:tblPrEx>
        <w:trPr>
          <w:gridAfter w:val="2"/>
          <w:wAfter w:w="320" w:type="dxa"/>
          <w:trHeight w:val="227"/>
        </w:trPr>
        <w:tc>
          <w:tcPr>
            <w:tcW w:w="660" w:type="dxa"/>
            <w:tcBorders>
              <w:top w:val="nil"/>
              <w:left w:val="single" w:sz="8" w:space="0" w:color="auto"/>
              <w:bottom w:val="single" w:sz="4" w:space="0" w:color="auto"/>
              <w:right w:val="nil"/>
              <w:tl2br w:val="nil"/>
              <w:tr2bl w:val="nil"/>
            </w:tcBorders>
            <w:noWrap/>
            <w:textDirection w:val="lrTb"/>
            <w:vAlign w:val="center"/>
          </w:tcPr>
          <w:p w:rsidR="00F67BF3" w:rsidRPr="00064378" w:rsidP="00F67BF3">
            <w:pPr>
              <w:spacing w:line="240" w:lineRule="auto"/>
              <w:jc w:val="right"/>
              <w:rPr>
                <w:rFonts w:ascii="Arial Narrow" w:hAnsi="Arial Narrow" w:cs="Times New Roman"/>
              </w:rPr>
            </w:pPr>
            <w:r w:rsidRPr="00064378">
              <w:rPr>
                <w:rFonts w:ascii="Arial Narrow" w:hAnsi="Arial Narrow" w:cs="Times New Roman"/>
              </w:rPr>
              <w:t>13318</w:t>
            </w:r>
          </w:p>
        </w:tc>
        <w:tc>
          <w:tcPr>
            <w:tcW w:w="3300" w:type="dxa"/>
            <w:tcBorders>
              <w:top w:val="nil"/>
              <w:left w:val="single" w:sz="8" w:space="0" w:color="auto"/>
              <w:bottom w:val="single" w:sz="4" w:space="0" w:color="auto"/>
              <w:right w:val="nil"/>
              <w:tl2br w:val="nil"/>
              <w:tr2bl w:val="nil"/>
            </w:tcBorders>
            <w:noWrap/>
            <w:textDirection w:val="lrTb"/>
            <w:vAlign w:val="center"/>
          </w:tcPr>
          <w:p w:rsidR="00F67BF3" w:rsidRPr="00064378" w:rsidP="00F67BF3">
            <w:pPr>
              <w:spacing w:line="240" w:lineRule="auto"/>
              <w:rPr>
                <w:rFonts w:ascii="Arial Narrow" w:hAnsi="Arial Narrow" w:cs="Times New Roman"/>
              </w:rPr>
            </w:pPr>
            <w:r w:rsidRPr="00064378">
              <w:rPr>
                <w:rFonts w:ascii="Arial Narrow" w:hAnsi="Arial Narrow" w:cs="Times New Roman"/>
              </w:rPr>
              <w:t>D3 Hričovské Podhradie - Žilina Strážov</w:t>
            </w:r>
          </w:p>
        </w:tc>
        <w:tc>
          <w:tcPr>
            <w:tcW w:w="1476" w:type="dxa"/>
            <w:tcBorders>
              <w:top w:val="nil"/>
              <w:left w:val="single" w:sz="8" w:space="0" w:color="auto"/>
              <w:bottom w:val="single" w:sz="4" w:space="0" w:color="auto"/>
              <w:right w:val="nil"/>
              <w:tl2br w:val="nil"/>
              <w:tr2bl w:val="nil"/>
            </w:tcBorders>
            <w:noWrap/>
            <w:textDirection w:val="lrTb"/>
            <w:vAlign w:val="center"/>
          </w:tcPr>
          <w:p w:rsidR="00F67BF3" w:rsidRPr="00F53F8E" w:rsidP="00F67BF3">
            <w:pPr>
              <w:spacing w:line="240" w:lineRule="auto"/>
              <w:jc w:val="right"/>
              <w:rPr>
                <w:rFonts w:ascii="Arial Narrow" w:hAnsi="Arial Narrow" w:cs="Times New Roman"/>
                <w:b/>
                <w:bCs/>
              </w:rPr>
            </w:pPr>
            <w:r>
              <w:rPr>
                <w:rFonts w:ascii="Arial Narrow" w:hAnsi="Arial Narrow" w:cs="Times New Roman"/>
                <w:b/>
                <w:bCs/>
              </w:rPr>
              <w:t>0,00</w:t>
            </w:r>
          </w:p>
        </w:tc>
        <w:tc>
          <w:tcPr>
            <w:tcW w:w="1440" w:type="dxa"/>
            <w:tcBorders>
              <w:top w:val="nil"/>
              <w:left w:val="single" w:sz="8" w:space="0" w:color="auto"/>
              <w:bottom w:val="single" w:sz="4" w:space="0" w:color="auto"/>
              <w:right w:val="nil"/>
              <w:tl2br w:val="nil"/>
              <w:tr2bl w:val="nil"/>
            </w:tcBorders>
            <w:noWrap/>
            <w:textDirection w:val="lrTb"/>
            <w:vAlign w:val="center"/>
          </w:tcPr>
          <w:p w:rsidR="00F67BF3" w:rsidRPr="00F53F8E" w:rsidP="00F67BF3">
            <w:pPr>
              <w:spacing w:line="240" w:lineRule="auto"/>
              <w:jc w:val="right"/>
              <w:rPr>
                <w:rFonts w:ascii="Arial Narrow" w:hAnsi="Arial Narrow" w:cs="Times New Roman"/>
                <w:b/>
                <w:bCs/>
              </w:rPr>
            </w:pPr>
            <w:r>
              <w:rPr>
                <w:rFonts w:ascii="Arial Narrow" w:hAnsi="Arial Narrow" w:cs="Times New Roman"/>
                <w:b/>
                <w:bCs/>
              </w:rPr>
              <w:t>2 601 846 000,00</w:t>
            </w:r>
          </w:p>
        </w:tc>
        <w:tc>
          <w:tcPr>
            <w:tcW w:w="1540" w:type="dxa"/>
            <w:tcBorders>
              <w:top w:val="nil"/>
              <w:left w:val="single" w:sz="8" w:space="0" w:color="auto"/>
              <w:bottom w:val="single" w:sz="4" w:space="0" w:color="auto"/>
              <w:right w:val="single" w:sz="8" w:space="0" w:color="auto"/>
              <w:tl2br w:val="nil"/>
              <w:tr2bl w:val="nil"/>
            </w:tcBorders>
            <w:noWrap/>
            <w:textDirection w:val="lrTb"/>
            <w:vAlign w:val="center"/>
          </w:tcPr>
          <w:p w:rsidR="00F67BF3" w:rsidRPr="00F53F8E" w:rsidP="00F67BF3">
            <w:pPr>
              <w:spacing w:line="240" w:lineRule="auto"/>
              <w:jc w:val="right"/>
              <w:rPr>
                <w:rFonts w:ascii="Arial Narrow" w:hAnsi="Arial Narrow" w:cs="Times New Roman"/>
                <w:b/>
                <w:bCs/>
              </w:rPr>
            </w:pPr>
            <w:r>
              <w:rPr>
                <w:rFonts w:ascii="Arial Narrow" w:hAnsi="Arial Narrow" w:cs="Times New Roman"/>
                <w:b/>
                <w:bCs/>
              </w:rPr>
              <w:t>2 601 846 000,00</w:t>
            </w:r>
          </w:p>
        </w:tc>
        <w:tc>
          <w:tcPr>
            <w:tcW w:w="1340" w:type="dxa"/>
            <w:tcBorders>
              <w:top w:val="nil"/>
              <w:left w:val="nil"/>
              <w:bottom w:val="single" w:sz="4" w:space="0" w:color="auto"/>
              <w:right w:val="single" w:sz="8" w:space="0" w:color="auto"/>
              <w:tl2br w:val="nil"/>
              <w:tr2bl w:val="nil"/>
            </w:tcBorders>
            <w:noWrap/>
            <w:textDirection w:val="lrTb"/>
            <w:vAlign w:val="center"/>
          </w:tcPr>
          <w:p w:rsidR="00F67BF3" w:rsidRPr="00F53F8E" w:rsidP="00F67BF3">
            <w:pPr>
              <w:spacing w:line="240" w:lineRule="auto"/>
              <w:jc w:val="right"/>
              <w:rPr>
                <w:rFonts w:ascii="Arial Narrow" w:hAnsi="Arial Narrow" w:cs="Times New Roman"/>
                <w:b/>
                <w:bCs/>
              </w:rPr>
            </w:pPr>
            <w:r w:rsidRPr="00F53F8E">
              <w:rPr>
                <w:rFonts w:ascii="Arial Narrow" w:hAnsi="Arial Narrow" w:cs="Times New Roman"/>
                <w:b/>
                <w:bCs/>
              </w:rPr>
              <w:t> </w:t>
            </w:r>
            <w:r>
              <w:rPr>
                <w:rFonts w:ascii="Arial Narrow" w:hAnsi="Arial Narrow" w:cs="Times New Roman"/>
                <w:b/>
                <w:bCs/>
              </w:rPr>
              <w:t>0,00</w:t>
            </w:r>
          </w:p>
        </w:tc>
        <w:tc>
          <w:tcPr>
            <w:tcW w:w="1224" w:type="dxa"/>
            <w:tcBorders>
              <w:top w:val="nil"/>
              <w:left w:val="nil"/>
              <w:bottom w:val="single" w:sz="4" w:space="0" w:color="auto"/>
              <w:right w:val="single" w:sz="8" w:space="0" w:color="auto"/>
              <w:tl2br w:val="nil"/>
              <w:tr2bl w:val="nil"/>
            </w:tcBorders>
            <w:noWrap/>
            <w:textDirection w:val="lrTb"/>
            <w:vAlign w:val="center"/>
          </w:tcPr>
          <w:p w:rsidR="00F67BF3" w:rsidRPr="00F53F8E" w:rsidP="00F67BF3">
            <w:pPr>
              <w:spacing w:line="240" w:lineRule="auto"/>
              <w:jc w:val="right"/>
              <w:rPr>
                <w:rFonts w:ascii="Arial Narrow" w:hAnsi="Arial Narrow" w:cs="Times New Roman"/>
                <w:b/>
                <w:bCs/>
              </w:rPr>
            </w:pPr>
            <w:r w:rsidRPr="00F53F8E">
              <w:rPr>
                <w:rFonts w:ascii="Arial Narrow" w:hAnsi="Arial Narrow" w:cs="Times New Roman"/>
                <w:b/>
                <w:bCs/>
              </w:rPr>
              <w:t>0,00</w:t>
            </w:r>
          </w:p>
        </w:tc>
        <w:tc>
          <w:tcPr>
            <w:tcW w:w="268" w:type="dxa"/>
            <w:tcBorders>
              <w:top w:val="nil"/>
              <w:left w:val="nil"/>
              <w:bottom w:val="nil"/>
              <w:right w:val="nil"/>
              <w:tl2br w:val="nil"/>
              <w:tr2bl w:val="nil"/>
            </w:tcBorders>
            <w:noWrap/>
            <w:textDirection w:val="lrTb"/>
            <w:vAlign w:val="bottom"/>
          </w:tcPr>
          <w:p w:rsidR="00F67BF3" w:rsidRPr="00F53F8E" w:rsidP="00F67BF3">
            <w:pPr>
              <w:spacing w:line="240" w:lineRule="auto"/>
              <w:rPr>
                <w:rFonts w:ascii="Arial Narrow" w:hAnsi="Arial Narrow" w:cs="Times New Roman"/>
              </w:rPr>
            </w:pPr>
          </w:p>
        </w:tc>
      </w:tr>
      <w:tr>
        <w:tblPrEx>
          <w:tblW w:w="11568" w:type="dxa"/>
          <w:tblInd w:w="-830" w:type="dxa"/>
          <w:tblCellMar>
            <w:left w:w="70" w:type="dxa"/>
            <w:right w:w="70" w:type="dxa"/>
          </w:tblCellMar>
        </w:tblPrEx>
        <w:trPr>
          <w:gridAfter w:val="2"/>
          <w:wAfter w:w="320" w:type="dxa"/>
          <w:trHeight w:val="227"/>
        </w:trPr>
        <w:tc>
          <w:tcPr>
            <w:tcW w:w="660" w:type="dxa"/>
            <w:tcBorders>
              <w:top w:val="nil"/>
              <w:left w:val="single" w:sz="8" w:space="0" w:color="auto"/>
              <w:bottom w:val="single" w:sz="4" w:space="0" w:color="auto"/>
              <w:right w:val="nil"/>
              <w:tl2br w:val="nil"/>
              <w:tr2bl w:val="nil"/>
            </w:tcBorders>
            <w:noWrap/>
            <w:textDirection w:val="lrTb"/>
            <w:vAlign w:val="center"/>
          </w:tcPr>
          <w:p w:rsidR="00F67BF3" w:rsidRPr="00064378" w:rsidP="00F67BF3">
            <w:pPr>
              <w:spacing w:line="240" w:lineRule="auto"/>
              <w:jc w:val="right"/>
              <w:rPr>
                <w:rFonts w:ascii="Arial Narrow" w:hAnsi="Arial Narrow" w:cs="Times New Roman"/>
              </w:rPr>
            </w:pPr>
            <w:r>
              <w:rPr>
                <w:rFonts w:ascii="Arial Narrow" w:hAnsi="Arial Narrow" w:cs="Times New Roman"/>
              </w:rPr>
              <w:t>20388</w:t>
            </w:r>
          </w:p>
        </w:tc>
        <w:tc>
          <w:tcPr>
            <w:tcW w:w="3300" w:type="dxa"/>
            <w:tcBorders>
              <w:top w:val="nil"/>
              <w:left w:val="single" w:sz="8" w:space="0" w:color="auto"/>
              <w:bottom w:val="single" w:sz="4" w:space="0" w:color="auto"/>
              <w:right w:val="nil"/>
              <w:tl2br w:val="nil"/>
              <w:tr2bl w:val="nil"/>
            </w:tcBorders>
            <w:noWrap/>
            <w:textDirection w:val="lrTb"/>
            <w:vAlign w:val="center"/>
          </w:tcPr>
          <w:p w:rsidR="00F67BF3" w:rsidRPr="00064378" w:rsidP="00F67BF3">
            <w:pPr>
              <w:spacing w:line="240" w:lineRule="auto"/>
              <w:rPr>
                <w:rFonts w:ascii="Arial Narrow" w:hAnsi="Arial Narrow" w:cs="Times New Roman"/>
              </w:rPr>
            </w:pPr>
            <w:r>
              <w:rPr>
                <w:rFonts w:ascii="Arial Narrow" w:hAnsi="Arial Narrow" w:cs="Times New Roman"/>
              </w:rPr>
              <w:t>D3 Žilina – Strážov - Kysucké Nové Mesto</w:t>
            </w:r>
          </w:p>
        </w:tc>
        <w:tc>
          <w:tcPr>
            <w:tcW w:w="1476" w:type="dxa"/>
            <w:tcBorders>
              <w:top w:val="nil"/>
              <w:left w:val="single" w:sz="8" w:space="0" w:color="auto"/>
              <w:bottom w:val="single" w:sz="4" w:space="0" w:color="auto"/>
              <w:right w:val="nil"/>
              <w:tl2br w:val="nil"/>
              <w:tr2bl w:val="nil"/>
            </w:tcBorders>
            <w:noWrap/>
            <w:textDirection w:val="lrTb"/>
            <w:vAlign w:val="center"/>
          </w:tcPr>
          <w:p w:rsidR="00F67BF3" w:rsidRPr="00F53F8E" w:rsidP="00F67BF3">
            <w:pPr>
              <w:spacing w:line="240" w:lineRule="auto"/>
              <w:jc w:val="right"/>
              <w:rPr>
                <w:rFonts w:ascii="Arial Narrow" w:hAnsi="Arial Narrow" w:cs="Times New Roman"/>
                <w:b/>
                <w:bCs/>
              </w:rPr>
            </w:pPr>
            <w:r>
              <w:rPr>
                <w:rFonts w:ascii="Arial Narrow" w:hAnsi="Arial Narrow" w:cs="Times New Roman"/>
                <w:b/>
                <w:bCs/>
              </w:rPr>
              <w:t>0,00</w:t>
            </w:r>
          </w:p>
        </w:tc>
        <w:tc>
          <w:tcPr>
            <w:tcW w:w="1440" w:type="dxa"/>
            <w:tcBorders>
              <w:top w:val="nil"/>
              <w:left w:val="single" w:sz="8" w:space="0" w:color="auto"/>
              <w:bottom w:val="single" w:sz="4" w:space="0" w:color="auto"/>
              <w:right w:val="nil"/>
              <w:tl2br w:val="nil"/>
              <w:tr2bl w:val="nil"/>
            </w:tcBorders>
            <w:noWrap/>
            <w:textDirection w:val="lrTb"/>
            <w:vAlign w:val="center"/>
          </w:tcPr>
          <w:p w:rsidR="00F67BF3" w:rsidRPr="00F53F8E" w:rsidP="00F67BF3">
            <w:pPr>
              <w:spacing w:line="240" w:lineRule="auto"/>
              <w:jc w:val="right"/>
              <w:rPr>
                <w:rFonts w:ascii="Arial Narrow" w:hAnsi="Arial Narrow" w:cs="Times New Roman"/>
                <w:b/>
                <w:bCs/>
              </w:rPr>
            </w:pPr>
            <w:r>
              <w:rPr>
                <w:rFonts w:ascii="Arial Narrow" w:hAnsi="Arial Narrow" w:cs="Times New Roman"/>
                <w:b/>
                <w:bCs/>
              </w:rPr>
              <w:t>20 220 000,00</w:t>
            </w:r>
          </w:p>
        </w:tc>
        <w:tc>
          <w:tcPr>
            <w:tcW w:w="1540" w:type="dxa"/>
            <w:tcBorders>
              <w:top w:val="nil"/>
              <w:left w:val="single" w:sz="8" w:space="0" w:color="auto"/>
              <w:bottom w:val="single" w:sz="4" w:space="0" w:color="auto"/>
              <w:right w:val="single" w:sz="8" w:space="0" w:color="auto"/>
              <w:tl2br w:val="nil"/>
              <w:tr2bl w:val="nil"/>
            </w:tcBorders>
            <w:noWrap/>
            <w:textDirection w:val="lrTb"/>
            <w:vAlign w:val="center"/>
          </w:tcPr>
          <w:p w:rsidR="00F67BF3" w:rsidRPr="00F53F8E" w:rsidP="00F67BF3">
            <w:pPr>
              <w:spacing w:line="240" w:lineRule="auto"/>
              <w:jc w:val="right"/>
              <w:rPr>
                <w:rFonts w:ascii="Arial Narrow" w:hAnsi="Arial Narrow" w:cs="Times New Roman"/>
                <w:b/>
                <w:bCs/>
              </w:rPr>
            </w:pPr>
            <w:r>
              <w:rPr>
                <w:rFonts w:ascii="Arial Narrow" w:hAnsi="Arial Narrow" w:cs="Times New Roman"/>
                <w:b/>
                <w:bCs/>
              </w:rPr>
              <w:t>20 220 000,00</w:t>
            </w:r>
          </w:p>
        </w:tc>
        <w:tc>
          <w:tcPr>
            <w:tcW w:w="1340" w:type="dxa"/>
            <w:tcBorders>
              <w:top w:val="nil"/>
              <w:left w:val="nil"/>
              <w:bottom w:val="single" w:sz="4" w:space="0" w:color="auto"/>
              <w:right w:val="single" w:sz="8" w:space="0" w:color="auto"/>
              <w:tl2br w:val="nil"/>
              <w:tr2bl w:val="nil"/>
            </w:tcBorders>
            <w:noWrap/>
            <w:textDirection w:val="lrTb"/>
            <w:vAlign w:val="center"/>
          </w:tcPr>
          <w:p w:rsidR="00F67BF3" w:rsidRPr="00F53F8E" w:rsidP="00F67BF3">
            <w:pPr>
              <w:spacing w:line="240" w:lineRule="auto"/>
              <w:jc w:val="right"/>
              <w:rPr>
                <w:rFonts w:ascii="Arial Narrow" w:hAnsi="Arial Narrow" w:cs="Times New Roman"/>
                <w:b/>
                <w:bCs/>
              </w:rPr>
            </w:pPr>
            <w:r w:rsidRPr="00F53F8E">
              <w:rPr>
                <w:rFonts w:ascii="Arial Narrow" w:hAnsi="Arial Narrow" w:cs="Times New Roman"/>
                <w:b/>
                <w:bCs/>
              </w:rPr>
              <w:t> </w:t>
            </w:r>
            <w:r>
              <w:rPr>
                <w:rFonts w:ascii="Arial Narrow" w:hAnsi="Arial Narrow" w:cs="Times New Roman"/>
                <w:b/>
                <w:bCs/>
              </w:rPr>
              <w:t>0,00</w:t>
            </w:r>
          </w:p>
        </w:tc>
        <w:tc>
          <w:tcPr>
            <w:tcW w:w="1224" w:type="dxa"/>
            <w:tcBorders>
              <w:top w:val="nil"/>
              <w:left w:val="nil"/>
              <w:bottom w:val="single" w:sz="4" w:space="0" w:color="auto"/>
              <w:right w:val="single" w:sz="8" w:space="0" w:color="auto"/>
              <w:tl2br w:val="nil"/>
              <w:tr2bl w:val="nil"/>
            </w:tcBorders>
            <w:noWrap/>
            <w:textDirection w:val="lrTb"/>
            <w:vAlign w:val="center"/>
          </w:tcPr>
          <w:p w:rsidR="00F67BF3" w:rsidRPr="00F53F8E" w:rsidP="00F67BF3">
            <w:pPr>
              <w:spacing w:line="240" w:lineRule="auto"/>
              <w:jc w:val="right"/>
              <w:rPr>
                <w:rFonts w:ascii="Arial Narrow" w:hAnsi="Arial Narrow" w:cs="Times New Roman"/>
                <w:b/>
                <w:bCs/>
              </w:rPr>
            </w:pPr>
            <w:r>
              <w:rPr>
                <w:rFonts w:ascii="Arial Narrow" w:hAnsi="Arial Narrow" w:cs="Times New Roman"/>
                <w:b/>
                <w:bCs/>
              </w:rPr>
              <w:t>0,00</w:t>
            </w:r>
          </w:p>
        </w:tc>
        <w:tc>
          <w:tcPr>
            <w:tcW w:w="268" w:type="dxa"/>
            <w:tcBorders>
              <w:top w:val="nil"/>
              <w:left w:val="nil"/>
              <w:bottom w:val="nil"/>
              <w:right w:val="nil"/>
              <w:tl2br w:val="nil"/>
              <w:tr2bl w:val="nil"/>
            </w:tcBorders>
            <w:noWrap/>
            <w:textDirection w:val="lrTb"/>
            <w:vAlign w:val="bottom"/>
          </w:tcPr>
          <w:p w:rsidR="00F67BF3" w:rsidRPr="00F53F8E" w:rsidP="00F67BF3">
            <w:pPr>
              <w:spacing w:line="240" w:lineRule="auto"/>
              <w:rPr>
                <w:rFonts w:ascii="Arial Narrow" w:hAnsi="Arial Narrow" w:cs="Times New Roman"/>
              </w:rPr>
            </w:pPr>
          </w:p>
        </w:tc>
      </w:tr>
      <w:tr>
        <w:tblPrEx>
          <w:tblW w:w="11568" w:type="dxa"/>
          <w:tblInd w:w="-830" w:type="dxa"/>
          <w:tblCellMar>
            <w:left w:w="70" w:type="dxa"/>
            <w:right w:w="70" w:type="dxa"/>
          </w:tblCellMar>
        </w:tblPrEx>
        <w:trPr>
          <w:gridAfter w:val="2"/>
          <w:wAfter w:w="320" w:type="dxa"/>
          <w:trHeight w:val="227"/>
        </w:trPr>
        <w:tc>
          <w:tcPr>
            <w:tcW w:w="660" w:type="dxa"/>
            <w:tcBorders>
              <w:top w:val="nil"/>
              <w:left w:val="single" w:sz="8" w:space="0" w:color="auto"/>
              <w:bottom w:val="single" w:sz="4" w:space="0" w:color="auto"/>
              <w:right w:val="nil"/>
              <w:tl2br w:val="nil"/>
              <w:tr2bl w:val="nil"/>
            </w:tcBorders>
            <w:noWrap/>
            <w:textDirection w:val="lrTb"/>
            <w:vAlign w:val="center"/>
          </w:tcPr>
          <w:p w:rsidR="00F67BF3" w:rsidRPr="00064378" w:rsidP="00F67BF3">
            <w:pPr>
              <w:spacing w:line="240" w:lineRule="auto"/>
              <w:jc w:val="right"/>
              <w:rPr>
                <w:rFonts w:ascii="Arial Narrow" w:hAnsi="Arial Narrow" w:cs="Times New Roman"/>
              </w:rPr>
            </w:pPr>
            <w:r>
              <w:rPr>
                <w:rFonts w:ascii="Arial Narrow" w:hAnsi="Arial Narrow" w:cs="Times New Roman"/>
              </w:rPr>
              <w:t>20389</w:t>
            </w:r>
          </w:p>
        </w:tc>
        <w:tc>
          <w:tcPr>
            <w:tcW w:w="3300" w:type="dxa"/>
            <w:tcBorders>
              <w:top w:val="nil"/>
              <w:left w:val="single" w:sz="8" w:space="0" w:color="auto"/>
              <w:bottom w:val="single" w:sz="4" w:space="0" w:color="auto"/>
              <w:right w:val="nil"/>
              <w:tl2br w:val="nil"/>
              <w:tr2bl w:val="nil"/>
            </w:tcBorders>
            <w:noWrap/>
            <w:textDirection w:val="lrTb"/>
            <w:vAlign w:val="center"/>
          </w:tcPr>
          <w:p w:rsidR="00F67BF3" w:rsidRPr="00064378" w:rsidP="00F67BF3">
            <w:pPr>
              <w:spacing w:line="240" w:lineRule="auto"/>
              <w:rPr>
                <w:rFonts w:ascii="Arial Narrow" w:hAnsi="Arial Narrow" w:cs="Times New Roman"/>
              </w:rPr>
            </w:pPr>
            <w:r>
              <w:rPr>
                <w:rFonts w:ascii="Arial Narrow" w:hAnsi="Arial Narrow" w:cs="Times New Roman"/>
              </w:rPr>
              <w:t>D3 Žilina Strážov - Žilina Brodno</w:t>
            </w:r>
          </w:p>
        </w:tc>
        <w:tc>
          <w:tcPr>
            <w:tcW w:w="1476" w:type="dxa"/>
            <w:tcBorders>
              <w:top w:val="nil"/>
              <w:left w:val="single" w:sz="8" w:space="0" w:color="auto"/>
              <w:bottom w:val="single" w:sz="4" w:space="0" w:color="auto"/>
              <w:right w:val="nil"/>
              <w:tl2br w:val="nil"/>
              <w:tr2bl w:val="nil"/>
            </w:tcBorders>
            <w:noWrap/>
            <w:textDirection w:val="lrTb"/>
            <w:vAlign w:val="center"/>
          </w:tcPr>
          <w:p w:rsidR="00F67BF3" w:rsidRPr="00F53F8E" w:rsidP="00F67BF3">
            <w:pPr>
              <w:spacing w:line="240" w:lineRule="auto"/>
              <w:jc w:val="right"/>
              <w:rPr>
                <w:rFonts w:ascii="Arial Narrow" w:hAnsi="Arial Narrow" w:cs="Times New Roman"/>
                <w:b/>
                <w:bCs/>
              </w:rPr>
            </w:pPr>
            <w:r>
              <w:rPr>
                <w:rFonts w:ascii="Arial Narrow" w:hAnsi="Arial Narrow" w:cs="Times New Roman"/>
                <w:b/>
                <w:bCs/>
              </w:rPr>
              <w:t>0,00</w:t>
            </w:r>
          </w:p>
        </w:tc>
        <w:tc>
          <w:tcPr>
            <w:tcW w:w="1440" w:type="dxa"/>
            <w:tcBorders>
              <w:top w:val="nil"/>
              <w:left w:val="single" w:sz="8" w:space="0" w:color="auto"/>
              <w:bottom w:val="single" w:sz="4" w:space="0" w:color="auto"/>
              <w:right w:val="nil"/>
              <w:tl2br w:val="nil"/>
              <w:tr2bl w:val="nil"/>
            </w:tcBorders>
            <w:noWrap/>
            <w:textDirection w:val="lrTb"/>
            <w:vAlign w:val="center"/>
          </w:tcPr>
          <w:p w:rsidR="00F67BF3" w:rsidRPr="00F53F8E" w:rsidP="00F67BF3">
            <w:pPr>
              <w:spacing w:line="240" w:lineRule="auto"/>
              <w:jc w:val="right"/>
              <w:rPr>
                <w:rFonts w:ascii="Arial Narrow" w:hAnsi="Arial Narrow" w:cs="Times New Roman"/>
                <w:b/>
                <w:bCs/>
              </w:rPr>
            </w:pPr>
            <w:r>
              <w:rPr>
                <w:rFonts w:ascii="Arial Narrow" w:hAnsi="Arial Narrow" w:cs="Times New Roman"/>
                <w:b/>
                <w:bCs/>
              </w:rPr>
              <w:t>24 600 000,00</w:t>
            </w:r>
          </w:p>
        </w:tc>
        <w:tc>
          <w:tcPr>
            <w:tcW w:w="1540" w:type="dxa"/>
            <w:tcBorders>
              <w:top w:val="nil"/>
              <w:left w:val="single" w:sz="8" w:space="0" w:color="auto"/>
              <w:bottom w:val="single" w:sz="4" w:space="0" w:color="auto"/>
              <w:right w:val="single" w:sz="8" w:space="0" w:color="auto"/>
              <w:tl2br w:val="nil"/>
              <w:tr2bl w:val="nil"/>
            </w:tcBorders>
            <w:noWrap/>
            <w:textDirection w:val="lrTb"/>
            <w:vAlign w:val="center"/>
          </w:tcPr>
          <w:p w:rsidR="00F67BF3" w:rsidRPr="00F53F8E" w:rsidP="00F67BF3">
            <w:pPr>
              <w:spacing w:line="240" w:lineRule="auto"/>
              <w:jc w:val="right"/>
              <w:rPr>
                <w:rFonts w:ascii="Arial Narrow" w:hAnsi="Arial Narrow" w:cs="Times New Roman"/>
                <w:b/>
                <w:bCs/>
              </w:rPr>
            </w:pPr>
            <w:r>
              <w:rPr>
                <w:rFonts w:ascii="Arial Narrow" w:hAnsi="Arial Narrow" w:cs="Times New Roman"/>
                <w:b/>
                <w:bCs/>
              </w:rPr>
              <w:t>24 600 000,00</w:t>
            </w:r>
          </w:p>
        </w:tc>
        <w:tc>
          <w:tcPr>
            <w:tcW w:w="1340" w:type="dxa"/>
            <w:tcBorders>
              <w:top w:val="nil"/>
              <w:left w:val="nil"/>
              <w:bottom w:val="single" w:sz="4" w:space="0" w:color="auto"/>
              <w:right w:val="single" w:sz="8" w:space="0" w:color="auto"/>
              <w:tl2br w:val="nil"/>
              <w:tr2bl w:val="nil"/>
            </w:tcBorders>
            <w:noWrap/>
            <w:textDirection w:val="lrTb"/>
            <w:vAlign w:val="center"/>
          </w:tcPr>
          <w:p w:rsidR="00F67BF3" w:rsidRPr="00F53F8E" w:rsidP="00F67BF3">
            <w:pPr>
              <w:spacing w:line="240" w:lineRule="auto"/>
              <w:jc w:val="right"/>
              <w:rPr>
                <w:rFonts w:ascii="Arial Narrow" w:hAnsi="Arial Narrow" w:cs="Times New Roman"/>
                <w:b/>
                <w:bCs/>
              </w:rPr>
            </w:pPr>
            <w:r w:rsidRPr="00F53F8E">
              <w:rPr>
                <w:rFonts w:ascii="Arial Narrow" w:hAnsi="Arial Narrow" w:cs="Times New Roman"/>
                <w:b/>
                <w:bCs/>
              </w:rPr>
              <w:t> </w:t>
            </w:r>
            <w:r>
              <w:rPr>
                <w:rFonts w:ascii="Arial Narrow" w:hAnsi="Arial Narrow" w:cs="Times New Roman"/>
                <w:b/>
                <w:bCs/>
              </w:rPr>
              <w:t>0,00</w:t>
            </w:r>
          </w:p>
        </w:tc>
        <w:tc>
          <w:tcPr>
            <w:tcW w:w="1224" w:type="dxa"/>
            <w:tcBorders>
              <w:top w:val="nil"/>
              <w:left w:val="nil"/>
              <w:bottom w:val="single" w:sz="4" w:space="0" w:color="auto"/>
              <w:right w:val="single" w:sz="8" w:space="0" w:color="auto"/>
              <w:tl2br w:val="nil"/>
              <w:tr2bl w:val="nil"/>
            </w:tcBorders>
            <w:noWrap/>
            <w:textDirection w:val="lrTb"/>
            <w:vAlign w:val="center"/>
          </w:tcPr>
          <w:p w:rsidR="00F67BF3" w:rsidRPr="00F53F8E" w:rsidP="00F67BF3">
            <w:pPr>
              <w:spacing w:line="240" w:lineRule="auto"/>
              <w:jc w:val="right"/>
              <w:rPr>
                <w:rFonts w:ascii="Arial Narrow" w:hAnsi="Arial Narrow" w:cs="Times New Roman"/>
                <w:b/>
                <w:bCs/>
              </w:rPr>
            </w:pPr>
            <w:r>
              <w:rPr>
                <w:rFonts w:ascii="Arial Narrow" w:hAnsi="Arial Narrow" w:cs="Times New Roman"/>
                <w:b/>
                <w:bCs/>
              </w:rPr>
              <w:t>0,00</w:t>
            </w:r>
          </w:p>
        </w:tc>
        <w:tc>
          <w:tcPr>
            <w:tcW w:w="268" w:type="dxa"/>
            <w:tcBorders>
              <w:top w:val="nil"/>
              <w:left w:val="nil"/>
              <w:bottom w:val="nil"/>
              <w:right w:val="nil"/>
              <w:tl2br w:val="nil"/>
              <w:tr2bl w:val="nil"/>
            </w:tcBorders>
            <w:noWrap/>
            <w:textDirection w:val="lrTb"/>
            <w:vAlign w:val="bottom"/>
          </w:tcPr>
          <w:p w:rsidR="00F67BF3" w:rsidRPr="00F53F8E" w:rsidP="00F67BF3">
            <w:pPr>
              <w:spacing w:line="240" w:lineRule="auto"/>
              <w:rPr>
                <w:rFonts w:ascii="Arial Narrow" w:hAnsi="Arial Narrow" w:cs="Times New Roman"/>
              </w:rPr>
            </w:pPr>
          </w:p>
        </w:tc>
      </w:tr>
      <w:tr>
        <w:tblPrEx>
          <w:tblW w:w="11568" w:type="dxa"/>
          <w:tblInd w:w="-830" w:type="dxa"/>
          <w:tblCellMar>
            <w:left w:w="70" w:type="dxa"/>
            <w:right w:w="70" w:type="dxa"/>
          </w:tblCellMar>
        </w:tblPrEx>
        <w:trPr>
          <w:gridAfter w:val="2"/>
          <w:wAfter w:w="320" w:type="dxa"/>
          <w:trHeight w:val="227"/>
        </w:trPr>
        <w:tc>
          <w:tcPr>
            <w:tcW w:w="660" w:type="dxa"/>
            <w:tcBorders>
              <w:top w:val="nil"/>
              <w:left w:val="single" w:sz="8" w:space="0" w:color="auto"/>
              <w:bottom w:val="single" w:sz="4" w:space="0" w:color="auto"/>
              <w:right w:val="nil"/>
              <w:tl2br w:val="nil"/>
              <w:tr2bl w:val="nil"/>
            </w:tcBorders>
            <w:noWrap/>
            <w:textDirection w:val="lrTb"/>
            <w:vAlign w:val="center"/>
          </w:tcPr>
          <w:p w:rsidR="00F67BF3" w:rsidRPr="00064378" w:rsidP="00F67BF3">
            <w:pPr>
              <w:spacing w:line="240" w:lineRule="auto"/>
              <w:jc w:val="right"/>
              <w:rPr>
                <w:rFonts w:ascii="Arial Narrow" w:hAnsi="Arial Narrow" w:cs="Times New Roman"/>
              </w:rPr>
            </w:pPr>
            <w:r w:rsidRPr="00064378">
              <w:rPr>
                <w:rFonts w:ascii="Arial Narrow" w:hAnsi="Arial Narrow" w:cs="Times New Roman"/>
              </w:rPr>
              <w:t>1488</w:t>
            </w:r>
          </w:p>
        </w:tc>
        <w:tc>
          <w:tcPr>
            <w:tcW w:w="3300" w:type="dxa"/>
            <w:tcBorders>
              <w:top w:val="nil"/>
              <w:left w:val="single" w:sz="8" w:space="0" w:color="auto"/>
              <w:bottom w:val="single" w:sz="4" w:space="0" w:color="auto"/>
              <w:right w:val="nil"/>
              <w:tl2br w:val="nil"/>
              <w:tr2bl w:val="nil"/>
            </w:tcBorders>
            <w:noWrap/>
            <w:textDirection w:val="lrTb"/>
            <w:vAlign w:val="center"/>
          </w:tcPr>
          <w:p w:rsidR="00F67BF3" w:rsidRPr="00064378" w:rsidP="00F67BF3">
            <w:pPr>
              <w:spacing w:line="240" w:lineRule="auto"/>
              <w:rPr>
                <w:rFonts w:ascii="Arial Narrow" w:hAnsi="Arial Narrow" w:cs="Times New Roman"/>
              </w:rPr>
            </w:pPr>
            <w:r w:rsidRPr="00064378">
              <w:rPr>
                <w:rFonts w:ascii="Arial Narrow" w:hAnsi="Arial Narrow" w:cs="Times New Roman"/>
              </w:rPr>
              <w:t>R1 Dostavba I/51 na 4.pruh Trnava-Sereď</w:t>
            </w:r>
          </w:p>
        </w:tc>
        <w:tc>
          <w:tcPr>
            <w:tcW w:w="1476" w:type="dxa"/>
            <w:tcBorders>
              <w:top w:val="nil"/>
              <w:left w:val="single" w:sz="8" w:space="0" w:color="auto"/>
              <w:bottom w:val="single" w:sz="4" w:space="0" w:color="auto"/>
              <w:right w:val="nil"/>
              <w:tl2br w:val="nil"/>
              <w:tr2bl w:val="nil"/>
            </w:tcBorders>
            <w:noWrap/>
            <w:textDirection w:val="lrTb"/>
            <w:vAlign w:val="center"/>
          </w:tcPr>
          <w:p w:rsidR="00F67BF3" w:rsidRPr="00F53F8E" w:rsidP="00F67BF3">
            <w:pPr>
              <w:spacing w:line="240" w:lineRule="auto"/>
              <w:jc w:val="right"/>
              <w:rPr>
                <w:rFonts w:ascii="Arial Narrow" w:hAnsi="Arial Narrow" w:cs="Times New Roman"/>
                <w:b/>
                <w:bCs/>
              </w:rPr>
            </w:pPr>
            <w:r w:rsidRPr="00F53F8E">
              <w:rPr>
                <w:rFonts w:ascii="Arial Narrow" w:hAnsi="Arial Narrow" w:cs="Times New Roman"/>
                <w:b/>
                <w:bCs/>
              </w:rPr>
              <w:t>0,00</w:t>
            </w:r>
          </w:p>
        </w:tc>
        <w:tc>
          <w:tcPr>
            <w:tcW w:w="1440" w:type="dxa"/>
            <w:tcBorders>
              <w:top w:val="nil"/>
              <w:left w:val="single" w:sz="8" w:space="0" w:color="auto"/>
              <w:bottom w:val="single" w:sz="4" w:space="0" w:color="auto"/>
              <w:right w:val="nil"/>
              <w:tl2br w:val="nil"/>
              <w:tr2bl w:val="nil"/>
            </w:tcBorders>
            <w:noWrap/>
            <w:textDirection w:val="lrTb"/>
            <w:vAlign w:val="center"/>
          </w:tcPr>
          <w:p w:rsidR="00F67BF3" w:rsidRPr="00F53F8E" w:rsidP="00F67BF3">
            <w:pPr>
              <w:spacing w:line="240" w:lineRule="auto"/>
              <w:jc w:val="right"/>
              <w:rPr>
                <w:rFonts w:ascii="Arial Narrow" w:hAnsi="Arial Narrow" w:cs="Times New Roman"/>
                <w:b/>
                <w:bCs/>
              </w:rPr>
            </w:pPr>
            <w:r>
              <w:rPr>
                <w:rFonts w:ascii="Arial Narrow" w:hAnsi="Arial Narrow" w:cs="Times New Roman"/>
                <w:b/>
                <w:bCs/>
              </w:rPr>
              <w:t>1 000</w:t>
            </w:r>
            <w:r w:rsidRPr="00F53F8E">
              <w:rPr>
                <w:rFonts w:ascii="Arial Narrow" w:hAnsi="Arial Narrow" w:cs="Times New Roman"/>
                <w:b/>
                <w:bCs/>
              </w:rPr>
              <w:t xml:space="preserve"> 000,00</w:t>
            </w:r>
          </w:p>
        </w:tc>
        <w:tc>
          <w:tcPr>
            <w:tcW w:w="1540" w:type="dxa"/>
            <w:tcBorders>
              <w:top w:val="nil"/>
              <w:left w:val="single" w:sz="8" w:space="0" w:color="auto"/>
              <w:bottom w:val="single" w:sz="4" w:space="0" w:color="auto"/>
              <w:right w:val="single" w:sz="8" w:space="0" w:color="auto"/>
              <w:tl2br w:val="nil"/>
              <w:tr2bl w:val="nil"/>
            </w:tcBorders>
            <w:noWrap/>
            <w:textDirection w:val="lrTb"/>
            <w:vAlign w:val="center"/>
          </w:tcPr>
          <w:p w:rsidR="00F67BF3" w:rsidRPr="00F53F8E" w:rsidP="00F67BF3">
            <w:pPr>
              <w:spacing w:line="240" w:lineRule="auto"/>
              <w:jc w:val="right"/>
              <w:rPr>
                <w:rFonts w:ascii="Arial Narrow" w:hAnsi="Arial Narrow" w:cs="Times New Roman"/>
                <w:b/>
                <w:bCs/>
              </w:rPr>
            </w:pPr>
            <w:r>
              <w:rPr>
                <w:rFonts w:ascii="Arial Narrow" w:hAnsi="Arial Narrow" w:cs="Times New Roman"/>
                <w:b/>
                <w:bCs/>
              </w:rPr>
              <w:t>1 000</w:t>
            </w:r>
            <w:r w:rsidRPr="00F53F8E">
              <w:rPr>
                <w:rFonts w:ascii="Arial Narrow" w:hAnsi="Arial Narrow" w:cs="Times New Roman"/>
                <w:b/>
                <w:bCs/>
              </w:rPr>
              <w:t xml:space="preserve"> 000,0</w:t>
            </w:r>
            <w:r w:rsidRPr="00F53F8E">
              <w:rPr>
                <w:rFonts w:ascii="Arial Narrow" w:hAnsi="Arial Narrow" w:cs="Times New Roman"/>
                <w:b/>
                <w:bCs/>
              </w:rPr>
              <w:t>0</w:t>
            </w:r>
          </w:p>
        </w:tc>
        <w:tc>
          <w:tcPr>
            <w:tcW w:w="1340" w:type="dxa"/>
            <w:tcBorders>
              <w:top w:val="nil"/>
              <w:left w:val="nil"/>
              <w:bottom w:val="single" w:sz="4" w:space="0" w:color="auto"/>
              <w:right w:val="single" w:sz="8" w:space="0" w:color="auto"/>
              <w:tl2br w:val="nil"/>
              <w:tr2bl w:val="nil"/>
            </w:tcBorders>
            <w:noWrap/>
            <w:textDirection w:val="lrTb"/>
            <w:vAlign w:val="center"/>
          </w:tcPr>
          <w:p w:rsidR="00F67BF3" w:rsidRPr="00F53F8E" w:rsidP="00F67BF3">
            <w:pPr>
              <w:spacing w:line="240" w:lineRule="auto"/>
              <w:jc w:val="right"/>
              <w:rPr>
                <w:rFonts w:ascii="Arial Narrow" w:hAnsi="Arial Narrow" w:cs="Times New Roman"/>
                <w:b/>
                <w:bCs/>
              </w:rPr>
            </w:pPr>
            <w:r w:rsidRPr="00F53F8E">
              <w:rPr>
                <w:rFonts w:ascii="Arial Narrow" w:hAnsi="Arial Narrow" w:cs="Times New Roman"/>
                <w:b/>
                <w:bCs/>
              </w:rPr>
              <w:t> </w:t>
            </w:r>
            <w:r>
              <w:rPr>
                <w:rFonts w:ascii="Arial Narrow" w:hAnsi="Arial Narrow" w:cs="Times New Roman"/>
                <w:b/>
                <w:bCs/>
              </w:rPr>
              <w:t>0,00</w:t>
            </w:r>
          </w:p>
        </w:tc>
        <w:tc>
          <w:tcPr>
            <w:tcW w:w="1224" w:type="dxa"/>
            <w:tcBorders>
              <w:top w:val="nil"/>
              <w:left w:val="nil"/>
              <w:bottom w:val="single" w:sz="4" w:space="0" w:color="auto"/>
              <w:right w:val="single" w:sz="8" w:space="0" w:color="auto"/>
              <w:tl2br w:val="nil"/>
              <w:tr2bl w:val="nil"/>
            </w:tcBorders>
            <w:noWrap/>
            <w:textDirection w:val="lrTb"/>
            <w:vAlign w:val="center"/>
          </w:tcPr>
          <w:p w:rsidR="00F67BF3" w:rsidRPr="00F53F8E" w:rsidP="00F67BF3">
            <w:pPr>
              <w:spacing w:line="240" w:lineRule="auto"/>
              <w:jc w:val="right"/>
              <w:rPr>
                <w:rFonts w:ascii="Arial Narrow" w:hAnsi="Arial Narrow" w:cs="Times New Roman"/>
                <w:b/>
                <w:bCs/>
              </w:rPr>
            </w:pPr>
            <w:r w:rsidRPr="00F53F8E">
              <w:rPr>
                <w:rFonts w:ascii="Arial Narrow" w:hAnsi="Arial Narrow" w:cs="Times New Roman"/>
                <w:b/>
                <w:bCs/>
              </w:rPr>
              <w:t>0,00</w:t>
            </w:r>
          </w:p>
        </w:tc>
        <w:tc>
          <w:tcPr>
            <w:tcW w:w="268" w:type="dxa"/>
            <w:tcBorders>
              <w:top w:val="nil"/>
              <w:left w:val="nil"/>
              <w:bottom w:val="nil"/>
              <w:right w:val="nil"/>
              <w:tl2br w:val="nil"/>
              <w:tr2bl w:val="nil"/>
            </w:tcBorders>
            <w:noWrap/>
            <w:textDirection w:val="lrTb"/>
            <w:vAlign w:val="bottom"/>
          </w:tcPr>
          <w:p w:rsidR="00F67BF3" w:rsidRPr="00F53F8E" w:rsidP="00F67BF3">
            <w:pPr>
              <w:spacing w:line="240" w:lineRule="auto"/>
              <w:rPr>
                <w:rFonts w:ascii="Arial Narrow" w:hAnsi="Arial Narrow" w:cs="Times New Roman"/>
              </w:rPr>
            </w:pPr>
          </w:p>
        </w:tc>
      </w:tr>
      <w:tr>
        <w:tblPrEx>
          <w:tblW w:w="11568" w:type="dxa"/>
          <w:tblInd w:w="-830" w:type="dxa"/>
          <w:tblCellMar>
            <w:left w:w="70" w:type="dxa"/>
            <w:right w:w="70" w:type="dxa"/>
          </w:tblCellMar>
        </w:tblPrEx>
        <w:trPr>
          <w:gridAfter w:val="2"/>
          <w:wAfter w:w="320" w:type="dxa"/>
          <w:trHeight w:val="227"/>
        </w:trPr>
        <w:tc>
          <w:tcPr>
            <w:tcW w:w="660" w:type="dxa"/>
            <w:tcBorders>
              <w:top w:val="nil"/>
              <w:left w:val="single" w:sz="8" w:space="0" w:color="auto"/>
              <w:bottom w:val="single" w:sz="4" w:space="0" w:color="auto"/>
              <w:right w:val="nil"/>
              <w:tl2br w:val="nil"/>
              <w:tr2bl w:val="nil"/>
            </w:tcBorders>
            <w:noWrap/>
            <w:textDirection w:val="lrTb"/>
            <w:vAlign w:val="center"/>
          </w:tcPr>
          <w:p w:rsidR="00F67BF3" w:rsidRPr="00064378" w:rsidP="00F67BF3">
            <w:pPr>
              <w:spacing w:line="240" w:lineRule="auto"/>
              <w:jc w:val="right"/>
              <w:rPr>
                <w:rFonts w:ascii="Arial Narrow" w:hAnsi="Arial Narrow" w:cs="Times New Roman"/>
              </w:rPr>
            </w:pPr>
            <w:r w:rsidRPr="00064378">
              <w:rPr>
                <w:rFonts w:ascii="Arial Narrow" w:hAnsi="Arial Narrow" w:cs="Times New Roman"/>
              </w:rPr>
              <w:t>1489</w:t>
            </w:r>
          </w:p>
        </w:tc>
        <w:tc>
          <w:tcPr>
            <w:tcW w:w="3300" w:type="dxa"/>
            <w:tcBorders>
              <w:top w:val="nil"/>
              <w:left w:val="single" w:sz="8" w:space="0" w:color="auto"/>
              <w:bottom w:val="single" w:sz="4" w:space="0" w:color="auto"/>
              <w:right w:val="nil"/>
              <w:tl2br w:val="nil"/>
              <w:tr2bl w:val="nil"/>
            </w:tcBorders>
            <w:noWrap/>
            <w:textDirection w:val="lrTb"/>
            <w:vAlign w:val="center"/>
          </w:tcPr>
          <w:p w:rsidR="00F67BF3" w:rsidRPr="00064378" w:rsidP="00F67BF3">
            <w:pPr>
              <w:spacing w:line="240" w:lineRule="auto"/>
              <w:rPr>
                <w:rFonts w:ascii="Arial Narrow" w:hAnsi="Arial Narrow" w:cs="Times New Roman"/>
              </w:rPr>
            </w:pPr>
            <w:r w:rsidRPr="00064378">
              <w:rPr>
                <w:rFonts w:ascii="Arial Narrow" w:hAnsi="Arial Narrow" w:cs="Times New Roman"/>
              </w:rPr>
              <w:t>R1 Dostav. I/51 na 4.pruh Sereď-Šoporňa</w:t>
            </w:r>
          </w:p>
        </w:tc>
        <w:tc>
          <w:tcPr>
            <w:tcW w:w="1476" w:type="dxa"/>
            <w:tcBorders>
              <w:top w:val="nil"/>
              <w:left w:val="single" w:sz="8" w:space="0" w:color="auto"/>
              <w:bottom w:val="single" w:sz="4" w:space="0" w:color="auto"/>
              <w:right w:val="nil"/>
              <w:tl2br w:val="nil"/>
              <w:tr2bl w:val="nil"/>
            </w:tcBorders>
            <w:noWrap/>
            <w:textDirection w:val="lrTb"/>
            <w:vAlign w:val="center"/>
          </w:tcPr>
          <w:p w:rsidR="00F67BF3" w:rsidRPr="00F53F8E" w:rsidP="00F67BF3">
            <w:pPr>
              <w:spacing w:line="240" w:lineRule="auto"/>
              <w:jc w:val="right"/>
              <w:rPr>
                <w:rFonts w:ascii="Arial Narrow" w:hAnsi="Arial Narrow" w:cs="Times New Roman"/>
                <w:b/>
                <w:bCs/>
              </w:rPr>
            </w:pPr>
            <w:r w:rsidRPr="00F53F8E">
              <w:rPr>
                <w:rFonts w:ascii="Arial Narrow" w:hAnsi="Arial Narrow" w:cs="Times New Roman"/>
                <w:b/>
                <w:bCs/>
              </w:rPr>
              <w:t>0,00</w:t>
            </w:r>
          </w:p>
        </w:tc>
        <w:tc>
          <w:tcPr>
            <w:tcW w:w="1440" w:type="dxa"/>
            <w:tcBorders>
              <w:top w:val="nil"/>
              <w:left w:val="single" w:sz="8" w:space="0" w:color="auto"/>
              <w:bottom w:val="single" w:sz="4" w:space="0" w:color="auto"/>
              <w:right w:val="nil"/>
              <w:tl2br w:val="nil"/>
              <w:tr2bl w:val="nil"/>
            </w:tcBorders>
            <w:noWrap/>
            <w:textDirection w:val="lrTb"/>
            <w:vAlign w:val="center"/>
          </w:tcPr>
          <w:p w:rsidR="00F67BF3" w:rsidRPr="00F53F8E" w:rsidP="00F67BF3">
            <w:pPr>
              <w:spacing w:line="240" w:lineRule="auto"/>
              <w:jc w:val="right"/>
              <w:rPr>
                <w:rFonts w:ascii="Arial Narrow" w:hAnsi="Arial Narrow" w:cs="Times New Roman"/>
                <w:b/>
                <w:bCs/>
              </w:rPr>
            </w:pPr>
            <w:r>
              <w:rPr>
                <w:rFonts w:ascii="Arial Narrow" w:hAnsi="Arial Narrow" w:cs="Times New Roman"/>
                <w:b/>
                <w:bCs/>
              </w:rPr>
              <w:t>20</w:t>
            </w:r>
            <w:r w:rsidRPr="00F53F8E">
              <w:rPr>
                <w:rFonts w:ascii="Arial Narrow" w:hAnsi="Arial Narrow" w:cs="Times New Roman"/>
                <w:b/>
                <w:bCs/>
              </w:rPr>
              <w:t xml:space="preserve"> 000,00</w:t>
            </w:r>
          </w:p>
        </w:tc>
        <w:tc>
          <w:tcPr>
            <w:tcW w:w="1540" w:type="dxa"/>
            <w:tcBorders>
              <w:top w:val="nil"/>
              <w:left w:val="single" w:sz="8" w:space="0" w:color="auto"/>
              <w:bottom w:val="single" w:sz="4" w:space="0" w:color="auto"/>
              <w:right w:val="single" w:sz="8" w:space="0" w:color="auto"/>
              <w:tl2br w:val="nil"/>
              <w:tr2bl w:val="nil"/>
            </w:tcBorders>
            <w:noWrap/>
            <w:textDirection w:val="lrTb"/>
            <w:vAlign w:val="center"/>
          </w:tcPr>
          <w:p w:rsidR="00F67BF3" w:rsidRPr="00F53F8E" w:rsidP="00F67BF3">
            <w:pPr>
              <w:spacing w:line="240" w:lineRule="auto"/>
              <w:jc w:val="right"/>
              <w:rPr>
                <w:rFonts w:ascii="Arial Narrow" w:hAnsi="Arial Narrow" w:cs="Times New Roman"/>
                <w:b/>
                <w:bCs/>
              </w:rPr>
            </w:pPr>
            <w:r>
              <w:rPr>
                <w:rFonts w:ascii="Arial Narrow" w:hAnsi="Arial Narrow" w:cs="Times New Roman"/>
                <w:b/>
                <w:bCs/>
              </w:rPr>
              <w:t>20</w:t>
            </w:r>
            <w:r w:rsidRPr="00F53F8E">
              <w:rPr>
                <w:rFonts w:ascii="Arial Narrow" w:hAnsi="Arial Narrow" w:cs="Times New Roman"/>
                <w:b/>
                <w:bCs/>
              </w:rPr>
              <w:t xml:space="preserve"> 000,00</w:t>
            </w:r>
          </w:p>
        </w:tc>
        <w:tc>
          <w:tcPr>
            <w:tcW w:w="1340" w:type="dxa"/>
            <w:tcBorders>
              <w:top w:val="nil"/>
              <w:left w:val="nil"/>
              <w:bottom w:val="single" w:sz="4" w:space="0" w:color="auto"/>
              <w:right w:val="single" w:sz="8" w:space="0" w:color="auto"/>
              <w:tl2br w:val="nil"/>
              <w:tr2bl w:val="nil"/>
            </w:tcBorders>
            <w:noWrap/>
            <w:textDirection w:val="lrTb"/>
            <w:vAlign w:val="center"/>
          </w:tcPr>
          <w:p w:rsidR="00F67BF3" w:rsidRPr="00F53F8E" w:rsidP="00F67BF3">
            <w:pPr>
              <w:spacing w:line="240" w:lineRule="auto"/>
              <w:jc w:val="right"/>
              <w:rPr>
                <w:rFonts w:ascii="Arial Narrow" w:hAnsi="Arial Narrow" w:cs="Times New Roman"/>
                <w:b/>
                <w:bCs/>
              </w:rPr>
            </w:pPr>
            <w:r w:rsidRPr="00F53F8E">
              <w:rPr>
                <w:rFonts w:ascii="Arial Narrow" w:hAnsi="Arial Narrow" w:cs="Times New Roman"/>
                <w:b/>
                <w:bCs/>
              </w:rPr>
              <w:t> </w:t>
            </w:r>
            <w:r>
              <w:rPr>
                <w:rFonts w:ascii="Arial Narrow" w:hAnsi="Arial Narrow" w:cs="Times New Roman"/>
                <w:b/>
                <w:bCs/>
              </w:rPr>
              <w:t>0,00</w:t>
            </w:r>
          </w:p>
        </w:tc>
        <w:tc>
          <w:tcPr>
            <w:tcW w:w="1224" w:type="dxa"/>
            <w:tcBorders>
              <w:top w:val="nil"/>
              <w:left w:val="nil"/>
              <w:bottom w:val="single" w:sz="4" w:space="0" w:color="auto"/>
              <w:right w:val="single" w:sz="8" w:space="0" w:color="auto"/>
              <w:tl2br w:val="nil"/>
              <w:tr2bl w:val="nil"/>
            </w:tcBorders>
            <w:noWrap/>
            <w:textDirection w:val="lrTb"/>
            <w:vAlign w:val="center"/>
          </w:tcPr>
          <w:p w:rsidR="00F67BF3" w:rsidRPr="00F53F8E" w:rsidP="00F67BF3">
            <w:pPr>
              <w:spacing w:line="240" w:lineRule="auto"/>
              <w:jc w:val="right"/>
              <w:rPr>
                <w:rFonts w:ascii="Arial Narrow" w:hAnsi="Arial Narrow" w:cs="Times New Roman"/>
                <w:b/>
                <w:bCs/>
              </w:rPr>
            </w:pPr>
            <w:r w:rsidRPr="00F53F8E">
              <w:rPr>
                <w:rFonts w:ascii="Arial Narrow" w:hAnsi="Arial Narrow" w:cs="Times New Roman"/>
                <w:b/>
                <w:bCs/>
              </w:rPr>
              <w:t>0,00</w:t>
            </w:r>
          </w:p>
        </w:tc>
        <w:tc>
          <w:tcPr>
            <w:tcW w:w="268" w:type="dxa"/>
            <w:tcBorders>
              <w:top w:val="nil"/>
              <w:left w:val="nil"/>
              <w:bottom w:val="nil"/>
              <w:right w:val="nil"/>
              <w:tl2br w:val="nil"/>
              <w:tr2bl w:val="nil"/>
            </w:tcBorders>
            <w:noWrap/>
            <w:textDirection w:val="lrTb"/>
            <w:vAlign w:val="bottom"/>
          </w:tcPr>
          <w:p w:rsidR="00F67BF3" w:rsidRPr="00F53F8E" w:rsidP="00F67BF3">
            <w:pPr>
              <w:spacing w:line="240" w:lineRule="auto"/>
              <w:rPr>
                <w:rFonts w:ascii="Arial Narrow" w:hAnsi="Arial Narrow" w:cs="Times New Roman"/>
              </w:rPr>
            </w:pPr>
          </w:p>
        </w:tc>
      </w:tr>
      <w:tr>
        <w:tblPrEx>
          <w:tblW w:w="11568" w:type="dxa"/>
          <w:tblInd w:w="-830" w:type="dxa"/>
          <w:tblCellMar>
            <w:left w:w="70" w:type="dxa"/>
            <w:right w:w="70" w:type="dxa"/>
          </w:tblCellMar>
        </w:tblPrEx>
        <w:trPr>
          <w:gridAfter w:val="2"/>
          <w:wAfter w:w="320" w:type="dxa"/>
          <w:trHeight w:val="227"/>
        </w:trPr>
        <w:tc>
          <w:tcPr>
            <w:tcW w:w="660" w:type="dxa"/>
            <w:tcBorders>
              <w:top w:val="nil"/>
              <w:left w:val="single" w:sz="8" w:space="0" w:color="auto"/>
              <w:bottom w:val="single" w:sz="4" w:space="0" w:color="auto"/>
              <w:right w:val="nil"/>
              <w:tl2br w:val="nil"/>
              <w:tr2bl w:val="nil"/>
            </w:tcBorders>
            <w:noWrap/>
            <w:textDirection w:val="lrTb"/>
            <w:vAlign w:val="center"/>
          </w:tcPr>
          <w:p w:rsidR="00F67BF3" w:rsidP="00F67BF3">
            <w:pPr>
              <w:spacing w:line="240" w:lineRule="auto"/>
              <w:jc w:val="right"/>
              <w:rPr>
                <w:rFonts w:ascii="Arial Narrow" w:hAnsi="Arial Narrow" w:cs="Times New Roman"/>
              </w:rPr>
            </w:pPr>
            <w:r>
              <w:rPr>
                <w:rFonts w:ascii="Arial Narrow" w:hAnsi="Arial Narrow" w:cs="Times New Roman"/>
              </w:rPr>
              <w:t>1490</w:t>
            </w:r>
          </w:p>
        </w:tc>
        <w:tc>
          <w:tcPr>
            <w:tcW w:w="3300" w:type="dxa"/>
            <w:tcBorders>
              <w:top w:val="nil"/>
              <w:left w:val="single" w:sz="8" w:space="0" w:color="auto"/>
              <w:bottom w:val="single" w:sz="4" w:space="0" w:color="auto"/>
              <w:right w:val="nil"/>
              <w:tl2br w:val="nil"/>
              <w:tr2bl w:val="nil"/>
            </w:tcBorders>
            <w:noWrap/>
            <w:textDirection w:val="lrTb"/>
            <w:vAlign w:val="center"/>
          </w:tcPr>
          <w:p w:rsidR="00F67BF3" w:rsidP="00F67BF3">
            <w:pPr>
              <w:spacing w:line="240" w:lineRule="auto"/>
              <w:rPr>
                <w:rFonts w:ascii="Arial Narrow" w:hAnsi="Arial Narrow" w:cs="Times New Roman"/>
              </w:rPr>
            </w:pPr>
            <w:r>
              <w:rPr>
                <w:rFonts w:ascii="Arial Narrow" w:hAnsi="Arial Narrow" w:cs="Times New Roman"/>
              </w:rPr>
              <w:t>R1</w:t>
            </w:r>
            <w:r w:rsidRPr="00064378">
              <w:rPr>
                <w:rFonts w:ascii="Arial Narrow" w:hAnsi="Arial Narrow" w:cs="Times New Roman"/>
              </w:rPr>
              <w:t xml:space="preserve"> Dostav. I/51 na 4.pruh </w:t>
            </w:r>
            <w:r>
              <w:rPr>
                <w:rFonts w:ascii="Arial Narrow" w:hAnsi="Arial Narrow" w:cs="Times New Roman"/>
              </w:rPr>
              <w:t>Šoporňa-Báb</w:t>
            </w:r>
          </w:p>
        </w:tc>
        <w:tc>
          <w:tcPr>
            <w:tcW w:w="1476" w:type="dxa"/>
            <w:tcBorders>
              <w:top w:val="nil"/>
              <w:left w:val="single" w:sz="8" w:space="0" w:color="auto"/>
              <w:bottom w:val="single" w:sz="4" w:space="0" w:color="auto"/>
              <w:right w:val="nil"/>
              <w:tl2br w:val="nil"/>
              <w:tr2bl w:val="nil"/>
            </w:tcBorders>
            <w:noWrap/>
            <w:textDirection w:val="lrTb"/>
            <w:vAlign w:val="center"/>
          </w:tcPr>
          <w:p w:rsidR="00F67BF3" w:rsidP="00F67BF3">
            <w:pPr>
              <w:spacing w:line="240" w:lineRule="auto"/>
              <w:jc w:val="right"/>
              <w:rPr>
                <w:rFonts w:ascii="Arial Narrow" w:hAnsi="Arial Narrow" w:cs="Times New Roman"/>
                <w:b/>
                <w:bCs/>
              </w:rPr>
            </w:pPr>
            <w:r>
              <w:rPr>
                <w:rFonts w:ascii="Arial Narrow" w:hAnsi="Arial Narrow" w:cs="Times New Roman"/>
                <w:b/>
                <w:bCs/>
              </w:rPr>
              <w:t>0,00</w:t>
            </w:r>
          </w:p>
        </w:tc>
        <w:tc>
          <w:tcPr>
            <w:tcW w:w="1440" w:type="dxa"/>
            <w:tcBorders>
              <w:top w:val="nil"/>
              <w:left w:val="single" w:sz="8" w:space="0" w:color="auto"/>
              <w:bottom w:val="single" w:sz="4" w:space="0" w:color="auto"/>
              <w:right w:val="nil"/>
              <w:tl2br w:val="nil"/>
              <w:tr2bl w:val="nil"/>
            </w:tcBorders>
            <w:noWrap/>
            <w:textDirection w:val="lrTb"/>
            <w:vAlign w:val="center"/>
          </w:tcPr>
          <w:p w:rsidR="00F67BF3" w:rsidRPr="00F53F8E" w:rsidP="00F67BF3">
            <w:pPr>
              <w:spacing w:line="240" w:lineRule="auto"/>
              <w:jc w:val="right"/>
              <w:rPr>
                <w:rFonts w:ascii="Arial Narrow" w:hAnsi="Arial Narrow" w:cs="Times New Roman"/>
                <w:b/>
                <w:bCs/>
              </w:rPr>
            </w:pPr>
            <w:r>
              <w:rPr>
                <w:rFonts w:ascii="Arial Narrow" w:hAnsi="Arial Narrow" w:cs="Times New Roman"/>
                <w:b/>
                <w:bCs/>
              </w:rPr>
              <w:t>50 000,00</w:t>
            </w:r>
          </w:p>
        </w:tc>
        <w:tc>
          <w:tcPr>
            <w:tcW w:w="1540" w:type="dxa"/>
            <w:tcBorders>
              <w:top w:val="nil"/>
              <w:left w:val="single" w:sz="8" w:space="0" w:color="auto"/>
              <w:bottom w:val="single" w:sz="4" w:space="0" w:color="auto"/>
              <w:right w:val="single" w:sz="8" w:space="0" w:color="auto"/>
              <w:tl2br w:val="nil"/>
              <w:tr2bl w:val="nil"/>
            </w:tcBorders>
            <w:noWrap/>
            <w:textDirection w:val="lrTb"/>
            <w:vAlign w:val="center"/>
          </w:tcPr>
          <w:p w:rsidR="00F67BF3" w:rsidRPr="00F53F8E" w:rsidP="00F67BF3">
            <w:pPr>
              <w:spacing w:line="240" w:lineRule="auto"/>
              <w:jc w:val="right"/>
              <w:rPr>
                <w:rFonts w:ascii="Arial Narrow" w:hAnsi="Arial Narrow" w:cs="Times New Roman"/>
                <w:b/>
                <w:bCs/>
              </w:rPr>
            </w:pPr>
            <w:r>
              <w:rPr>
                <w:rFonts w:ascii="Arial Narrow" w:hAnsi="Arial Narrow" w:cs="Times New Roman"/>
                <w:b/>
                <w:bCs/>
              </w:rPr>
              <w:t>50 000,00</w:t>
            </w:r>
          </w:p>
        </w:tc>
        <w:tc>
          <w:tcPr>
            <w:tcW w:w="1340" w:type="dxa"/>
            <w:tcBorders>
              <w:top w:val="nil"/>
              <w:left w:val="nil"/>
              <w:bottom w:val="single" w:sz="4" w:space="0" w:color="auto"/>
              <w:right w:val="single" w:sz="8" w:space="0" w:color="auto"/>
              <w:tl2br w:val="nil"/>
              <w:tr2bl w:val="nil"/>
            </w:tcBorders>
            <w:noWrap/>
            <w:textDirection w:val="lrTb"/>
            <w:vAlign w:val="center"/>
          </w:tcPr>
          <w:p w:rsidR="00F67BF3" w:rsidRPr="00F53F8E" w:rsidP="00F67BF3">
            <w:pPr>
              <w:spacing w:line="240" w:lineRule="auto"/>
              <w:jc w:val="right"/>
              <w:rPr>
                <w:rFonts w:ascii="Arial Narrow" w:hAnsi="Arial Narrow" w:cs="Times New Roman"/>
                <w:b/>
                <w:bCs/>
              </w:rPr>
            </w:pPr>
            <w:r w:rsidRPr="00F53F8E">
              <w:rPr>
                <w:rFonts w:ascii="Arial Narrow" w:hAnsi="Arial Narrow" w:cs="Times New Roman"/>
                <w:b/>
                <w:bCs/>
              </w:rPr>
              <w:t> </w:t>
            </w:r>
            <w:r>
              <w:rPr>
                <w:rFonts w:ascii="Arial Narrow" w:hAnsi="Arial Narrow" w:cs="Times New Roman"/>
                <w:b/>
                <w:bCs/>
              </w:rPr>
              <w:t>0,00</w:t>
            </w:r>
          </w:p>
        </w:tc>
        <w:tc>
          <w:tcPr>
            <w:tcW w:w="1224" w:type="dxa"/>
            <w:tcBorders>
              <w:top w:val="nil"/>
              <w:left w:val="nil"/>
              <w:bottom w:val="single" w:sz="4" w:space="0" w:color="auto"/>
              <w:right w:val="single" w:sz="8" w:space="0" w:color="auto"/>
              <w:tl2br w:val="nil"/>
              <w:tr2bl w:val="nil"/>
            </w:tcBorders>
            <w:noWrap/>
            <w:textDirection w:val="lrTb"/>
            <w:vAlign w:val="center"/>
          </w:tcPr>
          <w:p w:rsidR="00F67BF3" w:rsidRPr="00F53F8E" w:rsidP="00F67BF3">
            <w:pPr>
              <w:spacing w:line="240" w:lineRule="auto"/>
              <w:jc w:val="right"/>
              <w:rPr>
                <w:rFonts w:ascii="Arial Narrow" w:hAnsi="Arial Narrow" w:cs="Times New Roman"/>
                <w:b/>
                <w:bCs/>
              </w:rPr>
            </w:pPr>
            <w:r w:rsidRPr="00F53F8E">
              <w:rPr>
                <w:rFonts w:ascii="Arial Narrow" w:hAnsi="Arial Narrow" w:cs="Times New Roman"/>
                <w:b/>
                <w:bCs/>
              </w:rPr>
              <w:t>0,00</w:t>
            </w:r>
          </w:p>
        </w:tc>
        <w:tc>
          <w:tcPr>
            <w:tcW w:w="268" w:type="dxa"/>
            <w:tcBorders>
              <w:top w:val="nil"/>
              <w:left w:val="nil"/>
              <w:bottom w:val="nil"/>
              <w:right w:val="nil"/>
              <w:tl2br w:val="nil"/>
              <w:tr2bl w:val="nil"/>
            </w:tcBorders>
            <w:noWrap/>
            <w:textDirection w:val="lrTb"/>
            <w:vAlign w:val="bottom"/>
          </w:tcPr>
          <w:p w:rsidR="00F67BF3" w:rsidRPr="00F53F8E" w:rsidP="00F67BF3">
            <w:pPr>
              <w:spacing w:line="240" w:lineRule="auto"/>
              <w:rPr>
                <w:rFonts w:ascii="Arial Narrow" w:hAnsi="Arial Narrow" w:cs="Times New Roman"/>
              </w:rPr>
            </w:pPr>
          </w:p>
        </w:tc>
      </w:tr>
      <w:tr>
        <w:tblPrEx>
          <w:tblW w:w="11568" w:type="dxa"/>
          <w:tblInd w:w="-830" w:type="dxa"/>
          <w:tblCellMar>
            <w:left w:w="70" w:type="dxa"/>
            <w:right w:w="70" w:type="dxa"/>
          </w:tblCellMar>
        </w:tblPrEx>
        <w:trPr>
          <w:gridAfter w:val="2"/>
          <w:wAfter w:w="320" w:type="dxa"/>
          <w:trHeight w:val="227"/>
        </w:trPr>
        <w:tc>
          <w:tcPr>
            <w:tcW w:w="660" w:type="dxa"/>
            <w:tcBorders>
              <w:top w:val="nil"/>
              <w:left w:val="single" w:sz="8" w:space="0" w:color="auto"/>
              <w:bottom w:val="single" w:sz="4" w:space="0" w:color="auto"/>
              <w:right w:val="nil"/>
              <w:tl2br w:val="nil"/>
              <w:tr2bl w:val="nil"/>
            </w:tcBorders>
            <w:noWrap/>
            <w:textDirection w:val="lrTb"/>
            <w:vAlign w:val="center"/>
          </w:tcPr>
          <w:p w:rsidR="00F67BF3" w:rsidP="00F67BF3">
            <w:pPr>
              <w:spacing w:line="240" w:lineRule="auto"/>
              <w:jc w:val="right"/>
              <w:rPr>
                <w:rFonts w:ascii="Arial Narrow" w:hAnsi="Arial Narrow" w:cs="Times New Roman"/>
              </w:rPr>
            </w:pPr>
            <w:r>
              <w:rPr>
                <w:rFonts w:ascii="Arial Narrow" w:hAnsi="Arial Narrow" w:cs="Times New Roman"/>
              </w:rPr>
              <w:t>13300</w:t>
            </w:r>
          </w:p>
        </w:tc>
        <w:tc>
          <w:tcPr>
            <w:tcW w:w="3300" w:type="dxa"/>
            <w:tcBorders>
              <w:top w:val="nil"/>
              <w:left w:val="single" w:sz="8" w:space="0" w:color="auto"/>
              <w:bottom w:val="single" w:sz="4" w:space="0" w:color="auto"/>
              <w:right w:val="nil"/>
              <w:tl2br w:val="nil"/>
              <w:tr2bl w:val="nil"/>
            </w:tcBorders>
            <w:noWrap/>
            <w:textDirection w:val="lrTb"/>
            <w:vAlign w:val="center"/>
          </w:tcPr>
          <w:p w:rsidR="00F67BF3" w:rsidP="00F67BF3">
            <w:pPr>
              <w:spacing w:line="240" w:lineRule="auto"/>
              <w:rPr>
                <w:rFonts w:ascii="Arial Narrow" w:hAnsi="Arial Narrow" w:cs="Times New Roman"/>
              </w:rPr>
            </w:pPr>
            <w:r>
              <w:rPr>
                <w:rFonts w:ascii="Arial Narrow" w:hAnsi="Arial Narrow" w:cs="Times New Roman"/>
              </w:rPr>
              <w:t>R1 Žarnovica - Šášovské Podhradie</w:t>
            </w:r>
          </w:p>
        </w:tc>
        <w:tc>
          <w:tcPr>
            <w:tcW w:w="1476" w:type="dxa"/>
            <w:tcBorders>
              <w:top w:val="nil"/>
              <w:left w:val="single" w:sz="8" w:space="0" w:color="auto"/>
              <w:bottom w:val="single" w:sz="4" w:space="0" w:color="auto"/>
              <w:right w:val="nil"/>
              <w:tl2br w:val="nil"/>
              <w:tr2bl w:val="nil"/>
            </w:tcBorders>
            <w:noWrap/>
            <w:textDirection w:val="lrTb"/>
            <w:vAlign w:val="center"/>
          </w:tcPr>
          <w:p w:rsidR="00F67BF3" w:rsidP="00F67BF3">
            <w:pPr>
              <w:spacing w:line="240" w:lineRule="auto"/>
              <w:jc w:val="right"/>
              <w:rPr>
                <w:rFonts w:ascii="Arial Narrow" w:hAnsi="Arial Narrow" w:cs="Times New Roman"/>
                <w:b/>
                <w:bCs/>
              </w:rPr>
            </w:pPr>
            <w:r>
              <w:rPr>
                <w:rFonts w:ascii="Arial Narrow" w:hAnsi="Arial Narrow" w:cs="Times New Roman"/>
                <w:b/>
                <w:bCs/>
              </w:rPr>
              <w:t>0,00</w:t>
            </w:r>
          </w:p>
        </w:tc>
        <w:tc>
          <w:tcPr>
            <w:tcW w:w="1440" w:type="dxa"/>
            <w:tcBorders>
              <w:top w:val="nil"/>
              <w:left w:val="single" w:sz="8" w:space="0" w:color="auto"/>
              <w:bottom w:val="single" w:sz="4" w:space="0" w:color="auto"/>
              <w:right w:val="nil"/>
              <w:tl2br w:val="nil"/>
              <w:tr2bl w:val="nil"/>
            </w:tcBorders>
            <w:noWrap/>
            <w:textDirection w:val="lrTb"/>
            <w:vAlign w:val="center"/>
          </w:tcPr>
          <w:p w:rsidR="00F67BF3" w:rsidRPr="00F53F8E" w:rsidP="00F67BF3">
            <w:pPr>
              <w:spacing w:line="240" w:lineRule="auto"/>
              <w:jc w:val="right"/>
              <w:rPr>
                <w:rFonts w:ascii="Arial Narrow" w:hAnsi="Arial Narrow" w:cs="Times New Roman"/>
                <w:b/>
                <w:bCs/>
              </w:rPr>
            </w:pPr>
            <w:r>
              <w:rPr>
                <w:rFonts w:ascii="Arial Narrow" w:hAnsi="Arial Narrow" w:cs="Times New Roman"/>
                <w:b/>
                <w:bCs/>
              </w:rPr>
              <w:t>1 079 000,00</w:t>
            </w:r>
          </w:p>
        </w:tc>
        <w:tc>
          <w:tcPr>
            <w:tcW w:w="1540" w:type="dxa"/>
            <w:tcBorders>
              <w:top w:val="nil"/>
              <w:left w:val="single" w:sz="8" w:space="0" w:color="auto"/>
              <w:bottom w:val="single" w:sz="4" w:space="0" w:color="auto"/>
              <w:right w:val="single" w:sz="8" w:space="0" w:color="auto"/>
              <w:tl2br w:val="nil"/>
              <w:tr2bl w:val="nil"/>
            </w:tcBorders>
            <w:noWrap/>
            <w:textDirection w:val="lrTb"/>
            <w:vAlign w:val="center"/>
          </w:tcPr>
          <w:p w:rsidR="00F67BF3" w:rsidRPr="00F53F8E" w:rsidP="00F67BF3">
            <w:pPr>
              <w:spacing w:line="240" w:lineRule="auto"/>
              <w:jc w:val="right"/>
              <w:rPr>
                <w:rFonts w:ascii="Arial Narrow" w:hAnsi="Arial Narrow" w:cs="Times New Roman"/>
                <w:b/>
                <w:bCs/>
              </w:rPr>
            </w:pPr>
            <w:r>
              <w:rPr>
                <w:rFonts w:ascii="Arial Narrow" w:hAnsi="Arial Narrow" w:cs="Times New Roman"/>
                <w:b/>
                <w:bCs/>
              </w:rPr>
              <w:t>1 079 000,00</w:t>
            </w:r>
          </w:p>
        </w:tc>
        <w:tc>
          <w:tcPr>
            <w:tcW w:w="1340" w:type="dxa"/>
            <w:tcBorders>
              <w:top w:val="nil"/>
              <w:left w:val="nil"/>
              <w:bottom w:val="single" w:sz="4" w:space="0" w:color="auto"/>
              <w:right w:val="single" w:sz="8" w:space="0" w:color="auto"/>
              <w:tl2br w:val="nil"/>
              <w:tr2bl w:val="nil"/>
            </w:tcBorders>
            <w:noWrap/>
            <w:textDirection w:val="lrTb"/>
            <w:vAlign w:val="center"/>
          </w:tcPr>
          <w:p w:rsidR="00F67BF3" w:rsidRPr="00F53F8E" w:rsidP="00F67BF3">
            <w:pPr>
              <w:spacing w:line="240" w:lineRule="auto"/>
              <w:jc w:val="right"/>
              <w:rPr>
                <w:rFonts w:ascii="Arial Narrow" w:hAnsi="Arial Narrow" w:cs="Times New Roman"/>
                <w:b/>
                <w:bCs/>
              </w:rPr>
            </w:pPr>
            <w:r w:rsidRPr="00F53F8E">
              <w:rPr>
                <w:rFonts w:ascii="Arial Narrow" w:hAnsi="Arial Narrow" w:cs="Times New Roman"/>
                <w:b/>
                <w:bCs/>
              </w:rPr>
              <w:t> </w:t>
            </w:r>
            <w:r>
              <w:rPr>
                <w:rFonts w:ascii="Arial Narrow" w:hAnsi="Arial Narrow" w:cs="Times New Roman"/>
                <w:b/>
                <w:bCs/>
              </w:rPr>
              <w:t>0,00</w:t>
            </w:r>
          </w:p>
        </w:tc>
        <w:tc>
          <w:tcPr>
            <w:tcW w:w="1224" w:type="dxa"/>
            <w:tcBorders>
              <w:top w:val="nil"/>
              <w:left w:val="nil"/>
              <w:bottom w:val="single" w:sz="4" w:space="0" w:color="auto"/>
              <w:right w:val="single" w:sz="8" w:space="0" w:color="auto"/>
              <w:tl2br w:val="nil"/>
              <w:tr2bl w:val="nil"/>
            </w:tcBorders>
            <w:noWrap/>
            <w:textDirection w:val="lrTb"/>
            <w:vAlign w:val="center"/>
          </w:tcPr>
          <w:p w:rsidR="00F67BF3" w:rsidRPr="00F53F8E" w:rsidP="00F67BF3">
            <w:pPr>
              <w:spacing w:line="240" w:lineRule="auto"/>
              <w:jc w:val="right"/>
              <w:rPr>
                <w:rFonts w:ascii="Arial Narrow" w:hAnsi="Arial Narrow" w:cs="Times New Roman"/>
                <w:b/>
                <w:bCs/>
              </w:rPr>
            </w:pPr>
            <w:r>
              <w:rPr>
                <w:rFonts w:ascii="Arial Narrow" w:hAnsi="Arial Narrow" w:cs="Times New Roman"/>
                <w:b/>
                <w:bCs/>
              </w:rPr>
              <w:t>0,00</w:t>
            </w:r>
          </w:p>
        </w:tc>
        <w:tc>
          <w:tcPr>
            <w:tcW w:w="268" w:type="dxa"/>
            <w:tcBorders>
              <w:top w:val="nil"/>
              <w:left w:val="nil"/>
              <w:bottom w:val="nil"/>
              <w:right w:val="nil"/>
              <w:tl2br w:val="nil"/>
              <w:tr2bl w:val="nil"/>
            </w:tcBorders>
            <w:noWrap/>
            <w:textDirection w:val="lrTb"/>
            <w:vAlign w:val="bottom"/>
          </w:tcPr>
          <w:p w:rsidR="00F67BF3" w:rsidRPr="00F53F8E" w:rsidP="00F67BF3">
            <w:pPr>
              <w:spacing w:line="240" w:lineRule="auto"/>
              <w:rPr>
                <w:rFonts w:ascii="Arial Narrow" w:hAnsi="Arial Narrow" w:cs="Times New Roman"/>
              </w:rPr>
            </w:pPr>
          </w:p>
        </w:tc>
      </w:tr>
      <w:tr>
        <w:tblPrEx>
          <w:tblW w:w="11568" w:type="dxa"/>
          <w:tblInd w:w="-830" w:type="dxa"/>
          <w:tblCellMar>
            <w:left w:w="70" w:type="dxa"/>
            <w:right w:w="70" w:type="dxa"/>
          </w:tblCellMar>
        </w:tblPrEx>
        <w:trPr>
          <w:gridAfter w:val="2"/>
          <w:wAfter w:w="320" w:type="dxa"/>
          <w:trHeight w:val="227"/>
        </w:trPr>
        <w:tc>
          <w:tcPr>
            <w:tcW w:w="660" w:type="dxa"/>
            <w:tcBorders>
              <w:top w:val="nil"/>
              <w:left w:val="single" w:sz="8" w:space="0" w:color="auto"/>
              <w:bottom w:val="single" w:sz="4" w:space="0" w:color="auto"/>
              <w:right w:val="nil"/>
              <w:tl2br w:val="nil"/>
              <w:tr2bl w:val="nil"/>
            </w:tcBorders>
            <w:noWrap/>
            <w:textDirection w:val="lrTb"/>
            <w:vAlign w:val="center"/>
          </w:tcPr>
          <w:p w:rsidR="00F67BF3" w:rsidP="00F67BF3">
            <w:pPr>
              <w:spacing w:line="240" w:lineRule="auto"/>
              <w:jc w:val="right"/>
              <w:rPr>
                <w:rFonts w:ascii="Arial Narrow" w:hAnsi="Arial Narrow" w:cs="Times New Roman"/>
              </w:rPr>
            </w:pPr>
            <w:r>
              <w:rPr>
                <w:rFonts w:ascii="Arial Narrow" w:hAnsi="Arial Narrow" w:cs="Times New Roman"/>
              </w:rPr>
              <w:t>1779</w:t>
            </w:r>
          </w:p>
        </w:tc>
        <w:tc>
          <w:tcPr>
            <w:tcW w:w="3300" w:type="dxa"/>
            <w:tcBorders>
              <w:top w:val="nil"/>
              <w:left w:val="single" w:sz="8" w:space="0" w:color="auto"/>
              <w:bottom w:val="single" w:sz="4" w:space="0" w:color="auto"/>
              <w:right w:val="nil"/>
              <w:tl2br w:val="nil"/>
              <w:tr2bl w:val="nil"/>
            </w:tcBorders>
            <w:noWrap/>
            <w:textDirection w:val="lrTb"/>
            <w:vAlign w:val="center"/>
          </w:tcPr>
          <w:p w:rsidR="00F67BF3" w:rsidP="00F67BF3">
            <w:pPr>
              <w:spacing w:line="240" w:lineRule="auto"/>
              <w:rPr>
                <w:rFonts w:ascii="Arial Narrow" w:hAnsi="Arial Narrow" w:cs="Times New Roman"/>
              </w:rPr>
            </w:pPr>
            <w:r>
              <w:rPr>
                <w:rFonts w:ascii="Arial Narrow" w:hAnsi="Arial Narrow" w:cs="Times New Roman"/>
              </w:rPr>
              <w:t>R1 Žarnovica - Šáš. Podhradie II. etapa</w:t>
            </w:r>
          </w:p>
        </w:tc>
        <w:tc>
          <w:tcPr>
            <w:tcW w:w="1476" w:type="dxa"/>
            <w:tcBorders>
              <w:top w:val="nil"/>
              <w:left w:val="single" w:sz="8" w:space="0" w:color="auto"/>
              <w:bottom w:val="single" w:sz="4" w:space="0" w:color="auto"/>
              <w:right w:val="nil"/>
              <w:tl2br w:val="nil"/>
              <w:tr2bl w:val="nil"/>
            </w:tcBorders>
            <w:noWrap/>
            <w:textDirection w:val="lrTb"/>
            <w:vAlign w:val="center"/>
          </w:tcPr>
          <w:p w:rsidR="00F67BF3" w:rsidP="00F67BF3">
            <w:pPr>
              <w:spacing w:line="240" w:lineRule="auto"/>
              <w:jc w:val="right"/>
              <w:rPr>
                <w:rFonts w:ascii="Arial Narrow" w:hAnsi="Arial Narrow" w:cs="Times New Roman"/>
                <w:b/>
                <w:bCs/>
              </w:rPr>
            </w:pPr>
            <w:r>
              <w:rPr>
                <w:rFonts w:ascii="Arial Narrow" w:hAnsi="Arial Narrow" w:cs="Times New Roman"/>
                <w:b/>
                <w:bCs/>
              </w:rPr>
              <w:t>0,00</w:t>
            </w:r>
          </w:p>
        </w:tc>
        <w:tc>
          <w:tcPr>
            <w:tcW w:w="1440" w:type="dxa"/>
            <w:tcBorders>
              <w:top w:val="nil"/>
              <w:left w:val="single" w:sz="8" w:space="0" w:color="auto"/>
              <w:bottom w:val="single" w:sz="4" w:space="0" w:color="auto"/>
              <w:right w:val="nil"/>
              <w:tl2br w:val="nil"/>
              <w:tr2bl w:val="nil"/>
            </w:tcBorders>
            <w:noWrap/>
            <w:textDirection w:val="lrTb"/>
            <w:vAlign w:val="center"/>
          </w:tcPr>
          <w:p w:rsidR="00F67BF3" w:rsidRPr="00F53F8E" w:rsidP="00F67BF3">
            <w:pPr>
              <w:spacing w:line="240" w:lineRule="auto"/>
              <w:jc w:val="right"/>
              <w:rPr>
                <w:rFonts w:ascii="Arial Narrow" w:hAnsi="Arial Narrow" w:cs="Times New Roman"/>
                <w:b/>
                <w:bCs/>
              </w:rPr>
            </w:pPr>
            <w:r>
              <w:rPr>
                <w:rFonts w:ascii="Arial Narrow" w:hAnsi="Arial Narrow" w:cs="Times New Roman"/>
                <w:b/>
                <w:bCs/>
              </w:rPr>
              <w:t>2 275 000,00</w:t>
            </w:r>
          </w:p>
        </w:tc>
        <w:tc>
          <w:tcPr>
            <w:tcW w:w="1540" w:type="dxa"/>
            <w:tcBorders>
              <w:top w:val="nil"/>
              <w:left w:val="single" w:sz="8" w:space="0" w:color="auto"/>
              <w:bottom w:val="single" w:sz="4" w:space="0" w:color="auto"/>
              <w:right w:val="single" w:sz="8" w:space="0" w:color="auto"/>
              <w:tl2br w:val="nil"/>
              <w:tr2bl w:val="nil"/>
            </w:tcBorders>
            <w:noWrap/>
            <w:textDirection w:val="lrTb"/>
            <w:vAlign w:val="center"/>
          </w:tcPr>
          <w:p w:rsidR="00F67BF3" w:rsidRPr="00F53F8E" w:rsidP="00F67BF3">
            <w:pPr>
              <w:spacing w:line="240" w:lineRule="auto"/>
              <w:jc w:val="right"/>
              <w:rPr>
                <w:rFonts w:ascii="Arial Narrow" w:hAnsi="Arial Narrow" w:cs="Times New Roman"/>
                <w:b/>
                <w:bCs/>
              </w:rPr>
            </w:pPr>
            <w:r>
              <w:rPr>
                <w:rFonts w:ascii="Arial Narrow" w:hAnsi="Arial Narrow" w:cs="Times New Roman"/>
                <w:b/>
                <w:bCs/>
              </w:rPr>
              <w:t>2 275 000,00</w:t>
            </w:r>
          </w:p>
        </w:tc>
        <w:tc>
          <w:tcPr>
            <w:tcW w:w="1340" w:type="dxa"/>
            <w:tcBorders>
              <w:top w:val="nil"/>
              <w:left w:val="nil"/>
              <w:bottom w:val="single" w:sz="4" w:space="0" w:color="auto"/>
              <w:right w:val="single" w:sz="8" w:space="0" w:color="auto"/>
              <w:tl2br w:val="nil"/>
              <w:tr2bl w:val="nil"/>
            </w:tcBorders>
            <w:noWrap/>
            <w:textDirection w:val="lrTb"/>
            <w:vAlign w:val="center"/>
          </w:tcPr>
          <w:p w:rsidR="00F67BF3" w:rsidRPr="00F53F8E" w:rsidP="00F67BF3">
            <w:pPr>
              <w:spacing w:line="240" w:lineRule="auto"/>
              <w:jc w:val="right"/>
              <w:rPr>
                <w:rFonts w:ascii="Arial Narrow" w:hAnsi="Arial Narrow" w:cs="Times New Roman"/>
                <w:b/>
                <w:bCs/>
              </w:rPr>
            </w:pPr>
            <w:r w:rsidRPr="00F53F8E">
              <w:rPr>
                <w:rFonts w:ascii="Arial Narrow" w:hAnsi="Arial Narrow" w:cs="Times New Roman"/>
                <w:b/>
                <w:bCs/>
              </w:rPr>
              <w:t> </w:t>
            </w:r>
            <w:r>
              <w:rPr>
                <w:rFonts w:ascii="Arial Narrow" w:hAnsi="Arial Narrow" w:cs="Times New Roman"/>
                <w:b/>
                <w:bCs/>
              </w:rPr>
              <w:t>0,00</w:t>
            </w:r>
          </w:p>
        </w:tc>
        <w:tc>
          <w:tcPr>
            <w:tcW w:w="1224" w:type="dxa"/>
            <w:tcBorders>
              <w:top w:val="nil"/>
              <w:left w:val="nil"/>
              <w:bottom w:val="single" w:sz="4" w:space="0" w:color="auto"/>
              <w:right w:val="single" w:sz="8" w:space="0" w:color="auto"/>
              <w:tl2br w:val="nil"/>
              <w:tr2bl w:val="nil"/>
            </w:tcBorders>
            <w:noWrap/>
            <w:textDirection w:val="lrTb"/>
            <w:vAlign w:val="center"/>
          </w:tcPr>
          <w:p w:rsidR="00F67BF3" w:rsidRPr="00F53F8E" w:rsidP="00F67BF3">
            <w:pPr>
              <w:spacing w:line="240" w:lineRule="auto"/>
              <w:jc w:val="right"/>
              <w:rPr>
                <w:rFonts w:ascii="Arial Narrow" w:hAnsi="Arial Narrow" w:cs="Times New Roman"/>
                <w:b/>
                <w:bCs/>
              </w:rPr>
            </w:pPr>
            <w:r>
              <w:rPr>
                <w:rFonts w:ascii="Arial Narrow" w:hAnsi="Arial Narrow" w:cs="Times New Roman"/>
                <w:b/>
                <w:bCs/>
              </w:rPr>
              <w:t>0,00</w:t>
            </w:r>
          </w:p>
        </w:tc>
        <w:tc>
          <w:tcPr>
            <w:tcW w:w="268" w:type="dxa"/>
            <w:tcBorders>
              <w:top w:val="nil"/>
              <w:left w:val="nil"/>
              <w:bottom w:val="nil"/>
              <w:right w:val="nil"/>
              <w:tl2br w:val="nil"/>
              <w:tr2bl w:val="nil"/>
            </w:tcBorders>
            <w:noWrap/>
            <w:textDirection w:val="lrTb"/>
            <w:vAlign w:val="bottom"/>
          </w:tcPr>
          <w:p w:rsidR="00F67BF3" w:rsidRPr="00F53F8E" w:rsidP="00F67BF3">
            <w:pPr>
              <w:spacing w:line="240" w:lineRule="auto"/>
              <w:rPr>
                <w:rFonts w:ascii="Arial Narrow" w:hAnsi="Arial Narrow" w:cs="Times New Roman"/>
              </w:rPr>
            </w:pPr>
          </w:p>
        </w:tc>
      </w:tr>
      <w:tr>
        <w:tblPrEx>
          <w:tblW w:w="11568" w:type="dxa"/>
          <w:tblInd w:w="-830" w:type="dxa"/>
          <w:tblCellMar>
            <w:left w:w="70" w:type="dxa"/>
            <w:right w:w="70" w:type="dxa"/>
          </w:tblCellMar>
        </w:tblPrEx>
        <w:trPr>
          <w:gridAfter w:val="2"/>
          <w:wAfter w:w="320" w:type="dxa"/>
          <w:trHeight w:val="227"/>
        </w:trPr>
        <w:tc>
          <w:tcPr>
            <w:tcW w:w="660" w:type="dxa"/>
            <w:tcBorders>
              <w:top w:val="nil"/>
              <w:left w:val="single" w:sz="8" w:space="0" w:color="auto"/>
              <w:bottom w:val="single" w:sz="4" w:space="0" w:color="auto"/>
              <w:right w:val="nil"/>
              <w:tl2br w:val="nil"/>
              <w:tr2bl w:val="nil"/>
            </w:tcBorders>
            <w:noWrap/>
            <w:textDirection w:val="lrTb"/>
            <w:vAlign w:val="center"/>
          </w:tcPr>
          <w:p w:rsidR="00F67BF3" w:rsidP="00F67BF3">
            <w:pPr>
              <w:spacing w:line="240" w:lineRule="auto"/>
              <w:jc w:val="right"/>
              <w:rPr>
                <w:rFonts w:ascii="Arial Narrow" w:hAnsi="Arial Narrow" w:cs="Times New Roman"/>
              </w:rPr>
            </w:pPr>
            <w:r>
              <w:rPr>
                <w:rFonts w:ascii="Arial Narrow" w:hAnsi="Arial Narrow" w:cs="Times New Roman"/>
              </w:rPr>
              <w:t>18427</w:t>
            </w:r>
          </w:p>
        </w:tc>
        <w:tc>
          <w:tcPr>
            <w:tcW w:w="3300" w:type="dxa"/>
            <w:tcBorders>
              <w:top w:val="nil"/>
              <w:left w:val="single" w:sz="8" w:space="0" w:color="auto"/>
              <w:bottom w:val="single" w:sz="4" w:space="0" w:color="auto"/>
              <w:right w:val="nil"/>
              <w:tl2br w:val="nil"/>
              <w:tr2bl w:val="nil"/>
            </w:tcBorders>
            <w:noWrap/>
            <w:textDirection w:val="lrTb"/>
            <w:vAlign w:val="center"/>
          </w:tcPr>
          <w:p w:rsidR="00F67BF3" w:rsidP="00F67BF3">
            <w:pPr>
              <w:spacing w:line="240" w:lineRule="auto"/>
              <w:rPr>
                <w:rFonts w:ascii="Arial Narrow" w:hAnsi="Arial Narrow" w:cs="Times New Roman"/>
              </w:rPr>
            </w:pPr>
            <w:r>
              <w:rPr>
                <w:rFonts w:ascii="Arial Narrow" w:hAnsi="Arial Narrow" w:cs="Times New Roman"/>
              </w:rPr>
              <w:t>R1Nová Baňa - II. etapa protihluk. stena</w:t>
            </w:r>
          </w:p>
        </w:tc>
        <w:tc>
          <w:tcPr>
            <w:tcW w:w="1476" w:type="dxa"/>
            <w:tcBorders>
              <w:top w:val="nil"/>
              <w:left w:val="single" w:sz="8" w:space="0" w:color="auto"/>
              <w:bottom w:val="single" w:sz="4" w:space="0" w:color="auto"/>
              <w:right w:val="nil"/>
              <w:tl2br w:val="nil"/>
              <w:tr2bl w:val="nil"/>
            </w:tcBorders>
            <w:noWrap/>
            <w:textDirection w:val="lrTb"/>
            <w:vAlign w:val="center"/>
          </w:tcPr>
          <w:p w:rsidR="00F67BF3" w:rsidP="00F67BF3">
            <w:pPr>
              <w:spacing w:line="240" w:lineRule="auto"/>
              <w:jc w:val="right"/>
              <w:rPr>
                <w:rFonts w:ascii="Arial Narrow" w:hAnsi="Arial Narrow" w:cs="Times New Roman"/>
                <w:b/>
                <w:bCs/>
              </w:rPr>
            </w:pPr>
            <w:r>
              <w:rPr>
                <w:rFonts w:ascii="Arial Narrow" w:hAnsi="Arial Narrow" w:cs="Times New Roman"/>
                <w:b/>
                <w:bCs/>
              </w:rPr>
              <w:t>0,00</w:t>
            </w:r>
          </w:p>
        </w:tc>
        <w:tc>
          <w:tcPr>
            <w:tcW w:w="1440" w:type="dxa"/>
            <w:tcBorders>
              <w:top w:val="nil"/>
              <w:left w:val="single" w:sz="8" w:space="0" w:color="auto"/>
              <w:bottom w:val="single" w:sz="4" w:space="0" w:color="auto"/>
              <w:right w:val="nil"/>
              <w:tl2br w:val="nil"/>
              <w:tr2bl w:val="nil"/>
            </w:tcBorders>
            <w:noWrap/>
            <w:textDirection w:val="lrTb"/>
            <w:vAlign w:val="center"/>
          </w:tcPr>
          <w:p w:rsidR="00F67BF3" w:rsidP="00F67BF3">
            <w:pPr>
              <w:spacing w:line="240" w:lineRule="auto"/>
              <w:jc w:val="right"/>
              <w:rPr>
                <w:rFonts w:ascii="Arial Narrow" w:hAnsi="Arial Narrow" w:cs="Times New Roman"/>
                <w:b/>
                <w:bCs/>
              </w:rPr>
            </w:pPr>
            <w:r>
              <w:rPr>
                <w:rFonts w:ascii="Arial Narrow" w:hAnsi="Arial Narrow" w:cs="Times New Roman"/>
                <w:b/>
                <w:bCs/>
              </w:rPr>
              <w:t>24 357 000,00</w:t>
            </w:r>
          </w:p>
        </w:tc>
        <w:tc>
          <w:tcPr>
            <w:tcW w:w="1540" w:type="dxa"/>
            <w:tcBorders>
              <w:top w:val="nil"/>
              <w:left w:val="single" w:sz="8" w:space="0" w:color="auto"/>
              <w:bottom w:val="single" w:sz="4" w:space="0" w:color="auto"/>
              <w:right w:val="single" w:sz="8" w:space="0" w:color="auto"/>
              <w:tl2br w:val="nil"/>
              <w:tr2bl w:val="nil"/>
            </w:tcBorders>
            <w:noWrap/>
            <w:textDirection w:val="lrTb"/>
            <w:vAlign w:val="center"/>
          </w:tcPr>
          <w:p w:rsidR="00F67BF3" w:rsidP="00F67BF3">
            <w:pPr>
              <w:spacing w:line="240" w:lineRule="auto"/>
              <w:jc w:val="right"/>
              <w:rPr>
                <w:rFonts w:ascii="Arial Narrow" w:hAnsi="Arial Narrow" w:cs="Times New Roman"/>
                <w:b/>
                <w:bCs/>
              </w:rPr>
            </w:pPr>
            <w:r>
              <w:rPr>
                <w:rFonts w:ascii="Arial Narrow" w:hAnsi="Arial Narrow" w:cs="Times New Roman"/>
                <w:b/>
                <w:bCs/>
              </w:rPr>
              <w:t>24 357 000,00</w:t>
            </w:r>
          </w:p>
        </w:tc>
        <w:tc>
          <w:tcPr>
            <w:tcW w:w="1340" w:type="dxa"/>
            <w:tcBorders>
              <w:top w:val="nil"/>
              <w:left w:val="nil"/>
              <w:bottom w:val="single" w:sz="4" w:space="0" w:color="auto"/>
              <w:right w:val="single" w:sz="8" w:space="0" w:color="auto"/>
              <w:tl2br w:val="nil"/>
              <w:tr2bl w:val="nil"/>
            </w:tcBorders>
            <w:noWrap/>
            <w:textDirection w:val="lrTb"/>
            <w:vAlign w:val="center"/>
          </w:tcPr>
          <w:p w:rsidR="00F67BF3" w:rsidRPr="00F53F8E" w:rsidP="00F67BF3">
            <w:pPr>
              <w:spacing w:line="240" w:lineRule="auto"/>
              <w:jc w:val="right"/>
              <w:rPr>
                <w:rFonts w:ascii="Arial Narrow" w:hAnsi="Arial Narrow" w:cs="Times New Roman"/>
                <w:b/>
                <w:bCs/>
              </w:rPr>
            </w:pPr>
            <w:r>
              <w:rPr>
                <w:rFonts w:ascii="Arial Narrow" w:hAnsi="Arial Narrow" w:cs="Times New Roman"/>
                <w:b/>
                <w:bCs/>
              </w:rPr>
              <w:t>0,00</w:t>
            </w:r>
          </w:p>
        </w:tc>
        <w:tc>
          <w:tcPr>
            <w:tcW w:w="1224" w:type="dxa"/>
            <w:tcBorders>
              <w:top w:val="nil"/>
              <w:left w:val="nil"/>
              <w:bottom w:val="single" w:sz="4" w:space="0" w:color="auto"/>
              <w:right w:val="single" w:sz="8" w:space="0" w:color="auto"/>
              <w:tl2br w:val="nil"/>
              <w:tr2bl w:val="nil"/>
            </w:tcBorders>
            <w:noWrap/>
            <w:textDirection w:val="lrTb"/>
            <w:vAlign w:val="center"/>
          </w:tcPr>
          <w:p w:rsidR="00F67BF3" w:rsidRPr="00F53F8E" w:rsidP="00F67BF3">
            <w:pPr>
              <w:spacing w:line="240" w:lineRule="auto"/>
              <w:jc w:val="right"/>
              <w:rPr>
                <w:rFonts w:ascii="Arial Narrow" w:hAnsi="Arial Narrow" w:cs="Times New Roman"/>
                <w:b/>
                <w:bCs/>
              </w:rPr>
            </w:pPr>
            <w:r w:rsidRPr="00F53F8E">
              <w:rPr>
                <w:rFonts w:ascii="Arial Narrow" w:hAnsi="Arial Narrow" w:cs="Times New Roman"/>
                <w:b/>
                <w:bCs/>
              </w:rPr>
              <w:t>0,00</w:t>
            </w:r>
          </w:p>
        </w:tc>
        <w:tc>
          <w:tcPr>
            <w:tcW w:w="268" w:type="dxa"/>
            <w:tcBorders>
              <w:top w:val="nil"/>
              <w:left w:val="nil"/>
              <w:bottom w:val="nil"/>
              <w:right w:val="nil"/>
              <w:tl2br w:val="nil"/>
              <w:tr2bl w:val="nil"/>
            </w:tcBorders>
            <w:noWrap/>
            <w:textDirection w:val="lrTb"/>
            <w:vAlign w:val="bottom"/>
          </w:tcPr>
          <w:p w:rsidR="00F67BF3" w:rsidRPr="00F53F8E" w:rsidP="00F67BF3">
            <w:pPr>
              <w:spacing w:line="240" w:lineRule="auto"/>
              <w:rPr>
                <w:rFonts w:ascii="Arial Narrow" w:hAnsi="Arial Narrow" w:cs="Times New Roman"/>
              </w:rPr>
            </w:pPr>
          </w:p>
        </w:tc>
      </w:tr>
      <w:tr>
        <w:tblPrEx>
          <w:tblW w:w="11568" w:type="dxa"/>
          <w:tblInd w:w="-830" w:type="dxa"/>
          <w:tblCellMar>
            <w:left w:w="70" w:type="dxa"/>
            <w:right w:w="70" w:type="dxa"/>
          </w:tblCellMar>
        </w:tblPrEx>
        <w:trPr>
          <w:gridAfter w:val="2"/>
          <w:wAfter w:w="320" w:type="dxa"/>
          <w:trHeight w:val="227"/>
        </w:trPr>
        <w:tc>
          <w:tcPr>
            <w:tcW w:w="660" w:type="dxa"/>
            <w:tcBorders>
              <w:top w:val="nil"/>
              <w:left w:val="single" w:sz="8" w:space="0" w:color="auto"/>
              <w:bottom w:val="single" w:sz="4" w:space="0" w:color="auto"/>
              <w:right w:val="nil"/>
              <w:tl2br w:val="nil"/>
              <w:tr2bl w:val="nil"/>
            </w:tcBorders>
            <w:noWrap/>
            <w:textDirection w:val="lrTb"/>
            <w:vAlign w:val="center"/>
          </w:tcPr>
          <w:p w:rsidR="00F67BF3" w:rsidRPr="00064378" w:rsidP="00F67BF3">
            <w:pPr>
              <w:spacing w:line="240" w:lineRule="auto"/>
              <w:jc w:val="right"/>
              <w:rPr>
                <w:rFonts w:ascii="Arial Narrow" w:hAnsi="Arial Narrow" w:cs="Times New Roman"/>
              </w:rPr>
            </w:pPr>
            <w:r>
              <w:rPr>
                <w:rFonts w:ascii="Arial Narrow" w:hAnsi="Arial Narrow" w:cs="Times New Roman"/>
              </w:rPr>
              <w:t>13303</w:t>
            </w:r>
          </w:p>
        </w:tc>
        <w:tc>
          <w:tcPr>
            <w:tcW w:w="3300" w:type="dxa"/>
            <w:tcBorders>
              <w:top w:val="nil"/>
              <w:left w:val="single" w:sz="8" w:space="0" w:color="auto"/>
              <w:bottom w:val="single" w:sz="4" w:space="0" w:color="auto"/>
              <w:right w:val="nil"/>
              <w:tl2br w:val="nil"/>
              <w:tr2bl w:val="nil"/>
            </w:tcBorders>
            <w:noWrap/>
            <w:textDirection w:val="lrTb"/>
            <w:vAlign w:val="center"/>
          </w:tcPr>
          <w:p w:rsidR="00F67BF3" w:rsidRPr="00064378" w:rsidP="00F67BF3">
            <w:pPr>
              <w:spacing w:line="240" w:lineRule="auto"/>
              <w:rPr>
                <w:rFonts w:ascii="Arial Narrow" w:hAnsi="Arial Narrow" w:cs="Times New Roman"/>
              </w:rPr>
            </w:pPr>
            <w:r>
              <w:rPr>
                <w:rFonts w:ascii="Arial Narrow" w:hAnsi="Arial Narrow" w:cs="Times New Roman"/>
              </w:rPr>
              <w:t>R1 Nová Baňa II. etapa (Hr. Beň.- N.Baňa)</w:t>
            </w:r>
          </w:p>
        </w:tc>
        <w:tc>
          <w:tcPr>
            <w:tcW w:w="1476" w:type="dxa"/>
            <w:tcBorders>
              <w:top w:val="nil"/>
              <w:left w:val="single" w:sz="8" w:space="0" w:color="auto"/>
              <w:bottom w:val="single" w:sz="4" w:space="0" w:color="auto"/>
              <w:right w:val="nil"/>
              <w:tl2br w:val="nil"/>
              <w:tr2bl w:val="nil"/>
            </w:tcBorders>
            <w:noWrap/>
            <w:textDirection w:val="lrTb"/>
            <w:vAlign w:val="center"/>
          </w:tcPr>
          <w:p w:rsidR="00F67BF3" w:rsidRPr="00F53F8E" w:rsidP="00F67BF3">
            <w:pPr>
              <w:spacing w:line="240" w:lineRule="auto"/>
              <w:jc w:val="right"/>
              <w:rPr>
                <w:rFonts w:ascii="Arial Narrow" w:hAnsi="Arial Narrow" w:cs="Times New Roman"/>
                <w:b/>
                <w:bCs/>
              </w:rPr>
            </w:pPr>
            <w:r>
              <w:rPr>
                <w:rFonts w:ascii="Arial Narrow" w:hAnsi="Arial Narrow" w:cs="Times New Roman"/>
                <w:b/>
                <w:bCs/>
              </w:rPr>
              <w:t>25 800 000,00</w:t>
            </w:r>
          </w:p>
        </w:tc>
        <w:tc>
          <w:tcPr>
            <w:tcW w:w="1440" w:type="dxa"/>
            <w:tcBorders>
              <w:top w:val="nil"/>
              <w:left w:val="single" w:sz="8" w:space="0" w:color="auto"/>
              <w:bottom w:val="single" w:sz="4" w:space="0" w:color="auto"/>
              <w:right w:val="nil"/>
              <w:tl2br w:val="nil"/>
              <w:tr2bl w:val="nil"/>
            </w:tcBorders>
            <w:noWrap/>
            <w:textDirection w:val="lrTb"/>
            <w:vAlign w:val="center"/>
          </w:tcPr>
          <w:p w:rsidR="00F67BF3" w:rsidRPr="00F53F8E" w:rsidP="00F67BF3">
            <w:pPr>
              <w:spacing w:line="240" w:lineRule="auto"/>
              <w:jc w:val="right"/>
              <w:rPr>
                <w:rFonts w:ascii="Arial Narrow" w:hAnsi="Arial Narrow" w:cs="Times New Roman"/>
                <w:b/>
                <w:bCs/>
              </w:rPr>
            </w:pPr>
            <w:r>
              <w:rPr>
                <w:rFonts w:ascii="Arial Narrow" w:hAnsi="Arial Narrow" w:cs="Times New Roman"/>
                <w:b/>
                <w:bCs/>
              </w:rPr>
              <w:t>0,00</w:t>
            </w:r>
          </w:p>
        </w:tc>
        <w:tc>
          <w:tcPr>
            <w:tcW w:w="1540" w:type="dxa"/>
            <w:tcBorders>
              <w:top w:val="nil"/>
              <w:left w:val="single" w:sz="8" w:space="0" w:color="auto"/>
              <w:bottom w:val="single" w:sz="4" w:space="0" w:color="auto"/>
              <w:right w:val="single" w:sz="8" w:space="0" w:color="auto"/>
              <w:tl2br w:val="nil"/>
              <w:tr2bl w:val="nil"/>
            </w:tcBorders>
            <w:noWrap/>
            <w:textDirection w:val="lrTb"/>
            <w:vAlign w:val="center"/>
          </w:tcPr>
          <w:p w:rsidR="00F67BF3" w:rsidRPr="00F53F8E" w:rsidP="00F67BF3">
            <w:pPr>
              <w:spacing w:line="240" w:lineRule="auto"/>
              <w:jc w:val="right"/>
              <w:rPr>
                <w:rFonts w:ascii="Arial Narrow" w:hAnsi="Arial Narrow" w:cs="Times New Roman"/>
                <w:b/>
                <w:bCs/>
              </w:rPr>
            </w:pPr>
            <w:r>
              <w:rPr>
                <w:rFonts w:ascii="Arial Narrow" w:hAnsi="Arial Narrow" w:cs="Times New Roman"/>
                <w:b/>
                <w:bCs/>
              </w:rPr>
              <w:t>0</w:t>
            </w:r>
            <w:r>
              <w:rPr>
                <w:rFonts w:ascii="Arial Narrow" w:hAnsi="Arial Narrow" w:cs="Times New Roman"/>
                <w:b/>
                <w:bCs/>
              </w:rPr>
              <w:t>,00</w:t>
            </w:r>
          </w:p>
        </w:tc>
        <w:tc>
          <w:tcPr>
            <w:tcW w:w="1340" w:type="dxa"/>
            <w:tcBorders>
              <w:top w:val="nil"/>
              <w:left w:val="nil"/>
              <w:bottom w:val="single" w:sz="4" w:space="0" w:color="auto"/>
              <w:right w:val="single" w:sz="8" w:space="0" w:color="auto"/>
              <w:tl2br w:val="nil"/>
              <w:tr2bl w:val="nil"/>
            </w:tcBorders>
            <w:noWrap/>
            <w:textDirection w:val="lrTb"/>
            <w:vAlign w:val="center"/>
          </w:tcPr>
          <w:p w:rsidR="00F67BF3" w:rsidRPr="00F53F8E" w:rsidP="00F67BF3">
            <w:pPr>
              <w:spacing w:line="240" w:lineRule="auto"/>
              <w:jc w:val="right"/>
              <w:rPr>
                <w:rFonts w:ascii="Arial Narrow" w:hAnsi="Arial Narrow" w:cs="Times New Roman"/>
                <w:b/>
                <w:bCs/>
              </w:rPr>
            </w:pPr>
            <w:r>
              <w:rPr>
                <w:rFonts w:ascii="Arial Narrow" w:hAnsi="Arial Narrow" w:cs="Times New Roman"/>
                <w:b/>
                <w:bCs/>
              </w:rPr>
              <w:t>0,00</w:t>
            </w:r>
          </w:p>
        </w:tc>
        <w:tc>
          <w:tcPr>
            <w:tcW w:w="1224" w:type="dxa"/>
            <w:tcBorders>
              <w:top w:val="nil"/>
              <w:left w:val="nil"/>
              <w:bottom w:val="single" w:sz="4" w:space="0" w:color="auto"/>
              <w:right w:val="single" w:sz="8" w:space="0" w:color="auto"/>
              <w:tl2br w:val="nil"/>
              <w:tr2bl w:val="nil"/>
            </w:tcBorders>
            <w:noWrap/>
            <w:textDirection w:val="lrTb"/>
            <w:vAlign w:val="center"/>
          </w:tcPr>
          <w:p w:rsidR="00F67BF3" w:rsidRPr="00F53F8E" w:rsidP="00F67BF3">
            <w:pPr>
              <w:spacing w:line="240" w:lineRule="auto"/>
              <w:jc w:val="right"/>
              <w:rPr>
                <w:rFonts w:ascii="Arial Narrow" w:hAnsi="Arial Narrow" w:cs="Times New Roman"/>
                <w:b/>
                <w:bCs/>
              </w:rPr>
            </w:pPr>
            <w:r w:rsidRPr="00F53F8E">
              <w:rPr>
                <w:rFonts w:ascii="Arial Narrow" w:hAnsi="Arial Narrow" w:cs="Times New Roman"/>
                <w:b/>
                <w:bCs/>
              </w:rPr>
              <w:t>0,00</w:t>
            </w:r>
          </w:p>
        </w:tc>
        <w:tc>
          <w:tcPr>
            <w:tcW w:w="268" w:type="dxa"/>
            <w:tcBorders>
              <w:top w:val="nil"/>
              <w:left w:val="nil"/>
              <w:bottom w:val="nil"/>
              <w:right w:val="nil"/>
              <w:tl2br w:val="nil"/>
              <w:tr2bl w:val="nil"/>
            </w:tcBorders>
            <w:noWrap/>
            <w:textDirection w:val="lrTb"/>
            <w:vAlign w:val="bottom"/>
          </w:tcPr>
          <w:p w:rsidR="00F67BF3" w:rsidRPr="00F53F8E" w:rsidP="00F67BF3">
            <w:pPr>
              <w:spacing w:line="240" w:lineRule="auto"/>
              <w:rPr>
                <w:rFonts w:ascii="Arial Narrow" w:hAnsi="Arial Narrow" w:cs="Times New Roman"/>
              </w:rPr>
            </w:pPr>
          </w:p>
        </w:tc>
      </w:tr>
      <w:tr>
        <w:tblPrEx>
          <w:tblW w:w="11568" w:type="dxa"/>
          <w:tblInd w:w="-830" w:type="dxa"/>
          <w:tblCellMar>
            <w:left w:w="70" w:type="dxa"/>
            <w:right w:w="70" w:type="dxa"/>
          </w:tblCellMar>
        </w:tblPrEx>
        <w:trPr>
          <w:gridAfter w:val="2"/>
          <w:wAfter w:w="320" w:type="dxa"/>
          <w:trHeight w:val="227"/>
        </w:trPr>
        <w:tc>
          <w:tcPr>
            <w:tcW w:w="660" w:type="dxa"/>
            <w:tcBorders>
              <w:top w:val="nil"/>
              <w:left w:val="single" w:sz="8" w:space="0" w:color="auto"/>
              <w:bottom w:val="single" w:sz="4" w:space="0" w:color="auto"/>
              <w:right w:val="nil"/>
              <w:tl2br w:val="nil"/>
              <w:tr2bl w:val="nil"/>
            </w:tcBorders>
            <w:noWrap/>
            <w:textDirection w:val="lrTb"/>
            <w:vAlign w:val="center"/>
          </w:tcPr>
          <w:p w:rsidR="00F67BF3" w:rsidRPr="00064378" w:rsidP="00F67BF3">
            <w:pPr>
              <w:spacing w:line="240" w:lineRule="auto"/>
              <w:jc w:val="right"/>
              <w:rPr>
                <w:rFonts w:ascii="Arial Narrow" w:hAnsi="Arial Narrow" w:cs="Times New Roman"/>
              </w:rPr>
            </w:pPr>
            <w:r>
              <w:rPr>
                <w:rFonts w:ascii="Arial Narrow" w:hAnsi="Arial Narrow" w:cs="Times New Roman"/>
              </w:rPr>
              <w:t>20390</w:t>
            </w:r>
          </w:p>
        </w:tc>
        <w:tc>
          <w:tcPr>
            <w:tcW w:w="3300" w:type="dxa"/>
            <w:tcBorders>
              <w:top w:val="nil"/>
              <w:left w:val="single" w:sz="8" w:space="0" w:color="auto"/>
              <w:bottom w:val="single" w:sz="4" w:space="0" w:color="auto"/>
              <w:right w:val="nil"/>
              <w:tl2br w:val="nil"/>
              <w:tr2bl w:val="nil"/>
            </w:tcBorders>
            <w:noWrap/>
            <w:textDirection w:val="lrTb"/>
            <w:vAlign w:val="center"/>
          </w:tcPr>
          <w:p w:rsidR="00F67BF3" w:rsidRPr="00064378" w:rsidP="00F67BF3">
            <w:pPr>
              <w:spacing w:line="240" w:lineRule="auto"/>
              <w:rPr>
                <w:rFonts w:ascii="Arial Narrow" w:hAnsi="Arial Narrow" w:cs="Times New Roman"/>
              </w:rPr>
            </w:pPr>
            <w:r>
              <w:rPr>
                <w:rFonts w:ascii="Arial Narrow" w:hAnsi="Arial Narrow" w:cs="Times New Roman"/>
              </w:rPr>
              <w:t>R1 Nová Baňa SSÚR</w:t>
            </w:r>
          </w:p>
        </w:tc>
        <w:tc>
          <w:tcPr>
            <w:tcW w:w="1476" w:type="dxa"/>
            <w:tcBorders>
              <w:top w:val="nil"/>
              <w:left w:val="single" w:sz="8" w:space="0" w:color="auto"/>
              <w:bottom w:val="single" w:sz="4" w:space="0" w:color="auto"/>
              <w:right w:val="nil"/>
              <w:tl2br w:val="nil"/>
              <w:tr2bl w:val="nil"/>
            </w:tcBorders>
            <w:noWrap/>
            <w:textDirection w:val="lrTb"/>
            <w:vAlign w:val="center"/>
          </w:tcPr>
          <w:p w:rsidR="00F67BF3" w:rsidP="00F67BF3">
            <w:pPr>
              <w:spacing w:line="240" w:lineRule="auto"/>
              <w:jc w:val="right"/>
              <w:rPr>
                <w:rFonts w:ascii="Arial Narrow" w:hAnsi="Arial Narrow" w:cs="Times New Roman"/>
                <w:b/>
                <w:bCs/>
              </w:rPr>
            </w:pPr>
            <w:r>
              <w:rPr>
                <w:rFonts w:ascii="Arial Narrow" w:hAnsi="Arial Narrow" w:cs="Times New Roman"/>
                <w:b/>
                <w:bCs/>
              </w:rPr>
              <w:t>0,00</w:t>
            </w:r>
          </w:p>
        </w:tc>
        <w:tc>
          <w:tcPr>
            <w:tcW w:w="1440" w:type="dxa"/>
            <w:tcBorders>
              <w:top w:val="nil"/>
              <w:left w:val="single" w:sz="8" w:space="0" w:color="auto"/>
              <w:bottom w:val="single" w:sz="4" w:space="0" w:color="auto"/>
              <w:right w:val="nil"/>
              <w:tl2br w:val="nil"/>
              <w:tr2bl w:val="nil"/>
            </w:tcBorders>
            <w:noWrap/>
            <w:textDirection w:val="lrTb"/>
            <w:vAlign w:val="center"/>
          </w:tcPr>
          <w:p w:rsidR="00F67BF3" w:rsidRPr="00F53F8E" w:rsidP="00F67BF3">
            <w:pPr>
              <w:spacing w:line="240" w:lineRule="auto"/>
              <w:jc w:val="right"/>
              <w:rPr>
                <w:rFonts w:ascii="Arial Narrow" w:hAnsi="Arial Narrow" w:cs="Times New Roman"/>
                <w:b/>
                <w:bCs/>
              </w:rPr>
            </w:pPr>
            <w:r>
              <w:rPr>
                <w:rFonts w:ascii="Arial Narrow" w:hAnsi="Arial Narrow" w:cs="Times New Roman"/>
                <w:b/>
                <w:bCs/>
              </w:rPr>
              <w:t>41 650 000,00</w:t>
            </w:r>
          </w:p>
        </w:tc>
        <w:tc>
          <w:tcPr>
            <w:tcW w:w="1540" w:type="dxa"/>
            <w:tcBorders>
              <w:top w:val="nil"/>
              <w:left w:val="single" w:sz="8" w:space="0" w:color="auto"/>
              <w:bottom w:val="single" w:sz="4" w:space="0" w:color="auto"/>
              <w:right w:val="single" w:sz="8" w:space="0" w:color="auto"/>
              <w:tl2br w:val="nil"/>
              <w:tr2bl w:val="nil"/>
            </w:tcBorders>
            <w:noWrap/>
            <w:textDirection w:val="lrTb"/>
            <w:vAlign w:val="center"/>
          </w:tcPr>
          <w:p w:rsidR="00F67BF3" w:rsidRPr="00F53F8E" w:rsidP="00F67BF3">
            <w:pPr>
              <w:spacing w:line="240" w:lineRule="auto"/>
              <w:jc w:val="right"/>
              <w:rPr>
                <w:rFonts w:ascii="Arial Narrow" w:hAnsi="Arial Narrow" w:cs="Times New Roman"/>
                <w:b/>
                <w:bCs/>
              </w:rPr>
            </w:pPr>
            <w:r>
              <w:rPr>
                <w:rFonts w:ascii="Arial Narrow" w:hAnsi="Arial Narrow" w:cs="Times New Roman"/>
                <w:b/>
                <w:bCs/>
              </w:rPr>
              <w:t>41 650 000,00</w:t>
            </w:r>
          </w:p>
        </w:tc>
        <w:tc>
          <w:tcPr>
            <w:tcW w:w="1340" w:type="dxa"/>
            <w:tcBorders>
              <w:top w:val="nil"/>
              <w:left w:val="nil"/>
              <w:bottom w:val="single" w:sz="4" w:space="0" w:color="auto"/>
              <w:right w:val="single" w:sz="8" w:space="0" w:color="auto"/>
              <w:tl2br w:val="nil"/>
              <w:tr2bl w:val="nil"/>
            </w:tcBorders>
            <w:noWrap/>
            <w:textDirection w:val="lrTb"/>
            <w:vAlign w:val="center"/>
          </w:tcPr>
          <w:p w:rsidR="00F67BF3" w:rsidRPr="00F53F8E" w:rsidP="00F67BF3">
            <w:pPr>
              <w:spacing w:line="240" w:lineRule="auto"/>
              <w:jc w:val="right"/>
              <w:rPr>
                <w:rFonts w:ascii="Arial Narrow" w:hAnsi="Arial Narrow" w:cs="Times New Roman"/>
                <w:b/>
                <w:bCs/>
              </w:rPr>
            </w:pPr>
            <w:r>
              <w:rPr>
                <w:rFonts w:ascii="Arial Narrow" w:hAnsi="Arial Narrow" w:cs="Times New Roman"/>
                <w:b/>
                <w:bCs/>
              </w:rPr>
              <w:t>0,00</w:t>
            </w:r>
          </w:p>
        </w:tc>
        <w:tc>
          <w:tcPr>
            <w:tcW w:w="1224" w:type="dxa"/>
            <w:tcBorders>
              <w:top w:val="nil"/>
              <w:left w:val="nil"/>
              <w:bottom w:val="single" w:sz="4" w:space="0" w:color="auto"/>
              <w:right w:val="single" w:sz="8" w:space="0" w:color="auto"/>
              <w:tl2br w:val="nil"/>
              <w:tr2bl w:val="nil"/>
            </w:tcBorders>
            <w:noWrap/>
            <w:textDirection w:val="lrTb"/>
            <w:vAlign w:val="center"/>
          </w:tcPr>
          <w:p w:rsidR="00F67BF3" w:rsidRPr="00F53F8E" w:rsidP="00F67BF3">
            <w:pPr>
              <w:spacing w:line="240" w:lineRule="auto"/>
              <w:jc w:val="right"/>
              <w:rPr>
                <w:rFonts w:ascii="Arial Narrow" w:hAnsi="Arial Narrow" w:cs="Times New Roman"/>
                <w:b/>
                <w:bCs/>
              </w:rPr>
            </w:pPr>
            <w:r>
              <w:rPr>
                <w:rFonts w:ascii="Arial Narrow" w:hAnsi="Arial Narrow" w:cs="Times New Roman"/>
                <w:b/>
                <w:bCs/>
              </w:rPr>
              <w:t>0,00</w:t>
            </w:r>
          </w:p>
        </w:tc>
        <w:tc>
          <w:tcPr>
            <w:tcW w:w="268" w:type="dxa"/>
            <w:tcBorders>
              <w:top w:val="nil"/>
              <w:left w:val="nil"/>
              <w:bottom w:val="nil"/>
              <w:right w:val="nil"/>
              <w:tl2br w:val="nil"/>
              <w:tr2bl w:val="nil"/>
            </w:tcBorders>
            <w:noWrap/>
            <w:textDirection w:val="lrTb"/>
            <w:vAlign w:val="bottom"/>
          </w:tcPr>
          <w:p w:rsidR="00F67BF3" w:rsidRPr="00F53F8E" w:rsidP="00F67BF3">
            <w:pPr>
              <w:spacing w:line="240" w:lineRule="auto"/>
              <w:rPr>
                <w:rFonts w:ascii="Arial Narrow" w:hAnsi="Arial Narrow" w:cs="Times New Roman"/>
              </w:rPr>
            </w:pPr>
          </w:p>
        </w:tc>
      </w:tr>
      <w:tr>
        <w:tblPrEx>
          <w:tblW w:w="11568" w:type="dxa"/>
          <w:tblInd w:w="-830" w:type="dxa"/>
          <w:tblCellMar>
            <w:left w:w="70" w:type="dxa"/>
            <w:right w:w="70" w:type="dxa"/>
          </w:tblCellMar>
        </w:tblPrEx>
        <w:trPr>
          <w:gridAfter w:val="2"/>
          <w:wAfter w:w="320" w:type="dxa"/>
          <w:trHeight w:val="227"/>
        </w:trPr>
        <w:tc>
          <w:tcPr>
            <w:tcW w:w="660" w:type="dxa"/>
            <w:tcBorders>
              <w:top w:val="nil"/>
              <w:left w:val="single" w:sz="8" w:space="0" w:color="auto"/>
              <w:bottom w:val="single" w:sz="4" w:space="0" w:color="auto"/>
              <w:right w:val="nil"/>
              <w:tl2br w:val="nil"/>
              <w:tr2bl w:val="nil"/>
            </w:tcBorders>
            <w:noWrap/>
            <w:textDirection w:val="lrTb"/>
            <w:vAlign w:val="center"/>
          </w:tcPr>
          <w:p w:rsidR="00F67BF3" w:rsidRPr="00064378" w:rsidP="00F67BF3">
            <w:pPr>
              <w:spacing w:line="240" w:lineRule="auto"/>
              <w:jc w:val="right"/>
              <w:rPr>
                <w:rFonts w:ascii="Arial Narrow" w:hAnsi="Arial Narrow" w:cs="Times New Roman"/>
              </w:rPr>
            </w:pPr>
            <w:r w:rsidRPr="00064378">
              <w:rPr>
                <w:rFonts w:ascii="Arial Narrow" w:hAnsi="Arial Narrow" w:cs="Times New Roman"/>
              </w:rPr>
              <w:t>1509</w:t>
            </w:r>
          </w:p>
        </w:tc>
        <w:tc>
          <w:tcPr>
            <w:tcW w:w="3300" w:type="dxa"/>
            <w:tcBorders>
              <w:top w:val="nil"/>
              <w:left w:val="single" w:sz="8" w:space="0" w:color="auto"/>
              <w:bottom w:val="single" w:sz="4" w:space="0" w:color="auto"/>
              <w:right w:val="nil"/>
              <w:tl2br w:val="nil"/>
              <w:tr2bl w:val="nil"/>
            </w:tcBorders>
            <w:noWrap/>
            <w:textDirection w:val="lrTb"/>
            <w:vAlign w:val="center"/>
          </w:tcPr>
          <w:p w:rsidR="00F67BF3" w:rsidRPr="00064378" w:rsidP="00F67BF3">
            <w:pPr>
              <w:spacing w:line="240" w:lineRule="auto"/>
              <w:rPr>
                <w:rFonts w:ascii="Arial Narrow" w:hAnsi="Arial Narrow" w:cs="Times New Roman"/>
              </w:rPr>
            </w:pPr>
            <w:r>
              <w:rPr>
                <w:rFonts w:ascii="Arial Narrow" w:hAnsi="Arial Narrow" w:cs="Times New Roman"/>
              </w:rPr>
              <w:t xml:space="preserve">R1 Budča </w:t>
            </w:r>
            <w:r w:rsidR="002710B0">
              <w:rPr>
                <w:rFonts w:ascii="Arial Narrow" w:hAnsi="Arial Narrow" w:cs="Times New Roman"/>
              </w:rPr>
              <w:t>–</w:t>
            </w:r>
            <w:r>
              <w:rPr>
                <w:rFonts w:ascii="Arial Narrow" w:hAnsi="Arial Narrow" w:cs="Times New Roman"/>
              </w:rPr>
              <w:t xml:space="preserve"> </w:t>
            </w:r>
            <w:r w:rsidRPr="00064378">
              <w:rPr>
                <w:rFonts w:ascii="Arial Narrow" w:hAnsi="Arial Narrow" w:cs="Times New Roman"/>
              </w:rPr>
              <w:t>Kováčová</w:t>
            </w:r>
          </w:p>
        </w:tc>
        <w:tc>
          <w:tcPr>
            <w:tcW w:w="1476" w:type="dxa"/>
            <w:tcBorders>
              <w:top w:val="nil"/>
              <w:left w:val="single" w:sz="8" w:space="0" w:color="auto"/>
              <w:bottom w:val="single" w:sz="4" w:space="0" w:color="auto"/>
              <w:right w:val="nil"/>
              <w:tl2br w:val="nil"/>
              <w:tr2bl w:val="nil"/>
            </w:tcBorders>
            <w:noWrap/>
            <w:textDirection w:val="lrTb"/>
            <w:vAlign w:val="center"/>
          </w:tcPr>
          <w:p w:rsidR="00F67BF3" w:rsidRPr="00F53F8E" w:rsidP="00F67BF3">
            <w:pPr>
              <w:spacing w:line="240" w:lineRule="auto"/>
              <w:jc w:val="right"/>
              <w:rPr>
                <w:rFonts w:ascii="Arial Narrow" w:hAnsi="Arial Narrow" w:cs="Times New Roman"/>
                <w:b/>
                <w:bCs/>
              </w:rPr>
            </w:pPr>
            <w:r>
              <w:rPr>
                <w:rFonts w:ascii="Arial Narrow" w:hAnsi="Arial Narrow" w:cs="Times New Roman"/>
                <w:b/>
                <w:bCs/>
              </w:rPr>
              <w:t>97 757 00</w:t>
            </w:r>
            <w:r w:rsidRPr="00F53F8E">
              <w:rPr>
                <w:rFonts w:ascii="Arial Narrow" w:hAnsi="Arial Narrow" w:cs="Times New Roman"/>
                <w:b/>
                <w:bCs/>
              </w:rPr>
              <w:t>0,00</w:t>
            </w:r>
          </w:p>
        </w:tc>
        <w:tc>
          <w:tcPr>
            <w:tcW w:w="1440" w:type="dxa"/>
            <w:tcBorders>
              <w:top w:val="nil"/>
              <w:left w:val="single" w:sz="8" w:space="0" w:color="auto"/>
              <w:bottom w:val="single" w:sz="4" w:space="0" w:color="auto"/>
              <w:right w:val="nil"/>
              <w:tl2br w:val="nil"/>
              <w:tr2bl w:val="nil"/>
            </w:tcBorders>
            <w:noWrap/>
            <w:textDirection w:val="lrTb"/>
            <w:vAlign w:val="center"/>
          </w:tcPr>
          <w:p w:rsidR="00F67BF3" w:rsidRPr="00F53F8E" w:rsidP="00F67BF3">
            <w:pPr>
              <w:spacing w:line="240" w:lineRule="auto"/>
              <w:jc w:val="right"/>
              <w:rPr>
                <w:rFonts w:ascii="Arial Narrow" w:hAnsi="Arial Narrow" w:cs="Times New Roman"/>
                <w:b/>
                <w:bCs/>
              </w:rPr>
            </w:pPr>
            <w:r>
              <w:rPr>
                <w:rFonts w:ascii="Arial Narrow" w:hAnsi="Arial Narrow" w:cs="Times New Roman"/>
                <w:b/>
                <w:bCs/>
              </w:rPr>
              <w:t>1 500 000,00</w:t>
            </w:r>
          </w:p>
        </w:tc>
        <w:tc>
          <w:tcPr>
            <w:tcW w:w="1540" w:type="dxa"/>
            <w:tcBorders>
              <w:top w:val="nil"/>
              <w:left w:val="single" w:sz="8" w:space="0" w:color="auto"/>
              <w:bottom w:val="single" w:sz="4" w:space="0" w:color="auto"/>
              <w:right w:val="single" w:sz="8" w:space="0" w:color="auto"/>
              <w:tl2br w:val="nil"/>
              <w:tr2bl w:val="nil"/>
            </w:tcBorders>
            <w:noWrap/>
            <w:textDirection w:val="lrTb"/>
            <w:vAlign w:val="center"/>
          </w:tcPr>
          <w:p w:rsidR="00F67BF3" w:rsidRPr="00F53F8E" w:rsidP="00F67BF3">
            <w:pPr>
              <w:spacing w:line="240" w:lineRule="auto"/>
              <w:jc w:val="right"/>
              <w:rPr>
                <w:rFonts w:ascii="Arial Narrow" w:hAnsi="Arial Narrow" w:cs="Times New Roman"/>
                <w:b/>
                <w:bCs/>
              </w:rPr>
            </w:pPr>
            <w:r>
              <w:rPr>
                <w:rFonts w:ascii="Arial Narrow" w:hAnsi="Arial Narrow" w:cs="Times New Roman"/>
                <w:b/>
                <w:bCs/>
              </w:rPr>
              <w:t>1 500 000,00</w:t>
            </w:r>
          </w:p>
        </w:tc>
        <w:tc>
          <w:tcPr>
            <w:tcW w:w="1340" w:type="dxa"/>
            <w:tcBorders>
              <w:top w:val="nil"/>
              <w:left w:val="nil"/>
              <w:bottom w:val="single" w:sz="4" w:space="0" w:color="auto"/>
              <w:right w:val="single" w:sz="8" w:space="0" w:color="auto"/>
              <w:tl2br w:val="nil"/>
              <w:tr2bl w:val="nil"/>
            </w:tcBorders>
            <w:noWrap/>
            <w:textDirection w:val="lrTb"/>
            <w:vAlign w:val="center"/>
          </w:tcPr>
          <w:p w:rsidR="00F67BF3" w:rsidRPr="00F53F8E" w:rsidP="00F67BF3">
            <w:pPr>
              <w:spacing w:line="240" w:lineRule="auto"/>
              <w:jc w:val="right"/>
              <w:rPr>
                <w:rFonts w:ascii="Arial Narrow" w:hAnsi="Arial Narrow" w:cs="Times New Roman"/>
                <w:b/>
                <w:bCs/>
              </w:rPr>
            </w:pPr>
            <w:r w:rsidRPr="00F53F8E">
              <w:rPr>
                <w:rFonts w:ascii="Arial Narrow" w:hAnsi="Arial Narrow" w:cs="Times New Roman"/>
                <w:b/>
                <w:bCs/>
              </w:rPr>
              <w:t> </w:t>
            </w:r>
            <w:r>
              <w:rPr>
                <w:rFonts w:ascii="Arial Narrow" w:hAnsi="Arial Narrow" w:cs="Times New Roman"/>
                <w:b/>
                <w:bCs/>
              </w:rPr>
              <w:t>0,00</w:t>
            </w:r>
          </w:p>
        </w:tc>
        <w:tc>
          <w:tcPr>
            <w:tcW w:w="1224" w:type="dxa"/>
            <w:tcBorders>
              <w:top w:val="nil"/>
              <w:left w:val="nil"/>
              <w:bottom w:val="single" w:sz="4" w:space="0" w:color="auto"/>
              <w:right w:val="single" w:sz="8" w:space="0" w:color="auto"/>
              <w:tl2br w:val="nil"/>
              <w:tr2bl w:val="nil"/>
            </w:tcBorders>
            <w:noWrap/>
            <w:textDirection w:val="lrTb"/>
            <w:vAlign w:val="center"/>
          </w:tcPr>
          <w:p w:rsidR="00F67BF3" w:rsidRPr="00F53F8E" w:rsidP="00F67BF3">
            <w:pPr>
              <w:spacing w:line="240" w:lineRule="auto"/>
              <w:jc w:val="right"/>
              <w:rPr>
                <w:rFonts w:ascii="Arial Narrow" w:hAnsi="Arial Narrow" w:cs="Times New Roman"/>
                <w:b/>
                <w:bCs/>
              </w:rPr>
            </w:pPr>
            <w:r w:rsidRPr="00F53F8E">
              <w:rPr>
                <w:rFonts w:ascii="Arial Narrow" w:hAnsi="Arial Narrow" w:cs="Times New Roman"/>
                <w:b/>
                <w:bCs/>
              </w:rPr>
              <w:t>0,00</w:t>
            </w:r>
          </w:p>
        </w:tc>
        <w:tc>
          <w:tcPr>
            <w:tcW w:w="268" w:type="dxa"/>
            <w:tcBorders>
              <w:top w:val="nil"/>
              <w:left w:val="nil"/>
              <w:bottom w:val="nil"/>
              <w:right w:val="nil"/>
              <w:tl2br w:val="nil"/>
              <w:tr2bl w:val="nil"/>
            </w:tcBorders>
            <w:noWrap/>
            <w:textDirection w:val="lrTb"/>
            <w:vAlign w:val="bottom"/>
          </w:tcPr>
          <w:p w:rsidR="00F67BF3" w:rsidRPr="00F53F8E" w:rsidP="00F67BF3">
            <w:pPr>
              <w:spacing w:line="240" w:lineRule="auto"/>
              <w:rPr>
                <w:rFonts w:ascii="Arial Narrow" w:hAnsi="Arial Narrow" w:cs="Times New Roman"/>
              </w:rPr>
            </w:pPr>
          </w:p>
        </w:tc>
      </w:tr>
      <w:tr>
        <w:tblPrEx>
          <w:tblW w:w="11568" w:type="dxa"/>
          <w:tblInd w:w="-830" w:type="dxa"/>
          <w:tblCellMar>
            <w:left w:w="70" w:type="dxa"/>
            <w:right w:w="70" w:type="dxa"/>
          </w:tblCellMar>
        </w:tblPrEx>
        <w:trPr>
          <w:gridAfter w:val="2"/>
          <w:wAfter w:w="320" w:type="dxa"/>
          <w:trHeight w:val="227"/>
        </w:trPr>
        <w:tc>
          <w:tcPr>
            <w:tcW w:w="660" w:type="dxa"/>
            <w:tcBorders>
              <w:top w:val="nil"/>
              <w:left w:val="single" w:sz="8" w:space="0" w:color="auto"/>
              <w:bottom w:val="single" w:sz="4" w:space="0" w:color="auto"/>
              <w:right w:val="nil"/>
              <w:tl2br w:val="nil"/>
              <w:tr2bl w:val="nil"/>
            </w:tcBorders>
            <w:noWrap/>
            <w:textDirection w:val="lrTb"/>
            <w:vAlign w:val="center"/>
          </w:tcPr>
          <w:p w:rsidR="00F67BF3" w:rsidP="00F67BF3">
            <w:pPr>
              <w:spacing w:line="240" w:lineRule="auto"/>
              <w:jc w:val="right"/>
              <w:rPr>
                <w:rFonts w:ascii="Arial Narrow" w:hAnsi="Arial Narrow" w:cs="Times New Roman"/>
              </w:rPr>
            </w:pPr>
            <w:r>
              <w:rPr>
                <w:rFonts w:ascii="Arial Narrow" w:hAnsi="Arial Narrow" w:cs="Times New Roman"/>
              </w:rPr>
              <w:t>3397</w:t>
            </w:r>
          </w:p>
        </w:tc>
        <w:tc>
          <w:tcPr>
            <w:tcW w:w="3300" w:type="dxa"/>
            <w:tcBorders>
              <w:top w:val="nil"/>
              <w:left w:val="single" w:sz="8" w:space="0" w:color="auto"/>
              <w:bottom w:val="single" w:sz="4" w:space="0" w:color="auto"/>
              <w:right w:val="nil"/>
              <w:tl2br w:val="nil"/>
              <w:tr2bl w:val="nil"/>
            </w:tcBorders>
            <w:noWrap/>
            <w:textDirection w:val="lrTb"/>
            <w:vAlign w:val="center"/>
          </w:tcPr>
          <w:p w:rsidR="00F67BF3" w:rsidP="00F67BF3">
            <w:pPr>
              <w:spacing w:line="240" w:lineRule="auto"/>
              <w:rPr>
                <w:rFonts w:ascii="Arial Narrow" w:hAnsi="Arial Narrow" w:cs="Times New Roman"/>
              </w:rPr>
            </w:pPr>
            <w:r>
              <w:rPr>
                <w:rFonts w:ascii="Arial Narrow" w:hAnsi="Arial Narrow" w:cs="Times New Roman"/>
              </w:rPr>
              <w:t>R1 Trnava - Nitra úprava na R1 OP</w:t>
            </w:r>
          </w:p>
        </w:tc>
        <w:tc>
          <w:tcPr>
            <w:tcW w:w="1476" w:type="dxa"/>
            <w:tcBorders>
              <w:top w:val="nil"/>
              <w:left w:val="single" w:sz="8" w:space="0" w:color="auto"/>
              <w:bottom w:val="single" w:sz="4" w:space="0" w:color="auto"/>
              <w:right w:val="nil"/>
              <w:tl2br w:val="nil"/>
              <w:tr2bl w:val="nil"/>
            </w:tcBorders>
            <w:noWrap/>
            <w:textDirection w:val="lrTb"/>
            <w:vAlign w:val="center"/>
          </w:tcPr>
          <w:p w:rsidR="00F67BF3" w:rsidP="00F67BF3">
            <w:pPr>
              <w:spacing w:line="240" w:lineRule="auto"/>
              <w:jc w:val="right"/>
              <w:rPr>
                <w:rFonts w:ascii="Arial Narrow" w:hAnsi="Arial Narrow" w:cs="Times New Roman"/>
                <w:b/>
                <w:bCs/>
              </w:rPr>
            </w:pPr>
            <w:r>
              <w:rPr>
                <w:rFonts w:ascii="Arial Narrow" w:hAnsi="Arial Narrow" w:cs="Times New Roman"/>
                <w:b/>
                <w:bCs/>
              </w:rPr>
              <w:t>0,00</w:t>
            </w:r>
          </w:p>
        </w:tc>
        <w:tc>
          <w:tcPr>
            <w:tcW w:w="1440" w:type="dxa"/>
            <w:tcBorders>
              <w:top w:val="nil"/>
              <w:left w:val="single" w:sz="8" w:space="0" w:color="auto"/>
              <w:bottom w:val="single" w:sz="4" w:space="0" w:color="auto"/>
              <w:right w:val="nil"/>
              <w:tl2br w:val="nil"/>
              <w:tr2bl w:val="nil"/>
            </w:tcBorders>
            <w:noWrap/>
            <w:textDirection w:val="lrTb"/>
            <w:vAlign w:val="center"/>
          </w:tcPr>
          <w:p w:rsidR="00F67BF3" w:rsidRPr="00F53F8E" w:rsidP="00F67BF3">
            <w:pPr>
              <w:spacing w:line="240" w:lineRule="auto"/>
              <w:jc w:val="right"/>
              <w:rPr>
                <w:rFonts w:ascii="Arial Narrow" w:hAnsi="Arial Narrow" w:cs="Times New Roman"/>
                <w:b/>
                <w:bCs/>
              </w:rPr>
            </w:pPr>
            <w:r>
              <w:rPr>
                <w:rFonts w:ascii="Arial Narrow" w:hAnsi="Arial Narrow" w:cs="Times New Roman"/>
                <w:b/>
                <w:bCs/>
              </w:rPr>
              <w:t>2 314 000,00</w:t>
            </w:r>
          </w:p>
        </w:tc>
        <w:tc>
          <w:tcPr>
            <w:tcW w:w="1540" w:type="dxa"/>
            <w:tcBorders>
              <w:top w:val="nil"/>
              <w:left w:val="single" w:sz="8" w:space="0" w:color="auto"/>
              <w:bottom w:val="single" w:sz="4" w:space="0" w:color="auto"/>
              <w:right w:val="single" w:sz="8" w:space="0" w:color="auto"/>
              <w:tl2br w:val="nil"/>
              <w:tr2bl w:val="nil"/>
            </w:tcBorders>
            <w:noWrap/>
            <w:textDirection w:val="lrTb"/>
            <w:vAlign w:val="center"/>
          </w:tcPr>
          <w:p w:rsidR="00F67BF3" w:rsidRPr="00F53F8E" w:rsidP="00F67BF3">
            <w:pPr>
              <w:spacing w:line="240" w:lineRule="auto"/>
              <w:jc w:val="right"/>
              <w:rPr>
                <w:rFonts w:ascii="Arial Narrow" w:hAnsi="Arial Narrow" w:cs="Times New Roman"/>
                <w:b/>
                <w:bCs/>
              </w:rPr>
            </w:pPr>
            <w:r>
              <w:rPr>
                <w:rFonts w:ascii="Arial Narrow" w:hAnsi="Arial Narrow" w:cs="Times New Roman"/>
                <w:b/>
                <w:bCs/>
              </w:rPr>
              <w:t>2 314 000,00</w:t>
            </w:r>
          </w:p>
        </w:tc>
        <w:tc>
          <w:tcPr>
            <w:tcW w:w="1340" w:type="dxa"/>
            <w:tcBorders>
              <w:top w:val="nil"/>
              <w:left w:val="nil"/>
              <w:bottom w:val="single" w:sz="4" w:space="0" w:color="auto"/>
              <w:right w:val="single" w:sz="8" w:space="0" w:color="auto"/>
              <w:tl2br w:val="nil"/>
              <w:tr2bl w:val="nil"/>
            </w:tcBorders>
            <w:noWrap/>
            <w:textDirection w:val="lrTb"/>
            <w:vAlign w:val="center"/>
          </w:tcPr>
          <w:p w:rsidR="00F67BF3" w:rsidRPr="00F53F8E" w:rsidP="00F67BF3">
            <w:pPr>
              <w:spacing w:line="240" w:lineRule="auto"/>
              <w:jc w:val="right"/>
              <w:rPr>
                <w:rFonts w:ascii="Arial Narrow" w:hAnsi="Arial Narrow" w:cs="Times New Roman"/>
                <w:b/>
                <w:bCs/>
              </w:rPr>
            </w:pPr>
            <w:r w:rsidRPr="00F53F8E">
              <w:rPr>
                <w:rFonts w:ascii="Arial Narrow" w:hAnsi="Arial Narrow" w:cs="Times New Roman"/>
                <w:b/>
                <w:bCs/>
              </w:rPr>
              <w:t> </w:t>
            </w:r>
            <w:r>
              <w:rPr>
                <w:rFonts w:ascii="Arial Narrow" w:hAnsi="Arial Narrow" w:cs="Times New Roman"/>
                <w:b/>
                <w:bCs/>
              </w:rPr>
              <w:t>0,00</w:t>
            </w:r>
          </w:p>
        </w:tc>
        <w:tc>
          <w:tcPr>
            <w:tcW w:w="1224" w:type="dxa"/>
            <w:tcBorders>
              <w:top w:val="nil"/>
              <w:left w:val="nil"/>
              <w:bottom w:val="single" w:sz="4" w:space="0" w:color="auto"/>
              <w:right w:val="single" w:sz="8" w:space="0" w:color="auto"/>
              <w:tl2br w:val="nil"/>
              <w:tr2bl w:val="nil"/>
            </w:tcBorders>
            <w:noWrap/>
            <w:textDirection w:val="lrTb"/>
            <w:vAlign w:val="center"/>
          </w:tcPr>
          <w:p w:rsidR="00F67BF3" w:rsidRPr="00F53F8E" w:rsidP="00F67BF3">
            <w:pPr>
              <w:spacing w:line="240" w:lineRule="auto"/>
              <w:jc w:val="right"/>
              <w:rPr>
                <w:rFonts w:ascii="Arial Narrow" w:hAnsi="Arial Narrow" w:cs="Times New Roman"/>
                <w:b/>
                <w:bCs/>
              </w:rPr>
            </w:pPr>
            <w:r>
              <w:rPr>
                <w:rFonts w:ascii="Arial Narrow" w:hAnsi="Arial Narrow" w:cs="Times New Roman"/>
                <w:b/>
                <w:bCs/>
              </w:rPr>
              <w:t>0,00</w:t>
            </w:r>
          </w:p>
        </w:tc>
        <w:tc>
          <w:tcPr>
            <w:tcW w:w="268" w:type="dxa"/>
            <w:tcBorders>
              <w:top w:val="nil"/>
              <w:left w:val="nil"/>
              <w:bottom w:val="nil"/>
              <w:right w:val="nil"/>
              <w:tl2br w:val="nil"/>
              <w:tr2bl w:val="nil"/>
            </w:tcBorders>
            <w:noWrap/>
            <w:textDirection w:val="lrTb"/>
            <w:vAlign w:val="bottom"/>
          </w:tcPr>
          <w:p w:rsidR="00F67BF3" w:rsidRPr="00F53F8E" w:rsidP="00F67BF3">
            <w:pPr>
              <w:spacing w:line="240" w:lineRule="auto"/>
              <w:rPr>
                <w:rFonts w:ascii="Arial Narrow" w:hAnsi="Arial Narrow" w:cs="Arial"/>
              </w:rPr>
            </w:pPr>
          </w:p>
        </w:tc>
      </w:tr>
      <w:tr>
        <w:tblPrEx>
          <w:tblW w:w="11568" w:type="dxa"/>
          <w:tblInd w:w="-830" w:type="dxa"/>
          <w:tblCellMar>
            <w:left w:w="70" w:type="dxa"/>
            <w:right w:w="70" w:type="dxa"/>
          </w:tblCellMar>
        </w:tblPrEx>
        <w:trPr>
          <w:gridAfter w:val="2"/>
          <w:wAfter w:w="320" w:type="dxa"/>
          <w:trHeight w:val="227"/>
        </w:trPr>
        <w:tc>
          <w:tcPr>
            <w:tcW w:w="660" w:type="dxa"/>
            <w:tcBorders>
              <w:top w:val="nil"/>
              <w:left w:val="single" w:sz="8" w:space="0" w:color="auto"/>
              <w:bottom w:val="single" w:sz="4" w:space="0" w:color="auto"/>
              <w:right w:val="nil"/>
              <w:tl2br w:val="nil"/>
              <w:tr2bl w:val="nil"/>
            </w:tcBorders>
            <w:noWrap/>
            <w:textDirection w:val="lrTb"/>
            <w:vAlign w:val="center"/>
          </w:tcPr>
          <w:p w:rsidR="00F67BF3" w:rsidRPr="00064378" w:rsidP="00F67BF3">
            <w:pPr>
              <w:spacing w:line="240" w:lineRule="auto"/>
              <w:jc w:val="right"/>
              <w:rPr>
                <w:rFonts w:ascii="Arial Narrow" w:hAnsi="Arial Narrow" w:cs="Times New Roman"/>
              </w:rPr>
            </w:pPr>
            <w:r>
              <w:rPr>
                <w:rFonts w:ascii="Arial Narrow" w:hAnsi="Arial Narrow" w:cs="Times New Roman"/>
              </w:rPr>
              <w:t>13 705</w:t>
            </w:r>
          </w:p>
        </w:tc>
        <w:tc>
          <w:tcPr>
            <w:tcW w:w="3300" w:type="dxa"/>
            <w:tcBorders>
              <w:top w:val="nil"/>
              <w:left w:val="single" w:sz="8" w:space="0" w:color="auto"/>
              <w:bottom w:val="single" w:sz="4" w:space="0" w:color="auto"/>
              <w:right w:val="nil"/>
              <w:tl2br w:val="nil"/>
              <w:tr2bl w:val="nil"/>
            </w:tcBorders>
            <w:noWrap/>
            <w:textDirection w:val="lrTb"/>
            <w:vAlign w:val="center"/>
          </w:tcPr>
          <w:p w:rsidR="00F67BF3" w:rsidRPr="00064378" w:rsidP="00F67BF3">
            <w:pPr>
              <w:spacing w:line="240" w:lineRule="auto"/>
              <w:rPr>
                <w:rFonts w:ascii="Arial Narrow" w:hAnsi="Arial Narrow" w:cs="Times New Roman"/>
              </w:rPr>
            </w:pPr>
            <w:r>
              <w:rPr>
                <w:rFonts w:ascii="Arial Narrow" w:hAnsi="Arial Narrow" w:cs="Times New Roman"/>
              </w:rPr>
              <w:t>R1 Budča - Zvolen BO</w:t>
            </w:r>
          </w:p>
        </w:tc>
        <w:tc>
          <w:tcPr>
            <w:tcW w:w="1476" w:type="dxa"/>
            <w:tcBorders>
              <w:top w:val="nil"/>
              <w:left w:val="single" w:sz="8" w:space="0" w:color="auto"/>
              <w:bottom w:val="single" w:sz="4" w:space="0" w:color="auto"/>
              <w:right w:val="nil"/>
              <w:tl2br w:val="nil"/>
              <w:tr2bl w:val="nil"/>
            </w:tcBorders>
            <w:noWrap/>
            <w:textDirection w:val="lrTb"/>
            <w:vAlign w:val="center"/>
          </w:tcPr>
          <w:p w:rsidR="00F67BF3" w:rsidRPr="00F53F8E" w:rsidP="00F67BF3">
            <w:pPr>
              <w:spacing w:line="240" w:lineRule="auto"/>
              <w:jc w:val="right"/>
              <w:rPr>
                <w:rFonts w:ascii="Arial Narrow" w:hAnsi="Arial Narrow" w:cs="Times New Roman"/>
                <w:b/>
                <w:bCs/>
              </w:rPr>
            </w:pPr>
            <w:r>
              <w:rPr>
                <w:rFonts w:ascii="Arial Narrow" w:hAnsi="Arial Narrow" w:cs="Times New Roman"/>
                <w:b/>
                <w:bCs/>
              </w:rPr>
              <w:t>18 000 000,00</w:t>
            </w:r>
          </w:p>
        </w:tc>
        <w:tc>
          <w:tcPr>
            <w:tcW w:w="1440" w:type="dxa"/>
            <w:tcBorders>
              <w:top w:val="nil"/>
              <w:left w:val="single" w:sz="8" w:space="0" w:color="auto"/>
              <w:bottom w:val="single" w:sz="4" w:space="0" w:color="auto"/>
              <w:right w:val="nil"/>
              <w:tl2br w:val="nil"/>
              <w:tr2bl w:val="nil"/>
            </w:tcBorders>
            <w:noWrap/>
            <w:textDirection w:val="lrTb"/>
            <w:vAlign w:val="center"/>
          </w:tcPr>
          <w:p w:rsidR="00F67BF3" w:rsidRPr="00F53F8E" w:rsidP="00F67BF3">
            <w:pPr>
              <w:spacing w:line="240" w:lineRule="auto"/>
              <w:jc w:val="right"/>
              <w:rPr>
                <w:rFonts w:ascii="Arial Narrow" w:hAnsi="Arial Narrow" w:cs="Times New Roman"/>
                <w:b/>
                <w:bCs/>
              </w:rPr>
            </w:pPr>
            <w:r>
              <w:rPr>
                <w:rFonts w:ascii="Arial Narrow" w:hAnsi="Arial Narrow" w:cs="Times New Roman"/>
                <w:b/>
                <w:bCs/>
              </w:rPr>
              <w:t>10 660 000,00</w:t>
            </w:r>
          </w:p>
        </w:tc>
        <w:tc>
          <w:tcPr>
            <w:tcW w:w="1540" w:type="dxa"/>
            <w:tcBorders>
              <w:top w:val="nil"/>
              <w:left w:val="single" w:sz="8" w:space="0" w:color="auto"/>
              <w:bottom w:val="single" w:sz="4" w:space="0" w:color="auto"/>
              <w:right w:val="single" w:sz="8" w:space="0" w:color="auto"/>
              <w:tl2br w:val="nil"/>
              <w:tr2bl w:val="nil"/>
            </w:tcBorders>
            <w:noWrap/>
            <w:textDirection w:val="lrTb"/>
            <w:vAlign w:val="center"/>
          </w:tcPr>
          <w:p w:rsidR="00F67BF3" w:rsidRPr="00F53F8E" w:rsidP="00F67BF3">
            <w:pPr>
              <w:spacing w:line="240" w:lineRule="auto"/>
              <w:jc w:val="right"/>
              <w:rPr>
                <w:rFonts w:ascii="Arial Narrow" w:hAnsi="Arial Narrow" w:cs="Times New Roman"/>
                <w:b/>
                <w:bCs/>
              </w:rPr>
            </w:pPr>
            <w:r>
              <w:rPr>
                <w:rFonts w:ascii="Arial Narrow" w:hAnsi="Arial Narrow" w:cs="Times New Roman"/>
                <w:b/>
                <w:bCs/>
              </w:rPr>
              <w:t>10 660 000,00</w:t>
            </w:r>
          </w:p>
        </w:tc>
        <w:tc>
          <w:tcPr>
            <w:tcW w:w="1340" w:type="dxa"/>
            <w:tcBorders>
              <w:top w:val="nil"/>
              <w:left w:val="nil"/>
              <w:bottom w:val="single" w:sz="4" w:space="0" w:color="auto"/>
              <w:right w:val="single" w:sz="8" w:space="0" w:color="auto"/>
              <w:tl2br w:val="nil"/>
              <w:tr2bl w:val="nil"/>
            </w:tcBorders>
            <w:noWrap/>
            <w:textDirection w:val="lrTb"/>
            <w:vAlign w:val="center"/>
          </w:tcPr>
          <w:p w:rsidR="00F67BF3" w:rsidRPr="00F53F8E" w:rsidP="00F67BF3">
            <w:pPr>
              <w:spacing w:line="240" w:lineRule="auto"/>
              <w:jc w:val="right"/>
              <w:rPr>
                <w:rFonts w:ascii="Arial Narrow" w:hAnsi="Arial Narrow" w:cs="Times New Roman"/>
                <w:b/>
                <w:bCs/>
              </w:rPr>
            </w:pPr>
            <w:r w:rsidRPr="00F53F8E">
              <w:rPr>
                <w:rFonts w:ascii="Arial Narrow" w:hAnsi="Arial Narrow" w:cs="Times New Roman"/>
                <w:b/>
                <w:bCs/>
              </w:rPr>
              <w:t> </w:t>
            </w:r>
            <w:r>
              <w:rPr>
                <w:rFonts w:ascii="Arial Narrow" w:hAnsi="Arial Narrow" w:cs="Times New Roman"/>
                <w:b/>
                <w:bCs/>
              </w:rPr>
              <w:t>0,00</w:t>
            </w:r>
          </w:p>
        </w:tc>
        <w:tc>
          <w:tcPr>
            <w:tcW w:w="1224" w:type="dxa"/>
            <w:tcBorders>
              <w:top w:val="nil"/>
              <w:left w:val="nil"/>
              <w:bottom w:val="single" w:sz="4" w:space="0" w:color="auto"/>
              <w:right w:val="single" w:sz="8" w:space="0" w:color="auto"/>
              <w:tl2br w:val="nil"/>
              <w:tr2bl w:val="nil"/>
            </w:tcBorders>
            <w:noWrap/>
            <w:textDirection w:val="lrTb"/>
            <w:vAlign w:val="center"/>
          </w:tcPr>
          <w:p w:rsidR="00F67BF3" w:rsidRPr="00F53F8E" w:rsidP="00F67BF3">
            <w:pPr>
              <w:spacing w:line="240" w:lineRule="auto"/>
              <w:jc w:val="right"/>
              <w:rPr>
                <w:rFonts w:ascii="Arial Narrow" w:hAnsi="Arial Narrow" w:cs="Times New Roman"/>
                <w:b/>
                <w:bCs/>
              </w:rPr>
            </w:pPr>
            <w:r>
              <w:rPr>
                <w:rFonts w:ascii="Arial Narrow" w:hAnsi="Arial Narrow" w:cs="Times New Roman"/>
                <w:b/>
                <w:bCs/>
              </w:rPr>
              <w:t>0,00</w:t>
            </w:r>
          </w:p>
        </w:tc>
        <w:tc>
          <w:tcPr>
            <w:tcW w:w="268" w:type="dxa"/>
            <w:tcBorders>
              <w:top w:val="nil"/>
              <w:left w:val="nil"/>
              <w:bottom w:val="nil"/>
              <w:right w:val="nil"/>
              <w:tl2br w:val="nil"/>
              <w:tr2bl w:val="nil"/>
            </w:tcBorders>
            <w:noWrap/>
            <w:textDirection w:val="lrTb"/>
            <w:vAlign w:val="bottom"/>
          </w:tcPr>
          <w:p w:rsidR="00F67BF3" w:rsidRPr="00F53F8E" w:rsidP="00F67BF3">
            <w:pPr>
              <w:spacing w:line="240" w:lineRule="auto"/>
              <w:rPr>
                <w:rFonts w:ascii="Arial Narrow" w:hAnsi="Arial Narrow" w:cs="Arial"/>
              </w:rPr>
            </w:pPr>
          </w:p>
        </w:tc>
      </w:tr>
      <w:tr>
        <w:tblPrEx>
          <w:tblW w:w="11568" w:type="dxa"/>
          <w:tblInd w:w="-830" w:type="dxa"/>
          <w:tblCellMar>
            <w:left w:w="70" w:type="dxa"/>
            <w:right w:w="70" w:type="dxa"/>
          </w:tblCellMar>
        </w:tblPrEx>
        <w:trPr>
          <w:gridAfter w:val="2"/>
          <w:wAfter w:w="320" w:type="dxa"/>
          <w:trHeight w:val="227"/>
        </w:trPr>
        <w:tc>
          <w:tcPr>
            <w:tcW w:w="660" w:type="dxa"/>
            <w:tcBorders>
              <w:top w:val="nil"/>
              <w:left w:val="single" w:sz="8" w:space="0" w:color="auto"/>
              <w:bottom w:val="single" w:sz="4" w:space="0" w:color="auto"/>
              <w:right w:val="nil"/>
              <w:tl2br w:val="nil"/>
              <w:tr2bl w:val="nil"/>
            </w:tcBorders>
            <w:noWrap/>
            <w:textDirection w:val="lrTb"/>
            <w:vAlign w:val="center"/>
          </w:tcPr>
          <w:p w:rsidR="00F67BF3" w:rsidRPr="00064378" w:rsidP="00F67BF3">
            <w:pPr>
              <w:spacing w:line="240" w:lineRule="auto"/>
              <w:jc w:val="right"/>
              <w:rPr>
                <w:rFonts w:ascii="Arial Narrow" w:hAnsi="Arial Narrow" w:cs="Times New Roman"/>
              </w:rPr>
            </w:pPr>
            <w:r w:rsidRPr="00064378">
              <w:rPr>
                <w:rFonts w:ascii="Arial Narrow" w:hAnsi="Arial Narrow" w:cs="Times New Roman"/>
              </w:rPr>
              <w:t>13326</w:t>
            </w:r>
          </w:p>
        </w:tc>
        <w:tc>
          <w:tcPr>
            <w:tcW w:w="3300" w:type="dxa"/>
            <w:tcBorders>
              <w:top w:val="nil"/>
              <w:left w:val="single" w:sz="8" w:space="0" w:color="auto"/>
              <w:bottom w:val="single" w:sz="4" w:space="0" w:color="auto"/>
              <w:right w:val="nil"/>
              <w:tl2br w:val="nil"/>
              <w:tr2bl w:val="nil"/>
            </w:tcBorders>
            <w:noWrap/>
            <w:textDirection w:val="lrTb"/>
            <w:vAlign w:val="center"/>
          </w:tcPr>
          <w:p w:rsidR="00F67BF3" w:rsidRPr="00064378" w:rsidP="00F67BF3">
            <w:pPr>
              <w:spacing w:line="240" w:lineRule="auto"/>
              <w:rPr>
                <w:rFonts w:ascii="Arial Narrow" w:hAnsi="Arial Narrow" w:cs="Times New Roman"/>
              </w:rPr>
            </w:pPr>
            <w:r w:rsidRPr="00064378">
              <w:rPr>
                <w:rFonts w:ascii="Arial Narrow" w:hAnsi="Arial Narrow" w:cs="Times New Roman"/>
              </w:rPr>
              <w:t>R1 Vysporiadanie starých stavieb</w:t>
            </w:r>
          </w:p>
        </w:tc>
        <w:tc>
          <w:tcPr>
            <w:tcW w:w="1476" w:type="dxa"/>
            <w:tcBorders>
              <w:top w:val="nil"/>
              <w:left w:val="single" w:sz="8" w:space="0" w:color="auto"/>
              <w:bottom w:val="single" w:sz="4" w:space="0" w:color="auto"/>
              <w:right w:val="nil"/>
              <w:tl2br w:val="nil"/>
              <w:tr2bl w:val="nil"/>
            </w:tcBorders>
            <w:noWrap/>
            <w:textDirection w:val="lrTb"/>
            <w:vAlign w:val="center"/>
          </w:tcPr>
          <w:p w:rsidR="00F67BF3" w:rsidRPr="00F53F8E" w:rsidP="00F67BF3">
            <w:pPr>
              <w:spacing w:line="240" w:lineRule="auto"/>
              <w:jc w:val="right"/>
              <w:rPr>
                <w:rFonts w:ascii="Arial Narrow" w:hAnsi="Arial Narrow" w:cs="Times New Roman"/>
                <w:b/>
                <w:bCs/>
              </w:rPr>
            </w:pPr>
            <w:r>
              <w:rPr>
                <w:rFonts w:ascii="Arial Narrow" w:hAnsi="Arial Narrow" w:cs="Times New Roman"/>
                <w:b/>
                <w:bCs/>
              </w:rPr>
              <w:t>10 031 00</w:t>
            </w:r>
            <w:r w:rsidRPr="00F53F8E">
              <w:rPr>
                <w:rFonts w:ascii="Arial Narrow" w:hAnsi="Arial Narrow" w:cs="Times New Roman"/>
                <w:b/>
                <w:bCs/>
              </w:rPr>
              <w:t>0,00</w:t>
            </w:r>
          </w:p>
        </w:tc>
        <w:tc>
          <w:tcPr>
            <w:tcW w:w="1440" w:type="dxa"/>
            <w:tcBorders>
              <w:top w:val="nil"/>
              <w:left w:val="single" w:sz="8" w:space="0" w:color="auto"/>
              <w:bottom w:val="single" w:sz="4" w:space="0" w:color="auto"/>
              <w:right w:val="nil"/>
              <w:tl2br w:val="nil"/>
              <w:tr2bl w:val="nil"/>
            </w:tcBorders>
            <w:noWrap/>
            <w:textDirection w:val="lrTb"/>
            <w:vAlign w:val="center"/>
          </w:tcPr>
          <w:p w:rsidR="00F67BF3" w:rsidRPr="00F53F8E" w:rsidP="00F67BF3">
            <w:pPr>
              <w:spacing w:line="240" w:lineRule="auto"/>
              <w:jc w:val="right"/>
              <w:rPr>
                <w:rFonts w:ascii="Arial Narrow" w:hAnsi="Arial Narrow" w:cs="Times New Roman"/>
                <w:b/>
                <w:bCs/>
              </w:rPr>
            </w:pPr>
            <w:r>
              <w:rPr>
                <w:rFonts w:ascii="Arial Narrow" w:hAnsi="Arial Narrow" w:cs="Times New Roman"/>
                <w:b/>
                <w:bCs/>
              </w:rPr>
              <w:t>0,00</w:t>
            </w:r>
          </w:p>
        </w:tc>
        <w:tc>
          <w:tcPr>
            <w:tcW w:w="1540" w:type="dxa"/>
            <w:tcBorders>
              <w:top w:val="nil"/>
              <w:left w:val="single" w:sz="8" w:space="0" w:color="auto"/>
              <w:bottom w:val="single" w:sz="4" w:space="0" w:color="auto"/>
              <w:right w:val="single" w:sz="8" w:space="0" w:color="auto"/>
              <w:tl2br w:val="nil"/>
              <w:tr2bl w:val="nil"/>
            </w:tcBorders>
            <w:noWrap/>
            <w:textDirection w:val="lrTb"/>
            <w:vAlign w:val="center"/>
          </w:tcPr>
          <w:p w:rsidR="00F67BF3" w:rsidRPr="00F53F8E" w:rsidP="00F67BF3">
            <w:pPr>
              <w:spacing w:line="240" w:lineRule="auto"/>
              <w:jc w:val="right"/>
              <w:rPr>
                <w:rFonts w:ascii="Arial Narrow" w:hAnsi="Arial Narrow" w:cs="Times New Roman"/>
                <w:b/>
                <w:bCs/>
              </w:rPr>
            </w:pPr>
            <w:r>
              <w:rPr>
                <w:rFonts w:ascii="Arial Narrow" w:hAnsi="Arial Narrow" w:cs="Times New Roman"/>
                <w:b/>
                <w:bCs/>
              </w:rPr>
              <w:t>0,00</w:t>
            </w:r>
          </w:p>
        </w:tc>
        <w:tc>
          <w:tcPr>
            <w:tcW w:w="1340" w:type="dxa"/>
            <w:tcBorders>
              <w:top w:val="nil"/>
              <w:left w:val="nil"/>
              <w:bottom w:val="single" w:sz="4" w:space="0" w:color="auto"/>
              <w:right w:val="single" w:sz="8" w:space="0" w:color="auto"/>
              <w:tl2br w:val="nil"/>
              <w:tr2bl w:val="nil"/>
            </w:tcBorders>
            <w:noWrap/>
            <w:textDirection w:val="lrTb"/>
            <w:vAlign w:val="center"/>
          </w:tcPr>
          <w:p w:rsidR="00F67BF3" w:rsidRPr="00F53F8E" w:rsidP="00F67BF3">
            <w:pPr>
              <w:spacing w:line="240" w:lineRule="auto"/>
              <w:jc w:val="right"/>
              <w:rPr>
                <w:rFonts w:ascii="Arial Narrow" w:hAnsi="Arial Narrow" w:cs="Times New Roman"/>
                <w:b/>
                <w:bCs/>
              </w:rPr>
            </w:pPr>
            <w:r>
              <w:rPr>
                <w:rFonts w:ascii="Arial Narrow" w:hAnsi="Arial Narrow" w:cs="Times New Roman"/>
                <w:b/>
                <w:bCs/>
              </w:rPr>
              <w:t>0,00</w:t>
            </w:r>
          </w:p>
        </w:tc>
        <w:tc>
          <w:tcPr>
            <w:tcW w:w="1224" w:type="dxa"/>
            <w:tcBorders>
              <w:top w:val="nil"/>
              <w:left w:val="nil"/>
              <w:bottom w:val="single" w:sz="4" w:space="0" w:color="auto"/>
              <w:right w:val="single" w:sz="8" w:space="0" w:color="auto"/>
              <w:tl2br w:val="nil"/>
              <w:tr2bl w:val="nil"/>
            </w:tcBorders>
            <w:noWrap/>
            <w:textDirection w:val="lrTb"/>
            <w:vAlign w:val="center"/>
          </w:tcPr>
          <w:p w:rsidR="00F67BF3" w:rsidRPr="00F53F8E" w:rsidP="00F67BF3">
            <w:pPr>
              <w:spacing w:line="240" w:lineRule="auto"/>
              <w:jc w:val="right"/>
              <w:rPr>
                <w:rFonts w:ascii="Arial Narrow" w:hAnsi="Arial Narrow" w:cs="Times New Roman"/>
                <w:b/>
                <w:bCs/>
              </w:rPr>
            </w:pPr>
            <w:r w:rsidRPr="00F53F8E">
              <w:rPr>
                <w:rFonts w:ascii="Arial Narrow" w:hAnsi="Arial Narrow" w:cs="Times New Roman"/>
                <w:b/>
                <w:bCs/>
              </w:rPr>
              <w:t>0,00</w:t>
            </w:r>
          </w:p>
        </w:tc>
        <w:tc>
          <w:tcPr>
            <w:tcW w:w="268" w:type="dxa"/>
            <w:tcBorders>
              <w:top w:val="nil"/>
              <w:left w:val="nil"/>
              <w:bottom w:val="nil"/>
              <w:right w:val="nil"/>
              <w:tl2br w:val="nil"/>
              <w:tr2bl w:val="nil"/>
            </w:tcBorders>
            <w:noWrap/>
            <w:textDirection w:val="lrTb"/>
            <w:vAlign w:val="bottom"/>
          </w:tcPr>
          <w:p w:rsidR="00F67BF3" w:rsidRPr="00F53F8E" w:rsidP="00F67BF3">
            <w:pPr>
              <w:spacing w:line="240" w:lineRule="auto"/>
              <w:rPr>
                <w:rFonts w:ascii="Arial Narrow" w:hAnsi="Arial Narrow" w:cs="Times New Roman"/>
              </w:rPr>
            </w:pPr>
          </w:p>
        </w:tc>
      </w:tr>
      <w:tr>
        <w:tblPrEx>
          <w:tblW w:w="11568" w:type="dxa"/>
          <w:tblInd w:w="-830" w:type="dxa"/>
          <w:tblCellMar>
            <w:left w:w="70" w:type="dxa"/>
            <w:right w:w="70" w:type="dxa"/>
          </w:tblCellMar>
        </w:tblPrEx>
        <w:trPr>
          <w:gridAfter w:val="2"/>
          <w:wAfter w:w="320" w:type="dxa"/>
          <w:trHeight w:val="227"/>
        </w:trPr>
        <w:tc>
          <w:tcPr>
            <w:tcW w:w="660" w:type="dxa"/>
            <w:tcBorders>
              <w:top w:val="single" w:sz="4" w:space="0" w:color="auto"/>
              <w:left w:val="single" w:sz="4" w:space="0" w:color="auto"/>
              <w:bottom w:val="single" w:sz="4" w:space="0" w:color="auto"/>
              <w:right w:val="nil"/>
              <w:tl2br w:val="nil"/>
              <w:tr2bl w:val="nil"/>
            </w:tcBorders>
            <w:noWrap/>
            <w:textDirection w:val="lrTb"/>
            <w:vAlign w:val="center"/>
          </w:tcPr>
          <w:p w:rsidR="00F67BF3" w:rsidRPr="00064378" w:rsidP="00F67BF3">
            <w:pPr>
              <w:spacing w:line="240" w:lineRule="auto"/>
              <w:jc w:val="right"/>
              <w:rPr>
                <w:rFonts w:ascii="Arial Narrow" w:hAnsi="Arial Narrow" w:cs="Times New Roman"/>
              </w:rPr>
            </w:pPr>
            <w:r w:rsidRPr="00064378">
              <w:rPr>
                <w:rFonts w:ascii="Arial Narrow" w:hAnsi="Arial Narrow" w:cs="Times New Roman"/>
              </w:rPr>
              <w:t>13302</w:t>
            </w:r>
          </w:p>
        </w:tc>
        <w:tc>
          <w:tcPr>
            <w:tcW w:w="3300" w:type="dxa"/>
            <w:tcBorders>
              <w:top w:val="single" w:sz="4" w:space="0" w:color="auto"/>
              <w:left w:val="single" w:sz="8" w:space="0" w:color="auto"/>
              <w:bottom w:val="single" w:sz="4" w:space="0" w:color="auto"/>
              <w:right w:val="nil"/>
              <w:tl2br w:val="nil"/>
              <w:tr2bl w:val="nil"/>
            </w:tcBorders>
            <w:noWrap/>
            <w:textDirection w:val="lrTb"/>
            <w:vAlign w:val="center"/>
          </w:tcPr>
          <w:p w:rsidR="00F67BF3" w:rsidRPr="00064378" w:rsidP="00F67BF3">
            <w:pPr>
              <w:spacing w:line="240" w:lineRule="auto"/>
              <w:rPr>
                <w:rFonts w:ascii="Arial Narrow" w:hAnsi="Arial Narrow" w:cs="Times New Roman"/>
              </w:rPr>
            </w:pPr>
            <w:r w:rsidRPr="00064378">
              <w:rPr>
                <w:rFonts w:ascii="Arial Narrow" w:hAnsi="Arial Narrow" w:cs="Times New Roman"/>
              </w:rPr>
              <w:t>R2 Ožďany, preložka</w:t>
            </w:r>
          </w:p>
        </w:tc>
        <w:tc>
          <w:tcPr>
            <w:tcW w:w="1476" w:type="dxa"/>
            <w:tcBorders>
              <w:top w:val="single" w:sz="4" w:space="0" w:color="auto"/>
              <w:left w:val="single" w:sz="8" w:space="0" w:color="auto"/>
              <w:bottom w:val="single" w:sz="4" w:space="0" w:color="auto"/>
              <w:right w:val="nil"/>
              <w:tl2br w:val="nil"/>
              <w:tr2bl w:val="nil"/>
            </w:tcBorders>
            <w:noWrap/>
            <w:textDirection w:val="lrTb"/>
            <w:vAlign w:val="center"/>
          </w:tcPr>
          <w:p w:rsidR="00F67BF3" w:rsidRPr="00F53F8E" w:rsidP="00F67BF3">
            <w:pPr>
              <w:spacing w:line="240" w:lineRule="auto"/>
              <w:jc w:val="right"/>
              <w:rPr>
                <w:rFonts w:ascii="Arial Narrow" w:hAnsi="Arial Narrow" w:cs="Times New Roman"/>
                <w:b/>
                <w:bCs/>
              </w:rPr>
            </w:pPr>
            <w:r w:rsidRPr="00F53F8E">
              <w:rPr>
                <w:rFonts w:ascii="Arial Narrow" w:hAnsi="Arial Narrow" w:cs="Times New Roman"/>
                <w:b/>
                <w:bCs/>
              </w:rPr>
              <w:t>0,00</w:t>
            </w:r>
          </w:p>
        </w:tc>
        <w:tc>
          <w:tcPr>
            <w:tcW w:w="1440" w:type="dxa"/>
            <w:tcBorders>
              <w:top w:val="single" w:sz="4" w:space="0" w:color="auto"/>
              <w:left w:val="single" w:sz="8" w:space="0" w:color="auto"/>
              <w:bottom w:val="single" w:sz="4" w:space="0" w:color="auto"/>
              <w:right w:val="nil"/>
              <w:tl2br w:val="nil"/>
              <w:tr2bl w:val="nil"/>
            </w:tcBorders>
            <w:noWrap/>
            <w:textDirection w:val="lrTb"/>
            <w:vAlign w:val="center"/>
          </w:tcPr>
          <w:p w:rsidR="00F67BF3" w:rsidRPr="00F53F8E" w:rsidP="00F67BF3">
            <w:pPr>
              <w:spacing w:line="240" w:lineRule="auto"/>
              <w:jc w:val="right"/>
              <w:rPr>
                <w:rFonts w:ascii="Arial Narrow" w:hAnsi="Arial Narrow" w:cs="Times New Roman"/>
                <w:b/>
                <w:bCs/>
              </w:rPr>
            </w:pPr>
            <w:r>
              <w:rPr>
                <w:rFonts w:ascii="Arial Narrow" w:hAnsi="Arial Narrow" w:cs="Times New Roman"/>
                <w:b/>
                <w:bCs/>
              </w:rPr>
              <w:t>0,00</w:t>
            </w:r>
          </w:p>
        </w:tc>
        <w:tc>
          <w:tcPr>
            <w:tcW w:w="1540" w:type="dxa"/>
            <w:tcBorders>
              <w:top w:val="single" w:sz="4" w:space="0" w:color="auto"/>
              <w:left w:val="single" w:sz="8" w:space="0" w:color="auto"/>
              <w:bottom w:val="single" w:sz="4" w:space="0" w:color="auto"/>
              <w:right w:val="single" w:sz="8" w:space="0" w:color="auto"/>
              <w:tl2br w:val="nil"/>
              <w:tr2bl w:val="nil"/>
            </w:tcBorders>
            <w:noWrap/>
            <w:textDirection w:val="lrTb"/>
            <w:vAlign w:val="center"/>
          </w:tcPr>
          <w:p w:rsidR="00F67BF3" w:rsidRPr="00F53F8E" w:rsidP="00F67BF3">
            <w:pPr>
              <w:spacing w:line="240" w:lineRule="auto"/>
              <w:jc w:val="right"/>
              <w:rPr>
                <w:rFonts w:ascii="Arial Narrow" w:hAnsi="Arial Narrow" w:cs="Times New Roman"/>
                <w:b/>
                <w:bCs/>
              </w:rPr>
            </w:pPr>
            <w:r>
              <w:rPr>
                <w:rFonts w:ascii="Arial Narrow" w:hAnsi="Arial Narrow" w:cs="Times New Roman"/>
                <w:b/>
                <w:bCs/>
              </w:rPr>
              <w:t>0,00</w:t>
            </w:r>
          </w:p>
        </w:tc>
        <w:tc>
          <w:tcPr>
            <w:tcW w:w="1340" w:type="dxa"/>
            <w:tcBorders>
              <w:top w:val="single" w:sz="4" w:space="0" w:color="auto"/>
              <w:left w:val="nil"/>
              <w:bottom w:val="single" w:sz="4" w:space="0" w:color="auto"/>
              <w:right w:val="single" w:sz="8" w:space="0" w:color="auto"/>
              <w:tl2br w:val="nil"/>
              <w:tr2bl w:val="nil"/>
            </w:tcBorders>
            <w:noWrap/>
            <w:textDirection w:val="lrTb"/>
            <w:vAlign w:val="center"/>
          </w:tcPr>
          <w:p w:rsidR="00F67BF3" w:rsidRPr="00F53F8E" w:rsidP="00F67BF3">
            <w:pPr>
              <w:spacing w:line="240" w:lineRule="auto"/>
              <w:jc w:val="right"/>
              <w:rPr>
                <w:rFonts w:ascii="Arial Narrow" w:hAnsi="Arial Narrow" w:cs="Times New Roman"/>
                <w:b/>
                <w:bCs/>
              </w:rPr>
            </w:pPr>
            <w:r>
              <w:rPr>
                <w:rFonts w:ascii="Arial Narrow" w:hAnsi="Arial Narrow" w:cs="Times New Roman"/>
                <w:b/>
                <w:bCs/>
              </w:rPr>
              <w:t>0,00</w:t>
            </w:r>
          </w:p>
        </w:tc>
        <w:tc>
          <w:tcPr>
            <w:tcW w:w="1224" w:type="dxa"/>
            <w:tcBorders>
              <w:top w:val="single" w:sz="4" w:space="0" w:color="auto"/>
              <w:left w:val="nil"/>
              <w:bottom w:val="single" w:sz="4" w:space="0" w:color="auto"/>
              <w:right w:val="single" w:sz="4" w:space="0" w:color="auto"/>
              <w:tl2br w:val="nil"/>
              <w:tr2bl w:val="nil"/>
            </w:tcBorders>
            <w:noWrap/>
            <w:textDirection w:val="lrTb"/>
            <w:vAlign w:val="center"/>
          </w:tcPr>
          <w:p w:rsidR="00F67BF3" w:rsidRPr="00F53F8E" w:rsidP="00F67BF3">
            <w:pPr>
              <w:spacing w:line="240" w:lineRule="auto"/>
              <w:jc w:val="right"/>
              <w:rPr>
                <w:rFonts w:ascii="Arial Narrow" w:hAnsi="Arial Narrow" w:cs="Times New Roman"/>
                <w:b/>
                <w:bCs/>
              </w:rPr>
            </w:pPr>
            <w:r w:rsidRPr="00F53F8E">
              <w:rPr>
                <w:rFonts w:ascii="Arial Narrow" w:hAnsi="Arial Narrow" w:cs="Times New Roman"/>
                <w:b/>
                <w:bCs/>
              </w:rPr>
              <w:t>0,00</w:t>
            </w:r>
          </w:p>
        </w:tc>
        <w:tc>
          <w:tcPr>
            <w:tcW w:w="268" w:type="dxa"/>
            <w:tcBorders>
              <w:top w:val="nil"/>
              <w:left w:val="single" w:sz="4" w:space="0" w:color="auto"/>
              <w:bottom w:val="nil"/>
              <w:right w:val="nil"/>
              <w:tl2br w:val="nil"/>
              <w:tr2bl w:val="nil"/>
            </w:tcBorders>
            <w:noWrap/>
            <w:textDirection w:val="lrTb"/>
            <w:vAlign w:val="bottom"/>
          </w:tcPr>
          <w:p w:rsidR="00F67BF3" w:rsidRPr="00F53F8E" w:rsidP="00F67BF3">
            <w:pPr>
              <w:spacing w:line="240" w:lineRule="auto"/>
              <w:rPr>
                <w:rFonts w:ascii="Arial Narrow" w:hAnsi="Arial Narrow" w:cs="Times New Roman"/>
              </w:rPr>
            </w:pPr>
          </w:p>
        </w:tc>
      </w:tr>
      <w:tr>
        <w:tblPrEx>
          <w:tblW w:w="11568" w:type="dxa"/>
          <w:tblInd w:w="-830" w:type="dxa"/>
          <w:tblCellMar>
            <w:left w:w="70" w:type="dxa"/>
            <w:right w:w="70" w:type="dxa"/>
          </w:tblCellMar>
        </w:tblPrEx>
        <w:trPr>
          <w:gridAfter w:val="2"/>
          <w:wAfter w:w="320" w:type="dxa"/>
          <w:trHeight w:val="227"/>
        </w:trPr>
        <w:tc>
          <w:tcPr>
            <w:tcW w:w="660" w:type="dxa"/>
            <w:tcBorders>
              <w:top w:val="single" w:sz="4" w:space="0" w:color="auto"/>
              <w:left w:val="single" w:sz="4" w:space="0" w:color="auto"/>
              <w:bottom w:val="single" w:sz="4" w:space="0" w:color="auto"/>
              <w:right w:val="nil"/>
              <w:tl2br w:val="nil"/>
              <w:tr2bl w:val="nil"/>
            </w:tcBorders>
            <w:noWrap/>
            <w:textDirection w:val="lrTb"/>
            <w:vAlign w:val="center"/>
          </w:tcPr>
          <w:p w:rsidR="00F67BF3" w:rsidRPr="00064378" w:rsidP="00F67BF3">
            <w:pPr>
              <w:spacing w:line="240" w:lineRule="auto"/>
              <w:jc w:val="right"/>
              <w:rPr>
                <w:rFonts w:ascii="Arial Narrow" w:hAnsi="Arial Narrow" w:cs="Times New Roman"/>
              </w:rPr>
            </w:pPr>
            <w:r w:rsidRPr="00064378">
              <w:rPr>
                <w:rFonts w:ascii="Arial Narrow" w:hAnsi="Arial Narrow" w:cs="Times New Roman"/>
              </w:rPr>
              <w:t>13304</w:t>
            </w:r>
          </w:p>
        </w:tc>
        <w:tc>
          <w:tcPr>
            <w:tcW w:w="3300" w:type="dxa"/>
            <w:tcBorders>
              <w:top w:val="single" w:sz="4" w:space="0" w:color="auto"/>
              <w:left w:val="single" w:sz="8" w:space="0" w:color="auto"/>
              <w:bottom w:val="single" w:sz="4" w:space="0" w:color="auto"/>
              <w:right w:val="nil"/>
              <w:tl2br w:val="nil"/>
              <w:tr2bl w:val="nil"/>
            </w:tcBorders>
            <w:noWrap/>
            <w:textDirection w:val="lrTb"/>
            <w:vAlign w:val="center"/>
          </w:tcPr>
          <w:p w:rsidR="00F67BF3" w:rsidRPr="00064378" w:rsidP="00F67BF3">
            <w:pPr>
              <w:spacing w:line="240" w:lineRule="auto"/>
              <w:rPr>
                <w:rFonts w:ascii="Arial Narrow" w:hAnsi="Arial Narrow" w:cs="Times New Roman"/>
              </w:rPr>
            </w:pPr>
            <w:r w:rsidRPr="00064378">
              <w:rPr>
                <w:rFonts w:ascii="Arial Narrow" w:hAnsi="Arial Narrow" w:cs="Times New Roman"/>
              </w:rPr>
              <w:t>R2 Tornaľa, obchvat</w:t>
            </w:r>
          </w:p>
        </w:tc>
        <w:tc>
          <w:tcPr>
            <w:tcW w:w="1476" w:type="dxa"/>
            <w:tcBorders>
              <w:top w:val="single" w:sz="4" w:space="0" w:color="auto"/>
              <w:left w:val="single" w:sz="8" w:space="0" w:color="auto"/>
              <w:bottom w:val="single" w:sz="4" w:space="0" w:color="auto"/>
              <w:right w:val="nil"/>
              <w:tl2br w:val="nil"/>
              <w:tr2bl w:val="nil"/>
            </w:tcBorders>
            <w:noWrap/>
            <w:textDirection w:val="lrTb"/>
            <w:vAlign w:val="center"/>
          </w:tcPr>
          <w:p w:rsidR="00F67BF3" w:rsidRPr="00F53F8E" w:rsidP="00F67BF3">
            <w:pPr>
              <w:spacing w:line="240" w:lineRule="auto"/>
              <w:jc w:val="right"/>
              <w:rPr>
                <w:rFonts w:ascii="Arial Narrow" w:hAnsi="Arial Narrow" w:cs="Times New Roman"/>
                <w:b/>
                <w:bCs/>
              </w:rPr>
            </w:pPr>
            <w:r>
              <w:rPr>
                <w:rFonts w:ascii="Arial Narrow" w:hAnsi="Arial Narrow" w:cs="Times New Roman"/>
                <w:b/>
                <w:bCs/>
              </w:rPr>
              <w:t>10 000 000</w:t>
            </w:r>
            <w:r w:rsidRPr="00F53F8E">
              <w:rPr>
                <w:rFonts w:ascii="Arial Narrow" w:hAnsi="Arial Narrow" w:cs="Times New Roman"/>
                <w:b/>
                <w:bCs/>
              </w:rPr>
              <w:t>,00</w:t>
            </w:r>
          </w:p>
        </w:tc>
        <w:tc>
          <w:tcPr>
            <w:tcW w:w="1440" w:type="dxa"/>
            <w:tcBorders>
              <w:top w:val="single" w:sz="4" w:space="0" w:color="auto"/>
              <w:left w:val="single" w:sz="8" w:space="0" w:color="auto"/>
              <w:bottom w:val="single" w:sz="4" w:space="0" w:color="auto"/>
              <w:right w:val="nil"/>
              <w:tl2br w:val="nil"/>
              <w:tr2bl w:val="nil"/>
            </w:tcBorders>
            <w:noWrap/>
            <w:textDirection w:val="lrTb"/>
            <w:vAlign w:val="center"/>
          </w:tcPr>
          <w:p w:rsidR="00F67BF3" w:rsidRPr="00F53F8E" w:rsidP="00F67BF3">
            <w:pPr>
              <w:spacing w:line="240" w:lineRule="auto"/>
              <w:jc w:val="right"/>
              <w:rPr>
                <w:rFonts w:ascii="Arial Narrow" w:hAnsi="Arial Narrow" w:cs="Times New Roman"/>
                <w:b/>
                <w:bCs/>
              </w:rPr>
            </w:pPr>
            <w:r>
              <w:rPr>
                <w:rFonts w:ascii="Arial Narrow" w:hAnsi="Arial Narrow" w:cs="Times New Roman"/>
                <w:b/>
                <w:bCs/>
              </w:rPr>
              <w:t>62 544 000,00</w:t>
            </w:r>
          </w:p>
        </w:tc>
        <w:tc>
          <w:tcPr>
            <w:tcW w:w="1540" w:type="dxa"/>
            <w:tcBorders>
              <w:top w:val="single" w:sz="4" w:space="0" w:color="auto"/>
              <w:left w:val="single" w:sz="8" w:space="0" w:color="auto"/>
              <w:bottom w:val="single" w:sz="4" w:space="0" w:color="auto"/>
              <w:right w:val="single" w:sz="8" w:space="0" w:color="auto"/>
              <w:tl2br w:val="nil"/>
              <w:tr2bl w:val="nil"/>
            </w:tcBorders>
            <w:noWrap/>
            <w:textDirection w:val="lrTb"/>
            <w:vAlign w:val="center"/>
          </w:tcPr>
          <w:p w:rsidR="00F67BF3" w:rsidRPr="00F53F8E" w:rsidP="00F67BF3">
            <w:pPr>
              <w:spacing w:line="240" w:lineRule="auto"/>
              <w:jc w:val="right"/>
              <w:rPr>
                <w:rFonts w:ascii="Arial Narrow" w:hAnsi="Arial Narrow" w:cs="Times New Roman"/>
                <w:b/>
                <w:bCs/>
              </w:rPr>
            </w:pPr>
            <w:r>
              <w:rPr>
                <w:rFonts w:ascii="Arial Narrow" w:hAnsi="Arial Narrow" w:cs="Times New Roman"/>
                <w:b/>
                <w:bCs/>
              </w:rPr>
              <w:t>6</w:t>
            </w:r>
            <w:r>
              <w:rPr>
                <w:rFonts w:ascii="Arial Narrow" w:hAnsi="Arial Narrow" w:cs="Times New Roman"/>
                <w:b/>
                <w:bCs/>
              </w:rPr>
              <w:t>2 544 000,00</w:t>
            </w:r>
          </w:p>
        </w:tc>
        <w:tc>
          <w:tcPr>
            <w:tcW w:w="1340" w:type="dxa"/>
            <w:tcBorders>
              <w:top w:val="single" w:sz="4" w:space="0" w:color="auto"/>
              <w:left w:val="nil"/>
              <w:bottom w:val="single" w:sz="4" w:space="0" w:color="auto"/>
              <w:right w:val="single" w:sz="8" w:space="0" w:color="auto"/>
              <w:tl2br w:val="nil"/>
              <w:tr2bl w:val="nil"/>
            </w:tcBorders>
            <w:noWrap/>
            <w:textDirection w:val="lrTb"/>
            <w:vAlign w:val="center"/>
          </w:tcPr>
          <w:p w:rsidR="00F67BF3" w:rsidRPr="00F53F8E" w:rsidP="00F67BF3">
            <w:pPr>
              <w:spacing w:line="240" w:lineRule="auto"/>
              <w:jc w:val="right"/>
              <w:rPr>
                <w:rFonts w:ascii="Arial Narrow" w:hAnsi="Arial Narrow" w:cs="Times New Roman"/>
                <w:b/>
                <w:bCs/>
              </w:rPr>
            </w:pPr>
            <w:r>
              <w:rPr>
                <w:rFonts w:ascii="Arial Narrow" w:hAnsi="Arial Narrow" w:cs="Times New Roman"/>
                <w:b/>
                <w:bCs/>
              </w:rPr>
              <w:t>0,00</w:t>
            </w:r>
          </w:p>
        </w:tc>
        <w:tc>
          <w:tcPr>
            <w:tcW w:w="1224" w:type="dxa"/>
            <w:tcBorders>
              <w:top w:val="single" w:sz="4" w:space="0" w:color="auto"/>
              <w:left w:val="nil"/>
              <w:bottom w:val="single" w:sz="4" w:space="0" w:color="auto"/>
              <w:right w:val="single" w:sz="4" w:space="0" w:color="auto"/>
              <w:tl2br w:val="nil"/>
              <w:tr2bl w:val="nil"/>
            </w:tcBorders>
            <w:noWrap/>
            <w:textDirection w:val="lrTb"/>
            <w:vAlign w:val="center"/>
          </w:tcPr>
          <w:p w:rsidR="00F67BF3" w:rsidRPr="00F53F8E" w:rsidP="00F67BF3">
            <w:pPr>
              <w:spacing w:line="240" w:lineRule="auto"/>
              <w:jc w:val="right"/>
              <w:rPr>
                <w:rFonts w:ascii="Arial Narrow" w:hAnsi="Arial Narrow" w:cs="Times New Roman"/>
                <w:b/>
                <w:bCs/>
              </w:rPr>
            </w:pPr>
            <w:r w:rsidRPr="00F53F8E">
              <w:rPr>
                <w:rFonts w:ascii="Arial Narrow" w:hAnsi="Arial Narrow" w:cs="Times New Roman"/>
                <w:b/>
                <w:bCs/>
              </w:rPr>
              <w:t>0,00</w:t>
            </w:r>
          </w:p>
        </w:tc>
        <w:tc>
          <w:tcPr>
            <w:tcW w:w="268" w:type="dxa"/>
            <w:tcBorders>
              <w:top w:val="nil"/>
              <w:left w:val="single" w:sz="4" w:space="0" w:color="auto"/>
              <w:bottom w:val="nil"/>
              <w:right w:val="nil"/>
              <w:tl2br w:val="nil"/>
              <w:tr2bl w:val="nil"/>
            </w:tcBorders>
            <w:noWrap/>
            <w:textDirection w:val="lrTb"/>
            <w:vAlign w:val="bottom"/>
          </w:tcPr>
          <w:p w:rsidR="00F67BF3" w:rsidRPr="00F53F8E" w:rsidP="00F67BF3">
            <w:pPr>
              <w:spacing w:line="240" w:lineRule="auto"/>
              <w:rPr>
                <w:rFonts w:ascii="Arial Narrow" w:hAnsi="Arial Narrow" w:cs="Times New Roman"/>
              </w:rPr>
            </w:pPr>
          </w:p>
        </w:tc>
      </w:tr>
      <w:tr>
        <w:tblPrEx>
          <w:tblW w:w="11568" w:type="dxa"/>
          <w:tblInd w:w="-830" w:type="dxa"/>
          <w:tblCellMar>
            <w:left w:w="70" w:type="dxa"/>
            <w:right w:w="70" w:type="dxa"/>
          </w:tblCellMar>
        </w:tblPrEx>
        <w:trPr>
          <w:gridAfter w:val="2"/>
          <w:wAfter w:w="320" w:type="dxa"/>
          <w:trHeight w:val="227"/>
        </w:trPr>
        <w:tc>
          <w:tcPr>
            <w:tcW w:w="660" w:type="dxa"/>
            <w:tcBorders>
              <w:top w:val="single" w:sz="4" w:space="0" w:color="auto"/>
              <w:left w:val="single" w:sz="4" w:space="0" w:color="auto"/>
              <w:bottom w:val="single" w:sz="4" w:space="0" w:color="auto"/>
              <w:right w:val="nil"/>
              <w:tl2br w:val="nil"/>
              <w:tr2bl w:val="nil"/>
            </w:tcBorders>
            <w:noWrap/>
            <w:textDirection w:val="lrTb"/>
            <w:vAlign w:val="center"/>
          </w:tcPr>
          <w:p w:rsidR="00F67BF3" w:rsidRPr="00064378" w:rsidP="00F67BF3">
            <w:pPr>
              <w:spacing w:line="240" w:lineRule="auto"/>
              <w:rPr>
                <w:rFonts w:ascii="Arial Narrow" w:hAnsi="Arial Narrow" w:cs="Times New Roman"/>
              </w:rPr>
            </w:pPr>
            <w:r w:rsidRPr="00064378">
              <w:rPr>
                <w:rFonts w:ascii="Arial Narrow" w:hAnsi="Arial Narrow" w:cs="Times New Roman"/>
              </w:rPr>
              <w:t>13327</w:t>
            </w:r>
          </w:p>
        </w:tc>
        <w:tc>
          <w:tcPr>
            <w:tcW w:w="3300" w:type="dxa"/>
            <w:tcBorders>
              <w:top w:val="single" w:sz="4" w:space="0" w:color="auto"/>
              <w:left w:val="single" w:sz="8" w:space="0" w:color="auto"/>
              <w:bottom w:val="single" w:sz="4" w:space="0" w:color="auto"/>
              <w:right w:val="single" w:sz="4" w:space="0" w:color="auto"/>
              <w:tl2br w:val="nil"/>
              <w:tr2bl w:val="nil"/>
            </w:tcBorders>
            <w:noWrap/>
            <w:textDirection w:val="lrTb"/>
            <w:vAlign w:val="center"/>
          </w:tcPr>
          <w:p w:rsidR="00F67BF3" w:rsidRPr="00064378" w:rsidP="00F67BF3">
            <w:pPr>
              <w:spacing w:line="240" w:lineRule="auto"/>
              <w:rPr>
                <w:rFonts w:ascii="Arial Narrow" w:hAnsi="Arial Narrow" w:cs="Times New Roman"/>
              </w:rPr>
            </w:pPr>
            <w:r w:rsidRPr="00064378">
              <w:rPr>
                <w:rFonts w:ascii="Arial Narrow" w:hAnsi="Arial Narrow" w:cs="Times New Roman"/>
              </w:rPr>
              <w:t>R3 Oravský Podzámok - Horná Lehota</w:t>
            </w:r>
          </w:p>
        </w:tc>
        <w:tc>
          <w:tcPr>
            <w:tcW w:w="1476" w:type="dxa"/>
            <w:tcBorders>
              <w:top w:val="nil"/>
              <w:left w:val="single" w:sz="4" w:space="0" w:color="auto"/>
              <w:bottom w:val="single" w:sz="4" w:space="0" w:color="auto"/>
              <w:right w:val="nil"/>
              <w:tl2br w:val="nil"/>
              <w:tr2bl w:val="nil"/>
            </w:tcBorders>
            <w:noWrap/>
            <w:textDirection w:val="lrTb"/>
            <w:vAlign w:val="center"/>
          </w:tcPr>
          <w:p w:rsidR="00F67BF3" w:rsidRPr="00F53F8E" w:rsidP="00F67BF3">
            <w:pPr>
              <w:spacing w:line="240" w:lineRule="auto"/>
              <w:jc w:val="right"/>
              <w:rPr>
                <w:rFonts w:ascii="Arial Narrow" w:hAnsi="Arial Narrow" w:cs="Times New Roman"/>
                <w:b/>
                <w:bCs/>
              </w:rPr>
            </w:pPr>
            <w:r>
              <w:rPr>
                <w:rFonts w:ascii="Arial Narrow" w:hAnsi="Arial Narrow" w:cs="Times New Roman"/>
                <w:b/>
                <w:bCs/>
              </w:rPr>
              <w:t>250 000 00</w:t>
            </w:r>
            <w:r w:rsidRPr="00F53F8E">
              <w:rPr>
                <w:rFonts w:ascii="Arial Narrow" w:hAnsi="Arial Narrow" w:cs="Times New Roman"/>
                <w:b/>
                <w:bCs/>
              </w:rPr>
              <w:t>0,00</w:t>
            </w:r>
          </w:p>
        </w:tc>
        <w:tc>
          <w:tcPr>
            <w:tcW w:w="1440" w:type="dxa"/>
            <w:tcBorders>
              <w:top w:val="nil"/>
              <w:left w:val="single" w:sz="8" w:space="0" w:color="auto"/>
              <w:bottom w:val="single" w:sz="4" w:space="0" w:color="auto"/>
              <w:right w:val="nil"/>
              <w:tl2br w:val="nil"/>
              <w:tr2bl w:val="nil"/>
            </w:tcBorders>
            <w:noWrap/>
            <w:textDirection w:val="lrTb"/>
            <w:vAlign w:val="center"/>
          </w:tcPr>
          <w:p w:rsidR="00F67BF3" w:rsidRPr="00F53F8E" w:rsidP="00F67BF3">
            <w:pPr>
              <w:spacing w:line="240" w:lineRule="auto"/>
              <w:jc w:val="right"/>
              <w:rPr>
                <w:rFonts w:ascii="Arial Narrow" w:hAnsi="Arial Narrow" w:cs="Times New Roman"/>
                <w:b/>
                <w:bCs/>
              </w:rPr>
            </w:pPr>
            <w:r>
              <w:rPr>
                <w:rFonts w:ascii="Arial Narrow" w:hAnsi="Arial Narrow" w:cs="Times New Roman"/>
                <w:b/>
                <w:bCs/>
              </w:rPr>
              <w:t>872 630 000,00</w:t>
            </w:r>
          </w:p>
        </w:tc>
        <w:tc>
          <w:tcPr>
            <w:tcW w:w="1540" w:type="dxa"/>
            <w:tcBorders>
              <w:top w:val="nil"/>
              <w:left w:val="single" w:sz="8" w:space="0" w:color="auto"/>
              <w:bottom w:val="single" w:sz="4" w:space="0" w:color="auto"/>
              <w:right w:val="single" w:sz="8" w:space="0" w:color="auto"/>
              <w:tl2br w:val="nil"/>
              <w:tr2bl w:val="nil"/>
            </w:tcBorders>
            <w:noWrap/>
            <w:textDirection w:val="lrTb"/>
            <w:vAlign w:val="center"/>
          </w:tcPr>
          <w:p w:rsidR="00F67BF3" w:rsidRPr="00F53F8E" w:rsidP="00F67BF3">
            <w:pPr>
              <w:spacing w:line="240" w:lineRule="auto"/>
              <w:jc w:val="right"/>
              <w:rPr>
                <w:rFonts w:ascii="Arial Narrow" w:hAnsi="Arial Narrow" w:cs="Times New Roman"/>
                <w:b/>
                <w:bCs/>
              </w:rPr>
            </w:pPr>
            <w:r>
              <w:rPr>
                <w:rFonts w:ascii="Arial Narrow" w:hAnsi="Arial Narrow" w:cs="Times New Roman"/>
                <w:b/>
                <w:bCs/>
              </w:rPr>
              <w:t>872 630 000,00</w:t>
            </w:r>
          </w:p>
        </w:tc>
        <w:tc>
          <w:tcPr>
            <w:tcW w:w="1340" w:type="dxa"/>
            <w:tcBorders>
              <w:top w:val="nil"/>
              <w:left w:val="nil"/>
              <w:bottom w:val="single" w:sz="4" w:space="0" w:color="auto"/>
              <w:right w:val="single" w:sz="8" w:space="0" w:color="auto"/>
              <w:tl2br w:val="nil"/>
              <w:tr2bl w:val="nil"/>
            </w:tcBorders>
            <w:noWrap/>
            <w:textDirection w:val="lrTb"/>
            <w:vAlign w:val="center"/>
          </w:tcPr>
          <w:p w:rsidR="00F67BF3" w:rsidRPr="00F53F8E" w:rsidP="00F67BF3">
            <w:pPr>
              <w:spacing w:line="240" w:lineRule="auto"/>
              <w:jc w:val="right"/>
              <w:rPr>
                <w:rFonts w:ascii="Arial Narrow" w:hAnsi="Arial Narrow" w:cs="Times New Roman"/>
                <w:b/>
                <w:bCs/>
              </w:rPr>
            </w:pPr>
            <w:r w:rsidRPr="00F53F8E">
              <w:rPr>
                <w:rFonts w:ascii="Arial Narrow" w:hAnsi="Arial Narrow" w:cs="Times New Roman"/>
                <w:b/>
                <w:bCs/>
              </w:rPr>
              <w:t> </w:t>
            </w:r>
            <w:r>
              <w:rPr>
                <w:rFonts w:ascii="Arial Narrow" w:hAnsi="Arial Narrow" w:cs="Times New Roman"/>
                <w:b/>
                <w:bCs/>
              </w:rPr>
              <w:t>0,00</w:t>
            </w:r>
          </w:p>
        </w:tc>
        <w:tc>
          <w:tcPr>
            <w:tcW w:w="1224" w:type="dxa"/>
            <w:tcBorders>
              <w:top w:val="nil"/>
              <w:left w:val="nil"/>
              <w:bottom w:val="single" w:sz="4" w:space="0" w:color="auto"/>
              <w:right w:val="single" w:sz="8" w:space="0" w:color="auto"/>
              <w:tl2br w:val="nil"/>
              <w:tr2bl w:val="nil"/>
            </w:tcBorders>
            <w:noWrap/>
            <w:textDirection w:val="lrTb"/>
            <w:vAlign w:val="center"/>
          </w:tcPr>
          <w:p w:rsidR="00F67BF3" w:rsidRPr="00F53F8E" w:rsidP="00F67BF3">
            <w:pPr>
              <w:spacing w:line="240" w:lineRule="auto"/>
              <w:jc w:val="right"/>
              <w:rPr>
                <w:rFonts w:ascii="Arial Narrow" w:hAnsi="Arial Narrow" w:cs="Times New Roman"/>
                <w:b/>
                <w:bCs/>
              </w:rPr>
            </w:pPr>
            <w:r w:rsidRPr="00F53F8E">
              <w:rPr>
                <w:rFonts w:ascii="Arial Narrow" w:hAnsi="Arial Narrow" w:cs="Times New Roman"/>
                <w:b/>
                <w:bCs/>
              </w:rPr>
              <w:t>0,00</w:t>
            </w:r>
          </w:p>
        </w:tc>
        <w:tc>
          <w:tcPr>
            <w:tcW w:w="268" w:type="dxa"/>
            <w:tcBorders>
              <w:top w:val="nil"/>
              <w:left w:val="nil"/>
              <w:bottom w:val="nil"/>
              <w:right w:val="nil"/>
              <w:tl2br w:val="nil"/>
              <w:tr2bl w:val="nil"/>
            </w:tcBorders>
            <w:noWrap/>
            <w:textDirection w:val="lrTb"/>
            <w:vAlign w:val="bottom"/>
          </w:tcPr>
          <w:p w:rsidR="00F67BF3" w:rsidRPr="00F53F8E" w:rsidP="00F67BF3">
            <w:pPr>
              <w:spacing w:line="240" w:lineRule="auto"/>
              <w:rPr>
                <w:rFonts w:ascii="Arial Narrow" w:hAnsi="Arial Narrow" w:cs="Times New Roman"/>
              </w:rPr>
            </w:pPr>
          </w:p>
        </w:tc>
      </w:tr>
      <w:tr>
        <w:tblPrEx>
          <w:tblW w:w="11568" w:type="dxa"/>
          <w:tblInd w:w="-830" w:type="dxa"/>
          <w:tblCellMar>
            <w:left w:w="70" w:type="dxa"/>
            <w:right w:w="70" w:type="dxa"/>
          </w:tblCellMar>
        </w:tblPrEx>
        <w:trPr>
          <w:gridAfter w:val="2"/>
          <w:wAfter w:w="320" w:type="dxa"/>
          <w:trHeight w:val="227"/>
        </w:trPr>
        <w:tc>
          <w:tcPr>
            <w:tcW w:w="660" w:type="dxa"/>
            <w:tcBorders>
              <w:top w:val="single" w:sz="4" w:space="0" w:color="auto"/>
              <w:left w:val="single" w:sz="8" w:space="0" w:color="auto"/>
              <w:bottom w:val="single" w:sz="4" w:space="0" w:color="auto"/>
              <w:right w:val="nil"/>
              <w:tl2br w:val="nil"/>
              <w:tr2bl w:val="nil"/>
            </w:tcBorders>
            <w:noWrap/>
            <w:textDirection w:val="lrTb"/>
            <w:vAlign w:val="center"/>
          </w:tcPr>
          <w:p w:rsidR="00F67BF3" w:rsidRPr="00064378" w:rsidP="00F67BF3">
            <w:pPr>
              <w:spacing w:line="240" w:lineRule="auto"/>
              <w:jc w:val="right"/>
              <w:rPr>
                <w:rFonts w:ascii="Arial Narrow" w:hAnsi="Arial Narrow" w:cs="Times New Roman"/>
              </w:rPr>
            </w:pPr>
            <w:r>
              <w:rPr>
                <w:rFonts w:ascii="Arial Narrow" w:hAnsi="Arial Narrow" w:cs="Times New Roman"/>
              </w:rPr>
              <w:t>1518</w:t>
            </w:r>
          </w:p>
        </w:tc>
        <w:tc>
          <w:tcPr>
            <w:tcW w:w="3300" w:type="dxa"/>
            <w:tcBorders>
              <w:top w:val="single" w:sz="4" w:space="0" w:color="auto"/>
              <w:left w:val="single" w:sz="8" w:space="0" w:color="auto"/>
              <w:bottom w:val="single" w:sz="4" w:space="0" w:color="auto"/>
              <w:right w:val="nil"/>
              <w:tl2br w:val="nil"/>
              <w:tr2bl w:val="nil"/>
            </w:tcBorders>
            <w:noWrap/>
            <w:textDirection w:val="lrTb"/>
            <w:vAlign w:val="center"/>
          </w:tcPr>
          <w:p w:rsidR="00F67BF3" w:rsidRPr="00064378" w:rsidP="00F67BF3">
            <w:pPr>
              <w:spacing w:line="240" w:lineRule="auto"/>
              <w:rPr>
                <w:rFonts w:ascii="Arial Narrow" w:hAnsi="Arial Narrow" w:cs="Times New Roman"/>
              </w:rPr>
            </w:pPr>
            <w:r>
              <w:rPr>
                <w:rFonts w:ascii="Arial Narrow" w:hAnsi="Arial Narrow" w:cs="Times New Roman"/>
              </w:rPr>
              <w:t>R3 Horná Štubňa obchvat</w:t>
            </w:r>
          </w:p>
        </w:tc>
        <w:tc>
          <w:tcPr>
            <w:tcW w:w="1476" w:type="dxa"/>
            <w:tcBorders>
              <w:top w:val="nil"/>
              <w:left w:val="single" w:sz="8" w:space="0" w:color="auto"/>
              <w:bottom w:val="single" w:sz="4" w:space="0" w:color="auto"/>
              <w:right w:val="nil"/>
              <w:tl2br w:val="nil"/>
              <w:tr2bl w:val="nil"/>
            </w:tcBorders>
            <w:noWrap/>
            <w:textDirection w:val="lrTb"/>
            <w:vAlign w:val="center"/>
          </w:tcPr>
          <w:p w:rsidR="00F67BF3" w:rsidRPr="00F53F8E" w:rsidP="00F67BF3">
            <w:pPr>
              <w:spacing w:line="240" w:lineRule="auto"/>
              <w:jc w:val="right"/>
              <w:rPr>
                <w:rFonts w:ascii="Arial Narrow" w:hAnsi="Arial Narrow" w:cs="Times New Roman"/>
                <w:b/>
                <w:bCs/>
              </w:rPr>
            </w:pPr>
            <w:r>
              <w:rPr>
                <w:rFonts w:ascii="Arial Narrow" w:hAnsi="Arial Narrow" w:cs="Times New Roman"/>
                <w:b/>
                <w:bCs/>
              </w:rPr>
              <w:t>0,00</w:t>
            </w:r>
          </w:p>
        </w:tc>
        <w:tc>
          <w:tcPr>
            <w:tcW w:w="1440" w:type="dxa"/>
            <w:tcBorders>
              <w:top w:val="nil"/>
              <w:left w:val="single" w:sz="8" w:space="0" w:color="auto"/>
              <w:bottom w:val="single" w:sz="4" w:space="0" w:color="auto"/>
              <w:right w:val="nil"/>
              <w:tl2br w:val="nil"/>
              <w:tr2bl w:val="nil"/>
            </w:tcBorders>
            <w:noWrap/>
            <w:textDirection w:val="lrTb"/>
            <w:vAlign w:val="center"/>
          </w:tcPr>
          <w:p w:rsidR="00F67BF3" w:rsidRPr="00F53F8E" w:rsidP="00F67BF3">
            <w:pPr>
              <w:spacing w:line="240" w:lineRule="auto"/>
              <w:jc w:val="right"/>
              <w:rPr>
                <w:rFonts w:ascii="Arial Narrow" w:hAnsi="Arial Narrow" w:cs="Times New Roman"/>
                <w:b/>
                <w:bCs/>
              </w:rPr>
            </w:pPr>
            <w:r>
              <w:rPr>
                <w:rFonts w:ascii="Arial Narrow" w:hAnsi="Arial Narrow" w:cs="Times New Roman"/>
                <w:b/>
                <w:bCs/>
              </w:rPr>
              <w:t>5 298 000,00</w:t>
            </w:r>
          </w:p>
        </w:tc>
        <w:tc>
          <w:tcPr>
            <w:tcW w:w="1540" w:type="dxa"/>
            <w:tcBorders>
              <w:top w:val="nil"/>
              <w:left w:val="single" w:sz="8" w:space="0" w:color="auto"/>
              <w:bottom w:val="single" w:sz="4" w:space="0" w:color="auto"/>
              <w:right w:val="single" w:sz="8" w:space="0" w:color="auto"/>
              <w:tl2br w:val="nil"/>
              <w:tr2bl w:val="nil"/>
            </w:tcBorders>
            <w:noWrap/>
            <w:textDirection w:val="lrTb"/>
            <w:vAlign w:val="center"/>
          </w:tcPr>
          <w:p w:rsidR="00F67BF3" w:rsidRPr="00F53F8E" w:rsidP="00F67BF3">
            <w:pPr>
              <w:spacing w:line="240" w:lineRule="auto"/>
              <w:jc w:val="right"/>
              <w:rPr>
                <w:rFonts w:ascii="Arial Narrow" w:hAnsi="Arial Narrow" w:cs="Times New Roman"/>
                <w:b/>
                <w:bCs/>
              </w:rPr>
            </w:pPr>
            <w:r>
              <w:rPr>
                <w:rFonts w:ascii="Arial Narrow" w:hAnsi="Arial Narrow" w:cs="Times New Roman"/>
                <w:b/>
                <w:bCs/>
              </w:rPr>
              <w:t>5 298 000,00</w:t>
            </w:r>
          </w:p>
        </w:tc>
        <w:tc>
          <w:tcPr>
            <w:tcW w:w="1340" w:type="dxa"/>
            <w:tcBorders>
              <w:top w:val="nil"/>
              <w:left w:val="nil"/>
              <w:bottom w:val="single" w:sz="4" w:space="0" w:color="auto"/>
              <w:right w:val="single" w:sz="8" w:space="0" w:color="auto"/>
              <w:tl2br w:val="nil"/>
              <w:tr2bl w:val="nil"/>
            </w:tcBorders>
            <w:noWrap/>
            <w:textDirection w:val="lrTb"/>
            <w:vAlign w:val="center"/>
          </w:tcPr>
          <w:p w:rsidR="00F67BF3" w:rsidRPr="00F53F8E" w:rsidP="00F67BF3">
            <w:pPr>
              <w:spacing w:line="240" w:lineRule="auto"/>
              <w:jc w:val="right"/>
              <w:rPr>
                <w:rFonts w:ascii="Arial Narrow" w:hAnsi="Arial Narrow" w:cs="Times New Roman"/>
                <w:b/>
                <w:bCs/>
              </w:rPr>
            </w:pPr>
            <w:r>
              <w:rPr>
                <w:rFonts w:ascii="Arial Narrow" w:hAnsi="Arial Narrow" w:cs="Times New Roman"/>
                <w:b/>
                <w:bCs/>
              </w:rPr>
              <w:t>0,00</w:t>
            </w:r>
          </w:p>
        </w:tc>
        <w:tc>
          <w:tcPr>
            <w:tcW w:w="1224" w:type="dxa"/>
            <w:tcBorders>
              <w:top w:val="nil"/>
              <w:left w:val="nil"/>
              <w:bottom w:val="single" w:sz="4" w:space="0" w:color="auto"/>
              <w:right w:val="single" w:sz="8" w:space="0" w:color="auto"/>
              <w:tl2br w:val="nil"/>
              <w:tr2bl w:val="nil"/>
            </w:tcBorders>
            <w:noWrap/>
            <w:textDirection w:val="lrTb"/>
            <w:vAlign w:val="center"/>
          </w:tcPr>
          <w:p w:rsidR="00F67BF3" w:rsidRPr="00F53F8E" w:rsidP="00F67BF3">
            <w:pPr>
              <w:spacing w:line="240" w:lineRule="auto"/>
              <w:jc w:val="right"/>
              <w:rPr>
                <w:rFonts w:ascii="Arial Narrow" w:hAnsi="Arial Narrow" w:cs="Times New Roman"/>
                <w:b/>
                <w:bCs/>
              </w:rPr>
            </w:pPr>
            <w:r>
              <w:rPr>
                <w:rFonts w:ascii="Arial Narrow" w:hAnsi="Arial Narrow" w:cs="Times New Roman"/>
                <w:b/>
                <w:bCs/>
              </w:rPr>
              <w:t>0,00</w:t>
            </w:r>
          </w:p>
        </w:tc>
        <w:tc>
          <w:tcPr>
            <w:tcW w:w="268" w:type="dxa"/>
            <w:tcBorders>
              <w:top w:val="nil"/>
              <w:left w:val="nil"/>
              <w:bottom w:val="nil"/>
              <w:right w:val="nil"/>
              <w:tl2br w:val="nil"/>
              <w:tr2bl w:val="nil"/>
            </w:tcBorders>
            <w:noWrap/>
            <w:textDirection w:val="lrTb"/>
            <w:vAlign w:val="bottom"/>
          </w:tcPr>
          <w:p w:rsidR="00F67BF3" w:rsidRPr="00F53F8E" w:rsidP="00F67BF3">
            <w:pPr>
              <w:spacing w:line="240" w:lineRule="auto"/>
              <w:rPr>
                <w:rFonts w:ascii="Arial Narrow" w:hAnsi="Arial Narrow" w:cs="Times New Roman"/>
              </w:rPr>
            </w:pPr>
          </w:p>
        </w:tc>
      </w:tr>
      <w:tr>
        <w:tblPrEx>
          <w:tblW w:w="11568" w:type="dxa"/>
          <w:tblInd w:w="-830" w:type="dxa"/>
          <w:tblCellMar>
            <w:left w:w="70" w:type="dxa"/>
            <w:right w:w="70" w:type="dxa"/>
          </w:tblCellMar>
        </w:tblPrEx>
        <w:trPr>
          <w:gridAfter w:val="2"/>
          <w:wAfter w:w="320" w:type="dxa"/>
          <w:trHeight w:val="227"/>
        </w:trPr>
        <w:tc>
          <w:tcPr>
            <w:tcW w:w="660" w:type="dxa"/>
            <w:tcBorders>
              <w:top w:val="single" w:sz="4" w:space="0" w:color="auto"/>
              <w:left w:val="single" w:sz="8" w:space="0" w:color="auto"/>
              <w:bottom w:val="single" w:sz="4" w:space="0" w:color="auto"/>
              <w:right w:val="nil"/>
              <w:tl2br w:val="nil"/>
              <w:tr2bl w:val="nil"/>
            </w:tcBorders>
            <w:noWrap/>
            <w:textDirection w:val="lrTb"/>
            <w:vAlign w:val="center"/>
          </w:tcPr>
          <w:p w:rsidR="00F67BF3" w:rsidRPr="00064378" w:rsidP="00F67BF3">
            <w:pPr>
              <w:spacing w:line="240" w:lineRule="auto"/>
              <w:jc w:val="right"/>
              <w:rPr>
                <w:rFonts w:ascii="Arial Narrow" w:hAnsi="Arial Narrow" w:cs="Times New Roman"/>
              </w:rPr>
            </w:pPr>
            <w:r>
              <w:rPr>
                <w:rFonts w:ascii="Arial Narrow" w:hAnsi="Arial Narrow" w:cs="Times New Roman"/>
              </w:rPr>
              <w:t>19881</w:t>
            </w:r>
          </w:p>
        </w:tc>
        <w:tc>
          <w:tcPr>
            <w:tcW w:w="3300" w:type="dxa"/>
            <w:tcBorders>
              <w:top w:val="single" w:sz="4" w:space="0" w:color="auto"/>
              <w:left w:val="single" w:sz="8" w:space="0" w:color="auto"/>
              <w:bottom w:val="single" w:sz="4" w:space="0" w:color="auto"/>
              <w:right w:val="nil"/>
              <w:tl2br w:val="nil"/>
              <w:tr2bl w:val="nil"/>
            </w:tcBorders>
            <w:noWrap/>
            <w:textDirection w:val="lrTb"/>
            <w:vAlign w:val="center"/>
          </w:tcPr>
          <w:p w:rsidR="00F67BF3" w:rsidRPr="00064378" w:rsidP="00F67BF3">
            <w:pPr>
              <w:spacing w:line="240" w:lineRule="auto"/>
              <w:rPr>
                <w:rFonts w:ascii="Arial Narrow" w:hAnsi="Arial Narrow" w:cs="Times New Roman"/>
              </w:rPr>
            </w:pPr>
            <w:r w:rsidRPr="00064378">
              <w:rPr>
                <w:rFonts w:ascii="Arial Narrow" w:hAnsi="Arial Narrow" w:cs="Times New Roman"/>
              </w:rPr>
              <w:t>R</w:t>
            </w:r>
            <w:r>
              <w:rPr>
                <w:rFonts w:ascii="Arial Narrow" w:hAnsi="Arial Narrow" w:cs="Times New Roman"/>
              </w:rPr>
              <w:t>4</w:t>
            </w:r>
            <w:r w:rsidRPr="00064378">
              <w:rPr>
                <w:rFonts w:ascii="Arial Narrow" w:hAnsi="Arial Narrow" w:cs="Times New Roman"/>
              </w:rPr>
              <w:t xml:space="preserve"> Vysporiadanie starých stavieb</w:t>
            </w:r>
          </w:p>
        </w:tc>
        <w:tc>
          <w:tcPr>
            <w:tcW w:w="1476" w:type="dxa"/>
            <w:tcBorders>
              <w:top w:val="nil"/>
              <w:left w:val="single" w:sz="8" w:space="0" w:color="auto"/>
              <w:bottom w:val="single" w:sz="4" w:space="0" w:color="auto"/>
              <w:right w:val="nil"/>
              <w:tl2br w:val="nil"/>
              <w:tr2bl w:val="nil"/>
            </w:tcBorders>
            <w:noWrap/>
            <w:textDirection w:val="lrTb"/>
            <w:vAlign w:val="center"/>
          </w:tcPr>
          <w:p w:rsidR="00F67BF3" w:rsidRPr="00F53F8E" w:rsidP="00F67BF3">
            <w:pPr>
              <w:spacing w:line="240" w:lineRule="auto"/>
              <w:jc w:val="right"/>
              <w:rPr>
                <w:rFonts w:ascii="Arial Narrow" w:hAnsi="Arial Narrow" w:cs="Times New Roman"/>
                <w:b/>
                <w:bCs/>
              </w:rPr>
            </w:pPr>
            <w:r w:rsidRPr="00F53F8E">
              <w:rPr>
                <w:rFonts w:ascii="Arial Narrow" w:hAnsi="Arial Narrow" w:cs="Times New Roman"/>
                <w:b/>
                <w:bCs/>
              </w:rPr>
              <w:t>0,00</w:t>
            </w:r>
          </w:p>
        </w:tc>
        <w:tc>
          <w:tcPr>
            <w:tcW w:w="1440" w:type="dxa"/>
            <w:tcBorders>
              <w:top w:val="nil"/>
              <w:left w:val="single" w:sz="8" w:space="0" w:color="auto"/>
              <w:bottom w:val="single" w:sz="4" w:space="0" w:color="auto"/>
              <w:right w:val="nil"/>
              <w:tl2br w:val="nil"/>
              <w:tr2bl w:val="nil"/>
            </w:tcBorders>
            <w:noWrap/>
            <w:textDirection w:val="lrTb"/>
            <w:vAlign w:val="center"/>
          </w:tcPr>
          <w:p w:rsidR="00F67BF3" w:rsidRPr="00F53F8E" w:rsidP="00F67BF3">
            <w:pPr>
              <w:spacing w:line="240" w:lineRule="auto"/>
              <w:jc w:val="right"/>
              <w:rPr>
                <w:rFonts w:ascii="Arial Narrow" w:hAnsi="Arial Narrow" w:cs="Times New Roman"/>
                <w:b/>
                <w:bCs/>
              </w:rPr>
            </w:pPr>
            <w:r>
              <w:rPr>
                <w:rFonts w:ascii="Arial Narrow" w:hAnsi="Arial Narrow" w:cs="Times New Roman"/>
                <w:b/>
                <w:bCs/>
              </w:rPr>
              <w:t>80 000,00</w:t>
            </w:r>
          </w:p>
        </w:tc>
        <w:tc>
          <w:tcPr>
            <w:tcW w:w="1540" w:type="dxa"/>
            <w:tcBorders>
              <w:top w:val="nil"/>
              <w:left w:val="single" w:sz="8" w:space="0" w:color="auto"/>
              <w:bottom w:val="single" w:sz="4" w:space="0" w:color="auto"/>
              <w:right w:val="single" w:sz="8" w:space="0" w:color="auto"/>
              <w:tl2br w:val="nil"/>
              <w:tr2bl w:val="nil"/>
            </w:tcBorders>
            <w:noWrap/>
            <w:textDirection w:val="lrTb"/>
            <w:vAlign w:val="center"/>
          </w:tcPr>
          <w:p w:rsidR="00F67BF3" w:rsidRPr="00F53F8E" w:rsidP="00F67BF3">
            <w:pPr>
              <w:spacing w:line="240" w:lineRule="auto"/>
              <w:jc w:val="right"/>
              <w:rPr>
                <w:rFonts w:ascii="Arial Narrow" w:hAnsi="Arial Narrow" w:cs="Times New Roman"/>
                <w:b/>
                <w:bCs/>
              </w:rPr>
            </w:pPr>
            <w:r>
              <w:rPr>
                <w:rFonts w:ascii="Arial Narrow" w:hAnsi="Arial Narrow" w:cs="Times New Roman"/>
                <w:b/>
                <w:bCs/>
              </w:rPr>
              <w:t>80 000</w:t>
            </w:r>
            <w:r>
              <w:rPr>
                <w:rFonts w:ascii="Arial Narrow" w:hAnsi="Arial Narrow" w:cs="Times New Roman"/>
                <w:b/>
                <w:bCs/>
              </w:rPr>
              <w:t>,00</w:t>
            </w:r>
          </w:p>
        </w:tc>
        <w:tc>
          <w:tcPr>
            <w:tcW w:w="1340" w:type="dxa"/>
            <w:tcBorders>
              <w:top w:val="nil"/>
              <w:left w:val="nil"/>
              <w:bottom w:val="single" w:sz="4" w:space="0" w:color="auto"/>
              <w:right w:val="single" w:sz="8" w:space="0" w:color="auto"/>
              <w:tl2br w:val="nil"/>
              <w:tr2bl w:val="nil"/>
            </w:tcBorders>
            <w:noWrap/>
            <w:textDirection w:val="lrTb"/>
            <w:vAlign w:val="center"/>
          </w:tcPr>
          <w:p w:rsidR="00F67BF3" w:rsidRPr="00F53F8E" w:rsidP="00F67BF3">
            <w:pPr>
              <w:spacing w:line="240" w:lineRule="auto"/>
              <w:jc w:val="right"/>
              <w:rPr>
                <w:rFonts w:ascii="Arial Narrow" w:hAnsi="Arial Narrow" w:cs="Times New Roman"/>
                <w:b/>
                <w:bCs/>
              </w:rPr>
            </w:pPr>
            <w:r>
              <w:rPr>
                <w:rFonts w:ascii="Arial Narrow" w:hAnsi="Arial Narrow" w:cs="Times New Roman"/>
                <w:b/>
                <w:bCs/>
              </w:rPr>
              <w:t>0,00</w:t>
            </w:r>
          </w:p>
        </w:tc>
        <w:tc>
          <w:tcPr>
            <w:tcW w:w="1224" w:type="dxa"/>
            <w:tcBorders>
              <w:top w:val="nil"/>
              <w:left w:val="nil"/>
              <w:bottom w:val="single" w:sz="4" w:space="0" w:color="auto"/>
              <w:right w:val="single" w:sz="8" w:space="0" w:color="auto"/>
              <w:tl2br w:val="nil"/>
              <w:tr2bl w:val="nil"/>
            </w:tcBorders>
            <w:noWrap/>
            <w:textDirection w:val="lrTb"/>
            <w:vAlign w:val="center"/>
          </w:tcPr>
          <w:p w:rsidR="00F67BF3" w:rsidRPr="00F53F8E" w:rsidP="00F67BF3">
            <w:pPr>
              <w:spacing w:line="240" w:lineRule="auto"/>
              <w:jc w:val="right"/>
              <w:rPr>
                <w:rFonts w:ascii="Arial Narrow" w:hAnsi="Arial Narrow" w:cs="Times New Roman"/>
                <w:b/>
                <w:bCs/>
              </w:rPr>
            </w:pPr>
            <w:r>
              <w:rPr>
                <w:rFonts w:ascii="Arial Narrow" w:hAnsi="Arial Narrow" w:cs="Times New Roman"/>
                <w:b/>
                <w:bCs/>
              </w:rPr>
              <w:t>0,00</w:t>
            </w:r>
          </w:p>
        </w:tc>
        <w:tc>
          <w:tcPr>
            <w:tcW w:w="268" w:type="dxa"/>
            <w:tcBorders>
              <w:top w:val="nil"/>
              <w:left w:val="nil"/>
              <w:bottom w:val="nil"/>
              <w:right w:val="nil"/>
              <w:tl2br w:val="nil"/>
              <w:tr2bl w:val="nil"/>
            </w:tcBorders>
            <w:noWrap/>
            <w:textDirection w:val="lrTb"/>
            <w:vAlign w:val="bottom"/>
          </w:tcPr>
          <w:p w:rsidR="00F67BF3" w:rsidRPr="00F53F8E" w:rsidP="00F67BF3">
            <w:pPr>
              <w:spacing w:line="240" w:lineRule="auto"/>
              <w:rPr>
                <w:rFonts w:ascii="Arial Narrow" w:hAnsi="Arial Narrow" w:cs="Times New Roman"/>
              </w:rPr>
            </w:pPr>
          </w:p>
        </w:tc>
      </w:tr>
      <w:tr>
        <w:tblPrEx>
          <w:tblW w:w="11568" w:type="dxa"/>
          <w:tblInd w:w="-830" w:type="dxa"/>
          <w:tblCellMar>
            <w:left w:w="70" w:type="dxa"/>
            <w:right w:w="70" w:type="dxa"/>
          </w:tblCellMar>
        </w:tblPrEx>
        <w:trPr>
          <w:gridAfter w:val="2"/>
          <w:wAfter w:w="320" w:type="dxa"/>
          <w:trHeight w:val="227"/>
        </w:trPr>
        <w:tc>
          <w:tcPr>
            <w:tcW w:w="660" w:type="dxa"/>
            <w:tcBorders>
              <w:top w:val="single" w:sz="4" w:space="0" w:color="auto"/>
              <w:left w:val="single" w:sz="8" w:space="0" w:color="auto"/>
              <w:bottom w:val="single" w:sz="4" w:space="0" w:color="auto"/>
              <w:right w:val="nil"/>
              <w:tl2br w:val="nil"/>
              <w:tr2bl w:val="nil"/>
            </w:tcBorders>
            <w:noWrap/>
            <w:textDirection w:val="lrTb"/>
            <w:vAlign w:val="center"/>
          </w:tcPr>
          <w:p w:rsidR="00F67BF3" w:rsidRPr="00064378" w:rsidP="00F67BF3">
            <w:pPr>
              <w:spacing w:line="240" w:lineRule="auto"/>
              <w:jc w:val="right"/>
              <w:rPr>
                <w:rFonts w:ascii="Arial Narrow" w:hAnsi="Arial Narrow" w:cs="Times New Roman"/>
              </w:rPr>
            </w:pPr>
            <w:r>
              <w:rPr>
                <w:rFonts w:ascii="Arial Narrow" w:hAnsi="Arial Narrow" w:cs="Times New Roman"/>
              </w:rPr>
              <w:t>13703</w:t>
            </w:r>
          </w:p>
        </w:tc>
        <w:tc>
          <w:tcPr>
            <w:tcW w:w="3300" w:type="dxa"/>
            <w:tcBorders>
              <w:top w:val="single" w:sz="4" w:space="0" w:color="auto"/>
              <w:left w:val="single" w:sz="8" w:space="0" w:color="auto"/>
              <w:bottom w:val="single" w:sz="4" w:space="0" w:color="auto"/>
              <w:right w:val="nil"/>
              <w:tl2br w:val="nil"/>
              <w:tr2bl w:val="nil"/>
            </w:tcBorders>
            <w:noWrap/>
            <w:textDirection w:val="lrTb"/>
            <w:vAlign w:val="center"/>
          </w:tcPr>
          <w:p w:rsidR="00F67BF3" w:rsidRPr="00064378" w:rsidP="00F67BF3">
            <w:pPr>
              <w:spacing w:line="240" w:lineRule="auto"/>
              <w:rPr>
                <w:rFonts w:ascii="Arial Narrow" w:hAnsi="Arial Narrow" w:cs="Times New Roman"/>
              </w:rPr>
            </w:pPr>
            <w:r>
              <w:rPr>
                <w:rFonts w:ascii="Arial Narrow" w:hAnsi="Arial Narrow" w:cs="Times New Roman"/>
              </w:rPr>
              <w:t>Technolog. vybavenie diaľničných úsekov</w:t>
            </w:r>
          </w:p>
        </w:tc>
        <w:tc>
          <w:tcPr>
            <w:tcW w:w="1476" w:type="dxa"/>
            <w:tcBorders>
              <w:top w:val="nil"/>
              <w:left w:val="single" w:sz="8" w:space="0" w:color="auto"/>
              <w:bottom w:val="single" w:sz="4" w:space="0" w:color="auto"/>
              <w:right w:val="nil"/>
              <w:tl2br w:val="nil"/>
              <w:tr2bl w:val="nil"/>
            </w:tcBorders>
            <w:noWrap/>
            <w:textDirection w:val="lrTb"/>
            <w:vAlign w:val="center"/>
          </w:tcPr>
          <w:p w:rsidR="00F67BF3" w:rsidRPr="00F53F8E" w:rsidP="00F67BF3">
            <w:pPr>
              <w:spacing w:line="240" w:lineRule="auto"/>
              <w:jc w:val="right"/>
              <w:rPr>
                <w:rFonts w:ascii="Arial Narrow" w:hAnsi="Arial Narrow" w:cs="Times New Roman"/>
                <w:b/>
                <w:bCs/>
              </w:rPr>
            </w:pPr>
            <w:r w:rsidRPr="00F53F8E">
              <w:rPr>
                <w:rFonts w:ascii="Arial Narrow" w:hAnsi="Arial Narrow" w:cs="Times New Roman"/>
                <w:b/>
                <w:bCs/>
              </w:rPr>
              <w:t>0,00</w:t>
            </w:r>
          </w:p>
        </w:tc>
        <w:tc>
          <w:tcPr>
            <w:tcW w:w="1440" w:type="dxa"/>
            <w:tcBorders>
              <w:top w:val="nil"/>
              <w:left w:val="single" w:sz="8" w:space="0" w:color="auto"/>
              <w:bottom w:val="single" w:sz="4" w:space="0" w:color="auto"/>
              <w:right w:val="nil"/>
              <w:tl2br w:val="nil"/>
              <w:tr2bl w:val="nil"/>
            </w:tcBorders>
            <w:noWrap/>
            <w:textDirection w:val="lrTb"/>
            <w:vAlign w:val="center"/>
          </w:tcPr>
          <w:p w:rsidR="00F67BF3" w:rsidRPr="00F53F8E" w:rsidP="00F67BF3">
            <w:pPr>
              <w:spacing w:line="240" w:lineRule="auto"/>
              <w:jc w:val="right"/>
              <w:rPr>
                <w:rFonts w:ascii="Arial Narrow" w:hAnsi="Arial Narrow" w:cs="Times New Roman"/>
                <w:b/>
                <w:bCs/>
              </w:rPr>
            </w:pPr>
            <w:r>
              <w:rPr>
                <w:rFonts w:ascii="Arial Narrow" w:hAnsi="Arial Narrow" w:cs="Times New Roman"/>
                <w:b/>
                <w:bCs/>
              </w:rPr>
              <w:t>42 874 000,00</w:t>
            </w:r>
          </w:p>
        </w:tc>
        <w:tc>
          <w:tcPr>
            <w:tcW w:w="1540" w:type="dxa"/>
            <w:tcBorders>
              <w:top w:val="nil"/>
              <w:left w:val="single" w:sz="8" w:space="0" w:color="auto"/>
              <w:bottom w:val="single" w:sz="4" w:space="0" w:color="auto"/>
              <w:right w:val="single" w:sz="8" w:space="0" w:color="auto"/>
              <w:tl2br w:val="nil"/>
              <w:tr2bl w:val="nil"/>
            </w:tcBorders>
            <w:noWrap/>
            <w:textDirection w:val="lrTb"/>
            <w:vAlign w:val="center"/>
          </w:tcPr>
          <w:p w:rsidR="00F67BF3" w:rsidRPr="00F53F8E" w:rsidP="00F67BF3">
            <w:pPr>
              <w:spacing w:line="240" w:lineRule="auto"/>
              <w:jc w:val="right"/>
              <w:rPr>
                <w:rFonts w:ascii="Arial Narrow" w:hAnsi="Arial Narrow" w:cs="Times New Roman"/>
                <w:b/>
                <w:bCs/>
              </w:rPr>
            </w:pPr>
            <w:r>
              <w:rPr>
                <w:rFonts w:ascii="Arial Narrow" w:hAnsi="Arial Narrow" w:cs="Times New Roman"/>
                <w:b/>
                <w:bCs/>
              </w:rPr>
              <w:t>42 874 000,00</w:t>
            </w:r>
          </w:p>
        </w:tc>
        <w:tc>
          <w:tcPr>
            <w:tcW w:w="1340" w:type="dxa"/>
            <w:tcBorders>
              <w:top w:val="nil"/>
              <w:left w:val="nil"/>
              <w:bottom w:val="single" w:sz="4" w:space="0" w:color="auto"/>
              <w:right w:val="single" w:sz="8" w:space="0" w:color="auto"/>
              <w:tl2br w:val="nil"/>
              <w:tr2bl w:val="nil"/>
            </w:tcBorders>
            <w:noWrap/>
            <w:textDirection w:val="lrTb"/>
            <w:vAlign w:val="center"/>
          </w:tcPr>
          <w:p w:rsidR="00F67BF3" w:rsidRPr="00F53F8E" w:rsidP="00F67BF3">
            <w:pPr>
              <w:spacing w:line="240" w:lineRule="auto"/>
              <w:jc w:val="right"/>
              <w:rPr>
                <w:rFonts w:ascii="Arial Narrow" w:hAnsi="Arial Narrow" w:cs="Times New Roman"/>
                <w:b/>
                <w:bCs/>
              </w:rPr>
            </w:pPr>
            <w:r w:rsidRPr="00F53F8E">
              <w:rPr>
                <w:rFonts w:ascii="Arial Narrow" w:hAnsi="Arial Narrow" w:cs="Times New Roman"/>
                <w:b/>
                <w:bCs/>
              </w:rPr>
              <w:t> </w:t>
            </w:r>
            <w:r>
              <w:rPr>
                <w:rFonts w:ascii="Arial Narrow" w:hAnsi="Arial Narrow" w:cs="Times New Roman"/>
                <w:b/>
                <w:bCs/>
              </w:rPr>
              <w:t>0,00</w:t>
            </w:r>
          </w:p>
        </w:tc>
        <w:tc>
          <w:tcPr>
            <w:tcW w:w="1224" w:type="dxa"/>
            <w:tcBorders>
              <w:top w:val="nil"/>
              <w:left w:val="nil"/>
              <w:bottom w:val="single" w:sz="4" w:space="0" w:color="auto"/>
              <w:right w:val="single" w:sz="8" w:space="0" w:color="auto"/>
              <w:tl2br w:val="nil"/>
              <w:tr2bl w:val="nil"/>
            </w:tcBorders>
            <w:noWrap/>
            <w:textDirection w:val="lrTb"/>
            <w:vAlign w:val="center"/>
          </w:tcPr>
          <w:p w:rsidR="00F67BF3" w:rsidRPr="00F53F8E" w:rsidP="00F67BF3">
            <w:pPr>
              <w:spacing w:line="240" w:lineRule="auto"/>
              <w:jc w:val="right"/>
              <w:rPr>
                <w:rFonts w:ascii="Arial Narrow" w:hAnsi="Arial Narrow" w:cs="Times New Roman"/>
                <w:b/>
                <w:bCs/>
              </w:rPr>
            </w:pPr>
            <w:r w:rsidRPr="00F53F8E">
              <w:rPr>
                <w:rFonts w:ascii="Arial Narrow" w:hAnsi="Arial Narrow" w:cs="Times New Roman"/>
                <w:b/>
                <w:bCs/>
              </w:rPr>
              <w:t>0,00</w:t>
            </w:r>
          </w:p>
        </w:tc>
        <w:tc>
          <w:tcPr>
            <w:tcW w:w="268" w:type="dxa"/>
            <w:tcBorders>
              <w:top w:val="nil"/>
              <w:left w:val="nil"/>
              <w:bottom w:val="nil"/>
              <w:right w:val="nil"/>
              <w:tl2br w:val="nil"/>
              <w:tr2bl w:val="nil"/>
            </w:tcBorders>
            <w:noWrap/>
            <w:textDirection w:val="lrTb"/>
            <w:vAlign w:val="bottom"/>
          </w:tcPr>
          <w:p w:rsidR="00F67BF3" w:rsidRPr="00F53F8E" w:rsidP="00F67BF3">
            <w:pPr>
              <w:spacing w:line="240" w:lineRule="auto"/>
              <w:rPr>
                <w:rFonts w:ascii="Arial Narrow" w:hAnsi="Arial Narrow" w:cs="Times New Roman"/>
              </w:rPr>
            </w:pPr>
          </w:p>
        </w:tc>
      </w:tr>
      <w:tr>
        <w:tblPrEx>
          <w:tblW w:w="11568" w:type="dxa"/>
          <w:tblInd w:w="-830" w:type="dxa"/>
          <w:tblCellMar>
            <w:left w:w="70" w:type="dxa"/>
            <w:right w:w="70" w:type="dxa"/>
          </w:tblCellMar>
        </w:tblPrEx>
        <w:trPr>
          <w:gridAfter w:val="2"/>
          <w:wAfter w:w="320" w:type="dxa"/>
          <w:trHeight w:val="227"/>
        </w:trPr>
        <w:tc>
          <w:tcPr>
            <w:tcW w:w="3960" w:type="dxa"/>
            <w:gridSpan w:val="2"/>
            <w:tcBorders>
              <w:top w:val="single" w:sz="8" w:space="0" w:color="auto"/>
              <w:left w:val="single" w:sz="8" w:space="0" w:color="auto"/>
              <w:bottom w:val="single" w:sz="8" w:space="0" w:color="auto"/>
              <w:right w:val="single" w:sz="8" w:space="0" w:color="auto"/>
              <w:tl2br w:val="nil"/>
              <w:tr2bl w:val="nil"/>
            </w:tcBorders>
            <w:shd w:val="clear" w:color="auto" w:fill="C0C0C0"/>
            <w:noWrap/>
            <w:textDirection w:val="lrTb"/>
            <w:vAlign w:val="bottom"/>
          </w:tcPr>
          <w:p w:rsidR="00F67BF3" w:rsidRPr="00064378" w:rsidP="00F67BF3">
            <w:pPr>
              <w:spacing w:line="240" w:lineRule="auto"/>
              <w:jc w:val="center"/>
              <w:rPr>
                <w:rFonts w:ascii="Arial Narrow" w:hAnsi="Arial Narrow" w:cs="Times New Roman"/>
                <w:b/>
                <w:bCs/>
              </w:rPr>
            </w:pPr>
            <w:r w:rsidRPr="00064378">
              <w:rPr>
                <w:rFonts w:ascii="Arial Narrow" w:hAnsi="Arial Narrow" w:cs="Times New Roman"/>
                <w:b/>
                <w:bCs/>
              </w:rPr>
              <w:t>Spolu</w:t>
            </w:r>
          </w:p>
        </w:tc>
        <w:tc>
          <w:tcPr>
            <w:tcW w:w="1476" w:type="dxa"/>
            <w:tcBorders>
              <w:top w:val="single" w:sz="8" w:space="0" w:color="auto"/>
              <w:left w:val="nil"/>
              <w:bottom w:val="single" w:sz="8" w:space="0" w:color="auto"/>
              <w:right w:val="single" w:sz="8" w:space="0" w:color="auto"/>
              <w:tl2br w:val="nil"/>
              <w:tr2bl w:val="nil"/>
            </w:tcBorders>
            <w:shd w:val="clear" w:color="auto" w:fill="C0C0C0"/>
            <w:noWrap/>
            <w:textDirection w:val="lrTb"/>
            <w:vAlign w:val="bottom"/>
          </w:tcPr>
          <w:p w:rsidR="00F67BF3" w:rsidRPr="00F53F8E" w:rsidP="00F67BF3">
            <w:pPr>
              <w:spacing w:line="240" w:lineRule="auto"/>
              <w:jc w:val="right"/>
              <w:rPr>
                <w:rFonts w:ascii="Arial Narrow" w:hAnsi="Arial Narrow" w:cs="Times New Roman"/>
                <w:b/>
                <w:bCs/>
              </w:rPr>
            </w:pPr>
            <w:r w:rsidRPr="00F53F8E">
              <w:rPr>
                <w:rFonts w:ascii="Arial Narrow" w:hAnsi="Arial Narrow" w:cs="Times New Roman"/>
                <w:b/>
                <w:bCs/>
              </w:rPr>
              <w:t>5</w:t>
            </w:r>
            <w:r>
              <w:rPr>
                <w:rFonts w:ascii="Arial Narrow" w:hAnsi="Arial Narrow" w:cs="Times New Roman"/>
                <w:b/>
                <w:bCs/>
              </w:rPr>
              <w:t> 305 356</w:t>
            </w:r>
            <w:r w:rsidRPr="00F53F8E">
              <w:rPr>
                <w:rFonts w:ascii="Arial Narrow" w:hAnsi="Arial Narrow" w:cs="Times New Roman"/>
                <w:b/>
                <w:bCs/>
              </w:rPr>
              <w:t xml:space="preserve"> 000,00</w:t>
            </w:r>
          </w:p>
        </w:tc>
        <w:tc>
          <w:tcPr>
            <w:tcW w:w="1440" w:type="dxa"/>
            <w:tcBorders>
              <w:top w:val="single" w:sz="8" w:space="0" w:color="auto"/>
              <w:left w:val="nil"/>
              <w:bottom w:val="single" w:sz="8" w:space="0" w:color="auto"/>
              <w:right w:val="single" w:sz="8" w:space="0" w:color="auto"/>
              <w:tl2br w:val="nil"/>
              <w:tr2bl w:val="nil"/>
            </w:tcBorders>
            <w:shd w:val="clear" w:color="auto" w:fill="C0C0C0"/>
            <w:noWrap/>
            <w:textDirection w:val="lrTb"/>
            <w:vAlign w:val="bottom"/>
          </w:tcPr>
          <w:p w:rsidR="00F67BF3" w:rsidRPr="00F53F8E" w:rsidP="00F67BF3">
            <w:pPr>
              <w:spacing w:line="240" w:lineRule="auto"/>
              <w:jc w:val="right"/>
              <w:rPr>
                <w:rFonts w:ascii="Arial Narrow" w:hAnsi="Arial Narrow" w:cs="Times New Roman"/>
                <w:b/>
                <w:bCs/>
              </w:rPr>
            </w:pPr>
            <w:r>
              <w:rPr>
                <w:rFonts w:ascii="Arial Narrow" w:hAnsi="Arial Narrow" w:cs="Times New Roman"/>
                <w:b/>
                <w:bCs/>
              </w:rPr>
              <w:t>8 584 807 000,00</w:t>
            </w:r>
          </w:p>
        </w:tc>
        <w:tc>
          <w:tcPr>
            <w:tcW w:w="1540" w:type="dxa"/>
            <w:tcBorders>
              <w:top w:val="single" w:sz="8" w:space="0" w:color="auto"/>
              <w:left w:val="nil"/>
              <w:bottom w:val="single" w:sz="8" w:space="0" w:color="auto"/>
              <w:right w:val="single" w:sz="8" w:space="0" w:color="auto"/>
              <w:tl2br w:val="nil"/>
              <w:tr2bl w:val="nil"/>
            </w:tcBorders>
            <w:shd w:val="clear" w:color="auto" w:fill="C0C0C0"/>
            <w:noWrap/>
            <w:textDirection w:val="lrTb"/>
            <w:vAlign w:val="bottom"/>
          </w:tcPr>
          <w:p w:rsidR="00F67BF3" w:rsidRPr="00F53F8E" w:rsidP="00F67BF3">
            <w:pPr>
              <w:spacing w:line="240" w:lineRule="auto"/>
              <w:jc w:val="right"/>
              <w:rPr>
                <w:rFonts w:ascii="Arial Narrow" w:hAnsi="Arial Narrow" w:cs="Times New Roman"/>
                <w:b/>
                <w:bCs/>
              </w:rPr>
            </w:pPr>
            <w:r>
              <w:rPr>
                <w:rFonts w:ascii="Arial Narrow" w:hAnsi="Arial Narrow" w:cs="Times New Roman"/>
                <w:b/>
                <w:bCs/>
              </w:rPr>
              <w:t>7 606 505 211,84</w:t>
            </w:r>
          </w:p>
        </w:tc>
        <w:tc>
          <w:tcPr>
            <w:tcW w:w="1340" w:type="dxa"/>
            <w:tcBorders>
              <w:top w:val="single" w:sz="8" w:space="0" w:color="auto"/>
              <w:left w:val="nil"/>
              <w:bottom w:val="single" w:sz="8" w:space="0" w:color="auto"/>
              <w:right w:val="single" w:sz="8" w:space="0" w:color="auto"/>
              <w:tl2br w:val="nil"/>
              <w:tr2bl w:val="nil"/>
            </w:tcBorders>
            <w:shd w:val="clear" w:color="auto" w:fill="C0C0C0"/>
            <w:noWrap/>
            <w:textDirection w:val="lrTb"/>
            <w:vAlign w:val="bottom"/>
          </w:tcPr>
          <w:p w:rsidR="00F67BF3" w:rsidRPr="00F53F8E" w:rsidP="00F67BF3">
            <w:pPr>
              <w:spacing w:line="240" w:lineRule="auto"/>
              <w:jc w:val="right"/>
              <w:rPr>
                <w:rFonts w:ascii="Arial Narrow" w:hAnsi="Arial Narrow" w:cs="Times New Roman"/>
                <w:b/>
                <w:bCs/>
              </w:rPr>
            </w:pPr>
            <w:r>
              <w:rPr>
                <w:rFonts w:ascii="Arial Narrow" w:hAnsi="Arial Narrow" w:cs="Times New Roman"/>
                <w:b/>
                <w:bCs/>
              </w:rPr>
              <w:t>974 481 078,41</w:t>
            </w:r>
          </w:p>
        </w:tc>
        <w:tc>
          <w:tcPr>
            <w:tcW w:w="1224" w:type="dxa"/>
            <w:tcBorders>
              <w:top w:val="single" w:sz="8" w:space="0" w:color="auto"/>
              <w:left w:val="nil"/>
              <w:bottom w:val="single" w:sz="8" w:space="0" w:color="auto"/>
              <w:right w:val="single" w:sz="8" w:space="0" w:color="auto"/>
              <w:tl2br w:val="nil"/>
              <w:tr2bl w:val="nil"/>
            </w:tcBorders>
            <w:shd w:val="clear" w:color="auto" w:fill="C0C0C0"/>
            <w:noWrap/>
            <w:textDirection w:val="lrTb"/>
            <w:vAlign w:val="bottom"/>
          </w:tcPr>
          <w:p w:rsidR="00F67BF3" w:rsidRPr="00F53F8E" w:rsidP="00F67BF3">
            <w:pPr>
              <w:spacing w:line="240" w:lineRule="auto"/>
              <w:jc w:val="right"/>
              <w:rPr>
                <w:rFonts w:ascii="Arial Narrow" w:hAnsi="Arial Narrow" w:cs="Times New Roman"/>
                <w:b/>
                <w:bCs/>
              </w:rPr>
            </w:pPr>
            <w:r>
              <w:rPr>
                <w:rFonts w:ascii="Arial Narrow" w:hAnsi="Arial Narrow" w:cs="Times New Roman"/>
                <w:b/>
                <w:bCs/>
              </w:rPr>
              <w:t>3 820 709,75</w:t>
            </w:r>
          </w:p>
        </w:tc>
        <w:tc>
          <w:tcPr>
            <w:tcW w:w="268" w:type="dxa"/>
            <w:tcBorders>
              <w:top w:val="nil"/>
              <w:left w:val="nil"/>
              <w:bottom w:val="nil"/>
              <w:right w:val="nil"/>
              <w:tl2br w:val="nil"/>
              <w:tr2bl w:val="nil"/>
            </w:tcBorders>
            <w:noWrap/>
            <w:textDirection w:val="lrTb"/>
            <w:vAlign w:val="bottom"/>
          </w:tcPr>
          <w:p w:rsidR="00F67BF3" w:rsidRPr="00F53F8E" w:rsidP="00F67BF3">
            <w:pPr>
              <w:spacing w:line="240" w:lineRule="auto"/>
              <w:rPr>
                <w:rFonts w:ascii="Arial Narrow" w:hAnsi="Arial Narrow" w:cs="Times New Roman"/>
              </w:rPr>
            </w:pPr>
          </w:p>
        </w:tc>
      </w:tr>
      <w:tr>
        <w:tblPrEx>
          <w:tblW w:w="11568" w:type="dxa"/>
          <w:tblInd w:w="-830" w:type="dxa"/>
          <w:tblCellMar>
            <w:left w:w="70" w:type="dxa"/>
            <w:right w:w="70" w:type="dxa"/>
          </w:tblCellMar>
        </w:tblPrEx>
        <w:trPr>
          <w:gridAfter w:val="2"/>
          <w:wAfter w:w="320" w:type="dxa"/>
          <w:trHeight w:val="227"/>
        </w:trPr>
        <w:tc>
          <w:tcPr>
            <w:tcW w:w="660" w:type="dxa"/>
            <w:tcBorders>
              <w:top w:val="nil"/>
              <w:left w:val="single" w:sz="8" w:space="0" w:color="auto"/>
              <w:bottom w:val="single" w:sz="4" w:space="0" w:color="auto"/>
              <w:right w:val="single" w:sz="4" w:space="0" w:color="auto"/>
              <w:tl2br w:val="nil"/>
              <w:tr2bl w:val="nil"/>
            </w:tcBorders>
            <w:noWrap/>
            <w:textDirection w:val="lrTb"/>
            <w:vAlign w:val="center"/>
          </w:tcPr>
          <w:p w:rsidR="00F67BF3" w:rsidRPr="00064378" w:rsidP="00F67BF3">
            <w:pPr>
              <w:spacing w:line="240" w:lineRule="auto"/>
              <w:jc w:val="right"/>
              <w:rPr>
                <w:rFonts w:ascii="Arial Narrow" w:hAnsi="Arial Narrow" w:cs="Times New Roman"/>
                <w:color w:val="FF0000"/>
              </w:rPr>
            </w:pPr>
            <w:r w:rsidRPr="00064378">
              <w:rPr>
                <w:rFonts w:ascii="Arial Narrow" w:hAnsi="Arial Narrow" w:cs="Times New Roman"/>
                <w:color w:val="FF0000"/>
              </w:rPr>
              <w:t> </w:t>
            </w:r>
          </w:p>
        </w:tc>
        <w:tc>
          <w:tcPr>
            <w:tcW w:w="3300" w:type="dxa"/>
            <w:tcBorders>
              <w:top w:val="nil"/>
              <w:left w:val="nil"/>
              <w:bottom w:val="single" w:sz="4" w:space="0" w:color="auto"/>
              <w:right w:val="single" w:sz="4" w:space="0" w:color="auto"/>
              <w:tl2br w:val="nil"/>
              <w:tr2bl w:val="nil"/>
            </w:tcBorders>
            <w:noWrap/>
            <w:textDirection w:val="lrTb"/>
            <w:vAlign w:val="center"/>
          </w:tcPr>
          <w:p w:rsidR="00F67BF3" w:rsidRPr="00064378" w:rsidP="00F67BF3">
            <w:pPr>
              <w:spacing w:line="240" w:lineRule="auto"/>
              <w:rPr>
                <w:rFonts w:ascii="Arial Narrow" w:hAnsi="Arial Narrow" w:cs="Times New Roman"/>
                <w:b/>
                <w:bCs/>
                <w:color w:val="FF0000"/>
              </w:rPr>
            </w:pPr>
            <w:r w:rsidRPr="00064378">
              <w:rPr>
                <w:rFonts w:ascii="Arial Narrow" w:hAnsi="Arial Narrow" w:cs="Times New Roman"/>
                <w:b/>
                <w:bCs/>
                <w:color w:val="FF0000"/>
              </w:rPr>
              <w:t>v tom: úvery spolu</w:t>
            </w:r>
          </w:p>
        </w:tc>
        <w:tc>
          <w:tcPr>
            <w:tcW w:w="1476" w:type="dxa"/>
            <w:tcBorders>
              <w:top w:val="nil"/>
              <w:left w:val="nil"/>
              <w:bottom w:val="single" w:sz="4" w:space="0" w:color="auto"/>
              <w:right w:val="single" w:sz="4" w:space="0" w:color="auto"/>
              <w:tl2br w:val="nil"/>
              <w:tr2bl w:val="nil"/>
            </w:tcBorders>
            <w:noWrap/>
            <w:textDirection w:val="lrTb"/>
            <w:vAlign w:val="center"/>
          </w:tcPr>
          <w:p w:rsidR="00F67BF3" w:rsidRPr="00F53F8E" w:rsidP="00F67BF3">
            <w:pPr>
              <w:spacing w:line="240" w:lineRule="auto"/>
              <w:jc w:val="right"/>
              <w:rPr>
                <w:rFonts w:ascii="Arial Narrow" w:hAnsi="Arial Narrow" w:cs="Times New Roman"/>
                <w:b/>
                <w:bCs/>
                <w:color w:val="FF0000"/>
              </w:rPr>
            </w:pPr>
            <w:r>
              <w:rPr>
                <w:rFonts w:ascii="Arial Narrow" w:hAnsi="Arial Narrow" w:cs="Times New Roman"/>
                <w:b/>
                <w:bCs/>
                <w:color w:val="FF0000"/>
              </w:rPr>
              <w:t>2 034 000 000,00</w:t>
            </w:r>
          </w:p>
        </w:tc>
        <w:tc>
          <w:tcPr>
            <w:tcW w:w="1440" w:type="dxa"/>
            <w:tcBorders>
              <w:top w:val="nil"/>
              <w:left w:val="nil"/>
              <w:bottom w:val="single" w:sz="4" w:space="0" w:color="auto"/>
              <w:right w:val="single" w:sz="4" w:space="0" w:color="auto"/>
              <w:tl2br w:val="nil"/>
              <w:tr2bl w:val="nil"/>
            </w:tcBorders>
            <w:noWrap/>
            <w:textDirection w:val="lrTb"/>
            <w:vAlign w:val="center"/>
          </w:tcPr>
          <w:p w:rsidR="00F67BF3" w:rsidRPr="00F53F8E" w:rsidP="00F67BF3">
            <w:pPr>
              <w:spacing w:line="240" w:lineRule="auto"/>
              <w:jc w:val="right"/>
              <w:rPr>
                <w:rFonts w:ascii="Arial Narrow" w:hAnsi="Arial Narrow" w:cs="Times New Roman"/>
                <w:b/>
                <w:bCs/>
                <w:color w:val="FF0000"/>
              </w:rPr>
            </w:pPr>
            <w:r>
              <w:rPr>
                <w:rFonts w:ascii="Arial Narrow" w:hAnsi="Arial Narrow" w:cs="Times New Roman"/>
                <w:b/>
                <w:bCs/>
                <w:color w:val="FF0000"/>
              </w:rPr>
              <w:t>2 404 451 000,00</w:t>
            </w:r>
          </w:p>
        </w:tc>
        <w:tc>
          <w:tcPr>
            <w:tcW w:w="1540" w:type="dxa"/>
            <w:tcBorders>
              <w:top w:val="nil"/>
              <w:left w:val="nil"/>
              <w:bottom w:val="single" w:sz="4" w:space="0" w:color="auto"/>
              <w:right w:val="single" w:sz="4" w:space="0" w:color="auto"/>
              <w:tl2br w:val="nil"/>
              <w:tr2bl w:val="nil"/>
            </w:tcBorders>
            <w:noWrap/>
            <w:textDirection w:val="lrTb"/>
            <w:vAlign w:val="center"/>
          </w:tcPr>
          <w:p w:rsidR="00F67BF3" w:rsidRPr="00F53F8E" w:rsidP="00F67BF3">
            <w:pPr>
              <w:spacing w:line="240" w:lineRule="auto"/>
              <w:jc w:val="right"/>
              <w:rPr>
                <w:rFonts w:ascii="Arial Narrow" w:hAnsi="Arial Narrow" w:cs="Times New Roman"/>
                <w:b/>
                <w:bCs/>
                <w:color w:val="FF0000"/>
              </w:rPr>
            </w:pPr>
            <w:r>
              <w:rPr>
                <w:rFonts w:ascii="Arial Narrow" w:hAnsi="Arial Narrow" w:cs="Times New Roman"/>
                <w:b/>
                <w:bCs/>
                <w:color w:val="FF0000"/>
              </w:rPr>
              <w:t>1 483 </w:t>
            </w:r>
            <w:r>
              <w:rPr>
                <w:rFonts w:ascii="Arial Narrow" w:hAnsi="Arial Narrow" w:cs="Times New Roman"/>
                <w:b/>
                <w:bCs/>
                <w:color w:val="FF0000"/>
              </w:rPr>
              <w:t>150 092,42</w:t>
            </w:r>
          </w:p>
        </w:tc>
        <w:tc>
          <w:tcPr>
            <w:tcW w:w="1340" w:type="dxa"/>
            <w:tcBorders>
              <w:top w:val="nil"/>
              <w:left w:val="nil"/>
              <w:bottom w:val="single" w:sz="4" w:space="0" w:color="auto"/>
              <w:right w:val="single" w:sz="4" w:space="0" w:color="auto"/>
              <w:tl2br w:val="nil"/>
              <w:tr2bl w:val="nil"/>
            </w:tcBorders>
            <w:noWrap/>
            <w:textDirection w:val="lrTb"/>
            <w:vAlign w:val="center"/>
          </w:tcPr>
          <w:p w:rsidR="00F67BF3" w:rsidRPr="00F53F8E" w:rsidP="00F67BF3">
            <w:pPr>
              <w:spacing w:line="240" w:lineRule="auto"/>
              <w:jc w:val="right"/>
              <w:rPr>
                <w:rFonts w:ascii="Arial Narrow" w:hAnsi="Arial Narrow" w:cs="Times New Roman"/>
                <w:b/>
                <w:bCs/>
                <w:color w:val="FF0000"/>
              </w:rPr>
            </w:pPr>
            <w:r>
              <w:rPr>
                <w:rFonts w:ascii="Arial Narrow" w:hAnsi="Arial Narrow" w:cs="Times New Roman"/>
                <w:b/>
                <w:bCs/>
                <w:color w:val="FF0000"/>
              </w:rPr>
              <w:t>917 481 078,41</w:t>
            </w:r>
          </w:p>
        </w:tc>
        <w:tc>
          <w:tcPr>
            <w:tcW w:w="1224" w:type="dxa"/>
            <w:tcBorders>
              <w:top w:val="nil"/>
              <w:left w:val="nil"/>
              <w:bottom w:val="single" w:sz="4" w:space="0" w:color="auto"/>
              <w:right w:val="single" w:sz="8" w:space="0" w:color="auto"/>
              <w:tl2br w:val="nil"/>
              <w:tr2bl w:val="nil"/>
            </w:tcBorders>
            <w:noWrap/>
            <w:textDirection w:val="lrTb"/>
            <w:vAlign w:val="center"/>
          </w:tcPr>
          <w:p w:rsidR="00F67BF3" w:rsidRPr="00F53F8E" w:rsidP="00F67BF3">
            <w:pPr>
              <w:spacing w:line="240" w:lineRule="auto"/>
              <w:jc w:val="right"/>
              <w:rPr>
                <w:rFonts w:ascii="Arial Narrow" w:hAnsi="Arial Narrow" w:cs="Times New Roman"/>
                <w:b/>
                <w:bCs/>
                <w:color w:val="FF0000"/>
              </w:rPr>
            </w:pPr>
            <w:r>
              <w:rPr>
                <w:rFonts w:ascii="Arial Narrow" w:hAnsi="Arial Narrow" w:cs="Times New Roman"/>
                <w:b/>
                <w:bCs/>
                <w:color w:val="FF0000"/>
              </w:rPr>
              <w:t>3 819 829,17</w:t>
            </w:r>
          </w:p>
        </w:tc>
        <w:tc>
          <w:tcPr>
            <w:tcW w:w="268" w:type="dxa"/>
            <w:tcBorders>
              <w:top w:val="nil"/>
              <w:left w:val="nil"/>
              <w:bottom w:val="nil"/>
              <w:right w:val="nil"/>
              <w:tl2br w:val="nil"/>
              <w:tr2bl w:val="nil"/>
            </w:tcBorders>
            <w:noWrap/>
            <w:textDirection w:val="lrTb"/>
            <w:vAlign w:val="center"/>
          </w:tcPr>
          <w:p w:rsidR="00F67BF3" w:rsidRPr="00F53F8E" w:rsidP="00F67BF3">
            <w:pPr>
              <w:spacing w:line="240" w:lineRule="auto"/>
              <w:rPr>
                <w:rFonts w:ascii="Arial Narrow" w:hAnsi="Arial Narrow" w:cs="Times New Roman"/>
              </w:rPr>
            </w:pPr>
          </w:p>
        </w:tc>
      </w:tr>
      <w:tr>
        <w:tblPrEx>
          <w:tblW w:w="11568" w:type="dxa"/>
          <w:tblInd w:w="-830" w:type="dxa"/>
          <w:tblCellMar>
            <w:left w:w="70" w:type="dxa"/>
            <w:right w:w="70" w:type="dxa"/>
          </w:tblCellMar>
        </w:tblPrEx>
        <w:trPr>
          <w:gridAfter w:val="2"/>
          <w:wAfter w:w="320" w:type="dxa"/>
          <w:trHeight w:val="227"/>
        </w:trPr>
        <w:tc>
          <w:tcPr>
            <w:tcW w:w="660" w:type="dxa"/>
            <w:tcBorders>
              <w:top w:val="nil"/>
              <w:left w:val="single" w:sz="8" w:space="0" w:color="auto"/>
              <w:bottom w:val="single" w:sz="4" w:space="0" w:color="auto"/>
              <w:right w:val="single" w:sz="4" w:space="0" w:color="auto"/>
              <w:tl2br w:val="nil"/>
              <w:tr2bl w:val="nil"/>
            </w:tcBorders>
            <w:noWrap/>
            <w:textDirection w:val="lrTb"/>
            <w:vAlign w:val="center"/>
          </w:tcPr>
          <w:p w:rsidR="00F67BF3" w:rsidRPr="00064378" w:rsidP="00F67BF3">
            <w:pPr>
              <w:spacing w:line="240" w:lineRule="auto"/>
              <w:jc w:val="right"/>
              <w:rPr>
                <w:rFonts w:ascii="Arial Narrow" w:hAnsi="Arial Narrow" w:cs="Times New Roman"/>
                <w:color w:val="FF0000"/>
              </w:rPr>
            </w:pPr>
            <w:r w:rsidRPr="00064378">
              <w:rPr>
                <w:rFonts w:ascii="Arial Narrow" w:hAnsi="Arial Narrow" w:cs="Times New Roman"/>
                <w:color w:val="FF0000"/>
              </w:rPr>
              <w:t> </w:t>
            </w:r>
          </w:p>
        </w:tc>
        <w:tc>
          <w:tcPr>
            <w:tcW w:w="3300" w:type="dxa"/>
            <w:tcBorders>
              <w:top w:val="nil"/>
              <w:left w:val="nil"/>
              <w:bottom w:val="single" w:sz="4" w:space="0" w:color="auto"/>
              <w:right w:val="single" w:sz="4" w:space="0" w:color="auto"/>
              <w:tl2br w:val="nil"/>
              <w:tr2bl w:val="nil"/>
            </w:tcBorders>
            <w:noWrap/>
            <w:textDirection w:val="lrTb"/>
            <w:vAlign w:val="center"/>
          </w:tcPr>
          <w:p w:rsidR="00F67BF3" w:rsidRPr="00064378" w:rsidP="00F67BF3">
            <w:pPr>
              <w:spacing w:line="240" w:lineRule="auto"/>
              <w:rPr>
                <w:rFonts w:ascii="Arial Narrow" w:hAnsi="Arial Narrow" w:cs="Times New Roman"/>
                <w:b/>
                <w:bCs/>
                <w:color w:val="FF0000"/>
              </w:rPr>
            </w:pPr>
            <w:r w:rsidRPr="00064378">
              <w:rPr>
                <w:rFonts w:ascii="Arial Narrow" w:hAnsi="Arial Narrow" w:cs="Times New Roman"/>
                <w:b/>
                <w:bCs/>
                <w:color w:val="FF0000"/>
              </w:rPr>
              <w:t xml:space="preserve"> - úver EIB</w:t>
            </w:r>
          </w:p>
        </w:tc>
        <w:tc>
          <w:tcPr>
            <w:tcW w:w="1476" w:type="dxa"/>
            <w:tcBorders>
              <w:top w:val="nil"/>
              <w:left w:val="nil"/>
              <w:bottom w:val="single" w:sz="4" w:space="0" w:color="auto"/>
              <w:right w:val="single" w:sz="4" w:space="0" w:color="auto"/>
              <w:tl2br w:val="nil"/>
              <w:tr2bl w:val="nil"/>
            </w:tcBorders>
            <w:noWrap/>
            <w:textDirection w:val="lrTb"/>
            <w:vAlign w:val="center"/>
          </w:tcPr>
          <w:p w:rsidR="00F67BF3" w:rsidRPr="00F53F8E" w:rsidP="00F67BF3">
            <w:pPr>
              <w:spacing w:line="240" w:lineRule="auto"/>
              <w:jc w:val="right"/>
              <w:rPr>
                <w:rFonts w:ascii="Arial Narrow" w:hAnsi="Arial Narrow" w:cs="Times New Roman"/>
                <w:b/>
                <w:bCs/>
                <w:color w:val="FF0000"/>
              </w:rPr>
            </w:pPr>
            <w:r>
              <w:rPr>
                <w:rFonts w:ascii="Arial Narrow" w:hAnsi="Arial Narrow" w:cs="Times New Roman"/>
                <w:b/>
                <w:bCs/>
                <w:color w:val="FF0000"/>
              </w:rPr>
              <w:t>1 750 000 000,00</w:t>
            </w:r>
          </w:p>
        </w:tc>
        <w:tc>
          <w:tcPr>
            <w:tcW w:w="1440" w:type="dxa"/>
            <w:tcBorders>
              <w:top w:val="nil"/>
              <w:left w:val="nil"/>
              <w:bottom w:val="single" w:sz="4" w:space="0" w:color="auto"/>
              <w:right w:val="single" w:sz="4" w:space="0" w:color="auto"/>
              <w:tl2br w:val="nil"/>
              <w:tr2bl w:val="nil"/>
            </w:tcBorders>
            <w:noWrap/>
            <w:textDirection w:val="lrTb"/>
            <w:vAlign w:val="center"/>
          </w:tcPr>
          <w:p w:rsidR="00F67BF3" w:rsidRPr="00F53F8E" w:rsidP="00F67BF3">
            <w:pPr>
              <w:spacing w:line="240" w:lineRule="auto"/>
              <w:jc w:val="right"/>
              <w:rPr>
                <w:rFonts w:ascii="Arial Narrow" w:hAnsi="Arial Narrow" w:cs="Times New Roman"/>
                <w:b/>
                <w:bCs/>
                <w:color w:val="FF0000"/>
              </w:rPr>
            </w:pPr>
            <w:r>
              <w:rPr>
                <w:rFonts w:ascii="Arial Narrow" w:hAnsi="Arial Narrow" w:cs="Times New Roman"/>
                <w:b/>
                <w:bCs/>
                <w:color w:val="FF0000"/>
              </w:rPr>
              <w:t>1 731 000</w:t>
            </w:r>
            <w:r w:rsidRPr="00F53F8E">
              <w:rPr>
                <w:rFonts w:ascii="Arial Narrow" w:hAnsi="Arial Narrow" w:cs="Times New Roman"/>
                <w:b/>
                <w:bCs/>
                <w:color w:val="FF0000"/>
              </w:rPr>
              <w:t xml:space="preserve"> 000,00</w:t>
            </w:r>
          </w:p>
        </w:tc>
        <w:tc>
          <w:tcPr>
            <w:tcW w:w="1540" w:type="dxa"/>
            <w:tcBorders>
              <w:top w:val="nil"/>
              <w:left w:val="nil"/>
              <w:bottom w:val="single" w:sz="4" w:space="0" w:color="auto"/>
              <w:right w:val="single" w:sz="4" w:space="0" w:color="auto"/>
              <w:tl2br w:val="nil"/>
              <w:tr2bl w:val="nil"/>
            </w:tcBorders>
            <w:noWrap/>
            <w:textDirection w:val="lrTb"/>
            <w:vAlign w:val="center"/>
          </w:tcPr>
          <w:p w:rsidR="00F67BF3" w:rsidRPr="00F53F8E" w:rsidP="00F67BF3">
            <w:pPr>
              <w:spacing w:line="240" w:lineRule="auto"/>
              <w:jc w:val="right"/>
              <w:rPr>
                <w:rFonts w:ascii="Arial Narrow" w:hAnsi="Arial Narrow" w:cs="Times New Roman"/>
                <w:b/>
                <w:bCs/>
                <w:color w:val="FF0000"/>
              </w:rPr>
            </w:pPr>
            <w:r>
              <w:rPr>
                <w:rFonts w:ascii="Arial Narrow" w:hAnsi="Arial Narrow" w:cs="Times New Roman"/>
                <w:b/>
                <w:bCs/>
                <w:color w:val="FF0000"/>
              </w:rPr>
              <w:t>1 002 174 854,60</w:t>
            </w:r>
          </w:p>
        </w:tc>
        <w:tc>
          <w:tcPr>
            <w:tcW w:w="1340" w:type="dxa"/>
            <w:tcBorders>
              <w:top w:val="nil"/>
              <w:left w:val="nil"/>
              <w:bottom w:val="single" w:sz="4" w:space="0" w:color="auto"/>
              <w:right w:val="single" w:sz="4" w:space="0" w:color="auto"/>
              <w:tl2br w:val="nil"/>
              <w:tr2bl w:val="nil"/>
            </w:tcBorders>
            <w:noWrap/>
            <w:textDirection w:val="lrTb"/>
            <w:vAlign w:val="center"/>
          </w:tcPr>
          <w:p w:rsidR="00F67BF3" w:rsidRPr="00F53F8E" w:rsidP="00F67BF3">
            <w:pPr>
              <w:spacing w:line="240" w:lineRule="auto"/>
              <w:jc w:val="right"/>
              <w:rPr>
                <w:rFonts w:ascii="Arial Narrow" w:hAnsi="Arial Narrow" w:cs="Times New Roman"/>
                <w:b/>
                <w:bCs/>
                <w:color w:val="FF0000"/>
              </w:rPr>
            </w:pPr>
            <w:r>
              <w:rPr>
                <w:rFonts w:ascii="Arial Narrow" w:hAnsi="Arial Narrow" w:cs="Times New Roman"/>
                <w:b/>
                <w:bCs/>
                <w:color w:val="FF0000"/>
              </w:rPr>
              <w:t>728</w:t>
            </w:r>
            <w:r w:rsidRPr="00F53F8E">
              <w:rPr>
                <w:rFonts w:ascii="Arial Narrow" w:hAnsi="Arial Narrow" w:cs="Times New Roman"/>
                <w:b/>
                <w:bCs/>
                <w:color w:val="FF0000"/>
              </w:rPr>
              <w:t xml:space="preserve"> 000 000,00</w:t>
            </w:r>
          </w:p>
        </w:tc>
        <w:tc>
          <w:tcPr>
            <w:tcW w:w="1224" w:type="dxa"/>
            <w:tcBorders>
              <w:top w:val="nil"/>
              <w:left w:val="nil"/>
              <w:bottom w:val="single" w:sz="4" w:space="0" w:color="auto"/>
              <w:right w:val="single" w:sz="8" w:space="0" w:color="auto"/>
              <w:tl2br w:val="nil"/>
              <w:tr2bl w:val="nil"/>
            </w:tcBorders>
            <w:noWrap/>
            <w:textDirection w:val="lrTb"/>
            <w:vAlign w:val="center"/>
          </w:tcPr>
          <w:p w:rsidR="00F67BF3" w:rsidRPr="00F53F8E" w:rsidP="00F67BF3">
            <w:pPr>
              <w:spacing w:line="240" w:lineRule="auto"/>
              <w:jc w:val="right"/>
              <w:rPr>
                <w:rFonts w:ascii="Arial Narrow" w:hAnsi="Arial Narrow" w:cs="Times New Roman"/>
                <w:b/>
                <w:bCs/>
                <w:color w:val="FF0000"/>
              </w:rPr>
            </w:pPr>
            <w:r>
              <w:rPr>
                <w:rFonts w:ascii="Arial Narrow" w:hAnsi="Arial Narrow" w:cs="Times New Roman"/>
                <w:b/>
                <w:bCs/>
                <w:color w:val="FF0000"/>
              </w:rPr>
              <w:t>825 145,40</w:t>
            </w:r>
          </w:p>
        </w:tc>
        <w:tc>
          <w:tcPr>
            <w:tcW w:w="268" w:type="dxa"/>
            <w:tcBorders>
              <w:top w:val="nil"/>
              <w:left w:val="nil"/>
              <w:bottom w:val="nil"/>
              <w:right w:val="nil"/>
              <w:tl2br w:val="nil"/>
              <w:tr2bl w:val="nil"/>
            </w:tcBorders>
            <w:noWrap/>
            <w:textDirection w:val="lrTb"/>
            <w:vAlign w:val="center"/>
          </w:tcPr>
          <w:p w:rsidR="00F67BF3" w:rsidRPr="00F53F8E" w:rsidP="00F67BF3">
            <w:pPr>
              <w:spacing w:line="240" w:lineRule="auto"/>
              <w:rPr>
                <w:rFonts w:ascii="Arial Narrow" w:hAnsi="Arial Narrow" w:cs="Times New Roman"/>
              </w:rPr>
            </w:pPr>
            <w:r w:rsidRPr="00F53F8E">
              <w:rPr>
                <w:rFonts w:ascii="Arial Narrow" w:hAnsi="Arial Narrow" w:cs="Times New Roman"/>
              </w:rPr>
              <w:t>*</w:t>
            </w:r>
          </w:p>
        </w:tc>
      </w:tr>
      <w:tr>
        <w:tblPrEx>
          <w:tblW w:w="11568" w:type="dxa"/>
          <w:tblInd w:w="-830" w:type="dxa"/>
          <w:tblCellMar>
            <w:left w:w="70" w:type="dxa"/>
            <w:right w:w="70" w:type="dxa"/>
          </w:tblCellMar>
        </w:tblPrEx>
        <w:trPr>
          <w:gridAfter w:val="2"/>
          <w:wAfter w:w="320" w:type="dxa"/>
          <w:trHeight w:val="227"/>
        </w:trPr>
        <w:tc>
          <w:tcPr>
            <w:tcW w:w="660" w:type="dxa"/>
            <w:tcBorders>
              <w:top w:val="nil"/>
              <w:left w:val="single" w:sz="8" w:space="0" w:color="auto"/>
              <w:bottom w:val="single" w:sz="8" w:space="0" w:color="auto"/>
              <w:right w:val="single" w:sz="4" w:space="0" w:color="auto"/>
              <w:tl2br w:val="nil"/>
              <w:tr2bl w:val="nil"/>
            </w:tcBorders>
            <w:noWrap/>
            <w:textDirection w:val="lrTb"/>
            <w:vAlign w:val="center"/>
          </w:tcPr>
          <w:p w:rsidR="00F67BF3" w:rsidRPr="00064378" w:rsidP="00F67BF3">
            <w:pPr>
              <w:spacing w:line="240" w:lineRule="auto"/>
              <w:jc w:val="right"/>
              <w:rPr>
                <w:rFonts w:ascii="Arial Narrow" w:hAnsi="Arial Narrow" w:cs="Times New Roman"/>
                <w:color w:val="FF0000"/>
              </w:rPr>
            </w:pPr>
            <w:r w:rsidRPr="00064378">
              <w:rPr>
                <w:rFonts w:ascii="Arial Narrow" w:hAnsi="Arial Narrow" w:cs="Times New Roman"/>
                <w:color w:val="FF0000"/>
              </w:rPr>
              <w:t> </w:t>
            </w:r>
          </w:p>
        </w:tc>
        <w:tc>
          <w:tcPr>
            <w:tcW w:w="3300" w:type="dxa"/>
            <w:tcBorders>
              <w:top w:val="nil"/>
              <w:left w:val="nil"/>
              <w:bottom w:val="single" w:sz="8" w:space="0" w:color="auto"/>
              <w:right w:val="single" w:sz="4" w:space="0" w:color="auto"/>
              <w:tl2br w:val="nil"/>
              <w:tr2bl w:val="nil"/>
            </w:tcBorders>
            <w:noWrap/>
            <w:textDirection w:val="lrTb"/>
            <w:vAlign w:val="center"/>
          </w:tcPr>
          <w:p w:rsidR="00F67BF3" w:rsidRPr="00064378" w:rsidP="00F67BF3">
            <w:pPr>
              <w:spacing w:line="240" w:lineRule="auto"/>
              <w:rPr>
                <w:rFonts w:ascii="Arial Narrow" w:hAnsi="Arial Narrow" w:cs="Times New Roman"/>
                <w:b/>
                <w:bCs/>
                <w:color w:val="FF0000"/>
              </w:rPr>
            </w:pPr>
            <w:r w:rsidRPr="00064378">
              <w:rPr>
                <w:rFonts w:ascii="Arial Narrow" w:hAnsi="Arial Narrow" w:cs="Times New Roman"/>
                <w:b/>
                <w:bCs/>
                <w:color w:val="FF0000"/>
              </w:rPr>
              <w:t xml:space="preserve"> - úver JBIC</w:t>
            </w:r>
          </w:p>
        </w:tc>
        <w:tc>
          <w:tcPr>
            <w:tcW w:w="1476" w:type="dxa"/>
            <w:tcBorders>
              <w:top w:val="nil"/>
              <w:left w:val="nil"/>
              <w:bottom w:val="single" w:sz="8" w:space="0" w:color="auto"/>
              <w:right w:val="single" w:sz="4" w:space="0" w:color="auto"/>
              <w:tl2br w:val="nil"/>
              <w:tr2bl w:val="nil"/>
            </w:tcBorders>
            <w:noWrap/>
            <w:textDirection w:val="lrTb"/>
            <w:vAlign w:val="center"/>
          </w:tcPr>
          <w:p w:rsidR="00F67BF3" w:rsidRPr="00F53F8E" w:rsidP="00F67BF3">
            <w:pPr>
              <w:spacing w:line="240" w:lineRule="auto"/>
              <w:jc w:val="right"/>
              <w:rPr>
                <w:rFonts w:ascii="Arial Narrow" w:hAnsi="Arial Narrow" w:cs="Times New Roman"/>
                <w:b/>
                <w:bCs/>
                <w:color w:val="FF0000"/>
              </w:rPr>
            </w:pPr>
            <w:r>
              <w:rPr>
                <w:rFonts w:ascii="Arial Narrow" w:hAnsi="Arial Narrow" w:cs="Times New Roman"/>
                <w:b/>
                <w:bCs/>
                <w:color w:val="FF0000"/>
              </w:rPr>
              <w:t>284 000 000,00</w:t>
            </w:r>
          </w:p>
        </w:tc>
        <w:tc>
          <w:tcPr>
            <w:tcW w:w="1440" w:type="dxa"/>
            <w:tcBorders>
              <w:top w:val="nil"/>
              <w:left w:val="nil"/>
              <w:bottom w:val="single" w:sz="8" w:space="0" w:color="auto"/>
              <w:right w:val="single" w:sz="4" w:space="0" w:color="auto"/>
              <w:tl2br w:val="nil"/>
              <w:tr2bl w:val="nil"/>
            </w:tcBorders>
            <w:noWrap/>
            <w:textDirection w:val="lrTb"/>
            <w:vAlign w:val="center"/>
          </w:tcPr>
          <w:p w:rsidR="00F67BF3" w:rsidRPr="00F53F8E" w:rsidP="00F67BF3">
            <w:pPr>
              <w:spacing w:line="240" w:lineRule="auto"/>
              <w:jc w:val="right"/>
              <w:rPr>
                <w:rFonts w:ascii="Arial Narrow" w:hAnsi="Arial Narrow" w:cs="Times New Roman"/>
                <w:b/>
                <w:bCs/>
                <w:color w:val="FF0000"/>
              </w:rPr>
            </w:pPr>
            <w:r>
              <w:rPr>
                <w:rFonts w:ascii="Arial Narrow" w:hAnsi="Arial Narrow" w:cs="Times New Roman"/>
                <w:b/>
                <w:bCs/>
                <w:color w:val="FF0000"/>
              </w:rPr>
              <w:t>673 451</w:t>
            </w:r>
            <w:r w:rsidRPr="00F53F8E">
              <w:rPr>
                <w:rFonts w:ascii="Arial Narrow" w:hAnsi="Arial Narrow" w:cs="Times New Roman"/>
                <w:b/>
                <w:bCs/>
                <w:color w:val="FF0000"/>
              </w:rPr>
              <w:t xml:space="preserve"> 000,00</w:t>
            </w:r>
          </w:p>
        </w:tc>
        <w:tc>
          <w:tcPr>
            <w:tcW w:w="1540" w:type="dxa"/>
            <w:tcBorders>
              <w:top w:val="nil"/>
              <w:left w:val="nil"/>
              <w:bottom w:val="single" w:sz="8" w:space="0" w:color="auto"/>
              <w:right w:val="single" w:sz="4" w:space="0" w:color="auto"/>
              <w:tl2br w:val="nil"/>
              <w:tr2bl w:val="nil"/>
            </w:tcBorders>
            <w:noWrap/>
            <w:textDirection w:val="lrTb"/>
            <w:vAlign w:val="center"/>
          </w:tcPr>
          <w:p w:rsidR="00F67BF3" w:rsidRPr="00F53F8E" w:rsidP="00F67BF3">
            <w:pPr>
              <w:spacing w:line="240" w:lineRule="auto"/>
              <w:jc w:val="right"/>
              <w:rPr>
                <w:rFonts w:ascii="Arial Narrow" w:hAnsi="Arial Narrow" w:cs="Times New Roman"/>
                <w:b/>
                <w:bCs/>
                <w:color w:val="FF0000"/>
              </w:rPr>
            </w:pPr>
            <w:r>
              <w:rPr>
                <w:rFonts w:ascii="Arial Narrow" w:hAnsi="Arial Narrow" w:cs="Times New Roman"/>
                <w:b/>
                <w:bCs/>
                <w:color w:val="FF0000"/>
              </w:rPr>
              <w:t>480 975 237,82</w:t>
            </w:r>
          </w:p>
        </w:tc>
        <w:tc>
          <w:tcPr>
            <w:tcW w:w="1340" w:type="dxa"/>
            <w:tcBorders>
              <w:top w:val="nil"/>
              <w:left w:val="nil"/>
              <w:bottom w:val="single" w:sz="8" w:space="0" w:color="auto"/>
              <w:right w:val="single" w:sz="4" w:space="0" w:color="auto"/>
              <w:tl2br w:val="nil"/>
              <w:tr2bl w:val="nil"/>
            </w:tcBorders>
            <w:noWrap/>
            <w:textDirection w:val="lrTb"/>
            <w:vAlign w:val="center"/>
          </w:tcPr>
          <w:p w:rsidR="00F67BF3" w:rsidRPr="00F53F8E" w:rsidP="00F67BF3">
            <w:pPr>
              <w:spacing w:line="240" w:lineRule="auto"/>
              <w:jc w:val="right"/>
              <w:rPr>
                <w:rFonts w:ascii="Arial Narrow" w:hAnsi="Arial Narrow" w:cs="Times New Roman"/>
                <w:b/>
                <w:bCs/>
                <w:color w:val="FF0000"/>
              </w:rPr>
            </w:pPr>
            <w:r>
              <w:rPr>
                <w:rFonts w:ascii="Arial Narrow" w:hAnsi="Arial Narrow" w:cs="Times New Roman"/>
                <w:b/>
                <w:bCs/>
                <w:color w:val="FF0000"/>
              </w:rPr>
              <w:t>189 481 078,41</w:t>
            </w:r>
          </w:p>
        </w:tc>
        <w:tc>
          <w:tcPr>
            <w:tcW w:w="1224" w:type="dxa"/>
            <w:tcBorders>
              <w:top w:val="nil"/>
              <w:left w:val="nil"/>
              <w:bottom w:val="single" w:sz="8" w:space="0" w:color="auto"/>
              <w:right w:val="single" w:sz="8" w:space="0" w:color="auto"/>
              <w:tl2br w:val="nil"/>
              <w:tr2bl w:val="nil"/>
            </w:tcBorders>
            <w:noWrap/>
            <w:textDirection w:val="lrTb"/>
            <w:vAlign w:val="center"/>
          </w:tcPr>
          <w:p w:rsidR="00F67BF3" w:rsidRPr="00F53F8E" w:rsidP="00F67BF3">
            <w:pPr>
              <w:spacing w:line="240" w:lineRule="auto"/>
              <w:jc w:val="right"/>
              <w:rPr>
                <w:rFonts w:ascii="Arial Narrow" w:hAnsi="Arial Narrow" w:cs="Times New Roman"/>
                <w:b/>
                <w:bCs/>
                <w:color w:val="FF0000"/>
              </w:rPr>
            </w:pPr>
            <w:r>
              <w:rPr>
                <w:rFonts w:ascii="Arial Narrow" w:hAnsi="Arial Narrow" w:cs="Times New Roman"/>
                <w:b/>
                <w:bCs/>
                <w:color w:val="FF0000"/>
              </w:rPr>
              <w:t>2 994 683,77</w:t>
            </w:r>
          </w:p>
        </w:tc>
        <w:tc>
          <w:tcPr>
            <w:tcW w:w="268" w:type="dxa"/>
            <w:tcBorders>
              <w:top w:val="nil"/>
              <w:left w:val="nil"/>
              <w:bottom w:val="nil"/>
              <w:right w:val="nil"/>
              <w:tl2br w:val="nil"/>
              <w:tr2bl w:val="nil"/>
            </w:tcBorders>
            <w:noWrap/>
            <w:textDirection w:val="lrTb"/>
            <w:vAlign w:val="center"/>
          </w:tcPr>
          <w:p w:rsidR="00F67BF3" w:rsidRPr="00F53F8E" w:rsidP="00F67BF3">
            <w:pPr>
              <w:spacing w:line="240" w:lineRule="auto"/>
              <w:rPr>
                <w:rFonts w:ascii="Arial Narrow" w:hAnsi="Arial Narrow" w:cs="Times New Roman"/>
              </w:rPr>
            </w:pPr>
            <w:r w:rsidRPr="00F53F8E">
              <w:rPr>
                <w:rFonts w:ascii="Arial Narrow" w:hAnsi="Arial Narrow" w:cs="Times New Roman"/>
              </w:rPr>
              <w:t>**</w:t>
            </w:r>
          </w:p>
        </w:tc>
      </w:tr>
      <w:tr>
        <w:tblPrEx>
          <w:tblW w:w="11568" w:type="dxa"/>
          <w:tblInd w:w="-830" w:type="dxa"/>
          <w:tblCellMar>
            <w:left w:w="70" w:type="dxa"/>
            <w:right w:w="70" w:type="dxa"/>
          </w:tblCellMar>
        </w:tblPrEx>
        <w:trPr>
          <w:gridAfter w:val="2"/>
          <w:wAfter w:w="320" w:type="dxa"/>
          <w:trHeight w:val="525"/>
        </w:trPr>
        <w:tc>
          <w:tcPr>
            <w:tcW w:w="3960" w:type="dxa"/>
            <w:gridSpan w:val="2"/>
            <w:tcBorders>
              <w:top w:val="single" w:sz="8" w:space="0" w:color="auto"/>
              <w:left w:val="single" w:sz="8" w:space="0" w:color="auto"/>
              <w:bottom w:val="single" w:sz="8" w:space="0" w:color="auto"/>
              <w:right w:val="single" w:sz="8" w:space="0" w:color="000000"/>
              <w:tl2br w:val="nil"/>
              <w:tr2bl w:val="nil"/>
            </w:tcBorders>
            <w:shd w:val="clear" w:color="auto" w:fill="CCFFCC"/>
            <w:noWrap/>
            <w:textDirection w:val="lrTb"/>
            <w:vAlign w:val="center"/>
          </w:tcPr>
          <w:p w:rsidR="00F67BF3" w:rsidRPr="00064378" w:rsidP="00F67BF3">
            <w:pPr>
              <w:spacing w:line="240" w:lineRule="auto"/>
              <w:jc w:val="center"/>
              <w:rPr>
                <w:rFonts w:ascii="Arial Narrow" w:hAnsi="Arial Narrow" w:cs="Times New Roman"/>
                <w:b/>
                <w:bCs/>
              </w:rPr>
            </w:pPr>
            <w:r w:rsidRPr="00064378">
              <w:rPr>
                <w:rFonts w:ascii="Arial Narrow" w:hAnsi="Arial Narrow" w:cs="Times New Roman"/>
                <w:b/>
                <w:bCs/>
              </w:rPr>
              <w:t>Projekty TEN-T</w:t>
            </w:r>
          </w:p>
        </w:tc>
        <w:tc>
          <w:tcPr>
            <w:tcW w:w="1476" w:type="dxa"/>
            <w:tcBorders>
              <w:top w:val="single" w:sz="8" w:space="0" w:color="auto"/>
              <w:left w:val="nil"/>
              <w:bottom w:val="single" w:sz="8" w:space="0" w:color="auto"/>
              <w:right w:val="single" w:sz="8" w:space="0" w:color="auto"/>
              <w:tl2br w:val="nil"/>
              <w:tr2bl w:val="nil"/>
            </w:tcBorders>
            <w:shd w:val="clear" w:color="auto" w:fill="CCFFCC"/>
            <w:textDirection w:val="lrTb"/>
            <w:vAlign w:val="center"/>
          </w:tcPr>
          <w:p w:rsidR="00F67BF3" w:rsidRPr="00064378" w:rsidP="00F67BF3">
            <w:pPr>
              <w:spacing w:line="240" w:lineRule="auto"/>
              <w:jc w:val="center"/>
              <w:rPr>
                <w:rFonts w:ascii="Arial Narrow" w:hAnsi="Arial Narrow" w:cs="Times New Roman"/>
                <w:b/>
                <w:bCs/>
              </w:rPr>
            </w:pPr>
            <w:r w:rsidRPr="00064378">
              <w:rPr>
                <w:rFonts w:ascii="Arial Narrow" w:hAnsi="Arial Narrow" w:cs="Times New Roman"/>
                <w:b/>
                <w:bCs/>
              </w:rPr>
              <w:t>Fin.  prostrie</w:t>
            </w:r>
            <w:r w:rsidRPr="00064378">
              <w:rPr>
                <w:rFonts w:ascii="Arial Narrow" w:hAnsi="Arial Narrow" w:cs="Times New Roman"/>
                <w:b/>
                <w:bCs/>
              </w:rPr>
              <w:t xml:space="preserve">dky na účte </w:t>
            </w:r>
          </w:p>
          <w:p w:rsidR="00F67BF3" w:rsidRPr="00064378" w:rsidP="00F67BF3">
            <w:pPr>
              <w:spacing w:line="240" w:lineRule="auto"/>
              <w:jc w:val="center"/>
              <w:rPr>
                <w:rFonts w:ascii="Arial Narrow" w:hAnsi="Arial Narrow" w:cs="Times New Roman"/>
                <w:b/>
                <w:bCs/>
              </w:rPr>
            </w:pPr>
            <w:r w:rsidRPr="00064378">
              <w:rPr>
                <w:rFonts w:ascii="Arial Narrow" w:hAnsi="Arial Narrow" w:cs="Times New Roman"/>
                <w:b/>
                <w:bCs/>
              </w:rPr>
              <w:t>MDPT SR</w:t>
            </w:r>
          </w:p>
        </w:tc>
        <w:tc>
          <w:tcPr>
            <w:tcW w:w="1440" w:type="dxa"/>
            <w:tcBorders>
              <w:top w:val="single" w:sz="8" w:space="0" w:color="auto"/>
              <w:left w:val="nil"/>
              <w:bottom w:val="single" w:sz="8" w:space="0" w:color="auto"/>
              <w:right w:val="single" w:sz="8" w:space="0" w:color="auto"/>
              <w:tl2br w:val="nil"/>
              <w:tr2bl w:val="nil"/>
            </w:tcBorders>
            <w:shd w:val="clear" w:color="auto" w:fill="CCFFCC"/>
            <w:textDirection w:val="lrTb"/>
            <w:vAlign w:val="center"/>
          </w:tcPr>
          <w:p w:rsidR="00F67BF3" w:rsidRPr="00064378" w:rsidP="00F67BF3">
            <w:pPr>
              <w:spacing w:line="240" w:lineRule="auto"/>
              <w:jc w:val="center"/>
              <w:rPr>
                <w:rFonts w:ascii="Arial Narrow" w:hAnsi="Arial Narrow" w:cs="Times New Roman"/>
                <w:b/>
                <w:bCs/>
              </w:rPr>
            </w:pPr>
          </w:p>
        </w:tc>
        <w:tc>
          <w:tcPr>
            <w:tcW w:w="1540" w:type="dxa"/>
            <w:tcBorders>
              <w:top w:val="single" w:sz="8" w:space="0" w:color="auto"/>
              <w:left w:val="single" w:sz="8" w:space="0" w:color="auto"/>
              <w:bottom w:val="single" w:sz="8" w:space="0" w:color="auto"/>
              <w:right w:val="single" w:sz="8" w:space="0" w:color="auto"/>
              <w:tl2br w:val="nil"/>
              <w:tr2bl w:val="nil"/>
            </w:tcBorders>
            <w:shd w:val="clear" w:color="auto" w:fill="CCFFCC"/>
            <w:noWrap/>
            <w:textDirection w:val="lrTb"/>
            <w:vAlign w:val="center"/>
          </w:tcPr>
          <w:p w:rsidR="00F67BF3" w:rsidRPr="00F53F8E" w:rsidP="00F67BF3">
            <w:pPr>
              <w:spacing w:line="240" w:lineRule="auto"/>
              <w:jc w:val="center"/>
              <w:rPr>
                <w:rFonts w:ascii="Arial Narrow" w:hAnsi="Arial Narrow" w:cs="Times New Roman"/>
                <w:b/>
                <w:bCs/>
              </w:rPr>
            </w:pPr>
            <w:r w:rsidRPr="00F53F8E">
              <w:rPr>
                <w:rFonts w:ascii="Arial Narrow" w:hAnsi="Arial Narrow" w:cs="Times New Roman"/>
                <w:b/>
                <w:bCs/>
              </w:rPr>
              <w:t>Čerpanie spolu</w:t>
            </w:r>
          </w:p>
        </w:tc>
        <w:tc>
          <w:tcPr>
            <w:tcW w:w="1340" w:type="dxa"/>
            <w:tcBorders>
              <w:top w:val="single" w:sz="8" w:space="0" w:color="auto"/>
              <w:left w:val="nil"/>
              <w:bottom w:val="single" w:sz="8" w:space="0" w:color="auto"/>
              <w:right w:val="single" w:sz="8" w:space="0" w:color="auto"/>
              <w:tl2br w:val="nil"/>
              <w:tr2bl w:val="nil"/>
            </w:tcBorders>
            <w:shd w:val="clear" w:color="auto" w:fill="CCFFCC"/>
            <w:noWrap/>
            <w:textDirection w:val="lrTb"/>
            <w:vAlign w:val="center"/>
          </w:tcPr>
          <w:p w:rsidR="00F67BF3" w:rsidRPr="00F53F8E" w:rsidP="00F67BF3">
            <w:pPr>
              <w:spacing w:line="240" w:lineRule="auto"/>
              <w:jc w:val="center"/>
              <w:rPr>
                <w:rFonts w:ascii="Arial Narrow" w:hAnsi="Arial Narrow" w:cs="Times New Roman"/>
                <w:b/>
                <w:bCs/>
              </w:rPr>
            </w:pPr>
            <w:r w:rsidRPr="00F53F8E">
              <w:rPr>
                <w:rFonts w:ascii="Arial Narrow" w:hAnsi="Arial Narrow" w:cs="Times New Roman"/>
                <w:b/>
                <w:bCs/>
              </w:rPr>
              <w:t>Zostatok</w:t>
            </w:r>
          </w:p>
        </w:tc>
        <w:tc>
          <w:tcPr>
            <w:tcW w:w="1224" w:type="dxa"/>
            <w:tcBorders>
              <w:top w:val="nil"/>
              <w:left w:val="nil"/>
              <w:bottom w:val="nil"/>
              <w:right w:val="nil"/>
              <w:tl2br w:val="nil"/>
              <w:tr2bl w:val="nil"/>
            </w:tcBorders>
            <w:noWrap/>
            <w:textDirection w:val="lrTb"/>
            <w:vAlign w:val="bottom"/>
          </w:tcPr>
          <w:p w:rsidR="00F67BF3" w:rsidRPr="00F53F8E" w:rsidP="00F67BF3">
            <w:pPr>
              <w:spacing w:line="240" w:lineRule="auto"/>
              <w:rPr>
                <w:rFonts w:ascii="Arial Narrow" w:hAnsi="Arial Narrow" w:cs="Times New Roman"/>
              </w:rPr>
            </w:pPr>
          </w:p>
        </w:tc>
        <w:tc>
          <w:tcPr>
            <w:tcW w:w="268" w:type="dxa"/>
            <w:tcBorders>
              <w:top w:val="nil"/>
              <w:left w:val="nil"/>
              <w:bottom w:val="nil"/>
              <w:right w:val="nil"/>
              <w:tl2br w:val="nil"/>
              <w:tr2bl w:val="nil"/>
            </w:tcBorders>
            <w:noWrap/>
            <w:textDirection w:val="lrTb"/>
            <w:vAlign w:val="bottom"/>
          </w:tcPr>
          <w:p w:rsidR="00F67BF3" w:rsidRPr="00F53F8E" w:rsidP="00F67BF3">
            <w:pPr>
              <w:spacing w:line="240" w:lineRule="auto"/>
              <w:rPr>
                <w:rFonts w:ascii="Arial Narrow" w:hAnsi="Arial Narrow" w:cs="Times New Roman"/>
              </w:rPr>
            </w:pPr>
          </w:p>
        </w:tc>
      </w:tr>
      <w:tr>
        <w:tblPrEx>
          <w:tblW w:w="11568" w:type="dxa"/>
          <w:tblInd w:w="-830" w:type="dxa"/>
          <w:tblCellMar>
            <w:left w:w="70" w:type="dxa"/>
            <w:right w:w="70" w:type="dxa"/>
          </w:tblCellMar>
        </w:tblPrEx>
        <w:trPr>
          <w:gridAfter w:val="2"/>
          <w:wAfter w:w="320" w:type="dxa"/>
          <w:trHeight w:val="227"/>
        </w:trPr>
        <w:tc>
          <w:tcPr>
            <w:tcW w:w="660" w:type="dxa"/>
            <w:tcBorders>
              <w:top w:val="nil"/>
              <w:left w:val="single" w:sz="8" w:space="0" w:color="auto"/>
              <w:bottom w:val="single" w:sz="4" w:space="0" w:color="auto"/>
              <w:right w:val="nil"/>
              <w:tl2br w:val="nil"/>
              <w:tr2bl w:val="nil"/>
            </w:tcBorders>
            <w:noWrap/>
            <w:textDirection w:val="lrTb"/>
            <w:vAlign w:val="center"/>
          </w:tcPr>
          <w:p w:rsidR="00F67BF3" w:rsidRPr="00064378" w:rsidP="00F67BF3">
            <w:pPr>
              <w:spacing w:line="240" w:lineRule="auto"/>
              <w:jc w:val="right"/>
              <w:rPr>
                <w:rFonts w:ascii="Arial Narrow" w:hAnsi="Arial Narrow" w:cs="Times New Roman"/>
              </w:rPr>
            </w:pPr>
            <w:r w:rsidRPr="00064378">
              <w:rPr>
                <w:rFonts w:ascii="Arial Narrow" w:hAnsi="Arial Narrow" w:cs="Times New Roman"/>
              </w:rPr>
              <w:t>1570</w:t>
            </w:r>
          </w:p>
        </w:tc>
        <w:tc>
          <w:tcPr>
            <w:tcW w:w="3300" w:type="dxa"/>
            <w:tcBorders>
              <w:top w:val="nil"/>
              <w:left w:val="single" w:sz="8" w:space="0" w:color="auto"/>
              <w:bottom w:val="single" w:sz="4" w:space="0" w:color="auto"/>
              <w:right w:val="single" w:sz="8" w:space="0" w:color="auto"/>
              <w:tl2br w:val="nil"/>
              <w:tr2bl w:val="nil"/>
            </w:tcBorders>
            <w:noWrap/>
            <w:textDirection w:val="lrTb"/>
            <w:vAlign w:val="center"/>
          </w:tcPr>
          <w:p w:rsidR="00F67BF3" w:rsidRPr="00064378" w:rsidP="00F67BF3">
            <w:pPr>
              <w:spacing w:line="240" w:lineRule="auto"/>
              <w:rPr>
                <w:rFonts w:ascii="Arial Narrow" w:hAnsi="Arial Narrow" w:cs="Times New Roman"/>
              </w:rPr>
            </w:pPr>
            <w:r w:rsidRPr="00064378">
              <w:rPr>
                <w:rFonts w:ascii="Arial Narrow" w:hAnsi="Arial Narrow" w:cs="Times New Roman"/>
              </w:rPr>
              <w:t xml:space="preserve">D3 Svrčinovec </w:t>
            </w:r>
            <w:r>
              <w:rPr>
                <w:rFonts w:ascii="Arial Narrow" w:hAnsi="Arial Narrow" w:cs="Times New Roman"/>
              </w:rPr>
              <w:t>–</w:t>
            </w:r>
            <w:r w:rsidRPr="00064378">
              <w:rPr>
                <w:rFonts w:ascii="Arial Narrow" w:hAnsi="Arial Narrow" w:cs="Times New Roman"/>
              </w:rPr>
              <w:t xml:space="preserve"> Skalité</w:t>
            </w:r>
          </w:p>
        </w:tc>
        <w:tc>
          <w:tcPr>
            <w:tcW w:w="1476" w:type="dxa"/>
            <w:tcBorders>
              <w:top w:val="nil"/>
              <w:left w:val="nil"/>
              <w:bottom w:val="single" w:sz="4" w:space="0" w:color="auto"/>
              <w:right w:val="nil"/>
              <w:tl2br w:val="nil"/>
              <w:tr2bl w:val="nil"/>
            </w:tcBorders>
            <w:noWrap/>
            <w:textDirection w:val="lrTb"/>
            <w:vAlign w:val="center"/>
          </w:tcPr>
          <w:p w:rsidR="00F67BF3" w:rsidRPr="00F53F8E" w:rsidP="00F67BF3">
            <w:pPr>
              <w:spacing w:line="240" w:lineRule="auto"/>
              <w:jc w:val="right"/>
              <w:rPr>
                <w:rFonts w:ascii="Arial Narrow" w:hAnsi="Arial Narrow" w:cs="Times New Roman"/>
                <w:b/>
                <w:bCs/>
              </w:rPr>
            </w:pPr>
            <w:r>
              <w:rPr>
                <w:rFonts w:ascii="Arial Narrow" w:hAnsi="Arial Narrow" w:cs="Times New Roman"/>
                <w:b/>
                <w:bCs/>
              </w:rPr>
              <w:t>60 961 219,35</w:t>
            </w:r>
          </w:p>
        </w:tc>
        <w:tc>
          <w:tcPr>
            <w:tcW w:w="1440" w:type="dxa"/>
            <w:tcBorders>
              <w:top w:val="nil"/>
              <w:left w:val="single" w:sz="8" w:space="0" w:color="auto"/>
              <w:bottom w:val="single" w:sz="4" w:space="0" w:color="auto"/>
              <w:right w:val="single" w:sz="8" w:space="0" w:color="auto"/>
              <w:tl2br w:val="nil"/>
              <w:tr2bl w:val="nil"/>
            </w:tcBorders>
            <w:noWrap/>
            <w:textDirection w:val="lrTb"/>
            <w:vAlign w:val="center"/>
          </w:tcPr>
          <w:p w:rsidR="00F67BF3" w:rsidRPr="00F53F8E" w:rsidP="00F67BF3">
            <w:pPr>
              <w:spacing w:line="240" w:lineRule="auto"/>
              <w:jc w:val="right"/>
              <w:rPr>
                <w:rFonts w:ascii="Arial Narrow" w:hAnsi="Arial Narrow" w:cs="Times New Roman"/>
                <w:b/>
                <w:bCs/>
              </w:rPr>
            </w:pPr>
          </w:p>
        </w:tc>
        <w:tc>
          <w:tcPr>
            <w:tcW w:w="1540" w:type="dxa"/>
            <w:tcBorders>
              <w:top w:val="nil"/>
              <w:left w:val="single" w:sz="8" w:space="0" w:color="auto"/>
              <w:bottom w:val="single" w:sz="4" w:space="0" w:color="auto"/>
              <w:right w:val="single" w:sz="8" w:space="0" w:color="auto"/>
              <w:tl2br w:val="nil"/>
              <w:tr2bl w:val="nil"/>
            </w:tcBorders>
            <w:noWrap/>
            <w:textDirection w:val="lrTb"/>
            <w:vAlign w:val="center"/>
          </w:tcPr>
          <w:p w:rsidR="00F67BF3" w:rsidRPr="00F53F8E" w:rsidP="00F67BF3">
            <w:pPr>
              <w:spacing w:line="240" w:lineRule="auto"/>
              <w:jc w:val="right"/>
              <w:rPr>
                <w:rFonts w:ascii="Arial Narrow" w:hAnsi="Arial Narrow" w:cs="Times New Roman"/>
                <w:b/>
                <w:bCs/>
              </w:rPr>
            </w:pPr>
            <w:r>
              <w:rPr>
                <w:rFonts w:ascii="Arial Narrow" w:hAnsi="Arial Narrow" w:cs="Times New Roman"/>
                <w:b/>
                <w:bCs/>
              </w:rPr>
              <w:t>50 592 652,17</w:t>
            </w:r>
          </w:p>
        </w:tc>
        <w:tc>
          <w:tcPr>
            <w:tcW w:w="1340" w:type="dxa"/>
            <w:tcBorders>
              <w:top w:val="nil"/>
              <w:left w:val="nil"/>
              <w:bottom w:val="single" w:sz="4" w:space="0" w:color="auto"/>
              <w:right w:val="single" w:sz="8" w:space="0" w:color="auto"/>
              <w:tl2br w:val="nil"/>
              <w:tr2bl w:val="nil"/>
            </w:tcBorders>
            <w:noWrap/>
            <w:textDirection w:val="lrTb"/>
            <w:vAlign w:val="center"/>
          </w:tcPr>
          <w:p w:rsidR="00F67BF3" w:rsidRPr="00F53F8E" w:rsidP="00F67BF3">
            <w:pPr>
              <w:spacing w:line="240" w:lineRule="auto"/>
              <w:jc w:val="right"/>
              <w:rPr>
                <w:rFonts w:ascii="Arial Narrow" w:hAnsi="Arial Narrow" w:cs="Times New Roman"/>
                <w:b/>
                <w:bCs/>
              </w:rPr>
            </w:pPr>
            <w:r>
              <w:rPr>
                <w:rFonts w:ascii="Arial Narrow" w:hAnsi="Arial Narrow" w:cs="Times New Roman"/>
                <w:b/>
                <w:bCs/>
              </w:rPr>
              <w:t>10 368 567,18</w:t>
            </w:r>
          </w:p>
        </w:tc>
        <w:tc>
          <w:tcPr>
            <w:tcW w:w="1224" w:type="dxa"/>
            <w:tcBorders>
              <w:top w:val="nil"/>
              <w:left w:val="nil"/>
              <w:bottom w:val="nil"/>
              <w:right w:val="nil"/>
              <w:tl2br w:val="nil"/>
              <w:tr2bl w:val="nil"/>
            </w:tcBorders>
            <w:noWrap/>
            <w:textDirection w:val="lrTb"/>
            <w:vAlign w:val="center"/>
          </w:tcPr>
          <w:p w:rsidR="00F67BF3" w:rsidRPr="00F53F8E" w:rsidP="00F67BF3">
            <w:pPr>
              <w:spacing w:line="240" w:lineRule="auto"/>
              <w:rPr>
                <w:rFonts w:ascii="Arial Narrow" w:hAnsi="Arial Narrow" w:cs="Times New Roman"/>
              </w:rPr>
            </w:pPr>
          </w:p>
        </w:tc>
        <w:tc>
          <w:tcPr>
            <w:tcW w:w="268" w:type="dxa"/>
            <w:tcBorders>
              <w:top w:val="nil"/>
              <w:left w:val="nil"/>
              <w:bottom w:val="nil"/>
              <w:right w:val="nil"/>
              <w:tl2br w:val="nil"/>
              <w:tr2bl w:val="nil"/>
            </w:tcBorders>
            <w:noWrap/>
            <w:textDirection w:val="lrTb"/>
            <w:vAlign w:val="bottom"/>
          </w:tcPr>
          <w:p w:rsidR="00F67BF3" w:rsidRPr="00F53F8E" w:rsidP="00F67BF3">
            <w:pPr>
              <w:spacing w:line="240" w:lineRule="auto"/>
              <w:rPr>
                <w:rFonts w:ascii="Arial Narrow" w:hAnsi="Arial Narrow" w:cs="Times New Roman"/>
              </w:rPr>
            </w:pPr>
          </w:p>
        </w:tc>
      </w:tr>
      <w:tr>
        <w:tblPrEx>
          <w:tblW w:w="11568" w:type="dxa"/>
          <w:tblInd w:w="-830" w:type="dxa"/>
          <w:tblCellMar>
            <w:left w:w="70" w:type="dxa"/>
            <w:right w:w="70" w:type="dxa"/>
          </w:tblCellMar>
        </w:tblPrEx>
        <w:trPr>
          <w:gridAfter w:val="2"/>
          <w:wAfter w:w="320" w:type="dxa"/>
          <w:trHeight w:val="227"/>
        </w:trPr>
        <w:tc>
          <w:tcPr>
            <w:tcW w:w="660" w:type="dxa"/>
            <w:tcBorders>
              <w:top w:val="nil"/>
              <w:left w:val="single" w:sz="8" w:space="0" w:color="auto"/>
              <w:bottom w:val="single" w:sz="4" w:space="0" w:color="auto"/>
              <w:right w:val="nil"/>
              <w:tl2br w:val="nil"/>
              <w:tr2bl w:val="nil"/>
            </w:tcBorders>
            <w:noWrap/>
            <w:textDirection w:val="lrTb"/>
            <w:vAlign w:val="center"/>
          </w:tcPr>
          <w:p w:rsidR="00F67BF3" w:rsidRPr="00064378" w:rsidP="00F67BF3">
            <w:pPr>
              <w:spacing w:line="240" w:lineRule="auto"/>
              <w:jc w:val="right"/>
              <w:rPr>
                <w:rFonts w:ascii="Arial Narrow" w:hAnsi="Arial Narrow" w:cs="Times New Roman"/>
              </w:rPr>
            </w:pPr>
            <w:r w:rsidRPr="00064378">
              <w:rPr>
                <w:rFonts w:ascii="Arial Narrow" w:hAnsi="Arial Narrow" w:cs="Times New Roman"/>
              </w:rPr>
              <w:t>05683</w:t>
            </w:r>
          </w:p>
        </w:tc>
        <w:tc>
          <w:tcPr>
            <w:tcW w:w="3300" w:type="dxa"/>
            <w:tcBorders>
              <w:top w:val="nil"/>
              <w:left w:val="single" w:sz="8" w:space="0" w:color="auto"/>
              <w:bottom w:val="single" w:sz="4" w:space="0" w:color="auto"/>
              <w:right w:val="single" w:sz="8" w:space="0" w:color="auto"/>
              <w:tl2br w:val="nil"/>
              <w:tr2bl w:val="nil"/>
            </w:tcBorders>
            <w:noWrap/>
            <w:textDirection w:val="lrTb"/>
            <w:vAlign w:val="center"/>
          </w:tcPr>
          <w:p w:rsidR="00F67BF3" w:rsidRPr="00064378" w:rsidP="00F67BF3">
            <w:pPr>
              <w:spacing w:line="240" w:lineRule="auto"/>
              <w:rPr>
                <w:rFonts w:ascii="Arial Narrow" w:hAnsi="Arial Narrow" w:cs="Times New Roman"/>
              </w:rPr>
            </w:pPr>
            <w:r w:rsidRPr="00064378">
              <w:rPr>
                <w:rFonts w:ascii="Arial Narrow" w:hAnsi="Arial Narrow" w:cs="Times New Roman"/>
              </w:rPr>
              <w:t xml:space="preserve">D1 Turany </w:t>
            </w:r>
            <w:r>
              <w:rPr>
                <w:rFonts w:ascii="Arial Narrow" w:hAnsi="Arial Narrow" w:cs="Times New Roman"/>
              </w:rPr>
              <w:t>–</w:t>
            </w:r>
            <w:r w:rsidRPr="00064378">
              <w:rPr>
                <w:rFonts w:ascii="Arial Narrow" w:hAnsi="Arial Narrow" w:cs="Times New Roman"/>
              </w:rPr>
              <w:t xml:space="preserve"> Hubová</w:t>
            </w:r>
          </w:p>
        </w:tc>
        <w:tc>
          <w:tcPr>
            <w:tcW w:w="1476" w:type="dxa"/>
            <w:tcBorders>
              <w:top w:val="nil"/>
              <w:left w:val="nil"/>
              <w:bottom w:val="single" w:sz="4" w:space="0" w:color="auto"/>
              <w:right w:val="nil"/>
              <w:tl2br w:val="nil"/>
              <w:tr2bl w:val="nil"/>
            </w:tcBorders>
            <w:noWrap/>
            <w:textDirection w:val="lrTb"/>
            <w:vAlign w:val="center"/>
          </w:tcPr>
          <w:p w:rsidR="00F67BF3" w:rsidRPr="00F53F8E" w:rsidP="00F67BF3">
            <w:pPr>
              <w:spacing w:line="240" w:lineRule="auto"/>
              <w:jc w:val="right"/>
              <w:rPr>
                <w:rFonts w:ascii="Arial Narrow" w:hAnsi="Arial Narrow" w:cs="Times New Roman"/>
                <w:b/>
                <w:bCs/>
              </w:rPr>
            </w:pPr>
            <w:r w:rsidRPr="00F53F8E">
              <w:rPr>
                <w:rFonts w:ascii="Arial Narrow" w:hAnsi="Arial Narrow" w:cs="Times New Roman"/>
                <w:b/>
                <w:bCs/>
              </w:rPr>
              <w:t>105 942 655,00</w:t>
            </w:r>
          </w:p>
        </w:tc>
        <w:tc>
          <w:tcPr>
            <w:tcW w:w="1440" w:type="dxa"/>
            <w:tcBorders>
              <w:top w:val="nil"/>
              <w:left w:val="single" w:sz="8" w:space="0" w:color="auto"/>
              <w:bottom w:val="single" w:sz="4" w:space="0" w:color="auto"/>
              <w:right w:val="single" w:sz="8" w:space="0" w:color="auto"/>
              <w:tl2br w:val="nil"/>
              <w:tr2bl w:val="nil"/>
            </w:tcBorders>
            <w:noWrap/>
            <w:textDirection w:val="lrTb"/>
            <w:vAlign w:val="center"/>
          </w:tcPr>
          <w:p w:rsidR="00F67BF3" w:rsidRPr="00F53F8E" w:rsidP="00F67BF3">
            <w:pPr>
              <w:spacing w:line="240" w:lineRule="auto"/>
              <w:rPr>
                <w:rFonts w:ascii="Arial Narrow" w:hAnsi="Arial Narrow" w:cs="Times New Roman"/>
                <w:b/>
                <w:bCs/>
              </w:rPr>
            </w:pPr>
            <w:r w:rsidRPr="00F53F8E">
              <w:rPr>
                <w:rFonts w:ascii="Arial Narrow" w:hAnsi="Arial Narrow" w:cs="Times New Roman"/>
                <w:b/>
                <w:bCs/>
              </w:rPr>
              <w:t> </w:t>
            </w:r>
          </w:p>
        </w:tc>
        <w:tc>
          <w:tcPr>
            <w:tcW w:w="1540" w:type="dxa"/>
            <w:tcBorders>
              <w:top w:val="nil"/>
              <w:left w:val="single" w:sz="8" w:space="0" w:color="auto"/>
              <w:bottom w:val="single" w:sz="4" w:space="0" w:color="auto"/>
              <w:right w:val="single" w:sz="8" w:space="0" w:color="auto"/>
              <w:tl2br w:val="nil"/>
              <w:tr2bl w:val="nil"/>
            </w:tcBorders>
            <w:noWrap/>
            <w:textDirection w:val="lrTb"/>
            <w:vAlign w:val="center"/>
          </w:tcPr>
          <w:p w:rsidR="00F67BF3" w:rsidRPr="00F53F8E" w:rsidP="00F67BF3">
            <w:pPr>
              <w:spacing w:line="240" w:lineRule="auto"/>
              <w:jc w:val="right"/>
              <w:rPr>
                <w:rFonts w:ascii="Arial Narrow" w:hAnsi="Arial Narrow" w:cs="Times New Roman"/>
                <w:b/>
                <w:bCs/>
              </w:rPr>
            </w:pPr>
            <w:r w:rsidRPr="00F53F8E">
              <w:rPr>
                <w:rFonts w:ascii="Arial Narrow" w:hAnsi="Arial Narrow" w:cs="Times New Roman"/>
                <w:b/>
                <w:bCs/>
              </w:rPr>
              <w:t>0,00</w:t>
            </w:r>
          </w:p>
        </w:tc>
        <w:tc>
          <w:tcPr>
            <w:tcW w:w="1340" w:type="dxa"/>
            <w:tcBorders>
              <w:top w:val="nil"/>
              <w:left w:val="nil"/>
              <w:bottom w:val="single" w:sz="4" w:space="0" w:color="auto"/>
              <w:right w:val="single" w:sz="8" w:space="0" w:color="auto"/>
              <w:tl2br w:val="nil"/>
              <w:tr2bl w:val="nil"/>
            </w:tcBorders>
            <w:noWrap/>
            <w:textDirection w:val="lrTb"/>
            <w:vAlign w:val="center"/>
          </w:tcPr>
          <w:p w:rsidR="00F67BF3" w:rsidRPr="00F53F8E" w:rsidP="00F67BF3">
            <w:pPr>
              <w:spacing w:line="240" w:lineRule="auto"/>
              <w:jc w:val="right"/>
              <w:rPr>
                <w:rFonts w:ascii="Arial Narrow" w:hAnsi="Arial Narrow" w:cs="Times New Roman"/>
                <w:b/>
                <w:bCs/>
              </w:rPr>
            </w:pPr>
            <w:r w:rsidRPr="00F53F8E">
              <w:rPr>
                <w:rFonts w:ascii="Arial Narrow" w:hAnsi="Arial Narrow" w:cs="Times New Roman"/>
                <w:b/>
                <w:bCs/>
              </w:rPr>
              <w:t>105 942 655,00</w:t>
            </w:r>
          </w:p>
        </w:tc>
        <w:tc>
          <w:tcPr>
            <w:tcW w:w="1224" w:type="dxa"/>
            <w:tcBorders>
              <w:top w:val="nil"/>
              <w:left w:val="nil"/>
              <w:bottom w:val="nil"/>
              <w:right w:val="nil"/>
              <w:tl2br w:val="nil"/>
              <w:tr2bl w:val="nil"/>
            </w:tcBorders>
            <w:noWrap/>
            <w:textDirection w:val="lrTb"/>
            <w:vAlign w:val="center"/>
          </w:tcPr>
          <w:p w:rsidR="00F67BF3" w:rsidRPr="00F53F8E" w:rsidP="00F67BF3">
            <w:pPr>
              <w:spacing w:line="240" w:lineRule="auto"/>
              <w:rPr>
                <w:rFonts w:ascii="Arial Narrow" w:hAnsi="Arial Narrow" w:cs="Times New Roman"/>
              </w:rPr>
            </w:pPr>
          </w:p>
        </w:tc>
        <w:tc>
          <w:tcPr>
            <w:tcW w:w="268" w:type="dxa"/>
            <w:tcBorders>
              <w:top w:val="nil"/>
              <w:left w:val="nil"/>
              <w:bottom w:val="nil"/>
              <w:right w:val="nil"/>
              <w:tl2br w:val="nil"/>
              <w:tr2bl w:val="nil"/>
            </w:tcBorders>
            <w:noWrap/>
            <w:textDirection w:val="lrTb"/>
            <w:vAlign w:val="bottom"/>
          </w:tcPr>
          <w:p w:rsidR="00F67BF3" w:rsidRPr="00F53F8E" w:rsidP="00F67BF3">
            <w:pPr>
              <w:spacing w:line="240" w:lineRule="auto"/>
              <w:rPr>
                <w:rFonts w:ascii="Arial Narrow" w:hAnsi="Arial Narrow" w:cs="Times New Roman"/>
              </w:rPr>
            </w:pPr>
          </w:p>
        </w:tc>
      </w:tr>
      <w:tr>
        <w:tblPrEx>
          <w:tblW w:w="11568" w:type="dxa"/>
          <w:tblInd w:w="-830" w:type="dxa"/>
          <w:tblCellMar>
            <w:left w:w="70" w:type="dxa"/>
            <w:right w:w="70" w:type="dxa"/>
          </w:tblCellMar>
        </w:tblPrEx>
        <w:trPr>
          <w:gridAfter w:val="2"/>
          <w:wAfter w:w="320" w:type="dxa"/>
          <w:trHeight w:val="227"/>
        </w:trPr>
        <w:tc>
          <w:tcPr>
            <w:tcW w:w="660" w:type="dxa"/>
            <w:tcBorders>
              <w:top w:val="nil"/>
              <w:left w:val="single" w:sz="8" w:space="0" w:color="auto"/>
              <w:bottom w:val="single" w:sz="8" w:space="0" w:color="auto"/>
              <w:right w:val="nil"/>
              <w:tl2br w:val="nil"/>
              <w:tr2bl w:val="nil"/>
            </w:tcBorders>
            <w:noWrap/>
            <w:textDirection w:val="lrTb"/>
            <w:vAlign w:val="center"/>
          </w:tcPr>
          <w:p w:rsidR="00F67BF3" w:rsidRPr="00064378" w:rsidP="00F67BF3">
            <w:pPr>
              <w:spacing w:line="240" w:lineRule="auto"/>
              <w:jc w:val="right"/>
              <w:rPr>
                <w:rFonts w:ascii="Arial Narrow" w:hAnsi="Arial Narrow" w:cs="Times New Roman"/>
              </w:rPr>
            </w:pPr>
            <w:r w:rsidRPr="00064378">
              <w:rPr>
                <w:rFonts w:ascii="Arial Narrow" w:hAnsi="Arial Narrow" w:cs="Times New Roman"/>
              </w:rPr>
              <w:t>1533</w:t>
            </w:r>
          </w:p>
        </w:tc>
        <w:tc>
          <w:tcPr>
            <w:tcW w:w="3300" w:type="dxa"/>
            <w:tcBorders>
              <w:top w:val="nil"/>
              <w:left w:val="single" w:sz="8" w:space="0" w:color="auto"/>
              <w:bottom w:val="single" w:sz="8" w:space="0" w:color="auto"/>
              <w:right w:val="single" w:sz="8" w:space="0" w:color="auto"/>
              <w:tl2br w:val="nil"/>
              <w:tr2bl w:val="nil"/>
            </w:tcBorders>
            <w:noWrap/>
            <w:textDirection w:val="lrTb"/>
            <w:vAlign w:val="center"/>
          </w:tcPr>
          <w:p w:rsidR="00F67BF3" w:rsidRPr="00064378" w:rsidP="00F67BF3">
            <w:pPr>
              <w:spacing w:line="240" w:lineRule="auto"/>
              <w:rPr>
                <w:rFonts w:ascii="Arial Narrow" w:hAnsi="Arial Narrow" w:cs="Times New Roman"/>
              </w:rPr>
            </w:pPr>
            <w:r w:rsidRPr="00064378">
              <w:rPr>
                <w:rFonts w:ascii="Arial Narrow" w:hAnsi="Arial Narrow" w:cs="Times New Roman"/>
              </w:rPr>
              <w:t xml:space="preserve">D3 Čadca </w:t>
            </w:r>
            <w:r>
              <w:rPr>
                <w:rFonts w:ascii="Arial Narrow" w:hAnsi="Arial Narrow" w:cs="Times New Roman"/>
              </w:rPr>
              <w:t>–</w:t>
            </w:r>
            <w:r w:rsidRPr="00064378">
              <w:rPr>
                <w:rFonts w:ascii="Arial Narrow" w:hAnsi="Arial Narrow" w:cs="Times New Roman"/>
              </w:rPr>
              <w:t xml:space="preserve"> Svrčinovec</w:t>
            </w:r>
          </w:p>
        </w:tc>
        <w:tc>
          <w:tcPr>
            <w:tcW w:w="1476" w:type="dxa"/>
            <w:tcBorders>
              <w:top w:val="nil"/>
              <w:left w:val="nil"/>
              <w:bottom w:val="single" w:sz="8" w:space="0" w:color="auto"/>
              <w:right w:val="nil"/>
              <w:tl2br w:val="nil"/>
              <w:tr2bl w:val="nil"/>
            </w:tcBorders>
            <w:noWrap/>
            <w:textDirection w:val="lrTb"/>
            <w:vAlign w:val="center"/>
          </w:tcPr>
          <w:p w:rsidR="00F67BF3" w:rsidRPr="00F53F8E" w:rsidP="00F67BF3">
            <w:pPr>
              <w:spacing w:line="240" w:lineRule="auto"/>
              <w:jc w:val="right"/>
              <w:rPr>
                <w:rFonts w:ascii="Arial Narrow" w:hAnsi="Arial Narrow" w:cs="Times New Roman"/>
                <w:b/>
                <w:bCs/>
              </w:rPr>
            </w:pPr>
            <w:r w:rsidRPr="00F53F8E">
              <w:rPr>
                <w:rFonts w:ascii="Arial Narrow" w:hAnsi="Arial Narrow" w:cs="Times New Roman"/>
                <w:b/>
                <w:bCs/>
              </w:rPr>
              <w:t>26 565 390,00</w:t>
            </w:r>
          </w:p>
        </w:tc>
        <w:tc>
          <w:tcPr>
            <w:tcW w:w="1440" w:type="dxa"/>
            <w:tcBorders>
              <w:top w:val="nil"/>
              <w:left w:val="single" w:sz="8" w:space="0" w:color="auto"/>
              <w:bottom w:val="single" w:sz="8" w:space="0" w:color="auto"/>
              <w:right w:val="single" w:sz="8" w:space="0" w:color="auto"/>
              <w:tl2br w:val="nil"/>
              <w:tr2bl w:val="nil"/>
            </w:tcBorders>
            <w:noWrap/>
            <w:textDirection w:val="lrTb"/>
            <w:vAlign w:val="center"/>
          </w:tcPr>
          <w:p w:rsidR="00F67BF3" w:rsidRPr="00F53F8E" w:rsidP="00F67BF3">
            <w:pPr>
              <w:spacing w:line="240" w:lineRule="auto"/>
              <w:rPr>
                <w:rFonts w:ascii="Arial Narrow" w:hAnsi="Arial Narrow" w:cs="Times New Roman"/>
                <w:b/>
                <w:bCs/>
              </w:rPr>
            </w:pPr>
            <w:r w:rsidRPr="00F53F8E">
              <w:rPr>
                <w:rFonts w:ascii="Arial Narrow" w:hAnsi="Arial Narrow" w:cs="Times New Roman"/>
                <w:b/>
                <w:bCs/>
              </w:rPr>
              <w:t> </w:t>
            </w:r>
          </w:p>
        </w:tc>
        <w:tc>
          <w:tcPr>
            <w:tcW w:w="1540" w:type="dxa"/>
            <w:tcBorders>
              <w:top w:val="nil"/>
              <w:left w:val="single" w:sz="8" w:space="0" w:color="auto"/>
              <w:bottom w:val="single" w:sz="8" w:space="0" w:color="auto"/>
              <w:right w:val="single" w:sz="8" w:space="0" w:color="auto"/>
              <w:tl2br w:val="nil"/>
              <w:tr2bl w:val="nil"/>
            </w:tcBorders>
            <w:noWrap/>
            <w:textDirection w:val="lrTb"/>
            <w:vAlign w:val="center"/>
          </w:tcPr>
          <w:p w:rsidR="00F67BF3" w:rsidRPr="00F53F8E" w:rsidP="00F67BF3">
            <w:pPr>
              <w:spacing w:line="240" w:lineRule="auto"/>
              <w:jc w:val="right"/>
              <w:rPr>
                <w:rFonts w:ascii="Arial Narrow" w:hAnsi="Arial Narrow" w:cs="Times New Roman"/>
                <w:b/>
                <w:bCs/>
              </w:rPr>
            </w:pPr>
            <w:r w:rsidRPr="00F53F8E">
              <w:rPr>
                <w:rFonts w:ascii="Arial Narrow" w:hAnsi="Arial Narrow" w:cs="Times New Roman"/>
                <w:b/>
                <w:bCs/>
              </w:rPr>
              <w:t>0,00</w:t>
            </w:r>
          </w:p>
        </w:tc>
        <w:tc>
          <w:tcPr>
            <w:tcW w:w="1340" w:type="dxa"/>
            <w:tcBorders>
              <w:top w:val="nil"/>
              <w:left w:val="nil"/>
              <w:bottom w:val="single" w:sz="8" w:space="0" w:color="auto"/>
              <w:right w:val="single" w:sz="8" w:space="0" w:color="auto"/>
              <w:tl2br w:val="nil"/>
              <w:tr2bl w:val="nil"/>
            </w:tcBorders>
            <w:noWrap/>
            <w:textDirection w:val="lrTb"/>
            <w:vAlign w:val="center"/>
          </w:tcPr>
          <w:p w:rsidR="00F67BF3" w:rsidRPr="00F53F8E" w:rsidP="00F67BF3">
            <w:pPr>
              <w:spacing w:line="240" w:lineRule="auto"/>
              <w:jc w:val="right"/>
              <w:rPr>
                <w:rFonts w:ascii="Arial Narrow" w:hAnsi="Arial Narrow" w:cs="Times New Roman"/>
                <w:b/>
                <w:bCs/>
              </w:rPr>
            </w:pPr>
            <w:r w:rsidRPr="00F53F8E">
              <w:rPr>
                <w:rFonts w:ascii="Arial Narrow" w:hAnsi="Arial Narrow" w:cs="Times New Roman"/>
                <w:b/>
                <w:bCs/>
              </w:rPr>
              <w:t>26 565 390,00</w:t>
            </w:r>
          </w:p>
        </w:tc>
        <w:tc>
          <w:tcPr>
            <w:tcW w:w="1224" w:type="dxa"/>
            <w:tcBorders>
              <w:top w:val="nil"/>
              <w:left w:val="nil"/>
              <w:bottom w:val="nil"/>
              <w:right w:val="nil"/>
              <w:tl2br w:val="nil"/>
              <w:tr2bl w:val="nil"/>
            </w:tcBorders>
            <w:noWrap/>
            <w:textDirection w:val="lrTb"/>
            <w:vAlign w:val="center"/>
          </w:tcPr>
          <w:p w:rsidR="00F67BF3" w:rsidRPr="00F53F8E" w:rsidP="00F67BF3">
            <w:pPr>
              <w:spacing w:line="240" w:lineRule="auto"/>
              <w:rPr>
                <w:rFonts w:ascii="Arial Narrow" w:hAnsi="Arial Narrow" w:cs="Times New Roman"/>
              </w:rPr>
            </w:pPr>
          </w:p>
        </w:tc>
        <w:tc>
          <w:tcPr>
            <w:tcW w:w="268" w:type="dxa"/>
            <w:tcBorders>
              <w:top w:val="nil"/>
              <w:left w:val="nil"/>
              <w:bottom w:val="nil"/>
              <w:right w:val="nil"/>
              <w:tl2br w:val="nil"/>
              <w:tr2bl w:val="nil"/>
            </w:tcBorders>
            <w:noWrap/>
            <w:textDirection w:val="lrTb"/>
            <w:vAlign w:val="bottom"/>
          </w:tcPr>
          <w:p w:rsidR="00F67BF3" w:rsidRPr="00F53F8E" w:rsidP="00F67BF3">
            <w:pPr>
              <w:spacing w:line="240" w:lineRule="auto"/>
              <w:rPr>
                <w:rFonts w:ascii="Arial Narrow" w:hAnsi="Arial Narrow" w:cs="Times New Roman"/>
              </w:rPr>
            </w:pPr>
          </w:p>
        </w:tc>
      </w:tr>
      <w:tr>
        <w:tblPrEx>
          <w:tblW w:w="11568" w:type="dxa"/>
          <w:tblInd w:w="-830" w:type="dxa"/>
          <w:tblCellMar>
            <w:left w:w="70" w:type="dxa"/>
            <w:right w:w="70" w:type="dxa"/>
          </w:tblCellMar>
        </w:tblPrEx>
        <w:trPr>
          <w:gridAfter w:val="2"/>
          <w:wAfter w:w="320" w:type="dxa"/>
          <w:trHeight w:val="227"/>
        </w:trPr>
        <w:tc>
          <w:tcPr>
            <w:tcW w:w="3960" w:type="dxa"/>
            <w:gridSpan w:val="2"/>
            <w:tcBorders>
              <w:top w:val="single" w:sz="8" w:space="0" w:color="auto"/>
              <w:left w:val="single" w:sz="8" w:space="0" w:color="auto"/>
              <w:bottom w:val="single" w:sz="8" w:space="0" w:color="auto"/>
              <w:right w:val="single" w:sz="8" w:space="0" w:color="000000"/>
              <w:tl2br w:val="nil"/>
              <w:tr2bl w:val="nil"/>
            </w:tcBorders>
            <w:shd w:val="clear" w:color="auto" w:fill="C0C0C0"/>
            <w:noWrap/>
            <w:textDirection w:val="lrTb"/>
            <w:vAlign w:val="center"/>
          </w:tcPr>
          <w:p w:rsidR="00F67BF3" w:rsidRPr="00064378" w:rsidP="00F67BF3">
            <w:pPr>
              <w:spacing w:line="240" w:lineRule="auto"/>
              <w:jc w:val="center"/>
              <w:rPr>
                <w:rFonts w:ascii="Arial Narrow" w:hAnsi="Arial Narrow" w:cs="Times New Roman"/>
                <w:b/>
                <w:bCs/>
              </w:rPr>
            </w:pPr>
            <w:r w:rsidRPr="00064378">
              <w:rPr>
                <w:rFonts w:ascii="Arial Narrow" w:hAnsi="Arial Narrow" w:cs="Times New Roman"/>
                <w:b/>
                <w:bCs/>
              </w:rPr>
              <w:t>Sp</w:t>
            </w:r>
            <w:r w:rsidRPr="00064378">
              <w:rPr>
                <w:rFonts w:ascii="Arial Narrow" w:hAnsi="Arial Narrow" w:cs="Times New Roman"/>
                <w:b/>
                <w:bCs/>
              </w:rPr>
              <w:t>olu</w:t>
            </w:r>
          </w:p>
        </w:tc>
        <w:tc>
          <w:tcPr>
            <w:tcW w:w="1476" w:type="dxa"/>
            <w:tcBorders>
              <w:top w:val="single" w:sz="8" w:space="0" w:color="auto"/>
              <w:left w:val="nil"/>
              <w:bottom w:val="single" w:sz="8" w:space="0" w:color="auto"/>
              <w:right w:val="nil"/>
              <w:tl2br w:val="nil"/>
              <w:tr2bl w:val="nil"/>
            </w:tcBorders>
            <w:shd w:val="clear" w:color="auto" w:fill="C0C0C0"/>
            <w:noWrap/>
            <w:textDirection w:val="lrTb"/>
            <w:vAlign w:val="center"/>
          </w:tcPr>
          <w:p w:rsidR="00F67BF3" w:rsidRPr="00F53F8E" w:rsidP="00F67BF3">
            <w:pPr>
              <w:spacing w:line="240" w:lineRule="auto"/>
              <w:jc w:val="right"/>
              <w:rPr>
                <w:rFonts w:ascii="Arial Narrow" w:hAnsi="Arial Narrow" w:cs="Times New Roman"/>
                <w:b/>
                <w:bCs/>
              </w:rPr>
            </w:pPr>
            <w:r>
              <w:rPr>
                <w:rFonts w:ascii="Arial Narrow" w:hAnsi="Arial Narrow" w:cs="Times New Roman"/>
                <w:b/>
                <w:bCs/>
              </w:rPr>
              <w:t>193 469 264,35</w:t>
            </w:r>
          </w:p>
        </w:tc>
        <w:tc>
          <w:tcPr>
            <w:tcW w:w="1440" w:type="dxa"/>
            <w:tcBorders>
              <w:top w:val="single" w:sz="8" w:space="0" w:color="auto"/>
              <w:left w:val="single" w:sz="8" w:space="0" w:color="auto"/>
              <w:bottom w:val="single" w:sz="8" w:space="0" w:color="auto"/>
              <w:right w:val="single" w:sz="8" w:space="0" w:color="auto"/>
              <w:tl2br w:val="nil"/>
              <w:tr2bl w:val="nil"/>
            </w:tcBorders>
            <w:shd w:val="clear" w:color="auto" w:fill="C0C0C0"/>
            <w:noWrap/>
            <w:textDirection w:val="lrTb"/>
            <w:vAlign w:val="center"/>
          </w:tcPr>
          <w:p w:rsidR="00F67BF3" w:rsidRPr="00F53F8E" w:rsidP="00F67BF3">
            <w:pPr>
              <w:spacing w:line="240" w:lineRule="auto"/>
              <w:jc w:val="right"/>
              <w:rPr>
                <w:rFonts w:ascii="Arial Narrow" w:hAnsi="Arial Narrow" w:cs="Times New Roman"/>
                <w:b/>
                <w:bCs/>
              </w:rPr>
            </w:pPr>
          </w:p>
        </w:tc>
        <w:tc>
          <w:tcPr>
            <w:tcW w:w="1540" w:type="dxa"/>
            <w:tcBorders>
              <w:top w:val="single" w:sz="8" w:space="0" w:color="auto"/>
              <w:left w:val="single" w:sz="8" w:space="0" w:color="auto"/>
              <w:bottom w:val="single" w:sz="8" w:space="0" w:color="auto"/>
              <w:right w:val="single" w:sz="8" w:space="0" w:color="auto"/>
              <w:tl2br w:val="nil"/>
              <w:tr2bl w:val="nil"/>
            </w:tcBorders>
            <w:shd w:val="clear" w:color="auto" w:fill="C0C0C0"/>
            <w:noWrap/>
            <w:textDirection w:val="lrTb"/>
            <w:vAlign w:val="center"/>
          </w:tcPr>
          <w:p w:rsidR="00F67BF3" w:rsidRPr="00F53F8E" w:rsidP="00F67BF3">
            <w:pPr>
              <w:spacing w:line="240" w:lineRule="auto"/>
              <w:jc w:val="right"/>
              <w:rPr>
                <w:rFonts w:ascii="Arial Narrow" w:hAnsi="Arial Narrow" w:cs="Times New Roman"/>
                <w:b/>
                <w:bCs/>
              </w:rPr>
            </w:pPr>
            <w:r>
              <w:rPr>
                <w:rFonts w:ascii="Arial Narrow" w:hAnsi="Arial Narrow" w:cs="Times New Roman"/>
                <w:b/>
                <w:bCs/>
              </w:rPr>
              <w:t>50 592 652,17</w:t>
            </w:r>
          </w:p>
        </w:tc>
        <w:tc>
          <w:tcPr>
            <w:tcW w:w="1340" w:type="dxa"/>
            <w:tcBorders>
              <w:top w:val="single" w:sz="8" w:space="0" w:color="auto"/>
              <w:left w:val="nil"/>
              <w:bottom w:val="single" w:sz="8" w:space="0" w:color="auto"/>
              <w:right w:val="single" w:sz="8" w:space="0" w:color="auto"/>
              <w:tl2br w:val="nil"/>
              <w:tr2bl w:val="nil"/>
            </w:tcBorders>
            <w:shd w:val="clear" w:color="auto" w:fill="C0C0C0"/>
            <w:noWrap/>
            <w:textDirection w:val="lrTb"/>
            <w:vAlign w:val="center"/>
          </w:tcPr>
          <w:p w:rsidR="00F67BF3" w:rsidRPr="00F53F8E" w:rsidP="00F67BF3">
            <w:pPr>
              <w:spacing w:line="240" w:lineRule="auto"/>
              <w:jc w:val="right"/>
              <w:rPr>
                <w:rFonts w:ascii="Arial Narrow" w:hAnsi="Arial Narrow" w:cs="Times New Roman"/>
                <w:b/>
                <w:bCs/>
              </w:rPr>
            </w:pPr>
            <w:r>
              <w:rPr>
                <w:rFonts w:ascii="Arial Narrow" w:hAnsi="Arial Narrow" w:cs="Times New Roman"/>
                <w:b/>
                <w:bCs/>
              </w:rPr>
              <w:t>142 876 612,18</w:t>
            </w:r>
          </w:p>
        </w:tc>
        <w:tc>
          <w:tcPr>
            <w:tcW w:w="1224" w:type="dxa"/>
            <w:tcBorders>
              <w:top w:val="nil"/>
              <w:left w:val="nil"/>
              <w:bottom w:val="nil"/>
              <w:right w:val="nil"/>
              <w:tl2br w:val="nil"/>
              <w:tr2bl w:val="nil"/>
            </w:tcBorders>
            <w:noWrap/>
            <w:textDirection w:val="lrTb"/>
            <w:vAlign w:val="center"/>
          </w:tcPr>
          <w:p w:rsidR="00F67BF3" w:rsidRPr="00F53F8E" w:rsidP="00F67BF3">
            <w:pPr>
              <w:spacing w:line="240" w:lineRule="auto"/>
              <w:rPr>
                <w:rFonts w:ascii="Arial Narrow" w:hAnsi="Arial Narrow" w:cs="Times New Roman"/>
              </w:rPr>
            </w:pPr>
          </w:p>
        </w:tc>
        <w:tc>
          <w:tcPr>
            <w:tcW w:w="268" w:type="dxa"/>
            <w:tcBorders>
              <w:top w:val="nil"/>
              <w:left w:val="nil"/>
              <w:bottom w:val="nil"/>
              <w:right w:val="nil"/>
              <w:tl2br w:val="nil"/>
              <w:tr2bl w:val="nil"/>
            </w:tcBorders>
            <w:noWrap/>
            <w:textDirection w:val="lrTb"/>
            <w:vAlign w:val="bottom"/>
          </w:tcPr>
          <w:p w:rsidR="00F67BF3" w:rsidRPr="00F53F8E" w:rsidP="00F67BF3">
            <w:pPr>
              <w:spacing w:line="240" w:lineRule="auto"/>
              <w:rPr>
                <w:rFonts w:ascii="Arial Narrow" w:hAnsi="Arial Narrow" w:cs="Times New Roman"/>
              </w:rPr>
            </w:pPr>
          </w:p>
        </w:tc>
      </w:tr>
      <w:tr>
        <w:tblPrEx>
          <w:tblW w:w="11568" w:type="dxa"/>
          <w:tblInd w:w="-830" w:type="dxa"/>
          <w:tblCellMar>
            <w:left w:w="70" w:type="dxa"/>
            <w:right w:w="70" w:type="dxa"/>
          </w:tblCellMar>
        </w:tblPrEx>
        <w:trPr>
          <w:gridAfter w:val="2"/>
          <w:wAfter w:w="320" w:type="dxa"/>
          <w:trHeight w:val="227"/>
        </w:trPr>
        <w:tc>
          <w:tcPr>
            <w:tcW w:w="6876" w:type="dxa"/>
            <w:gridSpan w:val="4"/>
            <w:tcBorders>
              <w:top w:val="nil"/>
              <w:left w:val="nil"/>
              <w:bottom w:val="nil"/>
              <w:right w:val="nil"/>
              <w:tl2br w:val="nil"/>
              <w:tr2bl w:val="nil"/>
            </w:tcBorders>
            <w:noWrap/>
            <w:textDirection w:val="lrTb"/>
            <w:vAlign w:val="bottom"/>
          </w:tcPr>
          <w:p w:rsidR="007201F8" w:rsidRPr="007201F8" w:rsidP="00F67BF3">
            <w:pPr>
              <w:spacing w:line="240" w:lineRule="auto"/>
              <w:rPr>
                <w:rFonts w:ascii="Arial Narrow" w:hAnsi="Arial Narrow" w:cs="Times New Roman"/>
                <w:b/>
                <w:bCs/>
              </w:rPr>
            </w:pPr>
            <w:r w:rsidRPr="007201F8">
              <w:rPr>
                <w:rFonts w:ascii="Arial Narrow" w:hAnsi="Arial Narrow" w:cs="Times New Roman"/>
                <w:b/>
                <w:color w:val="000000"/>
              </w:rPr>
              <w:t xml:space="preserve">Celkové čerpanie </w:t>
            </w:r>
            <w:r w:rsidR="003D3DE7">
              <w:rPr>
                <w:rFonts w:ascii="Arial Narrow" w:hAnsi="Arial Narrow" w:cs="Times New Roman"/>
                <w:color w:val="000000"/>
              </w:rPr>
              <w:t xml:space="preserve">kap. </w:t>
            </w:r>
            <w:r w:rsidR="007E2789">
              <w:rPr>
                <w:rFonts w:ascii="Arial Narrow" w:hAnsi="Arial Narrow" w:cs="Times New Roman"/>
                <w:color w:val="000000"/>
              </w:rPr>
              <w:t xml:space="preserve">transferov NDS, a.s., </w:t>
            </w:r>
            <w:r w:rsidRPr="007201F8">
              <w:rPr>
                <w:rFonts w:ascii="Arial Narrow" w:hAnsi="Arial Narrow" w:cs="Times New Roman"/>
                <w:color w:val="000000"/>
              </w:rPr>
              <w:t xml:space="preserve"> na výstavbu diaľnic a rýchlostných ciest</w:t>
            </w:r>
            <w:r w:rsidR="003D3DE7">
              <w:rPr>
                <w:rFonts w:ascii="Arial Narrow" w:hAnsi="Arial Narrow" w:cs="Times New Roman"/>
                <w:color w:val="000000"/>
              </w:rPr>
              <w:t>:</w:t>
            </w:r>
          </w:p>
        </w:tc>
        <w:tc>
          <w:tcPr>
            <w:tcW w:w="1540" w:type="dxa"/>
            <w:tcBorders>
              <w:top w:val="nil"/>
              <w:left w:val="nil"/>
              <w:bottom w:val="nil"/>
              <w:right w:val="nil"/>
              <w:tl2br w:val="nil"/>
              <w:tr2bl w:val="nil"/>
            </w:tcBorders>
            <w:noWrap/>
            <w:textDirection w:val="lrTb"/>
            <w:vAlign w:val="bottom"/>
          </w:tcPr>
          <w:p w:rsidR="007201F8" w:rsidRPr="00F53F8E" w:rsidP="00F67BF3">
            <w:pPr>
              <w:spacing w:line="240" w:lineRule="auto"/>
              <w:jc w:val="right"/>
              <w:rPr>
                <w:rFonts w:ascii="Arial Narrow" w:hAnsi="Arial Narrow" w:cs="Times New Roman"/>
                <w:b/>
                <w:bCs/>
              </w:rPr>
            </w:pPr>
            <w:r>
              <w:rPr>
                <w:rFonts w:ascii="Arial Narrow" w:hAnsi="Arial Narrow" w:cs="Times New Roman"/>
                <w:b/>
                <w:bCs/>
              </w:rPr>
              <w:t>7 657 097 864,01</w:t>
            </w:r>
          </w:p>
        </w:tc>
        <w:tc>
          <w:tcPr>
            <w:tcW w:w="1340" w:type="dxa"/>
            <w:tcBorders>
              <w:top w:val="nil"/>
              <w:left w:val="nil"/>
              <w:bottom w:val="nil"/>
              <w:right w:val="nil"/>
              <w:tl2br w:val="nil"/>
              <w:tr2bl w:val="nil"/>
            </w:tcBorders>
            <w:noWrap/>
            <w:textDirection w:val="lrTb"/>
            <w:vAlign w:val="bottom"/>
          </w:tcPr>
          <w:p w:rsidR="007201F8" w:rsidRPr="00F53F8E" w:rsidP="00F67BF3">
            <w:pPr>
              <w:spacing w:line="240" w:lineRule="auto"/>
              <w:jc w:val="right"/>
              <w:rPr>
                <w:rFonts w:ascii="Arial Narrow" w:hAnsi="Arial Narrow" w:cs="Times New Roman"/>
                <w:b/>
                <w:bCs/>
              </w:rPr>
            </w:pPr>
          </w:p>
        </w:tc>
        <w:tc>
          <w:tcPr>
            <w:tcW w:w="1224" w:type="dxa"/>
            <w:tcBorders>
              <w:top w:val="nil"/>
              <w:left w:val="nil"/>
              <w:bottom w:val="nil"/>
              <w:right w:val="nil"/>
              <w:tl2br w:val="nil"/>
              <w:tr2bl w:val="nil"/>
            </w:tcBorders>
            <w:noWrap/>
            <w:textDirection w:val="lrTb"/>
            <w:vAlign w:val="bottom"/>
          </w:tcPr>
          <w:p w:rsidR="007201F8" w:rsidRPr="00F53F8E" w:rsidP="00F67BF3">
            <w:pPr>
              <w:spacing w:line="240" w:lineRule="auto"/>
              <w:rPr>
                <w:rFonts w:ascii="Arial Narrow" w:hAnsi="Arial Narrow" w:cs="Times New Roman"/>
              </w:rPr>
            </w:pPr>
          </w:p>
        </w:tc>
        <w:tc>
          <w:tcPr>
            <w:tcW w:w="268" w:type="dxa"/>
            <w:tcBorders>
              <w:top w:val="nil"/>
              <w:left w:val="nil"/>
              <w:bottom w:val="nil"/>
              <w:right w:val="nil"/>
              <w:tl2br w:val="nil"/>
              <w:tr2bl w:val="nil"/>
            </w:tcBorders>
            <w:noWrap/>
            <w:textDirection w:val="lrTb"/>
            <w:vAlign w:val="bottom"/>
          </w:tcPr>
          <w:p w:rsidR="007201F8" w:rsidRPr="00F53F8E" w:rsidP="00F67BF3">
            <w:pPr>
              <w:spacing w:line="240" w:lineRule="auto"/>
              <w:rPr>
                <w:rFonts w:ascii="Arial Narrow" w:hAnsi="Arial Narrow" w:cs="Times New Roman"/>
              </w:rPr>
            </w:pPr>
          </w:p>
        </w:tc>
      </w:tr>
      <w:tr>
        <w:tblPrEx>
          <w:tblW w:w="11568" w:type="dxa"/>
          <w:tblInd w:w="-830" w:type="dxa"/>
          <w:tblCellMar>
            <w:left w:w="70" w:type="dxa"/>
            <w:right w:w="70" w:type="dxa"/>
          </w:tblCellMar>
        </w:tblPrEx>
        <w:trPr>
          <w:trHeight w:val="255"/>
        </w:trPr>
        <w:tc>
          <w:tcPr>
            <w:tcW w:w="660" w:type="dxa"/>
            <w:tcBorders>
              <w:top w:val="nil"/>
              <w:left w:val="nil"/>
              <w:bottom w:val="nil"/>
              <w:right w:val="nil"/>
              <w:tl2br w:val="nil"/>
              <w:tr2bl w:val="nil"/>
            </w:tcBorders>
            <w:noWrap/>
            <w:textDirection w:val="lrTb"/>
            <w:vAlign w:val="bottom"/>
          </w:tcPr>
          <w:p w:rsidR="00F67BF3" w:rsidRPr="00064378" w:rsidP="00F67BF3">
            <w:pPr>
              <w:spacing w:line="240" w:lineRule="auto"/>
              <w:jc w:val="right"/>
              <w:rPr>
                <w:rFonts w:ascii="Arial Narrow" w:hAnsi="Arial Narrow" w:cs="Times New Roman"/>
              </w:rPr>
            </w:pPr>
            <w:r w:rsidRPr="00064378">
              <w:rPr>
                <w:rFonts w:ascii="Arial Narrow" w:hAnsi="Arial Narrow" w:cs="Times New Roman"/>
              </w:rPr>
              <w:t>*</w:t>
            </w:r>
          </w:p>
        </w:tc>
        <w:tc>
          <w:tcPr>
            <w:tcW w:w="10588" w:type="dxa"/>
            <w:gridSpan w:val="7"/>
            <w:tcBorders>
              <w:top w:val="nil"/>
              <w:left w:val="nil"/>
              <w:bottom w:val="nil"/>
              <w:right w:val="nil"/>
              <w:tl2br w:val="nil"/>
              <w:tr2bl w:val="nil"/>
            </w:tcBorders>
            <w:noWrap/>
            <w:textDirection w:val="lrTb"/>
            <w:vAlign w:val="bottom"/>
          </w:tcPr>
          <w:p w:rsidR="00F67BF3" w:rsidRPr="00064378" w:rsidP="00F67BF3">
            <w:pPr>
              <w:spacing w:line="240" w:lineRule="auto"/>
              <w:rPr>
                <w:rFonts w:ascii="Arial Narrow" w:hAnsi="Arial Narrow" w:cs="Times New Roman"/>
              </w:rPr>
            </w:pPr>
            <w:r w:rsidRPr="00064378">
              <w:rPr>
                <w:rFonts w:ascii="Arial Narrow" w:hAnsi="Arial Narrow" w:cs="Times New Roman"/>
              </w:rPr>
              <w:t>Nedočerpanie vzniklo zaokrúhlení</w:t>
            </w:r>
            <w:r>
              <w:rPr>
                <w:rFonts w:ascii="Arial Narrow" w:hAnsi="Arial Narrow" w:cs="Times New Roman"/>
              </w:rPr>
              <w:t xml:space="preserve">m sumy pri plánovaní presunu výdavkov do r. 2008 (posledná fa </w:t>
            </w:r>
            <w:r>
              <w:rPr>
                <w:rFonts w:ascii="Arial Narrow" w:hAnsi="Arial Narrow" w:cs="Times New Roman"/>
              </w:rPr>
              <w:t>bola hradená v EUR).</w:t>
            </w:r>
          </w:p>
        </w:tc>
        <w:tc>
          <w:tcPr>
            <w:tcW w:w="160" w:type="dxa"/>
            <w:tcBorders>
              <w:top w:val="nil"/>
              <w:left w:val="nil"/>
              <w:bottom w:val="nil"/>
              <w:right w:val="nil"/>
              <w:tl2br w:val="nil"/>
              <w:tr2bl w:val="nil"/>
            </w:tcBorders>
            <w:noWrap/>
            <w:textDirection w:val="lrTb"/>
            <w:vAlign w:val="bottom"/>
          </w:tcPr>
          <w:p w:rsidR="00F67BF3" w:rsidRPr="00F53F8E" w:rsidP="00F67BF3">
            <w:pPr>
              <w:spacing w:line="240" w:lineRule="auto"/>
              <w:rPr>
                <w:rFonts w:ascii="Arial Narrow" w:hAnsi="Arial Narrow" w:cs="Times New Roman"/>
              </w:rPr>
            </w:pPr>
          </w:p>
        </w:tc>
        <w:tc>
          <w:tcPr>
            <w:tcW w:w="160" w:type="dxa"/>
            <w:tcBorders>
              <w:top w:val="nil"/>
              <w:left w:val="nil"/>
              <w:bottom w:val="nil"/>
              <w:right w:val="nil"/>
              <w:tl2br w:val="nil"/>
              <w:tr2bl w:val="nil"/>
            </w:tcBorders>
            <w:noWrap/>
            <w:textDirection w:val="lrTb"/>
            <w:vAlign w:val="bottom"/>
          </w:tcPr>
          <w:p w:rsidR="00F67BF3" w:rsidRPr="00F53F8E" w:rsidP="00F67BF3">
            <w:pPr>
              <w:spacing w:line="240" w:lineRule="auto"/>
              <w:rPr>
                <w:rFonts w:ascii="Arial Narrow" w:hAnsi="Arial Narrow" w:cs="Times New Roman"/>
              </w:rPr>
            </w:pPr>
          </w:p>
        </w:tc>
      </w:tr>
      <w:tr>
        <w:tblPrEx>
          <w:tblW w:w="11568" w:type="dxa"/>
          <w:tblInd w:w="-830" w:type="dxa"/>
          <w:tblCellMar>
            <w:left w:w="70" w:type="dxa"/>
            <w:right w:w="70" w:type="dxa"/>
          </w:tblCellMar>
        </w:tblPrEx>
        <w:trPr>
          <w:trHeight w:val="255"/>
        </w:trPr>
        <w:tc>
          <w:tcPr>
            <w:tcW w:w="660" w:type="dxa"/>
            <w:tcBorders>
              <w:top w:val="nil"/>
              <w:left w:val="nil"/>
              <w:bottom w:val="nil"/>
              <w:right w:val="nil"/>
              <w:tl2br w:val="nil"/>
              <w:tr2bl w:val="nil"/>
            </w:tcBorders>
            <w:noWrap/>
            <w:textDirection w:val="lrTb"/>
            <w:vAlign w:val="bottom"/>
          </w:tcPr>
          <w:p w:rsidR="00F67BF3" w:rsidRPr="00064378" w:rsidP="00F67BF3">
            <w:pPr>
              <w:spacing w:line="240" w:lineRule="auto"/>
              <w:jc w:val="right"/>
              <w:rPr>
                <w:rFonts w:ascii="Arial Narrow" w:hAnsi="Arial Narrow" w:cs="Times New Roman"/>
              </w:rPr>
            </w:pPr>
            <w:r w:rsidRPr="00064378">
              <w:rPr>
                <w:rFonts w:ascii="Arial Narrow" w:hAnsi="Arial Narrow" w:cs="Times New Roman"/>
              </w:rPr>
              <w:t>**</w:t>
            </w:r>
          </w:p>
        </w:tc>
        <w:tc>
          <w:tcPr>
            <w:tcW w:w="10748" w:type="dxa"/>
            <w:gridSpan w:val="8"/>
            <w:tcBorders>
              <w:top w:val="nil"/>
              <w:left w:val="nil"/>
              <w:bottom w:val="nil"/>
              <w:right w:val="nil"/>
              <w:tl2br w:val="nil"/>
              <w:tr2bl w:val="nil"/>
            </w:tcBorders>
            <w:noWrap/>
            <w:textDirection w:val="lrTb"/>
            <w:vAlign w:val="bottom"/>
          </w:tcPr>
          <w:p w:rsidR="00F67BF3" w:rsidRPr="00064378" w:rsidP="00F67BF3">
            <w:pPr>
              <w:spacing w:line="240" w:lineRule="auto"/>
              <w:rPr>
                <w:rFonts w:ascii="Arial Narrow" w:hAnsi="Arial Narrow" w:cs="Times New Roman"/>
              </w:rPr>
            </w:pPr>
            <w:r>
              <w:rPr>
                <w:rFonts w:ascii="Arial Narrow" w:hAnsi="Arial Narrow" w:cs="Times New Roman"/>
              </w:rPr>
              <w:t>Nedočerpanie vzniklo neskorý</w:t>
            </w:r>
            <w:r w:rsidRPr="00064378">
              <w:rPr>
                <w:rFonts w:ascii="Arial Narrow" w:hAnsi="Arial Narrow" w:cs="Times New Roman"/>
              </w:rPr>
              <w:t>m predložen</w:t>
            </w:r>
            <w:r>
              <w:rPr>
                <w:rFonts w:ascii="Arial Narrow" w:hAnsi="Arial Narrow" w:cs="Times New Roman"/>
              </w:rPr>
              <w:t xml:space="preserve">ím faktúr za konzultačné služby, </w:t>
            </w:r>
            <w:r w:rsidRPr="00064378">
              <w:rPr>
                <w:rFonts w:ascii="Arial Narrow" w:hAnsi="Arial Narrow" w:cs="Times New Roman"/>
              </w:rPr>
              <w:t xml:space="preserve">s </w:t>
            </w:r>
            <w:r>
              <w:rPr>
                <w:rFonts w:ascii="Arial Narrow" w:hAnsi="Arial Narrow" w:cs="Times New Roman"/>
              </w:rPr>
              <w:t xml:space="preserve">úhradou ktorých sa </w:t>
            </w:r>
            <w:r w:rsidRPr="00064378">
              <w:rPr>
                <w:rFonts w:ascii="Arial Narrow" w:hAnsi="Arial Narrow" w:cs="Times New Roman"/>
              </w:rPr>
              <w:t>počítalo ešte do konca roku 200</w:t>
            </w:r>
            <w:r>
              <w:rPr>
                <w:rFonts w:ascii="Arial Narrow" w:hAnsi="Arial Narrow" w:cs="Times New Roman"/>
              </w:rPr>
              <w:t>7</w:t>
            </w:r>
            <w:r w:rsidRPr="00064378">
              <w:rPr>
                <w:rFonts w:ascii="Arial Narrow" w:hAnsi="Arial Narrow" w:cs="Times New Roman"/>
              </w:rPr>
              <w:t>.</w:t>
            </w:r>
          </w:p>
        </w:tc>
        <w:tc>
          <w:tcPr>
            <w:tcW w:w="160" w:type="dxa"/>
            <w:tcBorders>
              <w:top w:val="nil"/>
              <w:left w:val="nil"/>
              <w:bottom w:val="nil"/>
              <w:right w:val="nil"/>
              <w:tl2br w:val="nil"/>
              <w:tr2bl w:val="nil"/>
            </w:tcBorders>
            <w:noWrap/>
            <w:textDirection w:val="lrTb"/>
            <w:vAlign w:val="bottom"/>
          </w:tcPr>
          <w:p w:rsidR="00F67BF3" w:rsidRPr="00F53F8E" w:rsidP="00F67BF3">
            <w:pPr>
              <w:spacing w:line="240" w:lineRule="auto"/>
              <w:rPr>
                <w:rFonts w:ascii="Arial Narrow" w:hAnsi="Arial Narrow" w:cs="Times New Roman"/>
              </w:rPr>
            </w:pPr>
          </w:p>
        </w:tc>
      </w:tr>
    </w:tbl>
    <w:p w:rsidR="00B40AD3" w:rsidP="00F67BF3">
      <w:pPr>
        <w:autoSpaceDE/>
        <w:autoSpaceDN/>
        <w:spacing w:line="240" w:lineRule="auto"/>
        <w:textAlignment w:val="auto"/>
        <w:rPr>
          <w:rFonts w:ascii="Times New Roman" w:hAnsi="Times New Roman" w:cs="Times New Roman"/>
          <w:sz w:val="24"/>
          <w:szCs w:val="24"/>
          <w:lang w:eastAsia="sk-SK"/>
        </w:rPr>
      </w:pPr>
    </w:p>
    <w:p w:rsidR="002710B0" w:rsidP="00630AB0">
      <w:pPr>
        <w:autoSpaceDE/>
        <w:autoSpaceDN/>
        <w:spacing w:line="240" w:lineRule="auto"/>
        <w:ind w:firstLine="709"/>
        <w:textAlignment w:val="auto"/>
        <w:rPr>
          <w:rFonts w:ascii="Times New Roman" w:hAnsi="Times New Roman" w:cs="Times New Roman"/>
          <w:sz w:val="24"/>
          <w:szCs w:val="24"/>
          <w:lang w:eastAsia="sk-SK"/>
        </w:rPr>
      </w:pPr>
    </w:p>
    <w:p w:rsidR="002710B0" w:rsidP="00630AB0">
      <w:pPr>
        <w:autoSpaceDE/>
        <w:autoSpaceDN/>
        <w:spacing w:line="240" w:lineRule="auto"/>
        <w:ind w:firstLine="709"/>
        <w:textAlignment w:val="auto"/>
        <w:rPr>
          <w:rFonts w:ascii="Times New Roman" w:hAnsi="Times New Roman" w:cs="Times New Roman"/>
          <w:sz w:val="24"/>
          <w:szCs w:val="24"/>
          <w:lang w:eastAsia="sk-SK"/>
        </w:rPr>
      </w:pPr>
    </w:p>
    <w:p w:rsidR="002710B0" w:rsidP="00630AB0">
      <w:pPr>
        <w:autoSpaceDE/>
        <w:autoSpaceDN/>
        <w:spacing w:line="240" w:lineRule="auto"/>
        <w:ind w:firstLine="709"/>
        <w:textAlignment w:val="auto"/>
        <w:rPr>
          <w:rFonts w:ascii="Times New Roman" w:hAnsi="Times New Roman" w:cs="Times New Roman"/>
          <w:sz w:val="24"/>
          <w:szCs w:val="24"/>
          <w:lang w:eastAsia="sk-SK"/>
        </w:rPr>
      </w:pPr>
    </w:p>
    <w:p w:rsidR="009D4707" w:rsidP="00630AB0">
      <w:pPr>
        <w:autoSpaceDE/>
        <w:autoSpaceDN/>
        <w:spacing w:line="240" w:lineRule="auto"/>
        <w:ind w:firstLine="709"/>
        <w:textAlignment w:val="auto"/>
        <w:rPr>
          <w:rFonts w:ascii="Times New Roman" w:hAnsi="Times New Roman" w:cs="Times New Roman"/>
          <w:sz w:val="24"/>
          <w:szCs w:val="24"/>
        </w:rPr>
      </w:pPr>
      <w:r w:rsidR="00630AB0">
        <w:rPr>
          <w:rFonts w:ascii="Times New Roman" w:hAnsi="Times New Roman" w:cs="Times New Roman"/>
          <w:sz w:val="24"/>
          <w:szCs w:val="24"/>
          <w:lang w:eastAsia="sk-SK"/>
        </w:rPr>
        <w:t xml:space="preserve">Z vecného hľadiska bol </w:t>
      </w:r>
      <w:r>
        <w:rPr>
          <w:rFonts w:ascii="Times New Roman" w:hAnsi="Times New Roman" w:cs="Times New Roman"/>
          <w:sz w:val="24"/>
          <w:szCs w:val="24"/>
          <w:lang w:eastAsia="sk-SK"/>
        </w:rPr>
        <w:t xml:space="preserve">v roku </w:t>
      </w:r>
      <w:r w:rsidR="00630AB0">
        <w:rPr>
          <w:rFonts w:ascii="Times New Roman" w:hAnsi="Times New Roman" w:cs="Times New Roman"/>
          <w:sz w:val="24"/>
          <w:szCs w:val="24"/>
          <w:lang w:eastAsia="sk-SK"/>
        </w:rPr>
        <w:t xml:space="preserve">2007 </w:t>
      </w:r>
      <w:r w:rsidRPr="00630AB0" w:rsidR="00630AB0">
        <w:rPr>
          <w:rFonts w:ascii="Times New Roman" w:hAnsi="Times New Roman" w:cs="Times New Roman"/>
          <w:sz w:val="24"/>
          <w:szCs w:val="24"/>
          <w:lang w:eastAsia="sk-SK"/>
        </w:rPr>
        <w:t>spojazd</w:t>
      </w:r>
      <w:r w:rsidR="00630AB0">
        <w:rPr>
          <w:rFonts w:ascii="Times New Roman" w:hAnsi="Times New Roman" w:cs="Times New Roman"/>
          <w:sz w:val="24"/>
          <w:szCs w:val="24"/>
          <w:lang w:eastAsia="sk-SK"/>
        </w:rPr>
        <w:t xml:space="preserve">nený úsek diaľnice D1 Vrtižer – </w:t>
      </w:r>
      <w:r>
        <w:rPr>
          <w:rFonts w:ascii="Times New Roman" w:hAnsi="Times New Roman" w:cs="Times New Roman"/>
          <w:sz w:val="24"/>
          <w:szCs w:val="24"/>
          <w:lang w:eastAsia="sk-SK"/>
        </w:rPr>
        <w:t>Hričovské Podhradie</w:t>
      </w:r>
      <w:r w:rsidR="008219E3">
        <w:rPr>
          <w:rFonts w:ascii="Times New Roman" w:hAnsi="Times New Roman" w:cs="Times New Roman"/>
          <w:sz w:val="24"/>
          <w:szCs w:val="24"/>
          <w:lang w:eastAsia="sk-SK"/>
        </w:rPr>
        <w:t xml:space="preserve"> v dĺžke 12,90 km v plnom profile a úsek D1 Važec – Mengusovce v dĺžke 12,225 km (z toho 7,7 km v polovičnom profile). Ďalej bolo odovzdaných do užívania 7,530 km diaľnice D3 Hričovské Podhradie – Kysucké Nové Mesto, v úseku I. Hričovské Podhradie – Žilina </w:t>
      </w:r>
      <w:r w:rsidR="003362D6">
        <w:rPr>
          <w:rFonts w:ascii="Times New Roman" w:hAnsi="Times New Roman" w:cs="Times New Roman"/>
          <w:sz w:val="24"/>
          <w:szCs w:val="24"/>
          <w:lang w:eastAsia="sk-SK"/>
        </w:rPr>
        <w:t>(</w:t>
      </w:r>
      <w:r w:rsidR="008219E3">
        <w:rPr>
          <w:rFonts w:ascii="Times New Roman" w:hAnsi="Times New Roman" w:cs="Times New Roman"/>
          <w:sz w:val="24"/>
          <w:szCs w:val="24"/>
          <w:lang w:eastAsia="sk-SK"/>
        </w:rPr>
        <w:t>Strážov</w:t>
      </w:r>
      <w:r w:rsidR="003362D6">
        <w:rPr>
          <w:rFonts w:ascii="Times New Roman" w:hAnsi="Times New Roman" w:cs="Times New Roman"/>
          <w:sz w:val="24"/>
          <w:szCs w:val="24"/>
          <w:lang w:eastAsia="sk-SK"/>
        </w:rPr>
        <w:t>)</w:t>
      </w:r>
      <w:r w:rsidR="008219E3">
        <w:rPr>
          <w:rFonts w:ascii="Times New Roman" w:hAnsi="Times New Roman" w:cs="Times New Roman"/>
          <w:sz w:val="24"/>
          <w:szCs w:val="24"/>
          <w:lang w:eastAsia="sk-SK"/>
        </w:rPr>
        <w:t xml:space="preserve"> a diaľnice D2 – Lamačská cesta – Staré grunty v dĺžke 3,661 km, vrátane tunela </w:t>
      </w:r>
      <w:r w:rsidRPr="008219E3" w:rsidR="008219E3">
        <w:rPr>
          <w:rFonts w:ascii="Times New Roman" w:hAnsi="Times New Roman" w:cs="Times New Roman"/>
          <w:sz w:val="24"/>
          <w:szCs w:val="24"/>
          <w:lang w:eastAsia="sk-SK"/>
        </w:rPr>
        <w:t xml:space="preserve">Sitina. </w:t>
      </w:r>
      <w:r w:rsidRPr="008219E3" w:rsidR="008219E3">
        <w:rPr>
          <w:rFonts w:ascii="Times New Roman" w:hAnsi="Times New Roman" w:cs="Times New Roman"/>
          <w:sz w:val="24"/>
          <w:szCs w:val="24"/>
        </w:rPr>
        <w:t>Tunel uviedli do prevádzky 24.6.2007.</w:t>
      </w:r>
    </w:p>
    <w:p w:rsidR="00ED5CDE" w:rsidP="00ED5CDE">
      <w:pPr>
        <w:autoSpaceDE/>
        <w:autoSpaceDN/>
        <w:spacing w:line="240" w:lineRule="auto"/>
        <w:textAlignment w:val="auto"/>
        <w:rPr>
          <w:rFonts w:ascii="Times New Roman" w:hAnsi="Times New Roman" w:cs="Times New Roman"/>
          <w:sz w:val="24"/>
          <w:szCs w:val="24"/>
          <w:u w:val="single"/>
        </w:rPr>
      </w:pPr>
    </w:p>
    <w:p w:rsidR="002710B0" w:rsidP="00731F95">
      <w:pPr>
        <w:autoSpaceDE/>
        <w:autoSpaceDN/>
        <w:spacing w:line="240" w:lineRule="auto"/>
        <w:ind w:firstLine="709"/>
        <w:textAlignment w:val="auto"/>
        <w:rPr>
          <w:rFonts w:ascii="Times New Roman" w:hAnsi="Times New Roman" w:cs="Times New Roman"/>
          <w:sz w:val="24"/>
          <w:szCs w:val="24"/>
          <w:u w:val="single"/>
        </w:rPr>
      </w:pPr>
    </w:p>
    <w:p w:rsidR="00731F95" w:rsidRPr="00731F95" w:rsidP="00731F95">
      <w:pPr>
        <w:autoSpaceDE/>
        <w:autoSpaceDN/>
        <w:spacing w:line="240" w:lineRule="auto"/>
        <w:ind w:firstLine="709"/>
        <w:textAlignment w:val="auto"/>
        <w:rPr>
          <w:rFonts w:ascii="Times New Roman" w:hAnsi="Times New Roman" w:cs="Times New Roman"/>
          <w:sz w:val="24"/>
          <w:szCs w:val="24"/>
          <w:u w:val="single"/>
        </w:rPr>
      </w:pPr>
      <w:r w:rsidRPr="00731F95">
        <w:rPr>
          <w:rFonts w:ascii="Times New Roman" w:hAnsi="Times New Roman" w:cs="Times New Roman"/>
          <w:sz w:val="24"/>
          <w:szCs w:val="24"/>
          <w:u w:val="single"/>
        </w:rPr>
        <w:t>Úver Európskej investičnej banky (EIB)</w:t>
      </w:r>
    </w:p>
    <w:p w:rsidR="00731F95" w:rsidRPr="00731F95" w:rsidP="00731F95">
      <w:pPr>
        <w:autoSpaceDE/>
        <w:autoSpaceDN/>
        <w:spacing w:line="240" w:lineRule="auto"/>
        <w:ind w:firstLine="709"/>
        <w:textAlignment w:val="auto"/>
        <w:rPr>
          <w:rFonts w:ascii="Times New Roman" w:hAnsi="Times New Roman" w:cs="Times New Roman"/>
          <w:sz w:val="24"/>
          <w:szCs w:val="24"/>
          <w:u w:val="single"/>
        </w:rPr>
      </w:pPr>
    </w:p>
    <w:p w:rsidR="00B40AD3" w:rsidRPr="00ED5CDE" w:rsidP="00ED5CDE">
      <w:pPr>
        <w:autoSpaceDE/>
        <w:autoSpaceDN/>
        <w:spacing w:line="240" w:lineRule="auto"/>
        <w:ind w:firstLine="709"/>
        <w:textAlignment w:val="auto"/>
        <w:rPr>
          <w:rFonts w:ascii="Times New Roman" w:hAnsi="Times New Roman" w:cs="Times New Roman"/>
          <w:sz w:val="24"/>
          <w:szCs w:val="24"/>
          <w:u w:val="single"/>
        </w:rPr>
      </w:pPr>
      <w:r w:rsidR="00F67BF3">
        <w:rPr>
          <w:rFonts w:ascii="Times New Roman" w:hAnsi="Times New Roman" w:cs="Times New Roman"/>
          <w:sz w:val="24"/>
          <w:szCs w:val="24"/>
        </w:rPr>
        <w:t xml:space="preserve">Schválený rozpočet </w:t>
      </w:r>
      <w:r w:rsidR="00ED5CDE">
        <w:rPr>
          <w:rFonts w:ascii="Times New Roman" w:hAnsi="Times New Roman" w:cs="Times New Roman"/>
          <w:sz w:val="24"/>
          <w:szCs w:val="24"/>
        </w:rPr>
        <w:t xml:space="preserve">úveru EIB na výstavbu diaľnice D1 Svinia – Prešov na rok 2007 predstavoval 1 750 000 tis. Sk. Rozpočtovými opatreniami, vrátane RO č. 29 (presun nevyčerpaných  zdrojov  do roku 2008),  boli  finančné prostriedky úveru upravené na výšku </w:t>
      </w:r>
      <w:r w:rsidR="00B22900">
        <w:rPr>
          <w:rFonts w:ascii="Times New Roman" w:hAnsi="Times New Roman" w:cs="Times New Roman"/>
          <w:sz w:val="24"/>
          <w:szCs w:val="24"/>
        </w:rPr>
        <w:t xml:space="preserve">1 003 000 tis. Sk, z toho 872 000 tis. Sk </w:t>
      </w:r>
      <w:r w:rsidRPr="00731F95" w:rsidR="00731F95">
        <w:rPr>
          <w:rFonts w:ascii="Times New Roman" w:hAnsi="Times New Roman" w:cs="Times New Roman"/>
          <w:sz w:val="24"/>
          <w:szCs w:val="24"/>
        </w:rPr>
        <w:t>predstavoval plán na rok 2007 a 1</w:t>
      </w:r>
      <w:r w:rsidR="00B22900">
        <w:rPr>
          <w:rFonts w:ascii="Times New Roman" w:hAnsi="Times New Roman" w:cs="Times New Roman"/>
          <w:sz w:val="24"/>
          <w:szCs w:val="24"/>
        </w:rPr>
        <w:t xml:space="preserve">31 000 </w:t>
      </w:r>
      <w:r w:rsidR="00B22900">
        <w:rPr>
          <w:rFonts w:ascii="Times New Roman" w:hAnsi="Times New Roman" w:cs="Times New Roman"/>
          <w:sz w:val="24"/>
          <w:szCs w:val="24"/>
        </w:rPr>
        <w:t>tis. Sk boli zdroje z minulých rokov.</w:t>
      </w:r>
    </w:p>
    <w:p w:rsidR="00ED5CDE" w:rsidP="00ED5CDE">
      <w:pPr>
        <w:autoSpaceDE/>
        <w:autoSpaceDN/>
        <w:spacing w:line="240" w:lineRule="auto"/>
        <w:ind w:firstLine="709"/>
        <w:textAlignment w:val="auto"/>
        <w:rPr>
          <w:rFonts w:ascii="Times New Roman" w:hAnsi="Times New Roman" w:cs="Times New Roman"/>
          <w:sz w:val="24"/>
          <w:szCs w:val="24"/>
        </w:rPr>
      </w:pPr>
    </w:p>
    <w:p w:rsidR="00B40AD3" w:rsidP="00ED5CDE">
      <w:pPr>
        <w:autoSpaceDE/>
        <w:autoSpaceDN/>
        <w:spacing w:line="240" w:lineRule="auto"/>
        <w:ind w:firstLine="709"/>
        <w:textAlignment w:val="auto"/>
        <w:rPr>
          <w:rFonts w:ascii="Times New Roman" w:hAnsi="Times New Roman" w:cs="Times New Roman"/>
          <w:sz w:val="24"/>
          <w:szCs w:val="24"/>
        </w:rPr>
      </w:pPr>
      <w:r w:rsidRPr="00731F95" w:rsidR="00731F95">
        <w:rPr>
          <w:rFonts w:ascii="Times New Roman" w:hAnsi="Times New Roman" w:cs="Times New Roman"/>
          <w:sz w:val="24"/>
          <w:szCs w:val="24"/>
        </w:rPr>
        <w:t>Z pohľadu refundácií došlo v roku 2007 k vyčerpaniu uvedených plánovaných prostriedkov EIB vo výške 100</w:t>
      </w:r>
      <w:r w:rsidR="00731F95">
        <w:rPr>
          <w:rFonts w:ascii="Times New Roman" w:hAnsi="Times New Roman" w:cs="Times New Roman"/>
          <w:sz w:val="24"/>
          <w:szCs w:val="24"/>
        </w:rPr>
        <w:t xml:space="preserve"> </w:t>
      </w:r>
      <w:r w:rsidR="00B22900">
        <w:rPr>
          <w:rFonts w:ascii="Times New Roman" w:hAnsi="Times New Roman" w:cs="Times New Roman"/>
          <w:sz w:val="24"/>
          <w:szCs w:val="24"/>
        </w:rPr>
        <w:t xml:space="preserve">%, keďže </w:t>
      </w:r>
      <w:r w:rsidRPr="00731F95" w:rsidR="00731F95">
        <w:rPr>
          <w:rFonts w:ascii="Times New Roman" w:hAnsi="Times New Roman" w:cs="Times New Roman"/>
          <w:sz w:val="24"/>
          <w:szCs w:val="24"/>
        </w:rPr>
        <w:t>došlo k čer</w:t>
      </w:r>
      <w:r w:rsidR="00B22900">
        <w:rPr>
          <w:rFonts w:ascii="Times New Roman" w:hAnsi="Times New Roman" w:cs="Times New Roman"/>
          <w:sz w:val="24"/>
          <w:szCs w:val="24"/>
        </w:rPr>
        <w:t xml:space="preserve">paniu a zároveň i refundovaniu </w:t>
      </w:r>
      <w:r w:rsidRPr="00731F95" w:rsidR="00731F95">
        <w:rPr>
          <w:rFonts w:ascii="Times New Roman" w:hAnsi="Times New Roman" w:cs="Times New Roman"/>
          <w:sz w:val="24"/>
          <w:szCs w:val="24"/>
        </w:rPr>
        <w:t xml:space="preserve">sumy v celkovej výške 1 002 174 854,60 Sk. </w:t>
      </w:r>
    </w:p>
    <w:p w:rsidR="00ED5CDE" w:rsidP="00731F95">
      <w:pPr>
        <w:autoSpaceDE/>
        <w:autoSpaceDN/>
        <w:spacing w:line="240" w:lineRule="auto"/>
        <w:ind w:firstLine="709"/>
        <w:textAlignment w:val="auto"/>
        <w:rPr>
          <w:rFonts w:ascii="Times New Roman" w:hAnsi="Times New Roman" w:cs="Times New Roman"/>
          <w:sz w:val="24"/>
          <w:szCs w:val="24"/>
        </w:rPr>
      </w:pPr>
    </w:p>
    <w:p w:rsidR="00731F95" w:rsidRPr="00731F95" w:rsidP="00731F95">
      <w:pPr>
        <w:autoSpaceDE/>
        <w:autoSpaceDN/>
        <w:spacing w:line="240" w:lineRule="auto"/>
        <w:ind w:firstLine="709"/>
        <w:textAlignment w:val="auto"/>
        <w:rPr>
          <w:rFonts w:ascii="Times New Roman" w:hAnsi="Times New Roman" w:cs="Times New Roman"/>
          <w:sz w:val="24"/>
          <w:szCs w:val="24"/>
        </w:rPr>
      </w:pPr>
      <w:r w:rsidRPr="00731F95">
        <w:rPr>
          <w:rFonts w:ascii="Times New Roman" w:hAnsi="Times New Roman" w:cs="Times New Roman"/>
          <w:sz w:val="24"/>
          <w:szCs w:val="24"/>
        </w:rPr>
        <w:t>Skutočné finan</w:t>
      </w:r>
      <w:r w:rsidR="00091B00">
        <w:rPr>
          <w:rFonts w:ascii="Times New Roman" w:hAnsi="Times New Roman" w:cs="Times New Roman"/>
          <w:sz w:val="24"/>
          <w:szCs w:val="24"/>
        </w:rPr>
        <w:t>čné</w:t>
      </w:r>
      <w:r w:rsidR="00EB5C51">
        <w:rPr>
          <w:rFonts w:ascii="Times New Roman" w:hAnsi="Times New Roman" w:cs="Times New Roman"/>
          <w:sz w:val="24"/>
          <w:szCs w:val="24"/>
        </w:rPr>
        <w:t xml:space="preserve"> plnenie zo strany NDS, a.s., </w:t>
      </w:r>
      <w:r w:rsidR="00091B00">
        <w:rPr>
          <w:rFonts w:ascii="Times New Roman" w:hAnsi="Times New Roman" w:cs="Times New Roman"/>
          <w:sz w:val="24"/>
          <w:szCs w:val="24"/>
        </w:rPr>
        <w:t>k 31.12.</w:t>
      </w:r>
      <w:r w:rsidRPr="00731F95">
        <w:rPr>
          <w:rFonts w:ascii="Times New Roman" w:hAnsi="Times New Roman" w:cs="Times New Roman"/>
          <w:sz w:val="24"/>
          <w:szCs w:val="24"/>
        </w:rPr>
        <w:t>2007 je vo výške</w:t>
      </w:r>
      <w:r w:rsidRPr="00731F95">
        <w:rPr>
          <w:rFonts w:ascii="Times New Roman" w:hAnsi="Times New Roman" w:cs="Times New Roman"/>
          <w:color w:val="0000FF"/>
          <w:sz w:val="24"/>
          <w:szCs w:val="24"/>
        </w:rPr>
        <w:t xml:space="preserve"> </w:t>
      </w:r>
      <w:r w:rsidRPr="00731F95">
        <w:rPr>
          <w:rFonts w:ascii="Times New Roman" w:hAnsi="Times New Roman" w:cs="Times New Roman"/>
          <w:sz w:val="24"/>
          <w:szCs w:val="24"/>
        </w:rPr>
        <w:t>877 259 476,34 Sk. Stavebné prác</w:t>
      </w:r>
      <w:r>
        <w:rPr>
          <w:rFonts w:ascii="Times New Roman" w:hAnsi="Times New Roman" w:cs="Times New Roman"/>
          <w:sz w:val="24"/>
          <w:szCs w:val="24"/>
        </w:rPr>
        <w:t xml:space="preserve">e a dozor na stavbe D1 Svinia – </w:t>
      </w:r>
      <w:r w:rsidRPr="00731F95">
        <w:rPr>
          <w:rFonts w:ascii="Times New Roman" w:hAnsi="Times New Roman" w:cs="Times New Roman"/>
          <w:sz w:val="24"/>
          <w:szCs w:val="24"/>
        </w:rPr>
        <w:t xml:space="preserve">Prešov západ prebiehali v roku 2007 kontinuálne podľa harmonogramu prác, o čom svedčí aj pravidelná mesačná fakturácia od zhotoviteľov počas roka 2007. </w:t>
      </w:r>
      <w:r w:rsidR="00EB5C51">
        <w:rPr>
          <w:rFonts w:ascii="Times New Roman" w:hAnsi="Times New Roman" w:cs="Times New Roman"/>
          <w:sz w:val="24"/>
          <w:szCs w:val="24"/>
        </w:rPr>
        <w:t xml:space="preserve">Zhotoviteľ predbežne konštatuje, že </w:t>
      </w:r>
      <w:r w:rsidRPr="00731F95">
        <w:rPr>
          <w:rFonts w:ascii="Times New Roman" w:hAnsi="Times New Roman" w:cs="Times New Roman"/>
          <w:sz w:val="24"/>
          <w:szCs w:val="24"/>
        </w:rPr>
        <w:t>te</w:t>
      </w:r>
      <w:r>
        <w:rPr>
          <w:rFonts w:ascii="Times New Roman" w:hAnsi="Times New Roman" w:cs="Times New Roman"/>
          <w:sz w:val="24"/>
          <w:szCs w:val="24"/>
        </w:rPr>
        <w:t xml:space="preserve">rmín uvedenia úseku D1 Svinia – </w:t>
      </w:r>
      <w:r w:rsidRPr="00731F95">
        <w:rPr>
          <w:rFonts w:ascii="Times New Roman" w:hAnsi="Times New Roman" w:cs="Times New Roman"/>
          <w:sz w:val="24"/>
          <w:szCs w:val="24"/>
        </w:rPr>
        <w:t xml:space="preserve">Prešov západ do prevádzky </w:t>
      </w:r>
      <w:r w:rsidR="00EB5C51">
        <w:rPr>
          <w:rFonts w:ascii="Times New Roman" w:hAnsi="Times New Roman" w:cs="Times New Roman"/>
          <w:sz w:val="24"/>
          <w:szCs w:val="24"/>
        </w:rPr>
        <w:t xml:space="preserve">bude </w:t>
      </w:r>
      <w:r w:rsidRPr="00731F95">
        <w:rPr>
          <w:rFonts w:ascii="Times New Roman" w:hAnsi="Times New Roman" w:cs="Times New Roman"/>
          <w:sz w:val="24"/>
          <w:szCs w:val="24"/>
        </w:rPr>
        <w:t xml:space="preserve">v novembri 2009. </w:t>
      </w:r>
    </w:p>
    <w:p w:rsidR="00731F95" w:rsidRPr="00731F95" w:rsidP="00731F95">
      <w:pPr>
        <w:autoSpaceDE/>
        <w:autoSpaceDN/>
        <w:spacing w:line="240" w:lineRule="auto"/>
        <w:ind w:firstLine="709"/>
        <w:textAlignment w:val="auto"/>
        <w:rPr>
          <w:rFonts w:ascii="Times New Roman" w:hAnsi="Times New Roman" w:cs="Times New Roman"/>
          <w:sz w:val="24"/>
          <w:szCs w:val="24"/>
        </w:rPr>
      </w:pPr>
    </w:p>
    <w:p w:rsidR="002710B0" w:rsidP="00731F95">
      <w:pPr>
        <w:autoSpaceDE/>
        <w:autoSpaceDN/>
        <w:spacing w:line="240" w:lineRule="auto"/>
        <w:ind w:firstLine="709"/>
        <w:textAlignment w:val="auto"/>
        <w:rPr>
          <w:rFonts w:ascii="Times New Roman" w:hAnsi="Times New Roman" w:cs="Times New Roman"/>
          <w:sz w:val="24"/>
          <w:szCs w:val="24"/>
          <w:u w:val="single"/>
        </w:rPr>
      </w:pPr>
    </w:p>
    <w:p w:rsidR="00731F95" w:rsidRPr="00731F95" w:rsidP="00731F95">
      <w:pPr>
        <w:autoSpaceDE/>
        <w:autoSpaceDN/>
        <w:spacing w:line="240" w:lineRule="auto"/>
        <w:ind w:firstLine="709"/>
        <w:textAlignment w:val="auto"/>
        <w:rPr>
          <w:rFonts w:ascii="Times New Roman" w:hAnsi="Times New Roman" w:cs="Times New Roman"/>
          <w:sz w:val="24"/>
          <w:szCs w:val="24"/>
          <w:u w:val="single"/>
        </w:rPr>
      </w:pPr>
      <w:r w:rsidRPr="00731F95">
        <w:rPr>
          <w:rFonts w:ascii="Times New Roman" w:hAnsi="Times New Roman" w:cs="Times New Roman"/>
          <w:sz w:val="24"/>
          <w:szCs w:val="24"/>
          <w:u w:val="single"/>
        </w:rPr>
        <w:t>Úver JBIC</w:t>
      </w:r>
    </w:p>
    <w:p w:rsidR="00731F95" w:rsidRPr="00731F95" w:rsidP="00731F95">
      <w:pPr>
        <w:autoSpaceDE/>
        <w:autoSpaceDN/>
        <w:spacing w:line="240" w:lineRule="auto"/>
        <w:ind w:firstLine="709"/>
        <w:textAlignment w:val="auto"/>
        <w:rPr>
          <w:rFonts w:ascii="Times New Roman" w:hAnsi="Times New Roman" w:cs="Times New Roman"/>
          <w:sz w:val="24"/>
          <w:szCs w:val="24"/>
        </w:rPr>
      </w:pPr>
    </w:p>
    <w:p w:rsidR="009E351C" w:rsidP="00731F95">
      <w:pPr>
        <w:autoSpaceDE/>
        <w:autoSpaceDN/>
        <w:spacing w:line="240" w:lineRule="auto"/>
        <w:ind w:firstLine="709"/>
        <w:textAlignment w:val="auto"/>
        <w:rPr>
          <w:rFonts w:ascii="Times New Roman" w:hAnsi="Times New Roman" w:cs="Times New Roman"/>
          <w:sz w:val="24"/>
          <w:szCs w:val="24"/>
        </w:rPr>
      </w:pPr>
      <w:r w:rsidR="00ED5CDE">
        <w:rPr>
          <w:rFonts w:ascii="Times New Roman" w:hAnsi="Times New Roman" w:cs="Times New Roman"/>
          <w:sz w:val="24"/>
          <w:szCs w:val="24"/>
        </w:rPr>
        <w:t xml:space="preserve">Schválený rozpočet úveru JBIC na výstavbu diaľnice D2 Lamačská cesta – Staré Grunty na rok 2007 predstavoval 284 000 tis. Sk. Rozpočtovými opatreniami, vrátane RO č. 29 (presun nevyčerpaných  zdrojov  do roku 2008),  boli  finančné prostriedky úveru upravené na výšku 483 970 tis. Sk. </w:t>
      </w:r>
      <w:r w:rsidR="00091B00">
        <w:rPr>
          <w:rFonts w:ascii="Times New Roman" w:hAnsi="Times New Roman" w:cs="Times New Roman"/>
          <w:sz w:val="24"/>
          <w:szCs w:val="24"/>
        </w:rPr>
        <w:t>P</w:t>
      </w:r>
      <w:r w:rsidRPr="00731F95" w:rsidR="00731F95">
        <w:rPr>
          <w:rFonts w:ascii="Times New Roman" w:hAnsi="Times New Roman" w:cs="Times New Roman"/>
          <w:sz w:val="24"/>
          <w:szCs w:val="24"/>
        </w:rPr>
        <w:t xml:space="preserve">oužité </w:t>
      </w:r>
      <w:r w:rsidR="00091B00">
        <w:rPr>
          <w:rFonts w:ascii="Times New Roman" w:hAnsi="Times New Roman" w:cs="Times New Roman"/>
          <w:sz w:val="24"/>
          <w:szCs w:val="24"/>
        </w:rPr>
        <w:t xml:space="preserve">boli </w:t>
      </w:r>
      <w:r w:rsidRPr="00731F95" w:rsidR="00731F95">
        <w:rPr>
          <w:rFonts w:ascii="Times New Roman" w:hAnsi="Times New Roman" w:cs="Times New Roman"/>
          <w:sz w:val="24"/>
          <w:szCs w:val="24"/>
        </w:rPr>
        <w:t xml:space="preserve">v súlade s plánom v celkovej výške 480 975 237,82 Sk. </w:t>
      </w:r>
    </w:p>
    <w:p w:rsidR="00B40AD3" w:rsidP="00731F95">
      <w:pPr>
        <w:autoSpaceDE/>
        <w:autoSpaceDN/>
        <w:spacing w:line="240" w:lineRule="auto"/>
        <w:ind w:firstLine="709"/>
        <w:textAlignment w:val="auto"/>
        <w:rPr>
          <w:rFonts w:ascii="Times New Roman" w:hAnsi="Times New Roman" w:cs="Times New Roman"/>
          <w:iCs/>
          <w:sz w:val="24"/>
          <w:szCs w:val="24"/>
        </w:rPr>
      </w:pPr>
    </w:p>
    <w:p w:rsidR="00731F95" w:rsidRPr="00731F95" w:rsidP="00731F95">
      <w:pPr>
        <w:autoSpaceDE/>
        <w:autoSpaceDN/>
        <w:spacing w:line="240" w:lineRule="auto"/>
        <w:ind w:firstLine="709"/>
        <w:textAlignment w:val="auto"/>
        <w:rPr>
          <w:rFonts w:ascii="Times New Roman" w:hAnsi="Times New Roman" w:cs="Times New Roman"/>
          <w:sz w:val="24"/>
          <w:szCs w:val="24"/>
          <w:u w:val="single"/>
        </w:rPr>
      </w:pPr>
      <w:r w:rsidRPr="00731F95">
        <w:rPr>
          <w:rFonts w:ascii="Times New Roman" w:hAnsi="Times New Roman" w:cs="Times New Roman"/>
          <w:iCs/>
          <w:sz w:val="24"/>
          <w:szCs w:val="24"/>
        </w:rPr>
        <w:t>Ú</w:t>
      </w:r>
      <w:r w:rsidR="009E351C">
        <w:rPr>
          <w:rFonts w:ascii="Times New Roman" w:hAnsi="Times New Roman" w:cs="Times New Roman"/>
          <w:sz w:val="24"/>
          <w:szCs w:val="24"/>
        </w:rPr>
        <w:t>hrada fakt</w:t>
      </w:r>
      <w:r w:rsidR="009E351C">
        <w:rPr>
          <w:rFonts w:ascii="Times New Roman" w:hAnsi="Times New Roman" w:cs="Times New Roman"/>
          <w:sz w:val="24"/>
          <w:szCs w:val="24"/>
        </w:rPr>
        <w:t xml:space="preserve">úr za mesiace máj – </w:t>
      </w:r>
      <w:r w:rsidRPr="00731F95">
        <w:rPr>
          <w:rFonts w:ascii="Times New Roman" w:hAnsi="Times New Roman" w:cs="Times New Roman"/>
          <w:sz w:val="24"/>
          <w:szCs w:val="24"/>
        </w:rPr>
        <w:t>november 2007 na uvedenú investičnú akciu bola v priebehu roka 2007 pozastavená z dôvodu prekročenia zmluvnej ceny diela a nepodpísania dodatkov č. 13, 14, 15 týkajúcich sa navýšenia zmluvnej ceny. Koncom roka 2007 došlo k podpísaniu do</w:t>
      </w:r>
      <w:r w:rsidRPr="00731F95">
        <w:rPr>
          <w:rFonts w:ascii="Times New Roman" w:hAnsi="Times New Roman" w:cs="Times New Roman"/>
          <w:sz w:val="24"/>
          <w:szCs w:val="24"/>
        </w:rPr>
        <w:t>datkov č. 13, 14, na základe ktorých boli vykonané čiastočné úh</w:t>
      </w:r>
      <w:r w:rsidR="00091B00">
        <w:rPr>
          <w:rFonts w:ascii="Times New Roman" w:hAnsi="Times New Roman" w:cs="Times New Roman"/>
          <w:sz w:val="24"/>
          <w:szCs w:val="24"/>
        </w:rPr>
        <w:t xml:space="preserve">rady faktúr za mesiace máj – </w:t>
      </w:r>
      <w:r w:rsidRPr="00731F95">
        <w:rPr>
          <w:rFonts w:ascii="Times New Roman" w:hAnsi="Times New Roman" w:cs="Times New Roman"/>
          <w:sz w:val="24"/>
          <w:szCs w:val="24"/>
        </w:rPr>
        <w:t>jún</w:t>
      </w:r>
      <w:r w:rsidR="00091B00">
        <w:rPr>
          <w:rFonts w:ascii="Times New Roman" w:hAnsi="Times New Roman" w:cs="Times New Roman"/>
          <w:sz w:val="24"/>
          <w:szCs w:val="24"/>
        </w:rPr>
        <w:t xml:space="preserve"> 2007. Faktúry za mesiace júl – </w:t>
      </w:r>
      <w:r w:rsidRPr="00731F95">
        <w:rPr>
          <w:rFonts w:ascii="Times New Roman" w:hAnsi="Times New Roman" w:cs="Times New Roman"/>
          <w:sz w:val="24"/>
          <w:szCs w:val="24"/>
        </w:rPr>
        <w:t xml:space="preserve">november 2007 </w:t>
      </w:r>
      <w:r w:rsidR="00091B00">
        <w:rPr>
          <w:rFonts w:ascii="Times New Roman" w:hAnsi="Times New Roman" w:cs="Times New Roman"/>
          <w:sz w:val="24"/>
          <w:szCs w:val="24"/>
        </w:rPr>
        <w:t xml:space="preserve">neboli zatiaľ uhradené, keďže </w:t>
      </w:r>
      <w:r w:rsidRPr="00731F95">
        <w:rPr>
          <w:rFonts w:ascii="Times New Roman" w:hAnsi="Times New Roman" w:cs="Times New Roman"/>
          <w:sz w:val="24"/>
          <w:szCs w:val="24"/>
        </w:rPr>
        <w:t>nebola doteraz odsúhlasená jednotková cena na prekročené položky niektorých objektov stavby. Zároveň došlo k podpísaniu dodatku č. 16, ktorým bolo schválené predĺženie doby</w:t>
      </w:r>
      <w:r w:rsidR="00091B00">
        <w:rPr>
          <w:rFonts w:ascii="Times New Roman" w:hAnsi="Times New Roman" w:cs="Times New Roman"/>
          <w:sz w:val="24"/>
          <w:szCs w:val="24"/>
        </w:rPr>
        <w:t xml:space="preserve"> výstavby tejto diaľnice do 31.12.</w:t>
      </w:r>
      <w:r w:rsidRPr="00731F95">
        <w:rPr>
          <w:rFonts w:ascii="Times New Roman" w:hAnsi="Times New Roman" w:cs="Times New Roman"/>
          <w:sz w:val="24"/>
          <w:szCs w:val="24"/>
        </w:rPr>
        <w:t>2007.</w:t>
      </w:r>
    </w:p>
    <w:p w:rsidR="002F5E07" w:rsidP="00630AB0">
      <w:pPr>
        <w:spacing w:line="240" w:lineRule="auto"/>
        <w:rPr>
          <w:rFonts w:ascii="Times New Roman" w:hAnsi="Times New Roman" w:cs="Times New Roman"/>
          <w:sz w:val="24"/>
          <w:szCs w:val="24"/>
        </w:rPr>
      </w:pPr>
    </w:p>
    <w:p w:rsidR="00ED5CDE" w:rsidP="00630AB0">
      <w:pPr>
        <w:spacing w:line="240" w:lineRule="auto"/>
        <w:rPr>
          <w:rFonts w:ascii="Times New Roman" w:hAnsi="Times New Roman" w:cs="Times New Roman"/>
          <w:sz w:val="24"/>
          <w:szCs w:val="24"/>
        </w:rPr>
      </w:pPr>
    </w:p>
    <w:p w:rsidR="002710B0" w:rsidP="00630AB0">
      <w:pPr>
        <w:spacing w:line="240" w:lineRule="auto"/>
        <w:rPr>
          <w:rFonts w:ascii="Times New Roman" w:hAnsi="Times New Roman" w:cs="Times New Roman"/>
          <w:sz w:val="24"/>
          <w:szCs w:val="24"/>
        </w:rPr>
      </w:pPr>
    </w:p>
    <w:p w:rsidR="002710B0" w:rsidP="00630AB0">
      <w:pPr>
        <w:spacing w:line="240" w:lineRule="auto"/>
        <w:rPr>
          <w:rFonts w:ascii="Times New Roman" w:hAnsi="Times New Roman" w:cs="Times New Roman"/>
          <w:sz w:val="24"/>
          <w:szCs w:val="24"/>
        </w:rPr>
      </w:pPr>
    </w:p>
    <w:p w:rsidR="002710B0" w:rsidRPr="004B6FBB" w:rsidP="00630AB0">
      <w:pPr>
        <w:spacing w:line="240" w:lineRule="auto"/>
        <w:rPr>
          <w:rFonts w:ascii="Times New Roman" w:hAnsi="Times New Roman" w:cs="Times New Roman"/>
          <w:sz w:val="24"/>
          <w:szCs w:val="24"/>
        </w:rPr>
      </w:pPr>
    </w:p>
    <w:p w:rsidR="00684D28" w:rsidP="00C362EA">
      <w:pPr>
        <w:spacing w:line="240" w:lineRule="auto"/>
        <w:rPr>
          <w:rFonts w:ascii="Times New Roman" w:hAnsi="Times New Roman" w:cs="Times New Roman"/>
          <w:b/>
          <w:sz w:val="24"/>
          <w:szCs w:val="24"/>
          <w:u w:val="single"/>
        </w:rPr>
      </w:pPr>
      <w:r w:rsidRPr="00DF02C6">
        <w:rPr>
          <w:rFonts w:ascii="Times New Roman" w:hAnsi="Times New Roman" w:cs="Times New Roman"/>
          <w:b/>
          <w:sz w:val="24"/>
          <w:szCs w:val="24"/>
          <w:u w:val="single"/>
        </w:rPr>
        <w:t>3. Kapitálové transfery (720) na výstavbu diaľnic a r</w:t>
      </w:r>
      <w:r>
        <w:rPr>
          <w:rFonts w:ascii="Times New Roman" w:hAnsi="Times New Roman" w:cs="Times New Roman"/>
          <w:b/>
          <w:sz w:val="24"/>
          <w:szCs w:val="24"/>
          <w:u w:val="single"/>
        </w:rPr>
        <w:t xml:space="preserve">ýchlostných ciest – </w:t>
      </w:r>
      <w:r w:rsidRPr="00DF02C6">
        <w:rPr>
          <w:rFonts w:ascii="Times New Roman" w:hAnsi="Times New Roman" w:cs="Times New Roman"/>
          <w:b/>
          <w:sz w:val="24"/>
          <w:szCs w:val="24"/>
          <w:u w:val="single"/>
        </w:rPr>
        <w:t>prostriedky z rozpočtu EÚ a príslušné spolufinancovanie zo štátneho rozpočtu</w:t>
      </w:r>
    </w:p>
    <w:p w:rsidR="00684D28" w:rsidP="00C362EA">
      <w:pPr>
        <w:spacing w:line="240" w:lineRule="auto"/>
        <w:rPr>
          <w:rFonts w:ascii="Times New Roman" w:hAnsi="Times New Roman" w:cs="Times New Roman"/>
          <w:b/>
          <w:sz w:val="24"/>
          <w:szCs w:val="24"/>
          <w:u w:val="single"/>
        </w:rPr>
      </w:pPr>
    </w:p>
    <w:p w:rsidR="00C965AD" w:rsidP="00C362EA">
      <w:pPr>
        <w:spacing w:line="240" w:lineRule="auto"/>
        <w:rPr>
          <w:rFonts w:ascii="Times New Roman" w:hAnsi="Times New Roman" w:cs="Times New Roman"/>
          <w:b/>
          <w:sz w:val="24"/>
          <w:szCs w:val="24"/>
          <w:u w:val="single"/>
        </w:rPr>
      </w:pPr>
    </w:p>
    <w:p w:rsidR="00684D28" w:rsidRPr="00343FBD" w:rsidP="00C362EA">
      <w:pPr>
        <w:spacing w:line="240" w:lineRule="auto"/>
        <w:jc w:val="center"/>
        <w:rPr>
          <w:rFonts w:ascii="Times New Roman" w:hAnsi="Times New Roman" w:cs="Times New Roman"/>
          <w:b/>
          <w:sz w:val="24"/>
          <w:szCs w:val="24"/>
          <w:u w:val="single"/>
        </w:rPr>
      </w:pPr>
      <w:r w:rsidRPr="00343FBD">
        <w:rPr>
          <w:rFonts w:ascii="Times New Roman" w:hAnsi="Times New Roman" w:cs="Times New Roman"/>
          <w:b/>
          <w:sz w:val="24"/>
          <w:szCs w:val="24"/>
          <w:u w:val="single"/>
        </w:rPr>
        <w:t>Prehľad prostriedkov z rozpočtu EÚ a príslušného spo</w:t>
      </w:r>
      <w:r w:rsidR="004774BC">
        <w:rPr>
          <w:rFonts w:ascii="Times New Roman" w:hAnsi="Times New Roman" w:cs="Times New Roman"/>
          <w:b/>
          <w:sz w:val="24"/>
          <w:szCs w:val="24"/>
          <w:u w:val="single"/>
        </w:rPr>
        <w:t>lufinancovania zo ŠR za rok 2007</w:t>
      </w:r>
    </w:p>
    <w:p w:rsidR="00C965AD" w:rsidP="00A7415F">
      <w:pPr>
        <w:spacing w:line="240" w:lineRule="auto"/>
        <w:rPr>
          <w:rFonts w:ascii="Arial Narrow" w:hAnsi="Arial Narrow" w:cs="Times New Roman"/>
        </w:rPr>
      </w:pPr>
    </w:p>
    <w:p w:rsidR="00065584" w:rsidRPr="00A7415F" w:rsidP="00A7415F">
      <w:pPr>
        <w:spacing w:line="240" w:lineRule="auto"/>
        <w:rPr>
          <w:rFonts w:ascii="Arial Narrow" w:hAnsi="Arial Narrow" w:cs="Times New Roman"/>
        </w:rPr>
      </w:pPr>
      <w:r w:rsidRPr="001D06AB" w:rsidR="00684D28">
        <w:rPr>
          <w:rFonts w:ascii="Arial Narrow" w:hAnsi="Arial Narrow" w:cs="Times New Roman"/>
        </w:rPr>
        <w:t xml:space="preserve">                                </w:t>
      </w:r>
      <w:r w:rsidR="00A7415F">
        <w:rPr>
          <w:rFonts w:ascii="Arial Narrow" w:hAnsi="Arial Narrow" w:cs="Times New Roman"/>
        </w:rPr>
        <w:t xml:space="preserve">                              </w:t>
      </w:r>
    </w:p>
    <w:p w:rsidR="00065584" w:rsidRPr="006B5EB3" w:rsidP="00065584">
      <w:pPr>
        <w:spacing w:line="240" w:lineRule="auto"/>
        <w:rPr>
          <w:rFonts w:ascii="Arial Narrow" w:hAnsi="Arial Narrow" w:cs="Times New Roman"/>
        </w:rPr>
      </w:pPr>
      <w:r w:rsidRPr="006B5EB3">
        <w:rPr>
          <w:rFonts w:ascii="Arial Narrow" w:hAnsi="Arial Narrow" w:cs="Times New Roman"/>
        </w:rPr>
        <w:t xml:space="preserve">                                                                                                                                                    </w:t>
      </w:r>
      <w:r>
        <w:rPr>
          <w:rFonts w:ascii="Arial Narrow" w:hAnsi="Arial Narrow" w:cs="Times New Roman"/>
        </w:rPr>
        <w:t xml:space="preserve">                                 </w:t>
      </w:r>
      <w:r w:rsidRPr="006B5EB3">
        <w:rPr>
          <w:rFonts w:ascii="Arial Narrow" w:hAnsi="Arial Narrow" w:cs="Times New Roman"/>
        </w:rPr>
        <w:t>(v tis. Sk)</w:t>
      </w:r>
    </w:p>
    <w:tbl>
      <w:tblPr>
        <w:tblW w:w="11199" w:type="dxa"/>
        <w:tblInd w:w="-1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
      <w:tblGrid>
        <w:gridCol w:w="2520"/>
        <w:gridCol w:w="900"/>
        <w:gridCol w:w="738"/>
        <w:gridCol w:w="797"/>
        <w:gridCol w:w="802"/>
        <w:gridCol w:w="723"/>
        <w:gridCol w:w="567"/>
        <w:gridCol w:w="797"/>
        <w:gridCol w:w="746"/>
        <w:gridCol w:w="846"/>
        <w:gridCol w:w="825"/>
        <w:gridCol w:w="938"/>
      </w:tblGrid>
      <w:tr>
        <w:tblPrEx>
          <w:tblW w:w="11199" w:type="dxa"/>
          <w:tblInd w:w="-1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480"/>
        </w:trPr>
        <w:tc>
          <w:tcPr>
            <w:tcW w:w="2520" w:type="dxa"/>
            <w:vMerge w:val="restart"/>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065584" w:rsidRPr="001D06AB" w:rsidP="00EF5371">
            <w:pPr>
              <w:spacing w:line="240" w:lineRule="auto"/>
              <w:jc w:val="center"/>
              <w:rPr>
                <w:rFonts w:ascii="Arial Narrow" w:hAnsi="Arial Narrow" w:cs="Times New Roman"/>
                <w:b/>
                <w:bCs/>
                <w:sz w:val="28"/>
                <w:szCs w:val="28"/>
              </w:rPr>
            </w:pPr>
            <w:r w:rsidRPr="001D06AB">
              <w:rPr>
                <w:rFonts w:ascii="Arial Narrow" w:hAnsi="Arial Narrow" w:cs="Times New Roman"/>
                <w:b/>
                <w:bCs/>
                <w:sz w:val="28"/>
                <w:szCs w:val="28"/>
              </w:rPr>
              <w:t>Projekt</w:t>
            </w:r>
          </w:p>
        </w:tc>
        <w:tc>
          <w:tcPr>
            <w:tcW w:w="3237" w:type="dxa"/>
            <w:gridSpan w:val="4"/>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065584" w:rsidRPr="001D06AB" w:rsidP="00EF5371">
            <w:pPr>
              <w:spacing w:line="240" w:lineRule="auto"/>
              <w:jc w:val="center"/>
              <w:rPr>
                <w:rFonts w:ascii="Arial Narrow" w:hAnsi="Arial Narrow" w:cs="Times New Roman"/>
                <w:b/>
                <w:bCs/>
                <w:sz w:val="28"/>
                <w:szCs w:val="28"/>
              </w:rPr>
            </w:pPr>
            <w:r w:rsidRPr="001D06AB">
              <w:rPr>
                <w:rFonts w:ascii="Arial Narrow" w:hAnsi="Arial Narrow" w:cs="Times New Roman"/>
                <w:b/>
                <w:bCs/>
                <w:sz w:val="28"/>
                <w:szCs w:val="28"/>
              </w:rPr>
              <w:t>Rozpočet</w:t>
            </w:r>
          </w:p>
        </w:tc>
        <w:tc>
          <w:tcPr>
            <w:tcW w:w="2833" w:type="dxa"/>
            <w:gridSpan w:val="4"/>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065584" w:rsidRPr="001D06AB" w:rsidP="00EF5371">
            <w:pPr>
              <w:spacing w:line="240" w:lineRule="auto"/>
              <w:jc w:val="center"/>
              <w:rPr>
                <w:rFonts w:ascii="Arial Narrow" w:hAnsi="Arial Narrow" w:cs="Times New Roman"/>
                <w:b/>
                <w:bCs/>
                <w:sz w:val="28"/>
                <w:szCs w:val="28"/>
              </w:rPr>
            </w:pPr>
            <w:r w:rsidRPr="001D06AB">
              <w:rPr>
                <w:rFonts w:ascii="Arial Narrow" w:hAnsi="Arial Narrow" w:cs="Times New Roman"/>
                <w:b/>
                <w:bCs/>
                <w:sz w:val="28"/>
                <w:szCs w:val="28"/>
              </w:rPr>
              <w:t>Čerpanie výdavkov</w:t>
            </w:r>
          </w:p>
        </w:tc>
        <w:tc>
          <w:tcPr>
            <w:tcW w:w="2609" w:type="dxa"/>
            <w:gridSpan w:val="3"/>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065584" w:rsidRPr="001D06AB" w:rsidP="00EF5371">
            <w:pPr>
              <w:spacing w:line="240" w:lineRule="auto"/>
              <w:jc w:val="center"/>
              <w:rPr>
                <w:rFonts w:ascii="Arial Narrow" w:hAnsi="Arial Narrow" w:cs="Times New Roman"/>
                <w:b/>
                <w:bCs/>
                <w:sz w:val="28"/>
                <w:szCs w:val="28"/>
              </w:rPr>
            </w:pPr>
            <w:r w:rsidRPr="001D06AB">
              <w:rPr>
                <w:rFonts w:ascii="Arial Narrow" w:hAnsi="Arial Narrow" w:cs="Times New Roman"/>
                <w:b/>
                <w:bCs/>
                <w:sz w:val="28"/>
                <w:szCs w:val="28"/>
              </w:rPr>
              <w:t>Zostatok</w:t>
            </w:r>
          </w:p>
        </w:tc>
      </w:tr>
      <w:tr>
        <w:tblPrEx>
          <w:tblW w:w="11199" w:type="dxa"/>
          <w:tblInd w:w="-1010" w:type="dxa"/>
          <w:tblCellMar>
            <w:left w:w="70" w:type="dxa"/>
            <w:right w:w="70" w:type="dxa"/>
          </w:tblCellMar>
        </w:tblPrEx>
        <w:trPr>
          <w:trHeight w:val="345"/>
        </w:trPr>
        <w:tc>
          <w:tcPr>
            <w:tcW w:w="2520" w:type="dxa"/>
            <w:vMerge/>
            <w:tcBorders>
              <w:top w:val="single" w:sz="4" w:space="0" w:color="auto"/>
              <w:left w:val="single" w:sz="4" w:space="0" w:color="auto"/>
              <w:bottom w:val="single" w:sz="4" w:space="0" w:color="auto"/>
              <w:right w:val="single" w:sz="4" w:space="0" w:color="auto"/>
              <w:tl2br w:val="nil"/>
              <w:tr2bl w:val="nil"/>
            </w:tcBorders>
            <w:textDirection w:val="lrTb"/>
            <w:vAlign w:val="center"/>
          </w:tcPr>
          <w:p w:rsidR="00065584" w:rsidRPr="001D06AB" w:rsidP="00EF5371">
            <w:pPr>
              <w:spacing w:line="240" w:lineRule="auto"/>
              <w:rPr>
                <w:rFonts w:ascii="Arial Narrow" w:hAnsi="Arial Narrow" w:cs="Times New Roman"/>
                <w:b/>
                <w:bCs/>
              </w:rPr>
            </w:pPr>
          </w:p>
        </w:tc>
        <w:tc>
          <w:tcPr>
            <w:tcW w:w="900" w:type="dxa"/>
            <w:vMerge w:val="restart"/>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065584" w:rsidRPr="001E3413" w:rsidP="00EF5371">
            <w:pPr>
              <w:spacing w:line="240" w:lineRule="auto"/>
              <w:jc w:val="center"/>
              <w:rPr>
                <w:rFonts w:ascii="Arial Narrow" w:hAnsi="Arial Narrow" w:cs="Times New Roman"/>
                <w:sz w:val="18"/>
                <w:szCs w:val="18"/>
              </w:rPr>
            </w:pPr>
            <w:r w:rsidRPr="001E3413">
              <w:rPr>
                <w:rFonts w:ascii="Arial Narrow" w:hAnsi="Arial Narrow" w:cs="Times New Roman"/>
                <w:sz w:val="18"/>
                <w:szCs w:val="18"/>
              </w:rPr>
              <w:t xml:space="preserve">EÚ </w:t>
            </w:r>
          </w:p>
        </w:tc>
        <w:tc>
          <w:tcPr>
            <w:tcW w:w="738" w:type="dxa"/>
            <w:vMerge w:val="restart"/>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065584" w:rsidRPr="001E3413" w:rsidP="00EF5371">
            <w:pPr>
              <w:spacing w:line="240" w:lineRule="auto"/>
              <w:jc w:val="center"/>
              <w:rPr>
                <w:rFonts w:ascii="Arial Narrow" w:hAnsi="Arial Narrow" w:cs="Times New Roman"/>
                <w:sz w:val="18"/>
                <w:szCs w:val="18"/>
              </w:rPr>
            </w:pPr>
            <w:r w:rsidRPr="001E3413">
              <w:rPr>
                <w:rFonts w:ascii="Arial Narrow" w:hAnsi="Arial Narrow" w:cs="Times New Roman"/>
                <w:sz w:val="18"/>
                <w:szCs w:val="18"/>
              </w:rPr>
              <w:t xml:space="preserve">ŠR </w:t>
            </w:r>
          </w:p>
        </w:tc>
        <w:tc>
          <w:tcPr>
            <w:tcW w:w="1599" w:type="dxa"/>
            <w:gridSpan w:val="2"/>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065584" w:rsidRPr="001E3413" w:rsidP="00EF5371">
            <w:pPr>
              <w:spacing w:line="240" w:lineRule="auto"/>
              <w:jc w:val="center"/>
              <w:rPr>
                <w:rFonts w:ascii="Arial Narrow" w:hAnsi="Arial Narrow" w:cs="Times New Roman"/>
                <w:sz w:val="18"/>
                <w:szCs w:val="18"/>
              </w:rPr>
            </w:pPr>
            <w:r w:rsidRPr="001E3413">
              <w:rPr>
                <w:rFonts w:ascii="Arial Narrow" w:hAnsi="Arial Narrow" w:cs="Times New Roman"/>
                <w:sz w:val="18"/>
                <w:szCs w:val="18"/>
              </w:rPr>
              <w:t>Prost. z min. rokov</w:t>
            </w:r>
          </w:p>
        </w:tc>
        <w:tc>
          <w:tcPr>
            <w:tcW w:w="723" w:type="dxa"/>
            <w:vMerge w:val="restart"/>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065584" w:rsidRPr="001E3413" w:rsidP="00EF5371">
            <w:pPr>
              <w:spacing w:line="240" w:lineRule="auto"/>
              <w:jc w:val="center"/>
              <w:rPr>
                <w:rFonts w:ascii="Arial Narrow" w:hAnsi="Arial Narrow" w:cs="Times New Roman"/>
                <w:sz w:val="18"/>
                <w:szCs w:val="18"/>
              </w:rPr>
            </w:pPr>
            <w:r w:rsidRPr="001E3413">
              <w:rPr>
                <w:rFonts w:ascii="Arial Narrow" w:hAnsi="Arial Narrow" w:cs="Times New Roman"/>
                <w:sz w:val="18"/>
                <w:szCs w:val="18"/>
              </w:rPr>
              <w:t>EÚ</w:t>
            </w:r>
          </w:p>
          <w:p w:rsidR="00065584" w:rsidRPr="001E3413" w:rsidP="00EF5371">
            <w:pPr>
              <w:spacing w:line="240" w:lineRule="auto"/>
              <w:jc w:val="center"/>
              <w:rPr>
                <w:rFonts w:ascii="Arial Narrow" w:hAnsi="Arial Narrow" w:cs="Times New Roman"/>
                <w:sz w:val="18"/>
                <w:szCs w:val="18"/>
              </w:rPr>
            </w:pPr>
            <w:r>
              <w:rPr>
                <w:rFonts w:ascii="Arial Narrow" w:hAnsi="Arial Narrow" w:cs="Times New Roman"/>
                <w:sz w:val="18"/>
                <w:szCs w:val="18"/>
              </w:rPr>
              <w:t xml:space="preserve"> (</w:t>
            </w:r>
            <w:r w:rsidR="004774BC">
              <w:rPr>
                <w:rFonts w:ascii="Arial Narrow" w:hAnsi="Arial Narrow" w:cs="Times New Roman"/>
                <w:sz w:val="18"/>
                <w:szCs w:val="18"/>
              </w:rPr>
              <w:t>2007</w:t>
            </w:r>
            <w:r w:rsidRPr="001E3413">
              <w:rPr>
                <w:rFonts w:ascii="Arial Narrow" w:hAnsi="Arial Narrow" w:cs="Times New Roman"/>
                <w:sz w:val="18"/>
                <w:szCs w:val="18"/>
              </w:rPr>
              <w:t>)</w:t>
            </w:r>
          </w:p>
        </w:tc>
        <w:tc>
          <w:tcPr>
            <w:tcW w:w="567" w:type="dxa"/>
            <w:vMerge w:val="restart"/>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065584" w:rsidRPr="001E3413" w:rsidP="00EF5371">
            <w:pPr>
              <w:spacing w:line="240" w:lineRule="auto"/>
              <w:jc w:val="center"/>
              <w:rPr>
                <w:rFonts w:ascii="Arial Narrow" w:hAnsi="Arial Narrow" w:cs="Times New Roman"/>
                <w:sz w:val="18"/>
                <w:szCs w:val="18"/>
              </w:rPr>
            </w:pPr>
            <w:r w:rsidRPr="001E3413">
              <w:rPr>
                <w:rFonts w:ascii="Arial Narrow" w:hAnsi="Arial Narrow" w:cs="Times New Roman"/>
                <w:sz w:val="18"/>
                <w:szCs w:val="18"/>
              </w:rPr>
              <w:t>ŠR</w:t>
            </w:r>
          </w:p>
          <w:p w:rsidR="00065584" w:rsidRPr="001E3413" w:rsidP="00EF5371">
            <w:pPr>
              <w:spacing w:line="240" w:lineRule="auto"/>
              <w:jc w:val="center"/>
              <w:rPr>
                <w:rFonts w:ascii="Arial Narrow" w:hAnsi="Arial Narrow" w:cs="Times New Roman"/>
                <w:sz w:val="18"/>
                <w:szCs w:val="18"/>
              </w:rPr>
            </w:pPr>
            <w:r>
              <w:rPr>
                <w:rFonts w:ascii="Arial Narrow" w:hAnsi="Arial Narrow" w:cs="Times New Roman"/>
                <w:sz w:val="18"/>
                <w:szCs w:val="18"/>
              </w:rPr>
              <w:t>(</w:t>
            </w:r>
            <w:r w:rsidR="004774BC">
              <w:rPr>
                <w:rFonts w:ascii="Arial Narrow" w:hAnsi="Arial Narrow" w:cs="Times New Roman"/>
                <w:sz w:val="18"/>
                <w:szCs w:val="18"/>
              </w:rPr>
              <w:t>2007</w:t>
            </w:r>
            <w:r w:rsidRPr="001E3413">
              <w:rPr>
                <w:rFonts w:ascii="Arial Narrow" w:hAnsi="Arial Narrow" w:cs="Times New Roman"/>
                <w:sz w:val="18"/>
                <w:szCs w:val="18"/>
              </w:rPr>
              <w:t>)</w:t>
            </w:r>
          </w:p>
        </w:tc>
        <w:tc>
          <w:tcPr>
            <w:tcW w:w="1543" w:type="dxa"/>
            <w:gridSpan w:val="2"/>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065584" w:rsidRPr="001E3413" w:rsidP="00EF5371">
            <w:pPr>
              <w:spacing w:line="240" w:lineRule="auto"/>
              <w:jc w:val="center"/>
              <w:rPr>
                <w:rFonts w:ascii="Arial Narrow" w:hAnsi="Arial Narrow" w:cs="Times New Roman"/>
                <w:sz w:val="18"/>
                <w:szCs w:val="18"/>
              </w:rPr>
            </w:pPr>
            <w:r>
              <w:rPr>
                <w:rFonts w:ascii="Arial Narrow" w:hAnsi="Arial Narrow" w:cs="Times New Roman"/>
                <w:sz w:val="18"/>
                <w:szCs w:val="18"/>
              </w:rPr>
              <w:t xml:space="preserve">Prost. z min. </w:t>
            </w:r>
            <w:r w:rsidRPr="001E3413">
              <w:rPr>
                <w:rFonts w:ascii="Arial Narrow" w:hAnsi="Arial Narrow" w:cs="Times New Roman"/>
                <w:sz w:val="18"/>
                <w:szCs w:val="18"/>
              </w:rPr>
              <w:t>rokov</w:t>
            </w:r>
          </w:p>
        </w:tc>
        <w:tc>
          <w:tcPr>
            <w:tcW w:w="846" w:type="dxa"/>
            <w:vMerge w:val="restart"/>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065584" w:rsidRPr="001E3413" w:rsidP="00EF5371">
            <w:pPr>
              <w:spacing w:line="240" w:lineRule="auto"/>
              <w:jc w:val="center"/>
              <w:rPr>
                <w:rFonts w:ascii="Arial Narrow" w:hAnsi="Arial Narrow" w:cs="Times New Roman"/>
                <w:sz w:val="18"/>
                <w:szCs w:val="18"/>
              </w:rPr>
            </w:pPr>
            <w:r w:rsidRPr="001E3413">
              <w:rPr>
                <w:rFonts w:ascii="Arial Narrow" w:hAnsi="Arial Narrow" w:cs="Times New Roman"/>
                <w:sz w:val="18"/>
                <w:szCs w:val="18"/>
              </w:rPr>
              <w:t>EÚ</w:t>
            </w:r>
          </w:p>
        </w:tc>
        <w:tc>
          <w:tcPr>
            <w:tcW w:w="825" w:type="dxa"/>
            <w:vMerge w:val="restart"/>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065584" w:rsidRPr="001E3413" w:rsidP="00EF5371">
            <w:pPr>
              <w:spacing w:line="240" w:lineRule="auto"/>
              <w:jc w:val="center"/>
              <w:rPr>
                <w:rFonts w:ascii="Arial Narrow" w:hAnsi="Arial Narrow" w:cs="Times New Roman"/>
                <w:sz w:val="18"/>
                <w:szCs w:val="18"/>
              </w:rPr>
            </w:pPr>
            <w:r w:rsidRPr="001E3413">
              <w:rPr>
                <w:rFonts w:ascii="Arial Narrow" w:hAnsi="Arial Narrow" w:cs="Times New Roman"/>
                <w:sz w:val="18"/>
                <w:szCs w:val="18"/>
              </w:rPr>
              <w:t>ŠR</w:t>
            </w:r>
          </w:p>
        </w:tc>
        <w:tc>
          <w:tcPr>
            <w:tcW w:w="938" w:type="dxa"/>
            <w:vMerge w:val="restart"/>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065584" w:rsidRPr="001E3413" w:rsidP="00EF5371">
            <w:pPr>
              <w:spacing w:line="240" w:lineRule="auto"/>
              <w:jc w:val="center"/>
              <w:rPr>
                <w:rFonts w:ascii="Arial Narrow" w:hAnsi="Arial Narrow" w:cs="Times New Roman"/>
                <w:sz w:val="18"/>
                <w:szCs w:val="18"/>
              </w:rPr>
            </w:pPr>
            <w:r>
              <w:rPr>
                <w:rFonts w:ascii="Arial Narrow" w:hAnsi="Arial Narrow" w:cs="Times New Roman"/>
                <w:sz w:val="18"/>
                <w:szCs w:val="18"/>
              </w:rPr>
              <w:t>Presun do roku</w:t>
            </w:r>
            <w:r w:rsidR="004774BC">
              <w:rPr>
                <w:rFonts w:ascii="Arial Narrow" w:hAnsi="Arial Narrow" w:cs="Times New Roman"/>
                <w:sz w:val="18"/>
                <w:szCs w:val="18"/>
              </w:rPr>
              <w:t xml:space="preserve"> 2008</w:t>
            </w:r>
          </w:p>
        </w:tc>
      </w:tr>
      <w:tr>
        <w:tblPrEx>
          <w:tblW w:w="11199" w:type="dxa"/>
          <w:tblInd w:w="-1010" w:type="dxa"/>
          <w:tblCellMar>
            <w:left w:w="70" w:type="dxa"/>
            <w:right w:w="70" w:type="dxa"/>
          </w:tblCellMar>
        </w:tblPrEx>
        <w:trPr>
          <w:trHeight w:val="345"/>
        </w:trPr>
        <w:tc>
          <w:tcPr>
            <w:tcW w:w="2520" w:type="dxa"/>
            <w:vMerge/>
            <w:tcBorders>
              <w:top w:val="single" w:sz="4" w:space="0" w:color="auto"/>
              <w:left w:val="single" w:sz="4" w:space="0" w:color="auto"/>
              <w:bottom w:val="single" w:sz="4" w:space="0" w:color="auto"/>
              <w:right w:val="single" w:sz="4" w:space="0" w:color="auto"/>
              <w:tl2br w:val="nil"/>
              <w:tr2bl w:val="nil"/>
            </w:tcBorders>
            <w:textDirection w:val="lrTb"/>
            <w:vAlign w:val="center"/>
          </w:tcPr>
          <w:p w:rsidR="00065584" w:rsidRPr="001D06AB" w:rsidP="00EF5371">
            <w:pPr>
              <w:spacing w:line="240" w:lineRule="auto"/>
              <w:rPr>
                <w:rFonts w:ascii="Arial Narrow" w:hAnsi="Arial Narrow" w:cs="Times New Roman"/>
                <w:b/>
                <w:bCs/>
              </w:rPr>
            </w:pPr>
          </w:p>
        </w:tc>
        <w:tc>
          <w:tcPr>
            <w:tcW w:w="900" w:type="dxa"/>
            <w:vMerge/>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065584" w:rsidRPr="001D06AB" w:rsidP="00EF5371">
            <w:pPr>
              <w:spacing w:line="240" w:lineRule="auto"/>
              <w:jc w:val="center"/>
              <w:rPr>
                <w:rFonts w:ascii="Arial Narrow" w:hAnsi="Arial Narrow" w:cs="Times New Roman"/>
              </w:rPr>
            </w:pPr>
          </w:p>
        </w:tc>
        <w:tc>
          <w:tcPr>
            <w:tcW w:w="738" w:type="dxa"/>
            <w:vMerge/>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065584" w:rsidRPr="001D06AB" w:rsidP="00EF5371">
            <w:pPr>
              <w:spacing w:line="240" w:lineRule="auto"/>
              <w:jc w:val="center"/>
              <w:rPr>
                <w:rFonts w:ascii="Arial Narrow" w:hAnsi="Arial Narrow" w:cs="Times New Roman"/>
              </w:rPr>
            </w:pPr>
          </w:p>
        </w:tc>
        <w:tc>
          <w:tcPr>
            <w:tcW w:w="797"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065584" w:rsidP="00EF5371">
            <w:pPr>
              <w:spacing w:line="240" w:lineRule="auto"/>
              <w:jc w:val="center"/>
              <w:rPr>
                <w:rFonts w:ascii="Arial Narrow" w:hAnsi="Arial Narrow" w:cs="Times New Roman"/>
              </w:rPr>
            </w:pPr>
            <w:r>
              <w:rPr>
                <w:rFonts w:ascii="Arial Narrow" w:hAnsi="Arial Narrow" w:cs="Times New Roman"/>
              </w:rPr>
              <w:t>EÚ</w:t>
            </w:r>
          </w:p>
        </w:tc>
        <w:tc>
          <w:tcPr>
            <w:tcW w:w="802"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065584" w:rsidP="00EF5371">
            <w:pPr>
              <w:spacing w:line="240" w:lineRule="auto"/>
              <w:jc w:val="center"/>
              <w:rPr>
                <w:rFonts w:ascii="Arial Narrow" w:hAnsi="Arial Narrow" w:cs="Times New Roman"/>
              </w:rPr>
            </w:pPr>
            <w:r>
              <w:rPr>
                <w:rFonts w:ascii="Arial Narrow" w:hAnsi="Arial Narrow" w:cs="Times New Roman"/>
              </w:rPr>
              <w:t>ŠR</w:t>
            </w:r>
          </w:p>
        </w:tc>
        <w:tc>
          <w:tcPr>
            <w:tcW w:w="723" w:type="dxa"/>
            <w:vMerge/>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065584" w:rsidRPr="001D06AB" w:rsidP="00EF5371">
            <w:pPr>
              <w:spacing w:line="240" w:lineRule="auto"/>
              <w:jc w:val="center"/>
              <w:rPr>
                <w:rFonts w:ascii="Arial Narrow" w:hAnsi="Arial Narrow" w:cs="Times New Roman"/>
              </w:rPr>
            </w:pPr>
          </w:p>
        </w:tc>
        <w:tc>
          <w:tcPr>
            <w:tcW w:w="567" w:type="dxa"/>
            <w:vMerge/>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065584" w:rsidRPr="001D06AB" w:rsidP="00EF5371">
            <w:pPr>
              <w:spacing w:line="240" w:lineRule="auto"/>
              <w:jc w:val="center"/>
              <w:rPr>
                <w:rFonts w:ascii="Arial Narrow" w:hAnsi="Arial Narrow" w:cs="Times New Roman"/>
              </w:rPr>
            </w:pPr>
          </w:p>
        </w:tc>
        <w:tc>
          <w:tcPr>
            <w:tcW w:w="797"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065584" w:rsidP="00EF5371">
            <w:pPr>
              <w:spacing w:line="240" w:lineRule="auto"/>
              <w:jc w:val="center"/>
              <w:rPr>
                <w:rFonts w:ascii="Arial Narrow" w:hAnsi="Arial Narrow" w:cs="Times New Roman"/>
              </w:rPr>
            </w:pPr>
            <w:r>
              <w:rPr>
                <w:rFonts w:ascii="Arial Narrow" w:hAnsi="Arial Narrow" w:cs="Times New Roman"/>
              </w:rPr>
              <w:t>EÚ</w:t>
            </w:r>
          </w:p>
        </w:tc>
        <w:tc>
          <w:tcPr>
            <w:tcW w:w="746"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065584" w:rsidP="00EF5371">
            <w:pPr>
              <w:spacing w:line="240" w:lineRule="auto"/>
              <w:ind w:left="-70" w:firstLine="70"/>
              <w:jc w:val="center"/>
              <w:rPr>
                <w:rFonts w:ascii="Arial Narrow" w:hAnsi="Arial Narrow" w:cs="Times New Roman"/>
              </w:rPr>
            </w:pPr>
            <w:r>
              <w:rPr>
                <w:rFonts w:ascii="Arial Narrow" w:hAnsi="Arial Narrow" w:cs="Times New Roman"/>
              </w:rPr>
              <w:t>ŠR</w:t>
            </w:r>
          </w:p>
        </w:tc>
        <w:tc>
          <w:tcPr>
            <w:tcW w:w="846" w:type="dxa"/>
            <w:vMerge/>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065584" w:rsidRPr="001D06AB" w:rsidP="00EF5371">
            <w:pPr>
              <w:spacing w:line="240" w:lineRule="auto"/>
              <w:jc w:val="center"/>
              <w:rPr>
                <w:rFonts w:ascii="Arial Narrow" w:hAnsi="Arial Narrow" w:cs="Times New Roman"/>
              </w:rPr>
            </w:pPr>
          </w:p>
        </w:tc>
        <w:tc>
          <w:tcPr>
            <w:tcW w:w="825" w:type="dxa"/>
            <w:vMerge/>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065584" w:rsidRPr="001D06AB" w:rsidP="00EF5371">
            <w:pPr>
              <w:spacing w:line="240" w:lineRule="auto"/>
              <w:jc w:val="center"/>
              <w:rPr>
                <w:rFonts w:ascii="Arial Narrow" w:hAnsi="Arial Narrow" w:cs="Times New Roman"/>
              </w:rPr>
            </w:pPr>
          </w:p>
        </w:tc>
        <w:tc>
          <w:tcPr>
            <w:tcW w:w="938" w:type="dxa"/>
            <w:vMerge/>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065584" w:rsidP="00EF5371">
            <w:pPr>
              <w:spacing w:line="240" w:lineRule="auto"/>
              <w:jc w:val="center"/>
              <w:rPr>
                <w:rFonts w:ascii="Arial Narrow" w:hAnsi="Arial Narrow" w:cs="Times New Roman"/>
              </w:rPr>
            </w:pPr>
          </w:p>
        </w:tc>
      </w:tr>
      <w:tr>
        <w:tblPrEx>
          <w:tblW w:w="11199" w:type="dxa"/>
          <w:tblInd w:w="-1010" w:type="dxa"/>
          <w:tblCellMar>
            <w:left w:w="70" w:type="dxa"/>
            <w:right w:w="70" w:type="dxa"/>
          </w:tblCellMar>
        </w:tblPrEx>
        <w:trPr>
          <w:trHeight w:val="330"/>
        </w:trPr>
        <w:tc>
          <w:tcPr>
            <w:tcW w:w="252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065584" w:rsidRPr="001D06AB" w:rsidP="00EF5371">
            <w:pPr>
              <w:spacing w:line="240" w:lineRule="auto"/>
              <w:rPr>
                <w:rFonts w:ascii="Arial Narrow" w:hAnsi="Arial Narrow" w:cs="Times New Roman"/>
              </w:rPr>
            </w:pPr>
            <w:r w:rsidRPr="001D06AB">
              <w:rPr>
                <w:rFonts w:ascii="Arial Narrow" w:hAnsi="Arial Narrow" w:cs="Times New Roman"/>
              </w:rPr>
              <w:t> </w:t>
            </w:r>
          </w:p>
        </w:tc>
        <w:tc>
          <w:tcPr>
            <w:tcW w:w="8679" w:type="dxa"/>
            <w:gridSpan w:val="11"/>
            <w:tcBorders>
              <w:top w:val="single" w:sz="4" w:space="0" w:color="auto"/>
              <w:left w:val="single" w:sz="4" w:space="0" w:color="auto"/>
              <w:bottom w:val="single" w:sz="4" w:space="0" w:color="auto"/>
              <w:right w:val="single" w:sz="4" w:space="0" w:color="auto"/>
              <w:tl2br w:val="nil"/>
              <w:tr2bl w:val="nil"/>
            </w:tcBorders>
            <w:shd w:val="clear" w:color="auto" w:fill="C0C0C0"/>
            <w:noWrap/>
            <w:textDirection w:val="lrTb"/>
            <w:vAlign w:val="center"/>
          </w:tcPr>
          <w:p w:rsidR="00065584" w:rsidRPr="006B5EB3" w:rsidP="00EF5371">
            <w:pPr>
              <w:spacing w:line="240" w:lineRule="auto"/>
              <w:rPr>
                <w:rFonts w:ascii="Arial Narrow" w:hAnsi="Arial Narrow" w:cs="Times New Roman"/>
                <w:b/>
              </w:rPr>
            </w:pPr>
            <w:r>
              <w:rPr>
                <w:rFonts w:ascii="Arial Narrow" w:hAnsi="Arial Narrow" w:cs="Times New Roman"/>
                <w:b/>
                <w:bCs/>
              </w:rPr>
              <w:t>Prvok 07S0608 Modernizácia a rozvoj infraštruktúry železničnej dopravy – opatrenie 1.1. OP ZI – ERDF</w:t>
            </w:r>
          </w:p>
        </w:tc>
      </w:tr>
      <w:tr>
        <w:tblPrEx>
          <w:tblW w:w="11199" w:type="dxa"/>
          <w:tblInd w:w="-1010" w:type="dxa"/>
          <w:tblCellMar>
            <w:left w:w="70" w:type="dxa"/>
            <w:right w:w="70" w:type="dxa"/>
          </w:tblCellMar>
        </w:tblPrEx>
        <w:trPr>
          <w:trHeight w:val="255"/>
        </w:trPr>
        <w:tc>
          <w:tcPr>
            <w:tcW w:w="252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74644C" w:rsidP="00EF5371">
            <w:pPr>
              <w:spacing w:line="240" w:lineRule="auto"/>
              <w:jc w:val="left"/>
              <w:rPr>
                <w:rFonts w:ascii="Arial Narrow" w:hAnsi="Arial Narrow" w:cs="Times New Roman"/>
              </w:rPr>
            </w:pPr>
            <w:r>
              <w:rPr>
                <w:rFonts w:ascii="Arial Narrow" w:hAnsi="Arial Narrow" w:cs="Times New Roman"/>
              </w:rPr>
              <w:t>R1 Rudno n. Hronom-</w:t>
            </w:r>
            <w:r w:rsidR="00A91B9B">
              <w:rPr>
                <w:rFonts w:ascii="Arial Narrow" w:hAnsi="Arial Narrow" w:cs="Times New Roman"/>
              </w:rPr>
              <w:t xml:space="preserve"> </w:t>
            </w:r>
            <w:r>
              <w:rPr>
                <w:rFonts w:ascii="Arial Narrow" w:hAnsi="Arial Narrow" w:cs="Times New Roman"/>
              </w:rPr>
              <w:t>Žarnovica</w:t>
            </w:r>
          </w:p>
        </w:tc>
        <w:tc>
          <w:tcPr>
            <w:tcW w:w="3237" w:type="dxa"/>
            <w:gridSpan w:val="4"/>
            <w:vMerge w:val="restart"/>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74644C" w:rsidRPr="0074644C" w:rsidP="0074644C">
            <w:pPr>
              <w:spacing w:line="240" w:lineRule="auto"/>
              <w:jc w:val="center"/>
              <w:rPr>
                <w:rFonts w:ascii="Arial Narrow" w:hAnsi="Arial Narrow" w:cs="Times New Roman"/>
                <w:sz w:val="16"/>
                <w:szCs w:val="16"/>
              </w:rPr>
            </w:pPr>
            <w:r>
              <w:rPr>
                <w:rFonts w:ascii="Arial Narrow" w:hAnsi="Arial Narrow" w:cs="Times New Roman"/>
                <w:sz w:val="16"/>
                <w:szCs w:val="16"/>
              </w:rPr>
              <w:t xml:space="preserve">V rámci OP ZI </w:t>
            </w:r>
            <w:r w:rsidRPr="0074644C">
              <w:rPr>
                <w:rFonts w:ascii="Arial Narrow" w:hAnsi="Arial Narrow" w:cs="Times New Roman"/>
                <w:sz w:val="16"/>
                <w:szCs w:val="16"/>
              </w:rPr>
              <w:t>je</w:t>
            </w:r>
            <w:r>
              <w:rPr>
                <w:rFonts w:ascii="Arial Narrow" w:hAnsi="Arial Narrow" w:cs="Times New Roman"/>
                <w:sz w:val="16"/>
                <w:szCs w:val="16"/>
              </w:rPr>
              <w:t xml:space="preserve"> rozpočet stanovený na zásobník </w:t>
            </w:r>
            <w:r w:rsidRPr="0074644C">
              <w:rPr>
                <w:rFonts w:ascii="Arial Narrow" w:hAnsi="Arial Narrow" w:cs="Times New Roman"/>
                <w:sz w:val="16"/>
                <w:szCs w:val="16"/>
              </w:rPr>
              <w:t>projektov,</w:t>
            </w:r>
            <w:r>
              <w:rPr>
                <w:rFonts w:ascii="Arial Narrow" w:hAnsi="Arial Narrow" w:cs="Times New Roman"/>
                <w:sz w:val="16"/>
                <w:szCs w:val="16"/>
              </w:rPr>
              <w:t xml:space="preserve"> </w:t>
            </w:r>
            <w:r w:rsidRPr="0074644C">
              <w:rPr>
                <w:rFonts w:ascii="Arial Narrow" w:hAnsi="Arial Narrow" w:cs="Times New Roman"/>
                <w:sz w:val="16"/>
                <w:szCs w:val="16"/>
              </w:rPr>
              <w:t>nie na jednotlivé projekty.</w:t>
            </w:r>
          </w:p>
          <w:p w:rsidR="0074644C" w:rsidP="0074644C">
            <w:pPr>
              <w:spacing w:line="240" w:lineRule="auto"/>
              <w:jc w:val="center"/>
              <w:rPr>
                <w:rFonts w:ascii="Arial Narrow" w:hAnsi="Arial Narrow" w:cs="Times New Roman"/>
                <w:sz w:val="16"/>
                <w:szCs w:val="16"/>
              </w:rPr>
            </w:pPr>
            <w:r w:rsidRPr="0074644C">
              <w:rPr>
                <w:rFonts w:ascii="Arial Narrow" w:hAnsi="Arial Narrow" w:cs="Times New Roman"/>
                <w:sz w:val="16"/>
                <w:szCs w:val="16"/>
              </w:rPr>
              <w:t>Tie sa v priebehu rok</w:t>
            </w:r>
            <w:r>
              <w:rPr>
                <w:rFonts w:ascii="Arial Narrow" w:hAnsi="Arial Narrow" w:cs="Times New Roman"/>
                <w:sz w:val="16"/>
                <w:szCs w:val="16"/>
              </w:rPr>
              <w:t>a financujú priebežne,</w:t>
            </w:r>
          </w:p>
          <w:p w:rsidR="0074644C" w:rsidP="0074644C">
            <w:pPr>
              <w:spacing w:line="240" w:lineRule="auto"/>
              <w:jc w:val="center"/>
              <w:rPr>
                <w:rFonts w:ascii="Arial Narrow" w:hAnsi="Arial Narrow" w:cs="Times New Roman"/>
                <w:sz w:val="18"/>
                <w:szCs w:val="18"/>
              </w:rPr>
            </w:pPr>
            <w:r>
              <w:rPr>
                <w:rFonts w:ascii="Arial Narrow" w:hAnsi="Arial Narrow" w:cs="Times New Roman"/>
                <w:sz w:val="16"/>
                <w:szCs w:val="16"/>
              </w:rPr>
              <w:t xml:space="preserve">podľa ich </w:t>
            </w:r>
            <w:r w:rsidRPr="0074644C">
              <w:rPr>
                <w:rFonts w:ascii="Arial Narrow" w:hAnsi="Arial Narrow" w:cs="Times New Roman"/>
                <w:sz w:val="16"/>
                <w:szCs w:val="16"/>
              </w:rPr>
              <w:t>realizácie.</w:t>
            </w:r>
          </w:p>
        </w:tc>
        <w:tc>
          <w:tcPr>
            <w:tcW w:w="723"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74644C" w:rsidP="00EF5371">
            <w:pPr>
              <w:spacing w:line="240" w:lineRule="auto"/>
              <w:jc w:val="right"/>
              <w:rPr>
                <w:rFonts w:ascii="Arial Narrow" w:hAnsi="Arial Narrow" w:cs="Times New Roman"/>
                <w:sz w:val="18"/>
                <w:szCs w:val="18"/>
              </w:rPr>
            </w:pPr>
            <w:r>
              <w:rPr>
                <w:rFonts w:ascii="Arial Narrow" w:hAnsi="Arial Narrow" w:cs="Times New Roman"/>
                <w:sz w:val="18"/>
                <w:szCs w:val="18"/>
              </w:rPr>
              <w:t>0</w:t>
            </w:r>
          </w:p>
        </w:tc>
        <w:tc>
          <w:tcPr>
            <w:tcW w:w="567"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74644C" w:rsidP="00EF5371">
            <w:pPr>
              <w:spacing w:line="240" w:lineRule="auto"/>
              <w:jc w:val="right"/>
              <w:rPr>
                <w:rFonts w:ascii="Arial Narrow" w:hAnsi="Arial Narrow" w:cs="Times New Roman"/>
                <w:sz w:val="18"/>
                <w:szCs w:val="18"/>
              </w:rPr>
            </w:pPr>
            <w:r>
              <w:rPr>
                <w:rFonts w:ascii="Arial Narrow" w:hAnsi="Arial Narrow" w:cs="Times New Roman"/>
                <w:sz w:val="18"/>
                <w:szCs w:val="18"/>
              </w:rPr>
              <w:t>0</w:t>
            </w:r>
          </w:p>
        </w:tc>
        <w:tc>
          <w:tcPr>
            <w:tcW w:w="797"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74644C" w:rsidP="00EF5371">
            <w:pPr>
              <w:spacing w:line="240" w:lineRule="auto"/>
              <w:jc w:val="right"/>
              <w:rPr>
                <w:rFonts w:ascii="Arial Narrow" w:hAnsi="Arial Narrow" w:cs="Times New Roman"/>
                <w:sz w:val="18"/>
                <w:szCs w:val="18"/>
              </w:rPr>
            </w:pPr>
            <w:r>
              <w:rPr>
                <w:rFonts w:ascii="Arial Narrow" w:hAnsi="Arial Narrow" w:cs="Times New Roman"/>
                <w:sz w:val="18"/>
                <w:szCs w:val="18"/>
              </w:rPr>
              <w:t>194 426</w:t>
            </w:r>
          </w:p>
        </w:tc>
        <w:tc>
          <w:tcPr>
            <w:tcW w:w="746"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74644C" w:rsidP="00EF5371">
            <w:pPr>
              <w:spacing w:line="240" w:lineRule="auto"/>
              <w:jc w:val="right"/>
              <w:rPr>
                <w:rFonts w:ascii="Arial Narrow" w:hAnsi="Arial Narrow" w:cs="Times New Roman"/>
                <w:sz w:val="18"/>
                <w:szCs w:val="18"/>
              </w:rPr>
            </w:pPr>
            <w:r>
              <w:rPr>
                <w:rFonts w:ascii="Arial Narrow" w:hAnsi="Arial Narrow" w:cs="Times New Roman"/>
                <w:sz w:val="18"/>
                <w:szCs w:val="18"/>
              </w:rPr>
              <w:t>51 847</w:t>
            </w:r>
          </w:p>
        </w:tc>
        <w:tc>
          <w:tcPr>
            <w:tcW w:w="2609" w:type="dxa"/>
            <w:gridSpan w:val="3"/>
            <w:vMerge w:val="restart"/>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74644C" w:rsidRPr="0074644C" w:rsidP="0074644C">
            <w:pPr>
              <w:spacing w:line="240" w:lineRule="auto"/>
              <w:jc w:val="center"/>
              <w:rPr>
                <w:rFonts w:ascii="Arial Narrow" w:hAnsi="Arial Narrow" w:cs="Times New Roman"/>
                <w:sz w:val="16"/>
                <w:szCs w:val="16"/>
              </w:rPr>
            </w:pPr>
            <w:r w:rsidRPr="0074644C">
              <w:rPr>
                <w:rFonts w:ascii="Arial Narrow" w:hAnsi="Arial Narrow" w:cs="Times New Roman"/>
                <w:sz w:val="16"/>
                <w:szCs w:val="16"/>
              </w:rPr>
              <w:t>Do roku 2008 sa presúvajú zdroje opäť len v celkovom vyjadrení a sú určené na zásobník projekto</w:t>
            </w:r>
            <w:r>
              <w:rPr>
                <w:rFonts w:ascii="Arial Narrow" w:hAnsi="Arial Narrow" w:cs="Times New Roman"/>
                <w:sz w:val="16"/>
                <w:szCs w:val="16"/>
              </w:rPr>
              <w:t>v v rámci OP ZI</w:t>
            </w:r>
            <w:r w:rsidRPr="0074644C">
              <w:rPr>
                <w:rFonts w:ascii="Arial Narrow" w:hAnsi="Arial Narrow" w:cs="Times New Roman"/>
                <w:sz w:val="16"/>
                <w:szCs w:val="16"/>
              </w:rPr>
              <w:t>, ktorý sa budú realizovať v roku 2008.</w:t>
            </w:r>
          </w:p>
        </w:tc>
      </w:tr>
      <w:tr>
        <w:tblPrEx>
          <w:tblW w:w="11199" w:type="dxa"/>
          <w:tblInd w:w="-1010" w:type="dxa"/>
          <w:tblCellMar>
            <w:left w:w="70" w:type="dxa"/>
            <w:right w:w="70" w:type="dxa"/>
          </w:tblCellMar>
        </w:tblPrEx>
        <w:trPr>
          <w:trHeight w:val="255"/>
        </w:trPr>
        <w:tc>
          <w:tcPr>
            <w:tcW w:w="252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74644C" w:rsidP="00EF5371">
            <w:pPr>
              <w:spacing w:line="240" w:lineRule="auto"/>
              <w:jc w:val="left"/>
              <w:rPr>
                <w:rFonts w:ascii="Arial Narrow" w:hAnsi="Arial Narrow" w:cs="Times New Roman"/>
              </w:rPr>
            </w:pPr>
            <w:r w:rsidR="00A91B9B">
              <w:rPr>
                <w:rFonts w:ascii="Arial Narrow" w:hAnsi="Arial Narrow" w:cs="Times New Roman"/>
              </w:rPr>
              <w:t xml:space="preserve">R2 Oždany - </w:t>
            </w:r>
            <w:r>
              <w:rPr>
                <w:rFonts w:ascii="Arial Narrow" w:hAnsi="Arial Narrow" w:cs="Times New Roman"/>
              </w:rPr>
              <w:t xml:space="preserve">preložka </w:t>
            </w:r>
          </w:p>
        </w:tc>
        <w:tc>
          <w:tcPr>
            <w:tcW w:w="3237" w:type="dxa"/>
            <w:gridSpan w:val="4"/>
            <w:vMerge/>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74644C" w:rsidP="00EF5371">
            <w:pPr>
              <w:spacing w:line="240" w:lineRule="auto"/>
              <w:jc w:val="right"/>
              <w:rPr>
                <w:rFonts w:ascii="Arial Narrow" w:hAnsi="Arial Narrow" w:cs="Times New Roman"/>
                <w:sz w:val="18"/>
                <w:szCs w:val="18"/>
              </w:rPr>
            </w:pPr>
          </w:p>
        </w:tc>
        <w:tc>
          <w:tcPr>
            <w:tcW w:w="723"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74644C" w:rsidP="00EF5371">
            <w:pPr>
              <w:spacing w:line="240" w:lineRule="auto"/>
              <w:jc w:val="right"/>
              <w:rPr>
                <w:rFonts w:ascii="Arial Narrow" w:hAnsi="Arial Narrow" w:cs="Times New Roman"/>
                <w:sz w:val="18"/>
                <w:szCs w:val="18"/>
              </w:rPr>
            </w:pPr>
            <w:r>
              <w:rPr>
                <w:rFonts w:ascii="Arial Narrow" w:hAnsi="Arial Narrow" w:cs="Times New Roman"/>
                <w:sz w:val="18"/>
                <w:szCs w:val="18"/>
              </w:rPr>
              <w:t>0</w:t>
            </w:r>
          </w:p>
        </w:tc>
        <w:tc>
          <w:tcPr>
            <w:tcW w:w="567"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74644C" w:rsidP="00EF5371">
            <w:pPr>
              <w:spacing w:line="240" w:lineRule="auto"/>
              <w:jc w:val="right"/>
              <w:rPr>
                <w:rFonts w:ascii="Arial Narrow" w:hAnsi="Arial Narrow" w:cs="Times New Roman"/>
                <w:sz w:val="18"/>
                <w:szCs w:val="18"/>
              </w:rPr>
            </w:pPr>
            <w:r>
              <w:rPr>
                <w:rFonts w:ascii="Arial Narrow" w:hAnsi="Arial Narrow" w:cs="Times New Roman"/>
                <w:sz w:val="18"/>
                <w:szCs w:val="18"/>
              </w:rPr>
              <w:t>0</w:t>
            </w:r>
          </w:p>
        </w:tc>
        <w:tc>
          <w:tcPr>
            <w:tcW w:w="797"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74644C" w:rsidP="00EF5371">
            <w:pPr>
              <w:spacing w:line="240" w:lineRule="auto"/>
              <w:jc w:val="right"/>
              <w:rPr>
                <w:rFonts w:ascii="Arial Narrow" w:hAnsi="Arial Narrow" w:cs="Times New Roman"/>
                <w:sz w:val="18"/>
                <w:szCs w:val="18"/>
              </w:rPr>
            </w:pPr>
            <w:r>
              <w:rPr>
                <w:rFonts w:ascii="Arial Narrow" w:hAnsi="Arial Narrow" w:cs="Times New Roman"/>
                <w:sz w:val="18"/>
                <w:szCs w:val="18"/>
              </w:rPr>
              <w:t>376 782</w:t>
            </w:r>
          </w:p>
        </w:tc>
        <w:tc>
          <w:tcPr>
            <w:tcW w:w="746"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74644C" w:rsidP="00EF5371">
            <w:pPr>
              <w:spacing w:line="240" w:lineRule="auto"/>
              <w:jc w:val="right"/>
              <w:rPr>
                <w:rFonts w:ascii="Arial Narrow" w:hAnsi="Arial Narrow" w:cs="Times New Roman"/>
                <w:sz w:val="18"/>
                <w:szCs w:val="18"/>
              </w:rPr>
            </w:pPr>
            <w:r>
              <w:rPr>
                <w:rFonts w:ascii="Arial Narrow" w:hAnsi="Arial Narrow" w:cs="Times New Roman"/>
                <w:sz w:val="18"/>
                <w:szCs w:val="18"/>
              </w:rPr>
              <w:t>100 475</w:t>
            </w:r>
          </w:p>
        </w:tc>
        <w:tc>
          <w:tcPr>
            <w:tcW w:w="2609" w:type="dxa"/>
            <w:gridSpan w:val="3"/>
            <w:vMerge/>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74644C" w:rsidP="00EF5371">
            <w:pPr>
              <w:spacing w:line="240" w:lineRule="auto"/>
              <w:jc w:val="right"/>
              <w:rPr>
                <w:rFonts w:ascii="Arial Narrow" w:hAnsi="Arial Narrow" w:cs="Times New Roman"/>
                <w:sz w:val="18"/>
                <w:szCs w:val="18"/>
              </w:rPr>
            </w:pPr>
          </w:p>
        </w:tc>
      </w:tr>
      <w:tr>
        <w:tblPrEx>
          <w:tblW w:w="11199" w:type="dxa"/>
          <w:tblInd w:w="-1010" w:type="dxa"/>
          <w:tblCellMar>
            <w:left w:w="70" w:type="dxa"/>
            <w:right w:w="70" w:type="dxa"/>
          </w:tblCellMar>
        </w:tblPrEx>
        <w:trPr>
          <w:trHeight w:val="255"/>
        </w:trPr>
        <w:tc>
          <w:tcPr>
            <w:tcW w:w="252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74644C" w:rsidP="00EF5371">
            <w:pPr>
              <w:spacing w:line="240" w:lineRule="auto"/>
              <w:jc w:val="left"/>
              <w:rPr>
                <w:rFonts w:ascii="Arial Narrow" w:hAnsi="Arial Narrow" w:cs="Times New Roman"/>
              </w:rPr>
            </w:pPr>
            <w:r w:rsidR="00A91B9B">
              <w:rPr>
                <w:rFonts w:ascii="Arial Narrow" w:hAnsi="Arial Narrow" w:cs="Times New Roman"/>
              </w:rPr>
              <w:t xml:space="preserve">R2 Figa - </w:t>
            </w:r>
            <w:r>
              <w:rPr>
                <w:rFonts w:ascii="Arial Narrow" w:hAnsi="Arial Narrow" w:cs="Times New Roman"/>
              </w:rPr>
              <w:t xml:space="preserve">obchvat </w:t>
            </w:r>
          </w:p>
        </w:tc>
        <w:tc>
          <w:tcPr>
            <w:tcW w:w="3237" w:type="dxa"/>
            <w:gridSpan w:val="4"/>
            <w:vMerge/>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74644C" w:rsidP="00EF5371">
            <w:pPr>
              <w:spacing w:line="240" w:lineRule="auto"/>
              <w:jc w:val="right"/>
              <w:rPr>
                <w:rFonts w:ascii="Arial Narrow" w:hAnsi="Arial Narrow" w:cs="Times New Roman"/>
                <w:sz w:val="18"/>
                <w:szCs w:val="18"/>
              </w:rPr>
            </w:pPr>
          </w:p>
        </w:tc>
        <w:tc>
          <w:tcPr>
            <w:tcW w:w="723"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74644C" w:rsidP="00EF5371">
            <w:pPr>
              <w:spacing w:line="240" w:lineRule="auto"/>
              <w:jc w:val="right"/>
              <w:rPr>
                <w:rFonts w:ascii="Arial Narrow" w:hAnsi="Arial Narrow" w:cs="Times New Roman"/>
                <w:sz w:val="18"/>
                <w:szCs w:val="18"/>
              </w:rPr>
            </w:pPr>
          </w:p>
        </w:tc>
        <w:tc>
          <w:tcPr>
            <w:tcW w:w="567"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74644C" w:rsidP="00EF5371">
            <w:pPr>
              <w:spacing w:line="240" w:lineRule="auto"/>
              <w:jc w:val="right"/>
              <w:rPr>
                <w:rFonts w:ascii="Arial Narrow" w:hAnsi="Arial Narrow" w:cs="Times New Roman"/>
                <w:sz w:val="18"/>
                <w:szCs w:val="18"/>
              </w:rPr>
            </w:pPr>
          </w:p>
        </w:tc>
        <w:tc>
          <w:tcPr>
            <w:tcW w:w="797"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74644C" w:rsidP="00EF5371">
            <w:pPr>
              <w:spacing w:line="240" w:lineRule="auto"/>
              <w:jc w:val="right"/>
              <w:rPr>
                <w:rFonts w:ascii="Arial Narrow" w:hAnsi="Arial Narrow" w:cs="Times New Roman"/>
                <w:sz w:val="18"/>
                <w:szCs w:val="18"/>
              </w:rPr>
            </w:pPr>
            <w:r>
              <w:rPr>
                <w:rFonts w:ascii="Arial Narrow" w:hAnsi="Arial Narrow" w:cs="Times New Roman"/>
                <w:sz w:val="18"/>
                <w:szCs w:val="18"/>
              </w:rPr>
              <w:t>53 748</w:t>
            </w:r>
          </w:p>
        </w:tc>
        <w:tc>
          <w:tcPr>
            <w:tcW w:w="746"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74644C" w:rsidP="00EF5371">
            <w:pPr>
              <w:spacing w:line="240" w:lineRule="auto"/>
              <w:jc w:val="right"/>
              <w:rPr>
                <w:rFonts w:ascii="Arial Narrow" w:hAnsi="Arial Narrow" w:cs="Times New Roman"/>
                <w:sz w:val="18"/>
                <w:szCs w:val="18"/>
              </w:rPr>
            </w:pPr>
            <w:r>
              <w:rPr>
                <w:rFonts w:ascii="Arial Narrow" w:hAnsi="Arial Narrow" w:cs="Times New Roman"/>
                <w:sz w:val="18"/>
                <w:szCs w:val="18"/>
              </w:rPr>
              <w:t>14 333</w:t>
            </w:r>
          </w:p>
        </w:tc>
        <w:tc>
          <w:tcPr>
            <w:tcW w:w="2609" w:type="dxa"/>
            <w:gridSpan w:val="3"/>
            <w:vMerge/>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74644C" w:rsidP="00EF5371">
            <w:pPr>
              <w:spacing w:line="240" w:lineRule="auto"/>
              <w:jc w:val="right"/>
              <w:rPr>
                <w:rFonts w:ascii="Arial Narrow" w:hAnsi="Arial Narrow" w:cs="Times New Roman"/>
                <w:sz w:val="18"/>
                <w:szCs w:val="18"/>
              </w:rPr>
            </w:pPr>
          </w:p>
        </w:tc>
      </w:tr>
      <w:tr>
        <w:tblPrEx>
          <w:tblW w:w="11199" w:type="dxa"/>
          <w:tblInd w:w="-1010" w:type="dxa"/>
          <w:tblCellMar>
            <w:left w:w="70" w:type="dxa"/>
            <w:right w:w="70" w:type="dxa"/>
          </w:tblCellMar>
        </w:tblPrEx>
        <w:trPr>
          <w:trHeight w:val="255"/>
        </w:trPr>
        <w:tc>
          <w:tcPr>
            <w:tcW w:w="252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065584" w:rsidP="00EF5371">
            <w:pPr>
              <w:spacing w:line="240" w:lineRule="auto"/>
              <w:jc w:val="left"/>
              <w:rPr>
                <w:rFonts w:ascii="Arial Narrow" w:hAnsi="Arial Narrow" w:cs="Times New Roman"/>
              </w:rPr>
            </w:pPr>
            <w:r w:rsidR="00A91B9B">
              <w:rPr>
                <w:rFonts w:ascii="Arial Narrow" w:hAnsi="Arial Narrow" w:cs="Times New Roman"/>
              </w:rPr>
              <w:t xml:space="preserve">OP ZI - </w:t>
            </w:r>
            <w:r>
              <w:rPr>
                <w:rFonts w:ascii="Arial Narrow" w:hAnsi="Arial Narrow" w:cs="Times New Roman"/>
              </w:rPr>
              <w:t>opatrenie 1.2.</w:t>
            </w:r>
            <w:r w:rsidR="00983DE9">
              <w:rPr>
                <w:rFonts w:ascii="Arial Narrow" w:hAnsi="Arial Narrow" w:cs="Times New Roman"/>
              </w:rPr>
              <w:t xml:space="preserve"> spolu:</w:t>
            </w:r>
          </w:p>
        </w:tc>
        <w:tc>
          <w:tcPr>
            <w:tcW w:w="90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065584" w:rsidRPr="001769B6" w:rsidP="00EF5371">
            <w:pPr>
              <w:spacing w:line="240" w:lineRule="auto"/>
              <w:jc w:val="right"/>
              <w:rPr>
                <w:rFonts w:ascii="Arial Narrow" w:hAnsi="Arial Narrow" w:cs="Times New Roman"/>
                <w:sz w:val="18"/>
                <w:szCs w:val="18"/>
              </w:rPr>
            </w:pPr>
            <w:r w:rsidR="00926A07">
              <w:rPr>
                <w:rFonts w:ascii="Arial Narrow" w:hAnsi="Arial Narrow" w:cs="Times New Roman"/>
                <w:sz w:val="18"/>
                <w:szCs w:val="18"/>
              </w:rPr>
              <w:t>0</w:t>
            </w:r>
          </w:p>
        </w:tc>
        <w:tc>
          <w:tcPr>
            <w:tcW w:w="738"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065584" w:rsidRPr="001769B6" w:rsidP="00EF5371">
            <w:pPr>
              <w:spacing w:line="240" w:lineRule="auto"/>
              <w:jc w:val="right"/>
              <w:rPr>
                <w:rFonts w:ascii="Arial Narrow" w:hAnsi="Arial Narrow" w:cs="Times New Roman"/>
                <w:sz w:val="18"/>
                <w:szCs w:val="18"/>
              </w:rPr>
            </w:pPr>
            <w:r w:rsidR="00A7415F">
              <w:rPr>
                <w:rFonts w:ascii="Arial Narrow" w:hAnsi="Arial Narrow" w:cs="Times New Roman"/>
                <w:sz w:val="18"/>
                <w:szCs w:val="18"/>
              </w:rPr>
              <w:t xml:space="preserve"> 0</w:t>
            </w:r>
          </w:p>
        </w:tc>
        <w:tc>
          <w:tcPr>
            <w:tcW w:w="797"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065584" w:rsidRPr="003A2192" w:rsidP="00EF5371">
            <w:pPr>
              <w:spacing w:line="240" w:lineRule="auto"/>
              <w:jc w:val="right"/>
              <w:rPr>
                <w:rFonts w:ascii="Arial Narrow" w:hAnsi="Arial Narrow" w:cs="Times New Roman"/>
                <w:sz w:val="18"/>
                <w:szCs w:val="18"/>
              </w:rPr>
            </w:pPr>
            <w:r w:rsidR="00926A07">
              <w:rPr>
                <w:rFonts w:ascii="Arial Narrow" w:hAnsi="Arial Narrow" w:cs="Times New Roman"/>
                <w:sz w:val="18"/>
                <w:szCs w:val="18"/>
              </w:rPr>
              <w:t>1 992 039</w:t>
            </w:r>
          </w:p>
        </w:tc>
        <w:tc>
          <w:tcPr>
            <w:tcW w:w="802"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065584" w:rsidRPr="003A2192" w:rsidP="00EF5371">
            <w:pPr>
              <w:spacing w:line="240" w:lineRule="auto"/>
              <w:jc w:val="right"/>
              <w:rPr>
                <w:rFonts w:ascii="Arial Narrow" w:hAnsi="Arial Narrow" w:cs="Times New Roman"/>
                <w:sz w:val="18"/>
                <w:szCs w:val="18"/>
              </w:rPr>
            </w:pPr>
            <w:r w:rsidR="00926A07">
              <w:rPr>
                <w:rFonts w:ascii="Arial Narrow" w:hAnsi="Arial Narrow" w:cs="Times New Roman"/>
                <w:sz w:val="18"/>
                <w:szCs w:val="18"/>
              </w:rPr>
              <w:t>468 639</w:t>
            </w:r>
          </w:p>
        </w:tc>
        <w:tc>
          <w:tcPr>
            <w:tcW w:w="723"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065584" w:rsidRPr="001769B6" w:rsidP="00EF5371">
            <w:pPr>
              <w:spacing w:line="240" w:lineRule="auto"/>
              <w:jc w:val="right"/>
              <w:rPr>
                <w:rFonts w:ascii="Arial Narrow" w:hAnsi="Arial Narrow" w:cs="Times New Roman"/>
                <w:sz w:val="18"/>
                <w:szCs w:val="18"/>
              </w:rPr>
            </w:pPr>
            <w:r w:rsidR="00CC650D">
              <w:rPr>
                <w:rFonts w:ascii="Arial Narrow" w:hAnsi="Arial Narrow" w:cs="Times New Roman"/>
                <w:sz w:val="18"/>
                <w:szCs w:val="18"/>
              </w:rPr>
              <w:t>0</w:t>
            </w:r>
          </w:p>
        </w:tc>
        <w:tc>
          <w:tcPr>
            <w:tcW w:w="567"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065584" w:rsidRPr="001769B6" w:rsidP="00EF5371">
            <w:pPr>
              <w:spacing w:line="240" w:lineRule="auto"/>
              <w:jc w:val="right"/>
              <w:rPr>
                <w:rFonts w:ascii="Arial Narrow" w:hAnsi="Arial Narrow" w:cs="Times New Roman"/>
                <w:sz w:val="18"/>
                <w:szCs w:val="18"/>
              </w:rPr>
            </w:pPr>
            <w:r w:rsidR="00EF5371">
              <w:rPr>
                <w:rFonts w:ascii="Arial Narrow" w:hAnsi="Arial Narrow" w:cs="Times New Roman"/>
                <w:sz w:val="18"/>
                <w:szCs w:val="18"/>
              </w:rPr>
              <w:t>0</w:t>
            </w:r>
          </w:p>
        </w:tc>
        <w:tc>
          <w:tcPr>
            <w:tcW w:w="797"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065584" w:rsidRPr="003A2192" w:rsidP="00EF5371">
            <w:pPr>
              <w:spacing w:line="240" w:lineRule="auto"/>
              <w:jc w:val="right"/>
              <w:rPr>
                <w:rFonts w:ascii="Arial Narrow" w:hAnsi="Arial Narrow" w:cs="Times New Roman"/>
                <w:sz w:val="18"/>
                <w:szCs w:val="18"/>
              </w:rPr>
            </w:pPr>
            <w:r w:rsidR="0074644C">
              <w:rPr>
                <w:rFonts w:ascii="Arial Narrow" w:hAnsi="Arial Narrow" w:cs="Times New Roman"/>
                <w:sz w:val="18"/>
                <w:szCs w:val="18"/>
              </w:rPr>
              <w:t>624 956</w:t>
            </w:r>
          </w:p>
        </w:tc>
        <w:tc>
          <w:tcPr>
            <w:tcW w:w="746"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065584" w:rsidRPr="003A2192" w:rsidP="00EF5371">
            <w:pPr>
              <w:spacing w:line="240" w:lineRule="auto"/>
              <w:jc w:val="right"/>
              <w:rPr>
                <w:rFonts w:ascii="Arial Narrow" w:hAnsi="Arial Narrow" w:cs="Times New Roman"/>
                <w:sz w:val="18"/>
                <w:szCs w:val="18"/>
              </w:rPr>
            </w:pPr>
            <w:r w:rsidR="0074644C">
              <w:rPr>
                <w:rFonts w:ascii="Arial Narrow" w:hAnsi="Arial Narrow" w:cs="Times New Roman"/>
                <w:sz w:val="18"/>
                <w:szCs w:val="18"/>
              </w:rPr>
              <w:t>166 655</w:t>
            </w:r>
          </w:p>
        </w:tc>
        <w:tc>
          <w:tcPr>
            <w:tcW w:w="846"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065584" w:rsidRPr="001769B6" w:rsidP="00EF5371">
            <w:pPr>
              <w:spacing w:line="240" w:lineRule="auto"/>
              <w:jc w:val="right"/>
              <w:rPr>
                <w:rFonts w:ascii="Arial Narrow" w:hAnsi="Arial Narrow" w:cs="Times New Roman"/>
                <w:sz w:val="18"/>
                <w:szCs w:val="18"/>
              </w:rPr>
            </w:pPr>
            <w:r w:rsidR="00EF5371">
              <w:rPr>
                <w:rFonts w:ascii="Arial Narrow" w:hAnsi="Arial Narrow" w:cs="Times New Roman"/>
                <w:sz w:val="18"/>
                <w:szCs w:val="18"/>
              </w:rPr>
              <w:t>1</w:t>
            </w:r>
            <w:r w:rsidR="0074644C">
              <w:rPr>
                <w:rFonts w:ascii="Arial Narrow" w:hAnsi="Arial Narrow" w:cs="Times New Roman"/>
                <w:sz w:val="18"/>
                <w:szCs w:val="18"/>
              </w:rPr>
              <w:t> 367 083</w:t>
            </w:r>
          </w:p>
        </w:tc>
        <w:tc>
          <w:tcPr>
            <w:tcW w:w="825"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065584" w:rsidRPr="001769B6" w:rsidP="00EF5371">
            <w:pPr>
              <w:spacing w:line="240" w:lineRule="auto"/>
              <w:jc w:val="right"/>
              <w:rPr>
                <w:rFonts w:ascii="Arial Narrow" w:hAnsi="Arial Narrow" w:cs="Times New Roman"/>
                <w:sz w:val="18"/>
                <w:szCs w:val="18"/>
              </w:rPr>
            </w:pPr>
            <w:r w:rsidR="0074644C">
              <w:rPr>
                <w:rFonts w:ascii="Arial Narrow" w:hAnsi="Arial Narrow" w:cs="Times New Roman"/>
                <w:sz w:val="18"/>
                <w:szCs w:val="18"/>
              </w:rPr>
              <w:t>301 984</w:t>
            </w:r>
          </w:p>
        </w:tc>
        <w:tc>
          <w:tcPr>
            <w:tcW w:w="938"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065584" w:rsidRPr="001769B6" w:rsidP="00EF5371">
            <w:pPr>
              <w:spacing w:line="240" w:lineRule="auto"/>
              <w:jc w:val="right"/>
              <w:rPr>
                <w:rFonts w:ascii="Arial Narrow" w:hAnsi="Arial Narrow" w:cs="Times New Roman"/>
                <w:sz w:val="18"/>
                <w:szCs w:val="18"/>
              </w:rPr>
            </w:pPr>
            <w:r w:rsidR="0074644C">
              <w:rPr>
                <w:rFonts w:ascii="Arial Narrow" w:hAnsi="Arial Narrow" w:cs="Times New Roman"/>
                <w:sz w:val="18"/>
                <w:szCs w:val="18"/>
              </w:rPr>
              <w:t>1 669 067</w:t>
            </w:r>
          </w:p>
        </w:tc>
      </w:tr>
      <w:tr>
        <w:tblPrEx>
          <w:tblW w:w="11199" w:type="dxa"/>
          <w:tblInd w:w="-1010" w:type="dxa"/>
          <w:tblCellMar>
            <w:left w:w="70" w:type="dxa"/>
            <w:right w:w="70" w:type="dxa"/>
          </w:tblCellMar>
        </w:tblPrEx>
        <w:trPr>
          <w:trHeight w:val="255"/>
        </w:trPr>
        <w:tc>
          <w:tcPr>
            <w:tcW w:w="252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065584" w:rsidP="00EF5371">
            <w:pPr>
              <w:spacing w:line="240" w:lineRule="auto"/>
              <w:jc w:val="left"/>
              <w:rPr>
                <w:rFonts w:ascii="Arial Narrow" w:hAnsi="Arial Narrow" w:cs="Times New Roman"/>
              </w:rPr>
            </w:pPr>
          </w:p>
        </w:tc>
        <w:tc>
          <w:tcPr>
            <w:tcW w:w="8679" w:type="dxa"/>
            <w:gridSpan w:val="11"/>
            <w:tcBorders>
              <w:top w:val="single" w:sz="4" w:space="0" w:color="auto"/>
              <w:left w:val="single" w:sz="4" w:space="0" w:color="auto"/>
              <w:bottom w:val="single" w:sz="4" w:space="0" w:color="auto"/>
              <w:right w:val="single" w:sz="4" w:space="0" w:color="auto"/>
              <w:tl2br w:val="nil"/>
              <w:tr2bl w:val="nil"/>
            </w:tcBorders>
            <w:shd w:val="clear" w:color="auto" w:fill="C0C0C0"/>
            <w:noWrap/>
            <w:textDirection w:val="lrTb"/>
            <w:vAlign w:val="center"/>
          </w:tcPr>
          <w:p w:rsidR="00065584" w:rsidRPr="001769B6" w:rsidP="00EF5371">
            <w:pPr>
              <w:spacing w:line="240" w:lineRule="auto"/>
              <w:jc w:val="center"/>
              <w:rPr>
                <w:rFonts w:ascii="Arial Narrow" w:hAnsi="Arial Narrow" w:cs="Times New Roman"/>
              </w:rPr>
            </w:pPr>
            <w:r w:rsidRPr="001769B6">
              <w:rPr>
                <w:rFonts w:ascii="Arial Narrow" w:hAnsi="Arial Narrow" w:cs="Times New Roman"/>
                <w:b/>
                <w:bCs/>
              </w:rPr>
              <w:t>Prvok 07S0605 Piešťany – Nové Mesto nad Váhom – projekt Kohézneho fondu</w:t>
            </w:r>
          </w:p>
        </w:tc>
      </w:tr>
      <w:tr>
        <w:tblPrEx>
          <w:tblW w:w="11199" w:type="dxa"/>
          <w:tblInd w:w="-1010" w:type="dxa"/>
          <w:tblCellMar>
            <w:left w:w="70" w:type="dxa"/>
            <w:right w:w="70" w:type="dxa"/>
          </w:tblCellMar>
        </w:tblPrEx>
        <w:trPr>
          <w:trHeight w:val="255"/>
        </w:trPr>
        <w:tc>
          <w:tcPr>
            <w:tcW w:w="252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FC310F" w:rsidP="00EF5371">
            <w:pPr>
              <w:spacing w:line="240" w:lineRule="auto"/>
              <w:jc w:val="left"/>
              <w:rPr>
                <w:rFonts w:ascii="Arial Narrow" w:hAnsi="Arial Narrow" w:cs="Arial"/>
              </w:rPr>
            </w:pPr>
            <w:r w:rsidR="00983DE9">
              <w:rPr>
                <w:rFonts w:ascii="Arial Narrow" w:hAnsi="Arial Narrow" w:cs="Arial"/>
              </w:rPr>
              <w:t>D1 Mengusovce</w:t>
            </w:r>
            <w:r>
              <w:rPr>
                <w:rFonts w:ascii="Arial Narrow" w:hAnsi="Arial Narrow" w:cs="Arial"/>
              </w:rPr>
              <w:t xml:space="preserve">-Jánovce, I.úsek   </w:t>
            </w:r>
          </w:p>
        </w:tc>
        <w:tc>
          <w:tcPr>
            <w:tcW w:w="90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FC310F" w:rsidP="00EF5371">
            <w:pPr>
              <w:spacing w:line="240" w:lineRule="auto"/>
              <w:jc w:val="right"/>
              <w:rPr>
                <w:rFonts w:ascii="Arial Narrow" w:hAnsi="Arial Narrow" w:cs="Times New Roman"/>
                <w:sz w:val="18"/>
                <w:szCs w:val="18"/>
              </w:rPr>
            </w:pPr>
          </w:p>
        </w:tc>
        <w:tc>
          <w:tcPr>
            <w:tcW w:w="738"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FC310F" w:rsidP="00EF5371">
            <w:pPr>
              <w:spacing w:line="240" w:lineRule="auto"/>
              <w:jc w:val="right"/>
              <w:rPr>
                <w:rFonts w:ascii="Arial Narrow" w:hAnsi="Arial Narrow" w:cs="Times New Roman"/>
                <w:sz w:val="18"/>
                <w:szCs w:val="18"/>
              </w:rPr>
            </w:pPr>
          </w:p>
        </w:tc>
        <w:tc>
          <w:tcPr>
            <w:tcW w:w="797"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FC310F" w:rsidP="00EF5371">
            <w:pPr>
              <w:spacing w:line="240" w:lineRule="auto"/>
              <w:jc w:val="right"/>
              <w:rPr>
                <w:rFonts w:ascii="Arial Narrow" w:hAnsi="Arial Narrow" w:cs="Times New Roman"/>
                <w:sz w:val="18"/>
                <w:szCs w:val="18"/>
              </w:rPr>
            </w:pPr>
          </w:p>
        </w:tc>
        <w:tc>
          <w:tcPr>
            <w:tcW w:w="802"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FC310F" w:rsidP="00EF5371">
            <w:pPr>
              <w:spacing w:line="240" w:lineRule="auto"/>
              <w:jc w:val="right"/>
              <w:rPr>
                <w:rFonts w:ascii="Arial Narrow" w:hAnsi="Arial Narrow" w:cs="Times New Roman"/>
                <w:sz w:val="18"/>
                <w:szCs w:val="18"/>
              </w:rPr>
            </w:pPr>
          </w:p>
        </w:tc>
        <w:tc>
          <w:tcPr>
            <w:tcW w:w="723"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FC310F" w:rsidP="00EF5371">
            <w:pPr>
              <w:spacing w:line="240" w:lineRule="auto"/>
              <w:jc w:val="right"/>
              <w:rPr>
                <w:rFonts w:ascii="Arial Narrow" w:hAnsi="Arial Narrow" w:cs="Times New Roman"/>
                <w:sz w:val="18"/>
                <w:szCs w:val="18"/>
              </w:rPr>
            </w:pPr>
            <w:r w:rsidR="00983DE9">
              <w:rPr>
                <w:rFonts w:ascii="Arial Narrow" w:hAnsi="Arial Narrow" w:cs="Times New Roman"/>
                <w:sz w:val="18"/>
                <w:szCs w:val="18"/>
              </w:rPr>
              <w:t>0</w:t>
            </w:r>
          </w:p>
        </w:tc>
        <w:tc>
          <w:tcPr>
            <w:tcW w:w="567"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FC310F" w:rsidP="00EF5371">
            <w:pPr>
              <w:spacing w:line="240" w:lineRule="auto"/>
              <w:jc w:val="right"/>
              <w:rPr>
                <w:rFonts w:ascii="Arial Narrow" w:hAnsi="Arial Narrow" w:cs="Times New Roman"/>
                <w:sz w:val="18"/>
                <w:szCs w:val="18"/>
              </w:rPr>
            </w:pPr>
            <w:r w:rsidR="00983DE9">
              <w:rPr>
                <w:rFonts w:ascii="Arial Narrow" w:hAnsi="Arial Narrow" w:cs="Times New Roman"/>
                <w:sz w:val="18"/>
                <w:szCs w:val="18"/>
              </w:rPr>
              <w:t>0</w:t>
            </w:r>
          </w:p>
        </w:tc>
        <w:tc>
          <w:tcPr>
            <w:tcW w:w="797"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FC310F" w:rsidP="00EF5371">
            <w:pPr>
              <w:spacing w:line="240" w:lineRule="auto"/>
              <w:jc w:val="right"/>
              <w:rPr>
                <w:rFonts w:ascii="Arial Narrow" w:hAnsi="Arial Narrow" w:cs="Times New Roman"/>
                <w:sz w:val="18"/>
                <w:szCs w:val="18"/>
              </w:rPr>
            </w:pPr>
            <w:r w:rsidR="00B60B31">
              <w:rPr>
                <w:rFonts w:ascii="Arial Narrow" w:hAnsi="Arial Narrow" w:cs="Times New Roman"/>
                <w:sz w:val="18"/>
                <w:szCs w:val="18"/>
              </w:rPr>
              <w:t>529 373</w:t>
            </w:r>
          </w:p>
        </w:tc>
        <w:tc>
          <w:tcPr>
            <w:tcW w:w="746"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FC310F" w:rsidP="00EF5371">
            <w:pPr>
              <w:spacing w:line="240" w:lineRule="auto"/>
              <w:jc w:val="right"/>
              <w:rPr>
                <w:rFonts w:ascii="Arial Narrow" w:hAnsi="Arial Narrow" w:cs="Times New Roman"/>
                <w:sz w:val="18"/>
                <w:szCs w:val="18"/>
              </w:rPr>
            </w:pPr>
            <w:r w:rsidR="00FA1A62">
              <w:rPr>
                <w:rFonts w:ascii="Arial Narrow" w:hAnsi="Arial Narrow" w:cs="Times New Roman"/>
                <w:sz w:val="18"/>
                <w:szCs w:val="18"/>
              </w:rPr>
              <w:t>185 996</w:t>
            </w:r>
          </w:p>
        </w:tc>
        <w:tc>
          <w:tcPr>
            <w:tcW w:w="846"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FC310F" w:rsidP="00EF5371">
            <w:pPr>
              <w:spacing w:line="240" w:lineRule="auto"/>
              <w:jc w:val="right"/>
              <w:rPr>
                <w:rFonts w:ascii="Arial Narrow" w:hAnsi="Arial Narrow" w:cs="Times New Roman"/>
                <w:sz w:val="18"/>
                <w:szCs w:val="18"/>
              </w:rPr>
            </w:pPr>
          </w:p>
        </w:tc>
        <w:tc>
          <w:tcPr>
            <w:tcW w:w="825"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FC310F" w:rsidP="00EF5371">
            <w:pPr>
              <w:spacing w:line="240" w:lineRule="auto"/>
              <w:jc w:val="right"/>
              <w:rPr>
                <w:rFonts w:ascii="Arial Narrow" w:hAnsi="Arial Narrow" w:cs="Times New Roman"/>
                <w:sz w:val="18"/>
                <w:szCs w:val="18"/>
              </w:rPr>
            </w:pPr>
          </w:p>
        </w:tc>
        <w:tc>
          <w:tcPr>
            <w:tcW w:w="938"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FC310F" w:rsidP="00EF5371">
            <w:pPr>
              <w:spacing w:line="240" w:lineRule="auto"/>
              <w:jc w:val="right"/>
              <w:rPr>
                <w:rFonts w:ascii="Arial Narrow" w:hAnsi="Arial Narrow" w:cs="Times New Roman"/>
                <w:sz w:val="18"/>
                <w:szCs w:val="18"/>
              </w:rPr>
            </w:pPr>
          </w:p>
        </w:tc>
      </w:tr>
      <w:tr>
        <w:tblPrEx>
          <w:tblW w:w="11199" w:type="dxa"/>
          <w:tblInd w:w="-1010" w:type="dxa"/>
          <w:tblCellMar>
            <w:left w:w="70" w:type="dxa"/>
            <w:right w:w="70" w:type="dxa"/>
          </w:tblCellMar>
        </w:tblPrEx>
        <w:trPr>
          <w:trHeight w:val="255"/>
        </w:trPr>
        <w:tc>
          <w:tcPr>
            <w:tcW w:w="252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FC310F" w:rsidP="00EF5371">
            <w:pPr>
              <w:spacing w:line="240" w:lineRule="auto"/>
              <w:jc w:val="left"/>
              <w:rPr>
                <w:rFonts w:ascii="Arial Narrow" w:hAnsi="Arial Narrow" w:cs="Arial"/>
              </w:rPr>
            </w:pPr>
            <w:r w:rsidR="00983DE9">
              <w:rPr>
                <w:rFonts w:ascii="Arial Narrow" w:hAnsi="Arial Narrow" w:cs="Arial"/>
              </w:rPr>
              <w:t>D1 Mengusovce</w:t>
            </w:r>
            <w:r>
              <w:rPr>
                <w:rFonts w:ascii="Arial Narrow" w:hAnsi="Arial Narrow" w:cs="Arial"/>
              </w:rPr>
              <w:t>-Jánovce</w:t>
            </w:r>
            <w:r w:rsidR="00983DE9">
              <w:rPr>
                <w:rFonts w:ascii="Arial Narrow" w:hAnsi="Arial Narrow" w:cs="Arial"/>
              </w:rPr>
              <w:t>,</w:t>
            </w:r>
            <w:r>
              <w:rPr>
                <w:rFonts w:ascii="Arial Narrow" w:hAnsi="Arial Narrow" w:cs="Arial"/>
              </w:rPr>
              <w:t xml:space="preserve">II.úsek   </w:t>
            </w:r>
          </w:p>
        </w:tc>
        <w:tc>
          <w:tcPr>
            <w:tcW w:w="90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FC310F" w:rsidP="00EF5371">
            <w:pPr>
              <w:spacing w:line="240" w:lineRule="auto"/>
              <w:jc w:val="right"/>
              <w:rPr>
                <w:rFonts w:ascii="Arial Narrow" w:hAnsi="Arial Narrow" w:cs="Times New Roman"/>
                <w:sz w:val="18"/>
                <w:szCs w:val="18"/>
              </w:rPr>
            </w:pPr>
          </w:p>
        </w:tc>
        <w:tc>
          <w:tcPr>
            <w:tcW w:w="738"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FC310F" w:rsidP="00EF5371">
            <w:pPr>
              <w:spacing w:line="240" w:lineRule="auto"/>
              <w:jc w:val="right"/>
              <w:rPr>
                <w:rFonts w:ascii="Arial Narrow" w:hAnsi="Arial Narrow" w:cs="Times New Roman"/>
                <w:sz w:val="18"/>
                <w:szCs w:val="18"/>
              </w:rPr>
            </w:pPr>
          </w:p>
        </w:tc>
        <w:tc>
          <w:tcPr>
            <w:tcW w:w="797"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FC310F" w:rsidP="00EF5371">
            <w:pPr>
              <w:spacing w:line="240" w:lineRule="auto"/>
              <w:jc w:val="right"/>
              <w:rPr>
                <w:rFonts w:ascii="Arial Narrow" w:hAnsi="Arial Narrow" w:cs="Times New Roman"/>
                <w:sz w:val="18"/>
                <w:szCs w:val="18"/>
              </w:rPr>
            </w:pPr>
          </w:p>
        </w:tc>
        <w:tc>
          <w:tcPr>
            <w:tcW w:w="802"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FC310F" w:rsidP="00EF5371">
            <w:pPr>
              <w:spacing w:line="240" w:lineRule="auto"/>
              <w:jc w:val="right"/>
              <w:rPr>
                <w:rFonts w:ascii="Arial Narrow" w:hAnsi="Arial Narrow" w:cs="Times New Roman"/>
                <w:sz w:val="18"/>
                <w:szCs w:val="18"/>
              </w:rPr>
            </w:pPr>
          </w:p>
        </w:tc>
        <w:tc>
          <w:tcPr>
            <w:tcW w:w="723"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FC310F" w:rsidP="00EF5371">
            <w:pPr>
              <w:spacing w:line="240" w:lineRule="auto"/>
              <w:jc w:val="right"/>
              <w:rPr>
                <w:rFonts w:ascii="Arial Narrow" w:hAnsi="Arial Narrow" w:cs="Times New Roman"/>
                <w:sz w:val="18"/>
                <w:szCs w:val="18"/>
              </w:rPr>
            </w:pPr>
            <w:r w:rsidR="00983DE9">
              <w:rPr>
                <w:rFonts w:ascii="Arial Narrow" w:hAnsi="Arial Narrow" w:cs="Times New Roman"/>
                <w:sz w:val="18"/>
                <w:szCs w:val="18"/>
              </w:rPr>
              <w:t>0</w:t>
            </w:r>
          </w:p>
        </w:tc>
        <w:tc>
          <w:tcPr>
            <w:tcW w:w="567"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FC310F" w:rsidP="00EF5371">
            <w:pPr>
              <w:spacing w:line="240" w:lineRule="auto"/>
              <w:jc w:val="right"/>
              <w:rPr>
                <w:rFonts w:ascii="Arial Narrow" w:hAnsi="Arial Narrow" w:cs="Times New Roman"/>
                <w:sz w:val="18"/>
                <w:szCs w:val="18"/>
              </w:rPr>
            </w:pPr>
            <w:r w:rsidR="00983DE9">
              <w:rPr>
                <w:rFonts w:ascii="Arial Narrow" w:hAnsi="Arial Narrow" w:cs="Times New Roman"/>
                <w:sz w:val="18"/>
                <w:szCs w:val="18"/>
              </w:rPr>
              <w:t>0</w:t>
            </w:r>
          </w:p>
        </w:tc>
        <w:tc>
          <w:tcPr>
            <w:tcW w:w="797"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FC310F" w:rsidP="00EF5371">
            <w:pPr>
              <w:spacing w:line="240" w:lineRule="auto"/>
              <w:jc w:val="right"/>
              <w:rPr>
                <w:rFonts w:ascii="Arial Narrow" w:hAnsi="Arial Narrow" w:cs="Times New Roman"/>
                <w:sz w:val="18"/>
                <w:szCs w:val="18"/>
              </w:rPr>
            </w:pPr>
            <w:r w:rsidR="00B60B31">
              <w:rPr>
                <w:rFonts w:ascii="Arial Narrow" w:hAnsi="Arial Narrow" w:cs="Times New Roman"/>
                <w:sz w:val="18"/>
                <w:szCs w:val="18"/>
              </w:rPr>
              <w:t>485 889</w:t>
            </w:r>
          </w:p>
        </w:tc>
        <w:tc>
          <w:tcPr>
            <w:tcW w:w="746"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FC310F" w:rsidP="00EF5371">
            <w:pPr>
              <w:spacing w:line="240" w:lineRule="auto"/>
              <w:jc w:val="right"/>
              <w:rPr>
                <w:rFonts w:ascii="Arial Narrow" w:hAnsi="Arial Narrow" w:cs="Times New Roman"/>
                <w:sz w:val="18"/>
                <w:szCs w:val="18"/>
              </w:rPr>
            </w:pPr>
            <w:r w:rsidR="00983DE9">
              <w:rPr>
                <w:rFonts w:ascii="Arial Narrow" w:hAnsi="Arial Narrow" w:cs="Times New Roman"/>
                <w:sz w:val="18"/>
                <w:szCs w:val="18"/>
              </w:rPr>
              <w:t>1</w:t>
            </w:r>
            <w:r w:rsidR="00FA1A62">
              <w:rPr>
                <w:rFonts w:ascii="Arial Narrow" w:hAnsi="Arial Narrow" w:cs="Times New Roman"/>
                <w:sz w:val="18"/>
                <w:szCs w:val="18"/>
              </w:rPr>
              <w:t>70 71</w:t>
            </w:r>
            <w:r w:rsidR="00E12CD2">
              <w:rPr>
                <w:rFonts w:ascii="Arial Narrow" w:hAnsi="Arial Narrow" w:cs="Times New Roman"/>
                <w:sz w:val="18"/>
                <w:szCs w:val="18"/>
              </w:rPr>
              <w:t>7</w:t>
            </w:r>
          </w:p>
        </w:tc>
        <w:tc>
          <w:tcPr>
            <w:tcW w:w="846"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FC310F" w:rsidP="00EF5371">
            <w:pPr>
              <w:spacing w:line="240" w:lineRule="auto"/>
              <w:jc w:val="right"/>
              <w:rPr>
                <w:rFonts w:ascii="Arial Narrow" w:hAnsi="Arial Narrow" w:cs="Times New Roman"/>
                <w:sz w:val="18"/>
                <w:szCs w:val="18"/>
              </w:rPr>
            </w:pPr>
          </w:p>
        </w:tc>
        <w:tc>
          <w:tcPr>
            <w:tcW w:w="825"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FC310F" w:rsidP="00EF5371">
            <w:pPr>
              <w:spacing w:line="240" w:lineRule="auto"/>
              <w:jc w:val="right"/>
              <w:rPr>
                <w:rFonts w:ascii="Arial Narrow" w:hAnsi="Arial Narrow" w:cs="Times New Roman"/>
                <w:sz w:val="18"/>
                <w:szCs w:val="18"/>
              </w:rPr>
            </w:pPr>
          </w:p>
        </w:tc>
        <w:tc>
          <w:tcPr>
            <w:tcW w:w="938"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FC310F" w:rsidP="00EF5371">
            <w:pPr>
              <w:spacing w:line="240" w:lineRule="auto"/>
              <w:jc w:val="right"/>
              <w:rPr>
                <w:rFonts w:ascii="Arial Narrow" w:hAnsi="Arial Narrow" w:cs="Times New Roman"/>
                <w:sz w:val="18"/>
                <w:szCs w:val="18"/>
              </w:rPr>
            </w:pPr>
          </w:p>
        </w:tc>
      </w:tr>
      <w:tr>
        <w:tblPrEx>
          <w:tblW w:w="11199" w:type="dxa"/>
          <w:tblInd w:w="-1010" w:type="dxa"/>
          <w:tblCellMar>
            <w:left w:w="70" w:type="dxa"/>
            <w:right w:w="70" w:type="dxa"/>
          </w:tblCellMar>
        </w:tblPrEx>
        <w:trPr>
          <w:trHeight w:val="255"/>
        </w:trPr>
        <w:tc>
          <w:tcPr>
            <w:tcW w:w="252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FC310F" w:rsidP="00EF5371">
            <w:pPr>
              <w:spacing w:line="240" w:lineRule="auto"/>
              <w:jc w:val="left"/>
              <w:rPr>
                <w:rFonts w:ascii="Arial Narrow" w:hAnsi="Arial Narrow" w:cs="Arial"/>
              </w:rPr>
            </w:pPr>
            <w:r w:rsidR="00983DE9">
              <w:rPr>
                <w:rFonts w:ascii="Arial Narrow" w:hAnsi="Arial Narrow" w:cs="Arial"/>
              </w:rPr>
              <w:t>D1Mengusovce</w:t>
            </w:r>
            <w:r>
              <w:rPr>
                <w:rFonts w:ascii="Arial Narrow" w:hAnsi="Arial Narrow" w:cs="Arial"/>
              </w:rPr>
              <w:t>-Jánovce</w:t>
            </w:r>
            <w:r w:rsidR="00983DE9">
              <w:rPr>
                <w:rFonts w:ascii="Arial Narrow" w:hAnsi="Arial Narrow" w:cs="Arial"/>
              </w:rPr>
              <w:t>,</w:t>
            </w:r>
            <w:r>
              <w:rPr>
                <w:rFonts w:ascii="Arial Narrow" w:hAnsi="Arial Narrow" w:cs="Arial"/>
              </w:rPr>
              <w:t xml:space="preserve">III.úsek   </w:t>
            </w:r>
          </w:p>
        </w:tc>
        <w:tc>
          <w:tcPr>
            <w:tcW w:w="90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FC310F" w:rsidP="00EF5371">
            <w:pPr>
              <w:spacing w:line="240" w:lineRule="auto"/>
              <w:jc w:val="right"/>
              <w:rPr>
                <w:rFonts w:ascii="Arial Narrow" w:hAnsi="Arial Narrow" w:cs="Times New Roman"/>
                <w:sz w:val="18"/>
                <w:szCs w:val="18"/>
              </w:rPr>
            </w:pPr>
          </w:p>
        </w:tc>
        <w:tc>
          <w:tcPr>
            <w:tcW w:w="738"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FC310F" w:rsidP="00EF5371">
            <w:pPr>
              <w:spacing w:line="240" w:lineRule="auto"/>
              <w:jc w:val="right"/>
              <w:rPr>
                <w:rFonts w:ascii="Arial Narrow" w:hAnsi="Arial Narrow" w:cs="Times New Roman"/>
                <w:sz w:val="18"/>
                <w:szCs w:val="18"/>
              </w:rPr>
            </w:pPr>
          </w:p>
        </w:tc>
        <w:tc>
          <w:tcPr>
            <w:tcW w:w="797"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FC310F" w:rsidP="00EF5371">
            <w:pPr>
              <w:spacing w:line="240" w:lineRule="auto"/>
              <w:jc w:val="right"/>
              <w:rPr>
                <w:rFonts w:ascii="Arial Narrow" w:hAnsi="Arial Narrow" w:cs="Times New Roman"/>
                <w:sz w:val="18"/>
                <w:szCs w:val="18"/>
              </w:rPr>
            </w:pPr>
          </w:p>
        </w:tc>
        <w:tc>
          <w:tcPr>
            <w:tcW w:w="802"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FC310F" w:rsidP="00EF5371">
            <w:pPr>
              <w:spacing w:line="240" w:lineRule="auto"/>
              <w:jc w:val="right"/>
              <w:rPr>
                <w:rFonts w:ascii="Arial Narrow" w:hAnsi="Arial Narrow" w:cs="Times New Roman"/>
                <w:sz w:val="18"/>
                <w:szCs w:val="18"/>
              </w:rPr>
            </w:pPr>
          </w:p>
        </w:tc>
        <w:tc>
          <w:tcPr>
            <w:tcW w:w="723"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FC310F" w:rsidP="00EF5371">
            <w:pPr>
              <w:spacing w:line="240" w:lineRule="auto"/>
              <w:jc w:val="right"/>
              <w:rPr>
                <w:rFonts w:ascii="Arial Narrow" w:hAnsi="Arial Narrow" w:cs="Times New Roman"/>
                <w:sz w:val="18"/>
                <w:szCs w:val="18"/>
              </w:rPr>
            </w:pPr>
            <w:r w:rsidR="00983DE9">
              <w:rPr>
                <w:rFonts w:ascii="Arial Narrow" w:hAnsi="Arial Narrow" w:cs="Times New Roman"/>
                <w:sz w:val="18"/>
                <w:szCs w:val="18"/>
              </w:rPr>
              <w:t>0</w:t>
            </w:r>
          </w:p>
        </w:tc>
        <w:tc>
          <w:tcPr>
            <w:tcW w:w="567"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FC310F" w:rsidP="00EF5371">
            <w:pPr>
              <w:spacing w:line="240" w:lineRule="auto"/>
              <w:jc w:val="right"/>
              <w:rPr>
                <w:rFonts w:ascii="Arial Narrow" w:hAnsi="Arial Narrow" w:cs="Times New Roman"/>
                <w:sz w:val="18"/>
                <w:szCs w:val="18"/>
              </w:rPr>
            </w:pPr>
            <w:r w:rsidR="00983DE9">
              <w:rPr>
                <w:rFonts w:ascii="Arial Narrow" w:hAnsi="Arial Narrow" w:cs="Times New Roman"/>
                <w:sz w:val="18"/>
                <w:szCs w:val="18"/>
              </w:rPr>
              <w:t>0</w:t>
            </w:r>
          </w:p>
        </w:tc>
        <w:tc>
          <w:tcPr>
            <w:tcW w:w="797"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FC310F" w:rsidP="00EF5371">
            <w:pPr>
              <w:spacing w:line="240" w:lineRule="auto"/>
              <w:jc w:val="right"/>
              <w:rPr>
                <w:rFonts w:ascii="Arial Narrow" w:hAnsi="Arial Narrow" w:cs="Times New Roman"/>
                <w:sz w:val="18"/>
                <w:szCs w:val="18"/>
              </w:rPr>
            </w:pPr>
            <w:r w:rsidR="00B60B31">
              <w:rPr>
                <w:rFonts w:ascii="Arial Narrow" w:hAnsi="Arial Narrow" w:cs="Times New Roman"/>
                <w:sz w:val="18"/>
                <w:szCs w:val="18"/>
              </w:rPr>
              <w:t>562 733</w:t>
            </w:r>
          </w:p>
        </w:tc>
        <w:tc>
          <w:tcPr>
            <w:tcW w:w="746"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FC310F" w:rsidP="00EF5371">
            <w:pPr>
              <w:spacing w:line="240" w:lineRule="auto"/>
              <w:jc w:val="right"/>
              <w:rPr>
                <w:rFonts w:ascii="Arial Narrow" w:hAnsi="Arial Narrow" w:cs="Times New Roman"/>
                <w:sz w:val="18"/>
                <w:szCs w:val="18"/>
              </w:rPr>
            </w:pPr>
            <w:r w:rsidR="00FA1A62">
              <w:rPr>
                <w:rFonts w:ascii="Arial Narrow" w:hAnsi="Arial Narrow" w:cs="Times New Roman"/>
                <w:sz w:val="18"/>
                <w:szCs w:val="18"/>
              </w:rPr>
              <w:t>197 717</w:t>
            </w:r>
          </w:p>
        </w:tc>
        <w:tc>
          <w:tcPr>
            <w:tcW w:w="846"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FC310F" w:rsidP="00EF5371">
            <w:pPr>
              <w:spacing w:line="240" w:lineRule="auto"/>
              <w:jc w:val="right"/>
              <w:rPr>
                <w:rFonts w:ascii="Arial Narrow" w:hAnsi="Arial Narrow" w:cs="Times New Roman"/>
                <w:sz w:val="18"/>
                <w:szCs w:val="18"/>
              </w:rPr>
            </w:pPr>
          </w:p>
        </w:tc>
        <w:tc>
          <w:tcPr>
            <w:tcW w:w="825"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FC310F" w:rsidP="00EF5371">
            <w:pPr>
              <w:spacing w:line="240" w:lineRule="auto"/>
              <w:jc w:val="right"/>
              <w:rPr>
                <w:rFonts w:ascii="Arial Narrow" w:hAnsi="Arial Narrow" w:cs="Times New Roman"/>
                <w:sz w:val="18"/>
                <w:szCs w:val="18"/>
              </w:rPr>
            </w:pPr>
          </w:p>
        </w:tc>
        <w:tc>
          <w:tcPr>
            <w:tcW w:w="938"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FC310F" w:rsidP="00EF5371">
            <w:pPr>
              <w:spacing w:line="240" w:lineRule="auto"/>
              <w:jc w:val="right"/>
              <w:rPr>
                <w:rFonts w:ascii="Arial Narrow" w:hAnsi="Arial Narrow" w:cs="Times New Roman"/>
                <w:sz w:val="18"/>
                <w:szCs w:val="18"/>
              </w:rPr>
            </w:pPr>
          </w:p>
        </w:tc>
      </w:tr>
      <w:tr>
        <w:tblPrEx>
          <w:tblW w:w="11199" w:type="dxa"/>
          <w:tblInd w:w="-1010" w:type="dxa"/>
          <w:tblCellMar>
            <w:left w:w="70" w:type="dxa"/>
            <w:right w:w="70" w:type="dxa"/>
          </w:tblCellMar>
        </w:tblPrEx>
        <w:trPr>
          <w:trHeight w:val="255"/>
        </w:trPr>
        <w:tc>
          <w:tcPr>
            <w:tcW w:w="252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FC310F" w:rsidP="00EF5371">
            <w:pPr>
              <w:spacing w:line="240" w:lineRule="auto"/>
              <w:jc w:val="left"/>
              <w:rPr>
                <w:rFonts w:ascii="Arial Narrow" w:hAnsi="Arial Narrow" w:cs="Arial"/>
              </w:rPr>
            </w:pPr>
            <w:r w:rsidR="00983DE9">
              <w:rPr>
                <w:rFonts w:ascii="Arial Narrow" w:hAnsi="Arial Narrow" w:cs="Arial"/>
              </w:rPr>
              <w:t>D1 Mengusovce</w:t>
            </w:r>
            <w:r>
              <w:rPr>
                <w:rFonts w:ascii="Arial Narrow" w:hAnsi="Arial Narrow" w:cs="Arial"/>
              </w:rPr>
              <w:t xml:space="preserve">-Jánovce, dozor   </w:t>
            </w:r>
          </w:p>
        </w:tc>
        <w:tc>
          <w:tcPr>
            <w:tcW w:w="90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FC310F" w:rsidP="00EF5371">
            <w:pPr>
              <w:spacing w:line="240" w:lineRule="auto"/>
              <w:jc w:val="right"/>
              <w:rPr>
                <w:rFonts w:ascii="Arial Narrow" w:hAnsi="Arial Narrow" w:cs="Times New Roman"/>
                <w:sz w:val="18"/>
                <w:szCs w:val="18"/>
              </w:rPr>
            </w:pPr>
          </w:p>
        </w:tc>
        <w:tc>
          <w:tcPr>
            <w:tcW w:w="738"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FC310F" w:rsidP="00EF5371">
            <w:pPr>
              <w:spacing w:line="240" w:lineRule="auto"/>
              <w:jc w:val="right"/>
              <w:rPr>
                <w:rFonts w:ascii="Arial Narrow" w:hAnsi="Arial Narrow" w:cs="Times New Roman"/>
                <w:sz w:val="18"/>
                <w:szCs w:val="18"/>
              </w:rPr>
            </w:pPr>
          </w:p>
        </w:tc>
        <w:tc>
          <w:tcPr>
            <w:tcW w:w="797"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FC310F" w:rsidP="00EF5371">
            <w:pPr>
              <w:spacing w:line="240" w:lineRule="auto"/>
              <w:jc w:val="right"/>
              <w:rPr>
                <w:rFonts w:ascii="Arial Narrow" w:hAnsi="Arial Narrow" w:cs="Times New Roman"/>
                <w:sz w:val="18"/>
                <w:szCs w:val="18"/>
              </w:rPr>
            </w:pPr>
          </w:p>
        </w:tc>
        <w:tc>
          <w:tcPr>
            <w:tcW w:w="802"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FC310F" w:rsidP="00EF5371">
            <w:pPr>
              <w:spacing w:line="240" w:lineRule="auto"/>
              <w:jc w:val="right"/>
              <w:rPr>
                <w:rFonts w:ascii="Arial Narrow" w:hAnsi="Arial Narrow" w:cs="Times New Roman"/>
                <w:sz w:val="18"/>
                <w:szCs w:val="18"/>
              </w:rPr>
            </w:pPr>
          </w:p>
        </w:tc>
        <w:tc>
          <w:tcPr>
            <w:tcW w:w="723"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FC310F" w:rsidP="00EF5371">
            <w:pPr>
              <w:spacing w:line="240" w:lineRule="auto"/>
              <w:jc w:val="right"/>
              <w:rPr>
                <w:rFonts w:ascii="Arial Narrow" w:hAnsi="Arial Narrow" w:cs="Times New Roman"/>
                <w:sz w:val="18"/>
                <w:szCs w:val="18"/>
              </w:rPr>
            </w:pPr>
            <w:r w:rsidR="00983DE9">
              <w:rPr>
                <w:rFonts w:ascii="Arial Narrow" w:hAnsi="Arial Narrow" w:cs="Times New Roman"/>
                <w:sz w:val="18"/>
                <w:szCs w:val="18"/>
              </w:rPr>
              <w:t>0</w:t>
            </w:r>
          </w:p>
        </w:tc>
        <w:tc>
          <w:tcPr>
            <w:tcW w:w="567"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FC310F" w:rsidP="00EF5371">
            <w:pPr>
              <w:spacing w:line="240" w:lineRule="auto"/>
              <w:jc w:val="right"/>
              <w:rPr>
                <w:rFonts w:ascii="Arial Narrow" w:hAnsi="Arial Narrow" w:cs="Times New Roman"/>
                <w:sz w:val="18"/>
                <w:szCs w:val="18"/>
              </w:rPr>
            </w:pPr>
            <w:r w:rsidR="00983DE9">
              <w:rPr>
                <w:rFonts w:ascii="Arial Narrow" w:hAnsi="Arial Narrow" w:cs="Times New Roman"/>
                <w:sz w:val="18"/>
                <w:szCs w:val="18"/>
              </w:rPr>
              <w:t>0</w:t>
            </w:r>
          </w:p>
        </w:tc>
        <w:tc>
          <w:tcPr>
            <w:tcW w:w="797"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FC310F" w:rsidP="00EF5371">
            <w:pPr>
              <w:spacing w:line="240" w:lineRule="auto"/>
              <w:jc w:val="right"/>
              <w:rPr>
                <w:rFonts w:ascii="Arial Narrow" w:hAnsi="Arial Narrow" w:cs="Times New Roman"/>
                <w:sz w:val="18"/>
                <w:szCs w:val="18"/>
              </w:rPr>
            </w:pPr>
            <w:r w:rsidR="00B60B31">
              <w:rPr>
                <w:rFonts w:ascii="Arial Narrow" w:hAnsi="Arial Narrow" w:cs="Times New Roman"/>
                <w:sz w:val="18"/>
                <w:szCs w:val="18"/>
              </w:rPr>
              <w:t>31 626</w:t>
            </w:r>
          </w:p>
        </w:tc>
        <w:tc>
          <w:tcPr>
            <w:tcW w:w="746"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FC310F" w:rsidP="00EF5371">
            <w:pPr>
              <w:spacing w:line="240" w:lineRule="auto"/>
              <w:jc w:val="right"/>
              <w:rPr>
                <w:rFonts w:ascii="Arial Narrow" w:hAnsi="Arial Narrow" w:cs="Times New Roman"/>
                <w:sz w:val="18"/>
                <w:szCs w:val="18"/>
              </w:rPr>
            </w:pPr>
            <w:r w:rsidR="00FA1A62">
              <w:rPr>
                <w:rFonts w:ascii="Arial Narrow" w:hAnsi="Arial Narrow" w:cs="Times New Roman"/>
                <w:sz w:val="18"/>
                <w:szCs w:val="18"/>
              </w:rPr>
              <w:t>11 112</w:t>
            </w:r>
          </w:p>
        </w:tc>
        <w:tc>
          <w:tcPr>
            <w:tcW w:w="846"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FC310F" w:rsidP="00EF5371">
            <w:pPr>
              <w:spacing w:line="240" w:lineRule="auto"/>
              <w:jc w:val="right"/>
              <w:rPr>
                <w:rFonts w:ascii="Arial Narrow" w:hAnsi="Arial Narrow" w:cs="Times New Roman"/>
                <w:sz w:val="18"/>
                <w:szCs w:val="18"/>
              </w:rPr>
            </w:pPr>
          </w:p>
        </w:tc>
        <w:tc>
          <w:tcPr>
            <w:tcW w:w="825"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FC310F" w:rsidP="00EF5371">
            <w:pPr>
              <w:spacing w:line="240" w:lineRule="auto"/>
              <w:jc w:val="right"/>
              <w:rPr>
                <w:rFonts w:ascii="Arial Narrow" w:hAnsi="Arial Narrow" w:cs="Times New Roman"/>
                <w:sz w:val="18"/>
                <w:szCs w:val="18"/>
              </w:rPr>
            </w:pPr>
          </w:p>
        </w:tc>
        <w:tc>
          <w:tcPr>
            <w:tcW w:w="938"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FC310F" w:rsidP="00EF5371">
            <w:pPr>
              <w:spacing w:line="240" w:lineRule="auto"/>
              <w:jc w:val="right"/>
              <w:rPr>
                <w:rFonts w:ascii="Arial Narrow" w:hAnsi="Arial Narrow" w:cs="Times New Roman"/>
                <w:sz w:val="18"/>
                <w:szCs w:val="18"/>
              </w:rPr>
            </w:pPr>
          </w:p>
        </w:tc>
      </w:tr>
      <w:tr>
        <w:tblPrEx>
          <w:tblW w:w="11199" w:type="dxa"/>
          <w:tblInd w:w="-1010" w:type="dxa"/>
          <w:tblCellMar>
            <w:left w:w="70" w:type="dxa"/>
            <w:right w:w="70" w:type="dxa"/>
          </w:tblCellMar>
        </w:tblPrEx>
        <w:trPr>
          <w:trHeight w:val="255"/>
        </w:trPr>
        <w:tc>
          <w:tcPr>
            <w:tcW w:w="252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065584" w:rsidP="00EF5371">
            <w:pPr>
              <w:spacing w:line="240" w:lineRule="auto"/>
              <w:jc w:val="left"/>
              <w:rPr>
                <w:rFonts w:ascii="Arial Narrow" w:hAnsi="Arial Narrow" w:cs="Times New Roman"/>
              </w:rPr>
            </w:pPr>
            <w:r>
              <w:rPr>
                <w:rFonts w:ascii="Arial Narrow" w:hAnsi="Arial Narrow" w:cs="Arial"/>
              </w:rPr>
              <w:t>D1 Mengusovce</w:t>
            </w:r>
            <w:r w:rsidR="00983DE9">
              <w:rPr>
                <w:rFonts w:ascii="Arial Narrow" w:hAnsi="Arial Narrow" w:cs="Arial"/>
              </w:rPr>
              <w:t>-</w:t>
            </w:r>
            <w:r>
              <w:rPr>
                <w:rFonts w:ascii="Arial Narrow" w:hAnsi="Arial Narrow" w:cs="Arial"/>
              </w:rPr>
              <w:t>Jánovce</w:t>
            </w:r>
            <w:r w:rsidR="00983DE9">
              <w:rPr>
                <w:rFonts w:ascii="Arial Narrow" w:hAnsi="Arial Narrow" w:cs="Arial"/>
              </w:rPr>
              <w:t>, spolu:</w:t>
            </w:r>
            <w:r>
              <w:rPr>
                <w:rFonts w:ascii="Arial Narrow" w:hAnsi="Arial Narrow" w:cs="Arial"/>
              </w:rPr>
              <w:t xml:space="preserve">   </w:t>
            </w:r>
          </w:p>
        </w:tc>
        <w:tc>
          <w:tcPr>
            <w:tcW w:w="90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065584" w:rsidRPr="001769B6" w:rsidP="00EF5371">
            <w:pPr>
              <w:spacing w:line="240" w:lineRule="auto"/>
              <w:jc w:val="right"/>
              <w:rPr>
                <w:rFonts w:ascii="Arial Narrow" w:hAnsi="Arial Narrow" w:cs="Times New Roman"/>
                <w:sz w:val="18"/>
                <w:szCs w:val="18"/>
              </w:rPr>
            </w:pPr>
            <w:r>
              <w:rPr>
                <w:rFonts w:ascii="Arial Narrow" w:hAnsi="Arial Narrow" w:cs="Times New Roman"/>
                <w:sz w:val="18"/>
                <w:szCs w:val="18"/>
              </w:rPr>
              <w:t>1</w:t>
            </w:r>
            <w:r w:rsidR="00926A07">
              <w:rPr>
                <w:rFonts w:ascii="Arial Narrow" w:hAnsi="Arial Narrow" w:cs="Times New Roman"/>
                <w:sz w:val="18"/>
                <w:szCs w:val="18"/>
              </w:rPr>
              <w:t> 749 196</w:t>
            </w:r>
          </w:p>
        </w:tc>
        <w:tc>
          <w:tcPr>
            <w:tcW w:w="738"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065584" w:rsidRPr="001769B6" w:rsidP="00EF5371">
            <w:pPr>
              <w:spacing w:line="240" w:lineRule="auto"/>
              <w:jc w:val="right"/>
              <w:rPr>
                <w:rFonts w:ascii="Arial Narrow" w:hAnsi="Arial Narrow" w:cs="Times New Roman"/>
                <w:sz w:val="18"/>
                <w:szCs w:val="18"/>
              </w:rPr>
            </w:pPr>
            <w:r w:rsidR="00926A07">
              <w:rPr>
                <w:rFonts w:ascii="Arial Narrow" w:hAnsi="Arial Narrow" w:cs="Times New Roman"/>
                <w:sz w:val="18"/>
                <w:szCs w:val="18"/>
              </w:rPr>
              <w:t>514 817</w:t>
            </w:r>
            <w:r w:rsidR="00A7415F">
              <w:rPr>
                <w:rFonts w:ascii="Arial Narrow" w:hAnsi="Arial Narrow" w:cs="Times New Roman"/>
              </w:rPr>
              <w:t>*</w:t>
            </w:r>
          </w:p>
        </w:tc>
        <w:tc>
          <w:tcPr>
            <w:tcW w:w="797"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065584" w:rsidRPr="001769B6" w:rsidP="00EF5371">
            <w:pPr>
              <w:spacing w:line="240" w:lineRule="auto"/>
              <w:jc w:val="right"/>
              <w:rPr>
                <w:rFonts w:ascii="Arial Narrow" w:hAnsi="Arial Narrow" w:cs="Times New Roman"/>
                <w:sz w:val="18"/>
                <w:szCs w:val="18"/>
              </w:rPr>
            </w:pPr>
            <w:r w:rsidR="00926A07">
              <w:rPr>
                <w:rFonts w:ascii="Arial Narrow" w:hAnsi="Arial Narrow" w:cs="Times New Roman"/>
                <w:sz w:val="18"/>
                <w:szCs w:val="18"/>
              </w:rPr>
              <w:t>2 630 311</w:t>
            </w:r>
          </w:p>
        </w:tc>
        <w:tc>
          <w:tcPr>
            <w:tcW w:w="802"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065584" w:rsidRPr="001769B6" w:rsidP="00EF5371">
            <w:pPr>
              <w:spacing w:line="240" w:lineRule="auto"/>
              <w:jc w:val="right"/>
              <w:rPr>
                <w:rFonts w:ascii="Arial Narrow" w:hAnsi="Arial Narrow" w:cs="Times New Roman"/>
                <w:sz w:val="18"/>
                <w:szCs w:val="18"/>
              </w:rPr>
            </w:pPr>
            <w:r w:rsidR="00926A07">
              <w:rPr>
                <w:rFonts w:ascii="Arial Narrow" w:hAnsi="Arial Narrow" w:cs="Times New Roman"/>
                <w:sz w:val="18"/>
                <w:szCs w:val="18"/>
              </w:rPr>
              <w:t>750 797</w:t>
            </w:r>
            <w:r w:rsidR="00A7415F">
              <w:rPr>
                <w:rFonts w:ascii="Arial Narrow" w:hAnsi="Arial Narrow" w:cs="Times New Roman"/>
              </w:rPr>
              <w:t>**</w:t>
            </w:r>
          </w:p>
        </w:tc>
        <w:tc>
          <w:tcPr>
            <w:tcW w:w="723"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065584" w:rsidRPr="001769B6" w:rsidP="00EF5371">
            <w:pPr>
              <w:spacing w:line="240" w:lineRule="auto"/>
              <w:jc w:val="right"/>
              <w:rPr>
                <w:rFonts w:ascii="Arial Narrow" w:hAnsi="Arial Narrow" w:cs="Times New Roman"/>
                <w:sz w:val="18"/>
                <w:szCs w:val="18"/>
              </w:rPr>
            </w:pPr>
            <w:r w:rsidR="00EF5371">
              <w:rPr>
                <w:rFonts w:ascii="Arial Narrow" w:hAnsi="Arial Narrow" w:cs="Times New Roman"/>
                <w:sz w:val="18"/>
                <w:szCs w:val="18"/>
              </w:rPr>
              <w:t>0</w:t>
            </w:r>
          </w:p>
        </w:tc>
        <w:tc>
          <w:tcPr>
            <w:tcW w:w="567"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065584" w:rsidRPr="001769B6" w:rsidP="00EF5371">
            <w:pPr>
              <w:spacing w:line="240" w:lineRule="auto"/>
              <w:jc w:val="right"/>
              <w:rPr>
                <w:rFonts w:ascii="Arial Narrow" w:hAnsi="Arial Narrow" w:cs="Times New Roman"/>
                <w:sz w:val="18"/>
                <w:szCs w:val="18"/>
              </w:rPr>
            </w:pPr>
            <w:r w:rsidR="00EF5371">
              <w:rPr>
                <w:rFonts w:ascii="Arial Narrow" w:hAnsi="Arial Narrow" w:cs="Times New Roman"/>
                <w:sz w:val="18"/>
                <w:szCs w:val="18"/>
              </w:rPr>
              <w:t>0</w:t>
            </w:r>
          </w:p>
        </w:tc>
        <w:tc>
          <w:tcPr>
            <w:tcW w:w="797"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065584" w:rsidRPr="001769B6" w:rsidP="00EF5371">
            <w:pPr>
              <w:spacing w:line="240" w:lineRule="auto"/>
              <w:jc w:val="right"/>
              <w:rPr>
                <w:rFonts w:ascii="Arial Narrow" w:hAnsi="Arial Narrow" w:cs="Times New Roman"/>
                <w:sz w:val="18"/>
                <w:szCs w:val="18"/>
              </w:rPr>
            </w:pPr>
            <w:r w:rsidR="00B60B31">
              <w:rPr>
                <w:rFonts w:ascii="Arial Narrow" w:hAnsi="Arial Narrow" w:cs="Times New Roman"/>
                <w:sz w:val="18"/>
                <w:szCs w:val="18"/>
              </w:rPr>
              <w:t>1 609 621</w:t>
            </w:r>
          </w:p>
        </w:tc>
        <w:tc>
          <w:tcPr>
            <w:tcW w:w="746"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065584" w:rsidRPr="001769B6" w:rsidP="00EF5371">
            <w:pPr>
              <w:spacing w:line="240" w:lineRule="auto"/>
              <w:jc w:val="right"/>
              <w:rPr>
                <w:rFonts w:ascii="Arial Narrow" w:hAnsi="Arial Narrow" w:cs="Times New Roman"/>
                <w:sz w:val="18"/>
                <w:szCs w:val="18"/>
              </w:rPr>
            </w:pPr>
            <w:r w:rsidR="00FA1A62">
              <w:rPr>
                <w:rFonts w:ascii="Arial Narrow" w:hAnsi="Arial Narrow" w:cs="Times New Roman"/>
                <w:sz w:val="18"/>
                <w:szCs w:val="18"/>
              </w:rPr>
              <w:t>565 54</w:t>
            </w:r>
            <w:r w:rsidR="00E12CD2">
              <w:rPr>
                <w:rFonts w:ascii="Arial Narrow" w:hAnsi="Arial Narrow" w:cs="Times New Roman"/>
                <w:sz w:val="18"/>
                <w:szCs w:val="18"/>
              </w:rPr>
              <w:t>2</w:t>
            </w:r>
          </w:p>
        </w:tc>
        <w:tc>
          <w:tcPr>
            <w:tcW w:w="846"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065584" w:rsidRPr="001769B6" w:rsidP="00EF5371">
            <w:pPr>
              <w:spacing w:line="240" w:lineRule="auto"/>
              <w:jc w:val="right"/>
              <w:rPr>
                <w:rFonts w:ascii="Arial Narrow" w:hAnsi="Arial Narrow" w:cs="Times New Roman"/>
                <w:sz w:val="18"/>
                <w:szCs w:val="18"/>
              </w:rPr>
            </w:pPr>
            <w:r w:rsidR="00FA1A62">
              <w:rPr>
                <w:rFonts w:ascii="Arial Narrow" w:hAnsi="Arial Narrow" w:cs="Times New Roman"/>
                <w:sz w:val="18"/>
                <w:szCs w:val="18"/>
              </w:rPr>
              <w:t>2 769 886</w:t>
            </w:r>
            <w:r w:rsidR="00EF5371">
              <w:rPr>
                <w:rFonts w:ascii="Arial Narrow" w:hAnsi="Arial Narrow" w:cs="Times New Roman"/>
                <w:sz w:val="18"/>
                <w:szCs w:val="18"/>
              </w:rPr>
              <w:t xml:space="preserve"> </w:t>
            </w:r>
          </w:p>
        </w:tc>
        <w:tc>
          <w:tcPr>
            <w:tcW w:w="825"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065584" w:rsidRPr="001769B6" w:rsidP="00EF5371">
            <w:pPr>
              <w:spacing w:line="240" w:lineRule="auto"/>
              <w:jc w:val="right"/>
              <w:rPr>
                <w:rFonts w:ascii="Arial Narrow" w:hAnsi="Arial Narrow" w:cs="Times New Roman"/>
                <w:sz w:val="18"/>
                <w:szCs w:val="18"/>
              </w:rPr>
            </w:pPr>
            <w:r w:rsidR="00FA1A62">
              <w:rPr>
                <w:rFonts w:ascii="Arial Narrow" w:hAnsi="Arial Narrow" w:cs="Times New Roman"/>
                <w:sz w:val="18"/>
                <w:szCs w:val="18"/>
              </w:rPr>
              <w:t>700 072</w:t>
            </w:r>
            <w:r w:rsidR="00EF5371">
              <w:rPr>
                <w:rFonts w:ascii="Arial Narrow" w:hAnsi="Arial Narrow" w:cs="Times New Roman"/>
                <w:sz w:val="18"/>
                <w:szCs w:val="18"/>
              </w:rPr>
              <w:t xml:space="preserve"> </w:t>
            </w:r>
          </w:p>
        </w:tc>
        <w:tc>
          <w:tcPr>
            <w:tcW w:w="938"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065584" w:rsidRPr="001769B6" w:rsidP="00EF5371">
            <w:pPr>
              <w:spacing w:line="240" w:lineRule="auto"/>
              <w:jc w:val="right"/>
              <w:rPr>
                <w:rFonts w:ascii="Arial Narrow" w:hAnsi="Arial Narrow" w:cs="Times New Roman"/>
                <w:sz w:val="18"/>
                <w:szCs w:val="18"/>
              </w:rPr>
            </w:pPr>
            <w:r w:rsidR="00EF5371">
              <w:rPr>
                <w:rFonts w:ascii="Arial Narrow" w:hAnsi="Arial Narrow" w:cs="Times New Roman"/>
                <w:sz w:val="18"/>
                <w:szCs w:val="18"/>
              </w:rPr>
              <w:t>3</w:t>
            </w:r>
            <w:r w:rsidR="00FA1A62">
              <w:rPr>
                <w:rFonts w:ascii="Arial Narrow" w:hAnsi="Arial Narrow" w:cs="Times New Roman"/>
                <w:sz w:val="18"/>
                <w:szCs w:val="18"/>
              </w:rPr>
              <w:t> 469 958</w:t>
            </w:r>
          </w:p>
        </w:tc>
      </w:tr>
      <w:tr>
        <w:tblPrEx>
          <w:tblW w:w="11199" w:type="dxa"/>
          <w:tblInd w:w="-1010" w:type="dxa"/>
          <w:tblCellMar>
            <w:left w:w="70" w:type="dxa"/>
            <w:right w:w="70" w:type="dxa"/>
          </w:tblCellMar>
        </w:tblPrEx>
        <w:trPr>
          <w:trHeight w:val="255"/>
        </w:trPr>
        <w:tc>
          <w:tcPr>
            <w:tcW w:w="2520" w:type="dxa"/>
            <w:tcBorders>
              <w:top w:val="single" w:sz="4" w:space="0" w:color="auto"/>
              <w:left w:val="single" w:sz="4" w:space="0" w:color="auto"/>
              <w:bottom w:val="single" w:sz="4" w:space="0" w:color="auto"/>
              <w:right w:val="single" w:sz="4" w:space="0" w:color="auto"/>
              <w:tl2br w:val="nil"/>
              <w:tr2bl w:val="nil"/>
            </w:tcBorders>
            <w:shd w:val="clear" w:color="auto" w:fill="C0C0C0"/>
            <w:noWrap/>
            <w:textDirection w:val="lrTb"/>
            <w:vAlign w:val="center"/>
          </w:tcPr>
          <w:p w:rsidR="00065584" w:rsidRPr="000B252F" w:rsidP="00EF5371">
            <w:pPr>
              <w:spacing w:line="240" w:lineRule="auto"/>
              <w:jc w:val="left"/>
              <w:rPr>
                <w:rFonts w:ascii="Arial Narrow" w:hAnsi="Arial Narrow" w:cs="Times New Roman"/>
                <w:b/>
              </w:rPr>
            </w:pPr>
            <w:r w:rsidRPr="001D06AB">
              <w:rPr>
                <w:rFonts w:ascii="Arial Narrow" w:hAnsi="Arial Narrow" w:cs="Arial"/>
                <w:b/>
                <w:bCs/>
              </w:rPr>
              <w:t xml:space="preserve">Spolu </w:t>
            </w:r>
            <w:r>
              <w:rPr>
                <w:rFonts w:ascii="Arial Narrow" w:hAnsi="Arial Narrow" w:cs="Arial"/>
                <w:b/>
                <w:bCs/>
              </w:rPr>
              <w:t>ERDF + KF</w:t>
            </w:r>
          </w:p>
        </w:tc>
        <w:tc>
          <w:tcPr>
            <w:tcW w:w="900" w:type="dxa"/>
            <w:tcBorders>
              <w:top w:val="single" w:sz="4" w:space="0" w:color="auto"/>
              <w:left w:val="single" w:sz="4" w:space="0" w:color="auto"/>
              <w:bottom w:val="single" w:sz="4" w:space="0" w:color="auto"/>
              <w:right w:val="single" w:sz="4" w:space="0" w:color="auto"/>
              <w:tl2br w:val="nil"/>
              <w:tr2bl w:val="nil"/>
            </w:tcBorders>
            <w:shd w:val="clear" w:color="auto" w:fill="C0C0C0"/>
            <w:noWrap/>
            <w:textDirection w:val="lrTb"/>
            <w:vAlign w:val="center"/>
          </w:tcPr>
          <w:p w:rsidR="00065584" w:rsidRPr="001769B6" w:rsidP="00EF5371">
            <w:pPr>
              <w:spacing w:line="240" w:lineRule="auto"/>
              <w:jc w:val="right"/>
              <w:rPr>
                <w:rFonts w:ascii="Arial Narrow" w:hAnsi="Arial Narrow" w:cs="Times New Roman"/>
                <w:b/>
                <w:sz w:val="18"/>
                <w:szCs w:val="18"/>
              </w:rPr>
            </w:pPr>
            <w:r w:rsidR="00926A07">
              <w:rPr>
                <w:rFonts w:ascii="Arial Narrow" w:hAnsi="Arial Narrow" w:cs="Times New Roman"/>
                <w:b/>
                <w:sz w:val="18"/>
                <w:szCs w:val="18"/>
              </w:rPr>
              <w:t>1 749 196</w:t>
            </w:r>
          </w:p>
        </w:tc>
        <w:tc>
          <w:tcPr>
            <w:tcW w:w="738" w:type="dxa"/>
            <w:tcBorders>
              <w:top w:val="single" w:sz="4" w:space="0" w:color="auto"/>
              <w:left w:val="single" w:sz="4" w:space="0" w:color="auto"/>
              <w:bottom w:val="single" w:sz="4" w:space="0" w:color="auto"/>
              <w:right w:val="single" w:sz="4" w:space="0" w:color="auto"/>
              <w:tl2br w:val="nil"/>
              <w:tr2bl w:val="nil"/>
            </w:tcBorders>
            <w:shd w:val="clear" w:color="auto" w:fill="C0C0C0"/>
            <w:noWrap/>
            <w:textDirection w:val="lrTb"/>
            <w:vAlign w:val="center"/>
          </w:tcPr>
          <w:p w:rsidR="00065584" w:rsidRPr="001769B6" w:rsidP="00EF5371">
            <w:pPr>
              <w:spacing w:line="240" w:lineRule="auto"/>
              <w:jc w:val="right"/>
              <w:rPr>
                <w:rFonts w:ascii="Arial Narrow" w:hAnsi="Arial Narrow" w:cs="Times New Roman"/>
                <w:b/>
                <w:sz w:val="18"/>
                <w:szCs w:val="18"/>
              </w:rPr>
            </w:pPr>
            <w:r w:rsidR="00926A07">
              <w:rPr>
                <w:rFonts w:ascii="Arial Narrow" w:hAnsi="Arial Narrow" w:cs="Times New Roman"/>
                <w:b/>
                <w:sz w:val="18"/>
                <w:szCs w:val="18"/>
              </w:rPr>
              <w:t>514 817</w:t>
            </w:r>
          </w:p>
        </w:tc>
        <w:tc>
          <w:tcPr>
            <w:tcW w:w="797" w:type="dxa"/>
            <w:tcBorders>
              <w:top w:val="single" w:sz="4" w:space="0" w:color="auto"/>
              <w:left w:val="single" w:sz="4" w:space="0" w:color="auto"/>
              <w:bottom w:val="single" w:sz="4" w:space="0" w:color="auto"/>
              <w:right w:val="single" w:sz="4" w:space="0" w:color="auto"/>
              <w:tl2br w:val="nil"/>
              <w:tr2bl w:val="nil"/>
            </w:tcBorders>
            <w:shd w:val="clear" w:color="auto" w:fill="C0C0C0"/>
            <w:noWrap/>
            <w:textDirection w:val="lrTb"/>
            <w:vAlign w:val="center"/>
          </w:tcPr>
          <w:p w:rsidR="00065584" w:rsidRPr="001769B6" w:rsidP="00EF5371">
            <w:pPr>
              <w:spacing w:line="240" w:lineRule="auto"/>
              <w:jc w:val="right"/>
              <w:rPr>
                <w:rFonts w:ascii="Arial Narrow" w:hAnsi="Arial Narrow" w:cs="Times New Roman"/>
                <w:b/>
                <w:sz w:val="18"/>
                <w:szCs w:val="18"/>
              </w:rPr>
            </w:pPr>
            <w:r w:rsidR="00926A07">
              <w:rPr>
                <w:rFonts w:ascii="Arial Narrow" w:hAnsi="Arial Narrow" w:cs="Times New Roman"/>
                <w:b/>
                <w:sz w:val="18"/>
                <w:szCs w:val="18"/>
              </w:rPr>
              <w:t>4 </w:t>
            </w:r>
            <w:r w:rsidR="00A7415F">
              <w:rPr>
                <w:rFonts w:ascii="Arial Narrow" w:hAnsi="Arial Narrow" w:cs="Times New Roman"/>
                <w:b/>
                <w:sz w:val="18"/>
                <w:szCs w:val="18"/>
              </w:rPr>
              <w:t>6</w:t>
            </w:r>
            <w:r w:rsidR="00926A07">
              <w:rPr>
                <w:rFonts w:ascii="Arial Narrow" w:hAnsi="Arial Narrow" w:cs="Times New Roman"/>
                <w:b/>
                <w:sz w:val="18"/>
                <w:szCs w:val="18"/>
              </w:rPr>
              <w:t>22 350</w:t>
            </w:r>
          </w:p>
        </w:tc>
        <w:tc>
          <w:tcPr>
            <w:tcW w:w="802" w:type="dxa"/>
            <w:tcBorders>
              <w:top w:val="single" w:sz="4" w:space="0" w:color="auto"/>
              <w:left w:val="single" w:sz="4" w:space="0" w:color="auto"/>
              <w:bottom w:val="single" w:sz="4" w:space="0" w:color="auto"/>
              <w:right w:val="single" w:sz="4" w:space="0" w:color="auto"/>
              <w:tl2br w:val="nil"/>
              <w:tr2bl w:val="nil"/>
            </w:tcBorders>
            <w:shd w:val="clear" w:color="auto" w:fill="C0C0C0"/>
            <w:textDirection w:val="lrTb"/>
            <w:vAlign w:val="center"/>
          </w:tcPr>
          <w:p w:rsidR="00065584" w:rsidRPr="001769B6" w:rsidP="00EF5371">
            <w:pPr>
              <w:spacing w:line="240" w:lineRule="auto"/>
              <w:jc w:val="right"/>
              <w:rPr>
                <w:rFonts w:ascii="Arial Narrow" w:hAnsi="Arial Narrow" w:cs="Times New Roman"/>
                <w:b/>
                <w:sz w:val="18"/>
                <w:szCs w:val="18"/>
              </w:rPr>
            </w:pPr>
            <w:r w:rsidR="00A7415F">
              <w:rPr>
                <w:rFonts w:ascii="Arial Narrow" w:hAnsi="Arial Narrow" w:cs="Times New Roman"/>
                <w:b/>
                <w:sz w:val="18"/>
                <w:szCs w:val="18"/>
              </w:rPr>
              <w:t>1</w:t>
            </w:r>
            <w:r w:rsidR="00926A07">
              <w:rPr>
                <w:rFonts w:ascii="Arial Narrow" w:hAnsi="Arial Narrow" w:cs="Times New Roman"/>
                <w:b/>
                <w:sz w:val="18"/>
                <w:szCs w:val="18"/>
              </w:rPr>
              <w:t> 219 436</w:t>
            </w:r>
          </w:p>
        </w:tc>
        <w:tc>
          <w:tcPr>
            <w:tcW w:w="723" w:type="dxa"/>
            <w:tcBorders>
              <w:top w:val="single" w:sz="4" w:space="0" w:color="auto"/>
              <w:left w:val="single" w:sz="4" w:space="0" w:color="auto"/>
              <w:bottom w:val="single" w:sz="4" w:space="0" w:color="auto"/>
              <w:right w:val="single" w:sz="4" w:space="0" w:color="auto"/>
              <w:tl2br w:val="nil"/>
              <w:tr2bl w:val="nil"/>
            </w:tcBorders>
            <w:shd w:val="clear" w:color="auto" w:fill="C0C0C0"/>
            <w:noWrap/>
            <w:textDirection w:val="lrTb"/>
            <w:vAlign w:val="center"/>
          </w:tcPr>
          <w:p w:rsidR="00065584" w:rsidRPr="003F0DC9" w:rsidP="00EF5371">
            <w:pPr>
              <w:spacing w:line="240" w:lineRule="auto"/>
              <w:jc w:val="right"/>
              <w:rPr>
                <w:rFonts w:ascii="Arial Narrow" w:hAnsi="Arial Narrow" w:cs="Times New Roman"/>
                <w:b/>
                <w:sz w:val="18"/>
                <w:szCs w:val="18"/>
              </w:rPr>
            </w:pPr>
            <w:r w:rsidR="00CC650D">
              <w:rPr>
                <w:rFonts w:ascii="Arial Narrow" w:hAnsi="Arial Narrow" w:cs="Times New Roman"/>
                <w:b/>
                <w:sz w:val="18"/>
                <w:szCs w:val="18"/>
              </w:rPr>
              <w:t>0</w:t>
            </w:r>
          </w:p>
        </w:tc>
        <w:tc>
          <w:tcPr>
            <w:tcW w:w="567" w:type="dxa"/>
            <w:tcBorders>
              <w:top w:val="single" w:sz="4" w:space="0" w:color="auto"/>
              <w:left w:val="single" w:sz="4" w:space="0" w:color="auto"/>
              <w:bottom w:val="single" w:sz="4" w:space="0" w:color="auto"/>
              <w:right w:val="single" w:sz="4" w:space="0" w:color="auto"/>
              <w:tl2br w:val="nil"/>
              <w:tr2bl w:val="nil"/>
            </w:tcBorders>
            <w:shd w:val="clear" w:color="auto" w:fill="C0C0C0"/>
            <w:noWrap/>
            <w:textDirection w:val="lrTb"/>
            <w:vAlign w:val="center"/>
          </w:tcPr>
          <w:p w:rsidR="00065584" w:rsidRPr="003F0DC9" w:rsidP="00EF5371">
            <w:pPr>
              <w:spacing w:line="240" w:lineRule="auto"/>
              <w:jc w:val="right"/>
              <w:rPr>
                <w:rFonts w:ascii="Arial Narrow" w:hAnsi="Arial Narrow" w:cs="Times New Roman"/>
                <w:b/>
                <w:sz w:val="18"/>
                <w:szCs w:val="18"/>
              </w:rPr>
            </w:pPr>
            <w:r w:rsidRPr="003F0DC9" w:rsidR="003F0DC9">
              <w:rPr>
                <w:rFonts w:ascii="Arial Narrow" w:hAnsi="Arial Narrow" w:cs="Times New Roman"/>
                <w:b/>
                <w:sz w:val="18"/>
                <w:szCs w:val="18"/>
              </w:rPr>
              <w:t>0</w:t>
            </w:r>
          </w:p>
        </w:tc>
        <w:tc>
          <w:tcPr>
            <w:tcW w:w="797" w:type="dxa"/>
            <w:tcBorders>
              <w:top w:val="single" w:sz="4" w:space="0" w:color="auto"/>
              <w:left w:val="single" w:sz="4" w:space="0" w:color="auto"/>
              <w:bottom w:val="single" w:sz="4" w:space="0" w:color="auto"/>
              <w:right w:val="single" w:sz="4" w:space="0" w:color="auto"/>
              <w:tl2br w:val="nil"/>
              <w:tr2bl w:val="nil"/>
            </w:tcBorders>
            <w:shd w:val="clear" w:color="auto" w:fill="C0C0C0"/>
            <w:noWrap/>
            <w:textDirection w:val="lrTb"/>
            <w:vAlign w:val="center"/>
          </w:tcPr>
          <w:p w:rsidR="00065584" w:rsidRPr="001769B6" w:rsidP="00EF5371">
            <w:pPr>
              <w:spacing w:line="240" w:lineRule="auto"/>
              <w:jc w:val="right"/>
              <w:rPr>
                <w:rFonts w:ascii="Arial Narrow" w:hAnsi="Arial Narrow" w:cs="Times New Roman"/>
                <w:b/>
                <w:sz w:val="18"/>
                <w:szCs w:val="18"/>
              </w:rPr>
            </w:pPr>
            <w:r w:rsidR="00FA1A62">
              <w:rPr>
                <w:rFonts w:ascii="Arial Narrow" w:hAnsi="Arial Narrow" w:cs="Times New Roman"/>
                <w:b/>
                <w:sz w:val="18"/>
                <w:szCs w:val="18"/>
              </w:rPr>
              <w:t>2 234 577</w:t>
            </w:r>
          </w:p>
        </w:tc>
        <w:tc>
          <w:tcPr>
            <w:tcW w:w="746" w:type="dxa"/>
            <w:tcBorders>
              <w:top w:val="single" w:sz="4" w:space="0" w:color="auto"/>
              <w:left w:val="single" w:sz="4" w:space="0" w:color="auto"/>
              <w:bottom w:val="single" w:sz="4" w:space="0" w:color="auto"/>
              <w:right w:val="single" w:sz="4" w:space="0" w:color="auto"/>
              <w:tl2br w:val="nil"/>
              <w:tr2bl w:val="nil"/>
            </w:tcBorders>
            <w:shd w:val="clear" w:color="auto" w:fill="C0C0C0"/>
            <w:textDirection w:val="lrTb"/>
            <w:vAlign w:val="center"/>
          </w:tcPr>
          <w:p w:rsidR="00065584" w:rsidRPr="001769B6" w:rsidP="00EF5371">
            <w:pPr>
              <w:spacing w:line="240" w:lineRule="auto"/>
              <w:jc w:val="right"/>
              <w:rPr>
                <w:rFonts w:ascii="Arial Narrow" w:hAnsi="Arial Narrow" w:cs="Times New Roman"/>
                <w:b/>
                <w:sz w:val="18"/>
                <w:szCs w:val="18"/>
              </w:rPr>
            </w:pPr>
            <w:r w:rsidR="00FA1A62">
              <w:rPr>
                <w:rFonts w:ascii="Arial Narrow" w:hAnsi="Arial Narrow" w:cs="Times New Roman"/>
                <w:b/>
                <w:sz w:val="18"/>
                <w:szCs w:val="18"/>
              </w:rPr>
              <w:t>732 198</w:t>
            </w:r>
          </w:p>
        </w:tc>
        <w:tc>
          <w:tcPr>
            <w:tcW w:w="846" w:type="dxa"/>
            <w:tcBorders>
              <w:top w:val="single" w:sz="4" w:space="0" w:color="auto"/>
              <w:left w:val="single" w:sz="4" w:space="0" w:color="auto"/>
              <w:bottom w:val="single" w:sz="4" w:space="0" w:color="auto"/>
              <w:right w:val="single" w:sz="4" w:space="0" w:color="auto"/>
              <w:tl2br w:val="nil"/>
              <w:tr2bl w:val="nil"/>
            </w:tcBorders>
            <w:shd w:val="clear" w:color="auto" w:fill="C0C0C0"/>
            <w:noWrap/>
            <w:textDirection w:val="lrTb"/>
            <w:vAlign w:val="center"/>
          </w:tcPr>
          <w:p w:rsidR="00065584" w:rsidRPr="001769B6" w:rsidP="00EF5371">
            <w:pPr>
              <w:spacing w:line="240" w:lineRule="auto"/>
              <w:jc w:val="right"/>
              <w:rPr>
                <w:rFonts w:ascii="Arial Narrow" w:hAnsi="Arial Narrow" w:cs="Times New Roman"/>
                <w:b/>
                <w:sz w:val="18"/>
                <w:szCs w:val="18"/>
              </w:rPr>
            </w:pPr>
            <w:r w:rsidR="00FA1A62">
              <w:rPr>
                <w:rFonts w:ascii="Arial Narrow" w:hAnsi="Arial Narrow" w:cs="Times New Roman"/>
                <w:b/>
                <w:sz w:val="18"/>
                <w:szCs w:val="18"/>
              </w:rPr>
              <w:t>4 136 969</w:t>
            </w:r>
            <w:r w:rsidR="003F0DC9">
              <w:rPr>
                <w:rFonts w:ascii="Arial Narrow" w:hAnsi="Arial Narrow" w:cs="Times New Roman"/>
                <w:b/>
                <w:sz w:val="18"/>
                <w:szCs w:val="18"/>
              </w:rPr>
              <w:t xml:space="preserve"> </w:t>
            </w:r>
          </w:p>
        </w:tc>
        <w:tc>
          <w:tcPr>
            <w:tcW w:w="825" w:type="dxa"/>
            <w:tcBorders>
              <w:top w:val="single" w:sz="4" w:space="0" w:color="auto"/>
              <w:left w:val="single" w:sz="4" w:space="0" w:color="auto"/>
              <w:bottom w:val="single" w:sz="4" w:space="0" w:color="auto"/>
              <w:right w:val="single" w:sz="4" w:space="0" w:color="auto"/>
              <w:tl2br w:val="nil"/>
              <w:tr2bl w:val="nil"/>
            </w:tcBorders>
            <w:shd w:val="clear" w:color="auto" w:fill="C0C0C0"/>
            <w:noWrap/>
            <w:textDirection w:val="lrTb"/>
            <w:vAlign w:val="center"/>
          </w:tcPr>
          <w:p w:rsidR="00065584" w:rsidRPr="001769B6" w:rsidP="00EF5371">
            <w:pPr>
              <w:spacing w:line="240" w:lineRule="auto"/>
              <w:jc w:val="right"/>
              <w:rPr>
                <w:rFonts w:ascii="Arial Narrow" w:hAnsi="Arial Narrow" w:cs="Times New Roman"/>
                <w:b/>
                <w:sz w:val="18"/>
                <w:szCs w:val="18"/>
              </w:rPr>
            </w:pPr>
            <w:r w:rsidR="003F0DC9">
              <w:rPr>
                <w:rFonts w:ascii="Arial Narrow" w:hAnsi="Arial Narrow" w:cs="Times New Roman"/>
                <w:b/>
                <w:sz w:val="18"/>
                <w:szCs w:val="18"/>
              </w:rPr>
              <w:t>1</w:t>
            </w:r>
            <w:r w:rsidR="00FA1A62">
              <w:rPr>
                <w:rFonts w:ascii="Arial Narrow" w:hAnsi="Arial Narrow" w:cs="Times New Roman"/>
                <w:b/>
                <w:sz w:val="18"/>
                <w:szCs w:val="18"/>
              </w:rPr>
              <w:t> 002 056</w:t>
            </w:r>
          </w:p>
        </w:tc>
        <w:tc>
          <w:tcPr>
            <w:tcW w:w="938" w:type="dxa"/>
            <w:tcBorders>
              <w:top w:val="single" w:sz="4" w:space="0" w:color="auto"/>
              <w:left w:val="single" w:sz="4" w:space="0" w:color="auto"/>
              <w:bottom w:val="single" w:sz="4" w:space="0" w:color="auto"/>
              <w:right w:val="single" w:sz="4" w:space="0" w:color="auto"/>
              <w:tl2br w:val="nil"/>
              <w:tr2bl w:val="nil"/>
            </w:tcBorders>
            <w:shd w:val="clear" w:color="auto" w:fill="C0C0C0"/>
            <w:noWrap/>
            <w:textDirection w:val="lrTb"/>
            <w:vAlign w:val="center"/>
          </w:tcPr>
          <w:p w:rsidR="00065584" w:rsidRPr="001769B6" w:rsidP="00EF5371">
            <w:pPr>
              <w:spacing w:line="240" w:lineRule="auto"/>
              <w:jc w:val="right"/>
              <w:rPr>
                <w:rFonts w:ascii="Arial Narrow" w:hAnsi="Arial Narrow" w:cs="Times New Roman"/>
                <w:b/>
                <w:sz w:val="18"/>
                <w:szCs w:val="18"/>
              </w:rPr>
            </w:pPr>
            <w:r w:rsidR="00EF5371">
              <w:rPr>
                <w:rFonts w:ascii="Arial Narrow" w:hAnsi="Arial Narrow" w:cs="Times New Roman"/>
                <w:b/>
                <w:sz w:val="18"/>
                <w:szCs w:val="18"/>
              </w:rPr>
              <w:t>5</w:t>
            </w:r>
            <w:r w:rsidR="00FA1A62">
              <w:rPr>
                <w:rFonts w:ascii="Arial Narrow" w:hAnsi="Arial Narrow" w:cs="Times New Roman"/>
                <w:b/>
                <w:sz w:val="18"/>
                <w:szCs w:val="18"/>
              </w:rPr>
              <w:t> 139 025</w:t>
            </w:r>
          </w:p>
        </w:tc>
      </w:tr>
    </w:tbl>
    <w:p w:rsidR="00065584" w:rsidRPr="00A7415F" w:rsidP="00C362EA">
      <w:pPr>
        <w:spacing w:line="240" w:lineRule="auto"/>
        <w:rPr>
          <w:rFonts w:ascii="Arial Narrow" w:hAnsi="Arial Narrow" w:cs="Times New Roman"/>
          <w:u w:val="single"/>
        </w:rPr>
      </w:pPr>
      <w:r w:rsidR="00A7415F">
        <w:rPr>
          <w:rFonts w:ascii="Arial Narrow" w:hAnsi="Arial Narrow" w:cs="Times New Roman"/>
        </w:rPr>
        <w:t xml:space="preserve">* Úver EIB </w:t>
      </w:r>
      <w:r w:rsidR="003F0DC9">
        <w:rPr>
          <w:rFonts w:ascii="Arial Narrow" w:hAnsi="Arial Narrow" w:cs="Times New Roman"/>
        </w:rPr>
        <w:t xml:space="preserve">      </w:t>
      </w:r>
      <w:r w:rsidR="00926A07">
        <w:rPr>
          <w:rFonts w:ascii="Arial Narrow" w:hAnsi="Arial Narrow" w:cs="Times New Roman"/>
        </w:rPr>
        <w:t xml:space="preserve"> **z toho Úver EIB: 625 183</w:t>
      </w:r>
      <w:r w:rsidR="00A7415F">
        <w:rPr>
          <w:rFonts w:ascii="Arial Narrow" w:hAnsi="Arial Narrow" w:cs="Times New Roman"/>
        </w:rPr>
        <w:t xml:space="preserve"> tis. Sk</w:t>
      </w:r>
    </w:p>
    <w:p w:rsidR="00C965AD" w:rsidP="00C362EA">
      <w:pPr>
        <w:spacing w:line="240" w:lineRule="auto"/>
        <w:rPr>
          <w:rFonts w:ascii="Arial Narrow" w:hAnsi="Arial Narrow" w:cs="Times New Roman"/>
        </w:rPr>
      </w:pPr>
    </w:p>
    <w:p w:rsidR="00684D28" w:rsidP="00C362EA">
      <w:pPr>
        <w:spacing w:line="240" w:lineRule="auto"/>
        <w:ind w:firstLine="708"/>
        <w:rPr>
          <w:rFonts w:ascii="Times New Roman" w:hAnsi="Times New Roman" w:cs="Times New Roman"/>
          <w:sz w:val="24"/>
          <w:szCs w:val="24"/>
        </w:rPr>
      </w:pPr>
      <w:r w:rsidRPr="006036D8">
        <w:rPr>
          <w:rFonts w:ascii="Times New Roman" w:hAnsi="Times New Roman" w:cs="Times New Roman"/>
          <w:sz w:val="24"/>
          <w:szCs w:val="24"/>
        </w:rPr>
        <w:t>Tabuľka poskytuje</w:t>
      </w:r>
      <w:r w:rsidR="003F0DC9">
        <w:rPr>
          <w:rFonts w:ascii="Times New Roman" w:hAnsi="Times New Roman" w:cs="Times New Roman"/>
          <w:sz w:val="24"/>
          <w:szCs w:val="24"/>
        </w:rPr>
        <w:t xml:space="preserve"> prehľad o čerpaní finančných prostriedkov </w:t>
      </w:r>
      <w:r w:rsidRPr="006036D8">
        <w:rPr>
          <w:rFonts w:ascii="Times New Roman" w:hAnsi="Times New Roman" w:cs="Times New Roman"/>
          <w:sz w:val="24"/>
          <w:szCs w:val="24"/>
        </w:rPr>
        <w:t xml:space="preserve">z rozpočtu EÚ a príslušného </w:t>
      </w:r>
      <w:r>
        <w:rPr>
          <w:rFonts w:ascii="Times New Roman" w:hAnsi="Times New Roman" w:cs="Times New Roman"/>
          <w:sz w:val="24"/>
          <w:szCs w:val="24"/>
        </w:rPr>
        <w:t>spolu</w:t>
      </w:r>
      <w:r w:rsidRPr="006036D8">
        <w:rPr>
          <w:rFonts w:ascii="Times New Roman" w:hAnsi="Times New Roman" w:cs="Times New Roman"/>
          <w:sz w:val="24"/>
          <w:szCs w:val="24"/>
        </w:rPr>
        <w:t>f</w:t>
      </w:r>
      <w:r w:rsidR="003F0DC9">
        <w:rPr>
          <w:rFonts w:ascii="Times New Roman" w:hAnsi="Times New Roman" w:cs="Times New Roman"/>
          <w:sz w:val="24"/>
          <w:szCs w:val="24"/>
        </w:rPr>
        <w:t xml:space="preserve">inancovania zo štátneho rozpočtu </w:t>
      </w:r>
      <w:r w:rsidR="00441A5E">
        <w:rPr>
          <w:rFonts w:ascii="Times New Roman" w:hAnsi="Times New Roman" w:cs="Times New Roman"/>
          <w:sz w:val="24"/>
          <w:szCs w:val="24"/>
        </w:rPr>
        <w:t>pod</w:t>
      </w:r>
      <w:r w:rsidR="00C059F5">
        <w:rPr>
          <w:rFonts w:ascii="Times New Roman" w:hAnsi="Times New Roman" w:cs="Times New Roman"/>
          <w:sz w:val="24"/>
          <w:szCs w:val="24"/>
        </w:rPr>
        <w:t xml:space="preserve">ľa jednotlivých projektov </w:t>
      </w:r>
      <w:r w:rsidR="003F0DC9">
        <w:rPr>
          <w:rFonts w:ascii="Times New Roman" w:hAnsi="Times New Roman" w:cs="Times New Roman"/>
          <w:sz w:val="24"/>
          <w:szCs w:val="24"/>
        </w:rPr>
        <w:t>výstavb</w:t>
      </w:r>
      <w:r w:rsidR="00441A5E">
        <w:rPr>
          <w:rFonts w:ascii="Times New Roman" w:hAnsi="Times New Roman" w:cs="Times New Roman"/>
          <w:sz w:val="24"/>
          <w:szCs w:val="24"/>
        </w:rPr>
        <w:t>y</w:t>
      </w:r>
      <w:r>
        <w:rPr>
          <w:rFonts w:ascii="Times New Roman" w:hAnsi="Times New Roman" w:cs="Times New Roman"/>
          <w:sz w:val="24"/>
          <w:szCs w:val="24"/>
        </w:rPr>
        <w:t xml:space="preserve"> diaľnic </w:t>
      </w:r>
      <w:r w:rsidR="003F0DC9">
        <w:rPr>
          <w:rFonts w:ascii="Times New Roman" w:hAnsi="Times New Roman" w:cs="Times New Roman"/>
          <w:sz w:val="24"/>
          <w:szCs w:val="24"/>
        </w:rPr>
        <w:t>a</w:t>
      </w:r>
      <w:r w:rsidR="004774BC">
        <w:rPr>
          <w:rFonts w:ascii="Times New Roman" w:hAnsi="Times New Roman" w:cs="Times New Roman"/>
          <w:sz w:val="24"/>
          <w:szCs w:val="24"/>
        </w:rPr>
        <w:t>  rýchlostných ciest v roku 2007</w:t>
      </w:r>
      <w:r>
        <w:rPr>
          <w:rFonts w:ascii="Times New Roman" w:hAnsi="Times New Roman" w:cs="Times New Roman"/>
          <w:sz w:val="24"/>
          <w:szCs w:val="24"/>
        </w:rPr>
        <w:t xml:space="preserve">. </w:t>
      </w:r>
    </w:p>
    <w:p w:rsidR="00C965AD" w:rsidP="00C059F5">
      <w:pPr>
        <w:spacing w:line="240" w:lineRule="auto"/>
        <w:rPr>
          <w:rFonts w:ascii="Times New Roman" w:hAnsi="Times New Roman" w:cs="Times New Roman"/>
          <w:sz w:val="24"/>
          <w:szCs w:val="24"/>
        </w:rPr>
      </w:pPr>
    </w:p>
    <w:p w:rsidR="00C059F5" w:rsidRPr="00C059F5" w:rsidP="00C059F5">
      <w:pPr>
        <w:spacing w:line="240" w:lineRule="auto"/>
        <w:rPr>
          <w:rFonts w:ascii="Times New Roman" w:hAnsi="Times New Roman" w:cs="Times New Roman"/>
          <w:b/>
          <w:sz w:val="24"/>
          <w:szCs w:val="24"/>
        </w:rPr>
      </w:pPr>
      <w:r w:rsidRPr="00C059F5">
        <w:rPr>
          <w:rFonts w:ascii="Times New Roman" w:hAnsi="Times New Roman" w:cs="Times New Roman"/>
          <w:b/>
          <w:sz w:val="24"/>
          <w:szCs w:val="24"/>
        </w:rPr>
        <w:t xml:space="preserve">Projekt Kohézneho fondu – D1 Mengusovce – Jánovce </w:t>
      </w:r>
    </w:p>
    <w:p w:rsidR="002B0AB9" w:rsidP="00C059F5">
      <w:pPr>
        <w:spacing w:line="240" w:lineRule="auto"/>
        <w:rPr>
          <w:rFonts w:ascii="Times New Roman" w:hAnsi="Times New Roman" w:cs="Times New Roman"/>
          <w:sz w:val="24"/>
          <w:szCs w:val="24"/>
        </w:rPr>
      </w:pPr>
    </w:p>
    <w:p w:rsidR="00C059F5" w:rsidRPr="003356AB" w:rsidP="00C059F5">
      <w:pPr>
        <w:spacing w:line="240" w:lineRule="auto"/>
        <w:rPr>
          <w:rFonts w:ascii="Times New Roman" w:hAnsi="Times New Roman" w:cs="Times New Roman"/>
          <w:sz w:val="24"/>
          <w:szCs w:val="24"/>
        </w:rPr>
      </w:pPr>
      <w:r w:rsidRPr="003356AB" w:rsidR="003356AB">
        <w:rPr>
          <w:rFonts w:ascii="Times New Roman" w:hAnsi="Times New Roman" w:cs="Times New Roman"/>
          <w:sz w:val="24"/>
          <w:szCs w:val="24"/>
        </w:rPr>
        <w:t>Rozdelený je na 3 podúseky: Mengusovce - Poprad (km 0,00 - km 8,00), Poprad - Matejovce (km 8,0</w:t>
      </w:r>
      <w:r w:rsidR="002B0AB9">
        <w:rPr>
          <w:rFonts w:ascii="Times New Roman" w:hAnsi="Times New Roman" w:cs="Times New Roman"/>
          <w:sz w:val="24"/>
          <w:szCs w:val="24"/>
        </w:rPr>
        <w:t xml:space="preserve">0 - km 14,23) a </w:t>
      </w:r>
      <w:r w:rsidRPr="003356AB" w:rsidR="003356AB">
        <w:rPr>
          <w:rFonts w:ascii="Times New Roman" w:hAnsi="Times New Roman" w:cs="Times New Roman"/>
          <w:sz w:val="24"/>
          <w:szCs w:val="24"/>
        </w:rPr>
        <w:t>Matejovce - Jánovce (km 14,23 - km 25,85).</w:t>
      </w:r>
    </w:p>
    <w:p w:rsidR="002B0AB9" w:rsidP="00C059F5">
      <w:pPr>
        <w:autoSpaceDE/>
        <w:autoSpaceDN/>
        <w:spacing w:line="240" w:lineRule="auto"/>
        <w:jc w:val="left"/>
        <w:textAlignment w:val="auto"/>
        <w:rPr>
          <w:rFonts w:ascii="Times New Roman" w:hAnsi="Times New Roman" w:cs="Times New Roman"/>
          <w:sz w:val="24"/>
          <w:szCs w:val="24"/>
          <w:u w:val="single"/>
          <w:lang w:eastAsia="sk-SK"/>
        </w:rPr>
      </w:pPr>
    </w:p>
    <w:p w:rsidR="00C059F5" w:rsidP="00C059F5">
      <w:pPr>
        <w:autoSpaceDE/>
        <w:autoSpaceDN/>
        <w:spacing w:line="240" w:lineRule="auto"/>
        <w:jc w:val="left"/>
        <w:textAlignment w:val="auto"/>
        <w:rPr>
          <w:rFonts w:ascii="Times New Roman" w:hAnsi="Times New Roman" w:cs="Times New Roman"/>
          <w:sz w:val="24"/>
          <w:szCs w:val="24"/>
          <w:u w:val="single"/>
          <w:lang w:eastAsia="sk-SK"/>
        </w:rPr>
      </w:pPr>
      <w:r w:rsidR="002212EE">
        <w:rPr>
          <w:rFonts w:ascii="Times New Roman" w:hAnsi="Times New Roman" w:cs="Times New Roman"/>
          <w:sz w:val="24"/>
          <w:szCs w:val="24"/>
          <w:u w:val="single"/>
          <w:lang w:eastAsia="sk-SK"/>
        </w:rPr>
        <w:t xml:space="preserve">I.  úsek km     </w:t>
      </w:r>
      <w:r w:rsidRPr="00C059F5">
        <w:rPr>
          <w:rFonts w:ascii="Times New Roman" w:hAnsi="Times New Roman" w:cs="Times New Roman"/>
          <w:sz w:val="24"/>
          <w:szCs w:val="24"/>
          <w:u w:val="single"/>
          <w:lang w:eastAsia="sk-SK"/>
        </w:rPr>
        <w:t xml:space="preserve">0,000 - </w:t>
      </w:r>
      <w:r w:rsidR="002212EE">
        <w:rPr>
          <w:rFonts w:ascii="Times New Roman" w:hAnsi="Times New Roman" w:cs="Times New Roman"/>
          <w:sz w:val="24"/>
          <w:szCs w:val="24"/>
          <w:u w:val="single"/>
          <w:lang w:eastAsia="sk-SK"/>
        </w:rPr>
        <w:t xml:space="preserve">  </w:t>
      </w:r>
      <w:r w:rsidRPr="00C059F5">
        <w:rPr>
          <w:rFonts w:ascii="Times New Roman" w:hAnsi="Times New Roman" w:cs="Times New Roman"/>
          <w:sz w:val="24"/>
          <w:szCs w:val="24"/>
          <w:u w:val="single"/>
          <w:lang w:eastAsia="sk-SK"/>
        </w:rPr>
        <w:t xml:space="preserve">8,000 </w:t>
      </w:r>
    </w:p>
    <w:p w:rsidR="003356AB" w:rsidP="003356AB">
      <w:pPr>
        <w:autoSpaceDE/>
        <w:autoSpaceDN/>
        <w:spacing w:line="240" w:lineRule="auto"/>
        <w:rPr>
          <w:rFonts w:ascii="Times New Roman" w:hAnsi="Times New Roman" w:cs="Times New Roman"/>
          <w:sz w:val="24"/>
          <w:szCs w:val="24"/>
        </w:rPr>
      </w:pPr>
    </w:p>
    <w:p w:rsidR="003356AB" w:rsidRPr="003356AB" w:rsidP="003356AB">
      <w:pPr>
        <w:autoSpaceDE/>
        <w:autoSpaceDN/>
        <w:spacing w:line="240" w:lineRule="auto"/>
        <w:ind w:firstLine="709"/>
        <w:rPr>
          <w:rFonts w:ascii="Times New Roman" w:hAnsi="Times New Roman" w:cs="Times New Roman"/>
          <w:sz w:val="24"/>
          <w:szCs w:val="24"/>
        </w:rPr>
      </w:pPr>
      <w:r w:rsidRPr="003356AB">
        <w:rPr>
          <w:rFonts w:ascii="Times New Roman" w:hAnsi="Times New Roman" w:cs="Times New Roman"/>
          <w:sz w:val="24"/>
          <w:szCs w:val="24"/>
        </w:rPr>
        <w:t>Termín zahájenia stavby bol určený stavebným dozorom na 19.4.2006. Zmluvná doba výstavby je 1095 dní, z ktorej uplynulo 621 dní, t.j. 56,7 %.</w:t>
      </w:r>
      <w:r>
        <w:rPr>
          <w:rFonts w:ascii="Times New Roman" w:hAnsi="Times New Roman" w:cs="Times New Roman"/>
          <w:sz w:val="24"/>
          <w:szCs w:val="24"/>
        </w:rPr>
        <w:t xml:space="preserve"> </w:t>
      </w:r>
      <w:r w:rsidRPr="003356AB">
        <w:rPr>
          <w:rFonts w:ascii="Times New Roman" w:hAnsi="Times New Roman" w:cs="Times New Roman"/>
          <w:sz w:val="24"/>
          <w:szCs w:val="24"/>
        </w:rPr>
        <w:t>Práce na v</w:t>
      </w:r>
      <w:r w:rsidR="00EB5C51">
        <w:rPr>
          <w:rFonts w:ascii="Times New Roman" w:hAnsi="Times New Roman" w:cs="Times New Roman"/>
          <w:sz w:val="24"/>
          <w:szCs w:val="24"/>
        </w:rPr>
        <w:t>äčšine objektov boli prerušené v zimnom období</w:t>
      </w:r>
      <w:r w:rsidRPr="003356AB">
        <w:rPr>
          <w:rFonts w:ascii="Times New Roman" w:hAnsi="Times New Roman" w:cs="Times New Roman"/>
          <w:sz w:val="24"/>
          <w:szCs w:val="24"/>
        </w:rPr>
        <w:t>, pričom sú vo všeobecnosti omeškané o cca 2 mesiace v dôsledku pomalej prvotnej mobilizácie a </w:t>
      </w:r>
      <w:r>
        <w:rPr>
          <w:rFonts w:ascii="Times New Roman" w:hAnsi="Times New Roman" w:cs="Times New Roman"/>
          <w:sz w:val="24"/>
          <w:szCs w:val="24"/>
        </w:rPr>
        <w:t xml:space="preserve">nedostatku kapacít zhotoviteľa. </w:t>
      </w:r>
      <w:r w:rsidRPr="003356AB">
        <w:rPr>
          <w:rFonts w:ascii="Times New Roman" w:hAnsi="Times New Roman" w:cs="Times New Roman"/>
          <w:sz w:val="24"/>
          <w:szCs w:val="24"/>
        </w:rPr>
        <w:t xml:space="preserve">V priebehu roka </w:t>
      </w:r>
      <w:r>
        <w:rPr>
          <w:rFonts w:ascii="Times New Roman" w:hAnsi="Times New Roman" w:cs="Times New Roman"/>
          <w:sz w:val="24"/>
          <w:szCs w:val="24"/>
        </w:rPr>
        <w:t xml:space="preserve">2007 </w:t>
      </w:r>
      <w:r w:rsidRPr="003356AB">
        <w:rPr>
          <w:rFonts w:ascii="Times New Roman" w:hAnsi="Times New Roman" w:cs="Times New Roman"/>
          <w:sz w:val="24"/>
          <w:szCs w:val="24"/>
        </w:rPr>
        <w:t xml:space="preserve">sa situácia zlepšila a zhotoviteľ garantuje dodržanie termínu výstavby. Práce na kritickom </w:t>
      </w:r>
      <w:r>
        <w:rPr>
          <w:rFonts w:ascii="Times New Roman" w:hAnsi="Times New Roman" w:cs="Times New Roman"/>
          <w:sz w:val="24"/>
          <w:szCs w:val="24"/>
        </w:rPr>
        <w:t xml:space="preserve">úseku </w:t>
      </w:r>
      <w:r w:rsidRPr="003356AB">
        <w:rPr>
          <w:rFonts w:ascii="Times New Roman" w:hAnsi="Times New Roman" w:cs="Times New Roman"/>
          <w:sz w:val="24"/>
          <w:szCs w:val="24"/>
        </w:rPr>
        <w:t xml:space="preserve">SO 212-00 „Križovatka Poprad“ sú v sklze asi 3 mesiace a momentálne zhotoviteľ dopĺňa personálne aj strojné kapacity. Zhotoviteľ garantuje dodržanie termínu výstavby križovatky Poprad do októbra 2008, aby sa neohrozilo uvedenie úsekov diaľnice km </w:t>
      </w:r>
      <w:r w:rsidR="002B0AB9">
        <w:rPr>
          <w:rFonts w:ascii="Times New Roman" w:hAnsi="Times New Roman" w:cs="Times New Roman"/>
          <w:sz w:val="24"/>
          <w:szCs w:val="24"/>
        </w:rPr>
        <w:t>8,000-14,23</w:t>
      </w:r>
      <w:r w:rsidRPr="003356AB">
        <w:rPr>
          <w:rFonts w:ascii="Times New Roman" w:hAnsi="Times New Roman" w:cs="Times New Roman"/>
          <w:sz w:val="24"/>
          <w:szCs w:val="24"/>
        </w:rPr>
        <w:t xml:space="preserve"> a km</w:t>
      </w:r>
      <w:r w:rsidR="002B0AB9">
        <w:rPr>
          <w:rFonts w:ascii="Times New Roman" w:hAnsi="Times New Roman" w:cs="Times New Roman"/>
          <w:sz w:val="24"/>
          <w:szCs w:val="24"/>
        </w:rPr>
        <w:t> 14,230-25,85</w:t>
      </w:r>
      <w:r w:rsidRPr="003356AB">
        <w:rPr>
          <w:rFonts w:ascii="Times New Roman" w:hAnsi="Times New Roman" w:cs="Times New Roman"/>
          <w:sz w:val="24"/>
          <w:szCs w:val="24"/>
        </w:rPr>
        <w:t xml:space="preserve"> do prevádzky.</w:t>
      </w:r>
    </w:p>
    <w:p w:rsidR="003356AB" w:rsidRPr="003356AB" w:rsidP="003356AB">
      <w:pPr>
        <w:tabs>
          <w:tab w:val="left" w:pos="360"/>
        </w:tabs>
        <w:spacing w:line="240" w:lineRule="auto"/>
        <w:ind w:firstLine="360"/>
        <w:rPr>
          <w:rFonts w:ascii="Times New Roman" w:hAnsi="Times New Roman" w:cs="Times New Roman"/>
          <w:sz w:val="24"/>
          <w:szCs w:val="24"/>
        </w:rPr>
      </w:pPr>
      <w:r>
        <w:rPr>
          <w:rFonts w:ascii="Times New Roman" w:hAnsi="Times New Roman" w:cs="Times New Roman"/>
          <w:sz w:val="24"/>
          <w:szCs w:val="24"/>
        </w:rPr>
        <w:tab/>
      </w:r>
      <w:r w:rsidRPr="003356AB">
        <w:rPr>
          <w:rFonts w:ascii="Times New Roman" w:hAnsi="Times New Roman" w:cs="Times New Roman"/>
          <w:sz w:val="24"/>
          <w:szCs w:val="24"/>
        </w:rPr>
        <w:t xml:space="preserve">Raziace práce </w:t>
      </w:r>
      <w:r>
        <w:rPr>
          <w:rFonts w:ascii="Times New Roman" w:hAnsi="Times New Roman" w:cs="Times New Roman"/>
          <w:sz w:val="24"/>
          <w:szCs w:val="24"/>
        </w:rPr>
        <w:t xml:space="preserve">na tuneli </w:t>
      </w:r>
      <w:r w:rsidR="002B0AB9">
        <w:rPr>
          <w:rFonts w:ascii="Times New Roman" w:hAnsi="Times New Roman" w:cs="Times New Roman"/>
          <w:sz w:val="24"/>
          <w:szCs w:val="24"/>
        </w:rPr>
        <w:t xml:space="preserve">Bôrik </w:t>
      </w:r>
      <w:r w:rsidRPr="003356AB">
        <w:rPr>
          <w:rFonts w:ascii="Times New Roman" w:hAnsi="Times New Roman" w:cs="Times New Roman"/>
          <w:sz w:val="24"/>
          <w:szCs w:val="24"/>
        </w:rPr>
        <w:t>počas zimného obdobia pokračovali a neboli ovplyvnené nepriaznivým počasím. Prá</w:t>
      </w:r>
      <w:r w:rsidR="006E4A83">
        <w:rPr>
          <w:rFonts w:ascii="Times New Roman" w:hAnsi="Times New Roman" w:cs="Times New Roman"/>
          <w:sz w:val="24"/>
          <w:szCs w:val="24"/>
        </w:rPr>
        <w:t>ce na tuneli</w:t>
      </w:r>
      <w:r w:rsidRPr="003356AB">
        <w:rPr>
          <w:rFonts w:ascii="Times New Roman" w:hAnsi="Times New Roman" w:cs="Times New Roman"/>
          <w:sz w:val="24"/>
          <w:szCs w:val="24"/>
        </w:rPr>
        <w:t xml:space="preserve"> sú omeškanie o cca </w:t>
      </w:r>
      <w:r w:rsidR="002B0AB9">
        <w:rPr>
          <w:rFonts w:ascii="Times New Roman" w:hAnsi="Times New Roman" w:cs="Times New Roman"/>
          <w:sz w:val="24"/>
          <w:szCs w:val="24"/>
        </w:rPr>
        <w:t xml:space="preserve">1,5 mesiaca oproti zmluvnému harmonogramu. </w:t>
      </w:r>
      <w:r w:rsidRPr="003356AB">
        <w:rPr>
          <w:rFonts w:ascii="Times New Roman" w:hAnsi="Times New Roman" w:cs="Times New Roman"/>
          <w:sz w:val="24"/>
          <w:szCs w:val="24"/>
        </w:rPr>
        <w:t>Zhotoviteľ podal oznámenia o nárokoch na zvýšené náklady v dôsledku výskytu nepredvídateľných geologických podmienok, ktoré sa líšia od podmienok predpokladaných v tendrovej dokumentácií a v dôsledku aktualizácie požiadaviek pre technologické vybavenie tunela. To viedlo k potrebe vypracovania nového projektu stredového piliera pilierovej štôlne, projektu riešenia závalu, nových projektov vozovky, núdzových zálivov, sekundárneho ostenia, a i.</w:t>
      </w:r>
    </w:p>
    <w:p w:rsidR="003356AB" w:rsidRPr="003356AB" w:rsidP="003356AB">
      <w:pPr>
        <w:autoSpaceDE/>
        <w:autoSpaceDN/>
        <w:spacing w:line="240" w:lineRule="auto"/>
        <w:rPr>
          <w:rFonts w:ascii="Times New Roman" w:hAnsi="Times New Roman" w:cs="Times New Roman"/>
          <w:sz w:val="24"/>
          <w:szCs w:val="24"/>
        </w:rPr>
      </w:pPr>
    </w:p>
    <w:p w:rsidR="003356AB" w:rsidP="003356AB">
      <w:pPr>
        <w:autoSpaceDE/>
        <w:autoSpaceDN/>
        <w:spacing w:line="240" w:lineRule="auto"/>
        <w:rPr>
          <w:rFonts w:ascii="Times New Roman" w:hAnsi="Times New Roman" w:cs="Times New Roman"/>
          <w:sz w:val="24"/>
          <w:szCs w:val="24"/>
        </w:rPr>
      </w:pPr>
      <w:r w:rsidRPr="00646F84" w:rsidR="00646F84">
        <w:rPr>
          <w:rFonts w:ascii="Times New Roman" w:hAnsi="Times New Roman" w:cs="Times New Roman"/>
          <w:sz w:val="24"/>
          <w:szCs w:val="24"/>
        </w:rPr>
        <w:t>Vybudovanie SSÚD Mengusovce</w:t>
      </w:r>
    </w:p>
    <w:p w:rsidR="00646F84" w:rsidRPr="003356AB" w:rsidP="003356AB">
      <w:pPr>
        <w:autoSpaceDE/>
        <w:autoSpaceDN/>
        <w:spacing w:line="240" w:lineRule="auto"/>
        <w:rPr>
          <w:rFonts w:ascii="Times New Roman" w:hAnsi="Times New Roman" w:cs="Times New Roman"/>
          <w:sz w:val="24"/>
          <w:szCs w:val="24"/>
        </w:rPr>
      </w:pPr>
    </w:p>
    <w:p w:rsidR="003356AB" w:rsidRPr="003356AB" w:rsidP="00646F84">
      <w:pPr>
        <w:autoSpaceDE/>
        <w:autoSpaceDN/>
        <w:spacing w:line="240" w:lineRule="auto"/>
        <w:ind w:firstLine="709"/>
        <w:rPr>
          <w:rFonts w:ascii="Times New Roman" w:hAnsi="Times New Roman" w:cs="Times New Roman"/>
          <w:sz w:val="24"/>
          <w:szCs w:val="24"/>
        </w:rPr>
      </w:pPr>
      <w:r w:rsidRPr="003356AB">
        <w:rPr>
          <w:rFonts w:ascii="Times New Roman" w:hAnsi="Times New Roman" w:cs="Times New Roman"/>
          <w:sz w:val="24"/>
          <w:szCs w:val="24"/>
        </w:rPr>
        <w:t>Zmluva so zhotoviteľom bola podpísaná 11.10.2007. Dátum zahájenia stavby bol stavebným dozorom určený na 07.12.2007. Zmluvná doba vý</w:t>
      </w:r>
      <w:r w:rsidR="00646F84">
        <w:rPr>
          <w:rFonts w:ascii="Times New Roman" w:hAnsi="Times New Roman" w:cs="Times New Roman"/>
          <w:sz w:val="24"/>
          <w:szCs w:val="24"/>
        </w:rPr>
        <w:t>stavby je 519 dní</w:t>
      </w:r>
      <w:r w:rsidRPr="003356AB">
        <w:rPr>
          <w:rFonts w:ascii="Times New Roman" w:hAnsi="Times New Roman" w:cs="Times New Roman"/>
          <w:sz w:val="24"/>
          <w:szCs w:val="24"/>
        </w:rPr>
        <w:t xml:space="preserve">, z ktorej uplynulo 25 dní, t.j. 4,8 %. Počas mesiaca december 2007 zhotoviteľ nerealizoval na stavbe žiadne práce z dôvodu nepriaznivých klimatických podmienok. Zmluvná cena s DPH je 308.800.000,- SKK bez DPH.  </w:t>
      </w:r>
    </w:p>
    <w:p w:rsidR="003356AB" w:rsidRPr="00C059F5" w:rsidP="00C059F5">
      <w:pPr>
        <w:autoSpaceDE/>
        <w:autoSpaceDN/>
        <w:spacing w:line="240" w:lineRule="auto"/>
        <w:jc w:val="left"/>
        <w:textAlignment w:val="auto"/>
        <w:rPr>
          <w:rFonts w:ascii="Times New Roman" w:hAnsi="Times New Roman" w:cs="Times New Roman"/>
          <w:sz w:val="24"/>
          <w:szCs w:val="24"/>
          <w:u w:val="single"/>
          <w:lang w:eastAsia="sk-SK"/>
        </w:rPr>
      </w:pPr>
    </w:p>
    <w:p w:rsidR="00C059F5" w:rsidRPr="00C059F5" w:rsidP="00C059F5">
      <w:pPr>
        <w:autoSpaceDE/>
        <w:autoSpaceDN/>
        <w:spacing w:line="240" w:lineRule="auto"/>
        <w:textAlignment w:val="auto"/>
        <w:rPr>
          <w:rFonts w:ascii="Times New Roman" w:hAnsi="Times New Roman" w:cs="Times New Roman"/>
          <w:sz w:val="24"/>
          <w:szCs w:val="24"/>
          <w:u w:val="single"/>
          <w:lang w:eastAsia="sk-SK"/>
        </w:rPr>
      </w:pPr>
      <w:r w:rsidRPr="00C059F5">
        <w:rPr>
          <w:rFonts w:ascii="Times New Roman" w:hAnsi="Times New Roman" w:cs="Times New Roman"/>
          <w:sz w:val="24"/>
          <w:szCs w:val="24"/>
          <w:u w:val="single"/>
          <w:lang w:eastAsia="sk-SK"/>
        </w:rPr>
        <w:t xml:space="preserve">II. úsek km </w:t>
      </w:r>
      <w:r w:rsidR="002212EE">
        <w:rPr>
          <w:rFonts w:ascii="Times New Roman" w:hAnsi="Times New Roman" w:cs="Times New Roman"/>
          <w:sz w:val="24"/>
          <w:szCs w:val="24"/>
          <w:u w:val="single"/>
          <w:lang w:eastAsia="sk-SK"/>
        </w:rPr>
        <w:t xml:space="preserve">    </w:t>
      </w:r>
      <w:r w:rsidRPr="00C059F5">
        <w:rPr>
          <w:rFonts w:ascii="Times New Roman" w:hAnsi="Times New Roman" w:cs="Times New Roman"/>
          <w:sz w:val="24"/>
          <w:szCs w:val="24"/>
          <w:u w:val="single"/>
          <w:lang w:eastAsia="sk-SK"/>
        </w:rPr>
        <w:t>8,000</w:t>
      </w:r>
      <w:r w:rsidR="002212EE">
        <w:rPr>
          <w:rFonts w:ascii="Times New Roman" w:hAnsi="Times New Roman" w:cs="Times New Roman"/>
          <w:sz w:val="24"/>
          <w:szCs w:val="24"/>
          <w:u w:val="single"/>
          <w:lang w:eastAsia="sk-SK"/>
        </w:rPr>
        <w:t xml:space="preserve"> </w:t>
      </w:r>
      <w:r w:rsidRPr="00C059F5">
        <w:rPr>
          <w:rFonts w:ascii="Times New Roman" w:hAnsi="Times New Roman" w:cs="Times New Roman"/>
          <w:sz w:val="24"/>
          <w:szCs w:val="24"/>
          <w:u w:val="single"/>
          <w:lang w:eastAsia="sk-SK"/>
        </w:rPr>
        <w:t>-</w:t>
      </w:r>
      <w:r w:rsidR="002212EE">
        <w:rPr>
          <w:rFonts w:ascii="Times New Roman" w:hAnsi="Times New Roman" w:cs="Times New Roman"/>
          <w:sz w:val="24"/>
          <w:szCs w:val="24"/>
          <w:u w:val="single"/>
          <w:lang w:eastAsia="sk-SK"/>
        </w:rPr>
        <w:t xml:space="preserve"> </w:t>
      </w:r>
      <w:r w:rsidRPr="00C059F5">
        <w:rPr>
          <w:rFonts w:ascii="Times New Roman" w:hAnsi="Times New Roman" w:cs="Times New Roman"/>
          <w:sz w:val="24"/>
          <w:szCs w:val="24"/>
          <w:u w:val="single"/>
          <w:lang w:eastAsia="sk-SK"/>
        </w:rPr>
        <w:t>14,230</w:t>
      </w:r>
    </w:p>
    <w:p w:rsidR="009E64DD" w:rsidP="009E64DD">
      <w:pPr>
        <w:pStyle w:val="PlainText"/>
        <w:spacing w:line="240" w:lineRule="auto"/>
        <w:rPr>
          <w:rFonts w:ascii="Times New Roman" w:hAnsi="Times New Roman" w:cs="Times New Roman"/>
          <w:sz w:val="24"/>
          <w:szCs w:val="24"/>
        </w:rPr>
      </w:pPr>
    </w:p>
    <w:p w:rsidR="009E64DD" w:rsidRPr="009E64DD" w:rsidP="009E64DD">
      <w:pPr>
        <w:pStyle w:val="PlainText"/>
        <w:spacing w:line="240" w:lineRule="auto"/>
        <w:ind w:firstLine="709"/>
        <w:rPr>
          <w:rFonts w:ascii="Times New Roman" w:hAnsi="Times New Roman" w:cs="Times New Roman"/>
          <w:sz w:val="24"/>
          <w:szCs w:val="24"/>
        </w:rPr>
      </w:pPr>
      <w:r w:rsidRPr="009E64DD">
        <w:rPr>
          <w:rFonts w:ascii="Times New Roman" w:hAnsi="Times New Roman" w:cs="Times New Roman"/>
          <w:sz w:val="24"/>
          <w:szCs w:val="24"/>
        </w:rPr>
        <w:t>Od začiatku výstavby uplynulo 990 dní, čo predstavuje 83,54</w:t>
      </w:r>
      <w:r>
        <w:rPr>
          <w:rFonts w:ascii="Times New Roman" w:hAnsi="Times New Roman" w:cs="Times New Roman"/>
          <w:sz w:val="24"/>
          <w:szCs w:val="24"/>
        </w:rPr>
        <w:t xml:space="preserve"> </w:t>
      </w:r>
      <w:r w:rsidRPr="009E64DD">
        <w:rPr>
          <w:rFonts w:ascii="Times New Roman" w:hAnsi="Times New Roman" w:cs="Times New Roman"/>
          <w:sz w:val="24"/>
          <w:szCs w:val="24"/>
        </w:rPr>
        <w:t>% z celkovej doby výstavby (1185 dní). V tomto čase je zahrnuté predĺženie</w:t>
      </w:r>
      <w:r>
        <w:rPr>
          <w:rFonts w:ascii="Times New Roman" w:hAnsi="Times New Roman" w:cs="Times New Roman"/>
          <w:sz w:val="24"/>
          <w:szCs w:val="24"/>
        </w:rPr>
        <w:t xml:space="preserve"> termínu výstavby o 90 dní z dôvodu realizácie </w:t>
      </w:r>
      <w:r w:rsidRPr="009E64DD">
        <w:rPr>
          <w:rFonts w:ascii="Times New Roman" w:hAnsi="Times New Roman" w:cs="Times New Roman"/>
          <w:sz w:val="24"/>
          <w:szCs w:val="24"/>
        </w:rPr>
        <w:t>Privádzača Poprad – Kežmarok, ktorý tvorí dodatok k pôvodnej Zmluve o dielo. Zhotoviteľ vyfakturoval a stavebný dozor odsúhlasil práce v hodnote za viac ako 1,4 mld. Sk bez DPH, t. j. asi 63,43</w:t>
      </w:r>
      <w:r>
        <w:rPr>
          <w:rFonts w:ascii="Times New Roman" w:hAnsi="Times New Roman" w:cs="Times New Roman"/>
          <w:sz w:val="24"/>
          <w:szCs w:val="24"/>
        </w:rPr>
        <w:t xml:space="preserve"> </w:t>
      </w:r>
      <w:r w:rsidRPr="009E64DD">
        <w:rPr>
          <w:rFonts w:ascii="Times New Roman" w:hAnsi="Times New Roman" w:cs="Times New Roman"/>
          <w:sz w:val="24"/>
          <w:szCs w:val="24"/>
        </w:rPr>
        <w:t>% zmluvnej ceny (bez Privádzača). Zhotoviteľovi sa nasadením kapacít podarilo meškanie v postupe prác na objekte SO 215-00 dobehnúť. Kritickými objektmi sú mosty SO 221-00 a SO 223-00. V ich realizácii bude možné pokračovať až po odklonení dopravy na dokončenú časť Privádzača. V objektovej skladbe stavby nie je zahrnutých 6 objektov, na realizáciu</w:t>
      </w:r>
      <w:r w:rsidR="00EB5C51">
        <w:rPr>
          <w:rFonts w:ascii="Times New Roman" w:hAnsi="Times New Roman" w:cs="Times New Roman"/>
          <w:sz w:val="24"/>
          <w:szCs w:val="24"/>
        </w:rPr>
        <w:t xml:space="preserve"> ktorých sa zaviazala NDS, a.s., </w:t>
      </w:r>
      <w:r w:rsidRPr="009E64DD">
        <w:rPr>
          <w:rFonts w:ascii="Times New Roman" w:hAnsi="Times New Roman" w:cs="Times New Roman"/>
          <w:sz w:val="24"/>
          <w:szCs w:val="24"/>
        </w:rPr>
        <w:t>(vtedy SSC). Stavebné povolenia sú už vydané.</w:t>
      </w:r>
    </w:p>
    <w:p w:rsidR="00646F84" w:rsidP="00C059F5">
      <w:pPr>
        <w:autoSpaceDE/>
        <w:autoSpaceDN/>
        <w:spacing w:line="240" w:lineRule="auto"/>
        <w:textAlignment w:val="auto"/>
        <w:rPr>
          <w:rFonts w:ascii="Times New Roman" w:hAnsi="Times New Roman" w:cs="Times New Roman"/>
          <w:sz w:val="24"/>
          <w:szCs w:val="24"/>
          <w:u w:val="single"/>
          <w:lang w:eastAsia="sk-SK"/>
        </w:rPr>
      </w:pPr>
    </w:p>
    <w:p w:rsidR="00C059F5" w:rsidRPr="00C059F5" w:rsidP="00C059F5">
      <w:pPr>
        <w:autoSpaceDE/>
        <w:autoSpaceDN/>
        <w:spacing w:line="240" w:lineRule="auto"/>
        <w:textAlignment w:val="auto"/>
        <w:rPr>
          <w:rFonts w:ascii="Times New Roman" w:hAnsi="Times New Roman" w:cs="Times New Roman"/>
          <w:sz w:val="24"/>
          <w:szCs w:val="24"/>
          <w:u w:val="single"/>
          <w:lang w:eastAsia="sk-SK"/>
        </w:rPr>
      </w:pPr>
      <w:r w:rsidRPr="00C059F5">
        <w:rPr>
          <w:rFonts w:ascii="Times New Roman" w:hAnsi="Times New Roman" w:cs="Times New Roman"/>
          <w:sz w:val="24"/>
          <w:szCs w:val="24"/>
          <w:u w:val="single"/>
          <w:lang w:eastAsia="sk-SK"/>
        </w:rPr>
        <w:t xml:space="preserve">III. úsek km </w:t>
      </w:r>
      <w:r w:rsidR="002212EE">
        <w:rPr>
          <w:rFonts w:ascii="Times New Roman" w:hAnsi="Times New Roman" w:cs="Times New Roman"/>
          <w:sz w:val="24"/>
          <w:szCs w:val="24"/>
          <w:u w:val="single"/>
          <w:lang w:eastAsia="sk-SK"/>
        </w:rPr>
        <w:t xml:space="preserve"> </w:t>
      </w:r>
      <w:r w:rsidRPr="00C059F5">
        <w:rPr>
          <w:rFonts w:ascii="Times New Roman" w:hAnsi="Times New Roman" w:cs="Times New Roman"/>
          <w:sz w:val="24"/>
          <w:szCs w:val="24"/>
          <w:u w:val="single"/>
          <w:lang w:eastAsia="sk-SK"/>
        </w:rPr>
        <w:t>14,230 - 25,850</w:t>
      </w:r>
    </w:p>
    <w:p w:rsidR="00A222EA" w:rsidRPr="004D0FC7" w:rsidP="004D0FC7">
      <w:pPr>
        <w:autoSpaceDE/>
        <w:autoSpaceDN/>
        <w:spacing w:line="240" w:lineRule="auto"/>
        <w:textAlignment w:val="auto"/>
        <w:rPr>
          <w:rFonts w:ascii="Times New Roman" w:hAnsi="Times New Roman" w:cs="Times New Roman"/>
          <w:sz w:val="24"/>
          <w:szCs w:val="24"/>
        </w:rPr>
      </w:pPr>
    </w:p>
    <w:p w:rsidR="004D0FC7" w:rsidRPr="004D0FC7" w:rsidP="004D0FC7">
      <w:pPr>
        <w:autoSpaceDE/>
        <w:autoSpaceDN/>
        <w:spacing w:line="240" w:lineRule="auto"/>
        <w:ind w:firstLine="709"/>
        <w:rPr>
          <w:rFonts w:ascii="Times New Roman" w:hAnsi="Times New Roman" w:cs="Times New Roman"/>
          <w:sz w:val="24"/>
          <w:szCs w:val="24"/>
        </w:rPr>
      </w:pPr>
      <w:r w:rsidRPr="004D0FC7">
        <w:rPr>
          <w:rFonts w:ascii="Times New Roman" w:hAnsi="Times New Roman" w:cs="Times New Roman"/>
          <w:sz w:val="24"/>
          <w:szCs w:val="24"/>
        </w:rPr>
        <w:t>Termín zahájenia stavby bol určený stavebným dozorom na 01.07.2005. Zmluvná doba výstavby je 1095 dní, z ktorej uplynulo 914 dní, t.j. 83,45 %. Stavebný dozor požiadal o vypracovanie cesty kritických činností, aby bolo možné vyhodnotiť časový vývoj. Zhotoviteľ ju doteraz nepredložil. Vo všeobecnosti však práce na tejto stavbe nie sú v omeškaní. Stavebne ukončených je 26 stavebných objektov, z toho 18 objektov je skolaudovaných a na piat</w:t>
      </w:r>
      <w:r>
        <w:rPr>
          <w:rFonts w:ascii="Times New Roman" w:hAnsi="Times New Roman" w:cs="Times New Roman"/>
          <w:sz w:val="24"/>
          <w:szCs w:val="24"/>
        </w:rPr>
        <w:t>ich prebieha kolaudačné konanie V zmy</w:t>
      </w:r>
      <w:r w:rsidR="00EB5C51">
        <w:rPr>
          <w:rFonts w:ascii="Times New Roman" w:hAnsi="Times New Roman" w:cs="Times New Roman"/>
          <w:sz w:val="24"/>
          <w:szCs w:val="24"/>
        </w:rPr>
        <w:t>sle dodatku č.9 k Zmluve o diele</w:t>
      </w:r>
      <w:r>
        <w:rPr>
          <w:rFonts w:ascii="Times New Roman" w:hAnsi="Times New Roman" w:cs="Times New Roman"/>
          <w:sz w:val="24"/>
          <w:szCs w:val="24"/>
        </w:rPr>
        <w:t xml:space="preserve"> </w:t>
      </w:r>
      <w:r w:rsidRPr="004D0FC7">
        <w:rPr>
          <w:rFonts w:ascii="Times New Roman" w:hAnsi="Times New Roman" w:cs="Times New Roman"/>
          <w:sz w:val="24"/>
          <w:szCs w:val="24"/>
        </w:rPr>
        <w:t>zhotoviteľ vykonáva práce po</w:t>
      </w:r>
      <w:r w:rsidR="00EB5C51">
        <w:rPr>
          <w:rFonts w:ascii="Times New Roman" w:hAnsi="Times New Roman" w:cs="Times New Roman"/>
          <w:sz w:val="24"/>
          <w:szCs w:val="24"/>
        </w:rPr>
        <w:t xml:space="preserve">trebné na </w:t>
      </w:r>
      <w:r w:rsidRPr="004D0FC7">
        <w:rPr>
          <w:rFonts w:ascii="Times New Roman" w:hAnsi="Times New Roman" w:cs="Times New Roman"/>
          <w:sz w:val="24"/>
          <w:szCs w:val="24"/>
        </w:rPr>
        <w:t>dobudovanie plného profilu D1.</w:t>
      </w:r>
    </w:p>
    <w:p w:rsidR="00A222EA" w:rsidP="00C059F5">
      <w:pPr>
        <w:autoSpaceDE/>
        <w:autoSpaceDN/>
        <w:spacing w:line="240" w:lineRule="auto"/>
        <w:textAlignment w:val="auto"/>
        <w:rPr>
          <w:rFonts w:ascii="Times New Roman" w:hAnsi="Times New Roman" w:cs="Times New Roman"/>
          <w:b/>
          <w:sz w:val="24"/>
          <w:szCs w:val="24"/>
          <w:lang w:eastAsia="sk-SK"/>
        </w:rPr>
      </w:pPr>
    </w:p>
    <w:p w:rsidR="00C059F5" w:rsidRPr="00C059F5" w:rsidP="00C059F5">
      <w:pPr>
        <w:autoSpaceDE/>
        <w:autoSpaceDN/>
        <w:spacing w:line="240" w:lineRule="auto"/>
        <w:textAlignment w:val="auto"/>
        <w:rPr>
          <w:rFonts w:ascii="Times New Roman" w:hAnsi="Times New Roman" w:cs="Times New Roman"/>
          <w:b/>
          <w:sz w:val="24"/>
          <w:szCs w:val="24"/>
          <w:lang w:eastAsia="sk-SK"/>
        </w:rPr>
      </w:pPr>
      <w:r w:rsidRPr="00C059F5">
        <w:rPr>
          <w:rFonts w:ascii="Times New Roman" w:hAnsi="Times New Roman" w:cs="Times New Roman"/>
          <w:b/>
          <w:sz w:val="24"/>
          <w:szCs w:val="24"/>
          <w:lang w:eastAsia="sk-SK"/>
        </w:rPr>
        <w:t>Operačný program Základná infraštruktúra – opatrenie 1.2. (NDS, a.s.)</w:t>
      </w:r>
    </w:p>
    <w:p w:rsidR="00C059F5" w:rsidRPr="00C059F5" w:rsidP="00C059F5">
      <w:pPr>
        <w:autoSpaceDE/>
        <w:autoSpaceDN/>
        <w:spacing w:line="240" w:lineRule="auto"/>
        <w:textAlignment w:val="auto"/>
        <w:rPr>
          <w:rFonts w:ascii="Times New Roman" w:hAnsi="Times New Roman" w:cs="Times New Roman"/>
          <w:sz w:val="24"/>
          <w:szCs w:val="24"/>
          <w:lang w:eastAsia="sk-SK"/>
        </w:rPr>
      </w:pPr>
    </w:p>
    <w:p w:rsidR="00650927" w:rsidP="00C059F5">
      <w:pPr>
        <w:autoSpaceDE/>
        <w:autoSpaceDN/>
        <w:spacing w:line="240" w:lineRule="auto"/>
        <w:textAlignment w:val="auto"/>
        <w:rPr>
          <w:rFonts w:ascii="Times New Roman" w:hAnsi="Times New Roman" w:cs="Times New Roman"/>
          <w:sz w:val="24"/>
          <w:szCs w:val="24"/>
          <w:lang w:eastAsia="sk-SK"/>
        </w:rPr>
      </w:pPr>
      <w:r w:rsidR="00DC5656">
        <w:rPr>
          <w:rFonts w:ascii="Times New Roman" w:hAnsi="Times New Roman" w:cs="Times New Roman"/>
          <w:sz w:val="24"/>
          <w:szCs w:val="24"/>
          <w:u w:val="single"/>
          <w:lang w:eastAsia="sk-SK"/>
        </w:rPr>
        <w:t xml:space="preserve">R1 Rudno nad Hronom – </w:t>
      </w:r>
      <w:r w:rsidRPr="00C059F5" w:rsidR="00C059F5">
        <w:rPr>
          <w:rFonts w:ascii="Times New Roman" w:hAnsi="Times New Roman" w:cs="Times New Roman"/>
          <w:sz w:val="24"/>
          <w:szCs w:val="24"/>
          <w:u w:val="single"/>
          <w:lang w:eastAsia="sk-SK"/>
        </w:rPr>
        <w:t>Žarnovica</w:t>
      </w:r>
      <w:r w:rsidRPr="00C059F5" w:rsidR="00C059F5">
        <w:rPr>
          <w:rFonts w:ascii="Times New Roman" w:hAnsi="Times New Roman" w:cs="Times New Roman"/>
          <w:sz w:val="24"/>
          <w:szCs w:val="24"/>
          <w:lang w:eastAsia="sk-SK"/>
        </w:rPr>
        <w:t>:</w:t>
      </w:r>
      <w:r>
        <w:rPr>
          <w:rFonts w:ascii="Times New Roman" w:hAnsi="Times New Roman" w:cs="Times New Roman"/>
          <w:sz w:val="24"/>
          <w:szCs w:val="24"/>
          <w:lang w:eastAsia="sk-SK"/>
        </w:rPr>
        <w:t xml:space="preserve"> </w:t>
      </w:r>
    </w:p>
    <w:p w:rsidR="00AF0D38" w:rsidP="0008565F">
      <w:pPr>
        <w:autoSpaceDE/>
        <w:autoSpaceDN/>
        <w:spacing w:line="240" w:lineRule="auto"/>
        <w:ind w:firstLine="709"/>
        <w:rPr>
          <w:rFonts w:ascii="Times New Roman" w:hAnsi="Times New Roman" w:cs="Times New Roman"/>
          <w:sz w:val="24"/>
          <w:szCs w:val="24"/>
        </w:rPr>
      </w:pPr>
    </w:p>
    <w:p w:rsidR="0008565F" w:rsidRPr="0008565F" w:rsidP="0008565F">
      <w:pPr>
        <w:autoSpaceDE/>
        <w:autoSpaceDN/>
        <w:spacing w:line="240" w:lineRule="auto"/>
        <w:ind w:firstLine="709"/>
        <w:rPr>
          <w:rFonts w:ascii="Times New Roman" w:hAnsi="Times New Roman" w:cs="Times New Roman"/>
          <w:sz w:val="24"/>
          <w:szCs w:val="24"/>
        </w:rPr>
      </w:pPr>
      <w:r w:rsidRPr="0008565F">
        <w:rPr>
          <w:rFonts w:ascii="Times New Roman" w:hAnsi="Times New Roman" w:cs="Times New Roman"/>
          <w:sz w:val="24"/>
          <w:szCs w:val="24"/>
        </w:rPr>
        <w:t>Práce boli ukončené 2</w:t>
      </w:r>
      <w:r w:rsidR="00EB5C51">
        <w:rPr>
          <w:rFonts w:ascii="Times New Roman" w:hAnsi="Times New Roman" w:cs="Times New Roman"/>
          <w:sz w:val="24"/>
          <w:szCs w:val="24"/>
        </w:rPr>
        <w:t>4.10.2006 v súlade so zmluv</w:t>
      </w:r>
      <w:r>
        <w:rPr>
          <w:rFonts w:ascii="Times New Roman" w:hAnsi="Times New Roman" w:cs="Times New Roman"/>
          <w:sz w:val="24"/>
          <w:szCs w:val="24"/>
        </w:rPr>
        <w:t xml:space="preserve">ou a </w:t>
      </w:r>
      <w:r w:rsidRPr="0008565F">
        <w:rPr>
          <w:rFonts w:ascii="Times New Roman" w:hAnsi="Times New Roman" w:cs="Times New Roman"/>
          <w:sz w:val="24"/>
          <w:szCs w:val="24"/>
        </w:rPr>
        <w:t>dobou ukončenia projektu, ktorá bola 791 dní. Všetky objekty sú ukončené, vady a nedorobky odst</w:t>
      </w:r>
      <w:r>
        <w:rPr>
          <w:rFonts w:ascii="Times New Roman" w:hAnsi="Times New Roman" w:cs="Times New Roman"/>
          <w:sz w:val="24"/>
          <w:szCs w:val="24"/>
        </w:rPr>
        <w:t>ránené. Po</w:t>
      </w:r>
      <w:r w:rsidR="00EB5C51">
        <w:rPr>
          <w:rFonts w:ascii="Times New Roman" w:hAnsi="Times New Roman" w:cs="Times New Roman"/>
          <w:sz w:val="24"/>
          <w:szCs w:val="24"/>
        </w:rPr>
        <w:t xml:space="preserve"> uplynutí lehoty na odstránenie chýb </w:t>
      </w:r>
      <w:r w:rsidRPr="0008565F">
        <w:rPr>
          <w:rFonts w:ascii="Times New Roman" w:hAnsi="Times New Roman" w:cs="Times New Roman"/>
          <w:sz w:val="24"/>
          <w:szCs w:val="24"/>
        </w:rPr>
        <w:t>boli dofakturované všetky zastávajúce vykonané práce. Hodnota</w:t>
      </w:r>
      <w:r>
        <w:rPr>
          <w:rFonts w:ascii="Times New Roman" w:hAnsi="Times New Roman" w:cs="Times New Roman"/>
          <w:sz w:val="24"/>
          <w:szCs w:val="24"/>
        </w:rPr>
        <w:t xml:space="preserve"> vykonaných prác bola </w:t>
      </w:r>
      <w:r w:rsidRPr="0008565F">
        <w:rPr>
          <w:rFonts w:ascii="Times New Roman" w:hAnsi="Times New Roman" w:cs="Times New Roman"/>
          <w:sz w:val="24"/>
          <w:szCs w:val="24"/>
        </w:rPr>
        <w:t>1.869.707.015,- Sk. Vydaniu konečnej faktúry bránia nedoriešené nároky zhotoviteľa. Komisia na riešenie sporov (KRS) zamietla všetky tri nároky zhotoviteľa, avšak zhotoviteľ oznámil svoju nespokojnosť s rozhodnutím KRS o dvoch nárokoch a vyzval na rokovanie vedúce k mimosúdnemu vyrovnaniu. Zhotoviteľom nárokovaná čiastka predstavuje 21.773.206,- Sk.</w:t>
      </w:r>
    </w:p>
    <w:p w:rsidR="008E33E3" w:rsidP="00C059F5">
      <w:pPr>
        <w:autoSpaceDE/>
        <w:autoSpaceDN/>
        <w:spacing w:line="240" w:lineRule="auto"/>
        <w:textAlignment w:val="auto"/>
        <w:rPr>
          <w:rFonts w:ascii="Times New Roman" w:hAnsi="Times New Roman" w:cs="Times New Roman"/>
          <w:sz w:val="24"/>
          <w:szCs w:val="24"/>
          <w:u w:val="single"/>
          <w:lang w:eastAsia="sk-SK"/>
        </w:rPr>
      </w:pPr>
    </w:p>
    <w:p w:rsidR="002710B0" w:rsidP="00C059F5">
      <w:pPr>
        <w:autoSpaceDE/>
        <w:autoSpaceDN/>
        <w:spacing w:line="240" w:lineRule="auto"/>
        <w:textAlignment w:val="auto"/>
        <w:rPr>
          <w:rFonts w:ascii="Times New Roman" w:hAnsi="Times New Roman" w:cs="Times New Roman"/>
          <w:sz w:val="24"/>
          <w:szCs w:val="24"/>
          <w:u w:val="single"/>
          <w:lang w:eastAsia="sk-SK"/>
        </w:rPr>
      </w:pPr>
    </w:p>
    <w:p w:rsidR="002710B0" w:rsidP="00C059F5">
      <w:pPr>
        <w:autoSpaceDE/>
        <w:autoSpaceDN/>
        <w:spacing w:line="240" w:lineRule="auto"/>
        <w:textAlignment w:val="auto"/>
        <w:rPr>
          <w:rFonts w:ascii="Times New Roman" w:hAnsi="Times New Roman" w:cs="Times New Roman"/>
          <w:sz w:val="24"/>
          <w:szCs w:val="24"/>
          <w:u w:val="single"/>
          <w:lang w:eastAsia="sk-SK"/>
        </w:rPr>
      </w:pPr>
    </w:p>
    <w:p w:rsidR="00650927" w:rsidRPr="00C059F5" w:rsidP="00C059F5">
      <w:pPr>
        <w:autoSpaceDE/>
        <w:autoSpaceDN/>
        <w:spacing w:line="240" w:lineRule="auto"/>
        <w:textAlignment w:val="auto"/>
        <w:rPr>
          <w:rFonts w:ascii="Times New Roman" w:hAnsi="Times New Roman" w:cs="Times New Roman"/>
          <w:sz w:val="24"/>
          <w:szCs w:val="24"/>
          <w:lang w:eastAsia="sk-SK"/>
        </w:rPr>
      </w:pPr>
      <w:r w:rsidRPr="00C059F5" w:rsidR="00C059F5">
        <w:rPr>
          <w:rFonts w:ascii="Times New Roman" w:hAnsi="Times New Roman" w:cs="Times New Roman"/>
          <w:sz w:val="24"/>
          <w:szCs w:val="24"/>
          <w:u w:val="single"/>
          <w:lang w:eastAsia="sk-SK"/>
        </w:rPr>
        <w:t>R2 Ožďany preložka</w:t>
      </w:r>
      <w:r w:rsidRPr="00C059F5" w:rsidR="00C059F5">
        <w:rPr>
          <w:rFonts w:ascii="Times New Roman" w:hAnsi="Times New Roman" w:cs="Times New Roman"/>
          <w:sz w:val="24"/>
          <w:szCs w:val="24"/>
          <w:lang w:eastAsia="sk-SK"/>
        </w:rPr>
        <w:t>:</w:t>
      </w:r>
      <w:r>
        <w:rPr>
          <w:rFonts w:ascii="Times New Roman" w:hAnsi="Times New Roman" w:cs="Times New Roman"/>
          <w:sz w:val="24"/>
          <w:szCs w:val="24"/>
          <w:lang w:eastAsia="sk-SK"/>
        </w:rPr>
        <w:t xml:space="preserve"> </w:t>
      </w:r>
    </w:p>
    <w:p w:rsidR="00AF0D38" w:rsidP="00A222EA">
      <w:pPr>
        <w:autoSpaceDE/>
        <w:autoSpaceDN/>
        <w:spacing w:line="240" w:lineRule="auto"/>
        <w:ind w:firstLine="709"/>
        <w:textAlignment w:val="auto"/>
        <w:rPr>
          <w:rFonts w:ascii="Times New Roman" w:hAnsi="Times New Roman" w:cs="Times New Roman"/>
          <w:sz w:val="24"/>
          <w:szCs w:val="24"/>
          <w:lang w:eastAsia="sk-SK"/>
        </w:rPr>
      </w:pPr>
    </w:p>
    <w:p w:rsidR="00650927" w:rsidRPr="00C059F5" w:rsidP="00A222EA">
      <w:pPr>
        <w:autoSpaceDE/>
        <w:autoSpaceDN/>
        <w:spacing w:line="240" w:lineRule="auto"/>
        <w:ind w:firstLine="709"/>
        <w:textAlignment w:val="auto"/>
        <w:rPr>
          <w:rFonts w:ascii="Times New Roman" w:hAnsi="Times New Roman" w:cs="Times New Roman"/>
          <w:sz w:val="24"/>
          <w:szCs w:val="24"/>
          <w:lang w:eastAsia="sk-SK"/>
        </w:rPr>
      </w:pPr>
      <w:r w:rsidRPr="00C059F5">
        <w:rPr>
          <w:rFonts w:ascii="Times New Roman" w:hAnsi="Times New Roman" w:cs="Times New Roman"/>
          <w:sz w:val="24"/>
          <w:szCs w:val="24"/>
          <w:lang w:eastAsia="sk-SK"/>
        </w:rPr>
        <w:t>St</w:t>
      </w:r>
      <w:r w:rsidR="0008565F">
        <w:rPr>
          <w:rFonts w:ascii="Times New Roman" w:hAnsi="Times New Roman" w:cs="Times New Roman"/>
          <w:sz w:val="24"/>
          <w:szCs w:val="24"/>
          <w:lang w:eastAsia="sk-SK"/>
        </w:rPr>
        <w:t>avba bola skolaudovaná 1.12.2006</w:t>
      </w:r>
      <w:r w:rsidRPr="00C059F5">
        <w:rPr>
          <w:rFonts w:ascii="Times New Roman" w:hAnsi="Times New Roman" w:cs="Times New Roman"/>
          <w:sz w:val="24"/>
          <w:szCs w:val="24"/>
          <w:lang w:eastAsia="sk-SK"/>
        </w:rPr>
        <w:t>. Slávnostne bola daná do užívania 04.12.2006.</w:t>
      </w:r>
      <w:r w:rsidR="00BE1A59">
        <w:rPr>
          <w:rFonts w:ascii="Times New Roman" w:hAnsi="Times New Roman" w:cs="Times New Roman"/>
          <w:sz w:val="24"/>
          <w:szCs w:val="24"/>
          <w:lang w:eastAsia="sk-SK"/>
        </w:rPr>
        <w:t xml:space="preserve"> V roku 2007 boli v systéme refundácií predkladané faktúry z roku 2006. </w:t>
      </w:r>
    </w:p>
    <w:p w:rsidR="008E33E3" w:rsidP="00C059F5">
      <w:pPr>
        <w:autoSpaceDE/>
        <w:autoSpaceDN/>
        <w:spacing w:line="240" w:lineRule="auto"/>
        <w:textAlignment w:val="auto"/>
        <w:rPr>
          <w:rFonts w:ascii="Times New Roman" w:hAnsi="Times New Roman" w:cs="Times New Roman"/>
          <w:sz w:val="24"/>
          <w:szCs w:val="24"/>
          <w:u w:val="single"/>
          <w:lang w:eastAsia="sk-SK"/>
        </w:rPr>
      </w:pPr>
    </w:p>
    <w:p w:rsidR="00C059F5" w:rsidRPr="00C059F5" w:rsidP="00C059F5">
      <w:pPr>
        <w:autoSpaceDE/>
        <w:autoSpaceDN/>
        <w:spacing w:line="240" w:lineRule="auto"/>
        <w:textAlignment w:val="auto"/>
        <w:rPr>
          <w:rFonts w:ascii="Times New Roman" w:hAnsi="Times New Roman" w:cs="Times New Roman"/>
          <w:sz w:val="24"/>
          <w:szCs w:val="24"/>
          <w:lang w:eastAsia="sk-SK"/>
        </w:rPr>
      </w:pPr>
      <w:r w:rsidR="00DC5656">
        <w:rPr>
          <w:rFonts w:ascii="Times New Roman" w:hAnsi="Times New Roman" w:cs="Times New Roman"/>
          <w:sz w:val="24"/>
          <w:szCs w:val="24"/>
          <w:u w:val="single"/>
          <w:lang w:eastAsia="sk-SK"/>
        </w:rPr>
        <w:t xml:space="preserve">R1 Žarnovica – </w:t>
      </w:r>
      <w:r w:rsidRPr="00C059F5">
        <w:rPr>
          <w:rFonts w:ascii="Times New Roman" w:hAnsi="Times New Roman" w:cs="Times New Roman"/>
          <w:sz w:val="24"/>
          <w:szCs w:val="24"/>
          <w:u w:val="single"/>
          <w:lang w:eastAsia="sk-SK"/>
        </w:rPr>
        <w:t>Šášovské Podhradie</w:t>
      </w:r>
      <w:r w:rsidRPr="00C059F5">
        <w:rPr>
          <w:rFonts w:ascii="Times New Roman" w:hAnsi="Times New Roman" w:cs="Times New Roman"/>
          <w:sz w:val="24"/>
          <w:szCs w:val="24"/>
          <w:lang w:eastAsia="sk-SK"/>
        </w:rPr>
        <w:t>:</w:t>
      </w:r>
    </w:p>
    <w:p w:rsidR="0008565F" w:rsidP="0008565F">
      <w:pPr>
        <w:autoSpaceDE/>
        <w:autoSpaceDN/>
        <w:spacing w:line="240" w:lineRule="auto"/>
        <w:ind w:firstLine="709"/>
        <w:rPr>
          <w:rFonts w:ascii="Times New Roman" w:hAnsi="Times New Roman" w:cs="Times New Roman"/>
          <w:sz w:val="24"/>
          <w:szCs w:val="24"/>
          <w:lang w:eastAsia="sk-SK"/>
        </w:rPr>
      </w:pPr>
    </w:p>
    <w:p w:rsidR="0008565F" w:rsidP="001654CB">
      <w:pPr>
        <w:numPr>
          <w:ilvl w:val="3"/>
          <w:numId w:val="20"/>
        </w:numPr>
        <w:tabs>
          <w:tab w:val="clear" w:pos="3480"/>
        </w:tabs>
        <w:autoSpaceDE/>
        <w:autoSpaceDN/>
        <w:spacing w:line="240" w:lineRule="auto"/>
        <w:ind w:left="720" w:hanging="720"/>
        <w:rPr>
          <w:rFonts w:ascii="Times New Roman" w:hAnsi="Times New Roman" w:cs="Times New Roman"/>
          <w:sz w:val="24"/>
          <w:szCs w:val="24"/>
        </w:rPr>
      </w:pPr>
      <w:r>
        <w:rPr>
          <w:rFonts w:ascii="Times New Roman" w:hAnsi="Times New Roman" w:cs="Times New Roman"/>
          <w:sz w:val="24"/>
          <w:szCs w:val="24"/>
          <w:lang w:eastAsia="sk-SK"/>
        </w:rPr>
        <w:t xml:space="preserve">etapa: </w:t>
      </w:r>
      <w:r w:rsidR="006C0BAA">
        <w:rPr>
          <w:rFonts w:ascii="Times New Roman" w:hAnsi="Times New Roman" w:cs="Times New Roman"/>
          <w:sz w:val="24"/>
          <w:szCs w:val="24"/>
          <w:lang w:eastAsia="sk-SK"/>
        </w:rPr>
        <w:t>V roku 2007 sa zabezpečovala</w:t>
      </w:r>
      <w:r w:rsidRPr="0008565F" w:rsidR="00650927">
        <w:rPr>
          <w:rFonts w:ascii="Times New Roman" w:hAnsi="Times New Roman" w:cs="Times New Roman"/>
          <w:sz w:val="24"/>
          <w:szCs w:val="24"/>
          <w:lang w:eastAsia="sk-SK"/>
        </w:rPr>
        <w:t xml:space="preserve"> </w:t>
      </w:r>
      <w:r w:rsidR="006C0BAA">
        <w:rPr>
          <w:rFonts w:ascii="Times New Roman" w:hAnsi="Times New Roman" w:cs="Times New Roman"/>
          <w:sz w:val="24"/>
          <w:szCs w:val="24"/>
          <w:lang w:eastAsia="sk-SK"/>
        </w:rPr>
        <w:t xml:space="preserve">dokumentácia na ponuku a </w:t>
      </w:r>
      <w:r w:rsidRPr="0008565F" w:rsidR="00650927">
        <w:rPr>
          <w:rFonts w:ascii="Times New Roman" w:hAnsi="Times New Roman" w:cs="Times New Roman"/>
          <w:sz w:val="24"/>
          <w:szCs w:val="24"/>
          <w:lang w:eastAsia="sk-SK"/>
        </w:rPr>
        <w:t>súťažné p</w:t>
      </w:r>
      <w:r w:rsidR="006C0BAA">
        <w:rPr>
          <w:rFonts w:ascii="Times New Roman" w:hAnsi="Times New Roman" w:cs="Times New Roman"/>
          <w:sz w:val="24"/>
          <w:szCs w:val="24"/>
          <w:lang w:eastAsia="sk-SK"/>
        </w:rPr>
        <w:t xml:space="preserve">odklady. </w:t>
      </w:r>
      <w:r w:rsidRPr="0008565F" w:rsidR="00650927">
        <w:rPr>
          <w:rFonts w:ascii="Times New Roman" w:hAnsi="Times New Roman" w:cs="Times New Roman"/>
          <w:sz w:val="24"/>
          <w:szCs w:val="24"/>
        </w:rPr>
        <w:t>Z dôvodu nerealizácie</w:t>
      </w:r>
      <w:r w:rsidR="00EB5C51">
        <w:rPr>
          <w:rFonts w:ascii="Times New Roman" w:hAnsi="Times New Roman" w:cs="Times New Roman"/>
          <w:sz w:val="24"/>
          <w:szCs w:val="24"/>
        </w:rPr>
        <w:t xml:space="preserve"> plánovaného projektu NDS, a.s., </w:t>
      </w:r>
      <w:r w:rsidRPr="0008565F" w:rsidR="00650927">
        <w:rPr>
          <w:rFonts w:ascii="Times New Roman" w:hAnsi="Times New Roman" w:cs="Times New Roman"/>
          <w:sz w:val="24"/>
          <w:szCs w:val="24"/>
        </w:rPr>
        <w:t>– rýchlostná cesta R1 Žarnovica – Šášovské Podhradie boli dodatočne do zásobníka projektov OP ZI</w:t>
      </w:r>
      <w:r w:rsidR="00EB5C51">
        <w:rPr>
          <w:rFonts w:ascii="Times New Roman" w:hAnsi="Times New Roman" w:cs="Times New Roman"/>
          <w:sz w:val="24"/>
          <w:szCs w:val="24"/>
        </w:rPr>
        <w:t xml:space="preserve"> zaradené aj projekty SSC (pozri </w:t>
      </w:r>
      <w:r w:rsidRPr="0008565F" w:rsidR="00650927">
        <w:rPr>
          <w:rFonts w:ascii="Times New Roman" w:hAnsi="Times New Roman" w:cs="Times New Roman"/>
          <w:sz w:val="24"/>
          <w:szCs w:val="24"/>
        </w:rPr>
        <w:t xml:space="preserve">vyhodnotenie SSC). </w:t>
      </w:r>
      <w:r w:rsidRPr="0008565F">
        <w:rPr>
          <w:rFonts w:ascii="Times New Roman" w:hAnsi="Times New Roman" w:cs="Times New Roman"/>
          <w:sz w:val="24"/>
          <w:szCs w:val="24"/>
        </w:rPr>
        <w:t>Dňa 13.2.2008 bola podpísaná zm</w:t>
      </w:r>
      <w:r>
        <w:rPr>
          <w:rFonts w:ascii="Times New Roman" w:hAnsi="Times New Roman" w:cs="Times New Roman"/>
          <w:sz w:val="24"/>
          <w:szCs w:val="24"/>
        </w:rPr>
        <w:t xml:space="preserve">luva so zhotoviteľom stavby a 4.3.2008 </w:t>
      </w:r>
      <w:r w:rsidRPr="0008565F">
        <w:rPr>
          <w:rFonts w:ascii="Times New Roman" w:hAnsi="Times New Roman" w:cs="Times New Roman"/>
          <w:sz w:val="24"/>
          <w:szCs w:val="24"/>
        </w:rPr>
        <w:t>zahájené stavebné práce.</w:t>
      </w:r>
    </w:p>
    <w:p w:rsidR="0008565F" w:rsidRPr="0008565F" w:rsidP="001654CB">
      <w:pPr>
        <w:numPr>
          <w:ilvl w:val="3"/>
          <w:numId w:val="20"/>
        </w:numPr>
        <w:tabs>
          <w:tab w:val="clear" w:pos="3480"/>
        </w:tabs>
        <w:autoSpaceDE/>
        <w:autoSpaceDN/>
        <w:spacing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etapa: </w:t>
      </w:r>
      <w:r w:rsidR="006C0BAA">
        <w:rPr>
          <w:rFonts w:ascii="Times New Roman" w:hAnsi="Times New Roman" w:cs="Times New Roman"/>
          <w:sz w:val="24"/>
          <w:szCs w:val="24"/>
        </w:rPr>
        <w:t xml:space="preserve">V súčasnosti sa dokončuje </w:t>
      </w:r>
      <w:r w:rsidR="006C0BAA">
        <w:rPr>
          <w:rFonts w:ascii="Times New Roman" w:hAnsi="Times New Roman" w:cs="Times New Roman"/>
          <w:sz w:val="24"/>
          <w:szCs w:val="24"/>
          <w:lang w:eastAsia="sk-SK"/>
        </w:rPr>
        <w:t xml:space="preserve">dokumentácia na ponuku a pripravujú sa </w:t>
      </w:r>
      <w:r w:rsidRPr="0008565F" w:rsidR="006C0BAA">
        <w:rPr>
          <w:rFonts w:ascii="Times New Roman" w:hAnsi="Times New Roman" w:cs="Times New Roman"/>
          <w:sz w:val="24"/>
          <w:szCs w:val="24"/>
          <w:lang w:eastAsia="sk-SK"/>
        </w:rPr>
        <w:t>súťažné p</w:t>
      </w:r>
      <w:r w:rsidR="006C0BAA">
        <w:rPr>
          <w:rFonts w:ascii="Times New Roman" w:hAnsi="Times New Roman" w:cs="Times New Roman"/>
          <w:sz w:val="24"/>
          <w:szCs w:val="24"/>
          <w:lang w:eastAsia="sk-SK"/>
        </w:rPr>
        <w:t xml:space="preserve">odklady, ktoré po kompletizácii schváli MDPT SR. </w:t>
      </w:r>
    </w:p>
    <w:p w:rsidR="008E33E3" w:rsidP="00C059F5">
      <w:pPr>
        <w:autoSpaceDE/>
        <w:autoSpaceDN/>
        <w:spacing w:line="240" w:lineRule="auto"/>
        <w:textAlignment w:val="auto"/>
        <w:rPr>
          <w:rFonts w:ascii="Times New Roman" w:hAnsi="Times New Roman" w:cs="Times New Roman"/>
          <w:sz w:val="24"/>
          <w:szCs w:val="24"/>
          <w:u w:val="single"/>
          <w:lang w:eastAsia="sk-SK"/>
        </w:rPr>
      </w:pPr>
    </w:p>
    <w:p w:rsidR="00C059F5" w:rsidRPr="006C0BAA" w:rsidP="006C0BAA">
      <w:pPr>
        <w:autoSpaceDE/>
        <w:autoSpaceDN/>
        <w:spacing w:line="240" w:lineRule="auto"/>
        <w:textAlignment w:val="auto"/>
        <w:rPr>
          <w:rFonts w:ascii="Times New Roman" w:hAnsi="Times New Roman" w:cs="Times New Roman"/>
          <w:sz w:val="24"/>
          <w:szCs w:val="24"/>
          <w:u w:val="single"/>
          <w:lang w:eastAsia="sk-SK"/>
        </w:rPr>
      </w:pPr>
      <w:r w:rsidRPr="006C0BAA">
        <w:rPr>
          <w:rFonts w:ascii="Times New Roman" w:hAnsi="Times New Roman" w:cs="Times New Roman"/>
          <w:sz w:val="24"/>
          <w:szCs w:val="24"/>
          <w:u w:val="single"/>
          <w:lang w:eastAsia="sk-SK"/>
        </w:rPr>
        <w:t>R2 Figa – obchvat:</w:t>
      </w:r>
    </w:p>
    <w:p w:rsidR="00AF0D38" w:rsidP="006C0BAA">
      <w:pPr>
        <w:autoSpaceDE/>
        <w:autoSpaceDN/>
        <w:spacing w:line="240" w:lineRule="auto"/>
        <w:ind w:firstLine="709"/>
        <w:rPr>
          <w:rFonts w:ascii="Times New Roman" w:hAnsi="Times New Roman" w:cs="Times New Roman"/>
          <w:sz w:val="24"/>
          <w:szCs w:val="24"/>
        </w:rPr>
      </w:pPr>
    </w:p>
    <w:p w:rsidR="006C0BAA" w:rsidRPr="006C0BAA" w:rsidP="006C0BAA">
      <w:pPr>
        <w:autoSpaceDE/>
        <w:autoSpaceDN/>
        <w:spacing w:line="240" w:lineRule="auto"/>
        <w:ind w:firstLine="709"/>
        <w:rPr>
          <w:rFonts w:ascii="Times New Roman" w:hAnsi="Times New Roman" w:cs="Times New Roman"/>
          <w:sz w:val="24"/>
          <w:szCs w:val="24"/>
        </w:rPr>
      </w:pPr>
      <w:r w:rsidRPr="006C0BAA">
        <w:rPr>
          <w:rFonts w:ascii="Times New Roman" w:hAnsi="Times New Roman" w:cs="Times New Roman"/>
          <w:sz w:val="24"/>
          <w:szCs w:val="24"/>
        </w:rPr>
        <w:t>Zmluva so zhotoviteľom bola podpísaná 21.9.2006. Stavenisko bolo odovzdané 18.10.2006.  Zmluvný termín dokončenia realizácie diela je 08/2008.  Stavebné  práce pokračujú v súlade  s harmonogramom prác, zmluvný termín ukončenia nie je ohrozený. Ukončených, odovzdaných, prevzatých a skolaudovaných je 20 stavebných objektov. Zmluvn</w:t>
      </w:r>
      <w:r>
        <w:rPr>
          <w:rFonts w:ascii="Times New Roman" w:hAnsi="Times New Roman" w:cs="Times New Roman"/>
          <w:sz w:val="24"/>
          <w:szCs w:val="24"/>
        </w:rPr>
        <w:t xml:space="preserve">á cena s DPH je 549.985.836,- Sk, bez DPH je 462.172.972,- Sk. Zmluva so stavebným dozorom bola podpísaná dňa 23.6.2006 na dobu 28 mesiacov a jej plnenie začalo </w:t>
      </w:r>
      <w:r w:rsidRPr="006C0BAA">
        <w:rPr>
          <w:rFonts w:ascii="Times New Roman" w:hAnsi="Times New Roman" w:cs="Times New Roman"/>
          <w:sz w:val="24"/>
          <w:szCs w:val="24"/>
        </w:rPr>
        <w:t>10.10.2006.</w:t>
      </w:r>
    </w:p>
    <w:p w:rsidR="00650927" w:rsidP="00A222EA">
      <w:pPr>
        <w:spacing w:line="240" w:lineRule="auto"/>
        <w:rPr>
          <w:rFonts w:ascii="Times New Roman" w:hAnsi="Times New Roman" w:cs="Times New Roman"/>
          <w:sz w:val="24"/>
          <w:szCs w:val="24"/>
        </w:rPr>
      </w:pPr>
    </w:p>
    <w:p w:rsidR="00684D28" w:rsidP="00C362EA">
      <w:pPr>
        <w:spacing w:line="240" w:lineRule="auto"/>
        <w:ind w:firstLine="708"/>
        <w:rPr>
          <w:rFonts w:ascii="Times New Roman" w:hAnsi="Times New Roman" w:cs="Times New Roman"/>
          <w:sz w:val="24"/>
          <w:szCs w:val="24"/>
        </w:rPr>
      </w:pPr>
      <w:r w:rsidR="00CC621A">
        <w:rPr>
          <w:rFonts w:ascii="Times New Roman" w:hAnsi="Times New Roman" w:cs="Times New Roman"/>
          <w:sz w:val="24"/>
          <w:szCs w:val="24"/>
        </w:rPr>
        <w:t>Z dôvodu nižšieho čerpania prostriedkov z rozpočtu EÚ a príslušného spolufinancovania zo štátneho rozpočtu sa vykonalo</w:t>
      </w:r>
      <w:r>
        <w:rPr>
          <w:rFonts w:ascii="Times New Roman" w:hAnsi="Times New Roman" w:cs="Times New Roman"/>
          <w:sz w:val="24"/>
          <w:szCs w:val="24"/>
        </w:rPr>
        <w:t xml:space="preserve"> rozpočtové opatrenie</w:t>
      </w:r>
      <w:r w:rsidRPr="006036D8">
        <w:rPr>
          <w:rFonts w:ascii="Times New Roman" w:hAnsi="Times New Roman" w:cs="Times New Roman"/>
          <w:sz w:val="24"/>
          <w:szCs w:val="24"/>
        </w:rPr>
        <w:t xml:space="preserve"> MF SR č. </w:t>
      </w:r>
      <w:r w:rsidR="00A91B9B">
        <w:rPr>
          <w:rFonts w:ascii="Times New Roman" w:hAnsi="Times New Roman" w:cs="Times New Roman"/>
          <w:sz w:val="24"/>
          <w:szCs w:val="24"/>
        </w:rPr>
        <w:t>36</w:t>
      </w:r>
      <w:r>
        <w:rPr>
          <w:rFonts w:ascii="Times New Roman" w:hAnsi="Times New Roman" w:cs="Times New Roman"/>
          <w:sz w:val="24"/>
          <w:szCs w:val="24"/>
        </w:rPr>
        <w:t xml:space="preserve">, ktorým boli zaviazané zdroje </w:t>
      </w:r>
      <w:r w:rsidR="00EB5C51">
        <w:rPr>
          <w:rFonts w:ascii="Times New Roman" w:hAnsi="Times New Roman" w:cs="Times New Roman"/>
          <w:sz w:val="24"/>
          <w:szCs w:val="24"/>
        </w:rPr>
        <w:t xml:space="preserve">NDS, a.s., </w:t>
      </w:r>
      <w:r>
        <w:rPr>
          <w:rFonts w:ascii="Times New Roman" w:hAnsi="Times New Roman" w:cs="Times New Roman"/>
          <w:sz w:val="24"/>
          <w:szCs w:val="24"/>
        </w:rPr>
        <w:t>vo výške</w:t>
      </w:r>
      <w:r w:rsidR="00CC621A">
        <w:rPr>
          <w:rFonts w:ascii="Times New Roman" w:hAnsi="Times New Roman" w:cs="Times New Roman"/>
          <w:sz w:val="24"/>
          <w:szCs w:val="24"/>
        </w:rPr>
        <w:t xml:space="preserve"> </w:t>
      </w:r>
      <w:r w:rsidR="00EB1C7E">
        <w:rPr>
          <w:rFonts w:ascii="Times New Roman" w:hAnsi="Times New Roman" w:cs="Times New Roman"/>
          <w:sz w:val="24"/>
          <w:szCs w:val="24"/>
        </w:rPr>
        <w:t xml:space="preserve">5 139 024 695,51 </w:t>
      </w:r>
      <w:r w:rsidRPr="00AB1F6D">
        <w:rPr>
          <w:rFonts w:ascii="Times New Roman" w:hAnsi="Times New Roman" w:cs="Times New Roman"/>
          <w:sz w:val="24"/>
          <w:szCs w:val="24"/>
        </w:rPr>
        <w:t>Sk</w:t>
      </w:r>
      <w:r w:rsidR="00CC621A">
        <w:rPr>
          <w:rFonts w:ascii="Times New Roman" w:hAnsi="Times New Roman" w:cs="Times New Roman"/>
          <w:sz w:val="24"/>
          <w:szCs w:val="24"/>
        </w:rPr>
        <w:t>, z toho z EÚ vo v</w:t>
      </w:r>
      <w:r w:rsidR="00EB1C7E">
        <w:rPr>
          <w:rFonts w:ascii="Times New Roman" w:hAnsi="Times New Roman" w:cs="Times New Roman"/>
          <w:sz w:val="24"/>
          <w:szCs w:val="24"/>
        </w:rPr>
        <w:t xml:space="preserve">ýške 4 136 968 660,11 </w:t>
      </w:r>
      <w:r w:rsidR="00CC621A">
        <w:rPr>
          <w:rFonts w:ascii="Times New Roman" w:hAnsi="Times New Roman" w:cs="Times New Roman"/>
          <w:sz w:val="24"/>
          <w:szCs w:val="24"/>
        </w:rPr>
        <w:t>Sk a zo ŠR na spolufinanco</w:t>
      </w:r>
      <w:r w:rsidR="00EB1C7E">
        <w:rPr>
          <w:rFonts w:ascii="Times New Roman" w:hAnsi="Times New Roman" w:cs="Times New Roman"/>
          <w:sz w:val="24"/>
          <w:szCs w:val="24"/>
        </w:rPr>
        <w:t xml:space="preserve">vanie vo výške 1 002 056 035,40 </w:t>
      </w:r>
      <w:r w:rsidR="00CC621A">
        <w:rPr>
          <w:rFonts w:ascii="Times New Roman" w:hAnsi="Times New Roman" w:cs="Times New Roman"/>
          <w:sz w:val="24"/>
          <w:szCs w:val="24"/>
        </w:rPr>
        <w:t xml:space="preserve">Sk. Tieto sú </w:t>
      </w:r>
      <w:r>
        <w:rPr>
          <w:rFonts w:ascii="Times New Roman" w:hAnsi="Times New Roman" w:cs="Times New Roman"/>
          <w:sz w:val="24"/>
          <w:szCs w:val="24"/>
        </w:rPr>
        <w:t xml:space="preserve">určené na financovanie spoločných programov Slovenskej republiky a EÚ </w:t>
      </w:r>
      <w:r w:rsidR="00D72400">
        <w:rPr>
          <w:rFonts w:ascii="Times New Roman" w:hAnsi="Times New Roman" w:cs="Times New Roman"/>
          <w:sz w:val="24"/>
          <w:szCs w:val="24"/>
        </w:rPr>
        <w:t xml:space="preserve">a </w:t>
      </w:r>
      <w:r>
        <w:rPr>
          <w:rFonts w:ascii="Times New Roman" w:hAnsi="Times New Roman" w:cs="Times New Roman"/>
          <w:sz w:val="24"/>
          <w:szCs w:val="24"/>
        </w:rPr>
        <w:t xml:space="preserve">bude možné </w:t>
      </w:r>
      <w:r w:rsidR="00CC621A">
        <w:rPr>
          <w:rFonts w:ascii="Times New Roman" w:hAnsi="Times New Roman" w:cs="Times New Roman"/>
          <w:sz w:val="24"/>
          <w:szCs w:val="24"/>
        </w:rPr>
        <w:t xml:space="preserve">ich </w:t>
      </w:r>
      <w:r>
        <w:rPr>
          <w:rFonts w:ascii="Times New Roman" w:hAnsi="Times New Roman" w:cs="Times New Roman"/>
          <w:sz w:val="24"/>
          <w:szCs w:val="24"/>
        </w:rPr>
        <w:t>použiť v nasledujúcich rozpočtových rokoch až do ich vyčerpania na určený úč</w:t>
      </w:r>
      <w:r w:rsidR="00CC621A">
        <w:rPr>
          <w:rFonts w:ascii="Times New Roman" w:hAnsi="Times New Roman" w:cs="Times New Roman"/>
          <w:sz w:val="24"/>
          <w:szCs w:val="24"/>
        </w:rPr>
        <w:t>el (§ 8 odsek 6</w:t>
      </w:r>
      <w:r>
        <w:rPr>
          <w:rFonts w:ascii="Times New Roman" w:hAnsi="Times New Roman" w:cs="Times New Roman"/>
          <w:sz w:val="24"/>
          <w:szCs w:val="24"/>
        </w:rPr>
        <w:t xml:space="preserve"> zákona NR SR č. 523/2004 Z. z. o rozpočtových pravidlách verejnej správy).   </w:t>
      </w:r>
    </w:p>
    <w:p w:rsidR="00C965AD" w:rsidP="002710B0">
      <w:pPr>
        <w:spacing w:line="240" w:lineRule="auto"/>
        <w:rPr>
          <w:rFonts w:ascii="Times New Roman" w:hAnsi="Times New Roman" w:cs="Times New Roman"/>
          <w:b/>
          <w:sz w:val="24"/>
          <w:szCs w:val="24"/>
        </w:rPr>
      </w:pPr>
    </w:p>
    <w:p w:rsidR="008E33E3" w:rsidP="008E33E3">
      <w:pPr>
        <w:spacing w:line="240" w:lineRule="auto"/>
        <w:ind w:firstLine="708"/>
        <w:rPr>
          <w:rFonts w:ascii="Times New Roman" w:hAnsi="Times New Roman" w:cs="Times New Roman"/>
          <w:b/>
          <w:sz w:val="24"/>
          <w:szCs w:val="24"/>
        </w:rPr>
      </w:pPr>
      <w:r>
        <w:rPr>
          <w:rFonts w:ascii="Times New Roman" w:hAnsi="Times New Roman" w:cs="Times New Roman"/>
          <w:b/>
          <w:sz w:val="24"/>
          <w:szCs w:val="24"/>
        </w:rPr>
        <w:t>Projekt</w:t>
      </w:r>
      <w:r w:rsidR="00A91B9B">
        <w:rPr>
          <w:rFonts w:ascii="Times New Roman" w:hAnsi="Times New Roman" w:cs="Times New Roman"/>
          <w:b/>
          <w:sz w:val="24"/>
          <w:szCs w:val="24"/>
        </w:rPr>
        <w:t>y</w:t>
      </w:r>
      <w:r w:rsidR="007B36AB">
        <w:rPr>
          <w:rFonts w:ascii="Times New Roman" w:hAnsi="Times New Roman" w:cs="Times New Roman"/>
          <w:b/>
          <w:sz w:val="24"/>
          <w:szCs w:val="24"/>
        </w:rPr>
        <w:t xml:space="preserve"> TEN – </w:t>
      </w:r>
      <w:r w:rsidRPr="008E33E3">
        <w:rPr>
          <w:rFonts w:ascii="Times New Roman" w:hAnsi="Times New Roman" w:cs="Times New Roman"/>
          <w:b/>
          <w:sz w:val="24"/>
          <w:szCs w:val="24"/>
        </w:rPr>
        <w:t>T</w:t>
      </w:r>
    </w:p>
    <w:p w:rsidR="006140F5" w:rsidP="008E33E3">
      <w:pPr>
        <w:spacing w:line="240" w:lineRule="auto"/>
        <w:ind w:firstLine="708"/>
        <w:rPr>
          <w:rFonts w:ascii="Times New Roman" w:hAnsi="Times New Roman" w:cs="Times New Roman"/>
          <w:sz w:val="24"/>
          <w:szCs w:val="24"/>
        </w:rPr>
      </w:pPr>
    </w:p>
    <w:p w:rsidR="006140F5" w:rsidP="006140F5">
      <w:pPr>
        <w:spacing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Plánované prostriedky TENT – </w:t>
      </w:r>
      <w:r w:rsidRPr="006140F5">
        <w:rPr>
          <w:rFonts w:ascii="Times New Roman" w:hAnsi="Times New Roman" w:cs="Times New Roman"/>
          <w:sz w:val="24"/>
          <w:szCs w:val="24"/>
        </w:rPr>
        <w:t xml:space="preserve">T predstavovali v roku 2007 sumu 100 </w:t>
      </w:r>
      <w:r>
        <w:rPr>
          <w:rFonts w:ascii="Times New Roman" w:hAnsi="Times New Roman" w:cs="Times New Roman"/>
          <w:sz w:val="24"/>
          <w:szCs w:val="24"/>
        </w:rPr>
        <w:t xml:space="preserve">866 000,- Sk a spolufinancovanie k TENT – </w:t>
      </w:r>
      <w:r w:rsidRPr="006140F5">
        <w:rPr>
          <w:rFonts w:ascii="Times New Roman" w:hAnsi="Times New Roman" w:cs="Times New Roman"/>
          <w:sz w:val="24"/>
          <w:szCs w:val="24"/>
        </w:rPr>
        <w:t xml:space="preserve">T </w:t>
      </w:r>
      <w:r>
        <w:rPr>
          <w:rFonts w:ascii="Times New Roman" w:hAnsi="Times New Roman" w:cs="Times New Roman"/>
          <w:sz w:val="24"/>
          <w:szCs w:val="24"/>
        </w:rPr>
        <w:t xml:space="preserve">zo štátneho rozpočtu predstavovalo 39 670 000,- Sk. </w:t>
      </w:r>
    </w:p>
    <w:p w:rsidR="008E33E3" w:rsidP="006140F5">
      <w:pPr>
        <w:spacing w:line="240" w:lineRule="auto"/>
        <w:ind w:firstLine="709"/>
        <w:rPr>
          <w:rFonts w:ascii="Times New Roman" w:hAnsi="Times New Roman" w:cs="Times New Roman"/>
          <w:b/>
          <w:sz w:val="24"/>
          <w:szCs w:val="24"/>
        </w:rPr>
      </w:pPr>
      <w:r w:rsidRPr="006140F5" w:rsidR="006140F5">
        <w:rPr>
          <w:rFonts w:ascii="Times New Roman" w:hAnsi="Times New Roman" w:cs="Times New Roman"/>
          <w:sz w:val="24"/>
          <w:szCs w:val="24"/>
        </w:rPr>
        <w:t>Uvedené sumy boli schválené na použitie p</w:t>
      </w:r>
      <w:r w:rsidR="006140F5">
        <w:rPr>
          <w:rFonts w:ascii="Times New Roman" w:hAnsi="Times New Roman" w:cs="Times New Roman"/>
          <w:sz w:val="24"/>
          <w:szCs w:val="24"/>
        </w:rPr>
        <w:t xml:space="preserve">re investičné akcie D1 Turany – </w:t>
      </w:r>
      <w:r w:rsidRPr="006140F5" w:rsidR="006140F5">
        <w:rPr>
          <w:rFonts w:ascii="Times New Roman" w:hAnsi="Times New Roman" w:cs="Times New Roman"/>
          <w:sz w:val="24"/>
          <w:szCs w:val="24"/>
        </w:rPr>
        <w:t>Hubová a D3 Svrčinove</w:t>
      </w:r>
      <w:r w:rsidR="006140F5">
        <w:rPr>
          <w:rFonts w:ascii="Times New Roman" w:hAnsi="Times New Roman" w:cs="Times New Roman"/>
          <w:sz w:val="24"/>
          <w:szCs w:val="24"/>
        </w:rPr>
        <w:t xml:space="preserve">c – Skalité v nasledovnej výške: </w:t>
      </w:r>
    </w:p>
    <w:p w:rsidR="006140F5" w:rsidP="006140F5">
      <w:pPr>
        <w:spacing w:line="240" w:lineRule="auto"/>
        <w:ind w:firstLine="709"/>
        <w:rPr>
          <w:rFonts w:ascii="Times New Roman" w:hAnsi="Times New Roman" w:cs="Times New Roman"/>
          <w:b/>
          <w:bCs/>
          <w:sz w:val="24"/>
          <w:szCs w:val="24"/>
        </w:rPr>
      </w:pPr>
    </w:p>
    <w:p w:rsidR="006140F5" w:rsidP="006140F5">
      <w:pPr>
        <w:spacing w:line="240" w:lineRule="auto"/>
        <w:ind w:firstLine="709"/>
        <w:rPr>
          <w:rFonts w:ascii="Times New Roman" w:hAnsi="Times New Roman" w:cs="Times New Roman"/>
          <w:b/>
          <w:bCs/>
          <w:sz w:val="24"/>
          <w:szCs w:val="24"/>
        </w:rPr>
      </w:pPr>
      <w:r>
        <w:rPr>
          <w:rFonts w:ascii="Times New Roman" w:hAnsi="Times New Roman" w:cs="Times New Roman"/>
          <w:b/>
          <w:bCs/>
          <w:sz w:val="24"/>
          <w:szCs w:val="24"/>
        </w:rPr>
        <w:t xml:space="preserve">                       </w:t>
      </w:r>
      <w:r w:rsidR="007B36AB">
        <w:rPr>
          <w:rFonts w:ascii="Times New Roman" w:hAnsi="Times New Roman" w:cs="Times New Roman"/>
          <w:b/>
          <w:bCs/>
          <w:sz w:val="24"/>
          <w:szCs w:val="24"/>
        </w:rPr>
        <w:t xml:space="preserve">                           TENT – </w:t>
      </w:r>
      <w:r>
        <w:rPr>
          <w:rFonts w:ascii="Times New Roman" w:hAnsi="Times New Roman" w:cs="Times New Roman"/>
          <w:b/>
          <w:bCs/>
          <w:sz w:val="24"/>
          <w:szCs w:val="24"/>
        </w:rPr>
        <w:t>T</w:t>
      </w:r>
      <w:r w:rsidRPr="00AB77CD">
        <w:rPr>
          <w:rFonts w:ascii="Times New Roman" w:hAnsi="Times New Roman" w:cs="Times New Roman"/>
          <w:b/>
          <w:bCs/>
          <w:sz w:val="24"/>
          <w:szCs w:val="24"/>
        </w:rPr>
        <w:t xml:space="preserve">                 </w:t>
      </w:r>
      <w:r>
        <w:rPr>
          <w:rFonts w:ascii="Times New Roman" w:hAnsi="Times New Roman" w:cs="Times New Roman"/>
          <w:b/>
          <w:bCs/>
          <w:sz w:val="24"/>
          <w:szCs w:val="24"/>
        </w:rPr>
        <w:t xml:space="preserve">          Spolufinancovanie zo ŠR</w:t>
      </w:r>
      <w:r w:rsidRPr="00AB77CD">
        <w:rPr>
          <w:rFonts w:ascii="Times New Roman" w:hAnsi="Times New Roman" w:cs="Times New Roman"/>
          <w:b/>
          <w:bCs/>
          <w:sz w:val="24"/>
          <w:szCs w:val="24"/>
        </w:rPr>
        <w:tab/>
      </w:r>
    </w:p>
    <w:p w:rsidR="006140F5" w:rsidP="009D4707">
      <w:pPr>
        <w:spacing w:line="240" w:lineRule="auto"/>
        <w:ind w:firstLine="709"/>
        <w:rPr>
          <w:rFonts w:ascii="Times New Roman" w:hAnsi="Times New Roman" w:cs="Times New Roman"/>
          <w:sz w:val="24"/>
          <w:szCs w:val="24"/>
        </w:rPr>
      </w:pPr>
      <w:r w:rsidRPr="00AB77CD">
        <w:rPr>
          <w:rFonts w:ascii="Times New Roman" w:hAnsi="Times New Roman" w:cs="Times New Roman"/>
          <w:sz w:val="24"/>
          <w:szCs w:val="24"/>
        </w:rPr>
        <w:t>D1 Turany – Hubová</w:t>
        <w:tab/>
        <w:t xml:space="preserve">  </w:t>
      </w:r>
      <w:r>
        <w:rPr>
          <w:rFonts w:ascii="Times New Roman" w:hAnsi="Times New Roman" w:cs="Times New Roman"/>
          <w:sz w:val="24"/>
          <w:szCs w:val="24"/>
        </w:rPr>
        <w:t xml:space="preserve">      </w:t>
      </w:r>
      <w:r w:rsidRPr="00AB77CD">
        <w:rPr>
          <w:rFonts w:ascii="Times New Roman" w:hAnsi="Times New Roman" w:cs="Times New Roman"/>
          <w:sz w:val="24"/>
          <w:szCs w:val="24"/>
        </w:rPr>
        <w:t>34 500 000,00 Sk</w:t>
        <w:tab/>
        <w:t xml:space="preserve">                  </w:t>
      </w:r>
      <w:r>
        <w:rPr>
          <w:rFonts w:ascii="Times New Roman" w:hAnsi="Times New Roman" w:cs="Times New Roman"/>
          <w:sz w:val="24"/>
          <w:szCs w:val="24"/>
        </w:rPr>
        <w:t xml:space="preserve">                          </w:t>
      </w:r>
      <w:r w:rsidRPr="00AB77CD">
        <w:rPr>
          <w:rFonts w:ascii="Times New Roman" w:hAnsi="Times New Roman" w:cs="Times New Roman"/>
          <w:sz w:val="24"/>
          <w:szCs w:val="24"/>
        </w:rPr>
        <w:t>0,00 Sk</w:t>
      </w:r>
    </w:p>
    <w:p w:rsidR="006140F5" w:rsidP="006140F5">
      <w:pPr>
        <w:spacing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D3 Svrčinovec – Skalité     </w:t>
      </w:r>
      <w:r w:rsidRPr="00AB77CD">
        <w:rPr>
          <w:rFonts w:ascii="Times New Roman" w:hAnsi="Times New Roman" w:cs="Times New Roman"/>
          <w:sz w:val="24"/>
          <w:szCs w:val="24"/>
        </w:rPr>
        <w:t>66 366 000,00 Sk</w:t>
        <w:tab/>
        <w:t xml:space="preserve">  </w:t>
      </w:r>
      <w:r>
        <w:rPr>
          <w:rFonts w:ascii="Times New Roman" w:hAnsi="Times New Roman" w:cs="Times New Roman"/>
          <w:sz w:val="24"/>
          <w:szCs w:val="24"/>
        </w:rPr>
        <w:t xml:space="preserve">                          </w:t>
      </w:r>
      <w:r w:rsidRPr="00AB77CD">
        <w:rPr>
          <w:rFonts w:ascii="Times New Roman" w:hAnsi="Times New Roman" w:cs="Times New Roman"/>
          <w:sz w:val="24"/>
          <w:szCs w:val="24"/>
        </w:rPr>
        <w:t>39 670 000,00 Sk</w:t>
      </w:r>
    </w:p>
    <w:p w:rsidR="006140F5" w:rsidP="006140F5">
      <w:pPr>
        <w:spacing w:line="240" w:lineRule="auto"/>
        <w:ind w:firstLine="709"/>
        <w:rPr>
          <w:rFonts w:ascii="Times New Roman" w:hAnsi="Times New Roman" w:cs="Times New Roman"/>
          <w:sz w:val="24"/>
          <w:szCs w:val="24"/>
        </w:rPr>
      </w:pPr>
    </w:p>
    <w:p w:rsidR="00BE6544" w:rsidP="00BE1A59">
      <w:pPr>
        <w:spacing w:line="240" w:lineRule="auto"/>
        <w:ind w:firstLine="709"/>
        <w:rPr>
          <w:rFonts w:ascii="Times New Roman" w:hAnsi="Times New Roman" w:cs="Times New Roman"/>
          <w:sz w:val="24"/>
          <w:szCs w:val="24"/>
        </w:rPr>
      </w:pPr>
      <w:r w:rsidRPr="006140F5" w:rsidR="006140F5">
        <w:rPr>
          <w:rFonts w:ascii="Times New Roman" w:hAnsi="Times New Roman" w:cs="Times New Roman"/>
          <w:sz w:val="24"/>
          <w:szCs w:val="24"/>
        </w:rPr>
        <w:t>Koncom roka 2007 vynal</w:t>
      </w:r>
      <w:r w:rsidR="00EB5C51">
        <w:rPr>
          <w:rFonts w:ascii="Times New Roman" w:hAnsi="Times New Roman" w:cs="Times New Roman"/>
          <w:sz w:val="24"/>
          <w:szCs w:val="24"/>
        </w:rPr>
        <w:t xml:space="preserve">ožila NDS, a.s., </w:t>
      </w:r>
      <w:r w:rsidR="00273953">
        <w:rPr>
          <w:rFonts w:ascii="Times New Roman" w:hAnsi="Times New Roman" w:cs="Times New Roman"/>
          <w:sz w:val="24"/>
          <w:szCs w:val="24"/>
        </w:rPr>
        <w:t xml:space="preserve">na stavbu D1 Turany – </w:t>
      </w:r>
      <w:r w:rsidR="00FA754E">
        <w:rPr>
          <w:rFonts w:ascii="Times New Roman" w:hAnsi="Times New Roman" w:cs="Times New Roman"/>
          <w:sz w:val="24"/>
          <w:szCs w:val="24"/>
        </w:rPr>
        <w:t xml:space="preserve">Hubová za časť </w:t>
      </w:r>
      <w:r w:rsidR="00273953">
        <w:rPr>
          <w:rFonts w:ascii="Times New Roman" w:hAnsi="Times New Roman" w:cs="Times New Roman"/>
          <w:sz w:val="24"/>
          <w:szCs w:val="24"/>
        </w:rPr>
        <w:t xml:space="preserve">TEN – T prostriedky vo výške </w:t>
      </w:r>
      <w:r w:rsidRPr="006140F5" w:rsidR="006140F5">
        <w:rPr>
          <w:rFonts w:ascii="Times New Roman" w:hAnsi="Times New Roman" w:cs="Times New Roman"/>
          <w:sz w:val="24"/>
          <w:szCs w:val="24"/>
        </w:rPr>
        <w:t>25</w:t>
      </w:r>
      <w:r w:rsidR="00273953">
        <w:rPr>
          <w:rFonts w:ascii="Times New Roman" w:hAnsi="Times New Roman" w:cs="Times New Roman"/>
          <w:sz w:val="24"/>
          <w:szCs w:val="24"/>
        </w:rPr>
        <w:t xml:space="preserve"> 723 890,- Sk </w:t>
      </w:r>
      <w:r w:rsidRPr="006140F5" w:rsidR="006140F5">
        <w:rPr>
          <w:rFonts w:ascii="Times New Roman" w:hAnsi="Times New Roman" w:cs="Times New Roman"/>
          <w:sz w:val="24"/>
          <w:szCs w:val="24"/>
        </w:rPr>
        <w:t>a</w:t>
      </w:r>
      <w:r w:rsidR="00FA754E">
        <w:rPr>
          <w:rFonts w:ascii="Times New Roman" w:hAnsi="Times New Roman" w:cs="Times New Roman"/>
          <w:sz w:val="24"/>
          <w:szCs w:val="24"/>
        </w:rPr>
        <w:t xml:space="preserve"> za časť </w:t>
      </w:r>
      <w:r w:rsidR="00273953">
        <w:rPr>
          <w:rFonts w:ascii="Times New Roman" w:hAnsi="Times New Roman" w:cs="Times New Roman"/>
          <w:sz w:val="24"/>
          <w:szCs w:val="24"/>
        </w:rPr>
        <w:t>spolufinancovanie zo štátneho rozpočtu k TEN –</w:t>
      </w:r>
      <w:r w:rsidR="00FA754E">
        <w:rPr>
          <w:rFonts w:ascii="Times New Roman" w:hAnsi="Times New Roman" w:cs="Times New Roman"/>
          <w:sz w:val="24"/>
          <w:szCs w:val="24"/>
        </w:rPr>
        <w:t xml:space="preserve"> T </w:t>
      </w:r>
      <w:r w:rsidR="00273953">
        <w:rPr>
          <w:rFonts w:ascii="Times New Roman" w:hAnsi="Times New Roman" w:cs="Times New Roman"/>
          <w:sz w:val="24"/>
          <w:szCs w:val="24"/>
        </w:rPr>
        <w:t>vo výške 25 723 890,- Sk. Z uvedených zdrojov n</w:t>
      </w:r>
      <w:r w:rsidRPr="006140F5" w:rsidR="006140F5">
        <w:rPr>
          <w:rFonts w:ascii="Times New Roman" w:hAnsi="Times New Roman" w:cs="Times New Roman"/>
          <w:sz w:val="24"/>
          <w:szCs w:val="24"/>
        </w:rPr>
        <w:t>eboli k 31. 12. 2007 refundova</w:t>
      </w:r>
      <w:r w:rsidR="00273953">
        <w:rPr>
          <w:rFonts w:ascii="Times New Roman" w:hAnsi="Times New Roman" w:cs="Times New Roman"/>
          <w:sz w:val="24"/>
          <w:szCs w:val="24"/>
        </w:rPr>
        <w:t xml:space="preserve">né žiadne finančné prostriedky, a to z dôvodu problémov pri verejnom obstarávaní. V súčasnej dobe sa </w:t>
      </w:r>
      <w:r w:rsidRPr="006140F5" w:rsidR="006140F5">
        <w:rPr>
          <w:rFonts w:ascii="Times New Roman" w:hAnsi="Times New Roman" w:cs="Times New Roman"/>
          <w:sz w:val="24"/>
          <w:szCs w:val="24"/>
        </w:rPr>
        <w:t>problematika refundovania daných prost</w:t>
      </w:r>
      <w:r w:rsidR="00273953">
        <w:rPr>
          <w:rFonts w:ascii="Times New Roman" w:hAnsi="Times New Roman" w:cs="Times New Roman"/>
          <w:sz w:val="24"/>
          <w:szCs w:val="24"/>
        </w:rPr>
        <w:t>riedkov rieši.</w:t>
      </w:r>
    </w:p>
    <w:p w:rsidR="00273953" w:rsidRPr="008A14AD" w:rsidP="006140F5">
      <w:pPr>
        <w:spacing w:line="240" w:lineRule="auto"/>
        <w:ind w:firstLine="708"/>
        <w:rPr>
          <w:rFonts w:ascii="Times New Roman" w:hAnsi="Times New Roman" w:cs="Times New Roman"/>
          <w:sz w:val="24"/>
          <w:szCs w:val="24"/>
        </w:rPr>
      </w:pPr>
      <w:r w:rsidRPr="008A14AD" w:rsidR="006140F5">
        <w:rPr>
          <w:rFonts w:ascii="Times New Roman" w:hAnsi="Times New Roman" w:cs="Times New Roman"/>
          <w:sz w:val="24"/>
          <w:szCs w:val="24"/>
        </w:rPr>
        <w:t>Finančné plnenie na in</w:t>
      </w:r>
      <w:r w:rsidRPr="008A14AD">
        <w:rPr>
          <w:rFonts w:ascii="Times New Roman" w:hAnsi="Times New Roman" w:cs="Times New Roman"/>
          <w:sz w:val="24"/>
          <w:szCs w:val="24"/>
        </w:rPr>
        <w:t xml:space="preserve">vestičnej akcii D3 Svrčinovec – </w:t>
      </w:r>
      <w:r w:rsidRPr="008A14AD" w:rsidR="006140F5">
        <w:rPr>
          <w:rFonts w:ascii="Times New Roman" w:hAnsi="Times New Roman" w:cs="Times New Roman"/>
          <w:sz w:val="24"/>
          <w:szCs w:val="24"/>
        </w:rPr>
        <w:t>Skalité bol</w:t>
      </w:r>
      <w:r w:rsidR="00FA754E">
        <w:rPr>
          <w:rFonts w:ascii="Times New Roman" w:hAnsi="Times New Roman" w:cs="Times New Roman"/>
          <w:sz w:val="24"/>
          <w:szCs w:val="24"/>
        </w:rPr>
        <w:t xml:space="preserve">o za časť </w:t>
      </w:r>
      <w:r w:rsidRPr="008A14AD">
        <w:rPr>
          <w:rFonts w:ascii="Times New Roman" w:hAnsi="Times New Roman" w:cs="Times New Roman"/>
          <w:sz w:val="24"/>
          <w:szCs w:val="24"/>
        </w:rPr>
        <w:t xml:space="preserve">TENT – </w:t>
      </w:r>
      <w:r w:rsidRPr="008A14AD" w:rsidR="006140F5">
        <w:rPr>
          <w:rFonts w:ascii="Times New Roman" w:hAnsi="Times New Roman" w:cs="Times New Roman"/>
          <w:sz w:val="24"/>
          <w:szCs w:val="24"/>
        </w:rPr>
        <w:t xml:space="preserve">T </w:t>
      </w:r>
      <w:r w:rsidRPr="008A14AD">
        <w:rPr>
          <w:rFonts w:ascii="Times New Roman" w:hAnsi="Times New Roman" w:cs="Times New Roman"/>
          <w:sz w:val="24"/>
          <w:szCs w:val="24"/>
        </w:rPr>
        <w:t xml:space="preserve">vo výške </w:t>
      </w:r>
      <w:r w:rsidRPr="008A14AD" w:rsidR="006140F5">
        <w:rPr>
          <w:rFonts w:ascii="Times New Roman" w:hAnsi="Times New Roman" w:cs="Times New Roman"/>
          <w:sz w:val="24"/>
          <w:szCs w:val="24"/>
        </w:rPr>
        <w:t>55 569 918,09 Sk a</w:t>
      </w:r>
      <w:r w:rsidR="00FA754E">
        <w:rPr>
          <w:rFonts w:ascii="Times New Roman" w:hAnsi="Times New Roman" w:cs="Times New Roman"/>
          <w:sz w:val="24"/>
          <w:szCs w:val="24"/>
        </w:rPr>
        <w:t xml:space="preserve"> za </w:t>
      </w:r>
      <w:r w:rsidRPr="008A14AD">
        <w:rPr>
          <w:rFonts w:ascii="Times New Roman" w:hAnsi="Times New Roman" w:cs="Times New Roman"/>
          <w:sz w:val="24"/>
          <w:szCs w:val="24"/>
        </w:rPr>
        <w:t xml:space="preserve">spolufinancovanie zo štátneho rozpočtu k TENT – </w:t>
      </w:r>
      <w:r w:rsidR="00FA754E">
        <w:rPr>
          <w:rFonts w:ascii="Times New Roman" w:hAnsi="Times New Roman" w:cs="Times New Roman"/>
          <w:sz w:val="24"/>
          <w:szCs w:val="24"/>
        </w:rPr>
        <w:t xml:space="preserve">T vo výške </w:t>
      </w:r>
      <w:r w:rsidRPr="008A14AD" w:rsidR="006140F5">
        <w:rPr>
          <w:rFonts w:ascii="Times New Roman" w:hAnsi="Times New Roman" w:cs="Times New Roman"/>
          <w:sz w:val="24"/>
          <w:szCs w:val="24"/>
        </w:rPr>
        <w:t xml:space="preserve">62 406 074,91 Sk. Z daných prostriedkov MDPT SR ku koncu roka 2007 refundovalo </w:t>
      </w:r>
      <w:r w:rsidRPr="008A14AD" w:rsidR="008A14AD">
        <w:rPr>
          <w:rFonts w:ascii="Times New Roman" w:hAnsi="Times New Roman" w:cs="Times New Roman"/>
          <w:sz w:val="24"/>
          <w:szCs w:val="24"/>
        </w:rPr>
        <w:t xml:space="preserve">50 592 652,17 Sk za časť TENT – </w:t>
      </w:r>
      <w:r w:rsidRPr="008A14AD" w:rsidR="006140F5">
        <w:rPr>
          <w:rFonts w:ascii="Times New Roman" w:hAnsi="Times New Roman" w:cs="Times New Roman"/>
          <w:sz w:val="24"/>
          <w:szCs w:val="24"/>
        </w:rPr>
        <w:t>T a</w:t>
      </w:r>
      <w:r w:rsidRPr="008A14AD" w:rsidR="008A14AD">
        <w:rPr>
          <w:rFonts w:ascii="Times New Roman" w:hAnsi="Times New Roman" w:cs="Times New Roman"/>
          <w:sz w:val="24"/>
          <w:szCs w:val="24"/>
        </w:rPr>
        <w:t xml:space="preserve"> 39 669 119,42 Sk </w:t>
      </w:r>
      <w:r w:rsidRPr="008A14AD">
        <w:rPr>
          <w:rFonts w:ascii="Times New Roman" w:hAnsi="Times New Roman" w:cs="Times New Roman"/>
          <w:sz w:val="24"/>
          <w:szCs w:val="24"/>
        </w:rPr>
        <w:t xml:space="preserve">za spolufinancovanie zo štátneho rozpočtu </w:t>
      </w:r>
      <w:r w:rsidRPr="008A14AD" w:rsidR="006140F5">
        <w:rPr>
          <w:rFonts w:ascii="Times New Roman" w:hAnsi="Times New Roman" w:cs="Times New Roman"/>
          <w:sz w:val="24"/>
          <w:szCs w:val="24"/>
        </w:rPr>
        <w:t>k TEN-T.</w:t>
      </w:r>
    </w:p>
    <w:p w:rsidR="006140F5" w:rsidP="00BE1A59">
      <w:pPr>
        <w:spacing w:line="240" w:lineRule="auto"/>
        <w:ind w:firstLine="708"/>
        <w:rPr>
          <w:rFonts w:ascii="Times New Roman" w:hAnsi="Times New Roman" w:cs="Times New Roman"/>
          <w:sz w:val="24"/>
          <w:szCs w:val="24"/>
        </w:rPr>
      </w:pPr>
      <w:r w:rsidRPr="00BE1A59">
        <w:rPr>
          <w:rFonts w:ascii="Times New Roman" w:hAnsi="Times New Roman" w:cs="Times New Roman"/>
          <w:sz w:val="24"/>
          <w:szCs w:val="24"/>
        </w:rPr>
        <w:t xml:space="preserve"> </w:t>
      </w:r>
    </w:p>
    <w:p w:rsidR="00684D28" w:rsidRPr="00A732E7" w:rsidP="00C362EA">
      <w:pPr>
        <w:spacing w:line="24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4. Prostriedky ISPA a príslušné spolufinancovanie alokované v kapitole VPS určené </w:t>
      </w:r>
      <w:r w:rsidRPr="00DF02C6">
        <w:rPr>
          <w:rFonts w:ascii="Times New Roman" w:hAnsi="Times New Roman" w:cs="Times New Roman"/>
          <w:b/>
          <w:sz w:val="24"/>
          <w:szCs w:val="24"/>
          <w:u w:val="single"/>
        </w:rPr>
        <w:t>na výstavbu diaľnic a r</w:t>
      </w:r>
      <w:r>
        <w:rPr>
          <w:rFonts w:ascii="Times New Roman" w:hAnsi="Times New Roman" w:cs="Times New Roman"/>
          <w:b/>
          <w:sz w:val="24"/>
          <w:szCs w:val="24"/>
          <w:u w:val="single"/>
        </w:rPr>
        <w:t>ýchlostných ciest</w:t>
      </w:r>
    </w:p>
    <w:p w:rsidR="00BE6544" w:rsidP="00C362EA">
      <w:pPr>
        <w:spacing w:line="240" w:lineRule="auto"/>
        <w:rPr>
          <w:rFonts w:ascii="Times New Roman" w:hAnsi="Times New Roman" w:cs="Times New Roman"/>
          <w:b/>
          <w:sz w:val="24"/>
        </w:rPr>
      </w:pPr>
    </w:p>
    <w:p w:rsidR="00BE6544" w:rsidRPr="00BE1A59" w:rsidP="00BE1A59">
      <w:pPr>
        <w:spacing w:line="240" w:lineRule="auto"/>
        <w:rPr>
          <w:rFonts w:ascii="Times New Roman" w:hAnsi="Times New Roman" w:cs="Times New Roman"/>
          <w:b/>
          <w:sz w:val="24"/>
          <w:szCs w:val="24"/>
        </w:rPr>
      </w:pPr>
      <w:r w:rsidRPr="00BE1A59" w:rsidR="00684D28">
        <w:rPr>
          <w:rFonts w:ascii="Times New Roman" w:hAnsi="Times New Roman" w:cs="Times New Roman"/>
          <w:b/>
          <w:sz w:val="24"/>
          <w:szCs w:val="24"/>
        </w:rPr>
        <w:t>Podprogram 05303 Výstavba diaľnic a rýchlostných ciest</w:t>
      </w:r>
    </w:p>
    <w:p w:rsidR="00684D28" w:rsidRPr="00D671DD" w:rsidP="00C362EA">
      <w:pPr>
        <w:pStyle w:val="NormalIndent"/>
        <w:tabs>
          <w:tab w:val="left" w:pos="0"/>
        </w:tabs>
        <w:spacing w:line="240" w:lineRule="auto"/>
        <w:ind w:left="0"/>
        <w:jc w:val="center"/>
        <w:rPr>
          <w:rFonts w:ascii="Arial Narrow" w:hAnsi="Arial Narrow" w:cs="Times New Roman"/>
          <w:sz w:val="22"/>
          <w:szCs w:val="22"/>
        </w:rPr>
      </w:pPr>
      <w:r w:rsidRPr="00D671DD">
        <w:rPr>
          <w:rFonts w:ascii="Arial Narrow" w:hAnsi="Arial Narrow" w:cs="Times New Roman"/>
          <w:sz w:val="22"/>
          <w:szCs w:val="22"/>
        </w:rPr>
        <w:t xml:space="preserve">                                                                                                                                     </w:t>
      </w:r>
      <w:r>
        <w:rPr>
          <w:rFonts w:ascii="Arial Narrow" w:hAnsi="Arial Narrow" w:cs="Times New Roman"/>
          <w:sz w:val="22"/>
          <w:szCs w:val="22"/>
        </w:rPr>
        <w:t xml:space="preserve">                                (</w:t>
      </w:r>
      <w:r w:rsidR="00EB3F89">
        <w:rPr>
          <w:rFonts w:ascii="Arial Narrow" w:hAnsi="Arial Narrow" w:cs="Times New Roman"/>
          <w:sz w:val="22"/>
          <w:szCs w:val="22"/>
        </w:rPr>
        <w:t xml:space="preserve">tis. </w:t>
      </w:r>
      <w:r w:rsidRPr="00D671DD">
        <w:rPr>
          <w:rFonts w:ascii="Arial Narrow" w:hAnsi="Arial Narrow" w:cs="Times New Roman"/>
          <w:sz w:val="22"/>
          <w:szCs w:val="22"/>
        </w:rPr>
        <w:t>Sk)</w:t>
      </w:r>
    </w:p>
    <w:tbl>
      <w:tblPr>
        <w:tblW w:w="9370" w:type="dxa"/>
        <w:tblInd w:w="-290"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top w:w="0" w:type="dxa"/>
          <w:left w:w="70" w:type="dxa"/>
          <w:bottom w:w="0" w:type="dxa"/>
          <w:right w:w="70" w:type="dxa"/>
        </w:tblCellMar>
      </w:tblPr>
      <w:tblGrid>
        <w:gridCol w:w="900"/>
        <w:gridCol w:w="4500"/>
        <w:gridCol w:w="1134"/>
        <w:gridCol w:w="1418"/>
        <w:gridCol w:w="1418"/>
      </w:tblGrid>
      <w:tr>
        <w:tblPrEx>
          <w:tblW w:w="9370" w:type="dxa"/>
          <w:tblInd w:w="-290"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top w:w="0" w:type="dxa"/>
            <w:left w:w="70" w:type="dxa"/>
            <w:bottom w:w="0" w:type="dxa"/>
            <w:right w:w="70" w:type="dxa"/>
          </w:tblCellMar>
        </w:tblPrEx>
        <w:trPr>
          <w:trHeight w:hRule="auto" w:val="0"/>
        </w:trPr>
        <w:tc>
          <w:tcPr>
            <w:tcW w:w="900" w:type="dxa"/>
            <w:tcBorders>
              <w:top w:val="single" w:sz="12" w:space="0" w:color="auto"/>
              <w:left w:val="single" w:sz="12" w:space="0" w:color="auto"/>
              <w:bottom w:val="single" w:sz="12" w:space="0" w:color="auto"/>
              <w:right w:val="single" w:sz="8" w:space="0" w:color="auto"/>
              <w:tl2br w:val="nil"/>
              <w:tr2bl w:val="nil"/>
            </w:tcBorders>
            <w:shd w:val="clear" w:color="auto" w:fill="C0C0C0"/>
            <w:textDirection w:val="lrTb"/>
            <w:vAlign w:val="center"/>
          </w:tcPr>
          <w:p w:rsidR="003211C5" w:rsidRPr="00D671DD" w:rsidP="00C362EA">
            <w:pPr>
              <w:spacing w:line="240" w:lineRule="auto"/>
              <w:jc w:val="center"/>
              <w:rPr>
                <w:rFonts w:ascii="Arial Narrow" w:hAnsi="Arial Narrow" w:cs="Times New Roman"/>
                <w:b/>
                <w:bCs/>
                <w:sz w:val="22"/>
                <w:szCs w:val="22"/>
              </w:rPr>
            </w:pPr>
            <w:r w:rsidRPr="00D671DD">
              <w:rPr>
                <w:rFonts w:ascii="Arial Narrow" w:hAnsi="Arial Narrow" w:cs="Times New Roman"/>
                <w:b/>
                <w:bCs/>
                <w:sz w:val="22"/>
                <w:szCs w:val="22"/>
              </w:rPr>
              <w:t xml:space="preserve">Prvok </w:t>
            </w:r>
          </w:p>
        </w:tc>
        <w:tc>
          <w:tcPr>
            <w:tcW w:w="4500" w:type="dxa"/>
            <w:tcBorders>
              <w:top w:val="single" w:sz="12" w:space="0" w:color="auto"/>
              <w:left w:val="single" w:sz="8" w:space="0" w:color="auto"/>
              <w:bottom w:val="single" w:sz="12" w:space="0" w:color="auto"/>
              <w:right w:val="single" w:sz="8" w:space="0" w:color="auto"/>
              <w:tl2br w:val="nil"/>
              <w:tr2bl w:val="nil"/>
            </w:tcBorders>
            <w:shd w:val="clear" w:color="auto" w:fill="C0C0C0"/>
            <w:textDirection w:val="lrTb"/>
            <w:vAlign w:val="center"/>
          </w:tcPr>
          <w:p w:rsidR="003211C5" w:rsidRPr="00D671DD" w:rsidP="00C362EA">
            <w:pPr>
              <w:pStyle w:val="xl70"/>
              <w:spacing w:before="0" w:after="0" w:line="240" w:lineRule="auto"/>
              <w:rPr>
                <w:rFonts w:ascii="Arial Narrow" w:hAnsi="Arial Narrow" w:cs="Times New Roman"/>
                <w:b/>
                <w:bCs/>
                <w:sz w:val="22"/>
                <w:szCs w:val="22"/>
                <w:lang w:val="sk-SK"/>
              </w:rPr>
            </w:pPr>
            <w:r w:rsidRPr="00D671DD">
              <w:rPr>
                <w:rFonts w:ascii="Arial Narrow" w:hAnsi="Arial Narrow" w:cs="Times New Roman"/>
                <w:b/>
                <w:bCs/>
                <w:sz w:val="22"/>
                <w:szCs w:val="22"/>
                <w:lang w:val="sk-SK"/>
              </w:rPr>
              <w:t>Názov stavby</w:t>
            </w:r>
          </w:p>
        </w:tc>
        <w:tc>
          <w:tcPr>
            <w:tcW w:w="1134" w:type="dxa"/>
            <w:tcBorders>
              <w:top w:val="single" w:sz="12" w:space="0" w:color="auto"/>
              <w:left w:val="single" w:sz="8" w:space="0" w:color="auto"/>
              <w:bottom w:val="single" w:sz="12" w:space="0" w:color="auto"/>
              <w:right w:val="single" w:sz="8" w:space="0" w:color="auto"/>
              <w:tl2br w:val="nil"/>
              <w:tr2bl w:val="nil"/>
            </w:tcBorders>
            <w:shd w:val="clear" w:color="auto" w:fill="C0C0C0"/>
            <w:textDirection w:val="lrTb"/>
            <w:vAlign w:val="center"/>
          </w:tcPr>
          <w:p w:rsidR="003211C5" w:rsidRPr="00D671DD" w:rsidP="00C362EA">
            <w:pPr>
              <w:spacing w:line="240" w:lineRule="auto"/>
              <w:jc w:val="center"/>
              <w:rPr>
                <w:rFonts w:ascii="Arial Narrow" w:hAnsi="Arial Narrow" w:cs="Times New Roman"/>
                <w:b/>
                <w:bCs/>
                <w:sz w:val="22"/>
                <w:szCs w:val="22"/>
              </w:rPr>
            </w:pPr>
            <w:r>
              <w:rPr>
                <w:rFonts w:ascii="Arial Narrow" w:hAnsi="Arial Narrow" w:cs="Times New Roman"/>
                <w:b/>
                <w:bCs/>
                <w:sz w:val="22"/>
                <w:szCs w:val="22"/>
              </w:rPr>
              <w:t>Schválený</w:t>
            </w:r>
          </w:p>
          <w:p w:rsidR="003211C5" w:rsidRPr="00D671DD" w:rsidP="00C362EA">
            <w:pPr>
              <w:spacing w:line="240" w:lineRule="auto"/>
              <w:jc w:val="center"/>
              <w:rPr>
                <w:rFonts w:ascii="Arial Narrow" w:hAnsi="Arial Narrow" w:cs="Times New Roman"/>
                <w:b/>
                <w:bCs/>
                <w:sz w:val="22"/>
                <w:szCs w:val="22"/>
              </w:rPr>
            </w:pPr>
            <w:r w:rsidRPr="00D671DD">
              <w:rPr>
                <w:rFonts w:ascii="Arial Narrow" w:hAnsi="Arial Narrow" w:cs="Times New Roman"/>
                <w:b/>
                <w:bCs/>
                <w:sz w:val="22"/>
                <w:szCs w:val="22"/>
              </w:rPr>
              <w:t>rozpočet</w:t>
            </w:r>
            <w:r>
              <w:rPr>
                <w:rFonts w:ascii="Arial Narrow" w:hAnsi="Arial Narrow" w:cs="Times New Roman"/>
                <w:b/>
                <w:bCs/>
                <w:sz w:val="22"/>
                <w:szCs w:val="22"/>
              </w:rPr>
              <w:t xml:space="preserve"> k 1.1.200</w:t>
            </w:r>
            <w:r w:rsidR="00A91B9B">
              <w:rPr>
                <w:rFonts w:ascii="Arial Narrow" w:hAnsi="Arial Narrow" w:cs="Times New Roman"/>
                <w:b/>
                <w:bCs/>
                <w:sz w:val="22"/>
                <w:szCs w:val="22"/>
              </w:rPr>
              <w:t>7</w:t>
            </w:r>
          </w:p>
        </w:tc>
        <w:tc>
          <w:tcPr>
            <w:tcW w:w="1418" w:type="dxa"/>
            <w:tcBorders>
              <w:top w:val="single" w:sz="12" w:space="0" w:color="auto"/>
              <w:left w:val="single" w:sz="8" w:space="0" w:color="auto"/>
              <w:bottom w:val="single" w:sz="12" w:space="0" w:color="auto"/>
              <w:right w:val="single" w:sz="8" w:space="0" w:color="auto"/>
              <w:tl2br w:val="nil"/>
              <w:tr2bl w:val="nil"/>
            </w:tcBorders>
            <w:shd w:val="clear" w:color="auto" w:fill="C0C0C0"/>
            <w:textDirection w:val="lrTb"/>
            <w:vAlign w:val="top"/>
          </w:tcPr>
          <w:p w:rsidR="003211C5" w:rsidRPr="00D671DD" w:rsidP="003211C5">
            <w:pPr>
              <w:spacing w:line="240" w:lineRule="auto"/>
              <w:jc w:val="center"/>
              <w:rPr>
                <w:rFonts w:ascii="Arial Narrow" w:hAnsi="Arial Narrow" w:cs="Times New Roman"/>
                <w:b/>
                <w:bCs/>
                <w:sz w:val="22"/>
                <w:szCs w:val="22"/>
              </w:rPr>
            </w:pPr>
            <w:r>
              <w:rPr>
                <w:rFonts w:ascii="Arial Narrow" w:hAnsi="Arial Narrow" w:cs="Times New Roman"/>
                <w:b/>
                <w:bCs/>
                <w:sz w:val="22"/>
                <w:szCs w:val="22"/>
              </w:rPr>
              <w:t>Upravený</w:t>
            </w:r>
          </w:p>
          <w:p w:rsidR="003211C5" w:rsidRPr="00D671DD" w:rsidP="003211C5">
            <w:pPr>
              <w:spacing w:line="240" w:lineRule="auto"/>
              <w:jc w:val="center"/>
              <w:rPr>
                <w:rFonts w:ascii="Arial Narrow" w:hAnsi="Arial Narrow" w:cs="Times New Roman"/>
                <w:b/>
                <w:bCs/>
                <w:sz w:val="22"/>
                <w:szCs w:val="22"/>
              </w:rPr>
            </w:pPr>
            <w:r w:rsidRPr="00D671DD">
              <w:rPr>
                <w:rFonts w:ascii="Arial Narrow" w:hAnsi="Arial Narrow" w:cs="Times New Roman"/>
                <w:b/>
                <w:bCs/>
                <w:sz w:val="22"/>
                <w:szCs w:val="22"/>
              </w:rPr>
              <w:t>rozpočet</w:t>
            </w:r>
            <w:r>
              <w:rPr>
                <w:rFonts w:ascii="Arial Narrow" w:hAnsi="Arial Narrow" w:cs="Times New Roman"/>
                <w:b/>
                <w:bCs/>
                <w:sz w:val="22"/>
                <w:szCs w:val="22"/>
              </w:rPr>
              <w:t xml:space="preserve"> k 31.1.200</w:t>
            </w:r>
            <w:r w:rsidR="00A91B9B">
              <w:rPr>
                <w:rFonts w:ascii="Arial Narrow" w:hAnsi="Arial Narrow" w:cs="Times New Roman"/>
                <w:b/>
                <w:bCs/>
                <w:sz w:val="22"/>
                <w:szCs w:val="22"/>
              </w:rPr>
              <w:t>7</w:t>
            </w:r>
          </w:p>
        </w:tc>
        <w:tc>
          <w:tcPr>
            <w:tcW w:w="1418" w:type="dxa"/>
            <w:tcBorders>
              <w:top w:val="single" w:sz="12" w:space="0" w:color="auto"/>
              <w:left w:val="single" w:sz="8" w:space="0" w:color="auto"/>
              <w:bottom w:val="single" w:sz="12" w:space="0" w:color="auto"/>
              <w:right w:val="single" w:sz="12" w:space="0" w:color="auto"/>
              <w:tl2br w:val="nil"/>
              <w:tr2bl w:val="nil"/>
            </w:tcBorders>
            <w:shd w:val="clear" w:color="auto" w:fill="C0C0C0"/>
            <w:textDirection w:val="lrTb"/>
            <w:vAlign w:val="center"/>
          </w:tcPr>
          <w:p w:rsidR="003211C5" w:rsidRPr="00D671DD" w:rsidP="00C362EA">
            <w:pPr>
              <w:spacing w:line="240" w:lineRule="auto"/>
              <w:jc w:val="center"/>
              <w:rPr>
                <w:rFonts w:ascii="Arial Narrow" w:hAnsi="Arial Narrow" w:cs="Times New Roman"/>
                <w:b/>
                <w:bCs/>
                <w:sz w:val="22"/>
                <w:szCs w:val="22"/>
              </w:rPr>
            </w:pPr>
            <w:r w:rsidRPr="00D671DD">
              <w:rPr>
                <w:rFonts w:ascii="Arial Narrow" w:hAnsi="Arial Narrow" w:cs="Times New Roman"/>
                <w:b/>
                <w:bCs/>
                <w:sz w:val="22"/>
                <w:szCs w:val="22"/>
              </w:rPr>
              <w:t>Skutočné č</w:t>
            </w:r>
            <w:r w:rsidR="00A91B9B">
              <w:rPr>
                <w:rFonts w:ascii="Arial Narrow" w:hAnsi="Arial Narrow" w:cs="Times New Roman"/>
                <w:b/>
                <w:bCs/>
                <w:sz w:val="22"/>
                <w:szCs w:val="22"/>
              </w:rPr>
              <w:t>erpanie k 31.12.2007</w:t>
            </w:r>
            <w:r w:rsidR="00526431">
              <w:rPr>
                <w:rFonts w:ascii="Symbol" w:hAnsi="Symbol" w:cs="Times New Roman"/>
                <w:b/>
                <w:bCs/>
                <w:sz w:val="22"/>
                <w:szCs w:val="22"/>
              </w:rPr>
              <w:sym w:font="Symbol" w:char="F02A"/>
            </w:r>
          </w:p>
        </w:tc>
      </w:tr>
      <w:tr>
        <w:tblPrEx>
          <w:tblW w:w="9370" w:type="dxa"/>
          <w:tblInd w:w="-290" w:type="dxa"/>
          <w:tblLayout w:type="fixed"/>
          <w:tblCellMar>
            <w:top w:w="0" w:type="dxa"/>
            <w:left w:w="70" w:type="dxa"/>
            <w:bottom w:w="0" w:type="dxa"/>
            <w:right w:w="70" w:type="dxa"/>
          </w:tblCellMar>
        </w:tblPrEx>
        <w:trPr>
          <w:trHeight w:hRule="auto" w:val="0"/>
        </w:trPr>
        <w:tc>
          <w:tcPr>
            <w:tcW w:w="900" w:type="dxa"/>
            <w:tcBorders>
              <w:top w:val="single" w:sz="12" w:space="0" w:color="auto"/>
              <w:left w:val="single" w:sz="12" w:space="0" w:color="auto"/>
              <w:bottom w:val="single" w:sz="8" w:space="0" w:color="auto"/>
              <w:right w:val="single" w:sz="8" w:space="0" w:color="auto"/>
              <w:tl2br w:val="nil"/>
              <w:tr2bl w:val="nil"/>
            </w:tcBorders>
            <w:textDirection w:val="lrTb"/>
            <w:vAlign w:val="center"/>
          </w:tcPr>
          <w:p w:rsidR="003211C5" w:rsidRPr="00557009" w:rsidP="00C362EA">
            <w:pPr>
              <w:spacing w:line="240" w:lineRule="auto"/>
              <w:rPr>
                <w:rFonts w:ascii="Arial Narrow" w:hAnsi="Arial Narrow" w:cs="Times New Roman"/>
              </w:rPr>
            </w:pPr>
            <w:r w:rsidRPr="00557009">
              <w:rPr>
                <w:rFonts w:ascii="Arial Narrow" w:hAnsi="Arial Narrow" w:cs="Times New Roman"/>
              </w:rPr>
              <w:t> </w:t>
            </w:r>
          </w:p>
        </w:tc>
        <w:tc>
          <w:tcPr>
            <w:tcW w:w="4500" w:type="dxa"/>
            <w:tcBorders>
              <w:top w:val="single" w:sz="12" w:space="0" w:color="auto"/>
              <w:left w:val="single" w:sz="8" w:space="0" w:color="auto"/>
              <w:bottom w:val="single" w:sz="8" w:space="0" w:color="auto"/>
              <w:right w:val="single" w:sz="8" w:space="0" w:color="auto"/>
              <w:tl2br w:val="nil"/>
              <w:tr2bl w:val="nil"/>
            </w:tcBorders>
            <w:textDirection w:val="lrTb"/>
            <w:vAlign w:val="center"/>
          </w:tcPr>
          <w:p w:rsidR="003211C5" w:rsidRPr="00557009" w:rsidP="00C362EA">
            <w:pPr>
              <w:spacing w:line="240" w:lineRule="auto"/>
              <w:rPr>
                <w:rFonts w:ascii="Arial Narrow" w:hAnsi="Arial Narrow" w:cs="Times New Roman"/>
                <w:b/>
                <w:bCs/>
              </w:rPr>
            </w:pPr>
            <w:r>
              <w:rPr>
                <w:rFonts w:ascii="Arial Narrow" w:hAnsi="Arial Narrow" w:cs="Times New Roman"/>
                <w:b/>
                <w:bCs/>
              </w:rPr>
              <w:t xml:space="preserve">ISPA   </w:t>
            </w:r>
            <w:r w:rsidRPr="00557009">
              <w:rPr>
                <w:rFonts w:ascii="Arial Narrow" w:hAnsi="Arial Narrow" w:cs="Times New Roman"/>
                <w:b/>
                <w:bCs/>
              </w:rPr>
              <w:t>s p o l u</w:t>
            </w:r>
          </w:p>
        </w:tc>
        <w:tc>
          <w:tcPr>
            <w:tcW w:w="1134" w:type="dxa"/>
            <w:tcBorders>
              <w:top w:val="single" w:sz="12" w:space="0" w:color="auto"/>
              <w:left w:val="single" w:sz="8" w:space="0" w:color="auto"/>
              <w:bottom w:val="single" w:sz="8" w:space="0" w:color="auto"/>
              <w:right w:val="single" w:sz="8" w:space="0" w:color="auto"/>
              <w:tl2br w:val="nil"/>
              <w:tr2bl w:val="nil"/>
            </w:tcBorders>
            <w:textDirection w:val="lrTb"/>
            <w:vAlign w:val="center"/>
          </w:tcPr>
          <w:p w:rsidR="003211C5" w:rsidRPr="00557009" w:rsidP="00C362EA">
            <w:pPr>
              <w:spacing w:line="240" w:lineRule="auto"/>
              <w:jc w:val="right"/>
              <w:rPr>
                <w:rFonts w:ascii="Arial Narrow" w:hAnsi="Arial Narrow" w:cs="Times New Roman"/>
                <w:b/>
                <w:bCs/>
              </w:rPr>
            </w:pPr>
            <w:r w:rsidR="00FD3709">
              <w:rPr>
                <w:rFonts w:ascii="Arial Narrow" w:hAnsi="Arial Narrow" w:cs="Times New Roman"/>
                <w:b/>
                <w:bCs/>
              </w:rPr>
              <w:t>19 613</w:t>
            </w:r>
            <w:r>
              <w:rPr>
                <w:rFonts w:ascii="Arial Narrow" w:hAnsi="Arial Narrow" w:cs="Times New Roman"/>
                <w:b/>
                <w:bCs/>
              </w:rPr>
              <w:t xml:space="preserve"> </w:t>
            </w:r>
          </w:p>
        </w:tc>
        <w:tc>
          <w:tcPr>
            <w:tcW w:w="1418" w:type="dxa"/>
            <w:tcBorders>
              <w:top w:val="single" w:sz="12" w:space="0" w:color="auto"/>
              <w:left w:val="single" w:sz="8" w:space="0" w:color="auto"/>
              <w:bottom w:val="single" w:sz="8" w:space="0" w:color="auto"/>
              <w:right w:val="single" w:sz="8" w:space="0" w:color="auto"/>
              <w:tl2br w:val="nil"/>
              <w:tr2bl w:val="nil"/>
            </w:tcBorders>
            <w:textDirection w:val="lrTb"/>
            <w:vAlign w:val="top"/>
          </w:tcPr>
          <w:p w:rsidR="003211C5" w:rsidP="00C362EA">
            <w:pPr>
              <w:spacing w:line="240" w:lineRule="auto"/>
              <w:jc w:val="right"/>
              <w:rPr>
                <w:rFonts w:ascii="Arial Narrow" w:hAnsi="Arial Narrow" w:cs="Times New Roman"/>
                <w:b/>
                <w:bCs/>
              </w:rPr>
            </w:pPr>
            <w:r w:rsidR="00FD3709">
              <w:rPr>
                <w:rFonts w:ascii="Arial Narrow" w:hAnsi="Arial Narrow" w:cs="Times New Roman"/>
                <w:b/>
                <w:bCs/>
              </w:rPr>
              <w:t>19 404</w:t>
            </w:r>
          </w:p>
        </w:tc>
        <w:tc>
          <w:tcPr>
            <w:tcW w:w="1418" w:type="dxa"/>
            <w:tcBorders>
              <w:top w:val="single" w:sz="12" w:space="0" w:color="auto"/>
              <w:left w:val="single" w:sz="8" w:space="0" w:color="auto"/>
              <w:bottom w:val="single" w:sz="8" w:space="0" w:color="auto"/>
              <w:right w:val="single" w:sz="12" w:space="0" w:color="auto"/>
              <w:tl2br w:val="nil"/>
              <w:tr2bl w:val="nil"/>
            </w:tcBorders>
            <w:textDirection w:val="lrTb"/>
            <w:vAlign w:val="center"/>
          </w:tcPr>
          <w:p w:rsidR="003211C5" w:rsidRPr="00557009" w:rsidP="00C362EA">
            <w:pPr>
              <w:spacing w:line="240" w:lineRule="auto"/>
              <w:jc w:val="right"/>
              <w:rPr>
                <w:rFonts w:ascii="Arial Narrow" w:hAnsi="Arial Narrow" w:cs="Times New Roman"/>
                <w:b/>
                <w:bCs/>
              </w:rPr>
            </w:pPr>
            <w:r w:rsidR="00FD3709">
              <w:rPr>
                <w:rFonts w:ascii="Arial Narrow" w:hAnsi="Arial Narrow" w:cs="Times New Roman"/>
                <w:b/>
                <w:bCs/>
              </w:rPr>
              <w:t>6 081</w:t>
            </w:r>
          </w:p>
        </w:tc>
      </w:tr>
      <w:tr>
        <w:tblPrEx>
          <w:tblW w:w="9370" w:type="dxa"/>
          <w:tblInd w:w="-290" w:type="dxa"/>
          <w:tblLayout w:type="fixed"/>
          <w:tblCellMar>
            <w:top w:w="0" w:type="dxa"/>
            <w:left w:w="70" w:type="dxa"/>
            <w:bottom w:w="0" w:type="dxa"/>
            <w:right w:w="70" w:type="dxa"/>
          </w:tblCellMar>
        </w:tblPrEx>
        <w:trPr>
          <w:trHeight w:hRule="auto" w:val="0"/>
        </w:trPr>
        <w:tc>
          <w:tcPr>
            <w:tcW w:w="900" w:type="dxa"/>
            <w:tcBorders>
              <w:top w:val="single" w:sz="8" w:space="0" w:color="auto"/>
              <w:left w:val="single" w:sz="12" w:space="0" w:color="auto"/>
              <w:bottom w:val="single" w:sz="8" w:space="0" w:color="auto"/>
              <w:right w:val="single" w:sz="8" w:space="0" w:color="auto"/>
              <w:tl2br w:val="nil"/>
              <w:tr2bl w:val="nil"/>
            </w:tcBorders>
            <w:textDirection w:val="lrTb"/>
            <w:vAlign w:val="center"/>
          </w:tcPr>
          <w:p w:rsidR="003211C5" w:rsidRPr="00557009" w:rsidP="00C362EA">
            <w:pPr>
              <w:spacing w:line="240" w:lineRule="auto"/>
              <w:rPr>
                <w:rFonts w:ascii="Arial Narrow" w:hAnsi="Arial Narrow" w:cs="Times New Roman"/>
              </w:rPr>
            </w:pPr>
            <w:r w:rsidRPr="00557009">
              <w:rPr>
                <w:rFonts w:ascii="Arial Narrow" w:hAnsi="Arial Narrow" w:cs="Times New Roman"/>
              </w:rPr>
              <w:t> </w:t>
            </w:r>
          </w:p>
        </w:tc>
        <w:tc>
          <w:tcPr>
            <w:tcW w:w="4500" w:type="dxa"/>
            <w:tcBorders>
              <w:top w:val="single" w:sz="8" w:space="0" w:color="auto"/>
              <w:left w:val="single" w:sz="8" w:space="0" w:color="auto"/>
              <w:bottom w:val="single" w:sz="8" w:space="0" w:color="auto"/>
              <w:right w:val="single" w:sz="8" w:space="0" w:color="auto"/>
              <w:tl2br w:val="nil"/>
              <w:tr2bl w:val="nil"/>
            </w:tcBorders>
            <w:textDirection w:val="lrTb"/>
            <w:vAlign w:val="center"/>
          </w:tcPr>
          <w:p w:rsidR="003211C5" w:rsidRPr="00557009" w:rsidP="00C362EA">
            <w:pPr>
              <w:spacing w:line="240" w:lineRule="auto"/>
              <w:rPr>
                <w:rFonts w:ascii="Arial Narrow" w:hAnsi="Arial Narrow" w:cs="Times New Roman"/>
              </w:rPr>
            </w:pPr>
            <w:r w:rsidRPr="00557009">
              <w:rPr>
                <w:rFonts w:ascii="Arial Narrow" w:hAnsi="Arial Narrow" w:cs="Times New Roman"/>
              </w:rPr>
              <w:t>z toho: z prostriedkov EÚ</w:t>
            </w:r>
          </w:p>
        </w:tc>
        <w:tc>
          <w:tcPr>
            <w:tcW w:w="1134" w:type="dxa"/>
            <w:tcBorders>
              <w:top w:val="single" w:sz="8" w:space="0" w:color="auto"/>
              <w:left w:val="single" w:sz="8" w:space="0" w:color="auto"/>
              <w:bottom w:val="single" w:sz="8" w:space="0" w:color="auto"/>
              <w:right w:val="single" w:sz="8" w:space="0" w:color="auto"/>
              <w:tl2br w:val="nil"/>
              <w:tr2bl w:val="nil"/>
            </w:tcBorders>
            <w:textDirection w:val="lrTb"/>
            <w:vAlign w:val="center"/>
          </w:tcPr>
          <w:p w:rsidR="003211C5" w:rsidRPr="00557009" w:rsidP="00C362EA">
            <w:pPr>
              <w:spacing w:line="240" w:lineRule="auto"/>
              <w:jc w:val="right"/>
              <w:rPr>
                <w:rFonts w:ascii="Arial Narrow" w:hAnsi="Arial Narrow" w:cs="Times New Roman"/>
              </w:rPr>
            </w:pPr>
            <w:r w:rsidR="00FD3709">
              <w:rPr>
                <w:rFonts w:ascii="Arial Narrow" w:hAnsi="Arial Narrow" w:cs="Times New Roman"/>
              </w:rPr>
              <w:t>16 775</w:t>
            </w:r>
          </w:p>
        </w:tc>
        <w:tc>
          <w:tcPr>
            <w:tcW w:w="1418" w:type="dxa"/>
            <w:tcBorders>
              <w:top w:val="single" w:sz="8" w:space="0" w:color="auto"/>
              <w:left w:val="single" w:sz="8" w:space="0" w:color="auto"/>
              <w:bottom w:val="single" w:sz="8" w:space="0" w:color="auto"/>
              <w:right w:val="single" w:sz="8" w:space="0" w:color="auto"/>
              <w:tl2br w:val="nil"/>
              <w:tr2bl w:val="nil"/>
            </w:tcBorders>
            <w:textDirection w:val="lrTb"/>
            <w:vAlign w:val="top"/>
          </w:tcPr>
          <w:p w:rsidR="003211C5" w:rsidP="00C362EA">
            <w:pPr>
              <w:spacing w:line="240" w:lineRule="auto"/>
              <w:jc w:val="right"/>
              <w:rPr>
                <w:rFonts w:ascii="Arial Narrow" w:hAnsi="Arial Narrow" w:cs="Times New Roman"/>
              </w:rPr>
            </w:pPr>
            <w:r w:rsidR="00FD3709">
              <w:rPr>
                <w:rFonts w:ascii="Arial Narrow" w:hAnsi="Arial Narrow" w:cs="Times New Roman"/>
              </w:rPr>
              <w:t>16 775</w:t>
            </w:r>
            <w:r w:rsidR="00555177">
              <w:rPr>
                <w:rFonts w:ascii="Arial Narrow" w:hAnsi="Arial Narrow" w:cs="Times New Roman"/>
              </w:rPr>
              <w:t xml:space="preserve"> </w:t>
            </w:r>
          </w:p>
        </w:tc>
        <w:tc>
          <w:tcPr>
            <w:tcW w:w="1418" w:type="dxa"/>
            <w:tcBorders>
              <w:top w:val="single" w:sz="8" w:space="0" w:color="auto"/>
              <w:left w:val="single" w:sz="8" w:space="0" w:color="auto"/>
              <w:bottom w:val="single" w:sz="8" w:space="0" w:color="auto"/>
              <w:right w:val="single" w:sz="12" w:space="0" w:color="auto"/>
              <w:tl2br w:val="nil"/>
              <w:tr2bl w:val="nil"/>
            </w:tcBorders>
            <w:textDirection w:val="lrTb"/>
            <w:vAlign w:val="center"/>
          </w:tcPr>
          <w:p w:rsidR="003211C5" w:rsidRPr="00557009" w:rsidP="00C362EA">
            <w:pPr>
              <w:spacing w:line="240" w:lineRule="auto"/>
              <w:jc w:val="right"/>
              <w:rPr>
                <w:rFonts w:ascii="Arial Narrow" w:hAnsi="Arial Narrow" w:cs="Times New Roman"/>
              </w:rPr>
            </w:pPr>
            <w:r w:rsidR="00FD3709">
              <w:rPr>
                <w:rFonts w:ascii="Arial Narrow" w:hAnsi="Arial Narrow" w:cs="Times New Roman"/>
              </w:rPr>
              <w:t>4 122</w:t>
            </w:r>
          </w:p>
        </w:tc>
      </w:tr>
      <w:tr>
        <w:tblPrEx>
          <w:tblW w:w="9370" w:type="dxa"/>
          <w:tblInd w:w="-290" w:type="dxa"/>
          <w:tblLayout w:type="fixed"/>
          <w:tblCellMar>
            <w:top w:w="0" w:type="dxa"/>
            <w:left w:w="70" w:type="dxa"/>
            <w:bottom w:w="0" w:type="dxa"/>
            <w:right w:w="70" w:type="dxa"/>
          </w:tblCellMar>
        </w:tblPrEx>
        <w:trPr>
          <w:trHeight w:hRule="auto" w:val="0"/>
        </w:trPr>
        <w:tc>
          <w:tcPr>
            <w:tcW w:w="900" w:type="dxa"/>
            <w:tcBorders>
              <w:top w:val="single" w:sz="8" w:space="0" w:color="auto"/>
              <w:left w:val="single" w:sz="12" w:space="0" w:color="auto"/>
              <w:bottom w:val="single" w:sz="8" w:space="0" w:color="auto"/>
              <w:right w:val="single" w:sz="8" w:space="0" w:color="auto"/>
              <w:tl2br w:val="nil"/>
              <w:tr2bl w:val="nil"/>
            </w:tcBorders>
            <w:textDirection w:val="lrTb"/>
            <w:vAlign w:val="center"/>
          </w:tcPr>
          <w:p w:rsidR="003211C5" w:rsidRPr="00557009" w:rsidP="00C362EA">
            <w:pPr>
              <w:spacing w:line="240" w:lineRule="auto"/>
              <w:rPr>
                <w:rFonts w:ascii="Arial Narrow" w:hAnsi="Arial Narrow" w:cs="Times New Roman"/>
              </w:rPr>
            </w:pPr>
            <w:r w:rsidRPr="00557009">
              <w:rPr>
                <w:rFonts w:ascii="Arial Narrow" w:hAnsi="Arial Narrow" w:cs="Times New Roman"/>
              </w:rPr>
              <w:t> </w:t>
            </w:r>
          </w:p>
        </w:tc>
        <w:tc>
          <w:tcPr>
            <w:tcW w:w="4500" w:type="dxa"/>
            <w:tcBorders>
              <w:top w:val="single" w:sz="8" w:space="0" w:color="auto"/>
              <w:left w:val="single" w:sz="8" w:space="0" w:color="auto"/>
              <w:bottom w:val="single" w:sz="8" w:space="0" w:color="auto"/>
              <w:right w:val="single" w:sz="8" w:space="0" w:color="auto"/>
              <w:tl2br w:val="nil"/>
              <w:tr2bl w:val="nil"/>
            </w:tcBorders>
            <w:textDirection w:val="lrTb"/>
            <w:vAlign w:val="center"/>
          </w:tcPr>
          <w:p w:rsidR="003211C5" w:rsidRPr="00557009" w:rsidP="00C362EA">
            <w:pPr>
              <w:spacing w:line="240" w:lineRule="auto"/>
              <w:rPr>
                <w:rFonts w:ascii="Arial Narrow" w:hAnsi="Arial Narrow" w:cs="Times New Roman"/>
              </w:rPr>
            </w:pPr>
            <w:r w:rsidRPr="00557009">
              <w:rPr>
                <w:rFonts w:ascii="Arial Narrow" w:hAnsi="Arial Narrow" w:cs="Times New Roman"/>
              </w:rPr>
              <w:t xml:space="preserve">           z</w:t>
            </w:r>
            <w:r>
              <w:rPr>
                <w:rFonts w:ascii="Arial Narrow" w:hAnsi="Arial Narrow" w:cs="Times New Roman"/>
              </w:rPr>
              <w:t> </w:t>
            </w:r>
            <w:r w:rsidRPr="00557009">
              <w:rPr>
                <w:rFonts w:ascii="Arial Narrow" w:hAnsi="Arial Narrow" w:cs="Times New Roman"/>
              </w:rPr>
              <w:t>prostriedkov spolufinancovania z VPS</w:t>
            </w:r>
          </w:p>
        </w:tc>
        <w:tc>
          <w:tcPr>
            <w:tcW w:w="1134" w:type="dxa"/>
            <w:tcBorders>
              <w:top w:val="single" w:sz="8" w:space="0" w:color="auto"/>
              <w:left w:val="single" w:sz="8" w:space="0" w:color="auto"/>
              <w:bottom w:val="single" w:sz="4" w:space="0" w:color="auto"/>
              <w:right w:val="single" w:sz="8" w:space="0" w:color="auto"/>
              <w:tl2br w:val="nil"/>
              <w:tr2bl w:val="nil"/>
            </w:tcBorders>
            <w:textDirection w:val="lrTb"/>
            <w:vAlign w:val="center"/>
          </w:tcPr>
          <w:p w:rsidR="003211C5" w:rsidRPr="00557009" w:rsidP="00C362EA">
            <w:pPr>
              <w:spacing w:line="240" w:lineRule="auto"/>
              <w:jc w:val="right"/>
              <w:rPr>
                <w:rFonts w:ascii="Arial Narrow" w:hAnsi="Arial Narrow" w:cs="Times New Roman"/>
              </w:rPr>
            </w:pPr>
            <w:r w:rsidR="00FD3709">
              <w:rPr>
                <w:rFonts w:ascii="Arial Narrow" w:hAnsi="Arial Narrow" w:cs="Times New Roman"/>
              </w:rPr>
              <w:t>2 838</w:t>
            </w:r>
          </w:p>
        </w:tc>
        <w:tc>
          <w:tcPr>
            <w:tcW w:w="1418" w:type="dxa"/>
            <w:tcBorders>
              <w:top w:val="single" w:sz="8" w:space="0" w:color="auto"/>
              <w:left w:val="single" w:sz="8" w:space="0" w:color="auto"/>
              <w:bottom w:val="single" w:sz="8" w:space="0" w:color="auto"/>
              <w:right w:val="single" w:sz="8" w:space="0" w:color="auto"/>
              <w:tl2br w:val="nil"/>
              <w:tr2bl w:val="nil"/>
            </w:tcBorders>
            <w:textDirection w:val="lrTb"/>
            <w:vAlign w:val="top"/>
          </w:tcPr>
          <w:p w:rsidR="003211C5" w:rsidP="00C362EA">
            <w:pPr>
              <w:spacing w:line="240" w:lineRule="auto"/>
              <w:jc w:val="right"/>
              <w:rPr>
                <w:rFonts w:ascii="Arial Narrow" w:hAnsi="Arial Narrow" w:cs="Times New Roman"/>
              </w:rPr>
            </w:pPr>
            <w:r w:rsidR="00FD3709">
              <w:rPr>
                <w:rFonts w:ascii="Arial Narrow" w:hAnsi="Arial Narrow" w:cs="Times New Roman"/>
              </w:rPr>
              <w:t>2 629</w:t>
            </w:r>
            <w:r w:rsidR="00555177">
              <w:rPr>
                <w:rFonts w:ascii="Arial Narrow" w:hAnsi="Arial Narrow" w:cs="Times New Roman"/>
              </w:rPr>
              <w:t xml:space="preserve"> </w:t>
            </w:r>
          </w:p>
        </w:tc>
        <w:tc>
          <w:tcPr>
            <w:tcW w:w="1418" w:type="dxa"/>
            <w:tcBorders>
              <w:top w:val="single" w:sz="8" w:space="0" w:color="auto"/>
              <w:left w:val="single" w:sz="8" w:space="0" w:color="auto"/>
              <w:bottom w:val="single" w:sz="8" w:space="0" w:color="auto"/>
              <w:right w:val="single" w:sz="12" w:space="0" w:color="auto"/>
              <w:tl2br w:val="nil"/>
              <w:tr2bl w:val="nil"/>
            </w:tcBorders>
            <w:textDirection w:val="lrTb"/>
            <w:vAlign w:val="center"/>
          </w:tcPr>
          <w:p w:rsidR="003211C5" w:rsidRPr="00557009" w:rsidP="00C362EA">
            <w:pPr>
              <w:spacing w:line="240" w:lineRule="auto"/>
              <w:jc w:val="right"/>
              <w:rPr>
                <w:rFonts w:ascii="Arial Narrow" w:hAnsi="Arial Narrow" w:cs="Times New Roman"/>
              </w:rPr>
            </w:pPr>
            <w:r w:rsidR="00FD3709">
              <w:rPr>
                <w:rFonts w:ascii="Arial Narrow" w:hAnsi="Arial Narrow" w:cs="Times New Roman"/>
              </w:rPr>
              <w:t>1 959</w:t>
            </w:r>
          </w:p>
        </w:tc>
      </w:tr>
      <w:tr>
        <w:tblPrEx>
          <w:tblW w:w="9370" w:type="dxa"/>
          <w:tblInd w:w="-290" w:type="dxa"/>
          <w:tblLayout w:type="fixed"/>
          <w:tblCellMar>
            <w:top w:w="0" w:type="dxa"/>
            <w:left w:w="70" w:type="dxa"/>
            <w:bottom w:w="0" w:type="dxa"/>
            <w:right w:w="70" w:type="dxa"/>
          </w:tblCellMar>
        </w:tblPrEx>
        <w:trPr>
          <w:trHeight w:hRule="auto" w:val="0"/>
        </w:trPr>
        <w:tc>
          <w:tcPr>
            <w:tcW w:w="900" w:type="dxa"/>
            <w:tcBorders>
              <w:top w:val="single" w:sz="8" w:space="0" w:color="auto"/>
              <w:left w:val="single" w:sz="12" w:space="0" w:color="auto"/>
              <w:bottom w:val="single" w:sz="8" w:space="0" w:color="auto"/>
              <w:right w:val="single" w:sz="8" w:space="0" w:color="auto"/>
              <w:tl2br w:val="nil"/>
              <w:tr2bl w:val="nil"/>
            </w:tcBorders>
            <w:textDirection w:val="lrTb"/>
            <w:vAlign w:val="center"/>
          </w:tcPr>
          <w:p w:rsidR="003211C5" w:rsidRPr="00557009" w:rsidP="00C362EA">
            <w:pPr>
              <w:spacing w:line="240" w:lineRule="auto"/>
              <w:rPr>
                <w:rFonts w:ascii="Arial Narrow" w:hAnsi="Arial Narrow" w:cs="Times New Roman"/>
              </w:rPr>
            </w:pPr>
            <w:r>
              <w:rPr>
                <w:rFonts w:ascii="Arial Narrow" w:hAnsi="Arial Narrow" w:cs="Times New Roman"/>
              </w:rPr>
              <w:t>0530303</w:t>
            </w:r>
          </w:p>
        </w:tc>
        <w:tc>
          <w:tcPr>
            <w:tcW w:w="4500" w:type="dxa"/>
            <w:tcBorders>
              <w:top w:val="single" w:sz="8" w:space="0" w:color="auto"/>
              <w:left w:val="single" w:sz="8" w:space="0" w:color="auto"/>
              <w:bottom w:val="single" w:sz="8" w:space="0" w:color="auto"/>
              <w:right w:val="single" w:sz="8" w:space="0" w:color="auto"/>
              <w:tl2br w:val="nil"/>
              <w:tr2bl w:val="nil"/>
            </w:tcBorders>
            <w:textDirection w:val="lrTb"/>
            <w:vAlign w:val="center"/>
          </w:tcPr>
          <w:p w:rsidR="003211C5" w:rsidRPr="00557009" w:rsidP="00C362EA">
            <w:pPr>
              <w:spacing w:line="240" w:lineRule="auto"/>
              <w:rPr>
                <w:rFonts w:ascii="Arial Narrow" w:hAnsi="Arial Narrow" w:cs="Times New Roman"/>
              </w:rPr>
            </w:pPr>
            <w:r>
              <w:rPr>
                <w:rFonts w:ascii="Arial Narrow" w:hAnsi="Arial Narrow" w:cs="Times New Roman"/>
              </w:rPr>
              <w:t xml:space="preserve">Technická </w:t>
            </w:r>
            <w:r w:rsidRPr="00557009">
              <w:rPr>
                <w:rFonts w:ascii="Arial Narrow" w:hAnsi="Arial Narrow" w:cs="Times New Roman"/>
              </w:rPr>
              <w:t>pomoc pr</w:t>
            </w:r>
            <w:r>
              <w:rPr>
                <w:rFonts w:ascii="Arial Narrow" w:hAnsi="Arial Narrow" w:cs="Times New Roman"/>
              </w:rPr>
              <w:t xml:space="preserve">e prípravu dop. projektov-cest. </w:t>
            </w:r>
            <w:r w:rsidRPr="00557009">
              <w:rPr>
                <w:rFonts w:ascii="Arial Narrow" w:hAnsi="Arial Narrow" w:cs="Times New Roman"/>
              </w:rPr>
              <w:t>projekty</w:t>
            </w:r>
          </w:p>
        </w:tc>
        <w:tc>
          <w:tcPr>
            <w:tcW w:w="1134" w:type="dxa"/>
            <w:tcBorders>
              <w:top w:val="single" w:sz="8" w:space="0" w:color="auto"/>
              <w:left w:val="single" w:sz="8" w:space="0" w:color="auto"/>
              <w:bottom w:val="single" w:sz="8" w:space="0" w:color="auto"/>
              <w:right w:val="single" w:sz="8" w:space="0" w:color="auto"/>
              <w:tl2br w:val="nil"/>
              <w:tr2bl w:val="nil"/>
            </w:tcBorders>
            <w:textDirection w:val="lrTb"/>
            <w:vAlign w:val="center"/>
          </w:tcPr>
          <w:p w:rsidR="003211C5" w:rsidRPr="00557009" w:rsidP="00C362EA">
            <w:pPr>
              <w:spacing w:line="240" w:lineRule="auto"/>
              <w:jc w:val="right"/>
              <w:rPr>
                <w:rFonts w:ascii="Arial Narrow" w:hAnsi="Arial Narrow" w:cs="Times New Roman"/>
              </w:rPr>
            </w:pPr>
            <w:r w:rsidR="00A91B9B">
              <w:rPr>
                <w:rFonts w:ascii="Arial Narrow" w:hAnsi="Arial Narrow" w:cs="Times New Roman"/>
              </w:rPr>
              <w:t>8 262</w:t>
            </w:r>
          </w:p>
        </w:tc>
        <w:tc>
          <w:tcPr>
            <w:tcW w:w="1418" w:type="dxa"/>
            <w:tcBorders>
              <w:top w:val="single" w:sz="8" w:space="0" w:color="auto"/>
              <w:left w:val="single" w:sz="8" w:space="0" w:color="auto"/>
              <w:bottom w:val="single" w:sz="8" w:space="0" w:color="auto"/>
              <w:right w:val="single" w:sz="8" w:space="0" w:color="auto"/>
              <w:tl2br w:val="nil"/>
              <w:tr2bl w:val="nil"/>
            </w:tcBorders>
            <w:textDirection w:val="lrTb"/>
            <w:vAlign w:val="top"/>
          </w:tcPr>
          <w:p w:rsidR="003211C5" w:rsidP="00C362EA">
            <w:pPr>
              <w:spacing w:line="240" w:lineRule="auto"/>
              <w:jc w:val="right"/>
              <w:rPr>
                <w:rFonts w:ascii="Arial Narrow" w:hAnsi="Arial Narrow" w:cs="Times New Roman"/>
              </w:rPr>
            </w:pPr>
            <w:r w:rsidR="00A91B9B">
              <w:rPr>
                <w:rFonts w:ascii="Arial Narrow" w:hAnsi="Arial Narrow" w:cs="Times New Roman"/>
              </w:rPr>
              <w:t>8 262</w:t>
            </w:r>
          </w:p>
        </w:tc>
        <w:tc>
          <w:tcPr>
            <w:tcW w:w="1418" w:type="dxa"/>
            <w:tcBorders>
              <w:top w:val="single" w:sz="8" w:space="0" w:color="auto"/>
              <w:left w:val="single" w:sz="8" w:space="0" w:color="auto"/>
              <w:bottom w:val="single" w:sz="8" w:space="0" w:color="auto"/>
              <w:right w:val="single" w:sz="12" w:space="0" w:color="auto"/>
              <w:tl2br w:val="nil"/>
              <w:tr2bl w:val="nil"/>
            </w:tcBorders>
            <w:textDirection w:val="lrTb"/>
            <w:vAlign w:val="center"/>
          </w:tcPr>
          <w:p w:rsidR="003211C5" w:rsidRPr="00557009" w:rsidP="00C362EA">
            <w:pPr>
              <w:spacing w:line="240" w:lineRule="auto"/>
              <w:jc w:val="right"/>
              <w:rPr>
                <w:rFonts w:ascii="Arial Narrow" w:hAnsi="Arial Narrow" w:cs="Times New Roman"/>
              </w:rPr>
            </w:pPr>
            <w:r w:rsidR="00A91B9B">
              <w:rPr>
                <w:rFonts w:ascii="Arial Narrow" w:hAnsi="Arial Narrow" w:cs="Times New Roman"/>
              </w:rPr>
              <w:t>0</w:t>
            </w:r>
          </w:p>
        </w:tc>
      </w:tr>
      <w:tr>
        <w:tblPrEx>
          <w:tblW w:w="9370" w:type="dxa"/>
          <w:tblInd w:w="-290" w:type="dxa"/>
          <w:tblLayout w:type="fixed"/>
          <w:tblCellMar>
            <w:top w:w="0" w:type="dxa"/>
            <w:left w:w="70" w:type="dxa"/>
            <w:bottom w:w="0" w:type="dxa"/>
            <w:right w:w="70" w:type="dxa"/>
          </w:tblCellMar>
        </w:tblPrEx>
        <w:trPr>
          <w:trHeight w:hRule="auto" w:val="0"/>
        </w:trPr>
        <w:tc>
          <w:tcPr>
            <w:tcW w:w="900" w:type="dxa"/>
            <w:tcBorders>
              <w:top w:val="single" w:sz="8" w:space="0" w:color="auto"/>
              <w:left w:val="single" w:sz="12" w:space="0" w:color="auto"/>
              <w:bottom w:val="single" w:sz="8" w:space="0" w:color="auto"/>
              <w:right w:val="single" w:sz="8" w:space="0" w:color="auto"/>
              <w:tl2br w:val="nil"/>
              <w:tr2bl w:val="nil"/>
            </w:tcBorders>
            <w:textDirection w:val="lrTb"/>
            <w:vAlign w:val="center"/>
          </w:tcPr>
          <w:p w:rsidR="003211C5" w:rsidRPr="00557009" w:rsidP="00C362EA">
            <w:pPr>
              <w:spacing w:line="240" w:lineRule="auto"/>
              <w:rPr>
                <w:rFonts w:ascii="Arial Narrow" w:hAnsi="Arial Narrow" w:cs="Times New Roman"/>
              </w:rPr>
            </w:pPr>
            <w:r w:rsidRPr="00557009">
              <w:rPr>
                <w:rFonts w:ascii="Arial Narrow" w:hAnsi="Arial Narrow" w:cs="Times New Roman"/>
              </w:rPr>
              <w:t> </w:t>
            </w:r>
          </w:p>
        </w:tc>
        <w:tc>
          <w:tcPr>
            <w:tcW w:w="4500" w:type="dxa"/>
            <w:tcBorders>
              <w:top w:val="single" w:sz="8" w:space="0" w:color="auto"/>
              <w:left w:val="single" w:sz="8" w:space="0" w:color="auto"/>
              <w:bottom w:val="single" w:sz="8" w:space="0" w:color="auto"/>
              <w:right w:val="single" w:sz="8" w:space="0" w:color="auto"/>
              <w:tl2br w:val="nil"/>
              <w:tr2bl w:val="nil"/>
            </w:tcBorders>
            <w:textDirection w:val="lrTb"/>
            <w:vAlign w:val="center"/>
          </w:tcPr>
          <w:p w:rsidR="003211C5" w:rsidRPr="00557009" w:rsidP="00C362EA">
            <w:pPr>
              <w:spacing w:line="240" w:lineRule="auto"/>
              <w:rPr>
                <w:rFonts w:ascii="Arial Narrow" w:hAnsi="Arial Narrow" w:cs="Times New Roman"/>
              </w:rPr>
            </w:pPr>
            <w:r w:rsidRPr="00557009">
              <w:rPr>
                <w:rFonts w:ascii="Arial Narrow" w:hAnsi="Arial Narrow" w:cs="Times New Roman"/>
              </w:rPr>
              <w:t>z toho: z</w:t>
            </w:r>
            <w:r>
              <w:rPr>
                <w:rFonts w:ascii="Arial Narrow" w:hAnsi="Arial Narrow" w:cs="Times New Roman"/>
              </w:rPr>
              <w:t> </w:t>
            </w:r>
            <w:r w:rsidRPr="00557009">
              <w:rPr>
                <w:rFonts w:ascii="Arial Narrow" w:hAnsi="Arial Narrow" w:cs="Times New Roman"/>
              </w:rPr>
              <w:t>prostriedkov EÚ</w:t>
            </w:r>
          </w:p>
        </w:tc>
        <w:tc>
          <w:tcPr>
            <w:tcW w:w="1134" w:type="dxa"/>
            <w:tcBorders>
              <w:top w:val="single" w:sz="8" w:space="0" w:color="auto"/>
              <w:left w:val="single" w:sz="8" w:space="0" w:color="auto"/>
              <w:bottom w:val="single" w:sz="8" w:space="0" w:color="auto"/>
              <w:right w:val="single" w:sz="8" w:space="0" w:color="auto"/>
              <w:tl2br w:val="nil"/>
              <w:tr2bl w:val="nil"/>
            </w:tcBorders>
            <w:textDirection w:val="lrTb"/>
            <w:vAlign w:val="center"/>
          </w:tcPr>
          <w:p w:rsidR="003211C5" w:rsidRPr="00557009" w:rsidP="00C362EA">
            <w:pPr>
              <w:spacing w:line="240" w:lineRule="auto"/>
              <w:jc w:val="right"/>
              <w:rPr>
                <w:rFonts w:ascii="Arial Narrow" w:hAnsi="Arial Narrow" w:cs="Times New Roman"/>
              </w:rPr>
            </w:pPr>
            <w:r w:rsidR="00A91B9B">
              <w:rPr>
                <w:rFonts w:ascii="Arial Narrow" w:hAnsi="Arial Narrow" w:cs="Times New Roman"/>
              </w:rPr>
              <w:t>8 262</w:t>
            </w:r>
          </w:p>
        </w:tc>
        <w:tc>
          <w:tcPr>
            <w:tcW w:w="1418" w:type="dxa"/>
            <w:tcBorders>
              <w:top w:val="single" w:sz="8" w:space="0" w:color="auto"/>
              <w:left w:val="single" w:sz="8" w:space="0" w:color="auto"/>
              <w:bottom w:val="single" w:sz="8" w:space="0" w:color="auto"/>
              <w:right w:val="single" w:sz="8" w:space="0" w:color="auto"/>
              <w:tl2br w:val="nil"/>
              <w:tr2bl w:val="nil"/>
            </w:tcBorders>
            <w:textDirection w:val="lrTb"/>
            <w:vAlign w:val="top"/>
          </w:tcPr>
          <w:p w:rsidR="003211C5" w:rsidP="00C362EA">
            <w:pPr>
              <w:spacing w:line="240" w:lineRule="auto"/>
              <w:jc w:val="right"/>
              <w:rPr>
                <w:rFonts w:ascii="Arial Narrow" w:hAnsi="Arial Narrow" w:cs="Times New Roman"/>
              </w:rPr>
            </w:pPr>
            <w:r w:rsidR="00A91B9B">
              <w:rPr>
                <w:rFonts w:ascii="Arial Narrow" w:hAnsi="Arial Narrow" w:cs="Times New Roman"/>
              </w:rPr>
              <w:t>8 262</w:t>
            </w:r>
          </w:p>
        </w:tc>
        <w:tc>
          <w:tcPr>
            <w:tcW w:w="1418" w:type="dxa"/>
            <w:tcBorders>
              <w:top w:val="single" w:sz="8" w:space="0" w:color="auto"/>
              <w:left w:val="single" w:sz="8" w:space="0" w:color="auto"/>
              <w:bottom w:val="single" w:sz="8" w:space="0" w:color="auto"/>
              <w:right w:val="single" w:sz="12" w:space="0" w:color="auto"/>
              <w:tl2br w:val="nil"/>
              <w:tr2bl w:val="nil"/>
            </w:tcBorders>
            <w:textDirection w:val="lrTb"/>
            <w:vAlign w:val="center"/>
          </w:tcPr>
          <w:p w:rsidR="003211C5" w:rsidRPr="00557009" w:rsidP="00C362EA">
            <w:pPr>
              <w:spacing w:line="240" w:lineRule="auto"/>
              <w:jc w:val="right"/>
              <w:rPr>
                <w:rFonts w:ascii="Arial Narrow" w:hAnsi="Arial Narrow" w:cs="Times New Roman"/>
              </w:rPr>
            </w:pPr>
            <w:r w:rsidR="00A91B9B">
              <w:rPr>
                <w:rFonts w:ascii="Arial Narrow" w:hAnsi="Arial Narrow" w:cs="Times New Roman"/>
              </w:rPr>
              <w:t>0</w:t>
            </w:r>
          </w:p>
        </w:tc>
      </w:tr>
      <w:tr>
        <w:tblPrEx>
          <w:tblW w:w="9370" w:type="dxa"/>
          <w:tblInd w:w="-290" w:type="dxa"/>
          <w:tblLayout w:type="fixed"/>
          <w:tblCellMar>
            <w:top w:w="0" w:type="dxa"/>
            <w:left w:w="70" w:type="dxa"/>
            <w:bottom w:w="0" w:type="dxa"/>
            <w:right w:w="70" w:type="dxa"/>
          </w:tblCellMar>
        </w:tblPrEx>
        <w:trPr>
          <w:trHeight w:hRule="auto" w:val="0"/>
        </w:trPr>
        <w:tc>
          <w:tcPr>
            <w:tcW w:w="900" w:type="dxa"/>
            <w:tcBorders>
              <w:top w:val="single" w:sz="8" w:space="0" w:color="auto"/>
              <w:left w:val="single" w:sz="12" w:space="0" w:color="auto"/>
              <w:bottom w:val="single" w:sz="8" w:space="0" w:color="auto"/>
              <w:right w:val="single" w:sz="8" w:space="0" w:color="auto"/>
              <w:tl2br w:val="nil"/>
              <w:tr2bl w:val="nil"/>
            </w:tcBorders>
            <w:textDirection w:val="lrTb"/>
            <w:vAlign w:val="center"/>
          </w:tcPr>
          <w:p w:rsidR="003211C5" w:rsidRPr="00557009" w:rsidP="00C362EA">
            <w:pPr>
              <w:spacing w:line="240" w:lineRule="auto"/>
              <w:rPr>
                <w:rFonts w:ascii="Arial Narrow" w:hAnsi="Arial Narrow" w:cs="Times New Roman"/>
              </w:rPr>
            </w:pPr>
            <w:r w:rsidRPr="00557009">
              <w:rPr>
                <w:rFonts w:ascii="Arial Narrow" w:hAnsi="Arial Narrow" w:cs="Times New Roman"/>
              </w:rPr>
              <w:t> </w:t>
            </w:r>
          </w:p>
        </w:tc>
        <w:tc>
          <w:tcPr>
            <w:tcW w:w="4500" w:type="dxa"/>
            <w:tcBorders>
              <w:top w:val="single" w:sz="8" w:space="0" w:color="auto"/>
              <w:left w:val="single" w:sz="8" w:space="0" w:color="auto"/>
              <w:bottom w:val="single" w:sz="8" w:space="0" w:color="auto"/>
              <w:right w:val="single" w:sz="8" w:space="0" w:color="auto"/>
              <w:tl2br w:val="nil"/>
              <w:tr2bl w:val="nil"/>
            </w:tcBorders>
            <w:textDirection w:val="lrTb"/>
            <w:vAlign w:val="center"/>
          </w:tcPr>
          <w:p w:rsidR="003211C5" w:rsidRPr="00557009" w:rsidP="00C362EA">
            <w:pPr>
              <w:spacing w:line="240" w:lineRule="auto"/>
              <w:rPr>
                <w:rFonts w:ascii="Arial Narrow" w:hAnsi="Arial Narrow" w:cs="Times New Roman"/>
              </w:rPr>
            </w:pPr>
            <w:r w:rsidRPr="00557009">
              <w:rPr>
                <w:rFonts w:ascii="Arial Narrow" w:hAnsi="Arial Narrow" w:cs="Times New Roman"/>
              </w:rPr>
              <w:t xml:space="preserve">           z</w:t>
            </w:r>
            <w:r>
              <w:rPr>
                <w:rFonts w:ascii="Arial Narrow" w:hAnsi="Arial Narrow" w:cs="Times New Roman"/>
              </w:rPr>
              <w:t> </w:t>
            </w:r>
            <w:r w:rsidRPr="00557009">
              <w:rPr>
                <w:rFonts w:ascii="Arial Narrow" w:hAnsi="Arial Narrow" w:cs="Times New Roman"/>
              </w:rPr>
              <w:t>prostriedkov spolufinancovania z</w:t>
            </w:r>
            <w:r>
              <w:rPr>
                <w:rFonts w:ascii="Arial Narrow" w:hAnsi="Arial Narrow" w:cs="Times New Roman"/>
              </w:rPr>
              <w:t> </w:t>
            </w:r>
            <w:r w:rsidRPr="00557009">
              <w:rPr>
                <w:rFonts w:ascii="Arial Narrow" w:hAnsi="Arial Narrow" w:cs="Times New Roman"/>
              </w:rPr>
              <w:t>VPS</w:t>
            </w:r>
          </w:p>
        </w:tc>
        <w:tc>
          <w:tcPr>
            <w:tcW w:w="1134" w:type="dxa"/>
            <w:tcBorders>
              <w:top w:val="single" w:sz="8" w:space="0" w:color="auto"/>
              <w:left w:val="single" w:sz="8" w:space="0" w:color="auto"/>
              <w:bottom w:val="single" w:sz="8" w:space="0" w:color="auto"/>
              <w:right w:val="single" w:sz="8" w:space="0" w:color="auto"/>
              <w:tl2br w:val="nil"/>
              <w:tr2bl w:val="nil"/>
            </w:tcBorders>
            <w:textDirection w:val="lrTb"/>
            <w:vAlign w:val="center"/>
          </w:tcPr>
          <w:p w:rsidR="003211C5" w:rsidRPr="00557009" w:rsidP="00C362EA">
            <w:pPr>
              <w:spacing w:line="240" w:lineRule="auto"/>
              <w:jc w:val="right"/>
              <w:rPr>
                <w:rFonts w:ascii="Arial Narrow" w:hAnsi="Arial Narrow" w:cs="Times New Roman"/>
              </w:rPr>
            </w:pPr>
            <w:r>
              <w:rPr>
                <w:rFonts w:ascii="Arial Narrow" w:hAnsi="Arial Narrow" w:cs="Times New Roman"/>
              </w:rPr>
              <w:t>0</w:t>
            </w:r>
          </w:p>
        </w:tc>
        <w:tc>
          <w:tcPr>
            <w:tcW w:w="1418" w:type="dxa"/>
            <w:tcBorders>
              <w:top w:val="single" w:sz="8" w:space="0" w:color="auto"/>
              <w:left w:val="single" w:sz="8" w:space="0" w:color="auto"/>
              <w:bottom w:val="single" w:sz="8" w:space="0" w:color="auto"/>
              <w:right w:val="single" w:sz="8" w:space="0" w:color="auto"/>
              <w:tl2br w:val="nil"/>
              <w:tr2bl w:val="nil"/>
            </w:tcBorders>
            <w:textDirection w:val="lrTb"/>
            <w:vAlign w:val="top"/>
          </w:tcPr>
          <w:p w:rsidR="003211C5" w:rsidP="00C362EA">
            <w:pPr>
              <w:spacing w:line="240" w:lineRule="auto"/>
              <w:jc w:val="right"/>
              <w:rPr>
                <w:rFonts w:ascii="Arial Narrow" w:hAnsi="Arial Narrow" w:cs="Times New Roman"/>
              </w:rPr>
            </w:pPr>
            <w:r>
              <w:rPr>
                <w:rFonts w:ascii="Arial Narrow" w:hAnsi="Arial Narrow" w:cs="Times New Roman"/>
              </w:rPr>
              <w:t>0</w:t>
            </w:r>
          </w:p>
        </w:tc>
        <w:tc>
          <w:tcPr>
            <w:tcW w:w="1418" w:type="dxa"/>
            <w:tcBorders>
              <w:top w:val="single" w:sz="8" w:space="0" w:color="auto"/>
              <w:left w:val="single" w:sz="8" w:space="0" w:color="auto"/>
              <w:bottom w:val="single" w:sz="8" w:space="0" w:color="auto"/>
              <w:right w:val="single" w:sz="12" w:space="0" w:color="auto"/>
              <w:tl2br w:val="nil"/>
              <w:tr2bl w:val="nil"/>
            </w:tcBorders>
            <w:textDirection w:val="lrTb"/>
            <w:vAlign w:val="center"/>
          </w:tcPr>
          <w:p w:rsidR="003211C5" w:rsidRPr="00557009" w:rsidP="00C362EA">
            <w:pPr>
              <w:spacing w:line="240" w:lineRule="auto"/>
              <w:jc w:val="right"/>
              <w:rPr>
                <w:rFonts w:ascii="Arial Narrow" w:hAnsi="Arial Narrow" w:cs="Times New Roman"/>
              </w:rPr>
            </w:pPr>
            <w:r w:rsidR="00555177">
              <w:rPr>
                <w:rFonts w:ascii="Arial Narrow" w:hAnsi="Arial Narrow" w:cs="Times New Roman"/>
              </w:rPr>
              <w:t>0</w:t>
            </w:r>
          </w:p>
        </w:tc>
      </w:tr>
      <w:tr>
        <w:tblPrEx>
          <w:tblW w:w="9370" w:type="dxa"/>
          <w:tblInd w:w="-290" w:type="dxa"/>
          <w:tblLayout w:type="fixed"/>
          <w:tblCellMar>
            <w:top w:w="0" w:type="dxa"/>
            <w:left w:w="70" w:type="dxa"/>
            <w:bottom w:w="0" w:type="dxa"/>
            <w:right w:w="70" w:type="dxa"/>
          </w:tblCellMar>
        </w:tblPrEx>
        <w:trPr>
          <w:trHeight w:hRule="auto" w:val="0"/>
        </w:trPr>
        <w:tc>
          <w:tcPr>
            <w:tcW w:w="900" w:type="dxa"/>
            <w:tcBorders>
              <w:top w:val="single" w:sz="8" w:space="0" w:color="auto"/>
              <w:left w:val="single" w:sz="12" w:space="0" w:color="auto"/>
              <w:bottom w:val="single" w:sz="8" w:space="0" w:color="auto"/>
              <w:right w:val="single" w:sz="8" w:space="0" w:color="auto"/>
              <w:tl2br w:val="nil"/>
              <w:tr2bl w:val="nil"/>
            </w:tcBorders>
            <w:textDirection w:val="lrTb"/>
            <w:vAlign w:val="center"/>
          </w:tcPr>
          <w:p w:rsidR="003211C5" w:rsidRPr="00557009" w:rsidP="00C362EA">
            <w:pPr>
              <w:spacing w:line="240" w:lineRule="auto"/>
              <w:rPr>
                <w:rFonts w:ascii="Arial Narrow" w:hAnsi="Arial Narrow" w:cs="Times New Roman"/>
              </w:rPr>
            </w:pPr>
            <w:r>
              <w:rPr>
                <w:rFonts w:ascii="Arial Narrow" w:hAnsi="Arial Narrow" w:cs="Times New Roman"/>
              </w:rPr>
              <w:t>0530307</w:t>
            </w:r>
          </w:p>
        </w:tc>
        <w:tc>
          <w:tcPr>
            <w:tcW w:w="4500" w:type="dxa"/>
            <w:tcBorders>
              <w:top w:val="single" w:sz="8" w:space="0" w:color="auto"/>
              <w:left w:val="single" w:sz="8" w:space="0" w:color="auto"/>
              <w:bottom w:val="single" w:sz="8" w:space="0" w:color="auto"/>
              <w:right w:val="single" w:sz="8" w:space="0" w:color="auto"/>
              <w:tl2br w:val="nil"/>
              <w:tr2bl w:val="nil"/>
            </w:tcBorders>
            <w:textDirection w:val="lrTb"/>
            <w:vAlign w:val="center"/>
          </w:tcPr>
          <w:p w:rsidR="003211C5" w:rsidRPr="00557009" w:rsidP="00C362EA">
            <w:pPr>
              <w:spacing w:line="240" w:lineRule="auto"/>
              <w:rPr>
                <w:rFonts w:ascii="Arial Narrow" w:hAnsi="Arial Narrow" w:cs="Times New Roman"/>
              </w:rPr>
            </w:pPr>
            <w:r>
              <w:rPr>
                <w:rFonts w:ascii="Arial Narrow" w:hAnsi="Arial Narrow" w:cs="Times New Roman"/>
              </w:rPr>
              <w:t xml:space="preserve">Odb. pomoc pre implement. </w:t>
            </w:r>
            <w:r w:rsidRPr="00557009">
              <w:rPr>
                <w:rFonts w:ascii="Arial Narrow" w:hAnsi="Arial Narrow" w:cs="Times New Roman"/>
              </w:rPr>
              <w:t>dop</w:t>
            </w:r>
            <w:r>
              <w:rPr>
                <w:rFonts w:ascii="Arial Narrow" w:hAnsi="Arial Narrow" w:cs="Times New Roman"/>
              </w:rPr>
              <w:t>r. projekt. spolufin. z EÚ</w:t>
            </w:r>
          </w:p>
        </w:tc>
        <w:tc>
          <w:tcPr>
            <w:tcW w:w="1134" w:type="dxa"/>
            <w:tcBorders>
              <w:top w:val="single" w:sz="8" w:space="0" w:color="auto"/>
              <w:left w:val="single" w:sz="8" w:space="0" w:color="auto"/>
              <w:bottom w:val="single" w:sz="8" w:space="0" w:color="auto"/>
              <w:right w:val="single" w:sz="8" w:space="0" w:color="auto"/>
              <w:tl2br w:val="nil"/>
              <w:tr2bl w:val="nil"/>
            </w:tcBorders>
            <w:textDirection w:val="lrTb"/>
            <w:vAlign w:val="center"/>
          </w:tcPr>
          <w:p w:rsidR="003211C5" w:rsidRPr="00557009" w:rsidP="00C362EA">
            <w:pPr>
              <w:spacing w:line="240" w:lineRule="auto"/>
              <w:jc w:val="right"/>
              <w:rPr>
                <w:rFonts w:ascii="Arial Narrow" w:hAnsi="Arial Narrow" w:cs="Times New Roman"/>
              </w:rPr>
            </w:pPr>
            <w:r w:rsidR="00A91B9B">
              <w:rPr>
                <w:rFonts w:ascii="Arial Narrow" w:hAnsi="Arial Narrow" w:cs="Times New Roman"/>
              </w:rPr>
              <w:t>11 351</w:t>
            </w:r>
          </w:p>
        </w:tc>
        <w:tc>
          <w:tcPr>
            <w:tcW w:w="1418" w:type="dxa"/>
            <w:tcBorders>
              <w:top w:val="single" w:sz="8" w:space="0" w:color="auto"/>
              <w:left w:val="single" w:sz="8" w:space="0" w:color="auto"/>
              <w:bottom w:val="single" w:sz="8" w:space="0" w:color="auto"/>
              <w:right w:val="single" w:sz="8" w:space="0" w:color="auto"/>
              <w:tl2br w:val="nil"/>
              <w:tr2bl w:val="nil"/>
            </w:tcBorders>
            <w:textDirection w:val="lrTb"/>
            <w:vAlign w:val="top"/>
          </w:tcPr>
          <w:p w:rsidR="003211C5" w:rsidP="00C362EA">
            <w:pPr>
              <w:spacing w:line="240" w:lineRule="auto"/>
              <w:jc w:val="right"/>
              <w:rPr>
                <w:rFonts w:ascii="Arial Narrow" w:hAnsi="Arial Narrow" w:cs="Times New Roman"/>
              </w:rPr>
            </w:pPr>
            <w:r w:rsidR="00A91B9B">
              <w:rPr>
                <w:rFonts w:ascii="Arial Narrow" w:hAnsi="Arial Narrow" w:cs="Times New Roman"/>
              </w:rPr>
              <w:t>11 142</w:t>
            </w:r>
            <w:r w:rsidR="00980978">
              <w:rPr>
                <w:rFonts w:ascii="Arial Narrow" w:hAnsi="Arial Narrow" w:cs="Times New Roman"/>
              </w:rPr>
              <w:t xml:space="preserve"> </w:t>
            </w:r>
            <w:r>
              <w:rPr>
                <w:rFonts w:ascii="Arial Narrow" w:hAnsi="Arial Narrow" w:cs="Times New Roman"/>
              </w:rPr>
              <w:t xml:space="preserve"> </w:t>
            </w:r>
          </w:p>
        </w:tc>
        <w:tc>
          <w:tcPr>
            <w:tcW w:w="1418" w:type="dxa"/>
            <w:tcBorders>
              <w:top w:val="single" w:sz="8" w:space="0" w:color="auto"/>
              <w:left w:val="single" w:sz="8" w:space="0" w:color="auto"/>
              <w:bottom w:val="single" w:sz="8" w:space="0" w:color="auto"/>
              <w:right w:val="single" w:sz="12" w:space="0" w:color="auto"/>
              <w:tl2br w:val="nil"/>
              <w:tr2bl w:val="nil"/>
            </w:tcBorders>
            <w:textDirection w:val="lrTb"/>
            <w:vAlign w:val="center"/>
          </w:tcPr>
          <w:p w:rsidR="003211C5" w:rsidRPr="00557009" w:rsidP="00C362EA">
            <w:pPr>
              <w:spacing w:line="240" w:lineRule="auto"/>
              <w:jc w:val="right"/>
              <w:rPr>
                <w:rFonts w:ascii="Arial Narrow" w:hAnsi="Arial Narrow" w:cs="Times New Roman"/>
              </w:rPr>
            </w:pPr>
            <w:r w:rsidR="00A91B9B">
              <w:rPr>
                <w:rFonts w:ascii="Arial Narrow" w:hAnsi="Arial Narrow" w:cs="Times New Roman"/>
              </w:rPr>
              <w:t>0</w:t>
            </w:r>
          </w:p>
        </w:tc>
      </w:tr>
      <w:tr>
        <w:tblPrEx>
          <w:tblW w:w="9370" w:type="dxa"/>
          <w:tblInd w:w="-290" w:type="dxa"/>
          <w:tblLayout w:type="fixed"/>
          <w:tblCellMar>
            <w:top w:w="0" w:type="dxa"/>
            <w:left w:w="70" w:type="dxa"/>
            <w:bottom w:w="0" w:type="dxa"/>
            <w:right w:w="70" w:type="dxa"/>
          </w:tblCellMar>
        </w:tblPrEx>
        <w:trPr>
          <w:trHeight w:hRule="auto" w:val="0"/>
        </w:trPr>
        <w:tc>
          <w:tcPr>
            <w:tcW w:w="900" w:type="dxa"/>
            <w:tcBorders>
              <w:top w:val="single" w:sz="8" w:space="0" w:color="auto"/>
              <w:left w:val="single" w:sz="12" w:space="0" w:color="auto"/>
              <w:bottom w:val="single" w:sz="8" w:space="0" w:color="auto"/>
              <w:right w:val="single" w:sz="8" w:space="0" w:color="auto"/>
              <w:tl2br w:val="nil"/>
              <w:tr2bl w:val="nil"/>
            </w:tcBorders>
            <w:textDirection w:val="lrTb"/>
            <w:vAlign w:val="center"/>
          </w:tcPr>
          <w:p w:rsidR="003211C5" w:rsidRPr="00557009" w:rsidP="00C362EA">
            <w:pPr>
              <w:spacing w:line="240" w:lineRule="auto"/>
              <w:rPr>
                <w:rFonts w:ascii="Arial Narrow" w:hAnsi="Arial Narrow" w:cs="Times New Roman"/>
              </w:rPr>
            </w:pPr>
            <w:r w:rsidRPr="00557009">
              <w:rPr>
                <w:rFonts w:ascii="Arial Narrow" w:hAnsi="Arial Narrow" w:cs="Times New Roman"/>
              </w:rPr>
              <w:t> </w:t>
            </w:r>
          </w:p>
        </w:tc>
        <w:tc>
          <w:tcPr>
            <w:tcW w:w="4500" w:type="dxa"/>
            <w:tcBorders>
              <w:top w:val="single" w:sz="8" w:space="0" w:color="auto"/>
              <w:left w:val="single" w:sz="8" w:space="0" w:color="auto"/>
              <w:bottom w:val="single" w:sz="8" w:space="0" w:color="auto"/>
              <w:right w:val="single" w:sz="8" w:space="0" w:color="auto"/>
              <w:tl2br w:val="nil"/>
              <w:tr2bl w:val="nil"/>
            </w:tcBorders>
            <w:textDirection w:val="lrTb"/>
            <w:vAlign w:val="center"/>
          </w:tcPr>
          <w:p w:rsidR="003211C5" w:rsidRPr="00557009" w:rsidP="00C362EA">
            <w:pPr>
              <w:spacing w:line="240" w:lineRule="auto"/>
              <w:rPr>
                <w:rFonts w:ascii="Arial Narrow" w:hAnsi="Arial Narrow" w:cs="Times New Roman"/>
              </w:rPr>
            </w:pPr>
            <w:r w:rsidRPr="00557009">
              <w:rPr>
                <w:rFonts w:ascii="Arial Narrow" w:hAnsi="Arial Narrow" w:cs="Times New Roman"/>
              </w:rPr>
              <w:t>z toho: z</w:t>
            </w:r>
            <w:r>
              <w:rPr>
                <w:rFonts w:ascii="Arial Narrow" w:hAnsi="Arial Narrow" w:cs="Times New Roman"/>
              </w:rPr>
              <w:t> </w:t>
            </w:r>
            <w:r w:rsidRPr="00557009">
              <w:rPr>
                <w:rFonts w:ascii="Arial Narrow" w:hAnsi="Arial Narrow" w:cs="Times New Roman"/>
              </w:rPr>
              <w:t>prostriedkov EÚ</w:t>
            </w:r>
          </w:p>
        </w:tc>
        <w:tc>
          <w:tcPr>
            <w:tcW w:w="1134" w:type="dxa"/>
            <w:tcBorders>
              <w:top w:val="single" w:sz="8" w:space="0" w:color="auto"/>
              <w:left w:val="single" w:sz="8" w:space="0" w:color="auto"/>
              <w:bottom w:val="single" w:sz="8" w:space="0" w:color="auto"/>
              <w:right w:val="single" w:sz="8" w:space="0" w:color="auto"/>
              <w:tl2br w:val="nil"/>
              <w:tr2bl w:val="nil"/>
            </w:tcBorders>
            <w:textDirection w:val="lrTb"/>
            <w:vAlign w:val="center"/>
          </w:tcPr>
          <w:p w:rsidR="003211C5" w:rsidRPr="00557009" w:rsidP="00C362EA">
            <w:pPr>
              <w:spacing w:line="240" w:lineRule="auto"/>
              <w:jc w:val="right"/>
              <w:rPr>
                <w:rFonts w:ascii="Arial Narrow" w:hAnsi="Arial Narrow" w:cs="Times New Roman"/>
              </w:rPr>
            </w:pPr>
            <w:r w:rsidR="00FD3709">
              <w:rPr>
                <w:rFonts w:ascii="Arial Narrow" w:hAnsi="Arial Narrow" w:cs="Times New Roman"/>
              </w:rPr>
              <w:t>8 513</w:t>
            </w:r>
          </w:p>
        </w:tc>
        <w:tc>
          <w:tcPr>
            <w:tcW w:w="1418" w:type="dxa"/>
            <w:tcBorders>
              <w:top w:val="single" w:sz="8" w:space="0" w:color="auto"/>
              <w:left w:val="single" w:sz="8" w:space="0" w:color="auto"/>
              <w:bottom w:val="single" w:sz="8" w:space="0" w:color="auto"/>
              <w:right w:val="single" w:sz="8" w:space="0" w:color="auto"/>
              <w:tl2br w:val="nil"/>
              <w:tr2bl w:val="nil"/>
            </w:tcBorders>
            <w:textDirection w:val="lrTb"/>
            <w:vAlign w:val="top"/>
          </w:tcPr>
          <w:p w:rsidR="003211C5" w:rsidP="00C362EA">
            <w:pPr>
              <w:spacing w:line="240" w:lineRule="auto"/>
              <w:jc w:val="right"/>
              <w:rPr>
                <w:rFonts w:ascii="Arial Narrow" w:hAnsi="Arial Narrow" w:cs="Times New Roman"/>
              </w:rPr>
            </w:pPr>
            <w:r w:rsidR="00FD3709">
              <w:rPr>
                <w:rFonts w:ascii="Arial Narrow" w:hAnsi="Arial Narrow" w:cs="Times New Roman"/>
              </w:rPr>
              <w:t>8 513</w:t>
            </w:r>
          </w:p>
        </w:tc>
        <w:tc>
          <w:tcPr>
            <w:tcW w:w="1418" w:type="dxa"/>
            <w:tcBorders>
              <w:top w:val="single" w:sz="8" w:space="0" w:color="auto"/>
              <w:left w:val="single" w:sz="8" w:space="0" w:color="auto"/>
              <w:bottom w:val="single" w:sz="8" w:space="0" w:color="auto"/>
              <w:right w:val="single" w:sz="12" w:space="0" w:color="auto"/>
              <w:tl2br w:val="nil"/>
              <w:tr2bl w:val="nil"/>
            </w:tcBorders>
            <w:textDirection w:val="lrTb"/>
            <w:vAlign w:val="center"/>
          </w:tcPr>
          <w:p w:rsidR="003211C5" w:rsidRPr="00557009" w:rsidP="00A91B9B">
            <w:pPr>
              <w:spacing w:line="240" w:lineRule="auto"/>
              <w:jc w:val="right"/>
              <w:rPr>
                <w:rFonts w:ascii="Arial Narrow" w:hAnsi="Arial Narrow" w:cs="Times New Roman"/>
              </w:rPr>
            </w:pPr>
            <w:r w:rsidR="00FD3709">
              <w:rPr>
                <w:rFonts w:ascii="Arial Narrow" w:hAnsi="Arial Narrow" w:cs="Times New Roman"/>
              </w:rPr>
              <w:t>4 122</w:t>
            </w:r>
          </w:p>
        </w:tc>
      </w:tr>
      <w:tr>
        <w:tblPrEx>
          <w:tblW w:w="9370" w:type="dxa"/>
          <w:tblInd w:w="-290" w:type="dxa"/>
          <w:tblLayout w:type="fixed"/>
          <w:tblCellMar>
            <w:top w:w="0" w:type="dxa"/>
            <w:left w:w="70" w:type="dxa"/>
            <w:bottom w:w="0" w:type="dxa"/>
            <w:right w:w="70" w:type="dxa"/>
          </w:tblCellMar>
        </w:tblPrEx>
        <w:trPr>
          <w:trHeight w:hRule="auto" w:val="0"/>
        </w:trPr>
        <w:tc>
          <w:tcPr>
            <w:tcW w:w="900" w:type="dxa"/>
            <w:tcBorders>
              <w:top w:val="single" w:sz="8" w:space="0" w:color="auto"/>
              <w:left w:val="single" w:sz="12" w:space="0" w:color="auto"/>
              <w:bottom w:val="single" w:sz="12" w:space="0" w:color="auto"/>
              <w:right w:val="single" w:sz="8" w:space="0" w:color="auto"/>
              <w:tl2br w:val="nil"/>
              <w:tr2bl w:val="nil"/>
            </w:tcBorders>
            <w:textDirection w:val="lrTb"/>
            <w:vAlign w:val="center"/>
          </w:tcPr>
          <w:p w:rsidR="003211C5" w:rsidRPr="00557009" w:rsidP="00C362EA">
            <w:pPr>
              <w:spacing w:line="240" w:lineRule="auto"/>
              <w:rPr>
                <w:rFonts w:ascii="Arial Narrow" w:hAnsi="Arial Narrow" w:cs="Times New Roman"/>
              </w:rPr>
            </w:pPr>
            <w:r w:rsidRPr="00557009">
              <w:rPr>
                <w:rFonts w:ascii="Arial Narrow" w:hAnsi="Arial Narrow" w:cs="Times New Roman"/>
              </w:rPr>
              <w:t> </w:t>
            </w:r>
          </w:p>
        </w:tc>
        <w:tc>
          <w:tcPr>
            <w:tcW w:w="4500" w:type="dxa"/>
            <w:tcBorders>
              <w:top w:val="single" w:sz="8" w:space="0" w:color="auto"/>
              <w:left w:val="single" w:sz="8" w:space="0" w:color="auto"/>
              <w:bottom w:val="single" w:sz="12" w:space="0" w:color="auto"/>
              <w:right w:val="single" w:sz="8" w:space="0" w:color="auto"/>
              <w:tl2br w:val="nil"/>
              <w:tr2bl w:val="nil"/>
            </w:tcBorders>
            <w:textDirection w:val="lrTb"/>
            <w:vAlign w:val="center"/>
          </w:tcPr>
          <w:p w:rsidR="003211C5" w:rsidRPr="00557009" w:rsidP="00C362EA">
            <w:pPr>
              <w:spacing w:line="240" w:lineRule="auto"/>
              <w:rPr>
                <w:rFonts w:ascii="Arial Narrow" w:hAnsi="Arial Narrow" w:cs="Times New Roman"/>
              </w:rPr>
            </w:pPr>
            <w:r w:rsidRPr="00557009">
              <w:rPr>
                <w:rFonts w:ascii="Arial Narrow" w:hAnsi="Arial Narrow" w:cs="Times New Roman"/>
              </w:rPr>
              <w:t xml:space="preserve">           z</w:t>
            </w:r>
            <w:r>
              <w:rPr>
                <w:rFonts w:ascii="Arial Narrow" w:hAnsi="Arial Narrow" w:cs="Times New Roman"/>
              </w:rPr>
              <w:t> </w:t>
            </w:r>
            <w:r w:rsidRPr="00557009">
              <w:rPr>
                <w:rFonts w:ascii="Arial Narrow" w:hAnsi="Arial Narrow" w:cs="Times New Roman"/>
              </w:rPr>
              <w:t>prostriedkov spolufinancovania z</w:t>
            </w:r>
            <w:r>
              <w:rPr>
                <w:rFonts w:ascii="Arial Narrow" w:hAnsi="Arial Narrow" w:cs="Times New Roman"/>
              </w:rPr>
              <w:t> </w:t>
            </w:r>
            <w:r w:rsidRPr="00557009">
              <w:rPr>
                <w:rFonts w:ascii="Arial Narrow" w:hAnsi="Arial Narrow" w:cs="Times New Roman"/>
              </w:rPr>
              <w:t>VPS</w:t>
            </w:r>
          </w:p>
        </w:tc>
        <w:tc>
          <w:tcPr>
            <w:tcW w:w="1134" w:type="dxa"/>
            <w:tcBorders>
              <w:top w:val="single" w:sz="8" w:space="0" w:color="auto"/>
              <w:left w:val="single" w:sz="8" w:space="0" w:color="auto"/>
              <w:bottom w:val="single" w:sz="12" w:space="0" w:color="auto"/>
              <w:right w:val="single" w:sz="8" w:space="0" w:color="auto"/>
              <w:tl2br w:val="nil"/>
              <w:tr2bl w:val="nil"/>
            </w:tcBorders>
            <w:textDirection w:val="lrTb"/>
            <w:vAlign w:val="center"/>
          </w:tcPr>
          <w:p w:rsidR="003211C5" w:rsidRPr="00557009" w:rsidP="00C362EA">
            <w:pPr>
              <w:spacing w:line="240" w:lineRule="auto"/>
              <w:jc w:val="right"/>
              <w:rPr>
                <w:rFonts w:ascii="Arial Narrow" w:hAnsi="Arial Narrow" w:cs="Times New Roman"/>
              </w:rPr>
            </w:pPr>
            <w:r w:rsidR="00FD3709">
              <w:rPr>
                <w:rFonts w:ascii="Arial Narrow" w:hAnsi="Arial Narrow" w:cs="Times New Roman"/>
              </w:rPr>
              <w:t>2 838</w:t>
            </w:r>
          </w:p>
        </w:tc>
        <w:tc>
          <w:tcPr>
            <w:tcW w:w="1418" w:type="dxa"/>
            <w:tcBorders>
              <w:top w:val="single" w:sz="8" w:space="0" w:color="auto"/>
              <w:left w:val="single" w:sz="8" w:space="0" w:color="auto"/>
              <w:bottom w:val="single" w:sz="12" w:space="0" w:color="auto"/>
              <w:right w:val="single" w:sz="8" w:space="0" w:color="auto"/>
              <w:tl2br w:val="nil"/>
              <w:tr2bl w:val="nil"/>
            </w:tcBorders>
            <w:textDirection w:val="lrTb"/>
            <w:vAlign w:val="top"/>
          </w:tcPr>
          <w:p w:rsidR="003211C5" w:rsidP="00C362EA">
            <w:pPr>
              <w:spacing w:line="240" w:lineRule="auto"/>
              <w:jc w:val="right"/>
              <w:rPr>
                <w:rFonts w:ascii="Arial Narrow" w:hAnsi="Arial Narrow" w:cs="Times New Roman"/>
              </w:rPr>
            </w:pPr>
            <w:r w:rsidR="00FD3709">
              <w:rPr>
                <w:rFonts w:ascii="Arial Narrow" w:hAnsi="Arial Narrow" w:cs="Times New Roman"/>
              </w:rPr>
              <w:t>2 629</w:t>
            </w:r>
            <w:r w:rsidR="00980978">
              <w:rPr>
                <w:rFonts w:ascii="Arial Narrow" w:hAnsi="Arial Narrow" w:cs="Times New Roman"/>
              </w:rPr>
              <w:t xml:space="preserve"> </w:t>
            </w:r>
          </w:p>
        </w:tc>
        <w:tc>
          <w:tcPr>
            <w:tcW w:w="1418" w:type="dxa"/>
            <w:tcBorders>
              <w:top w:val="single" w:sz="8" w:space="0" w:color="auto"/>
              <w:left w:val="single" w:sz="8" w:space="0" w:color="auto"/>
              <w:bottom w:val="single" w:sz="12" w:space="0" w:color="auto"/>
              <w:right w:val="single" w:sz="12" w:space="0" w:color="auto"/>
              <w:tl2br w:val="nil"/>
              <w:tr2bl w:val="nil"/>
            </w:tcBorders>
            <w:textDirection w:val="lrTb"/>
            <w:vAlign w:val="center"/>
          </w:tcPr>
          <w:p w:rsidR="003211C5" w:rsidRPr="00557009" w:rsidP="00C362EA">
            <w:pPr>
              <w:spacing w:line="240" w:lineRule="auto"/>
              <w:jc w:val="right"/>
              <w:rPr>
                <w:rFonts w:ascii="Arial Narrow" w:hAnsi="Arial Narrow" w:cs="Times New Roman"/>
              </w:rPr>
            </w:pPr>
            <w:r w:rsidR="00FD3709">
              <w:rPr>
                <w:rFonts w:ascii="Arial Narrow" w:hAnsi="Arial Narrow" w:cs="Times New Roman"/>
              </w:rPr>
              <w:t>1 959</w:t>
            </w:r>
          </w:p>
        </w:tc>
      </w:tr>
    </w:tbl>
    <w:p w:rsidR="00684D28" w:rsidP="00C362EA">
      <w:pPr>
        <w:spacing w:line="240" w:lineRule="auto"/>
        <w:rPr>
          <w:rFonts w:ascii="Arial Narrow" w:hAnsi="Arial Narrow" w:cs="Times New Roman"/>
          <w:bCs/>
          <w:sz w:val="18"/>
          <w:szCs w:val="18"/>
        </w:rPr>
      </w:pPr>
      <w:r w:rsidRPr="00526431" w:rsidR="00526431">
        <w:rPr>
          <w:rFonts w:ascii="Symbol" w:hAnsi="Symbol" w:cs="Times New Roman"/>
          <w:bCs/>
          <w:sz w:val="18"/>
          <w:szCs w:val="18"/>
        </w:rPr>
        <w:sym w:font="Symbol" w:char="F02A"/>
      </w:r>
      <w:r w:rsidR="00A91B9B">
        <w:rPr>
          <w:rFonts w:ascii="Arial Narrow" w:hAnsi="Arial Narrow" w:cs="Times New Roman"/>
          <w:bCs/>
          <w:sz w:val="18"/>
          <w:szCs w:val="18"/>
        </w:rPr>
        <w:t xml:space="preserve"> Čerpanie od 1.1. do 31.12.2007</w:t>
      </w:r>
      <w:r w:rsidRPr="00526431" w:rsidR="00526431">
        <w:rPr>
          <w:rFonts w:ascii="Arial Narrow" w:hAnsi="Arial Narrow" w:cs="Times New Roman"/>
          <w:bCs/>
          <w:sz w:val="18"/>
          <w:szCs w:val="18"/>
        </w:rPr>
        <w:t xml:space="preserve"> na účty PO</w:t>
      </w:r>
    </w:p>
    <w:p w:rsidR="00280AC0" w:rsidRPr="00280AC0" w:rsidP="006A452C">
      <w:pPr>
        <w:autoSpaceDE/>
        <w:autoSpaceDN/>
        <w:spacing w:line="240" w:lineRule="auto"/>
        <w:textAlignment w:val="auto"/>
        <w:rPr>
          <w:rFonts w:ascii="Times New Roman" w:hAnsi="Times New Roman" w:cs="Times New Roman"/>
          <w:sz w:val="24"/>
          <w:szCs w:val="24"/>
          <w:lang w:eastAsia="sk-SK"/>
        </w:rPr>
      </w:pPr>
    </w:p>
    <w:p w:rsidR="00280AC0" w:rsidRPr="00AB1F6D" w:rsidP="006A452C">
      <w:pPr>
        <w:spacing w:line="240" w:lineRule="auto"/>
        <w:rPr>
          <w:rFonts w:ascii="Times New Roman" w:hAnsi="Times New Roman" w:cs="Times New Roman"/>
          <w:sz w:val="24"/>
          <w:szCs w:val="24"/>
          <w:u w:val="single"/>
        </w:rPr>
      </w:pPr>
      <w:r w:rsidRPr="00AB1F6D">
        <w:rPr>
          <w:rFonts w:ascii="Times New Roman" w:hAnsi="Times New Roman" w:cs="Times New Roman"/>
          <w:sz w:val="24"/>
          <w:szCs w:val="24"/>
          <w:u w:val="single"/>
        </w:rPr>
        <w:t>Prvok 0530303 Technická pomoc pre prípravu dopravných projektov – cestné projekty (FM č. ISPA 2002 /16/P/PA/006)</w:t>
      </w:r>
    </w:p>
    <w:p w:rsidR="00BE6544" w:rsidP="006A452C">
      <w:pPr>
        <w:autoSpaceDE/>
        <w:autoSpaceDN/>
        <w:spacing w:line="240" w:lineRule="auto"/>
        <w:textAlignment w:val="auto"/>
        <w:rPr>
          <w:rFonts w:ascii="Times New Roman" w:hAnsi="Times New Roman" w:cs="Times New Roman"/>
          <w:sz w:val="24"/>
          <w:szCs w:val="24"/>
          <w:lang w:eastAsia="sk-SK"/>
        </w:rPr>
      </w:pPr>
    </w:p>
    <w:p w:rsidR="00280AC0" w:rsidRPr="00280AC0" w:rsidP="006A452C">
      <w:pPr>
        <w:autoSpaceDE/>
        <w:autoSpaceDN/>
        <w:spacing w:line="240" w:lineRule="auto"/>
        <w:textAlignment w:val="auto"/>
        <w:rPr>
          <w:rFonts w:ascii="Times New Roman" w:hAnsi="Times New Roman" w:cs="Times New Roman"/>
          <w:sz w:val="24"/>
          <w:szCs w:val="24"/>
          <w:lang w:eastAsia="sk-SK"/>
        </w:rPr>
      </w:pPr>
      <w:r w:rsidRPr="00280AC0">
        <w:rPr>
          <w:rFonts w:ascii="Times New Roman" w:hAnsi="Times New Roman" w:cs="Times New Roman"/>
          <w:sz w:val="24"/>
          <w:szCs w:val="24"/>
          <w:lang w:eastAsia="sk-SK"/>
        </w:rPr>
        <w:t>Predĺženie implementácie Finančného memoranda bolo Európs</w:t>
      </w:r>
      <w:r w:rsidR="006A452C">
        <w:rPr>
          <w:rFonts w:ascii="Times New Roman" w:hAnsi="Times New Roman" w:cs="Times New Roman"/>
          <w:sz w:val="24"/>
          <w:szCs w:val="24"/>
          <w:lang w:eastAsia="sk-SK"/>
        </w:rPr>
        <w:t>kou komisiou schválené do 30.6.</w:t>
      </w:r>
      <w:r w:rsidR="00FD3709">
        <w:rPr>
          <w:rFonts w:ascii="Times New Roman" w:hAnsi="Times New Roman" w:cs="Times New Roman"/>
          <w:sz w:val="24"/>
          <w:szCs w:val="24"/>
          <w:lang w:eastAsia="sk-SK"/>
        </w:rPr>
        <w:t xml:space="preserve">2008. </w:t>
      </w:r>
      <w:r w:rsidRPr="00280AC0">
        <w:rPr>
          <w:rFonts w:ascii="Times New Roman" w:hAnsi="Times New Roman" w:cs="Times New Roman"/>
          <w:sz w:val="24"/>
          <w:szCs w:val="24"/>
          <w:lang w:eastAsia="sk-SK"/>
        </w:rPr>
        <w:t>Konzultant spolupracuje a výrazne napomáha pri príprave tendrovej dokumentácie,</w:t>
      </w:r>
      <w:r w:rsidR="00FD3709">
        <w:rPr>
          <w:rFonts w:ascii="Times New Roman" w:hAnsi="Times New Roman" w:cs="Times New Roman"/>
          <w:sz w:val="24"/>
          <w:szCs w:val="24"/>
          <w:lang w:eastAsia="sk-SK"/>
        </w:rPr>
        <w:t xml:space="preserve"> príprave žiadostí o pomoc z EK, </w:t>
      </w:r>
      <w:r w:rsidRPr="00280AC0">
        <w:rPr>
          <w:rFonts w:ascii="Times New Roman" w:hAnsi="Times New Roman" w:cs="Times New Roman"/>
          <w:sz w:val="24"/>
          <w:szCs w:val="24"/>
          <w:lang w:eastAsia="sk-SK"/>
        </w:rPr>
        <w:t>ako aj zoznamu pripravovaných projektov n</w:t>
      </w:r>
      <w:r w:rsidR="00FD3709">
        <w:rPr>
          <w:rFonts w:ascii="Times New Roman" w:hAnsi="Times New Roman" w:cs="Times New Roman"/>
          <w:sz w:val="24"/>
          <w:szCs w:val="24"/>
          <w:lang w:eastAsia="sk-SK"/>
        </w:rPr>
        <w:t xml:space="preserve">ielen pre </w:t>
      </w:r>
      <w:r w:rsidR="006A452C">
        <w:rPr>
          <w:rFonts w:ascii="Times New Roman" w:hAnsi="Times New Roman" w:cs="Times New Roman"/>
          <w:sz w:val="24"/>
          <w:szCs w:val="24"/>
          <w:lang w:eastAsia="sk-SK"/>
        </w:rPr>
        <w:t xml:space="preserve">obdobie 2007 – </w:t>
      </w:r>
      <w:r w:rsidRPr="00280AC0">
        <w:rPr>
          <w:rFonts w:ascii="Times New Roman" w:hAnsi="Times New Roman" w:cs="Times New Roman"/>
          <w:sz w:val="24"/>
          <w:szCs w:val="24"/>
          <w:lang w:eastAsia="sk-SK"/>
        </w:rPr>
        <w:t>2013, ako aj pre dobiehajúce obdobie</w:t>
      </w:r>
      <w:r w:rsidR="006A452C">
        <w:rPr>
          <w:rFonts w:ascii="Times New Roman" w:hAnsi="Times New Roman" w:cs="Times New Roman"/>
          <w:sz w:val="24"/>
          <w:szCs w:val="24"/>
          <w:lang w:eastAsia="sk-SK"/>
        </w:rPr>
        <w:t xml:space="preserve"> 2004 – </w:t>
      </w:r>
      <w:r w:rsidRPr="00280AC0">
        <w:rPr>
          <w:rFonts w:ascii="Times New Roman" w:hAnsi="Times New Roman" w:cs="Times New Roman"/>
          <w:sz w:val="24"/>
          <w:szCs w:val="24"/>
          <w:lang w:eastAsia="sk-SK"/>
        </w:rPr>
        <w:t xml:space="preserve">2006. </w:t>
      </w:r>
    </w:p>
    <w:p w:rsidR="00280AC0" w:rsidRPr="00280AC0" w:rsidP="006A452C">
      <w:pPr>
        <w:pStyle w:val="PlainText"/>
        <w:spacing w:line="240" w:lineRule="auto"/>
        <w:rPr>
          <w:rFonts w:ascii="Times New Roman" w:hAnsi="Times New Roman" w:cs="Times New Roman"/>
          <w:sz w:val="24"/>
          <w:szCs w:val="24"/>
        </w:rPr>
      </w:pPr>
    </w:p>
    <w:p w:rsidR="00280AC0" w:rsidRPr="00AB1F6D" w:rsidP="006A452C">
      <w:pPr>
        <w:spacing w:line="240" w:lineRule="auto"/>
        <w:rPr>
          <w:rFonts w:ascii="Times New Roman" w:hAnsi="Times New Roman" w:cs="Times New Roman"/>
          <w:sz w:val="24"/>
          <w:szCs w:val="24"/>
          <w:u w:val="single"/>
        </w:rPr>
      </w:pPr>
      <w:r w:rsidRPr="00AB1F6D">
        <w:rPr>
          <w:rFonts w:ascii="Times New Roman" w:hAnsi="Times New Roman" w:cs="Times New Roman"/>
          <w:sz w:val="24"/>
          <w:szCs w:val="24"/>
          <w:u w:val="single"/>
        </w:rPr>
        <w:t>Prvok 0530307 Odborn</w:t>
      </w:r>
      <w:r w:rsidR="00EB5C51">
        <w:rPr>
          <w:rFonts w:ascii="Times New Roman" w:hAnsi="Times New Roman" w:cs="Times New Roman"/>
          <w:sz w:val="24"/>
          <w:szCs w:val="24"/>
          <w:u w:val="single"/>
        </w:rPr>
        <w:t xml:space="preserve">á pomoc pre implementáciu dopravných </w:t>
      </w:r>
      <w:r w:rsidRPr="00AB1F6D">
        <w:rPr>
          <w:rFonts w:ascii="Times New Roman" w:hAnsi="Times New Roman" w:cs="Times New Roman"/>
          <w:sz w:val="24"/>
          <w:szCs w:val="24"/>
          <w:u w:val="single"/>
        </w:rPr>
        <w:t xml:space="preserve">projektov spolufinancovaných z EÚ (FM č. ISPS 2003/SK/16/P/PA/011) </w:t>
      </w:r>
    </w:p>
    <w:p w:rsidR="00BE6544" w:rsidP="006A452C">
      <w:pPr>
        <w:autoSpaceDE/>
        <w:autoSpaceDN/>
        <w:spacing w:line="240" w:lineRule="auto"/>
        <w:textAlignment w:val="auto"/>
        <w:rPr>
          <w:rFonts w:ascii="Times New Roman" w:hAnsi="Times New Roman" w:cs="Times New Roman"/>
          <w:sz w:val="24"/>
          <w:szCs w:val="24"/>
          <w:lang w:eastAsia="sk-SK"/>
        </w:rPr>
      </w:pPr>
    </w:p>
    <w:p w:rsidR="00280AC0" w:rsidRPr="00280AC0" w:rsidP="006A452C">
      <w:pPr>
        <w:autoSpaceDE/>
        <w:autoSpaceDN/>
        <w:spacing w:line="240" w:lineRule="auto"/>
        <w:textAlignment w:val="auto"/>
        <w:rPr>
          <w:rFonts w:ascii="Times New Roman" w:hAnsi="Times New Roman" w:cs="Times New Roman"/>
          <w:sz w:val="24"/>
          <w:szCs w:val="24"/>
          <w:lang w:eastAsia="sk-SK"/>
        </w:rPr>
      </w:pPr>
      <w:r w:rsidRPr="00280AC0">
        <w:rPr>
          <w:rFonts w:ascii="Times New Roman" w:hAnsi="Times New Roman" w:cs="Times New Roman"/>
          <w:sz w:val="24"/>
          <w:szCs w:val="24"/>
          <w:lang w:eastAsia="sk-SK"/>
        </w:rPr>
        <w:t>Predĺženie implementácie Finančného memoranda bolo Európsko</w:t>
      </w:r>
      <w:r w:rsidR="006A452C">
        <w:rPr>
          <w:rFonts w:ascii="Times New Roman" w:hAnsi="Times New Roman" w:cs="Times New Roman"/>
          <w:sz w:val="24"/>
          <w:szCs w:val="24"/>
          <w:lang w:eastAsia="sk-SK"/>
        </w:rPr>
        <w:t xml:space="preserve">u komisiou schválené do 30.6.2010. </w:t>
      </w:r>
      <w:r w:rsidRPr="00280AC0">
        <w:rPr>
          <w:rFonts w:ascii="Times New Roman" w:hAnsi="Times New Roman" w:cs="Times New Roman"/>
          <w:sz w:val="24"/>
          <w:szCs w:val="24"/>
          <w:lang w:eastAsia="sk-SK"/>
        </w:rPr>
        <w:t xml:space="preserve">Konzultant spolupracuje pri implementácii projektov cestnej infraštruktúry spolufinancovaných z fondov EÚ (napr. vývoj programu na monitorovanie projektov). </w:t>
      </w:r>
    </w:p>
    <w:p w:rsidR="00076F92" w:rsidP="00C362EA">
      <w:pPr>
        <w:pStyle w:val="NormalIndent"/>
        <w:tabs>
          <w:tab w:val="left" w:pos="0"/>
        </w:tabs>
        <w:spacing w:line="240" w:lineRule="auto"/>
        <w:ind w:left="0"/>
        <w:rPr>
          <w:rFonts w:cs="Times New Roman"/>
          <w:b/>
          <w:bCs/>
          <w:sz w:val="28"/>
        </w:rPr>
      </w:pPr>
    </w:p>
    <w:p w:rsidR="00BE1A59" w:rsidP="00C362EA">
      <w:pPr>
        <w:pStyle w:val="NormalIndent"/>
        <w:tabs>
          <w:tab w:val="left" w:pos="0"/>
        </w:tabs>
        <w:spacing w:line="240" w:lineRule="auto"/>
        <w:ind w:left="0"/>
        <w:rPr>
          <w:rFonts w:cs="Times New Roman"/>
          <w:b/>
          <w:bCs/>
          <w:sz w:val="28"/>
        </w:rPr>
      </w:pPr>
    </w:p>
    <w:p w:rsidR="00684D28" w:rsidRPr="00D23807" w:rsidP="00C362EA">
      <w:pPr>
        <w:pStyle w:val="NormalIndent"/>
        <w:tabs>
          <w:tab w:val="left" w:pos="0"/>
        </w:tabs>
        <w:spacing w:line="240" w:lineRule="auto"/>
        <w:ind w:left="0"/>
        <w:rPr>
          <w:rFonts w:cs="Times New Roman"/>
          <w:b/>
          <w:bCs/>
          <w:sz w:val="28"/>
        </w:rPr>
      </w:pPr>
      <w:r>
        <w:rPr>
          <w:rFonts w:cs="Times New Roman"/>
          <w:b/>
          <w:bCs/>
          <w:sz w:val="28"/>
        </w:rPr>
        <w:t>B</w:t>
      </w:r>
      <w:r w:rsidRPr="00D23807">
        <w:rPr>
          <w:rFonts w:cs="Times New Roman"/>
          <w:b/>
          <w:bCs/>
          <w:sz w:val="28"/>
        </w:rPr>
        <w:t>: Železnice Slovenskej republiky</w:t>
      </w:r>
      <w:r>
        <w:rPr>
          <w:rFonts w:cs="Times New Roman"/>
          <w:b/>
          <w:bCs/>
          <w:sz w:val="28"/>
        </w:rPr>
        <w:t xml:space="preserve"> </w:t>
      </w:r>
      <w:r>
        <w:rPr>
          <w:rFonts w:ascii="Times New Roman" w:hAnsi="Times New Roman" w:cs="Times New Roman"/>
          <w:sz w:val="28"/>
          <w:szCs w:val="28"/>
        </w:rPr>
        <w:t xml:space="preserve">– program 07S </w:t>
      </w:r>
      <w:r w:rsidRPr="00D50048">
        <w:rPr>
          <w:rFonts w:ascii="Times New Roman" w:hAnsi="Times New Roman" w:cs="Times New Roman"/>
          <w:sz w:val="28"/>
          <w:szCs w:val="28"/>
        </w:rPr>
        <w:t>–</w:t>
      </w:r>
      <w:r>
        <w:rPr>
          <w:rFonts w:ascii="Times New Roman" w:hAnsi="Times New Roman" w:cs="Times New Roman"/>
          <w:sz w:val="28"/>
          <w:szCs w:val="28"/>
        </w:rPr>
        <w:t xml:space="preserve"> Železničná doprava</w:t>
      </w:r>
      <w:r w:rsidRPr="00D50048">
        <w:rPr>
          <w:rFonts w:ascii="Times New Roman" w:hAnsi="Times New Roman" w:cs="Times New Roman"/>
          <w:sz w:val="28"/>
          <w:szCs w:val="28"/>
        </w:rPr>
        <w:t xml:space="preserve"> </w:t>
      </w:r>
    </w:p>
    <w:p w:rsidR="002710B0" w:rsidRPr="00D23807" w:rsidP="00C362EA">
      <w:pPr>
        <w:pStyle w:val="NormalIndent"/>
        <w:tabs>
          <w:tab w:val="left" w:pos="0"/>
        </w:tabs>
        <w:spacing w:line="240" w:lineRule="auto"/>
        <w:ind w:left="0"/>
        <w:rPr>
          <w:rFonts w:ascii="Times New Roman" w:hAnsi="Times New Roman" w:cs="Times New Roman"/>
          <w:b/>
          <w:bCs/>
        </w:rPr>
      </w:pPr>
    </w:p>
    <w:p w:rsidR="00684D28" w:rsidP="00C362EA">
      <w:pPr>
        <w:pStyle w:val="NormalIndent"/>
        <w:tabs>
          <w:tab w:val="left" w:pos="0"/>
        </w:tabs>
        <w:spacing w:line="240" w:lineRule="auto"/>
        <w:ind w:left="0"/>
        <w:rPr>
          <w:rFonts w:ascii="Times New Roman" w:hAnsi="Times New Roman" w:cs="Times New Roman"/>
          <w:b/>
          <w:bCs/>
        </w:rPr>
      </w:pPr>
      <w:r w:rsidRPr="00D23807">
        <w:rPr>
          <w:rFonts w:ascii="Times New Roman" w:hAnsi="Times New Roman" w:cs="Times New Roman"/>
          <w:b/>
          <w:bCs/>
        </w:rPr>
        <w:t>1/ neinvestičné dotácie (bežné transfery</w:t>
      </w:r>
      <w:r>
        <w:rPr>
          <w:rFonts w:ascii="Times New Roman" w:hAnsi="Times New Roman" w:cs="Times New Roman"/>
          <w:b/>
          <w:bCs/>
        </w:rPr>
        <w:t xml:space="preserve"> 640</w:t>
      </w:r>
      <w:r w:rsidRPr="00D23807">
        <w:rPr>
          <w:rFonts w:ascii="Times New Roman" w:hAnsi="Times New Roman" w:cs="Times New Roman"/>
          <w:b/>
          <w:bCs/>
        </w:rPr>
        <w:t>)</w:t>
      </w:r>
      <w:r w:rsidR="00CE552A">
        <w:rPr>
          <w:rFonts w:ascii="Times New Roman" w:hAnsi="Times New Roman" w:cs="Times New Roman"/>
          <w:b/>
          <w:bCs/>
        </w:rPr>
        <w:t xml:space="preserve"> – podprogram 07S05</w:t>
      </w:r>
      <w:r>
        <w:rPr>
          <w:rFonts w:ascii="Times New Roman" w:hAnsi="Times New Roman" w:cs="Times New Roman"/>
          <w:b/>
          <w:bCs/>
        </w:rPr>
        <w:t xml:space="preserve"> Podpora verejných služieb – prevádzkovanie dráh</w:t>
      </w:r>
    </w:p>
    <w:p w:rsidR="00684D28" w:rsidRPr="00D23807" w:rsidP="00C362EA">
      <w:pPr>
        <w:pStyle w:val="NormalIndent"/>
        <w:tabs>
          <w:tab w:val="left" w:pos="0"/>
        </w:tabs>
        <w:spacing w:line="240" w:lineRule="auto"/>
        <w:ind w:left="0"/>
        <w:rPr>
          <w:rFonts w:ascii="Times New Roman" w:hAnsi="Times New Roman" w:cs="Times New Roman"/>
          <w:b/>
          <w:bCs/>
        </w:rPr>
      </w:pPr>
      <w:r>
        <w:rPr>
          <w:rFonts w:ascii="Times New Roman" w:hAnsi="Times New Roman" w:cs="Times New Roman"/>
          <w:b/>
          <w:bCs/>
        </w:rPr>
        <w:t xml:space="preserve"> </w:t>
      </w:r>
      <w:r w:rsidRPr="00D23807">
        <w:rPr>
          <w:rFonts w:ascii="Times New Roman" w:hAnsi="Times New Roman" w:cs="Times New Roman"/>
          <w:b/>
          <w:bCs/>
        </w:rPr>
        <w:t xml:space="preserve"> </w:t>
      </w:r>
    </w:p>
    <w:p w:rsidR="003211C5" w:rsidRPr="00C965AD" w:rsidP="00C362EA">
      <w:pPr>
        <w:pStyle w:val="NormalIndent"/>
        <w:tabs>
          <w:tab w:val="left" w:pos="0"/>
        </w:tabs>
        <w:spacing w:line="240" w:lineRule="auto"/>
        <w:ind w:left="0"/>
        <w:rPr>
          <w:rFonts w:cs="Times New Roman"/>
        </w:rPr>
      </w:pPr>
      <w:r w:rsidRPr="00D23807" w:rsidR="00684D28">
        <w:rPr>
          <w:rFonts w:cs="Times New Roman"/>
        </w:rPr>
        <w:tab/>
        <w:t xml:space="preserve">Na základe </w:t>
      </w:r>
      <w:r w:rsidR="0034466B">
        <w:rPr>
          <w:rFonts w:cs="Times New Roman"/>
        </w:rPr>
        <w:t>zákon</w:t>
      </w:r>
      <w:r w:rsidR="00D94F82">
        <w:rPr>
          <w:rFonts w:cs="Times New Roman"/>
        </w:rPr>
        <w:t>a o štátnom rozpočte na rok 2007</w:t>
      </w:r>
      <w:r w:rsidR="0034466B">
        <w:rPr>
          <w:rFonts w:cs="Times New Roman"/>
        </w:rPr>
        <w:t xml:space="preserve"> a </w:t>
      </w:r>
      <w:r w:rsidRPr="00D23807" w:rsidR="00684D28">
        <w:rPr>
          <w:rFonts w:cs="Times New Roman"/>
        </w:rPr>
        <w:t>Zmluvy o výkonoch vo verejnom záujme pri</w:t>
      </w:r>
      <w:r w:rsidR="00684D28">
        <w:rPr>
          <w:rFonts w:cs="Times New Roman"/>
        </w:rPr>
        <w:t xml:space="preserve"> prevádzkovaní </w:t>
      </w:r>
      <w:r w:rsidR="00D94F82">
        <w:rPr>
          <w:rFonts w:cs="Times New Roman"/>
        </w:rPr>
        <w:t>dráhy na rok 2007</w:t>
      </w:r>
      <w:r w:rsidRPr="00D23807" w:rsidR="00684D28">
        <w:rPr>
          <w:rFonts w:cs="Times New Roman"/>
        </w:rPr>
        <w:t xml:space="preserve"> </w:t>
      </w:r>
      <w:r w:rsidR="0034466B">
        <w:rPr>
          <w:rFonts w:cs="Times New Roman"/>
        </w:rPr>
        <w:t xml:space="preserve">boli pre Železnice SR vyčlenené bežné transfery </w:t>
      </w:r>
      <w:r w:rsidR="00684D28">
        <w:rPr>
          <w:rFonts w:cs="Times New Roman"/>
        </w:rPr>
        <w:t xml:space="preserve">vo </w:t>
      </w:r>
      <w:r w:rsidRPr="00AB1F6D" w:rsidR="00684D28">
        <w:rPr>
          <w:rFonts w:cs="Times New Roman"/>
        </w:rPr>
        <w:t xml:space="preserve">výške </w:t>
      </w:r>
      <w:r w:rsidRPr="00AB1F6D" w:rsidR="0034466B">
        <w:rPr>
          <w:rFonts w:cs="Times New Roman"/>
        </w:rPr>
        <w:t xml:space="preserve">3 600 000 000,- </w:t>
      </w:r>
      <w:r w:rsidRPr="00AB1F6D" w:rsidR="00684D28">
        <w:rPr>
          <w:rFonts w:cs="Times New Roman"/>
        </w:rPr>
        <w:t>Sk</w:t>
      </w:r>
      <w:r w:rsidR="00D94F82">
        <w:rPr>
          <w:rFonts w:cs="Times New Roman"/>
        </w:rPr>
        <w:t xml:space="preserve">. V priebehu roka 2007 upravované neboli. </w:t>
      </w:r>
      <w:r w:rsidRPr="00D23807" w:rsidR="00684D28">
        <w:rPr>
          <w:rFonts w:cs="Times New Roman"/>
        </w:rPr>
        <w:t>Dotác</w:t>
      </w:r>
      <w:r w:rsidR="00BE1A59">
        <w:rPr>
          <w:rFonts w:cs="Times New Roman"/>
        </w:rPr>
        <w:t xml:space="preserve">ia bola vyčerpaná v plnej výške, v súlade s uvedenou zmluvou, </w:t>
      </w:r>
      <w:r w:rsidRPr="00D23807" w:rsidR="00684D28">
        <w:rPr>
          <w:rFonts w:cs="Times New Roman"/>
        </w:rPr>
        <w:t xml:space="preserve">na nasledujúce účely: </w:t>
      </w:r>
      <w:r w:rsidRPr="00D23807" w:rsidR="00684D28">
        <w:rPr>
          <w:rFonts w:cs="Times New Roman"/>
          <w:b/>
          <w:i/>
          <w:sz w:val="22"/>
          <w:szCs w:val="22"/>
        </w:rPr>
        <w:t xml:space="preserve">           </w:t>
      </w:r>
    </w:p>
    <w:p w:rsidR="002710B0" w:rsidP="00C362EA">
      <w:pPr>
        <w:pStyle w:val="NormalIndent"/>
        <w:tabs>
          <w:tab w:val="left" w:pos="0"/>
        </w:tabs>
        <w:spacing w:line="240" w:lineRule="auto"/>
        <w:ind w:left="0"/>
        <w:rPr>
          <w:rFonts w:cs="Times New Roman"/>
          <w:b/>
          <w:i/>
          <w:sz w:val="22"/>
          <w:szCs w:val="22"/>
        </w:rPr>
      </w:pPr>
    </w:p>
    <w:p w:rsidR="00684D28" w:rsidRPr="00525CBA" w:rsidP="00C362EA">
      <w:pPr>
        <w:pStyle w:val="NormalIndent"/>
        <w:tabs>
          <w:tab w:val="left" w:pos="0"/>
        </w:tabs>
        <w:spacing w:line="240" w:lineRule="auto"/>
        <w:ind w:left="0"/>
        <w:rPr>
          <w:rFonts w:ascii="Arial Narrow" w:hAnsi="Arial Narrow" w:cs="Times New Roman"/>
          <w:bCs/>
          <w:sz w:val="20"/>
        </w:rPr>
      </w:pPr>
      <w:r w:rsidRPr="00D23807">
        <w:rPr>
          <w:rFonts w:cs="Times New Roman"/>
          <w:b/>
          <w:i/>
          <w:sz w:val="22"/>
          <w:szCs w:val="22"/>
        </w:rPr>
        <w:t xml:space="preserve">                        </w:t>
      </w:r>
      <w:r>
        <w:rPr>
          <w:rFonts w:cs="Times New Roman"/>
          <w:b/>
          <w:i/>
          <w:sz w:val="22"/>
          <w:szCs w:val="22"/>
        </w:rPr>
        <w:t xml:space="preserve">                                             </w:t>
      </w:r>
      <w:r w:rsidRPr="00D23807">
        <w:rPr>
          <w:rFonts w:cs="Times New Roman"/>
          <w:b/>
          <w:i/>
          <w:sz w:val="22"/>
          <w:szCs w:val="22"/>
        </w:rPr>
        <w:t xml:space="preserve">    </w:t>
      </w:r>
      <w:r w:rsidR="0034466B">
        <w:rPr>
          <w:rFonts w:cs="Times New Roman"/>
          <w:b/>
          <w:i/>
          <w:sz w:val="22"/>
          <w:szCs w:val="22"/>
        </w:rPr>
        <w:t xml:space="preserve">                                     </w:t>
      </w:r>
      <w:r w:rsidR="003211C5">
        <w:rPr>
          <w:rFonts w:cs="Times New Roman"/>
          <w:b/>
          <w:i/>
          <w:sz w:val="22"/>
          <w:szCs w:val="22"/>
        </w:rPr>
        <w:t xml:space="preserve">            </w:t>
      </w:r>
      <w:r w:rsidR="0034466B">
        <w:rPr>
          <w:rFonts w:cs="Times New Roman"/>
          <w:b/>
          <w:i/>
          <w:sz w:val="22"/>
          <w:szCs w:val="22"/>
        </w:rPr>
        <w:t xml:space="preserve"> </w:t>
      </w:r>
      <w:r w:rsidR="00EB3F89">
        <w:rPr>
          <w:rFonts w:cs="Times New Roman"/>
          <w:b/>
          <w:i/>
          <w:sz w:val="22"/>
          <w:szCs w:val="22"/>
        </w:rPr>
        <w:t xml:space="preserve">    </w:t>
      </w:r>
      <w:r w:rsidR="00EB3F89">
        <w:rPr>
          <w:rFonts w:ascii="Arial Narrow" w:hAnsi="Arial Narrow" w:cs="Times New Roman"/>
          <w:sz w:val="20"/>
        </w:rPr>
        <w:t xml:space="preserve">(v </w:t>
      </w:r>
      <w:r w:rsidRPr="00525CBA">
        <w:rPr>
          <w:rFonts w:ascii="Arial Narrow" w:hAnsi="Arial Narrow" w:cs="Times New Roman"/>
          <w:sz w:val="20"/>
        </w:rPr>
        <w:t>Sk)</w:t>
      </w:r>
    </w:p>
    <w:tbl>
      <w:tblPr>
        <w:tblW w:w="0" w:type="auto"/>
        <w:tblInd w:w="2055"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top w:w="0" w:type="dxa"/>
          <w:left w:w="70" w:type="dxa"/>
          <w:bottom w:w="0" w:type="dxa"/>
          <w:right w:w="70" w:type="dxa"/>
        </w:tblCellMar>
      </w:tblPr>
      <w:tblGrid>
        <w:gridCol w:w="2950"/>
        <w:gridCol w:w="2520"/>
      </w:tblGrid>
      <w:tr>
        <w:tblPrEx>
          <w:tblW w:w="0" w:type="auto"/>
          <w:tblInd w:w="2055"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top w:w="0" w:type="dxa"/>
            <w:left w:w="70" w:type="dxa"/>
            <w:bottom w:w="0" w:type="dxa"/>
            <w:right w:w="70" w:type="dxa"/>
          </w:tblCellMar>
        </w:tblPrEx>
        <w:trPr>
          <w:trHeight w:hRule="auto" w:val="0"/>
        </w:trPr>
        <w:tc>
          <w:tcPr>
            <w:tcW w:w="2950" w:type="dxa"/>
            <w:tcBorders>
              <w:top w:val="single" w:sz="12" w:space="0" w:color="auto"/>
              <w:left w:val="single" w:sz="12" w:space="0" w:color="auto"/>
              <w:bottom w:val="single" w:sz="8" w:space="0" w:color="auto"/>
              <w:right w:val="single" w:sz="8" w:space="0" w:color="auto"/>
              <w:tl2br w:val="nil"/>
              <w:tr2bl w:val="nil"/>
            </w:tcBorders>
            <w:textDirection w:val="lrTb"/>
            <w:vAlign w:val="top"/>
          </w:tcPr>
          <w:p w:rsidR="00684D28" w:rsidRPr="00D23807" w:rsidP="00C362EA">
            <w:pPr>
              <w:pStyle w:val="BodyText"/>
              <w:pBdr>
                <w:top w:val="none" w:sz="0" w:space="0" w:color="auto"/>
                <w:left w:val="none" w:sz="0" w:space="0" w:color="auto"/>
                <w:bottom w:val="none" w:sz="0" w:space="0" w:color="auto"/>
                <w:right w:val="none" w:sz="0" w:space="0" w:color="auto"/>
              </w:pBdr>
              <w:shd w:val="clear" w:color="auto" w:fill="auto"/>
              <w:spacing w:line="240" w:lineRule="auto"/>
              <w:rPr>
                <w:rFonts w:ascii="Times New Roman" w:hAnsi="Times New Roman" w:cs="Times New Roman"/>
                <w:b w:val="0"/>
                <w:i w:val="0"/>
                <w:sz w:val="22"/>
                <w:szCs w:val="22"/>
              </w:rPr>
            </w:pPr>
            <w:r w:rsidR="00202BA6">
              <w:rPr>
                <w:rFonts w:ascii="Times New Roman" w:hAnsi="Times New Roman" w:cs="Times New Roman"/>
                <w:b w:val="0"/>
                <w:i w:val="0"/>
                <w:sz w:val="22"/>
                <w:szCs w:val="22"/>
              </w:rPr>
              <w:t>M</w:t>
            </w:r>
            <w:r w:rsidRPr="00D23807">
              <w:rPr>
                <w:rFonts w:ascii="Times New Roman" w:hAnsi="Times New Roman" w:cs="Times New Roman"/>
                <w:b w:val="0"/>
                <w:i w:val="0"/>
                <w:sz w:val="22"/>
                <w:szCs w:val="22"/>
              </w:rPr>
              <w:t>zdy</w:t>
            </w:r>
          </w:p>
        </w:tc>
        <w:tc>
          <w:tcPr>
            <w:tcW w:w="2520" w:type="dxa"/>
            <w:tcBorders>
              <w:top w:val="single" w:sz="12" w:space="0" w:color="auto"/>
              <w:left w:val="single" w:sz="8" w:space="0" w:color="auto"/>
              <w:bottom w:val="single" w:sz="8" w:space="0" w:color="auto"/>
              <w:right w:val="single" w:sz="12" w:space="0" w:color="auto"/>
              <w:tl2br w:val="nil"/>
              <w:tr2bl w:val="nil"/>
            </w:tcBorders>
            <w:textDirection w:val="lrTb"/>
            <w:vAlign w:val="top"/>
          </w:tcPr>
          <w:p w:rsidR="00684D28" w:rsidRPr="00D23807" w:rsidP="00C362EA">
            <w:pPr>
              <w:pStyle w:val="BodyText"/>
              <w:pBdr>
                <w:top w:val="none" w:sz="0" w:space="0" w:color="auto"/>
                <w:left w:val="none" w:sz="0" w:space="0" w:color="auto"/>
                <w:bottom w:val="none" w:sz="0" w:space="0" w:color="auto"/>
                <w:right w:val="none" w:sz="0" w:space="0" w:color="auto"/>
              </w:pBdr>
              <w:shd w:val="clear" w:color="auto" w:fill="auto"/>
              <w:spacing w:line="240" w:lineRule="auto"/>
              <w:jc w:val="right"/>
              <w:rPr>
                <w:rFonts w:ascii="Times New Roman" w:hAnsi="Times New Roman" w:cs="Times New Roman"/>
                <w:b w:val="0"/>
                <w:i w:val="0"/>
                <w:sz w:val="22"/>
                <w:szCs w:val="22"/>
              </w:rPr>
            </w:pPr>
            <w:r w:rsidR="00CB698A">
              <w:rPr>
                <w:rFonts w:ascii="Times New Roman" w:hAnsi="Times New Roman" w:cs="Times New Roman"/>
                <w:b w:val="0"/>
                <w:i w:val="0"/>
                <w:sz w:val="22"/>
                <w:szCs w:val="22"/>
              </w:rPr>
              <w:t>2</w:t>
            </w:r>
            <w:r w:rsidR="00283582">
              <w:rPr>
                <w:rFonts w:ascii="Times New Roman" w:hAnsi="Times New Roman" w:cs="Times New Roman"/>
                <w:b w:val="0"/>
                <w:i w:val="0"/>
                <w:sz w:val="22"/>
                <w:szCs w:val="22"/>
              </w:rPr>
              <w:t xml:space="preserve"> 145 000 </w:t>
            </w:r>
            <w:r w:rsidR="00D94F82">
              <w:rPr>
                <w:rFonts w:ascii="Times New Roman" w:hAnsi="Times New Roman" w:cs="Times New Roman"/>
                <w:b w:val="0"/>
                <w:i w:val="0"/>
                <w:sz w:val="22"/>
                <w:szCs w:val="22"/>
              </w:rPr>
              <w:t>000</w:t>
            </w:r>
          </w:p>
        </w:tc>
      </w:tr>
      <w:tr>
        <w:tblPrEx>
          <w:tblW w:w="0" w:type="auto"/>
          <w:tblInd w:w="2055" w:type="dxa"/>
          <w:tblCellMar>
            <w:top w:w="0" w:type="dxa"/>
            <w:left w:w="70" w:type="dxa"/>
            <w:bottom w:w="0" w:type="dxa"/>
            <w:right w:w="70" w:type="dxa"/>
          </w:tblCellMar>
        </w:tblPrEx>
        <w:trPr>
          <w:trHeight w:hRule="auto" w:val="0"/>
        </w:trPr>
        <w:tc>
          <w:tcPr>
            <w:tcW w:w="2950" w:type="dxa"/>
            <w:tcBorders>
              <w:top w:val="single" w:sz="8" w:space="0" w:color="auto"/>
              <w:left w:val="single" w:sz="12" w:space="0" w:color="auto"/>
              <w:bottom w:val="single" w:sz="8" w:space="0" w:color="auto"/>
              <w:right w:val="single" w:sz="8" w:space="0" w:color="auto"/>
              <w:tl2br w:val="nil"/>
              <w:tr2bl w:val="nil"/>
            </w:tcBorders>
            <w:textDirection w:val="lrTb"/>
            <w:vAlign w:val="top"/>
          </w:tcPr>
          <w:p w:rsidR="00684D28" w:rsidRPr="00D23807" w:rsidP="00C362EA">
            <w:pPr>
              <w:pStyle w:val="BodyText"/>
              <w:pBdr>
                <w:top w:val="none" w:sz="0" w:space="0" w:color="auto"/>
                <w:left w:val="none" w:sz="0" w:space="0" w:color="auto"/>
                <w:bottom w:val="none" w:sz="0" w:space="0" w:color="auto"/>
                <w:right w:val="none" w:sz="0" w:space="0" w:color="auto"/>
              </w:pBdr>
              <w:shd w:val="clear" w:color="auto" w:fill="auto"/>
              <w:spacing w:line="240" w:lineRule="auto"/>
              <w:rPr>
                <w:rFonts w:ascii="Times New Roman" w:hAnsi="Times New Roman" w:cs="Times New Roman"/>
                <w:b w:val="0"/>
                <w:i w:val="0"/>
                <w:sz w:val="22"/>
                <w:szCs w:val="22"/>
              </w:rPr>
            </w:pPr>
            <w:r w:rsidR="00202BA6">
              <w:rPr>
                <w:rFonts w:ascii="Times New Roman" w:hAnsi="Times New Roman" w:cs="Times New Roman"/>
                <w:b w:val="0"/>
                <w:i w:val="0"/>
                <w:sz w:val="22"/>
                <w:szCs w:val="22"/>
              </w:rPr>
              <w:t>M</w:t>
            </w:r>
            <w:r>
              <w:rPr>
                <w:rFonts w:ascii="Times New Roman" w:hAnsi="Times New Roman" w:cs="Times New Roman"/>
                <w:b w:val="0"/>
                <w:i w:val="0"/>
                <w:sz w:val="22"/>
                <w:szCs w:val="22"/>
              </w:rPr>
              <w:t>ateriál</w:t>
            </w:r>
          </w:p>
        </w:tc>
        <w:tc>
          <w:tcPr>
            <w:tcW w:w="2520" w:type="dxa"/>
            <w:tcBorders>
              <w:top w:val="single" w:sz="8" w:space="0" w:color="auto"/>
              <w:left w:val="single" w:sz="8" w:space="0" w:color="auto"/>
              <w:bottom w:val="single" w:sz="8" w:space="0" w:color="auto"/>
              <w:right w:val="single" w:sz="12" w:space="0" w:color="auto"/>
              <w:tl2br w:val="nil"/>
              <w:tr2bl w:val="nil"/>
            </w:tcBorders>
            <w:textDirection w:val="lrTb"/>
            <w:vAlign w:val="top"/>
          </w:tcPr>
          <w:p w:rsidR="00684D28" w:rsidRPr="00D23807" w:rsidP="00C362EA">
            <w:pPr>
              <w:pStyle w:val="BodyText"/>
              <w:pBdr>
                <w:top w:val="none" w:sz="0" w:space="0" w:color="auto"/>
                <w:left w:val="none" w:sz="0" w:space="0" w:color="auto"/>
                <w:bottom w:val="none" w:sz="0" w:space="0" w:color="auto"/>
                <w:right w:val="none" w:sz="0" w:space="0" w:color="auto"/>
              </w:pBdr>
              <w:shd w:val="clear" w:color="auto" w:fill="auto"/>
              <w:spacing w:line="240" w:lineRule="auto"/>
              <w:jc w:val="right"/>
              <w:rPr>
                <w:rFonts w:ascii="Times New Roman" w:hAnsi="Times New Roman" w:cs="Times New Roman"/>
                <w:b w:val="0"/>
                <w:i w:val="0"/>
                <w:sz w:val="22"/>
                <w:szCs w:val="22"/>
              </w:rPr>
            </w:pPr>
            <w:r w:rsidR="00283582">
              <w:rPr>
                <w:rFonts w:ascii="Times New Roman" w:hAnsi="Times New Roman" w:cs="Times New Roman"/>
                <w:b w:val="0"/>
                <w:i w:val="0"/>
                <w:sz w:val="22"/>
                <w:szCs w:val="22"/>
              </w:rPr>
              <w:t>150 000 000</w:t>
            </w:r>
          </w:p>
        </w:tc>
      </w:tr>
      <w:tr>
        <w:tblPrEx>
          <w:tblW w:w="0" w:type="auto"/>
          <w:tblInd w:w="2055" w:type="dxa"/>
          <w:tblCellMar>
            <w:top w:w="0" w:type="dxa"/>
            <w:left w:w="70" w:type="dxa"/>
            <w:bottom w:w="0" w:type="dxa"/>
            <w:right w:w="70" w:type="dxa"/>
          </w:tblCellMar>
        </w:tblPrEx>
        <w:trPr>
          <w:trHeight w:hRule="auto" w:val="0"/>
        </w:trPr>
        <w:tc>
          <w:tcPr>
            <w:tcW w:w="2950" w:type="dxa"/>
            <w:tcBorders>
              <w:top w:val="single" w:sz="8" w:space="0" w:color="auto"/>
              <w:left w:val="single" w:sz="12" w:space="0" w:color="auto"/>
              <w:bottom w:val="single" w:sz="8" w:space="0" w:color="auto"/>
              <w:right w:val="single" w:sz="8" w:space="0" w:color="auto"/>
              <w:tl2br w:val="nil"/>
              <w:tr2bl w:val="nil"/>
            </w:tcBorders>
            <w:textDirection w:val="lrTb"/>
            <w:vAlign w:val="top"/>
          </w:tcPr>
          <w:p w:rsidR="00684D28" w:rsidRPr="00D23807" w:rsidP="00C362EA">
            <w:pPr>
              <w:pStyle w:val="BodyText"/>
              <w:pBdr>
                <w:top w:val="none" w:sz="0" w:space="0" w:color="auto"/>
                <w:left w:val="none" w:sz="0" w:space="0" w:color="auto"/>
                <w:bottom w:val="none" w:sz="0" w:space="0" w:color="auto"/>
                <w:right w:val="none" w:sz="0" w:space="0" w:color="auto"/>
              </w:pBdr>
              <w:shd w:val="clear" w:color="auto" w:fill="auto"/>
              <w:spacing w:line="240" w:lineRule="auto"/>
              <w:rPr>
                <w:rFonts w:ascii="Times New Roman" w:hAnsi="Times New Roman" w:cs="Times New Roman"/>
                <w:b w:val="0"/>
                <w:i w:val="0"/>
                <w:sz w:val="22"/>
                <w:szCs w:val="22"/>
              </w:rPr>
            </w:pPr>
            <w:r w:rsidR="00202BA6">
              <w:rPr>
                <w:rFonts w:ascii="Times New Roman" w:hAnsi="Times New Roman" w:cs="Times New Roman"/>
                <w:b w:val="0"/>
                <w:i w:val="0"/>
                <w:sz w:val="22"/>
                <w:szCs w:val="22"/>
              </w:rPr>
              <w:t>E</w:t>
            </w:r>
            <w:r w:rsidRPr="00D23807">
              <w:rPr>
                <w:rFonts w:ascii="Times New Roman" w:hAnsi="Times New Roman" w:cs="Times New Roman"/>
                <w:b w:val="0"/>
                <w:i w:val="0"/>
                <w:sz w:val="22"/>
                <w:szCs w:val="22"/>
              </w:rPr>
              <w:t>nergie</w:t>
            </w:r>
          </w:p>
        </w:tc>
        <w:tc>
          <w:tcPr>
            <w:tcW w:w="2520" w:type="dxa"/>
            <w:tcBorders>
              <w:top w:val="single" w:sz="8" w:space="0" w:color="auto"/>
              <w:left w:val="single" w:sz="8" w:space="0" w:color="auto"/>
              <w:bottom w:val="single" w:sz="8" w:space="0" w:color="auto"/>
              <w:right w:val="single" w:sz="12" w:space="0" w:color="auto"/>
              <w:tl2br w:val="nil"/>
              <w:tr2bl w:val="nil"/>
            </w:tcBorders>
            <w:textDirection w:val="lrTb"/>
            <w:vAlign w:val="top"/>
          </w:tcPr>
          <w:p w:rsidR="00684D28" w:rsidRPr="00D23807" w:rsidP="00C362EA">
            <w:pPr>
              <w:pStyle w:val="BodyText"/>
              <w:pBdr>
                <w:top w:val="none" w:sz="0" w:space="0" w:color="auto"/>
                <w:left w:val="none" w:sz="0" w:space="0" w:color="auto"/>
                <w:bottom w:val="none" w:sz="0" w:space="0" w:color="auto"/>
                <w:right w:val="none" w:sz="0" w:space="0" w:color="auto"/>
              </w:pBdr>
              <w:shd w:val="clear" w:color="auto" w:fill="auto"/>
              <w:spacing w:line="240" w:lineRule="auto"/>
              <w:jc w:val="right"/>
              <w:rPr>
                <w:rFonts w:ascii="Times New Roman" w:hAnsi="Times New Roman" w:cs="Times New Roman"/>
                <w:b w:val="0"/>
                <w:i w:val="0"/>
                <w:sz w:val="22"/>
                <w:szCs w:val="22"/>
              </w:rPr>
            </w:pPr>
            <w:r w:rsidR="00283582">
              <w:rPr>
                <w:rFonts w:ascii="Times New Roman" w:hAnsi="Times New Roman" w:cs="Times New Roman"/>
                <w:b w:val="0"/>
                <w:i w:val="0"/>
                <w:sz w:val="22"/>
                <w:szCs w:val="22"/>
              </w:rPr>
              <w:t>120 000 000</w:t>
            </w:r>
          </w:p>
        </w:tc>
      </w:tr>
      <w:tr>
        <w:tblPrEx>
          <w:tblW w:w="0" w:type="auto"/>
          <w:tblInd w:w="2055" w:type="dxa"/>
          <w:tblCellMar>
            <w:top w:w="0" w:type="dxa"/>
            <w:left w:w="70" w:type="dxa"/>
            <w:bottom w:w="0" w:type="dxa"/>
            <w:right w:w="70" w:type="dxa"/>
          </w:tblCellMar>
        </w:tblPrEx>
        <w:trPr>
          <w:trHeight w:hRule="auto" w:val="0"/>
        </w:trPr>
        <w:tc>
          <w:tcPr>
            <w:tcW w:w="2950" w:type="dxa"/>
            <w:tcBorders>
              <w:top w:val="single" w:sz="8" w:space="0" w:color="auto"/>
              <w:left w:val="single" w:sz="12" w:space="0" w:color="auto"/>
              <w:bottom w:val="single" w:sz="8" w:space="0" w:color="auto"/>
              <w:right w:val="single" w:sz="8" w:space="0" w:color="auto"/>
              <w:tl2br w:val="nil"/>
              <w:tr2bl w:val="nil"/>
            </w:tcBorders>
            <w:textDirection w:val="lrTb"/>
            <w:vAlign w:val="top"/>
          </w:tcPr>
          <w:p w:rsidR="00684D28" w:rsidRPr="00D23807" w:rsidP="00C362EA">
            <w:pPr>
              <w:pStyle w:val="BodyText"/>
              <w:pBdr>
                <w:top w:val="none" w:sz="0" w:space="0" w:color="auto"/>
                <w:left w:val="none" w:sz="0" w:space="0" w:color="auto"/>
                <w:bottom w:val="none" w:sz="0" w:space="0" w:color="auto"/>
                <w:right w:val="none" w:sz="0" w:space="0" w:color="auto"/>
              </w:pBdr>
              <w:shd w:val="clear" w:color="auto" w:fill="auto"/>
              <w:spacing w:line="240" w:lineRule="auto"/>
              <w:rPr>
                <w:rFonts w:ascii="Times New Roman" w:hAnsi="Times New Roman" w:cs="Times New Roman"/>
                <w:b w:val="0"/>
                <w:i w:val="0"/>
                <w:sz w:val="22"/>
                <w:szCs w:val="22"/>
              </w:rPr>
            </w:pPr>
            <w:r w:rsidR="00202BA6">
              <w:rPr>
                <w:rFonts w:ascii="Times New Roman" w:hAnsi="Times New Roman" w:cs="Times New Roman"/>
                <w:b w:val="0"/>
                <w:i w:val="0"/>
                <w:sz w:val="22"/>
                <w:szCs w:val="22"/>
              </w:rPr>
              <w:t>O</w:t>
            </w:r>
            <w:r w:rsidRPr="00D23807">
              <w:rPr>
                <w:rFonts w:ascii="Times New Roman" w:hAnsi="Times New Roman" w:cs="Times New Roman"/>
                <w:b w:val="0"/>
                <w:i w:val="0"/>
                <w:sz w:val="22"/>
                <w:szCs w:val="22"/>
              </w:rPr>
              <w:t>pravy</w:t>
            </w:r>
            <w:r>
              <w:rPr>
                <w:rFonts w:ascii="Times New Roman" w:hAnsi="Times New Roman" w:cs="Times New Roman"/>
                <w:b w:val="0"/>
                <w:i w:val="0"/>
                <w:sz w:val="22"/>
                <w:szCs w:val="22"/>
              </w:rPr>
              <w:t xml:space="preserve"> a údržba</w:t>
            </w:r>
          </w:p>
        </w:tc>
        <w:tc>
          <w:tcPr>
            <w:tcW w:w="2520" w:type="dxa"/>
            <w:tcBorders>
              <w:top w:val="single" w:sz="8" w:space="0" w:color="auto"/>
              <w:left w:val="single" w:sz="8" w:space="0" w:color="auto"/>
              <w:bottom w:val="single" w:sz="8" w:space="0" w:color="auto"/>
              <w:right w:val="single" w:sz="12" w:space="0" w:color="auto"/>
              <w:tl2br w:val="nil"/>
              <w:tr2bl w:val="nil"/>
            </w:tcBorders>
            <w:textDirection w:val="lrTb"/>
            <w:vAlign w:val="top"/>
          </w:tcPr>
          <w:p w:rsidR="00684D28" w:rsidRPr="00D23807" w:rsidP="00C362EA">
            <w:pPr>
              <w:pStyle w:val="BodyText"/>
              <w:pBdr>
                <w:top w:val="none" w:sz="0" w:space="0" w:color="auto"/>
                <w:left w:val="none" w:sz="0" w:space="0" w:color="auto"/>
                <w:bottom w:val="none" w:sz="0" w:space="0" w:color="auto"/>
                <w:right w:val="none" w:sz="0" w:space="0" w:color="auto"/>
              </w:pBdr>
              <w:shd w:val="clear" w:color="auto" w:fill="auto"/>
              <w:spacing w:line="240" w:lineRule="auto"/>
              <w:jc w:val="right"/>
              <w:rPr>
                <w:rFonts w:ascii="Times New Roman" w:hAnsi="Times New Roman" w:cs="Times New Roman"/>
                <w:b w:val="0"/>
                <w:i w:val="0"/>
                <w:sz w:val="22"/>
                <w:szCs w:val="22"/>
              </w:rPr>
            </w:pPr>
            <w:r w:rsidR="00283582">
              <w:rPr>
                <w:rFonts w:ascii="Times New Roman" w:hAnsi="Times New Roman" w:cs="Times New Roman"/>
                <w:b w:val="0"/>
                <w:i w:val="0"/>
                <w:sz w:val="22"/>
                <w:szCs w:val="22"/>
              </w:rPr>
              <w:t>175 000 000</w:t>
            </w:r>
          </w:p>
        </w:tc>
      </w:tr>
      <w:tr>
        <w:tblPrEx>
          <w:tblW w:w="0" w:type="auto"/>
          <w:tblInd w:w="2055" w:type="dxa"/>
          <w:tblCellMar>
            <w:top w:w="0" w:type="dxa"/>
            <w:left w:w="70" w:type="dxa"/>
            <w:bottom w:w="0" w:type="dxa"/>
            <w:right w:w="70" w:type="dxa"/>
          </w:tblCellMar>
        </w:tblPrEx>
        <w:trPr>
          <w:trHeight w:hRule="auto" w:val="0"/>
        </w:trPr>
        <w:tc>
          <w:tcPr>
            <w:tcW w:w="2950" w:type="dxa"/>
            <w:tcBorders>
              <w:top w:val="single" w:sz="8" w:space="0" w:color="auto"/>
              <w:left w:val="single" w:sz="12" w:space="0" w:color="auto"/>
              <w:bottom w:val="single" w:sz="8" w:space="0" w:color="auto"/>
              <w:right w:val="single" w:sz="8" w:space="0" w:color="auto"/>
              <w:tl2br w:val="nil"/>
              <w:tr2bl w:val="nil"/>
            </w:tcBorders>
            <w:textDirection w:val="lrTb"/>
            <w:vAlign w:val="top"/>
          </w:tcPr>
          <w:p w:rsidR="00684D28" w:rsidRPr="00D23807" w:rsidP="00C362EA">
            <w:pPr>
              <w:pStyle w:val="BodyText"/>
              <w:pBdr>
                <w:top w:val="none" w:sz="0" w:space="0" w:color="auto"/>
                <w:left w:val="none" w:sz="0" w:space="0" w:color="auto"/>
                <w:bottom w:val="none" w:sz="0" w:space="0" w:color="auto"/>
                <w:right w:val="none" w:sz="0" w:space="0" w:color="auto"/>
              </w:pBdr>
              <w:shd w:val="clear" w:color="auto" w:fill="auto"/>
              <w:spacing w:line="240" w:lineRule="auto"/>
              <w:rPr>
                <w:rFonts w:ascii="Times New Roman" w:hAnsi="Times New Roman" w:cs="Times New Roman"/>
                <w:b w:val="0"/>
                <w:i w:val="0"/>
                <w:sz w:val="22"/>
                <w:szCs w:val="22"/>
              </w:rPr>
            </w:pPr>
            <w:r w:rsidR="00202BA6">
              <w:rPr>
                <w:rFonts w:ascii="Times New Roman" w:hAnsi="Times New Roman" w:cs="Times New Roman"/>
                <w:b w:val="0"/>
                <w:i w:val="0"/>
                <w:sz w:val="22"/>
                <w:szCs w:val="22"/>
              </w:rPr>
              <w:t>Z</w:t>
            </w:r>
            <w:r w:rsidRPr="00D23807">
              <w:rPr>
                <w:rFonts w:ascii="Times New Roman" w:hAnsi="Times New Roman" w:cs="Times New Roman"/>
                <w:b w:val="0"/>
                <w:i w:val="0"/>
                <w:sz w:val="22"/>
                <w:szCs w:val="22"/>
              </w:rPr>
              <w:t>ákonné sociálne poistenie</w:t>
            </w:r>
          </w:p>
        </w:tc>
        <w:tc>
          <w:tcPr>
            <w:tcW w:w="2520" w:type="dxa"/>
            <w:tcBorders>
              <w:top w:val="single" w:sz="8" w:space="0" w:color="auto"/>
              <w:left w:val="single" w:sz="8" w:space="0" w:color="auto"/>
              <w:bottom w:val="single" w:sz="8" w:space="0" w:color="auto"/>
              <w:right w:val="single" w:sz="12" w:space="0" w:color="auto"/>
              <w:tl2br w:val="nil"/>
              <w:tr2bl w:val="nil"/>
            </w:tcBorders>
            <w:textDirection w:val="lrTb"/>
            <w:vAlign w:val="top"/>
          </w:tcPr>
          <w:p w:rsidR="00684D28" w:rsidRPr="00D23807" w:rsidP="00C362EA">
            <w:pPr>
              <w:pStyle w:val="BodyText"/>
              <w:pBdr>
                <w:top w:val="none" w:sz="0" w:space="0" w:color="auto"/>
                <w:left w:val="none" w:sz="0" w:space="0" w:color="auto"/>
                <w:bottom w:val="none" w:sz="0" w:space="0" w:color="auto"/>
                <w:right w:val="none" w:sz="0" w:space="0" w:color="auto"/>
              </w:pBdr>
              <w:shd w:val="clear" w:color="auto" w:fill="auto"/>
              <w:spacing w:line="240" w:lineRule="auto"/>
              <w:jc w:val="right"/>
              <w:rPr>
                <w:rFonts w:ascii="Times New Roman" w:hAnsi="Times New Roman" w:cs="Times New Roman"/>
                <w:b w:val="0"/>
                <w:i w:val="0"/>
                <w:sz w:val="22"/>
                <w:szCs w:val="22"/>
              </w:rPr>
            </w:pPr>
            <w:r w:rsidR="00283582">
              <w:rPr>
                <w:rFonts w:ascii="Times New Roman" w:hAnsi="Times New Roman" w:cs="Times New Roman"/>
                <w:b w:val="0"/>
                <w:i w:val="0"/>
                <w:sz w:val="22"/>
                <w:szCs w:val="22"/>
              </w:rPr>
              <w:t>751 000 000</w:t>
            </w:r>
          </w:p>
        </w:tc>
      </w:tr>
      <w:tr>
        <w:tblPrEx>
          <w:tblW w:w="0" w:type="auto"/>
          <w:tblInd w:w="2055" w:type="dxa"/>
          <w:tblCellMar>
            <w:top w:w="0" w:type="dxa"/>
            <w:left w:w="70" w:type="dxa"/>
            <w:bottom w:w="0" w:type="dxa"/>
            <w:right w:w="70" w:type="dxa"/>
          </w:tblCellMar>
        </w:tblPrEx>
        <w:trPr>
          <w:trHeight w:hRule="auto" w:val="0"/>
        </w:trPr>
        <w:tc>
          <w:tcPr>
            <w:tcW w:w="2950" w:type="dxa"/>
            <w:tcBorders>
              <w:top w:val="single" w:sz="8" w:space="0" w:color="auto"/>
              <w:left w:val="single" w:sz="12" w:space="0" w:color="auto"/>
              <w:bottom w:val="single" w:sz="8" w:space="0" w:color="auto"/>
              <w:right w:val="single" w:sz="8" w:space="0" w:color="auto"/>
              <w:tl2br w:val="nil"/>
              <w:tr2bl w:val="nil"/>
            </w:tcBorders>
            <w:textDirection w:val="lrTb"/>
            <w:vAlign w:val="top"/>
          </w:tcPr>
          <w:p w:rsidR="00684D28" w:rsidRPr="00D23807" w:rsidP="00C362EA">
            <w:pPr>
              <w:pStyle w:val="BodyText"/>
              <w:pBdr>
                <w:top w:val="none" w:sz="0" w:space="0" w:color="auto"/>
                <w:left w:val="none" w:sz="0" w:space="0" w:color="auto"/>
                <w:bottom w:val="none" w:sz="0" w:space="0" w:color="auto"/>
                <w:right w:val="none" w:sz="0" w:space="0" w:color="auto"/>
              </w:pBdr>
              <w:shd w:val="clear" w:color="auto" w:fill="auto"/>
              <w:spacing w:line="240" w:lineRule="auto"/>
              <w:rPr>
                <w:rFonts w:ascii="Times New Roman" w:hAnsi="Times New Roman" w:cs="Times New Roman"/>
                <w:b w:val="0"/>
                <w:i w:val="0"/>
                <w:sz w:val="22"/>
                <w:szCs w:val="22"/>
              </w:rPr>
            </w:pPr>
            <w:r w:rsidR="00202BA6">
              <w:rPr>
                <w:rFonts w:ascii="Times New Roman" w:hAnsi="Times New Roman" w:cs="Times New Roman"/>
                <w:b w:val="0"/>
                <w:i w:val="0"/>
                <w:sz w:val="22"/>
                <w:szCs w:val="22"/>
              </w:rPr>
              <w:t>C</w:t>
            </w:r>
            <w:r>
              <w:rPr>
                <w:rFonts w:ascii="Times New Roman" w:hAnsi="Times New Roman" w:cs="Times New Roman"/>
                <w:b w:val="0"/>
                <w:i w:val="0"/>
                <w:sz w:val="22"/>
                <w:szCs w:val="22"/>
              </w:rPr>
              <w:t>estovné</w:t>
            </w:r>
          </w:p>
        </w:tc>
        <w:tc>
          <w:tcPr>
            <w:tcW w:w="2520" w:type="dxa"/>
            <w:tcBorders>
              <w:top w:val="single" w:sz="8" w:space="0" w:color="auto"/>
              <w:left w:val="single" w:sz="8" w:space="0" w:color="auto"/>
              <w:bottom w:val="single" w:sz="8" w:space="0" w:color="auto"/>
              <w:right w:val="single" w:sz="12" w:space="0" w:color="auto"/>
              <w:tl2br w:val="nil"/>
              <w:tr2bl w:val="nil"/>
            </w:tcBorders>
            <w:textDirection w:val="lrTb"/>
            <w:vAlign w:val="top"/>
          </w:tcPr>
          <w:p w:rsidR="00684D28" w:rsidRPr="00D23807" w:rsidP="00C362EA">
            <w:pPr>
              <w:pStyle w:val="BodyText"/>
              <w:pBdr>
                <w:top w:val="none" w:sz="0" w:space="0" w:color="auto"/>
                <w:left w:val="none" w:sz="0" w:space="0" w:color="auto"/>
                <w:bottom w:val="none" w:sz="0" w:space="0" w:color="auto"/>
                <w:right w:val="none" w:sz="0" w:space="0" w:color="auto"/>
              </w:pBdr>
              <w:shd w:val="clear" w:color="auto" w:fill="auto"/>
              <w:spacing w:line="240" w:lineRule="auto"/>
              <w:jc w:val="right"/>
              <w:rPr>
                <w:rFonts w:ascii="Times New Roman" w:hAnsi="Times New Roman" w:cs="Times New Roman"/>
                <w:b w:val="0"/>
                <w:i w:val="0"/>
                <w:sz w:val="22"/>
                <w:szCs w:val="22"/>
              </w:rPr>
            </w:pPr>
            <w:r w:rsidR="00283582">
              <w:rPr>
                <w:rFonts w:ascii="Times New Roman" w:hAnsi="Times New Roman" w:cs="Times New Roman"/>
                <w:b w:val="0"/>
                <w:i w:val="0"/>
                <w:sz w:val="22"/>
                <w:szCs w:val="22"/>
              </w:rPr>
              <w:t>45 000 000</w:t>
            </w:r>
          </w:p>
        </w:tc>
      </w:tr>
      <w:tr>
        <w:tblPrEx>
          <w:tblW w:w="0" w:type="auto"/>
          <w:tblInd w:w="2055" w:type="dxa"/>
          <w:tblCellMar>
            <w:top w:w="0" w:type="dxa"/>
            <w:left w:w="70" w:type="dxa"/>
            <w:bottom w:w="0" w:type="dxa"/>
            <w:right w:w="70" w:type="dxa"/>
          </w:tblCellMar>
        </w:tblPrEx>
        <w:trPr>
          <w:trHeight w:hRule="auto" w:val="0"/>
        </w:trPr>
        <w:tc>
          <w:tcPr>
            <w:tcW w:w="2950" w:type="dxa"/>
            <w:tcBorders>
              <w:top w:val="single" w:sz="8" w:space="0" w:color="auto"/>
              <w:left w:val="single" w:sz="12" w:space="0" w:color="auto"/>
              <w:bottom w:val="single" w:sz="12" w:space="0" w:color="auto"/>
              <w:right w:val="single" w:sz="8" w:space="0" w:color="auto"/>
              <w:tl2br w:val="nil"/>
              <w:tr2bl w:val="nil"/>
            </w:tcBorders>
            <w:textDirection w:val="lrTb"/>
            <w:vAlign w:val="top"/>
          </w:tcPr>
          <w:p w:rsidR="00684D28" w:rsidRPr="00D23807" w:rsidP="00C362EA">
            <w:pPr>
              <w:pStyle w:val="BodyText"/>
              <w:pBdr>
                <w:top w:val="none" w:sz="0" w:space="0" w:color="auto"/>
                <w:left w:val="none" w:sz="0" w:space="0" w:color="auto"/>
                <w:bottom w:val="none" w:sz="0" w:space="0" w:color="auto"/>
                <w:right w:val="none" w:sz="0" w:space="0" w:color="auto"/>
              </w:pBdr>
              <w:shd w:val="clear" w:color="auto" w:fill="auto"/>
              <w:spacing w:line="240" w:lineRule="auto"/>
              <w:rPr>
                <w:rFonts w:ascii="Times New Roman" w:hAnsi="Times New Roman" w:cs="Times New Roman"/>
                <w:b w:val="0"/>
                <w:i w:val="0"/>
                <w:sz w:val="22"/>
                <w:szCs w:val="22"/>
              </w:rPr>
            </w:pPr>
            <w:r w:rsidR="00202BA6">
              <w:rPr>
                <w:rFonts w:ascii="Times New Roman" w:hAnsi="Times New Roman" w:cs="Times New Roman"/>
                <w:b w:val="0"/>
                <w:i w:val="0"/>
                <w:sz w:val="22"/>
                <w:szCs w:val="22"/>
              </w:rPr>
              <w:t>O</w:t>
            </w:r>
            <w:r>
              <w:rPr>
                <w:rFonts w:ascii="Times New Roman" w:hAnsi="Times New Roman" w:cs="Times New Roman"/>
                <w:b w:val="0"/>
                <w:i w:val="0"/>
                <w:sz w:val="22"/>
                <w:szCs w:val="22"/>
              </w:rPr>
              <w:t xml:space="preserve">statné služby </w:t>
            </w:r>
          </w:p>
        </w:tc>
        <w:tc>
          <w:tcPr>
            <w:tcW w:w="2520" w:type="dxa"/>
            <w:tcBorders>
              <w:top w:val="single" w:sz="8" w:space="0" w:color="auto"/>
              <w:left w:val="single" w:sz="8" w:space="0" w:color="auto"/>
              <w:bottom w:val="single" w:sz="12" w:space="0" w:color="auto"/>
              <w:right w:val="single" w:sz="12" w:space="0" w:color="auto"/>
              <w:tl2br w:val="nil"/>
              <w:tr2bl w:val="nil"/>
            </w:tcBorders>
            <w:textDirection w:val="lrTb"/>
            <w:vAlign w:val="top"/>
          </w:tcPr>
          <w:p w:rsidR="00684D28" w:rsidRPr="00D23807" w:rsidP="00C362EA">
            <w:pPr>
              <w:pStyle w:val="BodyText"/>
              <w:pBdr>
                <w:top w:val="none" w:sz="0" w:space="0" w:color="auto"/>
                <w:left w:val="none" w:sz="0" w:space="0" w:color="auto"/>
                <w:bottom w:val="none" w:sz="0" w:space="0" w:color="auto"/>
                <w:right w:val="none" w:sz="0" w:space="0" w:color="auto"/>
              </w:pBdr>
              <w:shd w:val="clear" w:color="auto" w:fill="auto"/>
              <w:spacing w:line="240" w:lineRule="auto"/>
              <w:jc w:val="right"/>
              <w:rPr>
                <w:rFonts w:ascii="Times New Roman" w:hAnsi="Times New Roman" w:cs="Times New Roman"/>
                <w:b w:val="0"/>
                <w:i w:val="0"/>
                <w:sz w:val="22"/>
                <w:szCs w:val="22"/>
              </w:rPr>
            </w:pPr>
            <w:r w:rsidR="00283582">
              <w:rPr>
                <w:rFonts w:ascii="Times New Roman" w:hAnsi="Times New Roman" w:cs="Times New Roman"/>
                <w:b w:val="0"/>
                <w:i w:val="0"/>
                <w:sz w:val="22"/>
                <w:szCs w:val="22"/>
              </w:rPr>
              <w:t>214 000 000</w:t>
            </w:r>
          </w:p>
        </w:tc>
      </w:tr>
      <w:tr>
        <w:tblPrEx>
          <w:tblW w:w="0" w:type="auto"/>
          <w:tblInd w:w="2055" w:type="dxa"/>
          <w:tblCellMar>
            <w:top w:w="0" w:type="dxa"/>
            <w:left w:w="70" w:type="dxa"/>
            <w:bottom w:w="0" w:type="dxa"/>
            <w:right w:w="70" w:type="dxa"/>
          </w:tblCellMar>
        </w:tblPrEx>
        <w:trPr>
          <w:trHeight w:hRule="auto" w:val="0"/>
        </w:trPr>
        <w:tc>
          <w:tcPr>
            <w:tcW w:w="2950" w:type="dxa"/>
            <w:tcBorders>
              <w:top w:val="single" w:sz="12" w:space="0" w:color="auto"/>
              <w:left w:val="single" w:sz="12" w:space="0" w:color="auto"/>
              <w:bottom w:val="single" w:sz="12" w:space="0" w:color="auto"/>
              <w:right w:val="single" w:sz="8" w:space="0" w:color="auto"/>
              <w:tl2br w:val="nil"/>
              <w:tr2bl w:val="nil"/>
            </w:tcBorders>
            <w:shd w:val="clear" w:color="auto" w:fill="C0C0C0"/>
            <w:textDirection w:val="lrTb"/>
            <w:vAlign w:val="top"/>
          </w:tcPr>
          <w:p w:rsidR="00684D28" w:rsidRPr="00D23807" w:rsidP="00C362EA">
            <w:pPr>
              <w:pStyle w:val="BodyText"/>
              <w:pBdr>
                <w:top w:val="none" w:sz="0" w:space="0" w:color="auto"/>
                <w:left w:val="none" w:sz="0" w:space="0" w:color="auto"/>
                <w:bottom w:val="none" w:sz="0" w:space="0" w:color="auto"/>
                <w:right w:val="none" w:sz="0" w:space="0" w:color="auto"/>
              </w:pBdr>
              <w:shd w:val="clear" w:color="auto" w:fill="auto"/>
              <w:spacing w:line="240" w:lineRule="auto"/>
              <w:rPr>
                <w:rFonts w:ascii="Times New Roman" w:hAnsi="Times New Roman" w:cs="Times New Roman"/>
                <w:bCs/>
                <w:i w:val="0"/>
                <w:sz w:val="22"/>
                <w:szCs w:val="22"/>
              </w:rPr>
            </w:pPr>
            <w:r w:rsidRPr="00D23807">
              <w:rPr>
                <w:rFonts w:ascii="Times New Roman" w:hAnsi="Times New Roman" w:cs="Times New Roman"/>
                <w:bCs/>
                <w:i w:val="0"/>
                <w:sz w:val="22"/>
                <w:szCs w:val="22"/>
              </w:rPr>
              <w:t>Spolu</w:t>
            </w:r>
          </w:p>
        </w:tc>
        <w:tc>
          <w:tcPr>
            <w:tcW w:w="2520" w:type="dxa"/>
            <w:tcBorders>
              <w:top w:val="single" w:sz="12" w:space="0" w:color="auto"/>
              <w:left w:val="single" w:sz="8" w:space="0" w:color="auto"/>
              <w:bottom w:val="single" w:sz="12" w:space="0" w:color="auto"/>
              <w:right w:val="single" w:sz="12" w:space="0" w:color="auto"/>
              <w:tl2br w:val="nil"/>
              <w:tr2bl w:val="nil"/>
            </w:tcBorders>
            <w:shd w:val="clear" w:color="auto" w:fill="C0C0C0"/>
            <w:textDirection w:val="lrTb"/>
            <w:vAlign w:val="top"/>
          </w:tcPr>
          <w:p w:rsidR="00684D28" w:rsidRPr="00D23807" w:rsidP="00C362EA">
            <w:pPr>
              <w:pStyle w:val="BodyText"/>
              <w:pBdr>
                <w:top w:val="none" w:sz="0" w:space="0" w:color="auto"/>
                <w:left w:val="none" w:sz="0" w:space="0" w:color="auto"/>
                <w:bottom w:val="none" w:sz="0" w:space="0" w:color="auto"/>
                <w:right w:val="none" w:sz="0" w:space="0" w:color="auto"/>
              </w:pBdr>
              <w:shd w:val="clear" w:color="auto" w:fill="auto"/>
              <w:spacing w:line="240" w:lineRule="auto"/>
              <w:jc w:val="right"/>
              <w:rPr>
                <w:rFonts w:ascii="Times New Roman" w:hAnsi="Times New Roman" w:cs="Times New Roman"/>
                <w:bCs/>
                <w:i w:val="0"/>
                <w:sz w:val="22"/>
                <w:szCs w:val="22"/>
              </w:rPr>
            </w:pPr>
            <w:r w:rsidR="00D94F82">
              <w:rPr>
                <w:rFonts w:ascii="Times New Roman" w:hAnsi="Times New Roman" w:cs="Times New Roman"/>
                <w:bCs/>
                <w:i w:val="0"/>
                <w:sz w:val="22"/>
                <w:szCs w:val="22"/>
              </w:rPr>
              <w:t>3 600</w:t>
            </w:r>
            <w:r w:rsidR="00EB3F89">
              <w:rPr>
                <w:rFonts w:ascii="Times New Roman" w:hAnsi="Times New Roman" w:cs="Times New Roman"/>
                <w:bCs/>
                <w:i w:val="0"/>
                <w:sz w:val="22"/>
                <w:szCs w:val="22"/>
              </w:rPr>
              <w:t> </w:t>
            </w:r>
            <w:r w:rsidRPr="00D23807">
              <w:rPr>
                <w:rFonts w:ascii="Times New Roman" w:hAnsi="Times New Roman" w:cs="Times New Roman"/>
                <w:bCs/>
                <w:i w:val="0"/>
                <w:sz w:val="22"/>
                <w:szCs w:val="22"/>
              </w:rPr>
              <w:t>000</w:t>
            </w:r>
            <w:r w:rsidR="00EB3F89">
              <w:rPr>
                <w:rFonts w:ascii="Times New Roman" w:hAnsi="Times New Roman" w:cs="Times New Roman"/>
                <w:bCs/>
                <w:i w:val="0"/>
                <w:sz w:val="22"/>
                <w:szCs w:val="22"/>
              </w:rPr>
              <w:t xml:space="preserve"> 000</w:t>
            </w:r>
          </w:p>
        </w:tc>
      </w:tr>
    </w:tbl>
    <w:p w:rsidR="002710B0" w:rsidP="00C965AD">
      <w:pPr>
        <w:pStyle w:val="BodyTextIndent3"/>
        <w:spacing w:line="240" w:lineRule="auto"/>
        <w:ind w:firstLine="0"/>
        <w:rPr>
          <w:rFonts w:ascii="Times New Roman" w:hAnsi="Times New Roman" w:cs="Times New Roman"/>
          <w:sz w:val="24"/>
          <w:szCs w:val="24"/>
        </w:rPr>
      </w:pPr>
    </w:p>
    <w:p w:rsidR="0034466B" w:rsidRPr="00562294" w:rsidP="0034466B">
      <w:pPr>
        <w:pStyle w:val="BodyTextIndent3"/>
        <w:spacing w:line="240" w:lineRule="auto"/>
        <w:ind w:firstLine="709"/>
        <w:rPr>
          <w:rFonts w:ascii="Times New Roman" w:hAnsi="Times New Roman" w:cs="Times New Roman"/>
          <w:sz w:val="24"/>
          <w:szCs w:val="24"/>
        </w:rPr>
      </w:pPr>
      <w:r w:rsidRPr="00562294">
        <w:rPr>
          <w:rFonts w:ascii="Times New Roman" w:hAnsi="Times New Roman" w:cs="Times New Roman"/>
          <w:sz w:val="24"/>
          <w:szCs w:val="24"/>
        </w:rPr>
        <w:t>Vyhodnotenie</w:t>
      </w:r>
      <w:r w:rsidR="00A0697B">
        <w:rPr>
          <w:rFonts w:ascii="Times New Roman" w:hAnsi="Times New Roman" w:cs="Times New Roman"/>
          <w:sz w:val="24"/>
          <w:szCs w:val="24"/>
        </w:rPr>
        <w:t xml:space="preserve"> Zmluvy o </w:t>
      </w:r>
      <w:r w:rsidRPr="00562294" w:rsidR="00562294">
        <w:rPr>
          <w:rFonts w:ascii="Times New Roman" w:hAnsi="Times New Roman" w:cs="Times New Roman"/>
          <w:sz w:val="24"/>
          <w:szCs w:val="24"/>
        </w:rPr>
        <w:t>prevádzkovaní dráh</w:t>
      </w:r>
      <w:r w:rsidR="00A0697B">
        <w:rPr>
          <w:rFonts w:ascii="Times New Roman" w:hAnsi="Times New Roman" w:cs="Times New Roman"/>
          <w:sz w:val="24"/>
          <w:szCs w:val="24"/>
        </w:rPr>
        <w:t xml:space="preserve"> </w:t>
      </w:r>
      <w:r w:rsidRPr="00562294" w:rsidR="00562294">
        <w:rPr>
          <w:rFonts w:ascii="Times New Roman" w:hAnsi="Times New Roman" w:cs="Times New Roman"/>
          <w:sz w:val="24"/>
          <w:szCs w:val="24"/>
        </w:rPr>
        <w:t xml:space="preserve">na </w:t>
      </w:r>
      <w:r w:rsidR="00D94F82">
        <w:rPr>
          <w:rFonts w:ascii="Times New Roman" w:hAnsi="Times New Roman" w:cs="Times New Roman"/>
          <w:sz w:val="24"/>
          <w:szCs w:val="24"/>
        </w:rPr>
        <w:t>rok 2007</w:t>
      </w:r>
      <w:r w:rsidRPr="00562294">
        <w:rPr>
          <w:rFonts w:ascii="Times New Roman" w:hAnsi="Times New Roman" w:cs="Times New Roman"/>
          <w:sz w:val="24"/>
          <w:szCs w:val="24"/>
        </w:rPr>
        <w:t xml:space="preserve"> vrátane analýzy ekonomicky oprávnených nákladov bude k dispozícií po ukonče</w:t>
      </w:r>
      <w:r w:rsidR="00D94F82">
        <w:rPr>
          <w:rFonts w:ascii="Times New Roman" w:hAnsi="Times New Roman" w:cs="Times New Roman"/>
          <w:sz w:val="24"/>
          <w:szCs w:val="24"/>
        </w:rPr>
        <w:t>ní účtovnej závierky za rok 2007</w:t>
      </w:r>
      <w:r w:rsidRPr="00562294">
        <w:rPr>
          <w:rFonts w:ascii="Times New Roman" w:hAnsi="Times New Roman" w:cs="Times New Roman"/>
          <w:sz w:val="24"/>
          <w:szCs w:val="24"/>
        </w:rPr>
        <w:t xml:space="preserve"> a</w:t>
      </w:r>
      <w:r w:rsidR="00BE1A59">
        <w:rPr>
          <w:rFonts w:ascii="Times New Roman" w:hAnsi="Times New Roman" w:cs="Times New Roman"/>
          <w:sz w:val="24"/>
          <w:szCs w:val="24"/>
        </w:rPr>
        <w:t xml:space="preserve"> audite </w:t>
      </w:r>
      <w:r w:rsidRPr="00562294">
        <w:rPr>
          <w:rFonts w:ascii="Times New Roman" w:hAnsi="Times New Roman" w:cs="Times New Roman"/>
          <w:sz w:val="24"/>
          <w:szCs w:val="24"/>
        </w:rPr>
        <w:t>ekonomicky oprávnených nákladov nezávislý</w:t>
      </w:r>
      <w:r w:rsidR="00D94F82">
        <w:rPr>
          <w:rFonts w:ascii="Times New Roman" w:hAnsi="Times New Roman" w:cs="Times New Roman"/>
          <w:sz w:val="24"/>
          <w:szCs w:val="24"/>
        </w:rPr>
        <w:t>m audítorom v priebehu mája 2008</w:t>
      </w:r>
      <w:r w:rsidRPr="00562294">
        <w:rPr>
          <w:rFonts w:ascii="Times New Roman" w:hAnsi="Times New Roman" w:cs="Times New Roman"/>
          <w:sz w:val="24"/>
          <w:szCs w:val="24"/>
        </w:rPr>
        <w:t>.</w:t>
      </w:r>
      <w:r w:rsidR="00A0697B">
        <w:rPr>
          <w:rFonts w:ascii="Times New Roman" w:hAnsi="Times New Roman" w:cs="Times New Roman"/>
          <w:sz w:val="24"/>
          <w:szCs w:val="24"/>
        </w:rPr>
        <w:t xml:space="preserve"> </w:t>
      </w:r>
    </w:p>
    <w:p w:rsidR="002710B0" w:rsidP="00033A08">
      <w:pPr>
        <w:pStyle w:val="NormalIndent"/>
        <w:tabs>
          <w:tab w:val="left" w:pos="0"/>
        </w:tabs>
        <w:spacing w:line="240" w:lineRule="auto"/>
        <w:ind w:left="0"/>
        <w:rPr>
          <w:rFonts w:ascii="Times New Roman" w:hAnsi="Times New Roman" w:cs="Times New Roman"/>
          <w:b/>
          <w:bCs/>
        </w:rPr>
      </w:pPr>
    </w:p>
    <w:p w:rsidR="00033A08" w:rsidP="00033A08">
      <w:pPr>
        <w:pStyle w:val="NormalIndent"/>
        <w:tabs>
          <w:tab w:val="left" w:pos="0"/>
        </w:tabs>
        <w:spacing w:line="240" w:lineRule="auto"/>
        <w:ind w:left="0"/>
        <w:rPr>
          <w:rFonts w:ascii="Times New Roman" w:hAnsi="Times New Roman" w:cs="Times New Roman"/>
          <w:b/>
          <w:bCs/>
        </w:rPr>
      </w:pPr>
      <w:r w:rsidR="00684D28">
        <w:rPr>
          <w:rFonts w:ascii="Times New Roman" w:hAnsi="Times New Roman" w:cs="Times New Roman"/>
          <w:b/>
          <w:bCs/>
        </w:rPr>
        <w:t>2</w:t>
      </w:r>
      <w:r w:rsidRPr="00D23807" w:rsidR="00684D28">
        <w:rPr>
          <w:rFonts w:ascii="Times New Roman" w:hAnsi="Times New Roman" w:cs="Times New Roman"/>
          <w:b/>
          <w:bCs/>
        </w:rPr>
        <w:t>/ investičné dotácie (kapitálové transfery</w:t>
      </w:r>
      <w:r w:rsidR="00684D28">
        <w:rPr>
          <w:rFonts w:ascii="Times New Roman" w:hAnsi="Times New Roman" w:cs="Times New Roman"/>
          <w:b/>
          <w:bCs/>
        </w:rPr>
        <w:t xml:space="preserve"> 720</w:t>
      </w:r>
      <w:r w:rsidRPr="00D23807" w:rsidR="00684D28">
        <w:rPr>
          <w:rFonts w:ascii="Times New Roman" w:hAnsi="Times New Roman" w:cs="Times New Roman"/>
          <w:b/>
          <w:bCs/>
        </w:rPr>
        <w:t xml:space="preserve">) – prostriedky zo štátneho rozpočtu </w:t>
      </w:r>
      <w:r w:rsidR="00684D28">
        <w:rPr>
          <w:rFonts w:ascii="Times New Roman" w:hAnsi="Times New Roman" w:cs="Times New Roman"/>
          <w:b/>
          <w:bCs/>
        </w:rPr>
        <w:t>bez národného spolufinancovania – podprogram 07S06 Rozvoj a modernizácia majetku železníc, prvok 07S0601 – Výstavba a obnova železničných tratí</w:t>
      </w:r>
    </w:p>
    <w:p w:rsidR="002710B0" w:rsidP="00033A08">
      <w:pPr>
        <w:pStyle w:val="NormalIndent"/>
        <w:tabs>
          <w:tab w:val="left" w:pos="0"/>
        </w:tabs>
        <w:spacing w:line="240" w:lineRule="auto"/>
        <w:ind w:left="0"/>
        <w:rPr>
          <w:rFonts w:ascii="Times New Roman" w:hAnsi="Times New Roman" w:cs="Times New Roman"/>
          <w:b/>
          <w:bCs/>
        </w:rPr>
      </w:pPr>
    </w:p>
    <w:p w:rsidR="002710B0" w:rsidRPr="0057307B" w:rsidP="0057307B">
      <w:pPr>
        <w:pStyle w:val="NormalIndent"/>
        <w:tabs>
          <w:tab w:val="left" w:pos="0"/>
        </w:tabs>
        <w:spacing w:line="240" w:lineRule="auto"/>
        <w:ind w:left="0"/>
        <w:rPr>
          <w:rFonts w:cs="Times New Roman"/>
        </w:rPr>
      </w:pPr>
      <w:r w:rsidR="00033A08">
        <w:rPr>
          <w:rFonts w:ascii="Times New Roman" w:hAnsi="Times New Roman" w:cs="Times New Roman"/>
          <w:b/>
          <w:bCs/>
        </w:rPr>
        <w:tab/>
      </w:r>
      <w:r w:rsidR="0057307B">
        <w:rPr>
          <w:rFonts w:cs="Times New Roman"/>
        </w:rPr>
        <w:t xml:space="preserve">Schválený rozpočet kapitálových transferov pre Železnice SR predstavoval 1 277 831 tis. </w:t>
      </w:r>
      <w:r w:rsidR="00033A08">
        <w:rPr>
          <w:rFonts w:cs="Times New Roman"/>
        </w:rPr>
        <w:t xml:space="preserve">Sk </w:t>
      </w:r>
      <w:r w:rsidR="0057307B">
        <w:rPr>
          <w:rFonts w:cs="Times New Roman"/>
        </w:rPr>
        <w:t>a bol určený</w:t>
      </w:r>
      <w:r w:rsidR="00033A08">
        <w:rPr>
          <w:rFonts w:cs="Times New Roman"/>
        </w:rPr>
        <w:t xml:space="preserve"> na</w:t>
      </w:r>
      <w:r w:rsidR="00187EC2">
        <w:rPr>
          <w:rFonts w:cs="Times New Roman"/>
        </w:rPr>
        <w:t xml:space="preserve"> realizáciu plánovaných investičných akcií. V priebehu rok</w:t>
      </w:r>
      <w:r w:rsidR="0057307B">
        <w:rPr>
          <w:rFonts w:cs="Times New Roman"/>
        </w:rPr>
        <w:t xml:space="preserve">a bol rozpočtovými opatreniami </w:t>
      </w:r>
      <w:r w:rsidR="00FF0AE4">
        <w:rPr>
          <w:rFonts w:cs="Times New Roman"/>
        </w:rPr>
        <w:t>upravený na 1 088 489 545</w:t>
      </w:r>
      <w:r w:rsidR="00187EC2">
        <w:rPr>
          <w:rFonts w:cs="Times New Roman"/>
        </w:rPr>
        <w:t>,- Sk.</w:t>
      </w:r>
      <w:r w:rsidR="001350C5">
        <w:rPr>
          <w:rFonts w:cs="Times New Roman"/>
        </w:rPr>
        <w:t xml:space="preserve"> Poukazovanie týchto zdrojov Železniciam SR sa realizuje na základe uzatvorenej </w:t>
      </w:r>
      <w:r w:rsidR="001350C5">
        <w:rPr>
          <w:rFonts w:cs="Times New Roman"/>
          <w:color w:val="000000"/>
          <w:szCs w:val="24"/>
          <w:lang w:eastAsia="sk-SK"/>
        </w:rPr>
        <w:t>Zmluvy č. 10/2700/2007 o poskytnutí kapitálových transferov</w:t>
      </w:r>
      <w:r w:rsidR="0057307B">
        <w:rPr>
          <w:rFonts w:cs="Times New Roman"/>
          <w:color w:val="000000"/>
          <w:szCs w:val="24"/>
          <w:lang w:eastAsia="sk-SK"/>
        </w:rPr>
        <w:t xml:space="preserve"> z rozpočtovej kapitoly MDPT SR, </w:t>
      </w:r>
      <w:r w:rsidR="001350C5">
        <w:rPr>
          <w:rFonts w:cs="Times New Roman"/>
          <w:color w:val="000000"/>
          <w:szCs w:val="24"/>
          <w:lang w:eastAsia="sk-SK"/>
        </w:rPr>
        <w:t>na zá</w:t>
      </w:r>
      <w:r w:rsidR="00EB5C51">
        <w:rPr>
          <w:rFonts w:cs="Times New Roman"/>
          <w:color w:val="000000"/>
          <w:szCs w:val="24"/>
          <w:lang w:eastAsia="sk-SK"/>
        </w:rPr>
        <w:t xml:space="preserve">klade schváleného zákona </w:t>
      </w:r>
      <w:r w:rsidR="001350C5">
        <w:rPr>
          <w:rFonts w:cs="Times New Roman"/>
          <w:color w:val="000000"/>
          <w:szCs w:val="24"/>
          <w:lang w:eastAsia="sk-SK"/>
        </w:rPr>
        <w:t xml:space="preserve">č. 681/2006 o štátnom rozpočte na rok 2007 </w:t>
      </w:r>
      <w:r w:rsidR="00EB5C51">
        <w:rPr>
          <w:rFonts w:cs="Times New Roman"/>
          <w:color w:val="000000"/>
          <w:szCs w:val="24"/>
          <w:lang w:eastAsia="sk-SK"/>
        </w:rPr>
        <w:t xml:space="preserve">a podľa § 18 ods.1 zákona </w:t>
      </w:r>
      <w:r w:rsidR="001350C5">
        <w:rPr>
          <w:rFonts w:cs="Times New Roman"/>
          <w:color w:val="000000"/>
          <w:szCs w:val="24"/>
          <w:lang w:eastAsia="sk-SK"/>
        </w:rPr>
        <w:t>č. 258/1993 Z.z. o Železniciach Slovenskej republiky. V priebehu roka sa zmluva upravuje dodatkami</w:t>
      </w:r>
      <w:r w:rsidR="00B654FA">
        <w:rPr>
          <w:rFonts w:cs="Times New Roman"/>
          <w:color w:val="000000"/>
          <w:szCs w:val="24"/>
          <w:lang w:eastAsia="sk-SK"/>
        </w:rPr>
        <w:t xml:space="preserve"> (následne rozpočtovými opatreniami)</w:t>
      </w:r>
      <w:r w:rsidR="001350C5">
        <w:rPr>
          <w:rFonts w:cs="Times New Roman"/>
          <w:color w:val="000000"/>
          <w:szCs w:val="24"/>
          <w:lang w:eastAsia="sk-SK"/>
        </w:rPr>
        <w:t>, ktorými sa menia zdroje medzi je</w:t>
      </w:r>
      <w:r w:rsidR="00B654FA">
        <w:rPr>
          <w:rFonts w:cs="Times New Roman"/>
          <w:color w:val="000000"/>
          <w:szCs w:val="24"/>
          <w:lang w:eastAsia="sk-SK"/>
        </w:rPr>
        <w:t xml:space="preserve">dnotlivými investičnými akciami, </w:t>
      </w:r>
      <w:r w:rsidR="001350C5">
        <w:rPr>
          <w:rFonts w:cs="Times New Roman"/>
          <w:color w:val="000000"/>
          <w:szCs w:val="24"/>
          <w:lang w:eastAsia="sk-SK"/>
        </w:rPr>
        <w:t xml:space="preserve">a to podľa priebehu ich realizácie, úprav harmonogramov výstavby a pod.. Výsledkom týchto zmien je upravený rozpočet kapitálových transferov pre Železnice SR k 31.12.2007. </w:t>
      </w:r>
      <w:r w:rsidR="00B654FA">
        <w:rPr>
          <w:rFonts w:cs="Times New Roman"/>
          <w:color w:val="000000"/>
          <w:szCs w:val="24"/>
          <w:lang w:eastAsia="sk-SK"/>
        </w:rPr>
        <w:t xml:space="preserve">Ich </w:t>
      </w:r>
      <w:r w:rsidR="00B654FA">
        <w:rPr>
          <w:rFonts w:cs="Times New Roman"/>
        </w:rPr>
        <w:t>s</w:t>
      </w:r>
      <w:r w:rsidR="006659EC">
        <w:rPr>
          <w:rFonts w:cs="Times New Roman"/>
        </w:rPr>
        <w:t>kutočné čerpanie k 31.</w:t>
      </w:r>
      <w:r w:rsidR="007F7EB2">
        <w:rPr>
          <w:rFonts w:cs="Times New Roman"/>
        </w:rPr>
        <w:t>12.20</w:t>
      </w:r>
      <w:r w:rsidR="001350C5">
        <w:rPr>
          <w:rFonts w:cs="Times New Roman"/>
        </w:rPr>
        <w:t xml:space="preserve">07 dosiahlo 1 055 646 925,77 Sk </w:t>
      </w:r>
      <w:r w:rsidR="007F7EB2">
        <w:rPr>
          <w:rFonts w:cs="Times New Roman"/>
        </w:rPr>
        <w:t>a</w:t>
      </w:r>
      <w:r w:rsidR="00B654FA">
        <w:rPr>
          <w:rFonts w:cs="Times New Roman"/>
        </w:rPr>
        <w:t xml:space="preserve"> spolu </w:t>
      </w:r>
      <w:r w:rsidR="007F7EB2">
        <w:rPr>
          <w:rFonts w:cs="Times New Roman"/>
        </w:rPr>
        <w:t>s mimorozpočtovými prostriedkami určenými na financovanie projektov TEN-T bolo čerpanie výdavkov až do výšky 1 092 474 867,05 Sk.</w:t>
      </w:r>
    </w:p>
    <w:p w:rsidR="00302EFE" w:rsidRPr="00EB3F89" w:rsidP="006659EC">
      <w:pPr>
        <w:spacing w:line="240" w:lineRule="auto"/>
        <w:rPr>
          <w:rFonts w:ascii="Arial Narrow" w:hAnsi="Arial Narrow" w:cs="Times New Roman"/>
        </w:rPr>
      </w:pPr>
      <w:r w:rsidRPr="00EB3F89">
        <w:rPr>
          <w:rFonts w:ascii="Arial Narrow" w:hAnsi="Arial Narrow" w:cs="Times New Roman"/>
        </w:rPr>
        <w:t xml:space="preserve">                                                                  </w:t>
      </w:r>
      <w:r w:rsidRPr="00EB3F89" w:rsidR="00EB3F89">
        <w:rPr>
          <w:rFonts w:ascii="Arial Narrow" w:hAnsi="Arial Narrow" w:cs="Times New Roman"/>
        </w:rPr>
        <w:t xml:space="preserve">                                                                       </w:t>
      </w:r>
      <w:r w:rsidR="00EB3F89">
        <w:rPr>
          <w:rFonts w:ascii="Arial Narrow" w:hAnsi="Arial Narrow" w:cs="Times New Roman"/>
        </w:rPr>
        <w:t xml:space="preserve">                                                </w:t>
      </w:r>
      <w:r w:rsidRPr="00EB3F89" w:rsidR="00EB3F89">
        <w:rPr>
          <w:rFonts w:ascii="Arial Narrow" w:hAnsi="Arial Narrow" w:cs="Times New Roman"/>
        </w:rPr>
        <w:t xml:space="preserve"> (v Sk)</w:t>
      </w:r>
    </w:p>
    <w:tbl>
      <w:tblPr>
        <w:tblW w:w="8953"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blGrid>
        <w:gridCol w:w="3420"/>
        <w:gridCol w:w="2132"/>
        <w:gridCol w:w="1959"/>
        <w:gridCol w:w="1442"/>
      </w:tblGrid>
      <w:tr>
        <w:tblPrEx>
          <w:tblW w:w="8953"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hRule="auto" w:val="0"/>
        </w:trPr>
        <w:tc>
          <w:tcPr>
            <w:tcW w:w="3420" w:type="dxa"/>
            <w:tcBorders>
              <w:top w:val="single" w:sz="12" w:space="0" w:color="auto"/>
              <w:left w:val="single" w:sz="12" w:space="0" w:color="auto"/>
              <w:bottom w:val="single" w:sz="12" w:space="0" w:color="auto"/>
              <w:right w:val="single" w:sz="4" w:space="0" w:color="auto"/>
              <w:tl2br w:val="nil"/>
              <w:tr2bl w:val="nil"/>
            </w:tcBorders>
            <w:shd w:val="clear" w:color="auto" w:fill="C0C0C0"/>
            <w:textDirection w:val="lrTb"/>
            <w:vAlign w:val="center"/>
          </w:tcPr>
          <w:p w:rsidR="00302EFE" w:rsidRPr="00302EFE" w:rsidP="006659EC">
            <w:pPr>
              <w:spacing w:line="240" w:lineRule="auto"/>
              <w:jc w:val="center"/>
              <w:rPr>
                <w:rFonts w:ascii="Arial Narrow" w:hAnsi="Arial Narrow" w:cs="Mangal"/>
                <w:b/>
                <w:sz w:val="24"/>
                <w:szCs w:val="24"/>
                <w:lang w:bidi="sa-IN"/>
              </w:rPr>
            </w:pPr>
            <w:r w:rsidRPr="00302EFE">
              <w:rPr>
                <w:rFonts w:ascii="Arial Narrow" w:hAnsi="Arial Narrow" w:cs="Mangal"/>
                <w:b/>
                <w:sz w:val="24"/>
                <w:szCs w:val="24"/>
                <w:lang w:bidi="sa-IN"/>
              </w:rPr>
              <w:t>Stavba</w:t>
            </w:r>
          </w:p>
        </w:tc>
        <w:tc>
          <w:tcPr>
            <w:tcW w:w="2132" w:type="dxa"/>
            <w:tcBorders>
              <w:top w:val="single" w:sz="12" w:space="0" w:color="auto"/>
              <w:left w:val="single" w:sz="4" w:space="0" w:color="auto"/>
              <w:bottom w:val="single" w:sz="12" w:space="0" w:color="auto"/>
              <w:right w:val="single" w:sz="4" w:space="0" w:color="auto"/>
              <w:tl2br w:val="nil"/>
              <w:tr2bl w:val="nil"/>
            </w:tcBorders>
            <w:shd w:val="clear" w:color="auto" w:fill="C0C0C0"/>
            <w:textDirection w:val="lrTb"/>
            <w:vAlign w:val="center"/>
          </w:tcPr>
          <w:p w:rsidR="00302EFE" w:rsidRPr="00302EFE" w:rsidP="006659EC">
            <w:pPr>
              <w:spacing w:line="240" w:lineRule="auto"/>
              <w:jc w:val="center"/>
              <w:rPr>
                <w:rFonts w:ascii="Arial Narrow" w:hAnsi="Arial Narrow" w:cs="Mangal"/>
                <w:b/>
                <w:sz w:val="24"/>
                <w:szCs w:val="24"/>
                <w:lang w:bidi="sa-IN"/>
              </w:rPr>
            </w:pPr>
            <w:r w:rsidR="004B26DC">
              <w:rPr>
                <w:rFonts w:ascii="Arial Narrow" w:hAnsi="Arial Narrow" w:cs="Mangal"/>
                <w:b/>
                <w:sz w:val="24"/>
                <w:szCs w:val="24"/>
                <w:lang w:bidi="sa-IN"/>
              </w:rPr>
              <w:t>Upravený rozpočet k 31.12.2007</w:t>
            </w:r>
          </w:p>
        </w:tc>
        <w:tc>
          <w:tcPr>
            <w:tcW w:w="1959" w:type="dxa"/>
            <w:tcBorders>
              <w:top w:val="single" w:sz="12" w:space="0" w:color="auto"/>
              <w:left w:val="single" w:sz="4" w:space="0" w:color="auto"/>
              <w:bottom w:val="single" w:sz="12" w:space="0" w:color="auto"/>
              <w:right w:val="single" w:sz="4" w:space="0" w:color="auto"/>
              <w:tl2br w:val="nil"/>
              <w:tr2bl w:val="nil"/>
            </w:tcBorders>
            <w:shd w:val="clear" w:color="auto" w:fill="C0C0C0"/>
            <w:textDirection w:val="lrTb"/>
            <w:vAlign w:val="center"/>
          </w:tcPr>
          <w:p w:rsidR="00302EFE" w:rsidP="006659EC">
            <w:pPr>
              <w:spacing w:line="240" w:lineRule="auto"/>
              <w:jc w:val="center"/>
              <w:rPr>
                <w:rFonts w:ascii="Arial Narrow" w:hAnsi="Arial Narrow" w:cs="Mangal"/>
                <w:b/>
                <w:sz w:val="24"/>
                <w:szCs w:val="24"/>
                <w:lang w:bidi="sa-IN"/>
              </w:rPr>
            </w:pPr>
            <w:r w:rsidR="006659EC">
              <w:rPr>
                <w:rFonts w:ascii="Arial Narrow" w:hAnsi="Arial Narrow" w:cs="Mangal"/>
                <w:b/>
                <w:sz w:val="24"/>
                <w:szCs w:val="24"/>
                <w:lang w:bidi="sa-IN"/>
              </w:rPr>
              <w:t>Poukáza</w:t>
            </w:r>
            <w:r w:rsidR="00F30434">
              <w:rPr>
                <w:rFonts w:ascii="Arial Narrow" w:hAnsi="Arial Narrow" w:cs="Mangal"/>
                <w:b/>
                <w:sz w:val="24"/>
                <w:szCs w:val="24"/>
                <w:lang w:bidi="sa-IN"/>
              </w:rPr>
              <w:t xml:space="preserve">né </w:t>
            </w:r>
            <w:r w:rsidRPr="00302EFE">
              <w:rPr>
                <w:rFonts w:ascii="Arial Narrow" w:hAnsi="Arial Narrow" w:cs="Mangal"/>
                <w:b/>
                <w:sz w:val="24"/>
                <w:szCs w:val="24"/>
                <w:lang w:bidi="sa-IN"/>
              </w:rPr>
              <w:t xml:space="preserve"> </w:t>
            </w:r>
          </w:p>
          <w:p w:rsidR="00302EFE" w:rsidRPr="00302EFE" w:rsidP="006659EC">
            <w:pPr>
              <w:spacing w:line="240" w:lineRule="auto"/>
              <w:jc w:val="center"/>
              <w:rPr>
                <w:rFonts w:ascii="Arial Narrow" w:hAnsi="Arial Narrow" w:cs="Mangal"/>
                <w:b/>
                <w:sz w:val="24"/>
                <w:szCs w:val="24"/>
                <w:lang w:bidi="sa-IN"/>
              </w:rPr>
            </w:pPr>
            <w:r w:rsidR="004B26DC">
              <w:rPr>
                <w:rFonts w:ascii="Arial Narrow" w:hAnsi="Arial Narrow" w:cs="Mangal"/>
                <w:b/>
                <w:sz w:val="24"/>
                <w:szCs w:val="24"/>
                <w:lang w:bidi="sa-IN"/>
              </w:rPr>
              <w:t>k 31.12.2007</w:t>
            </w:r>
          </w:p>
        </w:tc>
        <w:tc>
          <w:tcPr>
            <w:tcW w:w="1442" w:type="dxa"/>
            <w:tcBorders>
              <w:top w:val="single" w:sz="12" w:space="0" w:color="auto"/>
              <w:left w:val="single" w:sz="4" w:space="0" w:color="auto"/>
              <w:bottom w:val="single" w:sz="12" w:space="0" w:color="auto"/>
              <w:right w:val="single" w:sz="12" w:space="0" w:color="auto"/>
              <w:tl2br w:val="nil"/>
              <w:tr2bl w:val="nil"/>
            </w:tcBorders>
            <w:shd w:val="clear" w:color="auto" w:fill="C0C0C0"/>
            <w:textDirection w:val="lrTb"/>
            <w:vAlign w:val="center"/>
          </w:tcPr>
          <w:p w:rsidR="00302EFE" w:rsidRPr="00302EFE" w:rsidP="006659EC">
            <w:pPr>
              <w:spacing w:line="240" w:lineRule="auto"/>
              <w:jc w:val="center"/>
              <w:rPr>
                <w:rFonts w:ascii="Arial Narrow" w:hAnsi="Arial Narrow" w:cs="Mangal"/>
                <w:b/>
                <w:sz w:val="24"/>
                <w:szCs w:val="24"/>
                <w:lang w:bidi="sa-IN"/>
              </w:rPr>
            </w:pPr>
            <w:r w:rsidR="00F70098">
              <w:rPr>
                <w:rFonts w:ascii="Arial Narrow" w:hAnsi="Arial Narrow" w:cs="Times New Roman"/>
                <w:b/>
              </w:rPr>
              <w:t>Rozdiel</w:t>
            </w:r>
          </w:p>
        </w:tc>
      </w:tr>
      <w:tr>
        <w:tblPrEx>
          <w:tblW w:w="8953" w:type="dxa"/>
          <w:tblInd w:w="108" w:type="dxa"/>
        </w:tblPrEx>
        <w:trPr>
          <w:trHeight w:hRule="auto" w:val="0"/>
        </w:trPr>
        <w:tc>
          <w:tcPr>
            <w:tcW w:w="3420" w:type="dxa"/>
            <w:tcBorders>
              <w:top w:val="single" w:sz="12" w:space="0" w:color="auto"/>
              <w:left w:val="single" w:sz="12" w:space="0" w:color="auto"/>
              <w:bottom w:val="single" w:sz="4" w:space="0" w:color="auto"/>
              <w:right w:val="single" w:sz="4" w:space="0" w:color="auto"/>
              <w:tl2br w:val="nil"/>
              <w:tr2bl w:val="nil"/>
            </w:tcBorders>
            <w:textDirection w:val="lrTb"/>
            <w:vAlign w:val="top"/>
          </w:tcPr>
          <w:p w:rsidR="00187EC2" w:rsidRPr="00B16FA9" w:rsidP="006659EC">
            <w:pPr>
              <w:spacing w:line="240" w:lineRule="auto"/>
              <w:rPr>
                <w:rFonts w:ascii="Arial Narrow" w:hAnsi="Arial Narrow" w:cs="Mangal"/>
                <w:lang w:bidi="sa-IN"/>
              </w:rPr>
            </w:pPr>
            <w:r w:rsidRPr="00B16FA9">
              <w:rPr>
                <w:rFonts w:ascii="Arial Narrow" w:hAnsi="Arial Narrow" w:cs="Mangal"/>
                <w:lang w:bidi="sa-IN"/>
              </w:rPr>
              <w:t>Bratisla</w:t>
            </w:r>
            <w:r>
              <w:rPr>
                <w:rFonts w:ascii="Arial Narrow" w:hAnsi="Arial Narrow" w:cs="Mangal"/>
                <w:lang w:bidi="sa-IN"/>
              </w:rPr>
              <w:t xml:space="preserve">va-Rača-Trnava, moder. </w:t>
            </w:r>
            <w:r w:rsidRPr="00B16FA9">
              <w:rPr>
                <w:rFonts w:ascii="Arial Narrow" w:hAnsi="Arial Narrow" w:cs="Mangal"/>
                <w:lang w:bidi="sa-IN"/>
              </w:rPr>
              <w:t>trate</w:t>
            </w:r>
          </w:p>
        </w:tc>
        <w:tc>
          <w:tcPr>
            <w:tcW w:w="2132" w:type="dxa"/>
            <w:tcBorders>
              <w:top w:val="single" w:sz="12" w:space="0" w:color="auto"/>
              <w:left w:val="single" w:sz="4" w:space="0" w:color="auto"/>
              <w:bottom w:val="single" w:sz="4" w:space="0" w:color="auto"/>
              <w:right w:val="single" w:sz="4" w:space="0" w:color="auto"/>
              <w:tl2br w:val="nil"/>
              <w:tr2bl w:val="nil"/>
            </w:tcBorders>
            <w:textDirection w:val="lrTb"/>
            <w:vAlign w:val="top"/>
          </w:tcPr>
          <w:p w:rsidR="00187EC2" w:rsidRPr="00B16FA9" w:rsidP="006659EC">
            <w:pPr>
              <w:spacing w:line="240" w:lineRule="auto"/>
              <w:jc w:val="right"/>
              <w:rPr>
                <w:rFonts w:ascii="Arial Narrow" w:hAnsi="Arial Narrow" w:cs="Mangal"/>
                <w:lang w:bidi="sa-IN"/>
              </w:rPr>
            </w:pPr>
            <w:r w:rsidR="00A00E9C">
              <w:rPr>
                <w:rFonts w:ascii="Arial Narrow" w:hAnsi="Arial Narrow" w:cs="Mangal"/>
                <w:lang w:bidi="sa-IN"/>
              </w:rPr>
              <w:t xml:space="preserve">169 700 </w:t>
            </w:r>
            <w:r>
              <w:rPr>
                <w:rFonts w:ascii="Arial Narrow" w:hAnsi="Arial Narrow" w:cs="Mangal"/>
                <w:lang w:bidi="sa-IN"/>
              </w:rPr>
              <w:t>000,00</w:t>
            </w:r>
          </w:p>
        </w:tc>
        <w:tc>
          <w:tcPr>
            <w:tcW w:w="1959" w:type="dxa"/>
            <w:tcBorders>
              <w:top w:val="single" w:sz="12" w:space="0" w:color="auto"/>
              <w:left w:val="single" w:sz="4" w:space="0" w:color="auto"/>
              <w:bottom w:val="single" w:sz="4" w:space="0" w:color="auto"/>
              <w:right w:val="single" w:sz="4" w:space="0" w:color="auto"/>
              <w:tl2br w:val="nil"/>
              <w:tr2bl w:val="nil"/>
            </w:tcBorders>
            <w:textDirection w:val="lrTb"/>
            <w:vAlign w:val="top"/>
          </w:tcPr>
          <w:p w:rsidR="00187EC2" w:rsidRPr="00B16FA9" w:rsidP="006659EC">
            <w:pPr>
              <w:spacing w:line="240" w:lineRule="auto"/>
              <w:jc w:val="right"/>
              <w:rPr>
                <w:rFonts w:ascii="Arial Narrow" w:hAnsi="Arial Narrow" w:cs="Mangal"/>
                <w:lang w:bidi="sa-IN"/>
              </w:rPr>
            </w:pPr>
            <w:r w:rsidR="00A00E9C">
              <w:rPr>
                <w:rFonts w:ascii="Arial Narrow" w:hAnsi="Arial Narrow" w:cs="Mangal"/>
                <w:lang w:bidi="sa-IN"/>
              </w:rPr>
              <w:t>169 699 987</w:t>
            </w:r>
            <w:r>
              <w:rPr>
                <w:rFonts w:ascii="Arial Narrow" w:hAnsi="Arial Narrow" w:cs="Mangal"/>
                <w:lang w:bidi="sa-IN"/>
              </w:rPr>
              <w:t>,</w:t>
            </w:r>
            <w:r w:rsidR="00ED4BF2">
              <w:rPr>
                <w:rFonts w:ascii="Arial Narrow" w:hAnsi="Arial Narrow" w:cs="Mangal"/>
                <w:lang w:bidi="sa-IN"/>
              </w:rPr>
              <w:t>40</w:t>
            </w:r>
          </w:p>
        </w:tc>
        <w:tc>
          <w:tcPr>
            <w:tcW w:w="1442" w:type="dxa"/>
            <w:tcBorders>
              <w:top w:val="single" w:sz="12" w:space="0" w:color="auto"/>
              <w:left w:val="single" w:sz="4" w:space="0" w:color="auto"/>
              <w:bottom w:val="single" w:sz="4" w:space="0" w:color="auto"/>
              <w:right w:val="single" w:sz="12" w:space="0" w:color="auto"/>
              <w:tl2br w:val="nil"/>
              <w:tr2bl w:val="nil"/>
            </w:tcBorders>
            <w:textDirection w:val="lrTb"/>
            <w:vAlign w:val="top"/>
          </w:tcPr>
          <w:p w:rsidR="00187EC2" w:rsidRPr="00B16FA9" w:rsidP="006659EC">
            <w:pPr>
              <w:spacing w:line="240" w:lineRule="auto"/>
              <w:jc w:val="right"/>
              <w:rPr>
                <w:rFonts w:ascii="Arial Narrow" w:hAnsi="Arial Narrow" w:cs="Mangal"/>
                <w:lang w:bidi="sa-IN"/>
              </w:rPr>
            </w:pPr>
            <w:r w:rsidR="00A00E9C">
              <w:rPr>
                <w:rFonts w:ascii="Arial Narrow" w:hAnsi="Arial Narrow" w:cs="Mangal"/>
                <w:lang w:bidi="sa-IN"/>
              </w:rPr>
              <w:t>12</w:t>
            </w:r>
            <w:r w:rsidR="006659EC">
              <w:rPr>
                <w:rFonts w:ascii="Arial Narrow" w:hAnsi="Arial Narrow" w:cs="Mangal"/>
                <w:lang w:bidi="sa-IN"/>
              </w:rPr>
              <w:t>,</w:t>
            </w:r>
            <w:r w:rsidR="00A00E9C">
              <w:rPr>
                <w:rFonts w:ascii="Arial Narrow" w:hAnsi="Arial Narrow" w:cs="Mangal"/>
                <w:lang w:bidi="sa-IN"/>
              </w:rPr>
              <w:t>61</w:t>
            </w:r>
          </w:p>
        </w:tc>
      </w:tr>
      <w:tr>
        <w:tblPrEx>
          <w:tblW w:w="8953" w:type="dxa"/>
          <w:tblInd w:w="108" w:type="dxa"/>
        </w:tblPrEx>
        <w:trPr>
          <w:trHeight w:hRule="auto" w:val="0"/>
        </w:trPr>
        <w:tc>
          <w:tcPr>
            <w:tcW w:w="3420" w:type="dxa"/>
            <w:tcBorders>
              <w:top w:val="single" w:sz="4" w:space="0" w:color="auto"/>
              <w:left w:val="single" w:sz="12" w:space="0" w:color="auto"/>
              <w:bottom w:val="single" w:sz="4" w:space="0" w:color="auto"/>
              <w:right w:val="single" w:sz="4" w:space="0" w:color="auto"/>
              <w:tl2br w:val="nil"/>
              <w:tr2bl w:val="nil"/>
            </w:tcBorders>
            <w:textDirection w:val="lrTb"/>
            <w:vAlign w:val="top"/>
          </w:tcPr>
          <w:p w:rsidR="006659EC" w:rsidRPr="00B16FA9" w:rsidP="006659EC">
            <w:pPr>
              <w:spacing w:line="240" w:lineRule="auto"/>
              <w:rPr>
                <w:rFonts w:ascii="Arial Narrow" w:hAnsi="Arial Narrow" w:cs="Mangal"/>
                <w:lang w:bidi="sa-IN"/>
              </w:rPr>
            </w:pPr>
            <w:r>
              <w:rPr>
                <w:rFonts w:ascii="Arial Narrow" w:hAnsi="Arial Narrow" w:cs="Mangal"/>
                <w:lang w:bidi="sa-IN"/>
              </w:rPr>
              <w:t xml:space="preserve">Trnava-Nové Mesto n/Váhom, moder. </w:t>
            </w:r>
            <w:r w:rsidRPr="00B16FA9">
              <w:rPr>
                <w:rFonts w:ascii="Arial Narrow" w:hAnsi="Arial Narrow" w:cs="Mangal"/>
                <w:lang w:bidi="sa-IN"/>
              </w:rPr>
              <w:t>trate</w:t>
            </w:r>
          </w:p>
        </w:tc>
        <w:tc>
          <w:tcPr>
            <w:tcW w:w="213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6659EC" w:rsidRPr="00B16FA9" w:rsidP="006659EC">
            <w:pPr>
              <w:spacing w:line="240" w:lineRule="auto"/>
              <w:jc w:val="right"/>
              <w:rPr>
                <w:rFonts w:ascii="Arial Narrow" w:hAnsi="Arial Narrow" w:cs="Mangal"/>
                <w:lang w:bidi="sa-IN"/>
              </w:rPr>
            </w:pPr>
            <w:r w:rsidR="00A00E9C">
              <w:rPr>
                <w:rFonts w:ascii="Arial Narrow" w:hAnsi="Arial Narrow" w:cs="Mangal"/>
                <w:lang w:bidi="sa-IN"/>
              </w:rPr>
              <w:t xml:space="preserve">256 </w:t>
            </w:r>
            <w:r>
              <w:rPr>
                <w:rFonts w:ascii="Arial Narrow" w:hAnsi="Arial Narrow" w:cs="Mangal"/>
                <w:lang w:bidi="sa-IN"/>
              </w:rPr>
              <w:t>100 000,00</w:t>
            </w:r>
          </w:p>
        </w:tc>
        <w:tc>
          <w:tcPr>
            <w:tcW w:w="195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6659EC" w:rsidRPr="00B16FA9" w:rsidP="006659EC">
            <w:pPr>
              <w:spacing w:line="240" w:lineRule="auto"/>
              <w:jc w:val="right"/>
              <w:rPr>
                <w:rFonts w:ascii="Arial Narrow" w:hAnsi="Arial Narrow" w:cs="Mangal"/>
                <w:lang w:bidi="sa-IN"/>
              </w:rPr>
            </w:pPr>
            <w:r w:rsidR="00A00E9C">
              <w:rPr>
                <w:rFonts w:ascii="Arial Narrow" w:hAnsi="Arial Narrow" w:cs="Mangal"/>
                <w:lang w:bidi="sa-IN"/>
              </w:rPr>
              <w:t>256 099 977</w:t>
            </w:r>
            <w:r>
              <w:rPr>
                <w:rFonts w:ascii="Arial Narrow" w:hAnsi="Arial Narrow" w:cs="Mangal"/>
                <w:lang w:bidi="sa-IN"/>
              </w:rPr>
              <w:t>,</w:t>
            </w:r>
            <w:r w:rsidR="00A00E9C">
              <w:rPr>
                <w:rFonts w:ascii="Arial Narrow" w:hAnsi="Arial Narrow" w:cs="Mangal"/>
                <w:lang w:bidi="sa-IN"/>
              </w:rPr>
              <w:t>85</w:t>
            </w:r>
          </w:p>
        </w:tc>
        <w:tc>
          <w:tcPr>
            <w:tcW w:w="1442" w:type="dxa"/>
            <w:tcBorders>
              <w:top w:val="single" w:sz="4" w:space="0" w:color="auto"/>
              <w:left w:val="single" w:sz="4" w:space="0" w:color="auto"/>
              <w:bottom w:val="single" w:sz="4" w:space="0" w:color="auto"/>
              <w:right w:val="single" w:sz="12" w:space="0" w:color="auto"/>
              <w:tl2br w:val="nil"/>
              <w:tr2bl w:val="nil"/>
            </w:tcBorders>
            <w:textDirection w:val="lrTb"/>
            <w:vAlign w:val="top"/>
          </w:tcPr>
          <w:p w:rsidR="006659EC" w:rsidP="006659EC">
            <w:pPr>
              <w:spacing w:line="240" w:lineRule="auto"/>
              <w:jc w:val="right"/>
              <w:rPr>
                <w:rFonts w:ascii="Times New Roman" w:hAnsi="Times New Roman" w:cs="Times New Roman"/>
              </w:rPr>
            </w:pPr>
            <w:r w:rsidR="00A00E9C">
              <w:rPr>
                <w:rFonts w:ascii="Arial Narrow" w:hAnsi="Arial Narrow" w:cs="Mangal"/>
                <w:lang w:bidi="sa-IN"/>
              </w:rPr>
              <w:t>22</w:t>
            </w:r>
            <w:r w:rsidRPr="008312CB">
              <w:rPr>
                <w:rFonts w:ascii="Arial Narrow" w:hAnsi="Arial Narrow" w:cs="Mangal"/>
                <w:lang w:bidi="sa-IN"/>
              </w:rPr>
              <w:t>,</w:t>
            </w:r>
            <w:r w:rsidR="00A00E9C">
              <w:rPr>
                <w:rFonts w:ascii="Arial Narrow" w:hAnsi="Arial Narrow" w:cs="Mangal"/>
                <w:lang w:bidi="sa-IN"/>
              </w:rPr>
              <w:t>15</w:t>
            </w:r>
          </w:p>
        </w:tc>
      </w:tr>
      <w:tr>
        <w:tblPrEx>
          <w:tblW w:w="8953" w:type="dxa"/>
          <w:tblInd w:w="108" w:type="dxa"/>
        </w:tblPrEx>
        <w:trPr>
          <w:trHeight w:hRule="auto" w:val="0"/>
        </w:trPr>
        <w:tc>
          <w:tcPr>
            <w:tcW w:w="3420" w:type="dxa"/>
            <w:tcBorders>
              <w:top w:val="single" w:sz="4" w:space="0" w:color="auto"/>
              <w:left w:val="single" w:sz="12" w:space="0" w:color="auto"/>
              <w:bottom w:val="single" w:sz="4" w:space="0" w:color="auto"/>
              <w:right w:val="single" w:sz="4" w:space="0" w:color="auto"/>
              <w:tl2br w:val="nil"/>
              <w:tr2bl w:val="nil"/>
            </w:tcBorders>
            <w:textDirection w:val="lrTb"/>
            <w:vAlign w:val="top"/>
          </w:tcPr>
          <w:p w:rsidR="006659EC" w:rsidRPr="00B16FA9" w:rsidP="006659EC">
            <w:pPr>
              <w:spacing w:line="240" w:lineRule="auto"/>
              <w:rPr>
                <w:rFonts w:ascii="Arial Narrow" w:hAnsi="Arial Narrow" w:cs="Mangal"/>
                <w:lang w:bidi="sa-IN"/>
              </w:rPr>
            </w:pPr>
            <w:r>
              <w:rPr>
                <w:rFonts w:ascii="Arial Narrow" w:hAnsi="Arial Narrow" w:cs="Mangal"/>
                <w:lang w:bidi="sa-IN"/>
              </w:rPr>
              <w:t>Nové M. n/Váhom-Púchov, moder. trate</w:t>
            </w:r>
          </w:p>
        </w:tc>
        <w:tc>
          <w:tcPr>
            <w:tcW w:w="213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6659EC" w:rsidRPr="00B16FA9" w:rsidP="006659EC">
            <w:pPr>
              <w:spacing w:line="240" w:lineRule="auto"/>
              <w:jc w:val="right"/>
              <w:rPr>
                <w:rFonts w:ascii="Arial Narrow" w:hAnsi="Arial Narrow" w:cs="Mangal"/>
                <w:lang w:bidi="sa-IN"/>
              </w:rPr>
            </w:pPr>
            <w:r w:rsidR="00A00E9C">
              <w:rPr>
                <w:rFonts w:ascii="Arial Narrow" w:hAnsi="Arial Narrow" w:cs="Mangal"/>
                <w:lang w:bidi="sa-IN"/>
              </w:rPr>
              <w:t>155 7</w:t>
            </w:r>
            <w:r>
              <w:rPr>
                <w:rFonts w:ascii="Arial Narrow" w:hAnsi="Arial Narrow" w:cs="Mangal"/>
                <w:lang w:bidi="sa-IN"/>
              </w:rPr>
              <w:t>00 000,00</w:t>
            </w:r>
          </w:p>
        </w:tc>
        <w:tc>
          <w:tcPr>
            <w:tcW w:w="195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6659EC" w:rsidRPr="00B16FA9" w:rsidP="006659EC">
            <w:pPr>
              <w:spacing w:line="240" w:lineRule="auto"/>
              <w:jc w:val="right"/>
              <w:rPr>
                <w:rFonts w:ascii="Arial Narrow" w:hAnsi="Arial Narrow" w:cs="Mangal"/>
                <w:lang w:bidi="sa-IN"/>
              </w:rPr>
            </w:pPr>
            <w:r w:rsidR="00A00E9C">
              <w:rPr>
                <w:rFonts w:ascii="Arial Narrow" w:hAnsi="Arial Narrow" w:cs="Mangal"/>
                <w:lang w:bidi="sa-IN"/>
              </w:rPr>
              <w:t>155 699 963</w:t>
            </w:r>
            <w:r>
              <w:rPr>
                <w:rFonts w:ascii="Arial Narrow" w:hAnsi="Arial Narrow" w:cs="Mangal"/>
                <w:lang w:bidi="sa-IN"/>
              </w:rPr>
              <w:t>,0</w:t>
            </w:r>
            <w:r w:rsidR="00A00E9C">
              <w:rPr>
                <w:rFonts w:ascii="Arial Narrow" w:hAnsi="Arial Narrow" w:cs="Mangal"/>
                <w:lang w:bidi="sa-IN"/>
              </w:rPr>
              <w:t>5</w:t>
            </w:r>
          </w:p>
        </w:tc>
        <w:tc>
          <w:tcPr>
            <w:tcW w:w="1442" w:type="dxa"/>
            <w:tcBorders>
              <w:top w:val="single" w:sz="4" w:space="0" w:color="auto"/>
              <w:left w:val="single" w:sz="4" w:space="0" w:color="auto"/>
              <w:bottom w:val="single" w:sz="4" w:space="0" w:color="auto"/>
              <w:right w:val="single" w:sz="12" w:space="0" w:color="auto"/>
              <w:tl2br w:val="nil"/>
              <w:tr2bl w:val="nil"/>
            </w:tcBorders>
            <w:textDirection w:val="lrTb"/>
            <w:vAlign w:val="top"/>
          </w:tcPr>
          <w:p w:rsidR="006659EC" w:rsidP="006659EC">
            <w:pPr>
              <w:spacing w:line="240" w:lineRule="auto"/>
              <w:jc w:val="right"/>
              <w:rPr>
                <w:rFonts w:ascii="Times New Roman" w:hAnsi="Times New Roman" w:cs="Times New Roman"/>
              </w:rPr>
            </w:pPr>
            <w:r w:rsidR="00A00E9C">
              <w:rPr>
                <w:rFonts w:ascii="Arial Narrow" w:hAnsi="Arial Narrow" w:cs="Mangal"/>
                <w:lang w:bidi="sa-IN"/>
              </w:rPr>
              <w:t>36</w:t>
            </w:r>
            <w:r w:rsidRPr="008312CB">
              <w:rPr>
                <w:rFonts w:ascii="Arial Narrow" w:hAnsi="Arial Narrow" w:cs="Mangal"/>
                <w:lang w:bidi="sa-IN"/>
              </w:rPr>
              <w:t>,</w:t>
            </w:r>
            <w:r w:rsidR="002959F0">
              <w:rPr>
                <w:rFonts w:ascii="Arial Narrow" w:hAnsi="Arial Narrow" w:cs="Mangal"/>
                <w:lang w:bidi="sa-IN"/>
              </w:rPr>
              <w:t>9</w:t>
            </w:r>
            <w:r w:rsidR="00A00E9C">
              <w:rPr>
                <w:rFonts w:ascii="Arial Narrow" w:hAnsi="Arial Narrow" w:cs="Mangal"/>
                <w:lang w:bidi="sa-IN"/>
              </w:rPr>
              <w:t>5</w:t>
            </w:r>
          </w:p>
        </w:tc>
      </w:tr>
      <w:tr>
        <w:tblPrEx>
          <w:tblW w:w="8953" w:type="dxa"/>
          <w:tblInd w:w="108" w:type="dxa"/>
        </w:tblPrEx>
        <w:trPr>
          <w:trHeight w:hRule="auto" w:val="0"/>
        </w:trPr>
        <w:tc>
          <w:tcPr>
            <w:tcW w:w="3420" w:type="dxa"/>
            <w:tcBorders>
              <w:top w:val="single" w:sz="4" w:space="0" w:color="auto"/>
              <w:left w:val="single" w:sz="12" w:space="0" w:color="auto"/>
              <w:bottom w:val="single" w:sz="4" w:space="0" w:color="auto"/>
              <w:right w:val="single" w:sz="4" w:space="0" w:color="auto"/>
              <w:tl2br w:val="nil"/>
              <w:tr2bl w:val="nil"/>
            </w:tcBorders>
            <w:textDirection w:val="lrTb"/>
            <w:vAlign w:val="top"/>
          </w:tcPr>
          <w:p w:rsidR="006659EC" w:rsidRPr="00187EC2" w:rsidP="006659EC">
            <w:pPr>
              <w:spacing w:line="240" w:lineRule="auto"/>
              <w:rPr>
                <w:rFonts w:ascii="Arial Narrow" w:hAnsi="Arial Narrow" w:cs="Mangal"/>
                <w:lang w:bidi="sa-IN"/>
              </w:rPr>
            </w:pPr>
            <w:r w:rsidR="00347320">
              <w:rPr>
                <w:rFonts w:ascii="Arial Narrow" w:hAnsi="Arial Narrow" w:cs="Mangal"/>
                <w:lang w:bidi="sa-IN"/>
              </w:rPr>
              <w:t xml:space="preserve">Žilina-Krásno n/Kysucou, moder. </w:t>
            </w:r>
            <w:r w:rsidRPr="00187EC2">
              <w:rPr>
                <w:rFonts w:ascii="Arial Narrow" w:hAnsi="Arial Narrow" w:cs="Mangal"/>
                <w:lang w:bidi="sa-IN"/>
              </w:rPr>
              <w:t>trate</w:t>
            </w:r>
          </w:p>
        </w:tc>
        <w:tc>
          <w:tcPr>
            <w:tcW w:w="213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6659EC" w:rsidRPr="00B16FA9" w:rsidP="006659EC">
            <w:pPr>
              <w:spacing w:line="240" w:lineRule="auto"/>
              <w:jc w:val="right"/>
              <w:rPr>
                <w:rFonts w:ascii="Arial Narrow" w:hAnsi="Arial Narrow" w:cs="Mangal"/>
                <w:lang w:bidi="sa-IN"/>
              </w:rPr>
            </w:pPr>
            <w:r w:rsidR="00A00E9C">
              <w:rPr>
                <w:rFonts w:ascii="Arial Narrow" w:hAnsi="Arial Narrow" w:cs="Mangal"/>
                <w:lang w:bidi="sa-IN"/>
              </w:rPr>
              <w:t>67 6</w:t>
            </w:r>
            <w:r>
              <w:rPr>
                <w:rFonts w:ascii="Arial Narrow" w:hAnsi="Arial Narrow" w:cs="Mangal"/>
                <w:lang w:bidi="sa-IN"/>
              </w:rPr>
              <w:t>00 000,00</w:t>
            </w:r>
          </w:p>
        </w:tc>
        <w:tc>
          <w:tcPr>
            <w:tcW w:w="195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6659EC" w:rsidRPr="00B16FA9" w:rsidP="006659EC">
            <w:pPr>
              <w:spacing w:line="240" w:lineRule="auto"/>
              <w:jc w:val="right"/>
              <w:rPr>
                <w:rFonts w:ascii="Arial Narrow" w:hAnsi="Arial Narrow" w:cs="Mangal"/>
                <w:lang w:bidi="sa-IN"/>
              </w:rPr>
            </w:pPr>
            <w:r w:rsidR="00A00E9C">
              <w:rPr>
                <w:rFonts w:ascii="Arial Narrow" w:hAnsi="Arial Narrow" w:cs="Mangal"/>
                <w:lang w:bidi="sa-IN"/>
              </w:rPr>
              <w:t>64 414 778</w:t>
            </w:r>
            <w:r>
              <w:rPr>
                <w:rFonts w:ascii="Arial Narrow" w:hAnsi="Arial Narrow" w:cs="Mangal"/>
                <w:lang w:bidi="sa-IN"/>
              </w:rPr>
              <w:t>,00</w:t>
            </w:r>
          </w:p>
        </w:tc>
        <w:tc>
          <w:tcPr>
            <w:tcW w:w="1442" w:type="dxa"/>
            <w:tcBorders>
              <w:top w:val="single" w:sz="4" w:space="0" w:color="auto"/>
              <w:left w:val="single" w:sz="4" w:space="0" w:color="auto"/>
              <w:bottom w:val="single" w:sz="4" w:space="0" w:color="auto"/>
              <w:right w:val="single" w:sz="12" w:space="0" w:color="auto"/>
              <w:tl2br w:val="nil"/>
              <w:tr2bl w:val="nil"/>
            </w:tcBorders>
            <w:textDirection w:val="lrTb"/>
            <w:vAlign w:val="top"/>
          </w:tcPr>
          <w:p w:rsidR="006659EC" w:rsidP="006659EC">
            <w:pPr>
              <w:spacing w:line="240" w:lineRule="auto"/>
              <w:jc w:val="right"/>
              <w:rPr>
                <w:rFonts w:ascii="Times New Roman" w:hAnsi="Times New Roman" w:cs="Times New Roman"/>
              </w:rPr>
            </w:pPr>
            <w:r w:rsidR="00A00E9C">
              <w:rPr>
                <w:rFonts w:ascii="Arial Narrow" w:hAnsi="Arial Narrow" w:cs="Mangal"/>
                <w:lang w:bidi="sa-IN"/>
              </w:rPr>
              <w:t>3 185 222</w:t>
            </w:r>
            <w:r w:rsidRPr="008312CB">
              <w:rPr>
                <w:rFonts w:ascii="Arial Narrow" w:hAnsi="Arial Narrow" w:cs="Mangal"/>
                <w:lang w:bidi="sa-IN"/>
              </w:rPr>
              <w:t>,00</w:t>
            </w:r>
          </w:p>
        </w:tc>
      </w:tr>
      <w:tr>
        <w:tblPrEx>
          <w:tblW w:w="8953" w:type="dxa"/>
          <w:tblInd w:w="108" w:type="dxa"/>
        </w:tblPrEx>
        <w:trPr>
          <w:trHeight w:hRule="auto" w:val="0"/>
        </w:trPr>
        <w:tc>
          <w:tcPr>
            <w:tcW w:w="3420" w:type="dxa"/>
            <w:tcBorders>
              <w:top w:val="single" w:sz="4" w:space="0" w:color="auto"/>
              <w:left w:val="single" w:sz="12" w:space="0" w:color="auto"/>
              <w:bottom w:val="single" w:sz="4" w:space="0" w:color="auto"/>
              <w:right w:val="single" w:sz="4" w:space="0" w:color="auto"/>
              <w:tl2br w:val="nil"/>
              <w:tr2bl w:val="nil"/>
            </w:tcBorders>
            <w:textDirection w:val="lrTb"/>
            <w:vAlign w:val="top"/>
          </w:tcPr>
          <w:p w:rsidR="006659EC" w:rsidRPr="00187EC2" w:rsidP="006659EC">
            <w:pPr>
              <w:spacing w:line="240" w:lineRule="auto"/>
              <w:rPr>
                <w:rFonts w:ascii="Arial Narrow" w:hAnsi="Arial Narrow" w:cs="Mangal"/>
                <w:lang w:bidi="sa-IN"/>
              </w:rPr>
            </w:pPr>
            <w:r>
              <w:rPr>
                <w:rFonts w:ascii="Arial Narrow" w:hAnsi="Arial Narrow" w:cs="Mangal"/>
                <w:lang w:bidi="sa-IN"/>
              </w:rPr>
              <w:t>Zvolen-Banská Bystrica, elektrifikácia trate</w:t>
            </w:r>
          </w:p>
        </w:tc>
        <w:tc>
          <w:tcPr>
            <w:tcW w:w="213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6659EC" w:rsidRPr="00B16FA9" w:rsidP="006659EC">
            <w:pPr>
              <w:spacing w:line="240" w:lineRule="auto"/>
              <w:jc w:val="right"/>
              <w:rPr>
                <w:rFonts w:ascii="Arial Narrow" w:hAnsi="Arial Narrow" w:cs="Mangal"/>
                <w:lang w:bidi="sa-IN"/>
              </w:rPr>
            </w:pPr>
            <w:r w:rsidR="00A00E9C">
              <w:rPr>
                <w:rFonts w:ascii="Arial Narrow" w:hAnsi="Arial Narrow" w:cs="Mangal"/>
                <w:lang w:bidi="sa-IN"/>
              </w:rPr>
              <w:t>6 035</w:t>
            </w:r>
            <w:r>
              <w:rPr>
                <w:rFonts w:ascii="Arial Narrow" w:hAnsi="Arial Narrow" w:cs="Mangal"/>
                <w:lang w:bidi="sa-IN"/>
              </w:rPr>
              <w:t> 000,00</w:t>
            </w:r>
          </w:p>
        </w:tc>
        <w:tc>
          <w:tcPr>
            <w:tcW w:w="195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6659EC" w:rsidRPr="00B16FA9" w:rsidP="006659EC">
            <w:pPr>
              <w:spacing w:line="240" w:lineRule="auto"/>
              <w:jc w:val="right"/>
              <w:rPr>
                <w:rFonts w:ascii="Arial Narrow" w:hAnsi="Arial Narrow" w:cs="Mangal"/>
                <w:lang w:bidi="sa-IN"/>
              </w:rPr>
            </w:pPr>
            <w:r w:rsidR="00A00E9C">
              <w:rPr>
                <w:rFonts w:ascii="Arial Narrow" w:hAnsi="Arial Narrow" w:cs="Mangal"/>
                <w:lang w:bidi="sa-IN"/>
              </w:rPr>
              <w:t>5 411 714,90</w:t>
            </w:r>
          </w:p>
        </w:tc>
        <w:tc>
          <w:tcPr>
            <w:tcW w:w="1442" w:type="dxa"/>
            <w:tcBorders>
              <w:top w:val="single" w:sz="4" w:space="0" w:color="auto"/>
              <w:left w:val="single" w:sz="4" w:space="0" w:color="auto"/>
              <w:bottom w:val="single" w:sz="4" w:space="0" w:color="auto"/>
              <w:right w:val="single" w:sz="12" w:space="0" w:color="auto"/>
              <w:tl2br w:val="nil"/>
              <w:tr2bl w:val="nil"/>
            </w:tcBorders>
            <w:textDirection w:val="lrTb"/>
            <w:vAlign w:val="top"/>
          </w:tcPr>
          <w:p w:rsidR="006659EC" w:rsidP="006659EC">
            <w:pPr>
              <w:spacing w:line="240" w:lineRule="auto"/>
              <w:jc w:val="right"/>
              <w:rPr>
                <w:rFonts w:ascii="Times New Roman" w:hAnsi="Times New Roman" w:cs="Times New Roman"/>
              </w:rPr>
            </w:pPr>
            <w:r w:rsidR="00A00E9C">
              <w:rPr>
                <w:rFonts w:ascii="Arial Narrow" w:hAnsi="Arial Narrow" w:cs="Mangal"/>
                <w:lang w:bidi="sa-IN"/>
              </w:rPr>
              <w:t>623 285,10</w:t>
            </w:r>
          </w:p>
        </w:tc>
      </w:tr>
      <w:tr>
        <w:tblPrEx>
          <w:tblW w:w="8953" w:type="dxa"/>
          <w:tblInd w:w="108" w:type="dxa"/>
        </w:tblPrEx>
        <w:trPr>
          <w:trHeight w:hRule="auto" w:val="0"/>
        </w:trPr>
        <w:tc>
          <w:tcPr>
            <w:tcW w:w="3420" w:type="dxa"/>
            <w:tcBorders>
              <w:top w:val="single" w:sz="4" w:space="0" w:color="auto"/>
              <w:left w:val="single" w:sz="12" w:space="0" w:color="auto"/>
              <w:bottom w:val="single" w:sz="4" w:space="0" w:color="auto"/>
              <w:right w:val="single" w:sz="4" w:space="0" w:color="auto"/>
              <w:tl2br w:val="nil"/>
              <w:tr2bl w:val="nil"/>
            </w:tcBorders>
            <w:textDirection w:val="lrTb"/>
            <w:vAlign w:val="top"/>
          </w:tcPr>
          <w:p w:rsidR="006659EC" w:rsidRPr="00187EC2" w:rsidP="006659EC">
            <w:pPr>
              <w:spacing w:line="240" w:lineRule="auto"/>
              <w:rPr>
                <w:rFonts w:ascii="Arial Narrow" w:hAnsi="Arial Narrow" w:cs="Mangal"/>
                <w:lang w:bidi="sa-IN"/>
              </w:rPr>
            </w:pPr>
            <w:r>
              <w:rPr>
                <w:rFonts w:ascii="Arial Narrow" w:hAnsi="Arial Narrow" w:cs="Mangal"/>
                <w:lang w:bidi="sa-IN"/>
              </w:rPr>
              <w:t>Zvolen-Fiľakovo, elektrifikácia trate</w:t>
            </w:r>
          </w:p>
        </w:tc>
        <w:tc>
          <w:tcPr>
            <w:tcW w:w="213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6659EC" w:rsidRPr="00B16FA9" w:rsidP="006659EC">
            <w:pPr>
              <w:spacing w:line="240" w:lineRule="auto"/>
              <w:jc w:val="right"/>
              <w:rPr>
                <w:rFonts w:ascii="Arial Narrow" w:hAnsi="Arial Narrow" w:cs="Mangal"/>
                <w:lang w:bidi="sa-IN"/>
              </w:rPr>
            </w:pPr>
            <w:r w:rsidR="00A00E9C">
              <w:rPr>
                <w:rFonts w:ascii="Arial Narrow" w:hAnsi="Arial Narrow" w:cs="Mangal"/>
                <w:lang w:bidi="sa-IN"/>
              </w:rPr>
              <w:t>1 069 000</w:t>
            </w:r>
            <w:r>
              <w:rPr>
                <w:rFonts w:ascii="Arial Narrow" w:hAnsi="Arial Narrow" w:cs="Mangal"/>
                <w:lang w:bidi="sa-IN"/>
              </w:rPr>
              <w:t>,00</w:t>
            </w:r>
          </w:p>
        </w:tc>
        <w:tc>
          <w:tcPr>
            <w:tcW w:w="195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6659EC" w:rsidRPr="00B16FA9" w:rsidP="006659EC">
            <w:pPr>
              <w:spacing w:line="240" w:lineRule="auto"/>
              <w:jc w:val="right"/>
              <w:rPr>
                <w:rFonts w:ascii="Arial Narrow" w:hAnsi="Arial Narrow" w:cs="Mangal"/>
                <w:lang w:bidi="sa-IN"/>
              </w:rPr>
            </w:pPr>
            <w:r w:rsidR="00A00E9C">
              <w:rPr>
                <w:rFonts w:ascii="Arial Narrow" w:hAnsi="Arial Narrow" w:cs="Mangal"/>
                <w:lang w:bidi="sa-IN"/>
              </w:rPr>
              <w:t xml:space="preserve">1 069 </w:t>
            </w:r>
            <w:r>
              <w:rPr>
                <w:rFonts w:ascii="Arial Narrow" w:hAnsi="Arial Narrow" w:cs="Mangal"/>
                <w:lang w:bidi="sa-IN"/>
              </w:rPr>
              <w:t>000,00</w:t>
            </w:r>
          </w:p>
        </w:tc>
        <w:tc>
          <w:tcPr>
            <w:tcW w:w="1442" w:type="dxa"/>
            <w:tcBorders>
              <w:top w:val="single" w:sz="4" w:space="0" w:color="auto"/>
              <w:left w:val="single" w:sz="4" w:space="0" w:color="auto"/>
              <w:bottom w:val="single" w:sz="4" w:space="0" w:color="auto"/>
              <w:right w:val="single" w:sz="12" w:space="0" w:color="auto"/>
              <w:tl2br w:val="nil"/>
              <w:tr2bl w:val="nil"/>
            </w:tcBorders>
            <w:textDirection w:val="lrTb"/>
            <w:vAlign w:val="top"/>
          </w:tcPr>
          <w:p w:rsidR="006659EC" w:rsidP="006659EC">
            <w:pPr>
              <w:spacing w:line="240" w:lineRule="auto"/>
              <w:jc w:val="right"/>
              <w:rPr>
                <w:rFonts w:ascii="Times New Roman" w:hAnsi="Times New Roman" w:cs="Times New Roman"/>
              </w:rPr>
            </w:pPr>
            <w:r w:rsidRPr="008312CB">
              <w:rPr>
                <w:rFonts w:ascii="Arial Narrow" w:hAnsi="Arial Narrow" w:cs="Mangal"/>
                <w:lang w:bidi="sa-IN"/>
              </w:rPr>
              <w:t>0,00</w:t>
            </w:r>
          </w:p>
        </w:tc>
      </w:tr>
      <w:tr>
        <w:tblPrEx>
          <w:tblW w:w="8953" w:type="dxa"/>
          <w:tblInd w:w="108" w:type="dxa"/>
        </w:tblPrEx>
        <w:trPr>
          <w:trHeight w:hRule="auto" w:val="0"/>
        </w:trPr>
        <w:tc>
          <w:tcPr>
            <w:tcW w:w="3420" w:type="dxa"/>
            <w:tcBorders>
              <w:top w:val="single" w:sz="4" w:space="0" w:color="auto"/>
              <w:left w:val="single" w:sz="12" w:space="0" w:color="auto"/>
              <w:bottom w:val="single" w:sz="4" w:space="0" w:color="auto"/>
              <w:right w:val="single" w:sz="4" w:space="0" w:color="auto"/>
              <w:tl2br w:val="nil"/>
              <w:tr2bl w:val="nil"/>
            </w:tcBorders>
            <w:textDirection w:val="lrTb"/>
            <w:vAlign w:val="top"/>
          </w:tcPr>
          <w:p w:rsidR="006659EC" w:rsidRPr="00187EC2" w:rsidP="006659EC">
            <w:pPr>
              <w:spacing w:line="240" w:lineRule="auto"/>
              <w:rPr>
                <w:rFonts w:ascii="Arial Narrow" w:hAnsi="Arial Narrow" w:cs="Mangal"/>
                <w:lang w:bidi="sa-IN"/>
              </w:rPr>
            </w:pPr>
            <w:r>
              <w:rPr>
                <w:rFonts w:ascii="Arial Narrow" w:hAnsi="Arial Narrow" w:cs="Mangal"/>
                <w:lang w:bidi="sa-IN"/>
              </w:rPr>
              <w:t>Žilina-Teplička, dostavba zriaďov. stanice</w:t>
            </w:r>
          </w:p>
        </w:tc>
        <w:tc>
          <w:tcPr>
            <w:tcW w:w="213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6659EC" w:rsidRPr="00B16FA9" w:rsidP="006659EC">
            <w:pPr>
              <w:spacing w:line="240" w:lineRule="auto"/>
              <w:jc w:val="right"/>
              <w:rPr>
                <w:rFonts w:ascii="Arial Narrow" w:hAnsi="Arial Narrow" w:cs="Mangal"/>
                <w:lang w:bidi="sa-IN"/>
              </w:rPr>
            </w:pPr>
            <w:r w:rsidR="00A00E9C">
              <w:rPr>
                <w:rFonts w:ascii="Arial Narrow" w:hAnsi="Arial Narrow" w:cs="Mangal"/>
                <w:lang w:bidi="sa-IN"/>
              </w:rPr>
              <w:t>35 1</w:t>
            </w:r>
            <w:r>
              <w:rPr>
                <w:rFonts w:ascii="Arial Narrow" w:hAnsi="Arial Narrow" w:cs="Mangal"/>
                <w:lang w:bidi="sa-IN"/>
              </w:rPr>
              <w:t>00 000,00</w:t>
            </w:r>
          </w:p>
        </w:tc>
        <w:tc>
          <w:tcPr>
            <w:tcW w:w="195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6659EC" w:rsidRPr="00B16FA9" w:rsidP="006659EC">
            <w:pPr>
              <w:spacing w:line="240" w:lineRule="auto"/>
              <w:jc w:val="right"/>
              <w:rPr>
                <w:rFonts w:ascii="Arial Narrow" w:hAnsi="Arial Narrow" w:cs="Mangal"/>
                <w:lang w:bidi="sa-IN"/>
              </w:rPr>
            </w:pPr>
            <w:r w:rsidR="00A00E9C">
              <w:rPr>
                <w:rFonts w:ascii="Arial Narrow" w:hAnsi="Arial Narrow" w:cs="Mangal"/>
                <w:lang w:bidi="sa-IN"/>
              </w:rPr>
              <w:t>34 908 745</w:t>
            </w:r>
            <w:r>
              <w:rPr>
                <w:rFonts w:ascii="Arial Narrow" w:hAnsi="Arial Narrow" w:cs="Mangal"/>
                <w:lang w:bidi="sa-IN"/>
              </w:rPr>
              <w:t>,00</w:t>
            </w:r>
          </w:p>
        </w:tc>
        <w:tc>
          <w:tcPr>
            <w:tcW w:w="1442" w:type="dxa"/>
            <w:tcBorders>
              <w:top w:val="single" w:sz="4" w:space="0" w:color="auto"/>
              <w:left w:val="single" w:sz="4" w:space="0" w:color="auto"/>
              <w:bottom w:val="single" w:sz="4" w:space="0" w:color="auto"/>
              <w:right w:val="single" w:sz="12" w:space="0" w:color="auto"/>
              <w:tl2br w:val="nil"/>
              <w:tr2bl w:val="nil"/>
            </w:tcBorders>
            <w:textDirection w:val="lrTb"/>
            <w:vAlign w:val="top"/>
          </w:tcPr>
          <w:p w:rsidR="006659EC" w:rsidP="006659EC">
            <w:pPr>
              <w:spacing w:line="240" w:lineRule="auto"/>
              <w:jc w:val="right"/>
              <w:rPr>
                <w:rFonts w:ascii="Times New Roman" w:hAnsi="Times New Roman" w:cs="Times New Roman"/>
              </w:rPr>
            </w:pPr>
            <w:r w:rsidR="00A00E9C">
              <w:rPr>
                <w:rFonts w:ascii="Arial Narrow" w:hAnsi="Arial Narrow" w:cs="Mangal"/>
                <w:lang w:bidi="sa-IN"/>
              </w:rPr>
              <w:t>191 255</w:t>
            </w:r>
            <w:r w:rsidRPr="008312CB">
              <w:rPr>
                <w:rFonts w:ascii="Arial Narrow" w:hAnsi="Arial Narrow" w:cs="Mangal"/>
                <w:lang w:bidi="sa-IN"/>
              </w:rPr>
              <w:t>,00</w:t>
            </w:r>
          </w:p>
        </w:tc>
      </w:tr>
      <w:tr>
        <w:tblPrEx>
          <w:tblW w:w="8953" w:type="dxa"/>
          <w:tblInd w:w="108" w:type="dxa"/>
        </w:tblPrEx>
        <w:trPr>
          <w:trHeight w:hRule="auto" w:val="0"/>
        </w:trPr>
        <w:tc>
          <w:tcPr>
            <w:tcW w:w="3420" w:type="dxa"/>
            <w:tcBorders>
              <w:top w:val="single" w:sz="4" w:space="0" w:color="auto"/>
              <w:left w:val="single" w:sz="12" w:space="0" w:color="auto"/>
              <w:bottom w:val="single" w:sz="4" w:space="0" w:color="auto"/>
              <w:right w:val="single" w:sz="4" w:space="0" w:color="auto"/>
              <w:tl2br w:val="nil"/>
              <w:tr2bl w:val="nil"/>
            </w:tcBorders>
            <w:textDirection w:val="lrTb"/>
            <w:vAlign w:val="top"/>
          </w:tcPr>
          <w:p w:rsidR="006659EC" w:rsidRPr="00187EC2" w:rsidP="006659EC">
            <w:pPr>
              <w:spacing w:line="240" w:lineRule="auto"/>
              <w:rPr>
                <w:rFonts w:ascii="Arial Narrow" w:hAnsi="Arial Narrow" w:cs="Mangal"/>
                <w:lang w:bidi="sa-IN"/>
              </w:rPr>
            </w:pPr>
            <w:r w:rsidRPr="00187EC2">
              <w:rPr>
                <w:rFonts w:ascii="Arial Narrow" w:hAnsi="Arial Narrow" w:cs="Mangal"/>
                <w:lang w:bidi="sa-IN"/>
              </w:rPr>
              <w:t>Prešov, žst. výstavba nástupíšť</w:t>
            </w:r>
          </w:p>
        </w:tc>
        <w:tc>
          <w:tcPr>
            <w:tcW w:w="213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6659EC" w:rsidRPr="00B16FA9" w:rsidP="006659EC">
            <w:pPr>
              <w:spacing w:line="240" w:lineRule="auto"/>
              <w:jc w:val="right"/>
              <w:rPr>
                <w:rFonts w:ascii="Arial Narrow" w:hAnsi="Arial Narrow" w:cs="Mangal"/>
                <w:lang w:bidi="sa-IN"/>
              </w:rPr>
            </w:pPr>
            <w:r w:rsidR="00A00E9C">
              <w:rPr>
                <w:rFonts w:ascii="Arial Narrow" w:hAnsi="Arial Narrow" w:cs="Mangal"/>
                <w:lang w:bidi="sa-IN"/>
              </w:rPr>
              <w:t>999</w:t>
            </w:r>
            <w:r>
              <w:rPr>
                <w:rFonts w:ascii="Arial Narrow" w:hAnsi="Arial Narrow" w:cs="Mangal"/>
                <w:lang w:bidi="sa-IN"/>
              </w:rPr>
              <w:t> 000,00</w:t>
            </w:r>
          </w:p>
        </w:tc>
        <w:tc>
          <w:tcPr>
            <w:tcW w:w="195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6659EC" w:rsidRPr="00B16FA9" w:rsidP="006659EC">
            <w:pPr>
              <w:spacing w:line="240" w:lineRule="auto"/>
              <w:jc w:val="right"/>
              <w:rPr>
                <w:rFonts w:ascii="Arial Narrow" w:hAnsi="Arial Narrow" w:cs="Mangal"/>
                <w:lang w:bidi="sa-IN"/>
              </w:rPr>
            </w:pPr>
            <w:r w:rsidR="00A00E9C">
              <w:rPr>
                <w:rFonts w:ascii="Arial Narrow" w:hAnsi="Arial Narrow" w:cs="Mangal"/>
                <w:lang w:bidi="sa-IN"/>
              </w:rPr>
              <w:t>998 869,1</w:t>
            </w:r>
            <w:r>
              <w:rPr>
                <w:rFonts w:ascii="Arial Narrow" w:hAnsi="Arial Narrow" w:cs="Mangal"/>
                <w:lang w:bidi="sa-IN"/>
              </w:rPr>
              <w:t>0</w:t>
            </w:r>
          </w:p>
        </w:tc>
        <w:tc>
          <w:tcPr>
            <w:tcW w:w="1442" w:type="dxa"/>
            <w:tcBorders>
              <w:top w:val="single" w:sz="4" w:space="0" w:color="auto"/>
              <w:left w:val="single" w:sz="4" w:space="0" w:color="auto"/>
              <w:bottom w:val="single" w:sz="4" w:space="0" w:color="auto"/>
              <w:right w:val="single" w:sz="12" w:space="0" w:color="auto"/>
              <w:tl2br w:val="nil"/>
              <w:tr2bl w:val="nil"/>
            </w:tcBorders>
            <w:textDirection w:val="lrTb"/>
            <w:vAlign w:val="top"/>
          </w:tcPr>
          <w:p w:rsidR="006659EC" w:rsidP="006659EC">
            <w:pPr>
              <w:spacing w:line="240" w:lineRule="auto"/>
              <w:jc w:val="right"/>
              <w:rPr>
                <w:rFonts w:ascii="Times New Roman" w:hAnsi="Times New Roman" w:cs="Times New Roman"/>
              </w:rPr>
            </w:pPr>
            <w:r w:rsidR="00A00E9C">
              <w:rPr>
                <w:rFonts w:ascii="Arial Narrow" w:hAnsi="Arial Narrow" w:cs="Mangal"/>
                <w:lang w:bidi="sa-IN"/>
              </w:rPr>
              <w:t>130,9</w:t>
            </w:r>
            <w:r w:rsidRPr="008312CB">
              <w:rPr>
                <w:rFonts w:ascii="Arial Narrow" w:hAnsi="Arial Narrow" w:cs="Mangal"/>
                <w:lang w:bidi="sa-IN"/>
              </w:rPr>
              <w:t>0</w:t>
            </w:r>
          </w:p>
        </w:tc>
      </w:tr>
      <w:tr>
        <w:tblPrEx>
          <w:tblW w:w="8953" w:type="dxa"/>
          <w:tblInd w:w="108" w:type="dxa"/>
        </w:tblPrEx>
        <w:trPr>
          <w:trHeight w:hRule="auto" w:val="0"/>
        </w:trPr>
        <w:tc>
          <w:tcPr>
            <w:tcW w:w="3420" w:type="dxa"/>
            <w:tcBorders>
              <w:top w:val="single" w:sz="4" w:space="0" w:color="auto"/>
              <w:left w:val="single" w:sz="12" w:space="0" w:color="auto"/>
              <w:bottom w:val="single" w:sz="4" w:space="0" w:color="auto"/>
              <w:right w:val="single" w:sz="4" w:space="0" w:color="auto"/>
              <w:tl2br w:val="nil"/>
              <w:tr2bl w:val="nil"/>
            </w:tcBorders>
            <w:textDirection w:val="lrTb"/>
            <w:vAlign w:val="top"/>
          </w:tcPr>
          <w:p w:rsidR="006659EC" w:rsidRPr="00187EC2" w:rsidP="006659EC">
            <w:pPr>
              <w:spacing w:line="240" w:lineRule="auto"/>
              <w:rPr>
                <w:rFonts w:ascii="Arial Narrow" w:hAnsi="Arial Narrow" w:cs="Mangal"/>
                <w:lang w:bidi="sa-IN"/>
              </w:rPr>
            </w:pPr>
            <w:r>
              <w:rPr>
                <w:rFonts w:ascii="Arial Narrow" w:hAnsi="Arial Narrow" w:cs="Mangal"/>
                <w:lang w:bidi="sa-IN"/>
              </w:rPr>
              <w:t xml:space="preserve">Poprad, </w:t>
            </w:r>
            <w:r w:rsidRPr="00187EC2">
              <w:rPr>
                <w:rFonts w:ascii="Arial Narrow" w:hAnsi="Arial Narrow" w:cs="Mangal"/>
                <w:lang w:bidi="sa-IN"/>
              </w:rPr>
              <w:t>žst. výstavba nástupíšť</w:t>
            </w:r>
          </w:p>
        </w:tc>
        <w:tc>
          <w:tcPr>
            <w:tcW w:w="213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6659EC" w:rsidRPr="00B16FA9" w:rsidP="006659EC">
            <w:pPr>
              <w:spacing w:line="240" w:lineRule="auto"/>
              <w:jc w:val="right"/>
              <w:rPr>
                <w:rFonts w:ascii="Arial Narrow" w:hAnsi="Arial Narrow" w:cs="Mangal"/>
                <w:lang w:bidi="sa-IN"/>
              </w:rPr>
            </w:pPr>
            <w:r w:rsidR="00A00E9C">
              <w:rPr>
                <w:rFonts w:ascii="Arial Narrow" w:hAnsi="Arial Narrow" w:cs="Mangal"/>
                <w:lang w:bidi="sa-IN"/>
              </w:rPr>
              <w:t>1 8</w:t>
            </w:r>
            <w:r>
              <w:rPr>
                <w:rFonts w:ascii="Arial Narrow" w:hAnsi="Arial Narrow" w:cs="Mangal"/>
                <w:lang w:bidi="sa-IN"/>
              </w:rPr>
              <w:t>00 000,00</w:t>
            </w:r>
          </w:p>
        </w:tc>
        <w:tc>
          <w:tcPr>
            <w:tcW w:w="195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6659EC" w:rsidRPr="00B16FA9" w:rsidP="006659EC">
            <w:pPr>
              <w:spacing w:line="240" w:lineRule="auto"/>
              <w:jc w:val="right"/>
              <w:rPr>
                <w:rFonts w:ascii="Arial Narrow" w:hAnsi="Arial Narrow" w:cs="Mangal"/>
                <w:lang w:bidi="sa-IN"/>
              </w:rPr>
            </w:pPr>
            <w:r w:rsidR="00A00E9C">
              <w:rPr>
                <w:rFonts w:ascii="Arial Narrow" w:hAnsi="Arial Narrow" w:cs="Mangal"/>
                <w:lang w:bidi="sa-IN"/>
              </w:rPr>
              <w:t>1 799 637,1</w:t>
            </w:r>
            <w:r>
              <w:rPr>
                <w:rFonts w:ascii="Arial Narrow" w:hAnsi="Arial Narrow" w:cs="Mangal"/>
                <w:lang w:bidi="sa-IN"/>
              </w:rPr>
              <w:t>0</w:t>
            </w:r>
          </w:p>
        </w:tc>
        <w:tc>
          <w:tcPr>
            <w:tcW w:w="1442" w:type="dxa"/>
            <w:tcBorders>
              <w:top w:val="single" w:sz="4" w:space="0" w:color="auto"/>
              <w:left w:val="single" w:sz="4" w:space="0" w:color="auto"/>
              <w:bottom w:val="single" w:sz="4" w:space="0" w:color="auto"/>
              <w:right w:val="single" w:sz="12" w:space="0" w:color="auto"/>
              <w:tl2br w:val="nil"/>
              <w:tr2bl w:val="nil"/>
            </w:tcBorders>
            <w:textDirection w:val="lrTb"/>
            <w:vAlign w:val="top"/>
          </w:tcPr>
          <w:p w:rsidR="006659EC" w:rsidP="006659EC">
            <w:pPr>
              <w:spacing w:line="240" w:lineRule="auto"/>
              <w:jc w:val="right"/>
              <w:rPr>
                <w:rFonts w:ascii="Times New Roman" w:hAnsi="Times New Roman" w:cs="Times New Roman"/>
              </w:rPr>
            </w:pPr>
            <w:r w:rsidR="00A00E9C">
              <w:rPr>
                <w:rFonts w:ascii="Arial Narrow" w:hAnsi="Arial Narrow" w:cs="Mangal"/>
                <w:lang w:bidi="sa-IN"/>
              </w:rPr>
              <w:t>362,9</w:t>
            </w:r>
            <w:r w:rsidRPr="008312CB">
              <w:rPr>
                <w:rFonts w:ascii="Arial Narrow" w:hAnsi="Arial Narrow" w:cs="Mangal"/>
                <w:lang w:bidi="sa-IN"/>
              </w:rPr>
              <w:t>0</w:t>
            </w:r>
          </w:p>
        </w:tc>
      </w:tr>
      <w:tr>
        <w:tblPrEx>
          <w:tblW w:w="8953" w:type="dxa"/>
          <w:tblInd w:w="108" w:type="dxa"/>
        </w:tblPrEx>
        <w:trPr>
          <w:trHeight w:hRule="auto" w:val="0"/>
        </w:trPr>
        <w:tc>
          <w:tcPr>
            <w:tcW w:w="3420" w:type="dxa"/>
            <w:tcBorders>
              <w:top w:val="single" w:sz="4" w:space="0" w:color="auto"/>
              <w:left w:val="single" w:sz="12" w:space="0" w:color="auto"/>
              <w:bottom w:val="single" w:sz="4" w:space="0" w:color="auto"/>
              <w:right w:val="single" w:sz="4" w:space="0" w:color="auto"/>
              <w:tl2br w:val="nil"/>
              <w:tr2bl w:val="nil"/>
            </w:tcBorders>
            <w:textDirection w:val="lrTb"/>
            <w:vAlign w:val="top"/>
          </w:tcPr>
          <w:p w:rsidR="00A00E9C" w:rsidP="006659EC">
            <w:pPr>
              <w:spacing w:line="240" w:lineRule="auto"/>
              <w:rPr>
                <w:rFonts w:ascii="Arial Narrow" w:hAnsi="Arial Narrow" w:cs="Mangal"/>
                <w:lang w:bidi="sa-IN"/>
              </w:rPr>
            </w:pPr>
            <w:r w:rsidR="00B170D8">
              <w:rPr>
                <w:rFonts w:ascii="Arial Narrow" w:hAnsi="Arial Narrow" w:cs="Mangal"/>
                <w:lang w:bidi="sa-IN"/>
              </w:rPr>
              <w:t>Čierna n/Tisou, modernizácia ŠR a NR</w:t>
            </w:r>
          </w:p>
        </w:tc>
        <w:tc>
          <w:tcPr>
            <w:tcW w:w="213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00E9C" w:rsidP="006659EC">
            <w:pPr>
              <w:spacing w:line="240" w:lineRule="auto"/>
              <w:jc w:val="right"/>
              <w:rPr>
                <w:rFonts w:ascii="Arial Narrow" w:hAnsi="Arial Narrow" w:cs="Mangal"/>
                <w:lang w:bidi="sa-IN"/>
              </w:rPr>
            </w:pPr>
            <w:r w:rsidR="00743AE2">
              <w:rPr>
                <w:rFonts w:ascii="Arial Narrow" w:hAnsi="Arial Narrow" w:cs="Mangal"/>
                <w:lang w:bidi="sa-IN"/>
              </w:rPr>
              <w:t>272 885 000,00</w:t>
            </w:r>
          </w:p>
        </w:tc>
        <w:tc>
          <w:tcPr>
            <w:tcW w:w="195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00E9C" w:rsidP="006659EC">
            <w:pPr>
              <w:spacing w:line="240" w:lineRule="auto"/>
              <w:jc w:val="right"/>
              <w:rPr>
                <w:rFonts w:ascii="Arial Narrow" w:hAnsi="Arial Narrow" w:cs="Mangal"/>
                <w:lang w:bidi="sa-IN"/>
              </w:rPr>
            </w:pPr>
            <w:r w:rsidR="00743AE2">
              <w:rPr>
                <w:rFonts w:ascii="Arial Narrow" w:hAnsi="Arial Narrow" w:cs="Mangal"/>
                <w:lang w:bidi="sa-IN"/>
              </w:rPr>
              <w:t>249 208 169,00</w:t>
            </w:r>
          </w:p>
        </w:tc>
        <w:tc>
          <w:tcPr>
            <w:tcW w:w="1442" w:type="dxa"/>
            <w:tcBorders>
              <w:top w:val="single" w:sz="4" w:space="0" w:color="auto"/>
              <w:left w:val="single" w:sz="4" w:space="0" w:color="auto"/>
              <w:bottom w:val="single" w:sz="4" w:space="0" w:color="auto"/>
              <w:right w:val="single" w:sz="12" w:space="0" w:color="auto"/>
              <w:tl2br w:val="nil"/>
              <w:tr2bl w:val="nil"/>
            </w:tcBorders>
            <w:textDirection w:val="lrTb"/>
            <w:vAlign w:val="top"/>
          </w:tcPr>
          <w:p w:rsidR="00A00E9C" w:rsidP="006659EC">
            <w:pPr>
              <w:spacing w:line="240" w:lineRule="auto"/>
              <w:jc w:val="right"/>
              <w:rPr>
                <w:rFonts w:ascii="Arial Narrow" w:hAnsi="Arial Narrow" w:cs="Mangal"/>
                <w:lang w:bidi="sa-IN"/>
              </w:rPr>
            </w:pPr>
            <w:r w:rsidR="00743AE2">
              <w:rPr>
                <w:rFonts w:ascii="Arial Narrow" w:hAnsi="Arial Narrow" w:cs="Mangal"/>
                <w:lang w:bidi="sa-IN"/>
              </w:rPr>
              <w:t>23 676 831,00</w:t>
            </w:r>
          </w:p>
        </w:tc>
      </w:tr>
      <w:tr>
        <w:tblPrEx>
          <w:tblW w:w="8953" w:type="dxa"/>
          <w:tblInd w:w="108" w:type="dxa"/>
        </w:tblPrEx>
        <w:trPr>
          <w:trHeight w:hRule="auto" w:val="0"/>
        </w:trPr>
        <w:tc>
          <w:tcPr>
            <w:tcW w:w="3420" w:type="dxa"/>
            <w:tcBorders>
              <w:top w:val="single" w:sz="4" w:space="0" w:color="auto"/>
              <w:left w:val="single" w:sz="12" w:space="0" w:color="auto"/>
              <w:bottom w:val="single" w:sz="4" w:space="0" w:color="auto"/>
              <w:right w:val="single" w:sz="4" w:space="0" w:color="auto"/>
              <w:tl2br w:val="nil"/>
              <w:tr2bl w:val="nil"/>
            </w:tcBorders>
            <w:textDirection w:val="lrTb"/>
            <w:vAlign w:val="top"/>
          </w:tcPr>
          <w:p w:rsidR="00A00E9C" w:rsidP="006659EC">
            <w:pPr>
              <w:spacing w:line="240" w:lineRule="auto"/>
              <w:rPr>
                <w:rFonts w:ascii="Arial Narrow" w:hAnsi="Arial Narrow" w:cs="Mangal"/>
                <w:lang w:bidi="sa-IN"/>
              </w:rPr>
            </w:pPr>
            <w:r w:rsidR="00B170D8">
              <w:rPr>
                <w:rFonts w:ascii="Arial Narrow" w:hAnsi="Arial Narrow" w:cs="Mangal"/>
                <w:lang w:bidi="sa-IN"/>
              </w:rPr>
              <w:t>Kysak-Košice, modernizácia žel. trate</w:t>
            </w:r>
          </w:p>
        </w:tc>
        <w:tc>
          <w:tcPr>
            <w:tcW w:w="213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00E9C" w:rsidP="006659EC">
            <w:pPr>
              <w:spacing w:line="240" w:lineRule="auto"/>
              <w:jc w:val="right"/>
              <w:rPr>
                <w:rFonts w:ascii="Arial Narrow" w:hAnsi="Arial Narrow" w:cs="Mangal"/>
                <w:lang w:bidi="sa-IN"/>
              </w:rPr>
            </w:pPr>
            <w:r w:rsidR="00743AE2">
              <w:rPr>
                <w:rFonts w:ascii="Arial Narrow" w:hAnsi="Arial Narrow" w:cs="Mangal"/>
                <w:lang w:bidi="sa-IN"/>
              </w:rPr>
              <w:t>5 285 545,00</w:t>
            </w:r>
          </w:p>
        </w:tc>
        <w:tc>
          <w:tcPr>
            <w:tcW w:w="195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00E9C" w:rsidP="006659EC">
            <w:pPr>
              <w:spacing w:line="240" w:lineRule="auto"/>
              <w:jc w:val="right"/>
              <w:rPr>
                <w:rFonts w:ascii="Arial Narrow" w:hAnsi="Arial Narrow" w:cs="Mangal"/>
                <w:lang w:bidi="sa-IN"/>
              </w:rPr>
            </w:pPr>
            <w:r w:rsidR="00743AE2">
              <w:rPr>
                <w:rFonts w:ascii="Arial Narrow" w:hAnsi="Arial Narrow" w:cs="Mangal"/>
                <w:lang w:bidi="sa-IN"/>
              </w:rPr>
              <w:t>5 285 554,00</w:t>
            </w:r>
          </w:p>
        </w:tc>
        <w:tc>
          <w:tcPr>
            <w:tcW w:w="1442" w:type="dxa"/>
            <w:tcBorders>
              <w:top w:val="single" w:sz="4" w:space="0" w:color="auto"/>
              <w:left w:val="single" w:sz="4" w:space="0" w:color="auto"/>
              <w:bottom w:val="single" w:sz="4" w:space="0" w:color="auto"/>
              <w:right w:val="single" w:sz="12" w:space="0" w:color="auto"/>
              <w:tl2br w:val="nil"/>
              <w:tr2bl w:val="nil"/>
            </w:tcBorders>
            <w:textDirection w:val="lrTb"/>
            <w:vAlign w:val="top"/>
          </w:tcPr>
          <w:p w:rsidR="00A00E9C" w:rsidP="006659EC">
            <w:pPr>
              <w:spacing w:line="240" w:lineRule="auto"/>
              <w:jc w:val="right"/>
              <w:rPr>
                <w:rFonts w:ascii="Arial Narrow" w:hAnsi="Arial Narrow" w:cs="Mangal"/>
                <w:lang w:bidi="sa-IN"/>
              </w:rPr>
            </w:pPr>
            <w:r w:rsidR="009E389A">
              <w:rPr>
                <w:rFonts w:ascii="Arial Narrow" w:hAnsi="Arial Narrow" w:cs="Mangal"/>
                <w:lang w:bidi="sa-IN"/>
              </w:rPr>
              <w:t xml:space="preserve">- </w:t>
            </w:r>
            <w:r w:rsidR="00743AE2">
              <w:rPr>
                <w:rFonts w:ascii="Arial Narrow" w:hAnsi="Arial Narrow" w:cs="Mangal"/>
                <w:lang w:bidi="sa-IN"/>
              </w:rPr>
              <w:t>9,00</w:t>
            </w:r>
          </w:p>
        </w:tc>
      </w:tr>
      <w:tr>
        <w:tblPrEx>
          <w:tblW w:w="8953" w:type="dxa"/>
          <w:tblInd w:w="108" w:type="dxa"/>
        </w:tblPrEx>
        <w:trPr>
          <w:trHeight w:hRule="auto" w:val="0"/>
        </w:trPr>
        <w:tc>
          <w:tcPr>
            <w:tcW w:w="3420" w:type="dxa"/>
            <w:tcBorders>
              <w:top w:val="single" w:sz="4" w:space="0" w:color="auto"/>
              <w:left w:val="single" w:sz="12" w:space="0" w:color="auto"/>
              <w:bottom w:val="single" w:sz="4" w:space="0" w:color="auto"/>
              <w:right w:val="single" w:sz="4" w:space="0" w:color="auto"/>
              <w:tl2br w:val="nil"/>
              <w:tr2bl w:val="nil"/>
            </w:tcBorders>
            <w:textDirection w:val="lrTb"/>
            <w:vAlign w:val="top"/>
          </w:tcPr>
          <w:p w:rsidR="00B170D8" w:rsidP="006659EC">
            <w:pPr>
              <w:spacing w:line="240" w:lineRule="auto"/>
              <w:rPr>
                <w:rFonts w:ascii="Arial Narrow" w:hAnsi="Arial Narrow" w:cs="Mangal"/>
                <w:lang w:bidi="sa-IN"/>
              </w:rPr>
            </w:pPr>
            <w:r>
              <w:rPr>
                <w:rFonts w:ascii="Arial Narrow" w:hAnsi="Arial Narrow" w:cs="Mangal"/>
                <w:lang w:bidi="sa-IN"/>
              </w:rPr>
              <w:t>ETCS Rača-Trnava, Trnava-N.M.n/Váhom</w:t>
            </w:r>
          </w:p>
        </w:tc>
        <w:tc>
          <w:tcPr>
            <w:tcW w:w="213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170D8" w:rsidP="006659EC">
            <w:pPr>
              <w:spacing w:line="240" w:lineRule="auto"/>
              <w:jc w:val="right"/>
              <w:rPr>
                <w:rFonts w:ascii="Arial Narrow" w:hAnsi="Arial Narrow" w:cs="Mangal"/>
                <w:lang w:bidi="sa-IN"/>
              </w:rPr>
            </w:pPr>
            <w:r w:rsidR="00743AE2">
              <w:rPr>
                <w:rFonts w:ascii="Arial Narrow" w:hAnsi="Arial Narrow" w:cs="Mangal"/>
                <w:lang w:bidi="sa-IN"/>
              </w:rPr>
              <w:t>33 000 000,00</w:t>
            </w:r>
          </w:p>
        </w:tc>
        <w:tc>
          <w:tcPr>
            <w:tcW w:w="195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170D8" w:rsidP="006659EC">
            <w:pPr>
              <w:spacing w:line="240" w:lineRule="auto"/>
              <w:jc w:val="right"/>
              <w:rPr>
                <w:rFonts w:ascii="Arial Narrow" w:hAnsi="Arial Narrow" w:cs="Mangal"/>
                <w:lang w:bidi="sa-IN"/>
              </w:rPr>
            </w:pPr>
            <w:r w:rsidR="00743AE2">
              <w:rPr>
                <w:rFonts w:ascii="Arial Narrow" w:hAnsi="Arial Narrow" w:cs="Mangal"/>
                <w:lang w:bidi="sa-IN"/>
              </w:rPr>
              <w:t>32 999 999,87</w:t>
            </w:r>
          </w:p>
        </w:tc>
        <w:tc>
          <w:tcPr>
            <w:tcW w:w="1442" w:type="dxa"/>
            <w:tcBorders>
              <w:top w:val="single" w:sz="4" w:space="0" w:color="auto"/>
              <w:left w:val="single" w:sz="4" w:space="0" w:color="auto"/>
              <w:bottom w:val="single" w:sz="4" w:space="0" w:color="auto"/>
              <w:right w:val="single" w:sz="12" w:space="0" w:color="auto"/>
              <w:tl2br w:val="nil"/>
              <w:tr2bl w:val="nil"/>
            </w:tcBorders>
            <w:textDirection w:val="lrTb"/>
            <w:vAlign w:val="top"/>
          </w:tcPr>
          <w:p w:rsidR="00B170D8" w:rsidP="006659EC">
            <w:pPr>
              <w:spacing w:line="240" w:lineRule="auto"/>
              <w:jc w:val="right"/>
              <w:rPr>
                <w:rFonts w:ascii="Arial Narrow" w:hAnsi="Arial Narrow" w:cs="Mangal"/>
                <w:lang w:bidi="sa-IN"/>
              </w:rPr>
            </w:pPr>
            <w:r w:rsidR="00743AE2">
              <w:rPr>
                <w:rFonts w:ascii="Arial Narrow" w:hAnsi="Arial Narrow" w:cs="Mangal"/>
                <w:lang w:bidi="sa-IN"/>
              </w:rPr>
              <w:t>0,13</w:t>
            </w:r>
          </w:p>
        </w:tc>
      </w:tr>
      <w:tr>
        <w:tblPrEx>
          <w:tblW w:w="8953" w:type="dxa"/>
          <w:tblInd w:w="108" w:type="dxa"/>
        </w:tblPrEx>
        <w:trPr>
          <w:trHeight w:hRule="auto" w:val="0"/>
        </w:trPr>
        <w:tc>
          <w:tcPr>
            <w:tcW w:w="3420" w:type="dxa"/>
            <w:tcBorders>
              <w:top w:val="single" w:sz="4" w:space="0" w:color="auto"/>
              <w:left w:val="single" w:sz="12" w:space="0" w:color="auto"/>
              <w:bottom w:val="single" w:sz="4" w:space="0" w:color="auto"/>
              <w:right w:val="single" w:sz="4" w:space="0" w:color="auto"/>
              <w:tl2br w:val="nil"/>
              <w:tr2bl w:val="nil"/>
            </w:tcBorders>
            <w:textDirection w:val="lrTb"/>
            <w:vAlign w:val="top"/>
          </w:tcPr>
          <w:p w:rsidR="00A00E9C" w:rsidP="006659EC">
            <w:pPr>
              <w:spacing w:line="240" w:lineRule="auto"/>
              <w:rPr>
                <w:rFonts w:ascii="Arial Narrow" w:hAnsi="Arial Narrow" w:cs="Mangal"/>
                <w:lang w:bidi="sa-IN"/>
              </w:rPr>
            </w:pPr>
            <w:r w:rsidR="00743AE2">
              <w:rPr>
                <w:rFonts w:ascii="Arial Narrow" w:hAnsi="Arial Narrow" w:cs="Mangal"/>
                <w:lang w:bidi="sa-IN"/>
              </w:rPr>
              <w:t>Púchov-Žilina, moder. trate (mimo fin. z EÚ)</w:t>
            </w:r>
          </w:p>
        </w:tc>
        <w:tc>
          <w:tcPr>
            <w:tcW w:w="213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00E9C" w:rsidP="006659EC">
            <w:pPr>
              <w:spacing w:line="240" w:lineRule="auto"/>
              <w:jc w:val="right"/>
              <w:rPr>
                <w:rFonts w:ascii="Arial Narrow" w:hAnsi="Arial Narrow" w:cs="Mangal"/>
                <w:lang w:bidi="sa-IN"/>
              </w:rPr>
            </w:pPr>
            <w:r w:rsidR="00743AE2">
              <w:rPr>
                <w:rFonts w:ascii="Arial Narrow" w:hAnsi="Arial Narrow" w:cs="Mangal"/>
                <w:lang w:bidi="sa-IN"/>
              </w:rPr>
              <w:t>22 636 000,00</w:t>
            </w:r>
          </w:p>
        </w:tc>
        <w:tc>
          <w:tcPr>
            <w:tcW w:w="195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00E9C" w:rsidP="006659EC">
            <w:pPr>
              <w:spacing w:line="240" w:lineRule="auto"/>
              <w:jc w:val="right"/>
              <w:rPr>
                <w:rFonts w:ascii="Arial Narrow" w:hAnsi="Arial Narrow" w:cs="Mangal"/>
                <w:lang w:bidi="sa-IN"/>
              </w:rPr>
            </w:pPr>
            <w:r w:rsidR="00743AE2">
              <w:rPr>
                <w:rFonts w:ascii="Arial Narrow" w:hAnsi="Arial Narrow" w:cs="Mangal"/>
                <w:lang w:bidi="sa-IN"/>
              </w:rPr>
              <w:t>22 636 000,00</w:t>
            </w:r>
          </w:p>
        </w:tc>
        <w:tc>
          <w:tcPr>
            <w:tcW w:w="1442" w:type="dxa"/>
            <w:tcBorders>
              <w:top w:val="single" w:sz="4" w:space="0" w:color="auto"/>
              <w:left w:val="single" w:sz="4" w:space="0" w:color="auto"/>
              <w:bottom w:val="single" w:sz="4" w:space="0" w:color="auto"/>
              <w:right w:val="single" w:sz="12" w:space="0" w:color="auto"/>
              <w:tl2br w:val="nil"/>
              <w:tr2bl w:val="nil"/>
            </w:tcBorders>
            <w:textDirection w:val="lrTb"/>
            <w:vAlign w:val="top"/>
          </w:tcPr>
          <w:p w:rsidR="00A00E9C" w:rsidP="006659EC">
            <w:pPr>
              <w:spacing w:line="240" w:lineRule="auto"/>
              <w:jc w:val="right"/>
              <w:rPr>
                <w:rFonts w:ascii="Arial Narrow" w:hAnsi="Arial Narrow" w:cs="Mangal"/>
                <w:lang w:bidi="sa-IN"/>
              </w:rPr>
            </w:pPr>
          </w:p>
        </w:tc>
      </w:tr>
      <w:tr>
        <w:tblPrEx>
          <w:tblW w:w="8953" w:type="dxa"/>
          <w:tblInd w:w="108" w:type="dxa"/>
        </w:tblPrEx>
        <w:trPr>
          <w:trHeight w:hRule="auto" w:val="0"/>
        </w:trPr>
        <w:tc>
          <w:tcPr>
            <w:tcW w:w="3420" w:type="dxa"/>
            <w:tcBorders>
              <w:top w:val="single" w:sz="12" w:space="0" w:color="auto"/>
              <w:left w:val="single" w:sz="12" w:space="0" w:color="auto"/>
              <w:bottom w:val="single" w:sz="12" w:space="0" w:color="auto"/>
              <w:right w:val="single" w:sz="4" w:space="0" w:color="auto"/>
              <w:tl2br w:val="nil"/>
              <w:tr2bl w:val="nil"/>
            </w:tcBorders>
            <w:shd w:val="clear" w:color="auto" w:fill="C0C0C0"/>
            <w:textDirection w:val="lrTb"/>
            <w:vAlign w:val="top"/>
          </w:tcPr>
          <w:p w:rsidR="006659EC" w:rsidRPr="00557E0F" w:rsidP="006659EC">
            <w:pPr>
              <w:spacing w:line="240" w:lineRule="auto"/>
              <w:rPr>
                <w:rFonts w:ascii="Arial Narrow" w:hAnsi="Arial Narrow" w:cs="Mangal"/>
                <w:b/>
                <w:lang w:bidi="sa-IN"/>
              </w:rPr>
            </w:pPr>
            <w:r w:rsidRPr="00557E0F">
              <w:rPr>
                <w:rFonts w:ascii="Arial Narrow" w:hAnsi="Arial Narrow" w:cs="Mangal"/>
                <w:b/>
                <w:lang w:bidi="sa-IN"/>
              </w:rPr>
              <w:t>S P O L U:</w:t>
            </w:r>
          </w:p>
        </w:tc>
        <w:tc>
          <w:tcPr>
            <w:tcW w:w="2132" w:type="dxa"/>
            <w:tcBorders>
              <w:top w:val="single" w:sz="12" w:space="0" w:color="auto"/>
              <w:left w:val="single" w:sz="4" w:space="0" w:color="auto"/>
              <w:bottom w:val="single" w:sz="12" w:space="0" w:color="auto"/>
              <w:right w:val="single" w:sz="4" w:space="0" w:color="auto"/>
              <w:tl2br w:val="nil"/>
              <w:tr2bl w:val="nil"/>
            </w:tcBorders>
            <w:shd w:val="clear" w:color="auto" w:fill="C0C0C0"/>
            <w:textDirection w:val="lrTb"/>
            <w:vAlign w:val="top"/>
          </w:tcPr>
          <w:p w:rsidR="006659EC" w:rsidRPr="00557E0F" w:rsidP="006659EC">
            <w:pPr>
              <w:spacing w:line="240" w:lineRule="auto"/>
              <w:jc w:val="right"/>
              <w:rPr>
                <w:rFonts w:ascii="Arial Narrow" w:hAnsi="Arial Narrow" w:cs="Mangal"/>
                <w:b/>
                <w:lang w:bidi="sa-IN"/>
              </w:rPr>
            </w:pPr>
            <w:r w:rsidRPr="00557E0F" w:rsidR="00743AE2">
              <w:rPr>
                <w:rFonts w:ascii="Arial Narrow" w:hAnsi="Arial Narrow" w:cs="Mangal"/>
                <w:b/>
                <w:lang w:bidi="sa-IN"/>
              </w:rPr>
              <w:t>1</w:t>
            </w:r>
            <w:r w:rsidRPr="00557E0F" w:rsidR="00C67D48">
              <w:rPr>
                <w:rFonts w:ascii="Arial Narrow" w:hAnsi="Arial Narrow" w:cs="Mangal"/>
                <w:b/>
                <w:lang w:bidi="sa-IN"/>
              </w:rPr>
              <w:t> 027 909 545,00</w:t>
            </w:r>
          </w:p>
        </w:tc>
        <w:tc>
          <w:tcPr>
            <w:tcW w:w="1959" w:type="dxa"/>
            <w:tcBorders>
              <w:top w:val="single" w:sz="12" w:space="0" w:color="auto"/>
              <w:left w:val="single" w:sz="4" w:space="0" w:color="auto"/>
              <w:bottom w:val="single" w:sz="12" w:space="0" w:color="auto"/>
              <w:right w:val="single" w:sz="4" w:space="0" w:color="auto"/>
              <w:tl2br w:val="nil"/>
              <w:tr2bl w:val="nil"/>
            </w:tcBorders>
            <w:shd w:val="clear" w:color="auto" w:fill="C0C0C0"/>
            <w:textDirection w:val="lrTb"/>
            <w:vAlign w:val="top"/>
          </w:tcPr>
          <w:p w:rsidR="006659EC" w:rsidRPr="00557E0F" w:rsidP="006659EC">
            <w:pPr>
              <w:spacing w:line="240" w:lineRule="auto"/>
              <w:jc w:val="right"/>
              <w:rPr>
                <w:rFonts w:ascii="Arial Narrow" w:hAnsi="Arial Narrow" w:cs="Mangal"/>
                <w:b/>
                <w:lang w:bidi="sa-IN"/>
              </w:rPr>
            </w:pPr>
            <w:r w:rsidRPr="00557E0F" w:rsidR="00743AE2">
              <w:rPr>
                <w:rFonts w:ascii="Arial Narrow" w:hAnsi="Arial Narrow" w:cs="Mangal"/>
                <w:b/>
                <w:lang w:bidi="sa-IN"/>
              </w:rPr>
              <w:t>1 000 232 395,2</w:t>
            </w:r>
            <w:r w:rsidR="00ED4BF2">
              <w:rPr>
                <w:rFonts w:ascii="Arial Narrow" w:hAnsi="Arial Narrow" w:cs="Mangal"/>
                <w:b/>
                <w:lang w:bidi="sa-IN"/>
              </w:rPr>
              <w:t>7</w:t>
            </w:r>
          </w:p>
        </w:tc>
        <w:tc>
          <w:tcPr>
            <w:tcW w:w="1442" w:type="dxa"/>
            <w:tcBorders>
              <w:top w:val="single" w:sz="12" w:space="0" w:color="auto"/>
              <w:left w:val="single" w:sz="4" w:space="0" w:color="auto"/>
              <w:bottom w:val="single" w:sz="12" w:space="0" w:color="auto"/>
              <w:right w:val="single" w:sz="12" w:space="0" w:color="auto"/>
              <w:tl2br w:val="nil"/>
              <w:tr2bl w:val="nil"/>
            </w:tcBorders>
            <w:shd w:val="clear" w:color="auto" w:fill="C0C0C0"/>
            <w:textDirection w:val="lrTb"/>
            <w:vAlign w:val="top"/>
          </w:tcPr>
          <w:p w:rsidR="006659EC" w:rsidRPr="00557E0F" w:rsidP="006659EC">
            <w:pPr>
              <w:spacing w:line="240" w:lineRule="auto"/>
              <w:jc w:val="right"/>
              <w:rPr>
                <w:rFonts w:ascii="Times New Roman" w:hAnsi="Times New Roman" w:cs="Times New Roman"/>
                <w:b/>
              </w:rPr>
            </w:pPr>
            <w:r w:rsidR="00557E0F">
              <w:rPr>
                <w:rFonts w:ascii="Arial Narrow" w:hAnsi="Arial Narrow" w:cs="Mangal"/>
                <w:b/>
                <w:lang w:bidi="sa-IN"/>
              </w:rPr>
              <w:t xml:space="preserve"> </w:t>
            </w:r>
            <w:r w:rsidRPr="00557E0F" w:rsidR="00743AE2">
              <w:rPr>
                <w:rFonts w:ascii="Arial Narrow" w:hAnsi="Arial Narrow" w:cs="Mangal"/>
                <w:b/>
                <w:lang w:bidi="sa-IN"/>
              </w:rPr>
              <w:t>27 677 149,74</w:t>
            </w:r>
          </w:p>
        </w:tc>
      </w:tr>
      <w:tr>
        <w:tblPrEx>
          <w:tblW w:w="8953" w:type="dxa"/>
          <w:tblInd w:w="108" w:type="dxa"/>
        </w:tblPrEx>
        <w:trPr>
          <w:trHeight w:hRule="auto" w:val="0"/>
        </w:trPr>
        <w:tc>
          <w:tcPr>
            <w:tcW w:w="3420" w:type="dxa"/>
            <w:tcBorders>
              <w:top w:val="single" w:sz="12" w:space="0" w:color="auto"/>
              <w:left w:val="single" w:sz="12" w:space="0" w:color="auto"/>
              <w:bottom w:val="single" w:sz="4" w:space="0" w:color="auto"/>
              <w:right w:val="single" w:sz="4" w:space="0" w:color="auto"/>
              <w:tl2br w:val="nil"/>
              <w:tr2bl w:val="nil"/>
            </w:tcBorders>
            <w:textDirection w:val="lrTb"/>
            <w:vAlign w:val="top"/>
          </w:tcPr>
          <w:p w:rsidR="006659EC" w:rsidRPr="00557E0F" w:rsidP="006659EC">
            <w:pPr>
              <w:spacing w:line="240" w:lineRule="auto"/>
              <w:rPr>
                <w:rFonts w:ascii="Arial Narrow" w:hAnsi="Arial Narrow" w:cs="Mangal"/>
                <w:b/>
                <w:lang w:bidi="sa-IN"/>
              </w:rPr>
            </w:pPr>
            <w:r w:rsidR="00262FA1">
              <w:rPr>
                <w:rFonts w:ascii="Arial Narrow" w:hAnsi="Arial Narrow" w:cs="Mangal"/>
                <w:b/>
                <w:lang w:bidi="sa-IN"/>
              </w:rPr>
              <w:t>Projekty TEN-T spolufinancovanie zo ŠR</w:t>
            </w:r>
          </w:p>
        </w:tc>
        <w:tc>
          <w:tcPr>
            <w:tcW w:w="2132" w:type="dxa"/>
            <w:tcBorders>
              <w:top w:val="single" w:sz="12" w:space="0" w:color="auto"/>
              <w:left w:val="single" w:sz="4" w:space="0" w:color="auto"/>
              <w:bottom w:val="single" w:sz="4" w:space="0" w:color="auto"/>
              <w:right w:val="single" w:sz="4" w:space="0" w:color="auto"/>
              <w:tl2br w:val="nil"/>
              <w:tr2bl w:val="nil"/>
            </w:tcBorders>
            <w:textDirection w:val="lrTb"/>
            <w:vAlign w:val="top"/>
          </w:tcPr>
          <w:p w:rsidR="006659EC" w:rsidRPr="00557E0F" w:rsidP="006659EC">
            <w:pPr>
              <w:spacing w:line="240" w:lineRule="auto"/>
              <w:jc w:val="right"/>
              <w:rPr>
                <w:rFonts w:ascii="Arial Narrow" w:hAnsi="Arial Narrow" w:cs="Mangal"/>
                <w:b/>
                <w:lang w:bidi="sa-IN"/>
              </w:rPr>
            </w:pPr>
            <w:r w:rsidRPr="00557E0F" w:rsidR="00557E0F">
              <w:rPr>
                <w:rFonts w:ascii="Arial Narrow" w:hAnsi="Arial Narrow" w:cs="Mangal"/>
                <w:b/>
                <w:lang w:bidi="sa-IN"/>
              </w:rPr>
              <w:t>60 580 000,00</w:t>
            </w:r>
          </w:p>
        </w:tc>
        <w:tc>
          <w:tcPr>
            <w:tcW w:w="1959" w:type="dxa"/>
            <w:tcBorders>
              <w:top w:val="single" w:sz="12" w:space="0" w:color="auto"/>
              <w:left w:val="single" w:sz="4" w:space="0" w:color="auto"/>
              <w:bottom w:val="single" w:sz="4" w:space="0" w:color="auto"/>
              <w:right w:val="single" w:sz="4" w:space="0" w:color="auto"/>
              <w:tl2br w:val="nil"/>
              <w:tr2bl w:val="nil"/>
            </w:tcBorders>
            <w:textDirection w:val="lrTb"/>
            <w:vAlign w:val="top"/>
          </w:tcPr>
          <w:p w:rsidR="006659EC" w:rsidRPr="00557E0F" w:rsidP="006659EC">
            <w:pPr>
              <w:spacing w:line="240" w:lineRule="auto"/>
              <w:jc w:val="right"/>
              <w:rPr>
                <w:rFonts w:ascii="Arial Narrow" w:hAnsi="Arial Narrow" w:cs="Mangal"/>
                <w:b/>
                <w:lang w:bidi="sa-IN"/>
              </w:rPr>
            </w:pPr>
            <w:r w:rsidR="00ED4BF2">
              <w:rPr>
                <w:rFonts w:ascii="Arial Narrow" w:hAnsi="Arial Narrow" w:cs="Mangal"/>
                <w:b/>
                <w:lang w:bidi="sa-IN"/>
              </w:rPr>
              <w:t>55 414 530,50</w:t>
            </w:r>
          </w:p>
        </w:tc>
        <w:tc>
          <w:tcPr>
            <w:tcW w:w="1442" w:type="dxa"/>
            <w:tcBorders>
              <w:top w:val="single" w:sz="12" w:space="0" w:color="auto"/>
              <w:left w:val="single" w:sz="4" w:space="0" w:color="auto"/>
              <w:bottom w:val="single" w:sz="4" w:space="0" w:color="auto"/>
              <w:right w:val="single" w:sz="12" w:space="0" w:color="auto"/>
              <w:tl2br w:val="nil"/>
              <w:tr2bl w:val="nil"/>
            </w:tcBorders>
            <w:textDirection w:val="lrTb"/>
            <w:vAlign w:val="top"/>
          </w:tcPr>
          <w:p w:rsidR="006659EC" w:rsidRPr="00557E0F" w:rsidP="006659EC">
            <w:pPr>
              <w:spacing w:line="240" w:lineRule="auto"/>
              <w:jc w:val="right"/>
              <w:rPr>
                <w:rFonts w:ascii="Arial Narrow" w:hAnsi="Arial Narrow" w:cs="Times New Roman"/>
                <w:b/>
              </w:rPr>
            </w:pPr>
            <w:r w:rsidR="00874305">
              <w:rPr>
                <w:rFonts w:ascii="Arial Narrow" w:hAnsi="Arial Narrow" w:cs="Times New Roman"/>
                <w:b/>
              </w:rPr>
              <w:t xml:space="preserve"> 5 165 469</w:t>
            </w:r>
            <w:r w:rsidRPr="00557E0F" w:rsidR="00557E0F">
              <w:rPr>
                <w:rFonts w:ascii="Arial Narrow" w:hAnsi="Arial Narrow" w:cs="Times New Roman"/>
                <w:b/>
              </w:rPr>
              <w:t>,</w:t>
            </w:r>
            <w:r w:rsidR="00874305">
              <w:rPr>
                <w:rFonts w:ascii="Arial Narrow" w:hAnsi="Arial Narrow" w:cs="Times New Roman"/>
                <w:b/>
              </w:rPr>
              <w:t>50</w:t>
            </w:r>
          </w:p>
        </w:tc>
      </w:tr>
      <w:tr>
        <w:tblPrEx>
          <w:tblW w:w="8953" w:type="dxa"/>
          <w:tblInd w:w="108" w:type="dxa"/>
        </w:tblPrEx>
        <w:trPr>
          <w:trHeight w:hRule="auto" w:val="0"/>
        </w:trPr>
        <w:tc>
          <w:tcPr>
            <w:tcW w:w="3420" w:type="dxa"/>
            <w:tcBorders>
              <w:top w:val="single" w:sz="4" w:space="0" w:color="auto"/>
              <w:left w:val="single" w:sz="12" w:space="0" w:color="auto"/>
              <w:bottom w:val="single" w:sz="4" w:space="0" w:color="auto"/>
              <w:right w:val="single" w:sz="4" w:space="0" w:color="auto"/>
              <w:tl2br w:val="nil"/>
              <w:tr2bl w:val="nil"/>
            </w:tcBorders>
            <w:textDirection w:val="lrTb"/>
            <w:vAlign w:val="top"/>
          </w:tcPr>
          <w:p w:rsidR="00224A6C" w:rsidP="007A6D26">
            <w:pPr>
              <w:spacing w:line="240" w:lineRule="auto"/>
              <w:rPr>
                <w:rFonts w:ascii="Arial Narrow" w:hAnsi="Arial Narrow" w:cs="Mangal"/>
                <w:lang w:bidi="sa-IN"/>
              </w:rPr>
            </w:pPr>
            <w:r>
              <w:rPr>
                <w:rFonts w:ascii="Arial Narrow" w:hAnsi="Arial Narrow" w:cs="Mangal"/>
                <w:lang w:bidi="sa-IN"/>
              </w:rPr>
              <w:t>Púchov-Žilina,</w:t>
            </w:r>
            <w:r w:rsidR="00262FA1">
              <w:rPr>
                <w:rFonts w:ascii="Arial Narrow" w:hAnsi="Arial Narrow" w:cs="Mangal"/>
                <w:lang w:bidi="sa-IN"/>
              </w:rPr>
              <w:t xml:space="preserve"> modernizácia trate</w:t>
            </w:r>
          </w:p>
        </w:tc>
        <w:tc>
          <w:tcPr>
            <w:tcW w:w="213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24A6C" w:rsidP="007A6D26">
            <w:pPr>
              <w:spacing w:line="240" w:lineRule="auto"/>
              <w:jc w:val="right"/>
              <w:rPr>
                <w:rFonts w:ascii="Arial Narrow" w:hAnsi="Arial Narrow" w:cs="Mangal"/>
                <w:lang w:bidi="sa-IN"/>
              </w:rPr>
            </w:pPr>
            <w:r>
              <w:rPr>
                <w:rFonts w:ascii="Arial Narrow" w:hAnsi="Arial Narrow" w:cs="Mangal"/>
                <w:lang w:bidi="sa-IN"/>
              </w:rPr>
              <w:t>12 500 000,00</w:t>
            </w:r>
          </w:p>
        </w:tc>
        <w:tc>
          <w:tcPr>
            <w:tcW w:w="195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24A6C" w:rsidP="007A6D26">
            <w:pPr>
              <w:spacing w:line="240" w:lineRule="auto"/>
              <w:jc w:val="right"/>
              <w:rPr>
                <w:rFonts w:ascii="Arial Narrow" w:hAnsi="Arial Narrow" w:cs="Mangal"/>
                <w:lang w:bidi="sa-IN"/>
              </w:rPr>
            </w:pPr>
            <w:r w:rsidR="00ED4BF2">
              <w:rPr>
                <w:rFonts w:ascii="Arial Narrow" w:hAnsi="Arial Narrow" w:cs="Mangal"/>
                <w:lang w:bidi="sa-IN"/>
              </w:rPr>
              <w:t>7 334 530,50</w:t>
            </w:r>
          </w:p>
        </w:tc>
        <w:tc>
          <w:tcPr>
            <w:tcW w:w="1442" w:type="dxa"/>
            <w:tcBorders>
              <w:top w:val="single" w:sz="4" w:space="0" w:color="auto"/>
              <w:left w:val="single" w:sz="4" w:space="0" w:color="auto"/>
              <w:bottom w:val="single" w:sz="4" w:space="0" w:color="auto"/>
              <w:right w:val="single" w:sz="12" w:space="0" w:color="auto"/>
              <w:tl2br w:val="nil"/>
              <w:tr2bl w:val="nil"/>
            </w:tcBorders>
            <w:textDirection w:val="lrTb"/>
            <w:vAlign w:val="top"/>
          </w:tcPr>
          <w:p w:rsidR="00224A6C" w:rsidP="007A6D26">
            <w:pPr>
              <w:spacing w:line="240" w:lineRule="auto"/>
              <w:jc w:val="right"/>
              <w:rPr>
                <w:rFonts w:ascii="Times New Roman" w:hAnsi="Times New Roman" w:cs="Times New Roman"/>
              </w:rPr>
            </w:pPr>
            <w:r w:rsidR="009E389A">
              <w:rPr>
                <w:rFonts w:ascii="Arial Narrow" w:hAnsi="Arial Narrow" w:cs="Mangal"/>
                <w:lang w:bidi="sa-IN"/>
              </w:rPr>
              <w:t xml:space="preserve"> </w:t>
            </w:r>
            <w:r w:rsidR="00874305">
              <w:rPr>
                <w:rFonts w:ascii="Arial Narrow" w:hAnsi="Arial Narrow" w:cs="Mangal"/>
                <w:lang w:bidi="sa-IN"/>
              </w:rPr>
              <w:t>5 165 469</w:t>
            </w:r>
            <w:r w:rsidRPr="008312CB">
              <w:rPr>
                <w:rFonts w:ascii="Arial Narrow" w:hAnsi="Arial Narrow" w:cs="Mangal"/>
                <w:lang w:bidi="sa-IN"/>
              </w:rPr>
              <w:t>,</w:t>
            </w:r>
            <w:r w:rsidR="00874305">
              <w:rPr>
                <w:rFonts w:ascii="Arial Narrow" w:hAnsi="Arial Narrow" w:cs="Mangal"/>
                <w:lang w:bidi="sa-IN"/>
              </w:rPr>
              <w:t>50</w:t>
            </w:r>
          </w:p>
        </w:tc>
      </w:tr>
      <w:tr>
        <w:tblPrEx>
          <w:tblW w:w="8953" w:type="dxa"/>
          <w:tblInd w:w="108" w:type="dxa"/>
        </w:tblPrEx>
        <w:trPr>
          <w:trHeight w:hRule="auto" w:val="0"/>
        </w:trPr>
        <w:tc>
          <w:tcPr>
            <w:tcW w:w="3420" w:type="dxa"/>
            <w:tcBorders>
              <w:top w:val="single" w:sz="4" w:space="0" w:color="auto"/>
              <w:left w:val="single" w:sz="12" w:space="0" w:color="auto"/>
              <w:bottom w:val="single" w:sz="4" w:space="0" w:color="auto"/>
              <w:right w:val="single" w:sz="4" w:space="0" w:color="auto"/>
              <w:tl2br w:val="nil"/>
              <w:tr2bl w:val="nil"/>
            </w:tcBorders>
            <w:textDirection w:val="lrTb"/>
            <w:vAlign w:val="center"/>
          </w:tcPr>
          <w:p w:rsidR="00224A6C" w:rsidP="006659EC">
            <w:pPr>
              <w:spacing w:line="240" w:lineRule="auto"/>
              <w:rPr>
                <w:rFonts w:ascii="Arial Narrow" w:hAnsi="Arial Narrow" w:cs="Mangal"/>
                <w:lang w:bidi="sa-IN"/>
              </w:rPr>
            </w:pPr>
            <w:r>
              <w:rPr>
                <w:rFonts w:ascii="Arial Narrow" w:hAnsi="Arial Narrow" w:cs="Mangal"/>
                <w:lang w:bidi="sa-IN"/>
              </w:rPr>
              <w:t>Bratislava, žel</w:t>
            </w:r>
            <w:r w:rsidR="00262FA1">
              <w:rPr>
                <w:rFonts w:ascii="Arial Narrow" w:hAnsi="Arial Narrow" w:cs="Mangal"/>
                <w:lang w:bidi="sa-IN"/>
              </w:rPr>
              <w:t xml:space="preserve">ez. </w:t>
            </w:r>
            <w:r>
              <w:rPr>
                <w:rFonts w:ascii="Arial Narrow" w:hAnsi="Arial Narrow" w:cs="Mangal"/>
                <w:lang w:bidi="sa-IN"/>
              </w:rPr>
              <w:t>prepoj</w:t>
            </w:r>
            <w:r w:rsidR="00262FA1">
              <w:rPr>
                <w:rFonts w:ascii="Arial Narrow" w:hAnsi="Arial Narrow" w:cs="Mangal"/>
                <w:lang w:bidi="sa-IN"/>
              </w:rPr>
              <w:t xml:space="preserve">enie </w:t>
            </w:r>
            <w:r>
              <w:rPr>
                <w:rFonts w:ascii="Arial Narrow" w:hAnsi="Arial Narrow" w:cs="Mangal"/>
                <w:lang w:bidi="sa-IN"/>
              </w:rPr>
              <w:t>koridorov EÚ s</w:t>
            </w:r>
            <w:r w:rsidR="00262FA1">
              <w:rPr>
                <w:rFonts w:ascii="Arial Narrow" w:hAnsi="Arial Narrow" w:cs="Mangal"/>
                <w:lang w:bidi="sa-IN"/>
              </w:rPr>
              <w:t xml:space="preserve"> priamym </w:t>
            </w:r>
            <w:r w:rsidR="00557E0F">
              <w:rPr>
                <w:rFonts w:ascii="Arial Narrow" w:hAnsi="Arial Narrow" w:cs="Mangal"/>
                <w:lang w:bidi="sa-IN"/>
              </w:rPr>
              <w:t>nap</w:t>
            </w:r>
            <w:r w:rsidR="00262FA1">
              <w:rPr>
                <w:rFonts w:ascii="Arial Narrow" w:hAnsi="Arial Narrow" w:cs="Mangal"/>
                <w:lang w:bidi="sa-IN"/>
              </w:rPr>
              <w:t xml:space="preserve">ojením letiska na želez. </w:t>
            </w:r>
            <w:r>
              <w:rPr>
                <w:rFonts w:ascii="Arial Narrow" w:hAnsi="Arial Narrow" w:cs="Mangal"/>
                <w:lang w:bidi="sa-IN"/>
              </w:rPr>
              <w:t>sieť</w:t>
            </w:r>
          </w:p>
        </w:tc>
        <w:tc>
          <w:tcPr>
            <w:tcW w:w="2132"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224A6C" w:rsidP="006659EC">
            <w:pPr>
              <w:spacing w:line="240" w:lineRule="auto"/>
              <w:jc w:val="right"/>
              <w:rPr>
                <w:rFonts w:ascii="Arial Narrow" w:hAnsi="Arial Narrow" w:cs="Mangal"/>
                <w:lang w:bidi="sa-IN"/>
              </w:rPr>
            </w:pPr>
            <w:r>
              <w:rPr>
                <w:rFonts w:ascii="Arial Narrow" w:hAnsi="Arial Narrow" w:cs="Mangal"/>
                <w:lang w:bidi="sa-IN"/>
              </w:rPr>
              <w:t>48 080 000,00</w:t>
            </w:r>
          </w:p>
        </w:tc>
        <w:tc>
          <w:tcPr>
            <w:tcW w:w="1959"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224A6C" w:rsidP="006659EC">
            <w:pPr>
              <w:spacing w:line="240" w:lineRule="auto"/>
              <w:jc w:val="right"/>
              <w:rPr>
                <w:rFonts w:ascii="Arial Narrow" w:hAnsi="Arial Narrow" w:cs="Mangal"/>
                <w:lang w:bidi="sa-IN"/>
              </w:rPr>
            </w:pPr>
            <w:r>
              <w:rPr>
                <w:rFonts w:ascii="Arial Narrow" w:hAnsi="Arial Narrow" w:cs="Mangal"/>
                <w:lang w:bidi="sa-IN"/>
              </w:rPr>
              <w:t>48 080 000,00</w:t>
            </w:r>
          </w:p>
        </w:tc>
        <w:tc>
          <w:tcPr>
            <w:tcW w:w="1442" w:type="dxa"/>
            <w:tcBorders>
              <w:top w:val="single" w:sz="4" w:space="0" w:color="auto"/>
              <w:left w:val="single" w:sz="4" w:space="0" w:color="auto"/>
              <w:bottom w:val="single" w:sz="4" w:space="0" w:color="auto"/>
              <w:right w:val="single" w:sz="12" w:space="0" w:color="auto"/>
              <w:tl2br w:val="nil"/>
              <w:tr2bl w:val="nil"/>
            </w:tcBorders>
            <w:textDirection w:val="lrTb"/>
            <w:vAlign w:val="center"/>
          </w:tcPr>
          <w:p w:rsidR="00224A6C" w:rsidRPr="008312CB" w:rsidP="006659EC">
            <w:pPr>
              <w:spacing w:line="240" w:lineRule="auto"/>
              <w:jc w:val="right"/>
              <w:rPr>
                <w:rFonts w:ascii="Arial Narrow" w:hAnsi="Arial Narrow" w:cs="Mangal"/>
                <w:lang w:bidi="sa-IN"/>
              </w:rPr>
            </w:pPr>
            <w:r>
              <w:rPr>
                <w:rFonts w:ascii="Arial Narrow" w:hAnsi="Arial Narrow" w:cs="Mangal"/>
                <w:lang w:bidi="sa-IN"/>
              </w:rPr>
              <w:t>0,00</w:t>
            </w:r>
          </w:p>
        </w:tc>
      </w:tr>
      <w:tr>
        <w:tblPrEx>
          <w:tblW w:w="8953" w:type="dxa"/>
          <w:tblInd w:w="108" w:type="dxa"/>
        </w:tblPrEx>
        <w:trPr>
          <w:trHeight w:hRule="auto" w:val="0"/>
        </w:trPr>
        <w:tc>
          <w:tcPr>
            <w:tcW w:w="3420" w:type="dxa"/>
            <w:tcBorders>
              <w:top w:val="single" w:sz="12" w:space="0" w:color="auto"/>
              <w:left w:val="single" w:sz="12" w:space="0" w:color="auto"/>
              <w:bottom w:val="single" w:sz="12" w:space="0" w:color="auto"/>
              <w:right w:val="single" w:sz="4" w:space="0" w:color="auto"/>
              <w:tl2br w:val="nil"/>
              <w:tr2bl w:val="nil"/>
            </w:tcBorders>
            <w:shd w:val="clear" w:color="auto" w:fill="C0C0C0"/>
            <w:textDirection w:val="lrTb"/>
            <w:vAlign w:val="top"/>
          </w:tcPr>
          <w:p w:rsidR="00224A6C" w:rsidRPr="00E03A1A" w:rsidP="006659EC">
            <w:pPr>
              <w:spacing w:line="240" w:lineRule="auto"/>
              <w:rPr>
                <w:rFonts w:ascii="Arial Narrow" w:hAnsi="Arial Narrow" w:cs="Mangal"/>
                <w:b/>
                <w:lang w:bidi="sa-IN"/>
              </w:rPr>
            </w:pPr>
            <w:r w:rsidRPr="00E03A1A">
              <w:rPr>
                <w:rFonts w:ascii="Arial Narrow" w:hAnsi="Arial Narrow" w:cs="Mangal"/>
                <w:b/>
                <w:lang w:bidi="sa-IN"/>
              </w:rPr>
              <w:t xml:space="preserve">S P O LU : </w:t>
            </w:r>
          </w:p>
        </w:tc>
        <w:tc>
          <w:tcPr>
            <w:tcW w:w="2132" w:type="dxa"/>
            <w:tcBorders>
              <w:top w:val="single" w:sz="12" w:space="0" w:color="auto"/>
              <w:left w:val="single" w:sz="4" w:space="0" w:color="auto"/>
              <w:bottom w:val="single" w:sz="12" w:space="0" w:color="auto"/>
              <w:right w:val="single" w:sz="4" w:space="0" w:color="auto"/>
              <w:tl2br w:val="nil"/>
              <w:tr2bl w:val="nil"/>
            </w:tcBorders>
            <w:shd w:val="clear" w:color="auto" w:fill="C0C0C0"/>
            <w:textDirection w:val="lrTb"/>
            <w:vAlign w:val="top"/>
          </w:tcPr>
          <w:p w:rsidR="00224A6C" w:rsidRPr="00E03A1A" w:rsidP="006659EC">
            <w:pPr>
              <w:spacing w:line="240" w:lineRule="auto"/>
              <w:jc w:val="right"/>
              <w:rPr>
                <w:rFonts w:ascii="Arial Narrow" w:hAnsi="Arial Narrow" w:cs="Mangal"/>
                <w:b/>
                <w:lang w:bidi="sa-IN"/>
              </w:rPr>
            </w:pPr>
            <w:r>
              <w:rPr>
                <w:rFonts w:ascii="Arial Narrow" w:hAnsi="Arial Narrow" w:cs="Mangal"/>
                <w:b/>
                <w:lang w:bidi="sa-IN"/>
              </w:rPr>
              <w:t>1 088 489 545,00</w:t>
            </w:r>
          </w:p>
        </w:tc>
        <w:tc>
          <w:tcPr>
            <w:tcW w:w="1959" w:type="dxa"/>
            <w:tcBorders>
              <w:top w:val="single" w:sz="12" w:space="0" w:color="auto"/>
              <w:left w:val="single" w:sz="4" w:space="0" w:color="auto"/>
              <w:bottom w:val="single" w:sz="12" w:space="0" w:color="auto"/>
              <w:right w:val="single" w:sz="4" w:space="0" w:color="auto"/>
              <w:tl2br w:val="nil"/>
              <w:tr2bl w:val="nil"/>
            </w:tcBorders>
            <w:shd w:val="clear" w:color="auto" w:fill="C0C0C0"/>
            <w:textDirection w:val="lrTb"/>
            <w:vAlign w:val="top"/>
          </w:tcPr>
          <w:p w:rsidR="00224A6C" w:rsidRPr="00E03A1A" w:rsidP="006659EC">
            <w:pPr>
              <w:spacing w:line="240" w:lineRule="auto"/>
              <w:jc w:val="right"/>
              <w:rPr>
                <w:rFonts w:ascii="Arial Narrow" w:hAnsi="Arial Narrow" w:cs="Mangal"/>
                <w:b/>
                <w:lang w:bidi="sa-IN"/>
              </w:rPr>
            </w:pPr>
            <w:r w:rsidR="00ED4BF2">
              <w:rPr>
                <w:rFonts w:ascii="Arial Narrow" w:hAnsi="Arial Narrow" w:cs="Mangal"/>
                <w:b/>
                <w:lang w:bidi="sa-IN"/>
              </w:rPr>
              <w:t>1 055 646 925,77</w:t>
            </w:r>
          </w:p>
        </w:tc>
        <w:tc>
          <w:tcPr>
            <w:tcW w:w="1442" w:type="dxa"/>
            <w:tcBorders>
              <w:top w:val="single" w:sz="12" w:space="0" w:color="auto"/>
              <w:left w:val="single" w:sz="4" w:space="0" w:color="auto"/>
              <w:bottom w:val="single" w:sz="12" w:space="0" w:color="auto"/>
              <w:right w:val="single" w:sz="12" w:space="0" w:color="auto"/>
              <w:tl2br w:val="nil"/>
              <w:tr2bl w:val="nil"/>
            </w:tcBorders>
            <w:shd w:val="clear" w:color="auto" w:fill="C0C0C0"/>
            <w:textDirection w:val="lrTb"/>
            <w:vAlign w:val="top"/>
          </w:tcPr>
          <w:p w:rsidR="00224A6C" w:rsidRPr="0077597A" w:rsidP="006659EC">
            <w:pPr>
              <w:spacing w:line="240" w:lineRule="auto"/>
              <w:jc w:val="right"/>
              <w:rPr>
                <w:rFonts w:ascii="Arial Narrow" w:hAnsi="Arial Narrow" w:cs="Times New Roman"/>
                <w:b/>
              </w:rPr>
            </w:pPr>
            <w:r w:rsidR="00557E0F">
              <w:rPr>
                <w:rFonts w:ascii="Arial Narrow" w:hAnsi="Arial Narrow" w:cs="Times New Roman"/>
                <w:b/>
              </w:rPr>
              <w:t xml:space="preserve"> </w:t>
            </w:r>
            <w:r w:rsidR="00874305">
              <w:rPr>
                <w:rFonts w:ascii="Arial Narrow" w:hAnsi="Arial Narrow" w:cs="Times New Roman"/>
                <w:b/>
              </w:rPr>
              <w:t>32 842 619,2</w:t>
            </w:r>
            <w:r w:rsidRPr="0077597A">
              <w:rPr>
                <w:rFonts w:ascii="Arial Narrow" w:hAnsi="Arial Narrow" w:cs="Times New Roman"/>
                <w:b/>
              </w:rPr>
              <w:t>4</w:t>
            </w:r>
          </w:p>
        </w:tc>
      </w:tr>
    </w:tbl>
    <w:p w:rsidR="00262FA1" w:rsidP="00FF7581">
      <w:pPr>
        <w:spacing w:line="240" w:lineRule="auto"/>
        <w:rPr>
          <w:rFonts w:ascii="Times New Roman" w:hAnsi="Times New Roman" w:cs="Times New Roman"/>
          <w:sz w:val="24"/>
          <w:szCs w:val="24"/>
        </w:rPr>
      </w:pPr>
    </w:p>
    <w:tbl>
      <w:tblPr>
        <w:tblW w:w="9000" w:type="dxa"/>
        <w:tblInd w:w="108" w:type="dxa"/>
      </w:tblPr>
      <w:tblGrid>
        <w:gridCol w:w="3420"/>
        <w:gridCol w:w="2160"/>
        <w:gridCol w:w="1980"/>
        <w:gridCol w:w="1440"/>
      </w:tblGrid>
      <w:tr>
        <w:tblPrEx>
          <w:tblW w:w="9000" w:type="dxa"/>
          <w:tblInd w:w="108" w:type="dxa"/>
        </w:tblPrEx>
        <w:trPr>
          <w:trHeight w:hRule="auto" w:val="0"/>
        </w:trPr>
        <w:tc>
          <w:tcPr>
            <w:tcW w:w="3420" w:type="dxa"/>
            <w:tcBorders>
              <w:top w:val="single" w:sz="12" w:space="0" w:color="auto"/>
              <w:left w:val="single" w:sz="12" w:space="0" w:color="auto"/>
              <w:bottom w:val="single" w:sz="12" w:space="0" w:color="auto"/>
              <w:right w:val="nil"/>
              <w:tl2br w:val="nil"/>
              <w:tr2bl w:val="nil"/>
            </w:tcBorders>
            <w:shd w:val="clear" w:color="auto" w:fill="C0C0C0"/>
            <w:textDirection w:val="lrTb"/>
            <w:vAlign w:val="center"/>
          </w:tcPr>
          <w:p w:rsidR="00262FA1" w:rsidRPr="00262FA1" w:rsidP="00FF7581">
            <w:pPr>
              <w:spacing w:line="240" w:lineRule="auto"/>
              <w:rPr>
                <w:rFonts w:ascii="Arial Narrow" w:hAnsi="Arial Narrow" w:cs="Times New Roman"/>
              </w:rPr>
            </w:pPr>
            <w:r w:rsidRPr="00262FA1">
              <w:rPr>
                <w:rFonts w:ascii="Arial Narrow" w:hAnsi="Arial Narrow" w:cs="Mangal"/>
                <w:b/>
                <w:lang w:bidi="sa-IN"/>
              </w:rPr>
              <w:t>Projekty TEN-T mimorozpoč. prostriedky</w:t>
            </w:r>
          </w:p>
        </w:tc>
        <w:tc>
          <w:tcPr>
            <w:tcW w:w="2160" w:type="dxa"/>
            <w:tcBorders>
              <w:top w:val="single" w:sz="12" w:space="0" w:color="auto"/>
              <w:left w:val="nil"/>
              <w:bottom w:val="single" w:sz="12" w:space="0" w:color="auto"/>
              <w:right w:val="nil"/>
              <w:tl2br w:val="nil"/>
              <w:tr2bl w:val="nil"/>
            </w:tcBorders>
            <w:shd w:val="clear" w:color="auto" w:fill="C0C0C0"/>
            <w:textDirection w:val="lrTb"/>
            <w:vAlign w:val="center"/>
          </w:tcPr>
          <w:p w:rsidR="00262FA1" w:rsidRPr="00ED4BF2" w:rsidP="00262FA1">
            <w:pPr>
              <w:spacing w:line="240" w:lineRule="auto"/>
              <w:jc w:val="right"/>
              <w:rPr>
                <w:rFonts w:ascii="Arial Narrow" w:hAnsi="Arial Narrow" w:cs="Times New Roman"/>
                <w:b/>
              </w:rPr>
            </w:pPr>
            <w:r w:rsidRPr="00ED4BF2">
              <w:rPr>
                <w:rFonts w:ascii="Arial Narrow" w:hAnsi="Arial Narrow" w:cs="Times New Roman"/>
                <w:b/>
              </w:rPr>
              <w:t>0,00</w:t>
            </w:r>
          </w:p>
        </w:tc>
        <w:tc>
          <w:tcPr>
            <w:tcW w:w="1980" w:type="dxa"/>
            <w:tcBorders>
              <w:top w:val="single" w:sz="12" w:space="0" w:color="auto"/>
              <w:left w:val="nil"/>
              <w:bottom w:val="single" w:sz="12" w:space="0" w:color="auto"/>
              <w:right w:val="nil"/>
              <w:tl2br w:val="nil"/>
              <w:tr2bl w:val="nil"/>
            </w:tcBorders>
            <w:shd w:val="clear" w:color="auto" w:fill="C0C0C0"/>
            <w:textDirection w:val="lrTb"/>
            <w:vAlign w:val="center"/>
          </w:tcPr>
          <w:p w:rsidR="00262FA1" w:rsidRPr="00ED4BF2" w:rsidP="00262FA1">
            <w:pPr>
              <w:spacing w:line="240" w:lineRule="auto"/>
              <w:jc w:val="right"/>
              <w:rPr>
                <w:rFonts w:ascii="Arial Narrow" w:hAnsi="Arial Narrow" w:cs="Times New Roman"/>
                <w:b/>
              </w:rPr>
            </w:pPr>
            <w:r w:rsidRPr="00ED4BF2">
              <w:rPr>
                <w:rFonts w:ascii="Arial Narrow" w:hAnsi="Arial Narrow" w:cs="Times New Roman"/>
                <w:b/>
              </w:rPr>
              <w:t>36 827 941,28</w:t>
            </w:r>
          </w:p>
        </w:tc>
        <w:tc>
          <w:tcPr>
            <w:tcW w:w="1440" w:type="dxa"/>
            <w:tcBorders>
              <w:top w:val="single" w:sz="12" w:space="0" w:color="auto"/>
              <w:left w:val="nil"/>
              <w:bottom w:val="single" w:sz="12" w:space="0" w:color="auto"/>
              <w:right w:val="single" w:sz="12" w:space="0" w:color="auto"/>
              <w:tl2br w:val="nil"/>
              <w:tr2bl w:val="nil"/>
            </w:tcBorders>
            <w:shd w:val="clear" w:color="auto" w:fill="C0C0C0"/>
            <w:textDirection w:val="lrTb"/>
            <w:vAlign w:val="center"/>
          </w:tcPr>
          <w:p w:rsidR="00262FA1" w:rsidRPr="00ED4BF2" w:rsidP="004251FC">
            <w:pPr>
              <w:spacing w:line="240" w:lineRule="auto"/>
              <w:jc w:val="center"/>
              <w:rPr>
                <w:rFonts w:ascii="Arial Narrow" w:hAnsi="Arial Narrow" w:cs="Times New Roman"/>
                <w:b/>
              </w:rPr>
            </w:pPr>
            <w:r w:rsidR="004251FC">
              <w:rPr>
                <w:rFonts w:ascii="Arial Narrow" w:hAnsi="Arial Narrow" w:cs="Times New Roman"/>
                <w:b/>
              </w:rPr>
              <w:t>-</w:t>
            </w:r>
          </w:p>
        </w:tc>
      </w:tr>
      <w:tr>
        <w:tblPrEx>
          <w:tblW w:w="9000" w:type="dxa"/>
          <w:tblInd w:w="108" w:type="dxa"/>
        </w:tblPrEx>
        <w:trPr>
          <w:trHeight w:hRule="auto" w:val="0"/>
        </w:trPr>
        <w:tc>
          <w:tcPr>
            <w:tcW w:w="3420" w:type="dxa"/>
            <w:tcBorders>
              <w:top w:val="single" w:sz="12" w:space="0" w:color="auto"/>
              <w:left w:val="single" w:sz="12" w:space="0" w:color="auto"/>
              <w:bottom w:val="nil"/>
              <w:right w:val="nil"/>
              <w:tl2br w:val="nil"/>
              <w:tr2bl w:val="nil"/>
            </w:tcBorders>
            <w:textDirection w:val="lrTb"/>
            <w:vAlign w:val="center"/>
          </w:tcPr>
          <w:p w:rsidR="00262FA1" w:rsidRPr="00262FA1" w:rsidP="00FF7581">
            <w:pPr>
              <w:spacing w:line="240" w:lineRule="auto"/>
              <w:rPr>
                <w:rFonts w:ascii="Arial Narrow" w:hAnsi="Arial Narrow" w:cs="Times New Roman"/>
              </w:rPr>
            </w:pPr>
            <w:r w:rsidRPr="00262FA1">
              <w:rPr>
                <w:rFonts w:ascii="Arial Narrow" w:hAnsi="Arial Narrow" w:cs="Mangal"/>
                <w:lang w:bidi="sa-IN"/>
              </w:rPr>
              <w:t>Púchov-Žilina, modernizácia trate</w:t>
            </w:r>
          </w:p>
        </w:tc>
        <w:tc>
          <w:tcPr>
            <w:tcW w:w="2160" w:type="dxa"/>
            <w:tcBorders>
              <w:top w:val="single" w:sz="12" w:space="0" w:color="auto"/>
              <w:left w:val="nil"/>
              <w:bottom w:val="nil"/>
              <w:right w:val="nil"/>
              <w:tl2br w:val="nil"/>
              <w:tr2bl w:val="nil"/>
            </w:tcBorders>
            <w:textDirection w:val="lrTb"/>
            <w:vAlign w:val="center"/>
          </w:tcPr>
          <w:p w:rsidR="00262FA1" w:rsidRPr="00262FA1" w:rsidP="00262FA1">
            <w:pPr>
              <w:spacing w:line="240" w:lineRule="auto"/>
              <w:jc w:val="right"/>
              <w:rPr>
                <w:rFonts w:ascii="Arial Narrow" w:hAnsi="Arial Narrow" w:cs="Times New Roman"/>
              </w:rPr>
            </w:pPr>
            <w:r w:rsidRPr="00262FA1">
              <w:rPr>
                <w:rFonts w:ascii="Arial Narrow" w:hAnsi="Arial Narrow" w:cs="Times New Roman"/>
              </w:rPr>
              <w:t>0,00</w:t>
            </w:r>
          </w:p>
        </w:tc>
        <w:tc>
          <w:tcPr>
            <w:tcW w:w="1980" w:type="dxa"/>
            <w:tcBorders>
              <w:top w:val="single" w:sz="12" w:space="0" w:color="auto"/>
              <w:left w:val="nil"/>
              <w:bottom w:val="nil"/>
              <w:right w:val="nil"/>
              <w:tl2br w:val="nil"/>
              <w:tr2bl w:val="nil"/>
            </w:tcBorders>
            <w:textDirection w:val="lrTb"/>
            <w:vAlign w:val="center"/>
          </w:tcPr>
          <w:p w:rsidR="00262FA1" w:rsidRPr="00262FA1" w:rsidP="007A6D26">
            <w:pPr>
              <w:spacing w:line="240" w:lineRule="auto"/>
              <w:jc w:val="right"/>
              <w:rPr>
                <w:rFonts w:ascii="Arial Narrow" w:hAnsi="Arial Narrow" w:cs="Times New Roman"/>
              </w:rPr>
            </w:pPr>
            <w:r>
              <w:rPr>
                <w:rFonts w:ascii="Arial Narrow" w:hAnsi="Arial Narrow" w:cs="Times New Roman"/>
              </w:rPr>
              <w:t>7 334 530,50</w:t>
            </w:r>
          </w:p>
        </w:tc>
        <w:tc>
          <w:tcPr>
            <w:tcW w:w="1440" w:type="dxa"/>
            <w:tcBorders>
              <w:top w:val="single" w:sz="12" w:space="0" w:color="auto"/>
              <w:left w:val="nil"/>
              <w:bottom w:val="nil"/>
              <w:right w:val="single" w:sz="12" w:space="0" w:color="auto"/>
              <w:tl2br w:val="nil"/>
              <w:tr2bl w:val="nil"/>
            </w:tcBorders>
            <w:textDirection w:val="lrTb"/>
            <w:vAlign w:val="center"/>
          </w:tcPr>
          <w:p w:rsidR="00262FA1" w:rsidRPr="00262FA1" w:rsidP="004251FC">
            <w:pPr>
              <w:spacing w:line="240" w:lineRule="auto"/>
              <w:jc w:val="center"/>
              <w:rPr>
                <w:rFonts w:ascii="Arial Narrow" w:hAnsi="Arial Narrow" w:cs="Times New Roman"/>
              </w:rPr>
            </w:pPr>
            <w:r w:rsidR="004251FC">
              <w:rPr>
                <w:rFonts w:ascii="Arial Narrow" w:hAnsi="Arial Narrow" w:cs="Times New Roman"/>
              </w:rPr>
              <w:t>-</w:t>
            </w:r>
          </w:p>
        </w:tc>
      </w:tr>
      <w:tr>
        <w:tblPrEx>
          <w:tblW w:w="9000" w:type="dxa"/>
          <w:tblInd w:w="108" w:type="dxa"/>
        </w:tblPrEx>
        <w:trPr>
          <w:trHeight w:hRule="auto" w:val="0"/>
        </w:trPr>
        <w:tc>
          <w:tcPr>
            <w:tcW w:w="3420" w:type="dxa"/>
            <w:tcBorders>
              <w:top w:val="nil"/>
              <w:left w:val="single" w:sz="12" w:space="0" w:color="auto"/>
              <w:bottom w:val="single" w:sz="12" w:space="0" w:color="auto"/>
              <w:right w:val="nil"/>
              <w:tl2br w:val="nil"/>
              <w:tr2bl w:val="nil"/>
            </w:tcBorders>
            <w:textDirection w:val="lrTb"/>
            <w:vAlign w:val="center"/>
          </w:tcPr>
          <w:p w:rsidR="00262FA1" w:rsidRPr="00262FA1" w:rsidP="00FF7581">
            <w:pPr>
              <w:spacing w:line="240" w:lineRule="auto"/>
              <w:rPr>
                <w:rFonts w:ascii="Arial Narrow" w:hAnsi="Arial Narrow" w:cs="Times New Roman"/>
              </w:rPr>
            </w:pPr>
            <w:r w:rsidRPr="00262FA1">
              <w:rPr>
                <w:rFonts w:ascii="Arial Narrow" w:hAnsi="Arial Narrow" w:cs="Mangal"/>
                <w:lang w:bidi="sa-IN"/>
              </w:rPr>
              <w:t>Bratislava, želez. prepojenie koridorov EÚ s priamym napojením letiska na želez. sieť</w:t>
            </w:r>
          </w:p>
        </w:tc>
        <w:tc>
          <w:tcPr>
            <w:tcW w:w="2160" w:type="dxa"/>
            <w:tcBorders>
              <w:top w:val="nil"/>
              <w:left w:val="nil"/>
              <w:bottom w:val="single" w:sz="12" w:space="0" w:color="auto"/>
              <w:right w:val="nil"/>
              <w:tl2br w:val="nil"/>
              <w:tr2bl w:val="nil"/>
            </w:tcBorders>
            <w:textDirection w:val="lrTb"/>
            <w:vAlign w:val="center"/>
          </w:tcPr>
          <w:p w:rsidR="00262FA1" w:rsidRPr="00262FA1" w:rsidP="00262FA1">
            <w:pPr>
              <w:spacing w:line="240" w:lineRule="auto"/>
              <w:jc w:val="right"/>
              <w:rPr>
                <w:rFonts w:ascii="Arial Narrow" w:hAnsi="Arial Narrow" w:cs="Times New Roman"/>
              </w:rPr>
            </w:pPr>
            <w:r w:rsidRPr="00262FA1">
              <w:rPr>
                <w:rFonts w:ascii="Arial Narrow" w:hAnsi="Arial Narrow" w:cs="Times New Roman"/>
              </w:rPr>
              <w:t>0,00</w:t>
            </w:r>
          </w:p>
        </w:tc>
        <w:tc>
          <w:tcPr>
            <w:tcW w:w="1980" w:type="dxa"/>
            <w:tcBorders>
              <w:top w:val="nil"/>
              <w:left w:val="nil"/>
              <w:bottom w:val="single" w:sz="12" w:space="0" w:color="auto"/>
              <w:right w:val="nil"/>
              <w:tl2br w:val="nil"/>
              <w:tr2bl w:val="nil"/>
            </w:tcBorders>
            <w:textDirection w:val="lrTb"/>
            <w:vAlign w:val="center"/>
          </w:tcPr>
          <w:p w:rsidR="00262FA1" w:rsidRPr="00262FA1" w:rsidP="007A6D26">
            <w:pPr>
              <w:spacing w:line="240" w:lineRule="auto"/>
              <w:jc w:val="right"/>
              <w:rPr>
                <w:rFonts w:ascii="Arial Narrow" w:hAnsi="Arial Narrow" w:cs="Times New Roman"/>
              </w:rPr>
            </w:pPr>
            <w:r>
              <w:rPr>
                <w:rFonts w:ascii="Arial Narrow" w:hAnsi="Arial Narrow" w:cs="Times New Roman"/>
              </w:rPr>
              <w:t>29 493 410,78</w:t>
            </w:r>
          </w:p>
        </w:tc>
        <w:tc>
          <w:tcPr>
            <w:tcW w:w="1440" w:type="dxa"/>
            <w:tcBorders>
              <w:top w:val="nil"/>
              <w:left w:val="nil"/>
              <w:bottom w:val="single" w:sz="12" w:space="0" w:color="auto"/>
              <w:right w:val="single" w:sz="12" w:space="0" w:color="auto"/>
              <w:tl2br w:val="nil"/>
              <w:tr2bl w:val="nil"/>
            </w:tcBorders>
            <w:textDirection w:val="lrTb"/>
            <w:vAlign w:val="center"/>
          </w:tcPr>
          <w:p w:rsidR="00262FA1" w:rsidRPr="00262FA1" w:rsidP="004251FC">
            <w:pPr>
              <w:spacing w:line="240" w:lineRule="auto"/>
              <w:jc w:val="center"/>
              <w:rPr>
                <w:rFonts w:ascii="Arial Narrow" w:hAnsi="Arial Narrow" w:cs="Times New Roman"/>
              </w:rPr>
            </w:pPr>
            <w:r w:rsidR="004251FC">
              <w:rPr>
                <w:rFonts w:ascii="Arial Narrow" w:hAnsi="Arial Narrow" w:cs="Times New Roman"/>
              </w:rPr>
              <w:t>-</w:t>
            </w:r>
          </w:p>
        </w:tc>
      </w:tr>
    </w:tbl>
    <w:p w:rsidR="00262FA1" w:rsidP="00FF7581">
      <w:pPr>
        <w:spacing w:line="240" w:lineRule="auto"/>
        <w:rPr>
          <w:rFonts w:ascii="Times New Roman" w:hAnsi="Times New Roman" w:cs="Times New Roman"/>
          <w:sz w:val="24"/>
          <w:szCs w:val="24"/>
        </w:rPr>
      </w:pPr>
    </w:p>
    <w:tbl>
      <w:tblPr>
        <w:tblW w:w="9000"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blGrid>
        <w:gridCol w:w="3420"/>
        <w:gridCol w:w="2160"/>
        <w:gridCol w:w="1980"/>
        <w:gridCol w:w="1440"/>
      </w:tblGrid>
      <w:tr>
        <w:tblPrEx>
          <w:tblW w:w="9000"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hRule="auto" w:val="0"/>
        </w:trPr>
        <w:tc>
          <w:tcPr>
            <w:tcW w:w="3420" w:type="dxa"/>
            <w:tcBorders>
              <w:top w:val="single" w:sz="12" w:space="0" w:color="auto"/>
              <w:left w:val="single" w:sz="12" w:space="0" w:color="auto"/>
              <w:bottom w:val="single" w:sz="12" w:space="0" w:color="auto"/>
              <w:right w:val="single" w:sz="4" w:space="0" w:color="auto"/>
              <w:tl2br w:val="nil"/>
              <w:tr2bl w:val="nil"/>
            </w:tcBorders>
            <w:shd w:val="clear" w:color="auto" w:fill="C0C0C0"/>
            <w:textDirection w:val="lrTb"/>
            <w:vAlign w:val="center"/>
          </w:tcPr>
          <w:p w:rsidR="00ED4BF2" w:rsidRPr="00262FA1" w:rsidP="007A6D26">
            <w:pPr>
              <w:spacing w:line="240" w:lineRule="auto"/>
              <w:rPr>
                <w:rFonts w:ascii="Arial Narrow" w:hAnsi="Arial Narrow" w:cs="Times New Roman"/>
              </w:rPr>
            </w:pPr>
            <w:r>
              <w:rPr>
                <w:rFonts w:ascii="Arial Narrow" w:hAnsi="Arial Narrow" w:cs="Mangal"/>
                <w:b/>
                <w:lang w:bidi="sa-IN"/>
              </w:rPr>
              <w:t>S P O L U</w:t>
            </w:r>
          </w:p>
        </w:tc>
        <w:tc>
          <w:tcPr>
            <w:tcW w:w="2160" w:type="dxa"/>
            <w:tcBorders>
              <w:top w:val="single" w:sz="12" w:space="0" w:color="auto"/>
              <w:left w:val="single" w:sz="4" w:space="0" w:color="auto"/>
              <w:bottom w:val="single" w:sz="12" w:space="0" w:color="auto"/>
              <w:right w:val="single" w:sz="4" w:space="0" w:color="auto"/>
              <w:tl2br w:val="nil"/>
              <w:tr2bl w:val="nil"/>
            </w:tcBorders>
            <w:shd w:val="clear" w:color="auto" w:fill="C0C0C0"/>
            <w:textDirection w:val="lrTb"/>
            <w:vAlign w:val="center"/>
          </w:tcPr>
          <w:p w:rsidR="00ED4BF2" w:rsidRPr="00ED4BF2" w:rsidP="007A6D26">
            <w:pPr>
              <w:spacing w:line="240" w:lineRule="auto"/>
              <w:jc w:val="right"/>
              <w:rPr>
                <w:rFonts w:ascii="Arial Narrow" w:hAnsi="Arial Narrow" w:cs="Times New Roman"/>
                <w:b/>
              </w:rPr>
            </w:pPr>
            <w:r>
              <w:rPr>
                <w:rFonts w:ascii="Arial Narrow" w:hAnsi="Arial Narrow" w:cs="Times New Roman"/>
                <w:b/>
              </w:rPr>
              <w:t>1 088 489 545,00</w:t>
            </w:r>
          </w:p>
        </w:tc>
        <w:tc>
          <w:tcPr>
            <w:tcW w:w="1980" w:type="dxa"/>
            <w:tcBorders>
              <w:top w:val="single" w:sz="12" w:space="0" w:color="auto"/>
              <w:left w:val="single" w:sz="4" w:space="0" w:color="auto"/>
              <w:bottom w:val="single" w:sz="12" w:space="0" w:color="auto"/>
              <w:right w:val="single" w:sz="4" w:space="0" w:color="auto"/>
              <w:tl2br w:val="nil"/>
              <w:tr2bl w:val="nil"/>
            </w:tcBorders>
            <w:shd w:val="clear" w:color="auto" w:fill="C0C0C0"/>
            <w:textDirection w:val="lrTb"/>
            <w:vAlign w:val="center"/>
          </w:tcPr>
          <w:p w:rsidR="00ED4BF2" w:rsidRPr="00ED4BF2" w:rsidP="007A6D26">
            <w:pPr>
              <w:spacing w:line="240" w:lineRule="auto"/>
              <w:jc w:val="right"/>
              <w:rPr>
                <w:rFonts w:ascii="Arial Narrow" w:hAnsi="Arial Narrow" w:cs="Times New Roman"/>
                <w:b/>
              </w:rPr>
            </w:pPr>
            <w:r>
              <w:rPr>
                <w:rFonts w:ascii="Arial Narrow" w:hAnsi="Arial Narrow" w:cs="Times New Roman"/>
                <w:b/>
              </w:rPr>
              <w:t>1 092 474 867,05</w:t>
            </w:r>
          </w:p>
        </w:tc>
        <w:tc>
          <w:tcPr>
            <w:tcW w:w="1440" w:type="dxa"/>
            <w:tcBorders>
              <w:top w:val="single" w:sz="12" w:space="0" w:color="auto"/>
              <w:left w:val="single" w:sz="4" w:space="0" w:color="auto"/>
              <w:bottom w:val="single" w:sz="12" w:space="0" w:color="auto"/>
              <w:right w:val="single" w:sz="12" w:space="0" w:color="auto"/>
              <w:tl2br w:val="nil"/>
              <w:tr2bl w:val="nil"/>
            </w:tcBorders>
            <w:shd w:val="clear" w:color="auto" w:fill="C0C0C0"/>
            <w:textDirection w:val="lrTb"/>
            <w:vAlign w:val="center"/>
          </w:tcPr>
          <w:p w:rsidR="00ED4BF2" w:rsidRPr="00ED4BF2" w:rsidP="004251FC">
            <w:pPr>
              <w:spacing w:line="240" w:lineRule="auto"/>
              <w:jc w:val="center"/>
              <w:rPr>
                <w:rFonts w:ascii="Arial Narrow" w:hAnsi="Arial Narrow" w:cs="Times New Roman"/>
                <w:b/>
              </w:rPr>
            </w:pPr>
            <w:r w:rsidR="004251FC">
              <w:rPr>
                <w:rFonts w:ascii="Arial Narrow" w:hAnsi="Arial Narrow" w:cs="Times New Roman"/>
                <w:b/>
              </w:rPr>
              <w:t>-</w:t>
            </w:r>
          </w:p>
        </w:tc>
      </w:tr>
    </w:tbl>
    <w:p w:rsidR="002710B0" w:rsidP="00FF7581">
      <w:pPr>
        <w:spacing w:line="240" w:lineRule="auto"/>
        <w:rPr>
          <w:rFonts w:ascii="Times New Roman" w:hAnsi="Times New Roman" w:cs="Times New Roman"/>
          <w:sz w:val="24"/>
          <w:szCs w:val="24"/>
        </w:rPr>
      </w:pPr>
    </w:p>
    <w:p w:rsidR="002710B0" w:rsidP="0034050B">
      <w:pPr>
        <w:spacing w:line="240" w:lineRule="auto"/>
        <w:ind w:firstLine="709"/>
        <w:rPr>
          <w:rFonts w:ascii="Times New Roman" w:hAnsi="Times New Roman" w:cs="Times New Roman"/>
          <w:color w:val="000000"/>
          <w:sz w:val="24"/>
          <w:szCs w:val="24"/>
        </w:rPr>
      </w:pPr>
      <w:r w:rsidR="007737F6">
        <w:rPr>
          <w:rFonts w:ascii="Times New Roman" w:hAnsi="Times New Roman" w:cs="Times New Roman"/>
          <w:color w:val="000000"/>
          <w:sz w:val="24"/>
          <w:szCs w:val="24"/>
        </w:rPr>
        <w:t>Investičné akcie</w:t>
      </w:r>
      <w:r w:rsidRPr="00CA72AF" w:rsidR="007737F6">
        <w:rPr>
          <w:rFonts w:ascii="Times New Roman" w:hAnsi="Times New Roman" w:cs="Times New Roman"/>
          <w:color w:val="000000"/>
          <w:sz w:val="24"/>
          <w:szCs w:val="24"/>
        </w:rPr>
        <w:t xml:space="preserve"> „Púchov – Žilina, modernizácia trate“ </w:t>
      </w:r>
      <w:r w:rsidR="007737F6">
        <w:rPr>
          <w:rFonts w:ascii="Times New Roman" w:hAnsi="Times New Roman" w:cs="Times New Roman"/>
          <w:color w:val="000000"/>
          <w:sz w:val="24"/>
          <w:szCs w:val="24"/>
        </w:rPr>
        <w:t>a „</w:t>
      </w:r>
      <w:r w:rsidRPr="007737F6" w:rsidR="007737F6">
        <w:rPr>
          <w:rFonts w:ascii="Times New Roman" w:hAnsi="Times New Roman" w:cs="Times New Roman"/>
          <w:sz w:val="24"/>
          <w:szCs w:val="24"/>
          <w:lang w:bidi="sa-IN"/>
        </w:rPr>
        <w:t>Bratislava, železničné prepojenie koridorov EÚ s pr</w:t>
      </w:r>
      <w:r w:rsidR="007737F6">
        <w:rPr>
          <w:rFonts w:ascii="Times New Roman" w:hAnsi="Times New Roman" w:cs="Times New Roman"/>
          <w:sz w:val="24"/>
          <w:szCs w:val="24"/>
          <w:lang w:bidi="sa-IN"/>
        </w:rPr>
        <w:t xml:space="preserve">iamym napojením letiska na železničnú </w:t>
      </w:r>
      <w:r w:rsidRPr="007737F6" w:rsidR="007737F6">
        <w:rPr>
          <w:rFonts w:ascii="Times New Roman" w:hAnsi="Times New Roman" w:cs="Times New Roman"/>
          <w:sz w:val="24"/>
          <w:szCs w:val="24"/>
          <w:lang w:bidi="sa-IN"/>
        </w:rPr>
        <w:t>sieť</w:t>
      </w:r>
      <w:r w:rsidR="007737F6">
        <w:rPr>
          <w:rFonts w:ascii="Times New Roman" w:hAnsi="Times New Roman" w:cs="Times New Roman"/>
          <w:sz w:val="24"/>
          <w:szCs w:val="24"/>
          <w:lang w:bidi="sa-IN"/>
        </w:rPr>
        <w:t>“</w:t>
      </w:r>
      <w:r w:rsidR="007737F6">
        <w:rPr>
          <w:rFonts w:ascii="Times New Roman" w:hAnsi="Times New Roman" w:cs="Times New Roman"/>
          <w:color w:val="000000"/>
          <w:sz w:val="24"/>
          <w:szCs w:val="24"/>
        </w:rPr>
        <w:t xml:space="preserve"> </w:t>
      </w:r>
      <w:r w:rsidR="00224A6C">
        <w:rPr>
          <w:rFonts w:ascii="Times New Roman" w:hAnsi="Times New Roman" w:cs="Times New Roman"/>
          <w:color w:val="000000"/>
          <w:sz w:val="24"/>
          <w:szCs w:val="24"/>
        </w:rPr>
        <w:t xml:space="preserve">patria k projektom, ktoré </w:t>
      </w:r>
      <w:r w:rsidR="007737F6">
        <w:rPr>
          <w:rFonts w:ascii="Times New Roman" w:hAnsi="Times New Roman" w:cs="Times New Roman"/>
          <w:color w:val="000000"/>
          <w:sz w:val="24"/>
          <w:szCs w:val="24"/>
        </w:rPr>
        <w:t xml:space="preserve">sú </w:t>
      </w:r>
      <w:r w:rsidRPr="00CA72AF" w:rsidR="007737F6">
        <w:rPr>
          <w:rFonts w:ascii="Times New Roman" w:hAnsi="Times New Roman" w:cs="Times New Roman"/>
          <w:color w:val="000000"/>
          <w:sz w:val="24"/>
          <w:szCs w:val="24"/>
        </w:rPr>
        <w:t>fin</w:t>
      </w:r>
      <w:r w:rsidR="007737F6">
        <w:rPr>
          <w:rFonts w:ascii="Times New Roman" w:hAnsi="Times New Roman" w:cs="Times New Roman"/>
          <w:color w:val="000000"/>
          <w:sz w:val="24"/>
          <w:szCs w:val="24"/>
        </w:rPr>
        <w:t>ancované z</w:t>
      </w:r>
      <w:r w:rsidR="00224A6C">
        <w:rPr>
          <w:rFonts w:ascii="Times New Roman" w:hAnsi="Times New Roman" w:cs="Times New Roman"/>
          <w:color w:val="000000"/>
          <w:sz w:val="24"/>
          <w:szCs w:val="24"/>
        </w:rPr>
        <w:t xml:space="preserve"> prostriedkov EÚ </w:t>
      </w:r>
      <w:r w:rsidR="007F52BC">
        <w:rPr>
          <w:rFonts w:ascii="Times New Roman" w:hAnsi="Times New Roman" w:cs="Times New Roman"/>
          <w:color w:val="000000"/>
          <w:sz w:val="24"/>
          <w:szCs w:val="24"/>
        </w:rPr>
        <w:t xml:space="preserve">v oblasti </w:t>
      </w:r>
      <w:r w:rsidRPr="00CA72AF" w:rsidR="007F52BC">
        <w:rPr>
          <w:rFonts w:ascii="Times New Roman" w:hAnsi="Times New Roman" w:cs="Times New Roman"/>
          <w:color w:val="000000"/>
          <w:sz w:val="24"/>
          <w:szCs w:val="24"/>
        </w:rPr>
        <w:t xml:space="preserve">trans-európskych infraštrukturálnych </w:t>
      </w:r>
      <w:r w:rsidR="007F52BC">
        <w:rPr>
          <w:rFonts w:ascii="Times New Roman" w:hAnsi="Times New Roman" w:cs="Times New Roman"/>
          <w:color w:val="000000"/>
          <w:sz w:val="24"/>
          <w:szCs w:val="24"/>
        </w:rPr>
        <w:t>(TEN-T – Trans-european network-</w:t>
      </w:r>
      <w:r w:rsidRPr="00CA72AF" w:rsidR="007F52BC">
        <w:rPr>
          <w:rFonts w:ascii="Times New Roman" w:hAnsi="Times New Roman" w:cs="Times New Roman"/>
          <w:color w:val="000000"/>
          <w:sz w:val="24"/>
          <w:szCs w:val="24"/>
        </w:rPr>
        <w:t>Transport)</w:t>
      </w:r>
      <w:r w:rsidR="007F52BC">
        <w:rPr>
          <w:rFonts w:ascii="Times New Roman" w:hAnsi="Times New Roman" w:cs="Times New Roman"/>
          <w:color w:val="000000"/>
          <w:sz w:val="24"/>
          <w:szCs w:val="24"/>
        </w:rPr>
        <w:t xml:space="preserve"> </w:t>
      </w:r>
      <w:r w:rsidR="00557E0F">
        <w:rPr>
          <w:rFonts w:ascii="Times New Roman" w:hAnsi="Times New Roman" w:cs="Times New Roman"/>
          <w:color w:val="000000"/>
          <w:sz w:val="24"/>
          <w:szCs w:val="24"/>
        </w:rPr>
        <w:t xml:space="preserve">v súlade </w:t>
      </w:r>
      <w:r w:rsidRPr="00CA72AF" w:rsidR="007737F6">
        <w:rPr>
          <w:rFonts w:ascii="Times New Roman" w:hAnsi="Times New Roman" w:cs="Times New Roman"/>
          <w:color w:val="000000"/>
          <w:sz w:val="24"/>
          <w:szCs w:val="24"/>
        </w:rPr>
        <w:t xml:space="preserve">s Rámcovou zmluvou o implementácii projektov spoločného záujmu železničnej infraštruktúry financovaných z finančných prostriedkov Spoločenstva v oblasti trans-európskych infraštrukturálnych sietí </w:t>
      </w:r>
      <w:r w:rsidRPr="00CA72AF" w:rsidR="00224A6C">
        <w:rPr>
          <w:rFonts w:ascii="Times New Roman" w:hAnsi="Times New Roman" w:cs="Times New Roman"/>
          <w:color w:val="000000"/>
          <w:sz w:val="24"/>
          <w:szCs w:val="24"/>
        </w:rPr>
        <w:t xml:space="preserve"> </w:t>
      </w:r>
      <w:r w:rsidRPr="00CA72AF" w:rsidR="007737F6">
        <w:rPr>
          <w:rFonts w:ascii="Times New Roman" w:hAnsi="Times New Roman" w:cs="Times New Roman"/>
          <w:color w:val="000000"/>
          <w:sz w:val="24"/>
          <w:szCs w:val="24"/>
        </w:rPr>
        <w:t>a v rámci ročné</w:t>
      </w:r>
      <w:r w:rsidR="007F52BC">
        <w:rPr>
          <w:rFonts w:ascii="Times New Roman" w:hAnsi="Times New Roman" w:cs="Times New Roman"/>
          <w:color w:val="000000"/>
          <w:sz w:val="24"/>
          <w:szCs w:val="24"/>
        </w:rPr>
        <w:t>ho dopravného plánovania</w:t>
      </w:r>
      <w:r w:rsidRPr="00CA72AF" w:rsidR="007737F6">
        <w:rPr>
          <w:rFonts w:ascii="Times New Roman" w:hAnsi="Times New Roman" w:cs="Times New Roman"/>
          <w:color w:val="000000"/>
          <w:sz w:val="24"/>
          <w:szCs w:val="24"/>
        </w:rPr>
        <w:t>.</w:t>
      </w:r>
      <w:r w:rsidR="00224A6C">
        <w:rPr>
          <w:rFonts w:ascii="Times New Roman" w:hAnsi="Times New Roman" w:cs="Times New Roman"/>
          <w:color w:val="000000"/>
          <w:sz w:val="24"/>
          <w:szCs w:val="24"/>
        </w:rPr>
        <w:t xml:space="preserve"> Spolufinancovanie k týmto projektom je zabezpečené zo štátneho rozpočtu, ale zdroje z rozpočtu EÚ do rozpočtových príjmov a výdavkov nevstupujú. Vykazujú sa len v skutočnom čerpaní ako mimorozpočtové zdroje</w:t>
      </w:r>
      <w:r w:rsidR="00557E0F">
        <w:rPr>
          <w:rFonts w:ascii="Times New Roman" w:hAnsi="Times New Roman" w:cs="Times New Roman"/>
          <w:color w:val="000000"/>
          <w:sz w:val="24"/>
          <w:szCs w:val="24"/>
        </w:rPr>
        <w:t xml:space="preserve"> </w:t>
      </w:r>
      <w:r w:rsidRPr="00CA72AF" w:rsidR="00557E0F">
        <w:rPr>
          <w:rFonts w:ascii="Times New Roman" w:hAnsi="Times New Roman" w:cs="Times New Roman"/>
          <w:color w:val="000000"/>
          <w:sz w:val="24"/>
          <w:szCs w:val="24"/>
        </w:rPr>
        <w:t>v súlade s</w:t>
      </w:r>
      <w:r w:rsidRPr="00CA72AF" w:rsidR="00557E0F">
        <w:rPr>
          <w:rFonts w:ascii="Times New Roman" w:hAnsi="Times New Roman" w:cs="Times New Roman"/>
          <w:sz w:val="24"/>
          <w:szCs w:val="24"/>
        </w:rPr>
        <w:t xml:space="preserve"> § 23 zákona č. 523/2004 Z. z. o rozpočtových pravidlá</w:t>
      </w:r>
      <w:r w:rsidR="00557E0F">
        <w:rPr>
          <w:rFonts w:ascii="Times New Roman" w:hAnsi="Times New Roman" w:cs="Times New Roman"/>
          <w:sz w:val="24"/>
          <w:szCs w:val="24"/>
        </w:rPr>
        <w:t>ch verejnej správy</w:t>
      </w:r>
      <w:r w:rsidR="00224A6C">
        <w:rPr>
          <w:rFonts w:ascii="Times New Roman" w:hAnsi="Times New Roman" w:cs="Times New Roman"/>
          <w:color w:val="000000"/>
          <w:sz w:val="24"/>
          <w:szCs w:val="24"/>
        </w:rPr>
        <w:t>. V roku 2007 prijali Železnice SR mimorozpočtové prostriedky na projekty TEN-T vo výške</w:t>
      </w:r>
      <w:r w:rsidR="00ED4BF2">
        <w:rPr>
          <w:rFonts w:ascii="Times New Roman" w:hAnsi="Times New Roman" w:cs="Times New Roman"/>
          <w:color w:val="000000"/>
          <w:sz w:val="24"/>
          <w:szCs w:val="24"/>
        </w:rPr>
        <w:t xml:space="preserve"> 36 827 941,28 Sk. </w:t>
      </w:r>
    </w:p>
    <w:p w:rsidR="0034050B" w:rsidRPr="0034050B" w:rsidP="0034050B">
      <w:pPr>
        <w:spacing w:line="240" w:lineRule="auto"/>
        <w:ind w:firstLine="709"/>
        <w:rPr>
          <w:rFonts w:ascii="Times New Roman" w:hAnsi="Times New Roman" w:cs="Times New Roman"/>
          <w:color w:val="000000"/>
          <w:sz w:val="24"/>
          <w:szCs w:val="24"/>
        </w:rPr>
      </w:pPr>
    </w:p>
    <w:p w:rsidR="00C52588" w:rsidP="0034050B">
      <w:pPr>
        <w:spacing w:line="240" w:lineRule="auto"/>
        <w:ind w:firstLine="708"/>
        <w:rPr>
          <w:rFonts w:ascii="Times New Roman" w:hAnsi="Times New Roman" w:cs="Times New Roman"/>
          <w:sz w:val="24"/>
          <w:szCs w:val="24"/>
        </w:rPr>
      </w:pPr>
      <w:r w:rsidRPr="00302EFE" w:rsidR="00302EFE">
        <w:rPr>
          <w:rFonts w:ascii="Times New Roman" w:hAnsi="Times New Roman" w:cs="Times New Roman"/>
          <w:sz w:val="24"/>
          <w:szCs w:val="24"/>
        </w:rPr>
        <w:t>Nečerpanie finančných prostriedkov v</w:t>
      </w:r>
      <w:r>
        <w:rPr>
          <w:rFonts w:ascii="Times New Roman" w:hAnsi="Times New Roman" w:cs="Times New Roman"/>
          <w:sz w:val="24"/>
          <w:szCs w:val="24"/>
        </w:rPr>
        <w:t> </w:t>
      </w:r>
      <w:r w:rsidRPr="00302EFE" w:rsidR="00302EFE">
        <w:rPr>
          <w:rFonts w:ascii="Times New Roman" w:hAnsi="Times New Roman" w:cs="Times New Roman"/>
          <w:sz w:val="24"/>
          <w:szCs w:val="24"/>
        </w:rPr>
        <w:t>objem</w:t>
      </w:r>
      <w:r w:rsidR="00874305">
        <w:rPr>
          <w:rFonts w:ascii="Times New Roman" w:hAnsi="Times New Roman" w:cs="Times New Roman"/>
          <w:sz w:val="24"/>
          <w:szCs w:val="24"/>
        </w:rPr>
        <w:t>e 32 842 619,2</w:t>
      </w:r>
      <w:r>
        <w:rPr>
          <w:rFonts w:ascii="Times New Roman" w:hAnsi="Times New Roman" w:cs="Times New Roman"/>
          <w:sz w:val="24"/>
          <w:szCs w:val="24"/>
        </w:rPr>
        <w:t xml:space="preserve">4 Sk vzniklo na stavbách z nasledovných dôvodov: </w:t>
      </w:r>
    </w:p>
    <w:p w:rsidR="00B654FA" w:rsidP="0034050B">
      <w:pPr>
        <w:spacing w:line="240" w:lineRule="auto"/>
        <w:ind w:left="720"/>
        <w:rPr>
          <w:rFonts w:ascii="Times New Roman" w:hAnsi="Times New Roman" w:cs="Times New Roman"/>
          <w:sz w:val="24"/>
          <w:szCs w:val="24"/>
          <w:lang w:bidi="sa-IN"/>
        </w:rPr>
      </w:pPr>
      <w:r w:rsidRPr="0034050B" w:rsidR="00C52588">
        <w:rPr>
          <w:rFonts w:ascii="Times New Roman" w:hAnsi="Times New Roman" w:cs="Times New Roman"/>
          <w:sz w:val="24"/>
          <w:szCs w:val="24"/>
          <w:u w:val="single"/>
          <w:lang w:bidi="sa-IN"/>
        </w:rPr>
        <w:t>Žilina – Krásno nad Kysucou, modernizácia trate</w:t>
      </w:r>
      <w:r w:rsidR="00C52588">
        <w:rPr>
          <w:rFonts w:ascii="Times New Roman" w:hAnsi="Times New Roman" w:cs="Times New Roman"/>
          <w:sz w:val="24"/>
          <w:szCs w:val="24"/>
          <w:lang w:bidi="sa-IN"/>
        </w:rPr>
        <w:t>: V</w:t>
      </w:r>
      <w:r w:rsidR="00EB5C51">
        <w:rPr>
          <w:rFonts w:ascii="Times New Roman" w:hAnsi="Times New Roman" w:cs="Times New Roman"/>
          <w:sz w:val="24"/>
          <w:szCs w:val="24"/>
          <w:lang w:bidi="sa-IN"/>
        </w:rPr>
        <w:t>zhľadom na to</w:t>
      </w:r>
      <w:r w:rsidRPr="00C52588" w:rsidR="00C52588">
        <w:rPr>
          <w:rFonts w:ascii="Times New Roman" w:hAnsi="Times New Roman" w:cs="Times New Roman"/>
          <w:sz w:val="24"/>
          <w:szCs w:val="24"/>
          <w:lang w:bidi="sa-IN"/>
        </w:rPr>
        <w:t>, že nebola stanovená použiteľnosť technológie a typu zabezpečovacieho zariadenia, ktoré má byť vybudované na predmetnom úseku trate v rá</w:t>
      </w:r>
      <w:r w:rsidR="00C52588">
        <w:rPr>
          <w:rFonts w:ascii="Times New Roman" w:hAnsi="Times New Roman" w:cs="Times New Roman"/>
          <w:sz w:val="24"/>
          <w:szCs w:val="24"/>
          <w:lang w:bidi="sa-IN"/>
        </w:rPr>
        <w:t>mci modernizácie trate</w:t>
      </w:r>
      <w:r w:rsidRPr="00C52588" w:rsidR="00C52588">
        <w:rPr>
          <w:rFonts w:ascii="Times New Roman" w:hAnsi="Times New Roman" w:cs="Times New Roman"/>
          <w:sz w:val="24"/>
          <w:szCs w:val="24"/>
          <w:lang w:bidi="sa-IN"/>
        </w:rPr>
        <w:t>, nebolo možné dokončiť a odovzdať časť dokumentácie pre real</w:t>
      </w:r>
      <w:r w:rsidR="00874305">
        <w:rPr>
          <w:rFonts w:ascii="Times New Roman" w:hAnsi="Times New Roman" w:cs="Times New Roman"/>
          <w:sz w:val="24"/>
          <w:szCs w:val="24"/>
          <w:lang w:bidi="sa-IN"/>
        </w:rPr>
        <w:t xml:space="preserve">izáciu stavby. </w:t>
      </w:r>
    </w:p>
    <w:p w:rsidR="00B654FA" w:rsidRPr="0034050B" w:rsidP="0034050B">
      <w:pPr>
        <w:spacing w:line="240" w:lineRule="auto"/>
        <w:ind w:left="720"/>
        <w:rPr>
          <w:rFonts w:ascii="Times New Roman" w:hAnsi="Times New Roman" w:cs="Times New Roman"/>
          <w:sz w:val="24"/>
          <w:szCs w:val="24"/>
          <w:lang w:bidi="sa-IN"/>
        </w:rPr>
      </w:pPr>
      <w:r w:rsidRPr="0034050B">
        <w:rPr>
          <w:rFonts w:ascii="Times New Roman" w:hAnsi="Times New Roman" w:cs="Times New Roman"/>
          <w:sz w:val="24"/>
          <w:szCs w:val="24"/>
          <w:u w:val="single"/>
          <w:lang w:bidi="sa-IN"/>
        </w:rPr>
        <w:t>Zvolen – Banská Bystrica, elektrifikácia trate</w:t>
      </w:r>
      <w:r w:rsidRPr="0034050B">
        <w:rPr>
          <w:rFonts w:ascii="Times New Roman" w:hAnsi="Times New Roman" w:cs="Times New Roman"/>
          <w:sz w:val="24"/>
          <w:szCs w:val="24"/>
          <w:lang w:bidi="sa-IN"/>
        </w:rPr>
        <w:t>:  Skutočné čerpanie finančných prostriedkov bolo vykázané podľa skutočnosti na základe vystavenej konečnej vyúčtovacej faktúry za vybudovanie vysokonapäťovej prípojky 110 kV k trakčnej napájacej transformátorovej stanici od zhotoviteľa SSE Žilina.</w:t>
      </w:r>
    </w:p>
    <w:p w:rsidR="00B654FA" w:rsidP="0034050B">
      <w:pPr>
        <w:pStyle w:val="NormalIndent"/>
        <w:spacing w:line="240" w:lineRule="auto"/>
        <w:ind w:left="720"/>
        <w:rPr>
          <w:rFonts w:ascii="Times New Roman" w:hAnsi="Times New Roman" w:cs="Times New Roman"/>
          <w:szCs w:val="24"/>
          <w:lang w:bidi="sa-IN"/>
        </w:rPr>
      </w:pPr>
      <w:r w:rsidRPr="0034050B">
        <w:rPr>
          <w:rFonts w:ascii="Times New Roman" w:hAnsi="Times New Roman" w:cs="Times New Roman"/>
          <w:szCs w:val="24"/>
          <w:u w:val="single"/>
          <w:lang w:bidi="sa-IN"/>
        </w:rPr>
        <w:t>Žilina – Teplička, dostavba zriaďovacej stanice</w:t>
      </w:r>
      <w:r>
        <w:rPr>
          <w:rFonts w:ascii="Times New Roman" w:hAnsi="Times New Roman" w:cs="Times New Roman"/>
          <w:szCs w:val="24"/>
          <w:lang w:bidi="sa-IN"/>
        </w:rPr>
        <w:t>: Skutočné č</w:t>
      </w:r>
      <w:r w:rsidRPr="007615F6">
        <w:rPr>
          <w:rFonts w:ascii="Times New Roman" w:hAnsi="Times New Roman" w:cs="Times New Roman"/>
          <w:szCs w:val="24"/>
          <w:lang w:bidi="sa-IN"/>
        </w:rPr>
        <w:t xml:space="preserve">erpanie </w:t>
      </w:r>
      <w:r>
        <w:rPr>
          <w:rFonts w:ascii="Times New Roman" w:hAnsi="Times New Roman" w:cs="Times New Roman"/>
          <w:szCs w:val="24"/>
          <w:lang w:bidi="sa-IN"/>
        </w:rPr>
        <w:t xml:space="preserve">prostriedkov </w:t>
      </w:r>
      <w:r w:rsidRPr="003C14AB">
        <w:rPr>
          <w:rFonts w:ascii="Times New Roman" w:hAnsi="Times New Roman" w:cs="Times New Roman"/>
          <w:szCs w:val="24"/>
          <w:lang w:bidi="sa-IN"/>
        </w:rPr>
        <w:t>bolo závislé najmä od postupu majetkovoprávneho vysporiadania</w:t>
      </w:r>
      <w:r>
        <w:rPr>
          <w:rFonts w:ascii="Times New Roman" w:hAnsi="Times New Roman" w:cs="Times New Roman"/>
          <w:szCs w:val="24"/>
          <w:lang w:bidi="sa-IN"/>
        </w:rPr>
        <w:t xml:space="preserve"> a</w:t>
      </w:r>
      <w:r w:rsidRPr="003C14AB">
        <w:rPr>
          <w:rFonts w:ascii="Times New Roman" w:hAnsi="Times New Roman" w:cs="Times New Roman"/>
          <w:szCs w:val="24"/>
          <w:lang w:bidi="sa-IN"/>
        </w:rPr>
        <w:t xml:space="preserve"> zápisov do listov vlastníctva na katastrálnych úradoch</w:t>
      </w:r>
      <w:r>
        <w:rPr>
          <w:rFonts w:ascii="Times New Roman" w:hAnsi="Times New Roman" w:cs="Times New Roman"/>
          <w:szCs w:val="24"/>
          <w:lang w:bidi="sa-IN"/>
        </w:rPr>
        <w:t xml:space="preserve">. </w:t>
      </w:r>
    </w:p>
    <w:p w:rsidR="007615F6" w:rsidRPr="007615F6" w:rsidP="0034050B">
      <w:pPr>
        <w:pStyle w:val="NormalIndent"/>
        <w:spacing w:line="240" w:lineRule="auto"/>
        <w:ind w:left="720"/>
        <w:rPr>
          <w:rFonts w:ascii="Times New Roman" w:hAnsi="Times New Roman" w:cs="Times New Roman"/>
          <w:szCs w:val="24"/>
          <w:lang w:bidi="sa-IN"/>
        </w:rPr>
      </w:pPr>
      <w:r w:rsidRPr="0034050B" w:rsidR="00B654FA">
        <w:rPr>
          <w:rFonts w:ascii="Times New Roman" w:hAnsi="Times New Roman" w:cs="Times New Roman"/>
          <w:szCs w:val="24"/>
          <w:u w:val="single"/>
          <w:lang w:bidi="sa-IN"/>
        </w:rPr>
        <w:t>Čierna nad Tisou, modernizácia železničnej stanice ŠR (široký rozchod) a NR (normálny rozchod)</w:t>
      </w:r>
      <w:r w:rsidR="0034050B">
        <w:rPr>
          <w:rFonts w:ascii="Times New Roman" w:hAnsi="Times New Roman" w:cs="Times New Roman"/>
          <w:szCs w:val="24"/>
          <w:lang w:bidi="sa-IN"/>
        </w:rPr>
        <w:t xml:space="preserve">: </w:t>
      </w:r>
      <w:r w:rsidRPr="003C14AB" w:rsidR="00B654FA">
        <w:rPr>
          <w:rFonts w:ascii="Times New Roman" w:hAnsi="Times New Roman" w:cs="Times New Roman"/>
          <w:szCs w:val="24"/>
          <w:lang w:bidi="sa-IN"/>
        </w:rPr>
        <w:t>Rozvinutie prác na modernizácii stanice ŠR a NR (koľajové brzdy, zvážny pahorok, trakčné vedenie) bolo v plnej miere zahájené až po podpise zmluvy v termíne 10/2007.</w:t>
      </w:r>
      <w:r w:rsidRPr="007615F6" w:rsidR="00B654FA">
        <w:rPr>
          <w:rFonts w:ascii="Times New Roman" w:hAnsi="Times New Roman" w:cs="Times New Roman"/>
          <w:szCs w:val="24"/>
          <w:lang w:bidi="sa-IN"/>
        </w:rPr>
        <w:t xml:space="preserve"> V tom čase však už v dôsledku nepriaznivých jesenných po</w:t>
      </w:r>
      <w:r w:rsidR="00B654FA">
        <w:rPr>
          <w:rFonts w:ascii="Times New Roman" w:hAnsi="Times New Roman" w:cs="Times New Roman"/>
          <w:szCs w:val="24"/>
          <w:lang w:bidi="sa-IN"/>
        </w:rPr>
        <w:t xml:space="preserve">veternostných podmienok v danej </w:t>
      </w:r>
      <w:r w:rsidRPr="00707BBF" w:rsidR="00B654FA">
        <w:rPr>
          <w:rFonts w:ascii="Times New Roman" w:hAnsi="Times New Roman" w:cs="Times New Roman"/>
          <w:szCs w:val="24"/>
          <w:lang w:bidi="sa-IN"/>
        </w:rPr>
        <w:t>lokalite dochádzalo k rozm</w:t>
      </w:r>
      <w:r w:rsidR="00B654FA">
        <w:rPr>
          <w:rFonts w:ascii="Times New Roman" w:hAnsi="Times New Roman" w:cs="Times New Roman"/>
          <w:szCs w:val="24"/>
          <w:lang w:bidi="sa-IN"/>
        </w:rPr>
        <w:t>áčaniu koľajového lôžka, k zaba</w:t>
      </w:r>
      <w:r w:rsidRPr="00707BBF" w:rsidR="00B654FA">
        <w:rPr>
          <w:rFonts w:ascii="Times New Roman" w:hAnsi="Times New Roman" w:cs="Times New Roman"/>
          <w:szCs w:val="24"/>
          <w:lang w:bidi="sa-IN"/>
        </w:rPr>
        <w:t xml:space="preserve">hneniu okolitého terénu, čo sťažovalo </w:t>
      </w:r>
      <w:r w:rsidR="00B654FA">
        <w:rPr>
          <w:rFonts w:ascii="Times New Roman" w:hAnsi="Times New Roman" w:cs="Times New Roman"/>
          <w:szCs w:val="24"/>
          <w:lang w:bidi="sa-IN"/>
        </w:rPr>
        <w:t xml:space="preserve">podmienky pri postupe prác, najmä </w:t>
      </w:r>
      <w:r w:rsidRPr="00707BBF" w:rsidR="00B654FA">
        <w:rPr>
          <w:rFonts w:ascii="Times New Roman" w:hAnsi="Times New Roman" w:cs="Times New Roman"/>
          <w:szCs w:val="24"/>
          <w:lang w:bidi="sa-IN"/>
        </w:rPr>
        <w:t>pri výkopových prácach. To viedlo k čiastočnému spomaleniu prác oproti pôvodnému harmonogramu postupu výsta</w:t>
      </w:r>
      <w:r w:rsidR="00B654FA">
        <w:rPr>
          <w:rFonts w:ascii="Times New Roman" w:hAnsi="Times New Roman" w:cs="Times New Roman"/>
          <w:szCs w:val="24"/>
          <w:lang w:bidi="sa-IN"/>
        </w:rPr>
        <w:t xml:space="preserve">vby, čoho konečným dôsledkom bolo </w:t>
      </w:r>
      <w:r w:rsidRPr="00707BBF" w:rsidR="00B654FA">
        <w:rPr>
          <w:rFonts w:ascii="Times New Roman" w:hAnsi="Times New Roman" w:cs="Times New Roman"/>
          <w:szCs w:val="24"/>
          <w:lang w:bidi="sa-IN"/>
        </w:rPr>
        <w:t>nedočerpanie prideleného limitu finančných prostriedkov</w:t>
      </w:r>
    </w:p>
    <w:p w:rsidR="00CA1CC8" w:rsidRPr="0034050B" w:rsidP="0034050B">
      <w:pPr>
        <w:pStyle w:val="NormalIndent"/>
        <w:spacing w:line="240" w:lineRule="auto"/>
        <w:ind w:left="720"/>
        <w:rPr>
          <w:rFonts w:ascii="Times New Roman" w:hAnsi="Times New Roman" w:cs="Times New Roman"/>
        </w:rPr>
      </w:pPr>
      <w:r w:rsidRPr="0034050B" w:rsidR="007615F6">
        <w:rPr>
          <w:rFonts w:ascii="Times New Roman" w:hAnsi="Times New Roman" w:cs="Times New Roman"/>
          <w:u w:val="single"/>
          <w:lang w:bidi="sa-IN"/>
        </w:rPr>
        <w:t>Púchov – Žilina, spolufinancovanie projektu TEN-T</w:t>
      </w:r>
      <w:r w:rsidR="007615F6">
        <w:rPr>
          <w:rFonts w:ascii="Times New Roman" w:hAnsi="Times New Roman" w:cs="Times New Roman"/>
          <w:lang w:bidi="sa-IN"/>
        </w:rPr>
        <w:t xml:space="preserve">: </w:t>
      </w:r>
      <w:r w:rsidRPr="007615F6" w:rsidR="007615F6">
        <w:rPr>
          <w:rFonts w:ascii="Times New Roman" w:hAnsi="Times New Roman" w:cs="Times New Roman"/>
        </w:rPr>
        <w:t>V</w:t>
      </w:r>
      <w:r w:rsidR="00EB5C51">
        <w:rPr>
          <w:rFonts w:ascii="Times New Roman" w:hAnsi="Times New Roman" w:cs="Times New Roman"/>
        </w:rPr>
        <w:t>zhľadom na to</w:t>
      </w:r>
      <w:r w:rsidR="00FC2FAD">
        <w:rPr>
          <w:rFonts w:ascii="Times New Roman" w:hAnsi="Times New Roman" w:cs="Times New Roman"/>
        </w:rPr>
        <w:t>, že v priebehu roka 2007 nebol zo strany EK odsúhlasený</w:t>
      </w:r>
      <w:r w:rsidRPr="007615F6" w:rsidR="007615F6">
        <w:rPr>
          <w:rFonts w:ascii="Times New Roman" w:hAnsi="Times New Roman" w:cs="Times New Roman"/>
        </w:rPr>
        <w:t xml:space="preserve"> </w:t>
      </w:r>
      <w:r w:rsidR="00FC2FAD">
        <w:rPr>
          <w:rFonts w:ascii="Times New Roman" w:hAnsi="Times New Roman" w:cs="Times New Roman"/>
        </w:rPr>
        <w:t xml:space="preserve">presun finančných prostriedkov medzi jednotlivými položkami projektu tak, aby sa zvýšila suma na financovanie </w:t>
      </w:r>
      <w:r w:rsidRPr="007615F6" w:rsidR="00FC2FAD">
        <w:rPr>
          <w:rFonts w:ascii="Times New Roman" w:hAnsi="Times New Roman" w:cs="Times New Roman"/>
        </w:rPr>
        <w:t xml:space="preserve"> </w:t>
      </w:r>
      <w:r w:rsidR="00FC2FAD">
        <w:rPr>
          <w:rFonts w:ascii="Times New Roman" w:hAnsi="Times New Roman" w:cs="Times New Roman"/>
        </w:rPr>
        <w:t xml:space="preserve">dokumentácie </w:t>
      </w:r>
      <w:r w:rsidRPr="007615F6" w:rsidR="00FC2FAD">
        <w:rPr>
          <w:rFonts w:ascii="Times New Roman" w:hAnsi="Times New Roman" w:cs="Times New Roman"/>
        </w:rPr>
        <w:t>pre územné rozhodnutie</w:t>
      </w:r>
      <w:r w:rsidR="00FC2FAD">
        <w:rPr>
          <w:rFonts w:ascii="Times New Roman" w:hAnsi="Times New Roman" w:cs="Times New Roman"/>
        </w:rPr>
        <w:t xml:space="preserve"> (DUR)</w:t>
      </w:r>
      <w:r w:rsidRPr="007615F6" w:rsidR="00FC2FAD">
        <w:rPr>
          <w:rFonts w:ascii="Times New Roman" w:hAnsi="Times New Roman" w:cs="Times New Roman"/>
        </w:rPr>
        <w:t>, nemohli byť z prostriedkov TEN-T a spolufinancovania TEN-T u</w:t>
      </w:r>
      <w:r w:rsidR="00FC2FAD">
        <w:rPr>
          <w:rFonts w:ascii="Times New Roman" w:hAnsi="Times New Roman" w:cs="Times New Roman"/>
        </w:rPr>
        <w:t xml:space="preserve">hrádzané faktúry za vypracovávanie </w:t>
      </w:r>
      <w:r w:rsidR="00FC2FAD">
        <w:rPr>
          <w:rFonts w:cs="Times New Roman"/>
          <w:szCs w:val="24"/>
        </w:rPr>
        <w:t>DUR nad rámec súčasne platnej maximálnej výšky finančných prostriedkov pre položku DUR stanovej pôvodným rozhodnutím EK</w:t>
      </w:r>
      <w:r w:rsidR="00FC2FAD">
        <w:rPr>
          <w:rFonts w:ascii="Times New Roman" w:hAnsi="Times New Roman" w:cs="Times New Roman"/>
        </w:rPr>
        <w:t>. MDP</w:t>
      </w:r>
      <w:r w:rsidRPr="007615F6" w:rsidR="00FC2FAD">
        <w:rPr>
          <w:rFonts w:ascii="Times New Roman" w:hAnsi="Times New Roman" w:cs="Times New Roman"/>
        </w:rPr>
        <w:t xml:space="preserve">T SR </w:t>
      </w:r>
      <w:r w:rsidR="00FC2FAD">
        <w:rPr>
          <w:rFonts w:ascii="Times New Roman" w:hAnsi="Times New Roman" w:cs="Times New Roman"/>
        </w:rPr>
        <w:t>bolo zo strany DG TREN neoficiálne informované o skutočnosti, že rozhodnutie o požiadavke na presun zdrojov medzi jednotlivými položkami bude oficiáln</w:t>
      </w:r>
      <w:r w:rsidR="0034050B">
        <w:rPr>
          <w:rFonts w:ascii="Times New Roman" w:hAnsi="Times New Roman" w:cs="Times New Roman"/>
        </w:rPr>
        <w:t>e zaslané na MDPT v apríli 2008.</w:t>
      </w:r>
    </w:p>
    <w:p w:rsidR="00684D28" w:rsidP="00C362EA">
      <w:pPr>
        <w:pStyle w:val="NormalIndent"/>
        <w:tabs>
          <w:tab w:val="left" w:pos="0"/>
        </w:tabs>
        <w:spacing w:line="240" w:lineRule="auto"/>
        <w:ind w:left="0"/>
        <w:rPr>
          <w:rFonts w:ascii="Times New Roman" w:hAnsi="Times New Roman" w:cs="Times New Roman"/>
          <w:b/>
          <w:bCs/>
        </w:rPr>
      </w:pPr>
      <w:r w:rsidRPr="00807420">
        <w:rPr>
          <w:rFonts w:ascii="Times New Roman" w:hAnsi="Times New Roman" w:cs="Times New Roman"/>
          <w:b/>
        </w:rPr>
        <w:t>3</w:t>
      </w:r>
      <w:r w:rsidRPr="00807420">
        <w:rPr>
          <w:rFonts w:ascii="Times New Roman" w:hAnsi="Times New Roman" w:cs="Times New Roman"/>
          <w:b/>
          <w:bCs/>
        </w:rPr>
        <w:t>/</w:t>
      </w:r>
      <w:r w:rsidRPr="00D23807">
        <w:rPr>
          <w:rFonts w:ascii="Times New Roman" w:hAnsi="Times New Roman" w:cs="Times New Roman"/>
          <w:b/>
          <w:bCs/>
        </w:rPr>
        <w:t xml:space="preserve"> investičné dotácie (kapitálové transfery) – prostriedky z rozpočtu EÚ vrátane národného spolufinancovania</w:t>
      </w:r>
      <w:r>
        <w:rPr>
          <w:rFonts w:ascii="Times New Roman" w:hAnsi="Times New Roman" w:cs="Times New Roman"/>
          <w:b/>
          <w:bCs/>
        </w:rPr>
        <w:t xml:space="preserve"> – podprogram 07S06 Rozvoj a modernizácia majetku železníc, prvok 07S0605 – Modernizácia trate Piešťany – Nové Mesto nad Váhom (projekt KF) a prvok 07S0608 Modernizácia a rozvoj infraštruktúry železničnej dopravy – opatrenie 1.1. OP ZI</w:t>
      </w:r>
    </w:p>
    <w:p w:rsidR="00684D28" w:rsidRPr="00D52812" w:rsidP="00D52812">
      <w:pPr>
        <w:pStyle w:val="NormalIndent"/>
        <w:tabs>
          <w:tab w:val="left" w:pos="0"/>
        </w:tabs>
        <w:spacing w:line="240" w:lineRule="auto"/>
        <w:ind w:left="0"/>
        <w:rPr>
          <w:rFonts w:ascii="Times New Roman" w:hAnsi="Times New Roman" w:cs="Times New Roman"/>
          <w:b/>
          <w:bCs/>
        </w:rPr>
      </w:pPr>
      <w:r>
        <w:rPr>
          <w:rFonts w:cs="Times New Roman"/>
        </w:rPr>
        <w:t xml:space="preserve"> </w:t>
      </w:r>
      <w:r w:rsidRPr="00D23807">
        <w:rPr>
          <w:rFonts w:cs="Times New Roman"/>
        </w:rPr>
        <w:t xml:space="preserve"> </w:t>
      </w:r>
    </w:p>
    <w:p w:rsidR="00D52812" w:rsidP="00D52812">
      <w:pPr>
        <w:spacing w:line="240" w:lineRule="auto"/>
        <w:jc w:val="center"/>
        <w:rPr>
          <w:rFonts w:ascii="Times New Roman" w:hAnsi="Times New Roman" w:cs="Times New Roman"/>
          <w:b/>
          <w:sz w:val="24"/>
          <w:szCs w:val="24"/>
          <w:u w:val="single"/>
        </w:rPr>
      </w:pPr>
      <w:r w:rsidRPr="00343FBD">
        <w:rPr>
          <w:rFonts w:ascii="Times New Roman" w:hAnsi="Times New Roman" w:cs="Times New Roman"/>
          <w:b/>
          <w:sz w:val="24"/>
          <w:szCs w:val="24"/>
          <w:u w:val="single"/>
        </w:rPr>
        <w:t>Prehľad prostriedkov z rozpočtu EÚ a príslušného spolufinancovania zo ŠR za rok 2</w:t>
      </w:r>
      <w:r w:rsidR="00B77C06">
        <w:rPr>
          <w:rFonts w:ascii="Times New Roman" w:hAnsi="Times New Roman" w:cs="Times New Roman"/>
          <w:b/>
          <w:sz w:val="24"/>
          <w:szCs w:val="24"/>
          <w:u w:val="single"/>
        </w:rPr>
        <w:t>007</w:t>
      </w:r>
    </w:p>
    <w:p w:rsidR="00D52812" w:rsidRPr="00300F7C" w:rsidP="00D52812">
      <w:pPr>
        <w:spacing w:line="240" w:lineRule="auto"/>
        <w:jc w:val="center"/>
        <w:rPr>
          <w:rFonts w:ascii="Times New Roman" w:hAnsi="Times New Roman" w:cs="Times New Roman"/>
          <w:b/>
          <w:sz w:val="24"/>
          <w:szCs w:val="24"/>
          <w:u w:val="single"/>
        </w:rPr>
      </w:pPr>
    </w:p>
    <w:p w:rsidR="00D52812" w:rsidRPr="006B5EB3" w:rsidP="00D52812">
      <w:pPr>
        <w:spacing w:line="240" w:lineRule="auto"/>
        <w:rPr>
          <w:rFonts w:ascii="Arial Narrow" w:hAnsi="Arial Narrow" w:cs="Times New Roman"/>
        </w:rPr>
      </w:pPr>
      <w:r w:rsidRPr="006B5EB3">
        <w:rPr>
          <w:rFonts w:ascii="Arial Narrow" w:hAnsi="Arial Narrow" w:cs="Times New Roman"/>
        </w:rPr>
        <w:t xml:space="preserve">                                                                                                                                                    </w:t>
      </w:r>
      <w:r>
        <w:rPr>
          <w:rFonts w:ascii="Arial Narrow" w:hAnsi="Arial Narrow" w:cs="Times New Roman"/>
        </w:rPr>
        <w:t xml:space="preserve">                                 </w:t>
      </w:r>
      <w:r w:rsidRPr="006B5EB3">
        <w:rPr>
          <w:rFonts w:ascii="Arial Narrow" w:hAnsi="Arial Narrow" w:cs="Times New Roman"/>
        </w:rPr>
        <w:t>(v tis. Sk)</w:t>
      </w:r>
    </w:p>
    <w:tbl>
      <w:tblPr>
        <w:tblW w:w="10964"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
      <w:tblGrid>
        <w:gridCol w:w="2160"/>
        <w:gridCol w:w="900"/>
        <w:gridCol w:w="720"/>
        <w:gridCol w:w="920"/>
        <w:gridCol w:w="700"/>
        <w:gridCol w:w="797"/>
        <w:gridCol w:w="720"/>
        <w:gridCol w:w="797"/>
        <w:gridCol w:w="746"/>
        <w:gridCol w:w="846"/>
        <w:gridCol w:w="720"/>
        <w:gridCol w:w="938"/>
      </w:tblGrid>
      <w:tr>
        <w:tblPrEx>
          <w:tblW w:w="10964"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480"/>
        </w:trPr>
        <w:tc>
          <w:tcPr>
            <w:tcW w:w="2160" w:type="dxa"/>
            <w:vMerge w:val="restart"/>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D52812" w:rsidRPr="001D06AB" w:rsidP="0012722B">
            <w:pPr>
              <w:spacing w:line="240" w:lineRule="auto"/>
              <w:jc w:val="center"/>
              <w:rPr>
                <w:rFonts w:ascii="Arial Narrow" w:hAnsi="Arial Narrow" w:cs="Times New Roman"/>
                <w:b/>
                <w:bCs/>
                <w:sz w:val="28"/>
                <w:szCs w:val="28"/>
              </w:rPr>
            </w:pPr>
            <w:r w:rsidRPr="001D06AB">
              <w:rPr>
                <w:rFonts w:ascii="Arial Narrow" w:hAnsi="Arial Narrow" w:cs="Times New Roman"/>
                <w:b/>
                <w:bCs/>
                <w:sz w:val="28"/>
                <w:szCs w:val="28"/>
              </w:rPr>
              <w:t>Projekt</w:t>
            </w:r>
          </w:p>
        </w:tc>
        <w:tc>
          <w:tcPr>
            <w:tcW w:w="3240" w:type="dxa"/>
            <w:gridSpan w:val="4"/>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D52812" w:rsidRPr="001D06AB" w:rsidP="0012722B">
            <w:pPr>
              <w:spacing w:line="240" w:lineRule="auto"/>
              <w:jc w:val="center"/>
              <w:rPr>
                <w:rFonts w:ascii="Arial Narrow" w:hAnsi="Arial Narrow" w:cs="Times New Roman"/>
                <w:b/>
                <w:bCs/>
                <w:sz w:val="28"/>
                <w:szCs w:val="28"/>
              </w:rPr>
            </w:pPr>
            <w:r w:rsidRPr="001D06AB">
              <w:rPr>
                <w:rFonts w:ascii="Arial Narrow" w:hAnsi="Arial Narrow" w:cs="Times New Roman"/>
                <w:b/>
                <w:bCs/>
                <w:sz w:val="28"/>
                <w:szCs w:val="28"/>
              </w:rPr>
              <w:t>Rozpočet</w:t>
            </w:r>
          </w:p>
        </w:tc>
        <w:tc>
          <w:tcPr>
            <w:tcW w:w="3060" w:type="dxa"/>
            <w:gridSpan w:val="4"/>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D52812" w:rsidRPr="001D06AB" w:rsidP="0012722B">
            <w:pPr>
              <w:spacing w:line="240" w:lineRule="auto"/>
              <w:jc w:val="center"/>
              <w:rPr>
                <w:rFonts w:ascii="Arial Narrow" w:hAnsi="Arial Narrow" w:cs="Times New Roman"/>
                <w:b/>
                <w:bCs/>
                <w:sz w:val="28"/>
                <w:szCs w:val="28"/>
              </w:rPr>
            </w:pPr>
            <w:r w:rsidRPr="001D06AB">
              <w:rPr>
                <w:rFonts w:ascii="Arial Narrow" w:hAnsi="Arial Narrow" w:cs="Times New Roman"/>
                <w:b/>
                <w:bCs/>
                <w:sz w:val="28"/>
                <w:szCs w:val="28"/>
              </w:rPr>
              <w:t>Čerpanie výdavkov</w:t>
            </w:r>
          </w:p>
        </w:tc>
        <w:tc>
          <w:tcPr>
            <w:tcW w:w="2504" w:type="dxa"/>
            <w:gridSpan w:val="3"/>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D52812" w:rsidRPr="001D06AB" w:rsidP="0012722B">
            <w:pPr>
              <w:spacing w:line="240" w:lineRule="auto"/>
              <w:jc w:val="center"/>
              <w:rPr>
                <w:rFonts w:ascii="Arial Narrow" w:hAnsi="Arial Narrow" w:cs="Times New Roman"/>
                <w:b/>
                <w:bCs/>
                <w:sz w:val="28"/>
                <w:szCs w:val="28"/>
              </w:rPr>
            </w:pPr>
            <w:r w:rsidRPr="001D06AB">
              <w:rPr>
                <w:rFonts w:ascii="Arial Narrow" w:hAnsi="Arial Narrow" w:cs="Times New Roman"/>
                <w:b/>
                <w:bCs/>
                <w:sz w:val="28"/>
                <w:szCs w:val="28"/>
              </w:rPr>
              <w:t>Zostatok</w:t>
            </w:r>
          </w:p>
        </w:tc>
      </w:tr>
      <w:tr>
        <w:tblPrEx>
          <w:tblW w:w="10964" w:type="dxa"/>
          <w:tblInd w:w="-830" w:type="dxa"/>
          <w:tblCellMar>
            <w:left w:w="70" w:type="dxa"/>
            <w:right w:w="70" w:type="dxa"/>
          </w:tblCellMar>
        </w:tblPrEx>
        <w:trPr>
          <w:trHeight w:val="345"/>
        </w:trPr>
        <w:tc>
          <w:tcPr>
            <w:tcW w:w="2160" w:type="dxa"/>
            <w:vMerge/>
            <w:tcBorders>
              <w:top w:val="single" w:sz="4" w:space="0" w:color="auto"/>
              <w:left w:val="single" w:sz="4" w:space="0" w:color="auto"/>
              <w:bottom w:val="single" w:sz="4" w:space="0" w:color="auto"/>
              <w:right w:val="single" w:sz="4" w:space="0" w:color="auto"/>
              <w:tl2br w:val="nil"/>
              <w:tr2bl w:val="nil"/>
            </w:tcBorders>
            <w:textDirection w:val="lrTb"/>
            <w:vAlign w:val="center"/>
          </w:tcPr>
          <w:p w:rsidR="00D52812" w:rsidRPr="001D06AB" w:rsidP="0012722B">
            <w:pPr>
              <w:spacing w:line="240" w:lineRule="auto"/>
              <w:rPr>
                <w:rFonts w:ascii="Arial Narrow" w:hAnsi="Arial Narrow" w:cs="Times New Roman"/>
                <w:b/>
                <w:bCs/>
              </w:rPr>
            </w:pPr>
          </w:p>
        </w:tc>
        <w:tc>
          <w:tcPr>
            <w:tcW w:w="900" w:type="dxa"/>
            <w:vMerge w:val="restart"/>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D52812" w:rsidRPr="001E3413" w:rsidP="0012722B">
            <w:pPr>
              <w:spacing w:line="240" w:lineRule="auto"/>
              <w:jc w:val="center"/>
              <w:rPr>
                <w:rFonts w:ascii="Arial Narrow" w:hAnsi="Arial Narrow" w:cs="Times New Roman"/>
                <w:sz w:val="18"/>
                <w:szCs w:val="18"/>
              </w:rPr>
            </w:pPr>
            <w:r w:rsidRPr="001E3413">
              <w:rPr>
                <w:rFonts w:ascii="Arial Narrow" w:hAnsi="Arial Narrow" w:cs="Times New Roman"/>
                <w:sz w:val="18"/>
                <w:szCs w:val="18"/>
              </w:rPr>
              <w:t xml:space="preserve">EÚ </w:t>
            </w:r>
          </w:p>
        </w:tc>
        <w:tc>
          <w:tcPr>
            <w:tcW w:w="720" w:type="dxa"/>
            <w:vMerge w:val="restart"/>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D52812" w:rsidRPr="001E3413" w:rsidP="0012722B">
            <w:pPr>
              <w:spacing w:line="240" w:lineRule="auto"/>
              <w:jc w:val="center"/>
              <w:rPr>
                <w:rFonts w:ascii="Arial Narrow" w:hAnsi="Arial Narrow" w:cs="Times New Roman"/>
                <w:sz w:val="18"/>
                <w:szCs w:val="18"/>
              </w:rPr>
            </w:pPr>
            <w:r w:rsidRPr="001E3413">
              <w:rPr>
                <w:rFonts w:ascii="Arial Narrow" w:hAnsi="Arial Narrow" w:cs="Times New Roman"/>
                <w:sz w:val="18"/>
                <w:szCs w:val="18"/>
              </w:rPr>
              <w:t xml:space="preserve">ŠR </w:t>
            </w:r>
          </w:p>
        </w:tc>
        <w:tc>
          <w:tcPr>
            <w:tcW w:w="1620" w:type="dxa"/>
            <w:gridSpan w:val="2"/>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D52812" w:rsidRPr="001E3413" w:rsidP="0012722B">
            <w:pPr>
              <w:spacing w:line="240" w:lineRule="auto"/>
              <w:jc w:val="center"/>
              <w:rPr>
                <w:rFonts w:ascii="Arial Narrow" w:hAnsi="Arial Narrow" w:cs="Times New Roman"/>
                <w:sz w:val="18"/>
                <w:szCs w:val="18"/>
              </w:rPr>
            </w:pPr>
            <w:r w:rsidRPr="001E3413">
              <w:rPr>
                <w:rFonts w:ascii="Arial Narrow" w:hAnsi="Arial Narrow" w:cs="Times New Roman"/>
                <w:sz w:val="18"/>
                <w:szCs w:val="18"/>
              </w:rPr>
              <w:t>Prost. z min. rokov</w:t>
            </w:r>
          </w:p>
        </w:tc>
        <w:tc>
          <w:tcPr>
            <w:tcW w:w="797" w:type="dxa"/>
            <w:vMerge w:val="restart"/>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D52812" w:rsidRPr="001E3413" w:rsidP="0012722B">
            <w:pPr>
              <w:spacing w:line="240" w:lineRule="auto"/>
              <w:jc w:val="center"/>
              <w:rPr>
                <w:rFonts w:ascii="Arial Narrow" w:hAnsi="Arial Narrow" w:cs="Times New Roman"/>
                <w:sz w:val="18"/>
                <w:szCs w:val="18"/>
              </w:rPr>
            </w:pPr>
            <w:r w:rsidRPr="001E3413">
              <w:rPr>
                <w:rFonts w:ascii="Arial Narrow" w:hAnsi="Arial Narrow" w:cs="Times New Roman"/>
                <w:sz w:val="18"/>
                <w:szCs w:val="18"/>
              </w:rPr>
              <w:t>EÚ</w:t>
            </w:r>
          </w:p>
          <w:p w:rsidR="00D52812" w:rsidRPr="001E3413" w:rsidP="0012722B">
            <w:pPr>
              <w:spacing w:line="240" w:lineRule="auto"/>
              <w:jc w:val="center"/>
              <w:rPr>
                <w:rFonts w:ascii="Arial Narrow" w:hAnsi="Arial Narrow" w:cs="Times New Roman"/>
                <w:sz w:val="18"/>
                <w:szCs w:val="18"/>
              </w:rPr>
            </w:pPr>
            <w:r>
              <w:rPr>
                <w:rFonts w:ascii="Arial Narrow" w:hAnsi="Arial Narrow" w:cs="Times New Roman"/>
                <w:sz w:val="18"/>
                <w:szCs w:val="18"/>
              </w:rPr>
              <w:t xml:space="preserve"> (</w:t>
            </w:r>
            <w:r w:rsidR="003A3910">
              <w:rPr>
                <w:rFonts w:ascii="Arial Narrow" w:hAnsi="Arial Narrow" w:cs="Times New Roman"/>
                <w:sz w:val="18"/>
                <w:szCs w:val="18"/>
              </w:rPr>
              <w:t>2007</w:t>
            </w:r>
            <w:r w:rsidRPr="001E3413">
              <w:rPr>
                <w:rFonts w:ascii="Arial Narrow" w:hAnsi="Arial Narrow" w:cs="Times New Roman"/>
                <w:sz w:val="18"/>
                <w:szCs w:val="18"/>
              </w:rPr>
              <w:t>)</w:t>
            </w:r>
          </w:p>
        </w:tc>
        <w:tc>
          <w:tcPr>
            <w:tcW w:w="720" w:type="dxa"/>
            <w:vMerge w:val="restart"/>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D52812" w:rsidRPr="001E3413" w:rsidP="0012722B">
            <w:pPr>
              <w:spacing w:line="240" w:lineRule="auto"/>
              <w:jc w:val="center"/>
              <w:rPr>
                <w:rFonts w:ascii="Arial Narrow" w:hAnsi="Arial Narrow" w:cs="Times New Roman"/>
                <w:sz w:val="18"/>
                <w:szCs w:val="18"/>
              </w:rPr>
            </w:pPr>
            <w:r w:rsidRPr="001E3413">
              <w:rPr>
                <w:rFonts w:ascii="Arial Narrow" w:hAnsi="Arial Narrow" w:cs="Times New Roman"/>
                <w:sz w:val="18"/>
                <w:szCs w:val="18"/>
              </w:rPr>
              <w:t>ŠR</w:t>
            </w:r>
          </w:p>
          <w:p w:rsidR="00D52812" w:rsidRPr="001E3413" w:rsidP="0012722B">
            <w:pPr>
              <w:spacing w:line="240" w:lineRule="auto"/>
              <w:jc w:val="center"/>
              <w:rPr>
                <w:rFonts w:ascii="Arial Narrow" w:hAnsi="Arial Narrow" w:cs="Times New Roman"/>
                <w:sz w:val="18"/>
                <w:szCs w:val="18"/>
              </w:rPr>
            </w:pPr>
            <w:r>
              <w:rPr>
                <w:rFonts w:ascii="Arial Narrow" w:hAnsi="Arial Narrow" w:cs="Times New Roman"/>
                <w:sz w:val="18"/>
                <w:szCs w:val="18"/>
              </w:rPr>
              <w:t xml:space="preserve"> (</w:t>
            </w:r>
            <w:r w:rsidR="003A3910">
              <w:rPr>
                <w:rFonts w:ascii="Arial Narrow" w:hAnsi="Arial Narrow" w:cs="Times New Roman"/>
                <w:sz w:val="18"/>
                <w:szCs w:val="18"/>
              </w:rPr>
              <w:t>2007</w:t>
            </w:r>
            <w:r w:rsidRPr="001E3413">
              <w:rPr>
                <w:rFonts w:ascii="Arial Narrow" w:hAnsi="Arial Narrow" w:cs="Times New Roman"/>
                <w:sz w:val="18"/>
                <w:szCs w:val="18"/>
              </w:rPr>
              <w:t>)</w:t>
            </w:r>
          </w:p>
        </w:tc>
        <w:tc>
          <w:tcPr>
            <w:tcW w:w="1543" w:type="dxa"/>
            <w:gridSpan w:val="2"/>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D52812" w:rsidRPr="001E3413" w:rsidP="0012722B">
            <w:pPr>
              <w:spacing w:line="240" w:lineRule="auto"/>
              <w:jc w:val="center"/>
              <w:rPr>
                <w:rFonts w:ascii="Arial Narrow" w:hAnsi="Arial Narrow" w:cs="Times New Roman"/>
                <w:sz w:val="18"/>
                <w:szCs w:val="18"/>
              </w:rPr>
            </w:pPr>
            <w:r>
              <w:rPr>
                <w:rFonts w:ascii="Arial Narrow" w:hAnsi="Arial Narrow" w:cs="Times New Roman"/>
                <w:sz w:val="18"/>
                <w:szCs w:val="18"/>
              </w:rPr>
              <w:t xml:space="preserve">Prost. z min. </w:t>
            </w:r>
            <w:r w:rsidRPr="001E3413">
              <w:rPr>
                <w:rFonts w:ascii="Arial Narrow" w:hAnsi="Arial Narrow" w:cs="Times New Roman"/>
                <w:sz w:val="18"/>
                <w:szCs w:val="18"/>
              </w:rPr>
              <w:t>rokov</w:t>
            </w:r>
          </w:p>
        </w:tc>
        <w:tc>
          <w:tcPr>
            <w:tcW w:w="846" w:type="dxa"/>
            <w:vMerge w:val="restart"/>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D52812" w:rsidRPr="001E3413" w:rsidP="0012722B">
            <w:pPr>
              <w:spacing w:line="240" w:lineRule="auto"/>
              <w:jc w:val="center"/>
              <w:rPr>
                <w:rFonts w:ascii="Arial Narrow" w:hAnsi="Arial Narrow" w:cs="Times New Roman"/>
                <w:sz w:val="18"/>
                <w:szCs w:val="18"/>
              </w:rPr>
            </w:pPr>
            <w:r w:rsidRPr="001E3413">
              <w:rPr>
                <w:rFonts w:ascii="Arial Narrow" w:hAnsi="Arial Narrow" w:cs="Times New Roman"/>
                <w:sz w:val="18"/>
                <w:szCs w:val="18"/>
              </w:rPr>
              <w:t>EÚ</w:t>
            </w:r>
          </w:p>
        </w:tc>
        <w:tc>
          <w:tcPr>
            <w:tcW w:w="720" w:type="dxa"/>
            <w:vMerge w:val="restart"/>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D52812" w:rsidRPr="001E3413" w:rsidP="0012722B">
            <w:pPr>
              <w:spacing w:line="240" w:lineRule="auto"/>
              <w:jc w:val="center"/>
              <w:rPr>
                <w:rFonts w:ascii="Arial Narrow" w:hAnsi="Arial Narrow" w:cs="Times New Roman"/>
                <w:sz w:val="18"/>
                <w:szCs w:val="18"/>
              </w:rPr>
            </w:pPr>
            <w:r w:rsidRPr="001E3413">
              <w:rPr>
                <w:rFonts w:ascii="Arial Narrow" w:hAnsi="Arial Narrow" w:cs="Times New Roman"/>
                <w:sz w:val="18"/>
                <w:szCs w:val="18"/>
              </w:rPr>
              <w:t>ŠR</w:t>
            </w:r>
          </w:p>
        </w:tc>
        <w:tc>
          <w:tcPr>
            <w:tcW w:w="938" w:type="dxa"/>
            <w:vMerge w:val="restart"/>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D52812" w:rsidRPr="001E3413" w:rsidP="0012722B">
            <w:pPr>
              <w:spacing w:line="240" w:lineRule="auto"/>
              <w:jc w:val="center"/>
              <w:rPr>
                <w:rFonts w:ascii="Arial Narrow" w:hAnsi="Arial Narrow" w:cs="Times New Roman"/>
                <w:sz w:val="18"/>
                <w:szCs w:val="18"/>
              </w:rPr>
            </w:pPr>
            <w:r>
              <w:rPr>
                <w:rFonts w:ascii="Arial Narrow" w:hAnsi="Arial Narrow" w:cs="Times New Roman"/>
                <w:sz w:val="18"/>
                <w:szCs w:val="18"/>
              </w:rPr>
              <w:t>Presun do roku</w:t>
            </w:r>
            <w:r w:rsidR="003A3910">
              <w:rPr>
                <w:rFonts w:ascii="Arial Narrow" w:hAnsi="Arial Narrow" w:cs="Times New Roman"/>
                <w:sz w:val="18"/>
                <w:szCs w:val="18"/>
              </w:rPr>
              <w:t xml:space="preserve"> 2008</w:t>
            </w:r>
          </w:p>
        </w:tc>
      </w:tr>
      <w:tr>
        <w:tblPrEx>
          <w:tblW w:w="10964" w:type="dxa"/>
          <w:tblInd w:w="-830" w:type="dxa"/>
          <w:tblCellMar>
            <w:left w:w="70" w:type="dxa"/>
            <w:right w:w="70" w:type="dxa"/>
          </w:tblCellMar>
        </w:tblPrEx>
        <w:trPr>
          <w:trHeight w:val="345"/>
        </w:trPr>
        <w:tc>
          <w:tcPr>
            <w:tcW w:w="2160" w:type="dxa"/>
            <w:vMerge/>
            <w:tcBorders>
              <w:top w:val="single" w:sz="4" w:space="0" w:color="auto"/>
              <w:left w:val="single" w:sz="4" w:space="0" w:color="auto"/>
              <w:bottom w:val="single" w:sz="4" w:space="0" w:color="auto"/>
              <w:right w:val="single" w:sz="4" w:space="0" w:color="auto"/>
              <w:tl2br w:val="nil"/>
              <w:tr2bl w:val="nil"/>
            </w:tcBorders>
            <w:textDirection w:val="lrTb"/>
            <w:vAlign w:val="center"/>
          </w:tcPr>
          <w:p w:rsidR="00D52812" w:rsidRPr="001D06AB" w:rsidP="0012722B">
            <w:pPr>
              <w:spacing w:line="240" w:lineRule="auto"/>
              <w:rPr>
                <w:rFonts w:ascii="Arial Narrow" w:hAnsi="Arial Narrow" w:cs="Times New Roman"/>
                <w:b/>
                <w:bCs/>
              </w:rPr>
            </w:pPr>
          </w:p>
        </w:tc>
        <w:tc>
          <w:tcPr>
            <w:tcW w:w="900" w:type="dxa"/>
            <w:vMerge/>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D52812" w:rsidRPr="001D06AB" w:rsidP="0012722B">
            <w:pPr>
              <w:spacing w:line="240" w:lineRule="auto"/>
              <w:jc w:val="center"/>
              <w:rPr>
                <w:rFonts w:ascii="Arial Narrow" w:hAnsi="Arial Narrow" w:cs="Times New Roman"/>
              </w:rPr>
            </w:pPr>
          </w:p>
        </w:tc>
        <w:tc>
          <w:tcPr>
            <w:tcW w:w="720" w:type="dxa"/>
            <w:vMerge/>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D52812" w:rsidRPr="001D06AB" w:rsidP="0012722B">
            <w:pPr>
              <w:spacing w:line="240" w:lineRule="auto"/>
              <w:jc w:val="center"/>
              <w:rPr>
                <w:rFonts w:ascii="Arial Narrow" w:hAnsi="Arial Narrow" w:cs="Times New Roman"/>
              </w:rPr>
            </w:pPr>
          </w:p>
        </w:tc>
        <w:tc>
          <w:tcPr>
            <w:tcW w:w="92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D52812" w:rsidP="0012722B">
            <w:pPr>
              <w:spacing w:line="240" w:lineRule="auto"/>
              <w:jc w:val="center"/>
              <w:rPr>
                <w:rFonts w:ascii="Arial Narrow" w:hAnsi="Arial Narrow" w:cs="Times New Roman"/>
              </w:rPr>
            </w:pPr>
            <w:r>
              <w:rPr>
                <w:rFonts w:ascii="Arial Narrow" w:hAnsi="Arial Narrow" w:cs="Times New Roman"/>
              </w:rPr>
              <w:t>EÚ</w:t>
            </w:r>
          </w:p>
        </w:tc>
        <w:tc>
          <w:tcPr>
            <w:tcW w:w="70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D52812" w:rsidP="0012722B">
            <w:pPr>
              <w:spacing w:line="240" w:lineRule="auto"/>
              <w:jc w:val="center"/>
              <w:rPr>
                <w:rFonts w:ascii="Arial Narrow" w:hAnsi="Arial Narrow" w:cs="Times New Roman"/>
              </w:rPr>
            </w:pPr>
            <w:r>
              <w:rPr>
                <w:rFonts w:ascii="Arial Narrow" w:hAnsi="Arial Narrow" w:cs="Times New Roman"/>
              </w:rPr>
              <w:t>ŠR</w:t>
            </w:r>
          </w:p>
        </w:tc>
        <w:tc>
          <w:tcPr>
            <w:tcW w:w="797" w:type="dxa"/>
            <w:vMerge/>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D52812" w:rsidRPr="001D06AB" w:rsidP="0012722B">
            <w:pPr>
              <w:spacing w:line="240" w:lineRule="auto"/>
              <w:jc w:val="center"/>
              <w:rPr>
                <w:rFonts w:ascii="Arial Narrow" w:hAnsi="Arial Narrow" w:cs="Times New Roman"/>
              </w:rPr>
            </w:pPr>
          </w:p>
        </w:tc>
        <w:tc>
          <w:tcPr>
            <w:tcW w:w="720" w:type="dxa"/>
            <w:vMerge/>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D52812" w:rsidRPr="001D06AB" w:rsidP="0012722B">
            <w:pPr>
              <w:spacing w:line="240" w:lineRule="auto"/>
              <w:jc w:val="center"/>
              <w:rPr>
                <w:rFonts w:ascii="Arial Narrow" w:hAnsi="Arial Narrow" w:cs="Times New Roman"/>
              </w:rPr>
            </w:pPr>
          </w:p>
        </w:tc>
        <w:tc>
          <w:tcPr>
            <w:tcW w:w="797"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D52812" w:rsidP="0012722B">
            <w:pPr>
              <w:spacing w:line="240" w:lineRule="auto"/>
              <w:jc w:val="center"/>
              <w:rPr>
                <w:rFonts w:ascii="Arial Narrow" w:hAnsi="Arial Narrow" w:cs="Times New Roman"/>
              </w:rPr>
            </w:pPr>
            <w:r>
              <w:rPr>
                <w:rFonts w:ascii="Arial Narrow" w:hAnsi="Arial Narrow" w:cs="Times New Roman"/>
              </w:rPr>
              <w:t>EÚ</w:t>
            </w:r>
          </w:p>
        </w:tc>
        <w:tc>
          <w:tcPr>
            <w:tcW w:w="746"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D52812" w:rsidP="0012722B">
            <w:pPr>
              <w:spacing w:line="240" w:lineRule="auto"/>
              <w:ind w:left="-70" w:firstLine="70"/>
              <w:jc w:val="center"/>
              <w:rPr>
                <w:rFonts w:ascii="Arial Narrow" w:hAnsi="Arial Narrow" w:cs="Times New Roman"/>
              </w:rPr>
            </w:pPr>
            <w:r>
              <w:rPr>
                <w:rFonts w:ascii="Arial Narrow" w:hAnsi="Arial Narrow" w:cs="Times New Roman"/>
              </w:rPr>
              <w:t>ŠR</w:t>
            </w:r>
          </w:p>
        </w:tc>
        <w:tc>
          <w:tcPr>
            <w:tcW w:w="846" w:type="dxa"/>
            <w:vMerge/>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D52812" w:rsidRPr="001D06AB" w:rsidP="0012722B">
            <w:pPr>
              <w:spacing w:line="240" w:lineRule="auto"/>
              <w:jc w:val="center"/>
              <w:rPr>
                <w:rFonts w:ascii="Arial Narrow" w:hAnsi="Arial Narrow" w:cs="Times New Roman"/>
              </w:rPr>
            </w:pPr>
          </w:p>
        </w:tc>
        <w:tc>
          <w:tcPr>
            <w:tcW w:w="720" w:type="dxa"/>
            <w:vMerge/>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D52812" w:rsidRPr="001D06AB" w:rsidP="0012722B">
            <w:pPr>
              <w:spacing w:line="240" w:lineRule="auto"/>
              <w:jc w:val="center"/>
              <w:rPr>
                <w:rFonts w:ascii="Arial Narrow" w:hAnsi="Arial Narrow" w:cs="Times New Roman"/>
              </w:rPr>
            </w:pPr>
          </w:p>
        </w:tc>
        <w:tc>
          <w:tcPr>
            <w:tcW w:w="938" w:type="dxa"/>
            <w:vMerge/>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D52812" w:rsidP="0012722B">
            <w:pPr>
              <w:spacing w:line="240" w:lineRule="auto"/>
              <w:jc w:val="center"/>
              <w:rPr>
                <w:rFonts w:ascii="Arial Narrow" w:hAnsi="Arial Narrow" w:cs="Times New Roman"/>
              </w:rPr>
            </w:pPr>
          </w:p>
        </w:tc>
      </w:tr>
      <w:tr>
        <w:tblPrEx>
          <w:tblW w:w="10964" w:type="dxa"/>
          <w:tblInd w:w="-830" w:type="dxa"/>
          <w:tblCellMar>
            <w:left w:w="70" w:type="dxa"/>
            <w:right w:w="70" w:type="dxa"/>
          </w:tblCellMar>
        </w:tblPrEx>
        <w:trPr>
          <w:trHeight w:val="330"/>
        </w:trPr>
        <w:tc>
          <w:tcPr>
            <w:tcW w:w="216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D52812" w:rsidRPr="001D06AB" w:rsidP="0012722B">
            <w:pPr>
              <w:spacing w:line="240" w:lineRule="auto"/>
              <w:rPr>
                <w:rFonts w:ascii="Arial Narrow" w:hAnsi="Arial Narrow" w:cs="Times New Roman"/>
              </w:rPr>
            </w:pPr>
            <w:r w:rsidRPr="001D06AB">
              <w:rPr>
                <w:rFonts w:ascii="Arial Narrow" w:hAnsi="Arial Narrow" w:cs="Times New Roman"/>
              </w:rPr>
              <w:t> </w:t>
            </w:r>
          </w:p>
        </w:tc>
        <w:tc>
          <w:tcPr>
            <w:tcW w:w="8804" w:type="dxa"/>
            <w:gridSpan w:val="11"/>
            <w:tcBorders>
              <w:top w:val="single" w:sz="4" w:space="0" w:color="auto"/>
              <w:left w:val="single" w:sz="4" w:space="0" w:color="auto"/>
              <w:bottom w:val="single" w:sz="4" w:space="0" w:color="auto"/>
              <w:right w:val="single" w:sz="4" w:space="0" w:color="auto"/>
              <w:tl2br w:val="nil"/>
              <w:tr2bl w:val="nil"/>
            </w:tcBorders>
            <w:shd w:val="clear" w:color="auto" w:fill="C0C0C0"/>
            <w:noWrap/>
            <w:textDirection w:val="lrTb"/>
            <w:vAlign w:val="center"/>
          </w:tcPr>
          <w:p w:rsidR="00D52812" w:rsidRPr="006B5EB3" w:rsidP="001769B6">
            <w:pPr>
              <w:spacing w:line="240" w:lineRule="auto"/>
              <w:rPr>
                <w:rFonts w:ascii="Arial Narrow" w:hAnsi="Arial Narrow" w:cs="Times New Roman"/>
                <w:b/>
              </w:rPr>
            </w:pPr>
            <w:r w:rsidR="001769B6">
              <w:rPr>
                <w:rFonts w:ascii="Arial Narrow" w:hAnsi="Arial Narrow" w:cs="Times New Roman"/>
                <w:b/>
                <w:bCs/>
              </w:rPr>
              <w:t>Prvok 07S0608 Modernizácia a rozvoj infraštruktúry železničnej dopravy – opatrenie 1.1. OP ZI – ERDF</w:t>
            </w:r>
          </w:p>
        </w:tc>
      </w:tr>
      <w:tr>
        <w:tblPrEx>
          <w:tblW w:w="10964" w:type="dxa"/>
          <w:tblInd w:w="-830" w:type="dxa"/>
          <w:tblCellMar>
            <w:left w:w="70" w:type="dxa"/>
            <w:right w:w="70" w:type="dxa"/>
          </w:tblCellMar>
        </w:tblPrEx>
        <w:trPr>
          <w:trHeight w:val="255"/>
        </w:trPr>
        <w:tc>
          <w:tcPr>
            <w:tcW w:w="216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FE7B97" w:rsidP="0012722B">
            <w:pPr>
              <w:spacing w:line="240" w:lineRule="auto"/>
              <w:jc w:val="left"/>
              <w:rPr>
                <w:rFonts w:ascii="Arial Narrow" w:hAnsi="Arial Narrow" w:cs="Times New Roman"/>
              </w:rPr>
            </w:pPr>
            <w:r w:rsidR="004C008C">
              <w:rPr>
                <w:rFonts w:ascii="Arial Narrow" w:hAnsi="Arial Narrow" w:cs="Times New Roman"/>
              </w:rPr>
              <w:t>OP ZI – opatrenie 1.1.</w:t>
            </w:r>
          </w:p>
        </w:tc>
        <w:tc>
          <w:tcPr>
            <w:tcW w:w="90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FE7B97" w:rsidRPr="001769B6" w:rsidP="0012722B">
            <w:pPr>
              <w:spacing w:line="240" w:lineRule="auto"/>
              <w:jc w:val="right"/>
              <w:rPr>
                <w:rFonts w:ascii="Arial Narrow" w:hAnsi="Arial Narrow" w:cs="Times New Roman"/>
                <w:sz w:val="18"/>
                <w:szCs w:val="18"/>
              </w:rPr>
            </w:pPr>
            <w:r w:rsidR="00B77C06">
              <w:rPr>
                <w:rFonts w:ascii="Arial Narrow" w:hAnsi="Arial Narrow" w:cs="Times New Roman"/>
                <w:sz w:val="18"/>
                <w:szCs w:val="18"/>
              </w:rPr>
              <w:t>898 257</w:t>
            </w:r>
          </w:p>
        </w:tc>
        <w:tc>
          <w:tcPr>
            <w:tcW w:w="72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FE7B97" w:rsidRPr="001769B6" w:rsidP="0012722B">
            <w:pPr>
              <w:spacing w:line="240" w:lineRule="auto"/>
              <w:jc w:val="right"/>
              <w:rPr>
                <w:rFonts w:ascii="Arial Narrow" w:hAnsi="Arial Narrow" w:cs="Times New Roman"/>
                <w:sz w:val="18"/>
                <w:szCs w:val="18"/>
              </w:rPr>
            </w:pPr>
            <w:r w:rsidR="00BF57A9">
              <w:rPr>
                <w:rFonts w:ascii="Arial Narrow" w:hAnsi="Arial Narrow" w:cs="Times New Roman"/>
                <w:sz w:val="18"/>
                <w:szCs w:val="18"/>
              </w:rPr>
              <w:t>0</w:t>
            </w:r>
          </w:p>
        </w:tc>
        <w:tc>
          <w:tcPr>
            <w:tcW w:w="92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FE7B97" w:rsidRPr="003A2192" w:rsidP="0012722B">
            <w:pPr>
              <w:spacing w:line="240" w:lineRule="auto"/>
              <w:jc w:val="right"/>
              <w:rPr>
                <w:rFonts w:ascii="Arial Narrow" w:hAnsi="Arial Narrow" w:cs="Times New Roman"/>
                <w:sz w:val="18"/>
                <w:szCs w:val="18"/>
              </w:rPr>
            </w:pPr>
            <w:r w:rsidR="00674E4C">
              <w:rPr>
                <w:rFonts w:ascii="Arial Narrow" w:hAnsi="Arial Narrow" w:cs="Times New Roman"/>
                <w:sz w:val="18"/>
                <w:szCs w:val="18"/>
              </w:rPr>
              <w:t>505 268</w:t>
            </w:r>
          </w:p>
        </w:tc>
        <w:tc>
          <w:tcPr>
            <w:tcW w:w="70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FE7B97" w:rsidRPr="003A2192" w:rsidP="0012722B">
            <w:pPr>
              <w:spacing w:line="240" w:lineRule="auto"/>
              <w:jc w:val="right"/>
              <w:rPr>
                <w:rFonts w:ascii="Arial Narrow" w:hAnsi="Arial Narrow" w:cs="Times New Roman"/>
                <w:sz w:val="18"/>
                <w:szCs w:val="18"/>
              </w:rPr>
            </w:pPr>
            <w:r w:rsidR="000E4613">
              <w:rPr>
                <w:rFonts w:ascii="Arial Narrow" w:hAnsi="Arial Narrow" w:cs="Times New Roman"/>
                <w:sz w:val="18"/>
                <w:szCs w:val="18"/>
              </w:rPr>
              <w:t>376 733</w:t>
            </w:r>
          </w:p>
        </w:tc>
        <w:tc>
          <w:tcPr>
            <w:tcW w:w="797"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FE7B97" w:rsidRPr="001769B6" w:rsidP="0012722B">
            <w:pPr>
              <w:spacing w:line="240" w:lineRule="auto"/>
              <w:jc w:val="right"/>
              <w:rPr>
                <w:rFonts w:ascii="Arial Narrow" w:hAnsi="Arial Narrow" w:cs="Times New Roman"/>
                <w:sz w:val="18"/>
                <w:szCs w:val="18"/>
              </w:rPr>
            </w:pPr>
            <w:r w:rsidR="00747E2C">
              <w:rPr>
                <w:rFonts w:ascii="Arial Narrow" w:hAnsi="Arial Narrow" w:cs="Times New Roman"/>
                <w:sz w:val="18"/>
                <w:szCs w:val="18"/>
              </w:rPr>
              <w:t>467 890</w:t>
            </w:r>
          </w:p>
        </w:tc>
        <w:tc>
          <w:tcPr>
            <w:tcW w:w="72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FE7B97" w:rsidRPr="001769B6" w:rsidP="0012722B">
            <w:pPr>
              <w:spacing w:line="240" w:lineRule="auto"/>
              <w:jc w:val="right"/>
              <w:rPr>
                <w:rFonts w:ascii="Arial Narrow" w:hAnsi="Arial Narrow" w:cs="Times New Roman"/>
                <w:sz w:val="18"/>
                <w:szCs w:val="18"/>
              </w:rPr>
            </w:pPr>
            <w:r w:rsidR="000E4613">
              <w:rPr>
                <w:rFonts w:ascii="Arial Narrow" w:hAnsi="Arial Narrow" w:cs="Times New Roman"/>
                <w:sz w:val="18"/>
                <w:szCs w:val="18"/>
              </w:rPr>
              <w:t>0</w:t>
            </w:r>
          </w:p>
        </w:tc>
        <w:tc>
          <w:tcPr>
            <w:tcW w:w="797"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FE7B97" w:rsidRPr="003A2192" w:rsidP="0012722B">
            <w:pPr>
              <w:spacing w:line="240" w:lineRule="auto"/>
              <w:jc w:val="right"/>
              <w:rPr>
                <w:rFonts w:ascii="Arial Narrow" w:hAnsi="Arial Narrow" w:cs="Times New Roman"/>
                <w:sz w:val="18"/>
                <w:szCs w:val="18"/>
              </w:rPr>
            </w:pPr>
            <w:r w:rsidR="00747E2C">
              <w:rPr>
                <w:rFonts w:ascii="Arial Narrow" w:hAnsi="Arial Narrow" w:cs="Times New Roman"/>
                <w:sz w:val="18"/>
                <w:szCs w:val="18"/>
              </w:rPr>
              <w:t>505 268</w:t>
            </w:r>
          </w:p>
        </w:tc>
        <w:tc>
          <w:tcPr>
            <w:tcW w:w="746"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FE7B97" w:rsidRPr="003A2192" w:rsidP="0012722B">
            <w:pPr>
              <w:spacing w:line="240" w:lineRule="auto"/>
              <w:jc w:val="right"/>
              <w:rPr>
                <w:rFonts w:ascii="Arial Narrow" w:hAnsi="Arial Narrow" w:cs="Times New Roman"/>
                <w:sz w:val="18"/>
                <w:szCs w:val="18"/>
              </w:rPr>
            </w:pPr>
            <w:r w:rsidR="000E4613">
              <w:rPr>
                <w:rFonts w:ascii="Arial Narrow" w:hAnsi="Arial Narrow" w:cs="Times New Roman"/>
                <w:sz w:val="18"/>
                <w:szCs w:val="18"/>
              </w:rPr>
              <w:t>324 385</w:t>
            </w:r>
          </w:p>
        </w:tc>
        <w:tc>
          <w:tcPr>
            <w:tcW w:w="846"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FE7B97" w:rsidRPr="001769B6" w:rsidP="0012722B">
            <w:pPr>
              <w:spacing w:line="240" w:lineRule="auto"/>
              <w:jc w:val="right"/>
              <w:rPr>
                <w:rFonts w:ascii="Arial Narrow" w:hAnsi="Arial Narrow" w:cs="Times New Roman"/>
                <w:sz w:val="18"/>
                <w:szCs w:val="18"/>
              </w:rPr>
            </w:pPr>
            <w:r w:rsidR="00C50B46">
              <w:rPr>
                <w:rFonts w:ascii="Arial Narrow" w:hAnsi="Arial Narrow" w:cs="Times New Roman"/>
                <w:sz w:val="18"/>
                <w:szCs w:val="18"/>
              </w:rPr>
              <w:t>430 367</w:t>
            </w:r>
          </w:p>
        </w:tc>
        <w:tc>
          <w:tcPr>
            <w:tcW w:w="72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FE7B97" w:rsidRPr="001769B6" w:rsidP="0012722B">
            <w:pPr>
              <w:spacing w:line="240" w:lineRule="auto"/>
              <w:jc w:val="right"/>
              <w:rPr>
                <w:rFonts w:ascii="Arial Narrow" w:hAnsi="Arial Narrow" w:cs="Times New Roman"/>
                <w:sz w:val="18"/>
                <w:szCs w:val="18"/>
              </w:rPr>
            </w:pPr>
            <w:r w:rsidR="00C50B46">
              <w:rPr>
                <w:rFonts w:ascii="Arial Narrow" w:hAnsi="Arial Narrow" w:cs="Times New Roman"/>
                <w:sz w:val="18"/>
                <w:szCs w:val="18"/>
              </w:rPr>
              <w:t>52 348</w:t>
            </w:r>
          </w:p>
        </w:tc>
        <w:tc>
          <w:tcPr>
            <w:tcW w:w="938"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FE7B97" w:rsidRPr="001769B6" w:rsidP="0012722B">
            <w:pPr>
              <w:spacing w:line="240" w:lineRule="auto"/>
              <w:jc w:val="right"/>
              <w:rPr>
                <w:rFonts w:ascii="Arial Narrow" w:hAnsi="Arial Narrow" w:cs="Times New Roman"/>
                <w:sz w:val="18"/>
                <w:szCs w:val="18"/>
              </w:rPr>
            </w:pPr>
            <w:r w:rsidR="00C50B46">
              <w:rPr>
                <w:rFonts w:ascii="Arial Narrow" w:hAnsi="Arial Narrow" w:cs="Times New Roman"/>
                <w:sz w:val="18"/>
                <w:szCs w:val="18"/>
              </w:rPr>
              <w:t>482 715</w:t>
            </w:r>
          </w:p>
        </w:tc>
      </w:tr>
      <w:tr>
        <w:tblPrEx>
          <w:tblW w:w="10964" w:type="dxa"/>
          <w:tblInd w:w="-830" w:type="dxa"/>
          <w:tblCellMar>
            <w:left w:w="70" w:type="dxa"/>
            <w:right w:w="70" w:type="dxa"/>
          </w:tblCellMar>
        </w:tblPrEx>
        <w:trPr>
          <w:trHeight w:val="255"/>
        </w:trPr>
        <w:tc>
          <w:tcPr>
            <w:tcW w:w="216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FE7B97" w:rsidP="0012722B">
            <w:pPr>
              <w:spacing w:line="240" w:lineRule="auto"/>
              <w:jc w:val="left"/>
              <w:rPr>
                <w:rFonts w:ascii="Arial Narrow" w:hAnsi="Arial Narrow" w:cs="Times New Roman"/>
              </w:rPr>
            </w:pPr>
          </w:p>
        </w:tc>
        <w:tc>
          <w:tcPr>
            <w:tcW w:w="8804" w:type="dxa"/>
            <w:gridSpan w:val="11"/>
            <w:tcBorders>
              <w:top w:val="single" w:sz="4" w:space="0" w:color="auto"/>
              <w:left w:val="single" w:sz="4" w:space="0" w:color="auto"/>
              <w:bottom w:val="single" w:sz="4" w:space="0" w:color="auto"/>
              <w:right w:val="single" w:sz="4" w:space="0" w:color="auto"/>
              <w:tl2br w:val="nil"/>
              <w:tr2bl w:val="nil"/>
            </w:tcBorders>
            <w:shd w:val="clear" w:color="auto" w:fill="C0C0C0"/>
            <w:noWrap/>
            <w:textDirection w:val="lrTb"/>
            <w:vAlign w:val="center"/>
          </w:tcPr>
          <w:p w:rsidR="00FE7B97" w:rsidRPr="001769B6" w:rsidP="001769B6">
            <w:pPr>
              <w:spacing w:line="240" w:lineRule="auto"/>
              <w:jc w:val="center"/>
              <w:rPr>
                <w:rFonts w:ascii="Arial Narrow" w:hAnsi="Arial Narrow" w:cs="Times New Roman"/>
              </w:rPr>
            </w:pPr>
            <w:r w:rsidRPr="001769B6">
              <w:rPr>
                <w:rFonts w:ascii="Arial Narrow" w:hAnsi="Arial Narrow" w:cs="Times New Roman"/>
                <w:b/>
                <w:bCs/>
              </w:rPr>
              <w:t>Prvok 07S0605 Piešťany – Nové Mesto nad Váhom – projekt Kohézneho fondu</w:t>
            </w:r>
          </w:p>
        </w:tc>
      </w:tr>
      <w:tr>
        <w:tblPrEx>
          <w:tblW w:w="10964" w:type="dxa"/>
          <w:tblInd w:w="-830" w:type="dxa"/>
          <w:tblCellMar>
            <w:left w:w="70" w:type="dxa"/>
            <w:right w:w="70" w:type="dxa"/>
          </w:tblCellMar>
        </w:tblPrEx>
        <w:trPr>
          <w:trHeight w:val="255"/>
        </w:trPr>
        <w:tc>
          <w:tcPr>
            <w:tcW w:w="216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FE7B97" w:rsidP="0012722B">
            <w:pPr>
              <w:spacing w:line="240" w:lineRule="auto"/>
              <w:jc w:val="left"/>
              <w:rPr>
                <w:rFonts w:ascii="Arial Narrow" w:hAnsi="Arial Narrow" w:cs="Times New Roman"/>
              </w:rPr>
            </w:pPr>
            <w:r w:rsidR="00B77C06">
              <w:rPr>
                <w:rFonts w:ascii="Arial Narrow" w:hAnsi="Arial Narrow" w:cs="Arial"/>
              </w:rPr>
              <w:t>Piešťany</w:t>
            </w:r>
            <w:r w:rsidR="00870B87">
              <w:rPr>
                <w:rFonts w:ascii="Arial Narrow" w:hAnsi="Arial Narrow" w:cs="Arial"/>
              </w:rPr>
              <w:t xml:space="preserve"> – N. M. </w:t>
            </w:r>
            <w:r>
              <w:rPr>
                <w:rFonts w:ascii="Arial Narrow" w:hAnsi="Arial Narrow" w:cs="Arial"/>
              </w:rPr>
              <w:t xml:space="preserve">n/Váhom  </w:t>
            </w:r>
          </w:p>
        </w:tc>
        <w:tc>
          <w:tcPr>
            <w:tcW w:w="90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FE7B97" w:rsidRPr="001769B6" w:rsidP="0012722B">
            <w:pPr>
              <w:spacing w:line="240" w:lineRule="auto"/>
              <w:jc w:val="right"/>
              <w:rPr>
                <w:rFonts w:ascii="Arial Narrow" w:hAnsi="Arial Narrow" w:cs="Times New Roman"/>
                <w:sz w:val="18"/>
                <w:szCs w:val="18"/>
              </w:rPr>
            </w:pPr>
            <w:r w:rsidR="00B77C06">
              <w:rPr>
                <w:rFonts w:ascii="Arial Narrow" w:hAnsi="Arial Narrow" w:cs="Times New Roman"/>
                <w:sz w:val="18"/>
                <w:szCs w:val="18"/>
              </w:rPr>
              <w:t>1 414 854</w:t>
            </w:r>
          </w:p>
        </w:tc>
        <w:tc>
          <w:tcPr>
            <w:tcW w:w="72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FE7B97" w:rsidRPr="001769B6" w:rsidP="0012722B">
            <w:pPr>
              <w:spacing w:line="240" w:lineRule="auto"/>
              <w:jc w:val="right"/>
              <w:rPr>
                <w:rFonts w:ascii="Arial Narrow" w:hAnsi="Arial Narrow" w:cs="Times New Roman"/>
                <w:sz w:val="18"/>
                <w:szCs w:val="18"/>
              </w:rPr>
            </w:pPr>
            <w:r w:rsidR="00B77C06">
              <w:rPr>
                <w:rFonts w:ascii="Arial Narrow" w:hAnsi="Arial Narrow" w:cs="Times New Roman"/>
                <w:sz w:val="18"/>
                <w:szCs w:val="18"/>
              </w:rPr>
              <w:t>411 936</w:t>
            </w:r>
          </w:p>
        </w:tc>
        <w:tc>
          <w:tcPr>
            <w:tcW w:w="92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FE7B97" w:rsidRPr="001769B6" w:rsidP="0012722B">
            <w:pPr>
              <w:spacing w:line="240" w:lineRule="auto"/>
              <w:jc w:val="right"/>
              <w:rPr>
                <w:rFonts w:ascii="Arial Narrow" w:hAnsi="Arial Narrow" w:cs="Times New Roman"/>
                <w:sz w:val="18"/>
                <w:szCs w:val="18"/>
              </w:rPr>
            </w:pPr>
            <w:r>
              <w:rPr>
                <w:rFonts w:ascii="Arial Narrow" w:hAnsi="Arial Narrow" w:cs="Times New Roman"/>
                <w:sz w:val="18"/>
                <w:szCs w:val="18"/>
              </w:rPr>
              <w:t>1</w:t>
            </w:r>
            <w:r w:rsidR="00674E4C">
              <w:rPr>
                <w:rFonts w:ascii="Arial Narrow" w:hAnsi="Arial Narrow" w:cs="Times New Roman"/>
                <w:sz w:val="18"/>
                <w:szCs w:val="18"/>
              </w:rPr>
              <w:t> 576 888</w:t>
            </w:r>
          </w:p>
        </w:tc>
        <w:tc>
          <w:tcPr>
            <w:tcW w:w="70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FE7B97" w:rsidRPr="001769B6" w:rsidP="0012722B">
            <w:pPr>
              <w:spacing w:line="240" w:lineRule="auto"/>
              <w:jc w:val="right"/>
              <w:rPr>
                <w:rFonts w:ascii="Arial Narrow" w:hAnsi="Arial Narrow" w:cs="Times New Roman"/>
                <w:sz w:val="18"/>
                <w:szCs w:val="18"/>
              </w:rPr>
            </w:pPr>
            <w:r w:rsidR="003A3910">
              <w:rPr>
                <w:rFonts w:ascii="Arial Narrow" w:hAnsi="Arial Narrow" w:cs="Times New Roman"/>
                <w:sz w:val="18"/>
                <w:szCs w:val="18"/>
              </w:rPr>
              <w:t>346 685</w:t>
            </w:r>
          </w:p>
        </w:tc>
        <w:tc>
          <w:tcPr>
            <w:tcW w:w="797"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FE7B97" w:rsidRPr="001769B6" w:rsidP="0012722B">
            <w:pPr>
              <w:spacing w:line="240" w:lineRule="auto"/>
              <w:jc w:val="right"/>
              <w:rPr>
                <w:rFonts w:ascii="Arial Narrow" w:hAnsi="Arial Narrow" w:cs="Times New Roman"/>
                <w:sz w:val="18"/>
                <w:szCs w:val="18"/>
              </w:rPr>
            </w:pPr>
            <w:r w:rsidR="00747E2C">
              <w:rPr>
                <w:rFonts w:ascii="Arial Narrow" w:hAnsi="Arial Narrow" w:cs="Times New Roman"/>
                <w:sz w:val="18"/>
                <w:szCs w:val="18"/>
              </w:rPr>
              <w:t>0</w:t>
            </w:r>
          </w:p>
        </w:tc>
        <w:tc>
          <w:tcPr>
            <w:tcW w:w="72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FE7B97" w:rsidRPr="001769B6" w:rsidP="0012722B">
            <w:pPr>
              <w:spacing w:line="240" w:lineRule="auto"/>
              <w:jc w:val="right"/>
              <w:rPr>
                <w:rFonts w:ascii="Arial Narrow" w:hAnsi="Arial Narrow" w:cs="Times New Roman"/>
                <w:sz w:val="18"/>
                <w:szCs w:val="18"/>
              </w:rPr>
            </w:pPr>
            <w:r w:rsidR="00747E2C">
              <w:rPr>
                <w:rFonts w:ascii="Arial Narrow" w:hAnsi="Arial Narrow" w:cs="Times New Roman"/>
                <w:sz w:val="18"/>
                <w:szCs w:val="18"/>
              </w:rPr>
              <w:t>134 106</w:t>
            </w:r>
          </w:p>
        </w:tc>
        <w:tc>
          <w:tcPr>
            <w:tcW w:w="797"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FE7B97" w:rsidRPr="001769B6" w:rsidP="0012722B">
            <w:pPr>
              <w:spacing w:line="240" w:lineRule="auto"/>
              <w:jc w:val="right"/>
              <w:rPr>
                <w:rFonts w:ascii="Arial Narrow" w:hAnsi="Arial Narrow" w:cs="Times New Roman"/>
                <w:sz w:val="18"/>
                <w:szCs w:val="18"/>
              </w:rPr>
            </w:pPr>
            <w:r w:rsidR="007C6F45">
              <w:rPr>
                <w:rFonts w:ascii="Arial Narrow" w:hAnsi="Arial Narrow" w:cs="Times New Roman"/>
                <w:sz w:val="18"/>
                <w:szCs w:val="18"/>
              </w:rPr>
              <w:t>1 368 404</w:t>
            </w:r>
          </w:p>
        </w:tc>
        <w:tc>
          <w:tcPr>
            <w:tcW w:w="746"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FE7B97" w:rsidRPr="001769B6" w:rsidP="0012722B">
            <w:pPr>
              <w:spacing w:line="240" w:lineRule="auto"/>
              <w:jc w:val="right"/>
              <w:rPr>
                <w:rFonts w:ascii="Arial Narrow" w:hAnsi="Arial Narrow" w:cs="Times New Roman"/>
                <w:sz w:val="18"/>
                <w:szCs w:val="18"/>
              </w:rPr>
            </w:pPr>
            <w:r w:rsidR="007C6F45">
              <w:rPr>
                <w:rFonts w:ascii="Arial Narrow" w:hAnsi="Arial Narrow" w:cs="Times New Roman"/>
                <w:sz w:val="18"/>
                <w:szCs w:val="18"/>
              </w:rPr>
              <w:t>346 685</w:t>
            </w:r>
          </w:p>
        </w:tc>
        <w:tc>
          <w:tcPr>
            <w:tcW w:w="846"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FE7B97" w:rsidRPr="001769B6" w:rsidP="0012722B">
            <w:pPr>
              <w:spacing w:line="240" w:lineRule="auto"/>
              <w:jc w:val="right"/>
              <w:rPr>
                <w:rFonts w:ascii="Arial Narrow" w:hAnsi="Arial Narrow" w:cs="Times New Roman"/>
                <w:sz w:val="18"/>
                <w:szCs w:val="18"/>
              </w:rPr>
            </w:pPr>
            <w:r w:rsidR="00C50B46">
              <w:rPr>
                <w:rFonts w:ascii="Arial Narrow" w:hAnsi="Arial Narrow" w:cs="Times New Roman"/>
                <w:sz w:val="18"/>
                <w:szCs w:val="18"/>
              </w:rPr>
              <w:t>1 623 338</w:t>
            </w:r>
          </w:p>
        </w:tc>
        <w:tc>
          <w:tcPr>
            <w:tcW w:w="72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FE7B97" w:rsidRPr="001769B6" w:rsidP="0012722B">
            <w:pPr>
              <w:spacing w:line="240" w:lineRule="auto"/>
              <w:jc w:val="right"/>
              <w:rPr>
                <w:rFonts w:ascii="Arial Narrow" w:hAnsi="Arial Narrow" w:cs="Times New Roman"/>
                <w:sz w:val="18"/>
                <w:szCs w:val="18"/>
              </w:rPr>
            </w:pPr>
            <w:r w:rsidR="00C50B46">
              <w:rPr>
                <w:rFonts w:ascii="Arial Narrow" w:hAnsi="Arial Narrow" w:cs="Times New Roman"/>
                <w:sz w:val="18"/>
                <w:szCs w:val="18"/>
              </w:rPr>
              <w:t>277</w:t>
            </w:r>
            <w:r w:rsidR="00BF57A9">
              <w:rPr>
                <w:rFonts w:ascii="Arial Narrow" w:hAnsi="Arial Narrow" w:cs="Times New Roman"/>
                <w:sz w:val="18"/>
                <w:szCs w:val="18"/>
              </w:rPr>
              <w:t> </w:t>
            </w:r>
            <w:r w:rsidR="00C50B46">
              <w:rPr>
                <w:rFonts w:ascii="Arial Narrow" w:hAnsi="Arial Narrow" w:cs="Times New Roman"/>
                <w:sz w:val="18"/>
                <w:szCs w:val="18"/>
              </w:rPr>
              <w:t>830</w:t>
            </w:r>
          </w:p>
        </w:tc>
        <w:tc>
          <w:tcPr>
            <w:tcW w:w="938"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FE7B97" w:rsidRPr="001769B6" w:rsidP="0012722B">
            <w:pPr>
              <w:spacing w:line="240" w:lineRule="auto"/>
              <w:jc w:val="right"/>
              <w:rPr>
                <w:rFonts w:ascii="Arial Narrow" w:hAnsi="Arial Narrow" w:cs="Times New Roman"/>
                <w:sz w:val="18"/>
                <w:szCs w:val="18"/>
              </w:rPr>
            </w:pPr>
            <w:r w:rsidR="00BF57A9">
              <w:rPr>
                <w:rFonts w:ascii="Arial Narrow" w:hAnsi="Arial Narrow" w:cs="Times New Roman"/>
                <w:sz w:val="18"/>
                <w:szCs w:val="18"/>
              </w:rPr>
              <w:t>1 901 168</w:t>
            </w:r>
          </w:p>
        </w:tc>
      </w:tr>
      <w:tr>
        <w:tblPrEx>
          <w:tblW w:w="10964" w:type="dxa"/>
          <w:tblInd w:w="-830" w:type="dxa"/>
          <w:tblCellMar>
            <w:left w:w="70" w:type="dxa"/>
            <w:right w:w="70" w:type="dxa"/>
          </w:tblCellMar>
        </w:tblPrEx>
        <w:trPr>
          <w:trHeight w:val="255"/>
        </w:trPr>
        <w:tc>
          <w:tcPr>
            <w:tcW w:w="2160" w:type="dxa"/>
            <w:tcBorders>
              <w:top w:val="single" w:sz="4" w:space="0" w:color="auto"/>
              <w:left w:val="single" w:sz="4" w:space="0" w:color="auto"/>
              <w:bottom w:val="single" w:sz="4" w:space="0" w:color="auto"/>
              <w:right w:val="single" w:sz="4" w:space="0" w:color="auto"/>
              <w:tl2br w:val="nil"/>
              <w:tr2bl w:val="nil"/>
            </w:tcBorders>
            <w:shd w:val="clear" w:color="auto" w:fill="C0C0C0"/>
            <w:noWrap/>
            <w:textDirection w:val="lrTb"/>
            <w:vAlign w:val="center"/>
          </w:tcPr>
          <w:p w:rsidR="00FE7B97" w:rsidRPr="000B252F" w:rsidP="0012722B">
            <w:pPr>
              <w:spacing w:line="240" w:lineRule="auto"/>
              <w:jc w:val="left"/>
              <w:rPr>
                <w:rFonts w:ascii="Arial Narrow" w:hAnsi="Arial Narrow" w:cs="Times New Roman"/>
                <w:b/>
              </w:rPr>
            </w:pPr>
            <w:r w:rsidRPr="001D06AB">
              <w:rPr>
                <w:rFonts w:ascii="Arial Narrow" w:hAnsi="Arial Narrow" w:cs="Arial"/>
                <w:b/>
                <w:bCs/>
              </w:rPr>
              <w:t xml:space="preserve">Spolu </w:t>
            </w:r>
            <w:r>
              <w:rPr>
                <w:rFonts w:ascii="Arial Narrow" w:hAnsi="Arial Narrow" w:cs="Arial"/>
                <w:b/>
                <w:bCs/>
              </w:rPr>
              <w:t>ERDF + KF</w:t>
            </w:r>
          </w:p>
        </w:tc>
        <w:tc>
          <w:tcPr>
            <w:tcW w:w="900" w:type="dxa"/>
            <w:tcBorders>
              <w:top w:val="single" w:sz="4" w:space="0" w:color="auto"/>
              <w:left w:val="single" w:sz="4" w:space="0" w:color="auto"/>
              <w:bottom w:val="single" w:sz="4" w:space="0" w:color="auto"/>
              <w:right w:val="single" w:sz="4" w:space="0" w:color="auto"/>
              <w:tl2br w:val="nil"/>
              <w:tr2bl w:val="nil"/>
            </w:tcBorders>
            <w:shd w:val="clear" w:color="auto" w:fill="C0C0C0"/>
            <w:noWrap/>
            <w:textDirection w:val="lrTb"/>
            <w:vAlign w:val="center"/>
          </w:tcPr>
          <w:p w:rsidR="00FE7B97" w:rsidRPr="001769B6" w:rsidP="0012722B">
            <w:pPr>
              <w:spacing w:line="240" w:lineRule="auto"/>
              <w:jc w:val="right"/>
              <w:rPr>
                <w:rFonts w:ascii="Arial Narrow" w:hAnsi="Arial Narrow" w:cs="Times New Roman"/>
                <w:b/>
                <w:sz w:val="18"/>
                <w:szCs w:val="18"/>
              </w:rPr>
            </w:pPr>
            <w:r w:rsidR="00B77C06">
              <w:rPr>
                <w:rFonts w:ascii="Arial Narrow" w:hAnsi="Arial Narrow" w:cs="Times New Roman"/>
                <w:b/>
                <w:sz w:val="18"/>
                <w:szCs w:val="18"/>
              </w:rPr>
              <w:t>2 313 111</w:t>
            </w:r>
          </w:p>
        </w:tc>
        <w:tc>
          <w:tcPr>
            <w:tcW w:w="720" w:type="dxa"/>
            <w:tcBorders>
              <w:top w:val="single" w:sz="4" w:space="0" w:color="auto"/>
              <w:left w:val="single" w:sz="4" w:space="0" w:color="auto"/>
              <w:bottom w:val="single" w:sz="4" w:space="0" w:color="auto"/>
              <w:right w:val="single" w:sz="4" w:space="0" w:color="auto"/>
              <w:tl2br w:val="nil"/>
              <w:tr2bl w:val="nil"/>
            </w:tcBorders>
            <w:shd w:val="clear" w:color="auto" w:fill="C0C0C0"/>
            <w:noWrap/>
            <w:textDirection w:val="lrTb"/>
            <w:vAlign w:val="center"/>
          </w:tcPr>
          <w:p w:rsidR="00FE7B97" w:rsidRPr="001769B6" w:rsidP="0012722B">
            <w:pPr>
              <w:spacing w:line="240" w:lineRule="auto"/>
              <w:jc w:val="right"/>
              <w:rPr>
                <w:rFonts w:ascii="Arial Narrow" w:hAnsi="Arial Narrow" w:cs="Times New Roman"/>
                <w:b/>
                <w:sz w:val="18"/>
                <w:szCs w:val="18"/>
              </w:rPr>
            </w:pPr>
            <w:r w:rsidR="00B77C06">
              <w:rPr>
                <w:rFonts w:ascii="Arial Narrow" w:hAnsi="Arial Narrow" w:cs="Times New Roman"/>
                <w:b/>
                <w:sz w:val="18"/>
                <w:szCs w:val="18"/>
              </w:rPr>
              <w:t>411 936</w:t>
            </w:r>
          </w:p>
        </w:tc>
        <w:tc>
          <w:tcPr>
            <w:tcW w:w="920" w:type="dxa"/>
            <w:tcBorders>
              <w:top w:val="single" w:sz="4" w:space="0" w:color="auto"/>
              <w:left w:val="single" w:sz="4" w:space="0" w:color="auto"/>
              <w:bottom w:val="single" w:sz="4" w:space="0" w:color="auto"/>
              <w:right w:val="single" w:sz="4" w:space="0" w:color="auto"/>
              <w:tl2br w:val="nil"/>
              <w:tr2bl w:val="nil"/>
            </w:tcBorders>
            <w:shd w:val="clear" w:color="auto" w:fill="C0C0C0"/>
            <w:noWrap/>
            <w:textDirection w:val="lrTb"/>
            <w:vAlign w:val="center"/>
          </w:tcPr>
          <w:p w:rsidR="00FE7B97" w:rsidRPr="001769B6" w:rsidP="0012722B">
            <w:pPr>
              <w:spacing w:line="240" w:lineRule="auto"/>
              <w:jc w:val="right"/>
              <w:rPr>
                <w:rFonts w:ascii="Arial Narrow" w:hAnsi="Arial Narrow" w:cs="Times New Roman"/>
                <w:b/>
                <w:sz w:val="18"/>
                <w:szCs w:val="18"/>
              </w:rPr>
            </w:pPr>
            <w:r w:rsidR="003A3910">
              <w:rPr>
                <w:rFonts w:ascii="Arial Narrow" w:hAnsi="Arial Narrow" w:cs="Times New Roman"/>
                <w:b/>
                <w:sz w:val="18"/>
                <w:szCs w:val="18"/>
              </w:rPr>
              <w:t>2 082 156</w:t>
            </w:r>
          </w:p>
        </w:tc>
        <w:tc>
          <w:tcPr>
            <w:tcW w:w="700" w:type="dxa"/>
            <w:tcBorders>
              <w:top w:val="single" w:sz="4" w:space="0" w:color="auto"/>
              <w:left w:val="single" w:sz="4" w:space="0" w:color="auto"/>
              <w:bottom w:val="single" w:sz="4" w:space="0" w:color="auto"/>
              <w:right w:val="single" w:sz="4" w:space="0" w:color="auto"/>
              <w:tl2br w:val="nil"/>
              <w:tr2bl w:val="nil"/>
            </w:tcBorders>
            <w:shd w:val="clear" w:color="auto" w:fill="C0C0C0"/>
            <w:textDirection w:val="lrTb"/>
            <w:vAlign w:val="center"/>
          </w:tcPr>
          <w:p w:rsidR="00FE7B97" w:rsidRPr="001769B6" w:rsidP="0012722B">
            <w:pPr>
              <w:spacing w:line="240" w:lineRule="auto"/>
              <w:jc w:val="right"/>
              <w:rPr>
                <w:rFonts w:ascii="Arial Narrow" w:hAnsi="Arial Narrow" w:cs="Times New Roman"/>
                <w:b/>
                <w:sz w:val="18"/>
                <w:szCs w:val="18"/>
              </w:rPr>
            </w:pPr>
            <w:r w:rsidR="000476D2">
              <w:rPr>
                <w:rFonts w:ascii="Arial Narrow" w:hAnsi="Arial Narrow" w:cs="Times New Roman"/>
                <w:b/>
                <w:sz w:val="18"/>
                <w:szCs w:val="18"/>
              </w:rPr>
              <w:t>723 418</w:t>
            </w:r>
          </w:p>
        </w:tc>
        <w:tc>
          <w:tcPr>
            <w:tcW w:w="797" w:type="dxa"/>
            <w:tcBorders>
              <w:top w:val="single" w:sz="4" w:space="0" w:color="auto"/>
              <w:left w:val="single" w:sz="4" w:space="0" w:color="auto"/>
              <w:bottom w:val="single" w:sz="4" w:space="0" w:color="auto"/>
              <w:right w:val="single" w:sz="4" w:space="0" w:color="auto"/>
              <w:tl2br w:val="nil"/>
              <w:tr2bl w:val="nil"/>
            </w:tcBorders>
            <w:shd w:val="clear" w:color="auto" w:fill="C0C0C0"/>
            <w:noWrap/>
            <w:textDirection w:val="lrTb"/>
            <w:vAlign w:val="center"/>
          </w:tcPr>
          <w:p w:rsidR="00FE7B97" w:rsidRPr="003A3910" w:rsidP="0012722B">
            <w:pPr>
              <w:spacing w:line="240" w:lineRule="auto"/>
              <w:jc w:val="right"/>
              <w:rPr>
                <w:rFonts w:ascii="Arial Narrow" w:hAnsi="Arial Narrow" w:cs="Times New Roman"/>
                <w:b/>
                <w:sz w:val="18"/>
                <w:szCs w:val="18"/>
              </w:rPr>
            </w:pPr>
            <w:r w:rsidR="000476D2">
              <w:rPr>
                <w:rFonts w:ascii="Arial Narrow" w:hAnsi="Arial Narrow" w:cs="Times New Roman"/>
                <w:b/>
                <w:sz w:val="18"/>
                <w:szCs w:val="18"/>
              </w:rPr>
              <w:t>467 890</w:t>
            </w:r>
          </w:p>
        </w:tc>
        <w:tc>
          <w:tcPr>
            <w:tcW w:w="720" w:type="dxa"/>
            <w:tcBorders>
              <w:top w:val="single" w:sz="4" w:space="0" w:color="auto"/>
              <w:left w:val="single" w:sz="4" w:space="0" w:color="auto"/>
              <w:bottom w:val="single" w:sz="4" w:space="0" w:color="auto"/>
              <w:right w:val="single" w:sz="4" w:space="0" w:color="auto"/>
              <w:tl2br w:val="nil"/>
              <w:tr2bl w:val="nil"/>
            </w:tcBorders>
            <w:shd w:val="clear" w:color="auto" w:fill="C0C0C0"/>
            <w:noWrap/>
            <w:textDirection w:val="lrTb"/>
            <w:vAlign w:val="center"/>
          </w:tcPr>
          <w:p w:rsidR="00FE7B97" w:rsidRPr="003A3910" w:rsidP="0012722B">
            <w:pPr>
              <w:spacing w:line="240" w:lineRule="auto"/>
              <w:jc w:val="right"/>
              <w:rPr>
                <w:rFonts w:ascii="Arial Narrow" w:hAnsi="Arial Narrow" w:cs="Times New Roman"/>
                <w:b/>
                <w:sz w:val="18"/>
                <w:szCs w:val="18"/>
              </w:rPr>
            </w:pPr>
            <w:r w:rsidR="000476D2">
              <w:rPr>
                <w:rFonts w:ascii="Arial Narrow" w:hAnsi="Arial Narrow" w:cs="Times New Roman"/>
                <w:b/>
                <w:sz w:val="18"/>
                <w:szCs w:val="18"/>
              </w:rPr>
              <w:t>134 106</w:t>
            </w:r>
          </w:p>
        </w:tc>
        <w:tc>
          <w:tcPr>
            <w:tcW w:w="797" w:type="dxa"/>
            <w:tcBorders>
              <w:top w:val="single" w:sz="4" w:space="0" w:color="auto"/>
              <w:left w:val="single" w:sz="4" w:space="0" w:color="auto"/>
              <w:bottom w:val="single" w:sz="4" w:space="0" w:color="auto"/>
              <w:right w:val="single" w:sz="4" w:space="0" w:color="auto"/>
              <w:tl2br w:val="nil"/>
              <w:tr2bl w:val="nil"/>
            </w:tcBorders>
            <w:shd w:val="clear" w:color="auto" w:fill="C0C0C0"/>
            <w:noWrap/>
            <w:textDirection w:val="lrTb"/>
            <w:vAlign w:val="center"/>
          </w:tcPr>
          <w:p w:rsidR="00FE7B97" w:rsidRPr="001769B6" w:rsidP="0012722B">
            <w:pPr>
              <w:spacing w:line="240" w:lineRule="auto"/>
              <w:jc w:val="right"/>
              <w:rPr>
                <w:rFonts w:ascii="Arial Narrow" w:hAnsi="Arial Narrow" w:cs="Times New Roman"/>
                <w:b/>
                <w:sz w:val="18"/>
                <w:szCs w:val="18"/>
              </w:rPr>
            </w:pPr>
            <w:r w:rsidR="000476D2">
              <w:rPr>
                <w:rFonts w:ascii="Arial Narrow" w:hAnsi="Arial Narrow" w:cs="Times New Roman"/>
                <w:b/>
                <w:sz w:val="18"/>
                <w:szCs w:val="18"/>
              </w:rPr>
              <w:t>1 873 672</w:t>
            </w:r>
          </w:p>
        </w:tc>
        <w:tc>
          <w:tcPr>
            <w:tcW w:w="746" w:type="dxa"/>
            <w:tcBorders>
              <w:top w:val="single" w:sz="4" w:space="0" w:color="auto"/>
              <w:left w:val="single" w:sz="4" w:space="0" w:color="auto"/>
              <w:bottom w:val="single" w:sz="4" w:space="0" w:color="auto"/>
              <w:right w:val="single" w:sz="4" w:space="0" w:color="auto"/>
              <w:tl2br w:val="nil"/>
              <w:tr2bl w:val="nil"/>
            </w:tcBorders>
            <w:shd w:val="clear" w:color="auto" w:fill="C0C0C0"/>
            <w:textDirection w:val="lrTb"/>
            <w:vAlign w:val="center"/>
          </w:tcPr>
          <w:p w:rsidR="00FE7B97" w:rsidRPr="001769B6" w:rsidP="0012722B">
            <w:pPr>
              <w:spacing w:line="240" w:lineRule="auto"/>
              <w:jc w:val="right"/>
              <w:rPr>
                <w:rFonts w:ascii="Arial Narrow" w:hAnsi="Arial Narrow" w:cs="Times New Roman"/>
                <w:b/>
                <w:sz w:val="18"/>
                <w:szCs w:val="18"/>
              </w:rPr>
            </w:pPr>
            <w:r w:rsidR="000476D2">
              <w:rPr>
                <w:rFonts w:ascii="Arial Narrow" w:hAnsi="Arial Narrow" w:cs="Times New Roman"/>
                <w:b/>
                <w:sz w:val="18"/>
                <w:szCs w:val="18"/>
              </w:rPr>
              <w:t>671 070</w:t>
            </w:r>
          </w:p>
        </w:tc>
        <w:tc>
          <w:tcPr>
            <w:tcW w:w="846" w:type="dxa"/>
            <w:tcBorders>
              <w:top w:val="single" w:sz="4" w:space="0" w:color="auto"/>
              <w:left w:val="single" w:sz="4" w:space="0" w:color="auto"/>
              <w:bottom w:val="single" w:sz="4" w:space="0" w:color="auto"/>
              <w:right w:val="single" w:sz="4" w:space="0" w:color="auto"/>
              <w:tl2br w:val="nil"/>
              <w:tr2bl w:val="nil"/>
            </w:tcBorders>
            <w:shd w:val="clear" w:color="auto" w:fill="C0C0C0"/>
            <w:noWrap/>
            <w:textDirection w:val="lrTb"/>
            <w:vAlign w:val="center"/>
          </w:tcPr>
          <w:p w:rsidR="00FE7B97" w:rsidRPr="001769B6" w:rsidP="0012722B">
            <w:pPr>
              <w:spacing w:line="240" w:lineRule="auto"/>
              <w:jc w:val="right"/>
              <w:rPr>
                <w:rFonts w:ascii="Arial Narrow" w:hAnsi="Arial Narrow" w:cs="Times New Roman"/>
                <w:b/>
                <w:sz w:val="18"/>
                <w:szCs w:val="18"/>
              </w:rPr>
            </w:pPr>
            <w:r w:rsidR="000476D2">
              <w:rPr>
                <w:rFonts w:ascii="Arial Narrow" w:hAnsi="Arial Narrow" w:cs="Times New Roman"/>
                <w:b/>
                <w:sz w:val="18"/>
                <w:szCs w:val="18"/>
              </w:rPr>
              <w:t>2 053 705</w:t>
            </w:r>
          </w:p>
        </w:tc>
        <w:tc>
          <w:tcPr>
            <w:tcW w:w="720" w:type="dxa"/>
            <w:tcBorders>
              <w:top w:val="single" w:sz="4" w:space="0" w:color="auto"/>
              <w:left w:val="single" w:sz="4" w:space="0" w:color="auto"/>
              <w:bottom w:val="single" w:sz="4" w:space="0" w:color="auto"/>
              <w:right w:val="single" w:sz="4" w:space="0" w:color="auto"/>
              <w:tl2br w:val="nil"/>
              <w:tr2bl w:val="nil"/>
            </w:tcBorders>
            <w:shd w:val="clear" w:color="auto" w:fill="C0C0C0"/>
            <w:noWrap/>
            <w:textDirection w:val="lrTb"/>
            <w:vAlign w:val="center"/>
          </w:tcPr>
          <w:p w:rsidR="00FE7B97" w:rsidRPr="001769B6" w:rsidP="0012722B">
            <w:pPr>
              <w:spacing w:line="240" w:lineRule="auto"/>
              <w:jc w:val="right"/>
              <w:rPr>
                <w:rFonts w:ascii="Arial Narrow" w:hAnsi="Arial Narrow" w:cs="Times New Roman"/>
                <w:b/>
                <w:sz w:val="18"/>
                <w:szCs w:val="18"/>
              </w:rPr>
            </w:pPr>
            <w:r w:rsidR="000476D2">
              <w:rPr>
                <w:rFonts w:ascii="Arial Narrow" w:hAnsi="Arial Narrow" w:cs="Times New Roman"/>
                <w:b/>
                <w:sz w:val="18"/>
                <w:szCs w:val="18"/>
              </w:rPr>
              <w:t>330 178</w:t>
            </w:r>
          </w:p>
        </w:tc>
        <w:tc>
          <w:tcPr>
            <w:tcW w:w="938" w:type="dxa"/>
            <w:tcBorders>
              <w:top w:val="single" w:sz="4" w:space="0" w:color="auto"/>
              <w:left w:val="single" w:sz="4" w:space="0" w:color="auto"/>
              <w:bottom w:val="single" w:sz="4" w:space="0" w:color="auto"/>
              <w:right w:val="single" w:sz="4" w:space="0" w:color="auto"/>
              <w:tl2br w:val="nil"/>
              <w:tr2bl w:val="nil"/>
            </w:tcBorders>
            <w:shd w:val="clear" w:color="auto" w:fill="C0C0C0"/>
            <w:noWrap/>
            <w:textDirection w:val="lrTb"/>
            <w:vAlign w:val="center"/>
          </w:tcPr>
          <w:p w:rsidR="00FE7B97" w:rsidRPr="001769B6" w:rsidP="0012722B">
            <w:pPr>
              <w:spacing w:line="240" w:lineRule="auto"/>
              <w:jc w:val="right"/>
              <w:rPr>
                <w:rFonts w:ascii="Arial Narrow" w:hAnsi="Arial Narrow" w:cs="Times New Roman"/>
                <w:b/>
                <w:sz w:val="18"/>
                <w:szCs w:val="18"/>
              </w:rPr>
            </w:pPr>
            <w:r w:rsidR="000476D2">
              <w:rPr>
                <w:rFonts w:ascii="Arial Narrow" w:hAnsi="Arial Narrow" w:cs="Times New Roman"/>
                <w:b/>
                <w:sz w:val="18"/>
                <w:szCs w:val="18"/>
              </w:rPr>
              <w:t>2 383 883</w:t>
            </w:r>
          </w:p>
        </w:tc>
      </w:tr>
    </w:tbl>
    <w:p w:rsidR="00674E4C" w:rsidP="0034050B">
      <w:pPr>
        <w:spacing w:line="240" w:lineRule="auto"/>
        <w:ind w:firstLine="708"/>
        <w:rPr>
          <w:rFonts w:ascii="Times New Roman" w:hAnsi="Times New Roman" w:cs="Times New Roman"/>
          <w:b/>
          <w:i/>
          <w:sz w:val="26"/>
        </w:rPr>
      </w:pPr>
    </w:p>
    <w:p w:rsidR="003A2192" w:rsidRPr="0034050B" w:rsidP="0034050B">
      <w:pPr>
        <w:spacing w:line="240" w:lineRule="auto"/>
        <w:ind w:firstLine="708"/>
        <w:rPr>
          <w:rFonts w:ascii="Times New Roman" w:hAnsi="Times New Roman" w:cs="Times New Roman"/>
          <w:sz w:val="24"/>
          <w:szCs w:val="24"/>
        </w:rPr>
      </w:pPr>
      <w:r w:rsidRPr="0034050B" w:rsidR="00684D28">
        <w:rPr>
          <w:rFonts w:ascii="Times New Roman" w:hAnsi="Times New Roman" w:cs="Times New Roman"/>
          <w:sz w:val="24"/>
          <w:szCs w:val="24"/>
        </w:rPr>
        <w:t>Tabuľka poskytuje prehľad o čerpaní prostriedkov z rozpočtu EÚ a príslušného spolufinancovania zo štátneho rozpočtu</w:t>
      </w:r>
      <w:r w:rsidRPr="0034050B" w:rsidR="003A3910">
        <w:rPr>
          <w:rFonts w:ascii="Times New Roman" w:hAnsi="Times New Roman" w:cs="Times New Roman"/>
          <w:sz w:val="24"/>
          <w:szCs w:val="24"/>
        </w:rPr>
        <w:t xml:space="preserve"> 2007</w:t>
      </w:r>
      <w:r w:rsidRPr="0034050B" w:rsidR="00A95C2F">
        <w:rPr>
          <w:rFonts w:ascii="Times New Roman" w:hAnsi="Times New Roman" w:cs="Times New Roman"/>
          <w:sz w:val="24"/>
          <w:szCs w:val="24"/>
        </w:rPr>
        <w:t xml:space="preserve"> </w:t>
      </w:r>
      <w:r w:rsidRPr="0034050B">
        <w:rPr>
          <w:rFonts w:ascii="Times New Roman" w:hAnsi="Times New Roman" w:cs="Times New Roman"/>
          <w:sz w:val="24"/>
          <w:szCs w:val="24"/>
        </w:rPr>
        <w:t xml:space="preserve">podľa </w:t>
      </w:r>
      <w:r w:rsidRPr="0034050B" w:rsidR="00684D28">
        <w:rPr>
          <w:rFonts w:ascii="Times New Roman" w:hAnsi="Times New Roman" w:cs="Times New Roman"/>
          <w:sz w:val="24"/>
          <w:szCs w:val="24"/>
        </w:rPr>
        <w:t>investi</w:t>
      </w:r>
      <w:r w:rsidRPr="0034050B" w:rsidR="00A95C2F">
        <w:rPr>
          <w:rFonts w:ascii="Times New Roman" w:hAnsi="Times New Roman" w:cs="Times New Roman"/>
          <w:sz w:val="24"/>
          <w:szCs w:val="24"/>
        </w:rPr>
        <w:t xml:space="preserve">čných akcií Železníc. </w:t>
      </w:r>
    </w:p>
    <w:p w:rsidR="009D35A2" w:rsidP="0034050B">
      <w:pPr>
        <w:pStyle w:val="BodyTextIndent2"/>
        <w:spacing w:after="0" w:line="240" w:lineRule="auto"/>
        <w:ind w:left="0" w:firstLine="708"/>
        <w:rPr>
          <w:rFonts w:ascii="Times New Roman" w:hAnsi="Times New Roman" w:cs="Times New Roman"/>
          <w:sz w:val="24"/>
          <w:szCs w:val="24"/>
        </w:rPr>
      </w:pPr>
      <w:r w:rsidRPr="0034050B" w:rsidR="00A95C2F">
        <w:rPr>
          <w:rFonts w:ascii="Times New Roman" w:hAnsi="Times New Roman" w:cs="Times New Roman"/>
          <w:sz w:val="24"/>
          <w:szCs w:val="24"/>
        </w:rPr>
        <w:t xml:space="preserve">Na projekt </w:t>
      </w:r>
      <w:r w:rsidRPr="0034050B" w:rsidR="00A95C2F">
        <w:rPr>
          <w:rFonts w:ascii="Times New Roman" w:hAnsi="Times New Roman" w:cs="Times New Roman"/>
          <w:b/>
          <w:sz w:val="24"/>
          <w:szCs w:val="24"/>
        </w:rPr>
        <w:t xml:space="preserve">Kohézneho fondu „Modernizácia </w:t>
      </w:r>
      <w:r w:rsidRPr="0034050B" w:rsidR="005F25ED">
        <w:rPr>
          <w:rFonts w:ascii="Times New Roman" w:hAnsi="Times New Roman" w:cs="Times New Roman"/>
          <w:b/>
          <w:sz w:val="24"/>
          <w:szCs w:val="24"/>
        </w:rPr>
        <w:t xml:space="preserve">železničnej trate Trnava </w:t>
      </w:r>
      <w:r w:rsidRPr="0034050B" w:rsidR="00A95C2F">
        <w:rPr>
          <w:rFonts w:ascii="Times New Roman" w:hAnsi="Times New Roman" w:cs="Times New Roman"/>
          <w:b/>
          <w:sz w:val="24"/>
          <w:szCs w:val="24"/>
        </w:rPr>
        <w:t>– Nové Mesto nad Váhom</w:t>
      </w:r>
      <w:r w:rsidRPr="0034050B" w:rsidR="005F25ED">
        <w:rPr>
          <w:rFonts w:ascii="Times New Roman" w:hAnsi="Times New Roman" w:cs="Times New Roman"/>
          <w:b/>
          <w:sz w:val="24"/>
          <w:szCs w:val="24"/>
        </w:rPr>
        <w:t>, v žkm 47,55-100,50 pre traťovú rýchlosť 160km/hod, II. etapa</w:t>
      </w:r>
      <w:r w:rsidRPr="0034050B" w:rsidR="00A95C2F">
        <w:rPr>
          <w:rFonts w:ascii="Times New Roman" w:hAnsi="Times New Roman" w:cs="Times New Roman"/>
          <w:b/>
          <w:sz w:val="24"/>
          <w:szCs w:val="24"/>
        </w:rPr>
        <w:t>“</w:t>
      </w:r>
      <w:r w:rsidRPr="0034050B" w:rsidR="00A95C2F">
        <w:rPr>
          <w:rFonts w:ascii="Times New Roman" w:hAnsi="Times New Roman" w:cs="Times New Roman"/>
          <w:sz w:val="24"/>
          <w:szCs w:val="24"/>
        </w:rPr>
        <w:t xml:space="preserve"> bolo určených v roku </w:t>
      </w:r>
      <w:r w:rsidRPr="0034050B" w:rsidR="005F25ED">
        <w:rPr>
          <w:rFonts w:ascii="Times New Roman" w:hAnsi="Times New Roman" w:cs="Times New Roman"/>
          <w:sz w:val="24"/>
          <w:szCs w:val="24"/>
        </w:rPr>
        <w:t>2007</w:t>
      </w:r>
      <w:r w:rsidRPr="0034050B" w:rsidR="002B40DB">
        <w:rPr>
          <w:rFonts w:ascii="Times New Roman" w:hAnsi="Times New Roman" w:cs="Times New Roman"/>
          <w:sz w:val="24"/>
          <w:szCs w:val="24"/>
        </w:rPr>
        <w:t>, vrátane</w:t>
      </w:r>
      <w:r w:rsidRPr="0034050B" w:rsidR="005F25ED">
        <w:rPr>
          <w:rFonts w:ascii="Times New Roman" w:hAnsi="Times New Roman" w:cs="Times New Roman"/>
          <w:sz w:val="24"/>
          <w:szCs w:val="24"/>
        </w:rPr>
        <w:t xml:space="preserve"> zdrojov presunutých z minulých rokov</w:t>
      </w:r>
      <w:r w:rsidRPr="0034050B" w:rsidR="002B40DB">
        <w:rPr>
          <w:rFonts w:ascii="Times New Roman" w:hAnsi="Times New Roman" w:cs="Times New Roman"/>
          <w:sz w:val="24"/>
          <w:szCs w:val="24"/>
        </w:rPr>
        <w:t xml:space="preserve">, </w:t>
      </w:r>
      <w:r w:rsidRPr="0034050B" w:rsidR="00A95C2F">
        <w:rPr>
          <w:rFonts w:ascii="Times New Roman" w:hAnsi="Times New Roman" w:cs="Times New Roman"/>
          <w:sz w:val="24"/>
          <w:szCs w:val="24"/>
        </w:rPr>
        <w:t xml:space="preserve">celkovo </w:t>
      </w:r>
      <w:r w:rsidRPr="0034050B" w:rsidR="005F25ED">
        <w:rPr>
          <w:rFonts w:ascii="Times New Roman" w:hAnsi="Times New Roman" w:cs="Times New Roman"/>
          <w:sz w:val="24"/>
          <w:szCs w:val="24"/>
        </w:rPr>
        <w:t xml:space="preserve"> 3 750 363 </w:t>
      </w:r>
      <w:r w:rsidRPr="0034050B" w:rsidR="0054246D">
        <w:rPr>
          <w:rFonts w:ascii="Times New Roman" w:hAnsi="Times New Roman" w:cs="Times New Roman"/>
          <w:sz w:val="24"/>
          <w:szCs w:val="24"/>
        </w:rPr>
        <w:t xml:space="preserve">tis. </w:t>
      </w:r>
      <w:r w:rsidRPr="0034050B" w:rsidR="002B40DB">
        <w:rPr>
          <w:rFonts w:ascii="Times New Roman" w:hAnsi="Times New Roman" w:cs="Times New Roman"/>
          <w:sz w:val="24"/>
          <w:szCs w:val="24"/>
        </w:rPr>
        <w:t xml:space="preserve">Sk, z toho </w:t>
      </w:r>
      <w:r w:rsidRPr="0034050B" w:rsidR="005F25ED">
        <w:rPr>
          <w:rFonts w:ascii="Times New Roman" w:hAnsi="Times New Roman" w:cs="Times New Roman"/>
          <w:sz w:val="24"/>
          <w:szCs w:val="24"/>
        </w:rPr>
        <w:t xml:space="preserve">prostriedkov z EÚ vo výške </w:t>
      </w:r>
      <w:r w:rsidRPr="0034050B" w:rsidR="0054246D">
        <w:rPr>
          <w:rFonts w:ascii="Times New Roman" w:hAnsi="Times New Roman" w:cs="Times New Roman"/>
          <w:sz w:val="24"/>
          <w:szCs w:val="24"/>
        </w:rPr>
        <w:t xml:space="preserve"> </w:t>
      </w:r>
      <w:r w:rsidRPr="0034050B" w:rsidR="005F25ED">
        <w:rPr>
          <w:rFonts w:ascii="Times New Roman" w:hAnsi="Times New Roman" w:cs="Times New Roman"/>
          <w:sz w:val="24"/>
          <w:szCs w:val="24"/>
        </w:rPr>
        <w:t xml:space="preserve">2 991 742 </w:t>
      </w:r>
      <w:r w:rsidRPr="0034050B" w:rsidR="0054246D">
        <w:rPr>
          <w:rFonts w:ascii="Times New Roman" w:hAnsi="Times New Roman" w:cs="Times New Roman"/>
          <w:sz w:val="24"/>
          <w:szCs w:val="24"/>
        </w:rPr>
        <w:t xml:space="preserve">tis. </w:t>
      </w:r>
      <w:r w:rsidRPr="0034050B" w:rsidR="002B40DB">
        <w:rPr>
          <w:rFonts w:ascii="Times New Roman" w:hAnsi="Times New Roman" w:cs="Times New Roman"/>
          <w:sz w:val="24"/>
          <w:szCs w:val="24"/>
        </w:rPr>
        <w:t>Sk a príslušné spolufinancovan</w:t>
      </w:r>
      <w:r w:rsidRPr="0034050B" w:rsidR="005F25ED">
        <w:rPr>
          <w:rFonts w:ascii="Times New Roman" w:hAnsi="Times New Roman" w:cs="Times New Roman"/>
          <w:sz w:val="24"/>
          <w:szCs w:val="24"/>
        </w:rPr>
        <w:t xml:space="preserve">ie zo ŠR vo výške 758 621 </w:t>
      </w:r>
      <w:r w:rsidRPr="0034050B" w:rsidR="0054246D">
        <w:rPr>
          <w:rFonts w:ascii="Times New Roman" w:hAnsi="Times New Roman" w:cs="Times New Roman"/>
          <w:sz w:val="24"/>
          <w:szCs w:val="24"/>
        </w:rPr>
        <w:t xml:space="preserve">tis. </w:t>
      </w:r>
      <w:r w:rsidRPr="0034050B" w:rsidR="002B40DB">
        <w:rPr>
          <w:rFonts w:ascii="Times New Roman" w:hAnsi="Times New Roman" w:cs="Times New Roman"/>
          <w:sz w:val="24"/>
          <w:szCs w:val="24"/>
        </w:rPr>
        <w:t>Sk</w:t>
      </w:r>
      <w:r w:rsidRPr="0034050B" w:rsidR="005F25ED">
        <w:rPr>
          <w:rFonts w:ascii="Times New Roman" w:hAnsi="Times New Roman" w:cs="Times New Roman"/>
          <w:sz w:val="24"/>
          <w:szCs w:val="24"/>
        </w:rPr>
        <w:t>. Použitých bolo cca 1 849 195 tis. Sk, do roku 2008 presunutých 1 901 168</w:t>
      </w:r>
      <w:r w:rsidRPr="0034050B" w:rsidR="0054246D">
        <w:rPr>
          <w:rFonts w:ascii="Times New Roman" w:hAnsi="Times New Roman" w:cs="Times New Roman"/>
          <w:sz w:val="24"/>
          <w:szCs w:val="24"/>
        </w:rPr>
        <w:t xml:space="preserve"> tis. Sk. </w:t>
      </w:r>
      <w:r w:rsidRPr="0034050B" w:rsidR="00A95C2F">
        <w:rPr>
          <w:rFonts w:ascii="Times New Roman" w:hAnsi="Times New Roman" w:cs="Times New Roman"/>
          <w:sz w:val="24"/>
          <w:szCs w:val="24"/>
        </w:rPr>
        <w:t>Práce na stavbe boli realizované podľa upraveného harmon</w:t>
      </w:r>
      <w:r w:rsidRPr="0034050B" w:rsidR="0054246D">
        <w:rPr>
          <w:rFonts w:ascii="Times New Roman" w:hAnsi="Times New Roman" w:cs="Times New Roman"/>
          <w:sz w:val="24"/>
          <w:szCs w:val="24"/>
        </w:rPr>
        <w:t>ogramu prác</w:t>
      </w:r>
      <w:r w:rsidRPr="0034050B" w:rsidR="005F25ED">
        <w:rPr>
          <w:rFonts w:ascii="Times New Roman" w:hAnsi="Times New Roman" w:cs="Times New Roman"/>
          <w:sz w:val="24"/>
          <w:szCs w:val="24"/>
        </w:rPr>
        <w:t xml:space="preserve"> v súlade s uzatvorenou zmluvou</w:t>
      </w:r>
      <w:r w:rsidRPr="0034050B" w:rsidR="0054246D">
        <w:rPr>
          <w:rFonts w:ascii="Times New Roman" w:hAnsi="Times New Roman" w:cs="Times New Roman"/>
          <w:sz w:val="24"/>
          <w:szCs w:val="24"/>
        </w:rPr>
        <w:t>.</w:t>
      </w:r>
      <w:r w:rsidRPr="0034050B" w:rsidR="008361FC">
        <w:rPr>
          <w:rFonts w:ascii="Times New Roman" w:hAnsi="Times New Roman" w:cs="Times New Roman"/>
          <w:sz w:val="24"/>
          <w:szCs w:val="24"/>
        </w:rPr>
        <w:t xml:space="preserve"> Zdroje neboli vyčerpané v plnej výške, pretože </w:t>
      </w:r>
      <w:r w:rsidRPr="0034050B" w:rsidR="00A95C2F">
        <w:rPr>
          <w:rFonts w:ascii="Times New Roman" w:hAnsi="Times New Roman" w:cs="Times New Roman"/>
          <w:sz w:val="24"/>
          <w:szCs w:val="24"/>
        </w:rPr>
        <w:t xml:space="preserve">pridelený limit </w:t>
      </w:r>
      <w:r w:rsidRPr="0034050B" w:rsidR="005F25ED">
        <w:rPr>
          <w:rFonts w:ascii="Times New Roman" w:hAnsi="Times New Roman" w:cs="Times New Roman"/>
          <w:sz w:val="24"/>
          <w:szCs w:val="24"/>
        </w:rPr>
        <w:t>na rok 2007</w:t>
      </w:r>
      <w:r w:rsidRPr="0034050B" w:rsidR="0054246D">
        <w:rPr>
          <w:rFonts w:ascii="Times New Roman" w:hAnsi="Times New Roman" w:cs="Times New Roman"/>
          <w:sz w:val="24"/>
          <w:szCs w:val="24"/>
        </w:rPr>
        <w:t xml:space="preserve"> </w:t>
      </w:r>
      <w:r w:rsidRPr="0034050B" w:rsidR="00A95C2F">
        <w:rPr>
          <w:rFonts w:ascii="Times New Roman" w:hAnsi="Times New Roman" w:cs="Times New Roman"/>
          <w:sz w:val="24"/>
          <w:szCs w:val="24"/>
        </w:rPr>
        <w:t xml:space="preserve">presiahol potrebu ŽSR v danom roku. Vysoký limit </w:t>
      </w:r>
      <w:r w:rsidRPr="0034050B" w:rsidR="005F25ED">
        <w:rPr>
          <w:rFonts w:ascii="Times New Roman" w:hAnsi="Times New Roman" w:cs="Times New Roman"/>
          <w:sz w:val="24"/>
          <w:szCs w:val="24"/>
        </w:rPr>
        <w:t>pre rok 2007</w:t>
      </w:r>
      <w:r w:rsidRPr="0034050B" w:rsidR="0054246D">
        <w:rPr>
          <w:rFonts w:ascii="Times New Roman" w:hAnsi="Times New Roman" w:cs="Times New Roman"/>
          <w:sz w:val="24"/>
          <w:szCs w:val="24"/>
        </w:rPr>
        <w:t xml:space="preserve"> </w:t>
      </w:r>
      <w:r w:rsidRPr="0034050B" w:rsidR="00A95C2F">
        <w:rPr>
          <w:rFonts w:ascii="Times New Roman" w:hAnsi="Times New Roman" w:cs="Times New Roman"/>
          <w:sz w:val="24"/>
          <w:szCs w:val="24"/>
        </w:rPr>
        <w:t>vzni</w:t>
      </w:r>
      <w:r w:rsidRPr="0034050B">
        <w:rPr>
          <w:rFonts w:ascii="Times New Roman" w:hAnsi="Times New Roman" w:cs="Times New Roman"/>
          <w:sz w:val="24"/>
          <w:szCs w:val="24"/>
        </w:rPr>
        <w:t xml:space="preserve">kol presunom nevyčerpaných </w:t>
      </w:r>
      <w:r w:rsidRPr="0034050B" w:rsidR="0054246D">
        <w:rPr>
          <w:rFonts w:ascii="Times New Roman" w:hAnsi="Times New Roman" w:cs="Times New Roman"/>
          <w:sz w:val="24"/>
          <w:szCs w:val="24"/>
        </w:rPr>
        <w:t>prostriedko</w:t>
      </w:r>
      <w:r w:rsidRPr="0034050B" w:rsidR="005F25ED">
        <w:rPr>
          <w:rFonts w:ascii="Times New Roman" w:hAnsi="Times New Roman" w:cs="Times New Roman"/>
          <w:sz w:val="24"/>
          <w:szCs w:val="24"/>
        </w:rPr>
        <w:t>v z minulých rokov</w:t>
      </w:r>
      <w:r w:rsidRPr="0034050B" w:rsidR="008361FC">
        <w:rPr>
          <w:rFonts w:ascii="Times New Roman" w:hAnsi="Times New Roman" w:cs="Times New Roman"/>
          <w:sz w:val="24"/>
          <w:szCs w:val="24"/>
        </w:rPr>
        <w:t xml:space="preserve">. Presun bol realizovaný </w:t>
      </w:r>
      <w:r w:rsidRPr="0034050B">
        <w:rPr>
          <w:rFonts w:ascii="Times New Roman" w:hAnsi="Times New Roman" w:cs="Times New Roman"/>
          <w:sz w:val="24"/>
          <w:szCs w:val="24"/>
        </w:rPr>
        <w:t xml:space="preserve">z dôvodu posunutia </w:t>
      </w:r>
      <w:r w:rsidRPr="0034050B" w:rsidR="00A95C2F">
        <w:rPr>
          <w:rFonts w:ascii="Times New Roman" w:hAnsi="Times New Roman" w:cs="Times New Roman"/>
          <w:sz w:val="24"/>
          <w:szCs w:val="24"/>
        </w:rPr>
        <w:t xml:space="preserve">termínu začatia stavby z roku 2005 na rok </w:t>
      </w:r>
      <w:r w:rsidR="0034050B">
        <w:rPr>
          <w:rFonts w:ascii="Times New Roman" w:hAnsi="Times New Roman" w:cs="Times New Roman"/>
          <w:sz w:val="24"/>
          <w:szCs w:val="24"/>
        </w:rPr>
        <w:t>2006,</w:t>
      </w:r>
      <w:r w:rsidR="00EB5C51">
        <w:rPr>
          <w:rFonts w:ascii="Times New Roman" w:hAnsi="Times New Roman" w:cs="Times New Roman"/>
          <w:sz w:val="24"/>
          <w:szCs w:val="24"/>
        </w:rPr>
        <w:t xml:space="preserve"> čo bolo zapríčinené viacnásobný</w:t>
      </w:r>
      <w:r w:rsidR="0034050B">
        <w:rPr>
          <w:rFonts w:ascii="Times New Roman" w:hAnsi="Times New Roman" w:cs="Times New Roman"/>
          <w:sz w:val="24"/>
          <w:szCs w:val="24"/>
        </w:rPr>
        <w:t>m</w:t>
      </w:r>
      <w:r w:rsidRPr="0034050B" w:rsidR="008361FC">
        <w:rPr>
          <w:rFonts w:ascii="Times New Roman" w:hAnsi="Times New Roman" w:cs="Times New Roman"/>
          <w:sz w:val="24"/>
          <w:szCs w:val="24"/>
        </w:rPr>
        <w:t xml:space="preserve"> </w:t>
      </w:r>
      <w:r w:rsidR="0034050B">
        <w:rPr>
          <w:rFonts w:ascii="Times New Roman" w:hAnsi="Times New Roman" w:cs="Times New Roman"/>
          <w:sz w:val="24"/>
          <w:szCs w:val="24"/>
        </w:rPr>
        <w:t xml:space="preserve">opakovaním </w:t>
      </w:r>
      <w:r w:rsidRPr="0034050B" w:rsidR="00A95C2F">
        <w:rPr>
          <w:rFonts w:ascii="Times New Roman" w:hAnsi="Times New Roman" w:cs="Times New Roman"/>
          <w:sz w:val="24"/>
          <w:szCs w:val="24"/>
        </w:rPr>
        <w:t>súťaž</w:t>
      </w:r>
      <w:r w:rsidRPr="0034050B" w:rsidR="0054246D">
        <w:rPr>
          <w:rFonts w:ascii="Times New Roman" w:hAnsi="Times New Roman" w:cs="Times New Roman"/>
          <w:sz w:val="24"/>
          <w:szCs w:val="24"/>
        </w:rPr>
        <w:t xml:space="preserve">í </w:t>
      </w:r>
      <w:r w:rsidRPr="0034050B" w:rsidR="00A95C2F">
        <w:rPr>
          <w:rFonts w:ascii="Times New Roman" w:hAnsi="Times New Roman" w:cs="Times New Roman"/>
          <w:sz w:val="24"/>
          <w:szCs w:val="24"/>
        </w:rPr>
        <w:t xml:space="preserve">na výber zhotoviteľa a stavebného dozoru. </w:t>
      </w:r>
    </w:p>
    <w:p w:rsidR="0034050B" w:rsidRPr="0034050B" w:rsidP="0034050B">
      <w:pPr>
        <w:pStyle w:val="BodyTextIndent2"/>
        <w:spacing w:after="0" w:line="240" w:lineRule="auto"/>
        <w:ind w:left="0" w:firstLine="708"/>
        <w:rPr>
          <w:rFonts w:ascii="Times New Roman" w:hAnsi="Times New Roman" w:cs="Times New Roman"/>
          <w:sz w:val="24"/>
          <w:szCs w:val="24"/>
        </w:rPr>
      </w:pPr>
    </w:p>
    <w:p w:rsidR="004B73C3" w:rsidRPr="004B73C3" w:rsidP="0034050B">
      <w:pPr>
        <w:spacing w:line="240" w:lineRule="auto"/>
        <w:jc w:val="center"/>
        <w:rPr>
          <w:rFonts w:ascii="Times New Roman" w:hAnsi="Times New Roman" w:cs="Times New Roman"/>
          <w:sz w:val="24"/>
          <w:szCs w:val="24"/>
        </w:rPr>
      </w:pPr>
      <w:r w:rsidRPr="004B73C3">
        <w:rPr>
          <w:rFonts w:ascii="Times New Roman" w:hAnsi="Times New Roman" w:cs="Times New Roman"/>
          <w:sz w:val="24"/>
          <w:szCs w:val="24"/>
        </w:rPr>
        <w:t xml:space="preserve">Celkový pohľad na </w:t>
      </w:r>
      <w:r>
        <w:rPr>
          <w:rFonts w:ascii="Times New Roman" w:hAnsi="Times New Roman" w:cs="Times New Roman"/>
          <w:sz w:val="24"/>
          <w:szCs w:val="24"/>
        </w:rPr>
        <w:t xml:space="preserve">projekt </w:t>
      </w:r>
      <w:r w:rsidRPr="004B73C3">
        <w:rPr>
          <w:rFonts w:ascii="Times New Roman" w:hAnsi="Times New Roman" w:cs="Times New Roman"/>
          <w:sz w:val="24"/>
          <w:szCs w:val="24"/>
        </w:rPr>
        <w:t>„Modernizácia železničnej trate Trnava – Nové Mesto nad Váhom, v žkm 47,55-100,50 pre traťovú rýchlosť 160km/hod, II. etapa“</w:t>
      </w:r>
    </w:p>
    <w:p w:rsidR="004B73C3" w:rsidRPr="004B73C3" w:rsidP="0034050B">
      <w:pPr>
        <w:spacing w:line="240" w:lineRule="auto"/>
        <w:rPr>
          <w:rFonts w:ascii="Arial Narrow" w:hAnsi="Arial Narrow" w:cs="Times New Roman"/>
        </w:rPr>
      </w:pPr>
      <w:r w:rsidRPr="004B73C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B73C3">
        <w:rPr>
          <w:rFonts w:ascii="Arial Narrow" w:hAnsi="Arial Narrow" w:cs="Times New Roman"/>
        </w:rPr>
        <w:t>(v tis. Sk)</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
      <w:tblGrid>
        <w:gridCol w:w="1368"/>
        <w:gridCol w:w="1080"/>
        <w:gridCol w:w="1080"/>
        <w:gridCol w:w="1080"/>
        <w:gridCol w:w="1080"/>
        <w:gridCol w:w="1080"/>
        <w:gridCol w:w="1080"/>
      </w:tblGrid>
      <w:tr>
        <w:tblPrEx>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rPr>
          <w:trHeight w:hRule="auto" w:val="0"/>
        </w:trPr>
        <w:tc>
          <w:tcPr>
            <w:tcW w:w="136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4B73C3" w:rsidRPr="004B73C3" w:rsidP="0034050B">
            <w:pPr>
              <w:spacing w:line="240" w:lineRule="auto"/>
              <w:rPr>
                <w:rFonts w:ascii="Arial Narrow" w:hAnsi="Arial Narrow" w:cs="Times New Roman"/>
              </w:rPr>
            </w:pPr>
          </w:p>
        </w:tc>
        <w:tc>
          <w:tcPr>
            <w:tcW w:w="108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4B73C3" w:rsidRPr="004B73C3" w:rsidP="0034050B">
            <w:pPr>
              <w:spacing w:line="240" w:lineRule="auto"/>
              <w:jc w:val="center"/>
              <w:rPr>
                <w:rFonts w:ascii="Arial Narrow" w:hAnsi="Arial Narrow" w:cs="Times New Roman"/>
                <w:b/>
              </w:rPr>
            </w:pPr>
            <w:r w:rsidRPr="004B73C3">
              <w:rPr>
                <w:rFonts w:ascii="Arial Narrow" w:hAnsi="Arial Narrow" w:cs="Times New Roman"/>
                <w:b/>
              </w:rPr>
              <w:t>Celková alokácia</w:t>
            </w:r>
          </w:p>
        </w:tc>
        <w:tc>
          <w:tcPr>
            <w:tcW w:w="108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4B73C3" w:rsidRPr="004B73C3" w:rsidP="0034050B">
            <w:pPr>
              <w:spacing w:line="240" w:lineRule="auto"/>
              <w:jc w:val="center"/>
              <w:rPr>
                <w:rFonts w:ascii="Arial Narrow" w:hAnsi="Arial Narrow" w:cs="Times New Roman"/>
                <w:b/>
              </w:rPr>
            </w:pPr>
            <w:r w:rsidRPr="004B73C3">
              <w:rPr>
                <w:rFonts w:ascii="Arial Narrow" w:hAnsi="Arial Narrow" w:cs="Times New Roman"/>
                <w:b/>
              </w:rPr>
              <w:t>Čerpanie v r. 2006</w:t>
            </w:r>
          </w:p>
        </w:tc>
        <w:tc>
          <w:tcPr>
            <w:tcW w:w="108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4B73C3" w:rsidRPr="004B73C3" w:rsidP="0034050B">
            <w:pPr>
              <w:spacing w:line="240" w:lineRule="auto"/>
              <w:jc w:val="center"/>
              <w:rPr>
                <w:rFonts w:ascii="Arial Narrow" w:hAnsi="Arial Narrow" w:cs="Times New Roman"/>
                <w:b/>
              </w:rPr>
            </w:pPr>
            <w:r w:rsidRPr="004B73C3">
              <w:rPr>
                <w:rFonts w:ascii="Arial Narrow" w:hAnsi="Arial Narrow" w:cs="Times New Roman"/>
                <w:b/>
              </w:rPr>
              <w:t>Čerpanie v r. 2007</w:t>
            </w:r>
          </w:p>
        </w:tc>
        <w:tc>
          <w:tcPr>
            <w:tcW w:w="108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4B73C3" w:rsidRPr="004B73C3" w:rsidP="0034050B">
            <w:pPr>
              <w:spacing w:line="240" w:lineRule="auto"/>
              <w:jc w:val="center"/>
              <w:rPr>
                <w:rFonts w:ascii="Arial Narrow" w:hAnsi="Arial Narrow" w:cs="Times New Roman"/>
                <w:b/>
              </w:rPr>
            </w:pPr>
            <w:r w:rsidRPr="004B73C3">
              <w:rPr>
                <w:rFonts w:ascii="Arial Narrow" w:hAnsi="Arial Narrow" w:cs="Times New Roman"/>
                <w:b/>
              </w:rPr>
              <w:t>Presun do r. 2008</w:t>
            </w:r>
          </w:p>
        </w:tc>
        <w:tc>
          <w:tcPr>
            <w:tcW w:w="108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4B73C3" w:rsidRPr="004B73C3" w:rsidP="0034050B">
            <w:pPr>
              <w:spacing w:line="240" w:lineRule="auto"/>
              <w:jc w:val="center"/>
              <w:rPr>
                <w:rFonts w:ascii="Arial Narrow" w:hAnsi="Arial Narrow" w:cs="Times New Roman"/>
                <w:b/>
              </w:rPr>
            </w:pPr>
            <w:r w:rsidRPr="004B73C3">
              <w:rPr>
                <w:rFonts w:ascii="Arial Narrow" w:hAnsi="Arial Narrow" w:cs="Times New Roman"/>
                <w:b/>
              </w:rPr>
              <w:t>Úprava rozpočtu v r. 2008</w:t>
            </w:r>
          </w:p>
        </w:tc>
        <w:tc>
          <w:tcPr>
            <w:tcW w:w="108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4B73C3" w:rsidRPr="004B73C3" w:rsidP="0034050B">
            <w:pPr>
              <w:spacing w:line="240" w:lineRule="auto"/>
              <w:jc w:val="center"/>
              <w:rPr>
                <w:rFonts w:ascii="Arial Narrow" w:hAnsi="Arial Narrow" w:cs="Times New Roman"/>
                <w:b/>
              </w:rPr>
            </w:pPr>
            <w:r w:rsidRPr="004B73C3">
              <w:rPr>
                <w:rFonts w:ascii="Arial Narrow" w:hAnsi="Arial Narrow" w:cs="Times New Roman"/>
                <w:b/>
              </w:rPr>
              <w:t>Spolu</w:t>
            </w:r>
          </w:p>
        </w:tc>
      </w:tr>
      <w:tr>
        <w:tblPrEx>
          <w:tblW w:w="0" w:type="auto"/>
          <w:tblInd w:w="468" w:type="dxa"/>
          <w:tblLayout w:type="fixed"/>
        </w:tblPrEx>
        <w:trPr>
          <w:trHeight w:hRule="auto" w:val="0"/>
        </w:trPr>
        <w:tc>
          <w:tcPr>
            <w:tcW w:w="1368"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4B73C3" w:rsidRPr="004B73C3" w:rsidP="0034050B">
            <w:pPr>
              <w:spacing w:line="240" w:lineRule="auto"/>
              <w:rPr>
                <w:rFonts w:ascii="Arial Narrow" w:hAnsi="Arial Narrow" w:cs="Times New Roman"/>
                <w:b/>
              </w:rPr>
            </w:pPr>
            <w:r w:rsidRPr="004B73C3">
              <w:rPr>
                <w:rFonts w:ascii="Arial Narrow" w:hAnsi="Arial Narrow" w:cs="Times New Roman"/>
                <w:b/>
              </w:rPr>
              <w:t>Spolu</w:t>
            </w:r>
          </w:p>
        </w:tc>
        <w:tc>
          <w:tcPr>
            <w:tcW w:w="108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4B73C3" w:rsidRPr="004B73C3" w:rsidP="0034050B">
            <w:pPr>
              <w:spacing w:line="240" w:lineRule="auto"/>
              <w:jc w:val="right"/>
              <w:rPr>
                <w:rFonts w:ascii="Arial Narrow" w:hAnsi="Arial Narrow" w:cs="Times New Roman"/>
                <w:b/>
              </w:rPr>
            </w:pPr>
            <w:r w:rsidRPr="004B73C3">
              <w:rPr>
                <w:rFonts w:ascii="Arial Narrow" w:hAnsi="Arial Narrow" w:cs="Times New Roman"/>
                <w:b/>
              </w:rPr>
              <w:t>3 507 886</w:t>
            </w:r>
          </w:p>
        </w:tc>
        <w:tc>
          <w:tcPr>
            <w:tcW w:w="108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4B73C3" w:rsidRPr="004B73C3" w:rsidP="0034050B">
            <w:pPr>
              <w:spacing w:line="240" w:lineRule="auto"/>
              <w:jc w:val="right"/>
              <w:rPr>
                <w:rFonts w:ascii="Arial Narrow" w:hAnsi="Arial Narrow" w:cs="Times New Roman"/>
                <w:b/>
              </w:rPr>
            </w:pPr>
            <w:r w:rsidRPr="004B73C3">
              <w:rPr>
                <w:rFonts w:ascii="Arial Narrow" w:hAnsi="Arial Narrow" w:cs="Times New Roman"/>
                <w:b/>
              </w:rPr>
              <w:t>590 111</w:t>
            </w:r>
          </w:p>
        </w:tc>
        <w:tc>
          <w:tcPr>
            <w:tcW w:w="108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4B73C3" w:rsidRPr="004B73C3" w:rsidP="0034050B">
            <w:pPr>
              <w:spacing w:line="240" w:lineRule="auto"/>
              <w:jc w:val="right"/>
              <w:rPr>
                <w:rFonts w:ascii="Arial Narrow" w:hAnsi="Arial Narrow" w:cs="Times New Roman"/>
                <w:b/>
              </w:rPr>
            </w:pPr>
            <w:r w:rsidRPr="004B73C3">
              <w:rPr>
                <w:rFonts w:ascii="Arial Narrow" w:hAnsi="Arial Narrow" w:cs="Times New Roman"/>
                <w:b/>
              </w:rPr>
              <w:t>1 849 195</w:t>
            </w:r>
          </w:p>
        </w:tc>
        <w:tc>
          <w:tcPr>
            <w:tcW w:w="108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4B73C3" w:rsidRPr="004B73C3" w:rsidP="0034050B">
            <w:pPr>
              <w:spacing w:line="240" w:lineRule="auto"/>
              <w:jc w:val="right"/>
              <w:rPr>
                <w:rFonts w:ascii="Arial Narrow" w:hAnsi="Arial Narrow" w:cs="Times New Roman"/>
                <w:b/>
              </w:rPr>
            </w:pPr>
            <w:r w:rsidRPr="004B73C3">
              <w:rPr>
                <w:rFonts w:ascii="Arial Narrow" w:hAnsi="Arial Narrow" w:cs="Times New Roman"/>
                <w:b/>
              </w:rPr>
              <w:t>1 901 168</w:t>
            </w:r>
          </w:p>
        </w:tc>
        <w:tc>
          <w:tcPr>
            <w:tcW w:w="108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4B73C3" w:rsidRPr="004B73C3" w:rsidP="0034050B">
            <w:pPr>
              <w:spacing w:line="240" w:lineRule="auto"/>
              <w:jc w:val="right"/>
              <w:rPr>
                <w:rFonts w:ascii="Arial Narrow" w:hAnsi="Arial Narrow" w:cs="Times New Roman"/>
                <w:b/>
              </w:rPr>
            </w:pPr>
            <w:r w:rsidRPr="004B73C3">
              <w:rPr>
                <w:rFonts w:ascii="Arial Narrow" w:hAnsi="Arial Narrow" w:cs="Times New Roman"/>
                <w:b/>
              </w:rPr>
              <w:t>- 832 588</w:t>
            </w:r>
          </w:p>
        </w:tc>
        <w:tc>
          <w:tcPr>
            <w:tcW w:w="108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4B73C3" w:rsidRPr="004B73C3" w:rsidP="0034050B">
            <w:pPr>
              <w:spacing w:line="240" w:lineRule="auto"/>
              <w:jc w:val="right"/>
              <w:rPr>
                <w:rFonts w:ascii="Arial Narrow" w:hAnsi="Arial Narrow" w:cs="Times New Roman"/>
                <w:b/>
              </w:rPr>
            </w:pPr>
            <w:r w:rsidRPr="004B73C3">
              <w:rPr>
                <w:rFonts w:ascii="Arial Narrow" w:hAnsi="Arial Narrow" w:cs="Times New Roman"/>
                <w:b/>
              </w:rPr>
              <w:t>3 507 886</w:t>
            </w:r>
          </w:p>
        </w:tc>
      </w:tr>
      <w:tr>
        <w:tblPrEx>
          <w:tblW w:w="0" w:type="auto"/>
          <w:tblInd w:w="468" w:type="dxa"/>
          <w:tblLayout w:type="fixed"/>
        </w:tblPrEx>
        <w:trPr>
          <w:trHeight w:hRule="auto" w:val="0"/>
        </w:trPr>
        <w:tc>
          <w:tcPr>
            <w:tcW w:w="1368"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4B73C3" w:rsidRPr="004B73C3" w:rsidP="0034050B">
            <w:pPr>
              <w:spacing w:line="240" w:lineRule="auto"/>
              <w:rPr>
                <w:rFonts w:ascii="Arial Narrow" w:hAnsi="Arial Narrow" w:cs="Times New Roman"/>
              </w:rPr>
            </w:pPr>
            <w:r>
              <w:rPr>
                <w:rFonts w:ascii="Arial Narrow" w:hAnsi="Arial Narrow" w:cs="Times New Roman"/>
              </w:rPr>
              <w:t xml:space="preserve">prostriedky </w:t>
            </w:r>
            <w:r w:rsidRPr="004B73C3">
              <w:rPr>
                <w:rFonts w:ascii="Arial Narrow" w:hAnsi="Arial Narrow" w:cs="Times New Roman"/>
              </w:rPr>
              <w:t>ES</w:t>
            </w:r>
          </w:p>
        </w:tc>
        <w:tc>
          <w:tcPr>
            <w:tcW w:w="108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4B73C3" w:rsidRPr="004B73C3" w:rsidP="0034050B">
            <w:pPr>
              <w:spacing w:line="240" w:lineRule="auto"/>
              <w:jc w:val="right"/>
              <w:rPr>
                <w:rFonts w:ascii="Arial Narrow" w:hAnsi="Arial Narrow" w:cs="Times New Roman"/>
              </w:rPr>
            </w:pPr>
            <w:r w:rsidRPr="004B73C3">
              <w:rPr>
                <w:rFonts w:ascii="Arial Narrow" w:hAnsi="Arial Narrow" w:cs="Times New Roman"/>
              </w:rPr>
              <w:t>2 595 836</w:t>
            </w:r>
          </w:p>
        </w:tc>
        <w:tc>
          <w:tcPr>
            <w:tcW w:w="108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4B73C3" w:rsidRPr="004B73C3" w:rsidP="0034050B">
            <w:pPr>
              <w:spacing w:line="240" w:lineRule="auto"/>
              <w:jc w:val="right"/>
              <w:rPr>
                <w:rFonts w:ascii="Arial Narrow" w:hAnsi="Arial Narrow" w:cs="Times New Roman"/>
              </w:rPr>
            </w:pPr>
            <w:r w:rsidRPr="004B73C3">
              <w:rPr>
                <w:rFonts w:ascii="Arial Narrow" w:hAnsi="Arial Narrow" w:cs="Times New Roman"/>
              </w:rPr>
              <w:t>436 682</w:t>
            </w:r>
          </w:p>
        </w:tc>
        <w:tc>
          <w:tcPr>
            <w:tcW w:w="108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4B73C3" w:rsidRPr="004B73C3" w:rsidP="0034050B">
            <w:pPr>
              <w:spacing w:line="240" w:lineRule="auto"/>
              <w:jc w:val="right"/>
              <w:rPr>
                <w:rFonts w:ascii="Arial Narrow" w:hAnsi="Arial Narrow" w:cs="Times New Roman"/>
              </w:rPr>
            </w:pPr>
            <w:r w:rsidRPr="004B73C3">
              <w:rPr>
                <w:rFonts w:ascii="Arial Narrow" w:hAnsi="Arial Narrow" w:cs="Times New Roman"/>
              </w:rPr>
              <w:t>1 368 404</w:t>
            </w:r>
          </w:p>
        </w:tc>
        <w:tc>
          <w:tcPr>
            <w:tcW w:w="108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4B73C3" w:rsidRPr="004B73C3" w:rsidP="0034050B">
            <w:pPr>
              <w:spacing w:line="240" w:lineRule="auto"/>
              <w:jc w:val="right"/>
              <w:rPr>
                <w:rFonts w:ascii="Arial Narrow" w:hAnsi="Arial Narrow" w:cs="Times New Roman"/>
              </w:rPr>
            </w:pPr>
            <w:r w:rsidRPr="004B73C3">
              <w:rPr>
                <w:rFonts w:ascii="Arial Narrow" w:hAnsi="Arial Narrow" w:cs="Times New Roman"/>
              </w:rPr>
              <w:t>1 623 338</w:t>
            </w:r>
          </w:p>
        </w:tc>
        <w:tc>
          <w:tcPr>
            <w:tcW w:w="108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4B73C3" w:rsidRPr="004B73C3" w:rsidP="0034050B">
            <w:pPr>
              <w:spacing w:line="240" w:lineRule="auto"/>
              <w:jc w:val="right"/>
              <w:rPr>
                <w:rFonts w:ascii="Arial Narrow" w:hAnsi="Arial Narrow" w:cs="Times New Roman"/>
              </w:rPr>
            </w:pPr>
            <w:r w:rsidRPr="004B73C3">
              <w:rPr>
                <w:rFonts w:ascii="Arial Narrow" w:hAnsi="Arial Narrow" w:cs="Times New Roman"/>
              </w:rPr>
              <w:t>-  832 588</w:t>
            </w:r>
          </w:p>
        </w:tc>
        <w:tc>
          <w:tcPr>
            <w:tcW w:w="108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4B73C3" w:rsidRPr="004B73C3" w:rsidP="0034050B">
            <w:pPr>
              <w:spacing w:line="240" w:lineRule="auto"/>
              <w:jc w:val="right"/>
              <w:rPr>
                <w:rFonts w:ascii="Arial Narrow" w:hAnsi="Arial Narrow" w:cs="Times New Roman"/>
              </w:rPr>
            </w:pPr>
            <w:r w:rsidRPr="004B73C3">
              <w:rPr>
                <w:rFonts w:ascii="Arial Narrow" w:hAnsi="Arial Narrow" w:cs="Times New Roman"/>
              </w:rPr>
              <w:t xml:space="preserve"> 2 595 836</w:t>
            </w:r>
          </w:p>
        </w:tc>
      </w:tr>
      <w:tr>
        <w:tblPrEx>
          <w:tblW w:w="0" w:type="auto"/>
          <w:tblInd w:w="468" w:type="dxa"/>
          <w:tblLayout w:type="fixed"/>
        </w:tblPrEx>
        <w:trPr>
          <w:trHeight w:hRule="auto" w:val="0"/>
        </w:trPr>
        <w:tc>
          <w:tcPr>
            <w:tcW w:w="1368"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4B73C3" w:rsidRPr="004B73C3" w:rsidP="0034050B">
            <w:pPr>
              <w:spacing w:line="240" w:lineRule="auto"/>
              <w:rPr>
                <w:rFonts w:ascii="Arial Narrow" w:hAnsi="Arial Narrow" w:cs="Times New Roman"/>
              </w:rPr>
            </w:pPr>
            <w:r w:rsidRPr="004B73C3">
              <w:rPr>
                <w:rFonts w:ascii="Arial Narrow" w:hAnsi="Arial Narrow" w:cs="Times New Roman"/>
              </w:rPr>
              <w:t>spolufin.</w:t>
            </w:r>
            <w:r>
              <w:rPr>
                <w:rFonts w:ascii="Arial Narrow" w:hAnsi="Arial Narrow" w:cs="Times New Roman"/>
              </w:rPr>
              <w:t xml:space="preserve"> zo ŠR</w:t>
            </w:r>
          </w:p>
        </w:tc>
        <w:tc>
          <w:tcPr>
            <w:tcW w:w="108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4B73C3" w:rsidRPr="004B73C3" w:rsidP="0034050B">
            <w:pPr>
              <w:spacing w:line="240" w:lineRule="auto"/>
              <w:jc w:val="right"/>
              <w:rPr>
                <w:rFonts w:ascii="Arial Narrow" w:hAnsi="Arial Narrow" w:cs="Times New Roman"/>
              </w:rPr>
            </w:pPr>
            <w:r w:rsidRPr="004B73C3">
              <w:rPr>
                <w:rFonts w:ascii="Arial Narrow" w:hAnsi="Arial Narrow" w:cs="Times New Roman"/>
              </w:rPr>
              <w:t xml:space="preserve">   912 050</w:t>
            </w:r>
          </w:p>
        </w:tc>
        <w:tc>
          <w:tcPr>
            <w:tcW w:w="108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4B73C3" w:rsidRPr="004B73C3" w:rsidP="0034050B">
            <w:pPr>
              <w:spacing w:line="240" w:lineRule="auto"/>
              <w:jc w:val="right"/>
              <w:rPr>
                <w:rFonts w:ascii="Arial Narrow" w:hAnsi="Arial Narrow" w:cs="Times New Roman"/>
              </w:rPr>
            </w:pPr>
            <w:r w:rsidRPr="004B73C3">
              <w:rPr>
                <w:rFonts w:ascii="Arial Narrow" w:hAnsi="Arial Narrow" w:cs="Times New Roman"/>
              </w:rPr>
              <w:t>153 429</w:t>
            </w:r>
          </w:p>
        </w:tc>
        <w:tc>
          <w:tcPr>
            <w:tcW w:w="108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4B73C3" w:rsidRPr="004B73C3" w:rsidP="0034050B">
            <w:pPr>
              <w:spacing w:line="240" w:lineRule="auto"/>
              <w:jc w:val="right"/>
              <w:rPr>
                <w:rFonts w:ascii="Arial Narrow" w:hAnsi="Arial Narrow" w:cs="Times New Roman"/>
              </w:rPr>
            </w:pPr>
            <w:r w:rsidRPr="004B73C3">
              <w:rPr>
                <w:rFonts w:ascii="Arial Narrow" w:hAnsi="Arial Narrow" w:cs="Times New Roman"/>
              </w:rPr>
              <w:t xml:space="preserve">   480 791</w:t>
            </w:r>
          </w:p>
        </w:tc>
        <w:tc>
          <w:tcPr>
            <w:tcW w:w="108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4B73C3" w:rsidRPr="004B73C3" w:rsidP="0034050B">
            <w:pPr>
              <w:spacing w:line="240" w:lineRule="auto"/>
              <w:jc w:val="right"/>
              <w:rPr>
                <w:rFonts w:ascii="Arial Narrow" w:hAnsi="Arial Narrow" w:cs="Times New Roman"/>
              </w:rPr>
            </w:pPr>
            <w:r w:rsidRPr="004B73C3">
              <w:rPr>
                <w:rFonts w:ascii="Arial Narrow" w:hAnsi="Arial Narrow" w:cs="Times New Roman"/>
              </w:rPr>
              <w:t xml:space="preserve">   277 830</w:t>
            </w:r>
          </w:p>
        </w:tc>
        <w:tc>
          <w:tcPr>
            <w:tcW w:w="108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4B73C3" w:rsidRPr="004B73C3" w:rsidP="0034050B">
            <w:pPr>
              <w:spacing w:line="240" w:lineRule="auto"/>
              <w:jc w:val="right"/>
              <w:rPr>
                <w:rFonts w:ascii="Arial Narrow" w:hAnsi="Arial Narrow" w:cs="Times New Roman"/>
              </w:rPr>
            </w:pPr>
            <w:r w:rsidRPr="004B73C3">
              <w:rPr>
                <w:rFonts w:ascii="Arial Narrow" w:hAnsi="Arial Narrow" w:cs="Times New Roman"/>
              </w:rPr>
              <w:t xml:space="preserve">              0</w:t>
            </w:r>
          </w:p>
        </w:tc>
        <w:tc>
          <w:tcPr>
            <w:tcW w:w="108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4B73C3" w:rsidRPr="004B73C3" w:rsidP="0034050B">
            <w:pPr>
              <w:spacing w:line="240" w:lineRule="auto"/>
              <w:jc w:val="right"/>
              <w:rPr>
                <w:rFonts w:ascii="Arial Narrow" w:hAnsi="Arial Narrow" w:cs="Times New Roman"/>
              </w:rPr>
            </w:pPr>
            <w:r w:rsidRPr="004B73C3">
              <w:rPr>
                <w:rFonts w:ascii="Arial Narrow" w:hAnsi="Arial Narrow" w:cs="Times New Roman"/>
              </w:rPr>
              <w:t xml:space="preserve">    912 050</w:t>
            </w:r>
          </w:p>
        </w:tc>
      </w:tr>
    </w:tbl>
    <w:p w:rsidR="004B73C3" w:rsidRPr="004B73C3" w:rsidP="0034050B">
      <w:pPr>
        <w:spacing w:line="240" w:lineRule="auto"/>
        <w:rPr>
          <w:rFonts w:ascii="Times New Roman" w:hAnsi="Times New Roman" w:cs="Times New Roman"/>
          <w:sz w:val="24"/>
          <w:szCs w:val="24"/>
        </w:rPr>
      </w:pPr>
    </w:p>
    <w:p w:rsidR="004B73C3" w:rsidRPr="00E26F84" w:rsidP="0034050B">
      <w:pPr>
        <w:spacing w:line="240" w:lineRule="auto"/>
        <w:ind w:firstLine="708"/>
        <w:rPr>
          <w:rFonts w:ascii="Times New Roman" w:hAnsi="Times New Roman" w:cs="Times New Roman"/>
          <w:sz w:val="24"/>
          <w:szCs w:val="24"/>
        </w:rPr>
      </w:pPr>
      <w:r w:rsidRPr="004B73C3">
        <w:rPr>
          <w:rFonts w:ascii="Times New Roman" w:hAnsi="Times New Roman" w:cs="Times New Roman"/>
          <w:sz w:val="24"/>
          <w:szCs w:val="24"/>
        </w:rPr>
        <w:t>Celková alokácia na projekt podľa Rozhodnutia ES (prepočítaná kurzom ku dňu podpisu rozhodnutia 39,275 SKK/EUR) je 3 507 886 tis</w:t>
      </w:r>
      <w:r>
        <w:rPr>
          <w:rFonts w:ascii="Times New Roman" w:hAnsi="Times New Roman" w:cs="Times New Roman"/>
          <w:sz w:val="24"/>
          <w:szCs w:val="24"/>
        </w:rPr>
        <w:t xml:space="preserve">. Sk. </w:t>
      </w:r>
      <w:r w:rsidRPr="004B73C3">
        <w:rPr>
          <w:rFonts w:ascii="Times New Roman" w:hAnsi="Times New Roman" w:cs="Times New Roman"/>
          <w:sz w:val="24"/>
          <w:szCs w:val="24"/>
        </w:rPr>
        <w:t>Rozpočtovo alokované výdavky na projekt (čerpanie 2006, čerpanie 2007</w:t>
      </w:r>
      <w:r>
        <w:rPr>
          <w:rFonts w:ascii="Times New Roman" w:hAnsi="Times New Roman" w:cs="Times New Roman"/>
          <w:sz w:val="24"/>
          <w:szCs w:val="24"/>
        </w:rPr>
        <w:t xml:space="preserve"> a  presun do roku </w:t>
      </w:r>
      <w:r w:rsidRPr="004B73C3">
        <w:rPr>
          <w:rFonts w:ascii="Times New Roman" w:hAnsi="Times New Roman" w:cs="Times New Roman"/>
          <w:sz w:val="24"/>
          <w:szCs w:val="24"/>
        </w:rPr>
        <w:t xml:space="preserve">2008) predstavujú sumu 4 340 474 tis. Sk, čo je o 832 588 tis. Sk viac ako bola schválená alokácia Rozhodnutím ES. </w:t>
      </w:r>
      <w:r>
        <w:rPr>
          <w:rFonts w:ascii="Times New Roman" w:hAnsi="Times New Roman" w:cs="Times New Roman"/>
          <w:sz w:val="24"/>
          <w:szCs w:val="24"/>
        </w:rPr>
        <w:t xml:space="preserve">Z uvedeného dôvodu </w:t>
      </w:r>
      <w:r w:rsidRPr="004B73C3">
        <w:rPr>
          <w:rFonts w:ascii="Times New Roman" w:hAnsi="Times New Roman" w:cs="Times New Roman"/>
          <w:sz w:val="24"/>
          <w:szCs w:val="24"/>
        </w:rPr>
        <w:t>MDPT SR požiadalo 10.3.2008 o zníženie rozpočtu príjmov aj výdavkov na uvedený projekt o 832 588 tis. Sk. Po tejto úprave budú rozpočtovo alokované výdavky na projekt v rovnakej výške ako alokované v</w:t>
      </w:r>
      <w:r w:rsidR="009E35D7">
        <w:rPr>
          <w:rFonts w:ascii="Times New Roman" w:hAnsi="Times New Roman" w:cs="Times New Roman"/>
          <w:sz w:val="24"/>
          <w:szCs w:val="24"/>
        </w:rPr>
        <w:t xml:space="preserve">ýdavky v zmysle Rozhodnutia ES, </w:t>
      </w:r>
      <w:r w:rsidR="0034050B">
        <w:rPr>
          <w:rFonts w:ascii="Times New Roman" w:hAnsi="Times New Roman" w:cs="Times New Roman"/>
          <w:sz w:val="24"/>
          <w:szCs w:val="24"/>
        </w:rPr>
        <w:t xml:space="preserve">t.j. v sume 3 507 886 tis. Sk. </w:t>
      </w:r>
    </w:p>
    <w:p w:rsidR="00F30398" w:rsidP="00E26F84">
      <w:pPr>
        <w:spacing w:line="240" w:lineRule="auto"/>
        <w:ind w:firstLine="708"/>
        <w:rPr>
          <w:rFonts w:ascii="Times New Roman" w:hAnsi="Times New Roman" w:cs="Times New Roman"/>
          <w:sz w:val="24"/>
          <w:szCs w:val="24"/>
        </w:rPr>
      </w:pPr>
      <w:r w:rsidR="00B20BFE">
        <w:rPr>
          <w:rFonts w:ascii="Times New Roman" w:hAnsi="Times New Roman" w:cs="Times New Roman"/>
          <w:sz w:val="24"/>
          <w:szCs w:val="24"/>
        </w:rPr>
        <w:t>Na projekty</w:t>
      </w:r>
      <w:r w:rsidRPr="00E26F84" w:rsidR="00684D28">
        <w:rPr>
          <w:rFonts w:ascii="Times New Roman" w:hAnsi="Times New Roman" w:cs="Times New Roman"/>
          <w:sz w:val="24"/>
          <w:szCs w:val="24"/>
        </w:rPr>
        <w:t xml:space="preserve"> </w:t>
      </w:r>
      <w:r w:rsidR="00B20BFE">
        <w:rPr>
          <w:rFonts w:ascii="Times New Roman" w:hAnsi="Times New Roman" w:cs="Times New Roman"/>
          <w:sz w:val="24"/>
          <w:szCs w:val="24"/>
        </w:rPr>
        <w:t xml:space="preserve">v rámci </w:t>
      </w:r>
      <w:r w:rsidRPr="00E26F84" w:rsidR="00E26F84">
        <w:rPr>
          <w:rFonts w:ascii="Times New Roman" w:hAnsi="Times New Roman" w:cs="Times New Roman"/>
          <w:b/>
          <w:sz w:val="24"/>
          <w:szCs w:val="24"/>
        </w:rPr>
        <w:t>Operačného programu základná infraštruktúra – opatrenie 1.1.</w:t>
      </w:r>
      <w:r w:rsidRPr="00E26F84" w:rsidR="00E26F84">
        <w:rPr>
          <w:rFonts w:ascii="Times New Roman" w:hAnsi="Times New Roman" w:cs="Times New Roman"/>
          <w:sz w:val="24"/>
          <w:szCs w:val="24"/>
        </w:rPr>
        <w:t xml:space="preserve"> </w:t>
      </w:r>
      <w:r>
        <w:rPr>
          <w:rFonts w:ascii="Times New Roman" w:hAnsi="Times New Roman" w:cs="Times New Roman"/>
          <w:sz w:val="24"/>
          <w:szCs w:val="24"/>
        </w:rPr>
        <w:t>bolo určených v roku 2007</w:t>
      </w:r>
      <w:r w:rsidR="00B20BFE">
        <w:rPr>
          <w:rFonts w:ascii="Times New Roman" w:hAnsi="Times New Roman" w:cs="Times New Roman"/>
          <w:sz w:val="24"/>
          <w:szCs w:val="24"/>
        </w:rPr>
        <w:t>, vrátane</w:t>
      </w:r>
      <w:r>
        <w:rPr>
          <w:rFonts w:ascii="Times New Roman" w:hAnsi="Times New Roman" w:cs="Times New Roman"/>
          <w:sz w:val="24"/>
          <w:szCs w:val="24"/>
        </w:rPr>
        <w:t xml:space="preserve"> zdrojov presunutých z minulých rokov, celkovo  1 780 258 </w:t>
      </w:r>
      <w:r w:rsidR="00B20BFE">
        <w:rPr>
          <w:rFonts w:ascii="Times New Roman" w:hAnsi="Times New Roman" w:cs="Times New Roman"/>
          <w:sz w:val="24"/>
          <w:szCs w:val="24"/>
        </w:rPr>
        <w:t>tis. Sk, z toho prost</w:t>
      </w:r>
      <w:r>
        <w:rPr>
          <w:rFonts w:ascii="Times New Roman" w:hAnsi="Times New Roman" w:cs="Times New Roman"/>
          <w:sz w:val="24"/>
          <w:szCs w:val="24"/>
        </w:rPr>
        <w:t>riedkov z EÚ vo výške 1 403 525</w:t>
      </w:r>
      <w:r w:rsidR="00B20BFE">
        <w:rPr>
          <w:rFonts w:ascii="Times New Roman" w:hAnsi="Times New Roman" w:cs="Times New Roman"/>
          <w:sz w:val="24"/>
          <w:szCs w:val="24"/>
        </w:rPr>
        <w:t xml:space="preserve"> tis. Sk a príslušné spolufina</w:t>
      </w:r>
      <w:r>
        <w:rPr>
          <w:rFonts w:ascii="Times New Roman" w:hAnsi="Times New Roman" w:cs="Times New Roman"/>
          <w:sz w:val="24"/>
          <w:szCs w:val="24"/>
        </w:rPr>
        <w:t xml:space="preserve">ncovanie zo ŠR vo výške 376 733 </w:t>
      </w:r>
      <w:r w:rsidR="00B20BFE">
        <w:rPr>
          <w:rFonts w:ascii="Times New Roman" w:hAnsi="Times New Roman" w:cs="Times New Roman"/>
          <w:sz w:val="24"/>
          <w:szCs w:val="24"/>
        </w:rPr>
        <w:t>t</w:t>
      </w:r>
      <w:r>
        <w:rPr>
          <w:rFonts w:ascii="Times New Roman" w:hAnsi="Times New Roman" w:cs="Times New Roman"/>
          <w:sz w:val="24"/>
          <w:szCs w:val="24"/>
        </w:rPr>
        <w:t>is. Sk</w:t>
      </w:r>
      <w:r w:rsidR="001F7D10">
        <w:rPr>
          <w:rFonts w:ascii="Times New Roman" w:hAnsi="Times New Roman" w:cs="Times New Roman"/>
          <w:sz w:val="24"/>
          <w:szCs w:val="24"/>
        </w:rPr>
        <w:t xml:space="preserve"> (z toho 163 850 tis. Sk bolo rozpočtovým opatrením č. 21/2007 navýšených k pôvodne schválenému limitu spolufinancovani</w:t>
      </w:r>
      <w:r w:rsidR="0043596B">
        <w:rPr>
          <w:rFonts w:ascii="Times New Roman" w:hAnsi="Times New Roman" w:cs="Times New Roman"/>
          <w:sz w:val="24"/>
          <w:szCs w:val="24"/>
        </w:rPr>
        <w:t>a ERDF zo ŠR, ostatné limity sa nemenili</w:t>
      </w:r>
      <w:r w:rsidR="001F7D10">
        <w:rPr>
          <w:rFonts w:ascii="Times New Roman" w:hAnsi="Times New Roman" w:cs="Times New Roman"/>
          <w:sz w:val="24"/>
          <w:szCs w:val="24"/>
        </w:rPr>
        <w:t>)</w:t>
      </w:r>
      <w:r>
        <w:rPr>
          <w:rFonts w:ascii="Times New Roman" w:hAnsi="Times New Roman" w:cs="Times New Roman"/>
          <w:sz w:val="24"/>
          <w:szCs w:val="24"/>
        </w:rPr>
        <w:t xml:space="preserve">. Použitých bolo cca 1 297 543 tis. Sk, do roku 2008 presunutých 482 715 </w:t>
      </w:r>
      <w:r w:rsidR="00B20BFE">
        <w:rPr>
          <w:rFonts w:ascii="Times New Roman" w:hAnsi="Times New Roman" w:cs="Times New Roman"/>
          <w:sz w:val="24"/>
          <w:szCs w:val="24"/>
        </w:rPr>
        <w:t xml:space="preserve">tis. Sk. </w:t>
      </w:r>
    </w:p>
    <w:p w:rsidR="00F30398" w:rsidP="00E26F84">
      <w:pPr>
        <w:spacing w:line="240" w:lineRule="auto"/>
        <w:ind w:firstLine="708"/>
        <w:rPr>
          <w:rFonts w:ascii="Times New Roman" w:hAnsi="Times New Roman" w:cs="Times New Roman"/>
          <w:sz w:val="24"/>
          <w:szCs w:val="24"/>
        </w:rPr>
      </w:pPr>
    </w:p>
    <w:p w:rsidR="00E26F84" w:rsidP="00E26F84">
      <w:pPr>
        <w:spacing w:line="240" w:lineRule="auto"/>
        <w:ind w:firstLine="708"/>
        <w:rPr>
          <w:rFonts w:ascii="Times New Roman" w:hAnsi="Times New Roman" w:cs="Times New Roman"/>
          <w:sz w:val="24"/>
          <w:szCs w:val="24"/>
        </w:rPr>
      </w:pPr>
      <w:r w:rsidR="00B20BFE">
        <w:rPr>
          <w:rFonts w:ascii="Times New Roman" w:hAnsi="Times New Roman" w:cs="Times New Roman"/>
          <w:sz w:val="24"/>
          <w:szCs w:val="24"/>
        </w:rPr>
        <w:t>V</w:t>
      </w:r>
      <w:r w:rsidR="00F30398">
        <w:rPr>
          <w:rFonts w:ascii="Times New Roman" w:hAnsi="Times New Roman" w:cs="Times New Roman"/>
          <w:sz w:val="24"/>
          <w:szCs w:val="24"/>
        </w:rPr>
        <w:t> roku 2007</w:t>
      </w:r>
      <w:r w:rsidRPr="00E26F84">
        <w:rPr>
          <w:rFonts w:ascii="Times New Roman" w:hAnsi="Times New Roman" w:cs="Times New Roman"/>
          <w:sz w:val="24"/>
          <w:szCs w:val="24"/>
        </w:rPr>
        <w:t xml:space="preserve"> </w:t>
      </w:r>
      <w:r w:rsidR="00B20BFE">
        <w:rPr>
          <w:rFonts w:ascii="Times New Roman" w:hAnsi="Times New Roman" w:cs="Times New Roman"/>
          <w:sz w:val="24"/>
          <w:szCs w:val="24"/>
        </w:rPr>
        <w:t xml:space="preserve">boli </w:t>
      </w:r>
      <w:r w:rsidRPr="00E26F84">
        <w:rPr>
          <w:rFonts w:ascii="Times New Roman" w:hAnsi="Times New Roman" w:cs="Times New Roman"/>
          <w:sz w:val="24"/>
          <w:szCs w:val="24"/>
        </w:rPr>
        <w:t xml:space="preserve">realizované nasledovné investičné akcie: </w:t>
      </w:r>
    </w:p>
    <w:p w:rsidR="00E26F84" w:rsidRPr="00E26F84" w:rsidP="00E26F84">
      <w:pPr>
        <w:spacing w:line="240" w:lineRule="auto"/>
        <w:ind w:firstLine="708"/>
        <w:rPr>
          <w:rFonts w:ascii="Times New Roman" w:hAnsi="Times New Roman" w:cs="Times New Roman"/>
          <w:sz w:val="24"/>
          <w:szCs w:val="24"/>
        </w:rPr>
      </w:pPr>
    </w:p>
    <w:p w:rsidR="003211C5" w:rsidRPr="00E26F84" w:rsidP="001654CB">
      <w:pPr>
        <w:numPr>
          <w:ilvl w:val="0"/>
          <w:numId w:val="18"/>
        </w:numPr>
        <w:tabs>
          <w:tab w:val="clear" w:pos="1260"/>
        </w:tabs>
        <w:spacing w:line="240" w:lineRule="auto"/>
        <w:ind w:left="360"/>
        <w:rPr>
          <w:rFonts w:ascii="Times New Roman" w:hAnsi="Times New Roman" w:cs="Times New Roman"/>
          <w:sz w:val="24"/>
          <w:szCs w:val="24"/>
        </w:rPr>
      </w:pPr>
      <w:r w:rsidRPr="00E26F84" w:rsidR="00E26F84">
        <w:rPr>
          <w:rFonts w:ascii="Times New Roman" w:hAnsi="Times New Roman" w:cs="Times New Roman"/>
          <w:bCs/>
          <w:iCs/>
          <w:sz w:val="24"/>
          <w:szCs w:val="24"/>
          <w:u w:val="single"/>
        </w:rPr>
        <w:t>Zvolen – Banská Bystrica</w:t>
      </w:r>
      <w:r w:rsidR="00EB5C51">
        <w:rPr>
          <w:rFonts w:ascii="Times New Roman" w:hAnsi="Times New Roman" w:cs="Times New Roman"/>
          <w:bCs/>
          <w:iCs/>
          <w:sz w:val="24"/>
          <w:szCs w:val="24"/>
          <w:u w:val="single"/>
        </w:rPr>
        <w:t>, elektrifikácia</w:t>
      </w:r>
      <w:r w:rsidR="00F30398">
        <w:rPr>
          <w:rFonts w:ascii="Times New Roman" w:hAnsi="Times New Roman" w:cs="Times New Roman"/>
          <w:bCs/>
          <w:iCs/>
          <w:sz w:val="24"/>
          <w:szCs w:val="24"/>
          <w:u w:val="single"/>
        </w:rPr>
        <w:t xml:space="preserve"> trate vrátane predelektrifikačných úprav</w:t>
      </w:r>
      <w:r w:rsidRPr="00F30398" w:rsidR="00F30398">
        <w:rPr>
          <w:rFonts w:ascii="Times New Roman" w:hAnsi="Times New Roman" w:cs="Times New Roman"/>
          <w:bCs/>
          <w:iCs/>
          <w:sz w:val="24"/>
          <w:szCs w:val="24"/>
        </w:rPr>
        <w:t xml:space="preserve"> </w:t>
      </w:r>
      <w:r w:rsidRPr="00F30398" w:rsidR="00C479A0">
        <w:rPr>
          <w:rFonts w:ascii="Times New Roman" w:hAnsi="Times New Roman" w:cs="Times New Roman"/>
          <w:bCs/>
          <w:iCs/>
          <w:sz w:val="24"/>
          <w:szCs w:val="24"/>
        </w:rPr>
        <w:t>(</w:t>
      </w:r>
      <w:r w:rsidRPr="00C479A0" w:rsidR="00C479A0">
        <w:rPr>
          <w:rFonts w:ascii="Times New Roman" w:hAnsi="Times New Roman" w:cs="Times New Roman"/>
          <w:bCs/>
          <w:iCs/>
          <w:sz w:val="24"/>
          <w:szCs w:val="24"/>
        </w:rPr>
        <w:t>Čerpanie</w:t>
      </w:r>
      <w:r w:rsidR="00F30398">
        <w:rPr>
          <w:rFonts w:ascii="Times New Roman" w:hAnsi="Times New Roman" w:cs="Times New Roman"/>
          <w:bCs/>
          <w:iCs/>
          <w:sz w:val="24"/>
          <w:szCs w:val="24"/>
        </w:rPr>
        <w:t xml:space="preserve">, vrátane zdrojov z minulých rokov: EÚ </w:t>
      </w:r>
      <w:r w:rsidR="00C05450">
        <w:rPr>
          <w:rFonts w:ascii="Times New Roman" w:hAnsi="Times New Roman" w:cs="Times New Roman"/>
          <w:bCs/>
          <w:iCs/>
          <w:sz w:val="24"/>
          <w:szCs w:val="24"/>
        </w:rPr>
        <w:t>177 230</w:t>
      </w:r>
      <w:r w:rsidR="00F30398">
        <w:rPr>
          <w:rFonts w:ascii="Times New Roman" w:hAnsi="Times New Roman" w:cs="Times New Roman"/>
          <w:bCs/>
          <w:iCs/>
          <w:sz w:val="24"/>
          <w:szCs w:val="24"/>
        </w:rPr>
        <w:t xml:space="preserve"> tis. Sk, ŠR </w:t>
      </w:r>
      <w:r w:rsidR="00C05450">
        <w:rPr>
          <w:rFonts w:ascii="Times New Roman" w:hAnsi="Times New Roman" w:cs="Times New Roman"/>
          <w:bCs/>
          <w:iCs/>
          <w:sz w:val="24"/>
          <w:szCs w:val="24"/>
        </w:rPr>
        <w:t>59 076</w:t>
      </w:r>
      <w:r w:rsidRPr="00C479A0" w:rsidR="00C479A0">
        <w:rPr>
          <w:rFonts w:ascii="Times New Roman" w:hAnsi="Times New Roman" w:cs="Times New Roman"/>
          <w:bCs/>
          <w:iCs/>
          <w:sz w:val="24"/>
          <w:szCs w:val="24"/>
        </w:rPr>
        <w:t xml:space="preserve"> tis. Sk</w:t>
      </w:r>
      <w:r w:rsidR="00C479A0">
        <w:rPr>
          <w:rFonts w:ascii="Times New Roman" w:hAnsi="Times New Roman" w:cs="Times New Roman"/>
          <w:bCs/>
          <w:iCs/>
          <w:sz w:val="24"/>
          <w:szCs w:val="24"/>
        </w:rPr>
        <w:t>)</w:t>
      </w:r>
      <w:r w:rsidR="00D25319">
        <w:rPr>
          <w:rFonts w:ascii="Times New Roman" w:hAnsi="Times New Roman" w:cs="Times New Roman"/>
          <w:bCs/>
          <w:iCs/>
          <w:sz w:val="24"/>
          <w:szCs w:val="24"/>
        </w:rPr>
        <w:t xml:space="preserve">. </w:t>
      </w:r>
      <w:r w:rsidRPr="00E26F84" w:rsidR="00E26F84">
        <w:rPr>
          <w:rFonts w:ascii="Times New Roman" w:hAnsi="Times New Roman" w:cs="Times New Roman"/>
          <w:sz w:val="24"/>
          <w:szCs w:val="24"/>
        </w:rPr>
        <w:t>Práce na stavbe boli realizované v súlade s upraveným harmonogramom prác, rea</w:t>
      </w:r>
      <w:r w:rsidR="00E26F84">
        <w:rPr>
          <w:rFonts w:ascii="Times New Roman" w:hAnsi="Times New Roman" w:cs="Times New Roman"/>
          <w:sz w:val="24"/>
          <w:szCs w:val="24"/>
        </w:rPr>
        <w:t xml:space="preserve">lizácia </w:t>
      </w:r>
      <w:r w:rsidR="0093043A">
        <w:rPr>
          <w:rFonts w:ascii="Times New Roman" w:hAnsi="Times New Roman" w:cs="Times New Roman"/>
          <w:sz w:val="24"/>
          <w:szCs w:val="24"/>
        </w:rPr>
        <w:t xml:space="preserve">všetkých prác bola </w:t>
      </w:r>
      <w:r w:rsidRPr="00E26F84" w:rsidR="00E26F84">
        <w:rPr>
          <w:rFonts w:ascii="Times New Roman" w:hAnsi="Times New Roman" w:cs="Times New Roman"/>
          <w:sz w:val="24"/>
          <w:szCs w:val="24"/>
        </w:rPr>
        <w:t xml:space="preserve">ukončená </w:t>
      </w:r>
      <w:r w:rsidR="0093043A">
        <w:rPr>
          <w:rFonts w:ascii="Times New Roman" w:hAnsi="Times New Roman" w:cs="Times New Roman"/>
          <w:sz w:val="24"/>
          <w:szCs w:val="24"/>
        </w:rPr>
        <w:t>v termíne 03/2007. D</w:t>
      </w:r>
      <w:r w:rsidRPr="00E26F84" w:rsidR="00E26F84">
        <w:rPr>
          <w:rFonts w:ascii="Times New Roman" w:hAnsi="Times New Roman" w:cs="Times New Roman"/>
          <w:sz w:val="24"/>
          <w:szCs w:val="24"/>
        </w:rPr>
        <w:t>o skúšobnej prevádzky</w:t>
      </w:r>
      <w:r w:rsidR="0093043A">
        <w:rPr>
          <w:rFonts w:ascii="Times New Roman" w:hAnsi="Times New Roman" w:cs="Times New Roman"/>
          <w:sz w:val="24"/>
          <w:szCs w:val="24"/>
        </w:rPr>
        <w:t xml:space="preserve"> bola stavba uvedená už v decembri 2006. </w:t>
      </w:r>
    </w:p>
    <w:p w:rsidR="00582297" w:rsidRPr="00582297" w:rsidP="001654CB">
      <w:pPr>
        <w:numPr>
          <w:ilvl w:val="0"/>
          <w:numId w:val="18"/>
        </w:numPr>
        <w:tabs>
          <w:tab w:val="clear" w:pos="1260"/>
        </w:tabs>
        <w:spacing w:line="240" w:lineRule="auto"/>
        <w:ind w:left="360"/>
        <w:rPr>
          <w:rFonts w:ascii="Times New Roman" w:hAnsi="Times New Roman" w:cs="Times New Roman"/>
          <w:sz w:val="24"/>
          <w:szCs w:val="24"/>
        </w:rPr>
      </w:pPr>
      <w:r w:rsidR="00E26F84">
        <w:rPr>
          <w:rFonts w:ascii="Times New Roman" w:hAnsi="Times New Roman" w:cs="Times New Roman"/>
          <w:bCs/>
          <w:iCs/>
          <w:sz w:val="24"/>
          <w:szCs w:val="24"/>
          <w:u w:val="single"/>
        </w:rPr>
        <w:t>ŽSR, Ž</w:t>
      </w:r>
      <w:r w:rsidRPr="00E26F84" w:rsidR="00E26F84">
        <w:rPr>
          <w:rFonts w:ascii="Times New Roman" w:hAnsi="Times New Roman" w:cs="Times New Roman"/>
          <w:bCs/>
          <w:iCs/>
          <w:sz w:val="24"/>
          <w:szCs w:val="24"/>
          <w:u w:val="single"/>
        </w:rPr>
        <w:t>st. Poprad – Tatry, výstavba podchodov a</w:t>
      </w:r>
      <w:r w:rsidR="00C479A0">
        <w:rPr>
          <w:rFonts w:ascii="Times New Roman" w:hAnsi="Times New Roman" w:cs="Times New Roman"/>
          <w:bCs/>
          <w:iCs/>
          <w:sz w:val="24"/>
          <w:szCs w:val="24"/>
          <w:u w:val="single"/>
        </w:rPr>
        <w:t> </w:t>
      </w:r>
      <w:r w:rsidRPr="00E26F84" w:rsidR="00E26F84">
        <w:rPr>
          <w:rFonts w:ascii="Times New Roman" w:hAnsi="Times New Roman" w:cs="Times New Roman"/>
          <w:bCs/>
          <w:iCs/>
          <w:sz w:val="24"/>
          <w:szCs w:val="24"/>
          <w:u w:val="single"/>
        </w:rPr>
        <w:t>nástupísk</w:t>
      </w:r>
      <w:r w:rsidRPr="00C479A0" w:rsidR="00C479A0">
        <w:rPr>
          <w:rFonts w:ascii="Times New Roman" w:hAnsi="Times New Roman" w:cs="Times New Roman"/>
          <w:bCs/>
          <w:iCs/>
          <w:sz w:val="24"/>
          <w:szCs w:val="24"/>
        </w:rPr>
        <w:t xml:space="preserve"> </w:t>
      </w:r>
    </w:p>
    <w:p w:rsidR="003211C5" w:rsidRPr="00E26F84" w:rsidP="00582297">
      <w:pPr>
        <w:spacing w:line="240" w:lineRule="auto"/>
        <w:ind w:left="360"/>
        <w:rPr>
          <w:rFonts w:ascii="Times New Roman" w:hAnsi="Times New Roman" w:cs="Times New Roman"/>
          <w:sz w:val="24"/>
          <w:szCs w:val="24"/>
        </w:rPr>
      </w:pPr>
      <w:r w:rsidRPr="00C479A0" w:rsidR="00C479A0">
        <w:rPr>
          <w:rFonts w:ascii="Times New Roman" w:hAnsi="Times New Roman" w:cs="Times New Roman"/>
          <w:bCs/>
          <w:iCs/>
          <w:sz w:val="24"/>
          <w:szCs w:val="24"/>
        </w:rPr>
        <w:t>(Čerpanie</w:t>
      </w:r>
      <w:r w:rsidRPr="00D25319" w:rsidR="00D25319">
        <w:rPr>
          <w:rFonts w:ascii="Times New Roman" w:hAnsi="Times New Roman" w:cs="Times New Roman"/>
          <w:bCs/>
          <w:iCs/>
          <w:sz w:val="24"/>
          <w:szCs w:val="24"/>
        </w:rPr>
        <w:t xml:space="preserve"> </w:t>
      </w:r>
      <w:r w:rsidR="0093043A">
        <w:rPr>
          <w:rFonts w:ascii="Times New Roman" w:hAnsi="Times New Roman" w:cs="Times New Roman"/>
          <w:bCs/>
          <w:iCs/>
          <w:sz w:val="24"/>
          <w:szCs w:val="24"/>
        </w:rPr>
        <w:t>vrátane zdrojov z minulých rokov</w:t>
      </w:r>
      <w:r w:rsidRPr="00C479A0" w:rsidR="00C479A0">
        <w:rPr>
          <w:rFonts w:ascii="Times New Roman" w:hAnsi="Times New Roman" w:cs="Times New Roman"/>
          <w:bCs/>
          <w:iCs/>
          <w:sz w:val="24"/>
          <w:szCs w:val="24"/>
        </w:rPr>
        <w:t xml:space="preserve">: EÚ </w:t>
      </w:r>
      <w:r w:rsidR="0093043A">
        <w:rPr>
          <w:rFonts w:ascii="Times New Roman" w:hAnsi="Times New Roman" w:cs="Times New Roman"/>
          <w:bCs/>
          <w:iCs/>
          <w:sz w:val="24"/>
          <w:szCs w:val="24"/>
        </w:rPr>
        <w:t>364 874</w:t>
      </w:r>
      <w:r w:rsidRPr="00C479A0" w:rsidR="00C479A0">
        <w:rPr>
          <w:rFonts w:ascii="Times New Roman" w:hAnsi="Times New Roman" w:cs="Times New Roman"/>
          <w:bCs/>
          <w:iCs/>
          <w:sz w:val="24"/>
          <w:szCs w:val="24"/>
        </w:rPr>
        <w:t xml:space="preserve"> tis. Sk, ŠR</w:t>
      </w:r>
      <w:r w:rsidR="0093043A">
        <w:rPr>
          <w:rFonts w:ascii="Times New Roman" w:hAnsi="Times New Roman" w:cs="Times New Roman"/>
          <w:bCs/>
          <w:iCs/>
          <w:sz w:val="24"/>
          <w:szCs w:val="24"/>
        </w:rPr>
        <w:t xml:space="preserve"> </w:t>
      </w:r>
      <w:r w:rsidR="00C05450">
        <w:rPr>
          <w:rFonts w:ascii="Times New Roman" w:hAnsi="Times New Roman" w:cs="Times New Roman"/>
          <w:bCs/>
          <w:iCs/>
          <w:sz w:val="24"/>
          <w:szCs w:val="24"/>
        </w:rPr>
        <w:t>121 624</w:t>
      </w:r>
      <w:r w:rsidR="0093043A">
        <w:rPr>
          <w:rFonts w:ascii="Times New Roman" w:hAnsi="Times New Roman" w:cs="Times New Roman"/>
          <w:bCs/>
          <w:iCs/>
          <w:sz w:val="24"/>
          <w:szCs w:val="24"/>
        </w:rPr>
        <w:t xml:space="preserve"> </w:t>
      </w:r>
      <w:r w:rsidRPr="00C479A0" w:rsidR="00C479A0">
        <w:rPr>
          <w:rFonts w:ascii="Times New Roman" w:hAnsi="Times New Roman" w:cs="Times New Roman"/>
          <w:bCs/>
          <w:iCs/>
          <w:sz w:val="24"/>
          <w:szCs w:val="24"/>
        </w:rPr>
        <w:t>tis. Sk</w:t>
      </w:r>
      <w:r w:rsidR="00C479A0">
        <w:rPr>
          <w:rFonts w:ascii="Times New Roman" w:hAnsi="Times New Roman" w:cs="Times New Roman"/>
          <w:bCs/>
          <w:iCs/>
          <w:sz w:val="24"/>
          <w:szCs w:val="24"/>
        </w:rPr>
        <w:t>)</w:t>
      </w:r>
      <w:r w:rsidR="00D25319">
        <w:rPr>
          <w:rFonts w:ascii="Times New Roman" w:hAnsi="Times New Roman" w:cs="Times New Roman"/>
          <w:bCs/>
          <w:iCs/>
          <w:sz w:val="24"/>
          <w:szCs w:val="24"/>
        </w:rPr>
        <w:t xml:space="preserve">. </w:t>
      </w:r>
      <w:r w:rsidR="00EB5C51">
        <w:rPr>
          <w:rFonts w:ascii="Times New Roman" w:hAnsi="Times New Roman" w:cs="Times New Roman"/>
          <w:sz w:val="24"/>
          <w:szCs w:val="24"/>
        </w:rPr>
        <w:t>Na základe zmluvy o diele</w:t>
      </w:r>
      <w:r w:rsidRPr="00E26F84" w:rsidR="00E26F84">
        <w:rPr>
          <w:rFonts w:ascii="Times New Roman" w:hAnsi="Times New Roman" w:cs="Times New Roman"/>
          <w:sz w:val="24"/>
          <w:szCs w:val="24"/>
        </w:rPr>
        <w:t xml:space="preserve"> podpísanej so zhotoviteľom boli  práce </w:t>
      </w:r>
      <w:r w:rsidR="0093043A">
        <w:rPr>
          <w:rFonts w:ascii="Times New Roman" w:hAnsi="Times New Roman" w:cs="Times New Roman"/>
          <w:sz w:val="24"/>
          <w:szCs w:val="24"/>
        </w:rPr>
        <w:t xml:space="preserve">na uvedenej stavbe </w:t>
      </w:r>
      <w:r w:rsidRPr="00E26F84" w:rsidR="00E26F84">
        <w:rPr>
          <w:rFonts w:ascii="Times New Roman" w:hAnsi="Times New Roman" w:cs="Times New Roman"/>
          <w:sz w:val="24"/>
          <w:szCs w:val="24"/>
        </w:rPr>
        <w:t>začaté  v prie</w:t>
      </w:r>
      <w:r w:rsidR="00E26F84">
        <w:rPr>
          <w:rFonts w:ascii="Times New Roman" w:hAnsi="Times New Roman" w:cs="Times New Roman"/>
          <w:sz w:val="24"/>
          <w:szCs w:val="24"/>
        </w:rPr>
        <w:t xml:space="preserve">behu mesiaca apríl </w:t>
      </w:r>
      <w:r w:rsidR="0093043A">
        <w:rPr>
          <w:rFonts w:ascii="Times New Roman" w:hAnsi="Times New Roman" w:cs="Times New Roman"/>
          <w:sz w:val="24"/>
          <w:szCs w:val="24"/>
        </w:rPr>
        <w:t>2006 a ukončené k 31.8.2007. Finančné riadenie pokračuje aj v roku 2008.</w:t>
      </w:r>
    </w:p>
    <w:p w:rsidR="00582297" w:rsidP="001654CB">
      <w:pPr>
        <w:numPr>
          <w:ilvl w:val="0"/>
          <w:numId w:val="18"/>
        </w:numPr>
        <w:tabs>
          <w:tab w:val="clear" w:pos="1260"/>
        </w:tabs>
        <w:spacing w:line="240" w:lineRule="auto"/>
        <w:ind w:left="360"/>
        <w:rPr>
          <w:rFonts w:ascii="Times New Roman" w:hAnsi="Times New Roman" w:cs="Times New Roman"/>
          <w:sz w:val="24"/>
          <w:szCs w:val="24"/>
        </w:rPr>
      </w:pPr>
      <w:r w:rsidRPr="00E26F84" w:rsidR="00E26F84">
        <w:rPr>
          <w:rFonts w:ascii="Times New Roman" w:hAnsi="Times New Roman" w:cs="Times New Roman"/>
          <w:sz w:val="24"/>
          <w:szCs w:val="24"/>
          <w:u w:val="single"/>
        </w:rPr>
        <w:t>ŽSR</w:t>
      </w:r>
      <w:r w:rsidR="00E26F84">
        <w:rPr>
          <w:rFonts w:ascii="Times New Roman" w:hAnsi="Times New Roman" w:cs="Times New Roman"/>
          <w:sz w:val="24"/>
          <w:szCs w:val="24"/>
          <w:u w:val="single"/>
        </w:rPr>
        <w:t xml:space="preserve">, </w:t>
      </w:r>
      <w:r w:rsidRPr="00E26F84" w:rsidR="00E26F84">
        <w:rPr>
          <w:rFonts w:ascii="Times New Roman" w:hAnsi="Times New Roman" w:cs="Times New Roman"/>
          <w:sz w:val="24"/>
          <w:szCs w:val="24"/>
          <w:u w:val="single"/>
        </w:rPr>
        <w:t>Žst. Prešov, peronizácia</w:t>
      </w:r>
      <w:r w:rsidRPr="00D25319" w:rsidR="00D25319">
        <w:rPr>
          <w:rFonts w:ascii="Times New Roman" w:hAnsi="Times New Roman" w:cs="Times New Roman"/>
          <w:sz w:val="24"/>
          <w:szCs w:val="24"/>
        </w:rPr>
        <w:t xml:space="preserve"> </w:t>
      </w:r>
    </w:p>
    <w:p w:rsidR="0093043A" w:rsidRPr="00E26F84" w:rsidP="00582297">
      <w:pPr>
        <w:spacing w:line="240" w:lineRule="auto"/>
        <w:ind w:left="360"/>
        <w:rPr>
          <w:rFonts w:ascii="Times New Roman" w:hAnsi="Times New Roman" w:cs="Times New Roman"/>
          <w:sz w:val="24"/>
          <w:szCs w:val="24"/>
        </w:rPr>
      </w:pPr>
      <w:r w:rsidRPr="00C479A0" w:rsidR="00C479A0">
        <w:rPr>
          <w:rFonts w:ascii="Times New Roman" w:hAnsi="Times New Roman" w:cs="Times New Roman"/>
          <w:bCs/>
          <w:iCs/>
          <w:sz w:val="24"/>
          <w:szCs w:val="24"/>
        </w:rPr>
        <w:t>(Čerpanie</w:t>
      </w:r>
      <w:r>
        <w:rPr>
          <w:rFonts w:ascii="Times New Roman" w:hAnsi="Times New Roman" w:cs="Times New Roman"/>
          <w:bCs/>
          <w:iCs/>
          <w:sz w:val="24"/>
          <w:szCs w:val="24"/>
        </w:rPr>
        <w:t>, vrátane zdrojov z minulých rokov</w:t>
      </w:r>
      <w:r w:rsidRPr="00C479A0" w:rsidR="00C479A0">
        <w:rPr>
          <w:rFonts w:ascii="Times New Roman" w:hAnsi="Times New Roman" w:cs="Times New Roman"/>
          <w:bCs/>
          <w:iCs/>
          <w:sz w:val="24"/>
          <w:szCs w:val="24"/>
        </w:rPr>
        <w:t xml:space="preserve">: EÚ </w:t>
      </w:r>
      <w:r>
        <w:rPr>
          <w:rFonts w:ascii="Times New Roman" w:hAnsi="Times New Roman" w:cs="Times New Roman"/>
          <w:bCs/>
          <w:iCs/>
          <w:sz w:val="24"/>
          <w:szCs w:val="24"/>
        </w:rPr>
        <w:t>307 697</w:t>
      </w:r>
      <w:r w:rsidRPr="00C479A0" w:rsidR="00C479A0">
        <w:rPr>
          <w:rFonts w:ascii="Times New Roman" w:hAnsi="Times New Roman" w:cs="Times New Roman"/>
          <w:bCs/>
          <w:iCs/>
          <w:sz w:val="24"/>
          <w:szCs w:val="24"/>
        </w:rPr>
        <w:t xml:space="preserve"> tis. Sk, ŠR</w:t>
      </w:r>
      <w:r>
        <w:rPr>
          <w:rFonts w:ascii="Times New Roman" w:hAnsi="Times New Roman" w:cs="Times New Roman"/>
          <w:bCs/>
          <w:iCs/>
          <w:sz w:val="24"/>
          <w:szCs w:val="24"/>
        </w:rPr>
        <w:t xml:space="preserve"> 102 566 </w:t>
      </w:r>
      <w:r w:rsidRPr="00C479A0" w:rsidR="00C479A0">
        <w:rPr>
          <w:rFonts w:ascii="Times New Roman" w:hAnsi="Times New Roman" w:cs="Times New Roman"/>
          <w:bCs/>
          <w:iCs/>
          <w:sz w:val="24"/>
          <w:szCs w:val="24"/>
        </w:rPr>
        <w:t>tis. Sk</w:t>
      </w:r>
      <w:r w:rsidR="00C479A0">
        <w:rPr>
          <w:rFonts w:ascii="Times New Roman" w:hAnsi="Times New Roman" w:cs="Times New Roman"/>
          <w:bCs/>
          <w:iCs/>
          <w:sz w:val="24"/>
          <w:szCs w:val="24"/>
        </w:rPr>
        <w:t>)</w:t>
      </w:r>
      <w:r w:rsidR="00D25319">
        <w:rPr>
          <w:rFonts w:ascii="Times New Roman" w:hAnsi="Times New Roman" w:cs="Times New Roman"/>
          <w:sz w:val="24"/>
          <w:szCs w:val="24"/>
        </w:rPr>
        <w:t xml:space="preserve">. </w:t>
      </w:r>
      <w:r w:rsidR="00EB5C51">
        <w:rPr>
          <w:rFonts w:ascii="Times New Roman" w:hAnsi="Times New Roman" w:cs="Times New Roman"/>
          <w:sz w:val="24"/>
          <w:szCs w:val="24"/>
        </w:rPr>
        <w:t>Na základe zmluvy o diele</w:t>
      </w:r>
      <w:r w:rsidRPr="00E26F84" w:rsidR="00E26F84">
        <w:rPr>
          <w:rFonts w:ascii="Times New Roman" w:hAnsi="Times New Roman" w:cs="Times New Roman"/>
          <w:sz w:val="24"/>
          <w:szCs w:val="24"/>
        </w:rPr>
        <w:t xml:space="preserve"> p</w:t>
      </w:r>
      <w:r>
        <w:rPr>
          <w:rFonts w:ascii="Times New Roman" w:hAnsi="Times New Roman" w:cs="Times New Roman"/>
          <w:sz w:val="24"/>
          <w:szCs w:val="24"/>
        </w:rPr>
        <w:t xml:space="preserve">odpísanej so zhotoviteľom boli </w:t>
      </w:r>
      <w:r w:rsidRPr="00E26F84" w:rsidR="00E26F84">
        <w:rPr>
          <w:rFonts w:ascii="Times New Roman" w:hAnsi="Times New Roman" w:cs="Times New Roman"/>
          <w:sz w:val="24"/>
          <w:szCs w:val="24"/>
        </w:rPr>
        <w:t>práce zah</w:t>
      </w:r>
      <w:r>
        <w:rPr>
          <w:rFonts w:ascii="Times New Roman" w:hAnsi="Times New Roman" w:cs="Times New Roman"/>
          <w:sz w:val="24"/>
          <w:szCs w:val="24"/>
        </w:rPr>
        <w:t xml:space="preserve">ájené </w:t>
      </w:r>
      <w:r w:rsidR="00E26F84">
        <w:rPr>
          <w:rFonts w:ascii="Times New Roman" w:hAnsi="Times New Roman" w:cs="Times New Roman"/>
          <w:sz w:val="24"/>
          <w:szCs w:val="24"/>
        </w:rPr>
        <w:t xml:space="preserve">v priebehu mesiaca apríl </w:t>
      </w:r>
      <w:r>
        <w:rPr>
          <w:rFonts w:ascii="Times New Roman" w:hAnsi="Times New Roman" w:cs="Times New Roman"/>
          <w:sz w:val="24"/>
          <w:szCs w:val="24"/>
        </w:rPr>
        <w:t>2006 a ukončené k 31.8.2007. Finančné riadenie pokračuje aj v roku 2008.</w:t>
      </w:r>
    </w:p>
    <w:p w:rsidR="003211C5" w:rsidRPr="00E26F84" w:rsidP="00582297">
      <w:pPr>
        <w:spacing w:line="240" w:lineRule="auto"/>
        <w:ind w:left="360"/>
        <w:rPr>
          <w:rFonts w:ascii="Times New Roman" w:hAnsi="Times New Roman" w:cs="Times New Roman"/>
          <w:sz w:val="24"/>
          <w:szCs w:val="24"/>
        </w:rPr>
      </w:pPr>
    </w:p>
    <w:p w:rsidR="00582297" w:rsidP="001654CB">
      <w:pPr>
        <w:numPr>
          <w:ilvl w:val="0"/>
          <w:numId w:val="18"/>
        </w:numPr>
        <w:tabs>
          <w:tab w:val="clear" w:pos="1260"/>
        </w:tabs>
        <w:spacing w:line="240" w:lineRule="auto"/>
        <w:ind w:left="360"/>
        <w:rPr>
          <w:rFonts w:ascii="Times New Roman" w:hAnsi="Times New Roman" w:cs="Times New Roman"/>
          <w:sz w:val="24"/>
          <w:szCs w:val="24"/>
        </w:rPr>
      </w:pPr>
      <w:r w:rsidRPr="00E26F84" w:rsidR="00E26F84">
        <w:rPr>
          <w:rFonts w:ascii="Times New Roman" w:hAnsi="Times New Roman" w:cs="Times New Roman"/>
          <w:sz w:val="24"/>
          <w:szCs w:val="24"/>
          <w:u w:val="single"/>
        </w:rPr>
        <w:t>Modernizácia železničnej trate Žilina – Košice, úsek Liptovský Mikuláš – Poprad – Tatry, projektová príprava</w:t>
      </w:r>
      <w:r w:rsidRPr="00D25319" w:rsidR="00D25319">
        <w:rPr>
          <w:rFonts w:ascii="Times New Roman" w:hAnsi="Times New Roman" w:cs="Times New Roman"/>
          <w:sz w:val="24"/>
          <w:szCs w:val="24"/>
        </w:rPr>
        <w:t xml:space="preserve"> </w:t>
      </w:r>
    </w:p>
    <w:p w:rsidR="003211C5" w:rsidP="00582297">
      <w:pPr>
        <w:spacing w:line="240" w:lineRule="auto"/>
        <w:ind w:firstLine="360"/>
        <w:rPr>
          <w:rFonts w:ascii="Times New Roman" w:hAnsi="Times New Roman" w:cs="Times New Roman"/>
          <w:sz w:val="24"/>
          <w:szCs w:val="24"/>
        </w:rPr>
      </w:pPr>
      <w:r w:rsidRPr="00D25319" w:rsidR="00D25319">
        <w:rPr>
          <w:rFonts w:ascii="Times New Roman" w:hAnsi="Times New Roman" w:cs="Times New Roman"/>
          <w:bCs/>
          <w:iCs/>
          <w:sz w:val="24"/>
          <w:szCs w:val="24"/>
        </w:rPr>
        <w:t>(</w:t>
      </w:r>
      <w:r w:rsidR="00D25319">
        <w:rPr>
          <w:rFonts w:ascii="Times New Roman" w:hAnsi="Times New Roman" w:cs="Times New Roman"/>
          <w:bCs/>
          <w:iCs/>
          <w:sz w:val="24"/>
          <w:szCs w:val="24"/>
        </w:rPr>
        <w:t>Če</w:t>
      </w:r>
      <w:r w:rsidR="0093043A">
        <w:rPr>
          <w:rFonts w:ascii="Times New Roman" w:hAnsi="Times New Roman" w:cs="Times New Roman"/>
          <w:bCs/>
          <w:iCs/>
          <w:sz w:val="24"/>
          <w:szCs w:val="24"/>
        </w:rPr>
        <w:t>rpanie, vrátane zdrojov z minulých rokov</w:t>
      </w:r>
      <w:r w:rsidRPr="00C479A0" w:rsidR="00C479A0">
        <w:rPr>
          <w:rFonts w:ascii="Times New Roman" w:hAnsi="Times New Roman" w:cs="Times New Roman"/>
          <w:bCs/>
          <w:iCs/>
          <w:sz w:val="24"/>
          <w:szCs w:val="24"/>
        </w:rPr>
        <w:t xml:space="preserve">: EÚ </w:t>
      </w:r>
      <w:r w:rsidR="0093043A">
        <w:rPr>
          <w:rFonts w:ascii="Times New Roman" w:hAnsi="Times New Roman" w:cs="Times New Roman"/>
          <w:bCs/>
          <w:iCs/>
          <w:sz w:val="24"/>
          <w:szCs w:val="24"/>
        </w:rPr>
        <w:t>34 254</w:t>
      </w:r>
      <w:r w:rsidR="00C479A0">
        <w:rPr>
          <w:rFonts w:ascii="Times New Roman" w:hAnsi="Times New Roman" w:cs="Times New Roman"/>
          <w:bCs/>
          <w:iCs/>
          <w:sz w:val="24"/>
          <w:szCs w:val="24"/>
        </w:rPr>
        <w:t xml:space="preserve"> </w:t>
      </w:r>
      <w:r w:rsidRPr="00C479A0" w:rsidR="00C479A0">
        <w:rPr>
          <w:rFonts w:ascii="Times New Roman" w:hAnsi="Times New Roman" w:cs="Times New Roman"/>
          <w:bCs/>
          <w:iCs/>
          <w:sz w:val="24"/>
          <w:szCs w:val="24"/>
        </w:rPr>
        <w:t>tis. Sk, ŠR</w:t>
      </w:r>
      <w:r w:rsidR="0093043A">
        <w:rPr>
          <w:rFonts w:ascii="Times New Roman" w:hAnsi="Times New Roman" w:cs="Times New Roman"/>
          <w:bCs/>
          <w:iCs/>
          <w:sz w:val="24"/>
          <w:szCs w:val="24"/>
        </w:rPr>
        <w:t xml:space="preserve"> 11 418 </w:t>
      </w:r>
      <w:r w:rsidRPr="00C479A0" w:rsidR="00C479A0">
        <w:rPr>
          <w:rFonts w:ascii="Times New Roman" w:hAnsi="Times New Roman" w:cs="Times New Roman"/>
          <w:bCs/>
          <w:iCs/>
          <w:sz w:val="24"/>
          <w:szCs w:val="24"/>
        </w:rPr>
        <w:t>tis. Sk</w:t>
      </w:r>
      <w:r w:rsidR="00C479A0">
        <w:rPr>
          <w:rFonts w:ascii="Times New Roman" w:hAnsi="Times New Roman" w:cs="Times New Roman"/>
          <w:bCs/>
          <w:iCs/>
          <w:sz w:val="24"/>
          <w:szCs w:val="24"/>
        </w:rPr>
        <w:t>)</w:t>
      </w:r>
      <w:r w:rsidR="00D25319">
        <w:rPr>
          <w:rFonts w:ascii="Times New Roman" w:hAnsi="Times New Roman" w:cs="Times New Roman"/>
          <w:sz w:val="24"/>
          <w:szCs w:val="24"/>
        </w:rPr>
        <w:t xml:space="preserve">. </w:t>
      </w:r>
    </w:p>
    <w:p w:rsidR="00582297" w:rsidP="001654CB">
      <w:pPr>
        <w:numPr>
          <w:ilvl w:val="0"/>
          <w:numId w:val="18"/>
        </w:numPr>
        <w:tabs>
          <w:tab w:val="clear" w:pos="1260"/>
        </w:tabs>
        <w:spacing w:line="240" w:lineRule="auto"/>
        <w:ind w:left="360"/>
        <w:rPr>
          <w:rFonts w:ascii="Times New Roman" w:hAnsi="Times New Roman" w:cs="Times New Roman"/>
          <w:sz w:val="24"/>
          <w:szCs w:val="24"/>
        </w:rPr>
      </w:pPr>
      <w:r w:rsidRPr="00E26F84" w:rsidR="0093043A">
        <w:rPr>
          <w:rFonts w:ascii="Times New Roman" w:hAnsi="Times New Roman" w:cs="Times New Roman"/>
          <w:sz w:val="24"/>
          <w:szCs w:val="24"/>
          <w:u w:val="single"/>
        </w:rPr>
        <w:t xml:space="preserve">Modernizácia železničnej trate Žilina </w:t>
      </w:r>
      <w:r w:rsidR="00C05450">
        <w:rPr>
          <w:rFonts w:ascii="Times New Roman" w:hAnsi="Times New Roman" w:cs="Times New Roman"/>
          <w:sz w:val="24"/>
          <w:szCs w:val="24"/>
          <w:u w:val="single"/>
        </w:rPr>
        <w:t>– Košice, úsek Poprad-Tatry – Krompachy</w:t>
      </w:r>
      <w:r w:rsidRPr="00E26F84" w:rsidR="0093043A">
        <w:rPr>
          <w:rFonts w:ascii="Times New Roman" w:hAnsi="Times New Roman" w:cs="Times New Roman"/>
          <w:sz w:val="24"/>
          <w:szCs w:val="24"/>
          <w:u w:val="single"/>
        </w:rPr>
        <w:t>, projektová príprava</w:t>
      </w:r>
      <w:r w:rsidRPr="00D25319" w:rsidR="0093043A">
        <w:rPr>
          <w:rFonts w:ascii="Times New Roman" w:hAnsi="Times New Roman" w:cs="Times New Roman"/>
          <w:sz w:val="24"/>
          <w:szCs w:val="24"/>
        </w:rPr>
        <w:t xml:space="preserve"> </w:t>
      </w:r>
    </w:p>
    <w:p w:rsidR="0093043A" w:rsidRPr="00E26F84" w:rsidP="00582297">
      <w:pPr>
        <w:spacing w:line="240" w:lineRule="auto"/>
        <w:ind w:firstLine="360"/>
        <w:rPr>
          <w:rFonts w:ascii="Times New Roman" w:hAnsi="Times New Roman" w:cs="Times New Roman"/>
          <w:sz w:val="24"/>
          <w:szCs w:val="24"/>
        </w:rPr>
      </w:pPr>
      <w:r w:rsidRPr="00D25319">
        <w:rPr>
          <w:rFonts w:ascii="Times New Roman" w:hAnsi="Times New Roman" w:cs="Times New Roman"/>
          <w:bCs/>
          <w:iCs/>
          <w:sz w:val="24"/>
          <w:szCs w:val="24"/>
        </w:rPr>
        <w:t>(</w:t>
      </w:r>
      <w:r>
        <w:rPr>
          <w:rFonts w:ascii="Times New Roman" w:hAnsi="Times New Roman" w:cs="Times New Roman"/>
          <w:bCs/>
          <w:iCs/>
          <w:sz w:val="24"/>
          <w:szCs w:val="24"/>
        </w:rPr>
        <w:t>Čerpanie, vrátane zdrojov z minulých rokov</w:t>
      </w:r>
      <w:r w:rsidRPr="00C479A0">
        <w:rPr>
          <w:rFonts w:ascii="Times New Roman" w:hAnsi="Times New Roman" w:cs="Times New Roman"/>
          <w:bCs/>
          <w:iCs/>
          <w:sz w:val="24"/>
          <w:szCs w:val="24"/>
        </w:rPr>
        <w:t xml:space="preserve">: EÚ </w:t>
      </w:r>
      <w:r w:rsidR="00C05450">
        <w:rPr>
          <w:rFonts w:ascii="Times New Roman" w:hAnsi="Times New Roman" w:cs="Times New Roman"/>
          <w:bCs/>
          <w:iCs/>
          <w:sz w:val="24"/>
          <w:szCs w:val="24"/>
        </w:rPr>
        <w:t>39 266</w:t>
      </w:r>
      <w:r>
        <w:rPr>
          <w:rFonts w:ascii="Times New Roman" w:hAnsi="Times New Roman" w:cs="Times New Roman"/>
          <w:bCs/>
          <w:iCs/>
          <w:sz w:val="24"/>
          <w:szCs w:val="24"/>
        </w:rPr>
        <w:t xml:space="preserve"> </w:t>
      </w:r>
      <w:r w:rsidRPr="00C479A0">
        <w:rPr>
          <w:rFonts w:ascii="Times New Roman" w:hAnsi="Times New Roman" w:cs="Times New Roman"/>
          <w:bCs/>
          <w:iCs/>
          <w:sz w:val="24"/>
          <w:szCs w:val="24"/>
        </w:rPr>
        <w:t>tis. Sk, ŠR</w:t>
      </w:r>
      <w:r w:rsidR="00C05450">
        <w:rPr>
          <w:rFonts w:ascii="Times New Roman" w:hAnsi="Times New Roman" w:cs="Times New Roman"/>
          <w:bCs/>
          <w:iCs/>
          <w:sz w:val="24"/>
          <w:szCs w:val="24"/>
        </w:rPr>
        <w:t xml:space="preserve"> 13</w:t>
      </w:r>
      <w:r>
        <w:rPr>
          <w:rFonts w:ascii="Times New Roman" w:hAnsi="Times New Roman" w:cs="Times New Roman"/>
          <w:bCs/>
          <w:iCs/>
          <w:sz w:val="24"/>
          <w:szCs w:val="24"/>
        </w:rPr>
        <w:t> </w:t>
      </w:r>
      <w:r w:rsidR="00C05450">
        <w:rPr>
          <w:rFonts w:ascii="Times New Roman" w:hAnsi="Times New Roman" w:cs="Times New Roman"/>
          <w:bCs/>
          <w:iCs/>
          <w:sz w:val="24"/>
          <w:szCs w:val="24"/>
        </w:rPr>
        <w:t>089</w:t>
      </w:r>
      <w:r>
        <w:rPr>
          <w:rFonts w:ascii="Times New Roman" w:hAnsi="Times New Roman" w:cs="Times New Roman"/>
          <w:bCs/>
          <w:iCs/>
          <w:sz w:val="24"/>
          <w:szCs w:val="24"/>
        </w:rPr>
        <w:t xml:space="preserve"> </w:t>
      </w:r>
      <w:r w:rsidRPr="00C479A0">
        <w:rPr>
          <w:rFonts w:ascii="Times New Roman" w:hAnsi="Times New Roman" w:cs="Times New Roman"/>
          <w:bCs/>
          <w:iCs/>
          <w:sz w:val="24"/>
          <w:szCs w:val="24"/>
        </w:rPr>
        <w:t>tis. Sk</w:t>
      </w:r>
      <w:r>
        <w:rPr>
          <w:rFonts w:ascii="Times New Roman" w:hAnsi="Times New Roman" w:cs="Times New Roman"/>
          <w:bCs/>
          <w:iCs/>
          <w:sz w:val="24"/>
          <w:szCs w:val="24"/>
        </w:rPr>
        <w:t>)</w:t>
      </w:r>
      <w:r>
        <w:rPr>
          <w:rFonts w:ascii="Times New Roman" w:hAnsi="Times New Roman" w:cs="Times New Roman"/>
          <w:sz w:val="24"/>
          <w:szCs w:val="24"/>
        </w:rPr>
        <w:t xml:space="preserve">. </w:t>
      </w:r>
    </w:p>
    <w:p w:rsidR="00582297" w:rsidP="001654CB">
      <w:pPr>
        <w:numPr>
          <w:ilvl w:val="0"/>
          <w:numId w:val="18"/>
        </w:numPr>
        <w:tabs>
          <w:tab w:val="clear" w:pos="1260"/>
        </w:tabs>
        <w:spacing w:line="240" w:lineRule="auto"/>
        <w:ind w:left="360"/>
        <w:rPr>
          <w:rFonts w:ascii="Times New Roman" w:hAnsi="Times New Roman" w:cs="Times New Roman"/>
          <w:sz w:val="24"/>
          <w:szCs w:val="24"/>
        </w:rPr>
      </w:pPr>
      <w:r w:rsidR="00E26F84">
        <w:rPr>
          <w:rFonts w:ascii="Times New Roman" w:hAnsi="Times New Roman" w:cs="Times New Roman"/>
          <w:sz w:val="24"/>
          <w:szCs w:val="24"/>
          <w:u w:val="single"/>
        </w:rPr>
        <w:t xml:space="preserve">Modernizácia železničnej </w:t>
      </w:r>
      <w:r w:rsidRPr="00E26F84" w:rsidR="00E26F84">
        <w:rPr>
          <w:rFonts w:ascii="Times New Roman" w:hAnsi="Times New Roman" w:cs="Times New Roman"/>
          <w:sz w:val="24"/>
          <w:szCs w:val="24"/>
          <w:u w:val="single"/>
        </w:rPr>
        <w:t>trate Žilina – Košice, úse</w:t>
      </w:r>
      <w:r w:rsidR="00C05450">
        <w:rPr>
          <w:rFonts w:ascii="Times New Roman" w:hAnsi="Times New Roman" w:cs="Times New Roman"/>
          <w:sz w:val="24"/>
          <w:szCs w:val="24"/>
          <w:u w:val="single"/>
        </w:rPr>
        <w:t xml:space="preserve">k Krompachy – Kysak, projektová </w:t>
      </w:r>
      <w:r w:rsidRPr="00E26F84" w:rsidR="00E26F84">
        <w:rPr>
          <w:rFonts w:ascii="Times New Roman" w:hAnsi="Times New Roman" w:cs="Times New Roman"/>
          <w:sz w:val="24"/>
          <w:szCs w:val="24"/>
          <w:u w:val="single"/>
        </w:rPr>
        <w:t>príprava</w:t>
      </w:r>
      <w:r w:rsidRPr="00D25319" w:rsidR="00D25319">
        <w:rPr>
          <w:rFonts w:ascii="Times New Roman" w:hAnsi="Times New Roman" w:cs="Times New Roman"/>
          <w:sz w:val="24"/>
          <w:szCs w:val="24"/>
        </w:rPr>
        <w:t xml:space="preserve"> </w:t>
      </w:r>
    </w:p>
    <w:p w:rsidR="00E26F84" w:rsidRPr="00E26F84" w:rsidP="00582297">
      <w:pPr>
        <w:spacing w:line="240" w:lineRule="auto"/>
        <w:ind w:firstLine="360"/>
        <w:rPr>
          <w:rFonts w:ascii="Times New Roman" w:hAnsi="Times New Roman" w:cs="Times New Roman"/>
          <w:sz w:val="24"/>
          <w:szCs w:val="24"/>
        </w:rPr>
      </w:pPr>
      <w:r w:rsidRPr="00C479A0" w:rsidR="00C479A0">
        <w:rPr>
          <w:rFonts w:ascii="Times New Roman" w:hAnsi="Times New Roman" w:cs="Times New Roman"/>
          <w:bCs/>
          <w:iCs/>
          <w:sz w:val="24"/>
          <w:szCs w:val="24"/>
        </w:rPr>
        <w:t>(Čerpanie</w:t>
      </w:r>
      <w:r w:rsidR="00D25319">
        <w:rPr>
          <w:rFonts w:ascii="Times New Roman" w:hAnsi="Times New Roman" w:cs="Times New Roman"/>
          <w:bCs/>
          <w:iCs/>
          <w:sz w:val="24"/>
          <w:szCs w:val="24"/>
        </w:rPr>
        <w:t>, vráta</w:t>
      </w:r>
      <w:r w:rsidR="00C05450">
        <w:rPr>
          <w:rFonts w:ascii="Times New Roman" w:hAnsi="Times New Roman" w:cs="Times New Roman"/>
          <w:bCs/>
          <w:iCs/>
          <w:sz w:val="24"/>
          <w:szCs w:val="24"/>
        </w:rPr>
        <w:t xml:space="preserve">ne zdrojov z minulých zdrojov: EÚ 19 334 </w:t>
      </w:r>
      <w:r w:rsidRPr="00C479A0" w:rsidR="00C479A0">
        <w:rPr>
          <w:rFonts w:ascii="Times New Roman" w:hAnsi="Times New Roman" w:cs="Times New Roman"/>
          <w:bCs/>
          <w:iCs/>
          <w:sz w:val="24"/>
          <w:szCs w:val="24"/>
        </w:rPr>
        <w:t>tis. Sk, ŠR</w:t>
      </w:r>
      <w:r w:rsidR="00C05450">
        <w:rPr>
          <w:rFonts w:ascii="Times New Roman" w:hAnsi="Times New Roman" w:cs="Times New Roman"/>
          <w:bCs/>
          <w:iCs/>
          <w:sz w:val="24"/>
          <w:szCs w:val="24"/>
        </w:rPr>
        <w:t xml:space="preserve"> 6 445 </w:t>
      </w:r>
      <w:r w:rsidRPr="00C479A0" w:rsidR="00C479A0">
        <w:rPr>
          <w:rFonts w:ascii="Times New Roman" w:hAnsi="Times New Roman" w:cs="Times New Roman"/>
          <w:bCs/>
          <w:iCs/>
          <w:sz w:val="24"/>
          <w:szCs w:val="24"/>
        </w:rPr>
        <w:t>tis. Sk</w:t>
      </w:r>
      <w:r w:rsidR="00C479A0">
        <w:rPr>
          <w:rFonts w:ascii="Times New Roman" w:hAnsi="Times New Roman" w:cs="Times New Roman"/>
          <w:bCs/>
          <w:iCs/>
          <w:sz w:val="24"/>
          <w:szCs w:val="24"/>
        </w:rPr>
        <w:t>)</w:t>
      </w:r>
      <w:r w:rsidR="00D25319">
        <w:rPr>
          <w:rFonts w:ascii="Times New Roman" w:hAnsi="Times New Roman" w:cs="Times New Roman"/>
          <w:sz w:val="24"/>
          <w:szCs w:val="24"/>
        </w:rPr>
        <w:t xml:space="preserve">. </w:t>
      </w:r>
    </w:p>
    <w:p w:rsidR="0093043A" w:rsidRPr="00E26F84" w:rsidP="001654CB">
      <w:pPr>
        <w:numPr>
          <w:ilvl w:val="0"/>
          <w:numId w:val="18"/>
        </w:numPr>
        <w:tabs>
          <w:tab w:val="clear" w:pos="1260"/>
        </w:tabs>
        <w:spacing w:line="240" w:lineRule="auto"/>
        <w:ind w:left="360"/>
        <w:rPr>
          <w:rFonts w:ascii="Times New Roman" w:hAnsi="Times New Roman" w:cs="Times New Roman"/>
          <w:sz w:val="24"/>
          <w:szCs w:val="24"/>
        </w:rPr>
      </w:pPr>
      <w:r w:rsidRPr="00E26F84">
        <w:rPr>
          <w:rFonts w:ascii="Times New Roman" w:hAnsi="Times New Roman" w:cs="Times New Roman"/>
          <w:sz w:val="24"/>
          <w:szCs w:val="24"/>
          <w:u w:val="single"/>
        </w:rPr>
        <w:t>Modernizácia železničnej trate Žilina –</w:t>
      </w:r>
      <w:r w:rsidR="00C05450">
        <w:rPr>
          <w:rFonts w:ascii="Times New Roman" w:hAnsi="Times New Roman" w:cs="Times New Roman"/>
          <w:sz w:val="24"/>
          <w:szCs w:val="24"/>
          <w:u w:val="single"/>
        </w:rPr>
        <w:t xml:space="preserve"> Košice, úsek Kysak – Košice</w:t>
      </w:r>
      <w:r w:rsidRPr="00E26F84">
        <w:rPr>
          <w:rFonts w:ascii="Times New Roman" w:hAnsi="Times New Roman" w:cs="Times New Roman"/>
          <w:sz w:val="24"/>
          <w:szCs w:val="24"/>
          <w:u w:val="single"/>
        </w:rPr>
        <w:t>, projektová príprava</w:t>
      </w:r>
      <w:r w:rsidRPr="00D25319">
        <w:rPr>
          <w:rFonts w:ascii="Times New Roman" w:hAnsi="Times New Roman" w:cs="Times New Roman"/>
          <w:sz w:val="24"/>
          <w:szCs w:val="24"/>
        </w:rPr>
        <w:t xml:space="preserve"> </w:t>
      </w:r>
      <w:r w:rsidRPr="00D25319">
        <w:rPr>
          <w:rFonts w:ascii="Times New Roman" w:hAnsi="Times New Roman" w:cs="Times New Roman"/>
          <w:bCs/>
          <w:iCs/>
          <w:sz w:val="24"/>
          <w:szCs w:val="24"/>
        </w:rPr>
        <w:t>(</w:t>
      </w:r>
      <w:r>
        <w:rPr>
          <w:rFonts w:ascii="Times New Roman" w:hAnsi="Times New Roman" w:cs="Times New Roman"/>
          <w:bCs/>
          <w:iCs/>
          <w:sz w:val="24"/>
          <w:szCs w:val="24"/>
        </w:rPr>
        <w:t>Čerpanie, vrátane zdrojov z minulých rokov</w:t>
      </w:r>
      <w:r w:rsidRPr="00C479A0">
        <w:rPr>
          <w:rFonts w:ascii="Times New Roman" w:hAnsi="Times New Roman" w:cs="Times New Roman"/>
          <w:bCs/>
          <w:iCs/>
          <w:sz w:val="24"/>
          <w:szCs w:val="24"/>
        </w:rPr>
        <w:t xml:space="preserve">: EÚ </w:t>
      </w:r>
      <w:r w:rsidR="00C05450">
        <w:rPr>
          <w:rFonts w:ascii="Times New Roman" w:hAnsi="Times New Roman" w:cs="Times New Roman"/>
          <w:bCs/>
          <w:iCs/>
          <w:sz w:val="24"/>
          <w:szCs w:val="24"/>
        </w:rPr>
        <w:t xml:space="preserve">30 503 </w:t>
      </w:r>
      <w:r w:rsidRPr="00C479A0">
        <w:rPr>
          <w:rFonts w:ascii="Times New Roman" w:hAnsi="Times New Roman" w:cs="Times New Roman"/>
          <w:bCs/>
          <w:iCs/>
          <w:sz w:val="24"/>
          <w:szCs w:val="24"/>
        </w:rPr>
        <w:t>tis. Sk, ŠR</w:t>
      </w:r>
      <w:r w:rsidR="00C05450">
        <w:rPr>
          <w:rFonts w:ascii="Times New Roman" w:hAnsi="Times New Roman" w:cs="Times New Roman"/>
          <w:bCs/>
          <w:iCs/>
          <w:sz w:val="24"/>
          <w:szCs w:val="24"/>
        </w:rPr>
        <w:t xml:space="preserve"> 10 167 </w:t>
      </w:r>
      <w:r w:rsidRPr="00C479A0">
        <w:rPr>
          <w:rFonts w:ascii="Times New Roman" w:hAnsi="Times New Roman" w:cs="Times New Roman"/>
          <w:bCs/>
          <w:iCs/>
          <w:sz w:val="24"/>
          <w:szCs w:val="24"/>
        </w:rPr>
        <w:t>tis. Sk</w:t>
      </w:r>
      <w:r>
        <w:rPr>
          <w:rFonts w:ascii="Times New Roman" w:hAnsi="Times New Roman" w:cs="Times New Roman"/>
          <w:bCs/>
          <w:iCs/>
          <w:sz w:val="24"/>
          <w:szCs w:val="24"/>
        </w:rPr>
        <w:t>)</w:t>
      </w:r>
      <w:r>
        <w:rPr>
          <w:rFonts w:ascii="Times New Roman" w:hAnsi="Times New Roman" w:cs="Times New Roman"/>
          <w:sz w:val="24"/>
          <w:szCs w:val="24"/>
        </w:rPr>
        <w:t xml:space="preserve">. </w:t>
      </w:r>
    </w:p>
    <w:p w:rsidR="00E26F84" w:rsidP="00A845E1">
      <w:pPr>
        <w:pStyle w:val="BodyTextIndent2"/>
        <w:spacing w:after="0" w:line="240" w:lineRule="auto"/>
        <w:ind w:left="0"/>
        <w:jc w:val="left"/>
        <w:rPr>
          <w:rFonts w:ascii="Times New Roman" w:hAnsi="Times New Roman" w:cs="Times New Roman"/>
          <w:sz w:val="24"/>
          <w:szCs w:val="24"/>
          <w:u w:val="single"/>
        </w:rPr>
      </w:pPr>
    </w:p>
    <w:p w:rsidR="00582297" w:rsidP="00582297">
      <w:pPr>
        <w:pStyle w:val="BodyTextIndent2"/>
        <w:spacing w:after="0" w:line="240" w:lineRule="auto"/>
        <w:ind w:left="0" w:firstLine="709"/>
        <w:rPr>
          <w:rFonts w:ascii="Times New Roman" w:hAnsi="Times New Roman" w:cs="Times New Roman"/>
          <w:sz w:val="24"/>
          <w:szCs w:val="24"/>
        </w:rPr>
      </w:pPr>
      <w:r w:rsidR="00A845E1">
        <w:rPr>
          <w:rFonts w:ascii="Times New Roman" w:hAnsi="Times New Roman" w:cs="Times New Roman"/>
          <w:sz w:val="24"/>
          <w:szCs w:val="24"/>
        </w:rPr>
        <w:t>Projektové práce</w:t>
      </w:r>
      <w:r w:rsidR="001F7D10">
        <w:rPr>
          <w:rFonts w:ascii="Times New Roman" w:hAnsi="Times New Roman" w:cs="Times New Roman"/>
          <w:sz w:val="24"/>
          <w:szCs w:val="24"/>
        </w:rPr>
        <w:t xml:space="preserve"> na uvedené stavby sú vypracovávané v súlade s uzatvorenými </w:t>
      </w:r>
      <w:r w:rsidR="00A845E1">
        <w:rPr>
          <w:rFonts w:ascii="Times New Roman" w:hAnsi="Times New Roman" w:cs="Times New Roman"/>
          <w:sz w:val="24"/>
          <w:szCs w:val="24"/>
        </w:rPr>
        <w:t>čiastko</w:t>
      </w:r>
      <w:r>
        <w:rPr>
          <w:rFonts w:ascii="Times New Roman" w:hAnsi="Times New Roman" w:cs="Times New Roman"/>
          <w:sz w:val="24"/>
          <w:szCs w:val="24"/>
        </w:rPr>
        <w:t xml:space="preserve">vými zmluvami. </w:t>
      </w:r>
    </w:p>
    <w:p w:rsidR="00A845E1" w:rsidRPr="00A845E1" w:rsidP="00582297">
      <w:pPr>
        <w:pStyle w:val="BodyTextIndent2"/>
        <w:spacing w:after="0" w:line="240" w:lineRule="auto"/>
        <w:ind w:left="0" w:firstLine="709"/>
        <w:rPr>
          <w:rFonts w:ascii="Times New Roman" w:hAnsi="Times New Roman" w:cs="Times New Roman"/>
          <w:sz w:val="24"/>
          <w:szCs w:val="24"/>
        </w:rPr>
      </w:pPr>
      <w:r w:rsidR="00134A5C">
        <w:rPr>
          <w:rFonts w:ascii="Times New Roman" w:hAnsi="Times New Roman" w:cs="Times New Roman"/>
          <w:sz w:val="24"/>
          <w:szCs w:val="24"/>
        </w:rPr>
        <w:t>Vyššie uvedené l</w:t>
      </w:r>
      <w:r>
        <w:rPr>
          <w:rFonts w:ascii="Times New Roman" w:hAnsi="Times New Roman" w:cs="Times New Roman"/>
          <w:sz w:val="24"/>
          <w:szCs w:val="24"/>
        </w:rPr>
        <w:t>imit</w:t>
      </w:r>
      <w:r w:rsidR="00134A5C">
        <w:rPr>
          <w:rFonts w:ascii="Times New Roman" w:hAnsi="Times New Roman" w:cs="Times New Roman"/>
          <w:sz w:val="24"/>
          <w:szCs w:val="24"/>
        </w:rPr>
        <w:t xml:space="preserve">y výdavkov z ERDF a ŠR </w:t>
      </w:r>
      <w:r>
        <w:rPr>
          <w:rFonts w:ascii="Times New Roman" w:hAnsi="Times New Roman" w:cs="Times New Roman"/>
          <w:sz w:val="24"/>
          <w:szCs w:val="24"/>
        </w:rPr>
        <w:t>nebol</w:t>
      </w:r>
      <w:r w:rsidR="00134A5C">
        <w:rPr>
          <w:rFonts w:ascii="Times New Roman" w:hAnsi="Times New Roman" w:cs="Times New Roman"/>
          <w:sz w:val="24"/>
          <w:szCs w:val="24"/>
        </w:rPr>
        <w:t>i vyčerpané</w:t>
      </w:r>
      <w:r>
        <w:rPr>
          <w:rFonts w:ascii="Times New Roman" w:hAnsi="Times New Roman" w:cs="Times New Roman"/>
          <w:sz w:val="24"/>
          <w:szCs w:val="24"/>
        </w:rPr>
        <w:t xml:space="preserve"> z nasledovných dôvodov:</w:t>
      </w:r>
      <w:r w:rsidR="00582297">
        <w:rPr>
          <w:rFonts w:ascii="Times New Roman" w:hAnsi="Times New Roman" w:cs="Times New Roman"/>
          <w:sz w:val="24"/>
          <w:szCs w:val="24"/>
        </w:rPr>
        <w:t xml:space="preserve"> </w:t>
      </w:r>
      <w:r>
        <w:rPr>
          <w:rFonts w:ascii="Times New Roman" w:hAnsi="Times New Roman" w:cs="Times New Roman"/>
          <w:sz w:val="24"/>
          <w:szCs w:val="24"/>
        </w:rPr>
        <w:t>V zozname stavieb</w:t>
      </w:r>
      <w:r w:rsidR="00134A5C">
        <w:rPr>
          <w:rFonts w:ascii="Times New Roman" w:hAnsi="Times New Roman" w:cs="Times New Roman"/>
          <w:sz w:val="24"/>
          <w:szCs w:val="24"/>
        </w:rPr>
        <w:t xml:space="preserve"> financovaných zo štrukturálneho fondu ERDF </w:t>
      </w:r>
      <w:r>
        <w:rPr>
          <w:rFonts w:ascii="Times New Roman" w:hAnsi="Times New Roman" w:cs="Times New Roman"/>
          <w:sz w:val="24"/>
          <w:szCs w:val="24"/>
        </w:rPr>
        <w:t xml:space="preserve">bola </w:t>
      </w:r>
      <w:r w:rsidR="0022562E">
        <w:rPr>
          <w:rFonts w:ascii="Times New Roman" w:hAnsi="Times New Roman" w:cs="Times New Roman"/>
          <w:sz w:val="24"/>
          <w:szCs w:val="24"/>
        </w:rPr>
        <w:t xml:space="preserve">pôvodne </w:t>
      </w:r>
      <w:r>
        <w:rPr>
          <w:rFonts w:ascii="Times New Roman" w:hAnsi="Times New Roman" w:cs="Times New Roman"/>
          <w:sz w:val="24"/>
          <w:szCs w:val="24"/>
        </w:rPr>
        <w:t xml:space="preserve">zaradená realizácia GSMR v úseku Cífer – Žilina. Na výber zhotoviteľa tejto stavby bola vyhlásená verejná súťaž, ktorá </w:t>
      </w:r>
      <w:r w:rsidR="00134A5C">
        <w:rPr>
          <w:rFonts w:ascii="Times New Roman" w:hAnsi="Times New Roman" w:cs="Times New Roman"/>
          <w:sz w:val="24"/>
          <w:szCs w:val="24"/>
        </w:rPr>
        <w:t xml:space="preserve">bola v marci 2007 </w:t>
      </w:r>
      <w:r>
        <w:rPr>
          <w:rFonts w:ascii="Times New Roman" w:hAnsi="Times New Roman" w:cs="Times New Roman"/>
          <w:sz w:val="24"/>
          <w:szCs w:val="24"/>
        </w:rPr>
        <w:t>zrušená. Ak</w:t>
      </w:r>
      <w:r w:rsidR="00134A5C">
        <w:rPr>
          <w:rFonts w:ascii="Times New Roman" w:hAnsi="Times New Roman" w:cs="Times New Roman"/>
          <w:sz w:val="24"/>
          <w:szCs w:val="24"/>
        </w:rPr>
        <w:t>o náhrada za tento projekt navýšilo MDPT SR financovanie</w:t>
      </w:r>
      <w:r>
        <w:rPr>
          <w:rFonts w:ascii="Times New Roman" w:hAnsi="Times New Roman" w:cs="Times New Roman"/>
          <w:sz w:val="24"/>
          <w:szCs w:val="24"/>
        </w:rPr>
        <w:t xml:space="preserve"> projektových prác na modernizáciu trate Žilina – Košice do výšky prvých čiastkových</w:t>
      </w:r>
      <w:r w:rsidR="00134A5C">
        <w:rPr>
          <w:rFonts w:ascii="Times New Roman" w:hAnsi="Times New Roman" w:cs="Times New Roman"/>
          <w:sz w:val="24"/>
          <w:szCs w:val="24"/>
        </w:rPr>
        <w:t xml:space="preserve"> zmlúv. </w:t>
      </w:r>
      <w:r>
        <w:rPr>
          <w:rFonts w:ascii="Times New Roman" w:hAnsi="Times New Roman" w:cs="Times New Roman"/>
          <w:sz w:val="24"/>
          <w:szCs w:val="24"/>
        </w:rPr>
        <w:t>Pre zdĺhav</w:t>
      </w:r>
      <w:r w:rsidR="00134A5C">
        <w:rPr>
          <w:rFonts w:ascii="Times New Roman" w:hAnsi="Times New Roman" w:cs="Times New Roman"/>
          <w:sz w:val="24"/>
          <w:szCs w:val="24"/>
        </w:rPr>
        <w:t xml:space="preserve">osť procesu navyšovania sumy </w:t>
      </w:r>
      <w:r>
        <w:rPr>
          <w:rFonts w:ascii="Times New Roman" w:hAnsi="Times New Roman" w:cs="Times New Roman"/>
          <w:sz w:val="24"/>
          <w:szCs w:val="24"/>
        </w:rPr>
        <w:t>schvaľovacieho listu boli neskoro uzavreté dodatky so zhotoviteľmi proj</w:t>
      </w:r>
      <w:r w:rsidR="00134A5C">
        <w:rPr>
          <w:rFonts w:ascii="Times New Roman" w:hAnsi="Times New Roman" w:cs="Times New Roman"/>
          <w:sz w:val="24"/>
          <w:szCs w:val="24"/>
        </w:rPr>
        <w:t xml:space="preserve">ektovej dokumentácie, čo malo za následok posunutie čerpania týchto prostriedkov. Nevyčerpané zdroje boli RO MF SR č. 36/2007 presunuté na použitie do roku 2008. </w:t>
      </w:r>
    </w:p>
    <w:p w:rsidR="00905A6C" w:rsidP="00C362EA">
      <w:pPr>
        <w:spacing w:line="240" w:lineRule="auto"/>
        <w:rPr>
          <w:rFonts w:ascii="Times New Roman" w:hAnsi="Times New Roman" w:cs="Times New Roman"/>
          <w:sz w:val="24"/>
          <w:szCs w:val="24"/>
        </w:rPr>
      </w:pPr>
    </w:p>
    <w:p w:rsidR="002710B0" w:rsidP="00C362EA">
      <w:pPr>
        <w:spacing w:line="240" w:lineRule="auto"/>
        <w:rPr>
          <w:rFonts w:ascii="Times New Roman" w:hAnsi="Times New Roman" w:cs="Times New Roman"/>
          <w:sz w:val="24"/>
          <w:szCs w:val="24"/>
        </w:rPr>
      </w:pPr>
    </w:p>
    <w:p w:rsidR="00684D28" w:rsidRPr="00496242" w:rsidP="00C362EA">
      <w:pPr>
        <w:spacing w:line="24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4. Projekty ISPA a príslušné spolufinancovanie </w:t>
      </w:r>
      <w:r w:rsidRPr="00496242">
        <w:rPr>
          <w:rFonts w:ascii="Times New Roman" w:hAnsi="Times New Roman" w:cs="Times New Roman"/>
          <w:b/>
          <w:sz w:val="24"/>
          <w:szCs w:val="24"/>
          <w:u w:val="single"/>
        </w:rPr>
        <w:t xml:space="preserve">alokované v kapitole VPS určené na projekty železničnej infraštruktúry </w:t>
      </w:r>
    </w:p>
    <w:p w:rsidR="00684D28" w:rsidP="00C362EA">
      <w:pPr>
        <w:spacing w:line="240" w:lineRule="auto"/>
        <w:rPr>
          <w:rFonts w:ascii="Times New Roman" w:hAnsi="Times New Roman" w:cs="Times New Roman"/>
          <w:b/>
          <w:sz w:val="24"/>
        </w:rPr>
      </w:pPr>
    </w:p>
    <w:p w:rsidR="00684D28" w:rsidRPr="00496242" w:rsidP="00C362EA">
      <w:pPr>
        <w:spacing w:line="240" w:lineRule="auto"/>
        <w:rPr>
          <w:rFonts w:ascii="Times New Roman" w:hAnsi="Times New Roman" w:cs="Times New Roman"/>
          <w:b/>
          <w:sz w:val="24"/>
        </w:rPr>
      </w:pPr>
      <w:r>
        <w:rPr>
          <w:rFonts w:ascii="Times New Roman" w:hAnsi="Times New Roman" w:cs="Times New Roman"/>
          <w:b/>
          <w:sz w:val="24"/>
        </w:rPr>
        <w:t>Podprogram 07S06 Rozvoj a modernizácia majetku železníc</w:t>
      </w:r>
    </w:p>
    <w:p w:rsidR="00684D28" w:rsidRPr="00B47B93" w:rsidP="00C362EA">
      <w:pPr>
        <w:pStyle w:val="NormalIndent"/>
        <w:tabs>
          <w:tab w:val="left" w:pos="0"/>
        </w:tabs>
        <w:spacing w:line="240" w:lineRule="auto"/>
        <w:ind w:left="0"/>
        <w:rPr>
          <w:rFonts w:ascii="Arial Narrow" w:hAnsi="Arial Narrow" w:cs="Times New Roman"/>
        </w:rPr>
      </w:pPr>
      <w:r w:rsidRPr="00B47B93">
        <w:rPr>
          <w:rFonts w:ascii="Arial Narrow" w:hAnsi="Arial Narrow" w:cs="Times New Roman"/>
        </w:rPr>
        <w:t xml:space="preserve">                                                                                     </w:t>
      </w:r>
      <w:r>
        <w:rPr>
          <w:rFonts w:ascii="Arial Narrow" w:hAnsi="Arial Narrow" w:cs="Times New Roman"/>
        </w:rPr>
        <w:t xml:space="preserve">                               </w:t>
      </w:r>
      <w:r w:rsidRPr="00B47B93">
        <w:rPr>
          <w:rFonts w:ascii="Arial Narrow" w:hAnsi="Arial Narrow" w:cs="Times New Roman"/>
        </w:rPr>
        <w:t xml:space="preserve">         </w:t>
      </w:r>
      <w:r w:rsidR="00D2239C">
        <w:rPr>
          <w:rFonts w:ascii="Arial Narrow" w:hAnsi="Arial Narrow" w:cs="Times New Roman"/>
        </w:rPr>
        <w:t xml:space="preserve">                         </w:t>
      </w:r>
      <w:r>
        <w:rPr>
          <w:rFonts w:ascii="Arial Narrow" w:hAnsi="Arial Narrow" w:cs="Times New Roman"/>
        </w:rPr>
        <w:t xml:space="preserve">(v </w:t>
      </w:r>
      <w:r w:rsidR="00D2239C">
        <w:rPr>
          <w:rFonts w:ascii="Arial Narrow" w:hAnsi="Arial Narrow" w:cs="Times New Roman"/>
        </w:rPr>
        <w:t xml:space="preserve">tis. </w:t>
      </w:r>
      <w:r w:rsidRPr="00B47B93">
        <w:rPr>
          <w:rFonts w:ascii="Arial Narrow" w:hAnsi="Arial Narrow" w:cs="Times New Roman"/>
        </w:rPr>
        <w:t>Sk)</w:t>
      </w:r>
    </w:p>
    <w:tbl>
      <w:tblPr>
        <w:tblW w:w="9360" w:type="dxa"/>
        <w:tblInd w:w="70"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top w:w="0" w:type="dxa"/>
          <w:left w:w="70" w:type="dxa"/>
          <w:bottom w:w="0" w:type="dxa"/>
          <w:right w:w="70" w:type="dxa"/>
        </w:tblCellMar>
      </w:tblPr>
      <w:tblGrid>
        <w:gridCol w:w="900"/>
        <w:gridCol w:w="4749"/>
        <w:gridCol w:w="1191"/>
        <w:gridCol w:w="1260"/>
        <w:gridCol w:w="1260"/>
      </w:tblGrid>
      <w:tr>
        <w:tblPrEx>
          <w:tblW w:w="9360" w:type="dxa"/>
          <w:tblInd w:w="70"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top w:w="0" w:type="dxa"/>
            <w:left w:w="70" w:type="dxa"/>
            <w:bottom w:w="0" w:type="dxa"/>
            <w:right w:w="70" w:type="dxa"/>
          </w:tblCellMar>
        </w:tblPrEx>
        <w:trPr>
          <w:trHeight w:hRule="auto" w:val="0"/>
        </w:trPr>
        <w:tc>
          <w:tcPr>
            <w:tcW w:w="900" w:type="dxa"/>
            <w:tcBorders>
              <w:top w:val="single" w:sz="12" w:space="0" w:color="auto"/>
              <w:left w:val="single" w:sz="12" w:space="0" w:color="auto"/>
              <w:bottom w:val="single" w:sz="12" w:space="0" w:color="auto"/>
              <w:right w:val="single" w:sz="8" w:space="0" w:color="auto"/>
              <w:tl2br w:val="nil"/>
              <w:tr2bl w:val="nil"/>
            </w:tcBorders>
            <w:shd w:val="clear" w:color="auto" w:fill="C0C0C0"/>
            <w:textDirection w:val="lrTb"/>
            <w:vAlign w:val="center"/>
          </w:tcPr>
          <w:p w:rsidR="00684D28" w:rsidRPr="00B47B93" w:rsidP="00C362EA">
            <w:pPr>
              <w:spacing w:line="240" w:lineRule="auto"/>
              <w:jc w:val="center"/>
              <w:rPr>
                <w:rFonts w:ascii="Arial Narrow" w:hAnsi="Arial Narrow" w:cs="Times New Roman"/>
                <w:b/>
                <w:bCs/>
                <w:sz w:val="22"/>
                <w:szCs w:val="22"/>
              </w:rPr>
            </w:pPr>
            <w:r w:rsidRPr="00B47B93">
              <w:rPr>
                <w:rFonts w:ascii="Arial Narrow" w:hAnsi="Arial Narrow" w:cs="Times New Roman"/>
                <w:b/>
                <w:bCs/>
                <w:sz w:val="22"/>
                <w:szCs w:val="22"/>
              </w:rPr>
              <w:t xml:space="preserve">Prvok </w:t>
            </w:r>
          </w:p>
        </w:tc>
        <w:tc>
          <w:tcPr>
            <w:tcW w:w="4749" w:type="dxa"/>
            <w:tcBorders>
              <w:top w:val="single" w:sz="12" w:space="0" w:color="auto"/>
              <w:left w:val="single" w:sz="8" w:space="0" w:color="auto"/>
              <w:bottom w:val="single" w:sz="12" w:space="0" w:color="auto"/>
              <w:right w:val="single" w:sz="8" w:space="0" w:color="auto"/>
              <w:tl2br w:val="nil"/>
              <w:tr2bl w:val="nil"/>
            </w:tcBorders>
            <w:shd w:val="clear" w:color="auto" w:fill="C0C0C0"/>
            <w:textDirection w:val="lrTb"/>
            <w:vAlign w:val="center"/>
          </w:tcPr>
          <w:p w:rsidR="00684D28" w:rsidRPr="00B47B93" w:rsidP="00C362EA">
            <w:pPr>
              <w:pStyle w:val="xl70"/>
              <w:spacing w:before="0" w:after="0" w:line="240" w:lineRule="auto"/>
              <w:rPr>
                <w:rFonts w:ascii="Arial Narrow" w:hAnsi="Arial Narrow" w:cs="Times New Roman"/>
                <w:b/>
                <w:bCs/>
                <w:sz w:val="22"/>
                <w:szCs w:val="22"/>
                <w:lang w:val="sk-SK"/>
              </w:rPr>
            </w:pPr>
            <w:r w:rsidRPr="00B47B93">
              <w:rPr>
                <w:rFonts w:ascii="Arial Narrow" w:hAnsi="Arial Narrow" w:cs="Times New Roman"/>
                <w:b/>
                <w:bCs/>
                <w:sz w:val="22"/>
                <w:szCs w:val="22"/>
                <w:lang w:val="sk-SK"/>
              </w:rPr>
              <w:t>Názov stavby</w:t>
            </w:r>
          </w:p>
        </w:tc>
        <w:tc>
          <w:tcPr>
            <w:tcW w:w="1191" w:type="dxa"/>
            <w:tcBorders>
              <w:top w:val="single" w:sz="12" w:space="0" w:color="auto"/>
              <w:left w:val="single" w:sz="8" w:space="0" w:color="auto"/>
              <w:bottom w:val="single" w:sz="12" w:space="0" w:color="auto"/>
              <w:right w:val="single" w:sz="8" w:space="0" w:color="auto"/>
              <w:tl2br w:val="nil"/>
              <w:tr2bl w:val="nil"/>
            </w:tcBorders>
            <w:shd w:val="clear" w:color="auto" w:fill="C0C0C0"/>
            <w:textDirection w:val="lrTb"/>
            <w:vAlign w:val="center"/>
          </w:tcPr>
          <w:p w:rsidR="00684D28" w:rsidRPr="00B47B93" w:rsidP="00C362EA">
            <w:pPr>
              <w:spacing w:line="240" w:lineRule="auto"/>
              <w:jc w:val="center"/>
              <w:rPr>
                <w:rFonts w:ascii="Arial Narrow" w:hAnsi="Arial Narrow" w:cs="Times New Roman"/>
                <w:b/>
                <w:bCs/>
                <w:sz w:val="22"/>
                <w:szCs w:val="22"/>
              </w:rPr>
            </w:pPr>
            <w:r>
              <w:rPr>
                <w:rFonts w:ascii="Arial Narrow" w:hAnsi="Arial Narrow" w:cs="Times New Roman"/>
                <w:b/>
                <w:bCs/>
                <w:sz w:val="22"/>
                <w:szCs w:val="22"/>
              </w:rPr>
              <w:t>Schvále</w:t>
            </w:r>
            <w:r w:rsidRPr="00B47B93">
              <w:rPr>
                <w:rFonts w:ascii="Arial Narrow" w:hAnsi="Arial Narrow" w:cs="Times New Roman"/>
                <w:b/>
                <w:bCs/>
                <w:sz w:val="22"/>
                <w:szCs w:val="22"/>
              </w:rPr>
              <w:t>ný</w:t>
            </w:r>
          </w:p>
          <w:p w:rsidR="00684D28" w:rsidRPr="00B47B93" w:rsidP="00C362EA">
            <w:pPr>
              <w:spacing w:line="240" w:lineRule="auto"/>
              <w:jc w:val="center"/>
              <w:rPr>
                <w:rFonts w:ascii="Arial Narrow" w:hAnsi="Arial Narrow" w:cs="Times New Roman"/>
                <w:b/>
                <w:bCs/>
                <w:sz w:val="22"/>
                <w:szCs w:val="22"/>
              </w:rPr>
            </w:pPr>
            <w:r w:rsidRPr="00B47B93">
              <w:rPr>
                <w:rFonts w:ascii="Arial Narrow" w:hAnsi="Arial Narrow" w:cs="Times New Roman"/>
                <w:b/>
                <w:bCs/>
                <w:sz w:val="22"/>
                <w:szCs w:val="22"/>
              </w:rPr>
              <w:t>rozpočet</w:t>
            </w:r>
            <w:r>
              <w:rPr>
                <w:rFonts w:ascii="Arial Narrow" w:hAnsi="Arial Narrow" w:cs="Times New Roman"/>
                <w:b/>
                <w:bCs/>
                <w:sz w:val="22"/>
                <w:szCs w:val="22"/>
              </w:rPr>
              <w:t xml:space="preserve"> k 1.1.</w:t>
            </w:r>
            <w:r w:rsidR="00351C9C">
              <w:rPr>
                <w:rFonts w:ascii="Arial Narrow" w:hAnsi="Arial Narrow" w:cs="Times New Roman"/>
                <w:b/>
                <w:bCs/>
                <w:sz w:val="22"/>
                <w:szCs w:val="22"/>
              </w:rPr>
              <w:t>20</w:t>
            </w:r>
            <w:r>
              <w:rPr>
                <w:rFonts w:ascii="Arial Narrow" w:hAnsi="Arial Narrow" w:cs="Times New Roman"/>
                <w:b/>
                <w:bCs/>
                <w:sz w:val="22"/>
                <w:szCs w:val="22"/>
              </w:rPr>
              <w:t>0</w:t>
            </w:r>
            <w:r w:rsidR="00500CEE">
              <w:rPr>
                <w:rFonts w:ascii="Arial Narrow" w:hAnsi="Arial Narrow" w:cs="Times New Roman"/>
                <w:b/>
                <w:bCs/>
                <w:sz w:val="22"/>
                <w:szCs w:val="22"/>
              </w:rPr>
              <w:t>7</w:t>
            </w:r>
          </w:p>
        </w:tc>
        <w:tc>
          <w:tcPr>
            <w:tcW w:w="1260" w:type="dxa"/>
            <w:tcBorders>
              <w:top w:val="single" w:sz="12" w:space="0" w:color="auto"/>
              <w:left w:val="single" w:sz="8" w:space="0" w:color="auto"/>
              <w:bottom w:val="single" w:sz="12" w:space="0" w:color="auto"/>
              <w:right w:val="single" w:sz="8" w:space="0" w:color="auto"/>
              <w:tl2br w:val="nil"/>
              <w:tr2bl w:val="nil"/>
            </w:tcBorders>
            <w:shd w:val="clear" w:color="auto" w:fill="C0C0C0"/>
            <w:textDirection w:val="lrTb"/>
            <w:vAlign w:val="center"/>
          </w:tcPr>
          <w:p w:rsidR="00134C6D" w:rsidRPr="00B47B93" w:rsidP="00134C6D">
            <w:pPr>
              <w:spacing w:line="240" w:lineRule="auto"/>
              <w:jc w:val="center"/>
              <w:rPr>
                <w:rFonts w:ascii="Arial Narrow" w:hAnsi="Arial Narrow" w:cs="Times New Roman"/>
                <w:b/>
                <w:bCs/>
                <w:sz w:val="22"/>
                <w:szCs w:val="22"/>
              </w:rPr>
            </w:pPr>
            <w:r>
              <w:rPr>
                <w:rFonts w:ascii="Arial Narrow" w:hAnsi="Arial Narrow" w:cs="Times New Roman"/>
                <w:b/>
                <w:bCs/>
                <w:sz w:val="22"/>
                <w:szCs w:val="22"/>
              </w:rPr>
              <w:t>Uprave</w:t>
            </w:r>
            <w:r w:rsidRPr="00B47B93">
              <w:rPr>
                <w:rFonts w:ascii="Arial Narrow" w:hAnsi="Arial Narrow" w:cs="Times New Roman"/>
                <w:b/>
                <w:bCs/>
                <w:sz w:val="22"/>
                <w:szCs w:val="22"/>
              </w:rPr>
              <w:t>ný</w:t>
            </w:r>
          </w:p>
          <w:p w:rsidR="00684D28" w:rsidRPr="00B47B93" w:rsidP="00134C6D">
            <w:pPr>
              <w:spacing w:line="240" w:lineRule="auto"/>
              <w:jc w:val="center"/>
              <w:rPr>
                <w:rFonts w:ascii="Arial Narrow" w:hAnsi="Arial Narrow" w:cs="Times New Roman"/>
                <w:b/>
                <w:bCs/>
                <w:sz w:val="22"/>
                <w:szCs w:val="22"/>
              </w:rPr>
            </w:pPr>
            <w:r w:rsidRPr="00B47B93" w:rsidR="00134C6D">
              <w:rPr>
                <w:rFonts w:ascii="Arial Narrow" w:hAnsi="Arial Narrow" w:cs="Times New Roman"/>
                <w:b/>
                <w:bCs/>
                <w:sz w:val="22"/>
                <w:szCs w:val="22"/>
              </w:rPr>
              <w:t>rozpočet</w:t>
            </w:r>
            <w:r w:rsidR="00134C6D">
              <w:rPr>
                <w:rFonts w:ascii="Arial Narrow" w:hAnsi="Arial Narrow" w:cs="Times New Roman"/>
                <w:b/>
                <w:bCs/>
                <w:sz w:val="22"/>
                <w:szCs w:val="22"/>
              </w:rPr>
              <w:t xml:space="preserve"> k 31.1.200</w:t>
            </w:r>
            <w:r w:rsidR="00500CEE">
              <w:rPr>
                <w:rFonts w:ascii="Arial Narrow" w:hAnsi="Arial Narrow" w:cs="Times New Roman"/>
                <w:b/>
                <w:bCs/>
                <w:sz w:val="22"/>
                <w:szCs w:val="22"/>
              </w:rPr>
              <w:t>7</w:t>
            </w:r>
          </w:p>
        </w:tc>
        <w:tc>
          <w:tcPr>
            <w:tcW w:w="1260" w:type="dxa"/>
            <w:tcBorders>
              <w:top w:val="single" w:sz="12" w:space="0" w:color="auto"/>
              <w:left w:val="single" w:sz="8" w:space="0" w:color="auto"/>
              <w:bottom w:val="single" w:sz="12" w:space="0" w:color="auto"/>
              <w:right w:val="single" w:sz="12" w:space="0" w:color="auto"/>
              <w:tl2br w:val="nil"/>
              <w:tr2bl w:val="nil"/>
            </w:tcBorders>
            <w:shd w:val="clear" w:color="auto" w:fill="C0C0C0"/>
            <w:textDirection w:val="lrTb"/>
            <w:vAlign w:val="center"/>
          </w:tcPr>
          <w:p w:rsidR="00684D28" w:rsidRPr="00B47B93" w:rsidP="00C362EA">
            <w:pPr>
              <w:spacing w:line="240" w:lineRule="auto"/>
              <w:jc w:val="center"/>
              <w:rPr>
                <w:rFonts w:ascii="Arial Narrow" w:hAnsi="Arial Narrow" w:cs="Times New Roman"/>
                <w:b/>
                <w:bCs/>
                <w:sz w:val="22"/>
                <w:szCs w:val="22"/>
              </w:rPr>
            </w:pPr>
            <w:r w:rsidRPr="00B47B93" w:rsidR="00134C6D">
              <w:rPr>
                <w:rFonts w:ascii="Arial Narrow" w:hAnsi="Arial Narrow" w:cs="Times New Roman"/>
                <w:b/>
                <w:bCs/>
                <w:sz w:val="22"/>
                <w:szCs w:val="22"/>
              </w:rPr>
              <w:t>Skutočné č</w:t>
            </w:r>
            <w:r w:rsidR="00134C6D">
              <w:rPr>
                <w:rFonts w:ascii="Arial Narrow" w:hAnsi="Arial Narrow" w:cs="Times New Roman"/>
                <w:b/>
                <w:bCs/>
                <w:sz w:val="22"/>
                <w:szCs w:val="22"/>
              </w:rPr>
              <w:t xml:space="preserve">erpanie </w:t>
            </w:r>
            <w:r w:rsidR="00526431">
              <w:rPr>
                <w:rFonts w:ascii="Symbol" w:hAnsi="Symbol" w:cs="Times New Roman"/>
                <w:b/>
                <w:bCs/>
                <w:sz w:val="22"/>
                <w:szCs w:val="22"/>
              </w:rPr>
              <w:sym w:font="Symbol" w:char="F02A"/>
            </w:r>
            <w:r w:rsidR="00526431">
              <w:rPr>
                <w:rFonts w:ascii="Arial Narrow" w:hAnsi="Arial Narrow" w:cs="Times New Roman"/>
                <w:b/>
                <w:bCs/>
                <w:sz w:val="22"/>
                <w:szCs w:val="22"/>
              </w:rPr>
              <w:t xml:space="preserve"> </w:t>
            </w:r>
            <w:r w:rsidR="00134C6D">
              <w:rPr>
                <w:rFonts w:ascii="Arial Narrow" w:hAnsi="Arial Narrow" w:cs="Times New Roman"/>
                <w:b/>
                <w:bCs/>
                <w:sz w:val="22"/>
                <w:szCs w:val="22"/>
              </w:rPr>
              <w:t>k 31.12.200</w:t>
            </w:r>
            <w:r w:rsidR="00500CEE">
              <w:rPr>
                <w:rFonts w:ascii="Arial Narrow" w:hAnsi="Arial Narrow" w:cs="Times New Roman"/>
                <w:b/>
                <w:bCs/>
                <w:sz w:val="22"/>
                <w:szCs w:val="22"/>
              </w:rPr>
              <w:t>7</w:t>
            </w:r>
          </w:p>
        </w:tc>
      </w:tr>
      <w:tr>
        <w:tblPrEx>
          <w:tblW w:w="9360" w:type="dxa"/>
          <w:tblInd w:w="70" w:type="dxa"/>
          <w:tblLayout w:type="fixed"/>
          <w:tblCellMar>
            <w:top w:w="0" w:type="dxa"/>
            <w:left w:w="70" w:type="dxa"/>
            <w:bottom w:w="0" w:type="dxa"/>
            <w:right w:w="70" w:type="dxa"/>
          </w:tblCellMar>
        </w:tblPrEx>
        <w:trPr>
          <w:trHeight w:hRule="auto" w:val="0"/>
        </w:trPr>
        <w:tc>
          <w:tcPr>
            <w:tcW w:w="900" w:type="dxa"/>
            <w:tcBorders>
              <w:top w:val="single" w:sz="12" w:space="0" w:color="auto"/>
              <w:left w:val="single" w:sz="12" w:space="0" w:color="auto"/>
              <w:bottom w:val="single" w:sz="8" w:space="0" w:color="auto"/>
              <w:right w:val="single" w:sz="8" w:space="0" w:color="auto"/>
              <w:tl2br w:val="nil"/>
              <w:tr2bl w:val="nil"/>
            </w:tcBorders>
            <w:textDirection w:val="lrTb"/>
            <w:vAlign w:val="center"/>
          </w:tcPr>
          <w:p w:rsidR="00684D28" w:rsidRPr="00B47B93" w:rsidP="00C362EA">
            <w:pPr>
              <w:spacing w:line="240" w:lineRule="auto"/>
              <w:rPr>
                <w:rFonts w:ascii="Arial Narrow" w:hAnsi="Arial Narrow" w:cs="Times New Roman"/>
              </w:rPr>
            </w:pPr>
            <w:r w:rsidRPr="00B47B93">
              <w:rPr>
                <w:rFonts w:ascii="Arial Narrow" w:hAnsi="Arial Narrow" w:cs="Times New Roman"/>
              </w:rPr>
              <w:t> </w:t>
            </w:r>
          </w:p>
        </w:tc>
        <w:tc>
          <w:tcPr>
            <w:tcW w:w="4749" w:type="dxa"/>
            <w:tcBorders>
              <w:top w:val="single" w:sz="12" w:space="0" w:color="auto"/>
              <w:left w:val="single" w:sz="8" w:space="0" w:color="auto"/>
              <w:bottom w:val="single" w:sz="8" w:space="0" w:color="auto"/>
              <w:right w:val="single" w:sz="8" w:space="0" w:color="auto"/>
              <w:tl2br w:val="nil"/>
              <w:tr2bl w:val="nil"/>
            </w:tcBorders>
            <w:textDirection w:val="lrTb"/>
            <w:vAlign w:val="center"/>
          </w:tcPr>
          <w:p w:rsidR="00684D28" w:rsidRPr="00B47B93" w:rsidP="00C362EA">
            <w:pPr>
              <w:spacing w:line="240" w:lineRule="auto"/>
              <w:rPr>
                <w:rFonts w:ascii="Arial Narrow" w:hAnsi="Arial Narrow" w:cs="Times New Roman"/>
                <w:b/>
                <w:bCs/>
              </w:rPr>
            </w:pPr>
            <w:r w:rsidRPr="00B47B93">
              <w:rPr>
                <w:rFonts w:ascii="Arial Narrow" w:hAnsi="Arial Narrow" w:cs="Times New Roman"/>
                <w:b/>
                <w:bCs/>
              </w:rPr>
              <w:t>ISPA    s p o l u</w:t>
            </w:r>
          </w:p>
        </w:tc>
        <w:tc>
          <w:tcPr>
            <w:tcW w:w="1191" w:type="dxa"/>
            <w:tcBorders>
              <w:top w:val="single" w:sz="12" w:space="0" w:color="auto"/>
              <w:left w:val="single" w:sz="8" w:space="0" w:color="auto"/>
              <w:bottom w:val="single" w:sz="8" w:space="0" w:color="auto"/>
              <w:right w:val="single" w:sz="8" w:space="0" w:color="auto"/>
              <w:tl2br w:val="nil"/>
              <w:tr2bl w:val="nil"/>
            </w:tcBorders>
            <w:textDirection w:val="lrTb"/>
            <w:vAlign w:val="center"/>
          </w:tcPr>
          <w:p w:rsidR="00684D28" w:rsidRPr="00B47B93" w:rsidP="00C362EA">
            <w:pPr>
              <w:spacing w:line="240" w:lineRule="auto"/>
              <w:jc w:val="right"/>
              <w:rPr>
                <w:rFonts w:ascii="Arial Narrow" w:hAnsi="Arial Narrow" w:cs="Times New Roman"/>
                <w:b/>
                <w:bCs/>
              </w:rPr>
            </w:pPr>
            <w:r w:rsidR="00351C9C">
              <w:rPr>
                <w:rFonts w:ascii="Arial Narrow" w:hAnsi="Arial Narrow" w:cs="Times New Roman"/>
                <w:b/>
                <w:bCs/>
              </w:rPr>
              <w:t>343 292</w:t>
            </w:r>
          </w:p>
        </w:tc>
        <w:tc>
          <w:tcPr>
            <w:tcW w:w="1260" w:type="dxa"/>
            <w:tcBorders>
              <w:top w:val="single" w:sz="12" w:space="0" w:color="auto"/>
              <w:left w:val="single" w:sz="8" w:space="0" w:color="auto"/>
              <w:bottom w:val="single" w:sz="8" w:space="0" w:color="auto"/>
              <w:right w:val="single" w:sz="8" w:space="0" w:color="auto"/>
              <w:tl2br w:val="nil"/>
              <w:tr2bl w:val="nil"/>
            </w:tcBorders>
            <w:textDirection w:val="lrTb"/>
            <w:vAlign w:val="center"/>
          </w:tcPr>
          <w:p w:rsidR="00684D28" w:rsidRPr="00B47B93" w:rsidP="00C362EA">
            <w:pPr>
              <w:spacing w:line="240" w:lineRule="auto"/>
              <w:jc w:val="right"/>
              <w:rPr>
                <w:rFonts w:ascii="Arial Narrow" w:hAnsi="Arial Narrow" w:cs="Times New Roman"/>
                <w:b/>
                <w:bCs/>
              </w:rPr>
            </w:pPr>
            <w:r w:rsidR="000F134C">
              <w:rPr>
                <w:rFonts w:ascii="Arial Narrow" w:hAnsi="Arial Narrow" w:cs="Times New Roman"/>
                <w:b/>
                <w:bCs/>
              </w:rPr>
              <w:t>343 501</w:t>
            </w:r>
          </w:p>
        </w:tc>
        <w:tc>
          <w:tcPr>
            <w:tcW w:w="1260" w:type="dxa"/>
            <w:tcBorders>
              <w:top w:val="single" w:sz="12" w:space="0" w:color="auto"/>
              <w:left w:val="single" w:sz="8" w:space="0" w:color="auto"/>
              <w:bottom w:val="single" w:sz="8" w:space="0" w:color="auto"/>
              <w:right w:val="single" w:sz="12" w:space="0" w:color="auto"/>
              <w:tl2br w:val="nil"/>
              <w:tr2bl w:val="nil"/>
            </w:tcBorders>
            <w:textDirection w:val="lrTb"/>
            <w:vAlign w:val="center"/>
          </w:tcPr>
          <w:p w:rsidR="00684D28" w:rsidRPr="00B47B93" w:rsidP="00134C6D">
            <w:pPr>
              <w:spacing w:line="240" w:lineRule="auto"/>
              <w:jc w:val="right"/>
              <w:rPr>
                <w:rFonts w:ascii="Arial Narrow" w:hAnsi="Arial Narrow" w:cs="Times New Roman"/>
                <w:b/>
                <w:bCs/>
              </w:rPr>
            </w:pPr>
            <w:r w:rsidR="00507022">
              <w:rPr>
                <w:rFonts w:ascii="Arial Narrow" w:hAnsi="Arial Narrow" w:cs="Times New Roman"/>
                <w:b/>
                <w:bCs/>
              </w:rPr>
              <w:t>316 948</w:t>
            </w:r>
          </w:p>
        </w:tc>
      </w:tr>
      <w:tr>
        <w:tblPrEx>
          <w:tblW w:w="9360" w:type="dxa"/>
          <w:tblInd w:w="70" w:type="dxa"/>
          <w:tblLayout w:type="fixed"/>
          <w:tblCellMar>
            <w:top w:w="0" w:type="dxa"/>
            <w:left w:w="70" w:type="dxa"/>
            <w:bottom w:w="0" w:type="dxa"/>
            <w:right w:w="70" w:type="dxa"/>
          </w:tblCellMar>
        </w:tblPrEx>
        <w:trPr>
          <w:trHeight w:hRule="auto" w:val="0"/>
        </w:trPr>
        <w:tc>
          <w:tcPr>
            <w:tcW w:w="900" w:type="dxa"/>
            <w:tcBorders>
              <w:top w:val="single" w:sz="8" w:space="0" w:color="auto"/>
              <w:left w:val="single" w:sz="12" w:space="0" w:color="auto"/>
              <w:bottom w:val="single" w:sz="4" w:space="0" w:color="auto"/>
              <w:right w:val="single" w:sz="8" w:space="0" w:color="auto"/>
              <w:tl2br w:val="nil"/>
              <w:tr2bl w:val="nil"/>
            </w:tcBorders>
            <w:textDirection w:val="lrTb"/>
            <w:vAlign w:val="center"/>
          </w:tcPr>
          <w:p w:rsidR="00684D28" w:rsidRPr="00B47B93" w:rsidP="00C362EA">
            <w:pPr>
              <w:spacing w:line="240" w:lineRule="auto"/>
              <w:rPr>
                <w:rFonts w:ascii="Arial Narrow" w:hAnsi="Arial Narrow" w:cs="Times New Roman"/>
              </w:rPr>
            </w:pPr>
            <w:r w:rsidRPr="00B47B93">
              <w:rPr>
                <w:rFonts w:ascii="Arial Narrow" w:hAnsi="Arial Narrow" w:cs="Times New Roman"/>
              </w:rPr>
              <w:t> </w:t>
            </w:r>
          </w:p>
        </w:tc>
        <w:tc>
          <w:tcPr>
            <w:tcW w:w="4749" w:type="dxa"/>
            <w:tcBorders>
              <w:top w:val="single" w:sz="8" w:space="0" w:color="auto"/>
              <w:left w:val="single" w:sz="8" w:space="0" w:color="auto"/>
              <w:bottom w:val="single" w:sz="4" w:space="0" w:color="auto"/>
              <w:right w:val="single" w:sz="8" w:space="0" w:color="auto"/>
              <w:tl2br w:val="nil"/>
              <w:tr2bl w:val="nil"/>
            </w:tcBorders>
            <w:textDirection w:val="lrTb"/>
            <w:vAlign w:val="center"/>
          </w:tcPr>
          <w:p w:rsidR="00684D28" w:rsidRPr="00B47B93" w:rsidP="00C362EA">
            <w:pPr>
              <w:spacing w:line="240" w:lineRule="auto"/>
              <w:rPr>
                <w:rFonts w:ascii="Arial Narrow" w:hAnsi="Arial Narrow" w:cs="Times New Roman"/>
              </w:rPr>
            </w:pPr>
            <w:r w:rsidRPr="00B47B93">
              <w:rPr>
                <w:rFonts w:ascii="Arial Narrow" w:hAnsi="Arial Narrow" w:cs="Times New Roman"/>
              </w:rPr>
              <w:t>z toho: z prostriedkov EÚ</w:t>
            </w:r>
          </w:p>
        </w:tc>
        <w:tc>
          <w:tcPr>
            <w:tcW w:w="1191" w:type="dxa"/>
            <w:tcBorders>
              <w:top w:val="single" w:sz="8" w:space="0" w:color="auto"/>
              <w:left w:val="single" w:sz="8" w:space="0" w:color="auto"/>
              <w:bottom w:val="single" w:sz="4" w:space="0" w:color="auto"/>
              <w:right w:val="single" w:sz="8" w:space="0" w:color="auto"/>
              <w:tl2br w:val="nil"/>
              <w:tr2bl w:val="nil"/>
            </w:tcBorders>
            <w:textDirection w:val="lrTb"/>
            <w:vAlign w:val="center"/>
          </w:tcPr>
          <w:p w:rsidR="00684D28" w:rsidRPr="00B47B93" w:rsidP="00C362EA">
            <w:pPr>
              <w:spacing w:line="240" w:lineRule="auto"/>
              <w:jc w:val="right"/>
              <w:rPr>
                <w:rFonts w:ascii="Arial Narrow" w:hAnsi="Arial Narrow" w:cs="Times New Roman"/>
              </w:rPr>
            </w:pPr>
            <w:r w:rsidR="00351C9C">
              <w:rPr>
                <w:rFonts w:ascii="Arial Narrow" w:hAnsi="Arial Narrow" w:cs="Times New Roman"/>
              </w:rPr>
              <w:t>5 514</w:t>
            </w:r>
          </w:p>
        </w:tc>
        <w:tc>
          <w:tcPr>
            <w:tcW w:w="1260" w:type="dxa"/>
            <w:tcBorders>
              <w:top w:val="single" w:sz="8" w:space="0" w:color="auto"/>
              <w:left w:val="single" w:sz="8" w:space="0" w:color="auto"/>
              <w:bottom w:val="single" w:sz="4" w:space="0" w:color="auto"/>
              <w:right w:val="single" w:sz="8" w:space="0" w:color="auto"/>
              <w:tl2br w:val="nil"/>
              <w:tr2bl w:val="nil"/>
            </w:tcBorders>
            <w:textDirection w:val="lrTb"/>
            <w:vAlign w:val="center"/>
          </w:tcPr>
          <w:p w:rsidR="00684D28" w:rsidRPr="00B47B93" w:rsidP="00C362EA">
            <w:pPr>
              <w:spacing w:line="240" w:lineRule="auto"/>
              <w:jc w:val="right"/>
              <w:rPr>
                <w:rFonts w:ascii="Arial Narrow" w:hAnsi="Arial Narrow" w:cs="Times New Roman"/>
              </w:rPr>
            </w:pPr>
            <w:r w:rsidR="00B06A88">
              <w:rPr>
                <w:rFonts w:ascii="Arial Narrow" w:hAnsi="Arial Narrow" w:cs="Times New Roman"/>
              </w:rPr>
              <w:t>5 514</w:t>
            </w:r>
          </w:p>
        </w:tc>
        <w:tc>
          <w:tcPr>
            <w:tcW w:w="1260" w:type="dxa"/>
            <w:tcBorders>
              <w:top w:val="single" w:sz="8" w:space="0" w:color="auto"/>
              <w:left w:val="single" w:sz="8" w:space="0" w:color="auto"/>
              <w:bottom w:val="single" w:sz="4" w:space="0" w:color="auto"/>
              <w:right w:val="single" w:sz="12" w:space="0" w:color="auto"/>
              <w:tl2br w:val="nil"/>
              <w:tr2bl w:val="nil"/>
            </w:tcBorders>
            <w:textDirection w:val="lrTb"/>
            <w:vAlign w:val="center"/>
          </w:tcPr>
          <w:p w:rsidR="00684D28" w:rsidRPr="00B47B93" w:rsidP="00134C6D">
            <w:pPr>
              <w:spacing w:line="240" w:lineRule="auto"/>
              <w:jc w:val="right"/>
              <w:rPr>
                <w:rFonts w:ascii="Arial Narrow" w:hAnsi="Arial Narrow" w:cs="Times New Roman"/>
              </w:rPr>
            </w:pPr>
            <w:r w:rsidR="00507022">
              <w:rPr>
                <w:rFonts w:ascii="Arial Narrow" w:hAnsi="Arial Narrow" w:cs="Times New Roman"/>
              </w:rPr>
              <w:t>2 508</w:t>
            </w:r>
          </w:p>
        </w:tc>
      </w:tr>
      <w:tr>
        <w:tblPrEx>
          <w:tblW w:w="9360" w:type="dxa"/>
          <w:tblInd w:w="70" w:type="dxa"/>
          <w:tblLayout w:type="fixed"/>
          <w:tblCellMar>
            <w:top w:w="0" w:type="dxa"/>
            <w:left w:w="70" w:type="dxa"/>
            <w:bottom w:w="0" w:type="dxa"/>
            <w:right w:w="70" w:type="dxa"/>
          </w:tblCellMar>
        </w:tblPrEx>
        <w:trPr>
          <w:trHeight w:hRule="auto" w:val="0"/>
        </w:trPr>
        <w:tc>
          <w:tcPr>
            <w:tcW w:w="900" w:type="dxa"/>
            <w:tcBorders>
              <w:top w:val="single" w:sz="4" w:space="0" w:color="auto"/>
              <w:left w:val="single" w:sz="12" w:space="0" w:color="auto"/>
              <w:bottom w:val="single" w:sz="8" w:space="0" w:color="auto"/>
              <w:right w:val="single" w:sz="8" w:space="0" w:color="auto"/>
              <w:tl2br w:val="nil"/>
              <w:tr2bl w:val="nil"/>
            </w:tcBorders>
            <w:textDirection w:val="lrTb"/>
            <w:vAlign w:val="center"/>
          </w:tcPr>
          <w:p w:rsidR="00684D28" w:rsidRPr="00B47B93" w:rsidP="00C362EA">
            <w:pPr>
              <w:spacing w:line="240" w:lineRule="auto"/>
              <w:rPr>
                <w:rFonts w:ascii="Arial Narrow" w:hAnsi="Arial Narrow" w:cs="Times New Roman"/>
              </w:rPr>
            </w:pPr>
            <w:r w:rsidRPr="00B47B93">
              <w:rPr>
                <w:rFonts w:ascii="Arial Narrow" w:hAnsi="Arial Narrow" w:cs="Times New Roman"/>
              </w:rPr>
              <w:t> </w:t>
            </w:r>
          </w:p>
        </w:tc>
        <w:tc>
          <w:tcPr>
            <w:tcW w:w="4749" w:type="dxa"/>
            <w:tcBorders>
              <w:top w:val="single" w:sz="4" w:space="0" w:color="auto"/>
              <w:left w:val="single" w:sz="8" w:space="0" w:color="auto"/>
              <w:bottom w:val="single" w:sz="8" w:space="0" w:color="auto"/>
              <w:right w:val="single" w:sz="8" w:space="0" w:color="auto"/>
              <w:tl2br w:val="nil"/>
              <w:tr2bl w:val="nil"/>
            </w:tcBorders>
            <w:textDirection w:val="lrTb"/>
            <w:vAlign w:val="center"/>
          </w:tcPr>
          <w:p w:rsidR="00684D28" w:rsidRPr="00B47B93" w:rsidP="00C362EA">
            <w:pPr>
              <w:spacing w:line="240" w:lineRule="auto"/>
              <w:rPr>
                <w:rFonts w:ascii="Arial Narrow" w:hAnsi="Arial Narrow" w:cs="Times New Roman"/>
              </w:rPr>
            </w:pPr>
            <w:r w:rsidRPr="00B47B93">
              <w:rPr>
                <w:rFonts w:ascii="Arial Narrow" w:hAnsi="Arial Narrow" w:cs="Times New Roman"/>
              </w:rPr>
              <w:t xml:space="preserve">           z prostriedkov spolufinancovania z</w:t>
            </w:r>
            <w:r w:rsidR="00613A87">
              <w:rPr>
                <w:rFonts w:ascii="Arial Narrow" w:hAnsi="Arial Narrow" w:cs="Times New Roman"/>
              </w:rPr>
              <w:t> </w:t>
            </w:r>
            <w:r w:rsidRPr="00B47B93">
              <w:rPr>
                <w:rFonts w:ascii="Arial Narrow" w:hAnsi="Arial Narrow" w:cs="Times New Roman"/>
              </w:rPr>
              <w:t>VPS</w:t>
            </w:r>
          </w:p>
        </w:tc>
        <w:tc>
          <w:tcPr>
            <w:tcW w:w="1191" w:type="dxa"/>
            <w:tcBorders>
              <w:top w:val="single" w:sz="4" w:space="0" w:color="auto"/>
              <w:left w:val="single" w:sz="8" w:space="0" w:color="auto"/>
              <w:bottom w:val="single" w:sz="8" w:space="0" w:color="auto"/>
              <w:right w:val="single" w:sz="8" w:space="0" w:color="auto"/>
              <w:tl2br w:val="nil"/>
              <w:tr2bl w:val="nil"/>
            </w:tcBorders>
            <w:textDirection w:val="lrTb"/>
            <w:vAlign w:val="center"/>
          </w:tcPr>
          <w:p w:rsidR="00684D28" w:rsidRPr="00B47B93" w:rsidP="00C362EA">
            <w:pPr>
              <w:spacing w:line="240" w:lineRule="auto"/>
              <w:jc w:val="right"/>
              <w:rPr>
                <w:rFonts w:ascii="Arial Narrow" w:hAnsi="Arial Narrow" w:cs="Times New Roman"/>
              </w:rPr>
            </w:pPr>
            <w:r w:rsidR="00351C9C">
              <w:rPr>
                <w:rFonts w:ascii="Arial Narrow" w:hAnsi="Arial Narrow" w:cs="Times New Roman"/>
              </w:rPr>
              <w:t>337 778</w:t>
            </w:r>
          </w:p>
        </w:tc>
        <w:tc>
          <w:tcPr>
            <w:tcW w:w="1260" w:type="dxa"/>
            <w:tcBorders>
              <w:top w:val="single" w:sz="4" w:space="0" w:color="auto"/>
              <w:left w:val="single" w:sz="8" w:space="0" w:color="auto"/>
              <w:bottom w:val="single" w:sz="8" w:space="0" w:color="auto"/>
              <w:right w:val="single" w:sz="8" w:space="0" w:color="auto"/>
              <w:tl2br w:val="nil"/>
              <w:tr2bl w:val="nil"/>
            </w:tcBorders>
            <w:textDirection w:val="lrTb"/>
            <w:vAlign w:val="center"/>
          </w:tcPr>
          <w:p w:rsidR="00684D28" w:rsidRPr="00B47B93" w:rsidP="00C362EA">
            <w:pPr>
              <w:spacing w:line="240" w:lineRule="auto"/>
              <w:jc w:val="right"/>
              <w:rPr>
                <w:rFonts w:ascii="Arial Narrow" w:hAnsi="Arial Narrow" w:cs="Times New Roman"/>
              </w:rPr>
            </w:pPr>
            <w:r w:rsidR="000F134C">
              <w:rPr>
                <w:rFonts w:ascii="Arial Narrow" w:hAnsi="Arial Narrow" w:cs="Times New Roman"/>
              </w:rPr>
              <w:t>337 987</w:t>
            </w:r>
          </w:p>
        </w:tc>
        <w:tc>
          <w:tcPr>
            <w:tcW w:w="1260" w:type="dxa"/>
            <w:tcBorders>
              <w:top w:val="single" w:sz="4" w:space="0" w:color="auto"/>
              <w:left w:val="single" w:sz="8" w:space="0" w:color="auto"/>
              <w:bottom w:val="single" w:sz="8" w:space="0" w:color="auto"/>
              <w:right w:val="single" w:sz="12" w:space="0" w:color="auto"/>
              <w:tl2br w:val="nil"/>
              <w:tr2bl w:val="nil"/>
            </w:tcBorders>
            <w:textDirection w:val="lrTb"/>
            <w:vAlign w:val="center"/>
          </w:tcPr>
          <w:p w:rsidR="00684D28" w:rsidRPr="00B47B93" w:rsidP="00D2239C">
            <w:pPr>
              <w:spacing w:line="240" w:lineRule="auto"/>
              <w:jc w:val="right"/>
              <w:rPr>
                <w:rFonts w:ascii="Arial Narrow" w:hAnsi="Arial Narrow" w:cs="Times New Roman"/>
              </w:rPr>
            </w:pPr>
            <w:r w:rsidR="00507022">
              <w:rPr>
                <w:rFonts w:ascii="Arial Narrow" w:hAnsi="Arial Narrow" w:cs="Times New Roman"/>
              </w:rPr>
              <w:t>314 440</w:t>
            </w:r>
          </w:p>
        </w:tc>
      </w:tr>
      <w:tr>
        <w:tblPrEx>
          <w:tblW w:w="9360" w:type="dxa"/>
          <w:tblInd w:w="70" w:type="dxa"/>
          <w:tblLayout w:type="fixed"/>
          <w:tblCellMar>
            <w:top w:w="0" w:type="dxa"/>
            <w:left w:w="70" w:type="dxa"/>
            <w:bottom w:w="0" w:type="dxa"/>
            <w:right w:w="70" w:type="dxa"/>
          </w:tblCellMar>
        </w:tblPrEx>
        <w:trPr>
          <w:trHeight w:hRule="auto" w:val="0"/>
        </w:trPr>
        <w:tc>
          <w:tcPr>
            <w:tcW w:w="900" w:type="dxa"/>
            <w:tcBorders>
              <w:top w:val="single" w:sz="8" w:space="0" w:color="auto"/>
              <w:left w:val="single" w:sz="12" w:space="0" w:color="auto"/>
              <w:bottom w:val="single" w:sz="8" w:space="0" w:color="auto"/>
              <w:right w:val="single" w:sz="8" w:space="0" w:color="auto"/>
              <w:tl2br w:val="nil"/>
              <w:tr2bl w:val="nil"/>
            </w:tcBorders>
            <w:textDirection w:val="lrTb"/>
            <w:vAlign w:val="center"/>
          </w:tcPr>
          <w:p w:rsidR="00684D28" w:rsidRPr="00B47B93" w:rsidP="00C362EA">
            <w:pPr>
              <w:spacing w:line="240" w:lineRule="auto"/>
              <w:rPr>
                <w:rFonts w:ascii="Arial Narrow" w:hAnsi="Arial Narrow" w:cs="Times New Roman"/>
              </w:rPr>
            </w:pPr>
            <w:r w:rsidRPr="00B47B93">
              <w:rPr>
                <w:rFonts w:ascii="Arial Narrow" w:hAnsi="Arial Narrow" w:cs="Times New Roman"/>
              </w:rPr>
              <w:t>07S0603</w:t>
            </w:r>
          </w:p>
        </w:tc>
        <w:tc>
          <w:tcPr>
            <w:tcW w:w="4749" w:type="dxa"/>
            <w:tcBorders>
              <w:top w:val="single" w:sz="8" w:space="0" w:color="auto"/>
              <w:left w:val="single" w:sz="8" w:space="0" w:color="auto"/>
              <w:bottom w:val="single" w:sz="8" w:space="0" w:color="auto"/>
              <w:right w:val="single" w:sz="8" w:space="0" w:color="auto"/>
              <w:tl2br w:val="nil"/>
              <w:tr2bl w:val="nil"/>
            </w:tcBorders>
            <w:textDirection w:val="lrTb"/>
            <w:vAlign w:val="center"/>
          </w:tcPr>
          <w:p w:rsidR="00684D28" w:rsidRPr="00B47B93" w:rsidP="00C362EA">
            <w:pPr>
              <w:spacing w:line="240" w:lineRule="auto"/>
              <w:rPr>
                <w:rFonts w:ascii="Arial Narrow" w:hAnsi="Arial Narrow" w:cs="Times New Roman"/>
              </w:rPr>
            </w:pPr>
            <w:r>
              <w:rPr>
                <w:rFonts w:ascii="Arial Narrow" w:hAnsi="Arial Narrow" w:cs="Times New Roman"/>
              </w:rPr>
              <w:t xml:space="preserve">Modernizácia </w:t>
            </w:r>
            <w:r w:rsidR="00351C9C">
              <w:rPr>
                <w:rFonts w:ascii="Arial Narrow" w:hAnsi="Arial Narrow" w:cs="Times New Roman"/>
              </w:rPr>
              <w:t xml:space="preserve">trate Šenkvice - Cífer a staníc Rača - </w:t>
            </w:r>
            <w:r w:rsidRPr="00B47B93">
              <w:rPr>
                <w:rFonts w:ascii="Arial Narrow" w:hAnsi="Arial Narrow" w:cs="Times New Roman"/>
              </w:rPr>
              <w:t xml:space="preserve">Trnava </w:t>
            </w:r>
          </w:p>
        </w:tc>
        <w:tc>
          <w:tcPr>
            <w:tcW w:w="1191" w:type="dxa"/>
            <w:tcBorders>
              <w:top w:val="single" w:sz="8" w:space="0" w:color="auto"/>
              <w:left w:val="single" w:sz="8" w:space="0" w:color="auto"/>
              <w:bottom w:val="single" w:sz="8" w:space="0" w:color="auto"/>
              <w:right w:val="single" w:sz="8" w:space="0" w:color="auto"/>
              <w:tl2br w:val="nil"/>
              <w:tr2bl w:val="nil"/>
            </w:tcBorders>
            <w:textDirection w:val="lrTb"/>
            <w:vAlign w:val="center"/>
          </w:tcPr>
          <w:p w:rsidR="00684D28" w:rsidRPr="00B47B93" w:rsidP="00C362EA">
            <w:pPr>
              <w:spacing w:line="240" w:lineRule="auto"/>
              <w:jc w:val="right"/>
              <w:rPr>
                <w:rFonts w:ascii="Arial Narrow" w:hAnsi="Arial Narrow" w:cs="Times New Roman"/>
              </w:rPr>
            </w:pPr>
            <w:r w:rsidR="00351C9C">
              <w:rPr>
                <w:rFonts w:ascii="Arial Narrow" w:hAnsi="Arial Narrow" w:cs="Times New Roman"/>
              </w:rPr>
              <w:t>182 724</w:t>
            </w:r>
          </w:p>
        </w:tc>
        <w:tc>
          <w:tcPr>
            <w:tcW w:w="1260" w:type="dxa"/>
            <w:tcBorders>
              <w:top w:val="single" w:sz="8" w:space="0" w:color="auto"/>
              <w:left w:val="single" w:sz="8" w:space="0" w:color="auto"/>
              <w:bottom w:val="single" w:sz="8" w:space="0" w:color="auto"/>
              <w:right w:val="single" w:sz="8" w:space="0" w:color="auto"/>
              <w:tl2br w:val="nil"/>
              <w:tr2bl w:val="nil"/>
            </w:tcBorders>
            <w:textDirection w:val="lrTb"/>
            <w:vAlign w:val="center"/>
          </w:tcPr>
          <w:p w:rsidR="00684D28" w:rsidRPr="00B47B93" w:rsidP="00C362EA">
            <w:pPr>
              <w:spacing w:line="240" w:lineRule="auto"/>
              <w:jc w:val="right"/>
              <w:rPr>
                <w:rFonts w:ascii="Arial Narrow" w:hAnsi="Arial Narrow" w:cs="Times New Roman"/>
              </w:rPr>
            </w:pPr>
            <w:r w:rsidR="00DE6D09">
              <w:rPr>
                <w:rFonts w:ascii="Arial Narrow" w:hAnsi="Arial Narrow" w:cs="Times New Roman"/>
              </w:rPr>
              <w:t>163 021</w:t>
            </w:r>
          </w:p>
        </w:tc>
        <w:tc>
          <w:tcPr>
            <w:tcW w:w="1260" w:type="dxa"/>
            <w:tcBorders>
              <w:top w:val="single" w:sz="8" w:space="0" w:color="auto"/>
              <w:left w:val="single" w:sz="8" w:space="0" w:color="auto"/>
              <w:bottom w:val="single" w:sz="8" w:space="0" w:color="auto"/>
              <w:right w:val="single" w:sz="12" w:space="0" w:color="auto"/>
              <w:tl2br w:val="nil"/>
              <w:tr2bl w:val="nil"/>
            </w:tcBorders>
            <w:textDirection w:val="lrTb"/>
            <w:vAlign w:val="center"/>
          </w:tcPr>
          <w:p w:rsidR="00684D28" w:rsidRPr="00B47B93" w:rsidP="00D2239C">
            <w:pPr>
              <w:spacing w:line="240" w:lineRule="auto"/>
              <w:jc w:val="right"/>
              <w:rPr>
                <w:rFonts w:ascii="Arial Narrow" w:hAnsi="Arial Narrow" w:cs="Times New Roman"/>
              </w:rPr>
            </w:pPr>
            <w:r w:rsidR="00507022">
              <w:rPr>
                <w:rFonts w:ascii="Arial Narrow" w:hAnsi="Arial Narrow" w:cs="Times New Roman"/>
              </w:rPr>
              <w:t>139 474</w:t>
            </w:r>
          </w:p>
        </w:tc>
      </w:tr>
      <w:tr>
        <w:tblPrEx>
          <w:tblW w:w="9360" w:type="dxa"/>
          <w:tblInd w:w="70" w:type="dxa"/>
          <w:tblLayout w:type="fixed"/>
          <w:tblCellMar>
            <w:top w:w="0" w:type="dxa"/>
            <w:left w:w="70" w:type="dxa"/>
            <w:bottom w:w="0" w:type="dxa"/>
            <w:right w:w="70" w:type="dxa"/>
          </w:tblCellMar>
        </w:tblPrEx>
        <w:trPr>
          <w:trHeight w:hRule="auto" w:val="0"/>
        </w:trPr>
        <w:tc>
          <w:tcPr>
            <w:tcW w:w="900" w:type="dxa"/>
            <w:tcBorders>
              <w:top w:val="single" w:sz="8" w:space="0" w:color="auto"/>
              <w:left w:val="single" w:sz="12" w:space="0" w:color="auto"/>
              <w:bottom w:val="single" w:sz="8" w:space="0" w:color="auto"/>
              <w:right w:val="single" w:sz="8" w:space="0" w:color="auto"/>
              <w:tl2br w:val="nil"/>
              <w:tr2bl w:val="nil"/>
            </w:tcBorders>
            <w:textDirection w:val="lrTb"/>
            <w:vAlign w:val="center"/>
          </w:tcPr>
          <w:p w:rsidR="00684D28" w:rsidRPr="00B47B93" w:rsidP="00C362EA">
            <w:pPr>
              <w:spacing w:line="240" w:lineRule="auto"/>
              <w:rPr>
                <w:rFonts w:ascii="Arial Narrow" w:hAnsi="Arial Narrow" w:cs="Times New Roman"/>
              </w:rPr>
            </w:pPr>
            <w:r w:rsidRPr="00B47B93">
              <w:rPr>
                <w:rFonts w:ascii="Arial Narrow" w:hAnsi="Arial Narrow" w:cs="Times New Roman"/>
              </w:rPr>
              <w:t> </w:t>
            </w:r>
          </w:p>
        </w:tc>
        <w:tc>
          <w:tcPr>
            <w:tcW w:w="4749" w:type="dxa"/>
            <w:tcBorders>
              <w:top w:val="single" w:sz="8" w:space="0" w:color="auto"/>
              <w:left w:val="single" w:sz="8" w:space="0" w:color="auto"/>
              <w:bottom w:val="single" w:sz="8" w:space="0" w:color="auto"/>
              <w:right w:val="single" w:sz="8" w:space="0" w:color="auto"/>
              <w:tl2br w:val="nil"/>
              <w:tr2bl w:val="nil"/>
            </w:tcBorders>
            <w:textDirection w:val="lrTb"/>
            <w:vAlign w:val="center"/>
          </w:tcPr>
          <w:p w:rsidR="00684D28" w:rsidRPr="00B47B93" w:rsidP="00C362EA">
            <w:pPr>
              <w:spacing w:line="240" w:lineRule="auto"/>
              <w:rPr>
                <w:rFonts w:ascii="Arial Narrow" w:hAnsi="Arial Narrow" w:cs="Times New Roman"/>
              </w:rPr>
            </w:pPr>
            <w:r w:rsidRPr="00B47B93">
              <w:rPr>
                <w:rFonts w:ascii="Arial Narrow" w:hAnsi="Arial Narrow" w:cs="Times New Roman"/>
              </w:rPr>
              <w:t>z toho: z prostriedkov EÚ</w:t>
            </w:r>
          </w:p>
        </w:tc>
        <w:tc>
          <w:tcPr>
            <w:tcW w:w="1191" w:type="dxa"/>
            <w:tcBorders>
              <w:top w:val="single" w:sz="8" w:space="0" w:color="auto"/>
              <w:left w:val="single" w:sz="8" w:space="0" w:color="auto"/>
              <w:bottom w:val="single" w:sz="8" w:space="0" w:color="auto"/>
              <w:right w:val="single" w:sz="8" w:space="0" w:color="auto"/>
              <w:tl2br w:val="nil"/>
              <w:tr2bl w:val="nil"/>
            </w:tcBorders>
            <w:textDirection w:val="lrTb"/>
            <w:vAlign w:val="center"/>
          </w:tcPr>
          <w:p w:rsidR="00684D28" w:rsidRPr="00B47B93" w:rsidP="00C362EA">
            <w:pPr>
              <w:spacing w:line="240" w:lineRule="auto"/>
              <w:jc w:val="right"/>
              <w:rPr>
                <w:rFonts w:ascii="Arial Narrow" w:hAnsi="Arial Narrow" w:cs="Times New Roman"/>
              </w:rPr>
            </w:pPr>
            <w:r w:rsidR="00351C9C">
              <w:rPr>
                <w:rFonts w:ascii="Arial Narrow" w:hAnsi="Arial Narrow" w:cs="Times New Roman"/>
              </w:rPr>
              <w:t>0</w:t>
            </w:r>
          </w:p>
        </w:tc>
        <w:tc>
          <w:tcPr>
            <w:tcW w:w="1260" w:type="dxa"/>
            <w:tcBorders>
              <w:top w:val="single" w:sz="8" w:space="0" w:color="auto"/>
              <w:left w:val="single" w:sz="8" w:space="0" w:color="auto"/>
              <w:bottom w:val="single" w:sz="8" w:space="0" w:color="auto"/>
              <w:right w:val="single" w:sz="8" w:space="0" w:color="auto"/>
              <w:tl2br w:val="nil"/>
              <w:tr2bl w:val="nil"/>
            </w:tcBorders>
            <w:textDirection w:val="lrTb"/>
            <w:vAlign w:val="center"/>
          </w:tcPr>
          <w:p w:rsidR="00684D28" w:rsidRPr="00B47B93" w:rsidP="00C362EA">
            <w:pPr>
              <w:spacing w:line="240" w:lineRule="auto"/>
              <w:jc w:val="right"/>
              <w:rPr>
                <w:rFonts w:ascii="Arial Narrow" w:hAnsi="Arial Narrow" w:cs="Times New Roman"/>
              </w:rPr>
            </w:pPr>
            <w:r w:rsidR="00DE6D09">
              <w:rPr>
                <w:rFonts w:ascii="Arial Narrow" w:hAnsi="Arial Narrow" w:cs="Times New Roman"/>
              </w:rPr>
              <w:t>0</w:t>
            </w:r>
          </w:p>
        </w:tc>
        <w:tc>
          <w:tcPr>
            <w:tcW w:w="1260" w:type="dxa"/>
            <w:tcBorders>
              <w:top w:val="single" w:sz="8" w:space="0" w:color="auto"/>
              <w:left w:val="single" w:sz="8" w:space="0" w:color="auto"/>
              <w:bottom w:val="single" w:sz="8" w:space="0" w:color="auto"/>
              <w:right w:val="single" w:sz="12" w:space="0" w:color="auto"/>
              <w:tl2br w:val="nil"/>
              <w:tr2bl w:val="nil"/>
            </w:tcBorders>
            <w:textDirection w:val="lrTb"/>
            <w:vAlign w:val="center"/>
          </w:tcPr>
          <w:p w:rsidR="00684D28" w:rsidRPr="00B47B93" w:rsidP="00134C6D">
            <w:pPr>
              <w:spacing w:line="240" w:lineRule="auto"/>
              <w:jc w:val="right"/>
              <w:rPr>
                <w:rFonts w:ascii="Arial Narrow" w:hAnsi="Arial Narrow" w:cs="Times New Roman"/>
              </w:rPr>
            </w:pPr>
            <w:r w:rsidR="00507022">
              <w:rPr>
                <w:rFonts w:ascii="Arial Narrow" w:hAnsi="Arial Narrow" w:cs="Times New Roman"/>
              </w:rPr>
              <w:t>0</w:t>
            </w:r>
          </w:p>
        </w:tc>
      </w:tr>
      <w:tr>
        <w:tblPrEx>
          <w:tblW w:w="9360" w:type="dxa"/>
          <w:tblInd w:w="70" w:type="dxa"/>
          <w:tblLayout w:type="fixed"/>
          <w:tblCellMar>
            <w:top w:w="0" w:type="dxa"/>
            <w:left w:w="70" w:type="dxa"/>
            <w:bottom w:w="0" w:type="dxa"/>
            <w:right w:w="70" w:type="dxa"/>
          </w:tblCellMar>
        </w:tblPrEx>
        <w:trPr>
          <w:trHeight w:hRule="auto" w:val="0"/>
        </w:trPr>
        <w:tc>
          <w:tcPr>
            <w:tcW w:w="900" w:type="dxa"/>
            <w:tcBorders>
              <w:top w:val="single" w:sz="8" w:space="0" w:color="auto"/>
              <w:left w:val="single" w:sz="12" w:space="0" w:color="auto"/>
              <w:bottom w:val="single" w:sz="8" w:space="0" w:color="auto"/>
              <w:right w:val="single" w:sz="8" w:space="0" w:color="auto"/>
              <w:tl2br w:val="nil"/>
              <w:tr2bl w:val="nil"/>
            </w:tcBorders>
            <w:textDirection w:val="lrTb"/>
            <w:vAlign w:val="center"/>
          </w:tcPr>
          <w:p w:rsidR="00684D28" w:rsidRPr="00B47B93" w:rsidP="00C362EA">
            <w:pPr>
              <w:spacing w:line="240" w:lineRule="auto"/>
              <w:rPr>
                <w:rFonts w:ascii="Arial Narrow" w:hAnsi="Arial Narrow" w:cs="Times New Roman"/>
              </w:rPr>
            </w:pPr>
            <w:r w:rsidRPr="00B47B93">
              <w:rPr>
                <w:rFonts w:ascii="Arial Narrow" w:hAnsi="Arial Narrow" w:cs="Times New Roman"/>
              </w:rPr>
              <w:t> </w:t>
            </w:r>
          </w:p>
        </w:tc>
        <w:tc>
          <w:tcPr>
            <w:tcW w:w="4749" w:type="dxa"/>
            <w:tcBorders>
              <w:top w:val="single" w:sz="8" w:space="0" w:color="auto"/>
              <w:left w:val="single" w:sz="8" w:space="0" w:color="auto"/>
              <w:bottom w:val="single" w:sz="8" w:space="0" w:color="auto"/>
              <w:right w:val="single" w:sz="8" w:space="0" w:color="auto"/>
              <w:tl2br w:val="nil"/>
              <w:tr2bl w:val="nil"/>
            </w:tcBorders>
            <w:textDirection w:val="lrTb"/>
            <w:vAlign w:val="center"/>
          </w:tcPr>
          <w:p w:rsidR="00684D28" w:rsidRPr="00B47B93" w:rsidP="00C362EA">
            <w:pPr>
              <w:spacing w:line="240" w:lineRule="auto"/>
              <w:rPr>
                <w:rFonts w:ascii="Arial Narrow" w:hAnsi="Arial Narrow" w:cs="Times New Roman"/>
              </w:rPr>
            </w:pPr>
            <w:r w:rsidRPr="00B47B93">
              <w:rPr>
                <w:rFonts w:ascii="Arial Narrow" w:hAnsi="Arial Narrow" w:cs="Times New Roman"/>
              </w:rPr>
              <w:t xml:space="preserve">           z prostriedkov spolufinancovania z</w:t>
            </w:r>
            <w:r w:rsidR="00351C9C">
              <w:rPr>
                <w:rFonts w:ascii="Arial Narrow" w:hAnsi="Arial Narrow" w:cs="Times New Roman"/>
              </w:rPr>
              <w:t> </w:t>
            </w:r>
            <w:r w:rsidRPr="00B47B93">
              <w:rPr>
                <w:rFonts w:ascii="Arial Narrow" w:hAnsi="Arial Narrow" w:cs="Times New Roman"/>
              </w:rPr>
              <w:t>VPS</w:t>
            </w:r>
          </w:p>
        </w:tc>
        <w:tc>
          <w:tcPr>
            <w:tcW w:w="1191" w:type="dxa"/>
            <w:tcBorders>
              <w:top w:val="single" w:sz="8" w:space="0" w:color="auto"/>
              <w:left w:val="single" w:sz="8" w:space="0" w:color="auto"/>
              <w:bottom w:val="single" w:sz="8" w:space="0" w:color="auto"/>
              <w:right w:val="single" w:sz="8" w:space="0" w:color="auto"/>
              <w:tl2br w:val="nil"/>
              <w:tr2bl w:val="nil"/>
            </w:tcBorders>
            <w:textDirection w:val="lrTb"/>
            <w:vAlign w:val="center"/>
          </w:tcPr>
          <w:p w:rsidR="00684D28" w:rsidRPr="00B47B93" w:rsidP="00C362EA">
            <w:pPr>
              <w:spacing w:line="240" w:lineRule="auto"/>
              <w:jc w:val="right"/>
              <w:rPr>
                <w:rFonts w:ascii="Arial Narrow" w:hAnsi="Arial Narrow" w:cs="Times New Roman"/>
              </w:rPr>
            </w:pPr>
            <w:r w:rsidR="00351C9C">
              <w:rPr>
                <w:rFonts w:ascii="Arial Narrow" w:hAnsi="Arial Narrow" w:cs="Times New Roman"/>
              </w:rPr>
              <w:t>182 724</w:t>
            </w:r>
          </w:p>
        </w:tc>
        <w:tc>
          <w:tcPr>
            <w:tcW w:w="1260" w:type="dxa"/>
            <w:tcBorders>
              <w:top w:val="single" w:sz="8" w:space="0" w:color="auto"/>
              <w:left w:val="single" w:sz="8" w:space="0" w:color="auto"/>
              <w:bottom w:val="single" w:sz="8" w:space="0" w:color="auto"/>
              <w:right w:val="single" w:sz="8" w:space="0" w:color="auto"/>
              <w:tl2br w:val="nil"/>
              <w:tr2bl w:val="nil"/>
            </w:tcBorders>
            <w:textDirection w:val="lrTb"/>
            <w:vAlign w:val="center"/>
          </w:tcPr>
          <w:p w:rsidR="00684D28" w:rsidRPr="00B47B93" w:rsidP="00C362EA">
            <w:pPr>
              <w:spacing w:line="240" w:lineRule="auto"/>
              <w:jc w:val="right"/>
              <w:rPr>
                <w:rFonts w:ascii="Arial Narrow" w:hAnsi="Arial Narrow" w:cs="Times New Roman"/>
              </w:rPr>
            </w:pPr>
            <w:r w:rsidR="00DE6D09">
              <w:rPr>
                <w:rFonts w:ascii="Arial Narrow" w:hAnsi="Arial Narrow" w:cs="Times New Roman"/>
              </w:rPr>
              <w:t>163 021</w:t>
            </w:r>
          </w:p>
        </w:tc>
        <w:tc>
          <w:tcPr>
            <w:tcW w:w="1260" w:type="dxa"/>
            <w:tcBorders>
              <w:top w:val="single" w:sz="8" w:space="0" w:color="auto"/>
              <w:left w:val="single" w:sz="8" w:space="0" w:color="auto"/>
              <w:bottom w:val="single" w:sz="8" w:space="0" w:color="auto"/>
              <w:right w:val="single" w:sz="12" w:space="0" w:color="auto"/>
              <w:tl2br w:val="nil"/>
              <w:tr2bl w:val="nil"/>
            </w:tcBorders>
            <w:textDirection w:val="lrTb"/>
            <w:vAlign w:val="center"/>
          </w:tcPr>
          <w:p w:rsidR="00684D28" w:rsidRPr="00B47B93" w:rsidP="00134C6D">
            <w:pPr>
              <w:spacing w:line="240" w:lineRule="auto"/>
              <w:jc w:val="right"/>
              <w:rPr>
                <w:rFonts w:ascii="Arial Narrow" w:hAnsi="Arial Narrow" w:cs="Times New Roman"/>
              </w:rPr>
            </w:pPr>
            <w:r w:rsidR="00507022">
              <w:rPr>
                <w:rFonts w:ascii="Arial Narrow" w:hAnsi="Arial Narrow" w:cs="Times New Roman"/>
              </w:rPr>
              <w:t>139 474</w:t>
            </w:r>
          </w:p>
        </w:tc>
      </w:tr>
      <w:tr>
        <w:tblPrEx>
          <w:tblW w:w="9360" w:type="dxa"/>
          <w:tblInd w:w="70" w:type="dxa"/>
          <w:tblLayout w:type="fixed"/>
          <w:tblCellMar>
            <w:top w:w="0" w:type="dxa"/>
            <w:left w:w="70" w:type="dxa"/>
            <w:bottom w:w="0" w:type="dxa"/>
            <w:right w:w="70" w:type="dxa"/>
          </w:tblCellMar>
        </w:tblPrEx>
        <w:trPr>
          <w:trHeight w:hRule="auto" w:val="0"/>
        </w:trPr>
        <w:tc>
          <w:tcPr>
            <w:tcW w:w="900" w:type="dxa"/>
            <w:tcBorders>
              <w:top w:val="single" w:sz="8" w:space="0" w:color="auto"/>
              <w:left w:val="single" w:sz="12" w:space="0" w:color="auto"/>
              <w:bottom w:val="single" w:sz="8" w:space="0" w:color="auto"/>
              <w:right w:val="single" w:sz="8" w:space="0" w:color="auto"/>
              <w:tl2br w:val="nil"/>
              <w:tr2bl w:val="nil"/>
            </w:tcBorders>
            <w:textDirection w:val="lrTb"/>
            <w:vAlign w:val="center"/>
          </w:tcPr>
          <w:p w:rsidR="00684D28" w:rsidRPr="00B47B93" w:rsidP="00C362EA">
            <w:pPr>
              <w:spacing w:line="240" w:lineRule="auto"/>
              <w:rPr>
                <w:rFonts w:ascii="Arial Narrow" w:hAnsi="Arial Narrow" w:cs="Times New Roman"/>
              </w:rPr>
            </w:pPr>
            <w:r w:rsidRPr="00B47B93">
              <w:rPr>
                <w:rFonts w:ascii="Arial Narrow" w:hAnsi="Arial Narrow" w:cs="Times New Roman"/>
              </w:rPr>
              <w:t>07S0604</w:t>
            </w:r>
          </w:p>
        </w:tc>
        <w:tc>
          <w:tcPr>
            <w:tcW w:w="4749" w:type="dxa"/>
            <w:tcBorders>
              <w:top w:val="single" w:sz="8" w:space="0" w:color="auto"/>
              <w:left w:val="single" w:sz="8" w:space="0" w:color="auto"/>
              <w:bottom w:val="single" w:sz="8" w:space="0" w:color="auto"/>
              <w:right w:val="single" w:sz="8" w:space="0" w:color="auto"/>
              <w:tl2br w:val="nil"/>
              <w:tr2bl w:val="nil"/>
            </w:tcBorders>
            <w:textDirection w:val="lrTb"/>
            <w:vAlign w:val="center"/>
          </w:tcPr>
          <w:p w:rsidR="00684D28" w:rsidRPr="00B47B93" w:rsidP="00C362EA">
            <w:pPr>
              <w:spacing w:line="240" w:lineRule="auto"/>
              <w:rPr>
                <w:rFonts w:ascii="Arial Narrow" w:hAnsi="Arial Narrow" w:cs="Times New Roman"/>
              </w:rPr>
            </w:pPr>
            <w:r w:rsidR="00351C9C">
              <w:rPr>
                <w:rFonts w:ascii="Arial Narrow" w:hAnsi="Arial Narrow" w:cs="Times New Roman"/>
              </w:rPr>
              <w:t>Mod. trate Trnava - Nové M. n/Váhom, úsek Trnava - Piešťany</w:t>
            </w:r>
            <w:r w:rsidRPr="00B47B93">
              <w:rPr>
                <w:rFonts w:ascii="Arial Narrow" w:hAnsi="Arial Narrow" w:cs="Times New Roman"/>
              </w:rPr>
              <w:t xml:space="preserve">  </w:t>
            </w:r>
          </w:p>
        </w:tc>
        <w:tc>
          <w:tcPr>
            <w:tcW w:w="1191" w:type="dxa"/>
            <w:tcBorders>
              <w:top w:val="single" w:sz="8" w:space="0" w:color="auto"/>
              <w:left w:val="single" w:sz="8" w:space="0" w:color="auto"/>
              <w:bottom w:val="single" w:sz="8" w:space="0" w:color="auto"/>
              <w:right w:val="single" w:sz="8" w:space="0" w:color="auto"/>
              <w:tl2br w:val="nil"/>
              <w:tr2bl w:val="nil"/>
            </w:tcBorders>
            <w:textDirection w:val="lrTb"/>
            <w:vAlign w:val="center"/>
          </w:tcPr>
          <w:p w:rsidR="00684D28" w:rsidRPr="00B47B93" w:rsidP="00C362EA">
            <w:pPr>
              <w:spacing w:line="240" w:lineRule="auto"/>
              <w:jc w:val="right"/>
              <w:rPr>
                <w:rFonts w:ascii="Arial Narrow" w:hAnsi="Arial Narrow" w:cs="Times New Roman"/>
              </w:rPr>
            </w:pPr>
            <w:r w:rsidR="00351C9C">
              <w:rPr>
                <w:rFonts w:ascii="Arial Narrow" w:hAnsi="Arial Narrow" w:cs="Times New Roman"/>
              </w:rPr>
              <w:t>152 485</w:t>
            </w:r>
          </w:p>
        </w:tc>
        <w:tc>
          <w:tcPr>
            <w:tcW w:w="1260" w:type="dxa"/>
            <w:tcBorders>
              <w:top w:val="single" w:sz="8" w:space="0" w:color="auto"/>
              <w:left w:val="single" w:sz="8" w:space="0" w:color="auto"/>
              <w:bottom w:val="single" w:sz="8" w:space="0" w:color="auto"/>
              <w:right w:val="single" w:sz="8" w:space="0" w:color="auto"/>
              <w:tl2br w:val="nil"/>
              <w:tr2bl w:val="nil"/>
            </w:tcBorders>
            <w:textDirection w:val="lrTb"/>
            <w:vAlign w:val="center"/>
          </w:tcPr>
          <w:p w:rsidR="00684D28" w:rsidRPr="00B47B93" w:rsidP="00C362EA">
            <w:pPr>
              <w:spacing w:line="240" w:lineRule="auto"/>
              <w:jc w:val="right"/>
              <w:rPr>
                <w:rFonts w:ascii="Arial Narrow" w:hAnsi="Arial Narrow" w:cs="Times New Roman"/>
              </w:rPr>
            </w:pPr>
            <w:r w:rsidR="00DE6D09">
              <w:rPr>
                <w:rFonts w:ascii="Arial Narrow" w:hAnsi="Arial Narrow" w:cs="Times New Roman"/>
              </w:rPr>
              <w:t>172 188</w:t>
            </w:r>
          </w:p>
        </w:tc>
        <w:tc>
          <w:tcPr>
            <w:tcW w:w="1260" w:type="dxa"/>
            <w:tcBorders>
              <w:top w:val="single" w:sz="8" w:space="0" w:color="auto"/>
              <w:left w:val="single" w:sz="8" w:space="0" w:color="auto"/>
              <w:bottom w:val="single" w:sz="8" w:space="0" w:color="auto"/>
              <w:right w:val="single" w:sz="12" w:space="0" w:color="auto"/>
              <w:tl2br w:val="nil"/>
              <w:tr2bl w:val="nil"/>
            </w:tcBorders>
            <w:textDirection w:val="lrTb"/>
            <w:vAlign w:val="center"/>
          </w:tcPr>
          <w:p w:rsidR="00684D28" w:rsidRPr="00B47B93" w:rsidP="00134C6D">
            <w:pPr>
              <w:spacing w:line="240" w:lineRule="auto"/>
              <w:jc w:val="right"/>
              <w:rPr>
                <w:rFonts w:ascii="Arial Narrow" w:hAnsi="Arial Narrow" w:cs="Times New Roman"/>
              </w:rPr>
            </w:pPr>
            <w:r w:rsidR="00507022">
              <w:rPr>
                <w:rFonts w:ascii="Arial Narrow" w:hAnsi="Arial Narrow" w:cs="Times New Roman"/>
              </w:rPr>
              <w:t>172 188</w:t>
            </w:r>
          </w:p>
        </w:tc>
      </w:tr>
      <w:tr>
        <w:tblPrEx>
          <w:tblW w:w="9360" w:type="dxa"/>
          <w:tblInd w:w="70" w:type="dxa"/>
          <w:tblLayout w:type="fixed"/>
          <w:tblCellMar>
            <w:top w:w="0" w:type="dxa"/>
            <w:left w:w="70" w:type="dxa"/>
            <w:bottom w:w="0" w:type="dxa"/>
            <w:right w:w="70" w:type="dxa"/>
          </w:tblCellMar>
        </w:tblPrEx>
        <w:trPr>
          <w:trHeight w:hRule="auto" w:val="0"/>
        </w:trPr>
        <w:tc>
          <w:tcPr>
            <w:tcW w:w="900" w:type="dxa"/>
            <w:tcBorders>
              <w:top w:val="single" w:sz="8" w:space="0" w:color="auto"/>
              <w:left w:val="single" w:sz="12" w:space="0" w:color="auto"/>
              <w:bottom w:val="single" w:sz="8" w:space="0" w:color="auto"/>
              <w:right w:val="single" w:sz="8" w:space="0" w:color="auto"/>
              <w:tl2br w:val="nil"/>
              <w:tr2bl w:val="nil"/>
            </w:tcBorders>
            <w:textDirection w:val="lrTb"/>
            <w:vAlign w:val="center"/>
          </w:tcPr>
          <w:p w:rsidR="00684D28" w:rsidRPr="00B47B93" w:rsidP="00C362EA">
            <w:pPr>
              <w:spacing w:line="240" w:lineRule="auto"/>
              <w:rPr>
                <w:rFonts w:ascii="Arial Narrow" w:hAnsi="Arial Narrow" w:cs="Times New Roman"/>
              </w:rPr>
            </w:pPr>
            <w:r w:rsidRPr="00B47B93">
              <w:rPr>
                <w:rFonts w:ascii="Arial Narrow" w:hAnsi="Arial Narrow" w:cs="Times New Roman"/>
              </w:rPr>
              <w:t> </w:t>
            </w:r>
          </w:p>
        </w:tc>
        <w:tc>
          <w:tcPr>
            <w:tcW w:w="4749" w:type="dxa"/>
            <w:tcBorders>
              <w:top w:val="single" w:sz="8" w:space="0" w:color="auto"/>
              <w:left w:val="single" w:sz="8" w:space="0" w:color="auto"/>
              <w:bottom w:val="single" w:sz="8" w:space="0" w:color="auto"/>
              <w:right w:val="single" w:sz="8" w:space="0" w:color="auto"/>
              <w:tl2br w:val="nil"/>
              <w:tr2bl w:val="nil"/>
            </w:tcBorders>
            <w:textDirection w:val="lrTb"/>
            <w:vAlign w:val="center"/>
          </w:tcPr>
          <w:p w:rsidR="00684D28" w:rsidRPr="00B47B93" w:rsidP="00C362EA">
            <w:pPr>
              <w:spacing w:line="240" w:lineRule="auto"/>
              <w:rPr>
                <w:rFonts w:ascii="Arial Narrow" w:hAnsi="Arial Narrow" w:cs="Times New Roman"/>
              </w:rPr>
            </w:pPr>
            <w:r w:rsidRPr="00B47B93">
              <w:rPr>
                <w:rFonts w:ascii="Arial Narrow" w:hAnsi="Arial Narrow" w:cs="Times New Roman"/>
              </w:rPr>
              <w:t>z toho: z prostriedkov EÚ</w:t>
            </w:r>
          </w:p>
        </w:tc>
        <w:tc>
          <w:tcPr>
            <w:tcW w:w="1191" w:type="dxa"/>
            <w:tcBorders>
              <w:top w:val="single" w:sz="8" w:space="0" w:color="auto"/>
              <w:left w:val="single" w:sz="8" w:space="0" w:color="auto"/>
              <w:bottom w:val="single" w:sz="8" w:space="0" w:color="auto"/>
              <w:right w:val="single" w:sz="8" w:space="0" w:color="auto"/>
              <w:tl2br w:val="nil"/>
              <w:tr2bl w:val="nil"/>
            </w:tcBorders>
            <w:textDirection w:val="lrTb"/>
            <w:vAlign w:val="center"/>
          </w:tcPr>
          <w:p w:rsidR="00684D28" w:rsidRPr="00B47B93" w:rsidP="00C362EA">
            <w:pPr>
              <w:spacing w:line="240" w:lineRule="auto"/>
              <w:jc w:val="right"/>
              <w:rPr>
                <w:rFonts w:ascii="Arial Narrow" w:hAnsi="Arial Narrow" w:cs="Times New Roman"/>
              </w:rPr>
            </w:pPr>
            <w:r w:rsidR="00351C9C">
              <w:rPr>
                <w:rFonts w:ascii="Arial Narrow" w:hAnsi="Arial Narrow" w:cs="Times New Roman"/>
              </w:rPr>
              <w:t>0</w:t>
            </w:r>
          </w:p>
        </w:tc>
        <w:tc>
          <w:tcPr>
            <w:tcW w:w="1260" w:type="dxa"/>
            <w:tcBorders>
              <w:top w:val="single" w:sz="8" w:space="0" w:color="auto"/>
              <w:left w:val="single" w:sz="8" w:space="0" w:color="auto"/>
              <w:bottom w:val="single" w:sz="8" w:space="0" w:color="auto"/>
              <w:right w:val="single" w:sz="8" w:space="0" w:color="auto"/>
              <w:tl2br w:val="nil"/>
              <w:tr2bl w:val="nil"/>
            </w:tcBorders>
            <w:textDirection w:val="lrTb"/>
            <w:vAlign w:val="center"/>
          </w:tcPr>
          <w:p w:rsidR="00684D28" w:rsidRPr="00B47B93" w:rsidP="00C362EA">
            <w:pPr>
              <w:spacing w:line="240" w:lineRule="auto"/>
              <w:jc w:val="right"/>
              <w:rPr>
                <w:rFonts w:ascii="Arial Narrow" w:hAnsi="Arial Narrow" w:cs="Times New Roman"/>
              </w:rPr>
            </w:pPr>
            <w:r w:rsidR="00DE6D09">
              <w:rPr>
                <w:rFonts w:ascii="Arial Narrow" w:hAnsi="Arial Narrow" w:cs="Times New Roman"/>
              </w:rPr>
              <w:t>0</w:t>
            </w:r>
          </w:p>
        </w:tc>
        <w:tc>
          <w:tcPr>
            <w:tcW w:w="1260" w:type="dxa"/>
            <w:tcBorders>
              <w:top w:val="single" w:sz="8" w:space="0" w:color="auto"/>
              <w:left w:val="single" w:sz="8" w:space="0" w:color="auto"/>
              <w:bottom w:val="single" w:sz="8" w:space="0" w:color="auto"/>
              <w:right w:val="single" w:sz="12" w:space="0" w:color="auto"/>
              <w:tl2br w:val="nil"/>
              <w:tr2bl w:val="nil"/>
            </w:tcBorders>
            <w:textDirection w:val="lrTb"/>
            <w:vAlign w:val="center"/>
          </w:tcPr>
          <w:p w:rsidR="00684D28" w:rsidRPr="00B47B93" w:rsidP="00134C6D">
            <w:pPr>
              <w:spacing w:line="240" w:lineRule="auto"/>
              <w:jc w:val="right"/>
              <w:rPr>
                <w:rFonts w:ascii="Arial Narrow" w:hAnsi="Arial Narrow" w:cs="Times New Roman"/>
              </w:rPr>
            </w:pPr>
            <w:r w:rsidR="00507022">
              <w:rPr>
                <w:rFonts w:ascii="Arial Narrow" w:hAnsi="Arial Narrow" w:cs="Times New Roman"/>
              </w:rPr>
              <w:t>0</w:t>
            </w:r>
          </w:p>
        </w:tc>
      </w:tr>
      <w:tr>
        <w:tblPrEx>
          <w:tblW w:w="9360" w:type="dxa"/>
          <w:tblInd w:w="70" w:type="dxa"/>
          <w:tblLayout w:type="fixed"/>
          <w:tblCellMar>
            <w:top w:w="0" w:type="dxa"/>
            <w:left w:w="70" w:type="dxa"/>
            <w:bottom w:w="0" w:type="dxa"/>
            <w:right w:w="70" w:type="dxa"/>
          </w:tblCellMar>
        </w:tblPrEx>
        <w:trPr>
          <w:trHeight w:hRule="auto" w:val="0"/>
        </w:trPr>
        <w:tc>
          <w:tcPr>
            <w:tcW w:w="900" w:type="dxa"/>
            <w:tcBorders>
              <w:top w:val="single" w:sz="8" w:space="0" w:color="auto"/>
              <w:left w:val="single" w:sz="12" w:space="0" w:color="auto"/>
              <w:bottom w:val="single" w:sz="8" w:space="0" w:color="auto"/>
              <w:right w:val="single" w:sz="8" w:space="0" w:color="auto"/>
              <w:tl2br w:val="nil"/>
              <w:tr2bl w:val="nil"/>
            </w:tcBorders>
            <w:textDirection w:val="lrTb"/>
            <w:vAlign w:val="center"/>
          </w:tcPr>
          <w:p w:rsidR="00134C6D" w:rsidRPr="00B47B93" w:rsidP="00C362EA">
            <w:pPr>
              <w:spacing w:line="240" w:lineRule="auto"/>
              <w:rPr>
                <w:rFonts w:ascii="Arial Narrow" w:hAnsi="Arial Narrow" w:cs="Times New Roman"/>
              </w:rPr>
            </w:pPr>
            <w:r w:rsidRPr="00B47B93">
              <w:rPr>
                <w:rFonts w:ascii="Arial Narrow" w:hAnsi="Arial Narrow" w:cs="Times New Roman"/>
              </w:rPr>
              <w:t> </w:t>
            </w:r>
          </w:p>
        </w:tc>
        <w:tc>
          <w:tcPr>
            <w:tcW w:w="4749" w:type="dxa"/>
            <w:tcBorders>
              <w:top w:val="single" w:sz="8" w:space="0" w:color="auto"/>
              <w:left w:val="single" w:sz="8" w:space="0" w:color="auto"/>
              <w:bottom w:val="single" w:sz="8" w:space="0" w:color="auto"/>
              <w:right w:val="single" w:sz="8" w:space="0" w:color="auto"/>
              <w:tl2br w:val="nil"/>
              <w:tr2bl w:val="nil"/>
            </w:tcBorders>
            <w:textDirection w:val="lrTb"/>
            <w:vAlign w:val="center"/>
          </w:tcPr>
          <w:p w:rsidR="00134C6D" w:rsidRPr="00B47B93" w:rsidP="00C362EA">
            <w:pPr>
              <w:spacing w:line="240" w:lineRule="auto"/>
              <w:rPr>
                <w:rFonts w:ascii="Arial Narrow" w:hAnsi="Arial Narrow" w:cs="Times New Roman"/>
              </w:rPr>
            </w:pPr>
            <w:r w:rsidRPr="00B47B93">
              <w:rPr>
                <w:rFonts w:ascii="Arial Narrow" w:hAnsi="Arial Narrow" w:cs="Times New Roman"/>
              </w:rPr>
              <w:t xml:space="preserve">           z prostriedkov spolufinancovania z</w:t>
            </w:r>
            <w:r w:rsidR="00613A87">
              <w:rPr>
                <w:rFonts w:ascii="Arial Narrow" w:hAnsi="Arial Narrow" w:cs="Times New Roman"/>
              </w:rPr>
              <w:t> </w:t>
            </w:r>
            <w:r w:rsidRPr="00B47B93">
              <w:rPr>
                <w:rFonts w:ascii="Arial Narrow" w:hAnsi="Arial Narrow" w:cs="Times New Roman"/>
              </w:rPr>
              <w:t>VPS</w:t>
            </w:r>
          </w:p>
        </w:tc>
        <w:tc>
          <w:tcPr>
            <w:tcW w:w="1191" w:type="dxa"/>
            <w:tcBorders>
              <w:top w:val="single" w:sz="8" w:space="0" w:color="auto"/>
              <w:left w:val="single" w:sz="8" w:space="0" w:color="auto"/>
              <w:bottom w:val="single" w:sz="8" w:space="0" w:color="auto"/>
              <w:right w:val="single" w:sz="8" w:space="0" w:color="auto"/>
              <w:tl2br w:val="nil"/>
              <w:tr2bl w:val="nil"/>
            </w:tcBorders>
            <w:textDirection w:val="lrTb"/>
            <w:vAlign w:val="center"/>
          </w:tcPr>
          <w:p w:rsidR="00134C6D" w:rsidRPr="00B47B93" w:rsidP="00C362EA">
            <w:pPr>
              <w:spacing w:line="240" w:lineRule="auto"/>
              <w:jc w:val="right"/>
              <w:rPr>
                <w:rFonts w:ascii="Arial Narrow" w:hAnsi="Arial Narrow" w:cs="Times New Roman"/>
              </w:rPr>
            </w:pPr>
            <w:r w:rsidR="00351C9C">
              <w:rPr>
                <w:rFonts w:ascii="Arial Narrow" w:hAnsi="Arial Narrow" w:cs="Times New Roman"/>
              </w:rPr>
              <w:t>152 485</w:t>
            </w:r>
          </w:p>
        </w:tc>
        <w:tc>
          <w:tcPr>
            <w:tcW w:w="1260" w:type="dxa"/>
            <w:tcBorders>
              <w:top w:val="single" w:sz="8" w:space="0" w:color="auto"/>
              <w:left w:val="single" w:sz="8" w:space="0" w:color="auto"/>
              <w:bottom w:val="single" w:sz="8" w:space="0" w:color="auto"/>
              <w:right w:val="single" w:sz="8" w:space="0" w:color="auto"/>
              <w:tl2br w:val="nil"/>
              <w:tr2bl w:val="nil"/>
            </w:tcBorders>
            <w:textDirection w:val="lrTb"/>
            <w:vAlign w:val="center"/>
          </w:tcPr>
          <w:p w:rsidR="00134C6D" w:rsidRPr="00B47B93" w:rsidP="0027343A">
            <w:pPr>
              <w:spacing w:line="240" w:lineRule="auto"/>
              <w:jc w:val="right"/>
              <w:rPr>
                <w:rFonts w:ascii="Arial Narrow" w:hAnsi="Arial Narrow" w:cs="Times New Roman"/>
              </w:rPr>
            </w:pPr>
            <w:r w:rsidR="00DE6D09">
              <w:rPr>
                <w:rFonts w:ascii="Arial Narrow" w:hAnsi="Arial Narrow" w:cs="Times New Roman"/>
              </w:rPr>
              <w:t>172 188</w:t>
            </w:r>
          </w:p>
        </w:tc>
        <w:tc>
          <w:tcPr>
            <w:tcW w:w="1260" w:type="dxa"/>
            <w:tcBorders>
              <w:top w:val="single" w:sz="8" w:space="0" w:color="auto"/>
              <w:left w:val="single" w:sz="8" w:space="0" w:color="auto"/>
              <w:bottom w:val="single" w:sz="8" w:space="0" w:color="auto"/>
              <w:right w:val="single" w:sz="12" w:space="0" w:color="auto"/>
              <w:tl2br w:val="nil"/>
              <w:tr2bl w:val="nil"/>
            </w:tcBorders>
            <w:textDirection w:val="lrTb"/>
            <w:vAlign w:val="center"/>
          </w:tcPr>
          <w:p w:rsidR="00134C6D" w:rsidRPr="00B47B93" w:rsidP="00134C6D">
            <w:pPr>
              <w:spacing w:line="240" w:lineRule="auto"/>
              <w:jc w:val="right"/>
              <w:rPr>
                <w:rFonts w:ascii="Arial Narrow" w:hAnsi="Arial Narrow" w:cs="Times New Roman"/>
              </w:rPr>
            </w:pPr>
            <w:r w:rsidR="00507022">
              <w:rPr>
                <w:rFonts w:ascii="Arial Narrow" w:hAnsi="Arial Narrow" w:cs="Times New Roman"/>
              </w:rPr>
              <w:t>172 188</w:t>
            </w:r>
          </w:p>
        </w:tc>
      </w:tr>
      <w:tr>
        <w:tblPrEx>
          <w:tblW w:w="9360" w:type="dxa"/>
          <w:tblInd w:w="70" w:type="dxa"/>
          <w:tblLayout w:type="fixed"/>
          <w:tblCellMar>
            <w:top w:w="0" w:type="dxa"/>
            <w:left w:w="70" w:type="dxa"/>
            <w:bottom w:w="0" w:type="dxa"/>
            <w:right w:w="70" w:type="dxa"/>
          </w:tblCellMar>
        </w:tblPrEx>
        <w:trPr>
          <w:trHeight w:hRule="auto" w:val="0"/>
        </w:trPr>
        <w:tc>
          <w:tcPr>
            <w:tcW w:w="900" w:type="dxa"/>
            <w:tcBorders>
              <w:top w:val="single" w:sz="8" w:space="0" w:color="auto"/>
              <w:left w:val="single" w:sz="12" w:space="0" w:color="auto"/>
              <w:bottom w:val="single" w:sz="8" w:space="0" w:color="auto"/>
              <w:right w:val="single" w:sz="8" w:space="0" w:color="auto"/>
              <w:tl2br w:val="nil"/>
              <w:tr2bl w:val="nil"/>
            </w:tcBorders>
            <w:textDirection w:val="lrTb"/>
            <w:vAlign w:val="center"/>
          </w:tcPr>
          <w:p w:rsidR="00134C6D" w:rsidRPr="00B47B93" w:rsidP="00C362EA">
            <w:pPr>
              <w:spacing w:line="240" w:lineRule="auto"/>
              <w:rPr>
                <w:rFonts w:ascii="Arial Narrow" w:hAnsi="Arial Narrow" w:cs="Times New Roman"/>
              </w:rPr>
            </w:pPr>
            <w:r w:rsidRPr="00B47B93">
              <w:rPr>
                <w:rFonts w:ascii="Arial Narrow" w:hAnsi="Arial Narrow" w:cs="Times New Roman"/>
              </w:rPr>
              <w:t>07S060</w:t>
            </w:r>
            <w:r>
              <w:rPr>
                <w:rFonts w:ascii="Arial Narrow" w:hAnsi="Arial Narrow" w:cs="Times New Roman"/>
              </w:rPr>
              <w:t>9</w:t>
            </w:r>
          </w:p>
        </w:tc>
        <w:tc>
          <w:tcPr>
            <w:tcW w:w="4749" w:type="dxa"/>
            <w:tcBorders>
              <w:top w:val="single" w:sz="8" w:space="0" w:color="auto"/>
              <w:left w:val="single" w:sz="8" w:space="0" w:color="auto"/>
              <w:bottom w:val="single" w:sz="8" w:space="0" w:color="auto"/>
              <w:right w:val="single" w:sz="8" w:space="0" w:color="auto"/>
              <w:tl2br w:val="nil"/>
              <w:tr2bl w:val="nil"/>
            </w:tcBorders>
            <w:textDirection w:val="lrTb"/>
            <w:vAlign w:val="center"/>
          </w:tcPr>
          <w:p w:rsidR="00134C6D" w:rsidRPr="00B47B93" w:rsidP="00C362EA">
            <w:pPr>
              <w:spacing w:line="240" w:lineRule="auto"/>
              <w:rPr>
                <w:rFonts w:ascii="Arial Narrow" w:hAnsi="Arial Narrow" w:cs="Times New Roman"/>
              </w:rPr>
            </w:pPr>
            <w:r w:rsidR="00351C9C">
              <w:rPr>
                <w:rFonts w:ascii="Arial Narrow" w:hAnsi="Arial Narrow" w:cs="Times New Roman"/>
              </w:rPr>
              <w:t>Odb. pomoc pre dopr. projekty</w:t>
            </w:r>
            <w:r>
              <w:rPr>
                <w:rFonts w:ascii="Arial Narrow" w:hAnsi="Arial Narrow" w:cs="Times New Roman"/>
              </w:rPr>
              <w:t xml:space="preserve"> </w:t>
            </w:r>
            <w:r w:rsidR="00351C9C">
              <w:rPr>
                <w:rFonts w:ascii="Arial Narrow" w:hAnsi="Arial Narrow" w:cs="Times New Roman"/>
              </w:rPr>
              <w:t xml:space="preserve">spolufin. z EÚ </w:t>
            </w:r>
            <w:r>
              <w:rPr>
                <w:rFonts w:ascii="Arial Narrow" w:hAnsi="Arial Narrow" w:cs="Times New Roman"/>
              </w:rPr>
              <w:t xml:space="preserve">– želez. </w:t>
            </w:r>
            <w:r w:rsidRPr="00B47B93">
              <w:rPr>
                <w:rFonts w:ascii="Arial Narrow" w:hAnsi="Arial Narrow" w:cs="Times New Roman"/>
              </w:rPr>
              <w:t>projekty</w:t>
            </w:r>
          </w:p>
        </w:tc>
        <w:tc>
          <w:tcPr>
            <w:tcW w:w="1191" w:type="dxa"/>
            <w:tcBorders>
              <w:top w:val="single" w:sz="8" w:space="0" w:color="auto"/>
              <w:left w:val="single" w:sz="8" w:space="0" w:color="auto"/>
              <w:bottom w:val="single" w:sz="8" w:space="0" w:color="auto"/>
              <w:right w:val="single" w:sz="8" w:space="0" w:color="auto"/>
              <w:tl2br w:val="nil"/>
              <w:tr2bl w:val="nil"/>
            </w:tcBorders>
            <w:textDirection w:val="lrTb"/>
            <w:vAlign w:val="center"/>
          </w:tcPr>
          <w:p w:rsidR="00134C6D" w:rsidRPr="00B47B93" w:rsidP="00C362EA">
            <w:pPr>
              <w:spacing w:line="240" w:lineRule="auto"/>
              <w:jc w:val="right"/>
              <w:rPr>
                <w:rFonts w:ascii="Arial Narrow" w:hAnsi="Arial Narrow" w:cs="Times New Roman"/>
              </w:rPr>
            </w:pPr>
            <w:r w:rsidR="00351C9C">
              <w:rPr>
                <w:rFonts w:ascii="Arial Narrow" w:hAnsi="Arial Narrow" w:cs="Times New Roman"/>
              </w:rPr>
              <w:t>8 083</w:t>
            </w:r>
          </w:p>
        </w:tc>
        <w:tc>
          <w:tcPr>
            <w:tcW w:w="1260" w:type="dxa"/>
            <w:tcBorders>
              <w:top w:val="single" w:sz="8" w:space="0" w:color="auto"/>
              <w:left w:val="single" w:sz="8" w:space="0" w:color="auto"/>
              <w:bottom w:val="single" w:sz="8" w:space="0" w:color="auto"/>
              <w:right w:val="single" w:sz="8" w:space="0" w:color="auto"/>
              <w:tl2br w:val="nil"/>
              <w:tr2bl w:val="nil"/>
            </w:tcBorders>
            <w:textDirection w:val="lrTb"/>
            <w:vAlign w:val="center"/>
          </w:tcPr>
          <w:p w:rsidR="00134C6D" w:rsidRPr="00B47B93" w:rsidP="00C362EA">
            <w:pPr>
              <w:spacing w:line="240" w:lineRule="auto"/>
              <w:jc w:val="right"/>
              <w:rPr>
                <w:rFonts w:ascii="Arial Narrow" w:hAnsi="Arial Narrow" w:cs="Times New Roman"/>
              </w:rPr>
            </w:pPr>
            <w:r w:rsidR="00B06A88">
              <w:rPr>
                <w:rFonts w:ascii="Arial Narrow" w:hAnsi="Arial Narrow" w:cs="Times New Roman"/>
              </w:rPr>
              <w:t>8 292</w:t>
            </w:r>
          </w:p>
        </w:tc>
        <w:tc>
          <w:tcPr>
            <w:tcW w:w="1260" w:type="dxa"/>
            <w:tcBorders>
              <w:top w:val="single" w:sz="8" w:space="0" w:color="auto"/>
              <w:left w:val="single" w:sz="8" w:space="0" w:color="auto"/>
              <w:bottom w:val="single" w:sz="8" w:space="0" w:color="auto"/>
              <w:right w:val="single" w:sz="12" w:space="0" w:color="auto"/>
              <w:tl2br w:val="nil"/>
              <w:tr2bl w:val="nil"/>
            </w:tcBorders>
            <w:textDirection w:val="lrTb"/>
            <w:vAlign w:val="center"/>
          </w:tcPr>
          <w:p w:rsidR="00134C6D" w:rsidRPr="00B47B93" w:rsidP="00134C6D">
            <w:pPr>
              <w:spacing w:line="240" w:lineRule="auto"/>
              <w:jc w:val="right"/>
              <w:rPr>
                <w:rFonts w:ascii="Arial Narrow" w:hAnsi="Arial Narrow" w:cs="Times New Roman"/>
              </w:rPr>
            </w:pPr>
            <w:r w:rsidR="00507022">
              <w:rPr>
                <w:rFonts w:ascii="Arial Narrow" w:hAnsi="Arial Narrow" w:cs="Times New Roman"/>
              </w:rPr>
              <w:t>5 286</w:t>
            </w:r>
          </w:p>
        </w:tc>
      </w:tr>
      <w:tr>
        <w:tblPrEx>
          <w:tblW w:w="9360" w:type="dxa"/>
          <w:tblInd w:w="70" w:type="dxa"/>
          <w:tblLayout w:type="fixed"/>
          <w:tblCellMar>
            <w:top w:w="0" w:type="dxa"/>
            <w:left w:w="70" w:type="dxa"/>
            <w:bottom w:w="0" w:type="dxa"/>
            <w:right w:w="70" w:type="dxa"/>
          </w:tblCellMar>
        </w:tblPrEx>
        <w:trPr>
          <w:trHeight w:hRule="auto" w:val="0"/>
        </w:trPr>
        <w:tc>
          <w:tcPr>
            <w:tcW w:w="900" w:type="dxa"/>
            <w:tcBorders>
              <w:top w:val="single" w:sz="8" w:space="0" w:color="auto"/>
              <w:left w:val="single" w:sz="12" w:space="0" w:color="auto"/>
              <w:bottom w:val="single" w:sz="8" w:space="0" w:color="auto"/>
              <w:right w:val="single" w:sz="8" w:space="0" w:color="auto"/>
              <w:tl2br w:val="nil"/>
              <w:tr2bl w:val="nil"/>
            </w:tcBorders>
            <w:textDirection w:val="lrTb"/>
            <w:vAlign w:val="center"/>
          </w:tcPr>
          <w:p w:rsidR="00134C6D" w:rsidRPr="00B47B93" w:rsidP="00C362EA">
            <w:pPr>
              <w:spacing w:line="240" w:lineRule="auto"/>
              <w:rPr>
                <w:rFonts w:ascii="Arial Narrow" w:hAnsi="Arial Narrow" w:cs="Times New Roman"/>
              </w:rPr>
            </w:pPr>
            <w:r w:rsidRPr="00B47B93">
              <w:rPr>
                <w:rFonts w:ascii="Arial Narrow" w:hAnsi="Arial Narrow" w:cs="Times New Roman"/>
              </w:rPr>
              <w:t> </w:t>
            </w:r>
          </w:p>
        </w:tc>
        <w:tc>
          <w:tcPr>
            <w:tcW w:w="4749" w:type="dxa"/>
            <w:tcBorders>
              <w:top w:val="single" w:sz="8" w:space="0" w:color="auto"/>
              <w:left w:val="single" w:sz="8" w:space="0" w:color="auto"/>
              <w:bottom w:val="single" w:sz="8" w:space="0" w:color="auto"/>
              <w:right w:val="single" w:sz="8" w:space="0" w:color="auto"/>
              <w:tl2br w:val="nil"/>
              <w:tr2bl w:val="nil"/>
            </w:tcBorders>
            <w:textDirection w:val="lrTb"/>
            <w:vAlign w:val="center"/>
          </w:tcPr>
          <w:p w:rsidR="00134C6D" w:rsidRPr="00B47B93" w:rsidP="00C362EA">
            <w:pPr>
              <w:spacing w:line="240" w:lineRule="auto"/>
              <w:rPr>
                <w:rFonts w:ascii="Arial Narrow" w:hAnsi="Arial Narrow" w:cs="Times New Roman"/>
              </w:rPr>
            </w:pPr>
            <w:r w:rsidRPr="00B47B93">
              <w:rPr>
                <w:rFonts w:ascii="Arial Narrow" w:hAnsi="Arial Narrow" w:cs="Times New Roman"/>
              </w:rPr>
              <w:t>z toho: z prostriedkov EÚ</w:t>
            </w:r>
          </w:p>
        </w:tc>
        <w:tc>
          <w:tcPr>
            <w:tcW w:w="1191" w:type="dxa"/>
            <w:tcBorders>
              <w:top w:val="single" w:sz="8" w:space="0" w:color="auto"/>
              <w:left w:val="single" w:sz="8" w:space="0" w:color="auto"/>
              <w:bottom w:val="single" w:sz="8" w:space="0" w:color="auto"/>
              <w:right w:val="single" w:sz="8" w:space="0" w:color="auto"/>
              <w:tl2br w:val="nil"/>
              <w:tr2bl w:val="nil"/>
            </w:tcBorders>
            <w:textDirection w:val="lrTb"/>
            <w:vAlign w:val="center"/>
          </w:tcPr>
          <w:p w:rsidR="00134C6D" w:rsidRPr="00B47B93" w:rsidP="00C362EA">
            <w:pPr>
              <w:spacing w:line="240" w:lineRule="auto"/>
              <w:jc w:val="right"/>
              <w:rPr>
                <w:rFonts w:ascii="Arial Narrow" w:hAnsi="Arial Narrow" w:cs="Times New Roman"/>
              </w:rPr>
            </w:pPr>
            <w:r w:rsidR="00351C9C">
              <w:rPr>
                <w:rFonts w:ascii="Arial Narrow" w:hAnsi="Arial Narrow" w:cs="Times New Roman"/>
              </w:rPr>
              <w:t>5 514</w:t>
            </w:r>
          </w:p>
        </w:tc>
        <w:tc>
          <w:tcPr>
            <w:tcW w:w="1260" w:type="dxa"/>
            <w:tcBorders>
              <w:top w:val="single" w:sz="8" w:space="0" w:color="auto"/>
              <w:left w:val="single" w:sz="8" w:space="0" w:color="auto"/>
              <w:bottom w:val="single" w:sz="8" w:space="0" w:color="auto"/>
              <w:right w:val="single" w:sz="8" w:space="0" w:color="auto"/>
              <w:tl2br w:val="nil"/>
              <w:tr2bl w:val="nil"/>
            </w:tcBorders>
            <w:textDirection w:val="lrTb"/>
            <w:vAlign w:val="center"/>
          </w:tcPr>
          <w:p w:rsidR="00134C6D" w:rsidRPr="00B47B93" w:rsidP="00C362EA">
            <w:pPr>
              <w:spacing w:line="240" w:lineRule="auto"/>
              <w:jc w:val="right"/>
              <w:rPr>
                <w:rFonts w:ascii="Arial Narrow" w:hAnsi="Arial Narrow" w:cs="Times New Roman"/>
              </w:rPr>
            </w:pPr>
            <w:r w:rsidR="00DE6D09">
              <w:rPr>
                <w:rFonts w:ascii="Arial Narrow" w:hAnsi="Arial Narrow" w:cs="Times New Roman"/>
              </w:rPr>
              <w:t>5 514</w:t>
            </w:r>
          </w:p>
        </w:tc>
        <w:tc>
          <w:tcPr>
            <w:tcW w:w="1260" w:type="dxa"/>
            <w:tcBorders>
              <w:top w:val="single" w:sz="8" w:space="0" w:color="auto"/>
              <w:left w:val="single" w:sz="8" w:space="0" w:color="auto"/>
              <w:bottom w:val="single" w:sz="8" w:space="0" w:color="auto"/>
              <w:right w:val="single" w:sz="12" w:space="0" w:color="auto"/>
              <w:tl2br w:val="nil"/>
              <w:tr2bl w:val="nil"/>
            </w:tcBorders>
            <w:textDirection w:val="lrTb"/>
            <w:vAlign w:val="center"/>
          </w:tcPr>
          <w:p w:rsidR="00134C6D" w:rsidRPr="00B47B93" w:rsidP="00134C6D">
            <w:pPr>
              <w:spacing w:line="240" w:lineRule="auto"/>
              <w:jc w:val="right"/>
              <w:rPr>
                <w:rFonts w:ascii="Arial Narrow" w:hAnsi="Arial Narrow" w:cs="Times New Roman"/>
              </w:rPr>
            </w:pPr>
            <w:r w:rsidR="00507022">
              <w:rPr>
                <w:rFonts w:ascii="Arial Narrow" w:hAnsi="Arial Narrow" w:cs="Times New Roman"/>
              </w:rPr>
              <w:t>2 508</w:t>
            </w:r>
          </w:p>
        </w:tc>
      </w:tr>
      <w:tr>
        <w:tblPrEx>
          <w:tblW w:w="9360" w:type="dxa"/>
          <w:tblInd w:w="70" w:type="dxa"/>
          <w:tblLayout w:type="fixed"/>
          <w:tblCellMar>
            <w:top w:w="0" w:type="dxa"/>
            <w:left w:w="70" w:type="dxa"/>
            <w:bottom w:w="0" w:type="dxa"/>
            <w:right w:w="70" w:type="dxa"/>
          </w:tblCellMar>
        </w:tblPrEx>
        <w:trPr>
          <w:trHeight w:hRule="auto" w:val="0"/>
        </w:trPr>
        <w:tc>
          <w:tcPr>
            <w:tcW w:w="900" w:type="dxa"/>
            <w:tcBorders>
              <w:top w:val="single" w:sz="8" w:space="0" w:color="auto"/>
              <w:left w:val="single" w:sz="12" w:space="0" w:color="auto"/>
              <w:bottom w:val="single" w:sz="12" w:space="0" w:color="auto"/>
              <w:right w:val="single" w:sz="8" w:space="0" w:color="auto"/>
              <w:tl2br w:val="nil"/>
              <w:tr2bl w:val="nil"/>
            </w:tcBorders>
            <w:textDirection w:val="lrTb"/>
            <w:vAlign w:val="center"/>
          </w:tcPr>
          <w:p w:rsidR="00134C6D" w:rsidRPr="00B47B93" w:rsidP="00C362EA">
            <w:pPr>
              <w:spacing w:line="240" w:lineRule="auto"/>
              <w:rPr>
                <w:rFonts w:ascii="Arial Narrow" w:hAnsi="Arial Narrow" w:cs="Times New Roman"/>
              </w:rPr>
            </w:pPr>
            <w:r w:rsidRPr="00B47B93">
              <w:rPr>
                <w:rFonts w:ascii="Arial Narrow" w:hAnsi="Arial Narrow" w:cs="Times New Roman"/>
              </w:rPr>
              <w:t> </w:t>
            </w:r>
          </w:p>
        </w:tc>
        <w:tc>
          <w:tcPr>
            <w:tcW w:w="4749" w:type="dxa"/>
            <w:tcBorders>
              <w:top w:val="single" w:sz="8" w:space="0" w:color="auto"/>
              <w:left w:val="single" w:sz="8" w:space="0" w:color="auto"/>
              <w:bottom w:val="single" w:sz="12" w:space="0" w:color="auto"/>
              <w:right w:val="single" w:sz="8" w:space="0" w:color="auto"/>
              <w:tl2br w:val="nil"/>
              <w:tr2bl w:val="nil"/>
            </w:tcBorders>
            <w:textDirection w:val="lrTb"/>
            <w:vAlign w:val="center"/>
          </w:tcPr>
          <w:p w:rsidR="00134C6D" w:rsidRPr="00B47B93" w:rsidP="00C362EA">
            <w:pPr>
              <w:spacing w:line="240" w:lineRule="auto"/>
              <w:rPr>
                <w:rFonts w:ascii="Arial Narrow" w:hAnsi="Arial Narrow" w:cs="Times New Roman"/>
              </w:rPr>
            </w:pPr>
            <w:r w:rsidRPr="00B47B93">
              <w:rPr>
                <w:rFonts w:ascii="Arial Narrow" w:hAnsi="Arial Narrow" w:cs="Times New Roman"/>
              </w:rPr>
              <w:t xml:space="preserve">           z prostriedkov spolufinancovania z</w:t>
            </w:r>
            <w:r w:rsidR="00613A87">
              <w:rPr>
                <w:rFonts w:ascii="Arial Narrow" w:hAnsi="Arial Narrow" w:cs="Times New Roman"/>
              </w:rPr>
              <w:t> </w:t>
            </w:r>
            <w:r w:rsidRPr="00B47B93">
              <w:rPr>
                <w:rFonts w:ascii="Arial Narrow" w:hAnsi="Arial Narrow" w:cs="Times New Roman"/>
              </w:rPr>
              <w:t>VPS</w:t>
            </w:r>
          </w:p>
        </w:tc>
        <w:tc>
          <w:tcPr>
            <w:tcW w:w="1191" w:type="dxa"/>
            <w:tcBorders>
              <w:top w:val="single" w:sz="8" w:space="0" w:color="auto"/>
              <w:left w:val="single" w:sz="8" w:space="0" w:color="auto"/>
              <w:bottom w:val="single" w:sz="12" w:space="0" w:color="auto"/>
              <w:right w:val="single" w:sz="8" w:space="0" w:color="auto"/>
              <w:tl2br w:val="nil"/>
              <w:tr2bl w:val="nil"/>
            </w:tcBorders>
            <w:textDirection w:val="lrTb"/>
            <w:vAlign w:val="center"/>
          </w:tcPr>
          <w:p w:rsidR="00134C6D" w:rsidRPr="00B47B93" w:rsidP="00C362EA">
            <w:pPr>
              <w:spacing w:line="240" w:lineRule="auto"/>
              <w:jc w:val="right"/>
              <w:rPr>
                <w:rFonts w:ascii="Arial Narrow" w:hAnsi="Arial Narrow" w:cs="Times New Roman"/>
              </w:rPr>
            </w:pPr>
            <w:r w:rsidR="00351C9C">
              <w:rPr>
                <w:rFonts w:ascii="Arial Narrow" w:hAnsi="Arial Narrow" w:cs="Times New Roman"/>
              </w:rPr>
              <w:t>2 569</w:t>
            </w:r>
          </w:p>
        </w:tc>
        <w:tc>
          <w:tcPr>
            <w:tcW w:w="1260" w:type="dxa"/>
            <w:tcBorders>
              <w:top w:val="single" w:sz="8" w:space="0" w:color="auto"/>
              <w:left w:val="single" w:sz="8" w:space="0" w:color="auto"/>
              <w:bottom w:val="single" w:sz="12" w:space="0" w:color="auto"/>
              <w:right w:val="single" w:sz="8" w:space="0" w:color="auto"/>
              <w:tl2br w:val="nil"/>
              <w:tr2bl w:val="nil"/>
            </w:tcBorders>
            <w:textDirection w:val="lrTb"/>
            <w:vAlign w:val="center"/>
          </w:tcPr>
          <w:p w:rsidR="00134C6D" w:rsidRPr="00B47B93" w:rsidP="00C362EA">
            <w:pPr>
              <w:spacing w:line="240" w:lineRule="auto"/>
              <w:jc w:val="right"/>
              <w:rPr>
                <w:rFonts w:ascii="Arial Narrow" w:hAnsi="Arial Narrow" w:cs="Times New Roman"/>
              </w:rPr>
            </w:pPr>
            <w:r w:rsidR="00DE6D09">
              <w:rPr>
                <w:rFonts w:ascii="Arial Narrow" w:hAnsi="Arial Narrow" w:cs="Times New Roman"/>
              </w:rPr>
              <w:t>2 778</w:t>
            </w:r>
          </w:p>
        </w:tc>
        <w:tc>
          <w:tcPr>
            <w:tcW w:w="1260" w:type="dxa"/>
            <w:tcBorders>
              <w:top w:val="single" w:sz="8" w:space="0" w:color="auto"/>
              <w:left w:val="single" w:sz="8" w:space="0" w:color="auto"/>
              <w:bottom w:val="single" w:sz="12" w:space="0" w:color="auto"/>
              <w:right w:val="single" w:sz="12" w:space="0" w:color="auto"/>
              <w:tl2br w:val="nil"/>
              <w:tr2bl w:val="nil"/>
            </w:tcBorders>
            <w:textDirection w:val="lrTb"/>
            <w:vAlign w:val="center"/>
          </w:tcPr>
          <w:p w:rsidR="00134C6D" w:rsidRPr="00B47B93" w:rsidP="00134C6D">
            <w:pPr>
              <w:spacing w:line="240" w:lineRule="auto"/>
              <w:jc w:val="right"/>
              <w:rPr>
                <w:rFonts w:ascii="Arial Narrow" w:hAnsi="Arial Narrow" w:cs="Times New Roman"/>
              </w:rPr>
            </w:pPr>
            <w:r w:rsidR="00507022">
              <w:rPr>
                <w:rFonts w:ascii="Arial Narrow" w:hAnsi="Arial Narrow" w:cs="Times New Roman"/>
              </w:rPr>
              <w:t>2 778</w:t>
            </w:r>
          </w:p>
        </w:tc>
      </w:tr>
    </w:tbl>
    <w:p w:rsidR="00526431" w:rsidRPr="00526431" w:rsidP="00C362EA">
      <w:pPr>
        <w:pStyle w:val="NormalIndent"/>
        <w:tabs>
          <w:tab w:val="left" w:pos="0"/>
        </w:tabs>
        <w:spacing w:line="240" w:lineRule="auto"/>
        <w:ind w:left="0"/>
        <w:rPr>
          <w:rFonts w:ascii="Arial Narrow" w:hAnsi="Arial Narrow" w:cs="Times New Roman"/>
          <w:bCs/>
          <w:sz w:val="18"/>
          <w:szCs w:val="18"/>
        </w:rPr>
      </w:pPr>
      <w:r w:rsidRPr="00526431">
        <w:rPr>
          <w:rFonts w:ascii="Symbol" w:hAnsi="Symbol" w:cs="Times New Roman"/>
          <w:bCs/>
          <w:sz w:val="18"/>
          <w:szCs w:val="18"/>
        </w:rPr>
        <w:sym w:font="Symbol" w:char="F02A"/>
      </w:r>
      <w:r w:rsidR="00351C9C">
        <w:rPr>
          <w:rFonts w:ascii="Arial Narrow" w:hAnsi="Arial Narrow" w:cs="Times New Roman"/>
          <w:bCs/>
          <w:sz w:val="18"/>
          <w:szCs w:val="18"/>
        </w:rPr>
        <w:t xml:space="preserve"> Čerpanie od 1.1. do 31.12.2007</w:t>
      </w:r>
      <w:r w:rsidRPr="00526431">
        <w:rPr>
          <w:rFonts w:ascii="Arial Narrow" w:hAnsi="Arial Narrow" w:cs="Times New Roman"/>
          <w:bCs/>
          <w:sz w:val="18"/>
          <w:szCs w:val="18"/>
        </w:rPr>
        <w:t xml:space="preserve"> na účty PO</w:t>
      </w:r>
    </w:p>
    <w:p w:rsidR="00351C9C" w:rsidP="00B4123B">
      <w:pPr>
        <w:pStyle w:val="NormalIndent"/>
        <w:tabs>
          <w:tab w:val="left" w:pos="0"/>
        </w:tabs>
        <w:spacing w:line="240" w:lineRule="auto"/>
        <w:ind w:left="0"/>
        <w:rPr>
          <w:rFonts w:ascii="Arial Narrow" w:hAnsi="Arial Narrow" w:cs="Times New Roman"/>
          <w:b/>
          <w:bCs/>
          <w:sz w:val="22"/>
          <w:szCs w:val="22"/>
        </w:rPr>
      </w:pPr>
      <w:r w:rsidR="00526431">
        <w:rPr>
          <w:rFonts w:ascii="Arial Narrow" w:hAnsi="Arial Narrow" w:cs="Times New Roman"/>
          <w:b/>
          <w:bCs/>
          <w:sz w:val="22"/>
          <w:szCs w:val="22"/>
        </w:rPr>
        <w:t xml:space="preserve"> </w:t>
      </w:r>
    </w:p>
    <w:p w:rsidR="005119BE" w:rsidRPr="00351C9C" w:rsidP="00B4123B">
      <w:pPr>
        <w:pStyle w:val="NormalIndent"/>
        <w:tabs>
          <w:tab w:val="left" w:pos="0"/>
        </w:tabs>
        <w:spacing w:line="240" w:lineRule="auto"/>
        <w:ind w:left="0"/>
        <w:rPr>
          <w:rFonts w:ascii="Times New Roman" w:hAnsi="Times New Roman" w:cs="Times New Roman"/>
        </w:rPr>
      </w:pPr>
    </w:p>
    <w:p w:rsidR="00B4123B" w:rsidRPr="00E03A1A" w:rsidP="00B4123B">
      <w:pPr>
        <w:pStyle w:val="NormalIndent"/>
        <w:tabs>
          <w:tab w:val="left" w:pos="0"/>
        </w:tabs>
        <w:spacing w:line="240" w:lineRule="auto"/>
        <w:ind w:left="0"/>
        <w:rPr>
          <w:rFonts w:ascii="Times New Roman" w:hAnsi="Times New Roman" w:cs="Times New Roman"/>
          <w:u w:val="single"/>
        </w:rPr>
      </w:pPr>
      <w:r w:rsidRPr="00E03A1A">
        <w:rPr>
          <w:rFonts w:cs="Times New Roman"/>
          <w:szCs w:val="24"/>
          <w:u w:val="single"/>
        </w:rPr>
        <w:t xml:space="preserve">07S0603 </w:t>
      </w:r>
      <w:r w:rsidRPr="00E03A1A">
        <w:rPr>
          <w:rFonts w:cs="Times New Roman"/>
          <w:u w:val="single"/>
        </w:rPr>
        <w:t>Modernizácia trate Šenkvice – Cífer a staníc Rača – Trnava</w:t>
      </w:r>
    </w:p>
    <w:p w:rsidR="005119BE" w:rsidP="00B4123B">
      <w:pPr>
        <w:autoSpaceDE/>
        <w:autoSpaceDN/>
        <w:spacing w:line="240" w:lineRule="auto"/>
        <w:textAlignment w:val="auto"/>
        <w:rPr>
          <w:rFonts w:ascii="Times New Roman" w:hAnsi="Times New Roman" w:cs="Times New Roman"/>
          <w:color w:val="000000"/>
          <w:sz w:val="24"/>
          <w:szCs w:val="24"/>
          <w:lang w:eastAsia="sk-SK"/>
        </w:rPr>
      </w:pPr>
    </w:p>
    <w:p w:rsidR="00B4123B" w:rsidP="005119BE">
      <w:pPr>
        <w:autoSpaceDE/>
        <w:autoSpaceDN/>
        <w:spacing w:line="240" w:lineRule="auto"/>
        <w:ind w:firstLine="709"/>
        <w:textAlignment w:val="auto"/>
        <w:rPr>
          <w:rFonts w:ascii="Times New Roman" w:hAnsi="Times New Roman" w:cs="Times New Roman"/>
          <w:color w:val="000000"/>
          <w:sz w:val="24"/>
          <w:szCs w:val="24"/>
          <w:lang w:eastAsia="sk-SK"/>
        </w:rPr>
      </w:pPr>
      <w:r w:rsidRPr="00476B1F" w:rsidR="00476B1F">
        <w:rPr>
          <w:rFonts w:ascii="Times New Roman" w:hAnsi="Times New Roman" w:cs="Times New Roman"/>
          <w:color w:val="000000"/>
          <w:sz w:val="24"/>
          <w:szCs w:val="24"/>
          <w:lang w:eastAsia="sk-SK"/>
        </w:rPr>
        <w:t xml:space="preserve">Ku koncu roku 2007 bola hlavná pracovná činnosť spojená s výlukami na jednotlivých UČS (ucelená časť stavby) ukončená. Prebiehali a prebiehajú odovzdávacie a preberacie konania na jednotlivých objektoch. </w:t>
      </w:r>
    </w:p>
    <w:p w:rsidR="005119BE" w:rsidRPr="00B4123B" w:rsidP="00B4123B">
      <w:pPr>
        <w:autoSpaceDE/>
        <w:autoSpaceDN/>
        <w:spacing w:line="240" w:lineRule="auto"/>
        <w:textAlignment w:val="auto"/>
        <w:rPr>
          <w:rFonts w:ascii="Times New Roman" w:hAnsi="Times New Roman" w:cs="Times New Roman"/>
          <w:sz w:val="24"/>
          <w:szCs w:val="24"/>
          <w:lang w:eastAsia="sk-SK"/>
        </w:rPr>
      </w:pPr>
    </w:p>
    <w:p w:rsidR="00B4123B" w:rsidRPr="00E03A1A" w:rsidP="00B4123B">
      <w:pPr>
        <w:pStyle w:val="NormalIndent"/>
        <w:tabs>
          <w:tab w:val="left" w:pos="0"/>
        </w:tabs>
        <w:spacing w:line="240" w:lineRule="auto"/>
        <w:ind w:left="0"/>
        <w:rPr>
          <w:rFonts w:ascii="Times New Roman" w:hAnsi="Times New Roman" w:cs="Times New Roman"/>
          <w:u w:val="single"/>
        </w:rPr>
      </w:pPr>
      <w:r w:rsidRPr="00E03A1A">
        <w:rPr>
          <w:rFonts w:ascii="Times New Roman" w:hAnsi="Times New Roman" w:cs="Times New Roman"/>
          <w:szCs w:val="24"/>
          <w:u w:val="single"/>
        </w:rPr>
        <w:t xml:space="preserve">07S0604 </w:t>
      </w:r>
      <w:r w:rsidRPr="00E03A1A">
        <w:rPr>
          <w:rFonts w:ascii="Times New Roman" w:hAnsi="Times New Roman" w:cs="Times New Roman"/>
          <w:u w:val="single"/>
        </w:rPr>
        <w:t xml:space="preserve">Modernizácia trate Trnava – Nové Mesto nad Váhom, úsek Trnava – Piešťany </w:t>
      </w:r>
    </w:p>
    <w:p w:rsidR="005119BE" w:rsidP="00B4123B">
      <w:pPr>
        <w:autoSpaceDE/>
        <w:autoSpaceDN/>
        <w:spacing w:line="240" w:lineRule="auto"/>
        <w:textAlignment w:val="auto"/>
        <w:rPr>
          <w:rFonts w:ascii="Times New Roman" w:hAnsi="Times New Roman" w:cs="Times New Roman"/>
          <w:sz w:val="24"/>
          <w:szCs w:val="24"/>
          <w:lang w:eastAsia="sk-SK"/>
        </w:rPr>
      </w:pPr>
    </w:p>
    <w:p w:rsidR="005119BE" w:rsidP="005119BE">
      <w:pPr>
        <w:autoSpaceDE/>
        <w:autoSpaceDN/>
        <w:spacing w:line="240" w:lineRule="auto"/>
        <w:ind w:firstLine="709"/>
        <w:textAlignment w:val="auto"/>
        <w:rPr>
          <w:rFonts w:ascii="Times New Roman" w:hAnsi="Times New Roman" w:cs="Times New Roman"/>
          <w:sz w:val="24"/>
          <w:szCs w:val="24"/>
          <w:lang w:eastAsia="sk-SK"/>
        </w:rPr>
      </w:pPr>
      <w:r w:rsidR="00B4123B">
        <w:rPr>
          <w:rFonts w:ascii="Times New Roman" w:hAnsi="Times New Roman" w:cs="Times New Roman"/>
          <w:sz w:val="24"/>
          <w:szCs w:val="24"/>
          <w:lang w:eastAsia="sk-SK"/>
        </w:rPr>
        <w:t xml:space="preserve">Medzistaničné úseky Trnava – Leopoldov a Leopoldov – </w:t>
      </w:r>
      <w:r w:rsidRPr="00B4123B" w:rsidR="00B4123B">
        <w:rPr>
          <w:rFonts w:ascii="Times New Roman" w:hAnsi="Times New Roman" w:cs="Times New Roman"/>
          <w:sz w:val="24"/>
          <w:szCs w:val="24"/>
          <w:lang w:eastAsia="sk-SK"/>
        </w:rPr>
        <w:t>P</w:t>
      </w:r>
      <w:r w:rsidR="00EB5C51">
        <w:rPr>
          <w:rFonts w:ascii="Times New Roman" w:hAnsi="Times New Roman" w:cs="Times New Roman"/>
          <w:sz w:val="24"/>
          <w:szCs w:val="24"/>
          <w:lang w:eastAsia="sk-SK"/>
        </w:rPr>
        <w:t>iešťany sú stavebne ukončené. Na mostoch</w:t>
      </w:r>
      <w:r w:rsidRPr="00B4123B" w:rsidR="00B4123B">
        <w:rPr>
          <w:rFonts w:ascii="Times New Roman" w:hAnsi="Times New Roman" w:cs="Times New Roman"/>
          <w:sz w:val="24"/>
          <w:szCs w:val="24"/>
          <w:lang w:eastAsia="sk-SK"/>
        </w:rPr>
        <w:t>, umelých sta</w:t>
      </w:r>
      <w:r w:rsidR="00EB5C51">
        <w:rPr>
          <w:rFonts w:ascii="Times New Roman" w:hAnsi="Times New Roman" w:cs="Times New Roman"/>
          <w:sz w:val="24"/>
          <w:szCs w:val="24"/>
          <w:lang w:eastAsia="sk-SK"/>
        </w:rPr>
        <w:t>v</w:t>
      </w:r>
      <w:r w:rsidR="00B4123B">
        <w:rPr>
          <w:rFonts w:ascii="Times New Roman" w:hAnsi="Times New Roman" w:cs="Times New Roman"/>
          <w:sz w:val="24"/>
          <w:szCs w:val="24"/>
          <w:lang w:eastAsia="sk-SK"/>
        </w:rPr>
        <w:t>b</w:t>
      </w:r>
      <w:r w:rsidR="00EB5C51">
        <w:rPr>
          <w:rFonts w:ascii="Times New Roman" w:hAnsi="Times New Roman" w:cs="Times New Roman"/>
          <w:sz w:val="24"/>
          <w:szCs w:val="24"/>
          <w:lang w:eastAsia="sk-SK"/>
        </w:rPr>
        <w:t>ách</w:t>
      </w:r>
      <w:r w:rsidR="00B4123B">
        <w:rPr>
          <w:rFonts w:ascii="Times New Roman" w:hAnsi="Times New Roman" w:cs="Times New Roman"/>
          <w:sz w:val="24"/>
          <w:szCs w:val="24"/>
          <w:lang w:eastAsia="sk-SK"/>
        </w:rPr>
        <w:t xml:space="preserve"> a zabezpečovacích zariadeniach prebiehajú do</w:t>
      </w:r>
      <w:r w:rsidRPr="00B4123B" w:rsidR="00B4123B">
        <w:rPr>
          <w:rFonts w:ascii="Times New Roman" w:hAnsi="Times New Roman" w:cs="Times New Roman"/>
          <w:sz w:val="24"/>
          <w:szCs w:val="24"/>
          <w:lang w:eastAsia="sk-SK"/>
        </w:rPr>
        <w:t>končovacie práce. Trakčné vedenie je taktiež stavebne ukončené. Realizácia prác prebieha v zmysle upraveného harmonogramu, ktorý bol schválený stavebným dozorom.</w:t>
      </w:r>
    </w:p>
    <w:p w:rsidR="00B4123B" w:rsidRPr="00B4123B" w:rsidP="00B4123B">
      <w:pPr>
        <w:autoSpaceDE/>
        <w:autoSpaceDN/>
        <w:spacing w:line="240" w:lineRule="auto"/>
        <w:textAlignment w:val="auto"/>
        <w:rPr>
          <w:rFonts w:ascii="Times New Roman" w:hAnsi="Times New Roman" w:cs="Times New Roman"/>
          <w:sz w:val="24"/>
          <w:szCs w:val="24"/>
          <w:lang w:eastAsia="sk-SK"/>
        </w:rPr>
      </w:pPr>
      <w:r w:rsidRPr="00B4123B">
        <w:rPr>
          <w:rFonts w:ascii="Times New Roman" w:hAnsi="Times New Roman" w:cs="Times New Roman"/>
          <w:sz w:val="24"/>
          <w:szCs w:val="24"/>
          <w:lang w:eastAsia="sk-SK"/>
        </w:rPr>
        <w:tab/>
      </w:r>
    </w:p>
    <w:p w:rsidR="00B4123B" w:rsidRPr="00E03A1A" w:rsidP="00B4123B">
      <w:pPr>
        <w:spacing w:line="240" w:lineRule="auto"/>
        <w:rPr>
          <w:rFonts w:ascii="Times New Roman" w:hAnsi="Times New Roman" w:cs="Times New Roman"/>
          <w:sz w:val="24"/>
          <w:szCs w:val="24"/>
          <w:u w:val="single"/>
        </w:rPr>
      </w:pPr>
      <w:r w:rsidRPr="00E03A1A">
        <w:rPr>
          <w:rFonts w:ascii="Times New Roman" w:hAnsi="Times New Roman" w:cs="Times New Roman"/>
          <w:sz w:val="24"/>
          <w:szCs w:val="24"/>
          <w:u w:val="single"/>
        </w:rPr>
        <w:t xml:space="preserve">07S0609 </w:t>
      </w:r>
      <w:r w:rsidRPr="00E03A1A">
        <w:rPr>
          <w:rFonts w:ascii="Times New Roman" w:hAnsi="Times New Roman" w:cs="Times New Roman"/>
          <w:sz w:val="24"/>
          <w:szCs w:val="24"/>
          <w:u w:val="single"/>
        </w:rPr>
        <w:t xml:space="preserve">Odbor. pomoc pre implementáciu dopravných projektov – železničné projekty </w:t>
      </w:r>
      <w:r w:rsidRPr="00E03A1A">
        <w:rPr>
          <w:rFonts w:ascii="Times New Roman" w:hAnsi="Times New Roman" w:cs="Times New Roman"/>
          <w:sz w:val="24"/>
          <w:u w:val="single"/>
        </w:rPr>
        <w:t>(FM č. ISPA 2002/SK/16/P/PA/011)</w:t>
      </w:r>
    </w:p>
    <w:p w:rsidR="005119BE" w:rsidP="002710B0">
      <w:pPr>
        <w:autoSpaceDE/>
        <w:autoSpaceDN/>
        <w:spacing w:line="240" w:lineRule="auto"/>
        <w:textAlignment w:val="auto"/>
        <w:rPr>
          <w:rFonts w:ascii="Times New Roman" w:hAnsi="Times New Roman" w:cs="Times New Roman"/>
          <w:sz w:val="24"/>
          <w:szCs w:val="24"/>
          <w:lang w:eastAsia="sk-SK"/>
        </w:rPr>
      </w:pPr>
    </w:p>
    <w:p w:rsidR="00500CEE" w:rsidP="005119BE">
      <w:pPr>
        <w:autoSpaceDE/>
        <w:autoSpaceDN/>
        <w:spacing w:line="240" w:lineRule="auto"/>
        <w:ind w:firstLine="708"/>
        <w:textAlignment w:val="auto"/>
        <w:rPr>
          <w:rFonts w:ascii="Times New Roman" w:hAnsi="Times New Roman" w:cs="Times New Roman"/>
          <w:sz w:val="24"/>
          <w:szCs w:val="24"/>
          <w:lang w:eastAsia="sk-SK"/>
        </w:rPr>
      </w:pPr>
      <w:r w:rsidRPr="00B4123B" w:rsidR="00B4123B">
        <w:rPr>
          <w:rFonts w:ascii="Times New Roman" w:hAnsi="Times New Roman" w:cs="Times New Roman"/>
          <w:sz w:val="24"/>
          <w:szCs w:val="24"/>
          <w:lang w:eastAsia="sk-SK"/>
        </w:rPr>
        <w:t>Technická asistencia  plní úlohy podľa uzatvorenej zmluvy a podľa požiadavie</w:t>
      </w:r>
      <w:r w:rsidR="009432BD">
        <w:rPr>
          <w:rFonts w:ascii="Times New Roman" w:hAnsi="Times New Roman" w:cs="Times New Roman"/>
          <w:sz w:val="24"/>
          <w:szCs w:val="24"/>
          <w:lang w:eastAsia="sk-SK"/>
        </w:rPr>
        <w:t>k Železníc SR. Ciele v roku 2007</w:t>
      </w:r>
      <w:r w:rsidRPr="00B4123B" w:rsidR="00B4123B">
        <w:rPr>
          <w:rFonts w:ascii="Times New Roman" w:hAnsi="Times New Roman" w:cs="Times New Roman"/>
          <w:sz w:val="24"/>
          <w:szCs w:val="24"/>
          <w:lang w:eastAsia="sk-SK"/>
        </w:rPr>
        <w:t xml:space="preserve"> boli splnené.</w:t>
      </w:r>
      <w:r w:rsidR="00B4123B">
        <w:rPr>
          <w:rFonts w:ascii="Times New Roman" w:hAnsi="Times New Roman" w:cs="Times New Roman"/>
          <w:sz w:val="24"/>
          <w:szCs w:val="24"/>
          <w:lang w:eastAsia="sk-SK"/>
        </w:rPr>
        <w:t xml:space="preserve"> </w:t>
      </w:r>
      <w:r w:rsidRPr="00B4123B" w:rsidR="00B4123B">
        <w:rPr>
          <w:rFonts w:ascii="Times New Roman" w:hAnsi="Times New Roman" w:cs="Times New Roman"/>
          <w:sz w:val="24"/>
          <w:szCs w:val="24"/>
          <w:lang w:eastAsia="sk-SK"/>
        </w:rPr>
        <w:t>Technická asistencia vykonáva činnosti spojené s hodnotením zmluvných vzťahov medzi ŽSR a ostatnými subjekt</w:t>
      </w:r>
      <w:r w:rsidR="00B4123B">
        <w:rPr>
          <w:rFonts w:ascii="Times New Roman" w:hAnsi="Times New Roman" w:cs="Times New Roman"/>
          <w:sz w:val="24"/>
          <w:szCs w:val="24"/>
          <w:lang w:eastAsia="sk-SK"/>
        </w:rPr>
        <w:t>a</w:t>
      </w:r>
      <w:r w:rsidRPr="00B4123B" w:rsidR="00B4123B">
        <w:rPr>
          <w:rFonts w:ascii="Times New Roman" w:hAnsi="Times New Roman" w:cs="Times New Roman"/>
          <w:sz w:val="24"/>
          <w:szCs w:val="24"/>
          <w:lang w:eastAsia="sk-SK"/>
        </w:rPr>
        <w:t>mi, asistuje pri príprave nových monitorovacích hárkov, zúčastňuje sa na riešení ostatných problematických otázok v oblasti verejného obstarávania, finančného riadenia a realizácie projektov spolufinancovaných z fondov EÚ. Doba platnosti FM bola predĺžená do 30.06.2008.</w:t>
        <w:tab/>
      </w:r>
    </w:p>
    <w:p w:rsidR="005119BE" w:rsidP="00500CEE">
      <w:pPr>
        <w:autoSpaceDE/>
        <w:autoSpaceDN/>
        <w:spacing w:line="240" w:lineRule="auto"/>
        <w:ind w:firstLine="708"/>
        <w:textAlignment w:val="auto"/>
        <w:rPr>
          <w:rFonts w:ascii="Times New Roman" w:hAnsi="Times New Roman" w:cs="Times New Roman"/>
          <w:sz w:val="24"/>
          <w:szCs w:val="24"/>
          <w:lang w:eastAsia="sk-SK"/>
        </w:rPr>
      </w:pPr>
    </w:p>
    <w:p w:rsidR="00500CEE" w:rsidRPr="009C403F" w:rsidP="00500CEE">
      <w:pPr>
        <w:autoSpaceDE/>
        <w:autoSpaceDN/>
        <w:spacing w:line="240" w:lineRule="auto"/>
        <w:ind w:firstLine="708"/>
        <w:textAlignment w:val="auto"/>
        <w:rPr>
          <w:rFonts w:ascii="Times New Roman" w:hAnsi="Times New Roman" w:cs="Times New Roman"/>
          <w:sz w:val="24"/>
          <w:szCs w:val="24"/>
          <w:lang w:eastAsia="sk-SK"/>
        </w:rPr>
      </w:pPr>
      <w:r>
        <w:rPr>
          <w:rFonts w:ascii="Times New Roman" w:hAnsi="Times New Roman" w:cs="Times New Roman"/>
          <w:sz w:val="24"/>
          <w:szCs w:val="24"/>
          <w:lang w:eastAsia="sk-SK"/>
        </w:rPr>
        <w:t xml:space="preserve">Z vecného hľadiska, koľko bolo do užívania odovzdaných km </w:t>
      </w:r>
      <w:r w:rsidRPr="000D6133">
        <w:rPr>
          <w:rFonts w:ascii="Times New Roman" w:hAnsi="Times New Roman" w:cs="Times New Roman"/>
          <w:sz w:val="24"/>
          <w:szCs w:val="24"/>
          <w:lang w:eastAsia="sk-SK"/>
        </w:rPr>
        <w:t>zmode</w:t>
      </w:r>
      <w:r>
        <w:rPr>
          <w:rFonts w:ascii="Times New Roman" w:hAnsi="Times New Roman" w:cs="Times New Roman"/>
          <w:sz w:val="24"/>
          <w:szCs w:val="24"/>
          <w:lang w:eastAsia="sk-SK"/>
        </w:rPr>
        <w:t xml:space="preserve">rnizovaných alebo elektrifikovaných železničných tratí a ostatné výsledky investičnej činnosti Železníc SR sú uvedené </w:t>
      </w:r>
      <w:r w:rsidR="009432BD">
        <w:rPr>
          <w:rFonts w:ascii="Times New Roman" w:hAnsi="Times New Roman" w:cs="Times New Roman"/>
          <w:sz w:val="24"/>
          <w:szCs w:val="24"/>
          <w:lang w:eastAsia="sk-SK"/>
        </w:rPr>
        <w:t xml:space="preserve">taktiež </w:t>
      </w:r>
      <w:r w:rsidR="005119BE">
        <w:rPr>
          <w:rFonts w:ascii="Times New Roman" w:hAnsi="Times New Roman" w:cs="Times New Roman"/>
          <w:sz w:val="24"/>
          <w:szCs w:val="24"/>
          <w:lang w:eastAsia="sk-SK"/>
        </w:rPr>
        <w:t>vo vyhodnotení</w:t>
      </w:r>
      <w:r>
        <w:rPr>
          <w:rFonts w:ascii="Times New Roman" w:hAnsi="Times New Roman" w:cs="Times New Roman"/>
          <w:sz w:val="24"/>
          <w:szCs w:val="24"/>
          <w:lang w:eastAsia="sk-SK"/>
        </w:rPr>
        <w:t xml:space="preserve"> programovej štruktúry kapitoly MDPT SR v prílohe č. 8.   </w:t>
      </w:r>
    </w:p>
    <w:p w:rsidR="005119BE" w:rsidP="00B4123B">
      <w:pPr>
        <w:pStyle w:val="PlainText"/>
        <w:spacing w:line="240" w:lineRule="auto"/>
        <w:rPr>
          <w:rFonts w:ascii="Times New Roman" w:hAnsi="Times New Roman" w:cs="Times New Roman"/>
          <w:sz w:val="24"/>
        </w:rPr>
      </w:pPr>
    </w:p>
    <w:p w:rsidR="005119BE" w:rsidRPr="00B4123B" w:rsidP="00B4123B">
      <w:pPr>
        <w:pStyle w:val="PlainText"/>
        <w:spacing w:line="240" w:lineRule="auto"/>
        <w:rPr>
          <w:rFonts w:ascii="Times New Roman" w:hAnsi="Times New Roman" w:cs="Times New Roman"/>
          <w:sz w:val="24"/>
        </w:rPr>
      </w:pPr>
    </w:p>
    <w:p w:rsidR="00684D28" w:rsidP="00C362EA">
      <w:pPr>
        <w:pStyle w:val="NormalIndent"/>
        <w:tabs>
          <w:tab w:val="left" w:pos="0"/>
        </w:tabs>
        <w:spacing w:line="240" w:lineRule="auto"/>
        <w:ind w:left="0"/>
        <w:rPr>
          <w:rFonts w:cs="Times New Roman"/>
          <w:b/>
          <w:bCs/>
          <w:sz w:val="28"/>
        </w:rPr>
      </w:pPr>
      <w:r>
        <w:rPr>
          <w:rFonts w:cs="Times New Roman"/>
          <w:b/>
          <w:bCs/>
          <w:sz w:val="28"/>
        </w:rPr>
        <w:t>C</w:t>
      </w:r>
      <w:r w:rsidRPr="00D23807">
        <w:rPr>
          <w:rFonts w:cs="Times New Roman"/>
          <w:b/>
          <w:bCs/>
          <w:sz w:val="28"/>
        </w:rPr>
        <w:t>: Železničná spoločnosť</w:t>
      </w:r>
      <w:r>
        <w:rPr>
          <w:rFonts w:cs="Times New Roman"/>
          <w:b/>
          <w:bCs/>
          <w:sz w:val="28"/>
        </w:rPr>
        <w:t xml:space="preserve"> Slovensko</w:t>
      </w:r>
      <w:r w:rsidRPr="00D23807">
        <w:rPr>
          <w:rFonts w:cs="Times New Roman"/>
          <w:b/>
          <w:bCs/>
          <w:sz w:val="28"/>
        </w:rPr>
        <w:t>, a. s.</w:t>
      </w:r>
      <w:r w:rsidR="00EB5C51">
        <w:rPr>
          <w:rFonts w:ascii="Times New Roman" w:hAnsi="Times New Roman" w:cs="Times New Roman"/>
          <w:sz w:val="28"/>
          <w:szCs w:val="28"/>
        </w:rPr>
        <w:t xml:space="preserve">, - program 07S-Železničná </w:t>
      </w:r>
      <w:r>
        <w:rPr>
          <w:rFonts w:ascii="Times New Roman" w:hAnsi="Times New Roman" w:cs="Times New Roman"/>
          <w:sz w:val="28"/>
          <w:szCs w:val="28"/>
        </w:rPr>
        <w:t>doprava</w:t>
      </w:r>
      <w:r w:rsidRPr="00D50048">
        <w:rPr>
          <w:rFonts w:ascii="Times New Roman" w:hAnsi="Times New Roman" w:cs="Times New Roman"/>
          <w:sz w:val="28"/>
          <w:szCs w:val="28"/>
        </w:rPr>
        <w:t xml:space="preserve"> </w:t>
      </w:r>
    </w:p>
    <w:p w:rsidR="00684D28" w:rsidRPr="00525CBA" w:rsidP="00C362EA">
      <w:pPr>
        <w:pStyle w:val="NormalIndent"/>
        <w:tabs>
          <w:tab w:val="left" w:pos="0"/>
        </w:tabs>
        <w:spacing w:line="240" w:lineRule="auto"/>
        <w:ind w:left="0"/>
        <w:rPr>
          <w:rFonts w:cs="Times New Roman"/>
          <w:b/>
          <w:bCs/>
          <w:sz w:val="28"/>
        </w:rPr>
      </w:pPr>
    </w:p>
    <w:p w:rsidR="00684D28" w:rsidRPr="00525CBA" w:rsidP="00C362EA">
      <w:pPr>
        <w:pStyle w:val="NormalIndent"/>
        <w:tabs>
          <w:tab w:val="left" w:pos="0"/>
        </w:tabs>
        <w:spacing w:line="240" w:lineRule="auto"/>
        <w:ind w:left="0"/>
        <w:rPr>
          <w:rFonts w:ascii="Times New Roman" w:hAnsi="Times New Roman" w:cs="Times New Roman"/>
          <w:b/>
          <w:bCs/>
          <w:szCs w:val="24"/>
        </w:rPr>
      </w:pPr>
      <w:r w:rsidRPr="002E11D0">
        <w:rPr>
          <w:rFonts w:ascii="Times New Roman" w:hAnsi="Times New Roman" w:cs="Times New Roman"/>
          <w:b/>
          <w:bCs/>
          <w:szCs w:val="24"/>
        </w:rPr>
        <w:t xml:space="preserve">Neinvestičné dotácie (640 – bežné transfery) </w:t>
      </w:r>
      <w:r w:rsidRPr="002E11D0">
        <w:rPr>
          <w:rFonts w:cs="Times New Roman"/>
          <w:b/>
          <w:bCs/>
          <w:szCs w:val="24"/>
        </w:rPr>
        <w:t xml:space="preserve">– podprogram 07S03 Podpora verejných služieb – prevádzkovanie dopravy na dráhach </w:t>
      </w:r>
    </w:p>
    <w:p w:rsidR="00684D28" w:rsidP="00C362EA">
      <w:pPr>
        <w:pStyle w:val="NormalIndent"/>
        <w:tabs>
          <w:tab w:val="left" w:pos="0"/>
        </w:tabs>
        <w:spacing w:line="240" w:lineRule="auto"/>
        <w:ind w:left="0"/>
        <w:rPr>
          <w:rFonts w:ascii="Times New Roman" w:hAnsi="Times New Roman" w:cs="Times New Roman"/>
          <w:bCs/>
        </w:rPr>
      </w:pPr>
    </w:p>
    <w:p w:rsidR="005119BE" w:rsidRPr="002710B0" w:rsidP="00575536">
      <w:pPr>
        <w:pStyle w:val="NormalIndent"/>
        <w:tabs>
          <w:tab w:val="left" w:pos="0"/>
        </w:tabs>
        <w:spacing w:line="240" w:lineRule="auto"/>
        <w:ind w:left="0"/>
        <w:rPr>
          <w:rFonts w:cs="Times New Roman"/>
          <w:szCs w:val="24"/>
        </w:rPr>
      </w:pPr>
      <w:r w:rsidRPr="00D23807" w:rsidR="00684D28">
        <w:rPr>
          <w:rFonts w:cs="Times New Roman"/>
        </w:rPr>
        <w:tab/>
        <w:t xml:space="preserve">Na základe </w:t>
      </w:r>
      <w:r w:rsidR="00684D28">
        <w:rPr>
          <w:rFonts w:cs="Times New Roman"/>
        </w:rPr>
        <w:t>zákon</w:t>
      </w:r>
      <w:r w:rsidR="00352C36">
        <w:rPr>
          <w:rFonts w:cs="Times New Roman"/>
        </w:rPr>
        <w:t>a o štátnom rozpočte na rok 2007</w:t>
      </w:r>
      <w:r w:rsidR="00684D28">
        <w:rPr>
          <w:rFonts w:cs="Times New Roman"/>
        </w:rPr>
        <w:t xml:space="preserve"> a uzatvorenej </w:t>
      </w:r>
      <w:r w:rsidR="00FC6CA5">
        <w:rPr>
          <w:rFonts w:ascii="Times New Roman" w:hAnsi="Times New Roman" w:cs="Times New Roman"/>
          <w:color w:val="000000"/>
          <w:lang w:eastAsia="sk-SK"/>
        </w:rPr>
        <w:t>Zmluvy o výkonoch vo verejnom záuj</w:t>
      </w:r>
      <w:r w:rsidRPr="00FC6CA5" w:rsidR="00FC6CA5">
        <w:rPr>
          <w:rFonts w:ascii="Times New Roman" w:hAnsi="Times New Roman" w:cs="Times New Roman"/>
          <w:color w:val="000000"/>
          <w:lang w:eastAsia="sk-SK"/>
        </w:rPr>
        <w:t xml:space="preserve">me pri prevádzkovaní osobnej dopravy na dráhe na rok 2007 </w:t>
      </w:r>
      <w:r w:rsidRPr="00FC6CA5" w:rsidR="00C64DC0">
        <w:rPr>
          <w:rFonts w:ascii="Times New Roman" w:hAnsi="Times New Roman" w:cs="Times New Roman"/>
        </w:rPr>
        <w:t>bola pre Železničnú</w:t>
      </w:r>
      <w:r w:rsidRPr="00FC6CA5" w:rsidR="00684D28">
        <w:rPr>
          <w:rFonts w:ascii="Times New Roman" w:hAnsi="Times New Roman" w:cs="Times New Roman"/>
        </w:rPr>
        <w:t xml:space="preserve"> spoločnosť</w:t>
      </w:r>
      <w:r w:rsidRPr="00FC6CA5" w:rsidR="00613A87">
        <w:rPr>
          <w:rFonts w:ascii="Times New Roman" w:hAnsi="Times New Roman" w:cs="Times New Roman"/>
        </w:rPr>
        <w:t xml:space="preserve"> Slovensko, a.</w:t>
      </w:r>
      <w:r w:rsidR="00EB5C51">
        <w:rPr>
          <w:rFonts w:ascii="Times New Roman" w:hAnsi="Times New Roman" w:cs="Times New Roman"/>
        </w:rPr>
        <w:t xml:space="preserve">s., </w:t>
      </w:r>
      <w:r w:rsidRPr="00FC6CA5" w:rsidR="00976089">
        <w:rPr>
          <w:rFonts w:ascii="Times New Roman" w:hAnsi="Times New Roman" w:cs="Times New Roman"/>
        </w:rPr>
        <w:t xml:space="preserve">schválená </w:t>
      </w:r>
      <w:r w:rsidRPr="00FC6CA5" w:rsidR="00C64DC0">
        <w:rPr>
          <w:rFonts w:ascii="Times New Roman" w:hAnsi="Times New Roman" w:cs="Times New Roman"/>
        </w:rPr>
        <w:t>neinvestičná</w:t>
      </w:r>
      <w:r w:rsidRPr="00FC6CA5" w:rsidR="00684D28">
        <w:rPr>
          <w:rFonts w:ascii="Times New Roman" w:hAnsi="Times New Roman" w:cs="Times New Roman"/>
        </w:rPr>
        <w:t xml:space="preserve"> </w:t>
      </w:r>
      <w:r w:rsidRPr="00FC6CA5" w:rsidR="00C64DC0">
        <w:rPr>
          <w:rFonts w:ascii="Times New Roman" w:hAnsi="Times New Roman" w:cs="Times New Roman"/>
        </w:rPr>
        <w:t>dotácia</w:t>
      </w:r>
      <w:r w:rsidRPr="00FC6CA5" w:rsidR="00684D28">
        <w:rPr>
          <w:rFonts w:ascii="Times New Roman" w:hAnsi="Times New Roman" w:cs="Times New Roman"/>
        </w:rPr>
        <w:t xml:space="preserve"> zo</w:t>
      </w:r>
      <w:r w:rsidRPr="00D23807" w:rsidR="00684D28">
        <w:rPr>
          <w:rFonts w:cs="Times New Roman"/>
        </w:rPr>
        <w:t xml:space="preserve"> </w:t>
      </w:r>
      <w:r w:rsidR="00684D28">
        <w:rPr>
          <w:rFonts w:cs="Times New Roman"/>
        </w:rPr>
        <w:t xml:space="preserve">štátneho rozpočtu vo výške </w:t>
      </w:r>
      <w:r w:rsidRPr="00E03A1A" w:rsidR="00C64DC0">
        <w:rPr>
          <w:rFonts w:cs="Times New Roman"/>
        </w:rPr>
        <w:t xml:space="preserve">4 500 000 000,- </w:t>
      </w:r>
      <w:r w:rsidRPr="00E03A1A" w:rsidR="00684D28">
        <w:rPr>
          <w:rFonts w:cs="Times New Roman"/>
        </w:rPr>
        <w:t>Sk</w:t>
      </w:r>
      <w:r w:rsidRPr="00E03A1A" w:rsidR="00C64DC0">
        <w:rPr>
          <w:rFonts w:cs="Times New Roman"/>
        </w:rPr>
        <w:t xml:space="preserve">, ktorá bola v priebehu roka upravená </w:t>
      </w:r>
      <w:r w:rsidRPr="00E03A1A" w:rsidR="00976089">
        <w:rPr>
          <w:rFonts w:cs="Times New Roman"/>
        </w:rPr>
        <w:t xml:space="preserve">rozpočtovými </w:t>
      </w:r>
      <w:r w:rsidR="00613A87">
        <w:rPr>
          <w:rFonts w:cs="Times New Roman"/>
        </w:rPr>
        <w:t xml:space="preserve">opatreniami </w:t>
      </w:r>
      <w:r w:rsidRPr="00E03A1A" w:rsidR="00C64DC0">
        <w:rPr>
          <w:rFonts w:cs="Times New Roman"/>
        </w:rPr>
        <w:t>k </w:t>
      </w:r>
      <w:r w:rsidR="0005741C">
        <w:rPr>
          <w:rFonts w:cs="Times New Roman"/>
        </w:rPr>
        <w:t xml:space="preserve"> </w:t>
      </w:r>
      <w:r w:rsidR="001F3538">
        <w:rPr>
          <w:rFonts w:cs="Times New Roman"/>
        </w:rPr>
        <w:t>31.12.2007</w:t>
      </w:r>
      <w:r w:rsidR="00352C36">
        <w:rPr>
          <w:rFonts w:cs="Times New Roman"/>
        </w:rPr>
        <w:t xml:space="preserve"> na výšku 5 400</w:t>
      </w:r>
      <w:r w:rsidRPr="00E03A1A" w:rsidR="00C64DC0">
        <w:rPr>
          <w:rFonts w:cs="Times New Roman"/>
        </w:rPr>
        <w:t xml:space="preserve"> 000 000,- Sk. </w:t>
      </w:r>
      <w:r w:rsidRPr="00E03A1A" w:rsidR="00684D28">
        <w:rPr>
          <w:rFonts w:cs="Times New Roman"/>
          <w:szCs w:val="24"/>
        </w:rPr>
        <w:t>Dotácia</w:t>
      </w:r>
      <w:r w:rsidR="00684D28">
        <w:rPr>
          <w:rFonts w:cs="Times New Roman"/>
          <w:szCs w:val="24"/>
        </w:rPr>
        <w:t xml:space="preserve"> </w:t>
      </w:r>
      <w:r w:rsidRPr="000A2B14" w:rsidR="00684D28">
        <w:rPr>
          <w:rFonts w:cs="Times New Roman"/>
          <w:szCs w:val="24"/>
        </w:rPr>
        <w:t xml:space="preserve">na úhradu straty </w:t>
      </w:r>
      <w:r w:rsidR="00EB5C51">
        <w:rPr>
          <w:rFonts w:cs="Times New Roman"/>
          <w:szCs w:val="24"/>
        </w:rPr>
        <w:t>za výkony vo verejnom</w:t>
      </w:r>
      <w:r w:rsidR="0005741C">
        <w:rPr>
          <w:rFonts w:cs="Times New Roman"/>
          <w:szCs w:val="24"/>
        </w:rPr>
        <w:t xml:space="preserve"> </w:t>
      </w:r>
      <w:r w:rsidRPr="000A2B14" w:rsidR="00684D28">
        <w:rPr>
          <w:rFonts w:cs="Times New Roman"/>
          <w:szCs w:val="24"/>
        </w:rPr>
        <w:t>záujme v osobnej doprave bola vyčerpaná v plnej výške</w:t>
      </w:r>
      <w:r w:rsidR="00DB311C">
        <w:rPr>
          <w:rFonts w:cs="Times New Roman"/>
          <w:szCs w:val="24"/>
        </w:rPr>
        <w:t xml:space="preserve"> v súlade so </w:t>
      </w:r>
      <w:r w:rsidR="00E03A1A">
        <w:rPr>
          <w:rFonts w:cs="Times New Roman"/>
          <w:szCs w:val="24"/>
        </w:rPr>
        <w:t>zmluvou nasledovne</w:t>
      </w:r>
      <w:r w:rsidRPr="000A2B14" w:rsidR="00684D28">
        <w:rPr>
          <w:rFonts w:cs="Times New Roman"/>
          <w:szCs w:val="24"/>
        </w:rPr>
        <w:t xml:space="preserve">: </w:t>
      </w:r>
    </w:p>
    <w:p w:rsidR="00684D28" w:rsidRPr="00E25D68" w:rsidP="00C362EA">
      <w:pPr>
        <w:spacing w:line="240" w:lineRule="auto"/>
        <w:outlineLvl w:val="0"/>
        <w:rPr>
          <w:rFonts w:ascii="Arial Narrow" w:hAnsi="Arial Narrow" w:cs="Times New Roman"/>
        </w:rPr>
      </w:pPr>
      <w:r w:rsidRPr="00E25D68">
        <w:rPr>
          <w:rFonts w:ascii="Arial Narrow" w:hAnsi="Arial Narrow" w:cs="Times New Roman"/>
        </w:rPr>
        <w:t xml:space="preserve">                                                                                                                  </w:t>
      </w:r>
      <w:r>
        <w:rPr>
          <w:rFonts w:ascii="Arial Narrow" w:hAnsi="Arial Narrow" w:cs="Times New Roman"/>
        </w:rPr>
        <w:t xml:space="preserve">                                         </w:t>
      </w:r>
      <w:r w:rsidRPr="00E25D68">
        <w:rPr>
          <w:rFonts w:ascii="Arial Narrow" w:hAnsi="Arial Narrow" w:cs="Times New Roman"/>
        </w:rPr>
        <w:t xml:space="preserve"> (v Sk)</w:t>
      </w:r>
    </w:p>
    <w:tbl>
      <w:tblPr>
        <w:tblW w:w="6062" w:type="dxa"/>
        <w:jc w:val="center"/>
        <w:tblCellMar>
          <w:left w:w="70" w:type="dxa"/>
          <w:right w:w="70" w:type="dxa"/>
        </w:tblCellMar>
      </w:tblPr>
      <w:tblGrid>
        <w:gridCol w:w="4282"/>
        <w:gridCol w:w="1780"/>
      </w:tblGrid>
      <w:tr>
        <w:tblPrEx>
          <w:tblW w:w="6062" w:type="dxa"/>
          <w:jc w:val="center"/>
          <w:tblCellMar>
            <w:left w:w="70" w:type="dxa"/>
            <w:right w:w="70" w:type="dxa"/>
          </w:tblCellMar>
        </w:tblPrEx>
        <w:trPr>
          <w:trHeight w:hRule="exact" w:val="284"/>
          <w:jc w:val="center"/>
        </w:trPr>
        <w:tc>
          <w:tcPr>
            <w:tcW w:w="4282" w:type="dxa"/>
            <w:tcBorders>
              <w:top w:val="single" w:sz="12" w:space="0" w:color="auto"/>
              <w:left w:val="single" w:sz="12" w:space="0" w:color="auto"/>
              <w:bottom w:val="single" w:sz="12" w:space="0" w:color="auto"/>
              <w:right w:val="single" w:sz="8" w:space="0" w:color="auto"/>
              <w:tl2br w:val="nil"/>
              <w:tr2bl w:val="nil"/>
            </w:tcBorders>
            <w:shd w:val="clear" w:color="auto" w:fill="C0C0C0"/>
            <w:noWrap/>
            <w:textDirection w:val="lrTb"/>
            <w:vAlign w:val="center"/>
          </w:tcPr>
          <w:p w:rsidR="00684D28" w:rsidRPr="00E61662" w:rsidP="00C362EA">
            <w:pPr>
              <w:spacing w:line="240" w:lineRule="auto"/>
              <w:jc w:val="center"/>
              <w:rPr>
                <w:rFonts w:ascii="Arial Narrow" w:hAnsi="Arial Narrow" w:cs="Arial"/>
                <w:b/>
                <w:bCs/>
                <w:sz w:val="24"/>
                <w:szCs w:val="24"/>
              </w:rPr>
            </w:pPr>
            <w:r w:rsidRPr="00E61662">
              <w:rPr>
                <w:rFonts w:ascii="Arial Narrow" w:hAnsi="Arial Narrow" w:cs="Arial"/>
                <w:b/>
                <w:bCs/>
                <w:sz w:val="24"/>
                <w:szCs w:val="24"/>
              </w:rPr>
              <w:t>Rok</w:t>
            </w:r>
          </w:p>
        </w:tc>
        <w:tc>
          <w:tcPr>
            <w:tcW w:w="1780" w:type="dxa"/>
            <w:tcBorders>
              <w:top w:val="single" w:sz="12" w:space="0" w:color="auto"/>
              <w:left w:val="single" w:sz="8" w:space="0" w:color="auto"/>
              <w:bottom w:val="single" w:sz="12" w:space="0" w:color="auto"/>
              <w:right w:val="single" w:sz="12" w:space="0" w:color="auto"/>
              <w:tl2br w:val="nil"/>
              <w:tr2bl w:val="nil"/>
            </w:tcBorders>
            <w:shd w:val="clear" w:color="auto" w:fill="C0C0C0"/>
            <w:noWrap/>
            <w:textDirection w:val="lrTb"/>
            <w:vAlign w:val="center"/>
          </w:tcPr>
          <w:p w:rsidR="00684D28" w:rsidRPr="00E61662" w:rsidP="00C362EA">
            <w:pPr>
              <w:spacing w:line="240" w:lineRule="auto"/>
              <w:jc w:val="center"/>
              <w:rPr>
                <w:rFonts w:ascii="Arial Narrow" w:hAnsi="Arial Narrow" w:cs="Arial"/>
                <w:b/>
                <w:bCs/>
                <w:sz w:val="24"/>
                <w:szCs w:val="24"/>
              </w:rPr>
            </w:pPr>
            <w:r>
              <w:rPr>
                <w:rFonts w:ascii="Arial Narrow" w:hAnsi="Arial Narrow" w:cs="Arial"/>
                <w:b/>
                <w:bCs/>
                <w:sz w:val="24"/>
                <w:szCs w:val="24"/>
              </w:rPr>
              <w:t>200</w:t>
            </w:r>
            <w:r w:rsidR="00352C36">
              <w:rPr>
                <w:rFonts w:ascii="Arial Narrow" w:hAnsi="Arial Narrow" w:cs="Arial"/>
                <w:b/>
                <w:bCs/>
                <w:sz w:val="24"/>
                <w:szCs w:val="24"/>
              </w:rPr>
              <w:t>7</w:t>
            </w:r>
          </w:p>
        </w:tc>
      </w:tr>
      <w:tr>
        <w:tblPrEx>
          <w:tblW w:w="6062" w:type="dxa"/>
          <w:jc w:val="center"/>
          <w:tblCellMar>
            <w:left w:w="70" w:type="dxa"/>
            <w:right w:w="70" w:type="dxa"/>
          </w:tblCellMar>
        </w:tblPrEx>
        <w:trPr>
          <w:trHeight w:hRule="exact" w:val="284"/>
          <w:jc w:val="center"/>
        </w:trPr>
        <w:tc>
          <w:tcPr>
            <w:tcW w:w="4282" w:type="dxa"/>
            <w:tcBorders>
              <w:top w:val="single" w:sz="12" w:space="0" w:color="auto"/>
              <w:left w:val="single" w:sz="12" w:space="0" w:color="auto"/>
              <w:bottom w:val="single" w:sz="8" w:space="0" w:color="auto"/>
              <w:right w:val="single" w:sz="8" w:space="0" w:color="auto"/>
              <w:tl2br w:val="nil"/>
              <w:tr2bl w:val="nil"/>
            </w:tcBorders>
            <w:noWrap/>
            <w:textDirection w:val="lrTb"/>
            <w:vAlign w:val="center"/>
          </w:tcPr>
          <w:p w:rsidR="00684D28" w:rsidRPr="00352C36" w:rsidP="00C362EA">
            <w:pPr>
              <w:spacing w:line="240" w:lineRule="auto"/>
              <w:rPr>
                <w:rFonts w:ascii="Arial Narrow" w:hAnsi="Arial Narrow" w:cs="Arial"/>
                <w:bCs/>
              </w:rPr>
            </w:pPr>
            <w:r w:rsidRPr="00352C36">
              <w:rPr>
                <w:rFonts w:ascii="Arial Narrow" w:hAnsi="Arial Narrow" w:cs="Arial"/>
                <w:bCs/>
              </w:rPr>
              <w:t>Osobné n</w:t>
            </w:r>
            <w:r w:rsidRPr="00352C36" w:rsidR="00C64DC0">
              <w:rPr>
                <w:rFonts w:ascii="Arial Narrow" w:hAnsi="Arial Narrow" w:cs="Arial"/>
                <w:bCs/>
              </w:rPr>
              <w:t>áklady – mzdy a odvody do poisťovní</w:t>
            </w:r>
            <w:r w:rsidRPr="00352C36">
              <w:rPr>
                <w:rFonts w:ascii="Arial Narrow" w:hAnsi="Arial Narrow" w:cs="Arial"/>
                <w:bCs/>
              </w:rPr>
              <w:t xml:space="preserve"> </w:t>
            </w:r>
          </w:p>
        </w:tc>
        <w:tc>
          <w:tcPr>
            <w:tcW w:w="1780" w:type="dxa"/>
            <w:tcBorders>
              <w:top w:val="single" w:sz="12" w:space="0" w:color="auto"/>
              <w:left w:val="single" w:sz="8" w:space="0" w:color="auto"/>
              <w:bottom w:val="single" w:sz="8" w:space="0" w:color="auto"/>
              <w:right w:val="single" w:sz="12" w:space="0" w:color="auto"/>
              <w:tl2br w:val="nil"/>
              <w:tr2bl w:val="nil"/>
            </w:tcBorders>
            <w:noWrap/>
            <w:textDirection w:val="lrTb"/>
            <w:vAlign w:val="center"/>
          </w:tcPr>
          <w:p w:rsidR="00684D28" w:rsidRPr="00352C36" w:rsidP="00C362EA">
            <w:pPr>
              <w:spacing w:line="240" w:lineRule="auto"/>
              <w:jc w:val="right"/>
              <w:rPr>
                <w:rFonts w:ascii="Arial Narrow" w:hAnsi="Arial Narrow" w:cs="Arial"/>
                <w:bCs/>
              </w:rPr>
            </w:pPr>
            <w:r w:rsidRPr="00352C36" w:rsidR="00352C36">
              <w:rPr>
                <w:rFonts w:ascii="Arial Narrow" w:hAnsi="Arial Narrow" w:cs="Arial"/>
                <w:bCs/>
              </w:rPr>
              <w:t>1 241 682 096</w:t>
            </w:r>
          </w:p>
        </w:tc>
      </w:tr>
      <w:tr>
        <w:tblPrEx>
          <w:tblW w:w="6062" w:type="dxa"/>
          <w:jc w:val="center"/>
          <w:tblCellMar>
            <w:left w:w="70" w:type="dxa"/>
            <w:right w:w="70" w:type="dxa"/>
          </w:tblCellMar>
        </w:tblPrEx>
        <w:trPr>
          <w:trHeight w:hRule="exact" w:val="284"/>
          <w:jc w:val="center"/>
        </w:trPr>
        <w:tc>
          <w:tcPr>
            <w:tcW w:w="4282" w:type="dxa"/>
            <w:tcBorders>
              <w:top w:val="single" w:sz="8" w:space="0" w:color="auto"/>
              <w:left w:val="single" w:sz="12" w:space="0" w:color="auto"/>
              <w:bottom w:val="single" w:sz="8" w:space="0" w:color="auto"/>
              <w:right w:val="single" w:sz="8" w:space="0" w:color="auto"/>
              <w:tl2br w:val="nil"/>
              <w:tr2bl w:val="nil"/>
            </w:tcBorders>
            <w:noWrap/>
            <w:textDirection w:val="lrTb"/>
            <w:vAlign w:val="center"/>
          </w:tcPr>
          <w:p w:rsidR="00684D28" w:rsidRPr="00352C36" w:rsidP="00C362EA">
            <w:pPr>
              <w:spacing w:line="240" w:lineRule="auto"/>
              <w:rPr>
                <w:rFonts w:ascii="Arial Narrow" w:hAnsi="Arial Narrow" w:cs="Arial"/>
                <w:bCs/>
              </w:rPr>
            </w:pPr>
            <w:r w:rsidRPr="00352C36">
              <w:rPr>
                <w:rFonts w:ascii="Arial Narrow" w:hAnsi="Arial Narrow" w:cs="Arial"/>
                <w:bCs/>
              </w:rPr>
              <w:t>ŽSR – poplatok za použitie DC</w:t>
            </w:r>
          </w:p>
        </w:tc>
        <w:tc>
          <w:tcPr>
            <w:tcW w:w="1780" w:type="dxa"/>
            <w:tcBorders>
              <w:top w:val="single" w:sz="8" w:space="0" w:color="auto"/>
              <w:left w:val="single" w:sz="8" w:space="0" w:color="auto"/>
              <w:bottom w:val="single" w:sz="8" w:space="0" w:color="auto"/>
              <w:right w:val="single" w:sz="12" w:space="0" w:color="auto"/>
              <w:tl2br w:val="nil"/>
              <w:tr2bl w:val="nil"/>
            </w:tcBorders>
            <w:noWrap/>
            <w:textDirection w:val="lrTb"/>
            <w:vAlign w:val="center"/>
          </w:tcPr>
          <w:p w:rsidR="00684D28" w:rsidRPr="00352C36" w:rsidP="00C362EA">
            <w:pPr>
              <w:spacing w:line="240" w:lineRule="auto"/>
              <w:jc w:val="right"/>
              <w:rPr>
                <w:rFonts w:ascii="Arial Narrow" w:hAnsi="Arial Narrow" w:cs="Arial"/>
                <w:bCs/>
              </w:rPr>
            </w:pPr>
            <w:r w:rsidRPr="00352C36">
              <w:rPr>
                <w:rFonts w:ascii="Arial Narrow" w:hAnsi="Arial Narrow" w:cs="Arial"/>
                <w:bCs/>
              </w:rPr>
              <w:t>1</w:t>
            </w:r>
            <w:r w:rsidRPr="00352C36" w:rsidR="00C64DC0">
              <w:rPr>
                <w:rFonts w:ascii="Arial Narrow" w:hAnsi="Arial Narrow" w:cs="Arial"/>
                <w:bCs/>
              </w:rPr>
              <w:t> </w:t>
            </w:r>
            <w:r w:rsidRPr="00352C36" w:rsidR="00352C36">
              <w:rPr>
                <w:rFonts w:ascii="Arial Narrow" w:hAnsi="Arial Narrow" w:cs="Arial"/>
                <w:bCs/>
              </w:rPr>
              <w:t>684 997</w:t>
            </w:r>
            <w:r w:rsidRPr="00352C36" w:rsidR="00C64DC0">
              <w:rPr>
                <w:rFonts w:ascii="Arial Narrow" w:hAnsi="Arial Narrow" w:cs="Arial"/>
                <w:bCs/>
              </w:rPr>
              <w:t xml:space="preserve"> </w:t>
            </w:r>
            <w:r w:rsidRPr="00352C36" w:rsidR="00352C36">
              <w:rPr>
                <w:rFonts w:ascii="Arial Narrow" w:hAnsi="Arial Narrow" w:cs="Arial"/>
                <w:bCs/>
              </w:rPr>
              <w:t>984</w:t>
            </w:r>
          </w:p>
        </w:tc>
      </w:tr>
      <w:tr>
        <w:tblPrEx>
          <w:tblW w:w="6062" w:type="dxa"/>
          <w:jc w:val="center"/>
          <w:tblCellMar>
            <w:left w:w="70" w:type="dxa"/>
            <w:right w:w="70" w:type="dxa"/>
          </w:tblCellMar>
        </w:tblPrEx>
        <w:trPr>
          <w:trHeight w:hRule="exact" w:val="284"/>
          <w:jc w:val="center"/>
        </w:trPr>
        <w:tc>
          <w:tcPr>
            <w:tcW w:w="4282" w:type="dxa"/>
            <w:tcBorders>
              <w:top w:val="single" w:sz="8" w:space="0" w:color="auto"/>
              <w:left w:val="single" w:sz="12" w:space="0" w:color="auto"/>
              <w:bottom w:val="single" w:sz="8" w:space="0" w:color="auto"/>
              <w:right w:val="single" w:sz="8" w:space="0" w:color="auto"/>
              <w:tl2br w:val="nil"/>
              <w:tr2bl w:val="nil"/>
            </w:tcBorders>
            <w:noWrap/>
            <w:textDirection w:val="lrTb"/>
            <w:vAlign w:val="center"/>
          </w:tcPr>
          <w:p w:rsidR="00C64DC0" w:rsidRPr="00352C36" w:rsidP="00C362EA">
            <w:pPr>
              <w:spacing w:line="240" w:lineRule="auto"/>
              <w:rPr>
                <w:rFonts w:ascii="Arial Narrow" w:hAnsi="Arial Narrow" w:cs="Arial"/>
                <w:bCs/>
              </w:rPr>
            </w:pPr>
            <w:r w:rsidRPr="00352C36">
              <w:rPr>
                <w:rFonts w:ascii="Arial Narrow" w:hAnsi="Arial Narrow" w:cs="Arial"/>
                <w:bCs/>
              </w:rPr>
              <w:t>ŽSR – trakčná energia</w:t>
            </w:r>
          </w:p>
        </w:tc>
        <w:tc>
          <w:tcPr>
            <w:tcW w:w="1780" w:type="dxa"/>
            <w:tcBorders>
              <w:top w:val="single" w:sz="8" w:space="0" w:color="auto"/>
              <w:left w:val="single" w:sz="8" w:space="0" w:color="auto"/>
              <w:bottom w:val="single" w:sz="8" w:space="0" w:color="auto"/>
              <w:right w:val="single" w:sz="12" w:space="0" w:color="auto"/>
              <w:tl2br w:val="nil"/>
              <w:tr2bl w:val="nil"/>
            </w:tcBorders>
            <w:noWrap/>
            <w:textDirection w:val="lrTb"/>
            <w:vAlign w:val="center"/>
          </w:tcPr>
          <w:p w:rsidR="00C64DC0" w:rsidRPr="00352C36" w:rsidP="00C362EA">
            <w:pPr>
              <w:spacing w:line="240" w:lineRule="auto"/>
              <w:jc w:val="right"/>
              <w:rPr>
                <w:rFonts w:ascii="Arial Narrow" w:hAnsi="Arial Narrow" w:cs="Arial"/>
                <w:bCs/>
              </w:rPr>
            </w:pPr>
            <w:r w:rsidRPr="00352C36" w:rsidR="00352C36">
              <w:rPr>
                <w:rFonts w:ascii="Arial Narrow" w:hAnsi="Arial Narrow" w:cs="Arial"/>
                <w:bCs/>
              </w:rPr>
              <w:t>920 097 588</w:t>
            </w:r>
          </w:p>
        </w:tc>
      </w:tr>
      <w:tr>
        <w:tblPrEx>
          <w:tblW w:w="6062" w:type="dxa"/>
          <w:jc w:val="center"/>
          <w:tblCellMar>
            <w:left w:w="70" w:type="dxa"/>
            <w:right w:w="70" w:type="dxa"/>
          </w:tblCellMar>
        </w:tblPrEx>
        <w:trPr>
          <w:trHeight w:hRule="exact" w:val="284"/>
          <w:jc w:val="center"/>
        </w:trPr>
        <w:tc>
          <w:tcPr>
            <w:tcW w:w="4282" w:type="dxa"/>
            <w:tcBorders>
              <w:top w:val="single" w:sz="8" w:space="0" w:color="auto"/>
              <w:left w:val="single" w:sz="12" w:space="0" w:color="auto"/>
              <w:bottom w:val="single" w:sz="8" w:space="0" w:color="auto"/>
              <w:right w:val="single" w:sz="8" w:space="0" w:color="auto"/>
              <w:tl2br w:val="nil"/>
              <w:tr2bl w:val="nil"/>
            </w:tcBorders>
            <w:noWrap/>
            <w:textDirection w:val="lrTb"/>
            <w:vAlign w:val="center"/>
          </w:tcPr>
          <w:p w:rsidR="00684D28" w:rsidRPr="00352C36" w:rsidP="00C362EA">
            <w:pPr>
              <w:spacing w:line="240" w:lineRule="auto"/>
              <w:rPr>
                <w:rFonts w:ascii="Arial Narrow" w:hAnsi="Arial Narrow" w:cs="Arial"/>
              </w:rPr>
            </w:pPr>
            <w:r w:rsidRPr="00352C36">
              <w:rPr>
                <w:rFonts w:ascii="Arial Narrow" w:hAnsi="Arial Narrow" w:cs="Arial"/>
              </w:rPr>
              <w:t>ZSSK</w:t>
            </w:r>
            <w:r w:rsidRPr="00352C36" w:rsidR="00352C36">
              <w:rPr>
                <w:rFonts w:ascii="Arial Narrow" w:hAnsi="Arial Narrow" w:cs="Arial"/>
              </w:rPr>
              <w:t xml:space="preserve"> Cargo – nakupované služby</w:t>
            </w:r>
          </w:p>
        </w:tc>
        <w:tc>
          <w:tcPr>
            <w:tcW w:w="1780" w:type="dxa"/>
            <w:tcBorders>
              <w:top w:val="single" w:sz="8" w:space="0" w:color="auto"/>
              <w:left w:val="single" w:sz="8" w:space="0" w:color="auto"/>
              <w:bottom w:val="single" w:sz="8" w:space="0" w:color="auto"/>
              <w:right w:val="single" w:sz="12" w:space="0" w:color="auto"/>
              <w:tl2br w:val="nil"/>
              <w:tr2bl w:val="nil"/>
            </w:tcBorders>
            <w:noWrap/>
            <w:textDirection w:val="lrTb"/>
            <w:vAlign w:val="center"/>
          </w:tcPr>
          <w:p w:rsidR="00684D28" w:rsidRPr="00352C36" w:rsidP="00C362EA">
            <w:pPr>
              <w:spacing w:line="240" w:lineRule="auto"/>
              <w:jc w:val="right"/>
              <w:rPr>
                <w:rFonts w:ascii="Arial Narrow" w:hAnsi="Arial Narrow" w:cs="Arial"/>
              </w:rPr>
            </w:pPr>
            <w:r w:rsidRPr="00352C36" w:rsidR="00352C36">
              <w:rPr>
                <w:rFonts w:ascii="Arial Narrow" w:hAnsi="Arial Narrow" w:cs="Arial"/>
              </w:rPr>
              <w:t>1 328 085</w:t>
            </w:r>
            <w:r w:rsidRPr="00352C36" w:rsidR="00C64DC0">
              <w:rPr>
                <w:rFonts w:ascii="Arial Narrow" w:hAnsi="Arial Narrow" w:cs="Arial"/>
              </w:rPr>
              <w:t xml:space="preserve"> </w:t>
            </w:r>
            <w:r w:rsidRPr="00352C36" w:rsidR="00352C36">
              <w:rPr>
                <w:rFonts w:ascii="Arial Narrow" w:hAnsi="Arial Narrow" w:cs="Arial"/>
              </w:rPr>
              <w:t>570</w:t>
            </w:r>
          </w:p>
        </w:tc>
      </w:tr>
      <w:tr>
        <w:tblPrEx>
          <w:tblW w:w="6062" w:type="dxa"/>
          <w:jc w:val="center"/>
          <w:tblCellMar>
            <w:left w:w="70" w:type="dxa"/>
            <w:right w:w="70" w:type="dxa"/>
          </w:tblCellMar>
        </w:tblPrEx>
        <w:trPr>
          <w:trHeight w:hRule="exact" w:val="284"/>
          <w:jc w:val="center"/>
        </w:trPr>
        <w:tc>
          <w:tcPr>
            <w:tcW w:w="4282" w:type="dxa"/>
            <w:tcBorders>
              <w:top w:val="single" w:sz="8" w:space="0" w:color="auto"/>
              <w:left w:val="single" w:sz="12" w:space="0" w:color="auto"/>
              <w:bottom w:val="single" w:sz="8" w:space="0" w:color="auto"/>
              <w:right w:val="single" w:sz="8" w:space="0" w:color="auto"/>
              <w:tl2br w:val="nil"/>
              <w:tr2bl w:val="nil"/>
            </w:tcBorders>
            <w:noWrap/>
            <w:textDirection w:val="lrTb"/>
            <w:vAlign w:val="center"/>
          </w:tcPr>
          <w:p w:rsidR="00684D28" w:rsidRPr="00352C36" w:rsidP="00C362EA">
            <w:pPr>
              <w:spacing w:line="240" w:lineRule="auto"/>
              <w:rPr>
                <w:rFonts w:ascii="Arial Narrow" w:hAnsi="Arial Narrow" w:cs="Arial"/>
              </w:rPr>
            </w:pPr>
            <w:r w:rsidRPr="00352C36">
              <w:rPr>
                <w:rFonts w:ascii="Arial Narrow" w:hAnsi="Arial Narrow" w:cs="Arial"/>
              </w:rPr>
              <w:t xml:space="preserve">Náhradná autobusová preprava </w:t>
            </w:r>
          </w:p>
        </w:tc>
        <w:tc>
          <w:tcPr>
            <w:tcW w:w="1780" w:type="dxa"/>
            <w:tcBorders>
              <w:top w:val="single" w:sz="8" w:space="0" w:color="auto"/>
              <w:left w:val="single" w:sz="8" w:space="0" w:color="auto"/>
              <w:bottom w:val="single" w:sz="8" w:space="0" w:color="auto"/>
              <w:right w:val="single" w:sz="12" w:space="0" w:color="auto"/>
              <w:tl2br w:val="nil"/>
              <w:tr2bl w:val="nil"/>
            </w:tcBorders>
            <w:noWrap/>
            <w:textDirection w:val="lrTb"/>
            <w:vAlign w:val="center"/>
          </w:tcPr>
          <w:p w:rsidR="00684D28" w:rsidRPr="00352C36" w:rsidP="00C362EA">
            <w:pPr>
              <w:spacing w:line="240" w:lineRule="auto"/>
              <w:jc w:val="right"/>
              <w:rPr>
                <w:rFonts w:ascii="Arial Narrow" w:hAnsi="Arial Narrow" w:cs="Arial"/>
              </w:rPr>
            </w:pPr>
            <w:r w:rsidRPr="00352C36" w:rsidR="00C64DC0">
              <w:rPr>
                <w:rFonts w:ascii="Arial Narrow" w:hAnsi="Arial Narrow" w:cs="Arial"/>
              </w:rPr>
              <w:t>8</w:t>
            </w:r>
            <w:r w:rsidRPr="00352C36" w:rsidR="00352C36">
              <w:rPr>
                <w:rFonts w:ascii="Arial Narrow" w:hAnsi="Arial Narrow" w:cs="Arial"/>
              </w:rPr>
              <w:t> 617 047</w:t>
            </w:r>
          </w:p>
        </w:tc>
      </w:tr>
      <w:tr>
        <w:tblPrEx>
          <w:tblW w:w="6062" w:type="dxa"/>
          <w:jc w:val="center"/>
          <w:tblCellMar>
            <w:left w:w="70" w:type="dxa"/>
            <w:right w:w="70" w:type="dxa"/>
          </w:tblCellMar>
        </w:tblPrEx>
        <w:trPr>
          <w:trHeight w:hRule="exact" w:val="284"/>
          <w:jc w:val="center"/>
        </w:trPr>
        <w:tc>
          <w:tcPr>
            <w:tcW w:w="4282" w:type="dxa"/>
            <w:tcBorders>
              <w:top w:val="single" w:sz="8" w:space="0" w:color="auto"/>
              <w:left w:val="single" w:sz="12" w:space="0" w:color="auto"/>
              <w:bottom w:val="single" w:sz="8" w:space="0" w:color="auto"/>
              <w:right w:val="single" w:sz="8" w:space="0" w:color="auto"/>
              <w:tl2br w:val="nil"/>
              <w:tr2bl w:val="nil"/>
            </w:tcBorders>
            <w:noWrap/>
            <w:textDirection w:val="lrTb"/>
            <w:vAlign w:val="center"/>
          </w:tcPr>
          <w:p w:rsidR="00352C36" w:rsidRPr="00352C36" w:rsidP="00C362EA">
            <w:pPr>
              <w:spacing w:line="240" w:lineRule="auto"/>
              <w:rPr>
                <w:rFonts w:ascii="Arial Narrow" w:hAnsi="Arial Narrow" w:cs="Arial"/>
              </w:rPr>
            </w:pPr>
            <w:r w:rsidRPr="00352C36">
              <w:rPr>
                <w:rFonts w:ascii="Arial Narrow" w:hAnsi="Arial Narrow" w:cs="Arial"/>
              </w:rPr>
              <w:t>Slovnaft – nafta</w:t>
            </w:r>
          </w:p>
        </w:tc>
        <w:tc>
          <w:tcPr>
            <w:tcW w:w="1780" w:type="dxa"/>
            <w:tcBorders>
              <w:top w:val="single" w:sz="8" w:space="0" w:color="auto"/>
              <w:left w:val="single" w:sz="8" w:space="0" w:color="auto"/>
              <w:bottom w:val="single" w:sz="8" w:space="0" w:color="auto"/>
              <w:right w:val="single" w:sz="12" w:space="0" w:color="auto"/>
              <w:tl2br w:val="nil"/>
              <w:tr2bl w:val="nil"/>
            </w:tcBorders>
            <w:noWrap/>
            <w:textDirection w:val="lrTb"/>
            <w:vAlign w:val="center"/>
          </w:tcPr>
          <w:p w:rsidR="00352C36" w:rsidRPr="00352C36" w:rsidP="00C362EA">
            <w:pPr>
              <w:spacing w:line="240" w:lineRule="auto"/>
              <w:jc w:val="right"/>
              <w:rPr>
                <w:rFonts w:ascii="Arial Narrow" w:hAnsi="Arial Narrow" w:cs="Arial"/>
              </w:rPr>
            </w:pPr>
            <w:r w:rsidRPr="00352C36">
              <w:rPr>
                <w:rFonts w:ascii="Arial Narrow" w:hAnsi="Arial Narrow" w:cs="Arial"/>
              </w:rPr>
              <w:t>10 951 262</w:t>
            </w:r>
          </w:p>
        </w:tc>
      </w:tr>
      <w:tr>
        <w:tblPrEx>
          <w:tblW w:w="6062" w:type="dxa"/>
          <w:jc w:val="center"/>
          <w:tblCellMar>
            <w:left w:w="70" w:type="dxa"/>
            <w:right w:w="70" w:type="dxa"/>
          </w:tblCellMar>
        </w:tblPrEx>
        <w:trPr>
          <w:trHeight w:hRule="exact" w:val="284"/>
          <w:jc w:val="center"/>
        </w:trPr>
        <w:tc>
          <w:tcPr>
            <w:tcW w:w="4282" w:type="dxa"/>
            <w:tcBorders>
              <w:top w:val="single" w:sz="8" w:space="0" w:color="auto"/>
              <w:left w:val="single" w:sz="12" w:space="0" w:color="auto"/>
              <w:bottom w:val="single" w:sz="8" w:space="0" w:color="auto"/>
              <w:right w:val="single" w:sz="8" w:space="0" w:color="auto"/>
              <w:tl2br w:val="nil"/>
              <w:tr2bl w:val="nil"/>
            </w:tcBorders>
            <w:noWrap/>
            <w:textDirection w:val="lrTb"/>
            <w:vAlign w:val="center"/>
          </w:tcPr>
          <w:p w:rsidR="00684D28" w:rsidRPr="00352C36" w:rsidP="00C362EA">
            <w:pPr>
              <w:spacing w:line="240" w:lineRule="auto"/>
              <w:rPr>
                <w:rFonts w:ascii="Arial Narrow" w:hAnsi="Arial Narrow" w:cs="Arial"/>
              </w:rPr>
            </w:pPr>
            <w:r w:rsidRPr="00352C36">
              <w:rPr>
                <w:rFonts w:ascii="Arial Narrow" w:hAnsi="Arial Narrow" w:cs="Arial"/>
              </w:rPr>
              <w:t>Služby Wagon Slovakia</w:t>
            </w:r>
          </w:p>
        </w:tc>
        <w:tc>
          <w:tcPr>
            <w:tcW w:w="1780" w:type="dxa"/>
            <w:tcBorders>
              <w:top w:val="single" w:sz="8" w:space="0" w:color="auto"/>
              <w:left w:val="single" w:sz="8" w:space="0" w:color="auto"/>
              <w:bottom w:val="single" w:sz="8" w:space="0" w:color="auto"/>
              <w:right w:val="single" w:sz="12" w:space="0" w:color="auto"/>
              <w:tl2br w:val="nil"/>
              <w:tr2bl w:val="nil"/>
            </w:tcBorders>
            <w:noWrap/>
            <w:textDirection w:val="lrTb"/>
            <w:vAlign w:val="center"/>
          </w:tcPr>
          <w:p w:rsidR="00684D28" w:rsidRPr="00352C36" w:rsidP="00C362EA">
            <w:pPr>
              <w:spacing w:line="240" w:lineRule="auto"/>
              <w:jc w:val="right"/>
              <w:rPr>
                <w:rFonts w:ascii="Arial Narrow" w:hAnsi="Arial Narrow" w:cs="Arial"/>
              </w:rPr>
            </w:pPr>
            <w:r w:rsidRPr="00352C36" w:rsidR="00352C36">
              <w:rPr>
                <w:rFonts w:ascii="Arial Narrow" w:hAnsi="Arial Narrow" w:cs="Arial"/>
              </w:rPr>
              <w:t>102 347 510</w:t>
            </w:r>
          </w:p>
        </w:tc>
      </w:tr>
      <w:tr>
        <w:tblPrEx>
          <w:tblW w:w="6062" w:type="dxa"/>
          <w:jc w:val="center"/>
          <w:tblCellMar>
            <w:left w:w="70" w:type="dxa"/>
            <w:right w:w="70" w:type="dxa"/>
          </w:tblCellMar>
        </w:tblPrEx>
        <w:trPr>
          <w:trHeight w:hRule="exact" w:val="284"/>
          <w:jc w:val="center"/>
        </w:trPr>
        <w:tc>
          <w:tcPr>
            <w:tcW w:w="4282" w:type="dxa"/>
            <w:tcBorders>
              <w:top w:val="single" w:sz="8" w:space="0" w:color="auto"/>
              <w:left w:val="single" w:sz="12" w:space="0" w:color="auto"/>
              <w:bottom w:val="single" w:sz="12" w:space="0" w:color="auto"/>
              <w:right w:val="single" w:sz="8" w:space="0" w:color="auto"/>
              <w:tl2br w:val="nil"/>
              <w:tr2bl w:val="nil"/>
            </w:tcBorders>
            <w:noWrap/>
            <w:textDirection w:val="lrTb"/>
            <w:vAlign w:val="center"/>
          </w:tcPr>
          <w:p w:rsidR="00684D28" w:rsidRPr="00352C36" w:rsidP="00C362EA">
            <w:pPr>
              <w:spacing w:line="240" w:lineRule="auto"/>
              <w:rPr>
                <w:rFonts w:ascii="Arial Narrow" w:hAnsi="Arial Narrow" w:cs="Arial"/>
                <w:bCs/>
              </w:rPr>
            </w:pPr>
            <w:r w:rsidRPr="00352C36" w:rsidR="00352C36">
              <w:rPr>
                <w:rFonts w:ascii="Arial Narrow" w:hAnsi="Arial Narrow" w:cs="Arial"/>
                <w:bCs/>
              </w:rPr>
              <w:t>Č</w:t>
            </w:r>
            <w:r w:rsidRPr="00352C36" w:rsidR="00C64DC0">
              <w:rPr>
                <w:rFonts w:ascii="Arial Narrow" w:hAnsi="Arial Narrow" w:cs="Arial"/>
                <w:bCs/>
              </w:rPr>
              <w:t>istenie vozňov</w:t>
            </w:r>
          </w:p>
        </w:tc>
        <w:tc>
          <w:tcPr>
            <w:tcW w:w="1780" w:type="dxa"/>
            <w:tcBorders>
              <w:top w:val="single" w:sz="8" w:space="0" w:color="auto"/>
              <w:left w:val="single" w:sz="8" w:space="0" w:color="auto"/>
              <w:bottom w:val="single" w:sz="12" w:space="0" w:color="auto"/>
              <w:right w:val="single" w:sz="12" w:space="0" w:color="auto"/>
              <w:tl2br w:val="nil"/>
              <w:tr2bl w:val="nil"/>
            </w:tcBorders>
            <w:noWrap/>
            <w:textDirection w:val="lrTb"/>
            <w:vAlign w:val="center"/>
          </w:tcPr>
          <w:p w:rsidR="00684D28" w:rsidRPr="00352C36" w:rsidP="00C362EA">
            <w:pPr>
              <w:spacing w:line="240" w:lineRule="auto"/>
              <w:jc w:val="right"/>
              <w:rPr>
                <w:rFonts w:ascii="Arial Narrow" w:hAnsi="Arial Narrow" w:cs="Arial"/>
                <w:bCs/>
              </w:rPr>
            </w:pPr>
            <w:r w:rsidRPr="00352C36" w:rsidR="00352C36">
              <w:rPr>
                <w:rFonts w:ascii="Arial Narrow" w:hAnsi="Arial Narrow" w:cs="Arial"/>
                <w:bCs/>
              </w:rPr>
              <w:t>103 220 943</w:t>
            </w:r>
          </w:p>
        </w:tc>
      </w:tr>
      <w:tr>
        <w:tblPrEx>
          <w:tblW w:w="6062" w:type="dxa"/>
          <w:jc w:val="center"/>
          <w:tblCellMar>
            <w:left w:w="70" w:type="dxa"/>
            <w:right w:w="70" w:type="dxa"/>
          </w:tblCellMar>
        </w:tblPrEx>
        <w:trPr>
          <w:trHeight w:hRule="exact" w:val="284"/>
          <w:jc w:val="center"/>
        </w:trPr>
        <w:tc>
          <w:tcPr>
            <w:tcW w:w="4282" w:type="dxa"/>
            <w:tcBorders>
              <w:top w:val="single" w:sz="12" w:space="0" w:color="auto"/>
              <w:left w:val="single" w:sz="12" w:space="0" w:color="auto"/>
              <w:bottom w:val="single" w:sz="12" w:space="0" w:color="auto"/>
              <w:right w:val="single" w:sz="8" w:space="0" w:color="auto"/>
              <w:tl2br w:val="nil"/>
              <w:tr2bl w:val="nil"/>
            </w:tcBorders>
            <w:shd w:val="clear" w:color="auto" w:fill="C0C0C0"/>
            <w:noWrap/>
            <w:textDirection w:val="lrTb"/>
            <w:vAlign w:val="center"/>
          </w:tcPr>
          <w:p w:rsidR="00684D28" w:rsidRPr="00E61662" w:rsidP="00C362EA">
            <w:pPr>
              <w:spacing w:line="240" w:lineRule="auto"/>
              <w:rPr>
                <w:rFonts w:ascii="Arial Narrow" w:hAnsi="Arial Narrow" w:cs="Arial"/>
                <w:b/>
                <w:bCs/>
                <w:sz w:val="24"/>
                <w:szCs w:val="24"/>
              </w:rPr>
            </w:pPr>
            <w:r w:rsidRPr="00E61662">
              <w:rPr>
                <w:rFonts w:ascii="Arial Narrow" w:hAnsi="Arial Narrow" w:cs="Arial"/>
                <w:b/>
                <w:bCs/>
                <w:sz w:val="24"/>
                <w:szCs w:val="24"/>
              </w:rPr>
              <w:t xml:space="preserve">Neinvestičná dotácia celkom </w:t>
            </w:r>
          </w:p>
        </w:tc>
        <w:tc>
          <w:tcPr>
            <w:tcW w:w="1780" w:type="dxa"/>
            <w:tcBorders>
              <w:top w:val="single" w:sz="12" w:space="0" w:color="auto"/>
              <w:left w:val="single" w:sz="8" w:space="0" w:color="auto"/>
              <w:bottom w:val="single" w:sz="12" w:space="0" w:color="auto"/>
              <w:right w:val="single" w:sz="12" w:space="0" w:color="auto"/>
              <w:tl2br w:val="nil"/>
              <w:tr2bl w:val="nil"/>
            </w:tcBorders>
            <w:shd w:val="clear" w:color="auto" w:fill="C0C0C0"/>
            <w:noWrap/>
            <w:textDirection w:val="lrTb"/>
            <w:vAlign w:val="center"/>
          </w:tcPr>
          <w:p w:rsidR="00684D28" w:rsidRPr="00E61662" w:rsidP="00C362EA">
            <w:pPr>
              <w:spacing w:line="240" w:lineRule="auto"/>
              <w:jc w:val="right"/>
              <w:rPr>
                <w:rFonts w:ascii="Arial Narrow" w:hAnsi="Arial Narrow" w:cs="Arial"/>
                <w:b/>
                <w:bCs/>
                <w:sz w:val="24"/>
                <w:szCs w:val="24"/>
              </w:rPr>
            </w:pPr>
            <w:r w:rsidR="00352C36">
              <w:rPr>
                <w:rFonts w:ascii="Arial Narrow" w:hAnsi="Arial Narrow" w:cs="Arial"/>
                <w:b/>
                <w:bCs/>
                <w:sz w:val="24"/>
                <w:szCs w:val="24"/>
              </w:rPr>
              <w:t>5 400</w:t>
            </w:r>
            <w:r w:rsidRPr="00E61662">
              <w:rPr>
                <w:rFonts w:ascii="Arial Narrow" w:hAnsi="Arial Narrow" w:cs="Arial"/>
                <w:b/>
                <w:bCs/>
                <w:sz w:val="24"/>
                <w:szCs w:val="24"/>
              </w:rPr>
              <w:t xml:space="preserve"> 000 000,00</w:t>
            </w:r>
          </w:p>
        </w:tc>
      </w:tr>
    </w:tbl>
    <w:p w:rsidR="002710B0" w:rsidP="002710B0">
      <w:pPr>
        <w:spacing w:line="240" w:lineRule="auto"/>
        <w:rPr>
          <w:rFonts w:ascii="Times New Roman" w:hAnsi="Times New Roman" w:cs="Times New Roman"/>
          <w:sz w:val="24"/>
          <w:szCs w:val="24"/>
        </w:rPr>
      </w:pPr>
      <w:r w:rsidRPr="00976089" w:rsidR="00976089">
        <w:rPr>
          <w:rFonts w:ascii="Times New Roman" w:hAnsi="Times New Roman" w:cs="Times New Roman"/>
          <w:sz w:val="24"/>
          <w:szCs w:val="24"/>
        </w:rPr>
        <w:t xml:space="preserve"> </w:t>
      </w:r>
    </w:p>
    <w:p w:rsidR="00E03A1A" w:rsidP="00A82B43">
      <w:pPr>
        <w:spacing w:line="240" w:lineRule="auto"/>
        <w:ind w:firstLine="709"/>
        <w:rPr>
          <w:rFonts w:ascii="Times New Roman" w:hAnsi="Times New Roman" w:cs="Times New Roman"/>
          <w:sz w:val="24"/>
          <w:szCs w:val="24"/>
        </w:rPr>
      </w:pPr>
      <w:r w:rsidR="00A82B43">
        <w:rPr>
          <w:rFonts w:ascii="Times New Roman" w:hAnsi="Times New Roman" w:cs="Times New Roman"/>
          <w:sz w:val="24"/>
          <w:szCs w:val="24"/>
        </w:rPr>
        <w:t xml:space="preserve">Kap. </w:t>
      </w:r>
      <w:r w:rsidRPr="00575536" w:rsidR="0034466B">
        <w:rPr>
          <w:rFonts w:ascii="Times New Roman" w:hAnsi="Times New Roman" w:cs="Times New Roman"/>
          <w:sz w:val="24"/>
          <w:szCs w:val="24"/>
        </w:rPr>
        <w:t xml:space="preserve">transfery Železničnej spoločnosti </w:t>
      </w:r>
      <w:r w:rsidRPr="00575536" w:rsidR="00684D28">
        <w:rPr>
          <w:rFonts w:ascii="Times New Roman" w:hAnsi="Times New Roman" w:cs="Times New Roman"/>
          <w:sz w:val="24"/>
          <w:szCs w:val="24"/>
        </w:rPr>
        <w:t>Sloven</w:t>
      </w:r>
      <w:r w:rsidR="001F3538">
        <w:rPr>
          <w:rFonts w:ascii="Times New Roman" w:hAnsi="Times New Roman" w:cs="Times New Roman"/>
          <w:sz w:val="24"/>
          <w:szCs w:val="24"/>
        </w:rPr>
        <w:t>sko, a.s. v roku 2007</w:t>
      </w:r>
      <w:r w:rsidRPr="00575536" w:rsidR="0034466B">
        <w:rPr>
          <w:rFonts w:ascii="Times New Roman" w:hAnsi="Times New Roman" w:cs="Times New Roman"/>
          <w:sz w:val="24"/>
          <w:szCs w:val="24"/>
        </w:rPr>
        <w:t xml:space="preserve"> pridelené neboli. </w:t>
      </w:r>
    </w:p>
    <w:p w:rsidR="00BE3C27" w:rsidP="00BE3C27">
      <w:pPr>
        <w:pStyle w:val="NormalIndent"/>
        <w:tabs>
          <w:tab w:val="left" w:pos="0"/>
        </w:tabs>
        <w:spacing w:line="240" w:lineRule="auto"/>
        <w:ind w:left="0"/>
        <w:rPr>
          <w:rFonts w:cs="Times New Roman"/>
          <w:b/>
          <w:bCs/>
          <w:sz w:val="28"/>
        </w:rPr>
      </w:pPr>
    </w:p>
    <w:p w:rsidR="00BE3C27" w:rsidP="00BE3C27">
      <w:pPr>
        <w:pStyle w:val="NormalIndent"/>
        <w:tabs>
          <w:tab w:val="left" w:pos="0"/>
        </w:tabs>
        <w:spacing w:line="240" w:lineRule="auto"/>
        <w:ind w:left="0"/>
        <w:rPr>
          <w:rFonts w:cs="Times New Roman"/>
          <w:b/>
          <w:bCs/>
          <w:sz w:val="28"/>
        </w:rPr>
      </w:pPr>
      <w:r>
        <w:rPr>
          <w:rFonts w:cs="Times New Roman"/>
          <w:b/>
          <w:bCs/>
          <w:sz w:val="28"/>
        </w:rPr>
        <w:t>D</w:t>
      </w:r>
      <w:r w:rsidRPr="00D23807">
        <w:rPr>
          <w:rFonts w:cs="Times New Roman"/>
          <w:b/>
          <w:bCs/>
          <w:sz w:val="28"/>
        </w:rPr>
        <w:t>: Železničná spoločnosť</w:t>
      </w:r>
      <w:r>
        <w:rPr>
          <w:rFonts w:cs="Times New Roman"/>
          <w:b/>
          <w:bCs/>
          <w:sz w:val="28"/>
        </w:rPr>
        <w:t xml:space="preserve"> Cargo Slovakia </w:t>
      </w:r>
      <w:r w:rsidRPr="00D23807">
        <w:rPr>
          <w:rFonts w:cs="Times New Roman"/>
          <w:b/>
          <w:bCs/>
          <w:sz w:val="28"/>
        </w:rPr>
        <w:t>, a. s.</w:t>
      </w:r>
      <w:r>
        <w:rPr>
          <w:rFonts w:ascii="Times New Roman" w:hAnsi="Times New Roman" w:cs="Times New Roman"/>
          <w:sz w:val="28"/>
          <w:szCs w:val="28"/>
        </w:rPr>
        <w:t>, - program 07S-Žel. doprava</w:t>
      </w:r>
      <w:r w:rsidRPr="00D50048">
        <w:rPr>
          <w:rFonts w:ascii="Times New Roman" w:hAnsi="Times New Roman" w:cs="Times New Roman"/>
          <w:sz w:val="28"/>
          <w:szCs w:val="28"/>
        </w:rPr>
        <w:t xml:space="preserve"> </w:t>
      </w:r>
    </w:p>
    <w:p w:rsidR="00D95A9C" w:rsidP="00D95A9C">
      <w:pPr>
        <w:pStyle w:val="NormalIndent"/>
        <w:tabs>
          <w:tab w:val="left" w:pos="0"/>
        </w:tabs>
        <w:spacing w:line="240" w:lineRule="auto"/>
        <w:ind w:left="0"/>
        <w:rPr>
          <w:rFonts w:ascii="Times New Roman" w:hAnsi="Times New Roman" w:cs="Times New Roman"/>
          <w:b/>
          <w:bCs/>
          <w:szCs w:val="24"/>
        </w:rPr>
      </w:pPr>
    </w:p>
    <w:p w:rsidR="00D95A9C" w:rsidRPr="00525CBA" w:rsidP="00D95A9C">
      <w:pPr>
        <w:pStyle w:val="NormalIndent"/>
        <w:tabs>
          <w:tab w:val="left" w:pos="0"/>
        </w:tabs>
        <w:spacing w:line="240" w:lineRule="auto"/>
        <w:ind w:left="0"/>
        <w:rPr>
          <w:rFonts w:ascii="Times New Roman" w:hAnsi="Times New Roman" w:cs="Times New Roman"/>
          <w:b/>
          <w:bCs/>
          <w:szCs w:val="24"/>
        </w:rPr>
      </w:pPr>
      <w:r w:rsidRPr="002E11D0">
        <w:rPr>
          <w:rFonts w:ascii="Times New Roman" w:hAnsi="Times New Roman" w:cs="Times New Roman"/>
          <w:b/>
          <w:bCs/>
          <w:szCs w:val="24"/>
        </w:rPr>
        <w:t xml:space="preserve">Neinvestičné dotácie (640 – bežné transfery) </w:t>
      </w:r>
      <w:r w:rsidRPr="002E11D0">
        <w:rPr>
          <w:rFonts w:cs="Times New Roman"/>
          <w:b/>
          <w:bCs/>
          <w:szCs w:val="24"/>
        </w:rPr>
        <w:t xml:space="preserve">– podprogram 07S03 Podpora verejných služieb – prevádzkovanie dopravy na dráhach </w:t>
      </w:r>
    </w:p>
    <w:p w:rsidR="00BE3C27" w:rsidP="00BE3C27">
      <w:pPr>
        <w:spacing w:line="240" w:lineRule="auto"/>
        <w:ind w:firstLine="709"/>
        <w:rPr>
          <w:rFonts w:ascii="Times New Roman" w:hAnsi="Times New Roman" w:cs="Times New Roman"/>
          <w:sz w:val="24"/>
          <w:szCs w:val="24"/>
        </w:rPr>
      </w:pPr>
    </w:p>
    <w:p w:rsidR="00BE3C27" w:rsidRPr="00BA3976" w:rsidP="00BE3C27">
      <w:pPr>
        <w:spacing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RO MF SR č. 37 boli Železničnej </w:t>
      </w:r>
      <w:r w:rsidRPr="00BA3976">
        <w:rPr>
          <w:rFonts w:ascii="Times New Roman" w:hAnsi="Times New Roman" w:cs="Times New Roman"/>
          <w:sz w:val="24"/>
          <w:szCs w:val="24"/>
        </w:rPr>
        <w:t>spoločn</w:t>
      </w:r>
      <w:r>
        <w:rPr>
          <w:rFonts w:ascii="Times New Roman" w:hAnsi="Times New Roman" w:cs="Times New Roman"/>
          <w:sz w:val="24"/>
          <w:szCs w:val="24"/>
        </w:rPr>
        <w:t xml:space="preserve">osti Cargo Slovakia, a.s., pridelené 640 – Bežné transfery vo výške 100 mil. Sk. Tieto zdroje boli použité </w:t>
      </w:r>
      <w:r w:rsidRPr="00BA3976">
        <w:rPr>
          <w:rFonts w:ascii="Times New Roman" w:hAnsi="Times New Roman" w:cs="Times New Roman"/>
          <w:sz w:val="24"/>
          <w:szCs w:val="24"/>
        </w:rPr>
        <w:t>na úhradu zostatku pohľadávky zaniknutej Železničnej spolo</w:t>
      </w:r>
      <w:r>
        <w:rPr>
          <w:rFonts w:ascii="Times New Roman" w:hAnsi="Times New Roman" w:cs="Times New Roman"/>
          <w:sz w:val="24"/>
          <w:szCs w:val="24"/>
        </w:rPr>
        <w:t xml:space="preserve">čnosti, a.s., voči štátu z titulu výkonov vo verejnom </w:t>
      </w:r>
      <w:r w:rsidRPr="00BA3976">
        <w:rPr>
          <w:rFonts w:ascii="Times New Roman" w:hAnsi="Times New Roman" w:cs="Times New Roman"/>
          <w:sz w:val="24"/>
          <w:szCs w:val="24"/>
        </w:rPr>
        <w:t xml:space="preserve">záujme pri prevádzkovaní osobnej dopravy na dráhe v rokoch 1997 </w:t>
      </w:r>
      <w:r>
        <w:rPr>
          <w:rFonts w:ascii="Times New Roman" w:hAnsi="Times New Roman" w:cs="Times New Roman"/>
          <w:sz w:val="24"/>
          <w:szCs w:val="24"/>
        </w:rPr>
        <w:t>–</w:t>
      </w:r>
      <w:r w:rsidRPr="00BA3976">
        <w:rPr>
          <w:rFonts w:ascii="Times New Roman" w:hAnsi="Times New Roman" w:cs="Times New Roman"/>
          <w:sz w:val="24"/>
          <w:szCs w:val="24"/>
        </w:rPr>
        <w:t xml:space="preserve"> 2000</w:t>
      </w:r>
      <w:r>
        <w:rPr>
          <w:rFonts w:ascii="Times New Roman" w:hAnsi="Times New Roman" w:cs="Times New Roman"/>
          <w:sz w:val="24"/>
          <w:szCs w:val="24"/>
        </w:rPr>
        <w:t xml:space="preserve"> a 2002</w:t>
      </w:r>
      <w:r w:rsidRPr="00BA3976">
        <w:rPr>
          <w:rFonts w:ascii="Times New Roman" w:hAnsi="Times New Roman" w:cs="Times New Roman"/>
          <w:sz w:val="24"/>
          <w:szCs w:val="24"/>
        </w:rPr>
        <w:t>,</w:t>
      </w:r>
      <w:r>
        <w:rPr>
          <w:rFonts w:ascii="Times New Roman" w:hAnsi="Times New Roman" w:cs="Times New Roman"/>
          <w:sz w:val="24"/>
          <w:szCs w:val="24"/>
        </w:rPr>
        <w:t xml:space="preserve"> ktorá bola prevedená na Železničnú spoločnosť </w:t>
      </w:r>
      <w:r w:rsidRPr="00BA3976">
        <w:rPr>
          <w:rFonts w:ascii="Times New Roman" w:hAnsi="Times New Roman" w:cs="Times New Roman"/>
          <w:sz w:val="24"/>
          <w:szCs w:val="24"/>
        </w:rPr>
        <w:t>Cargo</w:t>
      </w:r>
      <w:r>
        <w:rPr>
          <w:rFonts w:ascii="Times New Roman" w:hAnsi="Times New Roman" w:cs="Times New Roman"/>
          <w:sz w:val="24"/>
          <w:szCs w:val="24"/>
        </w:rPr>
        <w:t xml:space="preserve"> Slovakia</w:t>
      </w:r>
      <w:r w:rsidRPr="00BA3976">
        <w:rPr>
          <w:rFonts w:ascii="Times New Roman" w:hAnsi="Times New Roman" w:cs="Times New Roman"/>
          <w:sz w:val="24"/>
          <w:szCs w:val="24"/>
        </w:rPr>
        <w:t>, a.s.</w:t>
      </w:r>
      <w:r>
        <w:rPr>
          <w:rFonts w:ascii="Times New Roman" w:hAnsi="Times New Roman" w:cs="Times New Roman"/>
          <w:sz w:val="24"/>
          <w:szCs w:val="24"/>
        </w:rPr>
        <w:t>,</w:t>
      </w:r>
      <w:r w:rsidRPr="00BA3976">
        <w:rPr>
          <w:rFonts w:ascii="Times New Roman" w:hAnsi="Times New Roman" w:cs="Times New Roman"/>
          <w:sz w:val="24"/>
          <w:szCs w:val="24"/>
        </w:rPr>
        <w:t xml:space="preserve"> rozhodnutím ministra dopravy, pôšt a telekomunikácií o rozdelení majetku Ž</w:t>
      </w:r>
      <w:r>
        <w:rPr>
          <w:rFonts w:ascii="Times New Roman" w:hAnsi="Times New Roman" w:cs="Times New Roman"/>
          <w:sz w:val="24"/>
          <w:szCs w:val="24"/>
        </w:rPr>
        <w:t>elezničnej spoločnosti</w:t>
      </w:r>
      <w:r w:rsidRPr="00BA3976">
        <w:rPr>
          <w:rFonts w:ascii="Times New Roman" w:hAnsi="Times New Roman" w:cs="Times New Roman"/>
          <w:sz w:val="24"/>
          <w:szCs w:val="24"/>
        </w:rPr>
        <w:t>, a.s.</w:t>
      </w:r>
    </w:p>
    <w:p w:rsidR="005119BE" w:rsidRPr="00575536" w:rsidP="00A82B43">
      <w:pPr>
        <w:spacing w:line="240" w:lineRule="auto"/>
        <w:ind w:firstLine="709"/>
        <w:rPr>
          <w:rFonts w:ascii="Times New Roman" w:hAnsi="Times New Roman" w:cs="Times New Roman"/>
          <w:sz w:val="24"/>
          <w:szCs w:val="24"/>
        </w:rPr>
      </w:pPr>
    </w:p>
    <w:p w:rsidR="00684D28" w:rsidRPr="00D23807" w:rsidP="00C362EA">
      <w:pPr>
        <w:pStyle w:val="NormalIndent"/>
        <w:tabs>
          <w:tab w:val="left" w:pos="0"/>
        </w:tabs>
        <w:spacing w:line="240" w:lineRule="auto"/>
        <w:ind w:left="0"/>
        <w:rPr>
          <w:rFonts w:cs="Times New Roman"/>
          <w:b/>
          <w:bCs/>
          <w:sz w:val="28"/>
        </w:rPr>
      </w:pPr>
      <w:r w:rsidR="00BE3C27">
        <w:rPr>
          <w:rFonts w:cs="Times New Roman"/>
          <w:b/>
          <w:bCs/>
          <w:sz w:val="28"/>
        </w:rPr>
        <w:t>E</w:t>
      </w:r>
      <w:r>
        <w:rPr>
          <w:rFonts w:cs="Times New Roman"/>
          <w:b/>
          <w:bCs/>
          <w:sz w:val="28"/>
        </w:rPr>
        <w:t xml:space="preserve">: Kombinovaná doprava </w:t>
      </w:r>
      <w:r>
        <w:rPr>
          <w:rFonts w:ascii="Times New Roman" w:hAnsi="Times New Roman" w:cs="Times New Roman"/>
          <w:sz w:val="28"/>
          <w:szCs w:val="28"/>
        </w:rPr>
        <w:t xml:space="preserve">– program 07S </w:t>
      </w:r>
      <w:r w:rsidRPr="00D50048">
        <w:rPr>
          <w:rFonts w:ascii="Times New Roman" w:hAnsi="Times New Roman" w:cs="Times New Roman"/>
          <w:sz w:val="28"/>
          <w:szCs w:val="28"/>
        </w:rPr>
        <w:t>–</w:t>
      </w:r>
      <w:r>
        <w:rPr>
          <w:rFonts w:ascii="Times New Roman" w:hAnsi="Times New Roman" w:cs="Times New Roman"/>
          <w:sz w:val="28"/>
          <w:szCs w:val="28"/>
        </w:rPr>
        <w:t xml:space="preserve"> Železničná doprava</w:t>
      </w:r>
      <w:r w:rsidRPr="00D50048">
        <w:rPr>
          <w:rFonts w:ascii="Times New Roman" w:hAnsi="Times New Roman" w:cs="Times New Roman"/>
          <w:sz w:val="28"/>
          <w:szCs w:val="28"/>
        </w:rPr>
        <w:t xml:space="preserve"> </w:t>
      </w:r>
    </w:p>
    <w:p w:rsidR="00684D28" w:rsidRPr="00D23807" w:rsidP="00C362EA">
      <w:pPr>
        <w:pStyle w:val="NormalIndent"/>
        <w:tabs>
          <w:tab w:val="left" w:pos="0"/>
        </w:tabs>
        <w:spacing w:line="240" w:lineRule="auto"/>
        <w:ind w:left="0"/>
        <w:rPr>
          <w:rFonts w:cs="Times New Roman"/>
        </w:rPr>
      </w:pPr>
    </w:p>
    <w:p w:rsidR="00684D28" w:rsidRPr="00D23807" w:rsidP="00C362EA">
      <w:pPr>
        <w:pStyle w:val="NormalIndent"/>
        <w:tabs>
          <w:tab w:val="left" w:pos="0"/>
        </w:tabs>
        <w:spacing w:line="240" w:lineRule="auto"/>
        <w:ind w:left="0"/>
        <w:rPr>
          <w:rFonts w:ascii="Times New Roman" w:hAnsi="Times New Roman" w:cs="Times New Roman"/>
          <w:b/>
          <w:bCs/>
        </w:rPr>
      </w:pPr>
      <w:r>
        <w:rPr>
          <w:rFonts w:ascii="Times New Roman" w:hAnsi="Times New Roman" w:cs="Times New Roman"/>
          <w:b/>
          <w:bCs/>
        </w:rPr>
        <w:t>N</w:t>
      </w:r>
      <w:r w:rsidRPr="00D23807">
        <w:rPr>
          <w:rFonts w:ascii="Times New Roman" w:hAnsi="Times New Roman" w:cs="Times New Roman"/>
          <w:b/>
          <w:bCs/>
        </w:rPr>
        <w:t>einvestičné dotácie (</w:t>
      </w:r>
      <w:r>
        <w:rPr>
          <w:rFonts w:ascii="Times New Roman" w:hAnsi="Times New Roman" w:cs="Times New Roman"/>
          <w:b/>
          <w:bCs/>
        </w:rPr>
        <w:t xml:space="preserve">640 – bež. </w:t>
      </w:r>
      <w:r w:rsidRPr="00D23807">
        <w:rPr>
          <w:rFonts w:ascii="Times New Roman" w:hAnsi="Times New Roman" w:cs="Times New Roman"/>
          <w:b/>
          <w:bCs/>
        </w:rPr>
        <w:t>transfery)</w:t>
      </w:r>
      <w:r>
        <w:rPr>
          <w:rFonts w:ascii="Times New Roman" w:hAnsi="Times New Roman" w:cs="Times New Roman"/>
          <w:b/>
          <w:bCs/>
        </w:rPr>
        <w:t xml:space="preserve"> – podprogram 07S01 Kombinovaná doprava </w:t>
      </w:r>
    </w:p>
    <w:p w:rsidR="00684D28" w:rsidRPr="00D23807" w:rsidP="00C362EA">
      <w:pPr>
        <w:spacing w:line="240" w:lineRule="auto"/>
        <w:rPr>
          <w:rFonts w:ascii="Times New Roman" w:hAnsi="Times New Roman" w:cs="Times New Roman"/>
          <w:sz w:val="24"/>
          <w:szCs w:val="24"/>
        </w:rPr>
      </w:pPr>
    </w:p>
    <w:p w:rsidR="00C219DD" w:rsidRPr="00C219DD" w:rsidP="00BE3C27">
      <w:pPr>
        <w:spacing w:line="240" w:lineRule="auto"/>
        <w:ind w:firstLine="708"/>
        <w:rPr>
          <w:rFonts w:ascii="Times New Roman" w:hAnsi="Times New Roman" w:cs="Times New Roman"/>
          <w:sz w:val="24"/>
          <w:szCs w:val="24"/>
        </w:rPr>
      </w:pPr>
      <w:r w:rsidRPr="00D23807" w:rsidR="00684D28">
        <w:rPr>
          <w:rFonts w:ascii="Times New Roman" w:hAnsi="Times New Roman" w:cs="Times New Roman"/>
          <w:sz w:val="24"/>
          <w:szCs w:val="24"/>
        </w:rPr>
        <w:t>Na základe zákon</w:t>
      </w:r>
      <w:r w:rsidR="004A76D8">
        <w:rPr>
          <w:rFonts w:ascii="Times New Roman" w:hAnsi="Times New Roman" w:cs="Times New Roman"/>
          <w:sz w:val="24"/>
          <w:szCs w:val="24"/>
        </w:rPr>
        <w:t>a o</w:t>
      </w:r>
      <w:r w:rsidR="001F3538">
        <w:rPr>
          <w:rFonts w:ascii="Times New Roman" w:hAnsi="Times New Roman" w:cs="Times New Roman"/>
          <w:sz w:val="24"/>
          <w:szCs w:val="24"/>
        </w:rPr>
        <w:t> štátnom rozpočte na rok 2007</w:t>
      </w:r>
      <w:r w:rsidR="00684D28">
        <w:rPr>
          <w:rFonts w:ascii="Times New Roman" w:hAnsi="Times New Roman" w:cs="Times New Roman"/>
          <w:sz w:val="24"/>
          <w:szCs w:val="24"/>
        </w:rPr>
        <w:t xml:space="preserve"> </w:t>
      </w:r>
      <w:r w:rsidR="002B54FE">
        <w:rPr>
          <w:rFonts w:ascii="Times New Roman" w:hAnsi="Times New Roman" w:cs="Times New Roman"/>
          <w:sz w:val="24"/>
          <w:szCs w:val="24"/>
        </w:rPr>
        <w:t xml:space="preserve">a Výnosu MDPT SR č. 491/M-2006 zo dňa 15. 2. 2006 o poskytovaní dotácií v kombinovanej doprave, </w:t>
      </w:r>
      <w:r w:rsidR="00684D28">
        <w:rPr>
          <w:rFonts w:ascii="Times New Roman" w:hAnsi="Times New Roman" w:cs="Times New Roman"/>
          <w:sz w:val="24"/>
          <w:szCs w:val="24"/>
        </w:rPr>
        <w:t xml:space="preserve">bola na podporu rozvoja kombinovanej dopravy vyčlenená </w:t>
      </w:r>
      <w:r w:rsidRPr="00D23807" w:rsidR="00684D28">
        <w:rPr>
          <w:rFonts w:ascii="Times New Roman" w:hAnsi="Times New Roman" w:cs="Times New Roman"/>
          <w:sz w:val="24"/>
          <w:szCs w:val="24"/>
        </w:rPr>
        <w:t>neinvestičná dotácia vo výšk</w:t>
      </w:r>
      <w:r w:rsidR="00684D28">
        <w:rPr>
          <w:rFonts w:ascii="Times New Roman" w:hAnsi="Times New Roman" w:cs="Times New Roman"/>
          <w:sz w:val="24"/>
          <w:szCs w:val="24"/>
        </w:rPr>
        <w:t xml:space="preserve">e </w:t>
      </w:r>
      <w:r w:rsidRPr="001E0C12" w:rsidR="00684D28">
        <w:rPr>
          <w:rFonts w:ascii="Times New Roman" w:hAnsi="Times New Roman" w:cs="Times New Roman"/>
          <w:sz w:val="24"/>
          <w:szCs w:val="24"/>
        </w:rPr>
        <w:t>20 000 000,- Sk</w:t>
      </w:r>
      <w:r w:rsidR="00684D28">
        <w:rPr>
          <w:rFonts w:ascii="Times New Roman" w:hAnsi="Times New Roman" w:cs="Times New Roman"/>
          <w:sz w:val="24"/>
          <w:szCs w:val="24"/>
        </w:rPr>
        <w:t>. Z</w:t>
      </w:r>
      <w:r w:rsidR="004A76D8">
        <w:rPr>
          <w:rFonts w:ascii="Times New Roman" w:hAnsi="Times New Roman" w:cs="Times New Roman"/>
          <w:sz w:val="24"/>
          <w:szCs w:val="24"/>
        </w:rPr>
        <w:t xml:space="preserve"> dôvodu nerealizovania projektov podpory kombinovanej dopravy </w:t>
      </w:r>
      <w:r w:rsidR="001F3538">
        <w:rPr>
          <w:rFonts w:ascii="Times New Roman" w:hAnsi="Times New Roman" w:cs="Times New Roman"/>
          <w:sz w:val="24"/>
          <w:szCs w:val="24"/>
        </w:rPr>
        <w:t>bol rozpočet k 31.12.2007</w:t>
      </w:r>
      <w:r w:rsidR="00357BFA">
        <w:rPr>
          <w:rFonts w:ascii="Times New Roman" w:hAnsi="Times New Roman" w:cs="Times New Roman"/>
          <w:sz w:val="24"/>
          <w:szCs w:val="24"/>
        </w:rPr>
        <w:t xml:space="preserve"> znížený na sumu 3 237</w:t>
      </w:r>
      <w:r w:rsidR="000F6CBF">
        <w:rPr>
          <w:rFonts w:ascii="Times New Roman" w:hAnsi="Times New Roman" w:cs="Times New Roman"/>
          <w:sz w:val="24"/>
          <w:szCs w:val="24"/>
        </w:rPr>
        <w:t> 00</w:t>
      </w:r>
      <w:r w:rsidR="00357BFA">
        <w:rPr>
          <w:rFonts w:ascii="Times New Roman" w:hAnsi="Times New Roman" w:cs="Times New Roman"/>
          <w:sz w:val="24"/>
          <w:szCs w:val="24"/>
        </w:rPr>
        <w:t xml:space="preserve">0,- Sk. Skutočné čerpanie bolo </w:t>
      </w:r>
      <w:r w:rsidRPr="00357BFA" w:rsidR="00357BFA">
        <w:rPr>
          <w:rFonts w:ascii="Times New Roman" w:hAnsi="Times New Roman" w:cs="Times New Roman"/>
          <w:sz w:val="24"/>
          <w:szCs w:val="24"/>
        </w:rPr>
        <w:t>1</w:t>
      </w:r>
      <w:r w:rsidR="00357BFA">
        <w:rPr>
          <w:rFonts w:ascii="Times New Roman" w:hAnsi="Times New Roman" w:cs="Times New Roman"/>
          <w:sz w:val="24"/>
          <w:szCs w:val="24"/>
        </w:rPr>
        <w:t> </w:t>
      </w:r>
      <w:r w:rsidRPr="00357BFA" w:rsidR="00357BFA">
        <w:rPr>
          <w:rFonts w:ascii="Times New Roman" w:hAnsi="Times New Roman" w:cs="Times New Roman"/>
          <w:sz w:val="24"/>
          <w:szCs w:val="24"/>
        </w:rPr>
        <w:t>741</w:t>
      </w:r>
      <w:r w:rsidR="00357BFA">
        <w:rPr>
          <w:rFonts w:ascii="Times New Roman" w:hAnsi="Times New Roman" w:cs="Times New Roman"/>
          <w:sz w:val="24"/>
          <w:szCs w:val="24"/>
        </w:rPr>
        <w:t xml:space="preserve"> </w:t>
      </w:r>
      <w:r w:rsidRPr="00357BFA" w:rsidR="00357BFA">
        <w:rPr>
          <w:rFonts w:ascii="Times New Roman" w:hAnsi="Times New Roman" w:cs="Times New Roman"/>
          <w:sz w:val="24"/>
          <w:szCs w:val="24"/>
        </w:rPr>
        <w:t>744,78</w:t>
      </w:r>
      <w:r w:rsidR="00357BFA">
        <w:rPr>
          <w:rFonts w:ascii="Times New Roman" w:hAnsi="Times New Roman" w:cs="Times New Roman"/>
          <w:sz w:val="24"/>
          <w:szCs w:val="24"/>
        </w:rPr>
        <w:t xml:space="preserve"> </w:t>
      </w:r>
      <w:r w:rsidR="000F6CBF">
        <w:rPr>
          <w:rFonts w:ascii="Times New Roman" w:hAnsi="Times New Roman" w:cs="Times New Roman"/>
          <w:sz w:val="24"/>
          <w:szCs w:val="24"/>
        </w:rPr>
        <w:t xml:space="preserve">Sk. </w:t>
      </w:r>
      <w:r w:rsidRPr="002B54FE" w:rsidR="002B54FE">
        <w:rPr>
          <w:rFonts w:ascii="Times New Roman" w:hAnsi="Times New Roman" w:cs="Times New Roman"/>
          <w:sz w:val="24"/>
          <w:szCs w:val="24"/>
        </w:rPr>
        <w:t>V roku 2007</w:t>
      </w:r>
      <w:r w:rsidR="002B54FE">
        <w:rPr>
          <w:rFonts w:ascii="Times New Roman" w:hAnsi="Times New Roman" w:cs="Times New Roman"/>
          <w:sz w:val="24"/>
          <w:szCs w:val="24"/>
        </w:rPr>
        <w:t xml:space="preserve"> o dotáciu v kombinovanej doprave požiadali dva subjekty, každ</w:t>
      </w:r>
      <w:r w:rsidR="00BE3C27">
        <w:rPr>
          <w:rFonts w:ascii="Times New Roman" w:hAnsi="Times New Roman" w:cs="Times New Roman"/>
          <w:sz w:val="24"/>
          <w:szCs w:val="24"/>
        </w:rPr>
        <w:t xml:space="preserve">ý po jednom dopravnom projekte. </w:t>
      </w:r>
      <w:r w:rsidRPr="002B54FE" w:rsidR="002B54FE">
        <w:rPr>
          <w:rFonts w:ascii="Times New Roman" w:hAnsi="Times New Roman" w:cs="Times New Roman"/>
          <w:sz w:val="24"/>
          <w:szCs w:val="24"/>
        </w:rPr>
        <w:t>Proj</w:t>
      </w:r>
      <w:r w:rsidR="002B54FE">
        <w:rPr>
          <w:rFonts w:ascii="Times New Roman" w:hAnsi="Times New Roman" w:cs="Times New Roman"/>
          <w:sz w:val="24"/>
          <w:szCs w:val="24"/>
        </w:rPr>
        <w:t xml:space="preserve">ektu RoLa Bratislava –Rotterdam, </w:t>
      </w:r>
      <w:r w:rsidRPr="002B54FE" w:rsidR="002B54FE">
        <w:rPr>
          <w:rFonts w:ascii="Times New Roman" w:hAnsi="Times New Roman" w:cs="Times New Roman"/>
          <w:sz w:val="24"/>
          <w:szCs w:val="24"/>
        </w:rPr>
        <w:t>č. zmluvy 80/220/2007</w:t>
      </w:r>
      <w:r w:rsidR="002B54FE">
        <w:rPr>
          <w:rFonts w:ascii="Times New Roman" w:hAnsi="Times New Roman" w:cs="Times New Roman"/>
          <w:sz w:val="24"/>
          <w:szCs w:val="24"/>
        </w:rPr>
        <w:t xml:space="preserve">, bola pôvodne priznaná dotácia vo výške 17 126 739,- Sk. Príjemca pomoci však nedodržal zmluvné podmienky, preto bola zmluva zo strany poskytovateľa pomoci, t. j. MDPT SR, vypovedaná. Nevyčerpané zdroje </w:t>
      </w:r>
      <w:r w:rsidR="002B54FE">
        <w:rPr>
          <w:rFonts w:ascii="Times New Roman" w:hAnsi="Times New Roman" w:cs="Times New Roman"/>
          <w:sz w:val="24"/>
        </w:rPr>
        <w:t>boli rozpočtovými opatreniami v závere roka 2</w:t>
      </w:r>
      <w:r w:rsidR="005119BE">
        <w:rPr>
          <w:rFonts w:ascii="Times New Roman" w:hAnsi="Times New Roman" w:cs="Times New Roman"/>
          <w:sz w:val="24"/>
        </w:rPr>
        <w:t xml:space="preserve">007 presunuté na nevykryté </w:t>
      </w:r>
      <w:r w:rsidR="00EB5C51">
        <w:rPr>
          <w:rFonts w:ascii="Times New Roman" w:hAnsi="Times New Roman" w:cs="Times New Roman"/>
          <w:sz w:val="24"/>
        </w:rPr>
        <w:t>potr</w:t>
      </w:r>
      <w:r w:rsidR="002B54FE">
        <w:rPr>
          <w:rFonts w:ascii="Times New Roman" w:hAnsi="Times New Roman" w:cs="Times New Roman"/>
          <w:sz w:val="24"/>
        </w:rPr>
        <w:t>eb</w:t>
      </w:r>
      <w:r w:rsidR="005119BE">
        <w:rPr>
          <w:rFonts w:ascii="Times New Roman" w:hAnsi="Times New Roman" w:cs="Times New Roman"/>
          <w:sz w:val="24"/>
        </w:rPr>
        <w:t>y</w:t>
      </w:r>
      <w:r w:rsidR="00BE3C27">
        <w:rPr>
          <w:rFonts w:ascii="Times New Roman" w:hAnsi="Times New Roman" w:cs="Times New Roman"/>
          <w:sz w:val="24"/>
        </w:rPr>
        <w:t xml:space="preserve"> rezortu. </w:t>
      </w:r>
      <w:r w:rsidRPr="002B54FE" w:rsidR="002B54FE">
        <w:rPr>
          <w:rFonts w:ascii="Times New Roman" w:hAnsi="Times New Roman" w:cs="Times New Roman"/>
          <w:sz w:val="24"/>
          <w:szCs w:val="24"/>
        </w:rPr>
        <w:t>V roku 2007 sa realizoval projekt prepra</w:t>
      </w:r>
      <w:r w:rsidR="00EB5C51">
        <w:rPr>
          <w:rFonts w:ascii="Times New Roman" w:hAnsi="Times New Roman" w:cs="Times New Roman"/>
          <w:sz w:val="24"/>
          <w:szCs w:val="24"/>
        </w:rPr>
        <w:t xml:space="preserve">vy repy pre Slovenské cukrovary, </w:t>
      </w:r>
      <w:r w:rsidRPr="002B54FE" w:rsidR="002B54FE">
        <w:rPr>
          <w:rFonts w:ascii="Times New Roman" w:hAnsi="Times New Roman" w:cs="Times New Roman"/>
          <w:sz w:val="24"/>
          <w:szCs w:val="24"/>
        </w:rPr>
        <w:t>a.s.</w:t>
      </w:r>
      <w:r w:rsidR="00EB5C51">
        <w:rPr>
          <w:rFonts w:ascii="Times New Roman" w:hAnsi="Times New Roman" w:cs="Times New Roman"/>
          <w:sz w:val="24"/>
          <w:szCs w:val="24"/>
        </w:rPr>
        <w:t>,</w:t>
      </w:r>
      <w:r w:rsidRPr="002B54FE" w:rsidR="002B54FE">
        <w:rPr>
          <w:rFonts w:ascii="Times New Roman" w:hAnsi="Times New Roman" w:cs="Times New Roman"/>
          <w:sz w:val="24"/>
          <w:szCs w:val="24"/>
        </w:rPr>
        <w:t xml:space="preserve"> systémom ACTS, č. zmluvy 81/220/2007.</w:t>
      </w:r>
      <w:r w:rsidR="002B54FE">
        <w:rPr>
          <w:rFonts w:ascii="Times New Roman" w:hAnsi="Times New Roman" w:cs="Times New Roman"/>
          <w:sz w:val="24"/>
          <w:szCs w:val="24"/>
        </w:rPr>
        <w:t xml:space="preserve"> Tomuto projektu bola priznaná dotácia vo výške 2 873 261,- Sk na prepravu 56 000 ton cukrovej repy. Prijímateľ dotácie dokázal v roku 2007 prepraviť 49 214,680 ton cukrovej repy a dotácia mu bola vyplatená vo výške 1 741 </w:t>
      </w:r>
      <w:r w:rsidR="00C82134">
        <w:rPr>
          <w:rFonts w:ascii="Times New Roman" w:hAnsi="Times New Roman" w:cs="Times New Roman"/>
          <w:sz w:val="24"/>
          <w:szCs w:val="24"/>
        </w:rPr>
        <w:t>744</w:t>
      </w:r>
      <w:r w:rsidR="002B54FE">
        <w:rPr>
          <w:rFonts w:ascii="Times New Roman" w:hAnsi="Times New Roman" w:cs="Times New Roman"/>
          <w:sz w:val="24"/>
          <w:szCs w:val="24"/>
        </w:rPr>
        <w:t>,</w:t>
      </w:r>
      <w:r w:rsidR="00C82134">
        <w:rPr>
          <w:rFonts w:ascii="Times New Roman" w:hAnsi="Times New Roman" w:cs="Times New Roman"/>
          <w:sz w:val="24"/>
          <w:szCs w:val="24"/>
        </w:rPr>
        <w:t>78</w:t>
      </w:r>
      <w:r w:rsidR="002B54FE">
        <w:rPr>
          <w:rFonts w:ascii="Times New Roman" w:hAnsi="Times New Roman" w:cs="Times New Roman"/>
          <w:sz w:val="24"/>
          <w:szCs w:val="24"/>
        </w:rPr>
        <w:t xml:space="preserve"> Sk. </w:t>
      </w:r>
      <w:r w:rsidR="00C82134">
        <w:rPr>
          <w:rFonts w:ascii="Times New Roman" w:hAnsi="Times New Roman" w:cs="Times New Roman"/>
          <w:sz w:val="24"/>
          <w:szCs w:val="24"/>
        </w:rPr>
        <w:t>R</w:t>
      </w:r>
      <w:r w:rsidR="002B54FE">
        <w:rPr>
          <w:rFonts w:ascii="Times New Roman" w:hAnsi="Times New Roman" w:cs="Times New Roman"/>
          <w:sz w:val="24"/>
          <w:szCs w:val="24"/>
        </w:rPr>
        <w:t xml:space="preserve">ealizovaním tohto projektu bolo z pozemných ciest na železnicu presunutých 4 921 468 tonokilometrov nákladu. </w:t>
      </w:r>
    </w:p>
    <w:p w:rsidR="005119BE" w:rsidP="00C362EA">
      <w:pPr>
        <w:pStyle w:val="NormalIndent"/>
        <w:tabs>
          <w:tab w:val="left" w:pos="0"/>
        </w:tabs>
        <w:spacing w:line="240" w:lineRule="auto"/>
        <w:ind w:left="0"/>
        <w:rPr>
          <w:rFonts w:cs="Times New Roman"/>
          <w:b/>
          <w:bCs/>
          <w:sz w:val="28"/>
        </w:rPr>
      </w:pPr>
    </w:p>
    <w:p w:rsidR="00684D28" w:rsidRPr="00D23807" w:rsidP="00C362EA">
      <w:pPr>
        <w:pStyle w:val="NormalIndent"/>
        <w:tabs>
          <w:tab w:val="left" w:pos="0"/>
        </w:tabs>
        <w:spacing w:line="240" w:lineRule="auto"/>
        <w:ind w:left="0"/>
        <w:rPr>
          <w:rFonts w:cs="Times New Roman"/>
          <w:b/>
          <w:bCs/>
          <w:sz w:val="28"/>
        </w:rPr>
      </w:pPr>
      <w:r w:rsidR="00BE3C27">
        <w:rPr>
          <w:rFonts w:cs="Times New Roman"/>
          <w:b/>
          <w:bCs/>
          <w:sz w:val="28"/>
        </w:rPr>
        <w:t>F</w:t>
      </w:r>
      <w:r>
        <w:rPr>
          <w:rFonts w:cs="Times New Roman"/>
          <w:b/>
          <w:bCs/>
          <w:sz w:val="28"/>
        </w:rPr>
        <w:t xml:space="preserve">: Letecká doprava </w:t>
      </w:r>
      <w:r>
        <w:rPr>
          <w:rFonts w:ascii="Times New Roman" w:hAnsi="Times New Roman" w:cs="Times New Roman"/>
          <w:sz w:val="28"/>
          <w:szCs w:val="28"/>
        </w:rPr>
        <w:t xml:space="preserve">– program 055 </w:t>
      </w:r>
      <w:r w:rsidRPr="00D50048">
        <w:rPr>
          <w:rFonts w:ascii="Times New Roman" w:hAnsi="Times New Roman" w:cs="Times New Roman"/>
          <w:sz w:val="28"/>
          <w:szCs w:val="28"/>
        </w:rPr>
        <w:t>–</w:t>
      </w:r>
      <w:r>
        <w:rPr>
          <w:rFonts w:ascii="Times New Roman" w:hAnsi="Times New Roman" w:cs="Times New Roman"/>
          <w:sz w:val="28"/>
          <w:szCs w:val="28"/>
        </w:rPr>
        <w:t xml:space="preserve"> Letecká doprava</w:t>
      </w:r>
      <w:r w:rsidRPr="00D50048">
        <w:rPr>
          <w:rFonts w:ascii="Times New Roman" w:hAnsi="Times New Roman" w:cs="Times New Roman"/>
          <w:sz w:val="28"/>
          <w:szCs w:val="28"/>
        </w:rPr>
        <w:t xml:space="preserve"> </w:t>
      </w:r>
    </w:p>
    <w:p w:rsidR="005119BE" w:rsidRPr="00D23807" w:rsidP="00C362EA">
      <w:pPr>
        <w:pStyle w:val="NormalIndent"/>
        <w:tabs>
          <w:tab w:val="left" w:pos="0"/>
        </w:tabs>
        <w:spacing w:line="240" w:lineRule="auto"/>
        <w:ind w:left="0"/>
        <w:rPr>
          <w:rFonts w:cs="Times New Roman"/>
        </w:rPr>
      </w:pPr>
    </w:p>
    <w:p w:rsidR="00684D28" w:rsidP="00C362EA">
      <w:pPr>
        <w:pStyle w:val="NormalIndent"/>
        <w:tabs>
          <w:tab w:val="left" w:pos="0"/>
        </w:tabs>
        <w:spacing w:line="240" w:lineRule="auto"/>
        <w:ind w:left="0"/>
        <w:rPr>
          <w:rFonts w:ascii="Times New Roman" w:hAnsi="Times New Roman" w:cs="Times New Roman"/>
          <w:b/>
          <w:bCs/>
        </w:rPr>
      </w:pPr>
      <w:r>
        <w:rPr>
          <w:rFonts w:ascii="Times New Roman" w:hAnsi="Times New Roman" w:cs="Times New Roman"/>
          <w:b/>
          <w:bCs/>
        </w:rPr>
        <w:t>Neinvestičné dotácie – bežné transfery (640) – Podprogram 05501 Zabezpečenie prevádzky leteckej dopravy a výstavba leteckej infraštruktúry</w:t>
      </w:r>
    </w:p>
    <w:p w:rsidR="00684D28" w:rsidRPr="00217D81" w:rsidP="00C362EA">
      <w:pPr>
        <w:pStyle w:val="NormalIndent"/>
        <w:tabs>
          <w:tab w:val="left" w:pos="0"/>
        </w:tabs>
        <w:spacing w:line="240" w:lineRule="auto"/>
        <w:ind w:left="0"/>
        <w:rPr>
          <w:rFonts w:ascii="Times New Roman" w:hAnsi="Times New Roman" w:cs="Times New Roman"/>
          <w:b/>
          <w:bCs/>
        </w:rPr>
      </w:pPr>
    </w:p>
    <w:p w:rsidR="00C219DD" w:rsidP="00DB311C">
      <w:pPr>
        <w:spacing w:line="240" w:lineRule="auto"/>
        <w:ind w:firstLine="709"/>
        <w:rPr>
          <w:rFonts w:ascii="Times New Roman" w:hAnsi="Times New Roman" w:cs="Times New Roman"/>
          <w:sz w:val="24"/>
          <w:szCs w:val="24"/>
        </w:rPr>
      </w:pPr>
      <w:r w:rsidRPr="008C3567" w:rsidR="00684D28">
        <w:rPr>
          <w:rFonts w:ascii="Times New Roman" w:hAnsi="Times New Roman" w:cs="Times New Roman"/>
          <w:sz w:val="24"/>
          <w:szCs w:val="24"/>
        </w:rPr>
        <w:t>Na základe zákon</w:t>
      </w:r>
      <w:r w:rsidRPr="008C3567" w:rsidR="005B08E1">
        <w:rPr>
          <w:rFonts w:ascii="Times New Roman" w:hAnsi="Times New Roman" w:cs="Times New Roman"/>
          <w:sz w:val="24"/>
          <w:szCs w:val="24"/>
        </w:rPr>
        <w:t>a o štátnom rozpočte na</w:t>
      </w:r>
      <w:r w:rsidRPr="008C3567" w:rsidR="00A8741B">
        <w:rPr>
          <w:rFonts w:ascii="Times New Roman" w:hAnsi="Times New Roman" w:cs="Times New Roman"/>
          <w:sz w:val="24"/>
          <w:szCs w:val="24"/>
        </w:rPr>
        <w:t xml:space="preserve"> rok 2007</w:t>
      </w:r>
      <w:r w:rsidRPr="008C3567" w:rsidR="00684D28">
        <w:rPr>
          <w:rFonts w:ascii="Times New Roman" w:hAnsi="Times New Roman" w:cs="Times New Roman"/>
          <w:sz w:val="24"/>
          <w:szCs w:val="24"/>
        </w:rPr>
        <w:t xml:space="preserve"> boli p</w:t>
      </w:r>
      <w:r w:rsidRPr="008C3567" w:rsidR="00A8741B">
        <w:rPr>
          <w:rFonts w:ascii="Times New Roman" w:hAnsi="Times New Roman" w:cs="Times New Roman"/>
          <w:sz w:val="24"/>
          <w:szCs w:val="24"/>
        </w:rPr>
        <w:t xml:space="preserve">re leteckú dopravu v Slovenskej republike </w:t>
      </w:r>
      <w:r w:rsidRPr="008C3567" w:rsidR="00684D28">
        <w:rPr>
          <w:rFonts w:ascii="Times New Roman" w:hAnsi="Times New Roman" w:cs="Times New Roman"/>
          <w:sz w:val="24"/>
          <w:szCs w:val="24"/>
        </w:rPr>
        <w:t xml:space="preserve">vyčlenené neinvestičné dotácie vo výške </w:t>
      </w:r>
      <w:r w:rsidRPr="008C3567" w:rsidR="00A8741B">
        <w:rPr>
          <w:rFonts w:ascii="Times New Roman" w:hAnsi="Times New Roman" w:cs="Times New Roman"/>
          <w:sz w:val="24"/>
          <w:szCs w:val="24"/>
        </w:rPr>
        <w:t>90</w:t>
      </w:r>
      <w:r w:rsidRPr="008C3567" w:rsidR="00684D28">
        <w:rPr>
          <w:rFonts w:ascii="Times New Roman" w:hAnsi="Times New Roman" w:cs="Times New Roman"/>
          <w:sz w:val="24"/>
          <w:szCs w:val="24"/>
        </w:rPr>
        <w:t> 000 000,- Sk</w:t>
      </w:r>
      <w:r w:rsidR="00EB5C51">
        <w:rPr>
          <w:rFonts w:ascii="Times New Roman" w:hAnsi="Times New Roman" w:cs="Times New Roman"/>
          <w:sz w:val="24"/>
          <w:szCs w:val="24"/>
        </w:rPr>
        <w:t>, ktoré boli v priebehu roka upravené</w:t>
      </w:r>
      <w:r w:rsidRPr="008C3567" w:rsidR="008C3567">
        <w:rPr>
          <w:rFonts w:ascii="Times New Roman" w:hAnsi="Times New Roman" w:cs="Times New Roman"/>
          <w:sz w:val="24"/>
          <w:szCs w:val="24"/>
        </w:rPr>
        <w:t xml:space="preserve"> rozpočtovými opatreniami k  31.12.2007 na </w:t>
      </w:r>
      <w:r w:rsidRPr="008C3567" w:rsidR="00A8741B">
        <w:rPr>
          <w:rFonts w:ascii="Times New Roman" w:hAnsi="Times New Roman" w:cs="Times New Roman"/>
          <w:sz w:val="24"/>
          <w:szCs w:val="24"/>
        </w:rPr>
        <w:t>119 100 000,- Sk</w:t>
      </w:r>
      <w:r w:rsidR="008C3567">
        <w:rPr>
          <w:rFonts w:ascii="Times New Roman" w:hAnsi="Times New Roman" w:cs="Times New Roman"/>
          <w:sz w:val="24"/>
          <w:szCs w:val="24"/>
        </w:rPr>
        <w:t>.</w:t>
      </w:r>
    </w:p>
    <w:p w:rsidR="00684D28" w:rsidRPr="00E03A1A" w:rsidP="00BD3A36">
      <w:pPr>
        <w:spacing w:line="240" w:lineRule="auto"/>
        <w:ind w:firstLine="709"/>
        <w:rPr>
          <w:rFonts w:ascii="Times New Roman" w:hAnsi="Times New Roman" w:cs="Times New Roman"/>
          <w:sz w:val="24"/>
          <w:szCs w:val="24"/>
        </w:rPr>
      </w:pPr>
      <w:r w:rsidRPr="00E03A1A">
        <w:rPr>
          <w:rFonts w:ascii="Times New Roman" w:hAnsi="Times New Roman" w:cs="Times New Roman"/>
          <w:sz w:val="24"/>
          <w:szCs w:val="24"/>
        </w:rPr>
        <w:t xml:space="preserve">V súlade s Výnosom MDPT SR č. 79/M-2005 o poskytnutí dotácií v oblasti civilného letectva zo dňa 19. januára </w:t>
      </w:r>
      <w:smartTag w:uri="urn:schemas-microsoft-com:office:smarttags" w:element="metricconverter">
        <w:smartTagPr>
          <w:attr w:name="ProductID" w:val="2005 a"/>
        </w:smartTagPr>
        <w:r w:rsidRPr="00E03A1A">
          <w:rPr>
            <w:rFonts w:ascii="Times New Roman" w:hAnsi="Times New Roman" w:cs="Times New Roman"/>
            <w:sz w:val="24"/>
            <w:szCs w:val="24"/>
          </w:rPr>
          <w:t>2005 a</w:t>
        </w:r>
      </w:smartTag>
      <w:r w:rsidRPr="00E03A1A">
        <w:rPr>
          <w:rFonts w:ascii="Times New Roman" w:hAnsi="Times New Roman" w:cs="Times New Roman"/>
          <w:sz w:val="24"/>
          <w:szCs w:val="24"/>
        </w:rPr>
        <w:t xml:space="preserve"> následne uzatvorených Zmlúv o poskytnutí dotácie z rozpočtovej k</w:t>
      </w:r>
      <w:r w:rsidR="00BD3A36">
        <w:rPr>
          <w:rFonts w:ascii="Times New Roman" w:hAnsi="Times New Roman" w:cs="Times New Roman"/>
          <w:sz w:val="24"/>
          <w:szCs w:val="24"/>
        </w:rPr>
        <w:t>apitoly MDPT SR boli v roku 2007</w:t>
      </w:r>
      <w:r w:rsidRPr="00E03A1A">
        <w:rPr>
          <w:rFonts w:ascii="Times New Roman" w:hAnsi="Times New Roman" w:cs="Times New Roman"/>
          <w:sz w:val="24"/>
          <w:szCs w:val="24"/>
        </w:rPr>
        <w:t xml:space="preserve"> po</w:t>
      </w:r>
      <w:r w:rsidR="00BD3A36">
        <w:rPr>
          <w:rFonts w:ascii="Times New Roman" w:hAnsi="Times New Roman" w:cs="Times New Roman"/>
          <w:sz w:val="24"/>
          <w:szCs w:val="24"/>
        </w:rPr>
        <w:t>skytnuté  dotácie  v  celkovej  výške 119 1</w:t>
      </w:r>
      <w:r w:rsidRPr="00E03A1A" w:rsidR="005B08E1">
        <w:rPr>
          <w:rFonts w:ascii="Times New Roman" w:hAnsi="Times New Roman" w:cs="Times New Roman"/>
          <w:sz w:val="24"/>
          <w:szCs w:val="24"/>
        </w:rPr>
        <w:t>00 000</w:t>
      </w:r>
      <w:r w:rsidRPr="00E03A1A">
        <w:rPr>
          <w:rFonts w:ascii="Times New Roman" w:hAnsi="Times New Roman" w:cs="Times New Roman"/>
          <w:sz w:val="24"/>
          <w:szCs w:val="24"/>
        </w:rPr>
        <w:t xml:space="preserve">,- Sk, </w:t>
      </w:r>
      <w:r w:rsidRPr="00E03A1A">
        <w:rPr>
          <w:rFonts w:ascii="Times New Roman" w:hAnsi="Times New Roman" w:cs="Times New Roman"/>
          <w:sz w:val="24"/>
          <w:szCs w:val="24"/>
          <w:u w:val="single"/>
        </w:rPr>
        <w:t>a to pre nasledovné subjekty</w:t>
      </w:r>
      <w:r w:rsidRPr="00E03A1A">
        <w:rPr>
          <w:rFonts w:ascii="Times New Roman" w:hAnsi="Times New Roman" w:cs="Times New Roman"/>
          <w:sz w:val="24"/>
          <w:szCs w:val="24"/>
        </w:rPr>
        <w:t xml:space="preserve">: </w:t>
      </w:r>
    </w:p>
    <w:p w:rsidR="00703772" w:rsidRPr="00703772" w:rsidP="00703772">
      <w:pPr>
        <w:pStyle w:val="PlainText"/>
        <w:spacing w:line="240" w:lineRule="auto"/>
        <w:rPr>
          <w:rFonts w:ascii="Times New Roman" w:hAnsi="Times New Roman" w:cs="Times New Roman"/>
          <w:sz w:val="24"/>
          <w:szCs w:val="24"/>
        </w:rPr>
      </w:pPr>
    </w:p>
    <w:p w:rsidR="00703772" w:rsidRPr="00D95A9C" w:rsidP="00D95A9C">
      <w:pPr>
        <w:pStyle w:val="PlainText"/>
        <w:spacing w:line="240" w:lineRule="auto"/>
        <w:rPr>
          <w:rFonts w:ascii="Times New Roman" w:hAnsi="Times New Roman" w:cs="Times New Roman"/>
          <w:sz w:val="24"/>
          <w:szCs w:val="24"/>
        </w:rPr>
      </w:pPr>
      <w:r w:rsidRPr="00D95A9C">
        <w:rPr>
          <w:rFonts w:ascii="Times New Roman" w:hAnsi="Times New Roman" w:cs="Times New Roman"/>
          <w:sz w:val="24"/>
          <w:szCs w:val="24"/>
        </w:rPr>
        <w:t>Účel:</w:t>
        <w:tab/>
        <w:t>a) Zabezpečenie bezpečnej prevádzky letiskovej infraštruktúry</w:t>
      </w:r>
      <w:r w:rsidRPr="00D95A9C" w:rsidR="003579B9">
        <w:rPr>
          <w:rFonts w:ascii="Times New Roman" w:hAnsi="Times New Roman" w:cs="Times New Roman"/>
          <w:sz w:val="24"/>
          <w:szCs w:val="24"/>
        </w:rPr>
        <w:t>.......</w:t>
      </w:r>
      <w:r w:rsidRPr="00D95A9C" w:rsidR="00BD3A36">
        <w:rPr>
          <w:rFonts w:ascii="Times New Roman" w:hAnsi="Times New Roman" w:cs="Times New Roman"/>
          <w:sz w:val="24"/>
          <w:szCs w:val="24"/>
        </w:rPr>
        <w:t>......55 050</w:t>
      </w:r>
      <w:r w:rsidRPr="00D95A9C" w:rsidR="003579B9">
        <w:rPr>
          <w:rFonts w:ascii="Times New Roman" w:hAnsi="Times New Roman" w:cs="Times New Roman"/>
          <w:sz w:val="24"/>
          <w:szCs w:val="24"/>
        </w:rPr>
        <w:t> 000,- Sk</w:t>
      </w:r>
    </w:p>
    <w:p w:rsidR="00703772" w:rsidP="00703772">
      <w:pPr>
        <w:spacing w:line="240" w:lineRule="auto"/>
        <w:ind w:firstLine="709"/>
        <w:rPr>
          <w:rFonts w:ascii="Times New Roman" w:hAnsi="Times New Roman" w:cs="Times New Roman"/>
          <w:sz w:val="24"/>
          <w:szCs w:val="24"/>
        </w:rPr>
      </w:pPr>
      <w:r>
        <w:rPr>
          <w:rFonts w:ascii="Times New Roman" w:hAnsi="Times New Roman" w:cs="Times New Roman"/>
          <w:sz w:val="24"/>
          <w:szCs w:val="24"/>
        </w:rPr>
        <w:t>Letisko Piešťany, a.s.,.................................................</w:t>
      </w:r>
      <w:r w:rsidR="00BD3A36">
        <w:rPr>
          <w:rFonts w:ascii="Times New Roman" w:hAnsi="Times New Roman" w:cs="Times New Roman"/>
          <w:sz w:val="24"/>
          <w:szCs w:val="24"/>
        </w:rPr>
        <w:t>...............................9</w:t>
      </w:r>
      <w:r>
        <w:rPr>
          <w:rFonts w:ascii="Times New Roman" w:hAnsi="Times New Roman" w:cs="Times New Roman"/>
          <w:sz w:val="24"/>
          <w:szCs w:val="24"/>
        </w:rPr>
        <w:t xml:space="preserve"> </w:t>
      </w:r>
      <w:r w:rsidR="00BD3A36">
        <w:rPr>
          <w:rFonts w:ascii="Times New Roman" w:hAnsi="Times New Roman" w:cs="Times New Roman"/>
          <w:sz w:val="24"/>
          <w:szCs w:val="24"/>
        </w:rPr>
        <w:t>467</w:t>
      </w:r>
      <w:r>
        <w:rPr>
          <w:rFonts w:ascii="Times New Roman" w:hAnsi="Times New Roman" w:cs="Times New Roman"/>
          <w:sz w:val="24"/>
          <w:szCs w:val="24"/>
        </w:rPr>
        <w:t> 000,- Sk</w:t>
      </w:r>
    </w:p>
    <w:p w:rsidR="00703772" w:rsidRPr="00703772" w:rsidP="00703772">
      <w:pPr>
        <w:spacing w:line="240" w:lineRule="auto"/>
        <w:ind w:firstLine="709"/>
        <w:rPr>
          <w:rFonts w:ascii="Times New Roman" w:hAnsi="Times New Roman" w:cs="Times New Roman"/>
          <w:sz w:val="24"/>
          <w:szCs w:val="24"/>
        </w:rPr>
      </w:pPr>
      <w:r w:rsidRPr="00703772">
        <w:rPr>
          <w:rFonts w:ascii="Times New Roman" w:hAnsi="Times New Roman" w:cs="Times New Roman"/>
          <w:sz w:val="24"/>
          <w:szCs w:val="24"/>
        </w:rPr>
        <w:t>Letisková</w:t>
      </w:r>
      <w:r>
        <w:rPr>
          <w:rFonts w:ascii="Times New Roman" w:hAnsi="Times New Roman" w:cs="Times New Roman"/>
          <w:sz w:val="24"/>
          <w:szCs w:val="24"/>
        </w:rPr>
        <w:t xml:space="preserve"> spoločnosť Žilina, a.s.,...............................</w:t>
      </w:r>
      <w:r w:rsidR="00BD3A36">
        <w:rPr>
          <w:rFonts w:ascii="Times New Roman" w:hAnsi="Times New Roman" w:cs="Times New Roman"/>
          <w:sz w:val="24"/>
          <w:szCs w:val="24"/>
        </w:rPr>
        <w:t>.............................26 500</w:t>
      </w:r>
      <w:r>
        <w:rPr>
          <w:rFonts w:ascii="Times New Roman" w:hAnsi="Times New Roman" w:cs="Times New Roman"/>
          <w:sz w:val="24"/>
          <w:szCs w:val="24"/>
        </w:rPr>
        <w:t> 000,- Sk</w:t>
        <w:tab/>
        <w:t>Letisko Sliač, a.s.,........................................................</w:t>
      </w:r>
      <w:r w:rsidR="00BD3A36">
        <w:rPr>
          <w:rFonts w:ascii="Times New Roman" w:hAnsi="Times New Roman" w:cs="Times New Roman"/>
          <w:sz w:val="24"/>
          <w:szCs w:val="24"/>
        </w:rPr>
        <w:t>..............................9 530</w:t>
      </w:r>
      <w:r>
        <w:rPr>
          <w:rFonts w:ascii="Times New Roman" w:hAnsi="Times New Roman" w:cs="Times New Roman"/>
          <w:sz w:val="24"/>
          <w:szCs w:val="24"/>
        </w:rPr>
        <w:t xml:space="preserve"> 000,- Sk </w:t>
      </w:r>
    </w:p>
    <w:p w:rsidR="00703772" w:rsidRPr="00703772" w:rsidP="00DB311C">
      <w:pPr>
        <w:spacing w:line="240" w:lineRule="auto"/>
        <w:ind w:firstLine="709"/>
        <w:rPr>
          <w:rFonts w:ascii="Times New Roman" w:hAnsi="Times New Roman" w:cs="Times New Roman"/>
          <w:sz w:val="24"/>
          <w:szCs w:val="24"/>
        </w:rPr>
      </w:pPr>
      <w:r w:rsidRPr="00703772">
        <w:rPr>
          <w:rFonts w:ascii="Times New Roman" w:hAnsi="Times New Roman" w:cs="Times New Roman"/>
          <w:sz w:val="24"/>
          <w:szCs w:val="24"/>
        </w:rPr>
        <w:t>Letisko Po</w:t>
      </w:r>
      <w:r>
        <w:rPr>
          <w:rFonts w:ascii="Times New Roman" w:hAnsi="Times New Roman" w:cs="Times New Roman"/>
          <w:sz w:val="24"/>
          <w:szCs w:val="24"/>
        </w:rPr>
        <w:t>prad – Tatry, a.s.,.......................................</w:t>
      </w:r>
      <w:r w:rsidR="00BD3A36">
        <w:rPr>
          <w:rFonts w:ascii="Times New Roman" w:hAnsi="Times New Roman" w:cs="Times New Roman"/>
          <w:sz w:val="24"/>
          <w:szCs w:val="24"/>
        </w:rPr>
        <w:t>.............................9 553</w:t>
      </w:r>
      <w:r>
        <w:rPr>
          <w:rFonts w:ascii="Times New Roman" w:hAnsi="Times New Roman" w:cs="Times New Roman"/>
          <w:sz w:val="24"/>
          <w:szCs w:val="24"/>
        </w:rPr>
        <w:t xml:space="preserve"> 000,- Sk </w:t>
      </w:r>
      <w:r w:rsidRPr="00703772">
        <w:rPr>
          <w:rFonts w:ascii="Times New Roman" w:hAnsi="Times New Roman" w:cs="Times New Roman"/>
          <w:sz w:val="24"/>
          <w:szCs w:val="24"/>
        </w:rPr>
        <w:tab/>
      </w:r>
    </w:p>
    <w:p w:rsidR="00DB311C" w:rsidRPr="00703772" w:rsidP="00703772">
      <w:pPr>
        <w:spacing w:line="240" w:lineRule="auto"/>
        <w:rPr>
          <w:rFonts w:ascii="Times New Roman" w:hAnsi="Times New Roman" w:cs="Times New Roman"/>
          <w:sz w:val="24"/>
          <w:szCs w:val="24"/>
        </w:rPr>
      </w:pPr>
      <w:r w:rsidR="00BD3A36">
        <w:rPr>
          <w:rFonts w:ascii="Times New Roman" w:hAnsi="Times New Roman" w:cs="Times New Roman"/>
          <w:sz w:val="24"/>
          <w:szCs w:val="24"/>
        </w:rPr>
        <w:tab/>
        <w:t xml:space="preserve">b) Správa, </w:t>
      </w:r>
      <w:r w:rsidRPr="00703772" w:rsidR="00703772">
        <w:rPr>
          <w:rFonts w:ascii="Times New Roman" w:hAnsi="Times New Roman" w:cs="Times New Roman"/>
          <w:sz w:val="24"/>
          <w:szCs w:val="24"/>
        </w:rPr>
        <w:t>údržba a zhodnocovanie letiskovej infraštruktúry</w:t>
      </w:r>
      <w:r w:rsidR="00BD3A36">
        <w:rPr>
          <w:rFonts w:ascii="Times New Roman" w:hAnsi="Times New Roman" w:cs="Times New Roman"/>
          <w:sz w:val="24"/>
          <w:szCs w:val="24"/>
        </w:rPr>
        <w:t>...................4 800</w:t>
      </w:r>
      <w:r w:rsidR="003579B9">
        <w:rPr>
          <w:rFonts w:ascii="Times New Roman" w:hAnsi="Times New Roman" w:cs="Times New Roman"/>
          <w:sz w:val="24"/>
          <w:szCs w:val="24"/>
        </w:rPr>
        <w:t> 000,- Sk</w:t>
      </w:r>
    </w:p>
    <w:p w:rsidR="00703772" w:rsidRPr="00703772" w:rsidP="00703772">
      <w:pPr>
        <w:spacing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Trnavský samosprávny kraj.......................................................................1 </w:t>
      </w:r>
      <w:r w:rsidR="00BD3A36">
        <w:rPr>
          <w:rFonts w:ascii="Times New Roman" w:hAnsi="Times New Roman" w:cs="Times New Roman"/>
          <w:sz w:val="24"/>
          <w:szCs w:val="24"/>
        </w:rPr>
        <w:t>200</w:t>
      </w:r>
      <w:r>
        <w:rPr>
          <w:rFonts w:ascii="Times New Roman" w:hAnsi="Times New Roman" w:cs="Times New Roman"/>
          <w:sz w:val="24"/>
          <w:szCs w:val="24"/>
        </w:rPr>
        <w:t> 000,- Sk</w:t>
      </w:r>
    </w:p>
    <w:p w:rsidR="00703772" w:rsidRPr="00703772" w:rsidP="00703772">
      <w:pPr>
        <w:spacing w:line="240" w:lineRule="auto"/>
        <w:ind w:firstLine="709"/>
        <w:rPr>
          <w:rFonts w:ascii="Times New Roman" w:hAnsi="Times New Roman" w:cs="Times New Roman"/>
          <w:sz w:val="24"/>
          <w:szCs w:val="24"/>
        </w:rPr>
      </w:pPr>
      <w:r>
        <w:rPr>
          <w:rFonts w:ascii="Times New Roman" w:hAnsi="Times New Roman" w:cs="Times New Roman"/>
          <w:sz w:val="24"/>
          <w:szCs w:val="24"/>
        </w:rPr>
        <w:t>Žilinský samosprávny kraj.........................................................................1 </w:t>
      </w:r>
      <w:r w:rsidRPr="00703772">
        <w:rPr>
          <w:rFonts w:ascii="Times New Roman" w:hAnsi="Times New Roman" w:cs="Times New Roman"/>
          <w:sz w:val="24"/>
          <w:szCs w:val="24"/>
        </w:rPr>
        <w:t>553</w:t>
      </w:r>
      <w:r>
        <w:rPr>
          <w:rFonts w:ascii="Times New Roman" w:hAnsi="Times New Roman" w:cs="Times New Roman"/>
          <w:sz w:val="24"/>
          <w:szCs w:val="24"/>
        </w:rPr>
        <w:t> 000,- Sk</w:t>
      </w:r>
    </w:p>
    <w:p w:rsidR="00703772" w:rsidRPr="00703772" w:rsidP="00703772">
      <w:pPr>
        <w:spacing w:line="240" w:lineRule="auto"/>
        <w:ind w:firstLine="709"/>
        <w:rPr>
          <w:rFonts w:ascii="Times New Roman" w:hAnsi="Times New Roman" w:cs="Times New Roman"/>
          <w:sz w:val="24"/>
          <w:szCs w:val="24"/>
        </w:rPr>
      </w:pPr>
      <w:r>
        <w:rPr>
          <w:rFonts w:ascii="Times New Roman" w:hAnsi="Times New Roman" w:cs="Times New Roman"/>
          <w:sz w:val="24"/>
          <w:szCs w:val="24"/>
        </w:rPr>
        <w:t>Prešovský samosprávny kraj......................................................................2 </w:t>
      </w:r>
      <w:r w:rsidR="00BD3A36">
        <w:rPr>
          <w:rFonts w:ascii="Times New Roman" w:hAnsi="Times New Roman" w:cs="Times New Roman"/>
          <w:sz w:val="24"/>
          <w:szCs w:val="24"/>
        </w:rPr>
        <w:t>047</w:t>
      </w:r>
      <w:r>
        <w:rPr>
          <w:rFonts w:ascii="Times New Roman" w:hAnsi="Times New Roman" w:cs="Times New Roman"/>
          <w:sz w:val="24"/>
          <w:szCs w:val="24"/>
        </w:rPr>
        <w:t xml:space="preserve"> 000,- Sk </w:t>
      </w:r>
    </w:p>
    <w:p w:rsidR="00703772" w:rsidRPr="00703772" w:rsidP="00703772">
      <w:pPr>
        <w:spacing w:line="240" w:lineRule="auto"/>
        <w:rPr>
          <w:rFonts w:ascii="Times New Roman" w:hAnsi="Times New Roman" w:cs="Times New Roman"/>
          <w:sz w:val="24"/>
          <w:szCs w:val="24"/>
        </w:rPr>
      </w:pPr>
    </w:p>
    <w:p w:rsidR="00703772" w:rsidRPr="00703772" w:rsidP="00703772">
      <w:pPr>
        <w:spacing w:line="240" w:lineRule="auto"/>
        <w:rPr>
          <w:rFonts w:ascii="Times New Roman" w:hAnsi="Times New Roman" w:cs="Times New Roman"/>
          <w:sz w:val="24"/>
          <w:szCs w:val="24"/>
        </w:rPr>
      </w:pPr>
      <w:r w:rsidRPr="00703772">
        <w:rPr>
          <w:rFonts w:ascii="Times New Roman" w:hAnsi="Times New Roman" w:cs="Times New Roman"/>
          <w:sz w:val="24"/>
          <w:szCs w:val="24"/>
        </w:rPr>
        <w:tab/>
        <w:t>c) Bezpečnostná ochrana letísk</w:t>
      </w:r>
      <w:r w:rsidR="003579B9">
        <w:rPr>
          <w:rFonts w:ascii="Times New Roman" w:hAnsi="Times New Roman" w:cs="Times New Roman"/>
          <w:sz w:val="24"/>
          <w:szCs w:val="24"/>
        </w:rPr>
        <w:t>........................................................</w:t>
      </w:r>
      <w:r w:rsidR="00BD3A36">
        <w:rPr>
          <w:rFonts w:ascii="Times New Roman" w:hAnsi="Times New Roman" w:cs="Times New Roman"/>
          <w:sz w:val="24"/>
          <w:szCs w:val="24"/>
        </w:rPr>
        <w:t>........57</w:t>
      </w:r>
      <w:r w:rsidR="003579B9">
        <w:rPr>
          <w:rFonts w:ascii="Times New Roman" w:hAnsi="Times New Roman" w:cs="Times New Roman"/>
          <w:sz w:val="24"/>
          <w:szCs w:val="24"/>
        </w:rPr>
        <w:t xml:space="preserve"> 000 000,- Sk</w:t>
      </w:r>
    </w:p>
    <w:p w:rsidR="00703772" w:rsidRPr="00703772" w:rsidP="003579B9">
      <w:pPr>
        <w:spacing w:line="240" w:lineRule="auto"/>
        <w:ind w:firstLine="709"/>
        <w:rPr>
          <w:rFonts w:ascii="Times New Roman" w:hAnsi="Times New Roman" w:cs="Times New Roman"/>
          <w:sz w:val="24"/>
          <w:szCs w:val="24"/>
        </w:rPr>
      </w:pPr>
      <w:r w:rsidRPr="00703772">
        <w:rPr>
          <w:rFonts w:ascii="Times New Roman" w:hAnsi="Times New Roman" w:cs="Times New Roman"/>
          <w:sz w:val="24"/>
          <w:szCs w:val="24"/>
        </w:rPr>
        <w:t xml:space="preserve">Letisko M. R. Štefánika – Airport </w:t>
      </w:r>
      <w:r w:rsidR="003579B9">
        <w:rPr>
          <w:rFonts w:ascii="Times New Roman" w:hAnsi="Times New Roman" w:cs="Times New Roman"/>
          <w:sz w:val="24"/>
          <w:szCs w:val="24"/>
        </w:rPr>
        <w:t>Bratislava (BTS), a.s.,.......................</w:t>
      </w:r>
      <w:r w:rsidR="00BD3A36">
        <w:rPr>
          <w:rFonts w:ascii="Times New Roman" w:hAnsi="Times New Roman" w:cs="Times New Roman"/>
          <w:sz w:val="24"/>
          <w:szCs w:val="24"/>
        </w:rPr>
        <w:t>35</w:t>
      </w:r>
      <w:r>
        <w:rPr>
          <w:rFonts w:ascii="Times New Roman" w:hAnsi="Times New Roman" w:cs="Times New Roman"/>
          <w:sz w:val="24"/>
          <w:szCs w:val="24"/>
        </w:rPr>
        <w:t> </w:t>
      </w:r>
      <w:r w:rsidR="00BD3A36">
        <w:rPr>
          <w:rFonts w:ascii="Times New Roman" w:hAnsi="Times New Roman" w:cs="Times New Roman"/>
          <w:sz w:val="24"/>
          <w:szCs w:val="24"/>
        </w:rPr>
        <w:t>000</w:t>
      </w:r>
      <w:r>
        <w:rPr>
          <w:rFonts w:ascii="Times New Roman" w:hAnsi="Times New Roman" w:cs="Times New Roman"/>
          <w:sz w:val="24"/>
          <w:szCs w:val="24"/>
        </w:rPr>
        <w:t> 000,</w:t>
      </w:r>
      <w:r w:rsidR="003579B9">
        <w:rPr>
          <w:rFonts w:ascii="Times New Roman" w:hAnsi="Times New Roman" w:cs="Times New Roman"/>
          <w:sz w:val="24"/>
          <w:szCs w:val="24"/>
        </w:rPr>
        <w:t>- Sk</w:t>
        <w:tab/>
      </w:r>
      <w:r w:rsidRPr="00703772">
        <w:rPr>
          <w:rFonts w:ascii="Times New Roman" w:hAnsi="Times New Roman" w:cs="Times New Roman"/>
          <w:sz w:val="24"/>
          <w:szCs w:val="24"/>
        </w:rPr>
        <w:t>Let</w:t>
      </w:r>
      <w:r w:rsidR="003579B9">
        <w:rPr>
          <w:rFonts w:ascii="Times New Roman" w:hAnsi="Times New Roman" w:cs="Times New Roman"/>
          <w:sz w:val="24"/>
          <w:szCs w:val="24"/>
        </w:rPr>
        <w:t>isko Piešťany, a.s.,................................................................................</w:t>
      </w:r>
      <w:r>
        <w:rPr>
          <w:rFonts w:ascii="Times New Roman" w:hAnsi="Times New Roman" w:cs="Times New Roman"/>
          <w:sz w:val="24"/>
          <w:szCs w:val="24"/>
        </w:rPr>
        <w:t>1</w:t>
      </w:r>
      <w:r w:rsidR="003579B9">
        <w:rPr>
          <w:rFonts w:ascii="Times New Roman" w:hAnsi="Times New Roman" w:cs="Times New Roman"/>
          <w:sz w:val="24"/>
          <w:szCs w:val="24"/>
        </w:rPr>
        <w:t> </w:t>
      </w:r>
      <w:r w:rsidR="00BD3A36">
        <w:rPr>
          <w:rFonts w:ascii="Times New Roman" w:hAnsi="Times New Roman" w:cs="Times New Roman"/>
          <w:sz w:val="24"/>
          <w:szCs w:val="24"/>
        </w:rPr>
        <w:t>900</w:t>
      </w:r>
      <w:r w:rsidR="003579B9">
        <w:rPr>
          <w:rFonts w:ascii="Times New Roman" w:hAnsi="Times New Roman" w:cs="Times New Roman"/>
          <w:sz w:val="24"/>
          <w:szCs w:val="24"/>
        </w:rPr>
        <w:t> 000,- Sk</w:t>
        <w:tab/>
      </w:r>
      <w:r w:rsidRPr="00703772">
        <w:rPr>
          <w:rFonts w:ascii="Times New Roman" w:hAnsi="Times New Roman" w:cs="Times New Roman"/>
          <w:sz w:val="24"/>
          <w:szCs w:val="24"/>
        </w:rPr>
        <w:t>Le</w:t>
      </w:r>
      <w:r w:rsidR="003579B9">
        <w:rPr>
          <w:rFonts w:ascii="Times New Roman" w:hAnsi="Times New Roman" w:cs="Times New Roman"/>
          <w:sz w:val="24"/>
          <w:szCs w:val="24"/>
        </w:rPr>
        <w:t>tisková spoločnosť Žilina, a.s.,..............................................................</w:t>
      </w:r>
      <w:r>
        <w:rPr>
          <w:rFonts w:ascii="Times New Roman" w:hAnsi="Times New Roman" w:cs="Times New Roman"/>
          <w:sz w:val="24"/>
          <w:szCs w:val="24"/>
        </w:rPr>
        <w:t>2</w:t>
      </w:r>
      <w:r w:rsidR="003579B9">
        <w:rPr>
          <w:rFonts w:ascii="Times New Roman" w:hAnsi="Times New Roman" w:cs="Times New Roman"/>
          <w:sz w:val="24"/>
          <w:szCs w:val="24"/>
        </w:rPr>
        <w:t> </w:t>
      </w:r>
      <w:r w:rsidR="00BD3A36">
        <w:rPr>
          <w:rFonts w:ascii="Times New Roman" w:hAnsi="Times New Roman" w:cs="Times New Roman"/>
          <w:sz w:val="24"/>
          <w:szCs w:val="24"/>
        </w:rPr>
        <w:t>800</w:t>
      </w:r>
      <w:r w:rsidR="003579B9">
        <w:rPr>
          <w:rFonts w:ascii="Times New Roman" w:hAnsi="Times New Roman" w:cs="Times New Roman"/>
          <w:sz w:val="24"/>
          <w:szCs w:val="24"/>
        </w:rPr>
        <w:t> 000,- Sk</w:t>
      </w:r>
    </w:p>
    <w:p w:rsidR="00703772" w:rsidRPr="00703772" w:rsidP="00703772">
      <w:pPr>
        <w:spacing w:line="240" w:lineRule="auto"/>
        <w:ind w:firstLine="709"/>
        <w:rPr>
          <w:rFonts w:ascii="Times New Roman" w:hAnsi="Times New Roman" w:cs="Times New Roman"/>
          <w:sz w:val="24"/>
          <w:szCs w:val="24"/>
        </w:rPr>
      </w:pPr>
      <w:r w:rsidR="003579B9">
        <w:rPr>
          <w:rFonts w:ascii="Times New Roman" w:hAnsi="Times New Roman" w:cs="Times New Roman"/>
          <w:sz w:val="24"/>
          <w:szCs w:val="24"/>
        </w:rPr>
        <w:t>Letisko Sliač, a.s.,......................................................................................</w:t>
      </w:r>
      <w:r w:rsidR="00BD3A36">
        <w:rPr>
          <w:rFonts w:ascii="Times New Roman" w:hAnsi="Times New Roman" w:cs="Times New Roman"/>
          <w:sz w:val="24"/>
          <w:szCs w:val="24"/>
        </w:rPr>
        <w:t>2 030</w:t>
      </w:r>
      <w:r w:rsidR="003579B9">
        <w:rPr>
          <w:rFonts w:ascii="Times New Roman" w:hAnsi="Times New Roman" w:cs="Times New Roman"/>
          <w:sz w:val="24"/>
          <w:szCs w:val="24"/>
        </w:rPr>
        <w:t> 000,- Sk</w:t>
      </w:r>
    </w:p>
    <w:p w:rsidR="00703772" w:rsidRPr="00703772" w:rsidP="00703772">
      <w:pPr>
        <w:spacing w:line="240" w:lineRule="auto"/>
        <w:ind w:firstLine="709"/>
        <w:rPr>
          <w:rFonts w:ascii="Times New Roman" w:hAnsi="Times New Roman" w:cs="Times New Roman"/>
          <w:sz w:val="24"/>
          <w:szCs w:val="24"/>
        </w:rPr>
      </w:pPr>
      <w:r w:rsidR="003579B9">
        <w:rPr>
          <w:rFonts w:ascii="Times New Roman" w:hAnsi="Times New Roman" w:cs="Times New Roman"/>
          <w:sz w:val="24"/>
          <w:szCs w:val="24"/>
        </w:rPr>
        <w:t>Letisko Poprad – Tatry, a.s.,......................................................................</w:t>
      </w:r>
      <w:r>
        <w:rPr>
          <w:rFonts w:ascii="Times New Roman" w:hAnsi="Times New Roman" w:cs="Times New Roman"/>
          <w:sz w:val="24"/>
          <w:szCs w:val="24"/>
        </w:rPr>
        <w:t>3</w:t>
      </w:r>
      <w:r w:rsidR="003579B9">
        <w:rPr>
          <w:rFonts w:ascii="Times New Roman" w:hAnsi="Times New Roman" w:cs="Times New Roman"/>
          <w:sz w:val="24"/>
          <w:szCs w:val="24"/>
        </w:rPr>
        <w:t> </w:t>
      </w:r>
      <w:r w:rsidR="00BD3A36">
        <w:rPr>
          <w:rFonts w:ascii="Times New Roman" w:hAnsi="Times New Roman" w:cs="Times New Roman"/>
          <w:sz w:val="24"/>
          <w:szCs w:val="24"/>
        </w:rPr>
        <w:t>130</w:t>
      </w:r>
      <w:r w:rsidR="003579B9">
        <w:rPr>
          <w:rFonts w:ascii="Times New Roman" w:hAnsi="Times New Roman" w:cs="Times New Roman"/>
          <w:sz w:val="24"/>
          <w:szCs w:val="24"/>
        </w:rPr>
        <w:t> 000,- Sk</w:t>
      </w:r>
    </w:p>
    <w:p w:rsidR="00703772" w:rsidRPr="00703772" w:rsidP="00703772">
      <w:pPr>
        <w:spacing w:line="240" w:lineRule="auto"/>
        <w:ind w:firstLine="709"/>
        <w:rPr>
          <w:rFonts w:ascii="Times New Roman" w:hAnsi="Times New Roman" w:cs="Times New Roman"/>
          <w:sz w:val="24"/>
          <w:szCs w:val="24"/>
        </w:rPr>
      </w:pPr>
      <w:r w:rsidRPr="00703772">
        <w:rPr>
          <w:rFonts w:ascii="Times New Roman" w:hAnsi="Times New Roman" w:cs="Times New Roman"/>
          <w:sz w:val="24"/>
          <w:szCs w:val="24"/>
        </w:rPr>
        <w:t xml:space="preserve">Letisko Košice – Airport </w:t>
      </w:r>
      <w:r>
        <w:rPr>
          <w:rFonts w:ascii="Times New Roman" w:hAnsi="Times New Roman" w:cs="Times New Roman"/>
          <w:sz w:val="24"/>
          <w:szCs w:val="24"/>
        </w:rPr>
        <w:t>Košice, a.s.,</w:t>
      </w:r>
      <w:r w:rsidR="003579B9">
        <w:rPr>
          <w:rFonts w:ascii="Times New Roman" w:hAnsi="Times New Roman" w:cs="Times New Roman"/>
          <w:sz w:val="24"/>
          <w:szCs w:val="24"/>
        </w:rPr>
        <w:t>.....................................................</w:t>
      </w:r>
      <w:r>
        <w:rPr>
          <w:rFonts w:ascii="Times New Roman" w:hAnsi="Times New Roman" w:cs="Times New Roman"/>
          <w:sz w:val="24"/>
          <w:szCs w:val="24"/>
        </w:rPr>
        <w:t xml:space="preserve">12 </w:t>
      </w:r>
      <w:r w:rsidR="00BD3A36">
        <w:rPr>
          <w:rFonts w:ascii="Times New Roman" w:hAnsi="Times New Roman" w:cs="Times New Roman"/>
          <w:sz w:val="24"/>
          <w:szCs w:val="24"/>
        </w:rPr>
        <w:t>140</w:t>
      </w:r>
      <w:r w:rsidR="003579B9">
        <w:rPr>
          <w:rFonts w:ascii="Times New Roman" w:hAnsi="Times New Roman" w:cs="Times New Roman"/>
          <w:sz w:val="24"/>
          <w:szCs w:val="24"/>
        </w:rPr>
        <w:t> 000,- Sk</w:t>
      </w:r>
    </w:p>
    <w:p w:rsidR="00703772" w:rsidRPr="00703772" w:rsidP="00703772">
      <w:pPr>
        <w:spacing w:line="240" w:lineRule="auto"/>
        <w:rPr>
          <w:rFonts w:ascii="Times New Roman" w:hAnsi="Times New Roman" w:cs="Times New Roman"/>
          <w:sz w:val="24"/>
          <w:szCs w:val="24"/>
        </w:rPr>
      </w:pPr>
      <w:r w:rsidRPr="00703772">
        <w:rPr>
          <w:rFonts w:ascii="Times New Roman" w:hAnsi="Times New Roman" w:cs="Times New Roman"/>
          <w:sz w:val="24"/>
          <w:szCs w:val="24"/>
        </w:rPr>
        <w:tab/>
        <w:tab/>
        <w:tab/>
      </w:r>
    </w:p>
    <w:p w:rsidR="00703772" w:rsidRPr="00703772" w:rsidP="00703772">
      <w:pPr>
        <w:spacing w:line="240" w:lineRule="auto"/>
        <w:rPr>
          <w:rFonts w:ascii="Times New Roman" w:hAnsi="Times New Roman" w:cs="Times New Roman"/>
          <w:sz w:val="24"/>
          <w:szCs w:val="24"/>
        </w:rPr>
      </w:pPr>
      <w:r w:rsidRPr="00703772">
        <w:rPr>
          <w:rFonts w:ascii="Times New Roman" w:hAnsi="Times New Roman" w:cs="Times New Roman"/>
          <w:sz w:val="24"/>
          <w:szCs w:val="24"/>
        </w:rPr>
        <w:tab/>
        <w:t>d) Riadenie a vybavovanie letov oslobodených od odplát</w:t>
      </w:r>
      <w:r w:rsidR="003579B9">
        <w:rPr>
          <w:rFonts w:ascii="Times New Roman" w:hAnsi="Times New Roman" w:cs="Times New Roman"/>
          <w:sz w:val="24"/>
          <w:szCs w:val="24"/>
        </w:rPr>
        <w:t>.................</w:t>
      </w:r>
      <w:r w:rsidR="00BD3A36">
        <w:rPr>
          <w:rFonts w:ascii="Times New Roman" w:hAnsi="Times New Roman" w:cs="Times New Roman"/>
          <w:sz w:val="24"/>
          <w:szCs w:val="24"/>
        </w:rPr>
        <w:t>.......2 250 000</w:t>
      </w:r>
      <w:r w:rsidR="003579B9">
        <w:rPr>
          <w:rFonts w:ascii="Times New Roman" w:hAnsi="Times New Roman" w:cs="Times New Roman"/>
          <w:sz w:val="24"/>
          <w:szCs w:val="24"/>
        </w:rPr>
        <w:t>,- Sk</w:t>
      </w:r>
    </w:p>
    <w:p w:rsidR="00703772" w:rsidRPr="00703772" w:rsidP="003579B9">
      <w:pPr>
        <w:spacing w:line="240" w:lineRule="auto"/>
        <w:ind w:firstLine="709"/>
        <w:rPr>
          <w:rFonts w:ascii="Times New Roman" w:hAnsi="Times New Roman" w:cs="Times New Roman"/>
          <w:sz w:val="24"/>
          <w:szCs w:val="24"/>
        </w:rPr>
      </w:pPr>
      <w:r w:rsidRPr="00703772">
        <w:rPr>
          <w:rFonts w:ascii="Times New Roman" w:hAnsi="Times New Roman" w:cs="Times New Roman"/>
          <w:sz w:val="24"/>
          <w:szCs w:val="24"/>
        </w:rPr>
        <w:t>Letisko M. R. Štefánika – Airport</w:t>
      </w:r>
      <w:r w:rsidRPr="003579B9" w:rsidR="003579B9">
        <w:rPr>
          <w:rFonts w:ascii="Times New Roman" w:hAnsi="Times New Roman" w:cs="Times New Roman"/>
          <w:sz w:val="24"/>
          <w:szCs w:val="24"/>
        </w:rPr>
        <w:t xml:space="preserve"> </w:t>
      </w:r>
      <w:r w:rsidR="003579B9">
        <w:rPr>
          <w:rFonts w:ascii="Times New Roman" w:hAnsi="Times New Roman" w:cs="Times New Roman"/>
          <w:sz w:val="24"/>
          <w:szCs w:val="24"/>
        </w:rPr>
        <w:t>Bratislava (BTS),</w:t>
      </w:r>
      <w:r w:rsidR="00BD3A36">
        <w:rPr>
          <w:rFonts w:ascii="Times New Roman" w:hAnsi="Times New Roman" w:cs="Times New Roman"/>
          <w:sz w:val="24"/>
          <w:szCs w:val="24"/>
        </w:rPr>
        <w:t xml:space="preserve"> a.s.,.........................1</w:t>
      </w:r>
      <w:r w:rsidR="003579B9">
        <w:rPr>
          <w:rFonts w:ascii="Times New Roman" w:hAnsi="Times New Roman" w:cs="Times New Roman"/>
          <w:sz w:val="24"/>
          <w:szCs w:val="24"/>
        </w:rPr>
        <w:t> </w:t>
      </w:r>
      <w:r w:rsidR="00BD3A36">
        <w:rPr>
          <w:rFonts w:ascii="Times New Roman" w:hAnsi="Times New Roman" w:cs="Times New Roman"/>
          <w:sz w:val="24"/>
          <w:szCs w:val="24"/>
        </w:rPr>
        <w:t>27</w:t>
      </w:r>
      <w:r w:rsidRPr="00703772" w:rsidR="003579B9">
        <w:rPr>
          <w:rFonts w:ascii="Times New Roman" w:hAnsi="Times New Roman" w:cs="Times New Roman"/>
          <w:sz w:val="24"/>
          <w:szCs w:val="24"/>
        </w:rPr>
        <w:t>4</w:t>
      </w:r>
      <w:r w:rsidR="003579B9">
        <w:rPr>
          <w:rFonts w:ascii="Times New Roman" w:hAnsi="Times New Roman" w:cs="Times New Roman"/>
          <w:sz w:val="24"/>
          <w:szCs w:val="24"/>
        </w:rPr>
        <w:t> 000,- Sk</w:t>
      </w:r>
      <w:r w:rsidRPr="00703772" w:rsidR="003579B9">
        <w:rPr>
          <w:rFonts w:ascii="Times New Roman" w:hAnsi="Times New Roman" w:cs="Times New Roman"/>
          <w:sz w:val="24"/>
          <w:szCs w:val="24"/>
        </w:rPr>
        <w:tab/>
      </w:r>
      <w:r w:rsidR="003579B9">
        <w:rPr>
          <w:rFonts w:ascii="Times New Roman" w:hAnsi="Times New Roman" w:cs="Times New Roman"/>
          <w:sz w:val="24"/>
          <w:szCs w:val="24"/>
        </w:rPr>
        <w:t>Letisko Piešťany, a.s.,...................................................................................</w:t>
      </w:r>
      <w:r w:rsidRPr="00703772">
        <w:rPr>
          <w:rFonts w:ascii="Times New Roman" w:hAnsi="Times New Roman" w:cs="Times New Roman"/>
          <w:sz w:val="24"/>
          <w:szCs w:val="24"/>
        </w:rPr>
        <w:t>1</w:t>
      </w:r>
      <w:r w:rsidR="00BD3A36">
        <w:rPr>
          <w:rFonts w:ascii="Times New Roman" w:hAnsi="Times New Roman" w:cs="Times New Roman"/>
          <w:sz w:val="24"/>
          <w:szCs w:val="24"/>
        </w:rPr>
        <w:t>00</w:t>
      </w:r>
      <w:r w:rsidR="003579B9">
        <w:rPr>
          <w:rFonts w:ascii="Times New Roman" w:hAnsi="Times New Roman" w:cs="Times New Roman"/>
          <w:sz w:val="24"/>
          <w:szCs w:val="24"/>
        </w:rPr>
        <w:t> </w:t>
      </w:r>
      <w:r w:rsidR="00BD3A36">
        <w:rPr>
          <w:rFonts w:ascii="Times New Roman" w:hAnsi="Times New Roman" w:cs="Times New Roman"/>
          <w:sz w:val="24"/>
          <w:szCs w:val="24"/>
        </w:rPr>
        <w:t>0</w:t>
      </w:r>
      <w:r w:rsidR="003579B9">
        <w:rPr>
          <w:rFonts w:ascii="Times New Roman" w:hAnsi="Times New Roman" w:cs="Times New Roman"/>
          <w:sz w:val="24"/>
          <w:szCs w:val="24"/>
        </w:rPr>
        <w:t>00,- Sk</w:t>
      </w:r>
    </w:p>
    <w:p w:rsidR="00703772" w:rsidRPr="00703772" w:rsidP="003579B9">
      <w:pPr>
        <w:spacing w:line="240" w:lineRule="auto"/>
        <w:ind w:firstLine="709"/>
        <w:rPr>
          <w:rFonts w:ascii="Times New Roman" w:hAnsi="Times New Roman" w:cs="Times New Roman"/>
          <w:sz w:val="24"/>
          <w:szCs w:val="24"/>
        </w:rPr>
      </w:pPr>
      <w:r w:rsidRPr="00703772">
        <w:rPr>
          <w:rFonts w:ascii="Times New Roman" w:hAnsi="Times New Roman" w:cs="Times New Roman"/>
          <w:sz w:val="24"/>
          <w:szCs w:val="24"/>
        </w:rPr>
        <w:t>Letisko Sliač, a.s</w:t>
      </w:r>
      <w:r w:rsidR="003579B9">
        <w:rPr>
          <w:rFonts w:ascii="Times New Roman" w:hAnsi="Times New Roman" w:cs="Times New Roman"/>
          <w:sz w:val="24"/>
          <w:szCs w:val="24"/>
        </w:rPr>
        <w:t>.,.........................................................................................</w:t>
      </w:r>
      <w:r w:rsidR="00BD3A36">
        <w:rPr>
          <w:rFonts w:ascii="Times New Roman" w:hAnsi="Times New Roman" w:cs="Times New Roman"/>
          <w:sz w:val="24"/>
          <w:szCs w:val="24"/>
        </w:rPr>
        <w:t>470</w:t>
      </w:r>
      <w:r w:rsidR="003579B9">
        <w:rPr>
          <w:rFonts w:ascii="Times New Roman" w:hAnsi="Times New Roman" w:cs="Times New Roman"/>
          <w:sz w:val="24"/>
          <w:szCs w:val="24"/>
        </w:rPr>
        <w:t xml:space="preserve"> 000,- Sk </w:t>
      </w:r>
    </w:p>
    <w:p w:rsidR="00703772" w:rsidRPr="00703772" w:rsidP="003579B9">
      <w:pPr>
        <w:spacing w:line="240" w:lineRule="auto"/>
        <w:ind w:firstLine="709"/>
        <w:rPr>
          <w:rFonts w:ascii="Times New Roman" w:hAnsi="Times New Roman" w:cs="Times New Roman"/>
          <w:sz w:val="24"/>
          <w:szCs w:val="24"/>
        </w:rPr>
      </w:pPr>
      <w:r w:rsidRPr="00703772">
        <w:rPr>
          <w:rFonts w:ascii="Times New Roman" w:hAnsi="Times New Roman" w:cs="Times New Roman"/>
          <w:sz w:val="24"/>
          <w:szCs w:val="24"/>
        </w:rPr>
        <w:t>L</w:t>
      </w:r>
      <w:r w:rsidR="003579B9">
        <w:rPr>
          <w:rFonts w:ascii="Times New Roman" w:hAnsi="Times New Roman" w:cs="Times New Roman"/>
          <w:sz w:val="24"/>
          <w:szCs w:val="24"/>
        </w:rPr>
        <w:t>etisko Poprad – Tatry, a.s.,.........................................................................</w:t>
      </w:r>
      <w:r w:rsidR="00BD3A36">
        <w:rPr>
          <w:rFonts w:ascii="Times New Roman" w:hAnsi="Times New Roman" w:cs="Times New Roman"/>
          <w:sz w:val="24"/>
          <w:szCs w:val="24"/>
        </w:rPr>
        <w:t>157</w:t>
      </w:r>
      <w:r w:rsidR="003579B9">
        <w:rPr>
          <w:rFonts w:ascii="Times New Roman" w:hAnsi="Times New Roman" w:cs="Times New Roman"/>
          <w:sz w:val="24"/>
          <w:szCs w:val="24"/>
        </w:rPr>
        <w:t> 000,- Sk</w:t>
      </w:r>
    </w:p>
    <w:p w:rsidR="00703772" w:rsidRPr="00703772" w:rsidP="00DB311C">
      <w:pPr>
        <w:spacing w:line="240" w:lineRule="auto"/>
        <w:ind w:firstLine="709"/>
        <w:rPr>
          <w:rFonts w:ascii="Times New Roman" w:hAnsi="Times New Roman" w:cs="Times New Roman"/>
          <w:sz w:val="24"/>
          <w:szCs w:val="24"/>
        </w:rPr>
      </w:pPr>
      <w:r w:rsidRPr="00703772">
        <w:rPr>
          <w:rFonts w:ascii="Times New Roman" w:hAnsi="Times New Roman" w:cs="Times New Roman"/>
          <w:sz w:val="24"/>
          <w:szCs w:val="24"/>
        </w:rPr>
        <w:t>Letisko Košice – Airport</w:t>
      </w:r>
      <w:r w:rsidR="003579B9">
        <w:rPr>
          <w:rFonts w:ascii="Times New Roman" w:hAnsi="Times New Roman" w:cs="Times New Roman"/>
          <w:sz w:val="24"/>
          <w:szCs w:val="24"/>
        </w:rPr>
        <w:t xml:space="preserve"> Košice, a.s.,..........................................................</w:t>
      </w:r>
      <w:r w:rsidR="00BD3A36">
        <w:rPr>
          <w:rFonts w:ascii="Times New Roman" w:hAnsi="Times New Roman" w:cs="Times New Roman"/>
          <w:sz w:val="24"/>
          <w:szCs w:val="24"/>
        </w:rPr>
        <w:t>249</w:t>
      </w:r>
      <w:r w:rsidR="003579B9">
        <w:rPr>
          <w:rFonts w:ascii="Times New Roman" w:hAnsi="Times New Roman" w:cs="Times New Roman"/>
          <w:sz w:val="24"/>
          <w:szCs w:val="24"/>
        </w:rPr>
        <w:t> 000,- Sk</w:t>
      </w:r>
    </w:p>
    <w:p w:rsidR="00DB311C" w:rsidP="00DB311C">
      <w:pPr>
        <w:spacing w:line="240" w:lineRule="auto"/>
        <w:ind w:firstLine="709"/>
        <w:rPr>
          <w:rFonts w:ascii="Times New Roman" w:hAnsi="Times New Roman" w:cs="Times New Roman"/>
          <w:sz w:val="24"/>
          <w:szCs w:val="24"/>
        </w:rPr>
      </w:pPr>
    </w:p>
    <w:p w:rsidR="00575536" w:rsidP="00DB311C">
      <w:pPr>
        <w:spacing w:line="240" w:lineRule="auto"/>
        <w:ind w:firstLine="709"/>
        <w:rPr>
          <w:rFonts w:ascii="Times New Roman" w:hAnsi="Times New Roman" w:cs="Times New Roman"/>
          <w:sz w:val="24"/>
          <w:szCs w:val="24"/>
        </w:rPr>
      </w:pPr>
      <w:r w:rsidR="00BD3A36">
        <w:rPr>
          <w:rFonts w:ascii="Times New Roman" w:hAnsi="Times New Roman" w:cs="Times New Roman"/>
          <w:sz w:val="24"/>
          <w:szCs w:val="24"/>
        </w:rPr>
        <w:t>S P O L U...............................................................................................119 100 000,- Sk</w:t>
      </w:r>
    </w:p>
    <w:p w:rsidR="00D95A9C" w:rsidRPr="00DB311C" w:rsidP="00DB311C">
      <w:pPr>
        <w:spacing w:line="240" w:lineRule="auto"/>
        <w:ind w:firstLine="709"/>
        <w:rPr>
          <w:rFonts w:ascii="Times New Roman" w:hAnsi="Times New Roman" w:cs="Times New Roman"/>
          <w:sz w:val="24"/>
          <w:szCs w:val="24"/>
        </w:rPr>
      </w:pPr>
    </w:p>
    <w:p w:rsidR="00735B08" w:rsidP="00735B08">
      <w:pPr>
        <w:pStyle w:val="NormalIndent"/>
        <w:tabs>
          <w:tab w:val="left" w:pos="0"/>
        </w:tabs>
        <w:spacing w:line="240" w:lineRule="auto"/>
        <w:ind w:left="0"/>
        <w:rPr>
          <w:rFonts w:ascii="Times New Roman" w:hAnsi="Times New Roman" w:cs="Times New Roman"/>
          <w:b/>
          <w:bCs/>
        </w:rPr>
      </w:pPr>
      <w:r>
        <w:rPr>
          <w:rFonts w:ascii="Times New Roman" w:hAnsi="Times New Roman" w:cs="Times New Roman"/>
          <w:b/>
          <w:bCs/>
        </w:rPr>
        <w:t>Investičné dotácie – kapitálové transfery (720) – Podprogram 05506 Schengenský prechodový fond</w:t>
      </w:r>
    </w:p>
    <w:p w:rsidR="00735B08" w:rsidP="00735B08">
      <w:pPr>
        <w:pStyle w:val="BodyText2"/>
        <w:spacing w:line="240" w:lineRule="auto"/>
        <w:ind w:firstLine="709"/>
        <w:rPr>
          <w:rFonts w:ascii="Times New Roman" w:hAnsi="Times New Roman" w:cs="Times New Roman"/>
          <w:sz w:val="24"/>
          <w:szCs w:val="24"/>
        </w:rPr>
      </w:pPr>
    </w:p>
    <w:p w:rsidR="006E3D7E" w:rsidP="00F3064B">
      <w:pPr>
        <w:pStyle w:val="BodyText2"/>
        <w:spacing w:line="240" w:lineRule="auto"/>
        <w:ind w:firstLine="709"/>
        <w:rPr>
          <w:rFonts w:ascii="Times New Roman" w:hAnsi="Times New Roman" w:cs="Times New Roman"/>
          <w:color w:val="000000"/>
          <w:sz w:val="24"/>
          <w:szCs w:val="24"/>
          <w:lang w:eastAsia="sk-SK"/>
        </w:rPr>
      </w:pPr>
      <w:r w:rsidRPr="006E3D7E" w:rsidR="00735B08">
        <w:rPr>
          <w:rFonts w:ascii="Times New Roman" w:hAnsi="Times New Roman" w:cs="Times New Roman"/>
          <w:sz w:val="24"/>
          <w:szCs w:val="24"/>
        </w:rPr>
        <w:t>Na základe zákona o </w:t>
      </w:r>
      <w:r w:rsidR="005119BE">
        <w:rPr>
          <w:rFonts w:ascii="Times New Roman" w:hAnsi="Times New Roman" w:cs="Times New Roman"/>
          <w:sz w:val="24"/>
          <w:szCs w:val="24"/>
        </w:rPr>
        <w:t>štátnom rozpočte na rok 2007 ne</w:t>
      </w:r>
      <w:r w:rsidRPr="006E3D7E" w:rsidR="00735B08">
        <w:rPr>
          <w:rFonts w:ascii="Times New Roman" w:hAnsi="Times New Roman" w:cs="Times New Roman"/>
          <w:sz w:val="24"/>
          <w:szCs w:val="24"/>
        </w:rPr>
        <w:t xml:space="preserve">boli pre leteckú dopravu v Slovenskej republike vyčlenené žiadne investičné dotácie. </w:t>
      </w:r>
      <w:r w:rsidRPr="006E3D7E" w:rsidR="005E652B">
        <w:rPr>
          <w:rFonts w:ascii="Times New Roman" w:hAnsi="Times New Roman" w:cs="Times New Roman"/>
          <w:sz w:val="24"/>
          <w:szCs w:val="24"/>
        </w:rPr>
        <w:t xml:space="preserve">V priebehu roka 2007 bolo však vykonané rozpočtové </w:t>
      </w:r>
      <w:r w:rsidRPr="006E3D7E" w:rsidR="00735B08">
        <w:rPr>
          <w:rFonts w:ascii="Times New Roman" w:hAnsi="Times New Roman" w:cs="Times New Roman"/>
          <w:sz w:val="24"/>
          <w:szCs w:val="24"/>
        </w:rPr>
        <w:t>o</w:t>
      </w:r>
      <w:r w:rsidRPr="006E3D7E" w:rsidR="005E652B">
        <w:rPr>
          <w:rFonts w:ascii="Times New Roman" w:hAnsi="Times New Roman" w:cs="Times New Roman"/>
          <w:sz w:val="24"/>
          <w:szCs w:val="24"/>
        </w:rPr>
        <w:t xml:space="preserve">patrenie </w:t>
      </w:r>
      <w:r w:rsidRPr="006E3D7E" w:rsidR="00735B08">
        <w:rPr>
          <w:rFonts w:ascii="Times New Roman" w:hAnsi="Times New Roman" w:cs="Times New Roman"/>
          <w:sz w:val="24"/>
          <w:szCs w:val="24"/>
        </w:rPr>
        <w:t>MF SR č. 16</w:t>
      </w:r>
      <w:r w:rsidRPr="006E3D7E" w:rsidR="005E652B">
        <w:rPr>
          <w:rFonts w:ascii="Times New Roman" w:hAnsi="Times New Roman" w:cs="Times New Roman"/>
          <w:sz w:val="24"/>
          <w:szCs w:val="24"/>
        </w:rPr>
        <w:t xml:space="preserve">, ktorým sa vyčlenili, pre program 055 Letecká doprava a infraštruktúra, </w:t>
      </w:r>
      <w:r w:rsidRPr="006E3D7E" w:rsidR="00735B08">
        <w:rPr>
          <w:rFonts w:ascii="Times New Roman" w:hAnsi="Times New Roman" w:cs="Times New Roman"/>
          <w:sz w:val="24"/>
          <w:szCs w:val="24"/>
        </w:rPr>
        <w:t>kapitálové transfery (720) v celkovej výške 164 563 000,- Sk. Predmetné kapitálové transfery boli poukázané Letisku M. R. Štefánika – Airport Bratis</w:t>
      </w:r>
      <w:r w:rsidR="00365134">
        <w:rPr>
          <w:rFonts w:ascii="Times New Roman" w:hAnsi="Times New Roman" w:cs="Times New Roman"/>
          <w:sz w:val="24"/>
          <w:szCs w:val="24"/>
        </w:rPr>
        <w:t xml:space="preserve">lava, a.s., </w:t>
      </w:r>
      <w:r w:rsidRPr="006E3D7E" w:rsidR="00735B08">
        <w:rPr>
          <w:rFonts w:ascii="Times New Roman" w:hAnsi="Times New Roman" w:cs="Times New Roman"/>
          <w:sz w:val="24"/>
          <w:szCs w:val="24"/>
        </w:rPr>
        <w:t>(BTS)) a</w:t>
      </w:r>
      <w:r w:rsidRPr="006E3D7E" w:rsidR="005E652B">
        <w:rPr>
          <w:rFonts w:ascii="Times New Roman" w:hAnsi="Times New Roman" w:cs="Times New Roman"/>
          <w:sz w:val="24"/>
          <w:szCs w:val="24"/>
        </w:rPr>
        <w:t xml:space="preserve"> boli </w:t>
      </w:r>
      <w:r w:rsidRPr="006E3D7E" w:rsidR="00735B08">
        <w:rPr>
          <w:rFonts w:ascii="Times New Roman" w:hAnsi="Times New Roman" w:cs="Times New Roman"/>
          <w:sz w:val="24"/>
          <w:szCs w:val="24"/>
        </w:rPr>
        <w:t xml:space="preserve">určené na </w:t>
      </w:r>
      <w:r w:rsidR="00365134">
        <w:rPr>
          <w:rFonts w:ascii="Times New Roman" w:hAnsi="Times New Roman" w:cs="Times New Roman"/>
          <w:sz w:val="24"/>
          <w:szCs w:val="24"/>
        </w:rPr>
        <w:t>spolu</w:t>
      </w:r>
      <w:r w:rsidRPr="006E3D7E" w:rsidR="00735B08">
        <w:rPr>
          <w:rFonts w:ascii="Times New Roman" w:hAnsi="Times New Roman" w:cs="Times New Roman"/>
          <w:sz w:val="24"/>
          <w:szCs w:val="24"/>
        </w:rPr>
        <w:t>financovanie úloh Akčného plánu pre zabezpečenie vstupu SR do Schengenského priestoru v zmysle uznesení vlád</w:t>
      </w:r>
      <w:r w:rsidRPr="006E3D7E">
        <w:rPr>
          <w:rFonts w:ascii="Times New Roman" w:hAnsi="Times New Roman" w:cs="Times New Roman"/>
          <w:sz w:val="24"/>
          <w:szCs w:val="24"/>
        </w:rPr>
        <w:t xml:space="preserve">y SR č. 981/2006 a č. 254/2007. Išlo o investičnú akciu </w:t>
      </w:r>
      <w:r w:rsidRPr="006E3D7E">
        <w:rPr>
          <w:rFonts w:ascii="Times New Roman" w:hAnsi="Times New Roman" w:cs="Times New Roman"/>
          <w:color w:val="000000"/>
          <w:sz w:val="24"/>
          <w:szCs w:val="24"/>
          <w:lang w:eastAsia="sk-SK"/>
        </w:rPr>
        <w:t xml:space="preserve">"Rekonštrukcia a dostavba terminálu Letisko M. R. </w:t>
      </w:r>
      <w:r w:rsidR="00F3064B">
        <w:rPr>
          <w:rFonts w:ascii="Times New Roman" w:hAnsi="Times New Roman" w:cs="Times New Roman"/>
          <w:color w:val="000000"/>
          <w:sz w:val="24"/>
          <w:szCs w:val="24"/>
          <w:lang w:eastAsia="sk-SK"/>
        </w:rPr>
        <w:t xml:space="preserve">Štefánika a Nástupné prsty". </w:t>
      </w:r>
      <w:r w:rsidRPr="006E3D7E" w:rsidR="00F3064B">
        <w:rPr>
          <w:rFonts w:ascii="Times New Roman" w:hAnsi="Times New Roman" w:cs="Times New Roman"/>
          <w:color w:val="000000"/>
          <w:sz w:val="24"/>
          <w:szCs w:val="24"/>
          <w:lang w:eastAsia="sk-SK"/>
        </w:rPr>
        <w:t>Nástupné prsty (prvá etapa stavby) boli skolaudované a odovzdané do užívania v mesiaci september 2007.</w:t>
      </w:r>
      <w:r w:rsidR="00F3064B">
        <w:rPr>
          <w:rFonts w:ascii="Times New Roman" w:hAnsi="Times New Roman" w:cs="Times New Roman"/>
          <w:color w:val="000000"/>
          <w:sz w:val="24"/>
          <w:szCs w:val="24"/>
          <w:lang w:eastAsia="sk-SK"/>
        </w:rPr>
        <w:t xml:space="preserve"> </w:t>
      </w:r>
    </w:p>
    <w:p w:rsidR="006E3D7E" w:rsidRPr="006E3D7E" w:rsidP="006E3D7E">
      <w:pPr>
        <w:pStyle w:val="BodyText2"/>
        <w:spacing w:line="240" w:lineRule="auto"/>
        <w:ind w:firstLine="709"/>
        <w:rPr>
          <w:rFonts w:ascii="Times New Roman" w:hAnsi="Times New Roman" w:cs="Times New Roman"/>
          <w:sz w:val="24"/>
          <w:szCs w:val="24"/>
        </w:rPr>
      </w:pPr>
    </w:p>
    <w:p w:rsidR="00684D28" w:rsidP="00C362EA">
      <w:pPr>
        <w:pStyle w:val="NormalIndent"/>
        <w:tabs>
          <w:tab w:val="left" w:pos="0"/>
        </w:tabs>
        <w:spacing w:line="240" w:lineRule="auto"/>
        <w:ind w:left="0"/>
        <w:rPr>
          <w:rFonts w:ascii="Times New Roman" w:hAnsi="Times New Roman" w:cs="Times New Roman"/>
          <w:b/>
          <w:bCs/>
        </w:rPr>
      </w:pPr>
      <w:r>
        <w:rPr>
          <w:rFonts w:ascii="Times New Roman" w:hAnsi="Times New Roman" w:cs="Times New Roman"/>
          <w:b/>
          <w:bCs/>
        </w:rPr>
        <w:t>Investičné dotácie – kapitálové transfery (720) Podprogram 05504 Modernizácia a rozvoj infraštruktúry leteckej dopravy – opatrenie 1.3. OP ZI</w:t>
      </w:r>
    </w:p>
    <w:p w:rsidR="00575536" w:rsidP="00356ADC">
      <w:pPr>
        <w:spacing w:line="240" w:lineRule="auto"/>
        <w:rPr>
          <w:rFonts w:ascii="Times New Roman" w:hAnsi="Times New Roman" w:cs="Times New Roman"/>
          <w:b/>
          <w:sz w:val="24"/>
          <w:szCs w:val="24"/>
          <w:u w:val="single"/>
        </w:rPr>
      </w:pPr>
    </w:p>
    <w:p w:rsidR="000D08F8" w:rsidRPr="00300F7C" w:rsidP="00356ADC">
      <w:pPr>
        <w:spacing w:line="240" w:lineRule="auto"/>
        <w:jc w:val="center"/>
        <w:rPr>
          <w:rFonts w:ascii="Times New Roman" w:hAnsi="Times New Roman" w:cs="Times New Roman"/>
          <w:b/>
          <w:sz w:val="24"/>
          <w:szCs w:val="24"/>
          <w:u w:val="single"/>
        </w:rPr>
      </w:pPr>
      <w:r w:rsidRPr="00343FBD" w:rsidR="00684D28">
        <w:rPr>
          <w:rFonts w:ascii="Times New Roman" w:hAnsi="Times New Roman" w:cs="Times New Roman"/>
          <w:b/>
          <w:sz w:val="24"/>
          <w:szCs w:val="24"/>
          <w:u w:val="single"/>
        </w:rPr>
        <w:t>Prehľad prostriedkov z rozpočtu EÚ a príslušného spolufinancovania zo ŠR za rok 2</w:t>
      </w:r>
      <w:r w:rsidR="004B7516">
        <w:rPr>
          <w:rFonts w:ascii="Times New Roman" w:hAnsi="Times New Roman" w:cs="Times New Roman"/>
          <w:b/>
          <w:sz w:val="24"/>
          <w:szCs w:val="24"/>
          <w:u w:val="single"/>
        </w:rPr>
        <w:t>007</w:t>
      </w:r>
    </w:p>
    <w:p w:rsidR="00575536" w:rsidP="000D08F8">
      <w:pPr>
        <w:spacing w:line="240" w:lineRule="auto"/>
        <w:rPr>
          <w:rFonts w:ascii="Arial Narrow" w:hAnsi="Arial Narrow" w:cs="Times New Roman"/>
        </w:rPr>
      </w:pPr>
    </w:p>
    <w:p w:rsidR="000D08F8" w:rsidRPr="006B5EB3" w:rsidP="000D08F8">
      <w:pPr>
        <w:spacing w:line="240" w:lineRule="auto"/>
        <w:rPr>
          <w:rFonts w:ascii="Arial Narrow" w:hAnsi="Arial Narrow" w:cs="Times New Roman"/>
        </w:rPr>
      </w:pPr>
      <w:r w:rsidRPr="006B5EB3">
        <w:rPr>
          <w:rFonts w:ascii="Arial Narrow" w:hAnsi="Arial Narrow" w:cs="Times New Roman"/>
        </w:rPr>
        <w:t xml:space="preserve">                                                                                                                                                    </w:t>
      </w:r>
      <w:r>
        <w:rPr>
          <w:rFonts w:ascii="Arial Narrow" w:hAnsi="Arial Narrow" w:cs="Times New Roman"/>
        </w:rPr>
        <w:t xml:space="preserve">                                 </w:t>
      </w:r>
      <w:r w:rsidRPr="006B5EB3">
        <w:rPr>
          <w:rFonts w:ascii="Arial Narrow" w:hAnsi="Arial Narrow" w:cs="Times New Roman"/>
        </w:rPr>
        <w:t>(v tis. Sk)</w:t>
      </w:r>
    </w:p>
    <w:tbl>
      <w:tblPr>
        <w:tblW w:w="10440"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
      <w:tblGrid>
        <w:gridCol w:w="2520"/>
        <w:gridCol w:w="701"/>
        <w:gridCol w:w="720"/>
        <w:gridCol w:w="779"/>
        <w:gridCol w:w="661"/>
        <w:gridCol w:w="720"/>
        <w:gridCol w:w="720"/>
        <w:gridCol w:w="720"/>
        <w:gridCol w:w="720"/>
        <w:gridCol w:w="701"/>
        <w:gridCol w:w="720"/>
        <w:gridCol w:w="758"/>
      </w:tblGrid>
      <w:tr>
        <w:tblPrEx>
          <w:tblW w:w="10440"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480"/>
        </w:trPr>
        <w:tc>
          <w:tcPr>
            <w:tcW w:w="2520" w:type="dxa"/>
            <w:vMerge w:val="restart"/>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0D08F8" w:rsidRPr="001D06AB" w:rsidP="000D08F8">
            <w:pPr>
              <w:spacing w:line="240" w:lineRule="auto"/>
              <w:jc w:val="center"/>
              <w:rPr>
                <w:rFonts w:ascii="Arial Narrow" w:hAnsi="Arial Narrow" w:cs="Times New Roman"/>
                <w:b/>
                <w:bCs/>
                <w:sz w:val="28"/>
                <w:szCs w:val="28"/>
              </w:rPr>
            </w:pPr>
            <w:r w:rsidRPr="001D06AB">
              <w:rPr>
                <w:rFonts w:ascii="Arial Narrow" w:hAnsi="Arial Narrow" w:cs="Times New Roman"/>
                <w:b/>
                <w:bCs/>
                <w:sz w:val="28"/>
                <w:szCs w:val="28"/>
              </w:rPr>
              <w:t>Projekt</w:t>
            </w:r>
          </w:p>
        </w:tc>
        <w:tc>
          <w:tcPr>
            <w:tcW w:w="2861" w:type="dxa"/>
            <w:gridSpan w:val="4"/>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0D08F8" w:rsidRPr="001D06AB" w:rsidP="000D08F8">
            <w:pPr>
              <w:spacing w:line="240" w:lineRule="auto"/>
              <w:jc w:val="center"/>
              <w:rPr>
                <w:rFonts w:ascii="Arial Narrow" w:hAnsi="Arial Narrow" w:cs="Times New Roman"/>
                <w:b/>
                <w:bCs/>
                <w:sz w:val="28"/>
                <w:szCs w:val="28"/>
              </w:rPr>
            </w:pPr>
            <w:r w:rsidRPr="001D06AB">
              <w:rPr>
                <w:rFonts w:ascii="Arial Narrow" w:hAnsi="Arial Narrow" w:cs="Times New Roman"/>
                <w:b/>
                <w:bCs/>
                <w:sz w:val="28"/>
                <w:szCs w:val="28"/>
              </w:rPr>
              <w:t>Rozpočet</w:t>
            </w:r>
          </w:p>
        </w:tc>
        <w:tc>
          <w:tcPr>
            <w:tcW w:w="2880" w:type="dxa"/>
            <w:gridSpan w:val="4"/>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0D08F8" w:rsidRPr="001D06AB" w:rsidP="000D08F8">
            <w:pPr>
              <w:spacing w:line="240" w:lineRule="auto"/>
              <w:jc w:val="center"/>
              <w:rPr>
                <w:rFonts w:ascii="Arial Narrow" w:hAnsi="Arial Narrow" w:cs="Times New Roman"/>
                <w:b/>
                <w:bCs/>
                <w:sz w:val="28"/>
                <w:szCs w:val="28"/>
              </w:rPr>
            </w:pPr>
            <w:r w:rsidRPr="001D06AB">
              <w:rPr>
                <w:rFonts w:ascii="Arial Narrow" w:hAnsi="Arial Narrow" w:cs="Times New Roman"/>
                <w:b/>
                <w:bCs/>
                <w:sz w:val="28"/>
                <w:szCs w:val="28"/>
              </w:rPr>
              <w:t>Čerpanie výdavkov</w:t>
            </w:r>
          </w:p>
        </w:tc>
        <w:tc>
          <w:tcPr>
            <w:tcW w:w="2179" w:type="dxa"/>
            <w:gridSpan w:val="3"/>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0D08F8" w:rsidRPr="001D06AB" w:rsidP="000D08F8">
            <w:pPr>
              <w:spacing w:line="240" w:lineRule="auto"/>
              <w:jc w:val="center"/>
              <w:rPr>
                <w:rFonts w:ascii="Arial Narrow" w:hAnsi="Arial Narrow" w:cs="Times New Roman"/>
                <w:b/>
                <w:bCs/>
                <w:sz w:val="28"/>
                <w:szCs w:val="28"/>
              </w:rPr>
            </w:pPr>
            <w:r w:rsidRPr="001D06AB">
              <w:rPr>
                <w:rFonts w:ascii="Arial Narrow" w:hAnsi="Arial Narrow" w:cs="Times New Roman"/>
                <w:b/>
                <w:bCs/>
                <w:sz w:val="28"/>
                <w:szCs w:val="28"/>
              </w:rPr>
              <w:t>Zostatok</w:t>
            </w:r>
          </w:p>
        </w:tc>
      </w:tr>
      <w:tr>
        <w:tblPrEx>
          <w:tblW w:w="10440" w:type="dxa"/>
          <w:tblInd w:w="-470" w:type="dxa"/>
          <w:tblCellMar>
            <w:left w:w="70" w:type="dxa"/>
            <w:right w:w="70" w:type="dxa"/>
          </w:tblCellMar>
        </w:tblPrEx>
        <w:trPr>
          <w:trHeight w:val="345"/>
        </w:trPr>
        <w:tc>
          <w:tcPr>
            <w:tcW w:w="2520" w:type="dxa"/>
            <w:vMerge/>
            <w:tcBorders>
              <w:top w:val="single" w:sz="4" w:space="0" w:color="auto"/>
              <w:left w:val="single" w:sz="4" w:space="0" w:color="auto"/>
              <w:bottom w:val="single" w:sz="4" w:space="0" w:color="auto"/>
              <w:right w:val="single" w:sz="4" w:space="0" w:color="auto"/>
              <w:tl2br w:val="nil"/>
              <w:tr2bl w:val="nil"/>
            </w:tcBorders>
            <w:textDirection w:val="lrTb"/>
            <w:vAlign w:val="center"/>
          </w:tcPr>
          <w:p w:rsidR="000D08F8" w:rsidRPr="001D06AB" w:rsidP="000D08F8">
            <w:pPr>
              <w:spacing w:line="240" w:lineRule="auto"/>
              <w:rPr>
                <w:rFonts w:ascii="Arial Narrow" w:hAnsi="Arial Narrow" w:cs="Times New Roman"/>
                <w:b/>
                <w:bCs/>
              </w:rPr>
            </w:pPr>
          </w:p>
        </w:tc>
        <w:tc>
          <w:tcPr>
            <w:tcW w:w="701" w:type="dxa"/>
            <w:vMerge w:val="restart"/>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0D08F8" w:rsidRPr="001E3413" w:rsidP="000D08F8">
            <w:pPr>
              <w:spacing w:line="240" w:lineRule="auto"/>
              <w:jc w:val="center"/>
              <w:rPr>
                <w:rFonts w:ascii="Arial Narrow" w:hAnsi="Arial Narrow" w:cs="Times New Roman"/>
                <w:sz w:val="18"/>
                <w:szCs w:val="18"/>
              </w:rPr>
            </w:pPr>
            <w:r w:rsidRPr="001E3413">
              <w:rPr>
                <w:rFonts w:ascii="Arial Narrow" w:hAnsi="Arial Narrow" w:cs="Times New Roman"/>
                <w:sz w:val="18"/>
                <w:szCs w:val="18"/>
              </w:rPr>
              <w:t xml:space="preserve">EÚ </w:t>
            </w:r>
          </w:p>
        </w:tc>
        <w:tc>
          <w:tcPr>
            <w:tcW w:w="720" w:type="dxa"/>
            <w:vMerge w:val="restart"/>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0D08F8" w:rsidRPr="001E3413" w:rsidP="000D08F8">
            <w:pPr>
              <w:spacing w:line="240" w:lineRule="auto"/>
              <w:jc w:val="center"/>
              <w:rPr>
                <w:rFonts w:ascii="Arial Narrow" w:hAnsi="Arial Narrow" w:cs="Times New Roman"/>
                <w:sz w:val="18"/>
                <w:szCs w:val="18"/>
              </w:rPr>
            </w:pPr>
            <w:r w:rsidRPr="001E3413">
              <w:rPr>
                <w:rFonts w:ascii="Arial Narrow" w:hAnsi="Arial Narrow" w:cs="Times New Roman"/>
                <w:sz w:val="18"/>
                <w:szCs w:val="18"/>
              </w:rPr>
              <w:t xml:space="preserve">ŠR </w:t>
            </w:r>
          </w:p>
        </w:tc>
        <w:tc>
          <w:tcPr>
            <w:tcW w:w="1440" w:type="dxa"/>
            <w:gridSpan w:val="2"/>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0D08F8" w:rsidRPr="001E3413" w:rsidP="000D08F8">
            <w:pPr>
              <w:spacing w:line="240" w:lineRule="auto"/>
              <w:jc w:val="center"/>
              <w:rPr>
                <w:rFonts w:ascii="Arial Narrow" w:hAnsi="Arial Narrow" w:cs="Times New Roman"/>
                <w:sz w:val="18"/>
                <w:szCs w:val="18"/>
              </w:rPr>
            </w:pPr>
            <w:r w:rsidRPr="001E3413">
              <w:rPr>
                <w:rFonts w:ascii="Arial Narrow" w:hAnsi="Arial Narrow" w:cs="Times New Roman"/>
                <w:sz w:val="18"/>
                <w:szCs w:val="18"/>
              </w:rPr>
              <w:t>Prost. z</w:t>
            </w:r>
            <w:r w:rsidR="00365134">
              <w:rPr>
                <w:rFonts w:ascii="Arial Narrow" w:hAnsi="Arial Narrow" w:cs="Times New Roman"/>
                <w:sz w:val="18"/>
                <w:szCs w:val="18"/>
              </w:rPr>
              <w:t> </w:t>
            </w:r>
            <w:r w:rsidRPr="001E3413">
              <w:rPr>
                <w:rFonts w:ascii="Arial Narrow" w:hAnsi="Arial Narrow" w:cs="Times New Roman"/>
                <w:sz w:val="18"/>
                <w:szCs w:val="18"/>
              </w:rPr>
              <w:t>min. rokov</w:t>
            </w:r>
          </w:p>
        </w:tc>
        <w:tc>
          <w:tcPr>
            <w:tcW w:w="720" w:type="dxa"/>
            <w:vMerge w:val="restart"/>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0D08F8" w:rsidRPr="001E3413" w:rsidP="000D08F8">
            <w:pPr>
              <w:spacing w:line="240" w:lineRule="auto"/>
              <w:jc w:val="center"/>
              <w:rPr>
                <w:rFonts w:ascii="Arial Narrow" w:hAnsi="Arial Narrow" w:cs="Times New Roman"/>
                <w:sz w:val="18"/>
                <w:szCs w:val="18"/>
              </w:rPr>
            </w:pPr>
            <w:r w:rsidRPr="001E3413">
              <w:rPr>
                <w:rFonts w:ascii="Arial Narrow" w:hAnsi="Arial Narrow" w:cs="Times New Roman"/>
                <w:sz w:val="18"/>
                <w:szCs w:val="18"/>
              </w:rPr>
              <w:t>EÚ</w:t>
            </w:r>
          </w:p>
          <w:p w:rsidR="000D08F8" w:rsidRPr="001E3413" w:rsidP="000D08F8">
            <w:pPr>
              <w:spacing w:line="240" w:lineRule="auto"/>
              <w:jc w:val="center"/>
              <w:rPr>
                <w:rFonts w:ascii="Arial Narrow" w:hAnsi="Arial Narrow" w:cs="Times New Roman"/>
                <w:sz w:val="18"/>
                <w:szCs w:val="18"/>
              </w:rPr>
            </w:pPr>
            <w:r>
              <w:rPr>
                <w:rFonts w:ascii="Arial Narrow" w:hAnsi="Arial Narrow" w:cs="Times New Roman"/>
                <w:sz w:val="18"/>
                <w:szCs w:val="18"/>
              </w:rPr>
              <w:t xml:space="preserve"> (</w:t>
            </w:r>
            <w:r w:rsidR="004B7516">
              <w:rPr>
                <w:rFonts w:ascii="Arial Narrow" w:hAnsi="Arial Narrow" w:cs="Times New Roman"/>
                <w:sz w:val="18"/>
                <w:szCs w:val="18"/>
              </w:rPr>
              <w:t>2007</w:t>
            </w:r>
            <w:r w:rsidRPr="001E3413">
              <w:rPr>
                <w:rFonts w:ascii="Arial Narrow" w:hAnsi="Arial Narrow" w:cs="Times New Roman"/>
                <w:sz w:val="18"/>
                <w:szCs w:val="18"/>
              </w:rPr>
              <w:t>)</w:t>
            </w:r>
          </w:p>
        </w:tc>
        <w:tc>
          <w:tcPr>
            <w:tcW w:w="720" w:type="dxa"/>
            <w:vMerge w:val="restart"/>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0D08F8" w:rsidRPr="001E3413" w:rsidP="000D08F8">
            <w:pPr>
              <w:spacing w:line="240" w:lineRule="auto"/>
              <w:jc w:val="center"/>
              <w:rPr>
                <w:rFonts w:ascii="Arial Narrow" w:hAnsi="Arial Narrow" w:cs="Times New Roman"/>
                <w:sz w:val="18"/>
                <w:szCs w:val="18"/>
              </w:rPr>
            </w:pPr>
            <w:r w:rsidRPr="001E3413">
              <w:rPr>
                <w:rFonts w:ascii="Arial Narrow" w:hAnsi="Arial Narrow" w:cs="Times New Roman"/>
                <w:sz w:val="18"/>
                <w:szCs w:val="18"/>
              </w:rPr>
              <w:t>ŠR</w:t>
            </w:r>
          </w:p>
          <w:p w:rsidR="000D08F8" w:rsidRPr="001E3413" w:rsidP="000D08F8">
            <w:pPr>
              <w:spacing w:line="240" w:lineRule="auto"/>
              <w:jc w:val="center"/>
              <w:rPr>
                <w:rFonts w:ascii="Arial Narrow" w:hAnsi="Arial Narrow" w:cs="Times New Roman"/>
                <w:sz w:val="18"/>
                <w:szCs w:val="18"/>
              </w:rPr>
            </w:pPr>
            <w:r>
              <w:rPr>
                <w:rFonts w:ascii="Arial Narrow" w:hAnsi="Arial Narrow" w:cs="Times New Roman"/>
                <w:sz w:val="18"/>
                <w:szCs w:val="18"/>
              </w:rPr>
              <w:t xml:space="preserve"> (</w:t>
            </w:r>
            <w:r w:rsidR="004B7516">
              <w:rPr>
                <w:rFonts w:ascii="Arial Narrow" w:hAnsi="Arial Narrow" w:cs="Times New Roman"/>
                <w:sz w:val="18"/>
                <w:szCs w:val="18"/>
              </w:rPr>
              <w:t>2007</w:t>
            </w:r>
            <w:r w:rsidRPr="001E3413">
              <w:rPr>
                <w:rFonts w:ascii="Arial Narrow" w:hAnsi="Arial Narrow" w:cs="Times New Roman"/>
                <w:sz w:val="18"/>
                <w:szCs w:val="18"/>
              </w:rPr>
              <w:t>)</w:t>
            </w:r>
          </w:p>
        </w:tc>
        <w:tc>
          <w:tcPr>
            <w:tcW w:w="1440" w:type="dxa"/>
            <w:gridSpan w:val="2"/>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0D08F8" w:rsidRPr="001E3413" w:rsidP="000D08F8">
            <w:pPr>
              <w:spacing w:line="240" w:lineRule="auto"/>
              <w:jc w:val="center"/>
              <w:rPr>
                <w:rFonts w:ascii="Arial Narrow" w:hAnsi="Arial Narrow" w:cs="Times New Roman"/>
                <w:sz w:val="18"/>
                <w:szCs w:val="18"/>
              </w:rPr>
            </w:pPr>
            <w:r>
              <w:rPr>
                <w:rFonts w:ascii="Arial Narrow" w:hAnsi="Arial Narrow" w:cs="Times New Roman"/>
                <w:sz w:val="18"/>
                <w:szCs w:val="18"/>
              </w:rPr>
              <w:t xml:space="preserve">Prost. z min. </w:t>
            </w:r>
            <w:r w:rsidRPr="001E3413">
              <w:rPr>
                <w:rFonts w:ascii="Arial Narrow" w:hAnsi="Arial Narrow" w:cs="Times New Roman"/>
                <w:sz w:val="18"/>
                <w:szCs w:val="18"/>
              </w:rPr>
              <w:t>rokov</w:t>
            </w:r>
          </w:p>
        </w:tc>
        <w:tc>
          <w:tcPr>
            <w:tcW w:w="701" w:type="dxa"/>
            <w:vMerge w:val="restart"/>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0D08F8" w:rsidRPr="001E3413" w:rsidP="000D08F8">
            <w:pPr>
              <w:spacing w:line="240" w:lineRule="auto"/>
              <w:jc w:val="center"/>
              <w:rPr>
                <w:rFonts w:ascii="Arial Narrow" w:hAnsi="Arial Narrow" w:cs="Times New Roman"/>
                <w:sz w:val="18"/>
                <w:szCs w:val="18"/>
              </w:rPr>
            </w:pPr>
            <w:r w:rsidRPr="001E3413">
              <w:rPr>
                <w:rFonts w:ascii="Arial Narrow" w:hAnsi="Arial Narrow" w:cs="Times New Roman"/>
                <w:sz w:val="18"/>
                <w:szCs w:val="18"/>
              </w:rPr>
              <w:t>EÚ</w:t>
            </w:r>
          </w:p>
        </w:tc>
        <w:tc>
          <w:tcPr>
            <w:tcW w:w="720" w:type="dxa"/>
            <w:vMerge w:val="restart"/>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0D08F8" w:rsidRPr="001E3413" w:rsidP="000D08F8">
            <w:pPr>
              <w:spacing w:line="240" w:lineRule="auto"/>
              <w:jc w:val="center"/>
              <w:rPr>
                <w:rFonts w:ascii="Arial Narrow" w:hAnsi="Arial Narrow" w:cs="Times New Roman"/>
                <w:sz w:val="18"/>
                <w:szCs w:val="18"/>
              </w:rPr>
            </w:pPr>
            <w:r w:rsidRPr="001E3413">
              <w:rPr>
                <w:rFonts w:ascii="Arial Narrow" w:hAnsi="Arial Narrow" w:cs="Times New Roman"/>
                <w:sz w:val="18"/>
                <w:szCs w:val="18"/>
              </w:rPr>
              <w:t>ŠR</w:t>
            </w:r>
          </w:p>
        </w:tc>
        <w:tc>
          <w:tcPr>
            <w:tcW w:w="758" w:type="dxa"/>
            <w:vMerge w:val="restart"/>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0D08F8" w:rsidRPr="001E3413" w:rsidP="000D08F8">
            <w:pPr>
              <w:spacing w:line="240" w:lineRule="auto"/>
              <w:jc w:val="center"/>
              <w:rPr>
                <w:rFonts w:ascii="Arial Narrow" w:hAnsi="Arial Narrow" w:cs="Times New Roman"/>
                <w:sz w:val="18"/>
                <w:szCs w:val="18"/>
              </w:rPr>
            </w:pPr>
            <w:r>
              <w:rPr>
                <w:rFonts w:ascii="Arial Narrow" w:hAnsi="Arial Narrow" w:cs="Times New Roman"/>
                <w:sz w:val="18"/>
                <w:szCs w:val="18"/>
              </w:rPr>
              <w:t>Presun do roku</w:t>
            </w:r>
            <w:r w:rsidR="004B7516">
              <w:rPr>
                <w:rFonts w:ascii="Arial Narrow" w:hAnsi="Arial Narrow" w:cs="Times New Roman"/>
                <w:sz w:val="18"/>
                <w:szCs w:val="18"/>
              </w:rPr>
              <w:t xml:space="preserve"> 2008</w:t>
            </w:r>
          </w:p>
        </w:tc>
      </w:tr>
      <w:tr>
        <w:tblPrEx>
          <w:tblW w:w="10440" w:type="dxa"/>
          <w:tblInd w:w="-470" w:type="dxa"/>
          <w:tblCellMar>
            <w:left w:w="70" w:type="dxa"/>
            <w:right w:w="70" w:type="dxa"/>
          </w:tblCellMar>
        </w:tblPrEx>
        <w:trPr>
          <w:trHeight w:val="345"/>
        </w:trPr>
        <w:tc>
          <w:tcPr>
            <w:tcW w:w="2520" w:type="dxa"/>
            <w:vMerge/>
            <w:tcBorders>
              <w:top w:val="single" w:sz="4" w:space="0" w:color="auto"/>
              <w:left w:val="single" w:sz="4" w:space="0" w:color="auto"/>
              <w:bottom w:val="single" w:sz="4" w:space="0" w:color="auto"/>
              <w:right w:val="single" w:sz="4" w:space="0" w:color="auto"/>
              <w:tl2br w:val="nil"/>
              <w:tr2bl w:val="nil"/>
            </w:tcBorders>
            <w:textDirection w:val="lrTb"/>
            <w:vAlign w:val="center"/>
          </w:tcPr>
          <w:p w:rsidR="000D08F8" w:rsidRPr="001D06AB" w:rsidP="000D08F8">
            <w:pPr>
              <w:spacing w:line="240" w:lineRule="auto"/>
              <w:rPr>
                <w:rFonts w:ascii="Arial Narrow" w:hAnsi="Arial Narrow" w:cs="Times New Roman"/>
                <w:b/>
                <w:bCs/>
              </w:rPr>
            </w:pPr>
          </w:p>
        </w:tc>
        <w:tc>
          <w:tcPr>
            <w:tcW w:w="701" w:type="dxa"/>
            <w:vMerge/>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0D08F8" w:rsidRPr="001D06AB" w:rsidP="000D08F8">
            <w:pPr>
              <w:spacing w:line="240" w:lineRule="auto"/>
              <w:jc w:val="center"/>
              <w:rPr>
                <w:rFonts w:ascii="Arial Narrow" w:hAnsi="Arial Narrow" w:cs="Times New Roman"/>
              </w:rPr>
            </w:pPr>
          </w:p>
        </w:tc>
        <w:tc>
          <w:tcPr>
            <w:tcW w:w="720" w:type="dxa"/>
            <w:vMerge/>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0D08F8" w:rsidRPr="001D06AB" w:rsidP="000D08F8">
            <w:pPr>
              <w:spacing w:line="240" w:lineRule="auto"/>
              <w:jc w:val="center"/>
              <w:rPr>
                <w:rFonts w:ascii="Arial Narrow" w:hAnsi="Arial Narrow" w:cs="Times New Roman"/>
              </w:rPr>
            </w:pPr>
          </w:p>
        </w:tc>
        <w:tc>
          <w:tcPr>
            <w:tcW w:w="779"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0D08F8" w:rsidP="000D08F8">
            <w:pPr>
              <w:spacing w:line="240" w:lineRule="auto"/>
              <w:jc w:val="center"/>
              <w:rPr>
                <w:rFonts w:ascii="Arial Narrow" w:hAnsi="Arial Narrow" w:cs="Times New Roman"/>
              </w:rPr>
            </w:pPr>
            <w:r>
              <w:rPr>
                <w:rFonts w:ascii="Arial Narrow" w:hAnsi="Arial Narrow" w:cs="Times New Roman"/>
              </w:rPr>
              <w:t>EÚ</w:t>
            </w:r>
          </w:p>
        </w:tc>
        <w:tc>
          <w:tcPr>
            <w:tcW w:w="661"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0D08F8" w:rsidP="000D08F8">
            <w:pPr>
              <w:spacing w:line="240" w:lineRule="auto"/>
              <w:jc w:val="center"/>
              <w:rPr>
                <w:rFonts w:ascii="Arial Narrow" w:hAnsi="Arial Narrow" w:cs="Times New Roman"/>
              </w:rPr>
            </w:pPr>
            <w:r>
              <w:rPr>
                <w:rFonts w:ascii="Arial Narrow" w:hAnsi="Arial Narrow" w:cs="Times New Roman"/>
              </w:rPr>
              <w:t>ŠR</w:t>
            </w:r>
          </w:p>
        </w:tc>
        <w:tc>
          <w:tcPr>
            <w:tcW w:w="720" w:type="dxa"/>
            <w:vMerge/>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0D08F8" w:rsidRPr="001D06AB" w:rsidP="000D08F8">
            <w:pPr>
              <w:spacing w:line="240" w:lineRule="auto"/>
              <w:jc w:val="center"/>
              <w:rPr>
                <w:rFonts w:ascii="Arial Narrow" w:hAnsi="Arial Narrow" w:cs="Times New Roman"/>
              </w:rPr>
            </w:pPr>
          </w:p>
        </w:tc>
        <w:tc>
          <w:tcPr>
            <w:tcW w:w="720" w:type="dxa"/>
            <w:vMerge/>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0D08F8" w:rsidRPr="001D06AB" w:rsidP="000D08F8">
            <w:pPr>
              <w:spacing w:line="240" w:lineRule="auto"/>
              <w:jc w:val="center"/>
              <w:rPr>
                <w:rFonts w:ascii="Arial Narrow" w:hAnsi="Arial Narrow" w:cs="Times New Roman"/>
              </w:rPr>
            </w:pPr>
          </w:p>
        </w:tc>
        <w:tc>
          <w:tcPr>
            <w:tcW w:w="72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0D08F8" w:rsidP="000D08F8">
            <w:pPr>
              <w:spacing w:line="240" w:lineRule="auto"/>
              <w:jc w:val="center"/>
              <w:rPr>
                <w:rFonts w:ascii="Arial Narrow" w:hAnsi="Arial Narrow" w:cs="Times New Roman"/>
              </w:rPr>
            </w:pPr>
            <w:r>
              <w:rPr>
                <w:rFonts w:ascii="Arial Narrow" w:hAnsi="Arial Narrow" w:cs="Times New Roman"/>
              </w:rPr>
              <w:t>EÚ</w:t>
            </w:r>
          </w:p>
        </w:tc>
        <w:tc>
          <w:tcPr>
            <w:tcW w:w="72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0D08F8" w:rsidP="000D08F8">
            <w:pPr>
              <w:spacing w:line="240" w:lineRule="auto"/>
              <w:ind w:left="-70" w:firstLine="70"/>
              <w:jc w:val="center"/>
              <w:rPr>
                <w:rFonts w:ascii="Arial Narrow" w:hAnsi="Arial Narrow" w:cs="Times New Roman"/>
              </w:rPr>
            </w:pPr>
            <w:r>
              <w:rPr>
                <w:rFonts w:ascii="Arial Narrow" w:hAnsi="Arial Narrow" w:cs="Times New Roman"/>
              </w:rPr>
              <w:t>ŠR</w:t>
            </w:r>
          </w:p>
        </w:tc>
        <w:tc>
          <w:tcPr>
            <w:tcW w:w="701" w:type="dxa"/>
            <w:vMerge/>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0D08F8" w:rsidRPr="001D06AB" w:rsidP="000D08F8">
            <w:pPr>
              <w:spacing w:line="240" w:lineRule="auto"/>
              <w:jc w:val="center"/>
              <w:rPr>
                <w:rFonts w:ascii="Arial Narrow" w:hAnsi="Arial Narrow" w:cs="Times New Roman"/>
              </w:rPr>
            </w:pPr>
          </w:p>
        </w:tc>
        <w:tc>
          <w:tcPr>
            <w:tcW w:w="720" w:type="dxa"/>
            <w:vMerge/>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0D08F8" w:rsidRPr="001D06AB" w:rsidP="000D08F8">
            <w:pPr>
              <w:spacing w:line="240" w:lineRule="auto"/>
              <w:jc w:val="center"/>
              <w:rPr>
                <w:rFonts w:ascii="Arial Narrow" w:hAnsi="Arial Narrow" w:cs="Times New Roman"/>
              </w:rPr>
            </w:pPr>
          </w:p>
        </w:tc>
        <w:tc>
          <w:tcPr>
            <w:tcW w:w="758" w:type="dxa"/>
            <w:vMerge/>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0D08F8" w:rsidP="000D08F8">
            <w:pPr>
              <w:spacing w:line="240" w:lineRule="auto"/>
              <w:jc w:val="center"/>
              <w:rPr>
                <w:rFonts w:ascii="Arial Narrow" w:hAnsi="Arial Narrow" w:cs="Times New Roman"/>
              </w:rPr>
            </w:pPr>
          </w:p>
        </w:tc>
      </w:tr>
      <w:tr>
        <w:tblPrEx>
          <w:tblW w:w="10440" w:type="dxa"/>
          <w:tblInd w:w="-470" w:type="dxa"/>
          <w:tblCellMar>
            <w:left w:w="70" w:type="dxa"/>
            <w:right w:w="70" w:type="dxa"/>
          </w:tblCellMar>
        </w:tblPrEx>
        <w:trPr>
          <w:trHeight w:val="330"/>
        </w:trPr>
        <w:tc>
          <w:tcPr>
            <w:tcW w:w="252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0D08F8" w:rsidRPr="001D06AB" w:rsidP="000D08F8">
            <w:pPr>
              <w:spacing w:line="240" w:lineRule="auto"/>
              <w:rPr>
                <w:rFonts w:ascii="Arial Narrow" w:hAnsi="Arial Narrow" w:cs="Times New Roman"/>
              </w:rPr>
            </w:pPr>
            <w:r w:rsidRPr="001D06AB">
              <w:rPr>
                <w:rFonts w:ascii="Arial Narrow" w:hAnsi="Arial Narrow" w:cs="Times New Roman"/>
              </w:rPr>
              <w:t> </w:t>
            </w:r>
          </w:p>
        </w:tc>
        <w:tc>
          <w:tcPr>
            <w:tcW w:w="7920" w:type="dxa"/>
            <w:gridSpan w:val="11"/>
            <w:tcBorders>
              <w:top w:val="single" w:sz="4" w:space="0" w:color="auto"/>
              <w:left w:val="single" w:sz="4" w:space="0" w:color="auto"/>
              <w:bottom w:val="single" w:sz="4" w:space="0" w:color="auto"/>
              <w:right w:val="single" w:sz="4" w:space="0" w:color="auto"/>
              <w:tl2br w:val="nil"/>
              <w:tr2bl w:val="nil"/>
            </w:tcBorders>
            <w:shd w:val="clear" w:color="auto" w:fill="C0C0C0"/>
            <w:noWrap/>
            <w:textDirection w:val="lrTb"/>
            <w:vAlign w:val="center"/>
          </w:tcPr>
          <w:p w:rsidR="000D08F8" w:rsidRPr="006B5EB3" w:rsidP="001C52BE">
            <w:pPr>
              <w:spacing w:line="240" w:lineRule="auto"/>
              <w:jc w:val="center"/>
              <w:rPr>
                <w:rFonts w:ascii="Arial Narrow" w:hAnsi="Arial Narrow" w:cs="Times New Roman"/>
                <w:b/>
              </w:rPr>
            </w:pPr>
            <w:r w:rsidRPr="006B5EB3">
              <w:rPr>
                <w:rFonts w:ascii="Arial Narrow" w:hAnsi="Arial Narrow" w:cs="Times New Roman"/>
                <w:b/>
              </w:rPr>
              <w:t>P</w:t>
            </w:r>
            <w:r w:rsidR="001C52BE">
              <w:rPr>
                <w:rFonts w:ascii="Arial Narrow" w:hAnsi="Arial Narrow" w:cs="Times New Roman"/>
                <w:b/>
              </w:rPr>
              <w:t>odprogram 05504 – Moder. a rozvoj infraštruktúry leteckej dopravy – opatrenie 1.3. OP ZI – ERDF</w:t>
            </w:r>
          </w:p>
        </w:tc>
      </w:tr>
      <w:tr>
        <w:tblPrEx>
          <w:tblW w:w="10440" w:type="dxa"/>
          <w:tblInd w:w="-470" w:type="dxa"/>
          <w:tblCellMar>
            <w:left w:w="70" w:type="dxa"/>
            <w:right w:w="70" w:type="dxa"/>
          </w:tblCellMar>
        </w:tblPrEx>
        <w:trPr>
          <w:trHeight w:val="255"/>
        </w:trPr>
        <w:tc>
          <w:tcPr>
            <w:tcW w:w="252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D30AA9" w:rsidP="00386396">
            <w:pPr>
              <w:spacing w:line="240" w:lineRule="auto"/>
              <w:jc w:val="left"/>
              <w:rPr>
                <w:rFonts w:ascii="Arial Narrow" w:hAnsi="Arial Narrow" w:cs="Times New Roman"/>
              </w:rPr>
            </w:pPr>
            <w:r>
              <w:rPr>
                <w:rFonts w:ascii="Arial Narrow" w:hAnsi="Arial Narrow" w:cs="Times New Roman"/>
              </w:rPr>
              <w:t xml:space="preserve">Modernizácia bezpečnostného systému letiska Piešťany </w:t>
            </w:r>
          </w:p>
        </w:tc>
        <w:tc>
          <w:tcPr>
            <w:tcW w:w="2861" w:type="dxa"/>
            <w:gridSpan w:val="4"/>
            <w:vMerge w:val="restart"/>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D30AA9" w:rsidP="00D30AA9">
            <w:pPr>
              <w:spacing w:line="240" w:lineRule="auto"/>
              <w:jc w:val="center"/>
              <w:rPr>
                <w:rFonts w:ascii="Arial Narrow" w:hAnsi="Arial Narrow" w:cs="Times New Roman"/>
              </w:rPr>
            </w:pPr>
            <w:r>
              <w:rPr>
                <w:rFonts w:ascii="Arial Narrow" w:hAnsi="Arial Narrow" w:cs="Times New Roman"/>
              </w:rPr>
              <w:t xml:space="preserve">V rámci Operačného programu Základná infraštruktúra je rozpočet stanovený na zásobník projektov, </w:t>
            </w:r>
          </w:p>
          <w:p w:rsidR="00D30AA9" w:rsidP="00D30AA9">
            <w:pPr>
              <w:spacing w:line="240" w:lineRule="auto"/>
              <w:jc w:val="center"/>
              <w:rPr>
                <w:rFonts w:ascii="Arial Narrow" w:hAnsi="Arial Narrow" w:cs="Times New Roman"/>
              </w:rPr>
            </w:pPr>
            <w:r>
              <w:rPr>
                <w:rFonts w:ascii="Arial Narrow" w:hAnsi="Arial Narrow" w:cs="Times New Roman"/>
              </w:rPr>
              <w:t xml:space="preserve">nie na jednotlivé projekty. </w:t>
            </w:r>
          </w:p>
          <w:p w:rsidR="00D30AA9" w:rsidP="00D30AA9">
            <w:pPr>
              <w:spacing w:line="240" w:lineRule="auto"/>
              <w:jc w:val="center"/>
              <w:rPr>
                <w:rFonts w:ascii="Arial Narrow" w:hAnsi="Arial Narrow" w:cs="Times New Roman"/>
              </w:rPr>
            </w:pPr>
            <w:r>
              <w:rPr>
                <w:rFonts w:ascii="Arial Narrow" w:hAnsi="Arial Narrow" w:cs="Times New Roman"/>
              </w:rPr>
              <w:t>Tie sa v priebehu roka financujú priebežne podľa ich realizácie.</w:t>
            </w:r>
          </w:p>
        </w:tc>
        <w:tc>
          <w:tcPr>
            <w:tcW w:w="72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D30AA9" w:rsidP="000D08F8">
            <w:pPr>
              <w:spacing w:line="240" w:lineRule="auto"/>
              <w:jc w:val="right"/>
              <w:rPr>
                <w:rFonts w:ascii="Arial Narrow" w:hAnsi="Arial Narrow" w:cs="Times New Roman"/>
              </w:rPr>
            </w:pPr>
            <w:r>
              <w:rPr>
                <w:rFonts w:ascii="Arial Narrow" w:hAnsi="Arial Narrow" w:cs="Times New Roman"/>
              </w:rPr>
              <w:t>0</w:t>
            </w:r>
          </w:p>
        </w:tc>
        <w:tc>
          <w:tcPr>
            <w:tcW w:w="72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D30AA9" w:rsidP="000D08F8">
            <w:pPr>
              <w:spacing w:line="240" w:lineRule="auto"/>
              <w:jc w:val="right"/>
              <w:rPr>
                <w:rFonts w:ascii="Arial Narrow" w:hAnsi="Arial Narrow" w:cs="Times New Roman"/>
              </w:rPr>
            </w:pPr>
            <w:r>
              <w:rPr>
                <w:rFonts w:ascii="Arial Narrow" w:hAnsi="Arial Narrow" w:cs="Times New Roman"/>
              </w:rPr>
              <w:t>0</w:t>
            </w:r>
          </w:p>
        </w:tc>
        <w:tc>
          <w:tcPr>
            <w:tcW w:w="72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D30AA9" w:rsidP="003E371A">
            <w:pPr>
              <w:spacing w:line="240" w:lineRule="auto"/>
              <w:jc w:val="right"/>
              <w:rPr>
                <w:rFonts w:ascii="Arial Narrow" w:hAnsi="Arial Narrow" w:cs="Times New Roman"/>
              </w:rPr>
            </w:pPr>
            <w:r>
              <w:rPr>
                <w:rFonts w:ascii="Arial Narrow" w:hAnsi="Arial Narrow" w:cs="Times New Roman"/>
              </w:rPr>
              <w:t>8 292</w:t>
            </w:r>
          </w:p>
        </w:tc>
        <w:tc>
          <w:tcPr>
            <w:tcW w:w="72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D30AA9" w:rsidP="003E371A">
            <w:pPr>
              <w:spacing w:line="240" w:lineRule="auto"/>
              <w:jc w:val="right"/>
              <w:rPr>
                <w:rFonts w:ascii="Arial Narrow" w:hAnsi="Arial Narrow" w:cs="Times New Roman"/>
              </w:rPr>
            </w:pPr>
            <w:r>
              <w:rPr>
                <w:rFonts w:ascii="Arial Narrow" w:hAnsi="Arial Narrow" w:cs="Times New Roman"/>
              </w:rPr>
              <w:t>2 211</w:t>
            </w:r>
          </w:p>
        </w:tc>
        <w:tc>
          <w:tcPr>
            <w:tcW w:w="2179" w:type="dxa"/>
            <w:gridSpan w:val="3"/>
            <w:vMerge w:val="restart"/>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D30AA9" w:rsidP="00D30AA9">
            <w:pPr>
              <w:spacing w:line="240" w:lineRule="auto"/>
              <w:jc w:val="center"/>
              <w:rPr>
                <w:rFonts w:ascii="Arial Narrow" w:hAnsi="Arial Narrow" w:cs="Times New Roman"/>
              </w:rPr>
            </w:pPr>
            <w:r>
              <w:rPr>
                <w:rFonts w:ascii="Arial Narrow" w:hAnsi="Arial Narrow" w:cs="Times New Roman"/>
              </w:rPr>
              <w:t>Do roku 2008 sa presúvajú zdroje opäť len v celkovom vyjadrení a sú určené na zásobník projektov v rámci OP ZI – Opatrenie 1.3., ktorý sa budú realizovať v roku 2008.</w:t>
            </w:r>
          </w:p>
        </w:tc>
      </w:tr>
      <w:tr>
        <w:tblPrEx>
          <w:tblW w:w="10440" w:type="dxa"/>
          <w:tblInd w:w="-470" w:type="dxa"/>
          <w:tblCellMar>
            <w:left w:w="70" w:type="dxa"/>
            <w:right w:w="70" w:type="dxa"/>
          </w:tblCellMar>
        </w:tblPrEx>
        <w:trPr>
          <w:trHeight w:val="255"/>
        </w:trPr>
        <w:tc>
          <w:tcPr>
            <w:tcW w:w="252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D30AA9" w:rsidP="00386396">
            <w:pPr>
              <w:spacing w:line="240" w:lineRule="auto"/>
              <w:jc w:val="left"/>
              <w:rPr>
                <w:rFonts w:ascii="Arial Narrow" w:hAnsi="Arial Narrow" w:cs="Times New Roman"/>
              </w:rPr>
            </w:pPr>
            <w:r>
              <w:rPr>
                <w:rFonts w:ascii="Arial Narrow" w:hAnsi="Arial Narrow" w:cs="Times New Roman"/>
              </w:rPr>
              <w:t>Modernizácia letisk</w:t>
            </w:r>
            <w:r w:rsidR="004D0CC3">
              <w:rPr>
                <w:rFonts w:ascii="Arial Narrow" w:hAnsi="Arial Narrow" w:cs="Times New Roman"/>
              </w:rPr>
              <w:t>a Piešťany</w:t>
            </w:r>
          </w:p>
        </w:tc>
        <w:tc>
          <w:tcPr>
            <w:tcW w:w="2861" w:type="dxa"/>
            <w:gridSpan w:val="4"/>
            <w:vMerge/>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D30AA9" w:rsidP="000D08F8">
            <w:pPr>
              <w:spacing w:line="240" w:lineRule="auto"/>
              <w:jc w:val="right"/>
              <w:rPr>
                <w:rFonts w:ascii="Arial Narrow" w:hAnsi="Arial Narrow" w:cs="Times New Roman"/>
              </w:rPr>
            </w:pPr>
          </w:p>
        </w:tc>
        <w:tc>
          <w:tcPr>
            <w:tcW w:w="72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D30AA9" w:rsidP="000D08F8">
            <w:pPr>
              <w:spacing w:line="240" w:lineRule="auto"/>
              <w:jc w:val="right"/>
              <w:rPr>
                <w:rFonts w:ascii="Arial Narrow" w:hAnsi="Arial Narrow" w:cs="Times New Roman"/>
              </w:rPr>
            </w:pPr>
          </w:p>
        </w:tc>
        <w:tc>
          <w:tcPr>
            <w:tcW w:w="72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D30AA9" w:rsidP="000D08F8">
            <w:pPr>
              <w:spacing w:line="240" w:lineRule="auto"/>
              <w:jc w:val="right"/>
              <w:rPr>
                <w:rFonts w:ascii="Arial Narrow" w:hAnsi="Arial Narrow" w:cs="Times New Roman"/>
              </w:rPr>
            </w:pPr>
          </w:p>
        </w:tc>
        <w:tc>
          <w:tcPr>
            <w:tcW w:w="72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D30AA9" w:rsidP="003E371A">
            <w:pPr>
              <w:spacing w:line="240" w:lineRule="auto"/>
              <w:jc w:val="right"/>
              <w:rPr>
                <w:rFonts w:ascii="Arial Narrow" w:hAnsi="Arial Narrow" w:cs="Times New Roman"/>
              </w:rPr>
            </w:pPr>
            <w:r>
              <w:rPr>
                <w:rFonts w:ascii="Arial Narrow" w:hAnsi="Arial Narrow" w:cs="Times New Roman"/>
              </w:rPr>
              <w:t>1 410</w:t>
            </w:r>
          </w:p>
        </w:tc>
        <w:tc>
          <w:tcPr>
            <w:tcW w:w="72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D30AA9" w:rsidP="003E371A">
            <w:pPr>
              <w:spacing w:line="240" w:lineRule="auto"/>
              <w:jc w:val="right"/>
              <w:rPr>
                <w:rFonts w:ascii="Arial Narrow" w:hAnsi="Arial Narrow" w:cs="Times New Roman"/>
              </w:rPr>
            </w:pPr>
            <w:r>
              <w:rPr>
                <w:rFonts w:ascii="Arial Narrow" w:hAnsi="Arial Narrow" w:cs="Times New Roman"/>
              </w:rPr>
              <w:t>376</w:t>
            </w:r>
          </w:p>
        </w:tc>
        <w:tc>
          <w:tcPr>
            <w:tcW w:w="2179" w:type="dxa"/>
            <w:gridSpan w:val="3"/>
            <w:vMerge/>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D30AA9" w:rsidP="000D08F8">
            <w:pPr>
              <w:spacing w:line="240" w:lineRule="auto"/>
              <w:jc w:val="right"/>
              <w:rPr>
                <w:rFonts w:ascii="Arial Narrow" w:hAnsi="Arial Narrow" w:cs="Times New Roman"/>
              </w:rPr>
            </w:pPr>
          </w:p>
        </w:tc>
      </w:tr>
      <w:tr>
        <w:tblPrEx>
          <w:tblW w:w="10440" w:type="dxa"/>
          <w:tblInd w:w="-470" w:type="dxa"/>
          <w:tblCellMar>
            <w:left w:w="70" w:type="dxa"/>
            <w:right w:w="70" w:type="dxa"/>
          </w:tblCellMar>
        </w:tblPrEx>
        <w:trPr>
          <w:trHeight w:val="255"/>
        </w:trPr>
        <w:tc>
          <w:tcPr>
            <w:tcW w:w="252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D30AA9" w:rsidP="00386396">
            <w:pPr>
              <w:spacing w:line="240" w:lineRule="auto"/>
              <w:jc w:val="left"/>
              <w:rPr>
                <w:rFonts w:ascii="Arial Narrow" w:hAnsi="Arial Narrow" w:cs="Times New Roman"/>
              </w:rPr>
            </w:pPr>
            <w:r>
              <w:rPr>
                <w:rFonts w:ascii="Arial Narrow" w:hAnsi="Arial Narrow" w:cs="Times New Roman"/>
              </w:rPr>
              <w:t>Modernizácia exteriérového bezpeč. systému letiska Sliač</w:t>
            </w:r>
          </w:p>
        </w:tc>
        <w:tc>
          <w:tcPr>
            <w:tcW w:w="2861" w:type="dxa"/>
            <w:gridSpan w:val="4"/>
            <w:vMerge/>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D30AA9" w:rsidP="000D08F8">
            <w:pPr>
              <w:spacing w:line="240" w:lineRule="auto"/>
              <w:jc w:val="right"/>
              <w:rPr>
                <w:rFonts w:ascii="Arial Narrow" w:hAnsi="Arial Narrow" w:cs="Times New Roman"/>
              </w:rPr>
            </w:pPr>
          </w:p>
        </w:tc>
        <w:tc>
          <w:tcPr>
            <w:tcW w:w="72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D30AA9" w:rsidP="000D08F8">
            <w:pPr>
              <w:spacing w:line="240" w:lineRule="auto"/>
              <w:jc w:val="right"/>
              <w:rPr>
                <w:rFonts w:ascii="Arial Narrow" w:hAnsi="Arial Narrow" w:cs="Times New Roman"/>
              </w:rPr>
            </w:pPr>
            <w:r>
              <w:rPr>
                <w:rFonts w:ascii="Arial Narrow" w:hAnsi="Arial Narrow" w:cs="Times New Roman"/>
              </w:rPr>
              <w:t>0</w:t>
            </w:r>
          </w:p>
        </w:tc>
        <w:tc>
          <w:tcPr>
            <w:tcW w:w="72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D30AA9" w:rsidP="000D08F8">
            <w:pPr>
              <w:spacing w:line="240" w:lineRule="auto"/>
              <w:jc w:val="right"/>
              <w:rPr>
                <w:rFonts w:ascii="Arial Narrow" w:hAnsi="Arial Narrow" w:cs="Times New Roman"/>
              </w:rPr>
            </w:pPr>
            <w:r>
              <w:rPr>
                <w:rFonts w:ascii="Arial Narrow" w:hAnsi="Arial Narrow" w:cs="Times New Roman"/>
              </w:rPr>
              <w:t>0</w:t>
            </w:r>
          </w:p>
        </w:tc>
        <w:tc>
          <w:tcPr>
            <w:tcW w:w="72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D30AA9" w:rsidP="003E371A">
            <w:pPr>
              <w:spacing w:line="240" w:lineRule="auto"/>
              <w:jc w:val="right"/>
              <w:rPr>
                <w:rFonts w:ascii="Arial Narrow" w:hAnsi="Arial Narrow" w:cs="Times New Roman"/>
              </w:rPr>
            </w:pPr>
            <w:r>
              <w:rPr>
                <w:rFonts w:ascii="Arial Narrow" w:hAnsi="Arial Narrow" w:cs="Times New Roman"/>
              </w:rPr>
              <w:t>2 297</w:t>
            </w:r>
          </w:p>
        </w:tc>
        <w:tc>
          <w:tcPr>
            <w:tcW w:w="72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D30AA9" w:rsidP="003E371A">
            <w:pPr>
              <w:spacing w:line="240" w:lineRule="auto"/>
              <w:jc w:val="right"/>
              <w:rPr>
                <w:rFonts w:ascii="Arial Narrow" w:hAnsi="Arial Narrow" w:cs="Times New Roman"/>
              </w:rPr>
            </w:pPr>
            <w:r>
              <w:rPr>
                <w:rFonts w:ascii="Arial Narrow" w:hAnsi="Arial Narrow" w:cs="Times New Roman"/>
              </w:rPr>
              <w:t>613</w:t>
            </w:r>
          </w:p>
        </w:tc>
        <w:tc>
          <w:tcPr>
            <w:tcW w:w="2179" w:type="dxa"/>
            <w:gridSpan w:val="3"/>
            <w:vMerge/>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D30AA9" w:rsidP="000D08F8">
            <w:pPr>
              <w:spacing w:line="240" w:lineRule="auto"/>
              <w:jc w:val="right"/>
              <w:rPr>
                <w:rFonts w:ascii="Arial Narrow" w:hAnsi="Arial Narrow" w:cs="Times New Roman"/>
              </w:rPr>
            </w:pPr>
          </w:p>
        </w:tc>
      </w:tr>
      <w:tr>
        <w:tblPrEx>
          <w:tblW w:w="10440" w:type="dxa"/>
          <w:tblInd w:w="-470" w:type="dxa"/>
          <w:tblCellMar>
            <w:left w:w="70" w:type="dxa"/>
            <w:right w:w="70" w:type="dxa"/>
          </w:tblCellMar>
        </w:tblPrEx>
        <w:trPr>
          <w:trHeight w:val="255"/>
        </w:trPr>
        <w:tc>
          <w:tcPr>
            <w:tcW w:w="252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D30AA9" w:rsidP="00DA0642">
            <w:pPr>
              <w:spacing w:line="240" w:lineRule="auto"/>
              <w:jc w:val="left"/>
              <w:rPr>
                <w:rFonts w:ascii="Arial Narrow" w:hAnsi="Arial Narrow" w:cs="Times New Roman"/>
              </w:rPr>
            </w:pPr>
            <w:r>
              <w:rPr>
                <w:rFonts w:ascii="Arial Narrow" w:hAnsi="Arial Narrow" w:cs="Times New Roman"/>
              </w:rPr>
              <w:t>Modernizácia bezpečnostného systému letiska Sliač</w:t>
            </w:r>
          </w:p>
        </w:tc>
        <w:tc>
          <w:tcPr>
            <w:tcW w:w="2861" w:type="dxa"/>
            <w:gridSpan w:val="4"/>
            <w:vMerge/>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D30AA9" w:rsidP="000D08F8">
            <w:pPr>
              <w:spacing w:line="240" w:lineRule="auto"/>
              <w:jc w:val="right"/>
              <w:rPr>
                <w:rFonts w:ascii="Arial Narrow" w:hAnsi="Arial Narrow" w:cs="Times New Roman"/>
              </w:rPr>
            </w:pPr>
          </w:p>
        </w:tc>
        <w:tc>
          <w:tcPr>
            <w:tcW w:w="72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D30AA9" w:rsidP="000D08F8">
            <w:pPr>
              <w:spacing w:line="240" w:lineRule="auto"/>
              <w:jc w:val="right"/>
              <w:rPr>
                <w:rFonts w:ascii="Arial Narrow" w:hAnsi="Arial Narrow" w:cs="Times New Roman"/>
              </w:rPr>
            </w:pPr>
          </w:p>
        </w:tc>
        <w:tc>
          <w:tcPr>
            <w:tcW w:w="72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D30AA9" w:rsidP="000D08F8">
            <w:pPr>
              <w:spacing w:line="240" w:lineRule="auto"/>
              <w:jc w:val="right"/>
              <w:rPr>
                <w:rFonts w:ascii="Arial Narrow" w:hAnsi="Arial Narrow" w:cs="Times New Roman"/>
              </w:rPr>
            </w:pPr>
          </w:p>
        </w:tc>
        <w:tc>
          <w:tcPr>
            <w:tcW w:w="72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D30AA9" w:rsidP="003E371A">
            <w:pPr>
              <w:spacing w:line="240" w:lineRule="auto"/>
              <w:jc w:val="right"/>
              <w:rPr>
                <w:rFonts w:ascii="Arial Narrow" w:hAnsi="Arial Narrow" w:cs="Times New Roman"/>
              </w:rPr>
            </w:pPr>
            <w:r>
              <w:rPr>
                <w:rFonts w:ascii="Arial Narrow" w:hAnsi="Arial Narrow" w:cs="Times New Roman"/>
              </w:rPr>
              <w:t>726</w:t>
            </w:r>
          </w:p>
        </w:tc>
        <w:tc>
          <w:tcPr>
            <w:tcW w:w="72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D30AA9" w:rsidP="003E371A">
            <w:pPr>
              <w:spacing w:line="240" w:lineRule="auto"/>
              <w:jc w:val="right"/>
              <w:rPr>
                <w:rFonts w:ascii="Arial Narrow" w:hAnsi="Arial Narrow" w:cs="Times New Roman"/>
              </w:rPr>
            </w:pPr>
            <w:r>
              <w:rPr>
                <w:rFonts w:ascii="Arial Narrow" w:hAnsi="Arial Narrow" w:cs="Times New Roman"/>
              </w:rPr>
              <w:t>193</w:t>
            </w:r>
          </w:p>
        </w:tc>
        <w:tc>
          <w:tcPr>
            <w:tcW w:w="2179" w:type="dxa"/>
            <w:gridSpan w:val="3"/>
            <w:vMerge/>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D30AA9" w:rsidP="000D08F8">
            <w:pPr>
              <w:spacing w:line="240" w:lineRule="auto"/>
              <w:jc w:val="right"/>
              <w:rPr>
                <w:rFonts w:ascii="Arial Narrow" w:hAnsi="Arial Narrow" w:cs="Times New Roman"/>
              </w:rPr>
            </w:pPr>
          </w:p>
        </w:tc>
      </w:tr>
      <w:tr>
        <w:tblPrEx>
          <w:tblW w:w="10440" w:type="dxa"/>
          <w:tblInd w:w="-470" w:type="dxa"/>
          <w:tblCellMar>
            <w:left w:w="70" w:type="dxa"/>
            <w:right w:w="70" w:type="dxa"/>
          </w:tblCellMar>
        </w:tblPrEx>
        <w:trPr>
          <w:trHeight w:val="255"/>
        </w:trPr>
        <w:tc>
          <w:tcPr>
            <w:tcW w:w="252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D30AA9" w:rsidP="00386396">
            <w:pPr>
              <w:spacing w:line="240" w:lineRule="auto"/>
              <w:jc w:val="left"/>
              <w:rPr>
                <w:rFonts w:ascii="Arial Narrow" w:hAnsi="Arial Narrow" w:cs="Times New Roman"/>
              </w:rPr>
            </w:pPr>
            <w:r w:rsidR="00C24CCE">
              <w:rPr>
                <w:rFonts w:ascii="Arial Narrow" w:hAnsi="Arial Narrow" w:cs="Times New Roman"/>
              </w:rPr>
              <w:t>P</w:t>
            </w:r>
            <w:r>
              <w:rPr>
                <w:rFonts w:ascii="Arial Narrow" w:hAnsi="Arial Narrow" w:cs="Times New Roman"/>
              </w:rPr>
              <w:t xml:space="preserve">rístavba </w:t>
            </w:r>
            <w:r w:rsidR="00C24CCE">
              <w:rPr>
                <w:rFonts w:ascii="Arial Narrow" w:hAnsi="Arial Narrow" w:cs="Times New Roman"/>
              </w:rPr>
              <w:t xml:space="preserve">príletového </w:t>
            </w:r>
            <w:r>
              <w:rPr>
                <w:rFonts w:ascii="Arial Narrow" w:hAnsi="Arial Narrow" w:cs="Times New Roman"/>
              </w:rPr>
              <w:t>terminálu</w:t>
            </w:r>
            <w:r w:rsidR="00C24CCE">
              <w:rPr>
                <w:rFonts w:ascii="Arial Narrow" w:hAnsi="Arial Narrow" w:cs="Times New Roman"/>
              </w:rPr>
              <w:t xml:space="preserve"> letiska Poprad – Tatry </w:t>
            </w:r>
            <w:r>
              <w:rPr>
                <w:rFonts w:ascii="Arial Narrow" w:hAnsi="Arial Narrow" w:cs="Times New Roman"/>
              </w:rPr>
              <w:t xml:space="preserve"> </w:t>
            </w:r>
          </w:p>
        </w:tc>
        <w:tc>
          <w:tcPr>
            <w:tcW w:w="2861" w:type="dxa"/>
            <w:gridSpan w:val="4"/>
            <w:vMerge/>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D30AA9" w:rsidP="000D08F8">
            <w:pPr>
              <w:spacing w:line="240" w:lineRule="auto"/>
              <w:jc w:val="right"/>
              <w:rPr>
                <w:rFonts w:ascii="Arial Narrow" w:hAnsi="Arial Narrow" w:cs="Times New Roman"/>
              </w:rPr>
            </w:pPr>
          </w:p>
        </w:tc>
        <w:tc>
          <w:tcPr>
            <w:tcW w:w="72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D30AA9" w:rsidP="000D08F8">
            <w:pPr>
              <w:spacing w:line="240" w:lineRule="auto"/>
              <w:jc w:val="right"/>
              <w:rPr>
                <w:rFonts w:ascii="Arial Narrow" w:hAnsi="Arial Narrow" w:cs="Times New Roman"/>
              </w:rPr>
            </w:pPr>
            <w:r>
              <w:rPr>
                <w:rFonts w:ascii="Arial Narrow" w:hAnsi="Arial Narrow" w:cs="Times New Roman"/>
              </w:rPr>
              <w:t>0</w:t>
            </w:r>
          </w:p>
        </w:tc>
        <w:tc>
          <w:tcPr>
            <w:tcW w:w="72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D30AA9" w:rsidP="000D08F8">
            <w:pPr>
              <w:spacing w:line="240" w:lineRule="auto"/>
              <w:jc w:val="right"/>
              <w:rPr>
                <w:rFonts w:ascii="Arial Narrow" w:hAnsi="Arial Narrow" w:cs="Times New Roman"/>
              </w:rPr>
            </w:pPr>
            <w:r>
              <w:rPr>
                <w:rFonts w:ascii="Arial Narrow" w:hAnsi="Arial Narrow" w:cs="Times New Roman"/>
              </w:rPr>
              <w:t>0</w:t>
            </w:r>
          </w:p>
        </w:tc>
        <w:tc>
          <w:tcPr>
            <w:tcW w:w="72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D30AA9" w:rsidP="003E371A">
            <w:pPr>
              <w:spacing w:line="240" w:lineRule="auto"/>
              <w:jc w:val="right"/>
              <w:rPr>
                <w:rFonts w:ascii="Arial Narrow" w:hAnsi="Arial Narrow" w:cs="Times New Roman"/>
              </w:rPr>
            </w:pPr>
            <w:r>
              <w:rPr>
                <w:rFonts w:ascii="Arial Narrow" w:hAnsi="Arial Narrow" w:cs="Times New Roman"/>
              </w:rPr>
              <w:t>250</w:t>
            </w:r>
          </w:p>
        </w:tc>
        <w:tc>
          <w:tcPr>
            <w:tcW w:w="72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D30AA9" w:rsidP="003E371A">
            <w:pPr>
              <w:spacing w:line="240" w:lineRule="auto"/>
              <w:jc w:val="right"/>
              <w:rPr>
                <w:rFonts w:ascii="Arial Narrow" w:hAnsi="Arial Narrow" w:cs="Times New Roman"/>
              </w:rPr>
            </w:pPr>
            <w:r>
              <w:rPr>
                <w:rFonts w:ascii="Arial Narrow" w:hAnsi="Arial Narrow" w:cs="Times New Roman"/>
              </w:rPr>
              <w:t>67</w:t>
            </w:r>
          </w:p>
        </w:tc>
        <w:tc>
          <w:tcPr>
            <w:tcW w:w="2179" w:type="dxa"/>
            <w:gridSpan w:val="3"/>
            <w:vMerge/>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D30AA9" w:rsidP="000D08F8">
            <w:pPr>
              <w:spacing w:line="240" w:lineRule="auto"/>
              <w:jc w:val="right"/>
              <w:rPr>
                <w:rFonts w:ascii="Arial Narrow" w:hAnsi="Arial Narrow" w:cs="Times New Roman"/>
              </w:rPr>
            </w:pPr>
          </w:p>
        </w:tc>
      </w:tr>
      <w:tr>
        <w:tblPrEx>
          <w:tblW w:w="10440" w:type="dxa"/>
          <w:tblInd w:w="-470" w:type="dxa"/>
          <w:tblCellMar>
            <w:left w:w="70" w:type="dxa"/>
            <w:right w:w="70" w:type="dxa"/>
          </w:tblCellMar>
        </w:tblPrEx>
        <w:trPr>
          <w:trHeight w:val="255"/>
        </w:trPr>
        <w:tc>
          <w:tcPr>
            <w:tcW w:w="252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D30AA9" w:rsidP="00386396">
            <w:pPr>
              <w:spacing w:line="240" w:lineRule="auto"/>
              <w:jc w:val="left"/>
              <w:rPr>
                <w:rFonts w:ascii="Arial Narrow" w:hAnsi="Arial Narrow" w:cs="Times New Roman"/>
              </w:rPr>
            </w:pPr>
            <w:r>
              <w:rPr>
                <w:rFonts w:ascii="Arial Narrow" w:hAnsi="Arial Narrow" w:cs="Times New Roman"/>
              </w:rPr>
              <w:t xml:space="preserve">Modernizácia bezpečnostného systému letiska Poprad </w:t>
            </w:r>
          </w:p>
        </w:tc>
        <w:tc>
          <w:tcPr>
            <w:tcW w:w="2861" w:type="dxa"/>
            <w:gridSpan w:val="4"/>
            <w:vMerge/>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D30AA9" w:rsidP="000D08F8">
            <w:pPr>
              <w:spacing w:line="240" w:lineRule="auto"/>
              <w:jc w:val="right"/>
              <w:rPr>
                <w:rFonts w:ascii="Arial Narrow" w:hAnsi="Arial Narrow" w:cs="Times New Roman"/>
              </w:rPr>
            </w:pPr>
          </w:p>
        </w:tc>
        <w:tc>
          <w:tcPr>
            <w:tcW w:w="72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D30AA9" w:rsidP="000D08F8">
            <w:pPr>
              <w:spacing w:line="240" w:lineRule="auto"/>
              <w:jc w:val="right"/>
              <w:rPr>
                <w:rFonts w:ascii="Arial Narrow" w:hAnsi="Arial Narrow" w:cs="Times New Roman"/>
              </w:rPr>
            </w:pPr>
            <w:r>
              <w:rPr>
                <w:rFonts w:ascii="Arial Narrow" w:hAnsi="Arial Narrow" w:cs="Times New Roman"/>
              </w:rPr>
              <w:t>0</w:t>
            </w:r>
          </w:p>
        </w:tc>
        <w:tc>
          <w:tcPr>
            <w:tcW w:w="72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D30AA9" w:rsidP="000D08F8">
            <w:pPr>
              <w:spacing w:line="240" w:lineRule="auto"/>
              <w:jc w:val="right"/>
              <w:rPr>
                <w:rFonts w:ascii="Arial Narrow" w:hAnsi="Arial Narrow" w:cs="Times New Roman"/>
              </w:rPr>
            </w:pPr>
            <w:r>
              <w:rPr>
                <w:rFonts w:ascii="Arial Narrow" w:hAnsi="Arial Narrow" w:cs="Times New Roman"/>
              </w:rPr>
              <w:t>0</w:t>
            </w:r>
          </w:p>
        </w:tc>
        <w:tc>
          <w:tcPr>
            <w:tcW w:w="72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D30AA9" w:rsidP="003E371A">
            <w:pPr>
              <w:spacing w:line="240" w:lineRule="auto"/>
              <w:jc w:val="right"/>
              <w:rPr>
                <w:rFonts w:ascii="Arial Narrow" w:hAnsi="Arial Narrow" w:cs="Times New Roman"/>
              </w:rPr>
            </w:pPr>
            <w:r>
              <w:rPr>
                <w:rFonts w:ascii="Arial Narrow" w:hAnsi="Arial Narrow" w:cs="Times New Roman"/>
              </w:rPr>
              <w:t>9 336</w:t>
            </w:r>
          </w:p>
        </w:tc>
        <w:tc>
          <w:tcPr>
            <w:tcW w:w="72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D30AA9" w:rsidP="003E371A">
            <w:pPr>
              <w:spacing w:line="240" w:lineRule="auto"/>
              <w:jc w:val="right"/>
              <w:rPr>
                <w:rFonts w:ascii="Arial Narrow" w:hAnsi="Arial Narrow" w:cs="Times New Roman"/>
              </w:rPr>
            </w:pPr>
            <w:r>
              <w:rPr>
                <w:rFonts w:ascii="Arial Narrow" w:hAnsi="Arial Narrow" w:cs="Times New Roman"/>
              </w:rPr>
              <w:t>2 490</w:t>
            </w:r>
          </w:p>
        </w:tc>
        <w:tc>
          <w:tcPr>
            <w:tcW w:w="2179" w:type="dxa"/>
            <w:gridSpan w:val="3"/>
            <w:vMerge/>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D30AA9" w:rsidP="000D08F8">
            <w:pPr>
              <w:spacing w:line="240" w:lineRule="auto"/>
              <w:jc w:val="right"/>
              <w:rPr>
                <w:rFonts w:ascii="Arial Narrow" w:hAnsi="Arial Narrow" w:cs="Times New Roman"/>
              </w:rPr>
            </w:pPr>
          </w:p>
        </w:tc>
      </w:tr>
      <w:tr>
        <w:tblPrEx>
          <w:tblW w:w="10440" w:type="dxa"/>
          <w:tblInd w:w="-470" w:type="dxa"/>
          <w:tblCellMar>
            <w:left w:w="70" w:type="dxa"/>
            <w:right w:w="70" w:type="dxa"/>
          </w:tblCellMar>
        </w:tblPrEx>
        <w:trPr>
          <w:trHeight w:val="255"/>
        </w:trPr>
        <w:tc>
          <w:tcPr>
            <w:tcW w:w="252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D30AA9" w:rsidP="00386396">
            <w:pPr>
              <w:spacing w:line="240" w:lineRule="auto"/>
              <w:jc w:val="left"/>
              <w:rPr>
                <w:rFonts w:ascii="Arial Narrow" w:hAnsi="Arial Narrow" w:cs="Times New Roman"/>
              </w:rPr>
            </w:pPr>
            <w:r w:rsidR="00FC7223">
              <w:rPr>
                <w:rFonts w:ascii="Arial Narrow" w:hAnsi="Arial Narrow" w:cs="Times New Roman"/>
              </w:rPr>
              <w:t xml:space="preserve">Rozvoj a mod. </w:t>
            </w:r>
            <w:r>
              <w:rPr>
                <w:rFonts w:ascii="Arial Narrow" w:hAnsi="Arial Narrow" w:cs="Times New Roman"/>
              </w:rPr>
              <w:t>letiska Žilina</w:t>
            </w:r>
          </w:p>
        </w:tc>
        <w:tc>
          <w:tcPr>
            <w:tcW w:w="2861" w:type="dxa"/>
            <w:gridSpan w:val="4"/>
            <w:vMerge/>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D30AA9" w:rsidP="000D08F8">
            <w:pPr>
              <w:spacing w:line="240" w:lineRule="auto"/>
              <w:jc w:val="right"/>
              <w:rPr>
                <w:rFonts w:ascii="Arial Narrow" w:hAnsi="Arial Narrow" w:cs="Times New Roman"/>
              </w:rPr>
            </w:pPr>
          </w:p>
        </w:tc>
        <w:tc>
          <w:tcPr>
            <w:tcW w:w="72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D30AA9" w:rsidP="000D08F8">
            <w:pPr>
              <w:spacing w:line="240" w:lineRule="auto"/>
              <w:jc w:val="right"/>
              <w:rPr>
                <w:rFonts w:ascii="Arial Narrow" w:hAnsi="Arial Narrow" w:cs="Times New Roman"/>
              </w:rPr>
            </w:pPr>
          </w:p>
        </w:tc>
        <w:tc>
          <w:tcPr>
            <w:tcW w:w="72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D30AA9" w:rsidP="000D08F8">
            <w:pPr>
              <w:spacing w:line="240" w:lineRule="auto"/>
              <w:jc w:val="right"/>
              <w:rPr>
                <w:rFonts w:ascii="Arial Narrow" w:hAnsi="Arial Narrow" w:cs="Times New Roman"/>
              </w:rPr>
            </w:pPr>
          </w:p>
        </w:tc>
        <w:tc>
          <w:tcPr>
            <w:tcW w:w="72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D30AA9" w:rsidP="003E371A">
            <w:pPr>
              <w:spacing w:line="240" w:lineRule="auto"/>
              <w:jc w:val="right"/>
              <w:rPr>
                <w:rFonts w:ascii="Arial Narrow" w:hAnsi="Arial Narrow" w:cs="Times New Roman"/>
              </w:rPr>
            </w:pPr>
            <w:r>
              <w:rPr>
                <w:rFonts w:ascii="Arial Narrow" w:hAnsi="Arial Narrow" w:cs="Times New Roman"/>
              </w:rPr>
              <w:t>10 275</w:t>
            </w:r>
          </w:p>
        </w:tc>
        <w:tc>
          <w:tcPr>
            <w:tcW w:w="72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D30AA9" w:rsidP="003E371A">
            <w:pPr>
              <w:spacing w:line="240" w:lineRule="auto"/>
              <w:jc w:val="right"/>
              <w:rPr>
                <w:rFonts w:ascii="Arial Narrow" w:hAnsi="Arial Narrow" w:cs="Times New Roman"/>
              </w:rPr>
            </w:pPr>
            <w:r>
              <w:rPr>
                <w:rFonts w:ascii="Arial Narrow" w:hAnsi="Arial Narrow" w:cs="Times New Roman"/>
              </w:rPr>
              <w:t>2 740</w:t>
            </w:r>
          </w:p>
        </w:tc>
        <w:tc>
          <w:tcPr>
            <w:tcW w:w="2179" w:type="dxa"/>
            <w:gridSpan w:val="3"/>
            <w:vMerge/>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D30AA9" w:rsidP="000D08F8">
            <w:pPr>
              <w:spacing w:line="240" w:lineRule="auto"/>
              <w:jc w:val="right"/>
              <w:rPr>
                <w:rFonts w:ascii="Arial Narrow" w:hAnsi="Arial Narrow" w:cs="Times New Roman"/>
              </w:rPr>
            </w:pPr>
          </w:p>
        </w:tc>
      </w:tr>
      <w:tr>
        <w:tblPrEx>
          <w:tblW w:w="10440" w:type="dxa"/>
          <w:tblInd w:w="-470" w:type="dxa"/>
          <w:tblCellMar>
            <w:left w:w="70" w:type="dxa"/>
            <w:right w:w="70" w:type="dxa"/>
          </w:tblCellMar>
        </w:tblPrEx>
        <w:trPr>
          <w:trHeight w:val="255"/>
        </w:trPr>
        <w:tc>
          <w:tcPr>
            <w:tcW w:w="2520" w:type="dxa"/>
            <w:tcBorders>
              <w:top w:val="single" w:sz="4" w:space="0" w:color="auto"/>
              <w:left w:val="single" w:sz="4" w:space="0" w:color="auto"/>
              <w:bottom w:val="single" w:sz="4" w:space="0" w:color="auto"/>
              <w:right w:val="single" w:sz="4" w:space="0" w:color="auto"/>
              <w:tl2br w:val="nil"/>
              <w:tr2bl w:val="nil"/>
            </w:tcBorders>
            <w:shd w:val="clear" w:color="auto" w:fill="C0C0C0"/>
            <w:noWrap/>
            <w:textDirection w:val="lrTb"/>
            <w:vAlign w:val="center"/>
          </w:tcPr>
          <w:p w:rsidR="001C52BE" w:rsidRPr="000B252F" w:rsidP="00386396">
            <w:pPr>
              <w:spacing w:line="240" w:lineRule="auto"/>
              <w:jc w:val="left"/>
              <w:rPr>
                <w:rFonts w:ascii="Arial Narrow" w:hAnsi="Arial Narrow" w:cs="Times New Roman"/>
                <w:b/>
              </w:rPr>
            </w:pPr>
            <w:r w:rsidRPr="000B252F">
              <w:rPr>
                <w:rFonts w:ascii="Arial Narrow" w:hAnsi="Arial Narrow" w:cs="Times New Roman"/>
                <w:b/>
              </w:rPr>
              <w:t>Letecká  doprava</w:t>
            </w:r>
          </w:p>
        </w:tc>
        <w:tc>
          <w:tcPr>
            <w:tcW w:w="701" w:type="dxa"/>
            <w:tcBorders>
              <w:top w:val="single" w:sz="4" w:space="0" w:color="auto"/>
              <w:left w:val="single" w:sz="4" w:space="0" w:color="auto"/>
              <w:bottom w:val="single" w:sz="4" w:space="0" w:color="auto"/>
              <w:right w:val="single" w:sz="4" w:space="0" w:color="auto"/>
              <w:tl2br w:val="nil"/>
              <w:tr2bl w:val="nil"/>
            </w:tcBorders>
            <w:shd w:val="clear" w:color="auto" w:fill="C0C0C0"/>
            <w:noWrap/>
            <w:textDirection w:val="lrTb"/>
            <w:vAlign w:val="center"/>
          </w:tcPr>
          <w:p w:rsidR="001C52BE" w:rsidRPr="000B252F" w:rsidP="000D08F8">
            <w:pPr>
              <w:spacing w:line="240" w:lineRule="auto"/>
              <w:jc w:val="right"/>
              <w:rPr>
                <w:rFonts w:ascii="Arial Narrow" w:hAnsi="Arial Narrow" w:cs="Times New Roman"/>
                <w:b/>
              </w:rPr>
            </w:pPr>
            <w:r w:rsidR="00613092">
              <w:rPr>
                <w:rFonts w:ascii="Arial Narrow" w:hAnsi="Arial Narrow" w:cs="Times New Roman"/>
                <w:b/>
              </w:rPr>
              <w:t>59 642</w:t>
            </w:r>
          </w:p>
        </w:tc>
        <w:tc>
          <w:tcPr>
            <w:tcW w:w="720" w:type="dxa"/>
            <w:tcBorders>
              <w:top w:val="single" w:sz="4" w:space="0" w:color="auto"/>
              <w:left w:val="single" w:sz="4" w:space="0" w:color="auto"/>
              <w:bottom w:val="single" w:sz="4" w:space="0" w:color="auto"/>
              <w:right w:val="single" w:sz="4" w:space="0" w:color="auto"/>
              <w:tl2br w:val="nil"/>
              <w:tr2bl w:val="nil"/>
            </w:tcBorders>
            <w:shd w:val="clear" w:color="auto" w:fill="C0C0C0"/>
            <w:noWrap/>
            <w:textDirection w:val="lrTb"/>
            <w:vAlign w:val="center"/>
          </w:tcPr>
          <w:p w:rsidR="001C52BE" w:rsidRPr="000B252F" w:rsidP="000D08F8">
            <w:pPr>
              <w:spacing w:line="240" w:lineRule="auto"/>
              <w:jc w:val="right"/>
              <w:rPr>
                <w:rFonts w:ascii="Arial Narrow" w:hAnsi="Arial Narrow" w:cs="Times New Roman"/>
                <w:b/>
              </w:rPr>
            </w:pPr>
            <w:r w:rsidR="00905A6C">
              <w:rPr>
                <w:rFonts w:ascii="Arial Narrow" w:hAnsi="Arial Narrow" w:cs="Times New Roman"/>
                <w:b/>
              </w:rPr>
              <w:t>0</w:t>
            </w:r>
          </w:p>
        </w:tc>
        <w:tc>
          <w:tcPr>
            <w:tcW w:w="779" w:type="dxa"/>
            <w:tcBorders>
              <w:top w:val="single" w:sz="4" w:space="0" w:color="auto"/>
              <w:left w:val="single" w:sz="4" w:space="0" w:color="auto"/>
              <w:bottom w:val="single" w:sz="4" w:space="0" w:color="auto"/>
              <w:right w:val="single" w:sz="4" w:space="0" w:color="auto"/>
              <w:tl2br w:val="nil"/>
              <w:tr2bl w:val="nil"/>
            </w:tcBorders>
            <w:shd w:val="clear" w:color="auto" w:fill="C0C0C0"/>
            <w:noWrap/>
            <w:textDirection w:val="lrTb"/>
            <w:vAlign w:val="center"/>
          </w:tcPr>
          <w:p w:rsidR="001C52BE" w:rsidRPr="000B252F" w:rsidP="000D08F8">
            <w:pPr>
              <w:spacing w:line="240" w:lineRule="auto"/>
              <w:jc w:val="right"/>
              <w:rPr>
                <w:rFonts w:ascii="Arial Narrow" w:hAnsi="Arial Narrow" w:cs="Times New Roman"/>
                <w:b/>
              </w:rPr>
            </w:pPr>
            <w:r w:rsidR="006D2547">
              <w:rPr>
                <w:rFonts w:ascii="Arial Narrow" w:hAnsi="Arial Narrow" w:cs="Times New Roman"/>
                <w:b/>
              </w:rPr>
              <w:t>41 632</w:t>
            </w:r>
          </w:p>
        </w:tc>
        <w:tc>
          <w:tcPr>
            <w:tcW w:w="661" w:type="dxa"/>
            <w:tcBorders>
              <w:top w:val="single" w:sz="4" w:space="0" w:color="auto"/>
              <w:left w:val="single" w:sz="4" w:space="0" w:color="auto"/>
              <w:bottom w:val="single" w:sz="4" w:space="0" w:color="auto"/>
              <w:right w:val="single" w:sz="4" w:space="0" w:color="auto"/>
              <w:tl2br w:val="nil"/>
              <w:tr2bl w:val="nil"/>
            </w:tcBorders>
            <w:shd w:val="clear" w:color="auto" w:fill="C0C0C0"/>
            <w:textDirection w:val="lrTb"/>
            <w:vAlign w:val="center"/>
          </w:tcPr>
          <w:p w:rsidR="001C52BE" w:rsidRPr="000B252F" w:rsidP="000D08F8">
            <w:pPr>
              <w:spacing w:line="240" w:lineRule="auto"/>
              <w:jc w:val="right"/>
              <w:rPr>
                <w:rFonts w:ascii="Arial Narrow" w:hAnsi="Arial Narrow" w:cs="Times New Roman"/>
                <w:b/>
              </w:rPr>
            </w:pPr>
            <w:r w:rsidR="00905A6C">
              <w:rPr>
                <w:rFonts w:ascii="Arial Narrow" w:hAnsi="Arial Narrow" w:cs="Times New Roman"/>
                <w:b/>
              </w:rPr>
              <w:t>17 585</w:t>
            </w:r>
          </w:p>
        </w:tc>
        <w:tc>
          <w:tcPr>
            <w:tcW w:w="720" w:type="dxa"/>
            <w:tcBorders>
              <w:top w:val="single" w:sz="4" w:space="0" w:color="auto"/>
              <w:left w:val="single" w:sz="4" w:space="0" w:color="auto"/>
              <w:bottom w:val="single" w:sz="4" w:space="0" w:color="auto"/>
              <w:right w:val="single" w:sz="4" w:space="0" w:color="auto"/>
              <w:tl2br w:val="nil"/>
              <w:tr2bl w:val="nil"/>
            </w:tcBorders>
            <w:shd w:val="clear" w:color="auto" w:fill="C0C0C0"/>
            <w:noWrap/>
            <w:textDirection w:val="lrTb"/>
            <w:vAlign w:val="center"/>
          </w:tcPr>
          <w:p w:rsidR="001C52BE" w:rsidRPr="000B252F" w:rsidP="000D08F8">
            <w:pPr>
              <w:spacing w:line="240" w:lineRule="auto"/>
              <w:jc w:val="right"/>
              <w:rPr>
                <w:rFonts w:ascii="Arial Narrow" w:hAnsi="Arial Narrow" w:cs="Times New Roman"/>
                <w:b/>
              </w:rPr>
            </w:pPr>
            <w:r w:rsidR="006D2547">
              <w:rPr>
                <w:rFonts w:ascii="Arial Narrow" w:hAnsi="Arial Narrow" w:cs="Times New Roman"/>
                <w:b/>
              </w:rPr>
              <w:t>0</w:t>
            </w:r>
          </w:p>
        </w:tc>
        <w:tc>
          <w:tcPr>
            <w:tcW w:w="720" w:type="dxa"/>
            <w:tcBorders>
              <w:top w:val="single" w:sz="4" w:space="0" w:color="auto"/>
              <w:left w:val="single" w:sz="4" w:space="0" w:color="auto"/>
              <w:bottom w:val="single" w:sz="4" w:space="0" w:color="auto"/>
              <w:right w:val="single" w:sz="4" w:space="0" w:color="auto"/>
              <w:tl2br w:val="nil"/>
              <w:tr2bl w:val="nil"/>
            </w:tcBorders>
            <w:shd w:val="clear" w:color="auto" w:fill="C0C0C0"/>
            <w:noWrap/>
            <w:textDirection w:val="lrTb"/>
            <w:vAlign w:val="center"/>
          </w:tcPr>
          <w:p w:rsidR="001C52BE" w:rsidRPr="000B252F" w:rsidP="000D08F8">
            <w:pPr>
              <w:spacing w:line="240" w:lineRule="auto"/>
              <w:jc w:val="right"/>
              <w:rPr>
                <w:rFonts w:ascii="Arial Narrow" w:hAnsi="Arial Narrow" w:cs="Times New Roman"/>
                <w:b/>
              </w:rPr>
            </w:pPr>
            <w:r w:rsidR="006D2547">
              <w:rPr>
                <w:rFonts w:ascii="Arial Narrow" w:hAnsi="Arial Narrow" w:cs="Times New Roman"/>
                <w:b/>
              </w:rPr>
              <w:t>0</w:t>
            </w:r>
          </w:p>
        </w:tc>
        <w:tc>
          <w:tcPr>
            <w:tcW w:w="720" w:type="dxa"/>
            <w:tcBorders>
              <w:top w:val="single" w:sz="4" w:space="0" w:color="auto"/>
              <w:left w:val="single" w:sz="4" w:space="0" w:color="auto"/>
              <w:bottom w:val="single" w:sz="4" w:space="0" w:color="auto"/>
              <w:right w:val="single" w:sz="4" w:space="0" w:color="auto"/>
              <w:tl2br w:val="nil"/>
              <w:tr2bl w:val="nil"/>
            </w:tcBorders>
            <w:shd w:val="clear" w:color="auto" w:fill="C0C0C0"/>
            <w:noWrap/>
            <w:textDirection w:val="lrTb"/>
            <w:vAlign w:val="center"/>
          </w:tcPr>
          <w:p w:rsidR="001C52BE" w:rsidRPr="000B252F" w:rsidP="003E371A">
            <w:pPr>
              <w:spacing w:line="240" w:lineRule="auto"/>
              <w:jc w:val="right"/>
              <w:rPr>
                <w:rFonts w:ascii="Arial Narrow" w:hAnsi="Arial Narrow" w:cs="Times New Roman"/>
                <w:b/>
              </w:rPr>
            </w:pPr>
            <w:r w:rsidR="006D2547">
              <w:rPr>
                <w:rFonts w:ascii="Arial Narrow" w:hAnsi="Arial Narrow" w:cs="Times New Roman"/>
                <w:b/>
              </w:rPr>
              <w:t>32 586</w:t>
            </w:r>
          </w:p>
        </w:tc>
        <w:tc>
          <w:tcPr>
            <w:tcW w:w="720" w:type="dxa"/>
            <w:tcBorders>
              <w:top w:val="single" w:sz="4" w:space="0" w:color="auto"/>
              <w:left w:val="single" w:sz="4" w:space="0" w:color="auto"/>
              <w:bottom w:val="single" w:sz="4" w:space="0" w:color="auto"/>
              <w:right w:val="single" w:sz="4" w:space="0" w:color="auto"/>
              <w:tl2br w:val="nil"/>
              <w:tr2bl w:val="nil"/>
            </w:tcBorders>
            <w:shd w:val="clear" w:color="auto" w:fill="C0C0C0"/>
            <w:textDirection w:val="lrTb"/>
            <w:vAlign w:val="center"/>
          </w:tcPr>
          <w:p w:rsidR="001C52BE" w:rsidRPr="000B252F" w:rsidP="003E371A">
            <w:pPr>
              <w:spacing w:line="240" w:lineRule="auto"/>
              <w:jc w:val="right"/>
              <w:rPr>
                <w:rFonts w:ascii="Arial Narrow" w:hAnsi="Arial Narrow" w:cs="Times New Roman"/>
                <w:b/>
              </w:rPr>
            </w:pPr>
            <w:r w:rsidR="006D2547">
              <w:rPr>
                <w:rFonts w:ascii="Arial Narrow" w:hAnsi="Arial Narrow" w:cs="Times New Roman"/>
                <w:b/>
              </w:rPr>
              <w:t>8 690</w:t>
            </w:r>
          </w:p>
        </w:tc>
        <w:tc>
          <w:tcPr>
            <w:tcW w:w="701" w:type="dxa"/>
            <w:tcBorders>
              <w:top w:val="single" w:sz="4" w:space="0" w:color="auto"/>
              <w:left w:val="single" w:sz="4" w:space="0" w:color="auto"/>
              <w:bottom w:val="single" w:sz="4" w:space="0" w:color="auto"/>
              <w:right w:val="single" w:sz="4" w:space="0" w:color="auto"/>
              <w:tl2br w:val="nil"/>
              <w:tr2bl w:val="nil"/>
            </w:tcBorders>
            <w:shd w:val="clear" w:color="auto" w:fill="C0C0C0"/>
            <w:noWrap/>
            <w:textDirection w:val="lrTb"/>
            <w:vAlign w:val="center"/>
          </w:tcPr>
          <w:p w:rsidR="001C52BE" w:rsidRPr="000B252F" w:rsidP="000D08F8">
            <w:pPr>
              <w:spacing w:line="240" w:lineRule="auto"/>
              <w:jc w:val="right"/>
              <w:rPr>
                <w:rFonts w:ascii="Arial Narrow" w:hAnsi="Arial Narrow" w:cs="Times New Roman"/>
                <w:b/>
              </w:rPr>
            </w:pPr>
            <w:r w:rsidR="006D2547">
              <w:rPr>
                <w:rFonts w:ascii="Arial Narrow" w:hAnsi="Arial Narrow" w:cs="Times New Roman"/>
                <w:b/>
              </w:rPr>
              <w:t>68 688</w:t>
            </w:r>
          </w:p>
        </w:tc>
        <w:tc>
          <w:tcPr>
            <w:tcW w:w="720" w:type="dxa"/>
            <w:tcBorders>
              <w:top w:val="single" w:sz="4" w:space="0" w:color="auto"/>
              <w:left w:val="single" w:sz="4" w:space="0" w:color="auto"/>
              <w:bottom w:val="single" w:sz="4" w:space="0" w:color="auto"/>
              <w:right w:val="single" w:sz="4" w:space="0" w:color="auto"/>
              <w:tl2br w:val="nil"/>
              <w:tr2bl w:val="nil"/>
            </w:tcBorders>
            <w:shd w:val="clear" w:color="auto" w:fill="C0C0C0"/>
            <w:noWrap/>
            <w:textDirection w:val="lrTb"/>
            <w:vAlign w:val="center"/>
          </w:tcPr>
          <w:p w:rsidR="001C52BE" w:rsidRPr="000B252F" w:rsidP="000D08F8">
            <w:pPr>
              <w:spacing w:line="240" w:lineRule="auto"/>
              <w:jc w:val="right"/>
              <w:rPr>
                <w:rFonts w:ascii="Arial Narrow" w:hAnsi="Arial Narrow" w:cs="Times New Roman"/>
                <w:b/>
              </w:rPr>
            </w:pPr>
            <w:r w:rsidR="006D2547">
              <w:rPr>
                <w:rFonts w:ascii="Arial Narrow" w:hAnsi="Arial Narrow" w:cs="Times New Roman"/>
                <w:b/>
              </w:rPr>
              <w:t>8 895</w:t>
            </w:r>
          </w:p>
        </w:tc>
        <w:tc>
          <w:tcPr>
            <w:tcW w:w="758" w:type="dxa"/>
            <w:tcBorders>
              <w:top w:val="single" w:sz="4" w:space="0" w:color="auto"/>
              <w:left w:val="single" w:sz="4" w:space="0" w:color="auto"/>
              <w:bottom w:val="single" w:sz="4" w:space="0" w:color="auto"/>
              <w:right w:val="single" w:sz="4" w:space="0" w:color="auto"/>
              <w:tl2br w:val="nil"/>
              <w:tr2bl w:val="nil"/>
            </w:tcBorders>
            <w:shd w:val="clear" w:color="auto" w:fill="C0C0C0"/>
            <w:noWrap/>
            <w:textDirection w:val="lrTb"/>
            <w:vAlign w:val="center"/>
          </w:tcPr>
          <w:p w:rsidR="001C52BE" w:rsidRPr="000B252F" w:rsidP="000D08F8">
            <w:pPr>
              <w:spacing w:line="240" w:lineRule="auto"/>
              <w:jc w:val="right"/>
              <w:rPr>
                <w:rFonts w:ascii="Arial Narrow" w:hAnsi="Arial Narrow" w:cs="Times New Roman"/>
                <w:b/>
              </w:rPr>
            </w:pPr>
            <w:r w:rsidR="006D2547">
              <w:rPr>
                <w:rFonts w:ascii="Arial Narrow" w:hAnsi="Arial Narrow" w:cs="Times New Roman"/>
                <w:b/>
              </w:rPr>
              <w:t>77 583</w:t>
            </w:r>
          </w:p>
        </w:tc>
      </w:tr>
    </w:tbl>
    <w:p w:rsidR="00A33100" w:rsidP="005119BE">
      <w:pPr>
        <w:pStyle w:val="BodyText2"/>
        <w:spacing w:line="240" w:lineRule="auto"/>
        <w:rPr>
          <w:rFonts w:ascii="Times New Roman" w:hAnsi="Times New Roman" w:cs="Times New Roman"/>
          <w:sz w:val="24"/>
          <w:szCs w:val="24"/>
        </w:rPr>
      </w:pPr>
    </w:p>
    <w:p w:rsidR="00A33100" w:rsidP="000B252F">
      <w:pPr>
        <w:spacing w:line="240" w:lineRule="auto"/>
        <w:ind w:firstLine="708"/>
        <w:rPr>
          <w:rFonts w:ascii="Times New Roman" w:hAnsi="Times New Roman" w:cs="Times New Roman"/>
          <w:sz w:val="24"/>
          <w:szCs w:val="24"/>
        </w:rPr>
      </w:pPr>
      <w:r w:rsidR="00AA1D16">
        <w:rPr>
          <w:rFonts w:ascii="Times New Roman" w:hAnsi="Times New Roman" w:cs="Times New Roman"/>
          <w:sz w:val="24"/>
          <w:szCs w:val="24"/>
        </w:rPr>
        <w:t xml:space="preserve">Celkovo bolo na  </w:t>
      </w:r>
      <w:r w:rsidRPr="00E03A1A" w:rsidR="00AA1D16">
        <w:rPr>
          <w:rFonts w:ascii="Times New Roman" w:hAnsi="Times New Roman" w:cs="Times New Roman"/>
          <w:sz w:val="24"/>
          <w:szCs w:val="24"/>
        </w:rPr>
        <w:t>modernizáciu infraštrukt</w:t>
      </w:r>
      <w:r w:rsidR="00AA1D16">
        <w:rPr>
          <w:rFonts w:ascii="Times New Roman" w:hAnsi="Times New Roman" w:cs="Times New Roman"/>
          <w:sz w:val="24"/>
          <w:szCs w:val="24"/>
        </w:rPr>
        <w:t xml:space="preserve">úry leteckej dopravy v roku 2007 k dispozícii </w:t>
      </w:r>
      <w:r w:rsidR="00B012F9">
        <w:rPr>
          <w:rFonts w:ascii="Times New Roman" w:hAnsi="Times New Roman" w:cs="Times New Roman"/>
          <w:sz w:val="24"/>
          <w:szCs w:val="24"/>
        </w:rPr>
        <w:t xml:space="preserve">118 858 673,70 Sk, z toho </w:t>
      </w:r>
      <w:r w:rsidR="006565D5">
        <w:rPr>
          <w:rFonts w:ascii="Times New Roman" w:hAnsi="Times New Roman" w:cs="Times New Roman"/>
          <w:sz w:val="24"/>
          <w:szCs w:val="24"/>
        </w:rPr>
        <w:t xml:space="preserve">z rozpočtu EÚ, </w:t>
      </w:r>
      <w:r w:rsidRPr="00E03A1A" w:rsidR="00B012F9">
        <w:rPr>
          <w:rFonts w:ascii="Times New Roman" w:hAnsi="Times New Roman" w:cs="Times New Roman"/>
          <w:sz w:val="24"/>
          <w:szCs w:val="24"/>
        </w:rPr>
        <w:t xml:space="preserve">z fondu </w:t>
      </w:r>
      <w:r w:rsidR="006565D5">
        <w:rPr>
          <w:rFonts w:ascii="Times New Roman" w:hAnsi="Times New Roman" w:cs="Times New Roman"/>
          <w:sz w:val="24"/>
          <w:szCs w:val="24"/>
        </w:rPr>
        <w:t xml:space="preserve">ERDF, </w:t>
      </w:r>
      <w:r w:rsidR="00B012F9">
        <w:rPr>
          <w:rFonts w:ascii="Times New Roman" w:hAnsi="Times New Roman" w:cs="Times New Roman"/>
          <w:sz w:val="24"/>
          <w:szCs w:val="24"/>
        </w:rPr>
        <w:t xml:space="preserve">101 273 837,06 </w:t>
      </w:r>
      <w:r w:rsidRPr="00E03A1A" w:rsidR="00B012F9">
        <w:rPr>
          <w:rFonts w:ascii="Times New Roman" w:hAnsi="Times New Roman" w:cs="Times New Roman"/>
          <w:sz w:val="24"/>
          <w:szCs w:val="24"/>
        </w:rPr>
        <w:t>Sk a príslušné spolufina</w:t>
      </w:r>
      <w:r w:rsidR="00B012F9">
        <w:rPr>
          <w:rFonts w:ascii="Times New Roman" w:hAnsi="Times New Roman" w:cs="Times New Roman"/>
          <w:sz w:val="24"/>
          <w:szCs w:val="24"/>
        </w:rPr>
        <w:t xml:space="preserve">ncovanie zo ŠR vo výške 17 584 836,64 </w:t>
      </w:r>
      <w:r w:rsidRPr="00E03A1A" w:rsidR="00B012F9">
        <w:rPr>
          <w:rFonts w:ascii="Times New Roman" w:hAnsi="Times New Roman" w:cs="Times New Roman"/>
          <w:sz w:val="24"/>
          <w:szCs w:val="24"/>
        </w:rPr>
        <w:t>Sk</w:t>
      </w:r>
    </w:p>
    <w:p w:rsidR="00AA1D16" w:rsidRPr="00E03A1A" w:rsidP="000B252F">
      <w:pPr>
        <w:spacing w:line="240" w:lineRule="auto"/>
        <w:ind w:firstLine="708"/>
        <w:rPr>
          <w:rFonts w:ascii="Times New Roman" w:hAnsi="Times New Roman" w:cs="Times New Roman"/>
          <w:sz w:val="24"/>
          <w:szCs w:val="24"/>
        </w:rPr>
      </w:pPr>
    </w:p>
    <w:p w:rsidR="00B012F9" w:rsidP="00A82B43">
      <w:pPr>
        <w:spacing w:line="240" w:lineRule="auto"/>
        <w:ind w:firstLine="708"/>
        <w:rPr>
          <w:rFonts w:ascii="Times New Roman" w:hAnsi="Times New Roman" w:cs="Times New Roman"/>
          <w:sz w:val="24"/>
          <w:szCs w:val="24"/>
        </w:rPr>
      </w:pPr>
      <w:r w:rsidRPr="00E03A1A" w:rsidR="00684D28">
        <w:rPr>
          <w:rFonts w:ascii="Times New Roman" w:hAnsi="Times New Roman" w:cs="Times New Roman"/>
          <w:sz w:val="24"/>
          <w:szCs w:val="24"/>
        </w:rPr>
        <w:t xml:space="preserve">Nedočerpané prostriedky boli rozpočtovým opatrením MF SR č. </w:t>
      </w:r>
      <w:r w:rsidR="004B7516">
        <w:rPr>
          <w:rFonts w:ascii="Times New Roman" w:hAnsi="Times New Roman" w:cs="Times New Roman"/>
          <w:sz w:val="24"/>
          <w:szCs w:val="24"/>
        </w:rPr>
        <w:t>36 pre rok 2007</w:t>
      </w:r>
      <w:r w:rsidRPr="00E03A1A" w:rsidR="00684D28">
        <w:rPr>
          <w:rFonts w:ascii="Times New Roman" w:hAnsi="Times New Roman" w:cs="Times New Roman"/>
          <w:sz w:val="24"/>
          <w:szCs w:val="24"/>
        </w:rPr>
        <w:t xml:space="preserve"> </w:t>
      </w:r>
      <w:r>
        <w:rPr>
          <w:rFonts w:ascii="Times New Roman" w:hAnsi="Times New Roman" w:cs="Times New Roman"/>
          <w:sz w:val="24"/>
          <w:szCs w:val="24"/>
        </w:rPr>
        <w:t xml:space="preserve">zaviazané, a to vo výške 77 583 720,08 </w:t>
      </w:r>
      <w:r w:rsidRPr="00E03A1A" w:rsidR="00684D28">
        <w:rPr>
          <w:rFonts w:ascii="Times New Roman" w:hAnsi="Times New Roman" w:cs="Times New Roman"/>
          <w:sz w:val="24"/>
          <w:szCs w:val="24"/>
        </w:rPr>
        <w:t xml:space="preserve">Sk, z toho z EÚ </w:t>
      </w:r>
      <w:r>
        <w:rPr>
          <w:rFonts w:ascii="Times New Roman" w:hAnsi="Times New Roman" w:cs="Times New Roman"/>
          <w:sz w:val="24"/>
          <w:szCs w:val="24"/>
        </w:rPr>
        <w:t xml:space="preserve">vo výške 68 688 347,37 </w:t>
      </w:r>
      <w:r w:rsidRPr="00E03A1A" w:rsidR="00684D28">
        <w:rPr>
          <w:rFonts w:ascii="Times New Roman" w:hAnsi="Times New Roman" w:cs="Times New Roman"/>
          <w:sz w:val="24"/>
          <w:szCs w:val="24"/>
        </w:rPr>
        <w:t xml:space="preserve">Sk a zo ŠR </w:t>
      </w:r>
      <w:r>
        <w:rPr>
          <w:rFonts w:ascii="Times New Roman" w:hAnsi="Times New Roman" w:cs="Times New Roman"/>
          <w:sz w:val="24"/>
          <w:szCs w:val="24"/>
        </w:rPr>
        <w:t xml:space="preserve">vo výške 8 895 372,71 </w:t>
      </w:r>
      <w:r w:rsidRPr="00E03A1A" w:rsidR="00684D28">
        <w:rPr>
          <w:rFonts w:ascii="Times New Roman" w:hAnsi="Times New Roman" w:cs="Times New Roman"/>
          <w:sz w:val="24"/>
          <w:szCs w:val="24"/>
        </w:rPr>
        <w:t>Sk. Tieto finančné prostriedky určené na financovanie spoločných programov Slovenskej republiky a EÚ bude možné použiť v nasledujúcich rozp</w:t>
      </w:r>
      <w:r w:rsidR="00A82B43">
        <w:rPr>
          <w:rFonts w:ascii="Times New Roman" w:hAnsi="Times New Roman" w:cs="Times New Roman"/>
          <w:sz w:val="24"/>
          <w:szCs w:val="24"/>
        </w:rPr>
        <w:t xml:space="preserve">očtových rokoch. </w:t>
      </w:r>
      <w:r w:rsidRPr="00E03A1A" w:rsidR="00684D28">
        <w:rPr>
          <w:rFonts w:ascii="Times New Roman" w:hAnsi="Times New Roman" w:cs="Times New Roman"/>
          <w:sz w:val="24"/>
          <w:szCs w:val="24"/>
        </w:rPr>
        <w:t xml:space="preserve"> </w:t>
      </w:r>
    </w:p>
    <w:p w:rsidR="00B012F9" w:rsidRPr="00E03A1A" w:rsidP="00575536">
      <w:pPr>
        <w:spacing w:line="240" w:lineRule="auto"/>
        <w:ind w:firstLine="708"/>
        <w:rPr>
          <w:rFonts w:ascii="Times New Roman" w:hAnsi="Times New Roman" w:cs="Times New Roman"/>
          <w:sz w:val="24"/>
          <w:szCs w:val="24"/>
        </w:rPr>
      </w:pPr>
      <w:r>
        <w:rPr>
          <w:rFonts w:ascii="Times New Roman" w:hAnsi="Times New Roman" w:cs="Times New Roman"/>
          <w:sz w:val="24"/>
          <w:szCs w:val="24"/>
        </w:rPr>
        <w:t>Upravený rozpočet k 31.12.2007 a teda aj</w:t>
      </w:r>
      <w:r w:rsidR="006565D5">
        <w:rPr>
          <w:rFonts w:ascii="Times New Roman" w:hAnsi="Times New Roman" w:cs="Times New Roman"/>
          <w:sz w:val="24"/>
          <w:szCs w:val="24"/>
        </w:rPr>
        <w:t xml:space="preserve"> skutočné čerpanie k 31.12.2007, </w:t>
      </w:r>
      <w:r>
        <w:rPr>
          <w:rFonts w:ascii="Times New Roman" w:hAnsi="Times New Roman" w:cs="Times New Roman"/>
          <w:sz w:val="24"/>
          <w:szCs w:val="24"/>
        </w:rPr>
        <w:t xml:space="preserve">takto dosiahlo výšku 41 274 953,62 Sk, z toho </w:t>
      </w:r>
      <w:r w:rsidRPr="00E03A1A">
        <w:rPr>
          <w:rFonts w:ascii="Times New Roman" w:hAnsi="Times New Roman" w:cs="Times New Roman"/>
          <w:sz w:val="24"/>
          <w:szCs w:val="24"/>
        </w:rPr>
        <w:t xml:space="preserve">z EÚ </w:t>
      </w:r>
      <w:r>
        <w:rPr>
          <w:rFonts w:ascii="Times New Roman" w:hAnsi="Times New Roman" w:cs="Times New Roman"/>
          <w:sz w:val="24"/>
          <w:szCs w:val="24"/>
        </w:rPr>
        <w:t xml:space="preserve">vo výške 32 585 489,69 </w:t>
      </w:r>
      <w:r w:rsidR="006565D5">
        <w:rPr>
          <w:rFonts w:ascii="Times New Roman" w:hAnsi="Times New Roman" w:cs="Times New Roman"/>
          <w:sz w:val="24"/>
          <w:szCs w:val="24"/>
        </w:rPr>
        <w:t xml:space="preserve">Sk, </w:t>
      </w:r>
      <w:r w:rsidRPr="00E03A1A">
        <w:rPr>
          <w:rFonts w:ascii="Times New Roman" w:hAnsi="Times New Roman" w:cs="Times New Roman"/>
          <w:sz w:val="24"/>
          <w:szCs w:val="24"/>
        </w:rPr>
        <w:t xml:space="preserve">zo ŠR </w:t>
      </w:r>
      <w:r>
        <w:rPr>
          <w:rFonts w:ascii="Times New Roman" w:hAnsi="Times New Roman" w:cs="Times New Roman"/>
          <w:sz w:val="24"/>
          <w:szCs w:val="24"/>
        </w:rPr>
        <w:t xml:space="preserve">vo výške 8 689 463,93 </w:t>
      </w:r>
      <w:r w:rsidRPr="00E03A1A">
        <w:rPr>
          <w:rFonts w:ascii="Times New Roman" w:hAnsi="Times New Roman" w:cs="Times New Roman"/>
          <w:sz w:val="24"/>
          <w:szCs w:val="24"/>
        </w:rPr>
        <w:t>Sk</w:t>
      </w:r>
      <w:r>
        <w:rPr>
          <w:rFonts w:ascii="Times New Roman" w:hAnsi="Times New Roman" w:cs="Times New Roman"/>
          <w:sz w:val="24"/>
          <w:szCs w:val="24"/>
        </w:rPr>
        <w:t xml:space="preserve">, a to na nasledujúce projekty: </w:t>
      </w:r>
    </w:p>
    <w:p w:rsidR="00FB4CD8" w:rsidRPr="00FB4CD8" w:rsidP="00FB4CD8">
      <w:pPr>
        <w:spacing w:line="240" w:lineRule="auto"/>
        <w:rPr>
          <w:rFonts w:ascii="Times New Roman" w:hAnsi="Times New Roman" w:cs="Times New Roman"/>
          <w:sz w:val="24"/>
          <w:szCs w:val="24"/>
        </w:rPr>
      </w:pPr>
    </w:p>
    <w:p w:rsidR="00FB4CD8" w:rsidRPr="00FB4CD8" w:rsidP="005119BE">
      <w:pPr>
        <w:adjustRightInd/>
        <w:spacing w:line="240" w:lineRule="auto"/>
        <w:ind w:left="705" w:hanging="705"/>
        <w:jc w:val="left"/>
        <w:textAlignment w:val="auto"/>
        <w:rPr>
          <w:rFonts w:ascii="Times New Roman" w:hAnsi="Times New Roman" w:cs="Times New Roman"/>
          <w:b/>
          <w:bCs/>
          <w:sz w:val="24"/>
          <w:szCs w:val="24"/>
        </w:rPr>
      </w:pPr>
      <w:r w:rsidR="005119BE">
        <w:rPr>
          <w:rFonts w:ascii="Times New Roman" w:hAnsi="Times New Roman" w:cs="Times New Roman"/>
          <w:b/>
          <w:bCs/>
          <w:sz w:val="24"/>
          <w:szCs w:val="24"/>
        </w:rPr>
        <w:t xml:space="preserve">1) </w:t>
        <w:tab/>
      </w:r>
      <w:r w:rsidR="00C24CCE">
        <w:rPr>
          <w:rFonts w:ascii="Times New Roman" w:hAnsi="Times New Roman" w:cs="Times New Roman"/>
          <w:b/>
          <w:bCs/>
          <w:sz w:val="24"/>
          <w:szCs w:val="24"/>
        </w:rPr>
        <w:t xml:space="preserve">Modernizácia </w:t>
      </w:r>
      <w:r w:rsidR="002D1DDD">
        <w:rPr>
          <w:rFonts w:ascii="Times New Roman" w:hAnsi="Times New Roman" w:cs="Times New Roman"/>
          <w:b/>
          <w:bCs/>
          <w:sz w:val="24"/>
          <w:szCs w:val="24"/>
        </w:rPr>
        <w:t>bezpečnostného</w:t>
      </w:r>
      <w:r w:rsidRPr="00FB4CD8">
        <w:rPr>
          <w:rFonts w:ascii="Times New Roman" w:hAnsi="Times New Roman" w:cs="Times New Roman"/>
          <w:b/>
          <w:bCs/>
          <w:sz w:val="24"/>
          <w:szCs w:val="24"/>
        </w:rPr>
        <w:t xml:space="preserve"> systém</w:t>
      </w:r>
      <w:r w:rsidR="002D1DDD">
        <w:rPr>
          <w:rFonts w:ascii="Times New Roman" w:hAnsi="Times New Roman" w:cs="Times New Roman"/>
          <w:b/>
          <w:bCs/>
          <w:sz w:val="24"/>
          <w:szCs w:val="24"/>
        </w:rPr>
        <w:t xml:space="preserve">u letiska Piešťany – </w:t>
      </w:r>
      <w:r w:rsidRPr="00FB4CD8">
        <w:rPr>
          <w:rFonts w:ascii="Times New Roman" w:hAnsi="Times New Roman" w:cs="Times New Roman"/>
          <w:b/>
          <w:bCs/>
          <w:sz w:val="24"/>
          <w:szCs w:val="24"/>
        </w:rPr>
        <w:t>bezpečno</w:t>
      </w:r>
      <w:r w:rsidR="002D1DDD">
        <w:rPr>
          <w:rFonts w:ascii="Times New Roman" w:hAnsi="Times New Roman" w:cs="Times New Roman"/>
          <w:b/>
          <w:bCs/>
          <w:sz w:val="24"/>
          <w:szCs w:val="24"/>
        </w:rPr>
        <w:t>stné oplotenie, kamerový systém, vstupný a výstupný režim</w:t>
      </w:r>
      <w:r w:rsidRPr="00FB4CD8">
        <w:rPr>
          <w:rFonts w:ascii="Times New Roman" w:hAnsi="Times New Roman" w:cs="Times New Roman"/>
          <w:b/>
          <w:bCs/>
          <w:sz w:val="24"/>
          <w:szCs w:val="24"/>
        </w:rPr>
        <w:t xml:space="preserve"> </w:t>
      </w:r>
    </w:p>
    <w:p w:rsidR="004D0CC3" w:rsidRPr="00FB4CD8" w:rsidP="004D0CC3">
      <w:pPr>
        <w:spacing w:line="240" w:lineRule="auto"/>
        <w:rPr>
          <w:rFonts w:ascii="Times New Roman" w:hAnsi="Times New Roman" w:cs="Times New Roman"/>
          <w:sz w:val="24"/>
          <w:szCs w:val="24"/>
        </w:rPr>
      </w:pPr>
    </w:p>
    <w:p w:rsidR="004D0CC3" w:rsidP="001654CB">
      <w:pPr>
        <w:numPr>
          <w:ilvl w:val="2"/>
          <w:numId w:val="20"/>
        </w:numPr>
        <w:tabs>
          <w:tab w:val="clear" w:pos="2340"/>
        </w:tabs>
        <w:adjustRightInd/>
        <w:spacing w:line="240" w:lineRule="auto"/>
        <w:ind w:left="720" w:hanging="720"/>
        <w:jc w:val="left"/>
        <w:textAlignment w:val="auto"/>
        <w:rPr>
          <w:rFonts w:ascii="Times New Roman" w:hAnsi="Times New Roman" w:cs="Times New Roman"/>
          <w:b/>
          <w:bCs/>
          <w:sz w:val="24"/>
          <w:szCs w:val="24"/>
        </w:rPr>
      </w:pPr>
      <w:r w:rsidRPr="004D0CC3">
        <w:rPr>
          <w:rFonts w:ascii="Times New Roman" w:hAnsi="Times New Roman" w:cs="Times New Roman"/>
          <w:b/>
          <w:sz w:val="24"/>
          <w:szCs w:val="24"/>
        </w:rPr>
        <w:t>Modernizácia letiska</w:t>
      </w:r>
      <w:r w:rsidRPr="004D0CC3" w:rsidR="00FB4CD8">
        <w:rPr>
          <w:rFonts w:ascii="Times New Roman" w:hAnsi="Times New Roman" w:cs="Times New Roman"/>
          <w:b/>
          <w:sz w:val="24"/>
          <w:szCs w:val="24"/>
        </w:rPr>
        <w:t xml:space="preserve"> Piešťany </w:t>
      </w:r>
      <w:r>
        <w:rPr>
          <w:rFonts w:ascii="Times New Roman" w:hAnsi="Times New Roman" w:cs="Times New Roman"/>
          <w:b/>
          <w:sz w:val="24"/>
          <w:szCs w:val="24"/>
        </w:rPr>
        <w:t xml:space="preserve">– </w:t>
      </w:r>
      <w:r w:rsidRPr="004D0CC3" w:rsidR="00FB4CD8">
        <w:rPr>
          <w:rFonts w:ascii="Times New Roman" w:hAnsi="Times New Roman" w:cs="Times New Roman"/>
          <w:b/>
          <w:sz w:val="24"/>
          <w:szCs w:val="24"/>
        </w:rPr>
        <w:t>A/Rozšírenie rolovacej dráhy A;  B/Zvýšenie kapacity odletového terminálu</w:t>
      </w:r>
    </w:p>
    <w:p w:rsidR="004D0CC3" w:rsidP="004D0CC3">
      <w:pPr>
        <w:adjustRightInd/>
        <w:spacing w:line="240" w:lineRule="auto"/>
        <w:ind w:left="720"/>
        <w:textAlignment w:val="auto"/>
        <w:rPr>
          <w:rFonts w:ascii="Times New Roman" w:hAnsi="Times New Roman" w:cs="Times New Roman"/>
          <w:sz w:val="24"/>
          <w:szCs w:val="24"/>
        </w:rPr>
      </w:pPr>
    </w:p>
    <w:p w:rsidR="004D0CC3" w:rsidP="004D0CC3">
      <w:pPr>
        <w:adjustRightInd/>
        <w:spacing w:line="240" w:lineRule="auto"/>
        <w:ind w:left="720"/>
        <w:textAlignment w:val="auto"/>
        <w:rPr>
          <w:rFonts w:ascii="Times New Roman" w:hAnsi="Times New Roman" w:cs="Times New Roman"/>
          <w:sz w:val="24"/>
          <w:szCs w:val="24"/>
        </w:rPr>
      </w:pPr>
      <w:r w:rsidR="00C24CCE">
        <w:rPr>
          <w:rFonts w:ascii="Times New Roman" w:hAnsi="Times New Roman" w:cs="Times New Roman"/>
          <w:sz w:val="24"/>
          <w:szCs w:val="24"/>
        </w:rPr>
        <w:t>A. R</w:t>
      </w:r>
      <w:r w:rsidRPr="00FB4CD8" w:rsidR="00FB4CD8">
        <w:rPr>
          <w:rFonts w:ascii="Times New Roman" w:hAnsi="Times New Roman" w:cs="Times New Roman"/>
          <w:sz w:val="24"/>
          <w:szCs w:val="24"/>
        </w:rPr>
        <w:t xml:space="preserve">ozšírenie rolovacej dráhy A z pôvodných </w:t>
      </w:r>
      <w:smartTag w:uri="urn:schemas-microsoft-com:office:smarttags" w:element="metricconverter">
        <w:smartTagPr>
          <w:attr w:name="ProductID" w:val="11 m"/>
        </w:smartTagPr>
        <w:r w:rsidRPr="00FB4CD8" w:rsidR="00FB4CD8">
          <w:rPr>
            <w:rFonts w:ascii="Times New Roman" w:hAnsi="Times New Roman" w:cs="Times New Roman"/>
            <w:sz w:val="24"/>
            <w:szCs w:val="24"/>
          </w:rPr>
          <w:t>11 m</w:t>
        </w:r>
      </w:smartTag>
      <w:r w:rsidRPr="00FB4CD8" w:rsidR="00FB4CD8">
        <w:rPr>
          <w:rFonts w:ascii="Times New Roman" w:hAnsi="Times New Roman" w:cs="Times New Roman"/>
          <w:sz w:val="24"/>
          <w:szCs w:val="24"/>
        </w:rPr>
        <w:t xml:space="preserve"> na </w:t>
      </w:r>
      <w:smartTag w:uri="urn:schemas-microsoft-com:office:smarttags" w:element="metricconverter">
        <w:smartTagPr>
          <w:attr w:name="ProductID" w:val="15 m"/>
        </w:smartTagPr>
        <w:r w:rsidRPr="00FB4CD8" w:rsidR="00FB4CD8">
          <w:rPr>
            <w:rFonts w:ascii="Times New Roman" w:hAnsi="Times New Roman" w:cs="Times New Roman"/>
            <w:sz w:val="24"/>
            <w:szCs w:val="24"/>
          </w:rPr>
          <w:t>15 m</w:t>
        </w:r>
      </w:smartTag>
      <w:r w:rsidRPr="00FB4CD8" w:rsidR="00FB4CD8">
        <w:rPr>
          <w:rFonts w:ascii="Times New Roman" w:hAnsi="Times New Roman" w:cs="Times New Roman"/>
          <w:sz w:val="24"/>
          <w:szCs w:val="24"/>
        </w:rPr>
        <w:t xml:space="preserve"> v dĺžke cca </w:t>
      </w:r>
      <w:smartTag w:uri="urn:schemas-microsoft-com:office:smarttags" w:element="metricconverter">
        <w:smartTagPr>
          <w:attr w:name="ProductID" w:val="350 m"/>
        </w:smartTagPr>
        <w:r w:rsidRPr="00FB4CD8" w:rsidR="00FB4CD8">
          <w:rPr>
            <w:rFonts w:ascii="Times New Roman" w:hAnsi="Times New Roman" w:cs="Times New Roman"/>
            <w:sz w:val="24"/>
            <w:szCs w:val="24"/>
          </w:rPr>
          <w:t>350 m</w:t>
        </w:r>
      </w:smartTag>
      <w:r w:rsidRPr="00FB4CD8" w:rsidR="00FB4CD8">
        <w:rPr>
          <w:rFonts w:ascii="Times New Roman" w:hAnsi="Times New Roman" w:cs="Times New Roman"/>
          <w:sz w:val="24"/>
          <w:szCs w:val="24"/>
        </w:rPr>
        <w:t xml:space="preserve"> pri zachovaní pôvodnej únosnosti pov</w:t>
      </w:r>
      <w:r>
        <w:rPr>
          <w:rFonts w:ascii="Times New Roman" w:hAnsi="Times New Roman" w:cs="Times New Roman"/>
          <w:sz w:val="24"/>
          <w:szCs w:val="24"/>
        </w:rPr>
        <w:t>rchu. Použitý materiál: betón</w:t>
      </w:r>
      <w:r w:rsidR="00C24CCE">
        <w:rPr>
          <w:rFonts w:ascii="Times New Roman" w:hAnsi="Times New Roman" w:cs="Times New Roman"/>
          <w:sz w:val="24"/>
          <w:szCs w:val="24"/>
        </w:rPr>
        <w:t>.</w:t>
      </w:r>
    </w:p>
    <w:p w:rsidR="00C24CCE" w:rsidP="004D0CC3">
      <w:pPr>
        <w:adjustRightInd/>
        <w:spacing w:line="240" w:lineRule="auto"/>
        <w:ind w:left="720"/>
        <w:textAlignment w:val="auto"/>
        <w:rPr>
          <w:rFonts w:ascii="Times New Roman" w:hAnsi="Times New Roman" w:cs="Times New Roman"/>
          <w:sz w:val="24"/>
          <w:szCs w:val="24"/>
        </w:rPr>
      </w:pPr>
    </w:p>
    <w:p w:rsidR="00FB4CD8" w:rsidRPr="004D0CC3" w:rsidP="004D0CC3">
      <w:pPr>
        <w:adjustRightInd/>
        <w:spacing w:line="240" w:lineRule="auto"/>
        <w:ind w:left="720"/>
        <w:textAlignment w:val="auto"/>
        <w:rPr>
          <w:rFonts w:ascii="Times New Roman" w:hAnsi="Times New Roman" w:cs="Times New Roman"/>
          <w:b/>
          <w:bCs/>
          <w:sz w:val="24"/>
          <w:szCs w:val="24"/>
        </w:rPr>
      </w:pPr>
      <w:r w:rsidR="00C24CCE">
        <w:rPr>
          <w:rFonts w:ascii="Times New Roman" w:hAnsi="Times New Roman" w:cs="Times New Roman"/>
          <w:sz w:val="24"/>
          <w:szCs w:val="24"/>
        </w:rPr>
        <w:t>B. R</w:t>
      </w:r>
      <w:r w:rsidRPr="00FB4CD8">
        <w:rPr>
          <w:rFonts w:ascii="Times New Roman" w:hAnsi="Times New Roman" w:cs="Times New Roman"/>
          <w:sz w:val="24"/>
          <w:szCs w:val="24"/>
        </w:rPr>
        <w:t>ozšírenie kapacity vstupnej časti terminálu pre sústredenie cestujúcich pred vybavením, rozšírenie kapacity terminálu po bezpečnostnom filtri. Celková kapacita vybavených cestujúcich bude 150 cestujúcich / let. Rozšírenie pôvodného terminálu je plánované smerom na sever. Prístavba bude naväz</w:t>
      </w:r>
      <w:r w:rsidR="00C24CCE">
        <w:rPr>
          <w:rFonts w:ascii="Times New Roman" w:hAnsi="Times New Roman" w:cs="Times New Roman"/>
          <w:sz w:val="24"/>
          <w:szCs w:val="24"/>
        </w:rPr>
        <w:t xml:space="preserve">ovať na pôvodnú stavbu </w:t>
      </w:r>
      <w:r w:rsidRPr="00FB4CD8">
        <w:rPr>
          <w:rFonts w:ascii="Times New Roman" w:hAnsi="Times New Roman" w:cs="Times New Roman"/>
          <w:sz w:val="24"/>
          <w:szCs w:val="24"/>
        </w:rPr>
        <w:t>a bude prízemná.</w:t>
      </w:r>
    </w:p>
    <w:p w:rsidR="00FB4CD8" w:rsidP="00FB4CD8">
      <w:pPr>
        <w:spacing w:line="240" w:lineRule="auto"/>
        <w:ind w:firstLine="360"/>
        <w:rPr>
          <w:rFonts w:ascii="Times New Roman" w:hAnsi="Times New Roman" w:cs="Times New Roman"/>
          <w:sz w:val="24"/>
          <w:szCs w:val="24"/>
        </w:rPr>
      </w:pPr>
    </w:p>
    <w:p w:rsidR="00FB4CD8" w:rsidRPr="00FB4CD8" w:rsidP="001654CB">
      <w:pPr>
        <w:numPr>
          <w:ilvl w:val="2"/>
          <w:numId w:val="20"/>
        </w:numPr>
        <w:tabs>
          <w:tab w:val="clear" w:pos="2340"/>
        </w:tabs>
        <w:adjustRightInd/>
        <w:spacing w:line="240" w:lineRule="auto"/>
        <w:ind w:left="720" w:hanging="720"/>
        <w:jc w:val="left"/>
        <w:textAlignment w:val="auto"/>
        <w:rPr>
          <w:rFonts w:ascii="Times New Roman" w:hAnsi="Times New Roman" w:cs="Times New Roman"/>
          <w:b/>
          <w:bCs/>
          <w:sz w:val="24"/>
          <w:szCs w:val="24"/>
        </w:rPr>
      </w:pPr>
      <w:r w:rsidRPr="00FB4CD8">
        <w:rPr>
          <w:rFonts w:ascii="Times New Roman" w:hAnsi="Times New Roman" w:cs="Times New Roman"/>
          <w:b/>
          <w:bCs/>
          <w:sz w:val="24"/>
          <w:szCs w:val="24"/>
        </w:rPr>
        <w:t>Modernizácia exteriérového bezpečnostného systému letiska Sliač</w:t>
      </w:r>
    </w:p>
    <w:p w:rsidR="00FB4CD8" w:rsidRPr="00FB4CD8" w:rsidP="00FB4CD8">
      <w:pPr>
        <w:spacing w:line="240" w:lineRule="auto"/>
        <w:rPr>
          <w:rFonts w:ascii="Times New Roman" w:hAnsi="Times New Roman" w:cs="Times New Roman"/>
          <w:b/>
          <w:bCs/>
          <w:sz w:val="24"/>
          <w:szCs w:val="24"/>
        </w:rPr>
      </w:pPr>
    </w:p>
    <w:p w:rsidR="00FB4CD8" w:rsidP="00C24CCE">
      <w:pPr>
        <w:spacing w:line="240" w:lineRule="auto"/>
        <w:ind w:left="720"/>
        <w:rPr>
          <w:rFonts w:ascii="Times New Roman" w:hAnsi="Times New Roman" w:cs="Times New Roman"/>
          <w:sz w:val="24"/>
          <w:szCs w:val="24"/>
        </w:rPr>
      </w:pPr>
      <w:r w:rsidRPr="00FB4CD8">
        <w:rPr>
          <w:rFonts w:ascii="Times New Roman" w:hAnsi="Times New Roman" w:cs="Times New Roman"/>
          <w:sz w:val="24"/>
          <w:szCs w:val="24"/>
        </w:rPr>
        <w:t xml:space="preserve">Predmetom </w:t>
      </w:r>
      <w:r w:rsidR="00C24CCE">
        <w:rPr>
          <w:rFonts w:ascii="Times New Roman" w:hAnsi="Times New Roman" w:cs="Times New Roman"/>
          <w:sz w:val="24"/>
          <w:szCs w:val="24"/>
        </w:rPr>
        <w:t xml:space="preserve">investície </w:t>
      </w:r>
      <w:r w:rsidRPr="00FB4CD8">
        <w:rPr>
          <w:rFonts w:ascii="Times New Roman" w:hAnsi="Times New Roman" w:cs="Times New Roman"/>
          <w:sz w:val="24"/>
          <w:szCs w:val="24"/>
        </w:rPr>
        <w:t>je inštalovanie kamerového monitorovacieho a záznamového systému pre ochranu perimetra civilnej časti letiska Sliač, odbavovacej plochy slúžiacej na pozemnú obsluhu lietadiel a kontrolný a monitorovací systém v interiéri vybavov</w:t>
      </w:r>
      <w:r w:rsidR="00C24CCE">
        <w:rPr>
          <w:rFonts w:ascii="Times New Roman" w:hAnsi="Times New Roman" w:cs="Times New Roman"/>
          <w:sz w:val="24"/>
          <w:szCs w:val="24"/>
        </w:rPr>
        <w:t xml:space="preserve">acieho terminálu letiska Sliač. Ďalej je to </w:t>
      </w:r>
      <w:r w:rsidRPr="00FB4CD8">
        <w:rPr>
          <w:rFonts w:ascii="Times New Roman" w:hAnsi="Times New Roman" w:cs="Times New Roman"/>
          <w:sz w:val="24"/>
          <w:szCs w:val="24"/>
        </w:rPr>
        <w:t>vybudovanie bezpečnostného oplotenia vyhradeného bezpečnostného priestoru a jeho osvetlenia pre výkon efektívneho stráženia odstavených a zaparkovaných civilných lietadiel, vybudovanie objektu pre výkon detekčnej kontroly zapísanej batožiny, jej triedenie a úschova a ochrana do doby naloženia na palubu lietadla.</w:t>
      </w:r>
    </w:p>
    <w:p w:rsidR="00C24CCE" w:rsidRPr="00FB4CD8" w:rsidP="00C24CCE">
      <w:pPr>
        <w:spacing w:line="240" w:lineRule="auto"/>
        <w:ind w:left="720"/>
        <w:rPr>
          <w:rFonts w:ascii="Times New Roman" w:hAnsi="Times New Roman" w:cs="Times New Roman"/>
          <w:sz w:val="24"/>
          <w:szCs w:val="24"/>
        </w:rPr>
      </w:pPr>
    </w:p>
    <w:p w:rsidR="00FB4CD8" w:rsidRPr="00FB4CD8" w:rsidP="001654CB">
      <w:pPr>
        <w:numPr>
          <w:ilvl w:val="2"/>
          <w:numId w:val="20"/>
        </w:numPr>
        <w:tabs>
          <w:tab w:val="clear" w:pos="2340"/>
        </w:tabs>
        <w:adjustRightInd/>
        <w:spacing w:line="240" w:lineRule="auto"/>
        <w:ind w:left="720" w:hanging="720"/>
        <w:jc w:val="left"/>
        <w:textAlignment w:val="auto"/>
        <w:rPr>
          <w:rFonts w:ascii="Times New Roman" w:hAnsi="Times New Roman" w:cs="Times New Roman"/>
          <w:b/>
          <w:bCs/>
          <w:sz w:val="24"/>
          <w:szCs w:val="24"/>
        </w:rPr>
      </w:pPr>
      <w:r w:rsidR="00C24CCE">
        <w:rPr>
          <w:rFonts w:ascii="Times New Roman" w:hAnsi="Times New Roman" w:cs="Times New Roman"/>
          <w:b/>
          <w:bCs/>
          <w:sz w:val="24"/>
          <w:szCs w:val="24"/>
        </w:rPr>
        <w:t xml:space="preserve">Modernizácia </w:t>
      </w:r>
      <w:r w:rsidRPr="00FB4CD8" w:rsidR="00C24CCE">
        <w:rPr>
          <w:rFonts w:ascii="Times New Roman" w:hAnsi="Times New Roman" w:cs="Times New Roman"/>
          <w:b/>
          <w:bCs/>
          <w:sz w:val="24"/>
          <w:szCs w:val="24"/>
        </w:rPr>
        <w:t>bezpečnostného systému letiska Sliač</w:t>
      </w:r>
      <w:r w:rsidR="00C24CCE">
        <w:rPr>
          <w:rFonts w:ascii="Times New Roman" w:hAnsi="Times New Roman" w:cs="Times New Roman"/>
          <w:b/>
          <w:bCs/>
          <w:sz w:val="24"/>
          <w:szCs w:val="24"/>
        </w:rPr>
        <w:t xml:space="preserve"> – </w:t>
      </w:r>
      <w:r w:rsidRPr="00FB4CD8">
        <w:rPr>
          <w:rFonts w:ascii="Times New Roman" w:hAnsi="Times New Roman" w:cs="Times New Roman"/>
          <w:b/>
          <w:bCs/>
          <w:sz w:val="24"/>
          <w:szCs w:val="24"/>
        </w:rPr>
        <w:t>vstupný a výstupný režim</w:t>
      </w:r>
    </w:p>
    <w:p w:rsidR="00FB4CD8" w:rsidRPr="00FB4CD8" w:rsidP="00FB4CD8">
      <w:pPr>
        <w:spacing w:line="240" w:lineRule="auto"/>
        <w:rPr>
          <w:rFonts w:ascii="Times New Roman" w:hAnsi="Times New Roman" w:cs="Times New Roman"/>
          <w:b/>
          <w:bCs/>
          <w:sz w:val="24"/>
          <w:szCs w:val="24"/>
        </w:rPr>
      </w:pPr>
    </w:p>
    <w:p w:rsidR="00C24CCE" w:rsidP="00C24CCE">
      <w:pPr>
        <w:spacing w:line="240" w:lineRule="auto"/>
        <w:ind w:left="720"/>
        <w:rPr>
          <w:rFonts w:ascii="Times New Roman" w:hAnsi="Times New Roman" w:cs="Times New Roman"/>
          <w:sz w:val="24"/>
          <w:szCs w:val="24"/>
        </w:rPr>
      </w:pPr>
      <w:r w:rsidRPr="00FB4CD8">
        <w:rPr>
          <w:rFonts w:ascii="Times New Roman" w:hAnsi="Times New Roman" w:cs="Times New Roman"/>
          <w:sz w:val="24"/>
          <w:szCs w:val="24"/>
        </w:rPr>
        <w:t xml:space="preserve">Predmetom </w:t>
      </w:r>
      <w:r>
        <w:rPr>
          <w:rFonts w:ascii="Times New Roman" w:hAnsi="Times New Roman" w:cs="Times New Roman"/>
          <w:sz w:val="24"/>
          <w:szCs w:val="24"/>
        </w:rPr>
        <w:t xml:space="preserve">investície </w:t>
      </w:r>
      <w:r w:rsidRPr="00FB4CD8">
        <w:rPr>
          <w:rFonts w:ascii="Times New Roman" w:hAnsi="Times New Roman" w:cs="Times New Roman"/>
          <w:sz w:val="24"/>
          <w:szCs w:val="24"/>
        </w:rPr>
        <w:t xml:space="preserve">je </w:t>
      </w:r>
      <w:r>
        <w:rPr>
          <w:rFonts w:ascii="Times New Roman" w:hAnsi="Times New Roman" w:cs="Times New Roman"/>
          <w:sz w:val="24"/>
          <w:szCs w:val="24"/>
        </w:rPr>
        <w:t xml:space="preserve">vybudovanie: </w:t>
      </w:r>
    </w:p>
    <w:p w:rsidR="00C24CCE" w:rsidP="00C24CCE">
      <w:pPr>
        <w:spacing w:line="240" w:lineRule="auto"/>
        <w:ind w:left="720"/>
        <w:rPr>
          <w:rFonts w:ascii="Times New Roman" w:hAnsi="Times New Roman" w:cs="Times New Roman"/>
          <w:sz w:val="24"/>
          <w:szCs w:val="24"/>
        </w:rPr>
      </w:pPr>
    </w:p>
    <w:p w:rsidR="00C24CCE" w:rsidP="005119BE">
      <w:pPr>
        <w:spacing w:line="240" w:lineRule="auto"/>
        <w:ind w:left="720"/>
        <w:rPr>
          <w:rFonts w:ascii="Times New Roman" w:hAnsi="Times New Roman" w:cs="Times New Roman"/>
          <w:sz w:val="24"/>
          <w:szCs w:val="24"/>
        </w:rPr>
      </w:pPr>
      <w:r w:rsidRPr="00FB4CD8" w:rsidR="00FB4CD8">
        <w:rPr>
          <w:rFonts w:ascii="Times New Roman" w:hAnsi="Times New Roman" w:cs="Times New Roman"/>
          <w:sz w:val="24"/>
          <w:szCs w:val="24"/>
        </w:rPr>
        <w:t>Systém</w:t>
      </w:r>
      <w:r>
        <w:rPr>
          <w:rFonts w:ascii="Times New Roman" w:hAnsi="Times New Roman" w:cs="Times New Roman"/>
          <w:sz w:val="24"/>
          <w:szCs w:val="24"/>
        </w:rPr>
        <w:t>u</w:t>
      </w:r>
      <w:r w:rsidRPr="00FB4CD8" w:rsidR="00FB4CD8">
        <w:rPr>
          <w:rFonts w:ascii="Times New Roman" w:hAnsi="Times New Roman" w:cs="Times New Roman"/>
          <w:sz w:val="24"/>
          <w:szCs w:val="24"/>
        </w:rPr>
        <w:t xml:space="preserve"> pre kontrolu a riadenie prístupu (Acces co</w:t>
      </w:r>
      <w:r>
        <w:rPr>
          <w:rFonts w:ascii="Times New Roman" w:hAnsi="Times New Roman" w:cs="Times New Roman"/>
          <w:sz w:val="24"/>
          <w:szCs w:val="24"/>
        </w:rPr>
        <w:t>ntrol) – je to a</w:t>
      </w:r>
      <w:r w:rsidRPr="00FB4CD8" w:rsidR="00FB4CD8">
        <w:rPr>
          <w:rFonts w:ascii="Times New Roman" w:hAnsi="Times New Roman" w:cs="Times New Roman"/>
          <w:sz w:val="24"/>
          <w:szCs w:val="24"/>
        </w:rPr>
        <w:t xml:space="preserve">utomatizovaný systém rozdeľujúci jednotlivé zóny letiska, ktorý </w:t>
      </w:r>
      <w:r>
        <w:rPr>
          <w:rFonts w:ascii="Times New Roman" w:hAnsi="Times New Roman" w:cs="Times New Roman"/>
          <w:sz w:val="24"/>
          <w:szCs w:val="24"/>
        </w:rPr>
        <w:t xml:space="preserve">prostredníctvom čipových kariet </w:t>
      </w:r>
      <w:r w:rsidRPr="00FB4CD8" w:rsidR="00FB4CD8">
        <w:rPr>
          <w:rFonts w:ascii="Times New Roman" w:hAnsi="Times New Roman" w:cs="Times New Roman"/>
          <w:sz w:val="24"/>
          <w:szCs w:val="24"/>
        </w:rPr>
        <w:t xml:space="preserve">a elektronických zámkov umožní vstup do jednotlivých zón iba </w:t>
      </w:r>
      <w:r>
        <w:rPr>
          <w:rFonts w:ascii="Times New Roman" w:hAnsi="Times New Roman" w:cs="Times New Roman"/>
          <w:sz w:val="24"/>
          <w:szCs w:val="24"/>
        </w:rPr>
        <w:t xml:space="preserve">oprávneným zamestnancom vrátane </w:t>
      </w:r>
      <w:r w:rsidRPr="00FB4CD8" w:rsidR="00FB4CD8">
        <w:rPr>
          <w:rFonts w:ascii="Times New Roman" w:hAnsi="Times New Roman" w:cs="Times New Roman"/>
          <w:sz w:val="24"/>
          <w:szCs w:val="24"/>
        </w:rPr>
        <w:t>monitorovania ich prítomnosti v bezpečnostne citlivých priestoroch letiska</w:t>
      </w:r>
      <w:r w:rsidR="005119BE">
        <w:rPr>
          <w:rFonts w:ascii="Times New Roman" w:hAnsi="Times New Roman" w:cs="Times New Roman"/>
          <w:sz w:val="24"/>
          <w:szCs w:val="24"/>
        </w:rPr>
        <w:t>;</w:t>
      </w:r>
    </w:p>
    <w:p w:rsidR="00C24CCE" w:rsidP="005119BE">
      <w:pPr>
        <w:spacing w:line="240" w:lineRule="auto"/>
        <w:ind w:left="720"/>
        <w:rPr>
          <w:rFonts w:ascii="Times New Roman" w:hAnsi="Times New Roman" w:cs="Times New Roman"/>
          <w:sz w:val="24"/>
          <w:szCs w:val="24"/>
        </w:rPr>
      </w:pPr>
      <w:r w:rsidRPr="00FB4CD8" w:rsidR="00FB4CD8">
        <w:rPr>
          <w:rFonts w:ascii="Times New Roman" w:hAnsi="Times New Roman" w:cs="Times New Roman"/>
          <w:sz w:val="24"/>
          <w:szCs w:val="24"/>
        </w:rPr>
        <w:t>Systém</w:t>
      </w:r>
      <w:r>
        <w:rPr>
          <w:rFonts w:ascii="Times New Roman" w:hAnsi="Times New Roman" w:cs="Times New Roman"/>
          <w:sz w:val="24"/>
          <w:szCs w:val="24"/>
        </w:rPr>
        <w:t>u</w:t>
      </w:r>
      <w:r w:rsidRPr="00FB4CD8" w:rsidR="00FB4CD8">
        <w:rPr>
          <w:rFonts w:ascii="Times New Roman" w:hAnsi="Times New Roman" w:cs="Times New Roman"/>
          <w:sz w:val="24"/>
          <w:szCs w:val="24"/>
        </w:rPr>
        <w:t xml:space="preserve"> on-lin</w:t>
      </w:r>
      <w:r>
        <w:rPr>
          <w:rFonts w:ascii="Times New Roman" w:hAnsi="Times New Roman" w:cs="Times New Roman"/>
          <w:sz w:val="24"/>
          <w:szCs w:val="24"/>
        </w:rPr>
        <w:t>e výroby identifikačných kariet – ide o s</w:t>
      </w:r>
      <w:r w:rsidRPr="00FB4CD8" w:rsidR="00FB4CD8">
        <w:rPr>
          <w:rFonts w:ascii="Times New Roman" w:hAnsi="Times New Roman" w:cs="Times New Roman"/>
          <w:sz w:val="24"/>
          <w:szCs w:val="24"/>
        </w:rPr>
        <w:t>ystém</w:t>
      </w:r>
      <w:r>
        <w:rPr>
          <w:rFonts w:ascii="Times New Roman" w:hAnsi="Times New Roman" w:cs="Times New Roman"/>
          <w:sz w:val="24"/>
          <w:szCs w:val="24"/>
        </w:rPr>
        <w:t xml:space="preserve"> </w:t>
      </w:r>
      <w:r w:rsidRPr="00FB4CD8" w:rsidR="00FB4CD8">
        <w:rPr>
          <w:rFonts w:ascii="Times New Roman" w:hAnsi="Times New Roman" w:cs="Times New Roman"/>
          <w:sz w:val="24"/>
          <w:szCs w:val="24"/>
        </w:rPr>
        <w:t>výroby identifikačných kariet slúžiacich na identifi</w:t>
      </w:r>
      <w:r>
        <w:rPr>
          <w:rFonts w:ascii="Times New Roman" w:hAnsi="Times New Roman" w:cs="Times New Roman"/>
          <w:sz w:val="24"/>
          <w:szCs w:val="24"/>
        </w:rPr>
        <w:t xml:space="preserve">káciu osôb na letisku a zároveň </w:t>
      </w:r>
      <w:r w:rsidRPr="00FB4CD8" w:rsidR="00FB4CD8">
        <w:rPr>
          <w:rFonts w:ascii="Times New Roman" w:hAnsi="Times New Roman" w:cs="Times New Roman"/>
          <w:sz w:val="24"/>
          <w:szCs w:val="24"/>
        </w:rPr>
        <w:t>umožňujúcich vstup do jednotlivých zón letiska podľa prideleného oprávnenia</w:t>
      </w:r>
      <w:r w:rsidR="005119BE">
        <w:rPr>
          <w:rFonts w:ascii="Times New Roman" w:hAnsi="Times New Roman" w:cs="Times New Roman"/>
          <w:sz w:val="24"/>
          <w:szCs w:val="24"/>
        </w:rPr>
        <w:t>;</w:t>
      </w:r>
    </w:p>
    <w:p w:rsidR="00FB4CD8" w:rsidRPr="00FB4CD8" w:rsidP="00C24CCE">
      <w:pPr>
        <w:spacing w:line="240" w:lineRule="auto"/>
        <w:ind w:left="720"/>
        <w:rPr>
          <w:rFonts w:ascii="Times New Roman" w:hAnsi="Times New Roman" w:cs="Times New Roman"/>
          <w:sz w:val="24"/>
          <w:szCs w:val="24"/>
        </w:rPr>
      </w:pPr>
      <w:r w:rsidRPr="00FB4CD8">
        <w:rPr>
          <w:rFonts w:ascii="Times New Roman" w:hAnsi="Times New Roman" w:cs="Times New Roman"/>
          <w:sz w:val="24"/>
          <w:szCs w:val="24"/>
        </w:rPr>
        <w:t>Systém</w:t>
      </w:r>
      <w:r w:rsidR="005119BE">
        <w:rPr>
          <w:rFonts w:ascii="Times New Roman" w:hAnsi="Times New Roman" w:cs="Times New Roman"/>
          <w:sz w:val="24"/>
          <w:szCs w:val="24"/>
        </w:rPr>
        <w:t xml:space="preserve">u evidencie dochádzky zamestnancov. </w:t>
      </w:r>
    </w:p>
    <w:p w:rsidR="00C24CCE" w:rsidRPr="00FB4CD8" w:rsidP="00A82B43">
      <w:pPr>
        <w:spacing w:line="240" w:lineRule="auto"/>
        <w:rPr>
          <w:rFonts w:ascii="Times New Roman" w:hAnsi="Times New Roman" w:cs="Times New Roman"/>
          <w:sz w:val="24"/>
          <w:szCs w:val="24"/>
        </w:rPr>
      </w:pPr>
    </w:p>
    <w:p w:rsidR="00FB4CD8" w:rsidRPr="00FB4CD8" w:rsidP="001654CB">
      <w:pPr>
        <w:numPr>
          <w:ilvl w:val="2"/>
          <w:numId w:val="20"/>
        </w:numPr>
        <w:tabs>
          <w:tab w:val="clear" w:pos="2340"/>
        </w:tabs>
        <w:adjustRightInd/>
        <w:spacing w:line="240" w:lineRule="auto"/>
        <w:ind w:left="720" w:hanging="720"/>
        <w:jc w:val="left"/>
        <w:textAlignment w:val="auto"/>
        <w:rPr>
          <w:rFonts w:ascii="Times New Roman" w:hAnsi="Times New Roman" w:cs="Times New Roman"/>
          <w:b/>
          <w:bCs/>
          <w:sz w:val="24"/>
          <w:szCs w:val="24"/>
        </w:rPr>
      </w:pPr>
      <w:r w:rsidRPr="00FB4CD8">
        <w:rPr>
          <w:rFonts w:ascii="Times New Roman" w:hAnsi="Times New Roman" w:cs="Times New Roman"/>
          <w:b/>
          <w:bCs/>
          <w:sz w:val="24"/>
          <w:szCs w:val="24"/>
        </w:rPr>
        <w:t>Prístavba príletového</w:t>
      </w:r>
      <w:r w:rsidR="00C24CCE">
        <w:rPr>
          <w:rFonts w:ascii="Times New Roman" w:hAnsi="Times New Roman" w:cs="Times New Roman"/>
          <w:b/>
          <w:bCs/>
          <w:sz w:val="24"/>
          <w:szCs w:val="24"/>
        </w:rPr>
        <w:t xml:space="preserve">  terminálu na letisku Poprad – </w:t>
      </w:r>
      <w:r w:rsidRPr="00FB4CD8">
        <w:rPr>
          <w:rFonts w:ascii="Times New Roman" w:hAnsi="Times New Roman" w:cs="Times New Roman"/>
          <w:b/>
          <w:bCs/>
          <w:sz w:val="24"/>
          <w:szCs w:val="24"/>
        </w:rPr>
        <w:t xml:space="preserve">Tatry   </w:t>
      </w:r>
    </w:p>
    <w:p w:rsidR="00FB4CD8" w:rsidRPr="00FB4CD8" w:rsidP="00FB4CD8">
      <w:pPr>
        <w:autoSpaceDE/>
        <w:autoSpaceDN/>
        <w:spacing w:line="240" w:lineRule="auto"/>
        <w:rPr>
          <w:rFonts w:ascii="Times New Roman" w:hAnsi="Times New Roman" w:cs="Times New Roman"/>
          <w:b/>
          <w:bCs/>
          <w:sz w:val="24"/>
          <w:szCs w:val="24"/>
        </w:rPr>
      </w:pPr>
    </w:p>
    <w:p w:rsidR="00C24CCE" w:rsidRPr="005119BE" w:rsidP="005119BE">
      <w:pPr>
        <w:spacing w:line="240" w:lineRule="auto"/>
        <w:ind w:left="720"/>
        <w:rPr>
          <w:rFonts w:ascii="Times New Roman" w:hAnsi="Times New Roman" w:cs="Times New Roman"/>
          <w:sz w:val="24"/>
          <w:szCs w:val="24"/>
        </w:rPr>
      </w:pPr>
      <w:r w:rsidRPr="00FB4CD8" w:rsidR="00FB4CD8">
        <w:rPr>
          <w:rFonts w:ascii="Times New Roman" w:hAnsi="Times New Roman" w:cs="Times New Roman"/>
          <w:sz w:val="24"/>
          <w:szCs w:val="24"/>
        </w:rPr>
        <w:t xml:space="preserve">Navrhovaný projekt má za cieľ zvýšiť kapacitu letiska z hľadiska počtu cestujúcich. Súčasný terminál nepostačuje kapacitne a spĺňa požiadavky Schengenských kritérií </w:t>
      </w:r>
      <w:r>
        <w:rPr>
          <w:rFonts w:ascii="Times New Roman" w:hAnsi="Times New Roman" w:cs="Times New Roman"/>
          <w:sz w:val="24"/>
          <w:szCs w:val="24"/>
        </w:rPr>
        <w:t xml:space="preserve">len </w:t>
      </w:r>
      <w:r w:rsidRPr="00FB4CD8" w:rsidR="00FB4CD8">
        <w:rPr>
          <w:rFonts w:ascii="Times New Roman" w:hAnsi="Times New Roman" w:cs="Times New Roman"/>
          <w:sz w:val="24"/>
          <w:szCs w:val="24"/>
        </w:rPr>
        <w:t>s výhradami.</w:t>
      </w:r>
      <w:r>
        <w:rPr>
          <w:rFonts w:ascii="Times New Roman" w:hAnsi="Times New Roman" w:cs="Times New Roman"/>
          <w:sz w:val="24"/>
          <w:szCs w:val="24"/>
        </w:rPr>
        <w:t xml:space="preserve"> Z prevádzkového hľadiska bude </w:t>
      </w:r>
      <w:r w:rsidRPr="00FB4CD8" w:rsidR="00FB4CD8">
        <w:rPr>
          <w:rFonts w:ascii="Times New Roman" w:hAnsi="Times New Roman" w:cs="Times New Roman"/>
          <w:sz w:val="24"/>
          <w:szCs w:val="24"/>
        </w:rPr>
        <w:t>spĺňať kapacitné požiadavky na vybave</w:t>
      </w:r>
      <w:r w:rsidR="00365134">
        <w:rPr>
          <w:rFonts w:ascii="Times New Roman" w:hAnsi="Times New Roman" w:cs="Times New Roman"/>
          <w:sz w:val="24"/>
          <w:szCs w:val="24"/>
        </w:rPr>
        <w:t>-</w:t>
      </w:r>
      <w:r w:rsidRPr="00FB4CD8" w:rsidR="00FB4CD8">
        <w:rPr>
          <w:rFonts w:ascii="Times New Roman" w:hAnsi="Times New Roman" w:cs="Times New Roman"/>
          <w:sz w:val="24"/>
          <w:szCs w:val="24"/>
        </w:rPr>
        <w:t>nie lietadla s kapacitou okolo 200 cestujúcich, s prihliadnutím, že väčšina cestujúcich v zimnom období má väčší objem batožín, vrátane lyží. Z bezpečnostného hľadiska musí spĺňať podmienky Schengenských kritérií, požiadaviek colných, pasových a bezpečnostných orgánov vyplývajúc</w:t>
      </w:r>
      <w:r w:rsidR="00365134">
        <w:rPr>
          <w:rFonts w:ascii="Times New Roman" w:hAnsi="Times New Roman" w:cs="Times New Roman"/>
          <w:sz w:val="24"/>
          <w:szCs w:val="24"/>
        </w:rPr>
        <w:t xml:space="preserve">ich z národných a medzinárodných </w:t>
      </w:r>
      <w:r w:rsidRPr="00FB4CD8" w:rsidR="00FB4CD8">
        <w:rPr>
          <w:rFonts w:ascii="Times New Roman" w:hAnsi="Times New Roman" w:cs="Times New Roman"/>
          <w:sz w:val="24"/>
          <w:szCs w:val="24"/>
        </w:rPr>
        <w:t xml:space="preserve">predpisov. </w:t>
      </w:r>
    </w:p>
    <w:p w:rsidR="00FB4CD8" w:rsidRPr="00C24CCE" w:rsidP="001654CB">
      <w:pPr>
        <w:numPr>
          <w:ilvl w:val="2"/>
          <w:numId w:val="20"/>
        </w:numPr>
        <w:tabs>
          <w:tab w:val="clear" w:pos="2340"/>
        </w:tabs>
        <w:adjustRightInd/>
        <w:spacing w:line="240" w:lineRule="auto"/>
        <w:ind w:left="720" w:hanging="720"/>
        <w:jc w:val="left"/>
        <w:textAlignment w:val="auto"/>
        <w:rPr>
          <w:rFonts w:ascii="Times New Roman" w:hAnsi="Times New Roman" w:cs="Times New Roman"/>
          <w:b/>
          <w:bCs/>
          <w:sz w:val="24"/>
          <w:szCs w:val="24"/>
        </w:rPr>
      </w:pPr>
      <w:r w:rsidRPr="00FB4CD8">
        <w:rPr>
          <w:rFonts w:ascii="Times New Roman" w:hAnsi="Times New Roman" w:cs="Times New Roman"/>
          <w:b/>
          <w:bCs/>
          <w:sz w:val="24"/>
          <w:szCs w:val="24"/>
        </w:rPr>
        <w:t>Modernizácia bezpeč</w:t>
      </w:r>
      <w:r w:rsidR="00C24CCE">
        <w:rPr>
          <w:rFonts w:ascii="Times New Roman" w:hAnsi="Times New Roman" w:cs="Times New Roman"/>
          <w:b/>
          <w:bCs/>
          <w:sz w:val="24"/>
          <w:szCs w:val="24"/>
        </w:rPr>
        <w:t xml:space="preserve">nostného systému letiska Poprad – Tatry – </w:t>
      </w:r>
      <w:r w:rsidRPr="00FB4CD8">
        <w:rPr>
          <w:rFonts w:ascii="Times New Roman" w:hAnsi="Times New Roman" w:cs="Times New Roman"/>
          <w:b/>
          <w:bCs/>
          <w:sz w:val="24"/>
          <w:szCs w:val="24"/>
        </w:rPr>
        <w:t>oplotenie areálu letiska a osvetlenie vybavovacej plochy</w:t>
      </w:r>
    </w:p>
    <w:p w:rsidR="00FB4CD8" w:rsidRPr="00FB4CD8" w:rsidP="005119BE">
      <w:pPr>
        <w:spacing w:line="240" w:lineRule="auto"/>
        <w:rPr>
          <w:rFonts w:ascii="Times New Roman" w:hAnsi="Times New Roman" w:cs="Times New Roman"/>
          <w:b/>
          <w:bCs/>
          <w:sz w:val="24"/>
          <w:szCs w:val="24"/>
        </w:rPr>
      </w:pPr>
    </w:p>
    <w:p w:rsidR="00FB4CD8" w:rsidRPr="00FC7223" w:rsidP="005119BE">
      <w:pPr>
        <w:spacing w:line="240" w:lineRule="auto"/>
        <w:ind w:left="720"/>
        <w:rPr>
          <w:rFonts w:ascii="Times New Roman" w:hAnsi="Times New Roman" w:cs="Times New Roman"/>
          <w:sz w:val="24"/>
          <w:szCs w:val="24"/>
          <w:u w:val="single"/>
        </w:rPr>
      </w:pPr>
      <w:r w:rsidRPr="00FC7223">
        <w:rPr>
          <w:rFonts w:ascii="Times New Roman" w:hAnsi="Times New Roman" w:cs="Times New Roman"/>
          <w:sz w:val="24"/>
          <w:szCs w:val="24"/>
          <w:u w:val="single"/>
        </w:rPr>
        <w:t>Oplotenie letiska</w:t>
      </w:r>
    </w:p>
    <w:p w:rsidR="00FB4CD8" w:rsidRPr="00FB4CD8" w:rsidP="005119BE">
      <w:pPr>
        <w:spacing w:line="240" w:lineRule="auto"/>
        <w:ind w:left="720"/>
        <w:rPr>
          <w:rFonts w:ascii="Times New Roman" w:hAnsi="Times New Roman" w:cs="Times New Roman"/>
          <w:sz w:val="24"/>
          <w:szCs w:val="24"/>
        </w:rPr>
      </w:pPr>
      <w:r w:rsidRPr="00FB4CD8">
        <w:rPr>
          <w:rFonts w:ascii="Times New Roman" w:hAnsi="Times New Roman" w:cs="Times New Roman"/>
          <w:sz w:val="24"/>
          <w:szCs w:val="24"/>
        </w:rPr>
        <w:t xml:space="preserve"> </w:t>
      </w:r>
    </w:p>
    <w:p w:rsidR="00FB4CD8" w:rsidP="005119BE">
      <w:pPr>
        <w:tabs>
          <w:tab w:val="left" w:pos="1134"/>
        </w:tabs>
        <w:spacing w:line="240" w:lineRule="auto"/>
        <w:ind w:left="720" w:right="-1"/>
        <w:rPr>
          <w:rFonts w:ascii="Times New Roman" w:hAnsi="Times New Roman" w:cs="Times New Roman"/>
          <w:sz w:val="24"/>
          <w:szCs w:val="24"/>
        </w:rPr>
      </w:pPr>
      <w:r w:rsidR="005119BE">
        <w:rPr>
          <w:rFonts w:ascii="Times New Roman" w:hAnsi="Times New Roman" w:cs="Times New Roman"/>
          <w:sz w:val="24"/>
          <w:szCs w:val="24"/>
        </w:rPr>
        <w:t xml:space="preserve">Oplotenie bude </w:t>
      </w:r>
      <w:r w:rsidRPr="00FB4CD8">
        <w:rPr>
          <w:rFonts w:ascii="Times New Roman" w:hAnsi="Times New Roman" w:cs="Times New Roman"/>
          <w:sz w:val="24"/>
          <w:szCs w:val="24"/>
        </w:rPr>
        <w:t>oddeľovať priestory určené na prevádzku letiska (airside) a priestory určené pre verejnosť (landside). Na oplotenie letiska je potrebné inštalovať výstražný systém, ktorý signalizuje narušenie osobami alebo zvieratami a kamerový systém na následný monitoring pohybu neoprávnených osôb.</w:t>
      </w:r>
    </w:p>
    <w:p w:rsidR="00FC7223" w:rsidRPr="00FB4CD8" w:rsidP="005119BE">
      <w:pPr>
        <w:tabs>
          <w:tab w:val="left" w:pos="1134"/>
        </w:tabs>
        <w:spacing w:line="240" w:lineRule="auto"/>
        <w:ind w:left="720" w:right="-1"/>
        <w:rPr>
          <w:rFonts w:ascii="Times New Roman" w:hAnsi="Times New Roman" w:cs="Times New Roman"/>
          <w:sz w:val="24"/>
          <w:szCs w:val="24"/>
        </w:rPr>
      </w:pPr>
    </w:p>
    <w:p w:rsidR="00FC7223" w:rsidRPr="005119BE" w:rsidP="005119BE">
      <w:pPr>
        <w:tabs>
          <w:tab w:val="left" w:pos="1134"/>
        </w:tabs>
        <w:spacing w:line="240" w:lineRule="auto"/>
        <w:ind w:left="720" w:right="-1"/>
        <w:rPr>
          <w:rFonts w:ascii="Times New Roman" w:hAnsi="Times New Roman" w:cs="Times New Roman"/>
          <w:sz w:val="24"/>
          <w:szCs w:val="24"/>
          <w:u w:val="single"/>
        </w:rPr>
      </w:pPr>
      <w:r w:rsidRPr="00FC7223" w:rsidR="00FB4CD8">
        <w:rPr>
          <w:rFonts w:ascii="Times New Roman" w:hAnsi="Times New Roman" w:cs="Times New Roman"/>
          <w:sz w:val="24"/>
          <w:szCs w:val="24"/>
          <w:u w:val="single"/>
        </w:rPr>
        <w:t>Osvetlenie vybavovacej plochy</w:t>
      </w:r>
    </w:p>
    <w:p w:rsidR="00FC7223" w:rsidRPr="00FB4CD8" w:rsidP="005119BE">
      <w:pPr>
        <w:tabs>
          <w:tab w:val="left" w:pos="1134"/>
        </w:tabs>
        <w:spacing w:line="240" w:lineRule="auto"/>
        <w:ind w:left="720" w:right="-1"/>
        <w:rPr>
          <w:rFonts w:ascii="Times New Roman" w:hAnsi="Times New Roman" w:cs="Times New Roman"/>
          <w:sz w:val="24"/>
          <w:szCs w:val="24"/>
        </w:rPr>
      </w:pPr>
    </w:p>
    <w:p w:rsidR="00FB4CD8" w:rsidRPr="00FB4CD8" w:rsidP="001654CB">
      <w:pPr>
        <w:numPr>
          <w:ilvl w:val="2"/>
          <w:numId w:val="20"/>
        </w:numPr>
        <w:tabs>
          <w:tab w:val="clear" w:pos="2340"/>
        </w:tabs>
        <w:adjustRightInd/>
        <w:spacing w:line="240" w:lineRule="auto"/>
        <w:ind w:left="720" w:hanging="720"/>
        <w:jc w:val="left"/>
        <w:textAlignment w:val="auto"/>
        <w:rPr>
          <w:rFonts w:ascii="Times New Roman" w:hAnsi="Times New Roman" w:cs="Times New Roman"/>
          <w:b/>
          <w:bCs/>
          <w:sz w:val="24"/>
          <w:szCs w:val="24"/>
        </w:rPr>
      </w:pPr>
      <w:r w:rsidRPr="00FB4CD8">
        <w:rPr>
          <w:rFonts w:ascii="Times New Roman" w:hAnsi="Times New Roman" w:cs="Times New Roman"/>
          <w:b/>
          <w:bCs/>
          <w:sz w:val="24"/>
          <w:szCs w:val="24"/>
        </w:rPr>
        <w:t>Rozvoj a modernizácia bezpečnostného systému letiska Žilina</w:t>
      </w:r>
    </w:p>
    <w:p w:rsidR="00FB4CD8" w:rsidRPr="00FB4CD8" w:rsidP="005119BE">
      <w:pPr>
        <w:tabs>
          <w:tab w:val="left" w:pos="1134"/>
        </w:tabs>
        <w:spacing w:line="240" w:lineRule="auto"/>
        <w:ind w:right="-1"/>
        <w:rPr>
          <w:rFonts w:ascii="Times New Roman" w:hAnsi="Times New Roman" w:cs="Times New Roman"/>
          <w:b/>
          <w:bCs/>
          <w:sz w:val="24"/>
          <w:szCs w:val="24"/>
        </w:rPr>
      </w:pPr>
    </w:p>
    <w:p w:rsidR="00FB4CD8" w:rsidRPr="00FB4CD8" w:rsidP="005119BE">
      <w:pPr>
        <w:tabs>
          <w:tab w:val="left" w:pos="1134"/>
        </w:tabs>
        <w:spacing w:line="240" w:lineRule="auto"/>
        <w:ind w:left="720" w:right="-1"/>
        <w:rPr>
          <w:rFonts w:ascii="Times New Roman" w:hAnsi="Times New Roman" w:cs="Times New Roman"/>
          <w:sz w:val="24"/>
          <w:szCs w:val="24"/>
        </w:rPr>
      </w:pPr>
      <w:r w:rsidRPr="00FB4CD8">
        <w:rPr>
          <w:rFonts w:ascii="Times New Roman" w:hAnsi="Times New Roman" w:cs="Times New Roman"/>
          <w:sz w:val="24"/>
          <w:szCs w:val="24"/>
        </w:rPr>
        <w:t>Projekt predpokladá nákup a inštaláciu zariadení bezpečnostnej techniky: RTG pre zapísanú batožinu, RTG pre príručnú batožinu, 3 ks ručných detektorov kovov, detektor výbušnín, 2 ks prechodový</w:t>
      </w:r>
      <w:r w:rsidR="00481DFB">
        <w:rPr>
          <w:rFonts w:ascii="Times New Roman" w:hAnsi="Times New Roman" w:cs="Times New Roman"/>
          <w:sz w:val="24"/>
          <w:szCs w:val="24"/>
        </w:rPr>
        <w:t>ch</w:t>
      </w:r>
      <w:r w:rsidRPr="00FB4CD8">
        <w:rPr>
          <w:rFonts w:ascii="Times New Roman" w:hAnsi="Times New Roman" w:cs="Times New Roman"/>
          <w:sz w:val="24"/>
          <w:szCs w:val="24"/>
        </w:rPr>
        <w:t xml:space="preserve"> rám</w:t>
      </w:r>
      <w:r w:rsidR="00481DFB">
        <w:rPr>
          <w:rFonts w:ascii="Times New Roman" w:hAnsi="Times New Roman" w:cs="Times New Roman"/>
          <w:sz w:val="24"/>
          <w:szCs w:val="24"/>
        </w:rPr>
        <w:t>ov</w:t>
      </w:r>
      <w:r w:rsidRPr="00FB4CD8">
        <w:rPr>
          <w:rFonts w:ascii="Times New Roman" w:hAnsi="Times New Roman" w:cs="Times New Roman"/>
          <w:sz w:val="24"/>
          <w:szCs w:val="24"/>
        </w:rPr>
        <w:t>, elektronický prístupový systé</w:t>
      </w:r>
      <w:r w:rsidR="00356D72">
        <w:rPr>
          <w:rFonts w:ascii="Times New Roman" w:hAnsi="Times New Roman" w:cs="Times New Roman"/>
          <w:sz w:val="24"/>
          <w:szCs w:val="24"/>
        </w:rPr>
        <w:t>m založený na bezkontaktových čí</w:t>
      </w:r>
      <w:r w:rsidRPr="00FB4CD8">
        <w:rPr>
          <w:rFonts w:ascii="Times New Roman" w:hAnsi="Times New Roman" w:cs="Times New Roman"/>
          <w:sz w:val="24"/>
          <w:szCs w:val="24"/>
        </w:rPr>
        <w:t>pových kartách a kamerový kontrolný systém.</w:t>
      </w:r>
    </w:p>
    <w:p w:rsidR="00FB4CD8" w:rsidRPr="00905F63" w:rsidP="005119BE">
      <w:pPr>
        <w:tabs>
          <w:tab w:val="left" w:pos="1134"/>
        </w:tabs>
        <w:spacing w:line="240" w:lineRule="auto"/>
        <w:ind w:right="-1"/>
        <w:rPr>
          <w:rFonts w:ascii="Arial Narrow" w:hAnsi="Arial Narrow" w:cs="Times New Roman"/>
        </w:rPr>
      </w:pPr>
    </w:p>
    <w:p w:rsidR="00FB4CD8" w:rsidP="005119BE">
      <w:pPr>
        <w:spacing w:line="240" w:lineRule="auto"/>
        <w:rPr>
          <w:rFonts w:ascii="Times New Roman" w:hAnsi="Times New Roman" w:cs="Times New Roman"/>
          <w:sz w:val="24"/>
          <w:szCs w:val="24"/>
        </w:rPr>
      </w:pPr>
    </w:p>
    <w:p w:rsidR="00966F0E" w:rsidP="007A2B52">
      <w:pPr>
        <w:pStyle w:val="NormalIndent"/>
        <w:tabs>
          <w:tab w:val="left" w:pos="0"/>
        </w:tabs>
        <w:spacing w:line="240" w:lineRule="auto"/>
        <w:ind w:left="0"/>
        <w:rPr>
          <w:rFonts w:ascii="Times New Roman" w:hAnsi="Times New Roman" w:cs="Times New Roman"/>
          <w:bCs/>
          <w:sz w:val="28"/>
          <w:szCs w:val="28"/>
        </w:rPr>
      </w:pPr>
      <w:r w:rsidR="00BE3C27">
        <w:rPr>
          <w:rFonts w:cs="Times New Roman"/>
          <w:b/>
          <w:bCs/>
          <w:sz w:val="28"/>
        </w:rPr>
        <w:t>G</w:t>
      </w:r>
      <w:r w:rsidR="007B76AE">
        <w:rPr>
          <w:rFonts w:cs="Times New Roman"/>
          <w:b/>
          <w:bCs/>
          <w:sz w:val="28"/>
        </w:rPr>
        <w:t>: Medzirezortný podprogram 06E01 – MDPT SR – Dopravná a  telekomunikačná podpora</w:t>
      </w:r>
      <w:r w:rsidR="007B76AE">
        <w:rPr>
          <w:rFonts w:ascii="Times New Roman" w:hAnsi="Times New Roman" w:cs="Times New Roman"/>
          <w:bCs/>
          <w:sz w:val="28"/>
          <w:szCs w:val="28"/>
        </w:rPr>
        <w:t xml:space="preserve"> </w:t>
      </w:r>
    </w:p>
    <w:p w:rsidR="007A2B52" w:rsidP="007A2B52">
      <w:pPr>
        <w:spacing w:line="240" w:lineRule="auto"/>
        <w:rPr>
          <w:rFonts w:ascii="Times New Roman" w:hAnsi="Times New Roman" w:cs="Times New Roman"/>
          <w:b/>
          <w:sz w:val="24"/>
          <w:u w:val="single"/>
        </w:rPr>
      </w:pPr>
    </w:p>
    <w:p w:rsidR="007A2B52" w:rsidRPr="00BD6B51" w:rsidP="007A2B52">
      <w:pPr>
        <w:spacing w:line="240" w:lineRule="auto"/>
        <w:rPr>
          <w:rFonts w:ascii="Times New Roman" w:hAnsi="Times New Roman" w:cs="Times New Roman"/>
          <w:sz w:val="24"/>
          <w:u w:val="single"/>
        </w:rPr>
      </w:pPr>
      <w:r w:rsidRPr="00BD6B51">
        <w:rPr>
          <w:rFonts w:ascii="Times New Roman" w:hAnsi="Times New Roman" w:cs="Times New Roman"/>
          <w:b/>
          <w:sz w:val="24"/>
          <w:u w:val="single"/>
        </w:rPr>
        <w:t>06E01 MDPaT SR  Dopravná a telekomunikačná podpora:</w:t>
      </w:r>
    </w:p>
    <w:p w:rsidR="007A2B52" w:rsidP="007A2B52">
      <w:pPr>
        <w:spacing w:line="240" w:lineRule="auto"/>
        <w:rPr>
          <w:rFonts w:ascii="Times New Roman" w:hAnsi="Times New Roman" w:cs="Times New Roman"/>
          <w:sz w:val="24"/>
        </w:rPr>
      </w:pPr>
      <w:r w:rsidR="00A234EB">
        <w:rPr>
          <w:rFonts w:ascii="Times New Roman" w:hAnsi="Times New Roman" w:cs="Times New Roman"/>
          <w:sz w:val="24"/>
        </w:rPr>
        <w:t>(gestor – Ministerstvo obrany SR)</w:t>
      </w:r>
    </w:p>
    <w:p w:rsidR="00A234EB" w:rsidP="007A2B52">
      <w:pPr>
        <w:spacing w:line="240" w:lineRule="auto"/>
        <w:rPr>
          <w:rFonts w:ascii="Times New Roman" w:hAnsi="Times New Roman" w:cs="Times New Roman"/>
          <w:sz w:val="24"/>
        </w:rPr>
      </w:pPr>
    </w:p>
    <w:p w:rsidR="007A2B52" w:rsidRPr="00366E3B" w:rsidP="007A2B52">
      <w:pPr>
        <w:spacing w:line="240" w:lineRule="auto"/>
        <w:rPr>
          <w:rStyle w:val="tlTunKurzva"/>
          <w:rFonts w:ascii="Times New Roman" w:hAnsi="Times New Roman"/>
          <w:i w:val="0"/>
          <w:sz w:val="24"/>
          <w:szCs w:val="24"/>
        </w:rPr>
      </w:pPr>
      <w:r>
        <w:rPr>
          <w:rStyle w:val="tlTunKurzva"/>
          <w:rFonts w:ascii="Times New Roman" w:hAnsi="Times New Roman"/>
          <w:i w:val="0"/>
          <w:sz w:val="24"/>
          <w:szCs w:val="24"/>
        </w:rPr>
        <w:t xml:space="preserve">    </w:t>
      </w:r>
      <w:r w:rsidRPr="00366E3B">
        <w:rPr>
          <w:rStyle w:val="tlTunKurzva"/>
          <w:rFonts w:ascii="Times New Roman" w:hAnsi="Times New Roman"/>
          <w:i w:val="0"/>
          <w:sz w:val="24"/>
          <w:szCs w:val="24"/>
        </w:rPr>
        <w:t>Celkový prehľad čerpania:</w:t>
      </w:r>
    </w:p>
    <w:p w:rsidR="007A2B52" w:rsidRPr="00366E3B" w:rsidP="007A2B52">
      <w:pPr>
        <w:spacing w:line="240" w:lineRule="auto"/>
        <w:rPr>
          <w:rStyle w:val="tlTunKurzva"/>
          <w:rFonts w:ascii="Times New Roman" w:hAnsi="Times New Roman"/>
          <w:i w:val="0"/>
          <w:sz w:val="24"/>
          <w:szCs w:val="24"/>
        </w:rPr>
      </w:pPr>
    </w:p>
    <w:p w:rsidR="007A2B52" w:rsidP="001654CB">
      <w:pPr>
        <w:numPr>
          <w:ilvl w:val="1"/>
          <w:numId w:val="37"/>
        </w:numPr>
        <w:tabs>
          <w:tab w:val="left" w:pos="567"/>
          <w:tab w:val="clear" w:pos="1440"/>
        </w:tabs>
        <w:autoSpaceDE/>
        <w:autoSpaceDN/>
        <w:adjustRightInd/>
        <w:spacing w:line="240" w:lineRule="auto"/>
        <w:ind w:hanging="1156"/>
        <w:textAlignment w:val="auto"/>
        <w:rPr>
          <w:rStyle w:val="tlTunKurzva"/>
          <w:rFonts w:ascii="Times New Roman" w:hAnsi="Times New Roman"/>
          <w:b w:val="0"/>
          <w:i w:val="0"/>
          <w:sz w:val="24"/>
          <w:szCs w:val="24"/>
        </w:rPr>
      </w:pPr>
      <w:r w:rsidR="002A36CF">
        <w:rPr>
          <w:rStyle w:val="tlTunKurzva"/>
          <w:rFonts w:ascii="Times New Roman" w:hAnsi="Times New Roman"/>
          <w:b w:val="0"/>
          <w:i w:val="0"/>
          <w:sz w:val="24"/>
          <w:szCs w:val="24"/>
        </w:rPr>
        <w:t>Schválený rozpočet....................................................</w:t>
      </w:r>
      <w:r w:rsidR="00960418">
        <w:rPr>
          <w:rStyle w:val="tlTunKurzva"/>
          <w:rFonts w:ascii="Times New Roman" w:hAnsi="Times New Roman"/>
          <w:b w:val="0"/>
          <w:i w:val="0"/>
          <w:sz w:val="24"/>
          <w:szCs w:val="24"/>
        </w:rPr>
        <w:t xml:space="preserve">..............................67 000 000,00 </w:t>
      </w:r>
      <w:r w:rsidRPr="00366E3B">
        <w:rPr>
          <w:rStyle w:val="tlTunKurzva"/>
          <w:rFonts w:ascii="Times New Roman" w:hAnsi="Times New Roman"/>
          <w:b w:val="0"/>
          <w:i w:val="0"/>
          <w:sz w:val="24"/>
          <w:szCs w:val="24"/>
        </w:rPr>
        <w:t>Sk</w:t>
      </w:r>
    </w:p>
    <w:p w:rsidR="00960418" w:rsidRPr="00366E3B" w:rsidP="001654CB">
      <w:pPr>
        <w:numPr>
          <w:ilvl w:val="1"/>
          <w:numId w:val="37"/>
        </w:numPr>
        <w:tabs>
          <w:tab w:val="left" w:pos="567"/>
          <w:tab w:val="clear" w:pos="1440"/>
        </w:tabs>
        <w:autoSpaceDE/>
        <w:autoSpaceDN/>
        <w:adjustRightInd/>
        <w:spacing w:line="240" w:lineRule="auto"/>
        <w:ind w:hanging="1156"/>
        <w:textAlignment w:val="auto"/>
        <w:rPr>
          <w:rStyle w:val="tlTunKurzva"/>
          <w:rFonts w:ascii="Times New Roman" w:hAnsi="Times New Roman"/>
          <w:b w:val="0"/>
          <w:i w:val="0"/>
          <w:sz w:val="24"/>
          <w:szCs w:val="24"/>
        </w:rPr>
      </w:pPr>
      <w:r>
        <w:rPr>
          <w:rStyle w:val="tlTunKurzva"/>
          <w:rFonts w:ascii="Times New Roman" w:hAnsi="Times New Roman"/>
          <w:b w:val="0"/>
          <w:i w:val="0"/>
          <w:sz w:val="24"/>
          <w:szCs w:val="24"/>
        </w:rPr>
        <w:t xml:space="preserve">Upravený rozpočet pre RO MF SR č. 29................................................56 000 000,00 Sk </w:t>
      </w:r>
    </w:p>
    <w:p w:rsidR="007A2B52" w:rsidP="001654CB">
      <w:pPr>
        <w:numPr>
          <w:ilvl w:val="1"/>
          <w:numId w:val="37"/>
        </w:numPr>
        <w:tabs>
          <w:tab w:val="left" w:pos="567"/>
          <w:tab w:val="clear" w:pos="1440"/>
        </w:tabs>
        <w:autoSpaceDE/>
        <w:autoSpaceDN/>
        <w:adjustRightInd/>
        <w:spacing w:line="240" w:lineRule="auto"/>
        <w:ind w:hanging="1156"/>
        <w:textAlignment w:val="auto"/>
        <w:rPr>
          <w:rStyle w:val="tlTunKurzva"/>
          <w:rFonts w:ascii="Times New Roman" w:hAnsi="Times New Roman"/>
          <w:b w:val="0"/>
          <w:i w:val="0"/>
          <w:sz w:val="24"/>
          <w:szCs w:val="24"/>
        </w:rPr>
      </w:pPr>
      <w:r w:rsidR="002A36CF">
        <w:rPr>
          <w:rStyle w:val="tlTunKurzva"/>
          <w:rFonts w:ascii="Times New Roman" w:hAnsi="Times New Roman"/>
          <w:b w:val="0"/>
          <w:i w:val="0"/>
          <w:sz w:val="24"/>
          <w:szCs w:val="24"/>
        </w:rPr>
        <w:t>Upravený rozpo</w:t>
      </w:r>
      <w:r w:rsidR="00960418">
        <w:rPr>
          <w:rStyle w:val="tlTunKurzva"/>
          <w:rFonts w:ascii="Times New Roman" w:hAnsi="Times New Roman"/>
          <w:b w:val="0"/>
          <w:i w:val="0"/>
          <w:sz w:val="24"/>
          <w:szCs w:val="24"/>
        </w:rPr>
        <w:t>čet k 31.12.2007.......</w:t>
      </w:r>
      <w:r w:rsidR="002A36CF">
        <w:rPr>
          <w:rStyle w:val="tlTunKurzva"/>
          <w:rFonts w:ascii="Times New Roman" w:hAnsi="Times New Roman"/>
          <w:b w:val="0"/>
          <w:i w:val="0"/>
          <w:sz w:val="24"/>
          <w:szCs w:val="24"/>
        </w:rPr>
        <w:t>.............</w:t>
      </w:r>
      <w:r w:rsidR="00960418">
        <w:rPr>
          <w:rStyle w:val="tlTunKurzva"/>
          <w:rFonts w:ascii="Times New Roman" w:hAnsi="Times New Roman"/>
          <w:b w:val="0"/>
          <w:i w:val="0"/>
          <w:sz w:val="24"/>
          <w:szCs w:val="24"/>
        </w:rPr>
        <w:t>.............................</w:t>
      </w:r>
      <w:r w:rsidR="002A36CF">
        <w:rPr>
          <w:rStyle w:val="tlTunKurzva"/>
          <w:rFonts w:ascii="Times New Roman" w:hAnsi="Times New Roman"/>
          <w:b w:val="0"/>
          <w:i w:val="0"/>
          <w:sz w:val="24"/>
          <w:szCs w:val="24"/>
        </w:rPr>
        <w:t>...........</w:t>
      </w:r>
      <w:r w:rsidR="00960418">
        <w:rPr>
          <w:rStyle w:val="tlTunKurzva"/>
          <w:rFonts w:ascii="Times New Roman" w:hAnsi="Times New Roman"/>
          <w:b w:val="0"/>
          <w:i w:val="0"/>
          <w:sz w:val="24"/>
          <w:szCs w:val="24"/>
        </w:rPr>
        <w:t xml:space="preserve">23 944 900,00 </w:t>
      </w:r>
      <w:r w:rsidRPr="00366E3B">
        <w:rPr>
          <w:rStyle w:val="tlTunKurzva"/>
          <w:rFonts w:ascii="Times New Roman" w:hAnsi="Times New Roman"/>
          <w:b w:val="0"/>
          <w:i w:val="0"/>
          <w:sz w:val="24"/>
          <w:szCs w:val="24"/>
        </w:rPr>
        <w:t>Sk</w:t>
      </w:r>
    </w:p>
    <w:p w:rsidR="002A36CF" w:rsidRPr="00366E3B" w:rsidP="001654CB">
      <w:pPr>
        <w:numPr>
          <w:ilvl w:val="1"/>
          <w:numId w:val="37"/>
        </w:numPr>
        <w:tabs>
          <w:tab w:val="left" w:pos="567"/>
          <w:tab w:val="clear" w:pos="1440"/>
        </w:tabs>
        <w:autoSpaceDE/>
        <w:autoSpaceDN/>
        <w:adjustRightInd/>
        <w:spacing w:line="240" w:lineRule="auto"/>
        <w:ind w:hanging="1156"/>
        <w:textAlignment w:val="auto"/>
        <w:rPr>
          <w:rStyle w:val="tlTunKurzva"/>
          <w:rFonts w:ascii="Times New Roman" w:hAnsi="Times New Roman"/>
          <w:b w:val="0"/>
          <w:i w:val="0"/>
          <w:sz w:val="24"/>
          <w:szCs w:val="24"/>
        </w:rPr>
      </w:pPr>
      <w:r>
        <w:rPr>
          <w:rStyle w:val="tlTunKurzva"/>
          <w:rFonts w:ascii="Times New Roman" w:hAnsi="Times New Roman"/>
          <w:b w:val="0"/>
          <w:i w:val="0"/>
          <w:sz w:val="24"/>
          <w:szCs w:val="24"/>
        </w:rPr>
        <w:t>Presunuté do roku 2008.............................................</w:t>
      </w:r>
      <w:r w:rsidR="00960418">
        <w:rPr>
          <w:rStyle w:val="tlTunKurzva"/>
          <w:rFonts w:ascii="Times New Roman" w:hAnsi="Times New Roman"/>
          <w:b w:val="0"/>
          <w:i w:val="0"/>
          <w:sz w:val="24"/>
          <w:szCs w:val="24"/>
        </w:rPr>
        <w:t xml:space="preserve">.............................32 055 100,00 </w:t>
      </w:r>
      <w:r w:rsidRPr="00366E3B">
        <w:rPr>
          <w:rStyle w:val="tlTunKurzva"/>
          <w:rFonts w:ascii="Times New Roman" w:hAnsi="Times New Roman"/>
          <w:b w:val="0"/>
          <w:i w:val="0"/>
          <w:sz w:val="24"/>
          <w:szCs w:val="24"/>
        </w:rPr>
        <w:t>Sk</w:t>
      </w:r>
    </w:p>
    <w:p w:rsidR="007A2B52" w:rsidRPr="00366E3B" w:rsidP="001654CB">
      <w:pPr>
        <w:numPr>
          <w:ilvl w:val="1"/>
          <w:numId w:val="37"/>
        </w:numPr>
        <w:tabs>
          <w:tab w:val="left" w:pos="567"/>
          <w:tab w:val="clear" w:pos="1440"/>
        </w:tabs>
        <w:autoSpaceDE/>
        <w:autoSpaceDN/>
        <w:adjustRightInd/>
        <w:spacing w:line="240" w:lineRule="auto"/>
        <w:ind w:hanging="1156"/>
        <w:textAlignment w:val="auto"/>
        <w:rPr>
          <w:rStyle w:val="tlTunKurzva"/>
          <w:rFonts w:ascii="Times New Roman" w:hAnsi="Times New Roman"/>
          <w:b w:val="0"/>
          <w:i w:val="0"/>
          <w:sz w:val="24"/>
          <w:szCs w:val="24"/>
        </w:rPr>
      </w:pPr>
      <w:r w:rsidRPr="00366E3B">
        <w:rPr>
          <w:rStyle w:val="tlTunKurzva"/>
          <w:rFonts w:ascii="Times New Roman" w:hAnsi="Times New Roman"/>
          <w:b w:val="0"/>
          <w:i w:val="0"/>
          <w:sz w:val="24"/>
          <w:szCs w:val="24"/>
        </w:rPr>
        <w:t>Skutočne vy</w:t>
      </w:r>
      <w:r w:rsidR="002A36CF">
        <w:rPr>
          <w:rStyle w:val="tlTunKurzva"/>
          <w:rFonts w:ascii="Times New Roman" w:hAnsi="Times New Roman"/>
          <w:b w:val="0"/>
          <w:i w:val="0"/>
          <w:sz w:val="24"/>
          <w:szCs w:val="24"/>
        </w:rPr>
        <w:t>čerpané prostriedky................................</w:t>
      </w:r>
      <w:r w:rsidR="00960418">
        <w:rPr>
          <w:rStyle w:val="tlTunKurzva"/>
          <w:rFonts w:ascii="Times New Roman" w:hAnsi="Times New Roman"/>
          <w:b w:val="0"/>
          <w:i w:val="0"/>
          <w:sz w:val="24"/>
          <w:szCs w:val="24"/>
        </w:rPr>
        <w:t xml:space="preserve">.............................20 751 471,33 </w:t>
      </w:r>
      <w:r w:rsidRPr="00366E3B">
        <w:rPr>
          <w:rStyle w:val="tlTunKurzva"/>
          <w:rFonts w:ascii="Times New Roman" w:hAnsi="Times New Roman"/>
          <w:b w:val="0"/>
          <w:i w:val="0"/>
          <w:sz w:val="24"/>
          <w:szCs w:val="24"/>
        </w:rPr>
        <w:t>Sk</w:t>
      </w:r>
    </w:p>
    <w:p w:rsidR="007A2B52" w:rsidRPr="00366E3B" w:rsidP="001654CB">
      <w:pPr>
        <w:numPr>
          <w:ilvl w:val="1"/>
          <w:numId w:val="37"/>
        </w:numPr>
        <w:tabs>
          <w:tab w:val="left" w:pos="567"/>
          <w:tab w:val="clear" w:pos="1440"/>
        </w:tabs>
        <w:autoSpaceDE/>
        <w:autoSpaceDN/>
        <w:adjustRightInd/>
        <w:spacing w:line="240" w:lineRule="auto"/>
        <w:ind w:hanging="1156"/>
        <w:textAlignment w:val="auto"/>
        <w:rPr>
          <w:rStyle w:val="tlTunKurzva"/>
          <w:rFonts w:ascii="Times New Roman" w:hAnsi="Times New Roman"/>
          <w:b w:val="0"/>
          <w:i w:val="0"/>
          <w:sz w:val="24"/>
          <w:szCs w:val="24"/>
        </w:rPr>
      </w:pPr>
      <w:r w:rsidR="002E6958">
        <w:rPr>
          <w:rStyle w:val="tlTunKurzva"/>
          <w:rFonts w:ascii="Times New Roman" w:hAnsi="Times New Roman"/>
          <w:b w:val="0"/>
          <w:i w:val="0"/>
          <w:sz w:val="24"/>
          <w:szCs w:val="24"/>
        </w:rPr>
        <w:t>Nevyčerpané prostriedky</w:t>
      </w:r>
      <w:r w:rsidR="002A36CF">
        <w:rPr>
          <w:rStyle w:val="tlTunKurzva"/>
          <w:rFonts w:ascii="Times New Roman" w:hAnsi="Times New Roman"/>
          <w:b w:val="0"/>
          <w:i w:val="0"/>
          <w:sz w:val="24"/>
          <w:szCs w:val="24"/>
        </w:rPr>
        <w:t>.................</w:t>
      </w:r>
      <w:r w:rsidR="002E6958">
        <w:rPr>
          <w:rStyle w:val="tlTunKurzva"/>
          <w:rFonts w:ascii="Times New Roman" w:hAnsi="Times New Roman"/>
          <w:b w:val="0"/>
          <w:i w:val="0"/>
          <w:sz w:val="24"/>
          <w:szCs w:val="24"/>
        </w:rPr>
        <w:t>........................................</w:t>
      </w:r>
      <w:r w:rsidR="00960418">
        <w:rPr>
          <w:rStyle w:val="tlTunKurzva"/>
          <w:rFonts w:ascii="Times New Roman" w:hAnsi="Times New Roman"/>
          <w:b w:val="0"/>
          <w:i w:val="0"/>
          <w:sz w:val="24"/>
          <w:szCs w:val="24"/>
        </w:rPr>
        <w:t xml:space="preserve">..................3 193 428,67 </w:t>
      </w:r>
      <w:r w:rsidRPr="00366E3B">
        <w:rPr>
          <w:rStyle w:val="tlTunKurzva"/>
          <w:rFonts w:ascii="Times New Roman" w:hAnsi="Times New Roman"/>
          <w:b w:val="0"/>
          <w:i w:val="0"/>
          <w:sz w:val="24"/>
          <w:szCs w:val="24"/>
        </w:rPr>
        <w:t>Sk</w:t>
      </w:r>
    </w:p>
    <w:p w:rsidR="00085693" w:rsidP="007A2B52">
      <w:pPr>
        <w:spacing w:line="240" w:lineRule="auto"/>
        <w:rPr>
          <w:rStyle w:val="tlTunKurzva"/>
          <w:rFonts w:ascii="Times New Roman" w:hAnsi="Times New Roman"/>
          <w:b w:val="0"/>
          <w:i w:val="0"/>
          <w:sz w:val="24"/>
          <w:szCs w:val="24"/>
        </w:rPr>
      </w:pPr>
    </w:p>
    <w:p w:rsidR="005A685F" w:rsidP="005A685F">
      <w:pPr>
        <w:spacing w:line="240" w:lineRule="auto"/>
        <w:rPr>
          <w:rFonts w:ascii="Times New Roman" w:hAnsi="Times New Roman" w:cs="Times New Roman"/>
          <w:sz w:val="24"/>
          <w:szCs w:val="24"/>
        </w:rPr>
      </w:pPr>
      <w:r w:rsidRPr="005A685F">
        <w:rPr>
          <w:rStyle w:val="tlTunKurzva"/>
          <w:rFonts w:ascii="Times New Roman" w:hAnsi="Times New Roman"/>
          <w:i w:val="0"/>
          <w:sz w:val="24"/>
          <w:szCs w:val="24"/>
        </w:rPr>
        <w:t>Slovenská správa ciest</w:t>
      </w:r>
      <w:r>
        <w:rPr>
          <w:rStyle w:val="tlTunKurzva"/>
          <w:rFonts w:ascii="Times New Roman" w:hAnsi="Times New Roman"/>
          <w:i w:val="0"/>
          <w:sz w:val="24"/>
          <w:szCs w:val="24"/>
        </w:rPr>
        <w:t xml:space="preserve"> </w:t>
      </w:r>
      <w:r w:rsidRPr="005A685F">
        <w:rPr>
          <w:rStyle w:val="tlTunKurzva"/>
          <w:rFonts w:ascii="Times New Roman" w:hAnsi="Times New Roman"/>
          <w:b w:val="0"/>
          <w:i w:val="0"/>
          <w:sz w:val="24"/>
          <w:szCs w:val="24"/>
        </w:rPr>
        <w:t>(710 – kapitálové výdavky):</w:t>
      </w:r>
      <w:r>
        <w:rPr>
          <w:rStyle w:val="tlTunKurzva"/>
          <w:rFonts w:ascii="Times New Roman" w:hAnsi="Times New Roman"/>
          <w:b w:val="0"/>
          <w:i w:val="0"/>
          <w:sz w:val="24"/>
          <w:szCs w:val="24"/>
        </w:rPr>
        <w:t xml:space="preserve"> Z celkového objemu finančných prostriedkov na rok 2007 vo </w:t>
      </w:r>
      <w:r w:rsidRPr="00960418">
        <w:rPr>
          <w:rStyle w:val="tlTunKurzva"/>
          <w:rFonts w:ascii="Times New Roman" w:hAnsi="Times New Roman"/>
          <w:b w:val="0"/>
          <w:i w:val="0"/>
          <w:sz w:val="24"/>
          <w:szCs w:val="24"/>
        </w:rPr>
        <w:t>výške 4 000 000,- Sk (výška upraveného</w:t>
      </w:r>
      <w:r>
        <w:rPr>
          <w:rStyle w:val="tlTunKurzva"/>
          <w:rFonts w:ascii="Times New Roman" w:hAnsi="Times New Roman"/>
          <w:b w:val="0"/>
          <w:i w:val="0"/>
          <w:sz w:val="24"/>
          <w:szCs w:val="24"/>
        </w:rPr>
        <w:t xml:space="preserve"> rozpočtu) bolo k 31.12.2007 vyčerpaných 3 813 426,40 Sk, a to </w:t>
      </w:r>
      <w:r>
        <w:rPr>
          <w:rFonts w:ascii="Times New Roman" w:hAnsi="Times New Roman" w:cs="Times New Roman"/>
          <w:sz w:val="24"/>
          <w:szCs w:val="24"/>
        </w:rPr>
        <w:t>v zmysle požiadavky GŠ OS na vypracovanie projektovej dokumentácie</w:t>
      </w:r>
      <w:r w:rsidRPr="00366E3B">
        <w:rPr>
          <w:rFonts w:ascii="Times New Roman" w:hAnsi="Times New Roman" w:cs="Times New Roman"/>
          <w:sz w:val="24"/>
          <w:szCs w:val="24"/>
        </w:rPr>
        <w:t xml:space="preserve"> náhradného premostenia na UAC 2 –</w:t>
      </w:r>
      <w:r>
        <w:rPr>
          <w:rFonts w:ascii="Times New Roman" w:hAnsi="Times New Roman" w:cs="Times New Roman"/>
          <w:sz w:val="24"/>
          <w:szCs w:val="24"/>
        </w:rPr>
        <w:t xml:space="preserve">Horovce a </w:t>
      </w:r>
      <w:r w:rsidRPr="00366E3B">
        <w:rPr>
          <w:rFonts w:ascii="Times New Roman" w:hAnsi="Times New Roman" w:cs="Times New Roman"/>
          <w:sz w:val="24"/>
          <w:szCs w:val="24"/>
        </w:rPr>
        <w:t>UAC 1 –</w:t>
      </w:r>
      <w:r>
        <w:rPr>
          <w:rFonts w:ascii="Times New Roman" w:hAnsi="Times New Roman" w:cs="Times New Roman"/>
          <w:sz w:val="24"/>
          <w:szCs w:val="24"/>
        </w:rPr>
        <w:t xml:space="preserve"> Nižný Hrušov, </w:t>
      </w:r>
      <w:r w:rsidRPr="00366E3B">
        <w:rPr>
          <w:rFonts w:ascii="Times New Roman" w:hAnsi="Times New Roman" w:cs="Times New Roman"/>
          <w:sz w:val="24"/>
          <w:szCs w:val="24"/>
        </w:rPr>
        <w:t xml:space="preserve">cez rieku Ondava. </w:t>
      </w:r>
    </w:p>
    <w:p w:rsidR="00085693" w:rsidRPr="00366E3B" w:rsidP="005A685F">
      <w:pPr>
        <w:spacing w:line="240" w:lineRule="auto"/>
        <w:rPr>
          <w:rStyle w:val="tlTunKurzva"/>
          <w:rFonts w:ascii="Times New Roman" w:hAnsi="Times New Roman"/>
          <w:i w:val="0"/>
          <w:sz w:val="24"/>
          <w:szCs w:val="24"/>
        </w:rPr>
      </w:pPr>
      <w:r>
        <w:rPr>
          <w:rFonts w:ascii="Times New Roman" w:hAnsi="Times New Roman" w:cs="Times New Roman"/>
          <w:sz w:val="24"/>
          <w:szCs w:val="24"/>
        </w:rPr>
        <w:tab/>
        <w:t xml:space="preserve">Nevyčerpaných ostalo 186 573,60 Sk. </w:t>
      </w:r>
    </w:p>
    <w:p w:rsidR="004E55A4" w:rsidP="004E55A4">
      <w:pPr>
        <w:spacing w:line="240" w:lineRule="auto"/>
        <w:rPr>
          <w:rFonts w:ascii="Times New Roman" w:hAnsi="Times New Roman" w:cs="Times New Roman"/>
          <w:b/>
          <w:sz w:val="24"/>
          <w:szCs w:val="24"/>
        </w:rPr>
      </w:pPr>
    </w:p>
    <w:p w:rsidR="004E55A4" w:rsidRPr="00366E3B" w:rsidP="004E55A4">
      <w:pPr>
        <w:autoSpaceDE/>
        <w:autoSpaceDN/>
        <w:spacing w:line="240" w:lineRule="auto"/>
        <w:textAlignment w:val="auto"/>
        <w:rPr>
          <w:rFonts w:ascii="Times New Roman" w:hAnsi="Times New Roman" w:cs="Times New Roman"/>
          <w:sz w:val="24"/>
          <w:szCs w:val="24"/>
        </w:rPr>
      </w:pPr>
      <w:r>
        <w:rPr>
          <w:rFonts w:ascii="Times New Roman" w:hAnsi="Times New Roman" w:cs="Times New Roman"/>
          <w:b/>
          <w:sz w:val="24"/>
          <w:szCs w:val="24"/>
        </w:rPr>
        <w:t>Slovak Telekom, a.</w:t>
      </w:r>
      <w:r w:rsidRPr="00366E3B">
        <w:rPr>
          <w:rFonts w:ascii="Times New Roman" w:hAnsi="Times New Roman" w:cs="Times New Roman"/>
          <w:b/>
          <w:sz w:val="24"/>
          <w:szCs w:val="24"/>
        </w:rPr>
        <w:t>s.</w:t>
      </w:r>
      <w:r w:rsidR="00356D72">
        <w:rPr>
          <w:rFonts w:ascii="Times New Roman" w:hAnsi="Times New Roman" w:cs="Times New Roman"/>
          <w:b/>
          <w:sz w:val="24"/>
          <w:szCs w:val="24"/>
        </w:rPr>
        <w:t xml:space="preserve">, </w:t>
      </w:r>
      <w:r w:rsidR="00FC1795">
        <w:rPr>
          <w:rFonts w:ascii="Times New Roman" w:hAnsi="Times New Roman" w:cs="Times New Roman"/>
          <w:b/>
          <w:sz w:val="24"/>
          <w:szCs w:val="24"/>
        </w:rPr>
        <w:t>Alcatel – Lucent</w:t>
      </w:r>
      <w:r w:rsidR="00F549FB">
        <w:rPr>
          <w:rFonts w:ascii="Times New Roman" w:hAnsi="Times New Roman" w:cs="Times New Roman"/>
          <w:b/>
          <w:sz w:val="24"/>
          <w:szCs w:val="24"/>
        </w:rPr>
        <w:t xml:space="preserve"> Slovakia</w:t>
      </w:r>
      <w:r w:rsidR="00FC1795">
        <w:rPr>
          <w:rFonts w:ascii="Times New Roman" w:hAnsi="Times New Roman" w:cs="Times New Roman"/>
          <w:b/>
          <w:sz w:val="24"/>
          <w:szCs w:val="24"/>
        </w:rPr>
        <w:t xml:space="preserve">, a.s., </w:t>
      </w:r>
      <w:r>
        <w:rPr>
          <w:rStyle w:val="tlTunKurzva"/>
          <w:rFonts w:ascii="Times New Roman" w:hAnsi="Times New Roman"/>
          <w:b w:val="0"/>
          <w:i w:val="0"/>
          <w:sz w:val="24"/>
          <w:szCs w:val="24"/>
        </w:rPr>
        <w:t>(72</w:t>
      </w:r>
      <w:r w:rsidRPr="005A685F">
        <w:rPr>
          <w:rStyle w:val="tlTunKurzva"/>
          <w:rFonts w:ascii="Times New Roman" w:hAnsi="Times New Roman"/>
          <w:b w:val="0"/>
          <w:i w:val="0"/>
          <w:sz w:val="24"/>
          <w:szCs w:val="24"/>
        </w:rPr>
        <w:t>0 –</w:t>
      </w:r>
      <w:r>
        <w:rPr>
          <w:rStyle w:val="tlTunKurzva"/>
          <w:rFonts w:ascii="Times New Roman" w:hAnsi="Times New Roman"/>
          <w:b w:val="0"/>
          <w:i w:val="0"/>
          <w:sz w:val="24"/>
          <w:szCs w:val="24"/>
        </w:rPr>
        <w:t xml:space="preserve"> kapitálové transfery</w:t>
      </w:r>
      <w:r w:rsidRPr="005A685F">
        <w:rPr>
          <w:rStyle w:val="tlTunKurzva"/>
          <w:rFonts w:ascii="Times New Roman" w:hAnsi="Times New Roman"/>
          <w:b w:val="0"/>
          <w:i w:val="0"/>
          <w:sz w:val="24"/>
          <w:szCs w:val="24"/>
        </w:rPr>
        <w:t>):</w:t>
      </w:r>
      <w:r>
        <w:rPr>
          <w:rStyle w:val="tlTunKurzva"/>
          <w:rFonts w:ascii="Times New Roman" w:hAnsi="Times New Roman"/>
          <w:b w:val="0"/>
          <w:i w:val="0"/>
          <w:sz w:val="24"/>
          <w:szCs w:val="24"/>
        </w:rPr>
        <w:t xml:space="preserve"> Z celkového objemu finančných prostriedkov na rok 2007 vo </w:t>
      </w:r>
      <w:r w:rsidRPr="00960418">
        <w:rPr>
          <w:rStyle w:val="tlTunKurzva"/>
          <w:rFonts w:ascii="Times New Roman" w:hAnsi="Times New Roman"/>
          <w:b w:val="0"/>
          <w:i w:val="0"/>
          <w:sz w:val="24"/>
          <w:szCs w:val="24"/>
        </w:rPr>
        <w:t>výške 500 000,- Sk (</w:t>
      </w:r>
      <w:r>
        <w:rPr>
          <w:rStyle w:val="tlTunKurzva"/>
          <w:rFonts w:ascii="Times New Roman" w:hAnsi="Times New Roman"/>
          <w:b w:val="0"/>
          <w:i w:val="0"/>
          <w:sz w:val="24"/>
          <w:szCs w:val="24"/>
        </w:rPr>
        <w:t>výška upraveného rozpočtu) bolo k 31.12.2007 vyčerpaných 500 000,- Sk, a to</w:t>
      </w:r>
      <w:r w:rsidRPr="004E55A4">
        <w:rPr>
          <w:rFonts w:ascii="Times New Roman" w:hAnsi="Times New Roman" w:cs="Times New Roman"/>
          <w:sz w:val="24"/>
          <w:szCs w:val="24"/>
        </w:rPr>
        <w:t xml:space="preserve"> </w:t>
      </w:r>
      <w:r>
        <w:rPr>
          <w:rFonts w:ascii="Times New Roman" w:hAnsi="Times New Roman" w:cs="Times New Roman"/>
          <w:sz w:val="24"/>
          <w:szCs w:val="24"/>
        </w:rPr>
        <w:t xml:space="preserve">na </w:t>
      </w:r>
      <w:r w:rsidRPr="00366E3B">
        <w:rPr>
          <w:rFonts w:ascii="Times New Roman" w:hAnsi="Times New Roman" w:cs="Times New Roman"/>
          <w:sz w:val="24"/>
          <w:szCs w:val="24"/>
        </w:rPr>
        <w:t xml:space="preserve">vypracovanie projektovej dokumentácie pre systém </w:t>
      </w:r>
      <w:r>
        <w:rPr>
          <w:rFonts w:ascii="Times New Roman" w:hAnsi="Times New Roman" w:cs="Times New Roman"/>
          <w:sz w:val="24"/>
          <w:szCs w:val="24"/>
        </w:rPr>
        <w:t>núdzových komunikácií SR</w:t>
      </w:r>
      <w:r w:rsidR="00FC1795">
        <w:rPr>
          <w:rFonts w:ascii="Times New Roman" w:hAnsi="Times New Roman" w:cs="Times New Roman"/>
          <w:sz w:val="24"/>
          <w:szCs w:val="24"/>
        </w:rPr>
        <w:t xml:space="preserve"> (realizoval </w:t>
      </w:r>
      <w:r w:rsidRPr="00FC1795" w:rsidR="00FC1795">
        <w:rPr>
          <w:rFonts w:ascii="Times New Roman" w:hAnsi="Times New Roman" w:cs="Times New Roman"/>
          <w:sz w:val="24"/>
          <w:szCs w:val="24"/>
        </w:rPr>
        <w:t>Alcatel – Lucent</w:t>
      </w:r>
      <w:r w:rsidR="00F549FB">
        <w:rPr>
          <w:rFonts w:ascii="Times New Roman" w:hAnsi="Times New Roman" w:cs="Times New Roman"/>
          <w:sz w:val="24"/>
          <w:szCs w:val="24"/>
        </w:rPr>
        <w:t xml:space="preserve"> Slovakia</w:t>
      </w:r>
      <w:r w:rsidRPr="00FC1795" w:rsidR="00FC1795">
        <w:rPr>
          <w:rFonts w:ascii="Times New Roman" w:hAnsi="Times New Roman" w:cs="Times New Roman"/>
          <w:sz w:val="24"/>
          <w:szCs w:val="24"/>
        </w:rPr>
        <w:t>, a.s.)</w:t>
      </w:r>
      <w:r w:rsidRPr="00FC1795">
        <w:rPr>
          <w:rFonts w:ascii="Times New Roman" w:hAnsi="Times New Roman" w:cs="Times New Roman"/>
          <w:sz w:val="24"/>
          <w:szCs w:val="24"/>
        </w:rPr>
        <w:t>.</w:t>
      </w:r>
      <w:r>
        <w:rPr>
          <w:rFonts w:ascii="Times New Roman" w:hAnsi="Times New Roman" w:cs="Times New Roman"/>
          <w:sz w:val="24"/>
          <w:szCs w:val="24"/>
        </w:rPr>
        <w:t xml:space="preserve"> </w:t>
      </w:r>
      <w:r w:rsidRPr="00366E3B">
        <w:rPr>
          <w:rFonts w:ascii="Times New Roman" w:hAnsi="Times New Roman" w:cs="Times New Roman"/>
          <w:sz w:val="24"/>
          <w:szCs w:val="24"/>
        </w:rPr>
        <w:t>„Rekonštrukcia kompresorových a sušiacich staníc v ZZS Banská Bystrica II“ nebola v roku 2007 plnená z dôvodu nedodržania zmluvných podmieno</w:t>
      </w:r>
      <w:r>
        <w:rPr>
          <w:rFonts w:ascii="Times New Roman" w:hAnsi="Times New Roman" w:cs="Times New Roman"/>
          <w:sz w:val="24"/>
          <w:szCs w:val="24"/>
        </w:rPr>
        <w:t xml:space="preserve">k zo strany Slovak Telekomu, a.s. </w:t>
      </w:r>
      <w:r w:rsidRPr="00366E3B">
        <w:rPr>
          <w:rFonts w:ascii="Times New Roman" w:hAnsi="Times New Roman" w:cs="Times New Roman"/>
          <w:sz w:val="24"/>
          <w:szCs w:val="24"/>
        </w:rPr>
        <w:t>Finančné prostriedky vo výške 15 500 000,- Sk určené pre plnenie tejto úl</w:t>
      </w:r>
      <w:r>
        <w:rPr>
          <w:rFonts w:ascii="Times New Roman" w:hAnsi="Times New Roman" w:cs="Times New Roman"/>
          <w:sz w:val="24"/>
          <w:szCs w:val="24"/>
        </w:rPr>
        <w:t>ohy boli presunuté do roku 2008.</w:t>
      </w:r>
    </w:p>
    <w:p w:rsidR="004E55A4" w:rsidRPr="00366E3B" w:rsidP="004E55A4">
      <w:pPr>
        <w:spacing w:line="240" w:lineRule="auto"/>
        <w:rPr>
          <w:rFonts w:ascii="Times New Roman" w:hAnsi="Times New Roman" w:cs="Times New Roman"/>
          <w:sz w:val="24"/>
          <w:szCs w:val="24"/>
        </w:rPr>
      </w:pPr>
    </w:p>
    <w:p w:rsidR="00EE757E" w:rsidP="001F14F3">
      <w:pPr>
        <w:spacing w:line="240" w:lineRule="auto"/>
        <w:rPr>
          <w:rStyle w:val="tlTunKurzva"/>
          <w:rFonts w:ascii="Times New Roman" w:hAnsi="Times New Roman"/>
          <w:i w:val="0"/>
          <w:sz w:val="24"/>
          <w:szCs w:val="24"/>
        </w:rPr>
      </w:pPr>
    </w:p>
    <w:p w:rsidR="00EE757E" w:rsidP="001F14F3">
      <w:pPr>
        <w:spacing w:line="240" w:lineRule="auto"/>
        <w:rPr>
          <w:rStyle w:val="tlTunKurzva"/>
          <w:rFonts w:ascii="Times New Roman" w:hAnsi="Times New Roman"/>
          <w:i w:val="0"/>
          <w:sz w:val="24"/>
          <w:szCs w:val="24"/>
        </w:rPr>
      </w:pPr>
    </w:p>
    <w:p w:rsidR="001F14F3" w:rsidP="001F14F3">
      <w:pPr>
        <w:spacing w:line="240" w:lineRule="auto"/>
        <w:rPr>
          <w:rFonts w:ascii="Times New Roman" w:hAnsi="Times New Roman" w:cs="Times New Roman"/>
          <w:sz w:val="24"/>
          <w:szCs w:val="24"/>
        </w:rPr>
      </w:pPr>
      <w:r w:rsidR="00356D72">
        <w:rPr>
          <w:rStyle w:val="tlTunKurzva"/>
          <w:rFonts w:ascii="Times New Roman" w:hAnsi="Times New Roman"/>
          <w:i w:val="0"/>
          <w:sz w:val="24"/>
          <w:szCs w:val="24"/>
        </w:rPr>
        <w:t>Železnic</w:t>
      </w:r>
      <w:r w:rsidR="005A685F">
        <w:rPr>
          <w:rStyle w:val="tlTunKurzva"/>
          <w:rFonts w:ascii="Times New Roman" w:hAnsi="Times New Roman"/>
          <w:i w:val="0"/>
          <w:sz w:val="24"/>
          <w:szCs w:val="24"/>
        </w:rPr>
        <w:t xml:space="preserve">e SR </w:t>
      </w:r>
      <w:r w:rsidRPr="005A685F" w:rsidR="005A685F">
        <w:rPr>
          <w:rStyle w:val="tlTunKurzva"/>
          <w:rFonts w:ascii="Times New Roman" w:hAnsi="Times New Roman"/>
          <w:b w:val="0"/>
          <w:i w:val="0"/>
          <w:sz w:val="24"/>
          <w:szCs w:val="24"/>
        </w:rPr>
        <w:t>(640 – bežné transfery):</w:t>
      </w:r>
      <w:r w:rsidR="004E55A4">
        <w:rPr>
          <w:rStyle w:val="tlTunKurzva"/>
          <w:rFonts w:ascii="Times New Roman" w:hAnsi="Times New Roman"/>
          <w:b w:val="0"/>
          <w:i w:val="0"/>
          <w:sz w:val="24"/>
          <w:szCs w:val="24"/>
        </w:rPr>
        <w:t xml:space="preserve"> Z celkového objemu finančných pro</w:t>
      </w:r>
      <w:r>
        <w:rPr>
          <w:rStyle w:val="tlTunKurzva"/>
          <w:rFonts w:ascii="Times New Roman" w:hAnsi="Times New Roman"/>
          <w:b w:val="0"/>
          <w:i w:val="0"/>
          <w:sz w:val="24"/>
          <w:szCs w:val="24"/>
        </w:rPr>
        <w:t xml:space="preserve">striedkov na rok 2007 vo </w:t>
      </w:r>
      <w:r w:rsidRPr="00960418">
        <w:rPr>
          <w:rStyle w:val="tlTunKurzva"/>
          <w:rFonts w:ascii="Times New Roman" w:hAnsi="Times New Roman"/>
          <w:b w:val="0"/>
          <w:i w:val="0"/>
          <w:sz w:val="24"/>
          <w:szCs w:val="24"/>
        </w:rPr>
        <w:t>výške  9 500 000</w:t>
      </w:r>
      <w:r w:rsidRPr="00960418" w:rsidR="004E55A4">
        <w:rPr>
          <w:rStyle w:val="tlTunKurzva"/>
          <w:rFonts w:ascii="Times New Roman" w:hAnsi="Times New Roman"/>
          <w:b w:val="0"/>
          <w:i w:val="0"/>
          <w:sz w:val="24"/>
          <w:szCs w:val="24"/>
        </w:rPr>
        <w:t>,- Sk (výška</w:t>
      </w:r>
      <w:r w:rsidR="004E55A4">
        <w:rPr>
          <w:rStyle w:val="tlTunKurzva"/>
          <w:rFonts w:ascii="Times New Roman" w:hAnsi="Times New Roman"/>
          <w:b w:val="0"/>
          <w:i w:val="0"/>
          <w:sz w:val="24"/>
          <w:szCs w:val="24"/>
        </w:rPr>
        <w:t xml:space="preserve"> upraveného rozpočtu) bolo k 31.12.2007 vyčerpaných 9 494 072,23 Sk, a</w:t>
      </w:r>
      <w:r>
        <w:rPr>
          <w:rStyle w:val="tlTunKurzva"/>
          <w:rFonts w:ascii="Times New Roman" w:hAnsi="Times New Roman"/>
          <w:b w:val="0"/>
          <w:i w:val="0"/>
          <w:sz w:val="24"/>
          <w:szCs w:val="24"/>
        </w:rPr>
        <w:t> </w:t>
      </w:r>
      <w:r w:rsidR="004E55A4">
        <w:rPr>
          <w:rStyle w:val="tlTunKurzva"/>
          <w:rFonts w:ascii="Times New Roman" w:hAnsi="Times New Roman"/>
          <w:b w:val="0"/>
          <w:i w:val="0"/>
          <w:sz w:val="24"/>
          <w:szCs w:val="24"/>
        </w:rPr>
        <w:t>to</w:t>
      </w:r>
      <w:r>
        <w:rPr>
          <w:rStyle w:val="tlTunKurzva"/>
          <w:rFonts w:ascii="Times New Roman" w:hAnsi="Times New Roman"/>
          <w:b w:val="0"/>
          <w:i w:val="0"/>
          <w:sz w:val="24"/>
          <w:szCs w:val="24"/>
        </w:rPr>
        <w:t xml:space="preserve"> na </w:t>
      </w:r>
      <w:r>
        <w:rPr>
          <w:rFonts w:ascii="Times New Roman" w:hAnsi="Times New Roman" w:cs="Times New Roman"/>
          <w:sz w:val="24"/>
          <w:szCs w:val="24"/>
        </w:rPr>
        <w:t>údržbu</w:t>
      </w:r>
      <w:r w:rsidRPr="00366E3B">
        <w:rPr>
          <w:rFonts w:ascii="Times New Roman" w:hAnsi="Times New Roman" w:cs="Times New Roman"/>
          <w:sz w:val="24"/>
          <w:szCs w:val="24"/>
        </w:rPr>
        <w:t xml:space="preserve"> nakladacej/vykladacej rampy v žst. Martin (</w:t>
      </w:r>
      <w:r>
        <w:rPr>
          <w:rFonts w:ascii="Times New Roman" w:hAnsi="Times New Roman" w:cs="Times New Roman"/>
          <w:sz w:val="24"/>
          <w:szCs w:val="24"/>
        </w:rPr>
        <w:t>náklady 7 292 694,10 Sk), údržbu</w:t>
      </w:r>
      <w:r w:rsidRPr="00366E3B">
        <w:rPr>
          <w:rFonts w:ascii="Times New Roman" w:hAnsi="Times New Roman" w:cs="Times New Roman"/>
          <w:sz w:val="24"/>
          <w:szCs w:val="24"/>
        </w:rPr>
        <w:t xml:space="preserve"> nakladacej</w:t>
      </w:r>
      <w:r>
        <w:rPr>
          <w:rFonts w:ascii="Times New Roman" w:hAnsi="Times New Roman" w:cs="Times New Roman"/>
          <w:sz w:val="24"/>
          <w:szCs w:val="24"/>
        </w:rPr>
        <w:t xml:space="preserve">/vykladacej rampy v žst. Sása – </w:t>
      </w:r>
      <w:r w:rsidRPr="00366E3B">
        <w:rPr>
          <w:rFonts w:ascii="Times New Roman" w:hAnsi="Times New Roman" w:cs="Times New Roman"/>
          <w:sz w:val="24"/>
          <w:szCs w:val="24"/>
        </w:rPr>
        <w:t>Pliešovce (</w:t>
      </w:r>
      <w:r>
        <w:rPr>
          <w:rFonts w:ascii="Times New Roman" w:hAnsi="Times New Roman" w:cs="Times New Roman"/>
          <w:sz w:val="24"/>
          <w:szCs w:val="24"/>
        </w:rPr>
        <w:t>náklady 233 396,54 Sk),  údržbu</w:t>
      </w:r>
      <w:r w:rsidRPr="00366E3B">
        <w:rPr>
          <w:rFonts w:ascii="Times New Roman" w:hAnsi="Times New Roman" w:cs="Times New Roman"/>
          <w:sz w:val="24"/>
          <w:szCs w:val="24"/>
        </w:rPr>
        <w:t xml:space="preserve"> nakladacej/vykladacej rampy v žst. Rožňava</w:t>
      </w:r>
      <w:r>
        <w:rPr>
          <w:rFonts w:ascii="Times New Roman" w:hAnsi="Times New Roman" w:cs="Times New Roman"/>
          <w:sz w:val="24"/>
          <w:szCs w:val="24"/>
        </w:rPr>
        <w:t xml:space="preserve"> (náklady 506 647,48 Sk), údržbu</w:t>
      </w:r>
      <w:r w:rsidRPr="00366E3B">
        <w:rPr>
          <w:rFonts w:ascii="Times New Roman" w:hAnsi="Times New Roman" w:cs="Times New Roman"/>
          <w:sz w:val="24"/>
          <w:szCs w:val="24"/>
        </w:rPr>
        <w:t xml:space="preserve"> nakladacej/vykladacej rampy v žst. Michalovce </w:t>
      </w:r>
      <w:r>
        <w:rPr>
          <w:rFonts w:ascii="Times New Roman" w:hAnsi="Times New Roman" w:cs="Times New Roman"/>
          <w:sz w:val="24"/>
          <w:szCs w:val="24"/>
        </w:rPr>
        <w:t>(náklady 367 261,88 Sk) a údržbu</w:t>
      </w:r>
      <w:r w:rsidRPr="00366E3B">
        <w:rPr>
          <w:rFonts w:ascii="Times New Roman" w:hAnsi="Times New Roman" w:cs="Times New Roman"/>
          <w:sz w:val="24"/>
          <w:szCs w:val="24"/>
        </w:rPr>
        <w:t xml:space="preserve"> nakladacieho/vykladacieho priestoru v žst. Malacky (náklady 1 094 072,</w:t>
      </w:r>
      <w:r>
        <w:rPr>
          <w:rFonts w:ascii="Times New Roman" w:hAnsi="Times New Roman" w:cs="Times New Roman"/>
          <w:sz w:val="24"/>
          <w:szCs w:val="24"/>
        </w:rPr>
        <w:t xml:space="preserve">23 Sk). </w:t>
      </w:r>
    </w:p>
    <w:p w:rsidR="00085693" w:rsidRPr="001F14F3" w:rsidP="001F14F3">
      <w:pPr>
        <w:spacing w:line="240" w:lineRule="auto"/>
        <w:rPr>
          <w:rFonts w:ascii="Times New Roman" w:hAnsi="Times New Roman" w:cs="Times New Roman"/>
          <w:bCs/>
          <w:iCs/>
          <w:sz w:val="24"/>
          <w:szCs w:val="24"/>
        </w:rPr>
      </w:pPr>
      <w:r>
        <w:rPr>
          <w:rFonts w:ascii="Times New Roman" w:hAnsi="Times New Roman" w:cs="Times New Roman"/>
          <w:sz w:val="24"/>
          <w:szCs w:val="24"/>
        </w:rPr>
        <w:tab/>
        <w:t xml:space="preserve">Nevyčerpaných ostalo 5 927,77 Sk. </w:t>
      </w:r>
    </w:p>
    <w:p w:rsidR="005A685F" w:rsidP="007A2B52">
      <w:pPr>
        <w:spacing w:line="240" w:lineRule="auto"/>
        <w:rPr>
          <w:rStyle w:val="tlTunKurzva"/>
          <w:rFonts w:ascii="Times New Roman" w:hAnsi="Times New Roman"/>
          <w:i w:val="0"/>
          <w:sz w:val="24"/>
          <w:szCs w:val="24"/>
        </w:rPr>
      </w:pPr>
    </w:p>
    <w:p w:rsidR="00AC4056" w:rsidP="00AC4056">
      <w:pPr>
        <w:spacing w:line="240" w:lineRule="auto"/>
        <w:rPr>
          <w:rFonts w:ascii="Times New Roman" w:hAnsi="Times New Roman" w:cs="Times New Roman"/>
          <w:sz w:val="24"/>
          <w:szCs w:val="24"/>
        </w:rPr>
      </w:pPr>
      <w:r w:rsidR="00356D72">
        <w:rPr>
          <w:rStyle w:val="tlTunKurzva"/>
          <w:rFonts w:ascii="Times New Roman" w:hAnsi="Times New Roman"/>
          <w:i w:val="0"/>
          <w:sz w:val="24"/>
          <w:szCs w:val="24"/>
        </w:rPr>
        <w:t>Železnic</w:t>
      </w:r>
      <w:r w:rsidR="005A685F">
        <w:rPr>
          <w:rStyle w:val="tlTunKurzva"/>
          <w:rFonts w:ascii="Times New Roman" w:hAnsi="Times New Roman"/>
          <w:i w:val="0"/>
          <w:sz w:val="24"/>
          <w:szCs w:val="24"/>
        </w:rPr>
        <w:t xml:space="preserve">e SR </w:t>
      </w:r>
      <w:r w:rsidR="005A685F">
        <w:rPr>
          <w:rStyle w:val="tlTunKurzva"/>
          <w:rFonts w:ascii="Times New Roman" w:hAnsi="Times New Roman"/>
          <w:b w:val="0"/>
          <w:i w:val="0"/>
          <w:sz w:val="24"/>
          <w:szCs w:val="24"/>
        </w:rPr>
        <w:t>(720</w:t>
      </w:r>
      <w:r w:rsidRPr="005A685F" w:rsidR="005A685F">
        <w:rPr>
          <w:rStyle w:val="tlTunKurzva"/>
          <w:rFonts w:ascii="Times New Roman" w:hAnsi="Times New Roman"/>
          <w:b w:val="0"/>
          <w:i w:val="0"/>
          <w:sz w:val="24"/>
          <w:szCs w:val="24"/>
        </w:rPr>
        <w:t xml:space="preserve"> –</w:t>
      </w:r>
      <w:r w:rsidR="005A685F">
        <w:rPr>
          <w:rStyle w:val="tlTunKurzva"/>
          <w:rFonts w:ascii="Times New Roman" w:hAnsi="Times New Roman"/>
          <w:b w:val="0"/>
          <w:i w:val="0"/>
          <w:sz w:val="24"/>
          <w:szCs w:val="24"/>
        </w:rPr>
        <w:t xml:space="preserve"> kapitálové </w:t>
      </w:r>
      <w:r w:rsidRPr="005A685F" w:rsidR="005A685F">
        <w:rPr>
          <w:rStyle w:val="tlTunKurzva"/>
          <w:rFonts w:ascii="Times New Roman" w:hAnsi="Times New Roman"/>
          <w:b w:val="0"/>
          <w:i w:val="0"/>
          <w:sz w:val="24"/>
          <w:szCs w:val="24"/>
        </w:rPr>
        <w:t>transfery):</w:t>
      </w:r>
      <w:r w:rsidR="004E55A4">
        <w:rPr>
          <w:rStyle w:val="tlTunKurzva"/>
          <w:rFonts w:ascii="Times New Roman" w:hAnsi="Times New Roman"/>
          <w:b w:val="0"/>
          <w:i w:val="0"/>
          <w:sz w:val="24"/>
          <w:szCs w:val="24"/>
        </w:rPr>
        <w:t xml:space="preserve"> Z celkového objemu finančných pro</w:t>
      </w:r>
      <w:r w:rsidR="001F14F3">
        <w:rPr>
          <w:rStyle w:val="tlTunKurzva"/>
          <w:rFonts w:ascii="Times New Roman" w:hAnsi="Times New Roman"/>
          <w:b w:val="0"/>
          <w:i w:val="0"/>
          <w:sz w:val="24"/>
          <w:szCs w:val="24"/>
        </w:rPr>
        <w:t xml:space="preserve">striedkov na rok 2007 vo </w:t>
      </w:r>
      <w:r w:rsidRPr="00960418" w:rsidR="001F14F3">
        <w:rPr>
          <w:rStyle w:val="tlTunKurzva"/>
          <w:rFonts w:ascii="Times New Roman" w:hAnsi="Times New Roman"/>
          <w:b w:val="0"/>
          <w:i w:val="0"/>
          <w:sz w:val="24"/>
          <w:szCs w:val="24"/>
        </w:rPr>
        <w:t>výške  9 944 900</w:t>
      </w:r>
      <w:r w:rsidRPr="00960418" w:rsidR="004E55A4">
        <w:rPr>
          <w:rStyle w:val="tlTunKurzva"/>
          <w:rFonts w:ascii="Times New Roman" w:hAnsi="Times New Roman"/>
          <w:b w:val="0"/>
          <w:i w:val="0"/>
          <w:sz w:val="24"/>
          <w:szCs w:val="24"/>
        </w:rPr>
        <w:t>,- Sk (výška upraveného rozpočtu) bolo k 31.12.2007 vyčerpaných 6 943 972,70 Sk, a to</w:t>
      </w:r>
      <w:r w:rsidRPr="00960418">
        <w:rPr>
          <w:rFonts w:ascii="Times New Roman" w:hAnsi="Times New Roman" w:cs="Times New Roman"/>
          <w:b/>
          <w:sz w:val="24"/>
          <w:szCs w:val="24"/>
        </w:rPr>
        <w:t xml:space="preserve"> </w:t>
      </w:r>
      <w:r w:rsidRPr="009503DA">
        <w:rPr>
          <w:rFonts w:ascii="Times New Roman" w:hAnsi="Times New Roman" w:cs="Times New Roman"/>
          <w:sz w:val="24"/>
          <w:szCs w:val="24"/>
        </w:rPr>
        <w:t>na projektovú dokumentáciu</w:t>
      </w:r>
      <w:r w:rsidRPr="00366E3B">
        <w:rPr>
          <w:rFonts w:ascii="Times New Roman" w:hAnsi="Times New Roman" w:cs="Times New Roman"/>
          <w:sz w:val="24"/>
          <w:szCs w:val="24"/>
        </w:rPr>
        <w:t xml:space="preserve"> pre vybudovanie nakladacej a vykladacej </w:t>
      </w:r>
      <w:r>
        <w:rPr>
          <w:rFonts w:ascii="Times New Roman" w:hAnsi="Times New Roman" w:cs="Times New Roman"/>
          <w:sz w:val="24"/>
          <w:szCs w:val="24"/>
        </w:rPr>
        <w:t xml:space="preserve">rampy v žst. Trebišov a zahájenie jej výstavby (náklady </w:t>
      </w:r>
      <w:r w:rsidRPr="00366E3B">
        <w:rPr>
          <w:rFonts w:ascii="Times New Roman" w:hAnsi="Times New Roman" w:cs="Times New Roman"/>
          <w:sz w:val="24"/>
          <w:szCs w:val="24"/>
        </w:rPr>
        <w:t>1 000 00</w:t>
      </w:r>
      <w:r>
        <w:rPr>
          <w:rFonts w:ascii="Times New Roman" w:hAnsi="Times New Roman" w:cs="Times New Roman"/>
          <w:sz w:val="24"/>
          <w:szCs w:val="24"/>
        </w:rPr>
        <w:t>0,00  Sk)</w:t>
      </w:r>
      <w:r w:rsidRPr="00366E3B">
        <w:rPr>
          <w:rFonts w:ascii="Times New Roman" w:hAnsi="Times New Roman" w:cs="Times New Roman"/>
          <w:sz w:val="24"/>
          <w:szCs w:val="24"/>
        </w:rPr>
        <w:t>,</w:t>
      </w:r>
      <w:r>
        <w:rPr>
          <w:rFonts w:ascii="Times New Roman" w:hAnsi="Times New Roman" w:cs="Times New Roman"/>
          <w:sz w:val="24"/>
          <w:szCs w:val="24"/>
        </w:rPr>
        <w:t xml:space="preserve"> projektovú dokumentáciu</w:t>
      </w:r>
      <w:r w:rsidRPr="00366E3B">
        <w:rPr>
          <w:rFonts w:ascii="Times New Roman" w:hAnsi="Times New Roman" w:cs="Times New Roman"/>
          <w:sz w:val="24"/>
          <w:szCs w:val="24"/>
        </w:rPr>
        <w:t xml:space="preserve"> pre vybudovanie nakladacej a vykladacej rampy v žst. Popra</w:t>
      </w:r>
      <w:r>
        <w:rPr>
          <w:rFonts w:ascii="Times New Roman" w:hAnsi="Times New Roman" w:cs="Times New Roman"/>
          <w:sz w:val="24"/>
          <w:szCs w:val="24"/>
        </w:rPr>
        <w:t xml:space="preserve">d, (náklady </w:t>
      </w:r>
      <w:r w:rsidRPr="00366E3B">
        <w:rPr>
          <w:rFonts w:ascii="Times New Roman" w:hAnsi="Times New Roman" w:cs="Times New Roman"/>
          <w:sz w:val="24"/>
          <w:szCs w:val="24"/>
        </w:rPr>
        <w:t>444 900,00 Sk</w:t>
      </w:r>
      <w:r>
        <w:rPr>
          <w:rFonts w:ascii="Times New Roman" w:hAnsi="Times New Roman" w:cs="Times New Roman"/>
          <w:sz w:val="24"/>
          <w:szCs w:val="24"/>
        </w:rPr>
        <w:t xml:space="preserve"> – p</w:t>
      </w:r>
      <w:r w:rsidRPr="00366E3B">
        <w:rPr>
          <w:rFonts w:ascii="Times New Roman" w:hAnsi="Times New Roman" w:cs="Times New Roman"/>
          <w:sz w:val="24"/>
          <w:szCs w:val="24"/>
        </w:rPr>
        <w:t>re problémy s výberovým kon</w:t>
      </w:r>
      <w:r>
        <w:rPr>
          <w:rFonts w:ascii="Times New Roman" w:hAnsi="Times New Roman" w:cs="Times New Roman"/>
          <w:sz w:val="24"/>
          <w:szCs w:val="24"/>
        </w:rPr>
        <w:t>aním na dodávateľa stavby nebolo preinvestovaných</w:t>
      </w:r>
      <w:r w:rsidRPr="00366E3B">
        <w:rPr>
          <w:rFonts w:ascii="Times New Roman" w:hAnsi="Times New Roman" w:cs="Times New Roman"/>
          <w:sz w:val="24"/>
          <w:szCs w:val="24"/>
        </w:rPr>
        <w:t xml:space="preserve"> 3 000 000,00 Sk</w:t>
      </w:r>
      <w:r>
        <w:rPr>
          <w:rFonts w:ascii="Times New Roman" w:hAnsi="Times New Roman" w:cs="Times New Roman"/>
          <w:sz w:val="24"/>
          <w:szCs w:val="24"/>
        </w:rPr>
        <w:t>), projektovú dokumentáciu a vybudovanie nakladacej a vykladacej rampy</w:t>
      </w:r>
      <w:r w:rsidRPr="00366E3B">
        <w:rPr>
          <w:rFonts w:ascii="Times New Roman" w:hAnsi="Times New Roman" w:cs="Times New Roman"/>
          <w:sz w:val="24"/>
          <w:szCs w:val="24"/>
        </w:rPr>
        <w:t xml:space="preserve"> s priľahlou plochou</w:t>
      </w:r>
      <w:r>
        <w:rPr>
          <w:rFonts w:ascii="Times New Roman" w:hAnsi="Times New Roman" w:cs="Times New Roman"/>
          <w:sz w:val="24"/>
          <w:szCs w:val="24"/>
        </w:rPr>
        <w:t xml:space="preserve"> v žst. S</w:t>
      </w:r>
      <w:r w:rsidR="00085693">
        <w:rPr>
          <w:rFonts w:ascii="Times New Roman" w:hAnsi="Times New Roman" w:cs="Times New Roman"/>
          <w:sz w:val="24"/>
          <w:szCs w:val="24"/>
        </w:rPr>
        <w:t xml:space="preserve">ereď (náklady 5 499 072,70 Sk). </w:t>
      </w:r>
    </w:p>
    <w:p w:rsidR="00085693" w:rsidRPr="00366E3B" w:rsidP="00AC4056">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Nevyčerpaných ostalo 3 000 927,30 Sk. </w:t>
      </w:r>
    </w:p>
    <w:p w:rsidR="005A685F" w:rsidRPr="005A685F" w:rsidP="00085693">
      <w:pPr>
        <w:spacing w:line="240" w:lineRule="auto"/>
        <w:ind w:firstLine="709"/>
        <w:rPr>
          <w:rStyle w:val="tlTunKurzva"/>
          <w:rFonts w:ascii="Times New Roman" w:hAnsi="Times New Roman"/>
          <w:b w:val="0"/>
          <w:i w:val="0"/>
          <w:sz w:val="24"/>
          <w:szCs w:val="24"/>
        </w:rPr>
      </w:pPr>
      <w:r w:rsidR="00085693">
        <w:rPr>
          <w:rFonts w:ascii="Times New Roman" w:hAnsi="Times New Roman" w:cs="Times New Roman"/>
          <w:sz w:val="24"/>
          <w:szCs w:val="24"/>
        </w:rPr>
        <w:t xml:space="preserve">Do roku 2008 bolo presunutých 16 555 100,00 Sk (z dôvodov prieťahov vo výberových konaniach </w:t>
      </w:r>
      <w:r w:rsidRPr="00366E3B" w:rsidR="00085693">
        <w:rPr>
          <w:rFonts w:ascii="Times New Roman" w:hAnsi="Times New Roman" w:cs="Times New Roman"/>
          <w:sz w:val="24"/>
          <w:szCs w:val="24"/>
        </w:rPr>
        <w:t>na dodávateľov stavieb</w:t>
      </w:r>
      <w:r w:rsidR="00085693">
        <w:rPr>
          <w:rFonts w:ascii="Times New Roman" w:hAnsi="Times New Roman" w:cs="Times New Roman"/>
          <w:sz w:val="24"/>
          <w:szCs w:val="24"/>
        </w:rPr>
        <w:t xml:space="preserve">).  </w:t>
      </w:r>
    </w:p>
    <w:p w:rsidR="005A685F" w:rsidP="007A2B52">
      <w:pPr>
        <w:spacing w:line="240" w:lineRule="auto"/>
        <w:rPr>
          <w:rStyle w:val="tlTunKurzva"/>
          <w:rFonts w:ascii="Times New Roman" w:hAnsi="Times New Roman"/>
          <w:i w:val="0"/>
          <w:sz w:val="24"/>
          <w:szCs w:val="24"/>
        </w:rPr>
      </w:pPr>
    </w:p>
    <w:p w:rsidR="007A2B52" w:rsidRPr="00C8490C" w:rsidP="00C8490C">
      <w:pPr>
        <w:pStyle w:val="BodyText2"/>
        <w:spacing w:line="240" w:lineRule="auto"/>
        <w:ind w:firstLine="709"/>
        <w:rPr>
          <w:rFonts w:ascii="Times New Roman" w:hAnsi="Times New Roman" w:cs="Times New Roman"/>
          <w:sz w:val="24"/>
          <w:szCs w:val="24"/>
        </w:rPr>
      </w:pPr>
      <w:r w:rsidRPr="00C8490C" w:rsidR="00960418">
        <w:rPr>
          <w:rStyle w:val="tlTunKurzva"/>
          <w:rFonts w:ascii="Times New Roman" w:hAnsi="Times New Roman"/>
          <w:b w:val="0"/>
          <w:i w:val="0"/>
          <w:sz w:val="24"/>
          <w:szCs w:val="24"/>
        </w:rPr>
        <w:t xml:space="preserve">Pozn.: V rámci </w:t>
      </w:r>
      <w:r w:rsidR="00C8490C">
        <w:rPr>
          <w:rStyle w:val="tlTunKurzva"/>
          <w:rFonts w:ascii="Times New Roman" w:hAnsi="Times New Roman"/>
          <w:b w:val="0"/>
          <w:i w:val="0"/>
          <w:sz w:val="24"/>
          <w:szCs w:val="24"/>
        </w:rPr>
        <w:t xml:space="preserve">plnenia úloh podpory obrany bolo cez </w:t>
      </w:r>
      <w:r w:rsidRPr="00C8490C" w:rsidR="00C8490C">
        <w:rPr>
          <w:rStyle w:val="tlTunKurzva"/>
          <w:rFonts w:ascii="Times New Roman" w:hAnsi="Times New Roman"/>
          <w:b w:val="0"/>
          <w:i w:val="0"/>
          <w:sz w:val="24"/>
          <w:szCs w:val="24"/>
        </w:rPr>
        <w:t>pod</w:t>
      </w:r>
      <w:r w:rsidRPr="00C8490C" w:rsidR="00960418">
        <w:rPr>
          <w:rStyle w:val="tlTunKurzva"/>
          <w:rFonts w:ascii="Times New Roman" w:hAnsi="Times New Roman"/>
          <w:b w:val="0"/>
          <w:i w:val="0"/>
          <w:sz w:val="24"/>
          <w:szCs w:val="24"/>
        </w:rPr>
        <w:t>prog</w:t>
      </w:r>
      <w:r w:rsidR="00C8490C">
        <w:rPr>
          <w:rStyle w:val="tlTunKurzva"/>
          <w:rFonts w:ascii="Times New Roman" w:hAnsi="Times New Roman"/>
          <w:b w:val="0"/>
          <w:i w:val="0"/>
          <w:sz w:val="24"/>
          <w:szCs w:val="24"/>
        </w:rPr>
        <w:t xml:space="preserve">ram </w:t>
      </w:r>
      <w:r w:rsidRPr="00C8490C" w:rsidR="00960418">
        <w:rPr>
          <w:rStyle w:val="tlTunKurzva"/>
          <w:rFonts w:ascii="Times New Roman" w:hAnsi="Times New Roman"/>
          <w:b w:val="0"/>
          <w:i w:val="0"/>
          <w:sz w:val="24"/>
          <w:szCs w:val="24"/>
        </w:rPr>
        <w:t xml:space="preserve">05302 – Cestná sieť – výstavba a obnova </w:t>
      </w:r>
      <w:r w:rsidRPr="00C8490C" w:rsidR="00C8490C">
        <w:rPr>
          <w:rStyle w:val="tlTunKurzva"/>
          <w:rFonts w:ascii="Times New Roman" w:hAnsi="Times New Roman"/>
          <w:b w:val="0"/>
          <w:i w:val="0"/>
          <w:sz w:val="24"/>
          <w:szCs w:val="24"/>
        </w:rPr>
        <w:t xml:space="preserve">(RO MF SR č. </w:t>
      </w:r>
      <w:r w:rsidR="00C8490C">
        <w:rPr>
          <w:rStyle w:val="tlTunKurzva"/>
          <w:rFonts w:ascii="Times New Roman" w:hAnsi="Times New Roman"/>
          <w:b w:val="0"/>
          <w:i w:val="0"/>
          <w:sz w:val="24"/>
          <w:szCs w:val="24"/>
        </w:rPr>
        <w:t xml:space="preserve">11) </w:t>
      </w:r>
      <w:r w:rsidRPr="00C8490C" w:rsidR="00960418">
        <w:rPr>
          <w:rStyle w:val="tlTunKurzva"/>
          <w:rFonts w:ascii="Times New Roman" w:hAnsi="Times New Roman"/>
          <w:b w:val="0"/>
          <w:i w:val="0"/>
          <w:sz w:val="24"/>
          <w:szCs w:val="24"/>
        </w:rPr>
        <w:t>vyčerpaných 15 mil. Sk na</w:t>
      </w:r>
      <w:r w:rsidRPr="00C8490C" w:rsidR="00C8490C">
        <w:rPr>
          <w:rStyle w:val="tlTunKurzva"/>
          <w:rFonts w:ascii="Times New Roman" w:hAnsi="Times New Roman"/>
          <w:b w:val="0"/>
          <w:i w:val="0"/>
          <w:sz w:val="24"/>
          <w:szCs w:val="24"/>
        </w:rPr>
        <w:t xml:space="preserve"> </w:t>
      </w:r>
      <w:r w:rsidRPr="00C8490C" w:rsidR="00C8490C">
        <w:rPr>
          <w:rFonts w:ascii="Times New Roman" w:hAnsi="Times New Roman" w:cs="Times New Roman"/>
          <w:sz w:val="24"/>
          <w:szCs w:val="24"/>
        </w:rPr>
        <w:t xml:space="preserve">zabezpečenie financovania zjazdnosti a priepustnosti vybraných ciest. Na základe uvedeného sa </w:t>
      </w:r>
      <w:r w:rsidRPr="00C8490C" w:rsidR="00C8490C">
        <w:rPr>
          <w:rStyle w:val="tlTunKurzva"/>
          <w:rFonts w:ascii="Times New Roman" w:hAnsi="Times New Roman"/>
          <w:b w:val="0"/>
          <w:i w:val="0"/>
          <w:sz w:val="24"/>
          <w:szCs w:val="24"/>
        </w:rPr>
        <w:t xml:space="preserve">realizovali investičné akcie </w:t>
      </w:r>
      <w:r w:rsidR="00C8490C">
        <w:rPr>
          <w:rStyle w:val="tlTunKurzva"/>
          <w:rFonts w:ascii="Times New Roman" w:hAnsi="Times New Roman"/>
          <w:b w:val="0"/>
          <w:i w:val="0"/>
          <w:sz w:val="24"/>
          <w:szCs w:val="24"/>
        </w:rPr>
        <w:t xml:space="preserve">SSC: </w:t>
      </w:r>
      <w:r w:rsidRPr="00C8490C" w:rsidR="00C8490C">
        <w:rPr>
          <w:rFonts w:ascii="Times New Roman" w:hAnsi="Times New Roman" w:cs="Times New Roman"/>
          <w:sz w:val="24"/>
          <w:szCs w:val="24"/>
        </w:rPr>
        <w:t>objekt UAC č.2</w:t>
      </w:r>
      <w:r w:rsidR="00C8490C">
        <w:rPr>
          <w:rFonts w:ascii="Times New Roman" w:hAnsi="Times New Roman" w:cs="Times New Roman"/>
          <w:sz w:val="24"/>
          <w:szCs w:val="24"/>
        </w:rPr>
        <w:t>-</w:t>
      </w:r>
      <w:r w:rsidRPr="00C8490C">
        <w:rPr>
          <w:rFonts w:ascii="Times New Roman" w:hAnsi="Times New Roman" w:cs="Times New Roman"/>
          <w:sz w:val="24"/>
          <w:szCs w:val="24"/>
        </w:rPr>
        <w:t xml:space="preserve">most I/50 Kriváň-ev.č.201 </w:t>
      </w:r>
      <w:r w:rsidRPr="00C8490C" w:rsidR="00C8490C">
        <w:rPr>
          <w:rFonts w:ascii="Times New Roman" w:hAnsi="Times New Roman" w:cs="Times New Roman"/>
          <w:sz w:val="24"/>
          <w:szCs w:val="24"/>
        </w:rPr>
        <w:t>a</w:t>
      </w:r>
      <w:r w:rsidR="00C8490C">
        <w:rPr>
          <w:rFonts w:ascii="Times New Roman" w:hAnsi="Times New Roman" w:cs="Times New Roman"/>
          <w:sz w:val="24"/>
          <w:szCs w:val="24"/>
        </w:rPr>
        <w:t> </w:t>
      </w:r>
      <w:r w:rsidRPr="00C8490C" w:rsidR="00C8490C">
        <w:rPr>
          <w:rFonts w:ascii="Times New Roman" w:hAnsi="Times New Roman" w:cs="Times New Roman"/>
          <w:sz w:val="24"/>
          <w:szCs w:val="24"/>
        </w:rPr>
        <w:t>Podkriváň</w:t>
      </w:r>
      <w:r w:rsidR="00C8490C">
        <w:rPr>
          <w:rFonts w:ascii="Times New Roman" w:hAnsi="Times New Roman" w:cs="Times New Roman"/>
          <w:sz w:val="24"/>
          <w:szCs w:val="24"/>
        </w:rPr>
        <w:t>-</w:t>
      </w:r>
      <w:r w:rsidRPr="00C8490C" w:rsidR="00C8490C">
        <w:rPr>
          <w:rFonts w:ascii="Times New Roman" w:hAnsi="Times New Roman" w:cs="Times New Roman"/>
          <w:sz w:val="24"/>
          <w:szCs w:val="24"/>
        </w:rPr>
        <w:t>oporný múr.</w:t>
      </w:r>
    </w:p>
    <w:p w:rsidR="001F3538" w:rsidP="00C965AD">
      <w:pPr>
        <w:spacing w:line="240" w:lineRule="auto"/>
        <w:rPr>
          <w:rFonts w:ascii="Times New Roman" w:hAnsi="Times New Roman" w:cs="Times New Roman"/>
          <w:sz w:val="24"/>
          <w:szCs w:val="24"/>
        </w:rPr>
      </w:pPr>
    </w:p>
    <w:p w:rsidR="001221BA" w:rsidRPr="000B252F" w:rsidP="00C965AD">
      <w:pPr>
        <w:spacing w:line="240" w:lineRule="auto"/>
        <w:rPr>
          <w:rFonts w:ascii="Times New Roman" w:hAnsi="Times New Roman" w:cs="Times New Roman"/>
          <w:sz w:val="24"/>
          <w:szCs w:val="24"/>
        </w:rPr>
      </w:pPr>
    </w:p>
    <w:p w:rsidR="00684D28" w:rsidRPr="00D23807" w:rsidP="00C362EA">
      <w:pPr>
        <w:pStyle w:val="Heading7"/>
        <w:pBdr>
          <w:top w:val="thinThickLargeGap" w:sz="24" w:space="1" w:color="auto" w:shadow="1"/>
          <w:left w:val="thinThickLargeGap" w:sz="24" w:space="1" w:color="auto" w:shadow="1"/>
          <w:bottom w:val="thinThickLargeGap" w:sz="24" w:space="1" w:color="auto" w:shadow="1"/>
          <w:right w:val="thinThickLargeGap" w:sz="24" w:space="1" w:color="auto" w:shadow="1"/>
        </w:pBdr>
        <w:shd w:val="pct15" w:color="000000" w:fill="FFFFFF"/>
        <w:spacing w:line="240" w:lineRule="auto"/>
        <w:rPr>
          <w:rFonts w:ascii="Times New Roman" w:hAnsi="Times New Roman" w:cs="Times New Roman"/>
          <w:i w:val="0"/>
        </w:rPr>
      </w:pPr>
      <w:r w:rsidRPr="00D23807">
        <w:rPr>
          <w:rFonts w:ascii="Times New Roman" w:hAnsi="Times New Roman" w:cs="Times New Roman"/>
          <w:i w:val="0"/>
        </w:rPr>
        <w:t xml:space="preserve">Vyhodnotenie výdavkov na zahraničné pracovné cesty </w:t>
      </w:r>
    </w:p>
    <w:p w:rsidR="00575536" w:rsidRPr="001C2560" w:rsidP="00C362EA">
      <w:pPr>
        <w:pStyle w:val="NormalIndent"/>
        <w:tabs>
          <w:tab w:val="left" w:pos="0"/>
        </w:tabs>
        <w:spacing w:line="240" w:lineRule="auto"/>
        <w:ind w:left="0"/>
        <w:rPr>
          <w:rFonts w:ascii="Times New Roman" w:hAnsi="Times New Roman" w:cs="Times New Roman"/>
        </w:rPr>
      </w:pPr>
    </w:p>
    <w:p w:rsidR="001221BA" w:rsidP="00C362EA">
      <w:pPr>
        <w:pStyle w:val="BodyTextIndent3"/>
        <w:spacing w:line="240" w:lineRule="auto"/>
        <w:ind w:firstLine="0"/>
        <w:rPr>
          <w:rFonts w:ascii="Times New Roman" w:hAnsi="Times New Roman" w:cs="Times New Roman"/>
          <w:b/>
          <w:sz w:val="24"/>
          <w:szCs w:val="24"/>
          <w:u w:val="single"/>
        </w:rPr>
      </w:pPr>
    </w:p>
    <w:p w:rsidR="00684D28" w:rsidRPr="001C2560" w:rsidP="00C362EA">
      <w:pPr>
        <w:pStyle w:val="BodyTextIndent3"/>
        <w:spacing w:line="240" w:lineRule="auto"/>
        <w:ind w:firstLine="0"/>
        <w:rPr>
          <w:rFonts w:ascii="Times New Roman" w:hAnsi="Times New Roman" w:cs="Times New Roman"/>
          <w:b/>
          <w:sz w:val="24"/>
          <w:szCs w:val="24"/>
          <w:u w:val="single"/>
        </w:rPr>
      </w:pPr>
      <w:r w:rsidRPr="001C2560">
        <w:rPr>
          <w:rFonts w:ascii="Times New Roman" w:hAnsi="Times New Roman" w:cs="Times New Roman"/>
          <w:b/>
          <w:sz w:val="24"/>
          <w:szCs w:val="24"/>
          <w:u w:val="single"/>
        </w:rPr>
        <w:t>a) Ústredný orgán MDPT SR</w:t>
      </w:r>
    </w:p>
    <w:p w:rsidR="00684D28" w:rsidRPr="00D23807" w:rsidP="00A234EB">
      <w:pPr>
        <w:pStyle w:val="BodyTextIndent3"/>
        <w:spacing w:line="240" w:lineRule="auto"/>
        <w:ind w:firstLine="0"/>
        <w:rPr>
          <w:rFonts w:ascii="Times New Roman" w:hAnsi="Times New Roman" w:cs="Times New Roman"/>
          <w:sz w:val="24"/>
          <w:szCs w:val="24"/>
        </w:rPr>
      </w:pPr>
    </w:p>
    <w:p w:rsidR="00DC6869" w:rsidP="00DC6869">
      <w:pPr>
        <w:pStyle w:val="BodyTextIndent3"/>
        <w:spacing w:line="240" w:lineRule="auto"/>
        <w:ind w:firstLine="709"/>
        <w:rPr>
          <w:rFonts w:ascii="Times New Roman" w:hAnsi="Times New Roman" w:cs="Times New Roman"/>
          <w:sz w:val="24"/>
          <w:szCs w:val="24"/>
        </w:rPr>
      </w:pPr>
      <w:r w:rsidRPr="00D23807" w:rsidR="00684D28">
        <w:rPr>
          <w:rFonts w:ascii="Times New Roman" w:hAnsi="Times New Roman" w:cs="Times New Roman"/>
          <w:sz w:val="24"/>
          <w:szCs w:val="24"/>
        </w:rPr>
        <w:t xml:space="preserve">Zahraničné pracovné cesty zamestnancov MDPT SR boli </w:t>
      </w:r>
      <w:r w:rsidR="00A201AB">
        <w:rPr>
          <w:rFonts w:ascii="Times New Roman" w:hAnsi="Times New Roman" w:cs="Times New Roman"/>
          <w:sz w:val="24"/>
          <w:szCs w:val="24"/>
        </w:rPr>
        <w:t>v roku 2007</w:t>
      </w:r>
      <w:r w:rsidR="00684D28">
        <w:rPr>
          <w:rFonts w:ascii="Times New Roman" w:hAnsi="Times New Roman" w:cs="Times New Roman"/>
          <w:sz w:val="24"/>
          <w:szCs w:val="24"/>
        </w:rPr>
        <w:t xml:space="preserve"> </w:t>
      </w:r>
      <w:r w:rsidRPr="00D23807" w:rsidR="00684D28">
        <w:rPr>
          <w:rFonts w:ascii="Times New Roman" w:hAnsi="Times New Roman" w:cs="Times New Roman"/>
          <w:sz w:val="24"/>
          <w:szCs w:val="24"/>
        </w:rPr>
        <w:t>zamerané najmä na plnenie cieľov zahraničnej politiky vlády SR ap</w:t>
      </w:r>
      <w:r w:rsidR="00E45DB9">
        <w:rPr>
          <w:rFonts w:ascii="Times New Roman" w:hAnsi="Times New Roman" w:cs="Times New Roman"/>
          <w:sz w:val="24"/>
          <w:szCs w:val="24"/>
        </w:rPr>
        <w:t xml:space="preserve">likovanej na podmienky MDPT SR. </w:t>
      </w:r>
    </w:p>
    <w:p w:rsidR="001221BA" w:rsidP="00DC6869">
      <w:pPr>
        <w:pStyle w:val="BodyTextIndent3"/>
        <w:spacing w:line="240" w:lineRule="auto"/>
        <w:ind w:firstLine="709"/>
        <w:rPr>
          <w:rFonts w:ascii="Times New Roman" w:hAnsi="Times New Roman" w:cs="Times New Roman"/>
          <w:sz w:val="24"/>
          <w:szCs w:val="24"/>
        </w:rPr>
      </w:pPr>
    </w:p>
    <w:p w:rsidR="00684D28" w:rsidRPr="00D23807" w:rsidP="00DC6869">
      <w:pPr>
        <w:pStyle w:val="BodyTextIndent3"/>
        <w:spacing w:line="240" w:lineRule="auto"/>
        <w:ind w:firstLine="709"/>
        <w:rPr>
          <w:rFonts w:ascii="Times New Roman" w:hAnsi="Times New Roman" w:cs="Times New Roman"/>
          <w:sz w:val="24"/>
          <w:szCs w:val="24"/>
        </w:rPr>
      </w:pPr>
      <w:r w:rsidRPr="00D23807">
        <w:rPr>
          <w:rFonts w:ascii="Times New Roman" w:hAnsi="Times New Roman" w:cs="Times New Roman"/>
          <w:sz w:val="24"/>
          <w:szCs w:val="24"/>
        </w:rPr>
        <w:t>Celkové výdavky na tieto cesty pred</w:t>
      </w:r>
      <w:r w:rsidR="00A234EB">
        <w:rPr>
          <w:rFonts w:ascii="Times New Roman" w:hAnsi="Times New Roman" w:cs="Times New Roman"/>
          <w:sz w:val="24"/>
          <w:szCs w:val="24"/>
        </w:rPr>
        <w:t xml:space="preserve">stavovali sumu 7 692 301,63 </w:t>
      </w:r>
      <w:r w:rsidRPr="00D23807">
        <w:rPr>
          <w:rFonts w:ascii="Times New Roman" w:hAnsi="Times New Roman" w:cs="Times New Roman"/>
          <w:sz w:val="24"/>
          <w:szCs w:val="24"/>
        </w:rPr>
        <w:t>Sk</w:t>
      </w:r>
      <w:r w:rsidR="00DC6869">
        <w:rPr>
          <w:rFonts w:ascii="Times New Roman" w:hAnsi="Times New Roman" w:cs="Times New Roman"/>
          <w:sz w:val="24"/>
          <w:szCs w:val="24"/>
        </w:rPr>
        <w:t>.</w:t>
      </w:r>
    </w:p>
    <w:p w:rsidR="001221BA" w:rsidP="00346B61">
      <w:pPr>
        <w:pStyle w:val="BodyTextIndent3"/>
        <w:spacing w:line="240" w:lineRule="auto"/>
        <w:ind w:firstLine="709"/>
        <w:rPr>
          <w:rFonts w:ascii="Times New Roman" w:hAnsi="Times New Roman" w:cs="Times New Roman"/>
          <w:sz w:val="24"/>
          <w:szCs w:val="24"/>
        </w:rPr>
      </w:pPr>
    </w:p>
    <w:p w:rsidR="00E45DB9" w:rsidRPr="00346B61" w:rsidP="00346B61">
      <w:pPr>
        <w:pStyle w:val="BodyTextIndent3"/>
        <w:spacing w:line="240" w:lineRule="auto"/>
        <w:ind w:firstLine="709"/>
        <w:rPr>
          <w:rFonts w:ascii="Times New Roman" w:hAnsi="Times New Roman" w:cs="Times New Roman"/>
          <w:sz w:val="24"/>
          <w:szCs w:val="24"/>
        </w:rPr>
      </w:pPr>
      <w:r w:rsidRPr="00346B61" w:rsidR="00346B61">
        <w:rPr>
          <w:rFonts w:ascii="Times New Roman" w:hAnsi="Times New Roman" w:cs="Times New Roman"/>
          <w:sz w:val="24"/>
          <w:szCs w:val="24"/>
        </w:rPr>
        <w:t>Predmetné výdavky boli použité na cestovné náhrady, pohonné hmoty, diaľničné popla</w:t>
      </w:r>
      <w:r w:rsidR="00CA42DD">
        <w:rPr>
          <w:rFonts w:ascii="Times New Roman" w:hAnsi="Times New Roman" w:cs="Times New Roman"/>
          <w:sz w:val="24"/>
          <w:szCs w:val="24"/>
        </w:rPr>
        <w:t xml:space="preserve">tky, poplatky za parkovanie a </w:t>
      </w:r>
      <w:r w:rsidRPr="00346B61" w:rsidR="00346B61">
        <w:rPr>
          <w:rFonts w:ascii="Times New Roman" w:hAnsi="Times New Roman" w:cs="Times New Roman"/>
          <w:sz w:val="24"/>
          <w:szCs w:val="24"/>
        </w:rPr>
        <w:t xml:space="preserve">poistné zamestnancov na zahraničných pracovných cestách. </w:t>
      </w:r>
      <w:r w:rsidR="00346B61">
        <w:rPr>
          <w:rFonts w:ascii="Times New Roman" w:hAnsi="Times New Roman" w:cs="Times New Roman"/>
          <w:sz w:val="24"/>
          <w:szCs w:val="24"/>
        </w:rPr>
        <w:t>V skutočnosti boli n</w:t>
      </w:r>
      <w:r w:rsidRPr="00346B61" w:rsidR="00684D28">
        <w:rPr>
          <w:rFonts w:ascii="Times New Roman" w:hAnsi="Times New Roman" w:cs="Times New Roman"/>
          <w:sz w:val="24"/>
          <w:szCs w:val="24"/>
        </w:rPr>
        <w:t xml:space="preserve">áklady na </w:t>
      </w:r>
      <w:r w:rsidR="00346B61">
        <w:rPr>
          <w:rFonts w:ascii="Times New Roman" w:hAnsi="Times New Roman" w:cs="Times New Roman"/>
          <w:sz w:val="24"/>
          <w:szCs w:val="24"/>
        </w:rPr>
        <w:t xml:space="preserve">zahraničné cesty </w:t>
      </w:r>
      <w:r w:rsidR="00DC6869">
        <w:rPr>
          <w:rFonts w:ascii="Times New Roman" w:hAnsi="Times New Roman" w:cs="Times New Roman"/>
          <w:sz w:val="24"/>
          <w:szCs w:val="24"/>
        </w:rPr>
        <w:t xml:space="preserve">vyššie o 2 168 327,45 </w:t>
      </w:r>
      <w:r w:rsidRPr="00346B61">
        <w:rPr>
          <w:rFonts w:ascii="Times New Roman" w:hAnsi="Times New Roman" w:cs="Times New Roman"/>
          <w:sz w:val="24"/>
          <w:szCs w:val="24"/>
        </w:rPr>
        <w:t xml:space="preserve">Sk, čo boli výdavky refundované </w:t>
      </w:r>
      <w:r w:rsidRPr="00346B61" w:rsidR="00684D28">
        <w:rPr>
          <w:rFonts w:ascii="Times New Roman" w:hAnsi="Times New Roman" w:cs="Times New Roman"/>
          <w:sz w:val="24"/>
          <w:szCs w:val="24"/>
        </w:rPr>
        <w:t xml:space="preserve">za cestovné </w:t>
      </w:r>
      <w:r w:rsidRPr="00346B61">
        <w:rPr>
          <w:rFonts w:ascii="Times New Roman" w:hAnsi="Times New Roman" w:cs="Times New Roman"/>
          <w:sz w:val="24"/>
          <w:szCs w:val="24"/>
        </w:rPr>
        <w:t xml:space="preserve">z EK </w:t>
      </w:r>
      <w:r w:rsidR="00346B61">
        <w:rPr>
          <w:rFonts w:ascii="Times New Roman" w:hAnsi="Times New Roman" w:cs="Times New Roman"/>
          <w:sz w:val="24"/>
          <w:szCs w:val="24"/>
        </w:rPr>
        <w:t>a MF SR z</w:t>
      </w:r>
      <w:r w:rsidRPr="00346B61" w:rsidR="00684D28">
        <w:rPr>
          <w:rFonts w:ascii="Times New Roman" w:hAnsi="Times New Roman" w:cs="Times New Roman"/>
          <w:sz w:val="24"/>
          <w:szCs w:val="24"/>
        </w:rPr>
        <w:t>a cesty spojené s r</w:t>
      </w:r>
      <w:r w:rsidRPr="00346B61">
        <w:rPr>
          <w:rFonts w:ascii="Times New Roman" w:hAnsi="Times New Roman" w:cs="Times New Roman"/>
          <w:sz w:val="24"/>
          <w:szCs w:val="24"/>
        </w:rPr>
        <w:t xml:space="preserve">okovaním rady EÚ. </w:t>
      </w:r>
    </w:p>
    <w:p w:rsidR="00684D28" w:rsidRPr="001856F9" w:rsidP="00C362EA">
      <w:pPr>
        <w:spacing w:line="240" w:lineRule="auto"/>
        <w:ind w:right="45" w:firstLine="709"/>
        <w:rPr>
          <w:rFonts w:ascii="Times New Roman" w:hAnsi="Times New Roman" w:cs="Times New Roman"/>
          <w:sz w:val="24"/>
          <w:szCs w:val="24"/>
        </w:rPr>
      </w:pPr>
    </w:p>
    <w:p w:rsidR="00684D28" w:rsidP="00C362EA">
      <w:pPr>
        <w:pStyle w:val="BodyTextIndent3"/>
        <w:spacing w:line="240" w:lineRule="auto"/>
        <w:ind w:firstLine="709"/>
        <w:rPr>
          <w:rFonts w:ascii="Times New Roman" w:hAnsi="Times New Roman" w:cs="Times New Roman"/>
          <w:sz w:val="24"/>
          <w:szCs w:val="24"/>
        </w:rPr>
      </w:pPr>
      <w:r w:rsidRPr="00D23807">
        <w:rPr>
          <w:rFonts w:ascii="Times New Roman" w:hAnsi="Times New Roman" w:cs="Times New Roman"/>
          <w:sz w:val="24"/>
          <w:szCs w:val="24"/>
        </w:rPr>
        <w:t>Priority pre uskutočňovanie ZPC boli nasledovné:</w:t>
      </w:r>
    </w:p>
    <w:p w:rsidR="001221BA" w:rsidRPr="00D23807" w:rsidP="00C362EA">
      <w:pPr>
        <w:pStyle w:val="BodyTextIndent3"/>
        <w:spacing w:line="240" w:lineRule="auto"/>
        <w:ind w:firstLine="709"/>
        <w:rPr>
          <w:rFonts w:ascii="Times New Roman" w:hAnsi="Times New Roman" w:cs="Times New Roman"/>
          <w:sz w:val="24"/>
          <w:szCs w:val="24"/>
        </w:rPr>
      </w:pPr>
    </w:p>
    <w:p w:rsidR="00684D28" w:rsidRPr="00D23807" w:rsidP="001654CB">
      <w:pPr>
        <w:pStyle w:val="BodyTextIndent3"/>
        <w:numPr>
          <w:ilvl w:val="0"/>
          <w:numId w:val="1"/>
        </w:numPr>
        <w:tabs>
          <w:tab w:val="clear" w:pos="360"/>
          <w:tab w:val="left" w:pos="720"/>
        </w:tabs>
        <w:spacing w:line="240" w:lineRule="auto"/>
        <w:ind w:left="720"/>
        <w:rPr>
          <w:rFonts w:ascii="Times New Roman" w:hAnsi="Times New Roman" w:cs="Times New Roman"/>
          <w:sz w:val="24"/>
          <w:szCs w:val="24"/>
        </w:rPr>
      </w:pPr>
      <w:r w:rsidR="00356D72">
        <w:rPr>
          <w:rFonts w:ascii="Times New Roman" w:hAnsi="Times New Roman" w:cs="Times New Roman"/>
          <w:sz w:val="24"/>
          <w:szCs w:val="24"/>
        </w:rPr>
        <w:t>z</w:t>
      </w:r>
      <w:r w:rsidRPr="00D23807">
        <w:rPr>
          <w:rFonts w:ascii="Times New Roman" w:hAnsi="Times New Roman" w:cs="Times New Roman"/>
          <w:sz w:val="24"/>
          <w:szCs w:val="24"/>
        </w:rPr>
        <w:t>ahraničná politika</w:t>
      </w:r>
    </w:p>
    <w:p w:rsidR="00684D28" w:rsidRPr="00D23807" w:rsidP="001654CB">
      <w:pPr>
        <w:pStyle w:val="BodyTextIndent3"/>
        <w:numPr>
          <w:ilvl w:val="0"/>
          <w:numId w:val="1"/>
        </w:numPr>
        <w:tabs>
          <w:tab w:val="clear" w:pos="360"/>
          <w:tab w:val="left" w:pos="720"/>
        </w:tabs>
        <w:spacing w:line="240" w:lineRule="auto"/>
        <w:ind w:left="720"/>
        <w:rPr>
          <w:rFonts w:ascii="Times New Roman" w:hAnsi="Times New Roman" w:cs="Times New Roman"/>
          <w:sz w:val="24"/>
          <w:szCs w:val="24"/>
        </w:rPr>
      </w:pPr>
      <w:r w:rsidRPr="00D23807">
        <w:rPr>
          <w:rFonts w:ascii="Times New Roman" w:hAnsi="Times New Roman" w:cs="Times New Roman"/>
          <w:sz w:val="24"/>
          <w:szCs w:val="24"/>
        </w:rPr>
        <w:t>Európska únia (Rada ministrov, pracovné skupiny pre dopravu a telekomunikácie)</w:t>
      </w:r>
    </w:p>
    <w:p w:rsidR="00684D28" w:rsidRPr="00D23807" w:rsidP="001654CB">
      <w:pPr>
        <w:pStyle w:val="BodyTextIndent3"/>
        <w:numPr>
          <w:ilvl w:val="0"/>
          <w:numId w:val="1"/>
        </w:numPr>
        <w:tabs>
          <w:tab w:val="clear" w:pos="360"/>
          <w:tab w:val="left" w:pos="720"/>
        </w:tabs>
        <w:spacing w:line="240" w:lineRule="auto"/>
        <w:ind w:left="720"/>
        <w:rPr>
          <w:rFonts w:ascii="Times New Roman" w:hAnsi="Times New Roman" w:cs="Times New Roman"/>
          <w:sz w:val="24"/>
          <w:szCs w:val="24"/>
        </w:rPr>
      </w:pPr>
      <w:r w:rsidR="00356D72">
        <w:rPr>
          <w:rFonts w:ascii="Times New Roman" w:hAnsi="Times New Roman" w:cs="Times New Roman"/>
          <w:sz w:val="24"/>
          <w:szCs w:val="24"/>
        </w:rPr>
        <w:t>p</w:t>
      </w:r>
      <w:r w:rsidRPr="00D23807">
        <w:rPr>
          <w:rFonts w:ascii="Times New Roman" w:hAnsi="Times New Roman" w:cs="Times New Roman"/>
          <w:sz w:val="24"/>
          <w:szCs w:val="24"/>
        </w:rPr>
        <w:t>ôsobenie MDPT SR v medzinárodných vládnych organizáciách</w:t>
      </w:r>
    </w:p>
    <w:p w:rsidR="00684D28" w:rsidRPr="00D23807" w:rsidP="001654CB">
      <w:pPr>
        <w:pStyle w:val="BodyTextIndent3"/>
        <w:numPr>
          <w:ilvl w:val="0"/>
          <w:numId w:val="1"/>
        </w:numPr>
        <w:tabs>
          <w:tab w:val="clear" w:pos="360"/>
          <w:tab w:val="left" w:pos="720"/>
        </w:tabs>
        <w:spacing w:line="240" w:lineRule="auto"/>
        <w:ind w:left="720"/>
        <w:rPr>
          <w:rFonts w:ascii="Times New Roman" w:hAnsi="Times New Roman" w:cs="Times New Roman"/>
          <w:sz w:val="24"/>
          <w:szCs w:val="24"/>
        </w:rPr>
      </w:pPr>
      <w:r w:rsidR="00356D72">
        <w:rPr>
          <w:rFonts w:ascii="Times New Roman" w:hAnsi="Times New Roman" w:cs="Times New Roman"/>
          <w:sz w:val="24"/>
          <w:szCs w:val="24"/>
        </w:rPr>
        <w:t>o</w:t>
      </w:r>
      <w:r w:rsidRPr="00D23807">
        <w:rPr>
          <w:rFonts w:ascii="Times New Roman" w:hAnsi="Times New Roman" w:cs="Times New Roman"/>
          <w:sz w:val="24"/>
          <w:szCs w:val="24"/>
        </w:rPr>
        <w:t>krem základných organizácií účasť aj na podujatiach na úrovni V4; SEI; OECD</w:t>
      </w:r>
    </w:p>
    <w:p w:rsidR="00684D28" w:rsidRPr="00D23807" w:rsidP="001654CB">
      <w:pPr>
        <w:pStyle w:val="BodyTextIndent3"/>
        <w:numPr>
          <w:ilvl w:val="0"/>
          <w:numId w:val="1"/>
        </w:numPr>
        <w:tabs>
          <w:tab w:val="clear" w:pos="360"/>
          <w:tab w:val="left" w:pos="720"/>
        </w:tabs>
        <w:spacing w:line="240" w:lineRule="auto"/>
        <w:ind w:left="720"/>
        <w:rPr>
          <w:rFonts w:ascii="Times New Roman" w:hAnsi="Times New Roman" w:cs="Times New Roman"/>
          <w:sz w:val="24"/>
          <w:szCs w:val="24"/>
        </w:rPr>
      </w:pPr>
      <w:r w:rsidR="00356D72">
        <w:rPr>
          <w:rFonts w:ascii="Times New Roman" w:hAnsi="Times New Roman" w:cs="Times New Roman"/>
          <w:sz w:val="24"/>
          <w:szCs w:val="24"/>
        </w:rPr>
        <w:t>p</w:t>
      </w:r>
      <w:r w:rsidRPr="00D23807">
        <w:rPr>
          <w:rFonts w:ascii="Times New Roman" w:hAnsi="Times New Roman" w:cs="Times New Roman"/>
          <w:sz w:val="24"/>
          <w:szCs w:val="24"/>
        </w:rPr>
        <w:t xml:space="preserve">ôsobenie MDPT SR v medzinárodných organizáciách na mimovládnej úrovni </w:t>
      </w:r>
    </w:p>
    <w:p w:rsidR="00684D28" w:rsidRPr="00D23807" w:rsidP="001654CB">
      <w:pPr>
        <w:pStyle w:val="BodyTextIndent3"/>
        <w:numPr>
          <w:ilvl w:val="0"/>
          <w:numId w:val="1"/>
        </w:numPr>
        <w:tabs>
          <w:tab w:val="clear" w:pos="360"/>
          <w:tab w:val="left" w:pos="720"/>
        </w:tabs>
        <w:spacing w:line="240" w:lineRule="auto"/>
        <w:ind w:left="720"/>
        <w:rPr>
          <w:rFonts w:ascii="Times New Roman" w:hAnsi="Times New Roman" w:cs="Times New Roman"/>
          <w:sz w:val="24"/>
          <w:szCs w:val="24"/>
        </w:rPr>
      </w:pPr>
      <w:r w:rsidR="00356D72">
        <w:rPr>
          <w:rFonts w:ascii="Times New Roman" w:hAnsi="Times New Roman" w:cs="Times New Roman"/>
          <w:sz w:val="24"/>
          <w:szCs w:val="24"/>
        </w:rPr>
        <w:t>p</w:t>
      </w:r>
      <w:r w:rsidRPr="00D23807">
        <w:rPr>
          <w:rFonts w:ascii="Times New Roman" w:hAnsi="Times New Roman" w:cs="Times New Roman"/>
          <w:sz w:val="24"/>
          <w:szCs w:val="24"/>
        </w:rPr>
        <w:t>ríprava mnohostranných dohôd</w:t>
      </w:r>
    </w:p>
    <w:p w:rsidR="00684D28" w:rsidRPr="00D23807" w:rsidP="001654CB">
      <w:pPr>
        <w:pStyle w:val="BodyTextIndent3"/>
        <w:numPr>
          <w:ilvl w:val="0"/>
          <w:numId w:val="1"/>
        </w:numPr>
        <w:tabs>
          <w:tab w:val="clear" w:pos="360"/>
          <w:tab w:val="left" w:pos="720"/>
        </w:tabs>
        <w:spacing w:line="240" w:lineRule="auto"/>
        <w:ind w:left="720"/>
        <w:rPr>
          <w:rFonts w:ascii="Times New Roman" w:hAnsi="Times New Roman" w:cs="Times New Roman"/>
          <w:sz w:val="24"/>
          <w:szCs w:val="24"/>
        </w:rPr>
      </w:pPr>
      <w:r w:rsidR="00356D72">
        <w:rPr>
          <w:rFonts w:ascii="Times New Roman" w:hAnsi="Times New Roman" w:cs="Times New Roman"/>
          <w:sz w:val="24"/>
          <w:szCs w:val="24"/>
        </w:rPr>
        <w:t>b</w:t>
      </w:r>
      <w:r w:rsidRPr="00D23807">
        <w:rPr>
          <w:rFonts w:ascii="Times New Roman" w:hAnsi="Times New Roman" w:cs="Times New Roman"/>
          <w:sz w:val="24"/>
          <w:szCs w:val="24"/>
        </w:rPr>
        <w:t>ilaterálne vzťahy (bilaterálne dohody, zmiešané komisie a pod.)</w:t>
      </w:r>
    </w:p>
    <w:p w:rsidR="00684D28" w:rsidRPr="00D23807" w:rsidP="00C362EA">
      <w:pPr>
        <w:pStyle w:val="BodyTextIndent3"/>
        <w:spacing w:line="240" w:lineRule="auto"/>
        <w:rPr>
          <w:rFonts w:ascii="Times New Roman" w:hAnsi="Times New Roman" w:cs="Times New Roman"/>
          <w:sz w:val="24"/>
          <w:szCs w:val="24"/>
        </w:rPr>
      </w:pPr>
    </w:p>
    <w:p w:rsidR="00684D28" w:rsidP="00C362EA">
      <w:pPr>
        <w:pStyle w:val="BodyTextIndent3"/>
        <w:spacing w:line="240" w:lineRule="auto"/>
        <w:rPr>
          <w:rFonts w:ascii="Times New Roman" w:hAnsi="Times New Roman" w:cs="Times New Roman"/>
          <w:sz w:val="24"/>
          <w:szCs w:val="24"/>
        </w:rPr>
      </w:pPr>
      <w:r w:rsidRPr="00D23807">
        <w:rPr>
          <w:rFonts w:ascii="Times New Roman" w:hAnsi="Times New Roman" w:cs="Times New Roman"/>
          <w:sz w:val="24"/>
          <w:szCs w:val="24"/>
        </w:rPr>
        <w:t xml:space="preserve">Možno konštatovať, že úrad MDPT SR zabezpečil všetky nevyhnutné činnosti v rámci požadovaných zahraničných aktivít, dôsledným posudzovaním oprávnenosti zahraničných služobných ciest. </w:t>
      </w:r>
    </w:p>
    <w:p w:rsidR="00E24794" w:rsidP="00C362EA">
      <w:pPr>
        <w:pStyle w:val="BodyTextIndent3"/>
        <w:spacing w:line="240" w:lineRule="auto"/>
        <w:ind w:firstLine="0"/>
        <w:rPr>
          <w:rFonts w:ascii="Times New Roman" w:hAnsi="Times New Roman" w:cs="Times New Roman"/>
          <w:b/>
          <w:sz w:val="24"/>
          <w:szCs w:val="24"/>
          <w:u w:val="single"/>
        </w:rPr>
      </w:pPr>
    </w:p>
    <w:p w:rsidR="00684D28" w:rsidRPr="001C2560" w:rsidP="00C362EA">
      <w:pPr>
        <w:pStyle w:val="BodyTextIndent3"/>
        <w:spacing w:line="240" w:lineRule="auto"/>
        <w:ind w:firstLine="0"/>
        <w:rPr>
          <w:rFonts w:ascii="Times New Roman" w:hAnsi="Times New Roman" w:cs="Times New Roman"/>
          <w:b/>
          <w:sz w:val="24"/>
          <w:szCs w:val="24"/>
          <w:u w:val="single"/>
        </w:rPr>
      </w:pPr>
      <w:r w:rsidRPr="001C2560">
        <w:rPr>
          <w:rFonts w:ascii="Times New Roman" w:hAnsi="Times New Roman" w:cs="Times New Roman"/>
          <w:b/>
          <w:sz w:val="24"/>
          <w:szCs w:val="24"/>
          <w:u w:val="single"/>
        </w:rPr>
        <w:t>b) Rozpočtové organizácie:</w:t>
      </w:r>
    </w:p>
    <w:p w:rsidR="00575536" w:rsidRPr="00D23807" w:rsidP="00C362EA">
      <w:pPr>
        <w:pStyle w:val="BodyTextIndent3"/>
        <w:spacing w:line="240" w:lineRule="auto"/>
        <w:ind w:firstLine="0"/>
        <w:rPr>
          <w:rFonts w:ascii="Times New Roman" w:hAnsi="Times New Roman" w:cs="Times New Roman"/>
          <w:b/>
          <w:i/>
          <w:sz w:val="24"/>
          <w:szCs w:val="24"/>
          <w:u w:val="single"/>
        </w:rPr>
      </w:pPr>
    </w:p>
    <w:p w:rsidR="00684D28" w:rsidP="00C362EA">
      <w:pPr>
        <w:pStyle w:val="BodyTextIndent3"/>
        <w:spacing w:line="240" w:lineRule="auto"/>
        <w:ind w:firstLine="0"/>
        <w:rPr>
          <w:rFonts w:ascii="Times New Roman" w:hAnsi="Times New Roman" w:cs="Times New Roman"/>
          <w:sz w:val="24"/>
          <w:szCs w:val="24"/>
          <w:u w:val="single"/>
        </w:rPr>
      </w:pPr>
      <w:r w:rsidRPr="00D23807">
        <w:rPr>
          <w:rFonts w:ascii="Times New Roman" w:hAnsi="Times New Roman" w:cs="Times New Roman"/>
          <w:sz w:val="24"/>
          <w:szCs w:val="24"/>
        </w:rPr>
        <w:tab/>
      </w:r>
      <w:r w:rsidRPr="00D23807">
        <w:rPr>
          <w:rFonts w:ascii="Times New Roman" w:hAnsi="Times New Roman" w:cs="Times New Roman"/>
          <w:sz w:val="24"/>
          <w:szCs w:val="24"/>
          <w:u w:val="single"/>
        </w:rPr>
        <w:t>Slovenská správa ciest</w:t>
      </w:r>
    </w:p>
    <w:p w:rsidR="00684D28" w:rsidRPr="00D23807" w:rsidP="00C362EA">
      <w:pPr>
        <w:pStyle w:val="BodyTextIndent3"/>
        <w:spacing w:line="240" w:lineRule="auto"/>
        <w:ind w:firstLine="0"/>
        <w:rPr>
          <w:rFonts w:ascii="Times New Roman" w:hAnsi="Times New Roman" w:cs="Times New Roman"/>
          <w:sz w:val="24"/>
          <w:szCs w:val="24"/>
          <w:u w:val="single"/>
        </w:rPr>
      </w:pPr>
    </w:p>
    <w:p w:rsidR="00684D28" w:rsidRPr="004767FE" w:rsidP="00C362EA">
      <w:pPr>
        <w:pStyle w:val="Title"/>
        <w:spacing w:line="240" w:lineRule="auto"/>
        <w:ind w:firstLine="708"/>
        <w:rPr>
          <w:rFonts w:ascii="Arial Narrow" w:hAnsi="Arial Narrow" w:cs="Times New Roman"/>
          <w:b/>
          <w:sz w:val="20"/>
        </w:rPr>
      </w:pPr>
      <w:r w:rsidRPr="004767FE">
        <w:rPr>
          <w:rFonts w:ascii="Arial Narrow" w:hAnsi="Arial Narrow" w:cs="Times New Roman"/>
        </w:rPr>
        <w:t>Zahraničné pracovné cesty zamestnancov SSC v roku 200</w:t>
      </w:r>
      <w:r w:rsidR="00853462">
        <w:rPr>
          <w:rFonts w:ascii="Arial Narrow" w:hAnsi="Arial Narrow" w:cs="Times New Roman"/>
        </w:rPr>
        <w:t>7</w:t>
      </w:r>
    </w:p>
    <w:tbl>
      <w:tblPr>
        <w:tblW w:w="0" w:type="auto"/>
        <w:tblInd w:w="1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
      <w:tblGrid>
        <w:gridCol w:w="4500"/>
        <w:gridCol w:w="900"/>
        <w:gridCol w:w="1062"/>
        <w:gridCol w:w="762"/>
      </w:tblGrid>
      <w:tr>
        <w:tblPrEx>
          <w:tblW w:w="0" w:type="auto"/>
          <w:tblInd w:w="1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rPr>
          <w:trHeight w:hRule="auto" w:val="0"/>
        </w:trPr>
        <w:tc>
          <w:tcPr>
            <w:tcW w:w="4500" w:type="dxa"/>
            <w:tcBorders>
              <w:top w:val="single" w:sz="4" w:space="0" w:color="auto"/>
              <w:left w:val="single" w:sz="4" w:space="0" w:color="auto"/>
              <w:bottom w:val="single" w:sz="4" w:space="0" w:color="auto"/>
              <w:right w:val="single" w:sz="4" w:space="0" w:color="auto"/>
              <w:tl2br w:val="nil"/>
              <w:tr2bl w:val="nil"/>
            </w:tcBorders>
            <w:shd w:val="clear" w:color="auto" w:fill="C0C0C0"/>
            <w:textDirection w:val="lrTb"/>
            <w:vAlign w:val="center"/>
          </w:tcPr>
          <w:p w:rsidR="00684D28" w:rsidRPr="004767FE" w:rsidP="00C362EA">
            <w:pPr>
              <w:spacing w:line="240" w:lineRule="auto"/>
              <w:rPr>
                <w:rFonts w:ascii="Arial Narrow" w:hAnsi="Arial Narrow" w:cs="Times New Roman"/>
                <w:b/>
                <w:bCs/>
              </w:rPr>
            </w:pPr>
            <w:r w:rsidRPr="004767FE">
              <w:rPr>
                <w:rFonts w:ascii="Arial Narrow" w:hAnsi="Arial Narrow" w:cs="Times New Roman"/>
                <w:b/>
                <w:bCs/>
              </w:rPr>
              <w:t>Názov</w:t>
            </w:r>
          </w:p>
        </w:tc>
        <w:tc>
          <w:tcPr>
            <w:tcW w:w="900" w:type="dxa"/>
            <w:tcBorders>
              <w:top w:val="single" w:sz="4" w:space="0" w:color="auto"/>
              <w:left w:val="single" w:sz="4" w:space="0" w:color="auto"/>
              <w:bottom w:val="single" w:sz="4" w:space="0" w:color="auto"/>
              <w:right w:val="single" w:sz="4" w:space="0" w:color="auto"/>
              <w:tl2br w:val="nil"/>
              <w:tr2bl w:val="nil"/>
            </w:tcBorders>
            <w:shd w:val="clear" w:color="auto" w:fill="C0C0C0"/>
            <w:textDirection w:val="lrTb"/>
            <w:vAlign w:val="center"/>
          </w:tcPr>
          <w:p w:rsidR="00684D28" w:rsidRPr="004767FE" w:rsidP="00C362EA">
            <w:pPr>
              <w:spacing w:line="240" w:lineRule="auto"/>
              <w:rPr>
                <w:rFonts w:ascii="Arial Narrow" w:hAnsi="Arial Narrow" w:cs="Times New Roman"/>
                <w:b/>
                <w:bCs/>
              </w:rPr>
            </w:pPr>
            <w:r w:rsidRPr="004767FE">
              <w:rPr>
                <w:rFonts w:ascii="Arial Narrow" w:hAnsi="Arial Narrow" w:cs="Times New Roman"/>
                <w:b/>
                <w:bCs/>
              </w:rPr>
              <w:t>IVSC</w:t>
            </w:r>
          </w:p>
        </w:tc>
        <w:tc>
          <w:tcPr>
            <w:tcW w:w="1062" w:type="dxa"/>
            <w:tcBorders>
              <w:top w:val="single" w:sz="4" w:space="0" w:color="auto"/>
              <w:left w:val="single" w:sz="4" w:space="0" w:color="auto"/>
              <w:bottom w:val="single" w:sz="4" w:space="0" w:color="auto"/>
              <w:right w:val="single" w:sz="4" w:space="0" w:color="auto"/>
              <w:tl2br w:val="nil"/>
              <w:tr2bl w:val="nil"/>
            </w:tcBorders>
            <w:shd w:val="clear" w:color="auto" w:fill="C0C0C0"/>
            <w:textDirection w:val="lrTb"/>
            <w:vAlign w:val="center"/>
          </w:tcPr>
          <w:p w:rsidR="00684D28" w:rsidRPr="004767FE" w:rsidP="00C362EA">
            <w:pPr>
              <w:spacing w:line="240" w:lineRule="auto"/>
              <w:rPr>
                <w:rFonts w:ascii="Arial Narrow" w:hAnsi="Arial Narrow" w:cs="Times New Roman"/>
                <w:b/>
                <w:bCs/>
              </w:rPr>
            </w:pPr>
            <w:r w:rsidRPr="004767FE">
              <w:rPr>
                <w:rFonts w:ascii="Arial Narrow" w:hAnsi="Arial Narrow" w:cs="Times New Roman"/>
                <w:b/>
                <w:bCs/>
              </w:rPr>
              <w:t>GR SSC</w:t>
            </w:r>
          </w:p>
        </w:tc>
        <w:tc>
          <w:tcPr>
            <w:tcW w:w="762" w:type="dxa"/>
            <w:tcBorders>
              <w:top w:val="single" w:sz="4" w:space="0" w:color="auto"/>
              <w:left w:val="single" w:sz="4" w:space="0" w:color="auto"/>
              <w:bottom w:val="single" w:sz="4" w:space="0" w:color="auto"/>
              <w:right w:val="single" w:sz="4" w:space="0" w:color="auto"/>
              <w:tl2br w:val="nil"/>
              <w:tr2bl w:val="nil"/>
            </w:tcBorders>
            <w:shd w:val="clear" w:color="auto" w:fill="C0C0C0"/>
            <w:textDirection w:val="lrTb"/>
            <w:vAlign w:val="center"/>
          </w:tcPr>
          <w:p w:rsidR="00684D28" w:rsidRPr="004767FE" w:rsidP="00C362EA">
            <w:pPr>
              <w:spacing w:line="240" w:lineRule="auto"/>
              <w:rPr>
                <w:rFonts w:ascii="Arial Narrow" w:hAnsi="Arial Narrow" w:cs="Times New Roman"/>
                <w:b/>
                <w:bCs/>
              </w:rPr>
            </w:pPr>
            <w:r w:rsidRPr="004767FE">
              <w:rPr>
                <w:rFonts w:ascii="Arial Narrow" w:hAnsi="Arial Narrow" w:cs="Times New Roman"/>
                <w:b/>
                <w:bCs/>
              </w:rPr>
              <w:t>Počet</w:t>
            </w:r>
          </w:p>
        </w:tc>
      </w:tr>
      <w:tr>
        <w:tblPrEx>
          <w:tblW w:w="0" w:type="auto"/>
          <w:tblInd w:w="1330" w:type="dxa"/>
          <w:tblCellMar>
            <w:top w:w="0" w:type="dxa"/>
            <w:left w:w="70" w:type="dxa"/>
            <w:bottom w:w="0" w:type="dxa"/>
            <w:right w:w="70" w:type="dxa"/>
          </w:tblCellMar>
        </w:tblPrEx>
        <w:trPr>
          <w:trHeight w:hRule="auto" w:val="0"/>
        </w:trPr>
        <w:tc>
          <w:tcPr>
            <w:tcW w:w="450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684D28" w:rsidRPr="00E03A1A" w:rsidP="00C362EA">
            <w:pPr>
              <w:pStyle w:val="Styl6funkcia"/>
              <w:spacing w:line="240" w:lineRule="auto"/>
              <w:rPr>
                <w:rFonts w:ascii="Arial Narrow" w:hAnsi="Arial Narrow" w:cs="Times New Roman"/>
                <w:b w:val="0"/>
                <w:bCs/>
                <w:sz w:val="20"/>
                <w:szCs w:val="20"/>
                <w:lang w:val="sk-SK"/>
              </w:rPr>
            </w:pPr>
            <w:r w:rsidRPr="00E03A1A">
              <w:rPr>
                <w:rFonts w:ascii="Arial Narrow" w:hAnsi="Arial Narrow" w:cs="Times New Roman"/>
                <w:b w:val="0"/>
                <w:bCs/>
                <w:sz w:val="20"/>
                <w:szCs w:val="20"/>
                <w:lang w:val="sk-SK"/>
              </w:rPr>
              <w:t>Pracovné</w:t>
            </w: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684D28" w:rsidRPr="00E03A1A" w:rsidP="00C362EA">
            <w:pPr>
              <w:spacing w:line="240" w:lineRule="auto"/>
              <w:jc w:val="right"/>
              <w:rPr>
                <w:rFonts w:ascii="Arial Narrow" w:hAnsi="Arial Narrow" w:cs="Times New Roman"/>
              </w:rPr>
            </w:pPr>
          </w:p>
        </w:tc>
        <w:tc>
          <w:tcPr>
            <w:tcW w:w="1062"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684D28" w:rsidRPr="00E03A1A" w:rsidP="00C362EA">
            <w:pPr>
              <w:spacing w:line="240" w:lineRule="auto"/>
              <w:jc w:val="right"/>
              <w:rPr>
                <w:rFonts w:ascii="Arial Narrow" w:hAnsi="Arial Narrow" w:cs="Times New Roman"/>
              </w:rPr>
            </w:pPr>
          </w:p>
        </w:tc>
        <w:tc>
          <w:tcPr>
            <w:tcW w:w="762"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684D28" w:rsidRPr="00E03A1A" w:rsidP="00C362EA">
            <w:pPr>
              <w:spacing w:line="240" w:lineRule="auto"/>
              <w:jc w:val="right"/>
              <w:rPr>
                <w:rFonts w:ascii="Arial Narrow" w:hAnsi="Arial Narrow" w:cs="Times New Roman"/>
              </w:rPr>
            </w:pPr>
          </w:p>
        </w:tc>
      </w:tr>
      <w:tr>
        <w:tblPrEx>
          <w:tblW w:w="0" w:type="auto"/>
          <w:tblInd w:w="1330" w:type="dxa"/>
          <w:tblCellMar>
            <w:top w:w="0" w:type="dxa"/>
            <w:left w:w="70" w:type="dxa"/>
            <w:bottom w:w="0" w:type="dxa"/>
            <w:right w:w="70" w:type="dxa"/>
          </w:tblCellMar>
        </w:tblPrEx>
        <w:trPr>
          <w:trHeight w:hRule="auto" w:val="0"/>
        </w:trPr>
        <w:tc>
          <w:tcPr>
            <w:tcW w:w="450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684D28" w:rsidRPr="00E03A1A" w:rsidP="00C362EA">
            <w:pPr>
              <w:spacing w:line="240" w:lineRule="auto"/>
              <w:rPr>
                <w:rFonts w:ascii="Arial Narrow" w:hAnsi="Arial Narrow" w:cs="Times New Roman"/>
              </w:rPr>
            </w:pPr>
            <w:r w:rsidRPr="00E03A1A">
              <w:rPr>
                <w:rFonts w:ascii="Arial Narrow" w:hAnsi="Arial Narrow" w:cs="Times New Roman"/>
              </w:rPr>
              <w:t>- prihraničná cestná infraštruktúra</w:t>
            </w: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684D28" w:rsidRPr="00E03A1A" w:rsidP="00C362EA">
            <w:pPr>
              <w:spacing w:line="240" w:lineRule="auto"/>
              <w:jc w:val="right"/>
              <w:rPr>
                <w:rFonts w:ascii="Arial Narrow" w:hAnsi="Arial Narrow" w:cs="Times New Roman"/>
              </w:rPr>
            </w:pPr>
          </w:p>
        </w:tc>
        <w:tc>
          <w:tcPr>
            <w:tcW w:w="1062"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684D28" w:rsidRPr="00E03A1A" w:rsidP="00C362EA">
            <w:pPr>
              <w:spacing w:line="240" w:lineRule="auto"/>
              <w:jc w:val="right"/>
              <w:rPr>
                <w:rFonts w:ascii="Arial Narrow" w:hAnsi="Arial Narrow" w:cs="Times New Roman"/>
              </w:rPr>
            </w:pPr>
            <w:r w:rsidR="00853462">
              <w:rPr>
                <w:rFonts w:ascii="Arial Narrow" w:hAnsi="Arial Narrow" w:cs="Times New Roman"/>
              </w:rPr>
              <w:t>1</w:t>
            </w:r>
          </w:p>
        </w:tc>
        <w:tc>
          <w:tcPr>
            <w:tcW w:w="762"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684D28" w:rsidRPr="00E03A1A" w:rsidP="00C362EA">
            <w:pPr>
              <w:spacing w:line="240" w:lineRule="auto"/>
              <w:jc w:val="right"/>
              <w:rPr>
                <w:rFonts w:ascii="Arial Narrow" w:hAnsi="Arial Narrow" w:cs="Times New Roman"/>
              </w:rPr>
            </w:pPr>
            <w:r w:rsidRPr="00E03A1A">
              <w:rPr>
                <w:rFonts w:ascii="Arial Narrow" w:hAnsi="Arial Narrow" w:cs="Times New Roman"/>
              </w:rPr>
              <w:t>1</w:t>
            </w:r>
          </w:p>
        </w:tc>
      </w:tr>
      <w:tr>
        <w:tblPrEx>
          <w:tblW w:w="0" w:type="auto"/>
          <w:tblInd w:w="1330" w:type="dxa"/>
          <w:tblCellMar>
            <w:top w:w="0" w:type="dxa"/>
            <w:left w:w="70" w:type="dxa"/>
            <w:bottom w:w="0" w:type="dxa"/>
            <w:right w:w="70" w:type="dxa"/>
          </w:tblCellMar>
        </w:tblPrEx>
        <w:trPr>
          <w:trHeight w:hRule="auto" w:val="0"/>
        </w:trPr>
        <w:tc>
          <w:tcPr>
            <w:tcW w:w="450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684D28" w:rsidRPr="00E03A1A" w:rsidP="00C362EA">
            <w:pPr>
              <w:spacing w:line="240" w:lineRule="auto"/>
              <w:rPr>
                <w:rFonts w:ascii="Arial Narrow" w:hAnsi="Arial Narrow" w:cs="Times New Roman"/>
              </w:rPr>
            </w:pPr>
            <w:r w:rsidRPr="00E03A1A">
              <w:rPr>
                <w:rFonts w:ascii="Arial Narrow" w:hAnsi="Arial Narrow" w:cs="Times New Roman"/>
              </w:rPr>
              <w:t>- servis a údržba diagnostických zariadení</w:t>
            </w: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684D28" w:rsidRPr="00E03A1A" w:rsidP="00C362EA">
            <w:pPr>
              <w:spacing w:line="240" w:lineRule="auto"/>
              <w:jc w:val="right"/>
              <w:rPr>
                <w:rFonts w:ascii="Arial Narrow" w:hAnsi="Arial Narrow" w:cs="Times New Roman"/>
              </w:rPr>
            </w:pPr>
          </w:p>
        </w:tc>
        <w:tc>
          <w:tcPr>
            <w:tcW w:w="1062"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684D28" w:rsidRPr="00E03A1A" w:rsidP="00C362EA">
            <w:pPr>
              <w:spacing w:line="240" w:lineRule="auto"/>
              <w:jc w:val="right"/>
              <w:rPr>
                <w:rFonts w:ascii="Arial Narrow" w:hAnsi="Arial Narrow" w:cs="Times New Roman"/>
              </w:rPr>
            </w:pPr>
            <w:r w:rsidR="00853462">
              <w:rPr>
                <w:rFonts w:ascii="Arial Narrow" w:hAnsi="Arial Narrow" w:cs="Times New Roman"/>
              </w:rPr>
              <w:t>2</w:t>
            </w:r>
          </w:p>
        </w:tc>
        <w:tc>
          <w:tcPr>
            <w:tcW w:w="762"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684D28" w:rsidRPr="00E03A1A" w:rsidP="00C362EA">
            <w:pPr>
              <w:spacing w:line="240" w:lineRule="auto"/>
              <w:jc w:val="right"/>
              <w:rPr>
                <w:rFonts w:ascii="Arial Narrow" w:hAnsi="Arial Narrow" w:cs="Times New Roman"/>
              </w:rPr>
            </w:pPr>
            <w:r w:rsidR="00853462">
              <w:rPr>
                <w:rFonts w:ascii="Arial Narrow" w:hAnsi="Arial Narrow" w:cs="Times New Roman"/>
              </w:rPr>
              <w:t>2</w:t>
            </w:r>
          </w:p>
        </w:tc>
      </w:tr>
      <w:tr>
        <w:tblPrEx>
          <w:tblW w:w="0" w:type="auto"/>
          <w:tblInd w:w="1330" w:type="dxa"/>
          <w:tblCellMar>
            <w:top w:w="0" w:type="dxa"/>
            <w:left w:w="70" w:type="dxa"/>
            <w:bottom w:w="0" w:type="dxa"/>
            <w:right w:w="70" w:type="dxa"/>
          </w:tblCellMar>
        </w:tblPrEx>
        <w:trPr>
          <w:trHeight w:hRule="auto" w:val="0"/>
        </w:trPr>
        <w:tc>
          <w:tcPr>
            <w:tcW w:w="450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684D28" w:rsidRPr="00E03A1A" w:rsidP="00C362EA">
            <w:pPr>
              <w:spacing w:line="240" w:lineRule="auto"/>
              <w:rPr>
                <w:rFonts w:ascii="Arial Narrow" w:hAnsi="Arial Narrow" w:cs="Times New Roman"/>
              </w:rPr>
            </w:pPr>
            <w:r w:rsidRPr="00E03A1A" w:rsidR="009A39F7">
              <w:rPr>
                <w:rFonts w:ascii="Arial Narrow" w:hAnsi="Arial Narrow" w:cs="Times New Roman"/>
              </w:rPr>
              <w:t>- predvádzanie technológie</w:t>
            </w:r>
            <w:r w:rsidR="00853462">
              <w:rPr>
                <w:rFonts w:ascii="Arial Narrow" w:hAnsi="Arial Narrow" w:cs="Times New Roman"/>
              </w:rPr>
              <w:t>, materiálov</w:t>
            </w: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684D28" w:rsidRPr="00E03A1A" w:rsidP="00C362EA">
            <w:pPr>
              <w:spacing w:line="240" w:lineRule="auto"/>
              <w:jc w:val="right"/>
              <w:rPr>
                <w:rFonts w:ascii="Arial Narrow" w:hAnsi="Arial Narrow" w:cs="Times New Roman"/>
              </w:rPr>
            </w:pPr>
            <w:r w:rsidR="00853462">
              <w:rPr>
                <w:rFonts w:ascii="Arial Narrow" w:hAnsi="Arial Narrow" w:cs="Times New Roman"/>
              </w:rPr>
              <w:t>3</w:t>
            </w:r>
          </w:p>
        </w:tc>
        <w:tc>
          <w:tcPr>
            <w:tcW w:w="1062"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684D28" w:rsidRPr="00E03A1A" w:rsidP="00C362EA">
            <w:pPr>
              <w:spacing w:line="240" w:lineRule="auto"/>
              <w:jc w:val="right"/>
              <w:rPr>
                <w:rFonts w:ascii="Arial Narrow" w:hAnsi="Arial Narrow" w:cs="Times New Roman"/>
              </w:rPr>
            </w:pPr>
            <w:r w:rsidR="00853462">
              <w:rPr>
                <w:rFonts w:ascii="Arial Narrow" w:hAnsi="Arial Narrow" w:cs="Times New Roman"/>
              </w:rPr>
              <w:t>4</w:t>
            </w:r>
          </w:p>
        </w:tc>
        <w:tc>
          <w:tcPr>
            <w:tcW w:w="762"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684D28" w:rsidRPr="00E03A1A" w:rsidP="00C362EA">
            <w:pPr>
              <w:spacing w:line="240" w:lineRule="auto"/>
              <w:jc w:val="right"/>
              <w:rPr>
                <w:rFonts w:ascii="Arial Narrow" w:hAnsi="Arial Narrow" w:cs="Times New Roman"/>
              </w:rPr>
            </w:pPr>
            <w:r w:rsidR="00853462">
              <w:rPr>
                <w:rFonts w:ascii="Arial Narrow" w:hAnsi="Arial Narrow" w:cs="Times New Roman"/>
              </w:rPr>
              <w:t>7</w:t>
            </w:r>
          </w:p>
        </w:tc>
      </w:tr>
      <w:tr>
        <w:tblPrEx>
          <w:tblW w:w="0" w:type="auto"/>
          <w:tblInd w:w="1330" w:type="dxa"/>
          <w:tblCellMar>
            <w:top w:w="0" w:type="dxa"/>
            <w:left w:w="70" w:type="dxa"/>
            <w:bottom w:w="0" w:type="dxa"/>
            <w:right w:w="70" w:type="dxa"/>
          </w:tblCellMar>
        </w:tblPrEx>
        <w:trPr>
          <w:trHeight w:hRule="auto" w:val="0"/>
        </w:trPr>
        <w:tc>
          <w:tcPr>
            <w:tcW w:w="450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684D28" w:rsidRPr="00E03A1A" w:rsidP="00C362EA">
            <w:pPr>
              <w:spacing w:line="240" w:lineRule="auto"/>
              <w:rPr>
                <w:rFonts w:ascii="Arial Narrow" w:hAnsi="Arial Narrow" w:cs="Times New Roman"/>
              </w:rPr>
            </w:pPr>
            <w:r w:rsidRPr="00E03A1A">
              <w:rPr>
                <w:rFonts w:ascii="Arial Narrow" w:hAnsi="Arial Narrow" w:cs="Times New Roman"/>
              </w:rPr>
              <w:t>Medzisúčet</w:t>
            </w: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684D28" w:rsidRPr="00E03A1A" w:rsidP="00C362EA">
            <w:pPr>
              <w:spacing w:line="240" w:lineRule="auto"/>
              <w:jc w:val="right"/>
              <w:rPr>
                <w:rFonts w:ascii="Arial Narrow" w:hAnsi="Arial Narrow" w:cs="Times New Roman"/>
              </w:rPr>
            </w:pPr>
            <w:r w:rsidR="00853462">
              <w:rPr>
                <w:rFonts w:ascii="Arial Narrow" w:hAnsi="Arial Narrow" w:cs="Times New Roman"/>
              </w:rPr>
              <w:t>3</w:t>
            </w:r>
          </w:p>
        </w:tc>
        <w:tc>
          <w:tcPr>
            <w:tcW w:w="1062"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684D28" w:rsidRPr="00E03A1A" w:rsidP="00C362EA">
            <w:pPr>
              <w:spacing w:line="240" w:lineRule="auto"/>
              <w:jc w:val="right"/>
              <w:rPr>
                <w:rFonts w:ascii="Arial Narrow" w:hAnsi="Arial Narrow" w:cs="Times New Roman"/>
              </w:rPr>
            </w:pPr>
            <w:r w:rsidR="00853462">
              <w:rPr>
                <w:rFonts w:ascii="Arial Narrow" w:hAnsi="Arial Narrow" w:cs="Times New Roman"/>
              </w:rPr>
              <w:t>7</w:t>
            </w:r>
          </w:p>
        </w:tc>
        <w:tc>
          <w:tcPr>
            <w:tcW w:w="762"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684D28" w:rsidRPr="00E03A1A" w:rsidP="00C362EA">
            <w:pPr>
              <w:spacing w:line="240" w:lineRule="auto"/>
              <w:jc w:val="right"/>
              <w:rPr>
                <w:rFonts w:ascii="Arial Narrow" w:hAnsi="Arial Narrow" w:cs="Times New Roman"/>
              </w:rPr>
            </w:pPr>
            <w:r w:rsidR="00853462">
              <w:rPr>
                <w:rFonts w:ascii="Arial Narrow" w:hAnsi="Arial Narrow" w:cs="Times New Roman"/>
              </w:rPr>
              <w:t>10</w:t>
            </w:r>
          </w:p>
        </w:tc>
      </w:tr>
      <w:tr>
        <w:tblPrEx>
          <w:tblW w:w="0" w:type="auto"/>
          <w:tblInd w:w="1330" w:type="dxa"/>
          <w:tblCellMar>
            <w:top w:w="0" w:type="dxa"/>
            <w:left w:w="70" w:type="dxa"/>
            <w:bottom w:w="0" w:type="dxa"/>
            <w:right w:w="70" w:type="dxa"/>
          </w:tblCellMar>
        </w:tblPrEx>
        <w:trPr>
          <w:trHeight w:hRule="auto" w:val="0"/>
        </w:trPr>
        <w:tc>
          <w:tcPr>
            <w:tcW w:w="450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684D28" w:rsidRPr="00E03A1A" w:rsidP="00C362EA">
            <w:pPr>
              <w:pStyle w:val="Styl6funkcia"/>
              <w:spacing w:line="240" w:lineRule="auto"/>
              <w:rPr>
                <w:rFonts w:ascii="Arial Narrow" w:hAnsi="Arial Narrow" w:cs="Times New Roman"/>
                <w:b w:val="0"/>
                <w:bCs/>
                <w:sz w:val="20"/>
                <w:szCs w:val="20"/>
                <w:lang w:val="sk-SK"/>
              </w:rPr>
            </w:pPr>
            <w:r w:rsidRPr="00E03A1A" w:rsidR="009A39F7">
              <w:rPr>
                <w:rFonts w:ascii="Arial Narrow" w:hAnsi="Arial Narrow" w:cs="Times New Roman"/>
                <w:b w:val="0"/>
                <w:bCs/>
                <w:sz w:val="20"/>
                <w:szCs w:val="20"/>
                <w:lang w:val="sk-SK"/>
              </w:rPr>
              <w:t xml:space="preserve">Semináre, </w:t>
            </w:r>
            <w:r w:rsidRPr="00E03A1A">
              <w:rPr>
                <w:rFonts w:ascii="Arial Narrow" w:hAnsi="Arial Narrow" w:cs="Times New Roman"/>
                <w:b w:val="0"/>
                <w:bCs/>
                <w:sz w:val="20"/>
                <w:szCs w:val="20"/>
                <w:lang w:val="sk-SK"/>
              </w:rPr>
              <w:t>konferencie</w:t>
            </w:r>
            <w:r w:rsidRPr="00E03A1A" w:rsidR="009A39F7">
              <w:rPr>
                <w:rFonts w:ascii="Arial Narrow" w:hAnsi="Arial Narrow" w:cs="Times New Roman"/>
                <w:b w:val="0"/>
                <w:bCs/>
                <w:sz w:val="20"/>
                <w:szCs w:val="20"/>
                <w:lang w:val="sk-SK"/>
              </w:rPr>
              <w:t>, medzinárodná spolupráca</w:t>
            </w: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684D28" w:rsidRPr="00E03A1A" w:rsidP="00C362EA">
            <w:pPr>
              <w:spacing w:line="240" w:lineRule="auto"/>
              <w:jc w:val="right"/>
              <w:rPr>
                <w:rFonts w:ascii="Arial Narrow" w:hAnsi="Arial Narrow" w:cs="Times New Roman"/>
              </w:rPr>
            </w:pPr>
          </w:p>
        </w:tc>
        <w:tc>
          <w:tcPr>
            <w:tcW w:w="1062"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684D28" w:rsidRPr="00E03A1A" w:rsidP="00C362EA">
            <w:pPr>
              <w:spacing w:line="240" w:lineRule="auto"/>
              <w:jc w:val="right"/>
              <w:rPr>
                <w:rFonts w:ascii="Arial Narrow" w:hAnsi="Arial Narrow" w:cs="Times New Roman"/>
              </w:rPr>
            </w:pPr>
          </w:p>
        </w:tc>
        <w:tc>
          <w:tcPr>
            <w:tcW w:w="762"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684D28" w:rsidRPr="00E03A1A" w:rsidP="00C362EA">
            <w:pPr>
              <w:spacing w:line="240" w:lineRule="auto"/>
              <w:jc w:val="right"/>
              <w:rPr>
                <w:rFonts w:ascii="Arial Narrow" w:hAnsi="Arial Narrow" w:cs="Times New Roman"/>
              </w:rPr>
            </w:pPr>
          </w:p>
        </w:tc>
      </w:tr>
      <w:tr>
        <w:tblPrEx>
          <w:tblW w:w="0" w:type="auto"/>
          <w:tblInd w:w="1330" w:type="dxa"/>
          <w:tblCellMar>
            <w:top w:w="0" w:type="dxa"/>
            <w:left w:w="70" w:type="dxa"/>
            <w:bottom w:w="0" w:type="dxa"/>
            <w:right w:w="70" w:type="dxa"/>
          </w:tblCellMar>
        </w:tblPrEx>
        <w:trPr>
          <w:trHeight w:hRule="auto" w:val="0"/>
        </w:trPr>
        <w:tc>
          <w:tcPr>
            <w:tcW w:w="450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684D28" w:rsidRPr="00E03A1A" w:rsidP="00C362EA">
            <w:pPr>
              <w:spacing w:line="240" w:lineRule="auto"/>
              <w:rPr>
                <w:rFonts w:ascii="Arial Narrow" w:hAnsi="Arial Narrow" w:cs="Times New Roman"/>
              </w:rPr>
            </w:pPr>
            <w:r w:rsidRPr="00E03A1A">
              <w:rPr>
                <w:rFonts w:ascii="Arial Narrow" w:hAnsi="Arial Narrow" w:cs="Times New Roman"/>
              </w:rPr>
              <w:t>- WRA/PIARC</w:t>
            </w: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684D28" w:rsidRPr="00E03A1A" w:rsidP="00C362EA">
            <w:pPr>
              <w:spacing w:line="240" w:lineRule="auto"/>
              <w:jc w:val="right"/>
              <w:rPr>
                <w:rFonts w:ascii="Arial Narrow" w:hAnsi="Arial Narrow" w:cs="Times New Roman"/>
              </w:rPr>
            </w:pPr>
            <w:r w:rsidR="00853462">
              <w:rPr>
                <w:rFonts w:ascii="Arial Narrow" w:hAnsi="Arial Narrow" w:cs="Times New Roman"/>
              </w:rPr>
              <w:t>2</w:t>
            </w:r>
          </w:p>
        </w:tc>
        <w:tc>
          <w:tcPr>
            <w:tcW w:w="1062"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684D28" w:rsidRPr="00E03A1A" w:rsidP="00C362EA">
            <w:pPr>
              <w:spacing w:line="240" w:lineRule="auto"/>
              <w:jc w:val="right"/>
              <w:rPr>
                <w:rFonts w:ascii="Arial Narrow" w:hAnsi="Arial Narrow" w:cs="Times New Roman"/>
              </w:rPr>
            </w:pPr>
            <w:r w:rsidRPr="00E03A1A" w:rsidR="009A39F7">
              <w:rPr>
                <w:rFonts w:ascii="Arial Narrow" w:hAnsi="Arial Narrow" w:cs="Times New Roman"/>
              </w:rPr>
              <w:t>4</w:t>
            </w:r>
          </w:p>
        </w:tc>
        <w:tc>
          <w:tcPr>
            <w:tcW w:w="762"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684D28" w:rsidRPr="00E03A1A" w:rsidP="00C362EA">
            <w:pPr>
              <w:spacing w:line="240" w:lineRule="auto"/>
              <w:jc w:val="right"/>
              <w:rPr>
                <w:rFonts w:ascii="Arial Narrow" w:hAnsi="Arial Narrow" w:cs="Times New Roman"/>
              </w:rPr>
            </w:pPr>
            <w:r w:rsidR="00853462">
              <w:rPr>
                <w:rFonts w:ascii="Arial Narrow" w:hAnsi="Arial Narrow" w:cs="Times New Roman"/>
              </w:rPr>
              <w:t>6</w:t>
            </w:r>
          </w:p>
        </w:tc>
      </w:tr>
      <w:tr>
        <w:tblPrEx>
          <w:tblW w:w="0" w:type="auto"/>
          <w:tblInd w:w="1330" w:type="dxa"/>
          <w:tblCellMar>
            <w:top w:w="0" w:type="dxa"/>
            <w:left w:w="70" w:type="dxa"/>
            <w:bottom w:w="0" w:type="dxa"/>
            <w:right w:w="70" w:type="dxa"/>
          </w:tblCellMar>
        </w:tblPrEx>
        <w:trPr>
          <w:trHeight w:hRule="auto" w:val="0"/>
        </w:trPr>
        <w:tc>
          <w:tcPr>
            <w:tcW w:w="450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9A39F7" w:rsidRPr="00E03A1A" w:rsidP="00C362EA">
            <w:pPr>
              <w:spacing w:line="240" w:lineRule="auto"/>
              <w:rPr>
                <w:rFonts w:ascii="Arial Narrow" w:hAnsi="Arial Narrow" w:cs="Times New Roman"/>
              </w:rPr>
            </w:pPr>
            <w:r w:rsidRPr="00E03A1A">
              <w:rPr>
                <w:rFonts w:ascii="Arial Narrow" w:hAnsi="Arial Narrow" w:cs="Times New Roman"/>
              </w:rPr>
              <w:t>- Partners for Roads</w:t>
            </w: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9A39F7" w:rsidRPr="00E03A1A" w:rsidP="00C362EA">
            <w:pPr>
              <w:spacing w:line="240" w:lineRule="auto"/>
              <w:jc w:val="right"/>
              <w:rPr>
                <w:rFonts w:ascii="Arial Narrow" w:hAnsi="Arial Narrow" w:cs="Times New Roman"/>
              </w:rPr>
            </w:pPr>
          </w:p>
        </w:tc>
        <w:tc>
          <w:tcPr>
            <w:tcW w:w="1062"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9A39F7" w:rsidRPr="00E03A1A" w:rsidP="00C362EA">
            <w:pPr>
              <w:spacing w:line="240" w:lineRule="auto"/>
              <w:jc w:val="right"/>
              <w:rPr>
                <w:rFonts w:ascii="Arial Narrow" w:hAnsi="Arial Narrow" w:cs="Times New Roman"/>
              </w:rPr>
            </w:pPr>
            <w:r w:rsidR="00853462">
              <w:rPr>
                <w:rFonts w:ascii="Arial Narrow" w:hAnsi="Arial Narrow" w:cs="Times New Roman"/>
              </w:rPr>
              <w:t>2</w:t>
            </w:r>
          </w:p>
        </w:tc>
        <w:tc>
          <w:tcPr>
            <w:tcW w:w="762"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9A39F7" w:rsidRPr="00E03A1A" w:rsidP="00C362EA">
            <w:pPr>
              <w:spacing w:line="240" w:lineRule="auto"/>
              <w:jc w:val="right"/>
              <w:rPr>
                <w:rFonts w:ascii="Arial Narrow" w:hAnsi="Arial Narrow" w:cs="Times New Roman"/>
              </w:rPr>
            </w:pPr>
            <w:r w:rsidR="00853462">
              <w:rPr>
                <w:rFonts w:ascii="Arial Narrow" w:hAnsi="Arial Narrow" w:cs="Times New Roman"/>
              </w:rPr>
              <w:t>2</w:t>
            </w:r>
          </w:p>
        </w:tc>
      </w:tr>
      <w:tr>
        <w:tblPrEx>
          <w:tblW w:w="0" w:type="auto"/>
          <w:tblInd w:w="1330" w:type="dxa"/>
          <w:tblCellMar>
            <w:top w:w="0" w:type="dxa"/>
            <w:left w:w="70" w:type="dxa"/>
            <w:bottom w:w="0" w:type="dxa"/>
            <w:right w:w="70" w:type="dxa"/>
          </w:tblCellMar>
        </w:tblPrEx>
        <w:trPr>
          <w:trHeight w:hRule="auto" w:val="0"/>
        </w:trPr>
        <w:tc>
          <w:tcPr>
            <w:tcW w:w="450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853462" w:rsidRPr="00E03A1A" w:rsidP="00C362EA">
            <w:pPr>
              <w:spacing w:line="240" w:lineRule="auto"/>
              <w:rPr>
                <w:rFonts w:ascii="Arial Narrow" w:hAnsi="Arial Narrow" w:cs="Times New Roman"/>
              </w:rPr>
            </w:pPr>
            <w:r>
              <w:rPr>
                <w:rFonts w:ascii="Arial Narrow" w:hAnsi="Arial Narrow" w:cs="Times New Roman"/>
              </w:rPr>
              <w:t>- CEEP</w:t>
            </w: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853462" w:rsidRPr="00E03A1A" w:rsidP="00C362EA">
            <w:pPr>
              <w:spacing w:line="240" w:lineRule="auto"/>
              <w:jc w:val="right"/>
              <w:rPr>
                <w:rFonts w:ascii="Arial Narrow" w:hAnsi="Arial Narrow" w:cs="Times New Roman"/>
              </w:rPr>
            </w:pPr>
          </w:p>
        </w:tc>
        <w:tc>
          <w:tcPr>
            <w:tcW w:w="1062"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853462" w:rsidP="00C362EA">
            <w:pPr>
              <w:spacing w:line="240" w:lineRule="auto"/>
              <w:jc w:val="right"/>
              <w:rPr>
                <w:rFonts w:ascii="Arial Narrow" w:hAnsi="Arial Narrow" w:cs="Times New Roman"/>
              </w:rPr>
            </w:pPr>
            <w:r>
              <w:rPr>
                <w:rFonts w:ascii="Arial Narrow" w:hAnsi="Arial Narrow" w:cs="Times New Roman"/>
              </w:rPr>
              <w:t>1</w:t>
            </w:r>
          </w:p>
        </w:tc>
        <w:tc>
          <w:tcPr>
            <w:tcW w:w="762"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853462" w:rsidP="00C362EA">
            <w:pPr>
              <w:spacing w:line="240" w:lineRule="auto"/>
              <w:jc w:val="right"/>
              <w:rPr>
                <w:rFonts w:ascii="Arial Narrow" w:hAnsi="Arial Narrow" w:cs="Times New Roman"/>
              </w:rPr>
            </w:pPr>
            <w:r>
              <w:rPr>
                <w:rFonts w:ascii="Arial Narrow" w:hAnsi="Arial Narrow" w:cs="Times New Roman"/>
              </w:rPr>
              <w:t>1</w:t>
            </w:r>
          </w:p>
        </w:tc>
      </w:tr>
      <w:tr>
        <w:tblPrEx>
          <w:tblW w:w="0" w:type="auto"/>
          <w:tblInd w:w="1330" w:type="dxa"/>
          <w:tblCellMar>
            <w:top w:w="0" w:type="dxa"/>
            <w:left w:w="70" w:type="dxa"/>
            <w:bottom w:w="0" w:type="dxa"/>
            <w:right w:w="70" w:type="dxa"/>
          </w:tblCellMar>
        </w:tblPrEx>
        <w:trPr>
          <w:trHeight w:hRule="auto" w:val="0"/>
        </w:trPr>
        <w:tc>
          <w:tcPr>
            <w:tcW w:w="450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684D28" w:rsidRPr="00E03A1A" w:rsidP="00C362EA">
            <w:pPr>
              <w:spacing w:line="240" w:lineRule="auto"/>
              <w:rPr>
                <w:rFonts w:ascii="Arial Narrow" w:hAnsi="Arial Narrow" w:cs="Times New Roman"/>
              </w:rPr>
            </w:pPr>
            <w:r w:rsidRPr="00E03A1A">
              <w:rPr>
                <w:rFonts w:ascii="Arial Narrow" w:hAnsi="Arial Narrow" w:cs="Times New Roman"/>
              </w:rPr>
              <w:t>- ostatné</w:t>
            </w: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684D28" w:rsidRPr="00E03A1A" w:rsidP="00C362EA">
            <w:pPr>
              <w:spacing w:line="240" w:lineRule="auto"/>
              <w:jc w:val="right"/>
              <w:rPr>
                <w:rFonts w:ascii="Arial Narrow" w:hAnsi="Arial Narrow" w:cs="Times New Roman"/>
              </w:rPr>
            </w:pPr>
            <w:r w:rsidR="00853462">
              <w:rPr>
                <w:rFonts w:ascii="Arial Narrow" w:hAnsi="Arial Narrow" w:cs="Times New Roman"/>
              </w:rPr>
              <w:t>6</w:t>
            </w:r>
          </w:p>
        </w:tc>
        <w:tc>
          <w:tcPr>
            <w:tcW w:w="1062"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684D28" w:rsidRPr="00E03A1A" w:rsidP="00C362EA">
            <w:pPr>
              <w:spacing w:line="240" w:lineRule="auto"/>
              <w:jc w:val="right"/>
              <w:rPr>
                <w:rFonts w:ascii="Arial Narrow" w:hAnsi="Arial Narrow" w:cs="Times New Roman"/>
              </w:rPr>
            </w:pPr>
            <w:r w:rsidRPr="00E03A1A" w:rsidR="009A39F7">
              <w:rPr>
                <w:rFonts w:ascii="Arial Narrow" w:hAnsi="Arial Narrow" w:cs="Times New Roman"/>
              </w:rPr>
              <w:t>1</w:t>
            </w:r>
            <w:r w:rsidR="00853462">
              <w:rPr>
                <w:rFonts w:ascii="Arial Narrow" w:hAnsi="Arial Narrow" w:cs="Times New Roman"/>
              </w:rPr>
              <w:t>1</w:t>
            </w:r>
          </w:p>
        </w:tc>
        <w:tc>
          <w:tcPr>
            <w:tcW w:w="762"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684D28" w:rsidRPr="00E03A1A" w:rsidP="00C362EA">
            <w:pPr>
              <w:spacing w:line="240" w:lineRule="auto"/>
              <w:jc w:val="right"/>
              <w:rPr>
                <w:rFonts w:ascii="Arial Narrow" w:hAnsi="Arial Narrow" w:cs="Times New Roman"/>
              </w:rPr>
            </w:pPr>
            <w:r w:rsidRPr="00E03A1A" w:rsidR="009A39F7">
              <w:rPr>
                <w:rFonts w:ascii="Arial Narrow" w:hAnsi="Arial Narrow" w:cs="Times New Roman"/>
              </w:rPr>
              <w:t>1</w:t>
            </w:r>
            <w:r w:rsidR="00853462">
              <w:rPr>
                <w:rFonts w:ascii="Arial Narrow" w:hAnsi="Arial Narrow" w:cs="Times New Roman"/>
              </w:rPr>
              <w:t>7</w:t>
            </w:r>
          </w:p>
        </w:tc>
      </w:tr>
      <w:tr>
        <w:tblPrEx>
          <w:tblW w:w="0" w:type="auto"/>
          <w:tblInd w:w="1330" w:type="dxa"/>
          <w:tblCellMar>
            <w:top w:w="0" w:type="dxa"/>
            <w:left w:w="70" w:type="dxa"/>
            <w:bottom w:w="0" w:type="dxa"/>
            <w:right w:w="70" w:type="dxa"/>
          </w:tblCellMar>
        </w:tblPrEx>
        <w:trPr>
          <w:trHeight w:hRule="auto" w:val="0"/>
        </w:trPr>
        <w:tc>
          <w:tcPr>
            <w:tcW w:w="450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684D28" w:rsidRPr="00E03A1A" w:rsidP="00C362EA">
            <w:pPr>
              <w:spacing w:line="240" w:lineRule="auto"/>
              <w:rPr>
                <w:rFonts w:ascii="Arial Narrow" w:hAnsi="Arial Narrow" w:cs="Times New Roman"/>
              </w:rPr>
            </w:pPr>
            <w:r w:rsidRPr="00E03A1A">
              <w:rPr>
                <w:rFonts w:ascii="Arial Narrow" w:hAnsi="Arial Narrow" w:cs="Times New Roman"/>
              </w:rPr>
              <w:t>Medzisúčet</w:t>
            </w: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684D28" w:rsidRPr="00E03A1A" w:rsidP="00C362EA">
            <w:pPr>
              <w:spacing w:line="240" w:lineRule="auto"/>
              <w:jc w:val="right"/>
              <w:rPr>
                <w:rFonts w:ascii="Arial Narrow" w:hAnsi="Arial Narrow" w:cs="Times New Roman"/>
              </w:rPr>
            </w:pPr>
            <w:r w:rsidR="00853462">
              <w:rPr>
                <w:rFonts w:ascii="Arial Narrow" w:hAnsi="Arial Narrow" w:cs="Times New Roman"/>
              </w:rPr>
              <w:t>8</w:t>
            </w:r>
          </w:p>
        </w:tc>
        <w:tc>
          <w:tcPr>
            <w:tcW w:w="1062"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684D28" w:rsidRPr="00E03A1A" w:rsidP="00C362EA">
            <w:pPr>
              <w:spacing w:line="240" w:lineRule="auto"/>
              <w:jc w:val="right"/>
              <w:rPr>
                <w:rFonts w:ascii="Arial Narrow" w:hAnsi="Arial Narrow" w:cs="Times New Roman"/>
              </w:rPr>
            </w:pPr>
            <w:r w:rsidR="00853462">
              <w:rPr>
                <w:rFonts w:ascii="Arial Narrow" w:hAnsi="Arial Narrow" w:cs="Times New Roman"/>
              </w:rPr>
              <w:t>18</w:t>
            </w:r>
          </w:p>
        </w:tc>
        <w:tc>
          <w:tcPr>
            <w:tcW w:w="762"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684D28" w:rsidRPr="00E03A1A" w:rsidP="00C362EA">
            <w:pPr>
              <w:spacing w:line="240" w:lineRule="auto"/>
              <w:jc w:val="right"/>
              <w:rPr>
                <w:rFonts w:ascii="Arial Narrow" w:hAnsi="Arial Narrow" w:cs="Times New Roman"/>
              </w:rPr>
            </w:pPr>
            <w:r w:rsidRPr="00E03A1A" w:rsidR="0074515D">
              <w:rPr>
                <w:rFonts w:ascii="Arial Narrow" w:hAnsi="Arial Narrow" w:cs="Times New Roman"/>
              </w:rPr>
              <w:t>2</w:t>
            </w:r>
            <w:r w:rsidR="00853462">
              <w:rPr>
                <w:rFonts w:ascii="Arial Narrow" w:hAnsi="Arial Narrow" w:cs="Times New Roman"/>
              </w:rPr>
              <w:t>6</w:t>
            </w:r>
          </w:p>
        </w:tc>
      </w:tr>
      <w:tr>
        <w:tblPrEx>
          <w:tblW w:w="0" w:type="auto"/>
          <w:tblInd w:w="1330" w:type="dxa"/>
          <w:tblCellMar>
            <w:top w:w="0" w:type="dxa"/>
            <w:left w:w="70" w:type="dxa"/>
            <w:bottom w:w="0" w:type="dxa"/>
            <w:right w:w="70" w:type="dxa"/>
          </w:tblCellMar>
        </w:tblPrEx>
        <w:trPr>
          <w:trHeight w:hRule="auto" w:val="0"/>
        </w:trPr>
        <w:tc>
          <w:tcPr>
            <w:tcW w:w="450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684D28" w:rsidRPr="00E03A1A" w:rsidP="00C362EA">
            <w:pPr>
              <w:pStyle w:val="Styl6funkcia"/>
              <w:spacing w:line="240" w:lineRule="auto"/>
              <w:rPr>
                <w:rFonts w:ascii="Arial Narrow" w:hAnsi="Arial Narrow" w:cs="Times New Roman"/>
                <w:b w:val="0"/>
                <w:bCs/>
                <w:sz w:val="20"/>
                <w:szCs w:val="20"/>
                <w:lang w:val="sk-SK"/>
              </w:rPr>
            </w:pPr>
            <w:r w:rsidRPr="00E03A1A">
              <w:rPr>
                <w:rFonts w:ascii="Arial Narrow" w:hAnsi="Arial Narrow" w:cs="Times New Roman"/>
                <w:b w:val="0"/>
                <w:bCs/>
                <w:sz w:val="20"/>
                <w:szCs w:val="20"/>
                <w:lang w:val="sk-SK"/>
              </w:rPr>
              <w:t xml:space="preserve">Tematické zájazdy, návštevy </w:t>
            </w: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684D28" w:rsidRPr="00E03A1A" w:rsidP="00C362EA">
            <w:pPr>
              <w:spacing w:line="240" w:lineRule="auto"/>
              <w:jc w:val="right"/>
              <w:rPr>
                <w:rFonts w:ascii="Arial Narrow" w:hAnsi="Arial Narrow" w:cs="Times New Roman"/>
              </w:rPr>
            </w:pPr>
          </w:p>
        </w:tc>
        <w:tc>
          <w:tcPr>
            <w:tcW w:w="1062"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684D28" w:rsidRPr="00E03A1A" w:rsidP="00C362EA">
            <w:pPr>
              <w:spacing w:line="240" w:lineRule="auto"/>
              <w:jc w:val="right"/>
              <w:rPr>
                <w:rFonts w:ascii="Arial Narrow" w:hAnsi="Arial Narrow" w:cs="Times New Roman"/>
              </w:rPr>
            </w:pPr>
            <w:r w:rsidR="00853462">
              <w:rPr>
                <w:rFonts w:ascii="Arial Narrow" w:hAnsi="Arial Narrow" w:cs="Times New Roman"/>
              </w:rPr>
              <w:t>4</w:t>
            </w:r>
          </w:p>
        </w:tc>
        <w:tc>
          <w:tcPr>
            <w:tcW w:w="762"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684D28" w:rsidRPr="00E03A1A" w:rsidP="00C362EA">
            <w:pPr>
              <w:spacing w:line="240" w:lineRule="auto"/>
              <w:jc w:val="right"/>
              <w:rPr>
                <w:rFonts w:ascii="Arial Narrow" w:hAnsi="Arial Narrow" w:cs="Times New Roman"/>
              </w:rPr>
            </w:pPr>
            <w:r w:rsidR="00853462">
              <w:rPr>
                <w:rFonts w:ascii="Arial Narrow" w:hAnsi="Arial Narrow" w:cs="Times New Roman"/>
              </w:rPr>
              <w:t>4</w:t>
            </w:r>
          </w:p>
        </w:tc>
      </w:tr>
      <w:tr>
        <w:tblPrEx>
          <w:tblW w:w="0" w:type="auto"/>
          <w:tblInd w:w="1330" w:type="dxa"/>
          <w:tblCellMar>
            <w:top w:w="0" w:type="dxa"/>
            <w:left w:w="70" w:type="dxa"/>
            <w:bottom w:w="0" w:type="dxa"/>
            <w:right w:w="70" w:type="dxa"/>
          </w:tblCellMar>
        </w:tblPrEx>
        <w:trPr>
          <w:trHeight w:hRule="auto" w:val="0"/>
        </w:trPr>
        <w:tc>
          <w:tcPr>
            <w:tcW w:w="450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684D28" w:rsidRPr="00E03A1A" w:rsidP="00C362EA">
            <w:pPr>
              <w:spacing w:line="240" w:lineRule="auto"/>
              <w:rPr>
                <w:rFonts w:ascii="Arial Narrow" w:hAnsi="Arial Narrow" w:cs="Times New Roman"/>
              </w:rPr>
            </w:pPr>
            <w:r w:rsidRPr="00E03A1A">
              <w:rPr>
                <w:rFonts w:ascii="Arial Narrow" w:hAnsi="Arial Narrow" w:cs="Times New Roman"/>
              </w:rPr>
              <w:t>Medzisúčet</w:t>
            </w: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684D28" w:rsidRPr="00E03A1A" w:rsidP="00C362EA">
            <w:pPr>
              <w:spacing w:line="240" w:lineRule="auto"/>
              <w:jc w:val="right"/>
              <w:rPr>
                <w:rFonts w:ascii="Arial Narrow" w:hAnsi="Arial Narrow" w:cs="Times New Roman"/>
              </w:rPr>
            </w:pPr>
          </w:p>
        </w:tc>
        <w:tc>
          <w:tcPr>
            <w:tcW w:w="1062"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684D28" w:rsidRPr="00E03A1A" w:rsidP="00C362EA">
            <w:pPr>
              <w:spacing w:line="240" w:lineRule="auto"/>
              <w:jc w:val="right"/>
              <w:rPr>
                <w:rFonts w:ascii="Arial Narrow" w:hAnsi="Arial Narrow" w:cs="Times New Roman"/>
              </w:rPr>
            </w:pPr>
            <w:r w:rsidR="00853462">
              <w:rPr>
                <w:rFonts w:ascii="Arial Narrow" w:hAnsi="Arial Narrow" w:cs="Times New Roman"/>
              </w:rPr>
              <w:t>4</w:t>
            </w:r>
          </w:p>
        </w:tc>
        <w:tc>
          <w:tcPr>
            <w:tcW w:w="762"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684D28" w:rsidRPr="00E03A1A" w:rsidP="00C362EA">
            <w:pPr>
              <w:spacing w:line="240" w:lineRule="auto"/>
              <w:jc w:val="right"/>
              <w:rPr>
                <w:rFonts w:ascii="Arial Narrow" w:hAnsi="Arial Narrow" w:cs="Times New Roman"/>
              </w:rPr>
            </w:pPr>
            <w:r w:rsidR="00853462">
              <w:rPr>
                <w:rFonts w:ascii="Arial Narrow" w:hAnsi="Arial Narrow" w:cs="Times New Roman"/>
              </w:rPr>
              <w:t>4</w:t>
            </w:r>
          </w:p>
        </w:tc>
      </w:tr>
      <w:tr>
        <w:tblPrEx>
          <w:tblW w:w="0" w:type="auto"/>
          <w:tblInd w:w="1330" w:type="dxa"/>
          <w:tblCellMar>
            <w:top w:w="0" w:type="dxa"/>
            <w:left w:w="70" w:type="dxa"/>
            <w:bottom w:w="0" w:type="dxa"/>
            <w:right w:w="70" w:type="dxa"/>
          </w:tblCellMar>
        </w:tblPrEx>
        <w:trPr>
          <w:trHeight w:hRule="auto" w:val="0"/>
        </w:trPr>
        <w:tc>
          <w:tcPr>
            <w:tcW w:w="4500" w:type="dxa"/>
            <w:tcBorders>
              <w:top w:val="single" w:sz="4" w:space="0" w:color="auto"/>
              <w:left w:val="single" w:sz="4" w:space="0" w:color="auto"/>
              <w:bottom w:val="single" w:sz="4" w:space="0" w:color="auto"/>
              <w:right w:val="single" w:sz="4" w:space="0" w:color="auto"/>
              <w:tl2br w:val="nil"/>
              <w:tr2bl w:val="nil"/>
            </w:tcBorders>
            <w:shd w:val="clear" w:color="auto" w:fill="C0C0C0"/>
            <w:textDirection w:val="lrTb"/>
            <w:vAlign w:val="center"/>
          </w:tcPr>
          <w:p w:rsidR="00684D28" w:rsidRPr="004767FE" w:rsidP="00C362EA">
            <w:pPr>
              <w:spacing w:line="240" w:lineRule="auto"/>
              <w:rPr>
                <w:rFonts w:ascii="Arial Narrow" w:hAnsi="Arial Narrow" w:cs="Times New Roman"/>
                <w:b/>
                <w:bCs/>
              </w:rPr>
            </w:pPr>
            <w:r w:rsidRPr="004767FE">
              <w:rPr>
                <w:rFonts w:ascii="Arial Narrow" w:hAnsi="Arial Narrow" w:cs="Times New Roman"/>
                <w:b/>
                <w:bCs/>
              </w:rPr>
              <w:t>Spolu</w:t>
            </w:r>
          </w:p>
        </w:tc>
        <w:tc>
          <w:tcPr>
            <w:tcW w:w="900" w:type="dxa"/>
            <w:tcBorders>
              <w:top w:val="single" w:sz="4" w:space="0" w:color="auto"/>
              <w:left w:val="single" w:sz="4" w:space="0" w:color="auto"/>
              <w:bottom w:val="single" w:sz="4" w:space="0" w:color="auto"/>
              <w:right w:val="single" w:sz="4" w:space="0" w:color="auto"/>
              <w:tl2br w:val="nil"/>
              <w:tr2bl w:val="nil"/>
            </w:tcBorders>
            <w:shd w:val="clear" w:color="auto" w:fill="C0C0C0"/>
            <w:textDirection w:val="lrTb"/>
            <w:vAlign w:val="center"/>
          </w:tcPr>
          <w:p w:rsidR="00684D28" w:rsidRPr="004767FE" w:rsidP="00C362EA">
            <w:pPr>
              <w:spacing w:line="240" w:lineRule="auto"/>
              <w:jc w:val="right"/>
              <w:rPr>
                <w:rFonts w:ascii="Arial Narrow" w:hAnsi="Arial Narrow" w:cs="Times New Roman"/>
                <w:b/>
                <w:bCs/>
              </w:rPr>
            </w:pPr>
            <w:r w:rsidR="00853462">
              <w:rPr>
                <w:rFonts w:ascii="Arial Narrow" w:hAnsi="Arial Narrow" w:cs="Times New Roman"/>
                <w:b/>
                <w:bCs/>
              </w:rPr>
              <w:t>11</w:t>
            </w:r>
          </w:p>
        </w:tc>
        <w:tc>
          <w:tcPr>
            <w:tcW w:w="1062" w:type="dxa"/>
            <w:tcBorders>
              <w:top w:val="single" w:sz="4" w:space="0" w:color="auto"/>
              <w:left w:val="single" w:sz="4" w:space="0" w:color="auto"/>
              <w:bottom w:val="single" w:sz="4" w:space="0" w:color="auto"/>
              <w:right w:val="single" w:sz="4" w:space="0" w:color="auto"/>
              <w:tl2br w:val="nil"/>
              <w:tr2bl w:val="nil"/>
            </w:tcBorders>
            <w:shd w:val="clear" w:color="auto" w:fill="C0C0C0"/>
            <w:textDirection w:val="lrTb"/>
            <w:vAlign w:val="center"/>
          </w:tcPr>
          <w:p w:rsidR="00684D28" w:rsidRPr="004767FE" w:rsidP="00C362EA">
            <w:pPr>
              <w:spacing w:line="240" w:lineRule="auto"/>
              <w:jc w:val="right"/>
              <w:rPr>
                <w:rFonts w:ascii="Arial Narrow" w:hAnsi="Arial Narrow" w:cs="Times New Roman"/>
                <w:b/>
                <w:bCs/>
              </w:rPr>
            </w:pPr>
            <w:r w:rsidR="0074515D">
              <w:rPr>
                <w:rFonts w:ascii="Arial Narrow" w:hAnsi="Arial Narrow" w:cs="Times New Roman"/>
                <w:b/>
                <w:bCs/>
              </w:rPr>
              <w:t>2</w:t>
            </w:r>
            <w:r w:rsidR="00853462">
              <w:rPr>
                <w:rFonts w:ascii="Arial Narrow" w:hAnsi="Arial Narrow" w:cs="Times New Roman"/>
                <w:b/>
                <w:bCs/>
              </w:rPr>
              <w:t>9</w:t>
            </w:r>
          </w:p>
        </w:tc>
        <w:tc>
          <w:tcPr>
            <w:tcW w:w="762" w:type="dxa"/>
            <w:tcBorders>
              <w:top w:val="single" w:sz="4" w:space="0" w:color="auto"/>
              <w:left w:val="single" w:sz="4" w:space="0" w:color="auto"/>
              <w:bottom w:val="single" w:sz="4" w:space="0" w:color="auto"/>
              <w:right w:val="single" w:sz="4" w:space="0" w:color="auto"/>
              <w:tl2br w:val="nil"/>
              <w:tr2bl w:val="nil"/>
            </w:tcBorders>
            <w:shd w:val="clear" w:color="auto" w:fill="C0C0C0"/>
            <w:textDirection w:val="lrTb"/>
            <w:vAlign w:val="center"/>
          </w:tcPr>
          <w:p w:rsidR="00684D28" w:rsidRPr="004767FE" w:rsidP="00C362EA">
            <w:pPr>
              <w:spacing w:line="240" w:lineRule="auto"/>
              <w:jc w:val="right"/>
              <w:rPr>
                <w:rFonts w:ascii="Arial Narrow" w:hAnsi="Arial Narrow" w:cs="Times New Roman"/>
                <w:b/>
                <w:bCs/>
              </w:rPr>
            </w:pPr>
            <w:r w:rsidR="00853462">
              <w:rPr>
                <w:rFonts w:ascii="Arial Narrow" w:hAnsi="Arial Narrow" w:cs="Times New Roman"/>
                <w:b/>
                <w:bCs/>
              </w:rPr>
              <w:t>40</w:t>
            </w:r>
          </w:p>
        </w:tc>
      </w:tr>
    </w:tbl>
    <w:p w:rsidR="00575536" w:rsidP="00C362EA">
      <w:pPr>
        <w:spacing w:line="240" w:lineRule="auto"/>
        <w:rPr>
          <w:rFonts w:ascii="Times New Roman" w:hAnsi="Times New Roman" w:cs="Times New Roman"/>
        </w:rPr>
      </w:pPr>
    </w:p>
    <w:p w:rsidR="001221BA" w:rsidP="00C362EA">
      <w:pPr>
        <w:spacing w:line="240" w:lineRule="auto"/>
        <w:rPr>
          <w:rFonts w:ascii="Times New Roman" w:hAnsi="Times New Roman" w:cs="Times New Roman"/>
        </w:rPr>
      </w:pPr>
    </w:p>
    <w:p w:rsidR="0074515D" w:rsidRPr="00853462" w:rsidP="00853462">
      <w:pPr>
        <w:pStyle w:val="Heading4"/>
        <w:spacing w:line="240" w:lineRule="auto"/>
        <w:rPr>
          <w:rFonts w:ascii="Times New Roman" w:hAnsi="Times New Roman" w:cs="Times New Roman"/>
          <w:bCs/>
          <w:szCs w:val="24"/>
        </w:rPr>
      </w:pPr>
      <w:r w:rsidRPr="00853462">
        <w:rPr>
          <w:rFonts w:ascii="Times New Roman" w:hAnsi="Times New Roman" w:cs="Times New Roman"/>
          <w:bCs/>
          <w:szCs w:val="24"/>
          <w:u w:val="single"/>
        </w:rPr>
        <w:t>Pracovné zahraničné cesty zamestnancov</w:t>
      </w:r>
      <w:r w:rsidR="00E24794">
        <w:rPr>
          <w:rFonts w:ascii="Times New Roman" w:hAnsi="Times New Roman" w:cs="Times New Roman"/>
          <w:bCs/>
          <w:szCs w:val="24"/>
        </w:rPr>
        <w:t xml:space="preserve"> tvoria </w:t>
      </w:r>
      <w:r w:rsidRPr="00853462" w:rsidR="00853462">
        <w:rPr>
          <w:rFonts w:ascii="Times New Roman" w:hAnsi="Times New Roman" w:cs="Times New Roman"/>
          <w:bCs/>
          <w:szCs w:val="24"/>
        </w:rPr>
        <w:t xml:space="preserve">štvrtinu </w:t>
      </w:r>
      <w:r w:rsidRPr="00853462" w:rsidR="00A30A60">
        <w:rPr>
          <w:rFonts w:ascii="Times New Roman" w:hAnsi="Times New Roman" w:cs="Times New Roman"/>
          <w:bCs/>
          <w:szCs w:val="24"/>
        </w:rPr>
        <w:t>zahraničných pracovných ciest</w:t>
      </w:r>
      <w:r w:rsidR="00BE41DA">
        <w:rPr>
          <w:rFonts w:ascii="Times New Roman" w:hAnsi="Times New Roman" w:cs="Times New Roman"/>
          <w:bCs/>
          <w:szCs w:val="24"/>
        </w:rPr>
        <w:t xml:space="preserve"> a </w:t>
      </w:r>
      <w:r w:rsidR="00BE41DA">
        <w:rPr>
          <w:rFonts w:ascii="Times New Roman" w:hAnsi="Times New Roman" w:cs="Times New Roman"/>
          <w:szCs w:val="24"/>
        </w:rPr>
        <w:t xml:space="preserve">na ich realizáciu boli vyčerpané </w:t>
      </w:r>
      <w:r w:rsidRPr="006F2920" w:rsidR="00BE41DA">
        <w:rPr>
          <w:rFonts w:ascii="Times New Roman" w:hAnsi="Times New Roman" w:cs="Times New Roman"/>
          <w:szCs w:val="24"/>
        </w:rPr>
        <w:t>výdavky vo výške</w:t>
      </w:r>
      <w:r w:rsidR="00BE41DA">
        <w:rPr>
          <w:rFonts w:ascii="Times New Roman" w:hAnsi="Times New Roman" w:cs="Times New Roman"/>
          <w:szCs w:val="24"/>
        </w:rPr>
        <w:t xml:space="preserve"> 1 009 038,95 </w:t>
      </w:r>
      <w:r w:rsidRPr="00BE41DA" w:rsidR="00BE41DA">
        <w:rPr>
          <w:rFonts w:ascii="Times New Roman" w:hAnsi="Times New Roman" w:cs="Times New Roman"/>
          <w:szCs w:val="24"/>
        </w:rPr>
        <w:t>Sk</w:t>
      </w:r>
      <w:r w:rsidR="00BE41DA">
        <w:rPr>
          <w:rFonts w:ascii="Times New Roman" w:hAnsi="Times New Roman" w:cs="Times New Roman"/>
          <w:bCs/>
          <w:szCs w:val="24"/>
        </w:rPr>
        <w:t xml:space="preserve">. </w:t>
      </w:r>
      <w:r w:rsidRPr="00853462">
        <w:rPr>
          <w:rFonts w:ascii="Times New Roman" w:hAnsi="Times New Roman" w:cs="Times New Roman"/>
          <w:bCs/>
          <w:szCs w:val="24"/>
        </w:rPr>
        <w:t>Súvisia s charakterom práce a činnosťou SSC, najmä IVSC. Z</w:t>
      </w:r>
      <w:r w:rsidRPr="00853462" w:rsidR="00853462">
        <w:rPr>
          <w:rFonts w:ascii="Times New Roman" w:hAnsi="Times New Roman" w:cs="Times New Roman"/>
          <w:bCs/>
          <w:szCs w:val="24"/>
        </w:rPr>
        <w:t xml:space="preserve">ahŕňali </w:t>
      </w:r>
      <w:r w:rsidRPr="00853462">
        <w:rPr>
          <w:rFonts w:ascii="Times New Roman" w:hAnsi="Times New Roman" w:cs="Times New Roman"/>
          <w:bCs/>
          <w:szCs w:val="24"/>
        </w:rPr>
        <w:t xml:space="preserve">získavanie nových poznatkov z oblasti </w:t>
      </w:r>
      <w:r w:rsidRPr="00853462" w:rsidR="00853462">
        <w:rPr>
          <w:rFonts w:ascii="Times New Roman" w:hAnsi="Times New Roman" w:cs="Times New Roman"/>
          <w:bCs/>
          <w:szCs w:val="24"/>
        </w:rPr>
        <w:t xml:space="preserve">nových technológií, zariadení, materiálov, skúšobníctva </w:t>
      </w:r>
      <w:r w:rsidRPr="00853462">
        <w:rPr>
          <w:rFonts w:ascii="Times New Roman" w:hAnsi="Times New Roman" w:cs="Times New Roman"/>
          <w:bCs/>
          <w:szCs w:val="24"/>
        </w:rPr>
        <w:t>prehľadu o</w:t>
      </w:r>
      <w:r w:rsidRPr="00853462" w:rsidR="00853462">
        <w:rPr>
          <w:rFonts w:ascii="Times New Roman" w:hAnsi="Times New Roman" w:cs="Times New Roman"/>
          <w:bCs/>
          <w:szCs w:val="24"/>
        </w:rPr>
        <w:t> </w:t>
      </w:r>
      <w:r w:rsidRPr="00853462">
        <w:rPr>
          <w:rFonts w:ascii="Times New Roman" w:hAnsi="Times New Roman" w:cs="Times New Roman"/>
          <w:bCs/>
          <w:szCs w:val="24"/>
        </w:rPr>
        <w:t>infraštruktúre</w:t>
      </w:r>
      <w:r w:rsidRPr="00853462" w:rsidR="00853462">
        <w:rPr>
          <w:rFonts w:ascii="Times New Roman" w:hAnsi="Times New Roman" w:cs="Times New Roman"/>
          <w:bCs/>
          <w:szCs w:val="24"/>
        </w:rPr>
        <w:t xml:space="preserve"> atď.. Pracovnými cestami sa zabezpečoval aj </w:t>
      </w:r>
      <w:r w:rsidRPr="00853462">
        <w:rPr>
          <w:rFonts w:ascii="Times New Roman" w:hAnsi="Times New Roman" w:cs="Times New Roman"/>
          <w:bCs/>
          <w:szCs w:val="24"/>
        </w:rPr>
        <w:t>servis a údržbu diagnostických zariadení</w:t>
      </w:r>
      <w:r w:rsidR="00E24794">
        <w:rPr>
          <w:rFonts w:ascii="Times New Roman" w:hAnsi="Times New Roman" w:cs="Times New Roman"/>
          <w:bCs/>
          <w:szCs w:val="24"/>
        </w:rPr>
        <w:t xml:space="preserve"> a pod</w:t>
      </w:r>
      <w:r w:rsidRPr="00853462">
        <w:rPr>
          <w:rFonts w:ascii="Times New Roman" w:hAnsi="Times New Roman" w:cs="Times New Roman"/>
          <w:bCs/>
          <w:szCs w:val="24"/>
        </w:rPr>
        <w:t xml:space="preserve">. </w:t>
      </w:r>
    </w:p>
    <w:p w:rsidR="00853462" w:rsidRPr="00853462" w:rsidP="00853462">
      <w:pPr>
        <w:spacing w:line="240" w:lineRule="auto"/>
        <w:rPr>
          <w:rFonts w:ascii="Times New Roman" w:hAnsi="Times New Roman" w:cs="Times New Roman"/>
          <w:sz w:val="24"/>
          <w:szCs w:val="24"/>
        </w:rPr>
      </w:pPr>
      <w:r w:rsidRPr="00853462" w:rsidR="0074515D">
        <w:rPr>
          <w:rFonts w:ascii="Times New Roman" w:hAnsi="Times New Roman" w:cs="Times New Roman"/>
          <w:sz w:val="24"/>
          <w:szCs w:val="24"/>
          <w:u w:val="single"/>
        </w:rPr>
        <w:t>Semináre a konferencie</w:t>
      </w:r>
      <w:r w:rsidRPr="00853462" w:rsidR="0074515D">
        <w:rPr>
          <w:rFonts w:ascii="Times New Roman" w:hAnsi="Times New Roman" w:cs="Times New Roman"/>
          <w:sz w:val="24"/>
          <w:szCs w:val="24"/>
        </w:rPr>
        <w:t xml:space="preserve"> </w:t>
      </w:r>
      <w:r w:rsidRPr="00853462">
        <w:rPr>
          <w:rFonts w:ascii="Times New Roman" w:hAnsi="Times New Roman" w:cs="Times New Roman"/>
          <w:sz w:val="24"/>
          <w:szCs w:val="24"/>
        </w:rPr>
        <w:t>tvoria dve tretiny zahraničných pracovných ciest. Boli zamerané na oboznamovanie sa s novými poznatkami (ostatné), súviseli s účasťou SSC v medzinárodných inštitúciách a ich orgánoch (v tematickej skupine PIARC 1.3 Výkonn</w:t>
      </w:r>
      <w:r w:rsidR="00E954FE">
        <w:rPr>
          <w:rFonts w:ascii="Times New Roman" w:hAnsi="Times New Roman" w:cs="Times New Roman"/>
          <w:sz w:val="24"/>
          <w:szCs w:val="24"/>
        </w:rPr>
        <w:t xml:space="preserve">osť cestných správ), rozvíjaním </w:t>
      </w:r>
      <w:r w:rsidRPr="00853462">
        <w:rPr>
          <w:rFonts w:ascii="Times New Roman" w:hAnsi="Times New Roman" w:cs="Times New Roman"/>
          <w:sz w:val="24"/>
          <w:szCs w:val="24"/>
        </w:rPr>
        <w:t>medzinárodných kontaktov a dlhodobej spolupráce v rámci medzirezortnej zmluvy s holandským ministerstvom (Pa</w:t>
      </w:r>
      <w:r w:rsidR="00E954FE">
        <w:rPr>
          <w:rFonts w:ascii="Times New Roman" w:hAnsi="Times New Roman" w:cs="Times New Roman"/>
          <w:sz w:val="24"/>
          <w:szCs w:val="24"/>
        </w:rPr>
        <w:t xml:space="preserve">rtners for Roads), </w:t>
      </w:r>
      <w:r w:rsidRPr="00853462">
        <w:rPr>
          <w:rFonts w:ascii="Times New Roman" w:hAnsi="Times New Roman" w:cs="Times New Roman"/>
          <w:sz w:val="24"/>
          <w:szCs w:val="24"/>
        </w:rPr>
        <w:t>spoluprácou v rámci slovenskej sekcie CEEP pri Zväze zamestnávateľov dopravy, pôšt a telekomunik</w:t>
      </w:r>
      <w:r w:rsidR="00E954FE">
        <w:rPr>
          <w:rFonts w:ascii="Times New Roman" w:hAnsi="Times New Roman" w:cs="Times New Roman"/>
          <w:sz w:val="24"/>
          <w:szCs w:val="24"/>
        </w:rPr>
        <w:t xml:space="preserve">ácií SR, ktorého je SSC členom a spoluprácou </w:t>
      </w:r>
      <w:r w:rsidRPr="00853462">
        <w:rPr>
          <w:rFonts w:ascii="Times New Roman" w:hAnsi="Times New Roman" w:cs="Times New Roman"/>
          <w:sz w:val="24"/>
          <w:szCs w:val="24"/>
        </w:rPr>
        <w:t>so združením podnikov verejného významu (CEEP), partnerom Európskej komisie, so sídlom v Bruseli (náklady boli hradené organizátorom).</w:t>
      </w:r>
    </w:p>
    <w:p w:rsidR="00E24794" w:rsidP="00BE41DA">
      <w:pPr>
        <w:pStyle w:val="BodyTextIndent3"/>
        <w:spacing w:line="240" w:lineRule="auto"/>
        <w:ind w:firstLine="0"/>
        <w:rPr>
          <w:rFonts w:ascii="Times New Roman" w:hAnsi="Times New Roman" w:cs="Times New Roman"/>
          <w:sz w:val="24"/>
          <w:szCs w:val="24"/>
          <w:u w:val="single"/>
        </w:rPr>
      </w:pPr>
    </w:p>
    <w:p w:rsidR="00684D28" w:rsidP="00C362EA">
      <w:pPr>
        <w:pStyle w:val="BodyTextIndent3"/>
        <w:spacing w:line="240" w:lineRule="auto"/>
        <w:rPr>
          <w:rFonts w:ascii="Times New Roman" w:hAnsi="Times New Roman" w:cs="Times New Roman"/>
          <w:sz w:val="24"/>
          <w:szCs w:val="24"/>
          <w:u w:val="single"/>
        </w:rPr>
      </w:pPr>
      <w:r w:rsidRPr="00D23807">
        <w:rPr>
          <w:rFonts w:ascii="Times New Roman" w:hAnsi="Times New Roman" w:cs="Times New Roman"/>
          <w:sz w:val="24"/>
          <w:szCs w:val="24"/>
          <w:u w:val="single"/>
        </w:rPr>
        <w:t>Železničná polícia</w:t>
      </w:r>
    </w:p>
    <w:p w:rsidR="00BE41DA" w:rsidP="00BE41DA">
      <w:pPr>
        <w:pStyle w:val="BodyTextIndent3"/>
        <w:spacing w:line="240" w:lineRule="auto"/>
        <w:rPr>
          <w:rFonts w:ascii="Times New Roman" w:hAnsi="Times New Roman" w:cs="Times New Roman"/>
          <w:sz w:val="24"/>
          <w:szCs w:val="24"/>
        </w:rPr>
      </w:pPr>
    </w:p>
    <w:p w:rsidR="00575536" w:rsidRPr="00BE41DA" w:rsidP="00BE41DA">
      <w:pPr>
        <w:pStyle w:val="BodyTextIndent3"/>
        <w:spacing w:line="240" w:lineRule="auto"/>
        <w:rPr>
          <w:rFonts w:ascii="Times New Roman" w:hAnsi="Times New Roman" w:cs="Times New Roman"/>
          <w:sz w:val="24"/>
          <w:szCs w:val="24"/>
        </w:rPr>
      </w:pPr>
      <w:r w:rsidRPr="006F2920" w:rsidR="00BE41DA">
        <w:rPr>
          <w:rFonts w:ascii="Times New Roman" w:hAnsi="Times New Roman" w:cs="Times New Roman"/>
          <w:sz w:val="24"/>
          <w:szCs w:val="24"/>
        </w:rPr>
        <w:t>Na zahraničné pracovné cesty boli čerpané výdavky vo výške</w:t>
      </w:r>
      <w:r w:rsidR="00BE41DA">
        <w:rPr>
          <w:rFonts w:ascii="Times New Roman" w:hAnsi="Times New Roman" w:cs="Times New Roman"/>
          <w:sz w:val="24"/>
          <w:szCs w:val="24"/>
        </w:rPr>
        <w:t xml:space="preserve"> </w:t>
      </w:r>
      <w:r w:rsidRPr="00BE41DA" w:rsidR="009F7A93">
        <w:rPr>
          <w:rFonts w:ascii="Times New Roman" w:hAnsi="Times New Roman" w:cs="Times New Roman"/>
          <w:sz w:val="24"/>
          <w:szCs w:val="24"/>
        </w:rPr>
        <w:t>218 082,89</w:t>
      </w:r>
      <w:r w:rsidRPr="00BE41DA" w:rsidR="00BE41DA">
        <w:rPr>
          <w:rFonts w:ascii="Times New Roman" w:hAnsi="Times New Roman" w:cs="Times New Roman"/>
          <w:sz w:val="24"/>
          <w:szCs w:val="24"/>
        </w:rPr>
        <w:t xml:space="preserve"> Sk.</w:t>
      </w:r>
    </w:p>
    <w:p w:rsidR="00D12369" w:rsidP="00575536">
      <w:pPr>
        <w:spacing w:line="240" w:lineRule="auto"/>
        <w:ind w:firstLine="708"/>
        <w:rPr>
          <w:rFonts w:ascii="Times New Roman" w:hAnsi="Times New Roman" w:cs="Times New Roman"/>
          <w:sz w:val="24"/>
          <w:szCs w:val="24"/>
        </w:rPr>
      </w:pPr>
    </w:p>
    <w:p w:rsidR="00575536" w:rsidRPr="002660D1" w:rsidP="00575536">
      <w:pPr>
        <w:spacing w:line="240" w:lineRule="auto"/>
        <w:ind w:firstLine="708"/>
        <w:rPr>
          <w:rFonts w:ascii="Times New Roman" w:hAnsi="Times New Roman" w:cs="Times New Roman"/>
          <w:sz w:val="24"/>
          <w:szCs w:val="24"/>
        </w:rPr>
      </w:pPr>
      <w:r w:rsidRPr="002660D1" w:rsidR="00684D28">
        <w:rPr>
          <w:rFonts w:ascii="Times New Roman" w:hAnsi="Times New Roman" w:cs="Times New Roman"/>
          <w:sz w:val="24"/>
          <w:szCs w:val="24"/>
        </w:rPr>
        <w:t xml:space="preserve">Všetky zahraničné služobné cesty </w:t>
      </w:r>
      <w:r w:rsidR="002660D1">
        <w:rPr>
          <w:rFonts w:ascii="Times New Roman" w:hAnsi="Times New Roman" w:cs="Times New Roman"/>
          <w:sz w:val="24"/>
          <w:szCs w:val="24"/>
        </w:rPr>
        <w:t>vykonané v roku 2007</w:t>
      </w:r>
      <w:r w:rsidRPr="002660D1" w:rsidR="00684D28">
        <w:rPr>
          <w:rFonts w:ascii="Times New Roman" w:hAnsi="Times New Roman" w:cs="Times New Roman"/>
          <w:sz w:val="24"/>
          <w:szCs w:val="24"/>
        </w:rPr>
        <w:t xml:space="preserve"> viedli k zlepšeniu spolupráce so susednými krajinami v oblasti boja proti trestnej činnosti. Výmena skúseností a informácií o opatreniach vykonávaných inými krajinami slúžili na zlepšenie výkonu služby ŽP.</w:t>
      </w:r>
    </w:p>
    <w:p w:rsidR="00D12369" w:rsidP="002660D1">
      <w:pPr>
        <w:spacing w:line="240" w:lineRule="auto"/>
        <w:ind w:firstLine="708"/>
        <w:rPr>
          <w:rFonts w:ascii="Times New Roman" w:hAnsi="Times New Roman" w:cs="Times New Roman"/>
          <w:sz w:val="24"/>
          <w:szCs w:val="24"/>
        </w:rPr>
      </w:pPr>
    </w:p>
    <w:p w:rsidR="002660D1" w:rsidRPr="002660D1" w:rsidP="002660D1">
      <w:pPr>
        <w:spacing w:line="240" w:lineRule="auto"/>
        <w:ind w:firstLine="708"/>
        <w:rPr>
          <w:rFonts w:ascii="Times New Roman" w:hAnsi="Times New Roman" w:cs="Times New Roman"/>
          <w:sz w:val="24"/>
          <w:szCs w:val="24"/>
        </w:rPr>
      </w:pPr>
      <w:r w:rsidRPr="002660D1" w:rsidR="009A39F7">
        <w:rPr>
          <w:rFonts w:ascii="Times New Roman" w:hAnsi="Times New Roman" w:cs="Times New Roman"/>
          <w:sz w:val="24"/>
          <w:szCs w:val="24"/>
        </w:rPr>
        <w:t>V roku 2006</w:t>
      </w:r>
      <w:r w:rsidRPr="002660D1" w:rsidR="00684D28">
        <w:rPr>
          <w:rFonts w:ascii="Times New Roman" w:hAnsi="Times New Roman" w:cs="Times New Roman"/>
          <w:sz w:val="24"/>
          <w:szCs w:val="24"/>
        </w:rPr>
        <w:t xml:space="preserve"> </w:t>
      </w:r>
      <w:r w:rsidR="0098780E">
        <w:rPr>
          <w:rFonts w:ascii="Times New Roman" w:hAnsi="Times New Roman" w:cs="Times New Roman"/>
          <w:sz w:val="24"/>
          <w:szCs w:val="24"/>
        </w:rPr>
        <w:t>boli vykonané najmä tieto zahraničné služobné cesty (ZSC)</w:t>
      </w:r>
      <w:r w:rsidRPr="002660D1" w:rsidR="00684D28">
        <w:rPr>
          <w:rFonts w:ascii="Times New Roman" w:hAnsi="Times New Roman" w:cs="Times New Roman"/>
          <w:sz w:val="24"/>
          <w:szCs w:val="24"/>
        </w:rPr>
        <w:t>:</w:t>
      </w:r>
    </w:p>
    <w:p w:rsidR="002660D1" w:rsidRPr="002660D1" w:rsidP="001654CB">
      <w:pPr>
        <w:numPr>
          <w:ilvl w:val="0"/>
          <w:numId w:val="35"/>
        </w:numPr>
        <w:tabs>
          <w:tab w:val="left" w:pos="360"/>
          <w:tab w:val="clear" w:pos="720"/>
        </w:tabs>
        <w:adjustRightInd/>
        <w:spacing w:line="240" w:lineRule="auto"/>
        <w:ind w:left="360"/>
        <w:textAlignment w:val="auto"/>
        <w:rPr>
          <w:rFonts w:ascii="Times New Roman" w:hAnsi="Times New Roman" w:cs="Times New Roman"/>
          <w:sz w:val="24"/>
          <w:szCs w:val="24"/>
        </w:rPr>
      </w:pPr>
      <w:r w:rsidRPr="002660D1">
        <w:rPr>
          <w:rFonts w:ascii="Times New Roman" w:hAnsi="Times New Roman" w:cs="Times New Roman"/>
          <w:sz w:val="24"/>
          <w:szCs w:val="24"/>
        </w:rPr>
        <w:t>plánovaná</w:t>
      </w:r>
      <w:r>
        <w:rPr>
          <w:rFonts w:ascii="Times New Roman" w:hAnsi="Times New Roman" w:cs="Times New Roman"/>
          <w:sz w:val="24"/>
          <w:szCs w:val="24"/>
        </w:rPr>
        <w:t xml:space="preserve"> ZSC generálneho riaditeľa ŽP – </w:t>
      </w:r>
      <w:r w:rsidRPr="002660D1">
        <w:rPr>
          <w:rFonts w:ascii="Times New Roman" w:hAnsi="Times New Roman" w:cs="Times New Roman"/>
          <w:sz w:val="24"/>
          <w:szCs w:val="24"/>
        </w:rPr>
        <w:t>46.</w:t>
      </w:r>
      <w:r>
        <w:rPr>
          <w:rFonts w:ascii="Times New Roman" w:hAnsi="Times New Roman" w:cs="Times New Roman"/>
          <w:sz w:val="24"/>
          <w:szCs w:val="24"/>
        </w:rPr>
        <w:t xml:space="preserve"> zasadnutie Colpofer, Nemecko – </w:t>
      </w:r>
      <w:r w:rsidR="0098780E">
        <w:rPr>
          <w:rFonts w:ascii="Times New Roman" w:hAnsi="Times New Roman" w:cs="Times New Roman"/>
          <w:sz w:val="24"/>
          <w:szCs w:val="24"/>
        </w:rPr>
        <w:t>Berlín,</w:t>
      </w:r>
    </w:p>
    <w:p w:rsidR="002660D1" w:rsidRPr="002660D1" w:rsidP="001654CB">
      <w:pPr>
        <w:numPr>
          <w:ilvl w:val="0"/>
          <w:numId w:val="35"/>
        </w:numPr>
        <w:tabs>
          <w:tab w:val="left" w:pos="360"/>
          <w:tab w:val="clear" w:pos="720"/>
        </w:tabs>
        <w:adjustRightInd/>
        <w:spacing w:line="240" w:lineRule="auto"/>
        <w:ind w:left="360"/>
        <w:textAlignment w:val="auto"/>
        <w:rPr>
          <w:rFonts w:ascii="Times New Roman" w:hAnsi="Times New Roman" w:cs="Times New Roman"/>
          <w:sz w:val="24"/>
          <w:szCs w:val="24"/>
        </w:rPr>
      </w:pPr>
      <w:r w:rsidRPr="002660D1">
        <w:rPr>
          <w:rFonts w:ascii="Times New Roman" w:hAnsi="Times New Roman" w:cs="Times New Roman"/>
          <w:sz w:val="24"/>
          <w:szCs w:val="24"/>
        </w:rPr>
        <w:t xml:space="preserve">neplánovaná ZSC námestníka GR </w:t>
      </w:r>
      <w:r>
        <w:rPr>
          <w:rFonts w:ascii="Times New Roman" w:hAnsi="Times New Roman" w:cs="Times New Roman"/>
          <w:sz w:val="24"/>
          <w:szCs w:val="24"/>
        </w:rPr>
        <w:t xml:space="preserve">ŽP – </w:t>
      </w:r>
      <w:r w:rsidRPr="002660D1">
        <w:rPr>
          <w:rFonts w:ascii="Times New Roman" w:hAnsi="Times New Roman" w:cs="Times New Roman"/>
          <w:sz w:val="24"/>
          <w:szCs w:val="24"/>
        </w:rPr>
        <w:t>uzavretie dohody o mieste a spôsobe odovzdávania ozbrojených stráží pri doprovod</w:t>
      </w:r>
      <w:r w:rsidR="0098780E">
        <w:rPr>
          <w:rFonts w:ascii="Times New Roman" w:hAnsi="Times New Roman" w:cs="Times New Roman"/>
          <w:sz w:val="24"/>
          <w:szCs w:val="24"/>
        </w:rPr>
        <w:t>e špeciálnych zásielok,</w:t>
      </w:r>
    </w:p>
    <w:p w:rsidR="002660D1" w:rsidRPr="002660D1" w:rsidP="001654CB">
      <w:pPr>
        <w:numPr>
          <w:ilvl w:val="0"/>
          <w:numId w:val="35"/>
        </w:numPr>
        <w:tabs>
          <w:tab w:val="left" w:pos="360"/>
          <w:tab w:val="clear" w:pos="720"/>
        </w:tabs>
        <w:adjustRightInd/>
        <w:spacing w:line="240" w:lineRule="auto"/>
        <w:ind w:left="360"/>
        <w:textAlignment w:val="auto"/>
        <w:rPr>
          <w:rFonts w:ascii="Times New Roman" w:hAnsi="Times New Roman" w:cs="Times New Roman"/>
          <w:sz w:val="24"/>
          <w:szCs w:val="24"/>
        </w:rPr>
      </w:pPr>
      <w:r w:rsidRPr="002660D1">
        <w:rPr>
          <w:rFonts w:ascii="Times New Roman" w:hAnsi="Times New Roman" w:cs="Times New Roman"/>
          <w:sz w:val="24"/>
          <w:szCs w:val="24"/>
        </w:rPr>
        <w:t xml:space="preserve">neplánovaná </w:t>
      </w:r>
      <w:r>
        <w:rPr>
          <w:rFonts w:ascii="Times New Roman" w:hAnsi="Times New Roman" w:cs="Times New Roman"/>
          <w:sz w:val="24"/>
          <w:szCs w:val="24"/>
        </w:rPr>
        <w:t xml:space="preserve">ZSC 1 príslušníka z OPO GR ŽP – </w:t>
      </w:r>
      <w:r w:rsidRPr="002660D1">
        <w:rPr>
          <w:rFonts w:ascii="Times New Roman" w:hAnsi="Times New Roman" w:cs="Times New Roman"/>
          <w:sz w:val="24"/>
          <w:szCs w:val="24"/>
        </w:rPr>
        <w:t>N</w:t>
      </w:r>
      <w:r w:rsidR="00356D72">
        <w:rPr>
          <w:rFonts w:ascii="Times New Roman" w:hAnsi="Times New Roman" w:cs="Times New Roman"/>
          <w:sz w:val="24"/>
          <w:szCs w:val="24"/>
        </w:rPr>
        <w:t xml:space="preserve">emecko – s cieľom </w:t>
      </w:r>
      <w:r w:rsidRPr="002660D1">
        <w:rPr>
          <w:rFonts w:ascii="Times New Roman" w:hAnsi="Times New Roman" w:cs="Times New Roman"/>
          <w:sz w:val="24"/>
          <w:szCs w:val="24"/>
        </w:rPr>
        <w:t>predloženia podkladov k zabezpečeniu „Železničných pátracích dní“ v rámc</w:t>
      </w:r>
      <w:r w:rsidR="0098780E">
        <w:rPr>
          <w:rFonts w:ascii="Times New Roman" w:hAnsi="Times New Roman" w:cs="Times New Roman"/>
          <w:sz w:val="24"/>
          <w:szCs w:val="24"/>
        </w:rPr>
        <w:t>i Slovenska,</w:t>
      </w:r>
    </w:p>
    <w:p w:rsidR="002660D1" w:rsidRPr="002660D1" w:rsidP="001654CB">
      <w:pPr>
        <w:numPr>
          <w:ilvl w:val="0"/>
          <w:numId w:val="35"/>
        </w:numPr>
        <w:tabs>
          <w:tab w:val="left" w:pos="360"/>
          <w:tab w:val="clear" w:pos="720"/>
        </w:tabs>
        <w:adjustRightInd/>
        <w:spacing w:line="240" w:lineRule="auto"/>
        <w:ind w:left="360"/>
        <w:textAlignment w:val="auto"/>
        <w:rPr>
          <w:rFonts w:ascii="Times New Roman" w:hAnsi="Times New Roman" w:cs="Times New Roman"/>
          <w:sz w:val="24"/>
          <w:szCs w:val="24"/>
        </w:rPr>
      </w:pPr>
      <w:r w:rsidRPr="002660D1">
        <w:rPr>
          <w:rFonts w:ascii="Times New Roman" w:hAnsi="Times New Roman" w:cs="Times New Roman"/>
          <w:sz w:val="24"/>
          <w:szCs w:val="24"/>
        </w:rPr>
        <w:t>plánova</w:t>
      </w:r>
      <w:r>
        <w:rPr>
          <w:rFonts w:ascii="Times New Roman" w:hAnsi="Times New Roman" w:cs="Times New Roman"/>
          <w:sz w:val="24"/>
          <w:szCs w:val="24"/>
        </w:rPr>
        <w:t xml:space="preserve">ná ZSC riaditeľa OPS GR ŽP – </w:t>
      </w:r>
      <w:r w:rsidRPr="002660D1">
        <w:rPr>
          <w:rFonts w:ascii="Times New Roman" w:hAnsi="Times New Roman" w:cs="Times New Roman"/>
          <w:sz w:val="24"/>
          <w:szCs w:val="24"/>
        </w:rPr>
        <w:t>Česká republika –</w:t>
      </w:r>
      <w:r w:rsidR="00356D72">
        <w:rPr>
          <w:rFonts w:ascii="Times New Roman" w:hAnsi="Times New Roman" w:cs="Times New Roman"/>
          <w:sz w:val="24"/>
          <w:szCs w:val="24"/>
        </w:rPr>
        <w:t xml:space="preserve"> s cieľom </w:t>
      </w:r>
      <w:r w:rsidRPr="002660D1">
        <w:rPr>
          <w:rFonts w:ascii="Times New Roman" w:hAnsi="Times New Roman" w:cs="Times New Roman"/>
          <w:sz w:val="24"/>
          <w:szCs w:val="24"/>
        </w:rPr>
        <w:t>každoročnej medzirezortnej k</w:t>
      </w:r>
      <w:r w:rsidR="0098780E">
        <w:rPr>
          <w:rFonts w:ascii="Times New Roman" w:hAnsi="Times New Roman" w:cs="Times New Roman"/>
          <w:sz w:val="24"/>
          <w:szCs w:val="24"/>
        </w:rPr>
        <w:t>omisie medzi  MDPT SR a MDPT ČR,</w:t>
      </w:r>
    </w:p>
    <w:p w:rsidR="002660D1" w:rsidRPr="002660D1" w:rsidP="001654CB">
      <w:pPr>
        <w:numPr>
          <w:ilvl w:val="0"/>
          <w:numId w:val="35"/>
        </w:numPr>
        <w:tabs>
          <w:tab w:val="left" w:pos="360"/>
          <w:tab w:val="clear" w:pos="720"/>
        </w:tabs>
        <w:adjustRightInd/>
        <w:spacing w:line="240" w:lineRule="auto"/>
        <w:ind w:left="360"/>
        <w:textAlignment w:val="auto"/>
        <w:rPr>
          <w:rFonts w:ascii="Times New Roman" w:hAnsi="Times New Roman" w:cs="Times New Roman"/>
          <w:sz w:val="24"/>
          <w:szCs w:val="24"/>
        </w:rPr>
      </w:pPr>
      <w:r w:rsidRPr="002660D1">
        <w:rPr>
          <w:rFonts w:ascii="Times New Roman" w:hAnsi="Times New Roman" w:cs="Times New Roman"/>
          <w:sz w:val="24"/>
          <w:szCs w:val="24"/>
        </w:rPr>
        <w:t>neplánovaná ZSC 1 príslušníka OPO GR ŽP – Taliansko</w:t>
      </w:r>
      <w:r w:rsidR="0098780E">
        <w:rPr>
          <w:rFonts w:ascii="Times New Roman" w:hAnsi="Times New Roman" w:cs="Times New Roman"/>
          <w:sz w:val="24"/>
          <w:szCs w:val="24"/>
        </w:rPr>
        <w:t xml:space="preserve"> – na medz.</w:t>
      </w:r>
      <w:r w:rsidRPr="002660D1">
        <w:rPr>
          <w:rFonts w:ascii="Times New Roman" w:hAnsi="Times New Roman" w:cs="Times New Roman"/>
          <w:sz w:val="24"/>
          <w:szCs w:val="24"/>
        </w:rPr>
        <w:t xml:space="preserve"> koordinačnom stretnutí k európskemu dňu železničných polícií</w:t>
      </w:r>
      <w:r w:rsidR="0098780E">
        <w:rPr>
          <w:rFonts w:ascii="Times New Roman" w:hAnsi="Times New Roman" w:cs="Times New Roman"/>
          <w:sz w:val="24"/>
          <w:szCs w:val="24"/>
        </w:rPr>
        <w:t xml:space="preserve"> zameranej proti krádeži medi,</w:t>
      </w:r>
    </w:p>
    <w:p w:rsidR="002660D1" w:rsidRPr="002660D1" w:rsidP="001654CB">
      <w:pPr>
        <w:numPr>
          <w:ilvl w:val="0"/>
          <w:numId w:val="35"/>
        </w:numPr>
        <w:tabs>
          <w:tab w:val="left" w:pos="360"/>
          <w:tab w:val="clear" w:pos="720"/>
        </w:tabs>
        <w:adjustRightInd/>
        <w:spacing w:line="240" w:lineRule="auto"/>
        <w:ind w:left="360"/>
        <w:textAlignment w:val="auto"/>
        <w:rPr>
          <w:rFonts w:ascii="Times New Roman" w:hAnsi="Times New Roman" w:cs="Times New Roman"/>
          <w:sz w:val="24"/>
          <w:szCs w:val="24"/>
        </w:rPr>
      </w:pPr>
      <w:r w:rsidRPr="002660D1">
        <w:rPr>
          <w:rFonts w:ascii="Times New Roman" w:hAnsi="Times New Roman" w:cs="Times New Roman"/>
          <w:sz w:val="24"/>
          <w:szCs w:val="24"/>
        </w:rPr>
        <w:t>plánovaná</w:t>
      </w:r>
      <w:r>
        <w:rPr>
          <w:rFonts w:ascii="Times New Roman" w:hAnsi="Times New Roman" w:cs="Times New Roman"/>
          <w:sz w:val="24"/>
          <w:szCs w:val="24"/>
        </w:rPr>
        <w:t xml:space="preserve"> ZSC 1 príslušníčky OPS GR ŽP – </w:t>
      </w:r>
      <w:r w:rsidRPr="002660D1">
        <w:rPr>
          <w:rFonts w:ascii="Times New Roman" w:hAnsi="Times New Roman" w:cs="Times New Roman"/>
          <w:sz w:val="24"/>
          <w:szCs w:val="24"/>
        </w:rPr>
        <w:t>Veľká Británia, konferencia</w:t>
      </w:r>
      <w:r w:rsidR="0098780E">
        <w:rPr>
          <w:rFonts w:ascii="Times New Roman" w:hAnsi="Times New Roman" w:cs="Times New Roman"/>
          <w:sz w:val="24"/>
          <w:szCs w:val="24"/>
        </w:rPr>
        <w:t xml:space="preserve"> RAILPOL,</w:t>
      </w:r>
    </w:p>
    <w:p w:rsidR="002660D1" w:rsidRPr="002660D1" w:rsidP="001654CB">
      <w:pPr>
        <w:numPr>
          <w:ilvl w:val="0"/>
          <w:numId w:val="35"/>
        </w:numPr>
        <w:tabs>
          <w:tab w:val="left" w:pos="360"/>
          <w:tab w:val="clear" w:pos="720"/>
        </w:tabs>
        <w:adjustRightInd/>
        <w:spacing w:line="240" w:lineRule="auto"/>
        <w:ind w:left="360"/>
        <w:textAlignment w:val="auto"/>
        <w:rPr>
          <w:rFonts w:ascii="Times New Roman" w:hAnsi="Times New Roman" w:cs="Times New Roman"/>
          <w:sz w:val="24"/>
          <w:szCs w:val="24"/>
        </w:rPr>
      </w:pPr>
      <w:r w:rsidRPr="002660D1">
        <w:rPr>
          <w:rFonts w:ascii="Times New Roman" w:hAnsi="Times New Roman" w:cs="Times New Roman"/>
          <w:sz w:val="24"/>
          <w:szCs w:val="24"/>
        </w:rPr>
        <w:t xml:space="preserve">plánovaná ZSC generálneho riaditeľa ŽP, 1 príslušníka OPS </w:t>
      </w:r>
      <w:r>
        <w:rPr>
          <w:rFonts w:ascii="Times New Roman" w:hAnsi="Times New Roman" w:cs="Times New Roman"/>
          <w:sz w:val="24"/>
          <w:szCs w:val="24"/>
        </w:rPr>
        <w:t>GR ŽP,</w:t>
      </w:r>
      <w:r w:rsidR="0098780E">
        <w:rPr>
          <w:rFonts w:ascii="Times New Roman" w:hAnsi="Times New Roman" w:cs="Times New Roman"/>
          <w:sz w:val="24"/>
          <w:szCs w:val="24"/>
        </w:rPr>
        <w:t xml:space="preserve"> 1 príslušníka VO GR ŽP – SRN – </w:t>
      </w:r>
      <w:r w:rsidRPr="002660D1">
        <w:rPr>
          <w:rFonts w:ascii="Times New Roman" w:hAnsi="Times New Roman" w:cs="Times New Roman"/>
          <w:sz w:val="24"/>
          <w:szCs w:val="24"/>
        </w:rPr>
        <w:t>v rámci  spoločného projektu EÚ – „ALP</w:t>
      </w:r>
      <w:r w:rsidR="0098780E">
        <w:rPr>
          <w:rFonts w:ascii="Times New Roman" w:hAnsi="Times New Roman" w:cs="Times New Roman"/>
          <w:sz w:val="24"/>
          <w:szCs w:val="24"/>
        </w:rPr>
        <w:t>Y-DUNAJ-JADRAN“,</w:t>
      </w:r>
    </w:p>
    <w:p w:rsidR="002660D1" w:rsidRPr="002660D1" w:rsidP="001654CB">
      <w:pPr>
        <w:numPr>
          <w:ilvl w:val="0"/>
          <w:numId w:val="35"/>
        </w:numPr>
        <w:tabs>
          <w:tab w:val="left" w:pos="360"/>
          <w:tab w:val="clear" w:pos="720"/>
        </w:tabs>
        <w:adjustRightInd/>
        <w:spacing w:line="240" w:lineRule="auto"/>
        <w:ind w:left="360"/>
        <w:textAlignment w:val="auto"/>
        <w:rPr>
          <w:rFonts w:ascii="Times New Roman" w:hAnsi="Times New Roman" w:cs="Times New Roman"/>
          <w:sz w:val="24"/>
          <w:szCs w:val="24"/>
        </w:rPr>
      </w:pPr>
      <w:r w:rsidRPr="002660D1">
        <w:rPr>
          <w:rFonts w:ascii="Times New Roman" w:hAnsi="Times New Roman" w:cs="Times New Roman"/>
          <w:sz w:val="24"/>
          <w:szCs w:val="24"/>
        </w:rPr>
        <w:t>mimoriadna ZSC generálneho riaditeľa ŽP, 1 príslušníka OPS GRŽP a 1 príslušn</w:t>
      </w:r>
      <w:r w:rsidR="0098780E">
        <w:rPr>
          <w:rFonts w:ascii="Times New Roman" w:hAnsi="Times New Roman" w:cs="Times New Roman"/>
          <w:sz w:val="24"/>
          <w:szCs w:val="24"/>
        </w:rPr>
        <w:t xml:space="preserve">íka ObS ŽP Košice do Užhorodu </w:t>
      </w:r>
      <w:r w:rsidRPr="002660D1">
        <w:rPr>
          <w:rFonts w:ascii="Times New Roman" w:hAnsi="Times New Roman" w:cs="Times New Roman"/>
          <w:sz w:val="24"/>
          <w:szCs w:val="24"/>
        </w:rPr>
        <w:t>na</w:t>
      </w:r>
      <w:r w:rsidR="0098780E">
        <w:rPr>
          <w:rFonts w:ascii="Times New Roman" w:hAnsi="Times New Roman" w:cs="Times New Roman"/>
          <w:sz w:val="24"/>
          <w:szCs w:val="24"/>
        </w:rPr>
        <w:t xml:space="preserve"> pracovné rokovanie,</w:t>
      </w:r>
    </w:p>
    <w:p w:rsidR="002660D1" w:rsidRPr="002660D1" w:rsidP="001654CB">
      <w:pPr>
        <w:numPr>
          <w:ilvl w:val="0"/>
          <w:numId w:val="35"/>
        </w:numPr>
        <w:tabs>
          <w:tab w:val="left" w:pos="360"/>
          <w:tab w:val="clear" w:pos="720"/>
        </w:tabs>
        <w:adjustRightInd/>
        <w:spacing w:line="240" w:lineRule="auto"/>
        <w:ind w:left="360"/>
        <w:textAlignment w:val="auto"/>
        <w:rPr>
          <w:rFonts w:ascii="Times New Roman" w:hAnsi="Times New Roman" w:cs="Times New Roman"/>
          <w:sz w:val="24"/>
          <w:szCs w:val="24"/>
        </w:rPr>
      </w:pPr>
      <w:r w:rsidRPr="002660D1">
        <w:rPr>
          <w:rFonts w:ascii="Times New Roman" w:hAnsi="Times New Roman" w:cs="Times New Roman"/>
          <w:sz w:val="24"/>
          <w:szCs w:val="24"/>
        </w:rPr>
        <w:t>plánovaná ZSC 2 príslušníkov</w:t>
      </w:r>
      <w:r w:rsidR="0098780E">
        <w:rPr>
          <w:rFonts w:ascii="Times New Roman" w:hAnsi="Times New Roman" w:cs="Times New Roman"/>
          <w:sz w:val="24"/>
          <w:szCs w:val="24"/>
        </w:rPr>
        <w:t xml:space="preserve"> GR ŽP – Švajčiarsko </w:t>
      </w:r>
      <w:r w:rsidRPr="002660D1">
        <w:rPr>
          <w:rFonts w:ascii="Times New Roman" w:hAnsi="Times New Roman" w:cs="Times New Roman"/>
          <w:sz w:val="24"/>
          <w:szCs w:val="24"/>
        </w:rPr>
        <w:t>– 47. zasad</w:t>
      </w:r>
      <w:r w:rsidR="0098780E">
        <w:rPr>
          <w:rFonts w:ascii="Times New Roman" w:hAnsi="Times New Roman" w:cs="Times New Roman"/>
          <w:sz w:val="24"/>
          <w:szCs w:val="24"/>
        </w:rPr>
        <w:t>nutie Colpofer,</w:t>
      </w:r>
    </w:p>
    <w:p w:rsidR="002660D1" w:rsidRPr="002660D1" w:rsidP="001654CB">
      <w:pPr>
        <w:numPr>
          <w:ilvl w:val="0"/>
          <w:numId w:val="35"/>
        </w:numPr>
        <w:tabs>
          <w:tab w:val="left" w:pos="360"/>
          <w:tab w:val="clear" w:pos="720"/>
        </w:tabs>
        <w:adjustRightInd/>
        <w:spacing w:line="240" w:lineRule="auto"/>
        <w:ind w:left="360"/>
        <w:textAlignment w:val="auto"/>
        <w:rPr>
          <w:rFonts w:ascii="Times New Roman" w:hAnsi="Times New Roman" w:cs="Times New Roman"/>
          <w:sz w:val="24"/>
          <w:szCs w:val="24"/>
        </w:rPr>
      </w:pPr>
      <w:r w:rsidRPr="002660D1">
        <w:rPr>
          <w:rFonts w:ascii="Times New Roman" w:hAnsi="Times New Roman" w:cs="Times New Roman"/>
          <w:sz w:val="24"/>
          <w:szCs w:val="24"/>
        </w:rPr>
        <w:t>mimoriadna ZSC 2 príslušník</w:t>
      </w:r>
      <w:r w:rsidR="0098780E">
        <w:rPr>
          <w:rFonts w:ascii="Times New Roman" w:hAnsi="Times New Roman" w:cs="Times New Roman"/>
          <w:sz w:val="24"/>
          <w:szCs w:val="24"/>
        </w:rPr>
        <w:t xml:space="preserve">ov GR ŽP </w:t>
      </w:r>
      <w:r>
        <w:rPr>
          <w:rFonts w:ascii="Times New Roman" w:hAnsi="Times New Roman" w:cs="Times New Roman"/>
          <w:sz w:val="24"/>
          <w:szCs w:val="24"/>
        </w:rPr>
        <w:t xml:space="preserve">– </w:t>
      </w:r>
      <w:r w:rsidRPr="002660D1">
        <w:rPr>
          <w:rFonts w:ascii="Times New Roman" w:hAnsi="Times New Roman" w:cs="Times New Roman"/>
          <w:sz w:val="24"/>
          <w:szCs w:val="24"/>
        </w:rPr>
        <w:t>účasť na prezentácii kamerových zabezpečovacích systémov a režim</w:t>
      </w:r>
      <w:r w:rsidR="0098780E">
        <w:rPr>
          <w:rFonts w:ascii="Times New Roman" w:hAnsi="Times New Roman" w:cs="Times New Roman"/>
          <w:sz w:val="24"/>
          <w:szCs w:val="24"/>
        </w:rPr>
        <w:t>ových bezpečnostných opatrení,</w:t>
      </w:r>
    </w:p>
    <w:p w:rsidR="002660D1" w:rsidRPr="002660D1" w:rsidP="001654CB">
      <w:pPr>
        <w:numPr>
          <w:ilvl w:val="0"/>
          <w:numId w:val="35"/>
        </w:numPr>
        <w:tabs>
          <w:tab w:val="left" w:pos="360"/>
          <w:tab w:val="clear" w:pos="720"/>
        </w:tabs>
        <w:adjustRightInd/>
        <w:spacing w:line="240" w:lineRule="auto"/>
        <w:ind w:left="360"/>
        <w:textAlignment w:val="auto"/>
        <w:rPr>
          <w:rFonts w:ascii="Times New Roman" w:hAnsi="Times New Roman" w:cs="Times New Roman"/>
          <w:sz w:val="24"/>
          <w:szCs w:val="24"/>
        </w:rPr>
      </w:pPr>
      <w:r w:rsidRPr="002660D1">
        <w:rPr>
          <w:rFonts w:ascii="Times New Roman" w:hAnsi="Times New Roman" w:cs="Times New Roman"/>
          <w:sz w:val="24"/>
          <w:szCs w:val="24"/>
        </w:rPr>
        <w:t>mimoriadna ZSC 2 príslušníkov OPO GR Ž</w:t>
      </w:r>
      <w:r w:rsidR="0098780E">
        <w:rPr>
          <w:rFonts w:ascii="Times New Roman" w:hAnsi="Times New Roman" w:cs="Times New Roman"/>
          <w:sz w:val="24"/>
          <w:szCs w:val="24"/>
        </w:rPr>
        <w:t xml:space="preserve">P – </w:t>
      </w:r>
      <w:r w:rsidRPr="002660D1">
        <w:rPr>
          <w:rFonts w:ascii="Times New Roman" w:hAnsi="Times New Roman" w:cs="Times New Roman"/>
          <w:sz w:val="24"/>
          <w:szCs w:val="24"/>
        </w:rPr>
        <w:t>účasť na 4. svetovom bezpečnostnom fóre pod záštitou EÚ a Medziná</w:t>
      </w:r>
      <w:r w:rsidR="0098780E">
        <w:rPr>
          <w:rFonts w:ascii="Times New Roman" w:hAnsi="Times New Roman" w:cs="Times New Roman"/>
          <w:sz w:val="24"/>
          <w:szCs w:val="24"/>
        </w:rPr>
        <w:t>rodnej únie železníc,</w:t>
      </w:r>
    </w:p>
    <w:p w:rsidR="002660D1" w:rsidRPr="002660D1" w:rsidP="001654CB">
      <w:pPr>
        <w:numPr>
          <w:ilvl w:val="0"/>
          <w:numId w:val="35"/>
        </w:numPr>
        <w:tabs>
          <w:tab w:val="left" w:pos="360"/>
          <w:tab w:val="clear" w:pos="720"/>
        </w:tabs>
        <w:adjustRightInd/>
        <w:spacing w:line="240" w:lineRule="auto"/>
        <w:ind w:left="360"/>
        <w:textAlignment w:val="auto"/>
        <w:rPr>
          <w:rFonts w:ascii="Times New Roman" w:hAnsi="Times New Roman" w:cs="Times New Roman"/>
          <w:sz w:val="24"/>
          <w:szCs w:val="24"/>
        </w:rPr>
      </w:pPr>
      <w:r w:rsidRPr="002660D1">
        <w:rPr>
          <w:rFonts w:ascii="Times New Roman" w:hAnsi="Times New Roman" w:cs="Times New Roman"/>
          <w:sz w:val="24"/>
          <w:szCs w:val="24"/>
        </w:rPr>
        <w:t>mimoriadna ZSC 7 príslušníkov ŽP z</w:t>
      </w:r>
      <w:r w:rsidR="0098780E">
        <w:rPr>
          <w:rFonts w:ascii="Times New Roman" w:hAnsi="Times New Roman" w:cs="Times New Roman"/>
          <w:sz w:val="24"/>
          <w:szCs w:val="24"/>
        </w:rPr>
        <w:t xml:space="preserve"> ObS ŽP Košice na Ukrajinu </w:t>
      </w:r>
      <w:r>
        <w:rPr>
          <w:rFonts w:ascii="Times New Roman" w:hAnsi="Times New Roman" w:cs="Times New Roman"/>
          <w:sz w:val="24"/>
          <w:szCs w:val="24"/>
        </w:rPr>
        <w:t xml:space="preserve">– </w:t>
      </w:r>
      <w:r w:rsidR="0098780E">
        <w:rPr>
          <w:rFonts w:ascii="Times New Roman" w:hAnsi="Times New Roman" w:cs="Times New Roman"/>
          <w:sz w:val="24"/>
          <w:szCs w:val="24"/>
        </w:rPr>
        <w:t>akcia „Alfa“.</w:t>
      </w:r>
    </w:p>
    <w:p w:rsidR="00D12369" w:rsidRPr="00D23807" w:rsidP="00C362EA">
      <w:pPr>
        <w:pStyle w:val="BodyTextIndent3"/>
        <w:spacing w:line="240" w:lineRule="auto"/>
        <w:ind w:firstLine="0"/>
        <w:rPr>
          <w:rFonts w:ascii="Times New Roman" w:hAnsi="Times New Roman" w:cs="Times New Roman"/>
          <w:sz w:val="24"/>
          <w:szCs w:val="24"/>
          <w:u w:val="single"/>
        </w:rPr>
      </w:pPr>
    </w:p>
    <w:p w:rsidR="00684D28" w:rsidRPr="00886085" w:rsidP="00886085">
      <w:pPr>
        <w:pStyle w:val="BodyTextIndent3"/>
        <w:spacing w:line="240" w:lineRule="auto"/>
        <w:rPr>
          <w:rFonts w:ascii="Times New Roman" w:hAnsi="Times New Roman" w:cs="Times New Roman"/>
          <w:sz w:val="24"/>
          <w:szCs w:val="24"/>
          <w:u w:val="single"/>
        </w:rPr>
      </w:pPr>
      <w:r w:rsidRPr="00886085">
        <w:rPr>
          <w:rFonts w:ascii="Times New Roman" w:hAnsi="Times New Roman" w:cs="Times New Roman"/>
          <w:sz w:val="24"/>
          <w:szCs w:val="24"/>
          <w:u w:val="single"/>
        </w:rPr>
        <w:t>Technická ochrana a obnova železníc</w:t>
      </w:r>
    </w:p>
    <w:p w:rsidR="0057008F" w:rsidP="0057008F">
      <w:pPr>
        <w:tabs>
          <w:tab w:val="left" w:pos="-1620"/>
          <w:tab w:val="left" w:pos="-1260"/>
        </w:tabs>
        <w:spacing w:line="240" w:lineRule="auto"/>
        <w:rPr>
          <w:rFonts w:ascii="Times New Roman" w:hAnsi="Times New Roman" w:cs="Times New Roman"/>
          <w:sz w:val="24"/>
          <w:szCs w:val="24"/>
          <w:u w:val="single"/>
        </w:rPr>
      </w:pPr>
    </w:p>
    <w:p w:rsidR="00886085" w:rsidRPr="00886085" w:rsidP="0057008F">
      <w:pPr>
        <w:tabs>
          <w:tab w:val="left" w:pos="-1620"/>
          <w:tab w:val="left" w:pos="-1260"/>
        </w:tabs>
        <w:spacing w:line="240" w:lineRule="auto"/>
        <w:rPr>
          <w:rFonts w:ascii="Times New Roman" w:hAnsi="Times New Roman" w:cs="Times New Roman"/>
          <w:sz w:val="24"/>
          <w:szCs w:val="24"/>
        </w:rPr>
      </w:pPr>
      <w:r w:rsidRPr="0057008F" w:rsidR="0057008F">
        <w:rPr>
          <w:rFonts w:ascii="Times New Roman" w:hAnsi="Times New Roman" w:cs="Times New Roman"/>
          <w:sz w:val="24"/>
          <w:szCs w:val="24"/>
        </w:rPr>
        <w:tab/>
        <w:t>Výdavky</w:t>
      </w:r>
      <w:r w:rsidRPr="00555E39" w:rsidR="0057008F">
        <w:rPr>
          <w:rFonts w:ascii="Times New Roman" w:hAnsi="Times New Roman" w:cs="Times New Roman"/>
          <w:sz w:val="24"/>
          <w:szCs w:val="24"/>
        </w:rPr>
        <w:t xml:space="preserve"> na zahraničné pracovné cesty boli realizované jednodňovými pracovnými</w:t>
      </w:r>
      <w:r w:rsidR="0057008F">
        <w:rPr>
          <w:rFonts w:ascii="Times New Roman" w:hAnsi="Times New Roman" w:cs="Times New Roman"/>
          <w:sz w:val="24"/>
          <w:szCs w:val="24"/>
        </w:rPr>
        <w:t xml:space="preserve"> cestami podľa </w:t>
      </w:r>
      <w:r w:rsidRPr="00555E39" w:rsidR="0057008F">
        <w:rPr>
          <w:rFonts w:ascii="Times New Roman" w:hAnsi="Times New Roman" w:cs="Times New Roman"/>
          <w:sz w:val="24"/>
          <w:szCs w:val="24"/>
        </w:rPr>
        <w:t>Plánu zahraničných praco</w:t>
      </w:r>
      <w:r w:rsidR="0057008F">
        <w:rPr>
          <w:rFonts w:ascii="Times New Roman" w:hAnsi="Times New Roman" w:cs="Times New Roman"/>
          <w:sz w:val="24"/>
          <w:szCs w:val="24"/>
        </w:rPr>
        <w:t>vných ciest v celkovej hodnote 11</w:t>
      </w:r>
      <w:r w:rsidRPr="00555E39" w:rsidR="0057008F">
        <w:rPr>
          <w:rFonts w:ascii="Times New Roman" w:hAnsi="Times New Roman" w:cs="Times New Roman"/>
          <w:sz w:val="24"/>
          <w:szCs w:val="24"/>
        </w:rPr>
        <w:t>.</w:t>
      </w:r>
      <w:r w:rsidR="0057008F">
        <w:rPr>
          <w:rFonts w:ascii="Times New Roman" w:hAnsi="Times New Roman" w:cs="Times New Roman"/>
          <w:sz w:val="24"/>
          <w:szCs w:val="24"/>
        </w:rPr>
        <w:t>524</w:t>
      </w:r>
      <w:r w:rsidRPr="00555E39" w:rsidR="0057008F">
        <w:rPr>
          <w:rFonts w:ascii="Times New Roman" w:hAnsi="Times New Roman" w:cs="Times New Roman"/>
          <w:sz w:val="24"/>
          <w:szCs w:val="24"/>
        </w:rPr>
        <w:t>,</w:t>
      </w:r>
      <w:r w:rsidR="0057008F">
        <w:rPr>
          <w:rFonts w:ascii="Times New Roman" w:hAnsi="Times New Roman" w:cs="Times New Roman"/>
          <w:sz w:val="24"/>
          <w:szCs w:val="24"/>
        </w:rPr>
        <w:t>50</w:t>
      </w:r>
      <w:r w:rsidRPr="00555E39" w:rsidR="0057008F">
        <w:rPr>
          <w:rFonts w:ascii="Times New Roman" w:hAnsi="Times New Roman" w:cs="Times New Roman"/>
          <w:sz w:val="24"/>
          <w:szCs w:val="24"/>
        </w:rPr>
        <w:t xml:space="preserve"> Sk.</w:t>
      </w:r>
      <w:r w:rsidR="0057008F">
        <w:rPr>
          <w:rFonts w:ascii="Times New Roman" w:hAnsi="Times New Roman" w:cs="Times New Roman"/>
          <w:sz w:val="24"/>
          <w:szCs w:val="24"/>
        </w:rPr>
        <w:tab/>
      </w:r>
    </w:p>
    <w:p w:rsidR="00886085" w:rsidP="00C362EA">
      <w:pPr>
        <w:pStyle w:val="BodyTextIndent3"/>
        <w:spacing w:line="240" w:lineRule="auto"/>
        <w:ind w:left="360" w:firstLine="0"/>
        <w:rPr>
          <w:rFonts w:ascii="Times New Roman" w:hAnsi="Times New Roman" w:cs="Times New Roman"/>
          <w:sz w:val="24"/>
          <w:szCs w:val="24"/>
        </w:rPr>
      </w:pPr>
    </w:p>
    <w:p w:rsidR="00684D28" w:rsidRPr="00D23807" w:rsidP="00C362EA">
      <w:pPr>
        <w:pStyle w:val="BodyTextIndent3"/>
        <w:spacing w:line="240" w:lineRule="auto"/>
        <w:rPr>
          <w:rFonts w:ascii="Times New Roman" w:hAnsi="Times New Roman" w:cs="Times New Roman"/>
          <w:sz w:val="24"/>
          <w:szCs w:val="24"/>
          <w:u w:val="single"/>
        </w:rPr>
      </w:pPr>
      <w:r w:rsidRPr="00D23807">
        <w:rPr>
          <w:rFonts w:ascii="Times New Roman" w:hAnsi="Times New Roman" w:cs="Times New Roman"/>
          <w:sz w:val="24"/>
          <w:szCs w:val="24"/>
          <w:u w:val="single"/>
        </w:rPr>
        <w:t>Štátna plavebná správa</w:t>
      </w:r>
    </w:p>
    <w:p w:rsidR="00684D28" w:rsidP="00C362EA">
      <w:pPr>
        <w:spacing w:line="240" w:lineRule="auto"/>
        <w:rPr>
          <w:rFonts w:ascii="Times New Roman" w:hAnsi="Times New Roman" w:cs="Times New Roman"/>
          <w:sz w:val="24"/>
        </w:rPr>
      </w:pPr>
      <w:r>
        <w:rPr>
          <w:rFonts w:ascii="Times New Roman" w:hAnsi="Times New Roman" w:cs="Times New Roman"/>
          <w:sz w:val="24"/>
        </w:rPr>
        <w:t xml:space="preserve">             </w:t>
      </w:r>
    </w:p>
    <w:p w:rsidR="0087686F" w:rsidRPr="00687064" w:rsidP="0087686F">
      <w:pPr>
        <w:spacing w:line="240" w:lineRule="auto"/>
        <w:ind w:firstLine="709"/>
        <w:rPr>
          <w:rFonts w:ascii="Times New Roman" w:hAnsi="Times New Roman" w:cs="Times New Roman"/>
          <w:sz w:val="24"/>
          <w:szCs w:val="24"/>
        </w:rPr>
      </w:pPr>
      <w:r w:rsidR="00684D28">
        <w:rPr>
          <w:rFonts w:ascii="Times New Roman" w:hAnsi="Times New Roman" w:cs="Times New Roman"/>
          <w:sz w:val="24"/>
        </w:rPr>
        <w:t>V oblasti zahraničných aktivít Štátnej plavebnej správy bolo na zahraničné praco</w:t>
      </w:r>
      <w:r w:rsidR="009E2482">
        <w:rPr>
          <w:rFonts w:ascii="Times New Roman" w:hAnsi="Times New Roman" w:cs="Times New Roman"/>
          <w:sz w:val="24"/>
        </w:rPr>
        <w:t xml:space="preserve">vné cesty vyčerpaných 247 566,15 </w:t>
      </w:r>
      <w:r w:rsidR="00684D28">
        <w:rPr>
          <w:rFonts w:ascii="Times New Roman" w:hAnsi="Times New Roman" w:cs="Times New Roman"/>
          <w:sz w:val="24"/>
        </w:rPr>
        <w:t xml:space="preserve">Sk. </w:t>
      </w:r>
      <w:r w:rsidR="009E2482">
        <w:rPr>
          <w:rFonts w:ascii="Times New Roman" w:hAnsi="Times New Roman" w:cs="Times New Roman"/>
          <w:sz w:val="24"/>
        </w:rPr>
        <w:t>Zahraničné pracovné cesty sa uskutočnili na zasadnutia Dunajskej komisie, kde sa riešila problematika odpadov z plavidiel a prepravy nebezpečných tovarov po Dunaji. Ďalšie</w:t>
      </w:r>
      <w:r w:rsidR="007A3B5E">
        <w:rPr>
          <w:rFonts w:ascii="Times New Roman" w:hAnsi="Times New Roman" w:cs="Times New Roman"/>
          <w:sz w:val="24"/>
        </w:rPr>
        <w:t xml:space="preserve"> zahraničné pracovné cesty – účasť na zasadnutí pracovnej skupiny Plavebných expertov pri Komisii pre hraničné vody SR – MR, pracovnej skupiny TDS (Transport Document System) Aquapol (problematika výmeny informácií o vydávaných dokladoch osôb a plavidiel), pracovnom zasadnutí  „Calamity Abetement“ (predchádzanie plavebným nehodám v súvislosti s Implementáciou smernice RIS), účasť na pracovnom zasadnutí riadiaceho výboru organizácie Aquapol, účasť na pracovnom zasadnutí „Zmiešaného výboru ČR – SR“ (vzájomná súčinnosť štátneho odborného dozoru), ú</w:t>
      </w:r>
      <w:r w:rsidR="0013146E">
        <w:rPr>
          <w:rFonts w:ascii="Times New Roman" w:hAnsi="Times New Roman" w:cs="Times New Roman"/>
          <w:sz w:val="24"/>
        </w:rPr>
        <w:t>časť na pracovnom stretnutí so S</w:t>
      </w:r>
      <w:r w:rsidR="007A3B5E">
        <w:rPr>
          <w:rFonts w:ascii="Times New Roman" w:hAnsi="Times New Roman" w:cs="Times New Roman"/>
          <w:sz w:val="24"/>
        </w:rPr>
        <w:t>tátní plavební správou České republiky (vzájomné informovanie sa o práci orgánov štátneho odborného dozoru), účasť na kongrese Plavebné dni 2007 v Hodoníne, účasť na zasadnutí „</w:t>
      </w:r>
      <w:r w:rsidR="0013146E">
        <w:rPr>
          <w:rFonts w:ascii="Times New Roman" w:hAnsi="Times New Roman" w:cs="Times New Roman"/>
          <w:sz w:val="24"/>
        </w:rPr>
        <w:t>C</w:t>
      </w:r>
      <w:r w:rsidR="007A3B5E">
        <w:rPr>
          <w:rFonts w:ascii="Times New Roman" w:hAnsi="Times New Roman" w:cs="Times New Roman"/>
          <w:sz w:val="24"/>
        </w:rPr>
        <w:t>ouncil Meeting of Aquapol and working gruops“ – Výboru a pracovných skupín organizácie Aquapol atď..</w:t>
      </w:r>
    </w:p>
    <w:p w:rsidR="00684D28" w:rsidRPr="00D23807" w:rsidP="00C362EA">
      <w:pPr>
        <w:pStyle w:val="BodyTextIndent3"/>
        <w:spacing w:line="240" w:lineRule="auto"/>
        <w:ind w:firstLine="0"/>
        <w:rPr>
          <w:rFonts w:ascii="Times New Roman" w:hAnsi="Times New Roman" w:cs="Times New Roman"/>
          <w:sz w:val="24"/>
          <w:szCs w:val="24"/>
        </w:rPr>
      </w:pPr>
    </w:p>
    <w:p w:rsidR="00684D28" w:rsidP="00C362EA">
      <w:pPr>
        <w:pStyle w:val="BodyTextIndent3"/>
        <w:spacing w:line="240" w:lineRule="auto"/>
        <w:rPr>
          <w:rFonts w:ascii="Times New Roman" w:hAnsi="Times New Roman" w:cs="Times New Roman"/>
          <w:sz w:val="24"/>
          <w:szCs w:val="24"/>
          <w:u w:val="single"/>
        </w:rPr>
      </w:pPr>
      <w:r>
        <w:rPr>
          <w:rFonts w:ascii="Times New Roman" w:hAnsi="Times New Roman" w:cs="Times New Roman"/>
          <w:sz w:val="24"/>
          <w:szCs w:val="24"/>
          <w:u w:val="single"/>
        </w:rPr>
        <w:t>Úrad pre reguláciu železničnej dopravy</w:t>
      </w:r>
    </w:p>
    <w:p w:rsidR="006F2920" w:rsidP="006F2920">
      <w:pPr>
        <w:pStyle w:val="BodyTextIndent3"/>
        <w:spacing w:line="240" w:lineRule="auto"/>
        <w:rPr>
          <w:rFonts w:ascii="Times New Roman" w:hAnsi="Times New Roman" w:cs="Times New Roman"/>
        </w:rPr>
      </w:pPr>
    </w:p>
    <w:p w:rsidR="006F2920" w:rsidRPr="006F2920" w:rsidP="006F2920">
      <w:pPr>
        <w:pStyle w:val="BodyTextIndent3"/>
        <w:spacing w:line="240" w:lineRule="auto"/>
        <w:rPr>
          <w:rFonts w:ascii="Times New Roman" w:hAnsi="Times New Roman" w:cs="Times New Roman"/>
          <w:sz w:val="24"/>
          <w:szCs w:val="24"/>
        </w:rPr>
      </w:pPr>
      <w:r w:rsidRPr="006F2920">
        <w:rPr>
          <w:rFonts w:ascii="Times New Roman" w:hAnsi="Times New Roman" w:cs="Times New Roman"/>
          <w:sz w:val="24"/>
          <w:szCs w:val="24"/>
        </w:rPr>
        <w:t xml:space="preserve">Na zahraničné pracovné cesty boli čerpané výdavky vo výške 522 851,91 Sk. </w:t>
      </w:r>
    </w:p>
    <w:p w:rsidR="00684D28" w:rsidRPr="006F2920" w:rsidP="00484298">
      <w:pPr>
        <w:pStyle w:val="BodyTextIndent3"/>
        <w:spacing w:line="240" w:lineRule="auto"/>
        <w:rPr>
          <w:rFonts w:ascii="Times New Roman" w:hAnsi="Times New Roman" w:cs="Times New Roman"/>
          <w:sz w:val="24"/>
          <w:szCs w:val="24"/>
        </w:rPr>
      </w:pPr>
      <w:r w:rsidRPr="006F2920" w:rsidR="006F2920">
        <w:rPr>
          <w:rFonts w:ascii="Times New Roman" w:hAnsi="Times New Roman" w:cs="Times New Roman"/>
          <w:sz w:val="24"/>
          <w:szCs w:val="24"/>
        </w:rPr>
        <w:t>Zahraničné pracovné cesty zamestnancov úradu boli zamerané najmä na pravidelnú účasť na stretnutiach Pracovnej skupiny regulačných orgánov (RRB), stretnutiach Siete národných bezpečnostných orgánov</w:t>
      </w:r>
      <w:r w:rsidR="00484298">
        <w:rPr>
          <w:rFonts w:ascii="Times New Roman" w:hAnsi="Times New Roman" w:cs="Times New Roman"/>
          <w:sz w:val="24"/>
          <w:szCs w:val="24"/>
        </w:rPr>
        <w:t xml:space="preserve"> (NSA Network) a </w:t>
      </w:r>
      <w:r w:rsidRPr="006F2920" w:rsidR="006F2920">
        <w:rPr>
          <w:rFonts w:ascii="Times New Roman" w:hAnsi="Times New Roman" w:cs="Times New Roman"/>
          <w:sz w:val="24"/>
          <w:szCs w:val="24"/>
        </w:rPr>
        <w:t>stretnutiach Združenia železničných regulačných orgánov (ILGGRI).</w:t>
      </w:r>
      <w:r w:rsidR="00484298">
        <w:rPr>
          <w:rFonts w:ascii="Times New Roman" w:hAnsi="Times New Roman" w:cs="Times New Roman"/>
          <w:sz w:val="24"/>
          <w:szCs w:val="24"/>
        </w:rPr>
        <w:t xml:space="preserve"> D</w:t>
      </w:r>
      <w:r w:rsidRPr="006F2920" w:rsidR="006F2920">
        <w:rPr>
          <w:rFonts w:ascii="Times New Roman" w:hAnsi="Times New Roman" w:cs="Times New Roman"/>
          <w:sz w:val="24"/>
          <w:szCs w:val="24"/>
        </w:rPr>
        <w:t>ôležitá bola účasť zástupcov úradu na seminári Euró</w:t>
      </w:r>
      <w:r w:rsidR="00356D72">
        <w:rPr>
          <w:rFonts w:ascii="Times New Roman" w:hAnsi="Times New Roman" w:cs="Times New Roman"/>
          <w:sz w:val="24"/>
          <w:szCs w:val="24"/>
        </w:rPr>
        <w:t xml:space="preserve">pskej Komisii o bezpečnosti a </w:t>
      </w:r>
      <w:r w:rsidRPr="006F2920" w:rsidR="006F2920">
        <w:rPr>
          <w:rFonts w:ascii="Times New Roman" w:hAnsi="Times New Roman" w:cs="Times New Roman"/>
          <w:sz w:val="24"/>
          <w:szCs w:val="24"/>
        </w:rPr>
        <w:t xml:space="preserve">interoperabilite železníc , ktorý bol určený novým členským štátom EÚ. Zamestnanci úradu uskutočňujú zahraničné pracovné cesty aj na preskúmanie odbornej spôsobilosti organizácií. </w:t>
      </w:r>
    </w:p>
    <w:p w:rsidR="006F2920" w:rsidRPr="00FC35A0" w:rsidP="00C24E9C">
      <w:pPr>
        <w:pStyle w:val="BodyTextIndent3"/>
        <w:spacing w:line="240" w:lineRule="auto"/>
        <w:ind w:firstLine="0"/>
        <w:rPr>
          <w:rFonts w:ascii="Times New Roman" w:hAnsi="Times New Roman" w:cs="Times New Roman"/>
          <w:sz w:val="24"/>
          <w:szCs w:val="24"/>
        </w:rPr>
      </w:pPr>
    </w:p>
    <w:p w:rsidR="00684D28" w:rsidP="00C362EA">
      <w:pPr>
        <w:pStyle w:val="BodyTextIndent3"/>
        <w:spacing w:line="240" w:lineRule="auto"/>
        <w:rPr>
          <w:rFonts w:ascii="Times New Roman" w:hAnsi="Times New Roman" w:cs="Times New Roman"/>
          <w:sz w:val="24"/>
          <w:szCs w:val="24"/>
          <w:u w:val="single"/>
        </w:rPr>
      </w:pPr>
      <w:r w:rsidRPr="00D23807">
        <w:rPr>
          <w:rFonts w:ascii="Times New Roman" w:hAnsi="Times New Roman" w:cs="Times New Roman"/>
          <w:sz w:val="24"/>
          <w:szCs w:val="24"/>
          <w:u w:val="single"/>
        </w:rPr>
        <w:t>Telekomunikačný úrad</w:t>
      </w:r>
      <w:r>
        <w:rPr>
          <w:rFonts w:ascii="Times New Roman" w:hAnsi="Times New Roman" w:cs="Times New Roman"/>
          <w:sz w:val="24"/>
          <w:szCs w:val="24"/>
          <w:u w:val="single"/>
        </w:rPr>
        <w:t xml:space="preserve"> SR</w:t>
      </w:r>
    </w:p>
    <w:p w:rsidR="00684D28" w:rsidP="00C362EA">
      <w:pPr>
        <w:pStyle w:val="BodyTextIndent3"/>
        <w:spacing w:line="240" w:lineRule="auto"/>
        <w:rPr>
          <w:rFonts w:ascii="Times New Roman" w:hAnsi="Times New Roman" w:cs="Times New Roman"/>
          <w:sz w:val="24"/>
          <w:szCs w:val="24"/>
          <w:u w:val="single"/>
        </w:rPr>
      </w:pPr>
    </w:p>
    <w:p w:rsidR="00D12369" w:rsidP="00D12369">
      <w:pPr>
        <w:pStyle w:val="BodyTextIndent3"/>
        <w:spacing w:line="240" w:lineRule="auto"/>
        <w:rPr>
          <w:rFonts w:ascii="Times New Roman" w:hAnsi="Times New Roman" w:cs="Times New Roman"/>
          <w:sz w:val="24"/>
          <w:szCs w:val="24"/>
        </w:rPr>
      </w:pPr>
      <w:r w:rsidR="00E132AC">
        <w:rPr>
          <w:rFonts w:ascii="Times New Roman" w:hAnsi="Times New Roman" w:cs="Times New Roman"/>
          <w:sz w:val="24"/>
          <w:szCs w:val="24"/>
        </w:rPr>
        <w:t xml:space="preserve">Výdavky na zahraničné pracovné cesty dosiahli 3 227 701,30 Sk a uskutočnilo sa spolu 269 zahraničných pracovných ciest. </w:t>
      </w:r>
    </w:p>
    <w:p w:rsidR="00E132AC" w:rsidP="00E132AC">
      <w:pPr>
        <w:pStyle w:val="BodyTextIndent3"/>
        <w:spacing w:line="240" w:lineRule="auto"/>
        <w:rPr>
          <w:rFonts w:ascii="Times New Roman" w:hAnsi="Times New Roman" w:cs="Times New Roman"/>
          <w:sz w:val="24"/>
          <w:szCs w:val="24"/>
        </w:rPr>
      </w:pPr>
      <w:r>
        <w:rPr>
          <w:rFonts w:ascii="Times New Roman" w:hAnsi="Times New Roman" w:cs="Times New Roman"/>
          <w:sz w:val="24"/>
          <w:szCs w:val="24"/>
        </w:rPr>
        <w:t>V roku 2007 pracovníci TÚ SR vykonali zahraničné pracovné cesty súvisiace s reprezentáciou SR, ktoré vyplývajú z nášho členstva v EÚ/ EK, NATO, CEPT a ITU. Zahraničné pracovné cesty zabezpečili dvojstranné a viacstranné medzinárodné styky s národnými telekomunikačnými regulačnými orgánmi. V rámci Medzinárodnej telekomuni-kačnej únie – ITU, sa TÚ SR zúčastnil na regionálnej rádiokomunikačnej konferencii, na WRC – svetovej rádiokomunikačnej konferencii, na odb. seminároch k problematike kmitoč-tového plánovania nových služieb, zberu a spracovania dát o telekomunikačnom trhu atď.</w:t>
      </w:r>
    </w:p>
    <w:p w:rsidR="00E132AC" w:rsidP="00E132AC">
      <w:pPr>
        <w:pStyle w:val="BodyTextIndent3"/>
        <w:spacing w:line="240" w:lineRule="auto"/>
        <w:rPr>
          <w:rFonts w:ascii="Times New Roman" w:hAnsi="Times New Roman" w:cs="Times New Roman"/>
          <w:sz w:val="24"/>
          <w:szCs w:val="24"/>
        </w:rPr>
      </w:pPr>
    </w:p>
    <w:p w:rsidR="00A124B1" w:rsidP="00A124B1">
      <w:pPr>
        <w:pStyle w:val="BodyTextIndent3"/>
        <w:spacing w:line="240" w:lineRule="auto"/>
        <w:ind w:left="360" w:firstLine="348"/>
        <w:rPr>
          <w:rFonts w:ascii="Times New Roman" w:hAnsi="Times New Roman" w:cs="Times New Roman"/>
          <w:sz w:val="24"/>
          <w:szCs w:val="24"/>
          <w:u w:val="single"/>
        </w:rPr>
      </w:pPr>
      <w:r w:rsidRPr="008E4C8D">
        <w:rPr>
          <w:rFonts w:ascii="Times New Roman" w:hAnsi="Times New Roman" w:cs="Times New Roman"/>
          <w:sz w:val="24"/>
          <w:szCs w:val="24"/>
          <w:u w:val="single"/>
        </w:rPr>
        <w:t>Poštový regulačný úrad</w:t>
      </w:r>
    </w:p>
    <w:p w:rsidR="00A124B1" w:rsidP="00A124B1">
      <w:pPr>
        <w:pStyle w:val="BodyTextIndent3"/>
        <w:spacing w:line="240" w:lineRule="auto"/>
        <w:ind w:left="360" w:firstLine="348"/>
        <w:rPr>
          <w:rFonts w:ascii="Times New Roman" w:hAnsi="Times New Roman" w:cs="Times New Roman"/>
          <w:sz w:val="24"/>
          <w:szCs w:val="24"/>
          <w:u w:val="single"/>
        </w:rPr>
      </w:pPr>
    </w:p>
    <w:p w:rsidR="00BB468A" w:rsidRPr="00BB468A" w:rsidP="00BB468A">
      <w:pPr>
        <w:pStyle w:val="BodyTextIndent3"/>
        <w:spacing w:line="240" w:lineRule="auto"/>
        <w:ind w:firstLine="0"/>
        <w:rPr>
          <w:rFonts w:ascii="Times New Roman" w:hAnsi="Times New Roman" w:cs="Times New Roman"/>
          <w:sz w:val="24"/>
          <w:szCs w:val="24"/>
        </w:rPr>
      </w:pPr>
      <w:r w:rsidRPr="00BB468A">
        <w:rPr>
          <w:rFonts w:ascii="Times New Roman" w:hAnsi="Times New Roman" w:cs="Times New Roman"/>
          <w:sz w:val="24"/>
          <w:szCs w:val="24"/>
        </w:rPr>
        <w:tab/>
        <w:t>V roku 2007</w:t>
      </w:r>
      <w:r>
        <w:rPr>
          <w:rFonts w:ascii="Times New Roman" w:hAnsi="Times New Roman" w:cs="Times New Roman"/>
          <w:sz w:val="24"/>
          <w:szCs w:val="24"/>
        </w:rPr>
        <w:t xml:space="preserve"> bolo uskutočnených 11 </w:t>
      </w:r>
      <w:r w:rsidR="00356D72">
        <w:rPr>
          <w:rFonts w:ascii="Times New Roman" w:hAnsi="Times New Roman" w:cs="Times New Roman"/>
          <w:sz w:val="24"/>
          <w:szCs w:val="24"/>
        </w:rPr>
        <w:t>zahraničných pracovných ciest. C</w:t>
      </w:r>
      <w:r>
        <w:rPr>
          <w:rFonts w:ascii="Times New Roman" w:hAnsi="Times New Roman" w:cs="Times New Roman"/>
          <w:sz w:val="24"/>
          <w:szCs w:val="24"/>
        </w:rPr>
        <w:t xml:space="preserve">elkové výdavky na ne predstavovali 399 095,46 </w:t>
      </w:r>
      <w:r w:rsidR="008551D7">
        <w:rPr>
          <w:rFonts w:ascii="Times New Roman" w:hAnsi="Times New Roman" w:cs="Times New Roman"/>
          <w:sz w:val="24"/>
          <w:szCs w:val="24"/>
        </w:rPr>
        <w:t>Sk. ZPC boli realizované na zasadnutia Výboru EK pre poštovú smernicu, pracovnej skupiny pre poštové služby pri Rade EÚ, na plenárne zasadnutia CERP- u, výstavu Postexpo, seminár nemeckého inštitútu WIK,</w:t>
      </w:r>
      <w:r w:rsidR="00FE2F30">
        <w:rPr>
          <w:rFonts w:ascii="Times New Roman" w:hAnsi="Times New Roman" w:cs="Times New Roman"/>
          <w:sz w:val="24"/>
          <w:szCs w:val="24"/>
        </w:rPr>
        <w:t xml:space="preserve"> na plenárne zasadnutie k normalizačným aktivitám CEN/TC 331 a na seminár k štúdiám Európskej komisie.  </w:t>
      </w:r>
      <w:r w:rsidR="008551D7">
        <w:rPr>
          <w:rFonts w:ascii="Times New Roman" w:hAnsi="Times New Roman" w:cs="Times New Roman"/>
          <w:sz w:val="24"/>
          <w:szCs w:val="24"/>
        </w:rPr>
        <w:t xml:space="preserve"> </w:t>
      </w:r>
      <w:r w:rsidRPr="00BB468A">
        <w:rPr>
          <w:rFonts w:ascii="Times New Roman" w:hAnsi="Times New Roman" w:cs="Times New Roman"/>
          <w:sz w:val="24"/>
          <w:szCs w:val="24"/>
        </w:rPr>
        <w:t xml:space="preserve"> </w:t>
      </w:r>
    </w:p>
    <w:p w:rsidR="00A82B43" w:rsidP="00BB468A">
      <w:pPr>
        <w:pStyle w:val="BodyTextIndent3"/>
        <w:spacing w:line="240" w:lineRule="auto"/>
        <w:ind w:firstLine="0"/>
        <w:rPr>
          <w:rFonts w:ascii="Times New Roman" w:hAnsi="Times New Roman" w:cs="Times New Roman"/>
          <w:sz w:val="24"/>
          <w:szCs w:val="24"/>
          <w:u w:val="single"/>
        </w:rPr>
      </w:pPr>
    </w:p>
    <w:p w:rsidR="00684D28" w:rsidP="00C362EA">
      <w:pPr>
        <w:pStyle w:val="BodyTextIndent3"/>
        <w:spacing w:line="240" w:lineRule="auto"/>
        <w:ind w:firstLine="0"/>
        <w:rPr>
          <w:rFonts w:ascii="Times New Roman" w:hAnsi="Times New Roman" w:cs="Times New Roman"/>
          <w:sz w:val="24"/>
          <w:szCs w:val="24"/>
          <w:u w:val="single"/>
        </w:rPr>
      </w:pPr>
      <w:r w:rsidRPr="00D23807">
        <w:rPr>
          <w:rFonts w:ascii="Times New Roman" w:hAnsi="Times New Roman" w:cs="Times New Roman"/>
          <w:sz w:val="24"/>
          <w:szCs w:val="24"/>
        </w:rPr>
        <w:tab/>
      </w:r>
      <w:r w:rsidRPr="00D23807">
        <w:rPr>
          <w:rFonts w:ascii="Times New Roman" w:hAnsi="Times New Roman" w:cs="Times New Roman"/>
          <w:sz w:val="24"/>
          <w:szCs w:val="24"/>
          <w:u w:val="single"/>
        </w:rPr>
        <w:t>Letecký úrad</w:t>
      </w:r>
      <w:r>
        <w:rPr>
          <w:rFonts w:ascii="Times New Roman" w:hAnsi="Times New Roman" w:cs="Times New Roman"/>
          <w:sz w:val="24"/>
          <w:szCs w:val="24"/>
          <w:u w:val="single"/>
        </w:rPr>
        <w:t xml:space="preserve"> SR</w:t>
      </w:r>
    </w:p>
    <w:p w:rsidR="004A63A5" w:rsidP="00C362EA">
      <w:pPr>
        <w:pStyle w:val="BodyTextIndent3"/>
        <w:spacing w:line="240" w:lineRule="auto"/>
        <w:ind w:firstLine="0"/>
        <w:rPr>
          <w:rFonts w:ascii="Times New Roman" w:hAnsi="Times New Roman" w:cs="Times New Roman"/>
          <w:sz w:val="24"/>
          <w:szCs w:val="24"/>
          <w:u w:val="single"/>
        </w:rPr>
      </w:pPr>
    </w:p>
    <w:p w:rsidR="004A63A5" w:rsidP="004A63A5">
      <w:pPr>
        <w:pStyle w:val="BodyTextIndent3"/>
        <w:spacing w:line="240" w:lineRule="auto"/>
        <w:rPr>
          <w:rFonts w:ascii="Times New Roman" w:hAnsi="Times New Roman" w:cs="Times New Roman"/>
          <w:sz w:val="24"/>
          <w:szCs w:val="24"/>
        </w:rPr>
      </w:pPr>
      <w:r>
        <w:rPr>
          <w:rFonts w:ascii="Times New Roman" w:hAnsi="Times New Roman" w:cs="Times New Roman"/>
          <w:sz w:val="24"/>
          <w:szCs w:val="24"/>
        </w:rPr>
        <w:t xml:space="preserve">Výdavky na zahraničné pracovné cesty LÚ SR v roku 2007 dosiahli 3 352 516,98 </w:t>
      </w:r>
      <w:r w:rsidRPr="00700DE0">
        <w:rPr>
          <w:rFonts w:ascii="Times New Roman" w:hAnsi="Times New Roman" w:cs="Times New Roman"/>
          <w:sz w:val="24"/>
          <w:szCs w:val="24"/>
        </w:rPr>
        <w:t>Sk</w:t>
      </w:r>
      <w:r>
        <w:rPr>
          <w:rFonts w:ascii="Times New Roman" w:hAnsi="Times New Roman" w:cs="Times New Roman"/>
          <w:sz w:val="24"/>
          <w:szCs w:val="24"/>
        </w:rPr>
        <w:t xml:space="preserve"> a súviseli</w:t>
      </w:r>
      <w:r w:rsidRPr="000B0012">
        <w:rPr>
          <w:rFonts w:ascii="Times New Roman" w:hAnsi="Times New Roman" w:cs="Times New Roman"/>
          <w:sz w:val="24"/>
          <w:szCs w:val="24"/>
        </w:rPr>
        <w:t xml:space="preserve"> </w:t>
      </w:r>
      <w:r>
        <w:rPr>
          <w:rFonts w:ascii="Times New Roman" w:hAnsi="Times New Roman" w:cs="Times New Roman"/>
          <w:sz w:val="24"/>
          <w:szCs w:val="24"/>
        </w:rPr>
        <w:t xml:space="preserve">hlavne </w:t>
      </w:r>
      <w:r w:rsidRPr="000B0012">
        <w:rPr>
          <w:rFonts w:ascii="Times New Roman" w:hAnsi="Times New Roman" w:cs="Times New Roman"/>
          <w:sz w:val="24"/>
          <w:szCs w:val="24"/>
        </w:rPr>
        <w:t>s činnosťou určených pracovníkov úradu vo výboroch a pracovných skupinách medzinárodných organizácií civilného letectva (ICAO, ECAC, JAA, EUROCONTROL vrátane príslušných orgánov Spol</w:t>
      </w:r>
      <w:r>
        <w:rPr>
          <w:rFonts w:ascii="Times New Roman" w:hAnsi="Times New Roman" w:cs="Times New Roman"/>
          <w:sz w:val="24"/>
          <w:szCs w:val="24"/>
        </w:rPr>
        <w:t xml:space="preserve">očenstva (EASA, ECCAIRS, SES). Ďalej sa uskutočnili zahraničné školenia v súvislosti </w:t>
      </w:r>
      <w:r w:rsidRPr="000B0012">
        <w:rPr>
          <w:rFonts w:ascii="Times New Roman" w:hAnsi="Times New Roman" w:cs="Times New Roman"/>
          <w:sz w:val="24"/>
          <w:szCs w:val="24"/>
        </w:rPr>
        <w:t>s implementáciou novej legislatív</w:t>
      </w:r>
      <w:r>
        <w:rPr>
          <w:rFonts w:ascii="Times New Roman" w:hAnsi="Times New Roman" w:cs="Times New Roman"/>
          <w:sz w:val="24"/>
          <w:szCs w:val="24"/>
        </w:rPr>
        <w:t>y Spoločenstva , zahr</w:t>
      </w:r>
      <w:r w:rsidR="00356D72">
        <w:rPr>
          <w:rFonts w:ascii="Times New Roman" w:hAnsi="Times New Roman" w:cs="Times New Roman"/>
          <w:sz w:val="24"/>
          <w:szCs w:val="24"/>
        </w:rPr>
        <w:t xml:space="preserve">aničné </w:t>
      </w:r>
      <w:r>
        <w:rPr>
          <w:rFonts w:ascii="Times New Roman" w:hAnsi="Times New Roman" w:cs="Times New Roman"/>
          <w:sz w:val="24"/>
          <w:szCs w:val="24"/>
        </w:rPr>
        <w:t xml:space="preserve">cesty spojené </w:t>
      </w:r>
      <w:r w:rsidRPr="000B0012">
        <w:rPr>
          <w:rFonts w:ascii="Times New Roman" w:hAnsi="Times New Roman" w:cs="Times New Roman"/>
          <w:sz w:val="24"/>
          <w:szCs w:val="24"/>
        </w:rPr>
        <w:t>priamo s kontrolo</w:t>
      </w:r>
      <w:r w:rsidR="00356D72">
        <w:rPr>
          <w:rFonts w:ascii="Times New Roman" w:hAnsi="Times New Roman" w:cs="Times New Roman"/>
          <w:sz w:val="24"/>
          <w:szCs w:val="24"/>
        </w:rPr>
        <w:t xml:space="preserve">u subjektov civilného letectva, rokovania </w:t>
      </w:r>
      <w:r w:rsidRPr="000B0012">
        <w:rPr>
          <w:rFonts w:ascii="Times New Roman" w:hAnsi="Times New Roman" w:cs="Times New Roman"/>
          <w:sz w:val="24"/>
          <w:szCs w:val="24"/>
        </w:rPr>
        <w:t xml:space="preserve">s partnerskými </w:t>
      </w:r>
      <w:r>
        <w:rPr>
          <w:rFonts w:ascii="Times New Roman" w:hAnsi="Times New Roman" w:cs="Times New Roman"/>
          <w:sz w:val="24"/>
          <w:szCs w:val="24"/>
        </w:rPr>
        <w:t xml:space="preserve">leteckými úradmi, konferencie, </w:t>
      </w:r>
      <w:r w:rsidRPr="000B0012">
        <w:rPr>
          <w:rFonts w:ascii="Times New Roman" w:hAnsi="Times New Roman" w:cs="Times New Roman"/>
          <w:sz w:val="24"/>
          <w:szCs w:val="24"/>
        </w:rPr>
        <w:t>prezentačné</w:t>
      </w:r>
      <w:r>
        <w:rPr>
          <w:rFonts w:ascii="Times New Roman" w:hAnsi="Times New Roman" w:cs="Times New Roman"/>
          <w:sz w:val="24"/>
          <w:szCs w:val="24"/>
        </w:rPr>
        <w:t xml:space="preserve"> výstavy atď..  </w:t>
      </w:r>
    </w:p>
    <w:p w:rsidR="00684D28" w:rsidP="00C362EA">
      <w:pPr>
        <w:pStyle w:val="BodyTextIndent3"/>
        <w:spacing w:line="240" w:lineRule="auto"/>
        <w:ind w:left="360" w:firstLine="348"/>
        <w:rPr>
          <w:rFonts w:ascii="Times New Roman" w:hAnsi="Times New Roman" w:cs="Times New Roman"/>
          <w:sz w:val="24"/>
          <w:szCs w:val="24"/>
          <w:u w:val="single"/>
        </w:rPr>
      </w:pPr>
    </w:p>
    <w:p w:rsidR="00B90C06" w:rsidP="0087734A">
      <w:pPr>
        <w:pStyle w:val="BodyTextIndent3"/>
        <w:spacing w:line="240" w:lineRule="auto"/>
        <w:rPr>
          <w:rFonts w:ascii="Times New Roman" w:hAnsi="Times New Roman" w:cs="Times New Roman"/>
          <w:sz w:val="24"/>
          <w:szCs w:val="24"/>
          <w:u w:val="single"/>
        </w:rPr>
      </w:pPr>
      <w:r w:rsidRPr="0087734A">
        <w:rPr>
          <w:rFonts w:ascii="Times New Roman" w:hAnsi="Times New Roman" w:cs="Times New Roman"/>
          <w:sz w:val="24"/>
          <w:szCs w:val="24"/>
          <w:u w:val="single"/>
        </w:rPr>
        <w:t xml:space="preserve">Úrad verejného zdravotníctva MDPT SR </w:t>
      </w:r>
    </w:p>
    <w:p w:rsidR="0087734A" w:rsidRPr="0087734A" w:rsidP="0087734A">
      <w:pPr>
        <w:pStyle w:val="BodyTextIndent3"/>
        <w:spacing w:line="240" w:lineRule="auto"/>
        <w:rPr>
          <w:rFonts w:ascii="Times New Roman" w:hAnsi="Times New Roman" w:cs="Times New Roman"/>
          <w:sz w:val="24"/>
          <w:szCs w:val="24"/>
          <w:u w:val="single"/>
        </w:rPr>
      </w:pPr>
    </w:p>
    <w:p w:rsidR="0087734A" w:rsidP="0087734A">
      <w:pPr>
        <w:pStyle w:val="Header"/>
        <w:tabs>
          <w:tab w:val="clear" w:pos="4536"/>
          <w:tab w:val="clear" w:pos="9072"/>
        </w:tabs>
        <w:spacing w:line="240" w:lineRule="auto"/>
        <w:rPr>
          <w:rFonts w:ascii="Times New Roman" w:hAnsi="Times New Roman" w:cs="Times New Roman"/>
          <w:sz w:val="24"/>
          <w:szCs w:val="24"/>
        </w:rPr>
      </w:pPr>
      <w:r w:rsidRPr="0087734A">
        <w:rPr>
          <w:rFonts w:ascii="Times New Roman" w:hAnsi="Times New Roman" w:cs="Times New Roman"/>
          <w:sz w:val="24"/>
          <w:szCs w:val="24"/>
        </w:rPr>
        <w:t xml:space="preserve">     </w:t>
      </w:r>
      <w:r w:rsidR="00E24794">
        <w:rPr>
          <w:rFonts w:ascii="Times New Roman" w:hAnsi="Times New Roman" w:cs="Times New Roman"/>
          <w:sz w:val="24"/>
          <w:szCs w:val="24"/>
        </w:rPr>
        <w:tab/>
      </w:r>
      <w:r w:rsidRPr="0087734A">
        <w:rPr>
          <w:rFonts w:ascii="Times New Roman" w:hAnsi="Times New Roman" w:cs="Times New Roman"/>
          <w:sz w:val="24"/>
          <w:szCs w:val="24"/>
        </w:rPr>
        <w:t xml:space="preserve">V roku 2007 </w:t>
      </w:r>
      <w:r>
        <w:rPr>
          <w:rFonts w:ascii="Times New Roman" w:hAnsi="Times New Roman" w:cs="Times New Roman"/>
          <w:sz w:val="24"/>
          <w:szCs w:val="24"/>
        </w:rPr>
        <w:t xml:space="preserve">bolo na zahraničné pracovné cesty vyčerpaných 29 311,53 Sk a </w:t>
      </w:r>
      <w:r w:rsidRPr="0087734A">
        <w:rPr>
          <w:rFonts w:ascii="Times New Roman" w:hAnsi="Times New Roman" w:cs="Times New Roman"/>
          <w:sz w:val="24"/>
          <w:szCs w:val="24"/>
        </w:rPr>
        <w:t xml:space="preserve">11 pracovníkov </w:t>
      </w:r>
      <w:r>
        <w:rPr>
          <w:rFonts w:ascii="Times New Roman" w:hAnsi="Times New Roman" w:cs="Times New Roman"/>
          <w:sz w:val="24"/>
          <w:szCs w:val="24"/>
        </w:rPr>
        <w:t xml:space="preserve">sa </w:t>
      </w:r>
      <w:r w:rsidRPr="0087734A">
        <w:rPr>
          <w:rFonts w:ascii="Times New Roman" w:hAnsi="Times New Roman" w:cs="Times New Roman"/>
          <w:sz w:val="24"/>
          <w:szCs w:val="24"/>
        </w:rPr>
        <w:t>zúčastnilo na štyroch pracovn</w:t>
      </w:r>
      <w:r w:rsidR="00E24794">
        <w:rPr>
          <w:rFonts w:ascii="Times New Roman" w:hAnsi="Times New Roman" w:cs="Times New Roman"/>
          <w:sz w:val="24"/>
          <w:szCs w:val="24"/>
        </w:rPr>
        <w:t>ých cestách do Českej republiky.</w:t>
      </w:r>
      <w:r>
        <w:rPr>
          <w:rFonts w:ascii="Times New Roman" w:hAnsi="Times New Roman" w:cs="Times New Roman"/>
          <w:sz w:val="24"/>
          <w:szCs w:val="24"/>
        </w:rPr>
        <w:t xml:space="preserve"> </w:t>
      </w:r>
    </w:p>
    <w:p w:rsidR="00B90C06" w:rsidRPr="0087734A" w:rsidP="00B90C06">
      <w:pPr>
        <w:pStyle w:val="BodyTextIndent3"/>
        <w:spacing w:line="240" w:lineRule="auto"/>
        <w:ind w:firstLine="0"/>
        <w:rPr>
          <w:rFonts w:ascii="Times New Roman" w:hAnsi="Times New Roman" w:cs="Times New Roman"/>
          <w:sz w:val="24"/>
          <w:szCs w:val="24"/>
          <w:u w:val="single"/>
        </w:rPr>
      </w:pPr>
      <w:r w:rsidRPr="0087734A" w:rsidR="0087734A">
        <w:rPr>
          <w:rFonts w:ascii="Times New Roman" w:hAnsi="Times New Roman" w:cs="Times New Roman"/>
          <w:sz w:val="24"/>
          <w:szCs w:val="24"/>
        </w:rPr>
        <w:t xml:space="preserve">     </w:t>
      </w:r>
    </w:p>
    <w:p w:rsidR="00684D28" w:rsidP="00F17973">
      <w:pPr>
        <w:pStyle w:val="BodyTextIndent3"/>
        <w:spacing w:line="240" w:lineRule="auto"/>
        <w:rPr>
          <w:rFonts w:ascii="Times New Roman" w:hAnsi="Times New Roman" w:cs="Times New Roman"/>
          <w:sz w:val="24"/>
          <w:szCs w:val="24"/>
        </w:rPr>
      </w:pPr>
      <w:r w:rsidRPr="00D23807">
        <w:rPr>
          <w:rFonts w:ascii="Times New Roman" w:hAnsi="Times New Roman" w:cs="Times New Roman"/>
          <w:sz w:val="24"/>
          <w:szCs w:val="24"/>
          <w:u w:val="single"/>
        </w:rPr>
        <w:t>Krajské úrady pre cestnú dopravu a pozemné komunikácie</w:t>
      </w:r>
      <w:r>
        <w:rPr>
          <w:rFonts w:ascii="Times New Roman" w:hAnsi="Times New Roman" w:cs="Times New Roman"/>
          <w:sz w:val="24"/>
          <w:szCs w:val="24"/>
        </w:rPr>
        <w:t xml:space="preserve"> </w:t>
      </w:r>
    </w:p>
    <w:p w:rsidR="00902A13" w:rsidP="00F17973">
      <w:pPr>
        <w:pStyle w:val="BodyTextIndent3"/>
        <w:spacing w:line="240" w:lineRule="auto"/>
        <w:rPr>
          <w:rFonts w:ascii="Times New Roman" w:hAnsi="Times New Roman" w:cs="Times New Roman"/>
          <w:sz w:val="24"/>
          <w:szCs w:val="24"/>
        </w:rPr>
      </w:pPr>
    </w:p>
    <w:p w:rsidR="00573426" w:rsidP="00F17973">
      <w:pPr>
        <w:pStyle w:val="BodyTextIndent3"/>
        <w:spacing w:line="240" w:lineRule="auto"/>
        <w:rPr>
          <w:rFonts w:ascii="Times New Roman" w:hAnsi="Times New Roman" w:cs="Times New Roman"/>
          <w:sz w:val="24"/>
          <w:szCs w:val="24"/>
        </w:rPr>
      </w:pPr>
      <w:r>
        <w:rPr>
          <w:rFonts w:ascii="Times New Roman" w:hAnsi="Times New Roman" w:cs="Times New Roman"/>
          <w:sz w:val="24"/>
          <w:szCs w:val="24"/>
        </w:rPr>
        <w:t xml:space="preserve">Zamestnanci krajských úradov v roku 2007 nerealizovali zahraničné služobné cesty. </w:t>
      </w:r>
    </w:p>
    <w:p w:rsidR="00573426" w:rsidRPr="00F17973" w:rsidP="00573426">
      <w:pPr>
        <w:pStyle w:val="BodyTextIndent3"/>
        <w:spacing w:line="240" w:lineRule="auto"/>
        <w:ind w:firstLine="0"/>
        <w:rPr>
          <w:rFonts w:ascii="Times New Roman" w:hAnsi="Times New Roman" w:cs="Times New Roman"/>
          <w:sz w:val="24"/>
          <w:szCs w:val="24"/>
        </w:rPr>
      </w:pPr>
    </w:p>
    <w:p w:rsidR="00241878" w:rsidRPr="00D23807" w:rsidP="00E41D2F">
      <w:pPr>
        <w:pStyle w:val="Heading7"/>
        <w:pBdr>
          <w:top w:val="thinThickLargeGap" w:sz="24" w:space="0" w:color="auto" w:shadow="1"/>
          <w:left w:val="thinThickLargeGap" w:sz="24" w:space="1" w:color="auto" w:shadow="1"/>
          <w:bottom w:val="thinThickLargeGap" w:sz="24" w:space="1" w:color="auto" w:shadow="1"/>
          <w:right w:val="thinThickLargeGap" w:sz="24" w:space="1" w:color="auto" w:shadow="1"/>
        </w:pBdr>
        <w:shd w:val="pct15" w:color="000000" w:fill="FFFFFF"/>
        <w:spacing w:line="240" w:lineRule="auto"/>
        <w:rPr>
          <w:rFonts w:ascii="Times New Roman" w:hAnsi="Times New Roman" w:cs="Times New Roman"/>
          <w:i w:val="0"/>
        </w:rPr>
      </w:pPr>
      <w:r>
        <w:rPr>
          <w:rFonts w:ascii="Times New Roman" w:hAnsi="Times New Roman" w:cs="Times New Roman"/>
          <w:i w:val="0"/>
        </w:rPr>
        <w:t>1.3</w:t>
      </w:r>
      <w:r w:rsidRPr="00D23807">
        <w:rPr>
          <w:rFonts w:ascii="Times New Roman" w:hAnsi="Times New Roman" w:cs="Times New Roman"/>
          <w:i w:val="0"/>
        </w:rPr>
        <w:t>.</w:t>
      </w:r>
      <w:r>
        <w:rPr>
          <w:rFonts w:ascii="Times New Roman" w:hAnsi="Times New Roman" w:cs="Times New Roman"/>
          <w:i w:val="0"/>
        </w:rPr>
        <w:t>3</w:t>
      </w:r>
      <w:r w:rsidRPr="00D23807">
        <w:rPr>
          <w:rFonts w:ascii="Times New Roman" w:hAnsi="Times New Roman" w:cs="Times New Roman"/>
          <w:i w:val="0"/>
        </w:rPr>
        <w:t xml:space="preserve"> Vy</w:t>
      </w:r>
      <w:r>
        <w:rPr>
          <w:rFonts w:ascii="Times New Roman" w:hAnsi="Times New Roman" w:cs="Times New Roman"/>
          <w:i w:val="0"/>
        </w:rPr>
        <w:t xml:space="preserve">hodnotenie plnenia </w:t>
      </w:r>
      <w:r w:rsidRPr="00D23807">
        <w:rPr>
          <w:rFonts w:ascii="Times New Roman" w:hAnsi="Times New Roman" w:cs="Times New Roman"/>
          <w:i w:val="0"/>
        </w:rPr>
        <w:t>progra</w:t>
      </w:r>
      <w:r>
        <w:rPr>
          <w:rFonts w:ascii="Times New Roman" w:hAnsi="Times New Roman" w:cs="Times New Roman"/>
          <w:i w:val="0"/>
        </w:rPr>
        <w:t>movej štruktúry kapitoly</w:t>
      </w:r>
    </w:p>
    <w:p w:rsidR="00575536" w:rsidP="00C362EA">
      <w:pPr>
        <w:spacing w:line="240" w:lineRule="auto"/>
        <w:rPr>
          <w:rFonts w:ascii="Arial Narrow" w:hAnsi="Arial Narrow" w:cs="Times New Roman"/>
          <w:sz w:val="18"/>
          <w:szCs w:val="18"/>
        </w:rPr>
      </w:pPr>
    </w:p>
    <w:p w:rsidR="0011736A" w:rsidRPr="00EB3F89" w:rsidP="0011736A">
      <w:pPr>
        <w:spacing w:line="240" w:lineRule="auto"/>
        <w:jc w:val="center"/>
        <w:rPr>
          <w:rFonts w:ascii="Times New Roman" w:hAnsi="Times New Roman" w:cs="Times New Roman"/>
          <w:b/>
          <w:sz w:val="28"/>
        </w:rPr>
      </w:pPr>
      <w:r w:rsidRPr="00D23807">
        <w:rPr>
          <w:rFonts w:ascii="Times New Roman" w:hAnsi="Times New Roman" w:cs="Times New Roman"/>
          <w:sz w:val="24"/>
          <w:szCs w:val="24"/>
        </w:rPr>
        <w:t>Výsledky hospodárenia kapitoly z hľadiska programovej štrukt</w:t>
      </w:r>
      <w:r>
        <w:rPr>
          <w:rFonts w:ascii="Times New Roman" w:hAnsi="Times New Roman" w:cs="Times New Roman"/>
          <w:sz w:val="24"/>
          <w:szCs w:val="24"/>
        </w:rPr>
        <w:t>úry kapitoly MDPT SR na rok 2007 sú uvedené v nasledujúcej tabuľke</w:t>
      </w:r>
      <w:r w:rsidRPr="00D23807">
        <w:rPr>
          <w:rFonts w:ascii="Times New Roman" w:hAnsi="Times New Roman" w:cs="Times New Roman"/>
          <w:sz w:val="24"/>
          <w:szCs w:val="24"/>
        </w:rPr>
        <w:t>:</w:t>
      </w:r>
      <w:r>
        <w:rPr>
          <w:rFonts w:ascii="Times New Roman" w:hAnsi="Times New Roman" w:cs="Times New Roman"/>
          <w:sz w:val="24"/>
          <w:szCs w:val="24"/>
        </w:rPr>
        <w:t xml:space="preserve"> </w:t>
      </w:r>
    </w:p>
    <w:p w:rsidR="0011736A" w:rsidRPr="00DF2927" w:rsidP="0011736A">
      <w:pPr>
        <w:spacing w:line="240" w:lineRule="auto"/>
        <w:rPr>
          <w:rFonts w:ascii="Arial Narrow" w:hAnsi="Arial Narrow" w:cs="Times New Roman"/>
          <w:sz w:val="18"/>
          <w:szCs w:val="18"/>
        </w:rPr>
      </w:pPr>
      <w:r>
        <w:rPr>
          <w:rFonts w:ascii="Arial Narrow" w:hAnsi="Arial Narrow" w:cs="Times New Roman"/>
          <w:sz w:val="18"/>
          <w:szCs w:val="18"/>
        </w:rPr>
        <w:t xml:space="preserve">                                                                                                                                                                                                              </w:t>
      </w:r>
      <w:r w:rsidRPr="00DF2927">
        <w:rPr>
          <w:rFonts w:ascii="Arial Narrow" w:hAnsi="Arial Narrow" w:cs="Times New Roman"/>
          <w:sz w:val="18"/>
          <w:szCs w:val="18"/>
        </w:rPr>
        <w:t>(v tis. Sk)</w:t>
      </w:r>
    </w:p>
    <w:tbl>
      <w:tblPr>
        <w:tblW w:w="9295" w:type="dxa"/>
        <w:tblInd w:w="55" w:type="dxa"/>
        <w:tblCellMar>
          <w:left w:w="70" w:type="dxa"/>
          <w:right w:w="70" w:type="dxa"/>
        </w:tblCellMar>
      </w:tblPr>
      <w:tblGrid>
        <w:gridCol w:w="772"/>
        <w:gridCol w:w="4823"/>
        <w:gridCol w:w="940"/>
        <w:gridCol w:w="960"/>
        <w:gridCol w:w="960"/>
        <w:gridCol w:w="840"/>
      </w:tblGrid>
      <w:tr>
        <w:tblPrEx>
          <w:tblW w:w="9295" w:type="dxa"/>
          <w:tblInd w:w="55" w:type="dxa"/>
          <w:tblCellMar>
            <w:left w:w="70" w:type="dxa"/>
            <w:right w:w="70" w:type="dxa"/>
          </w:tblCellMar>
        </w:tblPrEx>
        <w:trPr>
          <w:trHeight w:val="435"/>
        </w:trPr>
        <w:tc>
          <w:tcPr>
            <w:tcW w:w="772" w:type="dxa"/>
            <w:vMerge w:val="restart"/>
            <w:tcBorders>
              <w:top w:val="single" w:sz="12" w:space="0" w:color="auto"/>
              <w:left w:val="single" w:sz="12" w:space="0" w:color="auto"/>
              <w:bottom w:val="single" w:sz="12" w:space="0" w:color="auto"/>
              <w:right w:val="nil"/>
              <w:tl2br w:val="nil"/>
              <w:tr2bl w:val="nil"/>
            </w:tcBorders>
            <w:shd w:val="clear" w:color="auto" w:fill="C0C0C0"/>
            <w:textDirection w:val="lrTb"/>
            <w:vAlign w:val="center"/>
          </w:tcPr>
          <w:p w:rsidR="0011736A" w:rsidRPr="0086352B" w:rsidP="0011736A">
            <w:pPr>
              <w:spacing w:line="240" w:lineRule="auto"/>
              <w:jc w:val="center"/>
              <w:rPr>
                <w:rFonts w:ascii="Arial Narrow" w:hAnsi="Arial Narrow" w:cs="Arial"/>
                <w:b/>
                <w:bCs/>
                <w:sz w:val="18"/>
                <w:szCs w:val="18"/>
                <w:lang w:val="cs-CZ"/>
              </w:rPr>
            </w:pPr>
            <w:r w:rsidRPr="0086352B">
              <w:rPr>
                <w:rFonts w:ascii="Arial Narrow" w:hAnsi="Arial Narrow" w:cs="Arial"/>
                <w:b/>
                <w:bCs/>
                <w:sz w:val="18"/>
                <w:szCs w:val="18"/>
              </w:rPr>
              <w:t>Kód progr.</w:t>
            </w:r>
          </w:p>
        </w:tc>
        <w:tc>
          <w:tcPr>
            <w:tcW w:w="4823" w:type="dxa"/>
            <w:vMerge w:val="restart"/>
            <w:tcBorders>
              <w:top w:val="single" w:sz="12" w:space="0" w:color="auto"/>
              <w:left w:val="single" w:sz="8" w:space="0" w:color="auto"/>
              <w:bottom w:val="single" w:sz="12" w:space="0" w:color="auto"/>
              <w:right w:val="single" w:sz="8" w:space="0" w:color="auto"/>
              <w:tl2br w:val="nil"/>
              <w:tr2bl w:val="nil"/>
            </w:tcBorders>
            <w:shd w:val="clear" w:color="auto" w:fill="C0C0C0"/>
            <w:textDirection w:val="lrTb"/>
            <w:vAlign w:val="center"/>
          </w:tcPr>
          <w:p w:rsidR="0011736A" w:rsidRPr="0086352B" w:rsidP="0011736A">
            <w:pPr>
              <w:spacing w:line="240" w:lineRule="auto"/>
              <w:jc w:val="center"/>
              <w:rPr>
                <w:rFonts w:ascii="Arial Narrow" w:hAnsi="Arial Narrow" w:cs="Arial"/>
                <w:b/>
                <w:bCs/>
                <w:sz w:val="18"/>
                <w:szCs w:val="18"/>
                <w:lang w:val="cs-CZ"/>
              </w:rPr>
            </w:pPr>
            <w:r w:rsidRPr="0086352B">
              <w:rPr>
                <w:rFonts w:ascii="Arial Narrow" w:hAnsi="Arial Narrow" w:cs="Arial"/>
                <w:b/>
                <w:bCs/>
                <w:sz w:val="18"/>
                <w:szCs w:val="18"/>
              </w:rPr>
              <w:t xml:space="preserve">Názov </w:t>
            </w:r>
          </w:p>
        </w:tc>
        <w:tc>
          <w:tcPr>
            <w:tcW w:w="940" w:type="dxa"/>
            <w:vMerge w:val="restart"/>
            <w:tcBorders>
              <w:top w:val="single" w:sz="12" w:space="0" w:color="auto"/>
              <w:left w:val="single" w:sz="8" w:space="0" w:color="auto"/>
              <w:bottom w:val="single" w:sz="12" w:space="0" w:color="auto"/>
              <w:right w:val="single" w:sz="8" w:space="0" w:color="auto"/>
              <w:tl2br w:val="nil"/>
              <w:tr2bl w:val="nil"/>
            </w:tcBorders>
            <w:shd w:val="clear" w:color="auto" w:fill="C0C0C0"/>
            <w:textDirection w:val="lrTb"/>
            <w:vAlign w:val="center"/>
          </w:tcPr>
          <w:p w:rsidR="0011736A" w:rsidRPr="0086352B" w:rsidP="0011736A">
            <w:pPr>
              <w:spacing w:line="240" w:lineRule="auto"/>
              <w:jc w:val="center"/>
              <w:rPr>
                <w:rFonts w:ascii="Arial Narrow" w:hAnsi="Arial Narrow" w:cs="Arial"/>
                <w:b/>
                <w:bCs/>
                <w:sz w:val="18"/>
                <w:szCs w:val="18"/>
                <w:lang w:val="cs-CZ"/>
              </w:rPr>
            </w:pPr>
            <w:r w:rsidRPr="0086352B">
              <w:rPr>
                <w:rFonts w:ascii="Arial Narrow" w:hAnsi="Arial Narrow" w:cs="Arial"/>
                <w:b/>
                <w:bCs/>
                <w:sz w:val="18"/>
                <w:szCs w:val="18"/>
              </w:rPr>
              <w:t>Schválený rozpočet 200</w:t>
            </w:r>
            <w:r>
              <w:rPr>
                <w:rFonts w:ascii="Arial Narrow" w:hAnsi="Arial Narrow" w:cs="Arial"/>
                <w:b/>
                <w:bCs/>
                <w:sz w:val="18"/>
                <w:szCs w:val="18"/>
              </w:rPr>
              <w:t>7</w:t>
            </w:r>
          </w:p>
        </w:tc>
        <w:tc>
          <w:tcPr>
            <w:tcW w:w="960" w:type="dxa"/>
            <w:vMerge w:val="restart"/>
            <w:tcBorders>
              <w:top w:val="single" w:sz="12" w:space="0" w:color="auto"/>
              <w:left w:val="single" w:sz="8" w:space="0" w:color="auto"/>
              <w:bottom w:val="single" w:sz="12" w:space="0" w:color="auto"/>
              <w:right w:val="single" w:sz="8" w:space="0" w:color="auto"/>
              <w:tl2br w:val="nil"/>
              <w:tr2bl w:val="nil"/>
            </w:tcBorders>
            <w:shd w:val="clear" w:color="auto" w:fill="C0C0C0"/>
            <w:textDirection w:val="lrTb"/>
            <w:vAlign w:val="center"/>
          </w:tcPr>
          <w:p w:rsidR="0011736A" w:rsidRPr="0086352B" w:rsidP="0011736A">
            <w:pPr>
              <w:spacing w:line="240" w:lineRule="auto"/>
              <w:jc w:val="center"/>
              <w:rPr>
                <w:rFonts w:ascii="Arial Narrow" w:hAnsi="Arial Narrow" w:cs="Arial"/>
                <w:b/>
                <w:bCs/>
                <w:sz w:val="18"/>
                <w:szCs w:val="18"/>
                <w:lang w:val="cs-CZ"/>
              </w:rPr>
            </w:pPr>
            <w:r w:rsidRPr="0086352B">
              <w:rPr>
                <w:rFonts w:ascii="Arial Narrow" w:hAnsi="Arial Narrow" w:cs="Arial"/>
                <w:b/>
                <w:bCs/>
                <w:sz w:val="18"/>
                <w:szCs w:val="18"/>
              </w:rPr>
              <w:t>Upravený rozpočet k 31.12.200</w:t>
            </w:r>
            <w:r>
              <w:rPr>
                <w:rFonts w:ascii="Arial Narrow" w:hAnsi="Arial Narrow" w:cs="Arial"/>
                <w:b/>
                <w:bCs/>
                <w:sz w:val="18"/>
                <w:szCs w:val="18"/>
              </w:rPr>
              <w:t>7</w:t>
            </w:r>
          </w:p>
        </w:tc>
        <w:tc>
          <w:tcPr>
            <w:tcW w:w="960" w:type="dxa"/>
            <w:vMerge w:val="restart"/>
            <w:tcBorders>
              <w:top w:val="single" w:sz="12" w:space="0" w:color="auto"/>
              <w:left w:val="single" w:sz="8" w:space="0" w:color="auto"/>
              <w:bottom w:val="single" w:sz="12" w:space="0" w:color="auto"/>
              <w:right w:val="single" w:sz="8" w:space="0" w:color="auto"/>
              <w:tl2br w:val="nil"/>
              <w:tr2bl w:val="nil"/>
            </w:tcBorders>
            <w:shd w:val="clear" w:color="auto" w:fill="C0C0C0"/>
            <w:textDirection w:val="lrTb"/>
            <w:vAlign w:val="center"/>
          </w:tcPr>
          <w:p w:rsidR="0011736A" w:rsidRPr="0086352B" w:rsidP="0011736A">
            <w:pPr>
              <w:spacing w:line="240" w:lineRule="auto"/>
              <w:jc w:val="center"/>
              <w:rPr>
                <w:rFonts w:ascii="Arial Narrow" w:hAnsi="Arial Narrow" w:cs="Arial"/>
                <w:b/>
                <w:bCs/>
                <w:sz w:val="18"/>
                <w:szCs w:val="18"/>
                <w:lang w:val="cs-CZ"/>
              </w:rPr>
            </w:pPr>
            <w:r w:rsidRPr="0086352B">
              <w:rPr>
                <w:rFonts w:ascii="Arial Narrow" w:hAnsi="Arial Narrow" w:cs="Arial"/>
                <w:b/>
                <w:bCs/>
                <w:sz w:val="18"/>
                <w:szCs w:val="18"/>
              </w:rPr>
              <w:t>Skutočné čerpanie k 31.12.200</w:t>
            </w:r>
            <w:r>
              <w:rPr>
                <w:rFonts w:ascii="Arial Narrow" w:hAnsi="Arial Narrow" w:cs="Arial"/>
                <w:b/>
                <w:bCs/>
                <w:sz w:val="18"/>
                <w:szCs w:val="18"/>
              </w:rPr>
              <w:t>7</w:t>
            </w:r>
          </w:p>
        </w:tc>
        <w:tc>
          <w:tcPr>
            <w:tcW w:w="840" w:type="dxa"/>
            <w:vMerge w:val="restart"/>
            <w:tcBorders>
              <w:top w:val="single" w:sz="12" w:space="0" w:color="auto"/>
              <w:left w:val="single" w:sz="8" w:space="0" w:color="auto"/>
              <w:bottom w:val="single" w:sz="12" w:space="0" w:color="auto"/>
              <w:right w:val="single" w:sz="12" w:space="0" w:color="auto"/>
              <w:tl2br w:val="nil"/>
              <w:tr2bl w:val="nil"/>
            </w:tcBorders>
            <w:shd w:val="clear" w:color="auto" w:fill="C0C0C0"/>
            <w:textDirection w:val="lrTb"/>
            <w:vAlign w:val="center"/>
          </w:tcPr>
          <w:p w:rsidR="0011736A" w:rsidRPr="0086352B" w:rsidP="0011736A">
            <w:pPr>
              <w:spacing w:line="240" w:lineRule="auto"/>
              <w:jc w:val="center"/>
              <w:rPr>
                <w:rFonts w:ascii="Arial Narrow" w:hAnsi="Arial Narrow" w:cs="Arial"/>
                <w:b/>
                <w:bCs/>
                <w:sz w:val="18"/>
                <w:szCs w:val="18"/>
                <w:lang w:val="cs-CZ"/>
              </w:rPr>
            </w:pPr>
            <w:r>
              <w:rPr>
                <w:rFonts w:ascii="Arial Narrow" w:hAnsi="Arial Narrow" w:cs="Arial"/>
                <w:b/>
                <w:bCs/>
                <w:sz w:val="18"/>
                <w:szCs w:val="18"/>
              </w:rPr>
              <w:t xml:space="preserve">V tom: </w:t>
            </w:r>
            <w:r w:rsidRPr="0086352B">
              <w:rPr>
                <w:rFonts w:ascii="Arial Narrow" w:hAnsi="Arial Narrow" w:cs="Arial"/>
                <w:b/>
                <w:bCs/>
                <w:sz w:val="18"/>
                <w:szCs w:val="18"/>
              </w:rPr>
              <w:t>Čerpanie prost. z</w:t>
            </w:r>
            <w:r>
              <w:rPr>
                <w:rFonts w:ascii="Arial Narrow" w:hAnsi="Arial Narrow" w:cs="Arial"/>
                <w:b/>
                <w:bCs/>
                <w:sz w:val="18"/>
                <w:szCs w:val="18"/>
              </w:rPr>
              <w:t> r. 2005,</w:t>
            </w:r>
            <w:r w:rsidRPr="0086352B">
              <w:rPr>
                <w:rFonts w:ascii="Arial Narrow" w:hAnsi="Arial Narrow" w:cs="Arial"/>
                <w:b/>
                <w:bCs/>
                <w:sz w:val="18"/>
                <w:szCs w:val="18"/>
              </w:rPr>
              <w:t>200</w:t>
            </w:r>
            <w:r>
              <w:rPr>
                <w:rFonts w:ascii="Arial Narrow" w:hAnsi="Arial Narrow" w:cs="Arial"/>
                <w:b/>
                <w:bCs/>
                <w:sz w:val="18"/>
                <w:szCs w:val="18"/>
              </w:rPr>
              <w:t>6</w:t>
            </w:r>
          </w:p>
        </w:tc>
      </w:tr>
      <w:tr>
        <w:tblPrEx>
          <w:tblW w:w="9295" w:type="dxa"/>
          <w:tblInd w:w="55" w:type="dxa"/>
          <w:tblCellMar>
            <w:left w:w="70" w:type="dxa"/>
            <w:right w:w="70" w:type="dxa"/>
          </w:tblCellMar>
        </w:tblPrEx>
        <w:trPr>
          <w:trHeight w:val="360"/>
        </w:trPr>
        <w:tc>
          <w:tcPr>
            <w:tcW w:w="772" w:type="dxa"/>
            <w:vMerge/>
            <w:tcBorders>
              <w:top w:val="single" w:sz="8" w:space="0" w:color="auto"/>
              <w:left w:val="single" w:sz="12" w:space="0" w:color="auto"/>
              <w:bottom w:val="single" w:sz="12" w:space="0" w:color="auto"/>
              <w:right w:val="nil"/>
              <w:tl2br w:val="nil"/>
              <w:tr2bl w:val="nil"/>
            </w:tcBorders>
            <w:textDirection w:val="lrTb"/>
            <w:vAlign w:val="center"/>
          </w:tcPr>
          <w:p w:rsidR="0011736A" w:rsidRPr="0086352B" w:rsidP="0011736A">
            <w:pPr>
              <w:spacing w:line="240" w:lineRule="auto"/>
              <w:rPr>
                <w:rFonts w:ascii="Arial Narrow" w:hAnsi="Arial Narrow" w:cs="Arial"/>
                <w:b/>
                <w:bCs/>
                <w:sz w:val="18"/>
                <w:szCs w:val="18"/>
                <w:lang w:val="cs-CZ"/>
              </w:rPr>
            </w:pPr>
          </w:p>
        </w:tc>
        <w:tc>
          <w:tcPr>
            <w:tcW w:w="4823" w:type="dxa"/>
            <w:vMerge/>
            <w:tcBorders>
              <w:top w:val="single" w:sz="8" w:space="0" w:color="auto"/>
              <w:left w:val="single" w:sz="8" w:space="0" w:color="auto"/>
              <w:bottom w:val="single" w:sz="12" w:space="0" w:color="auto"/>
              <w:right w:val="single" w:sz="8" w:space="0" w:color="auto"/>
              <w:tl2br w:val="nil"/>
              <w:tr2bl w:val="nil"/>
            </w:tcBorders>
            <w:textDirection w:val="lrTb"/>
            <w:vAlign w:val="center"/>
          </w:tcPr>
          <w:p w:rsidR="0011736A" w:rsidRPr="0086352B" w:rsidP="0011736A">
            <w:pPr>
              <w:spacing w:line="240" w:lineRule="auto"/>
              <w:rPr>
                <w:rFonts w:ascii="Arial Narrow" w:hAnsi="Arial Narrow" w:cs="Arial"/>
                <w:b/>
                <w:bCs/>
                <w:sz w:val="18"/>
                <w:szCs w:val="18"/>
                <w:lang w:val="cs-CZ"/>
              </w:rPr>
            </w:pPr>
          </w:p>
        </w:tc>
        <w:tc>
          <w:tcPr>
            <w:tcW w:w="940" w:type="dxa"/>
            <w:vMerge/>
            <w:tcBorders>
              <w:top w:val="single" w:sz="8" w:space="0" w:color="auto"/>
              <w:left w:val="single" w:sz="8" w:space="0" w:color="auto"/>
              <w:bottom w:val="single" w:sz="12" w:space="0" w:color="auto"/>
              <w:right w:val="single" w:sz="8" w:space="0" w:color="auto"/>
              <w:tl2br w:val="nil"/>
              <w:tr2bl w:val="nil"/>
            </w:tcBorders>
            <w:textDirection w:val="lrTb"/>
            <w:vAlign w:val="center"/>
          </w:tcPr>
          <w:p w:rsidR="0011736A" w:rsidRPr="0086352B" w:rsidP="0011736A">
            <w:pPr>
              <w:spacing w:line="240" w:lineRule="auto"/>
              <w:rPr>
                <w:rFonts w:ascii="Arial Narrow" w:hAnsi="Arial Narrow" w:cs="Arial"/>
                <w:b/>
                <w:bCs/>
                <w:sz w:val="18"/>
                <w:szCs w:val="18"/>
                <w:lang w:val="cs-CZ"/>
              </w:rPr>
            </w:pPr>
          </w:p>
        </w:tc>
        <w:tc>
          <w:tcPr>
            <w:tcW w:w="960" w:type="dxa"/>
            <w:vMerge/>
            <w:tcBorders>
              <w:top w:val="single" w:sz="8" w:space="0" w:color="auto"/>
              <w:left w:val="single" w:sz="8" w:space="0" w:color="auto"/>
              <w:bottom w:val="single" w:sz="12" w:space="0" w:color="auto"/>
              <w:right w:val="single" w:sz="8" w:space="0" w:color="auto"/>
              <w:tl2br w:val="nil"/>
              <w:tr2bl w:val="nil"/>
            </w:tcBorders>
            <w:textDirection w:val="lrTb"/>
            <w:vAlign w:val="center"/>
          </w:tcPr>
          <w:p w:rsidR="0011736A" w:rsidRPr="0086352B" w:rsidP="0011736A">
            <w:pPr>
              <w:spacing w:line="240" w:lineRule="auto"/>
              <w:rPr>
                <w:rFonts w:ascii="Arial Narrow" w:hAnsi="Arial Narrow" w:cs="Arial"/>
                <w:b/>
                <w:bCs/>
                <w:sz w:val="18"/>
                <w:szCs w:val="18"/>
                <w:lang w:val="cs-CZ"/>
              </w:rPr>
            </w:pPr>
          </w:p>
        </w:tc>
        <w:tc>
          <w:tcPr>
            <w:tcW w:w="960" w:type="dxa"/>
            <w:vMerge/>
            <w:tcBorders>
              <w:top w:val="single" w:sz="8" w:space="0" w:color="auto"/>
              <w:left w:val="single" w:sz="8" w:space="0" w:color="auto"/>
              <w:bottom w:val="single" w:sz="12" w:space="0" w:color="auto"/>
              <w:right w:val="single" w:sz="8" w:space="0" w:color="auto"/>
              <w:tl2br w:val="nil"/>
              <w:tr2bl w:val="nil"/>
            </w:tcBorders>
            <w:textDirection w:val="lrTb"/>
            <w:vAlign w:val="center"/>
          </w:tcPr>
          <w:p w:rsidR="0011736A" w:rsidRPr="0086352B" w:rsidP="0011736A">
            <w:pPr>
              <w:spacing w:line="240" w:lineRule="auto"/>
              <w:rPr>
                <w:rFonts w:ascii="Arial Narrow" w:hAnsi="Arial Narrow" w:cs="Arial"/>
                <w:b/>
                <w:bCs/>
                <w:sz w:val="18"/>
                <w:szCs w:val="18"/>
                <w:lang w:val="cs-CZ"/>
              </w:rPr>
            </w:pPr>
          </w:p>
        </w:tc>
        <w:tc>
          <w:tcPr>
            <w:tcW w:w="840" w:type="dxa"/>
            <w:vMerge/>
            <w:tcBorders>
              <w:top w:val="single" w:sz="8" w:space="0" w:color="auto"/>
              <w:left w:val="single" w:sz="8" w:space="0" w:color="auto"/>
              <w:bottom w:val="single" w:sz="12" w:space="0" w:color="auto"/>
              <w:right w:val="single" w:sz="12" w:space="0" w:color="auto"/>
              <w:tl2br w:val="nil"/>
              <w:tr2bl w:val="nil"/>
            </w:tcBorders>
            <w:textDirection w:val="lrTb"/>
            <w:vAlign w:val="center"/>
          </w:tcPr>
          <w:p w:rsidR="0011736A" w:rsidRPr="0086352B" w:rsidP="0011736A">
            <w:pPr>
              <w:spacing w:line="240" w:lineRule="auto"/>
              <w:rPr>
                <w:rFonts w:ascii="Arial Narrow" w:hAnsi="Arial Narrow" w:cs="Arial"/>
                <w:b/>
                <w:bCs/>
                <w:sz w:val="18"/>
                <w:szCs w:val="18"/>
                <w:lang w:val="cs-CZ"/>
              </w:rPr>
            </w:pPr>
          </w:p>
        </w:tc>
      </w:tr>
      <w:tr>
        <w:tblPrEx>
          <w:tblW w:w="9295" w:type="dxa"/>
          <w:tblInd w:w="55" w:type="dxa"/>
          <w:tblCellMar>
            <w:left w:w="70" w:type="dxa"/>
            <w:right w:w="70" w:type="dxa"/>
          </w:tblCellMar>
        </w:tblPrEx>
        <w:trPr>
          <w:trHeight w:val="227"/>
        </w:trPr>
        <w:tc>
          <w:tcPr>
            <w:tcW w:w="5595" w:type="dxa"/>
            <w:gridSpan w:val="2"/>
            <w:tcBorders>
              <w:top w:val="single" w:sz="12" w:space="0" w:color="auto"/>
              <w:left w:val="single" w:sz="12" w:space="0" w:color="auto"/>
              <w:bottom w:val="single" w:sz="8" w:space="0" w:color="auto"/>
              <w:right w:val="single" w:sz="8" w:space="0" w:color="000000"/>
              <w:tl2br w:val="nil"/>
              <w:tr2bl w:val="nil"/>
            </w:tcBorders>
            <w:shd w:val="clear" w:color="auto" w:fill="33CCCC"/>
            <w:textDirection w:val="lrTb"/>
            <w:vAlign w:val="center"/>
          </w:tcPr>
          <w:p w:rsidR="0011736A" w:rsidRPr="0086352B" w:rsidP="0011736A">
            <w:pPr>
              <w:spacing w:line="240" w:lineRule="auto"/>
              <w:jc w:val="center"/>
              <w:rPr>
                <w:rFonts w:ascii="Arial Narrow" w:hAnsi="Arial Narrow" w:cs="Arial"/>
                <w:b/>
                <w:bCs/>
                <w:sz w:val="18"/>
                <w:szCs w:val="18"/>
                <w:lang w:val="cs-CZ"/>
              </w:rPr>
            </w:pPr>
            <w:r>
              <w:rPr>
                <w:rFonts w:ascii="Arial Narrow" w:hAnsi="Arial Narrow" w:cs="Arial"/>
                <w:b/>
                <w:bCs/>
                <w:sz w:val="18"/>
                <w:szCs w:val="18"/>
              </w:rPr>
              <w:t xml:space="preserve">Výdavky programovo </w:t>
            </w:r>
            <w:r w:rsidRPr="0086352B">
              <w:rPr>
                <w:rFonts w:ascii="Arial Narrow" w:hAnsi="Arial Narrow" w:cs="Arial"/>
                <w:b/>
                <w:bCs/>
                <w:sz w:val="18"/>
                <w:szCs w:val="18"/>
              </w:rPr>
              <w:t xml:space="preserve">alokované spolu za kapitolu </w:t>
            </w:r>
          </w:p>
        </w:tc>
        <w:tc>
          <w:tcPr>
            <w:tcW w:w="940" w:type="dxa"/>
            <w:tcBorders>
              <w:top w:val="single" w:sz="12" w:space="0" w:color="auto"/>
              <w:left w:val="nil"/>
              <w:bottom w:val="single" w:sz="8" w:space="0" w:color="auto"/>
              <w:right w:val="single" w:sz="8" w:space="0" w:color="auto"/>
              <w:tl2br w:val="nil"/>
              <w:tr2bl w:val="nil"/>
            </w:tcBorders>
            <w:shd w:val="clear" w:color="auto" w:fill="33CCCC"/>
            <w:textDirection w:val="lrTb"/>
            <w:vAlign w:val="center"/>
          </w:tcPr>
          <w:p w:rsidR="0011736A" w:rsidRPr="0086352B" w:rsidP="0011736A">
            <w:pPr>
              <w:spacing w:line="240" w:lineRule="auto"/>
              <w:jc w:val="right"/>
              <w:rPr>
                <w:rFonts w:ascii="Arial Narrow" w:hAnsi="Arial Narrow" w:cs="Arial"/>
                <w:b/>
                <w:bCs/>
                <w:sz w:val="18"/>
                <w:szCs w:val="18"/>
                <w:lang w:val="cs-CZ"/>
              </w:rPr>
            </w:pPr>
            <w:r>
              <w:rPr>
                <w:rFonts w:ascii="Arial Narrow" w:hAnsi="Arial Narrow" w:cs="Arial"/>
                <w:b/>
                <w:bCs/>
                <w:sz w:val="18"/>
                <w:szCs w:val="18"/>
              </w:rPr>
              <w:t>27 261 462</w:t>
            </w:r>
          </w:p>
        </w:tc>
        <w:tc>
          <w:tcPr>
            <w:tcW w:w="960" w:type="dxa"/>
            <w:tcBorders>
              <w:top w:val="single" w:sz="12" w:space="0" w:color="auto"/>
              <w:left w:val="nil"/>
              <w:bottom w:val="single" w:sz="8" w:space="0" w:color="auto"/>
              <w:right w:val="single" w:sz="8" w:space="0" w:color="auto"/>
              <w:tl2br w:val="nil"/>
              <w:tr2bl w:val="nil"/>
            </w:tcBorders>
            <w:shd w:val="clear" w:color="auto" w:fill="33CCCC"/>
            <w:textDirection w:val="lrTb"/>
            <w:vAlign w:val="center"/>
          </w:tcPr>
          <w:p w:rsidR="0011736A" w:rsidRPr="0086352B" w:rsidP="0011736A">
            <w:pPr>
              <w:spacing w:line="240" w:lineRule="auto"/>
              <w:jc w:val="right"/>
              <w:rPr>
                <w:rFonts w:ascii="Arial Narrow" w:hAnsi="Arial Narrow" w:cs="Arial"/>
                <w:b/>
                <w:bCs/>
                <w:sz w:val="18"/>
                <w:szCs w:val="18"/>
                <w:lang w:val="cs-CZ"/>
              </w:rPr>
            </w:pPr>
            <w:r>
              <w:rPr>
                <w:rFonts w:ascii="Arial Narrow" w:hAnsi="Arial Narrow" w:cs="Arial"/>
                <w:b/>
                <w:bCs/>
                <w:sz w:val="18"/>
                <w:szCs w:val="18"/>
                <w:lang w:val="cs-CZ"/>
              </w:rPr>
              <w:t>31 513 181</w:t>
            </w:r>
          </w:p>
        </w:tc>
        <w:tc>
          <w:tcPr>
            <w:tcW w:w="960" w:type="dxa"/>
            <w:tcBorders>
              <w:top w:val="single" w:sz="12" w:space="0" w:color="auto"/>
              <w:left w:val="nil"/>
              <w:bottom w:val="single" w:sz="8" w:space="0" w:color="auto"/>
              <w:right w:val="single" w:sz="8" w:space="0" w:color="auto"/>
              <w:tl2br w:val="nil"/>
              <w:tr2bl w:val="nil"/>
            </w:tcBorders>
            <w:shd w:val="clear" w:color="auto" w:fill="33CCCC"/>
            <w:textDirection w:val="lrTb"/>
            <w:vAlign w:val="center"/>
          </w:tcPr>
          <w:p w:rsidR="0011736A" w:rsidRPr="0086352B" w:rsidP="0011736A">
            <w:pPr>
              <w:spacing w:line="240" w:lineRule="auto"/>
              <w:jc w:val="right"/>
              <w:rPr>
                <w:rFonts w:ascii="Arial Narrow" w:hAnsi="Arial Narrow" w:cs="Arial"/>
                <w:b/>
                <w:bCs/>
                <w:sz w:val="18"/>
                <w:szCs w:val="18"/>
                <w:lang w:val="cs-CZ"/>
              </w:rPr>
            </w:pPr>
            <w:r>
              <w:rPr>
                <w:rFonts w:ascii="Arial Narrow" w:hAnsi="Arial Narrow" w:cs="Arial"/>
                <w:b/>
                <w:bCs/>
                <w:sz w:val="18"/>
                <w:szCs w:val="18"/>
                <w:lang w:val="cs-CZ"/>
              </w:rPr>
              <w:t>31 561 721</w:t>
            </w:r>
          </w:p>
        </w:tc>
        <w:tc>
          <w:tcPr>
            <w:tcW w:w="840" w:type="dxa"/>
            <w:tcBorders>
              <w:top w:val="single" w:sz="12" w:space="0" w:color="auto"/>
              <w:left w:val="nil"/>
              <w:bottom w:val="single" w:sz="8" w:space="0" w:color="auto"/>
              <w:right w:val="single" w:sz="12" w:space="0" w:color="auto"/>
              <w:tl2br w:val="nil"/>
              <w:tr2bl w:val="nil"/>
            </w:tcBorders>
            <w:shd w:val="clear" w:color="auto" w:fill="33CCCC"/>
            <w:textDirection w:val="lrTb"/>
            <w:vAlign w:val="center"/>
          </w:tcPr>
          <w:p w:rsidR="0011736A" w:rsidRPr="0086352B" w:rsidP="0011736A">
            <w:pPr>
              <w:spacing w:line="240" w:lineRule="auto"/>
              <w:jc w:val="right"/>
              <w:rPr>
                <w:rFonts w:ascii="Arial Narrow" w:hAnsi="Arial Narrow" w:cs="Arial"/>
                <w:b/>
                <w:bCs/>
                <w:sz w:val="18"/>
                <w:szCs w:val="18"/>
                <w:lang w:val="cs-CZ"/>
              </w:rPr>
            </w:pPr>
            <w:r>
              <w:rPr>
                <w:rFonts w:ascii="Arial Narrow" w:hAnsi="Arial Narrow" w:cs="Arial"/>
                <w:b/>
                <w:bCs/>
                <w:sz w:val="18"/>
                <w:szCs w:val="18"/>
                <w:lang w:val="cs-CZ"/>
              </w:rPr>
              <w:t>6 771 95</w:t>
            </w:r>
            <w:r w:rsidR="004D0464">
              <w:rPr>
                <w:rFonts w:ascii="Arial Narrow" w:hAnsi="Arial Narrow" w:cs="Arial"/>
                <w:b/>
                <w:bCs/>
                <w:sz w:val="18"/>
                <w:szCs w:val="18"/>
                <w:lang w:val="cs-CZ"/>
              </w:rPr>
              <w:t>5</w:t>
            </w:r>
          </w:p>
        </w:tc>
      </w:tr>
      <w:tr>
        <w:tblPrEx>
          <w:tblW w:w="9295" w:type="dxa"/>
          <w:tblInd w:w="55" w:type="dxa"/>
          <w:tblCellMar>
            <w:left w:w="70" w:type="dxa"/>
            <w:right w:w="70" w:type="dxa"/>
          </w:tblCellMar>
        </w:tblPrEx>
        <w:trPr>
          <w:trHeight w:val="227"/>
        </w:trPr>
        <w:tc>
          <w:tcPr>
            <w:tcW w:w="772" w:type="dxa"/>
            <w:tcBorders>
              <w:top w:val="nil"/>
              <w:left w:val="single" w:sz="12" w:space="0" w:color="auto"/>
              <w:bottom w:val="single" w:sz="8" w:space="0" w:color="auto"/>
              <w:right w:val="single" w:sz="8" w:space="0" w:color="auto"/>
              <w:tl2br w:val="nil"/>
              <w:tr2bl w:val="nil"/>
            </w:tcBorders>
            <w:noWrap/>
            <w:textDirection w:val="lrTb"/>
            <w:vAlign w:val="center"/>
          </w:tcPr>
          <w:p w:rsidR="0011736A" w:rsidRPr="0086352B" w:rsidP="0011736A">
            <w:pPr>
              <w:spacing w:line="240" w:lineRule="auto"/>
              <w:rPr>
                <w:rFonts w:ascii="Arial Narrow" w:hAnsi="Arial Narrow" w:cs="Arial"/>
                <w:b/>
                <w:bCs/>
                <w:sz w:val="18"/>
                <w:szCs w:val="18"/>
                <w:lang w:val="cs-CZ"/>
              </w:rPr>
            </w:pPr>
            <w:r>
              <w:rPr>
                <w:rFonts w:ascii="Arial Narrow" w:hAnsi="Arial Narrow" w:cs="Arial"/>
                <w:b/>
                <w:bCs/>
                <w:sz w:val="18"/>
                <w:szCs w:val="18"/>
              </w:rPr>
              <w:t>0</w:t>
            </w:r>
            <w:r w:rsidRPr="0086352B">
              <w:rPr>
                <w:rFonts w:ascii="Arial Narrow" w:hAnsi="Arial Narrow" w:cs="Arial"/>
                <w:b/>
                <w:bCs/>
                <w:sz w:val="18"/>
                <w:szCs w:val="18"/>
              </w:rPr>
              <w:t>53</w:t>
            </w:r>
          </w:p>
        </w:tc>
        <w:tc>
          <w:tcPr>
            <w:tcW w:w="4823" w:type="dxa"/>
            <w:tcBorders>
              <w:top w:val="nil"/>
              <w:left w:val="nil"/>
              <w:bottom w:val="single" w:sz="8" w:space="0" w:color="auto"/>
              <w:right w:val="single" w:sz="8" w:space="0" w:color="auto"/>
              <w:tl2br w:val="nil"/>
              <w:tr2bl w:val="nil"/>
            </w:tcBorders>
            <w:textDirection w:val="lrTb"/>
            <w:vAlign w:val="center"/>
          </w:tcPr>
          <w:p w:rsidR="0011736A" w:rsidRPr="0086352B" w:rsidP="0011736A">
            <w:pPr>
              <w:spacing w:line="240" w:lineRule="auto"/>
              <w:rPr>
                <w:rFonts w:ascii="Arial Narrow" w:hAnsi="Arial Narrow" w:cs="Arial"/>
                <w:b/>
                <w:bCs/>
                <w:sz w:val="18"/>
                <w:szCs w:val="18"/>
                <w:lang w:val="cs-CZ"/>
              </w:rPr>
            </w:pPr>
            <w:r w:rsidRPr="0086352B">
              <w:rPr>
                <w:rFonts w:ascii="Arial Narrow" w:hAnsi="Arial Narrow" w:cs="Arial"/>
                <w:b/>
                <w:bCs/>
                <w:sz w:val="18"/>
                <w:szCs w:val="18"/>
              </w:rPr>
              <w:t>Cestná infraštruktúra</w:t>
            </w:r>
          </w:p>
        </w:tc>
        <w:tc>
          <w:tcPr>
            <w:tcW w:w="940" w:type="dxa"/>
            <w:tcBorders>
              <w:top w:val="nil"/>
              <w:left w:val="nil"/>
              <w:bottom w:val="single" w:sz="8" w:space="0" w:color="auto"/>
              <w:right w:val="single" w:sz="8" w:space="0" w:color="auto"/>
              <w:tl2br w:val="nil"/>
              <w:tr2bl w:val="nil"/>
            </w:tcBorders>
            <w:noWrap/>
            <w:textDirection w:val="lrTb"/>
            <w:vAlign w:val="center"/>
          </w:tcPr>
          <w:p w:rsidR="0011736A" w:rsidRPr="0086352B" w:rsidP="0011736A">
            <w:pPr>
              <w:spacing w:line="240" w:lineRule="auto"/>
              <w:jc w:val="right"/>
              <w:rPr>
                <w:rFonts w:ascii="Arial Narrow" w:hAnsi="Arial Narrow" w:cs="Arial"/>
                <w:b/>
                <w:bCs/>
                <w:sz w:val="18"/>
                <w:szCs w:val="18"/>
                <w:lang w:val="cs-CZ"/>
              </w:rPr>
            </w:pPr>
            <w:r>
              <w:rPr>
                <w:rFonts w:ascii="Arial Narrow" w:hAnsi="Arial Narrow" w:cs="Arial"/>
                <w:b/>
                <w:bCs/>
                <w:sz w:val="18"/>
                <w:szCs w:val="18"/>
              </w:rPr>
              <w:t>12 917 983</w:t>
            </w:r>
          </w:p>
        </w:tc>
        <w:tc>
          <w:tcPr>
            <w:tcW w:w="960" w:type="dxa"/>
            <w:tcBorders>
              <w:top w:val="nil"/>
              <w:left w:val="nil"/>
              <w:bottom w:val="single" w:sz="8" w:space="0" w:color="auto"/>
              <w:right w:val="single" w:sz="8" w:space="0" w:color="auto"/>
              <w:tl2br w:val="nil"/>
              <w:tr2bl w:val="nil"/>
            </w:tcBorders>
            <w:noWrap/>
            <w:textDirection w:val="lrTb"/>
            <w:vAlign w:val="center"/>
          </w:tcPr>
          <w:p w:rsidR="0011736A" w:rsidRPr="0086352B" w:rsidP="0011736A">
            <w:pPr>
              <w:spacing w:line="240" w:lineRule="auto"/>
              <w:jc w:val="right"/>
              <w:rPr>
                <w:rFonts w:ascii="Arial Narrow" w:hAnsi="Arial Narrow" w:cs="Arial"/>
                <w:b/>
                <w:bCs/>
                <w:sz w:val="18"/>
                <w:szCs w:val="18"/>
                <w:lang w:val="cs-CZ"/>
              </w:rPr>
            </w:pPr>
            <w:r>
              <w:rPr>
                <w:rFonts w:ascii="Arial Narrow" w:hAnsi="Arial Narrow" w:cs="Arial"/>
                <w:b/>
                <w:bCs/>
                <w:sz w:val="18"/>
                <w:szCs w:val="18"/>
                <w:lang w:val="cs-CZ"/>
              </w:rPr>
              <w:t>15 903 047</w:t>
            </w:r>
          </w:p>
        </w:tc>
        <w:tc>
          <w:tcPr>
            <w:tcW w:w="960" w:type="dxa"/>
            <w:tcBorders>
              <w:top w:val="nil"/>
              <w:left w:val="nil"/>
              <w:bottom w:val="single" w:sz="8" w:space="0" w:color="auto"/>
              <w:right w:val="single" w:sz="8" w:space="0" w:color="auto"/>
              <w:tl2br w:val="nil"/>
              <w:tr2bl w:val="nil"/>
            </w:tcBorders>
            <w:noWrap/>
            <w:textDirection w:val="lrTb"/>
            <w:vAlign w:val="center"/>
          </w:tcPr>
          <w:p w:rsidR="0011736A" w:rsidRPr="0086352B" w:rsidP="0011736A">
            <w:pPr>
              <w:spacing w:line="240" w:lineRule="auto"/>
              <w:jc w:val="right"/>
              <w:rPr>
                <w:rFonts w:ascii="Arial Narrow" w:hAnsi="Arial Narrow" w:cs="Arial"/>
                <w:b/>
                <w:bCs/>
                <w:sz w:val="18"/>
                <w:szCs w:val="18"/>
                <w:lang w:val="cs-CZ"/>
              </w:rPr>
            </w:pPr>
            <w:r>
              <w:rPr>
                <w:rFonts w:ascii="Arial Narrow" w:hAnsi="Arial Narrow" w:cs="Arial"/>
                <w:b/>
                <w:bCs/>
                <w:sz w:val="18"/>
                <w:szCs w:val="18"/>
                <w:lang w:val="cs-CZ"/>
              </w:rPr>
              <w:t>15 953 427</w:t>
            </w:r>
          </w:p>
        </w:tc>
        <w:tc>
          <w:tcPr>
            <w:tcW w:w="840" w:type="dxa"/>
            <w:tcBorders>
              <w:top w:val="nil"/>
              <w:left w:val="nil"/>
              <w:bottom w:val="single" w:sz="8" w:space="0" w:color="auto"/>
              <w:right w:val="single" w:sz="12" w:space="0" w:color="auto"/>
              <w:tl2br w:val="nil"/>
              <w:tr2bl w:val="nil"/>
            </w:tcBorders>
            <w:noWrap/>
            <w:textDirection w:val="lrTb"/>
            <w:vAlign w:val="center"/>
          </w:tcPr>
          <w:p w:rsidR="0011736A" w:rsidRPr="0086352B" w:rsidP="0011736A">
            <w:pPr>
              <w:spacing w:line="240" w:lineRule="auto"/>
              <w:jc w:val="right"/>
              <w:rPr>
                <w:rFonts w:ascii="Arial Narrow" w:hAnsi="Arial Narrow" w:cs="Arial"/>
                <w:b/>
                <w:bCs/>
                <w:sz w:val="18"/>
                <w:szCs w:val="18"/>
                <w:lang w:val="cs-CZ"/>
              </w:rPr>
            </w:pPr>
            <w:r>
              <w:rPr>
                <w:rFonts w:ascii="Arial Narrow" w:hAnsi="Arial Narrow" w:cs="Arial"/>
                <w:b/>
                <w:bCs/>
                <w:sz w:val="18"/>
                <w:szCs w:val="18"/>
                <w:lang w:val="cs-CZ"/>
              </w:rPr>
              <w:t>4 135 338</w:t>
            </w:r>
          </w:p>
        </w:tc>
      </w:tr>
      <w:tr>
        <w:tblPrEx>
          <w:tblW w:w="9295" w:type="dxa"/>
          <w:tblInd w:w="55" w:type="dxa"/>
          <w:tblCellMar>
            <w:left w:w="70" w:type="dxa"/>
            <w:right w:w="70" w:type="dxa"/>
          </w:tblCellMar>
        </w:tblPrEx>
        <w:trPr>
          <w:trHeight w:val="227"/>
        </w:trPr>
        <w:tc>
          <w:tcPr>
            <w:tcW w:w="772" w:type="dxa"/>
            <w:tcBorders>
              <w:top w:val="nil"/>
              <w:left w:val="single" w:sz="12" w:space="0" w:color="auto"/>
              <w:bottom w:val="single" w:sz="8" w:space="0" w:color="auto"/>
              <w:right w:val="single" w:sz="8" w:space="0" w:color="auto"/>
              <w:tl2br w:val="nil"/>
              <w:tr2bl w:val="nil"/>
            </w:tcBorders>
            <w:noWrap/>
            <w:textDirection w:val="lrTb"/>
            <w:vAlign w:val="center"/>
          </w:tcPr>
          <w:p w:rsidR="0011736A" w:rsidRPr="0086352B" w:rsidP="0011736A">
            <w:pPr>
              <w:spacing w:line="240" w:lineRule="auto"/>
              <w:rPr>
                <w:rFonts w:ascii="Arial Narrow" w:hAnsi="Arial Narrow" w:cs="Arial"/>
                <w:b/>
                <w:bCs/>
                <w:sz w:val="18"/>
                <w:szCs w:val="18"/>
                <w:lang w:val="cs-CZ"/>
              </w:rPr>
            </w:pPr>
            <w:r>
              <w:rPr>
                <w:rFonts w:ascii="Arial Narrow" w:hAnsi="Arial Narrow" w:cs="Arial"/>
                <w:b/>
                <w:bCs/>
                <w:iCs/>
                <w:sz w:val="18"/>
                <w:szCs w:val="18"/>
              </w:rPr>
              <w:t>0</w:t>
            </w:r>
            <w:r w:rsidRPr="0086352B">
              <w:rPr>
                <w:rFonts w:ascii="Arial Narrow" w:hAnsi="Arial Narrow" w:cs="Arial"/>
                <w:b/>
                <w:bCs/>
                <w:iCs/>
                <w:sz w:val="18"/>
                <w:szCs w:val="18"/>
              </w:rPr>
              <w:t>5301</w:t>
            </w:r>
          </w:p>
        </w:tc>
        <w:tc>
          <w:tcPr>
            <w:tcW w:w="4823" w:type="dxa"/>
            <w:tcBorders>
              <w:top w:val="nil"/>
              <w:left w:val="nil"/>
              <w:bottom w:val="single" w:sz="8" w:space="0" w:color="auto"/>
              <w:right w:val="single" w:sz="8" w:space="0" w:color="auto"/>
              <w:tl2br w:val="nil"/>
              <w:tr2bl w:val="nil"/>
            </w:tcBorders>
            <w:textDirection w:val="lrTb"/>
            <w:vAlign w:val="center"/>
          </w:tcPr>
          <w:p w:rsidR="0011736A" w:rsidRPr="0086352B" w:rsidP="0011736A">
            <w:pPr>
              <w:spacing w:line="240" w:lineRule="auto"/>
              <w:rPr>
                <w:rFonts w:ascii="Arial Narrow" w:hAnsi="Arial Narrow" w:cs="Arial"/>
                <w:b/>
                <w:bCs/>
                <w:sz w:val="18"/>
                <w:szCs w:val="18"/>
                <w:lang w:val="cs-CZ"/>
              </w:rPr>
            </w:pPr>
            <w:r w:rsidRPr="0086352B">
              <w:rPr>
                <w:rFonts w:ascii="Arial Narrow" w:hAnsi="Arial Narrow" w:cs="Arial"/>
                <w:b/>
                <w:bCs/>
                <w:iCs/>
                <w:sz w:val="18"/>
                <w:szCs w:val="18"/>
              </w:rPr>
              <w:t>Správa, údržba a opravy ciest a</w:t>
            </w:r>
            <w:r>
              <w:rPr>
                <w:rFonts w:ascii="Arial Narrow" w:hAnsi="Arial Narrow" w:cs="Arial"/>
                <w:b/>
                <w:bCs/>
                <w:iCs/>
                <w:sz w:val="18"/>
                <w:szCs w:val="18"/>
              </w:rPr>
              <w:t> </w:t>
            </w:r>
            <w:r w:rsidRPr="0086352B">
              <w:rPr>
                <w:rFonts w:ascii="Arial Narrow" w:hAnsi="Arial Narrow" w:cs="Arial"/>
                <w:b/>
                <w:bCs/>
                <w:iCs/>
                <w:sz w:val="18"/>
                <w:szCs w:val="18"/>
              </w:rPr>
              <w:t>diaľnic</w:t>
            </w:r>
          </w:p>
        </w:tc>
        <w:tc>
          <w:tcPr>
            <w:tcW w:w="940" w:type="dxa"/>
            <w:tcBorders>
              <w:top w:val="nil"/>
              <w:left w:val="nil"/>
              <w:bottom w:val="single" w:sz="8" w:space="0" w:color="auto"/>
              <w:right w:val="single" w:sz="8" w:space="0" w:color="auto"/>
              <w:tl2br w:val="nil"/>
              <w:tr2bl w:val="nil"/>
            </w:tcBorders>
            <w:noWrap/>
            <w:textDirection w:val="lrTb"/>
            <w:vAlign w:val="center"/>
          </w:tcPr>
          <w:p w:rsidR="0011736A" w:rsidRPr="0086352B" w:rsidP="0011736A">
            <w:pPr>
              <w:spacing w:line="240" w:lineRule="auto"/>
              <w:jc w:val="right"/>
              <w:rPr>
                <w:rFonts w:ascii="Arial Narrow" w:hAnsi="Arial Narrow" w:cs="Arial"/>
                <w:b/>
                <w:bCs/>
                <w:sz w:val="18"/>
                <w:szCs w:val="18"/>
                <w:lang w:val="cs-CZ"/>
              </w:rPr>
            </w:pPr>
            <w:r>
              <w:rPr>
                <w:rFonts w:ascii="Arial Narrow" w:hAnsi="Arial Narrow" w:cs="Arial"/>
                <w:b/>
                <w:bCs/>
                <w:iCs/>
                <w:sz w:val="18"/>
                <w:szCs w:val="18"/>
              </w:rPr>
              <w:t>2 142 632</w:t>
            </w:r>
          </w:p>
        </w:tc>
        <w:tc>
          <w:tcPr>
            <w:tcW w:w="960" w:type="dxa"/>
            <w:tcBorders>
              <w:top w:val="nil"/>
              <w:left w:val="nil"/>
              <w:bottom w:val="single" w:sz="8" w:space="0" w:color="auto"/>
              <w:right w:val="single" w:sz="8" w:space="0" w:color="auto"/>
              <w:tl2br w:val="nil"/>
              <w:tr2bl w:val="nil"/>
            </w:tcBorders>
            <w:noWrap/>
            <w:textDirection w:val="lrTb"/>
            <w:vAlign w:val="center"/>
          </w:tcPr>
          <w:p w:rsidR="0011736A" w:rsidRPr="0086352B" w:rsidP="0011736A">
            <w:pPr>
              <w:spacing w:line="240" w:lineRule="auto"/>
              <w:jc w:val="right"/>
              <w:rPr>
                <w:rFonts w:ascii="Arial Narrow" w:hAnsi="Arial Narrow" w:cs="Arial"/>
                <w:b/>
                <w:bCs/>
                <w:sz w:val="18"/>
                <w:szCs w:val="18"/>
                <w:lang w:val="cs-CZ"/>
              </w:rPr>
            </w:pPr>
            <w:r>
              <w:rPr>
                <w:rFonts w:ascii="Arial Narrow" w:hAnsi="Arial Narrow" w:cs="Arial"/>
                <w:b/>
                <w:bCs/>
                <w:sz w:val="18"/>
                <w:szCs w:val="18"/>
                <w:lang w:val="cs-CZ"/>
              </w:rPr>
              <w:t>2 208 645</w:t>
            </w:r>
          </w:p>
        </w:tc>
        <w:tc>
          <w:tcPr>
            <w:tcW w:w="960" w:type="dxa"/>
            <w:tcBorders>
              <w:top w:val="nil"/>
              <w:left w:val="nil"/>
              <w:bottom w:val="single" w:sz="8" w:space="0" w:color="auto"/>
              <w:right w:val="single" w:sz="8" w:space="0" w:color="auto"/>
              <w:tl2br w:val="nil"/>
              <w:tr2bl w:val="nil"/>
            </w:tcBorders>
            <w:noWrap/>
            <w:textDirection w:val="lrTb"/>
            <w:vAlign w:val="center"/>
          </w:tcPr>
          <w:p w:rsidR="0011736A" w:rsidRPr="0086352B" w:rsidP="0011736A">
            <w:pPr>
              <w:spacing w:line="240" w:lineRule="auto"/>
              <w:jc w:val="right"/>
              <w:rPr>
                <w:rFonts w:ascii="Arial Narrow" w:hAnsi="Arial Narrow" w:cs="Arial"/>
                <w:b/>
                <w:bCs/>
                <w:sz w:val="18"/>
                <w:szCs w:val="18"/>
                <w:lang w:val="cs-CZ"/>
              </w:rPr>
            </w:pPr>
            <w:r>
              <w:rPr>
                <w:rFonts w:ascii="Arial Narrow" w:hAnsi="Arial Narrow" w:cs="Arial"/>
                <w:b/>
                <w:bCs/>
                <w:sz w:val="18"/>
                <w:szCs w:val="18"/>
                <w:lang w:val="cs-CZ"/>
              </w:rPr>
              <w:t>2 213 472</w:t>
            </w:r>
          </w:p>
        </w:tc>
        <w:tc>
          <w:tcPr>
            <w:tcW w:w="840" w:type="dxa"/>
            <w:tcBorders>
              <w:top w:val="nil"/>
              <w:left w:val="nil"/>
              <w:bottom w:val="single" w:sz="8" w:space="0" w:color="auto"/>
              <w:right w:val="single" w:sz="12" w:space="0" w:color="auto"/>
              <w:tl2br w:val="nil"/>
              <w:tr2bl w:val="nil"/>
            </w:tcBorders>
            <w:noWrap/>
            <w:textDirection w:val="lrTb"/>
            <w:vAlign w:val="center"/>
          </w:tcPr>
          <w:p w:rsidR="0011736A" w:rsidRPr="0086352B" w:rsidP="0011736A">
            <w:pPr>
              <w:spacing w:line="240" w:lineRule="auto"/>
              <w:jc w:val="right"/>
              <w:rPr>
                <w:rFonts w:ascii="Arial Narrow" w:hAnsi="Arial Narrow" w:cs="Arial"/>
                <w:b/>
                <w:bCs/>
                <w:sz w:val="18"/>
                <w:szCs w:val="18"/>
                <w:lang w:val="cs-CZ"/>
              </w:rPr>
            </w:pPr>
            <w:r>
              <w:rPr>
                <w:rFonts w:ascii="Arial Narrow" w:hAnsi="Arial Narrow" w:cs="Arial"/>
                <w:b/>
                <w:bCs/>
                <w:sz w:val="18"/>
                <w:szCs w:val="18"/>
                <w:lang w:val="cs-CZ"/>
              </w:rPr>
              <w:t>0</w:t>
            </w:r>
          </w:p>
        </w:tc>
      </w:tr>
      <w:tr>
        <w:tblPrEx>
          <w:tblW w:w="9295" w:type="dxa"/>
          <w:tblInd w:w="55" w:type="dxa"/>
          <w:tblCellMar>
            <w:left w:w="70" w:type="dxa"/>
            <w:right w:w="70" w:type="dxa"/>
          </w:tblCellMar>
        </w:tblPrEx>
        <w:trPr>
          <w:trHeight w:val="227"/>
        </w:trPr>
        <w:tc>
          <w:tcPr>
            <w:tcW w:w="772" w:type="dxa"/>
            <w:tcBorders>
              <w:top w:val="nil"/>
              <w:left w:val="single" w:sz="12" w:space="0" w:color="auto"/>
              <w:bottom w:val="single" w:sz="8" w:space="0" w:color="auto"/>
              <w:right w:val="single" w:sz="8" w:space="0" w:color="auto"/>
              <w:tl2br w:val="nil"/>
              <w:tr2bl w:val="nil"/>
            </w:tcBorders>
            <w:noWrap/>
            <w:textDirection w:val="lrTb"/>
            <w:vAlign w:val="center"/>
          </w:tcPr>
          <w:p w:rsidR="0011736A" w:rsidRPr="0086352B" w:rsidP="0011736A">
            <w:pPr>
              <w:spacing w:line="240" w:lineRule="auto"/>
              <w:rPr>
                <w:rFonts w:ascii="Arial Narrow" w:hAnsi="Arial Narrow" w:cs="Arial"/>
                <w:sz w:val="18"/>
                <w:szCs w:val="18"/>
                <w:lang w:val="cs-CZ"/>
              </w:rPr>
            </w:pPr>
            <w:r>
              <w:rPr>
                <w:rFonts w:ascii="Arial Narrow" w:hAnsi="Arial Narrow" w:cs="Arial"/>
                <w:sz w:val="18"/>
                <w:szCs w:val="18"/>
              </w:rPr>
              <w:t>0</w:t>
            </w:r>
            <w:r w:rsidRPr="0086352B">
              <w:rPr>
                <w:rFonts w:ascii="Arial Narrow" w:hAnsi="Arial Narrow" w:cs="Arial"/>
                <w:sz w:val="18"/>
                <w:szCs w:val="18"/>
              </w:rPr>
              <w:t>530101</w:t>
            </w:r>
          </w:p>
        </w:tc>
        <w:tc>
          <w:tcPr>
            <w:tcW w:w="4823" w:type="dxa"/>
            <w:tcBorders>
              <w:top w:val="nil"/>
              <w:left w:val="nil"/>
              <w:bottom w:val="single" w:sz="8" w:space="0" w:color="auto"/>
              <w:right w:val="single" w:sz="8" w:space="0" w:color="auto"/>
              <w:tl2br w:val="nil"/>
              <w:tr2bl w:val="nil"/>
            </w:tcBorders>
            <w:textDirection w:val="lrTb"/>
            <w:vAlign w:val="center"/>
          </w:tcPr>
          <w:p w:rsidR="0011736A" w:rsidRPr="0086352B" w:rsidP="0011736A">
            <w:pPr>
              <w:spacing w:line="240" w:lineRule="auto"/>
              <w:rPr>
                <w:rFonts w:ascii="Arial Narrow" w:hAnsi="Arial Narrow" w:cs="Arial"/>
                <w:sz w:val="18"/>
                <w:szCs w:val="18"/>
                <w:lang w:val="cs-CZ"/>
              </w:rPr>
            </w:pPr>
            <w:r w:rsidRPr="0086352B">
              <w:rPr>
                <w:rFonts w:ascii="Arial Narrow" w:hAnsi="Arial Narrow" w:cs="Arial"/>
                <w:sz w:val="18"/>
                <w:szCs w:val="18"/>
              </w:rPr>
              <w:t>Správa, údržba a</w:t>
            </w:r>
            <w:r>
              <w:rPr>
                <w:rFonts w:ascii="Arial Narrow" w:hAnsi="Arial Narrow" w:cs="Arial"/>
                <w:sz w:val="18"/>
                <w:szCs w:val="18"/>
              </w:rPr>
              <w:t xml:space="preserve"> opravy ciest I. triedy a diaľničných </w:t>
            </w:r>
            <w:r w:rsidRPr="0086352B">
              <w:rPr>
                <w:rFonts w:ascii="Arial Narrow" w:hAnsi="Arial Narrow" w:cs="Arial"/>
                <w:sz w:val="18"/>
                <w:szCs w:val="18"/>
              </w:rPr>
              <w:t>privádzačov</w:t>
            </w:r>
          </w:p>
        </w:tc>
        <w:tc>
          <w:tcPr>
            <w:tcW w:w="940" w:type="dxa"/>
            <w:tcBorders>
              <w:top w:val="nil"/>
              <w:left w:val="nil"/>
              <w:bottom w:val="single" w:sz="8" w:space="0" w:color="auto"/>
              <w:right w:val="single" w:sz="8" w:space="0" w:color="auto"/>
              <w:tl2br w:val="nil"/>
              <w:tr2bl w:val="nil"/>
            </w:tcBorders>
            <w:noWrap/>
            <w:textDirection w:val="lrTb"/>
            <w:vAlign w:val="center"/>
          </w:tcPr>
          <w:p w:rsidR="0011736A" w:rsidRPr="0086352B" w:rsidP="0011736A">
            <w:pPr>
              <w:spacing w:line="240" w:lineRule="auto"/>
              <w:jc w:val="right"/>
              <w:rPr>
                <w:rFonts w:ascii="Arial Narrow" w:hAnsi="Arial Narrow" w:cs="Arial"/>
                <w:sz w:val="18"/>
                <w:szCs w:val="18"/>
                <w:lang w:val="cs-CZ"/>
              </w:rPr>
            </w:pPr>
            <w:r>
              <w:rPr>
                <w:rFonts w:ascii="Arial Narrow" w:hAnsi="Arial Narrow" w:cs="Arial"/>
                <w:sz w:val="18"/>
                <w:szCs w:val="18"/>
              </w:rPr>
              <w:t>1 182 632</w:t>
            </w:r>
          </w:p>
        </w:tc>
        <w:tc>
          <w:tcPr>
            <w:tcW w:w="960" w:type="dxa"/>
            <w:tcBorders>
              <w:top w:val="nil"/>
              <w:left w:val="nil"/>
              <w:bottom w:val="single" w:sz="8" w:space="0" w:color="auto"/>
              <w:right w:val="single" w:sz="8" w:space="0" w:color="auto"/>
              <w:tl2br w:val="nil"/>
              <w:tr2bl w:val="nil"/>
            </w:tcBorders>
            <w:noWrap/>
            <w:textDirection w:val="lrTb"/>
            <w:vAlign w:val="center"/>
          </w:tcPr>
          <w:p w:rsidR="0011736A" w:rsidRPr="0086352B" w:rsidP="0011736A">
            <w:pPr>
              <w:spacing w:line="240" w:lineRule="auto"/>
              <w:jc w:val="right"/>
              <w:rPr>
                <w:rFonts w:ascii="Arial Narrow" w:hAnsi="Arial Narrow" w:cs="Arial"/>
                <w:sz w:val="18"/>
                <w:szCs w:val="18"/>
                <w:lang w:val="cs-CZ"/>
              </w:rPr>
            </w:pPr>
            <w:r>
              <w:rPr>
                <w:rFonts w:ascii="Arial Narrow" w:hAnsi="Arial Narrow" w:cs="Arial"/>
                <w:sz w:val="18"/>
                <w:szCs w:val="18"/>
                <w:lang w:val="cs-CZ"/>
              </w:rPr>
              <w:t>1 248 645</w:t>
            </w:r>
          </w:p>
        </w:tc>
        <w:tc>
          <w:tcPr>
            <w:tcW w:w="960" w:type="dxa"/>
            <w:tcBorders>
              <w:top w:val="nil"/>
              <w:left w:val="nil"/>
              <w:bottom w:val="single" w:sz="8" w:space="0" w:color="auto"/>
              <w:right w:val="single" w:sz="8" w:space="0" w:color="auto"/>
              <w:tl2br w:val="nil"/>
              <w:tr2bl w:val="nil"/>
            </w:tcBorders>
            <w:noWrap/>
            <w:textDirection w:val="lrTb"/>
            <w:vAlign w:val="center"/>
          </w:tcPr>
          <w:p w:rsidR="0011736A" w:rsidRPr="0086352B" w:rsidP="0011736A">
            <w:pPr>
              <w:spacing w:line="240" w:lineRule="auto"/>
              <w:jc w:val="right"/>
              <w:rPr>
                <w:rFonts w:ascii="Arial Narrow" w:hAnsi="Arial Narrow" w:cs="Arial"/>
                <w:sz w:val="18"/>
                <w:szCs w:val="18"/>
                <w:lang w:val="cs-CZ"/>
              </w:rPr>
            </w:pPr>
            <w:r>
              <w:rPr>
                <w:rFonts w:ascii="Arial Narrow" w:hAnsi="Arial Narrow" w:cs="Arial"/>
                <w:sz w:val="18"/>
                <w:szCs w:val="18"/>
                <w:lang w:val="cs-CZ"/>
              </w:rPr>
              <w:t>1 253 472</w:t>
            </w:r>
          </w:p>
        </w:tc>
        <w:tc>
          <w:tcPr>
            <w:tcW w:w="840" w:type="dxa"/>
            <w:tcBorders>
              <w:top w:val="nil"/>
              <w:left w:val="nil"/>
              <w:bottom w:val="single" w:sz="8" w:space="0" w:color="auto"/>
              <w:right w:val="single" w:sz="12" w:space="0" w:color="auto"/>
              <w:tl2br w:val="nil"/>
              <w:tr2bl w:val="nil"/>
            </w:tcBorders>
            <w:noWrap/>
            <w:textDirection w:val="lrTb"/>
            <w:vAlign w:val="center"/>
          </w:tcPr>
          <w:p w:rsidR="0011736A" w:rsidRPr="0086352B" w:rsidP="0011736A">
            <w:pPr>
              <w:spacing w:line="240" w:lineRule="auto"/>
              <w:jc w:val="right"/>
              <w:rPr>
                <w:rFonts w:ascii="Arial Narrow" w:hAnsi="Arial Narrow" w:cs="Arial"/>
                <w:sz w:val="18"/>
                <w:szCs w:val="18"/>
                <w:lang w:val="cs-CZ"/>
              </w:rPr>
            </w:pPr>
            <w:r>
              <w:rPr>
                <w:rFonts w:ascii="Arial Narrow" w:hAnsi="Arial Narrow" w:cs="Arial"/>
                <w:sz w:val="18"/>
                <w:szCs w:val="18"/>
                <w:lang w:val="cs-CZ"/>
              </w:rPr>
              <w:t>0</w:t>
            </w:r>
          </w:p>
        </w:tc>
      </w:tr>
      <w:tr>
        <w:tblPrEx>
          <w:tblW w:w="9295" w:type="dxa"/>
          <w:tblInd w:w="55" w:type="dxa"/>
          <w:tblCellMar>
            <w:left w:w="70" w:type="dxa"/>
            <w:right w:w="70" w:type="dxa"/>
          </w:tblCellMar>
        </w:tblPrEx>
        <w:trPr>
          <w:trHeight w:val="227"/>
        </w:trPr>
        <w:tc>
          <w:tcPr>
            <w:tcW w:w="772" w:type="dxa"/>
            <w:tcBorders>
              <w:top w:val="nil"/>
              <w:left w:val="single" w:sz="12" w:space="0" w:color="auto"/>
              <w:bottom w:val="single" w:sz="8" w:space="0" w:color="auto"/>
              <w:right w:val="single" w:sz="8" w:space="0" w:color="auto"/>
              <w:tl2br w:val="nil"/>
              <w:tr2bl w:val="nil"/>
            </w:tcBorders>
            <w:noWrap/>
            <w:textDirection w:val="lrTb"/>
            <w:vAlign w:val="center"/>
          </w:tcPr>
          <w:p w:rsidR="0011736A" w:rsidRPr="0086352B" w:rsidP="0011736A">
            <w:pPr>
              <w:spacing w:line="240" w:lineRule="auto"/>
              <w:rPr>
                <w:rFonts w:ascii="Arial Narrow" w:hAnsi="Arial Narrow" w:cs="Arial"/>
                <w:sz w:val="18"/>
                <w:szCs w:val="18"/>
                <w:lang w:val="cs-CZ"/>
              </w:rPr>
            </w:pPr>
            <w:r>
              <w:rPr>
                <w:rFonts w:ascii="Arial Narrow" w:hAnsi="Arial Narrow" w:cs="Arial"/>
                <w:sz w:val="18"/>
                <w:szCs w:val="18"/>
              </w:rPr>
              <w:t>0</w:t>
            </w:r>
            <w:r w:rsidRPr="0086352B">
              <w:rPr>
                <w:rFonts w:ascii="Arial Narrow" w:hAnsi="Arial Narrow" w:cs="Arial"/>
                <w:sz w:val="18"/>
                <w:szCs w:val="18"/>
              </w:rPr>
              <w:t>530102</w:t>
            </w:r>
          </w:p>
        </w:tc>
        <w:tc>
          <w:tcPr>
            <w:tcW w:w="4823" w:type="dxa"/>
            <w:tcBorders>
              <w:top w:val="nil"/>
              <w:left w:val="nil"/>
              <w:bottom w:val="single" w:sz="8" w:space="0" w:color="auto"/>
              <w:right w:val="single" w:sz="8" w:space="0" w:color="auto"/>
              <w:tl2br w:val="nil"/>
              <w:tr2bl w:val="nil"/>
            </w:tcBorders>
            <w:textDirection w:val="lrTb"/>
            <w:vAlign w:val="center"/>
          </w:tcPr>
          <w:p w:rsidR="0011736A" w:rsidRPr="0086352B" w:rsidP="0011736A">
            <w:pPr>
              <w:spacing w:line="240" w:lineRule="auto"/>
              <w:rPr>
                <w:rFonts w:ascii="Arial Narrow" w:hAnsi="Arial Narrow" w:cs="Arial"/>
                <w:sz w:val="18"/>
                <w:szCs w:val="18"/>
                <w:lang w:val="cs-CZ"/>
              </w:rPr>
            </w:pPr>
            <w:r>
              <w:rPr>
                <w:rFonts w:ascii="Arial Narrow" w:hAnsi="Arial Narrow" w:cs="Arial"/>
                <w:sz w:val="18"/>
                <w:szCs w:val="18"/>
              </w:rPr>
              <w:t>Príprava a realizácia opráv diaľnic a rýchlostných ciest NDS</w:t>
            </w:r>
          </w:p>
        </w:tc>
        <w:tc>
          <w:tcPr>
            <w:tcW w:w="940" w:type="dxa"/>
            <w:tcBorders>
              <w:top w:val="nil"/>
              <w:left w:val="nil"/>
              <w:bottom w:val="single" w:sz="8" w:space="0" w:color="auto"/>
              <w:right w:val="single" w:sz="8" w:space="0" w:color="auto"/>
              <w:tl2br w:val="nil"/>
              <w:tr2bl w:val="nil"/>
            </w:tcBorders>
            <w:noWrap/>
            <w:textDirection w:val="lrTb"/>
            <w:vAlign w:val="center"/>
          </w:tcPr>
          <w:p w:rsidR="0011736A" w:rsidRPr="0086352B" w:rsidP="0011736A">
            <w:pPr>
              <w:spacing w:line="240" w:lineRule="auto"/>
              <w:jc w:val="right"/>
              <w:rPr>
                <w:rFonts w:ascii="Arial Narrow" w:hAnsi="Arial Narrow" w:cs="Arial"/>
                <w:sz w:val="18"/>
                <w:szCs w:val="18"/>
                <w:lang w:val="cs-CZ"/>
              </w:rPr>
            </w:pPr>
            <w:r>
              <w:rPr>
                <w:rFonts w:ascii="Arial Narrow" w:hAnsi="Arial Narrow" w:cs="Arial"/>
                <w:sz w:val="18"/>
                <w:szCs w:val="18"/>
                <w:lang w:val="cs-CZ"/>
              </w:rPr>
              <w:t>960 000</w:t>
            </w:r>
          </w:p>
        </w:tc>
        <w:tc>
          <w:tcPr>
            <w:tcW w:w="960" w:type="dxa"/>
            <w:tcBorders>
              <w:top w:val="nil"/>
              <w:left w:val="nil"/>
              <w:bottom w:val="single" w:sz="8" w:space="0" w:color="auto"/>
              <w:right w:val="single" w:sz="8" w:space="0" w:color="auto"/>
              <w:tl2br w:val="nil"/>
              <w:tr2bl w:val="nil"/>
            </w:tcBorders>
            <w:noWrap/>
            <w:textDirection w:val="lrTb"/>
            <w:vAlign w:val="center"/>
          </w:tcPr>
          <w:p w:rsidR="0011736A" w:rsidRPr="0086352B" w:rsidP="0011736A">
            <w:pPr>
              <w:spacing w:line="240" w:lineRule="auto"/>
              <w:jc w:val="right"/>
              <w:rPr>
                <w:rFonts w:ascii="Arial Narrow" w:hAnsi="Arial Narrow" w:cs="Arial"/>
                <w:sz w:val="18"/>
                <w:szCs w:val="18"/>
                <w:lang w:val="cs-CZ"/>
              </w:rPr>
            </w:pPr>
            <w:r>
              <w:rPr>
                <w:rFonts w:ascii="Arial Narrow" w:hAnsi="Arial Narrow" w:cs="Arial"/>
                <w:sz w:val="18"/>
                <w:szCs w:val="18"/>
                <w:lang w:val="cs-CZ"/>
              </w:rPr>
              <w:t>960 000</w:t>
            </w:r>
          </w:p>
        </w:tc>
        <w:tc>
          <w:tcPr>
            <w:tcW w:w="960" w:type="dxa"/>
            <w:tcBorders>
              <w:top w:val="nil"/>
              <w:left w:val="nil"/>
              <w:bottom w:val="single" w:sz="8" w:space="0" w:color="auto"/>
              <w:right w:val="single" w:sz="8" w:space="0" w:color="auto"/>
              <w:tl2br w:val="nil"/>
              <w:tr2bl w:val="nil"/>
            </w:tcBorders>
            <w:noWrap/>
            <w:textDirection w:val="lrTb"/>
            <w:vAlign w:val="center"/>
          </w:tcPr>
          <w:p w:rsidR="0011736A" w:rsidRPr="0086352B" w:rsidP="0011736A">
            <w:pPr>
              <w:spacing w:line="240" w:lineRule="auto"/>
              <w:jc w:val="right"/>
              <w:rPr>
                <w:rFonts w:ascii="Arial Narrow" w:hAnsi="Arial Narrow" w:cs="Arial"/>
                <w:sz w:val="18"/>
                <w:szCs w:val="18"/>
                <w:lang w:val="cs-CZ"/>
              </w:rPr>
            </w:pPr>
            <w:r>
              <w:rPr>
                <w:rFonts w:ascii="Arial Narrow" w:hAnsi="Arial Narrow" w:cs="Arial"/>
                <w:sz w:val="18"/>
                <w:szCs w:val="18"/>
                <w:lang w:val="cs-CZ"/>
              </w:rPr>
              <w:t>960 000</w:t>
            </w:r>
          </w:p>
        </w:tc>
        <w:tc>
          <w:tcPr>
            <w:tcW w:w="840" w:type="dxa"/>
            <w:tcBorders>
              <w:top w:val="nil"/>
              <w:left w:val="nil"/>
              <w:bottom w:val="single" w:sz="8" w:space="0" w:color="auto"/>
              <w:right w:val="single" w:sz="12" w:space="0" w:color="auto"/>
              <w:tl2br w:val="nil"/>
              <w:tr2bl w:val="nil"/>
            </w:tcBorders>
            <w:noWrap/>
            <w:textDirection w:val="lrTb"/>
            <w:vAlign w:val="center"/>
          </w:tcPr>
          <w:p w:rsidR="0011736A" w:rsidRPr="0086352B" w:rsidP="0011736A">
            <w:pPr>
              <w:spacing w:line="240" w:lineRule="auto"/>
              <w:jc w:val="right"/>
              <w:rPr>
                <w:rFonts w:ascii="Arial Narrow" w:hAnsi="Arial Narrow" w:cs="Arial"/>
                <w:sz w:val="18"/>
                <w:szCs w:val="18"/>
                <w:lang w:val="cs-CZ"/>
              </w:rPr>
            </w:pPr>
            <w:r>
              <w:rPr>
                <w:rFonts w:ascii="Arial Narrow" w:hAnsi="Arial Narrow" w:cs="Arial"/>
                <w:sz w:val="18"/>
                <w:szCs w:val="18"/>
                <w:lang w:val="cs-CZ"/>
              </w:rPr>
              <w:t>0</w:t>
            </w:r>
          </w:p>
        </w:tc>
      </w:tr>
      <w:tr>
        <w:tblPrEx>
          <w:tblW w:w="9295" w:type="dxa"/>
          <w:tblInd w:w="55" w:type="dxa"/>
          <w:tblCellMar>
            <w:left w:w="70" w:type="dxa"/>
            <w:right w:w="70" w:type="dxa"/>
          </w:tblCellMar>
        </w:tblPrEx>
        <w:trPr>
          <w:trHeight w:val="227"/>
        </w:trPr>
        <w:tc>
          <w:tcPr>
            <w:tcW w:w="772" w:type="dxa"/>
            <w:tcBorders>
              <w:top w:val="nil"/>
              <w:left w:val="single" w:sz="12" w:space="0" w:color="auto"/>
              <w:bottom w:val="single" w:sz="8" w:space="0" w:color="auto"/>
              <w:right w:val="single" w:sz="8" w:space="0" w:color="auto"/>
              <w:tl2br w:val="nil"/>
              <w:tr2bl w:val="nil"/>
            </w:tcBorders>
            <w:noWrap/>
            <w:textDirection w:val="lrTb"/>
            <w:vAlign w:val="center"/>
          </w:tcPr>
          <w:p w:rsidR="0011736A" w:rsidRPr="0086352B" w:rsidP="0011736A">
            <w:pPr>
              <w:spacing w:line="240" w:lineRule="auto"/>
              <w:rPr>
                <w:rFonts w:ascii="Arial Narrow" w:hAnsi="Arial Narrow" w:cs="Arial"/>
                <w:b/>
                <w:bCs/>
                <w:sz w:val="18"/>
                <w:szCs w:val="18"/>
                <w:lang w:val="cs-CZ"/>
              </w:rPr>
            </w:pPr>
            <w:r>
              <w:rPr>
                <w:rFonts w:ascii="Arial Narrow" w:hAnsi="Arial Narrow" w:cs="Arial"/>
                <w:b/>
                <w:bCs/>
                <w:iCs/>
                <w:sz w:val="18"/>
                <w:szCs w:val="18"/>
              </w:rPr>
              <w:t>0</w:t>
            </w:r>
            <w:r w:rsidRPr="0086352B">
              <w:rPr>
                <w:rFonts w:ascii="Arial Narrow" w:hAnsi="Arial Narrow" w:cs="Arial"/>
                <w:b/>
                <w:bCs/>
                <w:iCs/>
                <w:sz w:val="18"/>
                <w:szCs w:val="18"/>
              </w:rPr>
              <w:t>5302</w:t>
            </w:r>
          </w:p>
        </w:tc>
        <w:tc>
          <w:tcPr>
            <w:tcW w:w="4823" w:type="dxa"/>
            <w:tcBorders>
              <w:top w:val="nil"/>
              <w:left w:val="nil"/>
              <w:bottom w:val="single" w:sz="8" w:space="0" w:color="auto"/>
              <w:right w:val="single" w:sz="8" w:space="0" w:color="auto"/>
              <w:tl2br w:val="nil"/>
              <w:tr2bl w:val="nil"/>
            </w:tcBorders>
            <w:textDirection w:val="lrTb"/>
            <w:vAlign w:val="center"/>
          </w:tcPr>
          <w:p w:rsidR="0011736A" w:rsidRPr="0086352B" w:rsidP="0011736A">
            <w:pPr>
              <w:spacing w:line="240" w:lineRule="auto"/>
              <w:rPr>
                <w:rFonts w:ascii="Arial Narrow" w:hAnsi="Arial Narrow" w:cs="Arial"/>
                <w:b/>
                <w:bCs/>
                <w:sz w:val="18"/>
                <w:szCs w:val="18"/>
                <w:lang w:val="cs-CZ"/>
              </w:rPr>
            </w:pPr>
            <w:r w:rsidRPr="0086352B">
              <w:rPr>
                <w:rFonts w:ascii="Arial Narrow" w:hAnsi="Arial Narrow" w:cs="Arial"/>
                <w:b/>
                <w:bCs/>
                <w:iCs/>
                <w:sz w:val="18"/>
                <w:szCs w:val="18"/>
              </w:rPr>
              <w:t>Cestná sieť - výstavba a</w:t>
            </w:r>
            <w:r>
              <w:rPr>
                <w:rFonts w:ascii="Arial Narrow" w:hAnsi="Arial Narrow" w:cs="Arial"/>
                <w:b/>
                <w:bCs/>
                <w:iCs/>
                <w:sz w:val="18"/>
                <w:szCs w:val="18"/>
              </w:rPr>
              <w:t> </w:t>
            </w:r>
            <w:r w:rsidRPr="0086352B">
              <w:rPr>
                <w:rFonts w:ascii="Arial Narrow" w:hAnsi="Arial Narrow" w:cs="Arial"/>
                <w:b/>
                <w:bCs/>
                <w:iCs/>
                <w:sz w:val="18"/>
                <w:szCs w:val="18"/>
              </w:rPr>
              <w:t>obnova</w:t>
            </w:r>
          </w:p>
        </w:tc>
        <w:tc>
          <w:tcPr>
            <w:tcW w:w="940" w:type="dxa"/>
            <w:tcBorders>
              <w:top w:val="nil"/>
              <w:left w:val="nil"/>
              <w:bottom w:val="single" w:sz="8" w:space="0" w:color="auto"/>
              <w:right w:val="single" w:sz="8" w:space="0" w:color="auto"/>
              <w:tl2br w:val="nil"/>
              <w:tr2bl w:val="nil"/>
            </w:tcBorders>
            <w:noWrap/>
            <w:textDirection w:val="lrTb"/>
            <w:vAlign w:val="center"/>
          </w:tcPr>
          <w:p w:rsidR="0011736A" w:rsidRPr="0086352B" w:rsidP="0011736A">
            <w:pPr>
              <w:spacing w:line="240" w:lineRule="auto"/>
              <w:jc w:val="right"/>
              <w:rPr>
                <w:rFonts w:ascii="Arial Narrow" w:hAnsi="Arial Narrow" w:cs="Arial"/>
                <w:b/>
                <w:bCs/>
                <w:sz w:val="18"/>
                <w:szCs w:val="18"/>
                <w:lang w:val="cs-CZ"/>
              </w:rPr>
            </w:pPr>
            <w:r>
              <w:rPr>
                <w:rFonts w:ascii="Arial Narrow" w:hAnsi="Arial Narrow" w:cs="Arial"/>
                <w:b/>
                <w:bCs/>
                <w:iCs/>
                <w:sz w:val="18"/>
                <w:szCs w:val="18"/>
              </w:rPr>
              <w:t>3 205 982</w:t>
            </w:r>
          </w:p>
        </w:tc>
        <w:tc>
          <w:tcPr>
            <w:tcW w:w="960" w:type="dxa"/>
            <w:tcBorders>
              <w:top w:val="nil"/>
              <w:left w:val="nil"/>
              <w:bottom w:val="single" w:sz="8" w:space="0" w:color="auto"/>
              <w:right w:val="single" w:sz="8" w:space="0" w:color="auto"/>
              <w:tl2br w:val="nil"/>
              <w:tr2bl w:val="nil"/>
            </w:tcBorders>
            <w:noWrap/>
            <w:textDirection w:val="lrTb"/>
            <w:vAlign w:val="center"/>
          </w:tcPr>
          <w:p w:rsidR="0011736A" w:rsidRPr="0086352B" w:rsidP="0011736A">
            <w:pPr>
              <w:spacing w:line="240" w:lineRule="auto"/>
              <w:jc w:val="right"/>
              <w:rPr>
                <w:rFonts w:ascii="Arial Narrow" w:hAnsi="Arial Narrow" w:cs="Arial"/>
                <w:b/>
                <w:bCs/>
                <w:sz w:val="18"/>
                <w:szCs w:val="18"/>
                <w:lang w:val="cs-CZ"/>
              </w:rPr>
            </w:pPr>
            <w:r>
              <w:rPr>
                <w:rFonts w:ascii="Arial Narrow" w:hAnsi="Arial Narrow" w:cs="Arial"/>
                <w:b/>
                <w:bCs/>
                <w:sz w:val="18"/>
                <w:szCs w:val="18"/>
                <w:lang w:val="cs-CZ"/>
              </w:rPr>
              <w:t>2 580 715</w:t>
            </w:r>
          </w:p>
        </w:tc>
        <w:tc>
          <w:tcPr>
            <w:tcW w:w="960" w:type="dxa"/>
            <w:tcBorders>
              <w:top w:val="nil"/>
              <w:left w:val="nil"/>
              <w:bottom w:val="single" w:sz="8" w:space="0" w:color="auto"/>
              <w:right w:val="single" w:sz="8" w:space="0" w:color="auto"/>
              <w:tl2br w:val="nil"/>
              <w:tr2bl w:val="nil"/>
            </w:tcBorders>
            <w:noWrap/>
            <w:textDirection w:val="lrTb"/>
            <w:vAlign w:val="center"/>
          </w:tcPr>
          <w:p w:rsidR="0011736A" w:rsidRPr="0086352B" w:rsidP="0011736A">
            <w:pPr>
              <w:spacing w:line="240" w:lineRule="auto"/>
              <w:jc w:val="right"/>
              <w:rPr>
                <w:rFonts w:ascii="Arial Narrow" w:hAnsi="Arial Narrow" w:cs="Arial"/>
                <w:b/>
                <w:bCs/>
                <w:sz w:val="18"/>
                <w:szCs w:val="18"/>
                <w:lang w:val="cs-CZ"/>
              </w:rPr>
            </w:pPr>
            <w:r>
              <w:rPr>
                <w:rFonts w:ascii="Arial Narrow" w:hAnsi="Arial Narrow" w:cs="Arial"/>
                <w:b/>
                <w:bCs/>
                <w:sz w:val="18"/>
                <w:szCs w:val="18"/>
                <w:lang w:val="cs-CZ"/>
              </w:rPr>
              <w:t>2 579 557</w:t>
            </w:r>
          </w:p>
        </w:tc>
        <w:tc>
          <w:tcPr>
            <w:tcW w:w="840" w:type="dxa"/>
            <w:tcBorders>
              <w:top w:val="nil"/>
              <w:left w:val="nil"/>
              <w:bottom w:val="single" w:sz="8" w:space="0" w:color="auto"/>
              <w:right w:val="single" w:sz="12" w:space="0" w:color="auto"/>
              <w:tl2br w:val="nil"/>
              <w:tr2bl w:val="nil"/>
            </w:tcBorders>
            <w:noWrap/>
            <w:textDirection w:val="lrTb"/>
            <w:vAlign w:val="center"/>
          </w:tcPr>
          <w:p w:rsidR="0011736A" w:rsidRPr="0086352B" w:rsidP="0011736A">
            <w:pPr>
              <w:spacing w:line="240" w:lineRule="auto"/>
              <w:jc w:val="right"/>
              <w:rPr>
                <w:rFonts w:ascii="Arial Narrow" w:hAnsi="Arial Narrow" w:cs="Arial"/>
                <w:b/>
                <w:bCs/>
                <w:sz w:val="18"/>
                <w:szCs w:val="18"/>
                <w:lang w:val="cs-CZ"/>
              </w:rPr>
            </w:pPr>
            <w:r>
              <w:rPr>
                <w:rFonts w:ascii="Arial Narrow" w:hAnsi="Arial Narrow" w:cs="Arial"/>
                <w:b/>
                <w:bCs/>
                <w:sz w:val="18"/>
                <w:szCs w:val="18"/>
                <w:lang w:val="cs-CZ"/>
              </w:rPr>
              <w:t>72 277</w:t>
            </w:r>
          </w:p>
        </w:tc>
      </w:tr>
      <w:tr>
        <w:tblPrEx>
          <w:tblW w:w="9295" w:type="dxa"/>
          <w:tblInd w:w="55" w:type="dxa"/>
          <w:tblCellMar>
            <w:left w:w="70" w:type="dxa"/>
            <w:right w:w="70" w:type="dxa"/>
          </w:tblCellMar>
        </w:tblPrEx>
        <w:trPr>
          <w:trHeight w:val="227"/>
        </w:trPr>
        <w:tc>
          <w:tcPr>
            <w:tcW w:w="772" w:type="dxa"/>
            <w:tcBorders>
              <w:top w:val="nil"/>
              <w:left w:val="single" w:sz="12" w:space="0" w:color="auto"/>
              <w:bottom w:val="single" w:sz="8" w:space="0" w:color="auto"/>
              <w:right w:val="single" w:sz="8" w:space="0" w:color="auto"/>
              <w:tl2br w:val="nil"/>
              <w:tr2bl w:val="nil"/>
            </w:tcBorders>
            <w:noWrap/>
            <w:textDirection w:val="lrTb"/>
            <w:vAlign w:val="center"/>
          </w:tcPr>
          <w:p w:rsidR="0011736A" w:rsidRPr="0086352B" w:rsidP="0011736A">
            <w:pPr>
              <w:spacing w:line="240" w:lineRule="auto"/>
              <w:rPr>
                <w:rFonts w:ascii="Arial Narrow" w:hAnsi="Arial Narrow" w:cs="Arial"/>
                <w:sz w:val="18"/>
                <w:szCs w:val="18"/>
                <w:lang w:val="cs-CZ"/>
              </w:rPr>
            </w:pPr>
            <w:r>
              <w:rPr>
                <w:rFonts w:ascii="Arial Narrow" w:hAnsi="Arial Narrow" w:cs="Arial"/>
                <w:sz w:val="18"/>
                <w:szCs w:val="18"/>
              </w:rPr>
              <w:t>0</w:t>
            </w:r>
            <w:r w:rsidRPr="0086352B">
              <w:rPr>
                <w:rFonts w:ascii="Arial Narrow" w:hAnsi="Arial Narrow" w:cs="Arial"/>
                <w:sz w:val="18"/>
                <w:szCs w:val="18"/>
              </w:rPr>
              <w:t>530201</w:t>
            </w:r>
          </w:p>
        </w:tc>
        <w:tc>
          <w:tcPr>
            <w:tcW w:w="4823" w:type="dxa"/>
            <w:tcBorders>
              <w:top w:val="nil"/>
              <w:left w:val="nil"/>
              <w:bottom w:val="single" w:sz="8" w:space="0" w:color="auto"/>
              <w:right w:val="single" w:sz="8" w:space="0" w:color="auto"/>
              <w:tl2br w:val="nil"/>
              <w:tr2bl w:val="nil"/>
            </w:tcBorders>
            <w:textDirection w:val="lrTb"/>
            <w:vAlign w:val="center"/>
          </w:tcPr>
          <w:p w:rsidR="0011736A" w:rsidRPr="0086352B" w:rsidP="0011736A">
            <w:pPr>
              <w:spacing w:line="240" w:lineRule="auto"/>
              <w:rPr>
                <w:rFonts w:ascii="Arial Narrow" w:hAnsi="Arial Narrow" w:cs="Arial"/>
                <w:sz w:val="18"/>
                <w:szCs w:val="18"/>
                <w:lang w:val="cs-CZ"/>
              </w:rPr>
            </w:pPr>
            <w:r w:rsidRPr="0086352B">
              <w:rPr>
                <w:rFonts w:ascii="Arial Narrow" w:hAnsi="Arial Narrow" w:cs="Arial"/>
                <w:sz w:val="18"/>
                <w:szCs w:val="18"/>
              </w:rPr>
              <w:t>Výstavba cestnej siete</w:t>
            </w:r>
          </w:p>
        </w:tc>
        <w:tc>
          <w:tcPr>
            <w:tcW w:w="940" w:type="dxa"/>
            <w:tcBorders>
              <w:top w:val="nil"/>
              <w:left w:val="nil"/>
              <w:bottom w:val="single" w:sz="8" w:space="0" w:color="auto"/>
              <w:right w:val="single" w:sz="8" w:space="0" w:color="auto"/>
              <w:tl2br w:val="nil"/>
              <w:tr2bl w:val="nil"/>
            </w:tcBorders>
            <w:noWrap/>
            <w:textDirection w:val="lrTb"/>
            <w:vAlign w:val="center"/>
          </w:tcPr>
          <w:p w:rsidR="0011736A" w:rsidRPr="0086352B" w:rsidP="0011736A">
            <w:pPr>
              <w:spacing w:line="240" w:lineRule="auto"/>
              <w:jc w:val="right"/>
              <w:rPr>
                <w:rFonts w:ascii="Arial Narrow" w:hAnsi="Arial Narrow" w:cs="Arial"/>
                <w:sz w:val="18"/>
                <w:szCs w:val="18"/>
                <w:lang w:val="cs-CZ"/>
              </w:rPr>
            </w:pPr>
            <w:r>
              <w:rPr>
                <w:rFonts w:ascii="Arial Narrow" w:hAnsi="Arial Narrow" w:cs="Arial"/>
                <w:sz w:val="18"/>
                <w:szCs w:val="18"/>
              </w:rPr>
              <w:t>2 025 000</w:t>
            </w:r>
          </w:p>
        </w:tc>
        <w:tc>
          <w:tcPr>
            <w:tcW w:w="960" w:type="dxa"/>
            <w:tcBorders>
              <w:top w:val="nil"/>
              <w:left w:val="nil"/>
              <w:bottom w:val="single" w:sz="8" w:space="0" w:color="auto"/>
              <w:right w:val="single" w:sz="8" w:space="0" w:color="auto"/>
              <w:tl2br w:val="nil"/>
              <w:tr2bl w:val="nil"/>
            </w:tcBorders>
            <w:noWrap/>
            <w:textDirection w:val="lrTb"/>
            <w:vAlign w:val="center"/>
          </w:tcPr>
          <w:p w:rsidR="0011736A" w:rsidRPr="0086352B" w:rsidP="0011736A">
            <w:pPr>
              <w:spacing w:line="240" w:lineRule="auto"/>
              <w:jc w:val="right"/>
              <w:rPr>
                <w:rFonts w:ascii="Arial Narrow" w:hAnsi="Arial Narrow" w:cs="Arial"/>
                <w:sz w:val="18"/>
                <w:szCs w:val="18"/>
                <w:lang w:val="cs-CZ"/>
              </w:rPr>
            </w:pPr>
            <w:r>
              <w:rPr>
                <w:rFonts w:ascii="Arial Narrow" w:hAnsi="Arial Narrow" w:cs="Arial"/>
                <w:sz w:val="18"/>
                <w:szCs w:val="18"/>
                <w:lang w:val="cs-CZ"/>
              </w:rPr>
              <w:t>1 697 769</w:t>
            </w:r>
          </w:p>
        </w:tc>
        <w:tc>
          <w:tcPr>
            <w:tcW w:w="960" w:type="dxa"/>
            <w:tcBorders>
              <w:top w:val="nil"/>
              <w:left w:val="nil"/>
              <w:bottom w:val="single" w:sz="8" w:space="0" w:color="auto"/>
              <w:right w:val="single" w:sz="8" w:space="0" w:color="auto"/>
              <w:tl2br w:val="nil"/>
              <w:tr2bl w:val="nil"/>
            </w:tcBorders>
            <w:noWrap/>
            <w:textDirection w:val="lrTb"/>
            <w:vAlign w:val="center"/>
          </w:tcPr>
          <w:p w:rsidR="0011736A" w:rsidRPr="0086352B" w:rsidP="0011736A">
            <w:pPr>
              <w:spacing w:line="240" w:lineRule="auto"/>
              <w:jc w:val="right"/>
              <w:rPr>
                <w:rFonts w:ascii="Arial Narrow" w:hAnsi="Arial Narrow" w:cs="Arial"/>
                <w:sz w:val="18"/>
                <w:szCs w:val="18"/>
                <w:lang w:val="cs-CZ"/>
              </w:rPr>
            </w:pPr>
            <w:r>
              <w:rPr>
                <w:rFonts w:ascii="Arial Narrow" w:hAnsi="Arial Narrow" w:cs="Arial"/>
                <w:sz w:val="18"/>
                <w:szCs w:val="18"/>
                <w:lang w:val="cs-CZ"/>
              </w:rPr>
              <w:t>1 697 408</w:t>
            </w:r>
          </w:p>
        </w:tc>
        <w:tc>
          <w:tcPr>
            <w:tcW w:w="840" w:type="dxa"/>
            <w:tcBorders>
              <w:top w:val="nil"/>
              <w:left w:val="nil"/>
              <w:bottom w:val="single" w:sz="8" w:space="0" w:color="auto"/>
              <w:right w:val="single" w:sz="12" w:space="0" w:color="auto"/>
              <w:tl2br w:val="nil"/>
              <w:tr2bl w:val="nil"/>
            </w:tcBorders>
            <w:noWrap/>
            <w:textDirection w:val="lrTb"/>
            <w:vAlign w:val="center"/>
          </w:tcPr>
          <w:p w:rsidR="0011736A" w:rsidRPr="0086352B" w:rsidP="0011736A">
            <w:pPr>
              <w:spacing w:line="240" w:lineRule="auto"/>
              <w:jc w:val="right"/>
              <w:rPr>
                <w:rFonts w:ascii="Arial Narrow" w:hAnsi="Arial Narrow" w:cs="Arial"/>
                <w:sz w:val="18"/>
                <w:szCs w:val="18"/>
                <w:lang w:val="cs-CZ"/>
              </w:rPr>
            </w:pPr>
            <w:r>
              <w:rPr>
                <w:rFonts w:ascii="Arial Narrow" w:hAnsi="Arial Narrow" w:cs="Arial"/>
                <w:sz w:val="18"/>
                <w:szCs w:val="18"/>
                <w:lang w:val="cs-CZ"/>
              </w:rPr>
              <w:t>28 082</w:t>
            </w:r>
          </w:p>
        </w:tc>
      </w:tr>
      <w:tr>
        <w:tblPrEx>
          <w:tblW w:w="9295" w:type="dxa"/>
          <w:tblInd w:w="55" w:type="dxa"/>
          <w:tblCellMar>
            <w:left w:w="70" w:type="dxa"/>
            <w:right w:w="70" w:type="dxa"/>
          </w:tblCellMar>
        </w:tblPrEx>
        <w:trPr>
          <w:trHeight w:val="227"/>
        </w:trPr>
        <w:tc>
          <w:tcPr>
            <w:tcW w:w="772" w:type="dxa"/>
            <w:tcBorders>
              <w:top w:val="nil"/>
              <w:left w:val="single" w:sz="12" w:space="0" w:color="auto"/>
              <w:bottom w:val="single" w:sz="8" w:space="0" w:color="auto"/>
              <w:right w:val="single" w:sz="8" w:space="0" w:color="auto"/>
              <w:tl2br w:val="nil"/>
              <w:tr2bl w:val="nil"/>
            </w:tcBorders>
            <w:noWrap/>
            <w:textDirection w:val="lrTb"/>
            <w:vAlign w:val="center"/>
          </w:tcPr>
          <w:p w:rsidR="0011736A" w:rsidRPr="0086352B" w:rsidP="0011736A">
            <w:pPr>
              <w:spacing w:line="240" w:lineRule="auto"/>
              <w:rPr>
                <w:rFonts w:ascii="Arial Narrow" w:hAnsi="Arial Narrow" w:cs="Arial"/>
                <w:sz w:val="18"/>
                <w:szCs w:val="18"/>
                <w:lang w:val="cs-CZ"/>
              </w:rPr>
            </w:pPr>
            <w:r>
              <w:rPr>
                <w:rFonts w:ascii="Arial Narrow" w:hAnsi="Arial Narrow" w:cs="Arial"/>
                <w:sz w:val="18"/>
                <w:szCs w:val="18"/>
              </w:rPr>
              <w:t>0</w:t>
            </w:r>
            <w:r w:rsidRPr="0086352B">
              <w:rPr>
                <w:rFonts w:ascii="Arial Narrow" w:hAnsi="Arial Narrow" w:cs="Arial"/>
                <w:sz w:val="18"/>
                <w:szCs w:val="18"/>
              </w:rPr>
              <w:t>530202</w:t>
            </w:r>
          </w:p>
        </w:tc>
        <w:tc>
          <w:tcPr>
            <w:tcW w:w="4823" w:type="dxa"/>
            <w:tcBorders>
              <w:top w:val="nil"/>
              <w:left w:val="nil"/>
              <w:bottom w:val="single" w:sz="8" w:space="0" w:color="auto"/>
              <w:right w:val="single" w:sz="8" w:space="0" w:color="auto"/>
              <w:tl2br w:val="nil"/>
              <w:tr2bl w:val="nil"/>
            </w:tcBorders>
            <w:textDirection w:val="lrTb"/>
            <w:vAlign w:val="center"/>
          </w:tcPr>
          <w:p w:rsidR="0011736A" w:rsidRPr="0086352B" w:rsidP="0011736A">
            <w:pPr>
              <w:spacing w:line="240" w:lineRule="auto"/>
              <w:rPr>
                <w:rFonts w:ascii="Arial Narrow" w:hAnsi="Arial Narrow" w:cs="Arial"/>
                <w:sz w:val="18"/>
                <w:szCs w:val="18"/>
                <w:lang w:val="cs-CZ"/>
              </w:rPr>
            </w:pPr>
            <w:r w:rsidRPr="0086352B">
              <w:rPr>
                <w:rFonts w:ascii="Arial Narrow" w:hAnsi="Arial Narrow" w:cs="Arial"/>
                <w:sz w:val="18"/>
                <w:szCs w:val="18"/>
              </w:rPr>
              <w:t>Obnova technickej základne údržby ciest a</w:t>
            </w:r>
            <w:r>
              <w:rPr>
                <w:rFonts w:ascii="Arial Narrow" w:hAnsi="Arial Narrow" w:cs="Arial"/>
                <w:sz w:val="18"/>
                <w:szCs w:val="18"/>
              </w:rPr>
              <w:t> </w:t>
            </w:r>
            <w:r w:rsidRPr="0086352B">
              <w:rPr>
                <w:rFonts w:ascii="Arial Narrow" w:hAnsi="Arial Narrow" w:cs="Arial"/>
                <w:sz w:val="18"/>
                <w:szCs w:val="18"/>
              </w:rPr>
              <w:t>diaľnic</w:t>
            </w:r>
          </w:p>
        </w:tc>
        <w:tc>
          <w:tcPr>
            <w:tcW w:w="940" w:type="dxa"/>
            <w:tcBorders>
              <w:top w:val="nil"/>
              <w:left w:val="nil"/>
              <w:bottom w:val="single" w:sz="8" w:space="0" w:color="auto"/>
              <w:right w:val="single" w:sz="8" w:space="0" w:color="auto"/>
              <w:tl2br w:val="nil"/>
              <w:tr2bl w:val="nil"/>
            </w:tcBorders>
            <w:noWrap/>
            <w:textDirection w:val="lrTb"/>
            <w:vAlign w:val="center"/>
          </w:tcPr>
          <w:p w:rsidR="0011736A" w:rsidRPr="0086352B" w:rsidP="0011736A">
            <w:pPr>
              <w:spacing w:line="240" w:lineRule="auto"/>
              <w:jc w:val="right"/>
              <w:rPr>
                <w:rFonts w:ascii="Arial Narrow" w:hAnsi="Arial Narrow" w:cs="Arial"/>
                <w:sz w:val="18"/>
                <w:szCs w:val="18"/>
                <w:lang w:val="cs-CZ"/>
              </w:rPr>
            </w:pPr>
            <w:r>
              <w:rPr>
                <w:rFonts w:ascii="Arial Narrow" w:hAnsi="Arial Narrow" w:cs="Arial"/>
                <w:sz w:val="18"/>
                <w:szCs w:val="18"/>
              </w:rPr>
              <w:t>0</w:t>
            </w:r>
          </w:p>
        </w:tc>
        <w:tc>
          <w:tcPr>
            <w:tcW w:w="960" w:type="dxa"/>
            <w:tcBorders>
              <w:top w:val="nil"/>
              <w:left w:val="nil"/>
              <w:bottom w:val="single" w:sz="8" w:space="0" w:color="auto"/>
              <w:right w:val="single" w:sz="8" w:space="0" w:color="auto"/>
              <w:tl2br w:val="nil"/>
              <w:tr2bl w:val="nil"/>
            </w:tcBorders>
            <w:noWrap/>
            <w:textDirection w:val="lrTb"/>
            <w:vAlign w:val="center"/>
          </w:tcPr>
          <w:p w:rsidR="0011736A" w:rsidRPr="0086352B" w:rsidP="0011736A">
            <w:pPr>
              <w:spacing w:line="240" w:lineRule="auto"/>
              <w:jc w:val="right"/>
              <w:rPr>
                <w:rFonts w:ascii="Arial Narrow" w:hAnsi="Arial Narrow" w:cs="Arial"/>
                <w:sz w:val="18"/>
                <w:szCs w:val="18"/>
                <w:lang w:val="cs-CZ"/>
              </w:rPr>
            </w:pPr>
            <w:r>
              <w:rPr>
                <w:rFonts w:ascii="Arial Narrow" w:hAnsi="Arial Narrow" w:cs="Arial"/>
                <w:sz w:val="18"/>
                <w:szCs w:val="18"/>
                <w:lang w:val="cs-CZ"/>
              </w:rPr>
              <w:t>16 809</w:t>
            </w:r>
          </w:p>
        </w:tc>
        <w:tc>
          <w:tcPr>
            <w:tcW w:w="960" w:type="dxa"/>
            <w:tcBorders>
              <w:top w:val="nil"/>
              <w:left w:val="nil"/>
              <w:bottom w:val="single" w:sz="8" w:space="0" w:color="auto"/>
              <w:right w:val="single" w:sz="8" w:space="0" w:color="auto"/>
              <w:tl2br w:val="nil"/>
              <w:tr2bl w:val="nil"/>
            </w:tcBorders>
            <w:noWrap/>
            <w:textDirection w:val="lrTb"/>
            <w:vAlign w:val="center"/>
          </w:tcPr>
          <w:p w:rsidR="0011736A" w:rsidRPr="0086352B" w:rsidP="0011736A">
            <w:pPr>
              <w:spacing w:line="240" w:lineRule="auto"/>
              <w:jc w:val="right"/>
              <w:rPr>
                <w:rFonts w:ascii="Arial Narrow" w:hAnsi="Arial Narrow" w:cs="Arial"/>
                <w:sz w:val="18"/>
                <w:szCs w:val="18"/>
                <w:lang w:val="cs-CZ"/>
              </w:rPr>
            </w:pPr>
            <w:r>
              <w:rPr>
                <w:rFonts w:ascii="Arial Narrow" w:hAnsi="Arial Narrow" w:cs="Arial"/>
                <w:sz w:val="18"/>
                <w:szCs w:val="18"/>
                <w:lang w:val="cs-CZ"/>
              </w:rPr>
              <w:t xml:space="preserve">16 809 </w:t>
            </w:r>
          </w:p>
        </w:tc>
        <w:tc>
          <w:tcPr>
            <w:tcW w:w="840" w:type="dxa"/>
            <w:tcBorders>
              <w:top w:val="nil"/>
              <w:left w:val="nil"/>
              <w:bottom w:val="single" w:sz="8" w:space="0" w:color="auto"/>
              <w:right w:val="single" w:sz="12" w:space="0" w:color="auto"/>
              <w:tl2br w:val="nil"/>
              <w:tr2bl w:val="nil"/>
            </w:tcBorders>
            <w:noWrap/>
            <w:textDirection w:val="lrTb"/>
            <w:vAlign w:val="center"/>
          </w:tcPr>
          <w:p w:rsidR="0011736A" w:rsidRPr="0086352B" w:rsidP="0011736A">
            <w:pPr>
              <w:spacing w:line="240" w:lineRule="auto"/>
              <w:jc w:val="right"/>
              <w:rPr>
                <w:rFonts w:ascii="Arial Narrow" w:hAnsi="Arial Narrow" w:cs="Arial"/>
                <w:sz w:val="18"/>
                <w:szCs w:val="18"/>
                <w:lang w:val="cs-CZ"/>
              </w:rPr>
            </w:pPr>
            <w:r>
              <w:rPr>
                <w:rFonts w:ascii="Arial Narrow" w:hAnsi="Arial Narrow" w:cs="Arial"/>
                <w:sz w:val="18"/>
                <w:szCs w:val="18"/>
                <w:lang w:val="cs-CZ"/>
              </w:rPr>
              <w:t>2 307</w:t>
            </w:r>
          </w:p>
        </w:tc>
      </w:tr>
      <w:tr>
        <w:tblPrEx>
          <w:tblW w:w="9295" w:type="dxa"/>
          <w:tblInd w:w="55" w:type="dxa"/>
          <w:tblCellMar>
            <w:left w:w="70" w:type="dxa"/>
            <w:right w:w="70" w:type="dxa"/>
          </w:tblCellMar>
        </w:tblPrEx>
        <w:trPr>
          <w:trHeight w:val="227"/>
        </w:trPr>
        <w:tc>
          <w:tcPr>
            <w:tcW w:w="772" w:type="dxa"/>
            <w:tcBorders>
              <w:top w:val="nil"/>
              <w:left w:val="single" w:sz="12" w:space="0" w:color="auto"/>
              <w:bottom w:val="single" w:sz="8" w:space="0" w:color="auto"/>
              <w:right w:val="single" w:sz="8" w:space="0" w:color="auto"/>
              <w:tl2br w:val="nil"/>
              <w:tr2bl w:val="nil"/>
            </w:tcBorders>
            <w:noWrap/>
            <w:textDirection w:val="lrTb"/>
            <w:vAlign w:val="center"/>
          </w:tcPr>
          <w:p w:rsidR="0011736A" w:rsidRPr="0086352B" w:rsidP="0011736A">
            <w:pPr>
              <w:spacing w:line="240" w:lineRule="auto"/>
              <w:rPr>
                <w:rFonts w:ascii="Arial Narrow" w:hAnsi="Arial Narrow" w:cs="Arial"/>
                <w:sz w:val="18"/>
                <w:szCs w:val="18"/>
                <w:lang w:val="cs-CZ"/>
              </w:rPr>
            </w:pPr>
            <w:r>
              <w:rPr>
                <w:rFonts w:ascii="Arial Narrow" w:hAnsi="Arial Narrow" w:cs="Arial"/>
                <w:sz w:val="18"/>
                <w:szCs w:val="18"/>
              </w:rPr>
              <w:t>0</w:t>
            </w:r>
            <w:r w:rsidRPr="0086352B">
              <w:rPr>
                <w:rFonts w:ascii="Arial Narrow" w:hAnsi="Arial Narrow" w:cs="Arial"/>
                <w:sz w:val="18"/>
                <w:szCs w:val="18"/>
              </w:rPr>
              <w:t>530203</w:t>
            </w:r>
          </w:p>
        </w:tc>
        <w:tc>
          <w:tcPr>
            <w:tcW w:w="4823" w:type="dxa"/>
            <w:tcBorders>
              <w:top w:val="nil"/>
              <w:left w:val="nil"/>
              <w:bottom w:val="single" w:sz="8" w:space="0" w:color="auto"/>
              <w:right w:val="single" w:sz="8" w:space="0" w:color="auto"/>
              <w:tl2br w:val="nil"/>
              <w:tr2bl w:val="nil"/>
            </w:tcBorders>
            <w:textDirection w:val="lrTb"/>
            <w:vAlign w:val="center"/>
          </w:tcPr>
          <w:p w:rsidR="0011736A" w:rsidRPr="0086352B" w:rsidP="0011736A">
            <w:pPr>
              <w:spacing w:line="240" w:lineRule="auto"/>
              <w:rPr>
                <w:rFonts w:ascii="Arial Narrow" w:hAnsi="Arial Narrow" w:cs="Arial"/>
                <w:sz w:val="18"/>
                <w:szCs w:val="18"/>
                <w:lang w:val="cs-CZ"/>
              </w:rPr>
            </w:pPr>
            <w:r>
              <w:rPr>
                <w:rFonts w:ascii="Arial Narrow" w:hAnsi="Arial Narrow" w:cs="Arial"/>
                <w:sz w:val="18"/>
                <w:szCs w:val="18"/>
              </w:rPr>
              <w:t xml:space="preserve">Preložka štátnej </w:t>
            </w:r>
            <w:r w:rsidRPr="0086352B">
              <w:rPr>
                <w:rFonts w:ascii="Arial Narrow" w:hAnsi="Arial Narrow" w:cs="Arial"/>
                <w:sz w:val="18"/>
                <w:szCs w:val="18"/>
              </w:rPr>
              <w:t>cesty II/ 520 Nová By</w:t>
            </w:r>
            <w:r>
              <w:rPr>
                <w:rFonts w:ascii="Arial Narrow" w:hAnsi="Arial Narrow" w:cs="Arial"/>
                <w:sz w:val="18"/>
                <w:szCs w:val="18"/>
              </w:rPr>
              <w:t xml:space="preserve">strica – Oravská </w:t>
            </w:r>
            <w:r w:rsidRPr="0086352B">
              <w:rPr>
                <w:rFonts w:ascii="Arial Narrow" w:hAnsi="Arial Narrow" w:cs="Arial"/>
                <w:sz w:val="18"/>
                <w:szCs w:val="18"/>
              </w:rPr>
              <w:t>Lesná</w:t>
            </w:r>
          </w:p>
        </w:tc>
        <w:tc>
          <w:tcPr>
            <w:tcW w:w="940" w:type="dxa"/>
            <w:tcBorders>
              <w:top w:val="nil"/>
              <w:left w:val="nil"/>
              <w:bottom w:val="single" w:sz="8" w:space="0" w:color="auto"/>
              <w:right w:val="single" w:sz="8" w:space="0" w:color="auto"/>
              <w:tl2br w:val="nil"/>
              <w:tr2bl w:val="nil"/>
            </w:tcBorders>
            <w:noWrap/>
            <w:textDirection w:val="lrTb"/>
            <w:vAlign w:val="center"/>
          </w:tcPr>
          <w:p w:rsidR="0011736A" w:rsidRPr="0086352B" w:rsidP="0011736A">
            <w:pPr>
              <w:spacing w:line="240" w:lineRule="auto"/>
              <w:jc w:val="right"/>
              <w:rPr>
                <w:rFonts w:ascii="Arial Narrow" w:hAnsi="Arial Narrow" w:cs="Arial"/>
                <w:sz w:val="18"/>
                <w:szCs w:val="18"/>
                <w:lang w:val="cs-CZ"/>
              </w:rPr>
            </w:pPr>
            <w:r>
              <w:rPr>
                <w:rFonts w:ascii="Arial Narrow" w:hAnsi="Arial Narrow" w:cs="Arial"/>
                <w:sz w:val="18"/>
                <w:szCs w:val="18"/>
              </w:rPr>
              <w:t>500 000</w:t>
            </w:r>
          </w:p>
        </w:tc>
        <w:tc>
          <w:tcPr>
            <w:tcW w:w="960" w:type="dxa"/>
            <w:tcBorders>
              <w:top w:val="nil"/>
              <w:left w:val="nil"/>
              <w:bottom w:val="single" w:sz="8" w:space="0" w:color="auto"/>
              <w:right w:val="single" w:sz="8" w:space="0" w:color="auto"/>
              <w:tl2br w:val="nil"/>
              <w:tr2bl w:val="nil"/>
            </w:tcBorders>
            <w:noWrap/>
            <w:textDirection w:val="lrTb"/>
            <w:vAlign w:val="center"/>
          </w:tcPr>
          <w:p w:rsidR="0011736A" w:rsidRPr="0086352B" w:rsidP="0011736A">
            <w:pPr>
              <w:spacing w:line="240" w:lineRule="auto"/>
              <w:jc w:val="right"/>
              <w:rPr>
                <w:rFonts w:ascii="Arial Narrow" w:hAnsi="Arial Narrow" w:cs="Arial"/>
                <w:sz w:val="18"/>
                <w:szCs w:val="18"/>
                <w:lang w:val="cs-CZ"/>
              </w:rPr>
            </w:pPr>
            <w:r>
              <w:rPr>
                <w:rFonts w:ascii="Arial Narrow" w:hAnsi="Arial Narrow" w:cs="Arial"/>
                <w:sz w:val="18"/>
                <w:szCs w:val="18"/>
                <w:lang w:val="cs-CZ"/>
              </w:rPr>
              <w:t>799 772</w:t>
            </w:r>
          </w:p>
        </w:tc>
        <w:tc>
          <w:tcPr>
            <w:tcW w:w="960" w:type="dxa"/>
            <w:tcBorders>
              <w:top w:val="nil"/>
              <w:left w:val="nil"/>
              <w:bottom w:val="single" w:sz="8" w:space="0" w:color="auto"/>
              <w:right w:val="single" w:sz="8" w:space="0" w:color="auto"/>
              <w:tl2br w:val="nil"/>
              <w:tr2bl w:val="nil"/>
            </w:tcBorders>
            <w:noWrap/>
            <w:textDirection w:val="lrTb"/>
            <w:vAlign w:val="center"/>
          </w:tcPr>
          <w:p w:rsidR="0011736A" w:rsidRPr="0086352B" w:rsidP="0011736A">
            <w:pPr>
              <w:spacing w:line="240" w:lineRule="auto"/>
              <w:jc w:val="right"/>
              <w:rPr>
                <w:rFonts w:ascii="Arial Narrow" w:hAnsi="Arial Narrow" w:cs="Arial"/>
                <w:sz w:val="18"/>
                <w:szCs w:val="18"/>
                <w:lang w:val="cs-CZ"/>
              </w:rPr>
            </w:pPr>
            <w:r>
              <w:rPr>
                <w:rFonts w:ascii="Arial Narrow" w:hAnsi="Arial Narrow" w:cs="Arial"/>
                <w:sz w:val="18"/>
                <w:szCs w:val="18"/>
                <w:lang w:val="cs-CZ"/>
              </w:rPr>
              <w:t>799 772</w:t>
            </w:r>
          </w:p>
        </w:tc>
        <w:tc>
          <w:tcPr>
            <w:tcW w:w="840" w:type="dxa"/>
            <w:tcBorders>
              <w:top w:val="nil"/>
              <w:left w:val="nil"/>
              <w:bottom w:val="single" w:sz="8" w:space="0" w:color="auto"/>
              <w:right w:val="single" w:sz="12" w:space="0" w:color="auto"/>
              <w:tl2br w:val="nil"/>
              <w:tr2bl w:val="nil"/>
            </w:tcBorders>
            <w:noWrap/>
            <w:textDirection w:val="lrTb"/>
            <w:vAlign w:val="center"/>
          </w:tcPr>
          <w:p w:rsidR="0011736A" w:rsidRPr="0086352B" w:rsidP="0011736A">
            <w:pPr>
              <w:spacing w:line="240" w:lineRule="auto"/>
              <w:jc w:val="right"/>
              <w:rPr>
                <w:rFonts w:ascii="Arial Narrow" w:hAnsi="Arial Narrow" w:cs="Arial"/>
                <w:sz w:val="18"/>
                <w:szCs w:val="18"/>
                <w:lang w:val="cs-CZ"/>
              </w:rPr>
            </w:pPr>
            <w:r>
              <w:rPr>
                <w:rFonts w:ascii="Arial Narrow" w:hAnsi="Arial Narrow" w:cs="Arial"/>
                <w:sz w:val="18"/>
                <w:szCs w:val="18"/>
                <w:lang w:val="cs-CZ"/>
              </w:rPr>
              <w:t>0</w:t>
            </w:r>
          </w:p>
        </w:tc>
      </w:tr>
      <w:tr>
        <w:tblPrEx>
          <w:tblW w:w="9295" w:type="dxa"/>
          <w:tblInd w:w="55" w:type="dxa"/>
          <w:tblCellMar>
            <w:left w:w="70" w:type="dxa"/>
            <w:right w:w="70" w:type="dxa"/>
          </w:tblCellMar>
        </w:tblPrEx>
        <w:trPr>
          <w:trHeight w:val="227"/>
        </w:trPr>
        <w:tc>
          <w:tcPr>
            <w:tcW w:w="772" w:type="dxa"/>
            <w:tcBorders>
              <w:top w:val="nil"/>
              <w:left w:val="single" w:sz="12" w:space="0" w:color="auto"/>
              <w:bottom w:val="single" w:sz="8" w:space="0" w:color="auto"/>
              <w:right w:val="single" w:sz="8" w:space="0" w:color="auto"/>
              <w:tl2br w:val="nil"/>
              <w:tr2bl w:val="nil"/>
            </w:tcBorders>
            <w:noWrap/>
            <w:textDirection w:val="lrTb"/>
            <w:vAlign w:val="center"/>
          </w:tcPr>
          <w:p w:rsidR="0011736A" w:rsidRPr="0086352B" w:rsidP="0011736A">
            <w:pPr>
              <w:spacing w:line="240" w:lineRule="auto"/>
              <w:rPr>
                <w:rFonts w:ascii="Arial Narrow" w:hAnsi="Arial Narrow" w:cs="Arial"/>
                <w:sz w:val="18"/>
                <w:szCs w:val="18"/>
                <w:lang w:val="cs-CZ"/>
              </w:rPr>
            </w:pPr>
            <w:r>
              <w:rPr>
                <w:rFonts w:ascii="Arial Narrow" w:hAnsi="Arial Narrow" w:cs="Arial"/>
                <w:sz w:val="18"/>
                <w:szCs w:val="18"/>
              </w:rPr>
              <w:t>0</w:t>
            </w:r>
            <w:r w:rsidRPr="0086352B">
              <w:rPr>
                <w:rFonts w:ascii="Arial Narrow" w:hAnsi="Arial Narrow" w:cs="Arial"/>
                <w:sz w:val="18"/>
                <w:szCs w:val="18"/>
              </w:rPr>
              <w:t>530204</w:t>
            </w:r>
          </w:p>
        </w:tc>
        <w:tc>
          <w:tcPr>
            <w:tcW w:w="4823" w:type="dxa"/>
            <w:tcBorders>
              <w:top w:val="nil"/>
              <w:left w:val="nil"/>
              <w:bottom w:val="single" w:sz="8" w:space="0" w:color="auto"/>
              <w:right w:val="single" w:sz="8" w:space="0" w:color="auto"/>
              <w:tl2br w:val="nil"/>
              <w:tr2bl w:val="nil"/>
            </w:tcBorders>
            <w:textDirection w:val="lrTb"/>
            <w:vAlign w:val="center"/>
          </w:tcPr>
          <w:p w:rsidR="0011736A" w:rsidRPr="0086352B" w:rsidP="0011736A">
            <w:pPr>
              <w:spacing w:line="240" w:lineRule="auto"/>
              <w:rPr>
                <w:rFonts w:ascii="Arial Narrow" w:hAnsi="Arial Narrow" w:cs="Arial"/>
                <w:sz w:val="18"/>
                <w:szCs w:val="18"/>
                <w:lang w:val="cs-CZ"/>
              </w:rPr>
            </w:pPr>
            <w:r w:rsidRPr="0086352B">
              <w:rPr>
                <w:rFonts w:ascii="Arial Narrow" w:hAnsi="Arial Narrow" w:cs="Arial"/>
                <w:sz w:val="18"/>
                <w:szCs w:val="18"/>
              </w:rPr>
              <w:t>Severný obchvat mesta Trnava</w:t>
            </w:r>
          </w:p>
        </w:tc>
        <w:tc>
          <w:tcPr>
            <w:tcW w:w="940" w:type="dxa"/>
            <w:tcBorders>
              <w:top w:val="nil"/>
              <w:left w:val="nil"/>
              <w:bottom w:val="single" w:sz="8" w:space="0" w:color="auto"/>
              <w:right w:val="single" w:sz="8" w:space="0" w:color="auto"/>
              <w:tl2br w:val="nil"/>
              <w:tr2bl w:val="nil"/>
            </w:tcBorders>
            <w:noWrap/>
            <w:textDirection w:val="lrTb"/>
            <w:vAlign w:val="center"/>
          </w:tcPr>
          <w:p w:rsidR="0011736A" w:rsidRPr="0086352B" w:rsidP="0011736A">
            <w:pPr>
              <w:spacing w:line="240" w:lineRule="auto"/>
              <w:jc w:val="right"/>
              <w:rPr>
                <w:rFonts w:ascii="Arial Narrow" w:hAnsi="Arial Narrow" w:cs="Arial"/>
                <w:sz w:val="18"/>
                <w:szCs w:val="18"/>
                <w:lang w:val="cs-CZ"/>
              </w:rPr>
            </w:pPr>
            <w:r>
              <w:rPr>
                <w:rFonts w:ascii="Arial Narrow" w:hAnsi="Arial Narrow" w:cs="Arial"/>
                <w:sz w:val="18"/>
                <w:szCs w:val="18"/>
              </w:rPr>
              <w:t>92 000</w:t>
            </w:r>
          </w:p>
        </w:tc>
        <w:tc>
          <w:tcPr>
            <w:tcW w:w="960" w:type="dxa"/>
            <w:tcBorders>
              <w:top w:val="nil"/>
              <w:left w:val="nil"/>
              <w:bottom w:val="single" w:sz="8" w:space="0" w:color="auto"/>
              <w:right w:val="single" w:sz="8" w:space="0" w:color="auto"/>
              <w:tl2br w:val="nil"/>
              <w:tr2bl w:val="nil"/>
            </w:tcBorders>
            <w:noWrap/>
            <w:textDirection w:val="lrTb"/>
            <w:vAlign w:val="center"/>
          </w:tcPr>
          <w:p w:rsidR="0011736A" w:rsidRPr="0086352B" w:rsidP="0011736A">
            <w:pPr>
              <w:spacing w:line="240" w:lineRule="auto"/>
              <w:jc w:val="right"/>
              <w:rPr>
                <w:rFonts w:ascii="Arial Narrow" w:hAnsi="Arial Narrow" w:cs="Arial"/>
                <w:sz w:val="18"/>
                <w:szCs w:val="18"/>
                <w:lang w:val="cs-CZ"/>
              </w:rPr>
            </w:pPr>
            <w:r>
              <w:rPr>
                <w:rFonts w:ascii="Arial Narrow" w:hAnsi="Arial Narrow" w:cs="Arial"/>
                <w:sz w:val="18"/>
                <w:szCs w:val="18"/>
                <w:lang w:val="cs-CZ"/>
              </w:rPr>
              <w:t>66 365</w:t>
            </w:r>
          </w:p>
        </w:tc>
        <w:tc>
          <w:tcPr>
            <w:tcW w:w="960" w:type="dxa"/>
            <w:tcBorders>
              <w:top w:val="nil"/>
              <w:left w:val="nil"/>
              <w:bottom w:val="single" w:sz="8" w:space="0" w:color="auto"/>
              <w:right w:val="single" w:sz="8" w:space="0" w:color="auto"/>
              <w:tl2br w:val="nil"/>
              <w:tr2bl w:val="nil"/>
            </w:tcBorders>
            <w:noWrap/>
            <w:textDirection w:val="lrTb"/>
            <w:vAlign w:val="center"/>
          </w:tcPr>
          <w:p w:rsidR="0011736A" w:rsidRPr="0086352B" w:rsidP="0011736A">
            <w:pPr>
              <w:spacing w:line="240" w:lineRule="auto"/>
              <w:jc w:val="right"/>
              <w:rPr>
                <w:rFonts w:ascii="Arial Narrow" w:hAnsi="Arial Narrow" w:cs="Arial"/>
                <w:sz w:val="18"/>
                <w:szCs w:val="18"/>
                <w:lang w:val="cs-CZ"/>
              </w:rPr>
            </w:pPr>
            <w:r>
              <w:rPr>
                <w:rFonts w:ascii="Arial Narrow" w:hAnsi="Arial Narrow" w:cs="Arial"/>
                <w:sz w:val="18"/>
                <w:szCs w:val="18"/>
                <w:lang w:val="cs-CZ"/>
              </w:rPr>
              <w:t>65 568</w:t>
            </w:r>
          </w:p>
        </w:tc>
        <w:tc>
          <w:tcPr>
            <w:tcW w:w="840" w:type="dxa"/>
            <w:tcBorders>
              <w:top w:val="nil"/>
              <w:left w:val="nil"/>
              <w:bottom w:val="single" w:sz="8" w:space="0" w:color="auto"/>
              <w:right w:val="single" w:sz="12" w:space="0" w:color="auto"/>
              <w:tl2br w:val="nil"/>
              <w:tr2bl w:val="nil"/>
            </w:tcBorders>
            <w:noWrap/>
            <w:textDirection w:val="lrTb"/>
            <w:vAlign w:val="center"/>
          </w:tcPr>
          <w:p w:rsidR="0011736A" w:rsidRPr="0086352B" w:rsidP="0011736A">
            <w:pPr>
              <w:spacing w:line="240" w:lineRule="auto"/>
              <w:jc w:val="right"/>
              <w:rPr>
                <w:rFonts w:ascii="Arial Narrow" w:hAnsi="Arial Narrow" w:cs="Arial"/>
                <w:sz w:val="18"/>
                <w:szCs w:val="18"/>
                <w:lang w:val="cs-CZ"/>
              </w:rPr>
            </w:pPr>
            <w:r>
              <w:rPr>
                <w:rFonts w:ascii="Arial Narrow" w:hAnsi="Arial Narrow" w:cs="Arial"/>
                <w:sz w:val="18"/>
                <w:szCs w:val="18"/>
                <w:lang w:val="cs-CZ"/>
              </w:rPr>
              <w:t>41 888</w:t>
            </w:r>
          </w:p>
        </w:tc>
      </w:tr>
      <w:tr>
        <w:tblPrEx>
          <w:tblW w:w="9295" w:type="dxa"/>
          <w:tblInd w:w="55" w:type="dxa"/>
          <w:tblCellMar>
            <w:left w:w="70" w:type="dxa"/>
            <w:right w:w="70" w:type="dxa"/>
          </w:tblCellMar>
        </w:tblPrEx>
        <w:trPr>
          <w:trHeight w:val="227"/>
        </w:trPr>
        <w:tc>
          <w:tcPr>
            <w:tcW w:w="772" w:type="dxa"/>
            <w:tcBorders>
              <w:top w:val="nil"/>
              <w:left w:val="single" w:sz="12" w:space="0" w:color="auto"/>
              <w:bottom w:val="single" w:sz="8" w:space="0" w:color="auto"/>
              <w:right w:val="single" w:sz="8" w:space="0" w:color="auto"/>
              <w:tl2br w:val="nil"/>
              <w:tr2bl w:val="nil"/>
            </w:tcBorders>
            <w:noWrap/>
            <w:textDirection w:val="lrTb"/>
            <w:vAlign w:val="center"/>
          </w:tcPr>
          <w:p w:rsidR="0011736A" w:rsidRPr="00473217" w:rsidP="0011736A">
            <w:pPr>
              <w:spacing w:line="240" w:lineRule="auto"/>
              <w:rPr>
                <w:rFonts w:ascii="Arial Narrow" w:hAnsi="Arial Narrow" w:cs="Arial"/>
                <w:bCs/>
                <w:iCs/>
                <w:sz w:val="18"/>
                <w:szCs w:val="18"/>
              </w:rPr>
            </w:pPr>
            <w:r w:rsidRPr="00473217">
              <w:rPr>
                <w:rFonts w:ascii="Arial Narrow" w:hAnsi="Arial Narrow" w:cs="Arial"/>
                <w:bCs/>
                <w:iCs/>
                <w:sz w:val="18"/>
                <w:szCs w:val="18"/>
              </w:rPr>
              <w:t>0530205</w:t>
            </w:r>
          </w:p>
        </w:tc>
        <w:tc>
          <w:tcPr>
            <w:tcW w:w="4823" w:type="dxa"/>
            <w:tcBorders>
              <w:top w:val="nil"/>
              <w:left w:val="nil"/>
              <w:bottom w:val="single" w:sz="8" w:space="0" w:color="auto"/>
              <w:right w:val="single" w:sz="8" w:space="0" w:color="auto"/>
              <w:tl2br w:val="nil"/>
              <w:tr2bl w:val="nil"/>
            </w:tcBorders>
            <w:textDirection w:val="lrTb"/>
            <w:vAlign w:val="center"/>
          </w:tcPr>
          <w:p w:rsidR="0011736A" w:rsidRPr="0086352B" w:rsidP="0011736A">
            <w:pPr>
              <w:spacing w:line="240" w:lineRule="auto"/>
              <w:rPr>
                <w:rFonts w:ascii="Arial Narrow" w:hAnsi="Arial Narrow" w:cs="Arial"/>
                <w:sz w:val="18"/>
                <w:szCs w:val="18"/>
                <w:lang w:val="cs-CZ"/>
              </w:rPr>
            </w:pPr>
            <w:r>
              <w:rPr>
                <w:rFonts w:ascii="Arial Narrow" w:hAnsi="Arial Narrow" w:cs="Arial"/>
                <w:sz w:val="18"/>
                <w:szCs w:val="18"/>
              </w:rPr>
              <w:t xml:space="preserve">Modern. </w:t>
            </w:r>
            <w:r w:rsidRPr="0086352B">
              <w:rPr>
                <w:rFonts w:ascii="Arial Narrow" w:hAnsi="Arial Narrow" w:cs="Arial"/>
                <w:sz w:val="18"/>
                <w:szCs w:val="18"/>
              </w:rPr>
              <w:t>a rozvoj cestnej infraštruktúry</w:t>
            </w:r>
            <w:r>
              <w:rPr>
                <w:rFonts w:ascii="Arial Narrow" w:hAnsi="Arial Narrow" w:cs="Arial"/>
                <w:sz w:val="18"/>
                <w:szCs w:val="18"/>
              </w:rPr>
              <w:t xml:space="preserve"> </w:t>
            </w:r>
            <w:r w:rsidRPr="0086352B">
              <w:rPr>
                <w:rFonts w:ascii="Arial Narrow" w:hAnsi="Arial Narrow" w:cs="Arial"/>
                <w:sz w:val="18"/>
                <w:szCs w:val="18"/>
              </w:rPr>
              <w:t>-</w:t>
            </w:r>
            <w:r>
              <w:rPr>
                <w:rFonts w:ascii="Arial Narrow" w:hAnsi="Arial Narrow" w:cs="Arial"/>
                <w:sz w:val="18"/>
                <w:szCs w:val="18"/>
              </w:rPr>
              <w:t xml:space="preserve"> </w:t>
            </w:r>
            <w:r w:rsidRPr="0086352B">
              <w:rPr>
                <w:rFonts w:ascii="Arial Narrow" w:hAnsi="Arial Narrow" w:cs="Arial"/>
                <w:sz w:val="18"/>
                <w:szCs w:val="18"/>
              </w:rPr>
              <w:t>opatrenie 1.2 OP</w:t>
            </w:r>
            <w:r>
              <w:rPr>
                <w:rFonts w:ascii="Arial Narrow" w:hAnsi="Arial Narrow" w:cs="Arial"/>
                <w:sz w:val="18"/>
                <w:szCs w:val="18"/>
              </w:rPr>
              <w:t xml:space="preserve"> </w:t>
            </w:r>
            <w:r w:rsidRPr="0086352B">
              <w:rPr>
                <w:rFonts w:ascii="Arial Narrow" w:hAnsi="Arial Narrow" w:cs="Arial"/>
                <w:sz w:val="18"/>
                <w:szCs w:val="18"/>
              </w:rPr>
              <w:t>ZI</w:t>
            </w:r>
            <w:r>
              <w:rPr>
                <w:rFonts w:ascii="Arial Narrow" w:hAnsi="Arial Narrow" w:cs="Arial"/>
                <w:sz w:val="18"/>
                <w:szCs w:val="18"/>
              </w:rPr>
              <w:t>-SSC</w:t>
            </w:r>
          </w:p>
        </w:tc>
        <w:tc>
          <w:tcPr>
            <w:tcW w:w="940" w:type="dxa"/>
            <w:tcBorders>
              <w:top w:val="nil"/>
              <w:left w:val="nil"/>
              <w:bottom w:val="single" w:sz="8" w:space="0" w:color="auto"/>
              <w:right w:val="single" w:sz="8" w:space="0" w:color="auto"/>
              <w:tl2br w:val="nil"/>
              <w:tr2bl w:val="nil"/>
            </w:tcBorders>
            <w:noWrap/>
            <w:textDirection w:val="lrTb"/>
            <w:vAlign w:val="center"/>
          </w:tcPr>
          <w:p w:rsidR="0011736A" w:rsidRPr="00473217" w:rsidP="0011736A">
            <w:pPr>
              <w:spacing w:line="240" w:lineRule="auto"/>
              <w:jc w:val="right"/>
              <w:rPr>
                <w:rFonts w:ascii="Arial Narrow" w:hAnsi="Arial Narrow" w:cs="Arial"/>
                <w:bCs/>
                <w:iCs/>
                <w:sz w:val="18"/>
                <w:szCs w:val="18"/>
              </w:rPr>
            </w:pPr>
            <w:r w:rsidRPr="00473217">
              <w:rPr>
                <w:rFonts w:ascii="Arial Narrow" w:hAnsi="Arial Narrow" w:cs="Arial"/>
                <w:bCs/>
                <w:iCs/>
                <w:sz w:val="18"/>
                <w:szCs w:val="18"/>
              </w:rPr>
              <w:t>588 982</w:t>
            </w:r>
          </w:p>
        </w:tc>
        <w:tc>
          <w:tcPr>
            <w:tcW w:w="960" w:type="dxa"/>
            <w:tcBorders>
              <w:top w:val="nil"/>
              <w:left w:val="nil"/>
              <w:bottom w:val="single" w:sz="8" w:space="0" w:color="auto"/>
              <w:right w:val="single" w:sz="8" w:space="0" w:color="auto"/>
              <w:tl2br w:val="nil"/>
              <w:tr2bl w:val="nil"/>
            </w:tcBorders>
            <w:noWrap/>
            <w:textDirection w:val="lrTb"/>
            <w:vAlign w:val="center"/>
          </w:tcPr>
          <w:p w:rsidR="0011736A" w:rsidRPr="00473217" w:rsidP="0011736A">
            <w:pPr>
              <w:spacing w:line="240" w:lineRule="auto"/>
              <w:jc w:val="right"/>
              <w:rPr>
                <w:rFonts w:ascii="Arial Narrow" w:hAnsi="Arial Narrow" w:cs="Arial"/>
                <w:bCs/>
                <w:sz w:val="18"/>
                <w:szCs w:val="18"/>
                <w:lang w:val="cs-CZ"/>
              </w:rPr>
            </w:pPr>
            <w:r w:rsidRPr="00473217">
              <w:rPr>
                <w:rFonts w:ascii="Arial Narrow" w:hAnsi="Arial Narrow" w:cs="Arial"/>
                <w:bCs/>
                <w:sz w:val="18"/>
                <w:szCs w:val="18"/>
                <w:lang w:val="cs-CZ"/>
              </w:rPr>
              <w:t>0</w:t>
            </w:r>
          </w:p>
        </w:tc>
        <w:tc>
          <w:tcPr>
            <w:tcW w:w="960" w:type="dxa"/>
            <w:tcBorders>
              <w:top w:val="nil"/>
              <w:left w:val="nil"/>
              <w:bottom w:val="single" w:sz="8" w:space="0" w:color="auto"/>
              <w:right w:val="single" w:sz="8" w:space="0" w:color="auto"/>
              <w:tl2br w:val="nil"/>
              <w:tr2bl w:val="nil"/>
            </w:tcBorders>
            <w:noWrap/>
            <w:textDirection w:val="lrTb"/>
            <w:vAlign w:val="center"/>
          </w:tcPr>
          <w:p w:rsidR="0011736A" w:rsidRPr="00473217" w:rsidP="0011736A">
            <w:pPr>
              <w:spacing w:line="240" w:lineRule="auto"/>
              <w:jc w:val="right"/>
              <w:rPr>
                <w:rFonts w:ascii="Arial Narrow" w:hAnsi="Arial Narrow" w:cs="Arial"/>
                <w:bCs/>
                <w:sz w:val="18"/>
                <w:szCs w:val="18"/>
                <w:lang w:val="cs-CZ"/>
              </w:rPr>
            </w:pPr>
            <w:r w:rsidRPr="00473217">
              <w:rPr>
                <w:rFonts w:ascii="Arial Narrow" w:hAnsi="Arial Narrow" w:cs="Arial"/>
                <w:bCs/>
                <w:sz w:val="18"/>
                <w:szCs w:val="18"/>
                <w:lang w:val="cs-CZ"/>
              </w:rPr>
              <w:t>0</w:t>
            </w:r>
          </w:p>
        </w:tc>
        <w:tc>
          <w:tcPr>
            <w:tcW w:w="840" w:type="dxa"/>
            <w:tcBorders>
              <w:top w:val="nil"/>
              <w:left w:val="nil"/>
              <w:bottom w:val="single" w:sz="8" w:space="0" w:color="auto"/>
              <w:right w:val="single" w:sz="12" w:space="0" w:color="auto"/>
              <w:tl2br w:val="nil"/>
              <w:tr2bl w:val="nil"/>
            </w:tcBorders>
            <w:noWrap/>
            <w:textDirection w:val="lrTb"/>
            <w:vAlign w:val="center"/>
          </w:tcPr>
          <w:p w:rsidR="0011736A" w:rsidRPr="00473217" w:rsidP="0011736A">
            <w:pPr>
              <w:spacing w:line="240" w:lineRule="auto"/>
              <w:jc w:val="right"/>
              <w:rPr>
                <w:rFonts w:ascii="Arial Narrow" w:hAnsi="Arial Narrow" w:cs="Arial"/>
                <w:bCs/>
                <w:sz w:val="18"/>
                <w:szCs w:val="18"/>
                <w:lang w:val="cs-CZ"/>
              </w:rPr>
            </w:pPr>
            <w:r w:rsidRPr="00473217">
              <w:rPr>
                <w:rFonts w:ascii="Arial Narrow" w:hAnsi="Arial Narrow" w:cs="Arial"/>
                <w:bCs/>
                <w:sz w:val="18"/>
                <w:szCs w:val="18"/>
                <w:lang w:val="cs-CZ"/>
              </w:rPr>
              <w:t>0</w:t>
            </w:r>
          </w:p>
        </w:tc>
      </w:tr>
      <w:tr>
        <w:tblPrEx>
          <w:tblW w:w="9295" w:type="dxa"/>
          <w:tblInd w:w="55" w:type="dxa"/>
          <w:tblCellMar>
            <w:left w:w="70" w:type="dxa"/>
            <w:right w:w="70" w:type="dxa"/>
          </w:tblCellMar>
        </w:tblPrEx>
        <w:trPr>
          <w:trHeight w:val="227"/>
        </w:trPr>
        <w:tc>
          <w:tcPr>
            <w:tcW w:w="772" w:type="dxa"/>
            <w:tcBorders>
              <w:top w:val="nil"/>
              <w:left w:val="single" w:sz="12" w:space="0" w:color="auto"/>
              <w:bottom w:val="single" w:sz="8" w:space="0" w:color="auto"/>
              <w:right w:val="single" w:sz="8" w:space="0" w:color="auto"/>
              <w:tl2br w:val="nil"/>
              <w:tr2bl w:val="nil"/>
            </w:tcBorders>
            <w:noWrap/>
            <w:textDirection w:val="lrTb"/>
            <w:vAlign w:val="center"/>
          </w:tcPr>
          <w:p w:rsidR="0011736A" w:rsidRPr="0086352B" w:rsidP="0011736A">
            <w:pPr>
              <w:spacing w:line="240" w:lineRule="auto"/>
              <w:rPr>
                <w:rFonts w:ascii="Arial Narrow" w:hAnsi="Arial Narrow" w:cs="Arial"/>
                <w:b/>
                <w:bCs/>
                <w:sz w:val="18"/>
                <w:szCs w:val="18"/>
                <w:lang w:val="cs-CZ"/>
              </w:rPr>
            </w:pPr>
            <w:r>
              <w:rPr>
                <w:rFonts w:ascii="Arial Narrow" w:hAnsi="Arial Narrow" w:cs="Arial"/>
                <w:b/>
                <w:bCs/>
                <w:iCs/>
                <w:sz w:val="18"/>
                <w:szCs w:val="18"/>
              </w:rPr>
              <w:t>0</w:t>
            </w:r>
            <w:r w:rsidRPr="0086352B">
              <w:rPr>
                <w:rFonts w:ascii="Arial Narrow" w:hAnsi="Arial Narrow" w:cs="Arial"/>
                <w:b/>
                <w:bCs/>
                <w:iCs/>
                <w:sz w:val="18"/>
                <w:szCs w:val="18"/>
              </w:rPr>
              <w:t>5303</w:t>
            </w:r>
          </w:p>
        </w:tc>
        <w:tc>
          <w:tcPr>
            <w:tcW w:w="4823" w:type="dxa"/>
            <w:tcBorders>
              <w:top w:val="nil"/>
              <w:left w:val="nil"/>
              <w:bottom w:val="single" w:sz="8" w:space="0" w:color="auto"/>
              <w:right w:val="single" w:sz="8" w:space="0" w:color="auto"/>
              <w:tl2br w:val="nil"/>
              <w:tr2bl w:val="nil"/>
            </w:tcBorders>
            <w:textDirection w:val="lrTb"/>
            <w:vAlign w:val="center"/>
          </w:tcPr>
          <w:p w:rsidR="0011736A" w:rsidRPr="0086352B" w:rsidP="0011736A">
            <w:pPr>
              <w:spacing w:line="240" w:lineRule="auto"/>
              <w:rPr>
                <w:rFonts w:ascii="Arial Narrow" w:hAnsi="Arial Narrow" w:cs="Arial"/>
                <w:b/>
                <w:bCs/>
                <w:sz w:val="18"/>
                <w:szCs w:val="18"/>
                <w:lang w:val="cs-CZ"/>
              </w:rPr>
            </w:pPr>
            <w:r w:rsidRPr="0086352B">
              <w:rPr>
                <w:rFonts w:ascii="Arial Narrow" w:hAnsi="Arial Narrow" w:cs="Arial"/>
                <w:b/>
                <w:bCs/>
                <w:iCs/>
                <w:sz w:val="18"/>
                <w:szCs w:val="18"/>
              </w:rPr>
              <w:t>Výstavba diaľnic a rýchlostných ciest</w:t>
            </w:r>
            <w:r>
              <w:rPr>
                <w:rFonts w:ascii="Arial Narrow" w:hAnsi="Arial Narrow" w:cs="Arial"/>
                <w:b/>
                <w:bCs/>
                <w:iCs/>
                <w:sz w:val="18"/>
                <w:szCs w:val="18"/>
              </w:rPr>
              <w:t xml:space="preserve"> NDS</w:t>
            </w:r>
          </w:p>
        </w:tc>
        <w:tc>
          <w:tcPr>
            <w:tcW w:w="940" w:type="dxa"/>
            <w:tcBorders>
              <w:top w:val="nil"/>
              <w:left w:val="nil"/>
              <w:bottom w:val="single" w:sz="8" w:space="0" w:color="auto"/>
              <w:right w:val="single" w:sz="8" w:space="0" w:color="auto"/>
              <w:tl2br w:val="nil"/>
              <w:tr2bl w:val="nil"/>
            </w:tcBorders>
            <w:noWrap/>
            <w:textDirection w:val="lrTb"/>
            <w:vAlign w:val="center"/>
          </w:tcPr>
          <w:p w:rsidR="0011736A" w:rsidRPr="0086352B" w:rsidP="0011736A">
            <w:pPr>
              <w:spacing w:line="240" w:lineRule="auto"/>
              <w:jc w:val="right"/>
              <w:rPr>
                <w:rFonts w:ascii="Arial Narrow" w:hAnsi="Arial Narrow" w:cs="Arial"/>
                <w:b/>
                <w:bCs/>
                <w:sz w:val="18"/>
                <w:szCs w:val="18"/>
                <w:lang w:val="cs-CZ"/>
              </w:rPr>
            </w:pPr>
            <w:r>
              <w:rPr>
                <w:rFonts w:ascii="Arial Narrow" w:hAnsi="Arial Narrow" w:cs="Arial"/>
                <w:b/>
                <w:bCs/>
                <w:iCs/>
                <w:sz w:val="18"/>
                <w:szCs w:val="18"/>
              </w:rPr>
              <w:t>7 569 369</w:t>
            </w:r>
          </w:p>
        </w:tc>
        <w:tc>
          <w:tcPr>
            <w:tcW w:w="960" w:type="dxa"/>
            <w:tcBorders>
              <w:top w:val="nil"/>
              <w:left w:val="nil"/>
              <w:bottom w:val="single" w:sz="8" w:space="0" w:color="auto"/>
              <w:right w:val="single" w:sz="8" w:space="0" w:color="auto"/>
              <w:tl2br w:val="nil"/>
              <w:tr2bl w:val="nil"/>
            </w:tcBorders>
            <w:noWrap/>
            <w:textDirection w:val="lrTb"/>
            <w:vAlign w:val="center"/>
          </w:tcPr>
          <w:p w:rsidR="0011736A" w:rsidRPr="0086352B" w:rsidP="0011736A">
            <w:pPr>
              <w:spacing w:line="240" w:lineRule="auto"/>
              <w:jc w:val="right"/>
              <w:rPr>
                <w:rFonts w:ascii="Arial Narrow" w:hAnsi="Arial Narrow" w:cs="Arial"/>
                <w:b/>
                <w:bCs/>
                <w:sz w:val="18"/>
                <w:szCs w:val="18"/>
                <w:lang w:val="cs-CZ"/>
              </w:rPr>
            </w:pPr>
            <w:r>
              <w:rPr>
                <w:rFonts w:ascii="Arial Narrow" w:hAnsi="Arial Narrow" w:cs="Arial"/>
                <w:b/>
                <w:bCs/>
                <w:sz w:val="18"/>
                <w:szCs w:val="18"/>
                <w:lang w:val="cs-CZ"/>
              </w:rPr>
              <w:t>11 113 687</w:t>
            </w:r>
          </w:p>
        </w:tc>
        <w:tc>
          <w:tcPr>
            <w:tcW w:w="960" w:type="dxa"/>
            <w:tcBorders>
              <w:top w:val="nil"/>
              <w:left w:val="nil"/>
              <w:bottom w:val="single" w:sz="8" w:space="0" w:color="auto"/>
              <w:right w:val="single" w:sz="8" w:space="0" w:color="auto"/>
              <w:tl2br w:val="nil"/>
              <w:tr2bl w:val="nil"/>
            </w:tcBorders>
            <w:noWrap/>
            <w:textDirection w:val="lrTb"/>
            <w:vAlign w:val="center"/>
          </w:tcPr>
          <w:p w:rsidR="0011736A" w:rsidRPr="0086352B" w:rsidP="0011736A">
            <w:pPr>
              <w:spacing w:line="240" w:lineRule="auto"/>
              <w:jc w:val="right"/>
              <w:rPr>
                <w:rFonts w:ascii="Arial Narrow" w:hAnsi="Arial Narrow" w:cs="Arial"/>
                <w:b/>
                <w:bCs/>
                <w:sz w:val="18"/>
                <w:szCs w:val="18"/>
                <w:lang w:val="cs-CZ"/>
              </w:rPr>
            </w:pPr>
            <w:r>
              <w:rPr>
                <w:rFonts w:ascii="Arial Narrow" w:hAnsi="Arial Narrow" w:cs="Arial"/>
                <w:b/>
                <w:bCs/>
                <w:sz w:val="18"/>
                <w:szCs w:val="18"/>
                <w:lang w:val="cs-CZ"/>
              </w:rPr>
              <w:t>11 160 398</w:t>
            </w:r>
          </w:p>
        </w:tc>
        <w:tc>
          <w:tcPr>
            <w:tcW w:w="840" w:type="dxa"/>
            <w:tcBorders>
              <w:top w:val="nil"/>
              <w:left w:val="nil"/>
              <w:bottom w:val="single" w:sz="8" w:space="0" w:color="auto"/>
              <w:right w:val="single" w:sz="12" w:space="0" w:color="auto"/>
              <w:tl2br w:val="nil"/>
              <w:tr2bl w:val="nil"/>
            </w:tcBorders>
            <w:noWrap/>
            <w:textDirection w:val="lrTb"/>
            <w:vAlign w:val="center"/>
          </w:tcPr>
          <w:p w:rsidR="0011736A" w:rsidRPr="0086352B" w:rsidP="0011736A">
            <w:pPr>
              <w:spacing w:line="240" w:lineRule="auto"/>
              <w:jc w:val="right"/>
              <w:rPr>
                <w:rFonts w:ascii="Arial Narrow" w:hAnsi="Arial Narrow" w:cs="Arial"/>
                <w:b/>
                <w:bCs/>
                <w:sz w:val="18"/>
                <w:szCs w:val="18"/>
                <w:lang w:val="cs-CZ"/>
              </w:rPr>
            </w:pPr>
            <w:r>
              <w:rPr>
                <w:rFonts w:ascii="Arial Narrow" w:hAnsi="Arial Narrow" w:cs="Arial"/>
                <w:b/>
                <w:bCs/>
                <w:sz w:val="18"/>
                <w:szCs w:val="18"/>
                <w:lang w:val="cs-CZ"/>
              </w:rPr>
              <w:t>4 063 061</w:t>
            </w:r>
          </w:p>
        </w:tc>
      </w:tr>
      <w:tr>
        <w:tblPrEx>
          <w:tblW w:w="9295" w:type="dxa"/>
          <w:tblInd w:w="55" w:type="dxa"/>
          <w:tblCellMar>
            <w:left w:w="70" w:type="dxa"/>
            <w:right w:w="70" w:type="dxa"/>
          </w:tblCellMar>
        </w:tblPrEx>
        <w:trPr>
          <w:trHeight w:val="227"/>
        </w:trPr>
        <w:tc>
          <w:tcPr>
            <w:tcW w:w="772" w:type="dxa"/>
            <w:tcBorders>
              <w:top w:val="nil"/>
              <w:left w:val="single" w:sz="12" w:space="0" w:color="auto"/>
              <w:bottom w:val="single" w:sz="8" w:space="0" w:color="auto"/>
              <w:right w:val="single" w:sz="8" w:space="0" w:color="auto"/>
              <w:tl2br w:val="nil"/>
              <w:tr2bl w:val="nil"/>
            </w:tcBorders>
            <w:noWrap/>
            <w:textDirection w:val="lrTb"/>
            <w:vAlign w:val="center"/>
          </w:tcPr>
          <w:p w:rsidR="0011736A" w:rsidRPr="0086352B" w:rsidP="0011736A">
            <w:pPr>
              <w:spacing w:line="240" w:lineRule="auto"/>
              <w:rPr>
                <w:rFonts w:ascii="Arial Narrow" w:hAnsi="Arial Narrow" w:cs="Arial"/>
                <w:sz w:val="18"/>
                <w:szCs w:val="18"/>
                <w:lang w:val="cs-CZ"/>
              </w:rPr>
            </w:pPr>
            <w:r>
              <w:rPr>
                <w:rFonts w:ascii="Arial Narrow" w:hAnsi="Arial Narrow" w:cs="Arial"/>
                <w:sz w:val="18"/>
                <w:szCs w:val="18"/>
              </w:rPr>
              <w:t>0</w:t>
            </w:r>
            <w:r w:rsidRPr="0086352B">
              <w:rPr>
                <w:rFonts w:ascii="Arial Narrow" w:hAnsi="Arial Narrow" w:cs="Arial"/>
                <w:sz w:val="18"/>
                <w:szCs w:val="18"/>
              </w:rPr>
              <w:t>530302</w:t>
            </w:r>
          </w:p>
        </w:tc>
        <w:tc>
          <w:tcPr>
            <w:tcW w:w="4823" w:type="dxa"/>
            <w:tcBorders>
              <w:top w:val="nil"/>
              <w:left w:val="nil"/>
              <w:bottom w:val="single" w:sz="8" w:space="0" w:color="auto"/>
              <w:right w:val="single" w:sz="8" w:space="0" w:color="auto"/>
              <w:tl2br w:val="nil"/>
              <w:tr2bl w:val="nil"/>
            </w:tcBorders>
            <w:textDirection w:val="lrTb"/>
            <w:vAlign w:val="center"/>
          </w:tcPr>
          <w:p w:rsidR="0011736A" w:rsidRPr="0086352B" w:rsidP="0011736A">
            <w:pPr>
              <w:spacing w:line="240" w:lineRule="auto"/>
              <w:rPr>
                <w:rFonts w:ascii="Arial Narrow" w:hAnsi="Arial Narrow" w:cs="Arial"/>
                <w:sz w:val="18"/>
                <w:szCs w:val="18"/>
                <w:lang w:val="cs-CZ"/>
              </w:rPr>
            </w:pPr>
            <w:r w:rsidRPr="0086352B">
              <w:rPr>
                <w:rFonts w:ascii="Arial Narrow" w:hAnsi="Arial Narrow" w:cs="Arial"/>
                <w:sz w:val="18"/>
                <w:szCs w:val="18"/>
              </w:rPr>
              <w:t>D1 Mengusovce - Jánovce (projekt KF)</w:t>
            </w:r>
          </w:p>
        </w:tc>
        <w:tc>
          <w:tcPr>
            <w:tcW w:w="940" w:type="dxa"/>
            <w:tcBorders>
              <w:top w:val="nil"/>
              <w:left w:val="nil"/>
              <w:bottom w:val="single" w:sz="8" w:space="0" w:color="auto"/>
              <w:right w:val="single" w:sz="8" w:space="0" w:color="auto"/>
              <w:tl2br w:val="nil"/>
              <w:tr2bl w:val="nil"/>
            </w:tcBorders>
            <w:noWrap/>
            <w:textDirection w:val="lrTb"/>
            <w:vAlign w:val="center"/>
          </w:tcPr>
          <w:p w:rsidR="0011736A" w:rsidRPr="0086352B" w:rsidP="0011736A">
            <w:pPr>
              <w:spacing w:line="240" w:lineRule="auto"/>
              <w:jc w:val="right"/>
              <w:rPr>
                <w:rFonts w:ascii="Arial Narrow" w:hAnsi="Arial Narrow" w:cs="Arial"/>
                <w:sz w:val="18"/>
                <w:szCs w:val="18"/>
                <w:lang w:val="cs-CZ"/>
              </w:rPr>
            </w:pPr>
            <w:r>
              <w:rPr>
                <w:rFonts w:ascii="Arial Narrow" w:hAnsi="Arial Narrow" w:cs="Arial"/>
                <w:sz w:val="18"/>
                <w:szCs w:val="18"/>
              </w:rPr>
              <w:t>2 264 013</w:t>
            </w:r>
          </w:p>
        </w:tc>
        <w:tc>
          <w:tcPr>
            <w:tcW w:w="960" w:type="dxa"/>
            <w:tcBorders>
              <w:top w:val="nil"/>
              <w:left w:val="nil"/>
              <w:bottom w:val="single" w:sz="8" w:space="0" w:color="auto"/>
              <w:right w:val="single" w:sz="8" w:space="0" w:color="auto"/>
              <w:tl2br w:val="nil"/>
              <w:tr2bl w:val="nil"/>
            </w:tcBorders>
            <w:noWrap/>
            <w:textDirection w:val="lrTb"/>
            <w:vAlign w:val="center"/>
          </w:tcPr>
          <w:p w:rsidR="0011736A" w:rsidRPr="0086352B" w:rsidP="0011736A">
            <w:pPr>
              <w:spacing w:line="240" w:lineRule="auto"/>
              <w:jc w:val="right"/>
              <w:rPr>
                <w:rFonts w:ascii="Arial Narrow" w:hAnsi="Arial Narrow" w:cs="Arial"/>
                <w:sz w:val="18"/>
                <w:szCs w:val="18"/>
                <w:lang w:val="cs-CZ"/>
              </w:rPr>
            </w:pPr>
            <w:r>
              <w:rPr>
                <w:rFonts w:ascii="Arial Narrow" w:hAnsi="Arial Narrow" w:cs="Arial"/>
                <w:sz w:val="18"/>
                <w:szCs w:val="18"/>
                <w:lang w:val="cs-CZ"/>
              </w:rPr>
              <w:t>2 175 164</w:t>
            </w:r>
          </w:p>
        </w:tc>
        <w:tc>
          <w:tcPr>
            <w:tcW w:w="960" w:type="dxa"/>
            <w:tcBorders>
              <w:top w:val="nil"/>
              <w:left w:val="nil"/>
              <w:bottom w:val="single" w:sz="8" w:space="0" w:color="auto"/>
              <w:right w:val="single" w:sz="8" w:space="0" w:color="auto"/>
              <w:tl2br w:val="nil"/>
              <w:tr2bl w:val="nil"/>
            </w:tcBorders>
            <w:noWrap/>
            <w:textDirection w:val="lrTb"/>
            <w:vAlign w:val="center"/>
          </w:tcPr>
          <w:p w:rsidR="0011736A" w:rsidRPr="0086352B" w:rsidP="0011736A">
            <w:pPr>
              <w:spacing w:line="240" w:lineRule="auto"/>
              <w:jc w:val="right"/>
              <w:rPr>
                <w:rFonts w:ascii="Arial Narrow" w:hAnsi="Arial Narrow" w:cs="Arial"/>
                <w:sz w:val="18"/>
                <w:szCs w:val="18"/>
                <w:lang w:val="cs-CZ"/>
              </w:rPr>
            </w:pPr>
            <w:r>
              <w:rPr>
                <w:rFonts w:ascii="Arial Narrow" w:hAnsi="Arial Narrow" w:cs="Arial"/>
                <w:sz w:val="18"/>
                <w:szCs w:val="18"/>
                <w:lang w:val="cs-CZ"/>
              </w:rPr>
              <w:t>2 175 164</w:t>
            </w:r>
          </w:p>
        </w:tc>
        <w:tc>
          <w:tcPr>
            <w:tcW w:w="840" w:type="dxa"/>
            <w:tcBorders>
              <w:top w:val="nil"/>
              <w:left w:val="nil"/>
              <w:bottom w:val="single" w:sz="8" w:space="0" w:color="auto"/>
              <w:right w:val="single" w:sz="12" w:space="0" w:color="auto"/>
              <w:tl2br w:val="nil"/>
              <w:tr2bl w:val="nil"/>
            </w:tcBorders>
            <w:noWrap/>
            <w:textDirection w:val="lrTb"/>
            <w:vAlign w:val="center"/>
          </w:tcPr>
          <w:p w:rsidR="0011736A" w:rsidRPr="0086352B" w:rsidP="0011736A">
            <w:pPr>
              <w:spacing w:line="240" w:lineRule="auto"/>
              <w:jc w:val="right"/>
              <w:rPr>
                <w:rFonts w:ascii="Arial Narrow" w:hAnsi="Arial Narrow" w:cs="Arial"/>
                <w:sz w:val="18"/>
                <w:szCs w:val="18"/>
                <w:lang w:val="cs-CZ"/>
              </w:rPr>
            </w:pPr>
            <w:r>
              <w:rPr>
                <w:rFonts w:ascii="Arial Narrow" w:hAnsi="Arial Narrow" w:cs="Arial"/>
                <w:sz w:val="18"/>
                <w:szCs w:val="18"/>
                <w:lang w:val="cs-CZ"/>
              </w:rPr>
              <w:t>2 175 164</w:t>
            </w:r>
          </w:p>
        </w:tc>
      </w:tr>
      <w:tr>
        <w:tblPrEx>
          <w:tblW w:w="9295" w:type="dxa"/>
          <w:tblInd w:w="55" w:type="dxa"/>
          <w:tblCellMar>
            <w:left w:w="70" w:type="dxa"/>
            <w:right w:w="70" w:type="dxa"/>
          </w:tblCellMar>
        </w:tblPrEx>
        <w:trPr>
          <w:trHeight w:val="227"/>
        </w:trPr>
        <w:tc>
          <w:tcPr>
            <w:tcW w:w="772" w:type="dxa"/>
            <w:tcBorders>
              <w:top w:val="nil"/>
              <w:left w:val="single" w:sz="12" w:space="0" w:color="auto"/>
              <w:bottom w:val="single" w:sz="4" w:space="0" w:color="auto"/>
              <w:right w:val="single" w:sz="8" w:space="0" w:color="auto"/>
              <w:tl2br w:val="nil"/>
              <w:tr2bl w:val="nil"/>
            </w:tcBorders>
            <w:noWrap/>
            <w:textDirection w:val="lrTb"/>
            <w:vAlign w:val="center"/>
          </w:tcPr>
          <w:p w:rsidR="0011736A" w:rsidRPr="0086352B" w:rsidP="0011736A">
            <w:pPr>
              <w:spacing w:line="240" w:lineRule="auto"/>
              <w:rPr>
                <w:rFonts w:ascii="Arial Narrow" w:hAnsi="Arial Narrow" w:cs="Arial"/>
                <w:sz w:val="18"/>
                <w:szCs w:val="18"/>
                <w:lang w:val="cs-CZ"/>
              </w:rPr>
            </w:pPr>
            <w:r>
              <w:rPr>
                <w:rFonts w:ascii="Arial Narrow" w:hAnsi="Arial Narrow" w:cs="Arial"/>
                <w:sz w:val="18"/>
                <w:szCs w:val="18"/>
              </w:rPr>
              <w:t>0</w:t>
            </w:r>
            <w:r w:rsidRPr="0086352B">
              <w:rPr>
                <w:rFonts w:ascii="Arial Narrow" w:hAnsi="Arial Narrow" w:cs="Arial"/>
                <w:sz w:val="18"/>
                <w:szCs w:val="18"/>
              </w:rPr>
              <w:t>530304</w:t>
            </w:r>
          </w:p>
        </w:tc>
        <w:tc>
          <w:tcPr>
            <w:tcW w:w="4823" w:type="dxa"/>
            <w:tcBorders>
              <w:top w:val="nil"/>
              <w:left w:val="nil"/>
              <w:bottom w:val="single" w:sz="4" w:space="0" w:color="auto"/>
              <w:right w:val="single" w:sz="8" w:space="0" w:color="auto"/>
              <w:tl2br w:val="nil"/>
              <w:tr2bl w:val="nil"/>
            </w:tcBorders>
            <w:textDirection w:val="lrTb"/>
            <w:vAlign w:val="center"/>
          </w:tcPr>
          <w:p w:rsidR="0011736A" w:rsidRPr="0086352B" w:rsidP="0011736A">
            <w:pPr>
              <w:spacing w:line="240" w:lineRule="auto"/>
              <w:rPr>
                <w:rFonts w:ascii="Arial Narrow" w:hAnsi="Arial Narrow" w:cs="Arial"/>
                <w:sz w:val="18"/>
                <w:szCs w:val="18"/>
                <w:lang w:val="cs-CZ"/>
              </w:rPr>
            </w:pPr>
            <w:r w:rsidRPr="0086352B">
              <w:rPr>
                <w:rFonts w:ascii="Arial Narrow" w:hAnsi="Arial Narrow" w:cs="Arial"/>
                <w:sz w:val="18"/>
                <w:szCs w:val="18"/>
              </w:rPr>
              <w:t>D1 Sverepec</w:t>
            </w:r>
            <w:r>
              <w:rPr>
                <w:rFonts w:ascii="Arial Narrow" w:hAnsi="Arial Narrow" w:cs="Arial"/>
                <w:sz w:val="18"/>
                <w:szCs w:val="18"/>
              </w:rPr>
              <w:t xml:space="preserve"> </w:t>
            </w:r>
            <w:r w:rsidRPr="0086352B">
              <w:rPr>
                <w:rFonts w:ascii="Arial Narrow" w:hAnsi="Arial Narrow" w:cs="Arial"/>
                <w:sz w:val="18"/>
                <w:szCs w:val="18"/>
              </w:rPr>
              <w:t>-</w:t>
            </w:r>
            <w:r>
              <w:rPr>
                <w:rFonts w:ascii="Arial Narrow" w:hAnsi="Arial Narrow" w:cs="Arial"/>
                <w:sz w:val="18"/>
                <w:szCs w:val="18"/>
              </w:rPr>
              <w:t xml:space="preserve"> </w:t>
            </w:r>
            <w:r w:rsidRPr="0086352B">
              <w:rPr>
                <w:rFonts w:ascii="Arial Narrow" w:hAnsi="Arial Narrow" w:cs="Arial"/>
                <w:sz w:val="18"/>
                <w:szCs w:val="18"/>
              </w:rPr>
              <w:t>Vrtižer (</w:t>
            </w:r>
            <w:r>
              <w:rPr>
                <w:rFonts w:ascii="Arial Narrow" w:hAnsi="Arial Narrow" w:cs="Arial"/>
                <w:sz w:val="18"/>
                <w:szCs w:val="18"/>
              </w:rPr>
              <w:t xml:space="preserve">projekt </w:t>
            </w:r>
            <w:r w:rsidRPr="0086352B">
              <w:rPr>
                <w:rFonts w:ascii="Arial Narrow" w:hAnsi="Arial Narrow" w:cs="Arial"/>
                <w:sz w:val="18"/>
                <w:szCs w:val="18"/>
              </w:rPr>
              <w:t>KF)</w:t>
            </w:r>
          </w:p>
        </w:tc>
        <w:tc>
          <w:tcPr>
            <w:tcW w:w="940" w:type="dxa"/>
            <w:tcBorders>
              <w:top w:val="nil"/>
              <w:left w:val="nil"/>
              <w:bottom w:val="single" w:sz="4" w:space="0" w:color="auto"/>
              <w:right w:val="single" w:sz="8" w:space="0" w:color="auto"/>
              <w:tl2br w:val="nil"/>
              <w:tr2bl w:val="nil"/>
            </w:tcBorders>
            <w:noWrap/>
            <w:textDirection w:val="lrTb"/>
            <w:vAlign w:val="center"/>
          </w:tcPr>
          <w:p w:rsidR="0011736A" w:rsidRPr="0086352B" w:rsidP="0011736A">
            <w:pPr>
              <w:spacing w:line="240" w:lineRule="auto"/>
              <w:jc w:val="right"/>
              <w:rPr>
                <w:rFonts w:ascii="Arial Narrow" w:hAnsi="Arial Narrow" w:cs="Arial"/>
                <w:sz w:val="18"/>
                <w:szCs w:val="18"/>
                <w:lang w:val="cs-CZ"/>
              </w:rPr>
            </w:pPr>
            <w:r>
              <w:rPr>
                <w:rFonts w:ascii="Arial Narrow" w:hAnsi="Arial Narrow" w:cs="Arial"/>
                <w:sz w:val="18"/>
                <w:szCs w:val="18"/>
              </w:rPr>
              <w:t>0</w:t>
            </w:r>
          </w:p>
        </w:tc>
        <w:tc>
          <w:tcPr>
            <w:tcW w:w="960" w:type="dxa"/>
            <w:tcBorders>
              <w:top w:val="nil"/>
              <w:left w:val="nil"/>
              <w:bottom w:val="single" w:sz="4" w:space="0" w:color="auto"/>
              <w:right w:val="single" w:sz="8" w:space="0" w:color="auto"/>
              <w:tl2br w:val="nil"/>
              <w:tr2bl w:val="nil"/>
            </w:tcBorders>
            <w:noWrap/>
            <w:textDirection w:val="lrTb"/>
            <w:vAlign w:val="center"/>
          </w:tcPr>
          <w:p w:rsidR="0011736A" w:rsidRPr="0086352B" w:rsidP="0011736A">
            <w:pPr>
              <w:spacing w:line="240" w:lineRule="auto"/>
              <w:jc w:val="right"/>
              <w:rPr>
                <w:rFonts w:ascii="Arial Narrow" w:hAnsi="Arial Narrow" w:cs="Arial"/>
                <w:sz w:val="18"/>
                <w:szCs w:val="18"/>
                <w:lang w:val="cs-CZ"/>
              </w:rPr>
            </w:pPr>
            <w:r>
              <w:rPr>
                <w:rFonts w:ascii="Arial Narrow" w:hAnsi="Arial Narrow" w:cs="Arial"/>
                <w:sz w:val="18"/>
                <w:szCs w:val="18"/>
                <w:lang w:val="cs-CZ"/>
              </w:rPr>
              <w:t>0</w:t>
            </w:r>
          </w:p>
        </w:tc>
        <w:tc>
          <w:tcPr>
            <w:tcW w:w="960" w:type="dxa"/>
            <w:tcBorders>
              <w:top w:val="nil"/>
              <w:left w:val="nil"/>
              <w:bottom w:val="single" w:sz="4" w:space="0" w:color="auto"/>
              <w:right w:val="single" w:sz="8" w:space="0" w:color="auto"/>
              <w:tl2br w:val="nil"/>
              <w:tr2bl w:val="nil"/>
            </w:tcBorders>
            <w:noWrap/>
            <w:textDirection w:val="lrTb"/>
            <w:vAlign w:val="center"/>
          </w:tcPr>
          <w:p w:rsidR="0011736A" w:rsidRPr="0086352B" w:rsidP="0011736A">
            <w:pPr>
              <w:spacing w:line="240" w:lineRule="auto"/>
              <w:jc w:val="right"/>
              <w:rPr>
                <w:rFonts w:ascii="Arial Narrow" w:hAnsi="Arial Narrow" w:cs="Arial"/>
                <w:sz w:val="18"/>
                <w:szCs w:val="18"/>
                <w:lang w:val="cs-CZ"/>
              </w:rPr>
            </w:pPr>
            <w:r>
              <w:rPr>
                <w:rFonts w:ascii="Arial Narrow" w:hAnsi="Arial Narrow" w:cs="Arial"/>
                <w:sz w:val="18"/>
                <w:szCs w:val="18"/>
                <w:lang w:val="cs-CZ"/>
              </w:rPr>
              <w:t>0</w:t>
            </w:r>
          </w:p>
        </w:tc>
        <w:tc>
          <w:tcPr>
            <w:tcW w:w="840" w:type="dxa"/>
            <w:tcBorders>
              <w:top w:val="nil"/>
              <w:left w:val="nil"/>
              <w:bottom w:val="single" w:sz="4" w:space="0" w:color="auto"/>
              <w:right w:val="single" w:sz="12" w:space="0" w:color="auto"/>
              <w:tl2br w:val="nil"/>
              <w:tr2bl w:val="nil"/>
            </w:tcBorders>
            <w:noWrap/>
            <w:textDirection w:val="lrTb"/>
            <w:vAlign w:val="center"/>
          </w:tcPr>
          <w:p w:rsidR="0011736A" w:rsidRPr="0086352B" w:rsidP="0011736A">
            <w:pPr>
              <w:spacing w:line="240" w:lineRule="auto"/>
              <w:jc w:val="right"/>
              <w:rPr>
                <w:rFonts w:ascii="Arial Narrow" w:hAnsi="Arial Narrow" w:cs="Arial"/>
                <w:sz w:val="18"/>
                <w:szCs w:val="18"/>
                <w:lang w:val="cs-CZ"/>
              </w:rPr>
            </w:pPr>
            <w:r>
              <w:rPr>
                <w:rFonts w:ascii="Arial Narrow" w:hAnsi="Arial Narrow" w:cs="Arial"/>
                <w:sz w:val="18"/>
                <w:szCs w:val="18"/>
                <w:lang w:val="cs-CZ"/>
              </w:rPr>
              <w:t>0</w:t>
            </w:r>
          </w:p>
        </w:tc>
      </w:tr>
      <w:tr>
        <w:tblPrEx>
          <w:tblW w:w="9295" w:type="dxa"/>
          <w:tblInd w:w="55" w:type="dxa"/>
          <w:tblCellMar>
            <w:left w:w="70" w:type="dxa"/>
            <w:right w:w="70" w:type="dxa"/>
          </w:tblCellMar>
        </w:tblPrEx>
        <w:trPr>
          <w:trHeight w:val="227"/>
        </w:trPr>
        <w:tc>
          <w:tcPr>
            <w:tcW w:w="772" w:type="dxa"/>
            <w:tcBorders>
              <w:top w:val="single" w:sz="4" w:space="0" w:color="auto"/>
              <w:left w:val="single" w:sz="4" w:space="0" w:color="auto"/>
              <w:bottom w:val="single" w:sz="4" w:space="0" w:color="auto"/>
              <w:right w:val="single" w:sz="8" w:space="0" w:color="auto"/>
              <w:tl2br w:val="nil"/>
              <w:tr2bl w:val="nil"/>
            </w:tcBorders>
            <w:noWrap/>
            <w:textDirection w:val="lrTb"/>
            <w:vAlign w:val="center"/>
          </w:tcPr>
          <w:p w:rsidR="0011736A" w:rsidRPr="0086352B" w:rsidP="0011736A">
            <w:pPr>
              <w:spacing w:line="240" w:lineRule="auto"/>
              <w:rPr>
                <w:rFonts w:ascii="Arial Narrow" w:hAnsi="Arial Narrow" w:cs="Arial"/>
                <w:sz w:val="18"/>
                <w:szCs w:val="18"/>
                <w:lang w:val="cs-CZ"/>
              </w:rPr>
            </w:pPr>
            <w:r>
              <w:rPr>
                <w:rFonts w:ascii="Arial Narrow" w:hAnsi="Arial Narrow" w:cs="Arial"/>
                <w:sz w:val="18"/>
                <w:szCs w:val="18"/>
              </w:rPr>
              <w:t>0</w:t>
            </w:r>
            <w:r w:rsidRPr="0086352B">
              <w:rPr>
                <w:rFonts w:ascii="Arial Narrow" w:hAnsi="Arial Narrow" w:cs="Arial"/>
                <w:sz w:val="18"/>
                <w:szCs w:val="18"/>
              </w:rPr>
              <w:t>530305</w:t>
            </w:r>
          </w:p>
        </w:tc>
        <w:tc>
          <w:tcPr>
            <w:tcW w:w="4823" w:type="dxa"/>
            <w:tcBorders>
              <w:top w:val="single" w:sz="4" w:space="0" w:color="auto"/>
              <w:left w:val="nil"/>
              <w:bottom w:val="single" w:sz="4" w:space="0" w:color="auto"/>
              <w:right w:val="single" w:sz="8" w:space="0" w:color="auto"/>
              <w:tl2br w:val="nil"/>
              <w:tr2bl w:val="nil"/>
            </w:tcBorders>
            <w:textDirection w:val="lrTb"/>
            <w:vAlign w:val="center"/>
          </w:tcPr>
          <w:p w:rsidR="0011736A" w:rsidRPr="0086352B" w:rsidP="0011736A">
            <w:pPr>
              <w:spacing w:line="240" w:lineRule="auto"/>
              <w:rPr>
                <w:rFonts w:ascii="Arial Narrow" w:hAnsi="Arial Narrow" w:cs="Arial"/>
                <w:sz w:val="18"/>
                <w:szCs w:val="18"/>
                <w:lang w:val="cs-CZ"/>
              </w:rPr>
            </w:pPr>
            <w:r w:rsidRPr="0086352B">
              <w:rPr>
                <w:rFonts w:ascii="Arial Narrow" w:hAnsi="Arial Narrow" w:cs="Arial"/>
                <w:sz w:val="18"/>
                <w:szCs w:val="18"/>
              </w:rPr>
              <w:t>Diaľnice a rýchlostné cesty (ŠR)</w:t>
            </w:r>
          </w:p>
        </w:tc>
        <w:tc>
          <w:tcPr>
            <w:tcW w:w="940" w:type="dxa"/>
            <w:tcBorders>
              <w:top w:val="single" w:sz="4" w:space="0" w:color="auto"/>
              <w:left w:val="nil"/>
              <w:bottom w:val="single" w:sz="4" w:space="0" w:color="auto"/>
              <w:right w:val="single" w:sz="8" w:space="0" w:color="auto"/>
              <w:tl2br w:val="nil"/>
              <w:tr2bl w:val="nil"/>
            </w:tcBorders>
            <w:noWrap/>
            <w:textDirection w:val="lrTb"/>
            <w:vAlign w:val="center"/>
          </w:tcPr>
          <w:p w:rsidR="0011736A" w:rsidRPr="0086352B" w:rsidP="0011736A">
            <w:pPr>
              <w:spacing w:line="240" w:lineRule="auto"/>
              <w:jc w:val="right"/>
              <w:rPr>
                <w:rFonts w:ascii="Arial Narrow" w:hAnsi="Arial Narrow" w:cs="Arial"/>
                <w:sz w:val="18"/>
                <w:szCs w:val="18"/>
                <w:lang w:val="cs-CZ"/>
              </w:rPr>
            </w:pPr>
            <w:r>
              <w:rPr>
                <w:rFonts w:ascii="Arial Narrow" w:hAnsi="Arial Narrow" w:cs="Arial"/>
                <w:sz w:val="18"/>
                <w:szCs w:val="18"/>
              </w:rPr>
              <w:t>5 305 356</w:t>
            </w:r>
          </w:p>
        </w:tc>
        <w:tc>
          <w:tcPr>
            <w:tcW w:w="960" w:type="dxa"/>
            <w:tcBorders>
              <w:top w:val="single" w:sz="4" w:space="0" w:color="auto"/>
              <w:left w:val="nil"/>
              <w:bottom w:val="single" w:sz="4" w:space="0" w:color="auto"/>
              <w:right w:val="single" w:sz="8" w:space="0" w:color="auto"/>
              <w:tl2br w:val="nil"/>
              <w:tr2bl w:val="nil"/>
            </w:tcBorders>
            <w:noWrap/>
            <w:textDirection w:val="lrTb"/>
            <w:vAlign w:val="center"/>
          </w:tcPr>
          <w:p w:rsidR="0011736A" w:rsidRPr="0086352B" w:rsidP="0011736A">
            <w:pPr>
              <w:spacing w:line="240" w:lineRule="auto"/>
              <w:jc w:val="right"/>
              <w:rPr>
                <w:rFonts w:ascii="Arial Narrow" w:hAnsi="Arial Narrow" w:cs="Arial"/>
                <w:sz w:val="18"/>
                <w:szCs w:val="18"/>
                <w:lang w:val="cs-CZ"/>
              </w:rPr>
            </w:pPr>
            <w:r>
              <w:rPr>
                <w:rFonts w:ascii="Arial Narrow" w:hAnsi="Arial Narrow" w:cs="Arial"/>
                <w:sz w:val="18"/>
                <w:szCs w:val="18"/>
                <w:lang w:val="cs-CZ"/>
              </w:rPr>
              <w:t>7 610 326</w:t>
            </w:r>
          </w:p>
        </w:tc>
        <w:tc>
          <w:tcPr>
            <w:tcW w:w="960" w:type="dxa"/>
            <w:tcBorders>
              <w:top w:val="single" w:sz="4" w:space="0" w:color="auto"/>
              <w:left w:val="nil"/>
              <w:bottom w:val="single" w:sz="4" w:space="0" w:color="auto"/>
              <w:right w:val="single" w:sz="8" w:space="0" w:color="auto"/>
              <w:tl2br w:val="nil"/>
              <w:tr2bl w:val="nil"/>
            </w:tcBorders>
            <w:noWrap/>
            <w:textDirection w:val="lrTb"/>
            <w:vAlign w:val="center"/>
          </w:tcPr>
          <w:p w:rsidR="0011736A" w:rsidRPr="0086352B" w:rsidP="0011736A">
            <w:pPr>
              <w:spacing w:line="240" w:lineRule="auto"/>
              <w:jc w:val="right"/>
              <w:rPr>
                <w:rFonts w:ascii="Arial Narrow" w:hAnsi="Arial Narrow" w:cs="Arial"/>
                <w:sz w:val="18"/>
                <w:szCs w:val="18"/>
                <w:lang w:val="cs-CZ"/>
              </w:rPr>
            </w:pPr>
            <w:r>
              <w:rPr>
                <w:rFonts w:ascii="Arial Narrow" w:hAnsi="Arial Narrow" w:cs="Arial"/>
                <w:sz w:val="18"/>
                <w:szCs w:val="18"/>
                <w:lang w:val="cs-CZ"/>
              </w:rPr>
              <w:t>7 657 098</w:t>
            </w:r>
          </w:p>
        </w:tc>
        <w:tc>
          <w:tcPr>
            <w:tcW w:w="840" w:type="dxa"/>
            <w:tcBorders>
              <w:top w:val="single" w:sz="4" w:space="0" w:color="auto"/>
              <w:left w:val="nil"/>
              <w:bottom w:val="single" w:sz="4" w:space="0" w:color="auto"/>
              <w:right w:val="single" w:sz="4" w:space="0" w:color="auto"/>
              <w:tl2br w:val="nil"/>
              <w:tr2bl w:val="nil"/>
            </w:tcBorders>
            <w:noWrap/>
            <w:textDirection w:val="lrTb"/>
            <w:vAlign w:val="center"/>
          </w:tcPr>
          <w:p w:rsidR="0011736A" w:rsidRPr="0086352B" w:rsidP="0011736A">
            <w:pPr>
              <w:spacing w:line="240" w:lineRule="auto"/>
              <w:jc w:val="right"/>
              <w:rPr>
                <w:rFonts w:ascii="Arial Narrow" w:hAnsi="Arial Narrow" w:cs="Arial"/>
                <w:sz w:val="18"/>
                <w:szCs w:val="18"/>
                <w:lang w:val="cs-CZ"/>
              </w:rPr>
            </w:pPr>
            <w:r>
              <w:rPr>
                <w:rFonts w:ascii="Arial Narrow" w:hAnsi="Arial Narrow" w:cs="Arial"/>
                <w:sz w:val="18"/>
                <w:szCs w:val="18"/>
                <w:lang w:val="cs-CZ"/>
              </w:rPr>
              <w:t>611 975</w:t>
            </w:r>
          </w:p>
        </w:tc>
      </w:tr>
      <w:tr>
        <w:tblPrEx>
          <w:tblW w:w="9295" w:type="dxa"/>
          <w:tblInd w:w="55" w:type="dxa"/>
          <w:tblCellMar>
            <w:left w:w="70" w:type="dxa"/>
            <w:right w:w="70" w:type="dxa"/>
          </w:tblCellMar>
        </w:tblPrEx>
        <w:trPr>
          <w:trHeight w:val="227"/>
        </w:trPr>
        <w:tc>
          <w:tcPr>
            <w:tcW w:w="772" w:type="dxa"/>
            <w:tcBorders>
              <w:top w:val="single" w:sz="4" w:space="0" w:color="auto"/>
              <w:left w:val="single" w:sz="12" w:space="0" w:color="auto"/>
              <w:bottom w:val="single" w:sz="8" w:space="0" w:color="auto"/>
              <w:right w:val="single" w:sz="8" w:space="0" w:color="auto"/>
              <w:tl2br w:val="nil"/>
              <w:tr2bl w:val="nil"/>
            </w:tcBorders>
            <w:noWrap/>
            <w:textDirection w:val="lrTb"/>
            <w:vAlign w:val="center"/>
          </w:tcPr>
          <w:p w:rsidR="0011736A" w:rsidRPr="0086352B" w:rsidP="0011736A">
            <w:pPr>
              <w:spacing w:line="240" w:lineRule="auto"/>
              <w:rPr>
                <w:rFonts w:ascii="Arial Narrow" w:hAnsi="Arial Narrow" w:cs="Arial"/>
                <w:sz w:val="18"/>
                <w:szCs w:val="18"/>
                <w:lang w:val="cs-CZ"/>
              </w:rPr>
            </w:pPr>
            <w:r>
              <w:rPr>
                <w:rFonts w:ascii="Arial Narrow" w:hAnsi="Arial Narrow" w:cs="Arial"/>
                <w:sz w:val="18"/>
                <w:szCs w:val="18"/>
              </w:rPr>
              <w:t>0</w:t>
            </w:r>
            <w:r w:rsidRPr="0086352B">
              <w:rPr>
                <w:rFonts w:ascii="Arial Narrow" w:hAnsi="Arial Narrow" w:cs="Arial"/>
                <w:sz w:val="18"/>
                <w:szCs w:val="18"/>
              </w:rPr>
              <w:t>530306</w:t>
            </w:r>
          </w:p>
        </w:tc>
        <w:tc>
          <w:tcPr>
            <w:tcW w:w="4823" w:type="dxa"/>
            <w:tcBorders>
              <w:top w:val="single" w:sz="4" w:space="0" w:color="auto"/>
              <w:left w:val="nil"/>
              <w:bottom w:val="single" w:sz="8" w:space="0" w:color="auto"/>
              <w:right w:val="single" w:sz="8" w:space="0" w:color="auto"/>
              <w:tl2br w:val="nil"/>
              <w:tr2bl w:val="nil"/>
            </w:tcBorders>
            <w:textDirection w:val="lrTb"/>
            <w:vAlign w:val="center"/>
          </w:tcPr>
          <w:p w:rsidR="0011736A" w:rsidRPr="0086352B" w:rsidP="0011736A">
            <w:pPr>
              <w:spacing w:line="240" w:lineRule="auto"/>
              <w:rPr>
                <w:rFonts w:ascii="Arial Narrow" w:hAnsi="Arial Narrow" w:cs="Arial"/>
                <w:sz w:val="18"/>
                <w:szCs w:val="18"/>
                <w:lang w:val="cs-CZ"/>
              </w:rPr>
            </w:pPr>
            <w:r>
              <w:rPr>
                <w:rFonts w:ascii="Arial Narrow" w:hAnsi="Arial Narrow" w:cs="Arial"/>
                <w:sz w:val="18"/>
                <w:szCs w:val="18"/>
              </w:rPr>
              <w:t xml:space="preserve">Modern. </w:t>
            </w:r>
            <w:r w:rsidRPr="0086352B">
              <w:rPr>
                <w:rFonts w:ascii="Arial Narrow" w:hAnsi="Arial Narrow" w:cs="Arial"/>
                <w:sz w:val="18"/>
                <w:szCs w:val="18"/>
              </w:rPr>
              <w:t>a rozvoj cestnej infraštruktúry</w:t>
            </w:r>
            <w:r>
              <w:rPr>
                <w:rFonts w:ascii="Arial Narrow" w:hAnsi="Arial Narrow" w:cs="Arial"/>
                <w:sz w:val="18"/>
                <w:szCs w:val="18"/>
              </w:rPr>
              <w:t xml:space="preserve"> </w:t>
            </w:r>
            <w:r w:rsidRPr="0086352B">
              <w:rPr>
                <w:rFonts w:ascii="Arial Narrow" w:hAnsi="Arial Narrow" w:cs="Arial"/>
                <w:sz w:val="18"/>
                <w:szCs w:val="18"/>
              </w:rPr>
              <w:t>-</w:t>
            </w:r>
            <w:r>
              <w:rPr>
                <w:rFonts w:ascii="Arial Narrow" w:hAnsi="Arial Narrow" w:cs="Arial"/>
                <w:sz w:val="18"/>
                <w:szCs w:val="18"/>
              </w:rPr>
              <w:t xml:space="preserve"> </w:t>
            </w:r>
            <w:r w:rsidRPr="0086352B">
              <w:rPr>
                <w:rFonts w:ascii="Arial Narrow" w:hAnsi="Arial Narrow" w:cs="Arial"/>
                <w:sz w:val="18"/>
                <w:szCs w:val="18"/>
              </w:rPr>
              <w:t>opatrenie 1.2 OP</w:t>
            </w:r>
            <w:r>
              <w:rPr>
                <w:rFonts w:ascii="Arial Narrow" w:hAnsi="Arial Narrow" w:cs="Arial"/>
                <w:sz w:val="18"/>
                <w:szCs w:val="18"/>
              </w:rPr>
              <w:t xml:space="preserve"> </w:t>
            </w:r>
            <w:r w:rsidRPr="0086352B">
              <w:rPr>
                <w:rFonts w:ascii="Arial Narrow" w:hAnsi="Arial Narrow" w:cs="Arial"/>
                <w:sz w:val="18"/>
                <w:szCs w:val="18"/>
              </w:rPr>
              <w:t>ZI</w:t>
            </w:r>
          </w:p>
        </w:tc>
        <w:tc>
          <w:tcPr>
            <w:tcW w:w="940" w:type="dxa"/>
            <w:tcBorders>
              <w:top w:val="single" w:sz="4" w:space="0" w:color="auto"/>
              <w:left w:val="nil"/>
              <w:bottom w:val="single" w:sz="8" w:space="0" w:color="auto"/>
              <w:right w:val="single" w:sz="8" w:space="0" w:color="auto"/>
              <w:tl2br w:val="nil"/>
              <w:tr2bl w:val="nil"/>
            </w:tcBorders>
            <w:noWrap/>
            <w:textDirection w:val="lrTb"/>
            <w:vAlign w:val="center"/>
          </w:tcPr>
          <w:p w:rsidR="0011736A" w:rsidRPr="0086352B" w:rsidP="0011736A">
            <w:pPr>
              <w:spacing w:line="240" w:lineRule="auto"/>
              <w:jc w:val="right"/>
              <w:rPr>
                <w:rFonts w:ascii="Arial Narrow" w:hAnsi="Arial Narrow" w:cs="Arial"/>
                <w:sz w:val="18"/>
                <w:szCs w:val="18"/>
                <w:lang w:val="cs-CZ"/>
              </w:rPr>
            </w:pPr>
            <w:r>
              <w:rPr>
                <w:rFonts w:ascii="Arial Narrow" w:hAnsi="Arial Narrow" w:cs="Arial"/>
                <w:sz w:val="18"/>
                <w:szCs w:val="18"/>
              </w:rPr>
              <w:t>0</w:t>
            </w:r>
          </w:p>
        </w:tc>
        <w:tc>
          <w:tcPr>
            <w:tcW w:w="960" w:type="dxa"/>
            <w:tcBorders>
              <w:top w:val="single" w:sz="4" w:space="0" w:color="auto"/>
              <w:left w:val="nil"/>
              <w:bottom w:val="single" w:sz="8" w:space="0" w:color="auto"/>
              <w:right w:val="single" w:sz="8" w:space="0" w:color="auto"/>
              <w:tl2br w:val="nil"/>
              <w:tr2bl w:val="nil"/>
            </w:tcBorders>
            <w:noWrap/>
            <w:textDirection w:val="lrTb"/>
            <w:vAlign w:val="center"/>
          </w:tcPr>
          <w:p w:rsidR="0011736A" w:rsidRPr="0086352B" w:rsidP="0011736A">
            <w:pPr>
              <w:spacing w:line="240" w:lineRule="auto"/>
              <w:jc w:val="right"/>
              <w:rPr>
                <w:rFonts w:ascii="Arial Narrow" w:hAnsi="Arial Narrow" w:cs="Arial"/>
                <w:sz w:val="18"/>
                <w:szCs w:val="18"/>
                <w:lang w:val="cs-CZ"/>
              </w:rPr>
            </w:pPr>
            <w:r>
              <w:rPr>
                <w:rFonts w:ascii="Arial Narrow" w:hAnsi="Arial Narrow" w:cs="Arial"/>
                <w:sz w:val="18"/>
                <w:szCs w:val="18"/>
                <w:lang w:val="cs-CZ"/>
              </w:rPr>
              <w:t>1 328 197</w:t>
            </w:r>
          </w:p>
        </w:tc>
        <w:tc>
          <w:tcPr>
            <w:tcW w:w="960" w:type="dxa"/>
            <w:tcBorders>
              <w:top w:val="single" w:sz="4" w:space="0" w:color="auto"/>
              <w:left w:val="nil"/>
              <w:bottom w:val="single" w:sz="8" w:space="0" w:color="auto"/>
              <w:right w:val="single" w:sz="8" w:space="0" w:color="auto"/>
              <w:tl2br w:val="nil"/>
              <w:tr2bl w:val="nil"/>
            </w:tcBorders>
            <w:noWrap/>
            <w:textDirection w:val="lrTb"/>
            <w:vAlign w:val="center"/>
          </w:tcPr>
          <w:p w:rsidR="0011736A" w:rsidRPr="0086352B" w:rsidP="0011736A">
            <w:pPr>
              <w:spacing w:line="240" w:lineRule="auto"/>
              <w:jc w:val="right"/>
              <w:rPr>
                <w:rFonts w:ascii="Arial Narrow" w:hAnsi="Arial Narrow" w:cs="Arial"/>
                <w:sz w:val="18"/>
                <w:szCs w:val="18"/>
                <w:lang w:val="cs-CZ"/>
              </w:rPr>
            </w:pPr>
            <w:r>
              <w:rPr>
                <w:rFonts w:ascii="Arial Narrow" w:hAnsi="Arial Narrow" w:cs="Arial"/>
                <w:sz w:val="18"/>
                <w:szCs w:val="18"/>
                <w:lang w:val="cs-CZ"/>
              </w:rPr>
              <w:t>1 328 136</w:t>
            </w:r>
          </w:p>
        </w:tc>
        <w:tc>
          <w:tcPr>
            <w:tcW w:w="840" w:type="dxa"/>
            <w:tcBorders>
              <w:top w:val="single" w:sz="4" w:space="0" w:color="auto"/>
              <w:left w:val="nil"/>
              <w:bottom w:val="single" w:sz="8" w:space="0" w:color="auto"/>
              <w:right w:val="single" w:sz="12" w:space="0" w:color="auto"/>
              <w:tl2br w:val="nil"/>
              <w:tr2bl w:val="nil"/>
            </w:tcBorders>
            <w:noWrap/>
            <w:textDirection w:val="lrTb"/>
            <w:vAlign w:val="center"/>
          </w:tcPr>
          <w:p w:rsidR="0011736A" w:rsidRPr="0086352B" w:rsidP="0011736A">
            <w:pPr>
              <w:spacing w:line="240" w:lineRule="auto"/>
              <w:jc w:val="right"/>
              <w:rPr>
                <w:rFonts w:ascii="Arial Narrow" w:hAnsi="Arial Narrow" w:cs="Arial"/>
                <w:sz w:val="18"/>
                <w:szCs w:val="18"/>
                <w:lang w:val="cs-CZ"/>
              </w:rPr>
            </w:pPr>
            <w:r>
              <w:rPr>
                <w:rFonts w:ascii="Arial Narrow" w:hAnsi="Arial Narrow" w:cs="Arial"/>
                <w:sz w:val="18"/>
                <w:szCs w:val="18"/>
                <w:lang w:val="cs-CZ"/>
              </w:rPr>
              <w:t>1 275 922</w:t>
            </w:r>
          </w:p>
        </w:tc>
      </w:tr>
      <w:tr>
        <w:tblPrEx>
          <w:tblW w:w="9295" w:type="dxa"/>
          <w:tblInd w:w="55" w:type="dxa"/>
          <w:tblCellMar>
            <w:left w:w="70" w:type="dxa"/>
            <w:right w:w="70" w:type="dxa"/>
          </w:tblCellMar>
        </w:tblPrEx>
        <w:trPr>
          <w:trHeight w:val="227"/>
        </w:trPr>
        <w:tc>
          <w:tcPr>
            <w:tcW w:w="772" w:type="dxa"/>
            <w:tcBorders>
              <w:top w:val="nil"/>
              <w:left w:val="single" w:sz="12" w:space="0" w:color="auto"/>
              <w:bottom w:val="single" w:sz="8" w:space="0" w:color="auto"/>
              <w:right w:val="single" w:sz="8" w:space="0" w:color="auto"/>
              <w:tl2br w:val="nil"/>
              <w:tr2bl w:val="nil"/>
            </w:tcBorders>
            <w:noWrap/>
            <w:textDirection w:val="lrTb"/>
            <w:vAlign w:val="center"/>
          </w:tcPr>
          <w:p w:rsidR="0011736A" w:rsidRPr="0086352B" w:rsidP="0011736A">
            <w:pPr>
              <w:spacing w:line="240" w:lineRule="auto"/>
              <w:rPr>
                <w:rFonts w:ascii="Arial Narrow" w:hAnsi="Arial Narrow" w:cs="Arial"/>
                <w:b/>
                <w:bCs/>
                <w:sz w:val="18"/>
                <w:szCs w:val="18"/>
                <w:lang w:val="cs-CZ"/>
              </w:rPr>
            </w:pPr>
            <w:r>
              <w:rPr>
                <w:rFonts w:ascii="Arial Narrow" w:hAnsi="Arial Narrow" w:cs="Arial"/>
                <w:b/>
                <w:bCs/>
                <w:sz w:val="18"/>
                <w:szCs w:val="18"/>
              </w:rPr>
              <w:t>0</w:t>
            </w:r>
            <w:r w:rsidRPr="0086352B">
              <w:rPr>
                <w:rFonts w:ascii="Arial Narrow" w:hAnsi="Arial Narrow" w:cs="Arial"/>
                <w:b/>
                <w:bCs/>
                <w:sz w:val="18"/>
                <w:szCs w:val="18"/>
              </w:rPr>
              <w:t>55</w:t>
            </w:r>
          </w:p>
        </w:tc>
        <w:tc>
          <w:tcPr>
            <w:tcW w:w="4823" w:type="dxa"/>
            <w:tcBorders>
              <w:top w:val="nil"/>
              <w:left w:val="nil"/>
              <w:bottom w:val="single" w:sz="8" w:space="0" w:color="auto"/>
              <w:right w:val="single" w:sz="8" w:space="0" w:color="auto"/>
              <w:tl2br w:val="nil"/>
              <w:tr2bl w:val="nil"/>
            </w:tcBorders>
            <w:textDirection w:val="lrTb"/>
            <w:vAlign w:val="center"/>
          </w:tcPr>
          <w:p w:rsidR="0011736A" w:rsidRPr="0086352B" w:rsidP="0011736A">
            <w:pPr>
              <w:spacing w:line="240" w:lineRule="auto"/>
              <w:rPr>
                <w:rFonts w:ascii="Arial Narrow" w:hAnsi="Arial Narrow" w:cs="Arial"/>
                <w:b/>
                <w:bCs/>
                <w:sz w:val="18"/>
                <w:szCs w:val="18"/>
                <w:lang w:val="cs-CZ"/>
              </w:rPr>
            </w:pPr>
            <w:r w:rsidRPr="0086352B">
              <w:rPr>
                <w:rFonts w:ascii="Arial Narrow" w:hAnsi="Arial Narrow" w:cs="Arial"/>
                <w:b/>
                <w:bCs/>
                <w:sz w:val="18"/>
                <w:szCs w:val="18"/>
              </w:rPr>
              <w:t>Letecká doprava</w:t>
            </w:r>
            <w:r>
              <w:rPr>
                <w:rFonts w:ascii="Arial Narrow" w:hAnsi="Arial Narrow" w:cs="Arial"/>
                <w:b/>
                <w:bCs/>
                <w:sz w:val="18"/>
                <w:szCs w:val="18"/>
              </w:rPr>
              <w:t xml:space="preserve"> a infraštruktúra</w:t>
            </w:r>
          </w:p>
        </w:tc>
        <w:tc>
          <w:tcPr>
            <w:tcW w:w="940" w:type="dxa"/>
            <w:tcBorders>
              <w:top w:val="nil"/>
              <w:left w:val="nil"/>
              <w:bottom w:val="single" w:sz="8" w:space="0" w:color="auto"/>
              <w:right w:val="single" w:sz="8" w:space="0" w:color="auto"/>
              <w:tl2br w:val="nil"/>
              <w:tr2bl w:val="nil"/>
            </w:tcBorders>
            <w:noWrap/>
            <w:textDirection w:val="lrTb"/>
            <w:vAlign w:val="center"/>
          </w:tcPr>
          <w:p w:rsidR="0011736A" w:rsidRPr="0086352B" w:rsidP="0011736A">
            <w:pPr>
              <w:spacing w:line="240" w:lineRule="auto"/>
              <w:jc w:val="right"/>
              <w:rPr>
                <w:rFonts w:ascii="Arial Narrow" w:hAnsi="Arial Narrow" w:cs="Arial"/>
                <w:b/>
                <w:bCs/>
                <w:sz w:val="18"/>
                <w:szCs w:val="18"/>
                <w:lang w:val="cs-CZ"/>
              </w:rPr>
            </w:pPr>
            <w:r>
              <w:rPr>
                <w:rFonts w:ascii="Arial Narrow" w:hAnsi="Arial Narrow" w:cs="Arial"/>
                <w:b/>
                <w:bCs/>
                <w:sz w:val="18"/>
                <w:szCs w:val="18"/>
              </w:rPr>
              <w:t>108 969</w:t>
            </w:r>
          </w:p>
        </w:tc>
        <w:tc>
          <w:tcPr>
            <w:tcW w:w="960" w:type="dxa"/>
            <w:tcBorders>
              <w:top w:val="nil"/>
              <w:left w:val="nil"/>
              <w:bottom w:val="single" w:sz="8" w:space="0" w:color="auto"/>
              <w:right w:val="single" w:sz="8" w:space="0" w:color="auto"/>
              <w:tl2br w:val="nil"/>
              <w:tr2bl w:val="nil"/>
            </w:tcBorders>
            <w:noWrap/>
            <w:textDirection w:val="lrTb"/>
            <w:vAlign w:val="center"/>
          </w:tcPr>
          <w:p w:rsidR="0011736A" w:rsidRPr="0086352B" w:rsidP="0011736A">
            <w:pPr>
              <w:spacing w:line="240" w:lineRule="auto"/>
              <w:jc w:val="right"/>
              <w:rPr>
                <w:rFonts w:ascii="Arial Narrow" w:hAnsi="Arial Narrow" w:cs="Arial"/>
                <w:b/>
                <w:bCs/>
                <w:sz w:val="18"/>
                <w:szCs w:val="18"/>
                <w:lang w:val="cs-CZ"/>
              </w:rPr>
            </w:pPr>
            <w:r>
              <w:rPr>
                <w:rFonts w:ascii="Arial Narrow" w:hAnsi="Arial Narrow" w:cs="Arial"/>
                <w:b/>
                <w:bCs/>
                <w:sz w:val="18"/>
                <w:szCs w:val="18"/>
                <w:lang w:val="cs-CZ"/>
              </w:rPr>
              <w:t>324 938</w:t>
            </w:r>
          </w:p>
        </w:tc>
        <w:tc>
          <w:tcPr>
            <w:tcW w:w="960" w:type="dxa"/>
            <w:tcBorders>
              <w:top w:val="nil"/>
              <w:left w:val="nil"/>
              <w:bottom w:val="single" w:sz="8" w:space="0" w:color="auto"/>
              <w:right w:val="single" w:sz="8" w:space="0" w:color="auto"/>
              <w:tl2br w:val="nil"/>
              <w:tr2bl w:val="nil"/>
            </w:tcBorders>
            <w:noWrap/>
            <w:textDirection w:val="lrTb"/>
            <w:vAlign w:val="center"/>
          </w:tcPr>
          <w:p w:rsidR="0011736A" w:rsidRPr="0086352B" w:rsidP="0011736A">
            <w:pPr>
              <w:spacing w:line="240" w:lineRule="auto"/>
              <w:jc w:val="right"/>
              <w:rPr>
                <w:rFonts w:ascii="Arial Narrow" w:hAnsi="Arial Narrow" w:cs="Arial"/>
                <w:b/>
                <w:bCs/>
                <w:sz w:val="18"/>
                <w:szCs w:val="18"/>
                <w:lang w:val="cs-CZ"/>
              </w:rPr>
            </w:pPr>
            <w:r>
              <w:rPr>
                <w:rFonts w:ascii="Arial Narrow" w:hAnsi="Arial Narrow" w:cs="Arial"/>
                <w:b/>
                <w:bCs/>
                <w:sz w:val="18"/>
                <w:szCs w:val="18"/>
                <w:lang w:val="cs-CZ"/>
              </w:rPr>
              <w:t>324 938</w:t>
            </w:r>
          </w:p>
        </w:tc>
        <w:tc>
          <w:tcPr>
            <w:tcW w:w="840" w:type="dxa"/>
            <w:tcBorders>
              <w:top w:val="nil"/>
              <w:left w:val="nil"/>
              <w:bottom w:val="single" w:sz="8" w:space="0" w:color="auto"/>
              <w:right w:val="single" w:sz="12" w:space="0" w:color="auto"/>
              <w:tl2br w:val="nil"/>
              <w:tr2bl w:val="nil"/>
            </w:tcBorders>
            <w:noWrap/>
            <w:textDirection w:val="lrTb"/>
            <w:vAlign w:val="center"/>
          </w:tcPr>
          <w:p w:rsidR="0011736A" w:rsidRPr="0086352B" w:rsidP="0011736A">
            <w:pPr>
              <w:spacing w:line="240" w:lineRule="auto"/>
              <w:jc w:val="right"/>
              <w:rPr>
                <w:rFonts w:ascii="Arial Narrow" w:hAnsi="Arial Narrow" w:cs="Arial"/>
                <w:b/>
                <w:bCs/>
                <w:sz w:val="18"/>
                <w:szCs w:val="18"/>
                <w:lang w:val="cs-CZ"/>
              </w:rPr>
            </w:pPr>
            <w:r>
              <w:rPr>
                <w:rFonts w:ascii="Arial Narrow" w:hAnsi="Arial Narrow" w:cs="Arial"/>
                <w:b/>
                <w:bCs/>
                <w:sz w:val="18"/>
                <w:szCs w:val="18"/>
                <w:lang w:val="cs-CZ"/>
              </w:rPr>
              <w:t>41 27</w:t>
            </w:r>
            <w:r w:rsidR="004D0464">
              <w:rPr>
                <w:rFonts w:ascii="Arial Narrow" w:hAnsi="Arial Narrow" w:cs="Arial"/>
                <w:b/>
                <w:bCs/>
                <w:sz w:val="18"/>
                <w:szCs w:val="18"/>
                <w:lang w:val="cs-CZ"/>
              </w:rPr>
              <w:t>5</w:t>
            </w:r>
          </w:p>
        </w:tc>
      </w:tr>
      <w:tr>
        <w:tblPrEx>
          <w:tblW w:w="9295" w:type="dxa"/>
          <w:tblInd w:w="55" w:type="dxa"/>
          <w:tblCellMar>
            <w:left w:w="70" w:type="dxa"/>
            <w:right w:w="70" w:type="dxa"/>
          </w:tblCellMar>
        </w:tblPrEx>
        <w:trPr>
          <w:trHeight w:val="227"/>
        </w:trPr>
        <w:tc>
          <w:tcPr>
            <w:tcW w:w="772" w:type="dxa"/>
            <w:tcBorders>
              <w:top w:val="nil"/>
              <w:left w:val="single" w:sz="12" w:space="0" w:color="auto"/>
              <w:bottom w:val="single" w:sz="8" w:space="0" w:color="auto"/>
              <w:right w:val="single" w:sz="8" w:space="0" w:color="auto"/>
              <w:tl2br w:val="nil"/>
              <w:tr2bl w:val="nil"/>
            </w:tcBorders>
            <w:noWrap/>
            <w:textDirection w:val="lrTb"/>
            <w:vAlign w:val="center"/>
          </w:tcPr>
          <w:p w:rsidR="0011736A" w:rsidRPr="0086352B" w:rsidP="0011736A">
            <w:pPr>
              <w:spacing w:line="240" w:lineRule="auto"/>
              <w:rPr>
                <w:rFonts w:ascii="Arial Narrow" w:hAnsi="Arial Narrow" w:cs="Arial"/>
                <w:sz w:val="18"/>
                <w:szCs w:val="18"/>
                <w:lang w:val="cs-CZ"/>
              </w:rPr>
            </w:pPr>
            <w:r>
              <w:rPr>
                <w:rFonts w:ascii="Arial Narrow" w:hAnsi="Arial Narrow" w:cs="Arial"/>
                <w:sz w:val="18"/>
                <w:szCs w:val="18"/>
              </w:rPr>
              <w:t>0</w:t>
            </w:r>
            <w:r w:rsidRPr="0086352B">
              <w:rPr>
                <w:rFonts w:ascii="Arial Narrow" w:hAnsi="Arial Narrow" w:cs="Arial"/>
                <w:sz w:val="18"/>
                <w:szCs w:val="18"/>
              </w:rPr>
              <w:t>5501</w:t>
            </w:r>
          </w:p>
        </w:tc>
        <w:tc>
          <w:tcPr>
            <w:tcW w:w="4823" w:type="dxa"/>
            <w:tcBorders>
              <w:top w:val="nil"/>
              <w:left w:val="nil"/>
              <w:bottom w:val="single" w:sz="8" w:space="0" w:color="auto"/>
              <w:right w:val="single" w:sz="8" w:space="0" w:color="auto"/>
              <w:tl2br w:val="nil"/>
              <w:tr2bl w:val="nil"/>
            </w:tcBorders>
            <w:textDirection w:val="lrTb"/>
            <w:vAlign w:val="center"/>
          </w:tcPr>
          <w:p w:rsidR="0011736A" w:rsidRPr="0086352B" w:rsidP="0011736A">
            <w:pPr>
              <w:spacing w:line="240" w:lineRule="auto"/>
              <w:rPr>
                <w:rFonts w:ascii="Arial Narrow" w:hAnsi="Arial Narrow" w:cs="Arial"/>
                <w:sz w:val="18"/>
                <w:szCs w:val="18"/>
                <w:lang w:val="cs-CZ"/>
              </w:rPr>
            </w:pPr>
            <w:r>
              <w:rPr>
                <w:rFonts w:ascii="Arial Narrow" w:hAnsi="Arial Narrow" w:cs="Arial"/>
                <w:sz w:val="18"/>
                <w:szCs w:val="18"/>
              </w:rPr>
              <w:t xml:space="preserve">Zabezpečenie prevádzky leteckej dopravy a výstavba let. </w:t>
            </w:r>
            <w:r w:rsidRPr="0086352B">
              <w:rPr>
                <w:rFonts w:ascii="Arial Narrow" w:hAnsi="Arial Narrow" w:cs="Arial"/>
                <w:sz w:val="18"/>
                <w:szCs w:val="18"/>
              </w:rPr>
              <w:t>infraštruktúry</w:t>
            </w:r>
          </w:p>
        </w:tc>
        <w:tc>
          <w:tcPr>
            <w:tcW w:w="940" w:type="dxa"/>
            <w:tcBorders>
              <w:top w:val="nil"/>
              <w:left w:val="nil"/>
              <w:bottom w:val="single" w:sz="8" w:space="0" w:color="auto"/>
              <w:right w:val="single" w:sz="8" w:space="0" w:color="auto"/>
              <w:tl2br w:val="nil"/>
              <w:tr2bl w:val="nil"/>
            </w:tcBorders>
            <w:noWrap/>
            <w:textDirection w:val="lrTb"/>
            <w:vAlign w:val="center"/>
          </w:tcPr>
          <w:p w:rsidR="0011736A" w:rsidRPr="0086352B" w:rsidP="0011736A">
            <w:pPr>
              <w:spacing w:line="240" w:lineRule="auto"/>
              <w:jc w:val="right"/>
              <w:rPr>
                <w:rFonts w:ascii="Arial Narrow" w:hAnsi="Arial Narrow" w:cs="Arial"/>
                <w:sz w:val="18"/>
                <w:szCs w:val="18"/>
                <w:lang w:val="cs-CZ"/>
              </w:rPr>
            </w:pPr>
            <w:r>
              <w:rPr>
                <w:rFonts w:ascii="Arial Narrow" w:hAnsi="Arial Narrow" w:cs="Arial"/>
                <w:sz w:val="18"/>
                <w:szCs w:val="18"/>
              </w:rPr>
              <w:t>90 000</w:t>
            </w:r>
          </w:p>
        </w:tc>
        <w:tc>
          <w:tcPr>
            <w:tcW w:w="960" w:type="dxa"/>
            <w:tcBorders>
              <w:top w:val="nil"/>
              <w:left w:val="nil"/>
              <w:bottom w:val="single" w:sz="8" w:space="0" w:color="auto"/>
              <w:right w:val="single" w:sz="8" w:space="0" w:color="auto"/>
              <w:tl2br w:val="nil"/>
              <w:tr2bl w:val="nil"/>
            </w:tcBorders>
            <w:noWrap/>
            <w:textDirection w:val="lrTb"/>
            <w:vAlign w:val="center"/>
          </w:tcPr>
          <w:p w:rsidR="0011736A" w:rsidRPr="0086352B" w:rsidP="0011736A">
            <w:pPr>
              <w:spacing w:line="240" w:lineRule="auto"/>
              <w:jc w:val="right"/>
              <w:rPr>
                <w:rFonts w:ascii="Arial Narrow" w:hAnsi="Arial Narrow" w:cs="Arial"/>
                <w:sz w:val="18"/>
                <w:szCs w:val="18"/>
                <w:lang w:val="cs-CZ"/>
              </w:rPr>
            </w:pPr>
            <w:r>
              <w:rPr>
                <w:rFonts w:ascii="Arial Narrow" w:hAnsi="Arial Narrow" w:cs="Arial"/>
                <w:sz w:val="18"/>
                <w:szCs w:val="18"/>
                <w:lang w:val="cs-CZ"/>
              </w:rPr>
              <w:t>119 100</w:t>
            </w:r>
          </w:p>
        </w:tc>
        <w:tc>
          <w:tcPr>
            <w:tcW w:w="960" w:type="dxa"/>
            <w:tcBorders>
              <w:top w:val="nil"/>
              <w:left w:val="nil"/>
              <w:bottom w:val="single" w:sz="8" w:space="0" w:color="auto"/>
              <w:right w:val="single" w:sz="8" w:space="0" w:color="auto"/>
              <w:tl2br w:val="nil"/>
              <w:tr2bl w:val="nil"/>
            </w:tcBorders>
            <w:noWrap/>
            <w:textDirection w:val="lrTb"/>
            <w:vAlign w:val="center"/>
          </w:tcPr>
          <w:p w:rsidR="0011736A" w:rsidRPr="0086352B" w:rsidP="0011736A">
            <w:pPr>
              <w:spacing w:line="240" w:lineRule="auto"/>
              <w:jc w:val="right"/>
              <w:rPr>
                <w:rFonts w:ascii="Arial Narrow" w:hAnsi="Arial Narrow" w:cs="Arial"/>
                <w:sz w:val="18"/>
                <w:szCs w:val="18"/>
                <w:lang w:val="cs-CZ"/>
              </w:rPr>
            </w:pPr>
            <w:r>
              <w:rPr>
                <w:rFonts w:ascii="Arial Narrow" w:hAnsi="Arial Narrow" w:cs="Arial"/>
                <w:sz w:val="18"/>
                <w:szCs w:val="18"/>
                <w:lang w:val="cs-CZ"/>
              </w:rPr>
              <w:t>119 100</w:t>
            </w:r>
          </w:p>
        </w:tc>
        <w:tc>
          <w:tcPr>
            <w:tcW w:w="840" w:type="dxa"/>
            <w:tcBorders>
              <w:top w:val="nil"/>
              <w:left w:val="nil"/>
              <w:bottom w:val="single" w:sz="8" w:space="0" w:color="auto"/>
              <w:right w:val="single" w:sz="12" w:space="0" w:color="auto"/>
              <w:tl2br w:val="nil"/>
              <w:tr2bl w:val="nil"/>
            </w:tcBorders>
            <w:noWrap/>
            <w:textDirection w:val="lrTb"/>
            <w:vAlign w:val="center"/>
          </w:tcPr>
          <w:p w:rsidR="0011736A" w:rsidRPr="0086352B" w:rsidP="0011736A">
            <w:pPr>
              <w:spacing w:line="240" w:lineRule="auto"/>
              <w:jc w:val="right"/>
              <w:rPr>
                <w:rFonts w:ascii="Arial Narrow" w:hAnsi="Arial Narrow" w:cs="Arial"/>
                <w:sz w:val="18"/>
                <w:szCs w:val="18"/>
                <w:lang w:val="cs-CZ"/>
              </w:rPr>
            </w:pPr>
            <w:r>
              <w:rPr>
                <w:rFonts w:ascii="Arial Narrow" w:hAnsi="Arial Narrow" w:cs="Arial"/>
                <w:sz w:val="18"/>
                <w:szCs w:val="18"/>
                <w:lang w:val="cs-CZ"/>
              </w:rPr>
              <w:t>0</w:t>
            </w:r>
          </w:p>
        </w:tc>
      </w:tr>
      <w:tr>
        <w:tblPrEx>
          <w:tblW w:w="9295" w:type="dxa"/>
          <w:tblInd w:w="55" w:type="dxa"/>
          <w:tblCellMar>
            <w:left w:w="70" w:type="dxa"/>
            <w:right w:w="70" w:type="dxa"/>
          </w:tblCellMar>
        </w:tblPrEx>
        <w:trPr>
          <w:trHeight w:val="227"/>
        </w:trPr>
        <w:tc>
          <w:tcPr>
            <w:tcW w:w="772" w:type="dxa"/>
            <w:tcBorders>
              <w:top w:val="nil"/>
              <w:left w:val="single" w:sz="12" w:space="0" w:color="auto"/>
              <w:bottom w:val="single" w:sz="8" w:space="0" w:color="auto"/>
              <w:right w:val="single" w:sz="8" w:space="0" w:color="auto"/>
              <w:tl2br w:val="nil"/>
              <w:tr2bl w:val="nil"/>
            </w:tcBorders>
            <w:noWrap/>
            <w:textDirection w:val="lrTb"/>
            <w:vAlign w:val="center"/>
          </w:tcPr>
          <w:p w:rsidR="0011736A" w:rsidRPr="0086352B" w:rsidP="0011736A">
            <w:pPr>
              <w:spacing w:line="240" w:lineRule="auto"/>
              <w:rPr>
                <w:rFonts w:ascii="Arial Narrow" w:hAnsi="Arial Narrow" w:cs="Arial"/>
                <w:sz w:val="18"/>
                <w:szCs w:val="18"/>
                <w:lang w:val="cs-CZ"/>
              </w:rPr>
            </w:pPr>
            <w:r>
              <w:rPr>
                <w:rFonts w:ascii="Arial Narrow" w:hAnsi="Arial Narrow" w:cs="Arial"/>
                <w:sz w:val="18"/>
                <w:szCs w:val="18"/>
              </w:rPr>
              <w:t>0</w:t>
            </w:r>
            <w:r w:rsidRPr="0086352B">
              <w:rPr>
                <w:rFonts w:ascii="Arial Narrow" w:hAnsi="Arial Narrow" w:cs="Arial"/>
                <w:sz w:val="18"/>
                <w:szCs w:val="18"/>
              </w:rPr>
              <w:t>5504</w:t>
            </w:r>
          </w:p>
        </w:tc>
        <w:tc>
          <w:tcPr>
            <w:tcW w:w="4823" w:type="dxa"/>
            <w:tcBorders>
              <w:top w:val="nil"/>
              <w:left w:val="nil"/>
              <w:bottom w:val="single" w:sz="8" w:space="0" w:color="auto"/>
              <w:right w:val="single" w:sz="8" w:space="0" w:color="auto"/>
              <w:tl2br w:val="nil"/>
              <w:tr2bl w:val="nil"/>
            </w:tcBorders>
            <w:textDirection w:val="lrTb"/>
            <w:vAlign w:val="center"/>
          </w:tcPr>
          <w:p w:rsidR="0011736A" w:rsidRPr="0086352B" w:rsidP="0011736A">
            <w:pPr>
              <w:spacing w:line="240" w:lineRule="auto"/>
              <w:rPr>
                <w:rFonts w:ascii="Arial Narrow" w:hAnsi="Arial Narrow" w:cs="Arial"/>
                <w:sz w:val="18"/>
                <w:szCs w:val="18"/>
                <w:lang w:val="cs-CZ"/>
              </w:rPr>
            </w:pPr>
            <w:r>
              <w:rPr>
                <w:rFonts w:ascii="Arial Narrow" w:hAnsi="Arial Narrow" w:cs="Arial"/>
                <w:sz w:val="18"/>
                <w:szCs w:val="18"/>
              </w:rPr>
              <w:t xml:space="preserve">Modernizácia a rozvoj infraštruktúry </w:t>
            </w:r>
            <w:r w:rsidRPr="0086352B">
              <w:rPr>
                <w:rFonts w:ascii="Arial Narrow" w:hAnsi="Arial Narrow" w:cs="Arial"/>
                <w:sz w:val="18"/>
                <w:szCs w:val="18"/>
              </w:rPr>
              <w:t>let. dopravy</w:t>
            </w:r>
            <w:r>
              <w:rPr>
                <w:rFonts w:ascii="Arial Narrow" w:hAnsi="Arial Narrow" w:cs="Arial"/>
                <w:sz w:val="18"/>
                <w:szCs w:val="18"/>
              </w:rPr>
              <w:t xml:space="preserve"> </w:t>
            </w:r>
            <w:r w:rsidRPr="0086352B">
              <w:rPr>
                <w:rFonts w:ascii="Arial Narrow" w:hAnsi="Arial Narrow" w:cs="Arial"/>
                <w:sz w:val="18"/>
                <w:szCs w:val="18"/>
              </w:rPr>
              <w:t>-</w:t>
            </w:r>
            <w:r>
              <w:rPr>
                <w:rFonts w:ascii="Arial Narrow" w:hAnsi="Arial Narrow" w:cs="Arial"/>
                <w:sz w:val="18"/>
                <w:szCs w:val="18"/>
              </w:rPr>
              <w:t xml:space="preserve"> </w:t>
            </w:r>
            <w:r w:rsidRPr="0086352B">
              <w:rPr>
                <w:rFonts w:ascii="Arial Narrow" w:hAnsi="Arial Narrow" w:cs="Arial"/>
                <w:sz w:val="18"/>
                <w:szCs w:val="18"/>
              </w:rPr>
              <w:t>opatrenie 1.3. OP ZI</w:t>
            </w:r>
          </w:p>
        </w:tc>
        <w:tc>
          <w:tcPr>
            <w:tcW w:w="940" w:type="dxa"/>
            <w:tcBorders>
              <w:top w:val="nil"/>
              <w:left w:val="nil"/>
              <w:bottom w:val="single" w:sz="8" w:space="0" w:color="auto"/>
              <w:right w:val="single" w:sz="8" w:space="0" w:color="auto"/>
              <w:tl2br w:val="nil"/>
              <w:tr2bl w:val="nil"/>
            </w:tcBorders>
            <w:noWrap/>
            <w:textDirection w:val="lrTb"/>
            <w:vAlign w:val="center"/>
          </w:tcPr>
          <w:p w:rsidR="0011736A" w:rsidRPr="0086352B" w:rsidP="0011736A">
            <w:pPr>
              <w:spacing w:line="240" w:lineRule="auto"/>
              <w:jc w:val="right"/>
              <w:rPr>
                <w:rFonts w:ascii="Arial Narrow" w:hAnsi="Arial Narrow" w:cs="Arial"/>
                <w:sz w:val="18"/>
                <w:szCs w:val="18"/>
                <w:lang w:val="cs-CZ"/>
              </w:rPr>
            </w:pPr>
            <w:r>
              <w:rPr>
                <w:rFonts w:ascii="Arial Narrow" w:hAnsi="Arial Narrow" w:cs="Arial"/>
                <w:sz w:val="18"/>
                <w:szCs w:val="18"/>
              </w:rPr>
              <w:t>18 969</w:t>
            </w:r>
          </w:p>
        </w:tc>
        <w:tc>
          <w:tcPr>
            <w:tcW w:w="960" w:type="dxa"/>
            <w:tcBorders>
              <w:top w:val="nil"/>
              <w:left w:val="nil"/>
              <w:bottom w:val="single" w:sz="8" w:space="0" w:color="auto"/>
              <w:right w:val="single" w:sz="8" w:space="0" w:color="auto"/>
              <w:tl2br w:val="nil"/>
              <w:tr2bl w:val="nil"/>
            </w:tcBorders>
            <w:noWrap/>
            <w:textDirection w:val="lrTb"/>
            <w:vAlign w:val="center"/>
          </w:tcPr>
          <w:p w:rsidR="0011736A" w:rsidRPr="0086352B" w:rsidP="0011736A">
            <w:pPr>
              <w:spacing w:line="240" w:lineRule="auto"/>
              <w:jc w:val="right"/>
              <w:rPr>
                <w:rFonts w:ascii="Arial Narrow" w:hAnsi="Arial Narrow" w:cs="Arial"/>
                <w:sz w:val="18"/>
                <w:szCs w:val="18"/>
                <w:lang w:val="cs-CZ"/>
              </w:rPr>
            </w:pPr>
            <w:r>
              <w:rPr>
                <w:rFonts w:ascii="Arial Narrow" w:hAnsi="Arial Narrow" w:cs="Arial"/>
                <w:sz w:val="18"/>
                <w:szCs w:val="18"/>
                <w:lang w:val="cs-CZ"/>
              </w:rPr>
              <w:t>41 275</w:t>
            </w:r>
          </w:p>
        </w:tc>
        <w:tc>
          <w:tcPr>
            <w:tcW w:w="960" w:type="dxa"/>
            <w:tcBorders>
              <w:top w:val="nil"/>
              <w:left w:val="nil"/>
              <w:bottom w:val="single" w:sz="8" w:space="0" w:color="auto"/>
              <w:right w:val="single" w:sz="8" w:space="0" w:color="auto"/>
              <w:tl2br w:val="nil"/>
              <w:tr2bl w:val="nil"/>
            </w:tcBorders>
            <w:noWrap/>
            <w:textDirection w:val="lrTb"/>
            <w:vAlign w:val="center"/>
          </w:tcPr>
          <w:p w:rsidR="0011736A" w:rsidRPr="0086352B" w:rsidP="0011736A">
            <w:pPr>
              <w:spacing w:line="240" w:lineRule="auto"/>
              <w:jc w:val="right"/>
              <w:rPr>
                <w:rFonts w:ascii="Arial Narrow" w:hAnsi="Arial Narrow" w:cs="Arial"/>
                <w:sz w:val="18"/>
                <w:szCs w:val="18"/>
                <w:lang w:val="cs-CZ"/>
              </w:rPr>
            </w:pPr>
            <w:r>
              <w:rPr>
                <w:rFonts w:ascii="Arial Narrow" w:hAnsi="Arial Narrow" w:cs="Arial"/>
                <w:sz w:val="18"/>
                <w:szCs w:val="18"/>
                <w:lang w:val="cs-CZ"/>
              </w:rPr>
              <w:t>41 275</w:t>
            </w:r>
          </w:p>
        </w:tc>
        <w:tc>
          <w:tcPr>
            <w:tcW w:w="840" w:type="dxa"/>
            <w:tcBorders>
              <w:top w:val="nil"/>
              <w:left w:val="nil"/>
              <w:bottom w:val="single" w:sz="8" w:space="0" w:color="auto"/>
              <w:right w:val="single" w:sz="12" w:space="0" w:color="auto"/>
              <w:tl2br w:val="nil"/>
              <w:tr2bl w:val="nil"/>
            </w:tcBorders>
            <w:noWrap/>
            <w:textDirection w:val="lrTb"/>
            <w:vAlign w:val="center"/>
          </w:tcPr>
          <w:p w:rsidR="0011736A" w:rsidRPr="0086352B" w:rsidP="0011736A">
            <w:pPr>
              <w:spacing w:line="240" w:lineRule="auto"/>
              <w:jc w:val="right"/>
              <w:rPr>
                <w:rFonts w:ascii="Arial Narrow" w:hAnsi="Arial Narrow" w:cs="Arial"/>
                <w:sz w:val="18"/>
                <w:szCs w:val="18"/>
                <w:lang w:val="cs-CZ"/>
              </w:rPr>
            </w:pPr>
            <w:r>
              <w:rPr>
                <w:rFonts w:ascii="Arial Narrow" w:hAnsi="Arial Narrow" w:cs="Arial"/>
                <w:sz w:val="18"/>
                <w:szCs w:val="18"/>
                <w:lang w:val="cs-CZ"/>
              </w:rPr>
              <w:t>41 27</w:t>
            </w:r>
            <w:r w:rsidR="004D0464">
              <w:rPr>
                <w:rFonts w:ascii="Arial Narrow" w:hAnsi="Arial Narrow" w:cs="Arial"/>
                <w:sz w:val="18"/>
                <w:szCs w:val="18"/>
                <w:lang w:val="cs-CZ"/>
              </w:rPr>
              <w:t>5</w:t>
            </w:r>
          </w:p>
        </w:tc>
      </w:tr>
      <w:tr>
        <w:tblPrEx>
          <w:tblW w:w="9295" w:type="dxa"/>
          <w:tblInd w:w="55" w:type="dxa"/>
          <w:tblCellMar>
            <w:left w:w="70" w:type="dxa"/>
            <w:right w:w="70" w:type="dxa"/>
          </w:tblCellMar>
        </w:tblPrEx>
        <w:trPr>
          <w:trHeight w:val="227"/>
        </w:trPr>
        <w:tc>
          <w:tcPr>
            <w:tcW w:w="772" w:type="dxa"/>
            <w:tcBorders>
              <w:top w:val="nil"/>
              <w:left w:val="single" w:sz="12" w:space="0" w:color="auto"/>
              <w:bottom w:val="single" w:sz="8" w:space="0" w:color="auto"/>
              <w:right w:val="single" w:sz="8" w:space="0" w:color="auto"/>
              <w:tl2br w:val="nil"/>
              <w:tr2bl w:val="nil"/>
            </w:tcBorders>
            <w:noWrap/>
            <w:textDirection w:val="lrTb"/>
            <w:vAlign w:val="center"/>
          </w:tcPr>
          <w:p w:rsidR="0011736A" w:rsidRPr="00F93840" w:rsidP="0011736A">
            <w:pPr>
              <w:spacing w:line="240" w:lineRule="auto"/>
              <w:rPr>
                <w:rFonts w:ascii="Arial Narrow" w:hAnsi="Arial Narrow" w:cs="Arial"/>
                <w:bCs/>
                <w:sz w:val="18"/>
                <w:szCs w:val="18"/>
              </w:rPr>
            </w:pPr>
            <w:r w:rsidRPr="00F93840">
              <w:rPr>
                <w:rFonts w:ascii="Arial Narrow" w:hAnsi="Arial Narrow" w:cs="Arial"/>
                <w:bCs/>
                <w:sz w:val="18"/>
                <w:szCs w:val="18"/>
              </w:rPr>
              <w:t>05506</w:t>
            </w:r>
          </w:p>
        </w:tc>
        <w:tc>
          <w:tcPr>
            <w:tcW w:w="4823" w:type="dxa"/>
            <w:tcBorders>
              <w:top w:val="nil"/>
              <w:left w:val="nil"/>
              <w:bottom w:val="single" w:sz="8" w:space="0" w:color="auto"/>
              <w:right w:val="single" w:sz="8" w:space="0" w:color="auto"/>
              <w:tl2br w:val="nil"/>
              <w:tr2bl w:val="nil"/>
            </w:tcBorders>
            <w:textDirection w:val="lrTb"/>
            <w:vAlign w:val="center"/>
          </w:tcPr>
          <w:p w:rsidR="0011736A" w:rsidRPr="00F93840" w:rsidP="0011736A">
            <w:pPr>
              <w:spacing w:line="240" w:lineRule="auto"/>
              <w:rPr>
                <w:rFonts w:ascii="Arial Narrow" w:hAnsi="Arial Narrow" w:cs="Arial"/>
                <w:bCs/>
                <w:sz w:val="18"/>
                <w:szCs w:val="18"/>
              </w:rPr>
            </w:pPr>
            <w:r w:rsidRPr="00F93840">
              <w:rPr>
                <w:rFonts w:ascii="Arial Narrow" w:hAnsi="Arial Narrow" w:cs="Arial"/>
                <w:bCs/>
                <w:sz w:val="18"/>
                <w:szCs w:val="18"/>
              </w:rPr>
              <w:t>Schengenský prechodný fond</w:t>
            </w:r>
          </w:p>
        </w:tc>
        <w:tc>
          <w:tcPr>
            <w:tcW w:w="940" w:type="dxa"/>
            <w:tcBorders>
              <w:top w:val="nil"/>
              <w:left w:val="nil"/>
              <w:bottom w:val="single" w:sz="8" w:space="0" w:color="auto"/>
              <w:right w:val="single" w:sz="8" w:space="0" w:color="auto"/>
              <w:tl2br w:val="nil"/>
              <w:tr2bl w:val="nil"/>
            </w:tcBorders>
            <w:noWrap/>
            <w:textDirection w:val="lrTb"/>
            <w:vAlign w:val="center"/>
          </w:tcPr>
          <w:p w:rsidR="0011736A" w:rsidRPr="00F93840" w:rsidP="0011736A">
            <w:pPr>
              <w:spacing w:line="240" w:lineRule="auto"/>
              <w:jc w:val="right"/>
              <w:rPr>
                <w:rFonts w:ascii="Arial Narrow" w:hAnsi="Arial Narrow" w:cs="Arial"/>
                <w:bCs/>
                <w:sz w:val="18"/>
                <w:szCs w:val="18"/>
              </w:rPr>
            </w:pPr>
            <w:r>
              <w:rPr>
                <w:rFonts w:ascii="Arial Narrow" w:hAnsi="Arial Narrow" w:cs="Arial"/>
                <w:bCs/>
                <w:sz w:val="18"/>
                <w:szCs w:val="18"/>
              </w:rPr>
              <w:t>0</w:t>
            </w:r>
          </w:p>
        </w:tc>
        <w:tc>
          <w:tcPr>
            <w:tcW w:w="960" w:type="dxa"/>
            <w:tcBorders>
              <w:top w:val="nil"/>
              <w:left w:val="nil"/>
              <w:bottom w:val="single" w:sz="8" w:space="0" w:color="auto"/>
              <w:right w:val="single" w:sz="8" w:space="0" w:color="auto"/>
              <w:tl2br w:val="nil"/>
              <w:tr2bl w:val="nil"/>
            </w:tcBorders>
            <w:noWrap/>
            <w:textDirection w:val="lrTb"/>
            <w:vAlign w:val="center"/>
          </w:tcPr>
          <w:p w:rsidR="0011736A" w:rsidRPr="00F93840" w:rsidP="0011736A">
            <w:pPr>
              <w:spacing w:line="240" w:lineRule="auto"/>
              <w:jc w:val="right"/>
              <w:rPr>
                <w:rFonts w:ascii="Arial Narrow" w:hAnsi="Arial Narrow" w:cs="Arial"/>
                <w:bCs/>
                <w:sz w:val="18"/>
                <w:szCs w:val="18"/>
                <w:lang w:val="cs-CZ"/>
              </w:rPr>
            </w:pPr>
            <w:r>
              <w:rPr>
                <w:rFonts w:ascii="Arial Narrow" w:hAnsi="Arial Narrow" w:cs="Arial"/>
                <w:bCs/>
                <w:sz w:val="18"/>
                <w:szCs w:val="18"/>
                <w:lang w:val="cs-CZ"/>
              </w:rPr>
              <w:t>164 563</w:t>
            </w:r>
          </w:p>
        </w:tc>
        <w:tc>
          <w:tcPr>
            <w:tcW w:w="960" w:type="dxa"/>
            <w:tcBorders>
              <w:top w:val="nil"/>
              <w:left w:val="nil"/>
              <w:bottom w:val="single" w:sz="8" w:space="0" w:color="auto"/>
              <w:right w:val="single" w:sz="8" w:space="0" w:color="auto"/>
              <w:tl2br w:val="nil"/>
              <w:tr2bl w:val="nil"/>
            </w:tcBorders>
            <w:noWrap/>
            <w:textDirection w:val="lrTb"/>
            <w:vAlign w:val="center"/>
          </w:tcPr>
          <w:p w:rsidR="0011736A" w:rsidRPr="00F93840" w:rsidP="0011736A">
            <w:pPr>
              <w:spacing w:line="240" w:lineRule="auto"/>
              <w:jc w:val="right"/>
              <w:rPr>
                <w:rFonts w:ascii="Arial Narrow" w:hAnsi="Arial Narrow" w:cs="Arial"/>
                <w:bCs/>
                <w:sz w:val="18"/>
                <w:szCs w:val="18"/>
                <w:lang w:val="cs-CZ"/>
              </w:rPr>
            </w:pPr>
            <w:r>
              <w:rPr>
                <w:rFonts w:ascii="Arial Narrow" w:hAnsi="Arial Narrow" w:cs="Arial"/>
                <w:bCs/>
                <w:sz w:val="18"/>
                <w:szCs w:val="18"/>
                <w:lang w:val="cs-CZ"/>
              </w:rPr>
              <w:t>164 563</w:t>
            </w:r>
          </w:p>
        </w:tc>
        <w:tc>
          <w:tcPr>
            <w:tcW w:w="840" w:type="dxa"/>
            <w:tcBorders>
              <w:top w:val="nil"/>
              <w:left w:val="nil"/>
              <w:bottom w:val="single" w:sz="8" w:space="0" w:color="auto"/>
              <w:right w:val="single" w:sz="12" w:space="0" w:color="auto"/>
              <w:tl2br w:val="nil"/>
              <w:tr2bl w:val="nil"/>
            </w:tcBorders>
            <w:noWrap/>
            <w:textDirection w:val="lrTb"/>
            <w:vAlign w:val="center"/>
          </w:tcPr>
          <w:p w:rsidR="0011736A" w:rsidRPr="00F93840" w:rsidP="0011736A">
            <w:pPr>
              <w:spacing w:line="240" w:lineRule="auto"/>
              <w:jc w:val="right"/>
              <w:rPr>
                <w:rFonts w:ascii="Arial Narrow" w:hAnsi="Arial Narrow" w:cs="Arial"/>
                <w:bCs/>
                <w:sz w:val="18"/>
                <w:szCs w:val="18"/>
                <w:lang w:val="cs-CZ"/>
              </w:rPr>
            </w:pPr>
            <w:r>
              <w:rPr>
                <w:rFonts w:ascii="Arial Narrow" w:hAnsi="Arial Narrow" w:cs="Arial"/>
                <w:bCs/>
                <w:sz w:val="18"/>
                <w:szCs w:val="18"/>
                <w:lang w:val="cs-CZ"/>
              </w:rPr>
              <w:t>0</w:t>
            </w:r>
          </w:p>
        </w:tc>
      </w:tr>
      <w:tr>
        <w:tblPrEx>
          <w:tblW w:w="9295" w:type="dxa"/>
          <w:tblInd w:w="55" w:type="dxa"/>
          <w:tblCellMar>
            <w:left w:w="70" w:type="dxa"/>
            <w:right w:w="70" w:type="dxa"/>
          </w:tblCellMar>
        </w:tblPrEx>
        <w:trPr>
          <w:trHeight w:val="227"/>
        </w:trPr>
        <w:tc>
          <w:tcPr>
            <w:tcW w:w="772" w:type="dxa"/>
            <w:tcBorders>
              <w:top w:val="nil"/>
              <w:left w:val="single" w:sz="12" w:space="0" w:color="auto"/>
              <w:bottom w:val="single" w:sz="8" w:space="0" w:color="auto"/>
              <w:right w:val="single" w:sz="8" w:space="0" w:color="auto"/>
              <w:tl2br w:val="nil"/>
              <w:tr2bl w:val="nil"/>
            </w:tcBorders>
            <w:noWrap/>
            <w:textDirection w:val="lrTb"/>
            <w:vAlign w:val="center"/>
          </w:tcPr>
          <w:p w:rsidR="0011736A" w:rsidRPr="0086352B" w:rsidP="0011736A">
            <w:pPr>
              <w:spacing w:line="240" w:lineRule="auto"/>
              <w:rPr>
                <w:rFonts w:ascii="Arial Narrow" w:hAnsi="Arial Narrow" w:cs="Arial"/>
                <w:b/>
                <w:bCs/>
                <w:sz w:val="18"/>
                <w:szCs w:val="18"/>
                <w:lang w:val="cs-CZ"/>
              </w:rPr>
            </w:pPr>
            <w:r w:rsidRPr="0086352B">
              <w:rPr>
                <w:rFonts w:ascii="Arial Narrow" w:hAnsi="Arial Narrow" w:cs="Arial"/>
                <w:b/>
                <w:bCs/>
                <w:sz w:val="18"/>
                <w:szCs w:val="18"/>
              </w:rPr>
              <w:t>07S</w:t>
            </w:r>
          </w:p>
        </w:tc>
        <w:tc>
          <w:tcPr>
            <w:tcW w:w="4823" w:type="dxa"/>
            <w:tcBorders>
              <w:top w:val="nil"/>
              <w:left w:val="nil"/>
              <w:bottom w:val="single" w:sz="8" w:space="0" w:color="auto"/>
              <w:right w:val="single" w:sz="8" w:space="0" w:color="auto"/>
              <w:tl2br w:val="nil"/>
              <w:tr2bl w:val="nil"/>
            </w:tcBorders>
            <w:textDirection w:val="lrTb"/>
            <w:vAlign w:val="center"/>
          </w:tcPr>
          <w:p w:rsidR="0011736A" w:rsidRPr="0086352B" w:rsidP="0011736A">
            <w:pPr>
              <w:spacing w:line="240" w:lineRule="auto"/>
              <w:rPr>
                <w:rFonts w:ascii="Arial Narrow" w:hAnsi="Arial Narrow" w:cs="Arial"/>
                <w:b/>
                <w:bCs/>
                <w:sz w:val="18"/>
                <w:szCs w:val="18"/>
                <w:lang w:val="cs-CZ"/>
              </w:rPr>
            </w:pPr>
            <w:r w:rsidRPr="0086352B">
              <w:rPr>
                <w:rFonts w:ascii="Arial Narrow" w:hAnsi="Arial Narrow" w:cs="Arial"/>
                <w:b/>
                <w:bCs/>
                <w:sz w:val="18"/>
                <w:szCs w:val="18"/>
              </w:rPr>
              <w:t>Železničná doprava</w:t>
            </w:r>
          </w:p>
        </w:tc>
        <w:tc>
          <w:tcPr>
            <w:tcW w:w="940" w:type="dxa"/>
            <w:tcBorders>
              <w:top w:val="nil"/>
              <w:left w:val="nil"/>
              <w:bottom w:val="single" w:sz="8" w:space="0" w:color="auto"/>
              <w:right w:val="single" w:sz="8" w:space="0" w:color="auto"/>
              <w:tl2br w:val="nil"/>
              <w:tr2bl w:val="nil"/>
            </w:tcBorders>
            <w:noWrap/>
            <w:textDirection w:val="lrTb"/>
            <w:vAlign w:val="center"/>
          </w:tcPr>
          <w:p w:rsidR="0011736A" w:rsidRPr="0086352B" w:rsidP="0011736A">
            <w:pPr>
              <w:spacing w:line="240" w:lineRule="auto"/>
              <w:jc w:val="right"/>
              <w:rPr>
                <w:rFonts w:ascii="Arial Narrow" w:hAnsi="Arial Narrow" w:cs="Arial"/>
                <w:b/>
                <w:bCs/>
                <w:sz w:val="18"/>
                <w:szCs w:val="18"/>
                <w:lang w:val="cs-CZ"/>
              </w:rPr>
            </w:pPr>
            <w:r>
              <w:rPr>
                <w:rFonts w:ascii="Arial Narrow" w:hAnsi="Arial Narrow" w:cs="Arial"/>
                <w:b/>
                <w:bCs/>
                <w:sz w:val="18"/>
                <w:szCs w:val="18"/>
              </w:rPr>
              <w:t>12 122 878</w:t>
            </w:r>
          </w:p>
        </w:tc>
        <w:tc>
          <w:tcPr>
            <w:tcW w:w="960" w:type="dxa"/>
            <w:tcBorders>
              <w:top w:val="nil"/>
              <w:left w:val="nil"/>
              <w:bottom w:val="single" w:sz="8" w:space="0" w:color="auto"/>
              <w:right w:val="single" w:sz="8" w:space="0" w:color="auto"/>
              <w:tl2br w:val="nil"/>
              <w:tr2bl w:val="nil"/>
            </w:tcBorders>
            <w:noWrap/>
            <w:textDirection w:val="lrTb"/>
            <w:vAlign w:val="center"/>
          </w:tcPr>
          <w:p w:rsidR="0011736A" w:rsidRPr="0086352B" w:rsidP="0011736A">
            <w:pPr>
              <w:spacing w:line="240" w:lineRule="auto"/>
              <w:jc w:val="right"/>
              <w:rPr>
                <w:rFonts w:ascii="Arial Narrow" w:hAnsi="Arial Narrow" w:cs="Arial"/>
                <w:b/>
                <w:bCs/>
                <w:sz w:val="18"/>
                <w:szCs w:val="18"/>
                <w:lang w:val="cs-CZ"/>
              </w:rPr>
            </w:pPr>
            <w:r>
              <w:rPr>
                <w:rFonts w:ascii="Arial Narrow" w:hAnsi="Arial Narrow" w:cs="Arial"/>
                <w:b/>
                <w:bCs/>
                <w:sz w:val="18"/>
                <w:szCs w:val="18"/>
                <w:lang w:val="cs-CZ"/>
              </w:rPr>
              <w:t>13 338 465</w:t>
            </w:r>
          </w:p>
        </w:tc>
        <w:tc>
          <w:tcPr>
            <w:tcW w:w="960" w:type="dxa"/>
            <w:tcBorders>
              <w:top w:val="nil"/>
              <w:left w:val="nil"/>
              <w:bottom w:val="single" w:sz="8" w:space="0" w:color="auto"/>
              <w:right w:val="single" w:sz="8" w:space="0" w:color="auto"/>
              <w:tl2br w:val="nil"/>
              <w:tr2bl w:val="nil"/>
            </w:tcBorders>
            <w:noWrap/>
            <w:textDirection w:val="lrTb"/>
            <w:vAlign w:val="center"/>
          </w:tcPr>
          <w:p w:rsidR="0011736A" w:rsidRPr="0086352B" w:rsidP="0011736A">
            <w:pPr>
              <w:spacing w:line="240" w:lineRule="auto"/>
              <w:jc w:val="right"/>
              <w:rPr>
                <w:rFonts w:ascii="Arial Narrow" w:hAnsi="Arial Narrow" w:cs="Arial"/>
                <w:b/>
                <w:bCs/>
                <w:sz w:val="18"/>
                <w:szCs w:val="18"/>
                <w:lang w:val="cs-CZ"/>
              </w:rPr>
            </w:pPr>
            <w:r>
              <w:rPr>
                <w:rFonts w:ascii="Arial Narrow" w:hAnsi="Arial Narrow" w:cs="Arial"/>
                <w:b/>
                <w:bCs/>
                <w:sz w:val="18"/>
                <w:szCs w:val="18"/>
                <w:lang w:val="cs-CZ"/>
              </w:rPr>
              <w:t>13 340 955</w:t>
            </w:r>
          </w:p>
        </w:tc>
        <w:tc>
          <w:tcPr>
            <w:tcW w:w="840" w:type="dxa"/>
            <w:tcBorders>
              <w:top w:val="nil"/>
              <w:left w:val="nil"/>
              <w:bottom w:val="single" w:sz="8" w:space="0" w:color="auto"/>
              <w:right w:val="single" w:sz="12" w:space="0" w:color="auto"/>
              <w:tl2br w:val="nil"/>
              <w:tr2bl w:val="nil"/>
            </w:tcBorders>
            <w:noWrap/>
            <w:textDirection w:val="lrTb"/>
            <w:vAlign w:val="center"/>
          </w:tcPr>
          <w:p w:rsidR="0011736A" w:rsidRPr="0086352B" w:rsidP="0011736A">
            <w:pPr>
              <w:spacing w:line="240" w:lineRule="auto"/>
              <w:jc w:val="right"/>
              <w:rPr>
                <w:rFonts w:ascii="Arial Narrow" w:hAnsi="Arial Narrow" w:cs="Arial"/>
                <w:b/>
                <w:bCs/>
                <w:sz w:val="18"/>
                <w:szCs w:val="18"/>
                <w:lang w:val="cs-CZ"/>
              </w:rPr>
            </w:pPr>
            <w:r>
              <w:rPr>
                <w:rFonts w:ascii="Arial Narrow" w:hAnsi="Arial Narrow" w:cs="Arial"/>
                <w:b/>
                <w:bCs/>
                <w:sz w:val="18"/>
                <w:szCs w:val="18"/>
                <w:lang w:val="cs-CZ"/>
              </w:rPr>
              <w:t>2 552 079</w:t>
            </w:r>
          </w:p>
        </w:tc>
      </w:tr>
      <w:tr>
        <w:tblPrEx>
          <w:tblW w:w="9295" w:type="dxa"/>
          <w:tblInd w:w="55" w:type="dxa"/>
          <w:tblCellMar>
            <w:left w:w="70" w:type="dxa"/>
            <w:right w:w="70" w:type="dxa"/>
          </w:tblCellMar>
        </w:tblPrEx>
        <w:trPr>
          <w:trHeight w:val="227"/>
        </w:trPr>
        <w:tc>
          <w:tcPr>
            <w:tcW w:w="772" w:type="dxa"/>
            <w:tcBorders>
              <w:top w:val="nil"/>
              <w:left w:val="single" w:sz="12" w:space="0" w:color="auto"/>
              <w:bottom w:val="single" w:sz="8" w:space="0" w:color="auto"/>
              <w:right w:val="single" w:sz="8" w:space="0" w:color="auto"/>
              <w:tl2br w:val="nil"/>
              <w:tr2bl w:val="nil"/>
            </w:tcBorders>
            <w:noWrap/>
            <w:textDirection w:val="lrTb"/>
            <w:vAlign w:val="center"/>
          </w:tcPr>
          <w:p w:rsidR="0011736A" w:rsidRPr="0086352B" w:rsidP="0011736A">
            <w:pPr>
              <w:spacing w:line="240" w:lineRule="auto"/>
              <w:rPr>
                <w:rFonts w:ascii="Arial Narrow" w:hAnsi="Arial Narrow" w:cs="Arial"/>
                <w:b/>
                <w:bCs/>
                <w:sz w:val="18"/>
                <w:szCs w:val="18"/>
                <w:lang w:val="cs-CZ"/>
              </w:rPr>
            </w:pPr>
            <w:r w:rsidRPr="0086352B">
              <w:rPr>
                <w:rFonts w:ascii="Arial Narrow" w:hAnsi="Arial Narrow" w:cs="Arial"/>
                <w:b/>
                <w:bCs/>
                <w:iCs/>
                <w:sz w:val="18"/>
                <w:szCs w:val="18"/>
              </w:rPr>
              <w:t>07S01</w:t>
            </w:r>
          </w:p>
        </w:tc>
        <w:tc>
          <w:tcPr>
            <w:tcW w:w="4823" w:type="dxa"/>
            <w:tcBorders>
              <w:top w:val="nil"/>
              <w:left w:val="nil"/>
              <w:bottom w:val="single" w:sz="8" w:space="0" w:color="auto"/>
              <w:right w:val="single" w:sz="8" w:space="0" w:color="auto"/>
              <w:tl2br w:val="nil"/>
              <w:tr2bl w:val="nil"/>
            </w:tcBorders>
            <w:textDirection w:val="lrTb"/>
            <w:vAlign w:val="center"/>
          </w:tcPr>
          <w:p w:rsidR="0011736A" w:rsidRPr="0086352B" w:rsidP="0011736A">
            <w:pPr>
              <w:spacing w:line="240" w:lineRule="auto"/>
              <w:rPr>
                <w:rFonts w:ascii="Arial Narrow" w:hAnsi="Arial Narrow" w:cs="Arial"/>
                <w:b/>
                <w:bCs/>
                <w:sz w:val="18"/>
                <w:szCs w:val="18"/>
                <w:lang w:val="cs-CZ"/>
              </w:rPr>
            </w:pPr>
            <w:r w:rsidRPr="0086352B">
              <w:rPr>
                <w:rFonts w:ascii="Arial Narrow" w:hAnsi="Arial Narrow" w:cs="Arial"/>
                <w:b/>
                <w:bCs/>
                <w:iCs/>
                <w:sz w:val="18"/>
                <w:szCs w:val="18"/>
              </w:rPr>
              <w:t>Kombinovaná doprava</w:t>
            </w:r>
          </w:p>
        </w:tc>
        <w:tc>
          <w:tcPr>
            <w:tcW w:w="940" w:type="dxa"/>
            <w:tcBorders>
              <w:top w:val="nil"/>
              <w:left w:val="nil"/>
              <w:bottom w:val="single" w:sz="8" w:space="0" w:color="auto"/>
              <w:right w:val="single" w:sz="8" w:space="0" w:color="auto"/>
              <w:tl2br w:val="nil"/>
              <w:tr2bl w:val="nil"/>
            </w:tcBorders>
            <w:noWrap/>
            <w:textDirection w:val="lrTb"/>
            <w:vAlign w:val="center"/>
          </w:tcPr>
          <w:p w:rsidR="0011736A" w:rsidRPr="0086352B" w:rsidP="0011736A">
            <w:pPr>
              <w:spacing w:line="240" w:lineRule="auto"/>
              <w:jc w:val="right"/>
              <w:rPr>
                <w:rFonts w:ascii="Arial Narrow" w:hAnsi="Arial Narrow" w:cs="Arial"/>
                <w:b/>
                <w:bCs/>
                <w:sz w:val="18"/>
                <w:szCs w:val="18"/>
                <w:lang w:val="cs-CZ"/>
              </w:rPr>
            </w:pPr>
            <w:r w:rsidRPr="0086352B">
              <w:rPr>
                <w:rFonts w:ascii="Arial Narrow" w:hAnsi="Arial Narrow" w:cs="Arial"/>
                <w:b/>
                <w:bCs/>
                <w:iCs/>
                <w:sz w:val="18"/>
                <w:szCs w:val="18"/>
              </w:rPr>
              <w:t>20 000</w:t>
            </w:r>
          </w:p>
        </w:tc>
        <w:tc>
          <w:tcPr>
            <w:tcW w:w="960" w:type="dxa"/>
            <w:tcBorders>
              <w:top w:val="nil"/>
              <w:left w:val="nil"/>
              <w:bottom w:val="single" w:sz="8" w:space="0" w:color="auto"/>
              <w:right w:val="single" w:sz="8" w:space="0" w:color="auto"/>
              <w:tl2br w:val="nil"/>
              <w:tr2bl w:val="nil"/>
            </w:tcBorders>
            <w:noWrap/>
            <w:textDirection w:val="lrTb"/>
            <w:vAlign w:val="center"/>
          </w:tcPr>
          <w:p w:rsidR="0011736A" w:rsidRPr="0086352B" w:rsidP="0011736A">
            <w:pPr>
              <w:spacing w:line="240" w:lineRule="auto"/>
              <w:jc w:val="right"/>
              <w:rPr>
                <w:rFonts w:ascii="Arial Narrow" w:hAnsi="Arial Narrow" w:cs="Arial"/>
                <w:b/>
                <w:bCs/>
                <w:sz w:val="18"/>
                <w:szCs w:val="18"/>
                <w:lang w:val="cs-CZ"/>
              </w:rPr>
            </w:pPr>
            <w:r>
              <w:rPr>
                <w:rFonts w:ascii="Arial Narrow" w:hAnsi="Arial Narrow" w:cs="Arial"/>
                <w:b/>
                <w:bCs/>
                <w:sz w:val="18"/>
                <w:szCs w:val="18"/>
                <w:lang w:val="cs-CZ"/>
              </w:rPr>
              <w:t>3 237</w:t>
            </w:r>
          </w:p>
        </w:tc>
        <w:tc>
          <w:tcPr>
            <w:tcW w:w="960" w:type="dxa"/>
            <w:tcBorders>
              <w:top w:val="nil"/>
              <w:left w:val="nil"/>
              <w:bottom w:val="single" w:sz="8" w:space="0" w:color="auto"/>
              <w:right w:val="single" w:sz="8" w:space="0" w:color="auto"/>
              <w:tl2br w:val="nil"/>
              <w:tr2bl w:val="nil"/>
            </w:tcBorders>
            <w:noWrap/>
            <w:textDirection w:val="lrTb"/>
            <w:vAlign w:val="center"/>
          </w:tcPr>
          <w:p w:rsidR="0011736A" w:rsidRPr="0086352B" w:rsidP="0011736A">
            <w:pPr>
              <w:spacing w:line="240" w:lineRule="auto"/>
              <w:jc w:val="right"/>
              <w:rPr>
                <w:rFonts w:ascii="Arial Narrow" w:hAnsi="Arial Narrow" w:cs="Arial"/>
                <w:b/>
                <w:bCs/>
                <w:sz w:val="18"/>
                <w:szCs w:val="18"/>
                <w:lang w:val="cs-CZ"/>
              </w:rPr>
            </w:pPr>
            <w:r>
              <w:rPr>
                <w:rFonts w:ascii="Arial Narrow" w:hAnsi="Arial Narrow" w:cs="Arial"/>
                <w:b/>
                <w:bCs/>
                <w:sz w:val="18"/>
                <w:szCs w:val="18"/>
                <w:lang w:val="cs-CZ"/>
              </w:rPr>
              <w:t>1 742</w:t>
            </w:r>
          </w:p>
        </w:tc>
        <w:tc>
          <w:tcPr>
            <w:tcW w:w="840" w:type="dxa"/>
            <w:tcBorders>
              <w:top w:val="nil"/>
              <w:left w:val="nil"/>
              <w:bottom w:val="single" w:sz="8" w:space="0" w:color="auto"/>
              <w:right w:val="single" w:sz="12" w:space="0" w:color="auto"/>
              <w:tl2br w:val="nil"/>
              <w:tr2bl w:val="nil"/>
            </w:tcBorders>
            <w:noWrap/>
            <w:textDirection w:val="lrTb"/>
            <w:vAlign w:val="center"/>
          </w:tcPr>
          <w:p w:rsidR="0011736A" w:rsidRPr="0086352B" w:rsidP="0011736A">
            <w:pPr>
              <w:spacing w:line="240" w:lineRule="auto"/>
              <w:jc w:val="right"/>
              <w:rPr>
                <w:rFonts w:ascii="Arial Narrow" w:hAnsi="Arial Narrow" w:cs="Arial"/>
                <w:b/>
                <w:bCs/>
                <w:sz w:val="18"/>
                <w:szCs w:val="18"/>
                <w:lang w:val="cs-CZ"/>
              </w:rPr>
            </w:pPr>
            <w:r>
              <w:rPr>
                <w:rFonts w:ascii="Arial Narrow" w:hAnsi="Arial Narrow" w:cs="Arial"/>
                <w:b/>
                <w:bCs/>
                <w:sz w:val="18"/>
                <w:szCs w:val="18"/>
                <w:lang w:val="cs-CZ"/>
              </w:rPr>
              <w:t>0</w:t>
            </w:r>
          </w:p>
        </w:tc>
      </w:tr>
      <w:tr>
        <w:tblPrEx>
          <w:tblW w:w="9295" w:type="dxa"/>
          <w:tblInd w:w="55" w:type="dxa"/>
          <w:tblCellMar>
            <w:left w:w="70" w:type="dxa"/>
            <w:right w:w="70" w:type="dxa"/>
          </w:tblCellMar>
        </w:tblPrEx>
        <w:trPr>
          <w:trHeight w:val="227"/>
        </w:trPr>
        <w:tc>
          <w:tcPr>
            <w:tcW w:w="772" w:type="dxa"/>
            <w:tcBorders>
              <w:top w:val="nil"/>
              <w:left w:val="single" w:sz="12" w:space="0" w:color="auto"/>
              <w:bottom w:val="single" w:sz="8" w:space="0" w:color="auto"/>
              <w:right w:val="single" w:sz="8" w:space="0" w:color="auto"/>
              <w:tl2br w:val="nil"/>
              <w:tr2bl w:val="nil"/>
            </w:tcBorders>
            <w:noWrap/>
            <w:textDirection w:val="lrTb"/>
            <w:vAlign w:val="center"/>
          </w:tcPr>
          <w:p w:rsidR="0011736A" w:rsidRPr="0086352B" w:rsidP="0011736A">
            <w:pPr>
              <w:spacing w:line="240" w:lineRule="auto"/>
              <w:rPr>
                <w:rFonts w:ascii="Arial Narrow" w:hAnsi="Arial Narrow" w:cs="Arial"/>
                <w:b/>
                <w:bCs/>
                <w:sz w:val="18"/>
                <w:szCs w:val="18"/>
                <w:lang w:val="cs-CZ"/>
              </w:rPr>
            </w:pPr>
            <w:r w:rsidRPr="0086352B">
              <w:rPr>
                <w:rFonts w:ascii="Arial Narrow" w:hAnsi="Arial Narrow" w:cs="Arial"/>
                <w:b/>
                <w:bCs/>
                <w:iCs/>
                <w:sz w:val="18"/>
                <w:szCs w:val="18"/>
              </w:rPr>
              <w:t>07S03</w:t>
            </w:r>
          </w:p>
        </w:tc>
        <w:tc>
          <w:tcPr>
            <w:tcW w:w="4823" w:type="dxa"/>
            <w:tcBorders>
              <w:top w:val="nil"/>
              <w:left w:val="nil"/>
              <w:bottom w:val="single" w:sz="8" w:space="0" w:color="auto"/>
              <w:right w:val="single" w:sz="8" w:space="0" w:color="auto"/>
              <w:tl2br w:val="nil"/>
              <w:tr2bl w:val="nil"/>
            </w:tcBorders>
            <w:textDirection w:val="lrTb"/>
            <w:vAlign w:val="center"/>
          </w:tcPr>
          <w:p w:rsidR="0011736A" w:rsidRPr="0086352B" w:rsidP="0011736A">
            <w:pPr>
              <w:spacing w:line="240" w:lineRule="auto"/>
              <w:rPr>
                <w:rFonts w:ascii="Arial Narrow" w:hAnsi="Arial Narrow" w:cs="Arial"/>
                <w:b/>
                <w:bCs/>
                <w:sz w:val="18"/>
                <w:szCs w:val="18"/>
                <w:lang w:val="cs-CZ"/>
              </w:rPr>
            </w:pPr>
            <w:r w:rsidRPr="0086352B">
              <w:rPr>
                <w:rFonts w:ascii="Arial Narrow" w:hAnsi="Arial Narrow" w:cs="Arial"/>
                <w:b/>
                <w:bCs/>
                <w:iCs/>
                <w:sz w:val="18"/>
                <w:szCs w:val="18"/>
              </w:rPr>
              <w:t xml:space="preserve">Podpora </w:t>
            </w:r>
            <w:r>
              <w:rPr>
                <w:rFonts w:ascii="Arial Narrow" w:hAnsi="Arial Narrow" w:cs="Arial"/>
                <w:b/>
                <w:bCs/>
                <w:iCs/>
                <w:sz w:val="18"/>
                <w:szCs w:val="18"/>
              </w:rPr>
              <w:t xml:space="preserve">verejných služieb - prevádz. </w:t>
            </w:r>
            <w:r w:rsidRPr="0086352B">
              <w:rPr>
                <w:rFonts w:ascii="Arial Narrow" w:hAnsi="Arial Narrow" w:cs="Arial"/>
                <w:b/>
                <w:bCs/>
                <w:iCs/>
                <w:sz w:val="18"/>
                <w:szCs w:val="18"/>
              </w:rPr>
              <w:t>dopravy na dráhach</w:t>
            </w:r>
          </w:p>
        </w:tc>
        <w:tc>
          <w:tcPr>
            <w:tcW w:w="940" w:type="dxa"/>
            <w:tcBorders>
              <w:top w:val="nil"/>
              <w:left w:val="nil"/>
              <w:bottom w:val="single" w:sz="8" w:space="0" w:color="auto"/>
              <w:right w:val="single" w:sz="8" w:space="0" w:color="auto"/>
              <w:tl2br w:val="nil"/>
              <w:tr2bl w:val="nil"/>
            </w:tcBorders>
            <w:noWrap/>
            <w:textDirection w:val="lrTb"/>
            <w:vAlign w:val="center"/>
          </w:tcPr>
          <w:p w:rsidR="0011736A" w:rsidRPr="0086352B" w:rsidP="0011736A">
            <w:pPr>
              <w:spacing w:line="240" w:lineRule="auto"/>
              <w:jc w:val="right"/>
              <w:rPr>
                <w:rFonts w:ascii="Arial Narrow" w:hAnsi="Arial Narrow" w:cs="Arial"/>
                <w:b/>
                <w:bCs/>
                <w:sz w:val="18"/>
                <w:szCs w:val="18"/>
                <w:lang w:val="cs-CZ"/>
              </w:rPr>
            </w:pPr>
            <w:r w:rsidRPr="0086352B">
              <w:rPr>
                <w:rFonts w:ascii="Arial Narrow" w:hAnsi="Arial Narrow" w:cs="Arial"/>
                <w:b/>
                <w:bCs/>
                <w:iCs/>
                <w:sz w:val="18"/>
                <w:szCs w:val="18"/>
              </w:rPr>
              <w:t>4 500 000</w:t>
            </w:r>
          </w:p>
        </w:tc>
        <w:tc>
          <w:tcPr>
            <w:tcW w:w="960" w:type="dxa"/>
            <w:tcBorders>
              <w:top w:val="nil"/>
              <w:left w:val="nil"/>
              <w:bottom w:val="single" w:sz="8" w:space="0" w:color="auto"/>
              <w:right w:val="single" w:sz="8" w:space="0" w:color="auto"/>
              <w:tl2br w:val="nil"/>
              <w:tr2bl w:val="nil"/>
            </w:tcBorders>
            <w:noWrap/>
            <w:textDirection w:val="lrTb"/>
            <w:vAlign w:val="center"/>
          </w:tcPr>
          <w:p w:rsidR="0011736A" w:rsidRPr="0086352B" w:rsidP="0011736A">
            <w:pPr>
              <w:spacing w:line="240" w:lineRule="auto"/>
              <w:jc w:val="right"/>
              <w:rPr>
                <w:rFonts w:ascii="Arial Narrow" w:hAnsi="Arial Narrow" w:cs="Arial"/>
                <w:b/>
                <w:bCs/>
                <w:sz w:val="18"/>
                <w:szCs w:val="18"/>
                <w:lang w:val="cs-CZ"/>
              </w:rPr>
            </w:pPr>
            <w:r>
              <w:rPr>
                <w:rFonts w:ascii="Arial Narrow" w:hAnsi="Arial Narrow" w:cs="Arial"/>
                <w:b/>
                <w:bCs/>
                <w:sz w:val="18"/>
                <w:szCs w:val="18"/>
                <w:lang w:val="cs-CZ"/>
              </w:rPr>
              <w:t>5 500 000</w:t>
            </w:r>
          </w:p>
        </w:tc>
        <w:tc>
          <w:tcPr>
            <w:tcW w:w="960" w:type="dxa"/>
            <w:tcBorders>
              <w:top w:val="nil"/>
              <w:left w:val="nil"/>
              <w:bottom w:val="single" w:sz="8" w:space="0" w:color="auto"/>
              <w:right w:val="single" w:sz="8" w:space="0" w:color="auto"/>
              <w:tl2br w:val="nil"/>
              <w:tr2bl w:val="nil"/>
            </w:tcBorders>
            <w:noWrap/>
            <w:textDirection w:val="lrTb"/>
            <w:vAlign w:val="center"/>
          </w:tcPr>
          <w:p w:rsidR="0011736A" w:rsidRPr="0086352B" w:rsidP="0011736A">
            <w:pPr>
              <w:spacing w:line="240" w:lineRule="auto"/>
              <w:jc w:val="right"/>
              <w:rPr>
                <w:rFonts w:ascii="Arial Narrow" w:hAnsi="Arial Narrow" w:cs="Arial"/>
                <w:b/>
                <w:bCs/>
                <w:sz w:val="18"/>
                <w:szCs w:val="18"/>
                <w:lang w:val="cs-CZ"/>
              </w:rPr>
            </w:pPr>
            <w:r>
              <w:rPr>
                <w:rFonts w:ascii="Arial Narrow" w:hAnsi="Arial Narrow" w:cs="Arial"/>
                <w:b/>
                <w:bCs/>
                <w:sz w:val="18"/>
                <w:szCs w:val="18"/>
                <w:lang w:val="cs-CZ"/>
              </w:rPr>
              <w:t>5 500 000</w:t>
            </w:r>
          </w:p>
        </w:tc>
        <w:tc>
          <w:tcPr>
            <w:tcW w:w="840" w:type="dxa"/>
            <w:tcBorders>
              <w:top w:val="nil"/>
              <w:left w:val="nil"/>
              <w:bottom w:val="single" w:sz="8" w:space="0" w:color="auto"/>
              <w:right w:val="single" w:sz="12" w:space="0" w:color="auto"/>
              <w:tl2br w:val="nil"/>
              <w:tr2bl w:val="nil"/>
            </w:tcBorders>
            <w:noWrap/>
            <w:textDirection w:val="lrTb"/>
            <w:vAlign w:val="center"/>
          </w:tcPr>
          <w:p w:rsidR="0011736A" w:rsidRPr="0086352B" w:rsidP="0011736A">
            <w:pPr>
              <w:spacing w:line="240" w:lineRule="auto"/>
              <w:jc w:val="right"/>
              <w:rPr>
                <w:rFonts w:ascii="Arial Narrow" w:hAnsi="Arial Narrow" w:cs="Arial"/>
                <w:b/>
                <w:bCs/>
                <w:sz w:val="18"/>
                <w:szCs w:val="18"/>
                <w:lang w:val="cs-CZ"/>
              </w:rPr>
            </w:pPr>
            <w:r>
              <w:rPr>
                <w:rFonts w:ascii="Arial Narrow" w:hAnsi="Arial Narrow" w:cs="Arial"/>
                <w:b/>
                <w:bCs/>
                <w:sz w:val="18"/>
                <w:szCs w:val="18"/>
                <w:lang w:val="cs-CZ"/>
              </w:rPr>
              <w:t>0</w:t>
            </w:r>
          </w:p>
        </w:tc>
      </w:tr>
      <w:tr>
        <w:tblPrEx>
          <w:tblW w:w="9295" w:type="dxa"/>
          <w:tblInd w:w="55" w:type="dxa"/>
          <w:tblCellMar>
            <w:left w:w="70" w:type="dxa"/>
            <w:right w:w="70" w:type="dxa"/>
          </w:tblCellMar>
        </w:tblPrEx>
        <w:trPr>
          <w:trHeight w:val="227"/>
        </w:trPr>
        <w:tc>
          <w:tcPr>
            <w:tcW w:w="772" w:type="dxa"/>
            <w:tcBorders>
              <w:top w:val="nil"/>
              <w:left w:val="single" w:sz="12" w:space="0" w:color="auto"/>
              <w:bottom w:val="single" w:sz="8" w:space="0" w:color="auto"/>
              <w:right w:val="single" w:sz="8" w:space="0" w:color="auto"/>
              <w:tl2br w:val="nil"/>
              <w:tr2bl w:val="nil"/>
            </w:tcBorders>
            <w:noWrap/>
            <w:textDirection w:val="lrTb"/>
            <w:vAlign w:val="center"/>
          </w:tcPr>
          <w:p w:rsidR="0011736A" w:rsidRPr="0086352B" w:rsidP="0011736A">
            <w:pPr>
              <w:spacing w:line="240" w:lineRule="auto"/>
              <w:rPr>
                <w:rFonts w:ascii="Arial Narrow" w:hAnsi="Arial Narrow" w:cs="Arial"/>
                <w:b/>
                <w:bCs/>
                <w:sz w:val="18"/>
                <w:szCs w:val="18"/>
                <w:lang w:val="cs-CZ"/>
              </w:rPr>
            </w:pPr>
            <w:r w:rsidRPr="0086352B">
              <w:rPr>
                <w:rFonts w:ascii="Arial Narrow" w:hAnsi="Arial Narrow" w:cs="Arial"/>
                <w:b/>
                <w:bCs/>
                <w:iCs/>
                <w:sz w:val="18"/>
                <w:szCs w:val="18"/>
              </w:rPr>
              <w:t>07S05</w:t>
            </w:r>
          </w:p>
        </w:tc>
        <w:tc>
          <w:tcPr>
            <w:tcW w:w="4823" w:type="dxa"/>
            <w:tcBorders>
              <w:top w:val="nil"/>
              <w:left w:val="nil"/>
              <w:bottom w:val="single" w:sz="8" w:space="0" w:color="auto"/>
              <w:right w:val="single" w:sz="8" w:space="0" w:color="auto"/>
              <w:tl2br w:val="nil"/>
              <w:tr2bl w:val="nil"/>
            </w:tcBorders>
            <w:textDirection w:val="lrTb"/>
            <w:vAlign w:val="center"/>
          </w:tcPr>
          <w:p w:rsidR="0011736A" w:rsidRPr="0086352B" w:rsidP="0011736A">
            <w:pPr>
              <w:spacing w:line="240" w:lineRule="auto"/>
              <w:rPr>
                <w:rFonts w:ascii="Arial Narrow" w:hAnsi="Arial Narrow" w:cs="Arial"/>
                <w:b/>
                <w:bCs/>
                <w:sz w:val="18"/>
                <w:szCs w:val="18"/>
                <w:lang w:val="cs-CZ"/>
              </w:rPr>
            </w:pPr>
            <w:r w:rsidRPr="0086352B">
              <w:rPr>
                <w:rFonts w:ascii="Arial Narrow" w:hAnsi="Arial Narrow" w:cs="Arial"/>
                <w:b/>
                <w:bCs/>
                <w:iCs/>
                <w:sz w:val="18"/>
                <w:szCs w:val="18"/>
              </w:rPr>
              <w:t>Podpora verejných služieb - prevádzkovanie dráh</w:t>
            </w:r>
          </w:p>
        </w:tc>
        <w:tc>
          <w:tcPr>
            <w:tcW w:w="940" w:type="dxa"/>
            <w:tcBorders>
              <w:top w:val="nil"/>
              <w:left w:val="nil"/>
              <w:bottom w:val="single" w:sz="8" w:space="0" w:color="auto"/>
              <w:right w:val="single" w:sz="8" w:space="0" w:color="auto"/>
              <w:tl2br w:val="nil"/>
              <w:tr2bl w:val="nil"/>
            </w:tcBorders>
            <w:noWrap/>
            <w:textDirection w:val="lrTb"/>
            <w:vAlign w:val="center"/>
          </w:tcPr>
          <w:p w:rsidR="0011736A" w:rsidRPr="0086352B" w:rsidP="0011736A">
            <w:pPr>
              <w:spacing w:line="240" w:lineRule="auto"/>
              <w:jc w:val="right"/>
              <w:rPr>
                <w:rFonts w:ascii="Arial Narrow" w:hAnsi="Arial Narrow" w:cs="Arial"/>
                <w:b/>
                <w:bCs/>
                <w:sz w:val="18"/>
                <w:szCs w:val="18"/>
                <w:lang w:val="cs-CZ"/>
              </w:rPr>
            </w:pPr>
            <w:r w:rsidRPr="0086352B">
              <w:rPr>
                <w:rFonts w:ascii="Arial Narrow" w:hAnsi="Arial Narrow" w:cs="Arial"/>
                <w:b/>
                <w:bCs/>
                <w:iCs/>
                <w:sz w:val="18"/>
                <w:szCs w:val="18"/>
              </w:rPr>
              <w:t>3 600 000</w:t>
            </w:r>
          </w:p>
        </w:tc>
        <w:tc>
          <w:tcPr>
            <w:tcW w:w="960" w:type="dxa"/>
            <w:tcBorders>
              <w:top w:val="nil"/>
              <w:left w:val="nil"/>
              <w:bottom w:val="single" w:sz="8" w:space="0" w:color="auto"/>
              <w:right w:val="single" w:sz="8" w:space="0" w:color="auto"/>
              <w:tl2br w:val="nil"/>
              <w:tr2bl w:val="nil"/>
            </w:tcBorders>
            <w:noWrap/>
            <w:textDirection w:val="lrTb"/>
            <w:vAlign w:val="center"/>
          </w:tcPr>
          <w:p w:rsidR="0011736A" w:rsidRPr="0086352B" w:rsidP="0011736A">
            <w:pPr>
              <w:spacing w:line="240" w:lineRule="auto"/>
              <w:jc w:val="right"/>
              <w:rPr>
                <w:rFonts w:ascii="Arial Narrow" w:hAnsi="Arial Narrow" w:cs="Arial"/>
                <w:b/>
                <w:bCs/>
                <w:sz w:val="18"/>
                <w:szCs w:val="18"/>
                <w:lang w:val="cs-CZ"/>
              </w:rPr>
            </w:pPr>
            <w:r>
              <w:rPr>
                <w:rFonts w:ascii="Arial Narrow" w:hAnsi="Arial Narrow" w:cs="Arial"/>
                <w:b/>
                <w:bCs/>
                <w:sz w:val="18"/>
                <w:szCs w:val="18"/>
                <w:lang w:val="cs-CZ"/>
              </w:rPr>
              <w:t>3 600 000</w:t>
            </w:r>
          </w:p>
        </w:tc>
        <w:tc>
          <w:tcPr>
            <w:tcW w:w="960" w:type="dxa"/>
            <w:tcBorders>
              <w:top w:val="nil"/>
              <w:left w:val="nil"/>
              <w:bottom w:val="single" w:sz="8" w:space="0" w:color="auto"/>
              <w:right w:val="single" w:sz="8" w:space="0" w:color="auto"/>
              <w:tl2br w:val="nil"/>
              <w:tr2bl w:val="nil"/>
            </w:tcBorders>
            <w:noWrap/>
            <w:textDirection w:val="lrTb"/>
            <w:vAlign w:val="center"/>
          </w:tcPr>
          <w:p w:rsidR="0011736A" w:rsidRPr="0086352B" w:rsidP="0011736A">
            <w:pPr>
              <w:spacing w:line="240" w:lineRule="auto"/>
              <w:jc w:val="right"/>
              <w:rPr>
                <w:rFonts w:ascii="Arial Narrow" w:hAnsi="Arial Narrow" w:cs="Arial"/>
                <w:b/>
                <w:bCs/>
                <w:sz w:val="18"/>
                <w:szCs w:val="18"/>
                <w:lang w:val="cs-CZ"/>
              </w:rPr>
            </w:pPr>
            <w:r>
              <w:rPr>
                <w:rFonts w:ascii="Arial Narrow" w:hAnsi="Arial Narrow" w:cs="Arial"/>
                <w:b/>
                <w:bCs/>
                <w:sz w:val="18"/>
                <w:szCs w:val="18"/>
                <w:lang w:val="cs-CZ"/>
              </w:rPr>
              <w:t>3 600 000</w:t>
            </w:r>
          </w:p>
        </w:tc>
        <w:tc>
          <w:tcPr>
            <w:tcW w:w="840" w:type="dxa"/>
            <w:tcBorders>
              <w:top w:val="nil"/>
              <w:left w:val="nil"/>
              <w:bottom w:val="single" w:sz="8" w:space="0" w:color="auto"/>
              <w:right w:val="single" w:sz="12" w:space="0" w:color="auto"/>
              <w:tl2br w:val="nil"/>
              <w:tr2bl w:val="nil"/>
            </w:tcBorders>
            <w:noWrap/>
            <w:textDirection w:val="lrTb"/>
            <w:vAlign w:val="center"/>
          </w:tcPr>
          <w:p w:rsidR="0011736A" w:rsidRPr="0086352B" w:rsidP="0011736A">
            <w:pPr>
              <w:spacing w:line="240" w:lineRule="auto"/>
              <w:jc w:val="right"/>
              <w:rPr>
                <w:rFonts w:ascii="Arial Narrow" w:hAnsi="Arial Narrow" w:cs="Arial"/>
                <w:b/>
                <w:bCs/>
                <w:sz w:val="18"/>
                <w:szCs w:val="18"/>
                <w:lang w:val="cs-CZ"/>
              </w:rPr>
            </w:pPr>
            <w:r>
              <w:rPr>
                <w:rFonts w:ascii="Arial Narrow" w:hAnsi="Arial Narrow" w:cs="Arial"/>
                <w:b/>
                <w:bCs/>
                <w:sz w:val="18"/>
                <w:szCs w:val="18"/>
                <w:lang w:val="cs-CZ"/>
              </w:rPr>
              <w:t>0</w:t>
            </w:r>
          </w:p>
        </w:tc>
      </w:tr>
      <w:tr>
        <w:tblPrEx>
          <w:tblW w:w="9295" w:type="dxa"/>
          <w:tblInd w:w="55" w:type="dxa"/>
          <w:tblCellMar>
            <w:left w:w="70" w:type="dxa"/>
            <w:right w:w="70" w:type="dxa"/>
          </w:tblCellMar>
        </w:tblPrEx>
        <w:trPr>
          <w:trHeight w:val="227"/>
        </w:trPr>
        <w:tc>
          <w:tcPr>
            <w:tcW w:w="772" w:type="dxa"/>
            <w:tcBorders>
              <w:top w:val="nil"/>
              <w:left w:val="single" w:sz="12" w:space="0" w:color="auto"/>
              <w:bottom w:val="single" w:sz="8" w:space="0" w:color="auto"/>
              <w:right w:val="single" w:sz="8" w:space="0" w:color="auto"/>
              <w:tl2br w:val="nil"/>
              <w:tr2bl w:val="nil"/>
            </w:tcBorders>
            <w:noWrap/>
            <w:textDirection w:val="lrTb"/>
            <w:vAlign w:val="center"/>
          </w:tcPr>
          <w:p w:rsidR="0011736A" w:rsidRPr="0086352B" w:rsidP="0011736A">
            <w:pPr>
              <w:spacing w:line="240" w:lineRule="auto"/>
              <w:rPr>
                <w:rFonts w:ascii="Arial Narrow" w:hAnsi="Arial Narrow" w:cs="Arial"/>
                <w:b/>
                <w:bCs/>
                <w:sz w:val="18"/>
                <w:szCs w:val="18"/>
                <w:lang w:val="cs-CZ"/>
              </w:rPr>
            </w:pPr>
            <w:r w:rsidRPr="0086352B">
              <w:rPr>
                <w:rFonts w:ascii="Arial Narrow" w:hAnsi="Arial Narrow" w:cs="Arial"/>
                <w:b/>
                <w:bCs/>
                <w:iCs/>
                <w:sz w:val="18"/>
                <w:szCs w:val="18"/>
              </w:rPr>
              <w:t>07S06</w:t>
            </w:r>
          </w:p>
        </w:tc>
        <w:tc>
          <w:tcPr>
            <w:tcW w:w="4823" w:type="dxa"/>
            <w:tcBorders>
              <w:top w:val="nil"/>
              <w:left w:val="nil"/>
              <w:bottom w:val="single" w:sz="8" w:space="0" w:color="auto"/>
              <w:right w:val="single" w:sz="8" w:space="0" w:color="auto"/>
              <w:tl2br w:val="nil"/>
              <w:tr2bl w:val="nil"/>
            </w:tcBorders>
            <w:textDirection w:val="lrTb"/>
            <w:vAlign w:val="center"/>
          </w:tcPr>
          <w:p w:rsidR="0011736A" w:rsidRPr="0086352B" w:rsidP="0011736A">
            <w:pPr>
              <w:spacing w:line="240" w:lineRule="auto"/>
              <w:rPr>
                <w:rFonts w:ascii="Arial Narrow" w:hAnsi="Arial Narrow" w:cs="Arial"/>
                <w:b/>
                <w:bCs/>
                <w:sz w:val="18"/>
                <w:szCs w:val="18"/>
                <w:lang w:val="cs-CZ"/>
              </w:rPr>
            </w:pPr>
            <w:r w:rsidRPr="0086352B">
              <w:rPr>
                <w:rFonts w:ascii="Arial Narrow" w:hAnsi="Arial Narrow" w:cs="Arial"/>
                <w:b/>
                <w:bCs/>
                <w:iCs/>
                <w:sz w:val="18"/>
                <w:szCs w:val="18"/>
              </w:rPr>
              <w:t>Rozvoj a</w:t>
            </w:r>
            <w:r>
              <w:rPr>
                <w:rFonts w:ascii="Arial Narrow" w:hAnsi="Arial Narrow" w:cs="Arial"/>
                <w:b/>
                <w:bCs/>
                <w:iCs/>
                <w:sz w:val="18"/>
                <w:szCs w:val="18"/>
              </w:rPr>
              <w:t> </w:t>
            </w:r>
            <w:r w:rsidRPr="0086352B">
              <w:rPr>
                <w:rFonts w:ascii="Arial Narrow" w:hAnsi="Arial Narrow" w:cs="Arial"/>
                <w:b/>
                <w:bCs/>
                <w:iCs/>
                <w:sz w:val="18"/>
                <w:szCs w:val="18"/>
              </w:rPr>
              <w:t>modernizácia majetku železníc</w:t>
            </w:r>
          </w:p>
        </w:tc>
        <w:tc>
          <w:tcPr>
            <w:tcW w:w="940" w:type="dxa"/>
            <w:tcBorders>
              <w:top w:val="nil"/>
              <w:left w:val="nil"/>
              <w:bottom w:val="single" w:sz="8" w:space="0" w:color="auto"/>
              <w:right w:val="single" w:sz="8" w:space="0" w:color="auto"/>
              <w:tl2br w:val="nil"/>
              <w:tr2bl w:val="nil"/>
            </w:tcBorders>
            <w:noWrap/>
            <w:textDirection w:val="lrTb"/>
            <w:vAlign w:val="center"/>
          </w:tcPr>
          <w:p w:rsidR="0011736A" w:rsidRPr="0086352B" w:rsidP="0011736A">
            <w:pPr>
              <w:spacing w:line="240" w:lineRule="auto"/>
              <w:jc w:val="right"/>
              <w:rPr>
                <w:rFonts w:ascii="Arial Narrow" w:hAnsi="Arial Narrow" w:cs="Arial"/>
                <w:b/>
                <w:bCs/>
                <w:sz w:val="18"/>
                <w:szCs w:val="18"/>
                <w:lang w:val="cs-CZ"/>
              </w:rPr>
            </w:pPr>
            <w:r>
              <w:rPr>
                <w:rFonts w:ascii="Arial Narrow" w:hAnsi="Arial Narrow" w:cs="Arial"/>
                <w:b/>
                <w:bCs/>
                <w:iCs/>
                <w:sz w:val="18"/>
                <w:szCs w:val="18"/>
              </w:rPr>
              <w:t>4 002 878</w:t>
            </w:r>
          </w:p>
        </w:tc>
        <w:tc>
          <w:tcPr>
            <w:tcW w:w="960" w:type="dxa"/>
            <w:tcBorders>
              <w:top w:val="nil"/>
              <w:left w:val="nil"/>
              <w:bottom w:val="single" w:sz="8" w:space="0" w:color="auto"/>
              <w:right w:val="single" w:sz="8" w:space="0" w:color="auto"/>
              <w:tl2br w:val="nil"/>
              <w:tr2bl w:val="nil"/>
            </w:tcBorders>
            <w:noWrap/>
            <w:textDirection w:val="lrTb"/>
            <w:vAlign w:val="center"/>
          </w:tcPr>
          <w:p w:rsidR="0011736A" w:rsidRPr="0086352B" w:rsidP="0011736A">
            <w:pPr>
              <w:spacing w:line="240" w:lineRule="auto"/>
              <w:jc w:val="right"/>
              <w:rPr>
                <w:rFonts w:ascii="Arial Narrow" w:hAnsi="Arial Narrow" w:cs="Arial"/>
                <w:b/>
                <w:bCs/>
                <w:sz w:val="18"/>
                <w:szCs w:val="18"/>
                <w:lang w:val="cs-CZ"/>
              </w:rPr>
            </w:pPr>
            <w:r>
              <w:rPr>
                <w:rFonts w:ascii="Arial Narrow" w:hAnsi="Arial Narrow" w:cs="Arial"/>
                <w:b/>
                <w:bCs/>
                <w:sz w:val="18"/>
                <w:szCs w:val="18"/>
                <w:lang w:val="cs-CZ"/>
              </w:rPr>
              <w:t>4 235 228</w:t>
            </w:r>
          </w:p>
        </w:tc>
        <w:tc>
          <w:tcPr>
            <w:tcW w:w="960" w:type="dxa"/>
            <w:tcBorders>
              <w:top w:val="nil"/>
              <w:left w:val="nil"/>
              <w:bottom w:val="single" w:sz="8" w:space="0" w:color="auto"/>
              <w:right w:val="single" w:sz="8" w:space="0" w:color="auto"/>
              <w:tl2br w:val="nil"/>
              <w:tr2bl w:val="nil"/>
            </w:tcBorders>
            <w:noWrap/>
            <w:textDirection w:val="lrTb"/>
            <w:vAlign w:val="center"/>
          </w:tcPr>
          <w:p w:rsidR="0011736A" w:rsidRPr="0086352B" w:rsidP="0011736A">
            <w:pPr>
              <w:spacing w:line="240" w:lineRule="auto"/>
              <w:jc w:val="right"/>
              <w:rPr>
                <w:rFonts w:ascii="Arial Narrow" w:hAnsi="Arial Narrow" w:cs="Arial"/>
                <w:b/>
                <w:bCs/>
                <w:sz w:val="18"/>
                <w:szCs w:val="18"/>
                <w:lang w:val="cs-CZ"/>
              </w:rPr>
            </w:pPr>
            <w:r>
              <w:rPr>
                <w:rFonts w:ascii="Arial Narrow" w:hAnsi="Arial Narrow" w:cs="Arial"/>
                <w:b/>
                <w:bCs/>
                <w:sz w:val="18"/>
                <w:szCs w:val="18"/>
                <w:lang w:val="cs-CZ"/>
              </w:rPr>
              <w:t>4 239 213</w:t>
            </w:r>
          </w:p>
        </w:tc>
        <w:tc>
          <w:tcPr>
            <w:tcW w:w="840" w:type="dxa"/>
            <w:tcBorders>
              <w:top w:val="nil"/>
              <w:left w:val="nil"/>
              <w:bottom w:val="single" w:sz="8" w:space="0" w:color="auto"/>
              <w:right w:val="single" w:sz="12" w:space="0" w:color="auto"/>
              <w:tl2br w:val="nil"/>
              <w:tr2bl w:val="nil"/>
            </w:tcBorders>
            <w:noWrap/>
            <w:textDirection w:val="lrTb"/>
            <w:vAlign w:val="center"/>
          </w:tcPr>
          <w:p w:rsidR="0011736A" w:rsidRPr="0086352B" w:rsidP="0011736A">
            <w:pPr>
              <w:spacing w:line="240" w:lineRule="auto"/>
              <w:jc w:val="right"/>
              <w:rPr>
                <w:rFonts w:ascii="Arial Narrow" w:hAnsi="Arial Narrow" w:cs="Arial"/>
                <w:b/>
                <w:bCs/>
                <w:sz w:val="18"/>
                <w:szCs w:val="18"/>
                <w:lang w:val="cs-CZ"/>
              </w:rPr>
            </w:pPr>
            <w:r>
              <w:rPr>
                <w:rFonts w:ascii="Arial Narrow" w:hAnsi="Arial Narrow" w:cs="Arial"/>
                <w:b/>
                <w:bCs/>
                <w:sz w:val="18"/>
                <w:szCs w:val="18"/>
                <w:lang w:val="cs-CZ"/>
              </w:rPr>
              <w:t>2 552 079</w:t>
            </w:r>
          </w:p>
        </w:tc>
      </w:tr>
      <w:tr>
        <w:tblPrEx>
          <w:tblW w:w="9295" w:type="dxa"/>
          <w:tblInd w:w="55" w:type="dxa"/>
          <w:tblCellMar>
            <w:left w:w="70" w:type="dxa"/>
            <w:right w:w="70" w:type="dxa"/>
          </w:tblCellMar>
        </w:tblPrEx>
        <w:trPr>
          <w:trHeight w:val="227"/>
        </w:trPr>
        <w:tc>
          <w:tcPr>
            <w:tcW w:w="772" w:type="dxa"/>
            <w:tcBorders>
              <w:top w:val="nil"/>
              <w:left w:val="single" w:sz="12" w:space="0" w:color="auto"/>
              <w:bottom w:val="single" w:sz="8" w:space="0" w:color="auto"/>
              <w:right w:val="single" w:sz="8" w:space="0" w:color="auto"/>
              <w:tl2br w:val="nil"/>
              <w:tr2bl w:val="nil"/>
            </w:tcBorders>
            <w:noWrap/>
            <w:textDirection w:val="lrTb"/>
            <w:vAlign w:val="center"/>
          </w:tcPr>
          <w:p w:rsidR="0011736A" w:rsidRPr="0086352B" w:rsidP="0011736A">
            <w:pPr>
              <w:spacing w:line="240" w:lineRule="auto"/>
              <w:rPr>
                <w:rFonts w:ascii="Arial Narrow" w:hAnsi="Arial Narrow" w:cs="Arial"/>
                <w:sz w:val="18"/>
                <w:szCs w:val="18"/>
                <w:lang w:val="cs-CZ"/>
              </w:rPr>
            </w:pPr>
            <w:r>
              <w:rPr>
                <w:rFonts w:ascii="Arial Narrow" w:hAnsi="Arial Narrow" w:cs="Arial"/>
                <w:sz w:val="18"/>
                <w:szCs w:val="18"/>
              </w:rPr>
              <w:t>07S</w:t>
            </w:r>
            <w:r w:rsidRPr="0086352B">
              <w:rPr>
                <w:rFonts w:ascii="Arial Narrow" w:hAnsi="Arial Narrow" w:cs="Arial"/>
                <w:sz w:val="18"/>
                <w:szCs w:val="18"/>
              </w:rPr>
              <w:t>0601</w:t>
            </w:r>
          </w:p>
        </w:tc>
        <w:tc>
          <w:tcPr>
            <w:tcW w:w="4823" w:type="dxa"/>
            <w:tcBorders>
              <w:top w:val="nil"/>
              <w:left w:val="nil"/>
              <w:bottom w:val="single" w:sz="8" w:space="0" w:color="auto"/>
              <w:right w:val="single" w:sz="8" w:space="0" w:color="auto"/>
              <w:tl2br w:val="nil"/>
              <w:tr2bl w:val="nil"/>
            </w:tcBorders>
            <w:textDirection w:val="lrTb"/>
            <w:vAlign w:val="center"/>
          </w:tcPr>
          <w:p w:rsidR="0011736A" w:rsidRPr="0086352B" w:rsidP="0011736A">
            <w:pPr>
              <w:spacing w:line="240" w:lineRule="auto"/>
              <w:rPr>
                <w:rFonts w:ascii="Arial Narrow" w:hAnsi="Arial Narrow" w:cs="Arial"/>
                <w:sz w:val="18"/>
                <w:szCs w:val="18"/>
                <w:lang w:val="cs-CZ"/>
              </w:rPr>
            </w:pPr>
            <w:r w:rsidRPr="0086352B">
              <w:rPr>
                <w:rFonts w:ascii="Arial Narrow" w:hAnsi="Arial Narrow" w:cs="Arial"/>
                <w:sz w:val="18"/>
                <w:szCs w:val="18"/>
              </w:rPr>
              <w:t>Výstavba a obnova žel</w:t>
            </w:r>
            <w:r>
              <w:rPr>
                <w:rFonts w:ascii="Arial Narrow" w:hAnsi="Arial Narrow" w:cs="Arial"/>
                <w:sz w:val="18"/>
                <w:szCs w:val="18"/>
              </w:rPr>
              <w:t xml:space="preserve">ezničnej siete </w:t>
            </w:r>
          </w:p>
        </w:tc>
        <w:tc>
          <w:tcPr>
            <w:tcW w:w="940" w:type="dxa"/>
            <w:tcBorders>
              <w:top w:val="nil"/>
              <w:left w:val="nil"/>
              <w:bottom w:val="single" w:sz="8" w:space="0" w:color="auto"/>
              <w:right w:val="single" w:sz="8" w:space="0" w:color="auto"/>
              <w:tl2br w:val="nil"/>
              <w:tr2bl w:val="nil"/>
            </w:tcBorders>
            <w:noWrap/>
            <w:textDirection w:val="lrTb"/>
            <w:vAlign w:val="center"/>
          </w:tcPr>
          <w:p w:rsidR="0011736A" w:rsidRPr="0086352B" w:rsidP="0011736A">
            <w:pPr>
              <w:spacing w:line="240" w:lineRule="auto"/>
              <w:jc w:val="right"/>
              <w:rPr>
                <w:rFonts w:ascii="Arial Narrow" w:hAnsi="Arial Narrow" w:cs="Arial"/>
                <w:sz w:val="18"/>
                <w:szCs w:val="18"/>
                <w:lang w:val="cs-CZ"/>
              </w:rPr>
            </w:pPr>
            <w:r>
              <w:rPr>
                <w:rFonts w:ascii="Arial Narrow" w:hAnsi="Arial Narrow" w:cs="Arial"/>
                <w:sz w:val="18"/>
                <w:szCs w:val="18"/>
              </w:rPr>
              <w:t>1 277 831</w:t>
            </w:r>
          </w:p>
        </w:tc>
        <w:tc>
          <w:tcPr>
            <w:tcW w:w="960" w:type="dxa"/>
            <w:tcBorders>
              <w:top w:val="nil"/>
              <w:left w:val="nil"/>
              <w:bottom w:val="single" w:sz="8" w:space="0" w:color="auto"/>
              <w:right w:val="single" w:sz="8" w:space="0" w:color="auto"/>
              <w:tl2br w:val="nil"/>
              <w:tr2bl w:val="nil"/>
            </w:tcBorders>
            <w:noWrap/>
            <w:textDirection w:val="lrTb"/>
            <w:vAlign w:val="center"/>
          </w:tcPr>
          <w:p w:rsidR="0011736A" w:rsidRPr="0086352B" w:rsidP="0011736A">
            <w:pPr>
              <w:spacing w:line="240" w:lineRule="auto"/>
              <w:jc w:val="right"/>
              <w:rPr>
                <w:rFonts w:ascii="Arial Narrow" w:hAnsi="Arial Narrow" w:cs="Arial"/>
                <w:sz w:val="18"/>
                <w:szCs w:val="18"/>
                <w:lang w:val="cs-CZ"/>
              </w:rPr>
            </w:pPr>
            <w:r>
              <w:rPr>
                <w:rFonts w:ascii="Arial Narrow" w:hAnsi="Arial Narrow" w:cs="Arial"/>
                <w:sz w:val="18"/>
                <w:szCs w:val="18"/>
                <w:lang w:val="cs-CZ"/>
              </w:rPr>
              <w:t>1 088 490</w:t>
            </w:r>
          </w:p>
        </w:tc>
        <w:tc>
          <w:tcPr>
            <w:tcW w:w="960" w:type="dxa"/>
            <w:tcBorders>
              <w:top w:val="nil"/>
              <w:left w:val="nil"/>
              <w:bottom w:val="single" w:sz="8" w:space="0" w:color="auto"/>
              <w:right w:val="single" w:sz="8" w:space="0" w:color="auto"/>
              <w:tl2br w:val="nil"/>
              <w:tr2bl w:val="nil"/>
            </w:tcBorders>
            <w:noWrap/>
            <w:textDirection w:val="lrTb"/>
            <w:vAlign w:val="center"/>
          </w:tcPr>
          <w:p w:rsidR="0011736A" w:rsidRPr="0086352B" w:rsidP="0011736A">
            <w:pPr>
              <w:spacing w:line="240" w:lineRule="auto"/>
              <w:jc w:val="right"/>
              <w:rPr>
                <w:rFonts w:ascii="Arial Narrow" w:hAnsi="Arial Narrow" w:cs="Arial"/>
                <w:sz w:val="18"/>
                <w:szCs w:val="18"/>
                <w:lang w:val="cs-CZ"/>
              </w:rPr>
            </w:pPr>
            <w:r>
              <w:rPr>
                <w:rFonts w:ascii="Arial Narrow" w:hAnsi="Arial Narrow" w:cs="Arial"/>
                <w:sz w:val="18"/>
                <w:szCs w:val="18"/>
                <w:lang w:val="cs-CZ"/>
              </w:rPr>
              <w:t>1 092 475</w:t>
            </w:r>
          </w:p>
        </w:tc>
        <w:tc>
          <w:tcPr>
            <w:tcW w:w="840" w:type="dxa"/>
            <w:tcBorders>
              <w:top w:val="nil"/>
              <w:left w:val="nil"/>
              <w:bottom w:val="single" w:sz="8" w:space="0" w:color="auto"/>
              <w:right w:val="single" w:sz="12" w:space="0" w:color="auto"/>
              <w:tl2br w:val="nil"/>
              <w:tr2bl w:val="nil"/>
            </w:tcBorders>
            <w:noWrap/>
            <w:textDirection w:val="lrTb"/>
            <w:vAlign w:val="center"/>
          </w:tcPr>
          <w:p w:rsidR="0011736A" w:rsidRPr="0086352B" w:rsidP="0011736A">
            <w:pPr>
              <w:spacing w:line="240" w:lineRule="auto"/>
              <w:jc w:val="right"/>
              <w:rPr>
                <w:rFonts w:ascii="Arial Narrow" w:hAnsi="Arial Narrow" w:cs="Arial"/>
                <w:sz w:val="18"/>
                <w:szCs w:val="18"/>
                <w:lang w:val="cs-CZ"/>
              </w:rPr>
            </w:pPr>
            <w:r>
              <w:rPr>
                <w:rFonts w:ascii="Arial Narrow" w:hAnsi="Arial Narrow" w:cs="Arial"/>
                <w:sz w:val="18"/>
                <w:szCs w:val="18"/>
                <w:lang w:val="cs-CZ"/>
              </w:rPr>
              <w:t>7 335</w:t>
            </w:r>
          </w:p>
        </w:tc>
      </w:tr>
      <w:tr>
        <w:tblPrEx>
          <w:tblW w:w="9295" w:type="dxa"/>
          <w:tblInd w:w="55" w:type="dxa"/>
          <w:tblCellMar>
            <w:left w:w="70" w:type="dxa"/>
            <w:right w:w="70" w:type="dxa"/>
          </w:tblCellMar>
        </w:tblPrEx>
        <w:trPr>
          <w:trHeight w:val="227"/>
        </w:trPr>
        <w:tc>
          <w:tcPr>
            <w:tcW w:w="772" w:type="dxa"/>
            <w:tcBorders>
              <w:top w:val="nil"/>
              <w:left w:val="single" w:sz="12" w:space="0" w:color="auto"/>
              <w:bottom w:val="single" w:sz="8" w:space="0" w:color="auto"/>
              <w:right w:val="single" w:sz="8" w:space="0" w:color="auto"/>
              <w:tl2br w:val="nil"/>
              <w:tr2bl w:val="nil"/>
            </w:tcBorders>
            <w:noWrap/>
            <w:textDirection w:val="lrTb"/>
            <w:vAlign w:val="center"/>
          </w:tcPr>
          <w:p w:rsidR="0011736A" w:rsidRPr="0086352B" w:rsidP="0011736A">
            <w:pPr>
              <w:spacing w:line="240" w:lineRule="auto"/>
              <w:rPr>
                <w:rFonts w:ascii="Arial Narrow" w:hAnsi="Arial Narrow" w:cs="Arial"/>
                <w:sz w:val="18"/>
                <w:szCs w:val="18"/>
                <w:lang w:val="cs-CZ"/>
              </w:rPr>
            </w:pPr>
            <w:r w:rsidRPr="0086352B">
              <w:rPr>
                <w:rFonts w:ascii="Arial Narrow" w:hAnsi="Arial Narrow" w:cs="Arial"/>
                <w:sz w:val="18"/>
                <w:szCs w:val="18"/>
              </w:rPr>
              <w:t>07S0605</w:t>
            </w:r>
          </w:p>
        </w:tc>
        <w:tc>
          <w:tcPr>
            <w:tcW w:w="4823" w:type="dxa"/>
            <w:tcBorders>
              <w:top w:val="nil"/>
              <w:left w:val="nil"/>
              <w:bottom w:val="single" w:sz="8" w:space="0" w:color="auto"/>
              <w:right w:val="single" w:sz="8" w:space="0" w:color="auto"/>
              <w:tl2br w:val="nil"/>
              <w:tr2bl w:val="nil"/>
            </w:tcBorders>
            <w:textDirection w:val="lrTb"/>
            <w:vAlign w:val="center"/>
          </w:tcPr>
          <w:p w:rsidR="0011736A" w:rsidRPr="0086352B" w:rsidP="0011736A">
            <w:pPr>
              <w:spacing w:line="240" w:lineRule="auto"/>
              <w:rPr>
                <w:rFonts w:ascii="Arial Narrow" w:hAnsi="Arial Narrow" w:cs="Arial"/>
                <w:sz w:val="18"/>
                <w:szCs w:val="18"/>
                <w:lang w:val="cs-CZ"/>
              </w:rPr>
            </w:pPr>
            <w:r w:rsidRPr="0086352B">
              <w:rPr>
                <w:rFonts w:ascii="Arial Narrow" w:hAnsi="Arial Narrow" w:cs="Arial"/>
                <w:sz w:val="18"/>
                <w:szCs w:val="18"/>
              </w:rPr>
              <w:t>Piešťany</w:t>
            </w:r>
            <w:r>
              <w:rPr>
                <w:rFonts w:ascii="Arial Narrow" w:hAnsi="Arial Narrow" w:cs="Arial"/>
                <w:sz w:val="18"/>
                <w:szCs w:val="18"/>
              </w:rPr>
              <w:t xml:space="preserve"> - Nové Mesto </w:t>
            </w:r>
            <w:r w:rsidRPr="0086352B">
              <w:rPr>
                <w:rFonts w:ascii="Arial Narrow" w:hAnsi="Arial Narrow" w:cs="Arial"/>
                <w:sz w:val="18"/>
                <w:szCs w:val="18"/>
              </w:rPr>
              <w:t>nad Váhom (plánovaný projekt KF)</w:t>
            </w:r>
          </w:p>
        </w:tc>
        <w:tc>
          <w:tcPr>
            <w:tcW w:w="940" w:type="dxa"/>
            <w:tcBorders>
              <w:top w:val="nil"/>
              <w:left w:val="nil"/>
              <w:bottom w:val="single" w:sz="8" w:space="0" w:color="auto"/>
              <w:right w:val="single" w:sz="8" w:space="0" w:color="auto"/>
              <w:tl2br w:val="nil"/>
              <w:tr2bl w:val="nil"/>
            </w:tcBorders>
            <w:noWrap/>
            <w:textDirection w:val="lrTb"/>
            <w:vAlign w:val="center"/>
          </w:tcPr>
          <w:p w:rsidR="0011736A" w:rsidRPr="0086352B" w:rsidP="0011736A">
            <w:pPr>
              <w:spacing w:line="240" w:lineRule="auto"/>
              <w:jc w:val="right"/>
              <w:rPr>
                <w:rFonts w:ascii="Arial Narrow" w:hAnsi="Arial Narrow" w:cs="Arial"/>
                <w:sz w:val="18"/>
                <w:szCs w:val="18"/>
                <w:lang w:val="cs-CZ"/>
              </w:rPr>
            </w:pPr>
            <w:r>
              <w:rPr>
                <w:rFonts w:ascii="Arial Narrow" w:hAnsi="Arial Narrow" w:cs="Arial"/>
                <w:sz w:val="18"/>
                <w:szCs w:val="18"/>
              </w:rPr>
              <w:t>1 826 790</w:t>
            </w:r>
          </w:p>
        </w:tc>
        <w:tc>
          <w:tcPr>
            <w:tcW w:w="960" w:type="dxa"/>
            <w:tcBorders>
              <w:top w:val="nil"/>
              <w:left w:val="nil"/>
              <w:bottom w:val="single" w:sz="8" w:space="0" w:color="auto"/>
              <w:right w:val="single" w:sz="8" w:space="0" w:color="auto"/>
              <w:tl2br w:val="nil"/>
              <w:tr2bl w:val="nil"/>
            </w:tcBorders>
            <w:noWrap/>
            <w:textDirection w:val="lrTb"/>
            <w:vAlign w:val="center"/>
          </w:tcPr>
          <w:p w:rsidR="0011736A" w:rsidRPr="0086352B" w:rsidP="0011736A">
            <w:pPr>
              <w:spacing w:line="240" w:lineRule="auto"/>
              <w:jc w:val="right"/>
              <w:rPr>
                <w:rFonts w:ascii="Arial Narrow" w:hAnsi="Arial Narrow" w:cs="Arial"/>
                <w:sz w:val="18"/>
                <w:szCs w:val="18"/>
                <w:lang w:val="cs-CZ"/>
              </w:rPr>
            </w:pPr>
            <w:r>
              <w:rPr>
                <w:rFonts w:ascii="Arial Narrow" w:hAnsi="Arial Narrow" w:cs="Arial"/>
                <w:sz w:val="18"/>
                <w:szCs w:val="18"/>
                <w:lang w:val="cs-CZ"/>
              </w:rPr>
              <w:t>1 849 195</w:t>
            </w:r>
          </w:p>
        </w:tc>
        <w:tc>
          <w:tcPr>
            <w:tcW w:w="960" w:type="dxa"/>
            <w:tcBorders>
              <w:top w:val="nil"/>
              <w:left w:val="nil"/>
              <w:bottom w:val="single" w:sz="8" w:space="0" w:color="auto"/>
              <w:right w:val="single" w:sz="8" w:space="0" w:color="auto"/>
              <w:tl2br w:val="nil"/>
              <w:tr2bl w:val="nil"/>
            </w:tcBorders>
            <w:noWrap/>
            <w:textDirection w:val="lrTb"/>
            <w:vAlign w:val="center"/>
          </w:tcPr>
          <w:p w:rsidR="0011736A" w:rsidRPr="0086352B" w:rsidP="0011736A">
            <w:pPr>
              <w:spacing w:line="240" w:lineRule="auto"/>
              <w:jc w:val="right"/>
              <w:rPr>
                <w:rFonts w:ascii="Arial Narrow" w:hAnsi="Arial Narrow" w:cs="Arial"/>
                <w:sz w:val="18"/>
                <w:szCs w:val="18"/>
                <w:lang w:val="cs-CZ"/>
              </w:rPr>
            </w:pPr>
            <w:r>
              <w:rPr>
                <w:rFonts w:ascii="Arial Narrow" w:hAnsi="Arial Narrow" w:cs="Arial"/>
                <w:sz w:val="18"/>
                <w:szCs w:val="18"/>
                <w:lang w:val="cs-CZ"/>
              </w:rPr>
              <w:t>1 849 195</w:t>
            </w:r>
          </w:p>
        </w:tc>
        <w:tc>
          <w:tcPr>
            <w:tcW w:w="840" w:type="dxa"/>
            <w:tcBorders>
              <w:top w:val="nil"/>
              <w:left w:val="nil"/>
              <w:bottom w:val="single" w:sz="8" w:space="0" w:color="auto"/>
              <w:right w:val="single" w:sz="12" w:space="0" w:color="auto"/>
              <w:tl2br w:val="nil"/>
              <w:tr2bl w:val="nil"/>
            </w:tcBorders>
            <w:noWrap/>
            <w:textDirection w:val="lrTb"/>
            <w:vAlign w:val="center"/>
          </w:tcPr>
          <w:p w:rsidR="0011736A" w:rsidRPr="0086352B" w:rsidP="0011736A">
            <w:pPr>
              <w:spacing w:line="240" w:lineRule="auto"/>
              <w:jc w:val="right"/>
              <w:rPr>
                <w:rFonts w:ascii="Arial Narrow" w:hAnsi="Arial Narrow" w:cs="Arial"/>
                <w:sz w:val="18"/>
                <w:szCs w:val="18"/>
                <w:lang w:val="cs-CZ"/>
              </w:rPr>
            </w:pPr>
            <w:r>
              <w:rPr>
                <w:rFonts w:ascii="Arial Narrow" w:hAnsi="Arial Narrow" w:cs="Arial"/>
                <w:sz w:val="18"/>
                <w:szCs w:val="18"/>
                <w:lang w:val="cs-CZ"/>
              </w:rPr>
              <w:t>1 715 090</w:t>
            </w:r>
          </w:p>
        </w:tc>
      </w:tr>
      <w:tr>
        <w:tblPrEx>
          <w:tblW w:w="9295" w:type="dxa"/>
          <w:tblInd w:w="55" w:type="dxa"/>
          <w:tblCellMar>
            <w:left w:w="70" w:type="dxa"/>
            <w:right w:w="70" w:type="dxa"/>
          </w:tblCellMar>
        </w:tblPrEx>
        <w:trPr>
          <w:trHeight w:val="227"/>
        </w:trPr>
        <w:tc>
          <w:tcPr>
            <w:tcW w:w="772" w:type="dxa"/>
            <w:tcBorders>
              <w:top w:val="nil"/>
              <w:left w:val="single" w:sz="12" w:space="0" w:color="auto"/>
              <w:bottom w:val="single" w:sz="8" w:space="0" w:color="auto"/>
              <w:right w:val="single" w:sz="8" w:space="0" w:color="auto"/>
              <w:tl2br w:val="nil"/>
              <w:tr2bl w:val="nil"/>
            </w:tcBorders>
            <w:noWrap/>
            <w:textDirection w:val="lrTb"/>
            <w:vAlign w:val="center"/>
          </w:tcPr>
          <w:p w:rsidR="0011736A" w:rsidRPr="0086352B" w:rsidP="0011736A">
            <w:pPr>
              <w:spacing w:line="240" w:lineRule="auto"/>
              <w:rPr>
                <w:rFonts w:ascii="Arial Narrow" w:hAnsi="Arial Narrow" w:cs="Arial"/>
                <w:sz w:val="18"/>
                <w:szCs w:val="18"/>
                <w:lang w:val="cs-CZ"/>
              </w:rPr>
            </w:pPr>
            <w:r w:rsidRPr="0086352B">
              <w:rPr>
                <w:rFonts w:ascii="Arial Narrow" w:hAnsi="Arial Narrow" w:cs="Arial"/>
                <w:sz w:val="18"/>
                <w:szCs w:val="18"/>
              </w:rPr>
              <w:t>07S0606</w:t>
            </w:r>
          </w:p>
        </w:tc>
        <w:tc>
          <w:tcPr>
            <w:tcW w:w="4823" w:type="dxa"/>
            <w:tcBorders>
              <w:top w:val="nil"/>
              <w:left w:val="nil"/>
              <w:bottom w:val="single" w:sz="8" w:space="0" w:color="auto"/>
              <w:right w:val="single" w:sz="8" w:space="0" w:color="auto"/>
              <w:tl2br w:val="nil"/>
              <w:tr2bl w:val="nil"/>
            </w:tcBorders>
            <w:textDirection w:val="lrTb"/>
            <w:vAlign w:val="center"/>
          </w:tcPr>
          <w:p w:rsidR="0011736A" w:rsidRPr="0086352B" w:rsidP="0011736A">
            <w:pPr>
              <w:spacing w:line="240" w:lineRule="auto"/>
              <w:rPr>
                <w:rFonts w:ascii="Arial Narrow" w:hAnsi="Arial Narrow" w:cs="Arial"/>
                <w:sz w:val="18"/>
                <w:szCs w:val="18"/>
                <w:lang w:val="cs-CZ"/>
              </w:rPr>
            </w:pPr>
            <w:r w:rsidRPr="0086352B">
              <w:rPr>
                <w:rFonts w:ascii="Arial Narrow" w:hAnsi="Arial Narrow" w:cs="Arial"/>
                <w:sz w:val="18"/>
                <w:szCs w:val="18"/>
              </w:rPr>
              <w:t>Žilina</w:t>
            </w:r>
            <w:r>
              <w:rPr>
                <w:rFonts w:ascii="Arial Narrow" w:hAnsi="Arial Narrow" w:cs="Arial"/>
                <w:sz w:val="18"/>
                <w:szCs w:val="18"/>
              </w:rPr>
              <w:t xml:space="preserve"> </w:t>
            </w:r>
            <w:r w:rsidRPr="0086352B">
              <w:rPr>
                <w:rFonts w:ascii="Arial Narrow" w:hAnsi="Arial Narrow" w:cs="Arial"/>
                <w:sz w:val="18"/>
                <w:szCs w:val="18"/>
              </w:rPr>
              <w:t>-</w:t>
            </w:r>
            <w:r>
              <w:rPr>
                <w:rFonts w:ascii="Arial Narrow" w:hAnsi="Arial Narrow" w:cs="Arial"/>
                <w:sz w:val="18"/>
                <w:szCs w:val="18"/>
              </w:rPr>
              <w:t xml:space="preserve"> </w:t>
            </w:r>
            <w:r w:rsidRPr="0086352B">
              <w:rPr>
                <w:rFonts w:ascii="Arial Narrow" w:hAnsi="Arial Narrow" w:cs="Arial"/>
                <w:sz w:val="18"/>
                <w:szCs w:val="18"/>
              </w:rPr>
              <w:t>Krásno nad Kysucou (plánovaný projekt KF)</w:t>
            </w:r>
          </w:p>
        </w:tc>
        <w:tc>
          <w:tcPr>
            <w:tcW w:w="940" w:type="dxa"/>
            <w:tcBorders>
              <w:top w:val="nil"/>
              <w:left w:val="nil"/>
              <w:bottom w:val="single" w:sz="8" w:space="0" w:color="auto"/>
              <w:right w:val="single" w:sz="8" w:space="0" w:color="auto"/>
              <w:tl2br w:val="nil"/>
              <w:tr2bl w:val="nil"/>
            </w:tcBorders>
            <w:noWrap/>
            <w:textDirection w:val="lrTb"/>
            <w:vAlign w:val="center"/>
          </w:tcPr>
          <w:p w:rsidR="0011736A" w:rsidRPr="0086352B" w:rsidP="0011736A">
            <w:pPr>
              <w:spacing w:line="240" w:lineRule="auto"/>
              <w:jc w:val="right"/>
              <w:rPr>
                <w:rFonts w:ascii="Arial Narrow" w:hAnsi="Arial Narrow" w:cs="Arial"/>
                <w:sz w:val="18"/>
                <w:szCs w:val="18"/>
                <w:lang w:val="cs-CZ"/>
              </w:rPr>
            </w:pPr>
            <w:r w:rsidRPr="0086352B">
              <w:rPr>
                <w:rFonts w:ascii="Arial Narrow" w:hAnsi="Arial Narrow" w:cs="Arial"/>
                <w:sz w:val="18"/>
                <w:szCs w:val="18"/>
              </w:rPr>
              <w:t>0</w:t>
            </w:r>
          </w:p>
        </w:tc>
        <w:tc>
          <w:tcPr>
            <w:tcW w:w="960" w:type="dxa"/>
            <w:tcBorders>
              <w:top w:val="nil"/>
              <w:left w:val="nil"/>
              <w:bottom w:val="single" w:sz="8" w:space="0" w:color="auto"/>
              <w:right w:val="single" w:sz="8" w:space="0" w:color="auto"/>
              <w:tl2br w:val="nil"/>
              <w:tr2bl w:val="nil"/>
            </w:tcBorders>
            <w:noWrap/>
            <w:textDirection w:val="lrTb"/>
            <w:vAlign w:val="center"/>
          </w:tcPr>
          <w:p w:rsidR="0011736A" w:rsidRPr="0086352B" w:rsidP="0011736A">
            <w:pPr>
              <w:spacing w:line="240" w:lineRule="auto"/>
              <w:jc w:val="right"/>
              <w:rPr>
                <w:rFonts w:ascii="Arial Narrow" w:hAnsi="Arial Narrow" w:cs="Arial"/>
                <w:sz w:val="18"/>
                <w:szCs w:val="18"/>
                <w:lang w:val="cs-CZ"/>
              </w:rPr>
            </w:pPr>
            <w:r>
              <w:rPr>
                <w:rFonts w:ascii="Arial Narrow" w:hAnsi="Arial Narrow" w:cs="Arial"/>
                <w:sz w:val="18"/>
                <w:szCs w:val="18"/>
                <w:lang w:val="cs-CZ"/>
              </w:rPr>
              <w:t>0</w:t>
            </w:r>
          </w:p>
        </w:tc>
        <w:tc>
          <w:tcPr>
            <w:tcW w:w="960" w:type="dxa"/>
            <w:tcBorders>
              <w:top w:val="nil"/>
              <w:left w:val="nil"/>
              <w:bottom w:val="single" w:sz="8" w:space="0" w:color="auto"/>
              <w:right w:val="single" w:sz="8" w:space="0" w:color="auto"/>
              <w:tl2br w:val="nil"/>
              <w:tr2bl w:val="nil"/>
            </w:tcBorders>
            <w:noWrap/>
            <w:textDirection w:val="lrTb"/>
            <w:vAlign w:val="center"/>
          </w:tcPr>
          <w:p w:rsidR="0011736A" w:rsidRPr="0086352B" w:rsidP="0011736A">
            <w:pPr>
              <w:spacing w:line="240" w:lineRule="auto"/>
              <w:jc w:val="right"/>
              <w:rPr>
                <w:rFonts w:ascii="Arial Narrow" w:hAnsi="Arial Narrow" w:cs="Arial"/>
                <w:sz w:val="18"/>
                <w:szCs w:val="18"/>
                <w:lang w:val="cs-CZ"/>
              </w:rPr>
            </w:pPr>
            <w:r>
              <w:rPr>
                <w:rFonts w:ascii="Arial Narrow" w:hAnsi="Arial Narrow" w:cs="Arial"/>
                <w:sz w:val="18"/>
                <w:szCs w:val="18"/>
                <w:lang w:val="cs-CZ"/>
              </w:rPr>
              <w:t>0</w:t>
            </w:r>
          </w:p>
        </w:tc>
        <w:tc>
          <w:tcPr>
            <w:tcW w:w="840" w:type="dxa"/>
            <w:tcBorders>
              <w:top w:val="nil"/>
              <w:left w:val="nil"/>
              <w:bottom w:val="single" w:sz="8" w:space="0" w:color="auto"/>
              <w:right w:val="single" w:sz="12" w:space="0" w:color="auto"/>
              <w:tl2br w:val="nil"/>
              <w:tr2bl w:val="nil"/>
            </w:tcBorders>
            <w:noWrap/>
            <w:textDirection w:val="lrTb"/>
            <w:vAlign w:val="center"/>
          </w:tcPr>
          <w:p w:rsidR="0011736A" w:rsidRPr="0086352B" w:rsidP="0011736A">
            <w:pPr>
              <w:spacing w:line="240" w:lineRule="auto"/>
              <w:jc w:val="right"/>
              <w:rPr>
                <w:rFonts w:ascii="Arial Narrow" w:hAnsi="Arial Narrow" w:cs="Arial"/>
                <w:sz w:val="18"/>
                <w:szCs w:val="18"/>
                <w:lang w:val="cs-CZ"/>
              </w:rPr>
            </w:pPr>
            <w:r>
              <w:rPr>
                <w:rFonts w:ascii="Arial Narrow" w:hAnsi="Arial Narrow" w:cs="Arial"/>
                <w:sz w:val="18"/>
                <w:szCs w:val="18"/>
                <w:lang w:val="cs-CZ"/>
              </w:rPr>
              <w:t>0</w:t>
            </w:r>
          </w:p>
        </w:tc>
      </w:tr>
      <w:tr>
        <w:tblPrEx>
          <w:tblW w:w="9295" w:type="dxa"/>
          <w:tblInd w:w="55" w:type="dxa"/>
          <w:tblCellMar>
            <w:left w:w="70" w:type="dxa"/>
            <w:right w:w="70" w:type="dxa"/>
          </w:tblCellMar>
        </w:tblPrEx>
        <w:trPr>
          <w:trHeight w:val="227"/>
        </w:trPr>
        <w:tc>
          <w:tcPr>
            <w:tcW w:w="772" w:type="dxa"/>
            <w:tcBorders>
              <w:top w:val="nil"/>
              <w:left w:val="single" w:sz="12" w:space="0" w:color="auto"/>
              <w:bottom w:val="single" w:sz="8" w:space="0" w:color="auto"/>
              <w:right w:val="single" w:sz="8" w:space="0" w:color="auto"/>
              <w:tl2br w:val="nil"/>
              <w:tr2bl w:val="nil"/>
            </w:tcBorders>
            <w:noWrap/>
            <w:textDirection w:val="lrTb"/>
            <w:vAlign w:val="center"/>
          </w:tcPr>
          <w:p w:rsidR="0011736A" w:rsidRPr="0086352B" w:rsidP="0011736A">
            <w:pPr>
              <w:spacing w:line="240" w:lineRule="auto"/>
              <w:rPr>
                <w:rFonts w:ascii="Arial Narrow" w:hAnsi="Arial Narrow" w:cs="Arial"/>
                <w:sz w:val="18"/>
                <w:szCs w:val="18"/>
                <w:lang w:val="cs-CZ"/>
              </w:rPr>
            </w:pPr>
            <w:r w:rsidRPr="0086352B">
              <w:rPr>
                <w:rFonts w:ascii="Arial Narrow" w:hAnsi="Arial Narrow" w:cs="Arial"/>
                <w:sz w:val="18"/>
                <w:szCs w:val="18"/>
              </w:rPr>
              <w:t>07S0608</w:t>
            </w:r>
          </w:p>
        </w:tc>
        <w:tc>
          <w:tcPr>
            <w:tcW w:w="4823" w:type="dxa"/>
            <w:tcBorders>
              <w:top w:val="nil"/>
              <w:left w:val="nil"/>
              <w:bottom w:val="single" w:sz="8" w:space="0" w:color="auto"/>
              <w:right w:val="single" w:sz="8" w:space="0" w:color="auto"/>
              <w:tl2br w:val="nil"/>
              <w:tr2bl w:val="nil"/>
            </w:tcBorders>
            <w:textDirection w:val="lrTb"/>
            <w:vAlign w:val="center"/>
          </w:tcPr>
          <w:p w:rsidR="0011736A" w:rsidRPr="0086352B" w:rsidP="0011736A">
            <w:pPr>
              <w:spacing w:line="240" w:lineRule="auto"/>
              <w:rPr>
                <w:rFonts w:ascii="Arial Narrow" w:hAnsi="Arial Narrow" w:cs="Arial"/>
                <w:sz w:val="18"/>
                <w:szCs w:val="18"/>
                <w:lang w:val="cs-CZ"/>
              </w:rPr>
            </w:pPr>
            <w:r w:rsidRPr="0086352B">
              <w:rPr>
                <w:rFonts w:ascii="Arial Narrow" w:hAnsi="Arial Narrow" w:cs="Arial"/>
                <w:sz w:val="18"/>
                <w:szCs w:val="18"/>
              </w:rPr>
              <w:t>Mod. a rozvoj infraštrukt</w:t>
            </w:r>
            <w:r>
              <w:rPr>
                <w:rFonts w:ascii="Arial Narrow" w:hAnsi="Arial Narrow" w:cs="Arial"/>
                <w:sz w:val="18"/>
                <w:szCs w:val="18"/>
              </w:rPr>
              <w:t xml:space="preserve">úry železničnej </w:t>
            </w:r>
            <w:r w:rsidRPr="0086352B">
              <w:rPr>
                <w:rFonts w:ascii="Arial Narrow" w:hAnsi="Arial Narrow" w:cs="Arial"/>
                <w:sz w:val="18"/>
                <w:szCs w:val="18"/>
              </w:rPr>
              <w:t>dopravy</w:t>
            </w:r>
            <w:r>
              <w:rPr>
                <w:rFonts w:ascii="Arial Narrow" w:hAnsi="Arial Narrow" w:cs="Arial"/>
                <w:sz w:val="18"/>
                <w:szCs w:val="18"/>
              </w:rPr>
              <w:t xml:space="preserve"> </w:t>
            </w:r>
            <w:r w:rsidRPr="0086352B">
              <w:rPr>
                <w:rFonts w:ascii="Arial Narrow" w:hAnsi="Arial Narrow" w:cs="Arial"/>
                <w:sz w:val="18"/>
                <w:szCs w:val="18"/>
              </w:rPr>
              <w:t>-</w:t>
            </w:r>
            <w:r>
              <w:rPr>
                <w:rFonts w:ascii="Arial Narrow" w:hAnsi="Arial Narrow" w:cs="Arial"/>
                <w:sz w:val="18"/>
                <w:szCs w:val="18"/>
              </w:rPr>
              <w:t xml:space="preserve"> </w:t>
            </w:r>
            <w:r w:rsidRPr="0086352B">
              <w:rPr>
                <w:rFonts w:ascii="Arial Narrow" w:hAnsi="Arial Narrow" w:cs="Arial"/>
                <w:sz w:val="18"/>
                <w:szCs w:val="18"/>
              </w:rPr>
              <w:t>opatrenie 1.1 OP ZI</w:t>
            </w:r>
          </w:p>
        </w:tc>
        <w:tc>
          <w:tcPr>
            <w:tcW w:w="940" w:type="dxa"/>
            <w:tcBorders>
              <w:top w:val="nil"/>
              <w:left w:val="nil"/>
              <w:bottom w:val="single" w:sz="8" w:space="0" w:color="auto"/>
              <w:right w:val="single" w:sz="8" w:space="0" w:color="auto"/>
              <w:tl2br w:val="nil"/>
              <w:tr2bl w:val="nil"/>
            </w:tcBorders>
            <w:noWrap/>
            <w:textDirection w:val="lrTb"/>
            <w:vAlign w:val="center"/>
          </w:tcPr>
          <w:p w:rsidR="0011736A" w:rsidRPr="0086352B" w:rsidP="0011736A">
            <w:pPr>
              <w:spacing w:line="240" w:lineRule="auto"/>
              <w:jc w:val="right"/>
              <w:rPr>
                <w:rFonts w:ascii="Arial Narrow" w:hAnsi="Arial Narrow" w:cs="Arial"/>
                <w:sz w:val="18"/>
                <w:szCs w:val="18"/>
                <w:lang w:val="cs-CZ"/>
              </w:rPr>
            </w:pPr>
            <w:r>
              <w:rPr>
                <w:rFonts w:ascii="Arial Narrow" w:hAnsi="Arial Narrow" w:cs="Arial"/>
                <w:sz w:val="18"/>
                <w:szCs w:val="18"/>
              </w:rPr>
              <w:t>898 257</w:t>
            </w:r>
          </w:p>
        </w:tc>
        <w:tc>
          <w:tcPr>
            <w:tcW w:w="960" w:type="dxa"/>
            <w:tcBorders>
              <w:top w:val="nil"/>
              <w:left w:val="nil"/>
              <w:bottom w:val="single" w:sz="8" w:space="0" w:color="auto"/>
              <w:right w:val="single" w:sz="8" w:space="0" w:color="auto"/>
              <w:tl2br w:val="nil"/>
              <w:tr2bl w:val="nil"/>
            </w:tcBorders>
            <w:noWrap/>
            <w:textDirection w:val="lrTb"/>
            <w:vAlign w:val="center"/>
          </w:tcPr>
          <w:p w:rsidR="0011736A" w:rsidRPr="0086352B" w:rsidP="0011736A">
            <w:pPr>
              <w:spacing w:line="240" w:lineRule="auto"/>
              <w:jc w:val="right"/>
              <w:rPr>
                <w:rFonts w:ascii="Arial Narrow" w:hAnsi="Arial Narrow" w:cs="Arial"/>
                <w:sz w:val="18"/>
                <w:szCs w:val="18"/>
                <w:lang w:val="cs-CZ"/>
              </w:rPr>
            </w:pPr>
            <w:r>
              <w:rPr>
                <w:rFonts w:ascii="Arial Narrow" w:hAnsi="Arial Narrow" w:cs="Arial"/>
                <w:sz w:val="18"/>
                <w:szCs w:val="18"/>
                <w:lang w:val="cs-CZ"/>
              </w:rPr>
              <w:t>1 297 543</w:t>
            </w:r>
          </w:p>
        </w:tc>
        <w:tc>
          <w:tcPr>
            <w:tcW w:w="960" w:type="dxa"/>
            <w:tcBorders>
              <w:top w:val="nil"/>
              <w:left w:val="nil"/>
              <w:bottom w:val="single" w:sz="8" w:space="0" w:color="auto"/>
              <w:right w:val="single" w:sz="8" w:space="0" w:color="auto"/>
              <w:tl2br w:val="nil"/>
              <w:tr2bl w:val="nil"/>
            </w:tcBorders>
            <w:noWrap/>
            <w:textDirection w:val="lrTb"/>
            <w:vAlign w:val="center"/>
          </w:tcPr>
          <w:p w:rsidR="0011736A" w:rsidRPr="0086352B" w:rsidP="0011736A">
            <w:pPr>
              <w:spacing w:line="240" w:lineRule="auto"/>
              <w:jc w:val="right"/>
              <w:rPr>
                <w:rFonts w:ascii="Arial Narrow" w:hAnsi="Arial Narrow" w:cs="Arial"/>
                <w:sz w:val="18"/>
                <w:szCs w:val="18"/>
                <w:lang w:val="cs-CZ"/>
              </w:rPr>
            </w:pPr>
            <w:r>
              <w:rPr>
                <w:rFonts w:ascii="Arial Narrow" w:hAnsi="Arial Narrow" w:cs="Arial"/>
                <w:sz w:val="18"/>
                <w:szCs w:val="18"/>
                <w:lang w:val="cs-CZ"/>
              </w:rPr>
              <w:t>1 297 543</w:t>
            </w:r>
          </w:p>
        </w:tc>
        <w:tc>
          <w:tcPr>
            <w:tcW w:w="840" w:type="dxa"/>
            <w:tcBorders>
              <w:top w:val="nil"/>
              <w:left w:val="nil"/>
              <w:bottom w:val="single" w:sz="8" w:space="0" w:color="auto"/>
              <w:right w:val="single" w:sz="12" w:space="0" w:color="auto"/>
              <w:tl2br w:val="nil"/>
              <w:tr2bl w:val="nil"/>
            </w:tcBorders>
            <w:noWrap/>
            <w:textDirection w:val="lrTb"/>
            <w:vAlign w:val="center"/>
          </w:tcPr>
          <w:p w:rsidR="0011736A" w:rsidRPr="0086352B" w:rsidP="0011736A">
            <w:pPr>
              <w:spacing w:line="240" w:lineRule="auto"/>
              <w:jc w:val="right"/>
              <w:rPr>
                <w:rFonts w:ascii="Arial Narrow" w:hAnsi="Arial Narrow" w:cs="Arial"/>
                <w:sz w:val="18"/>
                <w:szCs w:val="18"/>
                <w:lang w:val="cs-CZ"/>
              </w:rPr>
            </w:pPr>
            <w:r>
              <w:rPr>
                <w:rFonts w:ascii="Arial Narrow" w:hAnsi="Arial Narrow" w:cs="Arial"/>
                <w:sz w:val="18"/>
                <w:szCs w:val="18"/>
                <w:lang w:val="cs-CZ"/>
              </w:rPr>
              <w:t>829 654</w:t>
            </w:r>
          </w:p>
        </w:tc>
      </w:tr>
      <w:tr>
        <w:tblPrEx>
          <w:tblW w:w="9295" w:type="dxa"/>
          <w:tblInd w:w="55" w:type="dxa"/>
          <w:tblCellMar>
            <w:left w:w="70" w:type="dxa"/>
            <w:right w:w="70" w:type="dxa"/>
          </w:tblCellMar>
        </w:tblPrEx>
        <w:trPr>
          <w:trHeight w:val="227"/>
        </w:trPr>
        <w:tc>
          <w:tcPr>
            <w:tcW w:w="772" w:type="dxa"/>
            <w:tcBorders>
              <w:top w:val="nil"/>
              <w:left w:val="single" w:sz="12" w:space="0" w:color="auto"/>
              <w:bottom w:val="single" w:sz="8" w:space="0" w:color="auto"/>
              <w:right w:val="single" w:sz="8" w:space="0" w:color="auto"/>
              <w:tl2br w:val="nil"/>
              <w:tr2bl w:val="nil"/>
            </w:tcBorders>
            <w:noWrap/>
            <w:textDirection w:val="lrTb"/>
            <w:vAlign w:val="center"/>
          </w:tcPr>
          <w:p w:rsidR="0011736A" w:rsidRPr="0086352B" w:rsidP="0011736A">
            <w:pPr>
              <w:spacing w:line="240" w:lineRule="auto"/>
              <w:rPr>
                <w:rFonts w:ascii="Arial Narrow" w:hAnsi="Arial Narrow" w:cs="Arial"/>
                <w:b/>
                <w:bCs/>
                <w:sz w:val="18"/>
                <w:szCs w:val="18"/>
                <w:lang w:val="cs-CZ"/>
              </w:rPr>
            </w:pPr>
            <w:r w:rsidRPr="0086352B">
              <w:rPr>
                <w:rFonts w:ascii="Arial Narrow" w:hAnsi="Arial Narrow" w:cs="Arial"/>
                <w:b/>
                <w:bCs/>
                <w:sz w:val="18"/>
                <w:szCs w:val="18"/>
              </w:rPr>
              <w:t>07T</w:t>
            </w:r>
          </w:p>
        </w:tc>
        <w:tc>
          <w:tcPr>
            <w:tcW w:w="4823" w:type="dxa"/>
            <w:tcBorders>
              <w:top w:val="nil"/>
              <w:left w:val="nil"/>
              <w:bottom w:val="single" w:sz="8" w:space="0" w:color="auto"/>
              <w:right w:val="single" w:sz="8" w:space="0" w:color="auto"/>
              <w:tl2br w:val="nil"/>
              <w:tr2bl w:val="nil"/>
            </w:tcBorders>
            <w:textDirection w:val="lrTb"/>
            <w:vAlign w:val="center"/>
          </w:tcPr>
          <w:p w:rsidR="0011736A" w:rsidRPr="0086352B" w:rsidP="0011736A">
            <w:pPr>
              <w:spacing w:line="240" w:lineRule="auto"/>
              <w:rPr>
                <w:rFonts w:ascii="Arial Narrow" w:hAnsi="Arial Narrow" w:cs="Arial"/>
                <w:b/>
                <w:bCs/>
                <w:sz w:val="18"/>
                <w:szCs w:val="18"/>
                <w:lang w:val="cs-CZ"/>
              </w:rPr>
            </w:pPr>
            <w:r>
              <w:rPr>
                <w:rFonts w:ascii="Arial Narrow" w:hAnsi="Arial Narrow" w:cs="Arial"/>
                <w:b/>
                <w:bCs/>
                <w:sz w:val="18"/>
                <w:szCs w:val="18"/>
              </w:rPr>
              <w:t xml:space="preserve">Tvorba a implementácia politík </w:t>
            </w:r>
          </w:p>
        </w:tc>
        <w:tc>
          <w:tcPr>
            <w:tcW w:w="940" w:type="dxa"/>
            <w:tcBorders>
              <w:top w:val="nil"/>
              <w:left w:val="nil"/>
              <w:bottom w:val="single" w:sz="8" w:space="0" w:color="auto"/>
              <w:right w:val="single" w:sz="8" w:space="0" w:color="auto"/>
              <w:tl2br w:val="nil"/>
              <w:tr2bl w:val="nil"/>
            </w:tcBorders>
            <w:noWrap/>
            <w:textDirection w:val="lrTb"/>
            <w:vAlign w:val="center"/>
          </w:tcPr>
          <w:p w:rsidR="0011736A" w:rsidRPr="0086352B" w:rsidP="0011736A">
            <w:pPr>
              <w:spacing w:line="240" w:lineRule="auto"/>
              <w:jc w:val="right"/>
              <w:rPr>
                <w:rFonts w:ascii="Arial Narrow" w:hAnsi="Arial Narrow" w:cs="Arial"/>
                <w:b/>
                <w:bCs/>
                <w:sz w:val="18"/>
                <w:szCs w:val="18"/>
                <w:lang w:val="cs-CZ"/>
              </w:rPr>
            </w:pPr>
            <w:r>
              <w:rPr>
                <w:rFonts w:ascii="Arial Narrow" w:hAnsi="Arial Narrow" w:cs="Arial"/>
                <w:b/>
                <w:bCs/>
                <w:sz w:val="18"/>
                <w:szCs w:val="18"/>
              </w:rPr>
              <w:t>1 987 097</w:t>
            </w:r>
          </w:p>
        </w:tc>
        <w:tc>
          <w:tcPr>
            <w:tcW w:w="960" w:type="dxa"/>
            <w:tcBorders>
              <w:top w:val="nil"/>
              <w:left w:val="nil"/>
              <w:bottom w:val="single" w:sz="8" w:space="0" w:color="auto"/>
              <w:right w:val="single" w:sz="8" w:space="0" w:color="auto"/>
              <w:tl2br w:val="nil"/>
              <w:tr2bl w:val="nil"/>
            </w:tcBorders>
            <w:noWrap/>
            <w:textDirection w:val="lrTb"/>
            <w:vAlign w:val="center"/>
          </w:tcPr>
          <w:p w:rsidR="0011736A" w:rsidRPr="0086352B" w:rsidP="0011736A">
            <w:pPr>
              <w:spacing w:line="240" w:lineRule="auto"/>
              <w:jc w:val="right"/>
              <w:rPr>
                <w:rFonts w:ascii="Arial Narrow" w:hAnsi="Arial Narrow" w:cs="Arial"/>
                <w:b/>
                <w:bCs/>
                <w:sz w:val="18"/>
                <w:szCs w:val="18"/>
                <w:lang w:val="cs-CZ"/>
              </w:rPr>
            </w:pPr>
            <w:r>
              <w:rPr>
                <w:rFonts w:ascii="Arial Narrow" w:hAnsi="Arial Narrow" w:cs="Arial"/>
                <w:b/>
                <w:bCs/>
                <w:sz w:val="18"/>
                <w:szCs w:val="18"/>
                <w:lang w:val="cs-CZ"/>
              </w:rPr>
              <w:t>1 864 293</w:t>
            </w:r>
          </w:p>
        </w:tc>
        <w:tc>
          <w:tcPr>
            <w:tcW w:w="960" w:type="dxa"/>
            <w:tcBorders>
              <w:top w:val="nil"/>
              <w:left w:val="nil"/>
              <w:bottom w:val="single" w:sz="8" w:space="0" w:color="auto"/>
              <w:right w:val="single" w:sz="8" w:space="0" w:color="auto"/>
              <w:tl2br w:val="nil"/>
              <w:tr2bl w:val="nil"/>
            </w:tcBorders>
            <w:noWrap/>
            <w:textDirection w:val="lrTb"/>
            <w:vAlign w:val="center"/>
          </w:tcPr>
          <w:p w:rsidR="0011736A" w:rsidRPr="0086352B" w:rsidP="0011736A">
            <w:pPr>
              <w:spacing w:line="240" w:lineRule="auto"/>
              <w:jc w:val="right"/>
              <w:rPr>
                <w:rFonts w:ascii="Arial Narrow" w:hAnsi="Arial Narrow" w:cs="Arial"/>
                <w:b/>
                <w:bCs/>
                <w:sz w:val="18"/>
                <w:szCs w:val="18"/>
                <w:lang w:val="cs-CZ"/>
              </w:rPr>
            </w:pPr>
            <w:r>
              <w:rPr>
                <w:rFonts w:ascii="Arial Narrow" w:hAnsi="Arial Narrow" w:cs="Arial"/>
                <w:b/>
                <w:bCs/>
                <w:sz w:val="18"/>
                <w:szCs w:val="18"/>
                <w:lang w:val="cs-CZ"/>
              </w:rPr>
              <w:t>1 863 419</w:t>
            </w:r>
          </w:p>
        </w:tc>
        <w:tc>
          <w:tcPr>
            <w:tcW w:w="840" w:type="dxa"/>
            <w:tcBorders>
              <w:top w:val="nil"/>
              <w:left w:val="nil"/>
              <w:bottom w:val="single" w:sz="8" w:space="0" w:color="auto"/>
              <w:right w:val="single" w:sz="12" w:space="0" w:color="auto"/>
              <w:tl2br w:val="nil"/>
              <w:tr2bl w:val="nil"/>
            </w:tcBorders>
            <w:noWrap/>
            <w:textDirection w:val="lrTb"/>
            <w:vAlign w:val="center"/>
          </w:tcPr>
          <w:p w:rsidR="0011736A" w:rsidRPr="0086352B" w:rsidP="0011736A">
            <w:pPr>
              <w:spacing w:line="240" w:lineRule="auto"/>
              <w:jc w:val="right"/>
              <w:rPr>
                <w:rFonts w:ascii="Arial Narrow" w:hAnsi="Arial Narrow" w:cs="Arial"/>
                <w:b/>
                <w:bCs/>
                <w:sz w:val="18"/>
                <w:szCs w:val="18"/>
                <w:lang w:val="cs-CZ"/>
              </w:rPr>
            </w:pPr>
            <w:r>
              <w:rPr>
                <w:rFonts w:ascii="Arial Narrow" w:hAnsi="Arial Narrow" w:cs="Arial"/>
                <w:b/>
                <w:bCs/>
                <w:sz w:val="18"/>
                <w:szCs w:val="18"/>
                <w:lang w:val="cs-CZ"/>
              </w:rPr>
              <w:t>41 8</w:t>
            </w:r>
            <w:r w:rsidR="00713046">
              <w:rPr>
                <w:rFonts w:ascii="Arial Narrow" w:hAnsi="Arial Narrow" w:cs="Arial"/>
                <w:b/>
                <w:bCs/>
                <w:sz w:val="18"/>
                <w:szCs w:val="18"/>
                <w:lang w:val="cs-CZ"/>
              </w:rPr>
              <w:t>1</w:t>
            </w:r>
            <w:r w:rsidR="004D0464">
              <w:rPr>
                <w:rFonts w:ascii="Arial Narrow" w:hAnsi="Arial Narrow" w:cs="Arial"/>
                <w:b/>
                <w:bCs/>
                <w:sz w:val="18"/>
                <w:szCs w:val="18"/>
                <w:lang w:val="cs-CZ"/>
              </w:rPr>
              <w:t>8</w:t>
            </w:r>
          </w:p>
        </w:tc>
      </w:tr>
      <w:tr>
        <w:tblPrEx>
          <w:tblW w:w="9295" w:type="dxa"/>
          <w:tblInd w:w="55" w:type="dxa"/>
          <w:tblCellMar>
            <w:left w:w="70" w:type="dxa"/>
            <w:right w:w="70" w:type="dxa"/>
          </w:tblCellMar>
        </w:tblPrEx>
        <w:trPr>
          <w:trHeight w:val="227"/>
        </w:trPr>
        <w:tc>
          <w:tcPr>
            <w:tcW w:w="772" w:type="dxa"/>
            <w:tcBorders>
              <w:top w:val="nil"/>
              <w:left w:val="single" w:sz="12" w:space="0" w:color="auto"/>
              <w:bottom w:val="single" w:sz="8" w:space="0" w:color="auto"/>
              <w:right w:val="single" w:sz="8" w:space="0" w:color="auto"/>
              <w:tl2br w:val="nil"/>
              <w:tr2bl w:val="nil"/>
            </w:tcBorders>
            <w:noWrap/>
            <w:textDirection w:val="lrTb"/>
            <w:vAlign w:val="center"/>
          </w:tcPr>
          <w:p w:rsidR="0011736A" w:rsidRPr="0086352B" w:rsidP="0011736A">
            <w:pPr>
              <w:spacing w:line="240" w:lineRule="auto"/>
              <w:rPr>
                <w:rFonts w:ascii="Arial Narrow" w:hAnsi="Arial Narrow" w:cs="Arial"/>
                <w:b/>
                <w:bCs/>
                <w:sz w:val="18"/>
                <w:szCs w:val="18"/>
                <w:lang w:val="cs-CZ"/>
              </w:rPr>
            </w:pPr>
            <w:r w:rsidRPr="0086352B">
              <w:rPr>
                <w:rFonts w:ascii="Arial Narrow" w:hAnsi="Arial Narrow" w:cs="Arial"/>
                <w:b/>
                <w:bCs/>
                <w:iCs/>
                <w:sz w:val="18"/>
                <w:szCs w:val="18"/>
              </w:rPr>
              <w:t>07T01</w:t>
            </w:r>
          </w:p>
        </w:tc>
        <w:tc>
          <w:tcPr>
            <w:tcW w:w="4823" w:type="dxa"/>
            <w:tcBorders>
              <w:top w:val="nil"/>
              <w:left w:val="nil"/>
              <w:bottom w:val="single" w:sz="8" w:space="0" w:color="auto"/>
              <w:right w:val="single" w:sz="8" w:space="0" w:color="auto"/>
              <w:tl2br w:val="nil"/>
              <w:tr2bl w:val="nil"/>
            </w:tcBorders>
            <w:textDirection w:val="lrTb"/>
            <w:vAlign w:val="center"/>
          </w:tcPr>
          <w:p w:rsidR="0011736A" w:rsidRPr="0086352B" w:rsidP="0011736A">
            <w:pPr>
              <w:spacing w:line="240" w:lineRule="auto"/>
              <w:rPr>
                <w:rFonts w:ascii="Arial Narrow" w:hAnsi="Arial Narrow" w:cs="Arial"/>
                <w:b/>
                <w:bCs/>
                <w:sz w:val="18"/>
                <w:szCs w:val="18"/>
                <w:lang w:val="cs-CZ"/>
              </w:rPr>
            </w:pPr>
            <w:r w:rsidRPr="0086352B">
              <w:rPr>
                <w:rFonts w:ascii="Arial Narrow" w:hAnsi="Arial Narrow" w:cs="Arial"/>
                <w:b/>
                <w:bCs/>
                <w:iCs/>
                <w:sz w:val="18"/>
                <w:szCs w:val="18"/>
              </w:rPr>
              <w:t>Riadenie a podpora programov</w:t>
            </w:r>
          </w:p>
        </w:tc>
        <w:tc>
          <w:tcPr>
            <w:tcW w:w="940" w:type="dxa"/>
            <w:tcBorders>
              <w:top w:val="nil"/>
              <w:left w:val="nil"/>
              <w:bottom w:val="single" w:sz="8" w:space="0" w:color="auto"/>
              <w:right w:val="single" w:sz="8" w:space="0" w:color="auto"/>
              <w:tl2br w:val="nil"/>
              <w:tr2bl w:val="nil"/>
            </w:tcBorders>
            <w:noWrap/>
            <w:textDirection w:val="lrTb"/>
            <w:vAlign w:val="center"/>
          </w:tcPr>
          <w:p w:rsidR="0011736A" w:rsidRPr="0086352B" w:rsidP="0011736A">
            <w:pPr>
              <w:spacing w:line="240" w:lineRule="auto"/>
              <w:jc w:val="right"/>
              <w:rPr>
                <w:rFonts w:ascii="Arial Narrow" w:hAnsi="Arial Narrow" w:cs="Arial"/>
                <w:b/>
                <w:bCs/>
                <w:sz w:val="18"/>
                <w:szCs w:val="18"/>
                <w:lang w:val="cs-CZ"/>
              </w:rPr>
            </w:pPr>
            <w:r>
              <w:rPr>
                <w:rFonts w:ascii="Arial Narrow" w:hAnsi="Arial Narrow" w:cs="Arial"/>
                <w:b/>
                <w:bCs/>
                <w:iCs/>
                <w:sz w:val="18"/>
                <w:szCs w:val="18"/>
              </w:rPr>
              <w:t>818 695</w:t>
            </w:r>
          </w:p>
        </w:tc>
        <w:tc>
          <w:tcPr>
            <w:tcW w:w="960" w:type="dxa"/>
            <w:tcBorders>
              <w:top w:val="nil"/>
              <w:left w:val="nil"/>
              <w:bottom w:val="single" w:sz="8" w:space="0" w:color="auto"/>
              <w:right w:val="single" w:sz="8" w:space="0" w:color="auto"/>
              <w:tl2br w:val="nil"/>
              <w:tr2bl w:val="nil"/>
            </w:tcBorders>
            <w:noWrap/>
            <w:textDirection w:val="lrTb"/>
            <w:vAlign w:val="center"/>
          </w:tcPr>
          <w:p w:rsidR="0011736A" w:rsidRPr="0086352B" w:rsidP="0011736A">
            <w:pPr>
              <w:spacing w:line="240" w:lineRule="auto"/>
              <w:jc w:val="right"/>
              <w:rPr>
                <w:rFonts w:ascii="Arial Narrow" w:hAnsi="Arial Narrow" w:cs="Arial"/>
                <w:b/>
                <w:bCs/>
                <w:sz w:val="18"/>
                <w:szCs w:val="18"/>
                <w:lang w:val="cs-CZ"/>
              </w:rPr>
            </w:pPr>
            <w:r>
              <w:rPr>
                <w:rFonts w:ascii="Arial Narrow" w:hAnsi="Arial Narrow" w:cs="Arial"/>
                <w:b/>
                <w:bCs/>
                <w:sz w:val="18"/>
                <w:szCs w:val="18"/>
                <w:lang w:val="cs-CZ"/>
              </w:rPr>
              <w:t>654 128</w:t>
            </w:r>
          </w:p>
        </w:tc>
        <w:tc>
          <w:tcPr>
            <w:tcW w:w="960" w:type="dxa"/>
            <w:tcBorders>
              <w:top w:val="nil"/>
              <w:left w:val="nil"/>
              <w:bottom w:val="single" w:sz="8" w:space="0" w:color="auto"/>
              <w:right w:val="single" w:sz="8" w:space="0" w:color="auto"/>
              <w:tl2br w:val="nil"/>
              <w:tr2bl w:val="nil"/>
            </w:tcBorders>
            <w:noWrap/>
            <w:textDirection w:val="lrTb"/>
            <w:vAlign w:val="center"/>
          </w:tcPr>
          <w:p w:rsidR="0011736A" w:rsidRPr="0086352B" w:rsidP="0011736A">
            <w:pPr>
              <w:spacing w:line="240" w:lineRule="auto"/>
              <w:jc w:val="right"/>
              <w:rPr>
                <w:rFonts w:ascii="Arial Narrow" w:hAnsi="Arial Narrow" w:cs="Arial"/>
                <w:b/>
                <w:bCs/>
                <w:sz w:val="18"/>
                <w:szCs w:val="18"/>
                <w:lang w:val="cs-CZ"/>
              </w:rPr>
            </w:pPr>
            <w:r>
              <w:rPr>
                <w:rFonts w:ascii="Arial Narrow" w:hAnsi="Arial Narrow" w:cs="Arial"/>
                <w:b/>
                <w:bCs/>
                <w:sz w:val="18"/>
                <w:szCs w:val="18"/>
                <w:lang w:val="cs-CZ"/>
              </w:rPr>
              <w:t>655 812</w:t>
            </w:r>
          </w:p>
        </w:tc>
        <w:tc>
          <w:tcPr>
            <w:tcW w:w="840" w:type="dxa"/>
            <w:tcBorders>
              <w:top w:val="nil"/>
              <w:left w:val="nil"/>
              <w:bottom w:val="single" w:sz="8" w:space="0" w:color="auto"/>
              <w:right w:val="single" w:sz="12" w:space="0" w:color="auto"/>
              <w:tl2br w:val="nil"/>
              <w:tr2bl w:val="nil"/>
            </w:tcBorders>
            <w:noWrap/>
            <w:textDirection w:val="lrTb"/>
            <w:vAlign w:val="center"/>
          </w:tcPr>
          <w:p w:rsidR="0011736A" w:rsidRPr="0086352B" w:rsidP="0011736A">
            <w:pPr>
              <w:spacing w:line="240" w:lineRule="auto"/>
              <w:jc w:val="right"/>
              <w:rPr>
                <w:rFonts w:ascii="Arial Narrow" w:hAnsi="Arial Narrow" w:cs="Arial"/>
                <w:b/>
                <w:bCs/>
                <w:sz w:val="18"/>
                <w:szCs w:val="18"/>
                <w:lang w:val="cs-CZ"/>
              </w:rPr>
            </w:pPr>
            <w:r w:rsidR="004D0464">
              <w:rPr>
                <w:rFonts w:ascii="Arial Narrow" w:hAnsi="Arial Narrow" w:cs="Arial"/>
                <w:b/>
                <w:bCs/>
                <w:sz w:val="18"/>
                <w:szCs w:val="18"/>
                <w:lang w:val="cs-CZ"/>
              </w:rPr>
              <w:t>41 32</w:t>
            </w:r>
            <w:r>
              <w:rPr>
                <w:rFonts w:ascii="Arial Narrow" w:hAnsi="Arial Narrow" w:cs="Arial"/>
                <w:b/>
                <w:bCs/>
                <w:sz w:val="18"/>
                <w:szCs w:val="18"/>
                <w:lang w:val="cs-CZ"/>
              </w:rPr>
              <w:t>7</w:t>
            </w:r>
          </w:p>
        </w:tc>
      </w:tr>
      <w:tr>
        <w:tblPrEx>
          <w:tblW w:w="9295" w:type="dxa"/>
          <w:tblInd w:w="55" w:type="dxa"/>
          <w:tblCellMar>
            <w:left w:w="70" w:type="dxa"/>
            <w:right w:w="70" w:type="dxa"/>
          </w:tblCellMar>
        </w:tblPrEx>
        <w:trPr>
          <w:trHeight w:val="227"/>
        </w:trPr>
        <w:tc>
          <w:tcPr>
            <w:tcW w:w="772" w:type="dxa"/>
            <w:tcBorders>
              <w:top w:val="nil"/>
              <w:left w:val="single" w:sz="12" w:space="0" w:color="auto"/>
              <w:bottom w:val="single" w:sz="8" w:space="0" w:color="auto"/>
              <w:right w:val="single" w:sz="8" w:space="0" w:color="auto"/>
              <w:tl2br w:val="nil"/>
              <w:tr2bl w:val="nil"/>
            </w:tcBorders>
            <w:noWrap/>
            <w:textDirection w:val="lrTb"/>
            <w:vAlign w:val="center"/>
          </w:tcPr>
          <w:p w:rsidR="0011736A" w:rsidRPr="0086352B" w:rsidP="0011736A">
            <w:pPr>
              <w:spacing w:line="240" w:lineRule="auto"/>
              <w:rPr>
                <w:rFonts w:ascii="Arial Narrow" w:hAnsi="Arial Narrow" w:cs="Arial"/>
                <w:sz w:val="18"/>
                <w:szCs w:val="18"/>
                <w:lang w:val="cs-CZ"/>
              </w:rPr>
            </w:pPr>
            <w:r w:rsidRPr="0086352B">
              <w:rPr>
                <w:rFonts w:ascii="Arial Narrow" w:hAnsi="Arial Narrow" w:cs="Arial"/>
                <w:sz w:val="18"/>
                <w:szCs w:val="18"/>
              </w:rPr>
              <w:t>07T0101</w:t>
            </w:r>
          </w:p>
        </w:tc>
        <w:tc>
          <w:tcPr>
            <w:tcW w:w="4823" w:type="dxa"/>
            <w:tcBorders>
              <w:top w:val="nil"/>
              <w:left w:val="nil"/>
              <w:bottom w:val="single" w:sz="8" w:space="0" w:color="auto"/>
              <w:right w:val="single" w:sz="8" w:space="0" w:color="auto"/>
              <w:tl2br w:val="nil"/>
              <w:tr2bl w:val="nil"/>
            </w:tcBorders>
            <w:textDirection w:val="lrTb"/>
            <w:vAlign w:val="center"/>
          </w:tcPr>
          <w:p w:rsidR="0011736A" w:rsidRPr="0086352B" w:rsidP="0011736A">
            <w:pPr>
              <w:spacing w:line="240" w:lineRule="auto"/>
              <w:rPr>
                <w:rFonts w:ascii="Arial Narrow" w:hAnsi="Arial Narrow" w:cs="Arial"/>
                <w:sz w:val="18"/>
                <w:szCs w:val="18"/>
                <w:lang w:val="cs-CZ"/>
              </w:rPr>
            </w:pPr>
            <w:r w:rsidRPr="0086352B">
              <w:rPr>
                <w:rFonts w:ascii="Arial Narrow" w:hAnsi="Arial Narrow" w:cs="Arial"/>
                <w:sz w:val="18"/>
                <w:szCs w:val="18"/>
              </w:rPr>
              <w:t>Ústredný orgán</w:t>
            </w:r>
            <w:r>
              <w:rPr>
                <w:rFonts w:ascii="Arial Narrow" w:hAnsi="Arial Narrow" w:cs="Arial"/>
                <w:sz w:val="18"/>
                <w:szCs w:val="18"/>
              </w:rPr>
              <w:t xml:space="preserve"> </w:t>
            </w:r>
            <w:r w:rsidRPr="0086352B">
              <w:rPr>
                <w:rFonts w:ascii="Arial Narrow" w:hAnsi="Arial Narrow" w:cs="Arial"/>
                <w:sz w:val="18"/>
                <w:szCs w:val="18"/>
              </w:rPr>
              <w:t>-</w:t>
            </w:r>
            <w:r>
              <w:rPr>
                <w:rFonts w:ascii="Arial Narrow" w:hAnsi="Arial Narrow" w:cs="Arial"/>
                <w:sz w:val="18"/>
                <w:szCs w:val="18"/>
              </w:rPr>
              <w:t xml:space="preserve"> </w:t>
            </w:r>
            <w:r w:rsidRPr="0086352B">
              <w:rPr>
                <w:rFonts w:ascii="Arial Narrow" w:hAnsi="Arial Narrow" w:cs="Arial"/>
                <w:sz w:val="18"/>
                <w:szCs w:val="18"/>
              </w:rPr>
              <w:t>MDPT SR</w:t>
            </w:r>
          </w:p>
        </w:tc>
        <w:tc>
          <w:tcPr>
            <w:tcW w:w="940" w:type="dxa"/>
            <w:tcBorders>
              <w:top w:val="nil"/>
              <w:left w:val="nil"/>
              <w:bottom w:val="single" w:sz="8" w:space="0" w:color="auto"/>
              <w:right w:val="single" w:sz="8" w:space="0" w:color="auto"/>
              <w:tl2br w:val="nil"/>
              <w:tr2bl w:val="nil"/>
            </w:tcBorders>
            <w:noWrap/>
            <w:textDirection w:val="lrTb"/>
            <w:vAlign w:val="center"/>
          </w:tcPr>
          <w:p w:rsidR="0011736A" w:rsidRPr="0086352B" w:rsidP="0011736A">
            <w:pPr>
              <w:spacing w:line="240" w:lineRule="auto"/>
              <w:jc w:val="right"/>
              <w:rPr>
                <w:rFonts w:ascii="Arial Narrow" w:hAnsi="Arial Narrow" w:cs="Arial"/>
                <w:sz w:val="18"/>
                <w:szCs w:val="18"/>
                <w:lang w:val="cs-CZ"/>
              </w:rPr>
            </w:pPr>
            <w:r>
              <w:rPr>
                <w:rFonts w:ascii="Arial Narrow" w:hAnsi="Arial Narrow" w:cs="Arial"/>
                <w:sz w:val="18"/>
                <w:szCs w:val="18"/>
              </w:rPr>
              <w:t>446 336</w:t>
            </w:r>
          </w:p>
        </w:tc>
        <w:tc>
          <w:tcPr>
            <w:tcW w:w="960" w:type="dxa"/>
            <w:tcBorders>
              <w:top w:val="nil"/>
              <w:left w:val="nil"/>
              <w:bottom w:val="single" w:sz="8" w:space="0" w:color="auto"/>
              <w:right w:val="single" w:sz="8" w:space="0" w:color="auto"/>
              <w:tl2br w:val="nil"/>
              <w:tr2bl w:val="nil"/>
            </w:tcBorders>
            <w:noWrap/>
            <w:textDirection w:val="lrTb"/>
            <w:vAlign w:val="center"/>
          </w:tcPr>
          <w:p w:rsidR="0011736A" w:rsidRPr="0086352B" w:rsidP="0011736A">
            <w:pPr>
              <w:spacing w:line="240" w:lineRule="auto"/>
              <w:jc w:val="right"/>
              <w:rPr>
                <w:rFonts w:ascii="Arial Narrow" w:hAnsi="Arial Narrow" w:cs="Arial"/>
                <w:sz w:val="18"/>
                <w:szCs w:val="18"/>
                <w:lang w:val="cs-CZ"/>
              </w:rPr>
            </w:pPr>
            <w:r>
              <w:rPr>
                <w:rFonts w:ascii="Arial Narrow" w:hAnsi="Arial Narrow" w:cs="Arial"/>
                <w:sz w:val="18"/>
                <w:szCs w:val="18"/>
                <w:lang w:val="cs-CZ"/>
              </w:rPr>
              <w:t>386 717</w:t>
            </w:r>
          </w:p>
        </w:tc>
        <w:tc>
          <w:tcPr>
            <w:tcW w:w="960" w:type="dxa"/>
            <w:tcBorders>
              <w:top w:val="nil"/>
              <w:left w:val="nil"/>
              <w:bottom w:val="single" w:sz="8" w:space="0" w:color="auto"/>
              <w:right w:val="single" w:sz="8" w:space="0" w:color="auto"/>
              <w:tl2br w:val="nil"/>
              <w:tr2bl w:val="nil"/>
            </w:tcBorders>
            <w:noWrap/>
            <w:textDirection w:val="lrTb"/>
            <w:vAlign w:val="center"/>
          </w:tcPr>
          <w:p w:rsidR="0011736A" w:rsidRPr="0086352B" w:rsidP="0011736A">
            <w:pPr>
              <w:spacing w:line="240" w:lineRule="auto"/>
              <w:jc w:val="right"/>
              <w:rPr>
                <w:rFonts w:ascii="Arial Narrow" w:hAnsi="Arial Narrow" w:cs="Arial"/>
                <w:sz w:val="18"/>
                <w:szCs w:val="18"/>
                <w:lang w:val="cs-CZ"/>
              </w:rPr>
            </w:pPr>
            <w:r>
              <w:rPr>
                <w:rFonts w:ascii="Arial Narrow" w:hAnsi="Arial Narrow" w:cs="Arial"/>
                <w:sz w:val="18"/>
                <w:szCs w:val="18"/>
                <w:lang w:val="cs-CZ"/>
              </w:rPr>
              <w:t>388 401</w:t>
            </w:r>
          </w:p>
        </w:tc>
        <w:tc>
          <w:tcPr>
            <w:tcW w:w="840" w:type="dxa"/>
            <w:tcBorders>
              <w:top w:val="nil"/>
              <w:left w:val="nil"/>
              <w:bottom w:val="single" w:sz="8" w:space="0" w:color="auto"/>
              <w:right w:val="single" w:sz="12" w:space="0" w:color="auto"/>
              <w:tl2br w:val="nil"/>
              <w:tr2bl w:val="nil"/>
            </w:tcBorders>
            <w:noWrap/>
            <w:textDirection w:val="lrTb"/>
            <w:vAlign w:val="center"/>
          </w:tcPr>
          <w:p w:rsidR="0011736A" w:rsidRPr="0086352B" w:rsidP="0011736A">
            <w:pPr>
              <w:spacing w:line="240" w:lineRule="auto"/>
              <w:jc w:val="right"/>
              <w:rPr>
                <w:rFonts w:ascii="Arial Narrow" w:hAnsi="Arial Narrow" w:cs="Arial"/>
                <w:sz w:val="18"/>
                <w:szCs w:val="18"/>
                <w:lang w:val="cs-CZ"/>
              </w:rPr>
            </w:pPr>
            <w:r>
              <w:rPr>
                <w:rFonts w:ascii="Arial Narrow" w:hAnsi="Arial Narrow" w:cs="Arial"/>
                <w:sz w:val="18"/>
                <w:szCs w:val="18"/>
                <w:lang w:val="cs-CZ"/>
              </w:rPr>
              <w:t>7 400</w:t>
            </w:r>
          </w:p>
        </w:tc>
      </w:tr>
      <w:tr>
        <w:tblPrEx>
          <w:tblW w:w="9295" w:type="dxa"/>
          <w:tblInd w:w="55" w:type="dxa"/>
          <w:tblCellMar>
            <w:left w:w="70" w:type="dxa"/>
            <w:right w:w="70" w:type="dxa"/>
          </w:tblCellMar>
        </w:tblPrEx>
        <w:trPr>
          <w:trHeight w:val="227"/>
        </w:trPr>
        <w:tc>
          <w:tcPr>
            <w:tcW w:w="772" w:type="dxa"/>
            <w:tcBorders>
              <w:top w:val="nil"/>
              <w:left w:val="single" w:sz="12" w:space="0" w:color="auto"/>
              <w:bottom w:val="single" w:sz="8" w:space="0" w:color="auto"/>
              <w:right w:val="single" w:sz="8" w:space="0" w:color="auto"/>
              <w:tl2br w:val="nil"/>
              <w:tr2bl w:val="nil"/>
            </w:tcBorders>
            <w:noWrap/>
            <w:textDirection w:val="lrTb"/>
            <w:vAlign w:val="center"/>
          </w:tcPr>
          <w:p w:rsidR="0011736A" w:rsidRPr="0086352B" w:rsidP="0011736A">
            <w:pPr>
              <w:spacing w:line="240" w:lineRule="auto"/>
              <w:rPr>
                <w:rFonts w:ascii="Arial Narrow" w:hAnsi="Arial Narrow" w:cs="Arial"/>
                <w:sz w:val="18"/>
                <w:szCs w:val="18"/>
                <w:lang w:val="cs-CZ"/>
              </w:rPr>
            </w:pPr>
            <w:r w:rsidRPr="0086352B">
              <w:rPr>
                <w:rFonts w:ascii="Arial Narrow" w:hAnsi="Arial Narrow" w:cs="Arial"/>
                <w:sz w:val="18"/>
                <w:szCs w:val="18"/>
              </w:rPr>
              <w:t>07T0102</w:t>
            </w:r>
          </w:p>
        </w:tc>
        <w:tc>
          <w:tcPr>
            <w:tcW w:w="4823" w:type="dxa"/>
            <w:tcBorders>
              <w:top w:val="nil"/>
              <w:left w:val="nil"/>
              <w:bottom w:val="single" w:sz="8" w:space="0" w:color="auto"/>
              <w:right w:val="single" w:sz="8" w:space="0" w:color="auto"/>
              <w:tl2br w:val="nil"/>
              <w:tr2bl w:val="nil"/>
            </w:tcBorders>
            <w:textDirection w:val="lrTb"/>
            <w:vAlign w:val="center"/>
          </w:tcPr>
          <w:p w:rsidR="0011736A" w:rsidRPr="0086352B" w:rsidP="0011736A">
            <w:pPr>
              <w:spacing w:line="240" w:lineRule="auto"/>
              <w:rPr>
                <w:rFonts w:ascii="Arial Narrow" w:hAnsi="Arial Narrow" w:cs="Arial"/>
                <w:sz w:val="18"/>
                <w:szCs w:val="18"/>
                <w:lang w:val="cs-CZ"/>
              </w:rPr>
            </w:pPr>
            <w:r w:rsidRPr="0086352B">
              <w:rPr>
                <w:rFonts w:ascii="Arial Narrow" w:hAnsi="Arial Narrow" w:cs="Arial"/>
                <w:sz w:val="18"/>
                <w:szCs w:val="18"/>
              </w:rPr>
              <w:t>Technická pomoc MDPT SR (ŠF)</w:t>
            </w:r>
          </w:p>
        </w:tc>
        <w:tc>
          <w:tcPr>
            <w:tcW w:w="940" w:type="dxa"/>
            <w:tcBorders>
              <w:top w:val="nil"/>
              <w:left w:val="nil"/>
              <w:bottom w:val="single" w:sz="8" w:space="0" w:color="auto"/>
              <w:right w:val="single" w:sz="8" w:space="0" w:color="auto"/>
              <w:tl2br w:val="nil"/>
              <w:tr2bl w:val="nil"/>
            </w:tcBorders>
            <w:noWrap/>
            <w:textDirection w:val="lrTb"/>
            <w:vAlign w:val="center"/>
          </w:tcPr>
          <w:p w:rsidR="0011736A" w:rsidRPr="0086352B" w:rsidP="0011736A">
            <w:pPr>
              <w:spacing w:line="240" w:lineRule="auto"/>
              <w:jc w:val="right"/>
              <w:rPr>
                <w:rFonts w:ascii="Arial Narrow" w:hAnsi="Arial Narrow" w:cs="Arial"/>
                <w:sz w:val="18"/>
                <w:szCs w:val="18"/>
                <w:lang w:val="cs-CZ"/>
              </w:rPr>
            </w:pPr>
            <w:r>
              <w:rPr>
                <w:rFonts w:ascii="Arial Narrow" w:hAnsi="Arial Narrow" w:cs="Arial"/>
                <w:sz w:val="18"/>
                <w:szCs w:val="18"/>
              </w:rPr>
              <w:t>49 673</w:t>
            </w:r>
          </w:p>
        </w:tc>
        <w:tc>
          <w:tcPr>
            <w:tcW w:w="960" w:type="dxa"/>
            <w:tcBorders>
              <w:top w:val="nil"/>
              <w:left w:val="nil"/>
              <w:bottom w:val="single" w:sz="8" w:space="0" w:color="auto"/>
              <w:right w:val="single" w:sz="8" w:space="0" w:color="auto"/>
              <w:tl2br w:val="nil"/>
              <w:tr2bl w:val="nil"/>
            </w:tcBorders>
            <w:noWrap/>
            <w:textDirection w:val="lrTb"/>
            <w:vAlign w:val="center"/>
          </w:tcPr>
          <w:p w:rsidR="0011736A" w:rsidRPr="0086352B" w:rsidP="0011736A">
            <w:pPr>
              <w:spacing w:line="240" w:lineRule="auto"/>
              <w:jc w:val="right"/>
              <w:rPr>
                <w:rFonts w:ascii="Arial Narrow" w:hAnsi="Arial Narrow" w:cs="Arial"/>
                <w:sz w:val="18"/>
                <w:szCs w:val="18"/>
                <w:lang w:val="cs-CZ"/>
              </w:rPr>
            </w:pPr>
            <w:r>
              <w:rPr>
                <w:rFonts w:ascii="Arial Narrow" w:hAnsi="Arial Narrow" w:cs="Arial"/>
                <w:sz w:val="18"/>
                <w:szCs w:val="18"/>
                <w:lang w:val="cs-CZ"/>
              </w:rPr>
              <w:t>44 725</w:t>
            </w:r>
          </w:p>
        </w:tc>
        <w:tc>
          <w:tcPr>
            <w:tcW w:w="960" w:type="dxa"/>
            <w:tcBorders>
              <w:top w:val="nil"/>
              <w:left w:val="nil"/>
              <w:bottom w:val="single" w:sz="8" w:space="0" w:color="auto"/>
              <w:right w:val="single" w:sz="8" w:space="0" w:color="auto"/>
              <w:tl2br w:val="nil"/>
              <w:tr2bl w:val="nil"/>
            </w:tcBorders>
            <w:noWrap/>
            <w:textDirection w:val="lrTb"/>
            <w:vAlign w:val="center"/>
          </w:tcPr>
          <w:p w:rsidR="0011736A" w:rsidRPr="0086352B" w:rsidP="0011736A">
            <w:pPr>
              <w:spacing w:line="240" w:lineRule="auto"/>
              <w:jc w:val="right"/>
              <w:rPr>
                <w:rFonts w:ascii="Arial Narrow" w:hAnsi="Arial Narrow" w:cs="Arial"/>
                <w:sz w:val="18"/>
                <w:szCs w:val="18"/>
                <w:lang w:val="cs-CZ"/>
              </w:rPr>
            </w:pPr>
            <w:r>
              <w:rPr>
                <w:rFonts w:ascii="Arial Narrow" w:hAnsi="Arial Narrow" w:cs="Arial"/>
                <w:sz w:val="18"/>
                <w:szCs w:val="18"/>
                <w:lang w:val="cs-CZ"/>
              </w:rPr>
              <w:t>44 725</w:t>
            </w:r>
          </w:p>
        </w:tc>
        <w:tc>
          <w:tcPr>
            <w:tcW w:w="840" w:type="dxa"/>
            <w:tcBorders>
              <w:top w:val="nil"/>
              <w:left w:val="nil"/>
              <w:bottom w:val="single" w:sz="8" w:space="0" w:color="auto"/>
              <w:right w:val="single" w:sz="12" w:space="0" w:color="auto"/>
              <w:tl2br w:val="nil"/>
              <w:tr2bl w:val="nil"/>
            </w:tcBorders>
            <w:noWrap/>
            <w:textDirection w:val="lrTb"/>
            <w:vAlign w:val="center"/>
          </w:tcPr>
          <w:p w:rsidR="0011736A" w:rsidRPr="0086352B" w:rsidP="0011736A">
            <w:pPr>
              <w:spacing w:line="240" w:lineRule="auto"/>
              <w:jc w:val="right"/>
              <w:rPr>
                <w:rFonts w:ascii="Arial Narrow" w:hAnsi="Arial Narrow" w:cs="Arial"/>
                <w:sz w:val="18"/>
                <w:szCs w:val="18"/>
                <w:lang w:val="cs-CZ"/>
              </w:rPr>
            </w:pPr>
            <w:r>
              <w:rPr>
                <w:rFonts w:ascii="Arial Narrow" w:hAnsi="Arial Narrow" w:cs="Arial"/>
                <w:sz w:val="18"/>
                <w:szCs w:val="18"/>
                <w:lang w:val="cs-CZ"/>
              </w:rPr>
              <w:t>33 927</w:t>
            </w:r>
          </w:p>
        </w:tc>
      </w:tr>
      <w:tr>
        <w:tblPrEx>
          <w:tblW w:w="9295" w:type="dxa"/>
          <w:tblInd w:w="55" w:type="dxa"/>
          <w:tblCellMar>
            <w:left w:w="70" w:type="dxa"/>
            <w:right w:w="70" w:type="dxa"/>
          </w:tblCellMar>
        </w:tblPrEx>
        <w:trPr>
          <w:trHeight w:val="227"/>
        </w:trPr>
        <w:tc>
          <w:tcPr>
            <w:tcW w:w="772" w:type="dxa"/>
            <w:tcBorders>
              <w:top w:val="nil"/>
              <w:left w:val="single" w:sz="12" w:space="0" w:color="auto"/>
              <w:bottom w:val="single" w:sz="8" w:space="0" w:color="auto"/>
              <w:right w:val="single" w:sz="8" w:space="0" w:color="auto"/>
              <w:tl2br w:val="nil"/>
              <w:tr2bl w:val="nil"/>
            </w:tcBorders>
            <w:noWrap/>
            <w:textDirection w:val="lrTb"/>
            <w:vAlign w:val="center"/>
          </w:tcPr>
          <w:p w:rsidR="0011736A" w:rsidRPr="0086352B" w:rsidP="0011736A">
            <w:pPr>
              <w:spacing w:line="240" w:lineRule="auto"/>
              <w:rPr>
                <w:rFonts w:ascii="Arial Narrow" w:hAnsi="Arial Narrow" w:cs="Arial"/>
                <w:sz w:val="18"/>
                <w:szCs w:val="18"/>
                <w:lang w:val="cs-CZ"/>
              </w:rPr>
            </w:pPr>
            <w:r w:rsidRPr="0086352B">
              <w:rPr>
                <w:rFonts w:ascii="Arial Narrow" w:hAnsi="Arial Narrow" w:cs="Arial"/>
                <w:sz w:val="18"/>
                <w:szCs w:val="18"/>
              </w:rPr>
              <w:t>07T0103</w:t>
            </w:r>
          </w:p>
        </w:tc>
        <w:tc>
          <w:tcPr>
            <w:tcW w:w="4823" w:type="dxa"/>
            <w:tcBorders>
              <w:top w:val="nil"/>
              <w:left w:val="nil"/>
              <w:bottom w:val="single" w:sz="8" w:space="0" w:color="auto"/>
              <w:right w:val="single" w:sz="8" w:space="0" w:color="auto"/>
              <w:tl2br w:val="nil"/>
              <w:tr2bl w:val="nil"/>
            </w:tcBorders>
            <w:textDirection w:val="lrTb"/>
            <w:vAlign w:val="center"/>
          </w:tcPr>
          <w:p w:rsidR="0011736A" w:rsidRPr="0086352B" w:rsidP="0011736A">
            <w:pPr>
              <w:spacing w:line="240" w:lineRule="auto"/>
              <w:rPr>
                <w:rFonts w:ascii="Arial Narrow" w:hAnsi="Arial Narrow" w:cs="Arial"/>
                <w:sz w:val="18"/>
                <w:szCs w:val="18"/>
                <w:lang w:val="cs-CZ"/>
              </w:rPr>
            </w:pPr>
            <w:r w:rsidRPr="0086352B">
              <w:rPr>
                <w:rFonts w:ascii="Arial Narrow" w:hAnsi="Arial Narrow" w:cs="Arial"/>
                <w:sz w:val="18"/>
                <w:szCs w:val="18"/>
              </w:rPr>
              <w:t>Technická pomoc MDPT SR (KF)</w:t>
            </w:r>
          </w:p>
        </w:tc>
        <w:tc>
          <w:tcPr>
            <w:tcW w:w="940" w:type="dxa"/>
            <w:tcBorders>
              <w:top w:val="nil"/>
              <w:left w:val="nil"/>
              <w:bottom w:val="single" w:sz="8" w:space="0" w:color="auto"/>
              <w:right w:val="single" w:sz="8" w:space="0" w:color="auto"/>
              <w:tl2br w:val="nil"/>
              <w:tr2bl w:val="nil"/>
            </w:tcBorders>
            <w:noWrap/>
            <w:textDirection w:val="lrTb"/>
            <w:vAlign w:val="center"/>
          </w:tcPr>
          <w:p w:rsidR="0011736A" w:rsidRPr="00776268" w:rsidP="0011736A">
            <w:pPr>
              <w:spacing w:line="240" w:lineRule="auto"/>
              <w:jc w:val="right"/>
              <w:rPr>
                <w:rFonts w:ascii="Arial Narrow" w:hAnsi="Arial Narrow" w:cs="Arial"/>
                <w:bCs/>
                <w:sz w:val="18"/>
                <w:szCs w:val="18"/>
                <w:lang w:val="cs-CZ"/>
              </w:rPr>
            </w:pPr>
            <w:r w:rsidRPr="00776268">
              <w:rPr>
                <w:rFonts w:ascii="Arial Narrow" w:hAnsi="Arial Narrow" w:cs="Arial"/>
                <w:bCs/>
                <w:sz w:val="18"/>
                <w:szCs w:val="18"/>
              </w:rPr>
              <w:t>                 0</w:t>
            </w:r>
          </w:p>
        </w:tc>
        <w:tc>
          <w:tcPr>
            <w:tcW w:w="960" w:type="dxa"/>
            <w:tcBorders>
              <w:top w:val="nil"/>
              <w:left w:val="nil"/>
              <w:bottom w:val="single" w:sz="8" w:space="0" w:color="auto"/>
              <w:right w:val="single" w:sz="8" w:space="0" w:color="auto"/>
              <w:tl2br w:val="nil"/>
              <w:tr2bl w:val="nil"/>
            </w:tcBorders>
            <w:noWrap/>
            <w:textDirection w:val="lrTb"/>
            <w:vAlign w:val="center"/>
          </w:tcPr>
          <w:p w:rsidR="0011736A" w:rsidRPr="00776268" w:rsidP="0011736A">
            <w:pPr>
              <w:spacing w:line="240" w:lineRule="auto"/>
              <w:jc w:val="right"/>
              <w:rPr>
                <w:rFonts w:ascii="Arial Narrow" w:hAnsi="Arial Narrow" w:cs="Arial"/>
                <w:bCs/>
                <w:sz w:val="18"/>
                <w:szCs w:val="18"/>
                <w:lang w:val="cs-CZ"/>
              </w:rPr>
            </w:pPr>
            <w:r w:rsidRPr="00776268">
              <w:rPr>
                <w:rFonts w:ascii="Arial Narrow" w:hAnsi="Arial Narrow" w:cs="Arial"/>
                <w:bCs/>
                <w:sz w:val="18"/>
                <w:szCs w:val="18"/>
                <w:lang w:val="cs-CZ"/>
              </w:rPr>
              <w:t>0</w:t>
            </w:r>
          </w:p>
        </w:tc>
        <w:tc>
          <w:tcPr>
            <w:tcW w:w="960" w:type="dxa"/>
            <w:tcBorders>
              <w:top w:val="nil"/>
              <w:left w:val="nil"/>
              <w:bottom w:val="single" w:sz="8" w:space="0" w:color="auto"/>
              <w:right w:val="single" w:sz="8" w:space="0" w:color="auto"/>
              <w:tl2br w:val="nil"/>
              <w:tr2bl w:val="nil"/>
            </w:tcBorders>
            <w:noWrap/>
            <w:textDirection w:val="lrTb"/>
            <w:vAlign w:val="center"/>
          </w:tcPr>
          <w:p w:rsidR="0011736A" w:rsidRPr="00776268" w:rsidP="0011736A">
            <w:pPr>
              <w:spacing w:line="240" w:lineRule="auto"/>
              <w:jc w:val="right"/>
              <w:rPr>
                <w:rFonts w:ascii="Arial Narrow" w:hAnsi="Arial Narrow" w:cs="Arial"/>
                <w:sz w:val="18"/>
                <w:szCs w:val="18"/>
                <w:lang w:val="cs-CZ"/>
              </w:rPr>
            </w:pPr>
            <w:r w:rsidRPr="00776268">
              <w:rPr>
                <w:rFonts w:ascii="Arial Narrow" w:hAnsi="Arial Narrow" w:cs="Arial"/>
                <w:sz w:val="18"/>
                <w:szCs w:val="18"/>
                <w:lang w:val="cs-CZ"/>
              </w:rPr>
              <w:t>0</w:t>
            </w:r>
          </w:p>
        </w:tc>
        <w:tc>
          <w:tcPr>
            <w:tcW w:w="840" w:type="dxa"/>
            <w:tcBorders>
              <w:top w:val="nil"/>
              <w:left w:val="nil"/>
              <w:bottom w:val="single" w:sz="8" w:space="0" w:color="auto"/>
              <w:right w:val="single" w:sz="12" w:space="0" w:color="auto"/>
              <w:tl2br w:val="nil"/>
              <w:tr2bl w:val="nil"/>
            </w:tcBorders>
            <w:noWrap/>
            <w:textDirection w:val="lrTb"/>
            <w:vAlign w:val="center"/>
          </w:tcPr>
          <w:p w:rsidR="0011736A" w:rsidRPr="00776268" w:rsidP="0011736A">
            <w:pPr>
              <w:spacing w:line="240" w:lineRule="auto"/>
              <w:jc w:val="right"/>
              <w:rPr>
                <w:rFonts w:ascii="Arial Narrow" w:hAnsi="Arial Narrow" w:cs="Arial"/>
                <w:bCs/>
                <w:sz w:val="18"/>
                <w:szCs w:val="18"/>
                <w:lang w:val="cs-CZ"/>
              </w:rPr>
            </w:pPr>
            <w:r w:rsidRPr="00776268">
              <w:rPr>
                <w:rFonts w:ascii="Arial Narrow" w:hAnsi="Arial Narrow" w:cs="Arial"/>
                <w:bCs/>
                <w:sz w:val="18"/>
                <w:szCs w:val="18"/>
                <w:lang w:val="cs-CZ"/>
              </w:rPr>
              <w:t>0</w:t>
            </w:r>
          </w:p>
        </w:tc>
      </w:tr>
      <w:tr>
        <w:tblPrEx>
          <w:tblW w:w="9295" w:type="dxa"/>
          <w:tblInd w:w="55" w:type="dxa"/>
          <w:tblCellMar>
            <w:left w:w="70" w:type="dxa"/>
            <w:right w:w="70" w:type="dxa"/>
          </w:tblCellMar>
        </w:tblPrEx>
        <w:trPr>
          <w:trHeight w:val="227"/>
        </w:trPr>
        <w:tc>
          <w:tcPr>
            <w:tcW w:w="772" w:type="dxa"/>
            <w:tcBorders>
              <w:top w:val="nil"/>
              <w:left w:val="single" w:sz="12" w:space="0" w:color="auto"/>
              <w:bottom w:val="single" w:sz="8" w:space="0" w:color="auto"/>
              <w:right w:val="single" w:sz="8" w:space="0" w:color="auto"/>
              <w:tl2br w:val="nil"/>
              <w:tr2bl w:val="nil"/>
            </w:tcBorders>
            <w:noWrap/>
            <w:textDirection w:val="lrTb"/>
            <w:vAlign w:val="center"/>
          </w:tcPr>
          <w:p w:rsidR="0011736A" w:rsidRPr="0086352B" w:rsidP="0011736A">
            <w:pPr>
              <w:spacing w:line="240" w:lineRule="auto"/>
              <w:rPr>
                <w:rFonts w:ascii="Arial Narrow" w:hAnsi="Arial Narrow" w:cs="Arial"/>
                <w:sz w:val="18"/>
                <w:szCs w:val="18"/>
                <w:lang w:val="cs-CZ"/>
              </w:rPr>
            </w:pPr>
            <w:r w:rsidRPr="0086352B">
              <w:rPr>
                <w:rFonts w:ascii="Arial Narrow" w:hAnsi="Arial Narrow" w:cs="Arial"/>
                <w:sz w:val="18"/>
                <w:szCs w:val="18"/>
              </w:rPr>
              <w:t>07T0104</w:t>
            </w:r>
          </w:p>
        </w:tc>
        <w:tc>
          <w:tcPr>
            <w:tcW w:w="4823" w:type="dxa"/>
            <w:tcBorders>
              <w:top w:val="nil"/>
              <w:left w:val="nil"/>
              <w:bottom w:val="single" w:sz="8" w:space="0" w:color="auto"/>
              <w:right w:val="single" w:sz="8" w:space="0" w:color="auto"/>
              <w:tl2br w:val="nil"/>
              <w:tr2bl w:val="nil"/>
            </w:tcBorders>
            <w:textDirection w:val="lrTb"/>
            <w:vAlign w:val="center"/>
          </w:tcPr>
          <w:p w:rsidR="0011736A" w:rsidRPr="0086352B" w:rsidP="0011736A">
            <w:pPr>
              <w:spacing w:line="240" w:lineRule="auto"/>
              <w:rPr>
                <w:rFonts w:ascii="Arial Narrow" w:hAnsi="Arial Narrow" w:cs="Arial"/>
                <w:sz w:val="18"/>
                <w:szCs w:val="18"/>
                <w:lang w:val="cs-CZ"/>
              </w:rPr>
            </w:pPr>
            <w:r w:rsidRPr="0086352B">
              <w:rPr>
                <w:rFonts w:ascii="Arial Narrow" w:hAnsi="Arial Narrow" w:cs="Arial"/>
                <w:sz w:val="18"/>
                <w:szCs w:val="18"/>
              </w:rPr>
              <w:t>Podpora rozvojových úloh v</w:t>
            </w:r>
            <w:r>
              <w:rPr>
                <w:rFonts w:ascii="Arial Narrow" w:hAnsi="Arial Narrow" w:cs="Arial"/>
                <w:sz w:val="18"/>
                <w:szCs w:val="18"/>
              </w:rPr>
              <w:t> </w:t>
            </w:r>
            <w:r w:rsidRPr="0086352B">
              <w:rPr>
                <w:rFonts w:ascii="Arial Narrow" w:hAnsi="Arial Narrow" w:cs="Arial"/>
                <w:sz w:val="18"/>
                <w:szCs w:val="18"/>
              </w:rPr>
              <w:t xml:space="preserve">oblasti informatizácie spoločnosti </w:t>
            </w:r>
          </w:p>
        </w:tc>
        <w:tc>
          <w:tcPr>
            <w:tcW w:w="940" w:type="dxa"/>
            <w:tcBorders>
              <w:top w:val="nil"/>
              <w:left w:val="nil"/>
              <w:bottom w:val="single" w:sz="8" w:space="0" w:color="auto"/>
              <w:right w:val="single" w:sz="8" w:space="0" w:color="auto"/>
              <w:tl2br w:val="nil"/>
              <w:tr2bl w:val="nil"/>
            </w:tcBorders>
            <w:noWrap/>
            <w:textDirection w:val="lrTb"/>
            <w:vAlign w:val="center"/>
          </w:tcPr>
          <w:p w:rsidR="0011736A" w:rsidRPr="0086352B" w:rsidP="0011736A">
            <w:pPr>
              <w:spacing w:line="240" w:lineRule="auto"/>
              <w:jc w:val="right"/>
              <w:rPr>
                <w:rFonts w:ascii="Arial Narrow" w:hAnsi="Arial Narrow" w:cs="Arial"/>
                <w:sz w:val="18"/>
                <w:szCs w:val="18"/>
                <w:lang w:val="cs-CZ"/>
              </w:rPr>
            </w:pPr>
            <w:r>
              <w:rPr>
                <w:rFonts w:ascii="Arial Narrow" w:hAnsi="Arial Narrow" w:cs="Arial"/>
                <w:sz w:val="18"/>
                <w:szCs w:val="18"/>
              </w:rPr>
              <w:t>322 686</w:t>
            </w:r>
          </w:p>
        </w:tc>
        <w:tc>
          <w:tcPr>
            <w:tcW w:w="960" w:type="dxa"/>
            <w:tcBorders>
              <w:top w:val="nil"/>
              <w:left w:val="nil"/>
              <w:bottom w:val="single" w:sz="8" w:space="0" w:color="auto"/>
              <w:right w:val="single" w:sz="8" w:space="0" w:color="auto"/>
              <w:tl2br w:val="nil"/>
              <w:tr2bl w:val="nil"/>
            </w:tcBorders>
            <w:noWrap/>
            <w:textDirection w:val="lrTb"/>
            <w:vAlign w:val="center"/>
          </w:tcPr>
          <w:p w:rsidR="0011736A" w:rsidRPr="0086352B" w:rsidP="0011736A">
            <w:pPr>
              <w:spacing w:line="240" w:lineRule="auto"/>
              <w:jc w:val="right"/>
              <w:rPr>
                <w:rFonts w:ascii="Arial Narrow" w:hAnsi="Arial Narrow" w:cs="Arial"/>
                <w:sz w:val="18"/>
                <w:szCs w:val="18"/>
                <w:lang w:val="cs-CZ"/>
              </w:rPr>
            </w:pPr>
            <w:r>
              <w:rPr>
                <w:rFonts w:ascii="Arial Narrow" w:hAnsi="Arial Narrow" w:cs="Arial"/>
                <w:sz w:val="18"/>
                <w:szCs w:val="18"/>
                <w:lang w:val="cs-CZ"/>
              </w:rPr>
              <w:t>222 686</w:t>
            </w:r>
          </w:p>
        </w:tc>
        <w:tc>
          <w:tcPr>
            <w:tcW w:w="960" w:type="dxa"/>
            <w:tcBorders>
              <w:top w:val="nil"/>
              <w:left w:val="nil"/>
              <w:bottom w:val="single" w:sz="8" w:space="0" w:color="auto"/>
              <w:right w:val="single" w:sz="8" w:space="0" w:color="auto"/>
              <w:tl2br w:val="nil"/>
              <w:tr2bl w:val="nil"/>
            </w:tcBorders>
            <w:noWrap/>
            <w:textDirection w:val="lrTb"/>
            <w:vAlign w:val="center"/>
          </w:tcPr>
          <w:p w:rsidR="0011736A" w:rsidRPr="0086352B" w:rsidP="0011736A">
            <w:pPr>
              <w:spacing w:line="240" w:lineRule="auto"/>
              <w:jc w:val="right"/>
              <w:rPr>
                <w:rFonts w:ascii="Arial Narrow" w:hAnsi="Arial Narrow" w:cs="Arial"/>
                <w:sz w:val="18"/>
                <w:szCs w:val="18"/>
                <w:lang w:val="cs-CZ"/>
              </w:rPr>
            </w:pPr>
            <w:r>
              <w:rPr>
                <w:rFonts w:ascii="Arial Narrow" w:hAnsi="Arial Narrow" w:cs="Arial"/>
                <w:sz w:val="18"/>
                <w:szCs w:val="18"/>
                <w:lang w:val="cs-CZ"/>
              </w:rPr>
              <w:t>222 686</w:t>
            </w:r>
          </w:p>
        </w:tc>
        <w:tc>
          <w:tcPr>
            <w:tcW w:w="840" w:type="dxa"/>
            <w:tcBorders>
              <w:top w:val="nil"/>
              <w:left w:val="nil"/>
              <w:bottom w:val="single" w:sz="8" w:space="0" w:color="auto"/>
              <w:right w:val="single" w:sz="12" w:space="0" w:color="auto"/>
              <w:tl2br w:val="nil"/>
              <w:tr2bl w:val="nil"/>
            </w:tcBorders>
            <w:noWrap/>
            <w:textDirection w:val="lrTb"/>
            <w:vAlign w:val="center"/>
          </w:tcPr>
          <w:p w:rsidR="0011736A" w:rsidRPr="0086352B" w:rsidP="0011736A">
            <w:pPr>
              <w:spacing w:line="240" w:lineRule="auto"/>
              <w:jc w:val="right"/>
              <w:rPr>
                <w:rFonts w:ascii="Arial Narrow" w:hAnsi="Arial Narrow" w:cs="Arial"/>
                <w:sz w:val="18"/>
                <w:szCs w:val="18"/>
                <w:lang w:val="cs-CZ"/>
              </w:rPr>
            </w:pPr>
            <w:r>
              <w:rPr>
                <w:rFonts w:ascii="Arial Narrow" w:hAnsi="Arial Narrow" w:cs="Arial"/>
                <w:sz w:val="18"/>
                <w:szCs w:val="18"/>
                <w:lang w:val="cs-CZ"/>
              </w:rPr>
              <w:t>0</w:t>
            </w:r>
          </w:p>
        </w:tc>
      </w:tr>
      <w:tr>
        <w:tblPrEx>
          <w:tblW w:w="9295" w:type="dxa"/>
          <w:tblInd w:w="55" w:type="dxa"/>
          <w:tblCellMar>
            <w:left w:w="70" w:type="dxa"/>
            <w:right w:w="70" w:type="dxa"/>
          </w:tblCellMar>
        </w:tblPrEx>
        <w:trPr>
          <w:trHeight w:val="227"/>
        </w:trPr>
        <w:tc>
          <w:tcPr>
            <w:tcW w:w="772" w:type="dxa"/>
            <w:tcBorders>
              <w:top w:val="nil"/>
              <w:left w:val="single" w:sz="12" w:space="0" w:color="auto"/>
              <w:bottom w:val="single" w:sz="8" w:space="0" w:color="auto"/>
              <w:right w:val="single" w:sz="8" w:space="0" w:color="auto"/>
              <w:tl2br w:val="nil"/>
              <w:tr2bl w:val="nil"/>
            </w:tcBorders>
            <w:noWrap/>
            <w:textDirection w:val="lrTb"/>
            <w:vAlign w:val="center"/>
          </w:tcPr>
          <w:p w:rsidR="0011736A" w:rsidRPr="0086352B" w:rsidP="0011736A">
            <w:pPr>
              <w:spacing w:line="240" w:lineRule="auto"/>
              <w:rPr>
                <w:rFonts w:ascii="Arial Narrow" w:hAnsi="Arial Narrow" w:cs="Arial"/>
                <w:b/>
                <w:bCs/>
                <w:sz w:val="18"/>
                <w:szCs w:val="18"/>
                <w:lang w:val="cs-CZ"/>
              </w:rPr>
            </w:pPr>
            <w:r w:rsidRPr="0086352B">
              <w:rPr>
                <w:rFonts w:ascii="Arial Narrow" w:hAnsi="Arial Narrow" w:cs="Arial"/>
                <w:b/>
                <w:bCs/>
                <w:iCs/>
                <w:sz w:val="18"/>
                <w:szCs w:val="18"/>
              </w:rPr>
              <w:t>07T0</w:t>
            </w:r>
            <w:r>
              <w:rPr>
                <w:rFonts w:ascii="Arial Narrow" w:hAnsi="Arial Narrow" w:cs="Arial"/>
                <w:b/>
                <w:bCs/>
                <w:iCs/>
                <w:sz w:val="18"/>
                <w:szCs w:val="18"/>
              </w:rPr>
              <w:t>2</w:t>
            </w:r>
          </w:p>
        </w:tc>
        <w:tc>
          <w:tcPr>
            <w:tcW w:w="4823" w:type="dxa"/>
            <w:tcBorders>
              <w:top w:val="nil"/>
              <w:left w:val="nil"/>
              <w:bottom w:val="single" w:sz="8" w:space="0" w:color="auto"/>
              <w:right w:val="single" w:sz="8" w:space="0" w:color="auto"/>
              <w:tl2br w:val="nil"/>
              <w:tr2bl w:val="nil"/>
            </w:tcBorders>
            <w:textDirection w:val="lrTb"/>
            <w:vAlign w:val="center"/>
          </w:tcPr>
          <w:p w:rsidR="0011736A" w:rsidRPr="0086352B" w:rsidP="0011736A">
            <w:pPr>
              <w:spacing w:line="240" w:lineRule="auto"/>
              <w:rPr>
                <w:rFonts w:ascii="Arial Narrow" w:hAnsi="Arial Narrow" w:cs="Arial"/>
                <w:b/>
                <w:bCs/>
                <w:sz w:val="18"/>
                <w:szCs w:val="18"/>
                <w:lang w:val="cs-CZ"/>
              </w:rPr>
            </w:pPr>
            <w:r>
              <w:rPr>
                <w:rFonts w:ascii="Arial Narrow" w:hAnsi="Arial Narrow" w:cs="Arial"/>
                <w:b/>
                <w:bCs/>
                <w:iCs/>
                <w:sz w:val="18"/>
                <w:szCs w:val="18"/>
              </w:rPr>
              <w:t>Veda a výskum</w:t>
            </w:r>
          </w:p>
        </w:tc>
        <w:tc>
          <w:tcPr>
            <w:tcW w:w="940" w:type="dxa"/>
            <w:tcBorders>
              <w:top w:val="nil"/>
              <w:left w:val="nil"/>
              <w:bottom w:val="single" w:sz="8" w:space="0" w:color="auto"/>
              <w:right w:val="single" w:sz="8" w:space="0" w:color="auto"/>
              <w:tl2br w:val="nil"/>
              <w:tr2bl w:val="nil"/>
            </w:tcBorders>
            <w:noWrap/>
            <w:textDirection w:val="lrTb"/>
            <w:vAlign w:val="center"/>
          </w:tcPr>
          <w:p w:rsidR="0011736A" w:rsidRPr="0086352B" w:rsidP="0011736A">
            <w:pPr>
              <w:spacing w:line="240" w:lineRule="auto"/>
              <w:jc w:val="right"/>
              <w:rPr>
                <w:rFonts w:ascii="Arial Narrow" w:hAnsi="Arial Narrow" w:cs="Arial"/>
                <w:b/>
                <w:bCs/>
                <w:sz w:val="18"/>
                <w:szCs w:val="18"/>
                <w:lang w:val="cs-CZ"/>
              </w:rPr>
            </w:pPr>
            <w:r>
              <w:rPr>
                <w:rFonts w:ascii="Arial Narrow" w:hAnsi="Arial Narrow" w:cs="Arial"/>
                <w:b/>
                <w:bCs/>
                <w:iCs/>
                <w:sz w:val="18"/>
                <w:szCs w:val="18"/>
              </w:rPr>
              <w:t>12 000</w:t>
            </w:r>
          </w:p>
        </w:tc>
        <w:tc>
          <w:tcPr>
            <w:tcW w:w="960" w:type="dxa"/>
            <w:tcBorders>
              <w:top w:val="nil"/>
              <w:left w:val="nil"/>
              <w:bottom w:val="single" w:sz="8" w:space="0" w:color="auto"/>
              <w:right w:val="single" w:sz="8" w:space="0" w:color="auto"/>
              <w:tl2br w:val="nil"/>
              <w:tr2bl w:val="nil"/>
            </w:tcBorders>
            <w:noWrap/>
            <w:textDirection w:val="lrTb"/>
            <w:vAlign w:val="center"/>
          </w:tcPr>
          <w:p w:rsidR="0011736A" w:rsidRPr="0086352B" w:rsidP="0011736A">
            <w:pPr>
              <w:spacing w:line="240" w:lineRule="auto"/>
              <w:jc w:val="right"/>
              <w:rPr>
                <w:rFonts w:ascii="Arial Narrow" w:hAnsi="Arial Narrow" w:cs="Arial"/>
                <w:b/>
                <w:bCs/>
                <w:sz w:val="18"/>
                <w:szCs w:val="18"/>
                <w:lang w:val="cs-CZ"/>
              </w:rPr>
            </w:pPr>
            <w:r>
              <w:rPr>
                <w:rFonts w:ascii="Arial Narrow" w:hAnsi="Arial Narrow" w:cs="Arial"/>
                <w:b/>
                <w:bCs/>
                <w:sz w:val="18"/>
                <w:szCs w:val="18"/>
                <w:lang w:val="cs-CZ"/>
              </w:rPr>
              <w:t>12 000</w:t>
            </w:r>
          </w:p>
        </w:tc>
        <w:tc>
          <w:tcPr>
            <w:tcW w:w="960" w:type="dxa"/>
            <w:tcBorders>
              <w:top w:val="nil"/>
              <w:left w:val="nil"/>
              <w:bottom w:val="single" w:sz="8" w:space="0" w:color="auto"/>
              <w:right w:val="single" w:sz="8" w:space="0" w:color="auto"/>
              <w:tl2br w:val="nil"/>
              <w:tr2bl w:val="nil"/>
            </w:tcBorders>
            <w:noWrap/>
            <w:textDirection w:val="lrTb"/>
            <w:vAlign w:val="center"/>
          </w:tcPr>
          <w:p w:rsidR="0011736A" w:rsidRPr="0086352B" w:rsidP="0011736A">
            <w:pPr>
              <w:spacing w:line="240" w:lineRule="auto"/>
              <w:jc w:val="right"/>
              <w:rPr>
                <w:rFonts w:ascii="Arial Narrow" w:hAnsi="Arial Narrow" w:cs="Arial"/>
                <w:b/>
                <w:bCs/>
                <w:sz w:val="18"/>
                <w:szCs w:val="18"/>
                <w:lang w:val="cs-CZ"/>
              </w:rPr>
            </w:pPr>
            <w:r>
              <w:rPr>
                <w:rFonts w:ascii="Arial Narrow" w:hAnsi="Arial Narrow" w:cs="Arial"/>
                <w:b/>
                <w:bCs/>
                <w:sz w:val="18"/>
                <w:szCs w:val="18"/>
                <w:lang w:val="cs-CZ"/>
              </w:rPr>
              <w:t>12 000</w:t>
            </w:r>
          </w:p>
        </w:tc>
        <w:tc>
          <w:tcPr>
            <w:tcW w:w="840" w:type="dxa"/>
            <w:tcBorders>
              <w:top w:val="nil"/>
              <w:left w:val="nil"/>
              <w:bottom w:val="single" w:sz="8" w:space="0" w:color="auto"/>
              <w:right w:val="single" w:sz="12" w:space="0" w:color="auto"/>
              <w:tl2br w:val="nil"/>
              <w:tr2bl w:val="nil"/>
            </w:tcBorders>
            <w:noWrap/>
            <w:textDirection w:val="lrTb"/>
            <w:vAlign w:val="center"/>
          </w:tcPr>
          <w:p w:rsidR="0011736A" w:rsidRPr="0086352B" w:rsidP="0011736A">
            <w:pPr>
              <w:spacing w:line="240" w:lineRule="auto"/>
              <w:jc w:val="right"/>
              <w:rPr>
                <w:rFonts w:ascii="Arial Narrow" w:hAnsi="Arial Narrow" w:cs="Arial"/>
                <w:b/>
                <w:bCs/>
                <w:sz w:val="18"/>
                <w:szCs w:val="18"/>
                <w:lang w:val="cs-CZ"/>
              </w:rPr>
            </w:pPr>
            <w:r>
              <w:rPr>
                <w:rFonts w:ascii="Arial Narrow" w:hAnsi="Arial Narrow" w:cs="Arial"/>
                <w:b/>
                <w:bCs/>
                <w:sz w:val="18"/>
                <w:szCs w:val="18"/>
                <w:lang w:val="cs-CZ"/>
              </w:rPr>
              <w:t>0</w:t>
            </w:r>
          </w:p>
        </w:tc>
      </w:tr>
      <w:tr>
        <w:tblPrEx>
          <w:tblW w:w="9295" w:type="dxa"/>
          <w:tblInd w:w="55" w:type="dxa"/>
          <w:tblCellMar>
            <w:left w:w="70" w:type="dxa"/>
            <w:right w:w="70" w:type="dxa"/>
          </w:tblCellMar>
        </w:tblPrEx>
        <w:trPr>
          <w:trHeight w:val="227"/>
        </w:trPr>
        <w:tc>
          <w:tcPr>
            <w:tcW w:w="772" w:type="dxa"/>
            <w:tcBorders>
              <w:top w:val="nil"/>
              <w:left w:val="single" w:sz="12" w:space="0" w:color="auto"/>
              <w:bottom w:val="single" w:sz="8" w:space="0" w:color="auto"/>
              <w:right w:val="single" w:sz="8" w:space="0" w:color="auto"/>
              <w:tl2br w:val="nil"/>
              <w:tr2bl w:val="nil"/>
            </w:tcBorders>
            <w:noWrap/>
            <w:textDirection w:val="lrTb"/>
            <w:vAlign w:val="center"/>
          </w:tcPr>
          <w:p w:rsidR="0011736A" w:rsidRPr="0086352B" w:rsidP="0011736A">
            <w:pPr>
              <w:spacing w:line="240" w:lineRule="auto"/>
              <w:rPr>
                <w:rFonts w:ascii="Arial Narrow" w:hAnsi="Arial Narrow" w:cs="Arial"/>
                <w:b/>
                <w:bCs/>
                <w:sz w:val="18"/>
                <w:szCs w:val="18"/>
                <w:lang w:val="cs-CZ"/>
              </w:rPr>
            </w:pPr>
            <w:r w:rsidRPr="0086352B">
              <w:rPr>
                <w:rFonts w:ascii="Arial Narrow" w:hAnsi="Arial Narrow" w:cs="Arial"/>
                <w:b/>
                <w:bCs/>
                <w:iCs/>
                <w:sz w:val="18"/>
                <w:szCs w:val="18"/>
              </w:rPr>
              <w:t>07T03</w:t>
            </w:r>
          </w:p>
        </w:tc>
        <w:tc>
          <w:tcPr>
            <w:tcW w:w="4823" w:type="dxa"/>
            <w:tcBorders>
              <w:top w:val="nil"/>
              <w:left w:val="nil"/>
              <w:bottom w:val="single" w:sz="8" w:space="0" w:color="auto"/>
              <w:right w:val="single" w:sz="8" w:space="0" w:color="auto"/>
              <w:tl2br w:val="nil"/>
              <w:tr2bl w:val="nil"/>
            </w:tcBorders>
            <w:textDirection w:val="lrTb"/>
            <w:vAlign w:val="center"/>
          </w:tcPr>
          <w:p w:rsidR="0011736A" w:rsidRPr="0086352B" w:rsidP="0011736A">
            <w:pPr>
              <w:spacing w:line="240" w:lineRule="auto"/>
              <w:rPr>
                <w:rFonts w:ascii="Arial Narrow" w:hAnsi="Arial Narrow" w:cs="Arial"/>
                <w:b/>
                <w:bCs/>
                <w:sz w:val="18"/>
                <w:szCs w:val="18"/>
                <w:lang w:val="cs-CZ"/>
              </w:rPr>
            </w:pPr>
            <w:r w:rsidRPr="0086352B">
              <w:rPr>
                <w:rFonts w:ascii="Arial Narrow" w:hAnsi="Arial Narrow" w:cs="Arial"/>
                <w:b/>
                <w:bCs/>
                <w:iCs/>
                <w:sz w:val="18"/>
                <w:szCs w:val="18"/>
              </w:rPr>
              <w:t>Regulácia a štátny dozor</w:t>
            </w:r>
          </w:p>
        </w:tc>
        <w:tc>
          <w:tcPr>
            <w:tcW w:w="940" w:type="dxa"/>
            <w:tcBorders>
              <w:top w:val="nil"/>
              <w:left w:val="nil"/>
              <w:bottom w:val="single" w:sz="8" w:space="0" w:color="auto"/>
              <w:right w:val="single" w:sz="8" w:space="0" w:color="auto"/>
              <w:tl2br w:val="nil"/>
              <w:tr2bl w:val="nil"/>
            </w:tcBorders>
            <w:noWrap/>
            <w:textDirection w:val="lrTb"/>
            <w:vAlign w:val="center"/>
          </w:tcPr>
          <w:p w:rsidR="0011736A" w:rsidRPr="0086352B" w:rsidP="0011736A">
            <w:pPr>
              <w:spacing w:line="240" w:lineRule="auto"/>
              <w:jc w:val="right"/>
              <w:rPr>
                <w:rFonts w:ascii="Arial Narrow" w:hAnsi="Arial Narrow" w:cs="Arial"/>
                <w:b/>
                <w:bCs/>
                <w:sz w:val="18"/>
                <w:szCs w:val="18"/>
                <w:lang w:val="cs-CZ"/>
              </w:rPr>
            </w:pPr>
            <w:r>
              <w:rPr>
                <w:rFonts w:ascii="Arial Narrow" w:hAnsi="Arial Narrow" w:cs="Arial"/>
                <w:b/>
                <w:bCs/>
                <w:iCs/>
                <w:sz w:val="18"/>
                <w:szCs w:val="18"/>
              </w:rPr>
              <w:t>451 401</w:t>
            </w:r>
          </w:p>
        </w:tc>
        <w:tc>
          <w:tcPr>
            <w:tcW w:w="960" w:type="dxa"/>
            <w:tcBorders>
              <w:top w:val="nil"/>
              <w:left w:val="nil"/>
              <w:bottom w:val="single" w:sz="8" w:space="0" w:color="auto"/>
              <w:right w:val="single" w:sz="8" w:space="0" w:color="auto"/>
              <w:tl2br w:val="nil"/>
              <w:tr2bl w:val="nil"/>
            </w:tcBorders>
            <w:noWrap/>
            <w:textDirection w:val="lrTb"/>
            <w:vAlign w:val="center"/>
          </w:tcPr>
          <w:p w:rsidR="0011736A" w:rsidRPr="0086352B" w:rsidP="0011736A">
            <w:pPr>
              <w:spacing w:line="240" w:lineRule="auto"/>
              <w:jc w:val="right"/>
              <w:rPr>
                <w:rFonts w:ascii="Arial Narrow" w:hAnsi="Arial Narrow" w:cs="Arial"/>
                <w:b/>
                <w:bCs/>
                <w:sz w:val="18"/>
                <w:szCs w:val="18"/>
                <w:lang w:val="cs-CZ"/>
              </w:rPr>
            </w:pPr>
            <w:r>
              <w:rPr>
                <w:rFonts w:ascii="Arial Narrow" w:hAnsi="Arial Narrow" w:cs="Arial"/>
                <w:b/>
                <w:bCs/>
                <w:sz w:val="18"/>
                <w:szCs w:val="18"/>
                <w:lang w:val="cs-CZ"/>
              </w:rPr>
              <w:t>457 781</w:t>
            </w:r>
          </w:p>
        </w:tc>
        <w:tc>
          <w:tcPr>
            <w:tcW w:w="960" w:type="dxa"/>
            <w:tcBorders>
              <w:top w:val="nil"/>
              <w:left w:val="nil"/>
              <w:bottom w:val="single" w:sz="8" w:space="0" w:color="auto"/>
              <w:right w:val="single" w:sz="8" w:space="0" w:color="auto"/>
              <w:tl2br w:val="nil"/>
              <w:tr2bl w:val="nil"/>
            </w:tcBorders>
            <w:noWrap/>
            <w:textDirection w:val="lrTb"/>
            <w:vAlign w:val="center"/>
          </w:tcPr>
          <w:p w:rsidR="0011736A" w:rsidRPr="0086352B" w:rsidP="0011736A">
            <w:pPr>
              <w:spacing w:line="240" w:lineRule="auto"/>
              <w:jc w:val="right"/>
              <w:rPr>
                <w:rFonts w:ascii="Arial Narrow" w:hAnsi="Arial Narrow" w:cs="Arial"/>
                <w:b/>
                <w:bCs/>
                <w:sz w:val="18"/>
                <w:szCs w:val="18"/>
                <w:lang w:val="cs-CZ"/>
              </w:rPr>
            </w:pPr>
            <w:r>
              <w:rPr>
                <w:rFonts w:ascii="Arial Narrow" w:hAnsi="Arial Narrow" w:cs="Arial"/>
                <w:b/>
                <w:bCs/>
                <w:sz w:val="18"/>
                <w:szCs w:val="18"/>
                <w:lang w:val="cs-CZ"/>
              </w:rPr>
              <w:t>456 199</w:t>
            </w:r>
          </w:p>
        </w:tc>
        <w:tc>
          <w:tcPr>
            <w:tcW w:w="840" w:type="dxa"/>
            <w:tcBorders>
              <w:top w:val="nil"/>
              <w:left w:val="nil"/>
              <w:bottom w:val="single" w:sz="8" w:space="0" w:color="auto"/>
              <w:right w:val="single" w:sz="12" w:space="0" w:color="auto"/>
              <w:tl2br w:val="nil"/>
              <w:tr2bl w:val="nil"/>
            </w:tcBorders>
            <w:noWrap/>
            <w:textDirection w:val="lrTb"/>
            <w:vAlign w:val="center"/>
          </w:tcPr>
          <w:p w:rsidR="0011736A" w:rsidRPr="0086352B" w:rsidP="0011736A">
            <w:pPr>
              <w:spacing w:line="240" w:lineRule="auto"/>
              <w:jc w:val="right"/>
              <w:rPr>
                <w:rFonts w:ascii="Arial Narrow" w:hAnsi="Arial Narrow" w:cs="Arial"/>
                <w:b/>
                <w:bCs/>
                <w:sz w:val="18"/>
                <w:szCs w:val="18"/>
                <w:lang w:val="cs-CZ"/>
              </w:rPr>
            </w:pPr>
            <w:r>
              <w:rPr>
                <w:rFonts w:ascii="Arial Narrow" w:hAnsi="Arial Narrow" w:cs="Arial"/>
                <w:b/>
                <w:bCs/>
                <w:sz w:val="18"/>
                <w:szCs w:val="18"/>
                <w:lang w:val="cs-CZ"/>
              </w:rPr>
              <w:t>121</w:t>
            </w:r>
          </w:p>
        </w:tc>
      </w:tr>
      <w:tr>
        <w:tblPrEx>
          <w:tblW w:w="9295" w:type="dxa"/>
          <w:tblInd w:w="55" w:type="dxa"/>
          <w:tblCellMar>
            <w:left w:w="70" w:type="dxa"/>
            <w:right w:w="70" w:type="dxa"/>
          </w:tblCellMar>
        </w:tblPrEx>
        <w:trPr>
          <w:trHeight w:val="227"/>
        </w:trPr>
        <w:tc>
          <w:tcPr>
            <w:tcW w:w="772" w:type="dxa"/>
            <w:tcBorders>
              <w:top w:val="nil"/>
              <w:left w:val="single" w:sz="12" w:space="0" w:color="auto"/>
              <w:bottom w:val="single" w:sz="8" w:space="0" w:color="auto"/>
              <w:right w:val="single" w:sz="8" w:space="0" w:color="auto"/>
              <w:tl2br w:val="nil"/>
              <w:tr2bl w:val="nil"/>
            </w:tcBorders>
            <w:noWrap/>
            <w:textDirection w:val="lrTb"/>
            <w:vAlign w:val="center"/>
          </w:tcPr>
          <w:p w:rsidR="0011736A" w:rsidRPr="0086352B" w:rsidP="0011736A">
            <w:pPr>
              <w:spacing w:line="240" w:lineRule="auto"/>
              <w:rPr>
                <w:rFonts w:ascii="Arial Narrow" w:hAnsi="Arial Narrow" w:cs="Arial"/>
                <w:sz w:val="18"/>
                <w:szCs w:val="18"/>
                <w:lang w:val="cs-CZ"/>
              </w:rPr>
            </w:pPr>
            <w:r w:rsidRPr="0086352B">
              <w:rPr>
                <w:rFonts w:ascii="Arial Narrow" w:hAnsi="Arial Narrow" w:cs="Arial"/>
                <w:sz w:val="18"/>
                <w:szCs w:val="18"/>
              </w:rPr>
              <w:t>07T0301</w:t>
            </w:r>
          </w:p>
        </w:tc>
        <w:tc>
          <w:tcPr>
            <w:tcW w:w="4823" w:type="dxa"/>
            <w:tcBorders>
              <w:top w:val="nil"/>
              <w:left w:val="nil"/>
              <w:bottom w:val="single" w:sz="8" w:space="0" w:color="auto"/>
              <w:right w:val="single" w:sz="8" w:space="0" w:color="auto"/>
              <w:tl2br w:val="nil"/>
              <w:tr2bl w:val="nil"/>
            </w:tcBorders>
            <w:textDirection w:val="lrTb"/>
            <w:vAlign w:val="center"/>
          </w:tcPr>
          <w:p w:rsidR="0011736A" w:rsidRPr="0086352B" w:rsidP="0011736A">
            <w:pPr>
              <w:spacing w:line="240" w:lineRule="auto"/>
              <w:rPr>
                <w:rFonts w:ascii="Arial Narrow" w:hAnsi="Arial Narrow" w:cs="Arial"/>
                <w:sz w:val="18"/>
                <w:szCs w:val="18"/>
                <w:lang w:val="cs-CZ"/>
              </w:rPr>
            </w:pPr>
            <w:r w:rsidRPr="0086352B">
              <w:rPr>
                <w:rFonts w:ascii="Arial Narrow" w:hAnsi="Arial Narrow" w:cs="Arial"/>
                <w:sz w:val="18"/>
                <w:szCs w:val="18"/>
              </w:rPr>
              <w:t>Regulácia dopravy na dráhach</w:t>
            </w:r>
          </w:p>
        </w:tc>
        <w:tc>
          <w:tcPr>
            <w:tcW w:w="940" w:type="dxa"/>
            <w:tcBorders>
              <w:top w:val="nil"/>
              <w:left w:val="nil"/>
              <w:bottom w:val="single" w:sz="8" w:space="0" w:color="auto"/>
              <w:right w:val="single" w:sz="8" w:space="0" w:color="auto"/>
              <w:tl2br w:val="nil"/>
              <w:tr2bl w:val="nil"/>
            </w:tcBorders>
            <w:noWrap/>
            <w:textDirection w:val="lrTb"/>
            <w:vAlign w:val="center"/>
          </w:tcPr>
          <w:p w:rsidR="0011736A" w:rsidRPr="0086352B" w:rsidP="0011736A">
            <w:pPr>
              <w:spacing w:line="240" w:lineRule="auto"/>
              <w:jc w:val="right"/>
              <w:rPr>
                <w:rFonts w:ascii="Arial Narrow" w:hAnsi="Arial Narrow" w:cs="Arial"/>
                <w:sz w:val="18"/>
                <w:szCs w:val="18"/>
                <w:lang w:val="cs-CZ"/>
              </w:rPr>
            </w:pPr>
            <w:r>
              <w:rPr>
                <w:rFonts w:ascii="Arial Narrow" w:hAnsi="Arial Narrow" w:cs="Arial"/>
                <w:sz w:val="18"/>
                <w:szCs w:val="18"/>
              </w:rPr>
              <w:t>50 086</w:t>
            </w:r>
          </w:p>
        </w:tc>
        <w:tc>
          <w:tcPr>
            <w:tcW w:w="960" w:type="dxa"/>
            <w:tcBorders>
              <w:top w:val="nil"/>
              <w:left w:val="nil"/>
              <w:bottom w:val="single" w:sz="8" w:space="0" w:color="auto"/>
              <w:right w:val="single" w:sz="8" w:space="0" w:color="auto"/>
              <w:tl2br w:val="nil"/>
              <w:tr2bl w:val="nil"/>
            </w:tcBorders>
            <w:noWrap/>
            <w:textDirection w:val="lrTb"/>
            <w:vAlign w:val="center"/>
          </w:tcPr>
          <w:p w:rsidR="0011736A" w:rsidRPr="0086352B" w:rsidP="0011736A">
            <w:pPr>
              <w:spacing w:line="240" w:lineRule="auto"/>
              <w:jc w:val="right"/>
              <w:rPr>
                <w:rFonts w:ascii="Arial Narrow" w:hAnsi="Arial Narrow" w:cs="Arial"/>
                <w:sz w:val="18"/>
                <w:szCs w:val="18"/>
                <w:lang w:val="cs-CZ"/>
              </w:rPr>
            </w:pPr>
            <w:r>
              <w:rPr>
                <w:rFonts w:ascii="Arial Narrow" w:hAnsi="Arial Narrow" w:cs="Arial"/>
                <w:sz w:val="18"/>
                <w:szCs w:val="18"/>
                <w:lang w:val="cs-CZ"/>
              </w:rPr>
              <w:t>39 239</w:t>
            </w:r>
          </w:p>
        </w:tc>
        <w:tc>
          <w:tcPr>
            <w:tcW w:w="960" w:type="dxa"/>
            <w:tcBorders>
              <w:top w:val="nil"/>
              <w:left w:val="nil"/>
              <w:bottom w:val="single" w:sz="8" w:space="0" w:color="auto"/>
              <w:right w:val="single" w:sz="8" w:space="0" w:color="auto"/>
              <w:tl2br w:val="nil"/>
              <w:tr2bl w:val="nil"/>
            </w:tcBorders>
            <w:noWrap/>
            <w:textDirection w:val="lrTb"/>
            <w:vAlign w:val="center"/>
          </w:tcPr>
          <w:p w:rsidR="0011736A" w:rsidRPr="0086352B" w:rsidP="0011736A">
            <w:pPr>
              <w:spacing w:line="240" w:lineRule="auto"/>
              <w:jc w:val="right"/>
              <w:rPr>
                <w:rFonts w:ascii="Arial Narrow" w:hAnsi="Arial Narrow" w:cs="Arial"/>
                <w:sz w:val="18"/>
                <w:szCs w:val="18"/>
                <w:lang w:val="cs-CZ"/>
              </w:rPr>
            </w:pPr>
            <w:r>
              <w:rPr>
                <w:rFonts w:ascii="Arial Narrow" w:hAnsi="Arial Narrow" w:cs="Arial"/>
                <w:sz w:val="18"/>
                <w:szCs w:val="18"/>
                <w:lang w:val="cs-CZ"/>
              </w:rPr>
              <w:t>38 054</w:t>
            </w:r>
          </w:p>
        </w:tc>
        <w:tc>
          <w:tcPr>
            <w:tcW w:w="840" w:type="dxa"/>
            <w:tcBorders>
              <w:top w:val="nil"/>
              <w:left w:val="nil"/>
              <w:bottom w:val="single" w:sz="8" w:space="0" w:color="auto"/>
              <w:right w:val="single" w:sz="12" w:space="0" w:color="auto"/>
              <w:tl2br w:val="nil"/>
              <w:tr2bl w:val="nil"/>
            </w:tcBorders>
            <w:noWrap/>
            <w:textDirection w:val="lrTb"/>
            <w:vAlign w:val="center"/>
          </w:tcPr>
          <w:p w:rsidR="0011736A" w:rsidRPr="0086352B" w:rsidP="0011736A">
            <w:pPr>
              <w:spacing w:line="240" w:lineRule="auto"/>
              <w:jc w:val="right"/>
              <w:rPr>
                <w:rFonts w:ascii="Arial Narrow" w:hAnsi="Arial Narrow" w:cs="Arial"/>
                <w:sz w:val="18"/>
                <w:szCs w:val="18"/>
                <w:lang w:val="cs-CZ"/>
              </w:rPr>
            </w:pPr>
            <w:r>
              <w:rPr>
                <w:rFonts w:ascii="Arial Narrow" w:hAnsi="Arial Narrow" w:cs="Arial"/>
                <w:sz w:val="18"/>
                <w:szCs w:val="18"/>
                <w:lang w:val="cs-CZ"/>
              </w:rPr>
              <w:t>0</w:t>
            </w:r>
          </w:p>
        </w:tc>
      </w:tr>
      <w:tr>
        <w:tblPrEx>
          <w:tblW w:w="9295" w:type="dxa"/>
          <w:tblInd w:w="55" w:type="dxa"/>
          <w:tblCellMar>
            <w:left w:w="70" w:type="dxa"/>
            <w:right w:w="70" w:type="dxa"/>
          </w:tblCellMar>
        </w:tblPrEx>
        <w:trPr>
          <w:trHeight w:val="227"/>
        </w:trPr>
        <w:tc>
          <w:tcPr>
            <w:tcW w:w="772" w:type="dxa"/>
            <w:tcBorders>
              <w:top w:val="nil"/>
              <w:left w:val="single" w:sz="12" w:space="0" w:color="auto"/>
              <w:bottom w:val="single" w:sz="8" w:space="0" w:color="auto"/>
              <w:right w:val="single" w:sz="8" w:space="0" w:color="auto"/>
              <w:tl2br w:val="nil"/>
              <w:tr2bl w:val="nil"/>
            </w:tcBorders>
            <w:noWrap/>
            <w:textDirection w:val="lrTb"/>
            <w:vAlign w:val="center"/>
          </w:tcPr>
          <w:p w:rsidR="0011736A" w:rsidRPr="0086352B" w:rsidP="0011736A">
            <w:pPr>
              <w:spacing w:line="240" w:lineRule="auto"/>
              <w:rPr>
                <w:rFonts w:ascii="Arial Narrow" w:hAnsi="Arial Narrow" w:cs="Arial"/>
                <w:sz w:val="18"/>
                <w:szCs w:val="18"/>
                <w:lang w:val="cs-CZ"/>
              </w:rPr>
            </w:pPr>
            <w:r w:rsidRPr="0086352B">
              <w:rPr>
                <w:rFonts w:ascii="Arial Narrow" w:hAnsi="Arial Narrow" w:cs="Arial"/>
                <w:sz w:val="18"/>
                <w:szCs w:val="18"/>
              </w:rPr>
              <w:t>07T0302</w:t>
            </w:r>
          </w:p>
        </w:tc>
        <w:tc>
          <w:tcPr>
            <w:tcW w:w="4823" w:type="dxa"/>
            <w:tcBorders>
              <w:top w:val="nil"/>
              <w:left w:val="nil"/>
              <w:bottom w:val="single" w:sz="8" w:space="0" w:color="auto"/>
              <w:right w:val="single" w:sz="8" w:space="0" w:color="auto"/>
              <w:tl2br w:val="nil"/>
              <w:tr2bl w:val="nil"/>
            </w:tcBorders>
            <w:textDirection w:val="lrTb"/>
            <w:vAlign w:val="center"/>
          </w:tcPr>
          <w:p w:rsidR="0011736A" w:rsidRPr="0086352B" w:rsidP="0011736A">
            <w:pPr>
              <w:spacing w:line="240" w:lineRule="auto"/>
              <w:rPr>
                <w:rFonts w:ascii="Arial Narrow" w:hAnsi="Arial Narrow" w:cs="Arial"/>
                <w:sz w:val="18"/>
                <w:szCs w:val="18"/>
                <w:lang w:val="cs-CZ"/>
              </w:rPr>
            </w:pPr>
            <w:r w:rsidRPr="0086352B">
              <w:rPr>
                <w:rFonts w:ascii="Arial Narrow" w:hAnsi="Arial Narrow" w:cs="Arial"/>
                <w:sz w:val="18"/>
                <w:szCs w:val="18"/>
              </w:rPr>
              <w:t>Regulácia telekomunikačného trhu</w:t>
            </w:r>
          </w:p>
        </w:tc>
        <w:tc>
          <w:tcPr>
            <w:tcW w:w="940" w:type="dxa"/>
            <w:tcBorders>
              <w:top w:val="nil"/>
              <w:left w:val="nil"/>
              <w:bottom w:val="single" w:sz="8" w:space="0" w:color="auto"/>
              <w:right w:val="single" w:sz="8" w:space="0" w:color="auto"/>
              <w:tl2br w:val="nil"/>
              <w:tr2bl w:val="nil"/>
            </w:tcBorders>
            <w:noWrap/>
            <w:textDirection w:val="lrTb"/>
            <w:vAlign w:val="center"/>
          </w:tcPr>
          <w:p w:rsidR="0011736A" w:rsidRPr="0086352B" w:rsidP="0011736A">
            <w:pPr>
              <w:spacing w:line="240" w:lineRule="auto"/>
              <w:jc w:val="right"/>
              <w:rPr>
                <w:rFonts w:ascii="Arial Narrow" w:hAnsi="Arial Narrow" w:cs="Arial"/>
                <w:sz w:val="18"/>
                <w:szCs w:val="18"/>
                <w:lang w:val="cs-CZ"/>
              </w:rPr>
            </w:pPr>
            <w:r>
              <w:rPr>
                <w:rFonts w:ascii="Arial Narrow" w:hAnsi="Arial Narrow" w:cs="Arial"/>
                <w:sz w:val="18"/>
                <w:szCs w:val="18"/>
              </w:rPr>
              <w:t>108 358</w:t>
            </w:r>
          </w:p>
        </w:tc>
        <w:tc>
          <w:tcPr>
            <w:tcW w:w="960" w:type="dxa"/>
            <w:tcBorders>
              <w:top w:val="nil"/>
              <w:left w:val="nil"/>
              <w:bottom w:val="single" w:sz="8" w:space="0" w:color="auto"/>
              <w:right w:val="single" w:sz="8" w:space="0" w:color="auto"/>
              <w:tl2br w:val="nil"/>
              <w:tr2bl w:val="nil"/>
            </w:tcBorders>
            <w:noWrap/>
            <w:textDirection w:val="lrTb"/>
            <w:vAlign w:val="center"/>
          </w:tcPr>
          <w:p w:rsidR="0011736A" w:rsidRPr="0086352B" w:rsidP="0011736A">
            <w:pPr>
              <w:spacing w:line="240" w:lineRule="auto"/>
              <w:jc w:val="right"/>
              <w:rPr>
                <w:rFonts w:ascii="Arial Narrow" w:hAnsi="Arial Narrow" w:cs="Arial"/>
                <w:sz w:val="18"/>
                <w:szCs w:val="18"/>
                <w:lang w:val="cs-CZ"/>
              </w:rPr>
            </w:pPr>
            <w:r>
              <w:rPr>
                <w:rFonts w:ascii="Arial Narrow" w:hAnsi="Arial Narrow" w:cs="Arial"/>
                <w:sz w:val="18"/>
                <w:szCs w:val="18"/>
                <w:lang w:val="cs-CZ"/>
              </w:rPr>
              <w:t>110 152</w:t>
            </w:r>
          </w:p>
        </w:tc>
        <w:tc>
          <w:tcPr>
            <w:tcW w:w="960" w:type="dxa"/>
            <w:tcBorders>
              <w:top w:val="nil"/>
              <w:left w:val="nil"/>
              <w:bottom w:val="single" w:sz="8" w:space="0" w:color="auto"/>
              <w:right w:val="single" w:sz="8" w:space="0" w:color="auto"/>
              <w:tl2br w:val="nil"/>
              <w:tr2bl w:val="nil"/>
            </w:tcBorders>
            <w:noWrap/>
            <w:textDirection w:val="lrTb"/>
            <w:vAlign w:val="center"/>
          </w:tcPr>
          <w:p w:rsidR="0011736A" w:rsidRPr="0086352B" w:rsidP="0011736A">
            <w:pPr>
              <w:spacing w:line="240" w:lineRule="auto"/>
              <w:jc w:val="right"/>
              <w:rPr>
                <w:rFonts w:ascii="Arial Narrow" w:hAnsi="Arial Narrow" w:cs="Arial"/>
                <w:sz w:val="18"/>
                <w:szCs w:val="18"/>
                <w:lang w:val="cs-CZ"/>
              </w:rPr>
            </w:pPr>
            <w:r>
              <w:rPr>
                <w:rFonts w:ascii="Arial Narrow" w:hAnsi="Arial Narrow" w:cs="Arial"/>
                <w:sz w:val="18"/>
                <w:szCs w:val="18"/>
                <w:lang w:val="cs-CZ"/>
              </w:rPr>
              <w:t>110 064</w:t>
            </w:r>
          </w:p>
        </w:tc>
        <w:tc>
          <w:tcPr>
            <w:tcW w:w="840" w:type="dxa"/>
            <w:tcBorders>
              <w:top w:val="nil"/>
              <w:left w:val="nil"/>
              <w:bottom w:val="single" w:sz="8" w:space="0" w:color="auto"/>
              <w:right w:val="single" w:sz="12" w:space="0" w:color="auto"/>
              <w:tl2br w:val="nil"/>
              <w:tr2bl w:val="nil"/>
            </w:tcBorders>
            <w:noWrap/>
            <w:textDirection w:val="lrTb"/>
            <w:vAlign w:val="center"/>
          </w:tcPr>
          <w:p w:rsidR="0011736A" w:rsidRPr="0086352B" w:rsidP="0011736A">
            <w:pPr>
              <w:spacing w:line="240" w:lineRule="auto"/>
              <w:jc w:val="right"/>
              <w:rPr>
                <w:rFonts w:ascii="Arial Narrow" w:hAnsi="Arial Narrow" w:cs="Arial"/>
                <w:sz w:val="18"/>
                <w:szCs w:val="18"/>
                <w:lang w:val="cs-CZ"/>
              </w:rPr>
            </w:pPr>
            <w:r>
              <w:rPr>
                <w:rFonts w:ascii="Arial Narrow" w:hAnsi="Arial Narrow" w:cs="Arial"/>
                <w:sz w:val="18"/>
                <w:szCs w:val="18"/>
                <w:lang w:val="cs-CZ"/>
              </w:rPr>
              <w:t>0</w:t>
            </w:r>
          </w:p>
        </w:tc>
      </w:tr>
      <w:tr>
        <w:tblPrEx>
          <w:tblW w:w="9295" w:type="dxa"/>
          <w:tblInd w:w="55" w:type="dxa"/>
          <w:tblCellMar>
            <w:left w:w="70" w:type="dxa"/>
            <w:right w:w="70" w:type="dxa"/>
          </w:tblCellMar>
        </w:tblPrEx>
        <w:trPr>
          <w:trHeight w:val="227"/>
        </w:trPr>
        <w:tc>
          <w:tcPr>
            <w:tcW w:w="772" w:type="dxa"/>
            <w:tcBorders>
              <w:top w:val="nil"/>
              <w:left w:val="single" w:sz="12" w:space="0" w:color="auto"/>
              <w:bottom w:val="single" w:sz="8" w:space="0" w:color="auto"/>
              <w:right w:val="single" w:sz="8" w:space="0" w:color="auto"/>
              <w:tl2br w:val="nil"/>
              <w:tr2bl w:val="nil"/>
            </w:tcBorders>
            <w:noWrap/>
            <w:textDirection w:val="lrTb"/>
            <w:vAlign w:val="center"/>
          </w:tcPr>
          <w:p w:rsidR="0011736A" w:rsidRPr="0086352B" w:rsidP="0011736A">
            <w:pPr>
              <w:spacing w:line="240" w:lineRule="auto"/>
              <w:rPr>
                <w:rFonts w:ascii="Arial Narrow" w:hAnsi="Arial Narrow" w:cs="Arial"/>
                <w:sz w:val="18"/>
                <w:szCs w:val="18"/>
                <w:lang w:val="cs-CZ"/>
              </w:rPr>
            </w:pPr>
            <w:r w:rsidRPr="0086352B">
              <w:rPr>
                <w:rFonts w:ascii="Arial Narrow" w:hAnsi="Arial Narrow" w:cs="Arial"/>
                <w:sz w:val="18"/>
                <w:szCs w:val="18"/>
              </w:rPr>
              <w:t>07T0303</w:t>
            </w:r>
          </w:p>
        </w:tc>
        <w:tc>
          <w:tcPr>
            <w:tcW w:w="4823" w:type="dxa"/>
            <w:tcBorders>
              <w:top w:val="nil"/>
              <w:left w:val="nil"/>
              <w:bottom w:val="single" w:sz="8" w:space="0" w:color="auto"/>
              <w:right w:val="single" w:sz="8" w:space="0" w:color="auto"/>
              <w:tl2br w:val="nil"/>
              <w:tr2bl w:val="nil"/>
            </w:tcBorders>
            <w:textDirection w:val="lrTb"/>
            <w:vAlign w:val="center"/>
          </w:tcPr>
          <w:p w:rsidR="0011736A" w:rsidRPr="0086352B" w:rsidP="0011736A">
            <w:pPr>
              <w:spacing w:line="240" w:lineRule="auto"/>
              <w:rPr>
                <w:rFonts w:ascii="Arial Narrow" w:hAnsi="Arial Narrow" w:cs="Arial"/>
                <w:sz w:val="18"/>
                <w:szCs w:val="18"/>
                <w:lang w:val="cs-CZ"/>
              </w:rPr>
            </w:pPr>
            <w:r w:rsidRPr="0086352B">
              <w:rPr>
                <w:rFonts w:ascii="Arial Narrow" w:hAnsi="Arial Narrow" w:cs="Arial"/>
                <w:sz w:val="18"/>
                <w:szCs w:val="18"/>
              </w:rPr>
              <w:t>Regulácia v civilnom letectve</w:t>
            </w:r>
          </w:p>
        </w:tc>
        <w:tc>
          <w:tcPr>
            <w:tcW w:w="940" w:type="dxa"/>
            <w:tcBorders>
              <w:top w:val="nil"/>
              <w:left w:val="nil"/>
              <w:bottom w:val="single" w:sz="8" w:space="0" w:color="auto"/>
              <w:right w:val="single" w:sz="8" w:space="0" w:color="auto"/>
              <w:tl2br w:val="nil"/>
              <w:tr2bl w:val="nil"/>
            </w:tcBorders>
            <w:noWrap/>
            <w:textDirection w:val="lrTb"/>
            <w:vAlign w:val="center"/>
          </w:tcPr>
          <w:p w:rsidR="0011736A" w:rsidRPr="0086352B" w:rsidP="0011736A">
            <w:pPr>
              <w:spacing w:line="240" w:lineRule="auto"/>
              <w:jc w:val="right"/>
              <w:rPr>
                <w:rFonts w:ascii="Arial Narrow" w:hAnsi="Arial Narrow" w:cs="Arial"/>
                <w:sz w:val="18"/>
                <w:szCs w:val="18"/>
                <w:lang w:val="cs-CZ"/>
              </w:rPr>
            </w:pPr>
            <w:r>
              <w:rPr>
                <w:rFonts w:ascii="Arial Narrow" w:hAnsi="Arial Narrow" w:cs="Arial"/>
                <w:sz w:val="18"/>
                <w:szCs w:val="18"/>
              </w:rPr>
              <w:t>57 334</w:t>
            </w:r>
          </w:p>
        </w:tc>
        <w:tc>
          <w:tcPr>
            <w:tcW w:w="960" w:type="dxa"/>
            <w:tcBorders>
              <w:top w:val="nil"/>
              <w:left w:val="nil"/>
              <w:bottom w:val="single" w:sz="8" w:space="0" w:color="auto"/>
              <w:right w:val="single" w:sz="8" w:space="0" w:color="auto"/>
              <w:tl2br w:val="nil"/>
              <w:tr2bl w:val="nil"/>
            </w:tcBorders>
            <w:noWrap/>
            <w:textDirection w:val="lrTb"/>
            <w:vAlign w:val="center"/>
          </w:tcPr>
          <w:p w:rsidR="0011736A" w:rsidRPr="0086352B" w:rsidP="0011736A">
            <w:pPr>
              <w:spacing w:line="240" w:lineRule="auto"/>
              <w:jc w:val="right"/>
              <w:rPr>
                <w:rFonts w:ascii="Arial Narrow" w:hAnsi="Arial Narrow" w:cs="Arial"/>
                <w:sz w:val="18"/>
                <w:szCs w:val="18"/>
                <w:lang w:val="cs-CZ"/>
              </w:rPr>
            </w:pPr>
            <w:r>
              <w:rPr>
                <w:rFonts w:ascii="Arial Narrow" w:hAnsi="Arial Narrow" w:cs="Arial"/>
                <w:sz w:val="18"/>
                <w:szCs w:val="18"/>
                <w:lang w:val="cs-CZ"/>
              </w:rPr>
              <w:t>63 429</w:t>
            </w:r>
          </w:p>
        </w:tc>
        <w:tc>
          <w:tcPr>
            <w:tcW w:w="960" w:type="dxa"/>
            <w:tcBorders>
              <w:top w:val="nil"/>
              <w:left w:val="nil"/>
              <w:bottom w:val="single" w:sz="8" w:space="0" w:color="auto"/>
              <w:right w:val="single" w:sz="8" w:space="0" w:color="auto"/>
              <w:tl2br w:val="nil"/>
              <w:tr2bl w:val="nil"/>
            </w:tcBorders>
            <w:noWrap/>
            <w:textDirection w:val="lrTb"/>
            <w:vAlign w:val="center"/>
          </w:tcPr>
          <w:p w:rsidR="0011736A" w:rsidRPr="0086352B" w:rsidP="0011736A">
            <w:pPr>
              <w:spacing w:line="240" w:lineRule="auto"/>
              <w:jc w:val="right"/>
              <w:rPr>
                <w:rFonts w:ascii="Arial Narrow" w:hAnsi="Arial Narrow" w:cs="Arial"/>
                <w:sz w:val="18"/>
                <w:szCs w:val="18"/>
                <w:lang w:val="cs-CZ"/>
              </w:rPr>
            </w:pPr>
            <w:r>
              <w:rPr>
                <w:rFonts w:ascii="Arial Narrow" w:hAnsi="Arial Narrow" w:cs="Arial"/>
                <w:sz w:val="18"/>
                <w:szCs w:val="18"/>
                <w:lang w:val="cs-CZ"/>
              </w:rPr>
              <w:t>63 322</w:t>
            </w:r>
          </w:p>
        </w:tc>
        <w:tc>
          <w:tcPr>
            <w:tcW w:w="840" w:type="dxa"/>
            <w:tcBorders>
              <w:top w:val="nil"/>
              <w:left w:val="nil"/>
              <w:bottom w:val="single" w:sz="8" w:space="0" w:color="auto"/>
              <w:right w:val="single" w:sz="12" w:space="0" w:color="auto"/>
              <w:tl2br w:val="nil"/>
              <w:tr2bl w:val="nil"/>
            </w:tcBorders>
            <w:noWrap/>
            <w:textDirection w:val="lrTb"/>
            <w:vAlign w:val="center"/>
          </w:tcPr>
          <w:p w:rsidR="0011736A" w:rsidRPr="0086352B" w:rsidP="0011736A">
            <w:pPr>
              <w:spacing w:line="240" w:lineRule="auto"/>
              <w:jc w:val="right"/>
              <w:rPr>
                <w:rFonts w:ascii="Arial Narrow" w:hAnsi="Arial Narrow" w:cs="Arial"/>
                <w:sz w:val="18"/>
                <w:szCs w:val="18"/>
                <w:lang w:val="cs-CZ"/>
              </w:rPr>
            </w:pPr>
            <w:r>
              <w:rPr>
                <w:rFonts w:ascii="Arial Narrow" w:hAnsi="Arial Narrow" w:cs="Arial"/>
                <w:sz w:val="18"/>
                <w:szCs w:val="18"/>
                <w:lang w:val="cs-CZ"/>
              </w:rPr>
              <w:t>0</w:t>
            </w:r>
          </w:p>
        </w:tc>
      </w:tr>
      <w:tr>
        <w:tblPrEx>
          <w:tblW w:w="9295" w:type="dxa"/>
          <w:tblInd w:w="55" w:type="dxa"/>
          <w:tblCellMar>
            <w:left w:w="70" w:type="dxa"/>
            <w:right w:w="70" w:type="dxa"/>
          </w:tblCellMar>
        </w:tblPrEx>
        <w:trPr>
          <w:trHeight w:val="227"/>
        </w:trPr>
        <w:tc>
          <w:tcPr>
            <w:tcW w:w="772" w:type="dxa"/>
            <w:tcBorders>
              <w:top w:val="nil"/>
              <w:left w:val="single" w:sz="12" w:space="0" w:color="auto"/>
              <w:bottom w:val="single" w:sz="8" w:space="0" w:color="auto"/>
              <w:right w:val="single" w:sz="8" w:space="0" w:color="auto"/>
              <w:tl2br w:val="nil"/>
              <w:tr2bl w:val="nil"/>
            </w:tcBorders>
            <w:noWrap/>
            <w:textDirection w:val="lrTb"/>
            <w:vAlign w:val="center"/>
          </w:tcPr>
          <w:p w:rsidR="0011736A" w:rsidRPr="0086352B" w:rsidP="0011736A">
            <w:pPr>
              <w:spacing w:line="240" w:lineRule="auto"/>
              <w:rPr>
                <w:rFonts w:ascii="Arial Narrow" w:hAnsi="Arial Narrow" w:cs="Arial"/>
                <w:sz w:val="18"/>
                <w:szCs w:val="18"/>
                <w:lang w:val="cs-CZ"/>
              </w:rPr>
            </w:pPr>
            <w:r w:rsidRPr="0086352B">
              <w:rPr>
                <w:rFonts w:ascii="Arial Narrow" w:hAnsi="Arial Narrow" w:cs="Arial"/>
                <w:sz w:val="18"/>
                <w:szCs w:val="18"/>
              </w:rPr>
              <w:t>07T0304</w:t>
            </w:r>
          </w:p>
        </w:tc>
        <w:tc>
          <w:tcPr>
            <w:tcW w:w="4823" w:type="dxa"/>
            <w:tcBorders>
              <w:top w:val="nil"/>
              <w:left w:val="nil"/>
              <w:bottom w:val="single" w:sz="8" w:space="0" w:color="auto"/>
              <w:right w:val="single" w:sz="8" w:space="0" w:color="auto"/>
              <w:tl2br w:val="nil"/>
              <w:tr2bl w:val="nil"/>
            </w:tcBorders>
            <w:textDirection w:val="lrTb"/>
            <w:vAlign w:val="center"/>
          </w:tcPr>
          <w:p w:rsidR="0011736A" w:rsidRPr="0086352B" w:rsidP="0011736A">
            <w:pPr>
              <w:spacing w:line="240" w:lineRule="auto"/>
              <w:rPr>
                <w:rFonts w:ascii="Arial Narrow" w:hAnsi="Arial Narrow" w:cs="Arial"/>
                <w:sz w:val="18"/>
                <w:szCs w:val="18"/>
                <w:lang w:val="cs-CZ"/>
              </w:rPr>
            </w:pPr>
            <w:r w:rsidRPr="0086352B">
              <w:rPr>
                <w:rFonts w:ascii="Arial Narrow" w:hAnsi="Arial Narrow" w:cs="Arial"/>
                <w:sz w:val="18"/>
                <w:szCs w:val="18"/>
              </w:rPr>
              <w:t>Regulácia trhu poštových služieb</w:t>
            </w:r>
          </w:p>
        </w:tc>
        <w:tc>
          <w:tcPr>
            <w:tcW w:w="940" w:type="dxa"/>
            <w:tcBorders>
              <w:top w:val="nil"/>
              <w:left w:val="nil"/>
              <w:bottom w:val="single" w:sz="8" w:space="0" w:color="auto"/>
              <w:right w:val="single" w:sz="8" w:space="0" w:color="auto"/>
              <w:tl2br w:val="nil"/>
              <w:tr2bl w:val="nil"/>
            </w:tcBorders>
            <w:noWrap/>
            <w:textDirection w:val="lrTb"/>
            <w:vAlign w:val="center"/>
          </w:tcPr>
          <w:p w:rsidR="0011736A" w:rsidRPr="0086352B" w:rsidP="0011736A">
            <w:pPr>
              <w:spacing w:line="240" w:lineRule="auto"/>
              <w:jc w:val="right"/>
              <w:rPr>
                <w:rFonts w:ascii="Arial Narrow" w:hAnsi="Arial Narrow" w:cs="Arial"/>
                <w:sz w:val="18"/>
                <w:szCs w:val="18"/>
                <w:lang w:val="cs-CZ"/>
              </w:rPr>
            </w:pPr>
            <w:r>
              <w:rPr>
                <w:rFonts w:ascii="Arial Narrow" w:hAnsi="Arial Narrow" w:cs="Arial"/>
                <w:sz w:val="18"/>
                <w:szCs w:val="18"/>
              </w:rPr>
              <w:t>11 387</w:t>
            </w:r>
          </w:p>
        </w:tc>
        <w:tc>
          <w:tcPr>
            <w:tcW w:w="960" w:type="dxa"/>
            <w:tcBorders>
              <w:top w:val="nil"/>
              <w:left w:val="nil"/>
              <w:bottom w:val="single" w:sz="8" w:space="0" w:color="auto"/>
              <w:right w:val="single" w:sz="8" w:space="0" w:color="auto"/>
              <w:tl2br w:val="nil"/>
              <w:tr2bl w:val="nil"/>
            </w:tcBorders>
            <w:noWrap/>
            <w:textDirection w:val="lrTb"/>
            <w:vAlign w:val="center"/>
          </w:tcPr>
          <w:p w:rsidR="0011736A" w:rsidRPr="0086352B" w:rsidP="0011736A">
            <w:pPr>
              <w:spacing w:line="240" w:lineRule="auto"/>
              <w:jc w:val="right"/>
              <w:rPr>
                <w:rFonts w:ascii="Arial Narrow" w:hAnsi="Arial Narrow" w:cs="Arial"/>
                <w:sz w:val="18"/>
                <w:szCs w:val="18"/>
                <w:lang w:val="cs-CZ"/>
              </w:rPr>
            </w:pPr>
            <w:r>
              <w:rPr>
                <w:rFonts w:ascii="Arial Narrow" w:hAnsi="Arial Narrow" w:cs="Arial"/>
                <w:sz w:val="18"/>
                <w:szCs w:val="18"/>
                <w:lang w:val="cs-CZ"/>
              </w:rPr>
              <w:t>11 752</w:t>
            </w:r>
          </w:p>
        </w:tc>
        <w:tc>
          <w:tcPr>
            <w:tcW w:w="960" w:type="dxa"/>
            <w:tcBorders>
              <w:top w:val="nil"/>
              <w:left w:val="nil"/>
              <w:bottom w:val="single" w:sz="8" w:space="0" w:color="auto"/>
              <w:right w:val="single" w:sz="8" w:space="0" w:color="auto"/>
              <w:tl2br w:val="nil"/>
              <w:tr2bl w:val="nil"/>
            </w:tcBorders>
            <w:noWrap/>
            <w:textDirection w:val="lrTb"/>
            <w:vAlign w:val="center"/>
          </w:tcPr>
          <w:p w:rsidR="0011736A" w:rsidRPr="0086352B" w:rsidP="0011736A">
            <w:pPr>
              <w:spacing w:line="240" w:lineRule="auto"/>
              <w:jc w:val="right"/>
              <w:rPr>
                <w:rFonts w:ascii="Arial Narrow" w:hAnsi="Arial Narrow" w:cs="Arial"/>
                <w:sz w:val="18"/>
                <w:szCs w:val="18"/>
                <w:lang w:val="cs-CZ"/>
              </w:rPr>
            </w:pPr>
            <w:r>
              <w:rPr>
                <w:rFonts w:ascii="Arial Narrow" w:hAnsi="Arial Narrow" w:cs="Arial"/>
                <w:sz w:val="18"/>
                <w:szCs w:val="18"/>
                <w:lang w:val="cs-CZ"/>
              </w:rPr>
              <w:t>11 734</w:t>
            </w:r>
          </w:p>
        </w:tc>
        <w:tc>
          <w:tcPr>
            <w:tcW w:w="840" w:type="dxa"/>
            <w:tcBorders>
              <w:top w:val="nil"/>
              <w:left w:val="nil"/>
              <w:bottom w:val="single" w:sz="8" w:space="0" w:color="auto"/>
              <w:right w:val="single" w:sz="12" w:space="0" w:color="auto"/>
              <w:tl2br w:val="nil"/>
              <w:tr2bl w:val="nil"/>
            </w:tcBorders>
            <w:noWrap/>
            <w:textDirection w:val="lrTb"/>
            <w:vAlign w:val="center"/>
          </w:tcPr>
          <w:p w:rsidR="0011736A" w:rsidRPr="0086352B" w:rsidP="0011736A">
            <w:pPr>
              <w:spacing w:line="240" w:lineRule="auto"/>
              <w:jc w:val="right"/>
              <w:rPr>
                <w:rFonts w:ascii="Arial Narrow" w:hAnsi="Arial Narrow" w:cs="Arial"/>
                <w:sz w:val="18"/>
                <w:szCs w:val="18"/>
                <w:lang w:val="cs-CZ"/>
              </w:rPr>
            </w:pPr>
            <w:r>
              <w:rPr>
                <w:rFonts w:ascii="Arial Narrow" w:hAnsi="Arial Narrow" w:cs="Arial"/>
                <w:sz w:val="18"/>
                <w:szCs w:val="18"/>
                <w:lang w:val="cs-CZ"/>
              </w:rPr>
              <w:t>0</w:t>
            </w:r>
          </w:p>
        </w:tc>
      </w:tr>
      <w:tr>
        <w:tblPrEx>
          <w:tblW w:w="9295" w:type="dxa"/>
          <w:tblInd w:w="55" w:type="dxa"/>
          <w:tblCellMar>
            <w:left w:w="70" w:type="dxa"/>
            <w:right w:w="70" w:type="dxa"/>
          </w:tblCellMar>
        </w:tblPrEx>
        <w:trPr>
          <w:trHeight w:val="227"/>
        </w:trPr>
        <w:tc>
          <w:tcPr>
            <w:tcW w:w="772" w:type="dxa"/>
            <w:tcBorders>
              <w:top w:val="nil"/>
              <w:left w:val="single" w:sz="12" w:space="0" w:color="auto"/>
              <w:bottom w:val="single" w:sz="8" w:space="0" w:color="auto"/>
              <w:right w:val="single" w:sz="8" w:space="0" w:color="auto"/>
              <w:tl2br w:val="nil"/>
              <w:tr2bl w:val="nil"/>
            </w:tcBorders>
            <w:noWrap/>
            <w:textDirection w:val="lrTb"/>
            <w:vAlign w:val="center"/>
          </w:tcPr>
          <w:p w:rsidR="0011736A" w:rsidRPr="0086352B" w:rsidP="0011736A">
            <w:pPr>
              <w:spacing w:line="240" w:lineRule="auto"/>
              <w:rPr>
                <w:rFonts w:ascii="Arial Narrow" w:hAnsi="Arial Narrow" w:cs="Arial"/>
                <w:sz w:val="18"/>
                <w:szCs w:val="18"/>
                <w:lang w:val="cs-CZ"/>
              </w:rPr>
            </w:pPr>
            <w:r w:rsidRPr="0086352B">
              <w:rPr>
                <w:rFonts w:ascii="Arial Narrow" w:hAnsi="Arial Narrow" w:cs="Arial"/>
                <w:sz w:val="18"/>
                <w:szCs w:val="18"/>
              </w:rPr>
              <w:t>07T0305</w:t>
            </w:r>
          </w:p>
        </w:tc>
        <w:tc>
          <w:tcPr>
            <w:tcW w:w="4823" w:type="dxa"/>
            <w:tcBorders>
              <w:top w:val="nil"/>
              <w:left w:val="nil"/>
              <w:bottom w:val="single" w:sz="8" w:space="0" w:color="auto"/>
              <w:right w:val="single" w:sz="8" w:space="0" w:color="auto"/>
              <w:tl2br w:val="nil"/>
              <w:tr2bl w:val="nil"/>
            </w:tcBorders>
            <w:textDirection w:val="lrTb"/>
            <w:vAlign w:val="center"/>
          </w:tcPr>
          <w:p w:rsidR="0011736A" w:rsidRPr="0086352B" w:rsidP="0011736A">
            <w:pPr>
              <w:spacing w:line="240" w:lineRule="auto"/>
              <w:rPr>
                <w:rFonts w:ascii="Arial Narrow" w:hAnsi="Arial Narrow" w:cs="Arial"/>
                <w:sz w:val="18"/>
                <w:szCs w:val="18"/>
                <w:lang w:val="cs-CZ"/>
              </w:rPr>
            </w:pPr>
            <w:r w:rsidRPr="0086352B">
              <w:rPr>
                <w:rFonts w:ascii="Arial Narrow" w:hAnsi="Arial Narrow" w:cs="Arial"/>
                <w:sz w:val="18"/>
                <w:szCs w:val="18"/>
              </w:rPr>
              <w:t>Regulácia vodnej dopravy</w:t>
            </w:r>
          </w:p>
        </w:tc>
        <w:tc>
          <w:tcPr>
            <w:tcW w:w="940" w:type="dxa"/>
            <w:tcBorders>
              <w:top w:val="nil"/>
              <w:left w:val="nil"/>
              <w:bottom w:val="single" w:sz="8" w:space="0" w:color="auto"/>
              <w:right w:val="single" w:sz="8" w:space="0" w:color="auto"/>
              <w:tl2br w:val="nil"/>
              <w:tr2bl w:val="nil"/>
            </w:tcBorders>
            <w:noWrap/>
            <w:textDirection w:val="lrTb"/>
            <w:vAlign w:val="center"/>
          </w:tcPr>
          <w:p w:rsidR="0011736A" w:rsidRPr="0086352B" w:rsidP="0011736A">
            <w:pPr>
              <w:spacing w:line="240" w:lineRule="auto"/>
              <w:jc w:val="right"/>
              <w:rPr>
                <w:rFonts w:ascii="Arial Narrow" w:hAnsi="Arial Narrow" w:cs="Arial"/>
                <w:sz w:val="18"/>
                <w:szCs w:val="18"/>
                <w:lang w:val="cs-CZ"/>
              </w:rPr>
            </w:pPr>
            <w:r>
              <w:rPr>
                <w:rFonts w:ascii="Arial Narrow" w:hAnsi="Arial Narrow" w:cs="Arial"/>
                <w:sz w:val="18"/>
                <w:szCs w:val="18"/>
              </w:rPr>
              <w:t>40 079</w:t>
            </w:r>
          </w:p>
        </w:tc>
        <w:tc>
          <w:tcPr>
            <w:tcW w:w="960" w:type="dxa"/>
            <w:tcBorders>
              <w:top w:val="nil"/>
              <w:left w:val="nil"/>
              <w:bottom w:val="single" w:sz="8" w:space="0" w:color="auto"/>
              <w:right w:val="single" w:sz="8" w:space="0" w:color="auto"/>
              <w:tl2br w:val="nil"/>
              <w:tr2bl w:val="nil"/>
            </w:tcBorders>
            <w:noWrap/>
            <w:textDirection w:val="lrTb"/>
            <w:vAlign w:val="center"/>
          </w:tcPr>
          <w:p w:rsidR="0011736A" w:rsidRPr="0086352B" w:rsidP="0011736A">
            <w:pPr>
              <w:spacing w:line="240" w:lineRule="auto"/>
              <w:jc w:val="right"/>
              <w:rPr>
                <w:rFonts w:ascii="Arial Narrow" w:hAnsi="Arial Narrow" w:cs="Arial"/>
                <w:sz w:val="18"/>
                <w:szCs w:val="18"/>
                <w:lang w:val="cs-CZ"/>
              </w:rPr>
            </w:pPr>
            <w:r>
              <w:rPr>
                <w:rFonts w:ascii="Arial Narrow" w:hAnsi="Arial Narrow" w:cs="Arial"/>
                <w:sz w:val="18"/>
                <w:szCs w:val="18"/>
                <w:lang w:val="cs-CZ"/>
              </w:rPr>
              <w:t>41 381</w:t>
            </w:r>
          </w:p>
        </w:tc>
        <w:tc>
          <w:tcPr>
            <w:tcW w:w="960" w:type="dxa"/>
            <w:tcBorders>
              <w:top w:val="nil"/>
              <w:left w:val="nil"/>
              <w:bottom w:val="single" w:sz="8" w:space="0" w:color="auto"/>
              <w:right w:val="single" w:sz="8" w:space="0" w:color="auto"/>
              <w:tl2br w:val="nil"/>
              <w:tr2bl w:val="nil"/>
            </w:tcBorders>
            <w:noWrap/>
            <w:textDirection w:val="lrTb"/>
            <w:vAlign w:val="center"/>
          </w:tcPr>
          <w:p w:rsidR="0011736A" w:rsidRPr="0086352B" w:rsidP="0011736A">
            <w:pPr>
              <w:spacing w:line="240" w:lineRule="auto"/>
              <w:jc w:val="right"/>
              <w:rPr>
                <w:rFonts w:ascii="Arial Narrow" w:hAnsi="Arial Narrow" w:cs="Arial"/>
                <w:sz w:val="18"/>
                <w:szCs w:val="18"/>
                <w:lang w:val="cs-CZ"/>
              </w:rPr>
            </w:pPr>
            <w:r>
              <w:rPr>
                <w:rFonts w:ascii="Arial Narrow" w:hAnsi="Arial Narrow" w:cs="Arial"/>
                <w:sz w:val="18"/>
                <w:szCs w:val="18"/>
                <w:lang w:val="cs-CZ"/>
              </w:rPr>
              <w:t>41 375</w:t>
            </w:r>
          </w:p>
        </w:tc>
        <w:tc>
          <w:tcPr>
            <w:tcW w:w="840" w:type="dxa"/>
            <w:tcBorders>
              <w:top w:val="nil"/>
              <w:left w:val="nil"/>
              <w:bottom w:val="single" w:sz="8" w:space="0" w:color="auto"/>
              <w:right w:val="single" w:sz="12" w:space="0" w:color="auto"/>
              <w:tl2br w:val="nil"/>
              <w:tr2bl w:val="nil"/>
            </w:tcBorders>
            <w:noWrap/>
            <w:textDirection w:val="lrTb"/>
            <w:vAlign w:val="center"/>
          </w:tcPr>
          <w:p w:rsidR="0011736A" w:rsidRPr="0086352B" w:rsidP="0011736A">
            <w:pPr>
              <w:spacing w:line="240" w:lineRule="auto"/>
              <w:jc w:val="right"/>
              <w:rPr>
                <w:rFonts w:ascii="Arial Narrow" w:hAnsi="Arial Narrow" w:cs="Arial"/>
                <w:sz w:val="18"/>
                <w:szCs w:val="18"/>
                <w:lang w:val="cs-CZ"/>
              </w:rPr>
            </w:pPr>
            <w:r>
              <w:rPr>
                <w:rFonts w:ascii="Arial Narrow" w:hAnsi="Arial Narrow" w:cs="Arial"/>
                <w:sz w:val="18"/>
                <w:szCs w:val="18"/>
                <w:lang w:val="cs-CZ"/>
              </w:rPr>
              <w:t>0</w:t>
            </w:r>
          </w:p>
        </w:tc>
      </w:tr>
      <w:tr>
        <w:tblPrEx>
          <w:tblW w:w="9295" w:type="dxa"/>
          <w:tblInd w:w="55" w:type="dxa"/>
          <w:tblCellMar>
            <w:left w:w="70" w:type="dxa"/>
            <w:right w:w="70" w:type="dxa"/>
          </w:tblCellMar>
        </w:tblPrEx>
        <w:trPr>
          <w:trHeight w:val="227"/>
        </w:trPr>
        <w:tc>
          <w:tcPr>
            <w:tcW w:w="772" w:type="dxa"/>
            <w:tcBorders>
              <w:top w:val="nil"/>
              <w:left w:val="single" w:sz="12" w:space="0" w:color="auto"/>
              <w:bottom w:val="single" w:sz="8" w:space="0" w:color="auto"/>
              <w:right w:val="single" w:sz="8" w:space="0" w:color="auto"/>
              <w:tl2br w:val="nil"/>
              <w:tr2bl w:val="nil"/>
            </w:tcBorders>
            <w:noWrap/>
            <w:textDirection w:val="lrTb"/>
            <w:vAlign w:val="center"/>
          </w:tcPr>
          <w:p w:rsidR="0011736A" w:rsidRPr="0086352B" w:rsidP="0011736A">
            <w:pPr>
              <w:spacing w:line="240" w:lineRule="auto"/>
              <w:rPr>
                <w:rFonts w:ascii="Arial Narrow" w:hAnsi="Arial Narrow" w:cs="Arial"/>
                <w:sz w:val="18"/>
                <w:szCs w:val="18"/>
                <w:lang w:val="cs-CZ"/>
              </w:rPr>
            </w:pPr>
            <w:r w:rsidRPr="0086352B">
              <w:rPr>
                <w:rFonts w:ascii="Arial Narrow" w:hAnsi="Arial Narrow" w:cs="Arial"/>
                <w:sz w:val="18"/>
                <w:szCs w:val="18"/>
              </w:rPr>
              <w:t>07T0306</w:t>
            </w:r>
          </w:p>
        </w:tc>
        <w:tc>
          <w:tcPr>
            <w:tcW w:w="4823" w:type="dxa"/>
            <w:tcBorders>
              <w:top w:val="nil"/>
              <w:left w:val="nil"/>
              <w:bottom w:val="single" w:sz="8" w:space="0" w:color="auto"/>
              <w:right w:val="single" w:sz="8" w:space="0" w:color="auto"/>
              <w:tl2br w:val="nil"/>
              <w:tr2bl w:val="nil"/>
            </w:tcBorders>
            <w:textDirection w:val="lrTb"/>
            <w:vAlign w:val="center"/>
          </w:tcPr>
          <w:p w:rsidR="0011736A" w:rsidRPr="0086352B" w:rsidP="0011736A">
            <w:pPr>
              <w:spacing w:line="240" w:lineRule="auto"/>
              <w:rPr>
                <w:rFonts w:ascii="Arial Narrow" w:hAnsi="Arial Narrow" w:cs="Arial"/>
                <w:sz w:val="18"/>
                <w:szCs w:val="18"/>
                <w:lang w:val="cs-CZ"/>
              </w:rPr>
            </w:pPr>
            <w:r w:rsidRPr="0086352B">
              <w:rPr>
                <w:rFonts w:ascii="Arial Narrow" w:hAnsi="Arial Narrow" w:cs="Arial"/>
                <w:sz w:val="18"/>
                <w:szCs w:val="18"/>
              </w:rPr>
              <w:t>Regulácia cestnej dopravy</w:t>
            </w:r>
          </w:p>
        </w:tc>
        <w:tc>
          <w:tcPr>
            <w:tcW w:w="940" w:type="dxa"/>
            <w:tcBorders>
              <w:top w:val="nil"/>
              <w:left w:val="nil"/>
              <w:bottom w:val="single" w:sz="8" w:space="0" w:color="auto"/>
              <w:right w:val="single" w:sz="8" w:space="0" w:color="auto"/>
              <w:tl2br w:val="nil"/>
              <w:tr2bl w:val="nil"/>
            </w:tcBorders>
            <w:noWrap/>
            <w:textDirection w:val="lrTb"/>
            <w:vAlign w:val="center"/>
          </w:tcPr>
          <w:p w:rsidR="0011736A" w:rsidRPr="0086352B" w:rsidP="0011736A">
            <w:pPr>
              <w:spacing w:line="240" w:lineRule="auto"/>
              <w:jc w:val="right"/>
              <w:rPr>
                <w:rFonts w:ascii="Arial Narrow" w:hAnsi="Arial Narrow" w:cs="Arial"/>
                <w:sz w:val="18"/>
                <w:szCs w:val="18"/>
                <w:lang w:val="cs-CZ"/>
              </w:rPr>
            </w:pPr>
            <w:r>
              <w:rPr>
                <w:rFonts w:ascii="Arial Narrow" w:hAnsi="Arial Narrow" w:cs="Arial"/>
                <w:sz w:val="18"/>
                <w:szCs w:val="18"/>
              </w:rPr>
              <w:t>184 157</w:t>
            </w:r>
          </w:p>
        </w:tc>
        <w:tc>
          <w:tcPr>
            <w:tcW w:w="960" w:type="dxa"/>
            <w:tcBorders>
              <w:top w:val="nil"/>
              <w:left w:val="nil"/>
              <w:bottom w:val="single" w:sz="8" w:space="0" w:color="auto"/>
              <w:right w:val="single" w:sz="8" w:space="0" w:color="auto"/>
              <w:tl2br w:val="nil"/>
              <w:tr2bl w:val="nil"/>
            </w:tcBorders>
            <w:noWrap/>
            <w:textDirection w:val="lrTb"/>
            <w:vAlign w:val="center"/>
          </w:tcPr>
          <w:p w:rsidR="0011736A" w:rsidRPr="0086352B" w:rsidP="0011736A">
            <w:pPr>
              <w:spacing w:line="240" w:lineRule="auto"/>
              <w:jc w:val="right"/>
              <w:rPr>
                <w:rFonts w:ascii="Arial Narrow" w:hAnsi="Arial Narrow" w:cs="Arial"/>
                <w:sz w:val="18"/>
                <w:szCs w:val="18"/>
                <w:lang w:val="cs-CZ"/>
              </w:rPr>
            </w:pPr>
            <w:r>
              <w:rPr>
                <w:rFonts w:ascii="Arial Narrow" w:hAnsi="Arial Narrow" w:cs="Arial"/>
                <w:sz w:val="18"/>
                <w:szCs w:val="18"/>
                <w:lang w:val="cs-CZ"/>
              </w:rPr>
              <w:t>191 828</w:t>
            </w:r>
          </w:p>
        </w:tc>
        <w:tc>
          <w:tcPr>
            <w:tcW w:w="960" w:type="dxa"/>
            <w:tcBorders>
              <w:top w:val="nil"/>
              <w:left w:val="nil"/>
              <w:bottom w:val="single" w:sz="8" w:space="0" w:color="auto"/>
              <w:right w:val="single" w:sz="8" w:space="0" w:color="auto"/>
              <w:tl2br w:val="nil"/>
              <w:tr2bl w:val="nil"/>
            </w:tcBorders>
            <w:noWrap/>
            <w:textDirection w:val="lrTb"/>
            <w:vAlign w:val="center"/>
          </w:tcPr>
          <w:p w:rsidR="0011736A" w:rsidRPr="0086352B" w:rsidP="0011736A">
            <w:pPr>
              <w:spacing w:line="240" w:lineRule="auto"/>
              <w:jc w:val="right"/>
              <w:rPr>
                <w:rFonts w:ascii="Arial Narrow" w:hAnsi="Arial Narrow" w:cs="Arial"/>
                <w:sz w:val="18"/>
                <w:szCs w:val="18"/>
                <w:lang w:val="cs-CZ"/>
              </w:rPr>
            </w:pPr>
            <w:r>
              <w:rPr>
                <w:rFonts w:ascii="Arial Narrow" w:hAnsi="Arial Narrow" w:cs="Arial"/>
                <w:sz w:val="18"/>
                <w:szCs w:val="18"/>
                <w:lang w:val="cs-CZ"/>
              </w:rPr>
              <w:t>191 650</w:t>
            </w:r>
          </w:p>
        </w:tc>
        <w:tc>
          <w:tcPr>
            <w:tcW w:w="840" w:type="dxa"/>
            <w:tcBorders>
              <w:top w:val="nil"/>
              <w:left w:val="nil"/>
              <w:bottom w:val="single" w:sz="8" w:space="0" w:color="auto"/>
              <w:right w:val="single" w:sz="12" w:space="0" w:color="auto"/>
              <w:tl2br w:val="nil"/>
              <w:tr2bl w:val="nil"/>
            </w:tcBorders>
            <w:noWrap/>
            <w:textDirection w:val="lrTb"/>
            <w:vAlign w:val="center"/>
          </w:tcPr>
          <w:p w:rsidR="0011736A" w:rsidRPr="0086352B" w:rsidP="0011736A">
            <w:pPr>
              <w:spacing w:line="240" w:lineRule="auto"/>
              <w:jc w:val="right"/>
              <w:rPr>
                <w:rFonts w:ascii="Arial Narrow" w:hAnsi="Arial Narrow" w:cs="Arial"/>
                <w:sz w:val="18"/>
                <w:szCs w:val="18"/>
                <w:lang w:val="cs-CZ"/>
              </w:rPr>
            </w:pPr>
            <w:r>
              <w:rPr>
                <w:rFonts w:ascii="Arial Narrow" w:hAnsi="Arial Narrow" w:cs="Arial"/>
                <w:sz w:val="18"/>
                <w:szCs w:val="18"/>
                <w:lang w:val="cs-CZ"/>
              </w:rPr>
              <w:t>121</w:t>
            </w:r>
          </w:p>
        </w:tc>
      </w:tr>
      <w:tr>
        <w:tblPrEx>
          <w:tblW w:w="9295" w:type="dxa"/>
          <w:tblInd w:w="55" w:type="dxa"/>
          <w:tblCellMar>
            <w:left w:w="70" w:type="dxa"/>
            <w:right w:w="70" w:type="dxa"/>
          </w:tblCellMar>
        </w:tblPrEx>
        <w:trPr>
          <w:trHeight w:val="227"/>
        </w:trPr>
        <w:tc>
          <w:tcPr>
            <w:tcW w:w="772" w:type="dxa"/>
            <w:tcBorders>
              <w:top w:val="single" w:sz="8" w:space="0" w:color="auto"/>
              <w:left w:val="single" w:sz="12" w:space="0" w:color="auto"/>
              <w:bottom w:val="single" w:sz="8" w:space="0" w:color="auto"/>
              <w:right w:val="single" w:sz="8" w:space="0" w:color="auto"/>
              <w:tl2br w:val="nil"/>
              <w:tr2bl w:val="nil"/>
            </w:tcBorders>
            <w:noWrap/>
            <w:textDirection w:val="lrTb"/>
            <w:vAlign w:val="center"/>
          </w:tcPr>
          <w:p w:rsidR="0011736A" w:rsidRPr="0086352B" w:rsidP="0011736A">
            <w:pPr>
              <w:spacing w:line="240" w:lineRule="auto"/>
              <w:rPr>
                <w:rFonts w:ascii="Arial Narrow" w:hAnsi="Arial Narrow" w:cs="Arial"/>
                <w:b/>
                <w:bCs/>
                <w:sz w:val="18"/>
                <w:szCs w:val="18"/>
                <w:lang w:val="cs-CZ"/>
              </w:rPr>
            </w:pPr>
            <w:r w:rsidRPr="0086352B">
              <w:rPr>
                <w:rFonts w:ascii="Arial Narrow" w:hAnsi="Arial Narrow" w:cs="Arial"/>
                <w:b/>
                <w:bCs/>
                <w:iCs/>
                <w:sz w:val="18"/>
                <w:szCs w:val="18"/>
              </w:rPr>
              <w:t>07T04</w:t>
            </w:r>
          </w:p>
        </w:tc>
        <w:tc>
          <w:tcPr>
            <w:tcW w:w="4823" w:type="dxa"/>
            <w:tcBorders>
              <w:top w:val="single" w:sz="8" w:space="0" w:color="auto"/>
              <w:left w:val="single" w:sz="8" w:space="0" w:color="auto"/>
              <w:bottom w:val="single" w:sz="8" w:space="0" w:color="auto"/>
              <w:right w:val="single" w:sz="8" w:space="0" w:color="auto"/>
              <w:tl2br w:val="nil"/>
              <w:tr2bl w:val="nil"/>
            </w:tcBorders>
            <w:textDirection w:val="lrTb"/>
            <w:vAlign w:val="center"/>
          </w:tcPr>
          <w:p w:rsidR="0011736A" w:rsidRPr="0086352B" w:rsidP="0011736A">
            <w:pPr>
              <w:spacing w:line="240" w:lineRule="auto"/>
              <w:rPr>
                <w:rFonts w:ascii="Arial Narrow" w:hAnsi="Arial Narrow" w:cs="Arial"/>
                <w:b/>
                <w:bCs/>
                <w:sz w:val="18"/>
                <w:szCs w:val="18"/>
                <w:lang w:val="cs-CZ"/>
              </w:rPr>
            </w:pPr>
            <w:r w:rsidRPr="0086352B">
              <w:rPr>
                <w:rFonts w:ascii="Arial Narrow" w:hAnsi="Arial Narrow" w:cs="Arial"/>
                <w:b/>
                <w:bCs/>
                <w:iCs/>
                <w:sz w:val="18"/>
                <w:szCs w:val="18"/>
              </w:rPr>
              <w:t>Bezpečnosť dopravy</w:t>
            </w:r>
          </w:p>
        </w:tc>
        <w:tc>
          <w:tcPr>
            <w:tcW w:w="940" w:type="dxa"/>
            <w:tcBorders>
              <w:top w:val="single" w:sz="8" w:space="0" w:color="auto"/>
              <w:left w:val="single" w:sz="8" w:space="0" w:color="auto"/>
              <w:bottom w:val="single" w:sz="8" w:space="0" w:color="auto"/>
              <w:right w:val="single" w:sz="8" w:space="0" w:color="auto"/>
              <w:tl2br w:val="nil"/>
              <w:tr2bl w:val="nil"/>
            </w:tcBorders>
            <w:noWrap/>
            <w:textDirection w:val="lrTb"/>
            <w:vAlign w:val="center"/>
          </w:tcPr>
          <w:p w:rsidR="0011736A" w:rsidRPr="0086352B" w:rsidP="0011736A">
            <w:pPr>
              <w:spacing w:line="240" w:lineRule="auto"/>
              <w:jc w:val="right"/>
              <w:rPr>
                <w:rFonts w:ascii="Arial Narrow" w:hAnsi="Arial Narrow" w:cs="Arial"/>
                <w:b/>
                <w:bCs/>
                <w:sz w:val="18"/>
                <w:szCs w:val="18"/>
                <w:lang w:val="cs-CZ"/>
              </w:rPr>
            </w:pPr>
            <w:r>
              <w:rPr>
                <w:rFonts w:ascii="Arial Narrow" w:hAnsi="Arial Narrow" w:cs="Arial"/>
                <w:b/>
                <w:bCs/>
                <w:iCs/>
                <w:sz w:val="18"/>
                <w:szCs w:val="18"/>
              </w:rPr>
              <w:t>625 684</w:t>
            </w:r>
          </w:p>
        </w:tc>
        <w:tc>
          <w:tcPr>
            <w:tcW w:w="960" w:type="dxa"/>
            <w:tcBorders>
              <w:top w:val="single" w:sz="8" w:space="0" w:color="auto"/>
              <w:left w:val="single" w:sz="8" w:space="0" w:color="auto"/>
              <w:bottom w:val="single" w:sz="8" w:space="0" w:color="auto"/>
              <w:right w:val="single" w:sz="8" w:space="0" w:color="auto"/>
              <w:tl2br w:val="nil"/>
              <w:tr2bl w:val="nil"/>
            </w:tcBorders>
            <w:noWrap/>
            <w:textDirection w:val="lrTb"/>
            <w:vAlign w:val="center"/>
          </w:tcPr>
          <w:p w:rsidR="0011736A" w:rsidRPr="0086352B" w:rsidP="0011736A">
            <w:pPr>
              <w:spacing w:line="240" w:lineRule="auto"/>
              <w:jc w:val="right"/>
              <w:rPr>
                <w:rFonts w:ascii="Arial Narrow" w:hAnsi="Arial Narrow" w:cs="Arial"/>
                <w:b/>
                <w:bCs/>
                <w:sz w:val="18"/>
                <w:szCs w:val="18"/>
                <w:lang w:val="cs-CZ"/>
              </w:rPr>
            </w:pPr>
            <w:r>
              <w:rPr>
                <w:rFonts w:ascii="Arial Narrow" w:hAnsi="Arial Narrow" w:cs="Arial"/>
                <w:b/>
                <w:bCs/>
                <w:sz w:val="18"/>
                <w:szCs w:val="18"/>
                <w:lang w:val="cs-CZ"/>
              </w:rPr>
              <w:t>641 747</w:t>
            </w:r>
          </w:p>
        </w:tc>
        <w:tc>
          <w:tcPr>
            <w:tcW w:w="960" w:type="dxa"/>
            <w:tcBorders>
              <w:top w:val="single" w:sz="8" w:space="0" w:color="auto"/>
              <w:left w:val="single" w:sz="8" w:space="0" w:color="auto"/>
              <w:bottom w:val="single" w:sz="8" w:space="0" w:color="auto"/>
              <w:right w:val="single" w:sz="8" w:space="0" w:color="auto"/>
              <w:tl2br w:val="nil"/>
              <w:tr2bl w:val="nil"/>
            </w:tcBorders>
            <w:noWrap/>
            <w:textDirection w:val="lrTb"/>
            <w:vAlign w:val="center"/>
          </w:tcPr>
          <w:p w:rsidR="0011736A" w:rsidRPr="0086352B" w:rsidP="0011736A">
            <w:pPr>
              <w:spacing w:line="240" w:lineRule="auto"/>
              <w:jc w:val="right"/>
              <w:rPr>
                <w:rFonts w:ascii="Arial Narrow" w:hAnsi="Arial Narrow" w:cs="Arial"/>
                <w:b/>
                <w:bCs/>
                <w:sz w:val="18"/>
                <w:szCs w:val="18"/>
                <w:lang w:val="cs-CZ"/>
              </w:rPr>
            </w:pPr>
            <w:r>
              <w:rPr>
                <w:rFonts w:ascii="Arial Narrow" w:hAnsi="Arial Narrow" w:cs="Arial"/>
                <w:b/>
                <w:bCs/>
                <w:sz w:val="18"/>
                <w:szCs w:val="18"/>
                <w:lang w:val="cs-CZ"/>
              </w:rPr>
              <w:t>642 552</w:t>
            </w:r>
          </w:p>
        </w:tc>
        <w:tc>
          <w:tcPr>
            <w:tcW w:w="840" w:type="dxa"/>
            <w:tcBorders>
              <w:top w:val="single" w:sz="8" w:space="0" w:color="auto"/>
              <w:left w:val="single" w:sz="8" w:space="0" w:color="auto"/>
              <w:bottom w:val="single" w:sz="8" w:space="0" w:color="auto"/>
              <w:right w:val="single" w:sz="12" w:space="0" w:color="auto"/>
              <w:tl2br w:val="nil"/>
              <w:tr2bl w:val="nil"/>
            </w:tcBorders>
            <w:noWrap/>
            <w:textDirection w:val="lrTb"/>
            <w:vAlign w:val="center"/>
          </w:tcPr>
          <w:p w:rsidR="0011736A" w:rsidRPr="0086352B" w:rsidP="0011736A">
            <w:pPr>
              <w:spacing w:line="240" w:lineRule="auto"/>
              <w:jc w:val="right"/>
              <w:rPr>
                <w:rFonts w:ascii="Arial Narrow" w:hAnsi="Arial Narrow" w:cs="Arial"/>
                <w:b/>
                <w:bCs/>
                <w:sz w:val="18"/>
                <w:szCs w:val="18"/>
                <w:lang w:val="cs-CZ"/>
              </w:rPr>
            </w:pPr>
            <w:r>
              <w:rPr>
                <w:rFonts w:ascii="Arial Narrow" w:hAnsi="Arial Narrow" w:cs="Arial"/>
                <w:b/>
                <w:bCs/>
                <w:sz w:val="18"/>
                <w:szCs w:val="18"/>
                <w:lang w:val="cs-CZ"/>
              </w:rPr>
              <w:t>0</w:t>
            </w:r>
          </w:p>
        </w:tc>
      </w:tr>
      <w:tr>
        <w:tblPrEx>
          <w:tblW w:w="9295" w:type="dxa"/>
          <w:tblInd w:w="55" w:type="dxa"/>
          <w:tblCellMar>
            <w:left w:w="70" w:type="dxa"/>
            <w:right w:w="70" w:type="dxa"/>
          </w:tblCellMar>
        </w:tblPrEx>
        <w:trPr>
          <w:trHeight w:val="227"/>
        </w:trPr>
        <w:tc>
          <w:tcPr>
            <w:tcW w:w="772" w:type="dxa"/>
            <w:tcBorders>
              <w:top w:val="single" w:sz="8" w:space="0" w:color="auto"/>
              <w:left w:val="single" w:sz="12" w:space="0" w:color="auto"/>
              <w:bottom w:val="single" w:sz="8" w:space="0" w:color="auto"/>
              <w:right w:val="single" w:sz="8" w:space="0" w:color="auto"/>
              <w:tl2br w:val="nil"/>
              <w:tr2bl w:val="nil"/>
            </w:tcBorders>
            <w:noWrap/>
            <w:textDirection w:val="lrTb"/>
            <w:vAlign w:val="center"/>
          </w:tcPr>
          <w:p w:rsidR="0011736A" w:rsidRPr="0086352B" w:rsidP="0011736A">
            <w:pPr>
              <w:spacing w:line="240" w:lineRule="auto"/>
              <w:rPr>
                <w:rFonts w:ascii="Arial Narrow" w:hAnsi="Arial Narrow" w:cs="Arial"/>
                <w:b/>
                <w:bCs/>
                <w:sz w:val="18"/>
                <w:szCs w:val="18"/>
                <w:lang w:val="cs-CZ"/>
              </w:rPr>
            </w:pPr>
            <w:r w:rsidRPr="0086352B">
              <w:rPr>
                <w:rFonts w:ascii="Arial Narrow" w:hAnsi="Arial Narrow" w:cs="Arial"/>
                <w:b/>
                <w:bCs/>
                <w:iCs/>
                <w:sz w:val="18"/>
                <w:szCs w:val="18"/>
              </w:rPr>
              <w:t>07T05</w:t>
            </w:r>
          </w:p>
        </w:tc>
        <w:tc>
          <w:tcPr>
            <w:tcW w:w="4823" w:type="dxa"/>
            <w:tcBorders>
              <w:top w:val="single" w:sz="8" w:space="0" w:color="auto"/>
              <w:left w:val="single" w:sz="8" w:space="0" w:color="auto"/>
              <w:bottom w:val="single" w:sz="8" w:space="0" w:color="auto"/>
              <w:right w:val="single" w:sz="8" w:space="0" w:color="auto"/>
              <w:tl2br w:val="nil"/>
              <w:tr2bl w:val="nil"/>
            </w:tcBorders>
            <w:textDirection w:val="lrTb"/>
            <w:vAlign w:val="center"/>
          </w:tcPr>
          <w:p w:rsidR="0011736A" w:rsidRPr="0086352B" w:rsidP="0011736A">
            <w:pPr>
              <w:spacing w:line="240" w:lineRule="auto"/>
              <w:rPr>
                <w:rFonts w:ascii="Arial Narrow" w:hAnsi="Arial Narrow" w:cs="Arial"/>
                <w:b/>
                <w:bCs/>
                <w:sz w:val="18"/>
                <w:szCs w:val="18"/>
                <w:lang w:val="cs-CZ"/>
              </w:rPr>
            </w:pPr>
            <w:r w:rsidRPr="0086352B">
              <w:rPr>
                <w:rFonts w:ascii="Arial Narrow" w:hAnsi="Arial Narrow" w:cs="Arial"/>
                <w:b/>
                <w:bCs/>
                <w:iCs/>
                <w:sz w:val="18"/>
                <w:szCs w:val="18"/>
              </w:rPr>
              <w:t>Zab. funkčnosti žel. a cest. dopravy v krízových situáciách</w:t>
            </w:r>
          </w:p>
        </w:tc>
        <w:tc>
          <w:tcPr>
            <w:tcW w:w="940" w:type="dxa"/>
            <w:tcBorders>
              <w:top w:val="single" w:sz="8" w:space="0" w:color="auto"/>
              <w:left w:val="single" w:sz="8" w:space="0" w:color="auto"/>
              <w:bottom w:val="single" w:sz="8" w:space="0" w:color="auto"/>
              <w:right w:val="single" w:sz="8" w:space="0" w:color="auto"/>
              <w:tl2br w:val="nil"/>
              <w:tr2bl w:val="nil"/>
            </w:tcBorders>
            <w:noWrap/>
            <w:textDirection w:val="lrTb"/>
            <w:vAlign w:val="center"/>
          </w:tcPr>
          <w:p w:rsidR="0011736A" w:rsidRPr="0086352B" w:rsidP="0011736A">
            <w:pPr>
              <w:spacing w:line="240" w:lineRule="auto"/>
              <w:jc w:val="right"/>
              <w:rPr>
                <w:rFonts w:ascii="Arial Narrow" w:hAnsi="Arial Narrow" w:cs="Arial"/>
                <w:b/>
                <w:bCs/>
                <w:sz w:val="18"/>
                <w:szCs w:val="18"/>
                <w:lang w:val="cs-CZ"/>
              </w:rPr>
            </w:pPr>
            <w:r>
              <w:rPr>
                <w:rFonts w:ascii="Arial Narrow" w:hAnsi="Arial Narrow" w:cs="Arial"/>
                <w:b/>
                <w:bCs/>
                <w:iCs/>
                <w:sz w:val="18"/>
                <w:szCs w:val="18"/>
              </w:rPr>
              <w:t>53 323</w:t>
            </w:r>
          </w:p>
        </w:tc>
        <w:tc>
          <w:tcPr>
            <w:tcW w:w="960" w:type="dxa"/>
            <w:tcBorders>
              <w:top w:val="single" w:sz="8" w:space="0" w:color="auto"/>
              <w:left w:val="single" w:sz="8" w:space="0" w:color="auto"/>
              <w:bottom w:val="single" w:sz="8" w:space="0" w:color="auto"/>
              <w:right w:val="single" w:sz="8" w:space="0" w:color="auto"/>
              <w:tl2br w:val="nil"/>
              <w:tr2bl w:val="nil"/>
            </w:tcBorders>
            <w:noWrap/>
            <w:textDirection w:val="lrTb"/>
            <w:vAlign w:val="center"/>
          </w:tcPr>
          <w:p w:rsidR="0011736A" w:rsidRPr="0086352B" w:rsidP="0011736A">
            <w:pPr>
              <w:spacing w:line="240" w:lineRule="auto"/>
              <w:jc w:val="right"/>
              <w:rPr>
                <w:rFonts w:ascii="Arial Narrow" w:hAnsi="Arial Narrow" w:cs="Arial"/>
                <w:b/>
                <w:bCs/>
                <w:sz w:val="18"/>
                <w:szCs w:val="18"/>
                <w:lang w:val="cs-CZ"/>
              </w:rPr>
            </w:pPr>
            <w:r>
              <w:rPr>
                <w:rFonts w:ascii="Arial Narrow" w:hAnsi="Arial Narrow" w:cs="Arial"/>
                <w:b/>
                <w:bCs/>
                <w:sz w:val="18"/>
                <w:szCs w:val="18"/>
                <w:lang w:val="cs-CZ"/>
              </w:rPr>
              <w:t>71 836</w:t>
            </w:r>
          </w:p>
        </w:tc>
        <w:tc>
          <w:tcPr>
            <w:tcW w:w="960" w:type="dxa"/>
            <w:tcBorders>
              <w:top w:val="single" w:sz="8" w:space="0" w:color="auto"/>
              <w:left w:val="single" w:sz="8" w:space="0" w:color="auto"/>
              <w:bottom w:val="single" w:sz="8" w:space="0" w:color="auto"/>
              <w:right w:val="single" w:sz="8" w:space="0" w:color="auto"/>
              <w:tl2br w:val="nil"/>
              <w:tr2bl w:val="nil"/>
            </w:tcBorders>
            <w:noWrap/>
            <w:textDirection w:val="lrTb"/>
            <w:vAlign w:val="center"/>
          </w:tcPr>
          <w:p w:rsidR="0011736A" w:rsidRPr="0086352B" w:rsidP="0011736A">
            <w:pPr>
              <w:spacing w:line="240" w:lineRule="auto"/>
              <w:jc w:val="right"/>
              <w:rPr>
                <w:rFonts w:ascii="Arial Narrow" w:hAnsi="Arial Narrow" w:cs="Arial"/>
                <w:b/>
                <w:bCs/>
                <w:sz w:val="18"/>
                <w:szCs w:val="18"/>
                <w:lang w:val="cs-CZ"/>
              </w:rPr>
            </w:pPr>
            <w:r>
              <w:rPr>
                <w:rFonts w:ascii="Arial Narrow" w:hAnsi="Arial Narrow" w:cs="Arial"/>
                <w:b/>
                <w:bCs/>
                <w:sz w:val="18"/>
                <w:szCs w:val="18"/>
                <w:lang w:val="cs-CZ"/>
              </w:rPr>
              <w:t>70 817</w:t>
            </w:r>
          </w:p>
        </w:tc>
        <w:tc>
          <w:tcPr>
            <w:tcW w:w="840" w:type="dxa"/>
            <w:tcBorders>
              <w:top w:val="single" w:sz="8" w:space="0" w:color="auto"/>
              <w:left w:val="single" w:sz="8" w:space="0" w:color="auto"/>
              <w:bottom w:val="single" w:sz="8" w:space="0" w:color="auto"/>
              <w:right w:val="single" w:sz="12" w:space="0" w:color="auto"/>
              <w:tl2br w:val="nil"/>
              <w:tr2bl w:val="nil"/>
            </w:tcBorders>
            <w:noWrap/>
            <w:textDirection w:val="lrTb"/>
            <w:vAlign w:val="center"/>
          </w:tcPr>
          <w:p w:rsidR="0011736A" w:rsidRPr="0086352B" w:rsidP="0011736A">
            <w:pPr>
              <w:spacing w:line="240" w:lineRule="auto"/>
              <w:jc w:val="right"/>
              <w:rPr>
                <w:rFonts w:ascii="Arial Narrow" w:hAnsi="Arial Narrow" w:cs="Arial"/>
                <w:b/>
                <w:bCs/>
                <w:sz w:val="18"/>
                <w:szCs w:val="18"/>
                <w:lang w:val="cs-CZ"/>
              </w:rPr>
            </w:pPr>
            <w:r>
              <w:rPr>
                <w:rFonts w:ascii="Arial Narrow" w:hAnsi="Arial Narrow" w:cs="Arial"/>
                <w:b/>
                <w:bCs/>
                <w:sz w:val="18"/>
                <w:szCs w:val="18"/>
                <w:lang w:val="cs-CZ"/>
              </w:rPr>
              <w:t>370</w:t>
            </w:r>
          </w:p>
        </w:tc>
      </w:tr>
      <w:tr>
        <w:tblPrEx>
          <w:tblW w:w="9295" w:type="dxa"/>
          <w:tblInd w:w="55" w:type="dxa"/>
          <w:tblCellMar>
            <w:left w:w="70" w:type="dxa"/>
            <w:right w:w="70" w:type="dxa"/>
          </w:tblCellMar>
        </w:tblPrEx>
        <w:trPr>
          <w:trHeight w:val="227"/>
        </w:trPr>
        <w:tc>
          <w:tcPr>
            <w:tcW w:w="772" w:type="dxa"/>
            <w:tcBorders>
              <w:top w:val="single" w:sz="8" w:space="0" w:color="auto"/>
              <w:left w:val="single" w:sz="12" w:space="0" w:color="auto"/>
              <w:bottom w:val="single" w:sz="12" w:space="0" w:color="auto"/>
              <w:right w:val="single" w:sz="8" w:space="0" w:color="auto"/>
              <w:tl2br w:val="nil"/>
              <w:tr2bl w:val="nil"/>
            </w:tcBorders>
            <w:noWrap/>
            <w:textDirection w:val="lrTb"/>
            <w:vAlign w:val="center"/>
          </w:tcPr>
          <w:p w:rsidR="0011736A" w:rsidRPr="0086352B" w:rsidP="0011736A">
            <w:pPr>
              <w:spacing w:line="240" w:lineRule="auto"/>
              <w:rPr>
                <w:rFonts w:ascii="Arial Narrow" w:hAnsi="Arial Narrow" w:cs="Arial"/>
                <w:b/>
                <w:bCs/>
                <w:sz w:val="18"/>
                <w:szCs w:val="18"/>
                <w:lang w:val="cs-CZ"/>
              </w:rPr>
            </w:pPr>
            <w:r w:rsidRPr="0086352B">
              <w:rPr>
                <w:rFonts w:ascii="Arial Narrow" w:hAnsi="Arial Narrow" w:cs="Arial"/>
                <w:b/>
                <w:bCs/>
                <w:iCs/>
                <w:sz w:val="18"/>
                <w:szCs w:val="18"/>
              </w:rPr>
              <w:t>07T06</w:t>
            </w:r>
          </w:p>
        </w:tc>
        <w:tc>
          <w:tcPr>
            <w:tcW w:w="4823" w:type="dxa"/>
            <w:tcBorders>
              <w:top w:val="single" w:sz="8" w:space="0" w:color="auto"/>
              <w:left w:val="single" w:sz="8" w:space="0" w:color="auto"/>
              <w:bottom w:val="single" w:sz="12" w:space="0" w:color="auto"/>
              <w:right w:val="single" w:sz="8" w:space="0" w:color="auto"/>
              <w:tl2br w:val="nil"/>
              <w:tr2bl w:val="nil"/>
            </w:tcBorders>
            <w:textDirection w:val="lrTb"/>
            <w:vAlign w:val="center"/>
          </w:tcPr>
          <w:p w:rsidR="0011736A" w:rsidRPr="0086352B" w:rsidP="0011736A">
            <w:pPr>
              <w:spacing w:line="240" w:lineRule="auto"/>
              <w:rPr>
                <w:rFonts w:ascii="Arial Narrow" w:hAnsi="Arial Narrow" w:cs="Arial"/>
                <w:b/>
                <w:bCs/>
                <w:sz w:val="18"/>
                <w:szCs w:val="18"/>
                <w:lang w:val="cs-CZ"/>
              </w:rPr>
            </w:pPr>
            <w:r w:rsidRPr="0086352B">
              <w:rPr>
                <w:rFonts w:ascii="Arial Narrow" w:hAnsi="Arial Narrow" w:cs="Arial"/>
                <w:b/>
                <w:bCs/>
                <w:iCs/>
                <w:sz w:val="18"/>
                <w:szCs w:val="18"/>
              </w:rPr>
              <w:t>Hygiena a ochrana zdravia</w:t>
            </w:r>
          </w:p>
        </w:tc>
        <w:tc>
          <w:tcPr>
            <w:tcW w:w="940" w:type="dxa"/>
            <w:tcBorders>
              <w:top w:val="single" w:sz="8" w:space="0" w:color="auto"/>
              <w:left w:val="single" w:sz="8" w:space="0" w:color="auto"/>
              <w:bottom w:val="single" w:sz="12" w:space="0" w:color="auto"/>
              <w:right w:val="single" w:sz="8" w:space="0" w:color="auto"/>
              <w:tl2br w:val="nil"/>
              <w:tr2bl w:val="nil"/>
            </w:tcBorders>
            <w:noWrap/>
            <w:textDirection w:val="lrTb"/>
            <w:vAlign w:val="center"/>
          </w:tcPr>
          <w:p w:rsidR="0011736A" w:rsidRPr="0086352B" w:rsidP="0011736A">
            <w:pPr>
              <w:spacing w:line="240" w:lineRule="auto"/>
              <w:jc w:val="right"/>
              <w:rPr>
                <w:rFonts w:ascii="Arial Narrow" w:hAnsi="Arial Narrow" w:cs="Arial"/>
                <w:b/>
                <w:bCs/>
                <w:sz w:val="18"/>
                <w:szCs w:val="18"/>
                <w:lang w:val="cs-CZ"/>
              </w:rPr>
            </w:pPr>
            <w:r>
              <w:rPr>
                <w:rFonts w:ascii="Arial Narrow" w:hAnsi="Arial Narrow" w:cs="Arial"/>
                <w:b/>
                <w:bCs/>
                <w:iCs/>
                <w:sz w:val="18"/>
                <w:szCs w:val="18"/>
              </w:rPr>
              <w:t>25 994</w:t>
            </w:r>
          </w:p>
        </w:tc>
        <w:tc>
          <w:tcPr>
            <w:tcW w:w="960" w:type="dxa"/>
            <w:tcBorders>
              <w:top w:val="single" w:sz="8" w:space="0" w:color="auto"/>
              <w:left w:val="single" w:sz="8" w:space="0" w:color="auto"/>
              <w:bottom w:val="single" w:sz="12" w:space="0" w:color="auto"/>
              <w:right w:val="single" w:sz="8" w:space="0" w:color="auto"/>
              <w:tl2br w:val="nil"/>
              <w:tr2bl w:val="nil"/>
            </w:tcBorders>
            <w:noWrap/>
            <w:textDirection w:val="lrTb"/>
            <w:vAlign w:val="center"/>
          </w:tcPr>
          <w:p w:rsidR="0011736A" w:rsidRPr="0086352B" w:rsidP="0011736A">
            <w:pPr>
              <w:spacing w:line="240" w:lineRule="auto"/>
              <w:jc w:val="right"/>
              <w:rPr>
                <w:rFonts w:ascii="Arial Narrow" w:hAnsi="Arial Narrow" w:cs="Arial"/>
                <w:b/>
                <w:bCs/>
                <w:sz w:val="18"/>
                <w:szCs w:val="18"/>
                <w:lang w:val="cs-CZ"/>
              </w:rPr>
            </w:pPr>
            <w:r>
              <w:rPr>
                <w:rFonts w:ascii="Arial Narrow" w:hAnsi="Arial Narrow" w:cs="Arial"/>
                <w:b/>
                <w:bCs/>
                <w:sz w:val="18"/>
                <w:szCs w:val="18"/>
                <w:lang w:val="cs-CZ"/>
              </w:rPr>
              <w:t>26 801</w:t>
            </w:r>
          </w:p>
        </w:tc>
        <w:tc>
          <w:tcPr>
            <w:tcW w:w="960" w:type="dxa"/>
            <w:tcBorders>
              <w:top w:val="single" w:sz="8" w:space="0" w:color="auto"/>
              <w:left w:val="single" w:sz="8" w:space="0" w:color="auto"/>
              <w:bottom w:val="single" w:sz="12" w:space="0" w:color="auto"/>
              <w:right w:val="single" w:sz="8" w:space="0" w:color="auto"/>
              <w:tl2br w:val="nil"/>
              <w:tr2bl w:val="nil"/>
            </w:tcBorders>
            <w:noWrap/>
            <w:textDirection w:val="lrTb"/>
            <w:vAlign w:val="center"/>
          </w:tcPr>
          <w:p w:rsidR="0011736A" w:rsidRPr="0086352B" w:rsidP="0011736A">
            <w:pPr>
              <w:spacing w:line="240" w:lineRule="auto"/>
              <w:jc w:val="right"/>
              <w:rPr>
                <w:rFonts w:ascii="Arial Narrow" w:hAnsi="Arial Narrow" w:cs="Arial"/>
                <w:b/>
                <w:bCs/>
                <w:sz w:val="18"/>
                <w:szCs w:val="18"/>
                <w:lang w:val="cs-CZ"/>
              </w:rPr>
            </w:pPr>
            <w:r>
              <w:rPr>
                <w:rFonts w:ascii="Arial Narrow" w:hAnsi="Arial Narrow" w:cs="Arial"/>
                <w:b/>
                <w:bCs/>
                <w:sz w:val="18"/>
                <w:szCs w:val="18"/>
                <w:lang w:val="cs-CZ"/>
              </w:rPr>
              <w:t>26 039</w:t>
            </w:r>
          </w:p>
        </w:tc>
        <w:tc>
          <w:tcPr>
            <w:tcW w:w="840" w:type="dxa"/>
            <w:tcBorders>
              <w:top w:val="single" w:sz="8" w:space="0" w:color="auto"/>
              <w:left w:val="single" w:sz="8" w:space="0" w:color="auto"/>
              <w:bottom w:val="single" w:sz="12" w:space="0" w:color="auto"/>
              <w:right w:val="single" w:sz="12" w:space="0" w:color="auto"/>
              <w:tl2br w:val="nil"/>
              <w:tr2bl w:val="nil"/>
            </w:tcBorders>
            <w:noWrap/>
            <w:textDirection w:val="lrTb"/>
            <w:vAlign w:val="center"/>
          </w:tcPr>
          <w:p w:rsidR="0011736A" w:rsidRPr="0086352B" w:rsidP="0011736A">
            <w:pPr>
              <w:spacing w:line="240" w:lineRule="auto"/>
              <w:jc w:val="right"/>
              <w:rPr>
                <w:rFonts w:ascii="Arial Narrow" w:hAnsi="Arial Narrow" w:cs="Arial"/>
                <w:b/>
                <w:bCs/>
                <w:sz w:val="18"/>
                <w:szCs w:val="18"/>
                <w:lang w:val="cs-CZ"/>
              </w:rPr>
            </w:pPr>
            <w:r>
              <w:rPr>
                <w:rFonts w:ascii="Arial Narrow" w:hAnsi="Arial Narrow" w:cs="Arial"/>
                <w:b/>
                <w:bCs/>
                <w:sz w:val="18"/>
                <w:szCs w:val="18"/>
                <w:lang w:val="cs-CZ"/>
              </w:rPr>
              <w:t>0</w:t>
            </w:r>
          </w:p>
        </w:tc>
      </w:tr>
      <w:tr>
        <w:tblPrEx>
          <w:tblW w:w="9295" w:type="dxa"/>
          <w:tblInd w:w="55" w:type="dxa"/>
          <w:tblCellMar>
            <w:left w:w="70" w:type="dxa"/>
            <w:right w:w="70" w:type="dxa"/>
          </w:tblCellMar>
        </w:tblPrEx>
        <w:trPr>
          <w:trHeight w:val="259"/>
        </w:trPr>
        <w:tc>
          <w:tcPr>
            <w:tcW w:w="772" w:type="dxa"/>
            <w:tcBorders>
              <w:top w:val="single" w:sz="12" w:space="0" w:color="auto"/>
              <w:left w:val="single" w:sz="12" w:space="0" w:color="auto"/>
              <w:bottom w:val="single" w:sz="8" w:space="0" w:color="auto"/>
              <w:right w:val="single" w:sz="8" w:space="0" w:color="auto"/>
              <w:tl2br w:val="nil"/>
              <w:tr2bl w:val="nil"/>
            </w:tcBorders>
            <w:noWrap/>
            <w:textDirection w:val="lrTb"/>
            <w:vAlign w:val="center"/>
          </w:tcPr>
          <w:p w:rsidR="0011736A" w:rsidRPr="0086352B" w:rsidP="0011736A">
            <w:pPr>
              <w:spacing w:line="240" w:lineRule="auto"/>
              <w:rPr>
                <w:rFonts w:ascii="Arial Narrow" w:hAnsi="Arial Narrow" w:cs="Arial"/>
                <w:b/>
                <w:bCs/>
                <w:sz w:val="18"/>
                <w:szCs w:val="18"/>
                <w:lang w:val="cs-CZ"/>
              </w:rPr>
            </w:pPr>
            <w:r>
              <w:rPr>
                <w:rFonts w:ascii="Arial Narrow" w:hAnsi="Arial Narrow" w:cs="Arial"/>
                <w:b/>
                <w:bCs/>
                <w:sz w:val="18"/>
                <w:szCs w:val="18"/>
                <w:lang w:val="cs-CZ"/>
              </w:rPr>
              <w:t xml:space="preserve"> 06E01</w:t>
            </w:r>
          </w:p>
        </w:tc>
        <w:tc>
          <w:tcPr>
            <w:tcW w:w="4823" w:type="dxa"/>
            <w:tcBorders>
              <w:top w:val="single" w:sz="12" w:space="0" w:color="auto"/>
              <w:left w:val="single" w:sz="8" w:space="0" w:color="auto"/>
              <w:bottom w:val="single" w:sz="8" w:space="0" w:color="auto"/>
              <w:right w:val="single" w:sz="8" w:space="0" w:color="auto"/>
              <w:tl2br w:val="nil"/>
              <w:tr2bl w:val="nil"/>
            </w:tcBorders>
            <w:textDirection w:val="lrTb"/>
            <w:vAlign w:val="center"/>
          </w:tcPr>
          <w:p w:rsidR="0011736A" w:rsidRPr="0086352B" w:rsidP="0011736A">
            <w:pPr>
              <w:spacing w:line="240" w:lineRule="auto"/>
              <w:rPr>
                <w:rFonts w:ascii="Arial Narrow" w:hAnsi="Arial Narrow" w:cs="Arial"/>
                <w:b/>
                <w:bCs/>
                <w:sz w:val="18"/>
                <w:szCs w:val="18"/>
                <w:lang w:val="cs-CZ"/>
              </w:rPr>
            </w:pPr>
            <w:r>
              <w:rPr>
                <w:rFonts w:ascii="Arial Narrow" w:hAnsi="Arial Narrow" w:cs="Arial"/>
                <w:b/>
                <w:bCs/>
                <w:iCs/>
                <w:sz w:val="18"/>
                <w:szCs w:val="18"/>
              </w:rPr>
              <w:t>MD</w:t>
            </w:r>
            <w:r w:rsidRPr="0086352B">
              <w:rPr>
                <w:rFonts w:ascii="Arial Narrow" w:hAnsi="Arial Narrow" w:cs="Arial"/>
                <w:b/>
                <w:bCs/>
                <w:iCs/>
                <w:sz w:val="18"/>
                <w:szCs w:val="18"/>
              </w:rPr>
              <w:t>PT SR - Dopravná a telekomunikačná podpora</w:t>
            </w:r>
          </w:p>
        </w:tc>
        <w:tc>
          <w:tcPr>
            <w:tcW w:w="940" w:type="dxa"/>
            <w:tcBorders>
              <w:top w:val="single" w:sz="12" w:space="0" w:color="auto"/>
              <w:left w:val="single" w:sz="8" w:space="0" w:color="auto"/>
              <w:bottom w:val="single" w:sz="8" w:space="0" w:color="auto"/>
              <w:right w:val="single" w:sz="8" w:space="0" w:color="auto"/>
              <w:tl2br w:val="nil"/>
              <w:tr2bl w:val="nil"/>
            </w:tcBorders>
            <w:noWrap/>
            <w:textDirection w:val="lrTb"/>
            <w:vAlign w:val="center"/>
          </w:tcPr>
          <w:p w:rsidR="0011736A" w:rsidRPr="0086352B" w:rsidP="0011736A">
            <w:pPr>
              <w:spacing w:line="240" w:lineRule="auto"/>
              <w:jc w:val="right"/>
              <w:rPr>
                <w:rFonts w:ascii="Arial Narrow" w:hAnsi="Arial Narrow" w:cs="Arial"/>
                <w:b/>
                <w:bCs/>
                <w:sz w:val="18"/>
                <w:szCs w:val="18"/>
                <w:lang w:val="cs-CZ"/>
              </w:rPr>
            </w:pPr>
            <w:r>
              <w:rPr>
                <w:rFonts w:ascii="Arial Narrow" w:hAnsi="Arial Narrow" w:cs="Arial"/>
                <w:b/>
                <w:bCs/>
                <w:iCs/>
                <w:sz w:val="18"/>
                <w:szCs w:val="18"/>
              </w:rPr>
              <w:t>67 000</w:t>
            </w:r>
          </w:p>
        </w:tc>
        <w:tc>
          <w:tcPr>
            <w:tcW w:w="960" w:type="dxa"/>
            <w:tcBorders>
              <w:top w:val="single" w:sz="12" w:space="0" w:color="auto"/>
              <w:left w:val="single" w:sz="8" w:space="0" w:color="auto"/>
              <w:bottom w:val="single" w:sz="8" w:space="0" w:color="auto"/>
              <w:right w:val="single" w:sz="8" w:space="0" w:color="auto"/>
              <w:tl2br w:val="nil"/>
              <w:tr2bl w:val="nil"/>
            </w:tcBorders>
            <w:noWrap/>
            <w:textDirection w:val="lrTb"/>
            <w:vAlign w:val="center"/>
          </w:tcPr>
          <w:p w:rsidR="0011736A" w:rsidRPr="0086352B" w:rsidP="0011736A">
            <w:pPr>
              <w:spacing w:line="240" w:lineRule="auto"/>
              <w:jc w:val="right"/>
              <w:rPr>
                <w:rFonts w:ascii="Arial Narrow" w:hAnsi="Arial Narrow" w:cs="Arial"/>
                <w:b/>
                <w:bCs/>
                <w:sz w:val="18"/>
                <w:szCs w:val="18"/>
                <w:lang w:val="cs-CZ"/>
              </w:rPr>
            </w:pPr>
            <w:r>
              <w:rPr>
                <w:rFonts w:ascii="Arial Narrow" w:hAnsi="Arial Narrow" w:cs="Arial"/>
                <w:b/>
                <w:bCs/>
                <w:sz w:val="18"/>
                <w:szCs w:val="18"/>
                <w:lang w:val="cs-CZ"/>
              </w:rPr>
              <w:t>23 945</w:t>
            </w:r>
          </w:p>
        </w:tc>
        <w:tc>
          <w:tcPr>
            <w:tcW w:w="960" w:type="dxa"/>
            <w:tcBorders>
              <w:top w:val="single" w:sz="12" w:space="0" w:color="auto"/>
              <w:left w:val="single" w:sz="8" w:space="0" w:color="auto"/>
              <w:bottom w:val="single" w:sz="8" w:space="0" w:color="auto"/>
              <w:right w:val="single" w:sz="8" w:space="0" w:color="auto"/>
              <w:tl2br w:val="nil"/>
              <w:tr2bl w:val="nil"/>
            </w:tcBorders>
            <w:noWrap/>
            <w:textDirection w:val="lrTb"/>
            <w:vAlign w:val="center"/>
          </w:tcPr>
          <w:p w:rsidR="0011736A" w:rsidRPr="0086352B" w:rsidP="0011736A">
            <w:pPr>
              <w:spacing w:line="240" w:lineRule="auto"/>
              <w:jc w:val="right"/>
              <w:rPr>
                <w:rFonts w:ascii="Arial Narrow" w:hAnsi="Arial Narrow" w:cs="Arial"/>
                <w:b/>
                <w:bCs/>
                <w:sz w:val="18"/>
                <w:szCs w:val="18"/>
                <w:lang w:val="cs-CZ"/>
              </w:rPr>
            </w:pPr>
            <w:r>
              <w:rPr>
                <w:rFonts w:ascii="Arial Narrow" w:hAnsi="Arial Narrow" w:cs="Arial"/>
                <w:b/>
                <w:bCs/>
                <w:sz w:val="18"/>
                <w:szCs w:val="18"/>
                <w:lang w:val="cs-CZ"/>
              </w:rPr>
              <w:t>20 752</w:t>
            </w:r>
          </w:p>
        </w:tc>
        <w:tc>
          <w:tcPr>
            <w:tcW w:w="840" w:type="dxa"/>
            <w:tcBorders>
              <w:top w:val="single" w:sz="12" w:space="0" w:color="auto"/>
              <w:left w:val="single" w:sz="8" w:space="0" w:color="auto"/>
              <w:bottom w:val="single" w:sz="8" w:space="0" w:color="auto"/>
              <w:right w:val="single" w:sz="12" w:space="0" w:color="auto"/>
              <w:tl2br w:val="nil"/>
              <w:tr2bl w:val="nil"/>
            </w:tcBorders>
            <w:noWrap/>
            <w:textDirection w:val="lrTb"/>
            <w:vAlign w:val="center"/>
          </w:tcPr>
          <w:p w:rsidR="0011736A" w:rsidRPr="0086352B" w:rsidP="0011736A">
            <w:pPr>
              <w:spacing w:line="240" w:lineRule="auto"/>
              <w:jc w:val="right"/>
              <w:rPr>
                <w:rFonts w:ascii="Arial Narrow" w:hAnsi="Arial Narrow" w:cs="Arial"/>
                <w:b/>
                <w:bCs/>
                <w:sz w:val="18"/>
                <w:szCs w:val="18"/>
                <w:lang w:val="cs-CZ"/>
              </w:rPr>
            </w:pPr>
            <w:r>
              <w:rPr>
                <w:rFonts w:ascii="Arial Narrow" w:hAnsi="Arial Narrow" w:cs="Arial"/>
                <w:b/>
                <w:bCs/>
                <w:sz w:val="18"/>
                <w:szCs w:val="18"/>
                <w:lang w:val="cs-CZ"/>
              </w:rPr>
              <w:t>1 445</w:t>
            </w:r>
          </w:p>
        </w:tc>
      </w:tr>
      <w:tr>
        <w:tblPrEx>
          <w:tblW w:w="9295" w:type="dxa"/>
          <w:tblInd w:w="55" w:type="dxa"/>
          <w:tblCellMar>
            <w:left w:w="70" w:type="dxa"/>
            <w:right w:w="70" w:type="dxa"/>
          </w:tblCellMar>
        </w:tblPrEx>
        <w:trPr>
          <w:trHeight w:val="259"/>
        </w:trPr>
        <w:tc>
          <w:tcPr>
            <w:tcW w:w="772" w:type="dxa"/>
            <w:tcBorders>
              <w:top w:val="single" w:sz="8" w:space="0" w:color="auto"/>
              <w:left w:val="single" w:sz="12" w:space="0" w:color="auto"/>
              <w:bottom w:val="single" w:sz="8" w:space="0" w:color="auto"/>
              <w:right w:val="single" w:sz="8" w:space="0" w:color="auto"/>
              <w:tl2br w:val="nil"/>
              <w:tr2bl w:val="nil"/>
            </w:tcBorders>
            <w:noWrap/>
            <w:textDirection w:val="lrTb"/>
            <w:vAlign w:val="center"/>
          </w:tcPr>
          <w:p w:rsidR="0011736A" w:rsidRPr="0086352B" w:rsidP="0011736A">
            <w:pPr>
              <w:spacing w:line="240" w:lineRule="auto"/>
              <w:rPr>
                <w:rFonts w:ascii="Arial Narrow" w:hAnsi="Arial Narrow" w:cs="Arial"/>
                <w:b/>
                <w:bCs/>
                <w:sz w:val="18"/>
                <w:szCs w:val="18"/>
                <w:lang w:val="cs-CZ"/>
              </w:rPr>
            </w:pPr>
            <w:r>
              <w:rPr>
                <w:rFonts w:ascii="Arial Narrow" w:hAnsi="Arial Narrow" w:cs="Arial"/>
                <w:b/>
                <w:bCs/>
                <w:sz w:val="18"/>
                <w:szCs w:val="18"/>
                <w:lang w:val="cs-CZ"/>
              </w:rPr>
              <w:t xml:space="preserve"> 06G0H</w:t>
            </w:r>
          </w:p>
        </w:tc>
        <w:tc>
          <w:tcPr>
            <w:tcW w:w="4823" w:type="dxa"/>
            <w:tcBorders>
              <w:top w:val="single" w:sz="8" w:space="0" w:color="auto"/>
              <w:left w:val="single" w:sz="8" w:space="0" w:color="auto"/>
              <w:bottom w:val="single" w:sz="8" w:space="0" w:color="auto"/>
              <w:right w:val="single" w:sz="8" w:space="0" w:color="auto"/>
              <w:tl2br w:val="nil"/>
              <w:tr2bl w:val="nil"/>
            </w:tcBorders>
            <w:textDirection w:val="lrTb"/>
            <w:vAlign w:val="center"/>
          </w:tcPr>
          <w:p w:rsidR="0011736A" w:rsidRPr="0086352B" w:rsidP="0011736A">
            <w:pPr>
              <w:spacing w:line="240" w:lineRule="auto"/>
              <w:rPr>
                <w:rFonts w:ascii="Arial Narrow" w:hAnsi="Arial Narrow" w:cs="Arial"/>
                <w:b/>
                <w:bCs/>
                <w:sz w:val="18"/>
                <w:szCs w:val="18"/>
                <w:lang w:val="cs-CZ"/>
              </w:rPr>
            </w:pPr>
            <w:r>
              <w:rPr>
                <w:rFonts w:ascii="Arial Narrow" w:hAnsi="Arial Narrow" w:cs="Arial"/>
                <w:b/>
                <w:bCs/>
                <w:iCs/>
                <w:sz w:val="18"/>
                <w:szCs w:val="18"/>
              </w:rPr>
              <w:t>Aktívna pol. trhu práce a zvýšenie zamestnanosti - MD</w:t>
            </w:r>
            <w:r w:rsidRPr="0086352B">
              <w:rPr>
                <w:rFonts w:ascii="Arial Narrow" w:hAnsi="Arial Narrow" w:cs="Arial"/>
                <w:b/>
                <w:bCs/>
                <w:iCs/>
                <w:sz w:val="18"/>
                <w:szCs w:val="18"/>
              </w:rPr>
              <w:t xml:space="preserve">PT SR </w:t>
            </w:r>
          </w:p>
        </w:tc>
        <w:tc>
          <w:tcPr>
            <w:tcW w:w="940" w:type="dxa"/>
            <w:tcBorders>
              <w:top w:val="single" w:sz="8" w:space="0" w:color="auto"/>
              <w:left w:val="single" w:sz="8" w:space="0" w:color="auto"/>
              <w:bottom w:val="single" w:sz="8" w:space="0" w:color="auto"/>
              <w:right w:val="single" w:sz="8" w:space="0" w:color="auto"/>
              <w:tl2br w:val="nil"/>
              <w:tr2bl w:val="nil"/>
            </w:tcBorders>
            <w:noWrap/>
            <w:textDirection w:val="lrTb"/>
            <w:vAlign w:val="center"/>
          </w:tcPr>
          <w:p w:rsidR="0011736A" w:rsidRPr="0086352B" w:rsidP="0011736A">
            <w:pPr>
              <w:spacing w:line="240" w:lineRule="auto"/>
              <w:jc w:val="right"/>
              <w:rPr>
                <w:rFonts w:ascii="Arial Narrow" w:hAnsi="Arial Narrow" w:cs="Arial"/>
                <w:b/>
                <w:bCs/>
                <w:sz w:val="18"/>
                <w:szCs w:val="18"/>
                <w:lang w:val="cs-CZ"/>
              </w:rPr>
            </w:pPr>
            <w:r w:rsidRPr="0086352B">
              <w:rPr>
                <w:rFonts w:ascii="Arial Narrow" w:hAnsi="Arial Narrow" w:cs="Arial"/>
                <w:b/>
                <w:bCs/>
                <w:iCs/>
                <w:sz w:val="18"/>
                <w:szCs w:val="18"/>
              </w:rPr>
              <w:t>0</w:t>
            </w:r>
          </w:p>
        </w:tc>
        <w:tc>
          <w:tcPr>
            <w:tcW w:w="960" w:type="dxa"/>
            <w:tcBorders>
              <w:top w:val="single" w:sz="8" w:space="0" w:color="auto"/>
              <w:left w:val="single" w:sz="8" w:space="0" w:color="auto"/>
              <w:bottom w:val="single" w:sz="8" w:space="0" w:color="auto"/>
              <w:right w:val="single" w:sz="8" w:space="0" w:color="auto"/>
              <w:tl2br w:val="nil"/>
              <w:tr2bl w:val="nil"/>
            </w:tcBorders>
            <w:noWrap/>
            <w:textDirection w:val="lrTb"/>
            <w:vAlign w:val="center"/>
          </w:tcPr>
          <w:p w:rsidR="0011736A" w:rsidRPr="0086352B" w:rsidP="0011736A">
            <w:pPr>
              <w:spacing w:line="240" w:lineRule="auto"/>
              <w:jc w:val="right"/>
              <w:rPr>
                <w:rFonts w:ascii="Arial Narrow" w:hAnsi="Arial Narrow" w:cs="Arial"/>
                <w:b/>
                <w:bCs/>
                <w:sz w:val="18"/>
                <w:szCs w:val="18"/>
                <w:lang w:val="cs-CZ"/>
              </w:rPr>
            </w:pPr>
            <w:r>
              <w:rPr>
                <w:rFonts w:ascii="Arial Narrow" w:hAnsi="Arial Narrow" w:cs="Arial"/>
                <w:b/>
                <w:bCs/>
                <w:sz w:val="18"/>
                <w:szCs w:val="18"/>
                <w:lang w:val="cs-CZ"/>
              </w:rPr>
              <w:t>958</w:t>
            </w:r>
          </w:p>
        </w:tc>
        <w:tc>
          <w:tcPr>
            <w:tcW w:w="960" w:type="dxa"/>
            <w:tcBorders>
              <w:top w:val="single" w:sz="8" w:space="0" w:color="auto"/>
              <w:left w:val="single" w:sz="8" w:space="0" w:color="auto"/>
              <w:bottom w:val="single" w:sz="8" w:space="0" w:color="auto"/>
              <w:right w:val="single" w:sz="8" w:space="0" w:color="auto"/>
              <w:tl2br w:val="nil"/>
              <w:tr2bl w:val="nil"/>
            </w:tcBorders>
            <w:noWrap/>
            <w:textDirection w:val="lrTb"/>
            <w:vAlign w:val="center"/>
          </w:tcPr>
          <w:p w:rsidR="0011736A" w:rsidRPr="0086352B" w:rsidP="0011736A">
            <w:pPr>
              <w:spacing w:line="240" w:lineRule="auto"/>
              <w:jc w:val="right"/>
              <w:rPr>
                <w:rFonts w:ascii="Arial Narrow" w:hAnsi="Arial Narrow" w:cs="Arial"/>
                <w:b/>
                <w:bCs/>
                <w:sz w:val="18"/>
                <w:szCs w:val="18"/>
                <w:lang w:val="cs-CZ"/>
              </w:rPr>
            </w:pPr>
            <w:r>
              <w:rPr>
                <w:rFonts w:ascii="Arial Narrow" w:hAnsi="Arial Narrow" w:cs="Arial"/>
                <w:b/>
                <w:bCs/>
                <w:sz w:val="18"/>
                <w:szCs w:val="18"/>
                <w:lang w:val="cs-CZ"/>
              </w:rPr>
              <w:t>881</w:t>
            </w:r>
          </w:p>
        </w:tc>
        <w:tc>
          <w:tcPr>
            <w:tcW w:w="840" w:type="dxa"/>
            <w:tcBorders>
              <w:top w:val="single" w:sz="8" w:space="0" w:color="auto"/>
              <w:left w:val="single" w:sz="8" w:space="0" w:color="auto"/>
              <w:bottom w:val="single" w:sz="8" w:space="0" w:color="auto"/>
              <w:right w:val="single" w:sz="12" w:space="0" w:color="auto"/>
              <w:tl2br w:val="nil"/>
              <w:tr2bl w:val="nil"/>
            </w:tcBorders>
            <w:noWrap/>
            <w:textDirection w:val="lrTb"/>
            <w:vAlign w:val="center"/>
          </w:tcPr>
          <w:p w:rsidR="0011736A" w:rsidRPr="0086352B" w:rsidP="0011736A">
            <w:pPr>
              <w:spacing w:line="240" w:lineRule="auto"/>
              <w:jc w:val="right"/>
              <w:rPr>
                <w:rFonts w:ascii="Arial Narrow" w:hAnsi="Arial Narrow" w:cs="Arial"/>
                <w:b/>
                <w:bCs/>
                <w:sz w:val="18"/>
                <w:szCs w:val="18"/>
                <w:lang w:val="cs-CZ"/>
              </w:rPr>
            </w:pPr>
            <w:r>
              <w:rPr>
                <w:rFonts w:ascii="Arial Narrow" w:hAnsi="Arial Narrow" w:cs="Arial"/>
                <w:b/>
                <w:bCs/>
                <w:sz w:val="18"/>
                <w:szCs w:val="18"/>
                <w:lang w:val="cs-CZ"/>
              </w:rPr>
              <w:t>0</w:t>
            </w:r>
          </w:p>
        </w:tc>
      </w:tr>
      <w:tr>
        <w:tblPrEx>
          <w:tblW w:w="9295" w:type="dxa"/>
          <w:tblInd w:w="55" w:type="dxa"/>
          <w:tblCellMar>
            <w:left w:w="70" w:type="dxa"/>
            <w:right w:w="70" w:type="dxa"/>
          </w:tblCellMar>
        </w:tblPrEx>
        <w:trPr>
          <w:trHeight w:val="259"/>
        </w:trPr>
        <w:tc>
          <w:tcPr>
            <w:tcW w:w="772" w:type="dxa"/>
            <w:tcBorders>
              <w:top w:val="single" w:sz="8" w:space="0" w:color="auto"/>
              <w:left w:val="single" w:sz="12" w:space="0" w:color="auto"/>
              <w:bottom w:val="single" w:sz="8" w:space="0" w:color="auto"/>
              <w:right w:val="single" w:sz="8" w:space="0" w:color="auto"/>
              <w:tl2br w:val="nil"/>
              <w:tr2bl w:val="nil"/>
            </w:tcBorders>
            <w:noWrap/>
            <w:textDirection w:val="lrTb"/>
            <w:vAlign w:val="center"/>
          </w:tcPr>
          <w:p w:rsidR="0011736A" w:rsidRPr="007A530C" w:rsidP="0011736A">
            <w:pPr>
              <w:spacing w:line="240" w:lineRule="auto"/>
              <w:rPr>
                <w:rFonts w:ascii="Arial Narrow" w:hAnsi="Arial Narrow" w:cs="Arial"/>
                <w:bCs/>
                <w:sz w:val="18"/>
                <w:szCs w:val="18"/>
                <w:lang w:val="cs-CZ"/>
              </w:rPr>
            </w:pPr>
            <w:r w:rsidRPr="007A530C">
              <w:rPr>
                <w:rFonts w:ascii="Arial Narrow" w:hAnsi="Arial Narrow" w:cs="Arial"/>
                <w:bCs/>
                <w:sz w:val="18"/>
                <w:szCs w:val="18"/>
                <w:lang w:val="cs-CZ"/>
              </w:rPr>
              <w:t>06</w:t>
            </w:r>
            <w:r>
              <w:rPr>
                <w:rFonts w:ascii="Arial Narrow" w:hAnsi="Arial Narrow" w:cs="Arial"/>
                <w:bCs/>
                <w:sz w:val="18"/>
                <w:szCs w:val="18"/>
                <w:lang w:val="cs-CZ"/>
              </w:rPr>
              <w:t>G0H01</w:t>
            </w:r>
          </w:p>
        </w:tc>
        <w:tc>
          <w:tcPr>
            <w:tcW w:w="4823" w:type="dxa"/>
            <w:tcBorders>
              <w:top w:val="single" w:sz="8" w:space="0" w:color="auto"/>
              <w:left w:val="single" w:sz="8" w:space="0" w:color="auto"/>
              <w:bottom w:val="single" w:sz="8" w:space="0" w:color="auto"/>
              <w:right w:val="single" w:sz="8" w:space="0" w:color="auto"/>
              <w:tl2br w:val="nil"/>
              <w:tr2bl w:val="nil"/>
            </w:tcBorders>
            <w:textDirection w:val="lrTb"/>
            <w:vAlign w:val="center"/>
          </w:tcPr>
          <w:p w:rsidR="0011736A" w:rsidRPr="007A530C" w:rsidP="0011736A">
            <w:pPr>
              <w:spacing w:line="240" w:lineRule="auto"/>
              <w:rPr>
                <w:rFonts w:ascii="Arial Narrow" w:hAnsi="Arial Narrow" w:cs="Arial"/>
                <w:bCs/>
                <w:sz w:val="18"/>
                <w:szCs w:val="18"/>
                <w:lang w:val="cs-CZ"/>
              </w:rPr>
            </w:pPr>
            <w:r>
              <w:rPr>
                <w:rFonts w:ascii="Arial Narrow" w:hAnsi="Arial Narrow" w:cs="Arial"/>
                <w:bCs/>
                <w:iCs/>
                <w:sz w:val="18"/>
                <w:szCs w:val="18"/>
              </w:rPr>
              <w:t>Stimulovanie a skvalitňovanie vzdelávania pre potreby zamestnávateľov a podnikateľského sektora</w:t>
            </w:r>
            <w:r w:rsidRPr="007A530C">
              <w:rPr>
                <w:rFonts w:ascii="Arial Narrow" w:hAnsi="Arial Narrow" w:cs="Arial"/>
                <w:bCs/>
                <w:iCs/>
                <w:sz w:val="18"/>
                <w:szCs w:val="18"/>
              </w:rPr>
              <w:t xml:space="preserve"> </w:t>
            </w:r>
          </w:p>
        </w:tc>
        <w:tc>
          <w:tcPr>
            <w:tcW w:w="940" w:type="dxa"/>
            <w:tcBorders>
              <w:top w:val="single" w:sz="8" w:space="0" w:color="auto"/>
              <w:left w:val="single" w:sz="8" w:space="0" w:color="auto"/>
              <w:bottom w:val="single" w:sz="8" w:space="0" w:color="auto"/>
              <w:right w:val="single" w:sz="8" w:space="0" w:color="auto"/>
              <w:tl2br w:val="nil"/>
              <w:tr2bl w:val="nil"/>
            </w:tcBorders>
            <w:noWrap/>
            <w:textDirection w:val="lrTb"/>
            <w:vAlign w:val="center"/>
          </w:tcPr>
          <w:p w:rsidR="0011736A" w:rsidRPr="007A530C" w:rsidP="0011736A">
            <w:pPr>
              <w:spacing w:line="240" w:lineRule="auto"/>
              <w:jc w:val="right"/>
              <w:rPr>
                <w:rFonts w:ascii="Arial Narrow" w:hAnsi="Arial Narrow" w:cs="Arial"/>
                <w:bCs/>
                <w:sz w:val="18"/>
                <w:szCs w:val="18"/>
                <w:lang w:val="cs-CZ"/>
              </w:rPr>
            </w:pPr>
            <w:r w:rsidRPr="007A530C">
              <w:rPr>
                <w:rFonts w:ascii="Arial Narrow" w:hAnsi="Arial Narrow" w:cs="Arial"/>
                <w:bCs/>
                <w:iCs/>
                <w:sz w:val="18"/>
                <w:szCs w:val="18"/>
              </w:rPr>
              <w:t>0</w:t>
            </w:r>
          </w:p>
        </w:tc>
        <w:tc>
          <w:tcPr>
            <w:tcW w:w="960" w:type="dxa"/>
            <w:tcBorders>
              <w:top w:val="single" w:sz="8" w:space="0" w:color="auto"/>
              <w:left w:val="single" w:sz="8" w:space="0" w:color="auto"/>
              <w:bottom w:val="single" w:sz="8" w:space="0" w:color="auto"/>
              <w:right w:val="single" w:sz="8" w:space="0" w:color="auto"/>
              <w:tl2br w:val="nil"/>
              <w:tr2bl w:val="nil"/>
            </w:tcBorders>
            <w:noWrap/>
            <w:textDirection w:val="lrTb"/>
            <w:vAlign w:val="center"/>
          </w:tcPr>
          <w:p w:rsidR="0011736A" w:rsidRPr="007A530C" w:rsidP="0011736A">
            <w:pPr>
              <w:spacing w:line="240" w:lineRule="auto"/>
              <w:jc w:val="right"/>
              <w:rPr>
                <w:rFonts w:ascii="Arial Narrow" w:hAnsi="Arial Narrow" w:cs="Arial"/>
                <w:bCs/>
                <w:sz w:val="18"/>
                <w:szCs w:val="18"/>
                <w:lang w:val="cs-CZ"/>
              </w:rPr>
            </w:pPr>
            <w:r>
              <w:rPr>
                <w:rFonts w:ascii="Arial Narrow" w:hAnsi="Arial Narrow" w:cs="Arial"/>
                <w:bCs/>
                <w:sz w:val="18"/>
                <w:szCs w:val="18"/>
                <w:lang w:val="cs-CZ"/>
              </w:rPr>
              <w:t>958</w:t>
            </w:r>
          </w:p>
        </w:tc>
        <w:tc>
          <w:tcPr>
            <w:tcW w:w="960" w:type="dxa"/>
            <w:tcBorders>
              <w:top w:val="single" w:sz="8" w:space="0" w:color="auto"/>
              <w:left w:val="single" w:sz="8" w:space="0" w:color="auto"/>
              <w:bottom w:val="single" w:sz="8" w:space="0" w:color="auto"/>
              <w:right w:val="single" w:sz="8" w:space="0" w:color="auto"/>
              <w:tl2br w:val="nil"/>
              <w:tr2bl w:val="nil"/>
            </w:tcBorders>
            <w:noWrap/>
            <w:textDirection w:val="lrTb"/>
            <w:vAlign w:val="center"/>
          </w:tcPr>
          <w:p w:rsidR="0011736A" w:rsidRPr="007A530C" w:rsidP="0011736A">
            <w:pPr>
              <w:spacing w:line="240" w:lineRule="auto"/>
              <w:jc w:val="right"/>
              <w:rPr>
                <w:rFonts w:ascii="Arial Narrow" w:hAnsi="Arial Narrow" w:cs="Arial"/>
                <w:bCs/>
                <w:sz w:val="18"/>
                <w:szCs w:val="18"/>
                <w:lang w:val="cs-CZ"/>
              </w:rPr>
            </w:pPr>
            <w:r>
              <w:rPr>
                <w:rFonts w:ascii="Arial Narrow" w:hAnsi="Arial Narrow" w:cs="Arial"/>
                <w:bCs/>
                <w:sz w:val="18"/>
                <w:szCs w:val="18"/>
                <w:lang w:val="cs-CZ"/>
              </w:rPr>
              <w:t>881</w:t>
            </w:r>
          </w:p>
        </w:tc>
        <w:tc>
          <w:tcPr>
            <w:tcW w:w="840" w:type="dxa"/>
            <w:tcBorders>
              <w:top w:val="single" w:sz="8" w:space="0" w:color="auto"/>
              <w:left w:val="single" w:sz="8" w:space="0" w:color="auto"/>
              <w:bottom w:val="single" w:sz="8" w:space="0" w:color="auto"/>
              <w:right w:val="single" w:sz="12" w:space="0" w:color="auto"/>
              <w:tl2br w:val="nil"/>
              <w:tr2bl w:val="nil"/>
            </w:tcBorders>
            <w:noWrap/>
            <w:textDirection w:val="lrTb"/>
            <w:vAlign w:val="center"/>
          </w:tcPr>
          <w:p w:rsidR="0011736A" w:rsidRPr="007A530C" w:rsidP="0011736A">
            <w:pPr>
              <w:spacing w:line="240" w:lineRule="auto"/>
              <w:jc w:val="right"/>
              <w:rPr>
                <w:rFonts w:ascii="Arial Narrow" w:hAnsi="Arial Narrow" w:cs="Arial"/>
                <w:bCs/>
                <w:sz w:val="18"/>
                <w:szCs w:val="18"/>
                <w:lang w:val="cs-CZ"/>
              </w:rPr>
            </w:pPr>
            <w:r>
              <w:rPr>
                <w:rFonts w:ascii="Arial Narrow" w:hAnsi="Arial Narrow" w:cs="Arial"/>
                <w:bCs/>
                <w:sz w:val="18"/>
                <w:szCs w:val="18"/>
                <w:lang w:val="cs-CZ"/>
              </w:rPr>
              <w:t>0</w:t>
            </w:r>
          </w:p>
        </w:tc>
      </w:tr>
      <w:tr>
        <w:tblPrEx>
          <w:tblW w:w="9295" w:type="dxa"/>
          <w:tblInd w:w="55" w:type="dxa"/>
          <w:tblCellMar>
            <w:left w:w="70" w:type="dxa"/>
            <w:right w:w="70" w:type="dxa"/>
          </w:tblCellMar>
        </w:tblPrEx>
        <w:trPr>
          <w:trHeight w:val="259"/>
        </w:trPr>
        <w:tc>
          <w:tcPr>
            <w:tcW w:w="772" w:type="dxa"/>
            <w:tcBorders>
              <w:top w:val="single" w:sz="8" w:space="0" w:color="auto"/>
              <w:left w:val="single" w:sz="12" w:space="0" w:color="auto"/>
              <w:bottom w:val="single" w:sz="6" w:space="0" w:color="auto"/>
              <w:right w:val="single" w:sz="8" w:space="0" w:color="auto"/>
              <w:tl2br w:val="nil"/>
              <w:tr2bl w:val="nil"/>
            </w:tcBorders>
            <w:noWrap/>
            <w:textDirection w:val="lrTb"/>
            <w:vAlign w:val="center"/>
          </w:tcPr>
          <w:p w:rsidR="0011736A" w:rsidRPr="0086352B" w:rsidP="0011736A">
            <w:pPr>
              <w:spacing w:line="240" w:lineRule="auto"/>
              <w:rPr>
                <w:rFonts w:ascii="Arial Narrow" w:hAnsi="Arial Narrow" w:cs="Arial"/>
                <w:b/>
                <w:bCs/>
                <w:sz w:val="18"/>
                <w:szCs w:val="18"/>
                <w:lang w:val="cs-CZ"/>
              </w:rPr>
            </w:pPr>
            <w:r w:rsidRPr="0086352B">
              <w:rPr>
                <w:rFonts w:ascii="Arial Narrow" w:hAnsi="Arial Narrow" w:cs="Arial"/>
                <w:b/>
                <w:bCs/>
                <w:iCs/>
                <w:sz w:val="18"/>
                <w:szCs w:val="18"/>
              </w:rPr>
              <w:t xml:space="preserve">06H0D </w:t>
            </w:r>
          </w:p>
        </w:tc>
        <w:tc>
          <w:tcPr>
            <w:tcW w:w="4823" w:type="dxa"/>
            <w:tcBorders>
              <w:top w:val="single" w:sz="8" w:space="0" w:color="auto"/>
              <w:left w:val="single" w:sz="8" w:space="0" w:color="auto"/>
              <w:bottom w:val="single" w:sz="6" w:space="0" w:color="auto"/>
              <w:right w:val="single" w:sz="8" w:space="0" w:color="auto"/>
              <w:tl2br w:val="nil"/>
              <w:tr2bl w:val="nil"/>
            </w:tcBorders>
            <w:textDirection w:val="lrTb"/>
            <w:vAlign w:val="center"/>
          </w:tcPr>
          <w:p w:rsidR="0011736A" w:rsidRPr="0086352B" w:rsidP="0011736A">
            <w:pPr>
              <w:spacing w:line="240" w:lineRule="auto"/>
              <w:rPr>
                <w:rFonts w:ascii="Arial Narrow" w:hAnsi="Arial Narrow" w:cs="Arial"/>
                <w:b/>
                <w:bCs/>
                <w:sz w:val="18"/>
                <w:szCs w:val="18"/>
                <w:lang w:val="cs-CZ"/>
              </w:rPr>
            </w:pPr>
            <w:r w:rsidRPr="0086352B">
              <w:rPr>
                <w:rFonts w:ascii="Arial Narrow" w:hAnsi="Arial Narrow" w:cs="Arial"/>
                <w:b/>
                <w:bCs/>
                <w:iCs/>
                <w:sz w:val="18"/>
                <w:szCs w:val="18"/>
              </w:rPr>
              <w:t>Hospodárska mobilizácia MDPT SR</w:t>
            </w:r>
          </w:p>
        </w:tc>
        <w:tc>
          <w:tcPr>
            <w:tcW w:w="940" w:type="dxa"/>
            <w:tcBorders>
              <w:top w:val="single" w:sz="8" w:space="0" w:color="auto"/>
              <w:left w:val="single" w:sz="8" w:space="0" w:color="auto"/>
              <w:bottom w:val="single" w:sz="6" w:space="0" w:color="auto"/>
              <w:right w:val="single" w:sz="8" w:space="0" w:color="auto"/>
              <w:tl2br w:val="nil"/>
              <w:tr2bl w:val="nil"/>
            </w:tcBorders>
            <w:noWrap/>
            <w:textDirection w:val="lrTb"/>
            <w:vAlign w:val="center"/>
          </w:tcPr>
          <w:p w:rsidR="0011736A" w:rsidRPr="0086352B" w:rsidP="0011736A">
            <w:pPr>
              <w:spacing w:line="240" w:lineRule="auto"/>
              <w:jc w:val="right"/>
              <w:rPr>
                <w:rFonts w:ascii="Arial Narrow" w:hAnsi="Arial Narrow" w:cs="Arial"/>
                <w:b/>
                <w:bCs/>
                <w:sz w:val="18"/>
                <w:szCs w:val="18"/>
                <w:lang w:val="cs-CZ"/>
              </w:rPr>
            </w:pPr>
            <w:r>
              <w:rPr>
                <w:rFonts w:ascii="Arial Narrow" w:hAnsi="Arial Narrow" w:cs="Arial"/>
                <w:b/>
                <w:bCs/>
                <w:iCs/>
                <w:sz w:val="18"/>
                <w:szCs w:val="18"/>
              </w:rPr>
              <w:t>40 000</w:t>
            </w:r>
          </w:p>
        </w:tc>
        <w:tc>
          <w:tcPr>
            <w:tcW w:w="960" w:type="dxa"/>
            <w:tcBorders>
              <w:top w:val="single" w:sz="8" w:space="0" w:color="auto"/>
              <w:left w:val="single" w:sz="8" w:space="0" w:color="auto"/>
              <w:bottom w:val="single" w:sz="6" w:space="0" w:color="auto"/>
              <w:right w:val="single" w:sz="8" w:space="0" w:color="auto"/>
              <w:tl2br w:val="nil"/>
              <w:tr2bl w:val="nil"/>
            </w:tcBorders>
            <w:noWrap/>
            <w:textDirection w:val="lrTb"/>
            <w:vAlign w:val="center"/>
          </w:tcPr>
          <w:p w:rsidR="0011736A" w:rsidRPr="0086352B" w:rsidP="0011736A">
            <w:pPr>
              <w:spacing w:line="240" w:lineRule="auto"/>
              <w:jc w:val="right"/>
              <w:rPr>
                <w:rFonts w:ascii="Arial Narrow" w:hAnsi="Arial Narrow" w:cs="Arial"/>
                <w:b/>
                <w:bCs/>
                <w:sz w:val="18"/>
                <w:szCs w:val="18"/>
                <w:lang w:val="cs-CZ"/>
              </w:rPr>
            </w:pPr>
            <w:r>
              <w:rPr>
                <w:rFonts w:ascii="Arial Narrow" w:hAnsi="Arial Narrow" w:cs="Arial"/>
                <w:b/>
                <w:bCs/>
                <w:sz w:val="18"/>
                <w:szCs w:val="18"/>
                <w:lang w:val="cs-CZ"/>
              </w:rPr>
              <w:t>40 000</w:t>
            </w:r>
          </w:p>
        </w:tc>
        <w:tc>
          <w:tcPr>
            <w:tcW w:w="960" w:type="dxa"/>
            <w:tcBorders>
              <w:top w:val="single" w:sz="8" w:space="0" w:color="auto"/>
              <w:left w:val="single" w:sz="8" w:space="0" w:color="auto"/>
              <w:bottom w:val="single" w:sz="6" w:space="0" w:color="auto"/>
              <w:right w:val="single" w:sz="8" w:space="0" w:color="auto"/>
              <w:tl2br w:val="nil"/>
              <w:tr2bl w:val="nil"/>
            </w:tcBorders>
            <w:noWrap/>
            <w:textDirection w:val="lrTb"/>
            <w:vAlign w:val="center"/>
          </w:tcPr>
          <w:p w:rsidR="0011736A" w:rsidRPr="0086352B" w:rsidP="0011736A">
            <w:pPr>
              <w:spacing w:line="240" w:lineRule="auto"/>
              <w:jc w:val="right"/>
              <w:rPr>
                <w:rFonts w:ascii="Arial Narrow" w:hAnsi="Arial Narrow" w:cs="Arial"/>
                <w:b/>
                <w:bCs/>
                <w:sz w:val="18"/>
                <w:szCs w:val="18"/>
                <w:lang w:val="cs-CZ"/>
              </w:rPr>
            </w:pPr>
            <w:r>
              <w:rPr>
                <w:rFonts w:ascii="Arial Narrow" w:hAnsi="Arial Narrow" w:cs="Arial"/>
                <w:b/>
                <w:bCs/>
                <w:sz w:val="18"/>
                <w:szCs w:val="18"/>
                <w:lang w:val="cs-CZ"/>
              </w:rPr>
              <w:t>39 829</w:t>
            </w:r>
          </w:p>
        </w:tc>
        <w:tc>
          <w:tcPr>
            <w:tcW w:w="840" w:type="dxa"/>
            <w:tcBorders>
              <w:top w:val="single" w:sz="8" w:space="0" w:color="auto"/>
              <w:left w:val="single" w:sz="8" w:space="0" w:color="auto"/>
              <w:bottom w:val="single" w:sz="6" w:space="0" w:color="auto"/>
              <w:right w:val="single" w:sz="12" w:space="0" w:color="auto"/>
              <w:tl2br w:val="nil"/>
              <w:tr2bl w:val="nil"/>
            </w:tcBorders>
            <w:noWrap/>
            <w:textDirection w:val="lrTb"/>
            <w:vAlign w:val="center"/>
          </w:tcPr>
          <w:p w:rsidR="0011736A" w:rsidRPr="0086352B" w:rsidP="0011736A">
            <w:pPr>
              <w:spacing w:line="240" w:lineRule="auto"/>
              <w:jc w:val="right"/>
              <w:rPr>
                <w:rFonts w:ascii="Arial Narrow" w:hAnsi="Arial Narrow" w:cs="Arial"/>
                <w:b/>
                <w:bCs/>
                <w:sz w:val="18"/>
                <w:szCs w:val="18"/>
                <w:lang w:val="cs-CZ"/>
              </w:rPr>
            </w:pPr>
            <w:r>
              <w:rPr>
                <w:rFonts w:ascii="Arial Narrow" w:hAnsi="Arial Narrow" w:cs="Arial"/>
                <w:b/>
                <w:bCs/>
                <w:sz w:val="18"/>
                <w:szCs w:val="18"/>
                <w:lang w:val="cs-CZ"/>
              </w:rPr>
              <w:t>0</w:t>
            </w:r>
          </w:p>
        </w:tc>
      </w:tr>
      <w:tr>
        <w:tblPrEx>
          <w:tblW w:w="9295" w:type="dxa"/>
          <w:tblInd w:w="55" w:type="dxa"/>
          <w:tblCellMar>
            <w:left w:w="70" w:type="dxa"/>
            <w:right w:w="70" w:type="dxa"/>
          </w:tblCellMar>
        </w:tblPrEx>
        <w:trPr>
          <w:trHeight w:val="239"/>
        </w:trPr>
        <w:tc>
          <w:tcPr>
            <w:tcW w:w="772" w:type="dxa"/>
            <w:tcBorders>
              <w:top w:val="single" w:sz="6" w:space="0" w:color="auto"/>
              <w:left w:val="single" w:sz="12" w:space="0" w:color="auto"/>
              <w:bottom w:val="single" w:sz="12" w:space="0" w:color="auto"/>
              <w:right w:val="single" w:sz="8" w:space="0" w:color="auto"/>
              <w:tl2br w:val="nil"/>
              <w:tr2bl w:val="nil"/>
            </w:tcBorders>
            <w:noWrap/>
            <w:textDirection w:val="lrTb"/>
            <w:vAlign w:val="center"/>
          </w:tcPr>
          <w:p w:rsidR="0011736A" w:rsidRPr="00022D0B" w:rsidP="0011736A">
            <w:pPr>
              <w:spacing w:line="240" w:lineRule="auto"/>
              <w:rPr>
                <w:rFonts w:ascii="Arial Narrow" w:hAnsi="Arial Narrow" w:cs="Arial"/>
                <w:b/>
                <w:bCs/>
                <w:iCs/>
                <w:sz w:val="18"/>
                <w:szCs w:val="18"/>
              </w:rPr>
            </w:pPr>
            <w:r>
              <w:rPr>
                <w:rFonts w:ascii="Arial Narrow" w:hAnsi="Arial Narrow" w:cs="Arial"/>
                <w:b/>
                <w:bCs/>
                <w:iCs/>
                <w:sz w:val="18"/>
                <w:szCs w:val="18"/>
              </w:rPr>
              <w:t>09707</w:t>
            </w:r>
          </w:p>
        </w:tc>
        <w:tc>
          <w:tcPr>
            <w:tcW w:w="4823" w:type="dxa"/>
            <w:tcBorders>
              <w:top w:val="single" w:sz="6" w:space="0" w:color="auto"/>
              <w:left w:val="nil"/>
              <w:bottom w:val="single" w:sz="12" w:space="0" w:color="auto"/>
              <w:right w:val="single" w:sz="8" w:space="0" w:color="auto"/>
              <w:tl2br w:val="nil"/>
              <w:tr2bl w:val="nil"/>
            </w:tcBorders>
            <w:textDirection w:val="lrTb"/>
            <w:vAlign w:val="center"/>
          </w:tcPr>
          <w:p w:rsidR="0011736A" w:rsidRPr="00022D0B" w:rsidP="0011736A">
            <w:pPr>
              <w:spacing w:line="240" w:lineRule="auto"/>
              <w:jc w:val="left"/>
              <w:rPr>
                <w:rFonts w:ascii="Arial Narrow" w:hAnsi="Arial Narrow" w:cs="Arial"/>
                <w:b/>
                <w:bCs/>
                <w:iCs/>
                <w:sz w:val="18"/>
                <w:szCs w:val="18"/>
              </w:rPr>
            </w:pPr>
            <w:r>
              <w:rPr>
                <w:rFonts w:ascii="Arial Narrow" w:hAnsi="Arial Narrow" w:cs="Arial"/>
                <w:b/>
                <w:bCs/>
                <w:iCs/>
                <w:sz w:val="18"/>
                <w:szCs w:val="18"/>
              </w:rPr>
              <w:t>Príspevky SR do MO – MDPaT SR</w:t>
            </w:r>
          </w:p>
        </w:tc>
        <w:tc>
          <w:tcPr>
            <w:tcW w:w="940" w:type="dxa"/>
            <w:tcBorders>
              <w:top w:val="single" w:sz="6" w:space="0" w:color="auto"/>
              <w:left w:val="nil"/>
              <w:bottom w:val="single" w:sz="12" w:space="0" w:color="auto"/>
              <w:right w:val="single" w:sz="8" w:space="0" w:color="auto"/>
              <w:tl2br w:val="nil"/>
              <w:tr2bl w:val="nil"/>
            </w:tcBorders>
            <w:textDirection w:val="lrTb"/>
            <w:vAlign w:val="center"/>
          </w:tcPr>
          <w:p w:rsidR="0011736A" w:rsidRPr="00022D0B" w:rsidP="0011736A">
            <w:pPr>
              <w:spacing w:line="240" w:lineRule="auto"/>
              <w:jc w:val="right"/>
              <w:rPr>
                <w:rFonts w:ascii="Arial Narrow" w:hAnsi="Arial Narrow" w:cs="Arial"/>
                <w:b/>
                <w:bCs/>
                <w:iCs/>
                <w:sz w:val="18"/>
                <w:szCs w:val="18"/>
              </w:rPr>
            </w:pPr>
            <w:r>
              <w:rPr>
                <w:rFonts w:ascii="Arial Narrow" w:hAnsi="Arial Narrow" w:cs="Arial"/>
                <w:b/>
                <w:bCs/>
                <w:iCs/>
                <w:sz w:val="18"/>
                <w:szCs w:val="18"/>
              </w:rPr>
              <w:t>17 535</w:t>
            </w:r>
          </w:p>
        </w:tc>
        <w:tc>
          <w:tcPr>
            <w:tcW w:w="960" w:type="dxa"/>
            <w:tcBorders>
              <w:top w:val="single" w:sz="6" w:space="0" w:color="auto"/>
              <w:left w:val="nil"/>
              <w:bottom w:val="single" w:sz="12" w:space="0" w:color="auto"/>
              <w:right w:val="single" w:sz="8" w:space="0" w:color="auto"/>
              <w:tl2br w:val="nil"/>
              <w:tr2bl w:val="nil"/>
            </w:tcBorders>
            <w:textDirection w:val="lrTb"/>
            <w:vAlign w:val="center"/>
          </w:tcPr>
          <w:p w:rsidR="0011736A" w:rsidRPr="00022D0B" w:rsidP="0011736A">
            <w:pPr>
              <w:spacing w:line="240" w:lineRule="auto"/>
              <w:jc w:val="right"/>
              <w:rPr>
                <w:rFonts w:ascii="Arial Narrow" w:hAnsi="Arial Narrow" w:cs="Arial"/>
                <w:b/>
                <w:bCs/>
                <w:iCs/>
                <w:sz w:val="18"/>
                <w:szCs w:val="18"/>
              </w:rPr>
            </w:pPr>
            <w:r>
              <w:rPr>
                <w:rFonts w:ascii="Arial Narrow" w:hAnsi="Arial Narrow" w:cs="Arial"/>
                <w:b/>
                <w:bCs/>
                <w:iCs/>
                <w:sz w:val="18"/>
                <w:szCs w:val="18"/>
              </w:rPr>
              <w:t>17 535</w:t>
            </w:r>
          </w:p>
        </w:tc>
        <w:tc>
          <w:tcPr>
            <w:tcW w:w="960" w:type="dxa"/>
            <w:tcBorders>
              <w:top w:val="single" w:sz="6" w:space="0" w:color="auto"/>
              <w:left w:val="nil"/>
              <w:bottom w:val="single" w:sz="12" w:space="0" w:color="auto"/>
              <w:right w:val="single" w:sz="8" w:space="0" w:color="auto"/>
              <w:tl2br w:val="nil"/>
              <w:tr2bl w:val="nil"/>
            </w:tcBorders>
            <w:textDirection w:val="lrTb"/>
            <w:vAlign w:val="center"/>
          </w:tcPr>
          <w:p w:rsidR="0011736A" w:rsidRPr="00022D0B" w:rsidP="0011736A">
            <w:pPr>
              <w:spacing w:line="240" w:lineRule="auto"/>
              <w:jc w:val="right"/>
              <w:rPr>
                <w:rFonts w:ascii="Arial Narrow" w:hAnsi="Arial Narrow" w:cs="Arial"/>
                <w:b/>
                <w:bCs/>
                <w:iCs/>
                <w:sz w:val="18"/>
                <w:szCs w:val="18"/>
              </w:rPr>
            </w:pPr>
            <w:r>
              <w:rPr>
                <w:rFonts w:ascii="Arial Narrow" w:hAnsi="Arial Narrow" w:cs="Arial"/>
                <w:b/>
                <w:bCs/>
                <w:iCs/>
                <w:sz w:val="18"/>
                <w:szCs w:val="18"/>
              </w:rPr>
              <w:t>17 520</w:t>
            </w:r>
          </w:p>
        </w:tc>
        <w:tc>
          <w:tcPr>
            <w:tcW w:w="840" w:type="dxa"/>
            <w:tcBorders>
              <w:top w:val="single" w:sz="6" w:space="0" w:color="auto"/>
              <w:left w:val="nil"/>
              <w:bottom w:val="single" w:sz="12" w:space="0" w:color="auto"/>
              <w:right w:val="single" w:sz="12" w:space="0" w:color="auto"/>
              <w:tl2br w:val="nil"/>
              <w:tr2bl w:val="nil"/>
            </w:tcBorders>
            <w:textDirection w:val="lrTb"/>
            <w:vAlign w:val="center"/>
          </w:tcPr>
          <w:p w:rsidR="0011736A" w:rsidRPr="00022D0B" w:rsidP="0011736A">
            <w:pPr>
              <w:spacing w:line="240" w:lineRule="auto"/>
              <w:jc w:val="right"/>
              <w:rPr>
                <w:rFonts w:ascii="Arial Narrow" w:hAnsi="Arial Narrow" w:cs="Arial"/>
                <w:b/>
                <w:bCs/>
                <w:iCs/>
                <w:sz w:val="18"/>
                <w:szCs w:val="18"/>
              </w:rPr>
            </w:pPr>
            <w:r>
              <w:rPr>
                <w:rFonts w:ascii="Arial Narrow" w:hAnsi="Arial Narrow" w:cs="Arial"/>
                <w:b/>
                <w:bCs/>
                <w:iCs/>
                <w:sz w:val="18"/>
                <w:szCs w:val="18"/>
              </w:rPr>
              <w:t>0</w:t>
            </w:r>
          </w:p>
        </w:tc>
      </w:tr>
      <w:tr>
        <w:tblPrEx>
          <w:tblW w:w="9295" w:type="dxa"/>
          <w:tblInd w:w="55" w:type="dxa"/>
          <w:tblCellMar>
            <w:left w:w="70" w:type="dxa"/>
            <w:right w:w="70" w:type="dxa"/>
          </w:tblCellMar>
        </w:tblPrEx>
        <w:trPr>
          <w:trHeight w:val="765"/>
        </w:trPr>
        <w:tc>
          <w:tcPr>
            <w:tcW w:w="772" w:type="dxa"/>
            <w:tcBorders>
              <w:top w:val="single" w:sz="12" w:space="0" w:color="auto"/>
              <w:left w:val="single" w:sz="12" w:space="0" w:color="auto"/>
              <w:bottom w:val="single" w:sz="12" w:space="0" w:color="auto"/>
              <w:right w:val="single" w:sz="8" w:space="0" w:color="auto"/>
              <w:tl2br w:val="nil"/>
              <w:tr2bl w:val="nil"/>
            </w:tcBorders>
            <w:shd w:val="clear" w:color="auto" w:fill="33CCCC"/>
            <w:noWrap/>
            <w:textDirection w:val="lrTb"/>
            <w:vAlign w:val="center"/>
          </w:tcPr>
          <w:p w:rsidR="0011736A" w:rsidRPr="0086352B" w:rsidP="0011736A">
            <w:pPr>
              <w:spacing w:line="240" w:lineRule="auto"/>
              <w:rPr>
                <w:rFonts w:ascii="Arial Narrow" w:hAnsi="Arial Narrow" w:cs="Arial"/>
                <w:sz w:val="18"/>
                <w:szCs w:val="18"/>
                <w:lang w:val="cs-CZ"/>
              </w:rPr>
            </w:pPr>
            <w:r w:rsidRPr="0086352B">
              <w:rPr>
                <w:rFonts w:ascii="Arial Narrow" w:hAnsi="Arial Narrow" w:cs="Arial"/>
                <w:sz w:val="18"/>
                <w:szCs w:val="18"/>
              </w:rPr>
              <w:t> </w:t>
            </w:r>
          </w:p>
        </w:tc>
        <w:tc>
          <w:tcPr>
            <w:tcW w:w="4823" w:type="dxa"/>
            <w:tcBorders>
              <w:top w:val="single" w:sz="12" w:space="0" w:color="auto"/>
              <w:left w:val="nil"/>
              <w:bottom w:val="single" w:sz="12" w:space="0" w:color="auto"/>
              <w:right w:val="single" w:sz="8" w:space="0" w:color="auto"/>
              <w:tl2br w:val="nil"/>
              <w:tr2bl w:val="nil"/>
            </w:tcBorders>
            <w:shd w:val="clear" w:color="auto" w:fill="33CCCC"/>
            <w:textDirection w:val="lrTb"/>
            <w:vAlign w:val="center"/>
          </w:tcPr>
          <w:p w:rsidR="0011736A" w:rsidP="0011736A">
            <w:pPr>
              <w:spacing w:line="240" w:lineRule="auto"/>
              <w:jc w:val="center"/>
              <w:rPr>
                <w:rFonts w:ascii="Arial Narrow" w:hAnsi="Arial Narrow" w:cs="Arial"/>
                <w:b/>
                <w:bCs/>
                <w:sz w:val="18"/>
                <w:szCs w:val="18"/>
              </w:rPr>
            </w:pPr>
            <w:r w:rsidRPr="0086352B">
              <w:rPr>
                <w:rFonts w:ascii="Arial Narrow" w:hAnsi="Arial Narrow" w:cs="Arial"/>
                <w:b/>
                <w:bCs/>
                <w:sz w:val="18"/>
                <w:szCs w:val="18"/>
              </w:rPr>
              <w:t xml:space="preserve">Programovo alokované výdavky v kapitole VPS </w:t>
            </w:r>
          </w:p>
          <w:p w:rsidR="0011736A" w:rsidRPr="0086352B" w:rsidP="0011736A">
            <w:pPr>
              <w:spacing w:line="240" w:lineRule="auto"/>
              <w:jc w:val="center"/>
              <w:rPr>
                <w:rFonts w:ascii="Arial Narrow" w:hAnsi="Arial Narrow" w:cs="Arial"/>
                <w:b/>
                <w:bCs/>
                <w:sz w:val="18"/>
                <w:szCs w:val="18"/>
                <w:lang w:val="cs-CZ"/>
              </w:rPr>
            </w:pPr>
            <w:r w:rsidRPr="0086352B">
              <w:rPr>
                <w:rFonts w:ascii="Arial Narrow" w:hAnsi="Arial Narrow" w:cs="Arial"/>
                <w:b/>
                <w:bCs/>
                <w:sz w:val="18"/>
                <w:szCs w:val="18"/>
              </w:rPr>
              <w:t>projekty ISPA</w:t>
            </w:r>
            <w:r>
              <w:rPr>
                <w:rFonts w:ascii="Arial Narrow" w:hAnsi="Arial Narrow" w:cs="Arial"/>
                <w:b/>
                <w:bCs/>
                <w:sz w:val="18"/>
                <w:szCs w:val="18"/>
              </w:rPr>
              <w:t xml:space="preserve"> a </w:t>
            </w:r>
            <w:r w:rsidRPr="0086352B">
              <w:rPr>
                <w:rFonts w:ascii="Arial Narrow" w:hAnsi="Arial Narrow" w:cs="Arial"/>
                <w:b/>
                <w:bCs/>
                <w:sz w:val="18"/>
                <w:szCs w:val="18"/>
              </w:rPr>
              <w:t>spolufinancovanie</w:t>
            </w:r>
          </w:p>
        </w:tc>
        <w:tc>
          <w:tcPr>
            <w:tcW w:w="940" w:type="dxa"/>
            <w:tcBorders>
              <w:top w:val="single" w:sz="12" w:space="0" w:color="auto"/>
              <w:left w:val="nil"/>
              <w:bottom w:val="single" w:sz="12" w:space="0" w:color="auto"/>
              <w:right w:val="single" w:sz="8" w:space="0" w:color="auto"/>
              <w:tl2br w:val="nil"/>
              <w:tr2bl w:val="nil"/>
            </w:tcBorders>
            <w:shd w:val="clear" w:color="auto" w:fill="33CCCC"/>
            <w:textDirection w:val="lrTb"/>
            <w:vAlign w:val="center"/>
          </w:tcPr>
          <w:p w:rsidR="0011736A" w:rsidRPr="0086352B" w:rsidP="0011736A">
            <w:pPr>
              <w:spacing w:line="240" w:lineRule="auto"/>
              <w:jc w:val="center"/>
              <w:rPr>
                <w:rFonts w:ascii="Arial Narrow" w:hAnsi="Arial Narrow" w:cs="Arial"/>
                <w:b/>
                <w:bCs/>
                <w:sz w:val="18"/>
                <w:szCs w:val="18"/>
                <w:lang w:val="cs-CZ"/>
              </w:rPr>
            </w:pPr>
            <w:r w:rsidRPr="0086352B">
              <w:rPr>
                <w:rFonts w:ascii="Arial Narrow" w:hAnsi="Arial Narrow" w:cs="Arial"/>
                <w:b/>
                <w:bCs/>
                <w:sz w:val="18"/>
                <w:szCs w:val="18"/>
              </w:rPr>
              <w:t>Schválený rozpočet 200</w:t>
            </w:r>
            <w:r>
              <w:rPr>
                <w:rFonts w:ascii="Arial Narrow" w:hAnsi="Arial Narrow" w:cs="Arial"/>
                <w:b/>
                <w:bCs/>
                <w:sz w:val="18"/>
                <w:szCs w:val="18"/>
              </w:rPr>
              <w:t>7</w:t>
            </w:r>
          </w:p>
        </w:tc>
        <w:tc>
          <w:tcPr>
            <w:tcW w:w="960" w:type="dxa"/>
            <w:tcBorders>
              <w:top w:val="single" w:sz="12" w:space="0" w:color="auto"/>
              <w:left w:val="nil"/>
              <w:bottom w:val="single" w:sz="12" w:space="0" w:color="auto"/>
              <w:right w:val="single" w:sz="8" w:space="0" w:color="auto"/>
              <w:tl2br w:val="nil"/>
              <w:tr2bl w:val="nil"/>
            </w:tcBorders>
            <w:shd w:val="clear" w:color="auto" w:fill="33CCCC"/>
            <w:textDirection w:val="lrTb"/>
            <w:vAlign w:val="center"/>
          </w:tcPr>
          <w:p w:rsidR="0011736A" w:rsidRPr="0086352B" w:rsidP="0011736A">
            <w:pPr>
              <w:spacing w:line="240" w:lineRule="auto"/>
              <w:jc w:val="center"/>
              <w:rPr>
                <w:rFonts w:ascii="Arial Narrow" w:hAnsi="Arial Narrow" w:cs="Arial"/>
                <w:b/>
                <w:bCs/>
                <w:sz w:val="18"/>
                <w:szCs w:val="18"/>
                <w:lang w:val="cs-CZ"/>
              </w:rPr>
            </w:pPr>
            <w:r w:rsidRPr="0086352B">
              <w:rPr>
                <w:rFonts w:ascii="Arial Narrow" w:hAnsi="Arial Narrow" w:cs="Arial"/>
                <w:b/>
                <w:bCs/>
                <w:sz w:val="18"/>
                <w:szCs w:val="18"/>
              </w:rPr>
              <w:t>Upravený rozpočet k 31.12.200</w:t>
            </w:r>
            <w:r>
              <w:rPr>
                <w:rFonts w:ascii="Arial Narrow" w:hAnsi="Arial Narrow" w:cs="Arial"/>
                <w:b/>
                <w:bCs/>
                <w:sz w:val="18"/>
                <w:szCs w:val="18"/>
              </w:rPr>
              <w:t>7</w:t>
            </w:r>
          </w:p>
        </w:tc>
        <w:tc>
          <w:tcPr>
            <w:tcW w:w="960" w:type="dxa"/>
            <w:tcBorders>
              <w:top w:val="single" w:sz="12" w:space="0" w:color="auto"/>
              <w:left w:val="nil"/>
              <w:bottom w:val="single" w:sz="12" w:space="0" w:color="auto"/>
              <w:right w:val="single" w:sz="8" w:space="0" w:color="auto"/>
              <w:tl2br w:val="nil"/>
              <w:tr2bl w:val="nil"/>
            </w:tcBorders>
            <w:shd w:val="clear" w:color="auto" w:fill="33CCCC"/>
            <w:textDirection w:val="lrTb"/>
            <w:vAlign w:val="center"/>
          </w:tcPr>
          <w:p w:rsidR="0011736A" w:rsidRPr="0086352B" w:rsidP="0011736A">
            <w:pPr>
              <w:spacing w:line="240" w:lineRule="auto"/>
              <w:jc w:val="center"/>
              <w:rPr>
                <w:rFonts w:ascii="Arial Narrow" w:hAnsi="Arial Narrow" w:cs="Arial"/>
                <w:b/>
                <w:bCs/>
                <w:sz w:val="18"/>
                <w:szCs w:val="18"/>
                <w:lang w:val="cs-CZ"/>
              </w:rPr>
            </w:pPr>
            <w:r w:rsidRPr="0086352B">
              <w:rPr>
                <w:rFonts w:ascii="Arial Narrow" w:hAnsi="Arial Narrow" w:cs="Arial"/>
                <w:b/>
                <w:bCs/>
                <w:sz w:val="18"/>
                <w:szCs w:val="18"/>
              </w:rPr>
              <w:t>Skutočné čerpanie k 31.12.200</w:t>
            </w:r>
            <w:r>
              <w:rPr>
                <w:rFonts w:ascii="Arial Narrow" w:hAnsi="Arial Narrow" w:cs="Arial"/>
                <w:b/>
                <w:bCs/>
                <w:sz w:val="18"/>
                <w:szCs w:val="18"/>
              </w:rPr>
              <w:t>7</w:t>
            </w:r>
          </w:p>
        </w:tc>
        <w:tc>
          <w:tcPr>
            <w:tcW w:w="840" w:type="dxa"/>
            <w:tcBorders>
              <w:top w:val="single" w:sz="12" w:space="0" w:color="auto"/>
              <w:left w:val="nil"/>
              <w:bottom w:val="single" w:sz="12" w:space="0" w:color="auto"/>
              <w:right w:val="single" w:sz="12" w:space="0" w:color="auto"/>
              <w:tl2br w:val="nil"/>
              <w:tr2bl w:val="nil"/>
            </w:tcBorders>
            <w:shd w:val="clear" w:color="auto" w:fill="33CCCC"/>
            <w:textDirection w:val="lrTb"/>
            <w:vAlign w:val="center"/>
          </w:tcPr>
          <w:p w:rsidR="0011736A" w:rsidRPr="0086352B" w:rsidP="0011736A">
            <w:pPr>
              <w:spacing w:line="240" w:lineRule="auto"/>
              <w:jc w:val="center"/>
              <w:rPr>
                <w:rFonts w:ascii="Arial Narrow" w:hAnsi="Arial Narrow" w:cs="Arial"/>
                <w:b/>
                <w:bCs/>
                <w:sz w:val="18"/>
                <w:szCs w:val="18"/>
                <w:lang w:val="cs-CZ"/>
              </w:rPr>
            </w:pPr>
            <w:r>
              <w:rPr>
                <w:rFonts w:ascii="Arial Narrow" w:hAnsi="Arial Narrow" w:cs="Arial"/>
                <w:b/>
                <w:bCs/>
                <w:sz w:val="18"/>
                <w:szCs w:val="18"/>
              </w:rPr>
              <w:t xml:space="preserve">V tom: </w:t>
            </w:r>
            <w:r w:rsidRPr="0086352B">
              <w:rPr>
                <w:rFonts w:ascii="Arial Narrow" w:hAnsi="Arial Narrow" w:cs="Arial"/>
                <w:b/>
                <w:bCs/>
                <w:sz w:val="18"/>
                <w:szCs w:val="18"/>
              </w:rPr>
              <w:t>Čerpanie prost. z</w:t>
            </w:r>
            <w:r>
              <w:rPr>
                <w:rFonts w:ascii="Arial Narrow" w:hAnsi="Arial Narrow" w:cs="Arial"/>
                <w:b/>
                <w:bCs/>
                <w:sz w:val="18"/>
                <w:szCs w:val="18"/>
              </w:rPr>
              <w:t> </w:t>
            </w:r>
            <w:r w:rsidRPr="0086352B">
              <w:rPr>
                <w:rFonts w:ascii="Arial Narrow" w:hAnsi="Arial Narrow" w:cs="Arial"/>
                <w:b/>
                <w:bCs/>
                <w:sz w:val="18"/>
                <w:szCs w:val="18"/>
              </w:rPr>
              <w:t xml:space="preserve">roku </w:t>
            </w:r>
            <w:r>
              <w:rPr>
                <w:rFonts w:ascii="Arial Narrow" w:hAnsi="Arial Narrow" w:cs="Arial"/>
                <w:b/>
                <w:bCs/>
                <w:sz w:val="18"/>
                <w:szCs w:val="18"/>
              </w:rPr>
              <w:t>2005,</w:t>
            </w:r>
            <w:r w:rsidRPr="0086352B">
              <w:rPr>
                <w:rFonts w:ascii="Arial Narrow" w:hAnsi="Arial Narrow" w:cs="Arial"/>
                <w:b/>
                <w:bCs/>
                <w:sz w:val="18"/>
                <w:szCs w:val="18"/>
              </w:rPr>
              <w:t>200</w:t>
            </w:r>
            <w:r>
              <w:rPr>
                <w:rFonts w:ascii="Arial Narrow" w:hAnsi="Arial Narrow" w:cs="Arial"/>
                <w:b/>
                <w:bCs/>
                <w:sz w:val="18"/>
                <w:szCs w:val="18"/>
              </w:rPr>
              <w:t>6</w:t>
            </w:r>
          </w:p>
        </w:tc>
      </w:tr>
      <w:tr>
        <w:tblPrEx>
          <w:tblW w:w="9295" w:type="dxa"/>
          <w:tblInd w:w="55" w:type="dxa"/>
          <w:tblCellMar>
            <w:left w:w="70" w:type="dxa"/>
            <w:right w:w="70" w:type="dxa"/>
          </w:tblCellMar>
        </w:tblPrEx>
        <w:trPr>
          <w:trHeight w:val="259"/>
        </w:trPr>
        <w:tc>
          <w:tcPr>
            <w:tcW w:w="772" w:type="dxa"/>
            <w:tcBorders>
              <w:top w:val="single" w:sz="12" w:space="0" w:color="auto"/>
              <w:left w:val="single" w:sz="12" w:space="0" w:color="auto"/>
              <w:bottom w:val="single" w:sz="8" w:space="0" w:color="auto"/>
              <w:right w:val="single" w:sz="8" w:space="0" w:color="auto"/>
              <w:tl2br w:val="nil"/>
              <w:tr2bl w:val="nil"/>
            </w:tcBorders>
            <w:noWrap/>
            <w:textDirection w:val="lrTb"/>
            <w:vAlign w:val="center"/>
          </w:tcPr>
          <w:p w:rsidR="0011736A" w:rsidRPr="0086352B" w:rsidP="0011736A">
            <w:pPr>
              <w:spacing w:line="240" w:lineRule="auto"/>
              <w:rPr>
                <w:rFonts w:ascii="Arial Narrow" w:hAnsi="Arial Narrow" w:cs="Arial"/>
                <w:b/>
                <w:bCs/>
                <w:sz w:val="18"/>
                <w:szCs w:val="18"/>
                <w:lang w:val="cs-CZ"/>
              </w:rPr>
            </w:pPr>
            <w:r>
              <w:rPr>
                <w:rFonts w:ascii="Arial Narrow" w:hAnsi="Arial Narrow" w:cs="Arial"/>
                <w:b/>
                <w:bCs/>
                <w:sz w:val="18"/>
                <w:szCs w:val="18"/>
              </w:rPr>
              <w:t>0</w:t>
            </w:r>
            <w:r w:rsidRPr="0086352B">
              <w:rPr>
                <w:rFonts w:ascii="Arial Narrow" w:hAnsi="Arial Narrow" w:cs="Arial"/>
                <w:b/>
                <w:bCs/>
                <w:sz w:val="18"/>
                <w:szCs w:val="18"/>
              </w:rPr>
              <w:t>53</w:t>
            </w:r>
          </w:p>
        </w:tc>
        <w:tc>
          <w:tcPr>
            <w:tcW w:w="4823" w:type="dxa"/>
            <w:tcBorders>
              <w:top w:val="single" w:sz="12" w:space="0" w:color="auto"/>
              <w:left w:val="nil"/>
              <w:bottom w:val="single" w:sz="8" w:space="0" w:color="auto"/>
              <w:right w:val="single" w:sz="8" w:space="0" w:color="auto"/>
              <w:tl2br w:val="nil"/>
              <w:tr2bl w:val="nil"/>
            </w:tcBorders>
            <w:textDirection w:val="lrTb"/>
            <w:vAlign w:val="center"/>
          </w:tcPr>
          <w:p w:rsidR="0011736A" w:rsidRPr="0086352B" w:rsidP="0011736A">
            <w:pPr>
              <w:spacing w:line="240" w:lineRule="auto"/>
              <w:rPr>
                <w:rFonts w:ascii="Arial Narrow" w:hAnsi="Arial Narrow" w:cs="Arial"/>
                <w:b/>
                <w:bCs/>
                <w:sz w:val="18"/>
                <w:szCs w:val="18"/>
                <w:lang w:val="cs-CZ"/>
              </w:rPr>
            </w:pPr>
            <w:r w:rsidRPr="0086352B">
              <w:rPr>
                <w:rFonts w:ascii="Arial Narrow" w:hAnsi="Arial Narrow" w:cs="Arial"/>
                <w:b/>
                <w:bCs/>
                <w:sz w:val="18"/>
                <w:szCs w:val="18"/>
              </w:rPr>
              <w:t>Cestná infraštruktúra</w:t>
            </w:r>
          </w:p>
        </w:tc>
        <w:tc>
          <w:tcPr>
            <w:tcW w:w="940" w:type="dxa"/>
            <w:tcBorders>
              <w:top w:val="single" w:sz="12" w:space="0" w:color="auto"/>
              <w:left w:val="nil"/>
              <w:bottom w:val="single" w:sz="8" w:space="0" w:color="auto"/>
              <w:right w:val="single" w:sz="8" w:space="0" w:color="auto"/>
              <w:tl2br w:val="nil"/>
              <w:tr2bl w:val="nil"/>
            </w:tcBorders>
            <w:textDirection w:val="lrTb"/>
            <w:vAlign w:val="center"/>
          </w:tcPr>
          <w:p w:rsidR="0011736A" w:rsidRPr="0086352B" w:rsidP="0011736A">
            <w:pPr>
              <w:spacing w:line="240" w:lineRule="auto"/>
              <w:jc w:val="right"/>
              <w:rPr>
                <w:rFonts w:ascii="Arial Narrow" w:hAnsi="Arial Narrow" w:cs="Arial"/>
                <w:b/>
                <w:bCs/>
                <w:sz w:val="18"/>
                <w:szCs w:val="18"/>
                <w:lang w:val="cs-CZ"/>
              </w:rPr>
            </w:pPr>
            <w:r>
              <w:rPr>
                <w:rFonts w:ascii="Arial Narrow" w:hAnsi="Arial Narrow" w:cs="Arial"/>
                <w:b/>
                <w:bCs/>
                <w:sz w:val="18"/>
                <w:szCs w:val="18"/>
              </w:rPr>
              <w:t>19 613</w:t>
            </w:r>
          </w:p>
        </w:tc>
        <w:tc>
          <w:tcPr>
            <w:tcW w:w="960" w:type="dxa"/>
            <w:tcBorders>
              <w:top w:val="single" w:sz="12" w:space="0" w:color="auto"/>
              <w:left w:val="nil"/>
              <w:bottom w:val="single" w:sz="8" w:space="0" w:color="auto"/>
              <w:right w:val="single" w:sz="8" w:space="0" w:color="auto"/>
              <w:tl2br w:val="nil"/>
              <w:tr2bl w:val="nil"/>
            </w:tcBorders>
            <w:textDirection w:val="lrTb"/>
            <w:vAlign w:val="center"/>
          </w:tcPr>
          <w:p w:rsidR="0011736A" w:rsidRPr="0086352B" w:rsidP="0011736A">
            <w:pPr>
              <w:spacing w:line="240" w:lineRule="auto"/>
              <w:jc w:val="right"/>
              <w:rPr>
                <w:rFonts w:ascii="Arial Narrow" w:hAnsi="Arial Narrow" w:cs="Arial"/>
                <w:b/>
                <w:bCs/>
                <w:sz w:val="18"/>
                <w:szCs w:val="18"/>
                <w:lang w:val="cs-CZ"/>
              </w:rPr>
            </w:pPr>
            <w:r>
              <w:rPr>
                <w:rFonts w:ascii="Arial Narrow" w:hAnsi="Arial Narrow" w:cs="Arial"/>
                <w:b/>
                <w:bCs/>
                <w:sz w:val="18"/>
                <w:szCs w:val="18"/>
                <w:lang w:val="cs-CZ"/>
              </w:rPr>
              <w:t>19 404</w:t>
            </w:r>
          </w:p>
        </w:tc>
        <w:tc>
          <w:tcPr>
            <w:tcW w:w="960" w:type="dxa"/>
            <w:tcBorders>
              <w:top w:val="single" w:sz="12" w:space="0" w:color="auto"/>
              <w:left w:val="nil"/>
              <w:bottom w:val="single" w:sz="8" w:space="0" w:color="auto"/>
              <w:right w:val="single" w:sz="8" w:space="0" w:color="auto"/>
              <w:tl2br w:val="nil"/>
              <w:tr2bl w:val="nil"/>
            </w:tcBorders>
            <w:textDirection w:val="lrTb"/>
            <w:vAlign w:val="center"/>
          </w:tcPr>
          <w:p w:rsidR="0011736A" w:rsidRPr="0086352B" w:rsidP="0011736A">
            <w:pPr>
              <w:spacing w:line="240" w:lineRule="auto"/>
              <w:jc w:val="right"/>
              <w:rPr>
                <w:rFonts w:ascii="Arial Narrow" w:hAnsi="Arial Narrow" w:cs="Arial"/>
                <w:b/>
                <w:bCs/>
                <w:sz w:val="18"/>
                <w:szCs w:val="18"/>
                <w:lang w:val="cs-CZ"/>
              </w:rPr>
            </w:pPr>
            <w:r>
              <w:rPr>
                <w:rFonts w:ascii="Arial Narrow" w:hAnsi="Arial Narrow" w:cs="Arial"/>
                <w:b/>
                <w:bCs/>
                <w:sz w:val="18"/>
                <w:szCs w:val="18"/>
                <w:lang w:val="cs-CZ"/>
              </w:rPr>
              <w:t>6 081</w:t>
            </w:r>
          </w:p>
        </w:tc>
        <w:tc>
          <w:tcPr>
            <w:tcW w:w="840" w:type="dxa"/>
            <w:tcBorders>
              <w:top w:val="single" w:sz="12" w:space="0" w:color="auto"/>
              <w:left w:val="nil"/>
              <w:bottom w:val="single" w:sz="8" w:space="0" w:color="auto"/>
              <w:right w:val="single" w:sz="12" w:space="0" w:color="auto"/>
              <w:tl2br w:val="nil"/>
              <w:tr2bl w:val="nil"/>
            </w:tcBorders>
            <w:textDirection w:val="lrTb"/>
            <w:vAlign w:val="center"/>
          </w:tcPr>
          <w:p w:rsidR="0011736A" w:rsidRPr="0086352B" w:rsidP="0011736A">
            <w:pPr>
              <w:spacing w:line="240" w:lineRule="auto"/>
              <w:jc w:val="right"/>
              <w:rPr>
                <w:rFonts w:ascii="Arial Narrow" w:hAnsi="Arial Narrow" w:cs="Arial"/>
                <w:b/>
                <w:bCs/>
                <w:sz w:val="18"/>
                <w:szCs w:val="18"/>
                <w:lang w:val="cs-CZ"/>
              </w:rPr>
            </w:pPr>
            <w:r>
              <w:rPr>
                <w:rFonts w:ascii="Arial Narrow" w:hAnsi="Arial Narrow" w:cs="Arial"/>
                <w:b/>
                <w:bCs/>
                <w:sz w:val="18"/>
                <w:szCs w:val="18"/>
                <w:lang w:val="cs-CZ"/>
              </w:rPr>
              <w:t>0</w:t>
            </w:r>
          </w:p>
        </w:tc>
      </w:tr>
      <w:tr>
        <w:tblPrEx>
          <w:tblW w:w="9295" w:type="dxa"/>
          <w:tblInd w:w="55" w:type="dxa"/>
          <w:tblCellMar>
            <w:left w:w="70" w:type="dxa"/>
            <w:right w:w="70" w:type="dxa"/>
          </w:tblCellMar>
        </w:tblPrEx>
        <w:trPr>
          <w:trHeight w:val="259"/>
        </w:trPr>
        <w:tc>
          <w:tcPr>
            <w:tcW w:w="772" w:type="dxa"/>
            <w:tcBorders>
              <w:top w:val="single" w:sz="8" w:space="0" w:color="auto"/>
              <w:left w:val="single" w:sz="12" w:space="0" w:color="auto"/>
              <w:bottom w:val="single" w:sz="8" w:space="0" w:color="auto"/>
              <w:right w:val="single" w:sz="8" w:space="0" w:color="auto"/>
              <w:tl2br w:val="nil"/>
              <w:tr2bl w:val="nil"/>
            </w:tcBorders>
            <w:noWrap/>
            <w:textDirection w:val="lrTb"/>
            <w:vAlign w:val="center"/>
          </w:tcPr>
          <w:p w:rsidR="0011736A" w:rsidRPr="0086352B" w:rsidP="0011736A">
            <w:pPr>
              <w:spacing w:line="240" w:lineRule="auto"/>
              <w:rPr>
                <w:rFonts w:ascii="Arial Narrow" w:hAnsi="Arial Narrow" w:cs="Arial"/>
                <w:b/>
                <w:bCs/>
                <w:sz w:val="18"/>
                <w:szCs w:val="18"/>
                <w:lang w:val="cs-CZ"/>
              </w:rPr>
            </w:pPr>
            <w:r>
              <w:rPr>
                <w:rFonts w:ascii="Arial Narrow" w:hAnsi="Arial Narrow" w:cs="Arial"/>
                <w:b/>
                <w:bCs/>
                <w:iCs/>
                <w:sz w:val="18"/>
                <w:szCs w:val="18"/>
              </w:rPr>
              <w:t>0</w:t>
            </w:r>
            <w:r w:rsidRPr="0086352B">
              <w:rPr>
                <w:rFonts w:ascii="Arial Narrow" w:hAnsi="Arial Narrow" w:cs="Arial"/>
                <w:b/>
                <w:bCs/>
                <w:iCs/>
                <w:sz w:val="18"/>
                <w:szCs w:val="18"/>
              </w:rPr>
              <w:t>5303</w:t>
            </w:r>
          </w:p>
        </w:tc>
        <w:tc>
          <w:tcPr>
            <w:tcW w:w="4823" w:type="dxa"/>
            <w:tcBorders>
              <w:top w:val="single" w:sz="8" w:space="0" w:color="auto"/>
              <w:left w:val="nil"/>
              <w:bottom w:val="single" w:sz="8" w:space="0" w:color="auto"/>
              <w:right w:val="single" w:sz="8" w:space="0" w:color="auto"/>
              <w:tl2br w:val="nil"/>
              <w:tr2bl w:val="nil"/>
            </w:tcBorders>
            <w:textDirection w:val="lrTb"/>
            <w:vAlign w:val="center"/>
          </w:tcPr>
          <w:p w:rsidR="0011736A" w:rsidRPr="0086352B" w:rsidP="0011736A">
            <w:pPr>
              <w:spacing w:line="240" w:lineRule="auto"/>
              <w:rPr>
                <w:rFonts w:ascii="Arial Narrow" w:hAnsi="Arial Narrow" w:cs="Arial"/>
                <w:b/>
                <w:bCs/>
                <w:sz w:val="18"/>
                <w:szCs w:val="18"/>
                <w:lang w:val="cs-CZ"/>
              </w:rPr>
            </w:pPr>
            <w:r w:rsidRPr="0086352B">
              <w:rPr>
                <w:rFonts w:ascii="Arial Narrow" w:hAnsi="Arial Narrow" w:cs="Arial"/>
                <w:b/>
                <w:bCs/>
                <w:iCs/>
                <w:sz w:val="18"/>
                <w:szCs w:val="18"/>
              </w:rPr>
              <w:t>Výstavba diaľnic a rýchlostných ciest</w:t>
            </w:r>
            <w:r>
              <w:rPr>
                <w:rFonts w:ascii="Arial Narrow" w:hAnsi="Arial Narrow" w:cs="Arial"/>
                <w:b/>
                <w:bCs/>
                <w:iCs/>
                <w:sz w:val="18"/>
                <w:szCs w:val="18"/>
              </w:rPr>
              <w:t xml:space="preserve"> - </w:t>
            </w:r>
            <w:r w:rsidRPr="0086352B">
              <w:rPr>
                <w:rFonts w:ascii="Arial Narrow" w:hAnsi="Arial Narrow" w:cs="Arial"/>
                <w:b/>
                <w:bCs/>
                <w:iCs/>
                <w:sz w:val="18"/>
                <w:szCs w:val="18"/>
              </w:rPr>
              <w:t>spolufinancovanie</w:t>
            </w:r>
          </w:p>
        </w:tc>
        <w:tc>
          <w:tcPr>
            <w:tcW w:w="940" w:type="dxa"/>
            <w:tcBorders>
              <w:top w:val="single" w:sz="8" w:space="0" w:color="auto"/>
              <w:left w:val="nil"/>
              <w:bottom w:val="single" w:sz="8" w:space="0" w:color="auto"/>
              <w:right w:val="single" w:sz="8" w:space="0" w:color="auto"/>
              <w:tl2br w:val="nil"/>
              <w:tr2bl w:val="nil"/>
            </w:tcBorders>
            <w:textDirection w:val="lrTb"/>
            <w:vAlign w:val="center"/>
          </w:tcPr>
          <w:p w:rsidR="0011736A" w:rsidRPr="0086352B" w:rsidP="0011736A">
            <w:pPr>
              <w:spacing w:line="240" w:lineRule="auto"/>
              <w:jc w:val="right"/>
              <w:rPr>
                <w:rFonts w:ascii="Arial Narrow" w:hAnsi="Arial Narrow" w:cs="Arial"/>
                <w:b/>
                <w:bCs/>
                <w:sz w:val="18"/>
                <w:szCs w:val="18"/>
                <w:lang w:val="cs-CZ"/>
              </w:rPr>
            </w:pPr>
            <w:r>
              <w:rPr>
                <w:rFonts w:ascii="Arial Narrow" w:hAnsi="Arial Narrow" w:cs="Arial"/>
                <w:b/>
                <w:bCs/>
                <w:iCs/>
                <w:sz w:val="18"/>
                <w:szCs w:val="18"/>
              </w:rPr>
              <w:t>2 838</w:t>
            </w:r>
          </w:p>
        </w:tc>
        <w:tc>
          <w:tcPr>
            <w:tcW w:w="960" w:type="dxa"/>
            <w:tcBorders>
              <w:top w:val="single" w:sz="8" w:space="0" w:color="auto"/>
              <w:left w:val="nil"/>
              <w:bottom w:val="single" w:sz="8" w:space="0" w:color="auto"/>
              <w:right w:val="single" w:sz="8" w:space="0" w:color="auto"/>
              <w:tl2br w:val="nil"/>
              <w:tr2bl w:val="nil"/>
            </w:tcBorders>
            <w:textDirection w:val="lrTb"/>
            <w:vAlign w:val="center"/>
          </w:tcPr>
          <w:p w:rsidR="0011736A" w:rsidRPr="0086352B" w:rsidP="0011736A">
            <w:pPr>
              <w:spacing w:line="240" w:lineRule="auto"/>
              <w:jc w:val="right"/>
              <w:rPr>
                <w:rFonts w:ascii="Arial Narrow" w:hAnsi="Arial Narrow" w:cs="Arial"/>
                <w:b/>
                <w:bCs/>
                <w:sz w:val="18"/>
                <w:szCs w:val="18"/>
                <w:lang w:val="cs-CZ"/>
              </w:rPr>
            </w:pPr>
            <w:r>
              <w:rPr>
                <w:rFonts w:ascii="Arial Narrow" w:hAnsi="Arial Narrow" w:cs="Arial"/>
                <w:b/>
                <w:bCs/>
                <w:sz w:val="18"/>
                <w:szCs w:val="18"/>
                <w:lang w:val="cs-CZ"/>
              </w:rPr>
              <w:t>2 629</w:t>
            </w:r>
          </w:p>
        </w:tc>
        <w:tc>
          <w:tcPr>
            <w:tcW w:w="960" w:type="dxa"/>
            <w:tcBorders>
              <w:top w:val="single" w:sz="8" w:space="0" w:color="auto"/>
              <w:left w:val="nil"/>
              <w:bottom w:val="single" w:sz="8" w:space="0" w:color="auto"/>
              <w:right w:val="single" w:sz="8" w:space="0" w:color="auto"/>
              <w:tl2br w:val="nil"/>
              <w:tr2bl w:val="nil"/>
            </w:tcBorders>
            <w:textDirection w:val="lrTb"/>
            <w:vAlign w:val="center"/>
          </w:tcPr>
          <w:p w:rsidR="0011736A" w:rsidRPr="0086352B" w:rsidP="0011736A">
            <w:pPr>
              <w:spacing w:line="240" w:lineRule="auto"/>
              <w:jc w:val="right"/>
              <w:rPr>
                <w:rFonts w:ascii="Arial Narrow" w:hAnsi="Arial Narrow" w:cs="Arial"/>
                <w:b/>
                <w:bCs/>
                <w:sz w:val="18"/>
                <w:szCs w:val="18"/>
                <w:lang w:val="cs-CZ"/>
              </w:rPr>
            </w:pPr>
            <w:r>
              <w:rPr>
                <w:rFonts w:ascii="Arial Narrow" w:hAnsi="Arial Narrow" w:cs="Arial"/>
                <w:b/>
                <w:bCs/>
                <w:sz w:val="18"/>
                <w:szCs w:val="18"/>
                <w:lang w:val="cs-CZ"/>
              </w:rPr>
              <w:t>1 959</w:t>
            </w:r>
          </w:p>
        </w:tc>
        <w:tc>
          <w:tcPr>
            <w:tcW w:w="840" w:type="dxa"/>
            <w:tcBorders>
              <w:top w:val="single" w:sz="8" w:space="0" w:color="auto"/>
              <w:left w:val="nil"/>
              <w:bottom w:val="single" w:sz="8" w:space="0" w:color="auto"/>
              <w:right w:val="single" w:sz="12" w:space="0" w:color="auto"/>
              <w:tl2br w:val="nil"/>
              <w:tr2bl w:val="nil"/>
            </w:tcBorders>
            <w:textDirection w:val="lrTb"/>
            <w:vAlign w:val="center"/>
          </w:tcPr>
          <w:p w:rsidR="0011736A" w:rsidRPr="0086352B" w:rsidP="0011736A">
            <w:pPr>
              <w:spacing w:line="240" w:lineRule="auto"/>
              <w:jc w:val="right"/>
              <w:rPr>
                <w:rFonts w:ascii="Arial Narrow" w:hAnsi="Arial Narrow" w:cs="Arial"/>
                <w:b/>
                <w:bCs/>
                <w:sz w:val="18"/>
                <w:szCs w:val="18"/>
                <w:lang w:val="cs-CZ"/>
              </w:rPr>
            </w:pPr>
            <w:r>
              <w:rPr>
                <w:rFonts w:ascii="Arial Narrow" w:hAnsi="Arial Narrow" w:cs="Arial"/>
                <w:b/>
                <w:bCs/>
                <w:sz w:val="18"/>
                <w:szCs w:val="18"/>
                <w:lang w:val="cs-CZ"/>
              </w:rPr>
              <w:t>0</w:t>
            </w:r>
          </w:p>
        </w:tc>
      </w:tr>
      <w:tr>
        <w:tblPrEx>
          <w:tblW w:w="9295" w:type="dxa"/>
          <w:tblInd w:w="55" w:type="dxa"/>
          <w:tblCellMar>
            <w:left w:w="70" w:type="dxa"/>
            <w:right w:w="70" w:type="dxa"/>
          </w:tblCellMar>
        </w:tblPrEx>
        <w:trPr>
          <w:trHeight w:val="259"/>
        </w:trPr>
        <w:tc>
          <w:tcPr>
            <w:tcW w:w="772" w:type="dxa"/>
            <w:tcBorders>
              <w:top w:val="single" w:sz="8" w:space="0" w:color="auto"/>
              <w:left w:val="single" w:sz="12" w:space="0" w:color="auto"/>
              <w:bottom w:val="single" w:sz="8" w:space="0" w:color="auto"/>
              <w:right w:val="single" w:sz="8" w:space="0" w:color="auto"/>
              <w:tl2br w:val="nil"/>
              <w:tr2bl w:val="nil"/>
            </w:tcBorders>
            <w:noWrap/>
            <w:textDirection w:val="lrTb"/>
            <w:vAlign w:val="center"/>
          </w:tcPr>
          <w:p w:rsidR="0011736A" w:rsidRPr="0086352B" w:rsidP="0011736A">
            <w:pPr>
              <w:spacing w:line="240" w:lineRule="auto"/>
              <w:rPr>
                <w:rFonts w:ascii="Arial Narrow" w:hAnsi="Arial Narrow" w:cs="Arial"/>
                <w:b/>
                <w:bCs/>
                <w:sz w:val="18"/>
                <w:szCs w:val="18"/>
                <w:lang w:val="cs-CZ"/>
              </w:rPr>
            </w:pPr>
            <w:r>
              <w:rPr>
                <w:rFonts w:ascii="Arial Narrow" w:hAnsi="Arial Narrow" w:cs="Arial"/>
                <w:b/>
                <w:bCs/>
                <w:iCs/>
                <w:sz w:val="18"/>
                <w:szCs w:val="18"/>
              </w:rPr>
              <w:t>0</w:t>
            </w:r>
            <w:r w:rsidRPr="0086352B">
              <w:rPr>
                <w:rFonts w:ascii="Arial Narrow" w:hAnsi="Arial Narrow" w:cs="Arial"/>
                <w:b/>
                <w:bCs/>
                <w:iCs/>
                <w:sz w:val="18"/>
                <w:szCs w:val="18"/>
              </w:rPr>
              <w:t>5303</w:t>
            </w:r>
          </w:p>
        </w:tc>
        <w:tc>
          <w:tcPr>
            <w:tcW w:w="4823" w:type="dxa"/>
            <w:tcBorders>
              <w:top w:val="single" w:sz="8" w:space="0" w:color="auto"/>
              <w:left w:val="nil"/>
              <w:bottom w:val="single" w:sz="8" w:space="0" w:color="auto"/>
              <w:right w:val="single" w:sz="8" w:space="0" w:color="auto"/>
              <w:tl2br w:val="nil"/>
              <w:tr2bl w:val="nil"/>
            </w:tcBorders>
            <w:textDirection w:val="lrTb"/>
            <w:vAlign w:val="center"/>
          </w:tcPr>
          <w:p w:rsidR="0011736A" w:rsidRPr="0086352B" w:rsidP="0011736A">
            <w:pPr>
              <w:spacing w:line="240" w:lineRule="auto"/>
              <w:rPr>
                <w:rFonts w:ascii="Arial Narrow" w:hAnsi="Arial Narrow" w:cs="Arial"/>
                <w:b/>
                <w:bCs/>
                <w:sz w:val="18"/>
                <w:szCs w:val="18"/>
                <w:lang w:val="cs-CZ"/>
              </w:rPr>
            </w:pPr>
            <w:r w:rsidRPr="0086352B">
              <w:rPr>
                <w:rFonts w:ascii="Arial Narrow" w:hAnsi="Arial Narrow" w:cs="Arial"/>
                <w:b/>
                <w:bCs/>
                <w:iCs/>
                <w:sz w:val="18"/>
                <w:szCs w:val="18"/>
              </w:rPr>
              <w:t>Výstavba diaľnic a rýchlostných ciest</w:t>
            </w:r>
            <w:r>
              <w:rPr>
                <w:rFonts w:ascii="Arial Narrow" w:hAnsi="Arial Narrow" w:cs="Arial"/>
                <w:b/>
                <w:bCs/>
                <w:iCs/>
                <w:sz w:val="18"/>
                <w:szCs w:val="18"/>
              </w:rPr>
              <w:t xml:space="preserve"> - </w:t>
            </w:r>
            <w:r w:rsidRPr="0086352B">
              <w:rPr>
                <w:rFonts w:ascii="Arial Narrow" w:hAnsi="Arial Narrow" w:cs="Arial"/>
                <w:b/>
                <w:bCs/>
                <w:iCs/>
                <w:sz w:val="18"/>
                <w:szCs w:val="18"/>
              </w:rPr>
              <w:t>ISPA</w:t>
            </w:r>
          </w:p>
        </w:tc>
        <w:tc>
          <w:tcPr>
            <w:tcW w:w="940" w:type="dxa"/>
            <w:tcBorders>
              <w:top w:val="single" w:sz="8" w:space="0" w:color="auto"/>
              <w:left w:val="nil"/>
              <w:bottom w:val="single" w:sz="8" w:space="0" w:color="auto"/>
              <w:right w:val="single" w:sz="8" w:space="0" w:color="auto"/>
              <w:tl2br w:val="nil"/>
              <w:tr2bl w:val="nil"/>
            </w:tcBorders>
            <w:textDirection w:val="lrTb"/>
            <w:vAlign w:val="center"/>
          </w:tcPr>
          <w:p w:rsidR="0011736A" w:rsidRPr="0086352B" w:rsidP="0011736A">
            <w:pPr>
              <w:spacing w:line="240" w:lineRule="auto"/>
              <w:jc w:val="right"/>
              <w:rPr>
                <w:rFonts w:ascii="Arial Narrow" w:hAnsi="Arial Narrow" w:cs="Arial"/>
                <w:b/>
                <w:bCs/>
                <w:sz w:val="18"/>
                <w:szCs w:val="18"/>
                <w:lang w:val="cs-CZ"/>
              </w:rPr>
            </w:pPr>
            <w:r>
              <w:rPr>
                <w:rFonts w:ascii="Arial Narrow" w:hAnsi="Arial Narrow" w:cs="Arial"/>
                <w:b/>
                <w:bCs/>
                <w:iCs/>
                <w:sz w:val="18"/>
                <w:szCs w:val="18"/>
              </w:rPr>
              <w:t>16 775</w:t>
            </w:r>
          </w:p>
        </w:tc>
        <w:tc>
          <w:tcPr>
            <w:tcW w:w="960" w:type="dxa"/>
            <w:tcBorders>
              <w:top w:val="single" w:sz="8" w:space="0" w:color="auto"/>
              <w:left w:val="nil"/>
              <w:bottom w:val="single" w:sz="8" w:space="0" w:color="auto"/>
              <w:right w:val="single" w:sz="8" w:space="0" w:color="auto"/>
              <w:tl2br w:val="nil"/>
              <w:tr2bl w:val="nil"/>
            </w:tcBorders>
            <w:textDirection w:val="lrTb"/>
            <w:vAlign w:val="center"/>
          </w:tcPr>
          <w:p w:rsidR="0011736A" w:rsidRPr="0086352B" w:rsidP="0011736A">
            <w:pPr>
              <w:spacing w:line="240" w:lineRule="auto"/>
              <w:jc w:val="right"/>
              <w:rPr>
                <w:rFonts w:ascii="Arial Narrow" w:hAnsi="Arial Narrow" w:cs="Arial"/>
                <w:b/>
                <w:bCs/>
                <w:sz w:val="18"/>
                <w:szCs w:val="18"/>
                <w:lang w:val="cs-CZ"/>
              </w:rPr>
            </w:pPr>
            <w:r>
              <w:rPr>
                <w:rFonts w:ascii="Arial Narrow" w:hAnsi="Arial Narrow" w:cs="Arial"/>
                <w:b/>
                <w:bCs/>
                <w:sz w:val="18"/>
                <w:szCs w:val="18"/>
                <w:lang w:val="cs-CZ"/>
              </w:rPr>
              <w:t>16 775</w:t>
            </w:r>
          </w:p>
        </w:tc>
        <w:tc>
          <w:tcPr>
            <w:tcW w:w="960" w:type="dxa"/>
            <w:tcBorders>
              <w:top w:val="single" w:sz="8" w:space="0" w:color="auto"/>
              <w:left w:val="nil"/>
              <w:bottom w:val="single" w:sz="8" w:space="0" w:color="auto"/>
              <w:right w:val="single" w:sz="8" w:space="0" w:color="auto"/>
              <w:tl2br w:val="nil"/>
              <w:tr2bl w:val="nil"/>
            </w:tcBorders>
            <w:textDirection w:val="lrTb"/>
            <w:vAlign w:val="center"/>
          </w:tcPr>
          <w:p w:rsidR="0011736A" w:rsidRPr="0086352B" w:rsidP="0011736A">
            <w:pPr>
              <w:spacing w:line="240" w:lineRule="auto"/>
              <w:jc w:val="right"/>
              <w:rPr>
                <w:rFonts w:ascii="Arial Narrow" w:hAnsi="Arial Narrow" w:cs="Arial"/>
                <w:b/>
                <w:bCs/>
                <w:sz w:val="18"/>
                <w:szCs w:val="18"/>
                <w:lang w:val="cs-CZ"/>
              </w:rPr>
            </w:pPr>
            <w:r>
              <w:rPr>
                <w:rFonts w:ascii="Arial Narrow" w:hAnsi="Arial Narrow" w:cs="Arial"/>
                <w:b/>
                <w:bCs/>
                <w:sz w:val="18"/>
                <w:szCs w:val="18"/>
                <w:lang w:val="cs-CZ"/>
              </w:rPr>
              <w:t>4 122</w:t>
            </w:r>
          </w:p>
        </w:tc>
        <w:tc>
          <w:tcPr>
            <w:tcW w:w="840" w:type="dxa"/>
            <w:tcBorders>
              <w:top w:val="single" w:sz="8" w:space="0" w:color="auto"/>
              <w:left w:val="nil"/>
              <w:bottom w:val="single" w:sz="8" w:space="0" w:color="auto"/>
              <w:right w:val="single" w:sz="12" w:space="0" w:color="auto"/>
              <w:tl2br w:val="nil"/>
              <w:tr2bl w:val="nil"/>
            </w:tcBorders>
            <w:textDirection w:val="lrTb"/>
            <w:vAlign w:val="center"/>
          </w:tcPr>
          <w:p w:rsidR="0011736A" w:rsidRPr="0086352B" w:rsidP="0011736A">
            <w:pPr>
              <w:spacing w:line="240" w:lineRule="auto"/>
              <w:jc w:val="right"/>
              <w:rPr>
                <w:rFonts w:ascii="Arial Narrow" w:hAnsi="Arial Narrow" w:cs="Arial"/>
                <w:b/>
                <w:bCs/>
                <w:sz w:val="18"/>
                <w:szCs w:val="18"/>
                <w:lang w:val="cs-CZ"/>
              </w:rPr>
            </w:pPr>
            <w:r>
              <w:rPr>
                <w:rFonts w:ascii="Arial Narrow" w:hAnsi="Arial Narrow" w:cs="Arial"/>
                <w:b/>
                <w:bCs/>
                <w:sz w:val="18"/>
                <w:szCs w:val="18"/>
                <w:lang w:val="cs-CZ"/>
              </w:rPr>
              <w:t>0</w:t>
            </w:r>
          </w:p>
        </w:tc>
      </w:tr>
      <w:tr>
        <w:tblPrEx>
          <w:tblW w:w="9295" w:type="dxa"/>
          <w:tblInd w:w="55" w:type="dxa"/>
          <w:tblCellMar>
            <w:left w:w="70" w:type="dxa"/>
            <w:right w:w="70" w:type="dxa"/>
          </w:tblCellMar>
        </w:tblPrEx>
        <w:trPr>
          <w:trHeight w:val="259"/>
        </w:trPr>
        <w:tc>
          <w:tcPr>
            <w:tcW w:w="772" w:type="dxa"/>
            <w:tcBorders>
              <w:top w:val="single" w:sz="8" w:space="0" w:color="auto"/>
              <w:left w:val="single" w:sz="12" w:space="0" w:color="auto"/>
              <w:bottom w:val="single" w:sz="8" w:space="0" w:color="auto"/>
              <w:right w:val="single" w:sz="8" w:space="0" w:color="auto"/>
              <w:tl2br w:val="nil"/>
              <w:tr2bl w:val="nil"/>
            </w:tcBorders>
            <w:noWrap/>
            <w:textDirection w:val="lrTb"/>
            <w:vAlign w:val="center"/>
          </w:tcPr>
          <w:p w:rsidR="0011736A" w:rsidRPr="0086352B" w:rsidP="0011736A">
            <w:pPr>
              <w:spacing w:line="240" w:lineRule="auto"/>
              <w:rPr>
                <w:rFonts w:ascii="Arial Narrow" w:hAnsi="Arial Narrow" w:cs="Arial"/>
                <w:sz w:val="18"/>
                <w:szCs w:val="18"/>
                <w:lang w:val="cs-CZ"/>
              </w:rPr>
            </w:pPr>
            <w:r w:rsidRPr="0086352B">
              <w:rPr>
                <w:rFonts w:ascii="Arial Narrow" w:hAnsi="Arial Narrow" w:cs="Arial"/>
                <w:sz w:val="18"/>
                <w:szCs w:val="18"/>
              </w:rPr>
              <w:t>0530303</w:t>
            </w:r>
          </w:p>
        </w:tc>
        <w:tc>
          <w:tcPr>
            <w:tcW w:w="4823" w:type="dxa"/>
            <w:tcBorders>
              <w:top w:val="single" w:sz="8" w:space="0" w:color="auto"/>
              <w:left w:val="nil"/>
              <w:bottom w:val="single" w:sz="8" w:space="0" w:color="auto"/>
              <w:right w:val="single" w:sz="8" w:space="0" w:color="auto"/>
              <w:tl2br w:val="nil"/>
              <w:tr2bl w:val="nil"/>
            </w:tcBorders>
            <w:textDirection w:val="lrTb"/>
            <w:vAlign w:val="center"/>
          </w:tcPr>
          <w:p w:rsidR="0011736A" w:rsidRPr="0086352B" w:rsidP="0011736A">
            <w:pPr>
              <w:spacing w:line="240" w:lineRule="auto"/>
              <w:rPr>
                <w:rFonts w:ascii="Arial Narrow" w:hAnsi="Arial Narrow" w:cs="Arial"/>
                <w:sz w:val="18"/>
                <w:szCs w:val="18"/>
                <w:lang w:val="cs-CZ"/>
              </w:rPr>
            </w:pPr>
            <w:r w:rsidRPr="0086352B">
              <w:rPr>
                <w:rFonts w:ascii="Arial Narrow" w:hAnsi="Arial Narrow" w:cs="Arial"/>
                <w:sz w:val="18"/>
                <w:szCs w:val="18"/>
              </w:rPr>
              <w:t xml:space="preserve">Odb. pomoc </w:t>
            </w:r>
            <w:r>
              <w:rPr>
                <w:rFonts w:ascii="Arial Narrow" w:hAnsi="Arial Narrow" w:cs="Arial"/>
                <w:sz w:val="18"/>
                <w:szCs w:val="18"/>
              </w:rPr>
              <w:t xml:space="preserve">pre príp. dop. proj. - cest. </w:t>
            </w:r>
            <w:r w:rsidRPr="0086352B">
              <w:rPr>
                <w:rFonts w:ascii="Arial Narrow" w:hAnsi="Arial Narrow" w:cs="Arial"/>
                <w:sz w:val="18"/>
                <w:szCs w:val="18"/>
              </w:rPr>
              <w:t>projekty (ISPA)</w:t>
            </w:r>
            <w:r>
              <w:rPr>
                <w:rFonts w:ascii="Arial Narrow" w:hAnsi="Arial Narrow" w:cs="Arial"/>
                <w:sz w:val="18"/>
                <w:szCs w:val="18"/>
              </w:rPr>
              <w:t xml:space="preserve"> - </w:t>
            </w:r>
            <w:r w:rsidRPr="0086352B">
              <w:rPr>
                <w:rFonts w:ascii="Arial Narrow" w:hAnsi="Arial Narrow" w:cs="Arial"/>
                <w:sz w:val="18"/>
                <w:szCs w:val="18"/>
              </w:rPr>
              <w:t>spolufin.</w:t>
            </w:r>
          </w:p>
        </w:tc>
        <w:tc>
          <w:tcPr>
            <w:tcW w:w="940" w:type="dxa"/>
            <w:tcBorders>
              <w:top w:val="single" w:sz="8" w:space="0" w:color="auto"/>
              <w:left w:val="nil"/>
              <w:bottom w:val="single" w:sz="8" w:space="0" w:color="auto"/>
              <w:right w:val="single" w:sz="8" w:space="0" w:color="auto"/>
              <w:tl2br w:val="nil"/>
              <w:tr2bl w:val="nil"/>
            </w:tcBorders>
            <w:textDirection w:val="lrTb"/>
            <w:vAlign w:val="center"/>
          </w:tcPr>
          <w:p w:rsidR="0011736A" w:rsidRPr="0086352B" w:rsidP="0011736A">
            <w:pPr>
              <w:spacing w:line="240" w:lineRule="auto"/>
              <w:jc w:val="right"/>
              <w:rPr>
                <w:rFonts w:ascii="Arial Narrow" w:hAnsi="Arial Narrow" w:cs="Arial"/>
                <w:sz w:val="18"/>
                <w:szCs w:val="18"/>
                <w:lang w:val="cs-CZ"/>
              </w:rPr>
            </w:pPr>
            <w:r w:rsidRPr="0086352B">
              <w:rPr>
                <w:rFonts w:ascii="Arial Narrow" w:hAnsi="Arial Narrow" w:cs="Arial"/>
                <w:sz w:val="18"/>
                <w:szCs w:val="18"/>
              </w:rPr>
              <w:t>0</w:t>
            </w:r>
          </w:p>
        </w:tc>
        <w:tc>
          <w:tcPr>
            <w:tcW w:w="960" w:type="dxa"/>
            <w:tcBorders>
              <w:top w:val="single" w:sz="8" w:space="0" w:color="auto"/>
              <w:left w:val="nil"/>
              <w:bottom w:val="single" w:sz="8" w:space="0" w:color="auto"/>
              <w:right w:val="single" w:sz="8" w:space="0" w:color="auto"/>
              <w:tl2br w:val="nil"/>
              <w:tr2bl w:val="nil"/>
            </w:tcBorders>
            <w:textDirection w:val="lrTb"/>
            <w:vAlign w:val="center"/>
          </w:tcPr>
          <w:p w:rsidR="0011736A" w:rsidRPr="0086352B" w:rsidP="0011736A">
            <w:pPr>
              <w:spacing w:line="240" w:lineRule="auto"/>
              <w:jc w:val="right"/>
              <w:rPr>
                <w:rFonts w:ascii="Arial Narrow" w:hAnsi="Arial Narrow" w:cs="Arial"/>
                <w:sz w:val="18"/>
                <w:szCs w:val="18"/>
                <w:lang w:val="cs-CZ"/>
              </w:rPr>
            </w:pPr>
            <w:r>
              <w:rPr>
                <w:rFonts w:ascii="Arial Narrow" w:hAnsi="Arial Narrow" w:cs="Arial"/>
                <w:sz w:val="18"/>
                <w:szCs w:val="18"/>
                <w:lang w:val="cs-CZ"/>
              </w:rPr>
              <w:t>0</w:t>
            </w:r>
          </w:p>
        </w:tc>
        <w:tc>
          <w:tcPr>
            <w:tcW w:w="960" w:type="dxa"/>
            <w:tcBorders>
              <w:top w:val="single" w:sz="8" w:space="0" w:color="auto"/>
              <w:left w:val="nil"/>
              <w:bottom w:val="single" w:sz="8" w:space="0" w:color="auto"/>
              <w:right w:val="single" w:sz="8" w:space="0" w:color="auto"/>
              <w:tl2br w:val="nil"/>
              <w:tr2bl w:val="nil"/>
            </w:tcBorders>
            <w:textDirection w:val="lrTb"/>
            <w:vAlign w:val="center"/>
          </w:tcPr>
          <w:p w:rsidR="0011736A" w:rsidRPr="0086352B" w:rsidP="0011736A">
            <w:pPr>
              <w:spacing w:line="240" w:lineRule="auto"/>
              <w:jc w:val="right"/>
              <w:rPr>
                <w:rFonts w:ascii="Arial Narrow" w:hAnsi="Arial Narrow" w:cs="Arial"/>
                <w:sz w:val="18"/>
                <w:szCs w:val="18"/>
                <w:lang w:val="cs-CZ"/>
              </w:rPr>
            </w:pPr>
            <w:r>
              <w:rPr>
                <w:rFonts w:ascii="Arial Narrow" w:hAnsi="Arial Narrow" w:cs="Arial"/>
                <w:sz w:val="18"/>
                <w:szCs w:val="18"/>
                <w:lang w:val="cs-CZ"/>
              </w:rPr>
              <w:t>0</w:t>
            </w:r>
          </w:p>
        </w:tc>
        <w:tc>
          <w:tcPr>
            <w:tcW w:w="840" w:type="dxa"/>
            <w:tcBorders>
              <w:top w:val="single" w:sz="8" w:space="0" w:color="auto"/>
              <w:left w:val="nil"/>
              <w:bottom w:val="single" w:sz="8" w:space="0" w:color="auto"/>
              <w:right w:val="single" w:sz="12" w:space="0" w:color="auto"/>
              <w:tl2br w:val="nil"/>
              <w:tr2bl w:val="nil"/>
            </w:tcBorders>
            <w:textDirection w:val="lrTb"/>
            <w:vAlign w:val="center"/>
          </w:tcPr>
          <w:p w:rsidR="0011736A" w:rsidRPr="0086352B" w:rsidP="0011736A">
            <w:pPr>
              <w:spacing w:line="240" w:lineRule="auto"/>
              <w:jc w:val="right"/>
              <w:rPr>
                <w:rFonts w:ascii="Arial Narrow" w:hAnsi="Arial Narrow" w:cs="Arial"/>
                <w:sz w:val="18"/>
                <w:szCs w:val="18"/>
                <w:lang w:val="cs-CZ"/>
              </w:rPr>
            </w:pPr>
            <w:r>
              <w:rPr>
                <w:rFonts w:ascii="Arial Narrow" w:hAnsi="Arial Narrow" w:cs="Arial"/>
                <w:sz w:val="18"/>
                <w:szCs w:val="18"/>
                <w:lang w:val="cs-CZ"/>
              </w:rPr>
              <w:t>0</w:t>
            </w:r>
          </w:p>
        </w:tc>
      </w:tr>
      <w:tr>
        <w:tblPrEx>
          <w:tblW w:w="9295" w:type="dxa"/>
          <w:tblInd w:w="55" w:type="dxa"/>
          <w:tblCellMar>
            <w:left w:w="70" w:type="dxa"/>
            <w:right w:w="70" w:type="dxa"/>
          </w:tblCellMar>
        </w:tblPrEx>
        <w:trPr>
          <w:trHeight w:val="259"/>
        </w:trPr>
        <w:tc>
          <w:tcPr>
            <w:tcW w:w="772" w:type="dxa"/>
            <w:tcBorders>
              <w:top w:val="single" w:sz="8" w:space="0" w:color="auto"/>
              <w:left w:val="single" w:sz="12" w:space="0" w:color="auto"/>
              <w:bottom w:val="single" w:sz="8" w:space="0" w:color="auto"/>
              <w:right w:val="single" w:sz="8" w:space="0" w:color="auto"/>
              <w:tl2br w:val="nil"/>
              <w:tr2bl w:val="nil"/>
            </w:tcBorders>
            <w:noWrap/>
            <w:textDirection w:val="lrTb"/>
            <w:vAlign w:val="center"/>
          </w:tcPr>
          <w:p w:rsidR="0011736A" w:rsidRPr="0086352B" w:rsidP="0011736A">
            <w:pPr>
              <w:spacing w:line="240" w:lineRule="auto"/>
              <w:rPr>
                <w:rFonts w:ascii="Arial Narrow" w:hAnsi="Arial Narrow" w:cs="Arial"/>
                <w:sz w:val="18"/>
                <w:szCs w:val="18"/>
                <w:lang w:val="cs-CZ"/>
              </w:rPr>
            </w:pPr>
            <w:r w:rsidRPr="0086352B">
              <w:rPr>
                <w:rFonts w:ascii="Arial Narrow" w:hAnsi="Arial Narrow" w:cs="Arial"/>
                <w:sz w:val="18"/>
                <w:szCs w:val="18"/>
              </w:rPr>
              <w:t> </w:t>
            </w:r>
          </w:p>
        </w:tc>
        <w:tc>
          <w:tcPr>
            <w:tcW w:w="4823" w:type="dxa"/>
            <w:tcBorders>
              <w:top w:val="single" w:sz="8" w:space="0" w:color="auto"/>
              <w:left w:val="nil"/>
              <w:bottom w:val="single" w:sz="8" w:space="0" w:color="auto"/>
              <w:right w:val="single" w:sz="8" w:space="0" w:color="auto"/>
              <w:tl2br w:val="nil"/>
              <w:tr2bl w:val="nil"/>
            </w:tcBorders>
            <w:textDirection w:val="lrTb"/>
            <w:vAlign w:val="center"/>
          </w:tcPr>
          <w:p w:rsidR="0011736A" w:rsidRPr="0086352B" w:rsidP="0011736A">
            <w:pPr>
              <w:spacing w:line="240" w:lineRule="auto"/>
              <w:rPr>
                <w:rFonts w:ascii="Arial Narrow" w:hAnsi="Arial Narrow" w:cs="Arial"/>
                <w:sz w:val="18"/>
                <w:szCs w:val="18"/>
                <w:lang w:val="cs-CZ"/>
              </w:rPr>
            </w:pPr>
            <w:r>
              <w:rPr>
                <w:rFonts w:ascii="Arial Narrow" w:hAnsi="Arial Narrow" w:cs="Arial"/>
                <w:sz w:val="18"/>
                <w:szCs w:val="18"/>
              </w:rPr>
              <w:t xml:space="preserve">      </w:t>
            </w:r>
            <w:r w:rsidRPr="0086352B">
              <w:rPr>
                <w:rFonts w:ascii="Arial Narrow" w:hAnsi="Arial Narrow" w:cs="Arial"/>
                <w:sz w:val="18"/>
                <w:szCs w:val="18"/>
              </w:rPr>
              <w:t>ISPA</w:t>
            </w:r>
          </w:p>
        </w:tc>
        <w:tc>
          <w:tcPr>
            <w:tcW w:w="940" w:type="dxa"/>
            <w:tcBorders>
              <w:top w:val="single" w:sz="8" w:space="0" w:color="auto"/>
              <w:left w:val="nil"/>
              <w:bottom w:val="single" w:sz="8" w:space="0" w:color="auto"/>
              <w:right w:val="single" w:sz="8" w:space="0" w:color="auto"/>
              <w:tl2br w:val="nil"/>
              <w:tr2bl w:val="nil"/>
            </w:tcBorders>
            <w:textDirection w:val="lrTb"/>
            <w:vAlign w:val="center"/>
          </w:tcPr>
          <w:p w:rsidR="0011736A" w:rsidRPr="0086352B" w:rsidP="0011736A">
            <w:pPr>
              <w:spacing w:line="240" w:lineRule="auto"/>
              <w:jc w:val="right"/>
              <w:rPr>
                <w:rFonts w:ascii="Arial Narrow" w:hAnsi="Arial Narrow" w:cs="Arial"/>
                <w:sz w:val="18"/>
                <w:szCs w:val="18"/>
                <w:lang w:val="cs-CZ"/>
              </w:rPr>
            </w:pPr>
            <w:r>
              <w:rPr>
                <w:rFonts w:ascii="Arial Narrow" w:hAnsi="Arial Narrow" w:cs="Arial"/>
                <w:sz w:val="18"/>
                <w:szCs w:val="18"/>
              </w:rPr>
              <w:t>8 262</w:t>
            </w:r>
          </w:p>
        </w:tc>
        <w:tc>
          <w:tcPr>
            <w:tcW w:w="960" w:type="dxa"/>
            <w:tcBorders>
              <w:top w:val="single" w:sz="8" w:space="0" w:color="auto"/>
              <w:left w:val="nil"/>
              <w:bottom w:val="single" w:sz="8" w:space="0" w:color="auto"/>
              <w:right w:val="single" w:sz="8" w:space="0" w:color="auto"/>
              <w:tl2br w:val="nil"/>
              <w:tr2bl w:val="nil"/>
            </w:tcBorders>
            <w:textDirection w:val="lrTb"/>
            <w:vAlign w:val="center"/>
          </w:tcPr>
          <w:p w:rsidR="0011736A" w:rsidRPr="0086352B" w:rsidP="0011736A">
            <w:pPr>
              <w:spacing w:line="240" w:lineRule="auto"/>
              <w:jc w:val="right"/>
              <w:rPr>
                <w:rFonts w:ascii="Arial Narrow" w:hAnsi="Arial Narrow" w:cs="Arial"/>
                <w:sz w:val="18"/>
                <w:szCs w:val="18"/>
                <w:lang w:val="cs-CZ"/>
              </w:rPr>
            </w:pPr>
            <w:r>
              <w:rPr>
                <w:rFonts w:ascii="Arial Narrow" w:hAnsi="Arial Narrow" w:cs="Arial"/>
                <w:sz w:val="18"/>
                <w:szCs w:val="18"/>
                <w:lang w:val="cs-CZ"/>
              </w:rPr>
              <w:t>8 262</w:t>
            </w:r>
          </w:p>
        </w:tc>
        <w:tc>
          <w:tcPr>
            <w:tcW w:w="960" w:type="dxa"/>
            <w:tcBorders>
              <w:top w:val="single" w:sz="8" w:space="0" w:color="auto"/>
              <w:left w:val="nil"/>
              <w:bottom w:val="single" w:sz="8" w:space="0" w:color="auto"/>
              <w:right w:val="single" w:sz="8" w:space="0" w:color="auto"/>
              <w:tl2br w:val="nil"/>
              <w:tr2bl w:val="nil"/>
            </w:tcBorders>
            <w:textDirection w:val="lrTb"/>
            <w:vAlign w:val="center"/>
          </w:tcPr>
          <w:p w:rsidR="0011736A" w:rsidRPr="0086352B" w:rsidP="0011736A">
            <w:pPr>
              <w:spacing w:line="240" w:lineRule="auto"/>
              <w:jc w:val="right"/>
              <w:rPr>
                <w:rFonts w:ascii="Arial Narrow" w:hAnsi="Arial Narrow" w:cs="Arial"/>
                <w:sz w:val="18"/>
                <w:szCs w:val="18"/>
                <w:lang w:val="cs-CZ"/>
              </w:rPr>
            </w:pPr>
            <w:r>
              <w:rPr>
                <w:rFonts w:ascii="Arial Narrow" w:hAnsi="Arial Narrow" w:cs="Arial"/>
                <w:sz w:val="18"/>
                <w:szCs w:val="18"/>
                <w:lang w:val="cs-CZ"/>
              </w:rPr>
              <w:t>0</w:t>
            </w:r>
          </w:p>
        </w:tc>
        <w:tc>
          <w:tcPr>
            <w:tcW w:w="840" w:type="dxa"/>
            <w:tcBorders>
              <w:top w:val="single" w:sz="8" w:space="0" w:color="auto"/>
              <w:left w:val="nil"/>
              <w:bottom w:val="single" w:sz="8" w:space="0" w:color="auto"/>
              <w:right w:val="single" w:sz="12" w:space="0" w:color="auto"/>
              <w:tl2br w:val="nil"/>
              <w:tr2bl w:val="nil"/>
            </w:tcBorders>
            <w:textDirection w:val="lrTb"/>
            <w:vAlign w:val="center"/>
          </w:tcPr>
          <w:p w:rsidR="0011736A" w:rsidRPr="0086352B" w:rsidP="0011736A">
            <w:pPr>
              <w:spacing w:line="240" w:lineRule="auto"/>
              <w:jc w:val="right"/>
              <w:rPr>
                <w:rFonts w:ascii="Arial Narrow" w:hAnsi="Arial Narrow" w:cs="Arial"/>
                <w:sz w:val="18"/>
                <w:szCs w:val="18"/>
                <w:lang w:val="cs-CZ"/>
              </w:rPr>
            </w:pPr>
            <w:r>
              <w:rPr>
                <w:rFonts w:ascii="Arial Narrow" w:hAnsi="Arial Narrow" w:cs="Arial"/>
                <w:sz w:val="18"/>
                <w:szCs w:val="18"/>
                <w:lang w:val="cs-CZ"/>
              </w:rPr>
              <w:t>0</w:t>
            </w:r>
          </w:p>
        </w:tc>
      </w:tr>
      <w:tr>
        <w:tblPrEx>
          <w:tblW w:w="9295" w:type="dxa"/>
          <w:tblInd w:w="55" w:type="dxa"/>
          <w:tblCellMar>
            <w:left w:w="70" w:type="dxa"/>
            <w:right w:w="70" w:type="dxa"/>
          </w:tblCellMar>
        </w:tblPrEx>
        <w:trPr>
          <w:trHeight w:val="259"/>
        </w:trPr>
        <w:tc>
          <w:tcPr>
            <w:tcW w:w="772" w:type="dxa"/>
            <w:tcBorders>
              <w:top w:val="single" w:sz="8" w:space="0" w:color="auto"/>
              <w:left w:val="single" w:sz="12" w:space="0" w:color="auto"/>
              <w:bottom w:val="single" w:sz="8" w:space="0" w:color="auto"/>
              <w:right w:val="single" w:sz="8" w:space="0" w:color="auto"/>
              <w:tl2br w:val="nil"/>
              <w:tr2bl w:val="nil"/>
            </w:tcBorders>
            <w:noWrap/>
            <w:textDirection w:val="lrTb"/>
            <w:vAlign w:val="center"/>
          </w:tcPr>
          <w:p w:rsidR="0011736A" w:rsidRPr="0086352B" w:rsidP="0011736A">
            <w:pPr>
              <w:spacing w:line="240" w:lineRule="auto"/>
              <w:rPr>
                <w:rFonts w:ascii="Arial Narrow" w:hAnsi="Arial Narrow" w:cs="Arial"/>
                <w:sz w:val="18"/>
                <w:szCs w:val="18"/>
                <w:lang w:val="cs-CZ"/>
              </w:rPr>
            </w:pPr>
            <w:r w:rsidRPr="0086352B">
              <w:rPr>
                <w:rFonts w:ascii="Arial Narrow" w:hAnsi="Arial Narrow" w:cs="Arial"/>
                <w:sz w:val="18"/>
                <w:szCs w:val="18"/>
              </w:rPr>
              <w:t>0530307</w:t>
            </w:r>
          </w:p>
        </w:tc>
        <w:tc>
          <w:tcPr>
            <w:tcW w:w="4823" w:type="dxa"/>
            <w:tcBorders>
              <w:top w:val="single" w:sz="8" w:space="0" w:color="auto"/>
              <w:left w:val="nil"/>
              <w:bottom w:val="single" w:sz="8" w:space="0" w:color="auto"/>
              <w:right w:val="single" w:sz="8" w:space="0" w:color="auto"/>
              <w:tl2br w:val="nil"/>
              <w:tr2bl w:val="nil"/>
            </w:tcBorders>
            <w:textDirection w:val="lrTb"/>
            <w:vAlign w:val="center"/>
          </w:tcPr>
          <w:p w:rsidR="0011736A" w:rsidRPr="0086352B" w:rsidP="0011736A">
            <w:pPr>
              <w:spacing w:line="240" w:lineRule="auto"/>
              <w:rPr>
                <w:rFonts w:ascii="Arial Narrow" w:hAnsi="Arial Narrow" w:cs="Arial"/>
                <w:sz w:val="18"/>
                <w:szCs w:val="18"/>
                <w:lang w:val="cs-CZ"/>
              </w:rPr>
            </w:pPr>
            <w:r w:rsidRPr="0086352B">
              <w:rPr>
                <w:rFonts w:ascii="Arial Narrow" w:hAnsi="Arial Narrow" w:cs="Arial"/>
                <w:sz w:val="18"/>
                <w:szCs w:val="18"/>
              </w:rPr>
              <w:t>Odb. pomoc pre imp</w:t>
            </w:r>
            <w:r>
              <w:rPr>
                <w:rFonts w:ascii="Arial Narrow" w:hAnsi="Arial Narrow" w:cs="Arial"/>
                <w:sz w:val="18"/>
                <w:szCs w:val="18"/>
              </w:rPr>
              <w:t>l</w:t>
            </w:r>
            <w:r w:rsidRPr="0086352B">
              <w:rPr>
                <w:rFonts w:ascii="Arial Narrow" w:hAnsi="Arial Narrow" w:cs="Arial"/>
                <w:sz w:val="18"/>
                <w:szCs w:val="18"/>
              </w:rPr>
              <w:t>. dop</w:t>
            </w:r>
            <w:r>
              <w:rPr>
                <w:rFonts w:ascii="Arial Narrow" w:hAnsi="Arial Narrow" w:cs="Arial"/>
                <w:sz w:val="18"/>
                <w:szCs w:val="18"/>
              </w:rPr>
              <w:t>r</w:t>
            </w:r>
            <w:r w:rsidRPr="0086352B">
              <w:rPr>
                <w:rFonts w:ascii="Arial Narrow" w:hAnsi="Arial Narrow" w:cs="Arial"/>
                <w:sz w:val="18"/>
                <w:szCs w:val="18"/>
              </w:rPr>
              <w:t>. proj. - cest. projekty (ISPA)</w:t>
            </w:r>
            <w:r>
              <w:rPr>
                <w:rFonts w:ascii="Arial Narrow" w:hAnsi="Arial Narrow" w:cs="Arial"/>
                <w:sz w:val="18"/>
                <w:szCs w:val="18"/>
              </w:rPr>
              <w:t xml:space="preserve"> - </w:t>
            </w:r>
            <w:r w:rsidRPr="0086352B">
              <w:rPr>
                <w:rFonts w:ascii="Arial Narrow" w:hAnsi="Arial Narrow" w:cs="Arial"/>
                <w:sz w:val="18"/>
                <w:szCs w:val="18"/>
              </w:rPr>
              <w:t>spolufin.</w:t>
            </w:r>
          </w:p>
        </w:tc>
        <w:tc>
          <w:tcPr>
            <w:tcW w:w="940" w:type="dxa"/>
            <w:tcBorders>
              <w:top w:val="single" w:sz="8" w:space="0" w:color="auto"/>
              <w:left w:val="nil"/>
              <w:bottom w:val="single" w:sz="8" w:space="0" w:color="auto"/>
              <w:right w:val="single" w:sz="8" w:space="0" w:color="auto"/>
              <w:tl2br w:val="nil"/>
              <w:tr2bl w:val="nil"/>
            </w:tcBorders>
            <w:textDirection w:val="lrTb"/>
            <w:vAlign w:val="center"/>
          </w:tcPr>
          <w:p w:rsidR="0011736A" w:rsidRPr="0086352B" w:rsidP="0011736A">
            <w:pPr>
              <w:spacing w:line="240" w:lineRule="auto"/>
              <w:jc w:val="right"/>
              <w:rPr>
                <w:rFonts w:ascii="Arial Narrow" w:hAnsi="Arial Narrow" w:cs="Arial"/>
                <w:sz w:val="18"/>
                <w:szCs w:val="18"/>
                <w:lang w:val="cs-CZ"/>
              </w:rPr>
            </w:pPr>
            <w:r>
              <w:rPr>
                <w:rFonts w:ascii="Arial Narrow" w:hAnsi="Arial Narrow" w:cs="Arial"/>
                <w:sz w:val="18"/>
                <w:szCs w:val="18"/>
              </w:rPr>
              <w:t>2 838</w:t>
            </w:r>
          </w:p>
        </w:tc>
        <w:tc>
          <w:tcPr>
            <w:tcW w:w="960" w:type="dxa"/>
            <w:tcBorders>
              <w:top w:val="single" w:sz="8" w:space="0" w:color="auto"/>
              <w:left w:val="nil"/>
              <w:bottom w:val="single" w:sz="8" w:space="0" w:color="auto"/>
              <w:right w:val="single" w:sz="8" w:space="0" w:color="auto"/>
              <w:tl2br w:val="nil"/>
              <w:tr2bl w:val="nil"/>
            </w:tcBorders>
            <w:textDirection w:val="lrTb"/>
            <w:vAlign w:val="center"/>
          </w:tcPr>
          <w:p w:rsidR="0011736A" w:rsidRPr="0086352B" w:rsidP="0011736A">
            <w:pPr>
              <w:spacing w:line="240" w:lineRule="auto"/>
              <w:jc w:val="right"/>
              <w:rPr>
                <w:rFonts w:ascii="Arial Narrow" w:hAnsi="Arial Narrow" w:cs="Arial"/>
                <w:sz w:val="18"/>
                <w:szCs w:val="18"/>
                <w:lang w:val="cs-CZ"/>
              </w:rPr>
            </w:pPr>
            <w:r>
              <w:rPr>
                <w:rFonts w:ascii="Arial Narrow" w:hAnsi="Arial Narrow" w:cs="Arial"/>
                <w:sz w:val="18"/>
                <w:szCs w:val="18"/>
                <w:lang w:val="cs-CZ"/>
              </w:rPr>
              <w:t>2 629</w:t>
            </w:r>
          </w:p>
        </w:tc>
        <w:tc>
          <w:tcPr>
            <w:tcW w:w="960" w:type="dxa"/>
            <w:tcBorders>
              <w:top w:val="single" w:sz="8" w:space="0" w:color="auto"/>
              <w:left w:val="nil"/>
              <w:bottom w:val="single" w:sz="8" w:space="0" w:color="auto"/>
              <w:right w:val="single" w:sz="8" w:space="0" w:color="auto"/>
              <w:tl2br w:val="nil"/>
              <w:tr2bl w:val="nil"/>
            </w:tcBorders>
            <w:textDirection w:val="lrTb"/>
            <w:vAlign w:val="center"/>
          </w:tcPr>
          <w:p w:rsidR="0011736A" w:rsidRPr="0086352B" w:rsidP="0011736A">
            <w:pPr>
              <w:spacing w:line="240" w:lineRule="auto"/>
              <w:jc w:val="right"/>
              <w:rPr>
                <w:rFonts w:ascii="Arial Narrow" w:hAnsi="Arial Narrow" w:cs="Arial"/>
                <w:sz w:val="18"/>
                <w:szCs w:val="18"/>
                <w:lang w:val="cs-CZ"/>
              </w:rPr>
            </w:pPr>
            <w:r>
              <w:rPr>
                <w:rFonts w:ascii="Arial Narrow" w:hAnsi="Arial Narrow" w:cs="Arial"/>
                <w:sz w:val="18"/>
                <w:szCs w:val="18"/>
                <w:lang w:val="cs-CZ"/>
              </w:rPr>
              <w:t>1 959</w:t>
            </w:r>
          </w:p>
        </w:tc>
        <w:tc>
          <w:tcPr>
            <w:tcW w:w="840" w:type="dxa"/>
            <w:tcBorders>
              <w:top w:val="single" w:sz="8" w:space="0" w:color="auto"/>
              <w:left w:val="nil"/>
              <w:bottom w:val="single" w:sz="8" w:space="0" w:color="auto"/>
              <w:right w:val="single" w:sz="12" w:space="0" w:color="auto"/>
              <w:tl2br w:val="nil"/>
              <w:tr2bl w:val="nil"/>
            </w:tcBorders>
            <w:textDirection w:val="lrTb"/>
            <w:vAlign w:val="center"/>
          </w:tcPr>
          <w:p w:rsidR="0011736A" w:rsidRPr="0086352B" w:rsidP="0011736A">
            <w:pPr>
              <w:spacing w:line="240" w:lineRule="auto"/>
              <w:jc w:val="right"/>
              <w:rPr>
                <w:rFonts w:ascii="Arial Narrow" w:hAnsi="Arial Narrow" w:cs="Arial"/>
                <w:sz w:val="18"/>
                <w:szCs w:val="18"/>
                <w:lang w:val="cs-CZ"/>
              </w:rPr>
            </w:pPr>
            <w:r>
              <w:rPr>
                <w:rFonts w:ascii="Arial Narrow" w:hAnsi="Arial Narrow" w:cs="Arial"/>
                <w:sz w:val="18"/>
                <w:szCs w:val="18"/>
                <w:lang w:val="cs-CZ"/>
              </w:rPr>
              <w:t>0</w:t>
            </w:r>
          </w:p>
        </w:tc>
      </w:tr>
      <w:tr>
        <w:tblPrEx>
          <w:tblW w:w="9295" w:type="dxa"/>
          <w:tblInd w:w="55" w:type="dxa"/>
          <w:tblCellMar>
            <w:left w:w="70" w:type="dxa"/>
            <w:right w:w="70" w:type="dxa"/>
          </w:tblCellMar>
        </w:tblPrEx>
        <w:trPr>
          <w:trHeight w:val="259"/>
        </w:trPr>
        <w:tc>
          <w:tcPr>
            <w:tcW w:w="772" w:type="dxa"/>
            <w:tcBorders>
              <w:top w:val="single" w:sz="8" w:space="0" w:color="auto"/>
              <w:left w:val="single" w:sz="12" w:space="0" w:color="auto"/>
              <w:bottom w:val="single" w:sz="8" w:space="0" w:color="auto"/>
              <w:right w:val="single" w:sz="8" w:space="0" w:color="auto"/>
              <w:tl2br w:val="nil"/>
              <w:tr2bl w:val="nil"/>
            </w:tcBorders>
            <w:noWrap/>
            <w:textDirection w:val="lrTb"/>
            <w:vAlign w:val="center"/>
          </w:tcPr>
          <w:p w:rsidR="0011736A" w:rsidRPr="0086352B" w:rsidP="0011736A">
            <w:pPr>
              <w:spacing w:line="240" w:lineRule="auto"/>
              <w:rPr>
                <w:rFonts w:ascii="Arial Narrow" w:hAnsi="Arial Narrow" w:cs="Arial"/>
                <w:sz w:val="18"/>
                <w:szCs w:val="18"/>
                <w:lang w:val="cs-CZ"/>
              </w:rPr>
            </w:pPr>
            <w:r w:rsidRPr="0086352B">
              <w:rPr>
                <w:rFonts w:ascii="Arial Narrow" w:hAnsi="Arial Narrow" w:cs="Arial"/>
                <w:sz w:val="18"/>
                <w:szCs w:val="18"/>
              </w:rPr>
              <w:t> </w:t>
            </w:r>
          </w:p>
        </w:tc>
        <w:tc>
          <w:tcPr>
            <w:tcW w:w="4823" w:type="dxa"/>
            <w:tcBorders>
              <w:top w:val="single" w:sz="8" w:space="0" w:color="auto"/>
              <w:left w:val="nil"/>
              <w:bottom w:val="single" w:sz="8" w:space="0" w:color="auto"/>
              <w:right w:val="single" w:sz="8" w:space="0" w:color="auto"/>
              <w:tl2br w:val="nil"/>
              <w:tr2bl w:val="nil"/>
            </w:tcBorders>
            <w:textDirection w:val="lrTb"/>
            <w:vAlign w:val="center"/>
          </w:tcPr>
          <w:p w:rsidR="0011736A" w:rsidRPr="0086352B" w:rsidP="0011736A">
            <w:pPr>
              <w:spacing w:line="240" w:lineRule="auto"/>
              <w:rPr>
                <w:rFonts w:ascii="Arial Narrow" w:hAnsi="Arial Narrow" w:cs="Arial"/>
                <w:sz w:val="18"/>
                <w:szCs w:val="18"/>
                <w:lang w:val="cs-CZ"/>
              </w:rPr>
            </w:pPr>
            <w:r>
              <w:rPr>
                <w:rFonts w:ascii="Arial Narrow" w:hAnsi="Arial Narrow" w:cs="Arial"/>
                <w:sz w:val="18"/>
                <w:szCs w:val="18"/>
              </w:rPr>
              <w:t xml:space="preserve">      I</w:t>
            </w:r>
            <w:r w:rsidRPr="0086352B">
              <w:rPr>
                <w:rFonts w:ascii="Arial Narrow" w:hAnsi="Arial Narrow" w:cs="Arial"/>
                <w:sz w:val="18"/>
                <w:szCs w:val="18"/>
              </w:rPr>
              <w:t>SPA</w:t>
            </w:r>
          </w:p>
        </w:tc>
        <w:tc>
          <w:tcPr>
            <w:tcW w:w="940" w:type="dxa"/>
            <w:tcBorders>
              <w:top w:val="single" w:sz="8" w:space="0" w:color="auto"/>
              <w:left w:val="nil"/>
              <w:bottom w:val="single" w:sz="8" w:space="0" w:color="auto"/>
              <w:right w:val="single" w:sz="8" w:space="0" w:color="auto"/>
              <w:tl2br w:val="nil"/>
              <w:tr2bl w:val="nil"/>
            </w:tcBorders>
            <w:textDirection w:val="lrTb"/>
            <w:vAlign w:val="center"/>
          </w:tcPr>
          <w:p w:rsidR="0011736A" w:rsidRPr="0086352B" w:rsidP="0011736A">
            <w:pPr>
              <w:spacing w:line="240" w:lineRule="auto"/>
              <w:jc w:val="right"/>
              <w:rPr>
                <w:rFonts w:ascii="Arial Narrow" w:hAnsi="Arial Narrow" w:cs="Arial"/>
                <w:sz w:val="18"/>
                <w:szCs w:val="18"/>
                <w:lang w:val="cs-CZ"/>
              </w:rPr>
            </w:pPr>
            <w:r>
              <w:rPr>
                <w:rFonts w:ascii="Arial Narrow" w:hAnsi="Arial Narrow" w:cs="Arial"/>
                <w:sz w:val="18"/>
                <w:szCs w:val="18"/>
              </w:rPr>
              <w:t>8 513</w:t>
            </w:r>
          </w:p>
        </w:tc>
        <w:tc>
          <w:tcPr>
            <w:tcW w:w="960" w:type="dxa"/>
            <w:tcBorders>
              <w:top w:val="single" w:sz="8" w:space="0" w:color="auto"/>
              <w:left w:val="nil"/>
              <w:bottom w:val="single" w:sz="8" w:space="0" w:color="auto"/>
              <w:right w:val="single" w:sz="8" w:space="0" w:color="auto"/>
              <w:tl2br w:val="nil"/>
              <w:tr2bl w:val="nil"/>
            </w:tcBorders>
            <w:textDirection w:val="lrTb"/>
            <w:vAlign w:val="center"/>
          </w:tcPr>
          <w:p w:rsidR="0011736A" w:rsidRPr="0086352B" w:rsidP="0011736A">
            <w:pPr>
              <w:spacing w:line="240" w:lineRule="auto"/>
              <w:jc w:val="right"/>
              <w:rPr>
                <w:rFonts w:ascii="Arial Narrow" w:hAnsi="Arial Narrow" w:cs="Arial"/>
                <w:sz w:val="18"/>
                <w:szCs w:val="18"/>
                <w:lang w:val="cs-CZ"/>
              </w:rPr>
            </w:pPr>
            <w:r>
              <w:rPr>
                <w:rFonts w:ascii="Arial Narrow" w:hAnsi="Arial Narrow" w:cs="Arial"/>
                <w:sz w:val="18"/>
                <w:szCs w:val="18"/>
                <w:lang w:val="cs-CZ"/>
              </w:rPr>
              <w:t>8 513</w:t>
            </w:r>
          </w:p>
        </w:tc>
        <w:tc>
          <w:tcPr>
            <w:tcW w:w="960" w:type="dxa"/>
            <w:tcBorders>
              <w:top w:val="single" w:sz="8" w:space="0" w:color="auto"/>
              <w:left w:val="nil"/>
              <w:bottom w:val="single" w:sz="8" w:space="0" w:color="auto"/>
              <w:right w:val="single" w:sz="8" w:space="0" w:color="auto"/>
              <w:tl2br w:val="nil"/>
              <w:tr2bl w:val="nil"/>
            </w:tcBorders>
            <w:textDirection w:val="lrTb"/>
            <w:vAlign w:val="center"/>
          </w:tcPr>
          <w:p w:rsidR="0011736A" w:rsidRPr="0086352B" w:rsidP="0011736A">
            <w:pPr>
              <w:spacing w:line="240" w:lineRule="auto"/>
              <w:jc w:val="right"/>
              <w:rPr>
                <w:rFonts w:ascii="Arial Narrow" w:hAnsi="Arial Narrow" w:cs="Arial"/>
                <w:sz w:val="18"/>
                <w:szCs w:val="18"/>
                <w:lang w:val="cs-CZ"/>
              </w:rPr>
            </w:pPr>
            <w:r>
              <w:rPr>
                <w:rFonts w:ascii="Arial Narrow" w:hAnsi="Arial Narrow" w:cs="Arial"/>
                <w:sz w:val="18"/>
                <w:szCs w:val="18"/>
                <w:lang w:val="cs-CZ"/>
              </w:rPr>
              <w:t>4 122</w:t>
            </w:r>
          </w:p>
        </w:tc>
        <w:tc>
          <w:tcPr>
            <w:tcW w:w="840" w:type="dxa"/>
            <w:tcBorders>
              <w:top w:val="single" w:sz="8" w:space="0" w:color="auto"/>
              <w:left w:val="nil"/>
              <w:bottom w:val="single" w:sz="8" w:space="0" w:color="auto"/>
              <w:right w:val="single" w:sz="12" w:space="0" w:color="auto"/>
              <w:tl2br w:val="nil"/>
              <w:tr2bl w:val="nil"/>
            </w:tcBorders>
            <w:textDirection w:val="lrTb"/>
            <w:vAlign w:val="center"/>
          </w:tcPr>
          <w:p w:rsidR="0011736A" w:rsidRPr="0086352B" w:rsidP="0011736A">
            <w:pPr>
              <w:spacing w:line="240" w:lineRule="auto"/>
              <w:jc w:val="right"/>
              <w:rPr>
                <w:rFonts w:ascii="Arial Narrow" w:hAnsi="Arial Narrow" w:cs="Arial"/>
                <w:sz w:val="18"/>
                <w:szCs w:val="18"/>
                <w:lang w:val="cs-CZ"/>
              </w:rPr>
            </w:pPr>
            <w:r>
              <w:rPr>
                <w:rFonts w:ascii="Arial Narrow" w:hAnsi="Arial Narrow" w:cs="Arial"/>
                <w:sz w:val="18"/>
                <w:szCs w:val="18"/>
                <w:lang w:val="cs-CZ"/>
              </w:rPr>
              <w:t>0</w:t>
            </w:r>
          </w:p>
        </w:tc>
      </w:tr>
      <w:tr>
        <w:tblPrEx>
          <w:tblW w:w="9295" w:type="dxa"/>
          <w:tblInd w:w="55" w:type="dxa"/>
          <w:tblCellMar>
            <w:left w:w="70" w:type="dxa"/>
            <w:right w:w="70" w:type="dxa"/>
          </w:tblCellMar>
        </w:tblPrEx>
        <w:trPr>
          <w:trHeight w:val="259"/>
        </w:trPr>
        <w:tc>
          <w:tcPr>
            <w:tcW w:w="772" w:type="dxa"/>
            <w:tcBorders>
              <w:top w:val="single" w:sz="8" w:space="0" w:color="auto"/>
              <w:left w:val="single" w:sz="12" w:space="0" w:color="auto"/>
              <w:bottom w:val="single" w:sz="8" w:space="0" w:color="auto"/>
              <w:right w:val="single" w:sz="8" w:space="0" w:color="auto"/>
              <w:tl2br w:val="nil"/>
              <w:tr2bl w:val="nil"/>
            </w:tcBorders>
            <w:noWrap/>
            <w:textDirection w:val="lrTb"/>
            <w:vAlign w:val="center"/>
          </w:tcPr>
          <w:p w:rsidR="0011736A" w:rsidRPr="0086352B" w:rsidP="0011736A">
            <w:pPr>
              <w:spacing w:line="240" w:lineRule="auto"/>
              <w:rPr>
                <w:rFonts w:ascii="Arial Narrow" w:hAnsi="Arial Narrow" w:cs="Arial"/>
                <w:b/>
                <w:bCs/>
                <w:sz w:val="18"/>
                <w:szCs w:val="18"/>
                <w:lang w:val="cs-CZ"/>
              </w:rPr>
            </w:pPr>
            <w:r w:rsidRPr="0086352B">
              <w:rPr>
                <w:rFonts w:ascii="Arial Narrow" w:hAnsi="Arial Narrow" w:cs="Arial"/>
                <w:b/>
                <w:bCs/>
                <w:sz w:val="18"/>
                <w:szCs w:val="18"/>
              </w:rPr>
              <w:t xml:space="preserve">07S </w:t>
            </w:r>
          </w:p>
        </w:tc>
        <w:tc>
          <w:tcPr>
            <w:tcW w:w="4823" w:type="dxa"/>
            <w:tcBorders>
              <w:top w:val="single" w:sz="8" w:space="0" w:color="auto"/>
              <w:left w:val="nil"/>
              <w:bottom w:val="single" w:sz="8" w:space="0" w:color="auto"/>
              <w:right w:val="single" w:sz="8" w:space="0" w:color="auto"/>
              <w:tl2br w:val="nil"/>
              <w:tr2bl w:val="nil"/>
            </w:tcBorders>
            <w:textDirection w:val="lrTb"/>
            <w:vAlign w:val="center"/>
          </w:tcPr>
          <w:p w:rsidR="0011736A" w:rsidRPr="0086352B" w:rsidP="0011736A">
            <w:pPr>
              <w:spacing w:line="240" w:lineRule="auto"/>
              <w:rPr>
                <w:rFonts w:ascii="Arial Narrow" w:hAnsi="Arial Narrow" w:cs="Arial"/>
                <w:b/>
                <w:bCs/>
                <w:sz w:val="18"/>
                <w:szCs w:val="18"/>
                <w:lang w:val="cs-CZ"/>
              </w:rPr>
            </w:pPr>
            <w:r w:rsidRPr="0086352B">
              <w:rPr>
                <w:rFonts w:ascii="Arial Narrow" w:hAnsi="Arial Narrow" w:cs="Arial"/>
                <w:b/>
                <w:bCs/>
                <w:sz w:val="18"/>
                <w:szCs w:val="18"/>
              </w:rPr>
              <w:t>Železničná doprava</w:t>
            </w:r>
          </w:p>
        </w:tc>
        <w:tc>
          <w:tcPr>
            <w:tcW w:w="940" w:type="dxa"/>
            <w:tcBorders>
              <w:top w:val="single" w:sz="8" w:space="0" w:color="auto"/>
              <w:left w:val="nil"/>
              <w:bottom w:val="single" w:sz="8" w:space="0" w:color="auto"/>
              <w:right w:val="single" w:sz="8" w:space="0" w:color="auto"/>
              <w:tl2br w:val="nil"/>
              <w:tr2bl w:val="nil"/>
            </w:tcBorders>
            <w:noWrap/>
            <w:textDirection w:val="lrTb"/>
            <w:vAlign w:val="center"/>
          </w:tcPr>
          <w:p w:rsidR="0011736A" w:rsidRPr="0086352B" w:rsidP="0011736A">
            <w:pPr>
              <w:spacing w:line="240" w:lineRule="auto"/>
              <w:jc w:val="right"/>
              <w:rPr>
                <w:rFonts w:ascii="Arial Narrow" w:hAnsi="Arial Narrow" w:cs="Arial"/>
                <w:b/>
                <w:bCs/>
                <w:sz w:val="18"/>
                <w:szCs w:val="18"/>
                <w:lang w:val="cs-CZ"/>
              </w:rPr>
            </w:pPr>
            <w:r>
              <w:rPr>
                <w:rFonts w:ascii="Arial Narrow" w:hAnsi="Arial Narrow" w:cs="Arial"/>
                <w:b/>
                <w:bCs/>
                <w:sz w:val="18"/>
                <w:szCs w:val="18"/>
              </w:rPr>
              <w:t>343 292</w:t>
            </w:r>
          </w:p>
        </w:tc>
        <w:tc>
          <w:tcPr>
            <w:tcW w:w="960" w:type="dxa"/>
            <w:tcBorders>
              <w:top w:val="single" w:sz="8" w:space="0" w:color="auto"/>
              <w:left w:val="nil"/>
              <w:bottom w:val="single" w:sz="8" w:space="0" w:color="auto"/>
              <w:right w:val="single" w:sz="8" w:space="0" w:color="auto"/>
              <w:tl2br w:val="nil"/>
              <w:tr2bl w:val="nil"/>
            </w:tcBorders>
            <w:noWrap/>
            <w:textDirection w:val="lrTb"/>
            <w:vAlign w:val="center"/>
          </w:tcPr>
          <w:p w:rsidR="0011736A" w:rsidRPr="0086352B" w:rsidP="0011736A">
            <w:pPr>
              <w:spacing w:line="240" w:lineRule="auto"/>
              <w:jc w:val="right"/>
              <w:rPr>
                <w:rFonts w:ascii="Arial Narrow" w:hAnsi="Arial Narrow" w:cs="Arial"/>
                <w:b/>
                <w:bCs/>
                <w:sz w:val="18"/>
                <w:szCs w:val="18"/>
                <w:lang w:val="cs-CZ"/>
              </w:rPr>
            </w:pPr>
            <w:r>
              <w:rPr>
                <w:rFonts w:ascii="Arial Narrow" w:hAnsi="Arial Narrow" w:cs="Arial"/>
                <w:b/>
                <w:bCs/>
                <w:sz w:val="18"/>
                <w:szCs w:val="18"/>
                <w:lang w:val="cs-CZ"/>
              </w:rPr>
              <w:t>343 501</w:t>
            </w:r>
          </w:p>
        </w:tc>
        <w:tc>
          <w:tcPr>
            <w:tcW w:w="960" w:type="dxa"/>
            <w:tcBorders>
              <w:top w:val="single" w:sz="8" w:space="0" w:color="auto"/>
              <w:left w:val="nil"/>
              <w:bottom w:val="single" w:sz="8" w:space="0" w:color="auto"/>
              <w:right w:val="single" w:sz="8" w:space="0" w:color="auto"/>
              <w:tl2br w:val="nil"/>
              <w:tr2bl w:val="nil"/>
            </w:tcBorders>
            <w:noWrap/>
            <w:textDirection w:val="lrTb"/>
            <w:vAlign w:val="center"/>
          </w:tcPr>
          <w:p w:rsidR="0011736A" w:rsidRPr="0086352B" w:rsidP="0011736A">
            <w:pPr>
              <w:spacing w:line="240" w:lineRule="auto"/>
              <w:jc w:val="right"/>
              <w:rPr>
                <w:rFonts w:ascii="Arial Narrow" w:hAnsi="Arial Narrow" w:cs="Arial"/>
                <w:b/>
                <w:bCs/>
                <w:sz w:val="18"/>
                <w:szCs w:val="18"/>
                <w:lang w:val="cs-CZ"/>
              </w:rPr>
            </w:pPr>
            <w:r>
              <w:rPr>
                <w:rFonts w:ascii="Arial Narrow" w:hAnsi="Arial Narrow" w:cs="Arial"/>
                <w:b/>
                <w:bCs/>
                <w:sz w:val="18"/>
                <w:szCs w:val="18"/>
                <w:lang w:val="cs-CZ"/>
              </w:rPr>
              <w:t>316 948</w:t>
            </w:r>
          </w:p>
        </w:tc>
        <w:tc>
          <w:tcPr>
            <w:tcW w:w="840" w:type="dxa"/>
            <w:tcBorders>
              <w:top w:val="single" w:sz="8" w:space="0" w:color="auto"/>
              <w:left w:val="nil"/>
              <w:bottom w:val="single" w:sz="8" w:space="0" w:color="auto"/>
              <w:right w:val="single" w:sz="12" w:space="0" w:color="auto"/>
              <w:tl2br w:val="nil"/>
              <w:tr2bl w:val="nil"/>
            </w:tcBorders>
            <w:noWrap/>
            <w:textDirection w:val="lrTb"/>
            <w:vAlign w:val="center"/>
          </w:tcPr>
          <w:p w:rsidR="0011736A" w:rsidRPr="0086352B" w:rsidP="0011736A">
            <w:pPr>
              <w:spacing w:line="240" w:lineRule="auto"/>
              <w:jc w:val="right"/>
              <w:rPr>
                <w:rFonts w:ascii="Arial Narrow" w:hAnsi="Arial Narrow" w:cs="Arial"/>
                <w:b/>
                <w:bCs/>
                <w:sz w:val="18"/>
                <w:szCs w:val="18"/>
                <w:lang w:val="cs-CZ"/>
              </w:rPr>
            </w:pPr>
            <w:r>
              <w:rPr>
                <w:rFonts w:ascii="Arial Narrow" w:hAnsi="Arial Narrow" w:cs="Arial"/>
                <w:b/>
                <w:bCs/>
                <w:sz w:val="18"/>
                <w:szCs w:val="18"/>
                <w:lang w:val="cs-CZ"/>
              </w:rPr>
              <w:t>0</w:t>
            </w:r>
          </w:p>
        </w:tc>
      </w:tr>
      <w:tr>
        <w:tblPrEx>
          <w:tblW w:w="9295" w:type="dxa"/>
          <w:tblInd w:w="55" w:type="dxa"/>
          <w:tblCellMar>
            <w:left w:w="70" w:type="dxa"/>
            <w:right w:w="70" w:type="dxa"/>
          </w:tblCellMar>
        </w:tblPrEx>
        <w:trPr>
          <w:trHeight w:val="259"/>
        </w:trPr>
        <w:tc>
          <w:tcPr>
            <w:tcW w:w="772" w:type="dxa"/>
            <w:tcBorders>
              <w:top w:val="single" w:sz="8" w:space="0" w:color="auto"/>
              <w:left w:val="single" w:sz="12" w:space="0" w:color="auto"/>
              <w:bottom w:val="single" w:sz="8" w:space="0" w:color="auto"/>
              <w:right w:val="single" w:sz="8" w:space="0" w:color="auto"/>
              <w:tl2br w:val="nil"/>
              <w:tr2bl w:val="nil"/>
            </w:tcBorders>
            <w:noWrap/>
            <w:textDirection w:val="lrTb"/>
            <w:vAlign w:val="center"/>
          </w:tcPr>
          <w:p w:rsidR="0011736A" w:rsidRPr="0086352B" w:rsidP="0011736A">
            <w:pPr>
              <w:spacing w:line="240" w:lineRule="auto"/>
              <w:rPr>
                <w:rFonts w:ascii="Arial Narrow" w:hAnsi="Arial Narrow" w:cs="Arial"/>
                <w:b/>
                <w:bCs/>
                <w:sz w:val="18"/>
                <w:szCs w:val="18"/>
                <w:lang w:val="cs-CZ"/>
              </w:rPr>
            </w:pPr>
            <w:r w:rsidRPr="0086352B">
              <w:rPr>
                <w:rFonts w:ascii="Arial Narrow" w:hAnsi="Arial Narrow" w:cs="Arial"/>
                <w:b/>
                <w:bCs/>
                <w:iCs/>
                <w:sz w:val="18"/>
                <w:szCs w:val="18"/>
              </w:rPr>
              <w:t>07S06</w:t>
            </w:r>
          </w:p>
        </w:tc>
        <w:tc>
          <w:tcPr>
            <w:tcW w:w="4823" w:type="dxa"/>
            <w:tcBorders>
              <w:top w:val="single" w:sz="8" w:space="0" w:color="auto"/>
              <w:left w:val="nil"/>
              <w:bottom w:val="single" w:sz="8" w:space="0" w:color="auto"/>
              <w:right w:val="single" w:sz="8" w:space="0" w:color="auto"/>
              <w:tl2br w:val="nil"/>
              <w:tr2bl w:val="nil"/>
            </w:tcBorders>
            <w:textDirection w:val="lrTb"/>
            <w:vAlign w:val="center"/>
          </w:tcPr>
          <w:p w:rsidR="0011736A" w:rsidRPr="0086352B" w:rsidP="0011736A">
            <w:pPr>
              <w:spacing w:line="240" w:lineRule="auto"/>
              <w:rPr>
                <w:rFonts w:ascii="Arial Narrow" w:hAnsi="Arial Narrow" w:cs="Arial"/>
                <w:b/>
                <w:bCs/>
                <w:sz w:val="18"/>
                <w:szCs w:val="18"/>
                <w:lang w:val="cs-CZ"/>
              </w:rPr>
            </w:pPr>
            <w:r w:rsidRPr="0086352B">
              <w:rPr>
                <w:rFonts w:ascii="Arial Narrow" w:hAnsi="Arial Narrow" w:cs="Arial"/>
                <w:b/>
                <w:bCs/>
                <w:iCs/>
                <w:sz w:val="18"/>
                <w:szCs w:val="18"/>
              </w:rPr>
              <w:t>Rozvoj a modernizácia majetku železníc</w:t>
            </w:r>
            <w:r>
              <w:rPr>
                <w:rFonts w:ascii="Arial Narrow" w:hAnsi="Arial Narrow" w:cs="Arial"/>
                <w:b/>
                <w:bCs/>
                <w:iCs/>
                <w:sz w:val="18"/>
                <w:szCs w:val="18"/>
              </w:rPr>
              <w:t xml:space="preserve"> </w:t>
            </w:r>
            <w:r w:rsidRPr="0086352B">
              <w:rPr>
                <w:rFonts w:ascii="Arial Narrow" w:hAnsi="Arial Narrow" w:cs="Arial"/>
                <w:b/>
                <w:bCs/>
                <w:iCs/>
                <w:sz w:val="18"/>
                <w:szCs w:val="18"/>
              </w:rPr>
              <w:t>- spolufinancovanie</w:t>
            </w:r>
          </w:p>
        </w:tc>
        <w:tc>
          <w:tcPr>
            <w:tcW w:w="940" w:type="dxa"/>
            <w:tcBorders>
              <w:top w:val="single" w:sz="8" w:space="0" w:color="auto"/>
              <w:left w:val="nil"/>
              <w:bottom w:val="single" w:sz="8" w:space="0" w:color="auto"/>
              <w:right w:val="single" w:sz="8" w:space="0" w:color="auto"/>
              <w:tl2br w:val="nil"/>
              <w:tr2bl w:val="nil"/>
            </w:tcBorders>
            <w:textDirection w:val="lrTb"/>
            <w:vAlign w:val="center"/>
          </w:tcPr>
          <w:p w:rsidR="0011736A" w:rsidRPr="0086352B" w:rsidP="0011736A">
            <w:pPr>
              <w:spacing w:line="240" w:lineRule="auto"/>
              <w:jc w:val="right"/>
              <w:rPr>
                <w:rFonts w:ascii="Arial Narrow" w:hAnsi="Arial Narrow" w:cs="Arial"/>
                <w:b/>
                <w:bCs/>
                <w:sz w:val="18"/>
                <w:szCs w:val="18"/>
                <w:lang w:val="cs-CZ"/>
              </w:rPr>
            </w:pPr>
            <w:r>
              <w:rPr>
                <w:rFonts w:ascii="Arial Narrow" w:hAnsi="Arial Narrow" w:cs="Arial"/>
                <w:b/>
                <w:bCs/>
                <w:iCs/>
                <w:sz w:val="18"/>
                <w:szCs w:val="18"/>
              </w:rPr>
              <w:t>337 778</w:t>
            </w:r>
          </w:p>
        </w:tc>
        <w:tc>
          <w:tcPr>
            <w:tcW w:w="960" w:type="dxa"/>
            <w:tcBorders>
              <w:top w:val="single" w:sz="8" w:space="0" w:color="auto"/>
              <w:left w:val="nil"/>
              <w:bottom w:val="single" w:sz="8" w:space="0" w:color="auto"/>
              <w:right w:val="single" w:sz="8" w:space="0" w:color="auto"/>
              <w:tl2br w:val="nil"/>
              <w:tr2bl w:val="nil"/>
            </w:tcBorders>
            <w:textDirection w:val="lrTb"/>
            <w:vAlign w:val="center"/>
          </w:tcPr>
          <w:p w:rsidR="0011736A" w:rsidRPr="0086352B" w:rsidP="0011736A">
            <w:pPr>
              <w:spacing w:line="240" w:lineRule="auto"/>
              <w:jc w:val="right"/>
              <w:rPr>
                <w:rFonts w:ascii="Arial Narrow" w:hAnsi="Arial Narrow" w:cs="Arial"/>
                <w:b/>
                <w:bCs/>
                <w:sz w:val="18"/>
                <w:szCs w:val="18"/>
                <w:lang w:val="cs-CZ"/>
              </w:rPr>
            </w:pPr>
            <w:r>
              <w:rPr>
                <w:rFonts w:ascii="Arial Narrow" w:hAnsi="Arial Narrow" w:cs="Arial"/>
                <w:b/>
                <w:bCs/>
                <w:sz w:val="18"/>
                <w:szCs w:val="18"/>
                <w:lang w:val="cs-CZ"/>
              </w:rPr>
              <w:t>337 987</w:t>
            </w:r>
          </w:p>
        </w:tc>
        <w:tc>
          <w:tcPr>
            <w:tcW w:w="960" w:type="dxa"/>
            <w:tcBorders>
              <w:top w:val="single" w:sz="8" w:space="0" w:color="auto"/>
              <w:left w:val="nil"/>
              <w:bottom w:val="single" w:sz="8" w:space="0" w:color="auto"/>
              <w:right w:val="single" w:sz="8" w:space="0" w:color="auto"/>
              <w:tl2br w:val="nil"/>
              <w:tr2bl w:val="nil"/>
            </w:tcBorders>
            <w:textDirection w:val="lrTb"/>
            <w:vAlign w:val="center"/>
          </w:tcPr>
          <w:p w:rsidR="0011736A" w:rsidRPr="0086352B" w:rsidP="0011736A">
            <w:pPr>
              <w:spacing w:line="240" w:lineRule="auto"/>
              <w:jc w:val="right"/>
              <w:rPr>
                <w:rFonts w:ascii="Arial Narrow" w:hAnsi="Arial Narrow" w:cs="Arial"/>
                <w:b/>
                <w:bCs/>
                <w:sz w:val="18"/>
                <w:szCs w:val="18"/>
                <w:lang w:val="cs-CZ"/>
              </w:rPr>
            </w:pPr>
            <w:r>
              <w:rPr>
                <w:rFonts w:ascii="Arial Narrow" w:hAnsi="Arial Narrow" w:cs="Arial"/>
                <w:b/>
                <w:bCs/>
                <w:sz w:val="18"/>
                <w:szCs w:val="18"/>
                <w:lang w:val="cs-CZ"/>
              </w:rPr>
              <w:t>314 440</w:t>
            </w:r>
          </w:p>
        </w:tc>
        <w:tc>
          <w:tcPr>
            <w:tcW w:w="840" w:type="dxa"/>
            <w:tcBorders>
              <w:top w:val="single" w:sz="8" w:space="0" w:color="auto"/>
              <w:left w:val="nil"/>
              <w:bottom w:val="single" w:sz="8" w:space="0" w:color="auto"/>
              <w:right w:val="single" w:sz="12" w:space="0" w:color="auto"/>
              <w:tl2br w:val="nil"/>
              <w:tr2bl w:val="nil"/>
            </w:tcBorders>
            <w:textDirection w:val="lrTb"/>
            <w:vAlign w:val="center"/>
          </w:tcPr>
          <w:p w:rsidR="0011736A" w:rsidRPr="0086352B" w:rsidP="0011736A">
            <w:pPr>
              <w:spacing w:line="240" w:lineRule="auto"/>
              <w:jc w:val="right"/>
              <w:rPr>
                <w:rFonts w:ascii="Arial Narrow" w:hAnsi="Arial Narrow" w:cs="Arial"/>
                <w:b/>
                <w:bCs/>
                <w:sz w:val="18"/>
                <w:szCs w:val="18"/>
                <w:lang w:val="cs-CZ"/>
              </w:rPr>
            </w:pPr>
            <w:r>
              <w:rPr>
                <w:rFonts w:ascii="Arial Narrow" w:hAnsi="Arial Narrow" w:cs="Arial"/>
                <w:b/>
                <w:bCs/>
                <w:sz w:val="18"/>
                <w:szCs w:val="18"/>
                <w:lang w:val="cs-CZ"/>
              </w:rPr>
              <w:t>0</w:t>
            </w:r>
          </w:p>
        </w:tc>
      </w:tr>
      <w:tr>
        <w:tblPrEx>
          <w:tblW w:w="9295" w:type="dxa"/>
          <w:tblInd w:w="55" w:type="dxa"/>
          <w:tblCellMar>
            <w:left w:w="70" w:type="dxa"/>
            <w:right w:w="70" w:type="dxa"/>
          </w:tblCellMar>
        </w:tblPrEx>
        <w:trPr>
          <w:trHeight w:val="259"/>
        </w:trPr>
        <w:tc>
          <w:tcPr>
            <w:tcW w:w="772" w:type="dxa"/>
            <w:tcBorders>
              <w:top w:val="single" w:sz="8" w:space="0" w:color="auto"/>
              <w:left w:val="single" w:sz="12" w:space="0" w:color="auto"/>
              <w:bottom w:val="single" w:sz="8" w:space="0" w:color="auto"/>
              <w:right w:val="single" w:sz="8" w:space="0" w:color="auto"/>
              <w:tl2br w:val="nil"/>
              <w:tr2bl w:val="nil"/>
            </w:tcBorders>
            <w:noWrap/>
            <w:textDirection w:val="lrTb"/>
            <w:vAlign w:val="center"/>
          </w:tcPr>
          <w:p w:rsidR="0011736A" w:rsidRPr="0086352B" w:rsidP="0011736A">
            <w:pPr>
              <w:spacing w:line="240" w:lineRule="auto"/>
              <w:rPr>
                <w:rFonts w:ascii="Arial Narrow" w:hAnsi="Arial Narrow" w:cs="Arial"/>
                <w:b/>
                <w:bCs/>
                <w:sz w:val="18"/>
                <w:szCs w:val="18"/>
                <w:lang w:val="cs-CZ"/>
              </w:rPr>
            </w:pPr>
            <w:r w:rsidRPr="0086352B">
              <w:rPr>
                <w:rFonts w:ascii="Arial Narrow" w:hAnsi="Arial Narrow" w:cs="Arial"/>
                <w:b/>
                <w:bCs/>
                <w:iCs/>
                <w:sz w:val="18"/>
                <w:szCs w:val="18"/>
              </w:rPr>
              <w:t>07S06</w:t>
            </w:r>
          </w:p>
        </w:tc>
        <w:tc>
          <w:tcPr>
            <w:tcW w:w="4823" w:type="dxa"/>
            <w:tcBorders>
              <w:top w:val="single" w:sz="8" w:space="0" w:color="auto"/>
              <w:left w:val="nil"/>
              <w:bottom w:val="single" w:sz="8" w:space="0" w:color="auto"/>
              <w:right w:val="single" w:sz="8" w:space="0" w:color="auto"/>
              <w:tl2br w:val="nil"/>
              <w:tr2bl w:val="nil"/>
            </w:tcBorders>
            <w:textDirection w:val="lrTb"/>
            <w:vAlign w:val="center"/>
          </w:tcPr>
          <w:p w:rsidR="0011736A" w:rsidRPr="0086352B" w:rsidP="0011736A">
            <w:pPr>
              <w:spacing w:line="240" w:lineRule="auto"/>
              <w:rPr>
                <w:rFonts w:ascii="Arial Narrow" w:hAnsi="Arial Narrow" w:cs="Arial"/>
                <w:b/>
                <w:bCs/>
                <w:sz w:val="18"/>
                <w:szCs w:val="18"/>
                <w:lang w:val="cs-CZ"/>
              </w:rPr>
            </w:pPr>
            <w:r w:rsidRPr="0086352B">
              <w:rPr>
                <w:rFonts w:ascii="Arial Narrow" w:hAnsi="Arial Narrow" w:cs="Arial"/>
                <w:b/>
                <w:bCs/>
                <w:iCs/>
                <w:sz w:val="18"/>
                <w:szCs w:val="18"/>
              </w:rPr>
              <w:t>Rozvoj a modernizácia majetku železníc</w:t>
            </w:r>
            <w:r>
              <w:rPr>
                <w:rFonts w:ascii="Arial Narrow" w:hAnsi="Arial Narrow" w:cs="Arial"/>
                <w:b/>
                <w:bCs/>
                <w:iCs/>
                <w:sz w:val="18"/>
                <w:szCs w:val="18"/>
              </w:rPr>
              <w:t xml:space="preserve"> - </w:t>
            </w:r>
            <w:r w:rsidRPr="0086352B">
              <w:rPr>
                <w:rFonts w:ascii="Arial Narrow" w:hAnsi="Arial Narrow" w:cs="Arial"/>
                <w:b/>
                <w:bCs/>
                <w:iCs/>
                <w:sz w:val="18"/>
                <w:szCs w:val="18"/>
              </w:rPr>
              <w:t>ISPA</w:t>
            </w:r>
          </w:p>
        </w:tc>
        <w:tc>
          <w:tcPr>
            <w:tcW w:w="940" w:type="dxa"/>
            <w:tcBorders>
              <w:top w:val="single" w:sz="8" w:space="0" w:color="auto"/>
              <w:left w:val="nil"/>
              <w:bottom w:val="single" w:sz="8" w:space="0" w:color="auto"/>
              <w:right w:val="single" w:sz="8" w:space="0" w:color="auto"/>
              <w:tl2br w:val="nil"/>
              <w:tr2bl w:val="nil"/>
            </w:tcBorders>
            <w:textDirection w:val="lrTb"/>
            <w:vAlign w:val="center"/>
          </w:tcPr>
          <w:p w:rsidR="0011736A" w:rsidRPr="0086352B" w:rsidP="0011736A">
            <w:pPr>
              <w:spacing w:line="240" w:lineRule="auto"/>
              <w:jc w:val="right"/>
              <w:rPr>
                <w:rFonts w:ascii="Arial Narrow" w:hAnsi="Arial Narrow" w:cs="Arial"/>
                <w:b/>
                <w:bCs/>
                <w:sz w:val="18"/>
                <w:szCs w:val="18"/>
                <w:lang w:val="cs-CZ"/>
              </w:rPr>
            </w:pPr>
            <w:r>
              <w:rPr>
                <w:rFonts w:ascii="Arial Narrow" w:hAnsi="Arial Narrow" w:cs="Arial"/>
                <w:b/>
                <w:bCs/>
                <w:iCs/>
                <w:sz w:val="18"/>
                <w:szCs w:val="18"/>
              </w:rPr>
              <w:t>5 514</w:t>
            </w:r>
          </w:p>
        </w:tc>
        <w:tc>
          <w:tcPr>
            <w:tcW w:w="960" w:type="dxa"/>
            <w:tcBorders>
              <w:top w:val="single" w:sz="8" w:space="0" w:color="auto"/>
              <w:left w:val="nil"/>
              <w:bottom w:val="single" w:sz="8" w:space="0" w:color="auto"/>
              <w:right w:val="single" w:sz="8" w:space="0" w:color="auto"/>
              <w:tl2br w:val="nil"/>
              <w:tr2bl w:val="nil"/>
            </w:tcBorders>
            <w:textDirection w:val="lrTb"/>
            <w:vAlign w:val="center"/>
          </w:tcPr>
          <w:p w:rsidR="0011736A" w:rsidRPr="0086352B" w:rsidP="0011736A">
            <w:pPr>
              <w:spacing w:line="240" w:lineRule="auto"/>
              <w:jc w:val="right"/>
              <w:rPr>
                <w:rFonts w:ascii="Arial Narrow" w:hAnsi="Arial Narrow" w:cs="Arial"/>
                <w:b/>
                <w:bCs/>
                <w:sz w:val="18"/>
                <w:szCs w:val="18"/>
                <w:lang w:val="cs-CZ"/>
              </w:rPr>
            </w:pPr>
            <w:r>
              <w:rPr>
                <w:rFonts w:ascii="Arial Narrow" w:hAnsi="Arial Narrow" w:cs="Arial"/>
                <w:b/>
                <w:bCs/>
                <w:sz w:val="18"/>
                <w:szCs w:val="18"/>
                <w:lang w:val="cs-CZ"/>
              </w:rPr>
              <w:t>5 514</w:t>
            </w:r>
          </w:p>
        </w:tc>
        <w:tc>
          <w:tcPr>
            <w:tcW w:w="960" w:type="dxa"/>
            <w:tcBorders>
              <w:top w:val="single" w:sz="8" w:space="0" w:color="auto"/>
              <w:left w:val="nil"/>
              <w:bottom w:val="single" w:sz="8" w:space="0" w:color="auto"/>
              <w:right w:val="single" w:sz="8" w:space="0" w:color="auto"/>
              <w:tl2br w:val="nil"/>
              <w:tr2bl w:val="nil"/>
            </w:tcBorders>
            <w:textDirection w:val="lrTb"/>
            <w:vAlign w:val="center"/>
          </w:tcPr>
          <w:p w:rsidR="0011736A" w:rsidRPr="0086352B" w:rsidP="0011736A">
            <w:pPr>
              <w:spacing w:line="240" w:lineRule="auto"/>
              <w:jc w:val="right"/>
              <w:rPr>
                <w:rFonts w:ascii="Arial Narrow" w:hAnsi="Arial Narrow" w:cs="Arial"/>
                <w:b/>
                <w:bCs/>
                <w:sz w:val="18"/>
                <w:szCs w:val="18"/>
                <w:lang w:val="cs-CZ"/>
              </w:rPr>
            </w:pPr>
            <w:r>
              <w:rPr>
                <w:rFonts w:ascii="Arial Narrow" w:hAnsi="Arial Narrow" w:cs="Arial"/>
                <w:b/>
                <w:bCs/>
                <w:sz w:val="18"/>
                <w:szCs w:val="18"/>
                <w:lang w:val="cs-CZ"/>
              </w:rPr>
              <w:t>2 508</w:t>
            </w:r>
          </w:p>
        </w:tc>
        <w:tc>
          <w:tcPr>
            <w:tcW w:w="840" w:type="dxa"/>
            <w:tcBorders>
              <w:top w:val="single" w:sz="8" w:space="0" w:color="auto"/>
              <w:left w:val="nil"/>
              <w:bottom w:val="single" w:sz="8" w:space="0" w:color="auto"/>
              <w:right w:val="single" w:sz="12" w:space="0" w:color="auto"/>
              <w:tl2br w:val="nil"/>
              <w:tr2bl w:val="nil"/>
            </w:tcBorders>
            <w:textDirection w:val="lrTb"/>
            <w:vAlign w:val="center"/>
          </w:tcPr>
          <w:p w:rsidR="0011736A" w:rsidRPr="0086352B" w:rsidP="0011736A">
            <w:pPr>
              <w:spacing w:line="240" w:lineRule="auto"/>
              <w:jc w:val="right"/>
              <w:rPr>
                <w:rFonts w:ascii="Arial Narrow" w:hAnsi="Arial Narrow" w:cs="Arial"/>
                <w:b/>
                <w:bCs/>
                <w:sz w:val="18"/>
                <w:szCs w:val="18"/>
                <w:lang w:val="cs-CZ"/>
              </w:rPr>
            </w:pPr>
            <w:r>
              <w:rPr>
                <w:rFonts w:ascii="Arial Narrow" w:hAnsi="Arial Narrow" w:cs="Arial"/>
                <w:b/>
                <w:bCs/>
                <w:sz w:val="18"/>
                <w:szCs w:val="18"/>
                <w:lang w:val="cs-CZ"/>
              </w:rPr>
              <w:t>0</w:t>
            </w:r>
          </w:p>
        </w:tc>
      </w:tr>
      <w:tr>
        <w:tblPrEx>
          <w:tblW w:w="9295" w:type="dxa"/>
          <w:tblInd w:w="55" w:type="dxa"/>
          <w:tblCellMar>
            <w:left w:w="70" w:type="dxa"/>
            <w:right w:w="70" w:type="dxa"/>
          </w:tblCellMar>
        </w:tblPrEx>
        <w:trPr>
          <w:trHeight w:val="259"/>
        </w:trPr>
        <w:tc>
          <w:tcPr>
            <w:tcW w:w="772" w:type="dxa"/>
            <w:tcBorders>
              <w:top w:val="single" w:sz="8" w:space="0" w:color="auto"/>
              <w:left w:val="single" w:sz="12" w:space="0" w:color="auto"/>
              <w:bottom w:val="single" w:sz="8" w:space="0" w:color="auto"/>
              <w:right w:val="single" w:sz="8" w:space="0" w:color="auto"/>
              <w:tl2br w:val="nil"/>
              <w:tr2bl w:val="nil"/>
            </w:tcBorders>
            <w:noWrap/>
            <w:textDirection w:val="lrTb"/>
            <w:vAlign w:val="center"/>
          </w:tcPr>
          <w:p w:rsidR="0011736A" w:rsidRPr="0086352B" w:rsidP="0011736A">
            <w:pPr>
              <w:spacing w:line="240" w:lineRule="auto"/>
              <w:rPr>
                <w:rFonts w:ascii="Arial Narrow" w:hAnsi="Arial Narrow" w:cs="Arial"/>
                <w:sz w:val="18"/>
                <w:szCs w:val="18"/>
                <w:lang w:val="cs-CZ"/>
              </w:rPr>
            </w:pPr>
            <w:r w:rsidRPr="0086352B">
              <w:rPr>
                <w:rFonts w:ascii="Arial Narrow" w:hAnsi="Arial Narrow" w:cs="Arial"/>
                <w:sz w:val="18"/>
                <w:szCs w:val="18"/>
              </w:rPr>
              <w:t>07S0603</w:t>
            </w:r>
          </w:p>
        </w:tc>
        <w:tc>
          <w:tcPr>
            <w:tcW w:w="4823" w:type="dxa"/>
            <w:tcBorders>
              <w:top w:val="single" w:sz="8" w:space="0" w:color="auto"/>
              <w:left w:val="nil"/>
              <w:bottom w:val="single" w:sz="8" w:space="0" w:color="auto"/>
              <w:right w:val="single" w:sz="8" w:space="0" w:color="auto"/>
              <w:tl2br w:val="nil"/>
              <w:tr2bl w:val="nil"/>
            </w:tcBorders>
            <w:textDirection w:val="lrTb"/>
            <w:vAlign w:val="center"/>
          </w:tcPr>
          <w:p w:rsidR="0011736A" w:rsidRPr="0086352B" w:rsidP="0011736A">
            <w:pPr>
              <w:spacing w:line="240" w:lineRule="auto"/>
              <w:rPr>
                <w:rFonts w:ascii="Arial Narrow" w:hAnsi="Arial Narrow" w:cs="Arial"/>
                <w:sz w:val="18"/>
                <w:szCs w:val="18"/>
                <w:lang w:val="cs-CZ"/>
              </w:rPr>
            </w:pPr>
            <w:r>
              <w:rPr>
                <w:rFonts w:ascii="Arial Narrow" w:hAnsi="Arial Narrow" w:cs="Arial"/>
                <w:sz w:val="18"/>
                <w:szCs w:val="18"/>
              </w:rPr>
              <w:t xml:space="preserve">Mod. </w:t>
            </w:r>
            <w:r w:rsidRPr="0086352B">
              <w:rPr>
                <w:rFonts w:ascii="Arial Narrow" w:hAnsi="Arial Narrow" w:cs="Arial"/>
                <w:sz w:val="18"/>
                <w:szCs w:val="18"/>
              </w:rPr>
              <w:t>trat</w:t>
            </w:r>
            <w:r>
              <w:rPr>
                <w:rFonts w:ascii="Arial Narrow" w:hAnsi="Arial Narrow" w:cs="Arial"/>
                <w:sz w:val="18"/>
                <w:szCs w:val="18"/>
              </w:rPr>
              <w:t xml:space="preserve">e  Šenkvice-Cífer a staníc Rača-Trnava - </w:t>
            </w:r>
            <w:r w:rsidRPr="0086352B">
              <w:rPr>
                <w:rFonts w:ascii="Arial Narrow" w:hAnsi="Arial Narrow" w:cs="Arial"/>
                <w:sz w:val="18"/>
                <w:szCs w:val="18"/>
              </w:rPr>
              <w:t>spolufinan</w:t>
            </w:r>
            <w:r>
              <w:rPr>
                <w:rFonts w:ascii="Arial Narrow" w:hAnsi="Arial Narrow" w:cs="Arial"/>
                <w:sz w:val="18"/>
                <w:szCs w:val="18"/>
              </w:rPr>
              <w:t>cov.</w:t>
            </w:r>
          </w:p>
        </w:tc>
        <w:tc>
          <w:tcPr>
            <w:tcW w:w="940" w:type="dxa"/>
            <w:tcBorders>
              <w:top w:val="single" w:sz="8" w:space="0" w:color="auto"/>
              <w:left w:val="nil"/>
              <w:bottom w:val="single" w:sz="8" w:space="0" w:color="auto"/>
              <w:right w:val="single" w:sz="8" w:space="0" w:color="auto"/>
              <w:tl2br w:val="nil"/>
              <w:tr2bl w:val="nil"/>
            </w:tcBorders>
            <w:noWrap/>
            <w:textDirection w:val="lrTb"/>
            <w:vAlign w:val="center"/>
          </w:tcPr>
          <w:p w:rsidR="0011736A" w:rsidRPr="0086352B" w:rsidP="0011736A">
            <w:pPr>
              <w:spacing w:line="240" w:lineRule="auto"/>
              <w:jc w:val="right"/>
              <w:rPr>
                <w:rFonts w:ascii="Arial Narrow" w:hAnsi="Arial Narrow" w:cs="Arial"/>
                <w:sz w:val="18"/>
                <w:szCs w:val="18"/>
                <w:lang w:val="cs-CZ"/>
              </w:rPr>
            </w:pPr>
            <w:r>
              <w:rPr>
                <w:rFonts w:ascii="Arial Narrow" w:hAnsi="Arial Narrow" w:cs="Arial"/>
                <w:sz w:val="18"/>
                <w:szCs w:val="18"/>
              </w:rPr>
              <w:t>182 724</w:t>
            </w:r>
          </w:p>
        </w:tc>
        <w:tc>
          <w:tcPr>
            <w:tcW w:w="960" w:type="dxa"/>
            <w:tcBorders>
              <w:top w:val="single" w:sz="8" w:space="0" w:color="auto"/>
              <w:left w:val="nil"/>
              <w:bottom w:val="single" w:sz="8" w:space="0" w:color="auto"/>
              <w:right w:val="single" w:sz="8" w:space="0" w:color="auto"/>
              <w:tl2br w:val="nil"/>
              <w:tr2bl w:val="nil"/>
            </w:tcBorders>
            <w:noWrap/>
            <w:textDirection w:val="lrTb"/>
            <w:vAlign w:val="center"/>
          </w:tcPr>
          <w:p w:rsidR="0011736A" w:rsidRPr="0086352B" w:rsidP="0011736A">
            <w:pPr>
              <w:spacing w:line="240" w:lineRule="auto"/>
              <w:jc w:val="right"/>
              <w:rPr>
                <w:rFonts w:ascii="Arial Narrow" w:hAnsi="Arial Narrow" w:cs="Arial"/>
                <w:sz w:val="18"/>
                <w:szCs w:val="18"/>
                <w:lang w:val="cs-CZ"/>
              </w:rPr>
            </w:pPr>
            <w:r>
              <w:rPr>
                <w:rFonts w:ascii="Arial Narrow" w:hAnsi="Arial Narrow" w:cs="Arial"/>
                <w:sz w:val="18"/>
                <w:szCs w:val="18"/>
                <w:lang w:val="cs-CZ"/>
              </w:rPr>
              <w:t>163 021</w:t>
            </w:r>
          </w:p>
        </w:tc>
        <w:tc>
          <w:tcPr>
            <w:tcW w:w="960" w:type="dxa"/>
            <w:tcBorders>
              <w:top w:val="single" w:sz="8" w:space="0" w:color="auto"/>
              <w:left w:val="nil"/>
              <w:bottom w:val="single" w:sz="8" w:space="0" w:color="auto"/>
              <w:right w:val="single" w:sz="8" w:space="0" w:color="auto"/>
              <w:tl2br w:val="nil"/>
              <w:tr2bl w:val="nil"/>
            </w:tcBorders>
            <w:noWrap/>
            <w:textDirection w:val="lrTb"/>
            <w:vAlign w:val="center"/>
          </w:tcPr>
          <w:p w:rsidR="0011736A" w:rsidRPr="0086352B" w:rsidP="0011736A">
            <w:pPr>
              <w:spacing w:line="240" w:lineRule="auto"/>
              <w:jc w:val="right"/>
              <w:rPr>
                <w:rFonts w:ascii="Arial Narrow" w:hAnsi="Arial Narrow" w:cs="Arial"/>
                <w:sz w:val="18"/>
                <w:szCs w:val="18"/>
                <w:lang w:val="cs-CZ"/>
              </w:rPr>
            </w:pPr>
            <w:r>
              <w:rPr>
                <w:rFonts w:ascii="Arial Narrow" w:hAnsi="Arial Narrow" w:cs="Arial"/>
                <w:sz w:val="18"/>
                <w:szCs w:val="18"/>
                <w:lang w:val="cs-CZ"/>
              </w:rPr>
              <w:t>139 474</w:t>
            </w:r>
          </w:p>
        </w:tc>
        <w:tc>
          <w:tcPr>
            <w:tcW w:w="840" w:type="dxa"/>
            <w:tcBorders>
              <w:top w:val="single" w:sz="8" w:space="0" w:color="auto"/>
              <w:left w:val="nil"/>
              <w:bottom w:val="single" w:sz="8" w:space="0" w:color="auto"/>
              <w:right w:val="single" w:sz="12" w:space="0" w:color="auto"/>
              <w:tl2br w:val="nil"/>
              <w:tr2bl w:val="nil"/>
            </w:tcBorders>
            <w:noWrap/>
            <w:textDirection w:val="lrTb"/>
            <w:vAlign w:val="center"/>
          </w:tcPr>
          <w:p w:rsidR="0011736A" w:rsidRPr="0086352B" w:rsidP="0011736A">
            <w:pPr>
              <w:spacing w:line="240" w:lineRule="auto"/>
              <w:jc w:val="right"/>
              <w:rPr>
                <w:rFonts w:ascii="Arial Narrow" w:hAnsi="Arial Narrow" w:cs="Arial"/>
                <w:sz w:val="18"/>
                <w:szCs w:val="18"/>
                <w:lang w:val="cs-CZ"/>
              </w:rPr>
            </w:pPr>
            <w:r>
              <w:rPr>
                <w:rFonts w:ascii="Arial Narrow" w:hAnsi="Arial Narrow" w:cs="Arial"/>
                <w:sz w:val="18"/>
                <w:szCs w:val="18"/>
                <w:lang w:val="cs-CZ"/>
              </w:rPr>
              <w:t>0</w:t>
            </w:r>
          </w:p>
        </w:tc>
      </w:tr>
      <w:tr>
        <w:tblPrEx>
          <w:tblW w:w="9295" w:type="dxa"/>
          <w:tblInd w:w="55" w:type="dxa"/>
          <w:tblCellMar>
            <w:left w:w="70" w:type="dxa"/>
            <w:right w:w="70" w:type="dxa"/>
          </w:tblCellMar>
        </w:tblPrEx>
        <w:trPr>
          <w:trHeight w:val="259"/>
        </w:trPr>
        <w:tc>
          <w:tcPr>
            <w:tcW w:w="772" w:type="dxa"/>
            <w:tcBorders>
              <w:top w:val="single" w:sz="8" w:space="0" w:color="auto"/>
              <w:left w:val="single" w:sz="12" w:space="0" w:color="auto"/>
              <w:bottom w:val="single" w:sz="8" w:space="0" w:color="auto"/>
              <w:right w:val="single" w:sz="8" w:space="0" w:color="auto"/>
              <w:tl2br w:val="nil"/>
              <w:tr2bl w:val="nil"/>
            </w:tcBorders>
            <w:noWrap/>
            <w:textDirection w:val="lrTb"/>
            <w:vAlign w:val="center"/>
          </w:tcPr>
          <w:p w:rsidR="0011736A" w:rsidRPr="0086352B" w:rsidP="0011736A">
            <w:pPr>
              <w:spacing w:line="240" w:lineRule="auto"/>
              <w:rPr>
                <w:rFonts w:ascii="Arial Narrow" w:hAnsi="Arial Narrow" w:cs="Arial"/>
                <w:sz w:val="18"/>
                <w:szCs w:val="18"/>
                <w:lang w:val="cs-CZ"/>
              </w:rPr>
            </w:pPr>
            <w:r w:rsidRPr="0086352B">
              <w:rPr>
                <w:rFonts w:ascii="Arial Narrow" w:hAnsi="Arial Narrow" w:cs="Arial"/>
                <w:sz w:val="18"/>
                <w:szCs w:val="18"/>
              </w:rPr>
              <w:t> </w:t>
            </w:r>
          </w:p>
        </w:tc>
        <w:tc>
          <w:tcPr>
            <w:tcW w:w="4823" w:type="dxa"/>
            <w:tcBorders>
              <w:top w:val="single" w:sz="8" w:space="0" w:color="auto"/>
              <w:left w:val="nil"/>
              <w:bottom w:val="single" w:sz="8" w:space="0" w:color="auto"/>
              <w:right w:val="single" w:sz="8" w:space="0" w:color="auto"/>
              <w:tl2br w:val="nil"/>
              <w:tr2bl w:val="nil"/>
            </w:tcBorders>
            <w:textDirection w:val="lrTb"/>
            <w:vAlign w:val="center"/>
          </w:tcPr>
          <w:p w:rsidR="0011736A" w:rsidRPr="0086352B" w:rsidP="0011736A">
            <w:pPr>
              <w:spacing w:line="240" w:lineRule="auto"/>
              <w:rPr>
                <w:rFonts w:ascii="Arial Narrow" w:hAnsi="Arial Narrow" w:cs="Arial"/>
                <w:sz w:val="18"/>
                <w:szCs w:val="18"/>
                <w:lang w:val="cs-CZ"/>
              </w:rPr>
            </w:pPr>
            <w:r>
              <w:rPr>
                <w:rFonts w:ascii="Arial Narrow" w:hAnsi="Arial Narrow" w:cs="Arial"/>
                <w:sz w:val="18"/>
                <w:szCs w:val="18"/>
              </w:rPr>
              <w:t xml:space="preserve">      </w:t>
            </w:r>
            <w:r w:rsidRPr="0086352B">
              <w:rPr>
                <w:rFonts w:ascii="Arial Narrow" w:hAnsi="Arial Narrow" w:cs="Arial"/>
                <w:sz w:val="18"/>
                <w:szCs w:val="18"/>
              </w:rPr>
              <w:t>ISPA</w:t>
            </w:r>
          </w:p>
        </w:tc>
        <w:tc>
          <w:tcPr>
            <w:tcW w:w="940" w:type="dxa"/>
            <w:tcBorders>
              <w:top w:val="single" w:sz="8" w:space="0" w:color="auto"/>
              <w:left w:val="nil"/>
              <w:bottom w:val="single" w:sz="8" w:space="0" w:color="auto"/>
              <w:right w:val="single" w:sz="8" w:space="0" w:color="auto"/>
              <w:tl2br w:val="nil"/>
              <w:tr2bl w:val="nil"/>
            </w:tcBorders>
            <w:noWrap/>
            <w:textDirection w:val="lrTb"/>
            <w:vAlign w:val="center"/>
          </w:tcPr>
          <w:p w:rsidR="0011736A" w:rsidRPr="0086352B" w:rsidP="0011736A">
            <w:pPr>
              <w:spacing w:line="240" w:lineRule="auto"/>
              <w:jc w:val="right"/>
              <w:rPr>
                <w:rFonts w:ascii="Arial Narrow" w:hAnsi="Arial Narrow" w:cs="Arial"/>
                <w:sz w:val="18"/>
                <w:szCs w:val="18"/>
                <w:lang w:val="cs-CZ"/>
              </w:rPr>
            </w:pPr>
          </w:p>
        </w:tc>
        <w:tc>
          <w:tcPr>
            <w:tcW w:w="960" w:type="dxa"/>
            <w:tcBorders>
              <w:top w:val="single" w:sz="8" w:space="0" w:color="auto"/>
              <w:left w:val="nil"/>
              <w:bottom w:val="single" w:sz="8" w:space="0" w:color="auto"/>
              <w:right w:val="single" w:sz="8" w:space="0" w:color="auto"/>
              <w:tl2br w:val="nil"/>
              <w:tr2bl w:val="nil"/>
            </w:tcBorders>
            <w:noWrap/>
            <w:textDirection w:val="lrTb"/>
            <w:vAlign w:val="center"/>
          </w:tcPr>
          <w:p w:rsidR="0011736A" w:rsidRPr="0086352B" w:rsidP="0011736A">
            <w:pPr>
              <w:spacing w:line="240" w:lineRule="auto"/>
              <w:jc w:val="right"/>
              <w:rPr>
                <w:rFonts w:ascii="Arial Narrow" w:hAnsi="Arial Narrow" w:cs="Arial"/>
                <w:sz w:val="18"/>
                <w:szCs w:val="18"/>
                <w:lang w:val="cs-CZ"/>
              </w:rPr>
            </w:pPr>
          </w:p>
        </w:tc>
        <w:tc>
          <w:tcPr>
            <w:tcW w:w="960" w:type="dxa"/>
            <w:tcBorders>
              <w:top w:val="single" w:sz="8" w:space="0" w:color="auto"/>
              <w:left w:val="nil"/>
              <w:bottom w:val="single" w:sz="8" w:space="0" w:color="auto"/>
              <w:right w:val="single" w:sz="8" w:space="0" w:color="auto"/>
              <w:tl2br w:val="nil"/>
              <w:tr2bl w:val="nil"/>
            </w:tcBorders>
            <w:noWrap/>
            <w:textDirection w:val="lrTb"/>
            <w:vAlign w:val="center"/>
          </w:tcPr>
          <w:p w:rsidR="0011736A" w:rsidRPr="0086352B" w:rsidP="0011736A">
            <w:pPr>
              <w:spacing w:line="240" w:lineRule="auto"/>
              <w:jc w:val="right"/>
              <w:rPr>
                <w:rFonts w:ascii="Arial Narrow" w:hAnsi="Arial Narrow" w:cs="Arial"/>
                <w:sz w:val="18"/>
                <w:szCs w:val="18"/>
                <w:lang w:val="cs-CZ"/>
              </w:rPr>
            </w:pPr>
          </w:p>
        </w:tc>
        <w:tc>
          <w:tcPr>
            <w:tcW w:w="840" w:type="dxa"/>
            <w:tcBorders>
              <w:top w:val="single" w:sz="8" w:space="0" w:color="auto"/>
              <w:left w:val="nil"/>
              <w:bottom w:val="single" w:sz="8" w:space="0" w:color="auto"/>
              <w:right w:val="single" w:sz="12" w:space="0" w:color="auto"/>
              <w:tl2br w:val="nil"/>
              <w:tr2bl w:val="nil"/>
            </w:tcBorders>
            <w:noWrap/>
            <w:textDirection w:val="lrTb"/>
            <w:vAlign w:val="center"/>
          </w:tcPr>
          <w:p w:rsidR="0011736A" w:rsidRPr="0086352B" w:rsidP="0011736A">
            <w:pPr>
              <w:spacing w:line="240" w:lineRule="auto"/>
              <w:jc w:val="right"/>
              <w:rPr>
                <w:rFonts w:ascii="Arial Narrow" w:hAnsi="Arial Narrow" w:cs="Arial"/>
                <w:sz w:val="18"/>
                <w:szCs w:val="18"/>
                <w:lang w:val="cs-CZ"/>
              </w:rPr>
            </w:pPr>
          </w:p>
        </w:tc>
      </w:tr>
      <w:tr>
        <w:tblPrEx>
          <w:tblW w:w="9295" w:type="dxa"/>
          <w:tblInd w:w="55" w:type="dxa"/>
          <w:tblCellMar>
            <w:left w:w="70" w:type="dxa"/>
            <w:right w:w="70" w:type="dxa"/>
          </w:tblCellMar>
        </w:tblPrEx>
        <w:trPr>
          <w:trHeight w:val="259"/>
        </w:trPr>
        <w:tc>
          <w:tcPr>
            <w:tcW w:w="772" w:type="dxa"/>
            <w:tcBorders>
              <w:top w:val="single" w:sz="8" w:space="0" w:color="auto"/>
              <w:left w:val="single" w:sz="12" w:space="0" w:color="auto"/>
              <w:bottom w:val="single" w:sz="8" w:space="0" w:color="auto"/>
              <w:right w:val="single" w:sz="8" w:space="0" w:color="auto"/>
              <w:tl2br w:val="nil"/>
              <w:tr2bl w:val="nil"/>
            </w:tcBorders>
            <w:noWrap/>
            <w:textDirection w:val="lrTb"/>
            <w:vAlign w:val="center"/>
          </w:tcPr>
          <w:p w:rsidR="0011736A" w:rsidRPr="0086352B" w:rsidP="0011736A">
            <w:pPr>
              <w:spacing w:line="240" w:lineRule="auto"/>
              <w:rPr>
                <w:rFonts w:ascii="Arial Narrow" w:hAnsi="Arial Narrow" w:cs="Arial"/>
                <w:sz w:val="18"/>
                <w:szCs w:val="18"/>
                <w:lang w:val="cs-CZ"/>
              </w:rPr>
            </w:pPr>
            <w:r w:rsidRPr="0086352B">
              <w:rPr>
                <w:rFonts w:ascii="Arial Narrow" w:hAnsi="Arial Narrow" w:cs="Arial"/>
                <w:sz w:val="18"/>
                <w:szCs w:val="18"/>
              </w:rPr>
              <w:t>07S0604</w:t>
            </w:r>
          </w:p>
        </w:tc>
        <w:tc>
          <w:tcPr>
            <w:tcW w:w="4823" w:type="dxa"/>
            <w:tcBorders>
              <w:top w:val="single" w:sz="8" w:space="0" w:color="auto"/>
              <w:left w:val="nil"/>
              <w:bottom w:val="single" w:sz="8" w:space="0" w:color="auto"/>
              <w:right w:val="single" w:sz="8" w:space="0" w:color="auto"/>
              <w:tl2br w:val="nil"/>
              <w:tr2bl w:val="nil"/>
            </w:tcBorders>
            <w:textDirection w:val="lrTb"/>
            <w:vAlign w:val="center"/>
          </w:tcPr>
          <w:p w:rsidR="0011736A" w:rsidRPr="0086352B" w:rsidP="0011736A">
            <w:pPr>
              <w:spacing w:line="240" w:lineRule="auto"/>
              <w:rPr>
                <w:rFonts w:ascii="Arial Narrow" w:hAnsi="Arial Narrow" w:cs="Arial"/>
                <w:sz w:val="18"/>
                <w:szCs w:val="18"/>
                <w:lang w:val="cs-CZ"/>
              </w:rPr>
            </w:pPr>
            <w:r>
              <w:rPr>
                <w:rFonts w:ascii="Arial Narrow" w:hAnsi="Arial Narrow" w:cs="Arial"/>
                <w:sz w:val="18"/>
                <w:szCs w:val="18"/>
              </w:rPr>
              <w:t>Mod.</w:t>
            </w:r>
            <w:r w:rsidRPr="0086352B">
              <w:rPr>
                <w:rFonts w:ascii="Arial Narrow" w:hAnsi="Arial Narrow" w:cs="Arial"/>
                <w:sz w:val="18"/>
                <w:szCs w:val="18"/>
              </w:rPr>
              <w:t>t</w:t>
            </w:r>
            <w:r>
              <w:rPr>
                <w:rFonts w:ascii="Arial Narrow" w:hAnsi="Arial Narrow" w:cs="Arial"/>
                <w:sz w:val="18"/>
                <w:szCs w:val="18"/>
              </w:rPr>
              <w:t xml:space="preserve">rate Trnava-N.M.n/Váhom, úsek </w:t>
            </w:r>
            <w:r w:rsidRPr="0086352B">
              <w:rPr>
                <w:rFonts w:ascii="Arial Narrow" w:hAnsi="Arial Narrow" w:cs="Arial"/>
                <w:sz w:val="18"/>
                <w:szCs w:val="18"/>
              </w:rPr>
              <w:t>Trnava-Piešťany - spolufin.</w:t>
            </w:r>
          </w:p>
        </w:tc>
        <w:tc>
          <w:tcPr>
            <w:tcW w:w="940" w:type="dxa"/>
            <w:tcBorders>
              <w:top w:val="single" w:sz="8" w:space="0" w:color="auto"/>
              <w:left w:val="nil"/>
              <w:bottom w:val="single" w:sz="8" w:space="0" w:color="auto"/>
              <w:right w:val="single" w:sz="8" w:space="0" w:color="auto"/>
              <w:tl2br w:val="nil"/>
              <w:tr2bl w:val="nil"/>
            </w:tcBorders>
            <w:noWrap/>
            <w:textDirection w:val="lrTb"/>
            <w:vAlign w:val="center"/>
          </w:tcPr>
          <w:p w:rsidR="0011736A" w:rsidRPr="0086352B" w:rsidP="0011736A">
            <w:pPr>
              <w:spacing w:line="240" w:lineRule="auto"/>
              <w:jc w:val="right"/>
              <w:rPr>
                <w:rFonts w:ascii="Arial Narrow" w:hAnsi="Arial Narrow" w:cs="Arial"/>
                <w:sz w:val="18"/>
                <w:szCs w:val="18"/>
                <w:lang w:val="cs-CZ"/>
              </w:rPr>
            </w:pPr>
            <w:r>
              <w:rPr>
                <w:rFonts w:ascii="Arial Narrow" w:hAnsi="Arial Narrow" w:cs="Arial"/>
                <w:sz w:val="18"/>
                <w:szCs w:val="18"/>
              </w:rPr>
              <w:t>152 485</w:t>
            </w:r>
          </w:p>
        </w:tc>
        <w:tc>
          <w:tcPr>
            <w:tcW w:w="960" w:type="dxa"/>
            <w:tcBorders>
              <w:top w:val="single" w:sz="8" w:space="0" w:color="auto"/>
              <w:left w:val="nil"/>
              <w:bottom w:val="single" w:sz="8" w:space="0" w:color="auto"/>
              <w:right w:val="single" w:sz="8" w:space="0" w:color="auto"/>
              <w:tl2br w:val="nil"/>
              <w:tr2bl w:val="nil"/>
            </w:tcBorders>
            <w:noWrap/>
            <w:textDirection w:val="lrTb"/>
            <w:vAlign w:val="center"/>
          </w:tcPr>
          <w:p w:rsidR="0011736A" w:rsidRPr="0086352B" w:rsidP="0011736A">
            <w:pPr>
              <w:spacing w:line="240" w:lineRule="auto"/>
              <w:jc w:val="right"/>
              <w:rPr>
                <w:rFonts w:ascii="Arial Narrow" w:hAnsi="Arial Narrow" w:cs="Arial"/>
                <w:sz w:val="18"/>
                <w:szCs w:val="18"/>
                <w:lang w:val="cs-CZ"/>
              </w:rPr>
            </w:pPr>
            <w:r>
              <w:rPr>
                <w:rFonts w:ascii="Arial Narrow" w:hAnsi="Arial Narrow" w:cs="Arial"/>
                <w:sz w:val="18"/>
                <w:szCs w:val="18"/>
                <w:lang w:val="cs-CZ"/>
              </w:rPr>
              <w:t>172 188</w:t>
            </w:r>
          </w:p>
        </w:tc>
        <w:tc>
          <w:tcPr>
            <w:tcW w:w="960" w:type="dxa"/>
            <w:tcBorders>
              <w:top w:val="single" w:sz="8" w:space="0" w:color="auto"/>
              <w:left w:val="nil"/>
              <w:bottom w:val="single" w:sz="8" w:space="0" w:color="auto"/>
              <w:right w:val="single" w:sz="8" w:space="0" w:color="auto"/>
              <w:tl2br w:val="nil"/>
              <w:tr2bl w:val="nil"/>
            </w:tcBorders>
            <w:noWrap/>
            <w:textDirection w:val="lrTb"/>
            <w:vAlign w:val="center"/>
          </w:tcPr>
          <w:p w:rsidR="0011736A" w:rsidRPr="0086352B" w:rsidP="0011736A">
            <w:pPr>
              <w:spacing w:line="240" w:lineRule="auto"/>
              <w:jc w:val="right"/>
              <w:rPr>
                <w:rFonts w:ascii="Arial Narrow" w:hAnsi="Arial Narrow" w:cs="Arial"/>
                <w:sz w:val="18"/>
                <w:szCs w:val="18"/>
                <w:lang w:val="cs-CZ"/>
              </w:rPr>
            </w:pPr>
            <w:r>
              <w:rPr>
                <w:rFonts w:ascii="Arial Narrow" w:hAnsi="Arial Narrow" w:cs="Arial"/>
                <w:sz w:val="18"/>
                <w:szCs w:val="18"/>
                <w:lang w:val="cs-CZ"/>
              </w:rPr>
              <w:t>172 188</w:t>
            </w:r>
          </w:p>
        </w:tc>
        <w:tc>
          <w:tcPr>
            <w:tcW w:w="840" w:type="dxa"/>
            <w:tcBorders>
              <w:top w:val="single" w:sz="8" w:space="0" w:color="auto"/>
              <w:left w:val="nil"/>
              <w:bottom w:val="single" w:sz="8" w:space="0" w:color="auto"/>
              <w:right w:val="single" w:sz="12" w:space="0" w:color="auto"/>
              <w:tl2br w:val="nil"/>
              <w:tr2bl w:val="nil"/>
            </w:tcBorders>
            <w:noWrap/>
            <w:textDirection w:val="lrTb"/>
            <w:vAlign w:val="center"/>
          </w:tcPr>
          <w:p w:rsidR="0011736A" w:rsidRPr="0086352B" w:rsidP="0011736A">
            <w:pPr>
              <w:spacing w:line="240" w:lineRule="auto"/>
              <w:jc w:val="right"/>
              <w:rPr>
                <w:rFonts w:ascii="Arial Narrow" w:hAnsi="Arial Narrow" w:cs="Arial"/>
                <w:sz w:val="18"/>
                <w:szCs w:val="18"/>
                <w:lang w:val="cs-CZ"/>
              </w:rPr>
            </w:pPr>
            <w:r>
              <w:rPr>
                <w:rFonts w:ascii="Arial Narrow" w:hAnsi="Arial Narrow" w:cs="Arial"/>
                <w:sz w:val="18"/>
                <w:szCs w:val="18"/>
                <w:lang w:val="cs-CZ"/>
              </w:rPr>
              <w:t>0</w:t>
            </w:r>
          </w:p>
        </w:tc>
      </w:tr>
      <w:tr>
        <w:tblPrEx>
          <w:tblW w:w="9295" w:type="dxa"/>
          <w:tblInd w:w="55" w:type="dxa"/>
          <w:tblCellMar>
            <w:left w:w="70" w:type="dxa"/>
            <w:right w:w="70" w:type="dxa"/>
          </w:tblCellMar>
        </w:tblPrEx>
        <w:trPr>
          <w:trHeight w:val="259"/>
        </w:trPr>
        <w:tc>
          <w:tcPr>
            <w:tcW w:w="772" w:type="dxa"/>
            <w:tcBorders>
              <w:top w:val="single" w:sz="8" w:space="0" w:color="auto"/>
              <w:left w:val="single" w:sz="12" w:space="0" w:color="auto"/>
              <w:bottom w:val="single" w:sz="8" w:space="0" w:color="auto"/>
              <w:right w:val="single" w:sz="8" w:space="0" w:color="auto"/>
              <w:tl2br w:val="nil"/>
              <w:tr2bl w:val="nil"/>
            </w:tcBorders>
            <w:noWrap/>
            <w:textDirection w:val="lrTb"/>
            <w:vAlign w:val="center"/>
          </w:tcPr>
          <w:p w:rsidR="0011736A" w:rsidRPr="0086352B" w:rsidP="0011736A">
            <w:pPr>
              <w:spacing w:line="240" w:lineRule="auto"/>
              <w:rPr>
                <w:rFonts w:ascii="Arial Narrow" w:hAnsi="Arial Narrow" w:cs="Arial"/>
                <w:sz w:val="18"/>
                <w:szCs w:val="18"/>
                <w:lang w:val="cs-CZ"/>
              </w:rPr>
            </w:pPr>
            <w:r w:rsidRPr="0086352B">
              <w:rPr>
                <w:rFonts w:ascii="Arial Narrow" w:hAnsi="Arial Narrow" w:cs="Arial"/>
                <w:sz w:val="18"/>
                <w:szCs w:val="18"/>
              </w:rPr>
              <w:t> </w:t>
            </w:r>
          </w:p>
        </w:tc>
        <w:tc>
          <w:tcPr>
            <w:tcW w:w="4823" w:type="dxa"/>
            <w:tcBorders>
              <w:top w:val="single" w:sz="8" w:space="0" w:color="auto"/>
              <w:left w:val="nil"/>
              <w:bottom w:val="single" w:sz="8" w:space="0" w:color="auto"/>
              <w:right w:val="single" w:sz="8" w:space="0" w:color="auto"/>
              <w:tl2br w:val="nil"/>
              <w:tr2bl w:val="nil"/>
            </w:tcBorders>
            <w:textDirection w:val="lrTb"/>
            <w:vAlign w:val="center"/>
          </w:tcPr>
          <w:p w:rsidR="0011736A" w:rsidRPr="0086352B" w:rsidP="0011736A">
            <w:pPr>
              <w:spacing w:line="240" w:lineRule="auto"/>
              <w:rPr>
                <w:rFonts w:ascii="Arial Narrow" w:hAnsi="Arial Narrow" w:cs="Arial"/>
                <w:sz w:val="18"/>
                <w:szCs w:val="18"/>
                <w:lang w:val="cs-CZ"/>
              </w:rPr>
            </w:pPr>
            <w:r>
              <w:rPr>
                <w:rFonts w:ascii="Arial Narrow" w:hAnsi="Arial Narrow" w:cs="Arial"/>
                <w:sz w:val="18"/>
                <w:szCs w:val="18"/>
              </w:rPr>
              <w:t xml:space="preserve">      </w:t>
            </w:r>
            <w:r w:rsidRPr="0086352B">
              <w:rPr>
                <w:rFonts w:ascii="Arial Narrow" w:hAnsi="Arial Narrow" w:cs="Arial"/>
                <w:sz w:val="18"/>
                <w:szCs w:val="18"/>
              </w:rPr>
              <w:t>ISPA</w:t>
            </w:r>
          </w:p>
        </w:tc>
        <w:tc>
          <w:tcPr>
            <w:tcW w:w="940" w:type="dxa"/>
            <w:tcBorders>
              <w:top w:val="single" w:sz="8" w:space="0" w:color="auto"/>
              <w:left w:val="nil"/>
              <w:bottom w:val="single" w:sz="8" w:space="0" w:color="auto"/>
              <w:right w:val="single" w:sz="8" w:space="0" w:color="auto"/>
              <w:tl2br w:val="nil"/>
              <w:tr2bl w:val="nil"/>
            </w:tcBorders>
            <w:noWrap/>
            <w:textDirection w:val="lrTb"/>
            <w:vAlign w:val="center"/>
          </w:tcPr>
          <w:p w:rsidR="0011736A" w:rsidRPr="0086352B" w:rsidP="0011736A">
            <w:pPr>
              <w:spacing w:line="240" w:lineRule="auto"/>
              <w:jc w:val="right"/>
              <w:rPr>
                <w:rFonts w:ascii="Arial Narrow" w:hAnsi="Arial Narrow" w:cs="Arial"/>
                <w:sz w:val="18"/>
                <w:szCs w:val="18"/>
                <w:lang w:val="cs-CZ"/>
              </w:rPr>
            </w:pPr>
          </w:p>
        </w:tc>
        <w:tc>
          <w:tcPr>
            <w:tcW w:w="960" w:type="dxa"/>
            <w:tcBorders>
              <w:top w:val="single" w:sz="8" w:space="0" w:color="auto"/>
              <w:left w:val="nil"/>
              <w:bottom w:val="single" w:sz="8" w:space="0" w:color="auto"/>
              <w:right w:val="single" w:sz="8" w:space="0" w:color="auto"/>
              <w:tl2br w:val="nil"/>
              <w:tr2bl w:val="nil"/>
            </w:tcBorders>
            <w:noWrap/>
            <w:textDirection w:val="lrTb"/>
            <w:vAlign w:val="center"/>
          </w:tcPr>
          <w:p w:rsidR="0011736A" w:rsidRPr="0086352B" w:rsidP="0011736A">
            <w:pPr>
              <w:spacing w:line="240" w:lineRule="auto"/>
              <w:jc w:val="right"/>
              <w:rPr>
                <w:rFonts w:ascii="Arial Narrow" w:hAnsi="Arial Narrow" w:cs="Arial"/>
                <w:sz w:val="18"/>
                <w:szCs w:val="18"/>
                <w:lang w:val="cs-CZ"/>
              </w:rPr>
            </w:pPr>
          </w:p>
        </w:tc>
        <w:tc>
          <w:tcPr>
            <w:tcW w:w="960" w:type="dxa"/>
            <w:tcBorders>
              <w:top w:val="single" w:sz="8" w:space="0" w:color="auto"/>
              <w:left w:val="nil"/>
              <w:bottom w:val="single" w:sz="8" w:space="0" w:color="auto"/>
              <w:right w:val="single" w:sz="8" w:space="0" w:color="auto"/>
              <w:tl2br w:val="nil"/>
              <w:tr2bl w:val="nil"/>
            </w:tcBorders>
            <w:noWrap/>
            <w:textDirection w:val="lrTb"/>
            <w:vAlign w:val="center"/>
          </w:tcPr>
          <w:p w:rsidR="0011736A" w:rsidRPr="0086352B" w:rsidP="0011736A">
            <w:pPr>
              <w:spacing w:line="240" w:lineRule="auto"/>
              <w:jc w:val="right"/>
              <w:rPr>
                <w:rFonts w:ascii="Arial Narrow" w:hAnsi="Arial Narrow" w:cs="Arial"/>
                <w:sz w:val="18"/>
                <w:szCs w:val="18"/>
                <w:lang w:val="cs-CZ"/>
              </w:rPr>
            </w:pPr>
          </w:p>
        </w:tc>
        <w:tc>
          <w:tcPr>
            <w:tcW w:w="840" w:type="dxa"/>
            <w:tcBorders>
              <w:top w:val="single" w:sz="8" w:space="0" w:color="auto"/>
              <w:left w:val="nil"/>
              <w:bottom w:val="single" w:sz="8" w:space="0" w:color="auto"/>
              <w:right w:val="single" w:sz="12" w:space="0" w:color="auto"/>
              <w:tl2br w:val="nil"/>
              <w:tr2bl w:val="nil"/>
            </w:tcBorders>
            <w:noWrap/>
            <w:textDirection w:val="lrTb"/>
            <w:vAlign w:val="center"/>
          </w:tcPr>
          <w:p w:rsidR="0011736A" w:rsidRPr="0086352B" w:rsidP="0011736A">
            <w:pPr>
              <w:spacing w:line="240" w:lineRule="auto"/>
              <w:jc w:val="right"/>
              <w:rPr>
                <w:rFonts w:ascii="Arial Narrow" w:hAnsi="Arial Narrow" w:cs="Arial"/>
                <w:sz w:val="18"/>
                <w:szCs w:val="18"/>
                <w:lang w:val="cs-CZ"/>
              </w:rPr>
            </w:pPr>
          </w:p>
        </w:tc>
      </w:tr>
      <w:tr>
        <w:tblPrEx>
          <w:tblW w:w="9295" w:type="dxa"/>
          <w:tblInd w:w="55" w:type="dxa"/>
          <w:tblCellMar>
            <w:left w:w="70" w:type="dxa"/>
            <w:right w:w="70" w:type="dxa"/>
          </w:tblCellMar>
        </w:tblPrEx>
        <w:trPr>
          <w:trHeight w:val="259"/>
        </w:trPr>
        <w:tc>
          <w:tcPr>
            <w:tcW w:w="772" w:type="dxa"/>
            <w:tcBorders>
              <w:top w:val="single" w:sz="8" w:space="0" w:color="auto"/>
              <w:left w:val="single" w:sz="12" w:space="0" w:color="auto"/>
              <w:bottom w:val="single" w:sz="8" w:space="0" w:color="auto"/>
              <w:right w:val="single" w:sz="8" w:space="0" w:color="auto"/>
              <w:tl2br w:val="nil"/>
              <w:tr2bl w:val="nil"/>
            </w:tcBorders>
            <w:noWrap/>
            <w:textDirection w:val="lrTb"/>
            <w:vAlign w:val="center"/>
          </w:tcPr>
          <w:p w:rsidR="0011736A" w:rsidRPr="0086352B" w:rsidP="0011736A">
            <w:pPr>
              <w:spacing w:line="240" w:lineRule="auto"/>
              <w:rPr>
                <w:rFonts w:ascii="Arial Narrow" w:hAnsi="Arial Narrow" w:cs="Arial"/>
                <w:sz w:val="18"/>
                <w:szCs w:val="18"/>
                <w:lang w:val="cs-CZ"/>
              </w:rPr>
            </w:pPr>
            <w:r w:rsidRPr="0086352B">
              <w:rPr>
                <w:rFonts w:ascii="Arial Narrow" w:hAnsi="Arial Narrow" w:cs="Arial"/>
                <w:sz w:val="18"/>
                <w:szCs w:val="18"/>
              </w:rPr>
              <w:t>07S0609</w:t>
            </w:r>
          </w:p>
        </w:tc>
        <w:tc>
          <w:tcPr>
            <w:tcW w:w="4823" w:type="dxa"/>
            <w:tcBorders>
              <w:top w:val="single" w:sz="8" w:space="0" w:color="auto"/>
              <w:left w:val="nil"/>
              <w:bottom w:val="single" w:sz="8" w:space="0" w:color="auto"/>
              <w:right w:val="single" w:sz="8" w:space="0" w:color="auto"/>
              <w:tl2br w:val="nil"/>
              <w:tr2bl w:val="nil"/>
            </w:tcBorders>
            <w:textDirection w:val="lrTb"/>
            <w:vAlign w:val="center"/>
          </w:tcPr>
          <w:p w:rsidR="0011736A" w:rsidRPr="0086352B" w:rsidP="0011736A">
            <w:pPr>
              <w:spacing w:line="240" w:lineRule="auto"/>
              <w:rPr>
                <w:rFonts w:ascii="Arial Narrow" w:hAnsi="Arial Narrow" w:cs="Arial"/>
                <w:sz w:val="18"/>
                <w:szCs w:val="18"/>
                <w:lang w:val="cs-CZ"/>
              </w:rPr>
            </w:pPr>
            <w:r w:rsidRPr="0086352B">
              <w:rPr>
                <w:rFonts w:ascii="Arial Narrow" w:hAnsi="Arial Narrow" w:cs="Arial"/>
                <w:sz w:val="18"/>
                <w:szCs w:val="18"/>
              </w:rPr>
              <w:t>Odb. pomoc pre impl. dopr. proj. - žel. projekty (ISPA) - spolufin.</w:t>
            </w:r>
          </w:p>
        </w:tc>
        <w:tc>
          <w:tcPr>
            <w:tcW w:w="940" w:type="dxa"/>
            <w:tcBorders>
              <w:top w:val="single" w:sz="8" w:space="0" w:color="auto"/>
              <w:left w:val="nil"/>
              <w:bottom w:val="single" w:sz="8" w:space="0" w:color="auto"/>
              <w:right w:val="single" w:sz="8" w:space="0" w:color="auto"/>
              <w:tl2br w:val="nil"/>
              <w:tr2bl w:val="nil"/>
            </w:tcBorders>
            <w:noWrap/>
            <w:textDirection w:val="lrTb"/>
            <w:vAlign w:val="center"/>
          </w:tcPr>
          <w:p w:rsidR="0011736A" w:rsidRPr="0086352B" w:rsidP="0011736A">
            <w:pPr>
              <w:spacing w:line="240" w:lineRule="auto"/>
              <w:jc w:val="right"/>
              <w:rPr>
                <w:rFonts w:ascii="Arial Narrow" w:hAnsi="Arial Narrow" w:cs="Arial"/>
                <w:sz w:val="18"/>
                <w:szCs w:val="18"/>
                <w:lang w:val="cs-CZ"/>
              </w:rPr>
            </w:pPr>
            <w:r>
              <w:rPr>
                <w:rFonts w:ascii="Arial Narrow" w:hAnsi="Arial Narrow" w:cs="Arial"/>
                <w:sz w:val="18"/>
                <w:szCs w:val="18"/>
              </w:rPr>
              <w:t>2 569</w:t>
            </w:r>
          </w:p>
        </w:tc>
        <w:tc>
          <w:tcPr>
            <w:tcW w:w="960" w:type="dxa"/>
            <w:tcBorders>
              <w:top w:val="single" w:sz="8" w:space="0" w:color="auto"/>
              <w:left w:val="nil"/>
              <w:bottom w:val="single" w:sz="8" w:space="0" w:color="auto"/>
              <w:right w:val="single" w:sz="8" w:space="0" w:color="auto"/>
              <w:tl2br w:val="nil"/>
              <w:tr2bl w:val="nil"/>
            </w:tcBorders>
            <w:noWrap/>
            <w:textDirection w:val="lrTb"/>
            <w:vAlign w:val="center"/>
          </w:tcPr>
          <w:p w:rsidR="0011736A" w:rsidRPr="0086352B" w:rsidP="0011736A">
            <w:pPr>
              <w:spacing w:line="240" w:lineRule="auto"/>
              <w:jc w:val="right"/>
              <w:rPr>
                <w:rFonts w:ascii="Arial Narrow" w:hAnsi="Arial Narrow" w:cs="Arial"/>
                <w:sz w:val="18"/>
                <w:szCs w:val="18"/>
                <w:lang w:val="cs-CZ"/>
              </w:rPr>
            </w:pPr>
            <w:r>
              <w:rPr>
                <w:rFonts w:ascii="Arial Narrow" w:hAnsi="Arial Narrow" w:cs="Arial"/>
                <w:sz w:val="18"/>
                <w:szCs w:val="18"/>
                <w:lang w:val="cs-CZ"/>
              </w:rPr>
              <w:t>2 778</w:t>
            </w:r>
          </w:p>
        </w:tc>
        <w:tc>
          <w:tcPr>
            <w:tcW w:w="960" w:type="dxa"/>
            <w:tcBorders>
              <w:top w:val="single" w:sz="8" w:space="0" w:color="auto"/>
              <w:left w:val="nil"/>
              <w:bottom w:val="single" w:sz="8" w:space="0" w:color="auto"/>
              <w:right w:val="single" w:sz="8" w:space="0" w:color="auto"/>
              <w:tl2br w:val="nil"/>
              <w:tr2bl w:val="nil"/>
            </w:tcBorders>
            <w:noWrap/>
            <w:textDirection w:val="lrTb"/>
            <w:vAlign w:val="center"/>
          </w:tcPr>
          <w:p w:rsidR="0011736A" w:rsidRPr="0086352B" w:rsidP="0011736A">
            <w:pPr>
              <w:spacing w:line="240" w:lineRule="auto"/>
              <w:jc w:val="right"/>
              <w:rPr>
                <w:rFonts w:ascii="Arial Narrow" w:hAnsi="Arial Narrow" w:cs="Arial"/>
                <w:sz w:val="18"/>
                <w:szCs w:val="18"/>
                <w:lang w:val="cs-CZ"/>
              </w:rPr>
            </w:pPr>
            <w:r>
              <w:rPr>
                <w:rFonts w:ascii="Arial Narrow" w:hAnsi="Arial Narrow" w:cs="Arial"/>
                <w:sz w:val="18"/>
                <w:szCs w:val="18"/>
                <w:lang w:val="cs-CZ"/>
              </w:rPr>
              <w:t>2 778</w:t>
            </w:r>
          </w:p>
        </w:tc>
        <w:tc>
          <w:tcPr>
            <w:tcW w:w="840" w:type="dxa"/>
            <w:tcBorders>
              <w:top w:val="single" w:sz="8" w:space="0" w:color="auto"/>
              <w:left w:val="nil"/>
              <w:bottom w:val="single" w:sz="8" w:space="0" w:color="auto"/>
              <w:right w:val="single" w:sz="12" w:space="0" w:color="auto"/>
              <w:tl2br w:val="nil"/>
              <w:tr2bl w:val="nil"/>
            </w:tcBorders>
            <w:noWrap/>
            <w:textDirection w:val="lrTb"/>
            <w:vAlign w:val="center"/>
          </w:tcPr>
          <w:p w:rsidR="0011736A" w:rsidRPr="0086352B" w:rsidP="0011736A">
            <w:pPr>
              <w:spacing w:line="240" w:lineRule="auto"/>
              <w:jc w:val="right"/>
              <w:rPr>
                <w:rFonts w:ascii="Arial Narrow" w:hAnsi="Arial Narrow" w:cs="Arial"/>
                <w:sz w:val="18"/>
                <w:szCs w:val="18"/>
                <w:lang w:val="cs-CZ"/>
              </w:rPr>
            </w:pPr>
            <w:r>
              <w:rPr>
                <w:rFonts w:ascii="Arial Narrow" w:hAnsi="Arial Narrow" w:cs="Arial"/>
                <w:sz w:val="18"/>
                <w:szCs w:val="18"/>
                <w:lang w:val="cs-CZ"/>
              </w:rPr>
              <w:t>0</w:t>
            </w:r>
          </w:p>
        </w:tc>
      </w:tr>
      <w:tr>
        <w:tblPrEx>
          <w:tblW w:w="9295" w:type="dxa"/>
          <w:tblInd w:w="55" w:type="dxa"/>
          <w:tblCellMar>
            <w:left w:w="70" w:type="dxa"/>
            <w:right w:w="70" w:type="dxa"/>
          </w:tblCellMar>
        </w:tblPrEx>
        <w:trPr>
          <w:trHeight w:val="259"/>
        </w:trPr>
        <w:tc>
          <w:tcPr>
            <w:tcW w:w="772" w:type="dxa"/>
            <w:tcBorders>
              <w:top w:val="single" w:sz="8" w:space="0" w:color="auto"/>
              <w:left w:val="single" w:sz="12" w:space="0" w:color="auto"/>
              <w:bottom w:val="single" w:sz="12" w:space="0" w:color="auto"/>
              <w:right w:val="single" w:sz="8" w:space="0" w:color="auto"/>
              <w:tl2br w:val="nil"/>
              <w:tr2bl w:val="nil"/>
            </w:tcBorders>
            <w:noWrap/>
            <w:textDirection w:val="lrTb"/>
            <w:vAlign w:val="center"/>
          </w:tcPr>
          <w:p w:rsidR="0011736A" w:rsidRPr="0086352B" w:rsidP="0011736A">
            <w:pPr>
              <w:spacing w:line="240" w:lineRule="auto"/>
              <w:rPr>
                <w:rFonts w:ascii="Arial Narrow" w:hAnsi="Arial Narrow" w:cs="Arial"/>
                <w:sz w:val="18"/>
                <w:szCs w:val="18"/>
                <w:lang w:val="cs-CZ"/>
              </w:rPr>
            </w:pPr>
            <w:r w:rsidRPr="0086352B">
              <w:rPr>
                <w:rFonts w:ascii="Arial Narrow" w:hAnsi="Arial Narrow" w:cs="Arial"/>
                <w:sz w:val="18"/>
                <w:szCs w:val="18"/>
              </w:rPr>
              <w:t> </w:t>
            </w:r>
          </w:p>
        </w:tc>
        <w:tc>
          <w:tcPr>
            <w:tcW w:w="4823" w:type="dxa"/>
            <w:tcBorders>
              <w:top w:val="single" w:sz="8" w:space="0" w:color="auto"/>
              <w:left w:val="nil"/>
              <w:bottom w:val="single" w:sz="12" w:space="0" w:color="auto"/>
              <w:right w:val="single" w:sz="8" w:space="0" w:color="auto"/>
              <w:tl2br w:val="nil"/>
              <w:tr2bl w:val="nil"/>
            </w:tcBorders>
            <w:textDirection w:val="lrTb"/>
            <w:vAlign w:val="center"/>
          </w:tcPr>
          <w:p w:rsidR="0011736A" w:rsidRPr="0086352B" w:rsidP="0011736A">
            <w:pPr>
              <w:spacing w:line="240" w:lineRule="auto"/>
              <w:rPr>
                <w:rFonts w:ascii="Arial Narrow" w:hAnsi="Arial Narrow" w:cs="Arial"/>
                <w:sz w:val="18"/>
                <w:szCs w:val="18"/>
                <w:lang w:val="cs-CZ"/>
              </w:rPr>
            </w:pPr>
            <w:r>
              <w:rPr>
                <w:rFonts w:ascii="Arial Narrow" w:hAnsi="Arial Narrow" w:cs="Arial"/>
                <w:sz w:val="18"/>
                <w:szCs w:val="18"/>
              </w:rPr>
              <w:t xml:space="preserve">      </w:t>
            </w:r>
            <w:r w:rsidRPr="0086352B">
              <w:rPr>
                <w:rFonts w:ascii="Arial Narrow" w:hAnsi="Arial Narrow" w:cs="Arial"/>
                <w:sz w:val="18"/>
                <w:szCs w:val="18"/>
              </w:rPr>
              <w:t>ISPA</w:t>
            </w:r>
          </w:p>
        </w:tc>
        <w:tc>
          <w:tcPr>
            <w:tcW w:w="940" w:type="dxa"/>
            <w:tcBorders>
              <w:top w:val="single" w:sz="8" w:space="0" w:color="auto"/>
              <w:left w:val="nil"/>
              <w:bottom w:val="single" w:sz="12" w:space="0" w:color="auto"/>
              <w:right w:val="single" w:sz="8" w:space="0" w:color="auto"/>
              <w:tl2br w:val="nil"/>
              <w:tr2bl w:val="nil"/>
            </w:tcBorders>
            <w:noWrap/>
            <w:textDirection w:val="lrTb"/>
            <w:vAlign w:val="center"/>
          </w:tcPr>
          <w:p w:rsidR="0011736A" w:rsidRPr="0086352B" w:rsidP="0011736A">
            <w:pPr>
              <w:spacing w:line="240" w:lineRule="auto"/>
              <w:jc w:val="right"/>
              <w:rPr>
                <w:rFonts w:ascii="Arial Narrow" w:hAnsi="Arial Narrow" w:cs="Arial"/>
                <w:sz w:val="18"/>
                <w:szCs w:val="18"/>
                <w:lang w:val="cs-CZ"/>
              </w:rPr>
            </w:pPr>
            <w:r>
              <w:rPr>
                <w:rFonts w:ascii="Arial Narrow" w:hAnsi="Arial Narrow" w:cs="Arial"/>
                <w:sz w:val="18"/>
                <w:szCs w:val="18"/>
              </w:rPr>
              <w:t>5 514</w:t>
            </w:r>
          </w:p>
        </w:tc>
        <w:tc>
          <w:tcPr>
            <w:tcW w:w="960" w:type="dxa"/>
            <w:tcBorders>
              <w:top w:val="single" w:sz="8" w:space="0" w:color="auto"/>
              <w:left w:val="nil"/>
              <w:bottom w:val="single" w:sz="12" w:space="0" w:color="auto"/>
              <w:right w:val="single" w:sz="8" w:space="0" w:color="auto"/>
              <w:tl2br w:val="nil"/>
              <w:tr2bl w:val="nil"/>
            </w:tcBorders>
            <w:noWrap/>
            <w:textDirection w:val="lrTb"/>
            <w:vAlign w:val="center"/>
          </w:tcPr>
          <w:p w:rsidR="0011736A" w:rsidRPr="0086352B" w:rsidP="0011736A">
            <w:pPr>
              <w:spacing w:line="240" w:lineRule="auto"/>
              <w:jc w:val="right"/>
              <w:rPr>
                <w:rFonts w:ascii="Arial Narrow" w:hAnsi="Arial Narrow" w:cs="Arial"/>
                <w:sz w:val="18"/>
                <w:szCs w:val="18"/>
                <w:lang w:val="cs-CZ"/>
              </w:rPr>
            </w:pPr>
            <w:r>
              <w:rPr>
                <w:rFonts w:ascii="Arial Narrow" w:hAnsi="Arial Narrow" w:cs="Arial"/>
                <w:sz w:val="18"/>
                <w:szCs w:val="18"/>
                <w:lang w:val="cs-CZ"/>
              </w:rPr>
              <w:t>5 514</w:t>
            </w:r>
          </w:p>
        </w:tc>
        <w:tc>
          <w:tcPr>
            <w:tcW w:w="960" w:type="dxa"/>
            <w:tcBorders>
              <w:top w:val="single" w:sz="8" w:space="0" w:color="auto"/>
              <w:left w:val="nil"/>
              <w:bottom w:val="single" w:sz="12" w:space="0" w:color="auto"/>
              <w:right w:val="single" w:sz="8" w:space="0" w:color="auto"/>
              <w:tl2br w:val="nil"/>
              <w:tr2bl w:val="nil"/>
            </w:tcBorders>
            <w:noWrap/>
            <w:textDirection w:val="lrTb"/>
            <w:vAlign w:val="center"/>
          </w:tcPr>
          <w:p w:rsidR="0011736A" w:rsidRPr="0086352B" w:rsidP="0011736A">
            <w:pPr>
              <w:spacing w:line="240" w:lineRule="auto"/>
              <w:jc w:val="right"/>
              <w:rPr>
                <w:rFonts w:ascii="Arial Narrow" w:hAnsi="Arial Narrow" w:cs="Arial"/>
                <w:sz w:val="18"/>
                <w:szCs w:val="18"/>
                <w:lang w:val="cs-CZ"/>
              </w:rPr>
            </w:pPr>
            <w:r>
              <w:rPr>
                <w:rFonts w:ascii="Arial Narrow" w:hAnsi="Arial Narrow" w:cs="Arial"/>
                <w:sz w:val="18"/>
                <w:szCs w:val="18"/>
                <w:lang w:val="cs-CZ"/>
              </w:rPr>
              <w:t>2 508</w:t>
            </w:r>
          </w:p>
        </w:tc>
        <w:tc>
          <w:tcPr>
            <w:tcW w:w="840" w:type="dxa"/>
            <w:tcBorders>
              <w:top w:val="single" w:sz="8" w:space="0" w:color="auto"/>
              <w:left w:val="nil"/>
              <w:bottom w:val="single" w:sz="12" w:space="0" w:color="auto"/>
              <w:right w:val="single" w:sz="12" w:space="0" w:color="auto"/>
              <w:tl2br w:val="nil"/>
              <w:tr2bl w:val="nil"/>
            </w:tcBorders>
            <w:noWrap/>
            <w:textDirection w:val="lrTb"/>
            <w:vAlign w:val="center"/>
          </w:tcPr>
          <w:p w:rsidR="0011736A" w:rsidRPr="0086352B" w:rsidP="0011736A">
            <w:pPr>
              <w:spacing w:line="240" w:lineRule="auto"/>
              <w:jc w:val="right"/>
              <w:rPr>
                <w:rFonts w:ascii="Arial Narrow" w:hAnsi="Arial Narrow" w:cs="Arial"/>
                <w:sz w:val="18"/>
                <w:szCs w:val="18"/>
                <w:lang w:val="cs-CZ"/>
              </w:rPr>
            </w:pPr>
            <w:r>
              <w:rPr>
                <w:rFonts w:ascii="Arial Narrow" w:hAnsi="Arial Narrow" w:cs="Arial"/>
                <w:sz w:val="18"/>
                <w:szCs w:val="18"/>
                <w:lang w:val="cs-CZ"/>
              </w:rPr>
              <w:t>0</w:t>
            </w:r>
          </w:p>
        </w:tc>
      </w:tr>
    </w:tbl>
    <w:p w:rsidR="0011736A" w:rsidP="0011736A">
      <w:pPr>
        <w:spacing w:line="240" w:lineRule="auto"/>
        <w:rPr>
          <w:rFonts w:ascii="Arial Narrow" w:hAnsi="Arial Narrow" w:cs="Times New Roman"/>
          <w:sz w:val="18"/>
          <w:szCs w:val="18"/>
        </w:rPr>
      </w:pPr>
    </w:p>
    <w:p w:rsidR="00E468B1" w:rsidP="0011736A">
      <w:pPr>
        <w:spacing w:line="240" w:lineRule="auto"/>
        <w:rPr>
          <w:rFonts w:ascii="Arial Narrow" w:hAnsi="Arial Narrow" w:cs="Times New Roman"/>
          <w:sz w:val="18"/>
          <w:szCs w:val="18"/>
        </w:rPr>
      </w:pPr>
    </w:p>
    <w:tbl>
      <w:tblPr>
        <w:tblW w:w="9295" w:type="dxa"/>
        <w:tblInd w:w="55" w:type="dxa"/>
        <w:tblCellMar>
          <w:left w:w="70" w:type="dxa"/>
          <w:right w:w="70" w:type="dxa"/>
        </w:tblCellMar>
      </w:tblPr>
      <w:tblGrid>
        <w:gridCol w:w="772"/>
        <w:gridCol w:w="4823"/>
        <w:gridCol w:w="940"/>
        <w:gridCol w:w="960"/>
        <w:gridCol w:w="960"/>
        <w:gridCol w:w="840"/>
      </w:tblGrid>
      <w:tr>
        <w:tblPrEx>
          <w:tblW w:w="9295" w:type="dxa"/>
          <w:tblInd w:w="55" w:type="dxa"/>
          <w:tblCellMar>
            <w:left w:w="70" w:type="dxa"/>
            <w:right w:w="70" w:type="dxa"/>
          </w:tblCellMar>
        </w:tblPrEx>
        <w:trPr>
          <w:trHeight w:val="765"/>
        </w:trPr>
        <w:tc>
          <w:tcPr>
            <w:tcW w:w="772" w:type="dxa"/>
            <w:tcBorders>
              <w:top w:val="single" w:sz="12" w:space="0" w:color="auto"/>
              <w:left w:val="single" w:sz="12" w:space="0" w:color="auto"/>
              <w:bottom w:val="single" w:sz="12" w:space="0" w:color="auto"/>
              <w:right w:val="single" w:sz="8" w:space="0" w:color="auto"/>
              <w:tl2br w:val="nil"/>
              <w:tr2bl w:val="nil"/>
            </w:tcBorders>
            <w:shd w:val="clear" w:color="auto" w:fill="33CCCC"/>
            <w:noWrap/>
            <w:textDirection w:val="lrTb"/>
            <w:vAlign w:val="center"/>
          </w:tcPr>
          <w:p w:rsidR="0011736A" w:rsidRPr="0086352B" w:rsidP="0011736A">
            <w:pPr>
              <w:spacing w:line="240" w:lineRule="auto"/>
              <w:rPr>
                <w:rFonts w:ascii="Arial Narrow" w:hAnsi="Arial Narrow" w:cs="Arial"/>
                <w:sz w:val="18"/>
                <w:szCs w:val="18"/>
                <w:lang w:val="cs-CZ"/>
              </w:rPr>
            </w:pPr>
            <w:r w:rsidRPr="0086352B">
              <w:rPr>
                <w:rFonts w:ascii="Arial Narrow" w:hAnsi="Arial Narrow" w:cs="Arial"/>
                <w:sz w:val="18"/>
                <w:szCs w:val="18"/>
              </w:rPr>
              <w:t> </w:t>
            </w:r>
          </w:p>
        </w:tc>
        <w:tc>
          <w:tcPr>
            <w:tcW w:w="4823" w:type="dxa"/>
            <w:tcBorders>
              <w:top w:val="single" w:sz="12" w:space="0" w:color="auto"/>
              <w:left w:val="nil"/>
              <w:bottom w:val="single" w:sz="12" w:space="0" w:color="auto"/>
              <w:right w:val="single" w:sz="8" w:space="0" w:color="auto"/>
              <w:tl2br w:val="nil"/>
              <w:tr2bl w:val="nil"/>
            </w:tcBorders>
            <w:shd w:val="clear" w:color="auto" w:fill="33CCCC"/>
            <w:textDirection w:val="lrTb"/>
            <w:vAlign w:val="center"/>
          </w:tcPr>
          <w:p w:rsidR="0011736A" w:rsidRPr="0086352B" w:rsidP="0011736A">
            <w:pPr>
              <w:spacing w:line="240" w:lineRule="auto"/>
              <w:jc w:val="center"/>
              <w:rPr>
                <w:rFonts w:ascii="Arial Narrow" w:hAnsi="Arial Narrow" w:cs="Arial"/>
                <w:b/>
                <w:bCs/>
                <w:sz w:val="18"/>
                <w:szCs w:val="18"/>
                <w:lang w:val="cs-CZ"/>
              </w:rPr>
            </w:pPr>
            <w:r w:rsidRPr="0086352B">
              <w:rPr>
                <w:rFonts w:ascii="Arial Narrow" w:hAnsi="Arial Narrow" w:cs="Arial"/>
                <w:b/>
                <w:bCs/>
                <w:sz w:val="18"/>
                <w:szCs w:val="18"/>
              </w:rPr>
              <w:t xml:space="preserve">Programovo alokované výdavky </w:t>
            </w:r>
            <w:r>
              <w:rPr>
                <w:rFonts w:ascii="Arial Narrow" w:hAnsi="Arial Narrow" w:cs="Arial"/>
                <w:b/>
                <w:bCs/>
                <w:sz w:val="18"/>
                <w:szCs w:val="18"/>
              </w:rPr>
              <w:t>– vnútorné politiky</w:t>
            </w:r>
          </w:p>
        </w:tc>
        <w:tc>
          <w:tcPr>
            <w:tcW w:w="940" w:type="dxa"/>
            <w:tcBorders>
              <w:top w:val="single" w:sz="12" w:space="0" w:color="auto"/>
              <w:left w:val="nil"/>
              <w:bottom w:val="single" w:sz="12" w:space="0" w:color="auto"/>
              <w:right w:val="single" w:sz="8" w:space="0" w:color="auto"/>
              <w:tl2br w:val="nil"/>
              <w:tr2bl w:val="nil"/>
            </w:tcBorders>
            <w:shd w:val="clear" w:color="auto" w:fill="33CCCC"/>
            <w:textDirection w:val="lrTb"/>
            <w:vAlign w:val="center"/>
          </w:tcPr>
          <w:p w:rsidR="0011736A" w:rsidRPr="0086352B" w:rsidP="0011736A">
            <w:pPr>
              <w:spacing w:line="240" w:lineRule="auto"/>
              <w:jc w:val="center"/>
              <w:rPr>
                <w:rFonts w:ascii="Arial Narrow" w:hAnsi="Arial Narrow" w:cs="Arial"/>
                <w:b/>
                <w:bCs/>
                <w:sz w:val="18"/>
                <w:szCs w:val="18"/>
                <w:lang w:val="cs-CZ"/>
              </w:rPr>
            </w:pPr>
            <w:r w:rsidRPr="0086352B">
              <w:rPr>
                <w:rFonts w:ascii="Arial Narrow" w:hAnsi="Arial Narrow" w:cs="Arial"/>
                <w:b/>
                <w:bCs/>
                <w:sz w:val="18"/>
                <w:szCs w:val="18"/>
              </w:rPr>
              <w:t>Schválený rozpočet 200</w:t>
            </w:r>
            <w:r>
              <w:rPr>
                <w:rFonts w:ascii="Arial Narrow" w:hAnsi="Arial Narrow" w:cs="Arial"/>
                <w:b/>
                <w:bCs/>
                <w:sz w:val="18"/>
                <w:szCs w:val="18"/>
              </w:rPr>
              <w:t>7</w:t>
            </w:r>
          </w:p>
        </w:tc>
        <w:tc>
          <w:tcPr>
            <w:tcW w:w="960" w:type="dxa"/>
            <w:tcBorders>
              <w:top w:val="single" w:sz="12" w:space="0" w:color="auto"/>
              <w:left w:val="nil"/>
              <w:bottom w:val="single" w:sz="12" w:space="0" w:color="auto"/>
              <w:right w:val="single" w:sz="8" w:space="0" w:color="auto"/>
              <w:tl2br w:val="nil"/>
              <w:tr2bl w:val="nil"/>
            </w:tcBorders>
            <w:shd w:val="clear" w:color="auto" w:fill="33CCCC"/>
            <w:textDirection w:val="lrTb"/>
            <w:vAlign w:val="center"/>
          </w:tcPr>
          <w:p w:rsidR="0011736A" w:rsidRPr="0086352B" w:rsidP="0011736A">
            <w:pPr>
              <w:spacing w:line="240" w:lineRule="auto"/>
              <w:jc w:val="center"/>
              <w:rPr>
                <w:rFonts w:ascii="Arial Narrow" w:hAnsi="Arial Narrow" w:cs="Arial"/>
                <w:b/>
                <w:bCs/>
                <w:sz w:val="18"/>
                <w:szCs w:val="18"/>
                <w:lang w:val="cs-CZ"/>
              </w:rPr>
            </w:pPr>
            <w:r w:rsidRPr="0086352B">
              <w:rPr>
                <w:rFonts w:ascii="Arial Narrow" w:hAnsi="Arial Narrow" w:cs="Arial"/>
                <w:b/>
                <w:bCs/>
                <w:sz w:val="18"/>
                <w:szCs w:val="18"/>
              </w:rPr>
              <w:t>Upravený rozpočet k 31.12.200</w:t>
            </w:r>
            <w:r>
              <w:rPr>
                <w:rFonts w:ascii="Arial Narrow" w:hAnsi="Arial Narrow" w:cs="Arial"/>
                <w:b/>
                <w:bCs/>
                <w:sz w:val="18"/>
                <w:szCs w:val="18"/>
              </w:rPr>
              <w:t>7</w:t>
            </w:r>
          </w:p>
        </w:tc>
        <w:tc>
          <w:tcPr>
            <w:tcW w:w="960" w:type="dxa"/>
            <w:tcBorders>
              <w:top w:val="single" w:sz="12" w:space="0" w:color="auto"/>
              <w:left w:val="nil"/>
              <w:bottom w:val="single" w:sz="12" w:space="0" w:color="auto"/>
              <w:right w:val="single" w:sz="8" w:space="0" w:color="auto"/>
              <w:tl2br w:val="nil"/>
              <w:tr2bl w:val="nil"/>
            </w:tcBorders>
            <w:shd w:val="clear" w:color="auto" w:fill="33CCCC"/>
            <w:textDirection w:val="lrTb"/>
            <w:vAlign w:val="center"/>
          </w:tcPr>
          <w:p w:rsidR="0011736A" w:rsidRPr="0086352B" w:rsidP="0011736A">
            <w:pPr>
              <w:spacing w:line="240" w:lineRule="auto"/>
              <w:jc w:val="center"/>
              <w:rPr>
                <w:rFonts w:ascii="Arial Narrow" w:hAnsi="Arial Narrow" w:cs="Arial"/>
                <w:b/>
                <w:bCs/>
                <w:sz w:val="18"/>
                <w:szCs w:val="18"/>
                <w:lang w:val="cs-CZ"/>
              </w:rPr>
            </w:pPr>
            <w:r w:rsidRPr="0086352B">
              <w:rPr>
                <w:rFonts w:ascii="Arial Narrow" w:hAnsi="Arial Narrow" w:cs="Arial"/>
                <w:b/>
                <w:bCs/>
                <w:sz w:val="18"/>
                <w:szCs w:val="18"/>
              </w:rPr>
              <w:t>Skutočné čerpanie k 31.12.200</w:t>
            </w:r>
            <w:r>
              <w:rPr>
                <w:rFonts w:ascii="Arial Narrow" w:hAnsi="Arial Narrow" w:cs="Arial"/>
                <w:b/>
                <w:bCs/>
                <w:sz w:val="18"/>
                <w:szCs w:val="18"/>
              </w:rPr>
              <w:t>7</w:t>
            </w:r>
          </w:p>
        </w:tc>
        <w:tc>
          <w:tcPr>
            <w:tcW w:w="840" w:type="dxa"/>
            <w:tcBorders>
              <w:top w:val="single" w:sz="12" w:space="0" w:color="auto"/>
              <w:left w:val="nil"/>
              <w:bottom w:val="single" w:sz="12" w:space="0" w:color="auto"/>
              <w:right w:val="single" w:sz="12" w:space="0" w:color="auto"/>
              <w:tl2br w:val="nil"/>
              <w:tr2bl w:val="nil"/>
            </w:tcBorders>
            <w:shd w:val="clear" w:color="auto" w:fill="33CCCC"/>
            <w:textDirection w:val="lrTb"/>
            <w:vAlign w:val="center"/>
          </w:tcPr>
          <w:p w:rsidR="0011736A" w:rsidRPr="0086352B" w:rsidP="0011736A">
            <w:pPr>
              <w:spacing w:line="240" w:lineRule="auto"/>
              <w:jc w:val="center"/>
              <w:rPr>
                <w:rFonts w:ascii="Arial Narrow" w:hAnsi="Arial Narrow" w:cs="Arial"/>
                <w:b/>
                <w:bCs/>
                <w:sz w:val="18"/>
                <w:szCs w:val="18"/>
                <w:lang w:val="cs-CZ"/>
              </w:rPr>
            </w:pPr>
            <w:r>
              <w:rPr>
                <w:rFonts w:ascii="Arial Narrow" w:hAnsi="Arial Narrow" w:cs="Arial"/>
                <w:b/>
                <w:bCs/>
                <w:sz w:val="18"/>
                <w:szCs w:val="18"/>
              </w:rPr>
              <w:t xml:space="preserve">V tom: </w:t>
            </w:r>
            <w:r w:rsidRPr="0086352B">
              <w:rPr>
                <w:rFonts w:ascii="Arial Narrow" w:hAnsi="Arial Narrow" w:cs="Arial"/>
                <w:b/>
                <w:bCs/>
                <w:sz w:val="18"/>
                <w:szCs w:val="18"/>
              </w:rPr>
              <w:t>Čerpanie prost. z</w:t>
            </w:r>
            <w:r w:rsidR="00E468B1">
              <w:rPr>
                <w:rFonts w:ascii="Arial Narrow" w:hAnsi="Arial Narrow" w:cs="Arial"/>
                <w:b/>
                <w:bCs/>
                <w:sz w:val="18"/>
                <w:szCs w:val="18"/>
              </w:rPr>
              <w:t> r.</w:t>
            </w:r>
            <w:r w:rsidRPr="0086352B">
              <w:rPr>
                <w:rFonts w:ascii="Arial Narrow" w:hAnsi="Arial Narrow" w:cs="Arial"/>
                <w:b/>
                <w:bCs/>
                <w:sz w:val="18"/>
                <w:szCs w:val="18"/>
              </w:rPr>
              <w:t xml:space="preserve"> </w:t>
            </w:r>
            <w:r>
              <w:rPr>
                <w:rFonts w:ascii="Arial Narrow" w:hAnsi="Arial Narrow" w:cs="Arial"/>
                <w:b/>
                <w:bCs/>
                <w:sz w:val="18"/>
                <w:szCs w:val="18"/>
              </w:rPr>
              <w:t>2005,</w:t>
            </w:r>
            <w:r w:rsidRPr="0086352B">
              <w:rPr>
                <w:rFonts w:ascii="Arial Narrow" w:hAnsi="Arial Narrow" w:cs="Arial"/>
                <w:b/>
                <w:bCs/>
                <w:sz w:val="18"/>
                <w:szCs w:val="18"/>
              </w:rPr>
              <w:t>200</w:t>
            </w:r>
            <w:r>
              <w:rPr>
                <w:rFonts w:ascii="Arial Narrow" w:hAnsi="Arial Narrow" w:cs="Arial"/>
                <w:b/>
                <w:bCs/>
                <w:sz w:val="18"/>
                <w:szCs w:val="18"/>
              </w:rPr>
              <w:t>6</w:t>
            </w:r>
          </w:p>
        </w:tc>
      </w:tr>
      <w:tr>
        <w:tblPrEx>
          <w:tblW w:w="9295" w:type="dxa"/>
          <w:tblInd w:w="55" w:type="dxa"/>
          <w:tblCellMar>
            <w:left w:w="70" w:type="dxa"/>
            <w:right w:w="70" w:type="dxa"/>
          </w:tblCellMar>
        </w:tblPrEx>
        <w:trPr>
          <w:trHeight w:val="317"/>
        </w:trPr>
        <w:tc>
          <w:tcPr>
            <w:tcW w:w="772" w:type="dxa"/>
            <w:tcBorders>
              <w:top w:val="single" w:sz="12" w:space="0" w:color="auto"/>
              <w:left w:val="single" w:sz="12" w:space="0" w:color="auto"/>
              <w:bottom w:val="single" w:sz="12" w:space="0" w:color="auto"/>
              <w:right w:val="single" w:sz="8" w:space="0" w:color="auto"/>
              <w:tl2br w:val="nil"/>
              <w:tr2bl w:val="nil"/>
            </w:tcBorders>
            <w:noWrap/>
            <w:textDirection w:val="lrTb"/>
            <w:vAlign w:val="center"/>
          </w:tcPr>
          <w:p w:rsidR="0011736A" w:rsidRPr="00FA1174" w:rsidP="0011736A">
            <w:pPr>
              <w:spacing w:line="240" w:lineRule="auto"/>
              <w:rPr>
                <w:rFonts w:ascii="Arial Narrow" w:hAnsi="Arial Narrow" w:cs="Arial"/>
                <w:sz w:val="18"/>
                <w:szCs w:val="18"/>
              </w:rPr>
            </w:pPr>
            <w:r w:rsidRPr="00FA1174">
              <w:rPr>
                <w:rFonts w:ascii="Arial Narrow" w:hAnsi="Arial Narrow" w:cs="Arial"/>
                <w:sz w:val="18"/>
                <w:szCs w:val="18"/>
              </w:rPr>
              <w:t>055</w:t>
            </w:r>
          </w:p>
        </w:tc>
        <w:tc>
          <w:tcPr>
            <w:tcW w:w="4823" w:type="dxa"/>
            <w:tcBorders>
              <w:top w:val="single" w:sz="12" w:space="0" w:color="auto"/>
              <w:left w:val="nil"/>
              <w:bottom w:val="single" w:sz="12" w:space="0" w:color="auto"/>
              <w:right w:val="single" w:sz="8" w:space="0" w:color="auto"/>
              <w:tl2br w:val="nil"/>
              <w:tr2bl w:val="nil"/>
            </w:tcBorders>
            <w:textDirection w:val="lrTb"/>
            <w:vAlign w:val="center"/>
          </w:tcPr>
          <w:p w:rsidR="0011736A" w:rsidRPr="00FA1174" w:rsidP="0011736A">
            <w:pPr>
              <w:spacing w:line="240" w:lineRule="auto"/>
              <w:jc w:val="left"/>
              <w:rPr>
                <w:rFonts w:ascii="Arial Narrow" w:hAnsi="Arial Narrow" w:cs="Arial"/>
                <w:b/>
                <w:bCs/>
                <w:sz w:val="18"/>
                <w:szCs w:val="18"/>
              </w:rPr>
            </w:pPr>
            <w:r w:rsidRPr="0086352B">
              <w:rPr>
                <w:rFonts w:ascii="Arial Narrow" w:hAnsi="Arial Narrow" w:cs="Arial"/>
                <w:b/>
                <w:bCs/>
                <w:sz w:val="18"/>
                <w:szCs w:val="18"/>
              </w:rPr>
              <w:t>Letecká doprava</w:t>
            </w:r>
            <w:r>
              <w:rPr>
                <w:rFonts w:ascii="Arial Narrow" w:hAnsi="Arial Narrow" w:cs="Arial"/>
                <w:b/>
                <w:bCs/>
                <w:sz w:val="18"/>
                <w:szCs w:val="18"/>
              </w:rPr>
              <w:t xml:space="preserve"> a infraštruktúra</w:t>
            </w:r>
          </w:p>
        </w:tc>
        <w:tc>
          <w:tcPr>
            <w:tcW w:w="940" w:type="dxa"/>
            <w:tcBorders>
              <w:top w:val="single" w:sz="12" w:space="0" w:color="auto"/>
              <w:left w:val="nil"/>
              <w:bottom w:val="single" w:sz="12" w:space="0" w:color="auto"/>
              <w:right w:val="single" w:sz="8" w:space="0" w:color="auto"/>
              <w:tl2br w:val="nil"/>
              <w:tr2bl w:val="nil"/>
            </w:tcBorders>
            <w:textDirection w:val="lrTb"/>
            <w:vAlign w:val="center"/>
          </w:tcPr>
          <w:p w:rsidR="0011736A" w:rsidRPr="00FA1174" w:rsidP="0011736A">
            <w:pPr>
              <w:spacing w:line="240" w:lineRule="auto"/>
              <w:jc w:val="right"/>
              <w:rPr>
                <w:rFonts w:ascii="Arial Narrow" w:hAnsi="Arial Narrow" w:cs="Arial"/>
                <w:b/>
                <w:bCs/>
                <w:sz w:val="18"/>
                <w:szCs w:val="18"/>
              </w:rPr>
            </w:pPr>
            <w:r>
              <w:rPr>
                <w:rFonts w:ascii="Arial Narrow" w:hAnsi="Arial Narrow" w:cs="Arial"/>
                <w:b/>
                <w:bCs/>
                <w:sz w:val="18"/>
                <w:szCs w:val="18"/>
              </w:rPr>
              <w:t>112 555</w:t>
            </w:r>
          </w:p>
        </w:tc>
        <w:tc>
          <w:tcPr>
            <w:tcW w:w="960" w:type="dxa"/>
            <w:tcBorders>
              <w:top w:val="single" w:sz="12" w:space="0" w:color="auto"/>
              <w:left w:val="nil"/>
              <w:bottom w:val="single" w:sz="12" w:space="0" w:color="auto"/>
              <w:right w:val="single" w:sz="8" w:space="0" w:color="auto"/>
              <w:tl2br w:val="nil"/>
              <w:tr2bl w:val="nil"/>
            </w:tcBorders>
            <w:textDirection w:val="lrTb"/>
            <w:vAlign w:val="center"/>
          </w:tcPr>
          <w:p w:rsidR="0011736A" w:rsidRPr="00FA1174" w:rsidP="0011736A">
            <w:pPr>
              <w:spacing w:line="240" w:lineRule="auto"/>
              <w:jc w:val="right"/>
              <w:rPr>
                <w:rFonts w:ascii="Arial Narrow" w:hAnsi="Arial Narrow" w:cs="Arial"/>
                <w:b/>
                <w:bCs/>
                <w:sz w:val="18"/>
                <w:szCs w:val="18"/>
              </w:rPr>
            </w:pPr>
            <w:r>
              <w:rPr>
                <w:rFonts w:ascii="Arial Narrow" w:hAnsi="Arial Narrow" w:cs="Arial"/>
                <w:b/>
                <w:bCs/>
                <w:sz w:val="18"/>
                <w:szCs w:val="18"/>
              </w:rPr>
              <w:t>112 555</w:t>
            </w:r>
          </w:p>
        </w:tc>
        <w:tc>
          <w:tcPr>
            <w:tcW w:w="960" w:type="dxa"/>
            <w:tcBorders>
              <w:top w:val="single" w:sz="12" w:space="0" w:color="auto"/>
              <w:left w:val="nil"/>
              <w:bottom w:val="single" w:sz="12" w:space="0" w:color="auto"/>
              <w:right w:val="single" w:sz="8" w:space="0" w:color="auto"/>
              <w:tl2br w:val="nil"/>
              <w:tr2bl w:val="nil"/>
            </w:tcBorders>
            <w:textDirection w:val="lrTb"/>
            <w:vAlign w:val="center"/>
          </w:tcPr>
          <w:p w:rsidR="0011736A" w:rsidRPr="00FA1174" w:rsidP="0011736A">
            <w:pPr>
              <w:spacing w:line="240" w:lineRule="auto"/>
              <w:jc w:val="right"/>
              <w:rPr>
                <w:rFonts w:ascii="Arial Narrow" w:hAnsi="Arial Narrow" w:cs="Arial"/>
                <w:b/>
                <w:bCs/>
                <w:sz w:val="18"/>
                <w:szCs w:val="18"/>
              </w:rPr>
            </w:pPr>
            <w:r>
              <w:rPr>
                <w:rFonts w:ascii="Arial Narrow" w:hAnsi="Arial Narrow" w:cs="Arial"/>
                <w:b/>
                <w:bCs/>
                <w:sz w:val="18"/>
                <w:szCs w:val="18"/>
              </w:rPr>
              <w:t>0</w:t>
            </w:r>
          </w:p>
        </w:tc>
        <w:tc>
          <w:tcPr>
            <w:tcW w:w="840" w:type="dxa"/>
            <w:tcBorders>
              <w:top w:val="single" w:sz="12" w:space="0" w:color="auto"/>
              <w:left w:val="nil"/>
              <w:bottom w:val="single" w:sz="12" w:space="0" w:color="auto"/>
              <w:right w:val="single" w:sz="12" w:space="0" w:color="auto"/>
              <w:tl2br w:val="nil"/>
              <w:tr2bl w:val="nil"/>
            </w:tcBorders>
            <w:textDirection w:val="lrTb"/>
            <w:vAlign w:val="center"/>
          </w:tcPr>
          <w:p w:rsidR="0011736A" w:rsidRPr="00FA1174" w:rsidP="0011736A">
            <w:pPr>
              <w:spacing w:line="240" w:lineRule="auto"/>
              <w:jc w:val="right"/>
              <w:rPr>
                <w:rFonts w:ascii="Arial Narrow" w:hAnsi="Arial Narrow" w:cs="Arial"/>
                <w:b/>
                <w:bCs/>
                <w:sz w:val="18"/>
                <w:szCs w:val="18"/>
              </w:rPr>
            </w:pPr>
            <w:r>
              <w:rPr>
                <w:rFonts w:ascii="Arial Narrow" w:hAnsi="Arial Narrow" w:cs="Arial"/>
                <w:b/>
                <w:bCs/>
                <w:sz w:val="18"/>
                <w:szCs w:val="18"/>
              </w:rPr>
              <w:t>0</w:t>
            </w:r>
          </w:p>
        </w:tc>
      </w:tr>
      <w:tr>
        <w:tblPrEx>
          <w:tblW w:w="9295" w:type="dxa"/>
          <w:tblInd w:w="55" w:type="dxa"/>
          <w:tblCellMar>
            <w:left w:w="70" w:type="dxa"/>
            <w:right w:w="70" w:type="dxa"/>
          </w:tblCellMar>
        </w:tblPrEx>
        <w:trPr>
          <w:trHeight w:val="327"/>
        </w:trPr>
        <w:tc>
          <w:tcPr>
            <w:tcW w:w="772" w:type="dxa"/>
            <w:tcBorders>
              <w:top w:val="single" w:sz="12" w:space="0" w:color="auto"/>
              <w:left w:val="single" w:sz="12" w:space="0" w:color="auto"/>
              <w:bottom w:val="single" w:sz="12" w:space="0" w:color="auto"/>
              <w:right w:val="single" w:sz="8" w:space="0" w:color="auto"/>
              <w:tl2br w:val="nil"/>
              <w:tr2bl w:val="nil"/>
            </w:tcBorders>
            <w:noWrap/>
            <w:textDirection w:val="lrTb"/>
            <w:vAlign w:val="center"/>
          </w:tcPr>
          <w:p w:rsidR="0011736A" w:rsidRPr="00FA1174" w:rsidP="0011736A">
            <w:pPr>
              <w:spacing w:line="240" w:lineRule="auto"/>
              <w:rPr>
                <w:rFonts w:ascii="Arial Narrow" w:hAnsi="Arial Narrow" w:cs="Arial"/>
                <w:sz w:val="18"/>
                <w:szCs w:val="18"/>
              </w:rPr>
            </w:pPr>
            <w:r w:rsidRPr="00FA1174">
              <w:rPr>
                <w:rFonts w:ascii="Arial Narrow" w:hAnsi="Arial Narrow" w:cs="Arial"/>
                <w:sz w:val="18"/>
                <w:szCs w:val="18"/>
              </w:rPr>
              <w:t>05506</w:t>
            </w:r>
          </w:p>
        </w:tc>
        <w:tc>
          <w:tcPr>
            <w:tcW w:w="4823" w:type="dxa"/>
            <w:tcBorders>
              <w:top w:val="single" w:sz="12" w:space="0" w:color="auto"/>
              <w:left w:val="nil"/>
              <w:bottom w:val="single" w:sz="12" w:space="0" w:color="auto"/>
              <w:right w:val="single" w:sz="8" w:space="0" w:color="auto"/>
              <w:tl2br w:val="nil"/>
              <w:tr2bl w:val="nil"/>
            </w:tcBorders>
            <w:textDirection w:val="lrTb"/>
            <w:vAlign w:val="center"/>
          </w:tcPr>
          <w:p w:rsidR="0011736A" w:rsidRPr="00FA1174" w:rsidP="0011736A">
            <w:pPr>
              <w:spacing w:line="240" w:lineRule="auto"/>
              <w:jc w:val="left"/>
              <w:rPr>
                <w:rFonts w:ascii="Arial Narrow" w:hAnsi="Arial Narrow" w:cs="Arial"/>
                <w:bCs/>
                <w:sz w:val="18"/>
                <w:szCs w:val="18"/>
              </w:rPr>
            </w:pPr>
            <w:r w:rsidRPr="00FA1174">
              <w:rPr>
                <w:rFonts w:ascii="Arial Narrow" w:hAnsi="Arial Narrow" w:cs="Arial"/>
                <w:bCs/>
                <w:sz w:val="18"/>
                <w:szCs w:val="18"/>
              </w:rPr>
              <w:t>Schengenský prechodný fond</w:t>
            </w:r>
          </w:p>
        </w:tc>
        <w:tc>
          <w:tcPr>
            <w:tcW w:w="940" w:type="dxa"/>
            <w:tcBorders>
              <w:top w:val="single" w:sz="12" w:space="0" w:color="auto"/>
              <w:left w:val="nil"/>
              <w:bottom w:val="single" w:sz="12" w:space="0" w:color="auto"/>
              <w:right w:val="single" w:sz="8" w:space="0" w:color="auto"/>
              <w:tl2br w:val="nil"/>
              <w:tr2bl w:val="nil"/>
            </w:tcBorders>
            <w:textDirection w:val="lrTb"/>
            <w:vAlign w:val="center"/>
          </w:tcPr>
          <w:p w:rsidR="0011736A" w:rsidRPr="00FA1174" w:rsidP="0011736A">
            <w:pPr>
              <w:spacing w:line="240" w:lineRule="auto"/>
              <w:jc w:val="right"/>
              <w:rPr>
                <w:rFonts w:ascii="Arial Narrow" w:hAnsi="Arial Narrow" w:cs="Arial"/>
                <w:bCs/>
                <w:sz w:val="18"/>
                <w:szCs w:val="18"/>
              </w:rPr>
            </w:pPr>
            <w:r>
              <w:rPr>
                <w:rFonts w:ascii="Arial Narrow" w:hAnsi="Arial Narrow" w:cs="Arial"/>
                <w:bCs/>
                <w:sz w:val="18"/>
                <w:szCs w:val="18"/>
              </w:rPr>
              <w:t>112 555</w:t>
            </w:r>
          </w:p>
        </w:tc>
        <w:tc>
          <w:tcPr>
            <w:tcW w:w="960" w:type="dxa"/>
            <w:tcBorders>
              <w:top w:val="single" w:sz="12" w:space="0" w:color="auto"/>
              <w:left w:val="nil"/>
              <w:bottom w:val="single" w:sz="12" w:space="0" w:color="auto"/>
              <w:right w:val="single" w:sz="8" w:space="0" w:color="auto"/>
              <w:tl2br w:val="nil"/>
              <w:tr2bl w:val="nil"/>
            </w:tcBorders>
            <w:textDirection w:val="lrTb"/>
            <w:vAlign w:val="center"/>
          </w:tcPr>
          <w:p w:rsidR="0011736A" w:rsidRPr="00FA1174" w:rsidP="0011736A">
            <w:pPr>
              <w:spacing w:line="240" w:lineRule="auto"/>
              <w:jc w:val="right"/>
              <w:rPr>
                <w:rFonts w:ascii="Arial Narrow" w:hAnsi="Arial Narrow" w:cs="Arial"/>
                <w:bCs/>
                <w:sz w:val="18"/>
                <w:szCs w:val="18"/>
              </w:rPr>
            </w:pPr>
            <w:r>
              <w:rPr>
                <w:rFonts w:ascii="Arial Narrow" w:hAnsi="Arial Narrow" w:cs="Arial"/>
                <w:bCs/>
                <w:sz w:val="18"/>
                <w:szCs w:val="18"/>
              </w:rPr>
              <w:t>112 555</w:t>
            </w:r>
          </w:p>
        </w:tc>
        <w:tc>
          <w:tcPr>
            <w:tcW w:w="960" w:type="dxa"/>
            <w:tcBorders>
              <w:top w:val="single" w:sz="12" w:space="0" w:color="auto"/>
              <w:left w:val="nil"/>
              <w:bottom w:val="single" w:sz="12" w:space="0" w:color="auto"/>
              <w:right w:val="single" w:sz="8" w:space="0" w:color="auto"/>
              <w:tl2br w:val="nil"/>
              <w:tr2bl w:val="nil"/>
            </w:tcBorders>
            <w:textDirection w:val="lrTb"/>
            <w:vAlign w:val="center"/>
          </w:tcPr>
          <w:p w:rsidR="0011736A" w:rsidRPr="00FA1174" w:rsidP="0011736A">
            <w:pPr>
              <w:spacing w:line="240" w:lineRule="auto"/>
              <w:jc w:val="right"/>
              <w:rPr>
                <w:rFonts w:ascii="Arial Narrow" w:hAnsi="Arial Narrow" w:cs="Arial"/>
                <w:bCs/>
                <w:sz w:val="18"/>
                <w:szCs w:val="18"/>
              </w:rPr>
            </w:pPr>
            <w:r>
              <w:rPr>
                <w:rFonts w:ascii="Arial Narrow" w:hAnsi="Arial Narrow" w:cs="Arial"/>
                <w:bCs/>
                <w:sz w:val="18"/>
                <w:szCs w:val="18"/>
              </w:rPr>
              <w:t>0</w:t>
            </w:r>
          </w:p>
        </w:tc>
        <w:tc>
          <w:tcPr>
            <w:tcW w:w="840" w:type="dxa"/>
            <w:tcBorders>
              <w:top w:val="single" w:sz="12" w:space="0" w:color="auto"/>
              <w:left w:val="nil"/>
              <w:bottom w:val="single" w:sz="12" w:space="0" w:color="auto"/>
              <w:right w:val="single" w:sz="12" w:space="0" w:color="auto"/>
              <w:tl2br w:val="nil"/>
              <w:tr2bl w:val="nil"/>
            </w:tcBorders>
            <w:textDirection w:val="lrTb"/>
            <w:vAlign w:val="center"/>
          </w:tcPr>
          <w:p w:rsidR="0011736A" w:rsidRPr="00FA1174" w:rsidP="0011736A">
            <w:pPr>
              <w:spacing w:line="240" w:lineRule="auto"/>
              <w:jc w:val="right"/>
              <w:rPr>
                <w:rFonts w:ascii="Arial Narrow" w:hAnsi="Arial Narrow" w:cs="Arial"/>
                <w:bCs/>
                <w:sz w:val="18"/>
                <w:szCs w:val="18"/>
              </w:rPr>
            </w:pPr>
            <w:r w:rsidRPr="00FA1174">
              <w:rPr>
                <w:rFonts w:ascii="Arial Narrow" w:hAnsi="Arial Narrow" w:cs="Arial"/>
                <w:bCs/>
                <w:sz w:val="18"/>
                <w:szCs w:val="18"/>
              </w:rPr>
              <w:t>0</w:t>
            </w:r>
          </w:p>
        </w:tc>
      </w:tr>
    </w:tbl>
    <w:p w:rsidR="0011736A" w:rsidP="0011736A">
      <w:pPr>
        <w:spacing w:line="240" w:lineRule="auto"/>
        <w:rPr>
          <w:rFonts w:ascii="Arial Narrow" w:hAnsi="Arial Narrow" w:cs="Times New Roman"/>
          <w:sz w:val="18"/>
          <w:szCs w:val="18"/>
        </w:rPr>
      </w:pPr>
    </w:p>
    <w:p w:rsidR="00E468B1" w:rsidP="0011736A">
      <w:pPr>
        <w:spacing w:line="240" w:lineRule="auto"/>
        <w:rPr>
          <w:rFonts w:ascii="Arial Narrow" w:hAnsi="Arial Narrow" w:cs="Times New Roman"/>
          <w:sz w:val="18"/>
          <w:szCs w:val="18"/>
        </w:rPr>
      </w:pPr>
    </w:p>
    <w:tbl>
      <w:tblPr>
        <w:tblW w:w="9295" w:type="dxa"/>
        <w:tblInd w:w="55" w:type="dxa"/>
        <w:tblCellMar>
          <w:left w:w="70" w:type="dxa"/>
          <w:right w:w="70" w:type="dxa"/>
        </w:tblCellMar>
      </w:tblPr>
      <w:tblGrid>
        <w:gridCol w:w="5595"/>
        <w:gridCol w:w="940"/>
        <w:gridCol w:w="960"/>
        <w:gridCol w:w="960"/>
        <w:gridCol w:w="840"/>
      </w:tblGrid>
      <w:tr>
        <w:tblPrEx>
          <w:tblW w:w="9295" w:type="dxa"/>
          <w:tblInd w:w="55" w:type="dxa"/>
          <w:tblCellMar>
            <w:left w:w="70" w:type="dxa"/>
            <w:right w:w="70" w:type="dxa"/>
          </w:tblCellMar>
        </w:tblPrEx>
        <w:trPr>
          <w:trHeight w:val="227"/>
        </w:trPr>
        <w:tc>
          <w:tcPr>
            <w:tcW w:w="5595" w:type="dxa"/>
            <w:tcBorders>
              <w:top w:val="single" w:sz="12" w:space="0" w:color="auto"/>
              <w:left w:val="single" w:sz="12" w:space="0" w:color="auto"/>
              <w:bottom w:val="single" w:sz="12" w:space="0" w:color="auto"/>
              <w:right w:val="single" w:sz="8" w:space="0" w:color="000000"/>
              <w:tl2br w:val="nil"/>
              <w:tr2bl w:val="nil"/>
            </w:tcBorders>
            <w:shd w:val="clear" w:color="auto" w:fill="33CCCC"/>
            <w:textDirection w:val="lrTb"/>
            <w:vAlign w:val="center"/>
          </w:tcPr>
          <w:p w:rsidR="0011736A" w:rsidRPr="0086352B" w:rsidP="0011736A">
            <w:pPr>
              <w:spacing w:line="240" w:lineRule="auto"/>
              <w:jc w:val="center"/>
              <w:rPr>
                <w:rFonts w:ascii="Arial Narrow" w:hAnsi="Arial Narrow" w:cs="Arial"/>
                <w:b/>
                <w:bCs/>
                <w:sz w:val="18"/>
                <w:szCs w:val="18"/>
                <w:lang w:val="cs-CZ"/>
              </w:rPr>
            </w:pPr>
            <w:r>
              <w:rPr>
                <w:rFonts w:ascii="Arial Narrow" w:hAnsi="Arial Narrow" w:cs="Arial"/>
                <w:b/>
                <w:bCs/>
                <w:sz w:val="18"/>
                <w:szCs w:val="18"/>
              </w:rPr>
              <w:t>Výdavky a</w:t>
            </w:r>
            <w:r w:rsidRPr="0086352B">
              <w:rPr>
                <w:rFonts w:ascii="Arial Narrow" w:hAnsi="Arial Narrow" w:cs="Arial"/>
                <w:b/>
                <w:bCs/>
                <w:sz w:val="18"/>
                <w:szCs w:val="18"/>
              </w:rPr>
              <w:t xml:space="preserve">lokované </w:t>
            </w:r>
            <w:r>
              <w:rPr>
                <w:rFonts w:ascii="Arial Narrow" w:hAnsi="Arial Narrow" w:cs="Arial"/>
                <w:b/>
                <w:bCs/>
                <w:sz w:val="18"/>
                <w:szCs w:val="18"/>
              </w:rPr>
              <w:t>pre</w:t>
            </w:r>
            <w:r w:rsidRPr="0086352B">
              <w:rPr>
                <w:rFonts w:ascii="Arial Narrow" w:hAnsi="Arial Narrow" w:cs="Arial"/>
                <w:b/>
                <w:bCs/>
                <w:sz w:val="18"/>
                <w:szCs w:val="18"/>
              </w:rPr>
              <w:t xml:space="preserve"> kapitolu </w:t>
            </w:r>
            <w:r>
              <w:rPr>
                <w:rFonts w:ascii="Arial Narrow" w:hAnsi="Arial Narrow" w:cs="Arial"/>
                <w:b/>
                <w:bCs/>
                <w:sz w:val="18"/>
                <w:szCs w:val="18"/>
              </w:rPr>
              <w:t>- spolu</w:t>
            </w:r>
          </w:p>
        </w:tc>
        <w:tc>
          <w:tcPr>
            <w:tcW w:w="940" w:type="dxa"/>
            <w:tcBorders>
              <w:top w:val="single" w:sz="12" w:space="0" w:color="auto"/>
              <w:left w:val="nil"/>
              <w:bottom w:val="single" w:sz="12" w:space="0" w:color="auto"/>
              <w:right w:val="single" w:sz="8" w:space="0" w:color="auto"/>
              <w:tl2br w:val="nil"/>
              <w:tr2bl w:val="nil"/>
            </w:tcBorders>
            <w:shd w:val="clear" w:color="auto" w:fill="33CCCC"/>
            <w:textDirection w:val="lrTb"/>
            <w:vAlign w:val="center"/>
          </w:tcPr>
          <w:p w:rsidR="0011736A" w:rsidRPr="0086352B" w:rsidP="0011736A">
            <w:pPr>
              <w:spacing w:line="240" w:lineRule="auto"/>
              <w:jc w:val="right"/>
              <w:rPr>
                <w:rFonts w:ascii="Arial Narrow" w:hAnsi="Arial Narrow" w:cs="Arial"/>
                <w:b/>
                <w:bCs/>
                <w:sz w:val="18"/>
                <w:szCs w:val="18"/>
                <w:lang w:val="cs-CZ"/>
              </w:rPr>
            </w:pPr>
            <w:r>
              <w:rPr>
                <w:rFonts w:ascii="Arial Narrow" w:hAnsi="Arial Narrow" w:cs="Arial"/>
                <w:b/>
                <w:bCs/>
                <w:sz w:val="18"/>
                <w:szCs w:val="18"/>
              </w:rPr>
              <w:t>27 736 922</w:t>
            </w:r>
          </w:p>
        </w:tc>
        <w:tc>
          <w:tcPr>
            <w:tcW w:w="960" w:type="dxa"/>
            <w:tcBorders>
              <w:top w:val="single" w:sz="12" w:space="0" w:color="auto"/>
              <w:left w:val="nil"/>
              <w:bottom w:val="single" w:sz="12" w:space="0" w:color="auto"/>
              <w:right w:val="single" w:sz="8" w:space="0" w:color="auto"/>
              <w:tl2br w:val="nil"/>
              <w:tr2bl w:val="nil"/>
            </w:tcBorders>
            <w:shd w:val="clear" w:color="auto" w:fill="33CCCC"/>
            <w:textDirection w:val="lrTb"/>
            <w:vAlign w:val="center"/>
          </w:tcPr>
          <w:p w:rsidR="0011736A" w:rsidRPr="0086352B" w:rsidP="0011736A">
            <w:pPr>
              <w:spacing w:line="240" w:lineRule="auto"/>
              <w:jc w:val="right"/>
              <w:rPr>
                <w:rFonts w:ascii="Arial Narrow" w:hAnsi="Arial Narrow" w:cs="Arial"/>
                <w:b/>
                <w:bCs/>
                <w:sz w:val="18"/>
                <w:szCs w:val="18"/>
                <w:lang w:val="cs-CZ"/>
              </w:rPr>
            </w:pPr>
            <w:r>
              <w:rPr>
                <w:rFonts w:ascii="Arial Narrow" w:hAnsi="Arial Narrow" w:cs="Arial"/>
                <w:b/>
                <w:bCs/>
                <w:sz w:val="18"/>
                <w:szCs w:val="18"/>
                <w:lang w:val="cs-CZ"/>
              </w:rPr>
              <w:t>31 988 641</w:t>
            </w:r>
          </w:p>
        </w:tc>
        <w:tc>
          <w:tcPr>
            <w:tcW w:w="960" w:type="dxa"/>
            <w:tcBorders>
              <w:top w:val="single" w:sz="12" w:space="0" w:color="auto"/>
              <w:left w:val="nil"/>
              <w:bottom w:val="single" w:sz="12" w:space="0" w:color="auto"/>
              <w:right w:val="single" w:sz="8" w:space="0" w:color="auto"/>
              <w:tl2br w:val="nil"/>
              <w:tr2bl w:val="nil"/>
            </w:tcBorders>
            <w:shd w:val="clear" w:color="auto" w:fill="33CCCC"/>
            <w:textDirection w:val="lrTb"/>
            <w:vAlign w:val="center"/>
          </w:tcPr>
          <w:p w:rsidR="0011736A" w:rsidRPr="0086352B" w:rsidP="0011736A">
            <w:pPr>
              <w:spacing w:line="240" w:lineRule="auto"/>
              <w:jc w:val="right"/>
              <w:rPr>
                <w:rFonts w:ascii="Arial Narrow" w:hAnsi="Arial Narrow" w:cs="Arial"/>
                <w:b/>
                <w:bCs/>
                <w:sz w:val="18"/>
                <w:szCs w:val="18"/>
                <w:lang w:val="cs-CZ"/>
              </w:rPr>
            </w:pPr>
            <w:r>
              <w:rPr>
                <w:rFonts w:ascii="Arial Narrow" w:hAnsi="Arial Narrow" w:cs="Arial"/>
                <w:b/>
                <w:bCs/>
                <w:sz w:val="18"/>
                <w:szCs w:val="18"/>
                <w:lang w:val="cs-CZ"/>
              </w:rPr>
              <w:t>31 884 750</w:t>
            </w:r>
          </w:p>
        </w:tc>
        <w:tc>
          <w:tcPr>
            <w:tcW w:w="840" w:type="dxa"/>
            <w:tcBorders>
              <w:top w:val="single" w:sz="12" w:space="0" w:color="auto"/>
              <w:left w:val="nil"/>
              <w:bottom w:val="single" w:sz="12" w:space="0" w:color="auto"/>
              <w:right w:val="single" w:sz="12" w:space="0" w:color="auto"/>
              <w:tl2br w:val="nil"/>
              <w:tr2bl w:val="nil"/>
            </w:tcBorders>
            <w:shd w:val="clear" w:color="auto" w:fill="33CCCC"/>
            <w:textDirection w:val="lrTb"/>
            <w:vAlign w:val="center"/>
          </w:tcPr>
          <w:p w:rsidR="0011736A" w:rsidRPr="0086352B" w:rsidP="0011736A">
            <w:pPr>
              <w:spacing w:line="240" w:lineRule="auto"/>
              <w:jc w:val="right"/>
              <w:rPr>
                <w:rFonts w:ascii="Arial Narrow" w:hAnsi="Arial Narrow" w:cs="Arial"/>
                <w:b/>
                <w:bCs/>
                <w:sz w:val="18"/>
                <w:szCs w:val="18"/>
                <w:lang w:val="cs-CZ"/>
              </w:rPr>
            </w:pPr>
            <w:r>
              <w:rPr>
                <w:rFonts w:ascii="Arial Narrow" w:hAnsi="Arial Narrow" w:cs="Arial"/>
                <w:b/>
                <w:bCs/>
                <w:sz w:val="18"/>
                <w:szCs w:val="18"/>
                <w:lang w:val="cs-CZ"/>
              </w:rPr>
              <w:t>6 771 95</w:t>
            </w:r>
            <w:r w:rsidR="004D0464">
              <w:rPr>
                <w:rFonts w:ascii="Arial Narrow" w:hAnsi="Arial Narrow" w:cs="Arial"/>
                <w:b/>
                <w:bCs/>
                <w:sz w:val="18"/>
                <w:szCs w:val="18"/>
                <w:lang w:val="cs-CZ"/>
              </w:rPr>
              <w:t>5</w:t>
            </w:r>
          </w:p>
        </w:tc>
      </w:tr>
    </w:tbl>
    <w:p w:rsidR="00E468B1" w:rsidP="00C362EA">
      <w:pPr>
        <w:spacing w:line="240" w:lineRule="auto"/>
        <w:rPr>
          <w:rFonts w:ascii="Arial Narrow" w:hAnsi="Arial Narrow" w:cs="Times New Roman"/>
          <w:sz w:val="18"/>
          <w:szCs w:val="18"/>
        </w:rPr>
      </w:pPr>
    </w:p>
    <w:p w:rsidR="001221BA" w:rsidRPr="0086352B" w:rsidP="00C362EA">
      <w:pPr>
        <w:spacing w:line="240" w:lineRule="auto"/>
        <w:rPr>
          <w:rFonts w:ascii="Arial Narrow" w:hAnsi="Arial Narrow" w:cs="Times New Roman"/>
          <w:sz w:val="18"/>
          <w:szCs w:val="18"/>
        </w:rPr>
      </w:pPr>
    </w:p>
    <w:p w:rsidR="00E41D2F" w:rsidP="00E41D2F">
      <w:pPr>
        <w:pStyle w:val="BodyTextIndent3"/>
        <w:spacing w:line="240" w:lineRule="auto"/>
        <w:ind w:firstLine="709"/>
        <w:rPr>
          <w:rFonts w:ascii="Times New Roman" w:hAnsi="Times New Roman" w:cs="Times New Roman"/>
          <w:sz w:val="24"/>
          <w:szCs w:val="24"/>
        </w:rPr>
      </w:pPr>
      <w:r w:rsidRPr="00523721">
        <w:rPr>
          <w:rFonts w:ascii="Times New Roman" w:hAnsi="Times New Roman" w:cs="Times New Roman"/>
          <w:sz w:val="24"/>
          <w:szCs w:val="24"/>
        </w:rPr>
        <w:t>Vecné plnenie cieľov a ukazovateľov programov, podprogramov, prvkov programovej štrukt</w:t>
      </w:r>
      <w:r w:rsidR="00F17973">
        <w:rPr>
          <w:rFonts w:ascii="Times New Roman" w:hAnsi="Times New Roman" w:cs="Times New Roman"/>
          <w:sz w:val="24"/>
          <w:szCs w:val="24"/>
        </w:rPr>
        <w:t>úry kapitoly MDPT SR za rok 2007</w:t>
      </w:r>
      <w:r w:rsidRPr="00523721">
        <w:rPr>
          <w:rFonts w:ascii="Times New Roman" w:hAnsi="Times New Roman" w:cs="Times New Roman"/>
          <w:sz w:val="24"/>
          <w:szCs w:val="24"/>
        </w:rPr>
        <w:t xml:space="preserve"> je uvedené v jej vyhodnotení v prílohe </w:t>
      </w:r>
      <w:r w:rsidR="00F17973">
        <w:rPr>
          <w:rFonts w:ascii="Times New Roman" w:hAnsi="Times New Roman" w:cs="Times New Roman"/>
          <w:sz w:val="24"/>
          <w:szCs w:val="24"/>
        </w:rPr>
        <w:t>č. 8</w:t>
      </w:r>
      <w:r w:rsidRPr="00523721">
        <w:rPr>
          <w:rFonts w:ascii="Times New Roman" w:hAnsi="Times New Roman" w:cs="Times New Roman"/>
          <w:sz w:val="24"/>
          <w:szCs w:val="24"/>
        </w:rPr>
        <w:t xml:space="preserve">. </w:t>
      </w:r>
    </w:p>
    <w:p w:rsidR="00F17973" w:rsidP="00F17973">
      <w:pPr>
        <w:pStyle w:val="BodyTextIndent3"/>
        <w:spacing w:line="240" w:lineRule="auto"/>
        <w:ind w:firstLine="0"/>
        <w:rPr>
          <w:rFonts w:ascii="Times New Roman" w:hAnsi="Times New Roman" w:cs="Times New Roman"/>
          <w:sz w:val="24"/>
          <w:szCs w:val="24"/>
        </w:rPr>
      </w:pPr>
    </w:p>
    <w:p w:rsidR="001221BA" w:rsidP="00F17973">
      <w:pPr>
        <w:pStyle w:val="BodyTextIndent3"/>
        <w:spacing w:line="240" w:lineRule="auto"/>
        <w:ind w:firstLine="0"/>
        <w:rPr>
          <w:rFonts w:ascii="Times New Roman" w:hAnsi="Times New Roman" w:cs="Times New Roman"/>
          <w:sz w:val="24"/>
          <w:szCs w:val="24"/>
        </w:rPr>
      </w:pPr>
    </w:p>
    <w:p w:rsidR="001221BA" w:rsidP="00F17973">
      <w:pPr>
        <w:pStyle w:val="BodyTextIndent3"/>
        <w:spacing w:line="240" w:lineRule="auto"/>
        <w:ind w:firstLine="0"/>
        <w:rPr>
          <w:rFonts w:ascii="Times New Roman" w:hAnsi="Times New Roman" w:cs="Times New Roman"/>
          <w:sz w:val="24"/>
          <w:szCs w:val="24"/>
        </w:rPr>
      </w:pPr>
    </w:p>
    <w:p w:rsidR="00561EAE" w:rsidRPr="00D23807" w:rsidP="00561EAE">
      <w:pPr>
        <w:pStyle w:val="Heading7"/>
        <w:pBdr>
          <w:top w:val="thinThickLargeGap" w:sz="24" w:space="0" w:color="auto" w:shadow="1"/>
          <w:left w:val="thinThickLargeGap" w:sz="24" w:space="1" w:color="auto" w:shadow="1"/>
          <w:bottom w:val="thinThickLargeGap" w:sz="24" w:space="1" w:color="auto" w:shadow="1"/>
          <w:right w:val="thinThickLargeGap" w:sz="24" w:space="1" w:color="auto" w:shadow="1"/>
        </w:pBdr>
        <w:shd w:val="pct15" w:color="000000" w:fill="FFFFFF"/>
        <w:spacing w:line="240" w:lineRule="auto"/>
        <w:rPr>
          <w:rFonts w:ascii="Times New Roman" w:hAnsi="Times New Roman" w:cs="Times New Roman"/>
          <w:i w:val="0"/>
        </w:rPr>
      </w:pPr>
      <w:r w:rsidR="00EE040F">
        <w:rPr>
          <w:rFonts w:ascii="Times New Roman" w:hAnsi="Times New Roman" w:cs="Times New Roman"/>
          <w:i w:val="0"/>
        </w:rPr>
        <w:t xml:space="preserve">1.3.4.Výdavky kapitoly, kryté prostriedkami z rozpočtu EÚ </w:t>
      </w:r>
    </w:p>
    <w:p w:rsidR="00A37663" w:rsidP="00561EAE">
      <w:pPr>
        <w:spacing w:line="240" w:lineRule="auto"/>
        <w:rPr>
          <w:rFonts w:ascii="Times New Roman" w:hAnsi="Times New Roman" w:cs="Times New Roman"/>
          <w:b/>
          <w:sz w:val="28"/>
        </w:rPr>
      </w:pPr>
    </w:p>
    <w:p w:rsidR="001221BA" w:rsidP="00561EAE">
      <w:pPr>
        <w:spacing w:line="240" w:lineRule="auto"/>
        <w:rPr>
          <w:rFonts w:ascii="Times New Roman" w:hAnsi="Times New Roman" w:cs="Times New Roman"/>
          <w:b/>
          <w:sz w:val="28"/>
        </w:rPr>
      </w:pPr>
    </w:p>
    <w:p w:rsidR="00E41D2F" w:rsidP="00E41D2F">
      <w:pPr>
        <w:spacing w:line="240" w:lineRule="auto"/>
        <w:rPr>
          <w:rFonts w:ascii="Times New Roman" w:hAnsi="Times New Roman" w:cs="Times New Roman"/>
          <w:sz w:val="24"/>
          <w:szCs w:val="24"/>
        </w:rPr>
      </w:pPr>
      <w:r w:rsidR="00EE040F">
        <w:rPr>
          <w:rFonts w:ascii="Times New Roman" w:hAnsi="Times New Roman" w:cs="Times New Roman"/>
          <w:b/>
          <w:sz w:val="28"/>
        </w:rPr>
        <w:tab/>
      </w:r>
      <w:r w:rsidRPr="00EE040F" w:rsidR="00EE040F">
        <w:rPr>
          <w:rFonts w:ascii="Times New Roman" w:hAnsi="Times New Roman" w:cs="Times New Roman"/>
          <w:sz w:val="24"/>
          <w:szCs w:val="24"/>
        </w:rPr>
        <w:t>Výdavky kapitoly kryté prostriedkami z rozpočtu EÚ sú zhodnotené v </w:t>
      </w:r>
      <w:r w:rsidR="00EE040F">
        <w:rPr>
          <w:rFonts w:ascii="Times New Roman" w:hAnsi="Times New Roman" w:cs="Times New Roman"/>
          <w:sz w:val="24"/>
          <w:szCs w:val="24"/>
        </w:rPr>
        <w:t xml:space="preserve"> </w:t>
      </w:r>
      <w:r w:rsidRPr="00EE040F" w:rsidR="00EE040F">
        <w:rPr>
          <w:rFonts w:ascii="Times New Roman" w:hAnsi="Times New Roman" w:cs="Times New Roman"/>
          <w:sz w:val="24"/>
          <w:szCs w:val="24"/>
        </w:rPr>
        <w:t xml:space="preserve">predchádzajúcich častiach materiálu pri hodnotení hospodárenia jednotlivých organizácií patriacich do pôsobnosti MDPT SR. </w:t>
      </w:r>
    </w:p>
    <w:p w:rsidR="00B372D5" w:rsidP="00E41D2F">
      <w:pPr>
        <w:spacing w:line="240" w:lineRule="auto"/>
        <w:rPr>
          <w:rFonts w:ascii="Times New Roman" w:hAnsi="Times New Roman" w:cs="Times New Roman"/>
          <w:sz w:val="24"/>
          <w:szCs w:val="24"/>
        </w:rPr>
      </w:pPr>
    </w:p>
    <w:p w:rsidR="001221BA" w:rsidP="00E41D2F">
      <w:pPr>
        <w:spacing w:line="240" w:lineRule="auto"/>
        <w:rPr>
          <w:rFonts w:ascii="Times New Roman" w:hAnsi="Times New Roman" w:cs="Times New Roman"/>
          <w:sz w:val="24"/>
          <w:szCs w:val="24"/>
        </w:rPr>
      </w:pPr>
    </w:p>
    <w:p w:rsidR="001221BA" w:rsidP="00E41D2F">
      <w:pPr>
        <w:spacing w:line="240" w:lineRule="auto"/>
        <w:rPr>
          <w:rFonts w:ascii="Times New Roman" w:hAnsi="Times New Roman" w:cs="Times New Roman"/>
          <w:sz w:val="24"/>
          <w:szCs w:val="24"/>
        </w:rPr>
      </w:pPr>
    </w:p>
    <w:p w:rsidR="001221BA" w:rsidRPr="00E468B1" w:rsidP="00E41D2F">
      <w:pPr>
        <w:spacing w:line="240" w:lineRule="auto"/>
        <w:rPr>
          <w:rFonts w:ascii="Times New Roman" w:hAnsi="Times New Roman" w:cs="Times New Roman"/>
          <w:sz w:val="24"/>
          <w:szCs w:val="24"/>
        </w:rPr>
      </w:pPr>
    </w:p>
    <w:p w:rsidR="00E41D2F" w:rsidRPr="002E4468" w:rsidP="00E41D2F">
      <w:pPr>
        <w:pStyle w:val="BodyTextIndent"/>
        <w:pBdr>
          <w:top w:val="threeDEmboss" w:sz="24" w:space="1" w:color="auto"/>
          <w:left w:val="threeDEmboss" w:sz="24" w:space="4" w:color="auto"/>
          <w:bottom w:val="threeDEmboss" w:sz="24" w:space="1" w:color="auto"/>
          <w:right w:val="threeDEmboss" w:sz="24" w:space="4" w:color="auto"/>
        </w:pBdr>
        <w:shd w:val="pct15" w:color="000000" w:fill="FFFFFF"/>
        <w:spacing w:line="240" w:lineRule="auto"/>
        <w:ind w:left="180" w:firstLine="0"/>
        <w:jc w:val="center"/>
        <w:rPr>
          <w:rFonts w:ascii="Times New Roman" w:hAnsi="Times New Roman" w:cs="Times New Roman"/>
          <w:b/>
          <w:sz w:val="32"/>
          <w:szCs w:val="32"/>
        </w:rPr>
      </w:pPr>
      <w:r>
        <w:rPr>
          <w:rFonts w:ascii="Times New Roman" w:hAnsi="Times New Roman" w:cs="Times New Roman"/>
          <w:b/>
          <w:sz w:val="32"/>
          <w:szCs w:val="32"/>
        </w:rPr>
        <w:t>1.4. Výsledok rozpočtového hospodárenia kapitoly</w:t>
      </w:r>
    </w:p>
    <w:p w:rsidR="009C2EF8" w:rsidP="00961776">
      <w:pPr>
        <w:spacing w:line="240" w:lineRule="auto"/>
        <w:rPr>
          <w:rFonts w:ascii="Arial Narrow" w:hAnsi="Arial Narrow" w:cs="Times New Roman"/>
        </w:rPr>
      </w:pPr>
      <w:r w:rsidR="00961776">
        <w:rPr>
          <w:rFonts w:ascii="Arial Narrow" w:hAnsi="Arial Narrow" w:cs="Times New Roman"/>
        </w:rPr>
        <w:t xml:space="preserve">      </w:t>
      </w:r>
    </w:p>
    <w:p w:rsidR="00961776" w:rsidRPr="00E41D2F" w:rsidP="00961776">
      <w:pPr>
        <w:spacing w:line="240" w:lineRule="auto"/>
        <w:rPr>
          <w:rFonts w:ascii="Arial Narrow" w:hAnsi="Arial Narrow" w:cs="Times New Roman"/>
        </w:rPr>
      </w:pPr>
      <w:r>
        <w:rPr>
          <w:rFonts w:ascii="Arial Narrow" w:hAnsi="Arial Narrow" w:cs="Times New Roman"/>
        </w:rPr>
        <w:t xml:space="preserve">                                                                                                                                                                                      </w:t>
      </w:r>
      <w:r w:rsidRPr="00E41D2F">
        <w:rPr>
          <w:rFonts w:ascii="Arial Narrow" w:hAnsi="Arial Narrow" w:cs="Times New Roman"/>
        </w:rPr>
        <w:t>(v Sk)</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Grid>
        <w:gridCol w:w="2880"/>
        <w:gridCol w:w="2160"/>
        <w:gridCol w:w="1980"/>
        <w:gridCol w:w="2340"/>
      </w:tblGrid>
      <w:tr>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auto" w:val="0"/>
        </w:trPr>
        <w:tc>
          <w:tcPr>
            <w:tcW w:w="2880" w:type="dxa"/>
            <w:tcBorders>
              <w:top w:val="single" w:sz="4" w:space="0" w:color="auto"/>
              <w:left w:val="single" w:sz="4" w:space="0" w:color="auto"/>
              <w:bottom w:val="single" w:sz="4" w:space="0" w:color="auto"/>
              <w:right w:val="single" w:sz="4" w:space="0" w:color="auto"/>
              <w:tl2br w:val="nil"/>
              <w:tr2bl w:val="nil"/>
            </w:tcBorders>
            <w:shd w:val="clear" w:color="auto" w:fill="C0C0C0"/>
            <w:textDirection w:val="lrTb"/>
            <w:vAlign w:val="top"/>
          </w:tcPr>
          <w:p w:rsidR="00961776" w:rsidRPr="00E41D2F" w:rsidP="000F1530">
            <w:pPr>
              <w:spacing w:line="240" w:lineRule="auto"/>
              <w:jc w:val="center"/>
              <w:rPr>
                <w:rFonts w:ascii="Arial Narrow" w:hAnsi="Arial Narrow" w:cs="Times New Roman"/>
              </w:rPr>
            </w:pPr>
            <w:r w:rsidRPr="00E41D2F">
              <w:rPr>
                <w:rFonts w:ascii="Arial Narrow" w:hAnsi="Arial Narrow" w:cs="Times New Roman"/>
              </w:rPr>
              <w:t>Text</w:t>
            </w:r>
          </w:p>
        </w:tc>
        <w:tc>
          <w:tcPr>
            <w:tcW w:w="2160" w:type="dxa"/>
            <w:tcBorders>
              <w:top w:val="single" w:sz="4" w:space="0" w:color="auto"/>
              <w:left w:val="single" w:sz="4" w:space="0" w:color="auto"/>
              <w:bottom w:val="single" w:sz="4" w:space="0" w:color="auto"/>
              <w:right w:val="single" w:sz="4" w:space="0" w:color="auto"/>
              <w:tl2br w:val="nil"/>
              <w:tr2bl w:val="nil"/>
            </w:tcBorders>
            <w:shd w:val="clear" w:color="auto" w:fill="C0C0C0"/>
            <w:textDirection w:val="lrTb"/>
            <w:vAlign w:val="top"/>
          </w:tcPr>
          <w:p w:rsidR="00961776" w:rsidRPr="00E41D2F" w:rsidP="000F1530">
            <w:pPr>
              <w:spacing w:line="240" w:lineRule="auto"/>
              <w:jc w:val="center"/>
              <w:rPr>
                <w:rFonts w:ascii="Arial Narrow" w:hAnsi="Arial Narrow" w:cs="Times New Roman"/>
              </w:rPr>
            </w:pPr>
            <w:r w:rsidRPr="00E41D2F">
              <w:rPr>
                <w:rFonts w:ascii="Arial Narrow" w:hAnsi="Arial Narrow" w:cs="Times New Roman"/>
              </w:rPr>
              <w:t>Schválený rozpočet</w:t>
            </w:r>
          </w:p>
        </w:tc>
        <w:tc>
          <w:tcPr>
            <w:tcW w:w="1980" w:type="dxa"/>
            <w:tcBorders>
              <w:top w:val="single" w:sz="4" w:space="0" w:color="auto"/>
              <w:left w:val="single" w:sz="4" w:space="0" w:color="auto"/>
              <w:bottom w:val="single" w:sz="4" w:space="0" w:color="auto"/>
              <w:right w:val="single" w:sz="4" w:space="0" w:color="auto"/>
              <w:tl2br w:val="nil"/>
              <w:tr2bl w:val="nil"/>
            </w:tcBorders>
            <w:shd w:val="clear" w:color="auto" w:fill="C0C0C0"/>
            <w:textDirection w:val="lrTb"/>
            <w:vAlign w:val="top"/>
          </w:tcPr>
          <w:p w:rsidR="00961776" w:rsidRPr="00E41D2F" w:rsidP="000F1530">
            <w:pPr>
              <w:spacing w:line="240" w:lineRule="auto"/>
              <w:jc w:val="center"/>
              <w:rPr>
                <w:rFonts w:ascii="Arial Narrow" w:hAnsi="Arial Narrow" w:cs="Times New Roman"/>
              </w:rPr>
            </w:pPr>
            <w:r w:rsidRPr="00E41D2F">
              <w:rPr>
                <w:rFonts w:ascii="Arial Narrow" w:hAnsi="Arial Narrow" w:cs="Times New Roman"/>
              </w:rPr>
              <w:t>Upravený rozpočet</w:t>
            </w:r>
          </w:p>
        </w:tc>
        <w:tc>
          <w:tcPr>
            <w:tcW w:w="2340" w:type="dxa"/>
            <w:tcBorders>
              <w:top w:val="single" w:sz="4" w:space="0" w:color="auto"/>
              <w:left w:val="single" w:sz="4" w:space="0" w:color="auto"/>
              <w:bottom w:val="single" w:sz="4" w:space="0" w:color="auto"/>
              <w:right w:val="single" w:sz="4" w:space="0" w:color="auto"/>
              <w:tl2br w:val="nil"/>
              <w:tr2bl w:val="nil"/>
            </w:tcBorders>
            <w:shd w:val="clear" w:color="auto" w:fill="C0C0C0"/>
            <w:textDirection w:val="lrTb"/>
            <w:vAlign w:val="top"/>
          </w:tcPr>
          <w:p w:rsidR="00961776" w:rsidRPr="00E41D2F" w:rsidP="000F1530">
            <w:pPr>
              <w:spacing w:line="240" w:lineRule="auto"/>
              <w:jc w:val="center"/>
              <w:rPr>
                <w:rFonts w:ascii="Arial Narrow" w:hAnsi="Arial Narrow" w:cs="Times New Roman"/>
              </w:rPr>
            </w:pPr>
            <w:r w:rsidRPr="00E41D2F">
              <w:rPr>
                <w:rFonts w:ascii="Arial Narrow" w:hAnsi="Arial Narrow" w:cs="Times New Roman"/>
              </w:rPr>
              <w:t>Skutočnosť</w:t>
            </w:r>
          </w:p>
        </w:tc>
      </w:tr>
      <w:tr>
        <w:tblPrEx>
          <w:tblW w:w="9360" w:type="dxa"/>
          <w:tblInd w:w="108" w:type="dxa"/>
        </w:tblPrEx>
        <w:trPr>
          <w:trHeight w:hRule="auto" w:val="0"/>
        </w:trPr>
        <w:tc>
          <w:tcPr>
            <w:tcW w:w="28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961776" w:rsidRPr="00E41D2F" w:rsidP="000F1530">
            <w:pPr>
              <w:spacing w:line="240" w:lineRule="auto"/>
              <w:jc w:val="center"/>
              <w:rPr>
                <w:rFonts w:ascii="Arial Narrow" w:hAnsi="Arial Narrow" w:cs="Times New Roman"/>
              </w:rPr>
            </w:pPr>
            <w:r>
              <w:rPr>
                <w:rFonts w:ascii="Arial Narrow" w:hAnsi="Arial Narrow" w:cs="Times New Roman"/>
              </w:rPr>
              <w:t>1</w:t>
            </w:r>
          </w:p>
        </w:tc>
        <w:tc>
          <w:tcPr>
            <w:tcW w:w="21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961776" w:rsidRPr="00E41D2F" w:rsidP="000F1530">
            <w:pPr>
              <w:spacing w:line="240" w:lineRule="auto"/>
              <w:jc w:val="center"/>
              <w:rPr>
                <w:rFonts w:ascii="Arial Narrow" w:hAnsi="Arial Narrow" w:cs="Times New Roman"/>
              </w:rPr>
            </w:pPr>
            <w:r>
              <w:rPr>
                <w:rFonts w:ascii="Arial Narrow" w:hAnsi="Arial Narrow" w:cs="Times New Roman"/>
              </w:rPr>
              <w:t>2</w:t>
            </w:r>
          </w:p>
        </w:tc>
        <w:tc>
          <w:tcPr>
            <w:tcW w:w="19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961776" w:rsidRPr="00E41D2F" w:rsidP="000F1530">
            <w:pPr>
              <w:spacing w:line="240" w:lineRule="auto"/>
              <w:jc w:val="center"/>
              <w:rPr>
                <w:rFonts w:ascii="Arial Narrow" w:hAnsi="Arial Narrow" w:cs="Times New Roman"/>
              </w:rPr>
            </w:pPr>
            <w:r>
              <w:rPr>
                <w:rFonts w:ascii="Arial Narrow" w:hAnsi="Arial Narrow" w:cs="Times New Roman"/>
              </w:rPr>
              <w:t>3</w:t>
            </w:r>
          </w:p>
        </w:tc>
        <w:tc>
          <w:tcPr>
            <w:tcW w:w="234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961776" w:rsidRPr="00E41D2F" w:rsidP="000F1530">
            <w:pPr>
              <w:spacing w:line="240" w:lineRule="auto"/>
              <w:jc w:val="center"/>
              <w:rPr>
                <w:rFonts w:ascii="Arial Narrow" w:hAnsi="Arial Narrow" w:cs="Times New Roman"/>
              </w:rPr>
            </w:pPr>
            <w:r>
              <w:rPr>
                <w:rFonts w:ascii="Arial Narrow" w:hAnsi="Arial Narrow" w:cs="Times New Roman"/>
              </w:rPr>
              <w:t>4</w:t>
            </w:r>
          </w:p>
        </w:tc>
      </w:tr>
      <w:tr>
        <w:tblPrEx>
          <w:tblW w:w="9360" w:type="dxa"/>
          <w:tblInd w:w="108" w:type="dxa"/>
        </w:tblPrEx>
        <w:trPr>
          <w:trHeight w:hRule="auto" w:val="0"/>
        </w:trPr>
        <w:tc>
          <w:tcPr>
            <w:tcW w:w="28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961776" w:rsidRPr="00E41D2F" w:rsidP="000F1530">
            <w:pPr>
              <w:spacing w:line="240" w:lineRule="auto"/>
              <w:jc w:val="center"/>
              <w:rPr>
                <w:rFonts w:ascii="Arial Narrow" w:hAnsi="Arial Narrow" w:cs="Times New Roman"/>
              </w:rPr>
            </w:pPr>
            <w:r>
              <w:rPr>
                <w:rFonts w:ascii="Arial Narrow" w:hAnsi="Arial Narrow" w:cs="Times New Roman"/>
              </w:rPr>
              <w:t>Príjmy spolu</w:t>
            </w:r>
          </w:p>
        </w:tc>
        <w:tc>
          <w:tcPr>
            <w:tcW w:w="21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961776" w:rsidRPr="00E41D2F" w:rsidP="000F1530">
            <w:pPr>
              <w:spacing w:line="240" w:lineRule="auto"/>
              <w:jc w:val="right"/>
              <w:rPr>
                <w:rFonts w:ascii="Arial Narrow" w:hAnsi="Arial Narrow" w:cs="Times New Roman"/>
              </w:rPr>
            </w:pPr>
            <w:r w:rsidR="005F51B8">
              <w:rPr>
                <w:rFonts w:ascii="Arial Narrow" w:hAnsi="Arial Narrow" w:cs="Times New Roman"/>
              </w:rPr>
              <w:t xml:space="preserve">  7 424 931</w:t>
            </w:r>
            <w:r>
              <w:rPr>
                <w:rFonts w:ascii="Arial Narrow" w:hAnsi="Arial Narrow" w:cs="Times New Roman"/>
              </w:rPr>
              <w:t> 000,00</w:t>
            </w:r>
          </w:p>
        </w:tc>
        <w:tc>
          <w:tcPr>
            <w:tcW w:w="19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961776" w:rsidRPr="00E41D2F" w:rsidP="000F1530">
            <w:pPr>
              <w:spacing w:line="240" w:lineRule="auto"/>
              <w:jc w:val="right"/>
              <w:rPr>
                <w:rFonts w:ascii="Arial Narrow" w:hAnsi="Arial Narrow" w:cs="Times New Roman"/>
              </w:rPr>
            </w:pPr>
            <w:r>
              <w:rPr>
                <w:rFonts w:ascii="Arial Narrow" w:hAnsi="Arial Narrow" w:cs="Times New Roman"/>
              </w:rPr>
              <w:t xml:space="preserve">  </w:t>
            </w:r>
            <w:r w:rsidR="005F51B8">
              <w:rPr>
                <w:rFonts w:ascii="Arial Narrow" w:hAnsi="Arial Narrow" w:cs="Times New Roman"/>
              </w:rPr>
              <w:t>7 749 708 032,29</w:t>
            </w:r>
          </w:p>
        </w:tc>
        <w:tc>
          <w:tcPr>
            <w:tcW w:w="234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961776" w:rsidRPr="00E41D2F" w:rsidP="000F1530">
            <w:pPr>
              <w:spacing w:line="240" w:lineRule="auto"/>
              <w:jc w:val="right"/>
              <w:rPr>
                <w:rFonts w:ascii="Arial Narrow" w:hAnsi="Arial Narrow" w:cs="Times New Roman"/>
              </w:rPr>
            </w:pPr>
            <w:r w:rsidR="005F51B8">
              <w:rPr>
                <w:rFonts w:ascii="Arial Narrow" w:hAnsi="Arial Narrow" w:cs="Times New Roman"/>
              </w:rPr>
              <w:t>6 439 697 637,70</w:t>
            </w:r>
          </w:p>
        </w:tc>
      </w:tr>
      <w:tr>
        <w:tblPrEx>
          <w:tblW w:w="9360" w:type="dxa"/>
          <w:tblInd w:w="108" w:type="dxa"/>
        </w:tblPrEx>
        <w:trPr>
          <w:trHeight w:hRule="auto" w:val="0"/>
        </w:trPr>
        <w:tc>
          <w:tcPr>
            <w:tcW w:w="28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961776" w:rsidRPr="00E41D2F" w:rsidP="000F1530">
            <w:pPr>
              <w:spacing w:line="240" w:lineRule="auto"/>
              <w:jc w:val="center"/>
              <w:rPr>
                <w:rFonts w:ascii="Arial Narrow" w:hAnsi="Arial Narrow" w:cs="Times New Roman"/>
              </w:rPr>
            </w:pPr>
            <w:r>
              <w:rPr>
                <w:rFonts w:ascii="Arial Narrow" w:hAnsi="Arial Narrow" w:cs="Times New Roman"/>
              </w:rPr>
              <w:t>z toho: prijaté z rozpočtu EÚ</w:t>
            </w:r>
          </w:p>
        </w:tc>
        <w:tc>
          <w:tcPr>
            <w:tcW w:w="21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961776" w:rsidRPr="00E41D2F" w:rsidP="000F1530">
            <w:pPr>
              <w:spacing w:line="240" w:lineRule="auto"/>
              <w:jc w:val="right"/>
              <w:rPr>
                <w:rFonts w:ascii="Arial Narrow" w:hAnsi="Arial Narrow" w:cs="Times New Roman"/>
              </w:rPr>
            </w:pPr>
            <w:r>
              <w:rPr>
                <w:rFonts w:ascii="Arial Narrow" w:hAnsi="Arial Narrow" w:cs="Times New Roman"/>
              </w:rPr>
              <w:t xml:space="preserve">  4</w:t>
            </w:r>
            <w:r w:rsidR="002217F6">
              <w:rPr>
                <w:rFonts w:ascii="Arial Narrow" w:hAnsi="Arial Narrow" w:cs="Times New Roman"/>
              </w:rPr>
              <w:t> 719 931 000,00</w:t>
            </w:r>
          </w:p>
        </w:tc>
        <w:tc>
          <w:tcPr>
            <w:tcW w:w="19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961776" w:rsidRPr="00E41D2F" w:rsidP="000F1530">
            <w:pPr>
              <w:spacing w:line="240" w:lineRule="auto"/>
              <w:jc w:val="right"/>
              <w:rPr>
                <w:rFonts w:ascii="Arial Narrow" w:hAnsi="Arial Narrow" w:cs="Times New Roman"/>
              </w:rPr>
            </w:pPr>
            <w:r>
              <w:rPr>
                <w:rFonts w:ascii="Arial Narrow" w:hAnsi="Arial Narrow" w:cs="Times New Roman"/>
              </w:rPr>
              <w:t xml:space="preserve">  </w:t>
            </w:r>
            <w:r w:rsidR="002217F6">
              <w:rPr>
                <w:rFonts w:ascii="Arial Narrow" w:hAnsi="Arial Narrow" w:cs="Times New Roman"/>
              </w:rPr>
              <w:t>5 044 708 032,29</w:t>
            </w:r>
          </w:p>
        </w:tc>
        <w:tc>
          <w:tcPr>
            <w:tcW w:w="234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961776" w:rsidRPr="00E41D2F" w:rsidP="000F1530">
            <w:pPr>
              <w:spacing w:line="240" w:lineRule="auto"/>
              <w:jc w:val="right"/>
              <w:rPr>
                <w:rFonts w:ascii="Arial Narrow" w:hAnsi="Arial Narrow" w:cs="Times New Roman"/>
              </w:rPr>
            </w:pPr>
            <w:r w:rsidR="005F51B8">
              <w:rPr>
                <w:rFonts w:ascii="Arial Narrow" w:hAnsi="Arial Narrow" w:cs="Times New Roman"/>
              </w:rPr>
              <w:t>3 704 580 304,51</w:t>
            </w:r>
          </w:p>
        </w:tc>
      </w:tr>
      <w:tr>
        <w:tblPrEx>
          <w:tblW w:w="9360" w:type="dxa"/>
          <w:tblInd w:w="108" w:type="dxa"/>
        </w:tblPrEx>
        <w:trPr>
          <w:trHeight w:hRule="auto" w:val="0"/>
        </w:trPr>
        <w:tc>
          <w:tcPr>
            <w:tcW w:w="28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961776" w:rsidRPr="00E41D2F" w:rsidP="000F1530">
            <w:pPr>
              <w:spacing w:line="240" w:lineRule="auto"/>
              <w:jc w:val="center"/>
              <w:rPr>
                <w:rFonts w:ascii="Arial Narrow" w:hAnsi="Arial Narrow" w:cs="Times New Roman"/>
              </w:rPr>
            </w:pPr>
            <w:r>
              <w:rPr>
                <w:rFonts w:ascii="Arial Narrow" w:hAnsi="Arial Narrow" w:cs="Times New Roman"/>
              </w:rPr>
              <w:t>Výdavky spolu</w:t>
            </w:r>
          </w:p>
        </w:tc>
        <w:tc>
          <w:tcPr>
            <w:tcW w:w="21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961776" w:rsidRPr="00E41D2F" w:rsidP="000F1530">
            <w:pPr>
              <w:spacing w:line="240" w:lineRule="auto"/>
              <w:jc w:val="right"/>
              <w:rPr>
                <w:rFonts w:ascii="Arial Narrow" w:hAnsi="Arial Narrow" w:cs="Times New Roman"/>
              </w:rPr>
            </w:pPr>
            <w:r>
              <w:rPr>
                <w:rFonts w:ascii="Arial Narrow" w:hAnsi="Arial Narrow" w:cs="Times New Roman"/>
              </w:rPr>
              <w:t>27</w:t>
            </w:r>
            <w:r w:rsidR="002217F6">
              <w:rPr>
                <w:rFonts w:ascii="Arial Narrow" w:hAnsi="Arial Narrow" w:cs="Times New Roman"/>
              </w:rPr>
              <w:t> </w:t>
            </w:r>
            <w:r>
              <w:rPr>
                <w:rFonts w:ascii="Arial Narrow" w:hAnsi="Arial Narrow" w:cs="Times New Roman"/>
              </w:rPr>
              <w:t>2</w:t>
            </w:r>
            <w:r w:rsidR="002217F6">
              <w:rPr>
                <w:rFonts w:ascii="Arial Narrow" w:hAnsi="Arial Narrow" w:cs="Times New Roman"/>
              </w:rPr>
              <w:t>61 462 000,00</w:t>
            </w:r>
          </w:p>
        </w:tc>
        <w:tc>
          <w:tcPr>
            <w:tcW w:w="19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961776" w:rsidRPr="00E41D2F" w:rsidP="000F1530">
            <w:pPr>
              <w:spacing w:line="240" w:lineRule="auto"/>
              <w:jc w:val="right"/>
              <w:rPr>
                <w:rFonts w:ascii="Arial Narrow" w:hAnsi="Arial Narrow" w:cs="Times New Roman"/>
              </w:rPr>
            </w:pPr>
            <w:r w:rsidR="002217F6">
              <w:rPr>
                <w:rFonts w:ascii="Arial Narrow" w:hAnsi="Arial Narrow" w:cs="Times New Roman"/>
              </w:rPr>
              <w:t>31 513 180 836,48</w:t>
            </w:r>
          </w:p>
        </w:tc>
        <w:tc>
          <w:tcPr>
            <w:tcW w:w="234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961776" w:rsidRPr="00E41D2F" w:rsidP="000F1530">
            <w:pPr>
              <w:spacing w:line="240" w:lineRule="auto"/>
              <w:jc w:val="right"/>
              <w:rPr>
                <w:rFonts w:ascii="Arial Narrow" w:hAnsi="Arial Narrow" w:cs="Times New Roman"/>
              </w:rPr>
            </w:pPr>
            <w:r w:rsidR="005F51B8">
              <w:rPr>
                <w:rFonts w:ascii="Arial Narrow" w:hAnsi="Arial Narrow" w:cs="Times New Roman"/>
              </w:rPr>
              <w:t>31 561 721 243,52</w:t>
            </w:r>
          </w:p>
        </w:tc>
      </w:tr>
      <w:tr>
        <w:tblPrEx>
          <w:tblW w:w="9360" w:type="dxa"/>
          <w:tblInd w:w="108" w:type="dxa"/>
        </w:tblPrEx>
        <w:trPr>
          <w:trHeight w:hRule="auto" w:val="0"/>
        </w:trPr>
        <w:tc>
          <w:tcPr>
            <w:tcW w:w="28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961776" w:rsidRPr="00E41D2F" w:rsidP="000F1530">
            <w:pPr>
              <w:spacing w:line="240" w:lineRule="auto"/>
              <w:jc w:val="center"/>
              <w:rPr>
                <w:rFonts w:ascii="Arial Narrow" w:hAnsi="Arial Narrow" w:cs="Times New Roman"/>
              </w:rPr>
            </w:pPr>
            <w:r>
              <w:rPr>
                <w:rFonts w:ascii="Arial Narrow" w:hAnsi="Arial Narrow" w:cs="Times New Roman"/>
              </w:rPr>
              <w:t>z toho: kryté prostriedkami EÚ</w:t>
            </w:r>
          </w:p>
        </w:tc>
        <w:tc>
          <w:tcPr>
            <w:tcW w:w="21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961776" w:rsidRPr="00E41D2F" w:rsidP="000F1530">
            <w:pPr>
              <w:spacing w:line="240" w:lineRule="auto"/>
              <w:jc w:val="right"/>
              <w:rPr>
                <w:rFonts w:ascii="Arial Narrow" w:hAnsi="Arial Narrow" w:cs="Times New Roman"/>
              </w:rPr>
            </w:pPr>
            <w:r>
              <w:rPr>
                <w:rFonts w:ascii="Arial Narrow" w:hAnsi="Arial Narrow" w:cs="Times New Roman"/>
              </w:rPr>
              <w:t>4</w:t>
            </w:r>
            <w:r w:rsidR="002217F6">
              <w:rPr>
                <w:rFonts w:ascii="Arial Narrow" w:hAnsi="Arial Narrow" w:cs="Times New Roman"/>
              </w:rPr>
              <w:t> 719 931 000,00</w:t>
            </w:r>
          </w:p>
        </w:tc>
        <w:tc>
          <w:tcPr>
            <w:tcW w:w="19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961776" w:rsidRPr="00E41D2F" w:rsidP="000F1530">
            <w:pPr>
              <w:spacing w:line="240" w:lineRule="auto"/>
              <w:jc w:val="right"/>
              <w:rPr>
                <w:rFonts w:ascii="Arial Narrow" w:hAnsi="Arial Narrow" w:cs="Times New Roman"/>
              </w:rPr>
            </w:pPr>
            <w:r w:rsidR="002217F6">
              <w:rPr>
                <w:rFonts w:ascii="Arial Narrow" w:hAnsi="Arial Narrow" w:cs="Times New Roman"/>
              </w:rPr>
              <w:t>5 045 186 943,53</w:t>
            </w:r>
          </w:p>
        </w:tc>
        <w:tc>
          <w:tcPr>
            <w:tcW w:w="234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961776" w:rsidRPr="00E41D2F" w:rsidP="000F1530">
            <w:pPr>
              <w:spacing w:line="240" w:lineRule="auto"/>
              <w:jc w:val="right"/>
              <w:rPr>
                <w:rFonts w:ascii="Arial Narrow" w:hAnsi="Arial Narrow" w:cs="Times New Roman"/>
              </w:rPr>
            </w:pPr>
            <w:r w:rsidR="002217F6">
              <w:rPr>
                <w:rFonts w:ascii="Arial Narrow" w:hAnsi="Arial Narrow" w:cs="Times New Roman"/>
              </w:rPr>
              <w:t>5 045 103 140,01</w:t>
            </w:r>
          </w:p>
        </w:tc>
      </w:tr>
      <w:tr>
        <w:tblPrEx>
          <w:tblW w:w="9360" w:type="dxa"/>
          <w:tblInd w:w="108" w:type="dxa"/>
        </w:tblPrEx>
        <w:trPr>
          <w:trHeight w:hRule="auto" w:val="0"/>
        </w:trPr>
        <w:tc>
          <w:tcPr>
            <w:tcW w:w="28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961776" w:rsidRPr="00EA51B1" w:rsidP="000F1530">
            <w:pPr>
              <w:spacing w:line="240" w:lineRule="auto"/>
              <w:jc w:val="center"/>
              <w:rPr>
                <w:rFonts w:ascii="Arial Narrow" w:hAnsi="Arial Narrow" w:cs="Times New Roman"/>
                <w:b/>
              </w:rPr>
            </w:pPr>
            <w:r w:rsidRPr="00EA51B1">
              <w:rPr>
                <w:rFonts w:ascii="Arial Narrow" w:hAnsi="Arial Narrow" w:cs="Times New Roman"/>
                <w:b/>
              </w:rPr>
              <w:t xml:space="preserve">Saldo príjmov a výdavkov </w:t>
            </w:r>
          </w:p>
        </w:tc>
        <w:tc>
          <w:tcPr>
            <w:tcW w:w="21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961776" w:rsidRPr="00EA51B1" w:rsidP="000F1530">
            <w:pPr>
              <w:spacing w:line="240" w:lineRule="auto"/>
              <w:jc w:val="right"/>
              <w:rPr>
                <w:rFonts w:ascii="Arial Narrow" w:hAnsi="Arial Narrow" w:cs="Times New Roman"/>
                <w:b/>
              </w:rPr>
            </w:pPr>
            <w:r w:rsidRPr="00EA51B1">
              <w:rPr>
                <w:rFonts w:ascii="Arial Narrow" w:hAnsi="Arial Narrow" w:cs="Times New Roman"/>
                <w:b/>
              </w:rPr>
              <w:t>-</w:t>
            </w:r>
            <w:r w:rsidR="00EA51B1">
              <w:rPr>
                <w:rFonts w:ascii="Arial Narrow" w:hAnsi="Arial Narrow" w:cs="Times New Roman"/>
                <w:b/>
              </w:rPr>
              <w:t xml:space="preserve"> </w:t>
            </w:r>
            <w:r w:rsidR="002217F6">
              <w:rPr>
                <w:rFonts w:ascii="Arial Narrow" w:hAnsi="Arial Narrow" w:cs="Times New Roman"/>
                <w:b/>
              </w:rPr>
              <w:t>19 836 531 000,00</w:t>
            </w:r>
          </w:p>
        </w:tc>
        <w:tc>
          <w:tcPr>
            <w:tcW w:w="19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961776" w:rsidRPr="00EA51B1" w:rsidP="000F1530">
            <w:pPr>
              <w:spacing w:line="240" w:lineRule="auto"/>
              <w:jc w:val="right"/>
              <w:rPr>
                <w:rFonts w:ascii="Arial Narrow" w:hAnsi="Arial Narrow" w:cs="Times New Roman"/>
                <w:b/>
              </w:rPr>
            </w:pPr>
            <w:r w:rsidRPr="00EA51B1">
              <w:rPr>
                <w:rFonts w:ascii="Arial Narrow" w:hAnsi="Arial Narrow" w:cs="Times New Roman"/>
                <w:b/>
              </w:rPr>
              <w:t>-</w:t>
            </w:r>
            <w:r w:rsidR="00EA51B1">
              <w:rPr>
                <w:rFonts w:ascii="Arial Narrow" w:hAnsi="Arial Narrow" w:cs="Times New Roman"/>
                <w:b/>
              </w:rPr>
              <w:t xml:space="preserve"> </w:t>
            </w:r>
            <w:r w:rsidR="002217F6">
              <w:rPr>
                <w:rFonts w:ascii="Arial Narrow" w:hAnsi="Arial Narrow" w:cs="Times New Roman"/>
                <w:b/>
              </w:rPr>
              <w:t>23 763 472 804,19</w:t>
            </w:r>
          </w:p>
        </w:tc>
        <w:tc>
          <w:tcPr>
            <w:tcW w:w="234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961776" w:rsidRPr="00EA51B1" w:rsidP="000F1530">
            <w:pPr>
              <w:spacing w:line="240" w:lineRule="auto"/>
              <w:jc w:val="right"/>
              <w:rPr>
                <w:rFonts w:ascii="Arial Narrow" w:hAnsi="Arial Narrow" w:cs="Times New Roman"/>
                <w:b/>
              </w:rPr>
            </w:pPr>
            <w:r w:rsidRPr="00EA51B1">
              <w:rPr>
                <w:rFonts w:ascii="Arial Narrow" w:hAnsi="Arial Narrow" w:cs="Times New Roman"/>
                <w:b/>
              </w:rPr>
              <w:t>-</w:t>
            </w:r>
            <w:r w:rsidR="00EA51B1">
              <w:rPr>
                <w:rFonts w:ascii="Arial Narrow" w:hAnsi="Arial Narrow" w:cs="Times New Roman"/>
                <w:b/>
              </w:rPr>
              <w:t xml:space="preserve"> </w:t>
            </w:r>
            <w:r w:rsidR="002217F6">
              <w:rPr>
                <w:rFonts w:ascii="Arial Narrow" w:hAnsi="Arial Narrow" w:cs="Times New Roman"/>
                <w:b/>
              </w:rPr>
              <w:t>25 122 023 605,82</w:t>
            </w:r>
          </w:p>
        </w:tc>
      </w:tr>
      <w:tr>
        <w:tblPrEx>
          <w:tblW w:w="9360" w:type="dxa"/>
          <w:tblInd w:w="108" w:type="dxa"/>
        </w:tblPrEx>
        <w:trPr>
          <w:trHeight w:hRule="auto" w:val="0"/>
        </w:trPr>
        <w:tc>
          <w:tcPr>
            <w:tcW w:w="28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961776" w:rsidRPr="00E41D2F" w:rsidP="000F1530">
            <w:pPr>
              <w:spacing w:line="240" w:lineRule="auto"/>
              <w:jc w:val="center"/>
              <w:rPr>
                <w:rFonts w:ascii="Arial Narrow" w:hAnsi="Arial Narrow" w:cs="Times New Roman"/>
              </w:rPr>
            </w:pPr>
            <w:r>
              <w:rPr>
                <w:rFonts w:ascii="Arial Narrow" w:hAnsi="Arial Narrow" w:cs="Times New Roman"/>
              </w:rPr>
              <w:t xml:space="preserve">z toho: z prostriedkov EÚ </w:t>
            </w:r>
          </w:p>
        </w:tc>
        <w:tc>
          <w:tcPr>
            <w:tcW w:w="21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961776" w:rsidRPr="00E41D2F" w:rsidP="000F1530">
            <w:pPr>
              <w:spacing w:line="240" w:lineRule="auto"/>
              <w:jc w:val="right"/>
              <w:rPr>
                <w:rFonts w:ascii="Arial Narrow" w:hAnsi="Arial Narrow" w:cs="Times New Roman"/>
              </w:rPr>
            </w:pPr>
            <w:r>
              <w:rPr>
                <w:rFonts w:ascii="Arial Narrow" w:hAnsi="Arial Narrow" w:cs="Times New Roman"/>
              </w:rPr>
              <w:t>0,00</w:t>
            </w:r>
          </w:p>
        </w:tc>
        <w:tc>
          <w:tcPr>
            <w:tcW w:w="19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961776" w:rsidRPr="00E41D2F" w:rsidP="000F1530">
            <w:pPr>
              <w:spacing w:line="240" w:lineRule="auto"/>
              <w:jc w:val="right"/>
              <w:rPr>
                <w:rFonts w:ascii="Arial Narrow" w:hAnsi="Arial Narrow" w:cs="Times New Roman"/>
              </w:rPr>
            </w:pPr>
            <w:r>
              <w:rPr>
                <w:rFonts w:ascii="Arial Narrow" w:hAnsi="Arial Narrow" w:cs="Times New Roman"/>
              </w:rPr>
              <w:t>-</w:t>
            </w:r>
            <w:r w:rsidR="002217F6">
              <w:rPr>
                <w:rFonts w:ascii="Arial Narrow" w:hAnsi="Arial Narrow" w:cs="Times New Roman"/>
              </w:rPr>
              <w:t>478 911,24</w:t>
            </w:r>
          </w:p>
        </w:tc>
        <w:tc>
          <w:tcPr>
            <w:tcW w:w="234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961776" w:rsidRPr="00E41D2F" w:rsidP="000F1530">
            <w:pPr>
              <w:spacing w:line="240" w:lineRule="auto"/>
              <w:jc w:val="right"/>
              <w:rPr>
                <w:rFonts w:ascii="Arial Narrow" w:hAnsi="Arial Narrow" w:cs="Times New Roman"/>
              </w:rPr>
            </w:pPr>
            <w:r>
              <w:rPr>
                <w:rFonts w:ascii="Arial Narrow" w:hAnsi="Arial Narrow" w:cs="Times New Roman"/>
              </w:rPr>
              <w:t>-</w:t>
            </w:r>
            <w:r w:rsidR="002217F6">
              <w:rPr>
                <w:rFonts w:ascii="Arial Narrow" w:hAnsi="Arial Narrow" w:cs="Times New Roman"/>
              </w:rPr>
              <w:t xml:space="preserve"> 1 340 522 835,50</w:t>
            </w:r>
          </w:p>
        </w:tc>
      </w:tr>
    </w:tbl>
    <w:p w:rsidR="005F51B8" w:rsidP="002217F6">
      <w:pPr>
        <w:spacing w:line="240" w:lineRule="auto"/>
        <w:rPr>
          <w:rFonts w:ascii="Times New Roman" w:hAnsi="Times New Roman" w:cs="Times New Roman"/>
          <w:sz w:val="26"/>
        </w:rPr>
      </w:pPr>
    </w:p>
    <w:p w:rsidR="00E41D2F" w:rsidRPr="00EA51B1" w:rsidP="000634FA">
      <w:pPr>
        <w:spacing w:line="240" w:lineRule="auto"/>
        <w:ind w:firstLine="709"/>
        <w:rPr>
          <w:rFonts w:ascii="Times New Roman" w:hAnsi="Times New Roman" w:cs="Times New Roman"/>
          <w:sz w:val="24"/>
          <w:szCs w:val="24"/>
        </w:rPr>
      </w:pPr>
      <w:r w:rsidRPr="000634FA" w:rsidR="000634FA">
        <w:rPr>
          <w:rFonts w:ascii="Times New Roman" w:hAnsi="Times New Roman" w:cs="Times New Roman"/>
          <w:sz w:val="24"/>
          <w:szCs w:val="24"/>
        </w:rPr>
        <w:t>Komentár k dosiahnutým príjmom a čerpaným výdavkom kapitoly MDPT SR je uvedený v príslušných častiach záverečného účtu.</w:t>
      </w:r>
      <w:r w:rsidR="000634FA">
        <w:rPr>
          <w:rFonts w:ascii="Times New Roman" w:hAnsi="Times New Roman" w:cs="Times New Roman"/>
          <w:sz w:val="24"/>
          <w:szCs w:val="24"/>
        </w:rPr>
        <w:t xml:space="preserve"> </w:t>
      </w:r>
    </w:p>
    <w:p w:rsidR="00656D8E" w:rsidP="009C2EF8">
      <w:pPr>
        <w:spacing w:line="240" w:lineRule="auto"/>
        <w:rPr>
          <w:rFonts w:ascii="Arial Narrow" w:hAnsi="Arial Narrow" w:cs="Times New Roman"/>
          <w:b/>
          <w:sz w:val="22"/>
          <w:szCs w:val="22"/>
        </w:rPr>
      </w:pPr>
    </w:p>
    <w:p w:rsidR="00B372D5" w:rsidRPr="009C2EF8" w:rsidP="009C2EF8">
      <w:pPr>
        <w:spacing w:line="240" w:lineRule="auto"/>
        <w:rPr>
          <w:rFonts w:ascii="Arial Narrow" w:hAnsi="Arial Narrow" w:cs="Times New Roman"/>
          <w:b/>
          <w:sz w:val="22"/>
          <w:szCs w:val="22"/>
        </w:rPr>
      </w:pPr>
    </w:p>
    <w:p w:rsidR="00E41D2F" w:rsidRPr="002E4468" w:rsidP="00E41D2F">
      <w:pPr>
        <w:pStyle w:val="BodyTextIndent"/>
        <w:pBdr>
          <w:top w:val="threeDEmboss" w:sz="24" w:space="1" w:color="auto"/>
          <w:left w:val="threeDEmboss" w:sz="24" w:space="4" w:color="auto"/>
          <w:bottom w:val="threeDEmboss" w:sz="24" w:space="1" w:color="auto"/>
          <w:right w:val="threeDEmboss" w:sz="24" w:space="4" w:color="auto"/>
        </w:pBdr>
        <w:shd w:val="pct15" w:color="000000" w:fill="FFFFFF"/>
        <w:spacing w:line="240" w:lineRule="auto"/>
        <w:ind w:left="180" w:firstLine="0"/>
        <w:jc w:val="center"/>
        <w:rPr>
          <w:rFonts w:ascii="Times New Roman" w:hAnsi="Times New Roman" w:cs="Times New Roman"/>
          <w:b/>
          <w:sz w:val="32"/>
          <w:szCs w:val="32"/>
        </w:rPr>
      </w:pPr>
      <w:r>
        <w:rPr>
          <w:rFonts w:ascii="Times New Roman" w:hAnsi="Times New Roman" w:cs="Times New Roman"/>
          <w:b/>
          <w:sz w:val="32"/>
          <w:szCs w:val="32"/>
        </w:rPr>
        <w:t>1.5. Finančné operácie</w:t>
      </w:r>
    </w:p>
    <w:p w:rsidR="005837F1" w:rsidP="005837F1">
      <w:pPr>
        <w:spacing w:line="240" w:lineRule="auto"/>
        <w:ind w:firstLine="709"/>
        <w:rPr>
          <w:rFonts w:ascii="Times New Roman" w:hAnsi="Times New Roman" w:cs="Times New Roman"/>
          <w:sz w:val="24"/>
          <w:szCs w:val="24"/>
        </w:rPr>
      </w:pPr>
    </w:p>
    <w:p w:rsidR="00B372D5" w:rsidP="00C17272">
      <w:pPr>
        <w:spacing w:line="240" w:lineRule="auto"/>
        <w:ind w:firstLine="709"/>
        <w:rPr>
          <w:rFonts w:ascii="Times New Roman" w:hAnsi="Times New Roman" w:cs="Times New Roman"/>
          <w:sz w:val="24"/>
          <w:szCs w:val="24"/>
        </w:rPr>
      </w:pPr>
      <w:r w:rsidRPr="005837F1" w:rsidR="00E41D2F">
        <w:rPr>
          <w:rFonts w:ascii="Times New Roman" w:hAnsi="Times New Roman" w:cs="Times New Roman"/>
          <w:sz w:val="24"/>
          <w:szCs w:val="24"/>
        </w:rPr>
        <w:t xml:space="preserve">Finančné </w:t>
      </w:r>
      <w:r w:rsidRPr="005837F1" w:rsidR="005837F1">
        <w:rPr>
          <w:rFonts w:ascii="Times New Roman" w:hAnsi="Times New Roman" w:cs="Times New Roman"/>
          <w:sz w:val="24"/>
          <w:szCs w:val="24"/>
        </w:rPr>
        <w:t>o</w:t>
      </w:r>
      <w:r w:rsidR="00F17973">
        <w:rPr>
          <w:rFonts w:ascii="Times New Roman" w:hAnsi="Times New Roman" w:cs="Times New Roman"/>
          <w:sz w:val="24"/>
          <w:szCs w:val="24"/>
        </w:rPr>
        <w:t>perácie zrealizované v roku 2007</w:t>
      </w:r>
      <w:r w:rsidRPr="005837F1" w:rsidR="005837F1">
        <w:rPr>
          <w:rFonts w:ascii="Times New Roman" w:hAnsi="Times New Roman" w:cs="Times New Roman"/>
          <w:sz w:val="24"/>
          <w:szCs w:val="24"/>
        </w:rPr>
        <w:t>, ktoré v</w:t>
      </w:r>
      <w:r w:rsidR="00656D8E">
        <w:rPr>
          <w:rFonts w:ascii="Times New Roman" w:hAnsi="Times New Roman" w:cs="Times New Roman"/>
          <w:sz w:val="24"/>
          <w:szCs w:val="24"/>
        </w:rPr>
        <w:t xml:space="preserve"> zmysle § </w:t>
      </w:r>
      <w:r w:rsidR="005837F1">
        <w:rPr>
          <w:rFonts w:ascii="Times New Roman" w:hAnsi="Times New Roman" w:cs="Times New Roman"/>
          <w:sz w:val="24"/>
          <w:szCs w:val="24"/>
        </w:rPr>
        <w:t>13 ods. 7 zákona o rozpočtových pravidlách nie sú súčasťou príjmov a výdavkov štátneho rozpočtu sú zhodnotené jednotlivo pri každej rozpočtovej organizácii patriacej do pôsobnosti kapitoly Ministerstva dopravy, pôšt a telekomunikácií SR</w:t>
      </w:r>
      <w:r w:rsidR="00E24794">
        <w:rPr>
          <w:rFonts w:ascii="Times New Roman" w:hAnsi="Times New Roman" w:cs="Times New Roman"/>
          <w:sz w:val="24"/>
          <w:szCs w:val="24"/>
        </w:rPr>
        <w:t xml:space="preserve">. V prípade, kde nie sú uvedené, sa </w:t>
      </w:r>
      <w:r w:rsidR="00F1695C">
        <w:rPr>
          <w:rFonts w:ascii="Times New Roman" w:hAnsi="Times New Roman" w:cs="Times New Roman"/>
          <w:sz w:val="24"/>
          <w:szCs w:val="24"/>
        </w:rPr>
        <w:t>predmetné finančné operácie v jednotlivých organizáciách</w:t>
      </w:r>
      <w:r w:rsidR="005837F1">
        <w:rPr>
          <w:rFonts w:ascii="Times New Roman" w:hAnsi="Times New Roman" w:cs="Times New Roman"/>
          <w:sz w:val="24"/>
          <w:szCs w:val="24"/>
        </w:rPr>
        <w:t xml:space="preserve"> nerealizovali. </w:t>
      </w:r>
    </w:p>
    <w:p w:rsidR="00E24794" w:rsidRPr="00B372D5" w:rsidP="00C17272">
      <w:pPr>
        <w:spacing w:line="240" w:lineRule="auto"/>
        <w:ind w:firstLine="709"/>
        <w:rPr>
          <w:rFonts w:ascii="Times New Roman" w:hAnsi="Times New Roman" w:cs="Times New Roman"/>
          <w:sz w:val="24"/>
          <w:szCs w:val="24"/>
        </w:rPr>
      </w:pPr>
    </w:p>
    <w:p w:rsidR="00881384" w:rsidRPr="002E4468" w:rsidP="00E41D2F">
      <w:pPr>
        <w:pStyle w:val="BodyTextIndent"/>
        <w:numPr>
          <w:ilvl w:val="1"/>
          <w:numId w:val="14"/>
        </w:numPr>
        <w:pBdr>
          <w:top w:val="threeDEmboss" w:sz="24" w:space="1" w:color="auto"/>
          <w:left w:val="threeDEmboss" w:sz="24" w:space="4" w:color="auto"/>
          <w:bottom w:val="threeDEmboss" w:sz="24" w:space="1" w:color="auto"/>
          <w:right w:val="threeDEmboss" w:sz="24" w:space="4" w:color="auto"/>
        </w:pBdr>
        <w:shd w:val="pct15" w:color="000000" w:fill="FFFFFF"/>
        <w:tabs>
          <w:tab w:val="left" w:pos="900"/>
        </w:tabs>
        <w:spacing w:line="240" w:lineRule="auto"/>
        <w:jc w:val="center"/>
        <w:rPr>
          <w:rFonts w:ascii="Times New Roman" w:hAnsi="Times New Roman" w:cs="Times New Roman"/>
          <w:b/>
          <w:sz w:val="32"/>
          <w:szCs w:val="32"/>
        </w:rPr>
      </w:pPr>
      <w:r>
        <w:rPr>
          <w:rFonts w:ascii="Times New Roman" w:hAnsi="Times New Roman" w:cs="Times New Roman"/>
          <w:b/>
          <w:sz w:val="32"/>
          <w:szCs w:val="32"/>
        </w:rPr>
        <w:t>Zhodnotenie zamestnanosti</w:t>
      </w:r>
    </w:p>
    <w:p w:rsidR="00B372D5" w:rsidP="005837F1">
      <w:pPr>
        <w:spacing w:line="240" w:lineRule="auto"/>
        <w:rPr>
          <w:rFonts w:ascii="Times New Roman" w:hAnsi="Times New Roman" w:cs="Times New Roman"/>
          <w:b/>
          <w:bCs/>
          <w:sz w:val="26"/>
          <w:szCs w:val="26"/>
          <w:u w:val="single"/>
        </w:rPr>
      </w:pPr>
    </w:p>
    <w:p w:rsidR="00881384" w:rsidRPr="006052AA" w:rsidP="00C362EA">
      <w:pPr>
        <w:spacing w:line="240" w:lineRule="auto"/>
        <w:jc w:val="center"/>
        <w:rPr>
          <w:rFonts w:ascii="Times New Roman" w:hAnsi="Times New Roman" w:cs="Times New Roman"/>
          <w:b/>
          <w:i/>
          <w:sz w:val="26"/>
          <w:u w:val="single"/>
        </w:rPr>
      </w:pPr>
      <w:r w:rsidRPr="006052AA">
        <w:rPr>
          <w:rFonts w:ascii="Times New Roman" w:hAnsi="Times New Roman" w:cs="Times New Roman"/>
          <w:b/>
          <w:bCs/>
          <w:sz w:val="26"/>
          <w:szCs w:val="26"/>
          <w:u w:val="single"/>
        </w:rPr>
        <w:t>A. Počty zamestnancov za kapitolu MDPT SR v členení na ústredný orgán štátnej</w:t>
        <w:br/>
      </w:r>
      <w:r w:rsidRPr="006052AA">
        <w:rPr>
          <w:rFonts w:ascii="Times New Roman" w:hAnsi="Times New Roman" w:cs="Times New Roman"/>
          <w:b/>
          <w:bCs/>
          <w:sz w:val="26"/>
          <w:szCs w:val="26"/>
        </w:rPr>
        <w:t xml:space="preserve">     </w:t>
      </w:r>
      <w:r w:rsidRPr="006052AA">
        <w:rPr>
          <w:rFonts w:ascii="Times New Roman" w:hAnsi="Times New Roman" w:cs="Times New Roman"/>
          <w:b/>
          <w:bCs/>
          <w:sz w:val="26"/>
          <w:szCs w:val="26"/>
          <w:u w:val="single"/>
        </w:rPr>
        <w:t>správy a organizácie v pôsobnosti MDPT SR</w:t>
      </w:r>
    </w:p>
    <w:p w:rsidR="00575536" w:rsidP="005837F1">
      <w:pPr>
        <w:spacing w:line="240" w:lineRule="auto"/>
        <w:rPr>
          <w:rFonts w:ascii="Times New Roman" w:hAnsi="Times New Roman" w:cs="Times New Roman"/>
          <w:b/>
          <w:sz w:val="26"/>
        </w:rPr>
      </w:pPr>
    </w:p>
    <w:p w:rsidR="00575536" w:rsidRPr="005837F1" w:rsidP="005837F1">
      <w:pPr>
        <w:spacing w:line="240" w:lineRule="auto"/>
        <w:jc w:val="center"/>
        <w:rPr>
          <w:rFonts w:ascii="Times New Roman" w:hAnsi="Times New Roman" w:cs="Times New Roman"/>
          <w:b/>
          <w:sz w:val="24"/>
          <w:szCs w:val="24"/>
        </w:rPr>
      </w:pPr>
      <w:r w:rsidRPr="005837F1" w:rsidR="00881384">
        <w:rPr>
          <w:rFonts w:ascii="Times New Roman" w:hAnsi="Times New Roman" w:cs="Times New Roman"/>
          <w:b/>
          <w:sz w:val="24"/>
          <w:szCs w:val="24"/>
        </w:rPr>
        <w:t>Celkové počty zamestnancov za kapitolu</w:t>
      </w:r>
      <w:r w:rsidRPr="005837F1" w:rsidR="003D4711">
        <w:rPr>
          <w:rFonts w:ascii="Times New Roman" w:hAnsi="Times New Roman" w:cs="Times New Roman"/>
          <w:b/>
          <w:sz w:val="24"/>
          <w:szCs w:val="24"/>
        </w:rPr>
        <w:t xml:space="preserve"> </w:t>
      </w:r>
    </w:p>
    <w:p w:rsidR="00881384" w:rsidRPr="005837F1" w:rsidP="00C362EA">
      <w:pPr>
        <w:spacing w:line="240" w:lineRule="auto"/>
        <w:jc w:val="center"/>
        <w:rPr>
          <w:rFonts w:ascii="Arial Narrow" w:hAnsi="Arial Narrow" w:cs="Times New Roman"/>
          <w:sz w:val="24"/>
          <w:szCs w:val="24"/>
        </w:rPr>
      </w:pPr>
      <w:r w:rsidRPr="005837F1" w:rsidR="003D4711">
        <w:rPr>
          <w:rFonts w:ascii="Arial Narrow" w:hAnsi="Arial Narrow" w:cs="Times New Roman"/>
          <w:sz w:val="24"/>
          <w:szCs w:val="24"/>
        </w:rPr>
        <w:t xml:space="preserve">                                                                                                                                                         (osoba)</w:t>
      </w:r>
    </w:p>
    <w:tbl>
      <w:tblPr>
        <w:tblW w:w="10400" w:type="dxa"/>
        <w:tblInd w:w="-43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blGrid>
        <w:gridCol w:w="1531"/>
        <w:gridCol w:w="1431"/>
        <w:gridCol w:w="1486"/>
        <w:gridCol w:w="1504"/>
        <w:gridCol w:w="1451"/>
        <w:gridCol w:w="1617"/>
        <w:gridCol w:w="1380"/>
      </w:tblGrid>
      <w:tr>
        <w:tblPrEx>
          <w:tblW w:w="10400" w:type="dxa"/>
          <w:tblInd w:w="-43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hRule="auto" w:val="0"/>
        </w:trPr>
        <w:tc>
          <w:tcPr>
            <w:tcW w:w="1531" w:type="dxa"/>
            <w:tcBorders>
              <w:top w:val="single" w:sz="12" w:space="0" w:color="auto"/>
              <w:left w:val="single" w:sz="12" w:space="0" w:color="auto"/>
              <w:bottom w:val="single" w:sz="12" w:space="0" w:color="auto"/>
              <w:right w:val="single" w:sz="4" w:space="0" w:color="auto"/>
              <w:tl2br w:val="nil"/>
              <w:tr2bl w:val="nil"/>
            </w:tcBorders>
            <w:shd w:val="clear" w:color="auto" w:fill="606060"/>
            <w:textDirection w:val="lrTb"/>
            <w:vAlign w:val="top"/>
          </w:tcPr>
          <w:p w:rsidR="00BB7593" w:rsidRPr="003D4711" w:rsidP="00C362EA">
            <w:pPr>
              <w:spacing w:line="240" w:lineRule="auto"/>
              <w:rPr>
                <w:rFonts w:ascii="Arial Narrow" w:hAnsi="Arial Narrow" w:cs="Times New Roman"/>
                <w:b/>
                <w:i/>
                <w:sz w:val="24"/>
                <w:szCs w:val="24"/>
              </w:rPr>
            </w:pPr>
          </w:p>
        </w:tc>
        <w:tc>
          <w:tcPr>
            <w:tcW w:w="2917" w:type="dxa"/>
            <w:gridSpan w:val="2"/>
            <w:tcBorders>
              <w:top w:val="single" w:sz="12" w:space="0" w:color="auto"/>
              <w:left w:val="single" w:sz="4" w:space="0" w:color="auto"/>
              <w:bottom w:val="single" w:sz="12" w:space="0" w:color="auto"/>
              <w:right w:val="single" w:sz="4" w:space="0" w:color="auto"/>
              <w:tl2br w:val="nil"/>
              <w:tr2bl w:val="nil"/>
            </w:tcBorders>
            <w:shd w:val="clear" w:color="auto" w:fill="606060"/>
            <w:textDirection w:val="lrTb"/>
            <w:vAlign w:val="center"/>
          </w:tcPr>
          <w:p w:rsidR="00BB7593" w:rsidRPr="003D4E0C" w:rsidP="00C362EA">
            <w:pPr>
              <w:spacing w:line="240" w:lineRule="auto"/>
              <w:jc w:val="center"/>
              <w:rPr>
                <w:rFonts w:ascii="Arial Narrow" w:hAnsi="Arial Narrow" w:cs="Times New Roman"/>
                <w:b/>
                <w:color w:val="FFFFFF"/>
                <w:sz w:val="24"/>
                <w:szCs w:val="24"/>
              </w:rPr>
            </w:pPr>
            <w:r w:rsidRPr="003D4E0C">
              <w:rPr>
                <w:rFonts w:ascii="Arial Narrow" w:hAnsi="Arial Narrow" w:cs="Times New Roman"/>
                <w:b/>
                <w:color w:val="FFFFFF"/>
                <w:sz w:val="24"/>
                <w:szCs w:val="24"/>
              </w:rPr>
              <w:t>Schválený limit k 1.1.</w:t>
            </w:r>
            <w:r>
              <w:rPr>
                <w:rFonts w:ascii="Arial Narrow" w:hAnsi="Arial Narrow" w:cs="Times New Roman"/>
                <w:b/>
                <w:color w:val="FFFFFF"/>
                <w:sz w:val="24"/>
                <w:szCs w:val="24"/>
              </w:rPr>
              <w:t>2007</w:t>
            </w:r>
          </w:p>
        </w:tc>
        <w:tc>
          <w:tcPr>
            <w:tcW w:w="2955" w:type="dxa"/>
            <w:gridSpan w:val="2"/>
            <w:tcBorders>
              <w:top w:val="single" w:sz="12" w:space="0" w:color="auto"/>
              <w:left w:val="single" w:sz="4" w:space="0" w:color="auto"/>
              <w:bottom w:val="single" w:sz="12" w:space="0" w:color="auto"/>
              <w:right w:val="single" w:sz="4" w:space="0" w:color="auto"/>
              <w:tl2br w:val="nil"/>
              <w:tr2bl w:val="nil"/>
            </w:tcBorders>
            <w:shd w:val="clear" w:color="auto" w:fill="606060"/>
            <w:textDirection w:val="lrTb"/>
            <w:vAlign w:val="center"/>
          </w:tcPr>
          <w:p w:rsidR="00BB7593" w:rsidRPr="003D4E0C" w:rsidP="00C362EA">
            <w:pPr>
              <w:spacing w:line="240" w:lineRule="auto"/>
              <w:jc w:val="center"/>
              <w:rPr>
                <w:rFonts w:ascii="Arial Narrow" w:hAnsi="Arial Narrow" w:cs="Times New Roman"/>
                <w:b/>
                <w:i/>
                <w:color w:val="FFFFFF"/>
                <w:sz w:val="24"/>
                <w:szCs w:val="24"/>
              </w:rPr>
            </w:pPr>
            <w:r w:rsidRPr="003D4E0C">
              <w:rPr>
                <w:rFonts w:ascii="Arial Narrow" w:hAnsi="Arial Narrow" w:cs="Times New Roman"/>
                <w:b/>
                <w:color w:val="FFFFFF"/>
                <w:sz w:val="24"/>
                <w:szCs w:val="24"/>
              </w:rPr>
              <w:t>Upravený limit k 31.12.200</w:t>
            </w:r>
            <w:r>
              <w:rPr>
                <w:rFonts w:ascii="Arial Narrow" w:hAnsi="Arial Narrow" w:cs="Times New Roman"/>
                <w:b/>
                <w:color w:val="FFFFFF"/>
                <w:sz w:val="24"/>
                <w:szCs w:val="24"/>
              </w:rPr>
              <w:t>7</w:t>
            </w:r>
          </w:p>
        </w:tc>
        <w:tc>
          <w:tcPr>
            <w:tcW w:w="2997" w:type="dxa"/>
            <w:gridSpan w:val="2"/>
            <w:tcBorders>
              <w:top w:val="single" w:sz="12" w:space="0" w:color="auto"/>
              <w:left w:val="single" w:sz="4" w:space="0" w:color="auto"/>
              <w:bottom w:val="single" w:sz="12" w:space="0" w:color="auto"/>
              <w:right w:val="single" w:sz="12" w:space="0" w:color="auto"/>
              <w:tl2br w:val="nil"/>
              <w:tr2bl w:val="nil"/>
            </w:tcBorders>
            <w:shd w:val="clear" w:color="auto" w:fill="606060"/>
            <w:textDirection w:val="lrTb"/>
            <w:vAlign w:val="center"/>
          </w:tcPr>
          <w:p w:rsidR="00BB7593" w:rsidRPr="003D4E0C" w:rsidP="00C362EA">
            <w:pPr>
              <w:spacing w:line="240" w:lineRule="auto"/>
              <w:jc w:val="center"/>
              <w:rPr>
                <w:rFonts w:ascii="Arial Narrow" w:hAnsi="Arial Narrow" w:cs="Times New Roman"/>
                <w:b/>
                <w:color w:val="FFFFFF"/>
                <w:sz w:val="24"/>
                <w:szCs w:val="24"/>
              </w:rPr>
            </w:pPr>
            <w:r w:rsidRPr="003D4E0C">
              <w:rPr>
                <w:rFonts w:ascii="Arial Narrow" w:hAnsi="Arial Narrow" w:cs="Times New Roman"/>
                <w:b/>
                <w:color w:val="FFFFFF"/>
                <w:sz w:val="24"/>
                <w:szCs w:val="24"/>
              </w:rPr>
              <w:t xml:space="preserve">Skutočnosť </w:t>
            </w:r>
            <w:r w:rsidRPr="003D4E0C">
              <w:rPr>
                <w:rFonts w:ascii="Arial Narrow" w:hAnsi="Arial Narrow" w:cs="Times New Roman"/>
                <w:color w:val="FFFFFF"/>
                <w:sz w:val="24"/>
                <w:szCs w:val="24"/>
              </w:rPr>
              <w:t>(pr</w:t>
            </w:r>
            <w:r>
              <w:rPr>
                <w:rFonts w:ascii="Arial Narrow" w:hAnsi="Arial Narrow" w:cs="Times New Roman"/>
                <w:color w:val="FFFFFF"/>
                <w:sz w:val="24"/>
                <w:szCs w:val="24"/>
              </w:rPr>
              <w:t xml:space="preserve">iemerný evidenčný prepočítaný počet </w:t>
            </w:r>
            <w:r w:rsidRPr="003D4E0C">
              <w:rPr>
                <w:rFonts w:ascii="Arial Narrow" w:hAnsi="Arial Narrow" w:cs="Times New Roman"/>
                <w:color w:val="FFFFFF"/>
                <w:sz w:val="24"/>
                <w:szCs w:val="24"/>
              </w:rPr>
              <w:t>)</w:t>
            </w:r>
          </w:p>
        </w:tc>
      </w:tr>
      <w:tr>
        <w:tblPrEx>
          <w:tblW w:w="10400" w:type="dxa"/>
          <w:tblInd w:w="-432" w:type="dxa"/>
        </w:tblPrEx>
        <w:trPr>
          <w:trHeight w:hRule="auto" w:val="0"/>
        </w:trPr>
        <w:tc>
          <w:tcPr>
            <w:tcW w:w="1531" w:type="dxa"/>
            <w:tcBorders>
              <w:top w:val="single" w:sz="12" w:space="0" w:color="auto"/>
              <w:left w:val="single" w:sz="12" w:space="0" w:color="auto"/>
              <w:bottom w:val="single" w:sz="4" w:space="0" w:color="auto"/>
              <w:right w:val="single" w:sz="4" w:space="0" w:color="auto"/>
              <w:tl2br w:val="nil"/>
              <w:tr2bl w:val="nil"/>
            </w:tcBorders>
            <w:textDirection w:val="lrTb"/>
            <w:vAlign w:val="top"/>
          </w:tcPr>
          <w:p w:rsidR="00BB7593" w:rsidRPr="003D4711" w:rsidP="00C362EA">
            <w:pPr>
              <w:spacing w:line="240" w:lineRule="auto"/>
              <w:rPr>
                <w:rFonts w:ascii="Arial Narrow" w:hAnsi="Arial Narrow" w:cs="Times New Roman"/>
                <w:b/>
                <w:i/>
                <w:sz w:val="24"/>
                <w:szCs w:val="24"/>
              </w:rPr>
            </w:pPr>
          </w:p>
        </w:tc>
        <w:tc>
          <w:tcPr>
            <w:tcW w:w="1431" w:type="dxa"/>
            <w:tcBorders>
              <w:top w:val="single" w:sz="12" w:space="0" w:color="auto"/>
              <w:left w:val="single" w:sz="4" w:space="0" w:color="auto"/>
              <w:bottom w:val="single" w:sz="4" w:space="0" w:color="auto"/>
              <w:right w:val="single" w:sz="4" w:space="0" w:color="auto"/>
              <w:tl2br w:val="nil"/>
              <w:tr2bl w:val="nil"/>
            </w:tcBorders>
            <w:textDirection w:val="lrTb"/>
            <w:vAlign w:val="top"/>
          </w:tcPr>
          <w:p w:rsidR="00BB7593" w:rsidRPr="003D4711" w:rsidP="00C362EA">
            <w:pPr>
              <w:spacing w:line="240" w:lineRule="auto"/>
              <w:rPr>
                <w:rFonts w:ascii="Arial Narrow" w:hAnsi="Arial Narrow" w:cs="Times New Roman"/>
                <w:b/>
                <w:i/>
                <w:sz w:val="24"/>
                <w:szCs w:val="24"/>
              </w:rPr>
            </w:pPr>
          </w:p>
        </w:tc>
        <w:tc>
          <w:tcPr>
            <w:tcW w:w="1486" w:type="dxa"/>
            <w:tcBorders>
              <w:top w:val="single" w:sz="12" w:space="0" w:color="auto"/>
              <w:left w:val="single" w:sz="4" w:space="0" w:color="auto"/>
              <w:bottom w:val="single" w:sz="4" w:space="0" w:color="auto"/>
              <w:right w:val="single" w:sz="4" w:space="0" w:color="auto"/>
              <w:tl2br w:val="nil"/>
              <w:tr2bl w:val="nil"/>
            </w:tcBorders>
            <w:textDirection w:val="lrTb"/>
            <w:vAlign w:val="top"/>
          </w:tcPr>
          <w:p w:rsidR="00BB7593" w:rsidRPr="003D4711" w:rsidP="00C362EA">
            <w:pPr>
              <w:spacing w:line="240" w:lineRule="auto"/>
              <w:jc w:val="center"/>
              <w:rPr>
                <w:rFonts w:ascii="Arial Narrow" w:hAnsi="Arial Narrow" w:cs="Times New Roman"/>
                <w:sz w:val="24"/>
                <w:szCs w:val="24"/>
              </w:rPr>
            </w:pPr>
            <w:r w:rsidRPr="003D4711">
              <w:rPr>
                <w:rFonts w:ascii="Arial Narrow" w:hAnsi="Arial Narrow" w:cs="Times New Roman"/>
                <w:sz w:val="24"/>
                <w:szCs w:val="24"/>
              </w:rPr>
              <w:t>z toho úrad</w:t>
            </w:r>
          </w:p>
        </w:tc>
        <w:tc>
          <w:tcPr>
            <w:tcW w:w="1504" w:type="dxa"/>
            <w:tcBorders>
              <w:top w:val="single" w:sz="12" w:space="0" w:color="auto"/>
              <w:left w:val="single" w:sz="4" w:space="0" w:color="auto"/>
              <w:bottom w:val="single" w:sz="4" w:space="0" w:color="auto"/>
              <w:right w:val="single" w:sz="4" w:space="0" w:color="auto"/>
              <w:tl2br w:val="nil"/>
              <w:tr2bl w:val="nil"/>
            </w:tcBorders>
            <w:textDirection w:val="lrTb"/>
            <w:vAlign w:val="top"/>
          </w:tcPr>
          <w:p w:rsidR="00BB7593" w:rsidRPr="003D4711" w:rsidP="00C362EA">
            <w:pPr>
              <w:spacing w:line="240" w:lineRule="auto"/>
              <w:jc w:val="center"/>
              <w:rPr>
                <w:rFonts w:ascii="Arial Narrow" w:hAnsi="Arial Narrow" w:cs="Times New Roman"/>
                <w:b/>
                <w:i/>
                <w:sz w:val="24"/>
                <w:szCs w:val="24"/>
              </w:rPr>
            </w:pPr>
          </w:p>
        </w:tc>
        <w:tc>
          <w:tcPr>
            <w:tcW w:w="1451" w:type="dxa"/>
            <w:tcBorders>
              <w:top w:val="single" w:sz="12" w:space="0" w:color="auto"/>
              <w:left w:val="single" w:sz="4" w:space="0" w:color="auto"/>
              <w:bottom w:val="single" w:sz="4" w:space="0" w:color="auto"/>
              <w:right w:val="single" w:sz="4" w:space="0" w:color="auto"/>
              <w:tl2br w:val="nil"/>
              <w:tr2bl w:val="nil"/>
            </w:tcBorders>
            <w:textDirection w:val="lrTb"/>
            <w:vAlign w:val="top"/>
          </w:tcPr>
          <w:p w:rsidR="00BB7593" w:rsidRPr="003D4711" w:rsidP="009A1FAF">
            <w:pPr>
              <w:spacing w:line="240" w:lineRule="auto"/>
              <w:jc w:val="center"/>
              <w:rPr>
                <w:rFonts w:ascii="Arial Narrow" w:hAnsi="Arial Narrow" w:cs="Times New Roman"/>
                <w:b/>
                <w:i/>
                <w:sz w:val="24"/>
                <w:szCs w:val="24"/>
              </w:rPr>
            </w:pPr>
            <w:r w:rsidRPr="003D4711">
              <w:rPr>
                <w:rFonts w:ascii="Arial Narrow" w:hAnsi="Arial Narrow" w:cs="Times New Roman"/>
                <w:sz w:val="24"/>
                <w:szCs w:val="24"/>
              </w:rPr>
              <w:t>z toho úrad</w:t>
            </w:r>
          </w:p>
        </w:tc>
        <w:tc>
          <w:tcPr>
            <w:tcW w:w="1617" w:type="dxa"/>
            <w:tcBorders>
              <w:top w:val="single" w:sz="12" w:space="0" w:color="auto"/>
              <w:left w:val="single" w:sz="4" w:space="0" w:color="auto"/>
              <w:bottom w:val="single" w:sz="4" w:space="0" w:color="auto"/>
              <w:right w:val="single" w:sz="4" w:space="0" w:color="auto"/>
              <w:tl2br w:val="nil"/>
              <w:tr2bl w:val="nil"/>
            </w:tcBorders>
            <w:textDirection w:val="lrTb"/>
            <w:vAlign w:val="top"/>
          </w:tcPr>
          <w:p w:rsidR="00BB7593" w:rsidRPr="003D4711" w:rsidP="00C362EA">
            <w:pPr>
              <w:spacing w:line="240" w:lineRule="auto"/>
              <w:jc w:val="center"/>
              <w:rPr>
                <w:rFonts w:ascii="Arial Narrow" w:hAnsi="Arial Narrow" w:cs="Times New Roman"/>
                <w:b/>
                <w:i/>
                <w:sz w:val="24"/>
                <w:szCs w:val="24"/>
              </w:rPr>
            </w:pPr>
          </w:p>
        </w:tc>
        <w:tc>
          <w:tcPr>
            <w:tcW w:w="1380" w:type="dxa"/>
            <w:tcBorders>
              <w:top w:val="single" w:sz="12" w:space="0" w:color="auto"/>
              <w:left w:val="single" w:sz="4" w:space="0" w:color="auto"/>
              <w:bottom w:val="single" w:sz="4" w:space="0" w:color="auto"/>
              <w:right w:val="single" w:sz="12" w:space="0" w:color="auto"/>
              <w:tl2br w:val="nil"/>
              <w:tr2bl w:val="nil"/>
            </w:tcBorders>
            <w:textDirection w:val="lrTb"/>
            <w:vAlign w:val="top"/>
          </w:tcPr>
          <w:p w:rsidR="00BB7593" w:rsidRPr="00BB7593" w:rsidP="00C362EA">
            <w:pPr>
              <w:spacing w:line="240" w:lineRule="auto"/>
              <w:rPr>
                <w:rFonts w:ascii="Arial Narrow" w:hAnsi="Arial Narrow" w:cs="Times New Roman"/>
                <w:sz w:val="24"/>
                <w:szCs w:val="24"/>
              </w:rPr>
            </w:pPr>
            <w:r w:rsidRPr="00BB7593">
              <w:rPr>
                <w:rFonts w:ascii="Arial Narrow" w:hAnsi="Arial Narrow" w:cs="Times New Roman"/>
                <w:sz w:val="24"/>
                <w:szCs w:val="24"/>
              </w:rPr>
              <w:t>z toho úrad</w:t>
            </w:r>
          </w:p>
        </w:tc>
      </w:tr>
      <w:tr>
        <w:tblPrEx>
          <w:tblW w:w="10400" w:type="dxa"/>
          <w:tblInd w:w="-432" w:type="dxa"/>
        </w:tblPrEx>
        <w:trPr>
          <w:trHeight w:hRule="auto" w:val="0"/>
        </w:trPr>
        <w:tc>
          <w:tcPr>
            <w:tcW w:w="1531" w:type="dxa"/>
            <w:tcBorders>
              <w:top w:val="single" w:sz="4" w:space="0" w:color="auto"/>
              <w:left w:val="single" w:sz="12" w:space="0" w:color="auto"/>
              <w:bottom w:val="single" w:sz="4" w:space="0" w:color="auto"/>
              <w:right w:val="single" w:sz="4" w:space="0" w:color="auto"/>
              <w:tl2br w:val="nil"/>
              <w:tr2bl w:val="nil"/>
            </w:tcBorders>
            <w:textDirection w:val="lrTb"/>
            <w:vAlign w:val="center"/>
          </w:tcPr>
          <w:p w:rsidR="00BB7593" w:rsidRPr="003D4711" w:rsidP="00C362EA">
            <w:pPr>
              <w:spacing w:line="240" w:lineRule="auto"/>
              <w:rPr>
                <w:rFonts w:ascii="Arial Narrow" w:hAnsi="Arial Narrow" w:cs="Times New Roman"/>
                <w:b/>
                <w:sz w:val="24"/>
                <w:szCs w:val="24"/>
              </w:rPr>
            </w:pPr>
            <w:r w:rsidRPr="003D4711">
              <w:rPr>
                <w:rFonts w:ascii="Arial Narrow" w:hAnsi="Arial Narrow" w:cs="Times New Roman"/>
                <w:b/>
                <w:sz w:val="24"/>
                <w:szCs w:val="24"/>
              </w:rPr>
              <w:t>S P O</w:t>
            </w:r>
            <w:r>
              <w:rPr>
                <w:rFonts w:ascii="Arial Narrow" w:hAnsi="Arial Narrow" w:cs="Times New Roman"/>
                <w:b/>
                <w:sz w:val="24"/>
                <w:szCs w:val="24"/>
              </w:rPr>
              <w:t> </w:t>
            </w:r>
            <w:r w:rsidRPr="003D4711">
              <w:rPr>
                <w:rFonts w:ascii="Arial Narrow" w:hAnsi="Arial Narrow" w:cs="Times New Roman"/>
                <w:b/>
                <w:sz w:val="24"/>
                <w:szCs w:val="24"/>
              </w:rPr>
              <w:t>L U</w:t>
            </w:r>
          </w:p>
        </w:tc>
        <w:tc>
          <w:tcPr>
            <w:tcW w:w="1431"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BB7593" w:rsidRPr="003D4711" w:rsidP="00C362EA">
            <w:pPr>
              <w:spacing w:line="240" w:lineRule="auto"/>
              <w:jc w:val="right"/>
              <w:rPr>
                <w:rFonts w:ascii="Arial Narrow" w:hAnsi="Arial Narrow" w:cs="Times New Roman"/>
                <w:b/>
                <w:sz w:val="24"/>
                <w:szCs w:val="24"/>
              </w:rPr>
            </w:pPr>
            <w:r w:rsidR="00DF616F">
              <w:rPr>
                <w:rFonts w:ascii="Arial Narrow" w:hAnsi="Arial Narrow" w:cs="Times New Roman"/>
                <w:b/>
                <w:sz w:val="24"/>
                <w:szCs w:val="24"/>
              </w:rPr>
              <w:t>2 982</w:t>
            </w:r>
          </w:p>
        </w:tc>
        <w:tc>
          <w:tcPr>
            <w:tcW w:w="1486"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BB7593" w:rsidRPr="003D4711" w:rsidP="00C362EA">
            <w:pPr>
              <w:spacing w:line="240" w:lineRule="auto"/>
              <w:jc w:val="right"/>
              <w:rPr>
                <w:rFonts w:ascii="Arial Narrow" w:hAnsi="Arial Narrow" w:cs="Times New Roman"/>
                <w:b/>
                <w:sz w:val="24"/>
                <w:szCs w:val="24"/>
              </w:rPr>
            </w:pPr>
            <w:r w:rsidR="00DF616F">
              <w:rPr>
                <w:rFonts w:ascii="Arial Narrow" w:hAnsi="Arial Narrow" w:cs="Times New Roman"/>
                <w:b/>
                <w:sz w:val="24"/>
                <w:szCs w:val="24"/>
              </w:rPr>
              <w:t>330</w:t>
            </w:r>
          </w:p>
        </w:tc>
        <w:tc>
          <w:tcPr>
            <w:tcW w:w="1504"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BB7593" w:rsidRPr="003D4711" w:rsidP="00C362EA">
            <w:pPr>
              <w:spacing w:line="240" w:lineRule="auto"/>
              <w:jc w:val="right"/>
              <w:rPr>
                <w:rFonts w:ascii="Arial Narrow" w:hAnsi="Arial Narrow" w:cs="Times New Roman"/>
                <w:b/>
                <w:sz w:val="24"/>
                <w:szCs w:val="24"/>
              </w:rPr>
            </w:pPr>
            <w:r>
              <w:rPr>
                <w:rFonts w:ascii="Arial Narrow" w:hAnsi="Arial Narrow" w:cs="Times New Roman"/>
                <w:b/>
                <w:sz w:val="24"/>
                <w:szCs w:val="24"/>
              </w:rPr>
              <w:t>2 959</w:t>
            </w:r>
          </w:p>
        </w:tc>
        <w:tc>
          <w:tcPr>
            <w:tcW w:w="1451"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BB7593" w:rsidRPr="003D4711" w:rsidP="009A1FAF">
            <w:pPr>
              <w:spacing w:line="240" w:lineRule="auto"/>
              <w:jc w:val="right"/>
              <w:rPr>
                <w:rFonts w:ascii="Arial Narrow" w:hAnsi="Arial Narrow" w:cs="Times New Roman"/>
                <w:b/>
                <w:sz w:val="24"/>
                <w:szCs w:val="24"/>
              </w:rPr>
            </w:pPr>
            <w:r>
              <w:rPr>
                <w:rFonts w:ascii="Arial Narrow" w:hAnsi="Arial Narrow" w:cs="Times New Roman"/>
                <w:b/>
                <w:sz w:val="24"/>
                <w:szCs w:val="24"/>
              </w:rPr>
              <w:t>313</w:t>
            </w:r>
          </w:p>
        </w:tc>
        <w:tc>
          <w:tcPr>
            <w:tcW w:w="1617"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BB7593" w:rsidRPr="003D4711" w:rsidP="00C362EA">
            <w:pPr>
              <w:spacing w:line="240" w:lineRule="auto"/>
              <w:jc w:val="right"/>
              <w:rPr>
                <w:rFonts w:ascii="Arial Narrow" w:hAnsi="Arial Narrow" w:cs="Times New Roman"/>
                <w:b/>
                <w:sz w:val="24"/>
                <w:szCs w:val="24"/>
              </w:rPr>
            </w:pPr>
            <w:r>
              <w:rPr>
                <w:rFonts w:ascii="Arial Narrow" w:hAnsi="Arial Narrow" w:cs="Times New Roman"/>
                <w:b/>
                <w:sz w:val="24"/>
                <w:szCs w:val="24"/>
              </w:rPr>
              <w:t>2 734</w:t>
            </w:r>
          </w:p>
        </w:tc>
        <w:tc>
          <w:tcPr>
            <w:tcW w:w="1380" w:type="dxa"/>
            <w:tcBorders>
              <w:top w:val="single" w:sz="4" w:space="0" w:color="auto"/>
              <w:left w:val="single" w:sz="4" w:space="0" w:color="auto"/>
              <w:bottom w:val="single" w:sz="4" w:space="0" w:color="auto"/>
              <w:right w:val="single" w:sz="12" w:space="0" w:color="auto"/>
              <w:tl2br w:val="nil"/>
              <w:tr2bl w:val="nil"/>
            </w:tcBorders>
            <w:textDirection w:val="lrTb"/>
            <w:vAlign w:val="center"/>
          </w:tcPr>
          <w:p w:rsidR="00BB7593" w:rsidRPr="003D4711" w:rsidP="00C362EA">
            <w:pPr>
              <w:spacing w:line="240" w:lineRule="auto"/>
              <w:jc w:val="right"/>
              <w:rPr>
                <w:rFonts w:ascii="Arial Narrow" w:hAnsi="Arial Narrow" w:cs="Times New Roman"/>
                <w:b/>
                <w:sz w:val="24"/>
                <w:szCs w:val="24"/>
              </w:rPr>
            </w:pPr>
            <w:r>
              <w:rPr>
                <w:rFonts w:ascii="Arial Narrow" w:hAnsi="Arial Narrow" w:cs="Times New Roman"/>
                <w:b/>
                <w:sz w:val="24"/>
                <w:szCs w:val="24"/>
              </w:rPr>
              <w:t>289</w:t>
            </w:r>
          </w:p>
        </w:tc>
      </w:tr>
      <w:tr>
        <w:tblPrEx>
          <w:tblW w:w="10400" w:type="dxa"/>
          <w:tblInd w:w="-432" w:type="dxa"/>
        </w:tblPrEx>
        <w:trPr>
          <w:trHeight w:hRule="auto" w:val="0"/>
        </w:trPr>
        <w:tc>
          <w:tcPr>
            <w:tcW w:w="1531" w:type="dxa"/>
            <w:tcBorders>
              <w:top w:val="single" w:sz="4" w:space="0" w:color="auto"/>
              <w:left w:val="single" w:sz="12" w:space="0" w:color="auto"/>
              <w:bottom w:val="single" w:sz="4" w:space="0" w:color="auto"/>
              <w:right w:val="single" w:sz="4" w:space="0" w:color="auto"/>
              <w:tl2br w:val="nil"/>
              <w:tr2bl w:val="nil"/>
            </w:tcBorders>
            <w:textDirection w:val="lrTb"/>
            <w:vAlign w:val="center"/>
          </w:tcPr>
          <w:p w:rsidR="00BB7593" w:rsidRPr="003D4711" w:rsidP="00C362EA">
            <w:pPr>
              <w:spacing w:line="240" w:lineRule="auto"/>
              <w:rPr>
                <w:rFonts w:ascii="Arial Narrow" w:hAnsi="Arial Narrow" w:cs="Times New Roman"/>
                <w:sz w:val="24"/>
                <w:szCs w:val="24"/>
              </w:rPr>
            </w:pPr>
            <w:r w:rsidRPr="003D4711">
              <w:rPr>
                <w:rFonts w:ascii="Arial Narrow" w:hAnsi="Arial Narrow" w:cs="Times New Roman"/>
                <w:sz w:val="24"/>
                <w:szCs w:val="24"/>
              </w:rPr>
              <w:t>z toho:</w:t>
            </w:r>
          </w:p>
        </w:tc>
        <w:tc>
          <w:tcPr>
            <w:tcW w:w="1431"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BB7593" w:rsidRPr="003D4711" w:rsidP="00C362EA">
            <w:pPr>
              <w:spacing w:line="240" w:lineRule="auto"/>
              <w:jc w:val="right"/>
              <w:rPr>
                <w:rFonts w:ascii="Arial Narrow" w:hAnsi="Arial Narrow" w:cs="Times New Roman"/>
                <w:b/>
                <w:sz w:val="24"/>
                <w:szCs w:val="24"/>
              </w:rPr>
            </w:pPr>
          </w:p>
        </w:tc>
        <w:tc>
          <w:tcPr>
            <w:tcW w:w="1486"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BB7593" w:rsidRPr="003D4711" w:rsidP="00C362EA">
            <w:pPr>
              <w:spacing w:line="240" w:lineRule="auto"/>
              <w:jc w:val="right"/>
              <w:rPr>
                <w:rFonts w:ascii="Arial Narrow" w:hAnsi="Arial Narrow" w:cs="Times New Roman"/>
                <w:b/>
                <w:sz w:val="24"/>
                <w:szCs w:val="24"/>
              </w:rPr>
            </w:pPr>
          </w:p>
        </w:tc>
        <w:tc>
          <w:tcPr>
            <w:tcW w:w="1504"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BB7593" w:rsidRPr="003D4711" w:rsidP="00C362EA">
            <w:pPr>
              <w:spacing w:line="240" w:lineRule="auto"/>
              <w:jc w:val="right"/>
              <w:rPr>
                <w:rFonts w:ascii="Arial Narrow" w:hAnsi="Arial Narrow" w:cs="Times New Roman"/>
                <w:b/>
                <w:sz w:val="24"/>
                <w:szCs w:val="24"/>
              </w:rPr>
            </w:pPr>
          </w:p>
        </w:tc>
        <w:tc>
          <w:tcPr>
            <w:tcW w:w="1451"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BB7593" w:rsidRPr="003D4711" w:rsidP="009A1FAF">
            <w:pPr>
              <w:spacing w:line="240" w:lineRule="auto"/>
              <w:jc w:val="right"/>
              <w:rPr>
                <w:rFonts w:ascii="Arial Narrow" w:hAnsi="Arial Narrow" w:cs="Times New Roman"/>
                <w:b/>
                <w:sz w:val="24"/>
                <w:szCs w:val="24"/>
              </w:rPr>
            </w:pPr>
          </w:p>
        </w:tc>
        <w:tc>
          <w:tcPr>
            <w:tcW w:w="1617"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BB7593" w:rsidRPr="003D4711" w:rsidP="00C362EA">
            <w:pPr>
              <w:spacing w:line="240" w:lineRule="auto"/>
              <w:jc w:val="right"/>
              <w:rPr>
                <w:rFonts w:ascii="Arial Narrow" w:hAnsi="Arial Narrow" w:cs="Times New Roman"/>
                <w:b/>
                <w:sz w:val="24"/>
                <w:szCs w:val="24"/>
              </w:rPr>
            </w:pPr>
          </w:p>
        </w:tc>
        <w:tc>
          <w:tcPr>
            <w:tcW w:w="1380" w:type="dxa"/>
            <w:tcBorders>
              <w:top w:val="single" w:sz="4" w:space="0" w:color="auto"/>
              <w:left w:val="single" w:sz="4" w:space="0" w:color="auto"/>
              <w:bottom w:val="single" w:sz="4" w:space="0" w:color="auto"/>
              <w:right w:val="single" w:sz="12" w:space="0" w:color="auto"/>
              <w:tl2br w:val="nil"/>
              <w:tr2bl w:val="nil"/>
            </w:tcBorders>
            <w:textDirection w:val="lrTb"/>
            <w:vAlign w:val="center"/>
          </w:tcPr>
          <w:p w:rsidR="00BB7593" w:rsidRPr="003D4711" w:rsidP="00C362EA">
            <w:pPr>
              <w:spacing w:line="240" w:lineRule="auto"/>
              <w:jc w:val="right"/>
              <w:rPr>
                <w:rFonts w:ascii="Arial Narrow" w:hAnsi="Arial Narrow" w:cs="Times New Roman"/>
                <w:b/>
                <w:sz w:val="24"/>
                <w:szCs w:val="24"/>
              </w:rPr>
            </w:pPr>
          </w:p>
        </w:tc>
      </w:tr>
      <w:tr>
        <w:tblPrEx>
          <w:tblW w:w="10400" w:type="dxa"/>
          <w:tblInd w:w="-432" w:type="dxa"/>
        </w:tblPrEx>
        <w:trPr>
          <w:trHeight w:hRule="auto" w:val="0"/>
        </w:trPr>
        <w:tc>
          <w:tcPr>
            <w:tcW w:w="1531" w:type="dxa"/>
            <w:tcBorders>
              <w:top w:val="single" w:sz="4" w:space="0" w:color="auto"/>
              <w:left w:val="single" w:sz="12" w:space="0" w:color="auto"/>
              <w:bottom w:val="single" w:sz="4" w:space="0" w:color="auto"/>
              <w:right w:val="single" w:sz="4" w:space="0" w:color="auto"/>
              <w:tl2br w:val="nil"/>
              <w:tr2bl w:val="nil"/>
            </w:tcBorders>
            <w:textDirection w:val="lrTb"/>
            <w:vAlign w:val="center"/>
          </w:tcPr>
          <w:p w:rsidR="00BB7593" w:rsidRPr="003D4711" w:rsidP="00C362EA">
            <w:pPr>
              <w:spacing w:line="240" w:lineRule="auto"/>
              <w:rPr>
                <w:rFonts w:ascii="Arial Narrow" w:hAnsi="Arial Narrow" w:cs="Times New Roman"/>
                <w:sz w:val="24"/>
                <w:szCs w:val="24"/>
              </w:rPr>
            </w:pPr>
            <w:r w:rsidRPr="003D4711">
              <w:rPr>
                <w:rFonts w:ascii="Arial Narrow" w:hAnsi="Arial Narrow" w:cs="Times New Roman"/>
                <w:sz w:val="24"/>
                <w:szCs w:val="24"/>
              </w:rPr>
              <w:t>Štátna služba</w:t>
            </w:r>
          </w:p>
        </w:tc>
        <w:tc>
          <w:tcPr>
            <w:tcW w:w="1431"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BB7593" w:rsidRPr="003D4711" w:rsidP="00C362EA">
            <w:pPr>
              <w:spacing w:line="240" w:lineRule="auto"/>
              <w:jc w:val="right"/>
              <w:rPr>
                <w:rFonts w:ascii="Arial Narrow" w:hAnsi="Arial Narrow" w:cs="Times New Roman"/>
                <w:sz w:val="24"/>
                <w:szCs w:val="24"/>
              </w:rPr>
            </w:pPr>
            <w:r w:rsidR="00520E46">
              <w:rPr>
                <w:rFonts w:ascii="Arial Narrow" w:hAnsi="Arial Narrow" w:cs="Times New Roman"/>
                <w:sz w:val="24"/>
                <w:szCs w:val="24"/>
              </w:rPr>
              <w:t>1 04</w:t>
            </w:r>
            <w:r w:rsidR="00C17272">
              <w:rPr>
                <w:rFonts w:ascii="Arial Narrow" w:hAnsi="Arial Narrow" w:cs="Times New Roman"/>
                <w:sz w:val="24"/>
                <w:szCs w:val="24"/>
              </w:rPr>
              <w:t>1</w:t>
            </w:r>
          </w:p>
        </w:tc>
        <w:tc>
          <w:tcPr>
            <w:tcW w:w="1486"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BB7593" w:rsidRPr="003D4711" w:rsidP="00C362EA">
            <w:pPr>
              <w:spacing w:line="240" w:lineRule="auto"/>
              <w:jc w:val="right"/>
              <w:rPr>
                <w:rFonts w:ascii="Arial Narrow" w:hAnsi="Arial Narrow" w:cs="Times New Roman"/>
                <w:sz w:val="24"/>
                <w:szCs w:val="24"/>
              </w:rPr>
            </w:pPr>
            <w:r w:rsidR="001E4E86">
              <w:rPr>
                <w:rFonts w:ascii="Arial Narrow" w:hAnsi="Arial Narrow" w:cs="Times New Roman"/>
                <w:sz w:val="24"/>
                <w:szCs w:val="24"/>
              </w:rPr>
              <w:t>2</w:t>
            </w:r>
            <w:r w:rsidR="00C17272">
              <w:rPr>
                <w:rFonts w:ascii="Arial Narrow" w:hAnsi="Arial Narrow" w:cs="Times New Roman"/>
                <w:sz w:val="24"/>
                <w:szCs w:val="24"/>
              </w:rPr>
              <w:t>71</w:t>
            </w:r>
          </w:p>
        </w:tc>
        <w:tc>
          <w:tcPr>
            <w:tcW w:w="1504"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BB7593" w:rsidRPr="003D4711" w:rsidP="00C362EA">
            <w:pPr>
              <w:spacing w:line="240" w:lineRule="auto"/>
              <w:jc w:val="right"/>
              <w:rPr>
                <w:rFonts w:ascii="Arial Narrow" w:hAnsi="Arial Narrow" w:cs="Times New Roman"/>
                <w:sz w:val="24"/>
                <w:szCs w:val="24"/>
              </w:rPr>
            </w:pPr>
            <w:r>
              <w:rPr>
                <w:rFonts w:ascii="Arial Narrow" w:hAnsi="Arial Narrow" w:cs="Times New Roman"/>
                <w:sz w:val="24"/>
                <w:szCs w:val="24"/>
              </w:rPr>
              <w:t>1 032</w:t>
            </w:r>
          </w:p>
        </w:tc>
        <w:tc>
          <w:tcPr>
            <w:tcW w:w="1451"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BB7593" w:rsidRPr="003D4711" w:rsidP="009A1FAF">
            <w:pPr>
              <w:spacing w:line="240" w:lineRule="auto"/>
              <w:jc w:val="right"/>
              <w:rPr>
                <w:rFonts w:ascii="Arial Narrow" w:hAnsi="Arial Narrow" w:cs="Times New Roman"/>
                <w:sz w:val="24"/>
                <w:szCs w:val="24"/>
              </w:rPr>
            </w:pPr>
            <w:r>
              <w:rPr>
                <w:rFonts w:ascii="Arial Narrow" w:hAnsi="Arial Narrow" w:cs="Times New Roman"/>
                <w:sz w:val="24"/>
                <w:szCs w:val="24"/>
              </w:rPr>
              <w:t>262</w:t>
            </w:r>
          </w:p>
        </w:tc>
        <w:tc>
          <w:tcPr>
            <w:tcW w:w="1617"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BB7593" w:rsidRPr="003D4711" w:rsidP="00C362EA">
            <w:pPr>
              <w:spacing w:line="240" w:lineRule="auto"/>
              <w:jc w:val="right"/>
              <w:rPr>
                <w:rFonts w:ascii="Arial Narrow" w:hAnsi="Arial Narrow" w:cs="Times New Roman"/>
                <w:sz w:val="24"/>
                <w:szCs w:val="24"/>
              </w:rPr>
            </w:pPr>
            <w:r>
              <w:rPr>
                <w:rFonts w:ascii="Arial Narrow" w:hAnsi="Arial Narrow" w:cs="Times New Roman"/>
                <w:sz w:val="24"/>
                <w:szCs w:val="24"/>
              </w:rPr>
              <w:t>922</w:t>
            </w:r>
          </w:p>
        </w:tc>
        <w:tc>
          <w:tcPr>
            <w:tcW w:w="1380" w:type="dxa"/>
            <w:tcBorders>
              <w:top w:val="single" w:sz="4" w:space="0" w:color="auto"/>
              <w:left w:val="single" w:sz="4" w:space="0" w:color="auto"/>
              <w:bottom w:val="single" w:sz="4" w:space="0" w:color="auto"/>
              <w:right w:val="single" w:sz="12" w:space="0" w:color="auto"/>
              <w:tl2br w:val="nil"/>
              <w:tr2bl w:val="nil"/>
            </w:tcBorders>
            <w:textDirection w:val="lrTb"/>
            <w:vAlign w:val="center"/>
          </w:tcPr>
          <w:p w:rsidR="00BB7593" w:rsidRPr="003D4711" w:rsidP="00C362EA">
            <w:pPr>
              <w:spacing w:line="240" w:lineRule="auto"/>
              <w:jc w:val="right"/>
              <w:rPr>
                <w:rFonts w:ascii="Arial Narrow" w:hAnsi="Arial Narrow" w:cs="Times New Roman"/>
                <w:sz w:val="24"/>
                <w:szCs w:val="24"/>
              </w:rPr>
            </w:pPr>
            <w:r>
              <w:rPr>
                <w:rFonts w:ascii="Arial Narrow" w:hAnsi="Arial Narrow" w:cs="Times New Roman"/>
                <w:sz w:val="24"/>
                <w:szCs w:val="24"/>
              </w:rPr>
              <w:t>238</w:t>
            </w:r>
          </w:p>
        </w:tc>
      </w:tr>
      <w:tr>
        <w:tblPrEx>
          <w:tblW w:w="10400" w:type="dxa"/>
          <w:tblInd w:w="-432" w:type="dxa"/>
        </w:tblPrEx>
        <w:trPr>
          <w:trHeight w:hRule="auto" w:val="0"/>
        </w:trPr>
        <w:tc>
          <w:tcPr>
            <w:tcW w:w="1531" w:type="dxa"/>
            <w:tcBorders>
              <w:top w:val="single" w:sz="4" w:space="0" w:color="auto"/>
              <w:left w:val="single" w:sz="12" w:space="0" w:color="auto"/>
              <w:bottom w:val="single" w:sz="4" w:space="0" w:color="auto"/>
              <w:right w:val="single" w:sz="4" w:space="0" w:color="auto"/>
              <w:tl2br w:val="nil"/>
              <w:tr2bl w:val="nil"/>
            </w:tcBorders>
            <w:textDirection w:val="lrTb"/>
            <w:vAlign w:val="center"/>
          </w:tcPr>
          <w:p w:rsidR="00BB7593" w:rsidRPr="003D4711" w:rsidP="00C362EA">
            <w:pPr>
              <w:spacing w:line="240" w:lineRule="auto"/>
              <w:rPr>
                <w:rFonts w:ascii="Arial Narrow" w:hAnsi="Arial Narrow" w:cs="Times New Roman"/>
                <w:sz w:val="24"/>
                <w:szCs w:val="24"/>
              </w:rPr>
            </w:pPr>
            <w:r w:rsidRPr="003D4711">
              <w:rPr>
                <w:rFonts w:ascii="Arial Narrow" w:hAnsi="Arial Narrow" w:cs="Times New Roman"/>
                <w:sz w:val="24"/>
                <w:szCs w:val="24"/>
              </w:rPr>
              <w:t>Ostatní</w:t>
            </w:r>
          </w:p>
        </w:tc>
        <w:tc>
          <w:tcPr>
            <w:tcW w:w="1431"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BB7593" w:rsidRPr="003D4711" w:rsidP="00C362EA">
            <w:pPr>
              <w:spacing w:line="240" w:lineRule="auto"/>
              <w:jc w:val="right"/>
              <w:rPr>
                <w:rFonts w:ascii="Arial Narrow" w:hAnsi="Arial Narrow" w:cs="Times New Roman"/>
                <w:sz w:val="24"/>
                <w:szCs w:val="24"/>
              </w:rPr>
            </w:pPr>
            <w:r w:rsidR="00520E46">
              <w:rPr>
                <w:rFonts w:ascii="Arial Narrow" w:hAnsi="Arial Narrow" w:cs="Times New Roman"/>
                <w:sz w:val="24"/>
                <w:szCs w:val="24"/>
              </w:rPr>
              <w:t>1 94</w:t>
            </w:r>
            <w:r w:rsidR="00C17272">
              <w:rPr>
                <w:rFonts w:ascii="Arial Narrow" w:hAnsi="Arial Narrow" w:cs="Times New Roman"/>
                <w:sz w:val="24"/>
                <w:szCs w:val="24"/>
              </w:rPr>
              <w:t>1</w:t>
            </w:r>
          </w:p>
        </w:tc>
        <w:tc>
          <w:tcPr>
            <w:tcW w:w="1486"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BB7593" w:rsidRPr="003D4711" w:rsidP="00C362EA">
            <w:pPr>
              <w:spacing w:line="240" w:lineRule="auto"/>
              <w:jc w:val="right"/>
              <w:rPr>
                <w:rFonts w:ascii="Arial Narrow" w:hAnsi="Arial Narrow" w:cs="Times New Roman"/>
                <w:sz w:val="24"/>
                <w:szCs w:val="24"/>
              </w:rPr>
            </w:pPr>
            <w:r w:rsidR="00C17272">
              <w:rPr>
                <w:rFonts w:ascii="Arial Narrow" w:hAnsi="Arial Narrow" w:cs="Times New Roman"/>
                <w:sz w:val="24"/>
                <w:szCs w:val="24"/>
              </w:rPr>
              <w:t>59</w:t>
            </w:r>
          </w:p>
        </w:tc>
        <w:tc>
          <w:tcPr>
            <w:tcW w:w="1504"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BB7593" w:rsidRPr="003D4711" w:rsidP="00C362EA">
            <w:pPr>
              <w:spacing w:line="240" w:lineRule="auto"/>
              <w:jc w:val="right"/>
              <w:rPr>
                <w:rFonts w:ascii="Arial Narrow" w:hAnsi="Arial Narrow" w:cs="Times New Roman"/>
                <w:sz w:val="24"/>
                <w:szCs w:val="24"/>
              </w:rPr>
            </w:pPr>
            <w:r>
              <w:rPr>
                <w:rFonts w:ascii="Arial Narrow" w:hAnsi="Arial Narrow" w:cs="Times New Roman"/>
                <w:sz w:val="24"/>
                <w:szCs w:val="24"/>
              </w:rPr>
              <w:t>1 927</w:t>
            </w:r>
          </w:p>
        </w:tc>
        <w:tc>
          <w:tcPr>
            <w:tcW w:w="1451"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BB7593" w:rsidRPr="003D4711" w:rsidP="009A1FAF">
            <w:pPr>
              <w:spacing w:line="240" w:lineRule="auto"/>
              <w:jc w:val="right"/>
              <w:rPr>
                <w:rFonts w:ascii="Arial Narrow" w:hAnsi="Arial Narrow" w:cs="Times New Roman"/>
                <w:sz w:val="24"/>
                <w:szCs w:val="24"/>
              </w:rPr>
            </w:pPr>
            <w:r>
              <w:rPr>
                <w:rFonts w:ascii="Arial Narrow" w:hAnsi="Arial Narrow" w:cs="Times New Roman"/>
                <w:sz w:val="24"/>
                <w:szCs w:val="24"/>
              </w:rPr>
              <w:t>51</w:t>
            </w:r>
          </w:p>
        </w:tc>
        <w:tc>
          <w:tcPr>
            <w:tcW w:w="1617"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BB7593" w:rsidRPr="003D4711" w:rsidP="00C362EA">
            <w:pPr>
              <w:spacing w:line="240" w:lineRule="auto"/>
              <w:jc w:val="right"/>
              <w:rPr>
                <w:rFonts w:ascii="Arial Narrow" w:hAnsi="Arial Narrow" w:cs="Times New Roman"/>
                <w:sz w:val="24"/>
                <w:szCs w:val="24"/>
              </w:rPr>
            </w:pPr>
            <w:r>
              <w:rPr>
                <w:rFonts w:ascii="Arial Narrow" w:hAnsi="Arial Narrow" w:cs="Times New Roman"/>
                <w:sz w:val="24"/>
                <w:szCs w:val="24"/>
              </w:rPr>
              <w:t>1 812</w:t>
            </w:r>
          </w:p>
        </w:tc>
        <w:tc>
          <w:tcPr>
            <w:tcW w:w="1380" w:type="dxa"/>
            <w:tcBorders>
              <w:top w:val="single" w:sz="4" w:space="0" w:color="auto"/>
              <w:left w:val="single" w:sz="4" w:space="0" w:color="auto"/>
              <w:bottom w:val="single" w:sz="4" w:space="0" w:color="auto"/>
              <w:right w:val="single" w:sz="12" w:space="0" w:color="auto"/>
              <w:tl2br w:val="nil"/>
              <w:tr2bl w:val="nil"/>
            </w:tcBorders>
            <w:textDirection w:val="lrTb"/>
            <w:vAlign w:val="center"/>
          </w:tcPr>
          <w:p w:rsidR="00BB7593" w:rsidRPr="003D4711" w:rsidP="00C362EA">
            <w:pPr>
              <w:spacing w:line="240" w:lineRule="auto"/>
              <w:jc w:val="right"/>
              <w:rPr>
                <w:rFonts w:ascii="Arial Narrow" w:hAnsi="Arial Narrow" w:cs="Times New Roman"/>
                <w:sz w:val="24"/>
                <w:szCs w:val="24"/>
              </w:rPr>
            </w:pPr>
            <w:r>
              <w:rPr>
                <w:rFonts w:ascii="Arial Narrow" w:hAnsi="Arial Narrow" w:cs="Times New Roman"/>
                <w:sz w:val="24"/>
                <w:szCs w:val="24"/>
              </w:rPr>
              <w:t>51</w:t>
            </w:r>
          </w:p>
        </w:tc>
      </w:tr>
      <w:tr>
        <w:tblPrEx>
          <w:tblW w:w="10400" w:type="dxa"/>
          <w:tblInd w:w="-432" w:type="dxa"/>
        </w:tblPrEx>
        <w:trPr>
          <w:trHeight w:hRule="auto" w:val="0"/>
        </w:trPr>
        <w:tc>
          <w:tcPr>
            <w:tcW w:w="1531" w:type="dxa"/>
            <w:tcBorders>
              <w:top w:val="single" w:sz="4" w:space="0" w:color="auto"/>
              <w:left w:val="single" w:sz="12" w:space="0" w:color="auto"/>
              <w:bottom w:val="single" w:sz="4" w:space="0" w:color="auto"/>
              <w:right w:val="single" w:sz="4" w:space="0" w:color="auto"/>
              <w:tl2br w:val="nil"/>
              <w:tr2bl w:val="nil"/>
            </w:tcBorders>
            <w:textDirection w:val="lrTb"/>
            <w:vAlign w:val="center"/>
          </w:tcPr>
          <w:p w:rsidR="00BB7593" w:rsidRPr="003D4711" w:rsidP="00C362EA">
            <w:pPr>
              <w:spacing w:line="240" w:lineRule="auto"/>
              <w:rPr>
                <w:rFonts w:ascii="Arial Narrow" w:hAnsi="Arial Narrow" w:cs="Times New Roman"/>
                <w:sz w:val="24"/>
                <w:szCs w:val="24"/>
              </w:rPr>
            </w:pPr>
            <w:r w:rsidRPr="003D4711">
              <w:rPr>
                <w:rFonts w:ascii="Arial Narrow" w:hAnsi="Arial Narrow" w:cs="Times New Roman"/>
                <w:sz w:val="24"/>
                <w:szCs w:val="24"/>
              </w:rPr>
              <w:t xml:space="preserve">z toho: </w:t>
            </w:r>
          </w:p>
        </w:tc>
        <w:tc>
          <w:tcPr>
            <w:tcW w:w="1431"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BB7593" w:rsidRPr="003D4711" w:rsidP="00C362EA">
            <w:pPr>
              <w:spacing w:line="240" w:lineRule="auto"/>
              <w:jc w:val="right"/>
              <w:rPr>
                <w:rFonts w:ascii="Arial Narrow" w:hAnsi="Arial Narrow" w:cs="Times New Roman"/>
                <w:sz w:val="24"/>
                <w:szCs w:val="24"/>
              </w:rPr>
            </w:pPr>
          </w:p>
        </w:tc>
        <w:tc>
          <w:tcPr>
            <w:tcW w:w="1486"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BB7593" w:rsidRPr="003D4711" w:rsidP="00C362EA">
            <w:pPr>
              <w:spacing w:line="240" w:lineRule="auto"/>
              <w:jc w:val="right"/>
              <w:rPr>
                <w:rFonts w:ascii="Arial Narrow" w:hAnsi="Arial Narrow" w:cs="Times New Roman"/>
                <w:sz w:val="24"/>
                <w:szCs w:val="24"/>
              </w:rPr>
            </w:pPr>
          </w:p>
        </w:tc>
        <w:tc>
          <w:tcPr>
            <w:tcW w:w="1504"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BB7593" w:rsidRPr="003D4711" w:rsidP="00C362EA">
            <w:pPr>
              <w:spacing w:line="240" w:lineRule="auto"/>
              <w:jc w:val="right"/>
              <w:rPr>
                <w:rFonts w:ascii="Arial Narrow" w:hAnsi="Arial Narrow" w:cs="Times New Roman"/>
                <w:sz w:val="24"/>
                <w:szCs w:val="24"/>
              </w:rPr>
            </w:pPr>
          </w:p>
        </w:tc>
        <w:tc>
          <w:tcPr>
            <w:tcW w:w="1451"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BB7593" w:rsidRPr="003D4711" w:rsidP="009A1FAF">
            <w:pPr>
              <w:spacing w:line="240" w:lineRule="auto"/>
              <w:jc w:val="right"/>
              <w:rPr>
                <w:rFonts w:ascii="Arial Narrow" w:hAnsi="Arial Narrow" w:cs="Times New Roman"/>
                <w:sz w:val="24"/>
                <w:szCs w:val="24"/>
              </w:rPr>
            </w:pPr>
          </w:p>
        </w:tc>
        <w:tc>
          <w:tcPr>
            <w:tcW w:w="1617"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BB7593" w:rsidRPr="003D4711" w:rsidP="00C362EA">
            <w:pPr>
              <w:spacing w:line="240" w:lineRule="auto"/>
              <w:jc w:val="right"/>
              <w:rPr>
                <w:rFonts w:ascii="Arial Narrow" w:hAnsi="Arial Narrow" w:cs="Times New Roman"/>
                <w:sz w:val="24"/>
                <w:szCs w:val="24"/>
              </w:rPr>
            </w:pPr>
          </w:p>
        </w:tc>
        <w:tc>
          <w:tcPr>
            <w:tcW w:w="1380" w:type="dxa"/>
            <w:tcBorders>
              <w:top w:val="single" w:sz="4" w:space="0" w:color="auto"/>
              <w:left w:val="single" w:sz="4" w:space="0" w:color="auto"/>
              <w:bottom w:val="single" w:sz="4" w:space="0" w:color="auto"/>
              <w:right w:val="single" w:sz="12" w:space="0" w:color="auto"/>
              <w:tl2br w:val="nil"/>
              <w:tr2bl w:val="nil"/>
            </w:tcBorders>
            <w:textDirection w:val="lrTb"/>
            <w:vAlign w:val="center"/>
          </w:tcPr>
          <w:p w:rsidR="00BB7593" w:rsidRPr="003D4711" w:rsidP="00C362EA">
            <w:pPr>
              <w:spacing w:line="240" w:lineRule="auto"/>
              <w:jc w:val="right"/>
              <w:rPr>
                <w:rFonts w:ascii="Arial Narrow" w:hAnsi="Arial Narrow" w:cs="Times New Roman"/>
                <w:sz w:val="24"/>
                <w:szCs w:val="24"/>
              </w:rPr>
            </w:pPr>
          </w:p>
        </w:tc>
      </w:tr>
      <w:tr>
        <w:tblPrEx>
          <w:tblW w:w="10400" w:type="dxa"/>
          <w:tblInd w:w="-432" w:type="dxa"/>
        </w:tblPrEx>
        <w:trPr>
          <w:trHeight w:hRule="auto" w:val="0"/>
        </w:trPr>
        <w:tc>
          <w:tcPr>
            <w:tcW w:w="1531" w:type="dxa"/>
            <w:tcBorders>
              <w:top w:val="single" w:sz="4" w:space="0" w:color="auto"/>
              <w:left w:val="single" w:sz="12" w:space="0" w:color="auto"/>
              <w:bottom w:val="single" w:sz="4" w:space="0" w:color="auto"/>
              <w:right w:val="single" w:sz="4" w:space="0" w:color="auto"/>
              <w:tl2br w:val="nil"/>
              <w:tr2bl w:val="nil"/>
            </w:tcBorders>
            <w:textDirection w:val="lrTb"/>
            <w:vAlign w:val="center"/>
          </w:tcPr>
          <w:p w:rsidR="00BB7593" w:rsidRPr="003D4711" w:rsidP="00C362EA">
            <w:pPr>
              <w:spacing w:line="240" w:lineRule="auto"/>
              <w:rPr>
                <w:rFonts w:ascii="Arial Narrow" w:hAnsi="Arial Narrow" w:cs="Times New Roman"/>
                <w:sz w:val="24"/>
                <w:szCs w:val="24"/>
              </w:rPr>
            </w:pPr>
            <w:r w:rsidRPr="003D4711">
              <w:rPr>
                <w:rFonts w:ascii="Arial Narrow" w:hAnsi="Arial Narrow" w:cs="Times New Roman"/>
                <w:sz w:val="24"/>
                <w:szCs w:val="24"/>
              </w:rPr>
              <w:t>Verejná služba</w:t>
            </w:r>
          </w:p>
        </w:tc>
        <w:tc>
          <w:tcPr>
            <w:tcW w:w="1431"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BB7593" w:rsidRPr="003D4711" w:rsidP="00C362EA">
            <w:pPr>
              <w:spacing w:line="240" w:lineRule="auto"/>
              <w:jc w:val="right"/>
              <w:rPr>
                <w:rFonts w:ascii="Arial Narrow" w:hAnsi="Arial Narrow" w:cs="Times New Roman"/>
                <w:sz w:val="24"/>
                <w:szCs w:val="24"/>
              </w:rPr>
            </w:pPr>
            <w:r w:rsidR="00520E46">
              <w:rPr>
                <w:rFonts w:ascii="Arial Narrow" w:hAnsi="Arial Narrow" w:cs="Times New Roman"/>
                <w:sz w:val="24"/>
                <w:szCs w:val="24"/>
              </w:rPr>
              <w:t>81</w:t>
            </w:r>
            <w:r w:rsidR="00C17272">
              <w:rPr>
                <w:rFonts w:ascii="Arial Narrow" w:hAnsi="Arial Narrow" w:cs="Times New Roman"/>
                <w:sz w:val="24"/>
                <w:szCs w:val="24"/>
              </w:rPr>
              <w:t>5</w:t>
            </w:r>
          </w:p>
        </w:tc>
        <w:tc>
          <w:tcPr>
            <w:tcW w:w="1486"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BB7593" w:rsidRPr="003D4711" w:rsidP="00C362EA">
            <w:pPr>
              <w:spacing w:line="240" w:lineRule="auto"/>
              <w:jc w:val="right"/>
              <w:rPr>
                <w:rFonts w:ascii="Arial Narrow" w:hAnsi="Arial Narrow" w:cs="Times New Roman"/>
                <w:sz w:val="24"/>
                <w:szCs w:val="24"/>
              </w:rPr>
            </w:pPr>
            <w:r w:rsidR="00C17272">
              <w:rPr>
                <w:rFonts w:ascii="Arial Narrow" w:hAnsi="Arial Narrow" w:cs="Times New Roman"/>
                <w:sz w:val="24"/>
                <w:szCs w:val="24"/>
              </w:rPr>
              <w:t>58</w:t>
            </w:r>
          </w:p>
        </w:tc>
        <w:tc>
          <w:tcPr>
            <w:tcW w:w="1504"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BB7593" w:rsidRPr="003D4711" w:rsidP="00C362EA">
            <w:pPr>
              <w:spacing w:line="240" w:lineRule="auto"/>
              <w:jc w:val="right"/>
              <w:rPr>
                <w:rFonts w:ascii="Arial Narrow" w:hAnsi="Arial Narrow" w:cs="Times New Roman"/>
                <w:sz w:val="24"/>
                <w:szCs w:val="24"/>
              </w:rPr>
            </w:pPr>
            <w:r>
              <w:rPr>
                <w:rFonts w:ascii="Arial Narrow" w:hAnsi="Arial Narrow" w:cs="Times New Roman"/>
                <w:sz w:val="24"/>
                <w:szCs w:val="24"/>
              </w:rPr>
              <w:t>801</w:t>
            </w:r>
          </w:p>
        </w:tc>
        <w:tc>
          <w:tcPr>
            <w:tcW w:w="1451"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BB7593" w:rsidRPr="003D4711" w:rsidP="009A1FAF">
            <w:pPr>
              <w:spacing w:line="240" w:lineRule="auto"/>
              <w:jc w:val="right"/>
              <w:rPr>
                <w:rFonts w:ascii="Arial Narrow" w:hAnsi="Arial Narrow" w:cs="Times New Roman"/>
                <w:sz w:val="24"/>
                <w:szCs w:val="24"/>
              </w:rPr>
            </w:pPr>
            <w:r>
              <w:rPr>
                <w:rFonts w:ascii="Arial Narrow" w:hAnsi="Arial Narrow" w:cs="Times New Roman"/>
                <w:sz w:val="24"/>
                <w:szCs w:val="24"/>
              </w:rPr>
              <w:t>50</w:t>
            </w:r>
          </w:p>
        </w:tc>
        <w:tc>
          <w:tcPr>
            <w:tcW w:w="1617"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BB7593" w:rsidRPr="003D4711" w:rsidP="00C362EA">
            <w:pPr>
              <w:spacing w:line="240" w:lineRule="auto"/>
              <w:jc w:val="right"/>
              <w:rPr>
                <w:rFonts w:ascii="Arial Narrow" w:hAnsi="Arial Narrow" w:cs="Times New Roman"/>
                <w:sz w:val="24"/>
                <w:szCs w:val="24"/>
              </w:rPr>
            </w:pPr>
            <w:r>
              <w:rPr>
                <w:rFonts w:ascii="Arial Narrow" w:hAnsi="Arial Narrow" w:cs="Times New Roman"/>
                <w:sz w:val="24"/>
                <w:szCs w:val="24"/>
              </w:rPr>
              <w:t>738</w:t>
            </w:r>
          </w:p>
        </w:tc>
        <w:tc>
          <w:tcPr>
            <w:tcW w:w="1380" w:type="dxa"/>
            <w:tcBorders>
              <w:top w:val="single" w:sz="4" w:space="0" w:color="auto"/>
              <w:left w:val="single" w:sz="4" w:space="0" w:color="auto"/>
              <w:bottom w:val="single" w:sz="4" w:space="0" w:color="auto"/>
              <w:right w:val="single" w:sz="12" w:space="0" w:color="auto"/>
              <w:tl2br w:val="nil"/>
              <w:tr2bl w:val="nil"/>
            </w:tcBorders>
            <w:textDirection w:val="lrTb"/>
            <w:vAlign w:val="center"/>
          </w:tcPr>
          <w:p w:rsidR="00BB7593" w:rsidRPr="003D4711" w:rsidP="00C362EA">
            <w:pPr>
              <w:spacing w:line="240" w:lineRule="auto"/>
              <w:jc w:val="right"/>
              <w:rPr>
                <w:rFonts w:ascii="Arial Narrow" w:hAnsi="Arial Narrow" w:cs="Times New Roman"/>
                <w:sz w:val="24"/>
                <w:szCs w:val="24"/>
              </w:rPr>
            </w:pPr>
            <w:r>
              <w:rPr>
                <w:rFonts w:ascii="Arial Narrow" w:hAnsi="Arial Narrow" w:cs="Times New Roman"/>
                <w:sz w:val="24"/>
                <w:szCs w:val="24"/>
              </w:rPr>
              <w:t>50</w:t>
            </w:r>
          </w:p>
        </w:tc>
      </w:tr>
      <w:tr>
        <w:tblPrEx>
          <w:tblW w:w="10400" w:type="dxa"/>
          <w:tblInd w:w="-432" w:type="dxa"/>
        </w:tblPrEx>
        <w:trPr>
          <w:trHeight w:hRule="auto" w:val="0"/>
        </w:trPr>
        <w:tc>
          <w:tcPr>
            <w:tcW w:w="1531" w:type="dxa"/>
            <w:tcBorders>
              <w:top w:val="single" w:sz="4" w:space="0" w:color="auto"/>
              <w:left w:val="single" w:sz="12" w:space="0" w:color="auto"/>
              <w:bottom w:val="single" w:sz="4" w:space="0" w:color="auto"/>
              <w:right w:val="single" w:sz="4" w:space="0" w:color="auto"/>
              <w:tl2br w:val="nil"/>
              <w:tr2bl w:val="nil"/>
            </w:tcBorders>
            <w:textDirection w:val="lrTb"/>
            <w:vAlign w:val="center"/>
          </w:tcPr>
          <w:p w:rsidR="00BB7593" w:rsidRPr="003D4711" w:rsidP="00C362EA">
            <w:pPr>
              <w:spacing w:line="240" w:lineRule="auto"/>
              <w:rPr>
                <w:rFonts w:ascii="Arial Narrow" w:hAnsi="Arial Narrow" w:cs="Times New Roman"/>
                <w:sz w:val="24"/>
                <w:szCs w:val="24"/>
              </w:rPr>
            </w:pPr>
            <w:r w:rsidRPr="003D4711">
              <w:rPr>
                <w:rFonts w:ascii="Arial Narrow" w:hAnsi="Arial Narrow" w:cs="Times New Roman"/>
                <w:sz w:val="24"/>
                <w:szCs w:val="24"/>
              </w:rPr>
              <w:t>Policajti</w:t>
            </w:r>
          </w:p>
        </w:tc>
        <w:tc>
          <w:tcPr>
            <w:tcW w:w="1431"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BB7593" w:rsidRPr="003D4711" w:rsidP="00C362EA">
            <w:pPr>
              <w:spacing w:line="240" w:lineRule="auto"/>
              <w:jc w:val="right"/>
              <w:rPr>
                <w:rFonts w:ascii="Arial Narrow" w:hAnsi="Arial Narrow" w:cs="Times New Roman"/>
                <w:sz w:val="24"/>
                <w:szCs w:val="24"/>
              </w:rPr>
            </w:pPr>
            <w:r w:rsidR="00520E46">
              <w:rPr>
                <w:rFonts w:ascii="Arial Narrow" w:hAnsi="Arial Narrow" w:cs="Times New Roman"/>
                <w:sz w:val="24"/>
                <w:szCs w:val="24"/>
              </w:rPr>
              <w:t>1 125</w:t>
            </w:r>
          </w:p>
        </w:tc>
        <w:tc>
          <w:tcPr>
            <w:tcW w:w="1486"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BB7593" w:rsidRPr="003D4711" w:rsidP="00C362EA">
            <w:pPr>
              <w:spacing w:line="240" w:lineRule="auto"/>
              <w:jc w:val="right"/>
              <w:rPr>
                <w:rFonts w:ascii="Arial Narrow" w:hAnsi="Arial Narrow" w:cs="Times New Roman"/>
                <w:sz w:val="24"/>
                <w:szCs w:val="24"/>
              </w:rPr>
            </w:pPr>
            <w:r w:rsidR="001E4E86">
              <w:rPr>
                <w:rFonts w:ascii="Arial Narrow" w:hAnsi="Arial Narrow" w:cs="Times New Roman"/>
                <w:sz w:val="24"/>
                <w:szCs w:val="24"/>
              </w:rPr>
              <w:t>-</w:t>
            </w:r>
          </w:p>
        </w:tc>
        <w:tc>
          <w:tcPr>
            <w:tcW w:w="1504"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BB7593" w:rsidRPr="003D4711" w:rsidP="00C362EA">
            <w:pPr>
              <w:spacing w:line="240" w:lineRule="auto"/>
              <w:jc w:val="right"/>
              <w:rPr>
                <w:rFonts w:ascii="Arial Narrow" w:hAnsi="Arial Narrow" w:cs="Times New Roman"/>
                <w:sz w:val="24"/>
                <w:szCs w:val="24"/>
              </w:rPr>
            </w:pPr>
            <w:r>
              <w:rPr>
                <w:rFonts w:ascii="Arial Narrow" w:hAnsi="Arial Narrow" w:cs="Times New Roman"/>
                <w:sz w:val="24"/>
                <w:szCs w:val="24"/>
              </w:rPr>
              <w:t>1 125</w:t>
            </w:r>
          </w:p>
        </w:tc>
        <w:tc>
          <w:tcPr>
            <w:tcW w:w="1451"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BB7593" w:rsidRPr="003D4711" w:rsidP="009A1FAF">
            <w:pPr>
              <w:spacing w:line="240" w:lineRule="auto"/>
              <w:jc w:val="right"/>
              <w:rPr>
                <w:rFonts w:ascii="Arial Narrow" w:hAnsi="Arial Narrow" w:cs="Times New Roman"/>
                <w:sz w:val="24"/>
                <w:szCs w:val="24"/>
              </w:rPr>
            </w:pPr>
            <w:r w:rsidR="001E4E86">
              <w:rPr>
                <w:rFonts w:ascii="Arial Narrow" w:hAnsi="Arial Narrow" w:cs="Times New Roman"/>
                <w:sz w:val="24"/>
                <w:szCs w:val="24"/>
              </w:rPr>
              <w:t>-</w:t>
            </w:r>
          </w:p>
        </w:tc>
        <w:tc>
          <w:tcPr>
            <w:tcW w:w="1617"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BB7593" w:rsidRPr="003D4711" w:rsidP="00C362EA">
            <w:pPr>
              <w:spacing w:line="240" w:lineRule="auto"/>
              <w:jc w:val="right"/>
              <w:rPr>
                <w:rFonts w:ascii="Arial Narrow" w:hAnsi="Arial Narrow" w:cs="Times New Roman"/>
                <w:sz w:val="24"/>
                <w:szCs w:val="24"/>
              </w:rPr>
            </w:pPr>
            <w:r>
              <w:rPr>
                <w:rFonts w:ascii="Arial Narrow" w:hAnsi="Arial Narrow" w:cs="Times New Roman"/>
                <w:sz w:val="24"/>
                <w:szCs w:val="24"/>
              </w:rPr>
              <w:t>1 073</w:t>
            </w:r>
          </w:p>
        </w:tc>
        <w:tc>
          <w:tcPr>
            <w:tcW w:w="1380" w:type="dxa"/>
            <w:tcBorders>
              <w:top w:val="single" w:sz="4" w:space="0" w:color="auto"/>
              <w:left w:val="single" w:sz="4" w:space="0" w:color="auto"/>
              <w:bottom w:val="single" w:sz="4" w:space="0" w:color="auto"/>
              <w:right w:val="single" w:sz="12" w:space="0" w:color="auto"/>
              <w:tl2br w:val="nil"/>
              <w:tr2bl w:val="nil"/>
            </w:tcBorders>
            <w:textDirection w:val="lrTb"/>
            <w:vAlign w:val="center"/>
          </w:tcPr>
          <w:p w:rsidR="00BB7593" w:rsidRPr="003D4711" w:rsidP="00C362EA">
            <w:pPr>
              <w:spacing w:line="240" w:lineRule="auto"/>
              <w:jc w:val="right"/>
              <w:rPr>
                <w:rFonts w:ascii="Arial Narrow" w:hAnsi="Arial Narrow" w:cs="Times New Roman"/>
                <w:sz w:val="24"/>
                <w:szCs w:val="24"/>
              </w:rPr>
            </w:pPr>
            <w:r w:rsidR="001E4E86">
              <w:rPr>
                <w:rFonts w:ascii="Arial Narrow" w:hAnsi="Arial Narrow" w:cs="Times New Roman"/>
                <w:sz w:val="24"/>
                <w:szCs w:val="24"/>
              </w:rPr>
              <w:t>-</w:t>
            </w:r>
          </w:p>
        </w:tc>
      </w:tr>
      <w:tr>
        <w:tblPrEx>
          <w:tblW w:w="10400" w:type="dxa"/>
          <w:tblInd w:w="-432" w:type="dxa"/>
        </w:tblPrEx>
        <w:trPr>
          <w:trHeight w:hRule="auto" w:val="0"/>
        </w:trPr>
        <w:tc>
          <w:tcPr>
            <w:tcW w:w="1531" w:type="dxa"/>
            <w:tcBorders>
              <w:top w:val="single" w:sz="4" w:space="0" w:color="auto"/>
              <w:left w:val="single" w:sz="12" w:space="0" w:color="auto"/>
              <w:bottom w:val="single" w:sz="12" w:space="0" w:color="auto"/>
              <w:right w:val="single" w:sz="4" w:space="0" w:color="auto"/>
              <w:tl2br w:val="nil"/>
              <w:tr2bl w:val="nil"/>
            </w:tcBorders>
            <w:textDirection w:val="lrTb"/>
            <w:vAlign w:val="center"/>
          </w:tcPr>
          <w:p w:rsidR="00BB7593" w:rsidRPr="003D4711" w:rsidP="00C362EA">
            <w:pPr>
              <w:spacing w:line="240" w:lineRule="auto"/>
              <w:rPr>
                <w:rFonts w:ascii="Arial Narrow" w:hAnsi="Arial Narrow" w:cs="Times New Roman"/>
                <w:sz w:val="24"/>
                <w:szCs w:val="24"/>
              </w:rPr>
            </w:pPr>
            <w:r w:rsidRPr="003D4711">
              <w:rPr>
                <w:rFonts w:ascii="Arial Narrow" w:hAnsi="Arial Narrow" w:cs="Times New Roman"/>
                <w:sz w:val="24"/>
                <w:szCs w:val="24"/>
              </w:rPr>
              <w:t>Ústavný činiteľ</w:t>
            </w:r>
          </w:p>
        </w:tc>
        <w:tc>
          <w:tcPr>
            <w:tcW w:w="1431" w:type="dxa"/>
            <w:tcBorders>
              <w:top w:val="single" w:sz="4" w:space="0" w:color="auto"/>
              <w:left w:val="single" w:sz="4" w:space="0" w:color="auto"/>
              <w:bottom w:val="single" w:sz="12" w:space="0" w:color="auto"/>
              <w:right w:val="single" w:sz="4" w:space="0" w:color="auto"/>
              <w:tl2br w:val="nil"/>
              <w:tr2bl w:val="nil"/>
            </w:tcBorders>
            <w:textDirection w:val="lrTb"/>
            <w:vAlign w:val="center"/>
          </w:tcPr>
          <w:p w:rsidR="00BB7593" w:rsidRPr="003D4711" w:rsidP="00C362EA">
            <w:pPr>
              <w:spacing w:line="240" w:lineRule="auto"/>
              <w:jc w:val="right"/>
              <w:rPr>
                <w:rFonts w:ascii="Arial Narrow" w:hAnsi="Arial Narrow" w:cs="Times New Roman"/>
                <w:sz w:val="24"/>
                <w:szCs w:val="24"/>
              </w:rPr>
            </w:pPr>
            <w:r>
              <w:rPr>
                <w:rFonts w:ascii="Arial Narrow" w:hAnsi="Arial Narrow" w:cs="Times New Roman"/>
                <w:sz w:val="24"/>
                <w:szCs w:val="24"/>
              </w:rPr>
              <w:t>1</w:t>
            </w:r>
          </w:p>
        </w:tc>
        <w:tc>
          <w:tcPr>
            <w:tcW w:w="1486" w:type="dxa"/>
            <w:tcBorders>
              <w:top w:val="single" w:sz="4" w:space="0" w:color="auto"/>
              <w:left w:val="single" w:sz="4" w:space="0" w:color="auto"/>
              <w:bottom w:val="single" w:sz="12" w:space="0" w:color="auto"/>
              <w:right w:val="single" w:sz="4" w:space="0" w:color="auto"/>
              <w:tl2br w:val="nil"/>
              <w:tr2bl w:val="nil"/>
            </w:tcBorders>
            <w:textDirection w:val="lrTb"/>
            <w:vAlign w:val="center"/>
          </w:tcPr>
          <w:p w:rsidR="00BB7593" w:rsidRPr="003D4711" w:rsidP="00C362EA">
            <w:pPr>
              <w:spacing w:line="240" w:lineRule="auto"/>
              <w:jc w:val="right"/>
              <w:rPr>
                <w:rFonts w:ascii="Arial Narrow" w:hAnsi="Arial Narrow" w:cs="Times New Roman"/>
                <w:sz w:val="24"/>
                <w:szCs w:val="24"/>
              </w:rPr>
            </w:pPr>
            <w:r>
              <w:rPr>
                <w:rFonts w:ascii="Arial Narrow" w:hAnsi="Arial Narrow" w:cs="Times New Roman"/>
                <w:sz w:val="24"/>
                <w:szCs w:val="24"/>
              </w:rPr>
              <w:t>1</w:t>
            </w:r>
          </w:p>
        </w:tc>
        <w:tc>
          <w:tcPr>
            <w:tcW w:w="1504" w:type="dxa"/>
            <w:tcBorders>
              <w:top w:val="single" w:sz="4" w:space="0" w:color="auto"/>
              <w:left w:val="single" w:sz="4" w:space="0" w:color="auto"/>
              <w:bottom w:val="single" w:sz="12" w:space="0" w:color="auto"/>
              <w:right w:val="single" w:sz="4" w:space="0" w:color="auto"/>
              <w:tl2br w:val="nil"/>
              <w:tr2bl w:val="nil"/>
            </w:tcBorders>
            <w:textDirection w:val="lrTb"/>
            <w:vAlign w:val="center"/>
          </w:tcPr>
          <w:p w:rsidR="00BB7593" w:rsidRPr="003D4711" w:rsidP="00C362EA">
            <w:pPr>
              <w:spacing w:line="240" w:lineRule="auto"/>
              <w:jc w:val="right"/>
              <w:rPr>
                <w:rFonts w:ascii="Arial Narrow" w:hAnsi="Arial Narrow" w:cs="Times New Roman"/>
                <w:sz w:val="24"/>
                <w:szCs w:val="24"/>
              </w:rPr>
            </w:pPr>
            <w:r>
              <w:rPr>
                <w:rFonts w:ascii="Arial Narrow" w:hAnsi="Arial Narrow" w:cs="Times New Roman"/>
                <w:sz w:val="24"/>
                <w:szCs w:val="24"/>
              </w:rPr>
              <w:t>1</w:t>
            </w:r>
          </w:p>
        </w:tc>
        <w:tc>
          <w:tcPr>
            <w:tcW w:w="1451" w:type="dxa"/>
            <w:tcBorders>
              <w:top w:val="single" w:sz="4" w:space="0" w:color="auto"/>
              <w:left w:val="single" w:sz="4" w:space="0" w:color="auto"/>
              <w:bottom w:val="single" w:sz="12" w:space="0" w:color="auto"/>
              <w:right w:val="single" w:sz="4" w:space="0" w:color="auto"/>
              <w:tl2br w:val="nil"/>
              <w:tr2bl w:val="nil"/>
            </w:tcBorders>
            <w:textDirection w:val="lrTb"/>
            <w:vAlign w:val="center"/>
          </w:tcPr>
          <w:p w:rsidR="00BB7593" w:rsidRPr="003D4711" w:rsidP="009A1FAF">
            <w:pPr>
              <w:spacing w:line="240" w:lineRule="auto"/>
              <w:jc w:val="right"/>
              <w:rPr>
                <w:rFonts w:ascii="Arial Narrow" w:hAnsi="Arial Narrow" w:cs="Times New Roman"/>
                <w:sz w:val="24"/>
                <w:szCs w:val="24"/>
              </w:rPr>
            </w:pPr>
            <w:r>
              <w:rPr>
                <w:rFonts w:ascii="Arial Narrow" w:hAnsi="Arial Narrow" w:cs="Times New Roman"/>
                <w:sz w:val="24"/>
                <w:szCs w:val="24"/>
              </w:rPr>
              <w:t>1</w:t>
            </w:r>
          </w:p>
        </w:tc>
        <w:tc>
          <w:tcPr>
            <w:tcW w:w="1617" w:type="dxa"/>
            <w:tcBorders>
              <w:top w:val="single" w:sz="4" w:space="0" w:color="auto"/>
              <w:left w:val="single" w:sz="4" w:space="0" w:color="auto"/>
              <w:bottom w:val="single" w:sz="12" w:space="0" w:color="auto"/>
              <w:right w:val="single" w:sz="4" w:space="0" w:color="auto"/>
              <w:tl2br w:val="nil"/>
              <w:tr2bl w:val="nil"/>
            </w:tcBorders>
            <w:textDirection w:val="lrTb"/>
            <w:vAlign w:val="center"/>
          </w:tcPr>
          <w:p w:rsidR="00BB7593" w:rsidRPr="003D4711" w:rsidP="00C362EA">
            <w:pPr>
              <w:spacing w:line="240" w:lineRule="auto"/>
              <w:jc w:val="right"/>
              <w:rPr>
                <w:rFonts w:ascii="Arial Narrow" w:hAnsi="Arial Narrow" w:cs="Times New Roman"/>
                <w:sz w:val="24"/>
                <w:szCs w:val="24"/>
              </w:rPr>
            </w:pPr>
            <w:r>
              <w:rPr>
                <w:rFonts w:ascii="Arial Narrow" w:hAnsi="Arial Narrow" w:cs="Times New Roman"/>
                <w:sz w:val="24"/>
                <w:szCs w:val="24"/>
              </w:rPr>
              <w:t>1</w:t>
            </w:r>
          </w:p>
        </w:tc>
        <w:tc>
          <w:tcPr>
            <w:tcW w:w="1380" w:type="dxa"/>
            <w:tcBorders>
              <w:top w:val="single" w:sz="4" w:space="0" w:color="auto"/>
              <w:left w:val="single" w:sz="4" w:space="0" w:color="auto"/>
              <w:bottom w:val="single" w:sz="12" w:space="0" w:color="auto"/>
              <w:right w:val="single" w:sz="12" w:space="0" w:color="auto"/>
              <w:tl2br w:val="nil"/>
              <w:tr2bl w:val="nil"/>
            </w:tcBorders>
            <w:textDirection w:val="lrTb"/>
            <w:vAlign w:val="center"/>
          </w:tcPr>
          <w:p w:rsidR="00BB7593" w:rsidRPr="003D4711" w:rsidP="00C362EA">
            <w:pPr>
              <w:spacing w:line="240" w:lineRule="auto"/>
              <w:jc w:val="right"/>
              <w:rPr>
                <w:rFonts w:ascii="Arial Narrow" w:hAnsi="Arial Narrow" w:cs="Times New Roman"/>
                <w:sz w:val="24"/>
                <w:szCs w:val="24"/>
              </w:rPr>
            </w:pPr>
            <w:r>
              <w:rPr>
                <w:rFonts w:ascii="Arial Narrow" w:hAnsi="Arial Narrow" w:cs="Times New Roman"/>
                <w:sz w:val="24"/>
                <w:szCs w:val="24"/>
              </w:rPr>
              <w:t>1</w:t>
            </w:r>
          </w:p>
        </w:tc>
      </w:tr>
    </w:tbl>
    <w:p w:rsidR="00575536" w:rsidRPr="003D4711" w:rsidP="00C362EA">
      <w:pPr>
        <w:spacing w:line="240" w:lineRule="auto"/>
        <w:rPr>
          <w:rFonts w:ascii="Times New Roman" w:hAnsi="Times New Roman" w:cs="Times New Roman"/>
          <w:sz w:val="24"/>
          <w:szCs w:val="24"/>
        </w:rPr>
      </w:pPr>
      <w:r w:rsidRPr="006052AA" w:rsidR="00881384">
        <w:rPr>
          <w:rFonts w:ascii="Times New Roman" w:hAnsi="Times New Roman" w:cs="Times New Roman"/>
          <w:sz w:val="24"/>
          <w:szCs w:val="24"/>
        </w:rPr>
        <w:t xml:space="preserve">                             </w:t>
      </w:r>
      <w:r w:rsidR="00EE4856">
        <w:rPr>
          <w:rFonts w:ascii="Times New Roman" w:hAnsi="Times New Roman" w:cs="Times New Roman"/>
          <w:sz w:val="24"/>
          <w:szCs w:val="24"/>
        </w:rPr>
        <w:t xml:space="preserve">   </w:t>
      </w:r>
    </w:p>
    <w:p w:rsidR="00C17272" w:rsidRPr="003D4711" w:rsidP="00C17272">
      <w:pPr>
        <w:spacing w:line="240" w:lineRule="auto"/>
        <w:ind w:firstLine="720"/>
        <w:rPr>
          <w:rFonts w:ascii="Times New Roman" w:hAnsi="Times New Roman" w:cs="Times New Roman"/>
          <w:sz w:val="24"/>
          <w:szCs w:val="24"/>
        </w:rPr>
      </w:pPr>
      <w:r>
        <w:rPr>
          <w:rFonts w:ascii="Times New Roman" w:hAnsi="Times New Roman" w:cs="Times New Roman"/>
          <w:sz w:val="24"/>
          <w:szCs w:val="24"/>
        </w:rPr>
        <w:t>V roku 2007 mali organizácie v rámci rozpočtovej kapitoly MDPT SR v skutočnosti o 225 zamestnancov menej ako bol ich upravený limit. Úspora zamestnancov bola dosiahnutá zabezpečovaním úloh vyplývajúcich z bodu C.15 uznesenia vlády č. 856/2006, najmä racionalizáciou činností a organizačných štruktúr.</w:t>
      </w:r>
    </w:p>
    <w:p w:rsidR="00B372D5" w:rsidP="00C362EA">
      <w:pPr>
        <w:spacing w:line="240" w:lineRule="auto"/>
        <w:jc w:val="center"/>
        <w:rPr>
          <w:rFonts w:ascii="Times New Roman" w:hAnsi="Times New Roman" w:cs="Times New Roman"/>
          <w:b/>
          <w:bCs/>
          <w:sz w:val="24"/>
          <w:szCs w:val="24"/>
        </w:rPr>
      </w:pPr>
    </w:p>
    <w:p w:rsidR="001221BA" w:rsidP="00C362EA">
      <w:pPr>
        <w:spacing w:line="240" w:lineRule="auto"/>
        <w:jc w:val="center"/>
        <w:rPr>
          <w:rFonts w:ascii="Times New Roman" w:hAnsi="Times New Roman" w:cs="Times New Roman"/>
          <w:b/>
          <w:bCs/>
          <w:sz w:val="24"/>
          <w:szCs w:val="24"/>
        </w:rPr>
      </w:pPr>
    </w:p>
    <w:p w:rsidR="00881384" w:rsidRPr="006052AA" w:rsidP="00C362EA">
      <w:pPr>
        <w:spacing w:line="240" w:lineRule="auto"/>
        <w:jc w:val="center"/>
        <w:rPr>
          <w:rFonts w:ascii="Times New Roman" w:hAnsi="Times New Roman" w:cs="Times New Roman"/>
          <w:b/>
          <w:bCs/>
          <w:sz w:val="24"/>
          <w:szCs w:val="24"/>
        </w:rPr>
      </w:pPr>
      <w:r w:rsidRPr="006052AA">
        <w:rPr>
          <w:rFonts w:ascii="Times New Roman" w:hAnsi="Times New Roman" w:cs="Times New Roman"/>
          <w:b/>
          <w:bCs/>
          <w:sz w:val="24"/>
          <w:szCs w:val="24"/>
        </w:rPr>
        <w:t>Zmeny počtu z</w:t>
      </w:r>
      <w:r w:rsidR="003D4711">
        <w:rPr>
          <w:rFonts w:ascii="Times New Roman" w:hAnsi="Times New Roman" w:cs="Times New Roman"/>
          <w:b/>
          <w:bCs/>
          <w:sz w:val="24"/>
          <w:szCs w:val="24"/>
        </w:rPr>
        <w:t xml:space="preserve">amestnancov v priebehu roka </w:t>
      </w:r>
      <w:r w:rsidR="00020F9B">
        <w:rPr>
          <w:rFonts w:ascii="Times New Roman" w:hAnsi="Times New Roman" w:cs="Times New Roman"/>
          <w:b/>
          <w:bCs/>
          <w:sz w:val="24"/>
          <w:szCs w:val="24"/>
        </w:rPr>
        <w:t>2007</w:t>
      </w:r>
      <w:r w:rsidRPr="006052AA">
        <w:rPr>
          <w:rFonts w:ascii="Times New Roman" w:hAnsi="Times New Roman" w:cs="Times New Roman"/>
          <w:b/>
          <w:bCs/>
          <w:sz w:val="24"/>
          <w:szCs w:val="24"/>
        </w:rPr>
        <w:t xml:space="preserve"> na základe vykonaných rozpočtových op</w:t>
      </w:r>
      <w:r w:rsidR="00243547">
        <w:rPr>
          <w:rFonts w:ascii="Times New Roman" w:hAnsi="Times New Roman" w:cs="Times New Roman"/>
          <w:b/>
          <w:bCs/>
          <w:sz w:val="24"/>
          <w:szCs w:val="24"/>
        </w:rPr>
        <w:t xml:space="preserve">atrení </w:t>
      </w:r>
      <w:r>
        <w:rPr>
          <w:rFonts w:ascii="Times New Roman" w:hAnsi="Times New Roman" w:cs="Times New Roman"/>
          <w:b/>
          <w:bCs/>
          <w:sz w:val="24"/>
          <w:szCs w:val="24"/>
        </w:rPr>
        <w:t>Ministerstva financií SR</w:t>
      </w:r>
    </w:p>
    <w:p w:rsidR="00575536" w:rsidRPr="006052AA" w:rsidP="00C362EA">
      <w:pPr>
        <w:spacing w:line="240" w:lineRule="auto"/>
        <w:rPr>
          <w:rFonts w:ascii="Times New Roman" w:hAnsi="Times New Roman" w:cs="Times New Roman"/>
          <w:sz w:val="24"/>
          <w:szCs w:val="24"/>
        </w:rPr>
      </w:pPr>
    </w:p>
    <w:p w:rsidR="009E0765" w:rsidRPr="008A078C" w:rsidP="009E0765">
      <w:pPr>
        <w:spacing w:line="240" w:lineRule="auto"/>
        <w:rPr>
          <w:rFonts w:ascii="Times New Roman" w:hAnsi="Times New Roman" w:cs="Times New Roman"/>
          <w:sz w:val="24"/>
        </w:rPr>
      </w:pPr>
      <w:r w:rsidRPr="00E03A1A" w:rsidR="00881384">
        <w:rPr>
          <w:rFonts w:ascii="Times New Roman" w:hAnsi="Times New Roman" w:cs="Times New Roman"/>
          <w:sz w:val="24"/>
          <w:szCs w:val="24"/>
        </w:rPr>
        <w:t xml:space="preserve">RO </w:t>
      </w:r>
      <w:r w:rsidRPr="00E03A1A" w:rsidR="00243547">
        <w:rPr>
          <w:rFonts w:ascii="Times New Roman" w:hAnsi="Times New Roman" w:cs="Times New Roman"/>
          <w:sz w:val="24"/>
          <w:szCs w:val="24"/>
        </w:rPr>
        <w:t xml:space="preserve">MF SR </w:t>
      </w:r>
      <w:r>
        <w:rPr>
          <w:rFonts w:ascii="Times New Roman" w:hAnsi="Times New Roman" w:cs="Times New Roman"/>
          <w:sz w:val="24"/>
          <w:szCs w:val="24"/>
        </w:rPr>
        <w:t>č. 6</w:t>
      </w:r>
      <w:r w:rsidRPr="00E03A1A" w:rsidR="00881384">
        <w:rPr>
          <w:rFonts w:ascii="Times New Roman" w:hAnsi="Times New Roman" w:cs="Times New Roman"/>
          <w:sz w:val="24"/>
          <w:szCs w:val="24"/>
        </w:rPr>
        <w:t xml:space="preserve"> –</w:t>
      </w:r>
      <w:r>
        <w:rPr>
          <w:rFonts w:ascii="Times New Roman" w:hAnsi="Times New Roman" w:cs="Times New Roman"/>
          <w:sz w:val="24"/>
          <w:szCs w:val="24"/>
        </w:rPr>
        <w:t xml:space="preserve"> Delimitácia 9 zamestnancov (prepočítaný počet 8) sekcie informatizácie spoločnosti </w:t>
      </w:r>
      <w:r w:rsidRPr="008A078C">
        <w:rPr>
          <w:rFonts w:ascii="Times New Roman" w:hAnsi="Times New Roman" w:cs="Times New Roman"/>
          <w:sz w:val="24"/>
        </w:rPr>
        <w:t>v súvislosti s prechodom kompetencií v oblasti informatizácie spoločnosti</w:t>
      </w:r>
      <w:r>
        <w:rPr>
          <w:rFonts w:ascii="Times New Roman" w:hAnsi="Times New Roman" w:cs="Times New Roman"/>
          <w:sz w:val="24"/>
        </w:rPr>
        <w:t xml:space="preserve"> z MDPT SR na Úrad vlády SR. </w:t>
      </w:r>
    </w:p>
    <w:p w:rsidR="009E0765" w:rsidP="00C362EA">
      <w:pPr>
        <w:spacing w:line="240" w:lineRule="auto"/>
        <w:rPr>
          <w:rFonts w:ascii="Times New Roman" w:hAnsi="Times New Roman" w:cs="Times New Roman"/>
          <w:sz w:val="24"/>
          <w:szCs w:val="24"/>
        </w:rPr>
      </w:pPr>
    </w:p>
    <w:p w:rsidR="009E0765" w:rsidRPr="008A078C" w:rsidP="009E0765">
      <w:pPr>
        <w:spacing w:line="240" w:lineRule="auto"/>
        <w:rPr>
          <w:rFonts w:ascii="Times New Roman" w:hAnsi="Times New Roman" w:cs="Times New Roman"/>
          <w:sz w:val="24"/>
        </w:rPr>
      </w:pPr>
      <w:r w:rsidRPr="00E03A1A">
        <w:rPr>
          <w:rFonts w:ascii="Times New Roman" w:hAnsi="Times New Roman" w:cs="Times New Roman"/>
          <w:sz w:val="24"/>
          <w:szCs w:val="24"/>
        </w:rPr>
        <w:t xml:space="preserve">RO MF SR </w:t>
      </w:r>
      <w:r>
        <w:rPr>
          <w:rFonts w:ascii="Times New Roman" w:hAnsi="Times New Roman" w:cs="Times New Roman"/>
          <w:sz w:val="24"/>
          <w:szCs w:val="24"/>
        </w:rPr>
        <w:t>č. 7</w:t>
      </w:r>
      <w:r w:rsidRPr="00E03A1A">
        <w:rPr>
          <w:rFonts w:ascii="Times New Roman" w:hAnsi="Times New Roman" w:cs="Times New Roman"/>
          <w:sz w:val="24"/>
          <w:szCs w:val="24"/>
        </w:rPr>
        <w:t xml:space="preserve"> –</w:t>
      </w:r>
      <w:r>
        <w:rPr>
          <w:rFonts w:ascii="Times New Roman" w:hAnsi="Times New Roman" w:cs="Times New Roman"/>
          <w:sz w:val="24"/>
          <w:szCs w:val="24"/>
        </w:rPr>
        <w:t xml:space="preserve"> Delimitácia 15 zamestnancov (prepočítaný počet 14) sekcie informatizácie spoločnosti </w:t>
      </w:r>
      <w:r w:rsidRPr="008A078C">
        <w:rPr>
          <w:rFonts w:ascii="Times New Roman" w:hAnsi="Times New Roman" w:cs="Times New Roman"/>
          <w:sz w:val="24"/>
        </w:rPr>
        <w:t>v súvislosti s prechodom kompetencií v oblasti informatizácie spoločnosti</w:t>
      </w:r>
      <w:r>
        <w:rPr>
          <w:rFonts w:ascii="Times New Roman" w:hAnsi="Times New Roman" w:cs="Times New Roman"/>
          <w:sz w:val="24"/>
        </w:rPr>
        <w:t xml:space="preserve"> z MDPT SR na Ministerstvo financií SR. </w:t>
      </w:r>
    </w:p>
    <w:p w:rsidR="009E0765" w:rsidP="009E0765">
      <w:pPr>
        <w:spacing w:line="240" w:lineRule="auto"/>
        <w:rPr>
          <w:rFonts w:ascii="Times New Roman" w:hAnsi="Times New Roman" w:cs="Times New Roman"/>
          <w:sz w:val="24"/>
          <w:szCs w:val="24"/>
        </w:rPr>
      </w:pPr>
    </w:p>
    <w:p w:rsidR="000B7427" w:rsidRPr="006D2E52" w:rsidP="000B7427">
      <w:pPr>
        <w:pStyle w:val="BodyText2"/>
        <w:spacing w:line="240" w:lineRule="auto"/>
        <w:rPr>
          <w:rFonts w:ascii="Times New Roman" w:hAnsi="Times New Roman" w:cs="Times New Roman"/>
          <w:sz w:val="24"/>
          <w:szCs w:val="24"/>
        </w:rPr>
      </w:pPr>
      <w:r w:rsidRPr="00E03A1A" w:rsidR="009E0765">
        <w:rPr>
          <w:rFonts w:ascii="Times New Roman" w:hAnsi="Times New Roman" w:cs="Times New Roman"/>
          <w:sz w:val="24"/>
          <w:szCs w:val="24"/>
        </w:rPr>
        <w:t xml:space="preserve">RO MF SR </w:t>
      </w:r>
      <w:r w:rsidR="009E0765">
        <w:rPr>
          <w:rFonts w:ascii="Times New Roman" w:hAnsi="Times New Roman" w:cs="Times New Roman"/>
          <w:sz w:val="24"/>
          <w:szCs w:val="24"/>
        </w:rPr>
        <w:t>č. 14</w:t>
      </w:r>
      <w:r w:rsidRPr="00E03A1A" w:rsidR="009E076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D2E52">
        <w:rPr>
          <w:rFonts w:ascii="Times New Roman" w:hAnsi="Times New Roman" w:cs="Times New Roman"/>
          <w:sz w:val="24"/>
          <w:szCs w:val="24"/>
        </w:rPr>
        <w:t>Z</w:t>
      </w:r>
      <w:r>
        <w:rPr>
          <w:rFonts w:ascii="Times New Roman" w:hAnsi="Times New Roman" w:cs="Times New Roman"/>
          <w:sz w:val="24"/>
          <w:szCs w:val="24"/>
        </w:rPr>
        <w:t xml:space="preserve">výšenie </w:t>
      </w:r>
      <w:r w:rsidRPr="006D2E52">
        <w:rPr>
          <w:rFonts w:ascii="Times New Roman" w:hAnsi="Times New Roman" w:cs="Times New Roman"/>
          <w:sz w:val="24"/>
          <w:szCs w:val="24"/>
        </w:rPr>
        <w:t xml:space="preserve">počtu zamestnancov </w:t>
      </w:r>
      <w:r>
        <w:rPr>
          <w:rFonts w:ascii="Times New Roman" w:hAnsi="Times New Roman" w:cs="Times New Roman"/>
          <w:sz w:val="24"/>
          <w:szCs w:val="24"/>
        </w:rPr>
        <w:t xml:space="preserve">úradu MDPT SR </w:t>
      </w:r>
      <w:r w:rsidRPr="006D2E52">
        <w:rPr>
          <w:rFonts w:ascii="Times New Roman" w:hAnsi="Times New Roman" w:cs="Times New Roman"/>
          <w:sz w:val="24"/>
          <w:szCs w:val="24"/>
        </w:rPr>
        <w:t xml:space="preserve">od 1.9. do 31.12. o 2 osoby </w:t>
      </w:r>
      <w:r>
        <w:rPr>
          <w:rFonts w:ascii="Times New Roman" w:hAnsi="Times New Roman" w:cs="Times New Roman"/>
          <w:sz w:val="24"/>
          <w:szCs w:val="24"/>
        </w:rPr>
        <w:t xml:space="preserve">(prepočítaný počet 1, </w:t>
      </w:r>
      <w:r w:rsidRPr="006D2E52">
        <w:rPr>
          <w:rFonts w:ascii="Times New Roman" w:hAnsi="Times New Roman" w:cs="Times New Roman"/>
          <w:sz w:val="24"/>
          <w:szCs w:val="24"/>
        </w:rPr>
        <w:t>na úkor TOOŽ) na zabezpečenie činnosti Centrálneho úrad</w:t>
      </w:r>
      <w:r>
        <w:rPr>
          <w:rFonts w:ascii="Times New Roman" w:hAnsi="Times New Roman" w:cs="Times New Roman"/>
          <w:sz w:val="24"/>
          <w:szCs w:val="24"/>
        </w:rPr>
        <w:t>u TER v Bratislave</w:t>
      </w:r>
      <w:r w:rsidRPr="006D2E52">
        <w:rPr>
          <w:rFonts w:ascii="Times New Roman" w:hAnsi="Times New Roman" w:cs="Times New Roman"/>
          <w:sz w:val="24"/>
          <w:szCs w:val="24"/>
        </w:rPr>
        <w:t xml:space="preserve">, a to na základe uznesenia </w:t>
      </w:r>
      <w:r>
        <w:rPr>
          <w:rFonts w:ascii="Times New Roman" w:hAnsi="Times New Roman" w:cs="Times New Roman"/>
          <w:sz w:val="24"/>
          <w:szCs w:val="24"/>
        </w:rPr>
        <w:t xml:space="preserve">vlády SR </w:t>
      </w:r>
      <w:r w:rsidRPr="006D2E52">
        <w:rPr>
          <w:rFonts w:ascii="Times New Roman" w:hAnsi="Times New Roman" w:cs="Times New Roman"/>
          <w:sz w:val="24"/>
          <w:szCs w:val="24"/>
        </w:rPr>
        <w:t>č. 1081/2007 zo dňa 20. decembra 2007, ktorým  vláda SR v bode B.1 schválila organi</w:t>
      </w:r>
      <w:r>
        <w:rPr>
          <w:rFonts w:ascii="Times New Roman" w:hAnsi="Times New Roman" w:cs="Times New Roman"/>
          <w:sz w:val="24"/>
          <w:szCs w:val="24"/>
        </w:rPr>
        <w:t>začné zabezpečenie projektu TER.</w:t>
      </w:r>
    </w:p>
    <w:p w:rsidR="006B5706" w:rsidRPr="00E03A1A" w:rsidP="00C362EA">
      <w:pPr>
        <w:spacing w:line="240" w:lineRule="auto"/>
        <w:rPr>
          <w:rFonts w:ascii="Times New Roman" w:hAnsi="Times New Roman" w:cs="Times New Roman"/>
          <w:sz w:val="24"/>
          <w:szCs w:val="24"/>
        </w:rPr>
      </w:pPr>
    </w:p>
    <w:p w:rsidR="000629E8" w:rsidP="000629E8">
      <w:pPr>
        <w:pStyle w:val="BodyText2"/>
        <w:spacing w:line="240" w:lineRule="auto"/>
        <w:rPr>
          <w:rFonts w:ascii="Times New Roman" w:hAnsi="Times New Roman" w:cs="Times New Roman"/>
          <w:sz w:val="24"/>
          <w:szCs w:val="24"/>
        </w:rPr>
      </w:pPr>
      <w:r w:rsidRPr="00E03A1A" w:rsidR="0008020E">
        <w:rPr>
          <w:rFonts w:ascii="Times New Roman" w:hAnsi="Times New Roman" w:cs="Times New Roman"/>
          <w:sz w:val="24"/>
          <w:szCs w:val="24"/>
        </w:rPr>
        <w:t xml:space="preserve">RO </w:t>
      </w:r>
      <w:r w:rsidRPr="00E03A1A" w:rsidR="00243547">
        <w:rPr>
          <w:rFonts w:ascii="Times New Roman" w:hAnsi="Times New Roman" w:cs="Times New Roman"/>
          <w:sz w:val="24"/>
          <w:szCs w:val="24"/>
        </w:rPr>
        <w:t xml:space="preserve">MF SR </w:t>
      </w:r>
      <w:r w:rsidR="009E0765">
        <w:rPr>
          <w:rFonts w:ascii="Times New Roman" w:hAnsi="Times New Roman" w:cs="Times New Roman"/>
          <w:sz w:val="24"/>
          <w:szCs w:val="24"/>
        </w:rPr>
        <w:t>č. 15</w:t>
      </w:r>
      <w:r>
        <w:rPr>
          <w:rFonts w:ascii="Times New Roman" w:hAnsi="Times New Roman" w:cs="Times New Roman"/>
          <w:sz w:val="24"/>
          <w:szCs w:val="24"/>
        </w:rPr>
        <w:t xml:space="preserve"> – Delimitácia 1 systemizovaného miesta v prospech Ministerstva zahraničných vecí SR </w:t>
      </w:r>
      <w:r w:rsidRPr="00B45732">
        <w:rPr>
          <w:rFonts w:ascii="Times New Roman" w:hAnsi="Times New Roman" w:cs="Times New Roman"/>
          <w:sz w:val="24"/>
          <w:szCs w:val="24"/>
        </w:rPr>
        <w:t xml:space="preserve">na zabezpečenie personálneho dobudovania Stáleho zastúpenia SR v Bruseli </w:t>
      </w:r>
      <w:r>
        <w:rPr>
          <w:rFonts w:ascii="Times New Roman" w:hAnsi="Times New Roman" w:cs="Times New Roman"/>
          <w:sz w:val="24"/>
          <w:szCs w:val="24"/>
        </w:rPr>
        <w:t xml:space="preserve">pri EÚ (uznesenia vlády SR č. 224/2005 a č. 480/2005). </w:t>
      </w:r>
    </w:p>
    <w:p w:rsidR="0008020E" w:rsidRPr="00E03A1A" w:rsidP="005837F1">
      <w:pPr>
        <w:pStyle w:val="BodyText2"/>
        <w:spacing w:line="240" w:lineRule="auto"/>
        <w:rPr>
          <w:rFonts w:ascii="Times New Roman" w:hAnsi="Times New Roman" w:cs="Times New Roman"/>
          <w:sz w:val="24"/>
          <w:szCs w:val="24"/>
        </w:rPr>
      </w:pPr>
    </w:p>
    <w:p w:rsidR="00B372D5" w:rsidP="00C17272">
      <w:pPr>
        <w:pStyle w:val="BodyText2"/>
        <w:spacing w:line="240" w:lineRule="auto"/>
        <w:rPr>
          <w:rFonts w:ascii="Times New Roman" w:hAnsi="Times New Roman" w:cs="Times New Roman"/>
          <w:sz w:val="24"/>
          <w:szCs w:val="24"/>
        </w:rPr>
      </w:pPr>
      <w:r w:rsidRPr="00C17272" w:rsidR="0008020E">
        <w:rPr>
          <w:rFonts w:ascii="Times New Roman" w:hAnsi="Times New Roman" w:cs="Times New Roman"/>
          <w:sz w:val="24"/>
          <w:szCs w:val="24"/>
        </w:rPr>
        <w:t xml:space="preserve">RO </w:t>
      </w:r>
      <w:r w:rsidRPr="00C17272" w:rsidR="00243547">
        <w:rPr>
          <w:rFonts w:ascii="Times New Roman" w:hAnsi="Times New Roman" w:cs="Times New Roman"/>
          <w:sz w:val="24"/>
          <w:szCs w:val="24"/>
        </w:rPr>
        <w:t xml:space="preserve">MF SR </w:t>
      </w:r>
      <w:r w:rsidRPr="00C17272" w:rsidR="009E0765">
        <w:rPr>
          <w:rFonts w:ascii="Times New Roman" w:hAnsi="Times New Roman" w:cs="Times New Roman"/>
          <w:sz w:val="24"/>
          <w:szCs w:val="24"/>
        </w:rPr>
        <w:t>č. 19</w:t>
      </w:r>
      <w:r w:rsidRPr="00C17272" w:rsidR="0008020E">
        <w:rPr>
          <w:rFonts w:ascii="Times New Roman" w:hAnsi="Times New Roman" w:cs="Times New Roman"/>
          <w:sz w:val="24"/>
          <w:szCs w:val="24"/>
        </w:rPr>
        <w:t xml:space="preserve"> – </w:t>
      </w:r>
      <w:r w:rsidRPr="00C17272" w:rsidR="000629E8">
        <w:rPr>
          <w:rFonts w:ascii="Times New Roman" w:hAnsi="Times New Roman" w:cs="Times New Roman"/>
          <w:sz w:val="24"/>
          <w:szCs w:val="24"/>
        </w:rPr>
        <w:t>Zvýšenie počtu pracovníkov úradu MDPT SR o 20 (od 1.10.do 31.12.2007, prepočítaný počet 5) pre personálne zabezpečenie agendy súvisiacej s výstavbou nadradenej cestnej dopravnej inf</w:t>
      </w:r>
      <w:r w:rsidR="00F1695C">
        <w:rPr>
          <w:rFonts w:ascii="Times New Roman" w:hAnsi="Times New Roman" w:cs="Times New Roman"/>
          <w:sz w:val="24"/>
          <w:szCs w:val="24"/>
        </w:rPr>
        <w:t>ra</w:t>
      </w:r>
      <w:r w:rsidRPr="00C17272" w:rsidR="000629E8">
        <w:rPr>
          <w:rFonts w:ascii="Times New Roman" w:hAnsi="Times New Roman" w:cs="Times New Roman"/>
          <w:sz w:val="24"/>
          <w:szCs w:val="24"/>
        </w:rPr>
        <w:t xml:space="preserve">štruktúry formou projektu verejno-súkromného partnerstva (PPP). </w:t>
      </w:r>
    </w:p>
    <w:p w:rsidR="001221BA" w:rsidRPr="00C17272" w:rsidP="00C17272">
      <w:pPr>
        <w:pStyle w:val="BodyText2"/>
        <w:spacing w:line="240" w:lineRule="auto"/>
        <w:rPr>
          <w:rFonts w:ascii="Times New Roman" w:hAnsi="Times New Roman" w:cs="Times New Roman"/>
          <w:sz w:val="24"/>
          <w:szCs w:val="24"/>
        </w:rPr>
      </w:pPr>
    </w:p>
    <w:p w:rsidR="00575536" w:rsidP="005837F1">
      <w:pPr>
        <w:spacing w:line="240" w:lineRule="auto"/>
        <w:rPr>
          <w:rFonts w:ascii="Times New Roman" w:hAnsi="Times New Roman" w:cs="Times New Roman"/>
          <w:b/>
          <w:sz w:val="24"/>
          <w:szCs w:val="24"/>
        </w:rPr>
      </w:pPr>
      <w:r w:rsidRPr="006052AA" w:rsidR="00881384">
        <w:rPr>
          <w:rFonts w:ascii="Times New Roman" w:hAnsi="Times New Roman" w:cs="Times New Roman"/>
          <w:b/>
          <w:sz w:val="24"/>
          <w:szCs w:val="24"/>
        </w:rPr>
        <w:t>Zmeny v úrade MDPT SR:</w:t>
      </w:r>
    </w:p>
    <w:p w:rsidR="00276200" w:rsidRPr="005837F1" w:rsidP="005837F1">
      <w:pPr>
        <w:spacing w:line="240" w:lineRule="auto"/>
        <w:rPr>
          <w:rFonts w:ascii="Times New Roman" w:hAnsi="Times New Roman" w:cs="Times New Roman"/>
          <w:b/>
          <w:sz w:val="24"/>
          <w:szCs w:val="24"/>
        </w:rPr>
      </w:pPr>
    </w:p>
    <w:p w:rsidR="00276200" w:rsidP="00276200">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Schválený limit počtu zamestnancov úradu MDPT SR k 1.1.2007 predstavoval 330 zamestnancov. </w:t>
      </w:r>
      <w:r w:rsidRPr="00276200">
        <w:rPr>
          <w:rFonts w:ascii="Times New Roman" w:hAnsi="Times New Roman" w:cs="Times New Roman"/>
          <w:sz w:val="24"/>
          <w:szCs w:val="24"/>
        </w:rPr>
        <w:t>V súvislosti s prechodom kompetencií v oblasti informatizácie spoločnosti na MF SR oddelimitovalo MDPT</w:t>
      </w:r>
      <w:r>
        <w:rPr>
          <w:rFonts w:ascii="Times New Roman" w:hAnsi="Times New Roman" w:cs="Times New Roman"/>
          <w:sz w:val="24"/>
          <w:szCs w:val="24"/>
        </w:rPr>
        <w:t xml:space="preserve"> SR 14 </w:t>
      </w:r>
      <w:r w:rsidRPr="00276200">
        <w:rPr>
          <w:rFonts w:ascii="Times New Roman" w:hAnsi="Times New Roman" w:cs="Times New Roman"/>
          <w:sz w:val="24"/>
          <w:szCs w:val="24"/>
        </w:rPr>
        <w:t>sy</w:t>
      </w:r>
      <w:r>
        <w:rPr>
          <w:rFonts w:ascii="Times New Roman" w:hAnsi="Times New Roman" w:cs="Times New Roman"/>
          <w:sz w:val="24"/>
          <w:szCs w:val="24"/>
        </w:rPr>
        <w:t xml:space="preserve">stemizovaných miest na MF SR a 8 </w:t>
      </w:r>
      <w:r w:rsidRPr="00276200">
        <w:rPr>
          <w:rFonts w:ascii="Times New Roman" w:hAnsi="Times New Roman" w:cs="Times New Roman"/>
          <w:sz w:val="24"/>
          <w:szCs w:val="24"/>
        </w:rPr>
        <w:t>systemizovaných miest na Úr</w:t>
      </w:r>
      <w:r>
        <w:rPr>
          <w:rFonts w:ascii="Times New Roman" w:hAnsi="Times New Roman" w:cs="Times New Roman"/>
          <w:sz w:val="24"/>
          <w:szCs w:val="24"/>
        </w:rPr>
        <w:t xml:space="preserve">ad vlády SR. Ďalej ministerstvo </w:t>
      </w:r>
      <w:r w:rsidRPr="00276200">
        <w:rPr>
          <w:rFonts w:ascii="Times New Roman" w:hAnsi="Times New Roman" w:cs="Times New Roman"/>
          <w:sz w:val="24"/>
          <w:szCs w:val="24"/>
        </w:rPr>
        <w:t>od 06.08.2007 delimitovalo na Ministerstvo zahraničných vecí SR 1 systemizované</w:t>
      </w:r>
      <w:r>
        <w:rPr>
          <w:rFonts w:ascii="Times New Roman" w:hAnsi="Times New Roman" w:cs="Times New Roman"/>
          <w:sz w:val="24"/>
          <w:szCs w:val="24"/>
        </w:rPr>
        <w:t xml:space="preserve"> miesto pre </w:t>
      </w:r>
      <w:r w:rsidRPr="00276200">
        <w:rPr>
          <w:rFonts w:ascii="Times New Roman" w:hAnsi="Times New Roman" w:cs="Times New Roman"/>
          <w:sz w:val="24"/>
          <w:szCs w:val="24"/>
        </w:rPr>
        <w:t xml:space="preserve">Stále zastúpenie SR pri EÚ v Bruseli. </w:t>
      </w:r>
    </w:p>
    <w:p w:rsidR="0053262B" w:rsidP="0053262B">
      <w:pPr>
        <w:spacing w:line="240" w:lineRule="auto"/>
        <w:ind w:firstLine="720"/>
        <w:rPr>
          <w:rFonts w:ascii="Times New Roman" w:hAnsi="Times New Roman" w:cs="Times New Roman"/>
          <w:sz w:val="24"/>
          <w:szCs w:val="24"/>
        </w:rPr>
      </w:pPr>
    </w:p>
    <w:p w:rsidR="0053262B" w:rsidP="0053262B">
      <w:pPr>
        <w:spacing w:line="240" w:lineRule="auto"/>
        <w:ind w:firstLine="720"/>
        <w:rPr>
          <w:rFonts w:ascii="Times New Roman" w:hAnsi="Times New Roman" w:cs="Times New Roman"/>
          <w:sz w:val="24"/>
          <w:szCs w:val="24"/>
        </w:rPr>
      </w:pPr>
      <w:r>
        <w:rPr>
          <w:rFonts w:ascii="Times New Roman" w:hAnsi="Times New Roman" w:cs="Times New Roman"/>
          <w:sz w:val="24"/>
          <w:szCs w:val="24"/>
        </w:rPr>
        <w:t>Vzhľadom na trojnásobok zvýšenia objemu finančných prostriedkov z fondov EÚ v programovom období 2007 – 2013 MDPT SR zvýšilo administratívne kapacity zamestnancov zodpovedných za riadenie a implementáciu fondov EÚ od 1. 2. 2007 z 54 na 82, t.j. o 28. Uvedené funkčné miesta boli vytvorené racionalizáciou a kumuláciou činností v rámci funkčných miest úradu MDPT SR.</w:t>
      </w:r>
    </w:p>
    <w:p w:rsidR="00276200" w:rsidP="00276200">
      <w:pPr>
        <w:spacing w:line="240" w:lineRule="auto"/>
        <w:ind w:firstLine="720"/>
        <w:rPr>
          <w:rFonts w:ascii="Times New Roman" w:hAnsi="Times New Roman" w:cs="Times New Roman"/>
          <w:sz w:val="24"/>
          <w:szCs w:val="24"/>
        </w:rPr>
      </w:pPr>
    </w:p>
    <w:p w:rsidR="00276200" w:rsidRPr="00276200" w:rsidP="00276200">
      <w:pPr>
        <w:spacing w:line="240" w:lineRule="auto"/>
        <w:ind w:firstLine="720"/>
        <w:rPr>
          <w:rFonts w:ascii="Times New Roman" w:hAnsi="Times New Roman" w:cs="Times New Roman"/>
          <w:sz w:val="24"/>
          <w:szCs w:val="24"/>
        </w:rPr>
      </w:pPr>
      <w:r w:rsidR="00E24794">
        <w:rPr>
          <w:rFonts w:ascii="Times New Roman" w:hAnsi="Times New Roman" w:cs="Times New Roman"/>
          <w:sz w:val="24"/>
          <w:szCs w:val="24"/>
        </w:rPr>
        <w:t>Na základe úspor v rezorte MDPT SR s</w:t>
      </w:r>
      <w:r>
        <w:rPr>
          <w:rFonts w:ascii="Times New Roman" w:hAnsi="Times New Roman" w:cs="Times New Roman"/>
          <w:sz w:val="24"/>
          <w:szCs w:val="24"/>
        </w:rPr>
        <w:t>a zvýšil</w:t>
      </w:r>
      <w:r w:rsidRPr="00276200">
        <w:rPr>
          <w:rFonts w:ascii="Times New Roman" w:hAnsi="Times New Roman" w:cs="Times New Roman"/>
          <w:sz w:val="24"/>
          <w:szCs w:val="24"/>
        </w:rPr>
        <w:t xml:space="preserve"> poč</w:t>
      </w:r>
      <w:r>
        <w:rPr>
          <w:rFonts w:ascii="Times New Roman" w:hAnsi="Times New Roman" w:cs="Times New Roman"/>
          <w:sz w:val="24"/>
          <w:szCs w:val="24"/>
        </w:rPr>
        <w:t>et</w:t>
      </w:r>
      <w:r w:rsidRPr="00276200">
        <w:rPr>
          <w:rFonts w:ascii="Times New Roman" w:hAnsi="Times New Roman" w:cs="Times New Roman"/>
          <w:sz w:val="24"/>
          <w:szCs w:val="24"/>
        </w:rPr>
        <w:t xml:space="preserve"> zamestnancov </w:t>
      </w:r>
      <w:r>
        <w:rPr>
          <w:rFonts w:ascii="Times New Roman" w:hAnsi="Times New Roman" w:cs="Times New Roman"/>
          <w:sz w:val="24"/>
          <w:szCs w:val="24"/>
        </w:rPr>
        <w:t xml:space="preserve">úradu MDPT SR </w:t>
      </w:r>
      <w:r w:rsidRPr="00276200">
        <w:rPr>
          <w:rFonts w:ascii="Times New Roman" w:hAnsi="Times New Roman" w:cs="Times New Roman"/>
          <w:sz w:val="24"/>
          <w:szCs w:val="24"/>
        </w:rPr>
        <w:t xml:space="preserve">o 1 </w:t>
      </w:r>
      <w:r>
        <w:rPr>
          <w:rFonts w:ascii="Times New Roman" w:hAnsi="Times New Roman" w:cs="Times New Roman"/>
          <w:sz w:val="24"/>
          <w:szCs w:val="24"/>
        </w:rPr>
        <w:t>pracovníka, a to</w:t>
      </w:r>
      <w:r w:rsidR="006C2A3C">
        <w:rPr>
          <w:rFonts w:ascii="Times New Roman" w:hAnsi="Times New Roman" w:cs="Times New Roman"/>
          <w:sz w:val="24"/>
          <w:szCs w:val="24"/>
        </w:rPr>
        <w:t xml:space="preserve"> na </w:t>
      </w:r>
      <w:r>
        <w:rPr>
          <w:rFonts w:ascii="Times New Roman" w:hAnsi="Times New Roman" w:cs="Times New Roman"/>
          <w:sz w:val="24"/>
          <w:szCs w:val="24"/>
        </w:rPr>
        <w:t>zabezpečenie zriadenia</w:t>
      </w:r>
      <w:r w:rsidRPr="00276200">
        <w:rPr>
          <w:rFonts w:ascii="Times New Roman" w:hAnsi="Times New Roman" w:cs="Times New Roman"/>
          <w:sz w:val="24"/>
          <w:szCs w:val="24"/>
        </w:rPr>
        <w:t xml:space="preserve"> </w:t>
      </w:r>
      <w:r>
        <w:rPr>
          <w:rFonts w:ascii="Times New Roman" w:hAnsi="Times New Roman" w:cs="Times New Roman"/>
          <w:sz w:val="24"/>
          <w:szCs w:val="24"/>
        </w:rPr>
        <w:t xml:space="preserve">úradu </w:t>
      </w:r>
      <w:r w:rsidRPr="00276200">
        <w:rPr>
          <w:rFonts w:ascii="Times New Roman" w:hAnsi="Times New Roman" w:cs="Times New Roman"/>
          <w:sz w:val="24"/>
          <w:szCs w:val="24"/>
        </w:rPr>
        <w:t>TER a</w:t>
      </w:r>
      <w:r>
        <w:rPr>
          <w:rFonts w:ascii="Times New Roman" w:hAnsi="Times New Roman" w:cs="Times New Roman"/>
          <w:sz w:val="24"/>
          <w:szCs w:val="24"/>
        </w:rPr>
        <w:t xml:space="preserve"> o </w:t>
      </w:r>
      <w:r w:rsidRPr="00276200">
        <w:rPr>
          <w:rFonts w:ascii="Times New Roman" w:hAnsi="Times New Roman" w:cs="Times New Roman"/>
          <w:sz w:val="24"/>
          <w:szCs w:val="24"/>
        </w:rPr>
        <w:t xml:space="preserve">5 </w:t>
      </w:r>
      <w:r>
        <w:rPr>
          <w:rFonts w:ascii="Times New Roman" w:hAnsi="Times New Roman" w:cs="Times New Roman"/>
          <w:sz w:val="24"/>
          <w:szCs w:val="24"/>
        </w:rPr>
        <w:t xml:space="preserve">zamestnancov </w:t>
      </w:r>
      <w:r w:rsidRPr="00276200">
        <w:rPr>
          <w:rFonts w:ascii="Times New Roman" w:hAnsi="Times New Roman" w:cs="Times New Roman"/>
          <w:sz w:val="24"/>
          <w:szCs w:val="24"/>
        </w:rPr>
        <w:t xml:space="preserve">na riešenie problematiky vstupu súkromného sektoru do </w:t>
      </w:r>
      <w:r>
        <w:rPr>
          <w:rFonts w:ascii="Times New Roman" w:hAnsi="Times New Roman" w:cs="Times New Roman"/>
          <w:sz w:val="24"/>
          <w:szCs w:val="24"/>
        </w:rPr>
        <w:t>vý</w:t>
      </w:r>
      <w:r w:rsidRPr="00276200">
        <w:rPr>
          <w:rFonts w:ascii="Times New Roman" w:hAnsi="Times New Roman" w:cs="Times New Roman"/>
          <w:sz w:val="24"/>
          <w:szCs w:val="24"/>
        </w:rPr>
        <w:t>stavby diaľnic.</w:t>
      </w:r>
    </w:p>
    <w:p w:rsidR="00276200" w:rsidP="005837F1">
      <w:pPr>
        <w:spacing w:line="240" w:lineRule="auto"/>
        <w:ind w:firstLine="709"/>
        <w:rPr>
          <w:rFonts w:ascii="Times New Roman" w:hAnsi="Times New Roman" w:cs="Times New Roman"/>
          <w:sz w:val="24"/>
          <w:szCs w:val="24"/>
        </w:rPr>
      </w:pPr>
    </w:p>
    <w:p w:rsidR="0053262B" w:rsidRPr="006052AA" w:rsidP="005837F1">
      <w:pPr>
        <w:spacing w:line="240" w:lineRule="auto"/>
        <w:ind w:firstLine="709"/>
        <w:rPr>
          <w:rFonts w:ascii="Times New Roman" w:hAnsi="Times New Roman" w:cs="Times New Roman"/>
          <w:sz w:val="24"/>
          <w:szCs w:val="24"/>
        </w:rPr>
      </w:pPr>
    </w:p>
    <w:p w:rsidR="00881384" w:rsidRPr="00263BE8" w:rsidP="00C362EA">
      <w:pPr>
        <w:spacing w:line="240" w:lineRule="auto"/>
        <w:ind w:firstLine="709"/>
        <w:jc w:val="center"/>
        <w:rPr>
          <w:rFonts w:ascii="Times New Roman" w:hAnsi="Times New Roman" w:cs="Times New Roman"/>
          <w:b/>
          <w:sz w:val="24"/>
          <w:szCs w:val="24"/>
          <w:u w:val="single"/>
        </w:rPr>
      </w:pPr>
      <w:r w:rsidRPr="00263BE8">
        <w:rPr>
          <w:rFonts w:ascii="Times New Roman" w:hAnsi="Times New Roman" w:cs="Times New Roman"/>
          <w:b/>
          <w:sz w:val="24"/>
          <w:szCs w:val="24"/>
          <w:u w:val="single"/>
        </w:rPr>
        <w:t>Prehľad zamestnancov za kapitolu MDPT SR v členení na ústredný orgán štátnej správy a jednotlivé organizácie v pôsobnosti MDPT SR</w:t>
      </w:r>
    </w:p>
    <w:p w:rsidR="00BD2051" w:rsidP="00C362EA">
      <w:pPr>
        <w:spacing w:line="240" w:lineRule="auto"/>
        <w:ind w:firstLine="709"/>
        <w:jc w:val="center"/>
        <w:rPr>
          <w:rFonts w:ascii="Arial Narrow" w:hAnsi="Arial Narrow" w:cs="Times New Roman"/>
          <w:b/>
          <w:bCs/>
          <w:sz w:val="22"/>
          <w:szCs w:val="22"/>
        </w:rPr>
      </w:pPr>
    </w:p>
    <w:p w:rsidR="00B372D5" w:rsidP="00C362EA">
      <w:pPr>
        <w:spacing w:line="240" w:lineRule="auto"/>
        <w:ind w:firstLine="709"/>
        <w:jc w:val="center"/>
        <w:rPr>
          <w:rFonts w:ascii="Arial Narrow" w:hAnsi="Arial Narrow" w:cs="Times New Roman"/>
          <w:b/>
          <w:bCs/>
          <w:sz w:val="22"/>
          <w:szCs w:val="22"/>
        </w:rPr>
      </w:pPr>
    </w:p>
    <w:p w:rsidR="00881384" w:rsidP="00C362EA">
      <w:pPr>
        <w:spacing w:line="240" w:lineRule="auto"/>
        <w:ind w:firstLine="709"/>
        <w:jc w:val="center"/>
        <w:rPr>
          <w:rFonts w:ascii="Arial Narrow" w:hAnsi="Arial Narrow" w:cs="Times New Roman"/>
          <w:b/>
          <w:bCs/>
          <w:sz w:val="22"/>
          <w:szCs w:val="22"/>
        </w:rPr>
      </w:pPr>
      <w:r w:rsidRPr="00263BE8" w:rsidR="00BD2051">
        <w:rPr>
          <w:rFonts w:ascii="Arial Narrow" w:hAnsi="Arial Narrow" w:cs="Times New Roman"/>
          <w:b/>
          <w:bCs/>
          <w:sz w:val="22"/>
          <w:szCs w:val="22"/>
        </w:rPr>
        <w:t>Počty zamestnancov rezortu MDPT SR</w:t>
      </w:r>
      <w:r w:rsidR="003021E0">
        <w:rPr>
          <w:rFonts w:ascii="Arial Narrow" w:hAnsi="Arial Narrow" w:cs="Times New Roman"/>
          <w:b/>
          <w:bCs/>
          <w:sz w:val="22"/>
          <w:szCs w:val="22"/>
        </w:rPr>
        <w:t xml:space="preserve"> v roku 2007</w:t>
      </w:r>
    </w:p>
    <w:p w:rsidR="00BD2051" w:rsidP="00C362EA">
      <w:pPr>
        <w:spacing w:line="240" w:lineRule="auto"/>
        <w:ind w:firstLine="709"/>
        <w:jc w:val="center"/>
        <w:rPr>
          <w:rFonts w:ascii="Times New Roman" w:hAnsi="Times New Roman" w:cs="Times New Roman"/>
          <w:b/>
          <w:sz w:val="24"/>
          <w:szCs w:val="24"/>
          <w:u w:val="single"/>
        </w:rPr>
      </w:pPr>
    </w:p>
    <w:p w:rsidR="00B372D5" w:rsidRPr="00263BE8" w:rsidP="00C362EA">
      <w:pPr>
        <w:spacing w:line="240" w:lineRule="auto"/>
        <w:ind w:firstLine="709"/>
        <w:jc w:val="center"/>
        <w:rPr>
          <w:rFonts w:ascii="Times New Roman" w:hAnsi="Times New Roman" w:cs="Times New Roman"/>
          <w:b/>
          <w:sz w:val="24"/>
          <w:szCs w:val="24"/>
          <w:u w:val="single"/>
        </w:rPr>
      </w:pPr>
    </w:p>
    <w:tbl>
      <w:tblPr>
        <w:tblW w:w="9735" w:type="dxa"/>
        <w:tblInd w:w="-110" w:type="dxa"/>
        <w:tblLayout w:type="fixed"/>
        <w:tblCellMar>
          <w:left w:w="70" w:type="dxa"/>
          <w:right w:w="70" w:type="dxa"/>
        </w:tblCellMar>
      </w:tblPr>
      <w:tblGrid>
        <w:gridCol w:w="1095"/>
        <w:gridCol w:w="720"/>
        <w:gridCol w:w="720"/>
        <w:gridCol w:w="720"/>
        <w:gridCol w:w="720"/>
        <w:gridCol w:w="720"/>
        <w:gridCol w:w="707"/>
        <w:gridCol w:w="733"/>
        <w:gridCol w:w="720"/>
        <w:gridCol w:w="720"/>
        <w:gridCol w:w="720"/>
        <w:gridCol w:w="720"/>
        <w:gridCol w:w="720"/>
      </w:tblGrid>
      <w:tr>
        <w:tblPrEx>
          <w:tblW w:w="9735" w:type="dxa"/>
          <w:tblInd w:w="-110" w:type="dxa"/>
          <w:tblLayout w:type="fixed"/>
          <w:tblCellMar>
            <w:left w:w="70" w:type="dxa"/>
            <w:right w:w="70" w:type="dxa"/>
          </w:tblCellMar>
        </w:tblPrEx>
        <w:trPr>
          <w:trHeight w:val="360"/>
        </w:trPr>
        <w:tc>
          <w:tcPr>
            <w:tcW w:w="1095" w:type="dxa"/>
            <w:vMerge w:val="restart"/>
            <w:tcBorders>
              <w:top w:val="single" w:sz="12" w:space="0" w:color="auto"/>
              <w:left w:val="single" w:sz="12" w:space="0" w:color="auto"/>
              <w:bottom w:val="nil"/>
              <w:right w:val="single" w:sz="12" w:space="0" w:color="auto"/>
              <w:tl2br w:val="nil"/>
              <w:tr2bl w:val="nil"/>
            </w:tcBorders>
            <w:shd w:val="clear" w:color="auto" w:fill="606060"/>
            <w:textDirection w:val="lrTb"/>
            <w:vAlign w:val="center"/>
          </w:tcPr>
          <w:p w:rsidR="00BD2051" w:rsidRPr="00D652EE" w:rsidP="00C362EA">
            <w:pPr>
              <w:spacing w:line="240" w:lineRule="auto"/>
              <w:rPr>
                <w:rFonts w:ascii="Arial Narrow" w:hAnsi="Arial Narrow" w:cs="Times New Roman"/>
                <w:b/>
                <w:bCs/>
                <w:color w:val="FFFFFF"/>
              </w:rPr>
            </w:pPr>
            <w:r w:rsidRPr="00D652EE" w:rsidR="00D652EE">
              <w:rPr>
                <w:rFonts w:ascii="Arial Narrow" w:hAnsi="Arial Narrow" w:cs="Times New Roman"/>
                <w:b/>
                <w:bCs/>
                <w:color w:val="FFFFFF"/>
              </w:rPr>
              <w:t>Organizácia</w:t>
            </w:r>
          </w:p>
        </w:tc>
        <w:tc>
          <w:tcPr>
            <w:tcW w:w="2880" w:type="dxa"/>
            <w:gridSpan w:val="4"/>
            <w:tcBorders>
              <w:top w:val="single" w:sz="12" w:space="0" w:color="auto"/>
              <w:left w:val="single" w:sz="12" w:space="0" w:color="auto"/>
              <w:bottom w:val="single" w:sz="12" w:space="0" w:color="auto"/>
              <w:right w:val="single" w:sz="12" w:space="0" w:color="auto"/>
              <w:tl2br w:val="nil"/>
              <w:tr2bl w:val="nil"/>
            </w:tcBorders>
            <w:shd w:val="clear" w:color="auto" w:fill="606060"/>
            <w:textDirection w:val="lrTb"/>
            <w:vAlign w:val="center"/>
          </w:tcPr>
          <w:p w:rsidR="00BD2051" w:rsidRPr="001966B8" w:rsidP="00C362EA">
            <w:pPr>
              <w:spacing w:line="240" w:lineRule="auto"/>
              <w:jc w:val="center"/>
              <w:rPr>
                <w:rFonts w:ascii="Arial Narrow" w:hAnsi="Arial Narrow" w:cs="Times New Roman"/>
                <w:b/>
                <w:bCs/>
                <w:color w:val="FFFFFF"/>
              </w:rPr>
            </w:pPr>
            <w:r w:rsidRPr="001966B8" w:rsidR="00D652EE">
              <w:rPr>
                <w:rFonts w:ascii="Arial Narrow" w:hAnsi="Arial Narrow" w:cs="Times New Roman"/>
                <w:b/>
                <w:bCs/>
                <w:color w:val="FFFFFF"/>
              </w:rPr>
              <w:t>Schválený limit k 1.1.200</w:t>
            </w:r>
            <w:r w:rsidR="003021E0">
              <w:rPr>
                <w:rFonts w:ascii="Arial Narrow" w:hAnsi="Arial Narrow" w:cs="Times New Roman"/>
                <w:b/>
                <w:bCs/>
                <w:color w:val="FFFFFF"/>
              </w:rPr>
              <w:t>7</w:t>
            </w:r>
          </w:p>
        </w:tc>
        <w:tc>
          <w:tcPr>
            <w:tcW w:w="2880" w:type="dxa"/>
            <w:gridSpan w:val="4"/>
            <w:tcBorders>
              <w:top w:val="single" w:sz="12" w:space="0" w:color="auto"/>
              <w:left w:val="single" w:sz="12" w:space="0" w:color="auto"/>
              <w:bottom w:val="single" w:sz="12" w:space="0" w:color="auto"/>
              <w:right w:val="single" w:sz="12" w:space="0" w:color="auto"/>
              <w:tl2br w:val="nil"/>
              <w:tr2bl w:val="nil"/>
            </w:tcBorders>
            <w:shd w:val="clear" w:color="auto" w:fill="606060"/>
            <w:textDirection w:val="lrTb"/>
            <w:vAlign w:val="center"/>
          </w:tcPr>
          <w:p w:rsidR="00BD2051" w:rsidRPr="001966B8" w:rsidP="00C362EA">
            <w:pPr>
              <w:spacing w:line="240" w:lineRule="auto"/>
              <w:jc w:val="center"/>
              <w:rPr>
                <w:rFonts w:ascii="Arial Narrow" w:hAnsi="Arial Narrow" w:cs="Times New Roman"/>
                <w:b/>
                <w:bCs/>
                <w:color w:val="FFFFFF"/>
              </w:rPr>
            </w:pPr>
            <w:r w:rsidRPr="001966B8" w:rsidR="00D652EE">
              <w:rPr>
                <w:rFonts w:ascii="Arial Narrow" w:hAnsi="Arial Narrow" w:cs="Times New Roman"/>
                <w:b/>
                <w:bCs/>
                <w:color w:val="FFFFFF"/>
              </w:rPr>
              <w:t>Upravený limit k</w:t>
            </w:r>
            <w:r w:rsidR="001B02F6">
              <w:rPr>
                <w:rFonts w:ascii="Arial Narrow" w:hAnsi="Arial Narrow" w:cs="Times New Roman"/>
                <w:b/>
                <w:bCs/>
                <w:color w:val="FFFFFF"/>
              </w:rPr>
              <w:t> </w:t>
            </w:r>
            <w:r w:rsidRPr="001966B8" w:rsidR="00D652EE">
              <w:rPr>
                <w:rFonts w:ascii="Arial Narrow" w:hAnsi="Arial Narrow" w:cs="Times New Roman"/>
                <w:b/>
                <w:bCs/>
                <w:color w:val="FFFFFF"/>
              </w:rPr>
              <w:t>31.12.20</w:t>
            </w:r>
            <w:r w:rsidR="003021E0">
              <w:rPr>
                <w:rFonts w:ascii="Arial Narrow" w:hAnsi="Arial Narrow" w:cs="Times New Roman"/>
                <w:b/>
                <w:bCs/>
                <w:color w:val="FFFFFF"/>
              </w:rPr>
              <w:t>07</w:t>
            </w:r>
          </w:p>
        </w:tc>
        <w:tc>
          <w:tcPr>
            <w:tcW w:w="2880" w:type="dxa"/>
            <w:gridSpan w:val="4"/>
            <w:tcBorders>
              <w:top w:val="single" w:sz="12" w:space="0" w:color="auto"/>
              <w:left w:val="single" w:sz="12" w:space="0" w:color="auto"/>
              <w:bottom w:val="single" w:sz="12" w:space="0" w:color="auto"/>
              <w:right w:val="single" w:sz="12" w:space="0" w:color="auto"/>
              <w:tl2br w:val="nil"/>
              <w:tr2bl w:val="nil"/>
            </w:tcBorders>
            <w:shd w:val="clear" w:color="auto" w:fill="606060"/>
            <w:textDirection w:val="lrTb"/>
            <w:vAlign w:val="center"/>
          </w:tcPr>
          <w:p w:rsidR="00D652EE" w:rsidRPr="001966B8" w:rsidP="00C362EA">
            <w:pPr>
              <w:spacing w:line="240" w:lineRule="auto"/>
              <w:jc w:val="center"/>
              <w:rPr>
                <w:rFonts w:ascii="Arial Narrow" w:hAnsi="Arial Narrow" w:cs="Times New Roman"/>
                <w:b/>
                <w:bCs/>
                <w:color w:val="FFFFFF"/>
              </w:rPr>
            </w:pPr>
            <w:r w:rsidR="003021E0">
              <w:rPr>
                <w:rFonts w:ascii="Arial Narrow" w:hAnsi="Arial Narrow" w:cs="Times New Roman"/>
                <w:b/>
                <w:bCs/>
                <w:color w:val="FFFFFF"/>
              </w:rPr>
              <w:t>Skutočnosť k 31.12.2007</w:t>
            </w:r>
            <w:r w:rsidRPr="001966B8">
              <w:rPr>
                <w:rFonts w:ascii="Arial Narrow" w:hAnsi="Arial Narrow" w:cs="Times New Roman"/>
                <w:b/>
                <w:bCs/>
                <w:color w:val="FFFFFF"/>
              </w:rPr>
              <w:t xml:space="preserve"> </w:t>
            </w:r>
          </w:p>
          <w:p w:rsidR="00BD2051" w:rsidRPr="001966B8" w:rsidP="00C362EA">
            <w:pPr>
              <w:spacing w:line="240" w:lineRule="auto"/>
              <w:jc w:val="center"/>
              <w:rPr>
                <w:rFonts w:ascii="Arial Narrow" w:hAnsi="Arial Narrow" w:cs="Times New Roman"/>
                <w:b/>
                <w:bCs/>
                <w:color w:val="FFFFFF"/>
              </w:rPr>
            </w:pPr>
            <w:r w:rsidRPr="001966B8" w:rsidR="00D652EE">
              <w:rPr>
                <w:rFonts w:ascii="Arial Narrow" w:hAnsi="Arial Narrow" w:cs="Times New Roman"/>
                <w:bCs/>
                <w:color w:val="FFFFFF"/>
              </w:rPr>
              <w:t>(priemer. počet)</w:t>
            </w:r>
          </w:p>
        </w:tc>
      </w:tr>
      <w:tr>
        <w:tblPrEx>
          <w:tblW w:w="9735" w:type="dxa"/>
          <w:tblInd w:w="-110" w:type="dxa"/>
          <w:tblLayout w:type="fixed"/>
          <w:tblCellMar>
            <w:left w:w="70" w:type="dxa"/>
            <w:right w:w="70" w:type="dxa"/>
          </w:tblCellMar>
        </w:tblPrEx>
        <w:trPr>
          <w:trHeight w:val="360"/>
        </w:trPr>
        <w:tc>
          <w:tcPr>
            <w:tcW w:w="1095" w:type="dxa"/>
            <w:vMerge/>
            <w:tcBorders>
              <w:top w:val="nil"/>
              <w:left w:val="single" w:sz="12" w:space="0" w:color="auto"/>
              <w:bottom w:val="single" w:sz="12" w:space="0" w:color="auto"/>
              <w:right w:val="single" w:sz="12" w:space="0" w:color="auto"/>
              <w:tl2br w:val="nil"/>
              <w:tr2bl w:val="nil"/>
            </w:tcBorders>
            <w:shd w:val="clear" w:color="auto" w:fill="606060"/>
            <w:textDirection w:val="lrTb"/>
            <w:vAlign w:val="center"/>
          </w:tcPr>
          <w:p w:rsidR="00D652EE" w:rsidRPr="00A208B4" w:rsidP="00C362EA">
            <w:pPr>
              <w:spacing w:line="240" w:lineRule="auto"/>
              <w:rPr>
                <w:rFonts w:ascii="Arial Narrow" w:hAnsi="Arial Narrow" w:cs="Times New Roman"/>
                <w:b/>
                <w:bCs/>
                <w:color w:val="FFFFFF"/>
                <w:sz w:val="24"/>
                <w:szCs w:val="24"/>
              </w:rPr>
            </w:pPr>
          </w:p>
        </w:tc>
        <w:tc>
          <w:tcPr>
            <w:tcW w:w="720" w:type="dxa"/>
            <w:tcBorders>
              <w:top w:val="single" w:sz="12" w:space="0" w:color="auto"/>
              <w:left w:val="single" w:sz="12" w:space="0" w:color="auto"/>
              <w:bottom w:val="single" w:sz="12" w:space="0" w:color="auto"/>
              <w:right w:val="single" w:sz="4" w:space="0" w:color="auto"/>
              <w:tl2br w:val="nil"/>
              <w:tr2bl w:val="nil"/>
            </w:tcBorders>
            <w:shd w:val="clear" w:color="auto" w:fill="606060"/>
            <w:textDirection w:val="lrTb"/>
            <w:vAlign w:val="center"/>
          </w:tcPr>
          <w:p w:rsidR="00D652EE" w:rsidRPr="00A208B4" w:rsidP="00C362EA">
            <w:pPr>
              <w:spacing w:line="240" w:lineRule="auto"/>
              <w:jc w:val="center"/>
              <w:rPr>
                <w:rFonts w:ascii="Arial Narrow" w:hAnsi="Arial Narrow" w:cs="Times New Roman"/>
                <w:b/>
                <w:bCs/>
                <w:color w:val="FFFFFF"/>
                <w:sz w:val="18"/>
                <w:szCs w:val="18"/>
              </w:rPr>
            </w:pPr>
            <w:r w:rsidRPr="00A208B4">
              <w:rPr>
                <w:rFonts w:ascii="Arial Narrow" w:hAnsi="Arial Narrow" w:cs="Times New Roman"/>
                <w:b/>
                <w:bCs/>
                <w:color w:val="FFFFFF"/>
                <w:sz w:val="18"/>
                <w:szCs w:val="18"/>
              </w:rPr>
              <w:t>Štátna služba</w:t>
            </w:r>
          </w:p>
        </w:tc>
        <w:tc>
          <w:tcPr>
            <w:tcW w:w="720" w:type="dxa"/>
            <w:tcBorders>
              <w:top w:val="single" w:sz="12" w:space="0" w:color="auto"/>
              <w:left w:val="single" w:sz="4" w:space="0" w:color="auto"/>
              <w:bottom w:val="single" w:sz="12" w:space="0" w:color="auto"/>
              <w:right w:val="single" w:sz="4" w:space="0" w:color="auto"/>
              <w:tl2br w:val="nil"/>
              <w:tr2bl w:val="nil"/>
            </w:tcBorders>
            <w:shd w:val="clear" w:color="auto" w:fill="606060"/>
            <w:textDirection w:val="lrTb"/>
            <w:vAlign w:val="center"/>
          </w:tcPr>
          <w:p w:rsidR="00D652EE" w:rsidRPr="00A208B4" w:rsidP="00C362EA">
            <w:pPr>
              <w:spacing w:line="240" w:lineRule="auto"/>
              <w:jc w:val="center"/>
              <w:rPr>
                <w:rFonts w:ascii="Arial Narrow" w:hAnsi="Arial Narrow" w:cs="Times New Roman"/>
                <w:b/>
                <w:bCs/>
                <w:color w:val="FFFFFF"/>
                <w:sz w:val="18"/>
                <w:szCs w:val="18"/>
              </w:rPr>
            </w:pPr>
            <w:r w:rsidRPr="00A208B4">
              <w:rPr>
                <w:rFonts w:ascii="Arial Narrow" w:hAnsi="Arial Narrow" w:cs="Times New Roman"/>
                <w:b/>
                <w:bCs/>
                <w:color w:val="FFFFFF"/>
                <w:sz w:val="18"/>
                <w:szCs w:val="18"/>
              </w:rPr>
              <w:t>Policajti</w:t>
            </w:r>
          </w:p>
        </w:tc>
        <w:tc>
          <w:tcPr>
            <w:tcW w:w="720" w:type="dxa"/>
            <w:tcBorders>
              <w:top w:val="single" w:sz="12" w:space="0" w:color="auto"/>
              <w:left w:val="single" w:sz="4" w:space="0" w:color="auto"/>
              <w:bottom w:val="single" w:sz="12" w:space="0" w:color="auto"/>
              <w:right w:val="single" w:sz="4" w:space="0" w:color="auto"/>
              <w:tl2br w:val="nil"/>
              <w:tr2bl w:val="nil"/>
            </w:tcBorders>
            <w:shd w:val="clear" w:color="auto" w:fill="606060"/>
            <w:textDirection w:val="lrTb"/>
            <w:vAlign w:val="center"/>
          </w:tcPr>
          <w:p w:rsidR="00D652EE" w:rsidRPr="00A208B4" w:rsidP="00C362EA">
            <w:pPr>
              <w:spacing w:line="240" w:lineRule="auto"/>
              <w:jc w:val="center"/>
              <w:rPr>
                <w:rFonts w:ascii="Arial Narrow" w:hAnsi="Arial Narrow" w:cs="Times New Roman"/>
                <w:b/>
                <w:bCs/>
                <w:color w:val="FFFFFF"/>
                <w:sz w:val="18"/>
                <w:szCs w:val="18"/>
              </w:rPr>
            </w:pPr>
            <w:r w:rsidRPr="00A208B4">
              <w:rPr>
                <w:rFonts w:ascii="Arial Narrow" w:hAnsi="Arial Narrow" w:cs="Times New Roman"/>
                <w:b/>
                <w:bCs/>
                <w:color w:val="FFFFFF"/>
                <w:sz w:val="18"/>
                <w:szCs w:val="18"/>
              </w:rPr>
              <w:t>Verejná služba</w:t>
            </w:r>
          </w:p>
        </w:tc>
        <w:tc>
          <w:tcPr>
            <w:tcW w:w="720" w:type="dxa"/>
            <w:tcBorders>
              <w:top w:val="single" w:sz="12" w:space="0" w:color="auto"/>
              <w:left w:val="single" w:sz="4" w:space="0" w:color="auto"/>
              <w:bottom w:val="single" w:sz="12" w:space="0" w:color="auto"/>
              <w:right w:val="single" w:sz="12" w:space="0" w:color="auto"/>
              <w:tl2br w:val="nil"/>
              <w:tr2bl w:val="nil"/>
            </w:tcBorders>
            <w:shd w:val="clear" w:color="auto" w:fill="606060"/>
            <w:textDirection w:val="lrTb"/>
            <w:vAlign w:val="center"/>
          </w:tcPr>
          <w:p w:rsidR="00D652EE" w:rsidRPr="00A208B4" w:rsidP="00C362EA">
            <w:pPr>
              <w:spacing w:line="240" w:lineRule="auto"/>
              <w:jc w:val="center"/>
              <w:rPr>
                <w:rFonts w:ascii="Arial Narrow" w:hAnsi="Arial Narrow" w:cs="Times New Roman"/>
                <w:b/>
                <w:bCs/>
                <w:color w:val="FFFFFF"/>
                <w:sz w:val="18"/>
                <w:szCs w:val="18"/>
              </w:rPr>
            </w:pPr>
            <w:r w:rsidRPr="00A208B4">
              <w:rPr>
                <w:rFonts w:ascii="Arial Narrow" w:hAnsi="Arial Narrow" w:cs="Times New Roman"/>
                <w:b/>
                <w:bCs/>
                <w:color w:val="FFFFFF"/>
                <w:sz w:val="18"/>
                <w:szCs w:val="18"/>
              </w:rPr>
              <w:t>Spolu</w:t>
            </w:r>
          </w:p>
        </w:tc>
        <w:tc>
          <w:tcPr>
            <w:tcW w:w="720" w:type="dxa"/>
            <w:tcBorders>
              <w:top w:val="single" w:sz="4" w:space="0" w:color="auto"/>
              <w:left w:val="single" w:sz="12" w:space="0" w:color="auto"/>
              <w:bottom w:val="single" w:sz="12" w:space="0" w:color="auto"/>
              <w:right w:val="single" w:sz="4" w:space="0" w:color="auto"/>
              <w:tl2br w:val="nil"/>
              <w:tr2bl w:val="nil"/>
            </w:tcBorders>
            <w:shd w:val="clear" w:color="auto" w:fill="606060"/>
            <w:textDirection w:val="lrTb"/>
            <w:vAlign w:val="center"/>
          </w:tcPr>
          <w:p w:rsidR="00D652EE" w:rsidRPr="00A208B4" w:rsidP="00C362EA">
            <w:pPr>
              <w:spacing w:line="240" w:lineRule="auto"/>
              <w:jc w:val="center"/>
              <w:rPr>
                <w:rFonts w:ascii="Arial Narrow" w:hAnsi="Arial Narrow" w:cs="Times New Roman"/>
                <w:b/>
                <w:bCs/>
                <w:color w:val="FFFFFF"/>
                <w:sz w:val="18"/>
                <w:szCs w:val="18"/>
              </w:rPr>
            </w:pPr>
            <w:r w:rsidRPr="00A208B4">
              <w:rPr>
                <w:rFonts w:ascii="Arial Narrow" w:hAnsi="Arial Narrow" w:cs="Times New Roman"/>
                <w:b/>
                <w:bCs/>
                <w:color w:val="FFFFFF"/>
                <w:sz w:val="18"/>
                <w:szCs w:val="18"/>
              </w:rPr>
              <w:t>Štátna služba</w:t>
            </w:r>
          </w:p>
        </w:tc>
        <w:tc>
          <w:tcPr>
            <w:tcW w:w="707" w:type="dxa"/>
            <w:tcBorders>
              <w:top w:val="single" w:sz="4" w:space="0" w:color="auto"/>
              <w:left w:val="single" w:sz="4" w:space="0" w:color="auto"/>
              <w:bottom w:val="single" w:sz="12" w:space="0" w:color="auto"/>
              <w:right w:val="single" w:sz="4" w:space="0" w:color="auto"/>
              <w:tl2br w:val="nil"/>
              <w:tr2bl w:val="nil"/>
            </w:tcBorders>
            <w:shd w:val="clear" w:color="auto" w:fill="606060"/>
            <w:noWrap/>
            <w:textDirection w:val="lrTb"/>
            <w:vAlign w:val="center"/>
          </w:tcPr>
          <w:p w:rsidR="00D652EE" w:rsidRPr="00A208B4" w:rsidP="00C362EA">
            <w:pPr>
              <w:spacing w:line="240" w:lineRule="auto"/>
              <w:jc w:val="center"/>
              <w:rPr>
                <w:rFonts w:ascii="Arial Narrow" w:hAnsi="Arial Narrow" w:cs="Times New Roman"/>
                <w:b/>
                <w:bCs/>
                <w:color w:val="FFFFFF"/>
                <w:sz w:val="18"/>
                <w:szCs w:val="18"/>
              </w:rPr>
            </w:pPr>
            <w:r w:rsidRPr="00A208B4">
              <w:rPr>
                <w:rFonts w:ascii="Arial Narrow" w:hAnsi="Arial Narrow" w:cs="Times New Roman"/>
                <w:b/>
                <w:bCs/>
                <w:color w:val="FFFFFF"/>
                <w:sz w:val="18"/>
                <w:szCs w:val="18"/>
              </w:rPr>
              <w:t>Policajti</w:t>
            </w:r>
          </w:p>
        </w:tc>
        <w:tc>
          <w:tcPr>
            <w:tcW w:w="733" w:type="dxa"/>
            <w:tcBorders>
              <w:top w:val="single" w:sz="4" w:space="0" w:color="auto"/>
              <w:left w:val="single" w:sz="4" w:space="0" w:color="auto"/>
              <w:bottom w:val="single" w:sz="12" w:space="0" w:color="auto"/>
              <w:right w:val="single" w:sz="4" w:space="0" w:color="auto"/>
              <w:tl2br w:val="nil"/>
              <w:tr2bl w:val="nil"/>
            </w:tcBorders>
            <w:shd w:val="clear" w:color="auto" w:fill="606060"/>
            <w:textDirection w:val="lrTb"/>
            <w:vAlign w:val="center"/>
          </w:tcPr>
          <w:p w:rsidR="00D652EE" w:rsidRPr="00A208B4" w:rsidP="00C362EA">
            <w:pPr>
              <w:spacing w:line="240" w:lineRule="auto"/>
              <w:jc w:val="center"/>
              <w:rPr>
                <w:rFonts w:ascii="Arial Narrow" w:hAnsi="Arial Narrow" w:cs="Times New Roman"/>
                <w:b/>
                <w:bCs/>
                <w:color w:val="FFFFFF"/>
                <w:sz w:val="18"/>
                <w:szCs w:val="18"/>
              </w:rPr>
            </w:pPr>
            <w:r w:rsidRPr="00A208B4">
              <w:rPr>
                <w:rFonts w:ascii="Arial Narrow" w:hAnsi="Arial Narrow" w:cs="Times New Roman"/>
                <w:b/>
                <w:bCs/>
                <w:color w:val="FFFFFF"/>
                <w:sz w:val="18"/>
                <w:szCs w:val="18"/>
              </w:rPr>
              <w:t>Verejná služba</w:t>
            </w:r>
          </w:p>
        </w:tc>
        <w:tc>
          <w:tcPr>
            <w:tcW w:w="720" w:type="dxa"/>
            <w:tcBorders>
              <w:top w:val="single" w:sz="4" w:space="0" w:color="auto"/>
              <w:left w:val="single" w:sz="4" w:space="0" w:color="auto"/>
              <w:bottom w:val="single" w:sz="12" w:space="0" w:color="auto"/>
              <w:right w:val="single" w:sz="12" w:space="0" w:color="auto"/>
              <w:tl2br w:val="nil"/>
              <w:tr2bl w:val="nil"/>
            </w:tcBorders>
            <w:shd w:val="clear" w:color="auto" w:fill="606060"/>
            <w:textDirection w:val="lrTb"/>
            <w:vAlign w:val="center"/>
          </w:tcPr>
          <w:p w:rsidR="00D652EE" w:rsidRPr="00A208B4" w:rsidP="00C362EA">
            <w:pPr>
              <w:spacing w:line="240" w:lineRule="auto"/>
              <w:jc w:val="center"/>
              <w:rPr>
                <w:rFonts w:ascii="Arial Narrow" w:hAnsi="Arial Narrow" w:cs="Times New Roman"/>
                <w:b/>
                <w:bCs/>
                <w:color w:val="FFFFFF"/>
                <w:sz w:val="18"/>
                <w:szCs w:val="18"/>
              </w:rPr>
            </w:pPr>
            <w:r w:rsidRPr="00A208B4">
              <w:rPr>
                <w:rFonts w:ascii="Arial Narrow" w:hAnsi="Arial Narrow" w:cs="Times New Roman"/>
                <w:b/>
                <w:bCs/>
                <w:color w:val="FFFFFF"/>
                <w:sz w:val="18"/>
                <w:szCs w:val="18"/>
              </w:rPr>
              <w:t>Spolu</w:t>
            </w:r>
          </w:p>
        </w:tc>
        <w:tc>
          <w:tcPr>
            <w:tcW w:w="720" w:type="dxa"/>
            <w:tcBorders>
              <w:top w:val="single" w:sz="4" w:space="0" w:color="auto"/>
              <w:left w:val="single" w:sz="12" w:space="0" w:color="auto"/>
              <w:bottom w:val="single" w:sz="12" w:space="0" w:color="auto"/>
              <w:right w:val="single" w:sz="4" w:space="0" w:color="auto"/>
              <w:tl2br w:val="nil"/>
              <w:tr2bl w:val="nil"/>
            </w:tcBorders>
            <w:shd w:val="clear" w:color="auto" w:fill="606060"/>
            <w:textDirection w:val="lrTb"/>
            <w:vAlign w:val="center"/>
          </w:tcPr>
          <w:p w:rsidR="00D652EE" w:rsidRPr="00A208B4" w:rsidP="00C362EA">
            <w:pPr>
              <w:spacing w:line="240" w:lineRule="auto"/>
              <w:jc w:val="center"/>
              <w:rPr>
                <w:rFonts w:ascii="Arial Narrow" w:hAnsi="Arial Narrow" w:cs="Times New Roman"/>
                <w:b/>
                <w:bCs/>
                <w:color w:val="FFFFFF"/>
                <w:sz w:val="18"/>
                <w:szCs w:val="18"/>
              </w:rPr>
            </w:pPr>
            <w:r w:rsidRPr="00A208B4">
              <w:rPr>
                <w:rFonts w:ascii="Arial Narrow" w:hAnsi="Arial Narrow" w:cs="Times New Roman"/>
                <w:b/>
                <w:bCs/>
                <w:color w:val="FFFFFF"/>
                <w:sz w:val="18"/>
                <w:szCs w:val="18"/>
              </w:rPr>
              <w:t>Štátna služba</w:t>
            </w:r>
          </w:p>
        </w:tc>
        <w:tc>
          <w:tcPr>
            <w:tcW w:w="720" w:type="dxa"/>
            <w:tcBorders>
              <w:top w:val="single" w:sz="4" w:space="0" w:color="auto"/>
              <w:left w:val="single" w:sz="4" w:space="0" w:color="auto"/>
              <w:bottom w:val="single" w:sz="12" w:space="0" w:color="auto"/>
              <w:right w:val="single" w:sz="4" w:space="0" w:color="auto"/>
              <w:tl2br w:val="nil"/>
              <w:tr2bl w:val="nil"/>
            </w:tcBorders>
            <w:shd w:val="clear" w:color="auto" w:fill="606060"/>
            <w:noWrap/>
            <w:textDirection w:val="lrTb"/>
            <w:vAlign w:val="center"/>
          </w:tcPr>
          <w:p w:rsidR="00D652EE" w:rsidRPr="00A208B4" w:rsidP="00C362EA">
            <w:pPr>
              <w:spacing w:line="240" w:lineRule="auto"/>
              <w:jc w:val="center"/>
              <w:rPr>
                <w:rFonts w:ascii="Arial Narrow" w:hAnsi="Arial Narrow" w:cs="Times New Roman"/>
                <w:b/>
                <w:bCs/>
                <w:color w:val="FFFFFF"/>
                <w:sz w:val="18"/>
                <w:szCs w:val="18"/>
              </w:rPr>
            </w:pPr>
            <w:r w:rsidRPr="00A208B4">
              <w:rPr>
                <w:rFonts w:ascii="Arial Narrow" w:hAnsi="Arial Narrow" w:cs="Times New Roman"/>
                <w:b/>
                <w:bCs/>
                <w:color w:val="FFFFFF"/>
                <w:sz w:val="18"/>
                <w:szCs w:val="18"/>
              </w:rPr>
              <w:t>Policajti</w:t>
            </w:r>
          </w:p>
        </w:tc>
        <w:tc>
          <w:tcPr>
            <w:tcW w:w="720" w:type="dxa"/>
            <w:tcBorders>
              <w:top w:val="single" w:sz="4" w:space="0" w:color="auto"/>
              <w:left w:val="single" w:sz="4" w:space="0" w:color="auto"/>
              <w:bottom w:val="single" w:sz="12" w:space="0" w:color="auto"/>
              <w:right w:val="single" w:sz="4" w:space="0" w:color="auto"/>
              <w:tl2br w:val="nil"/>
              <w:tr2bl w:val="nil"/>
            </w:tcBorders>
            <w:shd w:val="clear" w:color="auto" w:fill="606060"/>
            <w:textDirection w:val="lrTb"/>
            <w:vAlign w:val="center"/>
          </w:tcPr>
          <w:p w:rsidR="00D652EE" w:rsidRPr="00A208B4" w:rsidP="00C362EA">
            <w:pPr>
              <w:spacing w:line="240" w:lineRule="auto"/>
              <w:jc w:val="center"/>
              <w:rPr>
                <w:rFonts w:ascii="Arial Narrow" w:hAnsi="Arial Narrow" w:cs="Times New Roman"/>
                <w:b/>
                <w:bCs/>
                <w:color w:val="FFFFFF"/>
                <w:sz w:val="18"/>
                <w:szCs w:val="18"/>
              </w:rPr>
            </w:pPr>
            <w:r w:rsidRPr="00A208B4">
              <w:rPr>
                <w:rFonts w:ascii="Arial Narrow" w:hAnsi="Arial Narrow" w:cs="Times New Roman"/>
                <w:b/>
                <w:bCs/>
                <w:color w:val="FFFFFF"/>
                <w:sz w:val="18"/>
                <w:szCs w:val="18"/>
              </w:rPr>
              <w:t>Verejná služba</w:t>
            </w:r>
          </w:p>
        </w:tc>
        <w:tc>
          <w:tcPr>
            <w:tcW w:w="720" w:type="dxa"/>
            <w:tcBorders>
              <w:top w:val="single" w:sz="4" w:space="0" w:color="auto"/>
              <w:left w:val="single" w:sz="4" w:space="0" w:color="auto"/>
              <w:bottom w:val="single" w:sz="12" w:space="0" w:color="auto"/>
              <w:right w:val="single" w:sz="12" w:space="0" w:color="auto"/>
              <w:tl2br w:val="nil"/>
              <w:tr2bl w:val="nil"/>
            </w:tcBorders>
            <w:shd w:val="clear" w:color="auto" w:fill="606060"/>
            <w:textDirection w:val="lrTb"/>
            <w:vAlign w:val="center"/>
          </w:tcPr>
          <w:p w:rsidR="00D652EE" w:rsidRPr="00A208B4" w:rsidP="00C362EA">
            <w:pPr>
              <w:spacing w:line="240" w:lineRule="auto"/>
              <w:jc w:val="center"/>
              <w:rPr>
                <w:rFonts w:ascii="Arial Narrow" w:hAnsi="Arial Narrow" w:cs="Times New Roman"/>
                <w:b/>
                <w:bCs/>
                <w:color w:val="FFFFFF"/>
                <w:sz w:val="18"/>
                <w:szCs w:val="18"/>
              </w:rPr>
            </w:pPr>
            <w:r w:rsidRPr="00A208B4">
              <w:rPr>
                <w:rFonts w:ascii="Arial Narrow" w:hAnsi="Arial Narrow" w:cs="Times New Roman"/>
                <w:b/>
                <w:bCs/>
                <w:color w:val="FFFFFF"/>
                <w:sz w:val="18"/>
                <w:szCs w:val="18"/>
              </w:rPr>
              <w:t>Spolu</w:t>
            </w:r>
          </w:p>
        </w:tc>
      </w:tr>
      <w:tr>
        <w:tblPrEx>
          <w:tblW w:w="9735" w:type="dxa"/>
          <w:tblInd w:w="-110" w:type="dxa"/>
          <w:tblLayout w:type="fixed"/>
          <w:tblCellMar>
            <w:left w:w="70" w:type="dxa"/>
            <w:right w:w="70" w:type="dxa"/>
          </w:tblCellMar>
        </w:tblPrEx>
        <w:trPr>
          <w:trHeight w:val="259"/>
        </w:trPr>
        <w:tc>
          <w:tcPr>
            <w:tcW w:w="1095" w:type="dxa"/>
            <w:tcBorders>
              <w:top w:val="single" w:sz="12" w:space="0" w:color="auto"/>
              <w:left w:val="single" w:sz="12" w:space="0" w:color="auto"/>
              <w:bottom w:val="single" w:sz="4" w:space="0" w:color="auto"/>
              <w:right w:val="single" w:sz="12" w:space="0" w:color="auto"/>
              <w:tl2br w:val="nil"/>
              <w:tr2bl w:val="nil"/>
            </w:tcBorders>
            <w:noWrap/>
            <w:textDirection w:val="lrTb"/>
            <w:vAlign w:val="center"/>
          </w:tcPr>
          <w:p w:rsidR="00D652EE" w:rsidRPr="00263BE8" w:rsidP="00C362EA">
            <w:pPr>
              <w:spacing w:line="240" w:lineRule="auto"/>
              <w:rPr>
                <w:rFonts w:ascii="Arial Narrow" w:hAnsi="Arial Narrow" w:cs="Times New Roman"/>
              </w:rPr>
            </w:pPr>
            <w:r w:rsidRPr="00263BE8">
              <w:rPr>
                <w:rFonts w:ascii="Arial Narrow" w:hAnsi="Arial Narrow" w:cs="Times New Roman"/>
              </w:rPr>
              <w:t>MDPT SR</w:t>
            </w:r>
          </w:p>
        </w:tc>
        <w:tc>
          <w:tcPr>
            <w:tcW w:w="720" w:type="dxa"/>
            <w:tcBorders>
              <w:top w:val="single" w:sz="12" w:space="0" w:color="auto"/>
              <w:left w:val="single" w:sz="12" w:space="0" w:color="auto"/>
              <w:bottom w:val="single" w:sz="4" w:space="0" w:color="auto"/>
              <w:right w:val="single" w:sz="4" w:space="0" w:color="auto"/>
              <w:tl2br w:val="nil"/>
              <w:tr2bl w:val="nil"/>
            </w:tcBorders>
            <w:textDirection w:val="lrTb"/>
            <w:vAlign w:val="center"/>
          </w:tcPr>
          <w:p w:rsidR="00D652EE" w:rsidP="00C362EA">
            <w:pPr>
              <w:spacing w:line="240" w:lineRule="auto"/>
              <w:jc w:val="right"/>
              <w:rPr>
                <w:rFonts w:ascii="Arial Narrow" w:hAnsi="Arial Narrow" w:cs="Times New Roman"/>
              </w:rPr>
            </w:pPr>
            <w:r w:rsidR="00520E46">
              <w:rPr>
                <w:rFonts w:ascii="Arial Narrow" w:hAnsi="Arial Narrow" w:cs="Times New Roman"/>
              </w:rPr>
              <w:t>2</w:t>
            </w:r>
            <w:r w:rsidR="0053262B">
              <w:rPr>
                <w:rFonts w:ascii="Arial Narrow" w:hAnsi="Arial Narrow" w:cs="Times New Roman"/>
              </w:rPr>
              <w:t>71</w:t>
            </w:r>
          </w:p>
        </w:tc>
        <w:tc>
          <w:tcPr>
            <w:tcW w:w="720" w:type="dxa"/>
            <w:tcBorders>
              <w:top w:val="single" w:sz="12" w:space="0" w:color="auto"/>
              <w:left w:val="single" w:sz="4" w:space="0" w:color="auto"/>
              <w:bottom w:val="single" w:sz="4" w:space="0" w:color="auto"/>
              <w:right w:val="single" w:sz="4" w:space="0" w:color="auto"/>
              <w:tl2br w:val="nil"/>
              <w:tr2bl w:val="nil"/>
            </w:tcBorders>
            <w:textDirection w:val="lrTb"/>
            <w:vAlign w:val="center"/>
          </w:tcPr>
          <w:p w:rsidR="00D652EE" w:rsidP="00C362EA">
            <w:pPr>
              <w:spacing w:line="240" w:lineRule="auto"/>
              <w:jc w:val="right"/>
              <w:rPr>
                <w:rFonts w:ascii="Arial Narrow" w:hAnsi="Arial Narrow" w:cs="Times New Roman"/>
              </w:rPr>
            </w:pPr>
          </w:p>
        </w:tc>
        <w:tc>
          <w:tcPr>
            <w:tcW w:w="720" w:type="dxa"/>
            <w:tcBorders>
              <w:top w:val="single" w:sz="12" w:space="0" w:color="auto"/>
              <w:left w:val="single" w:sz="4" w:space="0" w:color="auto"/>
              <w:bottom w:val="single" w:sz="4" w:space="0" w:color="auto"/>
              <w:right w:val="single" w:sz="4" w:space="0" w:color="auto"/>
              <w:tl2br w:val="nil"/>
              <w:tr2bl w:val="nil"/>
            </w:tcBorders>
            <w:textDirection w:val="lrTb"/>
            <w:vAlign w:val="center"/>
          </w:tcPr>
          <w:p w:rsidR="00D652EE" w:rsidP="00C362EA">
            <w:pPr>
              <w:spacing w:line="240" w:lineRule="auto"/>
              <w:jc w:val="right"/>
              <w:rPr>
                <w:rFonts w:ascii="Arial Narrow" w:hAnsi="Arial Narrow" w:cs="Times New Roman"/>
              </w:rPr>
            </w:pPr>
            <w:r w:rsidR="0053262B">
              <w:rPr>
                <w:rFonts w:ascii="Arial Narrow" w:hAnsi="Arial Narrow" w:cs="Times New Roman"/>
              </w:rPr>
              <w:t>59</w:t>
            </w:r>
          </w:p>
        </w:tc>
        <w:tc>
          <w:tcPr>
            <w:tcW w:w="720" w:type="dxa"/>
            <w:tcBorders>
              <w:top w:val="single" w:sz="12" w:space="0" w:color="auto"/>
              <w:left w:val="single" w:sz="4" w:space="0" w:color="auto"/>
              <w:bottom w:val="single" w:sz="4" w:space="0" w:color="auto"/>
              <w:right w:val="single" w:sz="12" w:space="0" w:color="auto"/>
              <w:tl2br w:val="nil"/>
              <w:tr2bl w:val="nil"/>
            </w:tcBorders>
            <w:textDirection w:val="lrTb"/>
            <w:vAlign w:val="center"/>
          </w:tcPr>
          <w:p w:rsidR="00D652EE" w:rsidP="00C362EA">
            <w:pPr>
              <w:spacing w:line="240" w:lineRule="auto"/>
              <w:jc w:val="right"/>
              <w:rPr>
                <w:rFonts w:ascii="Arial Narrow" w:hAnsi="Arial Narrow" w:cs="Times New Roman"/>
              </w:rPr>
            </w:pPr>
            <w:r w:rsidR="00D26F68">
              <w:rPr>
                <w:rFonts w:ascii="Arial Narrow" w:hAnsi="Arial Narrow" w:cs="Times New Roman"/>
              </w:rPr>
              <w:t>330</w:t>
            </w:r>
          </w:p>
        </w:tc>
        <w:tc>
          <w:tcPr>
            <w:tcW w:w="720" w:type="dxa"/>
            <w:tcBorders>
              <w:top w:val="single" w:sz="12" w:space="0" w:color="auto"/>
              <w:left w:val="single" w:sz="12" w:space="0" w:color="auto"/>
              <w:bottom w:val="single" w:sz="4" w:space="0" w:color="auto"/>
              <w:right w:val="single" w:sz="4" w:space="0" w:color="auto"/>
              <w:tl2br w:val="nil"/>
              <w:tr2bl w:val="nil"/>
            </w:tcBorders>
            <w:noWrap/>
            <w:textDirection w:val="lrTb"/>
            <w:vAlign w:val="center"/>
          </w:tcPr>
          <w:p w:rsidR="00D652EE" w:rsidRPr="00263BE8" w:rsidP="00C362EA">
            <w:pPr>
              <w:spacing w:line="240" w:lineRule="auto"/>
              <w:jc w:val="right"/>
              <w:rPr>
                <w:rFonts w:ascii="Arial Narrow" w:hAnsi="Arial Narrow" w:cs="Times New Roman"/>
              </w:rPr>
            </w:pPr>
            <w:r>
              <w:rPr>
                <w:rFonts w:ascii="Arial Narrow" w:hAnsi="Arial Narrow" w:cs="Times New Roman"/>
              </w:rPr>
              <w:t>2</w:t>
            </w:r>
            <w:r w:rsidR="003F5451">
              <w:rPr>
                <w:rFonts w:ascii="Arial Narrow" w:hAnsi="Arial Narrow" w:cs="Times New Roman"/>
              </w:rPr>
              <w:t>62</w:t>
            </w:r>
          </w:p>
        </w:tc>
        <w:tc>
          <w:tcPr>
            <w:tcW w:w="707" w:type="dxa"/>
            <w:tcBorders>
              <w:top w:val="single" w:sz="12" w:space="0" w:color="auto"/>
              <w:left w:val="single" w:sz="4" w:space="0" w:color="auto"/>
              <w:bottom w:val="single" w:sz="4" w:space="0" w:color="auto"/>
              <w:right w:val="single" w:sz="4" w:space="0" w:color="auto"/>
              <w:tl2br w:val="nil"/>
              <w:tr2bl w:val="nil"/>
            </w:tcBorders>
            <w:noWrap/>
            <w:textDirection w:val="lrTb"/>
            <w:vAlign w:val="center"/>
          </w:tcPr>
          <w:p w:rsidR="00D652EE" w:rsidRPr="00263BE8" w:rsidP="00C362EA">
            <w:pPr>
              <w:spacing w:line="240" w:lineRule="auto"/>
              <w:rPr>
                <w:rFonts w:ascii="Arial Narrow" w:hAnsi="Arial Narrow" w:cs="Times New Roman"/>
              </w:rPr>
            </w:pPr>
            <w:r w:rsidRPr="00263BE8">
              <w:rPr>
                <w:rFonts w:ascii="Arial Narrow" w:hAnsi="Arial Narrow" w:cs="Times New Roman"/>
              </w:rPr>
              <w:t> </w:t>
            </w:r>
          </w:p>
        </w:tc>
        <w:tc>
          <w:tcPr>
            <w:tcW w:w="733" w:type="dxa"/>
            <w:tcBorders>
              <w:top w:val="single" w:sz="12" w:space="0" w:color="auto"/>
              <w:left w:val="single" w:sz="4" w:space="0" w:color="auto"/>
              <w:bottom w:val="single" w:sz="4" w:space="0" w:color="auto"/>
              <w:right w:val="single" w:sz="4" w:space="0" w:color="auto"/>
              <w:tl2br w:val="nil"/>
              <w:tr2bl w:val="nil"/>
            </w:tcBorders>
            <w:noWrap/>
            <w:textDirection w:val="lrTb"/>
            <w:vAlign w:val="center"/>
          </w:tcPr>
          <w:p w:rsidR="00D652EE" w:rsidRPr="00263BE8" w:rsidP="00C362EA">
            <w:pPr>
              <w:spacing w:line="240" w:lineRule="auto"/>
              <w:jc w:val="right"/>
              <w:rPr>
                <w:rFonts w:ascii="Arial Narrow" w:hAnsi="Arial Narrow" w:cs="Times New Roman"/>
              </w:rPr>
            </w:pPr>
            <w:r>
              <w:rPr>
                <w:rFonts w:ascii="Arial Narrow" w:hAnsi="Arial Narrow" w:cs="Times New Roman"/>
              </w:rPr>
              <w:t>5</w:t>
            </w:r>
            <w:r w:rsidR="00B527A8">
              <w:rPr>
                <w:rFonts w:ascii="Arial Narrow" w:hAnsi="Arial Narrow" w:cs="Times New Roman"/>
              </w:rPr>
              <w:t>1</w:t>
            </w:r>
          </w:p>
        </w:tc>
        <w:tc>
          <w:tcPr>
            <w:tcW w:w="720" w:type="dxa"/>
            <w:tcBorders>
              <w:top w:val="single" w:sz="12" w:space="0" w:color="auto"/>
              <w:left w:val="single" w:sz="4" w:space="0" w:color="auto"/>
              <w:bottom w:val="single" w:sz="4" w:space="0" w:color="auto"/>
              <w:right w:val="single" w:sz="12" w:space="0" w:color="auto"/>
              <w:tl2br w:val="nil"/>
              <w:tr2bl w:val="nil"/>
            </w:tcBorders>
            <w:noWrap/>
            <w:textDirection w:val="lrTb"/>
            <w:vAlign w:val="center"/>
          </w:tcPr>
          <w:p w:rsidR="00D652EE" w:rsidRPr="00263BE8" w:rsidP="00C362EA">
            <w:pPr>
              <w:spacing w:line="240" w:lineRule="auto"/>
              <w:jc w:val="right"/>
              <w:rPr>
                <w:rFonts w:ascii="Arial Narrow" w:hAnsi="Arial Narrow" w:cs="Times New Roman"/>
              </w:rPr>
            </w:pPr>
            <w:r>
              <w:rPr>
                <w:rFonts w:ascii="Arial Narrow" w:hAnsi="Arial Narrow" w:cs="Times New Roman"/>
              </w:rPr>
              <w:t>3</w:t>
            </w:r>
            <w:r w:rsidR="00B527A8">
              <w:rPr>
                <w:rFonts w:ascii="Arial Narrow" w:hAnsi="Arial Narrow" w:cs="Times New Roman"/>
              </w:rPr>
              <w:t>13</w:t>
            </w:r>
          </w:p>
        </w:tc>
        <w:tc>
          <w:tcPr>
            <w:tcW w:w="720" w:type="dxa"/>
            <w:tcBorders>
              <w:top w:val="single" w:sz="12" w:space="0" w:color="auto"/>
              <w:left w:val="single" w:sz="12" w:space="0" w:color="auto"/>
              <w:bottom w:val="single" w:sz="4" w:space="0" w:color="auto"/>
              <w:right w:val="single" w:sz="4" w:space="0" w:color="auto"/>
              <w:tl2br w:val="nil"/>
              <w:tr2bl w:val="nil"/>
            </w:tcBorders>
            <w:noWrap/>
            <w:textDirection w:val="lrTb"/>
            <w:vAlign w:val="center"/>
          </w:tcPr>
          <w:p w:rsidR="00D652EE" w:rsidRPr="00263BE8" w:rsidP="00C362EA">
            <w:pPr>
              <w:spacing w:line="240" w:lineRule="auto"/>
              <w:jc w:val="right"/>
              <w:rPr>
                <w:rFonts w:ascii="Arial Narrow" w:hAnsi="Arial Narrow" w:cs="Times New Roman"/>
              </w:rPr>
            </w:pPr>
            <w:r>
              <w:rPr>
                <w:rFonts w:ascii="Arial Narrow" w:hAnsi="Arial Narrow" w:cs="Times New Roman"/>
              </w:rPr>
              <w:t>2</w:t>
            </w:r>
            <w:r w:rsidR="00B527A8">
              <w:rPr>
                <w:rFonts w:ascii="Arial Narrow" w:hAnsi="Arial Narrow" w:cs="Times New Roman"/>
              </w:rPr>
              <w:t>38</w:t>
            </w:r>
          </w:p>
        </w:tc>
        <w:tc>
          <w:tcPr>
            <w:tcW w:w="720" w:type="dxa"/>
            <w:tcBorders>
              <w:top w:val="single" w:sz="12" w:space="0" w:color="auto"/>
              <w:left w:val="single" w:sz="4" w:space="0" w:color="auto"/>
              <w:bottom w:val="single" w:sz="4" w:space="0" w:color="auto"/>
              <w:right w:val="single" w:sz="4" w:space="0" w:color="auto"/>
              <w:tl2br w:val="nil"/>
              <w:tr2bl w:val="nil"/>
            </w:tcBorders>
            <w:noWrap/>
            <w:textDirection w:val="lrTb"/>
            <w:vAlign w:val="center"/>
          </w:tcPr>
          <w:p w:rsidR="00D652EE" w:rsidRPr="00263BE8" w:rsidP="00C362EA">
            <w:pPr>
              <w:spacing w:line="240" w:lineRule="auto"/>
              <w:rPr>
                <w:rFonts w:ascii="Arial Narrow" w:hAnsi="Arial Narrow" w:cs="Times New Roman"/>
              </w:rPr>
            </w:pPr>
            <w:r w:rsidRPr="00263BE8">
              <w:rPr>
                <w:rFonts w:ascii="Arial Narrow" w:hAnsi="Arial Narrow" w:cs="Times New Roman"/>
              </w:rPr>
              <w:t> </w:t>
            </w:r>
          </w:p>
        </w:tc>
        <w:tc>
          <w:tcPr>
            <w:tcW w:w="720" w:type="dxa"/>
            <w:tcBorders>
              <w:top w:val="single" w:sz="12" w:space="0" w:color="auto"/>
              <w:left w:val="single" w:sz="4" w:space="0" w:color="auto"/>
              <w:bottom w:val="single" w:sz="4" w:space="0" w:color="auto"/>
              <w:right w:val="single" w:sz="4" w:space="0" w:color="auto"/>
              <w:tl2br w:val="nil"/>
              <w:tr2bl w:val="nil"/>
            </w:tcBorders>
            <w:noWrap/>
            <w:textDirection w:val="lrTb"/>
            <w:vAlign w:val="center"/>
          </w:tcPr>
          <w:p w:rsidR="00D652EE" w:rsidRPr="00263BE8" w:rsidP="00C362EA">
            <w:pPr>
              <w:spacing w:line="240" w:lineRule="auto"/>
              <w:jc w:val="right"/>
              <w:rPr>
                <w:rFonts w:ascii="Arial Narrow" w:hAnsi="Arial Narrow" w:cs="Times New Roman"/>
              </w:rPr>
            </w:pPr>
            <w:r>
              <w:rPr>
                <w:rFonts w:ascii="Arial Narrow" w:hAnsi="Arial Narrow" w:cs="Times New Roman"/>
              </w:rPr>
              <w:t>5</w:t>
            </w:r>
            <w:r w:rsidR="00B527A8">
              <w:rPr>
                <w:rFonts w:ascii="Arial Narrow" w:hAnsi="Arial Narrow" w:cs="Times New Roman"/>
              </w:rPr>
              <w:t>1</w:t>
            </w:r>
          </w:p>
        </w:tc>
        <w:tc>
          <w:tcPr>
            <w:tcW w:w="720" w:type="dxa"/>
            <w:tcBorders>
              <w:top w:val="single" w:sz="12" w:space="0" w:color="auto"/>
              <w:left w:val="single" w:sz="4" w:space="0" w:color="auto"/>
              <w:bottom w:val="single" w:sz="4" w:space="0" w:color="auto"/>
              <w:right w:val="single" w:sz="12" w:space="0" w:color="auto"/>
              <w:tl2br w:val="nil"/>
              <w:tr2bl w:val="nil"/>
            </w:tcBorders>
            <w:noWrap/>
            <w:textDirection w:val="lrTb"/>
            <w:vAlign w:val="center"/>
          </w:tcPr>
          <w:p w:rsidR="00D652EE" w:rsidRPr="00263BE8" w:rsidP="00C362EA">
            <w:pPr>
              <w:spacing w:line="240" w:lineRule="auto"/>
              <w:jc w:val="right"/>
              <w:rPr>
                <w:rFonts w:ascii="Arial Narrow" w:hAnsi="Arial Narrow" w:cs="Times New Roman"/>
              </w:rPr>
            </w:pPr>
            <w:r w:rsidR="00B527A8">
              <w:rPr>
                <w:rFonts w:ascii="Arial Narrow" w:hAnsi="Arial Narrow" w:cs="Times New Roman"/>
              </w:rPr>
              <w:t>289</w:t>
            </w:r>
          </w:p>
        </w:tc>
      </w:tr>
      <w:tr>
        <w:tblPrEx>
          <w:tblW w:w="9735" w:type="dxa"/>
          <w:tblInd w:w="-110" w:type="dxa"/>
          <w:tblLayout w:type="fixed"/>
          <w:tblCellMar>
            <w:left w:w="70" w:type="dxa"/>
            <w:right w:w="70" w:type="dxa"/>
          </w:tblCellMar>
        </w:tblPrEx>
        <w:trPr>
          <w:trHeight w:val="259"/>
        </w:trPr>
        <w:tc>
          <w:tcPr>
            <w:tcW w:w="1095" w:type="dxa"/>
            <w:tcBorders>
              <w:top w:val="single" w:sz="4" w:space="0" w:color="auto"/>
              <w:left w:val="single" w:sz="12" w:space="0" w:color="auto"/>
              <w:bottom w:val="single" w:sz="4" w:space="0" w:color="auto"/>
              <w:right w:val="single" w:sz="12" w:space="0" w:color="auto"/>
              <w:tl2br w:val="nil"/>
              <w:tr2bl w:val="nil"/>
            </w:tcBorders>
            <w:textDirection w:val="lrTb"/>
            <w:vAlign w:val="center"/>
          </w:tcPr>
          <w:p w:rsidR="00D652EE" w:rsidRPr="00263BE8" w:rsidP="00C362EA">
            <w:pPr>
              <w:spacing w:line="240" w:lineRule="auto"/>
              <w:rPr>
                <w:rFonts w:ascii="Arial Narrow" w:hAnsi="Arial Narrow" w:cs="Times New Roman"/>
              </w:rPr>
            </w:pPr>
            <w:r>
              <w:rPr>
                <w:rFonts w:ascii="Arial Narrow" w:hAnsi="Arial Narrow" w:cs="Times New Roman"/>
              </w:rPr>
              <w:t>ÚRŽD</w:t>
            </w:r>
          </w:p>
        </w:tc>
        <w:tc>
          <w:tcPr>
            <w:tcW w:w="720" w:type="dxa"/>
            <w:tcBorders>
              <w:top w:val="single" w:sz="4" w:space="0" w:color="auto"/>
              <w:left w:val="single" w:sz="12" w:space="0" w:color="auto"/>
              <w:bottom w:val="single" w:sz="4" w:space="0" w:color="auto"/>
              <w:right w:val="single" w:sz="4" w:space="0" w:color="auto"/>
              <w:tl2br w:val="nil"/>
              <w:tr2bl w:val="nil"/>
            </w:tcBorders>
            <w:textDirection w:val="lrTb"/>
            <w:vAlign w:val="center"/>
          </w:tcPr>
          <w:p w:rsidR="00D652EE" w:rsidP="00C362EA">
            <w:pPr>
              <w:spacing w:line="240" w:lineRule="auto"/>
              <w:jc w:val="right"/>
              <w:rPr>
                <w:rFonts w:ascii="Arial Narrow" w:hAnsi="Arial Narrow" w:cs="Times New Roman"/>
              </w:rPr>
            </w:pPr>
            <w:r>
              <w:rPr>
                <w:rFonts w:ascii="Arial Narrow" w:hAnsi="Arial Narrow" w:cs="Times New Roman"/>
              </w:rPr>
              <w:t>78</w:t>
            </w:r>
          </w:p>
        </w:tc>
        <w:tc>
          <w:tcPr>
            <w:tcW w:w="72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D652EE" w:rsidP="00C362EA">
            <w:pPr>
              <w:spacing w:line="240" w:lineRule="auto"/>
              <w:jc w:val="right"/>
              <w:rPr>
                <w:rFonts w:ascii="Arial Narrow" w:hAnsi="Arial Narrow" w:cs="Times New Roman"/>
              </w:rPr>
            </w:pPr>
          </w:p>
        </w:tc>
        <w:tc>
          <w:tcPr>
            <w:tcW w:w="72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D652EE" w:rsidP="00C362EA">
            <w:pPr>
              <w:spacing w:line="240" w:lineRule="auto"/>
              <w:jc w:val="right"/>
              <w:rPr>
                <w:rFonts w:ascii="Arial Narrow" w:hAnsi="Arial Narrow" w:cs="Times New Roman"/>
              </w:rPr>
            </w:pPr>
            <w:r>
              <w:rPr>
                <w:rFonts w:ascii="Arial Narrow" w:hAnsi="Arial Narrow" w:cs="Times New Roman"/>
              </w:rPr>
              <w:t>7</w:t>
            </w:r>
          </w:p>
        </w:tc>
        <w:tc>
          <w:tcPr>
            <w:tcW w:w="720" w:type="dxa"/>
            <w:tcBorders>
              <w:top w:val="single" w:sz="4" w:space="0" w:color="auto"/>
              <w:left w:val="single" w:sz="4" w:space="0" w:color="auto"/>
              <w:bottom w:val="single" w:sz="4" w:space="0" w:color="auto"/>
              <w:right w:val="single" w:sz="12" w:space="0" w:color="auto"/>
              <w:tl2br w:val="nil"/>
              <w:tr2bl w:val="nil"/>
            </w:tcBorders>
            <w:textDirection w:val="lrTb"/>
            <w:vAlign w:val="center"/>
          </w:tcPr>
          <w:p w:rsidR="00D652EE" w:rsidP="00C362EA">
            <w:pPr>
              <w:spacing w:line="240" w:lineRule="auto"/>
              <w:jc w:val="right"/>
              <w:rPr>
                <w:rFonts w:ascii="Arial Narrow" w:hAnsi="Arial Narrow" w:cs="Times New Roman"/>
              </w:rPr>
            </w:pPr>
            <w:r>
              <w:rPr>
                <w:rFonts w:ascii="Arial Narrow" w:hAnsi="Arial Narrow" w:cs="Times New Roman"/>
              </w:rPr>
              <w:t>85</w:t>
            </w:r>
          </w:p>
        </w:tc>
        <w:tc>
          <w:tcPr>
            <w:tcW w:w="720" w:type="dxa"/>
            <w:tcBorders>
              <w:top w:val="single" w:sz="4" w:space="0" w:color="auto"/>
              <w:left w:val="single" w:sz="12" w:space="0" w:color="auto"/>
              <w:bottom w:val="single" w:sz="4" w:space="0" w:color="auto"/>
              <w:right w:val="single" w:sz="4" w:space="0" w:color="auto"/>
              <w:tl2br w:val="nil"/>
              <w:tr2bl w:val="nil"/>
            </w:tcBorders>
            <w:noWrap/>
            <w:textDirection w:val="lrTb"/>
            <w:vAlign w:val="center"/>
          </w:tcPr>
          <w:p w:rsidR="00D652EE" w:rsidRPr="00263BE8" w:rsidP="00C362EA">
            <w:pPr>
              <w:spacing w:line="240" w:lineRule="auto"/>
              <w:jc w:val="right"/>
              <w:rPr>
                <w:rFonts w:ascii="Arial Narrow" w:hAnsi="Arial Narrow" w:cs="Times New Roman"/>
              </w:rPr>
            </w:pPr>
            <w:r>
              <w:rPr>
                <w:rFonts w:ascii="Arial Narrow" w:hAnsi="Arial Narrow" w:cs="Times New Roman"/>
              </w:rPr>
              <w:t>7</w:t>
            </w:r>
            <w:r w:rsidR="003F5451">
              <w:rPr>
                <w:rFonts w:ascii="Arial Narrow" w:hAnsi="Arial Narrow" w:cs="Times New Roman"/>
              </w:rPr>
              <w:t>8</w:t>
            </w:r>
          </w:p>
        </w:tc>
        <w:tc>
          <w:tcPr>
            <w:tcW w:w="707"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D652EE" w:rsidRPr="00263BE8" w:rsidP="00C362EA">
            <w:pPr>
              <w:spacing w:line="240" w:lineRule="auto"/>
              <w:rPr>
                <w:rFonts w:ascii="Arial Narrow" w:hAnsi="Arial Narrow" w:cs="Times New Roman"/>
              </w:rPr>
            </w:pPr>
            <w:r w:rsidRPr="00263BE8">
              <w:rPr>
                <w:rFonts w:ascii="Arial Narrow" w:hAnsi="Arial Narrow" w:cs="Times New Roman"/>
              </w:rPr>
              <w:t> </w:t>
            </w:r>
          </w:p>
        </w:tc>
        <w:tc>
          <w:tcPr>
            <w:tcW w:w="733"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D652EE" w:rsidRPr="00263BE8" w:rsidP="00C362EA">
            <w:pPr>
              <w:spacing w:line="240" w:lineRule="auto"/>
              <w:jc w:val="right"/>
              <w:rPr>
                <w:rFonts w:ascii="Arial Narrow" w:hAnsi="Arial Narrow" w:cs="Times New Roman"/>
              </w:rPr>
            </w:pPr>
            <w:r>
              <w:rPr>
                <w:rFonts w:ascii="Arial Narrow" w:hAnsi="Arial Narrow" w:cs="Times New Roman"/>
              </w:rPr>
              <w:t>7</w:t>
            </w:r>
          </w:p>
        </w:tc>
        <w:tc>
          <w:tcPr>
            <w:tcW w:w="720" w:type="dxa"/>
            <w:tcBorders>
              <w:top w:val="single" w:sz="4" w:space="0" w:color="auto"/>
              <w:left w:val="single" w:sz="4" w:space="0" w:color="auto"/>
              <w:bottom w:val="single" w:sz="4" w:space="0" w:color="auto"/>
              <w:right w:val="single" w:sz="12" w:space="0" w:color="auto"/>
              <w:tl2br w:val="nil"/>
              <w:tr2bl w:val="nil"/>
            </w:tcBorders>
            <w:noWrap/>
            <w:textDirection w:val="lrTb"/>
            <w:vAlign w:val="center"/>
          </w:tcPr>
          <w:p w:rsidR="00D652EE" w:rsidRPr="00263BE8" w:rsidP="00C362EA">
            <w:pPr>
              <w:spacing w:line="240" w:lineRule="auto"/>
              <w:jc w:val="right"/>
              <w:rPr>
                <w:rFonts w:ascii="Arial Narrow" w:hAnsi="Arial Narrow" w:cs="Times New Roman"/>
              </w:rPr>
            </w:pPr>
            <w:r>
              <w:rPr>
                <w:rFonts w:ascii="Arial Narrow" w:hAnsi="Arial Narrow" w:cs="Times New Roman"/>
              </w:rPr>
              <w:t>85</w:t>
            </w:r>
          </w:p>
        </w:tc>
        <w:tc>
          <w:tcPr>
            <w:tcW w:w="720" w:type="dxa"/>
            <w:tcBorders>
              <w:top w:val="single" w:sz="4" w:space="0" w:color="auto"/>
              <w:left w:val="single" w:sz="12" w:space="0" w:color="auto"/>
              <w:bottom w:val="single" w:sz="4" w:space="0" w:color="auto"/>
              <w:right w:val="single" w:sz="4" w:space="0" w:color="auto"/>
              <w:tl2br w:val="nil"/>
              <w:tr2bl w:val="nil"/>
            </w:tcBorders>
            <w:noWrap/>
            <w:textDirection w:val="lrTb"/>
            <w:vAlign w:val="center"/>
          </w:tcPr>
          <w:p w:rsidR="00D652EE" w:rsidRPr="00263BE8" w:rsidP="00C362EA">
            <w:pPr>
              <w:spacing w:line="240" w:lineRule="auto"/>
              <w:jc w:val="right"/>
              <w:rPr>
                <w:rFonts w:ascii="Arial Narrow" w:hAnsi="Arial Narrow" w:cs="Times New Roman"/>
              </w:rPr>
            </w:pPr>
            <w:r w:rsidR="00B527A8">
              <w:rPr>
                <w:rFonts w:ascii="Arial Narrow" w:hAnsi="Arial Narrow" w:cs="Times New Roman"/>
              </w:rPr>
              <w:t>6</w:t>
            </w:r>
            <w:r>
              <w:rPr>
                <w:rFonts w:ascii="Arial Narrow" w:hAnsi="Arial Narrow" w:cs="Times New Roman"/>
              </w:rPr>
              <w:t>1</w:t>
            </w:r>
          </w:p>
        </w:tc>
        <w:tc>
          <w:tcPr>
            <w:tcW w:w="72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D652EE" w:rsidRPr="00263BE8" w:rsidP="00C362EA">
            <w:pPr>
              <w:spacing w:line="240" w:lineRule="auto"/>
              <w:rPr>
                <w:rFonts w:ascii="Arial Narrow" w:hAnsi="Arial Narrow" w:cs="Times New Roman"/>
              </w:rPr>
            </w:pPr>
            <w:r w:rsidRPr="00263BE8">
              <w:rPr>
                <w:rFonts w:ascii="Arial Narrow" w:hAnsi="Arial Narrow" w:cs="Times New Roman"/>
              </w:rPr>
              <w:t> </w:t>
            </w:r>
          </w:p>
        </w:tc>
        <w:tc>
          <w:tcPr>
            <w:tcW w:w="72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D652EE" w:rsidRPr="00263BE8" w:rsidP="00C362EA">
            <w:pPr>
              <w:spacing w:line="240" w:lineRule="auto"/>
              <w:jc w:val="right"/>
              <w:rPr>
                <w:rFonts w:ascii="Arial Narrow" w:hAnsi="Arial Narrow" w:cs="Times New Roman"/>
              </w:rPr>
            </w:pPr>
            <w:r w:rsidR="00B527A8">
              <w:rPr>
                <w:rFonts w:ascii="Arial Narrow" w:hAnsi="Arial Narrow" w:cs="Times New Roman"/>
              </w:rPr>
              <w:t>6</w:t>
            </w:r>
          </w:p>
        </w:tc>
        <w:tc>
          <w:tcPr>
            <w:tcW w:w="720" w:type="dxa"/>
            <w:tcBorders>
              <w:top w:val="single" w:sz="4" w:space="0" w:color="auto"/>
              <w:left w:val="single" w:sz="4" w:space="0" w:color="auto"/>
              <w:bottom w:val="single" w:sz="4" w:space="0" w:color="auto"/>
              <w:right w:val="single" w:sz="12" w:space="0" w:color="auto"/>
              <w:tl2br w:val="nil"/>
              <w:tr2bl w:val="nil"/>
            </w:tcBorders>
            <w:noWrap/>
            <w:textDirection w:val="lrTb"/>
            <w:vAlign w:val="center"/>
          </w:tcPr>
          <w:p w:rsidR="00D652EE" w:rsidRPr="00263BE8" w:rsidP="00C362EA">
            <w:pPr>
              <w:spacing w:line="240" w:lineRule="auto"/>
              <w:jc w:val="right"/>
              <w:rPr>
                <w:rFonts w:ascii="Arial Narrow" w:hAnsi="Arial Narrow" w:cs="Times New Roman"/>
              </w:rPr>
            </w:pPr>
            <w:r w:rsidR="00B527A8">
              <w:rPr>
                <w:rFonts w:ascii="Arial Narrow" w:hAnsi="Arial Narrow" w:cs="Times New Roman"/>
              </w:rPr>
              <w:t>67</w:t>
            </w:r>
          </w:p>
        </w:tc>
      </w:tr>
      <w:tr>
        <w:tblPrEx>
          <w:tblW w:w="9735" w:type="dxa"/>
          <w:tblInd w:w="-110" w:type="dxa"/>
          <w:tblLayout w:type="fixed"/>
          <w:tblCellMar>
            <w:left w:w="70" w:type="dxa"/>
            <w:right w:w="70" w:type="dxa"/>
          </w:tblCellMar>
        </w:tblPrEx>
        <w:trPr>
          <w:trHeight w:val="259"/>
        </w:trPr>
        <w:tc>
          <w:tcPr>
            <w:tcW w:w="1095" w:type="dxa"/>
            <w:tcBorders>
              <w:top w:val="single" w:sz="4" w:space="0" w:color="auto"/>
              <w:left w:val="single" w:sz="12" w:space="0" w:color="auto"/>
              <w:bottom w:val="single" w:sz="4" w:space="0" w:color="auto"/>
              <w:right w:val="single" w:sz="12" w:space="0" w:color="auto"/>
              <w:tl2br w:val="nil"/>
              <w:tr2bl w:val="nil"/>
            </w:tcBorders>
            <w:noWrap/>
            <w:textDirection w:val="lrTb"/>
            <w:vAlign w:val="center"/>
          </w:tcPr>
          <w:p w:rsidR="00D652EE" w:rsidRPr="00263BE8" w:rsidP="00C362EA">
            <w:pPr>
              <w:spacing w:line="240" w:lineRule="auto"/>
              <w:rPr>
                <w:rFonts w:ascii="Arial Narrow" w:hAnsi="Arial Narrow" w:cs="Times New Roman"/>
              </w:rPr>
            </w:pPr>
            <w:r>
              <w:rPr>
                <w:rFonts w:ascii="Arial Narrow" w:hAnsi="Arial Narrow" w:cs="Times New Roman"/>
              </w:rPr>
              <w:t>ŠPS</w:t>
            </w:r>
          </w:p>
        </w:tc>
        <w:tc>
          <w:tcPr>
            <w:tcW w:w="720" w:type="dxa"/>
            <w:tcBorders>
              <w:top w:val="single" w:sz="4" w:space="0" w:color="auto"/>
              <w:left w:val="single" w:sz="12" w:space="0" w:color="auto"/>
              <w:bottom w:val="single" w:sz="4" w:space="0" w:color="auto"/>
              <w:right w:val="single" w:sz="4" w:space="0" w:color="auto"/>
              <w:tl2br w:val="nil"/>
              <w:tr2bl w:val="nil"/>
            </w:tcBorders>
            <w:textDirection w:val="lrTb"/>
            <w:vAlign w:val="center"/>
          </w:tcPr>
          <w:p w:rsidR="00D652EE" w:rsidRPr="00263BE8" w:rsidP="00C362EA">
            <w:pPr>
              <w:spacing w:line="240" w:lineRule="auto"/>
              <w:jc w:val="right"/>
              <w:rPr>
                <w:rFonts w:ascii="Arial Narrow" w:hAnsi="Arial Narrow" w:cs="Times New Roman"/>
              </w:rPr>
            </w:pPr>
            <w:r>
              <w:rPr>
                <w:rFonts w:ascii="Arial Narrow" w:hAnsi="Arial Narrow" w:cs="Times New Roman"/>
              </w:rPr>
              <w:t>65</w:t>
            </w:r>
          </w:p>
        </w:tc>
        <w:tc>
          <w:tcPr>
            <w:tcW w:w="72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D652EE" w:rsidRPr="00263BE8" w:rsidP="00C362EA">
            <w:pPr>
              <w:spacing w:line="240" w:lineRule="auto"/>
              <w:jc w:val="right"/>
              <w:rPr>
                <w:rFonts w:ascii="Arial Narrow" w:hAnsi="Arial Narrow" w:cs="Times New Roman"/>
              </w:rPr>
            </w:pPr>
          </w:p>
        </w:tc>
        <w:tc>
          <w:tcPr>
            <w:tcW w:w="72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D652EE" w:rsidRPr="00263BE8" w:rsidP="00C362EA">
            <w:pPr>
              <w:spacing w:line="240" w:lineRule="auto"/>
              <w:jc w:val="right"/>
              <w:rPr>
                <w:rFonts w:ascii="Arial Narrow" w:hAnsi="Arial Narrow" w:cs="Times New Roman"/>
              </w:rPr>
            </w:pPr>
            <w:r>
              <w:rPr>
                <w:rFonts w:ascii="Arial Narrow" w:hAnsi="Arial Narrow" w:cs="Times New Roman"/>
              </w:rPr>
              <w:t>16</w:t>
            </w:r>
          </w:p>
        </w:tc>
        <w:tc>
          <w:tcPr>
            <w:tcW w:w="720" w:type="dxa"/>
            <w:tcBorders>
              <w:top w:val="single" w:sz="4" w:space="0" w:color="auto"/>
              <w:left w:val="single" w:sz="4" w:space="0" w:color="auto"/>
              <w:bottom w:val="single" w:sz="4" w:space="0" w:color="auto"/>
              <w:right w:val="single" w:sz="12" w:space="0" w:color="auto"/>
              <w:tl2br w:val="nil"/>
              <w:tr2bl w:val="nil"/>
            </w:tcBorders>
            <w:textDirection w:val="lrTb"/>
            <w:vAlign w:val="center"/>
          </w:tcPr>
          <w:p w:rsidR="00D652EE" w:rsidRPr="00263BE8" w:rsidP="00C362EA">
            <w:pPr>
              <w:spacing w:line="240" w:lineRule="auto"/>
              <w:jc w:val="right"/>
              <w:rPr>
                <w:rFonts w:ascii="Arial Narrow" w:hAnsi="Arial Narrow" w:cs="Times New Roman"/>
              </w:rPr>
            </w:pPr>
            <w:r>
              <w:rPr>
                <w:rFonts w:ascii="Arial Narrow" w:hAnsi="Arial Narrow" w:cs="Times New Roman"/>
              </w:rPr>
              <w:t>81</w:t>
            </w:r>
          </w:p>
        </w:tc>
        <w:tc>
          <w:tcPr>
            <w:tcW w:w="720" w:type="dxa"/>
            <w:tcBorders>
              <w:top w:val="single" w:sz="4" w:space="0" w:color="auto"/>
              <w:left w:val="single" w:sz="12" w:space="0" w:color="auto"/>
              <w:bottom w:val="single" w:sz="4" w:space="0" w:color="auto"/>
              <w:right w:val="single" w:sz="4" w:space="0" w:color="auto"/>
              <w:tl2br w:val="nil"/>
              <w:tr2bl w:val="nil"/>
            </w:tcBorders>
            <w:noWrap/>
            <w:textDirection w:val="lrTb"/>
            <w:vAlign w:val="center"/>
          </w:tcPr>
          <w:p w:rsidR="00D652EE" w:rsidRPr="00263BE8" w:rsidP="00C362EA">
            <w:pPr>
              <w:spacing w:line="240" w:lineRule="auto"/>
              <w:jc w:val="right"/>
              <w:rPr>
                <w:rFonts w:ascii="Arial Narrow" w:hAnsi="Arial Narrow" w:cs="Times New Roman"/>
              </w:rPr>
            </w:pPr>
            <w:r w:rsidRPr="00263BE8">
              <w:rPr>
                <w:rFonts w:ascii="Arial Narrow" w:hAnsi="Arial Narrow" w:cs="Times New Roman"/>
              </w:rPr>
              <w:t>65</w:t>
            </w:r>
          </w:p>
        </w:tc>
        <w:tc>
          <w:tcPr>
            <w:tcW w:w="707"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D652EE" w:rsidRPr="00263BE8" w:rsidP="00C362EA">
            <w:pPr>
              <w:spacing w:line="240" w:lineRule="auto"/>
              <w:rPr>
                <w:rFonts w:ascii="Arial Narrow" w:hAnsi="Arial Narrow" w:cs="Times New Roman"/>
              </w:rPr>
            </w:pPr>
            <w:r w:rsidRPr="00263BE8">
              <w:rPr>
                <w:rFonts w:ascii="Arial Narrow" w:hAnsi="Arial Narrow" w:cs="Times New Roman"/>
              </w:rPr>
              <w:t> </w:t>
            </w:r>
          </w:p>
        </w:tc>
        <w:tc>
          <w:tcPr>
            <w:tcW w:w="733"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D652EE" w:rsidRPr="00263BE8" w:rsidP="00C362EA">
            <w:pPr>
              <w:spacing w:line="240" w:lineRule="auto"/>
              <w:jc w:val="right"/>
              <w:rPr>
                <w:rFonts w:ascii="Arial Narrow" w:hAnsi="Arial Narrow" w:cs="Times New Roman"/>
              </w:rPr>
            </w:pPr>
            <w:r w:rsidRPr="00263BE8">
              <w:rPr>
                <w:rFonts w:ascii="Arial Narrow" w:hAnsi="Arial Narrow" w:cs="Times New Roman"/>
              </w:rPr>
              <w:t>16</w:t>
            </w:r>
          </w:p>
        </w:tc>
        <w:tc>
          <w:tcPr>
            <w:tcW w:w="720" w:type="dxa"/>
            <w:tcBorders>
              <w:top w:val="single" w:sz="4" w:space="0" w:color="auto"/>
              <w:left w:val="single" w:sz="4" w:space="0" w:color="auto"/>
              <w:bottom w:val="single" w:sz="4" w:space="0" w:color="auto"/>
              <w:right w:val="single" w:sz="12" w:space="0" w:color="auto"/>
              <w:tl2br w:val="nil"/>
              <w:tr2bl w:val="nil"/>
            </w:tcBorders>
            <w:noWrap/>
            <w:textDirection w:val="lrTb"/>
            <w:vAlign w:val="center"/>
          </w:tcPr>
          <w:p w:rsidR="00D652EE" w:rsidRPr="00263BE8" w:rsidP="00C362EA">
            <w:pPr>
              <w:spacing w:line="240" w:lineRule="auto"/>
              <w:jc w:val="right"/>
              <w:rPr>
                <w:rFonts w:ascii="Arial Narrow" w:hAnsi="Arial Narrow" w:cs="Times New Roman"/>
              </w:rPr>
            </w:pPr>
            <w:r w:rsidRPr="00263BE8">
              <w:rPr>
                <w:rFonts w:ascii="Arial Narrow" w:hAnsi="Arial Narrow" w:cs="Times New Roman"/>
              </w:rPr>
              <w:t>81</w:t>
            </w:r>
          </w:p>
        </w:tc>
        <w:tc>
          <w:tcPr>
            <w:tcW w:w="720" w:type="dxa"/>
            <w:tcBorders>
              <w:top w:val="single" w:sz="4" w:space="0" w:color="auto"/>
              <w:left w:val="single" w:sz="12" w:space="0" w:color="auto"/>
              <w:bottom w:val="single" w:sz="4" w:space="0" w:color="auto"/>
              <w:right w:val="single" w:sz="4" w:space="0" w:color="auto"/>
              <w:tl2br w:val="nil"/>
              <w:tr2bl w:val="nil"/>
            </w:tcBorders>
            <w:noWrap/>
            <w:textDirection w:val="lrTb"/>
            <w:vAlign w:val="center"/>
          </w:tcPr>
          <w:p w:rsidR="00D652EE" w:rsidRPr="00263BE8" w:rsidP="00C362EA">
            <w:pPr>
              <w:spacing w:line="240" w:lineRule="auto"/>
              <w:jc w:val="right"/>
              <w:rPr>
                <w:rFonts w:ascii="Arial Narrow" w:hAnsi="Arial Narrow" w:cs="Times New Roman"/>
              </w:rPr>
            </w:pPr>
            <w:r>
              <w:rPr>
                <w:rFonts w:ascii="Arial Narrow" w:hAnsi="Arial Narrow" w:cs="Times New Roman"/>
              </w:rPr>
              <w:t>5</w:t>
            </w:r>
            <w:r w:rsidR="00B527A8">
              <w:rPr>
                <w:rFonts w:ascii="Arial Narrow" w:hAnsi="Arial Narrow" w:cs="Times New Roman"/>
              </w:rPr>
              <w:t>9</w:t>
            </w:r>
          </w:p>
        </w:tc>
        <w:tc>
          <w:tcPr>
            <w:tcW w:w="72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D652EE" w:rsidRPr="00263BE8" w:rsidP="00C362EA">
            <w:pPr>
              <w:spacing w:line="240" w:lineRule="auto"/>
              <w:rPr>
                <w:rFonts w:ascii="Arial Narrow" w:hAnsi="Arial Narrow" w:cs="Times New Roman"/>
              </w:rPr>
            </w:pPr>
            <w:r w:rsidRPr="00263BE8">
              <w:rPr>
                <w:rFonts w:ascii="Arial Narrow" w:hAnsi="Arial Narrow" w:cs="Times New Roman"/>
              </w:rPr>
              <w:t> </w:t>
            </w:r>
          </w:p>
        </w:tc>
        <w:tc>
          <w:tcPr>
            <w:tcW w:w="72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D652EE" w:rsidRPr="00263BE8" w:rsidP="00C362EA">
            <w:pPr>
              <w:spacing w:line="240" w:lineRule="auto"/>
              <w:jc w:val="right"/>
              <w:rPr>
                <w:rFonts w:ascii="Arial Narrow" w:hAnsi="Arial Narrow" w:cs="Times New Roman"/>
              </w:rPr>
            </w:pPr>
            <w:r>
              <w:rPr>
                <w:rFonts w:ascii="Arial Narrow" w:hAnsi="Arial Narrow" w:cs="Times New Roman"/>
              </w:rPr>
              <w:t>1</w:t>
            </w:r>
            <w:r w:rsidR="00B527A8">
              <w:rPr>
                <w:rFonts w:ascii="Arial Narrow" w:hAnsi="Arial Narrow" w:cs="Times New Roman"/>
              </w:rPr>
              <w:t>4</w:t>
            </w:r>
          </w:p>
        </w:tc>
        <w:tc>
          <w:tcPr>
            <w:tcW w:w="720" w:type="dxa"/>
            <w:tcBorders>
              <w:top w:val="single" w:sz="4" w:space="0" w:color="auto"/>
              <w:left w:val="single" w:sz="4" w:space="0" w:color="auto"/>
              <w:bottom w:val="single" w:sz="4" w:space="0" w:color="auto"/>
              <w:right w:val="single" w:sz="12" w:space="0" w:color="auto"/>
              <w:tl2br w:val="nil"/>
              <w:tr2bl w:val="nil"/>
            </w:tcBorders>
            <w:noWrap/>
            <w:textDirection w:val="lrTb"/>
            <w:vAlign w:val="center"/>
          </w:tcPr>
          <w:p w:rsidR="00D652EE" w:rsidRPr="00263BE8" w:rsidP="00C362EA">
            <w:pPr>
              <w:spacing w:line="240" w:lineRule="auto"/>
              <w:jc w:val="right"/>
              <w:rPr>
                <w:rFonts w:ascii="Arial Narrow" w:hAnsi="Arial Narrow" w:cs="Times New Roman"/>
              </w:rPr>
            </w:pPr>
            <w:r>
              <w:rPr>
                <w:rFonts w:ascii="Arial Narrow" w:hAnsi="Arial Narrow" w:cs="Times New Roman"/>
              </w:rPr>
              <w:t>73</w:t>
            </w:r>
          </w:p>
        </w:tc>
      </w:tr>
      <w:tr>
        <w:tblPrEx>
          <w:tblW w:w="9735" w:type="dxa"/>
          <w:tblInd w:w="-110" w:type="dxa"/>
          <w:tblLayout w:type="fixed"/>
          <w:tblCellMar>
            <w:left w:w="70" w:type="dxa"/>
            <w:right w:w="70" w:type="dxa"/>
          </w:tblCellMar>
        </w:tblPrEx>
        <w:trPr>
          <w:trHeight w:val="259"/>
        </w:trPr>
        <w:tc>
          <w:tcPr>
            <w:tcW w:w="1095" w:type="dxa"/>
            <w:tcBorders>
              <w:top w:val="single" w:sz="4" w:space="0" w:color="auto"/>
              <w:left w:val="single" w:sz="12" w:space="0" w:color="auto"/>
              <w:bottom w:val="single" w:sz="4" w:space="0" w:color="auto"/>
              <w:right w:val="single" w:sz="12" w:space="0" w:color="auto"/>
              <w:tl2br w:val="nil"/>
              <w:tr2bl w:val="nil"/>
            </w:tcBorders>
            <w:noWrap/>
            <w:textDirection w:val="lrTb"/>
            <w:vAlign w:val="center"/>
          </w:tcPr>
          <w:p w:rsidR="00D652EE" w:rsidRPr="00263BE8" w:rsidP="00C362EA">
            <w:pPr>
              <w:spacing w:line="240" w:lineRule="auto"/>
              <w:rPr>
                <w:rFonts w:ascii="Arial Narrow" w:hAnsi="Arial Narrow" w:cs="Times New Roman"/>
              </w:rPr>
            </w:pPr>
            <w:r>
              <w:rPr>
                <w:rFonts w:ascii="Arial Narrow" w:hAnsi="Arial Narrow" w:cs="Times New Roman"/>
              </w:rPr>
              <w:t xml:space="preserve">LÚ </w:t>
            </w:r>
            <w:r w:rsidRPr="00263BE8">
              <w:rPr>
                <w:rFonts w:ascii="Arial Narrow" w:hAnsi="Arial Narrow" w:cs="Times New Roman"/>
              </w:rPr>
              <w:t>SR</w:t>
            </w:r>
          </w:p>
        </w:tc>
        <w:tc>
          <w:tcPr>
            <w:tcW w:w="720" w:type="dxa"/>
            <w:tcBorders>
              <w:top w:val="single" w:sz="4" w:space="0" w:color="auto"/>
              <w:left w:val="single" w:sz="12" w:space="0" w:color="auto"/>
              <w:bottom w:val="single" w:sz="4" w:space="0" w:color="auto"/>
              <w:right w:val="single" w:sz="4" w:space="0" w:color="auto"/>
              <w:tl2br w:val="nil"/>
              <w:tr2bl w:val="nil"/>
            </w:tcBorders>
            <w:textDirection w:val="lrTb"/>
            <w:vAlign w:val="center"/>
          </w:tcPr>
          <w:p w:rsidR="00D652EE" w:rsidRPr="00263BE8" w:rsidP="00C362EA">
            <w:pPr>
              <w:spacing w:line="240" w:lineRule="auto"/>
              <w:jc w:val="right"/>
              <w:rPr>
                <w:rFonts w:ascii="Arial Narrow" w:hAnsi="Arial Narrow" w:cs="Times New Roman"/>
              </w:rPr>
            </w:pPr>
            <w:r>
              <w:rPr>
                <w:rFonts w:ascii="Arial Narrow" w:hAnsi="Arial Narrow" w:cs="Times New Roman"/>
              </w:rPr>
              <w:t>64</w:t>
            </w:r>
          </w:p>
        </w:tc>
        <w:tc>
          <w:tcPr>
            <w:tcW w:w="72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D652EE" w:rsidRPr="00263BE8" w:rsidP="00C362EA">
            <w:pPr>
              <w:spacing w:line="240" w:lineRule="auto"/>
              <w:jc w:val="right"/>
              <w:rPr>
                <w:rFonts w:ascii="Arial Narrow" w:hAnsi="Arial Narrow" w:cs="Times New Roman"/>
              </w:rPr>
            </w:pPr>
          </w:p>
        </w:tc>
        <w:tc>
          <w:tcPr>
            <w:tcW w:w="72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D652EE" w:rsidRPr="00263BE8" w:rsidP="00C362EA">
            <w:pPr>
              <w:spacing w:line="240" w:lineRule="auto"/>
              <w:jc w:val="right"/>
              <w:rPr>
                <w:rFonts w:ascii="Arial Narrow" w:hAnsi="Arial Narrow" w:cs="Times New Roman"/>
              </w:rPr>
            </w:pPr>
            <w:r>
              <w:rPr>
                <w:rFonts w:ascii="Arial Narrow" w:hAnsi="Arial Narrow" w:cs="Times New Roman"/>
              </w:rPr>
              <w:t>14</w:t>
            </w:r>
          </w:p>
        </w:tc>
        <w:tc>
          <w:tcPr>
            <w:tcW w:w="720" w:type="dxa"/>
            <w:tcBorders>
              <w:top w:val="single" w:sz="4" w:space="0" w:color="auto"/>
              <w:left w:val="single" w:sz="4" w:space="0" w:color="auto"/>
              <w:bottom w:val="single" w:sz="4" w:space="0" w:color="auto"/>
              <w:right w:val="single" w:sz="12" w:space="0" w:color="auto"/>
              <w:tl2br w:val="nil"/>
              <w:tr2bl w:val="nil"/>
            </w:tcBorders>
            <w:textDirection w:val="lrTb"/>
            <w:vAlign w:val="center"/>
          </w:tcPr>
          <w:p w:rsidR="00D652EE" w:rsidRPr="00263BE8" w:rsidP="00C362EA">
            <w:pPr>
              <w:spacing w:line="240" w:lineRule="auto"/>
              <w:jc w:val="right"/>
              <w:rPr>
                <w:rFonts w:ascii="Arial Narrow" w:hAnsi="Arial Narrow" w:cs="Times New Roman"/>
              </w:rPr>
            </w:pPr>
            <w:r>
              <w:rPr>
                <w:rFonts w:ascii="Arial Narrow" w:hAnsi="Arial Narrow" w:cs="Times New Roman"/>
              </w:rPr>
              <w:t>78</w:t>
            </w:r>
          </w:p>
        </w:tc>
        <w:tc>
          <w:tcPr>
            <w:tcW w:w="720" w:type="dxa"/>
            <w:tcBorders>
              <w:top w:val="single" w:sz="4" w:space="0" w:color="auto"/>
              <w:left w:val="single" w:sz="12" w:space="0" w:color="auto"/>
              <w:bottom w:val="single" w:sz="4" w:space="0" w:color="auto"/>
              <w:right w:val="single" w:sz="4" w:space="0" w:color="auto"/>
              <w:tl2br w:val="nil"/>
              <w:tr2bl w:val="nil"/>
            </w:tcBorders>
            <w:noWrap/>
            <w:textDirection w:val="lrTb"/>
            <w:vAlign w:val="center"/>
          </w:tcPr>
          <w:p w:rsidR="00D652EE" w:rsidRPr="00263BE8" w:rsidP="00C362EA">
            <w:pPr>
              <w:spacing w:line="240" w:lineRule="auto"/>
              <w:jc w:val="right"/>
              <w:rPr>
                <w:rFonts w:ascii="Arial Narrow" w:hAnsi="Arial Narrow" w:cs="Times New Roman"/>
              </w:rPr>
            </w:pPr>
            <w:r w:rsidRPr="00263BE8">
              <w:rPr>
                <w:rFonts w:ascii="Arial Narrow" w:hAnsi="Arial Narrow" w:cs="Times New Roman"/>
              </w:rPr>
              <w:t>64</w:t>
            </w:r>
          </w:p>
        </w:tc>
        <w:tc>
          <w:tcPr>
            <w:tcW w:w="707"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D652EE" w:rsidRPr="00263BE8" w:rsidP="00C362EA">
            <w:pPr>
              <w:spacing w:line="240" w:lineRule="auto"/>
              <w:rPr>
                <w:rFonts w:ascii="Arial Narrow" w:hAnsi="Arial Narrow" w:cs="Times New Roman"/>
              </w:rPr>
            </w:pPr>
            <w:r w:rsidRPr="00263BE8">
              <w:rPr>
                <w:rFonts w:ascii="Arial Narrow" w:hAnsi="Arial Narrow" w:cs="Times New Roman"/>
              </w:rPr>
              <w:t> </w:t>
            </w:r>
          </w:p>
        </w:tc>
        <w:tc>
          <w:tcPr>
            <w:tcW w:w="733"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D652EE" w:rsidRPr="00263BE8" w:rsidP="00C362EA">
            <w:pPr>
              <w:spacing w:line="240" w:lineRule="auto"/>
              <w:jc w:val="right"/>
              <w:rPr>
                <w:rFonts w:ascii="Arial Narrow" w:hAnsi="Arial Narrow" w:cs="Times New Roman"/>
              </w:rPr>
            </w:pPr>
            <w:r w:rsidRPr="00263BE8">
              <w:rPr>
                <w:rFonts w:ascii="Arial Narrow" w:hAnsi="Arial Narrow" w:cs="Times New Roman"/>
              </w:rPr>
              <w:t>14</w:t>
            </w:r>
          </w:p>
        </w:tc>
        <w:tc>
          <w:tcPr>
            <w:tcW w:w="720" w:type="dxa"/>
            <w:tcBorders>
              <w:top w:val="single" w:sz="4" w:space="0" w:color="auto"/>
              <w:left w:val="single" w:sz="4" w:space="0" w:color="auto"/>
              <w:bottom w:val="single" w:sz="4" w:space="0" w:color="auto"/>
              <w:right w:val="single" w:sz="12" w:space="0" w:color="auto"/>
              <w:tl2br w:val="nil"/>
              <w:tr2bl w:val="nil"/>
            </w:tcBorders>
            <w:noWrap/>
            <w:textDirection w:val="lrTb"/>
            <w:vAlign w:val="center"/>
          </w:tcPr>
          <w:p w:rsidR="00D652EE" w:rsidRPr="00263BE8" w:rsidP="00C362EA">
            <w:pPr>
              <w:spacing w:line="240" w:lineRule="auto"/>
              <w:jc w:val="right"/>
              <w:rPr>
                <w:rFonts w:ascii="Arial Narrow" w:hAnsi="Arial Narrow" w:cs="Times New Roman"/>
              </w:rPr>
            </w:pPr>
            <w:r w:rsidRPr="00263BE8">
              <w:rPr>
                <w:rFonts w:ascii="Arial Narrow" w:hAnsi="Arial Narrow" w:cs="Times New Roman"/>
              </w:rPr>
              <w:t>78</w:t>
            </w:r>
          </w:p>
        </w:tc>
        <w:tc>
          <w:tcPr>
            <w:tcW w:w="720" w:type="dxa"/>
            <w:tcBorders>
              <w:top w:val="single" w:sz="4" w:space="0" w:color="auto"/>
              <w:left w:val="single" w:sz="12" w:space="0" w:color="auto"/>
              <w:bottom w:val="single" w:sz="4" w:space="0" w:color="auto"/>
              <w:right w:val="single" w:sz="4" w:space="0" w:color="auto"/>
              <w:tl2br w:val="nil"/>
              <w:tr2bl w:val="nil"/>
            </w:tcBorders>
            <w:noWrap/>
            <w:textDirection w:val="lrTb"/>
            <w:vAlign w:val="center"/>
          </w:tcPr>
          <w:p w:rsidR="00D652EE" w:rsidRPr="00263BE8" w:rsidP="00C362EA">
            <w:pPr>
              <w:spacing w:line="240" w:lineRule="auto"/>
              <w:jc w:val="right"/>
              <w:rPr>
                <w:rFonts w:ascii="Arial Narrow" w:hAnsi="Arial Narrow" w:cs="Times New Roman"/>
              </w:rPr>
            </w:pPr>
            <w:r>
              <w:rPr>
                <w:rFonts w:ascii="Arial Narrow" w:hAnsi="Arial Narrow" w:cs="Times New Roman"/>
              </w:rPr>
              <w:t>5</w:t>
            </w:r>
            <w:r w:rsidR="00B527A8">
              <w:rPr>
                <w:rFonts w:ascii="Arial Narrow" w:hAnsi="Arial Narrow" w:cs="Times New Roman"/>
              </w:rPr>
              <w:t>4</w:t>
            </w:r>
          </w:p>
        </w:tc>
        <w:tc>
          <w:tcPr>
            <w:tcW w:w="72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D652EE" w:rsidRPr="00263BE8" w:rsidP="00C362EA">
            <w:pPr>
              <w:spacing w:line="240" w:lineRule="auto"/>
              <w:rPr>
                <w:rFonts w:ascii="Arial Narrow" w:hAnsi="Arial Narrow" w:cs="Times New Roman"/>
              </w:rPr>
            </w:pPr>
            <w:r w:rsidRPr="00263BE8">
              <w:rPr>
                <w:rFonts w:ascii="Arial Narrow" w:hAnsi="Arial Narrow" w:cs="Times New Roman"/>
              </w:rPr>
              <w:t> </w:t>
            </w:r>
          </w:p>
        </w:tc>
        <w:tc>
          <w:tcPr>
            <w:tcW w:w="72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D652EE" w:rsidRPr="00263BE8" w:rsidP="00C362EA">
            <w:pPr>
              <w:spacing w:line="240" w:lineRule="auto"/>
              <w:jc w:val="right"/>
              <w:rPr>
                <w:rFonts w:ascii="Arial Narrow" w:hAnsi="Arial Narrow" w:cs="Times New Roman"/>
              </w:rPr>
            </w:pPr>
            <w:r w:rsidR="00B527A8">
              <w:rPr>
                <w:rFonts w:ascii="Arial Narrow" w:hAnsi="Arial Narrow" w:cs="Times New Roman"/>
              </w:rPr>
              <w:t>13</w:t>
            </w:r>
          </w:p>
        </w:tc>
        <w:tc>
          <w:tcPr>
            <w:tcW w:w="720" w:type="dxa"/>
            <w:tcBorders>
              <w:top w:val="single" w:sz="4" w:space="0" w:color="auto"/>
              <w:left w:val="single" w:sz="4" w:space="0" w:color="auto"/>
              <w:bottom w:val="single" w:sz="4" w:space="0" w:color="auto"/>
              <w:right w:val="single" w:sz="12" w:space="0" w:color="auto"/>
              <w:tl2br w:val="nil"/>
              <w:tr2bl w:val="nil"/>
            </w:tcBorders>
            <w:noWrap/>
            <w:textDirection w:val="lrTb"/>
            <w:vAlign w:val="center"/>
          </w:tcPr>
          <w:p w:rsidR="00D652EE" w:rsidRPr="00263BE8" w:rsidP="00C362EA">
            <w:pPr>
              <w:spacing w:line="240" w:lineRule="auto"/>
              <w:jc w:val="right"/>
              <w:rPr>
                <w:rFonts w:ascii="Arial Narrow" w:hAnsi="Arial Narrow" w:cs="Times New Roman"/>
              </w:rPr>
            </w:pPr>
            <w:r>
              <w:rPr>
                <w:rFonts w:ascii="Arial Narrow" w:hAnsi="Arial Narrow" w:cs="Times New Roman"/>
              </w:rPr>
              <w:t>67</w:t>
            </w:r>
          </w:p>
        </w:tc>
      </w:tr>
      <w:tr>
        <w:tblPrEx>
          <w:tblW w:w="9735" w:type="dxa"/>
          <w:tblInd w:w="-110" w:type="dxa"/>
          <w:tblLayout w:type="fixed"/>
          <w:tblCellMar>
            <w:left w:w="70" w:type="dxa"/>
            <w:right w:w="70" w:type="dxa"/>
          </w:tblCellMar>
        </w:tblPrEx>
        <w:trPr>
          <w:trHeight w:val="259"/>
        </w:trPr>
        <w:tc>
          <w:tcPr>
            <w:tcW w:w="1095" w:type="dxa"/>
            <w:tcBorders>
              <w:top w:val="single" w:sz="4" w:space="0" w:color="auto"/>
              <w:left w:val="single" w:sz="12" w:space="0" w:color="auto"/>
              <w:bottom w:val="single" w:sz="4" w:space="0" w:color="auto"/>
              <w:right w:val="single" w:sz="12" w:space="0" w:color="auto"/>
              <w:tl2br w:val="nil"/>
              <w:tr2bl w:val="nil"/>
            </w:tcBorders>
            <w:noWrap/>
            <w:textDirection w:val="lrTb"/>
            <w:vAlign w:val="center"/>
          </w:tcPr>
          <w:p w:rsidR="00D652EE" w:rsidRPr="00263BE8" w:rsidP="00C362EA">
            <w:pPr>
              <w:spacing w:line="240" w:lineRule="auto"/>
              <w:rPr>
                <w:rFonts w:ascii="Arial Narrow" w:hAnsi="Arial Narrow" w:cs="Times New Roman"/>
              </w:rPr>
            </w:pPr>
            <w:r>
              <w:rPr>
                <w:rFonts w:ascii="Arial Narrow" w:hAnsi="Arial Narrow" w:cs="Times New Roman"/>
              </w:rPr>
              <w:t xml:space="preserve">TÚ </w:t>
            </w:r>
            <w:r w:rsidRPr="00263BE8">
              <w:rPr>
                <w:rFonts w:ascii="Arial Narrow" w:hAnsi="Arial Narrow" w:cs="Times New Roman"/>
              </w:rPr>
              <w:t>SR</w:t>
            </w:r>
          </w:p>
        </w:tc>
        <w:tc>
          <w:tcPr>
            <w:tcW w:w="720" w:type="dxa"/>
            <w:tcBorders>
              <w:top w:val="single" w:sz="4" w:space="0" w:color="auto"/>
              <w:left w:val="single" w:sz="12" w:space="0" w:color="auto"/>
              <w:bottom w:val="single" w:sz="4" w:space="0" w:color="auto"/>
              <w:right w:val="single" w:sz="4" w:space="0" w:color="auto"/>
              <w:tl2br w:val="nil"/>
              <w:tr2bl w:val="nil"/>
            </w:tcBorders>
            <w:textDirection w:val="lrTb"/>
            <w:vAlign w:val="center"/>
          </w:tcPr>
          <w:p w:rsidR="00D652EE" w:rsidP="00C362EA">
            <w:pPr>
              <w:spacing w:line="240" w:lineRule="auto"/>
              <w:jc w:val="right"/>
              <w:rPr>
                <w:rFonts w:ascii="Arial Narrow" w:hAnsi="Arial Narrow" w:cs="Times New Roman"/>
              </w:rPr>
            </w:pPr>
            <w:r w:rsidR="00D26F68">
              <w:rPr>
                <w:rFonts w:ascii="Arial Narrow" w:hAnsi="Arial Narrow" w:cs="Times New Roman"/>
              </w:rPr>
              <w:t>17</w:t>
            </w:r>
            <w:r w:rsidR="0053262B">
              <w:rPr>
                <w:rFonts w:ascii="Arial Narrow" w:hAnsi="Arial Narrow" w:cs="Times New Roman"/>
              </w:rPr>
              <w:t>5</w:t>
            </w:r>
          </w:p>
        </w:tc>
        <w:tc>
          <w:tcPr>
            <w:tcW w:w="72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D652EE" w:rsidP="00C362EA">
            <w:pPr>
              <w:spacing w:line="240" w:lineRule="auto"/>
              <w:jc w:val="right"/>
              <w:rPr>
                <w:rFonts w:ascii="Arial Narrow" w:hAnsi="Arial Narrow" w:cs="Times New Roman"/>
              </w:rPr>
            </w:pPr>
          </w:p>
        </w:tc>
        <w:tc>
          <w:tcPr>
            <w:tcW w:w="72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D652EE" w:rsidP="00C362EA">
            <w:pPr>
              <w:spacing w:line="240" w:lineRule="auto"/>
              <w:jc w:val="right"/>
              <w:rPr>
                <w:rFonts w:ascii="Arial Narrow" w:hAnsi="Arial Narrow" w:cs="Times New Roman"/>
              </w:rPr>
            </w:pPr>
            <w:r w:rsidR="00D26F68">
              <w:rPr>
                <w:rFonts w:ascii="Arial Narrow" w:hAnsi="Arial Narrow" w:cs="Times New Roman"/>
              </w:rPr>
              <w:t>3</w:t>
            </w:r>
            <w:r w:rsidR="0053262B">
              <w:rPr>
                <w:rFonts w:ascii="Arial Narrow" w:hAnsi="Arial Narrow" w:cs="Times New Roman"/>
              </w:rPr>
              <w:t>2</w:t>
            </w:r>
          </w:p>
        </w:tc>
        <w:tc>
          <w:tcPr>
            <w:tcW w:w="720" w:type="dxa"/>
            <w:tcBorders>
              <w:top w:val="single" w:sz="4" w:space="0" w:color="auto"/>
              <w:left w:val="single" w:sz="4" w:space="0" w:color="auto"/>
              <w:bottom w:val="single" w:sz="4" w:space="0" w:color="auto"/>
              <w:right w:val="single" w:sz="12" w:space="0" w:color="auto"/>
              <w:tl2br w:val="nil"/>
              <w:tr2bl w:val="nil"/>
            </w:tcBorders>
            <w:textDirection w:val="lrTb"/>
            <w:vAlign w:val="center"/>
          </w:tcPr>
          <w:p w:rsidR="00D652EE" w:rsidP="00C362EA">
            <w:pPr>
              <w:spacing w:line="240" w:lineRule="auto"/>
              <w:jc w:val="right"/>
              <w:rPr>
                <w:rFonts w:ascii="Arial Narrow" w:hAnsi="Arial Narrow" w:cs="Times New Roman"/>
              </w:rPr>
            </w:pPr>
            <w:r w:rsidR="00D26F68">
              <w:rPr>
                <w:rFonts w:ascii="Arial Narrow" w:hAnsi="Arial Narrow" w:cs="Times New Roman"/>
              </w:rPr>
              <w:t>207</w:t>
            </w:r>
          </w:p>
        </w:tc>
        <w:tc>
          <w:tcPr>
            <w:tcW w:w="720" w:type="dxa"/>
            <w:tcBorders>
              <w:top w:val="single" w:sz="4" w:space="0" w:color="auto"/>
              <w:left w:val="single" w:sz="12" w:space="0" w:color="auto"/>
              <w:bottom w:val="single" w:sz="4" w:space="0" w:color="auto"/>
              <w:right w:val="single" w:sz="4" w:space="0" w:color="auto"/>
              <w:tl2br w:val="nil"/>
              <w:tr2bl w:val="nil"/>
            </w:tcBorders>
            <w:noWrap/>
            <w:textDirection w:val="lrTb"/>
            <w:vAlign w:val="center"/>
          </w:tcPr>
          <w:p w:rsidR="00D652EE" w:rsidRPr="00263BE8" w:rsidP="00C362EA">
            <w:pPr>
              <w:spacing w:line="240" w:lineRule="auto"/>
              <w:jc w:val="right"/>
              <w:rPr>
                <w:rFonts w:ascii="Arial Narrow" w:hAnsi="Arial Narrow" w:cs="Times New Roman"/>
              </w:rPr>
            </w:pPr>
            <w:r>
              <w:rPr>
                <w:rFonts w:ascii="Arial Narrow" w:hAnsi="Arial Narrow" w:cs="Times New Roman"/>
              </w:rPr>
              <w:t>175</w:t>
            </w:r>
          </w:p>
        </w:tc>
        <w:tc>
          <w:tcPr>
            <w:tcW w:w="707"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D652EE" w:rsidRPr="00263BE8" w:rsidP="00C362EA">
            <w:pPr>
              <w:spacing w:line="240" w:lineRule="auto"/>
              <w:rPr>
                <w:rFonts w:ascii="Arial Narrow" w:hAnsi="Arial Narrow" w:cs="Times New Roman"/>
              </w:rPr>
            </w:pPr>
            <w:r w:rsidRPr="00263BE8">
              <w:rPr>
                <w:rFonts w:ascii="Arial Narrow" w:hAnsi="Arial Narrow" w:cs="Times New Roman"/>
              </w:rPr>
              <w:t> </w:t>
            </w:r>
          </w:p>
        </w:tc>
        <w:tc>
          <w:tcPr>
            <w:tcW w:w="733"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D652EE" w:rsidRPr="00263BE8" w:rsidP="00C362EA">
            <w:pPr>
              <w:spacing w:line="240" w:lineRule="auto"/>
              <w:jc w:val="right"/>
              <w:rPr>
                <w:rFonts w:ascii="Arial Narrow" w:hAnsi="Arial Narrow" w:cs="Times New Roman"/>
              </w:rPr>
            </w:pPr>
            <w:r w:rsidRPr="00263BE8">
              <w:rPr>
                <w:rFonts w:ascii="Arial Narrow" w:hAnsi="Arial Narrow" w:cs="Times New Roman"/>
              </w:rPr>
              <w:t>32</w:t>
            </w:r>
          </w:p>
        </w:tc>
        <w:tc>
          <w:tcPr>
            <w:tcW w:w="720" w:type="dxa"/>
            <w:tcBorders>
              <w:top w:val="single" w:sz="4" w:space="0" w:color="auto"/>
              <w:left w:val="single" w:sz="4" w:space="0" w:color="auto"/>
              <w:bottom w:val="single" w:sz="4" w:space="0" w:color="auto"/>
              <w:right w:val="single" w:sz="12" w:space="0" w:color="auto"/>
              <w:tl2br w:val="nil"/>
              <w:tr2bl w:val="nil"/>
            </w:tcBorders>
            <w:noWrap/>
            <w:textDirection w:val="lrTb"/>
            <w:vAlign w:val="center"/>
          </w:tcPr>
          <w:p w:rsidR="00D652EE" w:rsidRPr="00263BE8" w:rsidP="00C362EA">
            <w:pPr>
              <w:spacing w:line="240" w:lineRule="auto"/>
              <w:jc w:val="right"/>
              <w:rPr>
                <w:rFonts w:ascii="Arial Narrow" w:hAnsi="Arial Narrow" w:cs="Times New Roman"/>
              </w:rPr>
            </w:pPr>
            <w:r w:rsidRPr="00263BE8">
              <w:rPr>
                <w:rFonts w:ascii="Arial Narrow" w:hAnsi="Arial Narrow" w:cs="Times New Roman"/>
              </w:rPr>
              <w:t>2</w:t>
            </w:r>
            <w:r>
              <w:rPr>
                <w:rFonts w:ascii="Arial Narrow" w:hAnsi="Arial Narrow" w:cs="Times New Roman"/>
              </w:rPr>
              <w:t>07</w:t>
            </w:r>
          </w:p>
        </w:tc>
        <w:tc>
          <w:tcPr>
            <w:tcW w:w="720" w:type="dxa"/>
            <w:tcBorders>
              <w:top w:val="single" w:sz="4" w:space="0" w:color="auto"/>
              <w:left w:val="single" w:sz="12" w:space="0" w:color="auto"/>
              <w:bottom w:val="single" w:sz="4" w:space="0" w:color="auto"/>
              <w:right w:val="single" w:sz="4" w:space="0" w:color="auto"/>
              <w:tl2br w:val="nil"/>
              <w:tr2bl w:val="nil"/>
            </w:tcBorders>
            <w:noWrap/>
            <w:textDirection w:val="lrTb"/>
            <w:vAlign w:val="center"/>
          </w:tcPr>
          <w:p w:rsidR="00D652EE" w:rsidRPr="00263BE8" w:rsidP="00C362EA">
            <w:pPr>
              <w:spacing w:line="240" w:lineRule="auto"/>
              <w:jc w:val="right"/>
              <w:rPr>
                <w:rFonts w:ascii="Arial Narrow" w:hAnsi="Arial Narrow" w:cs="Times New Roman"/>
              </w:rPr>
            </w:pPr>
            <w:r>
              <w:rPr>
                <w:rFonts w:ascii="Arial Narrow" w:hAnsi="Arial Narrow" w:cs="Times New Roman"/>
              </w:rPr>
              <w:t>1</w:t>
            </w:r>
            <w:r w:rsidR="00B527A8">
              <w:rPr>
                <w:rFonts w:ascii="Arial Narrow" w:hAnsi="Arial Narrow" w:cs="Times New Roman"/>
              </w:rPr>
              <w:t>44</w:t>
            </w:r>
          </w:p>
        </w:tc>
        <w:tc>
          <w:tcPr>
            <w:tcW w:w="72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D652EE" w:rsidRPr="00263BE8" w:rsidP="00C362EA">
            <w:pPr>
              <w:spacing w:line="240" w:lineRule="auto"/>
              <w:rPr>
                <w:rFonts w:ascii="Arial Narrow" w:hAnsi="Arial Narrow" w:cs="Times New Roman"/>
              </w:rPr>
            </w:pPr>
            <w:r w:rsidRPr="00263BE8">
              <w:rPr>
                <w:rFonts w:ascii="Arial Narrow" w:hAnsi="Arial Narrow" w:cs="Times New Roman"/>
              </w:rPr>
              <w:t> </w:t>
            </w:r>
          </w:p>
        </w:tc>
        <w:tc>
          <w:tcPr>
            <w:tcW w:w="72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D652EE" w:rsidRPr="00263BE8" w:rsidP="00C362EA">
            <w:pPr>
              <w:spacing w:line="240" w:lineRule="auto"/>
              <w:jc w:val="right"/>
              <w:rPr>
                <w:rFonts w:ascii="Arial Narrow" w:hAnsi="Arial Narrow" w:cs="Times New Roman"/>
              </w:rPr>
            </w:pPr>
            <w:r w:rsidR="00B527A8">
              <w:rPr>
                <w:rFonts w:ascii="Arial Narrow" w:hAnsi="Arial Narrow" w:cs="Times New Roman"/>
              </w:rPr>
              <w:t>27</w:t>
            </w:r>
          </w:p>
        </w:tc>
        <w:tc>
          <w:tcPr>
            <w:tcW w:w="720" w:type="dxa"/>
            <w:tcBorders>
              <w:top w:val="single" w:sz="4" w:space="0" w:color="auto"/>
              <w:left w:val="single" w:sz="4" w:space="0" w:color="auto"/>
              <w:bottom w:val="single" w:sz="4" w:space="0" w:color="auto"/>
              <w:right w:val="single" w:sz="12" w:space="0" w:color="auto"/>
              <w:tl2br w:val="nil"/>
              <w:tr2bl w:val="nil"/>
            </w:tcBorders>
            <w:noWrap/>
            <w:textDirection w:val="lrTb"/>
            <w:vAlign w:val="center"/>
          </w:tcPr>
          <w:p w:rsidR="00D652EE" w:rsidRPr="00263BE8" w:rsidP="00C362EA">
            <w:pPr>
              <w:spacing w:line="240" w:lineRule="auto"/>
              <w:jc w:val="right"/>
              <w:rPr>
                <w:rFonts w:ascii="Arial Narrow" w:hAnsi="Arial Narrow" w:cs="Times New Roman"/>
              </w:rPr>
            </w:pPr>
            <w:r>
              <w:rPr>
                <w:rFonts w:ascii="Arial Narrow" w:hAnsi="Arial Narrow" w:cs="Times New Roman"/>
              </w:rPr>
              <w:t>1</w:t>
            </w:r>
            <w:r w:rsidR="00B527A8">
              <w:rPr>
                <w:rFonts w:ascii="Arial Narrow" w:hAnsi="Arial Narrow" w:cs="Times New Roman"/>
              </w:rPr>
              <w:t>71</w:t>
            </w:r>
          </w:p>
        </w:tc>
      </w:tr>
      <w:tr>
        <w:tblPrEx>
          <w:tblW w:w="9735" w:type="dxa"/>
          <w:tblInd w:w="-110" w:type="dxa"/>
          <w:tblLayout w:type="fixed"/>
          <w:tblCellMar>
            <w:left w:w="70" w:type="dxa"/>
            <w:right w:w="70" w:type="dxa"/>
          </w:tblCellMar>
        </w:tblPrEx>
        <w:trPr>
          <w:trHeight w:val="259"/>
        </w:trPr>
        <w:tc>
          <w:tcPr>
            <w:tcW w:w="1095" w:type="dxa"/>
            <w:tcBorders>
              <w:top w:val="single" w:sz="4" w:space="0" w:color="auto"/>
              <w:left w:val="single" w:sz="12" w:space="0" w:color="auto"/>
              <w:bottom w:val="single" w:sz="4" w:space="0" w:color="auto"/>
              <w:right w:val="single" w:sz="12" w:space="0" w:color="auto"/>
              <w:tl2br w:val="nil"/>
              <w:tr2bl w:val="nil"/>
            </w:tcBorders>
            <w:noWrap/>
            <w:textDirection w:val="lrTb"/>
            <w:vAlign w:val="center"/>
          </w:tcPr>
          <w:p w:rsidR="00D652EE" w:rsidRPr="00263BE8" w:rsidP="00C362EA">
            <w:pPr>
              <w:spacing w:line="240" w:lineRule="auto"/>
              <w:rPr>
                <w:rFonts w:ascii="Arial Narrow" w:hAnsi="Arial Narrow" w:cs="Times New Roman"/>
              </w:rPr>
            </w:pPr>
            <w:r>
              <w:rPr>
                <w:rFonts w:ascii="Arial Narrow" w:hAnsi="Arial Narrow" w:cs="Times New Roman"/>
              </w:rPr>
              <w:t>PRÚ</w:t>
            </w:r>
          </w:p>
        </w:tc>
        <w:tc>
          <w:tcPr>
            <w:tcW w:w="720" w:type="dxa"/>
            <w:tcBorders>
              <w:top w:val="single" w:sz="4" w:space="0" w:color="auto"/>
              <w:left w:val="single" w:sz="12" w:space="0" w:color="auto"/>
              <w:bottom w:val="single" w:sz="4" w:space="0" w:color="auto"/>
              <w:right w:val="single" w:sz="4" w:space="0" w:color="auto"/>
              <w:tl2br w:val="nil"/>
              <w:tr2bl w:val="nil"/>
            </w:tcBorders>
            <w:textDirection w:val="lrTb"/>
            <w:vAlign w:val="center"/>
          </w:tcPr>
          <w:p w:rsidR="00D652EE" w:rsidRPr="00263BE8" w:rsidP="00C362EA">
            <w:pPr>
              <w:spacing w:line="240" w:lineRule="auto"/>
              <w:jc w:val="right"/>
              <w:rPr>
                <w:rFonts w:ascii="Arial Narrow" w:hAnsi="Arial Narrow" w:cs="Times New Roman"/>
              </w:rPr>
            </w:pPr>
            <w:r>
              <w:rPr>
                <w:rFonts w:ascii="Arial Narrow" w:hAnsi="Arial Narrow" w:cs="Times New Roman"/>
              </w:rPr>
              <w:t>16</w:t>
            </w:r>
          </w:p>
        </w:tc>
        <w:tc>
          <w:tcPr>
            <w:tcW w:w="72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D652EE" w:rsidRPr="00263BE8" w:rsidP="00C362EA">
            <w:pPr>
              <w:spacing w:line="240" w:lineRule="auto"/>
              <w:jc w:val="right"/>
              <w:rPr>
                <w:rFonts w:ascii="Arial Narrow" w:hAnsi="Arial Narrow" w:cs="Times New Roman"/>
              </w:rPr>
            </w:pPr>
          </w:p>
        </w:tc>
        <w:tc>
          <w:tcPr>
            <w:tcW w:w="72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D652EE" w:rsidRPr="00263BE8" w:rsidP="00C362EA">
            <w:pPr>
              <w:spacing w:line="240" w:lineRule="auto"/>
              <w:jc w:val="right"/>
              <w:rPr>
                <w:rFonts w:ascii="Arial Narrow" w:hAnsi="Arial Narrow" w:cs="Times New Roman"/>
              </w:rPr>
            </w:pPr>
            <w:r>
              <w:rPr>
                <w:rFonts w:ascii="Arial Narrow" w:hAnsi="Arial Narrow" w:cs="Times New Roman"/>
              </w:rPr>
              <w:t>3</w:t>
            </w:r>
          </w:p>
        </w:tc>
        <w:tc>
          <w:tcPr>
            <w:tcW w:w="720" w:type="dxa"/>
            <w:tcBorders>
              <w:top w:val="single" w:sz="4" w:space="0" w:color="auto"/>
              <w:left w:val="single" w:sz="4" w:space="0" w:color="auto"/>
              <w:bottom w:val="single" w:sz="4" w:space="0" w:color="auto"/>
              <w:right w:val="single" w:sz="12" w:space="0" w:color="auto"/>
              <w:tl2br w:val="nil"/>
              <w:tr2bl w:val="nil"/>
            </w:tcBorders>
            <w:textDirection w:val="lrTb"/>
            <w:vAlign w:val="center"/>
          </w:tcPr>
          <w:p w:rsidR="00D652EE" w:rsidRPr="00263BE8" w:rsidP="00C362EA">
            <w:pPr>
              <w:spacing w:line="240" w:lineRule="auto"/>
              <w:jc w:val="right"/>
              <w:rPr>
                <w:rFonts w:ascii="Arial Narrow" w:hAnsi="Arial Narrow" w:cs="Times New Roman"/>
              </w:rPr>
            </w:pPr>
            <w:r>
              <w:rPr>
                <w:rFonts w:ascii="Arial Narrow" w:hAnsi="Arial Narrow" w:cs="Times New Roman"/>
              </w:rPr>
              <w:t>19</w:t>
            </w:r>
          </w:p>
        </w:tc>
        <w:tc>
          <w:tcPr>
            <w:tcW w:w="720" w:type="dxa"/>
            <w:tcBorders>
              <w:top w:val="single" w:sz="4" w:space="0" w:color="auto"/>
              <w:left w:val="single" w:sz="12" w:space="0" w:color="auto"/>
              <w:bottom w:val="single" w:sz="4" w:space="0" w:color="auto"/>
              <w:right w:val="single" w:sz="4" w:space="0" w:color="auto"/>
              <w:tl2br w:val="nil"/>
              <w:tr2bl w:val="nil"/>
            </w:tcBorders>
            <w:noWrap/>
            <w:textDirection w:val="lrTb"/>
            <w:vAlign w:val="center"/>
          </w:tcPr>
          <w:p w:rsidR="00D652EE" w:rsidRPr="00263BE8" w:rsidP="00C362EA">
            <w:pPr>
              <w:spacing w:line="240" w:lineRule="auto"/>
              <w:jc w:val="right"/>
              <w:rPr>
                <w:rFonts w:ascii="Arial Narrow" w:hAnsi="Arial Narrow" w:cs="Times New Roman"/>
              </w:rPr>
            </w:pPr>
            <w:r w:rsidRPr="00263BE8">
              <w:rPr>
                <w:rFonts w:ascii="Arial Narrow" w:hAnsi="Arial Narrow" w:cs="Times New Roman"/>
              </w:rPr>
              <w:t>16</w:t>
            </w:r>
          </w:p>
        </w:tc>
        <w:tc>
          <w:tcPr>
            <w:tcW w:w="707"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D652EE" w:rsidRPr="00263BE8" w:rsidP="00C362EA">
            <w:pPr>
              <w:spacing w:line="240" w:lineRule="auto"/>
              <w:rPr>
                <w:rFonts w:ascii="Arial Narrow" w:hAnsi="Arial Narrow" w:cs="Times New Roman"/>
              </w:rPr>
            </w:pPr>
            <w:r w:rsidRPr="00263BE8">
              <w:rPr>
                <w:rFonts w:ascii="Arial Narrow" w:hAnsi="Arial Narrow" w:cs="Times New Roman"/>
              </w:rPr>
              <w:t> </w:t>
            </w:r>
          </w:p>
        </w:tc>
        <w:tc>
          <w:tcPr>
            <w:tcW w:w="733"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D652EE" w:rsidRPr="00263BE8" w:rsidP="00C362EA">
            <w:pPr>
              <w:spacing w:line="240" w:lineRule="auto"/>
              <w:jc w:val="right"/>
              <w:rPr>
                <w:rFonts w:ascii="Arial Narrow" w:hAnsi="Arial Narrow" w:cs="Times New Roman"/>
              </w:rPr>
            </w:pPr>
            <w:r w:rsidRPr="00263BE8">
              <w:rPr>
                <w:rFonts w:ascii="Arial Narrow" w:hAnsi="Arial Narrow" w:cs="Times New Roman"/>
              </w:rPr>
              <w:t>3</w:t>
            </w:r>
          </w:p>
        </w:tc>
        <w:tc>
          <w:tcPr>
            <w:tcW w:w="720" w:type="dxa"/>
            <w:tcBorders>
              <w:top w:val="single" w:sz="4" w:space="0" w:color="auto"/>
              <w:left w:val="single" w:sz="4" w:space="0" w:color="auto"/>
              <w:bottom w:val="single" w:sz="4" w:space="0" w:color="auto"/>
              <w:right w:val="single" w:sz="12" w:space="0" w:color="auto"/>
              <w:tl2br w:val="nil"/>
              <w:tr2bl w:val="nil"/>
            </w:tcBorders>
            <w:noWrap/>
            <w:textDirection w:val="lrTb"/>
            <w:vAlign w:val="center"/>
          </w:tcPr>
          <w:p w:rsidR="00D652EE" w:rsidRPr="00263BE8" w:rsidP="00C362EA">
            <w:pPr>
              <w:spacing w:line="240" w:lineRule="auto"/>
              <w:jc w:val="right"/>
              <w:rPr>
                <w:rFonts w:ascii="Arial Narrow" w:hAnsi="Arial Narrow" w:cs="Times New Roman"/>
              </w:rPr>
            </w:pPr>
            <w:r w:rsidRPr="00263BE8">
              <w:rPr>
                <w:rFonts w:ascii="Arial Narrow" w:hAnsi="Arial Narrow" w:cs="Times New Roman"/>
              </w:rPr>
              <w:t>19</w:t>
            </w:r>
          </w:p>
        </w:tc>
        <w:tc>
          <w:tcPr>
            <w:tcW w:w="720" w:type="dxa"/>
            <w:tcBorders>
              <w:top w:val="single" w:sz="4" w:space="0" w:color="auto"/>
              <w:left w:val="single" w:sz="12" w:space="0" w:color="auto"/>
              <w:bottom w:val="single" w:sz="4" w:space="0" w:color="auto"/>
              <w:right w:val="single" w:sz="4" w:space="0" w:color="auto"/>
              <w:tl2br w:val="nil"/>
              <w:tr2bl w:val="nil"/>
            </w:tcBorders>
            <w:noWrap/>
            <w:textDirection w:val="lrTb"/>
            <w:vAlign w:val="center"/>
          </w:tcPr>
          <w:p w:rsidR="00D652EE" w:rsidRPr="00263BE8" w:rsidP="00C362EA">
            <w:pPr>
              <w:spacing w:line="240" w:lineRule="auto"/>
              <w:jc w:val="right"/>
              <w:rPr>
                <w:rFonts w:ascii="Arial Narrow" w:hAnsi="Arial Narrow" w:cs="Times New Roman"/>
              </w:rPr>
            </w:pPr>
            <w:r w:rsidR="00B527A8">
              <w:rPr>
                <w:rFonts w:ascii="Arial Narrow" w:hAnsi="Arial Narrow" w:cs="Times New Roman"/>
              </w:rPr>
              <w:t>14</w:t>
            </w:r>
          </w:p>
        </w:tc>
        <w:tc>
          <w:tcPr>
            <w:tcW w:w="72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D652EE" w:rsidRPr="00263BE8" w:rsidP="00C362EA">
            <w:pPr>
              <w:spacing w:line="240" w:lineRule="auto"/>
              <w:rPr>
                <w:rFonts w:ascii="Arial Narrow" w:hAnsi="Arial Narrow" w:cs="Times New Roman"/>
              </w:rPr>
            </w:pPr>
            <w:r w:rsidRPr="00263BE8">
              <w:rPr>
                <w:rFonts w:ascii="Arial Narrow" w:hAnsi="Arial Narrow" w:cs="Times New Roman"/>
              </w:rPr>
              <w:t> </w:t>
            </w:r>
          </w:p>
        </w:tc>
        <w:tc>
          <w:tcPr>
            <w:tcW w:w="72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D652EE" w:rsidRPr="00263BE8" w:rsidP="00C362EA">
            <w:pPr>
              <w:spacing w:line="240" w:lineRule="auto"/>
              <w:jc w:val="right"/>
              <w:rPr>
                <w:rFonts w:ascii="Arial Narrow" w:hAnsi="Arial Narrow" w:cs="Times New Roman"/>
              </w:rPr>
            </w:pPr>
            <w:r w:rsidRPr="00263BE8">
              <w:rPr>
                <w:rFonts w:ascii="Arial Narrow" w:hAnsi="Arial Narrow" w:cs="Times New Roman"/>
              </w:rPr>
              <w:t>2</w:t>
            </w:r>
          </w:p>
        </w:tc>
        <w:tc>
          <w:tcPr>
            <w:tcW w:w="720" w:type="dxa"/>
            <w:tcBorders>
              <w:top w:val="single" w:sz="4" w:space="0" w:color="auto"/>
              <w:left w:val="single" w:sz="4" w:space="0" w:color="auto"/>
              <w:bottom w:val="single" w:sz="4" w:space="0" w:color="auto"/>
              <w:right w:val="single" w:sz="12" w:space="0" w:color="auto"/>
              <w:tl2br w:val="nil"/>
              <w:tr2bl w:val="nil"/>
            </w:tcBorders>
            <w:noWrap/>
            <w:textDirection w:val="lrTb"/>
            <w:vAlign w:val="center"/>
          </w:tcPr>
          <w:p w:rsidR="00D652EE" w:rsidRPr="00263BE8" w:rsidP="00C362EA">
            <w:pPr>
              <w:spacing w:line="240" w:lineRule="auto"/>
              <w:jc w:val="right"/>
              <w:rPr>
                <w:rFonts w:ascii="Arial Narrow" w:hAnsi="Arial Narrow" w:cs="Times New Roman"/>
              </w:rPr>
            </w:pPr>
            <w:r w:rsidR="00B527A8">
              <w:rPr>
                <w:rFonts w:ascii="Arial Narrow" w:hAnsi="Arial Narrow" w:cs="Times New Roman"/>
              </w:rPr>
              <w:t>16</w:t>
            </w:r>
          </w:p>
        </w:tc>
      </w:tr>
      <w:tr>
        <w:tblPrEx>
          <w:tblW w:w="9735" w:type="dxa"/>
          <w:tblInd w:w="-110" w:type="dxa"/>
          <w:tblLayout w:type="fixed"/>
          <w:tblCellMar>
            <w:left w:w="70" w:type="dxa"/>
            <w:right w:w="70" w:type="dxa"/>
          </w:tblCellMar>
        </w:tblPrEx>
        <w:trPr>
          <w:trHeight w:val="259"/>
        </w:trPr>
        <w:tc>
          <w:tcPr>
            <w:tcW w:w="1095" w:type="dxa"/>
            <w:tcBorders>
              <w:top w:val="single" w:sz="4" w:space="0" w:color="auto"/>
              <w:left w:val="single" w:sz="12" w:space="0" w:color="auto"/>
              <w:bottom w:val="single" w:sz="4" w:space="0" w:color="auto"/>
              <w:right w:val="single" w:sz="12" w:space="0" w:color="auto"/>
              <w:tl2br w:val="nil"/>
              <w:tr2bl w:val="nil"/>
            </w:tcBorders>
            <w:noWrap/>
            <w:textDirection w:val="lrTb"/>
            <w:vAlign w:val="center"/>
          </w:tcPr>
          <w:p w:rsidR="00D652EE" w:rsidRPr="00263BE8" w:rsidP="00C362EA">
            <w:pPr>
              <w:spacing w:line="240" w:lineRule="auto"/>
              <w:rPr>
                <w:rFonts w:ascii="Arial Narrow" w:hAnsi="Arial Narrow" w:cs="Times New Roman"/>
              </w:rPr>
            </w:pPr>
            <w:r>
              <w:rPr>
                <w:rFonts w:ascii="Arial Narrow" w:hAnsi="Arial Narrow" w:cs="Times New Roman"/>
              </w:rPr>
              <w:t>KÚ</w:t>
            </w:r>
            <w:r w:rsidRPr="00263BE8">
              <w:rPr>
                <w:rFonts w:ascii="Arial Narrow" w:hAnsi="Arial Narrow" w:cs="Times New Roman"/>
              </w:rPr>
              <w:t>, z toho:</w:t>
            </w:r>
          </w:p>
        </w:tc>
        <w:tc>
          <w:tcPr>
            <w:tcW w:w="720" w:type="dxa"/>
            <w:tcBorders>
              <w:top w:val="single" w:sz="4" w:space="0" w:color="auto"/>
              <w:left w:val="single" w:sz="12" w:space="0" w:color="auto"/>
              <w:bottom w:val="single" w:sz="4" w:space="0" w:color="auto"/>
              <w:right w:val="single" w:sz="4" w:space="0" w:color="auto"/>
              <w:tl2br w:val="nil"/>
              <w:tr2bl w:val="nil"/>
            </w:tcBorders>
            <w:textDirection w:val="lrTb"/>
            <w:vAlign w:val="center"/>
          </w:tcPr>
          <w:p w:rsidR="00D652EE" w:rsidP="00C362EA">
            <w:pPr>
              <w:spacing w:line="240" w:lineRule="auto"/>
              <w:jc w:val="right"/>
              <w:rPr>
                <w:rFonts w:ascii="Arial Narrow" w:hAnsi="Arial Narrow" w:cs="Times New Roman"/>
              </w:rPr>
            </w:pPr>
            <w:r w:rsidR="00E6607C">
              <w:rPr>
                <w:rFonts w:ascii="Arial Narrow" w:hAnsi="Arial Narrow" w:cs="Times New Roman"/>
              </w:rPr>
              <w:t>372</w:t>
            </w:r>
          </w:p>
        </w:tc>
        <w:tc>
          <w:tcPr>
            <w:tcW w:w="72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D652EE" w:rsidP="00C362EA">
            <w:pPr>
              <w:spacing w:line="240" w:lineRule="auto"/>
              <w:jc w:val="right"/>
              <w:rPr>
                <w:rFonts w:ascii="Arial Narrow" w:hAnsi="Arial Narrow" w:cs="Times New Roman"/>
              </w:rPr>
            </w:pPr>
          </w:p>
        </w:tc>
        <w:tc>
          <w:tcPr>
            <w:tcW w:w="72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D652EE" w:rsidP="00C362EA">
            <w:pPr>
              <w:spacing w:line="240" w:lineRule="auto"/>
              <w:jc w:val="right"/>
              <w:rPr>
                <w:rFonts w:ascii="Arial Narrow" w:hAnsi="Arial Narrow" w:cs="Times New Roman"/>
              </w:rPr>
            </w:pPr>
            <w:r w:rsidR="00E6607C">
              <w:rPr>
                <w:rFonts w:ascii="Arial Narrow" w:hAnsi="Arial Narrow" w:cs="Times New Roman"/>
              </w:rPr>
              <w:t>33</w:t>
            </w:r>
          </w:p>
        </w:tc>
        <w:tc>
          <w:tcPr>
            <w:tcW w:w="720" w:type="dxa"/>
            <w:tcBorders>
              <w:top w:val="single" w:sz="4" w:space="0" w:color="auto"/>
              <w:left w:val="single" w:sz="4" w:space="0" w:color="auto"/>
              <w:bottom w:val="single" w:sz="4" w:space="0" w:color="auto"/>
              <w:right w:val="single" w:sz="12" w:space="0" w:color="auto"/>
              <w:tl2br w:val="nil"/>
              <w:tr2bl w:val="nil"/>
            </w:tcBorders>
            <w:textDirection w:val="lrTb"/>
            <w:vAlign w:val="center"/>
          </w:tcPr>
          <w:p w:rsidR="00D652EE" w:rsidP="00C362EA">
            <w:pPr>
              <w:spacing w:line="240" w:lineRule="auto"/>
              <w:jc w:val="right"/>
              <w:rPr>
                <w:rFonts w:ascii="Arial Narrow" w:hAnsi="Arial Narrow" w:cs="Times New Roman"/>
              </w:rPr>
            </w:pPr>
            <w:r w:rsidR="00E6607C">
              <w:rPr>
                <w:rFonts w:ascii="Arial Narrow" w:hAnsi="Arial Narrow" w:cs="Times New Roman"/>
              </w:rPr>
              <w:t>405</w:t>
            </w:r>
          </w:p>
        </w:tc>
        <w:tc>
          <w:tcPr>
            <w:tcW w:w="720" w:type="dxa"/>
            <w:tcBorders>
              <w:top w:val="single" w:sz="4" w:space="0" w:color="auto"/>
              <w:left w:val="single" w:sz="12" w:space="0" w:color="auto"/>
              <w:bottom w:val="single" w:sz="4" w:space="0" w:color="auto"/>
              <w:right w:val="single" w:sz="4" w:space="0" w:color="auto"/>
              <w:tl2br w:val="nil"/>
              <w:tr2bl w:val="nil"/>
            </w:tcBorders>
            <w:noWrap/>
            <w:textDirection w:val="lrTb"/>
            <w:vAlign w:val="center"/>
          </w:tcPr>
          <w:p w:rsidR="00D652EE" w:rsidRPr="00263BE8" w:rsidP="00C362EA">
            <w:pPr>
              <w:spacing w:line="240" w:lineRule="auto"/>
              <w:jc w:val="right"/>
              <w:rPr>
                <w:rFonts w:ascii="Arial Narrow" w:hAnsi="Arial Narrow" w:cs="Times New Roman"/>
              </w:rPr>
            </w:pPr>
            <w:r>
              <w:rPr>
                <w:rFonts w:ascii="Arial Narrow" w:hAnsi="Arial Narrow" w:cs="Times New Roman"/>
              </w:rPr>
              <w:t>372</w:t>
            </w:r>
          </w:p>
        </w:tc>
        <w:tc>
          <w:tcPr>
            <w:tcW w:w="707"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D652EE" w:rsidRPr="00263BE8" w:rsidP="00C362EA">
            <w:pPr>
              <w:spacing w:line="240" w:lineRule="auto"/>
              <w:rPr>
                <w:rFonts w:ascii="Arial Narrow" w:hAnsi="Arial Narrow" w:cs="Times New Roman"/>
              </w:rPr>
            </w:pPr>
            <w:r w:rsidRPr="00263BE8">
              <w:rPr>
                <w:rFonts w:ascii="Arial Narrow" w:hAnsi="Arial Narrow" w:cs="Times New Roman"/>
              </w:rPr>
              <w:t> </w:t>
            </w:r>
          </w:p>
        </w:tc>
        <w:tc>
          <w:tcPr>
            <w:tcW w:w="733"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D652EE" w:rsidRPr="00263BE8" w:rsidP="00C362EA">
            <w:pPr>
              <w:spacing w:line="240" w:lineRule="auto"/>
              <w:jc w:val="right"/>
              <w:rPr>
                <w:rFonts w:ascii="Arial Narrow" w:hAnsi="Arial Narrow" w:cs="Times New Roman"/>
              </w:rPr>
            </w:pPr>
            <w:r>
              <w:rPr>
                <w:rFonts w:ascii="Arial Narrow" w:hAnsi="Arial Narrow" w:cs="Times New Roman"/>
              </w:rPr>
              <w:t>33</w:t>
            </w:r>
          </w:p>
        </w:tc>
        <w:tc>
          <w:tcPr>
            <w:tcW w:w="720" w:type="dxa"/>
            <w:tcBorders>
              <w:top w:val="single" w:sz="4" w:space="0" w:color="auto"/>
              <w:left w:val="single" w:sz="4" w:space="0" w:color="auto"/>
              <w:bottom w:val="single" w:sz="4" w:space="0" w:color="auto"/>
              <w:right w:val="single" w:sz="12" w:space="0" w:color="auto"/>
              <w:tl2br w:val="nil"/>
              <w:tr2bl w:val="nil"/>
            </w:tcBorders>
            <w:noWrap/>
            <w:textDirection w:val="lrTb"/>
            <w:vAlign w:val="center"/>
          </w:tcPr>
          <w:p w:rsidR="00D652EE" w:rsidRPr="00263BE8" w:rsidP="00C362EA">
            <w:pPr>
              <w:spacing w:line="240" w:lineRule="auto"/>
              <w:jc w:val="right"/>
              <w:rPr>
                <w:rFonts w:ascii="Arial Narrow" w:hAnsi="Arial Narrow" w:cs="Times New Roman"/>
              </w:rPr>
            </w:pPr>
            <w:r>
              <w:rPr>
                <w:rFonts w:ascii="Arial Narrow" w:hAnsi="Arial Narrow" w:cs="Times New Roman"/>
              </w:rPr>
              <w:t>405</w:t>
            </w:r>
          </w:p>
        </w:tc>
        <w:tc>
          <w:tcPr>
            <w:tcW w:w="720" w:type="dxa"/>
            <w:tcBorders>
              <w:top w:val="single" w:sz="4" w:space="0" w:color="auto"/>
              <w:left w:val="single" w:sz="12" w:space="0" w:color="auto"/>
              <w:bottom w:val="single" w:sz="4" w:space="0" w:color="auto"/>
              <w:right w:val="single" w:sz="4" w:space="0" w:color="auto"/>
              <w:tl2br w:val="nil"/>
              <w:tr2bl w:val="nil"/>
            </w:tcBorders>
            <w:noWrap/>
            <w:textDirection w:val="lrTb"/>
            <w:vAlign w:val="center"/>
          </w:tcPr>
          <w:p w:rsidR="00D652EE" w:rsidRPr="00263BE8" w:rsidP="00C362EA">
            <w:pPr>
              <w:spacing w:line="240" w:lineRule="auto"/>
              <w:jc w:val="right"/>
              <w:rPr>
                <w:rFonts w:ascii="Arial Narrow" w:hAnsi="Arial Narrow" w:cs="Times New Roman"/>
              </w:rPr>
            </w:pPr>
            <w:r>
              <w:rPr>
                <w:rFonts w:ascii="Arial Narrow" w:hAnsi="Arial Narrow" w:cs="Times New Roman"/>
              </w:rPr>
              <w:t>35</w:t>
            </w:r>
            <w:r w:rsidR="00532B3F">
              <w:rPr>
                <w:rFonts w:ascii="Arial Narrow" w:hAnsi="Arial Narrow" w:cs="Times New Roman"/>
              </w:rPr>
              <w:t>2</w:t>
            </w:r>
          </w:p>
        </w:tc>
        <w:tc>
          <w:tcPr>
            <w:tcW w:w="72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D652EE" w:rsidRPr="00263BE8" w:rsidP="00C362EA">
            <w:pPr>
              <w:spacing w:line="240" w:lineRule="auto"/>
              <w:rPr>
                <w:rFonts w:ascii="Arial Narrow" w:hAnsi="Arial Narrow" w:cs="Times New Roman"/>
              </w:rPr>
            </w:pPr>
            <w:r w:rsidRPr="00263BE8">
              <w:rPr>
                <w:rFonts w:ascii="Arial Narrow" w:hAnsi="Arial Narrow" w:cs="Times New Roman"/>
              </w:rPr>
              <w:t> </w:t>
            </w:r>
          </w:p>
        </w:tc>
        <w:tc>
          <w:tcPr>
            <w:tcW w:w="72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D652EE" w:rsidRPr="00263BE8" w:rsidP="00C362EA">
            <w:pPr>
              <w:spacing w:line="240" w:lineRule="auto"/>
              <w:jc w:val="right"/>
              <w:rPr>
                <w:rFonts w:ascii="Arial Narrow" w:hAnsi="Arial Narrow" w:cs="Times New Roman"/>
              </w:rPr>
            </w:pPr>
            <w:r w:rsidR="0053262B">
              <w:rPr>
                <w:rFonts w:ascii="Arial Narrow" w:hAnsi="Arial Narrow" w:cs="Times New Roman"/>
              </w:rPr>
              <w:t>30</w:t>
            </w:r>
          </w:p>
        </w:tc>
        <w:tc>
          <w:tcPr>
            <w:tcW w:w="720" w:type="dxa"/>
            <w:tcBorders>
              <w:top w:val="single" w:sz="4" w:space="0" w:color="auto"/>
              <w:left w:val="single" w:sz="4" w:space="0" w:color="auto"/>
              <w:bottom w:val="single" w:sz="4" w:space="0" w:color="auto"/>
              <w:right w:val="single" w:sz="12" w:space="0" w:color="auto"/>
              <w:tl2br w:val="nil"/>
              <w:tr2bl w:val="nil"/>
            </w:tcBorders>
            <w:noWrap/>
            <w:textDirection w:val="lrTb"/>
            <w:vAlign w:val="center"/>
          </w:tcPr>
          <w:p w:rsidR="00D652EE" w:rsidRPr="00263BE8" w:rsidP="00C362EA">
            <w:pPr>
              <w:spacing w:line="240" w:lineRule="auto"/>
              <w:jc w:val="right"/>
              <w:rPr>
                <w:rFonts w:ascii="Arial Narrow" w:hAnsi="Arial Narrow" w:cs="Times New Roman"/>
              </w:rPr>
            </w:pPr>
            <w:r>
              <w:rPr>
                <w:rFonts w:ascii="Arial Narrow" w:hAnsi="Arial Narrow" w:cs="Times New Roman"/>
              </w:rPr>
              <w:t>38</w:t>
            </w:r>
            <w:r w:rsidR="00B527A8">
              <w:rPr>
                <w:rFonts w:ascii="Arial Narrow" w:hAnsi="Arial Narrow" w:cs="Times New Roman"/>
              </w:rPr>
              <w:t>2</w:t>
            </w:r>
          </w:p>
        </w:tc>
      </w:tr>
      <w:tr>
        <w:tblPrEx>
          <w:tblW w:w="9735" w:type="dxa"/>
          <w:tblInd w:w="-110" w:type="dxa"/>
          <w:tblLayout w:type="fixed"/>
          <w:tblCellMar>
            <w:left w:w="70" w:type="dxa"/>
            <w:right w:w="70" w:type="dxa"/>
          </w:tblCellMar>
        </w:tblPrEx>
        <w:trPr>
          <w:trHeight w:val="259"/>
        </w:trPr>
        <w:tc>
          <w:tcPr>
            <w:tcW w:w="1095" w:type="dxa"/>
            <w:tcBorders>
              <w:top w:val="single" w:sz="4" w:space="0" w:color="auto"/>
              <w:left w:val="single" w:sz="12" w:space="0" w:color="auto"/>
              <w:bottom w:val="single" w:sz="4" w:space="0" w:color="auto"/>
              <w:right w:val="single" w:sz="12" w:space="0" w:color="auto"/>
              <w:tl2br w:val="nil"/>
              <w:tr2bl w:val="nil"/>
            </w:tcBorders>
            <w:noWrap/>
            <w:textDirection w:val="lrTb"/>
            <w:vAlign w:val="center"/>
          </w:tcPr>
          <w:p w:rsidR="00D652EE" w:rsidRPr="00263BE8" w:rsidP="00C362EA">
            <w:pPr>
              <w:spacing w:line="240" w:lineRule="auto"/>
              <w:rPr>
                <w:rFonts w:ascii="Arial Narrow" w:hAnsi="Arial Narrow" w:cs="Times New Roman"/>
              </w:rPr>
            </w:pPr>
            <w:r w:rsidRPr="00263BE8">
              <w:rPr>
                <w:rFonts w:ascii="Arial Narrow" w:hAnsi="Arial Narrow" w:cs="Times New Roman"/>
              </w:rPr>
              <w:t>Bratislava</w:t>
            </w:r>
          </w:p>
        </w:tc>
        <w:tc>
          <w:tcPr>
            <w:tcW w:w="720" w:type="dxa"/>
            <w:tcBorders>
              <w:top w:val="single" w:sz="4" w:space="0" w:color="auto"/>
              <w:left w:val="single" w:sz="12" w:space="0" w:color="auto"/>
              <w:bottom w:val="single" w:sz="4" w:space="0" w:color="auto"/>
              <w:right w:val="single" w:sz="4" w:space="0" w:color="auto"/>
              <w:tl2br w:val="nil"/>
              <w:tr2bl w:val="nil"/>
            </w:tcBorders>
            <w:textDirection w:val="lrTb"/>
            <w:vAlign w:val="center"/>
          </w:tcPr>
          <w:p w:rsidR="00D652EE" w:rsidP="00C362EA">
            <w:pPr>
              <w:spacing w:line="240" w:lineRule="auto"/>
              <w:jc w:val="right"/>
              <w:rPr>
                <w:rFonts w:ascii="Arial Narrow" w:hAnsi="Arial Narrow" w:cs="Times New Roman"/>
              </w:rPr>
            </w:pPr>
            <w:r w:rsidR="007F2D6C">
              <w:rPr>
                <w:rFonts w:ascii="Arial Narrow" w:hAnsi="Arial Narrow" w:cs="Times New Roman"/>
              </w:rPr>
              <w:t>42</w:t>
            </w:r>
          </w:p>
        </w:tc>
        <w:tc>
          <w:tcPr>
            <w:tcW w:w="72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D652EE" w:rsidP="00C362EA">
            <w:pPr>
              <w:spacing w:line="240" w:lineRule="auto"/>
              <w:jc w:val="right"/>
              <w:rPr>
                <w:rFonts w:ascii="Arial Narrow" w:hAnsi="Arial Narrow" w:cs="Times New Roman"/>
              </w:rPr>
            </w:pPr>
          </w:p>
        </w:tc>
        <w:tc>
          <w:tcPr>
            <w:tcW w:w="72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D652EE" w:rsidP="00C362EA">
            <w:pPr>
              <w:spacing w:line="240" w:lineRule="auto"/>
              <w:jc w:val="right"/>
              <w:rPr>
                <w:rFonts w:ascii="Arial Narrow" w:hAnsi="Arial Narrow" w:cs="Times New Roman"/>
              </w:rPr>
            </w:pPr>
            <w:r w:rsidR="007F2D6C">
              <w:rPr>
                <w:rFonts w:ascii="Arial Narrow" w:hAnsi="Arial Narrow" w:cs="Times New Roman"/>
              </w:rPr>
              <w:t>4</w:t>
            </w:r>
          </w:p>
        </w:tc>
        <w:tc>
          <w:tcPr>
            <w:tcW w:w="720" w:type="dxa"/>
            <w:tcBorders>
              <w:top w:val="single" w:sz="4" w:space="0" w:color="auto"/>
              <w:left w:val="single" w:sz="4" w:space="0" w:color="auto"/>
              <w:bottom w:val="single" w:sz="4" w:space="0" w:color="auto"/>
              <w:right w:val="single" w:sz="12" w:space="0" w:color="auto"/>
              <w:tl2br w:val="nil"/>
              <w:tr2bl w:val="nil"/>
            </w:tcBorders>
            <w:textDirection w:val="lrTb"/>
            <w:vAlign w:val="center"/>
          </w:tcPr>
          <w:p w:rsidR="00D652EE" w:rsidP="00C362EA">
            <w:pPr>
              <w:spacing w:line="240" w:lineRule="auto"/>
              <w:jc w:val="right"/>
              <w:rPr>
                <w:rFonts w:ascii="Arial Narrow" w:hAnsi="Arial Narrow" w:cs="Times New Roman"/>
              </w:rPr>
            </w:pPr>
            <w:r w:rsidR="007F2D6C">
              <w:rPr>
                <w:rFonts w:ascii="Arial Narrow" w:hAnsi="Arial Narrow" w:cs="Times New Roman"/>
              </w:rPr>
              <w:t>46</w:t>
            </w:r>
          </w:p>
        </w:tc>
        <w:tc>
          <w:tcPr>
            <w:tcW w:w="720" w:type="dxa"/>
            <w:tcBorders>
              <w:top w:val="single" w:sz="4" w:space="0" w:color="auto"/>
              <w:left w:val="single" w:sz="12" w:space="0" w:color="auto"/>
              <w:bottom w:val="single" w:sz="4" w:space="0" w:color="auto"/>
              <w:right w:val="single" w:sz="4" w:space="0" w:color="auto"/>
              <w:tl2br w:val="nil"/>
              <w:tr2bl w:val="nil"/>
            </w:tcBorders>
            <w:noWrap/>
            <w:textDirection w:val="lrTb"/>
            <w:vAlign w:val="center"/>
          </w:tcPr>
          <w:p w:rsidR="00D652EE" w:rsidRPr="00263BE8" w:rsidP="00C362EA">
            <w:pPr>
              <w:spacing w:line="240" w:lineRule="auto"/>
              <w:jc w:val="right"/>
              <w:rPr>
                <w:rFonts w:ascii="Arial Narrow" w:hAnsi="Arial Narrow" w:cs="Times New Roman"/>
              </w:rPr>
            </w:pPr>
            <w:r>
              <w:rPr>
                <w:rFonts w:ascii="Arial Narrow" w:hAnsi="Arial Narrow" w:cs="Times New Roman"/>
              </w:rPr>
              <w:t>42</w:t>
            </w:r>
          </w:p>
        </w:tc>
        <w:tc>
          <w:tcPr>
            <w:tcW w:w="707"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D652EE" w:rsidRPr="00263BE8" w:rsidP="00C362EA">
            <w:pPr>
              <w:spacing w:line="240" w:lineRule="auto"/>
              <w:rPr>
                <w:rFonts w:ascii="Arial Narrow" w:hAnsi="Arial Narrow" w:cs="Times New Roman"/>
              </w:rPr>
            </w:pPr>
            <w:r w:rsidRPr="00263BE8">
              <w:rPr>
                <w:rFonts w:ascii="Arial Narrow" w:hAnsi="Arial Narrow" w:cs="Times New Roman"/>
              </w:rPr>
              <w:t> </w:t>
            </w:r>
          </w:p>
        </w:tc>
        <w:tc>
          <w:tcPr>
            <w:tcW w:w="733"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D652EE" w:rsidRPr="00263BE8" w:rsidP="00C362EA">
            <w:pPr>
              <w:spacing w:line="240" w:lineRule="auto"/>
              <w:jc w:val="right"/>
              <w:rPr>
                <w:rFonts w:ascii="Arial Narrow" w:hAnsi="Arial Narrow" w:cs="Times New Roman"/>
              </w:rPr>
            </w:pPr>
            <w:r>
              <w:rPr>
                <w:rFonts w:ascii="Arial Narrow" w:hAnsi="Arial Narrow" w:cs="Times New Roman"/>
              </w:rPr>
              <w:t>4</w:t>
            </w:r>
          </w:p>
        </w:tc>
        <w:tc>
          <w:tcPr>
            <w:tcW w:w="720" w:type="dxa"/>
            <w:tcBorders>
              <w:top w:val="single" w:sz="4" w:space="0" w:color="auto"/>
              <w:left w:val="single" w:sz="4" w:space="0" w:color="auto"/>
              <w:bottom w:val="single" w:sz="4" w:space="0" w:color="auto"/>
              <w:right w:val="single" w:sz="12" w:space="0" w:color="auto"/>
              <w:tl2br w:val="nil"/>
              <w:tr2bl w:val="nil"/>
            </w:tcBorders>
            <w:noWrap/>
            <w:textDirection w:val="lrTb"/>
            <w:vAlign w:val="center"/>
          </w:tcPr>
          <w:p w:rsidR="00D652EE" w:rsidRPr="00263BE8" w:rsidP="00C362EA">
            <w:pPr>
              <w:spacing w:line="240" w:lineRule="auto"/>
              <w:jc w:val="right"/>
              <w:rPr>
                <w:rFonts w:ascii="Arial Narrow" w:hAnsi="Arial Narrow" w:cs="Times New Roman"/>
              </w:rPr>
            </w:pPr>
            <w:r>
              <w:rPr>
                <w:rFonts w:ascii="Arial Narrow" w:hAnsi="Arial Narrow" w:cs="Times New Roman"/>
              </w:rPr>
              <w:t>46</w:t>
            </w:r>
          </w:p>
        </w:tc>
        <w:tc>
          <w:tcPr>
            <w:tcW w:w="720" w:type="dxa"/>
            <w:tcBorders>
              <w:top w:val="single" w:sz="4" w:space="0" w:color="auto"/>
              <w:left w:val="single" w:sz="12" w:space="0" w:color="auto"/>
              <w:bottom w:val="single" w:sz="4" w:space="0" w:color="auto"/>
              <w:right w:val="single" w:sz="4" w:space="0" w:color="auto"/>
              <w:tl2br w:val="nil"/>
              <w:tr2bl w:val="nil"/>
            </w:tcBorders>
            <w:noWrap/>
            <w:textDirection w:val="lrTb"/>
            <w:vAlign w:val="center"/>
          </w:tcPr>
          <w:p w:rsidR="00D652EE" w:rsidRPr="00263BE8" w:rsidP="00C362EA">
            <w:pPr>
              <w:spacing w:line="240" w:lineRule="auto"/>
              <w:jc w:val="right"/>
              <w:rPr>
                <w:rFonts w:ascii="Arial Narrow" w:hAnsi="Arial Narrow" w:cs="Times New Roman"/>
              </w:rPr>
            </w:pPr>
            <w:r>
              <w:rPr>
                <w:rFonts w:ascii="Arial Narrow" w:hAnsi="Arial Narrow" w:cs="Times New Roman"/>
              </w:rPr>
              <w:t>39</w:t>
            </w:r>
          </w:p>
        </w:tc>
        <w:tc>
          <w:tcPr>
            <w:tcW w:w="72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D652EE" w:rsidRPr="00263BE8" w:rsidP="00C362EA">
            <w:pPr>
              <w:spacing w:line="240" w:lineRule="auto"/>
              <w:rPr>
                <w:rFonts w:ascii="Arial Narrow" w:hAnsi="Arial Narrow" w:cs="Times New Roman"/>
              </w:rPr>
            </w:pPr>
            <w:r w:rsidRPr="00263BE8">
              <w:rPr>
                <w:rFonts w:ascii="Arial Narrow" w:hAnsi="Arial Narrow" w:cs="Times New Roman"/>
              </w:rPr>
              <w:t> </w:t>
            </w:r>
          </w:p>
        </w:tc>
        <w:tc>
          <w:tcPr>
            <w:tcW w:w="72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D652EE" w:rsidRPr="00263BE8" w:rsidP="00C362EA">
            <w:pPr>
              <w:spacing w:line="240" w:lineRule="auto"/>
              <w:jc w:val="right"/>
              <w:rPr>
                <w:rFonts w:ascii="Arial Narrow" w:hAnsi="Arial Narrow" w:cs="Times New Roman"/>
              </w:rPr>
            </w:pPr>
            <w:r>
              <w:rPr>
                <w:rFonts w:ascii="Arial Narrow" w:hAnsi="Arial Narrow" w:cs="Times New Roman"/>
              </w:rPr>
              <w:t>4</w:t>
            </w:r>
          </w:p>
        </w:tc>
        <w:tc>
          <w:tcPr>
            <w:tcW w:w="720" w:type="dxa"/>
            <w:tcBorders>
              <w:top w:val="single" w:sz="4" w:space="0" w:color="auto"/>
              <w:left w:val="single" w:sz="4" w:space="0" w:color="auto"/>
              <w:bottom w:val="single" w:sz="4" w:space="0" w:color="auto"/>
              <w:right w:val="single" w:sz="12" w:space="0" w:color="auto"/>
              <w:tl2br w:val="nil"/>
              <w:tr2bl w:val="nil"/>
            </w:tcBorders>
            <w:noWrap/>
            <w:textDirection w:val="lrTb"/>
            <w:vAlign w:val="center"/>
          </w:tcPr>
          <w:p w:rsidR="00D652EE" w:rsidRPr="00263BE8" w:rsidP="00C362EA">
            <w:pPr>
              <w:spacing w:line="240" w:lineRule="auto"/>
              <w:jc w:val="right"/>
              <w:rPr>
                <w:rFonts w:ascii="Arial Narrow" w:hAnsi="Arial Narrow" w:cs="Times New Roman"/>
              </w:rPr>
            </w:pPr>
            <w:r>
              <w:rPr>
                <w:rFonts w:ascii="Arial Narrow" w:hAnsi="Arial Narrow" w:cs="Times New Roman"/>
              </w:rPr>
              <w:t>43</w:t>
            </w:r>
          </w:p>
        </w:tc>
      </w:tr>
      <w:tr>
        <w:tblPrEx>
          <w:tblW w:w="9735" w:type="dxa"/>
          <w:tblInd w:w="-110" w:type="dxa"/>
          <w:tblLayout w:type="fixed"/>
          <w:tblCellMar>
            <w:left w:w="70" w:type="dxa"/>
            <w:right w:w="70" w:type="dxa"/>
          </w:tblCellMar>
        </w:tblPrEx>
        <w:trPr>
          <w:trHeight w:val="259"/>
        </w:trPr>
        <w:tc>
          <w:tcPr>
            <w:tcW w:w="1095" w:type="dxa"/>
            <w:tcBorders>
              <w:top w:val="single" w:sz="4" w:space="0" w:color="auto"/>
              <w:left w:val="single" w:sz="12" w:space="0" w:color="auto"/>
              <w:bottom w:val="single" w:sz="4" w:space="0" w:color="auto"/>
              <w:right w:val="single" w:sz="12" w:space="0" w:color="auto"/>
              <w:tl2br w:val="nil"/>
              <w:tr2bl w:val="nil"/>
            </w:tcBorders>
            <w:noWrap/>
            <w:textDirection w:val="lrTb"/>
            <w:vAlign w:val="center"/>
          </w:tcPr>
          <w:p w:rsidR="00D652EE" w:rsidRPr="00263BE8" w:rsidP="00C362EA">
            <w:pPr>
              <w:spacing w:line="240" w:lineRule="auto"/>
              <w:rPr>
                <w:rFonts w:ascii="Arial Narrow" w:hAnsi="Arial Narrow" w:cs="Times New Roman"/>
              </w:rPr>
            </w:pPr>
            <w:r w:rsidRPr="00263BE8">
              <w:rPr>
                <w:rFonts w:ascii="Arial Narrow" w:hAnsi="Arial Narrow" w:cs="Times New Roman"/>
              </w:rPr>
              <w:t>Trnava</w:t>
            </w:r>
          </w:p>
        </w:tc>
        <w:tc>
          <w:tcPr>
            <w:tcW w:w="720" w:type="dxa"/>
            <w:tcBorders>
              <w:top w:val="single" w:sz="4" w:space="0" w:color="auto"/>
              <w:left w:val="single" w:sz="12" w:space="0" w:color="auto"/>
              <w:bottom w:val="single" w:sz="4" w:space="0" w:color="auto"/>
              <w:right w:val="single" w:sz="4" w:space="0" w:color="auto"/>
              <w:tl2br w:val="nil"/>
              <w:tr2bl w:val="nil"/>
            </w:tcBorders>
            <w:textDirection w:val="lrTb"/>
            <w:vAlign w:val="center"/>
          </w:tcPr>
          <w:p w:rsidR="00D652EE" w:rsidRPr="00263BE8" w:rsidP="00C362EA">
            <w:pPr>
              <w:spacing w:line="240" w:lineRule="auto"/>
              <w:jc w:val="right"/>
              <w:rPr>
                <w:rFonts w:ascii="Arial Narrow" w:hAnsi="Arial Narrow" w:cs="Times New Roman"/>
              </w:rPr>
            </w:pPr>
            <w:r w:rsidR="007F2D6C">
              <w:rPr>
                <w:rFonts w:ascii="Arial Narrow" w:hAnsi="Arial Narrow" w:cs="Times New Roman"/>
              </w:rPr>
              <w:t>37</w:t>
            </w:r>
          </w:p>
        </w:tc>
        <w:tc>
          <w:tcPr>
            <w:tcW w:w="72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D652EE" w:rsidRPr="00263BE8" w:rsidP="00C362EA">
            <w:pPr>
              <w:spacing w:line="240" w:lineRule="auto"/>
              <w:jc w:val="right"/>
              <w:rPr>
                <w:rFonts w:ascii="Arial Narrow" w:hAnsi="Arial Narrow" w:cs="Times New Roman"/>
              </w:rPr>
            </w:pPr>
          </w:p>
        </w:tc>
        <w:tc>
          <w:tcPr>
            <w:tcW w:w="72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D652EE" w:rsidRPr="00263BE8" w:rsidP="00C362EA">
            <w:pPr>
              <w:spacing w:line="240" w:lineRule="auto"/>
              <w:jc w:val="right"/>
              <w:rPr>
                <w:rFonts w:ascii="Arial Narrow" w:hAnsi="Arial Narrow" w:cs="Times New Roman"/>
              </w:rPr>
            </w:pPr>
            <w:r w:rsidR="007F2D6C">
              <w:rPr>
                <w:rFonts w:ascii="Arial Narrow" w:hAnsi="Arial Narrow" w:cs="Times New Roman"/>
              </w:rPr>
              <w:t>4</w:t>
            </w:r>
          </w:p>
        </w:tc>
        <w:tc>
          <w:tcPr>
            <w:tcW w:w="720" w:type="dxa"/>
            <w:tcBorders>
              <w:top w:val="single" w:sz="4" w:space="0" w:color="auto"/>
              <w:left w:val="single" w:sz="4" w:space="0" w:color="auto"/>
              <w:bottom w:val="single" w:sz="4" w:space="0" w:color="auto"/>
              <w:right w:val="single" w:sz="12" w:space="0" w:color="auto"/>
              <w:tl2br w:val="nil"/>
              <w:tr2bl w:val="nil"/>
            </w:tcBorders>
            <w:textDirection w:val="lrTb"/>
            <w:vAlign w:val="center"/>
          </w:tcPr>
          <w:p w:rsidR="00D652EE" w:rsidRPr="00263BE8" w:rsidP="00C362EA">
            <w:pPr>
              <w:spacing w:line="240" w:lineRule="auto"/>
              <w:jc w:val="right"/>
              <w:rPr>
                <w:rFonts w:ascii="Arial Narrow" w:hAnsi="Arial Narrow" w:cs="Times New Roman"/>
              </w:rPr>
            </w:pPr>
            <w:r w:rsidR="007F2D6C">
              <w:rPr>
                <w:rFonts w:ascii="Arial Narrow" w:hAnsi="Arial Narrow" w:cs="Times New Roman"/>
              </w:rPr>
              <w:t>41</w:t>
            </w:r>
          </w:p>
        </w:tc>
        <w:tc>
          <w:tcPr>
            <w:tcW w:w="720" w:type="dxa"/>
            <w:tcBorders>
              <w:top w:val="single" w:sz="4" w:space="0" w:color="auto"/>
              <w:left w:val="single" w:sz="12" w:space="0" w:color="auto"/>
              <w:bottom w:val="single" w:sz="4" w:space="0" w:color="auto"/>
              <w:right w:val="single" w:sz="4" w:space="0" w:color="auto"/>
              <w:tl2br w:val="nil"/>
              <w:tr2bl w:val="nil"/>
            </w:tcBorders>
            <w:noWrap/>
            <w:textDirection w:val="lrTb"/>
            <w:vAlign w:val="center"/>
          </w:tcPr>
          <w:p w:rsidR="00D652EE" w:rsidRPr="00263BE8" w:rsidP="00C362EA">
            <w:pPr>
              <w:spacing w:line="240" w:lineRule="auto"/>
              <w:jc w:val="right"/>
              <w:rPr>
                <w:rFonts w:ascii="Arial Narrow" w:hAnsi="Arial Narrow" w:cs="Times New Roman"/>
              </w:rPr>
            </w:pPr>
            <w:r w:rsidRPr="00263BE8">
              <w:rPr>
                <w:rFonts w:ascii="Arial Narrow" w:hAnsi="Arial Narrow" w:cs="Times New Roman"/>
              </w:rPr>
              <w:t>37</w:t>
            </w:r>
          </w:p>
        </w:tc>
        <w:tc>
          <w:tcPr>
            <w:tcW w:w="707"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D652EE" w:rsidRPr="00263BE8" w:rsidP="00C362EA">
            <w:pPr>
              <w:spacing w:line="240" w:lineRule="auto"/>
              <w:rPr>
                <w:rFonts w:ascii="Arial Narrow" w:hAnsi="Arial Narrow" w:cs="Times New Roman"/>
              </w:rPr>
            </w:pPr>
            <w:r w:rsidRPr="00263BE8">
              <w:rPr>
                <w:rFonts w:ascii="Arial Narrow" w:hAnsi="Arial Narrow" w:cs="Times New Roman"/>
              </w:rPr>
              <w:t> </w:t>
            </w:r>
          </w:p>
        </w:tc>
        <w:tc>
          <w:tcPr>
            <w:tcW w:w="733"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D652EE" w:rsidRPr="00263BE8" w:rsidP="00C362EA">
            <w:pPr>
              <w:spacing w:line="240" w:lineRule="auto"/>
              <w:jc w:val="right"/>
              <w:rPr>
                <w:rFonts w:ascii="Arial Narrow" w:hAnsi="Arial Narrow" w:cs="Times New Roman"/>
              </w:rPr>
            </w:pPr>
            <w:r>
              <w:rPr>
                <w:rFonts w:ascii="Arial Narrow" w:hAnsi="Arial Narrow" w:cs="Times New Roman"/>
              </w:rPr>
              <w:t>4</w:t>
            </w:r>
          </w:p>
        </w:tc>
        <w:tc>
          <w:tcPr>
            <w:tcW w:w="720" w:type="dxa"/>
            <w:tcBorders>
              <w:top w:val="single" w:sz="4" w:space="0" w:color="auto"/>
              <w:left w:val="single" w:sz="4" w:space="0" w:color="auto"/>
              <w:bottom w:val="single" w:sz="4" w:space="0" w:color="auto"/>
              <w:right w:val="single" w:sz="12" w:space="0" w:color="auto"/>
              <w:tl2br w:val="nil"/>
              <w:tr2bl w:val="nil"/>
            </w:tcBorders>
            <w:noWrap/>
            <w:textDirection w:val="lrTb"/>
            <w:vAlign w:val="center"/>
          </w:tcPr>
          <w:p w:rsidR="00D652EE" w:rsidRPr="00263BE8" w:rsidP="00C362EA">
            <w:pPr>
              <w:spacing w:line="240" w:lineRule="auto"/>
              <w:jc w:val="right"/>
              <w:rPr>
                <w:rFonts w:ascii="Arial Narrow" w:hAnsi="Arial Narrow" w:cs="Times New Roman"/>
              </w:rPr>
            </w:pPr>
            <w:r>
              <w:rPr>
                <w:rFonts w:ascii="Arial Narrow" w:hAnsi="Arial Narrow" w:cs="Times New Roman"/>
              </w:rPr>
              <w:t>41</w:t>
            </w:r>
          </w:p>
        </w:tc>
        <w:tc>
          <w:tcPr>
            <w:tcW w:w="720" w:type="dxa"/>
            <w:tcBorders>
              <w:top w:val="single" w:sz="4" w:space="0" w:color="auto"/>
              <w:left w:val="single" w:sz="12" w:space="0" w:color="auto"/>
              <w:bottom w:val="single" w:sz="4" w:space="0" w:color="auto"/>
              <w:right w:val="single" w:sz="4" w:space="0" w:color="auto"/>
              <w:tl2br w:val="nil"/>
              <w:tr2bl w:val="nil"/>
            </w:tcBorders>
            <w:noWrap/>
            <w:textDirection w:val="lrTb"/>
            <w:vAlign w:val="center"/>
          </w:tcPr>
          <w:p w:rsidR="00D652EE" w:rsidRPr="00263BE8" w:rsidP="00C362EA">
            <w:pPr>
              <w:spacing w:line="240" w:lineRule="auto"/>
              <w:jc w:val="right"/>
              <w:rPr>
                <w:rFonts w:ascii="Arial Narrow" w:hAnsi="Arial Narrow" w:cs="Times New Roman"/>
              </w:rPr>
            </w:pPr>
            <w:r>
              <w:rPr>
                <w:rFonts w:ascii="Arial Narrow" w:hAnsi="Arial Narrow" w:cs="Times New Roman"/>
              </w:rPr>
              <w:t>3</w:t>
            </w:r>
            <w:r w:rsidR="00B527A8">
              <w:rPr>
                <w:rFonts w:ascii="Arial Narrow" w:hAnsi="Arial Narrow" w:cs="Times New Roman"/>
              </w:rPr>
              <w:t>5</w:t>
            </w:r>
          </w:p>
        </w:tc>
        <w:tc>
          <w:tcPr>
            <w:tcW w:w="72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D652EE" w:rsidRPr="00263BE8" w:rsidP="00C362EA">
            <w:pPr>
              <w:spacing w:line="240" w:lineRule="auto"/>
              <w:rPr>
                <w:rFonts w:ascii="Arial Narrow" w:hAnsi="Arial Narrow" w:cs="Times New Roman"/>
              </w:rPr>
            </w:pPr>
            <w:r w:rsidRPr="00263BE8">
              <w:rPr>
                <w:rFonts w:ascii="Arial Narrow" w:hAnsi="Arial Narrow" w:cs="Times New Roman"/>
              </w:rPr>
              <w:t> </w:t>
            </w:r>
          </w:p>
        </w:tc>
        <w:tc>
          <w:tcPr>
            <w:tcW w:w="72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D652EE" w:rsidRPr="00263BE8" w:rsidP="00C362EA">
            <w:pPr>
              <w:spacing w:line="240" w:lineRule="auto"/>
              <w:jc w:val="right"/>
              <w:rPr>
                <w:rFonts w:ascii="Arial Narrow" w:hAnsi="Arial Narrow" w:cs="Times New Roman"/>
              </w:rPr>
            </w:pPr>
            <w:r>
              <w:rPr>
                <w:rFonts w:ascii="Arial Narrow" w:hAnsi="Arial Narrow" w:cs="Times New Roman"/>
              </w:rPr>
              <w:t>4</w:t>
            </w:r>
          </w:p>
        </w:tc>
        <w:tc>
          <w:tcPr>
            <w:tcW w:w="720" w:type="dxa"/>
            <w:tcBorders>
              <w:top w:val="single" w:sz="4" w:space="0" w:color="auto"/>
              <w:left w:val="single" w:sz="4" w:space="0" w:color="auto"/>
              <w:bottom w:val="single" w:sz="4" w:space="0" w:color="auto"/>
              <w:right w:val="single" w:sz="12" w:space="0" w:color="auto"/>
              <w:tl2br w:val="nil"/>
              <w:tr2bl w:val="nil"/>
            </w:tcBorders>
            <w:noWrap/>
            <w:textDirection w:val="lrTb"/>
            <w:vAlign w:val="center"/>
          </w:tcPr>
          <w:p w:rsidR="00D652EE" w:rsidRPr="00263BE8" w:rsidP="00C362EA">
            <w:pPr>
              <w:spacing w:line="240" w:lineRule="auto"/>
              <w:jc w:val="right"/>
              <w:rPr>
                <w:rFonts w:ascii="Arial Narrow" w:hAnsi="Arial Narrow" w:cs="Times New Roman"/>
              </w:rPr>
            </w:pPr>
            <w:r w:rsidR="00B527A8">
              <w:rPr>
                <w:rFonts w:ascii="Arial Narrow" w:hAnsi="Arial Narrow" w:cs="Times New Roman"/>
              </w:rPr>
              <w:t>39</w:t>
            </w:r>
          </w:p>
        </w:tc>
      </w:tr>
      <w:tr>
        <w:tblPrEx>
          <w:tblW w:w="9735" w:type="dxa"/>
          <w:tblInd w:w="-110" w:type="dxa"/>
          <w:tblLayout w:type="fixed"/>
          <w:tblCellMar>
            <w:left w:w="70" w:type="dxa"/>
            <w:right w:w="70" w:type="dxa"/>
          </w:tblCellMar>
        </w:tblPrEx>
        <w:trPr>
          <w:trHeight w:val="259"/>
        </w:trPr>
        <w:tc>
          <w:tcPr>
            <w:tcW w:w="1095" w:type="dxa"/>
            <w:tcBorders>
              <w:top w:val="single" w:sz="4" w:space="0" w:color="auto"/>
              <w:left w:val="single" w:sz="12" w:space="0" w:color="auto"/>
              <w:bottom w:val="single" w:sz="4" w:space="0" w:color="auto"/>
              <w:right w:val="single" w:sz="12" w:space="0" w:color="auto"/>
              <w:tl2br w:val="nil"/>
              <w:tr2bl w:val="nil"/>
            </w:tcBorders>
            <w:noWrap/>
            <w:textDirection w:val="lrTb"/>
            <w:vAlign w:val="center"/>
          </w:tcPr>
          <w:p w:rsidR="00D652EE" w:rsidRPr="00263BE8" w:rsidP="00C362EA">
            <w:pPr>
              <w:spacing w:line="240" w:lineRule="auto"/>
              <w:rPr>
                <w:rFonts w:ascii="Arial Narrow" w:hAnsi="Arial Narrow" w:cs="Times New Roman"/>
              </w:rPr>
            </w:pPr>
            <w:r>
              <w:rPr>
                <w:rFonts w:ascii="Arial Narrow" w:hAnsi="Arial Narrow" w:cs="Times New Roman"/>
              </w:rPr>
              <w:t>Nitra</w:t>
            </w:r>
          </w:p>
        </w:tc>
        <w:tc>
          <w:tcPr>
            <w:tcW w:w="720" w:type="dxa"/>
            <w:tcBorders>
              <w:top w:val="single" w:sz="4" w:space="0" w:color="auto"/>
              <w:left w:val="single" w:sz="12" w:space="0" w:color="auto"/>
              <w:bottom w:val="single" w:sz="4" w:space="0" w:color="auto"/>
              <w:right w:val="single" w:sz="4" w:space="0" w:color="auto"/>
              <w:tl2br w:val="nil"/>
              <w:tr2bl w:val="nil"/>
            </w:tcBorders>
            <w:textDirection w:val="lrTb"/>
            <w:vAlign w:val="center"/>
          </w:tcPr>
          <w:p w:rsidR="00D652EE" w:rsidP="00C362EA">
            <w:pPr>
              <w:spacing w:line="240" w:lineRule="auto"/>
              <w:jc w:val="right"/>
              <w:rPr>
                <w:rFonts w:ascii="Arial Narrow" w:hAnsi="Arial Narrow" w:cs="Times New Roman"/>
              </w:rPr>
            </w:pPr>
            <w:r w:rsidR="007F2D6C">
              <w:rPr>
                <w:rFonts w:ascii="Arial Narrow" w:hAnsi="Arial Narrow" w:cs="Times New Roman"/>
              </w:rPr>
              <w:t>43</w:t>
            </w:r>
          </w:p>
        </w:tc>
        <w:tc>
          <w:tcPr>
            <w:tcW w:w="72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D652EE" w:rsidP="00C362EA">
            <w:pPr>
              <w:spacing w:line="240" w:lineRule="auto"/>
              <w:jc w:val="right"/>
              <w:rPr>
                <w:rFonts w:ascii="Arial Narrow" w:hAnsi="Arial Narrow" w:cs="Times New Roman"/>
              </w:rPr>
            </w:pPr>
          </w:p>
        </w:tc>
        <w:tc>
          <w:tcPr>
            <w:tcW w:w="72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D652EE" w:rsidP="00C362EA">
            <w:pPr>
              <w:spacing w:line="240" w:lineRule="auto"/>
              <w:jc w:val="right"/>
              <w:rPr>
                <w:rFonts w:ascii="Arial Narrow" w:hAnsi="Arial Narrow" w:cs="Times New Roman"/>
              </w:rPr>
            </w:pPr>
            <w:r w:rsidR="007F2D6C">
              <w:rPr>
                <w:rFonts w:ascii="Arial Narrow" w:hAnsi="Arial Narrow" w:cs="Times New Roman"/>
              </w:rPr>
              <w:t>5</w:t>
            </w:r>
          </w:p>
        </w:tc>
        <w:tc>
          <w:tcPr>
            <w:tcW w:w="720" w:type="dxa"/>
            <w:tcBorders>
              <w:top w:val="single" w:sz="4" w:space="0" w:color="auto"/>
              <w:left w:val="single" w:sz="4" w:space="0" w:color="auto"/>
              <w:bottom w:val="single" w:sz="4" w:space="0" w:color="auto"/>
              <w:right w:val="single" w:sz="12" w:space="0" w:color="auto"/>
              <w:tl2br w:val="nil"/>
              <w:tr2bl w:val="nil"/>
            </w:tcBorders>
            <w:textDirection w:val="lrTb"/>
            <w:vAlign w:val="center"/>
          </w:tcPr>
          <w:p w:rsidR="00D652EE" w:rsidP="00C362EA">
            <w:pPr>
              <w:spacing w:line="240" w:lineRule="auto"/>
              <w:jc w:val="right"/>
              <w:rPr>
                <w:rFonts w:ascii="Arial Narrow" w:hAnsi="Arial Narrow" w:cs="Times New Roman"/>
              </w:rPr>
            </w:pPr>
            <w:r w:rsidR="007F2D6C">
              <w:rPr>
                <w:rFonts w:ascii="Arial Narrow" w:hAnsi="Arial Narrow" w:cs="Times New Roman"/>
              </w:rPr>
              <w:t>48</w:t>
            </w:r>
          </w:p>
        </w:tc>
        <w:tc>
          <w:tcPr>
            <w:tcW w:w="720" w:type="dxa"/>
            <w:tcBorders>
              <w:top w:val="single" w:sz="4" w:space="0" w:color="auto"/>
              <w:left w:val="single" w:sz="12" w:space="0" w:color="auto"/>
              <w:bottom w:val="single" w:sz="4" w:space="0" w:color="auto"/>
              <w:right w:val="single" w:sz="4" w:space="0" w:color="auto"/>
              <w:tl2br w:val="nil"/>
              <w:tr2bl w:val="nil"/>
            </w:tcBorders>
            <w:noWrap/>
            <w:textDirection w:val="lrTb"/>
            <w:vAlign w:val="center"/>
          </w:tcPr>
          <w:p w:rsidR="00D652EE" w:rsidRPr="00263BE8" w:rsidP="00C362EA">
            <w:pPr>
              <w:spacing w:line="240" w:lineRule="auto"/>
              <w:jc w:val="right"/>
              <w:rPr>
                <w:rFonts w:ascii="Arial Narrow" w:hAnsi="Arial Narrow" w:cs="Times New Roman"/>
              </w:rPr>
            </w:pPr>
            <w:r>
              <w:rPr>
                <w:rFonts w:ascii="Arial Narrow" w:hAnsi="Arial Narrow" w:cs="Times New Roman"/>
              </w:rPr>
              <w:t>43</w:t>
            </w:r>
          </w:p>
        </w:tc>
        <w:tc>
          <w:tcPr>
            <w:tcW w:w="707"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D652EE" w:rsidRPr="00263BE8" w:rsidP="00C362EA">
            <w:pPr>
              <w:spacing w:line="240" w:lineRule="auto"/>
              <w:rPr>
                <w:rFonts w:ascii="Arial Narrow" w:hAnsi="Arial Narrow" w:cs="Times New Roman"/>
              </w:rPr>
            </w:pPr>
            <w:r w:rsidRPr="00263BE8">
              <w:rPr>
                <w:rFonts w:ascii="Arial Narrow" w:hAnsi="Arial Narrow" w:cs="Times New Roman"/>
              </w:rPr>
              <w:t> </w:t>
            </w:r>
          </w:p>
        </w:tc>
        <w:tc>
          <w:tcPr>
            <w:tcW w:w="733"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D652EE" w:rsidRPr="00263BE8" w:rsidP="00C362EA">
            <w:pPr>
              <w:spacing w:line="240" w:lineRule="auto"/>
              <w:jc w:val="right"/>
              <w:rPr>
                <w:rFonts w:ascii="Arial Narrow" w:hAnsi="Arial Narrow" w:cs="Times New Roman"/>
              </w:rPr>
            </w:pPr>
            <w:r>
              <w:rPr>
                <w:rFonts w:ascii="Arial Narrow" w:hAnsi="Arial Narrow" w:cs="Times New Roman"/>
              </w:rPr>
              <w:t>5</w:t>
            </w:r>
          </w:p>
        </w:tc>
        <w:tc>
          <w:tcPr>
            <w:tcW w:w="720" w:type="dxa"/>
            <w:tcBorders>
              <w:top w:val="single" w:sz="4" w:space="0" w:color="auto"/>
              <w:left w:val="single" w:sz="4" w:space="0" w:color="auto"/>
              <w:bottom w:val="single" w:sz="4" w:space="0" w:color="auto"/>
              <w:right w:val="single" w:sz="12" w:space="0" w:color="auto"/>
              <w:tl2br w:val="nil"/>
              <w:tr2bl w:val="nil"/>
            </w:tcBorders>
            <w:noWrap/>
            <w:textDirection w:val="lrTb"/>
            <w:vAlign w:val="center"/>
          </w:tcPr>
          <w:p w:rsidR="00D652EE" w:rsidRPr="00263BE8" w:rsidP="00C362EA">
            <w:pPr>
              <w:spacing w:line="240" w:lineRule="auto"/>
              <w:jc w:val="right"/>
              <w:rPr>
                <w:rFonts w:ascii="Arial Narrow" w:hAnsi="Arial Narrow" w:cs="Times New Roman"/>
              </w:rPr>
            </w:pPr>
            <w:r>
              <w:rPr>
                <w:rFonts w:ascii="Arial Narrow" w:hAnsi="Arial Narrow" w:cs="Times New Roman"/>
              </w:rPr>
              <w:t>48</w:t>
            </w:r>
          </w:p>
        </w:tc>
        <w:tc>
          <w:tcPr>
            <w:tcW w:w="720" w:type="dxa"/>
            <w:tcBorders>
              <w:top w:val="single" w:sz="4" w:space="0" w:color="auto"/>
              <w:left w:val="single" w:sz="12" w:space="0" w:color="auto"/>
              <w:bottom w:val="single" w:sz="4" w:space="0" w:color="auto"/>
              <w:right w:val="single" w:sz="4" w:space="0" w:color="auto"/>
              <w:tl2br w:val="nil"/>
              <w:tr2bl w:val="nil"/>
            </w:tcBorders>
            <w:noWrap/>
            <w:textDirection w:val="lrTb"/>
            <w:vAlign w:val="center"/>
          </w:tcPr>
          <w:p w:rsidR="00D652EE" w:rsidRPr="00263BE8" w:rsidP="00C362EA">
            <w:pPr>
              <w:spacing w:line="240" w:lineRule="auto"/>
              <w:jc w:val="right"/>
              <w:rPr>
                <w:rFonts w:ascii="Arial Narrow" w:hAnsi="Arial Narrow" w:cs="Times New Roman"/>
              </w:rPr>
            </w:pPr>
            <w:r>
              <w:rPr>
                <w:rFonts w:ascii="Arial Narrow" w:hAnsi="Arial Narrow" w:cs="Times New Roman"/>
              </w:rPr>
              <w:t>42</w:t>
            </w:r>
          </w:p>
        </w:tc>
        <w:tc>
          <w:tcPr>
            <w:tcW w:w="72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D652EE" w:rsidRPr="00263BE8" w:rsidP="00C362EA">
            <w:pPr>
              <w:spacing w:line="240" w:lineRule="auto"/>
              <w:rPr>
                <w:rFonts w:ascii="Arial Narrow" w:hAnsi="Arial Narrow" w:cs="Times New Roman"/>
              </w:rPr>
            </w:pPr>
            <w:r w:rsidRPr="00263BE8">
              <w:rPr>
                <w:rFonts w:ascii="Arial Narrow" w:hAnsi="Arial Narrow" w:cs="Times New Roman"/>
              </w:rPr>
              <w:t> </w:t>
            </w:r>
          </w:p>
        </w:tc>
        <w:tc>
          <w:tcPr>
            <w:tcW w:w="72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D652EE" w:rsidRPr="00263BE8" w:rsidP="00C362EA">
            <w:pPr>
              <w:spacing w:line="240" w:lineRule="auto"/>
              <w:jc w:val="right"/>
              <w:rPr>
                <w:rFonts w:ascii="Arial Narrow" w:hAnsi="Arial Narrow" w:cs="Times New Roman"/>
              </w:rPr>
            </w:pPr>
            <w:r w:rsidR="00B527A8">
              <w:rPr>
                <w:rFonts w:ascii="Arial Narrow" w:hAnsi="Arial Narrow" w:cs="Times New Roman"/>
              </w:rPr>
              <w:t>3</w:t>
            </w:r>
          </w:p>
        </w:tc>
        <w:tc>
          <w:tcPr>
            <w:tcW w:w="720" w:type="dxa"/>
            <w:tcBorders>
              <w:top w:val="single" w:sz="4" w:space="0" w:color="auto"/>
              <w:left w:val="single" w:sz="4" w:space="0" w:color="auto"/>
              <w:bottom w:val="single" w:sz="4" w:space="0" w:color="auto"/>
              <w:right w:val="single" w:sz="12" w:space="0" w:color="auto"/>
              <w:tl2br w:val="nil"/>
              <w:tr2bl w:val="nil"/>
            </w:tcBorders>
            <w:noWrap/>
            <w:textDirection w:val="lrTb"/>
            <w:vAlign w:val="center"/>
          </w:tcPr>
          <w:p w:rsidR="00D652EE" w:rsidRPr="00263BE8" w:rsidP="00C362EA">
            <w:pPr>
              <w:spacing w:line="240" w:lineRule="auto"/>
              <w:jc w:val="right"/>
              <w:rPr>
                <w:rFonts w:ascii="Arial Narrow" w:hAnsi="Arial Narrow" w:cs="Times New Roman"/>
              </w:rPr>
            </w:pPr>
            <w:r w:rsidRPr="00263BE8">
              <w:rPr>
                <w:rFonts w:ascii="Arial Narrow" w:hAnsi="Arial Narrow" w:cs="Times New Roman"/>
              </w:rPr>
              <w:t>4</w:t>
            </w:r>
            <w:r w:rsidR="00B527A8">
              <w:rPr>
                <w:rFonts w:ascii="Arial Narrow" w:hAnsi="Arial Narrow" w:cs="Times New Roman"/>
              </w:rPr>
              <w:t>5</w:t>
            </w:r>
          </w:p>
        </w:tc>
      </w:tr>
      <w:tr>
        <w:tblPrEx>
          <w:tblW w:w="9735" w:type="dxa"/>
          <w:tblInd w:w="-110" w:type="dxa"/>
          <w:tblLayout w:type="fixed"/>
          <w:tblCellMar>
            <w:left w:w="70" w:type="dxa"/>
            <w:right w:w="70" w:type="dxa"/>
          </w:tblCellMar>
        </w:tblPrEx>
        <w:trPr>
          <w:trHeight w:val="259"/>
        </w:trPr>
        <w:tc>
          <w:tcPr>
            <w:tcW w:w="1095" w:type="dxa"/>
            <w:tcBorders>
              <w:top w:val="single" w:sz="4" w:space="0" w:color="auto"/>
              <w:left w:val="single" w:sz="12" w:space="0" w:color="auto"/>
              <w:bottom w:val="single" w:sz="4" w:space="0" w:color="auto"/>
              <w:right w:val="single" w:sz="12" w:space="0" w:color="auto"/>
              <w:tl2br w:val="nil"/>
              <w:tr2bl w:val="nil"/>
            </w:tcBorders>
            <w:noWrap/>
            <w:textDirection w:val="lrTb"/>
            <w:vAlign w:val="center"/>
          </w:tcPr>
          <w:p w:rsidR="00D652EE" w:rsidRPr="00263BE8" w:rsidP="00C362EA">
            <w:pPr>
              <w:spacing w:line="240" w:lineRule="auto"/>
              <w:rPr>
                <w:rFonts w:ascii="Arial Narrow" w:hAnsi="Arial Narrow" w:cs="Times New Roman"/>
              </w:rPr>
            </w:pPr>
            <w:r>
              <w:rPr>
                <w:rFonts w:ascii="Arial Narrow" w:hAnsi="Arial Narrow" w:cs="Times New Roman"/>
              </w:rPr>
              <w:t>Trenčín</w:t>
            </w:r>
          </w:p>
        </w:tc>
        <w:tc>
          <w:tcPr>
            <w:tcW w:w="720" w:type="dxa"/>
            <w:tcBorders>
              <w:top w:val="single" w:sz="4" w:space="0" w:color="auto"/>
              <w:left w:val="single" w:sz="12" w:space="0" w:color="auto"/>
              <w:bottom w:val="single" w:sz="4" w:space="0" w:color="auto"/>
              <w:right w:val="single" w:sz="4" w:space="0" w:color="auto"/>
              <w:tl2br w:val="nil"/>
              <w:tr2bl w:val="nil"/>
            </w:tcBorders>
            <w:textDirection w:val="lrTb"/>
            <w:vAlign w:val="center"/>
          </w:tcPr>
          <w:p w:rsidR="00D652EE" w:rsidP="00C362EA">
            <w:pPr>
              <w:spacing w:line="240" w:lineRule="auto"/>
              <w:jc w:val="right"/>
              <w:rPr>
                <w:rFonts w:ascii="Arial Narrow" w:hAnsi="Arial Narrow" w:cs="Times New Roman"/>
              </w:rPr>
            </w:pPr>
            <w:r w:rsidR="007F2D6C">
              <w:rPr>
                <w:rFonts w:ascii="Arial Narrow" w:hAnsi="Arial Narrow" w:cs="Times New Roman"/>
              </w:rPr>
              <w:t>40</w:t>
            </w:r>
          </w:p>
        </w:tc>
        <w:tc>
          <w:tcPr>
            <w:tcW w:w="72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D652EE" w:rsidP="00C362EA">
            <w:pPr>
              <w:spacing w:line="240" w:lineRule="auto"/>
              <w:jc w:val="right"/>
              <w:rPr>
                <w:rFonts w:ascii="Arial Narrow" w:hAnsi="Arial Narrow" w:cs="Times New Roman"/>
              </w:rPr>
            </w:pPr>
          </w:p>
        </w:tc>
        <w:tc>
          <w:tcPr>
            <w:tcW w:w="72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D652EE" w:rsidP="00C362EA">
            <w:pPr>
              <w:spacing w:line="240" w:lineRule="auto"/>
              <w:jc w:val="right"/>
              <w:rPr>
                <w:rFonts w:ascii="Arial Narrow" w:hAnsi="Arial Narrow" w:cs="Times New Roman"/>
              </w:rPr>
            </w:pPr>
            <w:r w:rsidR="007F2D6C">
              <w:rPr>
                <w:rFonts w:ascii="Arial Narrow" w:hAnsi="Arial Narrow" w:cs="Times New Roman"/>
              </w:rPr>
              <w:t>3</w:t>
            </w:r>
          </w:p>
        </w:tc>
        <w:tc>
          <w:tcPr>
            <w:tcW w:w="720" w:type="dxa"/>
            <w:tcBorders>
              <w:top w:val="single" w:sz="4" w:space="0" w:color="auto"/>
              <w:left w:val="single" w:sz="4" w:space="0" w:color="auto"/>
              <w:bottom w:val="single" w:sz="4" w:space="0" w:color="auto"/>
              <w:right w:val="single" w:sz="12" w:space="0" w:color="auto"/>
              <w:tl2br w:val="nil"/>
              <w:tr2bl w:val="nil"/>
            </w:tcBorders>
            <w:textDirection w:val="lrTb"/>
            <w:vAlign w:val="center"/>
          </w:tcPr>
          <w:p w:rsidR="00D652EE" w:rsidP="00C362EA">
            <w:pPr>
              <w:spacing w:line="240" w:lineRule="auto"/>
              <w:jc w:val="right"/>
              <w:rPr>
                <w:rFonts w:ascii="Arial Narrow" w:hAnsi="Arial Narrow" w:cs="Times New Roman"/>
              </w:rPr>
            </w:pPr>
            <w:r w:rsidR="007F2D6C">
              <w:rPr>
                <w:rFonts w:ascii="Arial Narrow" w:hAnsi="Arial Narrow" w:cs="Times New Roman"/>
              </w:rPr>
              <w:t>43</w:t>
            </w:r>
          </w:p>
        </w:tc>
        <w:tc>
          <w:tcPr>
            <w:tcW w:w="720" w:type="dxa"/>
            <w:tcBorders>
              <w:top w:val="single" w:sz="4" w:space="0" w:color="auto"/>
              <w:left w:val="single" w:sz="12" w:space="0" w:color="auto"/>
              <w:bottom w:val="single" w:sz="4" w:space="0" w:color="auto"/>
              <w:right w:val="single" w:sz="4" w:space="0" w:color="auto"/>
              <w:tl2br w:val="nil"/>
              <w:tr2bl w:val="nil"/>
            </w:tcBorders>
            <w:noWrap/>
            <w:textDirection w:val="lrTb"/>
            <w:vAlign w:val="center"/>
          </w:tcPr>
          <w:p w:rsidR="00D652EE" w:rsidRPr="00263BE8" w:rsidP="00C362EA">
            <w:pPr>
              <w:spacing w:line="240" w:lineRule="auto"/>
              <w:jc w:val="right"/>
              <w:rPr>
                <w:rFonts w:ascii="Arial Narrow" w:hAnsi="Arial Narrow" w:cs="Times New Roman"/>
              </w:rPr>
            </w:pPr>
            <w:r>
              <w:rPr>
                <w:rFonts w:ascii="Arial Narrow" w:hAnsi="Arial Narrow" w:cs="Times New Roman"/>
              </w:rPr>
              <w:t>40</w:t>
            </w:r>
          </w:p>
        </w:tc>
        <w:tc>
          <w:tcPr>
            <w:tcW w:w="707"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D652EE" w:rsidRPr="00263BE8" w:rsidP="00C362EA">
            <w:pPr>
              <w:spacing w:line="240" w:lineRule="auto"/>
              <w:rPr>
                <w:rFonts w:ascii="Arial Narrow" w:hAnsi="Arial Narrow" w:cs="Times New Roman"/>
              </w:rPr>
            </w:pPr>
            <w:r w:rsidRPr="00263BE8">
              <w:rPr>
                <w:rFonts w:ascii="Arial Narrow" w:hAnsi="Arial Narrow" w:cs="Times New Roman"/>
              </w:rPr>
              <w:t> </w:t>
            </w:r>
          </w:p>
        </w:tc>
        <w:tc>
          <w:tcPr>
            <w:tcW w:w="733"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D652EE" w:rsidRPr="00263BE8" w:rsidP="00C362EA">
            <w:pPr>
              <w:spacing w:line="240" w:lineRule="auto"/>
              <w:jc w:val="right"/>
              <w:rPr>
                <w:rFonts w:ascii="Arial Narrow" w:hAnsi="Arial Narrow" w:cs="Times New Roman"/>
              </w:rPr>
            </w:pPr>
            <w:r w:rsidRPr="00263BE8">
              <w:rPr>
                <w:rFonts w:ascii="Arial Narrow" w:hAnsi="Arial Narrow" w:cs="Times New Roman"/>
              </w:rPr>
              <w:t>3</w:t>
            </w:r>
          </w:p>
        </w:tc>
        <w:tc>
          <w:tcPr>
            <w:tcW w:w="720" w:type="dxa"/>
            <w:tcBorders>
              <w:top w:val="single" w:sz="4" w:space="0" w:color="auto"/>
              <w:left w:val="single" w:sz="4" w:space="0" w:color="auto"/>
              <w:bottom w:val="single" w:sz="4" w:space="0" w:color="auto"/>
              <w:right w:val="single" w:sz="12" w:space="0" w:color="auto"/>
              <w:tl2br w:val="nil"/>
              <w:tr2bl w:val="nil"/>
            </w:tcBorders>
            <w:noWrap/>
            <w:textDirection w:val="lrTb"/>
            <w:vAlign w:val="center"/>
          </w:tcPr>
          <w:p w:rsidR="00D652EE" w:rsidRPr="00263BE8" w:rsidP="00C362EA">
            <w:pPr>
              <w:spacing w:line="240" w:lineRule="auto"/>
              <w:jc w:val="right"/>
              <w:rPr>
                <w:rFonts w:ascii="Arial Narrow" w:hAnsi="Arial Narrow" w:cs="Times New Roman"/>
              </w:rPr>
            </w:pPr>
            <w:r>
              <w:rPr>
                <w:rFonts w:ascii="Arial Narrow" w:hAnsi="Arial Narrow" w:cs="Times New Roman"/>
              </w:rPr>
              <w:t>43</w:t>
            </w:r>
          </w:p>
        </w:tc>
        <w:tc>
          <w:tcPr>
            <w:tcW w:w="720" w:type="dxa"/>
            <w:tcBorders>
              <w:top w:val="single" w:sz="4" w:space="0" w:color="auto"/>
              <w:left w:val="single" w:sz="12" w:space="0" w:color="auto"/>
              <w:bottom w:val="single" w:sz="4" w:space="0" w:color="auto"/>
              <w:right w:val="single" w:sz="4" w:space="0" w:color="auto"/>
              <w:tl2br w:val="nil"/>
              <w:tr2bl w:val="nil"/>
            </w:tcBorders>
            <w:noWrap/>
            <w:textDirection w:val="lrTb"/>
            <w:vAlign w:val="center"/>
          </w:tcPr>
          <w:p w:rsidR="00D652EE" w:rsidRPr="00263BE8" w:rsidP="00C362EA">
            <w:pPr>
              <w:spacing w:line="240" w:lineRule="auto"/>
              <w:jc w:val="right"/>
              <w:rPr>
                <w:rFonts w:ascii="Arial Narrow" w:hAnsi="Arial Narrow" w:cs="Times New Roman"/>
              </w:rPr>
            </w:pPr>
            <w:r>
              <w:rPr>
                <w:rFonts w:ascii="Arial Narrow" w:hAnsi="Arial Narrow" w:cs="Times New Roman"/>
              </w:rPr>
              <w:t>37</w:t>
            </w:r>
          </w:p>
        </w:tc>
        <w:tc>
          <w:tcPr>
            <w:tcW w:w="72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D652EE" w:rsidRPr="00263BE8" w:rsidP="00C362EA">
            <w:pPr>
              <w:spacing w:line="240" w:lineRule="auto"/>
              <w:rPr>
                <w:rFonts w:ascii="Arial Narrow" w:hAnsi="Arial Narrow" w:cs="Times New Roman"/>
              </w:rPr>
            </w:pPr>
            <w:r w:rsidRPr="00263BE8">
              <w:rPr>
                <w:rFonts w:ascii="Arial Narrow" w:hAnsi="Arial Narrow" w:cs="Times New Roman"/>
              </w:rPr>
              <w:t> </w:t>
            </w:r>
          </w:p>
        </w:tc>
        <w:tc>
          <w:tcPr>
            <w:tcW w:w="72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D652EE" w:rsidRPr="00263BE8" w:rsidP="00C362EA">
            <w:pPr>
              <w:spacing w:line="240" w:lineRule="auto"/>
              <w:jc w:val="right"/>
              <w:rPr>
                <w:rFonts w:ascii="Arial Narrow" w:hAnsi="Arial Narrow" w:cs="Times New Roman"/>
              </w:rPr>
            </w:pPr>
            <w:r>
              <w:rPr>
                <w:rFonts w:ascii="Arial Narrow" w:hAnsi="Arial Narrow" w:cs="Times New Roman"/>
              </w:rPr>
              <w:t>3</w:t>
            </w:r>
          </w:p>
        </w:tc>
        <w:tc>
          <w:tcPr>
            <w:tcW w:w="720" w:type="dxa"/>
            <w:tcBorders>
              <w:top w:val="single" w:sz="4" w:space="0" w:color="auto"/>
              <w:left w:val="single" w:sz="4" w:space="0" w:color="auto"/>
              <w:bottom w:val="single" w:sz="4" w:space="0" w:color="auto"/>
              <w:right w:val="single" w:sz="12" w:space="0" w:color="auto"/>
              <w:tl2br w:val="nil"/>
              <w:tr2bl w:val="nil"/>
            </w:tcBorders>
            <w:noWrap/>
            <w:textDirection w:val="lrTb"/>
            <w:vAlign w:val="center"/>
          </w:tcPr>
          <w:p w:rsidR="00D652EE" w:rsidRPr="00263BE8" w:rsidP="00C362EA">
            <w:pPr>
              <w:spacing w:line="240" w:lineRule="auto"/>
              <w:jc w:val="right"/>
              <w:rPr>
                <w:rFonts w:ascii="Arial Narrow" w:hAnsi="Arial Narrow" w:cs="Times New Roman"/>
              </w:rPr>
            </w:pPr>
            <w:r>
              <w:rPr>
                <w:rFonts w:ascii="Arial Narrow" w:hAnsi="Arial Narrow" w:cs="Times New Roman"/>
              </w:rPr>
              <w:t>40</w:t>
            </w:r>
          </w:p>
        </w:tc>
      </w:tr>
      <w:tr>
        <w:tblPrEx>
          <w:tblW w:w="9735" w:type="dxa"/>
          <w:tblInd w:w="-110" w:type="dxa"/>
          <w:tblLayout w:type="fixed"/>
          <w:tblCellMar>
            <w:left w:w="70" w:type="dxa"/>
            <w:right w:w="70" w:type="dxa"/>
          </w:tblCellMar>
        </w:tblPrEx>
        <w:trPr>
          <w:trHeight w:val="259"/>
        </w:trPr>
        <w:tc>
          <w:tcPr>
            <w:tcW w:w="1095" w:type="dxa"/>
            <w:tcBorders>
              <w:top w:val="single" w:sz="4" w:space="0" w:color="auto"/>
              <w:left w:val="single" w:sz="12" w:space="0" w:color="auto"/>
              <w:bottom w:val="single" w:sz="4" w:space="0" w:color="auto"/>
              <w:right w:val="single" w:sz="12" w:space="0" w:color="auto"/>
              <w:tl2br w:val="nil"/>
              <w:tr2bl w:val="nil"/>
            </w:tcBorders>
            <w:noWrap/>
            <w:textDirection w:val="lrTb"/>
            <w:vAlign w:val="center"/>
          </w:tcPr>
          <w:p w:rsidR="00D652EE" w:rsidRPr="00263BE8" w:rsidP="00C362EA">
            <w:pPr>
              <w:spacing w:line="240" w:lineRule="auto"/>
              <w:rPr>
                <w:rFonts w:ascii="Arial Narrow" w:hAnsi="Arial Narrow" w:cs="Times New Roman"/>
              </w:rPr>
            </w:pPr>
            <w:r>
              <w:rPr>
                <w:rFonts w:ascii="Arial Narrow" w:hAnsi="Arial Narrow" w:cs="Times New Roman"/>
              </w:rPr>
              <w:t>B. Bystrica</w:t>
            </w:r>
          </w:p>
        </w:tc>
        <w:tc>
          <w:tcPr>
            <w:tcW w:w="720" w:type="dxa"/>
            <w:tcBorders>
              <w:top w:val="single" w:sz="4" w:space="0" w:color="auto"/>
              <w:left w:val="single" w:sz="12" w:space="0" w:color="auto"/>
              <w:bottom w:val="single" w:sz="4" w:space="0" w:color="auto"/>
              <w:right w:val="single" w:sz="4" w:space="0" w:color="auto"/>
              <w:tl2br w:val="nil"/>
              <w:tr2bl w:val="nil"/>
            </w:tcBorders>
            <w:textDirection w:val="lrTb"/>
            <w:vAlign w:val="center"/>
          </w:tcPr>
          <w:p w:rsidR="00D652EE" w:rsidP="00C362EA">
            <w:pPr>
              <w:spacing w:line="240" w:lineRule="auto"/>
              <w:jc w:val="right"/>
              <w:rPr>
                <w:rFonts w:ascii="Arial Narrow" w:hAnsi="Arial Narrow" w:cs="Times New Roman"/>
              </w:rPr>
            </w:pPr>
            <w:r w:rsidR="007F2D6C">
              <w:rPr>
                <w:rFonts w:ascii="Arial Narrow" w:hAnsi="Arial Narrow" w:cs="Times New Roman"/>
              </w:rPr>
              <w:t>54</w:t>
            </w:r>
          </w:p>
        </w:tc>
        <w:tc>
          <w:tcPr>
            <w:tcW w:w="72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D652EE" w:rsidP="00C362EA">
            <w:pPr>
              <w:spacing w:line="240" w:lineRule="auto"/>
              <w:jc w:val="right"/>
              <w:rPr>
                <w:rFonts w:ascii="Arial Narrow" w:hAnsi="Arial Narrow" w:cs="Times New Roman"/>
              </w:rPr>
            </w:pPr>
          </w:p>
        </w:tc>
        <w:tc>
          <w:tcPr>
            <w:tcW w:w="72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D652EE" w:rsidP="00C362EA">
            <w:pPr>
              <w:spacing w:line="240" w:lineRule="auto"/>
              <w:jc w:val="right"/>
              <w:rPr>
                <w:rFonts w:ascii="Arial Narrow" w:hAnsi="Arial Narrow" w:cs="Times New Roman"/>
              </w:rPr>
            </w:pPr>
            <w:r w:rsidR="007F2D6C">
              <w:rPr>
                <w:rFonts w:ascii="Arial Narrow" w:hAnsi="Arial Narrow" w:cs="Times New Roman"/>
              </w:rPr>
              <w:t>4</w:t>
            </w:r>
          </w:p>
        </w:tc>
        <w:tc>
          <w:tcPr>
            <w:tcW w:w="720" w:type="dxa"/>
            <w:tcBorders>
              <w:top w:val="single" w:sz="4" w:space="0" w:color="auto"/>
              <w:left w:val="single" w:sz="4" w:space="0" w:color="auto"/>
              <w:bottom w:val="single" w:sz="4" w:space="0" w:color="auto"/>
              <w:right w:val="single" w:sz="12" w:space="0" w:color="auto"/>
              <w:tl2br w:val="nil"/>
              <w:tr2bl w:val="nil"/>
            </w:tcBorders>
            <w:textDirection w:val="lrTb"/>
            <w:vAlign w:val="center"/>
          </w:tcPr>
          <w:p w:rsidR="00D652EE" w:rsidP="00C362EA">
            <w:pPr>
              <w:spacing w:line="240" w:lineRule="auto"/>
              <w:jc w:val="right"/>
              <w:rPr>
                <w:rFonts w:ascii="Arial Narrow" w:hAnsi="Arial Narrow" w:cs="Times New Roman"/>
              </w:rPr>
            </w:pPr>
            <w:r w:rsidR="007F2D6C">
              <w:rPr>
                <w:rFonts w:ascii="Arial Narrow" w:hAnsi="Arial Narrow" w:cs="Times New Roman"/>
              </w:rPr>
              <w:t>58</w:t>
            </w:r>
          </w:p>
        </w:tc>
        <w:tc>
          <w:tcPr>
            <w:tcW w:w="720" w:type="dxa"/>
            <w:tcBorders>
              <w:top w:val="single" w:sz="4" w:space="0" w:color="auto"/>
              <w:left w:val="single" w:sz="12" w:space="0" w:color="auto"/>
              <w:bottom w:val="single" w:sz="4" w:space="0" w:color="auto"/>
              <w:right w:val="single" w:sz="4" w:space="0" w:color="auto"/>
              <w:tl2br w:val="nil"/>
              <w:tr2bl w:val="nil"/>
            </w:tcBorders>
            <w:noWrap/>
            <w:textDirection w:val="lrTb"/>
            <w:vAlign w:val="center"/>
          </w:tcPr>
          <w:p w:rsidR="00D652EE" w:rsidRPr="00263BE8" w:rsidP="00C362EA">
            <w:pPr>
              <w:spacing w:line="240" w:lineRule="auto"/>
              <w:jc w:val="right"/>
              <w:rPr>
                <w:rFonts w:ascii="Arial Narrow" w:hAnsi="Arial Narrow" w:cs="Times New Roman"/>
              </w:rPr>
            </w:pPr>
            <w:r>
              <w:rPr>
                <w:rFonts w:ascii="Arial Narrow" w:hAnsi="Arial Narrow" w:cs="Times New Roman"/>
              </w:rPr>
              <w:t>54</w:t>
            </w:r>
          </w:p>
        </w:tc>
        <w:tc>
          <w:tcPr>
            <w:tcW w:w="707"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D652EE" w:rsidRPr="00263BE8" w:rsidP="00C362EA">
            <w:pPr>
              <w:spacing w:line="240" w:lineRule="auto"/>
              <w:rPr>
                <w:rFonts w:ascii="Arial Narrow" w:hAnsi="Arial Narrow" w:cs="Times New Roman"/>
              </w:rPr>
            </w:pPr>
            <w:r w:rsidRPr="00263BE8">
              <w:rPr>
                <w:rFonts w:ascii="Arial Narrow" w:hAnsi="Arial Narrow" w:cs="Times New Roman"/>
              </w:rPr>
              <w:t> </w:t>
            </w:r>
          </w:p>
        </w:tc>
        <w:tc>
          <w:tcPr>
            <w:tcW w:w="733"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D652EE" w:rsidRPr="00263BE8" w:rsidP="00C362EA">
            <w:pPr>
              <w:spacing w:line="240" w:lineRule="auto"/>
              <w:jc w:val="right"/>
              <w:rPr>
                <w:rFonts w:ascii="Arial Narrow" w:hAnsi="Arial Narrow" w:cs="Times New Roman"/>
              </w:rPr>
            </w:pPr>
            <w:r>
              <w:rPr>
                <w:rFonts w:ascii="Arial Narrow" w:hAnsi="Arial Narrow" w:cs="Times New Roman"/>
              </w:rPr>
              <w:t>4</w:t>
            </w:r>
          </w:p>
        </w:tc>
        <w:tc>
          <w:tcPr>
            <w:tcW w:w="720" w:type="dxa"/>
            <w:tcBorders>
              <w:top w:val="single" w:sz="4" w:space="0" w:color="auto"/>
              <w:left w:val="single" w:sz="4" w:space="0" w:color="auto"/>
              <w:bottom w:val="single" w:sz="4" w:space="0" w:color="auto"/>
              <w:right w:val="single" w:sz="12" w:space="0" w:color="auto"/>
              <w:tl2br w:val="nil"/>
              <w:tr2bl w:val="nil"/>
            </w:tcBorders>
            <w:noWrap/>
            <w:textDirection w:val="lrTb"/>
            <w:vAlign w:val="center"/>
          </w:tcPr>
          <w:p w:rsidR="00D652EE" w:rsidRPr="00263BE8" w:rsidP="00C362EA">
            <w:pPr>
              <w:spacing w:line="240" w:lineRule="auto"/>
              <w:jc w:val="right"/>
              <w:rPr>
                <w:rFonts w:ascii="Arial Narrow" w:hAnsi="Arial Narrow" w:cs="Times New Roman"/>
              </w:rPr>
            </w:pPr>
            <w:r>
              <w:rPr>
                <w:rFonts w:ascii="Arial Narrow" w:hAnsi="Arial Narrow" w:cs="Times New Roman"/>
              </w:rPr>
              <w:t>58</w:t>
            </w:r>
          </w:p>
        </w:tc>
        <w:tc>
          <w:tcPr>
            <w:tcW w:w="720" w:type="dxa"/>
            <w:tcBorders>
              <w:top w:val="single" w:sz="4" w:space="0" w:color="auto"/>
              <w:left w:val="single" w:sz="12" w:space="0" w:color="auto"/>
              <w:bottom w:val="single" w:sz="4" w:space="0" w:color="auto"/>
              <w:right w:val="single" w:sz="4" w:space="0" w:color="auto"/>
              <w:tl2br w:val="nil"/>
              <w:tr2bl w:val="nil"/>
            </w:tcBorders>
            <w:noWrap/>
            <w:textDirection w:val="lrTb"/>
            <w:vAlign w:val="center"/>
          </w:tcPr>
          <w:p w:rsidR="00D652EE" w:rsidRPr="00263BE8" w:rsidP="00C362EA">
            <w:pPr>
              <w:spacing w:line="240" w:lineRule="auto"/>
              <w:jc w:val="right"/>
              <w:rPr>
                <w:rFonts w:ascii="Arial Narrow" w:hAnsi="Arial Narrow" w:cs="Times New Roman"/>
              </w:rPr>
            </w:pPr>
            <w:r>
              <w:rPr>
                <w:rFonts w:ascii="Arial Narrow" w:hAnsi="Arial Narrow" w:cs="Times New Roman"/>
              </w:rPr>
              <w:t>5</w:t>
            </w:r>
            <w:r w:rsidR="00B527A8">
              <w:rPr>
                <w:rFonts w:ascii="Arial Narrow" w:hAnsi="Arial Narrow" w:cs="Times New Roman"/>
              </w:rPr>
              <w:t>0</w:t>
            </w:r>
          </w:p>
        </w:tc>
        <w:tc>
          <w:tcPr>
            <w:tcW w:w="72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D652EE" w:rsidRPr="00263BE8" w:rsidP="00C362EA">
            <w:pPr>
              <w:spacing w:line="240" w:lineRule="auto"/>
              <w:rPr>
                <w:rFonts w:ascii="Arial Narrow" w:hAnsi="Arial Narrow" w:cs="Times New Roman"/>
              </w:rPr>
            </w:pPr>
            <w:r w:rsidRPr="00263BE8">
              <w:rPr>
                <w:rFonts w:ascii="Arial Narrow" w:hAnsi="Arial Narrow" w:cs="Times New Roman"/>
              </w:rPr>
              <w:t> </w:t>
            </w:r>
          </w:p>
        </w:tc>
        <w:tc>
          <w:tcPr>
            <w:tcW w:w="72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D652EE" w:rsidRPr="00263BE8" w:rsidP="00C362EA">
            <w:pPr>
              <w:spacing w:line="240" w:lineRule="auto"/>
              <w:jc w:val="right"/>
              <w:rPr>
                <w:rFonts w:ascii="Arial Narrow" w:hAnsi="Arial Narrow" w:cs="Times New Roman"/>
              </w:rPr>
            </w:pPr>
            <w:r>
              <w:rPr>
                <w:rFonts w:ascii="Arial Narrow" w:hAnsi="Arial Narrow" w:cs="Times New Roman"/>
              </w:rPr>
              <w:t>4</w:t>
            </w:r>
          </w:p>
        </w:tc>
        <w:tc>
          <w:tcPr>
            <w:tcW w:w="720" w:type="dxa"/>
            <w:tcBorders>
              <w:top w:val="single" w:sz="4" w:space="0" w:color="auto"/>
              <w:left w:val="single" w:sz="4" w:space="0" w:color="auto"/>
              <w:bottom w:val="single" w:sz="4" w:space="0" w:color="auto"/>
              <w:right w:val="single" w:sz="12" w:space="0" w:color="auto"/>
              <w:tl2br w:val="nil"/>
              <w:tr2bl w:val="nil"/>
            </w:tcBorders>
            <w:noWrap/>
            <w:textDirection w:val="lrTb"/>
            <w:vAlign w:val="center"/>
          </w:tcPr>
          <w:p w:rsidR="00D652EE" w:rsidRPr="00263BE8" w:rsidP="00C362EA">
            <w:pPr>
              <w:spacing w:line="240" w:lineRule="auto"/>
              <w:jc w:val="right"/>
              <w:rPr>
                <w:rFonts w:ascii="Arial Narrow" w:hAnsi="Arial Narrow" w:cs="Times New Roman"/>
              </w:rPr>
            </w:pPr>
            <w:r>
              <w:rPr>
                <w:rFonts w:ascii="Arial Narrow" w:hAnsi="Arial Narrow" w:cs="Times New Roman"/>
              </w:rPr>
              <w:t>5</w:t>
            </w:r>
            <w:r w:rsidR="00B527A8">
              <w:rPr>
                <w:rFonts w:ascii="Arial Narrow" w:hAnsi="Arial Narrow" w:cs="Times New Roman"/>
              </w:rPr>
              <w:t>4</w:t>
            </w:r>
          </w:p>
        </w:tc>
      </w:tr>
      <w:tr>
        <w:tblPrEx>
          <w:tblW w:w="9735" w:type="dxa"/>
          <w:tblInd w:w="-110" w:type="dxa"/>
          <w:tblLayout w:type="fixed"/>
          <w:tblCellMar>
            <w:left w:w="70" w:type="dxa"/>
            <w:right w:w="70" w:type="dxa"/>
          </w:tblCellMar>
        </w:tblPrEx>
        <w:trPr>
          <w:trHeight w:val="259"/>
        </w:trPr>
        <w:tc>
          <w:tcPr>
            <w:tcW w:w="1095" w:type="dxa"/>
            <w:tcBorders>
              <w:top w:val="single" w:sz="4" w:space="0" w:color="auto"/>
              <w:left w:val="single" w:sz="12" w:space="0" w:color="auto"/>
              <w:bottom w:val="single" w:sz="4" w:space="0" w:color="auto"/>
              <w:right w:val="single" w:sz="12" w:space="0" w:color="auto"/>
              <w:tl2br w:val="nil"/>
              <w:tr2bl w:val="nil"/>
            </w:tcBorders>
            <w:noWrap/>
            <w:textDirection w:val="lrTb"/>
            <w:vAlign w:val="center"/>
          </w:tcPr>
          <w:p w:rsidR="00D652EE" w:rsidRPr="00263BE8" w:rsidP="00C362EA">
            <w:pPr>
              <w:spacing w:line="240" w:lineRule="auto"/>
              <w:rPr>
                <w:rFonts w:ascii="Arial Narrow" w:hAnsi="Arial Narrow" w:cs="Times New Roman"/>
              </w:rPr>
            </w:pPr>
            <w:r>
              <w:rPr>
                <w:rFonts w:ascii="Arial Narrow" w:hAnsi="Arial Narrow" w:cs="Times New Roman"/>
              </w:rPr>
              <w:t>Žilina</w:t>
            </w:r>
          </w:p>
        </w:tc>
        <w:tc>
          <w:tcPr>
            <w:tcW w:w="720" w:type="dxa"/>
            <w:tcBorders>
              <w:top w:val="single" w:sz="4" w:space="0" w:color="auto"/>
              <w:left w:val="single" w:sz="12" w:space="0" w:color="auto"/>
              <w:bottom w:val="single" w:sz="4" w:space="0" w:color="auto"/>
              <w:right w:val="single" w:sz="4" w:space="0" w:color="auto"/>
              <w:tl2br w:val="nil"/>
              <w:tr2bl w:val="nil"/>
            </w:tcBorders>
            <w:textDirection w:val="lrTb"/>
            <w:vAlign w:val="center"/>
          </w:tcPr>
          <w:p w:rsidR="00D652EE" w:rsidP="00C362EA">
            <w:pPr>
              <w:spacing w:line="240" w:lineRule="auto"/>
              <w:jc w:val="right"/>
              <w:rPr>
                <w:rFonts w:ascii="Arial Narrow" w:hAnsi="Arial Narrow" w:cs="Times New Roman"/>
              </w:rPr>
            </w:pPr>
            <w:r w:rsidR="007F2D6C">
              <w:rPr>
                <w:rFonts w:ascii="Arial Narrow" w:hAnsi="Arial Narrow" w:cs="Times New Roman"/>
              </w:rPr>
              <w:t>51</w:t>
            </w:r>
          </w:p>
        </w:tc>
        <w:tc>
          <w:tcPr>
            <w:tcW w:w="72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D652EE" w:rsidP="00C362EA">
            <w:pPr>
              <w:spacing w:line="240" w:lineRule="auto"/>
              <w:jc w:val="right"/>
              <w:rPr>
                <w:rFonts w:ascii="Arial Narrow" w:hAnsi="Arial Narrow" w:cs="Times New Roman"/>
              </w:rPr>
            </w:pPr>
          </w:p>
        </w:tc>
        <w:tc>
          <w:tcPr>
            <w:tcW w:w="72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D652EE" w:rsidP="00C362EA">
            <w:pPr>
              <w:spacing w:line="240" w:lineRule="auto"/>
              <w:jc w:val="right"/>
              <w:rPr>
                <w:rFonts w:ascii="Arial Narrow" w:hAnsi="Arial Narrow" w:cs="Times New Roman"/>
              </w:rPr>
            </w:pPr>
            <w:r w:rsidR="007F2D6C">
              <w:rPr>
                <w:rFonts w:ascii="Arial Narrow" w:hAnsi="Arial Narrow" w:cs="Times New Roman"/>
              </w:rPr>
              <w:t>4</w:t>
            </w:r>
          </w:p>
        </w:tc>
        <w:tc>
          <w:tcPr>
            <w:tcW w:w="720" w:type="dxa"/>
            <w:tcBorders>
              <w:top w:val="single" w:sz="4" w:space="0" w:color="auto"/>
              <w:left w:val="single" w:sz="4" w:space="0" w:color="auto"/>
              <w:bottom w:val="single" w:sz="4" w:space="0" w:color="auto"/>
              <w:right w:val="single" w:sz="12" w:space="0" w:color="auto"/>
              <w:tl2br w:val="nil"/>
              <w:tr2bl w:val="nil"/>
            </w:tcBorders>
            <w:textDirection w:val="lrTb"/>
            <w:vAlign w:val="center"/>
          </w:tcPr>
          <w:p w:rsidR="00D652EE" w:rsidP="00C362EA">
            <w:pPr>
              <w:spacing w:line="240" w:lineRule="auto"/>
              <w:jc w:val="right"/>
              <w:rPr>
                <w:rFonts w:ascii="Arial Narrow" w:hAnsi="Arial Narrow" w:cs="Times New Roman"/>
              </w:rPr>
            </w:pPr>
            <w:r w:rsidR="007F2D6C">
              <w:rPr>
                <w:rFonts w:ascii="Arial Narrow" w:hAnsi="Arial Narrow" w:cs="Times New Roman"/>
              </w:rPr>
              <w:t>55</w:t>
            </w:r>
          </w:p>
        </w:tc>
        <w:tc>
          <w:tcPr>
            <w:tcW w:w="720" w:type="dxa"/>
            <w:tcBorders>
              <w:top w:val="single" w:sz="4" w:space="0" w:color="auto"/>
              <w:left w:val="single" w:sz="12" w:space="0" w:color="auto"/>
              <w:bottom w:val="single" w:sz="4" w:space="0" w:color="auto"/>
              <w:right w:val="single" w:sz="4" w:space="0" w:color="auto"/>
              <w:tl2br w:val="nil"/>
              <w:tr2bl w:val="nil"/>
            </w:tcBorders>
            <w:noWrap/>
            <w:textDirection w:val="lrTb"/>
            <w:vAlign w:val="center"/>
          </w:tcPr>
          <w:p w:rsidR="00D652EE" w:rsidRPr="00263BE8" w:rsidP="00C362EA">
            <w:pPr>
              <w:spacing w:line="240" w:lineRule="auto"/>
              <w:jc w:val="right"/>
              <w:rPr>
                <w:rFonts w:ascii="Arial Narrow" w:hAnsi="Arial Narrow" w:cs="Times New Roman"/>
              </w:rPr>
            </w:pPr>
            <w:r>
              <w:rPr>
                <w:rFonts w:ascii="Arial Narrow" w:hAnsi="Arial Narrow" w:cs="Times New Roman"/>
              </w:rPr>
              <w:t>51</w:t>
            </w:r>
          </w:p>
        </w:tc>
        <w:tc>
          <w:tcPr>
            <w:tcW w:w="707"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D652EE" w:rsidRPr="00263BE8" w:rsidP="00C362EA">
            <w:pPr>
              <w:spacing w:line="240" w:lineRule="auto"/>
              <w:rPr>
                <w:rFonts w:ascii="Arial Narrow" w:hAnsi="Arial Narrow" w:cs="Times New Roman"/>
              </w:rPr>
            </w:pPr>
            <w:r w:rsidRPr="00263BE8">
              <w:rPr>
                <w:rFonts w:ascii="Arial Narrow" w:hAnsi="Arial Narrow" w:cs="Times New Roman"/>
              </w:rPr>
              <w:t> </w:t>
            </w:r>
          </w:p>
        </w:tc>
        <w:tc>
          <w:tcPr>
            <w:tcW w:w="733"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D652EE" w:rsidRPr="00263BE8" w:rsidP="00C362EA">
            <w:pPr>
              <w:spacing w:line="240" w:lineRule="auto"/>
              <w:jc w:val="right"/>
              <w:rPr>
                <w:rFonts w:ascii="Arial Narrow" w:hAnsi="Arial Narrow" w:cs="Times New Roman"/>
              </w:rPr>
            </w:pPr>
            <w:r>
              <w:rPr>
                <w:rFonts w:ascii="Arial Narrow" w:hAnsi="Arial Narrow" w:cs="Times New Roman"/>
              </w:rPr>
              <w:t>4</w:t>
            </w:r>
          </w:p>
        </w:tc>
        <w:tc>
          <w:tcPr>
            <w:tcW w:w="720" w:type="dxa"/>
            <w:tcBorders>
              <w:top w:val="single" w:sz="4" w:space="0" w:color="auto"/>
              <w:left w:val="single" w:sz="4" w:space="0" w:color="auto"/>
              <w:bottom w:val="single" w:sz="4" w:space="0" w:color="auto"/>
              <w:right w:val="single" w:sz="12" w:space="0" w:color="auto"/>
              <w:tl2br w:val="nil"/>
              <w:tr2bl w:val="nil"/>
            </w:tcBorders>
            <w:noWrap/>
            <w:textDirection w:val="lrTb"/>
            <w:vAlign w:val="center"/>
          </w:tcPr>
          <w:p w:rsidR="00D652EE" w:rsidRPr="00263BE8" w:rsidP="00C362EA">
            <w:pPr>
              <w:spacing w:line="240" w:lineRule="auto"/>
              <w:jc w:val="right"/>
              <w:rPr>
                <w:rFonts w:ascii="Arial Narrow" w:hAnsi="Arial Narrow" w:cs="Times New Roman"/>
              </w:rPr>
            </w:pPr>
            <w:r w:rsidRPr="00263BE8">
              <w:rPr>
                <w:rFonts w:ascii="Arial Narrow" w:hAnsi="Arial Narrow" w:cs="Times New Roman"/>
              </w:rPr>
              <w:t>55</w:t>
            </w:r>
          </w:p>
        </w:tc>
        <w:tc>
          <w:tcPr>
            <w:tcW w:w="720" w:type="dxa"/>
            <w:tcBorders>
              <w:top w:val="single" w:sz="4" w:space="0" w:color="auto"/>
              <w:left w:val="single" w:sz="12" w:space="0" w:color="auto"/>
              <w:bottom w:val="single" w:sz="4" w:space="0" w:color="auto"/>
              <w:right w:val="single" w:sz="4" w:space="0" w:color="auto"/>
              <w:tl2br w:val="nil"/>
              <w:tr2bl w:val="nil"/>
            </w:tcBorders>
            <w:noWrap/>
            <w:textDirection w:val="lrTb"/>
            <w:vAlign w:val="center"/>
          </w:tcPr>
          <w:p w:rsidR="00D652EE" w:rsidRPr="00263BE8" w:rsidP="00C362EA">
            <w:pPr>
              <w:spacing w:line="240" w:lineRule="auto"/>
              <w:jc w:val="right"/>
              <w:rPr>
                <w:rFonts w:ascii="Arial Narrow" w:hAnsi="Arial Narrow" w:cs="Times New Roman"/>
              </w:rPr>
            </w:pPr>
            <w:r w:rsidR="00532B3F">
              <w:rPr>
                <w:rFonts w:ascii="Arial Narrow" w:hAnsi="Arial Narrow" w:cs="Times New Roman"/>
              </w:rPr>
              <w:t>48</w:t>
            </w:r>
          </w:p>
        </w:tc>
        <w:tc>
          <w:tcPr>
            <w:tcW w:w="72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D652EE" w:rsidRPr="00263BE8" w:rsidP="00C362EA">
            <w:pPr>
              <w:spacing w:line="240" w:lineRule="auto"/>
              <w:rPr>
                <w:rFonts w:ascii="Arial Narrow" w:hAnsi="Arial Narrow" w:cs="Times New Roman"/>
              </w:rPr>
            </w:pPr>
            <w:r w:rsidRPr="00263BE8">
              <w:rPr>
                <w:rFonts w:ascii="Arial Narrow" w:hAnsi="Arial Narrow" w:cs="Times New Roman"/>
              </w:rPr>
              <w:t> </w:t>
            </w:r>
          </w:p>
        </w:tc>
        <w:tc>
          <w:tcPr>
            <w:tcW w:w="72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D652EE" w:rsidRPr="00263BE8" w:rsidP="00C362EA">
            <w:pPr>
              <w:spacing w:line="240" w:lineRule="auto"/>
              <w:jc w:val="right"/>
              <w:rPr>
                <w:rFonts w:ascii="Arial Narrow" w:hAnsi="Arial Narrow" w:cs="Times New Roman"/>
              </w:rPr>
            </w:pPr>
            <w:r>
              <w:rPr>
                <w:rFonts w:ascii="Arial Narrow" w:hAnsi="Arial Narrow" w:cs="Times New Roman"/>
              </w:rPr>
              <w:t>4</w:t>
            </w:r>
          </w:p>
        </w:tc>
        <w:tc>
          <w:tcPr>
            <w:tcW w:w="720" w:type="dxa"/>
            <w:tcBorders>
              <w:top w:val="single" w:sz="4" w:space="0" w:color="auto"/>
              <w:left w:val="single" w:sz="4" w:space="0" w:color="auto"/>
              <w:bottom w:val="single" w:sz="4" w:space="0" w:color="auto"/>
              <w:right w:val="single" w:sz="12" w:space="0" w:color="auto"/>
              <w:tl2br w:val="nil"/>
              <w:tr2bl w:val="nil"/>
            </w:tcBorders>
            <w:noWrap/>
            <w:textDirection w:val="lrTb"/>
            <w:vAlign w:val="center"/>
          </w:tcPr>
          <w:p w:rsidR="00D652EE" w:rsidRPr="00263BE8" w:rsidP="00C362EA">
            <w:pPr>
              <w:spacing w:line="240" w:lineRule="auto"/>
              <w:jc w:val="right"/>
              <w:rPr>
                <w:rFonts w:ascii="Arial Narrow" w:hAnsi="Arial Narrow" w:cs="Times New Roman"/>
              </w:rPr>
            </w:pPr>
            <w:r>
              <w:rPr>
                <w:rFonts w:ascii="Arial Narrow" w:hAnsi="Arial Narrow" w:cs="Times New Roman"/>
              </w:rPr>
              <w:t>5</w:t>
            </w:r>
            <w:r w:rsidR="00532B3F">
              <w:rPr>
                <w:rFonts w:ascii="Arial Narrow" w:hAnsi="Arial Narrow" w:cs="Times New Roman"/>
              </w:rPr>
              <w:t>2</w:t>
            </w:r>
          </w:p>
        </w:tc>
      </w:tr>
      <w:tr>
        <w:tblPrEx>
          <w:tblW w:w="9735" w:type="dxa"/>
          <w:tblInd w:w="-110" w:type="dxa"/>
          <w:tblLayout w:type="fixed"/>
          <w:tblCellMar>
            <w:left w:w="70" w:type="dxa"/>
            <w:right w:w="70" w:type="dxa"/>
          </w:tblCellMar>
        </w:tblPrEx>
        <w:trPr>
          <w:trHeight w:val="259"/>
        </w:trPr>
        <w:tc>
          <w:tcPr>
            <w:tcW w:w="1095" w:type="dxa"/>
            <w:tcBorders>
              <w:top w:val="single" w:sz="4" w:space="0" w:color="auto"/>
              <w:left w:val="single" w:sz="12" w:space="0" w:color="auto"/>
              <w:bottom w:val="single" w:sz="4" w:space="0" w:color="auto"/>
              <w:right w:val="single" w:sz="12" w:space="0" w:color="auto"/>
              <w:tl2br w:val="nil"/>
              <w:tr2bl w:val="nil"/>
            </w:tcBorders>
            <w:noWrap/>
            <w:textDirection w:val="lrTb"/>
            <w:vAlign w:val="center"/>
          </w:tcPr>
          <w:p w:rsidR="00D652EE" w:rsidRPr="00263BE8" w:rsidP="00C362EA">
            <w:pPr>
              <w:spacing w:line="240" w:lineRule="auto"/>
              <w:rPr>
                <w:rFonts w:ascii="Arial Narrow" w:hAnsi="Arial Narrow" w:cs="Times New Roman"/>
              </w:rPr>
            </w:pPr>
            <w:r w:rsidRPr="00263BE8">
              <w:rPr>
                <w:rFonts w:ascii="Arial Narrow" w:hAnsi="Arial Narrow" w:cs="Times New Roman"/>
              </w:rPr>
              <w:t>Prešov</w:t>
            </w:r>
          </w:p>
        </w:tc>
        <w:tc>
          <w:tcPr>
            <w:tcW w:w="720" w:type="dxa"/>
            <w:tcBorders>
              <w:top w:val="single" w:sz="4" w:space="0" w:color="auto"/>
              <w:left w:val="single" w:sz="12" w:space="0" w:color="auto"/>
              <w:bottom w:val="single" w:sz="4" w:space="0" w:color="auto"/>
              <w:right w:val="single" w:sz="4" w:space="0" w:color="auto"/>
              <w:tl2br w:val="nil"/>
              <w:tr2bl w:val="nil"/>
            </w:tcBorders>
            <w:textDirection w:val="lrTb"/>
            <w:vAlign w:val="center"/>
          </w:tcPr>
          <w:p w:rsidR="00D652EE" w:rsidP="00C362EA">
            <w:pPr>
              <w:spacing w:line="240" w:lineRule="auto"/>
              <w:jc w:val="right"/>
              <w:rPr>
                <w:rFonts w:ascii="Arial Narrow" w:hAnsi="Arial Narrow" w:cs="Times New Roman"/>
              </w:rPr>
            </w:pPr>
            <w:r w:rsidR="007F2D6C">
              <w:rPr>
                <w:rFonts w:ascii="Arial Narrow" w:hAnsi="Arial Narrow" w:cs="Times New Roman"/>
              </w:rPr>
              <w:t>51</w:t>
            </w:r>
          </w:p>
        </w:tc>
        <w:tc>
          <w:tcPr>
            <w:tcW w:w="72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D652EE" w:rsidP="00C362EA">
            <w:pPr>
              <w:spacing w:line="240" w:lineRule="auto"/>
              <w:jc w:val="right"/>
              <w:rPr>
                <w:rFonts w:ascii="Arial Narrow" w:hAnsi="Arial Narrow" w:cs="Times New Roman"/>
              </w:rPr>
            </w:pPr>
          </w:p>
        </w:tc>
        <w:tc>
          <w:tcPr>
            <w:tcW w:w="72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D652EE" w:rsidP="00C362EA">
            <w:pPr>
              <w:spacing w:line="240" w:lineRule="auto"/>
              <w:jc w:val="right"/>
              <w:rPr>
                <w:rFonts w:ascii="Arial Narrow" w:hAnsi="Arial Narrow" w:cs="Times New Roman"/>
              </w:rPr>
            </w:pPr>
            <w:r w:rsidR="007F2D6C">
              <w:rPr>
                <w:rFonts w:ascii="Arial Narrow" w:hAnsi="Arial Narrow" w:cs="Times New Roman"/>
              </w:rPr>
              <w:t>5</w:t>
            </w:r>
          </w:p>
        </w:tc>
        <w:tc>
          <w:tcPr>
            <w:tcW w:w="720" w:type="dxa"/>
            <w:tcBorders>
              <w:top w:val="single" w:sz="4" w:space="0" w:color="auto"/>
              <w:left w:val="single" w:sz="4" w:space="0" w:color="auto"/>
              <w:bottom w:val="single" w:sz="4" w:space="0" w:color="auto"/>
              <w:right w:val="single" w:sz="12" w:space="0" w:color="auto"/>
              <w:tl2br w:val="nil"/>
              <w:tr2bl w:val="nil"/>
            </w:tcBorders>
            <w:textDirection w:val="lrTb"/>
            <w:vAlign w:val="center"/>
          </w:tcPr>
          <w:p w:rsidR="00D652EE" w:rsidP="00C362EA">
            <w:pPr>
              <w:spacing w:line="240" w:lineRule="auto"/>
              <w:jc w:val="right"/>
              <w:rPr>
                <w:rFonts w:ascii="Arial Narrow" w:hAnsi="Arial Narrow" w:cs="Times New Roman"/>
              </w:rPr>
            </w:pPr>
            <w:r w:rsidR="007F2D6C">
              <w:rPr>
                <w:rFonts w:ascii="Arial Narrow" w:hAnsi="Arial Narrow" w:cs="Times New Roman"/>
              </w:rPr>
              <w:t>56</w:t>
            </w:r>
          </w:p>
        </w:tc>
        <w:tc>
          <w:tcPr>
            <w:tcW w:w="720" w:type="dxa"/>
            <w:tcBorders>
              <w:top w:val="single" w:sz="4" w:space="0" w:color="auto"/>
              <w:left w:val="single" w:sz="12" w:space="0" w:color="auto"/>
              <w:bottom w:val="single" w:sz="4" w:space="0" w:color="auto"/>
              <w:right w:val="single" w:sz="4" w:space="0" w:color="auto"/>
              <w:tl2br w:val="nil"/>
              <w:tr2bl w:val="nil"/>
            </w:tcBorders>
            <w:noWrap/>
            <w:textDirection w:val="lrTb"/>
            <w:vAlign w:val="center"/>
          </w:tcPr>
          <w:p w:rsidR="00D652EE" w:rsidRPr="00263BE8" w:rsidP="00C362EA">
            <w:pPr>
              <w:spacing w:line="240" w:lineRule="auto"/>
              <w:jc w:val="right"/>
              <w:rPr>
                <w:rFonts w:ascii="Arial Narrow" w:hAnsi="Arial Narrow" w:cs="Times New Roman"/>
              </w:rPr>
            </w:pPr>
            <w:r>
              <w:rPr>
                <w:rFonts w:ascii="Arial Narrow" w:hAnsi="Arial Narrow" w:cs="Times New Roman"/>
              </w:rPr>
              <w:t>51</w:t>
            </w:r>
          </w:p>
        </w:tc>
        <w:tc>
          <w:tcPr>
            <w:tcW w:w="707"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D652EE" w:rsidRPr="00263BE8" w:rsidP="00C362EA">
            <w:pPr>
              <w:spacing w:line="240" w:lineRule="auto"/>
              <w:rPr>
                <w:rFonts w:ascii="Arial Narrow" w:hAnsi="Arial Narrow" w:cs="Times New Roman"/>
              </w:rPr>
            </w:pPr>
            <w:r w:rsidRPr="00263BE8">
              <w:rPr>
                <w:rFonts w:ascii="Arial Narrow" w:hAnsi="Arial Narrow" w:cs="Times New Roman"/>
              </w:rPr>
              <w:t> </w:t>
            </w:r>
          </w:p>
        </w:tc>
        <w:tc>
          <w:tcPr>
            <w:tcW w:w="733"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D652EE" w:rsidRPr="00263BE8" w:rsidP="00C362EA">
            <w:pPr>
              <w:spacing w:line="240" w:lineRule="auto"/>
              <w:jc w:val="right"/>
              <w:rPr>
                <w:rFonts w:ascii="Arial Narrow" w:hAnsi="Arial Narrow" w:cs="Times New Roman"/>
              </w:rPr>
            </w:pPr>
            <w:r>
              <w:rPr>
                <w:rFonts w:ascii="Arial Narrow" w:hAnsi="Arial Narrow" w:cs="Times New Roman"/>
              </w:rPr>
              <w:t>5</w:t>
            </w:r>
          </w:p>
        </w:tc>
        <w:tc>
          <w:tcPr>
            <w:tcW w:w="720" w:type="dxa"/>
            <w:tcBorders>
              <w:top w:val="single" w:sz="4" w:space="0" w:color="auto"/>
              <w:left w:val="single" w:sz="4" w:space="0" w:color="auto"/>
              <w:bottom w:val="single" w:sz="4" w:space="0" w:color="auto"/>
              <w:right w:val="single" w:sz="12" w:space="0" w:color="auto"/>
              <w:tl2br w:val="nil"/>
              <w:tr2bl w:val="nil"/>
            </w:tcBorders>
            <w:noWrap/>
            <w:textDirection w:val="lrTb"/>
            <w:vAlign w:val="center"/>
          </w:tcPr>
          <w:p w:rsidR="00D652EE" w:rsidRPr="00263BE8" w:rsidP="00C362EA">
            <w:pPr>
              <w:spacing w:line="240" w:lineRule="auto"/>
              <w:jc w:val="right"/>
              <w:rPr>
                <w:rFonts w:ascii="Arial Narrow" w:hAnsi="Arial Narrow" w:cs="Times New Roman"/>
              </w:rPr>
            </w:pPr>
            <w:r>
              <w:rPr>
                <w:rFonts w:ascii="Arial Narrow" w:hAnsi="Arial Narrow" w:cs="Times New Roman"/>
              </w:rPr>
              <w:t>56</w:t>
            </w:r>
          </w:p>
        </w:tc>
        <w:tc>
          <w:tcPr>
            <w:tcW w:w="720" w:type="dxa"/>
            <w:tcBorders>
              <w:top w:val="single" w:sz="4" w:space="0" w:color="auto"/>
              <w:left w:val="single" w:sz="12" w:space="0" w:color="auto"/>
              <w:bottom w:val="single" w:sz="4" w:space="0" w:color="auto"/>
              <w:right w:val="single" w:sz="4" w:space="0" w:color="auto"/>
              <w:tl2br w:val="nil"/>
              <w:tr2bl w:val="nil"/>
            </w:tcBorders>
            <w:noWrap/>
            <w:textDirection w:val="lrTb"/>
            <w:vAlign w:val="center"/>
          </w:tcPr>
          <w:p w:rsidR="00D652EE" w:rsidRPr="00263BE8" w:rsidP="00C362EA">
            <w:pPr>
              <w:spacing w:line="240" w:lineRule="auto"/>
              <w:jc w:val="right"/>
              <w:rPr>
                <w:rFonts w:ascii="Arial Narrow" w:hAnsi="Arial Narrow" w:cs="Times New Roman"/>
              </w:rPr>
            </w:pPr>
            <w:r>
              <w:rPr>
                <w:rFonts w:ascii="Arial Narrow" w:hAnsi="Arial Narrow" w:cs="Times New Roman"/>
              </w:rPr>
              <w:t>4</w:t>
            </w:r>
            <w:r w:rsidR="00B527A8">
              <w:rPr>
                <w:rFonts w:ascii="Arial Narrow" w:hAnsi="Arial Narrow" w:cs="Times New Roman"/>
              </w:rPr>
              <w:t>9</w:t>
            </w:r>
          </w:p>
        </w:tc>
        <w:tc>
          <w:tcPr>
            <w:tcW w:w="72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D652EE" w:rsidRPr="00263BE8" w:rsidP="00C362EA">
            <w:pPr>
              <w:spacing w:line="240" w:lineRule="auto"/>
              <w:rPr>
                <w:rFonts w:ascii="Arial Narrow" w:hAnsi="Arial Narrow" w:cs="Times New Roman"/>
              </w:rPr>
            </w:pPr>
            <w:r w:rsidRPr="00263BE8">
              <w:rPr>
                <w:rFonts w:ascii="Arial Narrow" w:hAnsi="Arial Narrow" w:cs="Times New Roman"/>
              </w:rPr>
              <w:t> </w:t>
            </w:r>
          </w:p>
        </w:tc>
        <w:tc>
          <w:tcPr>
            <w:tcW w:w="72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D652EE" w:rsidRPr="00263BE8" w:rsidP="00C362EA">
            <w:pPr>
              <w:spacing w:line="240" w:lineRule="auto"/>
              <w:jc w:val="right"/>
              <w:rPr>
                <w:rFonts w:ascii="Arial Narrow" w:hAnsi="Arial Narrow" w:cs="Times New Roman"/>
              </w:rPr>
            </w:pPr>
            <w:r>
              <w:rPr>
                <w:rFonts w:ascii="Arial Narrow" w:hAnsi="Arial Narrow" w:cs="Times New Roman"/>
              </w:rPr>
              <w:t>5</w:t>
            </w:r>
          </w:p>
        </w:tc>
        <w:tc>
          <w:tcPr>
            <w:tcW w:w="720" w:type="dxa"/>
            <w:tcBorders>
              <w:top w:val="single" w:sz="4" w:space="0" w:color="auto"/>
              <w:left w:val="single" w:sz="4" w:space="0" w:color="auto"/>
              <w:bottom w:val="single" w:sz="4" w:space="0" w:color="auto"/>
              <w:right w:val="single" w:sz="12" w:space="0" w:color="auto"/>
              <w:tl2br w:val="nil"/>
              <w:tr2bl w:val="nil"/>
            </w:tcBorders>
            <w:noWrap/>
            <w:textDirection w:val="lrTb"/>
            <w:vAlign w:val="center"/>
          </w:tcPr>
          <w:p w:rsidR="00D652EE" w:rsidRPr="00263BE8" w:rsidP="00C362EA">
            <w:pPr>
              <w:spacing w:line="240" w:lineRule="auto"/>
              <w:jc w:val="right"/>
              <w:rPr>
                <w:rFonts w:ascii="Arial Narrow" w:hAnsi="Arial Narrow" w:cs="Times New Roman"/>
              </w:rPr>
            </w:pPr>
            <w:r>
              <w:rPr>
                <w:rFonts w:ascii="Arial Narrow" w:hAnsi="Arial Narrow" w:cs="Times New Roman"/>
              </w:rPr>
              <w:t>5</w:t>
            </w:r>
            <w:r w:rsidR="00B527A8">
              <w:rPr>
                <w:rFonts w:ascii="Arial Narrow" w:hAnsi="Arial Narrow" w:cs="Times New Roman"/>
              </w:rPr>
              <w:t>4</w:t>
            </w:r>
          </w:p>
        </w:tc>
      </w:tr>
      <w:tr>
        <w:tblPrEx>
          <w:tblW w:w="9735" w:type="dxa"/>
          <w:tblInd w:w="-110" w:type="dxa"/>
          <w:tblLayout w:type="fixed"/>
          <w:tblCellMar>
            <w:left w:w="70" w:type="dxa"/>
            <w:right w:w="70" w:type="dxa"/>
          </w:tblCellMar>
        </w:tblPrEx>
        <w:trPr>
          <w:trHeight w:val="259"/>
        </w:trPr>
        <w:tc>
          <w:tcPr>
            <w:tcW w:w="1095" w:type="dxa"/>
            <w:tcBorders>
              <w:top w:val="single" w:sz="4" w:space="0" w:color="auto"/>
              <w:left w:val="single" w:sz="12" w:space="0" w:color="auto"/>
              <w:bottom w:val="single" w:sz="4" w:space="0" w:color="auto"/>
              <w:right w:val="single" w:sz="12" w:space="0" w:color="auto"/>
              <w:tl2br w:val="nil"/>
              <w:tr2bl w:val="nil"/>
            </w:tcBorders>
            <w:noWrap/>
            <w:textDirection w:val="lrTb"/>
            <w:vAlign w:val="center"/>
          </w:tcPr>
          <w:p w:rsidR="00D652EE" w:rsidRPr="00263BE8" w:rsidP="00C362EA">
            <w:pPr>
              <w:spacing w:line="240" w:lineRule="auto"/>
              <w:rPr>
                <w:rFonts w:ascii="Arial Narrow" w:hAnsi="Arial Narrow" w:cs="Times New Roman"/>
              </w:rPr>
            </w:pPr>
            <w:r w:rsidRPr="00263BE8">
              <w:rPr>
                <w:rFonts w:ascii="Arial Narrow" w:hAnsi="Arial Narrow" w:cs="Times New Roman"/>
              </w:rPr>
              <w:t>Košice</w:t>
            </w:r>
          </w:p>
        </w:tc>
        <w:tc>
          <w:tcPr>
            <w:tcW w:w="720" w:type="dxa"/>
            <w:tcBorders>
              <w:top w:val="single" w:sz="4" w:space="0" w:color="auto"/>
              <w:left w:val="single" w:sz="12" w:space="0" w:color="auto"/>
              <w:bottom w:val="single" w:sz="4" w:space="0" w:color="auto"/>
              <w:right w:val="single" w:sz="4" w:space="0" w:color="auto"/>
              <w:tl2br w:val="nil"/>
              <w:tr2bl w:val="nil"/>
            </w:tcBorders>
            <w:textDirection w:val="lrTb"/>
            <w:vAlign w:val="center"/>
          </w:tcPr>
          <w:p w:rsidR="00D652EE" w:rsidP="00C362EA">
            <w:pPr>
              <w:spacing w:line="240" w:lineRule="auto"/>
              <w:jc w:val="right"/>
              <w:rPr>
                <w:rFonts w:ascii="Arial Narrow" w:hAnsi="Arial Narrow" w:cs="Times New Roman"/>
              </w:rPr>
            </w:pPr>
            <w:r w:rsidR="007F2D6C">
              <w:rPr>
                <w:rFonts w:ascii="Arial Narrow" w:hAnsi="Arial Narrow" w:cs="Times New Roman"/>
              </w:rPr>
              <w:t>54</w:t>
            </w:r>
          </w:p>
        </w:tc>
        <w:tc>
          <w:tcPr>
            <w:tcW w:w="72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D652EE" w:rsidP="00C362EA">
            <w:pPr>
              <w:spacing w:line="240" w:lineRule="auto"/>
              <w:jc w:val="right"/>
              <w:rPr>
                <w:rFonts w:ascii="Arial Narrow" w:hAnsi="Arial Narrow" w:cs="Times New Roman"/>
              </w:rPr>
            </w:pPr>
          </w:p>
        </w:tc>
        <w:tc>
          <w:tcPr>
            <w:tcW w:w="72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D652EE" w:rsidP="00C362EA">
            <w:pPr>
              <w:spacing w:line="240" w:lineRule="auto"/>
              <w:jc w:val="right"/>
              <w:rPr>
                <w:rFonts w:ascii="Arial Narrow" w:hAnsi="Arial Narrow" w:cs="Times New Roman"/>
              </w:rPr>
            </w:pPr>
            <w:r w:rsidR="007F2D6C">
              <w:rPr>
                <w:rFonts w:ascii="Arial Narrow" w:hAnsi="Arial Narrow" w:cs="Times New Roman"/>
              </w:rPr>
              <w:t>4</w:t>
            </w:r>
          </w:p>
        </w:tc>
        <w:tc>
          <w:tcPr>
            <w:tcW w:w="720" w:type="dxa"/>
            <w:tcBorders>
              <w:top w:val="single" w:sz="4" w:space="0" w:color="auto"/>
              <w:left w:val="single" w:sz="4" w:space="0" w:color="auto"/>
              <w:bottom w:val="single" w:sz="4" w:space="0" w:color="auto"/>
              <w:right w:val="single" w:sz="12" w:space="0" w:color="auto"/>
              <w:tl2br w:val="nil"/>
              <w:tr2bl w:val="nil"/>
            </w:tcBorders>
            <w:textDirection w:val="lrTb"/>
            <w:vAlign w:val="center"/>
          </w:tcPr>
          <w:p w:rsidR="00D652EE" w:rsidP="00C362EA">
            <w:pPr>
              <w:spacing w:line="240" w:lineRule="auto"/>
              <w:jc w:val="right"/>
              <w:rPr>
                <w:rFonts w:ascii="Arial Narrow" w:hAnsi="Arial Narrow" w:cs="Times New Roman"/>
              </w:rPr>
            </w:pPr>
            <w:r w:rsidR="007F2D6C">
              <w:rPr>
                <w:rFonts w:ascii="Arial Narrow" w:hAnsi="Arial Narrow" w:cs="Times New Roman"/>
              </w:rPr>
              <w:t>58</w:t>
            </w:r>
          </w:p>
        </w:tc>
        <w:tc>
          <w:tcPr>
            <w:tcW w:w="720" w:type="dxa"/>
            <w:tcBorders>
              <w:top w:val="single" w:sz="4" w:space="0" w:color="auto"/>
              <w:left w:val="single" w:sz="12" w:space="0" w:color="auto"/>
              <w:bottom w:val="single" w:sz="4" w:space="0" w:color="auto"/>
              <w:right w:val="single" w:sz="4" w:space="0" w:color="auto"/>
              <w:tl2br w:val="nil"/>
              <w:tr2bl w:val="nil"/>
            </w:tcBorders>
            <w:noWrap/>
            <w:textDirection w:val="lrTb"/>
            <w:vAlign w:val="center"/>
          </w:tcPr>
          <w:p w:rsidR="00D652EE" w:rsidRPr="00263BE8" w:rsidP="00C362EA">
            <w:pPr>
              <w:spacing w:line="240" w:lineRule="auto"/>
              <w:jc w:val="right"/>
              <w:rPr>
                <w:rFonts w:ascii="Arial Narrow" w:hAnsi="Arial Narrow" w:cs="Times New Roman"/>
              </w:rPr>
            </w:pPr>
            <w:r>
              <w:rPr>
                <w:rFonts w:ascii="Arial Narrow" w:hAnsi="Arial Narrow" w:cs="Times New Roman"/>
              </w:rPr>
              <w:t>54</w:t>
            </w:r>
          </w:p>
        </w:tc>
        <w:tc>
          <w:tcPr>
            <w:tcW w:w="707"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D652EE" w:rsidRPr="00263BE8" w:rsidP="00C362EA">
            <w:pPr>
              <w:spacing w:line="240" w:lineRule="auto"/>
              <w:rPr>
                <w:rFonts w:ascii="Arial Narrow" w:hAnsi="Arial Narrow" w:cs="Times New Roman"/>
              </w:rPr>
            </w:pPr>
            <w:r w:rsidRPr="00263BE8">
              <w:rPr>
                <w:rFonts w:ascii="Arial Narrow" w:hAnsi="Arial Narrow" w:cs="Times New Roman"/>
              </w:rPr>
              <w:t> </w:t>
            </w:r>
          </w:p>
        </w:tc>
        <w:tc>
          <w:tcPr>
            <w:tcW w:w="733"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D652EE" w:rsidRPr="00263BE8" w:rsidP="00C362EA">
            <w:pPr>
              <w:spacing w:line="240" w:lineRule="auto"/>
              <w:jc w:val="right"/>
              <w:rPr>
                <w:rFonts w:ascii="Arial Narrow" w:hAnsi="Arial Narrow" w:cs="Times New Roman"/>
              </w:rPr>
            </w:pPr>
            <w:r>
              <w:rPr>
                <w:rFonts w:ascii="Arial Narrow" w:hAnsi="Arial Narrow" w:cs="Times New Roman"/>
              </w:rPr>
              <w:t>4</w:t>
            </w:r>
          </w:p>
        </w:tc>
        <w:tc>
          <w:tcPr>
            <w:tcW w:w="720" w:type="dxa"/>
            <w:tcBorders>
              <w:top w:val="single" w:sz="4" w:space="0" w:color="auto"/>
              <w:left w:val="single" w:sz="4" w:space="0" w:color="auto"/>
              <w:bottom w:val="single" w:sz="4" w:space="0" w:color="auto"/>
              <w:right w:val="single" w:sz="12" w:space="0" w:color="auto"/>
              <w:tl2br w:val="nil"/>
              <w:tr2bl w:val="nil"/>
            </w:tcBorders>
            <w:noWrap/>
            <w:textDirection w:val="lrTb"/>
            <w:vAlign w:val="center"/>
          </w:tcPr>
          <w:p w:rsidR="00D652EE" w:rsidRPr="00263BE8" w:rsidP="00C362EA">
            <w:pPr>
              <w:spacing w:line="240" w:lineRule="auto"/>
              <w:jc w:val="right"/>
              <w:rPr>
                <w:rFonts w:ascii="Arial Narrow" w:hAnsi="Arial Narrow" w:cs="Times New Roman"/>
              </w:rPr>
            </w:pPr>
            <w:r>
              <w:rPr>
                <w:rFonts w:ascii="Arial Narrow" w:hAnsi="Arial Narrow" w:cs="Times New Roman"/>
              </w:rPr>
              <w:t>58</w:t>
            </w:r>
          </w:p>
        </w:tc>
        <w:tc>
          <w:tcPr>
            <w:tcW w:w="720" w:type="dxa"/>
            <w:tcBorders>
              <w:top w:val="single" w:sz="4" w:space="0" w:color="auto"/>
              <w:left w:val="single" w:sz="12" w:space="0" w:color="auto"/>
              <w:bottom w:val="single" w:sz="4" w:space="0" w:color="auto"/>
              <w:right w:val="single" w:sz="4" w:space="0" w:color="auto"/>
              <w:tl2br w:val="nil"/>
              <w:tr2bl w:val="nil"/>
            </w:tcBorders>
            <w:noWrap/>
            <w:textDirection w:val="lrTb"/>
            <w:vAlign w:val="center"/>
          </w:tcPr>
          <w:p w:rsidR="00D652EE" w:rsidRPr="00263BE8" w:rsidP="00C362EA">
            <w:pPr>
              <w:spacing w:line="240" w:lineRule="auto"/>
              <w:jc w:val="right"/>
              <w:rPr>
                <w:rFonts w:ascii="Arial Narrow" w:hAnsi="Arial Narrow" w:cs="Times New Roman"/>
              </w:rPr>
            </w:pPr>
            <w:r w:rsidR="00B527A8">
              <w:rPr>
                <w:rFonts w:ascii="Arial Narrow" w:hAnsi="Arial Narrow" w:cs="Times New Roman"/>
              </w:rPr>
              <w:t>52</w:t>
            </w:r>
          </w:p>
        </w:tc>
        <w:tc>
          <w:tcPr>
            <w:tcW w:w="72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D652EE" w:rsidRPr="00263BE8" w:rsidP="00C362EA">
            <w:pPr>
              <w:spacing w:line="240" w:lineRule="auto"/>
              <w:rPr>
                <w:rFonts w:ascii="Arial Narrow" w:hAnsi="Arial Narrow" w:cs="Times New Roman"/>
              </w:rPr>
            </w:pPr>
            <w:r w:rsidRPr="00263BE8">
              <w:rPr>
                <w:rFonts w:ascii="Arial Narrow" w:hAnsi="Arial Narrow" w:cs="Times New Roman"/>
              </w:rPr>
              <w:t> </w:t>
            </w:r>
          </w:p>
        </w:tc>
        <w:tc>
          <w:tcPr>
            <w:tcW w:w="72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D652EE" w:rsidRPr="00263BE8" w:rsidP="00C362EA">
            <w:pPr>
              <w:spacing w:line="240" w:lineRule="auto"/>
              <w:jc w:val="right"/>
              <w:rPr>
                <w:rFonts w:ascii="Arial Narrow" w:hAnsi="Arial Narrow" w:cs="Times New Roman"/>
              </w:rPr>
            </w:pPr>
            <w:r w:rsidRPr="00263BE8">
              <w:rPr>
                <w:rFonts w:ascii="Arial Narrow" w:hAnsi="Arial Narrow" w:cs="Times New Roman"/>
              </w:rPr>
              <w:t>3</w:t>
            </w:r>
          </w:p>
        </w:tc>
        <w:tc>
          <w:tcPr>
            <w:tcW w:w="720" w:type="dxa"/>
            <w:tcBorders>
              <w:top w:val="single" w:sz="4" w:space="0" w:color="auto"/>
              <w:left w:val="single" w:sz="4" w:space="0" w:color="auto"/>
              <w:bottom w:val="single" w:sz="4" w:space="0" w:color="auto"/>
              <w:right w:val="single" w:sz="12" w:space="0" w:color="auto"/>
              <w:tl2br w:val="nil"/>
              <w:tr2bl w:val="nil"/>
            </w:tcBorders>
            <w:noWrap/>
            <w:textDirection w:val="lrTb"/>
            <w:vAlign w:val="center"/>
          </w:tcPr>
          <w:p w:rsidR="00D652EE" w:rsidRPr="00263BE8" w:rsidP="00C362EA">
            <w:pPr>
              <w:spacing w:line="240" w:lineRule="auto"/>
              <w:jc w:val="right"/>
              <w:rPr>
                <w:rFonts w:ascii="Arial Narrow" w:hAnsi="Arial Narrow" w:cs="Times New Roman"/>
              </w:rPr>
            </w:pPr>
            <w:r w:rsidR="00B527A8">
              <w:rPr>
                <w:rFonts w:ascii="Arial Narrow" w:hAnsi="Arial Narrow" w:cs="Times New Roman"/>
              </w:rPr>
              <w:t>55</w:t>
            </w:r>
          </w:p>
        </w:tc>
      </w:tr>
      <w:tr>
        <w:tblPrEx>
          <w:tblW w:w="9735" w:type="dxa"/>
          <w:tblInd w:w="-110" w:type="dxa"/>
          <w:tblLayout w:type="fixed"/>
          <w:tblCellMar>
            <w:left w:w="70" w:type="dxa"/>
            <w:right w:w="70" w:type="dxa"/>
          </w:tblCellMar>
        </w:tblPrEx>
        <w:trPr>
          <w:trHeight w:val="259"/>
        </w:trPr>
        <w:tc>
          <w:tcPr>
            <w:tcW w:w="1095" w:type="dxa"/>
            <w:tcBorders>
              <w:top w:val="single" w:sz="4" w:space="0" w:color="auto"/>
              <w:left w:val="single" w:sz="12" w:space="0" w:color="auto"/>
              <w:bottom w:val="single" w:sz="4" w:space="0" w:color="auto"/>
              <w:right w:val="single" w:sz="12" w:space="0" w:color="auto"/>
              <w:tl2br w:val="nil"/>
              <w:tr2bl w:val="nil"/>
            </w:tcBorders>
            <w:noWrap/>
            <w:textDirection w:val="lrTb"/>
            <w:vAlign w:val="center"/>
          </w:tcPr>
          <w:p w:rsidR="00D652EE" w:rsidRPr="00263BE8" w:rsidP="00C362EA">
            <w:pPr>
              <w:spacing w:line="240" w:lineRule="auto"/>
              <w:rPr>
                <w:rFonts w:ascii="Arial Narrow" w:hAnsi="Arial Narrow" w:cs="Times New Roman"/>
              </w:rPr>
            </w:pPr>
            <w:r w:rsidRPr="00263BE8">
              <w:rPr>
                <w:rFonts w:ascii="Arial Narrow" w:hAnsi="Arial Narrow" w:cs="Times New Roman"/>
              </w:rPr>
              <w:t>T</w:t>
            </w:r>
            <w:r>
              <w:rPr>
                <w:rFonts w:ascii="Arial Narrow" w:hAnsi="Arial Narrow" w:cs="Times New Roman"/>
              </w:rPr>
              <w:t>OOŽ</w:t>
            </w:r>
          </w:p>
        </w:tc>
        <w:tc>
          <w:tcPr>
            <w:tcW w:w="720" w:type="dxa"/>
            <w:tcBorders>
              <w:top w:val="single" w:sz="4" w:space="0" w:color="auto"/>
              <w:left w:val="single" w:sz="12" w:space="0" w:color="auto"/>
              <w:bottom w:val="single" w:sz="4" w:space="0" w:color="auto"/>
              <w:right w:val="single" w:sz="4" w:space="0" w:color="auto"/>
              <w:tl2br w:val="nil"/>
              <w:tr2bl w:val="nil"/>
            </w:tcBorders>
            <w:textDirection w:val="lrTb"/>
            <w:vAlign w:val="center"/>
          </w:tcPr>
          <w:p w:rsidR="00D652EE" w:rsidRPr="00263BE8" w:rsidP="00C362EA">
            <w:pPr>
              <w:spacing w:line="240" w:lineRule="auto"/>
              <w:jc w:val="right"/>
              <w:rPr>
                <w:rFonts w:ascii="Arial Narrow" w:hAnsi="Arial Narrow" w:cs="Times New Roman"/>
              </w:rPr>
            </w:pPr>
          </w:p>
        </w:tc>
        <w:tc>
          <w:tcPr>
            <w:tcW w:w="72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D652EE" w:rsidRPr="00263BE8" w:rsidP="00C362EA">
            <w:pPr>
              <w:spacing w:line="240" w:lineRule="auto"/>
              <w:jc w:val="right"/>
              <w:rPr>
                <w:rFonts w:ascii="Arial Narrow" w:hAnsi="Arial Narrow" w:cs="Times New Roman"/>
              </w:rPr>
            </w:pPr>
          </w:p>
        </w:tc>
        <w:tc>
          <w:tcPr>
            <w:tcW w:w="72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D652EE" w:rsidRPr="00263BE8" w:rsidP="00C362EA">
            <w:pPr>
              <w:spacing w:line="240" w:lineRule="auto"/>
              <w:jc w:val="right"/>
              <w:rPr>
                <w:rFonts w:ascii="Arial Narrow" w:hAnsi="Arial Narrow" w:cs="Times New Roman"/>
              </w:rPr>
            </w:pPr>
            <w:r w:rsidR="007F2D6C">
              <w:rPr>
                <w:rFonts w:ascii="Arial Narrow" w:hAnsi="Arial Narrow" w:cs="Times New Roman"/>
              </w:rPr>
              <w:t>1</w:t>
            </w:r>
            <w:r w:rsidR="00D26F68">
              <w:rPr>
                <w:rFonts w:ascii="Arial Narrow" w:hAnsi="Arial Narrow" w:cs="Times New Roman"/>
              </w:rPr>
              <w:t>40</w:t>
            </w:r>
          </w:p>
        </w:tc>
        <w:tc>
          <w:tcPr>
            <w:tcW w:w="720" w:type="dxa"/>
            <w:tcBorders>
              <w:top w:val="single" w:sz="4" w:space="0" w:color="auto"/>
              <w:left w:val="single" w:sz="4" w:space="0" w:color="auto"/>
              <w:bottom w:val="single" w:sz="4" w:space="0" w:color="auto"/>
              <w:right w:val="single" w:sz="12" w:space="0" w:color="auto"/>
              <w:tl2br w:val="nil"/>
              <w:tr2bl w:val="nil"/>
            </w:tcBorders>
            <w:textDirection w:val="lrTb"/>
            <w:vAlign w:val="center"/>
          </w:tcPr>
          <w:p w:rsidR="00D652EE" w:rsidRPr="00263BE8" w:rsidP="00C362EA">
            <w:pPr>
              <w:spacing w:line="240" w:lineRule="auto"/>
              <w:jc w:val="right"/>
              <w:rPr>
                <w:rFonts w:ascii="Arial Narrow" w:hAnsi="Arial Narrow" w:cs="Times New Roman"/>
              </w:rPr>
            </w:pPr>
            <w:r w:rsidR="007F2D6C">
              <w:rPr>
                <w:rFonts w:ascii="Arial Narrow" w:hAnsi="Arial Narrow" w:cs="Times New Roman"/>
              </w:rPr>
              <w:t>1</w:t>
            </w:r>
            <w:r w:rsidR="00D26F68">
              <w:rPr>
                <w:rFonts w:ascii="Arial Narrow" w:hAnsi="Arial Narrow" w:cs="Times New Roman"/>
              </w:rPr>
              <w:t>40</w:t>
            </w:r>
          </w:p>
        </w:tc>
        <w:tc>
          <w:tcPr>
            <w:tcW w:w="720" w:type="dxa"/>
            <w:tcBorders>
              <w:top w:val="single" w:sz="4" w:space="0" w:color="auto"/>
              <w:left w:val="single" w:sz="12" w:space="0" w:color="auto"/>
              <w:bottom w:val="single" w:sz="4" w:space="0" w:color="auto"/>
              <w:right w:val="single" w:sz="4" w:space="0" w:color="auto"/>
              <w:tl2br w:val="nil"/>
              <w:tr2bl w:val="nil"/>
            </w:tcBorders>
            <w:noWrap/>
            <w:textDirection w:val="lrTb"/>
            <w:vAlign w:val="center"/>
          </w:tcPr>
          <w:p w:rsidR="00D652EE" w:rsidRPr="00263BE8" w:rsidP="00C362EA">
            <w:pPr>
              <w:spacing w:line="240" w:lineRule="auto"/>
              <w:rPr>
                <w:rFonts w:ascii="Arial Narrow" w:hAnsi="Arial Narrow" w:cs="Times New Roman"/>
              </w:rPr>
            </w:pPr>
            <w:r w:rsidRPr="00263BE8">
              <w:rPr>
                <w:rFonts w:ascii="Arial Narrow" w:hAnsi="Arial Narrow" w:cs="Times New Roman"/>
              </w:rPr>
              <w:t> </w:t>
            </w:r>
          </w:p>
        </w:tc>
        <w:tc>
          <w:tcPr>
            <w:tcW w:w="707"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D652EE" w:rsidRPr="00263BE8" w:rsidP="00C362EA">
            <w:pPr>
              <w:spacing w:line="240" w:lineRule="auto"/>
              <w:rPr>
                <w:rFonts w:ascii="Arial Narrow" w:hAnsi="Arial Narrow" w:cs="Times New Roman"/>
              </w:rPr>
            </w:pPr>
            <w:r w:rsidRPr="00263BE8">
              <w:rPr>
                <w:rFonts w:ascii="Arial Narrow" w:hAnsi="Arial Narrow" w:cs="Times New Roman"/>
              </w:rPr>
              <w:t> </w:t>
            </w:r>
          </w:p>
        </w:tc>
        <w:tc>
          <w:tcPr>
            <w:tcW w:w="733"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D652EE" w:rsidRPr="00263BE8" w:rsidP="00C362EA">
            <w:pPr>
              <w:spacing w:line="240" w:lineRule="auto"/>
              <w:jc w:val="right"/>
              <w:rPr>
                <w:rFonts w:ascii="Arial Narrow" w:hAnsi="Arial Narrow" w:cs="Times New Roman"/>
              </w:rPr>
            </w:pPr>
            <w:r>
              <w:rPr>
                <w:rFonts w:ascii="Arial Narrow" w:hAnsi="Arial Narrow" w:cs="Times New Roman"/>
              </w:rPr>
              <w:t>1</w:t>
            </w:r>
            <w:r w:rsidR="00B527A8">
              <w:rPr>
                <w:rFonts w:ascii="Arial Narrow" w:hAnsi="Arial Narrow" w:cs="Times New Roman"/>
              </w:rPr>
              <w:t>34</w:t>
            </w:r>
          </w:p>
        </w:tc>
        <w:tc>
          <w:tcPr>
            <w:tcW w:w="720" w:type="dxa"/>
            <w:tcBorders>
              <w:top w:val="single" w:sz="4" w:space="0" w:color="auto"/>
              <w:left w:val="single" w:sz="4" w:space="0" w:color="auto"/>
              <w:bottom w:val="single" w:sz="4" w:space="0" w:color="auto"/>
              <w:right w:val="single" w:sz="12" w:space="0" w:color="auto"/>
              <w:tl2br w:val="nil"/>
              <w:tr2bl w:val="nil"/>
            </w:tcBorders>
            <w:noWrap/>
            <w:textDirection w:val="lrTb"/>
            <w:vAlign w:val="center"/>
          </w:tcPr>
          <w:p w:rsidR="00D652EE" w:rsidRPr="00263BE8" w:rsidP="00C362EA">
            <w:pPr>
              <w:spacing w:line="240" w:lineRule="auto"/>
              <w:jc w:val="right"/>
              <w:rPr>
                <w:rFonts w:ascii="Arial Narrow" w:hAnsi="Arial Narrow" w:cs="Times New Roman"/>
              </w:rPr>
            </w:pPr>
            <w:r>
              <w:rPr>
                <w:rFonts w:ascii="Arial Narrow" w:hAnsi="Arial Narrow" w:cs="Times New Roman"/>
              </w:rPr>
              <w:t>1</w:t>
            </w:r>
            <w:r w:rsidR="00B527A8">
              <w:rPr>
                <w:rFonts w:ascii="Arial Narrow" w:hAnsi="Arial Narrow" w:cs="Times New Roman"/>
              </w:rPr>
              <w:t>34</w:t>
            </w:r>
          </w:p>
        </w:tc>
        <w:tc>
          <w:tcPr>
            <w:tcW w:w="720" w:type="dxa"/>
            <w:tcBorders>
              <w:top w:val="single" w:sz="4" w:space="0" w:color="auto"/>
              <w:left w:val="single" w:sz="12" w:space="0" w:color="auto"/>
              <w:bottom w:val="single" w:sz="4" w:space="0" w:color="auto"/>
              <w:right w:val="single" w:sz="4" w:space="0" w:color="auto"/>
              <w:tl2br w:val="nil"/>
              <w:tr2bl w:val="nil"/>
            </w:tcBorders>
            <w:noWrap/>
            <w:textDirection w:val="lrTb"/>
            <w:vAlign w:val="center"/>
          </w:tcPr>
          <w:p w:rsidR="00D652EE" w:rsidRPr="00263BE8" w:rsidP="00C362EA">
            <w:pPr>
              <w:spacing w:line="240" w:lineRule="auto"/>
              <w:rPr>
                <w:rFonts w:ascii="Arial Narrow" w:hAnsi="Arial Narrow" w:cs="Times New Roman"/>
              </w:rPr>
            </w:pPr>
            <w:r w:rsidRPr="00263BE8">
              <w:rPr>
                <w:rFonts w:ascii="Arial Narrow" w:hAnsi="Arial Narrow" w:cs="Times New Roman"/>
              </w:rPr>
              <w:t> </w:t>
            </w:r>
          </w:p>
        </w:tc>
        <w:tc>
          <w:tcPr>
            <w:tcW w:w="72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D652EE" w:rsidRPr="00263BE8" w:rsidP="00C362EA">
            <w:pPr>
              <w:spacing w:line="240" w:lineRule="auto"/>
              <w:rPr>
                <w:rFonts w:ascii="Arial Narrow" w:hAnsi="Arial Narrow" w:cs="Times New Roman"/>
              </w:rPr>
            </w:pPr>
            <w:r w:rsidRPr="00263BE8">
              <w:rPr>
                <w:rFonts w:ascii="Arial Narrow" w:hAnsi="Arial Narrow" w:cs="Times New Roman"/>
              </w:rPr>
              <w:t> </w:t>
            </w:r>
          </w:p>
        </w:tc>
        <w:tc>
          <w:tcPr>
            <w:tcW w:w="72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D652EE" w:rsidRPr="00263BE8" w:rsidP="00C362EA">
            <w:pPr>
              <w:spacing w:line="240" w:lineRule="auto"/>
              <w:jc w:val="right"/>
              <w:rPr>
                <w:rFonts w:ascii="Arial Narrow" w:hAnsi="Arial Narrow" w:cs="Times New Roman"/>
              </w:rPr>
            </w:pPr>
            <w:r>
              <w:rPr>
                <w:rFonts w:ascii="Arial Narrow" w:hAnsi="Arial Narrow" w:cs="Times New Roman"/>
              </w:rPr>
              <w:t>1</w:t>
            </w:r>
            <w:r w:rsidR="00B527A8">
              <w:rPr>
                <w:rFonts w:ascii="Arial Narrow" w:hAnsi="Arial Narrow" w:cs="Times New Roman"/>
              </w:rPr>
              <w:t>07</w:t>
            </w:r>
          </w:p>
        </w:tc>
        <w:tc>
          <w:tcPr>
            <w:tcW w:w="720" w:type="dxa"/>
            <w:tcBorders>
              <w:top w:val="single" w:sz="4" w:space="0" w:color="auto"/>
              <w:left w:val="single" w:sz="4" w:space="0" w:color="auto"/>
              <w:bottom w:val="single" w:sz="4" w:space="0" w:color="auto"/>
              <w:right w:val="single" w:sz="12" w:space="0" w:color="auto"/>
              <w:tl2br w:val="nil"/>
              <w:tr2bl w:val="nil"/>
            </w:tcBorders>
            <w:noWrap/>
            <w:textDirection w:val="lrTb"/>
            <w:vAlign w:val="center"/>
          </w:tcPr>
          <w:p w:rsidR="00D652EE" w:rsidRPr="00263BE8" w:rsidP="00C362EA">
            <w:pPr>
              <w:spacing w:line="240" w:lineRule="auto"/>
              <w:jc w:val="right"/>
              <w:rPr>
                <w:rFonts w:ascii="Arial Narrow" w:hAnsi="Arial Narrow" w:cs="Times New Roman"/>
              </w:rPr>
            </w:pPr>
            <w:r>
              <w:rPr>
                <w:rFonts w:ascii="Arial Narrow" w:hAnsi="Arial Narrow" w:cs="Times New Roman"/>
              </w:rPr>
              <w:t>1</w:t>
            </w:r>
            <w:r w:rsidR="00B527A8">
              <w:rPr>
                <w:rFonts w:ascii="Arial Narrow" w:hAnsi="Arial Narrow" w:cs="Times New Roman"/>
              </w:rPr>
              <w:t>07</w:t>
            </w:r>
          </w:p>
        </w:tc>
      </w:tr>
      <w:tr>
        <w:tblPrEx>
          <w:tblW w:w="9735" w:type="dxa"/>
          <w:tblInd w:w="-110" w:type="dxa"/>
          <w:tblLayout w:type="fixed"/>
          <w:tblCellMar>
            <w:left w:w="70" w:type="dxa"/>
            <w:right w:w="70" w:type="dxa"/>
          </w:tblCellMar>
        </w:tblPrEx>
        <w:trPr>
          <w:trHeight w:val="259"/>
        </w:trPr>
        <w:tc>
          <w:tcPr>
            <w:tcW w:w="1095" w:type="dxa"/>
            <w:tcBorders>
              <w:top w:val="single" w:sz="4" w:space="0" w:color="auto"/>
              <w:left w:val="single" w:sz="12" w:space="0" w:color="auto"/>
              <w:bottom w:val="single" w:sz="4" w:space="0" w:color="auto"/>
              <w:right w:val="single" w:sz="12" w:space="0" w:color="auto"/>
              <w:tl2br w:val="nil"/>
              <w:tr2bl w:val="nil"/>
            </w:tcBorders>
            <w:noWrap/>
            <w:textDirection w:val="lrTb"/>
            <w:vAlign w:val="center"/>
          </w:tcPr>
          <w:p w:rsidR="00D652EE" w:rsidRPr="00263BE8" w:rsidP="00C362EA">
            <w:pPr>
              <w:spacing w:line="240" w:lineRule="auto"/>
              <w:rPr>
                <w:rFonts w:ascii="Arial Narrow" w:hAnsi="Arial Narrow" w:cs="Times New Roman"/>
              </w:rPr>
            </w:pPr>
            <w:r>
              <w:rPr>
                <w:rFonts w:ascii="Arial Narrow" w:hAnsi="Arial Narrow" w:cs="Times New Roman"/>
              </w:rPr>
              <w:t>SSC</w:t>
            </w:r>
          </w:p>
        </w:tc>
        <w:tc>
          <w:tcPr>
            <w:tcW w:w="720" w:type="dxa"/>
            <w:tcBorders>
              <w:top w:val="single" w:sz="4" w:space="0" w:color="auto"/>
              <w:left w:val="single" w:sz="12" w:space="0" w:color="auto"/>
              <w:bottom w:val="single" w:sz="4" w:space="0" w:color="auto"/>
              <w:right w:val="single" w:sz="4" w:space="0" w:color="auto"/>
              <w:tl2br w:val="nil"/>
              <w:tr2bl w:val="nil"/>
            </w:tcBorders>
            <w:textDirection w:val="lrTb"/>
            <w:vAlign w:val="center"/>
          </w:tcPr>
          <w:p w:rsidR="00D652EE" w:rsidRPr="00263BE8" w:rsidP="00C362EA">
            <w:pPr>
              <w:spacing w:line="240" w:lineRule="auto"/>
              <w:jc w:val="right"/>
              <w:rPr>
                <w:rFonts w:ascii="Arial Narrow" w:hAnsi="Arial Narrow" w:cs="Times New Roman"/>
              </w:rPr>
            </w:pPr>
          </w:p>
        </w:tc>
        <w:tc>
          <w:tcPr>
            <w:tcW w:w="72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D652EE" w:rsidRPr="00263BE8" w:rsidP="00C362EA">
            <w:pPr>
              <w:spacing w:line="240" w:lineRule="auto"/>
              <w:jc w:val="right"/>
              <w:rPr>
                <w:rFonts w:ascii="Arial Narrow" w:hAnsi="Arial Narrow" w:cs="Times New Roman"/>
              </w:rPr>
            </w:pPr>
          </w:p>
        </w:tc>
        <w:tc>
          <w:tcPr>
            <w:tcW w:w="72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D652EE" w:rsidRPr="00263BE8" w:rsidP="00C362EA">
            <w:pPr>
              <w:spacing w:line="240" w:lineRule="auto"/>
              <w:jc w:val="right"/>
              <w:rPr>
                <w:rFonts w:ascii="Arial Narrow" w:hAnsi="Arial Narrow" w:cs="Times New Roman"/>
              </w:rPr>
            </w:pPr>
            <w:r w:rsidR="007F2D6C">
              <w:rPr>
                <w:rFonts w:ascii="Arial Narrow" w:hAnsi="Arial Narrow" w:cs="Times New Roman"/>
              </w:rPr>
              <w:t>368</w:t>
            </w:r>
          </w:p>
        </w:tc>
        <w:tc>
          <w:tcPr>
            <w:tcW w:w="720" w:type="dxa"/>
            <w:tcBorders>
              <w:top w:val="single" w:sz="4" w:space="0" w:color="auto"/>
              <w:left w:val="single" w:sz="4" w:space="0" w:color="auto"/>
              <w:bottom w:val="single" w:sz="4" w:space="0" w:color="auto"/>
              <w:right w:val="single" w:sz="12" w:space="0" w:color="auto"/>
              <w:tl2br w:val="nil"/>
              <w:tr2bl w:val="nil"/>
            </w:tcBorders>
            <w:textDirection w:val="lrTb"/>
            <w:vAlign w:val="center"/>
          </w:tcPr>
          <w:p w:rsidR="00D652EE" w:rsidRPr="00263BE8" w:rsidP="00C362EA">
            <w:pPr>
              <w:spacing w:line="240" w:lineRule="auto"/>
              <w:jc w:val="right"/>
              <w:rPr>
                <w:rFonts w:ascii="Arial Narrow" w:hAnsi="Arial Narrow" w:cs="Times New Roman"/>
              </w:rPr>
            </w:pPr>
            <w:r w:rsidR="007F2D6C">
              <w:rPr>
                <w:rFonts w:ascii="Arial Narrow" w:hAnsi="Arial Narrow" w:cs="Times New Roman"/>
              </w:rPr>
              <w:t>368</w:t>
            </w:r>
          </w:p>
        </w:tc>
        <w:tc>
          <w:tcPr>
            <w:tcW w:w="720" w:type="dxa"/>
            <w:tcBorders>
              <w:top w:val="single" w:sz="4" w:space="0" w:color="auto"/>
              <w:left w:val="single" w:sz="12" w:space="0" w:color="auto"/>
              <w:bottom w:val="single" w:sz="4" w:space="0" w:color="auto"/>
              <w:right w:val="single" w:sz="4" w:space="0" w:color="auto"/>
              <w:tl2br w:val="nil"/>
              <w:tr2bl w:val="nil"/>
            </w:tcBorders>
            <w:noWrap/>
            <w:textDirection w:val="lrTb"/>
            <w:vAlign w:val="center"/>
          </w:tcPr>
          <w:p w:rsidR="00D652EE" w:rsidRPr="00263BE8" w:rsidP="00C362EA">
            <w:pPr>
              <w:spacing w:line="240" w:lineRule="auto"/>
              <w:rPr>
                <w:rFonts w:ascii="Arial Narrow" w:hAnsi="Arial Narrow" w:cs="Times New Roman"/>
              </w:rPr>
            </w:pPr>
            <w:r w:rsidRPr="00263BE8">
              <w:rPr>
                <w:rFonts w:ascii="Arial Narrow" w:hAnsi="Arial Narrow" w:cs="Times New Roman"/>
              </w:rPr>
              <w:t> </w:t>
            </w:r>
          </w:p>
        </w:tc>
        <w:tc>
          <w:tcPr>
            <w:tcW w:w="707"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D652EE" w:rsidRPr="00263BE8" w:rsidP="00C362EA">
            <w:pPr>
              <w:spacing w:line="240" w:lineRule="auto"/>
              <w:rPr>
                <w:rFonts w:ascii="Arial Narrow" w:hAnsi="Arial Narrow" w:cs="Times New Roman"/>
              </w:rPr>
            </w:pPr>
            <w:r w:rsidRPr="00263BE8">
              <w:rPr>
                <w:rFonts w:ascii="Arial Narrow" w:hAnsi="Arial Narrow" w:cs="Times New Roman"/>
              </w:rPr>
              <w:t> </w:t>
            </w:r>
          </w:p>
        </w:tc>
        <w:tc>
          <w:tcPr>
            <w:tcW w:w="733"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D652EE" w:rsidRPr="00263BE8" w:rsidP="00C362EA">
            <w:pPr>
              <w:spacing w:line="240" w:lineRule="auto"/>
              <w:jc w:val="right"/>
              <w:rPr>
                <w:rFonts w:ascii="Arial Narrow" w:hAnsi="Arial Narrow" w:cs="Times New Roman"/>
              </w:rPr>
            </w:pPr>
            <w:r>
              <w:rPr>
                <w:rFonts w:ascii="Arial Narrow" w:hAnsi="Arial Narrow" w:cs="Times New Roman"/>
              </w:rPr>
              <w:t>368</w:t>
            </w:r>
          </w:p>
        </w:tc>
        <w:tc>
          <w:tcPr>
            <w:tcW w:w="720" w:type="dxa"/>
            <w:tcBorders>
              <w:top w:val="single" w:sz="4" w:space="0" w:color="auto"/>
              <w:left w:val="single" w:sz="4" w:space="0" w:color="auto"/>
              <w:bottom w:val="single" w:sz="4" w:space="0" w:color="auto"/>
              <w:right w:val="single" w:sz="12" w:space="0" w:color="auto"/>
              <w:tl2br w:val="nil"/>
              <w:tr2bl w:val="nil"/>
            </w:tcBorders>
            <w:noWrap/>
            <w:textDirection w:val="lrTb"/>
            <w:vAlign w:val="center"/>
          </w:tcPr>
          <w:p w:rsidR="00D652EE" w:rsidRPr="00263BE8" w:rsidP="00C362EA">
            <w:pPr>
              <w:spacing w:line="240" w:lineRule="auto"/>
              <w:jc w:val="right"/>
              <w:rPr>
                <w:rFonts w:ascii="Arial Narrow" w:hAnsi="Arial Narrow" w:cs="Times New Roman"/>
              </w:rPr>
            </w:pPr>
            <w:r>
              <w:rPr>
                <w:rFonts w:ascii="Arial Narrow" w:hAnsi="Arial Narrow" w:cs="Times New Roman"/>
              </w:rPr>
              <w:t>368</w:t>
            </w:r>
          </w:p>
        </w:tc>
        <w:tc>
          <w:tcPr>
            <w:tcW w:w="720" w:type="dxa"/>
            <w:tcBorders>
              <w:top w:val="single" w:sz="4" w:space="0" w:color="auto"/>
              <w:left w:val="single" w:sz="12" w:space="0" w:color="auto"/>
              <w:bottom w:val="single" w:sz="4" w:space="0" w:color="auto"/>
              <w:right w:val="single" w:sz="4" w:space="0" w:color="auto"/>
              <w:tl2br w:val="nil"/>
              <w:tr2bl w:val="nil"/>
            </w:tcBorders>
            <w:noWrap/>
            <w:textDirection w:val="lrTb"/>
            <w:vAlign w:val="center"/>
          </w:tcPr>
          <w:p w:rsidR="00D652EE" w:rsidRPr="00263BE8" w:rsidP="00C362EA">
            <w:pPr>
              <w:spacing w:line="240" w:lineRule="auto"/>
              <w:rPr>
                <w:rFonts w:ascii="Arial Narrow" w:hAnsi="Arial Narrow" w:cs="Times New Roman"/>
              </w:rPr>
            </w:pPr>
            <w:r w:rsidRPr="00263BE8">
              <w:rPr>
                <w:rFonts w:ascii="Arial Narrow" w:hAnsi="Arial Narrow" w:cs="Times New Roman"/>
              </w:rPr>
              <w:t> </w:t>
            </w:r>
          </w:p>
        </w:tc>
        <w:tc>
          <w:tcPr>
            <w:tcW w:w="72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D652EE" w:rsidRPr="00263BE8" w:rsidP="00C362EA">
            <w:pPr>
              <w:spacing w:line="240" w:lineRule="auto"/>
              <w:rPr>
                <w:rFonts w:ascii="Arial Narrow" w:hAnsi="Arial Narrow" w:cs="Times New Roman"/>
              </w:rPr>
            </w:pPr>
            <w:r w:rsidRPr="00263BE8">
              <w:rPr>
                <w:rFonts w:ascii="Arial Narrow" w:hAnsi="Arial Narrow" w:cs="Times New Roman"/>
              </w:rPr>
              <w:t> </w:t>
            </w:r>
          </w:p>
        </w:tc>
        <w:tc>
          <w:tcPr>
            <w:tcW w:w="72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D652EE" w:rsidRPr="00263BE8" w:rsidP="00C362EA">
            <w:pPr>
              <w:spacing w:line="240" w:lineRule="auto"/>
              <w:jc w:val="right"/>
              <w:rPr>
                <w:rFonts w:ascii="Arial Narrow" w:hAnsi="Arial Narrow" w:cs="Times New Roman"/>
              </w:rPr>
            </w:pPr>
            <w:r>
              <w:rPr>
                <w:rFonts w:ascii="Arial Narrow" w:hAnsi="Arial Narrow" w:cs="Times New Roman"/>
              </w:rPr>
              <w:t>3</w:t>
            </w:r>
            <w:r w:rsidR="00B527A8">
              <w:rPr>
                <w:rFonts w:ascii="Arial Narrow" w:hAnsi="Arial Narrow" w:cs="Times New Roman"/>
              </w:rPr>
              <w:t>5</w:t>
            </w:r>
            <w:r w:rsidR="0053262B">
              <w:rPr>
                <w:rFonts w:ascii="Arial Narrow" w:hAnsi="Arial Narrow" w:cs="Times New Roman"/>
              </w:rPr>
              <w:t>8</w:t>
            </w:r>
          </w:p>
        </w:tc>
        <w:tc>
          <w:tcPr>
            <w:tcW w:w="720" w:type="dxa"/>
            <w:tcBorders>
              <w:top w:val="single" w:sz="4" w:space="0" w:color="auto"/>
              <w:left w:val="single" w:sz="4" w:space="0" w:color="auto"/>
              <w:bottom w:val="single" w:sz="4" w:space="0" w:color="auto"/>
              <w:right w:val="single" w:sz="12" w:space="0" w:color="auto"/>
              <w:tl2br w:val="nil"/>
              <w:tr2bl w:val="nil"/>
            </w:tcBorders>
            <w:noWrap/>
            <w:textDirection w:val="lrTb"/>
            <w:vAlign w:val="center"/>
          </w:tcPr>
          <w:p w:rsidR="00D652EE" w:rsidRPr="00263BE8" w:rsidP="00C362EA">
            <w:pPr>
              <w:spacing w:line="240" w:lineRule="auto"/>
              <w:jc w:val="right"/>
              <w:rPr>
                <w:rFonts w:ascii="Arial Narrow" w:hAnsi="Arial Narrow" w:cs="Times New Roman"/>
              </w:rPr>
            </w:pPr>
            <w:r>
              <w:rPr>
                <w:rFonts w:ascii="Arial Narrow" w:hAnsi="Arial Narrow" w:cs="Times New Roman"/>
              </w:rPr>
              <w:t>3</w:t>
            </w:r>
            <w:r w:rsidR="00B527A8">
              <w:rPr>
                <w:rFonts w:ascii="Arial Narrow" w:hAnsi="Arial Narrow" w:cs="Times New Roman"/>
              </w:rPr>
              <w:t>5</w:t>
            </w:r>
            <w:r w:rsidR="0053262B">
              <w:rPr>
                <w:rFonts w:ascii="Arial Narrow" w:hAnsi="Arial Narrow" w:cs="Times New Roman"/>
              </w:rPr>
              <w:t>8</w:t>
            </w:r>
          </w:p>
        </w:tc>
      </w:tr>
      <w:tr>
        <w:tblPrEx>
          <w:tblW w:w="9735" w:type="dxa"/>
          <w:tblInd w:w="-110" w:type="dxa"/>
          <w:tblLayout w:type="fixed"/>
          <w:tblCellMar>
            <w:left w:w="70" w:type="dxa"/>
            <w:right w:w="70" w:type="dxa"/>
          </w:tblCellMar>
        </w:tblPrEx>
        <w:trPr>
          <w:trHeight w:val="259"/>
        </w:trPr>
        <w:tc>
          <w:tcPr>
            <w:tcW w:w="1095" w:type="dxa"/>
            <w:tcBorders>
              <w:top w:val="single" w:sz="4" w:space="0" w:color="auto"/>
              <w:left w:val="single" w:sz="12" w:space="0" w:color="auto"/>
              <w:bottom w:val="single" w:sz="4" w:space="0" w:color="auto"/>
              <w:right w:val="single" w:sz="12" w:space="0" w:color="auto"/>
              <w:tl2br w:val="nil"/>
              <w:tr2bl w:val="nil"/>
            </w:tcBorders>
            <w:noWrap/>
            <w:textDirection w:val="lrTb"/>
            <w:vAlign w:val="center"/>
          </w:tcPr>
          <w:p w:rsidR="00D652EE" w:rsidRPr="00263BE8" w:rsidP="00C362EA">
            <w:pPr>
              <w:spacing w:line="240" w:lineRule="auto"/>
              <w:rPr>
                <w:rFonts w:ascii="Arial Narrow" w:hAnsi="Arial Narrow" w:cs="Times New Roman"/>
              </w:rPr>
            </w:pPr>
            <w:r>
              <w:rPr>
                <w:rFonts w:ascii="Arial Narrow" w:hAnsi="Arial Narrow" w:cs="Times New Roman"/>
              </w:rPr>
              <w:t xml:space="preserve">ÚVZ </w:t>
            </w:r>
          </w:p>
        </w:tc>
        <w:tc>
          <w:tcPr>
            <w:tcW w:w="720" w:type="dxa"/>
            <w:tcBorders>
              <w:top w:val="single" w:sz="4" w:space="0" w:color="auto"/>
              <w:left w:val="single" w:sz="12" w:space="0" w:color="auto"/>
              <w:bottom w:val="single" w:sz="4" w:space="0" w:color="auto"/>
              <w:right w:val="single" w:sz="4" w:space="0" w:color="auto"/>
              <w:tl2br w:val="nil"/>
              <w:tr2bl w:val="nil"/>
            </w:tcBorders>
            <w:textDirection w:val="lrTb"/>
            <w:vAlign w:val="center"/>
          </w:tcPr>
          <w:p w:rsidR="00D652EE" w:rsidRPr="00263BE8" w:rsidP="00C362EA">
            <w:pPr>
              <w:spacing w:line="240" w:lineRule="auto"/>
              <w:jc w:val="right"/>
              <w:rPr>
                <w:rFonts w:ascii="Arial Narrow" w:hAnsi="Arial Narrow" w:cs="Times New Roman"/>
              </w:rPr>
            </w:pPr>
          </w:p>
        </w:tc>
        <w:tc>
          <w:tcPr>
            <w:tcW w:w="72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D652EE" w:rsidRPr="00263BE8" w:rsidP="00C362EA">
            <w:pPr>
              <w:spacing w:line="240" w:lineRule="auto"/>
              <w:jc w:val="right"/>
              <w:rPr>
                <w:rFonts w:ascii="Arial Narrow" w:hAnsi="Arial Narrow" w:cs="Times New Roman"/>
              </w:rPr>
            </w:pPr>
          </w:p>
        </w:tc>
        <w:tc>
          <w:tcPr>
            <w:tcW w:w="72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D652EE" w:rsidRPr="00263BE8" w:rsidP="00C362EA">
            <w:pPr>
              <w:spacing w:line="240" w:lineRule="auto"/>
              <w:jc w:val="right"/>
              <w:rPr>
                <w:rFonts w:ascii="Arial Narrow" w:hAnsi="Arial Narrow" w:cs="Times New Roman"/>
              </w:rPr>
            </w:pPr>
            <w:r w:rsidR="007F2D6C">
              <w:rPr>
                <w:rFonts w:ascii="Arial Narrow" w:hAnsi="Arial Narrow" w:cs="Times New Roman"/>
              </w:rPr>
              <w:t>59</w:t>
            </w:r>
          </w:p>
        </w:tc>
        <w:tc>
          <w:tcPr>
            <w:tcW w:w="720" w:type="dxa"/>
            <w:tcBorders>
              <w:top w:val="single" w:sz="4" w:space="0" w:color="auto"/>
              <w:left w:val="single" w:sz="4" w:space="0" w:color="auto"/>
              <w:bottom w:val="single" w:sz="4" w:space="0" w:color="auto"/>
              <w:right w:val="single" w:sz="12" w:space="0" w:color="auto"/>
              <w:tl2br w:val="nil"/>
              <w:tr2bl w:val="nil"/>
            </w:tcBorders>
            <w:textDirection w:val="lrTb"/>
            <w:vAlign w:val="center"/>
          </w:tcPr>
          <w:p w:rsidR="00D652EE" w:rsidRPr="00263BE8" w:rsidP="00C362EA">
            <w:pPr>
              <w:spacing w:line="240" w:lineRule="auto"/>
              <w:jc w:val="right"/>
              <w:rPr>
                <w:rFonts w:ascii="Arial Narrow" w:hAnsi="Arial Narrow" w:cs="Times New Roman"/>
              </w:rPr>
            </w:pPr>
            <w:r w:rsidR="007F2D6C">
              <w:rPr>
                <w:rFonts w:ascii="Arial Narrow" w:hAnsi="Arial Narrow" w:cs="Times New Roman"/>
              </w:rPr>
              <w:t>59</w:t>
            </w:r>
          </w:p>
        </w:tc>
        <w:tc>
          <w:tcPr>
            <w:tcW w:w="720" w:type="dxa"/>
            <w:tcBorders>
              <w:top w:val="single" w:sz="4" w:space="0" w:color="auto"/>
              <w:left w:val="single" w:sz="12" w:space="0" w:color="auto"/>
              <w:bottom w:val="single" w:sz="4" w:space="0" w:color="auto"/>
              <w:right w:val="single" w:sz="4" w:space="0" w:color="auto"/>
              <w:tl2br w:val="nil"/>
              <w:tr2bl w:val="nil"/>
            </w:tcBorders>
            <w:noWrap/>
            <w:textDirection w:val="lrTb"/>
            <w:vAlign w:val="center"/>
          </w:tcPr>
          <w:p w:rsidR="00D652EE" w:rsidRPr="00263BE8" w:rsidP="00C362EA">
            <w:pPr>
              <w:spacing w:line="240" w:lineRule="auto"/>
              <w:rPr>
                <w:rFonts w:ascii="Arial Narrow" w:hAnsi="Arial Narrow" w:cs="Times New Roman"/>
              </w:rPr>
            </w:pPr>
            <w:r w:rsidRPr="00263BE8">
              <w:rPr>
                <w:rFonts w:ascii="Arial Narrow" w:hAnsi="Arial Narrow" w:cs="Times New Roman"/>
              </w:rPr>
              <w:t> </w:t>
            </w:r>
          </w:p>
        </w:tc>
        <w:tc>
          <w:tcPr>
            <w:tcW w:w="707"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D652EE" w:rsidRPr="00263BE8" w:rsidP="00C362EA">
            <w:pPr>
              <w:spacing w:line="240" w:lineRule="auto"/>
              <w:rPr>
                <w:rFonts w:ascii="Arial Narrow" w:hAnsi="Arial Narrow" w:cs="Times New Roman"/>
              </w:rPr>
            </w:pPr>
            <w:r w:rsidRPr="00263BE8">
              <w:rPr>
                <w:rFonts w:ascii="Arial Narrow" w:hAnsi="Arial Narrow" w:cs="Times New Roman"/>
              </w:rPr>
              <w:t> </w:t>
            </w:r>
          </w:p>
        </w:tc>
        <w:tc>
          <w:tcPr>
            <w:tcW w:w="733"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D652EE" w:rsidRPr="00263BE8" w:rsidP="00C362EA">
            <w:pPr>
              <w:spacing w:line="240" w:lineRule="auto"/>
              <w:jc w:val="right"/>
              <w:rPr>
                <w:rFonts w:ascii="Arial Narrow" w:hAnsi="Arial Narrow" w:cs="Times New Roman"/>
              </w:rPr>
            </w:pPr>
            <w:r w:rsidRPr="00263BE8">
              <w:rPr>
                <w:rFonts w:ascii="Arial Narrow" w:hAnsi="Arial Narrow" w:cs="Times New Roman"/>
              </w:rPr>
              <w:t>59</w:t>
            </w:r>
          </w:p>
        </w:tc>
        <w:tc>
          <w:tcPr>
            <w:tcW w:w="720" w:type="dxa"/>
            <w:tcBorders>
              <w:top w:val="single" w:sz="4" w:space="0" w:color="auto"/>
              <w:left w:val="single" w:sz="4" w:space="0" w:color="auto"/>
              <w:bottom w:val="single" w:sz="4" w:space="0" w:color="auto"/>
              <w:right w:val="single" w:sz="12" w:space="0" w:color="auto"/>
              <w:tl2br w:val="nil"/>
              <w:tr2bl w:val="nil"/>
            </w:tcBorders>
            <w:noWrap/>
            <w:textDirection w:val="lrTb"/>
            <w:vAlign w:val="center"/>
          </w:tcPr>
          <w:p w:rsidR="00D652EE" w:rsidRPr="00263BE8" w:rsidP="00C362EA">
            <w:pPr>
              <w:spacing w:line="240" w:lineRule="auto"/>
              <w:jc w:val="right"/>
              <w:rPr>
                <w:rFonts w:ascii="Arial Narrow" w:hAnsi="Arial Narrow" w:cs="Times New Roman"/>
              </w:rPr>
            </w:pPr>
            <w:r w:rsidRPr="00263BE8">
              <w:rPr>
                <w:rFonts w:ascii="Arial Narrow" w:hAnsi="Arial Narrow" w:cs="Times New Roman"/>
              </w:rPr>
              <w:t>59</w:t>
            </w:r>
          </w:p>
        </w:tc>
        <w:tc>
          <w:tcPr>
            <w:tcW w:w="720" w:type="dxa"/>
            <w:tcBorders>
              <w:top w:val="single" w:sz="4" w:space="0" w:color="auto"/>
              <w:left w:val="single" w:sz="12" w:space="0" w:color="auto"/>
              <w:bottom w:val="single" w:sz="4" w:space="0" w:color="auto"/>
              <w:right w:val="single" w:sz="4" w:space="0" w:color="auto"/>
              <w:tl2br w:val="nil"/>
              <w:tr2bl w:val="nil"/>
            </w:tcBorders>
            <w:noWrap/>
            <w:textDirection w:val="lrTb"/>
            <w:vAlign w:val="center"/>
          </w:tcPr>
          <w:p w:rsidR="00D652EE" w:rsidRPr="00263BE8" w:rsidP="00C362EA">
            <w:pPr>
              <w:spacing w:line="240" w:lineRule="auto"/>
              <w:rPr>
                <w:rFonts w:ascii="Arial Narrow" w:hAnsi="Arial Narrow" w:cs="Times New Roman"/>
              </w:rPr>
            </w:pPr>
            <w:r w:rsidRPr="00263BE8">
              <w:rPr>
                <w:rFonts w:ascii="Arial Narrow" w:hAnsi="Arial Narrow" w:cs="Times New Roman"/>
              </w:rPr>
              <w:t> </w:t>
            </w:r>
          </w:p>
        </w:tc>
        <w:tc>
          <w:tcPr>
            <w:tcW w:w="72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D652EE" w:rsidRPr="00263BE8" w:rsidP="00C362EA">
            <w:pPr>
              <w:spacing w:line="240" w:lineRule="auto"/>
              <w:rPr>
                <w:rFonts w:ascii="Arial Narrow" w:hAnsi="Arial Narrow" w:cs="Times New Roman"/>
              </w:rPr>
            </w:pPr>
            <w:r w:rsidRPr="00263BE8">
              <w:rPr>
                <w:rFonts w:ascii="Arial Narrow" w:hAnsi="Arial Narrow" w:cs="Times New Roman"/>
              </w:rPr>
              <w:t> </w:t>
            </w:r>
          </w:p>
        </w:tc>
        <w:tc>
          <w:tcPr>
            <w:tcW w:w="72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D652EE" w:rsidRPr="00263BE8" w:rsidP="00C362EA">
            <w:pPr>
              <w:spacing w:line="240" w:lineRule="auto"/>
              <w:jc w:val="right"/>
              <w:rPr>
                <w:rFonts w:ascii="Arial Narrow" w:hAnsi="Arial Narrow" w:cs="Times New Roman"/>
              </w:rPr>
            </w:pPr>
            <w:r w:rsidR="00B527A8">
              <w:rPr>
                <w:rFonts w:ascii="Arial Narrow" w:hAnsi="Arial Narrow" w:cs="Times New Roman"/>
              </w:rPr>
              <w:t>48</w:t>
            </w:r>
          </w:p>
        </w:tc>
        <w:tc>
          <w:tcPr>
            <w:tcW w:w="720" w:type="dxa"/>
            <w:tcBorders>
              <w:top w:val="single" w:sz="4" w:space="0" w:color="auto"/>
              <w:left w:val="single" w:sz="4" w:space="0" w:color="auto"/>
              <w:bottom w:val="single" w:sz="4" w:space="0" w:color="auto"/>
              <w:right w:val="single" w:sz="12" w:space="0" w:color="auto"/>
              <w:tl2br w:val="nil"/>
              <w:tr2bl w:val="nil"/>
            </w:tcBorders>
            <w:noWrap/>
            <w:textDirection w:val="lrTb"/>
            <w:vAlign w:val="center"/>
          </w:tcPr>
          <w:p w:rsidR="00D652EE" w:rsidRPr="00263BE8" w:rsidP="00C362EA">
            <w:pPr>
              <w:spacing w:line="240" w:lineRule="auto"/>
              <w:jc w:val="right"/>
              <w:rPr>
                <w:rFonts w:ascii="Arial Narrow" w:hAnsi="Arial Narrow" w:cs="Times New Roman"/>
              </w:rPr>
            </w:pPr>
            <w:r w:rsidR="00B527A8">
              <w:rPr>
                <w:rFonts w:ascii="Arial Narrow" w:hAnsi="Arial Narrow" w:cs="Times New Roman"/>
              </w:rPr>
              <w:t>48</w:t>
            </w:r>
          </w:p>
        </w:tc>
      </w:tr>
      <w:tr>
        <w:tblPrEx>
          <w:tblW w:w="9735" w:type="dxa"/>
          <w:tblInd w:w="-110" w:type="dxa"/>
          <w:tblLayout w:type="fixed"/>
          <w:tblCellMar>
            <w:left w:w="70" w:type="dxa"/>
            <w:right w:w="70" w:type="dxa"/>
          </w:tblCellMar>
        </w:tblPrEx>
        <w:trPr>
          <w:trHeight w:val="259"/>
        </w:trPr>
        <w:tc>
          <w:tcPr>
            <w:tcW w:w="1095" w:type="dxa"/>
            <w:tcBorders>
              <w:top w:val="single" w:sz="4" w:space="0" w:color="auto"/>
              <w:left w:val="single" w:sz="12" w:space="0" w:color="auto"/>
              <w:bottom w:val="single" w:sz="12" w:space="0" w:color="auto"/>
              <w:right w:val="single" w:sz="12" w:space="0" w:color="auto"/>
              <w:tl2br w:val="nil"/>
              <w:tr2bl w:val="nil"/>
            </w:tcBorders>
            <w:noWrap/>
            <w:textDirection w:val="lrTb"/>
            <w:vAlign w:val="center"/>
          </w:tcPr>
          <w:p w:rsidR="00D652EE" w:rsidRPr="00263BE8" w:rsidP="00C362EA">
            <w:pPr>
              <w:spacing w:line="240" w:lineRule="auto"/>
              <w:rPr>
                <w:rFonts w:ascii="Arial Narrow" w:hAnsi="Arial Narrow" w:cs="Times New Roman"/>
              </w:rPr>
            </w:pPr>
            <w:r>
              <w:rPr>
                <w:rFonts w:ascii="Arial Narrow" w:hAnsi="Arial Narrow" w:cs="Times New Roman"/>
              </w:rPr>
              <w:t>ŽP</w:t>
            </w:r>
          </w:p>
        </w:tc>
        <w:tc>
          <w:tcPr>
            <w:tcW w:w="720" w:type="dxa"/>
            <w:tcBorders>
              <w:top w:val="single" w:sz="4" w:space="0" w:color="auto"/>
              <w:left w:val="single" w:sz="12" w:space="0" w:color="auto"/>
              <w:bottom w:val="single" w:sz="12" w:space="0" w:color="auto"/>
              <w:right w:val="single" w:sz="4" w:space="0" w:color="auto"/>
              <w:tl2br w:val="nil"/>
              <w:tr2bl w:val="nil"/>
            </w:tcBorders>
            <w:textDirection w:val="lrTb"/>
            <w:vAlign w:val="center"/>
          </w:tcPr>
          <w:p w:rsidR="00D652EE" w:rsidRPr="00263BE8" w:rsidP="00C362EA">
            <w:pPr>
              <w:spacing w:line="240" w:lineRule="auto"/>
              <w:jc w:val="right"/>
              <w:rPr>
                <w:rFonts w:ascii="Arial Narrow" w:hAnsi="Arial Narrow" w:cs="Times New Roman"/>
              </w:rPr>
            </w:pPr>
          </w:p>
        </w:tc>
        <w:tc>
          <w:tcPr>
            <w:tcW w:w="720" w:type="dxa"/>
            <w:tcBorders>
              <w:top w:val="single" w:sz="4" w:space="0" w:color="auto"/>
              <w:left w:val="single" w:sz="4" w:space="0" w:color="auto"/>
              <w:bottom w:val="single" w:sz="12" w:space="0" w:color="auto"/>
              <w:right w:val="single" w:sz="4" w:space="0" w:color="auto"/>
              <w:tl2br w:val="nil"/>
              <w:tr2bl w:val="nil"/>
            </w:tcBorders>
            <w:textDirection w:val="lrTb"/>
            <w:vAlign w:val="center"/>
          </w:tcPr>
          <w:p w:rsidR="00D652EE" w:rsidRPr="00263BE8" w:rsidP="00C362EA">
            <w:pPr>
              <w:spacing w:line="240" w:lineRule="auto"/>
              <w:jc w:val="right"/>
              <w:rPr>
                <w:rFonts w:ascii="Arial Narrow" w:hAnsi="Arial Narrow" w:cs="Times New Roman"/>
              </w:rPr>
            </w:pPr>
            <w:r w:rsidR="007F2D6C">
              <w:rPr>
                <w:rFonts w:ascii="Arial Narrow" w:hAnsi="Arial Narrow" w:cs="Times New Roman"/>
              </w:rPr>
              <w:t>1 125</w:t>
            </w:r>
          </w:p>
        </w:tc>
        <w:tc>
          <w:tcPr>
            <w:tcW w:w="720" w:type="dxa"/>
            <w:tcBorders>
              <w:top w:val="single" w:sz="4" w:space="0" w:color="auto"/>
              <w:left w:val="single" w:sz="4" w:space="0" w:color="auto"/>
              <w:bottom w:val="single" w:sz="12" w:space="0" w:color="auto"/>
              <w:right w:val="single" w:sz="4" w:space="0" w:color="auto"/>
              <w:tl2br w:val="nil"/>
              <w:tr2bl w:val="nil"/>
            </w:tcBorders>
            <w:textDirection w:val="lrTb"/>
            <w:vAlign w:val="center"/>
          </w:tcPr>
          <w:p w:rsidR="00D652EE" w:rsidRPr="00263BE8" w:rsidP="00C362EA">
            <w:pPr>
              <w:spacing w:line="240" w:lineRule="auto"/>
              <w:jc w:val="right"/>
              <w:rPr>
                <w:rFonts w:ascii="Arial Narrow" w:hAnsi="Arial Narrow" w:cs="Times New Roman"/>
              </w:rPr>
            </w:pPr>
            <w:r w:rsidR="007F2D6C">
              <w:rPr>
                <w:rFonts w:ascii="Arial Narrow" w:hAnsi="Arial Narrow" w:cs="Times New Roman"/>
              </w:rPr>
              <w:t>85</w:t>
            </w:r>
          </w:p>
        </w:tc>
        <w:tc>
          <w:tcPr>
            <w:tcW w:w="720" w:type="dxa"/>
            <w:tcBorders>
              <w:top w:val="single" w:sz="4" w:space="0" w:color="auto"/>
              <w:left w:val="single" w:sz="4" w:space="0" w:color="auto"/>
              <w:bottom w:val="single" w:sz="12" w:space="0" w:color="auto"/>
              <w:right w:val="single" w:sz="12" w:space="0" w:color="auto"/>
              <w:tl2br w:val="nil"/>
              <w:tr2bl w:val="nil"/>
            </w:tcBorders>
            <w:textDirection w:val="lrTb"/>
            <w:vAlign w:val="center"/>
          </w:tcPr>
          <w:p w:rsidR="00D652EE" w:rsidRPr="00263BE8" w:rsidP="00C362EA">
            <w:pPr>
              <w:spacing w:line="240" w:lineRule="auto"/>
              <w:jc w:val="right"/>
              <w:rPr>
                <w:rFonts w:ascii="Arial Narrow" w:hAnsi="Arial Narrow" w:cs="Times New Roman"/>
              </w:rPr>
            </w:pPr>
            <w:r w:rsidR="007F2D6C">
              <w:rPr>
                <w:rFonts w:ascii="Arial Narrow" w:hAnsi="Arial Narrow" w:cs="Times New Roman"/>
              </w:rPr>
              <w:t>1 210</w:t>
            </w:r>
          </w:p>
        </w:tc>
        <w:tc>
          <w:tcPr>
            <w:tcW w:w="720" w:type="dxa"/>
            <w:tcBorders>
              <w:top w:val="single" w:sz="4" w:space="0" w:color="auto"/>
              <w:left w:val="single" w:sz="12" w:space="0" w:color="auto"/>
              <w:bottom w:val="single" w:sz="12" w:space="0" w:color="auto"/>
              <w:right w:val="single" w:sz="4" w:space="0" w:color="auto"/>
              <w:tl2br w:val="nil"/>
              <w:tr2bl w:val="nil"/>
            </w:tcBorders>
            <w:noWrap/>
            <w:textDirection w:val="lrTb"/>
            <w:vAlign w:val="center"/>
          </w:tcPr>
          <w:p w:rsidR="00D652EE" w:rsidRPr="00263BE8" w:rsidP="00C362EA">
            <w:pPr>
              <w:spacing w:line="240" w:lineRule="auto"/>
              <w:rPr>
                <w:rFonts w:ascii="Arial Narrow" w:hAnsi="Arial Narrow" w:cs="Times New Roman"/>
              </w:rPr>
            </w:pPr>
            <w:r w:rsidRPr="00263BE8">
              <w:rPr>
                <w:rFonts w:ascii="Arial Narrow" w:hAnsi="Arial Narrow" w:cs="Times New Roman"/>
              </w:rPr>
              <w:t> </w:t>
            </w:r>
          </w:p>
        </w:tc>
        <w:tc>
          <w:tcPr>
            <w:tcW w:w="707" w:type="dxa"/>
            <w:tcBorders>
              <w:top w:val="single" w:sz="4" w:space="0" w:color="auto"/>
              <w:left w:val="single" w:sz="4" w:space="0" w:color="auto"/>
              <w:bottom w:val="single" w:sz="12" w:space="0" w:color="auto"/>
              <w:right w:val="single" w:sz="4" w:space="0" w:color="auto"/>
              <w:tl2br w:val="nil"/>
              <w:tr2bl w:val="nil"/>
            </w:tcBorders>
            <w:noWrap/>
            <w:textDirection w:val="lrTb"/>
            <w:vAlign w:val="center"/>
          </w:tcPr>
          <w:p w:rsidR="00D652EE" w:rsidRPr="00263BE8" w:rsidP="00C362EA">
            <w:pPr>
              <w:spacing w:line="240" w:lineRule="auto"/>
              <w:jc w:val="right"/>
              <w:rPr>
                <w:rFonts w:ascii="Arial Narrow" w:hAnsi="Arial Narrow" w:cs="Times New Roman"/>
              </w:rPr>
            </w:pPr>
            <w:r w:rsidRPr="00263BE8">
              <w:rPr>
                <w:rFonts w:ascii="Arial Narrow" w:hAnsi="Arial Narrow" w:cs="Times New Roman"/>
              </w:rPr>
              <w:t>1</w:t>
            </w:r>
            <w:r w:rsidR="007F2D6C">
              <w:rPr>
                <w:rFonts w:ascii="Arial Narrow" w:hAnsi="Arial Narrow" w:cs="Times New Roman"/>
              </w:rPr>
              <w:t xml:space="preserve"> </w:t>
            </w:r>
            <w:r w:rsidRPr="00263BE8">
              <w:rPr>
                <w:rFonts w:ascii="Arial Narrow" w:hAnsi="Arial Narrow" w:cs="Times New Roman"/>
              </w:rPr>
              <w:t>125</w:t>
            </w:r>
          </w:p>
        </w:tc>
        <w:tc>
          <w:tcPr>
            <w:tcW w:w="733" w:type="dxa"/>
            <w:tcBorders>
              <w:top w:val="single" w:sz="4" w:space="0" w:color="auto"/>
              <w:left w:val="single" w:sz="4" w:space="0" w:color="auto"/>
              <w:bottom w:val="single" w:sz="12" w:space="0" w:color="auto"/>
              <w:right w:val="single" w:sz="4" w:space="0" w:color="auto"/>
              <w:tl2br w:val="nil"/>
              <w:tr2bl w:val="nil"/>
            </w:tcBorders>
            <w:noWrap/>
            <w:textDirection w:val="lrTb"/>
            <w:vAlign w:val="center"/>
          </w:tcPr>
          <w:p w:rsidR="00D652EE" w:rsidRPr="00263BE8" w:rsidP="00C362EA">
            <w:pPr>
              <w:spacing w:line="240" w:lineRule="auto"/>
              <w:jc w:val="right"/>
              <w:rPr>
                <w:rFonts w:ascii="Arial Narrow" w:hAnsi="Arial Narrow" w:cs="Times New Roman"/>
              </w:rPr>
            </w:pPr>
            <w:r w:rsidRPr="00263BE8">
              <w:rPr>
                <w:rFonts w:ascii="Arial Narrow" w:hAnsi="Arial Narrow" w:cs="Times New Roman"/>
              </w:rPr>
              <w:t>85</w:t>
            </w:r>
          </w:p>
        </w:tc>
        <w:tc>
          <w:tcPr>
            <w:tcW w:w="720" w:type="dxa"/>
            <w:tcBorders>
              <w:top w:val="single" w:sz="4" w:space="0" w:color="auto"/>
              <w:left w:val="single" w:sz="4" w:space="0" w:color="auto"/>
              <w:bottom w:val="single" w:sz="12" w:space="0" w:color="auto"/>
              <w:right w:val="single" w:sz="12" w:space="0" w:color="auto"/>
              <w:tl2br w:val="nil"/>
              <w:tr2bl w:val="nil"/>
            </w:tcBorders>
            <w:noWrap/>
            <w:textDirection w:val="lrTb"/>
            <w:vAlign w:val="center"/>
          </w:tcPr>
          <w:p w:rsidR="00D652EE" w:rsidRPr="00263BE8" w:rsidP="00C362EA">
            <w:pPr>
              <w:spacing w:line="240" w:lineRule="auto"/>
              <w:jc w:val="right"/>
              <w:rPr>
                <w:rFonts w:ascii="Arial Narrow" w:hAnsi="Arial Narrow" w:cs="Times New Roman"/>
              </w:rPr>
            </w:pPr>
            <w:r w:rsidRPr="00263BE8">
              <w:rPr>
                <w:rFonts w:ascii="Arial Narrow" w:hAnsi="Arial Narrow" w:cs="Times New Roman"/>
              </w:rPr>
              <w:t>1</w:t>
            </w:r>
            <w:r w:rsidR="007F2D6C">
              <w:rPr>
                <w:rFonts w:ascii="Arial Narrow" w:hAnsi="Arial Narrow" w:cs="Times New Roman"/>
              </w:rPr>
              <w:t xml:space="preserve"> </w:t>
            </w:r>
            <w:r w:rsidRPr="00263BE8">
              <w:rPr>
                <w:rFonts w:ascii="Arial Narrow" w:hAnsi="Arial Narrow" w:cs="Times New Roman"/>
              </w:rPr>
              <w:t>210</w:t>
            </w:r>
          </w:p>
        </w:tc>
        <w:tc>
          <w:tcPr>
            <w:tcW w:w="720" w:type="dxa"/>
            <w:tcBorders>
              <w:top w:val="single" w:sz="4" w:space="0" w:color="auto"/>
              <w:left w:val="single" w:sz="12" w:space="0" w:color="auto"/>
              <w:bottom w:val="single" w:sz="12" w:space="0" w:color="auto"/>
              <w:right w:val="single" w:sz="4" w:space="0" w:color="auto"/>
              <w:tl2br w:val="nil"/>
              <w:tr2bl w:val="nil"/>
            </w:tcBorders>
            <w:noWrap/>
            <w:textDirection w:val="lrTb"/>
            <w:vAlign w:val="center"/>
          </w:tcPr>
          <w:p w:rsidR="00D652EE" w:rsidRPr="00263BE8" w:rsidP="00C362EA">
            <w:pPr>
              <w:spacing w:line="240" w:lineRule="auto"/>
              <w:rPr>
                <w:rFonts w:ascii="Arial Narrow" w:hAnsi="Arial Narrow" w:cs="Times New Roman"/>
              </w:rPr>
            </w:pPr>
            <w:r w:rsidRPr="00263BE8">
              <w:rPr>
                <w:rFonts w:ascii="Arial Narrow" w:hAnsi="Arial Narrow" w:cs="Times New Roman"/>
              </w:rPr>
              <w:t> </w:t>
            </w:r>
          </w:p>
        </w:tc>
        <w:tc>
          <w:tcPr>
            <w:tcW w:w="720" w:type="dxa"/>
            <w:tcBorders>
              <w:top w:val="single" w:sz="4" w:space="0" w:color="auto"/>
              <w:left w:val="single" w:sz="4" w:space="0" w:color="auto"/>
              <w:bottom w:val="single" w:sz="12" w:space="0" w:color="auto"/>
              <w:right w:val="single" w:sz="4" w:space="0" w:color="auto"/>
              <w:tl2br w:val="nil"/>
              <w:tr2bl w:val="nil"/>
            </w:tcBorders>
            <w:noWrap/>
            <w:textDirection w:val="lrTb"/>
            <w:vAlign w:val="center"/>
          </w:tcPr>
          <w:p w:rsidR="00D652EE" w:rsidRPr="00263BE8" w:rsidP="00C362EA">
            <w:pPr>
              <w:spacing w:line="240" w:lineRule="auto"/>
              <w:jc w:val="right"/>
              <w:rPr>
                <w:rFonts w:ascii="Arial Narrow" w:hAnsi="Arial Narrow" w:cs="Times New Roman"/>
              </w:rPr>
            </w:pPr>
            <w:r>
              <w:rPr>
                <w:rFonts w:ascii="Arial Narrow" w:hAnsi="Arial Narrow" w:cs="Times New Roman"/>
              </w:rPr>
              <w:t>1</w:t>
            </w:r>
            <w:r w:rsidR="007F2D6C">
              <w:rPr>
                <w:rFonts w:ascii="Arial Narrow" w:hAnsi="Arial Narrow" w:cs="Times New Roman"/>
              </w:rPr>
              <w:t xml:space="preserve"> </w:t>
            </w:r>
            <w:r>
              <w:rPr>
                <w:rFonts w:ascii="Arial Narrow" w:hAnsi="Arial Narrow" w:cs="Times New Roman"/>
              </w:rPr>
              <w:t>07</w:t>
            </w:r>
            <w:r w:rsidR="00B527A8">
              <w:rPr>
                <w:rFonts w:ascii="Arial Narrow" w:hAnsi="Arial Narrow" w:cs="Times New Roman"/>
              </w:rPr>
              <w:t>3</w:t>
            </w:r>
          </w:p>
        </w:tc>
        <w:tc>
          <w:tcPr>
            <w:tcW w:w="720" w:type="dxa"/>
            <w:tcBorders>
              <w:top w:val="single" w:sz="4" w:space="0" w:color="auto"/>
              <w:left w:val="single" w:sz="4" w:space="0" w:color="auto"/>
              <w:bottom w:val="single" w:sz="12" w:space="0" w:color="auto"/>
              <w:right w:val="single" w:sz="4" w:space="0" w:color="auto"/>
              <w:tl2br w:val="nil"/>
              <w:tr2bl w:val="nil"/>
            </w:tcBorders>
            <w:noWrap/>
            <w:textDirection w:val="lrTb"/>
            <w:vAlign w:val="center"/>
          </w:tcPr>
          <w:p w:rsidR="00D652EE" w:rsidRPr="00263BE8" w:rsidP="00C362EA">
            <w:pPr>
              <w:spacing w:line="240" w:lineRule="auto"/>
              <w:jc w:val="right"/>
              <w:rPr>
                <w:rFonts w:ascii="Arial Narrow" w:hAnsi="Arial Narrow" w:cs="Times New Roman"/>
              </w:rPr>
            </w:pPr>
            <w:r>
              <w:rPr>
                <w:rFonts w:ascii="Arial Narrow" w:hAnsi="Arial Narrow" w:cs="Times New Roman"/>
              </w:rPr>
              <w:t>8</w:t>
            </w:r>
            <w:r w:rsidR="00B527A8">
              <w:rPr>
                <w:rFonts w:ascii="Arial Narrow" w:hAnsi="Arial Narrow" w:cs="Times New Roman"/>
              </w:rPr>
              <w:t>3</w:t>
            </w:r>
          </w:p>
        </w:tc>
        <w:tc>
          <w:tcPr>
            <w:tcW w:w="720" w:type="dxa"/>
            <w:tcBorders>
              <w:top w:val="single" w:sz="4" w:space="0" w:color="auto"/>
              <w:left w:val="single" w:sz="4" w:space="0" w:color="auto"/>
              <w:bottom w:val="single" w:sz="12" w:space="0" w:color="auto"/>
              <w:right w:val="single" w:sz="12" w:space="0" w:color="auto"/>
              <w:tl2br w:val="nil"/>
              <w:tr2bl w:val="nil"/>
            </w:tcBorders>
            <w:noWrap/>
            <w:textDirection w:val="lrTb"/>
            <w:vAlign w:val="center"/>
          </w:tcPr>
          <w:p w:rsidR="00D652EE" w:rsidRPr="00263BE8" w:rsidP="00C362EA">
            <w:pPr>
              <w:spacing w:line="240" w:lineRule="auto"/>
              <w:jc w:val="right"/>
              <w:rPr>
                <w:rFonts w:ascii="Arial Narrow" w:hAnsi="Arial Narrow" w:cs="Times New Roman"/>
              </w:rPr>
            </w:pPr>
            <w:r>
              <w:rPr>
                <w:rFonts w:ascii="Arial Narrow" w:hAnsi="Arial Narrow" w:cs="Times New Roman"/>
              </w:rPr>
              <w:t>1</w:t>
            </w:r>
            <w:r w:rsidR="007F2D6C">
              <w:rPr>
                <w:rFonts w:ascii="Arial Narrow" w:hAnsi="Arial Narrow" w:cs="Times New Roman"/>
              </w:rPr>
              <w:t xml:space="preserve"> </w:t>
            </w:r>
            <w:r>
              <w:rPr>
                <w:rFonts w:ascii="Arial Narrow" w:hAnsi="Arial Narrow" w:cs="Times New Roman"/>
              </w:rPr>
              <w:t>1</w:t>
            </w:r>
            <w:r w:rsidR="00B527A8">
              <w:rPr>
                <w:rFonts w:ascii="Arial Narrow" w:hAnsi="Arial Narrow" w:cs="Times New Roman"/>
              </w:rPr>
              <w:t>56</w:t>
            </w:r>
          </w:p>
        </w:tc>
      </w:tr>
      <w:tr>
        <w:tblPrEx>
          <w:tblW w:w="9735" w:type="dxa"/>
          <w:tblInd w:w="-110" w:type="dxa"/>
          <w:tblLayout w:type="fixed"/>
          <w:tblCellMar>
            <w:left w:w="70" w:type="dxa"/>
            <w:right w:w="70" w:type="dxa"/>
          </w:tblCellMar>
        </w:tblPrEx>
        <w:trPr>
          <w:trHeight w:val="259"/>
        </w:trPr>
        <w:tc>
          <w:tcPr>
            <w:tcW w:w="1095" w:type="dxa"/>
            <w:tcBorders>
              <w:top w:val="single" w:sz="12" w:space="0" w:color="auto"/>
              <w:left w:val="single" w:sz="12" w:space="0" w:color="auto"/>
              <w:bottom w:val="single" w:sz="12" w:space="0" w:color="auto"/>
              <w:right w:val="single" w:sz="12" w:space="0" w:color="auto"/>
              <w:tl2br w:val="nil"/>
              <w:tr2bl w:val="nil"/>
            </w:tcBorders>
            <w:shd w:val="clear" w:color="auto" w:fill="606060"/>
            <w:noWrap/>
            <w:textDirection w:val="lrTb"/>
            <w:vAlign w:val="center"/>
          </w:tcPr>
          <w:p w:rsidR="00D652EE" w:rsidRPr="00A208B4" w:rsidP="00C362EA">
            <w:pPr>
              <w:spacing w:line="240" w:lineRule="auto"/>
              <w:rPr>
                <w:rFonts w:ascii="Arial Narrow" w:hAnsi="Arial Narrow" w:cs="Times New Roman"/>
                <w:b/>
                <w:bCs/>
                <w:color w:val="FFFFFF"/>
              </w:rPr>
            </w:pPr>
            <w:r>
              <w:rPr>
                <w:rFonts w:ascii="Arial Narrow" w:hAnsi="Arial Narrow" w:cs="Times New Roman"/>
                <w:b/>
                <w:bCs/>
                <w:color w:val="FFFFFF"/>
              </w:rPr>
              <w:t>SPOLU</w:t>
            </w:r>
          </w:p>
        </w:tc>
        <w:tc>
          <w:tcPr>
            <w:tcW w:w="720" w:type="dxa"/>
            <w:tcBorders>
              <w:top w:val="single" w:sz="12" w:space="0" w:color="auto"/>
              <w:left w:val="single" w:sz="12" w:space="0" w:color="auto"/>
              <w:bottom w:val="single" w:sz="12" w:space="0" w:color="auto"/>
              <w:right w:val="single" w:sz="12" w:space="0" w:color="auto"/>
              <w:tl2br w:val="nil"/>
              <w:tr2bl w:val="nil"/>
            </w:tcBorders>
            <w:shd w:val="clear" w:color="auto" w:fill="606060"/>
            <w:textDirection w:val="lrTb"/>
            <w:vAlign w:val="center"/>
          </w:tcPr>
          <w:p w:rsidR="00D652EE" w:rsidP="00C362EA">
            <w:pPr>
              <w:spacing w:line="240" w:lineRule="auto"/>
              <w:jc w:val="right"/>
              <w:rPr>
                <w:rFonts w:ascii="Arial Narrow" w:hAnsi="Arial Narrow" w:cs="Times New Roman"/>
                <w:b/>
                <w:bCs/>
                <w:color w:val="FFFFFF"/>
              </w:rPr>
            </w:pPr>
            <w:r w:rsidR="007F2D6C">
              <w:rPr>
                <w:rFonts w:ascii="Arial Narrow" w:hAnsi="Arial Narrow" w:cs="Times New Roman"/>
                <w:b/>
                <w:bCs/>
                <w:color w:val="FFFFFF"/>
              </w:rPr>
              <w:t>1 04</w:t>
            </w:r>
            <w:r w:rsidR="0053262B">
              <w:rPr>
                <w:rFonts w:ascii="Arial Narrow" w:hAnsi="Arial Narrow" w:cs="Times New Roman"/>
                <w:b/>
                <w:bCs/>
                <w:color w:val="FFFFFF"/>
              </w:rPr>
              <w:t>1</w:t>
            </w:r>
          </w:p>
        </w:tc>
        <w:tc>
          <w:tcPr>
            <w:tcW w:w="720" w:type="dxa"/>
            <w:tcBorders>
              <w:top w:val="single" w:sz="12" w:space="0" w:color="auto"/>
              <w:left w:val="single" w:sz="12" w:space="0" w:color="auto"/>
              <w:bottom w:val="single" w:sz="12" w:space="0" w:color="auto"/>
              <w:right w:val="single" w:sz="12" w:space="0" w:color="auto"/>
              <w:tl2br w:val="nil"/>
              <w:tr2bl w:val="nil"/>
            </w:tcBorders>
            <w:shd w:val="clear" w:color="auto" w:fill="606060"/>
            <w:textDirection w:val="lrTb"/>
            <w:vAlign w:val="center"/>
          </w:tcPr>
          <w:p w:rsidR="00D652EE" w:rsidP="00C362EA">
            <w:pPr>
              <w:spacing w:line="240" w:lineRule="auto"/>
              <w:jc w:val="right"/>
              <w:rPr>
                <w:rFonts w:ascii="Arial Narrow" w:hAnsi="Arial Narrow" w:cs="Times New Roman"/>
                <w:b/>
                <w:bCs/>
                <w:color w:val="FFFFFF"/>
              </w:rPr>
            </w:pPr>
            <w:r w:rsidR="007F2D6C">
              <w:rPr>
                <w:rFonts w:ascii="Arial Narrow" w:hAnsi="Arial Narrow" w:cs="Times New Roman"/>
                <w:b/>
                <w:bCs/>
                <w:color w:val="FFFFFF"/>
              </w:rPr>
              <w:t>1 125</w:t>
            </w:r>
          </w:p>
        </w:tc>
        <w:tc>
          <w:tcPr>
            <w:tcW w:w="720" w:type="dxa"/>
            <w:tcBorders>
              <w:top w:val="single" w:sz="12" w:space="0" w:color="auto"/>
              <w:left w:val="single" w:sz="12" w:space="0" w:color="auto"/>
              <w:bottom w:val="single" w:sz="12" w:space="0" w:color="auto"/>
              <w:right w:val="single" w:sz="12" w:space="0" w:color="auto"/>
              <w:tl2br w:val="nil"/>
              <w:tr2bl w:val="nil"/>
            </w:tcBorders>
            <w:shd w:val="clear" w:color="auto" w:fill="606060"/>
            <w:textDirection w:val="lrTb"/>
            <w:vAlign w:val="center"/>
          </w:tcPr>
          <w:p w:rsidR="00D652EE" w:rsidP="00C362EA">
            <w:pPr>
              <w:spacing w:line="240" w:lineRule="auto"/>
              <w:jc w:val="right"/>
              <w:rPr>
                <w:rFonts w:ascii="Arial Narrow" w:hAnsi="Arial Narrow" w:cs="Times New Roman"/>
                <w:b/>
                <w:bCs/>
                <w:color w:val="FFFFFF"/>
              </w:rPr>
            </w:pPr>
            <w:r w:rsidR="007F2D6C">
              <w:rPr>
                <w:rFonts w:ascii="Arial Narrow" w:hAnsi="Arial Narrow" w:cs="Times New Roman"/>
                <w:b/>
                <w:bCs/>
                <w:color w:val="FFFFFF"/>
              </w:rPr>
              <w:t>81</w:t>
            </w:r>
            <w:r w:rsidR="0053262B">
              <w:rPr>
                <w:rFonts w:ascii="Arial Narrow" w:hAnsi="Arial Narrow" w:cs="Times New Roman"/>
                <w:b/>
                <w:bCs/>
                <w:color w:val="FFFFFF"/>
              </w:rPr>
              <w:t>6</w:t>
            </w:r>
          </w:p>
        </w:tc>
        <w:tc>
          <w:tcPr>
            <w:tcW w:w="720" w:type="dxa"/>
            <w:tcBorders>
              <w:top w:val="single" w:sz="12" w:space="0" w:color="auto"/>
              <w:left w:val="single" w:sz="12" w:space="0" w:color="auto"/>
              <w:bottom w:val="single" w:sz="12" w:space="0" w:color="auto"/>
              <w:right w:val="single" w:sz="12" w:space="0" w:color="auto"/>
              <w:tl2br w:val="nil"/>
              <w:tr2bl w:val="nil"/>
            </w:tcBorders>
            <w:shd w:val="clear" w:color="auto" w:fill="606060"/>
            <w:textDirection w:val="lrTb"/>
            <w:vAlign w:val="center"/>
          </w:tcPr>
          <w:p w:rsidR="00D652EE" w:rsidP="00C362EA">
            <w:pPr>
              <w:spacing w:line="240" w:lineRule="auto"/>
              <w:jc w:val="right"/>
              <w:rPr>
                <w:rFonts w:ascii="Arial Narrow" w:hAnsi="Arial Narrow" w:cs="Times New Roman"/>
                <w:b/>
                <w:bCs/>
                <w:color w:val="FFFFFF"/>
              </w:rPr>
            </w:pPr>
            <w:r w:rsidR="007F2D6C">
              <w:rPr>
                <w:rFonts w:ascii="Arial Narrow" w:hAnsi="Arial Narrow" w:cs="Times New Roman"/>
                <w:b/>
                <w:bCs/>
                <w:color w:val="FFFFFF"/>
              </w:rPr>
              <w:t>2 982</w:t>
            </w:r>
          </w:p>
        </w:tc>
        <w:tc>
          <w:tcPr>
            <w:tcW w:w="720" w:type="dxa"/>
            <w:tcBorders>
              <w:top w:val="single" w:sz="12" w:space="0" w:color="auto"/>
              <w:left w:val="single" w:sz="12" w:space="0" w:color="auto"/>
              <w:bottom w:val="single" w:sz="12" w:space="0" w:color="auto"/>
              <w:right w:val="single" w:sz="4" w:space="0" w:color="auto"/>
              <w:tl2br w:val="nil"/>
              <w:tr2bl w:val="nil"/>
            </w:tcBorders>
            <w:shd w:val="clear" w:color="auto" w:fill="606060"/>
            <w:noWrap/>
            <w:textDirection w:val="lrTb"/>
            <w:vAlign w:val="center"/>
          </w:tcPr>
          <w:p w:rsidR="00D652EE" w:rsidRPr="00A208B4" w:rsidP="00C362EA">
            <w:pPr>
              <w:spacing w:line="240" w:lineRule="auto"/>
              <w:jc w:val="right"/>
              <w:rPr>
                <w:rFonts w:ascii="Arial Narrow" w:hAnsi="Arial Narrow" w:cs="Times New Roman"/>
                <w:b/>
                <w:bCs/>
                <w:color w:val="FFFFFF"/>
              </w:rPr>
            </w:pPr>
            <w:r>
              <w:rPr>
                <w:rFonts w:ascii="Arial Narrow" w:hAnsi="Arial Narrow" w:cs="Times New Roman"/>
                <w:b/>
                <w:bCs/>
                <w:color w:val="FFFFFF"/>
              </w:rPr>
              <w:t>1 0</w:t>
            </w:r>
            <w:r w:rsidR="003F5451">
              <w:rPr>
                <w:rFonts w:ascii="Arial Narrow" w:hAnsi="Arial Narrow" w:cs="Times New Roman"/>
                <w:b/>
                <w:bCs/>
                <w:color w:val="FFFFFF"/>
              </w:rPr>
              <w:t>32</w:t>
            </w:r>
          </w:p>
        </w:tc>
        <w:tc>
          <w:tcPr>
            <w:tcW w:w="707" w:type="dxa"/>
            <w:tcBorders>
              <w:top w:val="single" w:sz="12" w:space="0" w:color="auto"/>
              <w:left w:val="single" w:sz="4" w:space="0" w:color="auto"/>
              <w:bottom w:val="single" w:sz="12" w:space="0" w:color="auto"/>
              <w:right w:val="single" w:sz="4" w:space="0" w:color="auto"/>
              <w:tl2br w:val="nil"/>
              <w:tr2bl w:val="nil"/>
            </w:tcBorders>
            <w:shd w:val="clear" w:color="auto" w:fill="606060"/>
            <w:noWrap/>
            <w:textDirection w:val="lrTb"/>
            <w:vAlign w:val="center"/>
          </w:tcPr>
          <w:p w:rsidR="00D652EE" w:rsidRPr="00A208B4" w:rsidP="00C362EA">
            <w:pPr>
              <w:spacing w:line="240" w:lineRule="auto"/>
              <w:jc w:val="right"/>
              <w:rPr>
                <w:rFonts w:ascii="Arial Narrow" w:hAnsi="Arial Narrow" w:cs="Times New Roman"/>
                <w:b/>
                <w:bCs/>
                <w:color w:val="FFFFFF"/>
              </w:rPr>
            </w:pPr>
            <w:r w:rsidRPr="00A208B4">
              <w:rPr>
                <w:rFonts w:ascii="Arial Narrow" w:hAnsi="Arial Narrow" w:cs="Times New Roman"/>
                <w:b/>
                <w:bCs/>
                <w:color w:val="FFFFFF"/>
              </w:rPr>
              <w:t>1</w:t>
            </w:r>
            <w:r w:rsidR="007F2D6C">
              <w:rPr>
                <w:rFonts w:ascii="Arial Narrow" w:hAnsi="Arial Narrow" w:cs="Times New Roman"/>
                <w:b/>
                <w:bCs/>
                <w:color w:val="FFFFFF"/>
              </w:rPr>
              <w:t xml:space="preserve"> </w:t>
            </w:r>
            <w:r w:rsidRPr="00A208B4">
              <w:rPr>
                <w:rFonts w:ascii="Arial Narrow" w:hAnsi="Arial Narrow" w:cs="Times New Roman"/>
                <w:b/>
                <w:bCs/>
                <w:color w:val="FFFFFF"/>
              </w:rPr>
              <w:t>125</w:t>
            </w:r>
          </w:p>
        </w:tc>
        <w:tc>
          <w:tcPr>
            <w:tcW w:w="733" w:type="dxa"/>
            <w:tcBorders>
              <w:top w:val="single" w:sz="12" w:space="0" w:color="auto"/>
              <w:left w:val="single" w:sz="4" w:space="0" w:color="auto"/>
              <w:bottom w:val="single" w:sz="12" w:space="0" w:color="auto"/>
              <w:right w:val="single" w:sz="4" w:space="0" w:color="auto"/>
              <w:tl2br w:val="nil"/>
              <w:tr2bl w:val="nil"/>
            </w:tcBorders>
            <w:shd w:val="clear" w:color="auto" w:fill="606060"/>
            <w:noWrap/>
            <w:textDirection w:val="lrTb"/>
            <w:vAlign w:val="center"/>
          </w:tcPr>
          <w:p w:rsidR="00D652EE" w:rsidRPr="00A208B4" w:rsidP="00C362EA">
            <w:pPr>
              <w:spacing w:line="240" w:lineRule="auto"/>
              <w:jc w:val="right"/>
              <w:rPr>
                <w:rFonts w:ascii="Arial Narrow" w:hAnsi="Arial Narrow" w:cs="Times New Roman"/>
                <w:b/>
                <w:bCs/>
                <w:color w:val="FFFFFF"/>
              </w:rPr>
            </w:pPr>
            <w:r>
              <w:rPr>
                <w:rFonts w:ascii="Arial Narrow" w:hAnsi="Arial Narrow" w:cs="Times New Roman"/>
                <w:b/>
                <w:bCs/>
                <w:color w:val="FFFFFF"/>
              </w:rPr>
              <w:t>8</w:t>
            </w:r>
            <w:r w:rsidR="003F5451">
              <w:rPr>
                <w:rFonts w:ascii="Arial Narrow" w:hAnsi="Arial Narrow" w:cs="Times New Roman"/>
                <w:b/>
                <w:bCs/>
                <w:color w:val="FFFFFF"/>
              </w:rPr>
              <w:t>02</w:t>
            </w:r>
          </w:p>
        </w:tc>
        <w:tc>
          <w:tcPr>
            <w:tcW w:w="720" w:type="dxa"/>
            <w:tcBorders>
              <w:top w:val="single" w:sz="12" w:space="0" w:color="auto"/>
              <w:left w:val="single" w:sz="4" w:space="0" w:color="auto"/>
              <w:bottom w:val="single" w:sz="12" w:space="0" w:color="auto"/>
              <w:right w:val="single" w:sz="12" w:space="0" w:color="auto"/>
              <w:tl2br w:val="nil"/>
              <w:tr2bl w:val="nil"/>
            </w:tcBorders>
            <w:shd w:val="clear" w:color="auto" w:fill="606060"/>
            <w:noWrap/>
            <w:textDirection w:val="lrTb"/>
            <w:vAlign w:val="center"/>
          </w:tcPr>
          <w:p w:rsidR="00D652EE" w:rsidRPr="00A208B4" w:rsidP="00C362EA">
            <w:pPr>
              <w:spacing w:line="240" w:lineRule="auto"/>
              <w:jc w:val="right"/>
              <w:rPr>
                <w:rFonts w:ascii="Arial Narrow" w:hAnsi="Arial Narrow" w:cs="Times New Roman"/>
                <w:b/>
                <w:bCs/>
                <w:color w:val="FFFFFF"/>
              </w:rPr>
            </w:pPr>
            <w:r>
              <w:rPr>
                <w:rFonts w:ascii="Arial Narrow" w:hAnsi="Arial Narrow" w:cs="Times New Roman"/>
                <w:b/>
                <w:bCs/>
                <w:color w:val="FFFFFF"/>
              </w:rPr>
              <w:t>2 9</w:t>
            </w:r>
            <w:r w:rsidR="00B527A8">
              <w:rPr>
                <w:rFonts w:ascii="Arial Narrow" w:hAnsi="Arial Narrow" w:cs="Times New Roman"/>
                <w:b/>
                <w:bCs/>
                <w:color w:val="FFFFFF"/>
              </w:rPr>
              <w:t>59</w:t>
            </w:r>
          </w:p>
        </w:tc>
        <w:tc>
          <w:tcPr>
            <w:tcW w:w="720" w:type="dxa"/>
            <w:tcBorders>
              <w:top w:val="single" w:sz="12" w:space="0" w:color="auto"/>
              <w:left w:val="single" w:sz="12" w:space="0" w:color="auto"/>
              <w:bottom w:val="single" w:sz="12" w:space="0" w:color="auto"/>
              <w:right w:val="single" w:sz="4" w:space="0" w:color="auto"/>
              <w:tl2br w:val="nil"/>
              <w:tr2bl w:val="nil"/>
            </w:tcBorders>
            <w:shd w:val="clear" w:color="auto" w:fill="606060"/>
            <w:noWrap/>
            <w:textDirection w:val="lrTb"/>
            <w:vAlign w:val="center"/>
          </w:tcPr>
          <w:p w:rsidR="00D652EE" w:rsidRPr="00A208B4" w:rsidP="00C362EA">
            <w:pPr>
              <w:spacing w:line="240" w:lineRule="auto"/>
              <w:jc w:val="right"/>
              <w:rPr>
                <w:rFonts w:ascii="Arial Narrow" w:hAnsi="Arial Narrow" w:cs="Times New Roman"/>
                <w:b/>
                <w:bCs/>
                <w:color w:val="FFFFFF"/>
              </w:rPr>
            </w:pPr>
            <w:r>
              <w:rPr>
                <w:rFonts w:ascii="Arial Narrow" w:hAnsi="Arial Narrow" w:cs="Times New Roman"/>
                <w:b/>
                <w:bCs/>
                <w:color w:val="FFFFFF"/>
              </w:rPr>
              <w:t>9</w:t>
            </w:r>
            <w:r w:rsidR="00B527A8">
              <w:rPr>
                <w:rFonts w:ascii="Arial Narrow" w:hAnsi="Arial Narrow" w:cs="Times New Roman"/>
                <w:b/>
                <w:bCs/>
                <w:color w:val="FFFFFF"/>
              </w:rPr>
              <w:t>2</w:t>
            </w:r>
            <w:r w:rsidR="00532B3F">
              <w:rPr>
                <w:rFonts w:ascii="Arial Narrow" w:hAnsi="Arial Narrow" w:cs="Times New Roman"/>
                <w:b/>
                <w:bCs/>
                <w:color w:val="FFFFFF"/>
              </w:rPr>
              <w:t>2</w:t>
            </w:r>
          </w:p>
        </w:tc>
        <w:tc>
          <w:tcPr>
            <w:tcW w:w="720" w:type="dxa"/>
            <w:tcBorders>
              <w:top w:val="single" w:sz="12" w:space="0" w:color="auto"/>
              <w:left w:val="single" w:sz="4" w:space="0" w:color="auto"/>
              <w:bottom w:val="single" w:sz="12" w:space="0" w:color="auto"/>
              <w:right w:val="single" w:sz="4" w:space="0" w:color="auto"/>
              <w:tl2br w:val="nil"/>
              <w:tr2bl w:val="nil"/>
            </w:tcBorders>
            <w:shd w:val="clear" w:color="auto" w:fill="606060"/>
            <w:noWrap/>
            <w:textDirection w:val="lrTb"/>
            <w:vAlign w:val="center"/>
          </w:tcPr>
          <w:p w:rsidR="00D652EE" w:rsidRPr="00A208B4" w:rsidP="00C362EA">
            <w:pPr>
              <w:spacing w:line="240" w:lineRule="auto"/>
              <w:jc w:val="right"/>
              <w:rPr>
                <w:rFonts w:ascii="Arial Narrow" w:hAnsi="Arial Narrow" w:cs="Times New Roman"/>
                <w:b/>
                <w:bCs/>
                <w:color w:val="FFFFFF"/>
              </w:rPr>
            </w:pPr>
            <w:r>
              <w:rPr>
                <w:rFonts w:ascii="Arial Narrow" w:hAnsi="Arial Narrow" w:cs="Times New Roman"/>
                <w:b/>
                <w:bCs/>
                <w:color w:val="FFFFFF"/>
              </w:rPr>
              <w:t>1</w:t>
            </w:r>
            <w:r w:rsidR="007F2D6C">
              <w:rPr>
                <w:rFonts w:ascii="Arial Narrow" w:hAnsi="Arial Narrow" w:cs="Times New Roman"/>
                <w:b/>
                <w:bCs/>
                <w:color w:val="FFFFFF"/>
              </w:rPr>
              <w:t xml:space="preserve"> </w:t>
            </w:r>
            <w:r>
              <w:rPr>
                <w:rFonts w:ascii="Arial Narrow" w:hAnsi="Arial Narrow" w:cs="Times New Roman"/>
                <w:b/>
                <w:bCs/>
                <w:color w:val="FFFFFF"/>
              </w:rPr>
              <w:t>07</w:t>
            </w:r>
            <w:r w:rsidR="00B527A8">
              <w:rPr>
                <w:rFonts w:ascii="Arial Narrow" w:hAnsi="Arial Narrow" w:cs="Times New Roman"/>
                <w:b/>
                <w:bCs/>
                <w:color w:val="FFFFFF"/>
              </w:rPr>
              <w:t>3</w:t>
            </w:r>
          </w:p>
        </w:tc>
        <w:tc>
          <w:tcPr>
            <w:tcW w:w="720" w:type="dxa"/>
            <w:tcBorders>
              <w:top w:val="single" w:sz="12" w:space="0" w:color="auto"/>
              <w:left w:val="single" w:sz="4" w:space="0" w:color="auto"/>
              <w:bottom w:val="single" w:sz="12" w:space="0" w:color="auto"/>
              <w:right w:val="single" w:sz="4" w:space="0" w:color="auto"/>
              <w:tl2br w:val="nil"/>
              <w:tr2bl w:val="nil"/>
            </w:tcBorders>
            <w:shd w:val="clear" w:color="auto" w:fill="606060"/>
            <w:noWrap/>
            <w:textDirection w:val="lrTb"/>
            <w:vAlign w:val="center"/>
          </w:tcPr>
          <w:p w:rsidR="00D652EE" w:rsidRPr="00A208B4" w:rsidP="00C362EA">
            <w:pPr>
              <w:spacing w:line="240" w:lineRule="auto"/>
              <w:jc w:val="right"/>
              <w:rPr>
                <w:rFonts w:ascii="Arial Narrow" w:hAnsi="Arial Narrow" w:cs="Times New Roman"/>
                <w:b/>
                <w:bCs/>
                <w:color w:val="FFFFFF"/>
              </w:rPr>
            </w:pPr>
            <w:r>
              <w:rPr>
                <w:rFonts w:ascii="Arial Narrow" w:hAnsi="Arial Narrow" w:cs="Times New Roman"/>
                <w:b/>
                <w:bCs/>
                <w:color w:val="FFFFFF"/>
              </w:rPr>
              <w:t>7</w:t>
            </w:r>
            <w:r w:rsidR="00532B3F">
              <w:rPr>
                <w:rFonts w:ascii="Arial Narrow" w:hAnsi="Arial Narrow" w:cs="Times New Roman"/>
                <w:b/>
                <w:bCs/>
                <w:color w:val="FFFFFF"/>
              </w:rPr>
              <w:t>39</w:t>
            </w:r>
          </w:p>
        </w:tc>
        <w:tc>
          <w:tcPr>
            <w:tcW w:w="720" w:type="dxa"/>
            <w:tcBorders>
              <w:top w:val="single" w:sz="12" w:space="0" w:color="auto"/>
              <w:left w:val="single" w:sz="4" w:space="0" w:color="auto"/>
              <w:bottom w:val="single" w:sz="12" w:space="0" w:color="auto"/>
              <w:right w:val="single" w:sz="12" w:space="0" w:color="auto"/>
              <w:tl2br w:val="nil"/>
              <w:tr2bl w:val="nil"/>
            </w:tcBorders>
            <w:shd w:val="clear" w:color="auto" w:fill="606060"/>
            <w:noWrap/>
            <w:textDirection w:val="lrTb"/>
            <w:vAlign w:val="center"/>
          </w:tcPr>
          <w:p w:rsidR="00D652EE" w:rsidRPr="00A208B4" w:rsidP="00C362EA">
            <w:pPr>
              <w:spacing w:line="240" w:lineRule="auto"/>
              <w:jc w:val="right"/>
              <w:rPr>
                <w:rFonts w:ascii="Arial Narrow" w:hAnsi="Arial Narrow" w:cs="Times New Roman"/>
                <w:b/>
                <w:bCs/>
                <w:color w:val="FFFFFF"/>
              </w:rPr>
            </w:pPr>
            <w:r>
              <w:rPr>
                <w:rFonts w:ascii="Arial Narrow" w:hAnsi="Arial Narrow" w:cs="Times New Roman"/>
                <w:b/>
                <w:bCs/>
                <w:color w:val="FFFFFF"/>
              </w:rPr>
              <w:t>2 7</w:t>
            </w:r>
            <w:r w:rsidR="00B527A8">
              <w:rPr>
                <w:rFonts w:ascii="Arial Narrow" w:hAnsi="Arial Narrow" w:cs="Times New Roman"/>
                <w:b/>
                <w:bCs/>
                <w:color w:val="FFFFFF"/>
              </w:rPr>
              <w:t>3</w:t>
            </w:r>
            <w:r w:rsidR="00532B3F">
              <w:rPr>
                <w:rFonts w:ascii="Arial Narrow" w:hAnsi="Arial Narrow" w:cs="Times New Roman"/>
                <w:b/>
                <w:bCs/>
                <w:color w:val="FFFFFF"/>
              </w:rPr>
              <w:t>4</w:t>
            </w:r>
          </w:p>
        </w:tc>
      </w:tr>
      <w:tr>
        <w:tblPrEx>
          <w:tblW w:w="9735" w:type="dxa"/>
          <w:tblInd w:w="-110" w:type="dxa"/>
          <w:tblLayout w:type="fixed"/>
          <w:tblCellMar>
            <w:left w:w="70" w:type="dxa"/>
            <w:right w:w="70" w:type="dxa"/>
          </w:tblCellMar>
        </w:tblPrEx>
        <w:trPr>
          <w:trHeight w:val="270"/>
        </w:trPr>
        <w:tc>
          <w:tcPr>
            <w:tcW w:w="9735" w:type="dxa"/>
            <w:gridSpan w:val="13"/>
            <w:tcBorders>
              <w:top w:val="single" w:sz="12" w:space="0" w:color="auto"/>
              <w:left w:val="nil"/>
              <w:bottom w:val="nil"/>
              <w:right w:val="nil"/>
              <w:tl2br w:val="nil"/>
              <w:tr2bl w:val="nil"/>
            </w:tcBorders>
            <w:noWrap/>
            <w:textDirection w:val="lrTb"/>
            <w:vAlign w:val="bottom"/>
          </w:tcPr>
          <w:p w:rsidR="00D652EE" w:rsidRPr="00263BE8" w:rsidP="00C362EA">
            <w:pPr>
              <w:spacing w:line="240" w:lineRule="auto"/>
              <w:rPr>
                <w:rFonts w:ascii="Arial" w:hAnsi="Arial" w:cs="Times New Roman"/>
              </w:rPr>
            </w:pPr>
            <w:r w:rsidRPr="00796E9E">
              <w:rPr>
                <w:rFonts w:ascii="Arial Narrow" w:hAnsi="Arial Narrow" w:cs="Times New Roman"/>
                <w:bCs/>
                <w:sz w:val="16"/>
                <w:szCs w:val="16"/>
                <w:u w:val="single"/>
              </w:rPr>
              <w:t>Poznámka</w:t>
            </w:r>
            <w:r w:rsidRPr="00263BE8">
              <w:rPr>
                <w:rFonts w:ascii="Arial Narrow" w:hAnsi="Arial Narrow" w:cs="Times New Roman"/>
                <w:b/>
                <w:bCs/>
                <w:sz w:val="16"/>
                <w:szCs w:val="16"/>
              </w:rPr>
              <w:t xml:space="preserve">: </w:t>
            </w:r>
            <w:r w:rsidRPr="00263BE8">
              <w:rPr>
                <w:rFonts w:ascii="Arial Narrow" w:hAnsi="Arial Narrow" w:cs="Times New Roman"/>
                <w:sz w:val="16"/>
                <w:szCs w:val="16"/>
              </w:rPr>
              <w:t>Vo verejnej službe úradu MDPT SR je započítaný i ústavný činiteľ</w:t>
            </w:r>
            <w:r>
              <w:rPr>
                <w:rFonts w:ascii="Arial Narrow" w:hAnsi="Arial Narrow" w:cs="Times New Roman"/>
                <w:sz w:val="16"/>
                <w:szCs w:val="16"/>
              </w:rPr>
              <w:t xml:space="preserve"> –  minister </w:t>
            </w:r>
          </w:p>
        </w:tc>
      </w:tr>
    </w:tbl>
    <w:p w:rsidR="009B654A" w:rsidP="00C362EA">
      <w:pPr>
        <w:spacing w:line="240" w:lineRule="auto"/>
        <w:rPr>
          <w:rFonts w:ascii="Times New Roman" w:hAnsi="Times New Roman" w:cs="Times New Roman"/>
          <w:sz w:val="24"/>
          <w:szCs w:val="24"/>
        </w:rPr>
      </w:pPr>
    </w:p>
    <w:p w:rsidR="00A37663" w:rsidP="00C362EA">
      <w:pPr>
        <w:spacing w:line="240" w:lineRule="auto"/>
        <w:rPr>
          <w:rFonts w:ascii="Times New Roman" w:hAnsi="Times New Roman" w:cs="Times New Roman"/>
          <w:sz w:val="24"/>
          <w:szCs w:val="24"/>
        </w:rPr>
      </w:pPr>
    </w:p>
    <w:p w:rsidR="00B372D5" w:rsidP="00C362EA">
      <w:pPr>
        <w:spacing w:line="240" w:lineRule="auto"/>
        <w:rPr>
          <w:rFonts w:ascii="Times New Roman" w:hAnsi="Times New Roman" w:cs="Times New Roman"/>
          <w:sz w:val="24"/>
          <w:szCs w:val="24"/>
        </w:rPr>
      </w:pPr>
    </w:p>
    <w:p w:rsidR="00B372D5" w:rsidRPr="00933E0A" w:rsidP="00C362EA">
      <w:pPr>
        <w:spacing w:line="240" w:lineRule="auto"/>
        <w:rPr>
          <w:rFonts w:ascii="Times New Roman" w:hAnsi="Times New Roman" w:cs="Times New Roman"/>
          <w:sz w:val="24"/>
          <w:szCs w:val="24"/>
        </w:rPr>
      </w:pPr>
    </w:p>
    <w:p w:rsidR="00881384" w:rsidP="00C362EA">
      <w:pPr>
        <w:spacing w:line="240" w:lineRule="auto"/>
        <w:jc w:val="center"/>
        <w:rPr>
          <w:rFonts w:ascii="Times New Roman" w:hAnsi="Times New Roman" w:cs="Times New Roman"/>
          <w:b/>
          <w:bCs/>
          <w:sz w:val="26"/>
          <w:szCs w:val="26"/>
          <w:u w:val="single"/>
        </w:rPr>
      </w:pPr>
      <w:r>
        <w:rPr>
          <w:rFonts w:ascii="Times New Roman" w:hAnsi="Times New Roman" w:cs="Times New Roman"/>
          <w:b/>
          <w:bCs/>
          <w:sz w:val="26"/>
          <w:szCs w:val="26"/>
          <w:u w:val="single"/>
        </w:rPr>
        <w:t xml:space="preserve">B. Mzdy, platy, služobné príjmy a OOV </w:t>
      </w:r>
      <w:r w:rsidRPr="006052AA">
        <w:rPr>
          <w:rFonts w:ascii="Times New Roman" w:hAnsi="Times New Roman" w:cs="Times New Roman"/>
          <w:b/>
          <w:bCs/>
          <w:sz w:val="26"/>
          <w:szCs w:val="26"/>
          <w:u w:val="single"/>
        </w:rPr>
        <w:t>za kapitolu MDPT SR v členení na ústredný orgán štátnej</w:t>
      </w:r>
      <w:r>
        <w:rPr>
          <w:rFonts w:ascii="Times New Roman" w:hAnsi="Times New Roman" w:cs="Times New Roman"/>
          <w:b/>
          <w:bCs/>
          <w:sz w:val="26"/>
          <w:szCs w:val="26"/>
          <w:u w:val="single"/>
        </w:rPr>
        <w:t xml:space="preserve"> </w:t>
      </w:r>
      <w:r w:rsidRPr="006052AA">
        <w:rPr>
          <w:rFonts w:ascii="Times New Roman" w:hAnsi="Times New Roman" w:cs="Times New Roman"/>
          <w:b/>
          <w:bCs/>
          <w:sz w:val="26"/>
          <w:szCs w:val="26"/>
          <w:u w:val="single"/>
        </w:rPr>
        <w:t>správy a organizácie v pôsobnosti MDPT SR</w:t>
      </w:r>
    </w:p>
    <w:p w:rsidR="002109E4" w:rsidP="00C362EA">
      <w:pPr>
        <w:spacing w:line="240" w:lineRule="auto"/>
        <w:jc w:val="center"/>
        <w:rPr>
          <w:rFonts w:ascii="Times New Roman" w:hAnsi="Times New Roman" w:cs="Times New Roman"/>
          <w:b/>
          <w:i/>
          <w:sz w:val="26"/>
          <w:u w:val="single"/>
        </w:rPr>
      </w:pPr>
    </w:p>
    <w:p w:rsidR="00A37663" w:rsidRPr="006052AA" w:rsidP="00C362EA">
      <w:pPr>
        <w:spacing w:line="240" w:lineRule="auto"/>
        <w:jc w:val="center"/>
        <w:rPr>
          <w:rFonts w:ascii="Times New Roman" w:hAnsi="Times New Roman" w:cs="Times New Roman"/>
          <w:b/>
          <w:i/>
          <w:sz w:val="26"/>
          <w:u w:val="single"/>
        </w:rPr>
      </w:pPr>
    </w:p>
    <w:p w:rsidR="009B654A" w:rsidRPr="003D4711" w:rsidP="00C362EA">
      <w:pPr>
        <w:spacing w:line="240" w:lineRule="auto"/>
        <w:jc w:val="center"/>
        <w:rPr>
          <w:rFonts w:ascii="Arial Narrow" w:hAnsi="Arial Narrow" w:cs="Times New Roman"/>
          <w:sz w:val="24"/>
          <w:szCs w:val="24"/>
        </w:rPr>
      </w:pPr>
      <w:r w:rsidRPr="003D4711">
        <w:rPr>
          <w:rFonts w:ascii="Arial Narrow" w:hAnsi="Arial Narrow" w:cs="Times New Roman"/>
          <w:sz w:val="24"/>
          <w:szCs w:val="24"/>
        </w:rPr>
        <w:t xml:space="preserve">                </w:t>
      </w:r>
      <w:r>
        <w:rPr>
          <w:rFonts w:ascii="Arial Narrow" w:hAnsi="Arial Narrow" w:cs="Times New Roman"/>
          <w:sz w:val="24"/>
          <w:szCs w:val="24"/>
        </w:rPr>
        <w:t xml:space="preserve">                                  </w:t>
      </w:r>
      <w:r w:rsidR="002335A0">
        <w:rPr>
          <w:rFonts w:ascii="Arial Narrow" w:hAnsi="Arial Narrow" w:cs="Times New Roman"/>
          <w:sz w:val="24"/>
          <w:szCs w:val="24"/>
        </w:rPr>
        <w:t xml:space="preserve">                             </w:t>
      </w:r>
      <w:r>
        <w:rPr>
          <w:rFonts w:ascii="Arial Narrow" w:hAnsi="Arial Narrow" w:cs="Times New Roman"/>
          <w:sz w:val="24"/>
          <w:szCs w:val="24"/>
        </w:rPr>
        <w:t xml:space="preserve">                                                                     </w:t>
      </w:r>
      <w:r w:rsidRPr="003D4711">
        <w:rPr>
          <w:rFonts w:ascii="Arial Narrow" w:hAnsi="Arial Narrow" w:cs="Times New Roman"/>
          <w:sz w:val="24"/>
          <w:szCs w:val="24"/>
        </w:rPr>
        <w:t xml:space="preserve">  </w:t>
      </w:r>
      <w:r w:rsidR="002335A0">
        <w:rPr>
          <w:rFonts w:ascii="Arial Narrow" w:hAnsi="Arial Narrow" w:cs="Times New Roman"/>
          <w:sz w:val="24"/>
          <w:szCs w:val="24"/>
        </w:rPr>
        <w:t>(v tis. Sk</w:t>
      </w:r>
      <w:r w:rsidRPr="003D4711">
        <w:rPr>
          <w:rFonts w:ascii="Arial Narrow" w:hAnsi="Arial Narrow" w:cs="Times New Roman"/>
          <w:sz w:val="24"/>
          <w:szCs w:val="24"/>
        </w:rPr>
        <w:t>)</w:t>
      </w:r>
    </w:p>
    <w:tbl>
      <w:tblPr>
        <w:tblW w:w="9745" w:type="dxa"/>
        <w:tblInd w:w="-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Pr>
      <w:tblGrid>
        <w:gridCol w:w="1548"/>
        <w:gridCol w:w="1266"/>
        <w:gridCol w:w="1434"/>
        <w:gridCol w:w="1512"/>
        <w:gridCol w:w="1440"/>
        <w:gridCol w:w="1265"/>
        <w:gridCol w:w="1280"/>
      </w:tblGrid>
      <w:tr>
        <w:tblPrEx>
          <w:tblW w:w="9745" w:type="dxa"/>
          <w:tblInd w:w="-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PrEx>
        <w:trPr>
          <w:trHeight w:hRule="auto" w:val="0"/>
        </w:trPr>
        <w:tc>
          <w:tcPr>
            <w:tcW w:w="1548" w:type="dxa"/>
            <w:tcBorders>
              <w:top w:val="single" w:sz="12" w:space="0" w:color="auto"/>
              <w:left w:val="single" w:sz="12" w:space="0" w:color="auto"/>
              <w:bottom w:val="single" w:sz="12" w:space="0" w:color="auto"/>
              <w:right w:val="single" w:sz="4" w:space="0" w:color="auto"/>
              <w:tl2br w:val="nil"/>
              <w:tr2bl w:val="nil"/>
            </w:tcBorders>
            <w:shd w:val="clear" w:color="auto" w:fill="606060"/>
            <w:textDirection w:val="lrTb"/>
            <w:vAlign w:val="top"/>
          </w:tcPr>
          <w:p w:rsidR="00B372D5" w:rsidRPr="003D4711" w:rsidP="00C362EA">
            <w:pPr>
              <w:spacing w:line="240" w:lineRule="auto"/>
              <w:rPr>
                <w:rFonts w:ascii="Arial Narrow" w:hAnsi="Arial Narrow" w:cs="Times New Roman"/>
                <w:b/>
                <w:i/>
                <w:sz w:val="24"/>
                <w:szCs w:val="24"/>
              </w:rPr>
            </w:pPr>
          </w:p>
        </w:tc>
        <w:tc>
          <w:tcPr>
            <w:tcW w:w="2700" w:type="dxa"/>
            <w:gridSpan w:val="2"/>
            <w:tcBorders>
              <w:top w:val="single" w:sz="12" w:space="0" w:color="auto"/>
              <w:left w:val="single" w:sz="4" w:space="0" w:color="auto"/>
              <w:bottom w:val="single" w:sz="12" w:space="0" w:color="auto"/>
              <w:right w:val="single" w:sz="4" w:space="0" w:color="auto"/>
              <w:tl2br w:val="nil"/>
              <w:tr2bl w:val="nil"/>
            </w:tcBorders>
            <w:shd w:val="clear" w:color="auto" w:fill="606060"/>
            <w:textDirection w:val="lrTb"/>
            <w:vAlign w:val="center"/>
          </w:tcPr>
          <w:p w:rsidR="00B372D5" w:rsidRPr="003D4E0C" w:rsidP="00C362EA">
            <w:pPr>
              <w:spacing w:line="240" w:lineRule="auto"/>
              <w:jc w:val="center"/>
              <w:rPr>
                <w:rFonts w:ascii="Arial Narrow" w:hAnsi="Arial Narrow" w:cs="Times New Roman"/>
                <w:b/>
                <w:color w:val="FFFFFF"/>
                <w:sz w:val="24"/>
                <w:szCs w:val="24"/>
              </w:rPr>
            </w:pPr>
            <w:r w:rsidR="00166A70">
              <w:rPr>
                <w:rFonts w:ascii="Arial Narrow" w:hAnsi="Arial Narrow" w:cs="Times New Roman"/>
                <w:b/>
                <w:color w:val="FFFFFF"/>
                <w:sz w:val="24"/>
                <w:szCs w:val="24"/>
              </w:rPr>
              <w:t>Schválený limit k 1.1.2007</w:t>
            </w:r>
          </w:p>
        </w:tc>
        <w:tc>
          <w:tcPr>
            <w:tcW w:w="2952" w:type="dxa"/>
            <w:gridSpan w:val="2"/>
            <w:tcBorders>
              <w:top w:val="single" w:sz="12" w:space="0" w:color="auto"/>
              <w:left w:val="single" w:sz="4" w:space="0" w:color="auto"/>
              <w:bottom w:val="single" w:sz="12" w:space="0" w:color="auto"/>
              <w:right w:val="single" w:sz="4" w:space="0" w:color="auto"/>
              <w:tl2br w:val="nil"/>
              <w:tr2bl w:val="nil"/>
            </w:tcBorders>
            <w:shd w:val="clear" w:color="auto" w:fill="606060"/>
            <w:textDirection w:val="lrTb"/>
            <w:vAlign w:val="center"/>
          </w:tcPr>
          <w:p w:rsidR="00B372D5" w:rsidRPr="003D4E0C" w:rsidP="00C362EA">
            <w:pPr>
              <w:spacing w:line="240" w:lineRule="auto"/>
              <w:jc w:val="center"/>
              <w:rPr>
                <w:rFonts w:ascii="Arial Narrow" w:hAnsi="Arial Narrow" w:cs="Times New Roman"/>
                <w:b/>
                <w:i/>
                <w:color w:val="FFFFFF"/>
                <w:sz w:val="24"/>
                <w:szCs w:val="24"/>
              </w:rPr>
            </w:pPr>
            <w:r w:rsidRPr="003D4E0C">
              <w:rPr>
                <w:rFonts w:ascii="Arial Narrow" w:hAnsi="Arial Narrow" w:cs="Times New Roman"/>
                <w:b/>
                <w:color w:val="FFFFFF"/>
                <w:sz w:val="24"/>
                <w:szCs w:val="24"/>
              </w:rPr>
              <w:t>Upravený limit k 31.12.200</w:t>
            </w:r>
            <w:r w:rsidR="00166A70">
              <w:rPr>
                <w:rFonts w:ascii="Arial Narrow" w:hAnsi="Arial Narrow" w:cs="Times New Roman"/>
                <w:b/>
                <w:color w:val="FFFFFF"/>
                <w:sz w:val="24"/>
                <w:szCs w:val="24"/>
              </w:rPr>
              <w:t>7</w:t>
            </w:r>
          </w:p>
        </w:tc>
        <w:tc>
          <w:tcPr>
            <w:tcW w:w="2545" w:type="dxa"/>
            <w:gridSpan w:val="2"/>
            <w:tcBorders>
              <w:top w:val="single" w:sz="12" w:space="0" w:color="auto"/>
              <w:left w:val="single" w:sz="4" w:space="0" w:color="auto"/>
              <w:bottom w:val="single" w:sz="12" w:space="0" w:color="auto"/>
              <w:right w:val="single" w:sz="12" w:space="0" w:color="auto"/>
              <w:tl2br w:val="nil"/>
              <w:tr2bl w:val="nil"/>
            </w:tcBorders>
            <w:shd w:val="clear" w:color="auto" w:fill="606060"/>
            <w:textDirection w:val="lrTb"/>
            <w:vAlign w:val="top"/>
          </w:tcPr>
          <w:p w:rsidR="00B372D5" w:rsidRPr="003D4E0C" w:rsidP="00C362EA">
            <w:pPr>
              <w:spacing w:line="240" w:lineRule="auto"/>
              <w:jc w:val="center"/>
              <w:rPr>
                <w:rFonts w:ascii="Arial Narrow" w:hAnsi="Arial Narrow" w:cs="Times New Roman"/>
                <w:b/>
                <w:color w:val="FFFFFF"/>
                <w:sz w:val="24"/>
                <w:szCs w:val="24"/>
              </w:rPr>
            </w:pPr>
            <w:r w:rsidRPr="003D4E0C">
              <w:rPr>
                <w:rFonts w:ascii="Arial Narrow" w:hAnsi="Arial Narrow" w:cs="Times New Roman"/>
                <w:b/>
                <w:color w:val="FFFFFF"/>
                <w:sz w:val="24"/>
                <w:szCs w:val="24"/>
              </w:rPr>
              <w:t>Skutočnosť</w:t>
            </w:r>
            <w:r>
              <w:rPr>
                <w:rFonts w:ascii="Arial Narrow" w:hAnsi="Arial Narrow" w:cs="Times New Roman"/>
                <w:b/>
                <w:color w:val="FFFFFF"/>
                <w:sz w:val="24"/>
                <w:szCs w:val="24"/>
              </w:rPr>
              <w:t xml:space="preserve"> k 31.12.200</w:t>
            </w:r>
            <w:r w:rsidR="00166A70">
              <w:rPr>
                <w:rFonts w:ascii="Arial Narrow" w:hAnsi="Arial Narrow" w:cs="Times New Roman"/>
                <w:b/>
                <w:color w:val="FFFFFF"/>
                <w:sz w:val="24"/>
                <w:szCs w:val="24"/>
              </w:rPr>
              <w:t>7</w:t>
            </w:r>
          </w:p>
        </w:tc>
      </w:tr>
      <w:tr>
        <w:tblPrEx>
          <w:tblW w:w="9745" w:type="dxa"/>
          <w:tblInd w:w="-72" w:type="dxa"/>
          <w:tblLayout w:type="fixed"/>
        </w:tblPrEx>
        <w:trPr>
          <w:trHeight w:hRule="auto" w:val="0"/>
        </w:trPr>
        <w:tc>
          <w:tcPr>
            <w:tcW w:w="1548" w:type="dxa"/>
            <w:tcBorders>
              <w:top w:val="single" w:sz="12" w:space="0" w:color="auto"/>
              <w:left w:val="single" w:sz="12" w:space="0" w:color="auto"/>
              <w:bottom w:val="single" w:sz="4" w:space="0" w:color="auto"/>
              <w:right w:val="single" w:sz="4" w:space="0" w:color="auto"/>
              <w:tl2br w:val="nil"/>
              <w:tr2bl w:val="nil"/>
            </w:tcBorders>
            <w:textDirection w:val="lrTb"/>
            <w:vAlign w:val="top"/>
          </w:tcPr>
          <w:p w:rsidR="00B372D5" w:rsidRPr="003D4711" w:rsidP="00C362EA">
            <w:pPr>
              <w:spacing w:line="240" w:lineRule="auto"/>
              <w:rPr>
                <w:rFonts w:ascii="Arial Narrow" w:hAnsi="Arial Narrow" w:cs="Times New Roman"/>
                <w:b/>
                <w:i/>
                <w:sz w:val="24"/>
                <w:szCs w:val="24"/>
              </w:rPr>
            </w:pPr>
          </w:p>
        </w:tc>
        <w:tc>
          <w:tcPr>
            <w:tcW w:w="1266" w:type="dxa"/>
            <w:tcBorders>
              <w:top w:val="single" w:sz="12" w:space="0" w:color="auto"/>
              <w:left w:val="single" w:sz="4" w:space="0" w:color="auto"/>
              <w:bottom w:val="single" w:sz="4" w:space="0" w:color="auto"/>
              <w:right w:val="single" w:sz="4" w:space="0" w:color="auto"/>
              <w:tl2br w:val="nil"/>
              <w:tr2bl w:val="nil"/>
            </w:tcBorders>
            <w:textDirection w:val="lrTb"/>
            <w:vAlign w:val="top"/>
          </w:tcPr>
          <w:p w:rsidR="00B372D5" w:rsidRPr="003D4711" w:rsidP="00C362EA">
            <w:pPr>
              <w:spacing w:line="240" w:lineRule="auto"/>
              <w:rPr>
                <w:rFonts w:ascii="Arial Narrow" w:hAnsi="Arial Narrow" w:cs="Times New Roman"/>
                <w:b/>
                <w:i/>
                <w:sz w:val="24"/>
                <w:szCs w:val="24"/>
              </w:rPr>
            </w:pPr>
          </w:p>
        </w:tc>
        <w:tc>
          <w:tcPr>
            <w:tcW w:w="1434" w:type="dxa"/>
            <w:tcBorders>
              <w:top w:val="single" w:sz="12" w:space="0" w:color="auto"/>
              <w:left w:val="single" w:sz="4" w:space="0" w:color="auto"/>
              <w:bottom w:val="single" w:sz="4" w:space="0" w:color="auto"/>
              <w:right w:val="single" w:sz="4" w:space="0" w:color="auto"/>
              <w:tl2br w:val="nil"/>
              <w:tr2bl w:val="nil"/>
            </w:tcBorders>
            <w:textDirection w:val="lrTb"/>
            <w:vAlign w:val="top"/>
          </w:tcPr>
          <w:p w:rsidR="00B372D5" w:rsidRPr="003D4711" w:rsidP="00C362EA">
            <w:pPr>
              <w:spacing w:line="240" w:lineRule="auto"/>
              <w:jc w:val="center"/>
              <w:rPr>
                <w:rFonts w:ascii="Arial Narrow" w:hAnsi="Arial Narrow" w:cs="Times New Roman"/>
                <w:sz w:val="24"/>
                <w:szCs w:val="24"/>
              </w:rPr>
            </w:pPr>
            <w:r w:rsidRPr="003D4711">
              <w:rPr>
                <w:rFonts w:ascii="Arial Narrow" w:hAnsi="Arial Narrow" w:cs="Times New Roman"/>
                <w:sz w:val="24"/>
                <w:szCs w:val="24"/>
              </w:rPr>
              <w:t>z toho úrad</w:t>
            </w:r>
          </w:p>
        </w:tc>
        <w:tc>
          <w:tcPr>
            <w:tcW w:w="1512" w:type="dxa"/>
            <w:tcBorders>
              <w:top w:val="single" w:sz="12" w:space="0" w:color="auto"/>
              <w:left w:val="single" w:sz="4" w:space="0" w:color="auto"/>
              <w:bottom w:val="single" w:sz="4" w:space="0" w:color="auto"/>
              <w:right w:val="single" w:sz="4" w:space="0" w:color="auto"/>
              <w:tl2br w:val="nil"/>
              <w:tr2bl w:val="nil"/>
            </w:tcBorders>
            <w:textDirection w:val="lrTb"/>
            <w:vAlign w:val="top"/>
          </w:tcPr>
          <w:p w:rsidR="00B372D5" w:rsidRPr="003D4711" w:rsidP="00C362EA">
            <w:pPr>
              <w:spacing w:line="240" w:lineRule="auto"/>
              <w:jc w:val="center"/>
              <w:rPr>
                <w:rFonts w:ascii="Arial Narrow" w:hAnsi="Arial Narrow" w:cs="Times New Roman"/>
                <w:b/>
                <w:i/>
                <w:sz w:val="24"/>
                <w:szCs w:val="24"/>
              </w:rPr>
            </w:pPr>
          </w:p>
        </w:tc>
        <w:tc>
          <w:tcPr>
            <w:tcW w:w="1440" w:type="dxa"/>
            <w:tcBorders>
              <w:top w:val="single" w:sz="12" w:space="0" w:color="auto"/>
              <w:left w:val="single" w:sz="4" w:space="0" w:color="auto"/>
              <w:bottom w:val="single" w:sz="4" w:space="0" w:color="auto"/>
              <w:right w:val="single" w:sz="4" w:space="0" w:color="auto"/>
              <w:tl2br w:val="nil"/>
              <w:tr2bl w:val="nil"/>
            </w:tcBorders>
            <w:textDirection w:val="lrTb"/>
            <w:vAlign w:val="top"/>
          </w:tcPr>
          <w:p w:rsidR="00B372D5" w:rsidRPr="003D4711" w:rsidP="00C362EA">
            <w:pPr>
              <w:spacing w:line="240" w:lineRule="auto"/>
              <w:jc w:val="center"/>
              <w:rPr>
                <w:rFonts w:ascii="Arial Narrow" w:hAnsi="Arial Narrow" w:cs="Times New Roman"/>
                <w:b/>
                <w:i/>
                <w:sz w:val="24"/>
                <w:szCs w:val="24"/>
              </w:rPr>
            </w:pPr>
            <w:r w:rsidRPr="003D4711">
              <w:rPr>
                <w:rFonts w:ascii="Arial Narrow" w:hAnsi="Arial Narrow" w:cs="Times New Roman"/>
                <w:sz w:val="24"/>
                <w:szCs w:val="24"/>
              </w:rPr>
              <w:t>z toho úrad</w:t>
            </w:r>
          </w:p>
        </w:tc>
        <w:tc>
          <w:tcPr>
            <w:tcW w:w="1265" w:type="dxa"/>
            <w:tcBorders>
              <w:top w:val="single" w:sz="12" w:space="0" w:color="auto"/>
              <w:left w:val="single" w:sz="4" w:space="0" w:color="auto"/>
              <w:bottom w:val="single" w:sz="4" w:space="0" w:color="auto"/>
              <w:right w:val="single" w:sz="4" w:space="0" w:color="auto"/>
              <w:tl2br w:val="nil"/>
              <w:tr2bl w:val="nil"/>
            </w:tcBorders>
            <w:textDirection w:val="lrTb"/>
            <w:vAlign w:val="top"/>
          </w:tcPr>
          <w:p w:rsidR="00B372D5" w:rsidRPr="003D4711" w:rsidP="00C362EA">
            <w:pPr>
              <w:spacing w:line="240" w:lineRule="auto"/>
              <w:jc w:val="center"/>
              <w:rPr>
                <w:rFonts w:ascii="Arial Narrow" w:hAnsi="Arial Narrow" w:cs="Times New Roman"/>
                <w:b/>
                <w:i/>
                <w:sz w:val="24"/>
                <w:szCs w:val="24"/>
              </w:rPr>
            </w:pPr>
          </w:p>
        </w:tc>
        <w:tc>
          <w:tcPr>
            <w:tcW w:w="1280" w:type="dxa"/>
            <w:tcBorders>
              <w:top w:val="single" w:sz="12" w:space="0" w:color="auto"/>
              <w:left w:val="single" w:sz="4" w:space="0" w:color="auto"/>
              <w:bottom w:val="single" w:sz="4" w:space="0" w:color="auto"/>
              <w:right w:val="single" w:sz="12" w:space="0" w:color="auto"/>
              <w:tl2br w:val="nil"/>
              <w:tr2bl w:val="nil"/>
            </w:tcBorders>
            <w:textDirection w:val="lrTb"/>
            <w:vAlign w:val="top"/>
          </w:tcPr>
          <w:p w:rsidR="00B372D5" w:rsidRPr="003D4711" w:rsidP="00B372D5">
            <w:pPr>
              <w:spacing w:line="240" w:lineRule="auto"/>
              <w:jc w:val="center"/>
              <w:rPr>
                <w:rFonts w:ascii="Arial Narrow" w:hAnsi="Arial Narrow" w:cs="Times New Roman"/>
                <w:b/>
                <w:i/>
                <w:sz w:val="24"/>
                <w:szCs w:val="24"/>
              </w:rPr>
            </w:pPr>
            <w:r w:rsidRPr="003D4711">
              <w:rPr>
                <w:rFonts w:ascii="Arial Narrow" w:hAnsi="Arial Narrow" w:cs="Times New Roman"/>
                <w:sz w:val="24"/>
                <w:szCs w:val="24"/>
              </w:rPr>
              <w:t>z toho úr</w:t>
            </w:r>
            <w:r>
              <w:rPr>
                <w:rFonts w:ascii="Arial Narrow" w:hAnsi="Arial Narrow" w:cs="Times New Roman"/>
                <w:sz w:val="24"/>
                <w:szCs w:val="24"/>
              </w:rPr>
              <w:t>ad</w:t>
            </w:r>
          </w:p>
        </w:tc>
      </w:tr>
      <w:tr>
        <w:tblPrEx>
          <w:tblW w:w="9745" w:type="dxa"/>
          <w:tblInd w:w="-72" w:type="dxa"/>
          <w:tblLayout w:type="fixed"/>
        </w:tblPrEx>
        <w:trPr>
          <w:trHeight w:hRule="auto" w:val="0"/>
        </w:trPr>
        <w:tc>
          <w:tcPr>
            <w:tcW w:w="1548" w:type="dxa"/>
            <w:tcBorders>
              <w:top w:val="single" w:sz="4" w:space="0" w:color="auto"/>
              <w:left w:val="single" w:sz="12" w:space="0" w:color="auto"/>
              <w:bottom w:val="single" w:sz="4" w:space="0" w:color="auto"/>
              <w:right w:val="single" w:sz="4" w:space="0" w:color="auto"/>
              <w:tl2br w:val="nil"/>
              <w:tr2bl w:val="nil"/>
            </w:tcBorders>
            <w:textDirection w:val="lrTb"/>
            <w:vAlign w:val="center"/>
          </w:tcPr>
          <w:p w:rsidR="00B372D5" w:rsidRPr="003D4711" w:rsidP="00C362EA">
            <w:pPr>
              <w:spacing w:line="240" w:lineRule="auto"/>
              <w:rPr>
                <w:rFonts w:ascii="Arial Narrow" w:hAnsi="Arial Narrow" w:cs="Times New Roman"/>
                <w:b/>
                <w:sz w:val="24"/>
                <w:szCs w:val="24"/>
              </w:rPr>
            </w:pPr>
            <w:r w:rsidRPr="003D4711">
              <w:rPr>
                <w:rFonts w:ascii="Arial Narrow" w:hAnsi="Arial Narrow" w:cs="Times New Roman"/>
                <w:b/>
                <w:sz w:val="24"/>
                <w:szCs w:val="24"/>
              </w:rPr>
              <w:t>S P O</w:t>
            </w:r>
            <w:r>
              <w:rPr>
                <w:rFonts w:ascii="Arial Narrow" w:hAnsi="Arial Narrow" w:cs="Times New Roman"/>
                <w:b/>
                <w:sz w:val="24"/>
                <w:szCs w:val="24"/>
              </w:rPr>
              <w:t> </w:t>
            </w:r>
            <w:r w:rsidRPr="003D4711">
              <w:rPr>
                <w:rFonts w:ascii="Arial Narrow" w:hAnsi="Arial Narrow" w:cs="Times New Roman"/>
                <w:b/>
                <w:sz w:val="24"/>
                <w:szCs w:val="24"/>
              </w:rPr>
              <w:t>L U</w:t>
            </w:r>
          </w:p>
        </w:tc>
        <w:tc>
          <w:tcPr>
            <w:tcW w:w="1266"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B372D5" w:rsidRPr="003D4711" w:rsidP="00C362EA">
            <w:pPr>
              <w:spacing w:line="240" w:lineRule="auto"/>
              <w:jc w:val="right"/>
              <w:rPr>
                <w:rFonts w:ascii="Arial Narrow" w:hAnsi="Arial Narrow" w:cs="Times New Roman"/>
                <w:b/>
                <w:sz w:val="24"/>
                <w:szCs w:val="24"/>
              </w:rPr>
            </w:pPr>
            <w:r>
              <w:rPr>
                <w:rFonts w:ascii="Arial Narrow" w:hAnsi="Arial Narrow" w:cs="Times New Roman"/>
                <w:b/>
                <w:sz w:val="24"/>
                <w:szCs w:val="24"/>
              </w:rPr>
              <w:t>844 351</w:t>
            </w:r>
          </w:p>
        </w:tc>
        <w:tc>
          <w:tcPr>
            <w:tcW w:w="1434"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B372D5" w:rsidRPr="003D4711" w:rsidP="00C362EA">
            <w:pPr>
              <w:spacing w:line="240" w:lineRule="auto"/>
              <w:jc w:val="right"/>
              <w:rPr>
                <w:rFonts w:ascii="Arial Narrow" w:hAnsi="Arial Narrow" w:cs="Times New Roman"/>
                <w:b/>
                <w:sz w:val="24"/>
                <w:szCs w:val="24"/>
              </w:rPr>
            </w:pPr>
            <w:r>
              <w:rPr>
                <w:rFonts w:ascii="Arial Narrow" w:hAnsi="Arial Narrow" w:cs="Times New Roman"/>
                <w:b/>
                <w:sz w:val="24"/>
                <w:szCs w:val="24"/>
              </w:rPr>
              <w:t>116 382</w:t>
            </w:r>
          </w:p>
        </w:tc>
        <w:tc>
          <w:tcPr>
            <w:tcW w:w="1512"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B372D5" w:rsidRPr="003D4711" w:rsidP="00CA2F6E">
            <w:pPr>
              <w:spacing w:line="240" w:lineRule="auto"/>
              <w:jc w:val="right"/>
              <w:rPr>
                <w:rFonts w:ascii="Arial Narrow" w:hAnsi="Arial Narrow" w:cs="Times New Roman"/>
                <w:b/>
                <w:sz w:val="24"/>
                <w:szCs w:val="24"/>
              </w:rPr>
            </w:pPr>
            <w:r>
              <w:rPr>
                <w:rFonts w:ascii="Arial Narrow" w:hAnsi="Arial Narrow" w:cs="Times New Roman"/>
                <w:b/>
                <w:sz w:val="24"/>
                <w:szCs w:val="24"/>
              </w:rPr>
              <w:t>880 615</w:t>
            </w:r>
          </w:p>
        </w:tc>
        <w:tc>
          <w:tcPr>
            <w:tcW w:w="144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B372D5" w:rsidRPr="003D4711" w:rsidP="00CA2F6E">
            <w:pPr>
              <w:spacing w:line="240" w:lineRule="auto"/>
              <w:jc w:val="right"/>
              <w:rPr>
                <w:rFonts w:ascii="Arial Narrow" w:hAnsi="Arial Narrow" w:cs="Times New Roman"/>
                <w:b/>
                <w:sz w:val="24"/>
                <w:szCs w:val="24"/>
              </w:rPr>
            </w:pPr>
            <w:r>
              <w:rPr>
                <w:rFonts w:ascii="Arial Narrow" w:hAnsi="Arial Narrow" w:cs="Times New Roman"/>
                <w:b/>
                <w:sz w:val="24"/>
                <w:szCs w:val="24"/>
              </w:rPr>
              <w:t>122 996</w:t>
            </w:r>
          </w:p>
        </w:tc>
        <w:tc>
          <w:tcPr>
            <w:tcW w:w="1265"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B372D5" w:rsidRPr="003D4711" w:rsidP="00CA2F6E">
            <w:pPr>
              <w:spacing w:line="240" w:lineRule="auto"/>
              <w:jc w:val="right"/>
              <w:rPr>
                <w:rFonts w:ascii="Arial Narrow" w:hAnsi="Arial Narrow" w:cs="Times New Roman"/>
                <w:b/>
                <w:sz w:val="24"/>
                <w:szCs w:val="24"/>
              </w:rPr>
            </w:pPr>
            <w:r>
              <w:rPr>
                <w:rFonts w:ascii="Arial Narrow" w:hAnsi="Arial Narrow" w:cs="Times New Roman"/>
                <w:b/>
                <w:sz w:val="24"/>
                <w:szCs w:val="24"/>
              </w:rPr>
              <w:t>879 951</w:t>
            </w:r>
          </w:p>
        </w:tc>
        <w:tc>
          <w:tcPr>
            <w:tcW w:w="1280" w:type="dxa"/>
            <w:tcBorders>
              <w:top w:val="single" w:sz="4" w:space="0" w:color="auto"/>
              <w:left w:val="single" w:sz="4" w:space="0" w:color="auto"/>
              <w:bottom w:val="single" w:sz="4" w:space="0" w:color="auto"/>
              <w:right w:val="single" w:sz="12" w:space="0" w:color="auto"/>
              <w:tl2br w:val="nil"/>
              <w:tr2bl w:val="nil"/>
            </w:tcBorders>
            <w:textDirection w:val="lrTb"/>
            <w:vAlign w:val="center"/>
          </w:tcPr>
          <w:p w:rsidR="00B372D5" w:rsidRPr="003D4711" w:rsidP="00C362EA">
            <w:pPr>
              <w:spacing w:line="240" w:lineRule="auto"/>
              <w:jc w:val="right"/>
              <w:rPr>
                <w:rFonts w:ascii="Arial Narrow" w:hAnsi="Arial Narrow" w:cs="Times New Roman"/>
                <w:b/>
                <w:sz w:val="24"/>
                <w:szCs w:val="24"/>
              </w:rPr>
            </w:pPr>
            <w:r w:rsidR="00836AB6">
              <w:rPr>
                <w:rFonts w:ascii="Arial Narrow" w:hAnsi="Arial Narrow" w:cs="Times New Roman"/>
                <w:b/>
                <w:sz w:val="24"/>
                <w:szCs w:val="24"/>
              </w:rPr>
              <w:t>122 771</w:t>
            </w:r>
          </w:p>
        </w:tc>
      </w:tr>
      <w:tr>
        <w:tblPrEx>
          <w:tblW w:w="9745" w:type="dxa"/>
          <w:tblInd w:w="-72" w:type="dxa"/>
          <w:tblLayout w:type="fixed"/>
        </w:tblPrEx>
        <w:trPr>
          <w:trHeight w:hRule="auto" w:val="0"/>
        </w:trPr>
        <w:tc>
          <w:tcPr>
            <w:tcW w:w="1548" w:type="dxa"/>
            <w:tcBorders>
              <w:top w:val="single" w:sz="4" w:space="0" w:color="auto"/>
              <w:left w:val="single" w:sz="12" w:space="0" w:color="auto"/>
              <w:bottom w:val="single" w:sz="4" w:space="0" w:color="auto"/>
              <w:right w:val="single" w:sz="4" w:space="0" w:color="auto"/>
              <w:tl2br w:val="nil"/>
              <w:tr2bl w:val="nil"/>
            </w:tcBorders>
            <w:textDirection w:val="lrTb"/>
            <w:vAlign w:val="center"/>
          </w:tcPr>
          <w:p w:rsidR="00B372D5" w:rsidRPr="003D4711" w:rsidP="00C362EA">
            <w:pPr>
              <w:spacing w:line="240" w:lineRule="auto"/>
              <w:rPr>
                <w:rFonts w:ascii="Arial Narrow" w:hAnsi="Arial Narrow" w:cs="Times New Roman"/>
                <w:sz w:val="24"/>
                <w:szCs w:val="24"/>
              </w:rPr>
            </w:pPr>
            <w:r w:rsidRPr="003D4711">
              <w:rPr>
                <w:rFonts w:ascii="Arial Narrow" w:hAnsi="Arial Narrow" w:cs="Times New Roman"/>
                <w:sz w:val="24"/>
                <w:szCs w:val="24"/>
              </w:rPr>
              <w:t>z toho:</w:t>
            </w:r>
          </w:p>
        </w:tc>
        <w:tc>
          <w:tcPr>
            <w:tcW w:w="1266"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B372D5" w:rsidRPr="003D4711" w:rsidP="00C362EA">
            <w:pPr>
              <w:spacing w:line="240" w:lineRule="auto"/>
              <w:jc w:val="right"/>
              <w:rPr>
                <w:rFonts w:ascii="Arial Narrow" w:hAnsi="Arial Narrow" w:cs="Times New Roman"/>
                <w:b/>
                <w:sz w:val="24"/>
                <w:szCs w:val="24"/>
              </w:rPr>
            </w:pPr>
          </w:p>
        </w:tc>
        <w:tc>
          <w:tcPr>
            <w:tcW w:w="1434"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B372D5" w:rsidRPr="003D4711" w:rsidP="00C362EA">
            <w:pPr>
              <w:spacing w:line="240" w:lineRule="auto"/>
              <w:jc w:val="right"/>
              <w:rPr>
                <w:rFonts w:ascii="Arial Narrow" w:hAnsi="Arial Narrow" w:cs="Times New Roman"/>
                <w:b/>
                <w:sz w:val="24"/>
                <w:szCs w:val="24"/>
              </w:rPr>
            </w:pPr>
          </w:p>
        </w:tc>
        <w:tc>
          <w:tcPr>
            <w:tcW w:w="1512"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B372D5" w:rsidRPr="003D4711" w:rsidP="00CA2F6E">
            <w:pPr>
              <w:spacing w:line="240" w:lineRule="auto"/>
              <w:jc w:val="right"/>
              <w:rPr>
                <w:rFonts w:ascii="Arial Narrow" w:hAnsi="Arial Narrow" w:cs="Times New Roman"/>
                <w:b/>
                <w:sz w:val="24"/>
                <w:szCs w:val="24"/>
              </w:rPr>
            </w:pPr>
          </w:p>
        </w:tc>
        <w:tc>
          <w:tcPr>
            <w:tcW w:w="144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B372D5" w:rsidRPr="003D4711" w:rsidP="00CA2F6E">
            <w:pPr>
              <w:spacing w:line="240" w:lineRule="auto"/>
              <w:jc w:val="right"/>
              <w:rPr>
                <w:rFonts w:ascii="Arial Narrow" w:hAnsi="Arial Narrow" w:cs="Times New Roman"/>
                <w:b/>
                <w:sz w:val="24"/>
                <w:szCs w:val="24"/>
              </w:rPr>
            </w:pPr>
          </w:p>
        </w:tc>
        <w:tc>
          <w:tcPr>
            <w:tcW w:w="1265"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B372D5" w:rsidRPr="003D4711" w:rsidP="00CA2F6E">
            <w:pPr>
              <w:spacing w:line="240" w:lineRule="auto"/>
              <w:jc w:val="right"/>
              <w:rPr>
                <w:rFonts w:ascii="Arial Narrow" w:hAnsi="Arial Narrow" w:cs="Times New Roman"/>
                <w:b/>
                <w:sz w:val="24"/>
                <w:szCs w:val="24"/>
              </w:rPr>
            </w:pPr>
          </w:p>
        </w:tc>
        <w:tc>
          <w:tcPr>
            <w:tcW w:w="1280" w:type="dxa"/>
            <w:tcBorders>
              <w:top w:val="single" w:sz="4" w:space="0" w:color="auto"/>
              <w:left w:val="single" w:sz="4" w:space="0" w:color="auto"/>
              <w:bottom w:val="single" w:sz="4" w:space="0" w:color="auto"/>
              <w:right w:val="single" w:sz="12" w:space="0" w:color="auto"/>
              <w:tl2br w:val="nil"/>
              <w:tr2bl w:val="nil"/>
            </w:tcBorders>
            <w:textDirection w:val="lrTb"/>
            <w:vAlign w:val="center"/>
          </w:tcPr>
          <w:p w:rsidR="00B372D5" w:rsidRPr="003D4711" w:rsidP="00C362EA">
            <w:pPr>
              <w:spacing w:line="240" w:lineRule="auto"/>
              <w:jc w:val="right"/>
              <w:rPr>
                <w:rFonts w:ascii="Arial Narrow" w:hAnsi="Arial Narrow" w:cs="Times New Roman"/>
                <w:b/>
                <w:sz w:val="24"/>
                <w:szCs w:val="24"/>
              </w:rPr>
            </w:pPr>
          </w:p>
        </w:tc>
      </w:tr>
      <w:tr>
        <w:tblPrEx>
          <w:tblW w:w="9745" w:type="dxa"/>
          <w:tblInd w:w="-72" w:type="dxa"/>
          <w:tblLayout w:type="fixed"/>
        </w:tblPrEx>
        <w:trPr>
          <w:trHeight w:hRule="auto" w:val="0"/>
        </w:trPr>
        <w:tc>
          <w:tcPr>
            <w:tcW w:w="1548" w:type="dxa"/>
            <w:tcBorders>
              <w:top w:val="single" w:sz="4" w:space="0" w:color="auto"/>
              <w:left w:val="single" w:sz="12" w:space="0" w:color="auto"/>
              <w:bottom w:val="single" w:sz="4" w:space="0" w:color="auto"/>
              <w:right w:val="single" w:sz="4" w:space="0" w:color="auto"/>
              <w:tl2br w:val="nil"/>
              <w:tr2bl w:val="nil"/>
            </w:tcBorders>
            <w:textDirection w:val="lrTb"/>
            <w:vAlign w:val="center"/>
          </w:tcPr>
          <w:p w:rsidR="002E52C0" w:rsidRPr="003D4711" w:rsidP="00C362EA">
            <w:pPr>
              <w:spacing w:line="240" w:lineRule="auto"/>
              <w:rPr>
                <w:rFonts w:ascii="Arial Narrow" w:hAnsi="Arial Narrow" w:cs="Times New Roman"/>
                <w:sz w:val="24"/>
                <w:szCs w:val="24"/>
              </w:rPr>
            </w:pPr>
            <w:r w:rsidRPr="003D4711">
              <w:rPr>
                <w:rFonts w:ascii="Arial Narrow" w:hAnsi="Arial Narrow" w:cs="Times New Roman"/>
                <w:sz w:val="24"/>
                <w:szCs w:val="24"/>
              </w:rPr>
              <w:t>Štátna služba</w:t>
            </w:r>
          </w:p>
        </w:tc>
        <w:tc>
          <w:tcPr>
            <w:tcW w:w="5652" w:type="dxa"/>
            <w:gridSpan w:val="4"/>
            <w:vMerge w:val="restart"/>
            <w:tcBorders>
              <w:top w:val="single" w:sz="4" w:space="0" w:color="auto"/>
              <w:left w:val="single" w:sz="4" w:space="0" w:color="auto"/>
              <w:bottom w:val="single" w:sz="4" w:space="0" w:color="auto"/>
              <w:right w:val="single" w:sz="4" w:space="0" w:color="auto"/>
              <w:tl2br w:val="nil"/>
              <w:tr2bl w:val="nil"/>
            </w:tcBorders>
            <w:textDirection w:val="lrTb"/>
            <w:vAlign w:val="center"/>
          </w:tcPr>
          <w:p w:rsidR="002E52C0" w:rsidRPr="003D4711" w:rsidP="002E52C0">
            <w:pPr>
              <w:spacing w:line="240" w:lineRule="auto"/>
              <w:jc w:val="center"/>
              <w:rPr>
                <w:rFonts w:ascii="Arial Narrow" w:hAnsi="Arial Narrow" w:cs="Times New Roman"/>
                <w:sz w:val="24"/>
                <w:szCs w:val="24"/>
              </w:rPr>
            </w:pPr>
            <w:r>
              <w:rPr>
                <w:rFonts w:ascii="Arial Narrow" w:hAnsi="Arial Narrow" w:cs="Times New Roman"/>
                <w:sz w:val="24"/>
                <w:szCs w:val="24"/>
              </w:rPr>
              <w:t>Rozdelenie na štátnu a verejnú službu v oblasti mzdových prostriedkov MF SR už neeviduje. Sleduje sa to len pri skutočnom čerpaní.</w:t>
            </w:r>
          </w:p>
        </w:tc>
        <w:tc>
          <w:tcPr>
            <w:tcW w:w="1265"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2E52C0" w:rsidRPr="003D4711" w:rsidP="00CA2F6E">
            <w:pPr>
              <w:spacing w:line="240" w:lineRule="auto"/>
              <w:jc w:val="right"/>
              <w:rPr>
                <w:rFonts w:ascii="Arial Narrow" w:hAnsi="Arial Narrow" w:cs="Times New Roman"/>
                <w:sz w:val="24"/>
                <w:szCs w:val="24"/>
              </w:rPr>
            </w:pPr>
            <w:r>
              <w:rPr>
                <w:rFonts w:ascii="Arial Narrow" w:hAnsi="Arial Narrow" w:cs="Times New Roman"/>
                <w:sz w:val="24"/>
                <w:szCs w:val="24"/>
              </w:rPr>
              <w:t>314 101</w:t>
            </w:r>
          </w:p>
        </w:tc>
        <w:tc>
          <w:tcPr>
            <w:tcW w:w="1280" w:type="dxa"/>
            <w:tcBorders>
              <w:top w:val="single" w:sz="4" w:space="0" w:color="auto"/>
              <w:left w:val="single" w:sz="4" w:space="0" w:color="auto"/>
              <w:bottom w:val="single" w:sz="4" w:space="0" w:color="auto"/>
              <w:right w:val="single" w:sz="12" w:space="0" w:color="auto"/>
              <w:tl2br w:val="nil"/>
              <w:tr2bl w:val="nil"/>
            </w:tcBorders>
            <w:textDirection w:val="lrTb"/>
            <w:vAlign w:val="center"/>
          </w:tcPr>
          <w:p w:rsidR="002E52C0" w:rsidRPr="003D4711" w:rsidP="00C362EA">
            <w:pPr>
              <w:spacing w:line="240" w:lineRule="auto"/>
              <w:jc w:val="right"/>
              <w:rPr>
                <w:rFonts w:ascii="Arial Narrow" w:hAnsi="Arial Narrow" w:cs="Times New Roman"/>
                <w:sz w:val="24"/>
                <w:szCs w:val="24"/>
              </w:rPr>
            </w:pPr>
            <w:r>
              <w:rPr>
                <w:rFonts w:ascii="Arial Narrow" w:hAnsi="Arial Narrow" w:cs="Times New Roman"/>
                <w:sz w:val="24"/>
                <w:szCs w:val="24"/>
              </w:rPr>
              <w:t>108 608</w:t>
            </w:r>
          </w:p>
        </w:tc>
      </w:tr>
      <w:tr>
        <w:tblPrEx>
          <w:tblW w:w="9745" w:type="dxa"/>
          <w:tblInd w:w="-72" w:type="dxa"/>
          <w:tblLayout w:type="fixed"/>
        </w:tblPrEx>
        <w:trPr>
          <w:trHeight w:hRule="auto" w:val="0"/>
        </w:trPr>
        <w:tc>
          <w:tcPr>
            <w:tcW w:w="1548" w:type="dxa"/>
            <w:tcBorders>
              <w:top w:val="single" w:sz="4" w:space="0" w:color="auto"/>
              <w:left w:val="single" w:sz="12" w:space="0" w:color="auto"/>
              <w:bottom w:val="single" w:sz="4" w:space="0" w:color="auto"/>
              <w:right w:val="single" w:sz="4" w:space="0" w:color="auto"/>
              <w:tl2br w:val="nil"/>
              <w:tr2bl w:val="nil"/>
            </w:tcBorders>
            <w:textDirection w:val="lrTb"/>
            <w:vAlign w:val="center"/>
          </w:tcPr>
          <w:p w:rsidR="002E52C0" w:rsidRPr="003D4711" w:rsidP="00C362EA">
            <w:pPr>
              <w:spacing w:line="240" w:lineRule="auto"/>
              <w:rPr>
                <w:rFonts w:ascii="Arial Narrow" w:hAnsi="Arial Narrow" w:cs="Times New Roman"/>
                <w:sz w:val="24"/>
                <w:szCs w:val="24"/>
              </w:rPr>
            </w:pPr>
            <w:r w:rsidRPr="003D4711">
              <w:rPr>
                <w:rFonts w:ascii="Arial Narrow" w:hAnsi="Arial Narrow" w:cs="Times New Roman"/>
                <w:sz w:val="24"/>
                <w:szCs w:val="24"/>
              </w:rPr>
              <w:t>Ostatní</w:t>
            </w:r>
          </w:p>
        </w:tc>
        <w:tc>
          <w:tcPr>
            <w:tcW w:w="5652" w:type="dxa"/>
            <w:gridSpan w:val="4"/>
            <w:vMerge/>
            <w:tcBorders>
              <w:top w:val="single" w:sz="4" w:space="0" w:color="auto"/>
              <w:left w:val="single" w:sz="4" w:space="0" w:color="auto"/>
              <w:bottom w:val="single" w:sz="4" w:space="0" w:color="auto"/>
              <w:right w:val="single" w:sz="4" w:space="0" w:color="auto"/>
              <w:tl2br w:val="nil"/>
              <w:tr2bl w:val="nil"/>
            </w:tcBorders>
            <w:textDirection w:val="lrTb"/>
            <w:vAlign w:val="center"/>
          </w:tcPr>
          <w:p w:rsidR="002E52C0" w:rsidRPr="003D4711" w:rsidP="00CA2F6E">
            <w:pPr>
              <w:spacing w:line="240" w:lineRule="auto"/>
              <w:jc w:val="right"/>
              <w:rPr>
                <w:rFonts w:ascii="Arial Narrow" w:hAnsi="Arial Narrow" w:cs="Times New Roman"/>
                <w:sz w:val="24"/>
                <w:szCs w:val="24"/>
              </w:rPr>
            </w:pPr>
          </w:p>
        </w:tc>
        <w:tc>
          <w:tcPr>
            <w:tcW w:w="1265"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2E52C0" w:rsidRPr="003D4711" w:rsidP="00CA2F6E">
            <w:pPr>
              <w:spacing w:line="240" w:lineRule="auto"/>
              <w:jc w:val="right"/>
              <w:rPr>
                <w:rFonts w:ascii="Arial Narrow" w:hAnsi="Arial Narrow" w:cs="Times New Roman"/>
                <w:sz w:val="24"/>
                <w:szCs w:val="24"/>
              </w:rPr>
            </w:pPr>
            <w:r>
              <w:rPr>
                <w:rFonts w:ascii="Arial Narrow" w:hAnsi="Arial Narrow" w:cs="Times New Roman"/>
                <w:sz w:val="24"/>
                <w:szCs w:val="24"/>
              </w:rPr>
              <w:t>565 850</w:t>
            </w:r>
          </w:p>
        </w:tc>
        <w:tc>
          <w:tcPr>
            <w:tcW w:w="1280" w:type="dxa"/>
            <w:tcBorders>
              <w:top w:val="single" w:sz="4" w:space="0" w:color="auto"/>
              <w:left w:val="single" w:sz="4" w:space="0" w:color="auto"/>
              <w:bottom w:val="single" w:sz="4" w:space="0" w:color="auto"/>
              <w:right w:val="single" w:sz="12" w:space="0" w:color="auto"/>
              <w:tl2br w:val="nil"/>
              <w:tr2bl w:val="nil"/>
            </w:tcBorders>
            <w:textDirection w:val="lrTb"/>
            <w:vAlign w:val="center"/>
          </w:tcPr>
          <w:p w:rsidR="002E52C0" w:rsidRPr="003D4711" w:rsidP="00C362EA">
            <w:pPr>
              <w:spacing w:line="240" w:lineRule="auto"/>
              <w:jc w:val="right"/>
              <w:rPr>
                <w:rFonts w:ascii="Arial Narrow" w:hAnsi="Arial Narrow" w:cs="Times New Roman"/>
                <w:sz w:val="24"/>
                <w:szCs w:val="24"/>
              </w:rPr>
            </w:pPr>
            <w:r>
              <w:rPr>
                <w:rFonts w:ascii="Arial Narrow" w:hAnsi="Arial Narrow" w:cs="Times New Roman"/>
                <w:sz w:val="24"/>
                <w:szCs w:val="24"/>
              </w:rPr>
              <w:t>14 163</w:t>
            </w:r>
          </w:p>
        </w:tc>
      </w:tr>
      <w:tr>
        <w:tblPrEx>
          <w:tblW w:w="9745" w:type="dxa"/>
          <w:tblInd w:w="-72" w:type="dxa"/>
          <w:tblLayout w:type="fixed"/>
        </w:tblPrEx>
        <w:trPr>
          <w:trHeight w:hRule="auto" w:val="0"/>
        </w:trPr>
        <w:tc>
          <w:tcPr>
            <w:tcW w:w="1548" w:type="dxa"/>
            <w:tcBorders>
              <w:top w:val="single" w:sz="4" w:space="0" w:color="auto"/>
              <w:left w:val="single" w:sz="12" w:space="0" w:color="auto"/>
              <w:bottom w:val="single" w:sz="4" w:space="0" w:color="auto"/>
              <w:right w:val="single" w:sz="4" w:space="0" w:color="auto"/>
              <w:tl2br w:val="nil"/>
              <w:tr2bl w:val="nil"/>
            </w:tcBorders>
            <w:textDirection w:val="lrTb"/>
            <w:vAlign w:val="center"/>
          </w:tcPr>
          <w:p w:rsidR="002E52C0" w:rsidRPr="003D4711" w:rsidP="00C362EA">
            <w:pPr>
              <w:spacing w:line="240" w:lineRule="auto"/>
              <w:rPr>
                <w:rFonts w:ascii="Arial Narrow" w:hAnsi="Arial Narrow" w:cs="Times New Roman"/>
                <w:sz w:val="24"/>
                <w:szCs w:val="24"/>
              </w:rPr>
            </w:pPr>
            <w:r w:rsidRPr="003D4711">
              <w:rPr>
                <w:rFonts w:ascii="Arial Narrow" w:hAnsi="Arial Narrow" w:cs="Times New Roman"/>
                <w:sz w:val="24"/>
                <w:szCs w:val="24"/>
              </w:rPr>
              <w:t xml:space="preserve">z toho: </w:t>
            </w:r>
          </w:p>
        </w:tc>
        <w:tc>
          <w:tcPr>
            <w:tcW w:w="5652" w:type="dxa"/>
            <w:gridSpan w:val="4"/>
            <w:vMerge/>
            <w:tcBorders>
              <w:top w:val="single" w:sz="4" w:space="0" w:color="auto"/>
              <w:left w:val="single" w:sz="4" w:space="0" w:color="auto"/>
              <w:bottom w:val="single" w:sz="4" w:space="0" w:color="auto"/>
              <w:right w:val="single" w:sz="4" w:space="0" w:color="auto"/>
              <w:tl2br w:val="nil"/>
              <w:tr2bl w:val="nil"/>
            </w:tcBorders>
            <w:textDirection w:val="lrTb"/>
            <w:vAlign w:val="center"/>
          </w:tcPr>
          <w:p w:rsidR="002E52C0" w:rsidRPr="003D4711" w:rsidP="00CA2F6E">
            <w:pPr>
              <w:spacing w:line="240" w:lineRule="auto"/>
              <w:jc w:val="right"/>
              <w:rPr>
                <w:rFonts w:ascii="Arial Narrow" w:hAnsi="Arial Narrow" w:cs="Times New Roman"/>
                <w:sz w:val="24"/>
                <w:szCs w:val="24"/>
              </w:rPr>
            </w:pPr>
          </w:p>
        </w:tc>
        <w:tc>
          <w:tcPr>
            <w:tcW w:w="1265"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2E52C0" w:rsidRPr="003D4711" w:rsidP="00CA2F6E">
            <w:pPr>
              <w:spacing w:line="240" w:lineRule="auto"/>
              <w:jc w:val="right"/>
              <w:rPr>
                <w:rFonts w:ascii="Arial Narrow" w:hAnsi="Arial Narrow" w:cs="Times New Roman"/>
                <w:sz w:val="24"/>
                <w:szCs w:val="24"/>
              </w:rPr>
            </w:pPr>
          </w:p>
        </w:tc>
        <w:tc>
          <w:tcPr>
            <w:tcW w:w="1280" w:type="dxa"/>
            <w:tcBorders>
              <w:top w:val="single" w:sz="4" w:space="0" w:color="auto"/>
              <w:left w:val="single" w:sz="4" w:space="0" w:color="auto"/>
              <w:bottom w:val="single" w:sz="4" w:space="0" w:color="auto"/>
              <w:right w:val="single" w:sz="12" w:space="0" w:color="auto"/>
              <w:tl2br w:val="nil"/>
              <w:tr2bl w:val="nil"/>
            </w:tcBorders>
            <w:textDirection w:val="lrTb"/>
            <w:vAlign w:val="center"/>
          </w:tcPr>
          <w:p w:rsidR="002E52C0" w:rsidRPr="003D4711" w:rsidP="00C362EA">
            <w:pPr>
              <w:spacing w:line="240" w:lineRule="auto"/>
              <w:jc w:val="right"/>
              <w:rPr>
                <w:rFonts w:ascii="Arial Narrow" w:hAnsi="Arial Narrow" w:cs="Times New Roman"/>
                <w:sz w:val="24"/>
                <w:szCs w:val="24"/>
              </w:rPr>
            </w:pPr>
          </w:p>
        </w:tc>
      </w:tr>
      <w:tr>
        <w:tblPrEx>
          <w:tblW w:w="9745" w:type="dxa"/>
          <w:tblInd w:w="-72" w:type="dxa"/>
          <w:tblLayout w:type="fixed"/>
        </w:tblPrEx>
        <w:trPr>
          <w:trHeight w:hRule="auto" w:val="0"/>
        </w:trPr>
        <w:tc>
          <w:tcPr>
            <w:tcW w:w="1548" w:type="dxa"/>
            <w:tcBorders>
              <w:top w:val="single" w:sz="4" w:space="0" w:color="auto"/>
              <w:left w:val="single" w:sz="12" w:space="0" w:color="auto"/>
              <w:bottom w:val="single" w:sz="4" w:space="0" w:color="auto"/>
              <w:right w:val="single" w:sz="4" w:space="0" w:color="auto"/>
              <w:tl2br w:val="nil"/>
              <w:tr2bl w:val="nil"/>
            </w:tcBorders>
            <w:textDirection w:val="lrTb"/>
            <w:vAlign w:val="center"/>
          </w:tcPr>
          <w:p w:rsidR="002E52C0" w:rsidRPr="003D4711" w:rsidP="00C362EA">
            <w:pPr>
              <w:spacing w:line="240" w:lineRule="auto"/>
              <w:rPr>
                <w:rFonts w:ascii="Arial Narrow" w:hAnsi="Arial Narrow" w:cs="Times New Roman"/>
                <w:sz w:val="24"/>
                <w:szCs w:val="24"/>
              </w:rPr>
            </w:pPr>
            <w:r w:rsidRPr="003D4711">
              <w:rPr>
                <w:rFonts w:ascii="Arial Narrow" w:hAnsi="Arial Narrow" w:cs="Times New Roman"/>
                <w:sz w:val="24"/>
                <w:szCs w:val="24"/>
              </w:rPr>
              <w:t>Verejná služba</w:t>
            </w:r>
          </w:p>
        </w:tc>
        <w:tc>
          <w:tcPr>
            <w:tcW w:w="5652" w:type="dxa"/>
            <w:gridSpan w:val="4"/>
            <w:vMerge/>
            <w:tcBorders>
              <w:top w:val="single" w:sz="4" w:space="0" w:color="auto"/>
              <w:left w:val="single" w:sz="4" w:space="0" w:color="auto"/>
              <w:bottom w:val="single" w:sz="4" w:space="0" w:color="auto"/>
              <w:right w:val="single" w:sz="4" w:space="0" w:color="auto"/>
              <w:tl2br w:val="nil"/>
              <w:tr2bl w:val="nil"/>
            </w:tcBorders>
            <w:textDirection w:val="lrTb"/>
            <w:vAlign w:val="center"/>
          </w:tcPr>
          <w:p w:rsidR="002E52C0" w:rsidRPr="003D4711" w:rsidP="00CA2F6E">
            <w:pPr>
              <w:spacing w:line="240" w:lineRule="auto"/>
              <w:jc w:val="right"/>
              <w:rPr>
                <w:rFonts w:ascii="Arial Narrow" w:hAnsi="Arial Narrow" w:cs="Times New Roman"/>
                <w:sz w:val="24"/>
                <w:szCs w:val="24"/>
              </w:rPr>
            </w:pPr>
          </w:p>
        </w:tc>
        <w:tc>
          <w:tcPr>
            <w:tcW w:w="1265"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2E52C0" w:rsidRPr="003D4711" w:rsidP="00CA2F6E">
            <w:pPr>
              <w:spacing w:line="240" w:lineRule="auto"/>
              <w:jc w:val="right"/>
              <w:rPr>
                <w:rFonts w:ascii="Arial Narrow" w:hAnsi="Arial Narrow" w:cs="Times New Roman"/>
                <w:sz w:val="24"/>
                <w:szCs w:val="24"/>
              </w:rPr>
            </w:pPr>
            <w:r>
              <w:rPr>
                <w:rFonts w:ascii="Arial Narrow" w:hAnsi="Arial Narrow" w:cs="Times New Roman"/>
                <w:sz w:val="24"/>
                <w:szCs w:val="24"/>
              </w:rPr>
              <w:t>196 577</w:t>
            </w:r>
          </w:p>
        </w:tc>
        <w:tc>
          <w:tcPr>
            <w:tcW w:w="1280" w:type="dxa"/>
            <w:tcBorders>
              <w:top w:val="single" w:sz="4" w:space="0" w:color="auto"/>
              <w:left w:val="single" w:sz="4" w:space="0" w:color="auto"/>
              <w:bottom w:val="single" w:sz="4" w:space="0" w:color="auto"/>
              <w:right w:val="single" w:sz="12" w:space="0" w:color="auto"/>
              <w:tl2br w:val="nil"/>
              <w:tr2bl w:val="nil"/>
            </w:tcBorders>
            <w:textDirection w:val="lrTb"/>
            <w:vAlign w:val="center"/>
          </w:tcPr>
          <w:p w:rsidR="002E52C0" w:rsidRPr="003D4711" w:rsidP="00C362EA">
            <w:pPr>
              <w:spacing w:line="240" w:lineRule="auto"/>
              <w:jc w:val="right"/>
              <w:rPr>
                <w:rFonts w:ascii="Arial Narrow" w:hAnsi="Arial Narrow" w:cs="Times New Roman"/>
                <w:sz w:val="24"/>
                <w:szCs w:val="24"/>
              </w:rPr>
            </w:pPr>
            <w:r>
              <w:rPr>
                <w:rFonts w:ascii="Arial Narrow" w:hAnsi="Arial Narrow" w:cs="Times New Roman"/>
                <w:sz w:val="24"/>
                <w:szCs w:val="24"/>
              </w:rPr>
              <w:t>14 163</w:t>
            </w:r>
          </w:p>
        </w:tc>
      </w:tr>
      <w:tr>
        <w:tblPrEx>
          <w:tblW w:w="9745" w:type="dxa"/>
          <w:tblInd w:w="-72" w:type="dxa"/>
          <w:tblLayout w:type="fixed"/>
        </w:tblPrEx>
        <w:trPr>
          <w:trHeight w:hRule="auto" w:val="0"/>
        </w:trPr>
        <w:tc>
          <w:tcPr>
            <w:tcW w:w="1548" w:type="dxa"/>
            <w:tcBorders>
              <w:top w:val="single" w:sz="4" w:space="0" w:color="auto"/>
              <w:left w:val="single" w:sz="12" w:space="0" w:color="auto"/>
              <w:bottom w:val="single" w:sz="12" w:space="0" w:color="auto"/>
              <w:right w:val="single" w:sz="4" w:space="0" w:color="auto"/>
              <w:tl2br w:val="nil"/>
              <w:tr2bl w:val="nil"/>
            </w:tcBorders>
            <w:textDirection w:val="lrTb"/>
            <w:vAlign w:val="center"/>
          </w:tcPr>
          <w:p w:rsidR="00B372D5" w:rsidRPr="003D4711" w:rsidP="00C362EA">
            <w:pPr>
              <w:spacing w:line="240" w:lineRule="auto"/>
              <w:rPr>
                <w:rFonts w:ascii="Arial Narrow" w:hAnsi="Arial Narrow" w:cs="Times New Roman"/>
                <w:sz w:val="24"/>
                <w:szCs w:val="24"/>
              </w:rPr>
            </w:pPr>
            <w:r w:rsidRPr="003D4711">
              <w:rPr>
                <w:rFonts w:ascii="Arial Narrow" w:hAnsi="Arial Narrow" w:cs="Times New Roman"/>
                <w:sz w:val="24"/>
                <w:szCs w:val="24"/>
              </w:rPr>
              <w:t>Policajti</w:t>
            </w:r>
          </w:p>
        </w:tc>
        <w:tc>
          <w:tcPr>
            <w:tcW w:w="1266" w:type="dxa"/>
            <w:tcBorders>
              <w:top w:val="single" w:sz="4" w:space="0" w:color="auto"/>
              <w:left w:val="single" w:sz="4" w:space="0" w:color="auto"/>
              <w:bottom w:val="single" w:sz="12" w:space="0" w:color="auto"/>
              <w:right w:val="single" w:sz="4" w:space="0" w:color="auto"/>
              <w:tl2br w:val="nil"/>
              <w:tr2bl w:val="nil"/>
            </w:tcBorders>
            <w:textDirection w:val="lrTb"/>
            <w:vAlign w:val="center"/>
          </w:tcPr>
          <w:p w:rsidR="00B372D5" w:rsidRPr="003D4711" w:rsidP="00C362EA">
            <w:pPr>
              <w:spacing w:line="240" w:lineRule="auto"/>
              <w:jc w:val="right"/>
              <w:rPr>
                <w:rFonts w:ascii="Arial Narrow" w:hAnsi="Arial Narrow" w:cs="Times New Roman"/>
                <w:sz w:val="24"/>
                <w:szCs w:val="24"/>
              </w:rPr>
            </w:pPr>
            <w:r w:rsidR="002E52C0">
              <w:rPr>
                <w:rFonts w:ascii="Arial Narrow" w:hAnsi="Arial Narrow" w:cs="Times New Roman"/>
                <w:sz w:val="24"/>
                <w:szCs w:val="24"/>
              </w:rPr>
              <w:t>35</w:t>
            </w:r>
            <w:r>
              <w:rPr>
                <w:rFonts w:ascii="Arial Narrow" w:hAnsi="Arial Narrow" w:cs="Times New Roman"/>
                <w:sz w:val="24"/>
                <w:szCs w:val="24"/>
              </w:rPr>
              <w:t xml:space="preserve">5 </w:t>
            </w:r>
            <w:r w:rsidR="002E52C0">
              <w:rPr>
                <w:rFonts w:ascii="Arial Narrow" w:hAnsi="Arial Narrow" w:cs="Times New Roman"/>
                <w:sz w:val="24"/>
                <w:szCs w:val="24"/>
              </w:rPr>
              <w:t>645</w:t>
            </w:r>
          </w:p>
        </w:tc>
        <w:tc>
          <w:tcPr>
            <w:tcW w:w="1434" w:type="dxa"/>
            <w:tcBorders>
              <w:top w:val="single" w:sz="4" w:space="0" w:color="auto"/>
              <w:left w:val="single" w:sz="4" w:space="0" w:color="auto"/>
              <w:bottom w:val="single" w:sz="12" w:space="0" w:color="auto"/>
              <w:right w:val="single" w:sz="4" w:space="0" w:color="auto"/>
              <w:tl2br w:val="nil"/>
              <w:tr2bl w:val="nil"/>
            </w:tcBorders>
            <w:textDirection w:val="lrTb"/>
            <w:vAlign w:val="center"/>
          </w:tcPr>
          <w:p w:rsidR="00B372D5" w:rsidRPr="003D4711" w:rsidP="00C362EA">
            <w:pPr>
              <w:spacing w:line="240" w:lineRule="auto"/>
              <w:jc w:val="right"/>
              <w:rPr>
                <w:rFonts w:ascii="Arial Narrow" w:hAnsi="Arial Narrow" w:cs="Times New Roman"/>
                <w:sz w:val="24"/>
                <w:szCs w:val="24"/>
              </w:rPr>
            </w:pPr>
            <w:r w:rsidR="001E4E86">
              <w:rPr>
                <w:rFonts w:ascii="Arial Narrow" w:hAnsi="Arial Narrow" w:cs="Times New Roman"/>
                <w:sz w:val="24"/>
                <w:szCs w:val="24"/>
              </w:rPr>
              <w:t>-</w:t>
            </w:r>
          </w:p>
        </w:tc>
        <w:tc>
          <w:tcPr>
            <w:tcW w:w="1512" w:type="dxa"/>
            <w:tcBorders>
              <w:top w:val="single" w:sz="4" w:space="0" w:color="auto"/>
              <w:left w:val="single" w:sz="4" w:space="0" w:color="auto"/>
              <w:bottom w:val="single" w:sz="12" w:space="0" w:color="auto"/>
              <w:right w:val="single" w:sz="4" w:space="0" w:color="auto"/>
              <w:tl2br w:val="nil"/>
              <w:tr2bl w:val="nil"/>
            </w:tcBorders>
            <w:textDirection w:val="lrTb"/>
            <w:vAlign w:val="center"/>
          </w:tcPr>
          <w:p w:rsidR="00B372D5" w:rsidRPr="003D4711" w:rsidP="00CA2F6E">
            <w:pPr>
              <w:spacing w:line="240" w:lineRule="auto"/>
              <w:jc w:val="right"/>
              <w:rPr>
                <w:rFonts w:ascii="Arial Narrow" w:hAnsi="Arial Narrow" w:cs="Times New Roman"/>
                <w:sz w:val="24"/>
                <w:szCs w:val="24"/>
              </w:rPr>
            </w:pPr>
            <w:r>
              <w:rPr>
                <w:rFonts w:ascii="Arial Narrow" w:hAnsi="Arial Narrow" w:cs="Times New Roman"/>
                <w:sz w:val="24"/>
                <w:szCs w:val="24"/>
              </w:rPr>
              <w:t>369 273</w:t>
            </w:r>
          </w:p>
        </w:tc>
        <w:tc>
          <w:tcPr>
            <w:tcW w:w="1440" w:type="dxa"/>
            <w:tcBorders>
              <w:top w:val="single" w:sz="4" w:space="0" w:color="auto"/>
              <w:left w:val="single" w:sz="4" w:space="0" w:color="auto"/>
              <w:bottom w:val="single" w:sz="12" w:space="0" w:color="auto"/>
              <w:right w:val="single" w:sz="4" w:space="0" w:color="auto"/>
              <w:tl2br w:val="nil"/>
              <w:tr2bl w:val="nil"/>
            </w:tcBorders>
            <w:textDirection w:val="lrTb"/>
            <w:vAlign w:val="center"/>
          </w:tcPr>
          <w:p w:rsidR="00B372D5" w:rsidRPr="003D4711" w:rsidP="00CA2F6E">
            <w:pPr>
              <w:spacing w:line="240" w:lineRule="auto"/>
              <w:jc w:val="right"/>
              <w:rPr>
                <w:rFonts w:ascii="Arial Narrow" w:hAnsi="Arial Narrow" w:cs="Times New Roman"/>
                <w:sz w:val="24"/>
                <w:szCs w:val="24"/>
              </w:rPr>
            </w:pPr>
            <w:r w:rsidR="001E4E86">
              <w:rPr>
                <w:rFonts w:ascii="Arial Narrow" w:hAnsi="Arial Narrow" w:cs="Times New Roman"/>
                <w:sz w:val="24"/>
                <w:szCs w:val="24"/>
              </w:rPr>
              <w:t>-</w:t>
            </w:r>
          </w:p>
        </w:tc>
        <w:tc>
          <w:tcPr>
            <w:tcW w:w="1265" w:type="dxa"/>
            <w:tcBorders>
              <w:top w:val="single" w:sz="4" w:space="0" w:color="auto"/>
              <w:left w:val="single" w:sz="4" w:space="0" w:color="auto"/>
              <w:bottom w:val="single" w:sz="12" w:space="0" w:color="auto"/>
              <w:right w:val="single" w:sz="4" w:space="0" w:color="auto"/>
              <w:tl2br w:val="nil"/>
              <w:tr2bl w:val="nil"/>
            </w:tcBorders>
            <w:textDirection w:val="lrTb"/>
            <w:vAlign w:val="center"/>
          </w:tcPr>
          <w:p w:rsidR="00B372D5" w:rsidRPr="003D4711" w:rsidP="00CA2F6E">
            <w:pPr>
              <w:spacing w:line="240" w:lineRule="auto"/>
              <w:jc w:val="right"/>
              <w:rPr>
                <w:rFonts w:ascii="Arial Narrow" w:hAnsi="Arial Narrow" w:cs="Times New Roman"/>
                <w:sz w:val="24"/>
                <w:szCs w:val="24"/>
              </w:rPr>
            </w:pPr>
            <w:r>
              <w:rPr>
                <w:rFonts w:ascii="Arial Narrow" w:hAnsi="Arial Narrow" w:cs="Times New Roman"/>
                <w:sz w:val="24"/>
                <w:szCs w:val="24"/>
              </w:rPr>
              <w:t>369 273</w:t>
            </w:r>
          </w:p>
        </w:tc>
        <w:tc>
          <w:tcPr>
            <w:tcW w:w="1280" w:type="dxa"/>
            <w:tcBorders>
              <w:top w:val="single" w:sz="4" w:space="0" w:color="auto"/>
              <w:left w:val="single" w:sz="4" w:space="0" w:color="auto"/>
              <w:bottom w:val="single" w:sz="12" w:space="0" w:color="auto"/>
              <w:right w:val="single" w:sz="12" w:space="0" w:color="auto"/>
              <w:tl2br w:val="nil"/>
              <w:tr2bl w:val="nil"/>
            </w:tcBorders>
            <w:textDirection w:val="lrTb"/>
            <w:vAlign w:val="center"/>
          </w:tcPr>
          <w:p w:rsidR="00B372D5" w:rsidRPr="003D4711" w:rsidP="00C362EA">
            <w:pPr>
              <w:spacing w:line="240" w:lineRule="auto"/>
              <w:jc w:val="right"/>
              <w:rPr>
                <w:rFonts w:ascii="Arial Narrow" w:hAnsi="Arial Narrow" w:cs="Times New Roman"/>
                <w:sz w:val="24"/>
                <w:szCs w:val="24"/>
              </w:rPr>
            </w:pPr>
            <w:r w:rsidR="001E4E86">
              <w:rPr>
                <w:rFonts w:ascii="Arial Narrow" w:hAnsi="Arial Narrow" w:cs="Times New Roman"/>
                <w:sz w:val="24"/>
                <w:szCs w:val="24"/>
              </w:rPr>
              <w:t>-</w:t>
            </w:r>
          </w:p>
        </w:tc>
      </w:tr>
    </w:tbl>
    <w:p w:rsidR="00B372D5" w:rsidRPr="005837F1" w:rsidP="005837F1">
      <w:pPr>
        <w:spacing w:line="240" w:lineRule="auto"/>
        <w:rPr>
          <w:rFonts w:ascii="Times New Roman" w:hAnsi="Times New Roman" w:cs="Times New Roman"/>
          <w:sz w:val="24"/>
          <w:szCs w:val="24"/>
        </w:rPr>
      </w:pPr>
    </w:p>
    <w:p w:rsidR="001221BA" w:rsidP="00C362EA">
      <w:pPr>
        <w:spacing w:line="240" w:lineRule="auto"/>
        <w:jc w:val="center"/>
        <w:rPr>
          <w:rFonts w:ascii="Times New Roman" w:hAnsi="Times New Roman" w:cs="Times New Roman"/>
          <w:b/>
          <w:sz w:val="24"/>
          <w:szCs w:val="24"/>
        </w:rPr>
      </w:pPr>
    </w:p>
    <w:p w:rsidR="001221BA" w:rsidP="00C362EA">
      <w:pPr>
        <w:spacing w:line="240" w:lineRule="auto"/>
        <w:jc w:val="center"/>
        <w:rPr>
          <w:rFonts w:ascii="Times New Roman" w:hAnsi="Times New Roman" w:cs="Times New Roman"/>
          <w:b/>
          <w:sz w:val="24"/>
          <w:szCs w:val="24"/>
        </w:rPr>
      </w:pPr>
    </w:p>
    <w:p w:rsidR="001221BA" w:rsidP="00C362EA">
      <w:pPr>
        <w:spacing w:line="240" w:lineRule="auto"/>
        <w:jc w:val="center"/>
        <w:rPr>
          <w:rFonts w:ascii="Times New Roman" w:hAnsi="Times New Roman" w:cs="Times New Roman"/>
          <w:b/>
          <w:sz w:val="24"/>
          <w:szCs w:val="24"/>
        </w:rPr>
      </w:pPr>
    </w:p>
    <w:p w:rsidR="00EE757E" w:rsidP="00C362EA">
      <w:pPr>
        <w:spacing w:line="240" w:lineRule="auto"/>
        <w:jc w:val="center"/>
        <w:rPr>
          <w:rFonts w:ascii="Times New Roman" w:hAnsi="Times New Roman" w:cs="Times New Roman"/>
          <w:b/>
          <w:sz w:val="24"/>
          <w:szCs w:val="24"/>
        </w:rPr>
      </w:pPr>
    </w:p>
    <w:p w:rsidR="00EE757E" w:rsidP="00C362EA">
      <w:pPr>
        <w:spacing w:line="240" w:lineRule="auto"/>
        <w:jc w:val="center"/>
        <w:rPr>
          <w:rFonts w:ascii="Times New Roman" w:hAnsi="Times New Roman" w:cs="Times New Roman"/>
          <w:b/>
          <w:sz w:val="24"/>
          <w:szCs w:val="24"/>
        </w:rPr>
      </w:pPr>
    </w:p>
    <w:p w:rsidR="00881384" w:rsidP="00C362EA">
      <w:pPr>
        <w:spacing w:line="240" w:lineRule="auto"/>
        <w:jc w:val="center"/>
        <w:rPr>
          <w:rFonts w:ascii="Times New Roman" w:hAnsi="Times New Roman" w:cs="Times New Roman"/>
          <w:b/>
          <w:sz w:val="24"/>
          <w:szCs w:val="24"/>
        </w:rPr>
      </w:pPr>
      <w:r w:rsidRPr="006D2058">
        <w:rPr>
          <w:rFonts w:ascii="Times New Roman" w:hAnsi="Times New Roman" w:cs="Times New Roman"/>
          <w:b/>
          <w:sz w:val="24"/>
          <w:szCs w:val="24"/>
        </w:rPr>
        <w:t>Zmena limitu výdavkov na mzdy, platy služobné prí</w:t>
      </w:r>
      <w:r>
        <w:rPr>
          <w:rFonts w:ascii="Times New Roman" w:hAnsi="Times New Roman" w:cs="Times New Roman"/>
          <w:b/>
          <w:sz w:val="24"/>
          <w:szCs w:val="24"/>
        </w:rPr>
        <w:t xml:space="preserve">jmy a OOV </w:t>
      </w:r>
      <w:r w:rsidR="00836AB6">
        <w:rPr>
          <w:rFonts w:ascii="Times New Roman" w:hAnsi="Times New Roman" w:cs="Times New Roman"/>
          <w:b/>
          <w:sz w:val="24"/>
          <w:szCs w:val="24"/>
        </w:rPr>
        <w:t>v priebehu roka 2007</w:t>
      </w:r>
      <w:r w:rsidRPr="006D2058">
        <w:rPr>
          <w:rFonts w:ascii="Times New Roman" w:hAnsi="Times New Roman" w:cs="Times New Roman"/>
          <w:b/>
          <w:sz w:val="24"/>
          <w:szCs w:val="24"/>
        </w:rPr>
        <w:t xml:space="preserve"> na základe </w:t>
      </w:r>
      <w:r>
        <w:rPr>
          <w:rFonts w:ascii="Times New Roman" w:hAnsi="Times New Roman" w:cs="Times New Roman"/>
          <w:b/>
          <w:sz w:val="24"/>
          <w:szCs w:val="24"/>
        </w:rPr>
        <w:t xml:space="preserve">vykonaných rozpočtových opatrení Ministerstva financií </w:t>
      </w:r>
      <w:r w:rsidRPr="006D2058">
        <w:rPr>
          <w:rFonts w:ascii="Times New Roman" w:hAnsi="Times New Roman" w:cs="Times New Roman"/>
          <w:b/>
          <w:sz w:val="24"/>
          <w:szCs w:val="24"/>
        </w:rPr>
        <w:t>SR</w:t>
      </w:r>
    </w:p>
    <w:p w:rsidR="00A37663" w:rsidP="00B372D5">
      <w:pPr>
        <w:spacing w:line="240" w:lineRule="auto"/>
        <w:rPr>
          <w:rFonts w:ascii="Times New Roman" w:hAnsi="Times New Roman" w:cs="Times New Roman"/>
          <w:b/>
          <w:sz w:val="24"/>
          <w:szCs w:val="24"/>
        </w:rPr>
      </w:pPr>
    </w:p>
    <w:p w:rsidR="00EE757E" w:rsidRPr="006D2058" w:rsidP="00B372D5">
      <w:pPr>
        <w:spacing w:line="240" w:lineRule="auto"/>
        <w:rPr>
          <w:rFonts w:ascii="Times New Roman" w:hAnsi="Times New Roman" w:cs="Times New Roman"/>
          <w:b/>
          <w:sz w:val="24"/>
          <w:szCs w:val="24"/>
        </w:rPr>
      </w:pPr>
    </w:p>
    <w:p w:rsidR="000D7D94" w:rsidP="000D7D94">
      <w:pPr>
        <w:pStyle w:val="BodyText2"/>
        <w:spacing w:line="240" w:lineRule="auto"/>
        <w:rPr>
          <w:rFonts w:ascii="Times New Roman" w:hAnsi="Times New Roman" w:cs="Times New Roman"/>
          <w:sz w:val="24"/>
          <w:szCs w:val="24"/>
        </w:rPr>
      </w:pPr>
      <w:r w:rsidRPr="00E03A1A">
        <w:rPr>
          <w:rFonts w:ascii="Times New Roman" w:hAnsi="Times New Roman" w:cs="Times New Roman"/>
          <w:sz w:val="24"/>
          <w:szCs w:val="24"/>
        </w:rPr>
        <w:t xml:space="preserve">RO MF SR č. </w:t>
      </w:r>
      <w:r>
        <w:rPr>
          <w:rFonts w:ascii="Times New Roman" w:hAnsi="Times New Roman" w:cs="Times New Roman"/>
          <w:sz w:val="24"/>
          <w:szCs w:val="24"/>
        </w:rPr>
        <w:t xml:space="preserve">2 – Povolené prekročenie limitu výdavkov podľa § 8 ods. 6 a § 17 zákona č. 523/2004 Z.z. o rozpočtových pravidlách verejnej správy a o zmene a doplnení niektorých zákonov v znení neskorších predpisov, na technickú asistenciu, o 1 923 tis. Sk, z toho prostriedky na spolufinancovanie v sume 481 tis. Sk a  prostriedky z rozpočtu EÚ v sume 1 442 tis. Sk, a to zo zdrojov z  predchádzajúceho roka. </w:t>
      </w:r>
    </w:p>
    <w:p w:rsidR="00DC19A6" w:rsidP="00C362EA">
      <w:pPr>
        <w:pStyle w:val="BodyText2"/>
        <w:spacing w:line="240" w:lineRule="auto"/>
        <w:rPr>
          <w:rFonts w:ascii="Times New Roman" w:hAnsi="Times New Roman" w:cs="Times New Roman"/>
          <w:sz w:val="24"/>
          <w:szCs w:val="24"/>
        </w:rPr>
      </w:pPr>
    </w:p>
    <w:p w:rsidR="00EE757E" w:rsidP="00C362EA">
      <w:pPr>
        <w:pStyle w:val="BodyText2"/>
        <w:spacing w:line="240" w:lineRule="auto"/>
        <w:rPr>
          <w:rFonts w:ascii="Times New Roman" w:hAnsi="Times New Roman" w:cs="Times New Roman"/>
          <w:sz w:val="24"/>
          <w:szCs w:val="24"/>
        </w:rPr>
      </w:pPr>
    </w:p>
    <w:p w:rsidR="000D7D94" w:rsidP="00C362EA">
      <w:pPr>
        <w:pStyle w:val="BodyText2"/>
        <w:spacing w:line="240" w:lineRule="auto"/>
        <w:rPr>
          <w:rFonts w:ascii="Times New Roman" w:hAnsi="Times New Roman" w:cs="Times New Roman"/>
          <w:sz w:val="24"/>
          <w:szCs w:val="24"/>
        </w:rPr>
      </w:pPr>
      <w:r w:rsidR="00DC19A6">
        <w:rPr>
          <w:rFonts w:ascii="Times New Roman" w:hAnsi="Times New Roman" w:cs="Times New Roman"/>
          <w:sz w:val="24"/>
          <w:szCs w:val="24"/>
        </w:rPr>
        <w:t>RO MF SR č. 5 – Z</w:t>
      </w:r>
      <w:r w:rsidRPr="0036642D" w:rsidR="00DC19A6">
        <w:rPr>
          <w:rFonts w:ascii="Times New Roman" w:hAnsi="Times New Roman" w:cs="Times New Roman"/>
          <w:sz w:val="24"/>
          <w:szCs w:val="24"/>
        </w:rPr>
        <w:t>výš</w:t>
      </w:r>
      <w:r w:rsidR="00DC19A6">
        <w:rPr>
          <w:rFonts w:ascii="Times New Roman" w:hAnsi="Times New Roman" w:cs="Times New Roman"/>
          <w:sz w:val="24"/>
          <w:szCs w:val="24"/>
        </w:rPr>
        <w:t xml:space="preserve">enie výdavkov kapitoly MDPT SR v kategórii 610 - Mzdy, platy, služobné </w:t>
      </w:r>
      <w:r w:rsidRPr="0036642D" w:rsidR="00DC19A6">
        <w:rPr>
          <w:rFonts w:ascii="Times New Roman" w:hAnsi="Times New Roman" w:cs="Times New Roman"/>
          <w:sz w:val="24"/>
          <w:szCs w:val="24"/>
        </w:rPr>
        <w:t xml:space="preserve">príjmy a OOV </w:t>
      </w:r>
      <w:r w:rsidR="00DC19A6">
        <w:rPr>
          <w:rFonts w:ascii="Times New Roman" w:hAnsi="Times New Roman" w:cs="Times New Roman"/>
          <w:sz w:val="24"/>
          <w:szCs w:val="24"/>
        </w:rPr>
        <w:t>o 249 6</w:t>
      </w:r>
      <w:r w:rsidRPr="0036642D" w:rsidR="00DC19A6">
        <w:rPr>
          <w:rFonts w:ascii="Times New Roman" w:hAnsi="Times New Roman" w:cs="Times New Roman"/>
          <w:sz w:val="24"/>
          <w:szCs w:val="24"/>
        </w:rPr>
        <w:t>00,- Sk na zabezpe</w:t>
      </w:r>
      <w:r w:rsidR="00DC19A6">
        <w:rPr>
          <w:rFonts w:ascii="Times New Roman" w:hAnsi="Times New Roman" w:cs="Times New Roman"/>
          <w:sz w:val="24"/>
          <w:szCs w:val="24"/>
        </w:rPr>
        <w:t>čenie zvýšenia platov ústavného činiteľa</w:t>
      </w:r>
      <w:r w:rsidRPr="0036642D" w:rsidR="00DC19A6">
        <w:rPr>
          <w:rFonts w:ascii="Times New Roman" w:hAnsi="Times New Roman" w:cs="Times New Roman"/>
          <w:sz w:val="24"/>
          <w:szCs w:val="24"/>
        </w:rPr>
        <w:t xml:space="preserve"> (ministra) a predstavených v politickej funkcii (štátneho tajomníka</w:t>
      </w:r>
      <w:r w:rsidR="00DC19A6">
        <w:rPr>
          <w:rFonts w:ascii="Times New Roman" w:hAnsi="Times New Roman" w:cs="Times New Roman"/>
          <w:sz w:val="24"/>
          <w:szCs w:val="24"/>
        </w:rPr>
        <w:t>, vedúceho služobného úradu a splnomocnenca).</w:t>
      </w:r>
    </w:p>
    <w:p w:rsidR="00DC19A6" w:rsidP="00DC19A6">
      <w:pPr>
        <w:spacing w:line="240" w:lineRule="auto"/>
        <w:rPr>
          <w:rFonts w:ascii="Times New Roman" w:hAnsi="Times New Roman" w:cs="Times New Roman"/>
          <w:sz w:val="24"/>
          <w:szCs w:val="24"/>
        </w:rPr>
      </w:pPr>
    </w:p>
    <w:p w:rsidR="00EE757E" w:rsidP="00DC19A6">
      <w:pPr>
        <w:spacing w:line="240" w:lineRule="auto"/>
        <w:rPr>
          <w:rFonts w:ascii="Times New Roman" w:hAnsi="Times New Roman" w:cs="Times New Roman"/>
          <w:sz w:val="24"/>
          <w:szCs w:val="24"/>
        </w:rPr>
      </w:pPr>
    </w:p>
    <w:p w:rsidR="00DC19A6" w:rsidRPr="008A078C" w:rsidP="00DC19A6">
      <w:pPr>
        <w:spacing w:line="240" w:lineRule="auto"/>
        <w:rPr>
          <w:rFonts w:ascii="Times New Roman" w:hAnsi="Times New Roman" w:cs="Times New Roman"/>
          <w:sz w:val="24"/>
        </w:rPr>
      </w:pPr>
      <w:r w:rsidRPr="00E03A1A">
        <w:rPr>
          <w:rFonts w:ascii="Times New Roman" w:hAnsi="Times New Roman" w:cs="Times New Roman"/>
          <w:sz w:val="24"/>
          <w:szCs w:val="24"/>
        </w:rPr>
        <w:t xml:space="preserve">RO MF SR </w:t>
      </w:r>
      <w:r>
        <w:rPr>
          <w:rFonts w:ascii="Times New Roman" w:hAnsi="Times New Roman" w:cs="Times New Roman"/>
          <w:sz w:val="24"/>
          <w:szCs w:val="24"/>
        </w:rPr>
        <w:t>č. 6</w:t>
      </w:r>
      <w:r w:rsidRPr="00E03A1A">
        <w:rPr>
          <w:rFonts w:ascii="Times New Roman" w:hAnsi="Times New Roman" w:cs="Times New Roman"/>
          <w:sz w:val="24"/>
          <w:szCs w:val="24"/>
        </w:rPr>
        <w:t xml:space="preserve"> –</w:t>
      </w:r>
      <w:r>
        <w:rPr>
          <w:rFonts w:ascii="Times New Roman" w:hAnsi="Times New Roman" w:cs="Times New Roman"/>
          <w:sz w:val="24"/>
          <w:szCs w:val="24"/>
        </w:rPr>
        <w:t xml:space="preserve"> Delimitácia 9 zamestnancov (prepočítaný počet 8) sekcie informatizácie spoločnosti </w:t>
      </w:r>
      <w:r w:rsidRPr="008A078C">
        <w:rPr>
          <w:rFonts w:ascii="Times New Roman" w:hAnsi="Times New Roman" w:cs="Times New Roman"/>
          <w:sz w:val="24"/>
        </w:rPr>
        <w:t>v súvislosti s prechodom kompetencií v oblasti informatizácie spoločnosti</w:t>
      </w:r>
      <w:r>
        <w:rPr>
          <w:rFonts w:ascii="Times New Roman" w:hAnsi="Times New Roman" w:cs="Times New Roman"/>
          <w:sz w:val="24"/>
        </w:rPr>
        <w:t xml:space="preserve"> z MDPT SR na Úrad vlády SR. Zníženie miezd úradu MDPT SR o 2 941 tis. Sk.  </w:t>
      </w:r>
    </w:p>
    <w:p w:rsidR="00DC19A6" w:rsidP="00DC19A6">
      <w:pPr>
        <w:spacing w:line="240" w:lineRule="auto"/>
        <w:rPr>
          <w:rFonts w:ascii="Times New Roman" w:hAnsi="Times New Roman" w:cs="Times New Roman"/>
          <w:sz w:val="24"/>
          <w:szCs w:val="24"/>
        </w:rPr>
      </w:pPr>
    </w:p>
    <w:p w:rsidR="00EE757E" w:rsidP="00DC19A6">
      <w:pPr>
        <w:spacing w:line="240" w:lineRule="auto"/>
        <w:rPr>
          <w:rFonts w:ascii="Times New Roman" w:hAnsi="Times New Roman" w:cs="Times New Roman"/>
          <w:sz w:val="24"/>
          <w:szCs w:val="24"/>
        </w:rPr>
      </w:pPr>
    </w:p>
    <w:p w:rsidR="00DC19A6" w:rsidRPr="008A078C" w:rsidP="00DC19A6">
      <w:pPr>
        <w:spacing w:line="240" w:lineRule="auto"/>
        <w:rPr>
          <w:rFonts w:ascii="Times New Roman" w:hAnsi="Times New Roman" w:cs="Times New Roman"/>
          <w:sz w:val="24"/>
        </w:rPr>
      </w:pPr>
      <w:r w:rsidRPr="00E03A1A">
        <w:rPr>
          <w:rFonts w:ascii="Times New Roman" w:hAnsi="Times New Roman" w:cs="Times New Roman"/>
          <w:sz w:val="24"/>
          <w:szCs w:val="24"/>
        </w:rPr>
        <w:t xml:space="preserve">RO MF SR </w:t>
      </w:r>
      <w:r>
        <w:rPr>
          <w:rFonts w:ascii="Times New Roman" w:hAnsi="Times New Roman" w:cs="Times New Roman"/>
          <w:sz w:val="24"/>
          <w:szCs w:val="24"/>
        </w:rPr>
        <w:t>č. 7</w:t>
      </w:r>
      <w:r w:rsidRPr="00E03A1A">
        <w:rPr>
          <w:rFonts w:ascii="Times New Roman" w:hAnsi="Times New Roman" w:cs="Times New Roman"/>
          <w:sz w:val="24"/>
          <w:szCs w:val="24"/>
        </w:rPr>
        <w:t xml:space="preserve"> –</w:t>
      </w:r>
      <w:r>
        <w:rPr>
          <w:rFonts w:ascii="Times New Roman" w:hAnsi="Times New Roman" w:cs="Times New Roman"/>
          <w:sz w:val="24"/>
          <w:szCs w:val="24"/>
        </w:rPr>
        <w:t xml:space="preserve"> Delimitácia 15 zamestnancov (prepočítaný počet 14) sekcie informatizácie spoločnosti </w:t>
      </w:r>
      <w:r w:rsidRPr="008A078C">
        <w:rPr>
          <w:rFonts w:ascii="Times New Roman" w:hAnsi="Times New Roman" w:cs="Times New Roman"/>
          <w:sz w:val="24"/>
        </w:rPr>
        <w:t>v súvislosti s prechodom kompetencií v oblasti informatizácie spoločnosti</w:t>
      </w:r>
      <w:r>
        <w:rPr>
          <w:rFonts w:ascii="Times New Roman" w:hAnsi="Times New Roman" w:cs="Times New Roman"/>
          <w:sz w:val="24"/>
        </w:rPr>
        <w:t xml:space="preserve"> z MDPT SR na Ministerstvo financií SR. </w:t>
      </w:r>
      <w:r w:rsidR="000D25D4">
        <w:rPr>
          <w:rFonts w:ascii="Times New Roman" w:hAnsi="Times New Roman" w:cs="Times New Roman"/>
          <w:sz w:val="24"/>
        </w:rPr>
        <w:t xml:space="preserve">Zníženie miezd úradu MDPT SR o 4 754 tis. Sk.  </w:t>
      </w:r>
    </w:p>
    <w:p w:rsidR="000D7D94" w:rsidP="00C362EA">
      <w:pPr>
        <w:pStyle w:val="BodyText2"/>
        <w:spacing w:line="240" w:lineRule="auto"/>
        <w:rPr>
          <w:rFonts w:ascii="Times New Roman" w:hAnsi="Times New Roman" w:cs="Times New Roman"/>
          <w:sz w:val="24"/>
          <w:szCs w:val="24"/>
        </w:rPr>
      </w:pPr>
    </w:p>
    <w:p w:rsidR="00EE757E" w:rsidP="007461F2">
      <w:pPr>
        <w:pStyle w:val="BodyText2"/>
        <w:spacing w:line="240" w:lineRule="auto"/>
        <w:rPr>
          <w:rFonts w:ascii="Times New Roman" w:hAnsi="Times New Roman" w:cs="Times New Roman"/>
          <w:sz w:val="24"/>
          <w:szCs w:val="24"/>
        </w:rPr>
      </w:pPr>
    </w:p>
    <w:p w:rsidR="007461F2" w:rsidP="007461F2">
      <w:pPr>
        <w:pStyle w:val="BodyText2"/>
        <w:spacing w:line="240" w:lineRule="auto"/>
        <w:rPr>
          <w:rFonts w:ascii="Times New Roman" w:hAnsi="Times New Roman" w:cs="Times New Roman"/>
          <w:sz w:val="24"/>
          <w:szCs w:val="24"/>
        </w:rPr>
      </w:pPr>
      <w:r w:rsidRPr="00E03A1A">
        <w:rPr>
          <w:rFonts w:ascii="Times New Roman" w:hAnsi="Times New Roman" w:cs="Times New Roman"/>
          <w:sz w:val="24"/>
          <w:szCs w:val="24"/>
        </w:rPr>
        <w:t xml:space="preserve">RO MF SR </w:t>
      </w:r>
      <w:r>
        <w:rPr>
          <w:rFonts w:ascii="Times New Roman" w:hAnsi="Times New Roman" w:cs="Times New Roman"/>
          <w:sz w:val="24"/>
          <w:szCs w:val="24"/>
        </w:rPr>
        <w:t xml:space="preserve">č. 8 – V nadväznosti na uznesenia vlády SR č. 328/2004, 612/2004, 544/2005 a 727/2005, </w:t>
      </w:r>
      <w:r w:rsidRPr="00C0431E">
        <w:rPr>
          <w:rFonts w:ascii="Times New Roman" w:hAnsi="Times New Roman" w:cs="Times New Roman"/>
          <w:sz w:val="24"/>
          <w:szCs w:val="24"/>
        </w:rPr>
        <w:t xml:space="preserve">presun prostriedkov v rámci </w:t>
      </w:r>
      <w:r>
        <w:rPr>
          <w:rFonts w:ascii="Times New Roman" w:hAnsi="Times New Roman" w:cs="Times New Roman"/>
          <w:sz w:val="24"/>
          <w:szCs w:val="24"/>
        </w:rPr>
        <w:t xml:space="preserve">kapitoly a technickej asistencie </w:t>
      </w:r>
      <w:r w:rsidRPr="00C0431E">
        <w:rPr>
          <w:rFonts w:ascii="Times New Roman" w:hAnsi="Times New Roman" w:cs="Times New Roman"/>
          <w:sz w:val="24"/>
          <w:szCs w:val="24"/>
        </w:rPr>
        <w:t>z</w:t>
      </w:r>
      <w:r>
        <w:rPr>
          <w:rFonts w:ascii="Times New Roman" w:hAnsi="Times New Roman" w:cs="Times New Roman"/>
          <w:sz w:val="24"/>
          <w:szCs w:val="24"/>
        </w:rPr>
        <w:t> kategórie 630 – Tovary</w:t>
      </w:r>
      <w:r w:rsidRPr="00C0431E">
        <w:rPr>
          <w:rFonts w:ascii="Times New Roman" w:hAnsi="Times New Roman" w:cs="Times New Roman"/>
          <w:sz w:val="24"/>
          <w:szCs w:val="24"/>
        </w:rPr>
        <w:t xml:space="preserve"> a</w:t>
      </w:r>
      <w:r>
        <w:rPr>
          <w:rFonts w:ascii="Times New Roman" w:hAnsi="Times New Roman" w:cs="Times New Roman"/>
          <w:sz w:val="24"/>
          <w:szCs w:val="24"/>
        </w:rPr>
        <w:t> služ</w:t>
      </w:r>
      <w:r w:rsidRPr="00C0431E">
        <w:rPr>
          <w:rFonts w:ascii="Times New Roman" w:hAnsi="Times New Roman" w:cs="Times New Roman"/>
          <w:sz w:val="24"/>
          <w:szCs w:val="24"/>
        </w:rPr>
        <w:t>b</w:t>
      </w:r>
      <w:r>
        <w:rPr>
          <w:rFonts w:ascii="Times New Roman" w:hAnsi="Times New Roman" w:cs="Times New Roman"/>
          <w:sz w:val="24"/>
          <w:szCs w:val="24"/>
        </w:rPr>
        <w:t>y do kategórie 610 – Mzdy, platy, služobné prí</w:t>
      </w:r>
      <w:r w:rsidR="004510A6">
        <w:rPr>
          <w:rFonts w:ascii="Times New Roman" w:hAnsi="Times New Roman" w:cs="Times New Roman"/>
          <w:sz w:val="24"/>
          <w:szCs w:val="24"/>
        </w:rPr>
        <w:t xml:space="preserve">jmy a OOV vo výške 12 000 tis. </w:t>
      </w:r>
      <w:r>
        <w:rPr>
          <w:rFonts w:ascii="Times New Roman" w:hAnsi="Times New Roman" w:cs="Times New Roman"/>
          <w:sz w:val="24"/>
          <w:szCs w:val="24"/>
        </w:rPr>
        <w:t>Sk, z toho prost</w:t>
      </w:r>
      <w:r w:rsidR="004510A6">
        <w:rPr>
          <w:rFonts w:ascii="Times New Roman" w:hAnsi="Times New Roman" w:cs="Times New Roman"/>
          <w:sz w:val="24"/>
          <w:szCs w:val="24"/>
        </w:rPr>
        <w:t xml:space="preserve">riedkov EÚ vo výške 9 000 tis. </w:t>
      </w:r>
      <w:r>
        <w:rPr>
          <w:rFonts w:ascii="Times New Roman" w:hAnsi="Times New Roman" w:cs="Times New Roman"/>
          <w:sz w:val="24"/>
          <w:szCs w:val="24"/>
        </w:rPr>
        <w:t>Sk a príslušného spolufinancov</w:t>
      </w:r>
      <w:r w:rsidR="004510A6">
        <w:rPr>
          <w:rFonts w:ascii="Times New Roman" w:hAnsi="Times New Roman" w:cs="Times New Roman"/>
          <w:sz w:val="24"/>
          <w:szCs w:val="24"/>
        </w:rPr>
        <w:t xml:space="preserve">ania zo ŠR vo výške 3 000 tis. </w:t>
      </w:r>
      <w:r>
        <w:rPr>
          <w:rFonts w:ascii="Times New Roman" w:hAnsi="Times New Roman" w:cs="Times New Roman"/>
          <w:sz w:val="24"/>
          <w:szCs w:val="24"/>
        </w:rPr>
        <w:t xml:space="preserve">Sk. Finančné prostriedky boli určené na refundáciu miezd oprávnených zamestnancov MDPT SR. </w:t>
      </w:r>
    </w:p>
    <w:p w:rsidR="007461F2" w:rsidP="007461F2">
      <w:pPr>
        <w:pStyle w:val="BodyText2"/>
        <w:spacing w:line="240" w:lineRule="auto"/>
        <w:rPr>
          <w:rFonts w:ascii="Times New Roman" w:hAnsi="Times New Roman" w:cs="Times New Roman"/>
          <w:b/>
          <w:sz w:val="24"/>
          <w:szCs w:val="24"/>
          <w:u w:val="single"/>
        </w:rPr>
      </w:pPr>
    </w:p>
    <w:p w:rsidR="00EE757E" w:rsidP="007461F2">
      <w:pPr>
        <w:pStyle w:val="BodyText2"/>
        <w:spacing w:line="240" w:lineRule="auto"/>
        <w:rPr>
          <w:rFonts w:ascii="Times New Roman" w:hAnsi="Times New Roman" w:cs="Times New Roman"/>
          <w:sz w:val="24"/>
          <w:szCs w:val="24"/>
        </w:rPr>
      </w:pPr>
    </w:p>
    <w:p w:rsidR="007461F2" w:rsidRPr="007461F2" w:rsidP="007461F2">
      <w:pPr>
        <w:pStyle w:val="BodyText2"/>
        <w:spacing w:line="240" w:lineRule="auto"/>
        <w:rPr>
          <w:rFonts w:ascii="Times New Roman" w:hAnsi="Times New Roman" w:cs="Times New Roman"/>
          <w:b/>
          <w:sz w:val="24"/>
          <w:szCs w:val="24"/>
          <w:u w:val="single"/>
        </w:rPr>
      </w:pPr>
      <w:r w:rsidRPr="007461F2">
        <w:rPr>
          <w:rFonts w:ascii="Times New Roman" w:hAnsi="Times New Roman" w:cs="Times New Roman"/>
          <w:sz w:val="24"/>
          <w:szCs w:val="24"/>
        </w:rPr>
        <w:t>RO MF SR č. 9 –</w:t>
      </w:r>
      <w:r>
        <w:rPr>
          <w:rFonts w:ascii="Times New Roman" w:hAnsi="Times New Roman" w:cs="Times New Roman"/>
          <w:b/>
          <w:sz w:val="24"/>
          <w:szCs w:val="24"/>
        </w:rPr>
        <w:t xml:space="preserve"> </w:t>
      </w:r>
      <w:r w:rsidRPr="007461F2">
        <w:rPr>
          <w:rFonts w:ascii="Times New Roman" w:hAnsi="Times New Roman" w:cs="Times New Roman"/>
          <w:sz w:val="24"/>
          <w:szCs w:val="24"/>
        </w:rPr>
        <w:t>Zvýšenie služobných príjmov policajtov Železničnej polície</w:t>
      </w:r>
      <w:r>
        <w:rPr>
          <w:rFonts w:ascii="Times New Roman" w:hAnsi="Times New Roman" w:cs="Times New Roman"/>
          <w:b/>
          <w:sz w:val="24"/>
          <w:szCs w:val="24"/>
        </w:rPr>
        <w:t xml:space="preserve"> </w:t>
      </w:r>
      <w:r w:rsidRPr="00BB0D06">
        <w:rPr>
          <w:rFonts w:ascii="Times New Roman" w:hAnsi="Times New Roman" w:cs="Times New Roman"/>
          <w:sz w:val="24"/>
          <w:szCs w:val="24"/>
        </w:rPr>
        <w:t xml:space="preserve">vo výške 5 148 tis. </w:t>
      </w:r>
      <w:r>
        <w:rPr>
          <w:rFonts w:ascii="Times New Roman" w:hAnsi="Times New Roman" w:cs="Times New Roman"/>
          <w:sz w:val="24"/>
          <w:szCs w:val="24"/>
        </w:rPr>
        <w:t>Sk na z</w:t>
      </w:r>
      <w:r w:rsidRPr="00BB0D06">
        <w:rPr>
          <w:rFonts w:ascii="Times New Roman" w:hAnsi="Times New Roman" w:cs="Times New Roman"/>
          <w:sz w:val="24"/>
          <w:szCs w:val="24"/>
        </w:rPr>
        <w:t xml:space="preserve">abezpečenie Koncepcie ochrany bezpečnosti cestujúcej verejnosti </w:t>
      </w:r>
      <w:r>
        <w:rPr>
          <w:rFonts w:ascii="Times New Roman" w:hAnsi="Times New Roman" w:cs="Times New Roman"/>
          <w:sz w:val="24"/>
          <w:szCs w:val="24"/>
        </w:rPr>
        <w:t xml:space="preserve"> </w:t>
      </w:r>
      <w:r w:rsidRPr="00BB0D06">
        <w:rPr>
          <w:rFonts w:ascii="Times New Roman" w:hAnsi="Times New Roman" w:cs="Times New Roman"/>
          <w:sz w:val="24"/>
          <w:szCs w:val="24"/>
        </w:rPr>
        <w:t>a</w:t>
      </w:r>
      <w:r>
        <w:rPr>
          <w:rFonts w:ascii="Times New Roman" w:hAnsi="Times New Roman" w:cs="Times New Roman"/>
          <w:sz w:val="24"/>
          <w:szCs w:val="24"/>
        </w:rPr>
        <w:t> </w:t>
      </w:r>
      <w:r w:rsidRPr="00BB0D06">
        <w:rPr>
          <w:rFonts w:ascii="Times New Roman" w:hAnsi="Times New Roman" w:cs="Times New Roman"/>
          <w:sz w:val="24"/>
          <w:szCs w:val="24"/>
        </w:rPr>
        <w:t>ochrany</w:t>
      </w:r>
      <w:r>
        <w:rPr>
          <w:rFonts w:ascii="Times New Roman" w:hAnsi="Times New Roman" w:cs="Times New Roman"/>
          <w:sz w:val="24"/>
          <w:szCs w:val="24"/>
        </w:rPr>
        <w:t xml:space="preserve"> </w:t>
      </w:r>
      <w:r w:rsidRPr="00BB0D06">
        <w:rPr>
          <w:rFonts w:ascii="Times New Roman" w:hAnsi="Times New Roman" w:cs="Times New Roman"/>
          <w:sz w:val="24"/>
          <w:szCs w:val="24"/>
        </w:rPr>
        <w:t xml:space="preserve"> majetku </w:t>
      </w:r>
      <w:r>
        <w:rPr>
          <w:rFonts w:ascii="Times New Roman" w:hAnsi="Times New Roman" w:cs="Times New Roman"/>
          <w:sz w:val="24"/>
          <w:szCs w:val="24"/>
        </w:rPr>
        <w:t xml:space="preserve"> </w:t>
      </w:r>
      <w:r w:rsidRPr="00BB0D06">
        <w:rPr>
          <w:rFonts w:ascii="Times New Roman" w:hAnsi="Times New Roman" w:cs="Times New Roman"/>
          <w:sz w:val="24"/>
          <w:szCs w:val="24"/>
        </w:rPr>
        <w:t xml:space="preserve">v </w:t>
      </w:r>
      <w:r>
        <w:rPr>
          <w:rFonts w:ascii="Times New Roman" w:hAnsi="Times New Roman" w:cs="Times New Roman"/>
          <w:sz w:val="24"/>
          <w:szCs w:val="24"/>
        </w:rPr>
        <w:t xml:space="preserve"> </w:t>
      </w:r>
      <w:r w:rsidRPr="00BB0D06">
        <w:rPr>
          <w:rFonts w:ascii="Times New Roman" w:hAnsi="Times New Roman" w:cs="Times New Roman"/>
          <w:sz w:val="24"/>
          <w:szCs w:val="24"/>
        </w:rPr>
        <w:t xml:space="preserve">obvode </w:t>
      </w:r>
      <w:r>
        <w:rPr>
          <w:rFonts w:ascii="Times New Roman" w:hAnsi="Times New Roman" w:cs="Times New Roman"/>
          <w:sz w:val="24"/>
          <w:szCs w:val="24"/>
        </w:rPr>
        <w:t xml:space="preserve"> </w:t>
      </w:r>
      <w:r w:rsidRPr="00BB0D06">
        <w:rPr>
          <w:rFonts w:ascii="Times New Roman" w:hAnsi="Times New Roman" w:cs="Times New Roman"/>
          <w:sz w:val="24"/>
          <w:szCs w:val="24"/>
        </w:rPr>
        <w:t>železničných dráh, konkrétne zmeny platových tried</w:t>
      </w:r>
      <w:r>
        <w:rPr>
          <w:rFonts w:ascii="Times New Roman" w:hAnsi="Times New Roman" w:cs="Times New Roman"/>
          <w:sz w:val="24"/>
          <w:szCs w:val="24"/>
        </w:rPr>
        <w:t xml:space="preserve"> funkcie inšpektor z 2. platovej triedy na 3. platovú </w:t>
      </w:r>
      <w:r w:rsidRPr="00BB0D06">
        <w:rPr>
          <w:rFonts w:ascii="Times New Roman" w:hAnsi="Times New Roman" w:cs="Times New Roman"/>
          <w:sz w:val="24"/>
          <w:szCs w:val="24"/>
        </w:rPr>
        <w:t>triedu</w:t>
      </w:r>
      <w:r>
        <w:rPr>
          <w:rFonts w:ascii="Times New Roman" w:hAnsi="Times New Roman" w:cs="Times New Roman"/>
          <w:sz w:val="24"/>
          <w:szCs w:val="24"/>
        </w:rPr>
        <w:t xml:space="preserve">. </w:t>
      </w:r>
    </w:p>
    <w:p w:rsidR="00A37663" w:rsidRPr="00E03A1A" w:rsidP="005F1CD3">
      <w:pPr>
        <w:pStyle w:val="BodyText2"/>
        <w:spacing w:line="240" w:lineRule="auto"/>
        <w:rPr>
          <w:rFonts w:ascii="Times New Roman" w:hAnsi="Times New Roman" w:cs="Times New Roman"/>
          <w:sz w:val="24"/>
          <w:szCs w:val="24"/>
        </w:rPr>
      </w:pPr>
    </w:p>
    <w:p w:rsidR="00EE757E" w:rsidP="00C362EA">
      <w:pPr>
        <w:spacing w:line="240" w:lineRule="auto"/>
        <w:rPr>
          <w:rFonts w:ascii="Times New Roman" w:hAnsi="Times New Roman" w:cs="Times New Roman"/>
          <w:sz w:val="24"/>
          <w:szCs w:val="24"/>
        </w:rPr>
      </w:pPr>
    </w:p>
    <w:p w:rsidR="00A37663" w:rsidP="00C362EA">
      <w:pPr>
        <w:spacing w:line="240" w:lineRule="auto"/>
        <w:rPr>
          <w:rFonts w:ascii="Times New Roman" w:hAnsi="Times New Roman" w:cs="Times New Roman"/>
          <w:sz w:val="24"/>
          <w:szCs w:val="24"/>
        </w:rPr>
      </w:pPr>
      <w:r w:rsidRPr="00E03A1A" w:rsidR="00423C07">
        <w:rPr>
          <w:rFonts w:ascii="Times New Roman" w:hAnsi="Times New Roman" w:cs="Times New Roman"/>
          <w:sz w:val="24"/>
          <w:szCs w:val="24"/>
        </w:rPr>
        <w:t xml:space="preserve">RO </w:t>
      </w:r>
      <w:r w:rsidRPr="00E03A1A" w:rsidR="00243547">
        <w:rPr>
          <w:rFonts w:ascii="Times New Roman" w:hAnsi="Times New Roman" w:cs="Times New Roman"/>
          <w:sz w:val="24"/>
          <w:szCs w:val="24"/>
        </w:rPr>
        <w:t xml:space="preserve">MF SR </w:t>
      </w:r>
      <w:r w:rsidRPr="00E03A1A" w:rsidR="00423C07">
        <w:rPr>
          <w:rFonts w:ascii="Times New Roman" w:hAnsi="Times New Roman" w:cs="Times New Roman"/>
          <w:sz w:val="24"/>
          <w:szCs w:val="24"/>
        </w:rPr>
        <w:t>č. 1</w:t>
      </w:r>
      <w:r w:rsidR="007461F2">
        <w:rPr>
          <w:rFonts w:ascii="Times New Roman" w:hAnsi="Times New Roman" w:cs="Times New Roman"/>
          <w:sz w:val="24"/>
          <w:szCs w:val="24"/>
        </w:rPr>
        <w:t>2</w:t>
      </w:r>
      <w:r w:rsidRPr="00E03A1A" w:rsidR="00423C07">
        <w:rPr>
          <w:rFonts w:ascii="Times New Roman" w:hAnsi="Times New Roman" w:cs="Times New Roman"/>
          <w:sz w:val="24"/>
          <w:szCs w:val="24"/>
        </w:rPr>
        <w:t xml:space="preserve"> – Navýšenie miezd, platov, sl. pr</w:t>
      </w:r>
      <w:r w:rsidR="007461F2">
        <w:rPr>
          <w:rFonts w:ascii="Times New Roman" w:hAnsi="Times New Roman" w:cs="Times New Roman"/>
          <w:sz w:val="24"/>
          <w:szCs w:val="24"/>
        </w:rPr>
        <w:t xml:space="preserve">íjmov a OOV kapitoly vo výške 21 799 tis. Sk, z toho: o 8 480 </w:t>
      </w:r>
      <w:r w:rsidRPr="00E03A1A" w:rsidR="00423C07">
        <w:rPr>
          <w:rFonts w:ascii="Times New Roman" w:hAnsi="Times New Roman" w:cs="Times New Roman"/>
          <w:sz w:val="24"/>
          <w:szCs w:val="24"/>
        </w:rPr>
        <w:t>tis. Sk pre policajtov</w:t>
      </w:r>
      <w:r w:rsidR="007461F2">
        <w:rPr>
          <w:rFonts w:ascii="Times New Roman" w:hAnsi="Times New Roman" w:cs="Times New Roman"/>
          <w:sz w:val="24"/>
          <w:szCs w:val="24"/>
        </w:rPr>
        <w:t xml:space="preserve"> a 2 692 tis. Sk pre úrad MDPT SR. </w:t>
      </w:r>
      <w:r w:rsidRPr="00E03A1A" w:rsidR="00423C07">
        <w:rPr>
          <w:rFonts w:ascii="Times New Roman" w:hAnsi="Times New Roman" w:cs="Times New Roman"/>
          <w:sz w:val="24"/>
          <w:szCs w:val="24"/>
        </w:rPr>
        <w:t xml:space="preserve">Rozpočtovým opatrením sa zabezpečila 5 % - ná valorizácia stupníc platových taríf štátnych zamestnancov vrátane realizácie záverov služobného hodnotenia a stupníc platových taríf zamestnancov pri výkone práce vo verejnom záujme. </w:t>
      </w:r>
    </w:p>
    <w:p w:rsidR="007461F2" w:rsidRPr="00E03A1A" w:rsidP="00C362EA">
      <w:pPr>
        <w:spacing w:line="240" w:lineRule="auto"/>
        <w:rPr>
          <w:rFonts w:ascii="Arial Narrow" w:hAnsi="Arial Narrow" w:cs="Times New Roman"/>
          <w:bCs/>
          <w:sz w:val="22"/>
          <w:szCs w:val="22"/>
        </w:rPr>
      </w:pPr>
    </w:p>
    <w:p w:rsidR="00EE757E" w:rsidP="004510A6">
      <w:pPr>
        <w:pStyle w:val="BodyText2"/>
        <w:spacing w:line="240" w:lineRule="auto"/>
        <w:rPr>
          <w:rFonts w:ascii="Times New Roman" w:hAnsi="Times New Roman" w:cs="Times New Roman"/>
          <w:sz w:val="24"/>
          <w:szCs w:val="24"/>
        </w:rPr>
      </w:pPr>
    </w:p>
    <w:p w:rsidR="004510A6" w:rsidP="004510A6">
      <w:pPr>
        <w:pStyle w:val="BodyText2"/>
        <w:spacing w:line="240" w:lineRule="auto"/>
        <w:rPr>
          <w:rFonts w:ascii="Times New Roman" w:hAnsi="Times New Roman" w:cs="Times New Roman"/>
          <w:sz w:val="24"/>
          <w:szCs w:val="24"/>
        </w:rPr>
      </w:pPr>
      <w:r>
        <w:rPr>
          <w:rFonts w:ascii="Times New Roman" w:hAnsi="Times New Roman" w:cs="Times New Roman"/>
          <w:sz w:val="24"/>
          <w:szCs w:val="24"/>
        </w:rPr>
        <w:t xml:space="preserve">RO MF SR č. 13 – Rozpočtovým opatrením sa Železničnej polícii povolilo prekročiť limit výdavkov v kategórii 610 – Mzdy, platy, služobné príjmy a ostatné osobné vyrovnania v sume 500 tis. Sk na riešenie odmeňovania zamestnancov Železničnej polície. Zdrojové krytie bolo zabezpečené viazaním výdavkov Železničnej polície v kategórii 640 – Bežné transfery. </w:t>
      </w:r>
    </w:p>
    <w:p w:rsidR="00AA1CD7" w:rsidP="00C362EA">
      <w:pPr>
        <w:pStyle w:val="BodyText2"/>
        <w:spacing w:line="240" w:lineRule="auto"/>
        <w:rPr>
          <w:rFonts w:ascii="Times New Roman" w:hAnsi="Times New Roman" w:cs="Times New Roman"/>
        </w:rPr>
      </w:pPr>
    </w:p>
    <w:p w:rsidR="00EE757E" w:rsidP="00C362EA">
      <w:pPr>
        <w:pStyle w:val="BodyText2"/>
        <w:spacing w:line="240" w:lineRule="auto"/>
        <w:rPr>
          <w:rFonts w:ascii="Times New Roman" w:hAnsi="Times New Roman" w:cs="Times New Roman"/>
        </w:rPr>
      </w:pPr>
    </w:p>
    <w:p w:rsidR="004510A6" w:rsidRPr="006D2E52" w:rsidP="004510A6">
      <w:pPr>
        <w:pStyle w:val="BodyText2"/>
        <w:spacing w:line="240" w:lineRule="auto"/>
        <w:rPr>
          <w:rFonts w:ascii="Times New Roman" w:hAnsi="Times New Roman" w:cs="Times New Roman"/>
          <w:sz w:val="24"/>
          <w:szCs w:val="24"/>
        </w:rPr>
      </w:pPr>
      <w:r w:rsidRPr="00E03A1A">
        <w:rPr>
          <w:rFonts w:ascii="Times New Roman" w:hAnsi="Times New Roman" w:cs="Times New Roman"/>
          <w:sz w:val="24"/>
          <w:szCs w:val="24"/>
        </w:rPr>
        <w:t xml:space="preserve">RO MF SR </w:t>
      </w:r>
      <w:r>
        <w:rPr>
          <w:rFonts w:ascii="Times New Roman" w:hAnsi="Times New Roman" w:cs="Times New Roman"/>
          <w:sz w:val="24"/>
          <w:szCs w:val="24"/>
        </w:rPr>
        <w:t>č. 14</w:t>
      </w:r>
      <w:r w:rsidRPr="00E03A1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D2E52">
        <w:rPr>
          <w:rFonts w:ascii="Times New Roman" w:hAnsi="Times New Roman" w:cs="Times New Roman"/>
          <w:sz w:val="24"/>
          <w:szCs w:val="24"/>
        </w:rPr>
        <w:t>Z</w:t>
      </w:r>
      <w:r>
        <w:rPr>
          <w:rFonts w:ascii="Times New Roman" w:hAnsi="Times New Roman" w:cs="Times New Roman"/>
          <w:sz w:val="24"/>
          <w:szCs w:val="24"/>
        </w:rPr>
        <w:t xml:space="preserve">výšenie </w:t>
      </w:r>
      <w:r w:rsidRPr="006D2E52">
        <w:rPr>
          <w:rFonts w:ascii="Times New Roman" w:hAnsi="Times New Roman" w:cs="Times New Roman"/>
          <w:sz w:val="24"/>
          <w:szCs w:val="24"/>
        </w:rPr>
        <w:t xml:space="preserve">počtu zamestnancov </w:t>
      </w:r>
      <w:r>
        <w:rPr>
          <w:rFonts w:ascii="Times New Roman" w:hAnsi="Times New Roman" w:cs="Times New Roman"/>
          <w:sz w:val="24"/>
          <w:szCs w:val="24"/>
        </w:rPr>
        <w:t xml:space="preserve">úradu MDPT SR </w:t>
      </w:r>
      <w:r w:rsidRPr="006D2E52">
        <w:rPr>
          <w:rFonts w:ascii="Times New Roman" w:hAnsi="Times New Roman" w:cs="Times New Roman"/>
          <w:sz w:val="24"/>
          <w:szCs w:val="24"/>
        </w:rPr>
        <w:t xml:space="preserve">od 1.9. do 31.12. o 2 osoby </w:t>
      </w:r>
      <w:r>
        <w:rPr>
          <w:rFonts w:ascii="Times New Roman" w:hAnsi="Times New Roman" w:cs="Times New Roman"/>
          <w:sz w:val="24"/>
          <w:szCs w:val="24"/>
        </w:rPr>
        <w:t xml:space="preserve">(prepočítaný počet 1, </w:t>
      </w:r>
      <w:r w:rsidRPr="006D2E52">
        <w:rPr>
          <w:rFonts w:ascii="Times New Roman" w:hAnsi="Times New Roman" w:cs="Times New Roman"/>
          <w:sz w:val="24"/>
          <w:szCs w:val="24"/>
        </w:rPr>
        <w:t>na úkor TOOŽ) na zabezpečenie činnosti Centrálneho úrad</w:t>
      </w:r>
      <w:r>
        <w:rPr>
          <w:rFonts w:ascii="Times New Roman" w:hAnsi="Times New Roman" w:cs="Times New Roman"/>
          <w:sz w:val="24"/>
          <w:szCs w:val="24"/>
        </w:rPr>
        <w:t>u TER v Bratislave</w:t>
      </w:r>
      <w:r w:rsidRPr="006D2E52">
        <w:rPr>
          <w:rFonts w:ascii="Times New Roman" w:hAnsi="Times New Roman" w:cs="Times New Roman"/>
          <w:sz w:val="24"/>
          <w:szCs w:val="24"/>
        </w:rPr>
        <w:t xml:space="preserve">, a to na základe uznesenia </w:t>
      </w:r>
      <w:r>
        <w:rPr>
          <w:rFonts w:ascii="Times New Roman" w:hAnsi="Times New Roman" w:cs="Times New Roman"/>
          <w:sz w:val="24"/>
          <w:szCs w:val="24"/>
        </w:rPr>
        <w:t xml:space="preserve">vlády SR </w:t>
      </w:r>
      <w:r w:rsidRPr="006D2E52">
        <w:rPr>
          <w:rFonts w:ascii="Times New Roman" w:hAnsi="Times New Roman" w:cs="Times New Roman"/>
          <w:sz w:val="24"/>
          <w:szCs w:val="24"/>
        </w:rPr>
        <w:t>č. 1081/2007 zo dňa 20. decembra 2007, ktorým  vláda SR v bode B.1 schválila organi</w:t>
      </w:r>
      <w:r>
        <w:rPr>
          <w:rFonts w:ascii="Times New Roman" w:hAnsi="Times New Roman" w:cs="Times New Roman"/>
          <w:sz w:val="24"/>
          <w:szCs w:val="24"/>
        </w:rPr>
        <w:t xml:space="preserve">začné zabezpečenie projektu TER. Na základe uvedeného zvýšenie miezd, </w:t>
      </w:r>
      <w:r w:rsidRPr="00E03A1A">
        <w:rPr>
          <w:rFonts w:ascii="Times New Roman" w:hAnsi="Times New Roman" w:cs="Times New Roman"/>
          <w:sz w:val="24"/>
          <w:szCs w:val="24"/>
        </w:rPr>
        <w:t xml:space="preserve">platov, </w:t>
      </w:r>
      <w:r>
        <w:rPr>
          <w:rFonts w:ascii="Times New Roman" w:hAnsi="Times New Roman" w:cs="Times New Roman"/>
          <w:sz w:val="24"/>
          <w:szCs w:val="24"/>
        </w:rPr>
        <w:t xml:space="preserve">sl. príjmov a OOV úradu MDPT SR o 272 tis. Sk. </w:t>
      </w:r>
    </w:p>
    <w:p w:rsidR="004510A6" w:rsidRPr="00E03A1A" w:rsidP="004510A6">
      <w:pPr>
        <w:spacing w:line="240" w:lineRule="auto"/>
        <w:rPr>
          <w:rFonts w:ascii="Times New Roman" w:hAnsi="Times New Roman" w:cs="Times New Roman"/>
          <w:sz w:val="24"/>
          <w:szCs w:val="24"/>
        </w:rPr>
      </w:pPr>
    </w:p>
    <w:p w:rsidR="00EE757E" w:rsidP="004510A6">
      <w:pPr>
        <w:pStyle w:val="BodyText2"/>
        <w:spacing w:line="240" w:lineRule="auto"/>
        <w:rPr>
          <w:rFonts w:ascii="Times New Roman" w:hAnsi="Times New Roman" w:cs="Times New Roman"/>
          <w:sz w:val="24"/>
          <w:szCs w:val="24"/>
        </w:rPr>
      </w:pPr>
    </w:p>
    <w:p w:rsidR="004510A6" w:rsidRPr="00E03A1A" w:rsidP="004510A6">
      <w:pPr>
        <w:pStyle w:val="BodyText2"/>
        <w:spacing w:line="240" w:lineRule="auto"/>
        <w:rPr>
          <w:rFonts w:ascii="Times New Roman" w:hAnsi="Times New Roman" w:cs="Times New Roman"/>
          <w:sz w:val="24"/>
          <w:szCs w:val="24"/>
        </w:rPr>
      </w:pPr>
      <w:r w:rsidRPr="00E03A1A">
        <w:rPr>
          <w:rFonts w:ascii="Times New Roman" w:hAnsi="Times New Roman" w:cs="Times New Roman"/>
          <w:sz w:val="24"/>
          <w:szCs w:val="24"/>
        </w:rPr>
        <w:t xml:space="preserve">RO MF SR </w:t>
      </w:r>
      <w:r>
        <w:rPr>
          <w:rFonts w:ascii="Times New Roman" w:hAnsi="Times New Roman" w:cs="Times New Roman"/>
          <w:sz w:val="24"/>
          <w:szCs w:val="24"/>
        </w:rPr>
        <w:t xml:space="preserve">č. 15 – Delimitácia 1 systemizovaného miesta v prospech Ministerstva zahraničných vecí SR </w:t>
      </w:r>
      <w:r w:rsidRPr="00B45732">
        <w:rPr>
          <w:rFonts w:ascii="Times New Roman" w:hAnsi="Times New Roman" w:cs="Times New Roman"/>
          <w:sz w:val="24"/>
          <w:szCs w:val="24"/>
        </w:rPr>
        <w:t xml:space="preserve">na zabezpečenie personálneho dobudovania Stáleho zastúpenia SR v Bruseli </w:t>
      </w:r>
      <w:r>
        <w:rPr>
          <w:rFonts w:ascii="Times New Roman" w:hAnsi="Times New Roman" w:cs="Times New Roman"/>
          <w:sz w:val="24"/>
          <w:szCs w:val="24"/>
        </w:rPr>
        <w:t>pri EÚ (uznesenia vlády SR č. 224/2005 a č. 480/2005). Na základe uvedeného z</w:t>
      </w:r>
      <w:r w:rsidRPr="00E03A1A">
        <w:rPr>
          <w:rFonts w:ascii="Times New Roman" w:hAnsi="Times New Roman" w:cs="Times New Roman"/>
          <w:sz w:val="24"/>
          <w:szCs w:val="24"/>
        </w:rPr>
        <w:t xml:space="preserve">níženie miezd, platov, </w:t>
      </w:r>
      <w:r>
        <w:rPr>
          <w:rFonts w:ascii="Times New Roman" w:hAnsi="Times New Roman" w:cs="Times New Roman"/>
          <w:sz w:val="24"/>
          <w:szCs w:val="24"/>
        </w:rPr>
        <w:t xml:space="preserve">sl. príjmov a OOV o 1 040 tis. Sk </w:t>
      </w:r>
      <w:r w:rsidRPr="00E03A1A">
        <w:rPr>
          <w:rFonts w:ascii="Times New Roman" w:hAnsi="Times New Roman" w:cs="Times New Roman"/>
          <w:bCs/>
          <w:sz w:val="24"/>
          <w:szCs w:val="24"/>
        </w:rPr>
        <w:t>v úrade MDPT SR.</w:t>
      </w:r>
    </w:p>
    <w:p w:rsidR="004510A6" w:rsidP="004510A6">
      <w:pPr>
        <w:pStyle w:val="BodyText2"/>
        <w:spacing w:line="240" w:lineRule="auto"/>
        <w:rPr>
          <w:rFonts w:ascii="Times New Roman" w:hAnsi="Times New Roman" w:cs="Times New Roman"/>
          <w:sz w:val="24"/>
          <w:szCs w:val="24"/>
        </w:rPr>
      </w:pPr>
    </w:p>
    <w:p w:rsidR="00EE757E" w:rsidP="004510A6">
      <w:pPr>
        <w:pStyle w:val="BodyText2"/>
        <w:spacing w:line="240" w:lineRule="auto"/>
        <w:rPr>
          <w:rFonts w:ascii="Times New Roman" w:hAnsi="Times New Roman" w:cs="Times New Roman"/>
          <w:sz w:val="24"/>
          <w:szCs w:val="24"/>
        </w:rPr>
      </w:pPr>
    </w:p>
    <w:p w:rsidR="004510A6" w:rsidRPr="00421B81" w:rsidP="004510A6">
      <w:pPr>
        <w:pStyle w:val="BodyText2"/>
        <w:spacing w:line="240" w:lineRule="auto"/>
        <w:rPr>
          <w:rFonts w:ascii="Times New Roman" w:hAnsi="Times New Roman" w:cs="Times New Roman"/>
          <w:sz w:val="24"/>
          <w:szCs w:val="24"/>
        </w:rPr>
      </w:pPr>
      <w:r w:rsidRPr="00E03A1A">
        <w:rPr>
          <w:rFonts w:ascii="Times New Roman" w:hAnsi="Times New Roman" w:cs="Times New Roman"/>
          <w:sz w:val="24"/>
          <w:szCs w:val="24"/>
        </w:rPr>
        <w:t xml:space="preserve">RO MF SR </w:t>
      </w:r>
      <w:r>
        <w:rPr>
          <w:rFonts w:ascii="Times New Roman" w:hAnsi="Times New Roman" w:cs="Times New Roman"/>
          <w:sz w:val="24"/>
          <w:szCs w:val="24"/>
        </w:rPr>
        <w:t xml:space="preserve">č. 18 – Presun </w:t>
      </w:r>
      <w:r w:rsidRPr="00421B81">
        <w:rPr>
          <w:rFonts w:ascii="Times New Roman" w:hAnsi="Times New Roman" w:cs="Times New Roman"/>
          <w:sz w:val="24"/>
          <w:szCs w:val="24"/>
        </w:rPr>
        <w:t>prostriedkov pridelených na technickú asistenciu v rámci kategórie 610 – mzdy, platy, služob</w:t>
      </w:r>
      <w:r>
        <w:rPr>
          <w:rFonts w:ascii="Times New Roman" w:hAnsi="Times New Roman" w:cs="Times New Roman"/>
          <w:sz w:val="24"/>
          <w:szCs w:val="24"/>
        </w:rPr>
        <w:t>né príjmy a OOV z aparátu</w:t>
      </w:r>
      <w:r w:rsidRPr="00421B81">
        <w:rPr>
          <w:rFonts w:ascii="Times New Roman" w:hAnsi="Times New Roman" w:cs="Times New Roman"/>
          <w:sz w:val="24"/>
          <w:szCs w:val="24"/>
        </w:rPr>
        <w:t xml:space="preserve"> ústredného org</w:t>
      </w:r>
      <w:r>
        <w:rPr>
          <w:rFonts w:ascii="Times New Roman" w:hAnsi="Times New Roman" w:cs="Times New Roman"/>
          <w:sz w:val="24"/>
          <w:szCs w:val="24"/>
        </w:rPr>
        <w:t xml:space="preserve">ánu v celkovej sume 1 040 tis. </w:t>
      </w:r>
      <w:r w:rsidRPr="00421B81">
        <w:rPr>
          <w:rFonts w:ascii="Times New Roman" w:hAnsi="Times New Roman" w:cs="Times New Roman"/>
          <w:sz w:val="24"/>
          <w:szCs w:val="24"/>
        </w:rPr>
        <w:t xml:space="preserve">Sk, z toho </w:t>
      </w:r>
      <w:r>
        <w:rPr>
          <w:rFonts w:ascii="Times New Roman" w:hAnsi="Times New Roman" w:cs="Times New Roman"/>
          <w:sz w:val="24"/>
          <w:szCs w:val="24"/>
        </w:rPr>
        <w:t xml:space="preserve">prostriedkov EÚ vo výške 780 tis. </w:t>
      </w:r>
      <w:r w:rsidRPr="00421B81">
        <w:rPr>
          <w:rFonts w:ascii="Times New Roman" w:hAnsi="Times New Roman" w:cs="Times New Roman"/>
          <w:sz w:val="24"/>
          <w:szCs w:val="24"/>
        </w:rPr>
        <w:t>Sk a príslušné</w:t>
      </w:r>
      <w:r>
        <w:rPr>
          <w:rFonts w:ascii="Times New Roman" w:hAnsi="Times New Roman" w:cs="Times New Roman"/>
          <w:sz w:val="24"/>
          <w:szCs w:val="24"/>
        </w:rPr>
        <w:t>ho</w:t>
      </w:r>
      <w:r w:rsidRPr="00421B81">
        <w:rPr>
          <w:rFonts w:ascii="Times New Roman" w:hAnsi="Times New Roman" w:cs="Times New Roman"/>
          <w:sz w:val="24"/>
          <w:szCs w:val="24"/>
        </w:rPr>
        <w:t xml:space="preserve"> </w:t>
      </w:r>
      <w:r>
        <w:rPr>
          <w:rFonts w:ascii="Times New Roman" w:hAnsi="Times New Roman" w:cs="Times New Roman"/>
          <w:sz w:val="24"/>
          <w:szCs w:val="24"/>
        </w:rPr>
        <w:t>spolufinancovania</w:t>
      </w:r>
      <w:r w:rsidRPr="00421B81">
        <w:rPr>
          <w:rFonts w:ascii="Times New Roman" w:hAnsi="Times New Roman" w:cs="Times New Roman"/>
          <w:sz w:val="24"/>
          <w:szCs w:val="24"/>
        </w:rPr>
        <w:t xml:space="preserve"> vo vý</w:t>
      </w:r>
      <w:r>
        <w:rPr>
          <w:rFonts w:ascii="Times New Roman" w:hAnsi="Times New Roman" w:cs="Times New Roman"/>
          <w:sz w:val="24"/>
          <w:szCs w:val="24"/>
        </w:rPr>
        <w:t>ške 260 tis</w:t>
      </w:r>
      <w:r w:rsidR="00F1695C">
        <w:rPr>
          <w:rFonts w:ascii="Times New Roman" w:hAnsi="Times New Roman" w:cs="Times New Roman"/>
          <w:sz w:val="24"/>
          <w:szCs w:val="24"/>
        </w:rPr>
        <w:t>.</w:t>
      </w:r>
      <w:r>
        <w:rPr>
          <w:rFonts w:ascii="Times New Roman" w:hAnsi="Times New Roman" w:cs="Times New Roman"/>
          <w:sz w:val="24"/>
          <w:szCs w:val="24"/>
        </w:rPr>
        <w:t xml:space="preserve"> Sk a ich navýšenie </w:t>
      </w:r>
      <w:r w:rsidRPr="00421B81">
        <w:rPr>
          <w:rFonts w:ascii="Times New Roman" w:hAnsi="Times New Roman" w:cs="Times New Roman"/>
          <w:sz w:val="24"/>
          <w:szCs w:val="24"/>
        </w:rPr>
        <w:t xml:space="preserve">pre organizáciu Slovenská správa ciest. </w:t>
      </w:r>
    </w:p>
    <w:p w:rsidR="00AA1CD7" w:rsidP="00C362EA">
      <w:pPr>
        <w:pStyle w:val="BodyText2"/>
        <w:spacing w:line="240" w:lineRule="auto"/>
        <w:rPr>
          <w:rFonts w:ascii="Times New Roman" w:hAnsi="Times New Roman" w:cs="Times New Roman"/>
        </w:rPr>
      </w:pPr>
    </w:p>
    <w:p w:rsidR="00EE757E" w:rsidP="004B5D46">
      <w:pPr>
        <w:pStyle w:val="BodyText2"/>
        <w:spacing w:line="240" w:lineRule="auto"/>
        <w:rPr>
          <w:rFonts w:ascii="Times New Roman" w:hAnsi="Times New Roman" w:cs="Times New Roman"/>
          <w:sz w:val="24"/>
          <w:szCs w:val="24"/>
        </w:rPr>
      </w:pPr>
    </w:p>
    <w:p w:rsidR="004B5D46" w:rsidRPr="005664EA" w:rsidP="004B5D46">
      <w:pPr>
        <w:pStyle w:val="BodyText2"/>
        <w:spacing w:line="240" w:lineRule="auto"/>
        <w:rPr>
          <w:rFonts w:ascii="Times New Roman" w:hAnsi="Times New Roman" w:cs="Times New Roman"/>
          <w:sz w:val="24"/>
          <w:szCs w:val="24"/>
        </w:rPr>
      </w:pPr>
      <w:r w:rsidRPr="00E03A1A">
        <w:rPr>
          <w:rFonts w:ascii="Times New Roman" w:hAnsi="Times New Roman" w:cs="Times New Roman"/>
          <w:sz w:val="24"/>
          <w:szCs w:val="24"/>
        </w:rPr>
        <w:t xml:space="preserve">RO MF SR </w:t>
      </w:r>
      <w:r>
        <w:rPr>
          <w:rFonts w:ascii="Times New Roman" w:hAnsi="Times New Roman" w:cs="Times New Roman"/>
          <w:sz w:val="24"/>
          <w:szCs w:val="24"/>
        </w:rPr>
        <w:t xml:space="preserve">č. 19 – Zvýšenie výdavkov aparátu MDPT SR v kategórii </w:t>
      </w:r>
      <w:r w:rsidRPr="005664EA">
        <w:rPr>
          <w:rFonts w:ascii="Times New Roman" w:hAnsi="Times New Roman" w:cs="Times New Roman"/>
          <w:sz w:val="24"/>
          <w:szCs w:val="24"/>
        </w:rPr>
        <w:t xml:space="preserve">610 </w:t>
      </w:r>
      <w:r>
        <w:rPr>
          <w:rFonts w:ascii="Times New Roman" w:hAnsi="Times New Roman" w:cs="Times New Roman"/>
          <w:sz w:val="24"/>
          <w:szCs w:val="24"/>
        </w:rPr>
        <w:t xml:space="preserve">– Mzdy, platy, služobné príjmy a OOV o 1 656 tis. Sk </w:t>
      </w:r>
      <w:r w:rsidRPr="005664EA">
        <w:rPr>
          <w:rFonts w:ascii="Times New Roman" w:hAnsi="Times New Roman" w:cs="Times New Roman"/>
          <w:sz w:val="24"/>
          <w:szCs w:val="24"/>
        </w:rPr>
        <w:t xml:space="preserve">na zabezpečenie miezd pre 20 nových pracovníkov úradu </w:t>
      </w:r>
      <w:r>
        <w:rPr>
          <w:rFonts w:ascii="Times New Roman" w:hAnsi="Times New Roman" w:cs="Times New Roman"/>
          <w:sz w:val="24"/>
          <w:szCs w:val="24"/>
        </w:rPr>
        <w:t xml:space="preserve">MDPT SR (od 1.10.do 31.12.2007) </w:t>
      </w:r>
      <w:r w:rsidRPr="005664EA">
        <w:rPr>
          <w:rFonts w:ascii="Times New Roman" w:hAnsi="Times New Roman" w:cs="Times New Roman"/>
          <w:sz w:val="24"/>
          <w:szCs w:val="24"/>
        </w:rPr>
        <w:t>v súvislosti s výstavbou nadradenej cestnej dopravnej inf</w:t>
      </w:r>
      <w:r w:rsidR="00F1695C">
        <w:rPr>
          <w:rFonts w:ascii="Times New Roman" w:hAnsi="Times New Roman" w:cs="Times New Roman"/>
          <w:sz w:val="24"/>
          <w:szCs w:val="24"/>
        </w:rPr>
        <w:t>ra</w:t>
      </w:r>
      <w:r w:rsidRPr="005664EA">
        <w:rPr>
          <w:rFonts w:ascii="Times New Roman" w:hAnsi="Times New Roman" w:cs="Times New Roman"/>
          <w:sz w:val="24"/>
          <w:szCs w:val="24"/>
        </w:rPr>
        <w:t>štruktúry</w:t>
      </w:r>
      <w:r>
        <w:rPr>
          <w:rFonts w:ascii="Times New Roman" w:hAnsi="Times New Roman" w:cs="Times New Roman"/>
          <w:sz w:val="24"/>
          <w:szCs w:val="24"/>
        </w:rPr>
        <w:t xml:space="preserve"> </w:t>
      </w:r>
      <w:r w:rsidRPr="00D1603A">
        <w:rPr>
          <w:rFonts w:ascii="Times New Roman" w:hAnsi="Times New Roman" w:cs="Times New Roman"/>
          <w:sz w:val="24"/>
          <w:szCs w:val="24"/>
        </w:rPr>
        <w:t>formou projektu verejno-súkromného partnerstva (PPP)</w:t>
      </w:r>
      <w:r>
        <w:rPr>
          <w:rFonts w:ascii="Times New Roman" w:hAnsi="Times New Roman" w:cs="Times New Roman"/>
          <w:sz w:val="24"/>
          <w:szCs w:val="24"/>
        </w:rPr>
        <w:t xml:space="preserve">. </w:t>
      </w:r>
    </w:p>
    <w:p w:rsidR="00ED2E82" w:rsidP="00C362EA">
      <w:pPr>
        <w:spacing w:line="240" w:lineRule="auto"/>
        <w:rPr>
          <w:rFonts w:ascii="Times New Roman" w:hAnsi="Times New Roman" w:cs="Times New Roman"/>
          <w:bCs/>
          <w:sz w:val="24"/>
          <w:szCs w:val="24"/>
        </w:rPr>
      </w:pPr>
    </w:p>
    <w:p w:rsidR="00EE757E" w:rsidP="00ED5C47">
      <w:pPr>
        <w:pStyle w:val="BodyText2"/>
        <w:spacing w:line="240" w:lineRule="auto"/>
        <w:rPr>
          <w:rFonts w:ascii="Times New Roman" w:hAnsi="Times New Roman" w:cs="Times New Roman"/>
          <w:sz w:val="24"/>
          <w:szCs w:val="24"/>
        </w:rPr>
      </w:pPr>
    </w:p>
    <w:p w:rsidR="00ED5C47" w:rsidP="00ED5C47">
      <w:pPr>
        <w:pStyle w:val="BodyText2"/>
        <w:spacing w:line="240" w:lineRule="auto"/>
        <w:rPr>
          <w:rFonts w:ascii="Times New Roman" w:hAnsi="Times New Roman" w:cs="Times New Roman"/>
          <w:sz w:val="24"/>
          <w:szCs w:val="24"/>
        </w:rPr>
      </w:pPr>
      <w:r w:rsidRPr="00E03A1A">
        <w:rPr>
          <w:rFonts w:ascii="Times New Roman" w:hAnsi="Times New Roman" w:cs="Times New Roman"/>
          <w:sz w:val="24"/>
          <w:szCs w:val="24"/>
        </w:rPr>
        <w:t xml:space="preserve">RO MF SR </w:t>
      </w:r>
      <w:r>
        <w:rPr>
          <w:rFonts w:ascii="Times New Roman" w:hAnsi="Times New Roman" w:cs="Times New Roman"/>
          <w:sz w:val="24"/>
          <w:szCs w:val="24"/>
        </w:rPr>
        <w:t xml:space="preserve">č. 26 – V rámci rozpočtu Železničnej polície zníženie limitu výdavkov na mzdy policajtov v systemizácii a zvýšenie limitu miezd pre zamestnancov pri výkone prác vo verejnom záujme o 500 tis. Sk, čím sa realizovala oprava rozpočtového opatrenia č. 13 na základe žiadosti MDPT SR. </w:t>
      </w:r>
    </w:p>
    <w:p w:rsidR="00ED5C47" w:rsidRPr="004B4B69" w:rsidP="00ED5C47">
      <w:pPr>
        <w:pStyle w:val="BodyText2"/>
        <w:spacing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EE757E" w:rsidP="00ED5C47">
      <w:pPr>
        <w:pStyle w:val="BodyText2"/>
        <w:spacing w:line="240" w:lineRule="auto"/>
        <w:rPr>
          <w:rFonts w:ascii="Times New Roman" w:hAnsi="Times New Roman" w:cs="Times New Roman"/>
          <w:sz w:val="24"/>
          <w:szCs w:val="24"/>
        </w:rPr>
      </w:pPr>
    </w:p>
    <w:p w:rsidR="00ED5C47" w:rsidRPr="00C62106" w:rsidP="00ED5C47">
      <w:pPr>
        <w:pStyle w:val="BodyText2"/>
        <w:spacing w:line="240" w:lineRule="auto"/>
        <w:rPr>
          <w:rFonts w:ascii="Times New Roman" w:hAnsi="Times New Roman" w:cs="Times New Roman"/>
          <w:sz w:val="24"/>
          <w:szCs w:val="24"/>
        </w:rPr>
      </w:pPr>
      <w:r w:rsidRPr="00C62106">
        <w:rPr>
          <w:rFonts w:ascii="Times New Roman" w:hAnsi="Times New Roman" w:cs="Times New Roman"/>
          <w:sz w:val="24"/>
          <w:szCs w:val="24"/>
        </w:rPr>
        <w:t>RO MF SR č. 27 –</w:t>
      </w:r>
      <w:r w:rsidRPr="00C62106">
        <w:rPr>
          <w:rFonts w:ascii="Times New Roman" w:hAnsi="Times New Roman" w:cs="Times New Roman"/>
          <w:b/>
          <w:sz w:val="24"/>
          <w:szCs w:val="24"/>
        </w:rPr>
        <w:t xml:space="preserve"> </w:t>
      </w:r>
      <w:r w:rsidRPr="00C62106">
        <w:rPr>
          <w:rFonts w:ascii="Times New Roman" w:hAnsi="Times New Roman" w:cs="Times New Roman"/>
          <w:sz w:val="24"/>
          <w:szCs w:val="24"/>
        </w:rPr>
        <w:t xml:space="preserve">Rozpočtovým opatrením sa pre organizáciu Slovenská správa ciest povolilo prekročiť limit výdavkov v kategórii 610 – Mzdy, platy, služobné príjmy a OOV o 3 855 tis. Sk na zvýšenie motivácie, posilnenia hmotnej zainteresovanosti pracovníkov, na zabezpečenie zimnej dispečerskej služby a miezd pracovníkov SSC. </w:t>
      </w:r>
    </w:p>
    <w:p w:rsidR="00A37663" w:rsidRPr="00E03A1A" w:rsidP="00C362EA">
      <w:pPr>
        <w:spacing w:line="240" w:lineRule="auto"/>
        <w:rPr>
          <w:rFonts w:ascii="Times New Roman" w:hAnsi="Times New Roman" w:cs="Times New Roman"/>
          <w:bCs/>
          <w:sz w:val="24"/>
          <w:szCs w:val="24"/>
        </w:rPr>
      </w:pPr>
    </w:p>
    <w:p w:rsidR="00EE757E" w:rsidP="00C362EA">
      <w:pPr>
        <w:spacing w:line="240" w:lineRule="auto"/>
        <w:rPr>
          <w:rFonts w:ascii="Times New Roman" w:hAnsi="Times New Roman" w:cs="Times New Roman"/>
          <w:bCs/>
          <w:sz w:val="24"/>
          <w:szCs w:val="24"/>
        </w:rPr>
      </w:pPr>
    </w:p>
    <w:p w:rsidR="000057E4" w:rsidRPr="0083073F" w:rsidP="00C362EA">
      <w:pPr>
        <w:spacing w:line="240" w:lineRule="auto"/>
        <w:rPr>
          <w:rFonts w:ascii="Times New Roman" w:hAnsi="Times New Roman" w:cs="Times New Roman"/>
          <w:sz w:val="24"/>
          <w:szCs w:val="24"/>
        </w:rPr>
      </w:pPr>
      <w:r w:rsidR="00B076A6">
        <w:rPr>
          <w:rFonts w:ascii="Times New Roman" w:hAnsi="Times New Roman" w:cs="Times New Roman"/>
          <w:bCs/>
          <w:sz w:val="24"/>
          <w:szCs w:val="24"/>
        </w:rPr>
        <w:t>RO MF SR č. 36</w:t>
      </w:r>
      <w:r w:rsidRPr="00E03A1A" w:rsidR="009C4F3B">
        <w:rPr>
          <w:rFonts w:ascii="Times New Roman" w:hAnsi="Times New Roman" w:cs="Times New Roman"/>
          <w:bCs/>
          <w:sz w:val="24"/>
          <w:szCs w:val="24"/>
        </w:rPr>
        <w:t xml:space="preserve"> – </w:t>
      </w:r>
      <w:r w:rsidRPr="00E03A1A" w:rsidR="009C4F3B">
        <w:rPr>
          <w:rFonts w:ascii="Times New Roman" w:hAnsi="Times New Roman" w:cs="Times New Roman"/>
          <w:sz w:val="24"/>
          <w:szCs w:val="24"/>
        </w:rPr>
        <w:t xml:space="preserve">Viazanie rozpočtových výdavkov kapitoly podľa § 8 ods. 6 zákona č. 523/2004 Z.z. o rozpočtových pravidlách verejnej správy a o zmene a doplnení niektorých zákonov na základe oznámenia MDPT SR o výške výdavkov, ktoré použije kapitola v nasledujúcom rozpočtovom roku. </w:t>
      </w:r>
      <w:r w:rsidRPr="00E03A1A" w:rsidR="00B477E0">
        <w:rPr>
          <w:rFonts w:ascii="Times New Roman" w:hAnsi="Times New Roman" w:cs="Times New Roman"/>
          <w:bCs/>
          <w:sz w:val="24"/>
          <w:szCs w:val="24"/>
        </w:rPr>
        <w:t xml:space="preserve">Viazanie rozpočtových prostriedkov </w:t>
      </w:r>
      <w:r w:rsidRPr="00E03A1A" w:rsidR="009C4F3B">
        <w:rPr>
          <w:rFonts w:ascii="Times New Roman" w:hAnsi="Times New Roman" w:cs="Times New Roman"/>
          <w:bCs/>
          <w:sz w:val="24"/>
          <w:szCs w:val="24"/>
        </w:rPr>
        <w:t xml:space="preserve">na mzdy, platy, sl. príjmy a OOV </w:t>
      </w:r>
      <w:r w:rsidRPr="00E03A1A" w:rsidR="00B477E0">
        <w:rPr>
          <w:rFonts w:ascii="Times New Roman" w:hAnsi="Times New Roman" w:cs="Times New Roman"/>
          <w:bCs/>
          <w:sz w:val="24"/>
          <w:szCs w:val="24"/>
        </w:rPr>
        <w:t>na</w:t>
      </w:r>
      <w:r w:rsidRPr="00E03A1A" w:rsidR="009C4F3B">
        <w:rPr>
          <w:rFonts w:ascii="Times New Roman" w:hAnsi="Times New Roman" w:cs="Times New Roman"/>
          <w:bCs/>
          <w:sz w:val="24"/>
          <w:szCs w:val="24"/>
        </w:rPr>
        <w:t xml:space="preserve"> technick</w:t>
      </w:r>
      <w:r w:rsidR="008C3D3F">
        <w:rPr>
          <w:rFonts w:ascii="Times New Roman" w:hAnsi="Times New Roman" w:cs="Times New Roman"/>
          <w:bCs/>
          <w:sz w:val="24"/>
          <w:szCs w:val="24"/>
        </w:rPr>
        <w:t xml:space="preserve">ú pomoc vo výške 1 203 tis. Sk, z toho:1 202,5 tis. Sk v úrade MDPT SR a 0,3 tis. Sk v SSC. </w:t>
      </w:r>
    </w:p>
    <w:p w:rsidR="0083073F" w:rsidP="00C362EA">
      <w:pPr>
        <w:spacing w:line="240" w:lineRule="auto"/>
        <w:jc w:val="center"/>
        <w:rPr>
          <w:rFonts w:ascii="Arial Narrow" w:hAnsi="Arial Narrow" w:cs="Times New Roman"/>
          <w:b/>
          <w:bCs/>
          <w:sz w:val="22"/>
          <w:szCs w:val="22"/>
        </w:rPr>
      </w:pPr>
    </w:p>
    <w:p w:rsidR="003D6D76" w:rsidRPr="00A16DF7" w:rsidP="00A16DF7">
      <w:pPr>
        <w:spacing w:line="240" w:lineRule="auto"/>
        <w:jc w:val="center"/>
        <w:rPr>
          <w:rFonts w:ascii="Arial Narrow" w:hAnsi="Arial Narrow" w:cs="Times New Roman"/>
          <w:b/>
          <w:bCs/>
          <w:sz w:val="22"/>
          <w:szCs w:val="22"/>
        </w:rPr>
      </w:pPr>
      <w:r w:rsidR="00881384">
        <w:rPr>
          <w:rFonts w:ascii="Arial Narrow" w:hAnsi="Arial Narrow" w:cs="Times New Roman"/>
          <w:b/>
          <w:bCs/>
          <w:sz w:val="22"/>
          <w:szCs w:val="22"/>
        </w:rPr>
        <w:t xml:space="preserve">Mzdy, platy, služobné príjmy a OOV </w:t>
      </w:r>
      <w:r w:rsidRPr="00263BE8" w:rsidR="00881384">
        <w:rPr>
          <w:rFonts w:ascii="Arial Narrow" w:hAnsi="Arial Narrow" w:cs="Times New Roman"/>
          <w:b/>
          <w:bCs/>
          <w:sz w:val="22"/>
          <w:szCs w:val="22"/>
        </w:rPr>
        <w:t>rezortu MDPT SR</w:t>
      </w:r>
      <w:r w:rsidR="00166A70">
        <w:rPr>
          <w:rFonts w:ascii="Arial Narrow" w:hAnsi="Arial Narrow" w:cs="Times New Roman"/>
          <w:b/>
          <w:bCs/>
          <w:sz w:val="22"/>
          <w:szCs w:val="22"/>
        </w:rPr>
        <w:t xml:space="preserve"> v roku 2007</w:t>
      </w:r>
    </w:p>
    <w:p w:rsidR="0083073F" w:rsidRPr="00D23807" w:rsidP="00C362EA">
      <w:pPr>
        <w:spacing w:line="240" w:lineRule="auto"/>
        <w:rPr>
          <w:rFonts w:ascii="Times New Roman" w:hAnsi="Times New Roman" w:cs="Times New Roman"/>
          <w:b/>
          <w:i/>
          <w:sz w:val="26"/>
        </w:rPr>
      </w:pPr>
    </w:p>
    <w:tbl>
      <w:tblPr>
        <w:tblW w:w="7670" w:type="dxa"/>
        <w:tblInd w:w="79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Pr>
      <w:tblGrid>
        <w:gridCol w:w="1440"/>
        <w:gridCol w:w="1300"/>
        <w:gridCol w:w="1220"/>
        <w:gridCol w:w="632"/>
        <w:gridCol w:w="988"/>
        <w:gridCol w:w="659"/>
        <w:gridCol w:w="761"/>
        <w:gridCol w:w="670"/>
      </w:tblGrid>
      <w:tr>
        <w:tblPrEx>
          <w:tblW w:w="7670" w:type="dxa"/>
          <w:tblInd w:w="79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PrEx>
        <w:trPr>
          <w:trHeight w:val="271"/>
        </w:trPr>
        <w:tc>
          <w:tcPr>
            <w:tcW w:w="1440" w:type="dxa"/>
            <w:vMerge w:val="restart"/>
            <w:tcBorders>
              <w:top w:val="single" w:sz="12" w:space="0" w:color="auto"/>
              <w:left w:val="single" w:sz="12" w:space="0" w:color="auto"/>
              <w:bottom w:val="single" w:sz="12" w:space="0" w:color="auto"/>
              <w:right w:val="single" w:sz="12" w:space="0" w:color="auto"/>
              <w:tl2br w:val="nil"/>
              <w:tr2bl w:val="nil"/>
            </w:tcBorders>
            <w:shd w:val="clear" w:color="auto" w:fill="606060"/>
            <w:textDirection w:val="lrTb"/>
            <w:vAlign w:val="center"/>
          </w:tcPr>
          <w:p w:rsidR="00881384" w:rsidRPr="00415831" w:rsidP="00C362EA">
            <w:pPr>
              <w:spacing w:line="240" w:lineRule="auto"/>
              <w:jc w:val="center"/>
              <w:rPr>
                <w:rFonts w:ascii="Arial Narrow" w:hAnsi="Arial Narrow" w:cs="Times New Roman"/>
                <w:b/>
                <w:bCs/>
                <w:color w:val="FFFFFF"/>
                <w:lang w:val="cs-CZ"/>
              </w:rPr>
            </w:pPr>
            <w:r w:rsidRPr="00415831">
              <w:rPr>
                <w:rFonts w:ascii="Arial Narrow" w:hAnsi="Arial Narrow" w:cs="Times New Roman"/>
                <w:b/>
                <w:bCs/>
                <w:color w:val="FFFFFF"/>
                <w:lang w:val="cs-CZ"/>
              </w:rPr>
              <w:t>Organizácia</w:t>
            </w:r>
          </w:p>
        </w:tc>
        <w:tc>
          <w:tcPr>
            <w:tcW w:w="6230" w:type="dxa"/>
            <w:gridSpan w:val="7"/>
            <w:tcBorders>
              <w:top w:val="single" w:sz="12" w:space="0" w:color="auto"/>
              <w:left w:val="single" w:sz="12" w:space="0" w:color="auto"/>
              <w:bottom w:val="single" w:sz="12" w:space="0" w:color="auto"/>
              <w:right w:val="single" w:sz="12" w:space="0" w:color="auto"/>
              <w:tl2br w:val="nil"/>
              <w:tr2bl w:val="nil"/>
            </w:tcBorders>
            <w:shd w:val="clear" w:color="auto" w:fill="606060"/>
            <w:textDirection w:val="lrTb"/>
            <w:vAlign w:val="center"/>
          </w:tcPr>
          <w:p w:rsidR="00881384" w:rsidRPr="00415831" w:rsidP="00C362EA">
            <w:pPr>
              <w:spacing w:line="240" w:lineRule="auto"/>
              <w:jc w:val="center"/>
              <w:rPr>
                <w:rFonts w:ascii="Arial Narrow" w:hAnsi="Arial Narrow" w:cs="Times New Roman"/>
                <w:b/>
                <w:bCs/>
                <w:color w:val="FFFFFF"/>
                <w:lang w:val="cs-CZ"/>
              </w:rPr>
            </w:pPr>
            <w:r w:rsidRPr="00415831">
              <w:rPr>
                <w:rFonts w:ascii="Arial Narrow" w:hAnsi="Arial Narrow" w:cs="Times New Roman"/>
                <w:b/>
                <w:bCs/>
                <w:color w:val="FFFFFF"/>
                <w:lang w:val="cs-CZ"/>
              </w:rPr>
              <w:t>Kategória 610 - Mzdy, platy, služobné príjmy a OOV ( v tis.</w:t>
            </w:r>
            <w:r w:rsidRPr="00415831" w:rsidR="00C04184">
              <w:rPr>
                <w:rFonts w:ascii="Arial Narrow" w:hAnsi="Arial Narrow" w:cs="Times New Roman"/>
                <w:b/>
                <w:bCs/>
                <w:color w:val="FFFFFF"/>
                <w:lang w:val="cs-CZ"/>
              </w:rPr>
              <w:t xml:space="preserve"> Sk</w:t>
            </w:r>
            <w:r w:rsidRPr="00415831">
              <w:rPr>
                <w:rFonts w:ascii="Arial Narrow" w:hAnsi="Arial Narrow" w:cs="Times New Roman"/>
                <w:b/>
                <w:bCs/>
                <w:color w:val="FFFFFF"/>
                <w:lang w:val="cs-CZ"/>
              </w:rPr>
              <w:t>)</w:t>
            </w:r>
          </w:p>
        </w:tc>
      </w:tr>
      <w:tr>
        <w:tblPrEx>
          <w:tblW w:w="7670" w:type="dxa"/>
          <w:tblInd w:w="790" w:type="dxa"/>
          <w:tblLayout w:type="fixed"/>
          <w:tblCellMar>
            <w:left w:w="70" w:type="dxa"/>
            <w:right w:w="70" w:type="dxa"/>
          </w:tblCellMar>
        </w:tblPrEx>
        <w:trPr>
          <w:trHeight w:val="301"/>
        </w:trPr>
        <w:tc>
          <w:tcPr>
            <w:tcW w:w="1440" w:type="dxa"/>
            <w:vMerge/>
            <w:tcBorders>
              <w:top w:val="single" w:sz="4" w:space="0" w:color="auto"/>
              <w:left w:val="single" w:sz="12" w:space="0" w:color="auto"/>
              <w:bottom w:val="single" w:sz="12" w:space="0" w:color="auto"/>
              <w:right w:val="single" w:sz="12" w:space="0" w:color="auto"/>
              <w:tl2br w:val="nil"/>
              <w:tr2bl w:val="nil"/>
            </w:tcBorders>
            <w:textDirection w:val="lrTb"/>
            <w:vAlign w:val="center"/>
          </w:tcPr>
          <w:p w:rsidR="00881384" w:rsidRPr="00415831" w:rsidP="00C362EA">
            <w:pPr>
              <w:spacing w:line="240" w:lineRule="auto"/>
              <w:rPr>
                <w:rFonts w:ascii="Arial Narrow" w:hAnsi="Arial Narrow" w:cs="Times New Roman"/>
                <w:b/>
                <w:bCs/>
                <w:color w:val="FFFFFF"/>
                <w:lang w:val="cs-CZ"/>
              </w:rPr>
            </w:pPr>
          </w:p>
        </w:tc>
        <w:tc>
          <w:tcPr>
            <w:tcW w:w="1300" w:type="dxa"/>
            <w:tcBorders>
              <w:top w:val="single" w:sz="12" w:space="0" w:color="auto"/>
              <w:left w:val="single" w:sz="12" w:space="0" w:color="auto"/>
              <w:bottom w:val="single" w:sz="4" w:space="0" w:color="auto"/>
              <w:right w:val="single" w:sz="12" w:space="0" w:color="auto"/>
              <w:tl2br w:val="nil"/>
              <w:tr2bl w:val="nil"/>
            </w:tcBorders>
            <w:shd w:val="clear" w:color="auto" w:fill="606060"/>
            <w:textDirection w:val="lrTb"/>
            <w:vAlign w:val="center"/>
          </w:tcPr>
          <w:p w:rsidR="00881384" w:rsidRPr="00415831" w:rsidP="00C362EA">
            <w:pPr>
              <w:spacing w:line="240" w:lineRule="auto"/>
              <w:jc w:val="center"/>
              <w:rPr>
                <w:rFonts w:ascii="Arial Narrow" w:hAnsi="Arial Narrow" w:cs="Times New Roman"/>
                <w:b/>
                <w:bCs/>
                <w:color w:val="FFFFFF"/>
                <w:lang w:val="cs-CZ"/>
              </w:rPr>
            </w:pPr>
            <w:r w:rsidRPr="00415831" w:rsidR="00C04184">
              <w:rPr>
                <w:rFonts w:ascii="Arial Narrow" w:hAnsi="Arial Narrow" w:cs="Times New Roman"/>
                <w:b/>
                <w:bCs/>
                <w:color w:val="FFFFFF"/>
                <w:lang w:val="cs-CZ"/>
              </w:rPr>
              <w:t>Schválený limit k 1.1.200</w:t>
            </w:r>
            <w:r w:rsidR="00166A70">
              <w:rPr>
                <w:rFonts w:ascii="Arial Narrow" w:hAnsi="Arial Narrow" w:cs="Times New Roman"/>
                <w:b/>
                <w:bCs/>
                <w:color w:val="FFFFFF"/>
                <w:lang w:val="cs-CZ"/>
              </w:rPr>
              <w:t>7</w:t>
            </w:r>
          </w:p>
        </w:tc>
        <w:tc>
          <w:tcPr>
            <w:tcW w:w="1220" w:type="dxa"/>
            <w:tcBorders>
              <w:top w:val="single" w:sz="12" w:space="0" w:color="auto"/>
              <w:left w:val="single" w:sz="12" w:space="0" w:color="auto"/>
              <w:bottom w:val="single" w:sz="4" w:space="0" w:color="auto"/>
              <w:right w:val="single" w:sz="12" w:space="0" w:color="auto"/>
              <w:tl2br w:val="nil"/>
              <w:tr2bl w:val="nil"/>
            </w:tcBorders>
            <w:shd w:val="clear" w:color="auto" w:fill="606060"/>
            <w:textDirection w:val="lrTb"/>
            <w:vAlign w:val="center"/>
          </w:tcPr>
          <w:p w:rsidR="00881384" w:rsidRPr="00415831" w:rsidP="00C362EA">
            <w:pPr>
              <w:spacing w:line="240" w:lineRule="auto"/>
              <w:jc w:val="center"/>
              <w:rPr>
                <w:rFonts w:ascii="Arial Narrow" w:hAnsi="Arial Narrow" w:cs="Times New Roman"/>
                <w:b/>
                <w:bCs/>
                <w:color w:val="FFFFFF"/>
                <w:lang w:val="cs-CZ"/>
              </w:rPr>
            </w:pPr>
            <w:r w:rsidRPr="00415831" w:rsidR="00C04184">
              <w:rPr>
                <w:rFonts w:ascii="Arial Narrow" w:hAnsi="Arial Narrow" w:cs="Times New Roman"/>
                <w:b/>
                <w:bCs/>
                <w:color w:val="FFFFFF"/>
                <w:lang w:val="cs-CZ"/>
              </w:rPr>
              <w:t>Upravený limit k 31.12.200</w:t>
            </w:r>
            <w:r w:rsidR="00166A70">
              <w:rPr>
                <w:rFonts w:ascii="Arial Narrow" w:hAnsi="Arial Narrow" w:cs="Times New Roman"/>
                <w:b/>
                <w:bCs/>
                <w:color w:val="FFFFFF"/>
                <w:lang w:val="cs-CZ"/>
              </w:rPr>
              <w:t>7</w:t>
            </w:r>
          </w:p>
        </w:tc>
        <w:tc>
          <w:tcPr>
            <w:tcW w:w="3710" w:type="dxa"/>
            <w:gridSpan w:val="5"/>
            <w:tcBorders>
              <w:top w:val="single" w:sz="12" w:space="0" w:color="auto"/>
              <w:left w:val="single" w:sz="12" w:space="0" w:color="auto"/>
              <w:bottom w:val="single" w:sz="4" w:space="0" w:color="auto"/>
              <w:right w:val="single" w:sz="12" w:space="0" w:color="auto"/>
              <w:tl2br w:val="nil"/>
              <w:tr2bl w:val="nil"/>
            </w:tcBorders>
            <w:shd w:val="clear" w:color="auto" w:fill="606060"/>
            <w:textDirection w:val="lrTb"/>
            <w:vAlign w:val="center"/>
          </w:tcPr>
          <w:p w:rsidR="00881384" w:rsidRPr="00415831" w:rsidP="00C362EA">
            <w:pPr>
              <w:spacing w:line="240" w:lineRule="auto"/>
              <w:jc w:val="center"/>
              <w:rPr>
                <w:rFonts w:ascii="Arial Narrow" w:hAnsi="Arial Narrow" w:cs="Times New Roman"/>
                <w:b/>
                <w:bCs/>
                <w:color w:val="FFFFFF"/>
                <w:lang w:val="cs-CZ"/>
              </w:rPr>
            </w:pPr>
            <w:r w:rsidRPr="00415831">
              <w:rPr>
                <w:rFonts w:ascii="Arial Narrow" w:hAnsi="Arial Narrow" w:cs="Times New Roman"/>
                <w:b/>
                <w:bCs/>
                <w:color w:val="FFFFFF"/>
                <w:lang w:val="cs-CZ"/>
              </w:rPr>
              <w:t>Sk</w:t>
            </w:r>
            <w:r w:rsidR="00C90674">
              <w:rPr>
                <w:rFonts w:ascii="Arial Narrow" w:hAnsi="Arial Narrow" w:cs="Times New Roman"/>
                <w:b/>
                <w:bCs/>
                <w:color w:val="FFFFFF"/>
                <w:lang w:val="cs-CZ"/>
              </w:rPr>
              <w:t xml:space="preserve">utočnosť </w:t>
            </w:r>
            <w:r w:rsidR="00166888">
              <w:rPr>
                <w:rFonts w:ascii="Arial Narrow" w:hAnsi="Arial Narrow" w:cs="Times New Roman"/>
                <w:b/>
                <w:bCs/>
                <w:color w:val="FFFFFF"/>
                <w:lang w:val="cs-CZ"/>
              </w:rPr>
              <w:t xml:space="preserve"> podľa výkazu Práca 2-04</w:t>
            </w:r>
          </w:p>
        </w:tc>
      </w:tr>
      <w:tr>
        <w:tblPrEx>
          <w:tblW w:w="7670" w:type="dxa"/>
          <w:tblInd w:w="790" w:type="dxa"/>
          <w:tblLayout w:type="fixed"/>
          <w:tblCellMar>
            <w:left w:w="70" w:type="dxa"/>
            <w:right w:w="70" w:type="dxa"/>
          </w:tblCellMar>
        </w:tblPrEx>
        <w:trPr>
          <w:trHeight w:val="750"/>
        </w:trPr>
        <w:tc>
          <w:tcPr>
            <w:tcW w:w="1440" w:type="dxa"/>
            <w:vMerge/>
            <w:tcBorders>
              <w:top w:val="single" w:sz="4" w:space="0" w:color="auto"/>
              <w:left w:val="single" w:sz="12" w:space="0" w:color="auto"/>
              <w:bottom w:val="single" w:sz="12" w:space="0" w:color="auto"/>
              <w:right w:val="single" w:sz="12" w:space="0" w:color="auto"/>
              <w:tl2br w:val="nil"/>
              <w:tr2bl w:val="nil"/>
            </w:tcBorders>
            <w:textDirection w:val="lrTb"/>
            <w:vAlign w:val="center"/>
          </w:tcPr>
          <w:p w:rsidR="00ED3557" w:rsidRPr="00415831" w:rsidP="00C362EA">
            <w:pPr>
              <w:spacing w:line="240" w:lineRule="auto"/>
              <w:rPr>
                <w:rFonts w:ascii="Arial Narrow" w:hAnsi="Arial Narrow" w:cs="Times New Roman"/>
                <w:b/>
                <w:bCs/>
                <w:color w:val="FFFFFF"/>
                <w:lang w:val="cs-CZ"/>
              </w:rPr>
            </w:pPr>
          </w:p>
        </w:tc>
        <w:tc>
          <w:tcPr>
            <w:tcW w:w="1300" w:type="dxa"/>
            <w:tcBorders>
              <w:top w:val="single" w:sz="4" w:space="0" w:color="auto"/>
              <w:left w:val="single" w:sz="12" w:space="0" w:color="auto"/>
              <w:bottom w:val="single" w:sz="12" w:space="0" w:color="auto"/>
              <w:right w:val="single" w:sz="12" w:space="0" w:color="auto"/>
              <w:tl2br w:val="nil"/>
              <w:tr2bl w:val="nil"/>
            </w:tcBorders>
            <w:shd w:val="clear" w:color="auto" w:fill="606060"/>
            <w:textDirection w:val="lrTb"/>
            <w:vAlign w:val="center"/>
          </w:tcPr>
          <w:p w:rsidR="00ED3557" w:rsidRPr="00415831" w:rsidP="00C362EA">
            <w:pPr>
              <w:spacing w:line="240" w:lineRule="auto"/>
              <w:jc w:val="center"/>
              <w:rPr>
                <w:rFonts w:ascii="Arial Narrow" w:hAnsi="Arial Narrow" w:cs="Times New Roman"/>
                <w:color w:val="FFFFFF"/>
                <w:sz w:val="18"/>
                <w:szCs w:val="18"/>
                <w:lang w:val="cs-CZ"/>
              </w:rPr>
            </w:pPr>
            <w:r w:rsidRPr="00415831">
              <w:rPr>
                <w:rFonts w:ascii="Arial Narrow" w:hAnsi="Arial Narrow" w:cs="Times New Roman"/>
                <w:color w:val="FFFFFF"/>
                <w:sz w:val="18"/>
                <w:szCs w:val="18"/>
                <w:lang w:val="cs-CZ"/>
              </w:rPr>
              <w:t>Spolu</w:t>
            </w:r>
          </w:p>
        </w:tc>
        <w:tc>
          <w:tcPr>
            <w:tcW w:w="1220" w:type="dxa"/>
            <w:tcBorders>
              <w:top w:val="single" w:sz="4" w:space="0" w:color="auto"/>
              <w:left w:val="single" w:sz="12" w:space="0" w:color="auto"/>
              <w:bottom w:val="single" w:sz="12" w:space="0" w:color="auto"/>
              <w:right w:val="single" w:sz="12" w:space="0" w:color="auto"/>
              <w:tl2br w:val="nil"/>
              <w:tr2bl w:val="nil"/>
            </w:tcBorders>
            <w:shd w:val="clear" w:color="auto" w:fill="606060"/>
            <w:textDirection w:val="lrTb"/>
            <w:vAlign w:val="center"/>
          </w:tcPr>
          <w:p w:rsidR="00ED3557" w:rsidRPr="00415831" w:rsidP="00C362EA">
            <w:pPr>
              <w:spacing w:line="240" w:lineRule="auto"/>
              <w:jc w:val="center"/>
              <w:rPr>
                <w:rFonts w:ascii="Arial Narrow" w:hAnsi="Arial Narrow" w:cs="Times New Roman"/>
                <w:color w:val="FFFFFF"/>
                <w:sz w:val="18"/>
                <w:szCs w:val="18"/>
                <w:lang w:val="cs-CZ"/>
              </w:rPr>
            </w:pPr>
            <w:r w:rsidRPr="00415831">
              <w:rPr>
                <w:rFonts w:ascii="Arial Narrow" w:hAnsi="Arial Narrow" w:cs="Times New Roman"/>
                <w:color w:val="FFFFFF"/>
                <w:sz w:val="18"/>
                <w:szCs w:val="18"/>
                <w:lang w:val="cs-CZ"/>
              </w:rPr>
              <w:t>Spolu</w:t>
            </w:r>
          </w:p>
        </w:tc>
        <w:tc>
          <w:tcPr>
            <w:tcW w:w="632" w:type="dxa"/>
            <w:tcBorders>
              <w:top w:val="single" w:sz="4" w:space="0" w:color="auto"/>
              <w:left w:val="single" w:sz="12" w:space="0" w:color="auto"/>
              <w:bottom w:val="single" w:sz="12" w:space="0" w:color="auto"/>
              <w:right w:val="single" w:sz="4" w:space="0" w:color="auto"/>
              <w:tl2br w:val="nil"/>
              <w:tr2bl w:val="nil"/>
            </w:tcBorders>
            <w:shd w:val="clear" w:color="auto" w:fill="606060"/>
            <w:textDirection w:val="lrTb"/>
            <w:vAlign w:val="center"/>
          </w:tcPr>
          <w:p w:rsidR="00ED3557" w:rsidRPr="00415831" w:rsidP="00C362EA">
            <w:pPr>
              <w:spacing w:line="240" w:lineRule="auto"/>
              <w:jc w:val="center"/>
              <w:rPr>
                <w:rFonts w:ascii="Arial Narrow" w:hAnsi="Arial Narrow" w:cs="Times New Roman"/>
                <w:color w:val="FFFFFF"/>
                <w:sz w:val="18"/>
                <w:szCs w:val="18"/>
                <w:lang w:val="cs-CZ"/>
              </w:rPr>
            </w:pPr>
            <w:r w:rsidRPr="00415831">
              <w:rPr>
                <w:rFonts w:ascii="Arial Narrow" w:hAnsi="Arial Narrow" w:cs="Times New Roman"/>
                <w:color w:val="FFFFFF"/>
                <w:sz w:val="18"/>
                <w:szCs w:val="18"/>
                <w:lang w:val="cs-CZ"/>
              </w:rPr>
              <w:t>Štátna služba</w:t>
            </w:r>
          </w:p>
        </w:tc>
        <w:tc>
          <w:tcPr>
            <w:tcW w:w="988" w:type="dxa"/>
            <w:tcBorders>
              <w:top w:val="single" w:sz="4" w:space="0" w:color="auto"/>
              <w:left w:val="single" w:sz="4" w:space="0" w:color="auto"/>
              <w:bottom w:val="single" w:sz="12" w:space="0" w:color="auto"/>
              <w:right w:val="single" w:sz="4" w:space="0" w:color="auto"/>
              <w:tl2br w:val="nil"/>
              <w:tr2bl w:val="nil"/>
            </w:tcBorders>
            <w:shd w:val="clear" w:color="auto" w:fill="606060"/>
            <w:textDirection w:val="lrTb"/>
            <w:vAlign w:val="center"/>
          </w:tcPr>
          <w:p w:rsidR="00ED3557" w:rsidRPr="00415831" w:rsidP="00C362EA">
            <w:pPr>
              <w:spacing w:line="240" w:lineRule="auto"/>
              <w:jc w:val="center"/>
              <w:rPr>
                <w:rFonts w:ascii="Arial Narrow" w:hAnsi="Arial Narrow" w:cs="Times New Roman"/>
                <w:color w:val="FFFFFF"/>
                <w:sz w:val="18"/>
                <w:szCs w:val="18"/>
                <w:lang w:val="cs-CZ"/>
              </w:rPr>
            </w:pPr>
            <w:r w:rsidR="00191692">
              <w:rPr>
                <w:rFonts w:ascii="Arial Narrow" w:hAnsi="Arial Narrow" w:cs="Times New Roman"/>
                <w:color w:val="FFFFFF"/>
                <w:sz w:val="18"/>
                <w:szCs w:val="18"/>
                <w:lang w:val="cs-CZ"/>
              </w:rPr>
              <w:t xml:space="preserve"> P</w:t>
            </w:r>
            <w:r w:rsidRPr="00415831">
              <w:rPr>
                <w:rFonts w:ascii="Arial Narrow" w:hAnsi="Arial Narrow" w:cs="Times New Roman"/>
                <w:color w:val="FFFFFF"/>
                <w:sz w:val="18"/>
                <w:szCs w:val="18"/>
                <w:lang w:val="cs-CZ"/>
              </w:rPr>
              <w:t>olicajti</w:t>
            </w:r>
            <w:r w:rsidR="00191692">
              <w:rPr>
                <w:rFonts w:ascii="Arial Narrow" w:hAnsi="Arial Narrow" w:cs="Times New Roman"/>
                <w:color w:val="FFFFFF"/>
                <w:sz w:val="18"/>
                <w:szCs w:val="18"/>
                <w:lang w:val="cs-CZ"/>
              </w:rPr>
              <w:t xml:space="preserve"> Železničná polícia </w:t>
            </w:r>
          </w:p>
        </w:tc>
        <w:tc>
          <w:tcPr>
            <w:tcW w:w="659" w:type="dxa"/>
            <w:tcBorders>
              <w:top w:val="single" w:sz="4" w:space="0" w:color="auto"/>
              <w:left w:val="single" w:sz="4" w:space="0" w:color="auto"/>
              <w:bottom w:val="single" w:sz="12" w:space="0" w:color="auto"/>
              <w:right w:val="single" w:sz="4" w:space="0" w:color="auto"/>
              <w:tl2br w:val="nil"/>
              <w:tr2bl w:val="nil"/>
            </w:tcBorders>
            <w:shd w:val="clear" w:color="auto" w:fill="606060"/>
            <w:textDirection w:val="lrTb"/>
            <w:vAlign w:val="center"/>
          </w:tcPr>
          <w:p w:rsidR="00ED3557" w:rsidRPr="00415831" w:rsidP="00C362EA">
            <w:pPr>
              <w:spacing w:line="240" w:lineRule="auto"/>
              <w:jc w:val="center"/>
              <w:rPr>
                <w:rFonts w:ascii="Arial Narrow" w:hAnsi="Arial Narrow" w:cs="Times New Roman"/>
                <w:color w:val="FFFFFF"/>
                <w:sz w:val="18"/>
                <w:szCs w:val="18"/>
                <w:lang w:val="cs-CZ"/>
              </w:rPr>
            </w:pPr>
            <w:r w:rsidRPr="00415831">
              <w:rPr>
                <w:rFonts w:ascii="Arial Narrow" w:hAnsi="Arial Narrow" w:cs="Times New Roman"/>
                <w:color w:val="FFFFFF"/>
                <w:sz w:val="18"/>
                <w:szCs w:val="18"/>
                <w:lang w:val="cs-CZ"/>
              </w:rPr>
              <w:t>Verejná služba</w:t>
            </w:r>
          </w:p>
        </w:tc>
        <w:tc>
          <w:tcPr>
            <w:tcW w:w="761" w:type="dxa"/>
            <w:tcBorders>
              <w:top w:val="single" w:sz="4" w:space="0" w:color="auto"/>
              <w:left w:val="single" w:sz="4" w:space="0" w:color="auto"/>
              <w:bottom w:val="single" w:sz="12" w:space="0" w:color="auto"/>
              <w:right w:val="single" w:sz="4" w:space="0" w:color="auto"/>
              <w:tl2br w:val="nil"/>
              <w:tr2bl w:val="nil"/>
            </w:tcBorders>
            <w:shd w:val="clear" w:color="auto" w:fill="606060"/>
            <w:textDirection w:val="lrTb"/>
            <w:vAlign w:val="center"/>
          </w:tcPr>
          <w:p w:rsidR="00ED3557" w:rsidRPr="00415831" w:rsidP="00C362EA">
            <w:pPr>
              <w:spacing w:line="240" w:lineRule="auto"/>
              <w:jc w:val="center"/>
              <w:rPr>
                <w:rFonts w:ascii="Arial Narrow" w:hAnsi="Arial Narrow" w:cs="Times New Roman"/>
                <w:color w:val="FFFFFF"/>
                <w:sz w:val="18"/>
                <w:szCs w:val="18"/>
                <w:lang w:val="cs-CZ"/>
              </w:rPr>
            </w:pPr>
            <w:r w:rsidRPr="00415831">
              <w:rPr>
                <w:rFonts w:ascii="Arial Narrow" w:hAnsi="Arial Narrow" w:cs="Times New Roman"/>
                <w:color w:val="FFFFFF"/>
                <w:sz w:val="18"/>
                <w:szCs w:val="18"/>
                <w:lang w:val="cs-CZ"/>
              </w:rPr>
              <w:t>Spolu</w:t>
            </w:r>
          </w:p>
        </w:tc>
        <w:tc>
          <w:tcPr>
            <w:tcW w:w="670" w:type="dxa"/>
            <w:tcBorders>
              <w:top w:val="single" w:sz="4" w:space="0" w:color="auto"/>
              <w:left w:val="single" w:sz="4" w:space="0" w:color="auto"/>
              <w:bottom w:val="single" w:sz="12" w:space="0" w:color="auto"/>
              <w:right w:val="single" w:sz="12" w:space="0" w:color="auto"/>
              <w:tl2br w:val="nil"/>
              <w:tr2bl w:val="nil"/>
            </w:tcBorders>
            <w:shd w:val="clear" w:color="auto" w:fill="606060"/>
            <w:textDirection w:val="lrTb"/>
            <w:vAlign w:val="center"/>
          </w:tcPr>
          <w:p w:rsidR="00ED3557" w:rsidRPr="00415831" w:rsidP="00C362EA">
            <w:pPr>
              <w:spacing w:line="240" w:lineRule="auto"/>
              <w:jc w:val="center"/>
              <w:rPr>
                <w:rFonts w:ascii="Arial Narrow" w:hAnsi="Arial Narrow" w:cs="Times New Roman"/>
                <w:color w:val="FFFFFF"/>
                <w:sz w:val="18"/>
                <w:szCs w:val="18"/>
                <w:lang w:val="cs-CZ"/>
              </w:rPr>
            </w:pPr>
            <w:r w:rsidRPr="00415831">
              <w:rPr>
                <w:rFonts w:ascii="Arial Narrow" w:hAnsi="Arial Narrow" w:cs="Times New Roman"/>
                <w:color w:val="FFFFFF"/>
                <w:sz w:val="18"/>
                <w:szCs w:val="18"/>
                <w:lang w:val="cs-CZ"/>
              </w:rPr>
              <w:t>Rozdiel</w:t>
            </w:r>
          </w:p>
        </w:tc>
      </w:tr>
      <w:tr>
        <w:tblPrEx>
          <w:tblW w:w="7670" w:type="dxa"/>
          <w:tblInd w:w="790" w:type="dxa"/>
          <w:tblLayout w:type="fixed"/>
          <w:tblCellMar>
            <w:left w:w="70" w:type="dxa"/>
            <w:right w:w="70" w:type="dxa"/>
          </w:tblCellMar>
        </w:tblPrEx>
        <w:trPr>
          <w:trHeight w:hRule="exact" w:val="227"/>
        </w:trPr>
        <w:tc>
          <w:tcPr>
            <w:tcW w:w="1440" w:type="dxa"/>
            <w:tcBorders>
              <w:top w:val="single" w:sz="12" w:space="0" w:color="auto"/>
              <w:left w:val="single" w:sz="12" w:space="0" w:color="auto"/>
              <w:bottom w:val="single" w:sz="4" w:space="0" w:color="auto"/>
              <w:right w:val="single" w:sz="12" w:space="0" w:color="auto"/>
              <w:tl2br w:val="nil"/>
              <w:tr2bl w:val="nil"/>
            </w:tcBorders>
            <w:textDirection w:val="lrTb"/>
            <w:vAlign w:val="center"/>
          </w:tcPr>
          <w:p w:rsidR="00ED3557" w:rsidRPr="005B5B4D" w:rsidP="00C362EA">
            <w:pPr>
              <w:spacing w:line="240" w:lineRule="auto"/>
              <w:rPr>
                <w:rFonts w:ascii="Arial Narrow" w:hAnsi="Arial Narrow" w:cs="Times New Roman"/>
                <w:sz w:val="18"/>
                <w:szCs w:val="18"/>
                <w:lang w:val="cs-CZ"/>
              </w:rPr>
            </w:pPr>
            <w:r w:rsidRPr="005B5B4D">
              <w:rPr>
                <w:rFonts w:ascii="Arial Narrow" w:hAnsi="Arial Narrow" w:cs="Times New Roman"/>
                <w:sz w:val="18"/>
                <w:szCs w:val="18"/>
                <w:lang w:val="cs-CZ"/>
              </w:rPr>
              <w:t>MDPT SR</w:t>
            </w:r>
          </w:p>
        </w:tc>
        <w:tc>
          <w:tcPr>
            <w:tcW w:w="1300" w:type="dxa"/>
            <w:tcBorders>
              <w:top w:val="single" w:sz="12" w:space="0" w:color="auto"/>
              <w:left w:val="single" w:sz="12" w:space="0" w:color="auto"/>
              <w:bottom w:val="single" w:sz="4" w:space="0" w:color="auto"/>
              <w:right w:val="single" w:sz="12" w:space="0" w:color="auto"/>
              <w:tl2br w:val="nil"/>
              <w:tr2bl w:val="nil"/>
            </w:tcBorders>
            <w:textDirection w:val="lrTb"/>
            <w:vAlign w:val="center"/>
          </w:tcPr>
          <w:p w:rsidR="00ED3557" w:rsidRPr="005B5B4D" w:rsidP="00C362EA">
            <w:pPr>
              <w:spacing w:line="240" w:lineRule="auto"/>
              <w:jc w:val="right"/>
              <w:rPr>
                <w:rFonts w:ascii="Arial Narrow" w:hAnsi="Arial Narrow" w:cs="Times New Roman"/>
                <w:sz w:val="16"/>
                <w:szCs w:val="16"/>
                <w:lang w:val="cs-CZ"/>
              </w:rPr>
            </w:pPr>
            <w:r>
              <w:rPr>
                <w:rFonts w:ascii="Arial Narrow" w:hAnsi="Arial Narrow" w:cs="Times New Roman"/>
                <w:sz w:val="16"/>
                <w:szCs w:val="16"/>
                <w:lang w:val="cs-CZ"/>
              </w:rPr>
              <w:t>116 382</w:t>
            </w:r>
          </w:p>
        </w:tc>
        <w:tc>
          <w:tcPr>
            <w:tcW w:w="1220" w:type="dxa"/>
            <w:tcBorders>
              <w:top w:val="single" w:sz="12" w:space="0" w:color="auto"/>
              <w:left w:val="single" w:sz="12" w:space="0" w:color="auto"/>
              <w:bottom w:val="single" w:sz="4" w:space="0" w:color="auto"/>
              <w:right w:val="single" w:sz="12" w:space="0" w:color="auto"/>
              <w:tl2br w:val="nil"/>
              <w:tr2bl w:val="nil"/>
            </w:tcBorders>
            <w:textDirection w:val="lrTb"/>
            <w:vAlign w:val="center"/>
          </w:tcPr>
          <w:p w:rsidR="00ED3557" w:rsidRPr="005B5B4D" w:rsidP="00943C28">
            <w:pPr>
              <w:spacing w:line="240" w:lineRule="auto"/>
              <w:jc w:val="right"/>
              <w:rPr>
                <w:rFonts w:ascii="Arial Narrow" w:hAnsi="Arial Narrow" w:cs="Times New Roman"/>
                <w:sz w:val="16"/>
                <w:szCs w:val="16"/>
                <w:lang w:val="cs-CZ"/>
              </w:rPr>
            </w:pPr>
            <w:r w:rsidRPr="005B5B4D">
              <w:rPr>
                <w:rFonts w:ascii="Arial Narrow" w:hAnsi="Arial Narrow" w:cs="Times New Roman"/>
                <w:sz w:val="16"/>
                <w:szCs w:val="16"/>
                <w:lang w:val="cs-CZ"/>
              </w:rPr>
              <w:t> </w:t>
            </w:r>
            <w:r w:rsidR="00D11D3F">
              <w:rPr>
                <w:rFonts w:ascii="Arial Narrow" w:hAnsi="Arial Narrow" w:cs="Times New Roman"/>
                <w:sz w:val="16"/>
                <w:szCs w:val="16"/>
                <w:lang w:val="cs-CZ"/>
              </w:rPr>
              <w:t>122 996</w:t>
            </w:r>
          </w:p>
          <w:p w:rsidR="00ED3557" w:rsidRPr="005B5B4D" w:rsidP="00943C28">
            <w:pPr>
              <w:spacing w:line="240" w:lineRule="auto"/>
              <w:jc w:val="right"/>
              <w:rPr>
                <w:rFonts w:ascii="Arial Narrow" w:hAnsi="Arial Narrow" w:cs="Times New Roman"/>
                <w:sz w:val="16"/>
                <w:szCs w:val="16"/>
                <w:lang w:val="cs-CZ"/>
              </w:rPr>
            </w:pPr>
            <w:r>
              <w:rPr>
                <w:rFonts w:ascii="Arial Narrow" w:hAnsi="Arial Narrow" w:cs="Times New Roman"/>
                <w:sz w:val="16"/>
                <w:szCs w:val="16"/>
                <w:lang w:val="cs-CZ"/>
              </w:rPr>
              <w:t>122 996</w:t>
            </w:r>
          </w:p>
        </w:tc>
        <w:tc>
          <w:tcPr>
            <w:tcW w:w="632" w:type="dxa"/>
            <w:tcBorders>
              <w:top w:val="single" w:sz="12" w:space="0" w:color="auto"/>
              <w:left w:val="single" w:sz="12" w:space="0" w:color="auto"/>
              <w:bottom w:val="single" w:sz="4" w:space="0" w:color="auto"/>
              <w:right w:val="single" w:sz="4" w:space="0" w:color="auto"/>
              <w:tl2br w:val="nil"/>
              <w:tr2bl w:val="nil"/>
            </w:tcBorders>
            <w:textDirection w:val="lrTb"/>
            <w:vAlign w:val="center"/>
          </w:tcPr>
          <w:p w:rsidR="00ED3557" w:rsidRPr="005B5B4D" w:rsidP="00C362EA">
            <w:pPr>
              <w:spacing w:line="240" w:lineRule="auto"/>
              <w:jc w:val="right"/>
              <w:rPr>
                <w:rFonts w:ascii="Arial Narrow" w:hAnsi="Arial Narrow" w:cs="Times New Roman"/>
                <w:sz w:val="16"/>
                <w:szCs w:val="16"/>
                <w:lang w:val="cs-CZ"/>
              </w:rPr>
            </w:pPr>
            <w:r>
              <w:rPr>
                <w:rFonts w:ascii="Arial Narrow" w:hAnsi="Arial Narrow" w:cs="Times New Roman"/>
                <w:sz w:val="16"/>
                <w:szCs w:val="16"/>
                <w:lang w:val="cs-CZ"/>
              </w:rPr>
              <w:t>108 608</w:t>
            </w:r>
          </w:p>
        </w:tc>
        <w:tc>
          <w:tcPr>
            <w:tcW w:w="988" w:type="dxa"/>
            <w:tcBorders>
              <w:top w:val="single" w:sz="12" w:space="0" w:color="auto"/>
              <w:left w:val="single" w:sz="4" w:space="0" w:color="auto"/>
              <w:bottom w:val="single" w:sz="4" w:space="0" w:color="auto"/>
              <w:right w:val="single" w:sz="4" w:space="0" w:color="auto"/>
              <w:tl2br w:val="nil"/>
              <w:tr2bl w:val="nil"/>
            </w:tcBorders>
            <w:textDirection w:val="lrTb"/>
            <w:vAlign w:val="center"/>
          </w:tcPr>
          <w:p w:rsidR="00ED3557" w:rsidRPr="005B5B4D" w:rsidP="00C362EA">
            <w:pPr>
              <w:spacing w:line="240" w:lineRule="auto"/>
              <w:jc w:val="center"/>
              <w:rPr>
                <w:rFonts w:ascii="Arial Narrow" w:hAnsi="Arial Narrow" w:cs="Times New Roman"/>
                <w:sz w:val="16"/>
                <w:szCs w:val="16"/>
                <w:lang w:val="cs-CZ"/>
              </w:rPr>
            </w:pPr>
            <w:r w:rsidRPr="005B5B4D">
              <w:rPr>
                <w:rFonts w:ascii="Arial Narrow" w:hAnsi="Arial Narrow" w:cs="Times New Roman"/>
                <w:sz w:val="16"/>
                <w:szCs w:val="16"/>
                <w:lang w:val="cs-CZ"/>
              </w:rPr>
              <w:t> </w:t>
            </w:r>
          </w:p>
        </w:tc>
        <w:tc>
          <w:tcPr>
            <w:tcW w:w="659" w:type="dxa"/>
            <w:tcBorders>
              <w:top w:val="single" w:sz="12" w:space="0" w:color="auto"/>
              <w:left w:val="single" w:sz="4" w:space="0" w:color="auto"/>
              <w:bottom w:val="single" w:sz="4" w:space="0" w:color="auto"/>
              <w:right w:val="single" w:sz="4" w:space="0" w:color="auto"/>
              <w:tl2br w:val="nil"/>
              <w:tr2bl w:val="nil"/>
            </w:tcBorders>
            <w:textDirection w:val="lrTb"/>
            <w:vAlign w:val="center"/>
          </w:tcPr>
          <w:p w:rsidR="00ED3557" w:rsidRPr="005B5B4D" w:rsidP="00C362EA">
            <w:pPr>
              <w:spacing w:line="240" w:lineRule="auto"/>
              <w:jc w:val="right"/>
              <w:rPr>
                <w:rFonts w:ascii="Arial Narrow" w:hAnsi="Arial Narrow" w:cs="Times New Roman"/>
                <w:sz w:val="16"/>
                <w:szCs w:val="16"/>
                <w:lang w:val="cs-CZ"/>
              </w:rPr>
            </w:pPr>
            <w:r>
              <w:rPr>
                <w:rFonts w:ascii="Arial Narrow" w:hAnsi="Arial Narrow" w:cs="Times New Roman"/>
                <w:sz w:val="16"/>
                <w:szCs w:val="16"/>
                <w:lang w:val="cs-CZ"/>
              </w:rPr>
              <w:t>14 163</w:t>
            </w:r>
          </w:p>
        </w:tc>
        <w:tc>
          <w:tcPr>
            <w:tcW w:w="761" w:type="dxa"/>
            <w:tcBorders>
              <w:top w:val="single" w:sz="12" w:space="0" w:color="auto"/>
              <w:left w:val="single" w:sz="4" w:space="0" w:color="auto"/>
              <w:bottom w:val="single" w:sz="4" w:space="0" w:color="auto"/>
              <w:right w:val="single" w:sz="4" w:space="0" w:color="auto"/>
              <w:tl2br w:val="nil"/>
              <w:tr2bl w:val="nil"/>
            </w:tcBorders>
            <w:textDirection w:val="lrTb"/>
            <w:vAlign w:val="center"/>
          </w:tcPr>
          <w:p w:rsidR="00ED3557" w:rsidRPr="005B5B4D" w:rsidP="00C362EA">
            <w:pPr>
              <w:spacing w:line="240" w:lineRule="auto"/>
              <w:jc w:val="right"/>
              <w:rPr>
                <w:rFonts w:ascii="Arial Narrow" w:hAnsi="Arial Narrow" w:cs="Times New Roman"/>
                <w:sz w:val="16"/>
                <w:szCs w:val="16"/>
                <w:lang w:val="cs-CZ"/>
              </w:rPr>
            </w:pPr>
            <w:r>
              <w:rPr>
                <w:rFonts w:ascii="Arial Narrow" w:hAnsi="Arial Narrow" w:cs="Times New Roman"/>
                <w:sz w:val="16"/>
                <w:szCs w:val="16"/>
                <w:lang w:val="cs-CZ"/>
              </w:rPr>
              <w:t>122 771</w:t>
            </w:r>
          </w:p>
        </w:tc>
        <w:tc>
          <w:tcPr>
            <w:tcW w:w="670" w:type="dxa"/>
            <w:tcBorders>
              <w:top w:val="single" w:sz="12" w:space="0" w:color="auto"/>
              <w:left w:val="single" w:sz="4" w:space="0" w:color="auto"/>
              <w:bottom w:val="single" w:sz="4" w:space="0" w:color="auto"/>
              <w:right w:val="single" w:sz="12" w:space="0" w:color="auto"/>
              <w:tl2br w:val="nil"/>
              <w:tr2bl w:val="nil"/>
            </w:tcBorders>
            <w:noWrap/>
            <w:textDirection w:val="lrTb"/>
            <w:vAlign w:val="center"/>
          </w:tcPr>
          <w:p w:rsidR="00ED3557" w:rsidRPr="005B5B4D" w:rsidP="00C362EA">
            <w:pPr>
              <w:spacing w:line="240" w:lineRule="auto"/>
              <w:jc w:val="right"/>
              <w:rPr>
                <w:rFonts w:ascii="Arial Narrow" w:hAnsi="Arial Narrow" w:cs="Times New Roman"/>
                <w:sz w:val="16"/>
                <w:szCs w:val="16"/>
                <w:lang w:val="cs-CZ"/>
              </w:rPr>
            </w:pPr>
            <w:r>
              <w:rPr>
                <w:rFonts w:ascii="Arial Narrow" w:hAnsi="Arial Narrow" w:cs="Times New Roman"/>
                <w:sz w:val="16"/>
                <w:szCs w:val="16"/>
                <w:lang w:val="cs-CZ"/>
              </w:rPr>
              <w:t>225</w:t>
            </w:r>
          </w:p>
        </w:tc>
      </w:tr>
      <w:tr>
        <w:tblPrEx>
          <w:tblW w:w="7670" w:type="dxa"/>
          <w:tblInd w:w="790" w:type="dxa"/>
          <w:tblLayout w:type="fixed"/>
          <w:tblCellMar>
            <w:left w:w="70" w:type="dxa"/>
            <w:right w:w="70" w:type="dxa"/>
          </w:tblCellMar>
        </w:tblPrEx>
        <w:trPr>
          <w:trHeight w:hRule="exact" w:val="227"/>
        </w:trPr>
        <w:tc>
          <w:tcPr>
            <w:tcW w:w="1440" w:type="dxa"/>
            <w:tcBorders>
              <w:top w:val="single" w:sz="4" w:space="0" w:color="auto"/>
              <w:left w:val="single" w:sz="12" w:space="0" w:color="auto"/>
              <w:bottom w:val="single" w:sz="4" w:space="0" w:color="auto"/>
              <w:right w:val="single" w:sz="12" w:space="0" w:color="auto"/>
              <w:tl2br w:val="nil"/>
              <w:tr2bl w:val="nil"/>
            </w:tcBorders>
            <w:textDirection w:val="lrTb"/>
            <w:vAlign w:val="center"/>
          </w:tcPr>
          <w:p w:rsidR="00ED3557" w:rsidRPr="005B5B4D" w:rsidP="00C362EA">
            <w:pPr>
              <w:spacing w:line="240" w:lineRule="auto"/>
              <w:rPr>
                <w:rFonts w:ascii="Arial Narrow" w:hAnsi="Arial Narrow" w:cs="Times New Roman"/>
                <w:sz w:val="18"/>
                <w:szCs w:val="18"/>
                <w:lang w:val="cs-CZ"/>
              </w:rPr>
            </w:pPr>
            <w:r w:rsidRPr="005B5B4D">
              <w:rPr>
                <w:rFonts w:ascii="Arial Narrow" w:hAnsi="Arial Narrow" w:cs="Times New Roman"/>
                <w:sz w:val="18"/>
                <w:szCs w:val="18"/>
                <w:lang w:val="cs-CZ"/>
              </w:rPr>
              <w:t>ÚRŽD</w:t>
            </w:r>
          </w:p>
        </w:tc>
        <w:tc>
          <w:tcPr>
            <w:tcW w:w="1300" w:type="dxa"/>
            <w:tcBorders>
              <w:top w:val="single" w:sz="4" w:space="0" w:color="auto"/>
              <w:left w:val="single" w:sz="12" w:space="0" w:color="auto"/>
              <w:bottom w:val="single" w:sz="4" w:space="0" w:color="auto"/>
              <w:right w:val="single" w:sz="12" w:space="0" w:color="auto"/>
              <w:tl2br w:val="nil"/>
              <w:tr2bl w:val="nil"/>
            </w:tcBorders>
            <w:textDirection w:val="lrTb"/>
            <w:vAlign w:val="center"/>
          </w:tcPr>
          <w:p w:rsidR="00ED3557" w:rsidRPr="005B5B4D" w:rsidP="00C362EA">
            <w:pPr>
              <w:spacing w:line="240" w:lineRule="auto"/>
              <w:jc w:val="right"/>
              <w:rPr>
                <w:rFonts w:ascii="Arial Narrow" w:hAnsi="Arial Narrow" w:cs="Times New Roman"/>
                <w:sz w:val="16"/>
                <w:szCs w:val="16"/>
                <w:lang w:val="cs-CZ"/>
              </w:rPr>
            </w:pPr>
            <w:r>
              <w:rPr>
                <w:rFonts w:ascii="Arial Narrow" w:hAnsi="Arial Narrow" w:cs="Times New Roman"/>
                <w:sz w:val="16"/>
                <w:szCs w:val="16"/>
                <w:lang w:val="cs-CZ"/>
              </w:rPr>
              <w:t>24 804</w:t>
            </w:r>
          </w:p>
        </w:tc>
        <w:tc>
          <w:tcPr>
            <w:tcW w:w="1220" w:type="dxa"/>
            <w:tcBorders>
              <w:top w:val="single" w:sz="4" w:space="0" w:color="auto"/>
              <w:left w:val="single" w:sz="12" w:space="0" w:color="auto"/>
              <w:bottom w:val="single" w:sz="4" w:space="0" w:color="auto"/>
              <w:right w:val="single" w:sz="12" w:space="0" w:color="auto"/>
              <w:tl2br w:val="nil"/>
              <w:tr2bl w:val="nil"/>
            </w:tcBorders>
            <w:textDirection w:val="lrTb"/>
            <w:vAlign w:val="center"/>
          </w:tcPr>
          <w:p w:rsidR="00ED3557" w:rsidRPr="005B5B4D" w:rsidP="00943C28">
            <w:pPr>
              <w:spacing w:line="240" w:lineRule="auto"/>
              <w:jc w:val="right"/>
              <w:rPr>
                <w:rFonts w:ascii="Arial Narrow" w:hAnsi="Arial Narrow" w:cs="Times New Roman"/>
                <w:sz w:val="16"/>
                <w:szCs w:val="16"/>
                <w:lang w:val="cs-CZ"/>
              </w:rPr>
            </w:pPr>
            <w:r w:rsidRPr="005B5B4D">
              <w:rPr>
                <w:rFonts w:ascii="Arial Narrow" w:hAnsi="Arial Narrow" w:cs="Times New Roman"/>
                <w:sz w:val="16"/>
                <w:szCs w:val="16"/>
                <w:lang w:val="cs-CZ"/>
              </w:rPr>
              <w:t> </w:t>
            </w:r>
            <w:r w:rsidR="00943C28">
              <w:rPr>
                <w:rFonts w:ascii="Arial Narrow" w:hAnsi="Arial Narrow" w:cs="Times New Roman"/>
                <w:sz w:val="16"/>
                <w:szCs w:val="16"/>
                <w:lang w:val="cs-CZ"/>
              </w:rPr>
              <w:t>22 300</w:t>
            </w:r>
          </w:p>
          <w:p w:rsidR="00ED3557" w:rsidRPr="005B5B4D" w:rsidP="00943C28">
            <w:pPr>
              <w:spacing w:line="240" w:lineRule="auto"/>
              <w:jc w:val="right"/>
              <w:rPr>
                <w:rFonts w:ascii="Arial Narrow" w:hAnsi="Arial Narrow" w:cs="Times New Roman"/>
                <w:sz w:val="16"/>
                <w:szCs w:val="16"/>
                <w:lang w:val="cs-CZ"/>
              </w:rPr>
            </w:pPr>
            <w:r>
              <w:rPr>
                <w:rFonts w:ascii="Arial Narrow" w:hAnsi="Arial Narrow" w:cs="Times New Roman"/>
                <w:sz w:val="16"/>
                <w:szCs w:val="16"/>
                <w:lang w:val="cs-CZ"/>
              </w:rPr>
              <w:t>22 300</w:t>
            </w:r>
          </w:p>
        </w:tc>
        <w:tc>
          <w:tcPr>
            <w:tcW w:w="632" w:type="dxa"/>
            <w:tcBorders>
              <w:top w:val="single" w:sz="4" w:space="0" w:color="auto"/>
              <w:left w:val="single" w:sz="12" w:space="0" w:color="auto"/>
              <w:bottom w:val="single" w:sz="4" w:space="0" w:color="auto"/>
              <w:right w:val="single" w:sz="4" w:space="0" w:color="auto"/>
              <w:tl2br w:val="nil"/>
              <w:tr2bl w:val="nil"/>
            </w:tcBorders>
            <w:textDirection w:val="lrTb"/>
            <w:vAlign w:val="center"/>
          </w:tcPr>
          <w:p w:rsidR="00ED3557" w:rsidRPr="005B5B4D" w:rsidP="00C362EA">
            <w:pPr>
              <w:spacing w:line="240" w:lineRule="auto"/>
              <w:jc w:val="right"/>
              <w:rPr>
                <w:rFonts w:ascii="Arial Narrow" w:hAnsi="Arial Narrow" w:cs="Times New Roman"/>
                <w:sz w:val="16"/>
                <w:szCs w:val="16"/>
                <w:lang w:val="cs-CZ"/>
              </w:rPr>
            </w:pPr>
            <w:r>
              <w:rPr>
                <w:rFonts w:ascii="Arial Narrow" w:hAnsi="Arial Narrow" w:cs="Times New Roman"/>
                <w:sz w:val="16"/>
                <w:szCs w:val="16"/>
                <w:lang w:val="cs-CZ"/>
              </w:rPr>
              <w:t>21 130</w:t>
            </w:r>
          </w:p>
        </w:tc>
        <w:tc>
          <w:tcPr>
            <w:tcW w:w="988"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ED3557" w:rsidRPr="005B5B4D" w:rsidP="00C362EA">
            <w:pPr>
              <w:spacing w:line="240" w:lineRule="auto"/>
              <w:rPr>
                <w:rFonts w:ascii="Arial Narrow" w:hAnsi="Arial Narrow" w:cs="Times New Roman"/>
                <w:sz w:val="16"/>
                <w:szCs w:val="16"/>
                <w:lang w:val="cs-CZ"/>
              </w:rPr>
            </w:pPr>
            <w:r w:rsidRPr="005B5B4D">
              <w:rPr>
                <w:rFonts w:ascii="Arial Narrow" w:hAnsi="Arial Narrow" w:cs="Times New Roman"/>
                <w:sz w:val="16"/>
                <w:szCs w:val="16"/>
                <w:lang w:val="cs-CZ"/>
              </w:rPr>
              <w:t> </w:t>
            </w:r>
          </w:p>
        </w:tc>
        <w:tc>
          <w:tcPr>
            <w:tcW w:w="659"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ED3557" w:rsidRPr="005B5B4D" w:rsidP="00C362EA">
            <w:pPr>
              <w:spacing w:line="240" w:lineRule="auto"/>
              <w:jc w:val="right"/>
              <w:rPr>
                <w:rFonts w:ascii="Arial Narrow" w:hAnsi="Arial Narrow" w:cs="Times New Roman"/>
                <w:sz w:val="16"/>
                <w:szCs w:val="16"/>
                <w:lang w:val="cs-CZ"/>
              </w:rPr>
            </w:pPr>
            <w:r>
              <w:rPr>
                <w:rFonts w:ascii="Arial Narrow" w:hAnsi="Arial Narrow" w:cs="Times New Roman"/>
                <w:sz w:val="16"/>
                <w:szCs w:val="16"/>
                <w:lang w:val="cs-CZ"/>
              </w:rPr>
              <w:t>1 131</w:t>
            </w:r>
          </w:p>
        </w:tc>
        <w:tc>
          <w:tcPr>
            <w:tcW w:w="761"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ED3557" w:rsidRPr="005B5B4D" w:rsidP="00C362EA">
            <w:pPr>
              <w:spacing w:line="240" w:lineRule="auto"/>
              <w:jc w:val="right"/>
              <w:rPr>
                <w:rFonts w:ascii="Arial Narrow" w:hAnsi="Arial Narrow" w:cs="Times New Roman"/>
                <w:sz w:val="16"/>
                <w:szCs w:val="16"/>
                <w:lang w:val="cs-CZ"/>
              </w:rPr>
            </w:pPr>
            <w:r>
              <w:rPr>
                <w:rFonts w:ascii="Arial Narrow" w:hAnsi="Arial Narrow" w:cs="Times New Roman"/>
                <w:sz w:val="16"/>
                <w:szCs w:val="16"/>
                <w:lang w:val="cs-CZ"/>
              </w:rPr>
              <w:t>22 261</w:t>
            </w:r>
          </w:p>
        </w:tc>
        <w:tc>
          <w:tcPr>
            <w:tcW w:w="670" w:type="dxa"/>
            <w:tcBorders>
              <w:top w:val="single" w:sz="4" w:space="0" w:color="auto"/>
              <w:left w:val="single" w:sz="4" w:space="0" w:color="auto"/>
              <w:bottom w:val="single" w:sz="4" w:space="0" w:color="auto"/>
              <w:right w:val="single" w:sz="12" w:space="0" w:color="auto"/>
              <w:tl2br w:val="nil"/>
              <w:tr2bl w:val="nil"/>
            </w:tcBorders>
            <w:noWrap/>
            <w:textDirection w:val="lrTb"/>
            <w:vAlign w:val="center"/>
          </w:tcPr>
          <w:p w:rsidR="00ED3557" w:rsidRPr="005B5B4D" w:rsidP="00C362EA">
            <w:pPr>
              <w:spacing w:line="240" w:lineRule="auto"/>
              <w:jc w:val="right"/>
              <w:rPr>
                <w:rFonts w:ascii="Arial Narrow" w:hAnsi="Arial Narrow" w:cs="Times New Roman"/>
                <w:sz w:val="16"/>
                <w:szCs w:val="16"/>
                <w:lang w:val="cs-CZ"/>
              </w:rPr>
            </w:pPr>
            <w:r>
              <w:rPr>
                <w:rFonts w:ascii="Arial Narrow" w:hAnsi="Arial Narrow" w:cs="Times New Roman"/>
                <w:sz w:val="16"/>
                <w:szCs w:val="16"/>
                <w:lang w:val="cs-CZ"/>
              </w:rPr>
              <w:t>39</w:t>
            </w:r>
          </w:p>
        </w:tc>
      </w:tr>
      <w:tr>
        <w:tblPrEx>
          <w:tblW w:w="7670" w:type="dxa"/>
          <w:tblInd w:w="790" w:type="dxa"/>
          <w:tblLayout w:type="fixed"/>
          <w:tblCellMar>
            <w:left w:w="70" w:type="dxa"/>
            <w:right w:w="70" w:type="dxa"/>
          </w:tblCellMar>
        </w:tblPrEx>
        <w:trPr>
          <w:trHeight w:hRule="exact" w:val="227"/>
        </w:trPr>
        <w:tc>
          <w:tcPr>
            <w:tcW w:w="1440" w:type="dxa"/>
            <w:tcBorders>
              <w:top w:val="single" w:sz="4" w:space="0" w:color="auto"/>
              <w:left w:val="single" w:sz="12" w:space="0" w:color="auto"/>
              <w:bottom w:val="single" w:sz="4" w:space="0" w:color="auto"/>
              <w:right w:val="single" w:sz="12" w:space="0" w:color="auto"/>
              <w:tl2br w:val="nil"/>
              <w:tr2bl w:val="nil"/>
            </w:tcBorders>
            <w:textDirection w:val="lrTb"/>
            <w:vAlign w:val="center"/>
          </w:tcPr>
          <w:p w:rsidR="00ED3557" w:rsidRPr="005B5B4D" w:rsidP="00C362EA">
            <w:pPr>
              <w:spacing w:line="240" w:lineRule="auto"/>
              <w:rPr>
                <w:rFonts w:ascii="Arial Narrow" w:hAnsi="Arial Narrow" w:cs="Times New Roman"/>
                <w:sz w:val="18"/>
                <w:szCs w:val="18"/>
                <w:lang w:val="cs-CZ"/>
              </w:rPr>
            </w:pPr>
            <w:r w:rsidRPr="005B5B4D">
              <w:rPr>
                <w:rFonts w:ascii="Arial Narrow" w:hAnsi="Arial Narrow" w:cs="Times New Roman"/>
                <w:sz w:val="18"/>
                <w:szCs w:val="18"/>
                <w:lang w:val="cs-CZ"/>
              </w:rPr>
              <w:t>ŠPS</w:t>
            </w:r>
          </w:p>
        </w:tc>
        <w:tc>
          <w:tcPr>
            <w:tcW w:w="1300" w:type="dxa"/>
            <w:tcBorders>
              <w:top w:val="single" w:sz="4" w:space="0" w:color="auto"/>
              <w:left w:val="single" w:sz="12" w:space="0" w:color="auto"/>
              <w:bottom w:val="single" w:sz="4" w:space="0" w:color="auto"/>
              <w:right w:val="single" w:sz="12" w:space="0" w:color="auto"/>
              <w:tl2br w:val="nil"/>
              <w:tr2bl w:val="nil"/>
            </w:tcBorders>
            <w:textDirection w:val="lrTb"/>
            <w:vAlign w:val="center"/>
          </w:tcPr>
          <w:p w:rsidR="00ED3557" w:rsidRPr="005B5B4D" w:rsidP="00C362EA">
            <w:pPr>
              <w:spacing w:line="240" w:lineRule="auto"/>
              <w:jc w:val="right"/>
              <w:rPr>
                <w:rFonts w:ascii="Arial Narrow" w:hAnsi="Arial Narrow" w:cs="Times New Roman"/>
                <w:sz w:val="16"/>
                <w:szCs w:val="16"/>
                <w:lang w:val="cs-CZ"/>
              </w:rPr>
            </w:pPr>
            <w:r>
              <w:rPr>
                <w:rFonts w:ascii="Arial Narrow" w:hAnsi="Arial Narrow" w:cs="Times New Roman"/>
                <w:sz w:val="16"/>
                <w:szCs w:val="16"/>
                <w:lang w:val="cs-CZ"/>
              </w:rPr>
              <w:t>19 317</w:t>
            </w:r>
          </w:p>
        </w:tc>
        <w:tc>
          <w:tcPr>
            <w:tcW w:w="1220" w:type="dxa"/>
            <w:tcBorders>
              <w:top w:val="single" w:sz="4" w:space="0" w:color="auto"/>
              <w:left w:val="single" w:sz="12" w:space="0" w:color="auto"/>
              <w:bottom w:val="single" w:sz="4" w:space="0" w:color="auto"/>
              <w:right w:val="single" w:sz="12" w:space="0" w:color="auto"/>
              <w:tl2br w:val="nil"/>
              <w:tr2bl w:val="nil"/>
            </w:tcBorders>
            <w:textDirection w:val="lrTb"/>
            <w:vAlign w:val="center"/>
          </w:tcPr>
          <w:p w:rsidR="00ED3557" w:rsidRPr="005B5B4D" w:rsidP="00943C28">
            <w:pPr>
              <w:spacing w:line="240" w:lineRule="auto"/>
              <w:jc w:val="right"/>
              <w:rPr>
                <w:rFonts w:ascii="Arial Narrow" w:hAnsi="Arial Narrow" w:cs="Times New Roman"/>
                <w:sz w:val="16"/>
                <w:szCs w:val="16"/>
                <w:lang w:val="cs-CZ"/>
              </w:rPr>
            </w:pPr>
            <w:r w:rsidRPr="005B5B4D">
              <w:rPr>
                <w:rFonts w:ascii="Arial Narrow" w:hAnsi="Arial Narrow" w:cs="Times New Roman"/>
                <w:sz w:val="16"/>
                <w:szCs w:val="16"/>
                <w:lang w:val="cs-CZ"/>
              </w:rPr>
              <w:t> </w:t>
            </w:r>
            <w:r w:rsidR="00943C28">
              <w:rPr>
                <w:rFonts w:ascii="Arial Narrow" w:hAnsi="Arial Narrow" w:cs="Times New Roman"/>
                <w:sz w:val="16"/>
                <w:szCs w:val="16"/>
                <w:lang w:val="cs-CZ"/>
              </w:rPr>
              <w:t>19 819</w:t>
            </w:r>
          </w:p>
          <w:p w:rsidR="00ED3557" w:rsidRPr="005B5B4D" w:rsidP="00943C28">
            <w:pPr>
              <w:spacing w:line="240" w:lineRule="auto"/>
              <w:jc w:val="right"/>
              <w:rPr>
                <w:rFonts w:ascii="Arial Narrow" w:hAnsi="Arial Narrow" w:cs="Times New Roman"/>
                <w:sz w:val="16"/>
                <w:szCs w:val="16"/>
                <w:lang w:val="cs-CZ"/>
              </w:rPr>
            </w:pPr>
            <w:r>
              <w:rPr>
                <w:rFonts w:ascii="Arial Narrow" w:hAnsi="Arial Narrow" w:cs="Times New Roman"/>
                <w:sz w:val="16"/>
                <w:szCs w:val="16"/>
                <w:lang w:val="cs-CZ"/>
              </w:rPr>
              <w:t>19 819</w:t>
            </w:r>
          </w:p>
        </w:tc>
        <w:tc>
          <w:tcPr>
            <w:tcW w:w="632" w:type="dxa"/>
            <w:tcBorders>
              <w:top w:val="single" w:sz="4" w:space="0" w:color="auto"/>
              <w:left w:val="single" w:sz="12" w:space="0" w:color="auto"/>
              <w:bottom w:val="single" w:sz="4" w:space="0" w:color="auto"/>
              <w:right w:val="single" w:sz="4" w:space="0" w:color="auto"/>
              <w:tl2br w:val="nil"/>
              <w:tr2bl w:val="nil"/>
            </w:tcBorders>
            <w:textDirection w:val="lrTb"/>
            <w:vAlign w:val="center"/>
          </w:tcPr>
          <w:p w:rsidR="00ED3557" w:rsidRPr="005B5B4D" w:rsidP="00C362EA">
            <w:pPr>
              <w:spacing w:line="240" w:lineRule="auto"/>
              <w:jc w:val="right"/>
              <w:rPr>
                <w:rFonts w:ascii="Arial Narrow" w:hAnsi="Arial Narrow" w:cs="Times New Roman"/>
                <w:sz w:val="16"/>
                <w:szCs w:val="16"/>
                <w:lang w:val="cs-CZ"/>
              </w:rPr>
            </w:pPr>
            <w:r>
              <w:rPr>
                <w:rFonts w:ascii="Arial Narrow" w:hAnsi="Arial Narrow" w:cs="Times New Roman"/>
                <w:sz w:val="16"/>
                <w:szCs w:val="16"/>
                <w:lang w:val="cs-CZ"/>
              </w:rPr>
              <w:t>16 836</w:t>
            </w:r>
          </w:p>
        </w:tc>
        <w:tc>
          <w:tcPr>
            <w:tcW w:w="988"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ED3557" w:rsidRPr="005B5B4D" w:rsidP="00C362EA">
            <w:pPr>
              <w:spacing w:line="240" w:lineRule="auto"/>
              <w:rPr>
                <w:rFonts w:ascii="Arial Narrow" w:hAnsi="Arial Narrow" w:cs="Times New Roman"/>
                <w:sz w:val="16"/>
                <w:szCs w:val="16"/>
                <w:lang w:val="cs-CZ"/>
              </w:rPr>
            </w:pPr>
            <w:r w:rsidRPr="005B5B4D">
              <w:rPr>
                <w:rFonts w:ascii="Arial Narrow" w:hAnsi="Arial Narrow" w:cs="Times New Roman"/>
                <w:sz w:val="16"/>
                <w:szCs w:val="16"/>
                <w:lang w:val="cs-CZ"/>
              </w:rPr>
              <w:t> </w:t>
            </w:r>
          </w:p>
        </w:tc>
        <w:tc>
          <w:tcPr>
            <w:tcW w:w="659"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ED3557" w:rsidRPr="005B5B4D" w:rsidP="00C362EA">
            <w:pPr>
              <w:spacing w:line="240" w:lineRule="auto"/>
              <w:jc w:val="right"/>
              <w:rPr>
                <w:rFonts w:ascii="Arial Narrow" w:hAnsi="Arial Narrow" w:cs="Times New Roman"/>
                <w:sz w:val="16"/>
                <w:szCs w:val="16"/>
                <w:lang w:val="cs-CZ"/>
              </w:rPr>
            </w:pPr>
            <w:r>
              <w:rPr>
                <w:rFonts w:ascii="Arial Narrow" w:hAnsi="Arial Narrow" w:cs="Times New Roman"/>
                <w:sz w:val="16"/>
                <w:szCs w:val="16"/>
                <w:lang w:val="cs-CZ"/>
              </w:rPr>
              <w:t>2 983</w:t>
            </w:r>
          </w:p>
        </w:tc>
        <w:tc>
          <w:tcPr>
            <w:tcW w:w="761"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ED3557" w:rsidRPr="005B5B4D" w:rsidP="00C362EA">
            <w:pPr>
              <w:spacing w:line="240" w:lineRule="auto"/>
              <w:jc w:val="right"/>
              <w:rPr>
                <w:rFonts w:ascii="Arial Narrow" w:hAnsi="Arial Narrow" w:cs="Times New Roman"/>
                <w:sz w:val="16"/>
                <w:szCs w:val="16"/>
                <w:lang w:val="cs-CZ"/>
              </w:rPr>
            </w:pPr>
            <w:r>
              <w:rPr>
                <w:rFonts w:ascii="Arial Narrow" w:hAnsi="Arial Narrow" w:cs="Times New Roman"/>
                <w:sz w:val="16"/>
                <w:szCs w:val="16"/>
                <w:lang w:val="cs-CZ"/>
              </w:rPr>
              <w:t>19 819</w:t>
            </w:r>
          </w:p>
        </w:tc>
        <w:tc>
          <w:tcPr>
            <w:tcW w:w="670" w:type="dxa"/>
            <w:tcBorders>
              <w:top w:val="single" w:sz="4" w:space="0" w:color="auto"/>
              <w:left w:val="single" w:sz="4" w:space="0" w:color="auto"/>
              <w:bottom w:val="single" w:sz="4" w:space="0" w:color="auto"/>
              <w:right w:val="single" w:sz="12" w:space="0" w:color="auto"/>
              <w:tl2br w:val="nil"/>
              <w:tr2bl w:val="nil"/>
            </w:tcBorders>
            <w:noWrap/>
            <w:textDirection w:val="lrTb"/>
            <w:vAlign w:val="center"/>
          </w:tcPr>
          <w:p w:rsidR="00ED3557" w:rsidRPr="005B5B4D" w:rsidP="00C362EA">
            <w:pPr>
              <w:spacing w:line="240" w:lineRule="auto"/>
              <w:jc w:val="right"/>
              <w:rPr>
                <w:rFonts w:ascii="Arial Narrow" w:hAnsi="Arial Narrow" w:cs="Times New Roman"/>
                <w:sz w:val="16"/>
                <w:szCs w:val="16"/>
                <w:lang w:val="cs-CZ"/>
              </w:rPr>
            </w:pPr>
            <w:r w:rsidRPr="005B5B4D">
              <w:rPr>
                <w:rFonts w:ascii="Arial Narrow" w:hAnsi="Arial Narrow" w:cs="Times New Roman"/>
                <w:sz w:val="16"/>
                <w:szCs w:val="16"/>
                <w:lang w:val="cs-CZ"/>
              </w:rPr>
              <w:t>0</w:t>
            </w:r>
          </w:p>
        </w:tc>
      </w:tr>
      <w:tr>
        <w:tblPrEx>
          <w:tblW w:w="7670" w:type="dxa"/>
          <w:tblInd w:w="790" w:type="dxa"/>
          <w:tblLayout w:type="fixed"/>
          <w:tblCellMar>
            <w:left w:w="70" w:type="dxa"/>
            <w:right w:w="70" w:type="dxa"/>
          </w:tblCellMar>
        </w:tblPrEx>
        <w:trPr>
          <w:trHeight w:hRule="exact" w:val="227"/>
        </w:trPr>
        <w:tc>
          <w:tcPr>
            <w:tcW w:w="1440" w:type="dxa"/>
            <w:tcBorders>
              <w:top w:val="single" w:sz="4" w:space="0" w:color="auto"/>
              <w:left w:val="single" w:sz="12" w:space="0" w:color="auto"/>
              <w:bottom w:val="single" w:sz="4" w:space="0" w:color="auto"/>
              <w:right w:val="single" w:sz="12" w:space="0" w:color="auto"/>
              <w:tl2br w:val="nil"/>
              <w:tr2bl w:val="nil"/>
            </w:tcBorders>
            <w:textDirection w:val="lrTb"/>
            <w:vAlign w:val="center"/>
          </w:tcPr>
          <w:p w:rsidR="00ED3557" w:rsidRPr="005B5B4D" w:rsidP="00C362EA">
            <w:pPr>
              <w:spacing w:line="240" w:lineRule="auto"/>
              <w:rPr>
                <w:rFonts w:ascii="Arial Narrow" w:hAnsi="Arial Narrow" w:cs="Times New Roman"/>
                <w:sz w:val="18"/>
                <w:szCs w:val="18"/>
                <w:lang w:val="cs-CZ"/>
              </w:rPr>
            </w:pPr>
            <w:r w:rsidRPr="005B5B4D">
              <w:rPr>
                <w:rFonts w:ascii="Arial Narrow" w:hAnsi="Arial Narrow" w:cs="Times New Roman"/>
                <w:sz w:val="18"/>
                <w:szCs w:val="18"/>
                <w:lang w:val="cs-CZ"/>
              </w:rPr>
              <w:t>LÚ SR</w:t>
            </w:r>
          </w:p>
        </w:tc>
        <w:tc>
          <w:tcPr>
            <w:tcW w:w="1300" w:type="dxa"/>
            <w:tcBorders>
              <w:top w:val="single" w:sz="4" w:space="0" w:color="auto"/>
              <w:left w:val="single" w:sz="12" w:space="0" w:color="auto"/>
              <w:bottom w:val="single" w:sz="4" w:space="0" w:color="auto"/>
              <w:right w:val="single" w:sz="12" w:space="0" w:color="auto"/>
              <w:tl2br w:val="nil"/>
              <w:tr2bl w:val="nil"/>
            </w:tcBorders>
            <w:textDirection w:val="lrTb"/>
            <w:vAlign w:val="center"/>
          </w:tcPr>
          <w:p w:rsidR="00ED3557" w:rsidRPr="005B5B4D" w:rsidP="00C362EA">
            <w:pPr>
              <w:spacing w:line="240" w:lineRule="auto"/>
              <w:jc w:val="right"/>
              <w:rPr>
                <w:rFonts w:ascii="Arial Narrow" w:hAnsi="Arial Narrow" w:cs="Times New Roman"/>
                <w:sz w:val="16"/>
                <w:szCs w:val="16"/>
                <w:lang w:val="cs-CZ"/>
              </w:rPr>
            </w:pPr>
            <w:r>
              <w:rPr>
                <w:rFonts w:ascii="Arial Narrow" w:hAnsi="Arial Narrow" w:cs="Times New Roman"/>
                <w:sz w:val="16"/>
                <w:szCs w:val="16"/>
                <w:lang w:val="cs-CZ"/>
              </w:rPr>
              <w:t>22 764</w:t>
            </w:r>
          </w:p>
        </w:tc>
        <w:tc>
          <w:tcPr>
            <w:tcW w:w="1220" w:type="dxa"/>
            <w:tcBorders>
              <w:top w:val="single" w:sz="4" w:space="0" w:color="auto"/>
              <w:left w:val="single" w:sz="12" w:space="0" w:color="auto"/>
              <w:bottom w:val="single" w:sz="4" w:space="0" w:color="auto"/>
              <w:right w:val="single" w:sz="12" w:space="0" w:color="auto"/>
              <w:tl2br w:val="nil"/>
              <w:tr2bl w:val="nil"/>
            </w:tcBorders>
            <w:textDirection w:val="lrTb"/>
            <w:vAlign w:val="center"/>
          </w:tcPr>
          <w:p w:rsidR="00ED3557" w:rsidRPr="005B5B4D" w:rsidP="00943C28">
            <w:pPr>
              <w:spacing w:line="240" w:lineRule="auto"/>
              <w:jc w:val="right"/>
              <w:rPr>
                <w:rFonts w:ascii="Arial Narrow" w:hAnsi="Arial Narrow" w:cs="Times New Roman"/>
                <w:sz w:val="16"/>
                <w:szCs w:val="16"/>
                <w:lang w:val="cs-CZ"/>
              </w:rPr>
            </w:pPr>
            <w:r w:rsidRPr="005B5B4D">
              <w:rPr>
                <w:rFonts w:ascii="Arial Narrow" w:hAnsi="Arial Narrow" w:cs="Times New Roman"/>
                <w:sz w:val="16"/>
                <w:szCs w:val="16"/>
                <w:lang w:val="cs-CZ"/>
              </w:rPr>
              <w:t> </w:t>
            </w:r>
            <w:r w:rsidR="00943C28">
              <w:rPr>
                <w:rFonts w:ascii="Arial Narrow" w:hAnsi="Arial Narrow" w:cs="Times New Roman"/>
                <w:sz w:val="16"/>
                <w:szCs w:val="16"/>
                <w:lang w:val="cs-CZ"/>
              </w:rPr>
              <w:t>23 279</w:t>
            </w:r>
          </w:p>
          <w:p w:rsidR="00ED3557" w:rsidRPr="005B5B4D" w:rsidP="00943C28">
            <w:pPr>
              <w:spacing w:line="240" w:lineRule="auto"/>
              <w:jc w:val="right"/>
              <w:rPr>
                <w:rFonts w:ascii="Arial Narrow" w:hAnsi="Arial Narrow" w:cs="Times New Roman"/>
                <w:sz w:val="16"/>
                <w:szCs w:val="16"/>
                <w:lang w:val="cs-CZ"/>
              </w:rPr>
            </w:pPr>
            <w:r>
              <w:rPr>
                <w:rFonts w:ascii="Arial Narrow" w:hAnsi="Arial Narrow" w:cs="Times New Roman"/>
                <w:sz w:val="16"/>
                <w:szCs w:val="16"/>
                <w:lang w:val="cs-CZ"/>
              </w:rPr>
              <w:t>23 279</w:t>
            </w:r>
          </w:p>
        </w:tc>
        <w:tc>
          <w:tcPr>
            <w:tcW w:w="632" w:type="dxa"/>
            <w:tcBorders>
              <w:top w:val="single" w:sz="4" w:space="0" w:color="auto"/>
              <w:left w:val="single" w:sz="12" w:space="0" w:color="auto"/>
              <w:bottom w:val="single" w:sz="4" w:space="0" w:color="auto"/>
              <w:right w:val="single" w:sz="4" w:space="0" w:color="auto"/>
              <w:tl2br w:val="nil"/>
              <w:tr2bl w:val="nil"/>
            </w:tcBorders>
            <w:textDirection w:val="lrTb"/>
            <w:vAlign w:val="center"/>
          </w:tcPr>
          <w:p w:rsidR="00ED3557" w:rsidRPr="005B5B4D" w:rsidP="00C362EA">
            <w:pPr>
              <w:spacing w:line="240" w:lineRule="auto"/>
              <w:jc w:val="right"/>
              <w:rPr>
                <w:rFonts w:ascii="Arial Narrow" w:hAnsi="Arial Narrow" w:cs="Times New Roman"/>
                <w:sz w:val="16"/>
                <w:szCs w:val="16"/>
                <w:lang w:val="cs-CZ"/>
              </w:rPr>
            </w:pPr>
            <w:r>
              <w:rPr>
                <w:rFonts w:ascii="Arial Narrow" w:hAnsi="Arial Narrow" w:cs="Times New Roman"/>
                <w:sz w:val="16"/>
                <w:szCs w:val="16"/>
                <w:lang w:val="cs-CZ"/>
              </w:rPr>
              <w:t>20 578</w:t>
            </w:r>
          </w:p>
        </w:tc>
        <w:tc>
          <w:tcPr>
            <w:tcW w:w="988"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ED3557" w:rsidRPr="005B5B4D" w:rsidP="00C362EA">
            <w:pPr>
              <w:spacing w:line="240" w:lineRule="auto"/>
              <w:rPr>
                <w:rFonts w:ascii="Arial Narrow" w:hAnsi="Arial Narrow" w:cs="Times New Roman"/>
                <w:sz w:val="16"/>
                <w:szCs w:val="16"/>
                <w:lang w:val="cs-CZ"/>
              </w:rPr>
            </w:pPr>
            <w:r w:rsidRPr="005B5B4D">
              <w:rPr>
                <w:rFonts w:ascii="Arial Narrow" w:hAnsi="Arial Narrow" w:cs="Times New Roman"/>
                <w:sz w:val="16"/>
                <w:szCs w:val="16"/>
                <w:lang w:val="cs-CZ"/>
              </w:rPr>
              <w:t> </w:t>
            </w:r>
          </w:p>
        </w:tc>
        <w:tc>
          <w:tcPr>
            <w:tcW w:w="659"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ED3557" w:rsidRPr="005B5B4D" w:rsidP="00C362EA">
            <w:pPr>
              <w:spacing w:line="240" w:lineRule="auto"/>
              <w:jc w:val="right"/>
              <w:rPr>
                <w:rFonts w:ascii="Arial Narrow" w:hAnsi="Arial Narrow" w:cs="Times New Roman"/>
                <w:sz w:val="16"/>
                <w:szCs w:val="16"/>
                <w:lang w:val="cs-CZ"/>
              </w:rPr>
            </w:pPr>
            <w:r>
              <w:rPr>
                <w:rFonts w:ascii="Arial Narrow" w:hAnsi="Arial Narrow" w:cs="Times New Roman"/>
                <w:sz w:val="16"/>
                <w:szCs w:val="16"/>
                <w:lang w:val="cs-CZ"/>
              </w:rPr>
              <w:t>2 612</w:t>
            </w:r>
          </w:p>
        </w:tc>
        <w:tc>
          <w:tcPr>
            <w:tcW w:w="761"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ED3557" w:rsidRPr="005B5B4D" w:rsidP="00C362EA">
            <w:pPr>
              <w:spacing w:line="240" w:lineRule="auto"/>
              <w:jc w:val="right"/>
              <w:rPr>
                <w:rFonts w:ascii="Arial Narrow" w:hAnsi="Arial Narrow" w:cs="Times New Roman"/>
                <w:sz w:val="16"/>
                <w:szCs w:val="16"/>
                <w:lang w:val="cs-CZ"/>
              </w:rPr>
            </w:pPr>
            <w:r>
              <w:rPr>
                <w:rFonts w:ascii="Arial Narrow" w:hAnsi="Arial Narrow" w:cs="Times New Roman"/>
                <w:sz w:val="16"/>
                <w:szCs w:val="16"/>
                <w:lang w:val="cs-CZ"/>
              </w:rPr>
              <w:t>23 190</w:t>
            </w:r>
          </w:p>
        </w:tc>
        <w:tc>
          <w:tcPr>
            <w:tcW w:w="670" w:type="dxa"/>
            <w:tcBorders>
              <w:top w:val="single" w:sz="4" w:space="0" w:color="auto"/>
              <w:left w:val="single" w:sz="4" w:space="0" w:color="auto"/>
              <w:bottom w:val="single" w:sz="4" w:space="0" w:color="auto"/>
              <w:right w:val="single" w:sz="12" w:space="0" w:color="auto"/>
              <w:tl2br w:val="nil"/>
              <w:tr2bl w:val="nil"/>
            </w:tcBorders>
            <w:noWrap/>
            <w:textDirection w:val="lrTb"/>
            <w:vAlign w:val="center"/>
          </w:tcPr>
          <w:p w:rsidR="00ED3557" w:rsidRPr="005B5B4D" w:rsidP="00C362EA">
            <w:pPr>
              <w:spacing w:line="240" w:lineRule="auto"/>
              <w:jc w:val="right"/>
              <w:rPr>
                <w:rFonts w:ascii="Arial Narrow" w:hAnsi="Arial Narrow" w:cs="Times New Roman"/>
                <w:sz w:val="16"/>
                <w:szCs w:val="16"/>
                <w:lang w:val="cs-CZ"/>
              </w:rPr>
            </w:pPr>
            <w:r>
              <w:rPr>
                <w:rFonts w:ascii="Arial Narrow" w:hAnsi="Arial Narrow" w:cs="Times New Roman"/>
                <w:sz w:val="16"/>
                <w:szCs w:val="16"/>
                <w:lang w:val="cs-CZ"/>
              </w:rPr>
              <w:t>89</w:t>
            </w:r>
          </w:p>
        </w:tc>
      </w:tr>
      <w:tr>
        <w:tblPrEx>
          <w:tblW w:w="7670" w:type="dxa"/>
          <w:tblInd w:w="790" w:type="dxa"/>
          <w:tblLayout w:type="fixed"/>
          <w:tblCellMar>
            <w:left w:w="70" w:type="dxa"/>
            <w:right w:w="70" w:type="dxa"/>
          </w:tblCellMar>
        </w:tblPrEx>
        <w:trPr>
          <w:trHeight w:hRule="exact" w:val="227"/>
        </w:trPr>
        <w:tc>
          <w:tcPr>
            <w:tcW w:w="1440" w:type="dxa"/>
            <w:tcBorders>
              <w:top w:val="single" w:sz="4" w:space="0" w:color="auto"/>
              <w:left w:val="single" w:sz="12" w:space="0" w:color="auto"/>
              <w:bottom w:val="single" w:sz="4" w:space="0" w:color="auto"/>
              <w:right w:val="single" w:sz="12" w:space="0" w:color="auto"/>
              <w:tl2br w:val="nil"/>
              <w:tr2bl w:val="nil"/>
            </w:tcBorders>
            <w:textDirection w:val="lrTb"/>
            <w:vAlign w:val="center"/>
          </w:tcPr>
          <w:p w:rsidR="00ED3557" w:rsidRPr="005B5B4D" w:rsidP="00C362EA">
            <w:pPr>
              <w:spacing w:line="240" w:lineRule="auto"/>
              <w:rPr>
                <w:rFonts w:ascii="Arial Narrow" w:hAnsi="Arial Narrow" w:cs="Times New Roman"/>
                <w:sz w:val="18"/>
                <w:szCs w:val="18"/>
                <w:lang w:val="cs-CZ"/>
              </w:rPr>
            </w:pPr>
            <w:r w:rsidRPr="005B5B4D">
              <w:rPr>
                <w:rFonts w:ascii="Arial Narrow" w:hAnsi="Arial Narrow" w:cs="Times New Roman"/>
                <w:sz w:val="18"/>
                <w:szCs w:val="18"/>
                <w:lang w:val="cs-CZ"/>
              </w:rPr>
              <w:t>TÚ SR</w:t>
            </w:r>
          </w:p>
        </w:tc>
        <w:tc>
          <w:tcPr>
            <w:tcW w:w="1300" w:type="dxa"/>
            <w:tcBorders>
              <w:top w:val="single" w:sz="4" w:space="0" w:color="auto"/>
              <w:left w:val="single" w:sz="12" w:space="0" w:color="auto"/>
              <w:bottom w:val="single" w:sz="4" w:space="0" w:color="auto"/>
              <w:right w:val="single" w:sz="12" w:space="0" w:color="auto"/>
              <w:tl2br w:val="nil"/>
              <w:tr2bl w:val="nil"/>
            </w:tcBorders>
            <w:textDirection w:val="lrTb"/>
            <w:vAlign w:val="center"/>
          </w:tcPr>
          <w:p w:rsidR="00ED3557" w:rsidRPr="005B5B4D" w:rsidP="00C362EA">
            <w:pPr>
              <w:spacing w:line="240" w:lineRule="auto"/>
              <w:jc w:val="right"/>
              <w:rPr>
                <w:rFonts w:ascii="Arial Narrow" w:hAnsi="Arial Narrow" w:cs="Times New Roman"/>
                <w:sz w:val="16"/>
                <w:szCs w:val="16"/>
                <w:lang w:val="cs-CZ"/>
              </w:rPr>
            </w:pPr>
            <w:r>
              <w:rPr>
                <w:rFonts w:ascii="Arial Narrow" w:hAnsi="Arial Narrow" w:cs="Times New Roman"/>
                <w:sz w:val="16"/>
                <w:szCs w:val="16"/>
                <w:lang w:val="cs-CZ"/>
              </w:rPr>
              <w:t>54 018</w:t>
            </w:r>
          </w:p>
        </w:tc>
        <w:tc>
          <w:tcPr>
            <w:tcW w:w="1220" w:type="dxa"/>
            <w:tcBorders>
              <w:top w:val="single" w:sz="4" w:space="0" w:color="auto"/>
              <w:left w:val="single" w:sz="12" w:space="0" w:color="auto"/>
              <w:bottom w:val="single" w:sz="4" w:space="0" w:color="auto"/>
              <w:right w:val="single" w:sz="12" w:space="0" w:color="auto"/>
              <w:tl2br w:val="nil"/>
              <w:tr2bl w:val="nil"/>
            </w:tcBorders>
            <w:textDirection w:val="lrTb"/>
            <w:vAlign w:val="center"/>
          </w:tcPr>
          <w:p w:rsidR="00ED3557" w:rsidRPr="005B5B4D" w:rsidP="00943C28">
            <w:pPr>
              <w:spacing w:line="240" w:lineRule="auto"/>
              <w:jc w:val="right"/>
              <w:rPr>
                <w:rFonts w:ascii="Arial Narrow" w:hAnsi="Arial Narrow" w:cs="Times New Roman"/>
                <w:sz w:val="16"/>
                <w:szCs w:val="16"/>
                <w:lang w:val="cs-CZ"/>
              </w:rPr>
            </w:pPr>
            <w:r w:rsidRPr="005B5B4D">
              <w:rPr>
                <w:rFonts w:ascii="Arial Narrow" w:hAnsi="Arial Narrow" w:cs="Times New Roman"/>
                <w:sz w:val="16"/>
                <w:szCs w:val="16"/>
                <w:lang w:val="cs-CZ"/>
              </w:rPr>
              <w:t> </w:t>
            </w:r>
            <w:r w:rsidR="00943C28">
              <w:rPr>
                <w:rFonts w:ascii="Arial Narrow" w:hAnsi="Arial Narrow" w:cs="Times New Roman"/>
                <w:sz w:val="16"/>
                <w:szCs w:val="16"/>
                <w:lang w:val="cs-CZ"/>
              </w:rPr>
              <w:t>55 347</w:t>
            </w:r>
          </w:p>
          <w:p w:rsidR="00ED3557" w:rsidRPr="005B5B4D" w:rsidP="00943C28">
            <w:pPr>
              <w:spacing w:line="240" w:lineRule="auto"/>
              <w:jc w:val="right"/>
              <w:rPr>
                <w:rFonts w:ascii="Arial Narrow" w:hAnsi="Arial Narrow" w:cs="Times New Roman"/>
                <w:sz w:val="16"/>
                <w:szCs w:val="16"/>
                <w:lang w:val="cs-CZ"/>
              </w:rPr>
            </w:pPr>
            <w:r>
              <w:rPr>
                <w:rFonts w:ascii="Arial Narrow" w:hAnsi="Arial Narrow" w:cs="Times New Roman"/>
                <w:sz w:val="16"/>
                <w:szCs w:val="16"/>
                <w:lang w:val="cs-CZ"/>
              </w:rPr>
              <w:t>55 347</w:t>
            </w:r>
          </w:p>
        </w:tc>
        <w:tc>
          <w:tcPr>
            <w:tcW w:w="632" w:type="dxa"/>
            <w:tcBorders>
              <w:top w:val="single" w:sz="4" w:space="0" w:color="auto"/>
              <w:left w:val="single" w:sz="12" w:space="0" w:color="auto"/>
              <w:bottom w:val="single" w:sz="4" w:space="0" w:color="auto"/>
              <w:right w:val="single" w:sz="4" w:space="0" w:color="auto"/>
              <w:tl2br w:val="nil"/>
              <w:tr2bl w:val="nil"/>
            </w:tcBorders>
            <w:textDirection w:val="lrTb"/>
            <w:vAlign w:val="center"/>
          </w:tcPr>
          <w:p w:rsidR="00ED3557" w:rsidRPr="005B5B4D" w:rsidP="00C362EA">
            <w:pPr>
              <w:spacing w:line="240" w:lineRule="auto"/>
              <w:jc w:val="right"/>
              <w:rPr>
                <w:rFonts w:ascii="Arial Narrow" w:hAnsi="Arial Narrow" w:cs="Times New Roman"/>
                <w:sz w:val="16"/>
                <w:szCs w:val="16"/>
                <w:lang w:val="cs-CZ"/>
              </w:rPr>
            </w:pPr>
            <w:r>
              <w:rPr>
                <w:rFonts w:ascii="Arial Narrow" w:hAnsi="Arial Narrow" w:cs="Times New Roman"/>
                <w:sz w:val="16"/>
                <w:szCs w:val="16"/>
                <w:lang w:val="cs-CZ"/>
              </w:rPr>
              <w:t>49 023</w:t>
            </w:r>
          </w:p>
        </w:tc>
        <w:tc>
          <w:tcPr>
            <w:tcW w:w="988"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ED3557" w:rsidRPr="005B5B4D" w:rsidP="00C362EA">
            <w:pPr>
              <w:spacing w:line="240" w:lineRule="auto"/>
              <w:rPr>
                <w:rFonts w:ascii="Arial Narrow" w:hAnsi="Arial Narrow" w:cs="Times New Roman"/>
                <w:sz w:val="16"/>
                <w:szCs w:val="16"/>
                <w:lang w:val="cs-CZ"/>
              </w:rPr>
            </w:pPr>
            <w:r w:rsidRPr="005B5B4D">
              <w:rPr>
                <w:rFonts w:ascii="Arial Narrow" w:hAnsi="Arial Narrow" w:cs="Times New Roman"/>
                <w:sz w:val="16"/>
                <w:szCs w:val="16"/>
                <w:lang w:val="cs-CZ"/>
              </w:rPr>
              <w:t> </w:t>
            </w:r>
          </w:p>
        </w:tc>
        <w:tc>
          <w:tcPr>
            <w:tcW w:w="659"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ED3557" w:rsidRPr="005B5B4D" w:rsidP="00C362EA">
            <w:pPr>
              <w:spacing w:line="240" w:lineRule="auto"/>
              <w:jc w:val="right"/>
              <w:rPr>
                <w:rFonts w:ascii="Arial Narrow" w:hAnsi="Arial Narrow" w:cs="Times New Roman"/>
                <w:sz w:val="16"/>
                <w:szCs w:val="16"/>
                <w:lang w:val="cs-CZ"/>
              </w:rPr>
            </w:pPr>
            <w:r>
              <w:rPr>
                <w:rFonts w:ascii="Arial Narrow" w:hAnsi="Arial Narrow" w:cs="Times New Roman"/>
                <w:sz w:val="16"/>
                <w:szCs w:val="16"/>
                <w:lang w:val="cs-CZ"/>
              </w:rPr>
              <w:t>6 324</w:t>
            </w:r>
          </w:p>
        </w:tc>
        <w:tc>
          <w:tcPr>
            <w:tcW w:w="761"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ED3557" w:rsidRPr="005B5B4D" w:rsidP="00C362EA">
            <w:pPr>
              <w:spacing w:line="240" w:lineRule="auto"/>
              <w:jc w:val="right"/>
              <w:rPr>
                <w:rFonts w:ascii="Arial Narrow" w:hAnsi="Arial Narrow" w:cs="Times New Roman"/>
                <w:sz w:val="16"/>
                <w:szCs w:val="16"/>
                <w:lang w:val="cs-CZ"/>
              </w:rPr>
            </w:pPr>
            <w:r>
              <w:rPr>
                <w:rFonts w:ascii="Arial Narrow" w:hAnsi="Arial Narrow" w:cs="Times New Roman"/>
                <w:sz w:val="16"/>
                <w:szCs w:val="16"/>
                <w:lang w:val="cs-CZ"/>
              </w:rPr>
              <w:t>55 347</w:t>
            </w:r>
          </w:p>
        </w:tc>
        <w:tc>
          <w:tcPr>
            <w:tcW w:w="670" w:type="dxa"/>
            <w:tcBorders>
              <w:top w:val="single" w:sz="4" w:space="0" w:color="auto"/>
              <w:left w:val="single" w:sz="4" w:space="0" w:color="auto"/>
              <w:bottom w:val="single" w:sz="4" w:space="0" w:color="auto"/>
              <w:right w:val="single" w:sz="12" w:space="0" w:color="auto"/>
              <w:tl2br w:val="nil"/>
              <w:tr2bl w:val="nil"/>
            </w:tcBorders>
            <w:noWrap/>
            <w:textDirection w:val="lrTb"/>
            <w:vAlign w:val="center"/>
          </w:tcPr>
          <w:p w:rsidR="00ED3557" w:rsidRPr="005B5B4D" w:rsidP="00C362EA">
            <w:pPr>
              <w:spacing w:line="240" w:lineRule="auto"/>
              <w:jc w:val="right"/>
              <w:rPr>
                <w:rFonts w:ascii="Arial Narrow" w:hAnsi="Arial Narrow" w:cs="Times New Roman"/>
                <w:sz w:val="16"/>
                <w:szCs w:val="16"/>
                <w:lang w:val="cs-CZ"/>
              </w:rPr>
            </w:pPr>
            <w:r w:rsidRPr="005B5B4D">
              <w:rPr>
                <w:rFonts w:ascii="Arial Narrow" w:hAnsi="Arial Narrow" w:cs="Times New Roman"/>
                <w:sz w:val="16"/>
                <w:szCs w:val="16"/>
                <w:lang w:val="cs-CZ"/>
              </w:rPr>
              <w:t>0</w:t>
            </w:r>
          </w:p>
        </w:tc>
      </w:tr>
      <w:tr>
        <w:tblPrEx>
          <w:tblW w:w="7670" w:type="dxa"/>
          <w:tblInd w:w="790" w:type="dxa"/>
          <w:tblLayout w:type="fixed"/>
          <w:tblCellMar>
            <w:left w:w="70" w:type="dxa"/>
            <w:right w:w="70" w:type="dxa"/>
          </w:tblCellMar>
        </w:tblPrEx>
        <w:trPr>
          <w:trHeight w:hRule="exact" w:val="227"/>
        </w:trPr>
        <w:tc>
          <w:tcPr>
            <w:tcW w:w="1440" w:type="dxa"/>
            <w:tcBorders>
              <w:top w:val="single" w:sz="4" w:space="0" w:color="auto"/>
              <w:left w:val="single" w:sz="12" w:space="0" w:color="auto"/>
              <w:bottom w:val="single" w:sz="4" w:space="0" w:color="auto"/>
              <w:right w:val="single" w:sz="12" w:space="0" w:color="auto"/>
              <w:tl2br w:val="nil"/>
              <w:tr2bl w:val="nil"/>
            </w:tcBorders>
            <w:textDirection w:val="lrTb"/>
            <w:vAlign w:val="center"/>
          </w:tcPr>
          <w:p w:rsidR="00ED3557" w:rsidRPr="005B5B4D" w:rsidP="00C362EA">
            <w:pPr>
              <w:spacing w:line="240" w:lineRule="auto"/>
              <w:rPr>
                <w:rFonts w:ascii="Arial Narrow" w:hAnsi="Arial Narrow" w:cs="Times New Roman"/>
                <w:sz w:val="18"/>
                <w:szCs w:val="18"/>
                <w:lang w:val="cs-CZ"/>
              </w:rPr>
            </w:pPr>
            <w:r w:rsidRPr="005B5B4D">
              <w:rPr>
                <w:rFonts w:ascii="Arial Narrow" w:hAnsi="Arial Narrow" w:cs="Times New Roman"/>
                <w:sz w:val="18"/>
                <w:szCs w:val="18"/>
                <w:lang w:val="cs-CZ"/>
              </w:rPr>
              <w:t>PRÚ</w:t>
            </w:r>
          </w:p>
        </w:tc>
        <w:tc>
          <w:tcPr>
            <w:tcW w:w="1300" w:type="dxa"/>
            <w:tcBorders>
              <w:top w:val="single" w:sz="4" w:space="0" w:color="auto"/>
              <w:left w:val="single" w:sz="12" w:space="0" w:color="auto"/>
              <w:bottom w:val="single" w:sz="4" w:space="0" w:color="auto"/>
              <w:right w:val="single" w:sz="12" w:space="0" w:color="auto"/>
              <w:tl2br w:val="nil"/>
              <w:tr2bl w:val="nil"/>
            </w:tcBorders>
            <w:textDirection w:val="lrTb"/>
            <w:vAlign w:val="center"/>
          </w:tcPr>
          <w:p w:rsidR="00ED3557" w:rsidRPr="005B5B4D" w:rsidP="00C362EA">
            <w:pPr>
              <w:spacing w:line="240" w:lineRule="auto"/>
              <w:jc w:val="right"/>
              <w:rPr>
                <w:rFonts w:ascii="Arial Narrow" w:hAnsi="Arial Narrow" w:cs="Times New Roman"/>
                <w:sz w:val="16"/>
                <w:szCs w:val="16"/>
                <w:lang w:val="cs-CZ"/>
              </w:rPr>
            </w:pPr>
            <w:r>
              <w:rPr>
                <w:rFonts w:ascii="Arial Narrow" w:hAnsi="Arial Narrow" w:cs="Times New Roman"/>
                <w:sz w:val="16"/>
                <w:szCs w:val="16"/>
                <w:lang w:val="cs-CZ"/>
              </w:rPr>
              <w:t>5 372</w:t>
            </w:r>
          </w:p>
        </w:tc>
        <w:tc>
          <w:tcPr>
            <w:tcW w:w="1220" w:type="dxa"/>
            <w:tcBorders>
              <w:top w:val="single" w:sz="4" w:space="0" w:color="auto"/>
              <w:left w:val="single" w:sz="12" w:space="0" w:color="auto"/>
              <w:bottom w:val="single" w:sz="4" w:space="0" w:color="auto"/>
              <w:right w:val="single" w:sz="12" w:space="0" w:color="auto"/>
              <w:tl2br w:val="nil"/>
              <w:tr2bl w:val="nil"/>
            </w:tcBorders>
            <w:textDirection w:val="lrTb"/>
            <w:vAlign w:val="center"/>
          </w:tcPr>
          <w:p w:rsidR="00ED3557" w:rsidRPr="005B5B4D" w:rsidP="00943C28">
            <w:pPr>
              <w:spacing w:line="240" w:lineRule="auto"/>
              <w:jc w:val="right"/>
              <w:rPr>
                <w:rFonts w:ascii="Arial Narrow" w:hAnsi="Arial Narrow" w:cs="Times New Roman"/>
                <w:sz w:val="16"/>
                <w:szCs w:val="16"/>
                <w:lang w:val="cs-CZ"/>
              </w:rPr>
            </w:pPr>
            <w:r w:rsidRPr="005B5B4D">
              <w:rPr>
                <w:rFonts w:ascii="Arial Narrow" w:hAnsi="Arial Narrow" w:cs="Times New Roman"/>
                <w:sz w:val="16"/>
                <w:szCs w:val="16"/>
                <w:lang w:val="cs-CZ"/>
              </w:rPr>
              <w:t> </w:t>
            </w:r>
            <w:r w:rsidR="00943C28">
              <w:rPr>
                <w:rFonts w:ascii="Arial Narrow" w:hAnsi="Arial Narrow" w:cs="Times New Roman"/>
                <w:sz w:val="16"/>
                <w:szCs w:val="16"/>
                <w:lang w:val="cs-CZ"/>
              </w:rPr>
              <w:t>5 260</w:t>
            </w:r>
          </w:p>
          <w:p w:rsidR="00ED3557" w:rsidRPr="005B5B4D" w:rsidP="00943C28">
            <w:pPr>
              <w:spacing w:line="240" w:lineRule="auto"/>
              <w:jc w:val="right"/>
              <w:rPr>
                <w:rFonts w:ascii="Arial Narrow" w:hAnsi="Arial Narrow" w:cs="Times New Roman"/>
                <w:sz w:val="16"/>
                <w:szCs w:val="16"/>
                <w:lang w:val="cs-CZ"/>
              </w:rPr>
            </w:pPr>
            <w:r>
              <w:rPr>
                <w:rFonts w:ascii="Arial Narrow" w:hAnsi="Arial Narrow" w:cs="Times New Roman"/>
                <w:sz w:val="16"/>
                <w:szCs w:val="16"/>
                <w:lang w:val="cs-CZ"/>
              </w:rPr>
              <w:t>5 260</w:t>
            </w:r>
          </w:p>
        </w:tc>
        <w:tc>
          <w:tcPr>
            <w:tcW w:w="632" w:type="dxa"/>
            <w:tcBorders>
              <w:top w:val="single" w:sz="4" w:space="0" w:color="auto"/>
              <w:left w:val="single" w:sz="12" w:space="0" w:color="auto"/>
              <w:bottom w:val="single" w:sz="4" w:space="0" w:color="auto"/>
              <w:right w:val="single" w:sz="4" w:space="0" w:color="auto"/>
              <w:tl2br w:val="nil"/>
              <w:tr2bl w:val="nil"/>
            </w:tcBorders>
            <w:textDirection w:val="lrTb"/>
            <w:vAlign w:val="center"/>
          </w:tcPr>
          <w:p w:rsidR="00ED3557" w:rsidRPr="005B5B4D" w:rsidP="00C362EA">
            <w:pPr>
              <w:spacing w:line="240" w:lineRule="auto"/>
              <w:jc w:val="right"/>
              <w:rPr>
                <w:rFonts w:ascii="Arial Narrow" w:hAnsi="Arial Narrow" w:cs="Times New Roman"/>
                <w:sz w:val="16"/>
                <w:szCs w:val="16"/>
                <w:lang w:val="cs-CZ"/>
              </w:rPr>
            </w:pPr>
            <w:r>
              <w:rPr>
                <w:rFonts w:ascii="Arial Narrow" w:hAnsi="Arial Narrow" w:cs="Times New Roman"/>
                <w:sz w:val="16"/>
                <w:szCs w:val="16"/>
                <w:lang w:val="cs-CZ"/>
              </w:rPr>
              <w:t>4 764</w:t>
            </w:r>
          </w:p>
        </w:tc>
        <w:tc>
          <w:tcPr>
            <w:tcW w:w="988"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ED3557" w:rsidRPr="005B5B4D" w:rsidP="00C362EA">
            <w:pPr>
              <w:spacing w:line="240" w:lineRule="auto"/>
              <w:rPr>
                <w:rFonts w:ascii="Arial Narrow" w:hAnsi="Arial Narrow" w:cs="Times New Roman"/>
                <w:sz w:val="16"/>
                <w:szCs w:val="16"/>
                <w:lang w:val="cs-CZ"/>
              </w:rPr>
            </w:pPr>
            <w:r w:rsidRPr="005B5B4D">
              <w:rPr>
                <w:rFonts w:ascii="Arial Narrow" w:hAnsi="Arial Narrow" w:cs="Times New Roman"/>
                <w:sz w:val="16"/>
                <w:szCs w:val="16"/>
                <w:lang w:val="cs-CZ"/>
              </w:rPr>
              <w:t> </w:t>
            </w:r>
          </w:p>
        </w:tc>
        <w:tc>
          <w:tcPr>
            <w:tcW w:w="659"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ED3557" w:rsidRPr="005B5B4D" w:rsidP="00C362EA">
            <w:pPr>
              <w:spacing w:line="240" w:lineRule="auto"/>
              <w:jc w:val="right"/>
              <w:rPr>
                <w:rFonts w:ascii="Arial Narrow" w:hAnsi="Arial Narrow" w:cs="Times New Roman"/>
                <w:sz w:val="16"/>
                <w:szCs w:val="16"/>
                <w:lang w:val="cs-CZ"/>
              </w:rPr>
            </w:pPr>
            <w:r>
              <w:rPr>
                <w:rFonts w:ascii="Arial Narrow" w:hAnsi="Arial Narrow" w:cs="Times New Roman"/>
                <w:sz w:val="16"/>
                <w:szCs w:val="16"/>
                <w:lang w:val="cs-CZ"/>
              </w:rPr>
              <w:t>496</w:t>
            </w:r>
          </w:p>
        </w:tc>
        <w:tc>
          <w:tcPr>
            <w:tcW w:w="761"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ED3557" w:rsidRPr="005B5B4D" w:rsidP="00C362EA">
            <w:pPr>
              <w:spacing w:line="240" w:lineRule="auto"/>
              <w:jc w:val="right"/>
              <w:rPr>
                <w:rFonts w:ascii="Arial Narrow" w:hAnsi="Arial Narrow" w:cs="Times New Roman"/>
                <w:sz w:val="16"/>
                <w:szCs w:val="16"/>
                <w:lang w:val="cs-CZ"/>
              </w:rPr>
            </w:pPr>
            <w:r>
              <w:rPr>
                <w:rFonts w:ascii="Arial Narrow" w:hAnsi="Arial Narrow" w:cs="Times New Roman"/>
                <w:sz w:val="16"/>
                <w:szCs w:val="16"/>
                <w:lang w:val="cs-CZ"/>
              </w:rPr>
              <w:t>5 260</w:t>
            </w:r>
          </w:p>
        </w:tc>
        <w:tc>
          <w:tcPr>
            <w:tcW w:w="670" w:type="dxa"/>
            <w:tcBorders>
              <w:top w:val="single" w:sz="4" w:space="0" w:color="auto"/>
              <w:left w:val="single" w:sz="4" w:space="0" w:color="auto"/>
              <w:bottom w:val="single" w:sz="4" w:space="0" w:color="auto"/>
              <w:right w:val="single" w:sz="12" w:space="0" w:color="auto"/>
              <w:tl2br w:val="nil"/>
              <w:tr2bl w:val="nil"/>
            </w:tcBorders>
            <w:noWrap/>
            <w:textDirection w:val="lrTb"/>
            <w:vAlign w:val="center"/>
          </w:tcPr>
          <w:p w:rsidR="00ED3557" w:rsidRPr="005B5B4D" w:rsidP="00C362EA">
            <w:pPr>
              <w:spacing w:line="240" w:lineRule="auto"/>
              <w:jc w:val="right"/>
              <w:rPr>
                <w:rFonts w:ascii="Arial Narrow" w:hAnsi="Arial Narrow" w:cs="Times New Roman"/>
                <w:sz w:val="16"/>
                <w:szCs w:val="16"/>
                <w:lang w:val="cs-CZ"/>
              </w:rPr>
            </w:pPr>
            <w:r w:rsidRPr="005B5B4D">
              <w:rPr>
                <w:rFonts w:ascii="Arial Narrow" w:hAnsi="Arial Narrow" w:cs="Times New Roman"/>
                <w:sz w:val="16"/>
                <w:szCs w:val="16"/>
                <w:lang w:val="cs-CZ"/>
              </w:rPr>
              <w:t>0</w:t>
            </w:r>
          </w:p>
        </w:tc>
      </w:tr>
      <w:tr>
        <w:tblPrEx>
          <w:tblW w:w="7670" w:type="dxa"/>
          <w:tblInd w:w="790" w:type="dxa"/>
          <w:tblLayout w:type="fixed"/>
          <w:tblCellMar>
            <w:left w:w="70" w:type="dxa"/>
            <w:right w:w="70" w:type="dxa"/>
          </w:tblCellMar>
        </w:tblPrEx>
        <w:trPr>
          <w:trHeight w:hRule="exact" w:val="227"/>
        </w:trPr>
        <w:tc>
          <w:tcPr>
            <w:tcW w:w="1440" w:type="dxa"/>
            <w:tcBorders>
              <w:top w:val="single" w:sz="4" w:space="0" w:color="auto"/>
              <w:left w:val="single" w:sz="12" w:space="0" w:color="auto"/>
              <w:bottom w:val="single" w:sz="4" w:space="0" w:color="auto"/>
              <w:right w:val="single" w:sz="12" w:space="0" w:color="auto"/>
              <w:tl2br w:val="nil"/>
              <w:tr2bl w:val="nil"/>
            </w:tcBorders>
            <w:textDirection w:val="lrTb"/>
            <w:vAlign w:val="center"/>
          </w:tcPr>
          <w:p w:rsidR="00ED3557" w:rsidRPr="005B5B4D" w:rsidP="00C362EA">
            <w:pPr>
              <w:spacing w:line="240" w:lineRule="auto"/>
              <w:rPr>
                <w:rFonts w:ascii="Arial Narrow" w:hAnsi="Arial Narrow" w:cs="Times New Roman"/>
                <w:sz w:val="18"/>
                <w:szCs w:val="18"/>
                <w:lang w:val="cs-CZ"/>
              </w:rPr>
            </w:pPr>
            <w:r w:rsidRPr="005B5B4D">
              <w:rPr>
                <w:rFonts w:ascii="Arial Narrow" w:hAnsi="Arial Narrow" w:cs="Times New Roman"/>
                <w:sz w:val="18"/>
                <w:szCs w:val="18"/>
                <w:lang w:val="cs-CZ"/>
              </w:rPr>
              <w:t>Krajské úrad</w:t>
            </w:r>
            <w:r>
              <w:rPr>
                <w:rFonts w:ascii="Arial Narrow" w:hAnsi="Arial Narrow" w:cs="Times New Roman"/>
                <w:sz w:val="18"/>
                <w:szCs w:val="18"/>
                <w:lang w:val="cs-CZ"/>
              </w:rPr>
              <w:t>y</w:t>
            </w:r>
          </w:p>
        </w:tc>
        <w:tc>
          <w:tcPr>
            <w:tcW w:w="1300" w:type="dxa"/>
            <w:tcBorders>
              <w:top w:val="single" w:sz="4" w:space="0" w:color="auto"/>
              <w:left w:val="single" w:sz="12" w:space="0" w:color="auto"/>
              <w:bottom w:val="single" w:sz="4" w:space="0" w:color="auto"/>
              <w:right w:val="single" w:sz="12" w:space="0" w:color="auto"/>
              <w:tl2br w:val="nil"/>
              <w:tr2bl w:val="nil"/>
            </w:tcBorders>
            <w:textDirection w:val="lrTb"/>
            <w:vAlign w:val="center"/>
          </w:tcPr>
          <w:p w:rsidR="00ED3557" w:rsidRPr="005B5B4D" w:rsidP="00C362EA">
            <w:pPr>
              <w:spacing w:line="240" w:lineRule="auto"/>
              <w:jc w:val="right"/>
              <w:rPr>
                <w:rFonts w:ascii="Arial Narrow" w:hAnsi="Arial Narrow" w:cs="Times New Roman"/>
                <w:sz w:val="16"/>
                <w:szCs w:val="16"/>
                <w:lang w:val="cs-CZ"/>
              </w:rPr>
            </w:pPr>
            <w:r>
              <w:rPr>
                <w:rFonts w:ascii="Arial Narrow" w:hAnsi="Arial Narrow" w:cs="Times New Roman"/>
                <w:sz w:val="16"/>
                <w:szCs w:val="16"/>
                <w:lang w:val="cs-CZ"/>
              </w:rPr>
              <w:t>93 030</w:t>
            </w:r>
          </w:p>
        </w:tc>
        <w:tc>
          <w:tcPr>
            <w:tcW w:w="1220" w:type="dxa"/>
            <w:tcBorders>
              <w:top w:val="single" w:sz="4" w:space="0" w:color="auto"/>
              <w:left w:val="single" w:sz="12" w:space="0" w:color="auto"/>
              <w:bottom w:val="single" w:sz="4" w:space="0" w:color="auto"/>
              <w:right w:val="single" w:sz="12" w:space="0" w:color="auto"/>
              <w:tl2br w:val="nil"/>
              <w:tr2bl w:val="nil"/>
            </w:tcBorders>
            <w:textDirection w:val="lrTb"/>
            <w:vAlign w:val="center"/>
          </w:tcPr>
          <w:p w:rsidR="00ED3557" w:rsidRPr="005B5B4D" w:rsidP="00943C28">
            <w:pPr>
              <w:spacing w:line="240" w:lineRule="auto"/>
              <w:jc w:val="right"/>
              <w:rPr>
                <w:rFonts w:ascii="Arial Narrow" w:hAnsi="Arial Narrow" w:cs="Times New Roman"/>
                <w:sz w:val="16"/>
                <w:szCs w:val="16"/>
                <w:lang w:val="cs-CZ"/>
              </w:rPr>
            </w:pPr>
            <w:r w:rsidRPr="005B5B4D">
              <w:rPr>
                <w:rFonts w:ascii="Arial Narrow" w:hAnsi="Arial Narrow" w:cs="Times New Roman"/>
                <w:sz w:val="16"/>
                <w:szCs w:val="16"/>
                <w:lang w:val="cs-CZ"/>
              </w:rPr>
              <w:t> </w:t>
            </w:r>
            <w:r w:rsidR="00943C28">
              <w:rPr>
                <w:rFonts w:ascii="Arial Narrow" w:hAnsi="Arial Narrow" w:cs="Times New Roman"/>
                <w:sz w:val="16"/>
                <w:szCs w:val="16"/>
                <w:lang w:val="cs-CZ"/>
              </w:rPr>
              <w:t>99 418</w:t>
            </w:r>
          </w:p>
          <w:p w:rsidR="00ED3557" w:rsidRPr="005B5B4D" w:rsidP="00943C28">
            <w:pPr>
              <w:spacing w:line="240" w:lineRule="auto"/>
              <w:jc w:val="right"/>
              <w:rPr>
                <w:rFonts w:ascii="Arial Narrow" w:hAnsi="Arial Narrow" w:cs="Times New Roman"/>
                <w:sz w:val="16"/>
                <w:szCs w:val="16"/>
                <w:lang w:val="cs-CZ"/>
              </w:rPr>
            </w:pPr>
            <w:r>
              <w:rPr>
                <w:rFonts w:ascii="Arial Narrow" w:hAnsi="Arial Narrow" w:cs="Times New Roman"/>
                <w:sz w:val="16"/>
                <w:szCs w:val="16"/>
                <w:lang w:val="cs-CZ"/>
              </w:rPr>
              <w:t>99 418</w:t>
            </w:r>
          </w:p>
        </w:tc>
        <w:tc>
          <w:tcPr>
            <w:tcW w:w="632" w:type="dxa"/>
            <w:tcBorders>
              <w:top w:val="single" w:sz="4" w:space="0" w:color="auto"/>
              <w:left w:val="single" w:sz="12" w:space="0" w:color="auto"/>
              <w:bottom w:val="single" w:sz="4" w:space="0" w:color="auto"/>
              <w:right w:val="single" w:sz="4" w:space="0" w:color="auto"/>
              <w:tl2br w:val="nil"/>
              <w:tr2bl w:val="nil"/>
            </w:tcBorders>
            <w:textDirection w:val="lrTb"/>
            <w:vAlign w:val="center"/>
          </w:tcPr>
          <w:p w:rsidR="00ED3557" w:rsidRPr="005B5B4D" w:rsidP="00C362EA">
            <w:pPr>
              <w:spacing w:line="240" w:lineRule="auto"/>
              <w:jc w:val="right"/>
              <w:rPr>
                <w:rFonts w:ascii="Arial Narrow" w:hAnsi="Arial Narrow" w:cs="Times New Roman"/>
                <w:sz w:val="16"/>
                <w:szCs w:val="16"/>
                <w:lang w:val="cs-CZ"/>
              </w:rPr>
            </w:pPr>
            <w:r>
              <w:rPr>
                <w:rFonts w:ascii="Arial Narrow" w:hAnsi="Arial Narrow" w:cs="Times New Roman"/>
                <w:sz w:val="16"/>
                <w:szCs w:val="16"/>
                <w:lang w:val="cs-CZ"/>
              </w:rPr>
              <w:t>93 162</w:t>
            </w:r>
          </w:p>
        </w:tc>
        <w:tc>
          <w:tcPr>
            <w:tcW w:w="988"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ED3557" w:rsidRPr="005B5B4D" w:rsidP="00C362EA">
            <w:pPr>
              <w:spacing w:line="240" w:lineRule="auto"/>
              <w:rPr>
                <w:rFonts w:ascii="Arial Narrow" w:hAnsi="Arial Narrow" w:cs="Times New Roman"/>
                <w:sz w:val="16"/>
                <w:szCs w:val="16"/>
                <w:lang w:val="cs-CZ"/>
              </w:rPr>
            </w:pPr>
            <w:r w:rsidRPr="005B5B4D">
              <w:rPr>
                <w:rFonts w:ascii="Arial Narrow" w:hAnsi="Arial Narrow" w:cs="Times New Roman"/>
                <w:sz w:val="16"/>
                <w:szCs w:val="16"/>
                <w:lang w:val="cs-CZ"/>
              </w:rPr>
              <w:t> </w:t>
            </w:r>
          </w:p>
        </w:tc>
        <w:tc>
          <w:tcPr>
            <w:tcW w:w="659"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ED3557" w:rsidRPr="005B5B4D" w:rsidP="00C362EA">
            <w:pPr>
              <w:spacing w:line="240" w:lineRule="auto"/>
              <w:jc w:val="right"/>
              <w:rPr>
                <w:rFonts w:ascii="Arial Narrow" w:hAnsi="Arial Narrow" w:cs="Times New Roman"/>
                <w:sz w:val="16"/>
                <w:szCs w:val="16"/>
                <w:lang w:val="cs-CZ"/>
              </w:rPr>
            </w:pPr>
            <w:r>
              <w:rPr>
                <w:rFonts w:ascii="Arial Narrow" w:hAnsi="Arial Narrow" w:cs="Times New Roman"/>
                <w:sz w:val="16"/>
                <w:szCs w:val="16"/>
                <w:lang w:val="cs-CZ"/>
              </w:rPr>
              <w:t>6 256</w:t>
            </w:r>
          </w:p>
        </w:tc>
        <w:tc>
          <w:tcPr>
            <w:tcW w:w="761"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ED3557" w:rsidRPr="005B5B4D" w:rsidP="00C362EA">
            <w:pPr>
              <w:spacing w:line="240" w:lineRule="auto"/>
              <w:jc w:val="right"/>
              <w:rPr>
                <w:rFonts w:ascii="Arial Narrow" w:hAnsi="Arial Narrow" w:cs="Times New Roman"/>
                <w:sz w:val="16"/>
                <w:szCs w:val="16"/>
                <w:lang w:val="cs-CZ"/>
              </w:rPr>
            </w:pPr>
            <w:r>
              <w:rPr>
                <w:rFonts w:ascii="Arial Narrow" w:hAnsi="Arial Narrow" w:cs="Times New Roman"/>
                <w:sz w:val="16"/>
                <w:szCs w:val="16"/>
                <w:lang w:val="cs-CZ"/>
              </w:rPr>
              <w:t>99 418</w:t>
            </w:r>
          </w:p>
        </w:tc>
        <w:tc>
          <w:tcPr>
            <w:tcW w:w="670" w:type="dxa"/>
            <w:tcBorders>
              <w:top w:val="single" w:sz="4" w:space="0" w:color="auto"/>
              <w:left w:val="single" w:sz="4" w:space="0" w:color="auto"/>
              <w:bottom w:val="single" w:sz="4" w:space="0" w:color="auto"/>
              <w:right w:val="single" w:sz="12" w:space="0" w:color="auto"/>
              <w:tl2br w:val="nil"/>
              <w:tr2bl w:val="nil"/>
            </w:tcBorders>
            <w:noWrap/>
            <w:textDirection w:val="lrTb"/>
            <w:vAlign w:val="center"/>
          </w:tcPr>
          <w:p w:rsidR="00ED3557" w:rsidRPr="005B5B4D" w:rsidP="00C362EA">
            <w:pPr>
              <w:spacing w:line="240" w:lineRule="auto"/>
              <w:jc w:val="right"/>
              <w:rPr>
                <w:rFonts w:ascii="Arial Narrow" w:hAnsi="Arial Narrow" w:cs="Times New Roman"/>
                <w:sz w:val="16"/>
                <w:szCs w:val="16"/>
                <w:lang w:val="cs-CZ"/>
              </w:rPr>
            </w:pPr>
            <w:r w:rsidRPr="005B5B4D">
              <w:rPr>
                <w:rFonts w:ascii="Arial Narrow" w:hAnsi="Arial Narrow" w:cs="Times New Roman"/>
                <w:sz w:val="16"/>
                <w:szCs w:val="16"/>
                <w:lang w:val="cs-CZ"/>
              </w:rPr>
              <w:t>0</w:t>
            </w:r>
          </w:p>
        </w:tc>
      </w:tr>
      <w:tr>
        <w:tblPrEx>
          <w:tblW w:w="7670" w:type="dxa"/>
          <w:tblInd w:w="790" w:type="dxa"/>
          <w:tblLayout w:type="fixed"/>
          <w:tblCellMar>
            <w:left w:w="70" w:type="dxa"/>
            <w:right w:w="70" w:type="dxa"/>
          </w:tblCellMar>
        </w:tblPrEx>
        <w:trPr>
          <w:trHeight w:hRule="exact" w:val="227"/>
        </w:trPr>
        <w:tc>
          <w:tcPr>
            <w:tcW w:w="1440" w:type="dxa"/>
            <w:tcBorders>
              <w:top w:val="single" w:sz="4" w:space="0" w:color="auto"/>
              <w:left w:val="single" w:sz="12" w:space="0" w:color="auto"/>
              <w:bottom w:val="single" w:sz="4" w:space="0" w:color="auto"/>
              <w:right w:val="single" w:sz="12" w:space="0" w:color="auto"/>
              <w:tl2br w:val="nil"/>
              <w:tr2bl w:val="nil"/>
            </w:tcBorders>
            <w:textDirection w:val="lrTb"/>
            <w:vAlign w:val="center"/>
          </w:tcPr>
          <w:p w:rsidR="00ED3557" w:rsidRPr="005B5B4D" w:rsidP="00C362EA">
            <w:pPr>
              <w:spacing w:line="240" w:lineRule="auto"/>
              <w:rPr>
                <w:rFonts w:ascii="Arial Narrow" w:hAnsi="Arial Narrow" w:cs="Times New Roman"/>
                <w:sz w:val="18"/>
                <w:szCs w:val="18"/>
                <w:lang w:val="cs-CZ"/>
              </w:rPr>
            </w:pPr>
            <w:r w:rsidRPr="005B5B4D">
              <w:rPr>
                <w:rFonts w:ascii="Arial Narrow" w:hAnsi="Arial Narrow" w:cs="Times New Roman"/>
                <w:sz w:val="18"/>
                <w:szCs w:val="18"/>
                <w:lang w:val="cs-CZ"/>
              </w:rPr>
              <w:t>z toho: Bratislava</w:t>
            </w:r>
          </w:p>
        </w:tc>
        <w:tc>
          <w:tcPr>
            <w:tcW w:w="1300" w:type="dxa"/>
            <w:tcBorders>
              <w:top w:val="single" w:sz="4" w:space="0" w:color="auto"/>
              <w:left w:val="single" w:sz="12" w:space="0" w:color="auto"/>
              <w:bottom w:val="single" w:sz="4" w:space="0" w:color="auto"/>
              <w:right w:val="single" w:sz="12" w:space="0" w:color="auto"/>
              <w:tl2br w:val="nil"/>
              <w:tr2bl w:val="nil"/>
            </w:tcBorders>
            <w:textDirection w:val="lrTb"/>
            <w:vAlign w:val="center"/>
          </w:tcPr>
          <w:p w:rsidR="00ED3557" w:rsidRPr="005B5B4D" w:rsidP="00C362EA">
            <w:pPr>
              <w:spacing w:line="240" w:lineRule="auto"/>
              <w:jc w:val="right"/>
              <w:rPr>
                <w:rFonts w:ascii="Arial Narrow" w:hAnsi="Arial Narrow" w:cs="Times New Roman"/>
                <w:sz w:val="16"/>
                <w:szCs w:val="16"/>
                <w:lang w:val="cs-CZ"/>
              </w:rPr>
            </w:pPr>
            <w:r>
              <w:rPr>
                <w:rFonts w:ascii="Arial Narrow" w:hAnsi="Arial Narrow" w:cs="Times New Roman"/>
                <w:sz w:val="16"/>
                <w:szCs w:val="16"/>
                <w:lang w:val="cs-CZ"/>
              </w:rPr>
              <w:t>10 991</w:t>
            </w:r>
          </w:p>
        </w:tc>
        <w:tc>
          <w:tcPr>
            <w:tcW w:w="1220" w:type="dxa"/>
            <w:tcBorders>
              <w:top w:val="single" w:sz="4" w:space="0" w:color="auto"/>
              <w:left w:val="single" w:sz="12" w:space="0" w:color="auto"/>
              <w:bottom w:val="single" w:sz="4" w:space="0" w:color="auto"/>
              <w:right w:val="single" w:sz="12" w:space="0" w:color="auto"/>
              <w:tl2br w:val="nil"/>
              <w:tr2bl w:val="nil"/>
            </w:tcBorders>
            <w:textDirection w:val="lrTb"/>
            <w:vAlign w:val="center"/>
          </w:tcPr>
          <w:p w:rsidR="00ED3557" w:rsidRPr="005B5B4D" w:rsidP="00943C28">
            <w:pPr>
              <w:spacing w:line="240" w:lineRule="auto"/>
              <w:jc w:val="right"/>
              <w:rPr>
                <w:rFonts w:ascii="Arial Narrow" w:hAnsi="Arial Narrow" w:cs="Times New Roman"/>
                <w:sz w:val="16"/>
                <w:szCs w:val="16"/>
                <w:lang w:val="cs-CZ"/>
              </w:rPr>
            </w:pPr>
            <w:r w:rsidRPr="005B5B4D">
              <w:rPr>
                <w:rFonts w:ascii="Arial Narrow" w:hAnsi="Arial Narrow" w:cs="Times New Roman"/>
                <w:sz w:val="16"/>
                <w:szCs w:val="16"/>
                <w:lang w:val="cs-CZ"/>
              </w:rPr>
              <w:t> </w:t>
            </w:r>
            <w:r w:rsidR="00943C28">
              <w:rPr>
                <w:rFonts w:ascii="Arial Narrow" w:hAnsi="Arial Narrow" w:cs="Times New Roman"/>
                <w:sz w:val="16"/>
                <w:szCs w:val="16"/>
                <w:lang w:val="cs-CZ"/>
              </w:rPr>
              <w:t>11 793</w:t>
            </w:r>
          </w:p>
          <w:p w:rsidR="00ED3557" w:rsidRPr="005B5B4D" w:rsidP="00943C28">
            <w:pPr>
              <w:spacing w:line="240" w:lineRule="auto"/>
              <w:jc w:val="right"/>
              <w:rPr>
                <w:rFonts w:ascii="Arial Narrow" w:hAnsi="Arial Narrow" w:cs="Times New Roman"/>
                <w:sz w:val="16"/>
                <w:szCs w:val="16"/>
                <w:lang w:val="cs-CZ"/>
              </w:rPr>
            </w:pPr>
            <w:r>
              <w:rPr>
                <w:rFonts w:ascii="Arial Narrow" w:hAnsi="Arial Narrow" w:cs="Times New Roman"/>
                <w:sz w:val="16"/>
                <w:szCs w:val="16"/>
                <w:lang w:val="cs-CZ"/>
              </w:rPr>
              <w:t>11 793</w:t>
            </w:r>
          </w:p>
        </w:tc>
        <w:tc>
          <w:tcPr>
            <w:tcW w:w="632" w:type="dxa"/>
            <w:tcBorders>
              <w:top w:val="single" w:sz="4" w:space="0" w:color="auto"/>
              <w:left w:val="single" w:sz="12" w:space="0" w:color="auto"/>
              <w:bottom w:val="single" w:sz="4" w:space="0" w:color="auto"/>
              <w:right w:val="single" w:sz="4" w:space="0" w:color="auto"/>
              <w:tl2br w:val="nil"/>
              <w:tr2bl w:val="nil"/>
            </w:tcBorders>
            <w:textDirection w:val="lrTb"/>
            <w:vAlign w:val="center"/>
          </w:tcPr>
          <w:p w:rsidR="00ED3557" w:rsidRPr="005B5B4D" w:rsidP="00C362EA">
            <w:pPr>
              <w:spacing w:line="240" w:lineRule="auto"/>
              <w:jc w:val="right"/>
              <w:rPr>
                <w:rFonts w:ascii="Arial Narrow" w:hAnsi="Arial Narrow" w:cs="Times New Roman"/>
                <w:sz w:val="16"/>
                <w:szCs w:val="16"/>
                <w:lang w:val="cs-CZ"/>
              </w:rPr>
            </w:pPr>
            <w:r>
              <w:rPr>
                <w:rFonts w:ascii="Arial Narrow" w:hAnsi="Arial Narrow" w:cs="Times New Roman"/>
                <w:sz w:val="16"/>
                <w:szCs w:val="16"/>
                <w:lang w:val="cs-CZ"/>
              </w:rPr>
              <w:t>10 876</w:t>
            </w:r>
          </w:p>
        </w:tc>
        <w:tc>
          <w:tcPr>
            <w:tcW w:w="988"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ED3557" w:rsidRPr="005B5B4D" w:rsidP="00C362EA">
            <w:pPr>
              <w:spacing w:line="240" w:lineRule="auto"/>
              <w:rPr>
                <w:rFonts w:ascii="Arial Narrow" w:hAnsi="Arial Narrow" w:cs="Times New Roman"/>
                <w:sz w:val="16"/>
                <w:szCs w:val="16"/>
                <w:lang w:val="cs-CZ"/>
              </w:rPr>
            </w:pPr>
            <w:r w:rsidRPr="005B5B4D">
              <w:rPr>
                <w:rFonts w:ascii="Arial Narrow" w:hAnsi="Arial Narrow" w:cs="Times New Roman"/>
                <w:sz w:val="16"/>
                <w:szCs w:val="16"/>
                <w:lang w:val="cs-CZ"/>
              </w:rPr>
              <w:t> </w:t>
            </w:r>
          </w:p>
        </w:tc>
        <w:tc>
          <w:tcPr>
            <w:tcW w:w="659"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ED3557" w:rsidRPr="005B5B4D" w:rsidP="00C362EA">
            <w:pPr>
              <w:spacing w:line="240" w:lineRule="auto"/>
              <w:jc w:val="right"/>
              <w:rPr>
                <w:rFonts w:ascii="Arial Narrow" w:hAnsi="Arial Narrow" w:cs="Times New Roman"/>
                <w:sz w:val="16"/>
                <w:szCs w:val="16"/>
                <w:lang w:val="cs-CZ"/>
              </w:rPr>
            </w:pPr>
            <w:r>
              <w:rPr>
                <w:rFonts w:ascii="Arial Narrow" w:hAnsi="Arial Narrow" w:cs="Times New Roman"/>
                <w:sz w:val="16"/>
                <w:szCs w:val="16"/>
                <w:lang w:val="cs-CZ"/>
              </w:rPr>
              <w:t>917</w:t>
            </w:r>
          </w:p>
        </w:tc>
        <w:tc>
          <w:tcPr>
            <w:tcW w:w="761"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ED3557" w:rsidRPr="005B5B4D" w:rsidP="00C362EA">
            <w:pPr>
              <w:spacing w:line="240" w:lineRule="auto"/>
              <w:jc w:val="right"/>
              <w:rPr>
                <w:rFonts w:ascii="Arial Narrow" w:hAnsi="Arial Narrow" w:cs="Times New Roman"/>
                <w:sz w:val="16"/>
                <w:szCs w:val="16"/>
                <w:lang w:val="cs-CZ"/>
              </w:rPr>
            </w:pPr>
            <w:r>
              <w:rPr>
                <w:rFonts w:ascii="Arial Narrow" w:hAnsi="Arial Narrow" w:cs="Times New Roman"/>
                <w:sz w:val="16"/>
                <w:szCs w:val="16"/>
                <w:lang w:val="cs-CZ"/>
              </w:rPr>
              <w:t>11 793</w:t>
            </w:r>
          </w:p>
        </w:tc>
        <w:tc>
          <w:tcPr>
            <w:tcW w:w="670" w:type="dxa"/>
            <w:tcBorders>
              <w:top w:val="single" w:sz="4" w:space="0" w:color="auto"/>
              <w:left w:val="single" w:sz="4" w:space="0" w:color="auto"/>
              <w:bottom w:val="single" w:sz="4" w:space="0" w:color="auto"/>
              <w:right w:val="single" w:sz="12" w:space="0" w:color="auto"/>
              <w:tl2br w:val="nil"/>
              <w:tr2bl w:val="nil"/>
            </w:tcBorders>
            <w:noWrap/>
            <w:textDirection w:val="lrTb"/>
            <w:vAlign w:val="center"/>
          </w:tcPr>
          <w:p w:rsidR="00ED3557" w:rsidRPr="005B5B4D" w:rsidP="00C362EA">
            <w:pPr>
              <w:spacing w:line="240" w:lineRule="auto"/>
              <w:jc w:val="right"/>
              <w:rPr>
                <w:rFonts w:ascii="Arial Narrow" w:hAnsi="Arial Narrow" w:cs="Times New Roman"/>
                <w:sz w:val="16"/>
                <w:szCs w:val="16"/>
                <w:lang w:val="cs-CZ"/>
              </w:rPr>
            </w:pPr>
            <w:r w:rsidRPr="005B5B4D">
              <w:rPr>
                <w:rFonts w:ascii="Arial Narrow" w:hAnsi="Arial Narrow" w:cs="Times New Roman"/>
                <w:sz w:val="16"/>
                <w:szCs w:val="16"/>
                <w:lang w:val="cs-CZ"/>
              </w:rPr>
              <w:t>0</w:t>
            </w:r>
          </w:p>
        </w:tc>
      </w:tr>
      <w:tr>
        <w:tblPrEx>
          <w:tblW w:w="7670" w:type="dxa"/>
          <w:tblInd w:w="790" w:type="dxa"/>
          <w:tblLayout w:type="fixed"/>
          <w:tblCellMar>
            <w:left w:w="70" w:type="dxa"/>
            <w:right w:w="70" w:type="dxa"/>
          </w:tblCellMar>
        </w:tblPrEx>
        <w:trPr>
          <w:trHeight w:hRule="exact" w:val="227"/>
        </w:trPr>
        <w:tc>
          <w:tcPr>
            <w:tcW w:w="1440" w:type="dxa"/>
            <w:tcBorders>
              <w:top w:val="single" w:sz="4" w:space="0" w:color="auto"/>
              <w:left w:val="single" w:sz="12" w:space="0" w:color="auto"/>
              <w:bottom w:val="single" w:sz="4" w:space="0" w:color="auto"/>
              <w:right w:val="single" w:sz="12" w:space="0" w:color="auto"/>
              <w:tl2br w:val="nil"/>
              <w:tr2bl w:val="nil"/>
            </w:tcBorders>
            <w:textDirection w:val="lrTb"/>
            <w:vAlign w:val="center"/>
          </w:tcPr>
          <w:p w:rsidR="00ED3557" w:rsidRPr="005B5B4D" w:rsidP="00C362EA">
            <w:pPr>
              <w:spacing w:line="240" w:lineRule="auto"/>
              <w:rPr>
                <w:rFonts w:ascii="Arial Narrow" w:hAnsi="Arial Narrow" w:cs="Times New Roman"/>
                <w:sz w:val="18"/>
                <w:szCs w:val="18"/>
                <w:lang w:val="cs-CZ"/>
              </w:rPr>
            </w:pPr>
            <w:r w:rsidRPr="005B5B4D">
              <w:rPr>
                <w:rFonts w:ascii="Arial Narrow" w:hAnsi="Arial Narrow" w:cs="Times New Roman"/>
                <w:sz w:val="18"/>
                <w:szCs w:val="18"/>
                <w:lang w:val="cs-CZ"/>
              </w:rPr>
              <w:t>Trnava</w:t>
            </w:r>
          </w:p>
        </w:tc>
        <w:tc>
          <w:tcPr>
            <w:tcW w:w="1300" w:type="dxa"/>
            <w:tcBorders>
              <w:top w:val="single" w:sz="4" w:space="0" w:color="auto"/>
              <w:left w:val="single" w:sz="12" w:space="0" w:color="auto"/>
              <w:bottom w:val="single" w:sz="4" w:space="0" w:color="auto"/>
              <w:right w:val="single" w:sz="12" w:space="0" w:color="auto"/>
              <w:tl2br w:val="nil"/>
              <w:tr2bl w:val="nil"/>
            </w:tcBorders>
            <w:textDirection w:val="lrTb"/>
            <w:vAlign w:val="center"/>
          </w:tcPr>
          <w:p w:rsidR="00ED3557" w:rsidRPr="005B5B4D" w:rsidP="00C362EA">
            <w:pPr>
              <w:spacing w:line="240" w:lineRule="auto"/>
              <w:jc w:val="right"/>
              <w:rPr>
                <w:rFonts w:ascii="Arial Narrow" w:hAnsi="Arial Narrow" w:cs="Times New Roman"/>
                <w:sz w:val="16"/>
                <w:szCs w:val="16"/>
                <w:lang w:val="cs-CZ"/>
              </w:rPr>
            </w:pPr>
            <w:r>
              <w:rPr>
                <w:rFonts w:ascii="Arial Narrow" w:hAnsi="Arial Narrow" w:cs="Times New Roman"/>
                <w:sz w:val="16"/>
                <w:szCs w:val="16"/>
                <w:lang w:val="cs-CZ"/>
              </w:rPr>
              <w:t>9 402</w:t>
            </w:r>
          </w:p>
        </w:tc>
        <w:tc>
          <w:tcPr>
            <w:tcW w:w="1220" w:type="dxa"/>
            <w:tcBorders>
              <w:top w:val="single" w:sz="4" w:space="0" w:color="auto"/>
              <w:left w:val="single" w:sz="12" w:space="0" w:color="auto"/>
              <w:bottom w:val="single" w:sz="4" w:space="0" w:color="auto"/>
              <w:right w:val="single" w:sz="12" w:space="0" w:color="auto"/>
              <w:tl2br w:val="nil"/>
              <w:tr2bl w:val="nil"/>
            </w:tcBorders>
            <w:textDirection w:val="lrTb"/>
            <w:vAlign w:val="center"/>
          </w:tcPr>
          <w:p w:rsidR="00ED3557" w:rsidRPr="005B5B4D" w:rsidP="00943C28">
            <w:pPr>
              <w:spacing w:line="240" w:lineRule="auto"/>
              <w:jc w:val="right"/>
              <w:rPr>
                <w:rFonts w:ascii="Arial Narrow" w:hAnsi="Arial Narrow" w:cs="Times New Roman"/>
                <w:sz w:val="16"/>
                <w:szCs w:val="16"/>
                <w:lang w:val="cs-CZ"/>
              </w:rPr>
            </w:pPr>
            <w:r w:rsidRPr="005B5B4D">
              <w:rPr>
                <w:rFonts w:ascii="Arial Narrow" w:hAnsi="Arial Narrow" w:cs="Times New Roman"/>
                <w:sz w:val="16"/>
                <w:szCs w:val="16"/>
                <w:lang w:val="cs-CZ"/>
              </w:rPr>
              <w:t> </w:t>
            </w:r>
            <w:r w:rsidR="00943C28">
              <w:rPr>
                <w:rFonts w:ascii="Arial Narrow" w:hAnsi="Arial Narrow" w:cs="Times New Roman"/>
                <w:sz w:val="16"/>
                <w:szCs w:val="16"/>
                <w:lang w:val="cs-CZ"/>
              </w:rPr>
              <w:t>10 264</w:t>
            </w:r>
          </w:p>
          <w:p w:rsidR="00ED3557" w:rsidRPr="005B5B4D" w:rsidP="00943C28">
            <w:pPr>
              <w:spacing w:line="240" w:lineRule="auto"/>
              <w:jc w:val="right"/>
              <w:rPr>
                <w:rFonts w:ascii="Arial Narrow" w:hAnsi="Arial Narrow" w:cs="Times New Roman"/>
                <w:sz w:val="16"/>
                <w:szCs w:val="16"/>
                <w:lang w:val="cs-CZ"/>
              </w:rPr>
            </w:pPr>
            <w:r>
              <w:rPr>
                <w:rFonts w:ascii="Arial Narrow" w:hAnsi="Arial Narrow" w:cs="Times New Roman"/>
                <w:sz w:val="16"/>
                <w:szCs w:val="16"/>
                <w:lang w:val="cs-CZ"/>
              </w:rPr>
              <w:t>10 264</w:t>
            </w:r>
          </w:p>
        </w:tc>
        <w:tc>
          <w:tcPr>
            <w:tcW w:w="632" w:type="dxa"/>
            <w:tcBorders>
              <w:top w:val="single" w:sz="4" w:space="0" w:color="auto"/>
              <w:left w:val="single" w:sz="12" w:space="0" w:color="auto"/>
              <w:bottom w:val="single" w:sz="4" w:space="0" w:color="auto"/>
              <w:right w:val="single" w:sz="4" w:space="0" w:color="auto"/>
              <w:tl2br w:val="nil"/>
              <w:tr2bl w:val="nil"/>
            </w:tcBorders>
            <w:textDirection w:val="lrTb"/>
            <w:vAlign w:val="center"/>
          </w:tcPr>
          <w:p w:rsidR="00ED3557" w:rsidRPr="005B5B4D" w:rsidP="00C362EA">
            <w:pPr>
              <w:spacing w:line="240" w:lineRule="auto"/>
              <w:jc w:val="right"/>
              <w:rPr>
                <w:rFonts w:ascii="Arial Narrow" w:hAnsi="Arial Narrow" w:cs="Times New Roman"/>
                <w:sz w:val="16"/>
                <w:szCs w:val="16"/>
                <w:lang w:val="cs-CZ"/>
              </w:rPr>
            </w:pPr>
            <w:r>
              <w:rPr>
                <w:rFonts w:ascii="Arial Narrow" w:hAnsi="Arial Narrow" w:cs="Times New Roman"/>
                <w:sz w:val="16"/>
                <w:szCs w:val="16"/>
                <w:lang w:val="cs-CZ"/>
              </w:rPr>
              <w:t>9 484</w:t>
            </w:r>
          </w:p>
        </w:tc>
        <w:tc>
          <w:tcPr>
            <w:tcW w:w="988"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ED3557" w:rsidRPr="005B5B4D" w:rsidP="00C362EA">
            <w:pPr>
              <w:spacing w:line="240" w:lineRule="auto"/>
              <w:rPr>
                <w:rFonts w:ascii="Arial Narrow" w:hAnsi="Arial Narrow" w:cs="Times New Roman"/>
                <w:sz w:val="16"/>
                <w:szCs w:val="16"/>
                <w:lang w:val="cs-CZ"/>
              </w:rPr>
            </w:pPr>
            <w:r w:rsidRPr="005B5B4D">
              <w:rPr>
                <w:rFonts w:ascii="Arial Narrow" w:hAnsi="Arial Narrow" w:cs="Times New Roman"/>
                <w:sz w:val="16"/>
                <w:szCs w:val="16"/>
                <w:lang w:val="cs-CZ"/>
              </w:rPr>
              <w:t> </w:t>
            </w:r>
          </w:p>
        </w:tc>
        <w:tc>
          <w:tcPr>
            <w:tcW w:w="659"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ED3557" w:rsidRPr="005B5B4D" w:rsidP="00C362EA">
            <w:pPr>
              <w:spacing w:line="240" w:lineRule="auto"/>
              <w:jc w:val="right"/>
              <w:rPr>
                <w:rFonts w:ascii="Arial Narrow" w:hAnsi="Arial Narrow" w:cs="Times New Roman"/>
                <w:sz w:val="16"/>
                <w:szCs w:val="16"/>
                <w:lang w:val="cs-CZ"/>
              </w:rPr>
            </w:pPr>
            <w:r>
              <w:rPr>
                <w:rFonts w:ascii="Arial Narrow" w:hAnsi="Arial Narrow" w:cs="Times New Roman"/>
                <w:sz w:val="16"/>
                <w:szCs w:val="16"/>
                <w:lang w:val="cs-CZ"/>
              </w:rPr>
              <w:t>780</w:t>
            </w:r>
          </w:p>
        </w:tc>
        <w:tc>
          <w:tcPr>
            <w:tcW w:w="761"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ED3557" w:rsidRPr="005B5B4D" w:rsidP="00C362EA">
            <w:pPr>
              <w:spacing w:line="240" w:lineRule="auto"/>
              <w:jc w:val="right"/>
              <w:rPr>
                <w:rFonts w:ascii="Arial Narrow" w:hAnsi="Arial Narrow" w:cs="Times New Roman"/>
                <w:sz w:val="16"/>
                <w:szCs w:val="16"/>
                <w:lang w:val="cs-CZ"/>
              </w:rPr>
            </w:pPr>
            <w:r>
              <w:rPr>
                <w:rFonts w:ascii="Arial Narrow" w:hAnsi="Arial Narrow" w:cs="Times New Roman"/>
                <w:sz w:val="16"/>
                <w:szCs w:val="16"/>
                <w:lang w:val="cs-CZ"/>
              </w:rPr>
              <w:t>10 264</w:t>
            </w:r>
          </w:p>
        </w:tc>
        <w:tc>
          <w:tcPr>
            <w:tcW w:w="670" w:type="dxa"/>
            <w:tcBorders>
              <w:top w:val="single" w:sz="4" w:space="0" w:color="auto"/>
              <w:left w:val="single" w:sz="4" w:space="0" w:color="auto"/>
              <w:bottom w:val="single" w:sz="4" w:space="0" w:color="auto"/>
              <w:right w:val="single" w:sz="12" w:space="0" w:color="auto"/>
              <w:tl2br w:val="nil"/>
              <w:tr2bl w:val="nil"/>
            </w:tcBorders>
            <w:noWrap/>
            <w:textDirection w:val="lrTb"/>
            <w:vAlign w:val="center"/>
          </w:tcPr>
          <w:p w:rsidR="00ED3557" w:rsidRPr="005B5B4D" w:rsidP="00C362EA">
            <w:pPr>
              <w:spacing w:line="240" w:lineRule="auto"/>
              <w:jc w:val="right"/>
              <w:rPr>
                <w:rFonts w:ascii="Arial Narrow" w:hAnsi="Arial Narrow" w:cs="Times New Roman"/>
                <w:sz w:val="16"/>
                <w:szCs w:val="16"/>
                <w:lang w:val="cs-CZ"/>
              </w:rPr>
            </w:pPr>
            <w:r w:rsidRPr="005B5B4D">
              <w:rPr>
                <w:rFonts w:ascii="Arial Narrow" w:hAnsi="Arial Narrow" w:cs="Times New Roman"/>
                <w:sz w:val="16"/>
                <w:szCs w:val="16"/>
                <w:lang w:val="cs-CZ"/>
              </w:rPr>
              <w:t>0</w:t>
            </w:r>
          </w:p>
        </w:tc>
      </w:tr>
      <w:tr>
        <w:tblPrEx>
          <w:tblW w:w="7670" w:type="dxa"/>
          <w:tblInd w:w="790" w:type="dxa"/>
          <w:tblLayout w:type="fixed"/>
          <w:tblCellMar>
            <w:left w:w="70" w:type="dxa"/>
            <w:right w:w="70" w:type="dxa"/>
          </w:tblCellMar>
        </w:tblPrEx>
        <w:trPr>
          <w:trHeight w:hRule="exact" w:val="227"/>
        </w:trPr>
        <w:tc>
          <w:tcPr>
            <w:tcW w:w="1440" w:type="dxa"/>
            <w:tcBorders>
              <w:top w:val="single" w:sz="4" w:space="0" w:color="auto"/>
              <w:left w:val="single" w:sz="12" w:space="0" w:color="auto"/>
              <w:bottom w:val="single" w:sz="4" w:space="0" w:color="auto"/>
              <w:right w:val="single" w:sz="12" w:space="0" w:color="auto"/>
              <w:tl2br w:val="nil"/>
              <w:tr2bl w:val="nil"/>
            </w:tcBorders>
            <w:textDirection w:val="lrTb"/>
            <w:vAlign w:val="center"/>
          </w:tcPr>
          <w:p w:rsidR="00ED3557" w:rsidRPr="005B5B4D" w:rsidP="00C362EA">
            <w:pPr>
              <w:spacing w:line="240" w:lineRule="auto"/>
              <w:rPr>
                <w:rFonts w:ascii="Arial Narrow" w:hAnsi="Arial Narrow" w:cs="Times New Roman"/>
                <w:sz w:val="18"/>
                <w:szCs w:val="18"/>
                <w:lang w:val="cs-CZ"/>
              </w:rPr>
            </w:pPr>
            <w:r w:rsidRPr="005B5B4D">
              <w:rPr>
                <w:rFonts w:ascii="Arial Narrow" w:hAnsi="Arial Narrow" w:cs="Times New Roman"/>
                <w:sz w:val="18"/>
                <w:szCs w:val="18"/>
                <w:lang w:val="cs-CZ"/>
              </w:rPr>
              <w:t>Nitra</w:t>
            </w:r>
          </w:p>
        </w:tc>
        <w:tc>
          <w:tcPr>
            <w:tcW w:w="1300" w:type="dxa"/>
            <w:tcBorders>
              <w:top w:val="single" w:sz="4" w:space="0" w:color="auto"/>
              <w:left w:val="single" w:sz="12" w:space="0" w:color="auto"/>
              <w:bottom w:val="single" w:sz="4" w:space="0" w:color="auto"/>
              <w:right w:val="single" w:sz="12" w:space="0" w:color="auto"/>
              <w:tl2br w:val="nil"/>
              <w:tr2bl w:val="nil"/>
            </w:tcBorders>
            <w:textDirection w:val="lrTb"/>
            <w:vAlign w:val="center"/>
          </w:tcPr>
          <w:p w:rsidR="00ED3557" w:rsidRPr="005B5B4D" w:rsidP="00C362EA">
            <w:pPr>
              <w:spacing w:line="240" w:lineRule="auto"/>
              <w:jc w:val="right"/>
              <w:rPr>
                <w:rFonts w:ascii="Arial Narrow" w:hAnsi="Arial Narrow" w:cs="Times New Roman"/>
                <w:sz w:val="16"/>
                <w:szCs w:val="16"/>
                <w:lang w:val="cs-CZ"/>
              </w:rPr>
            </w:pPr>
            <w:r>
              <w:rPr>
                <w:rFonts w:ascii="Arial Narrow" w:hAnsi="Arial Narrow" w:cs="Times New Roman"/>
                <w:sz w:val="16"/>
                <w:szCs w:val="16"/>
                <w:lang w:val="cs-CZ"/>
              </w:rPr>
              <w:t>10 868</w:t>
            </w:r>
          </w:p>
        </w:tc>
        <w:tc>
          <w:tcPr>
            <w:tcW w:w="1220" w:type="dxa"/>
            <w:tcBorders>
              <w:top w:val="single" w:sz="4" w:space="0" w:color="auto"/>
              <w:left w:val="single" w:sz="12" w:space="0" w:color="auto"/>
              <w:bottom w:val="single" w:sz="4" w:space="0" w:color="auto"/>
              <w:right w:val="single" w:sz="12" w:space="0" w:color="auto"/>
              <w:tl2br w:val="nil"/>
              <w:tr2bl w:val="nil"/>
            </w:tcBorders>
            <w:textDirection w:val="lrTb"/>
            <w:vAlign w:val="center"/>
          </w:tcPr>
          <w:p w:rsidR="00ED3557" w:rsidRPr="005B5B4D" w:rsidP="00943C28">
            <w:pPr>
              <w:spacing w:line="240" w:lineRule="auto"/>
              <w:jc w:val="right"/>
              <w:rPr>
                <w:rFonts w:ascii="Arial Narrow" w:hAnsi="Arial Narrow" w:cs="Times New Roman"/>
                <w:sz w:val="16"/>
                <w:szCs w:val="16"/>
                <w:lang w:val="cs-CZ"/>
              </w:rPr>
            </w:pPr>
            <w:r w:rsidRPr="005B5B4D">
              <w:rPr>
                <w:rFonts w:ascii="Arial Narrow" w:hAnsi="Arial Narrow" w:cs="Times New Roman"/>
                <w:sz w:val="16"/>
                <w:szCs w:val="16"/>
                <w:lang w:val="cs-CZ"/>
              </w:rPr>
              <w:t> </w:t>
            </w:r>
            <w:r w:rsidR="00943C28">
              <w:rPr>
                <w:rFonts w:ascii="Arial Narrow" w:hAnsi="Arial Narrow" w:cs="Times New Roman"/>
                <w:sz w:val="16"/>
                <w:szCs w:val="16"/>
                <w:lang w:val="cs-CZ"/>
              </w:rPr>
              <w:t>11 488</w:t>
            </w:r>
          </w:p>
          <w:p w:rsidR="00ED3557" w:rsidRPr="005B5B4D" w:rsidP="00943C28">
            <w:pPr>
              <w:spacing w:line="240" w:lineRule="auto"/>
              <w:jc w:val="right"/>
              <w:rPr>
                <w:rFonts w:ascii="Arial Narrow" w:hAnsi="Arial Narrow" w:cs="Times New Roman"/>
                <w:sz w:val="16"/>
                <w:szCs w:val="16"/>
                <w:lang w:val="cs-CZ"/>
              </w:rPr>
            </w:pPr>
            <w:r>
              <w:rPr>
                <w:rFonts w:ascii="Arial Narrow" w:hAnsi="Arial Narrow" w:cs="Times New Roman"/>
                <w:sz w:val="16"/>
                <w:szCs w:val="16"/>
                <w:lang w:val="cs-CZ"/>
              </w:rPr>
              <w:t>11 488</w:t>
            </w:r>
          </w:p>
        </w:tc>
        <w:tc>
          <w:tcPr>
            <w:tcW w:w="632" w:type="dxa"/>
            <w:tcBorders>
              <w:top w:val="single" w:sz="4" w:space="0" w:color="auto"/>
              <w:left w:val="single" w:sz="12" w:space="0" w:color="auto"/>
              <w:bottom w:val="single" w:sz="4" w:space="0" w:color="auto"/>
              <w:right w:val="single" w:sz="4" w:space="0" w:color="auto"/>
              <w:tl2br w:val="nil"/>
              <w:tr2bl w:val="nil"/>
            </w:tcBorders>
            <w:textDirection w:val="lrTb"/>
            <w:vAlign w:val="center"/>
          </w:tcPr>
          <w:p w:rsidR="00ED3557" w:rsidRPr="005B5B4D" w:rsidP="00C362EA">
            <w:pPr>
              <w:spacing w:line="240" w:lineRule="auto"/>
              <w:jc w:val="right"/>
              <w:rPr>
                <w:rFonts w:ascii="Arial Narrow" w:hAnsi="Arial Narrow" w:cs="Times New Roman"/>
                <w:sz w:val="16"/>
                <w:szCs w:val="16"/>
                <w:lang w:val="cs-CZ"/>
              </w:rPr>
            </w:pPr>
            <w:r>
              <w:rPr>
                <w:rFonts w:ascii="Arial Narrow" w:hAnsi="Arial Narrow" w:cs="Times New Roman"/>
                <w:sz w:val="16"/>
                <w:szCs w:val="16"/>
                <w:lang w:val="cs-CZ"/>
              </w:rPr>
              <w:t>10 712</w:t>
            </w:r>
          </w:p>
        </w:tc>
        <w:tc>
          <w:tcPr>
            <w:tcW w:w="988"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ED3557" w:rsidRPr="005B5B4D" w:rsidP="00C362EA">
            <w:pPr>
              <w:spacing w:line="240" w:lineRule="auto"/>
              <w:rPr>
                <w:rFonts w:ascii="Arial Narrow" w:hAnsi="Arial Narrow" w:cs="Times New Roman"/>
                <w:sz w:val="16"/>
                <w:szCs w:val="16"/>
                <w:lang w:val="cs-CZ"/>
              </w:rPr>
            </w:pPr>
            <w:r w:rsidRPr="005B5B4D">
              <w:rPr>
                <w:rFonts w:ascii="Arial Narrow" w:hAnsi="Arial Narrow" w:cs="Times New Roman"/>
                <w:sz w:val="16"/>
                <w:szCs w:val="16"/>
                <w:lang w:val="cs-CZ"/>
              </w:rPr>
              <w:t> </w:t>
            </w:r>
          </w:p>
        </w:tc>
        <w:tc>
          <w:tcPr>
            <w:tcW w:w="659"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ED3557" w:rsidRPr="005B5B4D" w:rsidP="00C362EA">
            <w:pPr>
              <w:spacing w:line="240" w:lineRule="auto"/>
              <w:jc w:val="right"/>
              <w:rPr>
                <w:rFonts w:ascii="Arial Narrow" w:hAnsi="Arial Narrow" w:cs="Times New Roman"/>
                <w:sz w:val="16"/>
                <w:szCs w:val="16"/>
                <w:lang w:val="cs-CZ"/>
              </w:rPr>
            </w:pPr>
            <w:r>
              <w:rPr>
                <w:rFonts w:ascii="Arial Narrow" w:hAnsi="Arial Narrow" w:cs="Times New Roman"/>
                <w:sz w:val="16"/>
                <w:szCs w:val="16"/>
                <w:lang w:val="cs-CZ"/>
              </w:rPr>
              <w:t>776</w:t>
            </w:r>
          </w:p>
        </w:tc>
        <w:tc>
          <w:tcPr>
            <w:tcW w:w="761"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ED3557" w:rsidRPr="005B5B4D" w:rsidP="00C362EA">
            <w:pPr>
              <w:spacing w:line="240" w:lineRule="auto"/>
              <w:jc w:val="right"/>
              <w:rPr>
                <w:rFonts w:ascii="Arial Narrow" w:hAnsi="Arial Narrow" w:cs="Times New Roman"/>
                <w:sz w:val="16"/>
                <w:szCs w:val="16"/>
                <w:lang w:val="cs-CZ"/>
              </w:rPr>
            </w:pPr>
            <w:r>
              <w:rPr>
                <w:rFonts w:ascii="Arial Narrow" w:hAnsi="Arial Narrow" w:cs="Times New Roman"/>
                <w:sz w:val="16"/>
                <w:szCs w:val="16"/>
                <w:lang w:val="cs-CZ"/>
              </w:rPr>
              <w:t>11 488</w:t>
            </w:r>
          </w:p>
        </w:tc>
        <w:tc>
          <w:tcPr>
            <w:tcW w:w="670" w:type="dxa"/>
            <w:tcBorders>
              <w:top w:val="single" w:sz="4" w:space="0" w:color="auto"/>
              <w:left w:val="single" w:sz="4" w:space="0" w:color="auto"/>
              <w:bottom w:val="single" w:sz="4" w:space="0" w:color="auto"/>
              <w:right w:val="single" w:sz="12" w:space="0" w:color="auto"/>
              <w:tl2br w:val="nil"/>
              <w:tr2bl w:val="nil"/>
            </w:tcBorders>
            <w:noWrap/>
            <w:textDirection w:val="lrTb"/>
            <w:vAlign w:val="center"/>
          </w:tcPr>
          <w:p w:rsidR="00ED3557" w:rsidRPr="005B5B4D" w:rsidP="00C362EA">
            <w:pPr>
              <w:spacing w:line="240" w:lineRule="auto"/>
              <w:jc w:val="right"/>
              <w:rPr>
                <w:rFonts w:ascii="Arial Narrow" w:hAnsi="Arial Narrow" w:cs="Times New Roman"/>
                <w:sz w:val="16"/>
                <w:szCs w:val="16"/>
                <w:lang w:val="cs-CZ"/>
              </w:rPr>
            </w:pPr>
            <w:r w:rsidRPr="005B5B4D">
              <w:rPr>
                <w:rFonts w:ascii="Arial Narrow" w:hAnsi="Arial Narrow" w:cs="Times New Roman"/>
                <w:sz w:val="16"/>
                <w:szCs w:val="16"/>
                <w:lang w:val="cs-CZ"/>
              </w:rPr>
              <w:t>0</w:t>
            </w:r>
          </w:p>
        </w:tc>
      </w:tr>
      <w:tr>
        <w:tblPrEx>
          <w:tblW w:w="7670" w:type="dxa"/>
          <w:tblInd w:w="790" w:type="dxa"/>
          <w:tblLayout w:type="fixed"/>
          <w:tblCellMar>
            <w:left w:w="70" w:type="dxa"/>
            <w:right w:w="70" w:type="dxa"/>
          </w:tblCellMar>
        </w:tblPrEx>
        <w:trPr>
          <w:trHeight w:hRule="exact" w:val="227"/>
        </w:trPr>
        <w:tc>
          <w:tcPr>
            <w:tcW w:w="1440" w:type="dxa"/>
            <w:tcBorders>
              <w:top w:val="single" w:sz="4" w:space="0" w:color="auto"/>
              <w:left w:val="single" w:sz="12" w:space="0" w:color="auto"/>
              <w:bottom w:val="single" w:sz="4" w:space="0" w:color="auto"/>
              <w:right w:val="single" w:sz="12" w:space="0" w:color="auto"/>
              <w:tl2br w:val="nil"/>
              <w:tr2bl w:val="nil"/>
            </w:tcBorders>
            <w:textDirection w:val="lrTb"/>
            <w:vAlign w:val="center"/>
          </w:tcPr>
          <w:p w:rsidR="00ED3557" w:rsidRPr="005B5B4D" w:rsidP="00C362EA">
            <w:pPr>
              <w:spacing w:line="240" w:lineRule="auto"/>
              <w:rPr>
                <w:rFonts w:ascii="Arial Narrow" w:hAnsi="Arial Narrow" w:cs="Times New Roman"/>
                <w:sz w:val="18"/>
                <w:szCs w:val="18"/>
                <w:lang w:val="cs-CZ"/>
              </w:rPr>
            </w:pPr>
            <w:r w:rsidRPr="005B5B4D">
              <w:rPr>
                <w:rFonts w:ascii="Arial Narrow" w:hAnsi="Arial Narrow" w:cs="Times New Roman"/>
                <w:sz w:val="18"/>
                <w:szCs w:val="18"/>
                <w:lang w:val="cs-CZ"/>
              </w:rPr>
              <w:t>Trenčín</w:t>
            </w:r>
          </w:p>
        </w:tc>
        <w:tc>
          <w:tcPr>
            <w:tcW w:w="1300" w:type="dxa"/>
            <w:tcBorders>
              <w:top w:val="single" w:sz="4" w:space="0" w:color="auto"/>
              <w:left w:val="single" w:sz="12" w:space="0" w:color="auto"/>
              <w:bottom w:val="single" w:sz="4" w:space="0" w:color="auto"/>
              <w:right w:val="single" w:sz="12" w:space="0" w:color="auto"/>
              <w:tl2br w:val="nil"/>
              <w:tr2bl w:val="nil"/>
            </w:tcBorders>
            <w:textDirection w:val="lrTb"/>
            <w:vAlign w:val="center"/>
          </w:tcPr>
          <w:p w:rsidR="00ED3557" w:rsidRPr="005B5B4D" w:rsidP="00C362EA">
            <w:pPr>
              <w:spacing w:line="240" w:lineRule="auto"/>
              <w:jc w:val="right"/>
              <w:rPr>
                <w:rFonts w:ascii="Arial Narrow" w:hAnsi="Arial Narrow" w:cs="Times New Roman"/>
                <w:sz w:val="16"/>
                <w:szCs w:val="16"/>
                <w:lang w:val="cs-CZ"/>
              </w:rPr>
            </w:pPr>
            <w:r>
              <w:rPr>
                <w:rFonts w:ascii="Arial Narrow" w:hAnsi="Arial Narrow" w:cs="Times New Roman"/>
                <w:sz w:val="16"/>
                <w:szCs w:val="16"/>
                <w:lang w:val="cs-CZ"/>
              </w:rPr>
              <w:t>9 943</w:t>
            </w:r>
          </w:p>
        </w:tc>
        <w:tc>
          <w:tcPr>
            <w:tcW w:w="1220" w:type="dxa"/>
            <w:tcBorders>
              <w:top w:val="single" w:sz="4" w:space="0" w:color="auto"/>
              <w:left w:val="single" w:sz="12" w:space="0" w:color="auto"/>
              <w:bottom w:val="single" w:sz="4" w:space="0" w:color="auto"/>
              <w:right w:val="single" w:sz="12" w:space="0" w:color="auto"/>
              <w:tl2br w:val="nil"/>
              <w:tr2bl w:val="nil"/>
            </w:tcBorders>
            <w:textDirection w:val="lrTb"/>
            <w:vAlign w:val="center"/>
          </w:tcPr>
          <w:p w:rsidR="00ED3557" w:rsidRPr="005B5B4D" w:rsidP="00943C28">
            <w:pPr>
              <w:spacing w:line="240" w:lineRule="auto"/>
              <w:jc w:val="right"/>
              <w:rPr>
                <w:rFonts w:ascii="Arial Narrow" w:hAnsi="Arial Narrow" w:cs="Times New Roman"/>
                <w:sz w:val="16"/>
                <w:szCs w:val="16"/>
                <w:lang w:val="cs-CZ"/>
              </w:rPr>
            </w:pPr>
            <w:r w:rsidRPr="005B5B4D">
              <w:rPr>
                <w:rFonts w:ascii="Arial Narrow" w:hAnsi="Arial Narrow" w:cs="Times New Roman"/>
                <w:sz w:val="16"/>
                <w:szCs w:val="16"/>
                <w:lang w:val="cs-CZ"/>
              </w:rPr>
              <w:t> </w:t>
            </w:r>
            <w:r w:rsidR="00943C28">
              <w:rPr>
                <w:rFonts w:ascii="Arial Narrow" w:hAnsi="Arial Narrow" w:cs="Times New Roman"/>
                <w:sz w:val="16"/>
                <w:szCs w:val="16"/>
                <w:lang w:val="cs-CZ"/>
              </w:rPr>
              <w:t>10 561</w:t>
            </w:r>
          </w:p>
          <w:p w:rsidR="00ED3557" w:rsidRPr="005B5B4D" w:rsidP="00943C28">
            <w:pPr>
              <w:spacing w:line="240" w:lineRule="auto"/>
              <w:jc w:val="right"/>
              <w:rPr>
                <w:rFonts w:ascii="Arial Narrow" w:hAnsi="Arial Narrow" w:cs="Times New Roman"/>
                <w:sz w:val="16"/>
                <w:szCs w:val="16"/>
                <w:lang w:val="cs-CZ"/>
              </w:rPr>
            </w:pPr>
            <w:r>
              <w:rPr>
                <w:rFonts w:ascii="Arial Narrow" w:hAnsi="Arial Narrow" w:cs="Times New Roman"/>
                <w:sz w:val="16"/>
                <w:szCs w:val="16"/>
                <w:lang w:val="cs-CZ"/>
              </w:rPr>
              <w:t>10 561</w:t>
            </w:r>
          </w:p>
        </w:tc>
        <w:tc>
          <w:tcPr>
            <w:tcW w:w="632" w:type="dxa"/>
            <w:tcBorders>
              <w:top w:val="single" w:sz="4" w:space="0" w:color="auto"/>
              <w:left w:val="single" w:sz="12" w:space="0" w:color="auto"/>
              <w:bottom w:val="single" w:sz="4" w:space="0" w:color="auto"/>
              <w:right w:val="single" w:sz="4" w:space="0" w:color="auto"/>
              <w:tl2br w:val="nil"/>
              <w:tr2bl w:val="nil"/>
            </w:tcBorders>
            <w:textDirection w:val="lrTb"/>
            <w:vAlign w:val="center"/>
          </w:tcPr>
          <w:p w:rsidR="00ED3557" w:rsidRPr="005B5B4D" w:rsidP="00C362EA">
            <w:pPr>
              <w:spacing w:line="240" w:lineRule="auto"/>
              <w:jc w:val="right"/>
              <w:rPr>
                <w:rFonts w:ascii="Arial Narrow" w:hAnsi="Arial Narrow" w:cs="Times New Roman"/>
                <w:sz w:val="16"/>
                <w:szCs w:val="16"/>
                <w:lang w:val="cs-CZ"/>
              </w:rPr>
            </w:pPr>
            <w:r>
              <w:rPr>
                <w:rFonts w:ascii="Arial Narrow" w:hAnsi="Arial Narrow" w:cs="Times New Roman"/>
                <w:sz w:val="16"/>
                <w:szCs w:val="16"/>
                <w:lang w:val="cs-CZ"/>
              </w:rPr>
              <w:t>9 967</w:t>
            </w:r>
          </w:p>
        </w:tc>
        <w:tc>
          <w:tcPr>
            <w:tcW w:w="988"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ED3557" w:rsidRPr="005B5B4D" w:rsidP="00C362EA">
            <w:pPr>
              <w:spacing w:line="240" w:lineRule="auto"/>
              <w:rPr>
                <w:rFonts w:ascii="Arial Narrow" w:hAnsi="Arial Narrow" w:cs="Times New Roman"/>
                <w:sz w:val="16"/>
                <w:szCs w:val="16"/>
                <w:lang w:val="cs-CZ"/>
              </w:rPr>
            </w:pPr>
            <w:r w:rsidRPr="005B5B4D">
              <w:rPr>
                <w:rFonts w:ascii="Arial Narrow" w:hAnsi="Arial Narrow" w:cs="Times New Roman"/>
                <w:sz w:val="16"/>
                <w:szCs w:val="16"/>
                <w:lang w:val="cs-CZ"/>
              </w:rPr>
              <w:t> </w:t>
            </w:r>
          </w:p>
        </w:tc>
        <w:tc>
          <w:tcPr>
            <w:tcW w:w="659"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ED3557" w:rsidRPr="005B5B4D" w:rsidP="00C362EA">
            <w:pPr>
              <w:spacing w:line="240" w:lineRule="auto"/>
              <w:jc w:val="right"/>
              <w:rPr>
                <w:rFonts w:ascii="Arial Narrow" w:hAnsi="Arial Narrow" w:cs="Times New Roman"/>
                <w:sz w:val="16"/>
                <w:szCs w:val="16"/>
                <w:lang w:val="cs-CZ"/>
              </w:rPr>
            </w:pPr>
            <w:r>
              <w:rPr>
                <w:rFonts w:ascii="Arial Narrow" w:hAnsi="Arial Narrow" w:cs="Times New Roman"/>
                <w:sz w:val="16"/>
                <w:szCs w:val="16"/>
                <w:lang w:val="cs-CZ"/>
              </w:rPr>
              <w:t>594</w:t>
            </w:r>
          </w:p>
        </w:tc>
        <w:tc>
          <w:tcPr>
            <w:tcW w:w="761"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ED3557" w:rsidRPr="005B5B4D" w:rsidP="00C362EA">
            <w:pPr>
              <w:spacing w:line="240" w:lineRule="auto"/>
              <w:jc w:val="right"/>
              <w:rPr>
                <w:rFonts w:ascii="Arial Narrow" w:hAnsi="Arial Narrow" w:cs="Times New Roman"/>
                <w:sz w:val="16"/>
                <w:szCs w:val="16"/>
                <w:lang w:val="cs-CZ"/>
              </w:rPr>
            </w:pPr>
            <w:r>
              <w:rPr>
                <w:rFonts w:ascii="Arial Narrow" w:hAnsi="Arial Narrow" w:cs="Times New Roman"/>
                <w:sz w:val="16"/>
                <w:szCs w:val="16"/>
                <w:lang w:val="cs-CZ"/>
              </w:rPr>
              <w:t>10 561</w:t>
            </w:r>
          </w:p>
        </w:tc>
        <w:tc>
          <w:tcPr>
            <w:tcW w:w="670" w:type="dxa"/>
            <w:tcBorders>
              <w:top w:val="single" w:sz="4" w:space="0" w:color="auto"/>
              <w:left w:val="single" w:sz="4" w:space="0" w:color="auto"/>
              <w:bottom w:val="single" w:sz="4" w:space="0" w:color="auto"/>
              <w:right w:val="single" w:sz="12" w:space="0" w:color="auto"/>
              <w:tl2br w:val="nil"/>
              <w:tr2bl w:val="nil"/>
            </w:tcBorders>
            <w:noWrap/>
            <w:textDirection w:val="lrTb"/>
            <w:vAlign w:val="center"/>
          </w:tcPr>
          <w:p w:rsidR="00ED3557" w:rsidRPr="005B5B4D" w:rsidP="00C362EA">
            <w:pPr>
              <w:spacing w:line="240" w:lineRule="auto"/>
              <w:jc w:val="right"/>
              <w:rPr>
                <w:rFonts w:ascii="Arial Narrow" w:hAnsi="Arial Narrow" w:cs="Times New Roman"/>
                <w:sz w:val="16"/>
                <w:szCs w:val="16"/>
                <w:lang w:val="cs-CZ"/>
              </w:rPr>
            </w:pPr>
            <w:r w:rsidRPr="005B5B4D">
              <w:rPr>
                <w:rFonts w:ascii="Arial Narrow" w:hAnsi="Arial Narrow" w:cs="Times New Roman"/>
                <w:sz w:val="16"/>
                <w:szCs w:val="16"/>
                <w:lang w:val="cs-CZ"/>
              </w:rPr>
              <w:t>0</w:t>
            </w:r>
          </w:p>
        </w:tc>
      </w:tr>
      <w:tr>
        <w:tblPrEx>
          <w:tblW w:w="7670" w:type="dxa"/>
          <w:tblInd w:w="790" w:type="dxa"/>
          <w:tblLayout w:type="fixed"/>
          <w:tblCellMar>
            <w:left w:w="70" w:type="dxa"/>
            <w:right w:w="70" w:type="dxa"/>
          </w:tblCellMar>
        </w:tblPrEx>
        <w:trPr>
          <w:trHeight w:hRule="exact" w:val="227"/>
        </w:trPr>
        <w:tc>
          <w:tcPr>
            <w:tcW w:w="1440" w:type="dxa"/>
            <w:tcBorders>
              <w:top w:val="single" w:sz="4" w:space="0" w:color="auto"/>
              <w:left w:val="single" w:sz="12" w:space="0" w:color="auto"/>
              <w:bottom w:val="single" w:sz="4" w:space="0" w:color="auto"/>
              <w:right w:val="single" w:sz="12" w:space="0" w:color="auto"/>
              <w:tl2br w:val="nil"/>
              <w:tr2bl w:val="nil"/>
            </w:tcBorders>
            <w:textDirection w:val="lrTb"/>
            <w:vAlign w:val="center"/>
          </w:tcPr>
          <w:p w:rsidR="00ED3557" w:rsidRPr="005B5B4D" w:rsidP="00C362EA">
            <w:pPr>
              <w:spacing w:line="240" w:lineRule="auto"/>
              <w:rPr>
                <w:rFonts w:ascii="Arial Narrow" w:hAnsi="Arial Narrow" w:cs="Times New Roman"/>
                <w:sz w:val="18"/>
                <w:szCs w:val="18"/>
                <w:lang w:val="cs-CZ"/>
              </w:rPr>
            </w:pPr>
            <w:r>
              <w:rPr>
                <w:rFonts w:ascii="Arial Narrow" w:hAnsi="Arial Narrow" w:cs="Times New Roman"/>
                <w:sz w:val="18"/>
                <w:szCs w:val="18"/>
                <w:lang w:val="cs-CZ"/>
              </w:rPr>
              <w:t xml:space="preserve">B. </w:t>
            </w:r>
            <w:r w:rsidRPr="005B5B4D">
              <w:rPr>
                <w:rFonts w:ascii="Arial Narrow" w:hAnsi="Arial Narrow" w:cs="Times New Roman"/>
                <w:sz w:val="18"/>
                <w:szCs w:val="18"/>
                <w:lang w:val="cs-CZ"/>
              </w:rPr>
              <w:t>Bystrica</w:t>
            </w:r>
          </w:p>
        </w:tc>
        <w:tc>
          <w:tcPr>
            <w:tcW w:w="1300" w:type="dxa"/>
            <w:tcBorders>
              <w:top w:val="single" w:sz="4" w:space="0" w:color="auto"/>
              <w:left w:val="single" w:sz="12" w:space="0" w:color="auto"/>
              <w:bottom w:val="single" w:sz="4" w:space="0" w:color="auto"/>
              <w:right w:val="single" w:sz="12" w:space="0" w:color="auto"/>
              <w:tl2br w:val="nil"/>
              <w:tr2bl w:val="nil"/>
            </w:tcBorders>
            <w:textDirection w:val="lrTb"/>
            <w:vAlign w:val="center"/>
          </w:tcPr>
          <w:p w:rsidR="00ED3557" w:rsidRPr="005B5B4D" w:rsidP="00C362EA">
            <w:pPr>
              <w:spacing w:line="240" w:lineRule="auto"/>
              <w:jc w:val="right"/>
              <w:rPr>
                <w:rFonts w:ascii="Arial Narrow" w:hAnsi="Arial Narrow" w:cs="Times New Roman"/>
                <w:sz w:val="16"/>
                <w:szCs w:val="16"/>
                <w:lang w:val="cs-CZ"/>
              </w:rPr>
            </w:pPr>
            <w:r>
              <w:rPr>
                <w:rFonts w:ascii="Arial Narrow" w:hAnsi="Arial Narrow" w:cs="Times New Roman"/>
                <w:sz w:val="16"/>
                <w:szCs w:val="16"/>
                <w:lang w:val="cs-CZ"/>
              </w:rPr>
              <w:t>13 237</w:t>
            </w:r>
          </w:p>
        </w:tc>
        <w:tc>
          <w:tcPr>
            <w:tcW w:w="1220" w:type="dxa"/>
            <w:tcBorders>
              <w:top w:val="single" w:sz="4" w:space="0" w:color="auto"/>
              <w:left w:val="single" w:sz="12" w:space="0" w:color="auto"/>
              <w:bottom w:val="single" w:sz="4" w:space="0" w:color="auto"/>
              <w:right w:val="single" w:sz="12" w:space="0" w:color="auto"/>
              <w:tl2br w:val="nil"/>
              <w:tr2bl w:val="nil"/>
            </w:tcBorders>
            <w:textDirection w:val="lrTb"/>
            <w:vAlign w:val="center"/>
          </w:tcPr>
          <w:p w:rsidR="00ED3557" w:rsidRPr="005B5B4D" w:rsidP="00943C28">
            <w:pPr>
              <w:spacing w:line="240" w:lineRule="auto"/>
              <w:jc w:val="right"/>
              <w:rPr>
                <w:rFonts w:ascii="Arial Narrow" w:hAnsi="Arial Narrow" w:cs="Times New Roman"/>
                <w:sz w:val="16"/>
                <w:szCs w:val="16"/>
                <w:lang w:val="cs-CZ"/>
              </w:rPr>
            </w:pPr>
            <w:r w:rsidRPr="005B5B4D">
              <w:rPr>
                <w:rFonts w:ascii="Arial Narrow" w:hAnsi="Arial Narrow" w:cs="Times New Roman"/>
                <w:sz w:val="16"/>
                <w:szCs w:val="16"/>
                <w:lang w:val="cs-CZ"/>
              </w:rPr>
              <w:t> </w:t>
            </w:r>
            <w:r w:rsidR="00943C28">
              <w:rPr>
                <w:rFonts w:ascii="Arial Narrow" w:hAnsi="Arial Narrow" w:cs="Times New Roman"/>
                <w:sz w:val="16"/>
                <w:szCs w:val="16"/>
                <w:lang w:val="cs-CZ"/>
              </w:rPr>
              <w:t>13 949</w:t>
            </w:r>
          </w:p>
          <w:p w:rsidR="00ED3557" w:rsidRPr="005B5B4D" w:rsidP="00943C28">
            <w:pPr>
              <w:spacing w:line="240" w:lineRule="auto"/>
              <w:jc w:val="right"/>
              <w:rPr>
                <w:rFonts w:ascii="Arial Narrow" w:hAnsi="Arial Narrow" w:cs="Times New Roman"/>
                <w:sz w:val="16"/>
                <w:szCs w:val="16"/>
                <w:lang w:val="cs-CZ"/>
              </w:rPr>
            </w:pPr>
            <w:r>
              <w:rPr>
                <w:rFonts w:ascii="Arial Narrow" w:hAnsi="Arial Narrow" w:cs="Times New Roman"/>
                <w:sz w:val="16"/>
                <w:szCs w:val="16"/>
                <w:lang w:val="cs-CZ"/>
              </w:rPr>
              <w:t>13 949</w:t>
            </w:r>
          </w:p>
        </w:tc>
        <w:tc>
          <w:tcPr>
            <w:tcW w:w="632" w:type="dxa"/>
            <w:tcBorders>
              <w:top w:val="single" w:sz="4" w:space="0" w:color="auto"/>
              <w:left w:val="single" w:sz="12" w:space="0" w:color="auto"/>
              <w:bottom w:val="single" w:sz="4" w:space="0" w:color="auto"/>
              <w:right w:val="single" w:sz="4" w:space="0" w:color="auto"/>
              <w:tl2br w:val="nil"/>
              <w:tr2bl w:val="nil"/>
            </w:tcBorders>
            <w:textDirection w:val="lrTb"/>
            <w:vAlign w:val="center"/>
          </w:tcPr>
          <w:p w:rsidR="00ED3557" w:rsidRPr="005B5B4D" w:rsidP="00C362EA">
            <w:pPr>
              <w:spacing w:line="240" w:lineRule="auto"/>
              <w:jc w:val="right"/>
              <w:rPr>
                <w:rFonts w:ascii="Arial Narrow" w:hAnsi="Arial Narrow" w:cs="Times New Roman"/>
                <w:sz w:val="16"/>
                <w:szCs w:val="16"/>
                <w:lang w:val="cs-CZ"/>
              </w:rPr>
            </w:pPr>
            <w:r>
              <w:rPr>
                <w:rFonts w:ascii="Arial Narrow" w:hAnsi="Arial Narrow" w:cs="Times New Roman"/>
                <w:sz w:val="16"/>
                <w:szCs w:val="16"/>
                <w:lang w:val="cs-CZ"/>
              </w:rPr>
              <w:t>13 096</w:t>
            </w:r>
          </w:p>
        </w:tc>
        <w:tc>
          <w:tcPr>
            <w:tcW w:w="988"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ED3557" w:rsidRPr="005B5B4D" w:rsidP="00C362EA">
            <w:pPr>
              <w:spacing w:line="240" w:lineRule="auto"/>
              <w:rPr>
                <w:rFonts w:ascii="Arial Narrow" w:hAnsi="Arial Narrow" w:cs="Times New Roman"/>
                <w:sz w:val="16"/>
                <w:szCs w:val="16"/>
                <w:lang w:val="cs-CZ"/>
              </w:rPr>
            </w:pPr>
            <w:r w:rsidRPr="005B5B4D">
              <w:rPr>
                <w:rFonts w:ascii="Arial Narrow" w:hAnsi="Arial Narrow" w:cs="Times New Roman"/>
                <w:sz w:val="16"/>
                <w:szCs w:val="16"/>
                <w:lang w:val="cs-CZ"/>
              </w:rPr>
              <w:t> </w:t>
            </w:r>
          </w:p>
        </w:tc>
        <w:tc>
          <w:tcPr>
            <w:tcW w:w="659"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ED3557" w:rsidRPr="005B5B4D" w:rsidP="00C362EA">
            <w:pPr>
              <w:spacing w:line="240" w:lineRule="auto"/>
              <w:jc w:val="right"/>
              <w:rPr>
                <w:rFonts w:ascii="Arial Narrow" w:hAnsi="Arial Narrow" w:cs="Times New Roman"/>
                <w:sz w:val="16"/>
                <w:szCs w:val="16"/>
                <w:lang w:val="cs-CZ"/>
              </w:rPr>
            </w:pPr>
            <w:r>
              <w:rPr>
                <w:rFonts w:ascii="Arial Narrow" w:hAnsi="Arial Narrow" w:cs="Times New Roman"/>
                <w:sz w:val="16"/>
                <w:szCs w:val="16"/>
                <w:lang w:val="cs-CZ"/>
              </w:rPr>
              <w:t>853</w:t>
            </w:r>
          </w:p>
        </w:tc>
        <w:tc>
          <w:tcPr>
            <w:tcW w:w="761"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ED3557" w:rsidRPr="005B5B4D" w:rsidP="00C362EA">
            <w:pPr>
              <w:spacing w:line="240" w:lineRule="auto"/>
              <w:jc w:val="right"/>
              <w:rPr>
                <w:rFonts w:ascii="Arial Narrow" w:hAnsi="Arial Narrow" w:cs="Times New Roman"/>
                <w:sz w:val="16"/>
                <w:szCs w:val="16"/>
                <w:lang w:val="cs-CZ"/>
              </w:rPr>
            </w:pPr>
            <w:r>
              <w:rPr>
                <w:rFonts w:ascii="Arial Narrow" w:hAnsi="Arial Narrow" w:cs="Times New Roman"/>
                <w:sz w:val="16"/>
                <w:szCs w:val="16"/>
                <w:lang w:val="cs-CZ"/>
              </w:rPr>
              <w:t>13 949</w:t>
            </w:r>
          </w:p>
        </w:tc>
        <w:tc>
          <w:tcPr>
            <w:tcW w:w="670" w:type="dxa"/>
            <w:tcBorders>
              <w:top w:val="single" w:sz="4" w:space="0" w:color="auto"/>
              <w:left w:val="single" w:sz="4" w:space="0" w:color="auto"/>
              <w:bottom w:val="single" w:sz="4" w:space="0" w:color="auto"/>
              <w:right w:val="single" w:sz="12" w:space="0" w:color="auto"/>
              <w:tl2br w:val="nil"/>
              <w:tr2bl w:val="nil"/>
            </w:tcBorders>
            <w:noWrap/>
            <w:textDirection w:val="lrTb"/>
            <w:vAlign w:val="center"/>
          </w:tcPr>
          <w:p w:rsidR="00ED3557" w:rsidRPr="005B5B4D" w:rsidP="00C362EA">
            <w:pPr>
              <w:spacing w:line="240" w:lineRule="auto"/>
              <w:jc w:val="right"/>
              <w:rPr>
                <w:rFonts w:ascii="Arial Narrow" w:hAnsi="Arial Narrow" w:cs="Times New Roman"/>
                <w:sz w:val="16"/>
                <w:szCs w:val="16"/>
                <w:lang w:val="cs-CZ"/>
              </w:rPr>
            </w:pPr>
            <w:r w:rsidRPr="005B5B4D">
              <w:rPr>
                <w:rFonts w:ascii="Arial Narrow" w:hAnsi="Arial Narrow" w:cs="Times New Roman"/>
                <w:sz w:val="16"/>
                <w:szCs w:val="16"/>
                <w:lang w:val="cs-CZ"/>
              </w:rPr>
              <w:t>0</w:t>
            </w:r>
          </w:p>
        </w:tc>
      </w:tr>
      <w:tr>
        <w:tblPrEx>
          <w:tblW w:w="7670" w:type="dxa"/>
          <w:tblInd w:w="790" w:type="dxa"/>
          <w:tblLayout w:type="fixed"/>
          <w:tblCellMar>
            <w:left w:w="70" w:type="dxa"/>
            <w:right w:w="70" w:type="dxa"/>
          </w:tblCellMar>
        </w:tblPrEx>
        <w:trPr>
          <w:trHeight w:hRule="exact" w:val="227"/>
        </w:trPr>
        <w:tc>
          <w:tcPr>
            <w:tcW w:w="1440" w:type="dxa"/>
            <w:tcBorders>
              <w:top w:val="single" w:sz="4" w:space="0" w:color="auto"/>
              <w:left w:val="single" w:sz="12" w:space="0" w:color="auto"/>
              <w:bottom w:val="single" w:sz="4" w:space="0" w:color="auto"/>
              <w:right w:val="single" w:sz="12" w:space="0" w:color="auto"/>
              <w:tl2br w:val="nil"/>
              <w:tr2bl w:val="nil"/>
            </w:tcBorders>
            <w:textDirection w:val="lrTb"/>
            <w:vAlign w:val="center"/>
          </w:tcPr>
          <w:p w:rsidR="00ED3557" w:rsidRPr="005B5B4D" w:rsidP="00C362EA">
            <w:pPr>
              <w:spacing w:line="240" w:lineRule="auto"/>
              <w:rPr>
                <w:rFonts w:ascii="Arial Narrow" w:hAnsi="Arial Narrow" w:cs="Times New Roman"/>
                <w:sz w:val="18"/>
                <w:szCs w:val="18"/>
                <w:lang w:val="cs-CZ"/>
              </w:rPr>
            </w:pPr>
            <w:r w:rsidRPr="005B5B4D">
              <w:rPr>
                <w:rFonts w:ascii="Arial Narrow" w:hAnsi="Arial Narrow" w:cs="Times New Roman"/>
                <w:sz w:val="18"/>
                <w:szCs w:val="18"/>
                <w:lang w:val="cs-CZ"/>
              </w:rPr>
              <w:t>Žilina</w:t>
            </w:r>
          </w:p>
        </w:tc>
        <w:tc>
          <w:tcPr>
            <w:tcW w:w="1300" w:type="dxa"/>
            <w:tcBorders>
              <w:top w:val="single" w:sz="4" w:space="0" w:color="auto"/>
              <w:left w:val="single" w:sz="12" w:space="0" w:color="auto"/>
              <w:bottom w:val="single" w:sz="4" w:space="0" w:color="auto"/>
              <w:right w:val="single" w:sz="12" w:space="0" w:color="auto"/>
              <w:tl2br w:val="nil"/>
              <w:tr2bl w:val="nil"/>
            </w:tcBorders>
            <w:textDirection w:val="lrTb"/>
            <w:vAlign w:val="center"/>
          </w:tcPr>
          <w:p w:rsidR="00ED3557" w:rsidRPr="005B5B4D" w:rsidP="00C362EA">
            <w:pPr>
              <w:spacing w:line="240" w:lineRule="auto"/>
              <w:jc w:val="right"/>
              <w:rPr>
                <w:rFonts w:ascii="Arial Narrow" w:hAnsi="Arial Narrow" w:cs="Times New Roman"/>
                <w:sz w:val="16"/>
                <w:szCs w:val="16"/>
                <w:lang w:val="cs-CZ"/>
              </w:rPr>
            </w:pPr>
            <w:r>
              <w:rPr>
                <w:rFonts w:ascii="Arial Narrow" w:hAnsi="Arial Narrow" w:cs="Times New Roman"/>
                <w:sz w:val="16"/>
                <w:szCs w:val="16"/>
                <w:lang w:val="cs-CZ"/>
              </w:rPr>
              <w:t>12 618</w:t>
            </w:r>
          </w:p>
        </w:tc>
        <w:tc>
          <w:tcPr>
            <w:tcW w:w="1220" w:type="dxa"/>
            <w:tcBorders>
              <w:top w:val="single" w:sz="4" w:space="0" w:color="auto"/>
              <w:left w:val="single" w:sz="12" w:space="0" w:color="auto"/>
              <w:bottom w:val="single" w:sz="4" w:space="0" w:color="auto"/>
              <w:right w:val="single" w:sz="12" w:space="0" w:color="auto"/>
              <w:tl2br w:val="nil"/>
              <w:tr2bl w:val="nil"/>
            </w:tcBorders>
            <w:textDirection w:val="lrTb"/>
            <w:vAlign w:val="center"/>
          </w:tcPr>
          <w:p w:rsidR="00ED3557" w:rsidRPr="005B5B4D" w:rsidP="00A61E2F">
            <w:pPr>
              <w:spacing w:line="240" w:lineRule="auto"/>
              <w:jc w:val="right"/>
              <w:rPr>
                <w:rFonts w:ascii="Arial Narrow" w:hAnsi="Arial Narrow" w:cs="Times New Roman"/>
                <w:sz w:val="16"/>
                <w:szCs w:val="16"/>
                <w:lang w:val="cs-CZ"/>
              </w:rPr>
            </w:pPr>
            <w:r w:rsidRPr="005B5B4D">
              <w:rPr>
                <w:rFonts w:ascii="Arial Narrow" w:hAnsi="Arial Narrow" w:cs="Times New Roman"/>
                <w:sz w:val="16"/>
                <w:szCs w:val="16"/>
                <w:lang w:val="cs-CZ"/>
              </w:rPr>
              <w:t> </w:t>
            </w:r>
            <w:r w:rsidR="00A61E2F">
              <w:rPr>
                <w:rFonts w:ascii="Arial Narrow" w:hAnsi="Arial Narrow" w:cs="Times New Roman"/>
                <w:sz w:val="16"/>
                <w:szCs w:val="16"/>
                <w:lang w:val="cs-CZ"/>
              </w:rPr>
              <w:t>13 241</w:t>
            </w:r>
          </w:p>
          <w:p w:rsidR="00ED3557" w:rsidRPr="005B5B4D" w:rsidP="00A61E2F">
            <w:pPr>
              <w:spacing w:line="240" w:lineRule="auto"/>
              <w:jc w:val="right"/>
              <w:rPr>
                <w:rFonts w:ascii="Arial Narrow" w:hAnsi="Arial Narrow" w:cs="Times New Roman"/>
                <w:sz w:val="16"/>
                <w:szCs w:val="16"/>
                <w:lang w:val="cs-CZ"/>
              </w:rPr>
            </w:pPr>
            <w:r>
              <w:rPr>
                <w:rFonts w:ascii="Arial Narrow" w:hAnsi="Arial Narrow" w:cs="Times New Roman"/>
                <w:sz w:val="16"/>
                <w:szCs w:val="16"/>
                <w:lang w:val="cs-CZ"/>
              </w:rPr>
              <w:t>13 241</w:t>
            </w:r>
          </w:p>
        </w:tc>
        <w:tc>
          <w:tcPr>
            <w:tcW w:w="632" w:type="dxa"/>
            <w:tcBorders>
              <w:top w:val="single" w:sz="4" w:space="0" w:color="auto"/>
              <w:left w:val="single" w:sz="12" w:space="0" w:color="auto"/>
              <w:bottom w:val="single" w:sz="4" w:space="0" w:color="auto"/>
              <w:right w:val="single" w:sz="4" w:space="0" w:color="auto"/>
              <w:tl2br w:val="nil"/>
              <w:tr2bl w:val="nil"/>
            </w:tcBorders>
            <w:textDirection w:val="lrTb"/>
            <w:vAlign w:val="center"/>
          </w:tcPr>
          <w:p w:rsidR="00ED3557" w:rsidRPr="005B5B4D" w:rsidP="00C362EA">
            <w:pPr>
              <w:spacing w:line="240" w:lineRule="auto"/>
              <w:jc w:val="right"/>
              <w:rPr>
                <w:rFonts w:ascii="Arial Narrow" w:hAnsi="Arial Narrow" w:cs="Times New Roman"/>
                <w:sz w:val="16"/>
                <w:szCs w:val="16"/>
                <w:lang w:val="cs-CZ"/>
              </w:rPr>
            </w:pPr>
            <w:r>
              <w:rPr>
                <w:rFonts w:ascii="Arial Narrow" w:hAnsi="Arial Narrow" w:cs="Times New Roman"/>
                <w:sz w:val="16"/>
                <w:szCs w:val="16"/>
                <w:lang w:val="cs-CZ"/>
              </w:rPr>
              <w:t>12 446</w:t>
            </w:r>
          </w:p>
        </w:tc>
        <w:tc>
          <w:tcPr>
            <w:tcW w:w="988"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ED3557" w:rsidRPr="005B5B4D" w:rsidP="00C362EA">
            <w:pPr>
              <w:spacing w:line="240" w:lineRule="auto"/>
              <w:rPr>
                <w:rFonts w:ascii="Arial Narrow" w:hAnsi="Arial Narrow" w:cs="Times New Roman"/>
                <w:sz w:val="16"/>
                <w:szCs w:val="16"/>
                <w:lang w:val="cs-CZ"/>
              </w:rPr>
            </w:pPr>
            <w:r w:rsidRPr="005B5B4D">
              <w:rPr>
                <w:rFonts w:ascii="Arial Narrow" w:hAnsi="Arial Narrow" w:cs="Times New Roman"/>
                <w:sz w:val="16"/>
                <w:szCs w:val="16"/>
                <w:lang w:val="cs-CZ"/>
              </w:rPr>
              <w:t> </w:t>
            </w:r>
          </w:p>
        </w:tc>
        <w:tc>
          <w:tcPr>
            <w:tcW w:w="659"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ED3557" w:rsidRPr="005B5B4D" w:rsidP="00C362EA">
            <w:pPr>
              <w:spacing w:line="240" w:lineRule="auto"/>
              <w:jc w:val="right"/>
              <w:rPr>
                <w:rFonts w:ascii="Arial Narrow" w:hAnsi="Arial Narrow" w:cs="Times New Roman"/>
                <w:sz w:val="16"/>
                <w:szCs w:val="16"/>
                <w:lang w:val="cs-CZ"/>
              </w:rPr>
            </w:pPr>
            <w:r>
              <w:rPr>
                <w:rFonts w:ascii="Arial Narrow" w:hAnsi="Arial Narrow" w:cs="Times New Roman"/>
                <w:sz w:val="16"/>
                <w:szCs w:val="16"/>
                <w:lang w:val="cs-CZ"/>
              </w:rPr>
              <w:t>795</w:t>
            </w:r>
          </w:p>
        </w:tc>
        <w:tc>
          <w:tcPr>
            <w:tcW w:w="761"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ED3557" w:rsidRPr="005B5B4D" w:rsidP="00C362EA">
            <w:pPr>
              <w:spacing w:line="240" w:lineRule="auto"/>
              <w:jc w:val="right"/>
              <w:rPr>
                <w:rFonts w:ascii="Arial Narrow" w:hAnsi="Arial Narrow" w:cs="Times New Roman"/>
                <w:sz w:val="16"/>
                <w:szCs w:val="16"/>
                <w:lang w:val="cs-CZ"/>
              </w:rPr>
            </w:pPr>
            <w:r>
              <w:rPr>
                <w:rFonts w:ascii="Arial Narrow" w:hAnsi="Arial Narrow" w:cs="Times New Roman"/>
                <w:sz w:val="16"/>
                <w:szCs w:val="16"/>
                <w:lang w:val="cs-CZ"/>
              </w:rPr>
              <w:t>13 241</w:t>
            </w:r>
          </w:p>
        </w:tc>
        <w:tc>
          <w:tcPr>
            <w:tcW w:w="670" w:type="dxa"/>
            <w:tcBorders>
              <w:top w:val="single" w:sz="4" w:space="0" w:color="auto"/>
              <w:left w:val="single" w:sz="4" w:space="0" w:color="auto"/>
              <w:bottom w:val="single" w:sz="4" w:space="0" w:color="auto"/>
              <w:right w:val="single" w:sz="12" w:space="0" w:color="auto"/>
              <w:tl2br w:val="nil"/>
              <w:tr2bl w:val="nil"/>
            </w:tcBorders>
            <w:noWrap/>
            <w:textDirection w:val="lrTb"/>
            <w:vAlign w:val="center"/>
          </w:tcPr>
          <w:p w:rsidR="00ED3557" w:rsidRPr="005B5B4D" w:rsidP="00C362EA">
            <w:pPr>
              <w:spacing w:line="240" w:lineRule="auto"/>
              <w:jc w:val="right"/>
              <w:rPr>
                <w:rFonts w:ascii="Arial Narrow" w:hAnsi="Arial Narrow" w:cs="Times New Roman"/>
                <w:sz w:val="16"/>
                <w:szCs w:val="16"/>
                <w:lang w:val="cs-CZ"/>
              </w:rPr>
            </w:pPr>
            <w:r w:rsidRPr="005B5B4D">
              <w:rPr>
                <w:rFonts w:ascii="Arial Narrow" w:hAnsi="Arial Narrow" w:cs="Times New Roman"/>
                <w:sz w:val="16"/>
                <w:szCs w:val="16"/>
                <w:lang w:val="cs-CZ"/>
              </w:rPr>
              <w:t>0</w:t>
            </w:r>
          </w:p>
        </w:tc>
      </w:tr>
      <w:tr>
        <w:tblPrEx>
          <w:tblW w:w="7670" w:type="dxa"/>
          <w:tblInd w:w="790" w:type="dxa"/>
          <w:tblLayout w:type="fixed"/>
          <w:tblCellMar>
            <w:left w:w="70" w:type="dxa"/>
            <w:right w:w="70" w:type="dxa"/>
          </w:tblCellMar>
        </w:tblPrEx>
        <w:trPr>
          <w:trHeight w:hRule="exact" w:val="227"/>
        </w:trPr>
        <w:tc>
          <w:tcPr>
            <w:tcW w:w="1440" w:type="dxa"/>
            <w:tcBorders>
              <w:top w:val="single" w:sz="4" w:space="0" w:color="auto"/>
              <w:left w:val="single" w:sz="12" w:space="0" w:color="auto"/>
              <w:bottom w:val="single" w:sz="4" w:space="0" w:color="auto"/>
              <w:right w:val="single" w:sz="12" w:space="0" w:color="auto"/>
              <w:tl2br w:val="nil"/>
              <w:tr2bl w:val="nil"/>
            </w:tcBorders>
            <w:textDirection w:val="lrTb"/>
            <w:vAlign w:val="center"/>
          </w:tcPr>
          <w:p w:rsidR="00ED3557" w:rsidRPr="005B5B4D" w:rsidP="00C362EA">
            <w:pPr>
              <w:spacing w:line="240" w:lineRule="auto"/>
              <w:rPr>
                <w:rFonts w:ascii="Arial Narrow" w:hAnsi="Arial Narrow" w:cs="Times New Roman"/>
                <w:sz w:val="18"/>
                <w:szCs w:val="18"/>
                <w:lang w:val="cs-CZ"/>
              </w:rPr>
            </w:pPr>
            <w:r w:rsidRPr="005B5B4D">
              <w:rPr>
                <w:rFonts w:ascii="Arial Narrow" w:hAnsi="Arial Narrow" w:cs="Times New Roman"/>
                <w:sz w:val="18"/>
                <w:szCs w:val="18"/>
                <w:lang w:val="cs-CZ"/>
              </w:rPr>
              <w:t>Prešov</w:t>
            </w:r>
          </w:p>
        </w:tc>
        <w:tc>
          <w:tcPr>
            <w:tcW w:w="1300" w:type="dxa"/>
            <w:tcBorders>
              <w:top w:val="single" w:sz="4" w:space="0" w:color="auto"/>
              <w:left w:val="single" w:sz="12" w:space="0" w:color="auto"/>
              <w:bottom w:val="single" w:sz="4" w:space="0" w:color="auto"/>
              <w:right w:val="single" w:sz="12" w:space="0" w:color="auto"/>
              <w:tl2br w:val="nil"/>
              <w:tr2bl w:val="nil"/>
            </w:tcBorders>
            <w:textDirection w:val="lrTb"/>
            <w:vAlign w:val="center"/>
          </w:tcPr>
          <w:p w:rsidR="00ED3557" w:rsidRPr="005B5B4D" w:rsidP="00C362EA">
            <w:pPr>
              <w:spacing w:line="240" w:lineRule="auto"/>
              <w:jc w:val="right"/>
              <w:rPr>
                <w:rFonts w:ascii="Arial Narrow" w:hAnsi="Arial Narrow" w:cs="Times New Roman"/>
                <w:sz w:val="16"/>
                <w:szCs w:val="16"/>
                <w:lang w:val="cs-CZ"/>
              </w:rPr>
            </w:pPr>
            <w:r>
              <w:rPr>
                <w:rFonts w:ascii="Arial Narrow" w:hAnsi="Arial Narrow" w:cs="Times New Roman"/>
                <w:sz w:val="16"/>
                <w:szCs w:val="16"/>
                <w:lang w:val="cs-CZ"/>
              </w:rPr>
              <w:t>12 718</w:t>
            </w:r>
          </w:p>
        </w:tc>
        <w:tc>
          <w:tcPr>
            <w:tcW w:w="1220" w:type="dxa"/>
            <w:tcBorders>
              <w:top w:val="single" w:sz="4" w:space="0" w:color="auto"/>
              <w:left w:val="single" w:sz="12" w:space="0" w:color="auto"/>
              <w:bottom w:val="single" w:sz="4" w:space="0" w:color="auto"/>
              <w:right w:val="single" w:sz="12" w:space="0" w:color="auto"/>
              <w:tl2br w:val="nil"/>
              <w:tr2bl w:val="nil"/>
            </w:tcBorders>
            <w:textDirection w:val="lrTb"/>
            <w:vAlign w:val="center"/>
          </w:tcPr>
          <w:p w:rsidR="00ED3557" w:rsidRPr="005B5B4D" w:rsidP="00A61E2F">
            <w:pPr>
              <w:spacing w:line="240" w:lineRule="auto"/>
              <w:jc w:val="right"/>
              <w:rPr>
                <w:rFonts w:ascii="Arial Narrow" w:hAnsi="Arial Narrow" w:cs="Times New Roman"/>
                <w:sz w:val="16"/>
                <w:szCs w:val="16"/>
                <w:lang w:val="cs-CZ"/>
              </w:rPr>
            </w:pPr>
            <w:r w:rsidRPr="005B5B4D">
              <w:rPr>
                <w:rFonts w:ascii="Arial Narrow" w:hAnsi="Arial Narrow" w:cs="Times New Roman"/>
                <w:sz w:val="16"/>
                <w:szCs w:val="16"/>
                <w:lang w:val="cs-CZ"/>
              </w:rPr>
              <w:t> </w:t>
            </w:r>
            <w:r w:rsidR="00A61E2F">
              <w:rPr>
                <w:rFonts w:ascii="Arial Narrow" w:hAnsi="Arial Narrow" w:cs="Times New Roman"/>
                <w:sz w:val="16"/>
                <w:szCs w:val="16"/>
                <w:lang w:val="cs-CZ"/>
              </w:rPr>
              <w:t>14 038</w:t>
            </w:r>
          </w:p>
          <w:p w:rsidR="00ED3557" w:rsidRPr="005B5B4D" w:rsidP="00A61E2F">
            <w:pPr>
              <w:spacing w:line="240" w:lineRule="auto"/>
              <w:jc w:val="right"/>
              <w:rPr>
                <w:rFonts w:ascii="Arial Narrow" w:hAnsi="Arial Narrow" w:cs="Times New Roman"/>
                <w:sz w:val="16"/>
                <w:szCs w:val="16"/>
                <w:lang w:val="cs-CZ"/>
              </w:rPr>
            </w:pPr>
            <w:r>
              <w:rPr>
                <w:rFonts w:ascii="Arial Narrow" w:hAnsi="Arial Narrow" w:cs="Times New Roman"/>
                <w:sz w:val="16"/>
                <w:szCs w:val="16"/>
                <w:lang w:val="cs-CZ"/>
              </w:rPr>
              <w:t>14 038</w:t>
            </w:r>
          </w:p>
        </w:tc>
        <w:tc>
          <w:tcPr>
            <w:tcW w:w="632" w:type="dxa"/>
            <w:tcBorders>
              <w:top w:val="single" w:sz="4" w:space="0" w:color="auto"/>
              <w:left w:val="single" w:sz="12" w:space="0" w:color="auto"/>
              <w:bottom w:val="single" w:sz="4" w:space="0" w:color="auto"/>
              <w:right w:val="single" w:sz="4" w:space="0" w:color="auto"/>
              <w:tl2br w:val="nil"/>
              <w:tr2bl w:val="nil"/>
            </w:tcBorders>
            <w:textDirection w:val="lrTb"/>
            <w:vAlign w:val="center"/>
          </w:tcPr>
          <w:p w:rsidR="00ED3557" w:rsidRPr="005B5B4D" w:rsidP="00C362EA">
            <w:pPr>
              <w:spacing w:line="240" w:lineRule="auto"/>
              <w:jc w:val="right"/>
              <w:rPr>
                <w:rFonts w:ascii="Arial Narrow" w:hAnsi="Arial Narrow" w:cs="Times New Roman"/>
                <w:sz w:val="16"/>
                <w:szCs w:val="16"/>
                <w:lang w:val="cs-CZ"/>
              </w:rPr>
            </w:pPr>
            <w:r>
              <w:rPr>
                <w:rFonts w:ascii="Arial Narrow" w:hAnsi="Arial Narrow" w:cs="Times New Roman"/>
                <w:sz w:val="16"/>
                <w:szCs w:val="16"/>
                <w:lang w:val="cs-CZ"/>
              </w:rPr>
              <w:t>13 198</w:t>
            </w:r>
          </w:p>
        </w:tc>
        <w:tc>
          <w:tcPr>
            <w:tcW w:w="988"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ED3557" w:rsidRPr="005B5B4D" w:rsidP="00C362EA">
            <w:pPr>
              <w:spacing w:line="240" w:lineRule="auto"/>
              <w:rPr>
                <w:rFonts w:ascii="Arial Narrow" w:hAnsi="Arial Narrow" w:cs="Times New Roman"/>
                <w:sz w:val="16"/>
                <w:szCs w:val="16"/>
                <w:lang w:val="cs-CZ"/>
              </w:rPr>
            </w:pPr>
            <w:r w:rsidRPr="005B5B4D">
              <w:rPr>
                <w:rFonts w:ascii="Arial Narrow" w:hAnsi="Arial Narrow" w:cs="Times New Roman"/>
                <w:sz w:val="16"/>
                <w:szCs w:val="16"/>
                <w:lang w:val="cs-CZ"/>
              </w:rPr>
              <w:t> </w:t>
            </w:r>
          </w:p>
        </w:tc>
        <w:tc>
          <w:tcPr>
            <w:tcW w:w="659"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ED3557" w:rsidRPr="005B5B4D" w:rsidP="00C362EA">
            <w:pPr>
              <w:spacing w:line="240" w:lineRule="auto"/>
              <w:jc w:val="right"/>
              <w:rPr>
                <w:rFonts w:ascii="Arial Narrow" w:hAnsi="Arial Narrow" w:cs="Times New Roman"/>
                <w:sz w:val="16"/>
                <w:szCs w:val="16"/>
                <w:lang w:val="cs-CZ"/>
              </w:rPr>
            </w:pPr>
            <w:r>
              <w:rPr>
                <w:rFonts w:ascii="Arial Narrow" w:hAnsi="Arial Narrow" w:cs="Times New Roman"/>
                <w:sz w:val="16"/>
                <w:szCs w:val="16"/>
                <w:lang w:val="cs-CZ"/>
              </w:rPr>
              <w:t>840</w:t>
            </w:r>
          </w:p>
        </w:tc>
        <w:tc>
          <w:tcPr>
            <w:tcW w:w="761"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ED3557" w:rsidRPr="005B5B4D" w:rsidP="00C362EA">
            <w:pPr>
              <w:spacing w:line="240" w:lineRule="auto"/>
              <w:jc w:val="right"/>
              <w:rPr>
                <w:rFonts w:ascii="Arial Narrow" w:hAnsi="Arial Narrow" w:cs="Times New Roman"/>
                <w:sz w:val="16"/>
                <w:szCs w:val="16"/>
                <w:lang w:val="cs-CZ"/>
              </w:rPr>
            </w:pPr>
            <w:r>
              <w:rPr>
                <w:rFonts w:ascii="Arial Narrow" w:hAnsi="Arial Narrow" w:cs="Times New Roman"/>
                <w:sz w:val="16"/>
                <w:szCs w:val="16"/>
                <w:lang w:val="cs-CZ"/>
              </w:rPr>
              <w:t>14 038</w:t>
            </w:r>
          </w:p>
        </w:tc>
        <w:tc>
          <w:tcPr>
            <w:tcW w:w="670" w:type="dxa"/>
            <w:tcBorders>
              <w:top w:val="single" w:sz="4" w:space="0" w:color="auto"/>
              <w:left w:val="single" w:sz="4" w:space="0" w:color="auto"/>
              <w:bottom w:val="single" w:sz="4" w:space="0" w:color="auto"/>
              <w:right w:val="single" w:sz="12" w:space="0" w:color="auto"/>
              <w:tl2br w:val="nil"/>
              <w:tr2bl w:val="nil"/>
            </w:tcBorders>
            <w:noWrap/>
            <w:textDirection w:val="lrTb"/>
            <w:vAlign w:val="center"/>
          </w:tcPr>
          <w:p w:rsidR="00ED3557" w:rsidRPr="005B5B4D" w:rsidP="00C362EA">
            <w:pPr>
              <w:spacing w:line="240" w:lineRule="auto"/>
              <w:jc w:val="right"/>
              <w:rPr>
                <w:rFonts w:ascii="Arial Narrow" w:hAnsi="Arial Narrow" w:cs="Times New Roman"/>
                <w:sz w:val="16"/>
                <w:szCs w:val="16"/>
                <w:lang w:val="cs-CZ"/>
              </w:rPr>
            </w:pPr>
            <w:r w:rsidRPr="005B5B4D">
              <w:rPr>
                <w:rFonts w:ascii="Arial Narrow" w:hAnsi="Arial Narrow" w:cs="Times New Roman"/>
                <w:sz w:val="16"/>
                <w:szCs w:val="16"/>
                <w:lang w:val="cs-CZ"/>
              </w:rPr>
              <w:t>0</w:t>
            </w:r>
          </w:p>
        </w:tc>
      </w:tr>
      <w:tr>
        <w:tblPrEx>
          <w:tblW w:w="7670" w:type="dxa"/>
          <w:tblInd w:w="790" w:type="dxa"/>
          <w:tblLayout w:type="fixed"/>
          <w:tblCellMar>
            <w:left w:w="70" w:type="dxa"/>
            <w:right w:w="70" w:type="dxa"/>
          </w:tblCellMar>
        </w:tblPrEx>
        <w:trPr>
          <w:trHeight w:hRule="exact" w:val="227"/>
        </w:trPr>
        <w:tc>
          <w:tcPr>
            <w:tcW w:w="1440" w:type="dxa"/>
            <w:tcBorders>
              <w:top w:val="single" w:sz="4" w:space="0" w:color="auto"/>
              <w:left w:val="single" w:sz="12" w:space="0" w:color="auto"/>
              <w:bottom w:val="single" w:sz="4" w:space="0" w:color="auto"/>
              <w:right w:val="single" w:sz="12" w:space="0" w:color="auto"/>
              <w:tl2br w:val="nil"/>
              <w:tr2bl w:val="nil"/>
            </w:tcBorders>
            <w:textDirection w:val="lrTb"/>
            <w:vAlign w:val="center"/>
          </w:tcPr>
          <w:p w:rsidR="00ED3557" w:rsidRPr="005B5B4D" w:rsidP="00C362EA">
            <w:pPr>
              <w:spacing w:line="240" w:lineRule="auto"/>
              <w:rPr>
                <w:rFonts w:ascii="Arial Narrow" w:hAnsi="Arial Narrow" w:cs="Times New Roman"/>
                <w:sz w:val="18"/>
                <w:szCs w:val="18"/>
                <w:lang w:val="cs-CZ"/>
              </w:rPr>
            </w:pPr>
            <w:r w:rsidRPr="005B5B4D">
              <w:rPr>
                <w:rFonts w:ascii="Arial Narrow" w:hAnsi="Arial Narrow" w:cs="Times New Roman"/>
                <w:sz w:val="18"/>
                <w:szCs w:val="18"/>
                <w:lang w:val="cs-CZ"/>
              </w:rPr>
              <w:t>Košice</w:t>
            </w:r>
          </w:p>
        </w:tc>
        <w:tc>
          <w:tcPr>
            <w:tcW w:w="1300" w:type="dxa"/>
            <w:tcBorders>
              <w:top w:val="single" w:sz="4" w:space="0" w:color="auto"/>
              <w:left w:val="single" w:sz="12" w:space="0" w:color="auto"/>
              <w:bottom w:val="single" w:sz="4" w:space="0" w:color="auto"/>
              <w:right w:val="single" w:sz="12" w:space="0" w:color="auto"/>
              <w:tl2br w:val="nil"/>
              <w:tr2bl w:val="nil"/>
            </w:tcBorders>
            <w:textDirection w:val="lrTb"/>
            <w:vAlign w:val="center"/>
          </w:tcPr>
          <w:p w:rsidR="00ED3557" w:rsidRPr="005B5B4D" w:rsidP="00C362EA">
            <w:pPr>
              <w:spacing w:line="240" w:lineRule="auto"/>
              <w:jc w:val="right"/>
              <w:rPr>
                <w:rFonts w:ascii="Arial Narrow" w:hAnsi="Arial Narrow" w:cs="Times New Roman"/>
                <w:sz w:val="16"/>
                <w:szCs w:val="16"/>
                <w:lang w:val="cs-CZ"/>
              </w:rPr>
            </w:pPr>
            <w:r>
              <w:rPr>
                <w:rFonts w:ascii="Arial Narrow" w:hAnsi="Arial Narrow" w:cs="Times New Roman"/>
                <w:sz w:val="16"/>
                <w:szCs w:val="16"/>
                <w:lang w:val="cs-CZ"/>
              </w:rPr>
              <w:t>13 253</w:t>
            </w:r>
          </w:p>
        </w:tc>
        <w:tc>
          <w:tcPr>
            <w:tcW w:w="1220" w:type="dxa"/>
            <w:tcBorders>
              <w:top w:val="single" w:sz="4" w:space="0" w:color="auto"/>
              <w:left w:val="single" w:sz="12" w:space="0" w:color="auto"/>
              <w:bottom w:val="single" w:sz="4" w:space="0" w:color="auto"/>
              <w:right w:val="single" w:sz="12" w:space="0" w:color="auto"/>
              <w:tl2br w:val="nil"/>
              <w:tr2bl w:val="nil"/>
            </w:tcBorders>
            <w:textDirection w:val="lrTb"/>
            <w:vAlign w:val="center"/>
          </w:tcPr>
          <w:p w:rsidR="00ED3557" w:rsidRPr="005B5B4D" w:rsidP="00A61E2F">
            <w:pPr>
              <w:spacing w:line="240" w:lineRule="auto"/>
              <w:jc w:val="right"/>
              <w:rPr>
                <w:rFonts w:ascii="Arial Narrow" w:hAnsi="Arial Narrow" w:cs="Times New Roman"/>
                <w:sz w:val="16"/>
                <w:szCs w:val="16"/>
                <w:lang w:val="cs-CZ"/>
              </w:rPr>
            </w:pPr>
            <w:r w:rsidRPr="005B5B4D">
              <w:rPr>
                <w:rFonts w:ascii="Arial Narrow" w:hAnsi="Arial Narrow" w:cs="Times New Roman"/>
                <w:sz w:val="16"/>
                <w:szCs w:val="16"/>
                <w:lang w:val="cs-CZ"/>
              </w:rPr>
              <w:t> </w:t>
            </w:r>
            <w:r w:rsidR="00A61E2F">
              <w:rPr>
                <w:rFonts w:ascii="Arial Narrow" w:hAnsi="Arial Narrow" w:cs="Times New Roman"/>
                <w:sz w:val="16"/>
                <w:szCs w:val="16"/>
                <w:lang w:val="cs-CZ"/>
              </w:rPr>
              <w:t>14 084</w:t>
            </w:r>
          </w:p>
          <w:p w:rsidR="00ED3557" w:rsidRPr="005B5B4D" w:rsidP="00A61E2F">
            <w:pPr>
              <w:spacing w:line="240" w:lineRule="auto"/>
              <w:jc w:val="right"/>
              <w:rPr>
                <w:rFonts w:ascii="Arial Narrow" w:hAnsi="Arial Narrow" w:cs="Times New Roman"/>
                <w:sz w:val="16"/>
                <w:szCs w:val="16"/>
                <w:lang w:val="cs-CZ"/>
              </w:rPr>
            </w:pPr>
            <w:r>
              <w:rPr>
                <w:rFonts w:ascii="Arial Narrow" w:hAnsi="Arial Narrow" w:cs="Times New Roman"/>
                <w:sz w:val="16"/>
                <w:szCs w:val="16"/>
                <w:lang w:val="cs-CZ"/>
              </w:rPr>
              <w:t>14 084</w:t>
            </w:r>
          </w:p>
        </w:tc>
        <w:tc>
          <w:tcPr>
            <w:tcW w:w="632" w:type="dxa"/>
            <w:tcBorders>
              <w:top w:val="single" w:sz="4" w:space="0" w:color="auto"/>
              <w:left w:val="single" w:sz="12" w:space="0" w:color="auto"/>
              <w:bottom w:val="single" w:sz="4" w:space="0" w:color="auto"/>
              <w:right w:val="single" w:sz="4" w:space="0" w:color="auto"/>
              <w:tl2br w:val="nil"/>
              <w:tr2bl w:val="nil"/>
            </w:tcBorders>
            <w:textDirection w:val="lrTb"/>
            <w:vAlign w:val="center"/>
          </w:tcPr>
          <w:p w:rsidR="00ED3557" w:rsidRPr="005B5B4D" w:rsidP="00C362EA">
            <w:pPr>
              <w:spacing w:line="240" w:lineRule="auto"/>
              <w:jc w:val="right"/>
              <w:rPr>
                <w:rFonts w:ascii="Arial Narrow" w:hAnsi="Arial Narrow" w:cs="Times New Roman"/>
                <w:sz w:val="16"/>
                <w:szCs w:val="16"/>
                <w:lang w:val="cs-CZ"/>
              </w:rPr>
            </w:pPr>
            <w:r>
              <w:rPr>
                <w:rFonts w:ascii="Arial Narrow" w:hAnsi="Arial Narrow" w:cs="Times New Roman"/>
                <w:sz w:val="16"/>
                <w:szCs w:val="16"/>
                <w:lang w:val="cs-CZ"/>
              </w:rPr>
              <w:t>13 383</w:t>
            </w:r>
          </w:p>
        </w:tc>
        <w:tc>
          <w:tcPr>
            <w:tcW w:w="988"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ED3557" w:rsidRPr="005B5B4D" w:rsidP="00C362EA">
            <w:pPr>
              <w:spacing w:line="240" w:lineRule="auto"/>
              <w:rPr>
                <w:rFonts w:ascii="Arial Narrow" w:hAnsi="Arial Narrow" w:cs="Times New Roman"/>
                <w:sz w:val="16"/>
                <w:szCs w:val="16"/>
                <w:lang w:val="cs-CZ"/>
              </w:rPr>
            </w:pPr>
            <w:r w:rsidRPr="005B5B4D">
              <w:rPr>
                <w:rFonts w:ascii="Arial Narrow" w:hAnsi="Arial Narrow" w:cs="Times New Roman"/>
                <w:sz w:val="16"/>
                <w:szCs w:val="16"/>
                <w:lang w:val="cs-CZ"/>
              </w:rPr>
              <w:t> </w:t>
            </w:r>
          </w:p>
        </w:tc>
        <w:tc>
          <w:tcPr>
            <w:tcW w:w="659"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ED3557" w:rsidRPr="005B5B4D" w:rsidP="00C362EA">
            <w:pPr>
              <w:spacing w:line="240" w:lineRule="auto"/>
              <w:jc w:val="right"/>
              <w:rPr>
                <w:rFonts w:ascii="Arial Narrow" w:hAnsi="Arial Narrow" w:cs="Times New Roman"/>
                <w:sz w:val="16"/>
                <w:szCs w:val="16"/>
                <w:lang w:val="cs-CZ"/>
              </w:rPr>
            </w:pPr>
            <w:r>
              <w:rPr>
                <w:rFonts w:ascii="Arial Narrow" w:hAnsi="Arial Narrow" w:cs="Times New Roman"/>
                <w:sz w:val="16"/>
                <w:szCs w:val="16"/>
                <w:lang w:val="cs-CZ"/>
              </w:rPr>
              <w:t>701</w:t>
            </w:r>
          </w:p>
        </w:tc>
        <w:tc>
          <w:tcPr>
            <w:tcW w:w="761"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ED3557" w:rsidRPr="005B5B4D" w:rsidP="00C362EA">
            <w:pPr>
              <w:spacing w:line="240" w:lineRule="auto"/>
              <w:jc w:val="right"/>
              <w:rPr>
                <w:rFonts w:ascii="Arial Narrow" w:hAnsi="Arial Narrow" w:cs="Times New Roman"/>
                <w:sz w:val="16"/>
                <w:szCs w:val="16"/>
                <w:lang w:val="cs-CZ"/>
              </w:rPr>
            </w:pPr>
            <w:r w:rsidRPr="005B5B4D">
              <w:rPr>
                <w:rFonts w:ascii="Arial Narrow" w:hAnsi="Arial Narrow" w:cs="Times New Roman"/>
                <w:sz w:val="16"/>
                <w:szCs w:val="16"/>
                <w:lang w:val="cs-CZ"/>
              </w:rPr>
              <w:t>1</w:t>
            </w:r>
            <w:r>
              <w:rPr>
                <w:rFonts w:ascii="Arial Narrow" w:hAnsi="Arial Narrow" w:cs="Times New Roman"/>
                <w:sz w:val="16"/>
                <w:szCs w:val="16"/>
                <w:lang w:val="cs-CZ"/>
              </w:rPr>
              <w:t>4 084</w:t>
            </w:r>
          </w:p>
        </w:tc>
        <w:tc>
          <w:tcPr>
            <w:tcW w:w="670" w:type="dxa"/>
            <w:tcBorders>
              <w:top w:val="single" w:sz="4" w:space="0" w:color="auto"/>
              <w:left w:val="single" w:sz="4" w:space="0" w:color="auto"/>
              <w:bottom w:val="single" w:sz="4" w:space="0" w:color="auto"/>
              <w:right w:val="single" w:sz="12" w:space="0" w:color="auto"/>
              <w:tl2br w:val="nil"/>
              <w:tr2bl w:val="nil"/>
            </w:tcBorders>
            <w:noWrap/>
            <w:textDirection w:val="lrTb"/>
            <w:vAlign w:val="center"/>
          </w:tcPr>
          <w:p w:rsidR="00ED3557" w:rsidRPr="005B5B4D" w:rsidP="00C362EA">
            <w:pPr>
              <w:spacing w:line="240" w:lineRule="auto"/>
              <w:jc w:val="right"/>
              <w:rPr>
                <w:rFonts w:ascii="Arial Narrow" w:hAnsi="Arial Narrow" w:cs="Times New Roman"/>
                <w:sz w:val="16"/>
                <w:szCs w:val="16"/>
                <w:lang w:val="cs-CZ"/>
              </w:rPr>
            </w:pPr>
            <w:r w:rsidRPr="005B5B4D">
              <w:rPr>
                <w:rFonts w:ascii="Arial Narrow" w:hAnsi="Arial Narrow" w:cs="Times New Roman"/>
                <w:sz w:val="16"/>
                <w:szCs w:val="16"/>
                <w:lang w:val="cs-CZ"/>
              </w:rPr>
              <w:t>0</w:t>
            </w:r>
          </w:p>
        </w:tc>
      </w:tr>
      <w:tr>
        <w:tblPrEx>
          <w:tblW w:w="7670" w:type="dxa"/>
          <w:tblInd w:w="790" w:type="dxa"/>
          <w:tblLayout w:type="fixed"/>
          <w:tblCellMar>
            <w:left w:w="70" w:type="dxa"/>
            <w:right w:w="70" w:type="dxa"/>
          </w:tblCellMar>
        </w:tblPrEx>
        <w:trPr>
          <w:trHeight w:hRule="exact" w:val="227"/>
        </w:trPr>
        <w:tc>
          <w:tcPr>
            <w:tcW w:w="1440" w:type="dxa"/>
            <w:tcBorders>
              <w:top w:val="single" w:sz="4" w:space="0" w:color="auto"/>
              <w:left w:val="single" w:sz="12" w:space="0" w:color="auto"/>
              <w:bottom w:val="single" w:sz="4" w:space="0" w:color="auto"/>
              <w:right w:val="single" w:sz="12" w:space="0" w:color="auto"/>
              <w:tl2br w:val="nil"/>
              <w:tr2bl w:val="nil"/>
            </w:tcBorders>
            <w:textDirection w:val="lrTb"/>
            <w:vAlign w:val="center"/>
          </w:tcPr>
          <w:p w:rsidR="00ED3557" w:rsidRPr="005B5B4D" w:rsidP="00C362EA">
            <w:pPr>
              <w:spacing w:line="240" w:lineRule="auto"/>
              <w:rPr>
                <w:rFonts w:ascii="Arial Narrow" w:hAnsi="Arial Narrow" w:cs="Times New Roman"/>
                <w:sz w:val="18"/>
                <w:szCs w:val="18"/>
                <w:lang w:val="cs-CZ"/>
              </w:rPr>
            </w:pPr>
            <w:r w:rsidRPr="005B5B4D">
              <w:rPr>
                <w:rFonts w:ascii="Arial Narrow" w:hAnsi="Arial Narrow" w:cs="Times New Roman"/>
                <w:sz w:val="18"/>
                <w:szCs w:val="18"/>
                <w:lang w:val="cs-CZ"/>
              </w:rPr>
              <w:t>TOOŽ</w:t>
            </w:r>
          </w:p>
        </w:tc>
        <w:tc>
          <w:tcPr>
            <w:tcW w:w="1300" w:type="dxa"/>
            <w:tcBorders>
              <w:top w:val="single" w:sz="4" w:space="0" w:color="auto"/>
              <w:left w:val="single" w:sz="12" w:space="0" w:color="auto"/>
              <w:bottom w:val="single" w:sz="4" w:space="0" w:color="auto"/>
              <w:right w:val="single" w:sz="12" w:space="0" w:color="auto"/>
              <w:tl2br w:val="nil"/>
              <w:tr2bl w:val="nil"/>
            </w:tcBorders>
            <w:textDirection w:val="lrTb"/>
            <w:vAlign w:val="center"/>
          </w:tcPr>
          <w:p w:rsidR="00ED3557" w:rsidRPr="005B5B4D" w:rsidP="00C362EA">
            <w:pPr>
              <w:spacing w:line="240" w:lineRule="auto"/>
              <w:jc w:val="right"/>
              <w:rPr>
                <w:rFonts w:ascii="Arial Narrow" w:hAnsi="Arial Narrow" w:cs="Times New Roman"/>
                <w:sz w:val="16"/>
                <w:szCs w:val="16"/>
                <w:lang w:val="cs-CZ"/>
              </w:rPr>
            </w:pPr>
            <w:r>
              <w:rPr>
                <w:rFonts w:ascii="Arial Narrow" w:hAnsi="Arial Narrow" w:cs="Times New Roman"/>
                <w:sz w:val="16"/>
                <w:szCs w:val="16"/>
                <w:lang w:val="cs-CZ"/>
              </w:rPr>
              <w:t>27 560</w:t>
            </w:r>
          </w:p>
        </w:tc>
        <w:tc>
          <w:tcPr>
            <w:tcW w:w="1220" w:type="dxa"/>
            <w:tcBorders>
              <w:top w:val="single" w:sz="4" w:space="0" w:color="auto"/>
              <w:left w:val="single" w:sz="12" w:space="0" w:color="auto"/>
              <w:bottom w:val="single" w:sz="4" w:space="0" w:color="auto"/>
              <w:right w:val="single" w:sz="12" w:space="0" w:color="auto"/>
              <w:tl2br w:val="nil"/>
              <w:tr2bl w:val="nil"/>
            </w:tcBorders>
            <w:textDirection w:val="lrTb"/>
            <w:vAlign w:val="center"/>
          </w:tcPr>
          <w:p w:rsidR="00ED3557" w:rsidRPr="005B5B4D" w:rsidP="00A61E2F">
            <w:pPr>
              <w:spacing w:line="240" w:lineRule="auto"/>
              <w:jc w:val="right"/>
              <w:rPr>
                <w:rFonts w:ascii="Arial Narrow" w:hAnsi="Arial Narrow" w:cs="Times New Roman"/>
                <w:sz w:val="16"/>
                <w:szCs w:val="16"/>
                <w:lang w:val="cs-CZ"/>
              </w:rPr>
            </w:pPr>
            <w:r w:rsidRPr="005B5B4D">
              <w:rPr>
                <w:rFonts w:ascii="Arial Narrow" w:hAnsi="Arial Narrow" w:cs="Times New Roman"/>
                <w:sz w:val="16"/>
                <w:szCs w:val="16"/>
                <w:lang w:val="cs-CZ"/>
              </w:rPr>
              <w:t> </w:t>
            </w:r>
            <w:r w:rsidR="00A61E2F">
              <w:rPr>
                <w:rFonts w:ascii="Arial Narrow" w:hAnsi="Arial Narrow" w:cs="Times New Roman"/>
                <w:sz w:val="16"/>
                <w:szCs w:val="16"/>
                <w:lang w:val="cs-CZ"/>
              </w:rPr>
              <w:t>27 879</w:t>
            </w:r>
          </w:p>
          <w:p w:rsidR="00ED3557" w:rsidRPr="005B5B4D" w:rsidP="00A61E2F">
            <w:pPr>
              <w:spacing w:line="240" w:lineRule="auto"/>
              <w:jc w:val="right"/>
              <w:rPr>
                <w:rFonts w:ascii="Arial Narrow" w:hAnsi="Arial Narrow" w:cs="Times New Roman"/>
                <w:sz w:val="16"/>
                <w:szCs w:val="16"/>
                <w:lang w:val="cs-CZ"/>
              </w:rPr>
            </w:pPr>
            <w:r>
              <w:rPr>
                <w:rFonts w:ascii="Arial Narrow" w:hAnsi="Arial Narrow" w:cs="Times New Roman"/>
                <w:sz w:val="16"/>
                <w:szCs w:val="16"/>
                <w:lang w:val="cs-CZ"/>
              </w:rPr>
              <w:t>27 879</w:t>
            </w:r>
          </w:p>
        </w:tc>
        <w:tc>
          <w:tcPr>
            <w:tcW w:w="632" w:type="dxa"/>
            <w:tcBorders>
              <w:top w:val="single" w:sz="4" w:space="0" w:color="auto"/>
              <w:left w:val="single" w:sz="12" w:space="0" w:color="auto"/>
              <w:bottom w:val="single" w:sz="4" w:space="0" w:color="auto"/>
              <w:right w:val="single" w:sz="4" w:space="0" w:color="auto"/>
              <w:tl2br w:val="nil"/>
              <w:tr2bl w:val="nil"/>
            </w:tcBorders>
            <w:textDirection w:val="lrTb"/>
            <w:vAlign w:val="center"/>
          </w:tcPr>
          <w:p w:rsidR="00ED3557" w:rsidRPr="005B5B4D" w:rsidP="00C362EA">
            <w:pPr>
              <w:spacing w:line="240" w:lineRule="auto"/>
              <w:rPr>
                <w:rFonts w:ascii="Arial Narrow" w:hAnsi="Arial Narrow" w:cs="Times New Roman"/>
                <w:sz w:val="16"/>
                <w:szCs w:val="16"/>
                <w:lang w:val="cs-CZ"/>
              </w:rPr>
            </w:pPr>
            <w:r w:rsidRPr="005B5B4D">
              <w:rPr>
                <w:rFonts w:ascii="Arial Narrow" w:hAnsi="Arial Narrow" w:cs="Times New Roman"/>
                <w:sz w:val="16"/>
                <w:szCs w:val="16"/>
                <w:lang w:val="cs-CZ"/>
              </w:rPr>
              <w:t> </w:t>
            </w:r>
          </w:p>
        </w:tc>
        <w:tc>
          <w:tcPr>
            <w:tcW w:w="988"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ED3557" w:rsidRPr="005B5B4D" w:rsidP="00C362EA">
            <w:pPr>
              <w:spacing w:line="240" w:lineRule="auto"/>
              <w:rPr>
                <w:rFonts w:ascii="Arial Narrow" w:hAnsi="Arial Narrow" w:cs="Times New Roman"/>
                <w:sz w:val="16"/>
                <w:szCs w:val="16"/>
                <w:lang w:val="cs-CZ"/>
              </w:rPr>
            </w:pPr>
            <w:r w:rsidRPr="005B5B4D">
              <w:rPr>
                <w:rFonts w:ascii="Arial Narrow" w:hAnsi="Arial Narrow" w:cs="Times New Roman"/>
                <w:sz w:val="16"/>
                <w:szCs w:val="16"/>
                <w:lang w:val="cs-CZ"/>
              </w:rPr>
              <w:t> </w:t>
            </w:r>
          </w:p>
        </w:tc>
        <w:tc>
          <w:tcPr>
            <w:tcW w:w="659"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ED3557" w:rsidRPr="005B5B4D" w:rsidP="00C362EA">
            <w:pPr>
              <w:spacing w:line="240" w:lineRule="auto"/>
              <w:jc w:val="right"/>
              <w:rPr>
                <w:rFonts w:ascii="Arial Narrow" w:hAnsi="Arial Narrow" w:cs="Times New Roman"/>
                <w:sz w:val="16"/>
                <w:szCs w:val="16"/>
                <w:lang w:val="cs-CZ"/>
              </w:rPr>
            </w:pPr>
            <w:r>
              <w:rPr>
                <w:rFonts w:ascii="Arial Narrow" w:hAnsi="Arial Narrow" w:cs="Times New Roman"/>
                <w:sz w:val="16"/>
                <w:szCs w:val="16"/>
                <w:lang w:val="cs-CZ"/>
              </w:rPr>
              <w:t>27 569</w:t>
            </w:r>
          </w:p>
        </w:tc>
        <w:tc>
          <w:tcPr>
            <w:tcW w:w="761"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ED3557" w:rsidRPr="005B5B4D" w:rsidP="00C362EA">
            <w:pPr>
              <w:spacing w:line="240" w:lineRule="auto"/>
              <w:jc w:val="right"/>
              <w:rPr>
                <w:rFonts w:ascii="Arial Narrow" w:hAnsi="Arial Narrow" w:cs="Times New Roman"/>
                <w:sz w:val="16"/>
                <w:szCs w:val="16"/>
                <w:lang w:val="cs-CZ"/>
              </w:rPr>
            </w:pPr>
            <w:r>
              <w:rPr>
                <w:rFonts w:ascii="Arial Narrow" w:hAnsi="Arial Narrow" w:cs="Times New Roman"/>
                <w:sz w:val="16"/>
                <w:szCs w:val="16"/>
                <w:lang w:val="cs-CZ"/>
              </w:rPr>
              <w:t>27 569</w:t>
            </w:r>
          </w:p>
        </w:tc>
        <w:tc>
          <w:tcPr>
            <w:tcW w:w="670" w:type="dxa"/>
            <w:tcBorders>
              <w:top w:val="single" w:sz="4" w:space="0" w:color="auto"/>
              <w:left w:val="single" w:sz="4" w:space="0" w:color="auto"/>
              <w:bottom w:val="single" w:sz="4" w:space="0" w:color="auto"/>
              <w:right w:val="single" w:sz="12" w:space="0" w:color="auto"/>
              <w:tl2br w:val="nil"/>
              <w:tr2bl w:val="nil"/>
            </w:tcBorders>
            <w:noWrap/>
            <w:textDirection w:val="lrTb"/>
            <w:vAlign w:val="center"/>
          </w:tcPr>
          <w:p w:rsidR="00ED3557" w:rsidRPr="005B5B4D" w:rsidP="00C362EA">
            <w:pPr>
              <w:spacing w:line="240" w:lineRule="auto"/>
              <w:jc w:val="right"/>
              <w:rPr>
                <w:rFonts w:ascii="Arial Narrow" w:hAnsi="Arial Narrow" w:cs="Times New Roman"/>
                <w:sz w:val="16"/>
                <w:szCs w:val="16"/>
                <w:lang w:val="cs-CZ"/>
              </w:rPr>
            </w:pPr>
            <w:r>
              <w:rPr>
                <w:rFonts w:ascii="Arial Narrow" w:hAnsi="Arial Narrow" w:cs="Times New Roman"/>
                <w:sz w:val="16"/>
                <w:szCs w:val="16"/>
                <w:lang w:val="cs-CZ"/>
              </w:rPr>
              <w:t>310</w:t>
            </w:r>
          </w:p>
        </w:tc>
      </w:tr>
      <w:tr>
        <w:tblPrEx>
          <w:tblW w:w="7670" w:type="dxa"/>
          <w:tblInd w:w="790" w:type="dxa"/>
          <w:tblLayout w:type="fixed"/>
          <w:tblCellMar>
            <w:left w:w="70" w:type="dxa"/>
            <w:right w:w="70" w:type="dxa"/>
          </w:tblCellMar>
        </w:tblPrEx>
        <w:trPr>
          <w:trHeight w:hRule="exact" w:val="227"/>
        </w:trPr>
        <w:tc>
          <w:tcPr>
            <w:tcW w:w="1440" w:type="dxa"/>
            <w:tcBorders>
              <w:top w:val="single" w:sz="4" w:space="0" w:color="auto"/>
              <w:left w:val="single" w:sz="12" w:space="0" w:color="auto"/>
              <w:bottom w:val="single" w:sz="4" w:space="0" w:color="auto"/>
              <w:right w:val="single" w:sz="12" w:space="0" w:color="auto"/>
              <w:tl2br w:val="nil"/>
              <w:tr2bl w:val="nil"/>
            </w:tcBorders>
            <w:textDirection w:val="lrTb"/>
            <w:vAlign w:val="center"/>
          </w:tcPr>
          <w:p w:rsidR="00ED3557" w:rsidRPr="005B5B4D" w:rsidP="00C362EA">
            <w:pPr>
              <w:spacing w:line="240" w:lineRule="auto"/>
              <w:rPr>
                <w:rFonts w:ascii="Arial Narrow" w:hAnsi="Arial Narrow" w:cs="Times New Roman"/>
                <w:sz w:val="18"/>
                <w:szCs w:val="18"/>
                <w:lang w:val="cs-CZ"/>
              </w:rPr>
            </w:pPr>
            <w:r w:rsidRPr="005B5B4D">
              <w:rPr>
                <w:rFonts w:ascii="Arial Narrow" w:hAnsi="Arial Narrow" w:cs="Times New Roman"/>
                <w:sz w:val="18"/>
                <w:szCs w:val="18"/>
                <w:lang w:val="cs-CZ"/>
              </w:rPr>
              <w:t>SSC</w:t>
            </w:r>
          </w:p>
        </w:tc>
        <w:tc>
          <w:tcPr>
            <w:tcW w:w="1300" w:type="dxa"/>
            <w:tcBorders>
              <w:top w:val="single" w:sz="4" w:space="0" w:color="auto"/>
              <w:left w:val="single" w:sz="12" w:space="0" w:color="auto"/>
              <w:bottom w:val="single" w:sz="4" w:space="0" w:color="auto"/>
              <w:right w:val="single" w:sz="12" w:space="0" w:color="auto"/>
              <w:tl2br w:val="nil"/>
              <w:tr2bl w:val="nil"/>
            </w:tcBorders>
            <w:textDirection w:val="lrTb"/>
            <w:vAlign w:val="center"/>
          </w:tcPr>
          <w:p w:rsidR="00ED3557" w:rsidRPr="005B5B4D" w:rsidP="00C362EA">
            <w:pPr>
              <w:spacing w:line="240" w:lineRule="auto"/>
              <w:jc w:val="right"/>
              <w:rPr>
                <w:rFonts w:ascii="Arial Narrow" w:hAnsi="Arial Narrow" w:cs="Times New Roman"/>
                <w:sz w:val="16"/>
                <w:szCs w:val="16"/>
                <w:lang w:val="cs-CZ"/>
              </w:rPr>
            </w:pPr>
            <w:r>
              <w:rPr>
                <w:rFonts w:ascii="Arial Narrow" w:hAnsi="Arial Narrow" w:cs="Times New Roman"/>
                <w:sz w:val="16"/>
                <w:szCs w:val="16"/>
                <w:lang w:val="cs-CZ"/>
              </w:rPr>
              <w:t>96 508</w:t>
            </w:r>
          </w:p>
        </w:tc>
        <w:tc>
          <w:tcPr>
            <w:tcW w:w="1220" w:type="dxa"/>
            <w:tcBorders>
              <w:top w:val="single" w:sz="4" w:space="0" w:color="auto"/>
              <w:left w:val="single" w:sz="12" w:space="0" w:color="auto"/>
              <w:bottom w:val="single" w:sz="4" w:space="0" w:color="auto"/>
              <w:right w:val="single" w:sz="12" w:space="0" w:color="auto"/>
              <w:tl2br w:val="nil"/>
              <w:tr2bl w:val="nil"/>
            </w:tcBorders>
            <w:textDirection w:val="lrTb"/>
            <w:vAlign w:val="center"/>
          </w:tcPr>
          <w:p w:rsidR="00ED3557" w:rsidRPr="005B5B4D" w:rsidP="00A61E2F">
            <w:pPr>
              <w:spacing w:line="240" w:lineRule="auto"/>
              <w:jc w:val="right"/>
              <w:rPr>
                <w:rFonts w:ascii="Arial Narrow" w:hAnsi="Arial Narrow" w:cs="Times New Roman"/>
                <w:sz w:val="16"/>
                <w:szCs w:val="16"/>
                <w:lang w:val="cs-CZ"/>
              </w:rPr>
            </w:pPr>
            <w:r w:rsidRPr="005B5B4D">
              <w:rPr>
                <w:rFonts w:ascii="Arial Narrow" w:hAnsi="Arial Narrow" w:cs="Times New Roman"/>
                <w:sz w:val="16"/>
                <w:szCs w:val="16"/>
                <w:lang w:val="cs-CZ"/>
              </w:rPr>
              <w:t> </w:t>
            </w:r>
            <w:r w:rsidR="00A61E2F">
              <w:rPr>
                <w:rFonts w:ascii="Arial Narrow" w:hAnsi="Arial Narrow" w:cs="Times New Roman"/>
                <w:sz w:val="16"/>
                <w:szCs w:val="16"/>
                <w:lang w:val="cs-CZ"/>
              </w:rPr>
              <w:t>104  385</w:t>
            </w:r>
          </w:p>
          <w:p w:rsidR="00ED3557" w:rsidRPr="005B5B4D" w:rsidP="00A61E2F">
            <w:pPr>
              <w:spacing w:line="240" w:lineRule="auto"/>
              <w:jc w:val="right"/>
              <w:rPr>
                <w:rFonts w:ascii="Arial Narrow" w:hAnsi="Arial Narrow" w:cs="Times New Roman"/>
                <w:sz w:val="16"/>
                <w:szCs w:val="16"/>
                <w:lang w:val="cs-CZ"/>
              </w:rPr>
            </w:pPr>
            <w:r>
              <w:rPr>
                <w:rFonts w:ascii="Arial Narrow" w:hAnsi="Arial Narrow" w:cs="Times New Roman"/>
                <w:sz w:val="16"/>
                <w:szCs w:val="16"/>
                <w:lang w:val="cs-CZ"/>
              </w:rPr>
              <w:t>104 385</w:t>
            </w:r>
          </w:p>
        </w:tc>
        <w:tc>
          <w:tcPr>
            <w:tcW w:w="632" w:type="dxa"/>
            <w:tcBorders>
              <w:top w:val="single" w:sz="4" w:space="0" w:color="auto"/>
              <w:left w:val="single" w:sz="12" w:space="0" w:color="auto"/>
              <w:bottom w:val="single" w:sz="4" w:space="0" w:color="auto"/>
              <w:right w:val="single" w:sz="4" w:space="0" w:color="auto"/>
              <w:tl2br w:val="nil"/>
              <w:tr2bl w:val="nil"/>
            </w:tcBorders>
            <w:textDirection w:val="lrTb"/>
            <w:vAlign w:val="center"/>
          </w:tcPr>
          <w:p w:rsidR="00ED3557" w:rsidRPr="005B5B4D" w:rsidP="00C362EA">
            <w:pPr>
              <w:spacing w:line="240" w:lineRule="auto"/>
              <w:jc w:val="right"/>
              <w:rPr>
                <w:rFonts w:ascii="Arial Narrow" w:hAnsi="Arial Narrow" w:cs="Times New Roman"/>
                <w:sz w:val="16"/>
                <w:szCs w:val="16"/>
                <w:lang w:val="cs-CZ"/>
              </w:rPr>
            </w:pPr>
          </w:p>
        </w:tc>
        <w:tc>
          <w:tcPr>
            <w:tcW w:w="988"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ED3557" w:rsidRPr="005B5B4D" w:rsidP="00C362EA">
            <w:pPr>
              <w:spacing w:line="240" w:lineRule="auto"/>
              <w:rPr>
                <w:rFonts w:ascii="Arial Narrow" w:hAnsi="Arial Narrow" w:cs="Times New Roman"/>
                <w:sz w:val="16"/>
                <w:szCs w:val="16"/>
                <w:lang w:val="cs-CZ"/>
              </w:rPr>
            </w:pPr>
            <w:r w:rsidRPr="005B5B4D">
              <w:rPr>
                <w:rFonts w:ascii="Arial Narrow" w:hAnsi="Arial Narrow" w:cs="Times New Roman"/>
                <w:sz w:val="16"/>
                <w:szCs w:val="16"/>
                <w:lang w:val="cs-CZ"/>
              </w:rPr>
              <w:t> </w:t>
            </w:r>
          </w:p>
        </w:tc>
        <w:tc>
          <w:tcPr>
            <w:tcW w:w="659"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ED3557" w:rsidRPr="005B5B4D" w:rsidP="00C362EA">
            <w:pPr>
              <w:spacing w:line="240" w:lineRule="auto"/>
              <w:jc w:val="right"/>
              <w:rPr>
                <w:rFonts w:ascii="Arial Narrow" w:hAnsi="Arial Narrow" w:cs="Times New Roman"/>
                <w:sz w:val="16"/>
                <w:szCs w:val="16"/>
                <w:lang w:val="cs-CZ"/>
              </w:rPr>
            </w:pPr>
            <w:r>
              <w:rPr>
                <w:rFonts w:ascii="Arial Narrow" w:hAnsi="Arial Narrow" w:cs="Times New Roman"/>
                <w:sz w:val="16"/>
                <w:szCs w:val="16"/>
                <w:lang w:val="cs-CZ"/>
              </w:rPr>
              <w:t>104 385</w:t>
            </w:r>
          </w:p>
        </w:tc>
        <w:tc>
          <w:tcPr>
            <w:tcW w:w="761"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ED3557" w:rsidRPr="005B5B4D" w:rsidP="00C362EA">
            <w:pPr>
              <w:spacing w:line="240" w:lineRule="auto"/>
              <w:jc w:val="right"/>
              <w:rPr>
                <w:rFonts w:ascii="Arial Narrow" w:hAnsi="Arial Narrow" w:cs="Times New Roman"/>
                <w:sz w:val="16"/>
                <w:szCs w:val="16"/>
                <w:lang w:val="cs-CZ"/>
              </w:rPr>
            </w:pPr>
            <w:r>
              <w:rPr>
                <w:rFonts w:ascii="Arial Narrow" w:hAnsi="Arial Narrow" w:cs="Times New Roman"/>
                <w:sz w:val="16"/>
                <w:szCs w:val="16"/>
                <w:lang w:val="cs-CZ"/>
              </w:rPr>
              <w:t>104 385</w:t>
            </w:r>
          </w:p>
        </w:tc>
        <w:tc>
          <w:tcPr>
            <w:tcW w:w="670" w:type="dxa"/>
            <w:tcBorders>
              <w:top w:val="single" w:sz="4" w:space="0" w:color="auto"/>
              <w:left w:val="single" w:sz="4" w:space="0" w:color="auto"/>
              <w:bottom w:val="single" w:sz="4" w:space="0" w:color="auto"/>
              <w:right w:val="single" w:sz="12" w:space="0" w:color="auto"/>
              <w:tl2br w:val="nil"/>
              <w:tr2bl w:val="nil"/>
            </w:tcBorders>
            <w:noWrap/>
            <w:textDirection w:val="lrTb"/>
            <w:vAlign w:val="center"/>
          </w:tcPr>
          <w:p w:rsidR="00ED3557" w:rsidRPr="005B5B4D" w:rsidP="00C362EA">
            <w:pPr>
              <w:spacing w:line="240" w:lineRule="auto"/>
              <w:jc w:val="right"/>
              <w:rPr>
                <w:rFonts w:ascii="Arial Narrow" w:hAnsi="Arial Narrow" w:cs="Times New Roman"/>
                <w:sz w:val="16"/>
                <w:szCs w:val="16"/>
                <w:lang w:val="cs-CZ"/>
              </w:rPr>
            </w:pPr>
            <w:r w:rsidRPr="005B5B4D">
              <w:rPr>
                <w:rFonts w:ascii="Arial Narrow" w:hAnsi="Arial Narrow" w:cs="Times New Roman"/>
                <w:sz w:val="16"/>
                <w:szCs w:val="16"/>
                <w:lang w:val="cs-CZ"/>
              </w:rPr>
              <w:t>0</w:t>
            </w:r>
          </w:p>
        </w:tc>
      </w:tr>
      <w:tr>
        <w:tblPrEx>
          <w:tblW w:w="7670" w:type="dxa"/>
          <w:tblInd w:w="790" w:type="dxa"/>
          <w:tblLayout w:type="fixed"/>
          <w:tblCellMar>
            <w:left w:w="70" w:type="dxa"/>
            <w:right w:w="70" w:type="dxa"/>
          </w:tblCellMar>
        </w:tblPrEx>
        <w:trPr>
          <w:trHeight w:hRule="exact" w:val="227"/>
        </w:trPr>
        <w:tc>
          <w:tcPr>
            <w:tcW w:w="1440" w:type="dxa"/>
            <w:tcBorders>
              <w:top w:val="single" w:sz="4" w:space="0" w:color="auto"/>
              <w:left w:val="single" w:sz="12" w:space="0" w:color="auto"/>
              <w:bottom w:val="single" w:sz="4" w:space="0" w:color="auto"/>
              <w:right w:val="single" w:sz="12" w:space="0" w:color="auto"/>
              <w:tl2br w:val="nil"/>
              <w:tr2bl w:val="nil"/>
            </w:tcBorders>
            <w:textDirection w:val="lrTb"/>
            <w:vAlign w:val="center"/>
          </w:tcPr>
          <w:p w:rsidR="00ED3557" w:rsidRPr="005B5B4D" w:rsidP="00C362EA">
            <w:pPr>
              <w:spacing w:line="240" w:lineRule="auto"/>
              <w:rPr>
                <w:rFonts w:ascii="Arial Narrow" w:hAnsi="Arial Narrow" w:cs="Times New Roman"/>
                <w:sz w:val="18"/>
                <w:szCs w:val="18"/>
                <w:lang w:val="cs-CZ"/>
              </w:rPr>
            </w:pPr>
            <w:r w:rsidRPr="005B5B4D">
              <w:rPr>
                <w:rFonts w:ascii="Arial Narrow" w:hAnsi="Arial Narrow" w:cs="Times New Roman"/>
                <w:sz w:val="18"/>
                <w:szCs w:val="18"/>
                <w:lang w:val="cs-CZ"/>
              </w:rPr>
              <w:t>Ú</w:t>
            </w:r>
            <w:r>
              <w:rPr>
                <w:rFonts w:ascii="Arial Narrow" w:hAnsi="Arial Narrow" w:cs="Times New Roman"/>
                <w:sz w:val="18"/>
                <w:szCs w:val="18"/>
                <w:lang w:val="cs-CZ"/>
              </w:rPr>
              <w:t xml:space="preserve">VZ </w:t>
            </w:r>
          </w:p>
        </w:tc>
        <w:tc>
          <w:tcPr>
            <w:tcW w:w="1300" w:type="dxa"/>
            <w:tcBorders>
              <w:top w:val="single" w:sz="4" w:space="0" w:color="auto"/>
              <w:left w:val="single" w:sz="12" w:space="0" w:color="auto"/>
              <w:bottom w:val="single" w:sz="4" w:space="0" w:color="auto"/>
              <w:right w:val="single" w:sz="12" w:space="0" w:color="auto"/>
              <w:tl2br w:val="nil"/>
              <w:tr2bl w:val="nil"/>
            </w:tcBorders>
            <w:textDirection w:val="lrTb"/>
            <w:vAlign w:val="center"/>
          </w:tcPr>
          <w:p w:rsidR="00ED3557" w:rsidRPr="005B5B4D" w:rsidP="00C362EA">
            <w:pPr>
              <w:spacing w:line="240" w:lineRule="auto"/>
              <w:jc w:val="right"/>
              <w:rPr>
                <w:rFonts w:ascii="Arial Narrow" w:hAnsi="Arial Narrow" w:cs="Times New Roman"/>
                <w:sz w:val="16"/>
                <w:szCs w:val="16"/>
                <w:lang w:val="cs-CZ"/>
              </w:rPr>
            </w:pPr>
            <w:r>
              <w:rPr>
                <w:rFonts w:ascii="Arial Narrow" w:hAnsi="Arial Narrow" w:cs="Times New Roman"/>
                <w:sz w:val="16"/>
                <w:szCs w:val="16"/>
                <w:lang w:val="cs-CZ"/>
              </w:rPr>
              <w:t>13 501</w:t>
            </w:r>
          </w:p>
        </w:tc>
        <w:tc>
          <w:tcPr>
            <w:tcW w:w="1220" w:type="dxa"/>
            <w:tcBorders>
              <w:top w:val="single" w:sz="4" w:space="0" w:color="auto"/>
              <w:left w:val="single" w:sz="12" w:space="0" w:color="auto"/>
              <w:bottom w:val="single" w:sz="4" w:space="0" w:color="auto"/>
              <w:right w:val="single" w:sz="12" w:space="0" w:color="auto"/>
              <w:tl2br w:val="nil"/>
              <w:tr2bl w:val="nil"/>
            </w:tcBorders>
            <w:textDirection w:val="lrTb"/>
            <w:vAlign w:val="center"/>
          </w:tcPr>
          <w:p w:rsidR="00ED3557" w:rsidRPr="005B5B4D" w:rsidP="00A61E2F">
            <w:pPr>
              <w:spacing w:line="240" w:lineRule="auto"/>
              <w:jc w:val="right"/>
              <w:rPr>
                <w:rFonts w:ascii="Arial Narrow" w:hAnsi="Arial Narrow" w:cs="Times New Roman"/>
                <w:sz w:val="16"/>
                <w:szCs w:val="16"/>
                <w:lang w:val="cs-CZ"/>
              </w:rPr>
            </w:pPr>
            <w:r w:rsidRPr="005B5B4D">
              <w:rPr>
                <w:rFonts w:ascii="Arial Narrow" w:hAnsi="Arial Narrow" w:cs="Times New Roman"/>
                <w:sz w:val="16"/>
                <w:szCs w:val="16"/>
                <w:lang w:val="cs-CZ"/>
              </w:rPr>
              <w:t> </w:t>
            </w:r>
            <w:r w:rsidR="00A61E2F">
              <w:rPr>
                <w:rFonts w:ascii="Arial Narrow" w:hAnsi="Arial Narrow" w:cs="Times New Roman"/>
                <w:sz w:val="16"/>
                <w:szCs w:val="16"/>
                <w:lang w:val="cs-CZ"/>
              </w:rPr>
              <w:t>14  099</w:t>
            </w:r>
          </w:p>
          <w:p w:rsidR="00ED3557" w:rsidRPr="005B5B4D" w:rsidP="00A61E2F">
            <w:pPr>
              <w:spacing w:line="240" w:lineRule="auto"/>
              <w:jc w:val="right"/>
              <w:rPr>
                <w:rFonts w:ascii="Arial Narrow" w:hAnsi="Arial Narrow" w:cs="Times New Roman"/>
                <w:sz w:val="16"/>
                <w:szCs w:val="16"/>
                <w:lang w:val="cs-CZ"/>
              </w:rPr>
            </w:pPr>
            <w:r>
              <w:rPr>
                <w:rFonts w:ascii="Arial Narrow" w:hAnsi="Arial Narrow" w:cs="Times New Roman"/>
                <w:sz w:val="16"/>
                <w:szCs w:val="16"/>
                <w:lang w:val="cs-CZ"/>
              </w:rPr>
              <w:t>14 099</w:t>
            </w:r>
          </w:p>
        </w:tc>
        <w:tc>
          <w:tcPr>
            <w:tcW w:w="632" w:type="dxa"/>
            <w:tcBorders>
              <w:top w:val="single" w:sz="4" w:space="0" w:color="auto"/>
              <w:left w:val="single" w:sz="12" w:space="0" w:color="auto"/>
              <w:bottom w:val="single" w:sz="4" w:space="0" w:color="auto"/>
              <w:right w:val="single" w:sz="4" w:space="0" w:color="auto"/>
              <w:tl2br w:val="nil"/>
              <w:tr2bl w:val="nil"/>
            </w:tcBorders>
            <w:textDirection w:val="lrTb"/>
            <w:vAlign w:val="center"/>
          </w:tcPr>
          <w:p w:rsidR="00ED3557" w:rsidRPr="005B5B4D" w:rsidP="00C362EA">
            <w:pPr>
              <w:spacing w:line="240" w:lineRule="auto"/>
              <w:rPr>
                <w:rFonts w:ascii="Arial Narrow" w:hAnsi="Arial Narrow" w:cs="Times New Roman"/>
                <w:sz w:val="16"/>
                <w:szCs w:val="16"/>
                <w:lang w:val="cs-CZ"/>
              </w:rPr>
            </w:pPr>
            <w:r w:rsidRPr="005B5B4D">
              <w:rPr>
                <w:rFonts w:ascii="Arial Narrow" w:hAnsi="Arial Narrow" w:cs="Times New Roman"/>
                <w:sz w:val="16"/>
                <w:szCs w:val="16"/>
                <w:lang w:val="cs-CZ"/>
              </w:rPr>
              <w:t> </w:t>
            </w:r>
          </w:p>
        </w:tc>
        <w:tc>
          <w:tcPr>
            <w:tcW w:w="988"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ED3557" w:rsidRPr="005B5B4D" w:rsidP="00C362EA">
            <w:pPr>
              <w:spacing w:line="240" w:lineRule="auto"/>
              <w:rPr>
                <w:rFonts w:ascii="Arial Narrow" w:hAnsi="Arial Narrow" w:cs="Times New Roman"/>
                <w:sz w:val="16"/>
                <w:szCs w:val="16"/>
                <w:lang w:val="cs-CZ"/>
              </w:rPr>
            </w:pPr>
            <w:r w:rsidRPr="005B5B4D">
              <w:rPr>
                <w:rFonts w:ascii="Arial Narrow" w:hAnsi="Arial Narrow" w:cs="Times New Roman"/>
                <w:sz w:val="16"/>
                <w:szCs w:val="16"/>
                <w:lang w:val="cs-CZ"/>
              </w:rPr>
              <w:t> </w:t>
            </w:r>
          </w:p>
        </w:tc>
        <w:tc>
          <w:tcPr>
            <w:tcW w:w="659"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ED3557" w:rsidRPr="005B5B4D" w:rsidP="00C362EA">
            <w:pPr>
              <w:spacing w:line="240" w:lineRule="auto"/>
              <w:jc w:val="right"/>
              <w:rPr>
                <w:rFonts w:ascii="Arial Narrow" w:hAnsi="Arial Narrow" w:cs="Times New Roman"/>
                <w:sz w:val="16"/>
                <w:szCs w:val="16"/>
                <w:lang w:val="cs-CZ"/>
              </w:rPr>
            </w:pPr>
            <w:r>
              <w:rPr>
                <w:rFonts w:ascii="Arial Narrow" w:hAnsi="Arial Narrow" w:cs="Times New Roman"/>
                <w:sz w:val="16"/>
                <w:szCs w:val="16"/>
                <w:lang w:val="cs-CZ"/>
              </w:rPr>
              <w:t>14 099</w:t>
            </w:r>
          </w:p>
        </w:tc>
        <w:tc>
          <w:tcPr>
            <w:tcW w:w="761"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ED3557" w:rsidRPr="005B5B4D" w:rsidP="00C362EA">
            <w:pPr>
              <w:spacing w:line="240" w:lineRule="auto"/>
              <w:jc w:val="right"/>
              <w:rPr>
                <w:rFonts w:ascii="Arial Narrow" w:hAnsi="Arial Narrow" w:cs="Times New Roman"/>
                <w:sz w:val="16"/>
                <w:szCs w:val="16"/>
                <w:lang w:val="cs-CZ"/>
              </w:rPr>
            </w:pPr>
            <w:r>
              <w:rPr>
                <w:rFonts w:ascii="Arial Narrow" w:hAnsi="Arial Narrow" w:cs="Times New Roman"/>
                <w:sz w:val="16"/>
                <w:szCs w:val="16"/>
                <w:lang w:val="cs-CZ"/>
              </w:rPr>
              <w:t>14 099</w:t>
            </w:r>
          </w:p>
        </w:tc>
        <w:tc>
          <w:tcPr>
            <w:tcW w:w="670" w:type="dxa"/>
            <w:tcBorders>
              <w:top w:val="single" w:sz="4" w:space="0" w:color="auto"/>
              <w:left w:val="single" w:sz="4" w:space="0" w:color="auto"/>
              <w:bottom w:val="single" w:sz="4" w:space="0" w:color="auto"/>
              <w:right w:val="single" w:sz="12" w:space="0" w:color="auto"/>
              <w:tl2br w:val="nil"/>
              <w:tr2bl w:val="nil"/>
            </w:tcBorders>
            <w:noWrap/>
            <w:textDirection w:val="lrTb"/>
            <w:vAlign w:val="center"/>
          </w:tcPr>
          <w:p w:rsidR="00ED3557" w:rsidRPr="005B5B4D" w:rsidP="00C362EA">
            <w:pPr>
              <w:spacing w:line="240" w:lineRule="auto"/>
              <w:jc w:val="right"/>
              <w:rPr>
                <w:rFonts w:ascii="Arial Narrow" w:hAnsi="Arial Narrow" w:cs="Times New Roman"/>
                <w:sz w:val="16"/>
                <w:szCs w:val="16"/>
                <w:lang w:val="cs-CZ"/>
              </w:rPr>
            </w:pPr>
            <w:r>
              <w:rPr>
                <w:rFonts w:ascii="Arial Narrow" w:hAnsi="Arial Narrow" w:cs="Times New Roman"/>
                <w:sz w:val="16"/>
                <w:szCs w:val="16"/>
                <w:lang w:val="cs-CZ"/>
              </w:rPr>
              <w:t>0</w:t>
            </w:r>
          </w:p>
        </w:tc>
      </w:tr>
      <w:tr>
        <w:tblPrEx>
          <w:tblW w:w="7670" w:type="dxa"/>
          <w:tblInd w:w="790" w:type="dxa"/>
          <w:tblLayout w:type="fixed"/>
          <w:tblCellMar>
            <w:left w:w="70" w:type="dxa"/>
            <w:right w:w="70" w:type="dxa"/>
          </w:tblCellMar>
        </w:tblPrEx>
        <w:trPr>
          <w:trHeight w:hRule="exact" w:val="227"/>
        </w:trPr>
        <w:tc>
          <w:tcPr>
            <w:tcW w:w="1440" w:type="dxa"/>
            <w:tcBorders>
              <w:top w:val="single" w:sz="4" w:space="0" w:color="auto"/>
              <w:left w:val="single" w:sz="12" w:space="0" w:color="auto"/>
              <w:bottom w:val="single" w:sz="12" w:space="0" w:color="auto"/>
              <w:right w:val="single" w:sz="12" w:space="0" w:color="auto"/>
              <w:tl2br w:val="nil"/>
              <w:tr2bl w:val="nil"/>
            </w:tcBorders>
            <w:textDirection w:val="lrTb"/>
            <w:vAlign w:val="center"/>
          </w:tcPr>
          <w:p w:rsidR="00ED3557" w:rsidRPr="005B5B4D" w:rsidP="00C362EA">
            <w:pPr>
              <w:spacing w:line="240" w:lineRule="auto"/>
              <w:rPr>
                <w:rFonts w:ascii="Arial Narrow" w:hAnsi="Arial Narrow" w:cs="Times New Roman"/>
                <w:sz w:val="18"/>
                <w:szCs w:val="18"/>
                <w:lang w:val="cs-CZ"/>
              </w:rPr>
            </w:pPr>
            <w:r>
              <w:rPr>
                <w:rFonts w:ascii="Arial Narrow" w:hAnsi="Arial Narrow" w:cs="Times New Roman"/>
                <w:sz w:val="18"/>
                <w:szCs w:val="18"/>
                <w:lang w:val="cs-CZ"/>
              </w:rPr>
              <w:t>Žel.</w:t>
            </w:r>
            <w:r w:rsidRPr="005B5B4D">
              <w:rPr>
                <w:rFonts w:ascii="Arial Narrow" w:hAnsi="Arial Narrow" w:cs="Times New Roman"/>
                <w:sz w:val="18"/>
                <w:szCs w:val="18"/>
                <w:lang w:val="cs-CZ"/>
              </w:rPr>
              <w:t xml:space="preserve"> polícia</w:t>
            </w:r>
          </w:p>
        </w:tc>
        <w:tc>
          <w:tcPr>
            <w:tcW w:w="1300" w:type="dxa"/>
            <w:tcBorders>
              <w:top w:val="single" w:sz="4" w:space="0" w:color="auto"/>
              <w:left w:val="single" w:sz="12" w:space="0" w:color="auto"/>
              <w:bottom w:val="single" w:sz="12" w:space="0" w:color="auto"/>
              <w:right w:val="single" w:sz="12" w:space="0" w:color="auto"/>
              <w:tl2br w:val="nil"/>
              <w:tr2bl w:val="nil"/>
            </w:tcBorders>
            <w:textDirection w:val="lrTb"/>
            <w:vAlign w:val="center"/>
          </w:tcPr>
          <w:p w:rsidR="00ED3557" w:rsidRPr="005B5B4D" w:rsidP="00C362EA">
            <w:pPr>
              <w:spacing w:line="240" w:lineRule="auto"/>
              <w:jc w:val="right"/>
              <w:rPr>
                <w:rFonts w:ascii="Arial Narrow" w:hAnsi="Arial Narrow" w:cs="Times New Roman"/>
                <w:sz w:val="16"/>
                <w:szCs w:val="16"/>
                <w:lang w:val="cs-CZ"/>
              </w:rPr>
            </w:pPr>
            <w:r>
              <w:rPr>
                <w:rFonts w:ascii="Arial Narrow" w:hAnsi="Arial Narrow" w:cs="Times New Roman"/>
                <w:sz w:val="16"/>
                <w:szCs w:val="16"/>
                <w:lang w:val="cs-CZ"/>
              </w:rPr>
              <w:t>371 095</w:t>
            </w:r>
          </w:p>
        </w:tc>
        <w:tc>
          <w:tcPr>
            <w:tcW w:w="1220" w:type="dxa"/>
            <w:tcBorders>
              <w:top w:val="single" w:sz="4" w:space="0" w:color="auto"/>
              <w:left w:val="single" w:sz="12" w:space="0" w:color="auto"/>
              <w:bottom w:val="single" w:sz="12" w:space="0" w:color="auto"/>
              <w:right w:val="single" w:sz="12" w:space="0" w:color="auto"/>
              <w:tl2br w:val="nil"/>
              <w:tr2bl w:val="nil"/>
            </w:tcBorders>
            <w:textDirection w:val="lrTb"/>
            <w:vAlign w:val="center"/>
          </w:tcPr>
          <w:p w:rsidR="00ED3557" w:rsidRPr="005B5B4D" w:rsidP="00A61E2F">
            <w:pPr>
              <w:spacing w:line="240" w:lineRule="auto"/>
              <w:jc w:val="right"/>
              <w:rPr>
                <w:rFonts w:ascii="Arial Narrow" w:hAnsi="Arial Narrow" w:cs="Times New Roman"/>
                <w:sz w:val="16"/>
                <w:szCs w:val="16"/>
                <w:lang w:val="cs-CZ"/>
              </w:rPr>
            </w:pPr>
            <w:r w:rsidRPr="005B5B4D">
              <w:rPr>
                <w:rFonts w:ascii="Arial Narrow" w:hAnsi="Arial Narrow" w:cs="Times New Roman"/>
                <w:sz w:val="16"/>
                <w:szCs w:val="16"/>
                <w:lang w:val="cs-CZ"/>
              </w:rPr>
              <w:t> </w:t>
            </w:r>
            <w:r w:rsidR="00A61E2F">
              <w:rPr>
                <w:rFonts w:ascii="Arial Narrow" w:hAnsi="Arial Narrow" w:cs="Times New Roman"/>
                <w:sz w:val="16"/>
                <w:szCs w:val="16"/>
                <w:lang w:val="cs-CZ"/>
              </w:rPr>
              <w:t>385 833</w:t>
            </w:r>
          </w:p>
          <w:p w:rsidR="00ED3557" w:rsidRPr="005B5B4D" w:rsidP="00A61E2F">
            <w:pPr>
              <w:spacing w:line="240" w:lineRule="auto"/>
              <w:jc w:val="right"/>
              <w:rPr>
                <w:rFonts w:ascii="Arial Narrow" w:hAnsi="Arial Narrow" w:cs="Times New Roman"/>
                <w:sz w:val="16"/>
                <w:szCs w:val="16"/>
                <w:lang w:val="cs-CZ"/>
              </w:rPr>
            </w:pPr>
            <w:r>
              <w:rPr>
                <w:rFonts w:ascii="Arial Narrow" w:hAnsi="Arial Narrow" w:cs="Times New Roman"/>
                <w:sz w:val="16"/>
                <w:szCs w:val="16"/>
                <w:lang w:val="cs-CZ"/>
              </w:rPr>
              <w:t>385 833</w:t>
            </w:r>
          </w:p>
        </w:tc>
        <w:tc>
          <w:tcPr>
            <w:tcW w:w="632" w:type="dxa"/>
            <w:tcBorders>
              <w:top w:val="single" w:sz="4" w:space="0" w:color="auto"/>
              <w:left w:val="single" w:sz="12" w:space="0" w:color="auto"/>
              <w:bottom w:val="single" w:sz="12" w:space="0" w:color="auto"/>
              <w:right w:val="single" w:sz="4" w:space="0" w:color="auto"/>
              <w:tl2br w:val="nil"/>
              <w:tr2bl w:val="nil"/>
            </w:tcBorders>
            <w:textDirection w:val="lrTb"/>
            <w:vAlign w:val="center"/>
          </w:tcPr>
          <w:p w:rsidR="00ED3557" w:rsidRPr="005B5B4D" w:rsidP="00C362EA">
            <w:pPr>
              <w:spacing w:line="240" w:lineRule="auto"/>
              <w:rPr>
                <w:rFonts w:ascii="Arial Narrow" w:hAnsi="Arial Narrow" w:cs="Times New Roman"/>
                <w:sz w:val="16"/>
                <w:szCs w:val="16"/>
                <w:lang w:val="cs-CZ"/>
              </w:rPr>
            </w:pPr>
            <w:r w:rsidRPr="005B5B4D">
              <w:rPr>
                <w:rFonts w:ascii="Arial Narrow" w:hAnsi="Arial Narrow" w:cs="Times New Roman"/>
                <w:sz w:val="16"/>
                <w:szCs w:val="16"/>
                <w:lang w:val="cs-CZ"/>
              </w:rPr>
              <w:t> </w:t>
            </w:r>
          </w:p>
        </w:tc>
        <w:tc>
          <w:tcPr>
            <w:tcW w:w="988" w:type="dxa"/>
            <w:tcBorders>
              <w:top w:val="single" w:sz="4" w:space="0" w:color="auto"/>
              <w:left w:val="single" w:sz="4" w:space="0" w:color="auto"/>
              <w:bottom w:val="single" w:sz="12" w:space="0" w:color="auto"/>
              <w:right w:val="single" w:sz="4" w:space="0" w:color="auto"/>
              <w:tl2br w:val="nil"/>
              <w:tr2bl w:val="nil"/>
            </w:tcBorders>
            <w:textDirection w:val="lrTb"/>
            <w:vAlign w:val="center"/>
          </w:tcPr>
          <w:p w:rsidR="00ED3557" w:rsidRPr="005B5B4D" w:rsidP="00C362EA">
            <w:pPr>
              <w:spacing w:line="240" w:lineRule="auto"/>
              <w:jc w:val="right"/>
              <w:rPr>
                <w:rFonts w:ascii="Arial Narrow" w:hAnsi="Arial Narrow" w:cs="Times New Roman"/>
                <w:sz w:val="16"/>
                <w:szCs w:val="16"/>
                <w:lang w:val="cs-CZ"/>
              </w:rPr>
            </w:pPr>
            <w:r w:rsidRPr="005B5B4D">
              <w:rPr>
                <w:rFonts w:ascii="Arial Narrow" w:hAnsi="Arial Narrow" w:cs="Times New Roman"/>
                <w:sz w:val="16"/>
                <w:szCs w:val="16"/>
                <w:lang w:val="cs-CZ"/>
              </w:rPr>
              <w:t>3</w:t>
            </w:r>
            <w:r>
              <w:rPr>
                <w:rFonts w:ascii="Arial Narrow" w:hAnsi="Arial Narrow" w:cs="Times New Roman"/>
                <w:sz w:val="16"/>
                <w:szCs w:val="16"/>
                <w:lang w:val="cs-CZ"/>
              </w:rPr>
              <w:t>69 273</w:t>
            </w:r>
          </w:p>
        </w:tc>
        <w:tc>
          <w:tcPr>
            <w:tcW w:w="659" w:type="dxa"/>
            <w:tcBorders>
              <w:top w:val="single" w:sz="4" w:space="0" w:color="auto"/>
              <w:left w:val="single" w:sz="4" w:space="0" w:color="auto"/>
              <w:bottom w:val="single" w:sz="12" w:space="0" w:color="auto"/>
              <w:right w:val="single" w:sz="4" w:space="0" w:color="auto"/>
              <w:tl2br w:val="nil"/>
              <w:tr2bl w:val="nil"/>
            </w:tcBorders>
            <w:textDirection w:val="lrTb"/>
            <w:vAlign w:val="center"/>
          </w:tcPr>
          <w:p w:rsidR="00ED3557" w:rsidRPr="005B5B4D" w:rsidP="00C362EA">
            <w:pPr>
              <w:spacing w:line="240" w:lineRule="auto"/>
              <w:jc w:val="right"/>
              <w:rPr>
                <w:rFonts w:ascii="Arial Narrow" w:hAnsi="Arial Narrow" w:cs="Times New Roman"/>
                <w:sz w:val="16"/>
                <w:szCs w:val="16"/>
                <w:lang w:val="cs-CZ"/>
              </w:rPr>
            </w:pPr>
            <w:r>
              <w:rPr>
                <w:rFonts w:ascii="Arial Narrow" w:hAnsi="Arial Narrow" w:cs="Times New Roman"/>
                <w:sz w:val="16"/>
                <w:szCs w:val="16"/>
                <w:lang w:val="cs-CZ"/>
              </w:rPr>
              <w:t>16 560</w:t>
            </w:r>
          </w:p>
        </w:tc>
        <w:tc>
          <w:tcPr>
            <w:tcW w:w="761" w:type="dxa"/>
            <w:tcBorders>
              <w:top w:val="single" w:sz="4" w:space="0" w:color="auto"/>
              <w:left w:val="single" w:sz="4" w:space="0" w:color="auto"/>
              <w:bottom w:val="single" w:sz="12" w:space="0" w:color="auto"/>
              <w:right w:val="single" w:sz="4" w:space="0" w:color="auto"/>
              <w:tl2br w:val="nil"/>
              <w:tr2bl w:val="nil"/>
            </w:tcBorders>
            <w:textDirection w:val="lrTb"/>
            <w:vAlign w:val="center"/>
          </w:tcPr>
          <w:p w:rsidR="00ED3557" w:rsidRPr="005B5B4D" w:rsidP="00C362EA">
            <w:pPr>
              <w:spacing w:line="240" w:lineRule="auto"/>
              <w:jc w:val="right"/>
              <w:rPr>
                <w:rFonts w:ascii="Arial Narrow" w:hAnsi="Arial Narrow" w:cs="Times New Roman"/>
                <w:sz w:val="16"/>
                <w:szCs w:val="16"/>
                <w:lang w:val="cs-CZ"/>
              </w:rPr>
            </w:pPr>
            <w:r>
              <w:rPr>
                <w:rFonts w:ascii="Arial Narrow" w:hAnsi="Arial Narrow" w:cs="Times New Roman"/>
                <w:sz w:val="16"/>
                <w:szCs w:val="16"/>
                <w:lang w:val="cs-CZ"/>
              </w:rPr>
              <w:t>385 833</w:t>
            </w:r>
          </w:p>
        </w:tc>
        <w:tc>
          <w:tcPr>
            <w:tcW w:w="670" w:type="dxa"/>
            <w:tcBorders>
              <w:top w:val="single" w:sz="4" w:space="0" w:color="auto"/>
              <w:left w:val="single" w:sz="4" w:space="0" w:color="auto"/>
              <w:bottom w:val="single" w:sz="12" w:space="0" w:color="auto"/>
              <w:right w:val="single" w:sz="12" w:space="0" w:color="auto"/>
              <w:tl2br w:val="nil"/>
              <w:tr2bl w:val="nil"/>
            </w:tcBorders>
            <w:noWrap/>
            <w:textDirection w:val="lrTb"/>
            <w:vAlign w:val="center"/>
          </w:tcPr>
          <w:p w:rsidR="00ED3557" w:rsidRPr="005B5B4D" w:rsidP="00C362EA">
            <w:pPr>
              <w:spacing w:line="240" w:lineRule="auto"/>
              <w:jc w:val="right"/>
              <w:rPr>
                <w:rFonts w:ascii="Arial Narrow" w:hAnsi="Arial Narrow" w:cs="Times New Roman"/>
                <w:sz w:val="16"/>
                <w:szCs w:val="16"/>
                <w:lang w:val="cs-CZ"/>
              </w:rPr>
            </w:pPr>
            <w:r>
              <w:rPr>
                <w:rFonts w:ascii="Arial Narrow" w:hAnsi="Arial Narrow" w:cs="Times New Roman"/>
                <w:sz w:val="16"/>
                <w:szCs w:val="16"/>
                <w:lang w:val="cs-CZ"/>
              </w:rPr>
              <w:t>0</w:t>
            </w:r>
          </w:p>
        </w:tc>
      </w:tr>
      <w:tr>
        <w:tblPrEx>
          <w:tblW w:w="7670" w:type="dxa"/>
          <w:tblInd w:w="790" w:type="dxa"/>
          <w:tblLayout w:type="fixed"/>
          <w:tblCellMar>
            <w:left w:w="70" w:type="dxa"/>
            <w:right w:w="70" w:type="dxa"/>
          </w:tblCellMar>
        </w:tblPrEx>
        <w:trPr>
          <w:trHeight w:val="451"/>
        </w:trPr>
        <w:tc>
          <w:tcPr>
            <w:tcW w:w="1440" w:type="dxa"/>
            <w:tcBorders>
              <w:top w:val="single" w:sz="12" w:space="0" w:color="auto"/>
              <w:left w:val="single" w:sz="12" w:space="0" w:color="auto"/>
              <w:bottom w:val="single" w:sz="12" w:space="0" w:color="auto"/>
              <w:right w:val="single" w:sz="12" w:space="0" w:color="auto"/>
              <w:tl2br w:val="nil"/>
              <w:tr2bl w:val="nil"/>
            </w:tcBorders>
            <w:shd w:val="clear" w:color="auto" w:fill="606060"/>
            <w:textDirection w:val="lrTb"/>
            <w:vAlign w:val="center"/>
          </w:tcPr>
          <w:p w:rsidR="00ED3557" w:rsidRPr="00415831" w:rsidP="00C362EA">
            <w:pPr>
              <w:spacing w:line="240" w:lineRule="auto"/>
              <w:rPr>
                <w:rFonts w:ascii="Arial Narrow" w:hAnsi="Arial Narrow" w:cs="Times New Roman"/>
                <w:b/>
                <w:bCs/>
                <w:color w:val="FFFFFF"/>
                <w:sz w:val="18"/>
                <w:szCs w:val="18"/>
                <w:lang w:val="cs-CZ"/>
              </w:rPr>
            </w:pPr>
            <w:r w:rsidRPr="00415831">
              <w:rPr>
                <w:rFonts w:ascii="Arial Narrow" w:hAnsi="Arial Narrow" w:cs="Times New Roman"/>
                <w:b/>
                <w:bCs/>
                <w:color w:val="FFFFFF"/>
                <w:sz w:val="18"/>
                <w:szCs w:val="18"/>
                <w:lang w:val="cs-CZ"/>
              </w:rPr>
              <w:t>S P O L U</w:t>
            </w:r>
          </w:p>
        </w:tc>
        <w:tc>
          <w:tcPr>
            <w:tcW w:w="1300" w:type="dxa"/>
            <w:tcBorders>
              <w:top w:val="single" w:sz="12" w:space="0" w:color="auto"/>
              <w:left w:val="single" w:sz="12" w:space="0" w:color="auto"/>
              <w:bottom w:val="single" w:sz="12" w:space="0" w:color="auto"/>
              <w:right w:val="single" w:sz="12" w:space="0" w:color="auto"/>
              <w:tl2br w:val="nil"/>
              <w:tr2bl w:val="nil"/>
            </w:tcBorders>
            <w:shd w:val="clear" w:color="auto" w:fill="606060"/>
            <w:textDirection w:val="lrTb"/>
            <w:vAlign w:val="center"/>
          </w:tcPr>
          <w:p w:rsidR="00ED3557" w:rsidRPr="00415831" w:rsidP="00C362EA">
            <w:pPr>
              <w:spacing w:line="240" w:lineRule="auto"/>
              <w:jc w:val="right"/>
              <w:rPr>
                <w:rFonts w:ascii="Arial Narrow" w:hAnsi="Arial Narrow" w:cs="Times New Roman"/>
                <w:b/>
                <w:bCs/>
                <w:color w:val="FFFFFF"/>
                <w:sz w:val="16"/>
                <w:szCs w:val="16"/>
                <w:lang w:val="cs-CZ"/>
              </w:rPr>
            </w:pPr>
            <w:r>
              <w:rPr>
                <w:rFonts w:ascii="Arial Narrow" w:hAnsi="Arial Narrow" w:cs="Times New Roman"/>
                <w:b/>
                <w:bCs/>
                <w:color w:val="FFFFFF"/>
                <w:sz w:val="16"/>
                <w:szCs w:val="16"/>
                <w:lang w:val="cs-CZ"/>
              </w:rPr>
              <w:t>844 351</w:t>
            </w:r>
          </w:p>
        </w:tc>
        <w:tc>
          <w:tcPr>
            <w:tcW w:w="1220" w:type="dxa"/>
            <w:tcBorders>
              <w:top w:val="single" w:sz="12" w:space="0" w:color="auto"/>
              <w:left w:val="single" w:sz="12" w:space="0" w:color="auto"/>
              <w:bottom w:val="single" w:sz="12" w:space="0" w:color="auto"/>
              <w:right w:val="single" w:sz="12" w:space="0" w:color="auto"/>
              <w:tl2br w:val="nil"/>
              <w:tr2bl w:val="nil"/>
            </w:tcBorders>
            <w:shd w:val="clear" w:color="auto" w:fill="606060"/>
            <w:textDirection w:val="lrTb"/>
            <w:vAlign w:val="center"/>
          </w:tcPr>
          <w:p w:rsidR="00ED3557" w:rsidRPr="00415831" w:rsidP="00C362EA">
            <w:pPr>
              <w:spacing w:line="240" w:lineRule="auto"/>
              <w:jc w:val="right"/>
              <w:rPr>
                <w:rFonts w:ascii="Arial Narrow" w:hAnsi="Arial Narrow" w:cs="Times New Roman"/>
                <w:b/>
                <w:bCs/>
                <w:color w:val="FFFFFF"/>
                <w:sz w:val="16"/>
                <w:szCs w:val="16"/>
                <w:lang w:val="cs-CZ"/>
              </w:rPr>
            </w:pPr>
            <w:r>
              <w:rPr>
                <w:rFonts w:ascii="Arial Narrow" w:hAnsi="Arial Narrow" w:cs="Times New Roman"/>
                <w:b/>
                <w:bCs/>
                <w:color w:val="FFFFFF"/>
                <w:sz w:val="16"/>
                <w:szCs w:val="16"/>
                <w:lang w:val="cs-CZ"/>
              </w:rPr>
              <w:t>880 615</w:t>
            </w:r>
          </w:p>
        </w:tc>
        <w:tc>
          <w:tcPr>
            <w:tcW w:w="632" w:type="dxa"/>
            <w:tcBorders>
              <w:top w:val="single" w:sz="12" w:space="0" w:color="auto"/>
              <w:left w:val="single" w:sz="12" w:space="0" w:color="auto"/>
              <w:bottom w:val="single" w:sz="12" w:space="0" w:color="auto"/>
              <w:right w:val="single" w:sz="4" w:space="0" w:color="auto"/>
              <w:tl2br w:val="nil"/>
              <w:tr2bl w:val="nil"/>
            </w:tcBorders>
            <w:shd w:val="clear" w:color="auto" w:fill="606060"/>
            <w:textDirection w:val="lrTb"/>
            <w:vAlign w:val="center"/>
          </w:tcPr>
          <w:p w:rsidR="00ED3557" w:rsidRPr="00415831" w:rsidP="00C362EA">
            <w:pPr>
              <w:spacing w:line="240" w:lineRule="auto"/>
              <w:jc w:val="right"/>
              <w:rPr>
                <w:rFonts w:ascii="Arial Narrow" w:hAnsi="Arial Narrow" w:cs="Times New Roman"/>
                <w:b/>
                <w:bCs/>
                <w:color w:val="FFFFFF"/>
                <w:sz w:val="16"/>
                <w:szCs w:val="16"/>
                <w:lang w:val="cs-CZ"/>
              </w:rPr>
            </w:pPr>
            <w:r w:rsidRPr="00415831">
              <w:rPr>
                <w:rFonts w:ascii="Arial Narrow" w:hAnsi="Arial Narrow" w:cs="Times New Roman"/>
                <w:b/>
                <w:bCs/>
                <w:color w:val="FFFFFF"/>
                <w:sz w:val="16"/>
                <w:szCs w:val="16"/>
                <w:lang w:val="cs-CZ"/>
              </w:rPr>
              <w:t>265 055</w:t>
            </w:r>
          </w:p>
        </w:tc>
        <w:tc>
          <w:tcPr>
            <w:tcW w:w="988" w:type="dxa"/>
            <w:tcBorders>
              <w:top w:val="single" w:sz="12" w:space="0" w:color="auto"/>
              <w:left w:val="single" w:sz="4" w:space="0" w:color="auto"/>
              <w:bottom w:val="single" w:sz="12" w:space="0" w:color="auto"/>
              <w:right w:val="single" w:sz="4" w:space="0" w:color="auto"/>
              <w:tl2br w:val="nil"/>
              <w:tr2bl w:val="nil"/>
            </w:tcBorders>
            <w:shd w:val="clear" w:color="auto" w:fill="606060"/>
            <w:textDirection w:val="lrTb"/>
            <w:vAlign w:val="center"/>
          </w:tcPr>
          <w:p w:rsidR="00ED3557" w:rsidRPr="00415831" w:rsidP="00C362EA">
            <w:pPr>
              <w:spacing w:line="240" w:lineRule="auto"/>
              <w:jc w:val="right"/>
              <w:rPr>
                <w:rFonts w:ascii="Arial Narrow" w:hAnsi="Arial Narrow" w:cs="Times New Roman"/>
                <w:b/>
                <w:bCs/>
                <w:color w:val="FFFFFF"/>
                <w:sz w:val="16"/>
                <w:szCs w:val="16"/>
                <w:lang w:val="cs-CZ"/>
              </w:rPr>
            </w:pPr>
            <w:r>
              <w:rPr>
                <w:rFonts w:ascii="Arial Narrow" w:hAnsi="Arial Narrow" w:cs="Times New Roman"/>
                <w:b/>
                <w:bCs/>
                <w:color w:val="FFFFFF"/>
                <w:sz w:val="16"/>
                <w:szCs w:val="16"/>
                <w:lang w:val="cs-CZ"/>
              </w:rPr>
              <w:t>369 273</w:t>
            </w:r>
          </w:p>
        </w:tc>
        <w:tc>
          <w:tcPr>
            <w:tcW w:w="659" w:type="dxa"/>
            <w:tcBorders>
              <w:top w:val="single" w:sz="12" w:space="0" w:color="auto"/>
              <w:left w:val="single" w:sz="4" w:space="0" w:color="auto"/>
              <w:bottom w:val="single" w:sz="12" w:space="0" w:color="auto"/>
              <w:right w:val="single" w:sz="4" w:space="0" w:color="auto"/>
              <w:tl2br w:val="nil"/>
              <w:tr2bl w:val="nil"/>
            </w:tcBorders>
            <w:shd w:val="clear" w:color="auto" w:fill="606060"/>
            <w:textDirection w:val="lrTb"/>
            <w:vAlign w:val="center"/>
          </w:tcPr>
          <w:p w:rsidR="00ED3557" w:rsidRPr="00415831" w:rsidP="00C362EA">
            <w:pPr>
              <w:spacing w:line="240" w:lineRule="auto"/>
              <w:jc w:val="right"/>
              <w:rPr>
                <w:rFonts w:ascii="Arial Narrow" w:hAnsi="Arial Narrow" w:cs="Times New Roman"/>
                <w:b/>
                <w:bCs/>
                <w:color w:val="FFFFFF"/>
                <w:sz w:val="16"/>
                <w:szCs w:val="16"/>
                <w:lang w:val="cs-CZ"/>
              </w:rPr>
            </w:pPr>
            <w:r>
              <w:rPr>
                <w:rFonts w:ascii="Arial Narrow" w:hAnsi="Arial Narrow" w:cs="Times New Roman"/>
                <w:b/>
                <w:bCs/>
                <w:color w:val="FFFFFF"/>
                <w:sz w:val="16"/>
                <w:szCs w:val="16"/>
                <w:lang w:val="cs-CZ"/>
              </w:rPr>
              <w:t>196 577</w:t>
            </w:r>
          </w:p>
        </w:tc>
        <w:tc>
          <w:tcPr>
            <w:tcW w:w="761" w:type="dxa"/>
            <w:tcBorders>
              <w:top w:val="single" w:sz="12" w:space="0" w:color="auto"/>
              <w:left w:val="single" w:sz="4" w:space="0" w:color="auto"/>
              <w:bottom w:val="single" w:sz="12" w:space="0" w:color="auto"/>
              <w:right w:val="single" w:sz="4" w:space="0" w:color="auto"/>
              <w:tl2br w:val="nil"/>
              <w:tr2bl w:val="nil"/>
            </w:tcBorders>
            <w:shd w:val="clear" w:color="auto" w:fill="606060"/>
            <w:textDirection w:val="lrTb"/>
            <w:vAlign w:val="center"/>
          </w:tcPr>
          <w:p w:rsidR="00ED3557" w:rsidRPr="00415831" w:rsidP="00C362EA">
            <w:pPr>
              <w:spacing w:line="240" w:lineRule="auto"/>
              <w:jc w:val="right"/>
              <w:rPr>
                <w:rFonts w:ascii="Arial Narrow" w:hAnsi="Arial Narrow" w:cs="Times New Roman"/>
                <w:b/>
                <w:bCs/>
                <w:color w:val="FFFFFF"/>
                <w:sz w:val="16"/>
                <w:szCs w:val="16"/>
                <w:lang w:val="cs-CZ"/>
              </w:rPr>
            </w:pPr>
            <w:r>
              <w:rPr>
                <w:rFonts w:ascii="Arial Narrow" w:hAnsi="Arial Narrow" w:cs="Times New Roman"/>
                <w:b/>
                <w:bCs/>
                <w:color w:val="FFFFFF"/>
                <w:sz w:val="16"/>
                <w:szCs w:val="16"/>
                <w:lang w:val="cs-CZ"/>
              </w:rPr>
              <w:t>879 951</w:t>
            </w:r>
          </w:p>
        </w:tc>
        <w:tc>
          <w:tcPr>
            <w:tcW w:w="670" w:type="dxa"/>
            <w:tcBorders>
              <w:top w:val="single" w:sz="12" w:space="0" w:color="auto"/>
              <w:left w:val="single" w:sz="4" w:space="0" w:color="auto"/>
              <w:bottom w:val="single" w:sz="12" w:space="0" w:color="auto"/>
              <w:right w:val="single" w:sz="12" w:space="0" w:color="auto"/>
              <w:tl2br w:val="nil"/>
              <w:tr2bl w:val="nil"/>
            </w:tcBorders>
            <w:shd w:val="clear" w:color="auto" w:fill="606060"/>
            <w:noWrap/>
            <w:textDirection w:val="lrTb"/>
            <w:vAlign w:val="center"/>
          </w:tcPr>
          <w:p w:rsidR="00ED3557" w:rsidRPr="00415831" w:rsidP="00C362EA">
            <w:pPr>
              <w:spacing w:line="240" w:lineRule="auto"/>
              <w:jc w:val="right"/>
              <w:rPr>
                <w:rFonts w:ascii="Arial Narrow" w:hAnsi="Arial Narrow" w:cs="Times New Roman"/>
                <w:b/>
                <w:bCs/>
                <w:color w:val="FFFFFF"/>
                <w:sz w:val="16"/>
                <w:szCs w:val="16"/>
                <w:lang w:val="cs-CZ"/>
              </w:rPr>
            </w:pPr>
            <w:r w:rsidR="00FC3358">
              <w:rPr>
                <w:rFonts w:ascii="Arial Narrow" w:hAnsi="Arial Narrow" w:cs="Times New Roman"/>
                <w:b/>
                <w:bCs/>
                <w:color w:val="FFFFFF"/>
                <w:sz w:val="16"/>
                <w:szCs w:val="16"/>
                <w:lang w:val="cs-CZ"/>
              </w:rPr>
              <w:t>663</w:t>
            </w:r>
          </w:p>
        </w:tc>
      </w:tr>
    </w:tbl>
    <w:p w:rsidR="0083073F" w:rsidP="00166888">
      <w:pPr>
        <w:spacing w:line="240" w:lineRule="auto"/>
        <w:rPr>
          <w:rFonts w:ascii="Times New Roman" w:hAnsi="Times New Roman" w:cs="Times New Roman"/>
          <w:sz w:val="24"/>
          <w:szCs w:val="24"/>
          <w:u w:val="single"/>
        </w:rPr>
      </w:pPr>
    </w:p>
    <w:p w:rsidR="00166888" w:rsidRPr="00E936D0" w:rsidP="00A16DF7">
      <w:pPr>
        <w:spacing w:line="240" w:lineRule="auto"/>
        <w:rPr>
          <w:rFonts w:ascii="Times New Roman" w:hAnsi="Times New Roman" w:cs="Times New Roman"/>
          <w:sz w:val="24"/>
          <w:szCs w:val="24"/>
        </w:rPr>
      </w:pPr>
      <w:r w:rsidRPr="000B5820">
        <w:rPr>
          <w:rFonts w:ascii="Times New Roman" w:hAnsi="Times New Roman" w:cs="Times New Roman"/>
          <w:sz w:val="24"/>
          <w:szCs w:val="24"/>
          <w:u w:val="single"/>
        </w:rPr>
        <w:t>Pozn</w:t>
      </w:r>
      <w:r w:rsidRPr="000B5820">
        <w:rPr>
          <w:rFonts w:ascii="Times New Roman" w:hAnsi="Times New Roman" w:cs="Times New Roman"/>
          <w:sz w:val="24"/>
          <w:szCs w:val="24"/>
        </w:rPr>
        <w:t>.: Rozdiel v kategórii 610</w:t>
      </w:r>
      <w:r>
        <w:rPr>
          <w:rFonts w:ascii="Times New Roman" w:hAnsi="Times New Roman" w:cs="Times New Roman"/>
          <w:sz w:val="24"/>
          <w:szCs w:val="24"/>
        </w:rPr>
        <w:t>-M</w:t>
      </w:r>
      <w:r w:rsidRPr="000B5820">
        <w:rPr>
          <w:rFonts w:ascii="Times New Roman" w:hAnsi="Times New Roman" w:cs="Times New Roman"/>
          <w:sz w:val="24"/>
          <w:szCs w:val="24"/>
        </w:rPr>
        <w:t>zdy,</w:t>
      </w:r>
      <w:r>
        <w:rPr>
          <w:rFonts w:ascii="Times New Roman" w:hAnsi="Times New Roman" w:cs="Times New Roman"/>
          <w:sz w:val="24"/>
          <w:szCs w:val="24"/>
        </w:rPr>
        <w:t xml:space="preserve"> platy, sl. </w:t>
      </w:r>
      <w:r w:rsidRPr="000B5820">
        <w:rPr>
          <w:rFonts w:ascii="Times New Roman" w:hAnsi="Times New Roman" w:cs="Times New Roman"/>
          <w:sz w:val="24"/>
          <w:szCs w:val="24"/>
        </w:rPr>
        <w:t>príjmy a OOV medzi vyk</w:t>
      </w:r>
      <w:r>
        <w:rPr>
          <w:rFonts w:ascii="Times New Roman" w:hAnsi="Times New Roman" w:cs="Times New Roman"/>
          <w:sz w:val="24"/>
          <w:szCs w:val="24"/>
        </w:rPr>
        <w:t xml:space="preserve">ázanou skutočnosťou k 31.12.2007 (Príloha č. 7) </w:t>
      </w:r>
      <w:r w:rsidR="00D11D3F">
        <w:rPr>
          <w:rFonts w:ascii="Times New Roman" w:hAnsi="Times New Roman" w:cs="Times New Roman"/>
          <w:sz w:val="24"/>
          <w:szCs w:val="24"/>
        </w:rPr>
        <w:t xml:space="preserve">a </w:t>
      </w:r>
      <w:r>
        <w:rPr>
          <w:rFonts w:ascii="Times New Roman" w:hAnsi="Times New Roman" w:cs="Times New Roman"/>
          <w:sz w:val="24"/>
          <w:szCs w:val="24"/>
        </w:rPr>
        <w:t>údajmi o dosiahnutej skutočnosti predkladanými MF SR z výkazu „Práca 2-04“</w:t>
      </w:r>
      <w:r w:rsidR="005E3AEC">
        <w:rPr>
          <w:rFonts w:ascii="Times New Roman" w:hAnsi="Times New Roman" w:cs="Times New Roman"/>
          <w:sz w:val="24"/>
          <w:szCs w:val="24"/>
        </w:rPr>
        <w:t xml:space="preserve"> tvorili </w:t>
      </w:r>
      <w:r>
        <w:rPr>
          <w:rFonts w:ascii="Times New Roman" w:hAnsi="Times New Roman" w:cs="Times New Roman"/>
          <w:sz w:val="24"/>
          <w:szCs w:val="24"/>
        </w:rPr>
        <w:t>nedočer</w:t>
      </w:r>
      <w:r w:rsidR="001F1455">
        <w:rPr>
          <w:rFonts w:ascii="Times New Roman" w:hAnsi="Times New Roman" w:cs="Times New Roman"/>
          <w:sz w:val="24"/>
          <w:szCs w:val="24"/>
        </w:rPr>
        <w:t>pané pr</w:t>
      </w:r>
      <w:r w:rsidR="00F1695C">
        <w:rPr>
          <w:rFonts w:ascii="Times New Roman" w:hAnsi="Times New Roman" w:cs="Times New Roman"/>
          <w:sz w:val="24"/>
          <w:szCs w:val="24"/>
        </w:rPr>
        <w:t>ostriedky vo výške 38 934,- Sk v</w:t>
      </w:r>
      <w:r w:rsidR="001F1455">
        <w:rPr>
          <w:rFonts w:ascii="Times New Roman" w:hAnsi="Times New Roman" w:cs="Times New Roman"/>
          <w:sz w:val="24"/>
          <w:szCs w:val="24"/>
        </w:rPr>
        <w:t xml:space="preserve"> organizácii Úrad pre reguláciu železničnej dopravy, vo výške 3 225,- Sk </w:t>
      </w:r>
      <w:r w:rsidR="00F1695C">
        <w:rPr>
          <w:rFonts w:ascii="Times New Roman" w:hAnsi="Times New Roman" w:cs="Times New Roman"/>
          <w:sz w:val="24"/>
          <w:szCs w:val="24"/>
        </w:rPr>
        <w:t>v</w:t>
      </w:r>
      <w:r w:rsidR="001F1455">
        <w:rPr>
          <w:rFonts w:ascii="Times New Roman" w:hAnsi="Times New Roman" w:cs="Times New Roman"/>
          <w:sz w:val="24"/>
          <w:szCs w:val="24"/>
        </w:rPr>
        <w:t> </w:t>
      </w:r>
      <w:r>
        <w:rPr>
          <w:rFonts w:ascii="Times New Roman" w:hAnsi="Times New Roman" w:cs="Times New Roman"/>
          <w:sz w:val="24"/>
          <w:szCs w:val="24"/>
        </w:rPr>
        <w:t>organizácii</w:t>
      </w:r>
      <w:r w:rsidR="00F1695C">
        <w:rPr>
          <w:rFonts w:ascii="Times New Roman" w:hAnsi="Times New Roman" w:cs="Times New Roman"/>
          <w:sz w:val="24"/>
          <w:szCs w:val="24"/>
        </w:rPr>
        <w:t xml:space="preserve"> Letecký úrad SR a v</w:t>
      </w:r>
      <w:r w:rsidR="001F1455">
        <w:rPr>
          <w:rFonts w:ascii="Times New Roman" w:hAnsi="Times New Roman" w:cs="Times New Roman"/>
          <w:sz w:val="24"/>
          <w:szCs w:val="24"/>
        </w:rPr>
        <w:t xml:space="preserve"> aparáte </w:t>
      </w:r>
      <w:r>
        <w:rPr>
          <w:rFonts w:ascii="Times New Roman" w:hAnsi="Times New Roman" w:cs="Times New Roman"/>
          <w:sz w:val="24"/>
          <w:szCs w:val="24"/>
        </w:rPr>
        <w:t>MD</w:t>
      </w:r>
      <w:r w:rsidR="00F1695C">
        <w:rPr>
          <w:rFonts w:ascii="Times New Roman" w:hAnsi="Times New Roman" w:cs="Times New Roman"/>
          <w:sz w:val="24"/>
          <w:szCs w:val="24"/>
        </w:rPr>
        <w:t>P</w:t>
      </w:r>
      <w:r>
        <w:rPr>
          <w:rFonts w:ascii="Times New Roman" w:hAnsi="Times New Roman" w:cs="Times New Roman"/>
          <w:sz w:val="24"/>
          <w:szCs w:val="24"/>
        </w:rPr>
        <w:t>T SR vo výške 151 tis. Sk</w:t>
      </w:r>
      <w:r w:rsidR="005E3AEC">
        <w:rPr>
          <w:rFonts w:ascii="Times New Roman" w:hAnsi="Times New Roman" w:cs="Times New Roman"/>
          <w:sz w:val="24"/>
          <w:szCs w:val="24"/>
        </w:rPr>
        <w:t xml:space="preserve">. Tento rozdiel vznikol </w:t>
      </w:r>
      <w:r>
        <w:rPr>
          <w:rFonts w:ascii="Times New Roman" w:hAnsi="Times New Roman" w:cs="Times New Roman"/>
          <w:sz w:val="24"/>
          <w:szCs w:val="24"/>
        </w:rPr>
        <w:t xml:space="preserve">z dôvodu, že pre vyplatenie decembrových miezd v januári je potrebné tieto previesť na konci roka na depozitný účet. </w:t>
      </w:r>
      <w:r w:rsidRPr="003D1800">
        <w:rPr>
          <w:rFonts w:ascii="Times New Roman" w:hAnsi="Times New Roman" w:cs="Times New Roman"/>
          <w:color w:val="000000"/>
          <w:sz w:val="24"/>
          <w:szCs w:val="24"/>
          <w:lang w:eastAsia="sk-SK"/>
        </w:rPr>
        <w:t>Čerpanie v účtovníctve je skutočnosť prevedená na depozitný účet.</w:t>
      </w:r>
      <w:r>
        <w:rPr>
          <w:rFonts w:ascii="Times New Roman" w:hAnsi="Times New Roman" w:cs="Times New Roman"/>
          <w:color w:val="000000"/>
          <w:sz w:val="24"/>
          <w:szCs w:val="24"/>
          <w:lang w:eastAsia="sk-SK"/>
        </w:rPr>
        <w:t xml:space="preserve"> Vzniknutý rozdiel tvoria nevyplatené prostriedky (napr. z titulu kurzových rozdielov, nahlásenia PN v januári zasahujúcej aj do decembra a pod.), ktoré sa vo februári odvedú na príjmový účet</w:t>
      </w:r>
      <w:r w:rsidRPr="003D1800">
        <w:rPr>
          <w:rFonts w:ascii="Times New Roman" w:hAnsi="Times New Roman" w:cs="Times New Roman"/>
          <w:color w:val="000000"/>
          <w:sz w:val="24"/>
          <w:szCs w:val="24"/>
          <w:lang w:eastAsia="sk-SK"/>
        </w:rPr>
        <w:t>.</w:t>
      </w:r>
    </w:p>
    <w:p w:rsidR="007A4698" w:rsidRPr="003D1800" w:rsidP="00A16DF7">
      <w:pPr>
        <w:spacing w:line="240" w:lineRule="auto"/>
        <w:rPr>
          <w:rFonts w:ascii="Times New Roman" w:hAnsi="Times New Roman" w:cs="Times New Roman"/>
          <w:sz w:val="24"/>
          <w:szCs w:val="24"/>
        </w:rPr>
      </w:pPr>
    </w:p>
    <w:p w:rsidR="007A4698" w:rsidRPr="00A16DF7" w:rsidP="00853F9C">
      <w:pPr>
        <w:spacing w:line="240" w:lineRule="auto"/>
        <w:ind w:firstLine="709"/>
        <w:jc w:val="center"/>
        <w:rPr>
          <w:rFonts w:ascii="Times New Roman" w:hAnsi="Times New Roman" w:cs="Times New Roman"/>
          <w:b/>
          <w:sz w:val="24"/>
          <w:szCs w:val="24"/>
        </w:rPr>
      </w:pPr>
      <w:r w:rsidRPr="00003BA0" w:rsidR="00881384">
        <w:rPr>
          <w:rFonts w:ascii="Times New Roman" w:hAnsi="Times New Roman" w:cs="Times New Roman"/>
          <w:b/>
          <w:sz w:val="24"/>
          <w:szCs w:val="24"/>
        </w:rPr>
        <w:t>Mzdy, platy, služobné príjmy a OOV zo štátneho rozpočtu a z rozpočtu EÚ na refundáciu v rámci techni</w:t>
      </w:r>
      <w:r w:rsidR="00881384">
        <w:rPr>
          <w:rFonts w:ascii="Times New Roman" w:hAnsi="Times New Roman" w:cs="Times New Roman"/>
          <w:b/>
          <w:sz w:val="24"/>
          <w:szCs w:val="24"/>
        </w:rPr>
        <w:t xml:space="preserve">ckej pomoci na </w:t>
      </w:r>
      <w:r w:rsidRPr="00003BA0" w:rsidR="00881384">
        <w:rPr>
          <w:rFonts w:ascii="Times New Roman" w:hAnsi="Times New Roman" w:cs="Times New Roman"/>
          <w:b/>
          <w:sz w:val="24"/>
          <w:szCs w:val="24"/>
        </w:rPr>
        <w:t>úrade MDPT SR</w:t>
      </w:r>
      <w:r w:rsidR="005F1CD3">
        <w:rPr>
          <w:rFonts w:ascii="Times New Roman" w:hAnsi="Times New Roman" w:cs="Times New Roman"/>
          <w:b/>
          <w:sz w:val="24"/>
          <w:szCs w:val="24"/>
        </w:rPr>
        <w:t xml:space="preserve"> a</w:t>
      </w:r>
      <w:r>
        <w:rPr>
          <w:rFonts w:ascii="Times New Roman" w:hAnsi="Times New Roman" w:cs="Times New Roman"/>
          <w:b/>
          <w:sz w:val="24"/>
          <w:szCs w:val="24"/>
        </w:rPr>
        <w:t> </w:t>
      </w:r>
      <w:r w:rsidR="005F1CD3">
        <w:rPr>
          <w:rFonts w:ascii="Times New Roman" w:hAnsi="Times New Roman" w:cs="Times New Roman"/>
          <w:b/>
          <w:sz w:val="24"/>
          <w:szCs w:val="24"/>
        </w:rPr>
        <w:t>SSC</w:t>
      </w:r>
    </w:p>
    <w:p w:rsidR="005F1CD3" w:rsidRPr="00A16DF7" w:rsidP="00A16DF7">
      <w:pPr>
        <w:tabs>
          <w:tab w:val="right" w:pos="3240"/>
          <w:tab w:val="right" w:pos="4500"/>
          <w:tab w:val="right" w:pos="7020"/>
          <w:tab w:val="right" w:pos="8280"/>
        </w:tabs>
        <w:spacing w:line="240" w:lineRule="auto"/>
        <w:ind w:left="412" w:hanging="412"/>
        <w:rPr>
          <w:rFonts w:ascii="Arial Narrow" w:hAnsi="Arial Narrow" w:cs="Times New Roman"/>
        </w:rPr>
      </w:pPr>
      <w:r w:rsidRPr="00A16DF7">
        <w:rPr>
          <w:rFonts w:ascii="Arial Narrow" w:hAnsi="Arial Narrow" w:cs="Times New Roman"/>
        </w:rPr>
        <w:t xml:space="preserve">                                                                                                                                           </w:t>
      </w:r>
      <w:r w:rsidRPr="00A16DF7" w:rsidR="00B076A6">
        <w:rPr>
          <w:rFonts w:ascii="Arial Narrow" w:hAnsi="Arial Narrow" w:cs="Times New Roman"/>
        </w:rPr>
        <w:t xml:space="preserve">                               </w:t>
      </w:r>
      <w:r w:rsidR="00A833D8">
        <w:rPr>
          <w:rFonts w:ascii="Arial Narrow" w:hAnsi="Arial Narrow" w:cs="Times New Roman"/>
        </w:rPr>
        <w:t xml:space="preserve">                 </w:t>
      </w:r>
      <w:r w:rsidRPr="00A16DF7">
        <w:rPr>
          <w:rFonts w:ascii="Arial Narrow" w:hAnsi="Arial Narrow" w:cs="Times New Roman"/>
        </w:rPr>
        <w:t>(v Sk)</w:t>
      </w:r>
    </w:p>
    <w:tbl>
      <w:tblPr>
        <w:tblW w:w="9017" w:type="dxa"/>
        <w:tblInd w:w="55" w:type="dxa"/>
        <w:tblCellMar>
          <w:left w:w="70" w:type="dxa"/>
          <w:right w:w="70" w:type="dxa"/>
        </w:tblCellMar>
      </w:tblPr>
      <w:tblGrid>
        <w:gridCol w:w="1635"/>
        <w:gridCol w:w="1300"/>
        <w:gridCol w:w="1300"/>
        <w:gridCol w:w="1421"/>
        <w:gridCol w:w="1018"/>
        <w:gridCol w:w="1018"/>
        <w:gridCol w:w="1325"/>
      </w:tblGrid>
      <w:tr>
        <w:tblPrEx>
          <w:tblW w:w="9017" w:type="dxa"/>
          <w:tblInd w:w="55" w:type="dxa"/>
          <w:tblCellMar>
            <w:left w:w="70" w:type="dxa"/>
            <w:right w:w="70" w:type="dxa"/>
          </w:tblCellMar>
        </w:tblPrEx>
        <w:trPr>
          <w:trHeight w:hRule="exact" w:val="284"/>
        </w:trPr>
        <w:tc>
          <w:tcPr>
            <w:tcW w:w="1635" w:type="dxa"/>
            <w:tcBorders>
              <w:top w:val="single" w:sz="12" w:space="0" w:color="auto"/>
              <w:left w:val="single" w:sz="12" w:space="0" w:color="auto"/>
              <w:bottom w:val="single" w:sz="4" w:space="0" w:color="auto"/>
              <w:right w:val="nil"/>
              <w:tl2br w:val="nil"/>
              <w:tr2bl w:val="nil"/>
            </w:tcBorders>
            <w:shd w:val="clear" w:color="auto" w:fill="C0C0C0"/>
            <w:noWrap/>
            <w:textDirection w:val="lrTb"/>
            <w:vAlign w:val="center"/>
          </w:tcPr>
          <w:p w:rsidR="005F1CD3" w:rsidRPr="00A16DF7" w:rsidP="00A16DF7">
            <w:pPr>
              <w:spacing w:line="240" w:lineRule="auto"/>
              <w:rPr>
                <w:rFonts w:ascii="Arial Narrow" w:hAnsi="Arial Narrow" w:cs="Arial"/>
              </w:rPr>
            </w:pPr>
          </w:p>
        </w:tc>
        <w:tc>
          <w:tcPr>
            <w:tcW w:w="4021" w:type="dxa"/>
            <w:gridSpan w:val="3"/>
            <w:tcBorders>
              <w:top w:val="single" w:sz="12" w:space="0" w:color="auto"/>
              <w:left w:val="single" w:sz="4" w:space="0" w:color="auto"/>
              <w:bottom w:val="single" w:sz="4" w:space="0" w:color="auto"/>
              <w:right w:val="single" w:sz="4" w:space="0" w:color="auto"/>
              <w:tl2br w:val="nil"/>
              <w:tr2bl w:val="nil"/>
            </w:tcBorders>
            <w:shd w:val="clear" w:color="auto" w:fill="C0C0C0"/>
            <w:noWrap/>
            <w:textDirection w:val="lrTb"/>
            <w:vAlign w:val="center"/>
          </w:tcPr>
          <w:p w:rsidR="005F1CD3" w:rsidRPr="006C1E18" w:rsidP="00A16DF7">
            <w:pPr>
              <w:spacing w:line="240" w:lineRule="auto"/>
              <w:jc w:val="center"/>
              <w:rPr>
                <w:rFonts w:ascii="Arial Narrow" w:hAnsi="Arial Narrow" w:cs="Arial"/>
                <w:b/>
              </w:rPr>
            </w:pPr>
            <w:r w:rsidRPr="006C1E18">
              <w:rPr>
                <w:rFonts w:ascii="Arial Narrow" w:hAnsi="Arial Narrow" w:cs="Arial"/>
                <w:b/>
              </w:rPr>
              <w:t>kapitola MDPT SR</w:t>
            </w:r>
          </w:p>
        </w:tc>
        <w:tc>
          <w:tcPr>
            <w:tcW w:w="3361" w:type="dxa"/>
            <w:gridSpan w:val="3"/>
            <w:tcBorders>
              <w:top w:val="single" w:sz="12" w:space="0" w:color="auto"/>
              <w:left w:val="nil"/>
              <w:bottom w:val="single" w:sz="4" w:space="0" w:color="auto"/>
              <w:right w:val="single" w:sz="12" w:space="0" w:color="auto"/>
              <w:tl2br w:val="nil"/>
              <w:tr2bl w:val="nil"/>
            </w:tcBorders>
            <w:shd w:val="clear" w:color="auto" w:fill="C0C0C0"/>
            <w:noWrap/>
            <w:textDirection w:val="lrTb"/>
            <w:vAlign w:val="center"/>
          </w:tcPr>
          <w:p w:rsidR="005F1CD3" w:rsidRPr="006C1E18" w:rsidP="00A16DF7">
            <w:pPr>
              <w:spacing w:line="240" w:lineRule="auto"/>
              <w:jc w:val="center"/>
              <w:rPr>
                <w:rFonts w:ascii="Arial Narrow" w:hAnsi="Arial Narrow" w:cs="Arial"/>
                <w:b/>
              </w:rPr>
            </w:pPr>
            <w:r w:rsidRPr="006C1E18">
              <w:rPr>
                <w:rFonts w:ascii="Arial Narrow" w:hAnsi="Arial Narrow" w:cs="Arial"/>
                <w:b/>
              </w:rPr>
              <w:t>z toho SSC</w:t>
            </w:r>
          </w:p>
        </w:tc>
      </w:tr>
      <w:tr>
        <w:tblPrEx>
          <w:tblW w:w="9017" w:type="dxa"/>
          <w:tblInd w:w="55" w:type="dxa"/>
          <w:tblCellMar>
            <w:left w:w="70" w:type="dxa"/>
            <w:right w:w="70" w:type="dxa"/>
          </w:tblCellMar>
        </w:tblPrEx>
        <w:trPr>
          <w:trHeight w:hRule="exact" w:val="284"/>
        </w:trPr>
        <w:tc>
          <w:tcPr>
            <w:tcW w:w="1635" w:type="dxa"/>
            <w:tcBorders>
              <w:top w:val="single" w:sz="4" w:space="0" w:color="auto"/>
              <w:left w:val="single" w:sz="12" w:space="0" w:color="auto"/>
              <w:bottom w:val="single" w:sz="12" w:space="0" w:color="auto"/>
              <w:right w:val="nil"/>
              <w:tl2br w:val="nil"/>
              <w:tr2bl w:val="nil"/>
            </w:tcBorders>
            <w:shd w:val="clear" w:color="auto" w:fill="C0C0C0"/>
            <w:noWrap/>
            <w:textDirection w:val="lrTb"/>
            <w:vAlign w:val="center"/>
          </w:tcPr>
          <w:p w:rsidR="005F1CD3" w:rsidRPr="00A16DF7" w:rsidP="00A16DF7">
            <w:pPr>
              <w:spacing w:line="240" w:lineRule="auto"/>
              <w:rPr>
                <w:rFonts w:ascii="Arial Narrow" w:hAnsi="Arial Narrow" w:cs="Arial"/>
              </w:rPr>
            </w:pPr>
            <w:r w:rsidRPr="00A16DF7">
              <w:rPr>
                <w:rFonts w:ascii="Arial Narrow" w:hAnsi="Arial Narrow" w:cs="Arial"/>
              </w:rPr>
              <w:t> </w:t>
            </w:r>
          </w:p>
        </w:tc>
        <w:tc>
          <w:tcPr>
            <w:tcW w:w="1300" w:type="dxa"/>
            <w:tcBorders>
              <w:top w:val="single" w:sz="4" w:space="0" w:color="auto"/>
              <w:left w:val="single" w:sz="4" w:space="0" w:color="auto"/>
              <w:bottom w:val="single" w:sz="12" w:space="0" w:color="auto"/>
              <w:right w:val="single" w:sz="4" w:space="0" w:color="auto"/>
              <w:tl2br w:val="nil"/>
              <w:tr2bl w:val="nil"/>
            </w:tcBorders>
            <w:shd w:val="clear" w:color="auto" w:fill="C0C0C0"/>
            <w:noWrap/>
            <w:textDirection w:val="lrTb"/>
            <w:vAlign w:val="center"/>
          </w:tcPr>
          <w:p w:rsidR="005F1CD3" w:rsidRPr="006C1E18" w:rsidP="00A16DF7">
            <w:pPr>
              <w:spacing w:line="240" w:lineRule="auto"/>
              <w:jc w:val="center"/>
              <w:rPr>
                <w:rFonts w:ascii="Arial Narrow" w:hAnsi="Arial Narrow" w:cs="Arial"/>
                <w:b/>
              </w:rPr>
            </w:pPr>
            <w:r w:rsidRPr="006C1E18">
              <w:rPr>
                <w:rFonts w:ascii="Arial Narrow" w:hAnsi="Arial Narrow" w:cs="Arial"/>
                <w:b/>
              </w:rPr>
              <w:t>ŠR</w:t>
            </w:r>
          </w:p>
        </w:tc>
        <w:tc>
          <w:tcPr>
            <w:tcW w:w="1300" w:type="dxa"/>
            <w:tcBorders>
              <w:top w:val="single" w:sz="4" w:space="0" w:color="auto"/>
              <w:left w:val="nil"/>
              <w:bottom w:val="single" w:sz="12" w:space="0" w:color="auto"/>
              <w:right w:val="single" w:sz="4" w:space="0" w:color="auto"/>
              <w:tl2br w:val="nil"/>
              <w:tr2bl w:val="nil"/>
            </w:tcBorders>
            <w:shd w:val="clear" w:color="auto" w:fill="C0C0C0"/>
            <w:noWrap/>
            <w:textDirection w:val="lrTb"/>
            <w:vAlign w:val="center"/>
          </w:tcPr>
          <w:p w:rsidR="005F1CD3" w:rsidRPr="006C1E18" w:rsidP="00A16DF7">
            <w:pPr>
              <w:spacing w:line="240" w:lineRule="auto"/>
              <w:jc w:val="center"/>
              <w:rPr>
                <w:rFonts w:ascii="Arial Narrow" w:hAnsi="Arial Narrow" w:cs="Arial"/>
                <w:b/>
              </w:rPr>
            </w:pPr>
            <w:r w:rsidRPr="006C1E18">
              <w:rPr>
                <w:rFonts w:ascii="Arial Narrow" w:hAnsi="Arial Narrow" w:cs="Arial"/>
                <w:b/>
              </w:rPr>
              <w:t>EÚ</w:t>
            </w:r>
          </w:p>
        </w:tc>
        <w:tc>
          <w:tcPr>
            <w:tcW w:w="1421" w:type="dxa"/>
            <w:tcBorders>
              <w:top w:val="single" w:sz="4" w:space="0" w:color="auto"/>
              <w:left w:val="nil"/>
              <w:bottom w:val="single" w:sz="12" w:space="0" w:color="auto"/>
              <w:right w:val="single" w:sz="4" w:space="0" w:color="auto"/>
              <w:tl2br w:val="nil"/>
              <w:tr2bl w:val="nil"/>
            </w:tcBorders>
            <w:shd w:val="clear" w:color="auto" w:fill="C0C0C0"/>
            <w:noWrap/>
            <w:textDirection w:val="lrTb"/>
            <w:vAlign w:val="center"/>
          </w:tcPr>
          <w:p w:rsidR="005F1CD3" w:rsidRPr="006C1E18" w:rsidP="00A16DF7">
            <w:pPr>
              <w:spacing w:line="240" w:lineRule="auto"/>
              <w:jc w:val="center"/>
              <w:rPr>
                <w:rFonts w:ascii="Arial Narrow" w:hAnsi="Arial Narrow" w:cs="Arial"/>
                <w:b/>
              </w:rPr>
            </w:pPr>
            <w:r w:rsidRPr="006C1E18">
              <w:rPr>
                <w:rFonts w:ascii="Arial Narrow" w:hAnsi="Arial Narrow" w:cs="Arial"/>
                <w:b/>
              </w:rPr>
              <w:t>Spolu</w:t>
            </w:r>
          </w:p>
        </w:tc>
        <w:tc>
          <w:tcPr>
            <w:tcW w:w="1018" w:type="dxa"/>
            <w:tcBorders>
              <w:top w:val="single" w:sz="4" w:space="0" w:color="auto"/>
              <w:left w:val="nil"/>
              <w:bottom w:val="single" w:sz="12" w:space="0" w:color="auto"/>
              <w:right w:val="single" w:sz="4" w:space="0" w:color="auto"/>
              <w:tl2br w:val="nil"/>
              <w:tr2bl w:val="nil"/>
            </w:tcBorders>
            <w:shd w:val="clear" w:color="auto" w:fill="C0C0C0"/>
            <w:noWrap/>
            <w:textDirection w:val="lrTb"/>
            <w:vAlign w:val="center"/>
          </w:tcPr>
          <w:p w:rsidR="005F1CD3" w:rsidRPr="006C1E18" w:rsidP="00A16DF7">
            <w:pPr>
              <w:spacing w:line="240" w:lineRule="auto"/>
              <w:jc w:val="center"/>
              <w:rPr>
                <w:rFonts w:ascii="Arial Narrow" w:hAnsi="Arial Narrow" w:cs="Arial"/>
                <w:b/>
              </w:rPr>
            </w:pPr>
            <w:r w:rsidRPr="006C1E18">
              <w:rPr>
                <w:rFonts w:ascii="Arial Narrow" w:hAnsi="Arial Narrow" w:cs="Arial"/>
                <w:b/>
              </w:rPr>
              <w:t>ŠR</w:t>
            </w:r>
          </w:p>
        </w:tc>
        <w:tc>
          <w:tcPr>
            <w:tcW w:w="1018" w:type="dxa"/>
            <w:tcBorders>
              <w:top w:val="single" w:sz="4" w:space="0" w:color="auto"/>
              <w:left w:val="nil"/>
              <w:bottom w:val="single" w:sz="12" w:space="0" w:color="auto"/>
              <w:right w:val="single" w:sz="4" w:space="0" w:color="auto"/>
              <w:tl2br w:val="nil"/>
              <w:tr2bl w:val="nil"/>
            </w:tcBorders>
            <w:shd w:val="clear" w:color="auto" w:fill="C0C0C0"/>
            <w:noWrap/>
            <w:textDirection w:val="lrTb"/>
            <w:vAlign w:val="center"/>
          </w:tcPr>
          <w:p w:rsidR="005F1CD3" w:rsidRPr="006C1E18" w:rsidP="00A16DF7">
            <w:pPr>
              <w:spacing w:line="240" w:lineRule="auto"/>
              <w:jc w:val="center"/>
              <w:rPr>
                <w:rFonts w:ascii="Arial Narrow" w:hAnsi="Arial Narrow" w:cs="Arial"/>
                <w:b/>
              </w:rPr>
            </w:pPr>
            <w:r w:rsidRPr="006C1E18">
              <w:rPr>
                <w:rFonts w:ascii="Arial Narrow" w:hAnsi="Arial Narrow" w:cs="Arial"/>
                <w:b/>
              </w:rPr>
              <w:t>EÚ</w:t>
            </w:r>
          </w:p>
        </w:tc>
        <w:tc>
          <w:tcPr>
            <w:tcW w:w="1325" w:type="dxa"/>
            <w:tcBorders>
              <w:top w:val="single" w:sz="4" w:space="0" w:color="auto"/>
              <w:left w:val="nil"/>
              <w:bottom w:val="single" w:sz="12" w:space="0" w:color="auto"/>
              <w:right w:val="single" w:sz="12" w:space="0" w:color="auto"/>
              <w:tl2br w:val="nil"/>
              <w:tr2bl w:val="nil"/>
            </w:tcBorders>
            <w:shd w:val="clear" w:color="auto" w:fill="C0C0C0"/>
            <w:noWrap/>
            <w:textDirection w:val="lrTb"/>
            <w:vAlign w:val="center"/>
          </w:tcPr>
          <w:p w:rsidR="005F1CD3" w:rsidRPr="006C1E18" w:rsidP="00A16DF7">
            <w:pPr>
              <w:spacing w:line="240" w:lineRule="auto"/>
              <w:jc w:val="center"/>
              <w:rPr>
                <w:rFonts w:ascii="Arial Narrow" w:hAnsi="Arial Narrow" w:cs="Arial"/>
                <w:b/>
              </w:rPr>
            </w:pPr>
            <w:r w:rsidRPr="006C1E18">
              <w:rPr>
                <w:rFonts w:ascii="Arial Narrow" w:hAnsi="Arial Narrow" w:cs="Arial"/>
                <w:b/>
              </w:rPr>
              <w:t>Spolu</w:t>
            </w:r>
          </w:p>
        </w:tc>
      </w:tr>
      <w:tr>
        <w:tblPrEx>
          <w:tblW w:w="9017" w:type="dxa"/>
          <w:tblInd w:w="55" w:type="dxa"/>
          <w:tblCellMar>
            <w:left w:w="70" w:type="dxa"/>
            <w:right w:w="70" w:type="dxa"/>
          </w:tblCellMar>
        </w:tblPrEx>
        <w:trPr>
          <w:trHeight w:hRule="exact" w:val="284"/>
        </w:trPr>
        <w:tc>
          <w:tcPr>
            <w:tcW w:w="1635" w:type="dxa"/>
            <w:tcBorders>
              <w:top w:val="single" w:sz="12" w:space="0" w:color="auto"/>
              <w:left w:val="single" w:sz="12" w:space="0" w:color="auto"/>
              <w:bottom w:val="single" w:sz="4" w:space="0" w:color="auto"/>
              <w:right w:val="nil"/>
              <w:tl2br w:val="nil"/>
              <w:tr2bl w:val="nil"/>
            </w:tcBorders>
            <w:noWrap/>
            <w:textDirection w:val="lrTb"/>
            <w:vAlign w:val="center"/>
          </w:tcPr>
          <w:p w:rsidR="005F1CD3" w:rsidRPr="00A16DF7" w:rsidP="00A16DF7">
            <w:pPr>
              <w:spacing w:line="240" w:lineRule="auto"/>
              <w:rPr>
                <w:rFonts w:ascii="Arial Narrow" w:hAnsi="Arial Narrow" w:cs="Arial"/>
              </w:rPr>
            </w:pPr>
            <w:r w:rsidRPr="00A16DF7" w:rsidR="00B076A6">
              <w:rPr>
                <w:rFonts w:ascii="Arial Narrow" w:hAnsi="Arial Narrow" w:cs="Arial"/>
              </w:rPr>
              <w:t xml:space="preserve">RO MF SR </w:t>
            </w:r>
            <w:r w:rsidRPr="00A16DF7">
              <w:rPr>
                <w:rFonts w:ascii="Arial Narrow" w:hAnsi="Arial Narrow" w:cs="Arial"/>
              </w:rPr>
              <w:t>č. 2</w:t>
            </w:r>
          </w:p>
        </w:tc>
        <w:tc>
          <w:tcPr>
            <w:tcW w:w="1300" w:type="dxa"/>
            <w:tcBorders>
              <w:top w:val="single" w:sz="12" w:space="0" w:color="auto"/>
              <w:left w:val="single" w:sz="4" w:space="0" w:color="auto"/>
              <w:bottom w:val="single" w:sz="4" w:space="0" w:color="auto"/>
              <w:right w:val="single" w:sz="4" w:space="0" w:color="auto"/>
              <w:tl2br w:val="nil"/>
              <w:tr2bl w:val="nil"/>
            </w:tcBorders>
            <w:noWrap/>
            <w:textDirection w:val="lrTb"/>
            <w:vAlign w:val="center"/>
          </w:tcPr>
          <w:p w:rsidR="005F1CD3" w:rsidRPr="00A16DF7" w:rsidP="00A16DF7">
            <w:pPr>
              <w:spacing w:line="240" w:lineRule="auto"/>
              <w:ind w:left="-58"/>
              <w:jc w:val="right"/>
              <w:rPr>
                <w:rFonts w:ascii="Arial Narrow" w:hAnsi="Arial Narrow" w:cs="Arial"/>
              </w:rPr>
            </w:pPr>
            <w:r w:rsidRPr="00A16DF7">
              <w:rPr>
                <w:rFonts w:ascii="Arial Narrow" w:hAnsi="Arial Narrow" w:cs="Arial"/>
              </w:rPr>
              <w:t>480 809,67</w:t>
            </w:r>
          </w:p>
        </w:tc>
        <w:tc>
          <w:tcPr>
            <w:tcW w:w="1300" w:type="dxa"/>
            <w:tcBorders>
              <w:top w:val="single" w:sz="12" w:space="0" w:color="auto"/>
              <w:left w:val="nil"/>
              <w:bottom w:val="single" w:sz="4" w:space="0" w:color="auto"/>
              <w:right w:val="single" w:sz="4" w:space="0" w:color="auto"/>
              <w:tl2br w:val="nil"/>
              <w:tr2bl w:val="nil"/>
            </w:tcBorders>
            <w:noWrap/>
            <w:textDirection w:val="lrTb"/>
            <w:vAlign w:val="center"/>
          </w:tcPr>
          <w:p w:rsidR="005F1CD3" w:rsidRPr="00A16DF7" w:rsidP="00A16DF7">
            <w:pPr>
              <w:spacing w:line="240" w:lineRule="auto"/>
              <w:ind w:left="-90"/>
              <w:jc w:val="right"/>
              <w:rPr>
                <w:rFonts w:ascii="Arial Narrow" w:hAnsi="Arial Narrow" w:cs="Arial"/>
              </w:rPr>
            </w:pPr>
            <w:r w:rsidRPr="00A16DF7">
              <w:rPr>
                <w:rFonts w:ascii="Arial Narrow" w:hAnsi="Arial Narrow" w:cs="Arial"/>
              </w:rPr>
              <w:t>1 442 429,03</w:t>
            </w:r>
          </w:p>
        </w:tc>
        <w:tc>
          <w:tcPr>
            <w:tcW w:w="1421" w:type="dxa"/>
            <w:tcBorders>
              <w:top w:val="single" w:sz="12" w:space="0" w:color="auto"/>
              <w:left w:val="nil"/>
              <w:bottom w:val="single" w:sz="4" w:space="0" w:color="auto"/>
              <w:right w:val="single" w:sz="4" w:space="0" w:color="auto"/>
              <w:tl2br w:val="nil"/>
              <w:tr2bl w:val="nil"/>
            </w:tcBorders>
            <w:noWrap/>
            <w:textDirection w:val="lrTb"/>
            <w:vAlign w:val="center"/>
          </w:tcPr>
          <w:p w:rsidR="005F1CD3" w:rsidRPr="00A16DF7" w:rsidP="00A16DF7">
            <w:pPr>
              <w:spacing w:line="240" w:lineRule="auto"/>
              <w:jc w:val="right"/>
              <w:rPr>
                <w:rFonts w:ascii="Arial Narrow" w:hAnsi="Arial Narrow" w:cs="Arial"/>
              </w:rPr>
            </w:pPr>
            <w:r w:rsidRPr="00A16DF7">
              <w:rPr>
                <w:rFonts w:ascii="Arial Narrow" w:hAnsi="Arial Narrow" w:cs="Arial"/>
              </w:rPr>
              <w:t>1 923 238,70</w:t>
            </w:r>
          </w:p>
        </w:tc>
        <w:tc>
          <w:tcPr>
            <w:tcW w:w="1018" w:type="dxa"/>
            <w:tcBorders>
              <w:top w:val="single" w:sz="12" w:space="0" w:color="auto"/>
              <w:left w:val="nil"/>
              <w:bottom w:val="single" w:sz="4" w:space="0" w:color="auto"/>
              <w:right w:val="single" w:sz="4" w:space="0" w:color="auto"/>
              <w:tl2br w:val="nil"/>
              <w:tr2bl w:val="nil"/>
            </w:tcBorders>
            <w:noWrap/>
            <w:textDirection w:val="lrTb"/>
            <w:vAlign w:val="center"/>
          </w:tcPr>
          <w:p w:rsidR="005F1CD3" w:rsidRPr="00A16DF7" w:rsidP="00A16DF7">
            <w:pPr>
              <w:spacing w:line="240" w:lineRule="auto"/>
              <w:rPr>
                <w:rFonts w:ascii="Arial Narrow" w:hAnsi="Arial Narrow" w:cs="Arial"/>
              </w:rPr>
            </w:pPr>
            <w:r w:rsidRPr="00A16DF7">
              <w:rPr>
                <w:rFonts w:ascii="Arial Narrow" w:hAnsi="Arial Narrow" w:cs="Arial"/>
              </w:rPr>
              <w:t> </w:t>
            </w:r>
          </w:p>
        </w:tc>
        <w:tc>
          <w:tcPr>
            <w:tcW w:w="1018" w:type="dxa"/>
            <w:tcBorders>
              <w:top w:val="single" w:sz="12" w:space="0" w:color="auto"/>
              <w:left w:val="nil"/>
              <w:bottom w:val="single" w:sz="4" w:space="0" w:color="auto"/>
              <w:right w:val="single" w:sz="4" w:space="0" w:color="auto"/>
              <w:tl2br w:val="nil"/>
              <w:tr2bl w:val="nil"/>
            </w:tcBorders>
            <w:noWrap/>
            <w:textDirection w:val="lrTb"/>
            <w:vAlign w:val="center"/>
          </w:tcPr>
          <w:p w:rsidR="005F1CD3" w:rsidRPr="00A16DF7" w:rsidP="00A16DF7">
            <w:pPr>
              <w:spacing w:line="240" w:lineRule="auto"/>
              <w:rPr>
                <w:rFonts w:ascii="Arial Narrow" w:hAnsi="Arial Narrow" w:cs="Arial"/>
              </w:rPr>
            </w:pPr>
            <w:r w:rsidRPr="00A16DF7">
              <w:rPr>
                <w:rFonts w:ascii="Arial Narrow" w:hAnsi="Arial Narrow" w:cs="Arial"/>
              </w:rPr>
              <w:t> </w:t>
            </w:r>
          </w:p>
        </w:tc>
        <w:tc>
          <w:tcPr>
            <w:tcW w:w="1325" w:type="dxa"/>
            <w:tcBorders>
              <w:top w:val="single" w:sz="12" w:space="0" w:color="auto"/>
              <w:left w:val="nil"/>
              <w:bottom w:val="single" w:sz="4" w:space="0" w:color="auto"/>
              <w:right w:val="single" w:sz="12" w:space="0" w:color="auto"/>
              <w:tl2br w:val="nil"/>
              <w:tr2bl w:val="nil"/>
            </w:tcBorders>
            <w:noWrap/>
            <w:textDirection w:val="lrTb"/>
            <w:vAlign w:val="center"/>
          </w:tcPr>
          <w:p w:rsidR="005F1CD3" w:rsidRPr="00A16DF7" w:rsidP="00A16DF7">
            <w:pPr>
              <w:spacing w:line="240" w:lineRule="auto"/>
              <w:rPr>
                <w:rFonts w:ascii="Arial Narrow" w:hAnsi="Arial Narrow" w:cs="Arial"/>
              </w:rPr>
            </w:pPr>
            <w:r w:rsidRPr="00A16DF7">
              <w:rPr>
                <w:rFonts w:ascii="Arial Narrow" w:hAnsi="Arial Narrow" w:cs="Arial"/>
              </w:rPr>
              <w:t> </w:t>
            </w:r>
          </w:p>
        </w:tc>
      </w:tr>
      <w:tr>
        <w:tblPrEx>
          <w:tblW w:w="9017" w:type="dxa"/>
          <w:tblInd w:w="55" w:type="dxa"/>
          <w:tblCellMar>
            <w:left w:w="70" w:type="dxa"/>
            <w:right w:w="70" w:type="dxa"/>
          </w:tblCellMar>
        </w:tblPrEx>
        <w:trPr>
          <w:trHeight w:hRule="exact" w:val="284"/>
        </w:trPr>
        <w:tc>
          <w:tcPr>
            <w:tcW w:w="1635" w:type="dxa"/>
            <w:tcBorders>
              <w:top w:val="single" w:sz="4" w:space="0" w:color="auto"/>
              <w:left w:val="single" w:sz="12" w:space="0" w:color="auto"/>
              <w:bottom w:val="single" w:sz="4" w:space="0" w:color="auto"/>
              <w:right w:val="nil"/>
              <w:tl2br w:val="nil"/>
              <w:tr2bl w:val="nil"/>
            </w:tcBorders>
            <w:noWrap/>
            <w:textDirection w:val="lrTb"/>
            <w:vAlign w:val="center"/>
          </w:tcPr>
          <w:p w:rsidR="005F1CD3" w:rsidRPr="00A16DF7" w:rsidP="00A16DF7">
            <w:pPr>
              <w:spacing w:line="240" w:lineRule="auto"/>
              <w:rPr>
                <w:rFonts w:ascii="Arial Narrow" w:hAnsi="Arial Narrow" w:cs="Arial"/>
              </w:rPr>
            </w:pPr>
            <w:r w:rsidRPr="00A16DF7" w:rsidR="00B076A6">
              <w:rPr>
                <w:rFonts w:ascii="Arial Narrow" w:hAnsi="Arial Narrow" w:cs="Arial"/>
              </w:rPr>
              <w:t xml:space="preserve">RO MF SR </w:t>
            </w:r>
            <w:r w:rsidRPr="00A16DF7">
              <w:rPr>
                <w:rFonts w:ascii="Arial Narrow" w:hAnsi="Arial Narrow" w:cs="Arial"/>
              </w:rPr>
              <w:t>č. 8</w:t>
            </w:r>
          </w:p>
        </w:tc>
        <w:tc>
          <w:tcPr>
            <w:tcW w:w="1300" w:type="dxa"/>
            <w:tcBorders>
              <w:top w:val="nil"/>
              <w:left w:val="single" w:sz="4" w:space="0" w:color="auto"/>
              <w:bottom w:val="single" w:sz="4" w:space="0" w:color="auto"/>
              <w:right w:val="single" w:sz="4" w:space="0" w:color="auto"/>
              <w:tl2br w:val="nil"/>
              <w:tr2bl w:val="nil"/>
            </w:tcBorders>
            <w:noWrap/>
            <w:textDirection w:val="lrTb"/>
            <w:vAlign w:val="center"/>
          </w:tcPr>
          <w:p w:rsidR="005F1CD3" w:rsidRPr="00A16DF7" w:rsidP="00A16DF7">
            <w:pPr>
              <w:spacing w:line="240" w:lineRule="auto"/>
              <w:ind w:left="-58"/>
              <w:jc w:val="right"/>
              <w:rPr>
                <w:rFonts w:ascii="Arial Narrow" w:hAnsi="Arial Narrow" w:cs="Arial"/>
              </w:rPr>
            </w:pPr>
            <w:r w:rsidRPr="00A16DF7">
              <w:rPr>
                <w:rFonts w:ascii="Arial Narrow" w:hAnsi="Arial Narrow" w:cs="Arial"/>
              </w:rPr>
              <w:t>3 000 000,00</w:t>
            </w:r>
          </w:p>
        </w:tc>
        <w:tc>
          <w:tcPr>
            <w:tcW w:w="1300" w:type="dxa"/>
            <w:tcBorders>
              <w:top w:val="nil"/>
              <w:left w:val="nil"/>
              <w:bottom w:val="single" w:sz="4" w:space="0" w:color="auto"/>
              <w:right w:val="single" w:sz="4" w:space="0" w:color="auto"/>
              <w:tl2br w:val="nil"/>
              <w:tr2bl w:val="nil"/>
            </w:tcBorders>
            <w:noWrap/>
            <w:textDirection w:val="lrTb"/>
            <w:vAlign w:val="center"/>
          </w:tcPr>
          <w:p w:rsidR="005F1CD3" w:rsidRPr="00A16DF7" w:rsidP="00A16DF7">
            <w:pPr>
              <w:spacing w:line="240" w:lineRule="auto"/>
              <w:ind w:left="-90"/>
              <w:jc w:val="right"/>
              <w:rPr>
                <w:rFonts w:ascii="Arial Narrow" w:hAnsi="Arial Narrow" w:cs="Arial"/>
              </w:rPr>
            </w:pPr>
            <w:r w:rsidRPr="00A16DF7">
              <w:rPr>
                <w:rFonts w:ascii="Arial Narrow" w:hAnsi="Arial Narrow" w:cs="Arial"/>
              </w:rPr>
              <w:t>9 000 000,00</w:t>
            </w:r>
          </w:p>
        </w:tc>
        <w:tc>
          <w:tcPr>
            <w:tcW w:w="1421" w:type="dxa"/>
            <w:tcBorders>
              <w:top w:val="nil"/>
              <w:left w:val="nil"/>
              <w:bottom w:val="single" w:sz="4" w:space="0" w:color="auto"/>
              <w:right w:val="single" w:sz="4" w:space="0" w:color="auto"/>
              <w:tl2br w:val="nil"/>
              <w:tr2bl w:val="nil"/>
            </w:tcBorders>
            <w:noWrap/>
            <w:textDirection w:val="lrTb"/>
            <w:vAlign w:val="center"/>
          </w:tcPr>
          <w:p w:rsidR="005F1CD3" w:rsidRPr="00A16DF7" w:rsidP="00A16DF7">
            <w:pPr>
              <w:spacing w:line="240" w:lineRule="auto"/>
              <w:jc w:val="right"/>
              <w:rPr>
                <w:rFonts w:ascii="Arial Narrow" w:hAnsi="Arial Narrow" w:cs="Arial"/>
              </w:rPr>
            </w:pPr>
            <w:r w:rsidRPr="00A16DF7">
              <w:rPr>
                <w:rFonts w:ascii="Arial Narrow" w:hAnsi="Arial Narrow" w:cs="Arial"/>
              </w:rPr>
              <w:t>12 000 000,00</w:t>
            </w:r>
          </w:p>
        </w:tc>
        <w:tc>
          <w:tcPr>
            <w:tcW w:w="1018" w:type="dxa"/>
            <w:tcBorders>
              <w:top w:val="nil"/>
              <w:left w:val="nil"/>
              <w:bottom w:val="single" w:sz="4" w:space="0" w:color="auto"/>
              <w:right w:val="single" w:sz="4" w:space="0" w:color="auto"/>
              <w:tl2br w:val="nil"/>
              <w:tr2bl w:val="nil"/>
            </w:tcBorders>
            <w:noWrap/>
            <w:textDirection w:val="lrTb"/>
            <w:vAlign w:val="center"/>
          </w:tcPr>
          <w:p w:rsidR="005F1CD3" w:rsidRPr="00A16DF7" w:rsidP="00A16DF7">
            <w:pPr>
              <w:spacing w:line="240" w:lineRule="auto"/>
              <w:rPr>
                <w:rFonts w:ascii="Arial Narrow" w:hAnsi="Arial Narrow" w:cs="Arial"/>
              </w:rPr>
            </w:pPr>
            <w:r w:rsidRPr="00A16DF7">
              <w:rPr>
                <w:rFonts w:ascii="Arial Narrow" w:hAnsi="Arial Narrow" w:cs="Arial"/>
              </w:rPr>
              <w:t> </w:t>
            </w:r>
          </w:p>
        </w:tc>
        <w:tc>
          <w:tcPr>
            <w:tcW w:w="1018" w:type="dxa"/>
            <w:tcBorders>
              <w:top w:val="nil"/>
              <w:left w:val="nil"/>
              <w:bottom w:val="single" w:sz="4" w:space="0" w:color="auto"/>
              <w:right w:val="single" w:sz="4" w:space="0" w:color="auto"/>
              <w:tl2br w:val="nil"/>
              <w:tr2bl w:val="nil"/>
            </w:tcBorders>
            <w:noWrap/>
            <w:textDirection w:val="lrTb"/>
            <w:vAlign w:val="center"/>
          </w:tcPr>
          <w:p w:rsidR="005F1CD3" w:rsidRPr="00A16DF7" w:rsidP="00A16DF7">
            <w:pPr>
              <w:spacing w:line="240" w:lineRule="auto"/>
              <w:rPr>
                <w:rFonts w:ascii="Arial Narrow" w:hAnsi="Arial Narrow" w:cs="Arial"/>
              </w:rPr>
            </w:pPr>
            <w:r w:rsidRPr="00A16DF7">
              <w:rPr>
                <w:rFonts w:ascii="Arial Narrow" w:hAnsi="Arial Narrow" w:cs="Arial"/>
              </w:rPr>
              <w:t> </w:t>
            </w:r>
          </w:p>
        </w:tc>
        <w:tc>
          <w:tcPr>
            <w:tcW w:w="1325" w:type="dxa"/>
            <w:tcBorders>
              <w:top w:val="nil"/>
              <w:left w:val="nil"/>
              <w:bottom w:val="single" w:sz="4" w:space="0" w:color="auto"/>
              <w:right w:val="single" w:sz="12" w:space="0" w:color="auto"/>
              <w:tl2br w:val="nil"/>
              <w:tr2bl w:val="nil"/>
            </w:tcBorders>
            <w:noWrap/>
            <w:textDirection w:val="lrTb"/>
            <w:vAlign w:val="center"/>
          </w:tcPr>
          <w:p w:rsidR="005F1CD3" w:rsidRPr="00A16DF7" w:rsidP="00A16DF7">
            <w:pPr>
              <w:spacing w:line="240" w:lineRule="auto"/>
              <w:rPr>
                <w:rFonts w:ascii="Arial Narrow" w:hAnsi="Arial Narrow" w:cs="Arial"/>
              </w:rPr>
            </w:pPr>
            <w:r w:rsidRPr="00A16DF7">
              <w:rPr>
                <w:rFonts w:ascii="Arial Narrow" w:hAnsi="Arial Narrow" w:cs="Arial"/>
              </w:rPr>
              <w:t> </w:t>
            </w:r>
          </w:p>
        </w:tc>
      </w:tr>
      <w:tr>
        <w:tblPrEx>
          <w:tblW w:w="9017" w:type="dxa"/>
          <w:tblInd w:w="55" w:type="dxa"/>
          <w:tblCellMar>
            <w:left w:w="70" w:type="dxa"/>
            <w:right w:w="70" w:type="dxa"/>
          </w:tblCellMar>
        </w:tblPrEx>
        <w:trPr>
          <w:trHeight w:hRule="exact" w:val="284"/>
        </w:trPr>
        <w:tc>
          <w:tcPr>
            <w:tcW w:w="1635" w:type="dxa"/>
            <w:tcBorders>
              <w:top w:val="single" w:sz="4" w:space="0" w:color="auto"/>
              <w:left w:val="single" w:sz="12" w:space="0" w:color="auto"/>
              <w:bottom w:val="single" w:sz="4" w:space="0" w:color="auto"/>
              <w:right w:val="nil"/>
              <w:tl2br w:val="nil"/>
              <w:tr2bl w:val="nil"/>
            </w:tcBorders>
            <w:noWrap/>
            <w:textDirection w:val="lrTb"/>
            <w:vAlign w:val="center"/>
          </w:tcPr>
          <w:p w:rsidR="005F1CD3" w:rsidRPr="00A16DF7" w:rsidP="00A16DF7">
            <w:pPr>
              <w:spacing w:line="240" w:lineRule="auto"/>
              <w:rPr>
                <w:rFonts w:ascii="Arial Narrow" w:hAnsi="Arial Narrow" w:cs="Arial"/>
              </w:rPr>
            </w:pPr>
            <w:r w:rsidRPr="00A16DF7" w:rsidR="00B076A6">
              <w:rPr>
                <w:rFonts w:ascii="Arial Narrow" w:hAnsi="Arial Narrow" w:cs="Arial"/>
              </w:rPr>
              <w:t xml:space="preserve">RO MF SR </w:t>
            </w:r>
            <w:r w:rsidRPr="00A16DF7">
              <w:rPr>
                <w:rFonts w:ascii="Arial Narrow" w:hAnsi="Arial Narrow" w:cs="Arial"/>
              </w:rPr>
              <w:t>č. 18</w:t>
            </w:r>
          </w:p>
        </w:tc>
        <w:tc>
          <w:tcPr>
            <w:tcW w:w="1300" w:type="dxa"/>
            <w:tcBorders>
              <w:top w:val="nil"/>
              <w:left w:val="single" w:sz="4" w:space="0" w:color="auto"/>
              <w:bottom w:val="single" w:sz="4" w:space="0" w:color="auto"/>
              <w:right w:val="single" w:sz="4" w:space="0" w:color="auto"/>
              <w:tl2br w:val="nil"/>
              <w:tr2bl w:val="nil"/>
            </w:tcBorders>
            <w:noWrap/>
            <w:textDirection w:val="lrTb"/>
            <w:vAlign w:val="center"/>
          </w:tcPr>
          <w:p w:rsidR="005F1CD3" w:rsidRPr="00A16DF7" w:rsidP="00A16DF7">
            <w:pPr>
              <w:spacing w:line="240" w:lineRule="auto"/>
              <w:rPr>
                <w:rFonts w:ascii="Arial Narrow" w:hAnsi="Arial Narrow" w:cs="Arial"/>
              </w:rPr>
            </w:pPr>
            <w:r w:rsidRPr="00A16DF7">
              <w:rPr>
                <w:rFonts w:ascii="Arial Narrow" w:hAnsi="Arial Narrow" w:cs="Arial"/>
              </w:rPr>
              <w:t> </w:t>
            </w:r>
          </w:p>
        </w:tc>
        <w:tc>
          <w:tcPr>
            <w:tcW w:w="1300" w:type="dxa"/>
            <w:tcBorders>
              <w:top w:val="nil"/>
              <w:left w:val="nil"/>
              <w:bottom w:val="single" w:sz="4" w:space="0" w:color="auto"/>
              <w:right w:val="single" w:sz="4" w:space="0" w:color="auto"/>
              <w:tl2br w:val="nil"/>
              <w:tr2bl w:val="nil"/>
            </w:tcBorders>
            <w:noWrap/>
            <w:textDirection w:val="lrTb"/>
            <w:vAlign w:val="center"/>
          </w:tcPr>
          <w:p w:rsidR="005F1CD3" w:rsidRPr="00A16DF7" w:rsidP="00A16DF7">
            <w:pPr>
              <w:spacing w:line="240" w:lineRule="auto"/>
              <w:jc w:val="right"/>
              <w:rPr>
                <w:rFonts w:ascii="Arial Narrow" w:hAnsi="Arial Narrow" w:cs="Arial"/>
              </w:rPr>
            </w:pPr>
            <w:r w:rsidRPr="00A16DF7">
              <w:rPr>
                <w:rFonts w:ascii="Arial Narrow" w:hAnsi="Arial Narrow" w:cs="Arial"/>
              </w:rPr>
              <w:t> </w:t>
            </w:r>
          </w:p>
        </w:tc>
        <w:tc>
          <w:tcPr>
            <w:tcW w:w="1421" w:type="dxa"/>
            <w:tcBorders>
              <w:top w:val="nil"/>
              <w:left w:val="nil"/>
              <w:bottom w:val="single" w:sz="4" w:space="0" w:color="auto"/>
              <w:right w:val="single" w:sz="4" w:space="0" w:color="auto"/>
              <w:tl2br w:val="nil"/>
              <w:tr2bl w:val="nil"/>
            </w:tcBorders>
            <w:noWrap/>
            <w:textDirection w:val="lrTb"/>
            <w:vAlign w:val="center"/>
          </w:tcPr>
          <w:p w:rsidR="005F1CD3" w:rsidRPr="00A16DF7" w:rsidP="00A16DF7">
            <w:pPr>
              <w:spacing w:line="240" w:lineRule="auto"/>
              <w:jc w:val="right"/>
              <w:rPr>
                <w:rFonts w:ascii="Arial Narrow" w:hAnsi="Arial Narrow" w:cs="Arial"/>
              </w:rPr>
            </w:pPr>
            <w:r w:rsidRPr="00A16DF7">
              <w:rPr>
                <w:rFonts w:ascii="Arial Narrow" w:hAnsi="Arial Narrow" w:cs="Arial"/>
              </w:rPr>
              <w:t> </w:t>
            </w:r>
          </w:p>
        </w:tc>
        <w:tc>
          <w:tcPr>
            <w:tcW w:w="1018" w:type="dxa"/>
            <w:tcBorders>
              <w:top w:val="nil"/>
              <w:left w:val="nil"/>
              <w:bottom w:val="single" w:sz="4" w:space="0" w:color="auto"/>
              <w:right w:val="single" w:sz="4" w:space="0" w:color="auto"/>
              <w:tl2br w:val="nil"/>
              <w:tr2bl w:val="nil"/>
            </w:tcBorders>
            <w:noWrap/>
            <w:textDirection w:val="lrTb"/>
            <w:vAlign w:val="center"/>
          </w:tcPr>
          <w:p w:rsidR="005F1CD3" w:rsidRPr="00A16DF7" w:rsidP="00A16DF7">
            <w:pPr>
              <w:spacing w:line="240" w:lineRule="auto"/>
              <w:ind w:left="-108"/>
              <w:jc w:val="right"/>
              <w:rPr>
                <w:rFonts w:ascii="Arial Narrow" w:hAnsi="Arial Narrow" w:cs="Arial"/>
              </w:rPr>
            </w:pPr>
            <w:r w:rsidRPr="00A16DF7">
              <w:rPr>
                <w:rFonts w:ascii="Arial Narrow" w:hAnsi="Arial Narrow" w:cs="Arial"/>
              </w:rPr>
              <w:t>260 000,0</w:t>
            </w:r>
          </w:p>
        </w:tc>
        <w:tc>
          <w:tcPr>
            <w:tcW w:w="1018" w:type="dxa"/>
            <w:tcBorders>
              <w:top w:val="nil"/>
              <w:left w:val="nil"/>
              <w:bottom w:val="single" w:sz="4" w:space="0" w:color="auto"/>
              <w:right w:val="single" w:sz="4" w:space="0" w:color="auto"/>
              <w:tl2br w:val="nil"/>
              <w:tr2bl w:val="nil"/>
            </w:tcBorders>
            <w:noWrap/>
            <w:textDirection w:val="lrTb"/>
            <w:vAlign w:val="center"/>
          </w:tcPr>
          <w:p w:rsidR="005F1CD3" w:rsidRPr="00A16DF7" w:rsidP="00A16DF7">
            <w:pPr>
              <w:spacing w:line="240" w:lineRule="auto"/>
              <w:ind w:left="-108"/>
              <w:jc w:val="right"/>
              <w:rPr>
                <w:rFonts w:ascii="Arial Narrow" w:hAnsi="Arial Narrow" w:cs="Arial"/>
              </w:rPr>
            </w:pPr>
            <w:r w:rsidRPr="00A16DF7">
              <w:rPr>
                <w:rFonts w:ascii="Arial Narrow" w:hAnsi="Arial Narrow" w:cs="Arial"/>
              </w:rPr>
              <w:t>780 000,0</w:t>
            </w:r>
          </w:p>
        </w:tc>
        <w:tc>
          <w:tcPr>
            <w:tcW w:w="1325" w:type="dxa"/>
            <w:tcBorders>
              <w:top w:val="nil"/>
              <w:left w:val="nil"/>
              <w:bottom w:val="single" w:sz="4" w:space="0" w:color="auto"/>
              <w:right w:val="single" w:sz="12" w:space="0" w:color="auto"/>
              <w:tl2br w:val="nil"/>
              <w:tr2bl w:val="nil"/>
            </w:tcBorders>
            <w:noWrap/>
            <w:textDirection w:val="lrTb"/>
            <w:vAlign w:val="center"/>
          </w:tcPr>
          <w:p w:rsidR="005F1CD3" w:rsidRPr="00A16DF7" w:rsidP="00A16DF7">
            <w:pPr>
              <w:spacing w:line="240" w:lineRule="auto"/>
              <w:ind w:left="-108"/>
              <w:jc w:val="right"/>
              <w:rPr>
                <w:rFonts w:ascii="Arial Narrow" w:hAnsi="Arial Narrow" w:cs="Arial"/>
              </w:rPr>
            </w:pPr>
            <w:r w:rsidRPr="00A16DF7">
              <w:rPr>
                <w:rFonts w:ascii="Arial Narrow" w:hAnsi="Arial Narrow" w:cs="Arial"/>
              </w:rPr>
              <w:t>1 040 000,00</w:t>
            </w:r>
          </w:p>
        </w:tc>
      </w:tr>
      <w:tr>
        <w:tblPrEx>
          <w:tblW w:w="9017" w:type="dxa"/>
          <w:tblInd w:w="55" w:type="dxa"/>
          <w:tblCellMar>
            <w:left w:w="70" w:type="dxa"/>
            <w:right w:w="70" w:type="dxa"/>
          </w:tblCellMar>
        </w:tblPrEx>
        <w:trPr>
          <w:trHeight w:hRule="exact" w:val="284"/>
        </w:trPr>
        <w:tc>
          <w:tcPr>
            <w:tcW w:w="1635" w:type="dxa"/>
            <w:tcBorders>
              <w:top w:val="single" w:sz="4" w:space="0" w:color="auto"/>
              <w:left w:val="single" w:sz="12" w:space="0" w:color="auto"/>
              <w:bottom w:val="single" w:sz="4" w:space="0" w:color="auto"/>
              <w:right w:val="nil"/>
              <w:tl2br w:val="nil"/>
              <w:tr2bl w:val="nil"/>
            </w:tcBorders>
            <w:noWrap/>
            <w:textDirection w:val="lrTb"/>
            <w:vAlign w:val="center"/>
          </w:tcPr>
          <w:p w:rsidR="005F1CD3" w:rsidRPr="00A16DF7" w:rsidP="00A16DF7">
            <w:pPr>
              <w:spacing w:line="240" w:lineRule="auto"/>
              <w:rPr>
                <w:rFonts w:ascii="Arial Narrow" w:hAnsi="Arial Narrow" w:cs="Arial"/>
              </w:rPr>
            </w:pPr>
            <w:r w:rsidRPr="00A16DF7" w:rsidR="00B076A6">
              <w:rPr>
                <w:rFonts w:ascii="Arial Narrow" w:hAnsi="Arial Narrow" w:cs="Arial"/>
              </w:rPr>
              <w:t xml:space="preserve">RO MF SR </w:t>
            </w:r>
            <w:r w:rsidRPr="00A16DF7">
              <w:rPr>
                <w:rFonts w:ascii="Arial Narrow" w:hAnsi="Arial Narrow" w:cs="Arial"/>
              </w:rPr>
              <w:t>č. 36</w:t>
            </w:r>
          </w:p>
        </w:tc>
        <w:tc>
          <w:tcPr>
            <w:tcW w:w="1300" w:type="dxa"/>
            <w:tcBorders>
              <w:top w:val="nil"/>
              <w:left w:val="single" w:sz="4" w:space="0" w:color="auto"/>
              <w:bottom w:val="single" w:sz="4" w:space="0" w:color="auto"/>
              <w:right w:val="single" w:sz="4" w:space="0" w:color="auto"/>
              <w:tl2br w:val="nil"/>
              <w:tr2bl w:val="nil"/>
            </w:tcBorders>
            <w:noWrap/>
            <w:textDirection w:val="lrTb"/>
            <w:vAlign w:val="center"/>
          </w:tcPr>
          <w:p w:rsidR="005F1CD3" w:rsidRPr="00A16DF7" w:rsidP="00A16DF7">
            <w:pPr>
              <w:spacing w:line="240" w:lineRule="auto"/>
              <w:jc w:val="right"/>
              <w:rPr>
                <w:rFonts w:ascii="Arial Narrow" w:hAnsi="Arial Narrow" w:cs="Arial"/>
              </w:rPr>
            </w:pPr>
            <w:r w:rsidRPr="00A16DF7">
              <w:rPr>
                <w:rFonts w:ascii="Arial Narrow" w:hAnsi="Arial Narrow" w:cs="Arial"/>
              </w:rPr>
              <w:t>-300 681,03</w:t>
            </w:r>
          </w:p>
        </w:tc>
        <w:tc>
          <w:tcPr>
            <w:tcW w:w="1300" w:type="dxa"/>
            <w:tcBorders>
              <w:top w:val="nil"/>
              <w:left w:val="nil"/>
              <w:bottom w:val="single" w:sz="4" w:space="0" w:color="auto"/>
              <w:right w:val="single" w:sz="4" w:space="0" w:color="auto"/>
              <w:tl2br w:val="nil"/>
              <w:tr2bl w:val="nil"/>
            </w:tcBorders>
            <w:noWrap/>
            <w:textDirection w:val="lrTb"/>
            <w:vAlign w:val="center"/>
          </w:tcPr>
          <w:p w:rsidR="005F1CD3" w:rsidRPr="00A16DF7" w:rsidP="00A16DF7">
            <w:pPr>
              <w:spacing w:line="240" w:lineRule="auto"/>
              <w:jc w:val="right"/>
              <w:rPr>
                <w:rFonts w:ascii="Arial Narrow" w:hAnsi="Arial Narrow" w:cs="Arial"/>
              </w:rPr>
            </w:pPr>
            <w:r w:rsidRPr="00A16DF7">
              <w:rPr>
                <w:rFonts w:ascii="Arial Narrow" w:hAnsi="Arial Narrow" w:cs="Arial"/>
              </w:rPr>
              <w:t>-902 043,17</w:t>
            </w:r>
          </w:p>
        </w:tc>
        <w:tc>
          <w:tcPr>
            <w:tcW w:w="1421" w:type="dxa"/>
            <w:tcBorders>
              <w:top w:val="nil"/>
              <w:left w:val="nil"/>
              <w:bottom w:val="single" w:sz="4" w:space="0" w:color="auto"/>
              <w:right w:val="single" w:sz="4" w:space="0" w:color="auto"/>
              <w:tl2br w:val="nil"/>
              <w:tr2bl w:val="nil"/>
            </w:tcBorders>
            <w:noWrap/>
            <w:textDirection w:val="lrTb"/>
            <w:vAlign w:val="center"/>
          </w:tcPr>
          <w:p w:rsidR="005F1CD3" w:rsidRPr="00A16DF7" w:rsidP="00A16DF7">
            <w:pPr>
              <w:spacing w:line="240" w:lineRule="auto"/>
              <w:jc w:val="right"/>
              <w:rPr>
                <w:rFonts w:ascii="Arial Narrow" w:hAnsi="Arial Narrow" w:cs="Arial"/>
              </w:rPr>
            </w:pPr>
            <w:r w:rsidRPr="00A16DF7">
              <w:rPr>
                <w:rFonts w:ascii="Arial Narrow" w:hAnsi="Arial Narrow" w:cs="Arial"/>
              </w:rPr>
              <w:t>-1 202 724,20</w:t>
            </w:r>
          </w:p>
        </w:tc>
        <w:tc>
          <w:tcPr>
            <w:tcW w:w="1018" w:type="dxa"/>
            <w:tcBorders>
              <w:top w:val="nil"/>
              <w:left w:val="nil"/>
              <w:bottom w:val="single" w:sz="4" w:space="0" w:color="auto"/>
              <w:right w:val="single" w:sz="4" w:space="0" w:color="auto"/>
              <w:tl2br w:val="nil"/>
              <w:tr2bl w:val="nil"/>
            </w:tcBorders>
            <w:noWrap/>
            <w:textDirection w:val="lrTb"/>
            <w:vAlign w:val="center"/>
          </w:tcPr>
          <w:p w:rsidR="005F1CD3" w:rsidRPr="00A16DF7" w:rsidP="00A16DF7">
            <w:pPr>
              <w:spacing w:line="240" w:lineRule="auto"/>
              <w:ind w:left="-108"/>
              <w:rPr>
                <w:rFonts w:ascii="Arial Narrow" w:hAnsi="Arial Narrow" w:cs="Arial"/>
              </w:rPr>
            </w:pPr>
            <w:r w:rsidRPr="00A16DF7">
              <w:rPr>
                <w:rFonts w:ascii="Arial Narrow" w:hAnsi="Arial Narrow" w:cs="Arial"/>
              </w:rPr>
              <w:t> </w:t>
            </w:r>
          </w:p>
        </w:tc>
        <w:tc>
          <w:tcPr>
            <w:tcW w:w="1018" w:type="dxa"/>
            <w:tcBorders>
              <w:top w:val="nil"/>
              <w:left w:val="nil"/>
              <w:bottom w:val="single" w:sz="4" w:space="0" w:color="auto"/>
              <w:right w:val="single" w:sz="4" w:space="0" w:color="auto"/>
              <w:tl2br w:val="nil"/>
              <w:tr2bl w:val="nil"/>
            </w:tcBorders>
            <w:noWrap/>
            <w:textDirection w:val="lrTb"/>
            <w:vAlign w:val="center"/>
          </w:tcPr>
          <w:p w:rsidR="005F1CD3" w:rsidRPr="00A16DF7" w:rsidP="00A16DF7">
            <w:pPr>
              <w:spacing w:line="240" w:lineRule="auto"/>
              <w:ind w:left="-108"/>
              <w:jc w:val="right"/>
              <w:rPr>
                <w:rFonts w:ascii="Arial Narrow" w:hAnsi="Arial Narrow" w:cs="Arial"/>
              </w:rPr>
            </w:pPr>
            <w:r w:rsidRPr="00A16DF7">
              <w:rPr>
                <w:rFonts w:ascii="Arial Narrow" w:hAnsi="Arial Narrow" w:cs="Arial"/>
              </w:rPr>
              <w:t>-260,9</w:t>
            </w:r>
          </w:p>
        </w:tc>
        <w:tc>
          <w:tcPr>
            <w:tcW w:w="1325" w:type="dxa"/>
            <w:tcBorders>
              <w:top w:val="nil"/>
              <w:left w:val="nil"/>
              <w:bottom w:val="single" w:sz="4" w:space="0" w:color="auto"/>
              <w:right w:val="single" w:sz="12" w:space="0" w:color="auto"/>
              <w:tl2br w:val="nil"/>
              <w:tr2bl w:val="nil"/>
            </w:tcBorders>
            <w:noWrap/>
            <w:textDirection w:val="lrTb"/>
            <w:vAlign w:val="center"/>
          </w:tcPr>
          <w:p w:rsidR="005F1CD3" w:rsidRPr="00A16DF7" w:rsidP="00A16DF7">
            <w:pPr>
              <w:spacing w:line="240" w:lineRule="auto"/>
              <w:ind w:left="-108"/>
              <w:jc w:val="right"/>
              <w:rPr>
                <w:rFonts w:ascii="Arial Narrow" w:hAnsi="Arial Narrow" w:cs="Arial"/>
              </w:rPr>
            </w:pPr>
            <w:r w:rsidRPr="00A16DF7">
              <w:rPr>
                <w:rFonts w:ascii="Arial Narrow" w:hAnsi="Arial Narrow" w:cs="Arial"/>
              </w:rPr>
              <w:t>-260,90</w:t>
            </w:r>
          </w:p>
        </w:tc>
      </w:tr>
      <w:tr>
        <w:tblPrEx>
          <w:tblW w:w="9017" w:type="dxa"/>
          <w:tblInd w:w="55" w:type="dxa"/>
          <w:tblCellMar>
            <w:left w:w="70" w:type="dxa"/>
            <w:right w:w="70" w:type="dxa"/>
          </w:tblCellMar>
        </w:tblPrEx>
        <w:trPr>
          <w:trHeight w:hRule="exact" w:val="284"/>
        </w:trPr>
        <w:tc>
          <w:tcPr>
            <w:tcW w:w="1635" w:type="dxa"/>
            <w:tcBorders>
              <w:top w:val="single" w:sz="4" w:space="0" w:color="auto"/>
              <w:left w:val="single" w:sz="12" w:space="0" w:color="auto"/>
              <w:bottom w:val="single" w:sz="4" w:space="0" w:color="auto"/>
              <w:right w:val="nil"/>
              <w:tl2br w:val="nil"/>
              <w:tr2bl w:val="nil"/>
            </w:tcBorders>
            <w:shd w:val="clear" w:color="auto" w:fill="C0C0C0"/>
            <w:noWrap/>
            <w:textDirection w:val="lrTb"/>
            <w:vAlign w:val="center"/>
          </w:tcPr>
          <w:p w:rsidR="005F1CD3" w:rsidRPr="002F64D6" w:rsidP="00A16DF7">
            <w:pPr>
              <w:spacing w:line="240" w:lineRule="auto"/>
              <w:rPr>
                <w:rFonts w:ascii="Arial Narrow" w:hAnsi="Arial Narrow" w:cs="Arial"/>
                <w:b/>
              </w:rPr>
            </w:pPr>
            <w:r w:rsidRPr="002F64D6">
              <w:rPr>
                <w:rFonts w:ascii="Arial Narrow" w:hAnsi="Arial Narrow" w:cs="Arial"/>
                <w:b/>
              </w:rPr>
              <w:t>Upravený limit</w:t>
            </w:r>
          </w:p>
        </w:tc>
        <w:tc>
          <w:tcPr>
            <w:tcW w:w="1300" w:type="dxa"/>
            <w:tcBorders>
              <w:top w:val="single" w:sz="4" w:space="0" w:color="auto"/>
              <w:left w:val="single" w:sz="4" w:space="0" w:color="auto"/>
              <w:bottom w:val="single" w:sz="4" w:space="0" w:color="auto"/>
              <w:right w:val="single" w:sz="4" w:space="0" w:color="auto"/>
              <w:tl2br w:val="nil"/>
              <w:tr2bl w:val="nil"/>
            </w:tcBorders>
            <w:shd w:val="clear" w:color="auto" w:fill="C0C0C0"/>
            <w:noWrap/>
            <w:textDirection w:val="lrTb"/>
            <w:vAlign w:val="center"/>
          </w:tcPr>
          <w:p w:rsidR="005F1CD3" w:rsidRPr="002F64D6" w:rsidP="00A16DF7">
            <w:pPr>
              <w:spacing w:line="240" w:lineRule="auto"/>
              <w:ind w:left="-58"/>
              <w:jc w:val="right"/>
              <w:rPr>
                <w:rFonts w:ascii="Arial Narrow" w:hAnsi="Arial Narrow" w:cs="Arial"/>
                <w:b/>
              </w:rPr>
            </w:pPr>
            <w:r w:rsidRPr="002F64D6">
              <w:rPr>
                <w:rFonts w:ascii="Arial Narrow" w:hAnsi="Arial Narrow" w:cs="Arial"/>
                <w:b/>
              </w:rPr>
              <w:t>3 180 128,64</w:t>
            </w:r>
          </w:p>
        </w:tc>
        <w:tc>
          <w:tcPr>
            <w:tcW w:w="1300" w:type="dxa"/>
            <w:tcBorders>
              <w:top w:val="single" w:sz="4" w:space="0" w:color="auto"/>
              <w:left w:val="nil"/>
              <w:bottom w:val="single" w:sz="4" w:space="0" w:color="auto"/>
              <w:right w:val="single" w:sz="4" w:space="0" w:color="auto"/>
              <w:tl2br w:val="nil"/>
              <w:tr2bl w:val="nil"/>
            </w:tcBorders>
            <w:shd w:val="clear" w:color="auto" w:fill="C0C0C0"/>
            <w:noWrap/>
            <w:textDirection w:val="lrTb"/>
            <w:vAlign w:val="center"/>
          </w:tcPr>
          <w:p w:rsidR="005F1CD3" w:rsidRPr="002F64D6" w:rsidP="00A16DF7">
            <w:pPr>
              <w:spacing w:line="240" w:lineRule="auto"/>
              <w:ind w:left="-58"/>
              <w:jc w:val="right"/>
              <w:rPr>
                <w:rFonts w:ascii="Arial Narrow" w:hAnsi="Arial Narrow" w:cs="Arial"/>
                <w:b/>
              </w:rPr>
            </w:pPr>
            <w:r w:rsidRPr="002F64D6">
              <w:rPr>
                <w:rFonts w:ascii="Arial Narrow" w:hAnsi="Arial Narrow" w:cs="Arial"/>
                <w:b/>
              </w:rPr>
              <w:t>9 540 385,86</w:t>
            </w:r>
          </w:p>
        </w:tc>
        <w:tc>
          <w:tcPr>
            <w:tcW w:w="1421" w:type="dxa"/>
            <w:tcBorders>
              <w:top w:val="single" w:sz="4" w:space="0" w:color="auto"/>
              <w:left w:val="nil"/>
              <w:bottom w:val="single" w:sz="4" w:space="0" w:color="auto"/>
              <w:right w:val="single" w:sz="4" w:space="0" w:color="auto"/>
              <w:tl2br w:val="nil"/>
              <w:tr2bl w:val="nil"/>
            </w:tcBorders>
            <w:shd w:val="clear" w:color="auto" w:fill="C0C0C0"/>
            <w:noWrap/>
            <w:textDirection w:val="lrTb"/>
            <w:vAlign w:val="center"/>
          </w:tcPr>
          <w:p w:rsidR="005F1CD3" w:rsidRPr="002F64D6" w:rsidP="00A16DF7">
            <w:pPr>
              <w:spacing w:line="240" w:lineRule="auto"/>
              <w:jc w:val="right"/>
              <w:rPr>
                <w:rFonts w:ascii="Arial Narrow" w:hAnsi="Arial Narrow" w:cs="Arial"/>
                <w:b/>
              </w:rPr>
            </w:pPr>
            <w:r w:rsidRPr="002F64D6">
              <w:rPr>
                <w:rFonts w:ascii="Arial Narrow" w:hAnsi="Arial Narrow" w:cs="Arial"/>
                <w:b/>
              </w:rPr>
              <w:t>12 720 514,50</w:t>
            </w:r>
          </w:p>
        </w:tc>
        <w:tc>
          <w:tcPr>
            <w:tcW w:w="1018" w:type="dxa"/>
            <w:tcBorders>
              <w:top w:val="single" w:sz="4" w:space="0" w:color="auto"/>
              <w:left w:val="nil"/>
              <w:bottom w:val="single" w:sz="4" w:space="0" w:color="auto"/>
              <w:right w:val="single" w:sz="4" w:space="0" w:color="auto"/>
              <w:tl2br w:val="nil"/>
              <w:tr2bl w:val="nil"/>
            </w:tcBorders>
            <w:shd w:val="clear" w:color="auto" w:fill="C0C0C0"/>
            <w:noWrap/>
            <w:textDirection w:val="lrTb"/>
            <w:vAlign w:val="center"/>
          </w:tcPr>
          <w:p w:rsidR="005F1CD3" w:rsidRPr="002F64D6" w:rsidP="00A16DF7">
            <w:pPr>
              <w:spacing w:line="240" w:lineRule="auto"/>
              <w:ind w:left="-108"/>
              <w:jc w:val="right"/>
              <w:rPr>
                <w:rFonts w:ascii="Arial Narrow" w:hAnsi="Arial Narrow" w:cs="Arial"/>
                <w:b/>
              </w:rPr>
            </w:pPr>
            <w:r w:rsidRPr="002F64D6">
              <w:rPr>
                <w:rFonts w:ascii="Arial Narrow" w:hAnsi="Arial Narrow" w:cs="Arial"/>
                <w:b/>
              </w:rPr>
              <w:t>260 000,0</w:t>
            </w:r>
          </w:p>
        </w:tc>
        <w:tc>
          <w:tcPr>
            <w:tcW w:w="1018" w:type="dxa"/>
            <w:tcBorders>
              <w:top w:val="single" w:sz="4" w:space="0" w:color="auto"/>
              <w:left w:val="nil"/>
              <w:bottom w:val="single" w:sz="4" w:space="0" w:color="auto"/>
              <w:right w:val="single" w:sz="4" w:space="0" w:color="auto"/>
              <w:tl2br w:val="nil"/>
              <w:tr2bl w:val="nil"/>
            </w:tcBorders>
            <w:shd w:val="clear" w:color="auto" w:fill="C0C0C0"/>
            <w:noWrap/>
            <w:textDirection w:val="lrTb"/>
            <w:vAlign w:val="center"/>
          </w:tcPr>
          <w:p w:rsidR="005F1CD3" w:rsidRPr="002F64D6" w:rsidP="00A16DF7">
            <w:pPr>
              <w:spacing w:line="240" w:lineRule="auto"/>
              <w:ind w:left="-108"/>
              <w:jc w:val="right"/>
              <w:rPr>
                <w:rFonts w:ascii="Arial Narrow" w:hAnsi="Arial Narrow" w:cs="Arial"/>
                <w:b/>
              </w:rPr>
            </w:pPr>
            <w:r w:rsidRPr="002F64D6">
              <w:rPr>
                <w:rFonts w:ascii="Arial Narrow" w:hAnsi="Arial Narrow" w:cs="Arial"/>
                <w:b/>
              </w:rPr>
              <w:t>779 739,1</w:t>
            </w:r>
          </w:p>
        </w:tc>
        <w:tc>
          <w:tcPr>
            <w:tcW w:w="1325" w:type="dxa"/>
            <w:tcBorders>
              <w:top w:val="single" w:sz="4" w:space="0" w:color="auto"/>
              <w:left w:val="nil"/>
              <w:bottom w:val="single" w:sz="4" w:space="0" w:color="auto"/>
              <w:right w:val="single" w:sz="12" w:space="0" w:color="auto"/>
              <w:tl2br w:val="nil"/>
              <w:tr2bl w:val="nil"/>
            </w:tcBorders>
            <w:shd w:val="clear" w:color="auto" w:fill="C0C0C0"/>
            <w:noWrap/>
            <w:textDirection w:val="lrTb"/>
            <w:vAlign w:val="center"/>
          </w:tcPr>
          <w:p w:rsidR="005F1CD3" w:rsidRPr="002F64D6" w:rsidP="00A16DF7">
            <w:pPr>
              <w:spacing w:line="240" w:lineRule="auto"/>
              <w:ind w:left="-108"/>
              <w:jc w:val="right"/>
              <w:rPr>
                <w:rFonts w:ascii="Arial Narrow" w:hAnsi="Arial Narrow" w:cs="Arial"/>
                <w:b/>
              </w:rPr>
            </w:pPr>
            <w:r w:rsidRPr="002F64D6">
              <w:rPr>
                <w:rFonts w:ascii="Arial Narrow" w:hAnsi="Arial Narrow" w:cs="Arial"/>
                <w:b/>
              </w:rPr>
              <w:t>1 039 739,10</w:t>
            </w:r>
          </w:p>
        </w:tc>
      </w:tr>
      <w:tr>
        <w:tblPrEx>
          <w:tblW w:w="9017" w:type="dxa"/>
          <w:tblInd w:w="55" w:type="dxa"/>
          <w:tblCellMar>
            <w:left w:w="70" w:type="dxa"/>
            <w:right w:w="70" w:type="dxa"/>
          </w:tblCellMar>
        </w:tblPrEx>
        <w:trPr>
          <w:trHeight w:hRule="exact" w:val="284"/>
        </w:trPr>
        <w:tc>
          <w:tcPr>
            <w:tcW w:w="1635" w:type="dxa"/>
            <w:tcBorders>
              <w:top w:val="single" w:sz="4" w:space="0" w:color="auto"/>
              <w:left w:val="single" w:sz="12" w:space="0" w:color="auto"/>
              <w:bottom w:val="single" w:sz="12" w:space="0" w:color="auto"/>
              <w:right w:val="nil"/>
              <w:tl2br w:val="nil"/>
              <w:tr2bl w:val="nil"/>
            </w:tcBorders>
            <w:shd w:val="clear" w:color="auto" w:fill="C0C0C0"/>
            <w:noWrap/>
            <w:textDirection w:val="lrTb"/>
            <w:vAlign w:val="center"/>
          </w:tcPr>
          <w:p w:rsidR="005F1CD3" w:rsidRPr="002F64D6" w:rsidP="00A16DF7">
            <w:pPr>
              <w:spacing w:line="240" w:lineRule="auto"/>
              <w:rPr>
                <w:rFonts w:ascii="Arial Narrow" w:hAnsi="Arial Narrow" w:cs="Arial"/>
                <w:b/>
              </w:rPr>
            </w:pPr>
            <w:r w:rsidRPr="002F64D6">
              <w:rPr>
                <w:rFonts w:ascii="Arial Narrow" w:hAnsi="Arial Narrow" w:cs="Arial"/>
                <w:b/>
              </w:rPr>
              <w:t xml:space="preserve">Skutočné čerpanie </w:t>
            </w:r>
          </w:p>
        </w:tc>
        <w:tc>
          <w:tcPr>
            <w:tcW w:w="1300" w:type="dxa"/>
            <w:tcBorders>
              <w:top w:val="single" w:sz="4" w:space="0" w:color="auto"/>
              <w:left w:val="single" w:sz="4" w:space="0" w:color="auto"/>
              <w:bottom w:val="single" w:sz="12" w:space="0" w:color="auto"/>
              <w:right w:val="single" w:sz="4" w:space="0" w:color="auto"/>
              <w:tl2br w:val="nil"/>
              <w:tr2bl w:val="nil"/>
            </w:tcBorders>
            <w:shd w:val="clear" w:color="auto" w:fill="C0C0C0"/>
            <w:noWrap/>
            <w:textDirection w:val="lrTb"/>
            <w:vAlign w:val="center"/>
          </w:tcPr>
          <w:p w:rsidR="005F1CD3" w:rsidRPr="002F64D6" w:rsidP="00A16DF7">
            <w:pPr>
              <w:spacing w:line="240" w:lineRule="auto"/>
              <w:ind w:left="-58"/>
              <w:jc w:val="right"/>
              <w:rPr>
                <w:rFonts w:ascii="Arial Narrow" w:hAnsi="Arial Narrow" w:cs="Arial"/>
                <w:b/>
              </w:rPr>
            </w:pPr>
            <w:r w:rsidRPr="002F64D6">
              <w:rPr>
                <w:rFonts w:ascii="Arial Narrow" w:hAnsi="Arial Narrow" w:cs="Arial"/>
                <w:b/>
              </w:rPr>
              <w:t>3 180 128,64</w:t>
            </w:r>
          </w:p>
        </w:tc>
        <w:tc>
          <w:tcPr>
            <w:tcW w:w="1300" w:type="dxa"/>
            <w:tcBorders>
              <w:top w:val="single" w:sz="4" w:space="0" w:color="auto"/>
              <w:left w:val="nil"/>
              <w:bottom w:val="single" w:sz="12" w:space="0" w:color="auto"/>
              <w:right w:val="single" w:sz="4" w:space="0" w:color="auto"/>
              <w:tl2br w:val="nil"/>
              <w:tr2bl w:val="nil"/>
            </w:tcBorders>
            <w:shd w:val="clear" w:color="auto" w:fill="C0C0C0"/>
            <w:noWrap/>
            <w:textDirection w:val="lrTb"/>
            <w:vAlign w:val="center"/>
          </w:tcPr>
          <w:p w:rsidR="005F1CD3" w:rsidRPr="002F64D6" w:rsidP="00A16DF7">
            <w:pPr>
              <w:spacing w:line="240" w:lineRule="auto"/>
              <w:ind w:left="-58"/>
              <w:jc w:val="right"/>
              <w:rPr>
                <w:rFonts w:ascii="Arial Narrow" w:hAnsi="Arial Narrow" w:cs="Arial"/>
                <w:b/>
              </w:rPr>
            </w:pPr>
            <w:r w:rsidRPr="002F64D6">
              <w:rPr>
                <w:rFonts w:ascii="Arial Narrow" w:hAnsi="Arial Narrow" w:cs="Arial"/>
                <w:b/>
              </w:rPr>
              <w:t>9 540 385,86</w:t>
            </w:r>
          </w:p>
        </w:tc>
        <w:tc>
          <w:tcPr>
            <w:tcW w:w="1421" w:type="dxa"/>
            <w:tcBorders>
              <w:top w:val="single" w:sz="4" w:space="0" w:color="auto"/>
              <w:left w:val="nil"/>
              <w:bottom w:val="single" w:sz="12" w:space="0" w:color="auto"/>
              <w:right w:val="single" w:sz="4" w:space="0" w:color="auto"/>
              <w:tl2br w:val="nil"/>
              <w:tr2bl w:val="nil"/>
            </w:tcBorders>
            <w:shd w:val="clear" w:color="auto" w:fill="C0C0C0"/>
            <w:noWrap/>
            <w:textDirection w:val="lrTb"/>
            <w:vAlign w:val="center"/>
          </w:tcPr>
          <w:p w:rsidR="005F1CD3" w:rsidRPr="002F64D6" w:rsidP="00A16DF7">
            <w:pPr>
              <w:spacing w:line="240" w:lineRule="auto"/>
              <w:jc w:val="right"/>
              <w:rPr>
                <w:rFonts w:ascii="Arial Narrow" w:hAnsi="Arial Narrow" w:cs="Arial"/>
                <w:b/>
              </w:rPr>
            </w:pPr>
            <w:r w:rsidRPr="002F64D6">
              <w:rPr>
                <w:rFonts w:ascii="Arial Narrow" w:hAnsi="Arial Narrow" w:cs="Arial"/>
                <w:b/>
              </w:rPr>
              <w:t>12 720 514,50</w:t>
            </w:r>
          </w:p>
        </w:tc>
        <w:tc>
          <w:tcPr>
            <w:tcW w:w="1018" w:type="dxa"/>
            <w:tcBorders>
              <w:top w:val="single" w:sz="4" w:space="0" w:color="auto"/>
              <w:left w:val="nil"/>
              <w:bottom w:val="single" w:sz="12" w:space="0" w:color="auto"/>
              <w:right w:val="single" w:sz="4" w:space="0" w:color="auto"/>
              <w:tl2br w:val="nil"/>
              <w:tr2bl w:val="nil"/>
            </w:tcBorders>
            <w:shd w:val="clear" w:color="auto" w:fill="C0C0C0"/>
            <w:noWrap/>
            <w:textDirection w:val="lrTb"/>
            <w:vAlign w:val="center"/>
          </w:tcPr>
          <w:p w:rsidR="005F1CD3" w:rsidRPr="002F64D6" w:rsidP="00A16DF7">
            <w:pPr>
              <w:spacing w:line="240" w:lineRule="auto"/>
              <w:ind w:left="-108"/>
              <w:jc w:val="right"/>
              <w:rPr>
                <w:rFonts w:ascii="Arial Narrow" w:hAnsi="Arial Narrow" w:cs="Arial"/>
                <w:b/>
              </w:rPr>
            </w:pPr>
            <w:r w:rsidRPr="002F64D6">
              <w:rPr>
                <w:rFonts w:ascii="Arial Narrow" w:hAnsi="Arial Narrow" w:cs="Arial"/>
                <w:b/>
              </w:rPr>
              <w:t>259 934,8</w:t>
            </w:r>
          </w:p>
        </w:tc>
        <w:tc>
          <w:tcPr>
            <w:tcW w:w="1018" w:type="dxa"/>
            <w:tcBorders>
              <w:top w:val="single" w:sz="4" w:space="0" w:color="auto"/>
              <w:left w:val="nil"/>
              <w:bottom w:val="single" w:sz="12" w:space="0" w:color="auto"/>
              <w:right w:val="single" w:sz="4" w:space="0" w:color="auto"/>
              <w:tl2br w:val="nil"/>
              <w:tr2bl w:val="nil"/>
            </w:tcBorders>
            <w:shd w:val="clear" w:color="auto" w:fill="C0C0C0"/>
            <w:noWrap/>
            <w:textDirection w:val="lrTb"/>
            <w:vAlign w:val="center"/>
          </w:tcPr>
          <w:p w:rsidR="005F1CD3" w:rsidRPr="002F64D6" w:rsidP="00A16DF7">
            <w:pPr>
              <w:spacing w:line="240" w:lineRule="auto"/>
              <w:ind w:left="-108"/>
              <w:jc w:val="right"/>
              <w:rPr>
                <w:rFonts w:ascii="Arial Narrow" w:hAnsi="Arial Narrow" w:cs="Arial"/>
                <w:b/>
              </w:rPr>
            </w:pPr>
            <w:r w:rsidRPr="002F64D6">
              <w:rPr>
                <w:rFonts w:ascii="Arial Narrow" w:hAnsi="Arial Narrow" w:cs="Arial"/>
                <w:b/>
              </w:rPr>
              <w:t>779 804,3</w:t>
            </w:r>
          </w:p>
        </w:tc>
        <w:tc>
          <w:tcPr>
            <w:tcW w:w="1325" w:type="dxa"/>
            <w:tcBorders>
              <w:top w:val="single" w:sz="4" w:space="0" w:color="auto"/>
              <w:left w:val="nil"/>
              <w:bottom w:val="single" w:sz="12" w:space="0" w:color="auto"/>
              <w:right w:val="single" w:sz="12" w:space="0" w:color="auto"/>
              <w:tl2br w:val="nil"/>
              <w:tr2bl w:val="nil"/>
            </w:tcBorders>
            <w:shd w:val="clear" w:color="auto" w:fill="C0C0C0"/>
            <w:noWrap/>
            <w:textDirection w:val="lrTb"/>
            <w:vAlign w:val="center"/>
          </w:tcPr>
          <w:p w:rsidR="005F1CD3" w:rsidRPr="002F64D6" w:rsidP="00A16DF7">
            <w:pPr>
              <w:spacing w:line="240" w:lineRule="auto"/>
              <w:ind w:left="-108"/>
              <w:jc w:val="right"/>
              <w:rPr>
                <w:rFonts w:ascii="Arial Narrow" w:hAnsi="Arial Narrow" w:cs="Arial"/>
                <w:b/>
              </w:rPr>
            </w:pPr>
            <w:r w:rsidRPr="002F64D6">
              <w:rPr>
                <w:rFonts w:ascii="Arial Narrow" w:hAnsi="Arial Narrow" w:cs="Arial"/>
                <w:b/>
              </w:rPr>
              <w:t>1 039 739,10</w:t>
            </w:r>
          </w:p>
        </w:tc>
      </w:tr>
    </w:tbl>
    <w:p w:rsidR="005F1CD3" w:rsidP="00A16DF7">
      <w:pPr>
        <w:tabs>
          <w:tab w:val="right" w:pos="3240"/>
          <w:tab w:val="right" w:pos="4500"/>
          <w:tab w:val="right" w:pos="7020"/>
          <w:tab w:val="right" w:pos="8280"/>
        </w:tabs>
        <w:spacing w:line="240" w:lineRule="auto"/>
        <w:rPr>
          <w:rFonts w:ascii="Arial Narrow" w:hAnsi="Arial Narrow" w:cs="Times New Roman"/>
          <w:b/>
          <w:sz w:val="22"/>
          <w:szCs w:val="22"/>
        </w:rPr>
      </w:pPr>
    </w:p>
    <w:p w:rsidR="003668E9" w:rsidP="00A82B43">
      <w:pPr>
        <w:tabs>
          <w:tab w:val="right" w:pos="3240"/>
          <w:tab w:val="right" w:pos="4500"/>
          <w:tab w:val="right" w:pos="7020"/>
          <w:tab w:val="right" w:pos="8280"/>
        </w:tabs>
        <w:spacing w:line="240" w:lineRule="auto"/>
        <w:rPr>
          <w:rFonts w:ascii="Times New Roman" w:hAnsi="Times New Roman" w:cs="Times New Roman"/>
          <w:sz w:val="24"/>
          <w:szCs w:val="24"/>
        </w:rPr>
      </w:pPr>
    </w:p>
    <w:p w:rsidR="00A82B43" w:rsidP="00A16DF7">
      <w:pPr>
        <w:tabs>
          <w:tab w:val="right" w:pos="3240"/>
          <w:tab w:val="right" w:pos="4500"/>
          <w:tab w:val="right" w:pos="7020"/>
          <w:tab w:val="right" w:pos="8280"/>
        </w:tabs>
        <w:spacing w:line="240" w:lineRule="auto"/>
        <w:ind w:firstLine="720"/>
        <w:rPr>
          <w:rFonts w:ascii="Times New Roman" w:hAnsi="Times New Roman" w:cs="Times New Roman"/>
          <w:sz w:val="24"/>
          <w:szCs w:val="24"/>
        </w:rPr>
      </w:pPr>
    </w:p>
    <w:p w:rsidR="00EE757E" w:rsidP="00EE757E">
      <w:pPr>
        <w:tabs>
          <w:tab w:val="right" w:pos="3240"/>
          <w:tab w:val="right" w:pos="4500"/>
          <w:tab w:val="right" w:pos="7020"/>
          <w:tab w:val="right" w:pos="8280"/>
        </w:tabs>
        <w:spacing w:line="240" w:lineRule="auto"/>
        <w:ind w:firstLine="720"/>
        <w:rPr>
          <w:rFonts w:ascii="Times New Roman" w:hAnsi="Times New Roman" w:cs="Times New Roman"/>
          <w:sz w:val="24"/>
          <w:szCs w:val="24"/>
        </w:rPr>
      </w:pPr>
    </w:p>
    <w:p w:rsidR="003668E9" w:rsidP="00EE757E">
      <w:pPr>
        <w:tabs>
          <w:tab w:val="right" w:pos="3240"/>
          <w:tab w:val="right" w:pos="4500"/>
          <w:tab w:val="right" w:pos="7020"/>
          <w:tab w:val="right" w:pos="8280"/>
        </w:tabs>
        <w:spacing w:line="240" w:lineRule="auto"/>
        <w:ind w:firstLine="720"/>
        <w:rPr>
          <w:rFonts w:ascii="Times New Roman" w:hAnsi="Times New Roman" w:cs="Times New Roman"/>
          <w:sz w:val="24"/>
          <w:szCs w:val="24"/>
        </w:rPr>
      </w:pPr>
      <w:r w:rsidRPr="00B076A6" w:rsidR="005F1CD3">
        <w:rPr>
          <w:rFonts w:ascii="Times New Roman" w:hAnsi="Times New Roman" w:cs="Times New Roman"/>
          <w:sz w:val="24"/>
          <w:szCs w:val="24"/>
        </w:rPr>
        <w:t xml:space="preserve">MF SR v súlade so splnomocnením v časti D, bod D.1 a D.2 uznesenia vlády SR         č. 856 z 11. októbra </w:t>
      </w:r>
      <w:smartTag w:uri="urn:schemas-microsoft-com:office:smarttags" w:element="metricconverter">
        <w:smartTagPr>
          <w:attr w:name="ProductID" w:val="2006 a"/>
        </w:smartTagPr>
        <w:r w:rsidRPr="00B076A6" w:rsidR="005F1CD3">
          <w:rPr>
            <w:rFonts w:ascii="Times New Roman" w:hAnsi="Times New Roman" w:cs="Times New Roman"/>
            <w:sz w:val="24"/>
            <w:szCs w:val="24"/>
          </w:rPr>
          <w:t>2006 a</w:t>
        </w:r>
      </w:smartTag>
      <w:r w:rsidRPr="00B076A6" w:rsidR="005F1CD3">
        <w:rPr>
          <w:rFonts w:ascii="Times New Roman" w:hAnsi="Times New Roman" w:cs="Times New Roman"/>
          <w:sz w:val="24"/>
          <w:szCs w:val="24"/>
        </w:rPr>
        <w:t xml:space="preserve"> podľa ustanovenia  § </w:t>
      </w:r>
      <w:smartTag w:uri="urn:schemas-microsoft-com:office:smarttags" w:element="metricconverter">
        <w:smartTagPr>
          <w:attr w:name="ProductID" w:val="17 a"/>
        </w:smartTagPr>
        <w:r w:rsidRPr="00B076A6" w:rsidR="005F1CD3">
          <w:rPr>
            <w:rFonts w:ascii="Times New Roman" w:hAnsi="Times New Roman" w:cs="Times New Roman"/>
            <w:sz w:val="24"/>
            <w:szCs w:val="24"/>
          </w:rPr>
          <w:t>17 a</w:t>
        </w:r>
      </w:smartTag>
      <w:r w:rsidR="00F1695C">
        <w:rPr>
          <w:rFonts w:ascii="Times New Roman" w:hAnsi="Times New Roman" w:cs="Times New Roman"/>
          <w:sz w:val="24"/>
          <w:szCs w:val="24"/>
        </w:rPr>
        <w:t xml:space="preserve"> § 18 zákona </w:t>
      </w:r>
      <w:r w:rsidRPr="00B076A6" w:rsidR="005F1CD3">
        <w:rPr>
          <w:rFonts w:ascii="Times New Roman" w:hAnsi="Times New Roman" w:cs="Times New Roman"/>
          <w:sz w:val="24"/>
          <w:szCs w:val="24"/>
        </w:rPr>
        <w:t xml:space="preserve">č. 523/2004 Z. z.   o rozpočtových pravidlách verejnej správy z prostriedkov technickej asistencie upravilo rozpočtovými opatreniami č. 2, </w:t>
      </w:r>
      <w:smartTag w:uri="urn:schemas-microsoft-com:office:smarttags" w:element="metricconverter">
        <w:smartTagPr>
          <w:attr w:name="ProductID" w:val="8 a"/>
        </w:smartTagPr>
        <w:r w:rsidRPr="00B076A6" w:rsidR="005F1CD3">
          <w:rPr>
            <w:rFonts w:ascii="Times New Roman" w:hAnsi="Times New Roman" w:cs="Times New Roman"/>
            <w:sz w:val="24"/>
            <w:szCs w:val="24"/>
          </w:rPr>
          <w:t>8 a</w:t>
        </w:r>
      </w:smartTag>
      <w:r w:rsidRPr="00B076A6" w:rsidR="005F1CD3">
        <w:rPr>
          <w:rFonts w:ascii="Times New Roman" w:hAnsi="Times New Roman" w:cs="Times New Roman"/>
          <w:sz w:val="24"/>
          <w:szCs w:val="24"/>
        </w:rPr>
        <w:t xml:space="preserve"> 36 limit finančných prostriedkov na mzdy a platy vo výške 12 720 514,50 Sk. Na základe žiadostí MDPT SR schválilo MF SR ako platobný orgán súhrnnú žiadosť o platbu vo výškach:</w:t>
      </w:r>
    </w:p>
    <w:p w:rsidR="00EE757E" w:rsidP="00EE757E">
      <w:pPr>
        <w:tabs>
          <w:tab w:val="right" w:pos="3240"/>
          <w:tab w:val="right" w:pos="4500"/>
          <w:tab w:val="right" w:pos="7020"/>
          <w:tab w:val="right" w:pos="8280"/>
        </w:tabs>
        <w:spacing w:line="240" w:lineRule="auto"/>
        <w:ind w:firstLine="720"/>
        <w:rPr>
          <w:rFonts w:ascii="Times New Roman" w:hAnsi="Times New Roman" w:cs="Times New Roman"/>
          <w:sz w:val="24"/>
          <w:szCs w:val="24"/>
        </w:rPr>
      </w:pPr>
    </w:p>
    <w:p w:rsidR="00EE757E" w:rsidRPr="00EE757E" w:rsidP="00EE757E">
      <w:pPr>
        <w:tabs>
          <w:tab w:val="right" w:pos="3240"/>
          <w:tab w:val="right" w:pos="4500"/>
          <w:tab w:val="right" w:pos="7020"/>
          <w:tab w:val="right" w:pos="8280"/>
        </w:tabs>
        <w:spacing w:line="240" w:lineRule="auto"/>
        <w:ind w:firstLine="720"/>
        <w:rPr>
          <w:rFonts w:ascii="Times New Roman" w:hAnsi="Times New Roman" w:cs="Times New Roman"/>
          <w:sz w:val="24"/>
          <w:szCs w:val="24"/>
        </w:rPr>
      </w:pPr>
    </w:p>
    <w:p w:rsidR="00680622" w:rsidRPr="00A833D8" w:rsidP="00A16DF7">
      <w:pPr>
        <w:tabs>
          <w:tab w:val="right" w:pos="3240"/>
          <w:tab w:val="right" w:pos="4500"/>
          <w:tab w:val="right" w:pos="7020"/>
          <w:tab w:val="right" w:pos="8280"/>
        </w:tabs>
        <w:spacing w:line="240" w:lineRule="auto"/>
        <w:rPr>
          <w:rFonts w:ascii="Arial Narrow" w:hAnsi="Arial Narrow" w:cs="Times New Roman"/>
        </w:rPr>
      </w:pPr>
      <w:r w:rsidRPr="00A833D8" w:rsidR="00A833D8">
        <w:rPr>
          <w:rFonts w:ascii="Arial Narrow" w:hAnsi="Arial Narrow" w:cs="Times New Roman"/>
        </w:rPr>
        <w:t xml:space="preserve">                                                                                                                                                               </w:t>
      </w:r>
      <w:r w:rsidR="00A833D8">
        <w:rPr>
          <w:rFonts w:ascii="Arial Narrow" w:hAnsi="Arial Narrow" w:cs="Times New Roman"/>
        </w:rPr>
        <w:t xml:space="preserve">                        </w:t>
      </w:r>
      <w:r w:rsidRPr="00A833D8" w:rsidR="00A833D8">
        <w:rPr>
          <w:rFonts w:ascii="Arial Narrow" w:hAnsi="Arial Narrow" w:cs="Times New Roman"/>
        </w:rPr>
        <w:t>(v Sk)</w:t>
      </w:r>
    </w:p>
    <w:tbl>
      <w:tblPr>
        <w:tblW w:w="9387" w:type="dxa"/>
        <w:tblInd w:w="55" w:type="dxa"/>
        <w:tblCellMar>
          <w:left w:w="70" w:type="dxa"/>
          <w:right w:w="70" w:type="dxa"/>
        </w:tblCellMar>
      </w:tblPr>
      <w:tblGrid>
        <w:gridCol w:w="3075"/>
        <w:gridCol w:w="2005"/>
        <w:gridCol w:w="2005"/>
        <w:gridCol w:w="1750"/>
        <w:gridCol w:w="552"/>
      </w:tblGrid>
      <w:tr>
        <w:tblPrEx>
          <w:tblW w:w="9387" w:type="dxa"/>
          <w:tblInd w:w="55" w:type="dxa"/>
          <w:tblCellMar>
            <w:left w:w="70" w:type="dxa"/>
            <w:right w:w="70" w:type="dxa"/>
          </w:tblCellMar>
        </w:tblPrEx>
        <w:trPr>
          <w:trHeight w:hRule="exact" w:val="284"/>
        </w:trPr>
        <w:tc>
          <w:tcPr>
            <w:tcW w:w="3075" w:type="dxa"/>
            <w:tcBorders>
              <w:top w:val="single" w:sz="12" w:space="0" w:color="auto"/>
              <w:left w:val="single" w:sz="12" w:space="0" w:color="auto"/>
              <w:bottom w:val="single" w:sz="12" w:space="0" w:color="auto"/>
              <w:right w:val="nil"/>
              <w:tl2br w:val="nil"/>
              <w:tr2bl w:val="nil"/>
            </w:tcBorders>
            <w:shd w:val="clear" w:color="auto" w:fill="C0C0C0"/>
            <w:noWrap/>
            <w:textDirection w:val="lrTb"/>
            <w:vAlign w:val="center"/>
          </w:tcPr>
          <w:p w:rsidR="005F1CD3" w:rsidRPr="00A833D8" w:rsidP="00A16DF7">
            <w:pPr>
              <w:spacing w:line="240" w:lineRule="auto"/>
              <w:rPr>
                <w:rFonts w:ascii="Arial Narrow" w:hAnsi="Arial Narrow" w:cs="Arial"/>
                <w:b/>
              </w:rPr>
            </w:pPr>
            <w:r w:rsidRPr="00A833D8">
              <w:rPr>
                <w:rFonts w:ascii="Arial Narrow" w:hAnsi="Arial Narrow" w:cs="Arial"/>
                <w:b/>
              </w:rPr>
              <w:t> </w:t>
            </w:r>
          </w:p>
        </w:tc>
        <w:tc>
          <w:tcPr>
            <w:tcW w:w="2005" w:type="dxa"/>
            <w:tcBorders>
              <w:top w:val="single" w:sz="12" w:space="0" w:color="auto"/>
              <w:left w:val="single" w:sz="4" w:space="0" w:color="auto"/>
              <w:bottom w:val="single" w:sz="12" w:space="0" w:color="auto"/>
              <w:right w:val="single" w:sz="4" w:space="0" w:color="auto"/>
              <w:tl2br w:val="nil"/>
              <w:tr2bl w:val="nil"/>
            </w:tcBorders>
            <w:shd w:val="clear" w:color="auto" w:fill="C0C0C0"/>
            <w:noWrap/>
            <w:textDirection w:val="lrTb"/>
            <w:vAlign w:val="center"/>
          </w:tcPr>
          <w:p w:rsidR="005F1CD3" w:rsidRPr="00A833D8" w:rsidP="00A16DF7">
            <w:pPr>
              <w:spacing w:line="240" w:lineRule="auto"/>
              <w:jc w:val="center"/>
              <w:rPr>
                <w:rFonts w:ascii="Arial Narrow" w:hAnsi="Arial Narrow" w:cs="Arial"/>
                <w:b/>
              </w:rPr>
            </w:pPr>
            <w:r w:rsidRPr="00A833D8">
              <w:rPr>
                <w:rFonts w:ascii="Arial Narrow" w:hAnsi="Arial Narrow" w:cs="Arial"/>
                <w:b/>
              </w:rPr>
              <w:t>ŠR</w:t>
            </w:r>
          </w:p>
        </w:tc>
        <w:tc>
          <w:tcPr>
            <w:tcW w:w="2005" w:type="dxa"/>
            <w:tcBorders>
              <w:top w:val="single" w:sz="12" w:space="0" w:color="auto"/>
              <w:left w:val="nil"/>
              <w:bottom w:val="single" w:sz="12" w:space="0" w:color="auto"/>
              <w:right w:val="single" w:sz="4" w:space="0" w:color="auto"/>
              <w:tl2br w:val="nil"/>
              <w:tr2bl w:val="nil"/>
            </w:tcBorders>
            <w:shd w:val="clear" w:color="auto" w:fill="C0C0C0"/>
            <w:noWrap/>
            <w:textDirection w:val="lrTb"/>
            <w:vAlign w:val="center"/>
          </w:tcPr>
          <w:p w:rsidR="005F1CD3" w:rsidRPr="00A833D8" w:rsidP="00A16DF7">
            <w:pPr>
              <w:spacing w:line="240" w:lineRule="auto"/>
              <w:jc w:val="center"/>
              <w:rPr>
                <w:rFonts w:ascii="Arial Narrow" w:hAnsi="Arial Narrow" w:cs="Arial"/>
                <w:b/>
              </w:rPr>
            </w:pPr>
            <w:r w:rsidRPr="00A833D8">
              <w:rPr>
                <w:rFonts w:ascii="Arial Narrow" w:hAnsi="Arial Narrow" w:cs="Arial"/>
                <w:b/>
              </w:rPr>
              <w:t>EÚ</w:t>
            </w:r>
          </w:p>
        </w:tc>
        <w:tc>
          <w:tcPr>
            <w:tcW w:w="1750" w:type="dxa"/>
            <w:tcBorders>
              <w:top w:val="single" w:sz="12" w:space="0" w:color="auto"/>
              <w:left w:val="nil"/>
              <w:bottom w:val="single" w:sz="12" w:space="0" w:color="auto"/>
              <w:right w:val="single" w:sz="12" w:space="0" w:color="auto"/>
              <w:tl2br w:val="nil"/>
              <w:tr2bl w:val="nil"/>
            </w:tcBorders>
            <w:shd w:val="clear" w:color="auto" w:fill="C0C0C0"/>
            <w:noWrap/>
            <w:textDirection w:val="lrTb"/>
            <w:vAlign w:val="center"/>
          </w:tcPr>
          <w:p w:rsidR="005F1CD3" w:rsidRPr="00A833D8" w:rsidP="00A16DF7">
            <w:pPr>
              <w:spacing w:line="240" w:lineRule="auto"/>
              <w:jc w:val="center"/>
              <w:rPr>
                <w:rFonts w:ascii="Arial Narrow" w:hAnsi="Arial Narrow" w:cs="Arial"/>
                <w:b/>
              </w:rPr>
            </w:pPr>
            <w:r w:rsidRPr="00A833D8">
              <w:rPr>
                <w:rFonts w:ascii="Arial Narrow" w:hAnsi="Arial Narrow" w:cs="Arial"/>
                <w:b/>
              </w:rPr>
              <w:t>Spolu</w:t>
            </w:r>
          </w:p>
        </w:tc>
        <w:tc>
          <w:tcPr>
            <w:tcW w:w="552" w:type="dxa"/>
            <w:tcBorders>
              <w:top w:val="nil"/>
              <w:left w:val="single" w:sz="12" w:space="0" w:color="auto"/>
              <w:bottom w:val="nil"/>
              <w:right w:val="nil"/>
              <w:tl2br w:val="nil"/>
              <w:tr2bl w:val="nil"/>
            </w:tcBorders>
            <w:textDirection w:val="lrTb"/>
            <w:vAlign w:val="center"/>
          </w:tcPr>
          <w:p w:rsidR="005F1CD3" w:rsidRPr="00A833D8" w:rsidP="00A16DF7">
            <w:pPr>
              <w:spacing w:line="240" w:lineRule="auto"/>
              <w:jc w:val="center"/>
              <w:rPr>
                <w:rFonts w:ascii="Arial Narrow" w:hAnsi="Arial Narrow" w:cs="Arial"/>
              </w:rPr>
            </w:pPr>
          </w:p>
        </w:tc>
      </w:tr>
      <w:tr>
        <w:tblPrEx>
          <w:tblW w:w="9387" w:type="dxa"/>
          <w:tblInd w:w="55" w:type="dxa"/>
          <w:tblCellMar>
            <w:left w:w="70" w:type="dxa"/>
            <w:right w:w="70" w:type="dxa"/>
          </w:tblCellMar>
        </w:tblPrEx>
        <w:trPr>
          <w:trHeight w:hRule="exact" w:val="284"/>
        </w:trPr>
        <w:tc>
          <w:tcPr>
            <w:tcW w:w="3075" w:type="dxa"/>
            <w:tcBorders>
              <w:top w:val="single" w:sz="12" w:space="0" w:color="auto"/>
              <w:left w:val="single" w:sz="12" w:space="0" w:color="auto"/>
              <w:bottom w:val="single" w:sz="4" w:space="0" w:color="auto"/>
              <w:right w:val="nil"/>
              <w:tl2br w:val="nil"/>
              <w:tr2bl w:val="nil"/>
            </w:tcBorders>
            <w:noWrap/>
            <w:textDirection w:val="lrTb"/>
            <w:vAlign w:val="center"/>
          </w:tcPr>
          <w:p w:rsidR="005F1CD3" w:rsidRPr="00A833D8" w:rsidP="00A16DF7">
            <w:pPr>
              <w:spacing w:line="240" w:lineRule="auto"/>
              <w:rPr>
                <w:rFonts w:ascii="Arial Narrow" w:hAnsi="Arial Narrow" w:cs="Arial"/>
              </w:rPr>
            </w:pPr>
            <w:r w:rsidRPr="00A833D8" w:rsidR="00B076A6">
              <w:rPr>
                <w:rFonts w:ascii="Arial Narrow" w:hAnsi="Arial Narrow" w:cs="Arial"/>
              </w:rPr>
              <w:t xml:space="preserve">Vnútorné </w:t>
            </w:r>
            <w:r w:rsidRPr="00A833D8">
              <w:rPr>
                <w:rFonts w:ascii="Arial Narrow" w:hAnsi="Arial Narrow" w:cs="Arial"/>
              </w:rPr>
              <w:t>RO MDPT SR č. 19</w:t>
            </w:r>
          </w:p>
        </w:tc>
        <w:tc>
          <w:tcPr>
            <w:tcW w:w="2005" w:type="dxa"/>
            <w:tcBorders>
              <w:top w:val="single" w:sz="12" w:space="0" w:color="auto"/>
              <w:left w:val="single" w:sz="4" w:space="0" w:color="auto"/>
              <w:bottom w:val="single" w:sz="4" w:space="0" w:color="auto"/>
              <w:right w:val="single" w:sz="4" w:space="0" w:color="auto"/>
              <w:tl2br w:val="nil"/>
              <w:tr2bl w:val="nil"/>
            </w:tcBorders>
            <w:noWrap/>
            <w:textDirection w:val="lrTb"/>
            <w:vAlign w:val="center"/>
          </w:tcPr>
          <w:p w:rsidR="005F1CD3" w:rsidRPr="00A833D8" w:rsidP="00A16DF7">
            <w:pPr>
              <w:spacing w:line="240" w:lineRule="auto"/>
              <w:ind w:left="-58"/>
              <w:jc w:val="right"/>
              <w:rPr>
                <w:rFonts w:ascii="Arial Narrow" w:hAnsi="Arial Narrow" w:cs="Arial"/>
              </w:rPr>
            </w:pPr>
            <w:r w:rsidRPr="00A833D8">
              <w:rPr>
                <w:rFonts w:ascii="Arial Narrow" w:hAnsi="Arial Narrow" w:cs="Arial"/>
              </w:rPr>
              <w:t>978 544,20</w:t>
            </w:r>
          </w:p>
        </w:tc>
        <w:tc>
          <w:tcPr>
            <w:tcW w:w="2005" w:type="dxa"/>
            <w:tcBorders>
              <w:top w:val="single" w:sz="12" w:space="0" w:color="auto"/>
              <w:left w:val="nil"/>
              <w:bottom w:val="single" w:sz="4" w:space="0" w:color="auto"/>
              <w:right w:val="single" w:sz="4" w:space="0" w:color="auto"/>
              <w:tl2br w:val="nil"/>
              <w:tr2bl w:val="nil"/>
            </w:tcBorders>
            <w:noWrap/>
            <w:textDirection w:val="lrTb"/>
            <w:vAlign w:val="center"/>
          </w:tcPr>
          <w:p w:rsidR="005F1CD3" w:rsidRPr="00A833D8" w:rsidP="00A16DF7">
            <w:pPr>
              <w:spacing w:line="240" w:lineRule="auto"/>
              <w:ind w:left="-90"/>
              <w:jc w:val="right"/>
              <w:rPr>
                <w:rFonts w:ascii="Arial Narrow" w:hAnsi="Arial Narrow" w:cs="Arial"/>
              </w:rPr>
            </w:pPr>
            <w:r w:rsidRPr="00A833D8">
              <w:rPr>
                <w:rFonts w:ascii="Arial Narrow" w:hAnsi="Arial Narrow" w:cs="Arial"/>
              </w:rPr>
              <w:t>2 935 632,60</w:t>
            </w:r>
          </w:p>
        </w:tc>
        <w:tc>
          <w:tcPr>
            <w:tcW w:w="1750" w:type="dxa"/>
            <w:tcBorders>
              <w:top w:val="single" w:sz="12" w:space="0" w:color="auto"/>
              <w:left w:val="nil"/>
              <w:bottom w:val="single" w:sz="4" w:space="0" w:color="auto"/>
              <w:right w:val="single" w:sz="12" w:space="0" w:color="auto"/>
              <w:tl2br w:val="nil"/>
              <w:tr2bl w:val="nil"/>
            </w:tcBorders>
            <w:noWrap/>
            <w:textDirection w:val="lrTb"/>
            <w:vAlign w:val="center"/>
          </w:tcPr>
          <w:p w:rsidR="005F1CD3" w:rsidRPr="00A833D8" w:rsidP="00A16DF7">
            <w:pPr>
              <w:spacing w:line="240" w:lineRule="auto"/>
              <w:jc w:val="right"/>
              <w:rPr>
                <w:rFonts w:ascii="Arial Narrow" w:hAnsi="Arial Narrow" w:cs="Arial"/>
              </w:rPr>
            </w:pPr>
            <w:r w:rsidRPr="00A833D8">
              <w:rPr>
                <w:rFonts w:ascii="Arial Narrow" w:hAnsi="Arial Narrow" w:cs="Arial"/>
              </w:rPr>
              <w:t>3 914 176,80</w:t>
            </w:r>
          </w:p>
        </w:tc>
        <w:tc>
          <w:tcPr>
            <w:tcW w:w="552" w:type="dxa"/>
            <w:tcBorders>
              <w:top w:val="nil"/>
              <w:left w:val="single" w:sz="12" w:space="0" w:color="auto"/>
              <w:bottom w:val="nil"/>
              <w:right w:val="nil"/>
              <w:tl2br w:val="nil"/>
              <w:tr2bl w:val="nil"/>
            </w:tcBorders>
            <w:textDirection w:val="lrTb"/>
            <w:vAlign w:val="center"/>
          </w:tcPr>
          <w:p w:rsidR="005F1CD3" w:rsidRPr="00A833D8" w:rsidP="00A16DF7">
            <w:pPr>
              <w:spacing w:line="240" w:lineRule="auto"/>
              <w:jc w:val="right"/>
              <w:rPr>
                <w:rFonts w:ascii="Arial Narrow" w:hAnsi="Arial Narrow" w:cs="Arial"/>
              </w:rPr>
            </w:pPr>
          </w:p>
        </w:tc>
      </w:tr>
      <w:tr>
        <w:tblPrEx>
          <w:tblW w:w="9387" w:type="dxa"/>
          <w:tblInd w:w="55" w:type="dxa"/>
          <w:tblCellMar>
            <w:left w:w="70" w:type="dxa"/>
            <w:right w:w="70" w:type="dxa"/>
          </w:tblCellMar>
        </w:tblPrEx>
        <w:trPr>
          <w:trHeight w:hRule="exact" w:val="284"/>
        </w:trPr>
        <w:tc>
          <w:tcPr>
            <w:tcW w:w="3075" w:type="dxa"/>
            <w:tcBorders>
              <w:top w:val="single" w:sz="4" w:space="0" w:color="auto"/>
              <w:left w:val="single" w:sz="12" w:space="0" w:color="auto"/>
              <w:bottom w:val="single" w:sz="4" w:space="0" w:color="auto"/>
              <w:right w:val="nil"/>
              <w:tl2br w:val="nil"/>
              <w:tr2bl w:val="nil"/>
            </w:tcBorders>
            <w:noWrap/>
            <w:textDirection w:val="lrTb"/>
            <w:vAlign w:val="center"/>
          </w:tcPr>
          <w:p w:rsidR="005F1CD3" w:rsidRPr="00A833D8" w:rsidP="00A16DF7">
            <w:pPr>
              <w:spacing w:line="240" w:lineRule="auto"/>
              <w:rPr>
                <w:rFonts w:ascii="Arial Narrow" w:hAnsi="Arial Narrow" w:cs="Arial"/>
              </w:rPr>
            </w:pPr>
            <w:r w:rsidRPr="00A833D8" w:rsidR="00B076A6">
              <w:rPr>
                <w:rFonts w:ascii="Arial Narrow" w:hAnsi="Arial Narrow" w:cs="Arial"/>
              </w:rPr>
              <w:t xml:space="preserve">Vnútorné </w:t>
            </w:r>
            <w:r w:rsidRPr="00A833D8">
              <w:rPr>
                <w:rFonts w:ascii="Arial Narrow" w:hAnsi="Arial Narrow" w:cs="Arial"/>
              </w:rPr>
              <w:t>RO MDPT SR č. 26</w:t>
            </w:r>
          </w:p>
        </w:tc>
        <w:tc>
          <w:tcPr>
            <w:tcW w:w="2005"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5F1CD3" w:rsidRPr="00A833D8" w:rsidP="00A16DF7">
            <w:pPr>
              <w:spacing w:line="240" w:lineRule="auto"/>
              <w:ind w:left="-58"/>
              <w:jc w:val="right"/>
              <w:rPr>
                <w:rFonts w:ascii="Arial Narrow" w:hAnsi="Arial Narrow" w:cs="Arial"/>
              </w:rPr>
            </w:pPr>
            <w:r w:rsidRPr="00A833D8">
              <w:rPr>
                <w:rFonts w:ascii="Arial Narrow" w:hAnsi="Arial Narrow" w:cs="Arial"/>
              </w:rPr>
              <w:t>551 942,00</w:t>
            </w:r>
          </w:p>
        </w:tc>
        <w:tc>
          <w:tcPr>
            <w:tcW w:w="2005" w:type="dxa"/>
            <w:tcBorders>
              <w:top w:val="single" w:sz="4" w:space="0" w:color="auto"/>
              <w:left w:val="nil"/>
              <w:bottom w:val="single" w:sz="4" w:space="0" w:color="auto"/>
              <w:right w:val="single" w:sz="4" w:space="0" w:color="auto"/>
              <w:tl2br w:val="nil"/>
              <w:tr2bl w:val="nil"/>
            </w:tcBorders>
            <w:noWrap/>
            <w:textDirection w:val="lrTb"/>
            <w:vAlign w:val="center"/>
          </w:tcPr>
          <w:p w:rsidR="005F1CD3" w:rsidRPr="00A833D8" w:rsidP="00A16DF7">
            <w:pPr>
              <w:spacing w:line="240" w:lineRule="auto"/>
              <w:ind w:left="-90"/>
              <w:jc w:val="right"/>
              <w:rPr>
                <w:rFonts w:ascii="Arial Narrow" w:hAnsi="Arial Narrow" w:cs="Arial"/>
              </w:rPr>
            </w:pPr>
            <w:r w:rsidRPr="00A833D8">
              <w:rPr>
                <w:rFonts w:ascii="Arial Narrow" w:hAnsi="Arial Narrow" w:cs="Arial"/>
              </w:rPr>
              <w:t>1 655 826,00</w:t>
            </w:r>
          </w:p>
        </w:tc>
        <w:tc>
          <w:tcPr>
            <w:tcW w:w="1750" w:type="dxa"/>
            <w:tcBorders>
              <w:top w:val="single" w:sz="4" w:space="0" w:color="auto"/>
              <w:left w:val="nil"/>
              <w:bottom w:val="single" w:sz="4" w:space="0" w:color="auto"/>
              <w:right w:val="single" w:sz="12" w:space="0" w:color="auto"/>
              <w:tl2br w:val="nil"/>
              <w:tr2bl w:val="nil"/>
            </w:tcBorders>
            <w:noWrap/>
            <w:textDirection w:val="lrTb"/>
            <w:vAlign w:val="center"/>
          </w:tcPr>
          <w:p w:rsidR="005F1CD3" w:rsidRPr="00A833D8" w:rsidP="00A16DF7">
            <w:pPr>
              <w:spacing w:line="240" w:lineRule="auto"/>
              <w:jc w:val="right"/>
              <w:rPr>
                <w:rFonts w:ascii="Arial Narrow" w:hAnsi="Arial Narrow" w:cs="Arial"/>
              </w:rPr>
            </w:pPr>
            <w:r w:rsidRPr="00A833D8">
              <w:rPr>
                <w:rFonts w:ascii="Arial Narrow" w:hAnsi="Arial Narrow" w:cs="Arial"/>
              </w:rPr>
              <w:t>2 207 768,00</w:t>
            </w:r>
          </w:p>
        </w:tc>
        <w:tc>
          <w:tcPr>
            <w:tcW w:w="552" w:type="dxa"/>
            <w:tcBorders>
              <w:top w:val="nil"/>
              <w:left w:val="single" w:sz="12" w:space="0" w:color="auto"/>
              <w:bottom w:val="nil"/>
              <w:right w:val="nil"/>
              <w:tl2br w:val="nil"/>
              <w:tr2bl w:val="nil"/>
            </w:tcBorders>
            <w:textDirection w:val="lrTb"/>
            <w:vAlign w:val="center"/>
          </w:tcPr>
          <w:p w:rsidR="005F1CD3" w:rsidRPr="00A833D8" w:rsidP="00A16DF7">
            <w:pPr>
              <w:spacing w:line="240" w:lineRule="auto"/>
              <w:jc w:val="right"/>
              <w:rPr>
                <w:rFonts w:ascii="Arial Narrow" w:hAnsi="Arial Narrow" w:cs="Arial"/>
              </w:rPr>
            </w:pPr>
          </w:p>
        </w:tc>
      </w:tr>
      <w:tr>
        <w:tblPrEx>
          <w:tblW w:w="9387" w:type="dxa"/>
          <w:tblInd w:w="55" w:type="dxa"/>
          <w:tblCellMar>
            <w:left w:w="70" w:type="dxa"/>
            <w:right w:w="70" w:type="dxa"/>
          </w:tblCellMar>
        </w:tblPrEx>
        <w:trPr>
          <w:trHeight w:hRule="exact" w:val="284"/>
        </w:trPr>
        <w:tc>
          <w:tcPr>
            <w:tcW w:w="3075" w:type="dxa"/>
            <w:tcBorders>
              <w:top w:val="single" w:sz="4" w:space="0" w:color="auto"/>
              <w:left w:val="single" w:sz="12" w:space="0" w:color="auto"/>
              <w:bottom w:val="single" w:sz="4" w:space="0" w:color="auto"/>
              <w:right w:val="nil"/>
              <w:tl2br w:val="nil"/>
              <w:tr2bl w:val="nil"/>
            </w:tcBorders>
            <w:noWrap/>
            <w:textDirection w:val="lrTb"/>
            <w:vAlign w:val="center"/>
          </w:tcPr>
          <w:p w:rsidR="005F1CD3" w:rsidRPr="00A833D8" w:rsidP="00A16DF7">
            <w:pPr>
              <w:spacing w:line="240" w:lineRule="auto"/>
              <w:rPr>
                <w:rFonts w:ascii="Arial Narrow" w:hAnsi="Arial Narrow" w:cs="Arial"/>
              </w:rPr>
            </w:pPr>
            <w:r w:rsidRPr="00A833D8" w:rsidR="00B076A6">
              <w:rPr>
                <w:rFonts w:ascii="Arial Narrow" w:hAnsi="Arial Narrow" w:cs="Arial"/>
              </w:rPr>
              <w:t xml:space="preserve">Vnútorné </w:t>
            </w:r>
            <w:r w:rsidRPr="00A833D8">
              <w:rPr>
                <w:rFonts w:ascii="Arial Narrow" w:hAnsi="Arial Narrow" w:cs="Arial"/>
              </w:rPr>
              <w:t>RO MDPT SR č. 62</w:t>
            </w:r>
          </w:p>
        </w:tc>
        <w:tc>
          <w:tcPr>
            <w:tcW w:w="2005"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5F1CD3" w:rsidRPr="00A833D8" w:rsidP="00A16DF7">
            <w:pPr>
              <w:spacing w:line="240" w:lineRule="auto"/>
              <w:jc w:val="right"/>
              <w:rPr>
                <w:rFonts w:ascii="Arial Narrow" w:hAnsi="Arial Narrow" w:cs="Arial"/>
              </w:rPr>
            </w:pPr>
            <w:r w:rsidRPr="00A833D8">
              <w:rPr>
                <w:rFonts w:ascii="Arial Narrow" w:hAnsi="Arial Narrow" w:cs="Arial"/>
              </w:rPr>
              <w:t>125 609,78</w:t>
            </w:r>
          </w:p>
        </w:tc>
        <w:tc>
          <w:tcPr>
            <w:tcW w:w="2005" w:type="dxa"/>
            <w:tcBorders>
              <w:top w:val="single" w:sz="4" w:space="0" w:color="auto"/>
              <w:left w:val="nil"/>
              <w:bottom w:val="single" w:sz="4" w:space="0" w:color="auto"/>
              <w:right w:val="single" w:sz="4" w:space="0" w:color="auto"/>
              <w:tl2br w:val="nil"/>
              <w:tr2bl w:val="nil"/>
            </w:tcBorders>
            <w:noWrap/>
            <w:textDirection w:val="lrTb"/>
            <w:vAlign w:val="center"/>
          </w:tcPr>
          <w:p w:rsidR="005F1CD3" w:rsidRPr="00A833D8" w:rsidP="00A16DF7">
            <w:pPr>
              <w:spacing w:line="240" w:lineRule="auto"/>
              <w:ind w:left="-90"/>
              <w:jc w:val="right"/>
              <w:rPr>
                <w:rFonts w:ascii="Arial Narrow" w:hAnsi="Arial Narrow" w:cs="Arial"/>
              </w:rPr>
            </w:pPr>
            <w:r w:rsidRPr="00A833D8">
              <w:rPr>
                <w:rFonts w:ascii="Arial Narrow" w:hAnsi="Arial Narrow" w:cs="Arial"/>
              </w:rPr>
              <w:t xml:space="preserve">376 829,32             </w:t>
            </w:r>
          </w:p>
        </w:tc>
        <w:tc>
          <w:tcPr>
            <w:tcW w:w="1750" w:type="dxa"/>
            <w:tcBorders>
              <w:top w:val="single" w:sz="4" w:space="0" w:color="auto"/>
              <w:left w:val="nil"/>
              <w:bottom w:val="single" w:sz="4" w:space="0" w:color="auto"/>
              <w:right w:val="single" w:sz="12" w:space="0" w:color="auto"/>
              <w:tl2br w:val="nil"/>
              <w:tr2bl w:val="nil"/>
            </w:tcBorders>
            <w:noWrap/>
            <w:textDirection w:val="lrTb"/>
            <w:vAlign w:val="center"/>
          </w:tcPr>
          <w:p w:rsidR="005F1CD3" w:rsidRPr="00A833D8" w:rsidP="00A16DF7">
            <w:pPr>
              <w:spacing w:line="240" w:lineRule="auto"/>
              <w:jc w:val="right"/>
              <w:rPr>
                <w:rFonts w:ascii="Arial Narrow" w:hAnsi="Arial Narrow" w:cs="Arial"/>
              </w:rPr>
            </w:pPr>
            <w:r w:rsidRPr="00A833D8">
              <w:rPr>
                <w:rFonts w:ascii="Arial Narrow" w:hAnsi="Arial Narrow" w:cs="Arial"/>
              </w:rPr>
              <w:t>502 439,10</w:t>
            </w:r>
          </w:p>
        </w:tc>
        <w:tc>
          <w:tcPr>
            <w:tcW w:w="552" w:type="dxa"/>
            <w:tcBorders>
              <w:top w:val="nil"/>
              <w:left w:val="single" w:sz="12" w:space="0" w:color="auto"/>
              <w:bottom w:val="nil"/>
              <w:right w:val="nil"/>
              <w:tl2br w:val="nil"/>
              <w:tr2bl w:val="nil"/>
            </w:tcBorders>
            <w:textDirection w:val="lrTb"/>
            <w:vAlign w:val="center"/>
          </w:tcPr>
          <w:p w:rsidR="005F1CD3" w:rsidRPr="00A833D8" w:rsidP="00A16DF7">
            <w:pPr>
              <w:spacing w:line="240" w:lineRule="auto"/>
              <w:jc w:val="right"/>
              <w:rPr>
                <w:rFonts w:ascii="Arial Narrow" w:hAnsi="Arial Narrow" w:cs="Arial"/>
              </w:rPr>
            </w:pPr>
            <w:r w:rsidRPr="00A833D8">
              <w:rPr>
                <w:rFonts w:ascii="Arial Narrow" w:hAnsi="Arial Narrow" w:cs="Arial"/>
              </w:rPr>
              <w:t>SSC</w:t>
            </w:r>
          </w:p>
        </w:tc>
      </w:tr>
      <w:tr>
        <w:tblPrEx>
          <w:tblW w:w="9387" w:type="dxa"/>
          <w:tblInd w:w="55" w:type="dxa"/>
          <w:tblCellMar>
            <w:left w:w="70" w:type="dxa"/>
            <w:right w:w="70" w:type="dxa"/>
          </w:tblCellMar>
        </w:tblPrEx>
        <w:trPr>
          <w:trHeight w:hRule="exact" w:val="284"/>
        </w:trPr>
        <w:tc>
          <w:tcPr>
            <w:tcW w:w="3075" w:type="dxa"/>
            <w:tcBorders>
              <w:top w:val="single" w:sz="4" w:space="0" w:color="auto"/>
              <w:left w:val="single" w:sz="12" w:space="0" w:color="auto"/>
              <w:bottom w:val="single" w:sz="4" w:space="0" w:color="auto"/>
              <w:right w:val="nil"/>
              <w:tl2br w:val="nil"/>
              <w:tr2bl w:val="nil"/>
            </w:tcBorders>
            <w:noWrap/>
            <w:textDirection w:val="lrTb"/>
            <w:vAlign w:val="center"/>
          </w:tcPr>
          <w:p w:rsidR="005F1CD3" w:rsidRPr="00A833D8" w:rsidP="00A16DF7">
            <w:pPr>
              <w:spacing w:line="240" w:lineRule="auto"/>
              <w:rPr>
                <w:rFonts w:ascii="Arial Narrow" w:hAnsi="Arial Narrow" w:cs="Arial"/>
              </w:rPr>
            </w:pPr>
            <w:r w:rsidRPr="00A833D8" w:rsidR="00B076A6">
              <w:rPr>
                <w:rFonts w:ascii="Arial Narrow" w:hAnsi="Arial Narrow" w:cs="Arial"/>
              </w:rPr>
              <w:t xml:space="preserve">Vnútorné </w:t>
            </w:r>
            <w:r w:rsidRPr="00A833D8">
              <w:rPr>
                <w:rFonts w:ascii="Arial Narrow" w:hAnsi="Arial Narrow" w:cs="Arial"/>
              </w:rPr>
              <w:t>RO MDPT SR č. 67</w:t>
            </w:r>
          </w:p>
        </w:tc>
        <w:tc>
          <w:tcPr>
            <w:tcW w:w="2005"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5F1CD3" w:rsidRPr="00A833D8" w:rsidP="00A16DF7">
            <w:pPr>
              <w:spacing w:line="240" w:lineRule="auto"/>
              <w:jc w:val="right"/>
              <w:rPr>
                <w:rFonts w:ascii="Arial Narrow" w:hAnsi="Arial Narrow" w:cs="Arial"/>
              </w:rPr>
            </w:pPr>
            <w:r w:rsidRPr="00A833D8">
              <w:rPr>
                <w:rFonts w:ascii="Arial Narrow" w:hAnsi="Arial Narrow" w:cs="Arial"/>
              </w:rPr>
              <w:t>642 705,30</w:t>
            </w:r>
          </w:p>
        </w:tc>
        <w:tc>
          <w:tcPr>
            <w:tcW w:w="2005" w:type="dxa"/>
            <w:tcBorders>
              <w:top w:val="single" w:sz="4" w:space="0" w:color="auto"/>
              <w:left w:val="nil"/>
              <w:bottom w:val="single" w:sz="4" w:space="0" w:color="auto"/>
              <w:right w:val="single" w:sz="4" w:space="0" w:color="auto"/>
              <w:tl2br w:val="nil"/>
              <w:tr2bl w:val="nil"/>
            </w:tcBorders>
            <w:noWrap/>
            <w:textDirection w:val="lrTb"/>
            <w:vAlign w:val="center"/>
          </w:tcPr>
          <w:p w:rsidR="005F1CD3" w:rsidRPr="00A833D8" w:rsidP="00A16DF7">
            <w:pPr>
              <w:spacing w:line="240" w:lineRule="auto"/>
              <w:jc w:val="right"/>
              <w:rPr>
                <w:rFonts w:ascii="Arial Narrow" w:hAnsi="Arial Narrow" w:cs="Arial"/>
              </w:rPr>
            </w:pPr>
            <w:r w:rsidRPr="00A833D8">
              <w:rPr>
                <w:rFonts w:ascii="Arial Narrow" w:hAnsi="Arial Narrow" w:cs="Arial"/>
              </w:rPr>
              <w:t>1 928 115,90</w:t>
            </w:r>
          </w:p>
        </w:tc>
        <w:tc>
          <w:tcPr>
            <w:tcW w:w="1750" w:type="dxa"/>
            <w:tcBorders>
              <w:top w:val="single" w:sz="4" w:space="0" w:color="auto"/>
              <w:left w:val="nil"/>
              <w:bottom w:val="single" w:sz="4" w:space="0" w:color="auto"/>
              <w:right w:val="single" w:sz="12" w:space="0" w:color="auto"/>
              <w:tl2br w:val="nil"/>
              <w:tr2bl w:val="nil"/>
            </w:tcBorders>
            <w:noWrap/>
            <w:textDirection w:val="lrTb"/>
            <w:vAlign w:val="center"/>
          </w:tcPr>
          <w:p w:rsidR="005F1CD3" w:rsidRPr="00A833D8" w:rsidP="00A16DF7">
            <w:pPr>
              <w:spacing w:line="240" w:lineRule="auto"/>
              <w:jc w:val="right"/>
              <w:rPr>
                <w:rFonts w:ascii="Arial Narrow" w:hAnsi="Arial Narrow" w:cs="Arial"/>
              </w:rPr>
            </w:pPr>
            <w:r w:rsidRPr="00A833D8">
              <w:rPr>
                <w:rFonts w:ascii="Arial Narrow" w:hAnsi="Arial Narrow" w:cs="Arial"/>
              </w:rPr>
              <w:t>2 570 821,20</w:t>
            </w:r>
          </w:p>
        </w:tc>
        <w:tc>
          <w:tcPr>
            <w:tcW w:w="552" w:type="dxa"/>
            <w:tcBorders>
              <w:top w:val="nil"/>
              <w:left w:val="single" w:sz="12" w:space="0" w:color="auto"/>
              <w:bottom w:val="nil"/>
              <w:right w:val="nil"/>
              <w:tl2br w:val="nil"/>
              <w:tr2bl w:val="nil"/>
            </w:tcBorders>
            <w:textDirection w:val="lrTb"/>
            <w:vAlign w:val="center"/>
          </w:tcPr>
          <w:p w:rsidR="005F1CD3" w:rsidRPr="00A833D8" w:rsidP="00A16DF7">
            <w:pPr>
              <w:spacing w:line="240" w:lineRule="auto"/>
              <w:jc w:val="right"/>
              <w:rPr>
                <w:rFonts w:ascii="Arial Narrow" w:hAnsi="Arial Narrow" w:cs="Arial"/>
              </w:rPr>
            </w:pPr>
          </w:p>
        </w:tc>
      </w:tr>
      <w:tr>
        <w:tblPrEx>
          <w:tblW w:w="9387" w:type="dxa"/>
          <w:tblInd w:w="55" w:type="dxa"/>
          <w:tblCellMar>
            <w:left w:w="70" w:type="dxa"/>
            <w:right w:w="70" w:type="dxa"/>
          </w:tblCellMar>
        </w:tblPrEx>
        <w:trPr>
          <w:trHeight w:hRule="exact" w:val="284"/>
        </w:trPr>
        <w:tc>
          <w:tcPr>
            <w:tcW w:w="3075" w:type="dxa"/>
            <w:tcBorders>
              <w:top w:val="single" w:sz="4" w:space="0" w:color="auto"/>
              <w:left w:val="single" w:sz="12" w:space="0" w:color="auto"/>
              <w:bottom w:val="single" w:sz="4" w:space="0" w:color="auto"/>
              <w:right w:val="nil"/>
              <w:tl2br w:val="nil"/>
              <w:tr2bl w:val="nil"/>
            </w:tcBorders>
            <w:noWrap/>
            <w:textDirection w:val="lrTb"/>
            <w:vAlign w:val="center"/>
          </w:tcPr>
          <w:p w:rsidR="005F1CD3" w:rsidRPr="00A833D8" w:rsidP="00A16DF7">
            <w:pPr>
              <w:spacing w:line="240" w:lineRule="auto"/>
              <w:rPr>
                <w:rFonts w:ascii="Arial Narrow" w:hAnsi="Arial Narrow" w:cs="Arial"/>
              </w:rPr>
            </w:pPr>
            <w:r w:rsidRPr="00A833D8" w:rsidR="00B076A6">
              <w:rPr>
                <w:rFonts w:ascii="Arial Narrow" w:hAnsi="Arial Narrow" w:cs="Arial"/>
              </w:rPr>
              <w:t xml:space="preserve">Vnútorné </w:t>
            </w:r>
            <w:r w:rsidRPr="00A833D8">
              <w:rPr>
                <w:rFonts w:ascii="Arial Narrow" w:hAnsi="Arial Narrow" w:cs="Arial"/>
              </w:rPr>
              <w:t>RO MDPT SR č. 86</w:t>
            </w:r>
          </w:p>
        </w:tc>
        <w:tc>
          <w:tcPr>
            <w:tcW w:w="2005"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5F1CD3" w:rsidRPr="00A833D8" w:rsidP="00A16DF7">
            <w:pPr>
              <w:spacing w:line="240" w:lineRule="auto"/>
              <w:ind w:left="-58"/>
              <w:jc w:val="right"/>
              <w:rPr>
                <w:rFonts w:ascii="Arial Narrow" w:hAnsi="Arial Narrow" w:cs="Arial"/>
              </w:rPr>
            </w:pPr>
            <w:r w:rsidRPr="00A833D8">
              <w:rPr>
                <w:rFonts w:ascii="Arial Narrow" w:hAnsi="Arial Narrow" w:cs="Arial"/>
              </w:rPr>
              <w:t>747 002,36</w:t>
            </w:r>
          </w:p>
        </w:tc>
        <w:tc>
          <w:tcPr>
            <w:tcW w:w="2005" w:type="dxa"/>
            <w:tcBorders>
              <w:top w:val="single" w:sz="4" w:space="0" w:color="auto"/>
              <w:left w:val="nil"/>
              <w:bottom w:val="single" w:sz="4" w:space="0" w:color="auto"/>
              <w:right w:val="single" w:sz="4" w:space="0" w:color="auto"/>
              <w:tl2br w:val="nil"/>
              <w:tr2bl w:val="nil"/>
            </w:tcBorders>
            <w:noWrap/>
            <w:textDirection w:val="lrTb"/>
            <w:vAlign w:val="center"/>
          </w:tcPr>
          <w:p w:rsidR="005F1CD3" w:rsidRPr="00A833D8" w:rsidP="00A16DF7">
            <w:pPr>
              <w:spacing w:line="240" w:lineRule="auto"/>
              <w:ind w:left="-58"/>
              <w:jc w:val="right"/>
              <w:rPr>
                <w:rFonts w:ascii="Arial Narrow" w:hAnsi="Arial Narrow" w:cs="Arial"/>
              </w:rPr>
            </w:pPr>
            <w:r w:rsidRPr="00A833D8">
              <w:rPr>
                <w:rFonts w:ascii="Arial Narrow" w:hAnsi="Arial Narrow" w:cs="Arial"/>
              </w:rPr>
              <w:t>2 241 007,04</w:t>
            </w:r>
          </w:p>
        </w:tc>
        <w:tc>
          <w:tcPr>
            <w:tcW w:w="1750" w:type="dxa"/>
            <w:tcBorders>
              <w:top w:val="single" w:sz="4" w:space="0" w:color="auto"/>
              <w:left w:val="nil"/>
              <w:bottom w:val="single" w:sz="4" w:space="0" w:color="auto"/>
              <w:right w:val="single" w:sz="12" w:space="0" w:color="auto"/>
              <w:tl2br w:val="nil"/>
              <w:tr2bl w:val="nil"/>
            </w:tcBorders>
            <w:noWrap/>
            <w:textDirection w:val="lrTb"/>
            <w:vAlign w:val="center"/>
          </w:tcPr>
          <w:p w:rsidR="005F1CD3" w:rsidRPr="00A833D8" w:rsidP="00A16DF7">
            <w:pPr>
              <w:spacing w:line="240" w:lineRule="auto"/>
              <w:jc w:val="right"/>
              <w:rPr>
                <w:rFonts w:ascii="Arial Narrow" w:hAnsi="Arial Narrow" w:cs="Arial"/>
              </w:rPr>
            </w:pPr>
            <w:r w:rsidRPr="00A833D8">
              <w:rPr>
                <w:rFonts w:ascii="Arial Narrow" w:hAnsi="Arial Narrow" w:cs="Arial"/>
              </w:rPr>
              <w:t>2 988 009,40</w:t>
            </w:r>
          </w:p>
        </w:tc>
        <w:tc>
          <w:tcPr>
            <w:tcW w:w="552" w:type="dxa"/>
            <w:tcBorders>
              <w:top w:val="nil"/>
              <w:left w:val="single" w:sz="12" w:space="0" w:color="auto"/>
              <w:bottom w:val="nil"/>
              <w:right w:val="nil"/>
              <w:tl2br w:val="nil"/>
              <w:tr2bl w:val="nil"/>
            </w:tcBorders>
            <w:textDirection w:val="lrTb"/>
            <w:vAlign w:val="center"/>
          </w:tcPr>
          <w:p w:rsidR="005F1CD3" w:rsidRPr="00A833D8" w:rsidP="00A16DF7">
            <w:pPr>
              <w:spacing w:line="240" w:lineRule="auto"/>
              <w:jc w:val="right"/>
              <w:rPr>
                <w:rFonts w:ascii="Arial Narrow" w:hAnsi="Arial Narrow" w:cs="Arial"/>
              </w:rPr>
            </w:pPr>
          </w:p>
        </w:tc>
      </w:tr>
      <w:tr>
        <w:tblPrEx>
          <w:tblW w:w="9387" w:type="dxa"/>
          <w:tblInd w:w="55" w:type="dxa"/>
          <w:tblCellMar>
            <w:left w:w="70" w:type="dxa"/>
            <w:right w:w="70" w:type="dxa"/>
          </w:tblCellMar>
        </w:tblPrEx>
        <w:trPr>
          <w:trHeight w:hRule="exact" w:val="284"/>
        </w:trPr>
        <w:tc>
          <w:tcPr>
            <w:tcW w:w="3075" w:type="dxa"/>
            <w:tcBorders>
              <w:top w:val="single" w:sz="4" w:space="0" w:color="auto"/>
              <w:left w:val="single" w:sz="12" w:space="0" w:color="auto"/>
              <w:bottom w:val="single" w:sz="12" w:space="0" w:color="auto"/>
              <w:right w:val="nil"/>
              <w:tl2br w:val="nil"/>
              <w:tr2bl w:val="nil"/>
            </w:tcBorders>
            <w:noWrap/>
            <w:textDirection w:val="lrTb"/>
            <w:vAlign w:val="center"/>
          </w:tcPr>
          <w:p w:rsidR="005F1CD3" w:rsidRPr="00A833D8" w:rsidP="00A16DF7">
            <w:pPr>
              <w:spacing w:line="240" w:lineRule="auto"/>
              <w:rPr>
                <w:rFonts w:ascii="Arial Narrow" w:hAnsi="Arial Narrow" w:cs="Arial"/>
              </w:rPr>
            </w:pPr>
            <w:r w:rsidRPr="00A833D8" w:rsidR="00B076A6">
              <w:rPr>
                <w:rFonts w:ascii="Arial Narrow" w:hAnsi="Arial Narrow" w:cs="Arial"/>
              </w:rPr>
              <w:t xml:space="preserve">Vnútorné </w:t>
            </w:r>
            <w:r w:rsidRPr="00A833D8">
              <w:rPr>
                <w:rFonts w:ascii="Arial Narrow" w:hAnsi="Arial Narrow" w:cs="Arial"/>
              </w:rPr>
              <w:t>RO MDPT SR č. 87</w:t>
            </w:r>
          </w:p>
        </w:tc>
        <w:tc>
          <w:tcPr>
            <w:tcW w:w="2005" w:type="dxa"/>
            <w:tcBorders>
              <w:top w:val="single" w:sz="4" w:space="0" w:color="auto"/>
              <w:left w:val="single" w:sz="4" w:space="0" w:color="auto"/>
              <w:bottom w:val="single" w:sz="12" w:space="0" w:color="auto"/>
              <w:right w:val="single" w:sz="4" w:space="0" w:color="auto"/>
              <w:tl2br w:val="nil"/>
              <w:tr2bl w:val="nil"/>
            </w:tcBorders>
            <w:noWrap/>
            <w:textDirection w:val="lrTb"/>
            <w:vAlign w:val="center"/>
          </w:tcPr>
          <w:p w:rsidR="005F1CD3" w:rsidRPr="00A833D8" w:rsidP="00A16DF7">
            <w:pPr>
              <w:spacing w:line="240" w:lineRule="auto"/>
              <w:ind w:left="-58"/>
              <w:jc w:val="right"/>
              <w:rPr>
                <w:rFonts w:ascii="Arial Narrow" w:hAnsi="Arial Narrow" w:cs="Arial"/>
              </w:rPr>
            </w:pPr>
            <w:r w:rsidRPr="00A833D8">
              <w:rPr>
                <w:rFonts w:ascii="Arial Narrow" w:hAnsi="Arial Narrow" w:cs="Arial"/>
              </w:rPr>
              <w:t>134 325,00</w:t>
            </w:r>
          </w:p>
        </w:tc>
        <w:tc>
          <w:tcPr>
            <w:tcW w:w="2005" w:type="dxa"/>
            <w:tcBorders>
              <w:top w:val="single" w:sz="4" w:space="0" w:color="auto"/>
              <w:left w:val="nil"/>
              <w:bottom w:val="single" w:sz="12" w:space="0" w:color="auto"/>
              <w:right w:val="single" w:sz="4" w:space="0" w:color="auto"/>
              <w:tl2br w:val="nil"/>
              <w:tr2bl w:val="nil"/>
            </w:tcBorders>
            <w:noWrap/>
            <w:textDirection w:val="lrTb"/>
            <w:vAlign w:val="center"/>
          </w:tcPr>
          <w:p w:rsidR="005F1CD3" w:rsidRPr="00A833D8" w:rsidP="00A16DF7">
            <w:pPr>
              <w:spacing w:line="240" w:lineRule="auto"/>
              <w:ind w:left="-58"/>
              <w:jc w:val="right"/>
              <w:rPr>
                <w:rFonts w:ascii="Arial Narrow" w:hAnsi="Arial Narrow" w:cs="Arial"/>
              </w:rPr>
            </w:pPr>
            <w:r w:rsidRPr="00A833D8">
              <w:rPr>
                <w:rFonts w:ascii="Arial Narrow" w:hAnsi="Arial Narrow" w:cs="Arial"/>
              </w:rPr>
              <w:t>402 975,00</w:t>
            </w:r>
          </w:p>
        </w:tc>
        <w:tc>
          <w:tcPr>
            <w:tcW w:w="1750" w:type="dxa"/>
            <w:tcBorders>
              <w:top w:val="single" w:sz="4" w:space="0" w:color="auto"/>
              <w:left w:val="nil"/>
              <w:bottom w:val="single" w:sz="12" w:space="0" w:color="auto"/>
              <w:right w:val="single" w:sz="12" w:space="0" w:color="auto"/>
              <w:tl2br w:val="nil"/>
              <w:tr2bl w:val="nil"/>
            </w:tcBorders>
            <w:noWrap/>
            <w:textDirection w:val="lrTb"/>
            <w:vAlign w:val="center"/>
          </w:tcPr>
          <w:p w:rsidR="005F1CD3" w:rsidRPr="00A833D8" w:rsidP="00A16DF7">
            <w:pPr>
              <w:spacing w:line="240" w:lineRule="auto"/>
              <w:jc w:val="right"/>
              <w:rPr>
                <w:rFonts w:ascii="Arial Narrow" w:hAnsi="Arial Narrow" w:cs="Arial"/>
              </w:rPr>
            </w:pPr>
            <w:r w:rsidRPr="00A833D8">
              <w:rPr>
                <w:rFonts w:ascii="Arial Narrow" w:hAnsi="Arial Narrow" w:cs="Arial"/>
              </w:rPr>
              <w:t>537 300,00</w:t>
            </w:r>
          </w:p>
        </w:tc>
        <w:tc>
          <w:tcPr>
            <w:tcW w:w="552" w:type="dxa"/>
            <w:tcBorders>
              <w:top w:val="nil"/>
              <w:left w:val="single" w:sz="12" w:space="0" w:color="auto"/>
              <w:bottom w:val="nil"/>
              <w:right w:val="nil"/>
              <w:tl2br w:val="nil"/>
              <w:tr2bl w:val="nil"/>
            </w:tcBorders>
            <w:textDirection w:val="lrTb"/>
            <w:vAlign w:val="center"/>
          </w:tcPr>
          <w:p w:rsidR="005F1CD3" w:rsidRPr="00A833D8" w:rsidP="00A16DF7">
            <w:pPr>
              <w:spacing w:line="240" w:lineRule="auto"/>
              <w:jc w:val="right"/>
              <w:rPr>
                <w:rFonts w:ascii="Arial Narrow" w:hAnsi="Arial Narrow" w:cs="Arial"/>
              </w:rPr>
            </w:pPr>
            <w:r w:rsidRPr="00A833D8">
              <w:rPr>
                <w:rFonts w:ascii="Arial Narrow" w:hAnsi="Arial Narrow" w:cs="Arial"/>
              </w:rPr>
              <w:t>SSC</w:t>
            </w:r>
          </w:p>
        </w:tc>
      </w:tr>
      <w:tr>
        <w:tblPrEx>
          <w:tblW w:w="9387" w:type="dxa"/>
          <w:tblInd w:w="55" w:type="dxa"/>
          <w:tblCellMar>
            <w:left w:w="70" w:type="dxa"/>
            <w:right w:w="70" w:type="dxa"/>
          </w:tblCellMar>
        </w:tblPrEx>
        <w:trPr>
          <w:trHeight w:hRule="exact" w:val="284"/>
        </w:trPr>
        <w:tc>
          <w:tcPr>
            <w:tcW w:w="3075" w:type="dxa"/>
            <w:tcBorders>
              <w:top w:val="single" w:sz="12" w:space="0" w:color="auto"/>
              <w:left w:val="single" w:sz="12" w:space="0" w:color="auto"/>
              <w:bottom w:val="single" w:sz="12" w:space="0" w:color="auto"/>
              <w:right w:val="nil"/>
              <w:tl2br w:val="nil"/>
              <w:tr2bl w:val="nil"/>
            </w:tcBorders>
            <w:shd w:val="clear" w:color="auto" w:fill="C0C0C0"/>
            <w:noWrap/>
            <w:textDirection w:val="lrTb"/>
            <w:vAlign w:val="center"/>
          </w:tcPr>
          <w:p w:rsidR="005F1CD3" w:rsidRPr="004E6E99" w:rsidP="00A16DF7">
            <w:pPr>
              <w:spacing w:line="240" w:lineRule="auto"/>
              <w:rPr>
                <w:rFonts w:ascii="Arial Narrow" w:hAnsi="Arial Narrow" w:cs="Arial"/>
                <w:b/>
              </w:rPr>
            </w:pPr>
            <w:r w:rsidRPr="004E6E99">
              <w:rPr>
                <w:rFonts w:ascii="Arial Narrow" w:hAnsi="Arial Narrow" w:cs="Arial"/>
                <w:b/>
              </w:rPr>
              <w:t>S</w:t>
            </w:r>
            <w:r w:rsidRPr="004E6E99" w:rsidR="00B076A6">
              <w:rPr>
                <w:rFonts w:ascii="Arial Narrow" w:hAnsi="Arial Narrow" w:cs="Arial"/>
                <w:b/>
              </w:rPr>
              <w:t xml:space="preserve"> P O L U</w:t>
            </w:r>
          </w:p>
        </w:tc>
        <w:tc>
          <w:tcPr>
            <w:tcW w:w="2005" w:type="dxa"/>
            <w:tcBorders>
              <w:top w:val="single" w:sz="12" w:space="0" w:color="auto"/>
              <w:left w:val="single" w:sz="4" w:space="0" w:color="auto"/>
              <w:bottom w:val="single" w:sz="12" w:space="0" w:color="auto"/>
              <w:right w:val="single" w:sz="4" w:space="0" w:color="auto"/>
              <w:tl2br w:val="nil"/>
              <w:tr2bl w:val="nil"/>
            </w:tcBorders>
            <w:shd w:val="clear" w:color="auto" w:fill="C0C0C0"/>
            <w:noWrap/>
            <w:textDirection w:val="lrTb"/>
            <w:vAlign w:val="center"/>
          </w:tcPr>
          <w:p w:rsidR="005F1CD3" w:rsidRPr="004E6E99" w:rsidP="00A16DF7">
            <w:pPr>
              <w:spacing w:line="240" w:lineRule="auto"/>
              <w:ind w:left="-58"/>
              <w:jc w:val="right"/>
              <w:rPr>
                <w:rFonts w:ascii="Arial Narrow" w:hAnsi="Arial Narrow" w:cs="Arial"/>
                <w:b/>
              </w:rPr>
            </w:pPr>
            <w:r w:rsidRPr="004E6E99">
              <w:rPr>
                <w:rFonts w:ascii="Arial Narrow" w:hAnsi="Arial Narrow" w:cs="Arial"/>
                <w:b/>
              </w:rPr>
              <w:t>3 180 128,64</w:t>
            </w:r>
          </w:p>
        </w:tc>
        <w:tc>
          <w:tcPr>
            <w:tcW w:w="2005" w:type="dxa"/>
            <w:tcBorders>
              <w:top w:val="single" w:sz="12" w:space="0" w:color="auto"/>
              <w:left w:val="nil"/>
              <w:bottom w:val="single" w:sz="12" w:space="0" w:color="auto"/>
              <w:right w:val="single" w:sz="4" w:space="0" w:color="auto"/>
              <w:tl2br w:val="nil"/>
              <w:tr2bl w:val="nil"/>
            </w:tcBorders>
            <w:shd w:val="clear" w:color="auto" w:fill="C0C0C0"/>
            <w:noWrap/>
            <w:textDirection w:val="lrTb"/>
            <w:vAlign w:val="center"/>
          </w:tcPr>
          <w:p w:rsidR="005F1CD3" w:rsidRPr="004E6E99" w:rsidP="00A16DF7">
            <w:pPr>
              <w:spacing w:line="240" w:lineRule="auto"/>
              <w:ind w:left="-58"/>
              <w:jc w:val="right"/>
              <w:rPr>
                <w:rFonts w:ascii="Arial Narrow" w:hAnsi="Arial Narrow" w:cs="Arial"/>
                <w:b/>
              </w:rPr>
            </w:pPr>
            <w:r w:rsidRPr="004E6E99">
              <w:rPr>
                <w:rFonts w:ascii="Arial Narrow" w:hAnsi="Arial Narrow" w:cs="Arial"/>
                <w:b/>
              </w:rPr>
              <w:t>9 540 385,86</w:t>
            </w:r>
          </w:p>
        </w:tc>
        <w:tc>
          <w:tcPr>
            <w:tcW w:w="1750" w:type="dxa"/>
            <w:tcBorders>
              <w:top w:val="single" w:sz="12" w:space="0" w:color="auto"/>
              <w:left w:val="nil"/>
              <w:bottom w:val="single" w:sz="12" w:space="0" w:color="auto"/>
              <w:right w:val="single" w:sz="12" w:space="0" w:color="auto"/>
              <w:tl2br w:val="nil"/>
              <w:tr2bl w:val="nil"/>
            </w:tcBorders>
            <w:shd w:val="clear" w:color="auto" w:fill="C0C0C0"/>
            <w:noWrap/>
            <w:textDirection w:val="lrTb"/>
            <w:vAlign w:val="center"/>
          </w:tcPr>
          <w:p w:rsidR="005F1CD3" w:rsidRPr="004E6E99" w:rsidP="00A16DF7">
            <w:pPr>
              <w:spacing w:line="240" w:lineRule="auto"/>
              <w:jc w:val="right"/>
              <w:rPr>
                <w:rFonts w:ascii="Arial Narrow" w:hAnsi="Arial Narrow" w:cs="Arial"/>
                <w:b/>
              </w:rPr>
            </w:pPr>
            <w:r w:rsidRPr="004E6E99">
              <w:rPr>
                <w:rFonts w:ascii="Arial Narrow" w:hAnsi="Arial Narrow" w:cs="Arial"/>
                <w:b/>
              </w:rPr>
              <w:t>12 720 514,50</w:t>
            </w:r>
          </w:p>
        </w:tc>
        <w:tc>
          <w:tcPr>
            <w:tcW w:w="552" w:type="dxa"/>
            <w:tcBorders>
              <w:top w:val="nil"/>
              <w:left w:val="single" w:sz="12" w:space="0" w:color="auto"/>
              <w:bottom w:val="nil"/>
              <w:right w:val="nil"/>
              <w:tl2br w:val="nil"/>
              <w:tr2bl w:val="nil"/>
            </w:tcBorders>
            <w:textDirection w:val="lrTb"/>
            <w:vAlign w:val="center"/>
          </w:tcPr>
          <w:p w:rsidR="005F1CD3" w:rsidRPr="00A833D8" w:rsidP="00A16DF7">
            <w:pPr>
              <w:spacing w:line="240" w:lineRule="auto"/>
              <w:jc w:val="right"/>
              <w:rPr>
                <w:rFonts w:ascii="Arial Narrow" w:hAnsi="Arial Narrow" w:cs="Arial"/>
              </w:rPr>
            </w:pPr>
          </w:p>
        </w:tc>
      </w:tr>
    </w:tbl>
    <w:p w:rsidR="00680622" w:rsidP="002F64D6">
      <w:pPr>
        <w:tabs>
          <w:tab w:val="right" w:pos="3240"/>
          <w:tab w:val="right" w:pos="4500"/>
          <w:tab w:val="right" w:pos="7020"/>
          <w:tab w:val="right" w:pos="8280"/>
        </w:tabs>
        <w:spacing w:line="240" w:lineRule="auto"/>
        <w:rPr>
          <w:rFonts w:ascii="Times New Roman" w:hAnsi="Times New Roman" w:cs="Times New Roman"/>
          <w:sz w:val="24"/>
          <w:szCs w:val="24"/>
        </w:rPr>
      </w:pPr>
    </w:p>
    <w:p w:rsidR="003668E9" w:rsidP="00A16DF7">
      <w:pPr>
        <w:tabs>
          <w:tab w:val="right" w:pos="3240"/>
          <w:tab w:val="right" w:pos="4500"/>
          <w:tab w:val="right" w:pos="7020"/>
          <w:tab w:val="right" w:pos="8280"/>
        </w:tabs>
        <w:spacing w:line="240" w:lineRule="auto"/>
        <w:ind w:firstLine="720"/>
        <w:rPr>
          <w:rFonts w:ascii="Times New Roman" w:hAnsi="Times New Roman" w:cs="Times New Roman"/>
          <w:sz w:val="24"/>
          <w:szCs w:val="24"/>
        </w:rPr>
      </w:pPr>
    </w:p>
    <w:p w:rsidR="005F1CD3" w:rsidP="00A16DF7">
      <w:pPr>
        <w:tabs>
          <w:tab w:val="right" w:pos="3240"/>
          <w:tab w:val="right" w:pos="4500"/>
          <w:tab w:val="right" w:pos="7020"/>
          <w:tab w:val="right" w:pos="8280"/>
        </w:tabs>
        <w:spacing w:line="240" w:lineRule="auto"/>
        <w:ind w:firstLine="720"/>
        <w:rPr>
          <w:rFonts w:ascii="Times New Roman" w:hAnsi="Times New Roman" w:cs="Times New Roman"/>
          <w:sz w:val="24"/>
          <w:szCs w:val="24"/>
        </w:rPr>
      </w:pPr>
      <w:r w:rsidRPr="00B076A6">
        <w:rPr>
          <w:rFonts w:ascii="Times New Roman" w:hAnsi="Times New Roman" w:cs="Times New Roman"/>
          <w:sz w:val="24"/>
          <w:szCs w:val="24"/>
        </w:rPr>
        <w:t>Úrad MDPT SR z prostriedkov technickej asistencie vyčerpal mzdové prostriedky na oprávnených zamestnancov vo výške 11 680 775,40 Sk.</w:t>
      </w:r>
    </w:p>
    <w:p w:rsidR="00680622" w:rsidRPr="00680622" w:rsidP="002F64D6">
      <w:pPr>
        <w:tabs>
          <w:tab w:val="right" w:pos="3240"/>
          <w:tab w:val="right" w:pos="4500"/>
          <w:tab w:val="right" w:pos="7020"/>
          <w:tab w:val="right" w:pos="8280"/>
        </w:tabs>
        <w:spacing w:line="240" w:lineRule="auto"/>
        <w:rPr>
          <w:rFonts w:ascii="Times New Roman" w:hAnsi="Times New Roman" w:cs="Times New Roman"/>
          <w:sz w:val="24"/>
          <w:szCs w:val="24"/>
        </w:rPr>
      </w:pPr>
    </w:p>
    <w:p w:rsidR="003668E9" w:rsidP="00680622">
      <w:pPr>
        <w:adjustRightInd/>
        <w:spacing w:line="240" w:lineRule="auto"/>
        <w:ind w:left="360" w:firstLine="349"/>
        <w:jc w:val="left"/>
        <w:textAlignment w:val="auto"/>
        <w:rPr>
          <w:rFonts w:ascii="Times New Roman" w:hAnsi="Times New Roman" w:cs="Times New Roman"/>
          <w:b/>
          <w:sz w:val="26"/>
          <w:szCs w:val="26"/>
          <w:u w:val="single"/>
        </w:rPr>
      </w:pPr>
    </w:p>
    <w:p w:rsidR="0083073F" w:rsidRPr="00680622" w:rsidP="00680622">
      <w:pPr>
        <w:adjustRightInd/>
        <w:spacing w:line="240" w:lineRule="auto"/>
        <w:ind w:left="360" w:firstLine="349"/>
        <w:jc w:val="left"/>
        <w:textAlignment w:val="auto"/>
        <w:rPr>
          <w:rFonts w:ascii="Times New Roman" w:hAnsi="Times New Roman" w:cs="Times New Roman"/>
          <w:b/>
          <w:bCs/>
          <w:sz w:val="26"/>
          <w:szCs w:val="26"/>
          <w:u w:val="single"/>
        </w:rPr>
      </w:pPr>
      <w:r w:rsidRPr="00680622" w:rsidR="00680622">
        <w:rPr>
          <w:rFonts w:ascii="Times New Roman" w:hAnsi="Times New Roman" w:cs="Times New Roman"/>
          <w:b/>
          <w:sz w:val="26"/>
          <w:szCs w:val="26"/>
          <w:u w:val="single"/>
        </w:rPr>
        <w:t xml:space="preserve">C. </w:t>
      </w:r>
      <w:r w:rsidRPr="00680622">
        <w:rPr>
          <w:rFonts w:ascii="Times New Roman" w:hAnsi="Times New Roman" w:cs="Times New Roman"/>
          <w:b/>
          <w:sz w:val="26"/>
          <w:szCs w:val="26"/>
          <w:u w:val="single"/>
        </w:rPr>
        <w:t>Zabezpečenie plnenia úlohy C. 15 uznesenia vlády SR č. 856/2006</w:t>
      </w:r>
    </w:p>
    <w:p w:rsidR="0083073F" w:rsidP="0083073F">
      <w:pPr>
        <w:spacing w:line="240" w:lineRule="auto"/>
        <w:rPr>
          <w:rFonts w:ascii="Times New Roman" w:hAnsi="Times New Roman" w:cs="Times New Roman"/>
          <w:b/>
          <w:bCs/>
          <w:sz w:val="24"/>
          <w:szCs w:val="24"/>
        </w:rPr>
      </w:pPr>
    </w:p>
    <w:p w:rsidR="00680622" w:rsidRPr="0083073F" w:rsidP="0083073F">
      <w:pPr>
        <w:spacing w:line="240" w:lineRule="auto"/>
        <w:rPr>
          <w:rFonts w:ascii="Times New Roman" w:hAnsi="Times New Roman" w:cs="Times New Roman"/>
          <w:b/>
          <w:bCs/>
          <w:sz w:val="24"/>
          <w:szCs w:val="24"/>
        </w:rPr>
      </w:pPr>
    </w:p>
    <w:p w:rsidR="00680622" w:rsidP="00680622">
      <w:pPr>
        <w:tabs>
          <w:tab w:val="right" w:pos="3240"/>
          <w:tab w:val="right" w:pos="4500"/>
          <w:tab w:val="right" w:pos="7020"/>
          <w:tab w:val="right" w:pos="8280"/>
        </w:tabs>
        <w:spacing w:line="240" w:lineRule="auto"/>
        <w:ind w:firstLine="720"/>
        <w:rPr>
          <w:rFonts w:ascii="Times New Roman" w:hAnsi="Times New Roman" w:cs="Times New Roman"/>
          <w:sz w:val="24"/>
          <w:szCs w:val="24"/>
        </w:rPr>
      </w:pPr>
      <w:r w:rsidRPr="0083073F" w:rsidR="0083073F">
        <w:rPr>
          <w:rFonts w:ascii="Times New Roman" w:hAnsi="Times New Roman" w:cs="Times New Roman"/>
          <w:sz w:val="24"/>
          <w:szCs w:val="24"/>
        </w:rPr>
        <w:t>MDPT SR na zabezpečenie úloh vyplývajúcich z uznese</w:t>
      </w:r>
      <w:r>
        <w:rPr>
          <w:rFonts w:ascii="Times New Roman" w:hAnsi="Times New Roman" w:cs="Times New Roman"/>
          <w:sz w:val="24"/>
          <w:szCs w:val="24"/>
        </w:rPr>
        <w:t xml:space="preserve">ní vlády SR č. 856/2006 bodu C. 15 a č. </w:t>
      </w:r>
      <w:r w:rsidRPr="0083073F" w:rsidR="0083073F">
        <w:rPr>
          <w:rFonts w:ascii="Times New Roman" w:hAnsi="Times New Roman" w:cs="Times New Roman"/>
          <w:sz w:val="24"/>
          <w:szCs w:val="24"/>
        </w:rPr>
        <w:t>1058/2006 vypracovalo Akčný plán, v ktorom stanovilo východiská, ciele a zamer</w:t>
      </w:r>
      <w:r>
        <w:rPr>
          <w:rFonts w:ascii="Times New Roman" w:hAnsi="Times New Roman" w:cs="Times New Roman"/>
          <w:sz w:val="24"/>
          <w:szCs w:val="24"/>
        </w:rPr>
        <w:t xml:space="preserve">anie analýzy činností v rezorte, </w:t>
      </w:r>
      <w:r w:rsidRPr="0083073F" w:rsidR="0083073F">
        <w:rPr>
          <w:rFonts w:ascii="Times New Roman" w:hAnsi="Times New Roman" w:cs="Times New Roman"/>
          <w:sz w:val="24"/>
          <w:szCs w:val="24"/>
        </w:rPr>
        <w:t>ako aj vecný a časový harmonogram. Zo znižovania zamestnancov MDPT SR navrhlo vyčleniť príslušníkov Železničnej polície a zamestnancov zodpovedných za čerpanie fondov EÚ.</w:t>
      </w:r>
    </w:p>
    <w:p w:rsidR="003668E9" w:rsidRPr="0083073F" w:rsidP="00680622">
      <w:pPr>
        <w:tabs>
          <w:tab w:val="right" w:pos="3240"/>
          <w:tab w:val="right" w:pos="4500"/>
          <w:tab w:val="right" w:pos="7020"/>
          <w:tab w:val="right" w:pos="8280"/>
        </w:tabs>
        <w:spacing w:line="240" w:lineRule="auto"/>
        <w:ind w:firstLine="720"/>
        <w:rPr>
          <w:rFonts w:ascii="Times New Roman" w:hAnsi="Times New Roman" w:cs="Times New Roman"/>
          <w:sz w:val="24"/>
          <w:szCs w:val="24"/>
        </w:rPr>
      </w:pPr>
    </w:p>
    <w:p w:rsidR="003668E9" w:rsidP="0083073F">
      <w:pPr>
        <w:tabs>
          <w:tab w:val="right" w:pos="3240"/>
          <w:tab w:val="right" w:pos="4500"/>
          <w:tab w:val="right" w:pos="7020"/>
          <w:tab w:val="right" w:pos="8280"/>
        </w:tabs>
        <w:spacing w:line="240" w:lineRule="auto"/>
        <w:ind w:firstLine="720"/>
        <w:rPr>
          <w:rFonts w:ascii="Times New Roman" w:hAnsi="Times New Roman" w:cs="Times New Roman"/>
          <w:sz w:val="24"/>
          <w:szCs w:val="24"/>
        </w:rPr>
      </w:pPr>
      <w:r w:rsidR="00680622">
        <w:rPr>
          <w:rFonts w:ascii="Times New Roman" w:hAnsi="Times New Roman" w:cs="Times New Roman"/>
          <w:sz w:val="24"/>
          <w:szCs w:val="24"/>
        </w:rPr>
        <w:t xml:space="preserve">MDPT SR, </w:t>
      </w:r>
      <w:r w:rsidRPr="0083073F" w:rsidR="0083073F">
        <w:rPr>
          <w:rFonts w:ascii="Times New Roman" w:hAnsi="Times New Roman" w:cs="Times New Roman"/>
          <w:sz w:val="24"/>
          <w:szCs w:val="24"/>
        </w:rPr>
        <w:t>ako aj organizác</w:t>
      </w:r>
      <w:r w:rsidR="00680622">
        <w:rPr>
          <w:rFonts w:ascii="Times New Roman" w:hAnsi="Times New Roman" w:cs="Times New Roman"/>
          <w:sz w:val="24"/>
          <w:szCs w:val="24"/>
        </w:rPr>
        <w:t xml:space="preserve">ie v rámci rozpočtovej kapitoly, </w:t>
      </w:r>
      <w:r w:rsidRPr="0083073F" w:rsidR="0083073F">
        <w:rPr>
          <w:rFonts w:ascii="Times New Roman" w:hAnsi="Times New Roman" w:cs="Times New Roman"/>
          <w:sz w:val="24"/>
          <w:szCs w:val="24"/>
        </w:rPr>
        <w:t>zodpovedne pristúpili k racionalizácii činností a optimalizácii počtu zamestnancov. MDPT SR zrušilo príspevkovú organizáciu ÚCD a rozpočtovú organizáciu Technická ochrana a obnova železn</w:t>
      </w:r>
      <w:r w:rsidR="00E24794">
        <w:rPr>
          <w:rFonts w:ascii="Times New Roman" w:hAnsi="Times New Roman" w:cs="Times New Roman"/>
          <w:sz w:val="24"/>
          <w:szCs w:val="24"/>
        </w:rPr>
        <w:t xml:space="preserve">íc. Prehodnotenie úloh súvisiacich </w:t>
      </w:r>
      <w:r w:rsidRPr="0083073F" w:rsidR="0083073F">
        <w:rPr>
          <w:rFonts w:ascii="Times New Roman" w:hAnsi="Times New Roman" w:cs="Times New Roman"/>
          <w:sz w:val="24"/>
          <w:szCs w:val="24"/>
        </w:rPr>
        <w:t>s preberaním smerníc ES, so zabezpečovaním vykonateľnosti nariadení ES, ako aj so zabezpečovaním úloh vyplývajúcich z medzinárodných zmlúv a dohovorov a Programového vyhlásenia vlády SR v oblasti verejnej správy v rezorte dopravy, pôšt a</w:t>
      </w:r>
      <w:r w:rsidR="00680622">
        <w:rPr>
          <w:rFonts w:ascii="Times New Roman" w:hAnsi="Times New Roman" w:cs="Times New Roman"/>
          <w:sz w:val="24"/>
          <w:szCs w:val="24"/>
        </w:rPr>
        <w:t xml:space="preserve"> telekomunikácií, </w:t>
      </w:r>
      <w:r w:rsidRPr="0083073F" w:rsidR="0083073F">
        <w:rPr>
          <w:rFonts w:ascii="Times New Roman" w:hAnsi="Times New Roman" w:cs="Times New Roman"/>
          <w:sz w:val="24"/>
          <w:szCs w:val="24"/>
        </w:rPr>
        <w:t xml:space="preserve">umožnili znížiť počty zamestnancov v rámci rozpočtovej kapitoly MDPT SR </w:t>
      </w:r>
      <w:r w:rsidRPr="00680622" w:rsidR="0083073F">
        <w:rPr>
          <w:rFonts w:ascii="Times New Roman" w:hAnsi="Times New Roman" w:cs="Times New Roman"/>
          <w:sz w:val="24"/>
          <w:szCs w:val="24"/>
          <w:u w:val="single"/>
        </w:rPr>
        <w:t>s prihliadnutím na individuálne potreby rozpočtových organizácií</w:t>
      </w:r>
      <w:r w:rsidRPr="0083073F" w:rsidR="0083073F">
        <w:rPr>
          <w:rFonts w:ascii="Times New Roman" w:hAnsi="Times New Roman" w:cs="Times New Roman"/>
          <w:sz w:val="24"/>
          <w:szCs w:val="24"/>
        </w:rPr>
        <w:t xml:space="preserve">. </w:t>
      </w:r>
    </w:p>
    <w:p w:rsidR="003668E9" w:rsidP="0083073F">
      <w:pPr>
        <w:tabs>
          <w:tab w:val="right" w:pos="3240"/>
          <w:tab w:val="right" w:pos="4500"/>
          <w:tab w:val="right" w:pos="7020"/>
          <w:tab w:val="right" w:pos="8280"/>
        </w:tabs>
        <w:spacing w:line="240" w:lineRule="auto"/>
        <w:ind w:firstLine="720"/>
        <w:rPr>
          <w:rFonts w:ascii="Times New Roman" w:hAnsi="Times New Roman" w:cs="Times New Roman"/>
          <w:sz w:val="24"/>
          <w:szCs w:val="24"/>
        </w:rPr>
      </w:pPr>
    </w:p>
    <w:p w:rsidR="0083073F" w:rsidRPr="0083073F" w:rsidP="0083073F">
      <w:pPr>
        <w:tabs>
          <w:tab w:val="right" w:pos="3240"/>
          <w:tab w:val="right" w:pos="4500"/>
          <w:tab w:val="right" w:pos="7020"/>
          <w:tab w:val="right" w:pos="8280"/>
        </w:tabs>
        <w:spacing w:line="240" w:lineRule="auto"/>
        <w:ind w:firstLine="720"/>
        <w:rPr>
          <w:rFonts w:ascii="Times New Roman" w:hAnsi="Times New Roman" w:cs="Times New Roman"/>
          <w:sz w:val="24"/>
          <w:szCs w:val="24"/>
        </w:rPr>
      </w:pPr>
      <w:r w:rsidRPr="0083073F">
        <w:rPr>
          <w:rFonts w:ascii="Times New Roman" w:hAnsi="Times New Roman" w:cs="Times New Roman"/>
          <w:sz w:val="24"/>
          <w:szCs w:val="24"/>
        </w:rPr>
        <w:t>Celkové zníženie počtu zamestnancov za kapitolu MDPT SR je 173</w:t>
      </w:r>
      <w:r w:rsidR="00680622">
        <w:rPr>
          <w:rFonts w:ascii="Times New Roman" w:hAnsi="Times New Roman" w:cs="Times New Roman"/>
          <w:sz w:val="24"/>
          <w:szCs w:val="24"/>
        </w:rPr>
        <w:t xml:space="preserve">, </w:t>
      </w:r>
      <w:r w:rsidRPr="0083073F">
        <w:rPr>
          <w:rFonts w:ascii="Times New Roman" w:hAnsi="Times New Roman" w:cs="Times New Roman"/>
          <w:sz w:val="24"/>
          <w:szCs w:val="24"/>
        </w:rPr>
        <w:t>čo predstavuje 10 % (bez príslušníkov ŽP a zamestnancov zodpovedných za čerpanie fondov EÚ).</w:t>
      </w:r>
    </w:p>
    <w:p w:rsidR="00EB5B79" w:rsidP="00B076A6">
      <w:pPr>
        <w:spacing w:line="240" w:lineRule="auto"/>
        <w:rPr>
          <w:rFonts w:ascii="Times New Roman" w:hAnsi="Times New Roman" w:cs="Times New Roman"/>
          <w:sz w:val="26"/>
        </w:rPr>
      </w:pPr>
    </w:p>
    <w:p w:rsidR="00853F9C" w:rsidP="00B076A6">
      <w:pPr>
        <w:spacing w:line="240" w:lineRule="auto"/>
        <w:rPr>
          <w:rFonts w:ascii="Times New Roman" w:hAnsi="Times New Roman" w:cs="Times New Roman"/>
          <w:sz w:val="26"/>
        </w:rPr>
      </w:pPr>
    </w:p>
    <w:p w:rsidR="00680622" w:rsidRPr="00D23807" w:rsidP="00B076A6">
      <w:pPr>
        <w:spacing w:line="240" w:lineRule="auto"/>
        <w:rPr>
          <w:rFonts w:ascii="Times New Roman" w:hAnsi="Times New Roman" w:cs="Times New Roman"/>
          <w:sz w:val="26"/>
        </w:rPr>
      </w:pPr>
    </w:p>
    <w:p w:rsidR="00405552" w:rsidRPr="00EE757E" w:rsidP="00EE757E">
      <w:pPr>
        <w:pStyle w:val="BodyTextIndent"/>
        <w:numPr>
          <w:ilvl w:val="1"/>
          <w:numId w:val="9"/>
        </w:numPr>
        <w:pBdr>
          <w:top w:val="threeDEmboss" w:sz="24" w:space="1" w:color="auto"/>
          <w:left w:val="threeDEmboss" w:sz="24" w:space="4" w:color="auto"/>
          <w:bottom w:val="threeDEmboss" w:sz="24" w:space="1" w:color="auto"/>
          <w:right w:val="threeDEmboss" w:sz="24" w:space="4" w:color="auto"/>
        </w:pBdr>
        <w:shd w:val="pct15" w:color="000000" w:fill="FFFFFF"/>
        <w:tabs>
          <w:tab w:val="left" w:pos="900"/>
        </w:tabs>
        <w:spacing w:line="240" w:lineRule="auto"/>
        <w:jc w:val="center"/>
        <w:rPr>
          <w:rFonts w:ascii="Times New Roman" w:hAnsi="Times New Roman" w:cs="Times New Roman"/>
          <w:b/>
          <w:sz w:val="32"/>
          <w:szCs w:val="32"/>
        </w:rPr>
      </w:pPr>
      <w:r w:rsidRPr="00EE757E" w:rsidR="000E74E9">
        <w:rPr>
          <w:rFonts w:ascii="Times New Roman" w:hAnsi="Times New Roman" w:cs="Times New Roman"/>
          <w:b/>
          <w:sz w:val="32"/>
          <w:szCs w:val="32"/>
        </w:rPr>
        <w:t>Zhodnotenie výsledkov kontrol</w:t>
      </w:r>
    </w:p>
    <w:p w:rsidR="00405552" w:rsidRPr="00405552" w:rsidP="00405552">
      <w:pPr>
        <w:pStyle w:val="Heading3"/>
        <w:rPr>
          <w:rFonts w:ascii="Times New Roman" w:hAnsi="Times New Roman" w:cs="Times New Roman"/>
          <w:caps/>
        </w:rPr>
      </w:pPr>
      <w:r w:rsidRPr="00405552">
        <w:rPr>
          <w:rFonts w:ascii="Times New Roman" w:hAnsi="Times New Roman" w:cs="Times New Roman"/>
          <w:caps/>
        </w:rPr>
        <w:t>A. Vonkajšie kontroly VYKONANÉ na úrade MDPT SR</w:t>
      </w:r>
    </w:p>
    <w:p w:rsidR="00A82B43" w:rsidRPr="00405552" w:rsidP="00405552">
      <w:pPr>
        <w:rPr>
          <w:rFonts w:ascii="Times New Roman" w:hAnsi="Times New Roman" w:cs="Times New Roman"/>
        </w:rPr>
      </w:pPr>
    </w:p>
    <w:p w:rsidR="00405552" w:rsidP="00405552">
      <w:pPr>
        <w:spacing w:line="24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A.1. </w:t>
      </w:r>
      <w:r w:rsidRPr="00405552">
        <w:rPr>
          <w:rFonts w:ascii="Times New Roman" w:hAnsi="Times New Roman" w:cs="Times New Roman"/>
          <w:b/>
          <w:sz w:val="24"/>
          <w:szCs w:val="24"/>
          <w:u w:val="single"/>
        </w:rPr>
        <w:t>Kontroly vykonané z úrovne Najvyššieho kontrolného úradu SR (NKÚ SR)</w:t>
      </w:r>
    </w:p>
    <w:p w:rsidR="00405552" w:rsidRPr="00405552" w:rsidP="00405552">
      <w:pPr>
        <w:spacing w:line="240" w:lineRule="auto"/>
        <w:ind w:left="360"/>
        <w:rPr>
          <w:rFonts w:ascii="Times New Roman" w:hAnsi="Times New Roman" w:cs="Times New Roman"/>
          <w:sz w:val="24"/>
          <w:szCs w:val="24"/>
        </w:rPr>
      </w:pPr>
    </w:p>
    <w:p w:rsidR="00405552" w:rsidRPr="00405552" w:rsidP="001654CB">
      <w:pPr>
        <w:numPr>
          <w:ilvl w:val="0"/>
          <w:numId w:val="23"/>
        </w:numPr>
        <w:tabs>
          <w:tab w:val="left" w:pos="360"/>
          <w:tab w:val="clear" w:pos="720"/>
        </w:tabs>
        <w:adjustRightInd/>
        <w:spacing w:line="240" w:lineRule="auto"/>
        <w:ind w:left="360"/>
        <w:textAlignment w:val="auto"/>
        <w:rPr>
          <w:rFonts w:ascii="Times New Roman" w:hAnsi="Times New Roman" w:cs="Times New Roman"/>
          <w:b/>
          <w:sz w:val="24"/>
          <w:szCs w:val="24"/>
        </w:rPr>
      </w:pPr>
      <w:r w:rsidRPr="00405552">
        <w:rPr>
          <w:rFonts w:ascii="Times New Roman" w:hAnsi="Times New Roman" w:cs="Times New Roman"/>
          <w:b/>
          <w:sz w:val="24"/>
          <w:szCs w:val="24"/>
        </w:rPr>
        <w:t>Kontrola správnosti zostavenia záverečného účtu rozpočtovej kapitoly MDPT SR za rok 2006</w:t>
      </w:r>
    </w:p>
    <w:p w:rsidR="00405552" w:rsidP="00405552">
      <w:pPr>
        <w:pStyle w:val="Heading4"/>
        <w:spacing w:line="240" w:lineRule="auto"/>
        <w:ind w:hanging="180"/>
        <w:rPr>
          <w:rFonts w:ascii="Times New Roman" w:hAnsi="Times New Roman" w:cs="Times New Roman"/>
          <w:b/>
          <w:szCs w:val="24"/>
        </w:rPr>
      </w:pPr>
      <w:r w:rsidRPr="00405552">
        <w:rPr>
          <w:rFonts w:ascii="Times New Roman" w:hAnsi="Times New Roman" w:cs="Times New Roman"/>
          <w:b/>
          <w:szCs w:val="24"/>
        </w:rPr>
        <w:t xml:space="preserve">  </w:t>
        <w:tab/>
      </w:r>
    </w:p>
    <w:p w:rsidR="00405552" w:rsidP="0045461A">
      <w:pPr>
        <w:pStyle w:val="Heading4"/>
        <w:spacing w:line="240" w:lineRule="auto"/>
        <w:ind w:firstLine="709"/>
        <w:rPr>
          <w:rFonts w:ascii="Times New Roman" w:hAnsi="Times New Roman" w:cs="Times New Roman"/>
          <w:szCs w:val="24"/>
        </w:rPr>
      </w:pPr>
      <w:r w:rsidRPr="00405552">
        <w:rPr>
          <w:rFonts w:ascii="Times New Roman" w:hAnsi="Times New Roman" w:cs="Times New Roman"/>
          <w:szCs w:val="24"/>
        </w:rPr>
        <w:t>Kontrola bola vykonaná  na základe poverenia predsedu NKÚ SR č.</w:t>
      </w:r>
      <w:r w:rsidR="00F1695C">
        <w:rPr>
          <w:rFonts w:ascii="Times New Roman" w:hAnsi="Times New Roman" w:cs="Times New Roman"/>
          <w:szCs w:val="24"/>
        </w:rPr>
        <w:t xml:space="preserve"> 1217 zo dňa 07.03.2007. Cieľom </w:t>
      </w:r>
      <w:r w:rsidRPr="00405552">
        <w:rPr>
          <w:rFonts w:ascii="Times New Roman" w:hAnsi="Times New Roman" w:cs="Times New Roman"/>
          <w:szCs w:val="24"/>
        </w:rPr>
        <w:t>kontroly bolo preveriť správnosť zostavenia a overiť preukázateľnosť údajov záverečného účtu rozpočtovej kapitoly MDPT SR za rok 2006.</w:t>
      </w:r>
    </w:p>
    <w:p w:rsidR="001221BA" w:rsidRPr="00405552" w:rsidP="00405552">
      <w:pPr>
        <w:rPr>
          <w:rFonts w:ascii="Times New Roman" w:hAnsi="Times New Roman" w:cs="Times New Roman"/>
        </w:rPr>
      </w:pPr>
    </w:p>
    <w:p w:rsidR="00405552" w:rsidP="00405552">
      <w:pPr>
        <w:pStyle w:val="BodyTextIndent"/>
        <w:spacing w:line="240" w:lineRule="auto"/>
        <w:ind w:firstLine="0"/>
        <w:rPr>
          <w:rFonts w:ascii="Times New Roman" w:hAnsi="Times New Roman" w:cs="Times New Roman"/>
          <w:b/>
          <w:sz w:val="24"/>
          <w:szCs w:val="24"/>
        </w:rPr>
      </w:pPr>
      <w:r w:rsidRPr="00405552">
        <w:rPr>
          <w:rFonts w:ascii="Times New Roman" w:hAnsi="Times New Roman" w:cs="Times New Roman"/>
          <w:b/>
          <w:sz w:val="24"/>
          <w:szCs w:val="24"/>
        </w:rPr>
        <w:t>Kontrolou boli zistené nasledovné nedostatky v oblasti verejného obstarávania:</w:t>
      </w:r>
    </w:p>
    <w:p w:rsidR="00405552" w:rsidRPr="00405552" w:rsidP="00405552">
      <w:pPr>
        <w:pStyle w:val="BodyTextIndent"/>
        <w:spacing w:line="240" w:lineRule="auto"/>
        <w:ind w:firstLine="0"/>
        <w:rPr>
          <w:rFonts w:ascii="Times New Roman" w:hAnsi="Times New Roman" w:cs="Times New Roman"/>
          <w:b/>
          <w:sz w:val="24"/>
          <w:szCs w:val="24"/>
        </w:rPr>
      </w:pPr>
    </w:p>
    <w:p w:rsidR="00405552" w:rsidP="001654CB">
      <w:pPr>
        <w:numPr>
          <w:ilvl w:val="0"/>
          <w:numId w:val="6"/>
        </w:numPr>
        <w:tabs>
          <w:tab w:val="left" w:pos="0"/>
          <w:tab w:val="clear" w:pos="1065"/>
        </w:tabs>
        <w:adjustRightInd/>
        <w:spacing w:line="240" w:lineRule="auto"/>
        <w:ind w:left="360"/>
        <w:textAlignment w:val="auto"/>
        <w:rPr>
          <w:rFonts w:ascii="Times New Roman" w:hAnsi="Times New Roman" w:cs="Times New Roman"/>
          <w:sz w:val="24"/>
          <w:szCs w:val="24"/>
        </w:rPr>
      </w:pPr>
      <w:r w:rsidR="00F1695C">
        <w:rPr>
          <w:rFonts w:ascii="Times New Roman" w:hAnsi="Times New Roman" w:cs="Times New Roman"/>
          <w:sz w:val="24"/>
          <w:szCs w:val="24"/>
        </w:rPr>
        <w:t>n</w:t>
      </w:r>
      <w:r w:rsidRPr="00405552">
        <w:rPr>
          <w:rFonts w:ascii="Times New Roman" w:hAnsi="Times New Roman" w:cs="Times New Roman"/>
          <w:sz w:val="24"/>
          <w:szCs w:val="24"/>
        </w:rPr>
        <w:t>eprevzatie menovacieho dekrétu a nepodpísanie čestného vyhlá</w:t>
      </w:r>
      <w:r>
        <w:rPr>
          <w:rFonts w:ascii="Times New Roman" w:hAnsi="Times New Roman" w:cs="Times New Roman"/>
          <w:sz w:val="24"/>
          <w:szCs w:val="24"/>
        </w:rPr>
        <w:t xml:space="preserve">senia jedného člena komisie na </w:t>
      </w:r>
      <w:r w:rsidRPr="00405552">
        <w:rPr>
          <w:rFonts w:ascii="Times New Roman" w:hAnsi="Times New Roman" w:cs="Times New Roman"/>
          <w:sz w:val="24"/>
          <w:szCs w:val="24"/>
        </w:rPr>
        <w:t>posúdenie splnenia podmienok účasti a vyh</w:t>
      </w:r>
      <w:r w:rsidR="00EB388D">
        <w:rPr>
          <w:rFonts w:ascii="Times New Roman" w:hAnsi="Times New Roman" w:cs="Times New Roman"/>
          <w:sz w:val="24"/>
          <w:szCs w:val="24"/>
        </w:rPr>
        <w:t>odnotenia ponúk v jednej súťaži;</w:t>
      </w:r>
    </w:p>
    <w:p w:rsidR="00405552" w:rsidP="001654CB">
      <w:pPr>
        <w:numPr>
          <w:ilvl w:val="0"/>
          <w:numId w:val="6"/>
        </w:numPr>
        <w:tabs>
          <w:tab w:val="left" w:pos="0"/>
          <w:tab w:val="clear" w:pos="1065"/>
        </w:tabs>
        <w:adjustRightInd/>
        <w:spacing w:line="240" w:lineRule="auto"/>
        <w:ind w:left="360"/>
        <w:textAlignment w:val="auto"/>
        <w:rPr>
          <w:rFonts w:ascii="Times New Roman" w:hAnsi="Times New Roman" w:cs="Times New Roman"/>
          <w:sz w:val="24"/>
          <w:szCs w:val="24"/>
        </w:rPr>
      </w:pPr>
      <w:r w:rsidR="00F1695C">
        <w:rPr>
          <w:rFonts w:ascii="Times New Roman" w:hAnsi="Times New Roman" w:cs="Times New Roman"/>
          <w:sz w:val="24"/>
          <w:szCs w:val="24"/>
        </w:rPr>
        <w:t>n</w:t>
      </w:r>
      <w:r w:rsidRPr="00405552">
        <w:rPr>
          <w:rFonts w:ascii="Times New Roman" w:hAnsi="Times New Roman" w:cs="Times New Roman"/>
          <w:sz w:val="24"/>
          <w:szCs w:val="24"/>
        </w:rPr>
        <w:t>euhradenie jednej dodávateľskej faktú</w:t>
      </w:r>
      <w:r w:rsidR="00EB388D">
        <w:rPr>
          <w:rFonts w:ascii="Times New Roman" w:hAnsi="Times New Roman" w:cs="Times New Roman"/>
          <w:sz w:val="24"/>
          <w:szCs w:val="24"/>
        </w:rPr>
        <w:t>ry v zmluvne dohodnutom termíne;</w:t>
      </w:r>
      <w:r w:rsidRPr="00405552">
        <w:rPr>
          <w:rFonts w:ascii="Times New Roman" w:hAnsi="Times New Roman" w:cs="Times New Roman"/>
          <w:sz w:val="24"/>
          <w:szCs w:val="24"/>
        </w:rPr>
        <w:t xml:space="preserve"> </w:t>
      </w:r>
    </w:p>
    <w:p w:rsidR="00405552" w:rsidP="001654CB">
      <w:pPr>
        <w:numPr>
          <w:ilvl w:val="0"/>
          <w:numId w:val="6"/>
        </w:numPr>
        <w:tabs>
          <w:tab w:val="left" w:pos="0"/>
          <w:tab w:val="clear" w:pos="1065"/>
        </w:tabs>
        <w:adjustRightInd/>
        <w:spacing w:line="240" w:lineRule="auto"/>
        <w:ind w:left="360"/>
        <w:textAlignment w:val="auto"/>
        <w:rPr>
          <w:rFonts w:ascii="Times New Roman" w:hAnsi="Times New Roman" w:cs="Times New Roman"/>
          <w:sz w:val="24"/>
          <w:szCs w:val="24"/>
        </w:rPr>
      </w:pPr>
      <w:r w:rsidR="00F1695C">
        <w:rPr>
          <w:rFonts w:ascii="Times New Roman" w:hAnsi="Times New Roman" w:cs="Times New Roman"/>
          <w:sz w:val="24"/>
          <w:szCs w:val="24"/>
        </w:rPr>
        <w:t>v</w:t>
      </w:r>
      <w:r w:rsidRPr="00405552">
        <w:rPr>
          <w:rFonts w:ascii="Times New Roman" w:hAnsi="Times New Roman" w:cs="Times New Roman"/>
          <w:sz w:val="24"/>
          <w:szCs w:val="24"/>
        </w:rPr>
        <w:t> oblasti zabezpečovania leteniek bolo zistené, že dochádzalo k plneniu zo strany MDPT SR už na základ</w:t>
      </w:r>
      <w:r w:rsidR="00EB388D">
        <w:rPr>
          <w:rFonts w:ascii="Times New Roman" w:hAnsi="Times New Roman" w:cs="Times New Roman"/>
          <w:sz w:val="24"/>
          <w:szCs w:val="24"/>
        </w:rPr>
        <w:t>e neplatnej zmluvy z roku 2001;</w:t>
      </w:r>
    </w:p>
    <w:p w:rsidR="00405552" w:rsidP="001654CB">
      <w:pPr>
        <w:numPr>
          <w:ilvl w:val="0"/>
          <w:numId w:val="6"/>
        </w:numPr>
        <w:tabs>
          <w:tab w:val="left" w:pos="0"/>
          <w:tab w:val="clear" w:pos="1065"/>
        </w:tabs>
        <w:adjustRightInd/>
        <w:spacing w:line="240" w:lineRule="auto"/>
        <w:ind w:left="360"/>
        <w:textAlignment w:val="auto"/>
        <w:rPr>
          <w:rFonts w:ascii="Times New Roman" w:hAnsi="Times New Roman" w:cs="Times New Roman"/>
          <w:sz w:val="24"/>
          <w:szCs w:val="24"/>
        </w:rPr>
      </w:pPr>
      <w:r w:rsidR="00F1695C">
        <w:rPr>
          <w:rFonts w:ascii="Times New Roman" w:hAnsi="Times New Roman" w:cs="Times New Roman"/>
          <w:sz w:val="24"/>
          <w:szCs w:val="24"/>
        </w:rPr>
        <w:t>v</w:t>
      </w:r>
      <w:r w:rsidRPr="00405552">
        <w:rPr>
          <w:rFonts w:ascii="Times New Roman" w:hAnsi="Times New Roman" w:cs="Times New Roman"/>
          <w:sz w:val="24"/>
          <w:szCs w:val="24"/>
        </w:rPr>
        <w:t> oblasti prekladateľských a tlmočníckych služieb bolo zistené viacero administratívnych nedostatkov v procese verejného obstarávania, ďalej bolo zistené, že dochádzalo k poskytovaniu služieb na základe zmlu</w:t>
      </w:r>
      <w:r w:rsidR="00EB388D">
        <w:rPr>
          <w:rFonts w:ascii="Times New Roman" w:hAnsi="Times New Roman" w:cs="Times New Roman"/>
          <w:sz w:val="24"/>
          <w:szCs w:val="24"/>
        </w:rPr>
        <w:t>vy uzatvorenej ešte v roku 2000;</w:t>
      </w:r>
    </w:p>
    <w:p w:rsidR="00405552" w:rsidRPr="00405552" w:rsidP="001654CB">
      <w:pPr>
        <w:numPr>
          <w:ilvl w:val="0"/>
          <w:numId w:val="6"/>
        </w:numPr>
        <w:tabs>
          <w:tab w:val="left" w:pos="0"/>
          <w:tab w:val="clear" w:pos="1065"/>
        </w:tabs>
        <w:adjustRightInd/>
        <w:spacing w:line="240" w:lineRule="auto"/>
        <w:ind w:left="360"/>
        <w:textAlignment w:val="auto"/>
        <w:rPr>
          <w:rFonts w:ascii="Times New Roman" w:hAnsi="Times New Roman" w:cs="Times New Roman"/>
          <w:sz w:val="24"/>
          <w:szCs w:val="24"/>
        </w:rPr>
      </w:pPr>
      <w:r w:rsidRPr="00405552">
        <w:rPr>
          <w:rFonts w:ascii="Times New Roman" w:hAnsi="Times New Roman" w:cs="Times New Roman"/>
          <w:sz w:val="24"/>
          <w:szCs w:val="24"/>
        </w:rPr>
        <w:t>pri kontrole obstarania komplexného zabezpečenia prevádzky a rozvoja informačného systému MDPT SR bolo konštatované, že došlo k nedostatočnej aplikácii použitia metód verejného obstarávania.</w:t>
      </w:r>
    </w:p>
    <w:p w:rsidR="00405552" w:rsidRPr="00405552" w:rsidP="00405552">
      <w:pPr>
        <w:pStyle w:val="BodyTextIndent2"/>
        <w:spacing w:after="0" w:line="240" w:lineRule="auto"/>
        <w:rPr>
          <w:rFonts w:ascii="Times New Roman" w:hAnsi="Times New Roman" w:cs="Times New Roman"/>
          <w:sz w:val="24"/>
          <w:szCs w:val="24"/>
        </w:rPr>
      </w:pPr>
    </w:p>
    <w:p w:rsidR="00405552" w:rsidRPr="00405552" w:rsidP="0045461A">
      <w:pPr>
        <w:pStyle w:val="BodyTextIndent2"/>
        <w:spacing w:after="0" w:line="240" w:lineRule="auto"/>
        <w:ind w:left="0" w:firstLine="705"/>
        <w:rPr>
          <w:rFonts w:ascii="Times New Roman" w:hAnsi="Times New Roman" w:cs="Times New Roman"/>
          <w:sz w:val="24"/>
          <w:szCs w:val="24"/>
        </w:rPr>
      </w:pPr>
      <w:r w:rsidRPr="00405552">
        <w:rPr>
          <w:rFonts w:ascii="Times New Roman" w:hAnsi="Times New Roman" w:cs="Times New Roman"/>
          <w:sz w:val="24"/>
          <w:szCs w:val="24"/>
        </w:rPr>
        <w:t>V stanovenom termíne boli prijaté 3 opatrenia na odstránenie zistených nedostatkov, ktoré sa týkali:</w:t>
      </w:r>
    </w:p>
    <w:p w:rsidR="00EB388D" w:rsidP="00EB388D">
      <w:pPr>
        <w:pStyle w:val="BodyTextIndent2"/>
        <w:numPr>
          <w:ilvl w:val="0"/>
          <w:numId w:val="6"/>
        </w:numPr>
        <w:tabs>
          <w:tab w:val="left" w:pos="1065"/>
        </w:tabs>
        <w:adjustRightInd/>
        <w:spacing w:after="0" w:line="240" w:lineRule="auto"/>
        <w:textAlignment w:val="auto"/>
        <w:rPr>
          <w:rFonts w:ascii="Times New Roman" w:hAnsi="Times New Roman" w:cs="Times New Roman"/>
          <w:sz w:val="24"/>
          <w:szCs w:val="24"/>
        </w:rPr>
      </w:pPr>
      <w:r w:rsidR="00F1695C">
        <w:rPr>
          <w:rFonts w:ascii="Times New Roman" w:hAnsi="Times New Roman" w:cs="Times New Roman"/>
          <w:sz w:val="24"/>
          <w:szCs w:val="24"/>
        </w:rPr>
        <w:t>z</w:t>
      </w:r>
      <w:r w:rsidRPr="00405552" w:rsidR="00405552">
        <w:rPr>
          <w:rFonts w:ascii="Times New Roman" w:hAnsi="Times New Roman" w:cs="Times New Roman"/>
          <w:sz w:val="24"/>
          <w:szCs w:val="24"/>
        </w:rPr>
        <w:t>abezpečenia dodržiavania zásad hospodárnosti pri vynakladaní finančných prostriedkov a uplatnení princípu priehľadnosti, rovnakého zaobchádzania a nediskriminácie pri verejnom obstarávaní;</w:t>
      </w:r>
    </w:p>
    <w:p w:rsidR="00EB388D" w:rsidP="00EB388D">
      <w:pPr>
        <w:pStyle w:val="BodyTextIndent2"/>
        <w:numPr>
          <w:ilvl w:val="0"/>
          <w:numId w:val="6"/>
        </w:numPr>
        <w:tabs>
          <w:tab w:val="left" w:pos="1065"/>
        </w:tabs>
        <w:adjustRightInd/>
        <w:spacing w:after="0" w:line="240" w:lineRule="auto"/>
        <w:textAlignment w:val="auto"/>
        <w:rPr>
          <w:rFonts w:ascii="Times New Roman" w:hAnsi="Times New Roman" w:cs="Times New Roman"/>
          <w:sz w:val="24"/>
          <w:szCs w:val="24"/>
        </w:rPr>
      </w:pPr>
      <w:r w:rsidR="00F1695C">
        <w:rPr>
          <w:rFonts w:ascii="Times New Roman" w:hAnsi="Times New Roman" w:cs="Times New Roman"/>
          <w:sz w:val="24"/>
          <w:szCs w:val="24"/>
        </w:rPr>
        <w:t>p</w:t>
      </w:r>
      <w:r w:rsidRPr="00405552" w:rsidR="00405552">
        <w:rPr>
          <w:rFonts w:ascii="Times New Roman" w:hAnsi="Times New Roman" w:cs="Times New Roman"/>
          <w:sz w:val="24"/>
          <w:szCs w:val="24"/>
        </w:rPr>
        <w:t>ri zabezpečovaní leteniek MDPT SR pristúpi</w:t>
      </w:r>
      <w:r>
        <w:rPr>
          <w:rFonts w:ascii="Times New Roman" w:hAnsi="Times New Roman" w:cs="Times New Roman"/>
          <w:sz w:val="24"/>
          <w:szCs w:val="24"/>
        </w:rPr>
        <w:t>lo</w:t>
      </w:r>
      <w:r w:rsidRPr="00405552" w:rsidR="00405552">
        <w:rPr>
          <w:rFonts w:ascii="Times New Roman" w:hAnsi="Times New Roman" w:cs="Times New Roman"/>
          <w:sz w:val="24"/>
          <w:szCs w:val="24"/>
        </w:rPr>
        <w:t xml:space="preserve"> ku komisionárskej zmluve MZV SR</w:t>
      </w:r>
      <w:r>
        <w:rPr>
          <w:rFonts w:ascii="Times New Roman" w:hAnsi="Times New Roman" w:cs="Times New Roman"/>
          <w:sz w:val="24"/>
          <w:szCs w:val="24"/>
        </w:rPr>
        <w:t xml:space="preserve"> </w:t>
      </w:r>
      <w:r w:rsidRPr="00405552" w:rsidR="00405552">
        <w:rPr>
          <w:rFonts w:ascii="Times New Roman" w:hAnsi="Times New Roman" w:cs="Times New Roman"/>
          <w:sz w:val="24"/>
          <w:szCs w:val="24"/>
        </w:rPr>
        <w:t>a pri zabezpečovaní prekladateľsk</w:t>
      </w:r>
      <w:r>
        <w:rPr>
          <w:rFonts w:ascii="Times New Roman" w:hAnsi="Times New Roman" w:cs="Times New Roman"/>
          <w:sz w:val="24"/>
          <w:szCs w:val="24"/>
        </w:rPr>
        <w:t xml:space="preserve">ých a tlmočníckych služieb bolo </w:t>
      </w:r>
      <w:r w:rsidRPr="00405552" w:rsidR="00405552">
        <w:rPr>
          <w:rFonts w:ascii="Times New Roman" w:hAnsi="Times New Roman" w:cs="Times New Roman"/>
          <w:sz w:val="24"/>
          <w:szCs w:val="24"/>
        </w:rPr>
        <w:t>zrealizované nové verejn</w:t>
      </w:r>
      <w:r>
        <w:rPr>
          <w:rFonts w:ascii="Times New Roman" w:hAnsi="Times New Roman" w:cs="Times New Roman"/>
          <w:sz w:val="24"/>
          <w:szCs w:val="24"/>
        </w:rPr>
        <w:t>é obstarávanie</w:t>
      </w:r>
      <w:r w:rsidRPr="00405552">
        <w:rPr>
          <w:rFonts w:ascii="Times New Roman" w:hAnsi="Times New Roman" w:cs="Times New Roman"/>
          <w:sz w:val="24"/>
          <w:szCs w:val="24"/>
        </w:rPr>
        <w:t>;</w:t>
      </w:r>
    </w:p>
    <w:p w:rsidR="00EB388D" w:rsidRPr="00405552" w:rsidP="00EB388D">
      <w:pPr>
        <w:pStyle w:val="BodyTextIndent2"/>
        <w:numPr>
          <w:ilvl w:val="0"/>
          <w:numId w:val="6"/>
        </w:numPr>
        <w:tabs>
          <w:tab w:val="left" w:pos="1065"/>
        </w:tabs>
        <w:adjustRightInd/>
        <w:spacing w:after="0" w:line="240" w:lineRule="auto"/>
        <w:textAlignment w:val="auto"/>
        <w:rPr>
          <w:rFonts w:ascii="Times New Roman" w:hAnsi="Times New Roman" w:cs="Times New Roman"/>
          <w:sz w:val="24"/>
          <w:szCs w:val="24"/>
        </w:rPr>
      </w:pPr>
      <w:r w:rsidR="00F1695C">
        <w:rPr>
          <w:rFonts w:ascii="Times New Roman" w:hAnsi="Times New Roman" w:cs="Times New Roman"/>
          <w:sz w:val="24"/>
          <w:szCs w:val="24"/>
        </w:rPr>
        <w:t>ď</w:t>
      </w:r>
      <w:r>
        <w:rPr>
          <w:rFonts w:ascii="Times New Roman" w:hAnsi="Times New Roman" w:cs="Times New Roman"/>
          <w:sz w:val="24"/>
          <w:szCs w:val="24"/>
        </w:rPr>
        <w:t xml:space="preserve">alšie opatrenie sa týkalo </w:t>
      </w:r>
      <w:r w:rsidRPr="00405552" w:rsidR="00405552">
        <w:rPr>
          <w:rFonts w:ascii="Times New Roman" w:hAnsi="Times New Roman" w:cs="Times New Roman"/>
          <w:sz w:val="24"/>
          <w:szCs w:val="24"/>
        </w:rPr>
        <w:t>prehodnotenia dodávateľských zmlúv uzatvorených pred rokom 2004.</w:t>
      </w:r>
    </w:p>
    <w:p w:rsidR="00405552" w:rsidRPr="00405552" w:rsidP="00EB388D">
      <w:pPr>
        <w:spacing w:line="240" w:lineRule="auto"/>
        <w:ind w:firstLine="705"/>
        <w:rPr>
          <w:rFonts w:ascii="Times New Roman" w:hAnsi="Times New Roman" w:cs="Times New Roman"/>
          <w:sz w:val="24"/>
          <w:szCs w:val="24"/>
        </w:rPr>
      </w:pPr>
      <w:r w:rsidRPr="00405552">
        <w:rPr>
          <w:rFonts w:ascii="Times New Roman" w:hAnsi="Times New Roman" w:cs="Times New Roman"/>
          <w:sz w:val="24"/>
          <w:szCs w:val="24"/>
        </w:rPr>
        <w:t>Správa o splnení opatrení bola kontrolnému orgánu zaslaná v stanovenej lehote.</w:t>
      </w:r>
    </w:p>
    <w:p w:rsidR="00405552" w:rsidP="00405552">
      <w:pPr>
        <w:spacing w:line="240" w:lineRule="auto"/>
        <w:rPr>
          <w:rFonts w:ascii="Times New Roman" w:hAnsi="Times New Roman" w:cs="Times New Roman"/>
          <w:sz w:val="24"/>
          <w:szCs w:val="24"/>
        </w:rPr>
      </w:pPr>
    </w:p>
    <w:p w:rsidR="00EB388D" w:rsidRPr="00405552" w:rsidP="00405552">
      <w:pPr>
        <w:spacing w:line="240" w:lineRule="auto"/>
        <w:rPr>
          <w:rFonts w:ascii="Times New Roman" w:hAnsi="Times New Roman" w:cs="Times New Roman"/>
          <w:sz w:val="24"/>
          <w:szCs w:val="24"/>
        </w:rPr>
      </w:pPr>
    </w:p>
    <w:p w:rsidR="00405552" w:rsidP="001654CB">
      <w:pPr>
        <w:numPr>
          <w:ilvl w:val="0"/>
          <w:numId w:val="23"/>
        </w:numPr>
        <w:tabs>
          <w:tab w:val="left" w:pos="360"/>
          <w:tab w:val="clear" w:pos="720"/>
        </w:tabs>
        <w:adjustRightInd/>
        <w:spacing w:line="240" w:lineRule="auto"/>
        <w:ind w:left="360"/>
        <w:textAlignment w:val="auto"/>
        <w:rPr>
          <w:rFonts w:ascii="Times New Roman" w:hAnsi="Times New Roman" w:cs="Times New Roman"/>
          <w:b/>
          <w:sz w:val="24"/>
          <w:szCs w:val="24"/>
        </w:rPr>
      </w:pPr>
      <w:r w:rsidRPr="00405552">
        <w:rPr>
          <w:rFonts w:ascii="Times New Roman" w:hAnsi="Times New Roman" w:cs="Times New Roman"/>
          <w:b/>
          <w:sz w:val="24"/>
          <w:szCs w:val="24"/>
        </w:rPr>
        <w:t>Kontrola vybraných okruhov hospodárenia s verejnými prostriedkami a majetkom štátu za rok 2006 a I. polrok 2007</w:t>
      </w:r>
    </w:p>
    <w:p w:rsidR="00EB388D" w:rsidRPr="00405552" w:rsidP="00EB388D">
      <w:pPr>
        <w:adjustRightInd/>
        <w:spacing w:line="240" w:lineRule="auto"/>
        <w:textAlignment w:val="auto"/>
        <w:rPr>
          <w:rFonts w:ascii="Times New Roman" w:hAnsi="Times New Roman" w:cs="Times New Roman"/>
          <w:b/>
          <w:sz w:val="24"/>
          <w:szCs w:val="24"/>
        </w:rPr>
      </w:pPr>
    </w:p>
    <w:p w:rsidR="00405552" w:rsidRPr="00EB388D" w:rsidP="00EB388D">
      <w:pPr>
        <w:spacing w:line="240" w:lineRule="auto"/>
        <w:ind w:firstLine="709"/>
        <w:rPr>
          <w:rFonts w:ascii="Times New Roman" w:hAnsi="Times New Roman" w:cs="Times New Roman"/>
          <w:sz w:val="24"/>
          <w:szCs w:val="24"/>
        </w:rPr>
      </w:pPr>
      <w:r w:rsidRPr="00EB388D">
        <w:rPr>
          <w:rFonts w:ascii="Times New Roman" w:hAnsi="Times New Roman" w:cs="Times New Roman"/>
          <w:sz w:val="24"/>
          <w:szCs w:val="24"/>
        </w:rPr>
        <w:t>Kontrola bola vykonaná  na základe poverenia predsedu NKÚ SR č. 1410/03 zo dňa 06.08.2007.</w:t>
      </w:r>
      <w:r w:rsidRPr="00EB388D" w:rsidR="00EB388D">
        <w:rPr>
          <w:rFonts w:ascii="Times New Roman" w:hAnsi="Times New Roman" w:cs="Times New Roman"/>
          <w:sz w:val="24"/>
          <w:szCs w:val="24"/>
        </w:rPr>
        <w:t xml:space="preserve"> </w:t>
      </w:r>
      <w:r w:rsidRPr="00EB388D">
        <w:rPr>
          <w:rFonts w:ascii="Times New Roman" w:hAnsi="Times New Roman" w:cs="Times New Roman"/>
          <w:sz w:val="24"/>
          <w:szCs w:val="24"/>
        </w:rPr>
        <w:t>Kontrolou boli zistené nasledovné nedostatky:</w:t>
      </w:r>
    </w:p>
    <w:p w:rsidR="00EB388D" w:rsidRPr="00EB388D" w:rsidP="00EB388D">
      <w:pPr>
        <w:spacing w:line="240" w:lineRule="auto"/>
        <w:rPr>
          <w:rFonts w:ascii="Times New Roman" w:hAnsi="Times New Roman" w:cs="Times New Roman"/>
          <w:sz w:val="24"/>
          <w:szCs w:val="24"/>
        </w:rPr>
      </w:pPr>
    </w:p>
    <w:p w:rsidR="00405552" w:rsidP="00EB388D">
      <w:pPr>
        <w:pStyle w:val="BodyTextIndent"/>
        <w:spacing w:line="240" w:lineRule="auto"/>
        <w:ind w:firstLine="705"/>
        <w:rPr>
          <w:rFonts w:ascii="Times New Roman" w:hAnsi="Times New Roman" w:cs="Times New Roman"/>
          <w:sz w:val="24"/>
          <w:szCs w:val="24"/>
        </w:rPr>
      </w:pPr>
      <w:r w:rsidRPr="00405552">
        <w:rPr>
          <w:rFonts w:ascii="Times New Roman" w:hAnsi="Times New Roman" w:cs="Times New Roman"/>
          <w:sz w:val="24"/>
          <w:szCs w:val="24"/>
        </w:rPr>
        <w:t>V oblasti dodržiavania pravidiel rozpočtového hospodárenia:</w:t>
      </w:r>
    </w:p>
    <w:p w:rsidR="00EB388D" w:rsidRPr="00405552" w:rsidP="00405552">
      <w:pPr>
        <w:pStyle w:val="BodyTextIndent"/>
        <w:spacing w:line="240" w:lineRule="auto"/>
        <w:ind w:firstLine="0"/>
        <w:rPr>
          <w:rFonts w:ascii="Times New Roman" w:hAnsi="Times New Roman" w:cs="Times New Roman"/>
          <w:sz w:val="24"/>
          <w:szCs w:val="24"/>
        </w:rPr>
      </w:pPr>
    </w:p>
    <w:p w:rsidR="00EB388D" w:rsidP="00EB388D">
      <w:pPr>
        <w:numPr>
          <w:ilvl w:val="0"/>
          <w:numId w:val="6"/>
        </w:numPr>
        <w:tabs>
          <w:tab w:val="left" w:pos="1065"/>
        </w:tabs>
        <w:adjustRightInd/>
        <w:spacing w:line="240" w:lineRule="auto"/>
        <w:textAlignment w:val="auto"/>
        <w:rPr>
          <w:rFonts w:ascii="Times New Roman" w:hAnsi="Times New Roman" w:cs="Times New Roman"/>
          <w:sz w:val="24"/>
          <w:szCs w:val="24"/>
        </w:rPr>
      </w:pPr>
      <w:r w:rsidR="00F1695C">
        <w:rPr>
          <w:rFonts w:ascii="Times New Roman" w:hAnsi="Times New Roman" w:cs="Times New Roman"/>
          <w:sz w:val="24"/>
          <w:szCs w:val="24"/>
        </w:rPr>
        <w:t>n</w:t>
      </w:r>
      <w:r w:rsidRPr="00405552" w:rsidR="00405552">
        <w:rPr>
          <w:rFonts w:ascii="Times New Roman" w:hAnsi="Times New Roman" w:cs="Times New Roman"/>
          <w:sz w:val="24"/>
          <w:szCs w:val="24"/>
        </w:rPr>
        <w:t>ezdôvodnenie a neuhradenie sumy prekročeného limitu za používanie služobného mobilného telefónu zamestnancom</w:t>
      </w:r>
      <w:r w:rsidRPr="00405552">
        <w:rPr>
          <w:rFonts w:ascii="Times New Roman" w:hAnsi="Times New Roman" w:cs="Times New Roman"/>
          <w:sz w:val="24"/>
          <w:szCs w:val="24"/>
        </w:rPr>
        <w:t>;</w:t>
      </w:r>
    </w:p>
    <w:p w:rsidR="00EB388D" w:rsidP="00EB388D">
      <w:pPr>
        <w:numPr>
          <w:ilvl w:val="0"/>
          <w:numId w:val="6"/>
        </w:numPr>
        <w:tabs>
          <w:tab w:val="left" w:pos="1065"/>
        </w:tabs>
        <w:adjustRightInd/>
        <w:spacing w:line="240" w:lineRule="auto"/>
        <w:textAlignment w:val="auto"/>
        <w:rPr>
          <w:rFonts w:ascii="Times New Roman" w:hAnsi="Times New Roman" w:cs="Times New Roman"/>
          <w:sz w:val="24"/>
          <w:szCs w:val="24"/>
        </w:rPr>
      </w:pPr>
      <w:r w:rsidR="00F1695C">
        <w:rPr>
          <w:rFonts w:ascii="Times New Roman" w:hAnsi="Times New Roman" w:cs="Times New Roman"/>
          <w:sz w:val="24"/>
          <w:szCs w:val="24"/>
        </w:rPr>
        <w:t>n</w:t>
      </w:r>
      <w:r w:rsidRPr="00405552" w:rsidR="00405552">
        <w:rPr>
          <w:rFonts w:ascii="Times New Roman" w:hAnsi="Times New Roman" w:cs="Times New Roman"/>
          <w:sz w:val="24"/>
          <w:szCs w:val="24"/>
        </w:rPr>
        <w:t>ezdôvodnené zvýšenie normovanej spotreby služobných automobilov, nedôsledné zapisovanie údajov do záznamu o prevádzke motorového vozidla, čerpanie drahších pohonných hmôt s vyšším oktánovým číslom ako uvádza výrobca au</w:t>
      </w:r>
      <w:r>
        <w:rPr>
          <w:rFonts w:ascii="Times New Roman" w:hAnsi="Times New Roman" w:cs="Times New Roman"/>
          <w:sz w:val="24"/>
          <w:szCs w:val="24"/>
        </w:rPr>
        <w:t>tomobilu v technickom preukaze</w:t>
      </w:r>
      <w:r w:rsidRPr="00405552">
        <w:rPr>
          <w:rFonts w:ascii="Times New Roman" w:hAnsi="Times New Roman" w:cs="Times New Roman"/>
          <w:sz w:val="24"/>
          <w:szCs w:val="24"/>
        </w:rPr>
        <w:t>;</w:t>
      </w:r>
    </w:p>
    <w:p w:rsidR="00EB388D" w:rsidP="00EB388D">
      <w:pPr>
        <w:numPr>
          <w:ilvl w:val="0"/>
          <w:numId w:val="6"/>
        </w:numPr>
        <w:tabs>
          <w:tab w:val="left" w:pos="1065"/>
        </w:tabs>
        <w:adjustRightInd/>
        <w:spacing w:line="240" w:lineRule="auto"/>
        <w:textAlignment w:val="auto"/>
        <w:rPr>
          <w:rFonts w:ascii="Times New Roman" w:hAnsi="Times New Roman" w:cs="Times New Roman"/>
          <w:sz w:val="24"/>
          <w:szCs w:val="24"/>
        </w:rPr>
      </w:pPr>
      <w:r w:rsidR="00F1695C">
        <w:rPr>
          <w:rFonts w:ascii="Times New Roman" w:hAnsi="Times New Roman" w:cs="Times New Roman"/>
          <w:sz w:val="24"/>
          <w:szCs w:val="24"/>
        </w:rPr>
        <w:t>n</w:t>
      </w:r>
      <w:r w:rsidRPr="00405552" w:rsidR="00405552">
        <w:rPr>
          <w:rFonts w:ascii="Times New Roman" w:hAnsi="Times New Roman" w:cs="Times New Roman"/>
          <w:sz w:val="24"/>
          <w:szCs w:val="24"/>
        </w:rPr>
        <w:t>euvedenie cien v objednávkach pri obstarávaní externých právnych služ</w:t>
      </w:r>
      <w:r>
        <w:rPr>
          <w:rFonts w:ascii="Times New Roman" w:hAnsi="Times New Roman" w:cs="Times New Roman"/>
          <w:sz w:val="24"/>
          <w:szCs w:val="24"/>
        </w:rPr>
        <w:t>ieb</w:t>
      </w:r>
      <w:r w:rsidRPr="00405552">
        <w:rPr>
          <w:rFonts w:ascii="Times New Roman" w:hAnsi="Times New Roman" w:cs="Times New Roman"/>
          <w:sz w:val="24"/>
          <w:szCs w:val="24"/>
        </w:rPr>
        <w:t>;</w:t>
      </w:r>
    </w:p>
    <w:p w:rsidR="00EB388D" w:rsidP="00EB388D">
      <w:pPr>
        <w:numPr>
          <w:ilvl w:val="0"/>
          <w:numId w:val="6"/>
        </w:numPr>
        <w:tabs>
          <w:tab w:val="left" w:pos="1065"/>
        </w:tabs>
        <w:adjustRightInd/>
        <w:spacing w:line="240" w:lineRule="auto"/>
        <w:textAlignment w:val="auto"/>
        <w:rPr>
          <w:rFonts w:ascii="Times New Roman" w:hAnsi="Times New Roman" w:cs="Times New Roman"/>
          <w:sz w:val="24"/>
          <w:szCs w:val="24"/>
        </w:rPr>
      </w:pPr>
      <w:r w:rsidR="00F1695C">
        <w:rPr>
          <w:rFonts w:ascii="Times New Roman" w:hAnsi="Times New Roman" w:cs="Times New Roman"/>
          <w:sz w:val="24"/>
          <w:szCs w:val="24"/>
        </w:rPr>
        <w:t>n</w:t>
      </w:r>
      <w:r w:rsidRPr="00405552" w:rsidR="00405552">
        <w:rPr>
          <w:rFonts w:ascii="Times New Roman" w:hAnsi="Times New Roman" w:cs="Times New Roman"/>
          <w:sz w:val="24"/>
          <w:szCs w:val="24"/>
        </w:rPr>
        <w:t>eaktuálnosť smernice ministerstva z roku 1998 o tvorbe a po</w:t>
      </w:r>
      <w:r w:rsidR="00F1695C">
        <w:rPr>
          <w:rFonts w:ascii="Times New Roman" w:hAnsi="Times New Roman" w:cs="Times New Roman"/>
          <w:sz w:val="24"/>
          <w:szCs w:val="24"/>
        </w:rPr>
        <w:t>u</w:t>
      </w:r>
      <w:r w:rsidRPr="00405552" w:rsidR="00405552">
        <w:rPr>
          <w:rFonts w:ascii="Times New Roman" w:hAnsi="Times New Roman" w:cs="Times New Roman"/>
          <w:sz w:val="24"/>
          <w:szCs w:val="24"/>
        </w:rPr>
        <w:t>žití sociálneho fondu, oneskorené prevody finančných prostriedkov na</w:t>
      </w:r>
      <w:r>
        <w:rPr>
          <w:rFonts w:ascii="Times New Roman" w:hAnsi="Times New Roman" w:cs="Times New Roman"/>
          <w:sz w:val="24"/>
          <w:szCs w:val="24"/>
        </w:rPr>
        <w:t xml:space="preserve"> osobitný účet sociálneho fondu</w:t>
      </w:r>
      <w:r w:rsidRPr="00405552">
        <w:rPr>
          <w:rFonts w:ascii="Times New Roman" w:hAnsi="Times New Roman" w:cs="Times New Roman"/>
          <w:sz w:val="24"/>
          <w:szCs w:val="24"/>
        </w:rPr>
        <w:t>;</w:t>
      </w:r>
    </w:p>
    <w:p w:rsidR="00EB388D" w:rsidP="00EB388D">
      <w:pPr>
        <w:numPr>
          <w:ilvl w:val="0"/>
          <w:numId w:val="6"/>
        </w:numPr>
        <w:tabs>
          <w:tab w:val="left" w:pos="1065"/>
        </w:tabs>
        <w:adjustRightInd/>
        <w:spacing w:line="240" w:lineRule="auto"/>
        <w:textAlignment w:val="auto"/>
        <w:rPr>
          <w:rFonts w:ascii="Times New Roman" w:hAnsi="Times New Roman" w:cs="Times New Roman"/>
          <w:sz w:val="24"/>
          <w:szCs w:val="24"/>
        </w:rPr>
      </w:pPr>
      <w:r w:rsidR="00F1695C">
        <w:rPr>
          <w:rFonts w:ascii="Times New Roman" w:hAnsi="Times New Roman" w:cs="Times New Roman"/>
          <w:sz w:val="24"/>
          <w:szCs w:val="24"/>
        </w:rPr>
        <w:t>n</w:t>
      </w:r>
      <w:r w:rsidRPr="00405552" w:rsidR="00405552">
        <w:rPr>
          <w:rFonts w:ascii="Times New Roman" w:hAnsi="Times New Roman" w:cs="Times New Roman"/>
          <w:sz w:val="24"/>
          <w:szCs w:val="24"/>
        </w:rPr>
        <w:t>esprávne účtovanie zakúpeného zabezpečovacieho systému pre osobné motoro</w:t>
      </w:r>
      <w:r>
        <w:rPr>
          <w:rFonts w:ascii="Times New Roman" w:hAnsi="Times New Roman" w:cs="Times New Roman"/>
          <w:sz w:val="24"/>
          <w:szCs w:val="24"/>
        </w:rPr>
        <w:t>vé vozidlo ako samostatného HIM</w:t>
      </w:r>
      <w:r w:rsidRPr="00405552">
        <w:rPr>
          <w:rFonts w:ascii="Times New Roman" w:hAnsi="Times New Roman" w:cs="Times New Roman"/>
          <w:sz w:val="24"/>
          <w:szCs w:val="24"/>
        </w:rPr>
        <w:t>;</w:t>
      </w:r>
    </w:p>
    <w:p w:rsidR="00405552" w:rsidP="00EB388D">
      <w:pPr>
        <w:numPr>
          <w:ilvl w:val="0"/>
          <w:numId w:val="6"/>
        </w:numPr>
        <w:tabs>
          <w:tab w:val="left" w:pos="1065"/>
        </w:tabs>
        <w:adjustRightInd/>
        <w:spacing w:line="240" w:lineRule="auto"/>
        <w:textAlignment w:val="auto"/>
        <w:rPr>
          <w:rFonts w:ascii="Times New Roman" w:hAnsi="Times New Roman" w:cs="Times New Roman"/>
          <w:sz w:val="24"/>
          <w:szCs w:val="24"/>
        </w:rPr>
      </w:pPr>
      <w:r w:rsidR="00F1695C">
        <w:rPr>
          <w:rFonts w:ascii="Times New Roman" w:hAnsi="Times New Roman" w:cs="Times New Roman"/>
          <w:sz w:val="24"/>
          <w:szCs w:val="24"/>
        </w:rPr>
        <w:t>a</w:t>
      </w:r>
      <w:r w:rsidRPr="00405552">
        <w:rPr>
          <w:rFonts w:ascii="Times New Roman" w:hAnsi="Times New Roman" w:cs="Times New Roman"/>
          <w:sz w:val="24"/>
          <w:szCs w:val="24"/>
        </w:rPr>
        <w:t xml:space="preserve">dministratívne nedostatky v niektorých oznámeniach zasielaných na Úrad pre verejné obstarávanie a nedodržanie lehôt pri zasielaní informácie o uzavretí dodatku k zmluve. </w:t>
      </w:r>
    </w:p>
    <w:p w:rsidR="00EB388D" w:rsidRPr="00405552" w:rsidP="00EB388D">
      <w:pPr>
        <w:adjustRightInd/>
        <w:spacing w:line="240" w:lineRule="auto"/>
        <w:ind w:left="705"/>
        <w:textAlignment w:val="auto"/>
        <w:rPr>
          <w:rFonts w:ascii="Times New Roman" w:hAnsi="Times New Roman" w:cs="Times New Roman"/>
          <w:sz w:val="24"/>
          <w:szCs w:val="24"/>
        </w:rPr>
      </w:pPr>
    </w:p>
    <w:p w:rsidR="00EB388D" w:rsidP="00EB388D">
      <w:pPr>
        <w:pStyle w:val="BodyTextIndent"/>
        <w:spacing w:line="240" w:lineRule="auto"/>
        <w:ind w:firstLine="705"/>
        <w:rPr>
          <w:rFonts w:ascii="Times New Roman" w:hAnsi="Times New Roman" w:cs="Times New Roman"/>
          <w:sz w:val="24"/>
          <w:szCs w:val="24"/>
        </w:rPr>
      </w:pPr>
      <w:r w:rsidRPr="00405552" w:rsidR="00405552">
        <w:rPr>
          <w:rFonts w:ascii="Times New Roman" w:hAnsi="Times New Roman" w:cs="Times New Roman"/>
          <w:sz w:val="24"/>
          <w:szCs w:val="24"/>
        </w:rPr>
        <w:t>V oblasti správy majetku štátu bolo zistené, že ministerstvo nemá poistený DHM a investičný majetok tvoriaci vybavenie jednotlivých pracovísk.</w:t>
      </w:r>
    </w:p>
    <w:p w:rsidR="00405552" w:rsidRPr="00405552" w:rsidP="00EB388D">
      <w:pPr>
        <w:pStyle w:val="BodyTextIndent"/>
        <w:spacing w:line="240" w:lineRule="auto"/>
        <w:ind w:firstLine="705"/>
        <w:rPr>
          <w:rFonts w:ascii="Times New Roman" w:hAnsi="Times New Roman" w:cs="Times New Roman"/>
          <w:sz w:val="24"/>
          <w:szCs w:val="24"/>
        </w:rPr>
      </w:pPr>
      <w:r w:rsidRPr="00405552">
        <w:rPr>
          <w:rFonts w:ascii="Times New Roman" w:hAnsi="Times New Roman" w:cs="Times New Roman"/>
          <w:sz w:val="24"/>
          <w:szCs w:val="24"/>
        </w:rPr>
        <w:t xml:space="preserve"> </w:t>
      </w:r>
    </w:p>
    <w:p w:rsidR="00405552" w:rsidP="00EB388D">
      <w:pPr>
        <w:pStyle w:val="BodyTextIndent2"/>
        <w:spacing w:after="0" w:line="240" w:lineRule="auto"/>
        <w:ind w:left="0" w:firstLine="705"/>
        <w:rPr>
          <w:rFonts w:ascii="Times New Roman" w:hAnsi="Times New Roman" w:cs="Times New Roman"/>
          <w:sz w:val="24"/>
          <w:szCs w:val="24"/>
        </w:rPr>
      </w:pPr>
      <w:r w:rsidRPr="00405552">
        <w:rPr>
          <w:rFonts w:ascii="Times New Roman" w:hAnsi="Times New Roman" w:cs="Times New Roman"/>
          <w:sz w:val="24"/>
          <w:szCs w:val="24"/>
        </w:rPr>
        <w:t>V stanovenom termíne boli prijaté 4 opatrenia na odstránenie zistených nedostatkov, ktoré sa týkali:</w:t>
      </w:r>
    </w:p>
    <w:p w:rsidR="00EB388D" w:rsidRPr="00405552" w:rsidP="00EB388D">
      <w:pPr>
        <w:pStyle w:val="BodyTextIndent2"/>
        <w:spacing w:after="0" w:line="240" w:lineRule="auto"/>
        <w:ind w:left="0" w:firstLine="705"/>
        <w:rPr>
          <w:rFonts w:ascii="Times New Roman" w:hAnsi="Times New Roman" w:cs="Times New Roman"/>
          <w:sz w:val="24"/>
          <w:szCs w:val="24"/>
        </w:rPr>
      </w:pPr>
    </w:p>
    <w:p w:rsidR="00EB388D" w:rsidP="00EB388D">
      <w:pPr>
        <w:pStyle w:val="BodyTextIndent2"/>
        <w:numPr>
          <w:ilvl w:val="0"/>
          <w:numId w:val="6"/>
        </w:numPr>
        <w:tabs>
          <w:tab w:val="left" w:pos="1065"/>
        </w:tabs>
        <w:adjustRightInd/>
        <w:spacing w:after="0" w:line="240" w:lineRule="auto"/>
        <w:textAlignment w:val="auto"/>
        <w:rPr>
          <w:rFonts w:ascii="Times New Roman" w:hAnsi="Times New Roman" w:cs="Times New Roman"/>
          <w:sz w:val="24"/>
          <w:szCs w:val="24"/>
        </w:rPr>
      </w:pPr>
      <w:r w:rsidR="00F1695C">
        <w:rPr>
          <w:rFonts w:ascii="Times New Roman" w:hAnsi="Times New Roman" w:cs="Times New Roman"/>
          <w:sz w:val="24"/>
          <w:szCs w:val="24"/>
        </w:rPr>
        <w:t>u</w:t>
      </w:r>
      <w:r w:rsidRPr="00405552" w:rsidR="00405552">
        <w:rPr>
          <w:rFonts w:ascii="Times New Roman" w:hAnsi="Times New Roman" w:cs="Times New Roman"/>
          <w:sz w:val="24"/>
          <w:szCs w:val="24"/>
        </w:rPr>
        <w:t>pravenia smernice o používaní služobných mobilných telefónov o lehotu na úhradu prekročenia stanovených limitov do pokladne ministerstva z dôvodu u</w:t>
      </w:r>
      <w:r>
        <w:rPr>
          <w:rFonts w:ascii="Times New Roman" w:hAnsi="Times New Roman" w:cs="Times New Roman"/>
          <w:sz w:val="24"/>
          <w:szCs w:val="24"/>
        </w:rPr>
        <w:t>skutočnených súkromných hovorov</w:t>
      </w:r>
      <w:r w:rsidRPr="00405552">
        <w:rPr>
          <w:rFonts w:ascii="Times New Roman" w:hAnsi="Times New Roman" w:cs="Times New Roman"/>
          <w:sz w:val="24"/>
          <w:szCs w:val="24"/>
        </w:rPr>
        <w:t>;</w:t>
      </w:r>
    </w:p>
    <w:p w:rsidR="00EB388D" w:rsidP="00EB388D">
      <w:pPr>
        <w:pStyle w:val="BodyTextIndent2"/>
        <w:numPr>
          <w:ilvl w:val="0"/>
          <w:numId w:val="6"/>
        </w:numPr>
        <w:tabs>
          <w:tab w:val="left" w:pos="1065"/>
        </w:tabs>
        <w:adjustRightInd/>
        <w:spacing w:after="0" w:line="240" w:lineRule="auto"/>
        <w:textAlignment w:val="auto"/>
        <w:rPr>
          <w:rFonts w:ascii="Times New Roman" w:hAnsi="Times New Roman" w:cs="Times New Roman"/>
          <w:sz w:val="24"/>
          <w:szCs w:val="24"/>
        </w:rPr>
      </w:pPr>
      <w:r w:rsidR="00F1695C">
        <w:rPr>
          <w:rFonts w:ascii="Times New Roman" w:hAnsi="Times New Roman" w:cs="Times New Roman"/>
          <w:sz w:val="24"/>
          <w:szCs w:val="24"/>
        </w:rPr>
        <w:t>p</w:t>
      </w:r>
      <w:r w:rsidRPr="00405552" w:rsidR="00405552">
        <w:rPr>
          <w:rFonts w:ascii="Times New Roman" w:hAnsi="Times New Roman" w:cs="Times New Roman"/>
          <w:sz w:val="24"/>
          <w:szCs w:val="24"/>
        </w:rPr>
        <w:t>reukázateľného upozornenia vodičov mini</w:t>
      </w:r>
      <w:r>
        <w:rPr>
          <w:rFonts w:ascii="Times New Roman" w:hAnsi="Times New Roman" w:cs="Times New Roman"/>
          <w:sz w:val="24"/>
          <w:szCs w:val="24"/>
        </w:rPr>
        <w:t>sterstva  na zistené nedostatky</w:t>
      </w:r>
      <w:r w:rsidRPr="00405552">
        <w:rPr>
          <w:rFonts w:ascii="Times New Roman" w:hAnsi="Times New Roman" w:cs="Times New Roman"/>
          <w:sz w:val="24"/>
          <w:szCs w:val="24"/>
        </w:rPr>
        <w:t>;</w:t>
      </w:r>
    </w:p>
    <w:p w:rsidR="00EB388D" w:rsidP="00EB388D">
      <w:pPr>
        <w:pStyle w:val="BodyTextIndent2"/>
        <w:numPr>
          <w:ilvl w:val="0"/>
          <w:numId w:val="6"/>
        </w:numPr>
        <w:tabs>
          <w:tab w:val="left" w:pos="1065"/>
        </w:tabs>
        <w:adjustRightInd/>
        <w:spacing w:after="0" w:line="240" w:lineRule="auto"/>
        <w:textAlignment w:val="auto"/>
        <w:rPr>
          <w:rFonts w:ascii="Times New Roman" w:hAnsi="Times New Roman" w:cs="Times New Roman"/>
          <w:sz w:val="24"/>
          <w:szCs w:val="24"/>
        </w:rPr>
      </w:pPr>
      <w:r w:rsidR="00F1695C">
        <w:rPr>
          <w:rFonts w:ascii="Times New Roman" w:hAnsi="Times New Roman" w:cs="Times New Roman"/>
          <w:sz w:val="24"/>
          <w:szCs w:val="24"/>
        </w:rPr>
        <w:t>a</w:t>
      </w:r>
      <w:r w:rsidRPr="00405552" w:rsidR="00405552">
        <w:rPr>
          <w:rFonts w:ascii="Times New Roman" w:hAnsi="Times New Roman" w:cs="Times New Roman"/>
          <w:sz w:val="24"/>
          <w:szCs w:val="24"/>
        </w:rPr>
        <w:t>ktualizovania smernice o tv</w:t>
      </w:r>
      <w:r>
        <w:rPr>
          <w:rFonts w:ascii="Times New Roman" w:hAnsi="Times New Roman" w:cs="Times New Roman"/>
          <w:sz w:val="24"/>
          <w:szCs w:val="24"/>
        </w:rPr>
        <w:t>orbe a použití sociálneho fondu</w:t>
      </w:r>
      <w:r w:rsidRPr="00405552">
        <w:rPr>
          <w:rFonts w:ascii="Times New Roman" w:hAnsi="Times New Roman" w:cs="Times New Roman"/>
          <w:sz w:val="24"/>
          <w:szCs w:val="24"/>
        </w:rPr>
        <w:t>;</w:t>
      </w:r>
    </w:p>
    <w:p w:rsidR="00405552" w:rsidP="00EB388D">
      <w:pPr>
        <w:pStyle w:val="BodyTextIndent2"/>
        <w:numPr>
          <w:ilvl w:val="0"/>
          <w:numId w:val="6"/>
        </w:numPr>
        <w:tabs>
          <w:tab w:val="left" w:pos="1065"/>
        </w:tabs>
        <w:adjustRightInd/>
        <w:spacing w:after="0" w:line="240" w:lineRule="auto"/>
        <w:textAlignment w:val="auto"/>
        <w:rPr>
          <w:rFonts w:ascii="Times New Roman" w:hAnsi="Times New Roman" w:cs="Times New Roman"/>
          <w:sz w:val="24"/>
          <w:szCs w:val="24"/>
        </w:rPr>
      </w:pPr>
      <w:r w:rsidR="00F1695C">
        <w:rPr>
          <w:rFonts w:ascii="Times New Roman" w:hAnsi="Times New Roman" w:cs="Times New Roman"/>
          <w:sz w:val="24"/>
          <w:szCs w:val="24"/>
        </w:rPr>
        <w:t>z</w:t>
      </w:r>
      <w:r w:rsidRPr="00405552">
        <w:rPr>
          <w:rFonts w:ascii="Times New Roman" w:hAnsi="Times New Roman" w:cs="Times New Roman"/>
          <w:sz w:val="24"/>
          <w:szCs w:val="24"/>
        </w:rPr>
        <w:t>abezpečenia mesačného prevodu preddavkov na osobitný účet sociálneho fondu prostredníctvom IS Štátnej pokladnice</w:t>
      </w:r>
      <w:r w:rsidR="00EB388D">
        <w:rPr>
          <w:rFonts w:ascii="Times New Roman" w:hAnsi="Times New Roman" w:cs="Times New Roman"/>
          <w:sz w:val="24"/>
          <w:szCs w:val="24"/>
        </w:rPr>
        <w:t xml:space="preserve"> formou trvalého záväzku.</w:t>
      </w:r>
    </w:p>
    <w:p w:rsidR="00EB388D" w:rsidRPr="00405552" w:rsidP="00EB388D">
      <w:pPr>
        <w:pStyle w:val="BodyTextIndent2"/>
        <w:adjustRightInd/>
        <w:spacing w:after="0" w:line="240" w:lineRule="auto"/>
        <w:textAlignment w:val="auto"/>
        <w:rPr>
          <w:rFonts w:ascii="Times New Roman" w:hAnsi="Times New Roman" w:cs="Times New Roman"/>
          <w:sz w:val="24"/>
          <w:szCs w:val="24"/>
        </w:rPr>
      </w:pPr>
    </w:p>
    <w:p w:rsidR="00405552" w:rsidRPr="00405552" w:rsidP="00EB388D">
      <w:pPr>
        <w:spacing w:line="240" w:lineRule="auto"/>
        <w:ind w:firstLine="705"/>
        <w:rPr>
          <w:rFonts w:ascii="Times New Roman" w:hAnsi="Times New Roman" w:cs="Times New Roman"/>
          <w:sz w:val="24"/>
          <w:szCs w:val="24"/>
        </w:rPr>
      </w:pPr>
      <w:r w:rsidRPr="00405552">
        <w:rPr>
          <w:rFonts w:ascii="Times New Roman" w:hAnsi="Times New Roman" w:cs="Times New Roman"/>
          <w:sz w:val="24"/>
          <w:szCs w:val="24"/>
        </w:rPr>
        <w:t>Správa o splnení opatrení bola kontrolnému orgánu zaslaná v stanovenej lehote.</w:t>
      </w:r>
    </w:p>
    <w:p w:rsidR="00405552" w:rsidRPr="00405552" w:rsidP="00405552">
      <w:pPr>
        <w:spacing w:line="240" w:lineRule="auto"/>
        <w:rPr>
          <w:rFonts w:ascii="Times New Roman" w:hAnsi="Times New Roman" w:cs="Times New Roman"/>
          <w:sz w:val="24"/>
          <w:szCs w:val="24"/>
        </w:rPr>
      </w:pPr>
    </w:p>
    <w:p w:rsidR="00405552" w:rsidRPr="00405552" w:rsidP="001654CB">
      <w:pPr>
        <w:numPr>
          <w:ilvl w:val="0"/>
          <w:numId w:val="23"/>
        </w:numPr>
        <w:tabs>
          <w:tab w:val="left" w:pos="360"/>
          <w:tab w:val="clear" w:pos="720"/>
        </w:tabs>
        <w:adjustRightInd/>
        <w:spacing w:line="240" w:lineRule="auto"/>
        <w:ind w:left="360"/>
        <w:textAlignment w:val="auto"/>
        <w:rPr>
          <w:rFonts w:ascii="Times New Roman" w:hAnsi="Times New Roman" w:cs="Times New Roman"/>
          <w:b/>
          <w:sz w:val="24"/>
          <w:szCs w:val="24"/>
        </w:rPr>
      </w:pPr>
      <w:r w:rsidRPr="00405552">
        <w:rPr>
          <w:rFonts w:ascii="Times New Roman" w:hAnsi="Times New Roman" w:cs="Times New Roman"/>
          <w:b/>
          <w:sz w:val="24"/>
          <w:szCs w:val="24"/>
        </w:rPr>
        <w:t>Kontrola štrukturálneho fondu ERDF – Operačného programu Základná infraštruktúra  a Kohézneho fondu</w:t>
      </w:r>
    </w:p>
    <w:p w:rsidR="00F1695C" w:rsidP="00B6316C">
      <w:pPr>
        <w:spacing w:line="240" w:lineRule="auto"/>
        <w:ind w:firstLine="709"/>
        <w:rPr>
          <w:rFonts w:ascii="Times New Roman" w:hAnsi="Times New Roman" w:cs="Times New Roman"/>
          <w:sz w:val="24"/>
          <w:szCs w:val="24"/>
        </w:rPr>
      </w:pPr>
    </w:p>
    <w:p w:rsidR="00405552" w:rsidRPr="00B6316C" w:rsidP="00B6316C">
      <w:pPr>
        <w:spacing w:line="240" w:lineRule="auto"/>
        <w:ind w:firstLine="709"/>
        <w:rPr>
          <w:rFonts w:ascii="Times New Roman" w:hAnsi="Times New Roman" w:cs="Times New Roman"/>
          <w:sz w:val="24"/>
          <w:szCs w:val="24"/>
        </w:rPr>
      </w:pPr>
      <w:r w:rsidRPr="00B6316C" w:rsidR="00B6316C">
        <w:rPr>
          <w:rFonts w:ascii="Times New Roman" w:hAnsi="Times New Roman" w:cs="Times New Roman"/>
          <w:sz w:val="24"/>
          <w:szCs w:val="24"/>
        </w:rPr>
        <w:t>P</w:t>
      </w:r>
      <w:r w:rsidRPr="00B6316C">
        <w:rPr>
          <w:rFonts w:ascii="Times New Roman" w:hAnsi="Times New Roman" w:cs="Times New Roman"/>
          <w:sz w:val="24"/>
          <w:szCs w:val="24"/>
        </w:rPr>
        <w:t>redmetná kontrola bola vykonaná a základe poverenia predsedu NKÚ SR č.1403/02 zo dňa 10.7.2007 a Dodatku č.1 zo dňa 24.9.2007.</w:t>
      </w:r>
      <w:r w:rsidRPr="00B6316C" w:rsidR="00B6316C">
        <w:rPr>
          <w:rFonts w:ascii="Times New Roman" w:hAnsi="Times New Roman" w:cs="Times New Roman"/>
          <w:sz w:val="24"/>
          <w:szCs w:val="24"/>
        </w:rPr>
        <w:t xml:space="preserve"> </w:t>
      </w:r>
      <w:r w:rsidRPr="00B6316C">
        <w:rPr>
          <w:rFonts w:ascii="Times New Roman" w:hAnsi="Times New Roman" w:cs="Times New Roman"/>
          <w:sz w:val="24"/>
          <w:szCs w:val="24"/>
        </w:rPr>
        <w:t>V kontrolovanej oblasti boli zistené nasledovné nedostatky:</w:t>
      </w:r>
    </w:p>
    <w:p w:rsidR="00B6316C" w:rsidRPr="00B6316C" w:rsidP="00B6316C">
      <w:pPr>
        <w:spacing w:line="240" w:lineRule="auto"/>
        <w:ind w:firstLine="709"/>
        <w:rPr>
          <w:rFonts w:ascii="Times New Roman" w:hAnsi="Times New Roman" w:cs="Times New Roman"/>
          <w:sz w:val="24"/>
          <w:szCs w:val="24"/>
        </w:rPr>
      </w:pPr>
    </w:p>
    <w:p w:rsidR="00405552" w:rsidRPr="00405552" w:rsidP="001654CB">
      <w:pPr>
        <w:numPr>
          <w:ilvl w:val="0"/>
          <w:numId w:val="11"/>
        </w:numPr>
        <w:tabs>
          <w:tab w:val="left" w:pos="360"/>
        </w:tabs>
        <w:adjustRightInd/>
        <w:spacing w:line="240" w:lineRule="auto"/>
        <w:ind w:left="357" w:hanging="357"/>
        <w:textAlignment w:val="auto"/>
        <w:rPr>
          <w:rFonts w:ascii="Times New Roman" w:hAnsi="Times New Roman" w:cs="Times New Roman"/>
          <w:sz w:val="24"/>
          <w:szCs w:val="24"/>
        </w:rPr>
      </w:pPr>
      <w:r w:rsidR="00F1695C">
        <w:rPr>
          <w:rFonts w:ascii="Times New Roman" w:hAnsi="Times New Roman" w:cs="Times New Roman"/>
          <w:sz w:val="24"/>
          <w:szCs w:val="24"/>
        </w:rPr>
        <w:t>v</w:t>
      </w:r>
      <w:r w:rsidRPr="00405552">
        <w:rPr>
          <w:rFonts w:ascii="Times New Roman" w:hAnsi="Times New Roman" w:cs="Times New Roman"/>
          <w:sz w:val="24"/>
          <w:szCs w:val="24"/>
        </w:rPr>
        <w:t>ysoká fluktuácia na sprostredkovateľskom orgáne pod riadiacim orgánom (SORO)      a nízka obsadenosť pracovných pozícií na pr</w:t>
      </w:r>
      <w:r w:rsidR="007937A9">
        <w:rPr>
          <w:rFonts w:ascii="Times New Roman" w:hAnsi="Times New Roman" w:cs="Times New Roman"/>
          <w:sz w:val="24"/>
          <w:szCs w:val="24"/>
        </w:rPr>
        <w:t>ogramovacie obdobie 2007 - 2013</w:t>
      </w:r>
      <w:r w:rsidRPr="00405552" w:rsidR="007937A9">
        <w:rPr>
          <w:rFonts w:ascii="Times New Roman" w:hAnsi="Times New Roman" w:cs="Times New Roman"/>
          <w:sz w:val="24"/>
          <w:szCs w:val="24"/>
        </w:rPr>
        <w:t>;</w:t>
      </w:r>
    </w:p>
    <w:p w:rsidR="00405552" w:rsidRPr="00405552" w:rsidP="001654CB">
      <w:pPr>
        <w:numPr>
          <w:ilvl w:val="0"/>
          <w:numId w:val="11"/>
        </w:numPr>
        <w:tabs>
          <w:tab w:val="left" w:pos="360"/>
        </w:tabs>
        <w:adjustRightInd/>
        <w:spacing w:line="240" w:lineRule="auto"/>
        <w:ind w:left="357" w:hanging="357"/>
        <w:textAlignment w:val="auto"/>
        <w:rPr>
          <w:rFonts w:ascii="Times New Roman" w:hAnsi="Times New Roman" w:cs="Times New Roman"/>
          <w:sz w:val="24"/>
          <w:szCs w:val="24"/>
        </w:rPr>
      </w:pPr>
      <w:r w:rsidRPr="00405552">
        <w:rPr>
          <w:rFonts w:ascii="Times New Roman" w:hAnsi="Times New Roman" w:cs="Times New Roman"/>
          <w:sz w:val="24"/>
          <w:szCs w:val="24"/>
        </w:rPr>
        <w:t>80 % diela v prevádzke nebolo podľa zákona o účtovníctve zaradených do majetku k</w:t>
      </w:r>
      <w:r w:rsidR="007937A9">
        <w:rPr>
          <w:rFonts w:ascii="Times New Roman" w:hAnsi="Times New Roman" w:cs="Times New Roman"/>
          <w:sz w:val="24"/>
          <w:szCs w:val="24"/>
        </w:rPr>
        <w:t>onečného prijímateľa (KP) (ŽSR)</w:t>
      </w:r>
      <w:r w:rsidRPr="007937A9" w:rsidR="007937A9">
        <w:rPr>
          <w:rFonts w:ascii="Times New Roman" w:hAnsi="Times New Roman" w:cs="Times New Roman"/>
          <w:sz w:val="24"/>
          <w:szCs w:val="24"/>
        </w:rPr>
        <w:t xml:space="preserve"> </w:t>
      </w:r>
      <w:r w:rsidRPr="00405552" w:rsidR="007937A9">
        <w:rPr>
          <w:rFonts w:ascii="Times New Roman" w:hAnsi="Times New Roman" w:cs="Times New Roman"/>
          <w:sz w:val="24"/>
          <w:szCs w:val="24"/>
        </w:rPr>
        <w:t>;</w:t>
      </w:r>
    </w:p>
    <w:p w:rsidR="00405552" w:rsidRPr="00405552" w:rsidP="001654CB">
      <w:pPr>
        <w:numPr>
          <w:ilvl w:val="0"/>
          <w:numId w:val="11"/>
        </w:numPr>
        <w:tabs>
          <w:tab w:val="left" w:pos="360"/>
        </w:tabs>
        <w:adjustRightInd/>
        <w:spacing w:line="240" w:lineRule="auto"/>
        <w:ind w:left="357" w:hanging="357"/>
        <w:textAlignment w:val="auto"/>
        <w:rPr>
          <w:rFonts w:ascii="Times New Roman" w:hAnsi="Times New Roman" w:cs="Times New Roman"/>
          <w:sz w:val="24"/>
          <w:szCs w:val="24"/>
        </w:rPr>
      </w:pPr>
      <w:r w:rsidR="00F1695C">
        <w:rPr>
          <w:rFonts w:ascii="Times New Roman" w:hAnsi="Times New Roman" w:cs="Times New Roman"/>
          <w:sz w:val="24"/>
          <w:szCs w:val="24"/>
        </w:rPr>
        <w:t>n</w:t>
      </w:r>
      <w:r w:rsidRPr="00405552">
        <w:rPr>
          <w:rFonts w:ascii="Times New Roman" w:hAnsi="Times New Roman" w:cs="Times New Roman"/>
          <w:sz w:val="24"/>
          <w:szCs w:val="24"/>
        </w:rPr>
        <w:t>ekonzistencia medzi faktúrami a priloženými súpismi vykonaných prác, čo je v rozpore s </w:t>
      </w:r>
      <w:r w:rsidR="007937A9">
        <w:rPr>
          <w:rFonts w:ascii="Times New Roman" w:hAnsi="Times New Roman" w:cs="Times New Roman"/>
          <w:sz w:val="24"/>
          <w:szCs w:val="24"/>
        </w:rPr>
        <w:t>čl.4 Nariadenia Rady č.438/2001</w:t>
      </w:r>
      <w:r w:rsidRPr="00405552" w:rsidR="007937A9">
        <w:rPr>
          <w:rFonts w:ascii="Times New Roman" w:hAnsi="Times New Roman" w:cs="Times New Roman"/>
          <w:sz w:val="24"/>
          <w:szCs w:val="24"/>
        </w:rPr>
        <w:t>;</w:t>
      </w:r>
    </w:p>
    <w:p w:rsidR="00405552" w:rsidRPr="00405552" w:rsidP="001654CB">
      <w:pPr>
        <w:numPr>
          <w:ilvl w:val="0"/>
          <w:numId w:val="11"/>
        </w:numPr>
        <w:tabs>
          <w:tab w:val="left" w:pos="360"/>
        </w:tabs>
        <w:adjustRightInd/>
        <w:spacing w:line="240" w:lineRule="auto"/>
        <w:ind w:left="357" w:hanging="357"/>
        <w:textAlignment w:val="auto"/>
        <w:rPr>
          <w:rFonts w:ascii="Times New Roman" w:hAnsi="Times New Roman" w:cs="Times New Roman"/>
          <w:sz w:val="24"/>
          <w:szCs w:val="24"/>
        </w:rPr>
      </w:pPr>
      <w:r w:rsidR="00F1695C">
        <w:rPr>
          <w:rFonts w:ascii="Times New Roman" w:hAnsi="Times New Roman" w:cs="Times New Roman"/>
          <w:sz w:val="24"/>
          <w:szCs w:val="24"/>
        </w:rPr>
        <w:t>n</w:t>
      </w:r>
      <w:r w:rsidRPr="00405552">
        <w:rPr>
          <w:rFonts w:ascii="Times New Roman" w:hAnsi="Times New Roman" w:cs="Times New Roman"/>
          <w:sz w:val="24"/>
          <w:szCs w:val="24"/>
        </w:rPr>
        <w:t>edodržanie interného manuálu procedúr na úrovni ŠF MDPT SR vo veci nezávislosti členov výberovej komisie pri verejnom obstarávaní do</w:t>
      </w:r>
      <w:r w:rsidR="007937A9">
        <w:rPr>
          <w:rFonts w:ascii="Times New Roman" w:hAnsi="Times New Roman" w:cs="Times New Roman"/>
          <w:sz w:val="24"/>
          <w:szCs w:val="24"/>
        </w:rPr>
        <w:t>dávky bezpečnostného zariadenia</w:t>
      </w:r>
      <w:r w:rsidRPr="00405552" w:rsidR="007937A9">
        <w:rPr>
          <w:rFonts w:ascii="Times New Roman" w:hAnsi="Times New Roman" w:cs="Times New Roman"/>
          <w:sz w:val="24"/>
          <w:szCs w:val="24"/>
        </w:rPr>
        <w:t>;</w:t>
      </w:r>
    </w:p>
    <w:p w:rsidR="00405552" w:rsidRPr="00405552" w:rsidP="001654CB">
      <w:pPr>
        <w:numPr>
          <w:ilvl w:val="0"/>
          <w:numId w:val="11"/>
        </w:numPr>
        <w:tabs>
          <w:tab w:val="left" w:pos="360"/>
        </w:tabs>
        <w:adjustRightInd/>
        <w:spacing w:line="240" w:lineRule="auto"/>
        <w:ind w:left="357" w:hanging="357"/>
        <w:textAlignment w:val="auto"/>
        <w:rPr>
          <w:rFonts w:ascii="Times New Roman" w:hAnsi="Times New Roman" w:cs="Times New Roman"/>
          <w:sz w:val="24"/>
          <w:szCs w:val="24"/>
        </w:rPr>
      </w:pPr>
      <w:r w:rsidR="00F1695C">
        <w:rPr>
          <w:rFonts w:ascii="Times New Roman" w:hAnsi="Times New Roman" w:cs="Times New Roman"/>
          <w:sz w:val="24"/>
          <w:szCs w:val="24"/>
        </w:rPr>
        <w:t>n</w:t>
      </w:r>
      <w:r w:rsidRPr="00405552">
        <w:rPr>
          <w:rFonts w:ascii="Times New Roman" w:hAnsi="Times New Roman" w:cs="Times New Roman"/>
          <w:sz w:val="24"/>
          <w:szCs w:val="24"/>
        </w:rPr>
        <w:t>eprehľadnosť v evidencii a archivácii dokumentáci</w:t>
      </w:r>
      <w:r w:rsidR="007937A9">
        <w:rPr>
          <w:rFonts w:ascii="Times New Roman" w:hAnsi="Times New Roman" w:cs="Times New Roman"/>
          <w:sz w:val="24"/>
          <w:szCs w:val="24"/>
        </w:rPr>
        <w:t>e pri kontrolovaných projektoch</w:t>
      </w:r>
      <w:r w:rsidRPr="00405552" w:rsidR="007937A9">
        <w:rPr>
          <w:rFonts w:ascii="Times New Roman" w:hAnsi="Times New Roman" w:cs="Times New Roman"/>
          <w:sz w:val="24"/>
          <w:szCs w:val="24"/>
        </w:rPr>
        <w:t>;</w:t>
      </w:r>
    </w:p>
    <w:p w:rsidR="00405552" w:rsidRPr="00405552" w:rsidP="001654CB">
      <w:pPr>
        <w:numPr>
          <w:ilvl w:val="0"/>
          <w:numId w:val="11"/>
        </w:numPr>
        <w:tabs>
          <w:tab w:val="left" w:pos="360"/>
        </w:tabs>
        <w:adjustRightInd/>
        <w:spacing w:line="240" w:lineRule="auto"/>
        <w:ind w:left="357" w:hanging="357"/>
        <w:textAlignment w:val="auto"/>
        <w:rPr>
          <w:rFonts w:ascii="Times New Roman" w:hAnsi="Times New Roman" w:cs="Times New Roman"/>
          <w:sz w:val="24"/>
          <w:szCs w:val="24"/>
        </w:rPr>
      </w:pPr>
      <w:r w:rsidR="00F1695C">
        <w:rPr>
          <w:rFonts w:ascii="Times New Roman" w:hAnsi="Times New Roman" w:cs="Times New Roman"/>
          <w:sz w:val="24"/>
          <w:szCs w:val="24"/>
        </w:rPr>
        <w:t>p</w:t>
      </w:r>
      <w:r w:rsidRPr="00405552">
        <w:rPr>
          <w:rFonts w:ascii="Times New Roman" w:hAnsi="Times New Roman" w:cs="Times New Roman"/>
          <w:sz w:val="24"/>
          <w:szCs w:val="24"/>
        </w:rPr>
        <w:t>latobná jednotka (PJ) MDPT SR nevedie  podľa interného m</w:t>
      </w:r>
      <w:r w:rsidR="007937A9">
        <w:rPr>
          <w:rFonts w:ascii="Times New Roman" w:hAnsi="Times New Roman" w:cs="Times New Roman"/>
          <w:sz w:val="24"/>
          <w:szCs w:val="24"/>
        </w:rPr>
        <w:t>anuálu čiastkovú knihu dlžníkov</w:t>
      </w:r>
      <w:r w:rsidRPr="00405552" w:rsidR="007937A9">
        <w:rPr>
          <w:rFonts w:ascii="Times New Roman" w:hAnsi="Times New Roman" w:cs="Times New Roman"/>
          <w:sz w:val="24"/>
          <w:szCs w:val="24"/>
        </w:rPr>
        <w:t>;</w:t>
      </w:r>
    </w:p>
    <w:p w:rsidR="00405552" w:rsidP="001654CB">
      <w:pPr>
        <w:numPr>
          <w:ilvl w:val="0"/>
          <w:numId w:val="11"/>
        </w:numPr>
        <w:tabs>
          <w:tab w:val="left" w:pos="360"/>
        </w:tabs>
        <w:adjustRightInd/>
        <w:spacing w:line="240" w:lineRule="auto"/>
        <w:ind w:left="357" w:hanging="357"/>
        <w:textAlignment w:val="auto"/>
        <w:rPr>
          <w:rFonts w:ascii="Times New Roman" w:hAnsi="Times New Roman" w:cs="Times New Roman"/>
          <w:sz w:val="24"/>
          <w:szCs w:val="24"/>
        </w:rPr>
      </w:pPr>
      <w:r w:rsidR="00F1695C">
        <w:rPr>
          <w:rFonts w:ascii="Times New Roman" w:hAnsi="Times New Roman" w:cs="Times New Roman"/>
          <w:sz w:val="24"/>
          <w:szCs w:val="24"/>
        </w:rPr>
        <w:t>n</w:t>
      </w:r>
      <w:r w:rsidRPr="00405552">
        <w:rPr>
          <w:rFonts w:ascii="Times New Roman" w:hAnsi="Times New Roman" w:cs="Times New Roman"/>
          <w:sz w:val="24"/>
          <w:szCs w:val="24"/>
        </w:rPr>
        <w:t xml:space="preserve">ekonzistencia medzi platnou Koncepciou systému finančného riadenia a trojdohodami medzi Platobným orgánom, SORO/PJ a Implementačným orgánom (IO) a neaktuálnosť interných manuálov procedúr.     </w:t>
      </w:r>
    </w:p>
    <w:p w:rsidR="007937A9" w:rsidRPr="00405552" w:rsidP="007937A9">
      <w:pPr>
        <w:adjustRightInd/>
        <w:spacing w:line="240" w:lineRule="auto"/>
        <w:textAlignment w:val="auto"/>
        <w:rPr>
          <w:rFonts w:ascii="Times New Roman" w:hAnsi="Times New Roman" w:cs="Times New Roman"/>
          <w:sz w:val="24"/>
          <w:szCs w:val="24"/>
        </w:rPr>
      </w:pPr>
    </w:p>
    <w:p w:rsidR="00405552" w:rsidP="00405552">
      <w:pPr>
        <w:pStyle w:val="BodyTextIndent2"/>
        <w:spacing w:after="0" w:line="240" w:lineRule="auto"/>
        <w:rPr>
          <w:rFonts w:ascii="Times New Roman" w:hAnsi="Times New Roman" w:cs="Times New Roman"/>
          <w:sz w:val="24"/>
          <w:szCs w:val="24"/>
        </w:rPr>
      </w:pPr>
      <w:r w:rsidRPr="00405552">
        <w:rPr>
          <w:rFonts w:ascii="Times New Roman" w:hAnsi="Times New Roman" w:cs="Times New Roman"/>
          <w:sz w:val="24"/>
          <w:szCs w:val="24"/>
        </w:rPr>
        <w:t xml:space="preserve">Na základe výsledkov kontroly bolo prijatých celkom 7 vecných opatrení, ktoré sa týkali: </w:t>
      </w:r>
    </w:p>
    <w:p w:rsidR="007937A9" w:rsidRPr="00405552" w:rsidP="00405552">
      <w:pPr>
        <w:pStyle w:val="BodyTextIndent2"/>
        <w:spacing w:after="0" w:line="240" w:lineRule="auto"/>
        <w:rPr>
          <w:rFonts w:ascii="Times New Roman" w:hAnsi="Times New Roman" w:cs="Times New Roman"/>
          <w:sz w:val="24"/>
          <w:szCs w:val="24"/>
        </w:rPr>
      </w:pPr>
    </w:p>
    <w:p w:rsidR="00405552" w:rsidRPr="00405552" w:rsidP="00405552">
      <w:pPr>
        <w:pStyle w:val="BodyTextIndent2"/>
        <w:numPr>
          <w:ilvl w:val="0"/>
          <w:numId w:val="12"/>
        </w:numPr>
        <w:tabs>
          <w:tab w:val="left" w:pos="360"/>
        </w:tabs>
        <w:adjustRightInd/>
        <w:spacing w:after="0" w:line="240" w:lineRule="auto"/>
        <w:textAlignment w:val="auto"/>
        <w:rPr>
          <w:rFonts w:ascii="Times New Roman" w:hAnsi="Times New Roman" w:cs="Times New Roman"/>
          <w:sz w:val="24"/>
          <w:szCs w:val="24"/>
        </w:rPr>
      </w:pPr>
      <w:r w:rsidR="00F1695C">
        <w:rPr>
          <w:rFonts w:ascii="Times New Roman" w:hAnsi="Times New Roman" w:cs="Times New Roman"/>
          <w:sz w:val="24"/>
          <w:szCs w:val="24"/>
        </w:rPr>
        <w:t>z</w:t>
      </w:r>
      <w:r w:rsidRPr="00405552">
        <w:rPr>
          <w:rFonts w:ascii="Times New Roman" w:hAnsi="Times New Roman" w:cs="Times New Roman"/>
          <w:sz w:val="24"/>
          <w:szCs w:val="24"/>
        </w:rPr>
        <w:t>apĺňania administratívnych rezerv na MDPT SR a obm</w:t>
      </w:r>
      <w:r w:rsidR="007937A9">
        <w:rPr>
          <w:rFonts w:ascii="Times New Roman" w:hAnsi="Times New Roman" w:cs="Times New Roman"/>
          <w:sz w:val="24"/>
          <w:szCs w:val="24"/>
        </w:rPr>
        <w:t>edzenia fluktuácie zamestnancov</w:t>
      </w:r>
      <w:r w:rsidRPr="00405552" w:rsidR="007937A9">
        <w:rPr>
          <w:rFonts w:ascii="Times New Roman" w:hAnsi="Times New Roman" w:cs="Times New Roman"/>
          <w:sz w:val="24"/>
          <w:szCs w:val="24"/>
        </w:rPr>
        <w:t>;</w:t>
      </w:r>
    </w:p>
    <w:p w:rsidR="00405552" w:rsidRPr="00405552" w:rsidP="00405552">
      <w:pPr>
        <w:pStyle w:val="BodyTextIndent2"/>
        <w:numPr>
          <w:ilvl w:val="0"/>
          <w:numId w:val="12"/>
        </w:numPr>
        <w:tabs>
          <w:tab w:val="left" w:pos="360"/>
        </w:tabs>
        <w:adjustRightInd/>
        <w:spacing w:after="0" w:line="240" w:lineRule="auto"/>
        <w:textAlignment w:val="auto"/>
        <w:rPr>
          <w:rFonts w:ascii="Times New Roman" w:hAnsi="Times New Roman" w:cs="Times New Roman"/>
          <w:sz w:val="24"/>
          <w:szCs w:val="24"/>
        </w:rPr>
      </w:pPr>
      <w:r w:rsidR="00F1695C">
        <w:rPr>
          <w:rFonts w:ascii="Times New Roman" w:hAnsi="Times New Roman" w:cs="Times New Roman"/>
          <w:sz w:val="24"/>
          <w:szCs w:val="24"/>
        </w:rPr>
        <w:t>z</w:t>
      </w:r>
      <w:r w:rsidRPr="00405552">
        <w:rPr>
          <w:rFonts w:ascii="Times New Roman" w:hAnsi="Times New Roman" w:cs="Times New Roman"/>
          <w:sz w:val="24"/>
          <w:szCs w:val="24"/>
        </w:rPr>
        <w:t>aradenia diela do majetku</w:t>
      </w:r>
      <w:r w:rsidR="007937A9">
        <w:rPr>
          <w:rFonts w:ascii="Times New Roman" w:hAnsi="Times New Roman" w:cs="Times New Roman"/>
          <w:sz w:val="24"/>
          <w:szCs w:val="24"/>
        </w:rPr>
        <w:t xml:space="preserve"> ŽSR podľa zákona o účtovníctve</w:t>
      </w:r>
      <w:r w:rsidRPr="00405552" w:rsidR="007937A9">
        <w:rPr>
          <w:rFonts w:ascii="Times New Roman" w:hAnsi="Times New Roman" w:cs="Times New Roman"/>
          <w:sz w:val="24"/>
          <w:szCs w:val="24"/>
        </w:rPr>
        <w:t>;</w:t>
      </w:r>
    </w:p>
    <w:p w:rsidR="00405552" w:rsidRPr="00405552" w:rsidP="00405552">
      <w:pPr>
        <w:pStyle w:val="BodyTextIndent2"/>
        <w:numPr>
          <w:ilvl w:val="0"/>
          <w:numId w:val="12"/>
        </w:numPr>
        <w:tabs>
          <w:tab w:val="left" w:pos="360"/>
        </w:tabs>
        <w:adjustRightInd/>
        <w:spacing w:after="0" w:line="240" w:lineRule="auto"/>
        <w:textAlignment w:val="auto"/>
        <w:rPr>
          <w:rFonts w:ascii="Times New Roman" w:hAnsi="Times New Roman" w:cs="Times New Roman"/>
          <w:sz w:val="24"/>
          <w:szCs w:val="24"/>
        </w:rPr>
      </w:pPr>
      <w:r w:rsidR="00F1695C">
        <w:rPr>
          <w:rFonts w:ascii="Times New Roman" w:hAnsi="Times New Roman" w:cs="Times New Roman"/>
          <w:sz w:val="24"/>
          <w:szCs w:val="24"/>
        </w:rPr>
        <w:t>u</w:t>
      </w:r>
      <w:r w:rsidRPr="00405552">
        <w:rPr>
          <w:rFonts w:ascii="Times New Roman" w:hAnsi="Times New Roman" w:cs="Times New Roman"/>
          <w:sz w:val="24"/>
          <w:szCs w:val="24"/>
        </w:rPr>
        <w:t xml:space="preserve">pozornenia zodpovedných zamestnancov KP na postupy pri predkladaní faktúr                s prílohami v zmysle </w:t>
      </w:r>
      <w:r w:rsidR="007937A9">
        <w:rPr>
          <w:rFonts w:ascii="Times New Roman" w:hAnsi="Times New Roman" w:cs="Times New Roman"/>
          <w:sz w:val="24"/>
          <w:szCs w:val="24"/>
        </w:rPr>
        <w:t>čl.4 Nariadenia Rady č.438/2001</w:t>
      </w:r>
      <w:r w:rsidRPr="00405552" w:rsidR="007937A9">
        <w:rPr>
          <w:rFonts w:ascii="Times New Roman" w:hAnsi="Times New Roman" w:cs="Times New Roman"/>
          <w:sz w:val="24"/>
          <w:szCs w:val="24"/>
        </w:rPr>
        <w:t>;</w:t>
      </w:r>
    </w:p>
    <w:p w:rsidR="00405552" w:rsidRPr="00405552" w:rsidP="00405552">
      <w:pPr>
        <w:pStyle w:val="BodyTextIndent2"/>
        <w:numPr>
          <w:ilvl w:val="0"/>
          <w:numId w:val="12"/>
        </w:numPr>
        <w:tabs>
          <w:tab w:val="left" w:pos="360"/>
        </w:tabs>
        <w:adjustRightInd/>
        <w:spacing w:after="0" w:line="240" w:lineRule="auto"/>
        <w:textAlignment w:val="auto"/>
        <w:rPr>
          <w:rFonts w:ascii="Times New Roman" w:hAnsi="Times New Roman" w:cs="Times New Roman"/>
          <w:sz w:val="24"/>
          <w:szCs w:val="24"/>
        </w:rPr>
      </w:pPr>
      <w:r w:rsidR="00F1695C">
        <w:rPr>
          <w:rFonts w:ascii="Times New Roman" w:hAnsi="Times New Roman" w:cs="Times New Roman"/>
          <w:sz w:val="24"/>
          <w:szCs w:val="24"/>
        </w:rPr>
        <w:t>u</w:t>
      </w:r>
      <w:r w:rsidRPr="00405552">
        <w:rPr>
          <w:rFonts w:ascii="Times New Roman" w:hAnsi="Times New Roman" w:cs="Times New Roman"/>
          <w:sz w:val="24"/>
          <w:szCs w:val="24"/>
        </w:rPr>
        <w:t>pozornenia zodpovedných manažérov na povinnosti v oblasti re</w:t>
      </w:r>
      <w:r w:rsidR="007937A9">
        <w:rPr>
          <w:rFonts w:ascii="Times New Roman" w:hAnsi="Times New Roman" w:cs="Times New Roman"/>
          <w:sz w:val="24"/>
          <w:szCs w:val="24"/>
        </w:rPr>
        <w:t>alizácie verejného obstarávania</w:t>
      </w:r>
      <w:r w:rsidRPr="00405552" w:rsidR="007937A9">
        <w:rPr>
          <w:rFonts w:ascii="Times New Roman" w:hAnsi="Times New Roman" w:cs="Times New Roman"/>
          <w:sz w:val="24"/>
          <w:szCs w:val="24"/>
        </w:rPr>
        <w:t>;</w:t>
      </w:r>
    </w:p>
    <w:p w:rsidR="00405552" w:rsidRPr="00405552" w:rsidP="00405552">
      <w:pPr>
        <w:pStyle w:val="BodyTextIndent2"/>
        <w:numPr>
          <w:ilvl w:val="0"/>
          <w:numId w:val="12"/>
        </w:numPr>
        <w:tabs>
          <w:tab w:val="left" w:pos="360"/>
        </w:tabs>
        <w:adjustRightInd/>
        <w:spacing w:after="0" w:line="240" w:lineRule="auto"/>
        <w:textAlignment w:val="auto"/>
        <w:rPr>
          <w:rFonts w:ascii="Times New Roman" w:hAnsi="Times New Roman" w:cs="Times New Roman"/>
          <w:sz w:val="24"/>
          <w:szCs w:val="24"/>
        </w:rPr>
      </w:pPr>
      <w:r w:rsidR="00F1695C">
        <w:rPr>
          <w:rFonts w:ascii="Times New Roman" w:hAnsi="Times New Roman" w:cs="Times New Roman"/>
          <w:sz w:val="24"/>
          <w:szCs w:val="24"/>
        </w:rPr>
        <w:t>d</w:t>
      </w:r>
      <w:r w:rsidRPr="00405552">
        <w:rPr>
          <w:rFonts w:ascii="Times New Roman" w:hAnsi="Times New Roman" w:cs="Times New Roman"/>
          <w:sz w:val="24"/>
          <w:szCs w:val="24"/>
        </w:rPr>
        <w:t>opracovania postupu  na zabezpečenie kompletnosti evidencie</w:t>
      </w:r>
      <w:r w:rsidR="007937A9">
        <w:rPr>
          <w:rFonts w:ascii="Times New Roman" w:hAnsi="Times New Roman" w:cs="Times New Roman"/>
          <w:sz w:val="24"/>
          <w:szCs w:val="24"/>
        </w:rPr>
        <w:t xml:space="preserve"> a vedenia dokumentácie</w:t>
      </w:r>
      <w:r w:rsidRPr="00405552" w:rsidR="007937A9">
        <w:rPr>
          <w:rFonts w:ascii="Times New Roman" w:hAnsi="Times New Roman" w:cs="Times New Roman"/>
          <w:sz w:val="24"/>
          <w:szCs w:val="24"/>
        </w:rPr>
        <w:t>;</w:t>
      </w:r>
    </w:p>
    <w:p w:rsidR="00405552" w:rsidRPr="00405552" w:rsidP="00405552">
      <w:pPr>
        <w:pStyle w:val="BodyTextIndent2"/>
        <w:numPr>
          <w:ilvl w:val="0"/>
          <w:numId w:val="12"/>
        </w:numPr>
        <w:tabs>
          <w:tab w:val="left" w:pos="360"/>
        </w:tabs>
        <w:adjustRightInd/>
        <w:spacing w:after="0" w:line="240" w:lineRule="auto"/>
        <w:textAlignment w:val="auto"/>
        <w:rPr>
          <w:rFonts w:ascii="Times New Roman" w:hAnsi="Times New Roman" w:cs="Times New Roman"/>
          <w:sz w:val="24"/>
          <w:szCs w:val="24"/>
        </w:rPr>
      </w:pPr>
      <w:r w:rsidR="00F1695C">
        <w:rPr>
          <w:rFonts w:ascii="Times New Roman" w:hAnsi="Times New Roman" w:cs="Times New Roman"/>
          <w:sz w:val="24"/>
          <w:szCs w:val="24"/>
        </w:rPr>
        <w:t>z</w:t>
      </w:r>
      <w:r w:rsidRPr="00405552">
        <w:rPr>
          <w:rFonts w:ascii="Times New Roman" w:hAnsi="Times New Roman" w:cs="Times New Roman"/>
          <w:sz w:val="24"/>
          <w:szCs w:val="24"/>
        </w:rPr>
        <w:t>avedenia čiastkovej knihy dlžníkov na platobnej jednotke a jej odsúhlasenia s údajmi knihy dlžní</w:t>
      </w:r>
      <w:r w:rsidR="007937A9">
        <w:rPr>
          <w:rFonts w:ascii="Times New Roman" w:hAnsi="Times New Roman" w:cs="Times New Roman"/>
          <w:sz w:val="24"/>
          <w:szCs w:val="24"/>
        </w:rPr>
        <w:t>kov, ktorú vedie platobný orgán</w:t>
      </w:r>
      <w:r w:rsidRPr="00405552" w:rsidR="007937A9">
        <w:rPr>
          <w:rFonts w:ascii="Times New Roman" w:hAnsi="Times New Roman" w:cs="Times New Roman"/>
          <w:sz w:val="24"/>
          <w:szCs w:val="24"/>
        </w:rPr>
        <w:t>;</w:t>
      </w:r>
    </w:p>
    <w:p w:rsidR="00405552" w:rsidP="00405552">
      <w:pPr>
        <w:pStyle w:val="BodyTextIndent2"/>
        <w:numPr>
          <w:ilvl w:val="0"/>
          <w:numId w:val="12"/>
        </w:numPr>
        <w:tabs>
          <w:tab w:val="left" w:pos="360"/>
        </w:tabs>
        <w:adjustRightInd/>
        <w:spacing w:after="0" w:line="240" w:lineRule="auto"/>
        <w:textAlignment w:val="auto"/>
        <w:rPr>
          <w:rFonts w:ascii="Times New Roman" w:hAnsi="Times New Roman" w:cs="Times New Roman"/>
          <w:sz w:val="24"/>
          <w:szCs w:val="24"/>
        </w:rPr>
      </w:pPr>
      <w:r w:rsidR="00F1695C">
        <w:rPr>
          <w:rFonts w:ascii="Times New Roman" w:hAnsi="Times New Roman" w:cs="Times New Roman"/>
          <w:sz w:val="24"/>
          <w:szCs w:val="24"/>
        </w:rPr>
        <w:t>r</w:t>
      </w:r>
      <w:r w:rsidRPr="00405552">
        <w:rPr>
          <w:rFonts w:ascii="Times New Roman" w:hAnsi="Times New Roman" w:cs="Times New Roman"/>
          <w:sz w:val="24"/>
          <w:szCs w:val="24"/>
        </w:rPr>
        <w:t xml:space="preserve">iešenia konzistentnosti medzi interným manuálom a platnou Koncepciou systému finančného riadenia, formou aktualizácie interného manuálu pre KF. </w:t>
      </w:r>
    </w:p>
    <w:p w:rsidR="007937A9" w:rsidRPr="00405552" w:rsidP="007937A9">
      <w:pPr>
        <w:pStyle w:val="BodyTextIndent2"/>
        <w:adjustRightInd/>
        <w:spacing w:after="0" w:line="240" w:lineRule="auto"/>
        <w:ind w:left="0"/>
        <w:textAlignment w:val="auto"/>
        <w:rPr>
          <w:rFonts w:ascii="Times New Roman" w:hAnsi="Times New Roman" w:cs="Times New Roman"/>
          <w:sz w:val="24"/>
          <w:szCs w:val="24"/>
        </w:rPr>
      </w:pPr>
    </w:p>
    <w:p w:rsidR="00405552" w:rsidRPr="00405552" w:rsidP="0045461A">
      <w:pPr>
        <w:spacing w:line="240" w:lineRule="auto"/>
        <w:ind w:left="357" w:firstLine="352"/>
        <w:rPr>
          <w:rFonts w:ascii="Times New Roman" w:hAnsi="Times New Roman" w:cs="Times New Roman"/>
          <w:sz w:val="24"/>
          <w:szCs w:val="24"/>
        </w:rPr>
      </w:pPr>
      <w:r w:rsidRPr="00405552">
        <w:rPr>
          <w:rFonts w:ascii="Times New Roman" w:hAnsi="Times New Roman" w:cs="Times New Roman"/>
          <w:sz w:val="24"/>
          <w:szCs w:val="24"/>
        </w:rPr>
        <w:t>Správa o splnení opatrení bude kontrolnému orgánu zaslaná 31.05.2008.</w:t>
      </w:r>
    </w:p>
    <w:p w:rsidR="007937A9" w:rsidRPr="00405552" w:rsidP="00405552">
      <w:pPr>
        <w:spacing w:line="240" w:lineRule="auto"/>
        <w:rPr>
          <w:rFonts w:ascii="Times New Roman" w:hAnsi="Times New Roman" w:cs="Times New Roman"/>
          <w:b/>
          <w:sz w:val="24"/>
          <w:szCs w:val="24"/>
          <w:u w:val="single"/>
        </w:rPr>
      </w:pPr>
    </w:p>
    <w:p w:rsidR="00405552" w:rsidRPr="007937A9" w:rsidP="00405552">
      <w:pPr>
        <w:spacing w:line="240" w:lineRule="auto"/>
        <w:rPr>
          <w:rFonts w:ascii="Times New Roman" w:hAnsi="Times New Roman" w:cs="Times New Roman"/>
          <w:b/>
          <w:sz w:val="24"/>
          <w:szCs w:val="24"/>
          <w:u w:val="single"/>
        </w:rPr>
      </w:pPr>
      <w:r w:rsidR="007937A9">
        <w:rPr>
          <w:rFonts w:ascii="Times New Roman" w:hAnsi="Times New Roman" w:cs="Times New Roman"/>
          <w:b/>
          <w:sz w:val="24"/>
          <w:szCs w:val="24"/>
          <w:u w:val="single"/>
        </w:rPr>
        <w:t xml:space="preserve">A.2. </w:t>
      </w:r>
      <w:r w:rsidRPr="007937A9">
        <w:rPr>
          <w:rFonts w:ascii="Times New Roman" w:hAnsi="Times New Roman" w:cs="Times New Roman"/>
          <w:b/>
          <w:sz w:val="24"/>
          <w:szCs w:val="24"/>
          <w:u w:val="single"/>
        </w:rPr>
        <w:t>Následné finančné kontroly prostriedkov štátneho rozpočtu vykonané z úrovne Ministerstva financií SR (MF SR)</w:t>
      </w:r>
    </w:p>
    <w:p w:rsidR="007937A9" w:rsidRPr="00405552" w:rsidP="00405552">
      <w:pPr>
        <w:spacing w:line="240" w:lineRule="auto"/>
        <w:rPr>
          <w:rFonts w:ascii="Times New Roman" w:hAnsi="Times New Roman" w:cs="Times New Roman"/>
          <w:b/>
          <w:sz w:val="24"/>
          <w:szCs w:val="24"/>
          <w:u w:val="single"/>
        </w:rPr>
      </w:pPr>
    </w:p>
    <w:p w:rsidR="00405552" w:rsidP="007937A9">
      <w:pPr>
        <w:pStyle w:val="Heading4"/>
        <w:spacing w:line="240" w:lineRule="auto"/>
        <w:ind w:firstLine="709"/>
        <w:rPr>
          <w:rFonts w:ascii="Times New Roman" w:hAnsi="Times New Roman" w:cs="Times New Roman"/>
        </w:rPr>
      </w:pPr>
      <w:r w:rsidRPr="00405552">
        <w:rPr>
          <w:rFonts w:ascii="Times New Roman" w:hAnsi="Times New Roman" w:cs="Times New Roman"/>
        </w:rPr>
        <w:t>V priebehu roka 2007 bola na MDPT SR vykonaná 1 následná finančná kontrola (NFK)</w:t>
      </w:r>
      <w:r w:rsidRPr="00405552">
        <w:rPr>
          <w:rFonts w:ascii="Times New Roman" w:hAnsi="Times New Roman" w:cs="Times New Roman"/>
          <w:b/>
        </w:rPr>
        <w:t xml:space="preserve"> </w:t>
      </w:r>
      <w:r w:rsidRPr="00405552">
        <w:rPr>
          <w:rFonts w:ascii="Times New Roman" w:hAnsi="Times New Roman" w:cs="Times New Roman"/>
        </w:rPr>
        <w:t>z úrovne MF SR, a to na základe poverenia ministra financií SR č. MF/01055</w:t>
      </w:r>
      <w:r w:rsidR="007937A9">
        <w:rPr>
          <w:rFonts w:ascii="Times New Roman" w:hAnsi="Times New Roman" w:cs="Times New Roman"/>
        </w:rPr>
        <w:t>2/2007-911 zo dňa 25.01.2007. J</w:t>
      </w:r>
      <w:r w:rsidRPr="00405552">
        <w:rPr>
          <w:rFonts w:ascii="Times New Roman" w:hAnsi="Times New Roman" w:cs="Times New Roman"/>
        </w:rPr>
        <w:t>ej predmetom bola kontrola položiek účtovnej závierky za rok 2006 so zameraním na použitie verejných prostriedkov pri obstaraní dlhodobého majetku na MDPT SR.</w:t>
      </w:r>
      <w:r w:rsidR="007937A9">
        <w:rPr>
          <w:rFonts w:ascii="Times New Roman" w:hAnsi="Times New Roman" w:cs="Times New Roman"/>
        </w:rPr>
        <w:t xml:space="preserve"> </w:t>
      </w:r>
      <w:r w:rsidRPr="00405552">
        <w:rPr>
          <w:rFonts w:ascii="Times New Roman" w:hAnsi="Times New Roman" w:cs="Times New Roman"/>
        </w:rPr>
        <w:t xml:space="preserve">Kontrolou bolo zistených 8 nedostatkov, ktoré boli klasifikované ako – ostatné zistenia v celkovej </w:t>
      </w:r>
      <w:r w:rsidR="00F1695C">
        <w:rPr>
          <w:rFonts w:ascii="Times New Roman" w:hAnsi="Times New Roman" w:cs="Times New Roman"/>
        </w:rPr>
        <w:t xml:space="preserve">sume 7 276 099,- Sk. Išlo </w:t>
      </w:r>
      <w:r w:rsidRPr="00405552">
        <w:rPr>
          <w:rFonts w:ascii="Times New Roman" w:hAnsi="Times New Roman" w:cs="Times New Roman"/>
        </w:rPr>
        <w:t>o postup v rozpore s príslušnými ustanoveniami zákona č. 431/2002 Z.z. o účtovníctve, a to napr.:</w:t>
      </w:r>
    </w:p>
    <w:p w:rsidR="00CD2071" w:rsidRPr="00CD2071" w:rsidP="00CD2071">
      <w:pPr>
        <w:rPr>
          <w:rFonts w:ascii="Times New Roman" w:hAnsi="Times New Roman" w:cs="Times New Roman"/>
        </w:rPr>
      </w:pPr>
    </w:p>
    <w:p w:rsidR="007937A9" w:rsidP="007937A9">
      <w:pPr>
        <w:numPr>
          <w:ilvl w:val="0"/>
          <w:numId w:val="12"/>
        </w:numPr>
        <w:tabs>
          <w:tab w:val="left" w:pos="360"/>
        </w:tabs>
        <w:adjustRightInd/>
        <w:spacing w:line="240" w:lineRule="auto"/>
        <w:textAlignment w:val="auto"/>
        <w:rPr>
          <w:rFonts w:ascii="Times New Roman" w:hAnsi="Times New Roman" w:cs="Times New Roman"/>
          <w:sz w:val="24"/>
          <w:szCs w:val="24"/>
        </w:rPr>
      </w:pPr>
      <w:r w:rsidR="00F1695C">
        <w:rPr>
          <w:rFonts w:ascii="Times New Roman" w:hAnsi="Times New Roman" w:cs="Times New Roman"/>
          <w:sz w:val="24"/>
          <w:szCs w:val="24"/>
        </w:rPr>
        <w:t>n</w:t>
      </w:r>
      <w:r w:rsidRPr="00405552" w:rsidR="00405552">
        <w:rPr>
          <w:rFonts w:ascii="Times New Roman" w:hAnsi="Times New Roman" w:cs="Times New Roman"/>
          <w:sz w:val="24"/>
          <w:szCs w:val="24"/>
        </w:rPr>
        <w:t>esprávne účtovanie na ú</w:t>
      </w:r>
      <w:r>
        <w:rPr>
          <w:rFonts w:ascii="Times New Roman" w:hAnsi="Times New Roman" w:cs="Times New Roman"/>
          <w:sz w:val="24"/>
          <w:szCs w:val="24"/>
        </w:rPr>
        <w:t>čte 041 - obstaranie DHM – hardwa</w:t>
      </w:r>
      <w:r w:rsidRPr="00405552" w:rsidR="00405552">
        <w:rPr>
          <w:rFonts w:ascii="Times New Roman" w:hAnsi="Times New Roman" w:cs="Times New Roman"/>
          <w:sz w:val="24"/>
          <w:szCs w:val="24"/>
        </w:rPr>
        <w:t xml:space="preserve">rová platforma systému na podporu </w:t>
      </w:r>
      <w:r w:rsidR="00F1695C">
        <w:rPr>
          <w:rFonts w:ascii="Times New Roman" w:hAnsi="Times New Roman" w:cs="Times New Roman"/>
          <w:sz w:val="24"/>
          <w:szCs w:val="24"/>
        </w:rPr>
        <w:t>EVO s následným účtovaním na úč</w:t>
      </w:r>
      <w:r w:rsidRPr="00405552" w:rsidR="00405552">
        <w:rPr>
          <w:rFonts w:ascii="Times New Roman" w:hAnsi="Times New Roman" w:cs="Times New Roman"/>
          <w:sz w:val="24"/>
          <w:szCs w:val="24"/>
        </w:rPr>
        <w:t>t</w:t>
      </w:r>
      <w:r w:rsidR="00F1695C">
        <w:rPr>
          <w:rFonts w:ascii="Times New Roman" w:hAnsi="Times New Roman" w:cs="Times New Roman"/>
          <w:sz w:val="24"/>
          <w:szCs w:val="24"/>
        </w:rPr>
        <w:t>e</w:t>
      </w:r>
      <w:r w:rsidRPr="00405552" w:rsidR="00405552">
        <w:rPr>
          <w:rFonts w:ascii="Times New Roman" w:hAnsi="Times New Roman" w:cs="Times New Roman"/>
          <w:sz w:val="24"/>
          <w:szCs w:val="24"/>
        </w:rPr>
        <w:t xml:space="preserve"> 022 –</w:t>
      </w:r>
      <w:r>
        <w:rPr>
          <w:rFonts w:ascii="Times New Roman" w:hAnsi="Times New Roman" w:cs="Times New Roman"/>
          <w:sz w:val="24"/>
          <w:szCs w:val="24"/>
        </w:rPr>
        <w:t xml:space="preserve"> stroje, prístroje a zariadenia</w:t>
      </w:r>
      <w:r w:rsidRPr="00405552">
        <w:rPr>
          <w:rFonts w:ascii="Times New Roman" w:hAnsi="Times New Roman" w:cs="Times New Roman"/>
          <w:sz w:val="24"/>
          <w:szCs w:val="24"/>
        </w:rPr>
        <w:t>;</w:t>
      </w:r>
    </w:p>
    <w:p w:rsidR="007937A9" w:rsidP="007937A9">
      <w:pPr>
        <w:numPr>
          <w:ilvl w:val="0"/>
          <w:numId w:val="12"/>
        </w:numPr>
        <w:tabs>
          <w:tab w:val="left" w:pos="360"/>
        </w:tabs>
        <w:adjustRightInd/>
        <w:spacing w:line="240" w:lineRule="auto"/>
        <w:textAlignment w:val="auto"/>
        <w:rPr>
          <w:rFonts w:ascii="Times New Roman" w:hAnsi="Times New Roman" w:cs="Times New Roman"/>
          <w:sz w:val="24"/>
          <w:szCs w:val="24"/>
        </w:rPr>
      </w:pPr>
      <w:r w:rsidR="00F1695C">
        <w:rPr>
          <w:rFonts w:ascii="Times New Roman" w:hAnsi="Times New Roman" w:cs="Times New Roman"/>
          <w:sz w:val="24"/>
          <w:szCs w:val="24"/>
        </w:rPr>
        <w:t>n</w:t>
      </w:r>
      <w:r w:rsidRPr="00405552" w:rsidR="00405552">
        <w:rPr>
          <w:rFonts w:ascii="Times New Roman" w:hAnsi="Times New Roman" w:cs="Times New Roman"/>
          <w:sz w:val="24"/>
          <w:szCs w:val="24"/>
        </w:rPr>
        <w:t>esprávny počiatočný stav v roku 2006 na účte 042 – obstaranie DHM, nakoľko  do</w:t>
      </w:r>
      <w:r>
        <w:rPr>
          <w:rFonts w:ascii="Times New Roman" w:hAnsi="Times New Roman" w:cs="Times New Roman"/>
          <w:sz w:val="24"/>
          <w:szCs w:val="24"/>
        </w:rPr>
        <w:t>šlo k zaradeniu niektorého DHM</w:t>
      </w:r>
      <w:r w:rsidRPr="00405552">
        <w:rPr>
          <w:rFonts w:ascii="Times New Roman" w:hAnsi="Times New Roman" w:cs="Times New Roman"/>
          <w:sz w:val="24"/>
          <w:szCs w:val="24"/>
        </w:rPr>
        <w:t>;</w:t>
      </w:r>
    </w:p>
    <w:p w:rsidR="007937A9" w:rsidP="007937A9">
      <w:pPr>
        <w:numPr>
          <w:ilvl w:val="0"/>
          <w:numId w:val="12"/>
        </w:numPr>
        <w:tabs>
          <w:tab w:val="left" w:pos="360"/>
        </w:tabs>
        <w:adjustRightInd/>
        <w:spacing w:line="240" w:lineRule="auto"/>
        <w:textAlignment w:val="auto"/>
        <w:rPr>
          <w:rFonts w:ascii="Times New Roman" w:hAnsi="Times New Roman" w:cs="Times New Roman"/>
          <w:sz w:val="24"/>
          <w:szCs w:val="24"/>
        </w:rPr>
      </w:pPr>
      <w:r w:rsidR="00F1695C">
        <w:rPr>
          <w:rFonts w:ascii="Times New Roman" w:hAnsi="Times New Roman" w:cs="Times New Roman"/>
          <w:sz w:val="24"/>
          <w:szCs w:val="24"/>
        </w:rPr>
        <w:t>n</w:t>
      </w:r>
      <w:r w:rsidRPr="00405552" w:rsidR="00405552">
        <w:rPr>
          <w:rFonts w:ascii="Times New Roman" w:hAnsi="Times New Roman" w:cs="Times New Roman"/>
          <w:sz w:val="24"/>
          <w:szCs w:val="24"/>
        </w:rPr>
        <w:t>esprávne účtovanie na účet 042 obstaraného programového</w:t>
      </w:r>
      <w:r>
        <w:rPr>
          <w:rFonts w:ascii="Times New Roman" w:hAnsi="Times New Roman" w:cs="Times New Roman"/>
          <w:sz w:val="24"/>
          <w:szCs w:val="24"/>
        </w:rPr>
        <w:t xml:space="preserve"> vybavenia APV Krízové riadenie</w:t>
      </w:r>
      <w:r w:rsidRPr="00405552">
        <w:rPr>
          <w:rFonts w:ascii="Times New Roman" w:hAnsi="Times New Roman" w:cs="Times New Roman"/>
          <w:sz w:val="24"/>
          <w:szCs w:val="24"/>
        </w:rPr>
        <w:t>;</w:t>
      </w:r>
    </w:p>
    <w:p w:rsidR="00405552" w:rsidRPr="00405552" w:rsidP="007937A9">
      <w:pPr>
        <w:numPr>
          <w:ilvl w:val="0"/>
          <w:numId w:val="12"/>
        </w:numPr>
        <w:tabs>
          <w:tab w:val="left" w:pos="360"/>
        </w:tabs>
        <w:adjustRightInd/>
        <w:spacing w:line="240" w:lineRule="auto"/>
        <w:textAlignment w:val="auto"/>
        <w:rPr>
          <w:rFonts w:ascii="Times New Roman" w:hAnsi="Times New Roman" w:cs="Times New Roman"/>
          <w:sz w:val="24"/>
          <w:szCs w:val="24"/>
        </w:rPr>
      </w:pPr>
      <w:r w:rsidR="00F1695C">
        <w:rPr>
          <w:rFonts w:ascii="Times New Roman" w:hAnsi="Times New Roman" w:cs="Times New Roman"/>
          <w:sz w:val="24"/>
          <w:szCs w:val="24"/>
        </w:rPr>
        <w:t>p</w:t>
      </w:r>
      <w:r w:rsidRPr="00405552">
        <w:rPr>
          <w:rFonts w:ascii="Times New Roman" w:hAnsi="Times New Roman" w:cs="Times New Roman"/>
          <w:sz w:val="24"/>
          <w:szCs w:val="24"/>
        </w:rPr>
        <w:t>ri kontrole zaraďovania obstaraného DHM do používania MDPT SR bolo zistené, že niektoré účtovné doklady – vyhotovené zápisy, neobsahovali predpísané náležitosti.</w:t>
      </w:r>
    </w:p>
    <w:p w:rsidR="007937A9" w:rsidP="007937A9">
      <w:pPr>
        <w:pStyle w:val="BodyTextIndent2"/>
        <w:spacing w:after="0" w:line="240" w:lineRule="auto"/>
        <w:ind w:left="0"/>
        <w:rPr>
          <w:rFonts w:ascii="Times New Roman" w:hAnsi="Times New Roman" w:cs="Times New Roman"/>
          <w:b/>
          <w:sz w:val="24"/>
          <w:szCs w:val="24"/>
        </w:rPr>
      </w:pPr>
    </w:p>
    <w:p w:rsidR="00405552" w:rsidRPr="00405552" w:rsidP="007937A9">
      <w:pPr>
        <w:pStyle w:val="BodyTextIndent2"/>
        <w:spacing w:after="0" w:line="240" w:lineRule="auto"/>
        <w:ind w:left="0" w:firstLine="709"/>
        <w:rPr>
          <w:rFonts w:ascii="Times New Roman" w:hAnsi="Times New Roman" w:cs="Times New Roman"/>
          <w:b/>
          <w:sz w:val="24"/>
          <w:szCs w:val="24"/>
        </w:rPr>
      </w:pPr>
      <w:r w:rsidRPr="00405552">
        <w:rPr>
          <w:rFonts w:ascii="Times New Roman" w:hAnsi="Times New Roman" w:cs="Times New Roman"/>
          <w:sz w:val="24"/>
          <w:szCs w:val="24"/>
        </w:rPr>
        <w:t>V stanovenom termíne boli prijaté 2 opatrenia na nápravu nedostatkov zistených NFK a na odstránenie príčin ich vzniku, ktoré sa týkali zabezpečenia upozornenia zodpovedných zamestnancov na zistené nedostatky z úrovne GR SRaVS a</w:t>
      </w:r>
      <w:r w:rsidRPr="00405552">
        <w:rPr>
          <w:rFonts w:ascii="Times New Roman" w:hAnsi="Times New Roman" w:cs="Times New Roman"/>
          <w:b/>
          <w:sz w:val="24"/>
          <w:szCs w:val="24"/>
        </w:rPr>
        <w:t xml:space="preserve"> </w:t>
      </w:r>
      <w:r w:rsidRPr="00405552">
        <w:rPr>
          <w:rFonts w:ascii="Times New Roman" w:hAnsi="Times New Roman" w:cs="Times New Roman"/>
          <w:sz w:val="24"/>
          <w:szCs w:val="24"/>
        </w:rPr>
        <w:t>odstránenia nedostatkov pri  vyhotovovaní zápisov o prevzatí stroja alebo zariadenia. Správa o splnení opatrení bola kontrolnému orgánu zaslaná v stanovenej lehote.</w:t>
      </w:r>
    </w:p>
    <w:p w:rsidR="00A82B43" w:rsidRPr="00405552" w:rsidP="00405552">
      <w:pPr>
        <w:spacing w:line="240" w:lineRule="auto"/>
        <w:rPr>
          <w:rFonts w:ascii="Times New Roman" w:hAnsi="Times New Roman" w:cs="Times New Roman"/>
          <w:sz w:val="24"/>
          <w:szCs w:val="24"/>
        </w:rPr>
      </w:pPr>
    </w:p>
    <w:p w:rsidR="00405552" w:rsidP="0076523D">
      <w:pPr>
        <w:pStyle w:val="BodyTextIndent2"/>
        <w:tabs>
          <w:tab w:val="left" w:pos="0"/>
        </w:tabs>
        <w:spacing w:after="0" w:line="240" w:lineRule="auto"/>
        <w:ind w:left="0" w:hanging="539"/>
        <w:rPr>
          <w:rFonts w:ascii="Times New Roman" w:hAnsi="Times New Roman" w:cs="Times New Roman"/>
          <w:b/>
          <w:sz w:val="24"/>
          <w:szCs w:val="24"/>
          <w:u w:val="single"/>
        </w:rPr>
      </w:pPr>
      <w:r w:rsidRPr="0076523D" w:rsidR="0076523D">
        <w:rPr>
          <w:rFonts w:ascii="Times New Roman" w:hAnsi="Times New Roman" w:cs="Times New Roman"/>
          <w:b/>
          <w:sz w:val="24"/>
          <w:szCs w:val="24"/>
        </w:rPr>
        <w:tab/>
      </w:r>
      <w:r w:rsidR="0076523D">
        <w:rPr>
          <w:rFonts w:ascii="Times New Roman" w:hAnsi="Times New Roman" w:cs="Times New Roman"/>
          <w:b/>
          <w:sz w:val="24"/>
          <w:szCs w:val="24"/>
          <w:u w:val="single"/>
        </w:rPr>
        <w:t xml:space="preserve">A.3. </w:t>
      </w:r>
      <w:r w:rsidRPr="00405552">
        <w:rPr>
          <w:rFonts w:ascii="Times New Roman" w:hAnsi="Times New Roman" w:cs="Times New Roman"/>
          <w:b/>
          <w:sz w:val="24"/>
          <w:szCs w:val="24"/>
          <w:u w:val="single"/>
        </w:rPr>
        <w:t>Vzorkové následné finančné kontroly vykonané z úrovne M</w:t>
      </w:r>
      <w:r w:rsidR="0076523D">
        <w:rPr>
          <w:rFonts w:ascii="Times New Roman" w:hAnsi="Times New Roman" w:cs="Times New Roman"/>
          <w:b/>
          <w:sz w:val="24"/>
          <w:szCs w:val="24"/>
          <w:u w:val="single"/>
        </w:rPr>
        <w:t xml:space="preserve">F SR v spolupráci </w:t>
      </w:r>
      <w:r w:rsidRPr="00405552">
        <w:rPr>
          <w:rFonts w:ascii="Times New Roman" w:hAnsi="Times New Roman" w:cs="Times New Roman"/>
          <w:b/>
          <w:sz w:val="24"/>
          <w:szCs w:val="24"/>
          <w:u w:val="single"/>
        </w:rPr>
        <w:t>s </w:t>
      </w:r>
      <w:r w:rsidR="0076523D">
        <w:rPr>
          <w:rFonts w:ascii="Times New Roman" w:hAnsi="Times New Roman" w:cs="Times New Roman"/>
          <w:b/>
          <w:sz w:val="24"/>
          <w:szCs w:val="24"/>
          <w:u w:val="single"/>
        </w:rPr>
        <w:t xml:space="preserve"> </w:t>
      </w:r>
      <w:r w:rsidRPr="00405552">
        <w:rPr>
          <w:rFonts w:ascii="Times New Roman" w:hAnsi="Times New Roman" w:cs="Times New Roman"/>
          <w:b/>
          <w:sz w:val="24"/>
          <w:szCs w:val="24"/>
          <w:u w:val="single"/>
        </w:rPr>
        <w:t>MDPT SR</w:t>
      </w:r>
    </w:p>
    <w:p w:rsidR="0076523D" w:rsidRPr="00405552" w:rsidP="00405552">
      <w:pPr>
        <w:pStyle w:val="BodyTextIndent2"/>
        <w:tabs>
          <w:tab w:val="left" w:pos="540"/>
        </w:tabs>
        <w:spacing w:after="0" w:line="240" w:lineRule="auto"/>
        <w:ind w:left="539" w:hanging="539"/>
        <w:rPr>
          <w:rFonts w:ascii="Times New Roman" w:hAnsi="Times New Roman" w:cs="Times New Roman"/>
          <w:b/>
          <w:sz w:val="24"/>
          <w:szCs w:val="24"/>
          <w:u w:val="single"/>
        </w:rPr>
      </w:pPr>
    </w:p>
    <w:p w:rsidR="00405552" w:rsidP="0076523D">
      <w:pPr>
        <w:spacing w:line="240" w:lineRule="auto"/>
        <w:ind w:firstLine="709"/>
        <w:rPr>
          <w:rFonts w:ascii="Times New Roman" w:hAnsi="Times New Roman" w:cs="Times New Roman"/>
          <w:sz w:val="24"/>
          <w:szCs w:val="24"/>
        </w:rPr>
      </w:pPr>
      <w:r w:rsidRPr="00405552">
        <w:rPr>
          <w:rFonts w:ascii="Times New Roman" w:hAnsi="Times New Roman" w:cs="Times New Roman"/>
          <w:sz w:val="24"/>
          <w:szCs w:val="24"/>
        </w:rPr>
        <w:t>V roku 2007 boli</w:t>
      </w:r>
      <w:r w:rsidR="00F1695C">
        <w:rPr>
          <w:rFonts w:ascii="Times New Roman" w:hAnsi="Times New Roman" w:cs="Times New Roman"/>
          <w:sz w:val="24"/>
          <w:szCs w:val="24"/>
        </w:rPr>
        <w:t xml:space="preserve"> z úrovne MF SR v súčinnosti s o</w:t>
      </w:r>
      <w:r w:rsidRPr="00405552">
        <w:rPr>
          <w:rFonts w:ascii="Times New Roman" w:hAnsi="Times New Roman" w:cs="Times New Roman"/>
          <w:sz w:val="24"/>
          <w:szCs w:val="24"/>
        </w:rPr>
        <w:t>dborom kontroly, štátneho dozoru a dohľadu (OKŠDD) vykonané celkom 4 vzorkové následné finančné kontroly, ktoré boli zamerané na overenie správnosti a opodstatnenosti použitia prostriedkov EÚ (štrukturálneho fondu ERDF, ISPA/KF, Fondu Solidarity EÚ) a štátneho rozpočtu SR (ŠR SR).</w:t>
      </w:r>
    </w:p>
    <w:p w:rsidR="0076523D" w:rsidRPr="00405552" w:rsidP="0076523D">
      <w:pPr>
        <w:spacing w:line="240" w:lineRule="auto"/>
        <w:ind w:firstLine="709"/>
        <w:rPr>
          <w:rFonts w:ascii="Times New Roman" w:hAnsi="Times New Roman" w:cs="Times New Roman"/>
          <w:sz w:val="24"/>
          <w:szCs w:val="24"/>
        </w:rPr>
      </w:pPr>
    </w:p>
    <w:p w:rsidR="00405552" w:rsidP="001654CB">
      <w:pPr>
        <w:numPr>
          <w:ilvl w:val="0"/>
          <w:numId w:val="26"/>
        </w:numPr>
        <w:tabs>
          <w:tab w:val="left" w:pos="360"/>
          <w:tab w:val="clear" w:pos="720"/>
        </w:tabs>
        <w:spacing w:line="240" w:lineRule="auto"/>
        <w:ind w:left="360"/>
        <w:textAlignment w:val="auto"/>
        <w:rPr>
          <w:rFonts w:ascii="Times New Roman" w:hAnsi="Times New Roman" w:cs="Times New Roman"/>
          <w:b/>
          <w:sz w:val="24"/>
          <w:szCs w:val="24"/>
        </w:rPr>
      </w:pPr>
      <w:r w:rsidRPr="00405552">
        <w:rPr>
          <w:rFonts w:ascii="Times New Roman" w:hAnsi="Times New Roman" w:cs="Times New Roman"/>
          <w:b/>
          <w:sz w:val="24"/>
          <w:szCs w:val="24"/>
        </w:rPr>
        <w:t xml:space="preserve">Následná finančná kontrola projektu ISPA/KF </w:t>
      </w:r>
      <w:r w:rsidR="0076523D">
        <w:rPr>
          <w:rFonts w:ascii="Times New Roman" w:hAnsi="Times New Roman" w:cs="Times New Roman"/>
          <w:b/>
          <w:sz w:val="24"/>
          <w:szCs w:val="24"/>
        </w:rPr>
        <w:t xml:space="preserve">– </w:t>
      </w:r>
      <w:r w:rsidRPr="00405552">
        <w:rPr>
          <w:rFonts w:ascii="Times New Roman" w:hAnsi="Times New Roman" w:cs="Times New Roman"/>
          <w:b/>
          <w:sz w:val="24"/>
          <w:szCs w:val="24"/>
        </w:rPr>
        <w:t>Výstavba dia</w:t>
      </w:r>
      <w:r w:rsidRPr="00405552">
        <w:rPr>
          <w:rFonts w:ascii="Times New Roman" w:hAnsi="Times New Roman" w:cs="Times New Roman"/>
          <w:b/>
          <w:sz w:val="24"/>
          <w:szCs w:val="24"/>
        </w:rPr>
        <w:t>ľ</w:t>
      </w:r>
      <w:r w:rsidRPr="00405552">
        <w:rPr>
          <w:rFonts w:ascii="Times New Roman" w:hAnsi="Times New Roman" w:cs="Times New Roman"/>
          <w:b/>
          <w:sz w:val="24"/>
          <w:szCs w:val="24"/>
        </w:rPr>
        <w:t xml:space="preserve">nice D1, úsek Mengusovce – Jánovce a projektu ISPA/KF </w:t>
      </w:r>
      <w:r w:rsidR="0076523D">
        <w:rPr>
          <w:rFonts w:ascii="Times New Roman" w:hAnsi="Times New Roman" w:cs="Times New Roman"/>
          <w:b/>
          <w:sz w:val="24"/>
          <w:szCs w:val="24"/>
        </w:rPr>
        <w:t xml:space="preserve">– </w:t>
      </w:r>
      <w:r w:rsidRPr="00405552">
        <w:rPr>
          <w:rFonts w:ascii="Times New Roman" w:hAnsi="Times New Roman" w:cs="Times New Roman"/>
          <w:b/>
          <w:sz w:val="24"/>
          <w:szCs w:val="24"/>
        </w:rPr>
        <w:t>Modernizácia železničnej trate Šenkvice – Cífer a</w:t>
      </w:r>
      <w:r w:rsidR="0076523D">
        <w:rPr>
          <w:rFonts w:ascii="Times New Roman" w:hAnsi="Times New Roman" w:cs="Times New Roman"/>
          <w:b/>
          <w:sz w:val="24"/>
          <w:szCs w:val="24"/>
        </w:rPr>
        <w:t> žst. Rača – Trnava</w:t>
      </w:r>
      <w:r w:rsidRPr="00405552">
        <w:rPr>
          <w:rFonts w:ascii="Times New Roman" w:hAnsi="Times New Roman" w:cs="Times New Roman"/>
          <w:b/>
          <w:sz w:val="24"/>
          <w:szCs w:val="24"/>
        </w:rPr>
        <w:t xml:space="preserve"> </w:t>
      </w:r>
    </w:p>
    <w:p w:rsidR="0076523D" w:rsidRPr="00405552" w:rsidP="0076523D">
      <w:pPr>
        <w:spacing w:line="240" w:lineRule="auto"/>
        <w:textAlignment w:val="auto"/>
        <w:rPr>
          <w:rFonts w:ascii="Times New Roman" w:hAnsi="Times New Roman" w:cs="Times New Roman"/>
          <w:b/>
          <w:sz w:val="24"/>
          <w:szCs w:val="24"/>
        </w:rPr>
      </w:pPr>
    </w:p>
    <w:p w:rsidR="00405552" w:rsidP="00405552">
      <w:pPr>
        <w:pStyle w:val="BodyTextIndent"/>
        <w:tabs>
          <w:tab w:val="left" w:pos="360"/>
        </w:tabs>
        <w:spacing w:line="240" w:lineRule="auto"/>
        <w:ind w:firstLine="0"/>
        <w:rPr>
          <w:rFonts w:ascii="Times New Roman" w:hAnsi="Times New Roman" w:cs="Times New Roman"/>
          <w:sz w:val="24"/>
          <w:szCs w:val="24"/>
        </w:rPr>
      </w:pPr>
      <w:r w:rsidRPr="00405552">
        <w:rPr>
          <w:rFonts w:ascii="Times New Roman" w:hAnsi="Times New Roman" w:cs="Times New Roman"/>
          <w:sz w:val="24"/>
          <w:szCs w:val="24"/>
        </w:rPr>
        <w:t>Následnou finančnou kontrolou bolo zistené:</w:t>
      </w:r>
    </w:p>
    <w:p w:rsidR="0076523D" w:rsidRPr="00405552" w:rsidP="00405552">
      <w:pPr>
        <w:pStyle w:val="BodyTextIndent"/>
        <w:tabs>
          <w:tab w:val="left" w:pos="360"/>
        </w:tabs>
        <w:spacing w:line="240" w:lineRule="auto"/>
        <w:ind w:firstLine="0"/>
        <w:rPr>
          <w:rFonts w:ascii="Times New Roman" w:hAnsi="Times New Roman" w:cs="Times New Roman"/>
          <w:sz w:val="24"/>
          <w:szCs w:val="24"/>
        </w:rPr>
      </w:pPr>
      <w:r w:rsidR="00CD2071">
        <w:rPr>
          <w:rFonts w:ascii="Times New Roman" w:hAnsi="Times New Roman" w:cs="Times New Roman"/>
          <w:sz w:val="24"/>
          <w:szCs w:val="24"/>
        </w:rPr>
        <w:t xml:space="preserve"> </w:t>
      </w:r>
    </w:p>
    <w:p w:rsidR="00405552" w:rsidRPr="00405552" w:rsidP="001654CB">
      <w:pPr>
        <w:numPr>
          <w:ilvl w:val="0"/>
          <w:numId w:val="12"/>
        </w:numPr>
        <w:tabs>
          <w:tab w:val="left" w:pos="360"/>
        </w:tabs>
        <w:spacing w:line="240" w:lineRule="auto"/>
        <w:ind w:left="357" w:hanging="357"/>
        <w:textAlignment w:val="auto"/>
        <w:rPr>
          <w:rFonts w:ascii="Times New Roman" w:hAnsi="Times New Roman" w:cs="Times New Roman"/>
          <w:sz w:val="24"/>
          <w:szCs w:val="24"/>
        </w:rPr>
      </w:pPr>
      <w:r w:rsidR="00F1695C">
        <w:rPr>
          <w:rFonts w:ascii="Times New Roman" w:hAnsi="Times New Roman" w:cs="Times New Roman"/>
          <w:sz w:val="24"/>
          <w:szCs w:val="24"/>
        </w:rPr>
        <w:t>p</w:t>
      </w:r>
      <w:r w:rsidRPr="00405552">
        <w:rPr>
          <w:rFonts w:ascii="Times New Roman" w:hAnsi="Times New Roman" w:cs="Times New Roman"/>
          <w:sz w:val="24"/>
          <w:szCs w:val="24"/>
        </w:rPr>
        <w:t>orušenie interného manuálu IO, keď SORO listom neodsúhlasil KP formulár oznámenia o vyhlásen</w:t>
      </w:r>
      <w:r w:rsidR="00DE1E76">
        <w:rPr>
          <w:rFonts w:ascii="Times New Roman" w:hAnsi="Times New Roman" w:cs="Times New Roman"/>
          <w:sz w:val="24"/>
          <w:szCs w:val="24"/>
        </w:rPr>
        <w:t>í metódy verejného obstarávania;</w:t>
      </w:r>
      <w:r w:rsidRPr="00405552">
        <w:rPr>
          <w:rFonts w:ascii="Times New Roman" w:hAnsi="Times New Roman" w:cs="Times New Roman"/>
          <w:sz w:val="24"/>
          <w:szCs w:val="24"/>
        </w:rPr>
        <w:t xml:space="preserve"> </w:t>
      </w:r>
    </w:p>
    <w:p w:rsidR="00405552" w:rsidRPr="00405552" w:rsidP="001654CB">
      <w:pPr>
        <w:numPr>
          <w:ilvl w:val="0"/>
          <w:numId w:val="12"/>
        </w:numPr>
        <w:tabs>
          <w:tab w:val="left" w:pos="360"/>
        </w:tabs>
        <w:spacing w:line="240" w:lineRule="auto"/>
        <w:ind w:left="357" w:hanging="357"/>
        <w:textAlignment w:val="auto"/>
        <w:rPr>
          <w:rFonts w:ascii="Times New Roman" w:hAnsi="Times New Roman" w:cs="Times New Roman"/>
          <w:b/>
          <w:sz w:val="24"/>
          <w:szCs w:val="24"/>
        </w:rPr>
      </w:pPr>
      <w:r w:rsidR="00F1695C">
        <w:rPr>
          <w:rFonts w:ascii="Times New Roman" w:hAnsi="Times New Roman" w:cs="Times New Roman"/>
          <w:sz w:val="24"/>
          <w:szCs w:val="24"/>
        </w:rPr>
        <w:t>p</w:t>
      </w:r>
      <w:r w:rsidRPr="00405552">
        <w:rPr>
          <w:rFonts w:ascii="Times New Roman" w:hAnsi="Times New Roman" w:cs="Times New Roman"/>
          <w:sz w:val="24"/>
          <w:szCs w:val="24"/>
        </w:rPr>
        <w:t>orušenie interného manuálu IO, keď SORO odsúhlasil súťažné podklady KP skôr ako bol schválený kontrolný list k súťažným podkladom</w:t>
      </w:r>
      <w:r w:rsidR="00E30CA4">
        <w:rPr>
          <w:rFonts w:ascii="Times New Roman" w:hAnsi="Times New Roman" w:cs="Times New Roman"/>
          <w:sz w:val="24"/>
          <w:szCs w:val="24"/>
        </w:rPr>
        <w:t>;</w:t>
      </w:r>
    </w:p>
    <w:p w:rsidR="00405552" w:rsidRPr="00405552" w:rsidP="001654CB">
      <w:pPr>
        <w:numPr>
          <w:ilvl w:val="0"/>
          <w:numId w:val="12"/>
        </w:numPr>
        <w:tabs>
          <w:tab w:val="left" w:pos="360"/>
        </w:tabs>
        <w:spacing w:line="240" w:lineRule="auto"/>
        <w:ind w:left="357" w:hanging="357"/>
        <w:textAlignment w:val="auto"/>
        <w:rPr>
          <w:rFonts w:ascii="Times New Roman" w:hAnsi="Times New Roman" w:cs="Times New Roman"/>
          <w:b/>
          <w:sz w:val="24"/>
          <w:szCs w:val="24"/>
        </w:rPr>
      </w:pPr>
      <w:r w:rsidRPr="00405552">
        <w:rPr>
          <w:rFonts w:ascii="Times New Roman" w:hAnsi="Times New Roman" w:cs="Times New Roman"/>
          <w:sz w:val="24"/>
          <w:szCs w:val="24"/>
        </w:rPr>
        <w:t>SORO a IO nevykonávali dôsledne dohľad nad procesom verejného obstarávania u KP v zmysle čl. 8 Nar. Rady (ES) č. 1164/94, čl. 4 Nar. Komisie (ES) č. 1386/2002, bod 3.4 Koncepcie systému finančného riadenia KF</w:t>
      </w:r>
      <w:r w:rsidR="00E30CA4">
        <w:rPr>
          <w:rFonts w:ascii="Times New Roman" w:hAnsi="Times New Roman" w:cs="Times New Roman"/>
          <w:sz w:val="24"/>
          <w:szCs w:val="24"/>
        </w:rPr>
        <w:t>;</w:t>
      </w:r>
    </w:p>
    <w:p w:rsidR="00405552" w:rsidRPr="00405552" w:rsidP="001654CB">
      <w:pPr>
        <w:numPr>
          <w:ilvl w:val="0"/>
          <w:numId w:val="12"/>
        </w:numPr>
        <w:tabs>
          <w:tab w:val="left" w:pos="360"/>
        </w:tabs>
        <w:spacing w:line="240" w:lineRule="auto"/>
        <w:ind w:left="357" w:hanging="357"/>
        <w:textAlignment w:val="auto"/>
        <w:rPr>
          <w:rFonts w:ascii="Times New Roman" w:hAnsi="Times New Roman" w:cs="Times New Roman"/>
          <w:b/>
          <w:sz w:val="24"/>
          <w:szCs w:val="24"/>
        </w:rPr>
      </w:pPr>
      <w:r w:rsidRPr="00405552">
        <w:rPr>
          <w:rFonts w:ascii="Times New Roman" w:hAnsi="Times New Roman" w:cs="Times New Roman"/>
          <w:sz w:val="24"/>
          <w:szCs w:val="24"/>
        </w:rPr>
        <w:t>SORO nevypracoval „Prehlásenie o overení výdavkov“ v termíne stanovenom v internom manuáli procedúr, čím porušil čl. 13 ods. 5 Dohody o financovaní</w:t>
      </w:r>
      <w:r w:rsidR="00E30CA4">
        <w:rPr>
          <w:rFonts w:ascii="Times New Roman" w:hAnsi="Times New Roman" w:cs="Times New Roman"/>
          <w:sz w:val="24"/>
          <w:szCs w:val="24"/>
        </w:rPr>
        <w:t>;</w:t>
      </w:r>
    </w:p>
    <w:p w:rsidR="00405552" w:rsidRPr="00405552" w:rsidP="001654CB">
      <w:pPr>
        <w:numPr>
          <w:ilvl w:val="0"/>
          <w:numId w:val="12"/>
        </w:numPr>
        <w:tabs>
          <w:tab w:val="left" w:pos="360"/>
        </w:tabs>
        <w:spacing w:line="240" w:lineRule="auto"/>
        <w:ind w:left="357" w:hanging="357"/>
        <w:textAlignment w:val="auto"/>
        <w:rPr>
          <w:rFonts w:ascii="Times New Roman" w:hAnsi="Times New Roman" w:cs="Times New Roman"/>
          <w:b/>
          <w:sz w:val="24"/>
          <w:szCs w:val="24"/>
        </w:rPr>
      </w:pPr>
      <w:r w:rsidR="00F1695C">
        <w:rPr>
          <w:rFonts w:ascii="Times New Roman" w:hAnsi="Times New Roman" w:cs="Times New Roman"/>
          <w:sz w:val="24"/>
          <w:szCs w:val="24"/>
        </w:rPr>
        <w:t>s</w:t>
      </w:r>
      <w:r w:rsidRPr="00405552">
        <w:rPr>
          <w:rFonts w:ascii="Times New Roman" w:hAnsi="Times New Roman" w:cs="Times New Roman"/>
          <w:sz w:val="24"/>
          <w:szCs w:val="24"/>
        </w:rPr>
        <w:t>prostredkovateľský orgán pod platobným orgánom (SOPO) nezaslal žiadosť o platbu     na Platobný orgán (PO) v termíne stanovenom interným manuálom procedúr, čím porušil čl. 13 ods. 10 Dohody o financovaní</w:t>
      </w:r>
      <w:r w:rsidR="00E30CA4">
        <w:rPr>
          <w:rFonts w:ascii="Times New Roman" w:hAnsi="Times New Roman" w:cs="Times New Roman"/>
          <w:sz w:val="24"/>
          <w:szCs w:val="24"/>
        </w:rPr>
        <w:t>;</w:t>
      </w:r>
    </w:p>
    <w:p w:rsidR="00405552" w:rsidRPr="00405552" w:rsidP="001654CB">
      <w:pPr>
        <w:numPr>
          <w:ilvl w:val="0"/>
          <w:numId w:val="12"/>
        </w:numPr>
        <w:tabs>
          <w:tab w:val="left" w:pos="360"/>
        </w:tabs>
        <w:spacing w:line="240" w:lineRule="auto"/>
        <w:ind w:left="357" w:hanging="357"/>
        <w:textAlignment w:val="auto"/>
        <w:rPr>
          <w:rFonts w:ascii="Times New Roman" w:hAnsi="Times New Roman" w:cs="Times New Roman"/>
          <w:b/>
          <w:sz w:val="24"/>
          <w:szCs w:val="24"/>
        </w:rPr>
      </w:pPr>
      <w:r w:rsidRPr="00405552">
        <w:rPr>
          <w:rFonts w:ascii="Times New Roman" w:hAnsi="Times New Roman" w:cs="Times New Roman"/>
          <w:sz w:val="24"/>
          <w:szCs w:val="24"/>
        </w:rPr>
        <w:t>IO nevykonal kontrolu „Žiadosti o platbu“ v termíne stanovenom interným manuálom procedúr</w:t>
      </w:r>
      <w:r w:rsidR="00E30CA4">
        <w:rPr>
          <w:rFonts w:ascii="Times New Roman" w:hAnsi="Times New Roman" w:cs="Times New Roman"/>
          <w:sz w:val="24"/>
          <w:szCs w:val="24"/>
        </w:rPr>
        <w:t>;</w:t>
      </w:r>
    </w:p>
    <w:p w:rsidR="00405552" w:rsidRPr="00405552" w:rsidP="001654CB">
      <w:pPr>
        <w:numPr>
          <w:ilvl w:val="0"/>
          <w:numId w:val="12"/>
        </w:numPr>
        <w:tabs>
          <w:tab w:val="left" w:pos="360"/>
        </w:tabs>
        <w:spacing w:line="240" w:lineRule="auto"/>
        <w:ind w:left="357" w:hanging="357"/>
        <w:textAlignment w:val="auto"/>
        <w:rPr>
          <w:rFonts w:ascii="Times New Roman" w:hAnsi="Times New Roman" w:cs="Times New Roman"/>
          <w:b/>
          <w:sz w:val="24"/>
          <w:szCs w:val="24"/>
        </w:rPr>
      </w:pPr>
      <w:r w:rsidRPr="00405552">
        <w:rPr>
          <w:rFonts w:ascii="Times New Roman" w:hAnsi="Times New Roman" w:cs="Times New Roman"/>
          <w:sz w:val="24"/>
          <w:szCs w:val="24"/>
        </w:rPr>
        <w:t>IO nepostúpil „Žiadosť o platbu“ na SORO a SOPO v termíne stanovenom interným manuálom procedúr, čím porušil čl. 13 ods. 4 Dohody o financovaní</w:t>
      </w:r>
      <w:r w:rsidR="00E30CA4">
        <w:rPr>
          <w:rFonts w:ascii="Times New Roman" w:hAnsi="Times New Roman" w:cs="Times New Roman"/>
          <w:sz w:val="24"/>
          <w:szCs w:val="24"/>
        </w:rPr>
        <w:t>;</w:t>
      </w:r>
    </w:p>
    <w:p w:rsidR="00405552" w:rsidRPr="00405552" w:rsidP="001654CB">
      <w:pPr>
        <w:numPr>
          <w:ilvl w:val="0"/>
          <w:numId w:val="12"/>
        </w:numPr>
        <w:tabs>
          <w:tab w:val="left" w:pos="360"/>
        </w:tabs>
        <w:spacing w:line="240" w:lineRule="auto"/>
        <w:ind w:left="357" w:hanging="357"/>
        <w:textAlignment w:val="auto"/>
        <w:rPr>
          <w:rFonts w:ascii="Times New Roman" w:hAnsi="Times New Roman" w:cs="Times New Roman"/>
          <w:b/>
          <w:sz w:val="24"/>
          <w:szCs w:val="24"/>
        </w:rPr>
      </w:pPr>
      <w:r w:rsidRPr="00405552">
        <w:rPr>
          <w:rFonts w:ascii="Times New Roman" w:hAnsi="Times New Roman" w:cs="Times New Roman"/>
          <w:sz w:val="24"/>
          <w:szCs w:val="24"/>
        </w:rPr>
        <w:t>IO použil nesprávnu verziu kontrolného listu</w:t>
      </w:r>
      <w:r w:rsidR="00E30CA4">
        <w:rPr>
          <w:rFonts w:ascii="Times New Roman" w:hAnsi="Times New Roman" w:cs="Times New Roman"/>
          <w:sz w:val="24"/>
          <w:szCs w:val="24"/>
        </w:rPr>
        <w:t xml:space="preserve"> pri kontrole Žiadosti o platbu;</w:t>
      </w:r>
      <w:r w:rsidRPr="00405552">
        <w:rPr>
          <w:rFonts w:ascii="Times New Roman" w:hAnsi="Times New Roman" w:cs="Times New Roman"/>
          <w:sz w:val="24"/>
          <w:szCs w:val="24"/>
        </w:rPr>
        <w:t xml:space="preserve"> </w:t>
      </w:r>
    </w:p>
    <w:p w:rsidR="00405552" w:rsidRPr="00405552" w:rsidP="001654CB">
      <w:pPr>
        <w:numPr>
          <w:ilvl w:val="0"/>
          <w:numId w:val="12"/>
        </w:numPr>
        <w:tabs>
          <w:tab w:val="left" w:pos="360"/>
        </w:tabs>
        <w:spacing w:line="240" w:lineRule="auto"/>
        <w:ind w:left="357" w:hanging="357"/>
        <w:textAlignment w:val="auto"/>
        <w:rPr>
          <w:rFonts w:ascii="Times New Roman" w:hAnsi="Times New Roman" w:cs="Times New Roman"/>
          <w:b/>
          <w:sz w:val="24"/>
          <w:szCs w:val="24"/>
        </w:rPr>
      </w:pPr>
      <w:r w:rsidRPr="00405552">
        <w:rPr>
          <w:rFonts w:ascii="Times New Roman" w:hAnsi="Times New Roman" w:cs="Times New Roman"/>
          <w:sz w:val="24"/>
          <w:szCs w:val="24"/>
        </w:rPr>
        <w:t>SORO vykonal oneskorene kontrolu „Žiadosti o platbu“ podľa interného manuálu procedúr, čím porušil Dokument č. 11 Finančné riadenie IM</w:t>
      </w:r>
      <w:r w:rsidR="00E30CA4">
        <w:rPr>
          <w:rFonts w:ascii="Times New Roman" w:hAnsi="Times New Roman" w:cs="Times New Roman"/>
          <w:sz w:val="24"/>
          <w:szCs w:val="24"/>
        </w:rPr>
        <w:t>;</w:t>
      </w:r>
    </w:p>
    <w:p w:rsidR="00405552" w:rsidRPr="00405552" w:rsidP="001654CB">
      <w:pPr>
        <w:numPr>
          <w:ilvl w:val="0"/>
          <w:numId w:val="12"/>
        </w:numPr>
        <w:tabs>
          <w:tab w:val="left" w:pos="360"/>
        </w:tabs>
        <w:spacing w:line="240" w:lineRule="auto"/>
        <w:ind w:left="357" w:hanging="357"/>
        <w:textAlignment w:val="auto"/>
        <w:rPr>
          <w:rFonts w:ascii="Times New Roman" w:hAnsi="Times New Roman" w:cs="Times New Roman"/>
          <w:b/>
          <w:sz w:val="24"/>
          <w:szCs w:val="24"/>
        </w:rPr>
      </w:pPr>
      <w:r w:rsidRPr="00405552">
        <w:rPr>
          <w:rFonts w:ascii="Times New Roman" w:hAnsi="Times New Roman" w:cs="Times New Roman"/>
          <w:sz w:val="24"/>
          <w:szCs w:val="24"/>
        </w:rPr>
        <w:t>SORO nevypracoval „Prehlásenie o overení výdavkov“ podľa interného manuálu procedúr, čím porušil § 12 ods. 3 Dohody o financovaní</w:t>
      </w:r>
      <w:r w:rsidR="00E30CA4">
        <w:rPr>
          <w:rFonts w:ascii="Times New Roman" w:hAnsi="Times New Roman" w:cs="Times New Roman"/>
          <w:sz w:val="24"/>
          <w:szCs w:val="24"/>
        </w:rPr>
        <w:t>;</w:t>
      </w:r>
    </w:p>
    <w:p w:rsidR="00405552" w:rsidRPr="00405552" w:rsidP="001654CB">
      <w:pPr>
        <w:numPr>
          <w:ilvl w:val="0"/>
          <w:numId w:val="12"/>
        </w:numPr>
        <w:tabs>
          <w:tab w:val="left" w:pos="360"/>
        </w:tabs>
        <w:spacing w:line="240" w:lineRule="auto"/>
        <w:ind w:left="357" w:hanging="357"/>
        <w:textAlignment w:val="auto"/>
        <w:rPr>
          <w:rFonts w:ascii="Times New Roman" w:hAnsi="Times New Roman" w:cs="Times New Roman"/>
          <w:b/>
          <w:sz w:val="24"/>
          <w:szCs w:val="24"/>
        </w:rPr>
      </w:pPr>
      <w:r w:rsidRPr="00405552">
        <w:rPr>
          <w:rFonts w:ascii="Times New Roman" w:hAnsi="Times New Roman" w:cs="Times New Roman"/>
          <w:sz w:val="24"/>
          <w:szCs w:val="24"/>
        </w:rPr>
        <w:t>SORO nevykonal podľa stanovených postupov kontrolu „Žiadosti o platbu“, čím porušil Dokument č. 11 Finančné riadenie IM.</w:t>
      </w:r>
    </w:p>
    <w:p w:rsidR="006177F4" w:rsidP="00E30CA4">
      <w:pPr>
        <w:pStyle w:val="BodyTextIndent"/>
        <w:spacing w:line="240" w:lineRule="auto"/>
        <w:rPr>
          <w:rFonts w:ascii="Times New Roman" w:hAnsi="Times New Roman" w:cs="Times New Roman"/>
          <w:sz w:val="24"/>
          <w:szCs w:val="24"/>
        </w:rPr>
      </w:pPr>
    </w:p>
    <w:p w:rsidR="00405552" w:rsidP="00E30CA4">
      <w:pPr>
        <w:pStyle w:val="BodyTextIndent"/>
        <w:spacing w:line="240" w:lineRule="auto"/>
        <w:rPr>
          <w:rFonts w:ascii="Times New Roman" w:hAnsi="Times New Roman" w:cs="Times New Roman"/>
          <w:sz w:val="24"/>
          <w:szCs w:val="24"/>
        </w:rPr>
      </w:pPr>
      <w:r w:rsidRPr="00405552">
        <w:rPr>
          <w:rFonts w:ascii="Times New Roman" w:hAnsi="Times New Roman" w:cs="Times New Roman"/>
          <w:sz w:val="24"/>
          <w:szCs w:val="24"/>
        </w:rPr>
        <w:t>Na základe výsledkov následnej finančnej kontroly bolo prijatých 6 vecných opatrení na nápravu zistených nedostatkov a na odstránenie príčin ich vzniku so zameraním na dodržiavanie interného manuálu procedúr v platnom znení a na vykonanie mimoriadnej kontroly na mieste so zameraním na oprávnenosť fakturácie. Správa o splnení, resp. priebežnom plnení prijatých opatrení bola kontrolnému orgánu MF SR zaslaná dňa 9.10.2007.</w:t>
      </w:r>
    </w:p>
    <w:p w:rsidR="00A82B43" w:rsidP="00405552">
      <w:pPr>
        <w:pStyle w:val="BodyTextIndent"/>
        <w:spacing w:line="240" w:lineRule="auto"/>
        <w:ind w:firstLine="0"/>
        <w:rPr>
          <w:rFonts w:ascii="Times New Roman" w:hAnsi="Times New Roman" w:cs="Times New Roman"/>
          <w:sz w:val="24"/>
          <w:szCs w:val="24"/>
        </w:rPr>
      </w:pPr>
    </w:p>
    <w:p w:rsidR="00EE757E" w:rsidRPr="00405552" w:rsidP="00405552">
      <w:pPr>
        <w:pStyle w:val="BodyTextIndent"/>
        <w:spacing w:line="240" w:lineRule="auto"/>
        <w:ind w:firstLine="0"/>
        <w:rPr>
          <w:rFonts w:ascii="Times New Roman" w:hAnsi="Times New Roman" w:cs="Times New Roman"/>
          <w:sz w:val="24"/>
          <w:szCs w:val="24"/>
        </w:rPr>
      </w:pPr>
    </w:p>
    <w:p w:rsidR="00405552" w:rsidP="001654CB">
      <w:pPr>
        <w:numPr>
          <w:ilvl w:val="0"/>
          <w:numId w:val="26"/>
        </w:numPr>
        <w:tabs>
          <w:tab w:val="left" w:pos="360"/>
          <w:tab w:val="clear" w:pos="720"/>
        </w:tabs>
        <w:spacing w:line="240" w:lineRule="auto"/>
        <w:ind w:left="360"/>
        <w:textAlignment w:val="auto"/>
        <w:rPr>
          <w:rFonts w:ascii="Times New Roman" w:hAnsi="Times New Roman" w:cs="Times New Roman"/>
          <w:b/>
          <w:sz w:val="24"/>
          <w:szCs w:val="24"/>
        </w:rPr>
      </w:pPr>
      <w:r w:rsidRPr="00405552">
        <w:rPr>
          <w:rFonts w:ascii="Times New Roman" w:hAnsi="Times New Roman" w:cs="Times New Roman"/>
          <w:b/>
          <w:sz w:val="24"/>
          <w:szCs w:val="24"/>
        </w:rPr>
        <w:t xml:space="preserve">Následná finančná kontrola projektu ISPA/KF </w:t>
      </w:r>
      <w:r w:rsidR="00E30CA4">
        <w:rPr>
          <w:rFonts w:ascii="Times New Roman" w:hAnsi="Times New Roman" w:cs="Times New Roman"/>
          <w:b/>
          <w:sz w:val="24"/>
          <w:szCs w:val="24"/>
        </w:rPr>
        <w:t xml:space="preserve">– </w:t>
      </w:r>
      <w:r w:rsidRPr="00405552">
        <w:rPr>
          <w:rFonts w:ascii="Times New Roman" w:hAnsi="Times New Roman" w:cs="Times New Roman"/>
          <w:b/>
          <w:sz w:val="24"/>
          <w:szCs w:val="24"/>
        </w:rPr>
        <w:t xml:space="preserve">Odborná pomoc pre implementáciu dopravných projektov spolufinancovaných z EÚ </w:t>
      </w:r>
    </w:p>
    <w:p w:rsidR="00E30CA4" w:rsidRPr="00405552" w:rsidP="00E30CA4">
      <w:pPr>
        <w:spacing w:line="240" w:lineRule="auto"/>
        <w:textAlignment w:val="auto"/>
        <w:rPr>
          <w:rFonts w:ascii="Times New Roman" w:hAnsi="Times New Roman" w:cs="Times New Roman"/>
          <w:b/>
          <w:sz w:val="24"/>
          <w:szCs w:val="24"/>
        </w:rPr>
      </w:pPr>
    </w:p>
    <w:p w:rsidR="00405552" w:rsidP="00E30CA4">
      <w:pPr>
        <w:spacing w:line="240" w:lineRule="auto"/>
        <w:ind w:left="-3" w:firstLine="712"/>
        <w:rPr>
          <w:rFonts w:ascii="Times New Roman" w:hAnsi="Times New Roman" w:cs="Times New Roman"/>
          <w:sz w:val="24"/>
          <w:szCs w:val="24"/>
        </w:rPr>
      </w:pPr>
      <w:r w:rsidRPr="00405552">
        <w:rPr>
          <w:rFonts w:ascii="Times New Roman" w:hAnsi="Times New Roman" w:cs="Times New Roman"/>
          <w:sz w:val="24"/>
          <w:szCs w:val="24"/>
        </w:rPr>
        <w:t>Následnou finančnou kontrolou bolo zistené, že:</w:t>
      </w:r>
    </w:p>
    <w:p w:rsidR="00E30CA4" w:rsidRPr="00405552" w:rsidP="00405552">
      <w:pPr>
        <w:spacing w:line="240" w:lineRule="auto"/>
        <w:ind w:left="-3"/>
        <w:rPr>
          <w:rFonts w:ascii="Times New Roman" w:hAnsi="Times New Roman" w:cs="Times New Roman"/>
          <w:sz w:val="24"/>
          <w:szCs w:val="24"/>
        </w:rPr>
      </w:pPr>
    </w:p>
    <w:p w:rsidR="00405552" w:rsidRPr="00405552" w:rsidP="001654CB">
      <w:pPr>
        <w:numPr>
          <w:ilvl w:val="0"/>
          <w:numId w:val="12"/>
        </w:numPr>
        <w:tabs>
          <w:tab w:val="left" w:pos="360"/>
        </w:tabs>
        <w:spacing w:line="240" w:lineRule="auto"/>
        <w:ind w:left="357" w:hanging="357"/>
        <w:textAlignment w:val="auto"/>
        <w:rPr>
          <w:rFonts w:ascii="Times New Roman" w:hAnsi="Times New Roman" w:cs="Times New Roman"/>
          <w:sz w:val="24"/>
          <w:szCs w:val="24"/>
        </w:rPr>
      </w:pPr>
      <w:r w:rsidR="00F1695C">
        <w:rPr>
          <w:rFonts w:ascii="Times New Roman" w:hAnsi="Times New Roman" w:cs="Times New Roman"/>
          <w:sz w:val="24"/>
          <w:szCs w:val="24"/>
        </w:rPr>
        <w:t>d</w:t>
      </w:r>
      <w:r w:rsidRPr="00405552">
        <w:rPr>
          <w:rFonts w:ascii="Times New Roman" w:hAnsi="Times New Roman" w:cs="Times New Roman"/>
          <w:sz w:val="24"/>
          <w:szCs w:val="24"/>
        </w:rPr>
        <w:t>oklad k verejnému obstarávaniu s archivačnou dobou 7 rokov nebol v čase výko</w:t>
      </w:r>
      <w:r w:rsidR="00E30CA4">
        <w:rPr>
          <w:rFonts w:ascii="Times New Roman" w:hAnsi="Times New Roman" w:cs="Times New Roman"/>
          <w:sz w:val="24"/>
          <w:szCs w:val="24"/>
        </w:rPr>
        <w:t>nu kontroly k dispozícii;</w:t>
      </w:r>
    </w:p>
    <w:p w:rsidR="00405552" w:rsidRPr="00405552" w:rsidP="001654CB">
      <w:pPr>
        <w:numPr>
          <w:ilvl w:val="0"/>
          <w:numId w:val="12"/>
        </w:numPr>
        <w:tabs>
          <w:tab w:val="left" w:pos="360"/>
        </w:tabs>
        <w:spacing w:line="240" w:lineRule="auto"/>
        <w:ind w:left="357" w:hanging="357"/>
        <w:textAlignment w:val="auto"/>
        <w:rPr>
          <w:rFonts w:ascii="Times New Roman" w:hAnsi="Times New Roman" w:cs="Times New Roman"/>
          <w:sz w:val="24"/>
          <w:szCs w:val="24"/>
        </w:rPr>
      </w:pPr>
      <w:r w:rsidR="00F1695C">
        <w:rPr>
          <w:rFonts w:ascii="Times New Roman" w:hAnsi="Times New Roman" w:cs="Times New Roman"/>
          <w:sz w:val="24"/>
          <w:szCs w:val="24"/>
        </w:rPr>
        <w:t>v</w:t>
      </w:r>
      <w:r w:rsidRPr="00405552">
        <w:rPr>
          <w:rFonts w:ascii="Times New Roman" w:hAnsi="Times New Roman" w:cs="Times New Roman"/>
          <w:sz w:val="24"/>
          <w:szCs w:val="24"/>
        </w:rPr>
        <w:t xml:space="preserve">plyvom nedostatočnej archivácie nebol v rámci kontroly predložený doklad                     </w:t>
      </w:r>
      <w:r w:rsidR="00E30CA4">
        <w:rPr>
          <w:rFonts w:ascii="Times New Roman" w:hAnsi="Times New Roman" w:cs="Times New Roman"/>
          <w:sz w:val="24"/>
          <w:szCs w:val="24"/>
        </w:rPr>
        <w:t>k predbežnej finančnej kontrole;</w:t>
      </w:r>
    </w:p>
    <w:p w:rsidR="00405552" w:rsidRPr="00405552" w:rsidP="001654CB">
      <w:pPr>
        <w:numPr>
          <w:ilvl w:val="0"/>
          <w:numId w:val="12"/>
        </w:numPr>
        <w:tabs>
          <w:tab w:val="left" w:pos="360"/>
        </w:tabs>
        <w:spacing w:line="240" w:lineRule="auto"/>
        <w:ind w:left="357" w:hanging="357"/>
        <w:textAlignment w:val="auto"/>
        <w:rPr>
          <w:rFonts w:ascii="Times New Roman" w:hAnsi="Times New Roman" w:cs="Times New Roman"/>
          <w:sz w:val="24"/>
          <w:szCs w:val="24"/>
        </w:rPr>
      </w:pPr>
      <w:r w:rsidR="00F1695C">
        <w:rPr>
          <w:rFonts w:ascii="Times New Roman" w:hAnsi="Times New Roman" w:cs="Times New Roman"/>
          <w:sz w:val="24"/>
          <w:szCs w:val="24"/>
        </w:rPr>
        <w:t>p</w:t>
      </w:r>
      <w:r w:rsidRPr="00405552">
        <w:rPr>
          <w:rFonts w:ascii="Times New Roman" w:hAnsi="Times New Roman" w:cs="Times New Roman"/>
          <w:sz w:val="24"/>
          <w:szCs w:val="24"/>
        </w:rPr>
        <w:t>odľa interného manuálu IO nebola dodržaná lehota na vykonani</w:t>
      </w:r>
      <w:r w:rsidR="00E30CA4">
        <w:rPr>
          <w:rFonts w:ascii="Times New Roman" w:hAnsi="Times New Roman" w:cs="Times New Roman"/>
          <w:sz w:val="24"/>
          <w:szCs w:val="24"/>
        </w:rPr>
        <w:t>e predbežnej finančnej kontroly;</w:t>
      </w:r>
    </w:p>
    <w:p w:rsidR="00405552" w:rsidRPr="00405552" w:rsidP="001654CB">
      <w:pPr>
        <w:numPr>
          <w:ilvl w:val="0"/>
          <w:numId w:val="12"/>
        </w:numPr>
        <w:tabs>
          <w:tab w:val="left" w:pos="360"/>
        </w:tabs>
        <w:spacing w:line="240" w:lineRule="auto"/>
        <w:ind w:left="357" w:hanging="357"/>
        <w:textAlignment w:val="auto"/>
        <w:rPr>
          <w:rFonts w:ascii="Times New Roman" w:hAnsi="Times New Roman" w:cs="Times New Roman"/>
          <w:sz w:val="24"/>
          <w:szCs w:val="24"/>
        </w:rPr>
      </w:pPr>
      <w:r w:rsidR="00F1695C">
        <w:rPr>
          <w:rFonts w:ascii="Times New Roman" w:hAnsi="Times New Roman" w:cs="Times New Roman"/>
          <w:sz w:val="24"/>
          <w:szCs w:val="24"/>
        </w:rPr>
        <w:t>n</w:t>
      </w:r>
      <w:r w:rsidRPr="00405552">
        <w:rPr>
          <w:rFonts w:ascii="Times New Roman" w:hAnsi="Times New Roman" w:cs="Times New Roman"/>
          <w:sz w:val="24"/>
          <w:szCs w:val="24"/>
        </w:rPr>
        <w:t>ebola dodržaná lehota na predkladanie Cash-flow podľa interného manuálu IO.</w:t>
      </w:r>
    </w:p>
    <w:p w:rsidR="00E30CA4" w:rsidP="00405552">
      <w:pPr>
        <w:pStyle w:val="BodyTextIndent"/>
        <w:spacing w:line="240" w:lineRule="auto"/>
        <w:ind w:firstLine="0"/>
        <w:rPr>
          <w:rFonts w:ascii="Times New Roman" w:hAnsi="Times New Roman" w:cs="Times New Roman"/>
          <w:sz w:val="24"/>
          <w:szCs w:val="24"/>
        </w:rPr>
      </w:pPr>
    </w:p>
    <w:p w:rsidR="00405552" w:rsidP="00E30CA4">
      <w:pPr>
        <w:pStyle w:val="BodyTextIndent"/>
        <w:spacing w:line="240" w:lineRule="auto"/>
        <w:rPr>
          <w:rFonts w:ascii="Times New Roman" w:hAnsi="Times New Roman" w:cs="Times New Roman"/>
          <w:sz w:val="24"/>
          <w:szCs w:val="24"/>
        </w:rPr>
      </w:pPr>
      <w:r w:rsidRPr="00405552">
        <w:rPr>
          <w:rFonts w:ascii="Times New Roman" w:hAnsi="Times New Roman" w:cs="Times New Roman"/>
          <w:sz w:val="24"/>
          <w:szCs w:val="24"/>
        </w:rPr>
        <w:t>Na základ</w:t>
      </w:r>
      <w:r w:rsidR="00F1695C">
        <w:rPr>
          <w:rFonts w:ascii="Times New Roman" w:hAnsi="Times New Roman" w:cs="Times New Roman"/>
          <w:sz w:val="24"/>
          <w:szCs w:val="24"/>
        </w:rPr>
        <w:t xml:space="preserve">e výsledkov následnej finančnej </w:t>
      </w:r>
      <w:r w:rsidRPr="00405552">
        <w:rPr>
          <w:rFonts w:ascii="Times New Roman" w:hAnsi="Times New Roman" w:cs="Times New Roman"/>
          <w:sz w:val="24"/>
          <w:szCs w:val="24"/>
        </w:rPr>
        <w:t>kontroly boli  prijaté 4 vecné opatrenia na nápravu zistených nedostatkov a na odstránenie príčin ich vzniku so zameraním na doplnenie spisov o chýbajúce doklady a na držiavanie interného manuálu procedúr. Správa o splnení, re</w:t>
      </w:r>
      <w:r w:rsidR="004573C1">
        <w:rPr>
          <w:rFonts w:ascii="Times New Roman" w:hAnsi="Times New Roman" w:cs="Times New Roman"/>
          <w:sz w:val="24"/>
          <w:szCs w:val="24"/>
        </w:rPr>
        <w:t xml:space="preserve">sp. priebežnom plnení </w:t>
      </w:r>
      <w:r w:rsidRPr="00405552">
        <w:rPr>
          <w:rFonts w:ascii="Times New Roman" w:hAnsi="Times New Roman" w:cs="Times New Roman"/>
          <w:sz w:val="24"/>
          <w:szCs w:val="24"/>
        </w:rPr>
        <w:t>opatrení bola kontrolnému orgánu MF SR zaslaná v dňa 2.5.2007.</w:t>
      </w:r>
    </w:p>
    <w:p w:rsidR="00E30CA4" w:rsidRPr="00405552" w:rsidP="00E30CA4">
      <w:pPr>
        <w:pStyle w:val="BodyTextIndent"/>
        <w:spacing w:line="240" w:lineRule="auto"/>
        <w:rPr>
          <w:rFonts w:ascii="Times New Roman" w:hAnsi="Times New Roman" w:cs="Times New Roman"/>
          <w:sz w:val="24"/>
          <w:szCs w:val="24"/>
        </w:rPr>
      </w:pPr>
    </w:p>
    <w:p w:rsidR="00405552" w:rsidRPr="00405552" w:rsidP="001654CB">
      <w:pPr>
        <w:numPr>
          <w:ilvl w:val="0"/>
          <w:numId w:val="26"/>
        </w:numPr>
        <w:tabs>
          <w:tab w:val="left" w:pos="360"/>
          <w:tab w:val="clear" w:pos="720"/>
        </w:tabs>
        <w:spacing w:line="240" w:lineRule="auto"/>
        <w:ind w:left="360"/>
        <w:textAlignment w:val="auto"/>
        <w:rPr>
          <w:rFonts w:ascii="Times New Roman" w:hAnsi="Times New Roman" w:cs="Times New Roman"/>
          <w:b/>
          <w:sz w:val="24"/>
          <w:szCs w:val="24"/>
        </w:rPr>
      </w:pPr>
      <w:r w:rsidRPr="00405552">
        <w:rPr>
          <w:rFonts w:ascii="Times New Roman" w:hAnsi="Times New Roman" w:cs="Times New Roman"/>
          <w:b/>
          <w:sz w:val="24"/>
          <w:szCs w:val="24"/>
        </w:rPr>
        <w:t xml:space="preserve">Následná finančná kontrola projektu ISPA/KF </w:t>
      </w:r>
      <w:r w:rsidR="00E30CA4">
        <w:rPr>
          <w:rFonts w:ascii="Times New Roman" w:hAnsi="Times New Roman" w:cs="Times New Roman"/>
          <w:b/>
          <w:sz w:val="24"/>
          <w:szCs w:val="24"/>
        </w:rPr>
        <w:t xml:space="preserve">– </w:t>
      </w:r>
      <w:r w:rsidRPr="00405552">
        <w:rPr>
          <w:rFonts w:ascii="Times New Roman" w:hAnsi="Times New Roman" w:cs="Times New Roman"/>
          <w:b/>
          <w:sz w:val="24"/>
          <w:szCs w:val="24"/>
        </w:rPr>
        <w:t>Moderniz</w:t>
      </w:r>
      <w:r w:rsidRPr="00405552">
        <w:rPr>
          <w:rFonts w:ascii="Times New Roman" w:hAnsi="Times New Roman" w:cs="Times New Roman"/>
          <w:b/>
          <w:sz w:val="24"/>
          <w:szCs w:val="24"/>
        </w:rPr>
        <w:t>á</w:t>
      </w:r>
      <w:r w:rsidRPr="00405552">
        <w:rPr>
          <w:rFonts w:ascii="Times New Roman" w:hAnsi="Times New Roman" w:cs="Times New Roman"/>
          <w:b/>
          <w:sz w:val="24"/>
          <w:szCs w:val="24"/>
        </w:rPr>
        <w:t xml:space="preserve">cia železničnej trate Trnava – Nové Mesto </w:t>
      </w:r>
      <w:r w:rsidR="00E30CA4">
        <w:rPr>
          <w:rFonts w:ascii="Times New Roman" w:hAnsi="Times New Roman" w:cs="Times New Roman"/>
          <w:b/>
          <w:sz w:val="24"/>
          <w:szCs w:val="24"/>
        </w:rPr>
        <w:t xml:space="preserve">nad Váhom, žkm 47,550 – 100,5, </w:t>
      </w:r>
      <w:r w:rsidRPr="00405552">
        <w:rPr>
          <w:rFonts w:ascii="Times New Roman" w:hAnsi="Times New Roman" w:cs="Times New Roman"/>
          <w:b/>
          <w:sz w:val="24"/>
          <w:szCs w:val="24"/>
        </w:rPr>
        <w:t xml:space="preserve">na rýchlosť </w:t>
      </w:r>
      <w:smartTag w:uri="urn:schemas-microsoft-com:office:smarttags" w:element="metricconverter">
        <w:smartTagPr>
          <w:attr w:name="ProductID" w:val="160 km/h"/>
        </w:smartTagPr>
        <w:r w:rsidRPr="00405552">
          <w:rPr>
            <w:rFonts w:ascii="Times New Roman" w:hAnsi="Times New Roman" w:cs="Times New Roman"/>
            <w:b/>
            <w:sz w:val="24"/>
            <w:szCs w:val="24"/>
          </w:rPr>
          <w:t>160 km/h</w:t>
        </w:r>
      </w:smartTag>
      <w:r w:rsidRPr="00405552">
        <w:rPr>
          <w:rFonts w:ascii="Times New Roman" w:hAnsi="Times New Roman" w:cs="Times New Roman"/>
          <w:b/>
          <w:sz w:val="24"/>
          <w:szCs w:val="24"/>
        </w:rPr>
        <w:t xml:space="preserve"> – II. Etapa</w:t>
      </w:r>
    </w:p>
    <w:p w:rsidR="00E30CA4" w:rsidP="00405552">
      <w:pPr>
        <w:pStyle w:val="BodyTextIndent"/>
        <w:tabs>
          <w:tab w:val="left" w:pos="360"/>
        </w:tabs>
        <w:spacing w:line="240" w:lineRule="auto"/>
        <w:ind w:firstLine="0"/>
        <w:rPr>
          <w:rFonts w:ascii="Times New Roman" w:hAnsi="Times New Roman" w:cs="Times New Roman"/>
          <w:sz w:val="24"/>
          <w:szCs w:val="24"/>
        </w:rPr>
      </w:pPr>
    </w:p>
    <w:p w:rsidR="00405552" w:rsidP="00405552">
      <w:pPr>
        <w:pStyle w:val="BodyTextIndent"/>
        <w:tabs>
          <w:tab w:val="left" w:pos="360"/>
        </w:tabs>
        <w:spacing w:line="240" w:lineRule="auto"/>
        <w:ind w:firstLine="0"/>
        <w:rPr>
          <w:rFonts w:ascii="Times New Roman" w:hAnsi="Times New Roman" w:cs="Times New Roman"/>
          <w:sz w:val="24"/>
          <w:szCs w:val="24"/>
        </w:rPr>
      </w:pPr>
      <w:r w:rsidR="00E30CA4">
        <w:rPr>
          <w:rFonts w:ascii="Times New Roman" w:hAnsi="Times New Roman" w:cs="Times New Roman"/>
          <w:sz w:val="24"/>
          <w:szCs w:val="24"/>
        </w:rPr>
        <w:tab/>
        <w:tab/>
      </w:r>
      <w:r w:rsidRPr="00405552">
        <w:rPr>
          <w:rFonts w:ascii="Times New Roman" w:hAnsi="Times New Roman" w:cs="Times New Roman"/>
          <w:sz w:val="24"/>
          <w:szCs w:val="24"/>
        </w:rPr>
        <w:t>Následnou finančnou kontrolou bolo zistené:</w:t>
      </w:r>
    </w:p>
    <w:p w:rsidR="00E30CA4" w:rsidRPr="00405552" w:rsidP="00405552">
      <w:pPr>
        <w:pStyle w:val="BodyTextIndent"/>
        <w:tabs>
          <w:tab w:val="left" w:pos="360"/>
        </w:tabs>
        <w:spacing w:line="240" w:lineRule="auto"/>
        <w:ind w:firstLine="0"/>
        <w:rPr>
          <w:rFonts w:ascii="Times New Roman" w:hAnsi="Times New Roman" w:cs="Times New Roman"/>
          <w:sz w:val="24"/>
          <w:szCs w:val="24"/>
        </w:rPr>
      </w:pPr>
    </w:p>
    <w:p w:rsidR="00405552" w:rsidRPr="00405552" w:rsidP="001654CB">
      <w:pPr>
        <w:pStyle w:val="BodyTextIndent"/>
        <w:numPr>
          <w:ilvl w:val="0"/>
          <w:numId w:val="12"/>
        </w:numPr>
        <w:tabs>
          <w:tab w:val="left" w:pos="360"/>
        </w:tabs>
        <w:adjustRightInd/>
        <w:spacing w:line="240" w:lineRule="auto"/>
        <w:ind w:left="357" w:hanging="357"/>
        <w:textAlignment w:val="auto"/>
        <w:rPr>
          <w:rFonts w:ascii="Times New Roman" w:hAnsi="Times New Roman" w:cs="Times New Roman"/>
          <w:b/>
          <w:sz w:val="24"/>
          <w:szCs w:val="24"/>
        </w:rPr>
      </w:pPr>
      <w:r w:rsidR="00F1695C">
        <w:rPr>
          <w:rFonts w:ascii="Times New Roman" w:hAnsi="Times New Roman" w:cs="Times New Roman"/>
          <w:sz w:val="24"/>
          <w:szCs w:val="24"/>
        </w:rPr>
        <w:t>n</w:t>
      </w:r>
      <w:r w:rsidRPr="00405552">
        <w:rPr>
          <w:rFonts w:ascii="Times New Roman" w:hAnsi="Times New Roman" w:cs="Times New Roman"/>
          <w:sz w:val="24"/>
          <w:szCs w:val="24"/>
        </w:rPr>
        <w:t>edodržanie lehoty na vypracovanie Prehlásenia o overení výdavkov zo strany SORO       a lehoty na následné postúpenie žiadostí o platbu na SOPO, resp. PJ pri všetkých žiadostiach IO/KP o platbu</w:t>
      </w:r>
      <w:r w:rsidR="00E30CA4">
        <w:rPr>
          <w:rFonts w:ascii="Times New Roman" w:hAnsi="Times New Roman" w:cs="Times New Roman"/>
          <w:sz w:val="24"/>
          <w:szCs w:val="24"/>
        </w:rPr>
        <w:t>;</w:t>
      </w:r>
    </w:p>
    <w:p w:rsidR="00405552" w:rsidRPr="00405552" w:rsidP="001654CB">
      <w:pPr>
        <w:pStyle w:val="BodyTextIndent"/>
        <w:numPr>
          <w:ilvl w:val="0"/>
          <w:numId w:val="12"/>
        </w:numPr>
        <w:tabs>
          <w:tab w:val="left" w:pos="360"/>
        </w:tabs>
        <w:adjustRightInd/>
        <w:spacing w:line="240" w:lineRule="auto"/>
        <w:ind w:left="357" w:hanging="357"/>
        <w:textAlignment w:val="auto"/>
        <w:rPr>
          <w:rFonts w:ascii="Times New Roman" w:hAnsi="Times New Roman" w:cs="Times New Roman"/>
          <w:b/>
          <w:sz w:val="24"/>
          <w:szCs w:val="24"/>
        </w:rPr>
      </w:pPr>
      <w:r w:rsidR="00F1695C">
        <w:rPr>
          <w:rFonts w:ascii="Times New Roman" w:hAnsi="Times New Roman" w:cs="Times New Roman"/>
          <w:sz w:val="24"/>
          <w:szCs w:val="24"/>
        </w:rPr>
        <w:t>n</w:t>
      </w:r>
      <w:r w:rsidRPr="00405552">
        <w:rPr>
          <w:rFonts w:ascii="Times New Roman" w:hAnsi="Times New Roman" w:cs="Times New Roman"/>
          <w:sz w:val="24"/>
          <w:szCs w:val="24"/>
        </w:rPr>
        <w:t>edodržanie lehoty 10 pracovných dní na vykonanie kontroly žiadosti o zúčtovanie predfinancovania  (Ž</w:t>
      </w:r>
      <w:r w:rsidR="00E30CA4">
        <w:rPr>
          <w:rFonts w:ascii="Times New Roman" w:hAnsi="Times New Roman" w:cs="Times New Roman"/>
          <w:sz w:val="24"/>
          <w:szCs w:val="24"/>
        </w:rPr>
        <w:t>oZP) a na postúpenie ŽoZP na PJ;</w:t>
      </w:r>
      <w:r w:rsidRPr="00405552">
        <w:rPr>
          <w:rFonts w:ascii="Times New Roman" w:hAnsi="Times New Roman" w:cs="Times New Roman"/>
          <w:sz w:val="24"/>
          <w:szCs w:val="24"/>
        </w:rPr>
        <w:t xml:space="preserve"> </w:t>
      </w:r>
    </w:p>
    <w:p w:rsidR="00405552" w:rsidRPr="00405552" w:rsidP="001654CB">
      <w:pPr>
        <w:pStyle w:val="BodyTextIndent"/>
        <w:numPr>
          <w:ilvl w:val="0"/>
          <w:numId w:val="12"/>
        </w:numPr>
        <w:tabs>
          <w:tab w:val="left" w:pos="360"/>
        </w:tabs>
        <w:adjustRightInd/>
        <w:spacing w:line="240" w:lineRule="auto"/>
        <w:ind w:left="357" w:hanging="357"/>
        <w:textAlignment w:val="auto"/>
        <w:rPr>
          <w:rFonts w:ascii="Times New Roman" w:hAnsi="Times New Roman" w:cs="Times New Roman"/>
          <w:sz w:val="24"/>
          <w:szCs w:val="24"/>
        </w:rPr>
      </w:pPr>
      <w:r w:rsidRPr="00405552">
        <w:rPr>
          <w:rFonts w:ascii="Times New Roman" w:hAnsi="Times New Roman" w:cs="Times New Roman"/>
          <w:sz w:val="24"/>
          <w:szCs w:val="24"/>
        </w:rPr>
        <w:t>SORO nearchivoval dokumenty súvisiace s procesom VO dvoch zrušených súťaží          na práce a t</w:t>
      </w:r>
      <w:r w:rsidR="00E30CA4">
        <w:rPr>
          <w:rFonts w:ascii="Times New Roman" w:hAnsi="Times New Roman" w:cs="Times New Roman"/>
          <w:sz w:val="24"/>
          <w:szCs w:val="24"/>
        </w:rPr>
        <w:t>roch zrušených súťaží na služby;</w:t>
      </w:r>
    </w:p>
    <w:p w:rsidR="00405552" w:rsidRPr="00405552" w:rsidP="001654CB">
      <w:pPr>
        <w:pStyle w:val="BodyTextIndent"/>
        <w:numPr>
          <w:ilvl w:val="0"/>
          <w:numId w:val="12"/>
        </w:numPr>
        <w:tabs>
          <w:tab w:val="left" w:pos="360"/>
        </w:tabs>
        <w:adjustRightInd/>
        <w:spacing w:line="240" w:lineRule="auto"/>
        <w:ind w:left="357" w:hanging="357"/>
        <w:textAlignment w:val="auto"/>
        <w:rPr>
          <w:rFonts w:ascii="Times New Roman" w:hAnsi="Times New Roman" w:cs="Times New Roman"/>
          <w:sz w:val="24"/>
          <w:szCs w:val="24"/>
        </w:rPr>
      </w:pPr>
      <w:r w:rsidRPr="00405552">
        <w:rPr>
          <w:rFonts w:ascii="Times New Roman" w:hAnsi="Times New Roman" w:cs="Times New Roman"/>
          <w:sz w:val="24"/>
          <w:szCs w:val="24"/>
        </w:rPr>
        <w:t>SORO odsúhlasil len technickú časť súťažných podkladov na realizáciu stavby                  a nedodržal pritom 10 dňovú lehotu p</w:t>
      </w:r>
      <w:r w:rsidR="00E30CA4">
        <w:rPr>
          <w:rFonts w:ascii="Times New Roman" w:hAnsi="Times New Roman" w:cs="Times New Roman"/>
          <w:sz w:val="24"/>
          <w:szCs w:val="24"/>
        </w:rPr>
        <w:t>odľa interného manuálu procedúr;</w:t>
      </w:r>
    </w:p>
    <w:p w:rsidR="00405552" w:rsidRPr="00405552" w:rsidP="001654CB">
      <w:pPr>
        <w:pStyle w:val="BodyTextIndent"/>
        <w:numPr>
          <w:ilvl w:val="0"/>
          <w:numId w:val="12"/>
        </w:numPr>
        <w:tabs>
          <w:tab w:val="left" w:pos="360"/>
        </w:tabs>
        <w:adjustRightInd/>
        <w:spacing w:line="240" w:lineRule="auto"/>
        <w:ind w:left="357" w:hanging="357"/>
        <w:textAlignment w:val="auto"/>
        <w:rPr>
          <w:rFonts w:ascii="Times New Roman" w:hAnsi="Times New Roman" w:cs="Times New Roman"/>
          <w:sz w:val="24"/>
          <w:szCs w:val="24"/>
        </w:rPr>
      </w:pPr>
      <w:r w:rsidRPr="00405552">
        <w:rPr>
          <w:rFonts w:ascii="Times New Roman" w:hAnsi="Times New Roman" w:cs="Times New Roman"/>
          <w:sz w:val="24"/>
          <w:szCs w:val="24"/>
        </w:rPr>
        <w:t>SORO nemal v kontrolnom liste pre žiadosti o platbu uvedené otázky odkazujúce sa        na</w:t>
      </w:r>
      <w:r w:rsidR="00A143D0">
        <w:rPr>
          <w:rFonts w:ascii="Times New Roman" w:hAnsi="Times New Roman" w:cs="Times New Roman"/>
          <w:sz w:val="24"/>
          <w:szCs w:val="24"/>
        </w:rPr>
        <w:t xml:space="preserve"> pravidlá oprávnenosti výdavkov;</w:t>
      </w:r>
    </w:p>
    <w:p w:rsidR="00405552" w:rsidRPr="00405552" w:rsidP="001654CB">
      <w:pPr>
        <w:pStyle w:val="BodyTextIndent"/>
        <w:numPr>
          <w:ilvl w:val="0"/>
          <w:numId w:val="12"/>
        </w:numPr>
        <w:tabs>
          <w:tab w:val="left" w:pos="360"/>
        </w:tabs>
        <w:adjustRightInd/>
        <w:spacing w:line="240" w:lineRule="auto"/>
        <w:ind w:left="357" w:hanging="357"/>
        <w:textAlignment w:val="auto"/>
        <w:rPr>
          <w:rFonts w:ascii="Times New Roman" w:hAnsi="Times New Roman" w:cs="Times New Roman"/>
          <w:sz w:val="24"/>
          <w:szCs w:val="24"/>
        </w:rPr>
      </w:pPr>
      <w:r w:rsidR="00F1695C">
        <w:rPr>
          <w:rFonts w:ascii="Times New Roman" w:hAnsi="Times New Roman" w:cs="Times New Roman"/>
          <w:sz w:val="24"/>
          <w:szCs w:val="24"/>
        </w:rPr>
        <w:t>z</w:t>
      </w:r>
      <w:r w:rsidRPr="00405552">
        <w:rPr>
          <w:rFonts w:ascii="Times New Roman" w:hAnsi="Times New Roman" w:cs="Times New Roman"/>
          <w:sz w:val="24"/>
          <w:szCs w:val="24"/>
        </w:rPr>
        <w:t>mluva o implementácii a financovaní projektu nebola aktualizovaná v súvislosti so zmenou finančného riadenia upravenou „Koncepciou systému finančného riade</w:t>
      </w:r>
      <w:r w:rsidR="00A143D0">
        <w:rPr>
          <w:rFonts w:ascii="Times New Roman" w:hAnsi="Times New Roman" w:cs="Times New Roman"/>
          <w:sz w:val="24"/>
          <w:szCs w:val="24"/>
        </w:rPr>
        <w:t>nia“</w:t>
      </w:r>
      <w:r w:rsidRPr="00A143D0" w:rsidR="00A143D0">
        <w:rPr>
          <w:rFonts w:ascii="Times New Roman" w:hAnsi="Times New Roman" w:cs="Times New Roman"/>
          <w:sz w:val="24"/>
          <w:szCs w:val="24"/>
        </w:rPr>
        <w:t xml:space="preserve"> </w:t>
      </w:r>
      <w:r w:rsidR="00A143D0">
        <w:rPr>
          <w:rFonts w:ascii="Times New Roman" w:hAnsi="Times New Roman" w:cs="Times New Roman"/>
          <w:sz w:val="24"/>
          <w:szCs w:val="24"/>
        </w:rPr>
        <w:t>;</w:t>
      </w:r>
    </w:p>
    <w:p w:rsidR="00A143D0" w:rsidP="001654CB">
      <w:pPr>
        <w:pStyle w:val="BodyTextIndent"/>
        <w:numPr>
          <w:ilvl w:val="0"/>
          <w:numId w:val="12"/>
        </w:numPr>
        <w:tabs>
          <w:tab w:val="left" w:pos="360"/>
        </w:tabs>
        <w:adjustRightInd/>
        <w:spacing w:line="240" w:lineRule="auto"/>
        <w:ind w:left="357" w:hanging="357"/>
        <w:textAlignment w:val="auto"/>
        <w:rPr>
          <w:rFonts w:ascii="Times New Roman" w:hAnsi="Times New Roman" w:cs="Times New Roman"/>
          <w:sz w:val="24"/>
          <w:szCs w:val="24"/>
        </w:rPr>
      </w:pPr>
      <w:r w:rsidRPr="00405552" w:rsidR="00405552">
        <w:rPr>
          <w:rFonts w:ascii="Times New Roman" w:hAnsi="Times New Roman" w:cs="Times New Roman"/>
          <w:sz w:val="24"/>
          <w:szCs w:val="24"/>
        </w:rPr>
        <w:t>SORO po vykonaní kontroly na mieste do 10 pracovných dní nevypracoval Správu           z kontroly na mieste a nezaslal ju účastníkom kontroly na podpis.</w:t>
      </w:r>
    </w:p>
    <w:p w:rsidR="00A143D0" w:rsidRPr="00405552" w:rsidP="00A143D0">
      <w:pPr>
        <w:pStyle w:val="BodyTextIndent"/>
        <w:adjustRightInd/>
        <w:spacing w:line="240" w:lineRule="auto"/>
        <w:ind w:firstLine="0"/>
        <w:textAlignment w:val="auto"/>
        <w:rPr>
          <w:rFonts w:ascii="Times New Roman" w:hAnsi="Times New Roman" w:cs="Times New Roman"/>
          <w:sz w:val="24"/>
          <w:szCs w:val="24"/>
        </w:rPr>
      </w:pPr>
    </w:p>
    <w:p w:rsidR="00405552" w:rsidP="00A143D0">
      <w:pPr>
        <w:pStyle w:val="BodyTextIndent"/>
        <w:spacing w:line="240" w:lineRule="auto"/>
        <w:rPr>
          <w:rFonts w:ascii="Times New Roman" w:hAnsi="Times New Roman" w:cs="Times New Roman"/>
          <w:sz w:val="24"/>
          <w:szCs w:val="24"/>
        </w:rPr>
      </w:pPr>
      <w:r w:rsidRPr="00405552">
        <w:rPr>
          <w:rFonts w:ascii="Times New Roman" w:hAnsi="Times New Roman" w:cs="Times New Roman"/>
          <w:sz w:val="24"/>
          <w:szCs w:val="24"/>
        </w:rPr>
        <w:t>Na základe výsledkov následnej finančnej kontroly bolo prijatých 5 vecných opatrení na nápravu zistených nedostatkov so zameraním na vypracovanie dodatku k zmluve o implementácii, odsúhlasovanie kompletnej dokumentácie k verejnému obstarávaniu, archivovanie dokumentácie k zrušeným súťažiam a na dodržiavanie interného manuálu procedúr. Termín na plnenie prijatých opatrení v súčasnosti plynie.</w:t>
      </w:r>
    </w:p>
    <w:p w:rsidR="00A143D0" w:rsidRPr="00405552" w:rsidP="00A143D0">
      <w:pPr>
        <w:pStyle w:val="BodyTextIndent"/>
        <w:spacing w:line="240" w:lineRule="auto"/>
        <w:rPr>
          <w:rFonts w:ascii="Times New Roman" w:hAnsi="Times New Roman" w:cs="Times New Roman"/>
          <w:sz w:val="24"/>
          <w:szCs w:val="24"/>
        </w:rPr>
      </w:pPr>
    </w:p>
    <w:p w:rsidR="00405552" w:rsidP="001654CB">
      <w:pPr>
        <w:numPr>
          <w:ilvl w:val="0"/>
          <w:numId w:val="26"/>
        </w:numPr>
        <w:tabs>
          <w:tab w:val="left" w:pos="360"/>
          <w:tab w:val="clear" w:pos="720"/>
        </w:tabs>
        <w:spacing w:line="240" w:lineRule="auto"/>
        <w:ind w:left="360"/>
        <w:textAlignment w:val="auto"/>
        <w:rPr>
          <w:rFonts w:ascii="Times New Roman" w:hAnsi="Times New Roman" w:cs="Times New Roman"/>
          <w:b/>
          <w:sz w:val="24"/>
          <w:szCs w:val="24"/>
        </w:rPr>
      </w:pPr>
      <w:r w:rsidRPr="00405552">
        <w:rPr>
          <w:rFonts w:ascii="Times New Roman" w:hAnsi="Times New Roman" w:cs="Times New Roman"/>
          <w:b/>
          <w:sz w:val="24"/>
          <w:szCs w:val="24"/>
        </w:rPr>
        <w:t xml:space="preserve">Následná finančná kontrola vybraných projektov Fondu solidarity EÚ </w:t>
      </w:r>
    </w:p>
    <w:p w:rsidR="00A143D0" w:rsidRPr="00405552" w:rsidP="00A143D0">
      <w:pPr>
        <w:spacing w:line="240" w:lineRule="auto"/>
        <w:textAlignment w:val="auto"/>
        <w:rPr>
          <w:rFonts w:ascii="Times New Roman" w:hAnsi="Times New Roman" w:cs="Times New Roman"/>
          <w:b/>
          <w:sz w:val="24"/>
          <w:szCs w:val="24"/>
        </w:rPr>
      </w:pPr>
    </w:p>
    <w:p w:rsidR="00405552" w:rsidRPr="00405552" w:rsidP="00A143D0">
      <w:pPr>
        <w:spacing w:line="240" w:lineRule="auto"/>
        <w:ind w:firstLine="709"/>
        <w:rPr>
          <w:rFonts w:ascii="Times New Roman" w:hAnsi="Times New Roman" w:cs="Times New Roman"/>
          <w:sz w:val="24"/>
          <w:szCs w:val="24"/>
        </w:rPr>
      </w:pPr>
      <w:r w:rsidRPr="00405552">
        <w:rPr>
          <w:rFonts w:ascii="Times New Roman" w:hAnsi="Times New Roman" w:cs="Times New Roman"/>
          <w:sz w:val="24"/>
          <w:szCs w:val="24"/>
        </w:rPr>
        <w:t>Následnou finančnou kontrolou bolo zistené, že prevod finančných prostriedkov príjemcovi pomoci bol vykonaný po termíne platnosti zmluvy stanovenej poskytovateľom.</w:t>
      </w:r>
    </w:p>
    <w:p w:rsidR="00405552" w:rsidRPr="00405552" w:rsidP="00A143D0">
      <w:pPr>
        <w:pStyle w:val="BodyTextIndent"/>
        <w:spacing w:line="240" w:lineRule="auto"/>
        <w:rPr>
          <w:rFonts w:ascii="Times New Roman" w:hAnsi="Times New Roman" w:cs="Times New Roman"/>
          <w:sz w:val="24"/>
          <w:szCs w:val="24"/>
        </w:rPr>
      </w:pPr>
      <w:r w:rsidRPr="00405552">
        <w:rPr>
          <w:rFonts w:ascii="Times New Roman" w:hAnsi="Times New Roman" w:cs="Times New Roman"/>
          <w:sz w:val="24"/>
          <w:szCs w:val="24"/>
        </w:rPr>
        <w:t>Na základe výsledkov následnej finančnej kontroly boli prijaté 3 vecné opatrenie na nápravu zistených nedostatkov so zameraním na dôsledné dodržiavanie zákona č.523/2004 Z. z. o rozpočtových pravidlách a na zabezpečenie preškolenia zamestnancov. Správa o splnení, resp. priebežnom plnení prijatých opatrení bola kontrolnému orgánu MF SR zaslaná v stanovenom termíne.</w:t>
      </w:r>
    </w:p>
    <w:p w:rsidR="00405552" w:rsidRPr="00A143D0" w:rsidP="00405552">
      <w:pPr>
        <w:spacing w:line="240" w:lineRule="auto"/>
        <w:rPr>
          <w:rFonts w:ascii="Times New Roman" w:hAnsi="Times New Roman" w:cs="Times New Roman"/>
          <w:b/>
          <w:sz w:val="26"/>
          <w:szCs w:val="26"/>
        </w:rPr>
      </w:pPr>
    </w:p>
    <w:p w:rsidR="00405552" w:rsidRPr="00A143D0" w:rsidP="00405552">
      <w:pPr>
        <w:pStyle w:val="Heading3"/>
        <w:tabs>
          <w:tab w:val="left" w:pos="540"/>
        </w:tabs>
        <w:spacing w:before="0" w:after="0" w:line="240" w:lineRule="auto"/>
        <w:rPr>
          <w:rFonts w:ascii="Times New Roman" w:hAnsi="Times New Roman" w:cs="Times New Roman"/>
          <w:caps/>
        </w:rPr>
      </w:pPr>
      <w:r w:rsidRPr="00A143D0" w:rsidR="00A143D0">
        <w:rPr>
          <w:rFonts w:ascii="Times New Roman" w:hAnsi="Times New Roman" w:cs="Times New Roman"/>
          <w:caps/>
        </w:rPr>
        <w:t xml:space="preserve">B. </w:t>
      </w:r>
      <w:r w:rsidRPr="00A143D0">
        <w:rPr>
          <w:rFonts w:ascii="Times New Roman" w:hAnsi="Times New Roman" w:cs="Times New Roman"/>
          <w:caps/>
        </w:rPr>
        <w:t>Vonkajšie kontroly VYKONANÉ v Organizáciách v </w:t>
      </w:r>
      <w:r w:rsidR="00A143D0">
        <w:rPr>
          <w:rFonts w:ascii="Times New Roman" w:hAnsi="Times New Roman" w:cs="Times New Roman"/>
          <w:caps/>
        </w:rPr>
        <w:t xml:space="preserve"> </w:t>
      </w:r>
      <w:r w:rsidRPr="00A143D0">
        <w:rPr>
          <w:rFonts w:ascii="Times New Roman" w:hAnsi="Times New Roman" w:cs="Times New Roman"/>
          <w:caps/>
        </w:rPr>
        <w:t>Pôsobnosti MDPT SR</w:t>
      </w:r>
    </w:p>
    <w:p w:rsidR="00A143D0" w:rsidRPr="00A143D0" w:rsidP="00A143D0">
      <w:pPr>
        <w:rPr>
          <w:rFonts w:ascii="Times New Roman" w:hAnsi="Times New Roman" w:cs="Times New Roman"/>
        </w:rPr>
      </w:pPr>
    </w:p>
    <w:p w:rsidR="00405552" w:rsidRPr="00405552" w:rsidP="00405552">
      <w:pPr>
        <w:spacing w:line="240" w:lineRule="auto"/>
        <w:rPr>
          <w:rFonts w:ascii="Times New Roman" w:hAnsi="Times New Roman" w:cs="Times New Roman"/>
          <w:b/>
          <w:sz w:val="24"/>
          <w:szCs w:val="24"/>
          <w:u w:val="single"/>
        </w:rPr>
      </w:pPr>
      <w:r w:rsidRPr="00405552">
        <w:rPr>
          <w:rFonts w:ascii="Times New Roman" w:hAnsi="Times New Roman" w:cs="Times New Roman"/>
          <w:b/>
          <w:sz w:val="24"/>
          <w:szCs w:val="24"/>
          <w:u w:val="single"/>
        </w:rPr>
        <w:t xml:space="preserve">B.1   Kontroly vykonané z úrovne NKÚ SR </w:t>
      </w:r>
    </w:p>
    <w:p w:rsidR="00405552" w:rsidRPr="00405552" w:rsidP="00405552">
      <w:pPr>
        <w:spacing w:line="240" w:lineRule="auto"/>
        <w:rPr>
          <w:rFonts w:ascii="Times New Roman" w:hAnsi="Times New Roman" w:cs="Times New Roman"/>
          <w:sz w:val="24"/>
          <w:szCs w:val="24"/>
        </w:rPr>
      </w:pPr>
    </w:p>
    <w:p w:rsidR="00A143D0" w:rsidP="00A143D0">
      <w:pPr>
        <w:pStyle w:val="BodyTextIndent"/>
        <w:spacing w:line="240" w:lineRule="auto"/>
        <w:rPr>
          <w:rFonts w:ascii="Times New Roman" w:hAnsi="Times New Roman" w:cs="Times New Roman"/>
          <w:sz w:val="24"/>
          <w:szCs w:val="24"/>
        </w:rPr>
      </w:pPr>
      <w:r w:rsidRPr="00405552" w:rsidR="00405552">
        <w:rPr>
          <w:rFonts w:ascii="Times New Roman" w:hAnsi="Times New Roman" w:cs="Times New Roman"/>
          <w:sz w:val="24"/>
          <w:szCs w:val="24"/>
        </w:rPr>
        <w:t>V organizáciách v pôsobnosti MDPT SR boli v roku 2007 vykonané celkom 4 kontroly z úrovne NKÚ SR. Predmetné kontroly boli vykonané v Železničnej spoločnosti Slovensko, a.s.,  Letových prevádzkových službách SR, š.p.</w:t>
      </w:r>
      <w:r>
        <w:rPr>
          <w:rFonts w:ascii="Times New Roman" w:hAnsi="Times New Roman" w:cs="Times New Roman"/>
          <w:sz w:val="24"/>
          <w:szCs w:val="24"/>
        </w:rPr>
        <w:t xml:space="preserve">, </w:t>
      </w:r>
      <w:r w:rsidRPr="00405552" w:rsidR="00405552">
        <w:rPr>
          <w:rFonts w:ascii="Times New Roman" w:hAnsi="Times New Roman" w:cs="Times New Roman"/>
          <w:sz w:val="24"/>
          <w:szCs w:val="24"/>
        </w:rPr>
        <w:t>na Úrade pre reguláciu železničnej dopravy a</w:t>
      </w:r>
      <w:r>
        <w:rPr>
          <w:rFonts w:ascii="Times New Roman" w:hAnsi="Times New Roman" w:cs="Times New Roman"/>
          <w:sz w:val="24"/>
          <w:szCs w:val="24"/>
        </w:rPr>
        <w:t xml:space="preserve"> na </w:t>
      </w:r>
      <w:r w:rsidRPr="00405552" w:rsidR="00405552">
        <w:rPr>
          <w:rFonts w:ascii="Times New Roman" w:hAnsi="Times New Roman" w:cs="Times New Roman"/>
          <w:sz w:val="24"/>
          <w:szCs w:val="24"/>
        </w:rPr>
        <w:t>Slove</w:t>
      </w:r>
      <w:r>
        <w:rPr>
          <w:rFonts w:ascii="Times New Roman" w:hAnsi="Times New Roman" w:cs="Times New Roman"/>
          <w:sz w:val="24"/>
          <w:szCs w:val="24"/>
        </w:rPr>
        <w:t xml:space="preserve">nskej správe ciest. </w:t>
      </w:r>
    </w:p>
    <w:p w:rsidR="00A143D0" w:rsidP="00A143D0">
      <w:pPr>
        <w:pStyle w:val="BodyTextIndent2"/>
        <w:spacing w:after="0" w:line="240" w:lineRule="auto"/>
        <w:ind w:left="0"/>
        <w:rPr>
          <w:rFonts w:ascii="Times New Roman" w:hAnsi="Times New Roman" w:cs="Times New Roman"/>
          <w:b/>
          <w:sz w:val="24"/>
          <w:szCs w:val="24"/>
        </w:rPr>
      </w:pPr>
    </w:p>
    <w:p w:rsidR="00405552" w:rsidP="00A143D0">
      <w:pPr>
        <w:pStyle w:val="BodyTextIndent2"/>
        <w:numPr>
          <w:ilvl w:val="1"/>
          <w:numId w:val="12"/>
        </w:numPr>
        <w:tabs>
          <w:tab w:val="left" w:pos="360"/>
        </w:tabs>
        <w:spacing w:after="0" w:line="240" w:lineRule="auto"/>
        <w:rPr>
          <w:rFonts w:ascii="Times New Roman" w:hAnsi="Times New Roman" w:cs="Times New Roman"/>
          <w:b/>
          <w:sz w:val="24"/>
          <w:szCs w:val="24"/>
          <w:u w:val="single"/>
        </w:rPr>
      </w:pPr>
      <w:r w:rsidRPr="00405552">
        <w:rPr>
          <w:rFonts w:ascii="Times New Roman" w:hAnsi="Times New Roman" w:cs="Times New Roman"/>
          <w:b/>
          <w:sz w:val="24"/>
          <w:szCs w:val="24"/>
          <w:u w:val="single"/>
        </w:rPr>
        <w:t>Železničná spoločnosť Slovensko, a.s.</w:t>
      </w:r>
    </w:p>
    <w:p w:rsidR="00A143D0" w:rsidRPr="00405552" w:rsidP="00A143D0">
      <w:pPr>
        <w:pStyle w:val="BodyTextIndent2"/>
        <w:spacing w:after="0" w:line="240" w:lineRule="auto"/>
        <w:rPr>
          <w:rFonts w:ascii="Times New Roman" w:hAnsi="Times New Roman" w:cs="Times New Roman"/>
          <w:b/>
          <w:sz w:val="24"/>
          <w:szCs w:val="24"/>
        </w:rPr>
      </w:pPr>
    </w:p>
    <w:p w:rsidR="00405552" w:rsidRPr="00405552" w:rsidP="00A143D0">
      <w:pPr>
        <w:pStyle w:val="BodyTextIndent2"/>
        <w:spacing w:after="0" w:line="240" w:lineRule="auto"/>
        <w:ind w:left="0" w:firstLine="709"/>
        <w:rPr>
          <w:rFonts w:ascii="Times New Roman" w:hAnsi="Times New Roman" w:cs="Times New Roman"/>
          <w:sz w:val="24"/>
          <w:szCs w:val="24"/>
        </w:rPr>
      </w:pPr>
      <w:r w:rsidR="00F1695C">
        <w:rPr>
          <w:rFonts w:ascii="Times New Roman" w:hAnsi="Times New Roman" w:cs="Times New Roman"/>
          <w:sz w:val="24"/>
          <w:szCs w:val="24"/>
        </w:rPr>
        <w:t xml:space="preserve">Cieľom </w:t>
      </w:r>
      <w:r w:rsidRPr="00405552">
        <w:rPr>
          <w:rFonts w:ascii="Times New Roman" w:hAnsi="Times New Roman" w:cs="Times New Roman"/>
          <w:sz w:val="24"/>
          <w:szCs w:val="24"/>
        </w:rPr>
        <w:t>kontroly bolo preveriť hospodárnosť, efektívnosť a účelovosť vynakladania prostriedkov štátneho rozpočtu SR na výkony vo verejnom záujme pri prevádzkovaní osobnej dopravy na dráhe za roky 2005 a 2006 a dodržiavanie zmluvných podmienok vo výkonoch vo verejnom záujme.</w:t>
      </w:r>
    </w:p>
    <w:p w:rsidR="00405552" w:rsidRPr="00405552" w:rsidP="00405552">
      <w:pPr>
        <w:spacing w:line="240" w:lineRule="auto"/>
        <w:rPr>
          <w:rFonts w:ascii="Times New Roman" w:hAnsi="Times New Roman" w:cs="Times New Roman"/>
          <w:b/>
          <w:sz w:val="24"/>
          <w:szCs w:val="24"/>
        </w:rPr>
      </w:pPr>
    </w:p>
    <w:p w:rsidR="00405552" w:rsidRPr="00405552" w:rsidP="00405552">
      <w:pPr>
        <w:spacing w:line="240" w:lineRule="auto"/>
        <w:rPr>
          <w:rFonts w:ascii="Times New Roman" w:hAnsi="Times New Roman" w:cs="Times New Roman"/>
          <w:b/>
          <w:sz w:val="24"/>
          <w:szCs w:val="24"/>
        </w:rPr>
      </w:pPr>
      <w:r w:rsidRPr="00405552">
        <w:rPr>
          <w:rFonts w:ascii="Times New Roman" w:hAnsi="Times New Roman" w:cs="Times New Roman"/>
          <w:b/>
          <w:sz w:val="24"/>
          <w:szCs w:val="24"/>
        </w:rPr>
        <w:t>Kontrolou boli zistené nasledovné nedostatky:</w:t>
      </w:r>
    </w:p>
    <w:p w:rsidR="00405552" w:rsidRPr="00405552" w:rsidP="00405552">
      <w:pPr>
        <w:spacing w:line="240" w:lineRule="auto"/>
        <w:rPr>
          <w:rFonts w:ascii="Times New Roman" w:hAnsi="Times New Roman" w:cs="Times New Roman"/>
          <w:sz w:val="24"/>
          <w:szCs w:val="24"/>
        </w:rPr>
      </w:pPr>
    </w:p>
    <w:p w:rsidR="00A143D0" w:rsidP="00A143D0">
      <w:pPr>
        <w:pStyle w:val="BodyText"/>
        <w:numPr>
          <w:ilvl w:val="0"/>
          <w:numId w:val="12"/>
        </w:numPr>
        <w:pBdr>
          <w:top w:val="none" w:sz="0" w:space="0" w:color="auto"/>
          <w:left w:val="none" w:sz="0" w:space="0" w:color="auto"/>
          <w:bottom w:val="none" w:sz="0" w:space="0" w:color="auto"/>
          <w:right w:val="none" w:sz="0" w:space="0" w:color="auto"/>
        </w:pBdr>
        <w:shd w:val="clear" w:color="auto" w:fill="auto"/>
        <w:tabs>
          <w:tab w:val="left" w:pos="360"/>
        </w:tabs>
        <w:adjustRightInd/>
        <w:spacing w:line="240" w:lineRule="auto"/>
        <w:ind w:right="0"/>
        <w:textAlignment w:val="auto"/>
        <w:rPr>
          <w:rFonts w:ascii="Times New Roman" w:hAnsi="Times New Roman" w:cs="Times New Roman"/>
          <w:b w:val="0"/>
          <w:i w:val="0"/>
          <w:sz w:val="24"/>
          <w:szCs w:val="24"/>
        </w:rPr>
      </w:pPr>
      <w:r w:rsidRPr="00EA5224" w:rsidR="00405552">
        <w:rPr>
          <w:rFonts w:ascii="Times New Roman" w:hAnsi="Times New Roman" w:cs="Times New Roman"/>
          <w:b w:val="0"/>
          <w:i w:val="0"/>
          <w:sz w:val="24"/>
          <w:szCs w:val="24"/>
        </w:rPr>
        <w:t>Pri kontrole dodržiavania podmienok obsahu „Zmlúv o výkonoch vo verejnom záujme“ bolo zistené, že v roku 2005 bola pôvodne dohodnutá dotácia 4 500 mil. Sk zvýšená o 350 mil. Sk a v roku 2006 bola pôvodne dohodnutá dotácia 4 500 mil. Sk zvýšená o 890 mil. Sk. V obidvoch prípadoch však  tieto zmeny zmluvy boli vykonané len na základe rozpočtových opatrení. Podľa ustanovenia ods. (1) článku XV týchto zmlúv však mali zmluvné strany povinnosť uzatvoriť aj</w:t>
      </w:r>
      <w:r>
        <w:rPr>
          <w:rFonts w:ascii="Times New Roman" w:hAnsi="Times New Roman" w:cs="Times New Roman"/>
          <w:b w:val="0"/>
          <w:i w:val="0"/>
          <w:sz w:val="24"/>
          <w:szCs w:val="24"/>
        </w:rPr>
        <w:t xml:space="preserve"> písomné dodatky o zmene zmluvy</w:t>
      </w:r>
      <w:r w:rsidR="00F1695C">
        <w:rPr>
          <w:rFonts w:ascii="Times New Roman" w:hAnsi="Times New Roman" w:cs="Times New Roman"/>
          <w:b w:val="0"/>
          <w:i w:val="0"/>
          <w:sz w:val="24"/>
          <w:szCs w:val="24"/>
        </w:rPr>
        <w:t>.</w:t>
      </w:r>
    </w:p>
    <w:p w:rsidR="00A143D0" w:rsidP="00A143D0">
      <w:pPr>
        <w:pStyle w:val="BodyText"/>
        <w:numPr>
          <w:ilvl w:val="0"/>
          <w:numId w:val="12"/>
        </w:numPr>
        <w:pBdr>
          <w:top w:val="none" w:sz="0" w:space="0" w:color="auto"/>
          <w:left w:val="none" w:sz="0" w:space="0" w:color="auto"/>
          <w:bottom w:val="none" w:sz="0" w:space="0" w:color="auto"/>
          <w:right w:val="none" w:sz="0" w:space="0" w:color="auto"/>
        </w:pBdr>
        <w:shd w:val="clear" w:color="auto" w:fill="auto"/>
        <w:tabs>
          <w:tab w:val="left" w:pos="360"/>
        </w:tabs>
        <w:adjustRightInd/>
        <w:spacing w:line="240" w:lineRule="auto"/>
        <w:ind w:right="0"/>
        <w:textAlignment w:val="auto"/>
        <w:rPr>
          <w:rFonts w:ascii="Times New Roman" w:hAnsi="Times New Roman" w:cs="Times New Roman"/>
          <w:b w:val="0"/>
          <w:i w:val="0"/>
          <w:sz w:val="24"/>
          <w:szCs w:val="24"/>
        </w:rPr>
      </w:pPr>
      <w:r w:rsidRPr="00EA5224" w:rsidR="00405552">
        <w:rPr>
          <w:rFonts w:ascii="Times New Roman" w:hAnsi="Times New Roman" w:cs="Times New Roman"/>
          <w:b w:val="0"/>
          <w:i w:val="0"/>
          <w:sz w:val="24"/>
          <w:szCs w:val="24"/>
        </w:rPr>
        <w:t xml:space="preserve"> V oblasti verejného obstarávania bolo zistené porušenie zákona pri o</w:t>
      </w:r>
      <w:r>
        <w:rPr>
          <w:rFonts w:ascii="Times New Roman" w:hAnsi="Times New Roman" w:cs="Times New Roman"/>
          <w:b w:val="0"/>
          <w:i w:val="0"/>
          <w:sz w:val="24"/>
          <w:szCs w:val="24"/>
        </w:rPr>
        <w:t xml:space="preserve">bstaraní výpočtovej techniky – </w:t>
      </w:r>
      <w:r w:rsidRPr="00EA5224" w:rsidR="00405552">
        <w:rPr>
          <w:rFonts w:ascii="Times New Roman" w:hAnsi="Times New Roman" w:cs="Times New Roman"/>
          <w:b w:val="0"/>
          <w:i w:val="0"/>
          <w:sz w:val="24"/>
          <w:szCs w:val="24"/>
        </w:rPr>
        <w:t>špecifikácia predmetu obstarania obsahovala nedovolený konkrétny typ tlačiarne a pri obstaraní hardvérového a softvérového vybavenia bol zistený rozdiel medzi vyhláseným predmetom obstarania a</w:t>
      </w:r>
      <w:r>
        <w:rPr>
          <w:rFonts w:ascii="Times New Roman" w:hAnsi="Times New Roman" w:cs="Times New Roman"/>
          <w:b w:val="0"/>
          <w:i w:val="0"/>
          <w:sz w:val="24"/>
          <w:szCs w:val="24"/>
        </w:rPr>
        <w:t> skutočným predmetom obstarania</w:t>
      </w:r>
      <w:r w:rsidR="00F1695C">
        <w:rPr>
          <w:rFonts w:ascii="Times New Roman" w:hAnsi="Times New Roman" w:cs="Times New Roman"/>
          <w:b w:val="0"/>
          <w:i w:val="0"/>
          <w:sz w:val="24"/>
          <w:szCs w:val="24"/>
        </w:rPr>
        <w:t>.</w:t>
      </w:r>
    </w:p>
    <w:p w:rsidR="00A143D0" w:rsidP="00A143D0">
      <w:pPr>
        <w:pStyle w:val="BodyText"/>
        <w:numPr>
          <w:ilvl w:val="0"/>
          <w:numId w:val="12"/>
        </w:numPr>
        <w:pBdr>
          <w:top w:val="none" w:sz="0" w:space="0" w:color="auto"/>
          <w:left w:val="none" w:sz="0" w:space="0" w:color="auto"/>
          <w:bottom w:val="none" w:sz="0" w:space="0" w:color="auto"/>
          <w:right w:val="none" w:sz="0" w:space="0" w:color="auto"/>
        </w:pBdr>
        <w:shd w:val="clear" w:color="auto" w:fill="auto"/>
        <w:tabs>
          <w:tab w:val="left" w:pos="360"/>
        </w:tabs>
        <w:adjustRightInd/>
        <w:spacing w:line="240" w:lineRule="auto"/>
        <w:ind w:right="0"/>
        <w:textAlignment w:val="auto"/>
        <w:rPr>
          <w:rFonts w:ascii="Times New Roman" w:hAnsi="Times New Roman" w:cs="Times New Roman"/>
          <w:b w:val="0"/>
          <w:i w:val="0"/>
          <w:sz w:val="24"/>
          <w:szCs w:val="24"/>
        </w:rPr>
      </w:pPr>
      <w:r w:rsidRPr="00EA5224" w:rsidR="00405552">
        <w:rPr>
          <w:rFonts w:ascii="Times New Roman" w:hAnsi="Times New Roman" w:cs="Times New Roman"/>
          <w:b w:val="0"/>
          <w:i w:val="0"/>
          <w:sz w:val="24"/>
          <w:szCs w:val="24"/>
        </w:rPr>
        <w:t>V oblasti využitia  vlastných administrat</w:t>
      </w:r>
      <w:r>
        <w:rPr>
          <w:rFonts w:ascii="Times New Roman" w:hAnsi="Times New Roman" w:cs="Times New Roman"/>
          <w:b w:val="0"/>
          <w:i w:val="0"/>
          <w:sz w:val="24"/>
          <w:szCs w:val="24"/>
        </w:rPr>
        <w:t xml:space="preserve">ívnych budov </w:t>
      </w:r>
      <w:r w:rsidRPr="00EA5224" w:rsidR="00405552">
        <w:rPr>
          <w:rFonts w:ascii="Times New Roman" w:hAnsi="Times New Roman" w:cs="Times New Roman"/>
          <w:b w:val="0"/>
          <w:i w:val="0"/>
          <w:sz w:val="24"/>
          <w:szCs w:val="24"/>
        </w:rPr>
        <w:t>bolo zistené, že 3 administratívne budovy vo vlastníctve ZSSK (v centre Bratislavy, na Žabotovej a Železničiarskej ulici) neboli od 17.07.2006, kedy boli pracovníci dislokovaní do prenajatých pr</w:t>
      </w:r>
      <w:r>
        <w:rPr>
          <w:rFonts w:ascii="Times New Roman" w:hAnsi="Times New Roman" w:cs="Times New Roman"/>
          <w:b w:val="0"/>
          <w:i w:val="0"/>
          <w:sz w:val="24"/>
          <w:szCs w:val="24"/>
        </w:rPr>
        <w:t>iestorov na Rožňavskej ul. č. 1, využívan</w:t>
      </w:r>
      <w:r w:rsidR="00F1695C">
        <w:rPr>
          <w:rFonts w:ascii="Times New Roman" w:hAnsi="Times New Roman" w:cs="Times New Roman"/>
          <w:b w:val="0"/>
          <w:i w:val="0"/>
          <w:sz w:val="24"/>
          <w:szCs w:val="24"/>
        </w:rPr>
        <w:t>é.</w:t>
      </w:r>
    </w:p>
    <w:p w:rsidR="00A143D0" w:rsidP="00A143D0">
      <w:pPr>
        <w:pStyle w:val="BodyText"/>
        <w:numPr>
          <w:ilvl w:val="0"/>
          <w:numId w:val="12"/>
        </w:numPr>
        <w:pBdr>
          <w:top w:val="none" w:sz="0" w:space="0" w:color="auto"/>
          <w:left w:val="none" w:sz="0" w:space="0" w:color="auto"/>
          <w:bottom w:val="none" w:sz="0" w:space="0" w:color="auto"/>
          <w:right w:val="none" w:sz="0" w:space="0" w:color="auto"/>
        </w:pBdr>
        <w:shd w:val="clear" w:color="auto" w:fill="auto"/>
        <w:tabs>
          <w:tab w:val="left" w:pos="360"/>
        </w:tabs>
        <w:adjustRightInd/>
        <w:spacing w:line="240" w:lineRule="auto"/>
        <w:ind w:right="0"/>
        <w:textAlignment w:val="auto"/>
        <w:rPr>
          <w:rFonts w:ascii="Times New Roman" w:hAnsi="Times New Roman" w:cs="Times New Roman"/>
          <w:b w:val="0"/>
          <w:i w:val="0"/>
          <w:sz w:val="24"/>
          <w:szCs w:val="24"/>
        </w:rPr>
      </w:pPr>
      <w:r w:rsidRPr="00EA5224" w:rsidR="00405552">
        <w:rPr>
          <w:rFonts w:ascii="Times New Roman" w:hAnsi="Times New Roman" w:cs="Times New Roman"/>
          <w:b w:val="0"/>
          <w:i w:val="0"/>
          <w:sz w:val="24"/>
          <w:szCs w:val="24"/>
        </w:rPr>
        <w:t>Boli zistené nedostatky pri inventarizácii za rok 2005 – inventarizačné súpisy a zápisy neobsahovali niektoré zákonom stanovené náležitosti.</w:t>
      </w:r>
    </w:p>
    <w:p w:rsidR="00405552" w:rsidP="00A143D0">
      <w:pPr>
        <w:pStyle w:val="BodyText"/>
        <w:numPr>
          <w:ilvl w:val="0"/>
          <w:numId w:val="12"/>
        </w:numPr>
        <w:pBdr>
          <w:top w:val="none" w:sz="0" w:space="0" w:color="auto"/>
          <w:left w:val="none" w:sz="0" w:space="0" w:color="auto"/>
          <w:bottom w:val="none" w:sz="0" w:space="0" w:color="auto"/>
          <w:right w:val="none" w:sz="0" w:space="0" w:color="auto"/>
        </w:pBdr>
        <w:shd w:val="clear" w:color="auto" w:fill="auto"/>
        <w:tabs>
          <w:tab w:val="left" w:pos="360"/>
        </w:tabs>
        <w:adjustRightInd/>
        <w:spacing w:line="240" w:lineRule="auto"/>
        <w:ind w:right="0"/>
        <w:textAlignment w:val="auto"/>
        <w:rPr>
          <w:rFonts w:ascii="Times New Roman" w:hAnsi="Times New Roman" w:cs="Times New Roman"/>
          <w:b w:val="0"/>
          <w:i w:val="0"/>
          <w:sz w:val="24"/>
          <w:szCs w:val="24"/>
        </w:rPr>
      </w:pPr>
      <w:r w:rsidRPr="00EA5224">
        <w:rPr>
          <w:rFonts w:ascii="Times New Roman" w:hAnsi="Times New Roman" w:cs="Times New Roman"/>
          <w:b w:val="0"/>
          <w:i w:val="0"/>
          <w:sz w:val="24"/>
          <w:szCs w:val="24"/>
        </w:rPr>
        <w:t>V oblasti hospodárnosti prevádzky osobnej dopravy na dráhe NKÚ SR poukazuje na skutočnosť, že ZSSK dlhodobo nenakupuje nové ŽKV a zabezpečená je len modernizácia a oprava starých ŽKV,</w:t>
      </w:r>
      <w:r w:rsidR="00A143D0">
        <w:rPr>
          <w:rFonts w:ascii="Times New Roman" w:hAnsi="Times New Roman" w:cs="Times New Roman"/>
          <w:b w:val="0"/>
          <w:i w:val="0"/>
          <w:sz w:val="24"/>
          <w:szCs w:val="24"/>
        </w:rPr>
        <w:t xml:space="preserve"> ktorá je financovaná z úverov</w:t>
      </w:r>
      <w:r w:rsidRPr="00A143D0" w:rsidR="00A143D0">
        <w:rPr>
          <w:rFonts w:ascii="Times New Roman" w:hAnsi="Times New Roman" w:cs="Times New Roman"/>
          <w:b w:val="0"/>
          <w:i w:val="0"/>
          <w:sz w:val="24"/>
          <w:szCs w:val="24"/>
        </w:rPr>
        <w:t>;</w:t>
      </w:r>
      <w:r w:rsidR="00A143D0">
        <w:rPr>
          <w:rFonts w:ascii="Times New Roman" w:hAnsi="Times New Roman" w:cs="Times New Roman"/>
          <w:b w:val="0"/>
          <w:i w:val="0"/>
          <w:sz w:val="24"/>
          <w:szCs w:val="24"/>
        </w:rPr>
        <w:t xml:space="preserve"> </w:t>
      </w:r>
      <w:r w:rsidRPr="00EA5224">
        <w:rPr>
          <w:rFonts w:ascii="Times New Roman" w:hAnsi="Times New Roman" w:cs="Times New Roman"/>
          <w:b w:val="0"/>
          <w:i w:val="0"/>
          <w:sz w:val="24"/>
          <w:szCs w:val="24"/>
        </w:rPr>
        <w:t>Pri opravách dochádza pravidelne k navyšovaniu ceny v</w:t>
      </w:r>
      <w:r w:rsidR="00F1695C">
        <w:rPr>
          <w:rFonts w:ascii="Times New Roman" w:hAnsi="Times New Roman" w:cs="Times New Roman"/>
          <w:b w:val="0"/>
          <w:i w:val="0"/>
          <w:sz w:val="24"/>
          <w:szCs w:val="24"/>
        </w:rPr>
        <w:t> dôsledku odhalenia skrytých chýb</w:t>
      </w:r>
      <w:r w:rsidRPr="00EA5224">
        <w:rPr>
          <w:rFonts w:ascii="Times New Roman" w:hAnsi="Times New Roman" w:cs="Times New Roman"/>
          <w:b w:val="0"/>
          <w:i w:val="0"/>
          <w:sz w:val="24"/>
          <w:szCs w:val="24"/>
        </w:rPr>
        <w:t>.</w:t>
      </w:r>
    </w:p>
    <w:p w:rsidR="00EA5224" w:rsidP="00EA5224">
      <w:pPr>
        <w:pStyle w:val="BodyText"/>
        <w:pBdr>
          <w:top w:val="none" w:sz="0" w:space="0" w:color="auto"/>
          <w:left w:val="none" w:sz="0" w:space="0" w:color="auto"/>
          <w:bottom w:val="none" w:sz="0" w:space="0" w:color="auto"/>
          <w:right w:val="none" w:sz="0" w:space="0" w:color="auto"/>
        </w:pBdr>
        <w:shd w:val="clear" w:color="auto" w:fill="auto"/>
        <w:adjustRightInd/>
        <w:spacing w:line="240" w:lineRule="auto"/>
        <w:ind w:right="0"/>
        <w:textAlignment w:val="auto"/>
        <w:rPr>
          <w:rFonts w:ascii="Times New Roman" w:hAnsi="Times New Roman" w:cs="Times New Roman"/>
          <w:b w:val="0"/>
          <w:i w:val="0"/>
          <w:sz w:val="24"/>
          <w:szCs w:val="24"/>
        </w:rPr>
      </w:pPr>
    </w:p>
    <w:p w:rsidR="00EA5224" w:rsidRPr="00EA5224" w:rsidP="00EA5224">
      <w:pPr>
        <w:pStyle w:val="BodyText"/>
        <w:pBdr>
          <w:top w:val="none" w:sz="0" w:space="0" w:color="auto"/>
          <w:left w:val="none" w:sz="0" w:space="0" w:color="auto"/>
          <w:bottom w:val="none" w:sz="0" w:space="0" w:color="auto"/>
          <w:right w:val="none" w:sz="0" w:space="0" w:color="auto"/>
        </w:pBdr>
        <w:shd w:val="clear" w:color="auto" w:fill="auto"/>
        <w:adjustRightInd/>
        <w:spacing w:line="240" w:lineRule="auto"/>
        <w:ind w:right="0" w:firstLine="709"/>
        <w:textAlignment w:val="auto"/>
        <w:rPr>
          <w:rFonts w:ascii="Times New Roman" w:hAnsi="Times New Roman" w:cs="Times New Roman"/>
          <w:b w:val="0"/>
          <w:i w:val="0"/>
          <w:sz w:val="24"/>
          <w:szCs w:val="24"/>
        </w:rPr>
      </w:pPr>
      <w:r w:rsidRPr="00EA5224">
        <w:rPr>
          <w:rFonts w:ascii="Times New Roman" w:hAnsi="Times New Roman" w:cs="Times New Roman"/>
          <w:b w:val="0"/>
          <w:i w:val="0"/>
          <w:sz w:val="24"/>
          <w:szCs w:val="24"/>
        </w:rPr>
        <w:t xml:space="preserve">K zisteniam bolo prijatých celkom 11 opatrení zameraných na odstránenia zistených nedostatkov. Z následne predloženej správy o plnení prijatých opatrení vyplynulo, že opatrenia boli splnené, resp. sa plnia. </w:t>
      </w:r>
    </w:p>
    <w:p w:rsidR="00EA5224" w:rsidRPr="00A143D0" w:rsidP="00EA5224">
      <w:pPr>
        <w:pStyle w:val="BodyText"/>
        <w:pBdr>
          <w:top w:val="none" w:sz="0" w:space="0" w:color="auto"/>
          <w:left w:val="none" w:sz="0" w:space="0" w:color="auto"/>
          <w:bottom w:val="none" w:sz="0" w:space="0" w:color="auto"/>
          <w:right w:val="none" w:sz="0" w:space="0" w:color="auto"/>
        </w:pBdr>
        <w:shd w:val="clear" w:color="auto" w:fill="auto"/>
        <w:adjustRightInd/>
        <w:spacing w:line="240" w:lineRule="auto"/>
        <w:ind w:right="0"/>
        <w:textAlignment w:val="auto"/>
        <w:rPr>
          <w:rFonts w:ascii="Times New Roman" w:hAnsi="Times New Roman" w:cs="Times New Roman"/>
          <w:sz w:val="24"/>
          <w:szCs w:val="24"/>
        </w:rPr>
      </w:pPr>
    </w:p>
    <w:p w:rsidR="00405552" w:rsidRPr="00A143D0" w:rsidP="00A143D0">
      <w:pPr>
        <w:pStyle w:val="BodyText"/>
        <w:numPr>
          <w:ilvl w:val="0"/>
          <w:numId w:val="9"/>
        </w:numPr>
        <w:pBdr>
          <w:top w:val="none" w:sz="0" w:space="0" w:color="auto"/>
          <w:left w:val="none" w:sz="0" w:space="0" w:color="auto"/>
          <w:bottom w:val="none" w:sz="0" w:space="0" w:color="auto"/>
          <w:right w:val="none" w:sz="0" w:space="0" w:color="auto"/>
        </w:pBdr>
        <w:shd w:val="clear" w:color="auto" w:fill="auto"/>
        <w:tabs>
          <w:tab w:val="left" w:pos="480"/>
        </w:tabs>
        <w:adjustRightInd/>
        <w:spacing w:line="240" w:lineRule="auto"/>
        <w:ind w:right="0"/>
        <w:textAlignment w:val="auto"/>
        <w:rPr>
          <w:rFonts w:ascii="Times New Roman" w:hAnsi="Times New Roman" w:cs="Times New Roman"/>
          <w:i w:val="0"/>
          <w:sz w:val="24"/>
          <w:szCs w:val="24"/>
          <w:u w:val="single"/>
        </w:rPr>
      </w:pPr>
      <w:r w:rsidRPr="00A143D0">
        <w:rPr>
          <w:rFonts w:ascii="Times New Roman" w:hAnsi="Times New Roman" w:cs="Times New Roman"/>
          <w:i w:val="0"/>
          <w:sz w:val="24"/>
          <w:szCs w:val="24"/>
          <w:u w:val="single"/>
        </w:rPr>
        <w:t>Letové a prevádzkové služby SR, š.p.</w:t>
      </w:r>
    </w:p>
    <w:p w:rsidR="00EA5224" w:rsidRPr="00EA5224" w:rsidP="00EA5224">
      <w:pPr>
        <w:pStyle w:val="BodyText"/>
        <w:pBdr>
          <w:top w:val="none" w:sz="0" w:space="0" w:color="auto"/>
          <w:left w:val="none" w:sz="0" w:space="0" w:color="auto"/>
          <w:bottom w:val="none" w:sz="0" w:space="0" w:color="auto"/>
          <w:right w:val="none" w:sz="0" w:space="0" w:color="auto"/>
        </w:pBdr>
        <w:shd w:val="clear" w:color="auto" w:fill="auto"/>
        <w:adjustRightInd/>
        <w:spacing w:line="240" w:lineRule="auto"/>
        <w:ind w:right="0"/>
        <w:textAlignment w:val="auto"/>
        <w:rPr>
          <w:rFonts w:ascii="Times New Roman" w:hAnsi="Times New Roman" w:cs="Times New Roman"/>
          <w:b w:val="0"/>
          <w:i w:val="0"/>
          <w:sz w:val="24"/>
          <w:szCs w:val="24"/>
        </w:rPr>
      </w:pPr>
    </w:p>
    <w:p w:rsidR="00405552" w:rsidRPr="00405552" w:rsidP="00A143D0">
      <w:pPr>
        <w:pStyle w:val="BodyTextIndent2"/>
        <w:spacing w:after="0" w:line="240" w:lineRule="auto"/>
        <w:ind w:left="0" w:firstLine="709"/>
        <w:rPr>
          <w:rFonts w:ascii="Times New Roman" w:hAnsi="Times New Roman" w:cs="Times New Roman"/>
          <w:sz w:val="24"/>
          <w:szCs w:val="24"/>
        </w:rPr>
      </w:pPr>
      <w:r w:rsidRPr="00405552">
        <w:rPr>
          <w:rFonts w:ascii="Times New Roman" w:hAnsi="Times New Roman" w:cs="Times New Roman"/>
          <w:sz w:val="24"/>
          <w:szCs w:val="24"/>
        </w:rPr>
        <w:t xml:space="preserve">Kontrola bola vykonaná v čase od 28.05 do 18.07.2007. Predmetom kontroly bolo hospodárenie s finančnými prostriedkami a s majetkom štátu za roky 2005 a 2006. </w:t>
      </w:r>
    </w:p>
    <w:p w:rsidR="00405552" w:rsidRPr="00405552" w:rsidP="00405552">
      <w:pPr>
        <w:pStyle w:val="BodyTextIndent"/>
        <w:spacing w:line="240" w:lineRule="auto"/>
        <w:ind w:firstLine="0"/>
        <w:rPr>
          <w:rFonts w:ascii="Times New Roman" w:hAnsi="Times New Roman" w:cs="Times New Roman"/>
          <w:b/>
          <w:sz w:val="24"/>
          <w:szCs w:val="24"/>
        </w:rPr>
      </w:pPr>
    </w:p>
    <w:p w:rsidR="00405552" w:rsidRPr="00405552" w:rsidP="00405552">
      <w:pPr>
        <w:spacing w:line="240" w:lineRule="auto"/>
        <w:rPr>
          <w:rFonts w:ascii="Times New Roman" w:hAnsi="Times New Roman" w:cs="Times New Roman"/>
          <w:b/>
          <w:sz w:val="24"/>
          <w:szCs w:val="24"/>
        </w:rPr>
      </w:pPr>
      <w:r w:rsidRPr="00405552">
        <w:rPr>
          <w:rFonts w:ascii="Times New Roman" w:hAnsi="Times New Roman" w:cs="Times New Roman"/>
          <w:b/>
          <w:sz w:val="24"/>
          <w:szCs w:val="24"/>
        </w:rPr>
        <w:t>Kontrolou boli zistené nasledovné nedostatky:</w:t>
      </w:r>
    </w:p>
    <w:p w:rsidR="00EA5224" w:rsidP="00EA5224">
      <w:pPr>
        <w:pStyle w:val="BodyText"/>
        <w:pBdr>
          <w:top w:val="none" w:sz="0" w:space="0" w:color="auto"/>
          <w:left w:val="none" w:sz="0" w:space="0" w:color="auto"/>
          <w:bottom w:val="none" w:sz="0" w:space="0" w:color="auto"/>
          <w:right w:val="none" w:sz="0" w:space="0" w:color="auto"/>
        </w:pBdr>
        <w:shd w:val="clear" w:color="auto" w:fill="auto"/>
        <w:adjustRightInd/>
        <w:spacing w:line="240" w:lineRule="auto"/>
        <w:ind w:right="0"/>
        <w:textAlignment w:val="auto"/>
        <w:rPr>
          <w:rFonts w:ascii="Times New Roman" w:hAnsi="Times New Roman" w:cs="Times New Roman"/>
          <w:b w:val="0"/>
          <w:i w:val="0"/>
          <w:sz w:val="24"/>
          <w:szCs w:val="24"/>
        </w:rPr>
      </w:pPr>
    </w:p>
    <w:p w:rsidR="00EA5224" w:rsidP="00EA5224">
      <w:pPr>
        <w:pStyle w:val="BodyText"/>
        <w:numPr>
          <w:ilvl w:val="0"/>
          <w:numId w:val="12"/>
        </w:numPr>
        <w:pBdr>
          <w:top w:val="none" w:sz="0" w:space="0" w:color="auto"/>
          <w:left w:val="none" w:sz="0" w:space="0" w:color="auto"/>
          <w:bottom w:val="none" w:sz="0" w:space="0" w:color="auto"/>
          <w:right w:val="none" w:sz="0" w:space="0" w:color="auto"/>
        </w:pBdr>
        <w:shd w:val="clear" w:color="auto" w:fill="auto"/>
        <w:tabs>
          <w:tab w:val="left" w:pos="360"/>
        </w:tabs>
        <w:adjustRightInd/>
        <w:spacing w:line="240" w:lineRule="auto"/>
        <w:ind w:right="0"/>
        <w:textAlignment w:val="auto"/>
        <w:rPr>
          <w:rFonts w:ascii="Times New Roman" w:hAnsi="Times New Roman" w:cs="Times New Roman"/>
          <w:b w:val="0"/>
          <w:i w:val="0"/>
          <w:sz w:val="24"/>
          <w:szCs w:val="24"/>
          <w:u w:val="single"/>
        </w:rPr>
      </w:pPr>
      <w:r w:rsidRPr="00EA5224" w:rsidR="00405552">
        <w:rPr>
          <w:rFonts w:ascii="Times New Roman" w:hAnsi="Times New Roman" w:cs="Times New Roman"/>
          <w:b w:val="0"/>
          <w:i w:val="0"/>
          <w:sz w:val="24"/>
          <w:szCs w:val="24"/>
        </w:rPr>
        <w:t>Pri kontrole cestovných príkazov bolo zistené porušenie zákona č. 283/200</w:t>
      </w:r>
      <w:r w:rsidR="00920C86">
        <w:rPr>
          <w:rFonts w:ascii="Times New Roman" w:hAnsi="Times New Roman" w:cs="Times New Roman"/>
          <w:b w:val="0"/>
          <w:i w:val="0"/>
          <w:sz w:val="24"/>
          <w:szCs w:val="24"/>
        </w:rPr>
        <w:t xml:space="preserve">2 Z.z. o cestovných náhradách, v </w:t>
      </w:r>
      <w:r w:rsidRPr="00EA5224" w:rsidR="00405552">
        <w:rPr>
          <w:rFonts w:ascii="Times New Roman" w:hAnsi="Times New Roman" w:cs="Times New Roman"/>
          <w:b w:val="0"/>
          <w:i w:val="0"/>
          <w:sz w:val="24"/>
          <w:szCs w:val="24"/>
        </w:rPr>
        <w:t>niektorých prípadoch chýbali dátumy pri podpise účtovateľa, dátum</w:t>
      </w:r>
      <w:r w:rsidR="00A143D0">
        <w:rPr>
          <w:rFonts w:ascii="Times New Roman" w:hAnsi="Times New Roman" w:cs="Times New Roman"/>
          <w:b w:val="0"/>
          <w:i w:val="0"/>
          <w:sz w:val="24"/>
          <w:szCs w:val="24"/>
        </w:rPr>
        <w:t xml:space="preserve"> povolenia a odsúhlasenia </w:t>
      </w:r>
      <w:r w:rsidRPr="00EA5224" w:rsidR="00405552">
        <w:rPr>
          <w:rFonts w:ascii="Times New Roman" w:hAnsi="Times New Roman" w:cs="Times New Roman"/>
          <w:b w:val="0"/>
          <w:i w:val="0"/>
          <w:sz w:val="24"/>
          <w:szCs w:val="24"/>
        </w:rPr>
        <w:t>vyúčtovania PC, EVČ použitých vozidiel, podpis schvaľujúceho, nebola dodržaná lehota na vyplatenie stravného do 10 pracovných dní od predloženia dokladov zamestnancom, neúplné spracovávanie správ zo ZPC, vo viacerých prípadoch nebola dodržaná lehota na vyúčtovanie ZPC zo strany zamestnávateľa i </w:t>
      </w:r>
      <w:r w:rsidR="00920C86">
        <w:rPr>
          <w:rFonts w:ascii="Times New Roman" w:hAnsi="Times New Roman" w:cs="Times New Roman"/>
          <w:b w:val="0"/>
          <w:i w:val="0"/>
          <w:sz w:val="24"/>
          <w:szCs w:val="24"/>
        </w:rPr>
        <w:t xml:space="preserve"> </w:t>
      </w:r>
      <w:r w:rsidRPr="00EA5224" w:rsidR="00405552">
        <w:rPr>
          <w:rFonts w:ascii="Times New Roman" w:hAnsi="Times New Roman" w:cs="Times New Roman"/>
          <w:b w:val="0"/>
          <w:i w:val="0"/>
          <w:sz w:val="24"/>
          <w:szCs w:val="24"/>
        </w:rPr>
        <w:t>zamestnanca.</w:t>
      </w:r>
    </w:p>
    <w:p w:rsidR="00EA5224" w:rsidP="00EA5224">
      <w:pPr>
        <w:pStyle w:val="BodyText"/>
        <w:numPr>
          <w:ilvl w:val="0"/>
          <w:numId w:val="12"/>
        </w:numPr>
        <w:pBdr>
          <w:top w:val="none" w:sz="0" w:space="0" w:color="auto"/>
          <w:left w:val="none" w:sz="0" w:space="0" w:color="auto"/>
          <w:bottom w:val="none" w:sz="0" w:space="0" w:color="auto"/>
          <w:right w:val="none" w:sz="0" w:space="0" w:color="auto"/>
        </w:pBdr>
        <w:shd w:val="clear" w:color="auto" w:fill="auto"/>
        <w:tabs>
          <w:tab w:val="left" w:pos="360"/>
        </w:tabs>
        <w:adjustRightInd/>
        <w:spacing w:line="240" w:lineRule="auto"/>
        <w:ind w:right="0"/>
        <w:textAlignment w:val="auto"/>
        <w:rPr>
          <w:rFonts w:ascii="Times New Roman" w:hAnsi="Times New Roman" w:cs="Times New Roman"/>
          <w:b w:val="0"/>
          <w:i w:val="0"/>
          <w:sz w:val="24"/>
          <w:szCs w:val="24"/>
          <w:u w:val="single"/>
        </w:rPr>
      </w:pPr>
      <w:r w:rsidRPr="00EA5224" w:rsidR="00405552">
        <w:rPr>
          <w:rFonts w:ascii="Times New Roman" w:hAnsi="Times New Roman" w:cs="Times New Roman"/>
          <w:b w:val="0"/>
          <w:i w:val="0"/>
          <w:sz w:val="24"/>
          <w:szCs w:val="24"/>
        </w:rPr>
        <w:t>Kontrolou procesu verejného obstarávania v roku 2005 a v roku 2006 boli zistené formálne nedostatky (napr. v dokumentácii VO nebol založený požiadavkový list, nedodržiavanie lehôt pri zasielaní oznámení o výsledku VO do Vestníka VO, chýbali čestné prehlásenia členov komisie)</w:t>
      </w:r>
      <w:r w:rsidR="00F1695C">
        <w:rPr>
          <w:rFonts w:ascii="Times New Roman" w:hAnsi="Times New Roman" w:cs="Times New Roman"/>
          <w:b w:val="0"/>
          <w:i w:val="0"/>
          <w:sz w:val="24"/>
          <w:szCs w:val="24"/>
        </w:rPr>
        <w:t>.</w:t>
      </w:r>
    </w:p>
    <w:p w:rsidR="00EA5224" w:rsidRPr="001221BA" w:rsidP="00EA5224">
      <w:pPr>
        <w:pStyle w:val="BodyText"/>
        <w:numPr>
          <w:ilvl w:val="0"/>
          <w:numId w:val="12"/>
        </w:numPr>
        <w:pBdr>
          <w:top w:val="none" w:sz="0" w:space="0" w:color="auto"/>
          <w:left w:val="none" w:sz="0" w:space="0" w:color="auto"/>
          <w:bottom w:val="none" w:sz="0" w:space="0" w:color="auto"/>
          <w:right w:val="none" w:sz="0" w:space="0" w:color="auto"/>
        </w:pBdr>
        <w:shd w:val="clear" w:color="auto" w:fill="auto"/>
        <w:tabs>
          <w:tab w:val="left" w:pos="360"/>
        </w:tabs>
        <w:adjustRightInd/>
        <w:spacing w:line="240" w:lineRule="auto"/>
        <w:ind w:right="0"/>
        <w:textAlignment w:val="auto"/>
        <w:rPr>
          <w:rFonts w:ascii="Times New Roman" w:hAnsi="Times New Roman" w:cs="Times New Roman"/>
          <w:b w:val="0"/>
          <w:i w:val="0"/>
          <w:sz w:val="24"/>
          <w:szCs w:val="24"/>
          <w:u w:val="single"/>
        </w:rPr>
      </w:pPr>
      <w:r w:rsidRPr="00EA5224" w:rsidR="00405552">
        <w:rPr>
          <w:rFonts w:ascii="Times New Roman" w:hAnsi="Times New Roman" w:cs="Times New Roman"/>
          <w:b w:val="0"/>
          <w:i w:val="0"/>
          <w:sz w:val="24"/>
          <w:szCs w:val="24"/>
        </w:rPr>
        <w:t>Pri kontrole dodržiavania zákona č. 431/2002 Z.z. o účtovníctve boli v niektorých príp</w:t>
      </w:r>
      <w:r w:rsidR="00920C86">
        <w:rPr>
          <w:rFonts w:ascii="Times New Roman" w:hAnsi="Times New Roman" w:cs="Times New Roman"/>
          <w:b w:val="0"/>
          <w:i w:val="0"/>
          <w:sz w:val="24"/>
          <w:szCs w:val="24"/>
        </w:rPr>
        <w:t xml:space="preserve">adoch zistené porušenia zákona – </w:t>
      </w:r>
      <w:r w:rsidRPr="00EA5224" w:rsidR="00405552">
        <w:rPr>
          <w:rFonts w:ascii="Times New Roman" w:hAnsi="Times New Roman" w:cs="Times New Roman"/>
          <w:b w:val="0"/>
          <w:i w:val="0"/>
          <w:sz w:val="24"/>
          <w:szCs w:val="24"/>
        </w:rPr>
        <w:t xml:space="preserve">najmä nezabezpečenie úplnosti, správnosti, preukázateľnosti a zrozumiteľnosti vedenia účtovníctva, a to hlavne pri písomných opravách vykonávaných v cestovných príkazoch, k niektorým faktúram nebol priložený dodací list v súlade s objednávkou, ďalej boli zistené nedostatky v oblasti potvrdzovania preberaných prác, niektoré faktúrované „naviac-práce“ neboli upravené dodatkami zmlúv, či objednávok, boli zistené aj nedostatky pri výkone inventarizácie za rok 2006. </w:t>
      </w:r>
    </w:p>
    <w:p w:rsidR="00EA5224" w:rsidP="00C75A2D">
      <w:pPr>
        <w:pStyle w:val="BodyText"/>
        <w:pBdr>
          <w:top w:val="none" w:sz="0" w:space="0" w:color="auto"/>
          <w:left w:val="none" w:sz="0" w:space="0" w:color="auto"/>
          <w:bottom w:val="none" w:sz="0" w:space="0" w:color="auto"/>
          <w:right w:val="none" w:sz="0" w:space="0" w:color="auto"/>
        </w:pBdr>
        <w:shd w:val="clear" w:color="auto" w:fill="auto"/>
        <w:adjustRightInd/>
        <w:spacing w:line="240" w:lineRule="auto"/>
        <w:ind w:right="0" w:firstLine="709"/>
        <w:textAlignment w:val="auto"/>
        <w:rPr>
          <w:rFonts w:ascii="Times New Roman" w:hAnsi="Times New Roman" w:cs="Times New Roman"/>
          <w:b w:val="0"/>
          <w:i w:val="0"/>
          <w:sz w:val="24"/>
          <w:szCs w:val="24"/>
        </w:rPr>
      </w:pPr>
      <w:r w:rsidRPr="00EA5224">
        <w:rPr>
          <w:rFonts w:ascii="Times New Roman" w:hAnsi="Times New Roman" w:cs="Times New Roman"/>
          <w:b w:val="0"/>
          <w:i w:val="0"/>
          <w:sz w:val="24"/>
          <w:szCs w:val="24"/>
        </w:rPr>
        <w:t>K zisteniam bolo prijatých celkom 7 opatrení zameraných na odstránenie zistených</w:t>
      </w:r>
      <w:r>
        <w:rPr>
          <w:rFonts w:ascii="Times New Roman" w:hAnsi="Times New Roman" w:cs="Times New Roman"/>
          <w:b w:val="0"/>
          <w:i w:val="0"/>
          <w:sz w:val="24"/>
          <w:szCs w:val="24"/>
        </w:rPr>
        <w:t xml:space="preserve"> </w:t>
      </w:r>
      <w:r w:rsidRPr="00EA5224">
        <w:rPr>
          <w:rFonts w:ascii="Times New Roman" w:hAnsi="Times New Roman" w:cs="Times New Roman"/>
          <w:b w:val="0"/>
          <w:i w:val="0"/>
          <w:sz w:val="24"/>
          <w:szCs w:val="24"/>
        </w:rPr>
        <w:t>nedostatkov. Z následne predloženej správy o plnení prijatých opatrení vyplynulo, že</w:t>
      </w:r>
      <w:r>
        <w:rPr>
          <w:rFonts w:ascii="Times New Roman" w:hAnsi="Times New Roman" w:cs="Times New Roman"/>
          <w:b w:val="0"/>
          <w:i w:val="0"/>
          <w:sz w:val="24"/>
          <w:szCs w:val="24"/>
        </w:rPr>
        <w:t xml:space="preserve"> </w:t>
      </w:r>
      <w:r w:rsidRPr="00EA5224">
        <w:rPr>
          <w:rFonts w:ascii="Times New Roman" w:hAnsi="Times New Roman" w:cs="Times New Roman"/>
          <w:b w:val="0"/>
          <w:i w:val="0"/>
          <w:sz w:val="24"/>
          <w:szCs w:val="24"/>
        </w:rPr>
        <w:t>opatrenia boli splnené, resp. sa plnia.</w:t>
      </w:r>
    </w:p>
    <w:p w:rsidR="00C75A2D" w:rsidRPr="00A143D0" w:rsidP="00C75A2D">
      <w:pPr>
        <w:pStyle w:val="BodyText"/>
        <w:pBdr>
          <w:top w:val="none" w:sz="0" w:space="0" w:color="auto"/>
          <w:left w:val="none" w:sz="0" w:space="0" w:color="auto"/>
          <w:bottom w:val="none" w:sz="0" w:space="0" w:color="auto"/>
          <w:right w:val="none" w:sz="0" w:space="0" w:color="auto"/>
        </w:pBdr>
        <w:shd w:val="clear" w:color="auto" w:fill="auto"/>
        <w:adjustRightInd/>
        <w:spacing w:line="240" w:lineRule="auto"/>
        <w:ind w:right="0"/>
        <w:textAlignment w:val="auto"/>
        <w:rPr>
          <w:rFonts w:ascii="Times New Roman" w:hAnsi="Times New Roman" w:cs="Times New Roman"/>
          <w:sz w:val="24"/>
          <w:szCs w:val="24"/>
        </w:rPr>
      </w:pPr>
    </w:p>
    <w:p w:rsidR="00C75A2D" w:rsidP="00C75A2D">
      <w:pPr>
        <w:pStyle w:val="BodyText"/>
        <w:numPr>
          <w:ilvl w:val="0"/>
          <w:numId w:val="9"/>
        </w:numPr>
        <w:pBdr>
          <w:top w:val="none" w:sz="0" w:space="0" w:color="auto"/>
          <w:left w:val="none" w:sz="0" w:space="0" w:color="auto"/>
          <w:bottom w:val="none" w:sz="0" w:space="0" w:color="auto"/>
          <w:right w:val="none" w:sz="0" w:space="0" w:color="auto"/>
        </w:pBdr>
        <w:shd w:val="clear" w:color="auto" w:fill="auto"/>
        <w:tabs>
          <w:tab w:val="left" w:pos="480"/>
        </w:tabs>
        <w:adjustRightInd/>
        <w:spacing w:line="240" w:lineRule="auto"/>
        <w:ind w:right="0"/>
        <w:textAlignment w:val="auto"/>
        <w:rPr>
          <w:rFonts w:ascii="Times New Roman" w:hAnsi="Times New Roman" w:cs="Times New Roman"/>
          <w:i w:val="0"/>
          <w:sz w:val="24"/>
          <w:szCs w:val="24"/>
          <w:u w:val="single"/>
        </w:rPr>
      </w:pPr>
      <w:r w:rsidR="00F1695C">
        <w:rPr>
          <w:rFonts w:ascii="Times New Roman" w:hAnsi="Times New Roman" w:cs="Times New Roman"/>
          <w:i w:val="0"/>
          <w:sz w:val="24"/>
          <w:szCs w:val="24"/>
          <w:u w:val="single"/>
        </w:rPr>
        <w:t>Úrad pre re</w:t>
      </w:r>
      <w:r>
        <w:rPr>
          <w:rFonts w:ascii="Times New Roman" w:hAnsi="Times New Roman" w:cs="Times New Roman"/>
          <w:i w:val="0"/>
          <w:sz w:val="24"/>
          <w:szCs w:val="24"/>
          <w:u w:val="single"/>
        </w:rPr>
        <w:t>guláciu železničnej dopravy</w:t>
      </w:r>
    </w:p>
    <w:p w:rsidR="00B0514E" w:rsidP="00B0514E">
      <w:pPr>
        <w:pStyle w:val="BodyText"/>
        <w:pBdr>
          <w:top w:val="none" w:sz="0" w:space="0" w:color="auto"/>
          <w:left w:val="none" w:sz="0" w:space="0" w:color="auto"/>
          <w:bottom w:val="none" w:sz="0" w:space="0" w:color="auto"/>
          <w:right w:val="none" w:sz="0" w:space="0" w:color="auto"/>
        </w:pBdr>
        <w:shd w:val="clear" w:color="auto" w:fill="auto"/>
        <w:adjustRightInd/>
        <w:spacing w:line="240" w:lineRule="auto"/>
        <w:ind w:right="0"/>
        <w:textAlignment w:val="auto"/>
        <w:rPr>
          <w:rFonts w:ascii="Times New Roman" w:hAnsi="Times New Roman" w:cs="Times New Roman"/>
          <w:b w:val="0"/>
          <w:i w:val="0"/>
          <w:sz w:val="24"/>
          <w:szCs w:val="24"/>
          <w:u w:val="single"/>
        </w:rPr>
      </w:pPr>
    </w:p>
    <w:p w:rsidR="00B0514E" w:rsidP="00B0514E">
      <w:pPr>
        <w:pStyle w:val="BodyText"/>
        <w:pBdr>
          <w:top w:val="none" w:sz="0" w:space="0" w:color="auto"/>
          <w:left w:val="none" w:sz="0" w:space="0" w:color="auto"/>
          <w:bottom w:val="none" w:sz="0" w:space="0" w:color="auto"/>
          <w:right w:val="none" w:sz="0" w:space="0" w:color="auto"/>
        </w:pBdr>
        <w:shd w:val="clear" w:color="auto" w:fill="auto"/>
        <w:adjustRightInd/>
        <w:spacing w:line="240" w:lineRule="auto"/>
        <w:ind w:right="0" w:firstLine="709"/>
        <w:textAlignment w:val="auto"/>
        <w:rPr>
          <w:rFonts w:ascii="Times New Roman" w:hAnsi="Times New Roman" w:cs="Times New Roman"/>
          <w:b w:val="0"/>
          <w:i w:val="0"/>
          <w:sz w:val="24"/>
          <w:szCs w:val="24"/>
          <w:u w:val="single"/>
        </w:rPr>
      </w:pPr>
      <w:r w:rsidRPr="00B0514E">
        <w:rPr>
          <w:rFonts w:ascii="Times New Roman" w:hAnsi="Times New Roman" w:cs="Times New Roman"/>
          <w:b w:val="0"/>
          <w:i w:val="0"/>
          <w:sz w:val="24"/>
          <w:szCs w:val="24"/>
        </w:rPr>
        <w:t>Z poverenia predsedu NKÚ SR č. 1428 zo dňa 25.10.2007 bola v čase od 29.10.2007 do 14.12.2007 vykonaná kontrola hospodá</w:t>
      </w:r>
      <w:r>
        <w:rPr>
          <w:rFonts w:ascii="Times New Roman" w:hAnsi="Times New Roman" w:cs="Times New Roman"/>
          <w:b w:val="0"/>
          <w:i w:val="0"/>
          <w:sz w:val="24"/>
          <w:szCs w:val="24"/>
        </w:rPr>
        <w:t xml:space="preserve">renia s verejnými prostriedkami </w:t>
      </w:r>
      <w:r w:rsidRPr="00B0514E">
        <w:rPr>
          <w:rFonts w:ascii="Times New Roman" w:hAnsi="Times New Roman" w:cs="Times New Roman"/>
          <w:b w:val="0"/>
          <w:i w:val="0"/>
          <w:sz w:val="24"/>
          <w:szCs w:val="24"/>
        </w:rPr>
        <w:t>a nakladania s majetkom štátu za rok 2006 a I. polrok 2007. Zistené nedostatky sa uvádzajú v Protokole z 13. 12. 2007 o výsledku hospodárenia s verejnými prostriedkami a nakladania s majetkom štátu v ÚRŽD za rok 2006 a I. polrok 2007. Úrad prijal opatrenia na odstránenie nedostatkov zistených kontrolou hospodárenia s verejnými prostriedkami a nakladania s majetkom štátu za</w:t>
      </w:r>
    </w:p>
    <w:p w:rsidR="00B0514E" w:rsidRPr="00B0514E" w:rsidP="00B0514E">
      <w:pPr>
        <w:pStyle w:val="BodyText"/>
        <w:pBdr>
          <w:top w:val="none" w:sz="0" w:space="0" w:color="auto"/>
          <w:left w:val="none" w:sz="0" w:space="0" w:color="auto"/>
          <w:bottom w:val="none" w:sz="0" w:space="0" w:color="auto"/>
          <w:right w:val="none" w:sz="0" w:space="0" w:color="auto"/>
        </w:pBdr>
        <w:shd w:val="clear" w:color="auto" w:fill="auto"/>
        <w:adjustRightInd/>
        <w:spacing w:line="240" w:lineRule="auto"/>
        <w:ind w:right="0"/>
        <w:textAlignment w:val="auto"/>
        <w:rPr>
          <w:rFonts w:ascii="Times New Roman" w:hAnsi="Times New Roman" w:cs="Times New Roman"/>
          <w:b w:val="0"/>
          <w:i w:val="0"/>
          <w:sz w:val="24"/>
          <w:szCs w:val="24"/>
        </w:rPr>
      </w:pPr>
      <w:r w:rsidRPr="00B0514E">
        <w:rPr>
          <w:rFonts w:ascii="Times New Roman" w:hAnsi="Times New Roman" w:cs="Times New Roman"/>
          <w:b w:val="0"/>
          <w:i w:val="0"/>
          <w:sz w:val="24"/>
          <w:szCs w:val="24"/>
        </w:rPr>
        <w:t xml:space="preserve">rok 2006 a za I. polrok 2007. </w:t>
      </w:r>
    </w:p>
    <w:p w:rsidR="00C75A2D" w:rsidRPr="00B0514E" w:rsidP="00B0514E">
      <w:pPr>
        <w:pStyle w:val="BodyText"/>
        <w:pBdr>
          <w:top w:val="none" w:sz="0" w:space="0" w:color="auto"/>
          <w:left w:val="none" w:sz="0" w:space="0" w:color="auto"/>
          <w:bottom w:val="none" w:sz="0" w:space="0" w:color="auto"/>
          <w:right w:val="none" w:sz="0" w:space="0" w:color="auto"/>
        </w:pBdr>
        <w:shd w:val="clear" w:color="auto" w:fill="auto"/>
        <w:adjustRightInd/>
        <w:spacing w:line="240" w:lineRule="auto"/>
        <w:ind w:right="0"/>
        <w:textAlignment w:val="auto"/>
        <w:rPr>
          <w:rFonts w:ascii="Times New Roman" w:hAnsi="Times New Roman" w:cs="Times New Roman"/>
          <w:b w:val="0"/>
          <w:i w:val="0"/>
          <w:sz w:val="24"/>
          <w:szCs w:val="24"/>
          <w:u w:val="single"/>
        </w:rPr>
      </w:pPr>
    </w:p>
    <w:p w:rsidR="00C75A2D" w:rsidRPr="00B0514E" w:rsidP="00B0514E">
      <w:pPr>
        <w:pStyle w:val="BodyText"/>
        <w:numPr>
          <w:ilvl w:val="0"/>
          <w:numId w:val="9"/>
        </w:numPr>
        <w:pBdr>
          <w:top w:val="none" w:sz="0" w:space="0" w:color="auto"/>
          <w:left w:val="none" w:sz="0" w:space="0" w:color="auto"/>
          <w:bottom w:val="none" w:sz="0" w:space="0" w:color="auto"/>
          <w:right w:val="none" w:sz="0" w:space="0" w:color="auto"/>
        </w:pBdr>
        <w:shd w:val="clear" w:color="auto" w:fill="auto"/>
        <w:tabs>
          <w:tab w:val="left" w:pos="480"/>
        </w:tabs>
        <w:adjustRightInd/>
        <w:spacing w:line="240" w:lineRule="auto"/>
        <w:ind w:right="0"/>
        <w:textAlignment w:val="auto"/>
        <w:rPr>
          <w:rFonts w:ascii="Times New Roman" w:hAnsi="Times New Roman" w:cs="Times New Roman"/>
          <w:i w:val="0"/>
          <w:sz w:val="24"/>
          <w:szCs w:val="24"/>
          <w:u w:val="single"/>
        </w:rPr>
      </w:pPr>
      <w:r w:rsidRPr="00B0514E">
        <w:rPr>
          <w:rFonts w:ascii="Times New Roman" w:hAnsi="Times New Roman" w:cs="Times New Roman"/>
          <w:i w:val="0"/>
          <w:sz w:val="24"/>
          <w:szCs w:val="24"/>
          <w:u w:val="single"/>
        </w:rPr>
        <w:t>Slovenská správa ciest</w:t>
      </w:r>
    </w:p>
    <w:p w:rsidR="00C75A2D" w:rsidRPr="00C75A2D" w:rsidP="00C75A2D">
      <w:pPr>
        <w:pStyle w:val="BodyText"/>
        <w:pBdr>
          <w:top w:val="none" w:sz="0" w:space="0" w:color="auto"/>
          <w:left w:val="none" w:sz="0" w:space="0" w:color="auto"/>
          <w:bottom w:val="none" w:sz="0" w:space="0" w:color="auto"/>
          <w:right w:val="none" w:sz="0" w:space="0" w:color="auto"/>
        </w:pBdr>
        <w:shd w:val="clear" w:color="auto" w:fill="auto"/>
        <w:adjustRightInd/>
        <w:spacing w:line="240" w:lineRule="auto"/>
        <w:ind w:right="0" w:firstLine="709"/>
        <w:textAlignment w:val="auto"/>
        <w:rPr>
          <w:rFonts w:ascii="Times New Roman" w:hAnsi="Times New Roman" w:cs="Times New Roman"/>
          <w:b w:val="0"/>
          <w:i w:val="0"/>
          <w:sz w:val="24"/>
          <w:szCs w:val="24"/>
        </w:rPr>
      </w:pPr>
    </w:p>
    <w:p w:rsidR="00C75A2D" w:rsidRPr="00C75A2D" w:rsidP="00B0514E">
      <w:pPr>
        <w:spacing w:line="240" w:lineRule="auto"/>
        <w:ind w:firstLine="480"/>
        <w:rPr>
          <w:rFonts w:ascii="Times New Roman" w:hAnsi="Times New Roman" w:cs="Times New Roman"/>
          <w:sz w:val="24"/>
          <w:szCs w:val="24"/>
        </w:rPr>
      </w:pPr>
      <w:r>
        <w:rPr>
          <w:rFonts w:ascii="Times New Roman" w:hAnsi="Times New Roman" w:cs="Times New Roman"/>
          <w:sz w:val="24"/>
          <w:szCs w:val="24"/>
        </w:rPr>
        <w:t xml:space="preserve">NKÚ na Slovenskej správe ciest vykonal </w:t>
      </w:r>
      <w:r w:rsidRPr="00C75A2D">
        <w:rPr>
          <w:rFonts w:ascii="Times New Roman" w:hAnsi="Times New Roman" w:cs="Times New Roman"/>
          <w:sz w:val="24"/>
          <w:szCs w:val="24"/>
        </w:rPr>
        <w:t>následnú finančnú kontrolu postupov a rozhodnutí pri delimitácii majetku Úst</w:t>
      </w:r>
      <w:r>
        <w:rPr>
          <w:rFonts w:ascii="Times New Roman" w:hAnsi="Times New Roman" w:cs="Times New Roman"/>
          <w:sz w:val="24"/>
          <w:szCs w:val="24"/>
        </w:rPr>
        <w:t xml:space="preserve">avu cestnej dopravy (ÚCD) za rok </w:t>
      </w:r>
      <w:r w:rsidRPr="00C75A2D">
        <w:rPr>
          <w:rFonts w:ascii="Times New Roman" w:hAnsi="Times New Roman" w:cs="Times New Roman"/>
          <w:sz w:val="24"/>
          <w:szCs w:val="24"/>
        </w:rPr>
        <w:t>2005-2007 a ku dňu zrušenia 31.3.2007</w:t>
      </w:r>
      <w:r>
        <w:rPr>
          <w:rFonts w:ascii="Times New Roman" w:hAnsi="Times New Roman" w:cs="Times New Roman"/>
          <w:sz w:val="24"/>
          <w:szCs w:val="24"/>
        </w:rPr>
        <w:t xml:space="preserve">. </w:t>
      </w:r>
      <w:r w:rsidRPr="00C75A2D">
        <w:rPr>
          <w:rFonts w:ascii="Times New Roman" w:hAnsi="Times New Roman" w:cs="Times New Roman"/>
          <w:sz w:val="24"/>
          <w:szCs w:val="24"/>
        </w:rPr>
        <w:t xml:space="preserve">Kontrola bola zameraná na preverenie hospodárenia ÚCD od roku 2005 ku dňu delimitácie, inventarizáciu hospodárskych </w:t>
      </w:r>
      <w:r>
        <w:rPr>
          <w:rFonts w:ascii="Times New Roman" w:hAnsi="Times New Roman" w:cs="Times New Roman"/>
          <w:sz w:val="24"/>
          <w:szCs w:val="24"/>
        </w:rPr>
        <w:t xml:space="preserve">prostriedkov, záväzkov a </w:t>
      </w:r>
      <w:r w:rsidRPr="00C75A2D">
        <w:rPr>
          <w:rFonts w:ascii="Times New Roman" w:hAnsi="Times New Roman" w:cs="Times New Roman"/>
          <w:sz w:val="24"/>
          <w:szCs w:val="24"/>
        </w:rPr>
        <w:t>stav</w:t>
      </w:r>
      <w:r>
        <w:rPr>
          <w:rFonts w:ascii="Times New Roman" w:hAnsi="Times New Roman" w:cs="Times New Roman"/>
          <w:sz w:val="24"/>
          <w:szCs w:val="24"/>
        </w:rPr>
        <w:t>u</w:t>
      </w:r>
      <w:r w:rsidRPr="00C75A2D">
        <w:rPr>
          <w:rFonts w:ascii="Times New Roman" w:hAnsi="Times New Roman" w:cs="Times New Roman"/>
          <w:sz w:val="24"/>
          <w:szCs w:val="24"/>
        </w:rPr>
        <w:t xml:space="preserve"> majetku, samotnú delimitáciu, prevzatie správy majetku a na nakladanie SSC s delimitovaným majetkom</w:t>
      </w:r>
      <w:r>
        <w:rPr>
          <w:rFonts w:ascii="Times New Roman" w:hAnsi="Times New Roman" w:cs="Times New Roman"/>
          <w:sz w:val="24"/>
          <w:szCs w:val="24"/>
        </w:rPr>
        <w:t xml:space="preserve">. </w:t>
      </w:r>
      <w:r w:rsidRPr="00C75A2D">
        <w:rPr>
          <w:rFonts w:ascii="Times New Roman" w:hAnsi="Times New Roman" w:cs="Times New Roman"/>
          <w:sz w:val="24"/>
          <w:szCs w:val="24"/>
        </w:rPr>
        <w:t>Zistené nedostatky sa t</w:t>
      </w:r>
      <w:r w:rsidR="00B0514E">
        <w:rPr>
          <w:rFonts w:ascii="Times New Roman" w:hAnsi="Times New Roman" w:cs="Times New Roman"/>
          <w:sz w:val="24"/>
          <w:szCs w:val="24"/>
        </w:rPr>
        <w:t xml:space="preserve">ýkali sa predovšetkým </w:t>
      </w:r>
      <w:r w:rsidRPr="00C75A2D">
        <w:rPr>
          <w:rFonts w:ascii="Times New Roman" w:hAnsi="Times New Roman" w:cs="Times New Roman"/>
          <w:sz w:val="24"/>
          <w:szCs w:val="24"/>
        </w:rPr>
        <w:t>priebehu delimitácie ÚCD</w:t>
      </w:r>
      <w:r>
        <w:rPr>
          <w:rFonts w:ascii="Times New Roman" w:hAnsi="Times New Roman" w:cs="Times New Roman"/>
          <w:sz w:val="24"/>
          <w:szCs w:val="24"/>
        </w:rPr>
        <w:t>.</w:t>
      </w:r>
    </w:p>
    <w:p w:rsidR="00C75A2D" w:rsidRPr="00C75A2D" w:rsidP="00C75A2D">
      <w:pPr>
        <w:pStyle w:val="Styl1-text"/>
        <w:tabs>
          <w:tab w:val="left" w:pos="1080"/>
        </w:tabs>
        <w:adjustRightInd/>
        <w:spacing w:line="240" w:lineRule="auto"/>
        <w:jc w:val="both"/>
        <w:textAlignment w:val="auto"/>
        <w:rPr>
          <w:rFonts w:ascii="Times New Roman" w:hAnsi="Times New Roman" w:cs="Times New Roman"/>
          <w:bCs w:val="0"/>
          <w:sz w:val="24"/>
          <w:szCs w:val="24"/>
          <w:lang w:val="sk-SK"/>
        </w:rPr>
      </w:pPr>
      <w:r w:rsidR="00F1695C">
        <w:rPr>
          <w:rFonts w:ascii="Times New Roman" w:hAnsi="Times New Roman" w:cs="Times New Roman"/>
          <w:bCs w:val="0"/>
          <w:sz w:val="24"/>
          <w:szCs w:val="24"/>
          <w:lang w:val="sk-SK"/>
        </w:rPr>
        <w:t>Zistenie pre SSC: n</w:t>
      </w:r>
      <w:r w:rsidRPr="00C75A2D">
        <w:rPr>
          <w:rFonts w:ascii="Times New Roman" w:hAnsi="Times New Roman" w:cs="Times New Roman"/>
          <w:bCs w:val="0"/>
          <w:sz w:val="24"/>
          <w:szCs w:val="24"/>
          <w:lang w:val="sk-SK"/>
        </w:rPr>
        <w:t>ezlikvidovaný oddelimitovaný majetok v plnej miere</w:t>
      </w:r>
      <w:r w:rsidR="003316F2">
        <w:rPr>
          <w:rFonts w:ascii="Times New Roman" w:hAnsi="Times New Roman" w:cs="Times New Roman"/>
          <w:bCs w:val="0"/>
          <w:sz w:val="24"/>
          <w:szCs w:val="24"/>
          <w:lang w:val="sk-SK"/>
        </w:rPr>
        <w:t>.</w:t>
      </w:r>
      <w:r w:rsidRPr="00C75A2D">
        <w:rPr>
          <w:rFonts w:ascii="Times New Roman" w:hAnsi="Times New Roman" w:cs="Times New Roman"/>
          <w:bCs w:val="0"/>
          <w:sz w:val="24"/>
          <w:szCs w:val="24"/>
          <w:lang w:val="sk-SK"/>
        </w:rPr>
        <w:t xml:space="preserve"> </w:t>
      </w:r>
    </w:p>
    <w:p w:rsidR="00C75A2D" w:rsidRPr="00C75A2D" w:rsidP="003316F2">
      <w:pPr>
        <w:spacing w:line="240" w:lineRule="auto"/>
        <w:rPr>
          <w:rFonts w:ascii="Times New Roman" w:hAnsi="Times New Roman" w:cs="Times New Roman"/>
          <w:sz w:val="24"/>
          <w:szCs w:val="24"/>
        </w:rPr>
      </w:pPr>
      <w:r w:rsidRPr="00C75A2D">
        <w:rPr>
          <w:rFonts w:ascii="Times New Roman" w:hAnsi="Times New Roman" w:cs="Times New Roman"/>
          <w:sz w:val="24"/>
          <w:szCs w:val="24"/>
        </w:rPr>
        <w:t>Prij</w:t>
      </w:r>
      <w:r w:rsidR="003316F2">
        <w:rPr>
          <w:rFonts w:ascii="Times New Roman" w:hAnsi="Times New Roman" w:cs="Times New Roman"/>
          <w:sz w:val="24"/>
          <w:szCs w:val="24"/>
        </w:rPr>
        <w:t xml:space="preserve">até opatrenia: </w:t>
      </w:r>
      <w:r w:rsidR="00F1695C">
        <w:rPr>
          <w:rFonts w:ascii="Times New Roman" w:hAnsi="Times New Roman" w:cs="Times New Roman"/>
          <w:sz w:val="24"/>
          <w:szCs w:val="24"/>
        </w:rPr>
        <w:t>b</w:t>
      </w:r>
      <w:r w:rsidRPr="00C75A2D">
        <w:rPr>
          <w:rFonts w:ascii="Times New Roman" w:hAnsi="Times New Roman" w:cs="Times New Roman"/>
          <w:sz w:val="24"/>
          <w:szCs w:val="24"/>
        </w:rPr>
        <w:t>ude vydané písomné  rozhodnutie o neupot</w:t>
      </w:r>
      <w:r>
        <w:rPr>
          <w:rFonts w:ascii="Times New Roman" w:hAnsi="Times New Roman" w:cs="Times New Roman"/>
          <w:sz w:val="24"/>
          <w:szCs w:val="24"/>
        </w:rPr>
        <w:t xml:space="preserve">rebiteľnosti majetku </w:t>
      </w:r>
      <w:r w:rsidRPr="00C75A2D">
        <w:rPr>
          <w:rFonts w:ascii="Times New Roman" w:hAnsi="Times New Roman" w:cs="Times New Roman"/>
          <w:sz w:val="24"/>
          <w:szCs w:val="24"/>
        </w:rPr>
        <w:t>a zabezpečený ďalší postup.</w:t>
      </w:r>
    </w:p>
    <w:p w:rsidR="004573C1" w:rsidP="00C75A2D">
      <w:pPr>
        <w:spacing w:line="240" w:lineRule="auto"/>
        <w:rPr>
          <w:rFonts w:ascii="Times New Roman" w:hAnsi="Times New Roman" w:cs="Times New Roman"/>
          <w:b/>
          <w:sz w:val="24"/>
          <w:szCs w:val="24"/>
          <w:u w:val="single"/>
        </w:rPr>
      </w:pPr>
    </w:p>
    <w:p w:rsidR="00405552" w:rsidP="00C75A2D">
      <w:pPr>
        <w:spacing w:line="240" w:lineRule="auto"/>
        <w:rPr>
          <w:rFonts w:ascii="Times New Roman" w:hAnsi="Times New Roman" w:cs="Times New Roman"/>
          <w:b/>
          <w:sz w:val="24"/>
          <w:szCs w:val="24"/>
          <w:u w:val="single"/>
        </w:rPr>
      </w:pPr>
      <w:r w:rsidR="00920C86">
        <w:rPr>
          <w:rFonts w:ascii="Times New Roman" w:hAnsi="Times New Roman" w:cs="Times New Roman"/>
          <w:b/>
          <w:sz w:val="24"/>
          <w:szCs w:val="24"/>
          <w:u w:val="single"/>
        </w:rPr>
        <w:t xml:space="preserve">B.2. </w:t>
      </w:r>
      <w:r w:rsidRPr="00405552">
        <w:rPr>
          <w:rFonts w:ascii="Times New Roman" w:hAnsi="Times New Roman" w:cs="Times New Roman"/>
          <w:b/>
          <w:sz w:val="24"/>
          <w:szCs w:val="24"/>
          <w:u w:val="single"/>
        </w:rPr>
        <w:t>Vzorkové následné finančné kontroly vykonané z úrovne Správ finančných kontrol (SFK) projektov financovaných z prostriedkov EÚ a ŠR SR u konečných prijímateľov (KP/PP)</w:t>
      </w:r>
    </w:p>
    <w:p w:rsidR="00920C86" w:rsidRPr="00405552" w:rsidP="00405552">
      <w:pPr>
        <w:spacing w:line="240" w:lineRule="auto"/>
        <w:rPr>
          <w:rFonts w:ascii="Times New Roman" w:hAnsi="Times New Roman" w:cs="Times New Roman"/>
          <w:b/>
          <w:sz w:val="24"/>
          <w:szCs w:val="24"/>
          <w:u w:val="single"/>
        </w:rPr>
      </w:pPr>
    </w:p>
    <w:p w:rsidR="00405552" w:rsidP="00920C86">
      <w:pPr>
        <w:spacing w:line="240" w:lineRule="auto"/>
        <w:ind w:firstLine="709"/>
        <w:rPr>
          <w:rFonts w:ascii="Times New Roman" w:hAnsi="Times New Roman" w:cs="Times New Roman"/>
          <w:sz w:val="24"/>
          <w:szCs w:val="24"/>
        </w:rPr>
      </w:pPr>
      <w:r w:rsidRPr="00405552">
        <w:rPr>
          <w:rFonts w:ascii="Times New Roman" w:hAnsi="Times New Roman" w:cs="Times New Roman"/>
          <w:sz w:val="24"/>
          <w:szCs w:val="24"/>
        </w:rPr>
        <w:t>V organizáciách v pôsobnosti MDPT SR boli v roku 2007 z úrovne SFK Bratislava a SFK Košice vykonané 4 vzorkové kontroly, ktoré boli zamerané na overenie správnosti a oprávnenosti použitia prostriedkov EÚ a ŠR SR.</w:t>
      </w:r>
    </w:p>
    <w:p w:rsidR="00920C86" w:rsidRPr="00405552" w:rsidP="00405552">
      <w:pPr>
        <w:spacing w:line="240" w:lineRule="auto"/>
        <w:ind w:firstLine="357"/>
        <w:rPr>
          <w:rFonts w:ascii="Times New Roman" w:hAnsi="Times New Roman" w:cs="Times New Roman"/>
          <w:sz w:val="24"/>
          <w:szCs w:val="24"/>
        </w:rPr>
      </w:pPr>
    </w:p>
    <w:p w:rsidR="00405552" w:rsidRPr="00405552" w:rsidP="00920C86">
      <w:pPr>
        <w:pStyle w:val="List"/>
        <w:spacing w:line="240" w:lineRule="auto"/>
        <w:ind w:left="0" w:firstLine="0"/>
        <w:rPr>
          <w:rFonts w:ascii="Times New Roman" w:hAnsi="Times New Roman" w:cs="Times New Roman"/>
          <w:sz w:val="24"/>
          <w:szCs w:val="24"/>
          <w:lang w:val="sk-SK"/>
        </w:rPr>
      </w:pPr>
      <w:r w:rsidR="00920C86">
        <w:rPr>
          <w:rFonts w:ascii="Times New Roman" w:hAnsi="Times New Roman" w:cs="Times New Roman"/>
          <w:b/>
          <w:sz w:val="24"/>
          <w:szCs w:val="24"/>
          <w:lang w:val="sk-SK"/>
        </w:rPr>
        <w:t xml:space="preserve">1. </w:t>
      </w:r>
      <w:r w:rsidRPr="00405552">
        <w:rPr>
          <w:rFonts w:ascii="Times New Roman" w:hAnsi="Times New Roman" w:cs="Times New Roman"/>
          <w:b/>
          <w:sz w:val="24"/>
          <w:szCs w:val="24"/>
          <w:lang w:val="sk-SK"/>
        </w:rPr>
        <w:t xml:space="preserve">Následná finančná kontrola projektu ERDF </w:t>
      </w:r>
      <w:r w:rsidR="00920C86">
        <w:rPr>
          <w:rFonts w:ascii="Times New Roman" w:hAnsi="Times New Roman" w:cs="Times New Roman"/>
          <w:b/>
          <w:sz w:val="24"/>
          <w:szCs w:val="24"/>
          <w:lang w:val="sk-SK"/>
        </w:rPr>
        <w:t xml:space="preserve">– </w:t>
      </w:r>
      <w:r w:rsidRPr="00405552">
        <w:rPr>
          <w:rFonts w:ascii="Times New Roman" w:hAnsi="Times New Roman" w:cs="Times New Roman"/>
          <w:b/>
          <w:sz w:val="24"/>
          <w:szCs w:val="24"/>
          <w:lang w:val="sk-SK"/>
        </w:rPr>
        <w:t>Mode</w:t>
      </w:r>
      <w:r w:rsidR="00920C86">
        <w:rPr>
          <w:rFonts w:ascii="Times New Roman" w:hAnsi="Times New Roman" w:cs="Times New Roman"/>
          <w:b/>
          <w:sz w:val="24"/>
          <w:szCs w:val="24"/>
          <w:lang w:val="sk-SK"/>
        </w:rPr>
        <w:t xml:space="preserve">rnizácia bezpečnostného systému </w:t>
      </w:r>
      <w:r w:rsidRPr="00405552">
        <w:rPr>
          <w:rFonts w:ascii="Times New Roman" w:hAnsi="Times New Roman" w:cs="Times New Roman"/>
          <w:b/>
          <w:sz w:val="24"/>
          <w:szCs w:val="24"/>
          <w:lang w:val="sk-SK"/>
        </w:rPr>
        <w:t>letiska Poprad – Tatry – oplot</w:t>
      </w:r>
      <w:r w:rsidRPr="00405552">
        <w:rPr>
          <w:rFonts w:ascii="Times New Roman" w:hAnsi="Times New Roman" w:cs="Times New Roman"/>
          <w:b/>
          <w:sz w:val="24"/>
          <w:szCs w:val="24"/>
          <w:lang w:val="sk-SK"/>
        </w:rPr>
        <w:t>e</w:t>
      </w:r>
      <w:r w:rsidRPr="00405552">
        <w:rPr>
          <w:rFonts w:ascii="Times New Roman" w:hAnsi="Times New Roman" w:cs="Times New Roman"/>
          <w:b/>
          <w:sz w:val="24"/>
          <w:szCs w:val="24"/>
          <w:lang w:val="sk-SK"/>
        </w:rPr>
        <w:t>nie areálu letiska a osv</w:t>
      </w:r>
      <w:r w:rsidR="00920C86">
        <w:rPr>
          <w:rFonts w:ascii="Times New Roman" w:hAnsi="Times New Roman" w:cs="Times New Roman"/>
          <w:b/>
          <w:sz w:val="24"/>
          <w:szCs w:val="24"/>
          <w:lang w:val="sk-SK"/>
        </w:rPr>
        <w:t>etlenie vybavovacej plochy u  konečného prijímateľa Letiska</w:t>
      </w:r>
      <w:r w:rsidRPr="00405552">
        <w:rPr>
          <w:rFonts w:ascii="Times New Roman" w:hAnsi="Times New Roman" w:cs="Times New Roman"/>
          <w:b/>
          <w:sz w:val="24"/>
          <w:szCs w:val="24"/>
          <w:lang w:val="sk-SK"/>
        </w:rPr>
        <w:t xml:space="preserve"> Poprad – Tatry, a. s., </w:t>
      </w:r>
      <w:r w:rsidRPr="00405552">
        <w:rPr>
          <w:rFonts w:ascii="Times New Roman" w:hAnsi="Times New Roman" w:cs="Times New Roman"/>
          <w:sz w:val="24"/>
          <w:szCs w:val="24"/>
          <w:lang w:val="sk-SK"/>
        </w:rPr>
        <w:t>(vykonaná SFK Košice)</w:t>
      </w:r>
    </w:p>
    <w:p w:rsidR="00920C86" w:rsidP="00405552">
      <w:pPr>
        <w:pStyle w:val="BodyTextIndent"/>
        <w:tabs>
          <w:tab w:val="left" w:pos="360"/>
        </w:tabs>
        <w:spacing w:line="240" w:lineRule="auto"/>
        <w:ind w:left="360" w:hanging="360"/>
        <w:rPr>
          <w:rFonts w:ascii="Times New Roman" w:hAnsi="Times New Roman" w:cs="Times New Roman"/>
          <w:sz w:val="24"/>
          <w:szCs w:val="24"/>
        </w:rPr>
      </w:pPr>
    </w:p>
    <w:p w:rsidR="00405552" w:rsidP="00405552">
      <w:pPr>
        <w:pStyle w:val="BodyTextIndent"/>
        <w:tabs>
          <w:tab w:val="left" w:pos="360"/>
        </w:tabs>
        <w:spacing w:line="240" w:lineRule="auto"/>
        <w:ind w:left="360" w:hanging="360"/>
        <w:rPr>
          <w:rFonts w:ascii="Times New Roman" w:hAnsi="Times New Roman" w:cs="Times New Roman"/>
          <w:sz w:val="24"/>
          <w:szCs w:val="24"/>
        </w:rPr>
      </w:pPr>
      <w:r w:rsidR="00920C86">
        <w:rPr>
          <w:rFonts w:ascii="Times New Roman" w:hAnsi="Times New Roman" w:cs="Times New Roman"/>
          <w:sz w:val="24"/>
          <w:szCs w:val="24"/>
        </w:rPr>
        <w:tab/>
        <w:tab/>
      </w:r>
      <w:r w:rsidRPr="00405552">
        <w:rPr>
          <w:rFonts w:ascii="Times New Roman" w:hAnsi="Times New Roman" w:cs="Times New Roman"/>
          <w:sz w:val="24"/>
          <w:szCs w:val="24"/>
        </w:rPr>
        <w:t>Následnou finančnou kontrolou bolo zistené:</w:t>
      </w:r>
    </w:p>
    <w:p w:rsidR="006177F4" w:rsidRPr="00405552" w:rsidP="00405552">
      <w:pPr>
        <w:pStyle w:val="BodyTextIndent"/>
        <w:tabs>
          <w:tab w:val="left" w:pos="360"/>
        </w:tabs>
        <w:spacing w:line="240" w:lineRule="auto"/>
        <w:ind w:left="360" w:hanging="360"/>
        <w:rPr>
          <w:rFonts w:ascii="Times New Roman" w:hAnsi="Times New Roman" w:cs="Times New Roman"/>
          <w:sz w:val="24"/>
          <w:szCs w:val="24"/>
        </w:rPr>
      </w:pPr>
    </w:p>
    <w:p w:rsidR="00405552" w:rsidRPr="00405552" w:rsidP="001654CB">
      <w:pPr>
        <w:pStyle w:val="BodyTextIndent"/>
        <w:numPr>
          <w:ilvl w:val="0"/>
          <w:numId w:val="12"/>
        </w:numPr>
        <w:tabs>
          <w:tab w:val="left" w:pos="360"/>
        </w:tabs>
        <w:adjustRightInd/>
        <w:spacing w:line="240" w:lineRule="auto"/>
        <w:ind w:left="357" w:hanging="357"/>
        <w:textAlignment w:val="auto"/>
        <w:rPr>
          <w:rFonts w:ascii="Times New Roman" w:hAnsi="Times New Roman" w:cs="Times New Roman"/>
          <w:sz w:val="24"/>
          <w:szCs w:val="24"/>
        </w:rPr>
      </w:pPr>
      <w:r w:rsidR="00F1695C">
        <w:rPr>
          <w:rFonts w:ascii="Times New Roman" w:hAnsi="Times New Roman" w:cs="Times New Roman"/>
          <w:sz w:val="24"/>
          <w:szCs w:val="24"/>
        </w:rPr>
        <w:t>r</w:t>
      </w:r>
      <w:r w:rsidRPr="00405552">
        <w:rPr>
          <w:rFonts w:ascii="Times New Roman" w:hAnsi="Times New Roman" w:cs="Times New Roman"/>
          <w:sz w:val="24"/>
          <w:szCs w:val="24"/>
        </w:rPr>
        <w:t>efundácia výdavkov ERDF a ŠR SR v sume vyššej o </w:t>
      </w:r>
      <w:r w:rsidR="00920C86">
        <w:rPr>
          <w:rFonts w:ascii="Times New Roman" w:hAnsi="Times New Roman" w:cs="Times New Roman"/>
          <w:sz w:val="24"/>
          <w:szCs w:val="24"/>
        </w:rPr>
        <w:t>3 442 ,-Sk  ako bolo preukázané</w:t>
      </w:r>
      <w:r w:rsidRPr="00920C86" w:rsidR="00920C86">
        <w:rPr>
          <w:rFonts w:ascii="Times New Roman" w:hAnsi="Times New Roman" w:cs="Times New Roman"/>
          <w:sz w:val="24"/>
          <w:szCs w:val="24"/>
        </w:rPr>
        <w:t>;</w:t>
      </w:r>
    </w:p>
    <w:p w:rsidR="00405552" w:rsidRPr="00920C86" w:rsidP="001654CB">
      <w:pPr>
        <w:pStyle w:val="BodyTextIndent"/>
        <w:numPr>
          <w:ilvl w:val="0"/>
          <w:numId w:val="12"/>
        </w:numPr>
        <w:tabs>
          <w:tab w:val="left" w:pos="360"/>
        </w:tabs>
        <w:adjustRightInd/>
        <w:spacing w:line="240" w:lineRule="auto"/>
        <w:ind w:left="357" w:hanging="357"/>
        <w:textAlignment w:val="auto"/>
        <w:rPr>
          <w:rFonts w:ascii="Times New Roman" w:hAnsi="Times New Roman" w:cs="Times New Roman"/>
          <w:b/>
          <w:sz w:val="24"/>
          <w:szCs w:val="24"/>
        </w:rPr>
      </w:pPr>
      <w:r w:rsidR="00F1695C">
        <w:rPr>
          <w:rFonts w:ascii="Times New Roman" w:hAnsi="Times New Roman" w:cs="Times New Roman"/>
          <w:sz w:val="24"/>
          <w:szCs w:val="24"/>
        </w:rPr>
        <w:t>n</w:t>
      </w:r>
      <w:r w:rsidRPr="00405552">
        <w:rPr>
          <w:rFonts w:ascii="Times New Roman" w:hAnsi="Times New Roman" w:cs="Times New Roman"/>
          <w:sz w:val="24"/>
          <w:szCs w:val="24"/>
        </w:rPr>
        <w:t>esprávne vedené účtovníctvo, nakoľko suma technického zhodnotenia oplotenia areálu nezodpovedá sume skutočne vykonaných prác a dodaného materiálu.</w:t>
      </w:r>
    </w:p>
    <w:p w:rsidR="00920C86" w:rsidRPr="00405552" w:rsidP="00920C86">
      <w:pPr>
        <w:pStyle w:val="BodyTextIndent"/>
        <w:adjustRightInd/>
        <w:spacing w:line="240" w:lineRule="auto"/>
        <w:ind w:firstLine="0"/>
        <w:textAlignment w:val="auto"/>
        <w:rPr>
          <w:rFonts w:ascii="Times New Roman" w:hAnsi="Times New Roman" w:cs="Times New Roman"/>
          <w:b/>
          <w:sz w:val="24"/>
          <w:szCs w:val="24"/>
        </w:rPr>
      </w:pPr>
    </w:p>
    <w:p w:rsidR="00920C86" w:rsidP="00920C86">
      <w:pPr>
        <w:pStyle w:val="List"/>
        <w:spacing w:line="240" w:lineRule="auto"/>
        <w:ind w:left="0" w:firstLine="0"/>
        <w:rPr>
          <w:rFonts w:ascii="Times New Roman" w:hAnsi="Times New Roman" w:cs="Times New Roman"/>
          <w:b/>
          <w:sz w:val="24"/>
          <w:szCs w:val="24"/>
          <w:lang w:val="sk-SK"/>
        </w:rPr>
      </w:pPr>
      <w:r>
        <w:rPr>
          <w:rFonts w:ascii="Times New Roman" w:hAnsi="Times New Roman" w:cs="Times New Roman"/>
          <w:b/>
          <w:sz w:val="24"/>
          <w:szCs w:val="24"/>
          <w:lang w:val="sk-SK"/>
        </w:rPr>
        <w:t xml:space="preserve">2. </w:t>
      </w:r>
      <w:r w:rsidRPr="00405552" w:rsidR="00405552">
        <w:rPr>
          <w:rFonts w:ascii="Times New Roman" w:hAnsi="Times New Roman" w:cs="Times New Roman"/>
          <w:b/>
          <w:sz w:val="24"/>
          <w:szCs w:val="24"/>
          <w:lang w:val="sk-SK"/>
        </w:rPr>
        <w:t xml:space="preserve">Následná finančná kontrola projektu ERDF </w:t>
      </w:r>
      <w:r>
        <w:rPr>
          <w:rFonts w:ascii="Times New Roman" w:hAnsi="Times New Roman" w:cs="Times New Roman"/>
          <w:b/>
          <w:sz w:val="24"/>
          <w:szCs w:val="24"/>
          <w:lang w:val="sk-SK"/>
        </w:rPr>
        <w:t xml:space="preserve">– </w:t>
      </w:r>
      <w:r w:rsidRPr="00405552" w:rsidR="00405552">
        <w:rPr>
          <w:rFonts w:ascii="Times New Roman" w:hAnsi="Times New Roman" w:cs="Times New Roman"/>
          <w:b/>
          <w:sz w:val="24"/>
          <w:szCs w:val="24"/>
          <w:lang w:val="sk-SK"/>
        </w:rPr>
        <w:t xml:space="preserve">Bezpečnostný systém letiska Piešťany – </w:t>
      </w:r>
    </w:p>
    <w:p w:rsidR="00405552" w:rsidP="00920C86">
      <w:pPr>
        <w:pStyle w:val="List"/>
        <w:spacing w:line="240" w:lineRule="auto"/>
        <w:ind w:left="0" w:firstLine="0"/>
        <w:rPr>
          <w:rFonts w:ascii="Times New Roman" w:hAnsi="Times New Roman" w:cs="Times New Roman"/>
          <w:sz w:val="24"/>
          <w:szCs w:val="24"/>
          <w:lang w:val="sk-SK"/>
        </w:rPr>
      </w:pPr>
      <w:r w:rsidRPr="00405552">
        <w:rPr>
          <w:rFonts w:ascii="Times New Roman" w:hAnsi="Times New Roman" w:cs="Times New Roman"/>
          <w:b/>
          <w:sz w:val="24"/>
          <w:szCs w:val="24"/>
          <w:lang w:val="sk-SK"/>
        </w:rPr>
        <w:t>bezpečnostné oplotenie, kam</w:t>
      </w:r>
      <w:r w:rsidRPr="00405552">
        <w:rPr>
          <w:rFonts w:ascii="Times New Roman" w:hAnsi="Times New Roman" w:cs="Times New Roman"/>
          <w:b/>
          <w:sz w:val="24"/>
          <w:szCs w:val="24"/>
          <w:lang w:val="sk-SK"/>
        </w:rPr>
        <w:t>e</w:t>
      </w:r>
      <w:r w:rsidRPr="00405552">
        <w:rPr>
          <w:rFonts w:ascii="Times New Roman" w:hAnsi="Times New Roman" w:cs="Times New Roman"/>
          <w:b/>
          <w:sz w:val="24"/>
          <w:szCs w:val="24"/>
          <w:lang w:val="sk-SK"/>
        </w:rPr>
        <w:t xml:space="preserve">rový systém a vstupný </w:t>
      </w:r>
      <w:r w:rsidR="00920C86">
        <w:rPr>
          <w:rFonts w:ascii="Times New Roman" w:hAnsi="Times New Roman" w:cs="Times New Roman"/>
          <w:b/>
          <w:sz w:val="24"/>
          <w:szCs w:val="24"/>
          <w:lang w:val="sk-SK"/>
        </w:rPr>
        <w:t>režim u konečného prijímateľa Letiska Piešťany, a.</w:t>
      </w:r>
      <w:r w:rsidRPr="00405552">
        <w:rPr>
          <w:rFonts w:ascii="Times New Roman" w:hAnsi="Times New Roman" w:cs="Times New Roman"/>
          <w:b/>
          <w:sz w:val="24"/>
          <w:szCs w:val="24"/>
          <w:lang w:val="sk-SK"/>
        </w:rPr>
        <w:t>s.,</w:t>
      </w:r>
      <w:r w:rsidR="00920C86">
        <w:rPr>
          <w:rFonts w:ascii="Times New Roman" w:hAnsi="Times New Roman" w:cs="Times New Roman"/>
          <w:b/>
          <w:sz w:val="24"/>
          <w:szCs w:val="24"/>
          <w:lang w:val="sk-SK"/>
        </w:rPr>
        <w:t xml:space="preserve"> </w:t>
      </w:r>
      <w:r w:rsidRPr="00405552">
        <w:rPr>
          <w:rFonts w:ascii="Times New Roman" w:hAnsi="Times New Roman" w:cs="Times New Roman"/>
          <w:sz w:val="24"/>
          <w:szCs w:val="24"/>
          <w:lang w:val="sk-SK"/>
        </w:rPr>
        <w:t>(vykonaná SFK Bratislava)</w:t>
      </w:r>
    </w:p>
    <w:p w:rsidR="00920C86" w:rsidRPr="00405552" w:rsidP="00920C86">
      <w:pPr>
        <w:pStyle w:val="List"/>
        <w:spacing w:line="240" w:lineRule="auto"/>
        <w:ind w:left="0" w:firstLine="0"/>
        <w:rPr>
          <w:rFonts w:ascii="Times New Roman" w:hAnsi="Times New Roman" w:cs="Times New Roman"/>
          <w:b/>
          <w:sz w:val="24"/>
          <w:szCs w:val="24"/>
          <w:lang w:val="sk-SK"/>
        </w:rPr>
      </w:pPr>
    </w:p>
    <w:p w:rsidR="00405552" w:rsidP="00405552">
      <w:pPr>
        <w:pStyle w:val="BodyTextIndent"/>
        <w:tabs>
          <w:tab w:val="left" w:pos="360"/>
        </w:tabs>
        <w:spacing w:line="240" w:lineRule="auto"/>
        <w:ind w:left="357" w:hanging="357"/>
        <w:rPr>
          <w:rFonts w:ascii="Times New Roman" w:hAnsi="Times New Roman" w:cs="Times New Roman"/>
          <w:sz w:val="24"/>
          <w:szCs w:val="24"/>
        </w:rPr>
      </w:pPr>
      <w:r w:rsidR="00920C86">
        <w:rPr>
          <w:rFonts w:ascii="Times New Roman" w:hAnsi="Times New Roman" w:cs="Times New Roman"/>
          <w:sz w:val="24"/>
          <w:szCs w:val="24"/>
        </w:rPr>
        <w:tab/>
        <w:tab/>
        <w:tab/>
      </w:r>
      <w:r w:rsidRPr="00405552">
        <w:rPr>
          <w:rFonts w:ascii="Times New Roman" w:hAnsi="Times New Roman" w:cs="Times New Roman"/>
          <w:sz w:val="24"/>
          <w:szCs w:val="24"/>
        </w:rPr>
        <w:t>Kontrolou bolo zistené:</w:t>
      </w:r>
    </w:p>
    <w:p w:rsidR="00920C86" w:rsidRPr="00405552" w:rsidP="00405552">
      <w:pPr>
        <w:pStyle w:val="BodyTextIndent"/>
        <w:tabs>
          <w:tab w:val="left" w:pos="360"/>
        </w:tabs>
        <w:spacing w:line="240" w:lineRule="auto"/>
        <w:ind w:left="357" w:hanging="357"/>
        <w:rPr>
          <w:rFonts w:ascii="Times New Roman" w:hAnsi="Times New Roman" w:cs="Times New Roman"/>
          <w:sz w:val="24"/>
          <w:szCs w:val="24"/>
        </w:rPr>
      </w:pPr>
    </w:p>
    <w:p w:rsidR="00405552" w:rsidRPr="00405552" w:rsidP="001654CB">
      <w:pPr>
        <w:pStyle w:val="List"/>
        <w:numPr>
          <w:ilvl w:val="0"/>
          <w:numId w:val="12"/>
        </w:numPr>
        <w:tabs>
          <w:tab w:val="left" w:pos="360"/>
        </w:tabs>
        <w:spacing w:line="240" w:lineRule="auto"/>
        <w:ind w:left="357" w:hanging="357"/>
        <w:rPr>
          <w:rFonts w:ascii="Times New Roman" w:hAnsi="Times New Roman" w:cs="Times New Roman"/>
          <w:sz w:val="24"/>
          <w:szCs w:val="24"/>
          <w:lang w:val="sk-SK"/>
        </w:rPr>
      </w:pPr>
      <w:r w:rsidR="00F1695C">
        <w:rPr>
          <w:rFonts w:ascii="Times New Roman" w:hAnsi="Times New Roman" w:cs="Times New Roman"/>
          <w:sz w:val="24"/>
          <w:szCs w:val="24"/>
          <w:lang w:val="sk-SK"/>
        </w:rPr>
        <w:t>v</w:t>
      </w:r>
      <w:r w:rsidRPr="00405552">
        <w:rPr>
          <w:rFonts w:ascii="Times New Roman" w:hAnsi="Times New Roman" w:cs="Times New Roman"/>
          <w:sz w:val="24"/>
          <w:szCs w:val="24"/>
          <w:lang w:val="sk-SK"/>
        </w:rPr>
        <w:t xml:space="preserve">ykonanie verejného obstarávania v rozpore s interným </w:t>
      </w:r>
      <w:r w:rsidR="00920C86">
        <w:rPr>
          <w:rFonts w:ascii="Times New Roman" w:hAnsi="Times New Roman" w:cs="Times New Roman"/>
          <w:sz w:val="24"/>
          <w:szCs w:val="24"/>
          <w:lang w:val="sk-SK"/>
        </w:rPr>
        <w:t>manuálom</w:t>
      </w:r>
      <w:r w:rsidRPr="00920C86" w:rsidR="00920C86">
        <w:rPr>
          <w:rFonts w:ascii="Times New Roman" w:hAnsi="Times New Roman" w:cs="Times New Roman"/>
          <w:sz w:val="24"/>
          <w:szCs w:val="24"/>
        </w:rPr>
        <w:t>;</w:t>
      </w:r>
    </w:p>
    <w:p w:rsidR="00405552" w:rsidRPr="00920C86" w:rsidP="001654CB">
      <w:pPr>
        <w:pStyle w:val="List"/>
        <w:numPr>
          <w:ilvl w:val="0"/>
          <w:numId w:val="12"/>
        </w:numPr>
        <w:tabs>
          <w:tab w:val="left" w:pos="360"/>
        </w:tabs>
        <w:spacing w:line="240" w:lineRule="auto"/>
        <w:ind w:left="357" w:hanging="357"/>
        <w:rPr>
          <w:rFonts w:ascii="Times New Roman" w:hAnsi="Times New Roman" w:cs="Times New Roman"/>
          <w:b/>
          <w:sz w:val="24"/>
          <w:szCs w:val="24"/>
          <w:lang w:val="sk-SK"/>
        </w:rPr>
      </w:pPr>
      <w:r w:rsidR="00F1695C">
        <w:rPr>
          <w:rFonts w:ascii="Times New Roman" w:hAnsi="Times New Roman" w:cs="Times New Roman"/>
          <w:sz w:val="24"/>
          <w:szCs w:val="24"/>
          <w:lang w:val="sk-SK"/>
        </w:rPr>
        <w:t>k</w:t>
      </w:r>
      <w:r w:rsidR="00920C86">
        <w:rPr>
          <w:rFonts w:ascii="Times New Roman" w:hAnsi="Times New Roman" w:cs="Times New Roman"/>
          <w:sz w:val="24"/>
          <w:szCs w:val="24"/>
          <w:lang w:val="sk-SK"/>
        </w:rPr>
        <w:t xml:space="preserve">onečný prijímateľ (ďalej len „KP“) </w:t>
      </w:r>
      <w:r w:rsidRPr="00405552">
        <w:rPr>
          <w:rFonts w:ascii="Times New Roman" w:hAnsi="Times New Roman" w:cs="Times New Roman"/>
          <w:sz w:val="24"/>
          <w:szCs w:val="24"/>
          <w:lang w:val="sk-SK"/>
        </w:rPr>
        <w:t>nearchivoval všetky verzie interného manuálu na úrovni riadenia štrukturálnych fondov MDPT SR.</w:t>
      </w:r>
    </w:p>
    <w:p w:rsidR="00920C86" w:rsidRPr="00405552" w:rsidP="00920C86">
      <w:pPr>
        <w:pStyle w:val="List"/>
        <w:spacing w:line="240" w:lineRule="auto"/>
        <w:ind w:left="0" w:firstLine="0"/>
        <w:rPr>
          <w:rFonts w:ascii="Times New Roman" w:hAnsi="Times New Roman" w:cs="Times New Roman"/>
          <w:b/>
          <w:sz w:val="24"/>
          <w:szCs w:val="24"/>
          <w:lang w:val="sk-SK"/>
        </w:rPr>
      </w:pPr>
    </w:p>
    <w:p w:rsidR="00405552" w:rsidRPr="00405552" w:rsidP="00920C86">
      <w:pPr>
        <w:pStyle w:val="List"/>
        <w:spacing w:line="240" w:lineRule="auto"/>
        <w:ind w:left="0" w:hanging="357"/>
        <w:rPr>
          <w:rFonts w:ascii="Times New Roman" w:hAnsi="Times New Roman" w:cs="Times New Roman"/>
          <w:sz w:val="24"/>
          <w:szCs w:val="24"/>
          <w:lang w:val="sk-SK"/>
        </w:rPr>
      </w:pPr>
      <w:r w:rsidR="00920C86">
        <w:rPr>
          <w:rFonts w:ascii="Times New Roman" w:hAnsi="Times New Roman" w:cs="Times New Roman"/>
          <w:b/>
          <w:sz w:val="24"/>
          <w:szCs w:val="24"/>
          <w:lang w:val="sk-SK"/>
        </w:rPr>
        <w:t xml:space="preserve">      3. </w:t>
      </w:r>
      <w:r w:rsidRPr="00405552">
        <w:rPr>
          <w:rFonts w:ascii="Times New Roman" w:hAnsi="Times New Roman" w:cs="Times New Roman"/>
          <w:b/>
          <w:sz w:val="24"/>
          <w:szCs w:val="24"/>
          <w:lang w:val="sk-SK"/>
        </w:rPr>
        <w:t xml:space="preserve">Následná finančná kontrola projektu ERDF </w:t>
      </w:r>
      <w:r w:rsidR="00920C86">
        <w:rPr>
          <w:rFonts w:ascii="Times New Roman" w:hAnsi="Times New Roman" w:cs="Times New Roman"/>
          <w:b/>
          <w:sz w:val="24"/>
          <w:szCs w:val="24"/>
          <w:lang w:val="sk-SK"/>
        </w:rPr>
        <w:t xml:space="preserve">– Privádzač Košice, Križovatka </w:t>
      </w:r>
      <w:r w:rsidRPr="00405552">
        <w:rPr>
          <w:rFonts w:ascii="Times New Roman" w:hAnsi="Times New Roman" w:cs="Times New Roman"/>
          <w:b/>
          <w:sz w:val="24"/>
          <w:szCs w:val="24"/>
          <w:lang w:val="sk-SK"/>
        </w:rPr>
        <w:t xml:space="preserve">Prešovská – Sečovská, III. etapa, u KP Slovenská správa ciest, </w:t>
      </w:r>
      <w:r w:rsidRPr="00405552">
        <w:rPr>
          <w:rFonts w:ascii="Times New Roman" w:hAnsi="Times New Roman" w:cs="Times New Roman"/>
          <w:sz w:val="24"/>
          <w:szCs w:val="24"/>
          <w:lang w:val="sk-SK"/>
        </w:rPr>
        <w:t>(vykonaná SFK Bratislava)</w:t>
      </w:r>
    </w:p>
    <w:p w:rsidR="00920C86" w:rsidP="00405552">
      <w:pPr>
        <w:pStyle w:val="BodyTextIndent"/>
        <w:tabs>
          <w:tab w:val="left" w:pos="360"/>
        </w:tabs>
        <w:spacing w:line="240" w:lineRule="auto"/>
        <w:ind w:left="360" w:hanging="360"/>
        <w:rPr>
          <w:rFonts w:ascii="Times New Roman" w:hAnsi="Times New Roman" w:cs="Times New Roman"/>
          <w:sz w:val="24"/>
          <w:szCs w:val="24"/>
        </w:rPr>
      </w:pPr>
    </w:p>
    <w:p w:rsidR="00920C86" w:rsidP="00920C86">
      <w:pPr>
        <w:pStyle w:val="BodyTextIndent"/>
        <w:tabs>
          <w:tab w:val="left" w:pos="360"/>
        </w:tabs>
        <w:spacing w:line="240" w:lineRule="auto"/>
        <w:ind w:left="357" w:hanging="357"/>
        <w:rPr>
          <w:rFonts w:ascii="Times New Roman" w:hAnsi="Times New Roman" w:cs="Times New Roman"/>
          <w:sz w:val="24"/>
          <w:szCs w:val="24"/>
        </w:rPr>
      </w:pPr>
      <w:r>
        <w:rPr>
          <w:rFonts w:ascii="Times New Roman" w:hAnsi="Times New Roman" w:cs="Times New Roman"/>
          <w:sz w:val="24"/>
          <w:szCs w:val="24"/>
        </w:rPr>
        <w:tab/>
        <w:tab/>
        <w:tab/>
      </w:r>
      <w:r w:rsidRPr="00405552">
        <w:rPr>
          <w:rFonts w:ascii="Times New Roman" w:hAnsi="Times New Roman" w:cs="Times New Roman"/>
          <w:sz w:val="24"/>
          <w:szCs w:val="24"/>
        </w:rPr>
        <w:t>Kontrolou bolo zistené:</w:t>
      </w:r>
    </w:p>
    <w:p w:rsidR="00920C86" w:rsidRPr="00405552" w:rsidP="00920C86">
      <w:pPr>
        <w:pStyle w:val="BodyTextIndent"/>
        <w:tabs>
          <w:tab w:val="left" w:pos="360"/>
        </w:tabs>
        <w:spacing w:line="240" w:lineRule="auto"/>
        <w:ind w:firstLine="0"/>
        <w:rPr>
          <w:rFonts w:ascii="Times New Roman" w:hAnsi="Times New Roman" w:cs="Times New Roman"/>
          <w:sz w:val="24"/>
          <w:szCs w:val="24"/>
        </w:rPr>
      </w:pPr>
    </w:p>
    <w:p w:rsidR="00405552" w:rsidRPr="00405552" w:rsidP="00405552">
      <w:pPr>
        <w:pStyle w:val="List"/>
        <w:numPr>
          <w:ilvl w:val="0"/>
          <w:numId w:val="12"/>
        </w:numPr>
        <w:tabs>
          <w:tab w:val="left" w:pos="360"/>
        </w:tabs>
        <w:adjustRightInd/>
        <w:spacing w:line="240" w:lineRule="auto"/>
        <w:textAlignment w:val="auto"/>
        <w:rPr>
          <w:rFonts w:ascii="Times New Roman" w:hAnsi="Times New Roman" w:cs="Times New Roman"/>
          <w:sz w:val="24"/>
          <w:szCs w:val="24"/>
          <w:lang w:val="sk-SK"/>
        </w:rPr>
      </w:pPr>
      <w:r w:rsidRPr="00405552">
        <w:rPr>
          <w:rFonts w:ascii="Times New Roman" w:hAnsi="Times New Roman" w:cs="Times New Roman"/>
          <w:sz w:val="24"/>
          <w:szCs w:val="24"/>
          <w:lang w:val="sk-SK"/>
        </w:rPr>
        <w:t>KP neuhradil finančné prostriedky zhotoviteľovi, súvisiace s realizáciou projektu do 5 pracovných dní od pripísania finančných prostriedkov na s</w:t>
      </w:r>
      <w:r w:rsidR="00BD2FE3">
        <w:rPr>
          <w:rFonts w:ascii="Times New Roman" w:hAnsi="Times New Roman" w:cs="Times New Roman"/>
          <w:sz w:val="24"/>
          <w:szCs w:val="24"/>
          <w:lang w:val="sk-SK"/>
        </w:rPr>
        <w:t>voj účet</w:t>
      </w:r>
      <w:r w:rsidRPr="00920C86" w:rsidR="00BD2FE3">
        <w:rPr>
          <w:rFonts w:ascii="Times New Roman" w:hAnsi="Times New Roman" w:cs="Times New Roman"/>
          <w:sz w:val="24"/>
          <w:szCs w:val="24"/>
        </w:rPr>
        <w:t>;</w:t>
      </w:r>
    </w:p>
    <w:p w:rsidR="00405552" w:rsidRPr="00405552" w:rsidP="001654CB">
      <w:pPr>
        <w:pStyle w:val="List"/>
        <w:numPr>
          <w:ilvl w:val="0"/>
          <w:numId w:val="12"/>
        </w:numPr>
        <w:tabs>
          <w:tab w:val="left" w:pos="360"/>
        </w:tabs>
        <w:adjustRightInd/>
        <w:spacing w:line="240" w:lineRule="auto"/>
        <w:ind w:left="357" w:hanging="357"/>
        <w:textAlignment w:val="auto"/>
        <w:rPr>
          <w:rFonts w:ascii="Times New Roman" w:hAnsi="Times New Roman" w:cs="Times New Roman"/>
          <w:sz w:val="24"/>
          <w:szCs w:val="24"/>
          <w:lang w:val="sk-SK"/>
        </w:rPr>
      </w:pPr>
      <w:r w:rsidRPr="00405552">
        <w:rPr>
          <w:rFonts w:ascii="Times New Roman" w:hAnsi="Times New Roman" w:cs="Times New Roman"/>
          <w:sz w:val="24"/>
          <w:szCs w:val="24"/>
          <w:lang w:val="sk-SK"/>
        </w:rPr>
        <w:t>KP nevypracoval a neaktualizoval int</w:t>
      </w:r>
      <w:r w:rsidR="00BD2FE3">
        <w:rPr>
          <w:rFonts w:ascii="Times New Roman" w:hAnsi="Times New Roman" w:cs="Times New Roman"/>
          <w:sz w:val="24"/>
          <w:szCs w:val="24"/>
          <w:lang w:val="sk-SK"/>
        </w:rPr>
        <w:t>erný manuál vnútorných postupov</w:t>
      </w:r>
      <w:r w:rsidRPr="00920C86" w:rsidR="00BD2FE3">
        <w:rPr>
          <w:rFonts w:ascii="Times New Roman" w:hAnsi="Times New Roman" w:cs="Times New Roman"/>
          <w:sz w:val="24"/>
          <w:szCs w:val="24"/>
        </w:rPr>
        <w:t>;</w:t>
      </w:r>
    </w:p>
    <w:p w:rsidR="00405552" w:rsidRPr="00405552" w:rsidP="001654CB">
      <w:pPr>
        <w:pStyle w:val="List"/>
        <w:numPr>
          <w:ilvl w:val="0"/>
          <w:numId w:val="12"/>
        </w:numPr>
        <w:tabs>
          <w:tab w:val="left" w:pos="360"/>
        </w:tabs>
        <w:adjustRightInd/>
        <w:spacing w:line="240" w:lineRule="auto"/>
        <w:ind w:left="357" w:hanging="357"/>
        <w:textAlignment w:val="auto"/>
        <w:rPr>
          <w:rFonts w:ascii="Times New Roman" w:hAnsi="Times New Roman" w:cs="Times New Roman"/>
          <w:sz w:val="24"/>
          <w:szCs w:val="24"/>
          <w:lang w:val="sk-SK"/>
        </w:rPr>
      </w:pPr>
      <w:r w:rsidRPr="00405552">
        <w:rPr>
          <w:rFonts w:ascii="Times New Roman" w:hAnsi="Times New Roman" w:cs="Times New Roman"/>
          <w:sz w:val="24"/>
          <w:szCs w:val="24"/>
          <w:lang w:val="sk-SK"/>
        </w:rPr>
        <w:t>KP nezabezpečil v zmluve so zhotoviteľom umožnenie vstupu oprávneným osobám do objektov stavby a n</w:t>
      </w:r>
      <w:r w:rsidR="00BD2FE3">
        <w:rPr>
          <w:rFonts w:ascii="Times New Roman" w:hAnsi="Times New Roman" w:cs="Times New Roman"/>
          <w:sz w:val="24"/>
          <w:szCs w:val="24"/>
          <w:lang w:val="sk-SK"/>
        </w:rPr>
        <w:t>a pozemky súvisiace s projektom</w:t>
      </w:r>
      <w:r w:rsidRPr="00920C86" w:rsidR="00BD2FE3">
        <w:rPr>
          <w:rFonts w:ascii="Times New Roman" w:hAnsi="Times New Roman" w:cs="Times New Roman"/>
          <w:sz w:val="24"/>
          <w:szCs w:val="24"/>
        </w:rPr>
        <w:t>;</w:t>
      </w:r>
    </w:p>
    <w:p w:rsidR="00405552" w:rsidRPr="00405552" w:rsidP="001654CB">
      <w:pPr>
        <w:pStyle w:val="List"/>
        <w:numPr>
          <w:ilvl w:val="0"/>
          <w:numId w:val="12"/>
        </w:numPr>
        <w:tabs>
          <w:tab w:val="left" w:pos="360"/>
        </w:tabs>
        <w:adjustRightInd/>
        <w:spacing w:line="240" w:lineRule="auto"/>
        <w:ind w:left="357" w:hanging="357"/>
        <w:textAlignment w:val="auto"/>
        <w:rPr>
          <w:rFonts w:ascii="Times New Roman" w:hAnsi="Times New Roman" w:cs="Times New Roman"/>
          <w:sz w:val="24"/>
          <w:szCs w:val="24"/>
          <w:lang w:val="sk-SK"/>
        </w:rPr>
      </w:pPr>
      <w:r w:rsidRPr="00405552">
        <w:rPr>
          <w:rFonts w:ascii="Times New Roman" w:hAnsi="Times New Roman" w:cs="Times New Roman"/>
          <w:sz w:val="24"/>
          <w:szCs w:val="24"/>
          <w:lang w:val="sk-SK"/>
        </w:rPr>
        <w:t xml:space="preserve">KP nepredložil na SORO „Žiadosť o zúčtovanie predfinancovania“ v určenej lehote 15 dní od pripísania finančných prostriedkov na svoj </w:t>
      </w:r>
      <w:r w:rsidR="00BD2FE3">
        <w:rPr>
          <w:rFonts w:ascii="Times New Roman" w:hAnsi="Times New Roman" w:cs="Times New Roman"/>
          <w:sz w:val="24"/>
          <w:szCs w:val="24"/>
          <w:lang w:val="sk-SK"/>
        </w:rPr>
        <w:t>účet</w:t>
      </w:r>
      <w:r w:rsidRPr="00920C86" w:rsidR="00BD2FE3">
        <w:rPr>
          <w:rFonts w:ascii="Times New Roman" w:hAnsi="Times New Roman" w:cs="Times New Roman"/>
          <w:sz w:val="24"/>
          <w:szCs w:val="24"/>
        </w:rPr>
        <w:t>;</w:t>
      </w:r>
    </w:p>
    <w:p w:rsidR="00405552" w:rsidRPr="00BD2FE3" w:rsidP="001654CB">
      <w:pPr>
        <w:pStyle w:val="List"/>
        <w:numPr>
          <w:ilvl w:val="0"/>
          <w:numId w:val="12"/>
        </w:numPr>
        <w:tabs>
          <w:tab w:val="left" w:pos="360"/>
        </w:tabs>
        <w:adjustRightInd/>
        <w:spacing w:line="240" w:lineRule="auto"/>
        <w:ind w:left="357" w:hanging="357"/>
        <w:textAlignment w:val="auto"/>
        <w:rPr>
          <w:rFonts w:ascii="Times New Roman" w:hAnsi="Times New Roman" w:cs="Times New Roman"/>
          <w:b/>
          <w:sz w:val="24"/>
          <w:szCs w:val="24"/>
          <w:lang w:val="sk-SK"/>
        </w:rPr>
      </w:pPr>
      <w:r w:rsidRPr="00405552">
        <w:rPr>
          <w:rFonts w:ascii="Times New Roman" w:hAnsi="Times New Roman" w:cs="Times New Roman"/>
          <w:sz w:val="24"/>
          <w:szCs w:val="24"/>
          <w:lang w:val="sk-SK"/>
        </w:rPr>
        <w:t>KP nedodržal určenú lehotu na predkladanie mesačných správ podľa rámcovej zmluvy.</w:t>
      </w:r>
    </w:p>
    <w:p w:rsidR="001221BA" w:rsidRPr="00405552" w:rsidP="00BD2FE3">
      <w:pPr>
        <w:pStyle w:val="List"/>
        <w:adjustRightInd/>
        <w:spacing w:line="240" w:lineRule="auto"/>
        <w:ind w:left="0" w:firstLine="0"/>
        <w:textAlignment w:val="auto"/>
        <w:rPr>
          <w:rFonts w:ascii="Times New Roman" w:hAnsi="Times New Roman" w:cs="Times New Roman"/>
          <w:b/>
          <w:sz w:val="24"/>
          <w:szCs w:val="24"/>
          <w:lang w:val="sk-SK"/>
        </w:rPr>
      </w:pPr>
    </w:p>
    <w:p w:rsidR="00405552" w:rsidRPr="00405552" w:rsidP="00405552">
      <w:pPr>
        <w:spacing w:line="240" w:lineRule="auto"/>
        <w:rPr>
          <w:rFonts w:ascii="Times New Roman" w:hAnsi="Times New Roman" w:cs="Times New Roman"/>
          <w:b/>
          <w:sz w:val="24"/>
          <w:szCs w:val="24"/>
        </w:rPr>
      </w:pPr>
      <w:r w:rsidRPr="00405552">
        <w:rPr>
          <w:rFonts w:ascii="Times New Roman" w:hAnsi="Times New Roman" w:cs="Times New Roman"/>
          <w:b/>
          <w:sz w:val="24"/>
          <w:szCs w:val="24"/>
        </w:rPr>
        <w:t xml:space="preserve">4. Následná finančná kontrola projektu ISPA/KF </w:t>
      </w:r>
      <w:r w:rsidR="00BD2FE3">
        <w:rPr>
          <w:rFonts w:ascii="Times New Roman" w:hAnsi="Times New Roman" w:cs="Times New Roman"/>
          <w:b/>
          <w:sz w:val="24"/>
          <w:szCs w:val="24"/>
        </w:rPr>
        <w:t xml:space="preserve">– </w:t>
      </w:r>
      <w:r w:rsidRPr="00405552">
        <w:rPr>
          <w:rFonts w:ascii="Times New Roman" w:hAnsi="Times New Roman" w:cs="Times New Roman"/>
          <w:b/>
          <w:sz w:val="24"/>
          <w:szCs w:val="24"/>
        </w:rPr>
        <w:t>Výstavba dia</w:t>
      </w:r>
      <w:r w:rsidRPr="00405552">
        <w:rPr>
          <w:rFonts w:ascii="Times New Roman" w:hAnsi="Times New Roman" w:cs="Times New Roman"/>
          <w:b/>
          <w:sz w:val="24"/>
          <w:szCs w:val="24"/>
        </w:rPr>
        <w:t>ľ</w:t>
      </w:r>
      <w:r w:rsidRPr="00405552">
        <w:rPr>
          <w:rFonts w:ascii="Times New Roman" w:hAnsi="Times New Roman" w:cs="Times New Roman"/>
          <w:b/>
          <w:sz w:val="24"/>
          <w:szCs w:val="24"/>
        </w:rPr>
        <w:t>nice D1, úsek Mengusovce – Jánovce vykonaná u  NDS, a. s. (KP/PP)</w:t>
      </w:r>
    </w:p>
    <w:p w:rsidR="00BD2FE3" w:rsidP="00405552">
      <w:pPr>
        <w:pStyle w:val="BodyTextIndent"/>
        <w:tabs>
          <w:tab w:val="left" w:pos="360"/>
        </w:tabs>
        <w:spacing w:line="240" w:lineRule="auto"/>
        <w:ind w:firstLine="0"/>
        <w:rPr>
          <w:rFonts w:ascii="Times New Roman" w:hAnsi="Times New Roman" w:cs="Times New Roman"/>
          <w:sz w:val="24"/>
          <w:szCs w:val="24"/>
        </w:rPr>
      </w:pPr>
    </w:p>
    <w:p w:rsidR="00405552" w:rsidRPr="00405552" w:rsidP="00405552">
      <w:pPr>
        <w:pStyle w:val="BodyTextIndent"/>
        <w:tabs>
          <w:tab w:val="left" w:pos="360"/>
        </w:tabs>
        <w:spacing w:line="240" w:lineRule="auto"/>
        <w:ind w:firstLine="0"/>
        <w:rPr>
          <w:rFonts w:ascii="Times New Roman" w:hAnsi="Times New Roman" w:cs="Times New Roman"/>
          <w:sz w:val="24"/>
          <w:szCs w:val="24"/>
        </w:rPr>
      </w:pPr>
      <w:r w:rsidR="00BD2FE3">
        <w:rPr>
          <w:rFonts w:ascii="Times New Roman" w:hAnsi="Times New Roman" w:cs="Times New Roman"/>
          <w:sz w:val="24"/>
          <w:szCs w:val="24"/>
        </w:rPr>
        <w:tab/>
        <w:tab/>
      </w:r>
      <w:r w:rsidRPr="00405552">
        <w:rPr>
          <w:rFonts w:ascii="Times New Roman" w:hAnsi="Times New Roman" w:cs="Times New Roman"/>
          <w:sz w:val="24"/>
          <w:szCs w:val="24"/>
        </w:rPr>
        <w:t>Následnou finančnou kontrolou bolo zistené porušenie finančnej disciplíny vo výške 450 278 243,- Sk nedodržaním podmienky "Zmluvy o implementácii ...", čl. 13 ods. 5 o postupe pri verejnom obstarávaní.</w:t>
      </w:r>
    </w:p>
    <w:p w:rsidR="004573C1" w:rsidRPr="00405552" w:rsidP="00405552">
      <w:pPr>
        <w:pStyle w:val="BodyTextIndent"/>
        <w:tabs>
          <w:tab w:val="left" w:pos="360"/>
        </w:tabs>
        <w:spacing w:line="240" w:lineRule="auto"/>
        <w:ind w:firstLine="0"/>
        <w:rPr>
          <w:rFonts w:ascii="Times New Roman" w:hAnsi="Times New Roman" w:cs="Times New Roman"/>
          <w:sz w:val="24"/>
          <w:szCs w:val="24"/>
        </w:rPr>
      </w:pPr>
    </w:p>
    <w:p w:rsidR="001221BA" w:rsidP="0060384C">
      <w:pPr>
        <w:spacing w:line="240" w:lineRule="auto"/>
        <w:rPr>
          <w:rFonts w:ascii="Times New Roman" w:hAnsi="Times New Roman" w:cs="Times New Roman"/>
          <w:b/>
          <w:sz w:val="24"/>
          <w:szCs w:val="24"/>
        </w:rPr>
      </w:pPr>
    </w:p>
    <w:p w:rsidR="00405552" w:rsidRPr="0060384C" w:rsidP="0060384C">
      <w:pPr>
        <w:spacing w:line="240" w:lineRule="auto"/>
        <w:rPr>
          <w:rFonts w:ascii="Times New Roman" w:hAnsi="Times New Roman" w:cs="Times New Roman"/>
          <w:b/>
          <w:caps/>
          <w:sz w:val="24"/>
          <w:szCs w:val="24"/>
        </w:rPr>
      </w:pPr>
      <w:r w:rsidRPr="0060384C" w:rsidR="0060384C">
        <w:rPr>
          <w:rFonts w:ascii="Times New Roman" w:hAnsi="Times New Roman" w:cs="Times New Roman"/>
          <w:b/>
          <w:sz w:val="24"/>
          <w:szCs w:val="24"/>
        </w:rPr>
        <w:t xml:space="preserve">C. </w:t>
      </w:r>
      <w:r w:rsidRPr="0060384C">
        <w:rPr>
          <w:rFonts w:ascii="Times New Roman" w:hAnsi="Times New Roman" w:cs="Times New Roman"/>
          <w:b/>
          <w:sz w:val="24"/>
          <w:szCs w:val="24"/>
        </w:rPr>
        <w:t>VNÚTORNÉ</w:t>
      </w:r>
      <w:r w:rsidRPr="0060384C">
        <w:rPr>
          <w:rFonts w:ascii="Times New Roman" w:hAnsi="Times New Roman" w:cs="Times New Roman"/>
          <w:b/>
          <w:caps/>
          <w:sz w:val="24"/>
          <w:szCs w:val="24"/>
        </w:rPr>
        <w:t xml:space="preserve"> kontroly VYKO</w:t>
      </w:r>
      <w:r w:rsidR="0060384C">
        <w:rPr>
          <w:rFonts w:ascii="Times New Roman" w:hAnsi="Times New Roman" w:cs="Times New Roman"/>
          <w:b/>
          <w:caps/>
          <w:sz w:val="24"/>
          <w:szCs w:val="24"/>
        </w:rPr>
        <w:t xml:space="preserve">NANÉ NA mdpt sr A organizáciách </w:t>
      </w:r>
      <w:r w:rsidRPr="0060384C">
        <w:rPr>
          <w:rFonts w:ascii="Times New Roman" w:hAnsi="Times New Roman" w:cs="Times New Roman"/>
          <w:b/>
          <w:caps/>
          <w:sz w:val="24"/>
          <w:szCs w:val="24"/>
        </w:rPr>
        <w:t>V Pôsobnosti MDPT SR</w:t>
      </w:r>
    </w:p>
    <w:p w:rsidR="0060384C" w:rsidRPr="00405552" w:rsidP="00405552">
      <w:pPr>
        <w:spacing w:line="240" w:lineRule="auto"/>
        <w:ind w:left="357" w:hanging="357"/>
        <w:rPr>
          <w:rFonts w:ascii="Times New Roman" w:hAnsi="Times New Roman" w:cs="Times New Roman"/>
          <w:b/>
          <w:caps/>
          <w:sz w:val="24"/>
          <w:szCs w:val="24"/>
          <w:u w:val="single"/>
        </w:rPr>
      </w:pPr>
    </w:p>
    <w:p w:rsidR="00405552" w:rsidP="0060384C">
      <w:pPr>
        <w:spacing w:line="240" w:lineRule="auto"/>
        <w:rPr>
          <w:rFonts w:ascii="Times New Roman" w:hAnsi="Times New Roman" w:cs="Times New Roman"/>
          <w:b/>
          <w:sz w:val="24"/>
          <w:szCs w:val="24"/>
          <w:u w:val="single"/>
        </w:rPr>
      </w:pPr>
      <w:r w:rsidR="0060384C">
        <w:rPr>
          <w:rFonts w:ascii="Times New Roman" w:hAnsi="Times New Roman" w:cs="Times New Roman"/>
          <w:b/>
          <w:sz w:val="24"/>
          <w:szCs w:val="24"/>
          <w:u w:val="single"/>
        </w:rPr>
        <w:t xml:space="preserve">C.1. </w:t>
      </w:r>
      <w:r w:rsidRPr="00405552">
        <w:rPr>
          <w:rFonts w:ascii="Times New Roman" w:hAnsi="Times New Roman" w:cs="Times New Roman"/>
          <w:b/>
          <w:sz w:val="24"/>
          <w:szCs w:val="24"/>
          <w:u w:val="single"/>
        </w:rPr>
        <w:t>Následné finančné kontroly prostriedkov štátn</w:t>
      </w:r>
      <w:r w:rsidR="0060384C">
        <w:rPr>
          <w:rFonts w:ascii="Times New Roman" w:hAnsi="Times New Roman" w:cs="Times New Roman"/>
          <w:b/>
          <w:sz w:val="24"/>
          <w:szCs w:val="24"/>
          <w:u w:val="single"/>
        </w:rPr>
        <w:t xml:space="preserve">eho rozpočtu vykonané na MDPT SR </w:t>
      </w:r>
      <w:r w:rsidRPr="00405552">
        <w:rPr>
          <w:rFonts w:ascii="Times New Roman" w:hAnsi="Times New Roman" w:cs="Times New Roman"/>
          <w:b/>
          <w:sz w:val="24"/>
          <w:szCs w:val="24"/>
          <w:u w:val="single"/>
        </w:rPr>
        <w:t>a organizáciách v pôsobnosti ministerstva</w:t>
      </w:r>
    </w:p>
    <w:p w:rsidR="0060384C" w:rsidRPr="00405552" w:rsidP="00405552">
      <w:pPr>
        <w:spacing w:line="240" w:lineRule="auto"/>
        <w:ind w:left="357" w:hanging="357"/>
        <w:rPr>
          <w:rFonts w:ascii="Times New Roman" w:hAnsi="Times New Roman" w:cs="Times New Roman"/>
          <w:b/>
          <w:sz w:val="24"/>
          <w:szCs w:val="24"/>
          <w:u w:val="single"/>
        </w:rPr>
      </w:pPr>
    </w:p>
    <w:p w:rsidR="00405552" w:rsidRPr="004E7FCB" w:rsidP="0060384C">
      <w:pPr>
        <w:pStyle w:val="BodyTextIndent2"/>
        <w:spacing w:after="0" w:line="240" w:lineRule="auto"/>
        <w:ind w:left="0" w:firstLine="709"/>
        <w:rPr>
          <w:rFonts w:ascii="Times New Roman" w:hAnsi="Times New Roman" w:cs="Times New Roman"/>
          <w:bCs/>
          <w:sz w:val="24"/>
          <w:szCs w:val="24"/>
        </w:rPr>
      </w:pPr>
      <w:r w:rsidRPr="004E7FCB" w:rsidR="004E7FCB">
        <w:rPr>
          <w:rFonts w:ascii="Times New Roman" w:hAnsi="Times New Roman" w:cs="Times New Roman"/>
          <w:bCs/>
          <w:sz w:val="24"/>
          <w:szCs w:val="24"/>
        </w:rPr>
        <w:t>Odbor kontroly, štátneho d</w:t>
      </w:r>
      <w:r w:rsidR="004E7FCB">
        <w:rPr>
          <w:rFonts w:ascii="Times New Roman" w:hAnsi="Times New Roman" w:cs="Times New Roman"/>
          <w:bCs/>
          <w:sz w:val="24"/>
          <w:szCs w:val="24"/>
        </w:rPr>
        <w:t xml:space="preserve">ozoru </w:t>
      </w:r>
      <w:r w:rsidRPr="004E7FCB" w:rsidR="004E7FCB">
        <w:rPr>
          <w:rFonts w:ascii="Times New Roman" w:hAnsi="Times New Roman" w:cs="Times New Roman"/>
          <w:bCs/>
          <w:sz w:val="24"/>
          <w:szCs w:val="24"/>
        </w:rPr>
        <w:t>a</w:t>
      </w:r>
      <w:r w:rsidR="004E7FCB">
        <w:rPr>
          <w:rFonts w:ascii="Times New Roman" w:hAnsi="Times New Roman" w:cs="Times New Roman"/>
          <w:bCs/>
          <w:sz w:val="24"/>
          <w:szCs w:val="24"/>
        </w:rPr>
        <w:t> </w:t>
      </w:r>
      <w:r w:rsidRPr="004E7FCB" w:rsidR="004E7FCB">
        <w:rPr>
          <w:rFonts w:ascii="Times New Roman" w:hAnsi="Times New Roman" w:cs="Times New Roman"/>
          <w:bCs/>
          <w:sz w:val="24"/>
          <w:szCs w:val="24"/>
        </w:rPr>
        <w:t>do</w:t>
      </w:r>
      <w:r w:rsidR="004E7FCB">
        <w:rPr>
          <w:rFonts w:ascii="Times New Roman" w:hAnsi="Times New Roman" w:cs="Times New Roman"/>
          <w:bCs/>
          <w:sz w:val="24"/>
          <w:szCs w:val="24"/>
        </w:rPr>
        <w:t xml:space="preserve">hľadu </w:t>
      </w:r>
      <w:r w:rsidRPr="004E7FCB" w:rsidR="004E7FCB">
        <w:rPr>
          <w:rFonts w:ascii="Times New Roman" w:hAnsi="Times New Roman" w:cs="Times New Roman"/>
          <w:bCs/>
          <w:sz w:val="24"/>
          <w:szCs w:val="24"/>
        </w:rPr>
        <w:t xml:space="preserve">MDPT SR </w:t>
      </w:r>
      <w:r w:rsidRPr="004E7FCB">
        <w:rPr>
          <w:rFonts w:ascii="Times New Roman" w:hAnsi="Times New Roman" w:cs="Times New Roman"/>
          <w:bCs/>
          <w:sz w:val="24"/>
          <w:szCs w:val="24"/>
        </w:rPr>
        <w:t>vykonal v roku 2007 celkom 10 následných finančných kontrol zameraných na ho</w:t>
      </w:r>
      <w:r w:rsidR="004E7FCB">
        <w:rPr>
          <w:rFonts w:ascii="Times New Roman" w:hAnsi="Times New Roman" w:cs="Times New Roman"/>
          <w:bCs/>
          <w:sz w:val="24"/>
          <w:szCs w:val="24"/>
        </w:rPr>
        <w:t xml:space="preserve">spodárenie s prostriedkami štátneho rozpočtu </w:t>
      </w:r>
      <w:r w:rsidRPr="004E7FCB">
        <w:rPr>
          <w:rFonts w:ascii="Times New Roman" w:hAnsi="Times New Roman" w:cs="Times New Roman"/>
          <w:bCs/>
          <w:sz w:val="24"/>
          <w:szCs w:val="24"/>
        </w:rPr>
        <w:t>a nakladanie s majetkom štátu, z toho 1 na MDPT SR a 9 v organizáciách v p</w:t>
      </w:r>
      <w:r w:rsidR="006177F4">
        <w:rPr>
          <w:rFonts w:ascii="Times New Roman" w:hAnsi="Times New Roman" w:cs="Times New Roman"/>
          <w:bCs/>
          <w:sz w:val="24"/>
          <w:szCs w:val="24"/>
        </w:rPr>
        <w:t xml:space="preserve">ôsobnosti MDPT SR, a to na: Krajskom úrade pre cestnú dopravu a pozemné komunikácie Nitra a Trenčín, Leteckom </w:t>
      </w:r>
      <w:r w:rsidRPr="004E7FCB">
        <w:rPr>
          <w:rFonts w:ascii="Times New Roman" w:hAnsi="Times New Roman" w:cs="Times New Roman"/>
          <w:bCs/>
          <w:sz w:val="24"/>
          <w:szCs w:val="24"/>
        </w:rPr>
        <w:t xml:space="preserve">úrade SR, Slovenskej správe ciest - Investičná výstavba a správa ciest Banská Bystrica a Košice, Národnej diaľničnej spoločnosti, a.s., Úrade verejného zdravotníctva MDPT SR,  Slovenskej federácii ultraľahkého lietania, Trenčín a v Slovenskom národnom aeroklube Žilina. V roku 2007 </w:t>
      </w:r>
      <w:r w:rsidR="006177F4">
        <w:rPr>
          <w:rFonts w:ascii="Times New Roman" w:hAnsi="Times New Roman" w:cs="Times New Roman"/>
          <w:bCs/>
          <w:sz w:val="24"/>
          <w:szCs w:val="24"/>
        </w:rPr>
        <w:t>vykonala 2 NFK aj sekcia rozpočtu a vnútornej správy MDPT SR</w:t>
      </w:r>
      <w:r w:rsidRPr="004E7FCB">
        <w:rPr>
          <w:rFonts w:ascii="Times New Roman" w:hAnsi="Times New Roman" w:cs="Times New Roman"/>
          <w:bCs/>
          <w:sz w:val="24"/>
          <w:szCs w:val="24"/>
        </w:rPr>
        <w:t>, a to v KÚ CD</w:t>
      </w:r>
      <w:r w:rsidR="006177F4">
        <w:rPr>
          <w:rFonts w:ascii="Times New Roman" w:hAnsi="Times New Roman" w:cs="Times New Roman"/>
          <w:bCs/>
          <w:sz w:val="24"/>
          <w:szCs w:val="24"/>
        </w:rPr>
        <w:t xml:space="preserve"> a </w:t>
      </w:r>
      <w:r w:rsidRPr="004E7FCB">
        <w:rPr>
          <w:rFonts w:ascii="Times New Roman" w:hAnsi="Times New Roman" w:cs="Times New Roman"/>
          <w:bCs/>
          <w:sz w:val="24"/>
          <w:szCs w:val="24"/>
        </w:rPr>
        <w:t xml:space="preserve">PK Trenčín a v Úrade pre reguláciu železničnej dopravy. </w:t>
      </w:r>
    </w:p>
    <w:p w:rsidR="0060384C" w:rsidP="00405552">
      <w:pPr>
        <w:pStyle w:val="BodyTextIndent2"/>
        <w:spacing w:after="0" w:line="240" w:lineRule="auto"/>
        <w:rPr>
          <w:rFonts w:ascii="Times New Roman" w:hAnsi="Times New Roman" w:cs="Times New Roman"/>
          <w:bCs/>
          <w:sz w:val="24"/>
          <w:szCs w:val="24"/>
        </w:rPr>
      </w:pPr>
    </w:p>
    <w:p w:rsidR="00EE757E" w:rsidRPr="004E7FCB" w:rsidP="00405552">
      <w:pPr>
        <w:pStyle w:val="BodyTextIndent2"/>
        <w:spacing w:after="0" w:line="240" w:lineRule="auto"/>
        <w:rPr>
          <w:rFonts w:ascii="Times New Roman" w:hAnsi="Times New Roman" w:cs="Times New Roman"/>
          <w:bCs/>
          <w:sz w:val="24"/>
          <w:szCs w:val="24"/>
        </w:rPr>
      </w:pPr>
    </w:p>
    <w:p w:rsidR="00405552" w:rsidP="001654CB">
      <w:pPr>
        <w:numPr>
          <w:ilvl w:val="0"/>
          <w:numId w:val="33"/>
        </w:numPr>
        <w:tabs>
          <w:tab w:val="clear" w:pos="720"/>
        </w:tabs>
        <w:spacing w:line="240" w:lineRule="auto"/>
        <w:ind w:left="360"/>
        <w:outlineLvl w:val="1"/>
        <w:rPr>
          <w:rFonts w:ascii="Times New Roman" w:hAnsi="Times New Roman" w:cs="Times New Roman"/>
          <w:b/>
          <w:sz w:val="24"/>
          <w:szCs w:val="24"/>
        </w:rPr>
      </w:pPr>
      <w:r w:rsidRPr="00405552">
        <w:rPr>
          <w:rFonts w:ascii="Times New Roman" w:hAnsi="Times New Roman" w:cs="Times New Roman"/>
          <w:b/>
          <w:sz w:val="24"/>
          <w:szCs w:val="24"/>
        </w:rPr>
        <w:t>MDPT SR – sekcia rozpočtu a vnútornej správy</w:t>
      </w:r>
    </w:p>
    <w:p w:rsidR="00A77DE6" w:rsidRPr="00405552" w:rsidP="00A77DE6">
      <w:pPr>
        <w:spacing w:line="240" w:lineRule="auto"/>
        <w:outlineLvl w:val="1"/>
        <w:rPr>
          <w:rFonts w:ascii="Times New Roman" w:hAnsi="Times New Roman" w:cs="Times New Roman"/>
          <w:b/>
          <w:sz w:val="24"/>
          <w:szCs w:val="24"/>
        </w:rPr>
      </w:pPr>
    </w:p>
    <w:p w:rsidR="00405552" w:rsidRPr="00405552" w:rsidP="00A77DE6">
      <w:pPr>
        <w:spacing w:line="240" w:lineRule="auto"/>
        <w:ind w:firstLine="709"/>
        <w:outlineLvl w:val="1"/>
        <w:rPr>
          <w:rFonts w:ascii="Times New Roman" w:hAnsi="Times New Roman" w:cs="Times New Roman"/>
          <w:b/>
          <w:sz w:val="24"/>
          <w:szCs w:val="24"/>
        </w:rPr>
      </w:pPr>
      <w:r w:rsidRPr="00405552">
        <w:rPr>
          <w:rFonts w:ascii="Times New Roman" w:hAnsi="Times New Roman" w:cs="Times New Roman"/>
          <w:iCs/>
          <w:sz w:val="24"/>
          <w:szCs w:val="24"/>
        </w:rPr>
        <w:t xml:space="preserve">Následná finančná kontrola bola zameraná na vynakladanie prostriedkov štátneho rozpočtu z hľadiska dodržiavania zákona č. 523/2003 Z.z., resp. zákona č. 25/2006 Z.z. o verejnom obstarávaní a o zmene a doplnení niektorých zákonov v znení neskorších predpisov (ďalej len „zákon č. 523/2003 Z.z., resp. zákon č. 25/2006 Z.z. o verejnom obstarávaní“). </w:t>
      </w:r>
    </w:p>
    <w:p w:rsidR="00A77DE6" w:rsidP="00405552">
      <w:pPr>
        <w:spacing w:line="240" w:lineRule="auto"/>
        <w:outlineLvl w:val="1"/>
        <w:rPr>
          <w:rFonts w:ascii="Times New Roman" w:hAnsi="Times New Roman" w:cs="Times New Roman"/>
          <w:b/>
          <w:iCs/>
          <w:sz w:val="24"/>
          <w:szCs w:val="24"/>
          <w:u w:val="single"/>
        </w:rPr>
      </w:pPr>
    </w:p>
    <w:p w:rsidR="00A77DE6" w:rsidRPr="00A77DE6" w:rsidP="00A77DE6">
      <w:pPr>
        <w:spacing w:line="240" w:lineRule="auto"/>
        <w:ind w:firstLine="709"/>
        <w:outlineLvl w:val="1"/>
        <w:rPr>
          <w:rFonts w:ascii="Times New Roman" w:hAnsi="Times New Roman" w:cs="Times New Roman"/>
          <w:iCs/>
          <w:sz w:val="24"/>
          <w:szCs w:val="24"/>
        </w:rPr>
      </w:pPr>
      <w:r w:rsidRPr="00A77DE6" w:rsidR="00405552">
        <w:rPr>
          <w:rFonts w:ascii="Times New Roman" w:hAnsi="Times New Roman" w:cs="Times New Roman"/>
          <w:iCs/>
          <w:sz w:val="24"/>
          <w:szCs w:val="24"/>
        </w:rPr>
        <w:t>Celková ko</w:t>
      </w:r>
      <w:r>
        <w:rPr>
          <w:rFonts w:ascii="Times New Roman" w:hAnsi="Times New Roman" w:cs="Times New Roman"/>
          <w:iCs/>
          <w:sz w:val="24"/>
          <w:szCs w:val="24"/>
        </w:rPr>
        <w:t xml:space="preserve">ntrolovaná suma prostriedkov ŠR: </w:t>
      </w:r>
      <w:r w:rsidRPr="00A77DE6" w:rsidR="00405552">
        <w:rPr>
          <w:rFonts w:ascii="Times New Roman" w:hAnsi="Times New Roman" w:cs="Times New Roman"/>
          <w:iCs/>
          <w:sz w:val="24"/>
          <w:szCs w:val="24"/>
        </w:rPr>
        <w:t>99 659 639,- Sk</w:t>
      </w:r>
    </w:p>
    <w:p w:rsidR="00405552" w:rsidRPr="00A77DE6" w:rsidP="00A77DE6">
      <w:pPr>
        <w:spacing w:line="240" w:lineRule="auto"/>
        <w:ind w:firstLine="709"/>
        <w:outlineLvl w:val="1"/>
        <w:rPr>
          <w:rFonts w:ascii="Times New Roman" w:hAnsi="Times New Roman" w:cs="Times New Roman"/>
          <w:iCs/>
          <w:sz w:val="24"/>
          <w:szCs w:val="24"/>
        </w:rPr>
      </w:pPr>
      <w:r w:rsidRPr="00A77DE6">
        <w:rPr>
          <w:rFonts w:ascii="Times New Roman" w:hAnsi="Times New Roman" w:cs="Times New Roman"/>
          <w:iCs/>
          <w:sz w:val="24"/>
          <w:szCs w:val="24"/>
        </w:rPr>
        <w:t>Kontrolné zistenia a opatrenia:</w:t>
      </w:r>
    </w:p>
    <w:p w:rsidR="00A77DE6" w:rsidRPr="00405552" w:rsidP="00405552">
      <w:pPr>
        <w:spacing w:line="240" w:lineRule="auto"/>
        <w:outlineLvl w:val="1"/>
        <w:rPr>
          <w:rFonts w:ascii="Times New Roman" w:hAnsi="Times New Roman" w:cs="Times New Roman"/>
          <w:b/>
          <w:iCs/>
          <w:sz w:val="24"/>
          <w:szCs w:val="24"/>
          <w:u w:val="single"/>
        </w:rPr>
      </w:pPr>
    </w:p>
    <w:p w:rsidR="00405552" w:rsidRPr="00405552" w:rsidP="001654CB">
      <w:pPr>
        <w:numPr>
          <w:ilvl w:val="0"/>
          <w:numId w:val="24"/>
        </w:numPr>
        <w:tabs>
          <w:tab w:val="clear" w:pos="420"/>
          <w:tab w:val="left" w:pos="426"/>
          <w:tab w:val="left" w:pos="780"/>
          <w:tab w:val="left" w:pos="2835"/>
          <w:tab w:val="left" w:pos="3260"/>
          <w:tab w:val="left" w:pos="9356"/>
        </w:tabs>
        <w:spacing w:line="240" w:lineRule="auto"/>
        <w:ind w:left="780"/>
        <w:rPr>
          <w:rFonts w:ascii="Times New Roman" w:hAnsi="Times New Roman" w:cs="Times New Roman"/>
          <w:iCs/>
          <w:sz w:val="24"/>
          <w:szCs w:val="24"/>
        </w:rPr>
      </w:pPr>
      <w:r w:rsidR="00F1695C">
        <w:rPr>
          <w:rFonts w:ascii="Times New Roman" w:hAnsi="Times New Roman" w:cs="Times New Roman"/>
          <w:iCs/>
          <w:sz w:val="24"/>
          <w:szCs w:val="24"/>
        </w:rPr>
        <w:t>p</w:t>
      </w:r>
      <w:r w:rsidRPr="00405552">
        <w:rPr>
          <w:rFonts w:ascii="Times New Roman" w:hAnsi="Times New Roman" w:cs="Times New Roman"/>
          <w:iCs/>
          <w:sz w:val="24"/>
          <w:szCs w:val="24"/>
        </w:rPr>
        <w:t>orušenie § 2 vyhlášky Úradu pre verejné obstarávanie č. 35/2006 Z.z. o </w:t>
      </w:r>
      <w:r w:rsidR="00A77DE6">
        <w:rPr>
          <w:rFonts w:ascii="Times New Roman" w:hAnsi="Times New Roman" w:cs="Times New Roman"/>
          <w:iCs/>
          <w:sz w:val="24"/>
          <w:szCs w:val="24"/>
        </w:rPr>
        <w:t xml:space="preserve"> </w:t>
      </w:r>
      <w:r w:rsidRPr="00405552">
        <w:rPr>
          <w:rFonts w:ascii="Times New Roman" w:hAnsi="Times New Roman" w:cs="Times New Roman"/>
          <w:iCs/>
          <w:sz w:val="24"/>
          <w:szCs w:val="24"/>
        </w:rPr>
        <w:t>oznámeniach používaných vo verejnom obstarávaní (ďalej len „VO“)</w:t>
      </w:r>
      <w:r w:rsidR="00A77DE6">
        <w:rPr>
          <w:rFonts w:ascii="Times New Roman" w:hAnsi="Times New Roman" w:cs="Times New Roman"/>
          <w:iCs/>
          <w:sz w:val="24"/>
          <w:szCs w:val="24"/>
        </w:rPr>
        <w:t xml:space="preserve"> </w:t>
      </w:r>
      <w:r w:rsidRPr="00405552">
        <w:rPr>
          <w:rFonts w:ascii="Times New Roman" w:hAnsi="Times New Roman" w:cs="Times New Roman"/>
          <w:iCs/>
          <w:sz w:val="24"/>
          <w:szCs w:val="24"/>
        </w:rPr>
        <w:t>– nedodržanie predpísaného vzoru pri zaslaní informácie o uzavretí dodatku k zmluve, resp. informácie o plnení z</w:t>
      </w:r>
      <w:r w:rsidR="00A77DE6">
        <w:rPr>
          <w:rFonts w:ascii="Times New Roman" w:hAnsi="Times New Roman" w:cs="Times New Roman"/>
          <w:iCs/>
          <w:sz w:val="24"/>
          <w:szCs w:val="24"/>
        </w:rPr>
        <w:t>mluvy (nesprávne uvedenie ceny)</w:t>
      </w:r>
      <w:r w:rsidRPr="00920C86" w:rsidR="00A77DE6">
        <w:rPr>
          <w:rFonts w:ascii="Times New Roman" w:hAnsi="Times New Roman" w:cs="Times New Roman"/>
          <w:sz w:val="24"/>
          <w:szCs w:val="24"/>
        </w:rPr>
        <w:t>;</w:t>
      </w:r>
    </w:p>
    <w:p w:rsidR="00405552" w:rsidRPr="00405552" w:rsidP="001654CB">
      <w:pPr>
        <w:numPr>
          <w:ilvl w:val="0"/>
          <w:numId w:val="24"/>
        </w:numPr>
        <w:tabs>
          <w:tab w:val="clear" w:pos="420"/>
          <w:tab w:val="left" w:pos="426"/>
          <w:tab w:val="left" w:pos="780"/>
          <w:tab w:val="left" w:pos="2835"/>
          <w:tab w:val="left" w:pos="3260"/>
          <w:tab w:val="left" w:pos="9356"/>
        </w:tabs>
        <w:spacing w:line="240" w:lineRule="auto"/>
        <w:ind w:left="780"/>
        <w:rPr>
          <w:rFonts w:ascii="Times New Roman" w:hAnsi="Times New Roman" w:cs="Times New Roman"/>
          <w:iCs/>
          <w:sz w:val="24"/>
          <w:szCs w:val="24"/>
        </w:rPr>
      </w:pPr>
      <w:r w:rsidR="00F1695C">
        <w:rPr>
          <w:rFonts w:ascii="Times New Roman" w:hAnsi="Times New Roman" w:cs="Times New Roman"/>
          <w:iCs/>
          <w:sz w:val="24"/>
          <w:szCs w:val="24"/>
        </w:rPr>
        <w:t>n</w:t>
      </w:r>
      <w:r w:rsidRPr="00405552">
        <w:rPr>
          <w:rFonts w:ascii="Times New Roman" w:hAnsi="Times New Roman" w:cs="Times New Roman"/>
          <w:iCs/>
          <w:sz w:val="24"/>
          <w:szCs w:val="24"/>
        </w:rPr>
        <w:t xml:space="preserve">esprávne upravenie lehôt na uchovávanie písomností v oblasti VO v Registratúrnom pláne MDPT SR – nesúlad s ustanoveniami § </w:t>
      </w:r>
      <w:smartTag w:uri="urn:schemas-microsoft-com:office:smarttags" w:element="metricconverter">
        <w:smartTagPr>
          <w:attr w:name="ProductID" w:val="15 a"/>
        </w:smartTagPr>
        <w:r w:rsidRPr="00405552">
          <w:rPr>
            <w:rFonts w:ascii="Times New Roman" w:hAnsi="Times New Roman" w:cs="Times New Roman"/>
            <w:iCs/>
            <w:sz w:val="24"/>
            <w:szCs w:val="24"/>
          </w:rPr>
          <w:t>15 a</w:t>
        </w:r>
      </w:smartTag>
      <w:r w:rsidRPr="00405552">
        <w:rPr>
          <w:rFonts w:ascii="Times New Roman" w:hAnsi="Times New Roman" w:cs="Times New Roman"/>
          <w:iCs/>
          <w:sz w:val="24"/>
          <w:szCs w:val="24"/>
        </w:rPr>
        <w:t xml:space="preserve"> § 49 zákona č. 523/2003 Z.z., resp.  § </w:t>
      </w:r>
      <w:smartTag w:uri="urn:schemas-microsoft-com:office:smarttags" w:element="metricconverter">
        <w:smartTagPr>
          <w:attr w:name="ProductID" w:val="21 a"/>
        </w:smartTagPr>
        <w:r w:rsidRPr="00405552">
          <w:rPr>
            <w:rFonts w:ascii="Times New Roman" w:hAnsi="Times New Roman" w:cs="Times New Roman"/>
            <w:iCs/>
            <w:sz w:val="24"/>
            <w:szCs w:val="24"/>
          </w:rPr>
          <w:t>21 a</w:t>
        </w:r>
      </w:smartTag>
      <w:r w:rsidRPr="00405552">
        <w:rPr>
          <w:rFonts w:ascii="Times New Roman" w:hAnsi="Times New Roman" w:cs="Times New Roman"/>
          <w:iCs/>
          <w:sz w:val="24"/>
          <w:szCs w:val="24"/>
        </w:rPr>
        <w:t xml:space="preserve"> § 24 zákona č. 25/2006 Z.z. o verejnom obstarávaní.</w:t>
      </w:r>
    </w:p>
    <w:p w:rsidR="00A77DE6" w:rsidP="00405552">
      <w:pPr>
        <w:tabs>
          <w:tab w:val="left" w:pos="2835"/>
        </w:tabs>
        <w:spacing w:line="240" w:lineRule="auto"/>
        <w:ind w:firstLine="567"/>
        <w:rPr>
          <w:rFonts w:ascii="Times New Roman" w:hAnsi="Times New Roman" w:cs="Times New Roman"/>
          <w:sz w:val="24"/>
          <w:szCs w:val="24"/>
        </w:rPr>
      </w:pPr>
    </w:p>
    <w:p w:rsidR="00405552" w:rsidRPr="00405552" w:rsidP="00A77DE6">
      <w:pPr>
        <w:tabs>
          <w:tab w:val="left" w:pos="0"/>
        </w:tabs>
        <w:spacing w:line="240" w:lineRule="auto"/>
        <w:ind w:firstLine="567"/>
        <w:rPr>
          <w:rFonts w:ascii="Times New Roman" w:hAnsi="Times New Roman" w:cs="Times New Roman"/>
          <w:sz w:val="24"/>
          <w:szCs w:val="24"/>
        </w:rPr>
      </w:pPr>
      <w:r w:rsidR="00A77DE6">
        <w:rPr>
          <w:rFonts w:ascii="Times New Roman" w:hAnsi="Times New Roman" w:cs="Times New Roman"/>
          <w:sz w:val="24"/>
          <w:szCs w:val="24"/>
        </w:rPr>
        <w:tab/>
      </w:r>
      <w:r w:rsidRPr="00405552">
        <w:rPr>
          <w:rFonts w:ascii="Times New Roman" w:hAnsi="Times New Roman" w:cs="Times New Roman"/>
          <w:sz w:val="24"/>
          <w:szCs w:val="24"/>
        </w:rPr>
        <w:t>Vedúci služobného úradu prijal celkom</w:t>
      </w:r>
      <w:r w:rsidRPr="00405552">
        <w:rPr>
          <w:rFonts w:ascii="Times New Roman" w:hAnsi="Times New Roman" w:cs="Times New Roman"/>
          <w:b/>
          <w:sz w:val="24"/>
          <w:szCs w:val="24"/>
        </w:rPr>
        <w:t xml:space="preserve"> </w:t>
      </w:r>
      <w:r w:rsidRPr="00A77DE6">
        <w:rPr>
          <w:rFonts w:ascii="Times New Roman" w:hAnsi="Times New Roman" w:cs="Times New Roman"/>
          <w:sz w:val="24"/>
          <w:szCs w:val="24"/>
        </w:rPr>
        <w:t>2 opatrenia na nápravu</w:t>
      </w:r>
      <w:r w:rsidRPr="00405552">
        <w:rPr>
          <w:rFonts w:ascii="Times New Roman" w:hAnsi="Times New Roman" w:cs="Times New Roman"/>
          <w:sz w:val="24"/>
          <w:szCs w:val="24"/>
        </w:rPr>
        <w:t xml:space="preserve">  zistených nedostatkov a na odstránenie príčin ich vzniku, ktoré boli zamerané na dodržiavanie predmetnej vyhlášky a na zabezpečenie potrebných zmien v Registratúrnom pláne. Zo správy o splnení prijatých opatrení vyplynulo, že opatrenia boli v stanovenom termíne do  30.04.2007 splnené.</w:t>
      </w:r>
    </w:p>
    <w:p w:rsidR="00405552" w:rsidRPr="00405552" w:rsidP="00405552">
      <w:pPr>
        <w:spacing w:line="240" w:lineRule="auto"/>
        <w:rPr>
          <w:rFonts w:ascii="Times New Roman" w:hAnsi="Times New Roman" w:cs="Times New Roman"/>
          <w:sz w:val="24"/>
          <w:szCs w:val="24"/>
        </w:rPr>
      </w:pPr>
    </w:p>
    <w:p w:rsidR="00405552" w:rsidP="001654CB">
      <w:pPr>
        <w:numPr>
          <w:ilvl w:val="1"/>
          <w:numId w:val="20"/>
        </w:numPr>
        <w:tabs>
          <w:tab w:val="clear" w:pos="1440"/>
        </w:tabs>
        <w:spacing w:line="240" w:lineRule="auto"/>
        <w:ind w:left="360"/>
        <w:rPr>
          <w:rFonts w:ascii="Times New Roman" w:hAnsi="Times New Roman" w:cs="Times New Roman"/>
          <w:b/>
          <w:sz w:val="24"/>
          <w:szCs w:val="24"/>
        </w:rPr>
      </w:pPr>
      <w:r w:rsidRPr="00405552">
        <w:rPr>
          <w:rFonts w:ascii="Times New Roman" w:hAnsi="Times New Roman" w:cs="Times New Roman"/>
          <w:b/>
          <w:sz w:val="24"/>
          <w:szCs w:val="24"/>
        </w:rPr>
        <w:t>Slovenská správa ciest, IVSC Banská Bystrica</w:t>
      </w:r>
    </w:p>
    <w:p w:rsidR="00A77DE6" w:rsidRPr="00405552" w:rsidP="00A77DE6">
      <w:pPr>
        <w:spacing w:line="240" w:lineRule="auto"/>
        <w:rPr>
          <w:rFonts w:ascii="Times New Roman" w:hAnsi="Times New Roman" w:cs="Times New Roman"/>
          <w:b/>
          <w:sz w:val="24"/>
          <w:szCs w:val="24"/>
        </w:rPr>
      </w:pPr>
    </w:p>
    <w:p w:rsidR="00405552" w:rsidP="00405552">
      <w:pPr>
        <w:tabs>
          <w:tab w:val="left" w:pos="0"/>
        </w:tabs>
        <w:spacing w:line="240" w:lineRule="auto"/>
        <w:rPr>
          <w:rFonts w:ascii="Times New Roman" w:hAnsi="Times New Roman" w:cs="Times New Roman"/>
          <w:sz w:val="24"/>
          <w:szCs w:val="24"/>
        </w:rPr>
      </w:pPr>
      <w:r w:rsidR="00A77DE6">
        <w:rPr>
          <w:rFonts w:ascii="Times New Roman" w:hAnsi="Times New Roman" w:cs="Times New Roman"/>
          <w:sz w:val="24"/>
          <w:szCs w:val="24"/>
        </w:rPr>
        <w:tab/>
      </w:r>
      <w:r w:rsidRPr="00405552">
        <w:rPr>
          <w:rFonts w:ascii="Times New Roman" w:hAnsi="Times New Roman" w:cs="Times New Roman"/>
          <w:sz w:val="24"/>
          <w:szCs w:val="24"/>
        </w:rPr>
        <w:t>Následná finančná kontrola bola zameraná na</w:t>
      </w:r>
      <w:r w:rsidRPr="00405552">
        <w:rPr>
          <w:rFonts w:ascii="Times New Roman" w:hAnsi="Times New Roman" w:cs="Times New Roman"/>
          <w:iCs/>
          <w:sz w:val="24"/>
          <w:szCs w:val="24"/>
        </w:rPr>
        <w:t xml:space="preserve"> dodržiavania zákona č. 523/2004 Z.z. o rozpočtových pravidlách verejnej správy a o zmene a doplnení niektorých zákonov v znení neskorších predpisov, zákona č. 278/1993 Z.z. o správe majetku štátu v znení neskorších predpis</w:t>
      </w:r>
      <w:r w:rsidR="00A77DE6">
        <w:rPr>
          <w:rFonts w:ascii="Times New Roman" w:hAnsi="Times New Roman" w:cs="Times New Roman"/>
          <w:iCs/>
          <w:sz w:val="24"/>
          <w:szCs w:val="24"/>
        </w:rPr>
        <w:t xml:space="preserve">ov </w:t>
      </w:r>
      <w:r w:rsidRPr="00405552">
        <w:rPr>
          <w:rFonts w:ascii="Times New Roman" w:hAnsi="Times New Roman" w:cs="Times New Roman"/>
          <w:iCs/>
          <w:sz w:val="24"/>
          <w:szCs w:val="24"/>
        </w:rPr>
        <w:t>a zákona č. 523/2003 Z.z.</w:t>
      </w:r>
      <w:r w:rsidRPr="00405552">
        <w:rPr>
          <w:rFonts w:ascii="Times New Roman" w:hAnsi="Times New Roman" w:cs="Times New Roman"/>
          <w:sz w:val="24"/>
          <w:szCs w:val="24"/>
        </w:rPr>
        <w:t>, resp. zákona č. 25/2006 Z.z. o verejnom obstarávaní</w:t>
      </w:r>
      <w:r w:rsidRPr="00405552">
        <w:rPr>
          <w:rFonts w:ascii="Times New Roman" w:hAnsi="Times New Roman" w:cs="Times New Roman"/>
          <w:iCs/>
          <w:sz w:val="24"/>
          <w:szCs w:val="24"/>
        </w:rPr>
        <w:t xml:space="preserve"> a zákona č. 502/2001 Z.z</w:t>
      </w:r>
      <w:r w:rsidRPr="00405552">
        <w:rPr>
          <w:rFonts w:ascii="Times New Roman" w:hAnsi="Times New Roman" w:cs="Times New Roman"/>
          <w:sz w:val="24"/>
          <w:szCs w:val="24"/>
        </w:rPr>
        <w:t>. o finančnej kontrole a vnútornom audite a o zmene a doplnení niektorých zákonov v znení neskorších pre</w:t>
      </w:r>
      <w:r w:rsidR="00A77DE6">
        <w:rPr>
          <w:rFonts w:ascii="Times New Roman" w:hAnsi="Times New Roman" w:cs="Times New Roman"/>
          <w:sz w:val="24"/>
          <w:szCs w:val="24"/>
        </w:rPr>
        <w:t>dpisov</w:t>
      </w:r>
      <w:r w:rsidRPr="00405552">
        <w:rPr>
          <w:rFonts w:ascii="Times New Roman" w:hAnsi="Times New Roman" w:cs="Times New Roman"/>
          <w:sz w:val="24"/>
          <w:szCs w:val="24"/>
        </w:rPr>
        <w:t>.</w:t>
      </w:r>
    </w:p>
    <w:p w:rsidR="00A77DE6" w:rsidRPr="00405552" w:rsidP="00405552">
      <w:pPr>
        <w:tabs>
          <w:tab w:val="left" w:pos="0"/>
        </w:tabs>
        <w:spacing w:line="240" w:lineRule="auto"/>
        <w:rPr>
          <w:rFonts w:ascii="Times New Roman" w:hAnsi="Times New Roman" w:cs="Times New Roman"/>
          <w:b/>
          <w:bCs/>
          <w:sz w:val="24"/>
          <w:szCs w:val="24"/>
        </w:rPr>
      </w:pPr>
    </w:p>
    <w:p w:rsidR="00405552" w:rsidRPr="00A77DE6" w:rsidP="00405552">
      <w:pPr>
        <w:tabs>
          <w:tab w:val="left" w:pos="0"/>
        </w:tabs>
        <w:spacing w:line="240" w:lineRule="auto"/>
        <w:ind w:hanging="360"/>
        <w:rPr>
          <w:rFonts w:ascii="Times New Roman" w:hAnsi="Times New Roman" w:cs="Times New Roman"/>
          <w:sz w:val="24"/>
          <w:szCs w:val="24"/>
        </w:rPr>
      </w:pPr>
      <w:r w:rsidRPr="00405552">
        <w:rPr>
          <w:rFonts w:ascii="Times New Roman" w:hAnsi="Times New Roman" w:cs="Times New Roman"/>
          <w:b/>
          <w:bCs/>
          <w:sz w:val="24"/>
          <w:szCs w:val="24"/>
        </w:rPr>
        <w:tab/>
      </w:r>
      <w:r w:rsidR="00A77DE6">
        <w:rPr>
          <w:rFonts w:ascii="Times New Roman" w:hAnsi="Times New Roman" w:cs="Times New Roman"/>
          <w:b/>
          <w:bCs/>
          <w:sz w:val="24"/>
          <w:szCs w:val="24"/>
        </w:rPr>
        <w:tab/>
      </w:r>
      <w:r w:rsidRPr="00A77DE6">
        <w:rPr>
          <w:rFonts w:ascii="Times New Roman" w:hAnsi="Times New Roman" w:cs="Times New Roman"/>
          <w:bCs/>
          <w:sz w:val="24"/>
          <w:szCs w:val="24"/>
        </w:rPr>
        <w:t>Celková kontrolovaná suma prostriedkov ŠR:</w:t>
      </w:r>
      <w:r w:rsidR="00A77DE6">
        <w:rPr>
          <w:rFonts w:ascii="Times New Roman" w:hAnsi="Times New Roman" w:cs="Times New Roman"/>
          <w:sz w:val="24"/>
          <w:szCs w:val="24"/>
        </w:rPr>
        <w:t xml:space="preserve"> </w:t>
      </w:r>
      <w:r w:rsidRPr="00A77DE6">
        <w:rPr>
          <w:rFonts w:ascii="Times New Roman" w:hAnsi="Times New Roman" w:cs="Times New Roman"/>
          <w:sz w:val="24"/>
          <w:szCs w:val="24"/>
        </w:rPr>
        <w:t>37 573 908,- Sk</w:t>
      </w:r>
    </w:p>
    <w:p w:rsidR="00EE757E" w:rsidP="00A77DE6">
      <w:pPr>
        <w:spacing w:line="240" w:lineRule="auto"/>
        <w:ind w:firstLine="709"/>
        <w:outlineLvl w:val="1"/>
        <w:rPr>
          <w:rFonts w:ascii="Times New Roman" w:hAnsi="Times New Roman" w:cs="Times New Roman"/>
          <w:bCs/>
          <w:iCs/>
          <w:sz w:val="24"/>
          <w:szCs w:val="24"/>
        </w:rPr>
      </w:pPr>
    </w:p>
    <w:p w:rsidR="00405552" w:rsidP="00A77DE6">
      <w:pPr>
        <w:spacing w:line="240" w:lineRule="auto"/>
        <w:ind w:firstLine="709"/>
        <w:outlineLvl w:val="1"/>
        <w:rPr>
          <w:rFonts w:ascii="Times New Roman" w:hAnsi="Times New Roman" w:cs="Times New Roman"/>
          <w:iCs/>
          <w:sz w:val="24"/>
          <w:szCs w:val="24"/>
        </w:rPr>
      </w:pPr>
      <w:r w:rsidRPr="00A77DE6">
        <w:rPr>
          <w:rFonts w:ascii="Times New Roman" w:hAnsi="Times New Roman" w:cs="Times New Roman"/>
          <w:bCs/>
          <w:iCs/>
          <w:sz w:val="24"/>
          <w:szCs w:val="24"/>
        </w:rPr>
        <w:t>Kontrolné zistenia a prijaté opatrenia</w:t>
      </w:r>
      <w:r w:rsidRPr="00A77DE6">
        <w:rPr>
          <w:rFonts w:ascii="Times New Roman" w:hAnsi="Times New Roman" w:cs="Times New Roman"/>
          <w:iCs/>
          <w:sz w:val="24"/>
          <w:szCs w:val="24"/>
        </w:rPr>
        <w:t xml:space="preserve">:   </w:t>
      </w:r>
    </w:p>
    <w:p w:rsidR="00A77DE6" w:rsidRPr="00A77DE6" w:rsidP="00405552">
      <w:pPr>
        <w:spacing w:line="240" w:lineRule="auto"/>
        <w:outlineLvl w:val="1"/>
        <w:rPr>
          <w:rFonts w:ascii="Times New Roman" w:hAnsi="Times New Roman" w:cs="Times New Roman"/>
          <w:sz w:val="24"/>
          <w:szCs w:val="24"/>
        </w:rPr>
      </w:pPr>
    </w:p>
    <w:p w:rsidR="00405552" w:rsidRPr="00405552" w:rsidP="001654CB">
      <w:pPr>
        <w:numPr>
          <w:ilvl w:val="0"/>
          <w:numId w:val="24"/>
        </w:numPr>
        <w:tabs>
          <w:tab w:val="left" w:pos="0"/>
          <w:tab w:val="clear" w:pos="420"/>
          <w:tab w:val="left" w:pos="780"/>
        </w:tabs>
        <w:spacing w:line="240" w:lineRule="auto"/>
        <w:ind w:left="777"/>
        <w:rPr>
          <w:rFonts w:ascii="Times New Roman" w:hAnsi="Times New Roman" w:cs="Times New Roman"/>
          <w:iCs/>
          <w:sz w:val="24"/>
          <w:szCs w:val="24"/>
        </w:rPr>
      </w:pPr>
      <w:r w:rsidR="00F1695C">
        <w:rPr>
          <w:rFonts w:ascii="Times New Roman" w:hAnsi="Times New Roman" w:cs="Times New Roman"/>
          <w:iCs/>
          <w:sz w:val="24"/>
          <w:szCs w:val="24"/>
        </w:rPr>
        <w:t>n</w:t>
      </w:r>
      <w:r w:rsidRPr="00405552">
        <w:rPr>
          <w:rFonts w:ascii="Times New Roman" w:hAnsi="Times New Roman" w:cs="Times New Roman"/>
          <w:iCs/>
          <w:sz w:val="24"/>
          <w:szCs w:val="24"/>
        </w:rPr>
        <w:t>edodržanie predpísaného počtu členov vo vyraďovacej komisii, čím došlo k </w:t>
      </w:r>
      <w:r w:rsidR="00A77DE6">
        <w:rPr>
          <w:rFonts w:ascii="Times New Roman" w:hAnsi="Times New Roman" w:cs="Times New Roman"/>
          <w:iCs/>
          <w:sz w:val="24"/>
          <w:szCs w:val="24"/>
        </w:rPr>
        <w:t xml:space="preserve"> </w:t>
      </w:r>
      <w:r w:rsidRPr="00405552">
        <w:rPr>
          <w:rFonts w:ascii="Times New Roman" w:hAnsi="Times New Roman" w:cs="Times New Roman"/>
          <w:iCs/>
          <w:sz w:val="24"/>
          <w:szCs w:val="24"/>
        </w:rPr>
        <w:t>porušeniu  príkazu GR SSC č. 38/2005 – čl. 17 bodu 17.4.2  Smernice o nakladaní s prebytočným, dočasne prebytočným a neupotrebiteľ</w:t>
      </w:r>
      <w:r w:rsidR="00A77DE6">
        <w:rPr>
          <w:rFonts w:ascii="Times New Roman" w:hAnsi="Times New Roman" w:cs="Times New Roman"/>
          <w:iCs/>
          <w:sz w:val="24"/>
          <w:szCs w:val="24"/>
        </w:rPr>
        <w:t>ným majetkom štátu v správe SSC</w:t>
      </w:r>
      <w:r w:rsidRPr="00920C86" w:rsidR="00A77DE6">
        <w:rPr>
          <w:rFonts w:ascii="Times New Roman" w:hAnsi="Times New Roman" w:cs="Times New Roman"/>
          <w:sz w:val="24"/>
          <w:szCs w:val="24"/>
        </w:rPr>
        <w:t>;</w:t>
      </w:r>
      <w:r w:rsidRPr="00405552">
        <w:rPr>
          <w:rFonts w:ascii="Times New Roman" w:hAnsi="Times New Roman" w:cs="Times New Roman"/>
          <w:iCs/>
          <w:sz w:val="24"/>
          <w:szCs w:val="24"/>
        </w:rPr>
        <w:t xml:space="preserve">  </w:t>
      </w:r>
    </w:p>
    <w:p w:rsidR="00405552" w:rsidRPr="00405552" w:rsidP="001654CB">
      <w:pPr>
        <w:numPr>
          <w:ilvl w:val="0"/>
          <w:numId w:val="24"/>
        </w:numPr>
        <w:tabs>
          <w:tab w:val="left" w:pos="0"/>
          <w:tab w:val="clear" w:pos="420"/>
          <w:tab w:val="left" w:pos="780"/>
        </w:tabs>
        <w:spacing w:line="240" w:lineRule="auto"/>
        <w:ind w:left="780"/>
        <w:rPr>
          <w:rFonts w:ascii="Times New Roman" w:hAnsi="Times New Roman" w:cs="Times New Roman"/>
          <w:iCs/>
          <w:sz w:val="24"/>
          <w:szCs w:val="24"/>
        </w:rPr>
      </w:pPr>
      <w:r w:rsidR="00F1695C">
        <w:rPr>
          <w:rFonts w:ascii="Times New Roman" w:hAnsi="Times New Roman" w:cs="Times New Roman"/>
          <w:iCs/>
          <w:sz w:val="24"/>
          <w:szCs w:val="24"/>
        </w:rPr>
        <w:t>p</w:t>
      </w:r>
      <w:r w:rsidRPr="00405552">
        <w:rPr>
          <w:rFonts w:ascii="Times New Roman" w:hAnsi="Times New Roman" w:cs="Times New Roman"/>
          <w:iCs/>
          <w:sz w:val="24"/>
          <w:szCs w:val="24"/>
        </w:rPr>
        <w:t xml:space="preserve">orušenie § 44 ods. </w:t>
      </w:r>
      <w:smartTag w:uri="urn:schemas-microsoft-com:office:smarttags" w:element="metricconverter">
        <w:smartTagPr>
          <w:attr w:name="ProductID" w:val="1 a"/>
        </w:smartTagPr>
        <w:r w:rsidRPr="00405552">
          <w:rPr>
            <w:rFonts w:ascii="Times New Roman" w:hAnsi="Times New Roman" w:cs="Times New Roman"/>
            <w:iCs/>
            <w:sz w:val="24"/>
            <w:szCs w:val="24"/>
          </w:rPr>
          <w:t>1 a</w:t>
        </w:r>
      </w:smartTag>
      <w:r w:rsidRPr="00405552">
        <w:rPr>
          <w:rFonts w:ascii="Times New Roman" w:hAnsi="Times New Roman" w:cs="Times New Roman"/>
          <w:iCs/>
          <w:sz w:val="24"/>
          <w:szCs w:val="24"/>
        </w:rPr>
        <w:t xml:space="preserve"> § 45 zákona č. 25/2006 Z. z. o verejnom obstarávaní  a čl. 12 ods. 10 Príkazu GR SSC č. 11/2006 (boli zistené nedostatky v zaslaných oznámeniach o vyhodnotení ponúk uchádzačom)</w:t>
      </w:r>
      <w:r w:rsidRPr="00920C86" w:rsidR="00A77DE6">
        <w:rPr>
          <w:rFonts w:ascii="Times New Roman" w:hAnsi="Times New Roman" w:cs="Times New Roman"/>
          <w:sz w:val="24"/>
          <w:szCs w:val="24"/>
        </w:rPr>
        <w:t>;</w:t>
      </w:r>
    </w:p>
    <w:p w:rsidR="00405552" w:rsidRPr="00405552" w:rsidP="001654CB">
      <w:pPr>
        <w:numPr>
          <w:ilvl w:val="0"/>
          <w:numId w:val="24"/>
        </w:numPr>
        <w:tabs>
          <w:tab w:val="left" w:pos="0"/>
          <w:tab w:val="clear" w:pos="420"/>
          <w:tab w:val="left" w:pos="780"/>
        </w:tabs>
        <w:spacing w:line="240" w:lineRule="auto"/>
        <w:ind w:left="780"/>
        <w:rPr>
          <w:rFonts w:ascii="Times New Roman" w:hAnsi="Times New Roman" w:cs="Times New Roman"/>
          <w:iCs/>
          <w:sz w:val="24"/>
          <w:szCs w:val="24"/>
        </w:rPr>
      </w:pPr>
      <w:r w:rsidR="00F1695C">
        <w:rPr>
          <w:rFonts w:ascii="Times New Roman" w:hAnsi="Times New Roman" w:cs="Times New Roman"/>
          <w:iCs/>
          <w:sz w:val="24"/>
          <w:szCs w:val="24"/>
        </w:rPr>
        <w:t>n</w:t>
      </w:r>
      <w:r w:rsidRPr="00405552">
        <w:rPr>
          <w:rFonts w:ascii="Times New Roman" w:hAnsi="Times New Roman" w:cs="Times New Roman"/>
          <w:iCs/>
          <w:sz w:val="24"/>
          <w:szCs w:val="24"/>
        </w:rPr>
        <w:t xml:space="preserve">eexistencia príslušných dokladov, potvrdzujúcich skutočnosť na akom základe a z akého dôvodu bolo potrebné uzatvoriť dodatok k zmluve ohľadom predĺženia termínu ukončenia stavby, čím došlo k porušeniu čl. 22 –  príslušnej zmluvy o dielo. </w:t>
      </w:r>
    </w:p>
    <w:p w:rsidR="00A77DE6" w:rsidP="00405552">
      <w:pPr>
        <w:tabs>
          <w:tab w:val="left" w:pos="-142"/>
        </w:tabs>
        <w:spacing w:line="240" w:lineRule="auto"/>
        <w:ind w:firstLine="709"/>
        <w:rPr>
          <w:rFonts w:ascii="Times New Roman" w:hAnsi="Times New Roman" w:cs="Times New Roman"/>
          <w:sz w:val="24"/>
          <w:szCs w:val="24"/>
        </w:rPr>
      </w:pPr>
    </w:p>
    <w:p w:rsidR="00405552" w:rsidRPr="00405552" w:rsidP="00405552">
      <w:pPr>
        <w:tabs>
          <w:tab w:val="left" w:pos="-142"/>
        </w:tabs>
        <w:spacing w:line="240" w:lineRule="auto"/>
        <w:ind w:firstLine="709"/>
        <w:rPr>
          <w:rFonts w:ascii="Times New Roman" w:hAnsi="Times New Roman" w:cs="Times New Roman"/>
          <w:sz w:val="24"/>
          <w:szCs w:val="24"/>
        </w:rPr>
      </w:pPr>
      <w:r w:rsidRPr="00405552">
        <w:rPr>
          <w:rFonts w:ascii="Times New Roman" w:hAnsi="Times New Roman" w:cs="Times New Roman"/>
          <w:sz w:val="24"/>
          <w:szCs w:val="24"/>
        </w:rPr>
        <w:t xml:space="preserve">Vedúci kontrolovaného subjektu prijal </w:t>
      </w:r>
      <w:r w:rsidRPr="00A77DE6">
        <w:rPr>
          <w:rFonts w:ascii="Times New Roman" w:hAnsi="Times New Roman" w:cs="Times New Roman"/>
          <w:sz w:val="24"/>
          <w:szCs w:val="24"/>
        </w:rPr>
        <w:t>celkom 2 opatrenia na</w:t>
      </w:r>
      <w:r w:rsidRPr="00405552">
        <w:rPr>
          <w:rFonts w:ascii="Times New Roman" w:hAnsi="Times New Roman" w:cs="Times New Roman"/>
          <w:sz w:val="24"/>
          <w:szCs w:val="24"/>
        </w:rPr>
        <w:t xml:space="preserve"> nápravu  zistených nedostatkov a na odstránenie príčin ich vzniku, ktoré boli zamerané na zosúladenie vnútroorganizačnej smernice so zákonom č. 25/2006 Z.z. o verejnom obstarávaní a na zabezpečenie toho, aby zmeny počas výstavby boli dostatočne zdôvodňované kompetentnými pracovníkmi. Zo správy o splnení prijatých opatrení vyplynulo, že 1 termínované opatrenie bolo splnené 18.07.2007 po vyžiadanom  Metodickom usmernení od Úradu pre verejné obstarávanie (bol prijatý dodatok k internej smernici o jednotnom postupe pri verejnom obstarávaní) a opatrenie trvalého charakteru sa plní.</w:t>
      </w:r>
    </w:p>
    <w:p w:rsidR="00405552" w:rsidRPr="00405552" w:rsidP="00405552">
      <w:pPr>
        <w:spacing w:line="240" w:lineRule="auto"/>
        <w:rPr>
          <w:rFonts w:ascii="Times New Roman" w:hAnsi="Times New Roman" w:cs="Times New Roman"/>
          <w:sz w:val="24"/>
          <w:szCs w:val="24"/>
        </w:rPr>
      </w:pPr>
    </w:p>
    <w:p w:rsidR="00405552" w:rsidRPr="00405552" w:rsidP="001654CB">
      <w:pPr>
        <w:numPr>
          <w:ilvl w:val="1"/>
          <w:numId w:val="20"/>
        </w:numPr>
        <w:tabs>
          <w:tab w:val="clear" w:pos="1440"/>
        </w:tabs>
        <w:spacing w:line="240" w:lineRule="auto"/>
        <w:ind w:left="360"/>
        <w:rPr>
          <w:rFonts w:ascii="Times New Roman" w:hAnsi="Times New Roman" w:cs="Times New Roman"/>
          <w:b/>
          <w:bCs/>
          <w:iCs/>
          <w:sz w:val="24"/>
          <w:szCs w:val="24"/>
          <w:lang w:eastAsia="sk-SK"/>
        </w:rPr>
      </w:pPr>
      <w:r w:rsidR="00A77DE6">
        <w:rPr>
          <w:rFonts w:ascii="Times New Roman" w:hAnsi="Times New Roman" w:cs="Times New Roman"/>
          <w:b/>
          <w:sz w:val="24"/>
          <w:szCs w:val="24"/>
          <w:lang w:eastAsia="sk-SK"/>
        </w:rPr>
        <w:t xml:space="preserve"> </w:t>
      </w:r>
      <w:r w:rsidRPr="00405552">
        <w:rPr>
          <w:rFonts w:ascii="Times New Roman" w:hAnsi="Times New Roman" w:cs="Times New Roman"/>
          <w:b/>
          <w:sz w:val="24"/>
          <w:szCs w:val="24"/>
          <w:lang w:eastAsia="sk-SK"/>
        </w:rPr>
        <w:t xml:space="preserve">Slovenská federácia ultraľahkého lietania, </w:t>
      </w:r>
      <w:r w:rsidRPr="00405552">
        <w:rPr>
          <w:rFonts w:ascii="Times New Roman" w:hAnsi="Times New Roman" w:cs="Times New Roman"/>
          <w:b/>
          <w:bCs/>
          <w:iCs/>
          <w:sz w:val="24"/>
          <w:szCs w:val="24"/>
          <w:lang w:eastAsia="sk-SK"/>
        </w:rPr>
        <w:t>Trenčín</w:t>
      </w:r>
    </w:p>
    <w:p w:rsidR="00A77DE6" w:rsidP="00405552">
      <w:pPr>
        <w:tabs>
          <w:tab w:val="left" w:pos="0"/>
        </w:tabs>
        <w:spacing w:line="240" w:lineRule="auto"/>
        <w:rPr>
          <w:rFonts w:ascii="Times New Roman" w:hAnsi="Times New Roman" w:cs="Times New Roman"/>
          <w:sz w:val="24"/>
          <w:szCs w:val="24"/>
        </w:rPr>
      </w:pPr>
    </w:p>
    <w:p w:rsidR="00405552" w:rsidP="00405552">
      <w:pPr>
        <w:tabs>
          <w:tab w:val="left" w:pos="0"/>
        </w:tabs>
        <w:spacing w:line="240" w:lineRule="auto"/>
        <w:rPr>
          <w:rFonts w:ascii="Times New Roman" w:hAnsi="Times New Roman" w:cs="Times New Roman"/>
          <w:sz w:val="24"/>
          <w:szCs w:val="24"/>
        </w:rPr>
      </w:pPr>
      <w:r w:rsidR="00A77DE6">
        <w:rPr>
          <w:rFonts w:ascii="Times New Roman" w:hAnsi="Times New Roman" w:cs="Times New Roman"/>
          <w:sz w:val="24"/>
          <w:szCs w:val="24"/>
        </w:rPr>
        <w:tab/>
      </w:r>
      <w:r w:rsidRPr="00405552">
        <w:rPr>
          <w:rFonts w:ascii="Times New Roman" w:hAnsi="Times New Roman" w:cs="Times New Roman"/>
          <w:sz w:val="24"/>
          <w:szCs w:val="24"/>
        </w:rPr>
        <w:t>Mimoriadna následná finančná kontrola bola  zameraná na overenie použitia dotácie poskytnutej zo ŠR na rok 2005 na základe Výnosu MDPT SR č. 79/M-2005 o poskytovaní dotácií v pôsobnosti MDPT SR v oblasti civilného letectva a na dodržiavanie zákona č. 523/2004 Z.z. o rozpočtových pravidlách verejnej správy.</w:t>
      </w:r>
    </w:p>
    <w:p w:rsidR="00A77DE6" w:rsidRPr="00405552" w:rsidP="00405552">
      <w:pPr>
        <w:tabs>
          <w:tab w:val="left" w:pos="0"/>
        </w:tabs>
        <w:spacing w:line="240" w:lineRule="auto"/>
        <w:rPr>
          <w:rFonts w:ascii="Times New Roman" w:hAnsi="Times New Roman" w:cs="Times New Roman"/>
          <w:sz w:val="24"/>
          <w:szCs w:val="24"/>
        </w:rPr>
      </w:pPr>
    </w:p>
    <w:p w:rsidR="00405552" w:rsidRPr="00A77DE6" w:rsidP="00405552">
      <w:pPr>
        <w:tabs>
          <w:tab w:val="left" w:pos="567"/>
          <w:tab w:val="left" w:pos="720"/>
          <w:tab w:val="left" w:pos="2835"/>
          <w:tab w:val="left" w:pos="3119"/>
          <w:tab w:val="left" w:pos="3263"/>
        </w:tabs>
        <w:spacing w:line="240" w:lineRule="auto"/>
        <w:ind w:hanging="357"/>
        <w:rPr>
          <w:rFonts w:ascii="Times New Roman" w:hAnsi="Times New Roman" w:cs="Times New Roman"/>
          <w:iCs/>
          <w:sz w:val="24"/>
          <w:szCs w:val="24"/>
        </w:rPr>
      </w:pPr>
      <w:r w:rsidRPr="00405552">
        <w:rPr>
          <w:rFonts w:ascii="Times New Roman" w:hAnsi="Times New Roman" w:cs="Times New Roman"/>
          <w:b/>
          <w:bCs/>
          <w:iCs/>
          <w:sz w:val="24"/>
          <w:szCs w:val="24"/>
        </w:rPr>
        <w:tab/>
      </w:r>
      <w:r w:rsidR="000E4165">
        <w:rPr>
          <w:rFonts w:ascii="Times New Roman" w:hAnsi="Times New Roman" w:cs="Times New Roman"/>
          <w:b/>
          <w:bCs/>
          <w:iCs/>
          <w:sz w:val="24"/>
          <w:szCs w:val="24"/>
        </w:rPr>
        <w:tab/>
        <w:tab/>
      </w:r>
      <w:r w:rsidRPr="00A77DE6">
        <w:rPr>
          <w:rFonts w:ascii="Times New Roman" w:hAnsi="Times New Roman" w:cs="Times New Roman"/>
          <w:bCs/>
          <w:iCs/>
          <w:sz w:val="24"/>
          <w:szCs w:val="24"/>
        </w:rPr>
        <w:t>Celková kontrolovaná suma prostriedkov ŠR:</w:t>
      </w:r>
      <w:r w:rsidR="00A77DE6">
        <w:rPr>
          <w:rFonts w:ascii="Times New Roman" w:hAnsi="Times New Roman" w:cs="Times New Roman"/>
          <w:bCs/>
          <w:iCs/>
          <w:sz w:val="24"/>
          <w:szCs w:val="24"/>
        </w:rPr>
        <w:t xml:space="preserve"> </w:t>
      </w:r>
      <w:r w:rsidRPr="00A77DE6">
        <w:rPr>
          <w:rFonts w:ascii="Times New Roman" w:hAnsi="Times New Roman" w:cs="Times New Roman"/>
          <w:iCs/>
          <w:sz w:val="24"/>
          <w:szCs w:val="24"/>
        </w:rPr>
        <w:t xml:space="preserve">800 000,- Sk </w:t>
      </w:r>
    </w:p>
    <w:p w:rsidR="00405552" w:rsidRPr="00A77DE6" w:rsidP="00405552">
      <w:pPr>
        <w:tabs>
          <w:tab w:val="left" w:pos="567"/>
          <w:tab w:val="left" w:pos="720"/>
          <w:tab w:val="left" w:pos="2835"/>
          <w:tab w:val="left" w:pos="3119"/>
          <w:tab w:val="left" w:pos="3263"/>
        </w:tabs>
        <w:spacing w:line="240" w:lineRule="auto"/>
        <w:ind w:hanging="357"/>
        <w:rPr>
          <w:rFonts w:ascii="Times New Roman" w:hAnsi="Times New Roman" w:cs="Times New Roman"/>
          <w:iCs/>
          <w:sz w:val="24"/>
          <w:szCs w:val="24"/>
        </w:rPr>
      </w:pPr>
      <w:r w:rsidRPr="00A77DE6">
        <w:rPr>
          <w:rFonts w:ascii="Times New Roman" w:hAnsi="Times New Roman" w:cs="Times New Roman"/>
          <w:iCs/>
          <w:sz w:val="24"/>
          <w:szCs w:val="24"/>
        </w:rPr>
        <w:tab/>
      </w:r>
      <w:r w:rsidR="000E4165">
        <w:rPr>
          <w:rFonts w:ascii="Times New Roman" w:hAnsi="Times New Roman" w:cs="Times New Roman"/>
          <w:iCs/>
          <w:sz w:val="24"/>
          <w:szCs w:val="24"/>
        </w:rPr>
        <w:tab/>
        <w:tab/>
      </w:r>
      <w:r w:rsidRPr="00A77DE6">
        <w:rPr>
          <w:rFonts w:ascii="Times New Roman" w:hAnsi="Times New Roman" w:cs="Times New Roman"/>
          <w:bCs/>
          <w:iCs/>
          <w:sz w:val="24"/>
          <w:szCs w:val="24"/>
        </w:rPr>
        <w:t>Porušenie finančnej disciplíny vo výške:</w:t>
      </w:r>
      <w:r w:rsidR="00A77DE6">
        <w:rPr>
          <w:rFonts w:ascii="Times New Roman" w:hAnsi="Times New Roman" w:cs="Times New Roman"/>
          <w:iCs/>
          <w:sz w:val="24"/>
          <w:szCs w:val="24"/>
        </w:rPr>
        <w:t xml:space="preserve"> </w:t>
      </w:r>
      <w:r w:rsidRPr="00A77DE6">
        <w:rPr>
          <w:rFonts w:ascii="Times New Roman" w:hAnsi="Times New Roman" w:cs="Times New Roman"/>
          <w:iCs/>
          <w:sz w:val="24"/>
          <w:szCs w:val="24"/>
        </w:rPr>
        <w:t xml:space="preserve">25 555,- Sk </w:t>
      </w:r>
    </w:p>
    <w:p w:rsidR="00405552" w:rsidP="000E4165">
      <w:pPr>
        <w:spacing w:line="240" w:lineRule="auto"/>
        <w:ind w:firstLine="709"/>
        <w:outlineLvl w:val="1"/>
        <w:rPr>
          <w:rFonts w:ascii="Times New Roman" w:hAnsi="Times New Roman" w:cs="Times New Roman"/>
          <w:iCs/>
          <w:sz w:val="24"/>
          <w:szCs w:val="24"/>
        </w:rPr>
      </w:pPr>
      <w:r w:rsidRPr="00A77DE6">
        <w:rPr>
          <w:rFonts w:ascii="Times New Roman" w:hAnsi="Times New Roman" w:cs="Times New Roman"/>
          <w:bCs/>
          <w:iCs/>
          <w:sz w:val="24"/>
          <w:szCs w:val="24"/>
        </w:rPr>
        <w:t>Kontrolné zistenia a prijaté opatrenia</w:t>
      </w:r>
      <w:r w:rsidRPr="00A77DE6">
        <w:rPr>
          <w:rFonts w:ascii="Times New Roman" w:hAnsi="Times New Roman" w:cs="Times New Roman"/>
          <w:iCs/>
          <w:sz w:val="24"/>
          <w:szCs w:val="24"/>
        </w:rPr>
        <w:t xml:space="preserve">:    </w:t>
      </w:r>
    </w:p>
    <w:p w:rsidR="00A77DE6" w:rsidRPr="00A77DE6" w:rsidP="00405552">
      <w:pPr>
        <w:spacing w:line="240" w:lineRule="auto"/>
        <w:outlineLvl w:val="1"/>
        <w:rPr>
          <w:rFonts w:ascii="Times New Roman" w:hAnsi="Times New Roman" w:cs="Times New Roman"/>
          <w:iCs/>
          <w:sz w:val="24"/>
          <w:szCs w:val="24"/>
        </w:rPr>
      </w:pPr>
    </w:p>
    <w:p w:rsidR="00405552" w:rsidRPr="00405552" w:rsidP="001654CB">
      <w:pPr>
        <w:numPr>
          <w:ilvl w:val="0"/>
          <w:numId w:val="25"/>
        </w:numPr>
        <w:tabs>
          <w:tab w:val="left" w:pos="567"/>
          <w:tab w:val="left" w:pos="720"/>
          <w:tab w:val="left" w:pos="2835"/>
          <w:tab w:val="left" w:pos="3119"/>
          <w:tab w:val="left" w:pos="3263"/>
        </w:tabs>
        <w:spacing w:line="240" w:lineRule="auto"/>
        <w:ind w:left="714" w:hanging="357"/>
        <w:rPr>
          <w:rFonts w:ascii="Times New Roman" w:hAnsi="Times New Roman" w:cs="Times New Roman"/>
          <w:sz w:val="24"/>
          <w:szCs w:val="24"/>
        </w:rPr>
      </w:pPr>
      <w:r w:rsidR="00A77DE6">
        <w:rPr>
          <w:rFonts w:ascii="Times New Roman" w:hAnsi="Times New Roman" w:cs="Times New Roman"/>
          <w:sz w:val="24"/>
          <w:szCs w:val="24"/>
        </w:rPr>
        <w:t xml:space="preserve">  P</w:t>
      </w:r>
      <w:r w:rsidRPr="00405552">
        <w:rPr>
          <w:rFonts w:ascii="Times New Roman" w:hAnsi="Times New Roman" w:cs="Times New Roman"/>
          <w:sz w:val="24"/>
          <w:szCs w:val="24"/>
        </w:rPr>
        <w:t xml:space="preserve">orušenie finančnej disciplíny podľa § 31 ods. (1) písm. b) zákona č. 523/2004 Z.z. – vyššie čerpanie verejných prostriedkov uhradením cestovných výdavkov v sume 2 155,50 Sk na základe omylom vystaveného cestovného príkazu, vyššie čerpanie verejných prostriedkov (dotácie) použitím prostriedkov na zabezpečenie vykonania činností, za ktoré boli zároveň účtované poplatky od žiadateľov o vykonanie týchto činností vo výške 23 400,-Sk. </w:t>
      </w:r>
    </w:p>
    <w:p w:rsidR="00A77DE6" w:rsidP="00A77DE6">
      <w:pPr>
        <w:tabs>
          <w:tab w:val="left" w:pos="2835"/>
        </w:tabs>
        <w:spacing w:line="240" w:lineRule="auto"/>
        <w:rPr>
          <w:rFonts w:ascii="Times New Roman" w:hAnsi="Times New Roman" w:cs="Times New Roman"/>
          <w:sz w:val="24"/>
          <w:szCs w:val="24"/>
        </w:rPr>
      </w:pPr>
    </w:p>
    <w:p w:rsidR="00405552" w:rsidRPr="00405552" w:rsidP="00A77DE6">
      <w:pPr>
        <w:spacing w:line="240" w:lineRule="auto"/>
        <w:rPr>
          <w:rFonts w:ascii="Times New Roman" w:hAnsi="Times New Roman" w:cs="Times New Roman"/>
          <w:sz w:val="24"/>
          <w:szCs w:val="24"/>
        </w:rPr>
      </w:pPr>
      <w:r w:rsidR="00A77DE6">
        <w:rPr>
          <w:rFonts w:ascii="Times New Roman" w:hAnsi="Times New Roman" w:cs="Times New Roman"/>
          <w:sz w:val="24"/>
          <w:szCs w:val="24"/>
        </w:rPr>
        <w:tab/>
      </w:r>
      <w:r w:rsidRPr="00405552">
        <w:rPr>
          <w:rFonts w:ascii="Times New Roman" w:hAnsi="Times New Roman" w:cs="Times New Roman"/>
          <w:sz w:val="24"/>
          <w:szCs w:val="24"/>
        </w:rPr>
        <w:t xml:space="preserve">Vedúci kontrolovaného subjektu prijal </w:t>
      </w:r>
      <w:r w:rsidRPr="00A77DE6">
        <w:rPr>
          <w:rFonts w:ascii="Times New Roman" w:hAnsi="Times New Roman" w:cs="Times New Roman"/>
          <w:sz w:val="24"/>
          <w:szCs w:val="24"/>
        </w:rPr>
        <w:t>celkom 4 opatrenia na nápravu  zistených nedostatkov a na odstránenie príčin ich vzniku, ktoré boli zamerané na</w:t>
      </w:r>
      <w:r w:rsidRPr="00405552">
        <w:rPr>
          <w:rFonts w:ascii="Times New Roman" w:hAnsi="Times New Roman" w:cs="Times New Roman"/>
          <w:sz w:val="24"/>
          <w:szCs w:val="24"/>
        </w:rPr>
        <w:t xml:space="preserve"> zlepšenie vedenia účtovnej evidencie (formou dodávateľského spôsobu), na zrušenie vyberania poplatkov od žiadateľov a na vykonanie školenia zodpovedných osôb k zákonu o cestovných náhradách. Zo správy o splnení prijatých opatrení vyplynulo, že všetky prijaté termínované opatrenia boli spl</w:t>
      </w:r>
      <w:r w:rsidR="00A77DE6">
        <w:rPr>
          <w:rFonts w:ascii="Times New Roman" w:hAnsi="Times New Roman" w:cs="Times New Roman"/>
          <w:sz w:val="24"/>
          <w:szCs w:val="24"/>
        </w:rPr>
        <w:t xml:space="preserve">nené v termíne do </w:t>
      </w:r>
      <w:r w:rsidRPr="00405552">
        <w:rPr>
          <w:rFonts w:ascii="Times New Roman" w:hAnsi="Times New Roman" w:cs="Times New Roman"/>
          <w:sz w:val="24"/>
          <w:szCs w:val="24"/>
        </w:rPr>
        <w:t xml:space="preserve">16.03.2007 a opatrenia trvalého charakteru </w:t>
      </w:r>
      <w:r w:rsidR="002436DE">
        <w:rPr>
          <w:rFonts w:ascii="Times New Roman" w:hAnsi="Times New Roman" w:cs="Times New Roman"/>
          <w:sz w:val="24"/>
          <w:szCs w:val="24"/>
        </w:rPr>
        <w:t>sú priebežne plnené. Vzhľadom na to</w:t>
      </w:r>
      <w:r w:rsidRPr="00405552">
        <w:rPr>
          <w:rFonts w:ascii="Times New Roman" w:hAnsi="Times New Roman" w:cs="Times New Roman"/>
          <w:sz w:val="24"/>
          <w:szCs w:val="24"/>
        </w:rPr>
        <w:t>, že kontrolovaný subjekt odviedol prostriedky ŠR vo výške porušenia finančnej disciplíny do</w:t>
      </w:r>
      <w:r w:rsidR="00A77DE6">
        <w:rPr>
          <w:rFonts w:ascii="Times New Roman" w:hAnsi="Times New Roman" w:cs="Times New Roman"/>
          <w:sz w:val="24"/>
          <w:szCs w:val="24"/>
        </w:rPr>
        <w:t xml:space="preserve"> dňa ukončenia kontroly, </w:t>
      </w:r>
      <w:r w:rsidRPr="00405552">
        <w:rPr>
          <w:rFonts w:ascii="Times New Roman" w:hAnsi="Times New Roman" w:cs="Times New Roman"/>
          <w:sz w:val="24"/>
          <w:szCs w:val="24"/>
        </w:rPr>
        <w:t xml:space="preserve">správne konanie </w:t>
      </w:r>
      <w:r w:rsidR="00A77DE6">
        <w:rPr>
          <w:rFonts w:ascii="Times New Roman" w:hAnsi="Times New Roman" w:cs="Times New Roman"/>
          <w:sz w:val="24"/>
          <w:szCs w:val="24"/>
        </w:rPr>
        <w:t xml:space="preserve">sa </w:t>
      </w:r>
      <w:r w:rsidRPr="00405552">
        <w:rPr>
          <w:rFonts w:ascii="Times New Roman" w:hAnsi="Times New Roman" w:cs="Times New Roman"/>
          <w:sz w:val="24"/>
          <w:szCs w:val="24"/>
        </w:rPr>
        <w:t>nezačalo.</w:t>
      </w:r>
    </w:p>
    <w:p w:rsidR="00405552" w:rsidRPr="00405552" w:rsidP="00405552">
      <w:pPr>
        <w:spacing w:line="240" w:lineRule="auto"/>
        <w:rPr>
          <w:rFonts w:ascii="Times New Roman" w:hAnsi="Times New Roman" w:cs="Times New Roman"/>
          <w:sz w:val="24"/>
          <w:szCs w:val="24"/>
        </w:rPr>
      </w:pPr>
    </w:p>
    <w:p w:rsidR="00405552" w:rsidP="001654CB">
      <w:pPr>
        <w:keepNext/>
        <w:numPr>
          <w:ilvl w:val="1"/>
          <w:numId w:val="20"/>
        </w:numPr>
        <w:tabs>
          <w:tab w:val="clear" w:pos="1440"/>
        </w:tabs>
        <w:spacing w:line="240" w:lineRule="auto"/>
        <w:ind w:left="360"/>
        <w:outlineLvl w:val="2"/>
        <w:rPr>
          <w:rFonts w:ascii="Times New Roman" w:hAnsi="Times New Roman" w:cs="Times New Roman"/>
          <w:b/>
          <w:sz w:val="24"/>
          <w:szCs w:val="24"/>
        </w:rPr>
      </w:pPr>
      <w:r w:rsidRPr="00405552">
        <w:rPr>
          <w:rFonts w:ascii="Times New Roman" w:hAnsi="Times New Roman" w:cs="Times New Roman"/>
          <w:b/>
          <w:sz w:val="24"/>
          <w:szCs w:val="24"/>
        </w:rPr>
        <w:t>Krajský úrad pre cestnú dopravu a pozemné komunikácie, Nitra</w:t>
      </w:r>
    </w:p>
    <w:p w:rsidR="00A77DE6" w:rsidRPr="00405552" w:rsidP="00A77DE6">
      <w:pPr>
        <w:keepNext/>
        <w:spacing w:line="240" w:lineRule="auto"/>
        <w:outlineLvl w:val="2"/>
        <w:rPr>
          <w:rFonts w:ascii="Times New Roman" w:hAnsi="Times New Roman" w:cs="Times New Roman"/>
          <w:b/>
          <w:sz w:val="24"/>
          <w:szCs w:val="24"/>
        </w:rPr>
      </w:pPr>
    </w:p>
    <w:p w:rsidR="00405552" w:rsidP="00405552">
      <w:pPr>
        <w:tabs>
          <w:tab w:val="left" w:pos="0"/>
        </w:tabs>
        <w:spacing w:line="240" w:lineRule="auto"/>
        <w:rPr>
          <w:rFonts w:ascii="Times New Roman" w:hAnsi="Times New Roman" w:cs="Times New Roman"/>
          <w:sz w:val="24"/>
          <w:szCs w:val="24"/>
        </w:rPr>
      </w:pPr>
      <w:r w:rsidR="00A77DE6">
        <w:rPr>
          <w:rFonts w:ascii="Times New Roman" w:hAnsi="Times New Roman" w:cs="Times New Roman"/>
          <w:sz w:val="24"/>
          <w:szCs w:val="24"/>
        </w:rPr>
        <w:tab/>
      </w:r>
      <w:r w:rsidRPr="00405552">
        <w:rPr>
          <w:rFonts w:ascii="Times New Roman" w:hAnsi="Times New Roman" w:cs="Times New Roman"/>
          <w:sz w:val="24"/>
          <w:szCs w:val="24"/>
        </w:rPr>
        <w:t>Následná finančná kontrola bola zameraná na hospodárenie a vynakladanie rozpočtových prostriedkov v súlade so zákonom č. 523/2004 Z.z. o rozpočtových pravidlách verejnej správy, nakladanie s majetkom štátu v zmysle zákona č. 278/1993 Z.z.  o správe majetku štátu a dodržiavania zákonov č. 431/2002 Z.z. o účtovníctve v znení neskoršíc</w:t>
      </w:r>
      <w:r w:rsidR="002A785E">
        <w:rPr>
          <w:rFonts w:ascii="Times New Roman" w:hAnsi="Times New Roman" w:cs="Times New Roman"/>
          <w:sz w:val="24"/>
          <w:szCs w:val="24"/>
        </w:rPr>
        <w:t xml:space="preserve">h predpisov </w:t>
      </w:r>
      <w:r w:rsidRPr="00405552">
        <w:rPr>
          <w:rFonts w:ascii="Times New Roman" w:hAnsi="Times New Roman" w:cs="Times New Roman"/>
          <w:sz w:val="24"/>
          <w:szCs w:val="24"/>
        </w:rPr>
        <w:t xml:space="preserve">a zákona č. 523/2003 Z.z., resp. zákona č. 25/2006 Z.z. o verejnom obstarávaní. </w:t>
      </w:r>
    </w:p>
    <w:p w:rsidR="002A785E" w:rsidRPr="00405552" w:rsidP="00405552">
      <w:pPr>
        <w:tabs>
          <w:tab w:val="left" w:pos="0"/>
        </w:tabs>
        <w:spacing w:line="240" w:lineRule="auto"/>
        <w:rPr>
          <w:rFonts w:ascii="Times New Roman" w:hAnsi="Times New Roman" w:cs="Times New Roman"/>
          <w:sz w:val="24"/>
          <w:szCs w:val="24"/>
        </w:rPr>
      </w:pPr>
    </w:p>
    <w:p w:rsidR="00405552" w:rsidRPr="002A785E" w:rsidP="00405552">
      <w:pPr>
        <w:tabs>
          <w:tab w:val="left" w:pos="0"/>
        </w:tabs>
        <w:spacing w:line="240" w:lineRule="auto"/>
        <w:rPr>
          <w:rFonts w:ascii="Times New Roman" w:hAnsi="Times New Roman" w:cs="Times New Roman"/>
          <w:sz w:val="24"/>
          <w:szCs w:val="24"/>
        </w:rPr>
      </w:pPr>
      <w:r w:rsidR="000E4165">
        <w:rPr>
          <w:rFonts w:ascii="Times New Roman" w:hAnsi="Times New Roman" w:cs="Times New Roman"/>
          <w:bCs/>
          <w:sz w:val="24"/>
          <w:szCs w:val="24"/>
        </w:rPr>
        <w:tab/>
      </w:r>
      <w:r w:rsidRPr="002A785E">
        <w:rPr>
          <w:rFonts w:ascii="Times New Roman" w:hAnsi="Times New Roman" w:cs="Times New Roman"/>
          <w:bCs/>
          <w:sz w:val="24"/>
          <w:szCs w:val="24"/>
        </w:rPr>
        <w:t>Celková kontrolovaná suma prostriedkov ŠR:</w:t>
      </w:r>
      <w:r w:rsidR="002A785E">
        <w:rPr>
          <w:rFonts w:ascii="Times New Roman" w:hAnsi="Times New Roman" w:cs="Times New Roman"/>
          <w:sz w:val="24"/>
          <w:szCs w:val="24"/>
        </w:rPr>
        <w:t xml:space="preserve"> </w:t>
      </w:r>
      <w:r w:rsidRPr="002A785E">
        <w:rPr>
          <w:rFonts w:ascii="Times New Roman" w:hAnsi="Times New Roman" w:cs="Times New Roman"/>
          <w:sz w:val="24"/>
          <w:szCs w:val="24"/>
        </w:rPr>
        <w:t>4 849 279,- Sk</w:t>
      </w:r>
    </w:p>
    <w:p w:rsidR="00405552" w:rsidP="000E4165">
      <w:pPr>
        <w:spacing w:line="240" w:lineRule="auto"/>
        <w:ind w:firstLine="709"/>
        <w:outlineLvl w:val="1"/>
        <w:rPr>
          <w:rFonts w:ascii="Times New Roman" w:hAnsi="Times New Roman" w:cs="Times New Roman"/>
          <w:iCs/>
          <w:sz w:val="24"/>
          <w:szCs w:val="24"/>
        </w:rPr>
      </w:pPr>
      <w:r w:rsidRPr="002A785E">
        <w:rPr>
          <w:rFonts w:ascii="Times New Roman" w:hAnsi="Times New Roman" w:cs="Times New Roman"/>
          <w:bCs/>
          <w:iCs/>
          <w:sz w:val="24"/>
          <w:szCs w:val="24"/>
        </w:rPr>
        <w:t xml:space="preserve">Kontrolné zistenia a prijaté  opatrenia:  </w:t>
      </w:r>
      <w:r w:rsidRPr="002A785E">
        <w:rPr>
          <w:rFonts w:ascii="Times New Roman" w:hAnsi="Times New Roman" w:cs="Times New Roman"/>
          <w:iCs/>
          <w:sz w:val="24"/>
          <w:szCs w:val="24"/>
        </w:rPr>
        <w:t xml:space="preserve"> </w:t>
      </w:r>
    </w:p>
    <w:p w:rsidR="002A785E" w:rsidRPr="002A785E" w:rsidP="00405552">
      <w:pPr>
        <w:spacing w:line="240" w:lineRule="auto"/>
        <w:outlineLvl w:val="1"/>
        <w:rPr>
          <w:rFonts w:ascii="Times New Roman" w:hAnsi="Times New Roman" w:cs="Times New Roman"/>
          <w:iCs/>
          <w:sz w:val="24"/>
          <w:szCs w:val="24"/>
        </w:rPr>
      </w:pPr>
    </w:p>
    <w:p w:rsidR="00405552" w:rsidRPr="00405552" w:rsidP="00405552">
      <w:pPr>
        <w:numPr>
          <w:ilvl w:val="0"/>
          <w:numId w:val="25"/>
        </w:numPr>
        <w:tabs>
          <w:tab w:val="left" w:pos="567"/>
          <w:tab w:val="left" w:pos="720"/>
          <w:tab w:val="left" w:pos="2835"/>
          <w:tab w:val="left" w:pos="3119"/>
          <w:tab w:val="left" w:pos="3263"/>
        </w:tabs>
        <w:spacing w:line="240" w:lineRule="auto"/>
        <w:rPr>
          <w:rFonts w:ascii="Times New Roman" w:hAnsi="Times New Roman" w:cs="Times New Roman"/>
          <w:sz w:val="24"/>
          <w:szCs w:val="24"/>
        </w:rPr>
      </w:pPr>
      <w:r w:rsidR="002436DE">
        <w:rPr>
          <w:rFonts w:ascii="Times New Roman" w:hAnsi="Times New Roman" w:cs="Times New Roman"/>
          <w:sz w:val="24"/>
          <w:szCs w:val="24"/>
        </w:rPr>
        <w:t xml:space="preserve">  Pri </w:t>
      </w:r>
      <w:r w:rsidRPr="00405552">
        <w:rPr>
          <w:rFonts w:ascii="Times New Roman" w:hAnsi="Times New Roman" w:cs="Times New Roman"/>
          <w:sz w:val="24"/>
          <w:szCs w:val="24"/>
        </w:rPr>
        <w:t xml:space="preserve">viacerých  príjmových dokladoch nebola vykonaná predbežná finančná kontrola, čo bolo v rozpore s § 6 ods. 1 zákona č. 502/2001 Z.z., ako aj v rozpore s príslušným interným predpisom. </w:t>
      </w:r>
    </w:p>
    <w:p w:rsidR="002A785E" w:rsidP="00405552">
      <w:pPr>
        <w:tabs>
          <w:tab w:val="left" w:pos="2835"/>
        </w:tabs>
        <w:spacing w:line="240" w:lineRule="auto"/>
        <w:ind w:firstLine="567"/>
        <w:rPr>
          <w:rFonts w:ascii="Times New Roman" w:hAnsi="Times New Roman" w:cs="Times New Roman"/>
          <w:sz w:val="24"/>
          <w:szCs w:val="24"/>
        </w:rPr>
      </w:pPr>
    </w:p>
    <w:p w:rsidR="00405552" w:rsidRPr="00405552" w:rsidP="00405552">
      <w:pPr>
        <w:tabs>
          <w:tab w:val="left" w:pos="2835"/>
        </w:tabs>
        <w:spacing w:line="240" w:lineRule="auto"/>
        <w:ind w:firstLine="567"/>
        <w:rPr>
          <w:rFonts w:ascii="Times New Roman" w:hAnsi="Times New Roman" w:cs="Times New Roman"/>
          <w:sz w:val="24"/>
          <w:szCs w:val="24"/>
        </w:rPr>
      </w:pPr>
      <w:r w:rsidRPr="00405552">
        <w:rPr>
          <w:rFonts w:ascii="Times New Roman" w:hAnsi="Times New Roman" w:cs="Times New Roman"/>
          <w:sz w:val="24"/>
          <w:szCs w:val="24"/>
        </w:rPr>
        <w:t>Vedúci kontrolovaného subjektu prijal celkom 2 opatrenia na nápravu  zistených nedostatkov a na odstránenie príčin ich vzniku, ktoré boli zamerané na zabezpečenie vykonávania predbežnej finančnej kontroly u všetkých finančných operácií, ako aj pravidelnú kontrolu jej vykonávania. Zo správy o splnení prijatých opatrení vyplynulo, že 1 termínované opatrenie bolo v termíne do 30.06.2007 splnené a 1 opatrenie trvalého charakteru sa priebežne plní.</w:t>
      </w:r>
    </w:p>
    <w:p w:rsidR="00405552" w:rsidRPr="00405552" w:rsidP="00405552">
      <w:pPr>
        <w:spacing w:line="240" w:lineRule="auto"/>
        <w:rPr>
          <w:rFonts w:ascii="Times New Roman" w:hAnsi="Times New Roman" w:cs="Times New Roman"/>
          <w:sz w:val="24"/>
          <w:szCs w:val="24"/>
        </w:rPr>
      </w:pPr>
    </w:p>
    <w:p w:rsidR="00405552" w:rsidRPr="00405552" w:rsidP="00405552">
      <w:pPr>
        <w:spacing w:line="240" w:lineRule="auto"/>
        <w:rPr>
          <w:rFonts w:ascii="Times New Roman" w:hAnsi="Times New Roman" w:cs="Times New Roman"/>
          <w:b/>
          <w:bCs/>
          <w:sz w:val="24"/>
          <w:szCs w:val="24"/>
        </w:rPr>
      </w:pPr>
      <w:r w:rsidR="00C75A2D">
        <w:rPr>
          <w:rFonts w:ascii="Times New Roman" w:hAnsi="Times New Roman" w:cs="Times New Roman"/>
          <w:b/>
          <w:bCs/>
          <w:sz w:val="24"/>
          <w:szCs w:val="24"/>
        </w:rPr>
        <w:t>5</w:t>
      </w:r>
      <w:r w:rsidR="00231633">
        <w:rPr>
          <w:rFonts w:ascii="Times New Roman" w:hAnsi="Times New Roman" w:cs="Times New Roman"/>
          <w:b/>
          <w:bCs/>
          <w:sz w:val="24"/>
          <w:szCs w:val="24"/>
        </w:rPr>
        <w:t xml:space="preserve">.   </w:t>
      </w:r>
      <w:r w:rsidRPr="00405552">
        <w:rPr>
          <w:rFonts w:ascii="Times New Roman" w:hAnsi="Times New Roman" w:cs="Times New Roman"/>
          <w:b/>
          <w:bCs/>
          <w:sz w:val="24"/>
          <w:szCs w:val="24"/>
        </w:rPr>
        <w:t>Národná diaľničná spoločnosť, a.s., Bratislava</w:t>
      </w:r>
    </w:p>
    <w:p w:rsidR="00231633" w:rsidP="00405552">
      <w:pPr>
        <w:tabs>
          <w:tab w:val="left" w:pos="720"/>
          <w:tab w:val="left" w:pos="2835"/>
          <w:tab w:val="left" w:pos="3119"/>
          <w:tab w:val="left" w:pos="3263"/>
        </w:tabs>
        <w:spacing w:line="240" w:lineRule="auto"/>
        <w:rPr>
          <w:rFonts w:ascii="Times New Roman" w:hAnsi="Times New Roman" w:cs="Times New Roman"/>
          <w:iCs/>
          <w:sz w:val="24"/>
          <w:szCs w:val="24"/>
        </w:rPr>
      </w:pPr>
    </w:p>
    <w:p w:rsidR="00405552" w:rsidP="00405552">
      <w:pPr>
        <w:tabs>
          <w:tab w:val="left" w:pos="720"/>
          <w:tab w:val="left" w:pos="2835"/>
          <w:tab w:val="left" w:pos="3119"/>
          <w:tab w:val="left" w:pos="3263"/>
        </w:tabs>
        <w:spacing w:line="240" w:lineRule="auto"/>
        <w:rPr>
          <w:rFonts w:ascii="Times New Roman" w:hAnsi="Times New Roman" w:cs="Times New Roman"/>
          <w:sz w:val="24"/>
          <w:szCs w:val="24"/>
        </w:rPr>
      </w:pPr>
      <w:r w:rsidR="00231633">
        <w:rPr>
          <w:rFonts w:ascii="Times New Roman" w:hAnsi="Times New Roman" w:cs="Times New Roman"/>
          <w:iCs/>
          <w:sz w:val="24"/>
          <w:szCs w:val="24"/>
        </w:rPr>
        <w:tab/>
      </w:r>
      <w:r w:rsidRPr="00405552">
        <w:rPr>
          <w:rFonts w:ascii="Times New Roman" w:hAnsi="Times New Roman" w:cs="Times New Roman"/>
          <w:iCs/>
          <w:sz w:val="24"/>
          <w:szCs w:val="24"/>
        </w:rPr>
        <w:t xml:space="preserve">Následná finančná kontrola bola zameraná na </w:t>
      </w:r>
      <w:r w:rsidR="00231633">
        <w:rPr>
          <w:rFonts w:ascii="Times New Roman" w:hAnsi="Times New Roman" w:cs="Times New Roman"/>
          <w:iCs/>
          <w:sz w:val="24"/>
          <w:szCs w:val="24"/>
        </w:rPr>
        <w:t xml:space="preserve">hospodárenie s prostriedkami štátneho rozpočtu </w:t>
      </w:r>
      <w:r w:rsidRPr="00405552">
        <w:rPr>
          <w:rFonts w:ascii="Times New Roman" w:hAnsi="Times New Roman" w:cs="Times New Roman"/>
          <w:iCs/>
          <w:sz w:val="24"/>
          <w:szCs w:val="24"/>
        </w:rPr>
        <w:t>použitých na vybranú stavbu diaľnice D1 v úseku Hybe – Važec.</w:t>
      </w:r>
      <w:r w:rsidRPr="00405552">
        <w:rPr>
          <w:rFonts w:ascii="Times New Roman" w:hAnsi="Times New Roman" w:cs="Times New Roman"/>
          <w:sz w:val="24"/>
          <w:szCs w:val="24"/>
        </w:rPr>
        <w:t xml:space="preserve"> </w:t>
      </w:r>
    </w:p>
    <w:p w:rsidR="00231633" w:rsidRPr="00405552" w:rsidP="00405552">
      <w:pPr>
        <w:tabs>
          <w:tab w:val="left" w:pos="720"/>
          <w:tab w:val="left" w:pos="2835"/>
          <w:tab w:val="left" w:pos="3119"/>
          <w:tab w:val="left" w:pos="3263"/>
        </w:tabs>
        <w:spacing w:line="240" w:lineRule="auto"/>
        <w:rPr>
          <w:rFonts w:ascii="Times New Roman" w:hAnsi="Times New Roman" w:cs="Times New Roman"/>
          <w:sz w:val="24"/>
          <w:szCs w:val="24"/>
        </w:rPr>
      </w:pPr>
    </w:p>
    <w:p w:rsidR="00231633" w:rsidRPr="00231633" w:rsidP="00231633">
      <w:pPr>
        <w:tabs>
          <w:tab w:val="left" w:pos="0"/>
        </w:tabs>
        <w:spacing w:line="240" w:lineRule="auto"/>
        <w:ind w:left="278" w:hanging="357"/>
        <w:rPr>
          <w:rFonts w:ascii="Times New Roman" w:hAnsi="Times New Roman" w:cs="Times New Roman"/>
          <w:sz w:val="24"/>
          <w:szCs w:val="24"/>
        </w:rPr>
      </w:pPr>
      <w:r w:rsidR="000E4165">
        <w:rPr>
          <w:rFonts w:ascii="Times New Roman" w:hAnsi="Times New Roman" w:cs="Times New Roman"/>
          <w:bCs/>
          <w:sz w:val="24"/>
          <w:szCs w:val="24"/>
        </w:rPr>
        <w:tab/>
        <w:tab/>
        <w:tab/>
      </w:r>
      <w:r w:rsidRPr="00231633" w:rsidR="00405552">
        <w:rPr>
          <w:rFonts w:ascii="Times New Roman" w:hAnsi="Times New Roman" w:cs="Times New Roman"/>
          <w:bCs/>
          <w:sz w:val="24"/>
          <w:szCs w:val="24"/>
        </w:rPr>
        <w:t>Celková kontrolovaná suma prostriedkov ŠR:</w:t>
      </w:r>
      <w:r>
        <w:rPr>
          <w:rFonts w:ascii="Times New Roman" w:hAnsi="Times New Roman" w:cs="Times New Roman"/>
          <w:sz w:val="24"/>
          <w:szCs w:val="24"/>
        </w:rPr>
        <w:t xml:space="preserve"> </w:t>
      </w:r>
      <w:r w:rsidRPr="00231633" w:rsidR="00405552">
        <w:rPr>
          <w:rFonts w:ascii="Times New Roman" w:hAnsi="Times New Roman" w:cs="Times New Roman"/>
          <w:sz w:val="24"/>
          <w:szCs w:val="24"/>
        </w:rPr>
        <w:t>3 739 549 821,- Sk</w:t>
      </w:r>
    </w:p>
    <w:p w:rsidR="00405552" w:rsidRPr="00231633" w:rsidP="00231633">
      <w:pPr>
        <w:tabs>
          <w:tab w:val="left" w:pos="0"/>
        </w:tabs>
        <w:spacing w:line="240" w:lineRule="auto"/>
        <w:ind w:left="278" w:hanging="357"/>
        <w:rPr>
          <w:rFonts w:ascii="Times New Roman" w:hAnsi="Times New Roman" w:cs="Times New Roman"/>
          <w:iCs/>
          <w:sz w:val="24"/>
          <w:szCs w:val="24"/>
        </w:rPr>
      </w:pPr>
      <w:r w:rsidR="000E4165">
        <w:rPr>
          <w:rFonts w:ascii="Times New Roman" w:hAnsi="Times New Roman" w:cs="Times New Roman"/>
          <w:bCs/>
          <w:iCs/>
          <w:sz w:val="24"/>
          <w:szCs w:val="24"/>
        </w:rPr>
        <w:tab/>
        <w:tab/>
        <w:tab/>
      </w:r>
      <w:r w:rsidRPr="00231633">
        <w:rPr>
          <w:rFonts w:ascii="Times New Roman" w:hAnsi="Times New Roman" w:cs="Times New Roman"/>
          <w:bCs/>
          <w:iCs/>
          <w:sz w:val="24"/>
          <w:szCs w:val="24"/>
        </w:rPr>
        <w:t xml:space="preserve">Kontrolné zistenia a prijaté opatrenia: </w:t>
      </w:r>
      <w:r w:rsidRPr="00231633">
        <w:rPr>
          <w:rFonts w:ascii="Times New Roman" w:hAnsi="Times New Roman" w:cs="Times New Roman"/>
          <w:iCs/>
          <w:sz w:val="24"/>
          <w:szCs w:val="24"/>
        </w:rPr>
        <w:t xml:space="preserve"> </w:t>
      </w:r>
    </w:p>
    <w:p w:rsidR="00231633" w:rsidRPr="00231633" w:rsidP="00231633">
      <w:pPr>
        <w:tabs>
          <w:tab w:val="left" w:pos="0"/>
        </w:tabs>
        <w:spacing w:line="240" w:lineRule="auto"/>
        <w:ind w:left="278" w:hanging="357"/>
        <w:rPr>
          <w:rFonts w:ascii="Times New Roman" w:hAnsi="Times New Roman" w:cs="Times New Roman"/>
          <w:b/>
          <w:sz w:val="24"/>
          <w:szCs w:val="24"/>
        </w:rPr>
      </w:pPr>
    </w:p>
    <w:p w:rsidR="00405552" w:rsidRPr="00405552" w:rsidP="00405552">
      <w:pPr>
        <w:tabs>
          <w:tab w:val="left" w:pos="0"/>
        </w:tabs>
        <w:spacing w:line="240" w:lineRule="auto"/>
        <w:ind w:firstLine="360"/>
        <w:outlineLvl w:val="1"/>
        <w:rPr>
          <w:rFonts w:ascii="Times New Roman" w:hAnsi="Times New Roman" w:cs="Times New Roman"/>
          <w:sz w:val="24"/>
          <w:szCs w:val="24"/>
        </w:rPr>
      </w:pPr>
      <w:r w:rsidR="002436DE">
        <w:rPr>
          <w:rFonts w:ascii="Times New Roman" w:hAnsi="Times New Roman" w:cs="Times New Roman"/>
          <w:iCs/>
          <w:sz w:val="24"/>
          <w:szCs w:val="24"/>
        </w:rPr>
        <w:t xml:space="preserve"> -</w:t>
        <w:tab/>
        <w:t>u</w:t>
      </w:r>
      <w:r w:rsidRPr="00405552">
        <w:rPr>
          <w:rFonts w:ascii="Times New Roman" w:hAnsi="Times New Roman" w:cs="Times New Roman"/>
          <w:iCs/>
          <w:sz w:val="24"/>
          <w:szCs w:val="24"/>
        </w:rPr>
        <w:t>vedenie nesprávneho dátumu vyda</w:t>
      </w:r>
      <w:r w:rsidR="00231633">
        <w:rPr>
          <w:rFonts w:ascii="Times New Roman" w:hAnsi="Times New Roman" w:cs="Times New Roman"/>
          <w:iCs/>
          <w:sz w:val="24"/>
          <w:szCs w:val="24"/>
        </w:rPr>
        <w:t>nia u dvoch stavebných povolení</w:t>
      </w:r>
      <w:r w:rsidRPr="00920C86" w:rsidR="00231633">
        <w:rPr>
          <w:rFonts w:ascii="Times New Roman" w:hAnsi="Times New Roman" w:cs="Times New Roman"/>
          <w:sz w:val="24"/>
          <w:szCs w:val="24"/>
        </w:rPr>
        <w:t>;</w:t>
      </w:r>
    </w:p>
    <w:p w:rsidR="00405552" w:rsidRPr="00405552" w:rsidP="001654CB">
      <w:pPr>
        <w:numPr>
          <w:ilvl w:val="0"/>
          <w:numId w:val="25"/>
        </w:numPr>
        <w:tabs>
          <w:tab w:val="left" w:pos="360"/>
          <w:tab w:val="left" w:pos="720"/>
          <w:tab w:val="left" w:pos="2835"/>
          <w:tab w:val="left" w:pos="3119"/>
          <w:tab w:val="left" w:pos="3263"/>
        </w:tabs>
        <w:spacing w:line="240" w:lineRule="auto"/>
        <w:rPr>
          <w:rFonts w:ascii="Times New Roman" w:hAnsi="Times New Roman" w:cs="Times New Roman"/>
          <w:sz w:val="24"/>
          <w:szCs w:val="24"/>
        </w:rPr>
      </w:pPr>
      <w:r w:rsidR="002436DE">
        <w:rPr>
          <w:rFonts w:ascii="Times New Roman" w:hAnsi="Times New Roman" w:cs="Times New Roman"/>
          <w:sz w:val="24"/>
          <w:szCs w:val="24"/>
        </w:rPr>
        <w:t>n</w:t>
      </w:r>
      <w:r w:rsidRPr="00405552">
        <w:rPr>
          <w:rFonts w:ascii="Times New Roman" w:hAnsi="Times New Roman" w:cs="Times New Roman"/>
          <w:sz w:val="24"/>
          <w:szCs w:val="24"/>
        </w:rPr>
        <w:t>iektoré dodatky k zmluve o dielo neboli uz</w:t>
      </w:r>
      <w:r w:rsidR="00231633">
        <w:rPr>
          <w:rFonts w:ascii="Times New Roman" w:hAnsi="Times New Roman" w:cs="Times New Roman"/>
          <w:sz w:val="24"/>
          <w:szCs w:val="24"/>
        </w:rPr>
        <w:t>atvárané chronologicky za sebou</w:t>
      </w:r>
      <w:r w:rsidRPr="00920C86" w:rsidR="00231633">
        <w:rPr>
          <w:rFonts w:ascii="Times New Roman" w:hAnsi="Times New Roman" w:cs="Times New Roman"/>
          <w:sz w:val="24"/>
          <w:szCs w:val="24"/>
        </w:rPr>
        <w:t>;</w:t>
      </w:r>
    </w:p>
    <w:p w:rsidR="00405552" w:rsidRPr="00405552" w:rsidP="001654CB">
      <w:pPr>
        <w:numPr>
          <w:ilvl w:val="0"/>
          <w:numId w:val="25"/>
        </w:numPr>
        <w:tabs>
          <w:tab w:val="left" w:pos="360"/>
          <w:tab w:val="left" w:pos="720"/>
          <w:tab w:val="left" w:pos="2835"/>
          <w:tab w:val="left" w:pos="3119"/>
          <w:tab w:val="left" w:pos="3263"/>
        </w:tabs>
        <w:spacing w:line="240" w:lineRule="auto"/>
        <w:rPr>
          <w:rFonts w:ascii="Times New Roman" w:hAnsi="Times New Roman" w:cs="Times New Roman"/>
          <w:sz w:val="24"/>
          <w:szCs w:val="24"/>
        </w:rPr>
      </w:pPr>
      <w:r w:rsidR="002436DE">
        <w:rPr>
          <w:rFonts w:ascii="Times New Roman" w:hAnsi="Times New Roman" w:cs="Times New Roman"/>
          <w:sz w:val="24"/>
          <w:szCs w:val="24"/>
        </w:rPr>
        <w:t>n</w:t>
      </w:r>
      <w:r w:rsidRPr="00405552">
        <w:rPr>
          <w:rFonts w:ascii="Times New Roman" w:hAnsi="Times New Roman" w:cs="Times New Roman"/>
          <w:sz w:val="24"/>
          <w:szCs w:val="24"/>
        </w:rPr>
        <w:t>esprávne vypočítaná výsledná suma v jednom dodatku</w:t>
      </w:r>
      <w:r w:rsidR="00231633">
        <w:rPr>
          <w:rFonts w:ascii="Times New Roman" w:hAnsi="Times New Roman" w:cs="Times New Roman"/>
          <w:sz w:val="24"/>
          <w:szCs w:val="24"/>
        </w:rPr>
        <w:t xml:space="preserve">  k zmluve o dielo</w:t>
      </w:r>
      <w:r w:rsidRPr="00920C86" w:rsidR="00231633">
        <w:rPr>
          <w:rFonts w:ascii="Times New Roman" w:hAnsi="Times New Roman" w:cs="Times New Roman"/>
          <w:sz w:val="24"/>
          <w:szCs w:val="24"/>
        </w:rPr>
        <w:t>;</w:t>
      </w:r>
    </w:p>
    <w:p w:rsidR="00405552" w:rsidRPr="00405552" w:rsidP="001654CB">
      <w:pPr>
        <w:numPr>
          <w:ilvl w:val="0"/>
          <w:numId w:val="25"/>
        </w:numPr>
        <w:tabs>
          <w:tab w:val="left" w:pos="360"/>
          <w:tab w:val="left" w:pos="720"/>
          <w:tab w:val="left" w:pos="2835"/>
          <w:tab w:val="left" w:pos="3119"/>
          <w:tab w:val="left" w:pos="3263"/>
        </w:tabs>
        <w:spacing w:line="240" w:lineRule="auto"/>
        <w:rPr>
          <w:rFonts w:ascii="Times New Roman" w:hAnsi="Times New Roman" w:cs="Times New Roman"/>
          <w:sz w:val="24"/>
          <w:szCs w:val="24"/>
        </w:rPr>
      </w:pPr>
      <w:r w:rsidR="002436DE">
        <w:rPr>
          <w:rFonts w:ascii="Times New Roman" w:hAnsi="Times New Roman" w:cs="Times New Roman"/>
          <w:sz w:val="24"/>
          <w:szCs w:val="24"/>
        </w:rPr>
        <w:t>u</w:t>
      </w:r>
      <w:r w:rsidRPr="00405552">
        <w:rPr>
          <w:rFonts w:ascii="Times New Roman" w:hAnsi="Times New Roman" w:cs="Times New Roman"/>
          <w:sz w:val="24"/>
          <w:szCs w:val="24"/>
        </w:rPr>
        <w:t>hradenie faktúr 6, resp. 3 mesiace pred  uzat</w:t>
      </w:r>
      <w:r w:rsidR="002436DE">
        <w:rPr>
          <w:rFonts w:ascii="Times New Roman" w:hAnsi="Times New Roman" w:cs="Times New Roman"/>
          <w:sz w:val="24"/>
          <w:szCs w:val="24"/>
        </w:rPr>
        <w:t>vorením dodatku k zmluve o diele</w:t>
      </w:r>
      <w:r w:rsidRPr="00405552">
        <w:rPr>
          <w:rFonts w:ascii="Times New Roman" w:hAnsi="Times New Roman" w:cs="Times New Roman"/>
          <w:sz w:val="24"/>
          <w:szCs w:val="24"/>
        </w:rPr>
        <w:t>, čím došlo k nedo</w:t>
      </w:r>
      <w:r w:rsidR="002436DE">
        <w:rPr>
          <w:rFonts w:ascii="Times New Roman" w:hAnsi="Times New Roman" w:cs="Times New Roman"/>
          <w:sz w:val="24"/>
          <w:szCs w:val="24"/>
        </w:rPr>
        <w:t>držaniu uzavretej zmluvy o diele</w:t>
      </w:r>
      <w:r w:rsidRPr="00405552">
        <w:rPr>
          <w:rFonts w:ascii="Times New Roman" w:hAnsi="Times New Roman" w:cs="Times New Roman"/>
          <w:sz w:val="24"/>
          <w:szCs w:val="24"/>
        </w:rPr>
        <w:t xml:space="preserve">, ktorej neoddeliteľnou </w:t>
      </w:r>
      <w:r w:rsidR="000E4165">
        <w:rPr>
          <w:rFonts w:ascii="Times New Roman" w:hAnsi="Times New Roman" w:cs="Times New Roman"/>
          <w:sz w:val="24"/>
          <w:szCs w:val="24"/>
        </w:rPr>
        <w:t>súčasťou bol aj rozpočet stavby</w:t>
      </w:r>
      <w:r w:rsidRPr="00920C86" w:rsidR="000E4165">
        <w:rPr>
          <w:rFonts w:ascii="Times New Roman" w:hAnsi="Times New Roman" w:cs="Times New Roman"/>
          <w:sz w:val="24"/>
          <w:szCs w:val="24"/>
        </w:rPr>
        <w:t>;</w:t>
      </w:r>
    </w:p>
    <w:p w:rsidR="00405552" w:rsidRPr="00405552" w:rsidP="001654CB">
      <w:pPr>
        <w:numPr>
          <w:ilvl w:val="0"/>
          <w:numId w:val="25"/>
        </w:numPr>
        <w:tabs>
          <w:tab w:val="left" w:pos="360"/>
          <w:tab w:val="left" w:pos="720"/>
          <w:tab w:val="left" w:pos="2835"/>
          <w:tab w:val="left" w:pos="3119"/>
          <w:tab w:val="left" w:pos="3263"/>
        </w:tabs>
        <w:spacing w:line="240" w:lineRule="auto"/>
        <w:rPr>
          <w:rFonts w:ascii="Times New Roman" w:hAnsi="Times New Roman" w:cs="Times New Roman"/>
          <w:sz w:val="24"/>
          <w:szCs w:val="24"/>
        </w:rPr>
      </w:pPr>
      <w:r w:rsidR="002436DE">
        <w:rPr>
          <w:rFonts w:ascii="Times New Roman" w:hAnsi="Times New Roman" w:cs="Times New Roman"/>
          <w:sz w:val="24"/>
          <w:szCs w:val="24"/>
        </w:rPr>
        <w:t>k</w:t>
      </w:r>
      <w:r w:rsidRPr="00405552">
        <w:rPr>
          <w:rFonts w:ascii="Times New Roman" w:hAnsi="Times New Roman" w:cs="Times New Roman"/>
          <w:sz w:val="24"/>
          <w:szCs w:val="24"/>
        </w:rPr>
        <w:t xml:space="preserve"> viacerým dodatkom k zmluve </w:t>
      </w:r>
      <w:r w:rsidR="002436DE">
        <w:rPr>
          <w:rFonts w:ascii="Times New Roman" w:hAnsi="Times New Roman" w:cs="Times New Roman"/>
          <w:sz w:val="24"/>
          <w:szCs w:val="24"/>
        </w:rPr>
        <w:t xml:space="preserve">o diele </w:t>
      </w:r>
      <w:r w:rsidRPr="00405552">
        <w:rPr>
          <w:rFonts w:ascii="Times New Roman" w:hAnsi="Times New Roman" w:cs="Times New Roman"/>
          <w:sz w:val="24"/>
          <w:szCs w:val="24"/>
        </w:rPr>
        <w:t>neboli priložené príslušné podkladové materiály podpísané oprávnenými pracovníkmi, ktoré by potvrdzovali ich opodstatnenie (porovnanie naviac prác, preberacie protokoly, vyjadrenia stave</w:t>
      </w:r>
      <w:r w:rsidR="000E4165">
        <w:rPr>
          <w:rFonts w:ascii="Times New Roman" w:hAnsi="Times New Roman" w:cs="Times New Roman"/>
          <w:sz w:val="24"/>
          <w:szCs w:val="24"/>
        </w:rPr>
        <w:t>bného dozoru alebo projektanta)</w:t>
      </w:r>
      <w:r w:rsidRPr="00920C86" w:rsidR="000E4165">
        <w:rPr>
          <w:rFonts w:ascii="Times New Roman" w:hAnsi="Times New Roman" w:cs="Times New Roman"/>
          <w:sz w:val="24"/>
          <w:szCs w:val="24"/>
        </w:rPr>
        <w:t>;</w:t>
      </w:r>
    </w:p>
    <w:p w:rsidR="00405552" w:rsidRPr="00405552" w:rsidP="001654CB">
      <w:pPr>
        <w:numPr>
          <w:ilvl w:val="0"/>
          <w:numId w:val="25"/>
        </w:numPr>
        <w:tabs>
          <w:tab w:val="left" w:pos="360"/>
          <w:tab w:val="left" w:pos="720"/>
          <w:tab w:val="left" w:pos="2835"/>
          <w:tab w:val="left" w:pos="3119"/>
          <w:tab w:val="left" w:pos="3263"/>
        </w:tabs>
        <w:spacing w:line="240" w:lineRule="auto"/>
        <w:rPr>
          <w:rFonts w:ascii="Times New Roman" w:hAnsi="Times New Roman" w:cs="Times New Roman"/>
          <w:sz w:val="24"/>
          <w:szCs w:val="24"/>
        </w:rPr>
      </w:pPr>
      <w:r w:rsidR="002436DE">
        <w:rPr>
          <w:rFonts w:ascii="Times New Roman" w:hAnsi="Times New Roman" w:cs="Times New Roman"/>
          <w:sz w:val="24"/>
          <w:szCs w:val="24"/>
        </w:rPr>
        <w:t>n</w:t>
      </w:r>
      <w:r w:rsidRPr="00405552">
        <w:rPr>
          <w:rFonts w:ascii="Times New Roman" w:hAnsi="Times New Roman" w:cs="Times New Roman"/>
          <w:sz w:val="24"/>
          <w:szCs w:val="24"/>
        </w:rPr>
        <w:t>epresnosti v rozpočtoch niektorých dod</w:t>
      </w:r>
      <w:r w:rsidR="000E4165">
        <w:rPr>
          <w:rFonts w:ascii="Times New Roman" w:hAnsi="Times New Roman" w:cs="Times New Roman"/>
          <w:sz w:val="24"/>
          <w:szCs w:val="24"/>
        </w:rPr>
        <w:t>atkov pri údajoch o množstvách</w:t>
      </w:r>
      <w:r w:rsidRPr="00920C86" w:rsidR="000E4165">
        <w:rPr>
          <w:rFonts w:ascii="Times New Roman" w:hAnsi="Times New Roman" w:cs="Times New Roman"/>
          <w:sz w:val="24"/>
          <w:szCs w:val="24"/>
        </w:rPr>
        <w:t>;</w:t>
      </w:r>
    </w:p>
    <w:p w:rsidR="00405552" w:rsidP="001654CB">
      <w:pPr>
        <w:numPr>
          <w:ilvl w:val="0"/>
          <w:numId w:val="25"/>
        </w:numPr>
        <w:tabs>
          <w:tab w:val="left" w:pos="360"/>
          <w:tab w:val="left" w:pos="720"/>
          <w:tab w:val="left" w:pos="2835"/>
          <w:tab w:val="left" w:pos="3119"/>
          <w:tab w:val="left" w:pos="3263"/>
        </w:tabs>
        <w:spacing w:line="240" w:lineRule="auto"/>
        <w:rPr>
          <w:rFonts w:ascii="Times New Roman" w:hAnsi="Times New Roman" w:cs="Times New Roman"/>
          <w:sz w:val="24"/>
          <w:szCs w:val="24"/>
        </w:rPr>
      </w:pPr>
      <w:r w:rsidR="002436DE">
        <w:rPr>
          <w:rFonts w:ascii="Times New Roman" w:hAnsi="Times New Roman" w:cs="Times New Roman"/>
          <w:sz w:val="24"/>
          <w:szCs w:val="24"/>
        </w:rPr>
        <w:t>i</w:t>
      </w:r>
      <w:r w:rsidRPr="00405552">
        <w:rPr>
          <w:rFonts w:ascii="Times New Roman" w:hAnsi="Times New Roman" w:cs="Times New Roman"/>
          <w:sz w:val="24"/>
          <w:szCs w:val="24"/>
        </w:rPr>
        <w:t xml:space="preserve">ndexácia ceny diela nebola upravovaná dodatkami.   </w:t>
      </w:r>
      <w:r w:rsidRPr="00405552">
        <w:rPr>
          <w:rFonts w:ascii="Times New Roman" w:hAnsi="Times New Roman" w:cs="Times New Roman"/>
          <w:sz w:val="24"/>
          <w:szCs w:val="24"/>
          <w:highlight w:val="yellow"/>
        </w:rPr>
        <w:t xml:space="preserve"> </w:t>
      </w:r>
    </w:p>
    <w:p w:rsidR="000E4165" w:rsidRPr="00405552" w:rsidP="000E4165">
      <w:pPr>
        <w:tabs>
          <w:tab w:val="left" w:pos="360"/>
          <w:tab w:val="left" w:pos="2835"/>
          <w:tab w:val="left" w:pos="3119"/>
          <w:tab w:val="left" w:pos="3263"/>
        </w:tabs>
        <w:spacing w:line="240" w:lineRule="auto"/>
        <w:rPr>
          <w:rFonts w:ascii="Times New Roman" w:hAnsi="Times New Roman" w:cs="Times New Roman"/>
          <w:sz w:val="24"/>
          <w:szCs w:val="24"/>
        </w:rPr>
      </w:pPr>
    </w:p>
    <w:p w:rsidR="00405552" w:rsidRPr="00405552" w:rsidP="000E4165">
      <w:pPr>
        <w:spacing w:line="240" w:lineRule="auto"/>
        <w:ind w:firstLine="567"/>
        <w:rPr>
          <w:rFonts w:ascii="Times New Roman" w:hAnsi="Times New Roman" w:cs="Times New Roman"/>
          <w:sz w:val="24"/>
          <w:szCs w:val="24"/>
        </w:rPr>
      </w:pPr>
      <w:r w:rsidR="000E4165">
        <w:rPr>
          <w:rFonts w:ascii="Times New Roman" w:hAnsi="Times New Roman" w:cs="Times New Roman"/>
          <w:sz w:val="24"/>
          <w:szCs w:val="24"/>
        </w:rPr>
        <w:tab/>
      </w:r>
      <w:r w:rsidRPr="00405552">
        <w:rPr>
          <w:rFonts w:ascii="Times New Roman" w:hAnsi="Times New Roman" w:cs="Times New Roman"/>
          <w:sz w:val="24"/>
          <w:szCs w:val="24"/>
        </w:rPr>
        <w:t xml:space="preserve">Vedúci kontrolovaného subjektu prijal v stanovenom </w:t>
      </w:r>
      <w:r w:rsidRPr="000E4165">
        <w:rPr>
          <w:rFonts w:ascii="Times New Roman" w:hAnsi="Times New Roman" w:cs="Times New Roman"/>
          <w:sz w:val="24"/>
          <w:szCs w:val="24"/>
        </w:rPr>
        <w:t>termíne 8 opatrení na nápravu</w:t>
      </w:r>
      <w:r w:rsidRPr="00405552">
        <w:rPr>
          <w:rFonts w:ascii="Times New Roman" w:hAnsi="Times New Roman" w:cs="Times New Roman"/>
          <w:sz w:val="24"/>
          <w:szCs w:val="24"/>
        </w:rPr>
        <w:t xml:space="preserve"> zistených nedostatkov a na odstránenie príčin ich vzniku. Opatrenia mali trvalý c</w:t>
      </w:r>
      <w:r w:rsidR="000E4165">
        <w:rPr>
          <w:rFonts w:ascii="Times New Roman" w:hAnsi="Times New Roman" w:cs="Times New Roman"/>
          <w:sz w:val="24"/>
          <w:szCs w:val="24"/>
        </w:rPr>
        <w:t xml:space="preserve">harakter a smerovali hlavne na </w:t>
      </w:r>
      <w:r w:rsidRPr="00405552">
        <w:rPr>
          <w:rFonts w:ascii="Times New Roman" w:hAnsi="Times New Roman" w:cs="Times New Roman"/>
          <w:sz w:val="24"/>
          <w:szCs w:val="24"/>
        </w:rPr>
        <w:t>zvýšenie k</w:t>
      </w:r>
      <w:r w:rsidR="000E4165">
        <w:rPr>
          <w:rFonts w:ascii="Times New Roman" w:hAnsi="Times New Roman" w:cs="Times New Roman"/>
          <w:sz w:val="24"/>
          <w:szCs w:val="24"/>
        </w:rPr>
        <w:t xml:space="preserve">ontroly stavebnej dokumentácie </w:t>
      </w:r>
      <w:r w:rsidRPr="00405552">
        <w:rPr>
          <w:rFonts w:ascii="Times New Roman" w:hAnsi="Times New Roman" w:cs="Times New Roman"/>
          <w:sz w:val="24"/>
          <w:szCs w:val="24"/>
        </w:rPr>
        <w:t>vyhodnocovaním dátumov vydania stavebných povolení a dátumov v evidencii došlej pošty, správnosti dátumov vyhotovenia dodatkov k zmluvám, zákazu úhrady faktúr pred uz</w:t>
      </w:r>
      <w:r w:rsidR="000E4165">
        <w:rPr>
          <w:rFonts w:ascii="Times New Roman" w:hAnsi="Times New Roman" w:cs="Times New Roman"/>
          <w:sz w:val="24"/>
          <w:szCs w:val="24"/>
        </w:rPr>
        <w:t xml:space="preserve">atvorením príslušných dodatkov </w:t>
      </w:r>
      <w:r w:rsidRPr="00405552">
        <w:rPr>
          <w:rFonts w:ascii="Times New Roman" w:hAnsi="Times New Roman" w:cs="Times New Roman"/>
          <w:sz w:val="24"/>
          <w:szCs w:val="24"/>
        </w:rPr>
        <w:t>podmieňujúcich ich úhradu, dokladovanie dodatkov k zmluvám aj príslušnými preberacími protokolmi prác, zameraní a vyjadrení stavebného dozoru alebo projektanta, kontroly a schvaľovania ceny diela v časti ekonomicky oprávnených nákladov zhotoviteľa len za predpokladu analýzy a cenového porovnania položiek na základe dodržiavania zásad ekonomickej efektívnosti a zabezpečenia riadneho informačného a ekonomického prehľadu stavieb z hľadiska presného prehľadu o celkových nákladoch stavby. Z predloženej správy o splnení prijatých opatrení vyplynulo, že všetky úlohy sa k termínu 05.10.2007 priebežne plnia.</w:t>
      </w:r>
    </w:p>
    <w:p w:rsidR="00405552" w:rsidRPr="00405552" w:rsidP="00405552">
      <w:pPr>
        <w:spacing w:line="240" w:lineRule="auto"/>
        <w:rPr>
          <w:rFonts w:ascii="Times New Roman" w:hAnsi="Times New Roman" w:cs="Times New Roman"/>
          <w:b/>
          <w:bCs/>
          <w:sz w:val="24"/>
          <w:szCs w:val="24"/>
        </w:rPr>
      </w:pPr>
    </w:p>
    <w:p w:rsidR="00405552" w:rsidP="000E4165">
      <w:pPr>
        <w:tabs>
          <w:tab w:val="left" w:pos="6090"/>
        </w:tabs>
        <w:spacing w:line="240" w:lineRule="auto"/>
        <w:rPr>
          <w:rFonts w:ascii="Times New Roman" w:hAnsi="Times New Roman" w:cs="Times New Roman"/>
          <w:b/>
          <w:bCs/>
          <w:sz w:val="24"/>
          <w:szCs w:val="24"/>
        </w:rPr>
      </w:pPr>
      <w:r w:rsidR="00C75A2D">
        <w:rPr>
          <w:rFonts w:ascii="Times New Roman" w:hAnsi="Times New Roman" w:cs="Times New Roman"/>
          <w:b/>
          <w:bCs/>
          <w:sz w:val="24"/>
          <w:szCs w:val="24"/>
        </w:rPr>
        <w:t>6</w:t>
      </w:r>
      <w:r w:rsidR="000E4165">
        <w:rPr>
          <w:rFonts w:ascii="Times New Roman" w:hAnsi="Times New Roman" w:cs="Times New Roman"/>
          <w:b/>
          <w:bCs/>
          <w:sz w:val="24"/>
          <w:szCs w:val="24"/>
        </w:rPr>
        <w:t xml:space="preserve">.   </w:t>
      </w:r>
      <w:r w:rsidRPr="00405552">
        <w:rPr>
          <w:rFonts w:ascii="Times New Roman" w:hAnsi="Times New Roman" w:cs="Times New Roman"/>
          <w:b/>
          <w:bCs/>
          <w:sz w:val="24"/>
          <w:szCs w:val="24"/>
        </w:rPr>
        <w:t>Letecký úrad Slovenskej republiky, Bratislava</w:t>
      </w:r>
      <w:r w:rsidR="000E4165">
        <w:rPr>
          <w:rFonts w:ascii="Times New Roman" w:hAnsi="Times New Roman" w:cs="Times New Roman"/>
          <w:b/>
          <w:bCs/>
          <w:sz w:val="24"/>
          <w:szCs w:val="24"/>
        </w:rPr>
        <w:tab/>
      </w:r>
    </w:p>
    <w:p w:rsidR="000E4165" w:rsidRPr="00405552" w:rsidP="000E4165">
      <w:pPr>
        <w:spacing w:line="240" w:lineRule="auto"/>
        <w:rPr>
          <w:rFonts w:ascii="Times New Roman" w:hAnsi="Times New Roman" w:cs="Times New Roman"/>
          <w:b/>
          <w:bCs/>
          <w:sz w:val="24"/>
          <w:szCs w:val="24"/>
        </w:rPr>
      </w:pPr>
    </w:p>
    <w:p w:rsidR="00405552" w:rsidP="00405552">
      <w:pPr>
        <w:tabs>
          <w:tab w:val="left" w:pos="567"/>
          <w:tab w:val="left" w:pos="2835"/>
          <w:tab w:val="left" w:pos="3119"/>
          <w:tab w:val="left" w:pos="3263"/>
        </w:tabs>
        <w:spacing w:line="240" w:lineRule="auto"/>
        <w:rPr>
          <w:rFonts w:ascii="Times New Roman" w:hAnsi="Times New Roman" w:cs="Times New Roman"/>
          <w:iCs/>
          <w:sz w:val="24"/>
          <w:szCs w:val="24"/>
        </w:rPr>
      </w:pPr>
      <w:r w:rsidR="000E4165">
        <w:rPr>
          <w:rFonts w:ascii="Times New Roman" w:hAnsi="Times New Roman" w:cs="Times New Roman"/>
          <w:iCs/>
          <w:sz w:val="24"/>
          <w:szCs w:val="24"/>
        </w:rPr>
        <w:tab/>
      </w:r>
      <w:r w:rsidRPr="00405552">
        <w:rPr>
          <w:rFonts w:ascii="Times New Roman" w:hAnsi="Times New Roman" w:cs="Times New Roman"/>
          <w:iCs/>
          <w:sz w:val="24"/>
          <w:szCs w:val="24"/>
        </w:rPr>
        <w:t xml:space="preserve">Následná finančná kontrola bola zameraná na splnenie opatrení prijatých na nápravu  nedostatkov zistených následnou finančnou kontrolou č. 29-1700/2006 –OKŠDD, vykonanou kontrolnou skupinou MDPT SR v mesiaci júl a august 2006. </w:t>
      </w:r>
    </w:p>
    <w:p w:rsidR="000E4165" w:rsidRPr="00405552" w:rsidP="00405552">
      <w:pPr>
        <w:tabs>
          <w:tab w:val="left" w:pos="567"/>
          <w:tab w:val="left" w:pos="2835"/>
          <w:tab w:val="left" w:pos="3119"/>
          <w:tab w:val="left" w:pos="3263"/>
        </w:tabs>
        <w:spacing w:line="240" w:lineRule="auto"/>
        <w:rPr>
          <w:rFonts w:ascii="Times New Roman" w:hAnsi="Times New Roman" w:cs="Times New Roman"/>
          <w:iCs/>
          <w:sz w:val="24"/>
          <w:szCs w:val="24"/>
        </w:rPr>
      </w:pPr>
    </w:p>
    <w:p w:rsidR="000E4165" w:rsidP="000E4165">
      <w:pPr>
        <w:tabs>
          <w:tab w:val="left" w:pos="0"/>
          <w:tab w:val="left" w:pos="540"/>
        </w:tabs>
        <w:spacing w:line="240" w:lineRule="auto"/>
        <w:rPr>
          <w:rFonts w:ascii="Times New Roman" w:hAnsi="Times New Roman" w:cs="Times New Roman"/>
          <w:bCs/>
          <w:sz w:val="24"/>
          <w:szCs w:val="24"/>
        </w:rPr>
      </w:pPr>
      <w:r>
        <w:rPr>
          <w:rFonts w:ascii="Times New Roman" w:hAnsi="Times New Roman" w:cs="Times New Roman"/>
          <w:bCs/>
          <w:sz w:val="24"/>
          <w:szCs w:val="24"/>
        </w:rPr>
        <w:tab/>
        <w:tab/>
      </w:r>
      <w:r w:rsidRPr="000E4165" w:rsidR="00405552">
        <w:rPr>
          <w:rFonts w:ascii="Times New Roman" w:hAnsi="Times New Roman" w:cs="Times New Roman"/>
          <w:bCs/>
          <w:sz w:val="24"/>
          <w:szCs w:val="24"/>
        </w:rPr>
        <w:t>Kontrolné zistenia a prijaté opatrenia:</w:t>
      </w:r>
    </w:p>
    <w:p w:rsidR="000E4165" w:rsidP="000E4165">
      <w:pPr>
        <w:tabs>
          <w:tab w:val="left" w:pos="0"/>
          <w:tab w:val="left" w:pos="540"/>
        </w:tabs>
        <w:spacing w:line="240" w:lineRule="auto"/>
        <w:rPr>
          <w:rFonts w:ascii="Times New Roman" w:hAnsi="Times New Roman" w:cs="Times New Roman"/>
          <w:bCs/>
          <w:sz w:val="24"/>
          <w:szCs w:val="24"/>
        </w:rPr>
      </w:pPr>
    </w:p>
    <w:p w:rsidR="000E4165" w:rsidRPr="000E4165" w:rsidP="001654CB">
      <w:pPr>
        <w:numPr>
          <w:ilvl w:val="0"/>
          <w:numId w:val="25"/>
        </w:numPr>
        <w:tabs>
          <w:tab w:val="left" w:pos="0"/>
          <w:tab w:val="clear" w:pos="720"/>
        </w:tabs>
        <w:spacing w:line="240" w:lineRule="auto"/>
        <w:rPr>
          <w:rFonts w:ascii="Times New Roman" w:hAnsi="Times New Roman" w:cs="Times New Roman"/>
          <w:bCs/>
          <w:sz w:val="24"/>
          <w:szCs w:val="24"/>
        </w:rPr>
      </w:pPr>
      <w:r w:rsidR="002436DE">
        <w:rPr>
          <w:rFonts w:ascii="Times New Roman" w:hAnsi="Times New Roman" w:cs="Times New Roman"/>
          <w:sz w:val="24"/>
          <w:szCs w:val="24"/>
        </w:rPr>
        <w:t>f</w:t>
      </w:r>
      <w:r w:rsidRPr="00405552" w:rsidR="00405552">
        <w:rPr>
          <w:rFonts w:ascii="Times New Roman" w:hAnsi="Times New Roman" w:cs="Times New Roman"/>
          <w:sz w:val="24"/>
          <w:szCs w:val="24"/>
        </w:rPr>
        <w:t>ormálne nedostatky v rôznych písomnostiach – absen</w:t>
      </w:r>
      <w:r>
        <w:rPr>
          <w:rFonts w:ascii="Times New Roman" w:hAnsi="Times New Roman" w:cs="Times New Roman"/>
          <w:sz w:val="24"/>
          <w:szCs w:val="24"/>
        </w:rPr>
        <w:t xml:space="preserve">cia prezentačnej pečiatky LÚ SR </w:t>
      </w:r>
      <w:r w:rsidRPr="00405552" w:rsidR="00405552">
        <w:rPr>
          <w:rFonts w:ascii="Times New Roman" w:hAnsi="Times New Roman" w:cs="Times New Roman"/>
          <w:sz w:val="24"/>
          <w:szCs w:val="24"/>
        </w:rPr>
        <w:t>na došlej faktúre,  neuvedenie dátumu vyhotovenia správy o vykonaní inventarizácie k 31.12.2006, neuvedenie v novom príkaze riaditeľa</w:t>
      </w:r>
      <w:r>
        <w:rPr>
          <w:rFonts w:ascii="Times New Roman" w:hAnsi="Times New Roman" w:cs="Times New Roman"/>
          <w:sz w:val="24"/>
          <w:szCs w:val="24"/>
        </w:rPr>
        <w:t xml:space="preserve"> zrušenie toho predchádzajúceho</w:t>
      </w:r>
      <w:r w:rsidRPr="00920C86">
        <w:rPr>
          <w:rFonts w:ascii="Times New Roman" w:hAnsi="Times New Roman" w:cs="Times New Roman"/>
          <w:sz w:val="24"/>
          <w:szCs w:val="24"/>
        </w:rPr>
        <w:t>;</w:t>
      </w:r>
    </w:p>
    <w:p w:rsidR="000E4165" w:rsidP="000E4165">
      <w:pPr>
        <w:spacing w:line="240" w:lineRule="auto"/>
        <w:ind w:left="360"/>
        <w:rPr>
          <w:rFonts w:ascii="Times New Roman" w:hAnsi="Times New Roman" w:cs="Times New Roman"/>
          <w:bCs/>
          <w:sz w:val="24"/>
          <w:szCs w:val="24"/>
        </w:rPr>
      </w:pPr>
    </w:p>
    <w:p w:rsidR="00405552" w:rsidRPr="000E4165" w:rsidP="001654CB">
      <w:pPr>
        <w:numPr>
          <w:ilvl w:val="0"/>
          <w:numId w:val="25"/>
        </w:numPr>
        <w:tabs>
          <w:tab w:val="left" w:pos="0"/>
          <w:tab w:val="clear" w:pos="720"/>
        </w:tabs>
        <w:spacing w:line="240" w:lineRule="auto"/>
        <w:rPr>
          <w:rFonts w:ascii="Times New Roman" w:hAnsi="Times New Roman" w:cs="Times New Roman"/>
          <w:bCs/>
          <w:sz w:val="24"/>
          <w:szCs w:val="24"/>
        </w:rPr>
      </w:pPr>
      <w:r w:rsidR="002436DE">
        <w:rPr>
          <w:rFonts w:ascii="Times New Roman" w:hAnsi="Times New Roman" w:cs="Times New Roman"/>
          <w:bCs/>
          <w:sz w:val="24"/>
          <w:szCs w:val="24"/>
        </w:rPr>
        <w:t>v</w:t>
      </w:r>
      <w:r w:rsidR="000E4165">
        <w:rPr>
          <w:rFonts w:ascii="Times New Roman" w:hAnsi="Times New Roman" w:cs="Times New Roman"/>
          <w:bCs/>
          <w:sz w:val="24"/>
          <w:szCs w:val="24"/>
        </w:rPr>
        <w:t xml:space="preserve"> </w:t>
      </w:r>
      <w:r w:rsidRPr="00405552">
        <w:rPr>
          <w:rFonts w:ascii="Times New Roman" w:hAnsi="Times New Roman" w:cs="Times New Roman"/>
          <w:sz w:val="24"/>
          <w:szCs w:val="24"/>
        </w:rPr>
        <w:t>plnení prijatého opatrenia k náhrade škôd spôsobených na majetku a uplatňovanie hmotnej zodpovednosti boli zistené viaceré nedostatky – zodpovední pracovníci nepredkladali hlásenia o spôsobenej škode včas, škodová komisia nezasadala v predpísaných lehotách odo dňa vzniku poistných udalostí v zmysle internej smernice, boli zistené aj viaceré formálne nedostatky v písomnostiach predkladaných na zasadnutia škodovej komisie. Uvedeným došlo k porušeniu § 3</w:t>
      </w:r>
      <w:r w:rsidR="000E4165">
        <w:rPr>
          <w:rFonts w:ascii="Times New Roman" w:hAnsi="Times New Roman" w:cs="Times New Roman"/>
          <w:sz w:val="24"/>
          <w:szCs w:val="24"/>
        </w:rPr>
        <w:t xml:space="preserve"> ods. 2 zákona č. 278/1993 Z.z.</w:t>
      </w:r>
      <w:r w:rsidRPr="00405552">
        <w:rPr>
          <w:rFonts w:ascii="Times New Roman" w:hAnsi="Times New Roman" w:cs="Times New Roman"/>
          <w:sz w:val="24"/>
          <w:szCs w:val="24"/>
        </w:rPr>
        <w:t xml:space="preserve"> </w:t>
      </w:r>
    </w:p>
    <w:p w:rsidR="000E4165" w:rsidRPr="000E4165" w:rsidP="000E4165">
      <w:pPr>
        <w:spacing w:line="240" w:lineRule="auto"/>
        <w:rPr>
          <w:rFonts w:ascii="Times New Roman" w:hAnsi="Times New Roman" w:cs="Times New Roman"/>
          <w:bCs/>
          <w:sz w:val="24"/>
          <w:szCs w:val="24"/>
        </w:rPr>
      </w:pPr>
    </w:p>
    <w:p w:rsidR="00405552" w:rsidRPr="00405552" w:rsidP="000E4165">
      <w:pPr>
        <w:spacing w:line="240" w:lineRule="auto"/>
        <w:rPr>
          <w:rFonts w:ascii="Times New Roman" w:hAnsi="Times New Roman" w:cs="Times New Roman"/>
          <w:sz w:val="24"/>
          <w:szCs w:val="24"/>
        </w:rPr>
      </w:pPr>
      <w:r w:rsidR="000E4165">
        <w:rPr>
          <w:rFonts w:ascii="Times New Roman" w:hAnsi="Times New Roman" w:cs="Times New Roman"/>
          <w:sz w:val="24"/>
          <w:szCs w:val="24"/>
        </w:rPr>
        <w:tab/>
      </w:r>
      <w:r w:rsidRPr="00405552">
        <w:rPr>
          <w:rFonts w:ascii="Times New Roman" w:hAnsi="Times New Roman" w:cs="Times New Roman"/>
          <w:sz w:val="24"/>
          <w:szCs w:val="24"/>
        </w:rPr>
        <w:t xml:space="preserve">Vedúci kontrolovaného subjektu prijal </w:t>
      </w:r>
      <w:r w:rsidRPr="000E4165">
        <w:rPr>
          <w:rFonts w:ascii="Times New Roman" w:hAnsi="Times New Roman" w:cs="Times New Roman"/>
          <w:sz w:val="24"/>
          <w:szCs w:val="24"/>
        </w:rPr>
        <w:t>celkom 4 opatrenia na</w:t>
      </w:r>
      <w:r w:rsidRPr="00405552">
        <w:rPr>
          <w:rFonts w:ascii="Times New Roman" w:hAnsi="Times New Roman" w:cs="Times New Roman"/>
          <w:sz w:val="24"/>
          <w:szCs w:val="24"/>
        </w:rPr>
        <w:t xml:space="preserve"> nápravu  zistených nedostatkov a na odstránenie príčin ich vzniku, ktoré boli zamerané na zabezpečenie vydania nového príkazu riaditeľa o menovaní členov škodovej komisie, aktualizáciu Smernice LÚ SR o činnosti škodovej komisie a preškolenie zodpovedných zamestnancov. Zo správy o splnení opatrení zo dňa 25.07.2007 vyplynulo, že 2 opatrenia boli splnené a dve opatrenia sa plnia.</w:t>
      </w:r>
    </w:p>
    <w:p w:rsidR="00405552" w:rsidRPr="00405552" w:rsidP="00405552">
      <w:pPr>
        <w:spacing w:line="240" w:lineRule="auto"/>
        <w:rPr>
          <w:rFonts w:ascii="Times New Roman" w:hAnsi="Times New Roman" w:cs="Times New Roman"/>
          <w:b/>
          <w:bCs/>
          <w:sz w:val="24"/>
          <w:szCs w:val="24"/>
        </w:rPr>
      </w:pPr>
    </w:p>
    <w:p w:rsidR="00405552" w:rsidRPr="00405552" w:rsidP="00405552">
      <w:pPr>
        <w:spacing w:line="240" w:lineRule="auto"/>
        <w:rPr>
          <w:rFonts w:ascii="Times New Roman" w:hAnsi="Times New Roman" w:cs="Times New Roman"/>
          <w:b/>
          <w:sz w:val="24"/>
          <w:szCs w:val="24"/>
        </w:rPr>
      </w:pPr>
      <w:r w:rsidR="00C75A2D">
        <w:rPr>
          <w:rFonts w:ascii="Times New Roman" w:hAnsi="Times New Roman" w:cs="Times New Roman"/>
          <w:b/>
          <w:sz w:val="24"/>
          <w:szCs w:val="24"/>
        </w:rPr>
        <w:t>7</w:t>
      </w:r>
      <w:r w:rsidR="000E4165">
        <w:rPr>
          <w:rFonts w:ascii="Times New Roman" w:hAnsi="Times New Roman" w:cs="Times New Roman"/>
          <w:b/>
          <w:sz w:val="24"/>
          <w:szCs w:val="24"/>
        </w:rPr>
        <w:t xml:space="preserve">.   </w:t>
      </w:r>
      <w:r w:rsidRPr="00405552">
        <w:rPr>
          <w:rFonts w:ascii="Times New Roman" w:hAnsi="Times New Roman" w:cs="Times New Roman"/>
          <w:b/>
          <w:sz w:val="24"/>
          <w:szCs w:val="24"/>
        </w:rPr>
        <w:t xml:space="preserve">Slovenská správa ciest, IVSC Košice </w:t>
      </w:r>
    </w:p>
    <w:p w:rsidR="000E4165" w:rsidP="00405552">
      <w:pPr>
        <w:spacing w:line="240" w:lineRule="auto"/>
        <w:rPr>
          <w:rFonts w:ascii="Times New Roman" w:hAnsi="Times New Roman" w:cs="Times New Roman"/>
          <w:sz w:val="24"/>
          <w:szCs w:val="24"/>
        </w:rPr>
      </w:pPr>
    </w:p>
    <w:p w:rsidR="00405552" w:rsidRPr="00405552" w:rsidP="000E4165">
      <w:pPr>
        <w:spacing w:line="240" w:lineRule="auto"/>
        <w:ind w:firstLine="709"/>
        <w:rPr>
          <w:rFonts w:ascii="Times New Roman" w:hAnsi="Times New Roman" w:cs="Times New Roman"/>
          <w:b/>
          <w:sz w:val="24"/>
          <w:szCs w:val="24"/>
        </w:rPr>
      </w:pPr>
      <w:r w:rsidRPr="00405552">
        <w:rPr>
          <w:rFonts w:ascii="Times New Roman" w:hAnsi="Times New Roman" w:cs="Times New Roman"/>
          <w:sz w:val="24"/>
          <w:szCs w:val="24"/>
        </w:rPr>
        <w:t xml:space="preserve">Následná finančná kontrola bola zameraná na kontrolu použitia verejných prostriedkov v súlade so zákonom č. 523/2004 Z.z. o rozpočtových pravidlách verejnej správy,  nakladanie s majetkom štátu v zmysle zákona č. 278/1993 Z.z. o správe majetku štátu  a dodržiavania zákonov </w:t>
      </w:r>
      <w:r w:rsidR="000E4165">
        <w:rPr>
          <w:rFonts w:ascii="Times New Roman" w:hAnsi="Times New Roman" w:cs="Times New Roman"/>
          <w:sz w:val="24"/>
          <w:szCs w:val="24"/>
        </w:rPr>
        <w:t xml:space="preserve">č. 431/2002 Z.z. o účtovníctve </w:t>
      </w:r>
      <w:r w:rsidRPr="00405552">
        <w:rPr>
          <w:rFonts w:ascii="Times New Roman" w:hAnsi="Times New Roman" w:cs="Times New Roman"/>
          <w:sz w:val="24"/>
          <w:szCs w:val="24"/>
        </w:rPr>
        <w:t>a zákona č. 523/2003 Z.z., resp. zákona č. 25/2006 Z.z. o verejnom obstarávaní.</w:t>
      </w:r>
    </w:p>
    <w:p w:rsidR="00405552" w:rsidRPr="00405552" w:rsidP="00405552">
      <w:pPr>
        <w:spacing w:line="240" w:lineRule="auto"/>
        <w:rPr>
          <w:rFonts w:ascii="Times New Roman" w:hAnsi="Times New Roman" w:cs="Times New Roman"/>
          <w:iCs/>
          <w:sz w:val="24"/>
          <w:szCs w:val="24"/>
        </w:rPr>
      </w:pPr>
    </w:p>
    <w:p w:rsidR="00405552" w:rsidRPr="000E4165" w:rsidP="00405552">
      <w:pPr>
        <w:tabs>
          <w:tab w:val="left" w:pos="0"/>
        </w:tabs>
        <w:spacing w:line="240" w:lineRule="auto"/>
        <w:rPr>
          <w:rFonts w:ascii="Times New Roman" w:hAnsi="Times New Roman" w:cs="Times New Roman"/>
          <w:sz w:val="24"/>
          <w:szCs w:val="24"/>
        </w:rPr>
      </w:pPr>
      <w:r w:rsidR="000E4165">
        <w:rPr>
          <w:rFonts w:ascii="Times New Roman" w:hAnsi="Times New Roman" w:cs="Times New Roman"/>
          <w:sz w:val="24"/>
          <w:szCs w:val="24"/>
        </w:rPr>
        <w:tab/>
      </w:r>
      <w:r w:rsidRPr="000E4165">
        <w:rPr>
          <w:rFonts w:ascii="Times New Roman" w:hAnsi="Times New Roman" w:cs="Times New Roman"/>
          <w:sz w:val="24"/>
          <w:szCs w:val="24"/>
        </w:rPr>
        <w:t>Celková ko</w:t>
      </w:r>
      <w:r w:rsidR="000E4165">
        <w:rPr>
          <w:rFonts w:ascii="Times New Roman" w:hAnsi="Times New Roman" w:cs="Times New Roman"/>
          <w:sz w:val="24"/>
          <w:szCs w:val="24"/>
        </w:rPr>
        <w:t xml:space="preserve">ntrolovaná suma prostriedkov ŠR: </w:t>
      </w:r>
      <w:r w:rsidRPr="000E4165">
        <w:rPr>
          <w:rFonts w:ascii="Times New Roman" w:hAnsi="Times New Roman" w:cs="Times New Roman"/>
          <w:sz w:val="24"/>
          <w:szCs w:val="24"/>
        </w:rPr>
        <w:t>240 655 027,- Sk</w:t>
      </w:r>
    </w:p>
    <w:p w:rsidR="00405552" w:rsidP="000E4165">
      <w:pPr>
        <w:spacing w:line="240" w:lineRule="auto"/>
        <w:ind w:firstLine="709"/>
        <w:rPr>
          <w:rFonts w:ascii="Times New Roman" w:hAnsi="Times New Roman" w:cs="Times New Roman"/>
          <w:bCs/>
          <w:iCs/>
          <w:sz w:val="24"/>
          <w:szCs w:val="24"/>
        </w:rPr>
      </w:pPr>
      <w:r w:rsidRPr="000E4165">
        <w:rPr>
          <w:rFonts w:ascii="Times New Roman" w:hAnsi="Times New Roman" w:cs="Times New Roman"/>
          <w:bCs/>
          <w:iCs/>
          <w:sz w:val="24"/>
          <w:szCs w:val="24"/>
        </w:rPr>
        <w:t>Kontrolné zistenia a opatrenia:</w:t>
      </w:r>
    </w:p>
    <w:p w:rsidR="000E4165" w:rsidRPr="000E4165" w:rsidP="000E4165">
      <w:pPr>
        <w:spacing w:line="240" w:lineRule="auto"/>
        <w:ind w:firstLine="709"/>
        <w:rPr>
          <w:rFonts w:ascii="Times New Roman" w:hAnsi="Times New Roman" w:cs="Times New Roman"/>
          <w:bCs/>
          <w:iCs/>
          <w:sz w:val="24"/>
          <w:szCs w:val="24"/>
        </w:rPr>
      </w:pPr>
    </w:p>
    <w:p w:rsidR="00405552" w:rsidRPr="00405552" w:rsidP="001654CB">
      <w:pPr>
        <w:numPr>
          <w:ilvl w:val="0"/>
          <w:numId w:val="25"/>
        </w:numPr>
        <w:tabs>
          <w:tab w:val="left" w:pos="360"/>
          <w:tab w:val="left" w:pos="720"/>
          <w:tab w:val="left" w:pos="2835"/>
          <w:tab w:val="left" w:pos="3119"/>
          <w:tab w:val="left" w:pos="3263"/>
        </w:tabs>
        <w:spacing w:line="240" w:lineRule="auto"/>
        <w:rPr>
          <w:rFonts w:ascii="Times New Roman" w:hAnsi="Times New Roman" w:cs="Times New Roman"/>
          <w:sz w:val="24"/>
          <w:szCs w:val="24"/>
        </w:rPr>
      </w:pPr>
      <w:r w:rsidR="002436DE">
        <w:rPr>
          <w:rFonts w:ascii="Times New Roman" w:hAnsi="Times New Roman" w:cs="Times New Roman"/>
          <w:sz w:val="24"/>
          <w:szCs w:val="24"/>
        </w:rPr>
        <w:t>n</w:t>
      </w:r>
      <w:r w:rsidRPr="00405552">
        <w:rPr>
          <w:rFonts w:ascii="Times New Roman" w:hAnsi="Times New Roman" w:cs="Times New Roman"/>
          <w:sz w:val="24"/>
          <w:szCs w:val="24"/>
        </w:rPr>
        <w:t>evykonanie predbežnej finančnej kontroly u niektorých objednávok, čo je v rozpore s § 6 ods. 1 zákona č. 502</w:t>
      </w:r>
      <w:r w:rsidR="000E4165">
        <w:rPr>
          <w:rFonts w:ascii="Times New Roman" w:hAnsi="Times New Roman" w:cs="Times New Roman"/>
          <w:sz w:val="24"/>
          <w:szCs w:val="24"/>
        </w:rPr>
        <w:t>/2001 Z.z. o finančnej kontrole</w:t>
      </w:r>
      <w:r w:rsidRPr="00920C86" w:rsidR="000E4165">
        <w:rPr>
          <w:rFonts w:ascii="Times New Roman" w:hAnsi="Times New Roman" w:cs="Times New Roman"/>
          <w:sz w:val="24"/>
          <w:szCs w:val="24"/>
        </w:rPr>
        <w:t>;</w:t>
      </w:r>
    </w:p>
    <w:p w:rsidR="00405552" w:rsidRPr="00405552" w:rsidP="001654CB">
      <w:pPr>
        <w:numPr>
          <w:ilvl w:val="0"/>
          <w:numId w:val="25"/>
        </w:numPr>
        <w:tabs>
          <w:tab w:val="left" w:pos="360"/>
          <w:tab w:val="left" w:pos="720"/>
          <w:tab w:val="left" w:pos="2835"/>
          <w:tab w:val="left" w:pos="3119"/>
          <w:tab w:val="left" w:pos="3263"/>
        </w:tabs>
        <w:spacing w:line="240" w:lineRule="auto"/>
        <w:rPr>
          <w:rFonts w:ascii="Times New Roman" w:hAnsi="Times New Roman" w:cs="Times New Roman"/>
          <w:sz w:val="24"/>
          <w:szCs w:val="24"/>
        </w:rPr>
      </w:pPr>
      <w:r w:rsidR="002436DE">
        <w:rPr>
          <w:rFonts w:ascii="Times New Roman" w:hAnsi="Times New Roman" w:cs="Times New Roman"/>
          <w:sz w:val="24"/>
          <w:szCs w:val="24"/>
        </w:rPr>
        <w:t>p</w:t>
      </w:r>
      <w:r w:rsidRPr="00405552">
        <w:rPr>
          <w:rFonts w:ascii="Times New Roman" w:hAnsi="Times New Roman" w:cs="Times New Roman"/>
          <w:sz w:val="24"/>
          <w:szCs w:val="24"/>
        </w:rPr>
        <w:t>ri prenájme miesta na umiestnenie reklamných tabúl a pri prenájme pozemkov nebola v niektorých prípadoch v nájomných zmluvách, resp. v ich dodatkoch</w:t>
      </w:r>
      <w:r w:rsidR="008036FE">
        <w:rPr>
          <w:rFonts w:ascii="Times New Roman" w:hAnsi="Times New Roman" w:cs="Times New Roman"/>
          <w:sz w:val="24"/>
          <w:szCs w:val="24"/>
        </w:rPr>
        <w:t>,</w:t>
      </w:r>
      <w:r w:rsidRPr="00405552">
        <w:rPr>
          <w:rFonts w:ascii="Times New Roman" w:hAnsi="Times New Roman" w:cs="Times New Roman"/>
          <w:sz w:val="24"/>
          <w:szCs w:val="24"/>
        </w:rPr>
        <w:t xml:space="preserve"> upravovaná výška nájmu podľa oficiálnej miery ročnej inflácie, nebola dohodnutá ani žiadna sankcia za omeškanie platieb a  v niektorých prípadoch nebolo nájomné ani uhradené, nakoľko neboli vystavené faktúry. Týmto postupom  došlo k porušeniu § 3 ods. 2 zákona NR SR č. 278/1993 Z. z. o správe majetku š</w:t>
      </w:r>
      <w:r w:rsidR="008036FE">
        <w:rPr>
          <w:rFonts w:ascii="Times New Roman" w:hAnsi="Times New Roman" w:cs="Times New Roman"/>
          <w:sz w:val="24"/>
          <w:szCs w:val="24"/>
        </w:rPr>
        <w:t xml:space="preserve">tátu, a zároveň aj k porušeniu </w:t>
      </w:r>
      <w:r w:rsidRPr="00405552">
        <w:rPr>
          <w:rFonts w:ascii="Times New Roman" w:hAnsi="Times New Roman" w:cs="Times New Roman"/>
          <w:sz w:val="24"/>
          <w:szCs w:val="24"/>
        </w:rPr>
        <w:t>čl. 13 príkazu GR SSC č. 38/2005 – Smernica o nakladaní s prebytočným, dočasne prebytočným a neupotrebiteľ</w:t>
      </w:r>
      <w:r w:rsidR="008036FE">
        <w:rPr>
          <w:rFonts w:ascii="Times New Roman" w:hAnsi="Times New Roman" w:cs="Times New Roman"/>
          <w:sz w:val="24"/>
          <w:szCs w:val="24"/>
        </w:rPr>
        <w:t>ným majetkom štátu v správe SSC</w:t>
      </w:r>
      <w:r w:rsidRPr="00920C86" w:rsidR="008036FE">
        <w:rPr>
          <w:rFonts w:ascii="Times New Roman" w:hAnsi="Times New Roman" w:cs="Times New Roman"/>
          <w:sz w:val="24"/>
          <w:szCs w:val="24"/>
        </w:rPr>
        <w:t>;</w:t>
      </w:r>
      <w:r w:rsidRPr="00405552">
        <w:rPr>
          <w:rFonts w:ascii="Times New Roman" w:hAnsi="Times New Roman" w:cs="Times New Roman"/>
          <w:sz w:val="24"/>
          <w:szCs w:val="24"/>
        </w:rPr>
        <w:t xml:space="preserve">  </w:t>
      </w:r>
    </w:p>
    <w:p w:rsidR="008036FE" w:rsidP="008036FE">
      <w:pPr>
        <w:numPr>
          <w:ilvl w:val="0"/>
          <w:numId w:val="25"/>
        </w:numPr>
        <w:tabs>
          <w:tab w:val="left" w:pos="720"/>
        </w:tabs>
        <w:spacing w:line="240" w:lineRule="auto"/>
        <w:rPr>
          <w:rFonts w:ascii="Times New Roman" w:hAnsi="Times New Roman" w:cs="Times New Roman"/>
          <w:sz w:val="24"/>
          <w:szCs w:val="24"/>
        </w:rPr>
      </w:pPr>
      <w:r w:rsidR="002436DE">
        <w:rPr>
          <w:rFonts w:ascii="Times New Roman" w:hAnsi="Times New Roman" w:cs="Times New Roman"/>
          <w:sz w:val="24"/>
          <w:szCs w:val="24"/>
        </w:rPr>
        <w:t>n</w:t>
      </w:r>
      <w:r w:rsidRPr="00405552" w:rsidR="00405552">
        <w:rPr>
          <w:rFonts w:ascii="Times New Roman" w:hAnsi="Times New Roman" w:cs="Times New Roman"/>
          <w:sz w:val="24"/>
          <w:szCs w:val="24"/>
        </w:rPr>
        <w:t>edostatky v procese verejného obstarávania – napr. nedodržiavanie niektor</w:t>
      </w:r>
      <w:r>
        <w:rPr>
          <w:rFonts w:ascii="Times New Roman" w:hAnsi="Times New Roman" w:cs="Times New Roman"/>
          <w:sz w:val="24"/>
          <w:szCs w:val="24"/>
        </w:rPr>
        <w:t xml:space="preserve">ých zákonom stanovených lehôt </w:t>
      </w:r>
      <w:r w:rsidRPr="00405552" w:rsidR="00405552">
        <w:rPr>
          <w:rFonts w:ascii="Times New Roman" w:hAnsi="Times New Roman" w:cs="Times New Roman"/>
          <w:sz w:val="24"/>
          <w:szCs w:val="24"/>
        </w:rPr>
        <w:t>pri zasielaní oznámenia o výsledku vyhodnotenia ponúk, pri uzatváraní zmlúv o dielo, nedostatky pri evidovaní a uchovávaní dokumentácie z verejného obstarávania, nezverejňovanie výziev verejne dostupným spôsobom, nedostatky v podpisovaní dokumentov, čím došlo k porušeniu príslušných ustanovení (§ 21 ods. 1, § 34, § 44 ods. 1, § 45 ods. 2, § 99 ods. 3, § 101 ods. 2) zákona č. 25/20</w:t>
      </w:r>
      <w:r>
        <w:rPr>
          <w:rFonts w:ascii="Times New Roman" w:hAnsi="Times New Roman" w:cs="Times New Roman"/>
          <w:sz w:val="24"/>
          <w:szCs w:val="24"/>
        </w:rPr>
        <w:t>06 Z. z. o verejnom obstarávaní</w:t>
      </w:r>
      <w:r w:rsidRPr="00405552" w:rsidR="00405552">
        <w:rPr>
          <w:rFonts w:ascii="Times New Roman" w:hAnsi="Times New Roman" w:cs="Times New Roman"/>
          <w:sz w:val="24"/>
          <w:szCs w:val="24"/>
        </w:rPr>
        <w:t>.</w:t>
      </w:r>
    </w:p>
    <w:p w:rsidR="00405552" w:rsidRPr="00405552" w:rsidP="008036FE">
      <w:pPr>
        <w:spacing w:line="240" w:lineRule="auto"/>
        <w:ind w:left="360"/>
        <w:rPr>
          <w:rFonts w:ascii="Times New Roman" w:hAnsi="Times New Roman" w:cs="Times New Roman"/>
          <w:bCs/>
          <w:iCs/>
          <w:sz w:val="24"/>
          <w:szCs w:val="24"/>
        </w:rPr>
      </w:pPr>
      <w:r w:rsidRPr="00405552">
        <w:rPr>
          <w:rFonts w:ascii="Times New Roman" w:hAnsi="Times New Roman" w:cs="Times New Roman"/>
          <w:sz w:val="24"/>
          <w:szCs w:val="24"/>
        </w:rPr>
        <w:t xml:space="preserve"> </w:t>
      </w:r>
    </w:p>
    <w:p w:rsidR="00405552" w:rsidRPr="00405552" w:rsidP="00EA488D">
      <w:pPr>
        <w:spacing w:line="240" w:lineRule="auto"/>
        <w:ind w:firstLine="567"/>
        <w:rPr>
          <w:rFonts w:ascii="Times New Roman" w:hAnsi="Times New Roman" w:cs="Times New Roman"/>
          <w:sz w:val="24"/>
          <w:szCs w:val="24"/>
        </w:rPr>
      </w:pPr>
      <w:r w:rsidR="00EA488D">
        <w:rPr>
          <w:rFonts w:ascii="Times New Roman" w:hAnsi="Times New Roman" w:cs="Times New Roman"/>
          <w:sz w:val="24"/>
          <w:szCs w:val="24"/>
        </w:rPr>
        <w:tab/>
      </w:r>
      <w:r w:rsidRPr="00405552">
        <w:rPr>
          <w:rFonts w:ascii="Times New Roman" w:hAnsi="Times New Roman" w:cs="Times New Roman"/>
          <w:sz w:val="24"/>
          <w:szCs w:val="24"/>
        </w:rPr>
        <w:t xml:space="preserve">Vedúci kontrolovaného subjektu prijal celkom </w:t>
      </w:r>
      <w:r w:rsidRPr="008036FE">
        <w:rPr>
          <w:rFonts w:ascii="Times New Roman" w:hAnsi="Times New Roman" w:cs="Times New Roman"/>
          <w:sz w:val="24"/>
          <w:szCs w:val="24"/>
        </w:rPr>
        <w:t>7 opatrení</w:t>
      </w:r>
      <w:r w:rsidRPr="00405552">
        <w:rPr>
          <w:rFonts w:ascii="Times New Roman" w:hAnsi="Times New Roman" w:cs="Times New Roman"/>
          <w:sz w:val="24"/>
          <w:szCs w:val="24"/>
        </w:rPr>
        <w:t>, ktoré boli zamerané hlavne na zabezpečenie vykonávania predbežnej finančnej kontroly, vypracovanie dodatkov k platným nájomným zmlu</w:t>
      </w:r>
      <w:r w:rsidR="008036FE">
        <w:rPr>
          <w:rFonts w:ascii="Times New Roman" w:hAnsi="Times New Roman" w:cs="Times New Roman"/>
          <w:sz w:val="24"/>
          <w:szCs w:val="24"/>
        </w:rPr>
        <w:t xml:space="preserve">vám – zapracovať </w:t>
      </w:r>
      <w:r w:rsidRPr="00405552">
        <w:rPr>
          <w:rFonts w:ascii="Times New Roman" w:hAnsi="Times New Roman" w:cs="Times New Roman"/>
          <w:sz w:val="24"/>
          <w:szCs w:val="24"/>
        </w:rPr>
        <w:t>do nich ustanovenia upravujúce zvýšenie nájomného o oficiálnu mieru ročnej inflácie, resp. sankcie a odstránenie nedostatkov v procese verejného obstarávania. Zo správy o splnení opatrení vyplynulo, že 2 opatrenia boli k termínu 25.10.2007 splnené a 5 opatrení sa plní priebežne.</w:t>
      </w:r>
    </w:p>
    <w:p w:rsidR="001221BA" w:rsidRPr="00405552" w:rsidP="00EE757E">
      <w:pPr>
        <w:tabs>
          <w:tab w:val="left" w:pos="2835"/>
        </w:tabs>
        <w:spacing w:line="240" w:lineRule="auto"/>
        <w:rPr>
          <w:rFonts w:ascii="Times New Roman" w:hAnsi="Times New Roman" w:cs="Times New Roman"/>
          <w:sz w:val="24"/>
          <w:szCs w:val="24"/>
        </w:rPr>
      </w:pPr>
    </w:p>
    <w:p w:rsidR="00405552" w:rsidRPr="00405552" w:rsidP="00C75A2D">
      <w:pPr>
        <w:spacing w:line="240" w:lineRule="auto"/>
        <w:rPr>
          <w:rFonts w:ascii="Times New Roman" w:hAnsi="Times New Roman" w:cs="Times New Roman"/>
          <w:b/>
          <w:bCs/>
          <w:sz w:val="24"/>
          <w:szCs w:val="24"/>
        </w:rPr>
      </w:pPr>
      <w:r w:rsidR="00C75A2D">
        <w:rPr>
          <w:rFonts w:ascii="Times New Roman" w:hAnsi="Times New Roman" w:cs="Times New Roman"/>
          <w:b/>
          <w:bCs/>
          <w:sz w:val="24"/>
          <w:szCs w:val="24"/>
        </w:rPr>
        <w:t xml:space="preserve">8.   </w:t>
      </w:r>
      <w:r w:rsidRPr="00405552">
        <w:rPr>
          <w:rFonts w:ascii="Times New Roman" w:hAnsi="Times New Roman" w:cs="Times New Roman"/>
          <w:b/>
          <w:bCs/>
          <w:sz w:val="24"/>
          <w:szCs w:val="24"/>
        </w:rPr>
        <w:t>Slovenský národný aeroklub gen. M. R. Štefánika, Žilina</w:t>
      </w:r>
    </w:p>
    <w:p w:rsidR="008036FE" w:rsidP="00405552">
      <w:pPr>
        <w:keepNext/>
        <w:spacing w:line="240" w:lineRule="auto"/>
        <w:outlineLvl w:val="7"/>
        <w:rPr>
          <w:rFonts w:ascii="Times New Roman" w:hAnsi="Times New Roman" w:cs="Times New Roman"/>
          <w:sz w:val="24"/>
          <w:szCs w:val="24"/>
        </w:rPr>
      </w:pPr>
    </w:p>
    <w:p w:rsidR="00405552" w:rsidRPr="00405552" w:rsidP="00A27969">
      <w:pPr>
        <w:keepNext/>
        <w:spacing w:line="240" w:lineRule="auto"/>
        <w:ind w:firstLine="709"/>
        <w:outlineLvl w:val="7"/>
        <w:rPr>
          <w:rFonts w:ascii="Times New Roman" w:hAnsi="Times New Roman" w:cs="Times New Roman"/>
          <w:b/>
          <w:bCs/>
          <w:iCs/>
          <w:sz w:val="24"/>
          <w:szCs w:val="24"/>
          <w:u w:val="single"/>
        </w:rPr>
      </w:pPr>
      <w:r w:rsidRPr="00405552">
        <w:rPr>
          <w:rFonts w:ascii="Times New Roman" w:hAnsi="Times New Roman" w:cs="Times New Roman"/>
          <w:sz w:val="24"/>
          <w:szCs w:val="24"/>
        </w:rPr>
        <w:t xml:space="preserve">Následná finančná kontrola bola  zameraná na overenie použitia dotácie poskytnutej zo ŠR na rok 2006 na základe Výnosu MDPT SR č. 79/M-2005 o poskytovaní dotácií v pôsobnosti MDPT SR v oblasti civilného letectva. </w:t>
      </w:r>
    </w:p>
    <w:p w:rsidR="00405552" w:rsidRPr="00405552" w:rsidP="00405552">
      <w:pPr>
        <w:spacing w:line="240" w:lineRule="auto"/>
        <w:rPr>
          <w:rFonts w:ascii="Times New Roman" w:hAnsi="Times New Roman" w:cs="Times New Roman"/>
          <w:iCs/>
          <w:sz w:val="24"/>
          <w:szCs w:val="24"/>
        </w:rPr>
      </w:pPr>
    </w:p>
    <w:p w:rsidR="00405552" w:rsidP="00EA488D">
      <w:pPr>
        <w:spacing w:line="240" w:lineRule="auto"/>
        <w:ind w:left="360" w:firstLine="349"/>
        <w:rPr>
          <w:rFonts w:ascii="Times New Roman" w:hAnsi="Times New Roman" w:cs="Times New Roman"/>
          <w:bCs/>
          <w:iCs/>
          <w:sz w:val="24"/>
          <w:szCs w:val="24"/>
        </w:rPr>
      </w:pPr>
      <w:r w:rsidRPr="00EA488D">
        <w:rPr>
          <w:rFonts w:ascii="Times New Roman" w:hAnsi="Times New Roman" w:cs="Times New Roman"/>
          <w:bCs/>
          <w:iCs/>
          <w:sz w:val="24"/>
          <w:szCs w:val="24"/>
        </w:rPr>
        <w:t>Celková kon</w:t>
      </w:r>
      <w:r w:rsidR="00EA488D">
        <w:rPr>
          <w:rFonts w:ascii="Times New Roman" w:hAnsi="Times New Roman" w:cs="Times New Roman"/>
          <w:bCs/>
          <w:iCs/>
          <w:sz w:val="24"/>
          <w:szCs w:val="24"/>
        </w:rPr>
        <w:t xml:space="preserve">trolovaná suma prostriedkov ŠR: </w:t>
      </w:r>
      <w:r w:rsidRPr="00EA488D">
        <w:rPr>
          <w:rFonts w:ascii="Times New Roman" w:hAnsi="Times New Roman" w:cs="Times New Roman"/>
          <w:bCs/>
          <w:iCs/>
          <w:sz w:val="24"/>
          <w:szCs w:val="24"/>
        </w:rPr>
        <w:t>900 000,- Sk</w:t>
      </w:r>
    </w:p>
    <w:p w:rsidR="00EA488D" w:rsidRPr="00EA488D" w:rsidP="00405552">
      <w:pPr>
        <w:spacing w:line="240" w:lineRule="auto"/>
        <w:ind w:left="360" w:hanging="360"/>
        <w:rPr>
          <w:rFonts w:ascii="Times New Roman" w:hAnsi="Times New Roman" w:cs="Times New Roman"/>
          <w:bCs/>
          <w:iCs/>
          <w:sz w:val="24"/>
          <w:szCs w:val="24"/>
        </w:rPr>
      </w:pPr>
    </w:p>
    <w:p w:rsidR="00405552" w:rsidRPr="00405552" w:rsidP="00405552">
      <w:pPr>
        <w:spacing w:line="240" w:lineRule="auto"/>
        <w:ind w:firstLine="360"/>
        <w:rPr>
          <w:rFonts w:ascii="Times New Roman" w:hAnsi="Times New Roman" w:cs="Times New Roman"/>
          <w:b/>
          <w:sz w:val="24"/>
          <w:szCs w:val="24"/>
        </w:rPr>
      </w:pPr>
      <w:r w:rsidRPr="00405552">
        <w:rPr>
          <w:rFonts w:ascii="Times New Roman" w:hAnsi="Times New Roman" w:cs="Times New Roman"/>
          <w:sz w:val="24"/>
          <w:szCs w:val="24"/>
        </w:rPr>
        <w:t xml:space="preserve">  </w:t>
      </w:r>
      <w:r w:rsidR="00EA488D">
        <w:rPr>
          <w:rFonts w:ascii="Times New Roman" w:hAnsi="Times New Roman" w:cs="Times New Roman"/>
          <w:sz w:val="24"/>
          <w:szCs w:val="24"/>
        </w:rPr>
        <w:tab/>
      </w:r>
      <w:r w:rsidRPr="00405552">
        <w:rPr>
          <w:rFonts w:ascii="Times New Roman" w:hAnsi="Times New Roman" w:cs="Times New Roman"/>
          <w:sz w:val="24"/>
          <w:szCs w:val="24"/>
        </w:rPr>
        <w:t xml:space="preserve">Následnou finančnou kontrolou nebolo v kontrolovanej oblasti zistené porušenie všeobecne záväzných právnych predpisov ani interných predpisov vydaných na ich základe, v dôsledku čoho bol o výsledku kontroly vypracovaný záznam o výsledku následnej finančnej kontroly, s ktorým bol oboznámený vedúci kontrolovaného subjektu.    </w:t>
      </w:r>
    </w:p>
    <w:p w:rsidR="00405552" w:rsidRPr="00405552" w:rsidP="00405552">
      <w:pPr>
        <w:spacing w:line="240" w:lineRule="auto"/>
        <w:rPr>
          <w:rFonts w:ascii="Times New Roman" w:hAnsi="Times New Roman" w:cs="Times New Roman"/>
          <w:b/>
          <w:bCs/>
          <w:sz w:val="24"/>
          <w:szCs w:val="24"/>
        </w:rPr>
      </w:pPr>
    </w:p>
    <w:p w:rsidR="00405552" w:rsidRPr="00405552" w:rsidP="001654CB">
      <w:pPr>
        <w:numPr>
          <w:ilvl w:val="0"/>
          <w:numId w:val="34"/>
        </w:numPr>
        <w:tabs>
          <w:tab w:val="left" w:pos="360"/>
          <w:tab w:val="clear" w:pos="720"/>
        </w:tabs>
        <w:spacing w:line="240" w:lineRule="auto"/>
        <w:ind w:hanging="720"/>
        <w:rPr>
          <w:rFonts w:ascii="Times New Roman" w:hAnsi="Times New Roman" w:cs="Times New Roman"/>
          <w:b/>
          <w:bCs/>
          <w:sz w:val="24"/>
          <w:szCs w:val="24"/>
        </w:rPr>
      </w:pPr>
      <w:r w:rsidRPr="00405552">
        <w:rPr>
          <w:rFonts w:ascii="Times New Roman" w:hAnsi="Times New Roman" w:cs="Times New Roman"/>
          <w:b/>
          <w:bCs/>
          <w:sz w:val="24"/>
          <w:szCs w:val="24"/>
        </w:rPr>
        <w:t xml:space="preserve">Krajský úrad pre cestnú dopravu a pozemné komunikácie, Trenčín </w:t>
      </w:r>
    </w:p>
    <w:p w:rsidR="00EA488D" w:rsidP="00405552">
      <w:pPr>
        <w:tabs>
          <w:tab w:val="left" w:pos="567"/>
          <w:tab w:val="left" w:pos="2835"/>
          <w:tab w:val="left" w:pos="3119"/>
          <w:tab w:val="left" w:pos="3263"/>
        </w:tabs>
        <w:spacing w:line="240" w:lineRule="auto"/>
        <w:rPr>
          <w:rFonts w:ascii="Times New Roman" w:hAnsi="Times New Roman" w:cs="Times New Roman"/>
          <w:iCs/>
          <w:sz w:val="24"/>
          <w:szCs w:val="24"/>
        </w:rPr>
      </w:pPr>
    </w:p>
    <w:p w:rsidR="00405552" w:rsidRPr="00405552" w:rsidP="00EA488D">
      <w:pPr>
        <w:tabs>
          <w:tab w:val="left" w:pos="-180"/>
          <w:tab w:val="left" w:pos="0"/>
        </w:tabs>
        <w:spacing w:line="240" w:lineRule="auto"/>
        <w:rPr>
          <w:rFonts w:ascii="Times New Roman" w:hAnsi="Times New Roman" w:cs="Times New Roman"/>
          <w:iCs/>
          <w:sz w:val="24"/>
          <w:szCs w:val="24"/>
        </w:rPr>
      </w:pPr>
      <w:r w:rsidR="00EA488D">
        <w:rPr>
          <w:rFonts w:ascii="Times New Roman" w:hAnsi="Times New Roman" w:cs="Times New Roman"/>
          <w:iCs/>
          <w:sz w:val="24"/>
          <w:szCs w:val="24"/>
        </w:rPr>
        <w:tab/>
      </w:r>
      <w:r w:rsidRPr="00405552">
        <w:rPr>
          <w:rFonts w:ascii="Times New Roman" w:hAnsi="Times New Roman" w:cs="Times New Roman"/>
          <w:iCs/>
          <w:sz w:val="24"/>
          <w:szCs w:val="24"/>
        </w:rPr>
        <w:t xml:space="preserve">Následná finančná kontrola bola zameraná na splnenie opatrení prijatých na nápravu  nedostatkov zistených následnou finančnou kontrolou č. 43-1700/2006 –OKŠDD, vykonanou kontrolnou skupinou MDPT SR v roku 2006. </w:t>
      </w:r>
    </w:p>
    <w:p w:rsidR="00EA488D" w:rsidP="00EA488D">
      <w:pPr>
        <w:spacing w:line="240" w:lineRule="auto"/>
        <w:ind w:firstLine="709"/>
        <w:rPr>
          <w:rFonts w:ascii="Times New Roman" w:hAnsi="Times New Roman" w:cs="Times New Roman"/>
          <w:sz w:val="24"/>
          <w:szCs w:val="24"/>
        </w:rPr>
      </w:pPr>
    </w:p>
    <w:p w:rsidR="00405552" w:rsidRPr="00405552" w:rsidP="00EA488D">
      <w:pPr>
        <w:spacing w:line="240" w:lineRule="auto"/>
        <w:ind w:firstLine="709"/>
        <w:rPr>
          <w:rFonts w:ascii="Times New Roman" w:hAnsi="Times New Roman" w:cs="Times New Roman"/>
          <w:b/>
          <w:sz w:val="24"/>
          <w:szCs w:val="24"/>
        </w:rPr>
      </w:pPr>
      <w:r w:rsidRPr="00405552">
        <w:rPr>
          <w:rFonts w:ascii="Times New Roman" w:hAnsi="Times New Roman" w:cs="Times New Roman"/>
          <w:sz w:val="24"/>
          <w:szCs w:val="24"/>
        </w:rPr>
        <w:t>Kontrolou plnenia opatrení prijatých z úrovne prednostu KÚ CD</w:t>
      </w:r>
      <w:r w:rsidR="00EA488D">
        <w:rPr>
          <w:rFonts w:ascii="Times New Roman" w:hAnsi="Times New Roman" w:cs="Times New Roman"/>
          <w:sz w:val="24"/>
          <w:szCs w:val="24"/>
        </w:rPr>
        <w:t xml:space="preserve"> </w:t>
      </w:r>
      <w:r w:rsidRPr="00405552">
        <w:rPr>
          <w:rFonts w:ascii="Times New Roman" w:hAnsi="Times New Roman" w:cs="Times New Roman"/>
          <w:sz w:val="24"/>
          <w:szCs w:val="24"/>
        </w:rPr>
        <w:t>a</w:t>
      </w:r>
      <w:r w:rsidR="00EA488D">
        <w:rPr>
          <w:rFonts w:ascii="Times New Roman" w:hAnsi="Times New Roman" w:cs="Times New Roman"/>
          <w:sz w:val="24"/>
          <w:szCs w:val="24"/>
        </w:rPr>
        <w:t xml:space="preserve"> </w:t>
      </w:r>
      <w:r w:rsidRPr="00405552">
        <w:rPr>
          <w:rFonts w:ascii="Times New Roman" w:hAnsi="Times New Roman" w:cs="Times New Roman"/>
          <w:sz w:val="24"/>
          <w:szCs w:val="24"/>
        </w:rPr>
        <w:t xml:space="preserve">PK k uvedenej následnej finančnej kontrole bolo zistené, že kontrolovaný subjekt 3 termínované opatrenia splnil v stanovenej lehote do 30.03.2007 a 12 opatrení trvalého charakteru sa priebežne plní. Z dôvodu, že predmetnou kontrolou neboli  zistené nedostatky, bol o výsledku kontroly vyhotovený záznam o výsledku následnej finančnej kontroly, s ktorým bol oboznámený vedúci kontrolovaného subjektu.    </w:t>
      </w:r>
    </w:p>
    <w:p w:rsidR="00405552" w:rsidRPr="00405552" w:rsidP="00405552">
      <w:pPr>
        <w:spacing w:line="240" w:lineRule="auto"/>
        <w:rPr>
          <w:rFonts w:ascii="Times New Roman" w:hAnsi="Times New Roman" w:cs="Times New Roman"/>
          <w:b/>
          <w:sz w:val="24"/>
          <w:szCs w:val="24"/>
        </w:rPr>
      </w:pPr>
    </w:p>
    <w:p w:rsidR="00405552" w:rsidP="001654CB">
      <w:pPr>
        <w:numPr>
          <w:ilvl w:val="0"/>
          <w:numId w:val="34"/>
        </w:numPr>
        <w:tabs>
          <w:tab w:val="clear" w:pos="720"/>
        </w:tabs>
        <w:spacing w:line="240" w:lineRule="auto"/>
        <w:ind w:left="360"/>
        <w:rPr>
          <w:rFonts w:ascii="Times New Roman" w:hAnsi="Times New Roman" w:cs="Times New Roman"/>
          <w:b/>
          <w:bCs/>
          <w:sz w:val="24"/>
          <w:szCs w:val="24"/>
        </w:rPr>
      </w:pPr>
      <w:r w:rsidR="00C75A2D">
        <w:rPr>
          <w:rFonts w:ascii="Times New Roman" w:hAnsi="Times New Roman" w:cs="Times New Roman"/>
          <w:b/>
          <w:bCs/>
          <w:sz w:val="24"/>
          <w:szCs w:val="24"/>
        </w:rPr>
        <w:t xml:space="preserve">  </w:t>
      </w:r>
      <w:r w:rsidRPr="00405552">
        <w:rPr>
          <w:rFonts w:ascii="Times New Roman" w:hAnsi="Times New Roman" w:cs="Times New Roman"/>
          <w:b/>
          <w:bCs/>
          <w:sz w:val="24"/>
          <w:szCs w:val="24"/>
        </w:rPr>
        <w:t>Úrad verejného zdravotníctva MDPT SR, Bratislava</w:t>
      </w:r>
    </w:p>
    <w:p w:rsidR="00EA488D" w:rsidRPr="00405552" w:rsidP="00EA488D">
      <w:pPr>
        <w:spacing w:line="240" w:lineRule="auto"/>
        <w:rPr>
          <w:rFonts w:ascii="Times New Roman" w:hAnsi="Times New Roman" w:cs="Times New Roman"/>
          <w:b/>
          <w:bCs/>
          <w:sz w:val="24"/>
          <w:szCs w:val="24"/>
        </w:rPr>
      </w:pPr>
    </w:p>
    <w:p w:rsidR="00405552" w:rsidRPr="00405552" w:rsidP="00405552">
      <w:pPr>
        <w:tabs>
          <w:tab w:val="left" w:pos="0"/>
        </w:tabs>
        <w:spacing w:line="240" w:lineRule="auto"/>
        <w:rPr>
          <w:rFonts w:ascii="Times New Roman" w:hAnsi="Times New Roman" w:cs="Times New Roman"/>
          <w:sz w:val="24"/>
          <w:szCs w:val="24"/>
        </w:rPr>
      </w:pPr>
      <w:r w:rsidR="00EA488D">
        <w:rPr>
          <w:rFonts w:ascii="Times New Roman" w:hAnsi="Times New Roman" w:cs="Times New Roman"/>
          <w:sz w:val="24"/>
          <w:szCs w:val="24"/>
        </w:rPr>
        <w:tab/>
      </w:r>
      <w:r w:rsidRPr="00405552">
        <w:rPr>
          <w:rFonts w:ascii="Times New Roman" w:hAnsi="Times New Roman" w:cs="Times New Roman"/>
          <w:sz w:val="24"/>
          <w:szCs w:val="24"/>
        </w:rPr>
        <w:t>Následná finančná kontrola bola zameraná na kontrolu použitia verejných prostriedkov v súlade so zákonom č. 523/2004 Z.z. o rozpočtových pravidlách verejnej správy,  nakladanie s majetkom štátu v zmysle zákona č. 278/1993 Z.z. o správe majetku štátu  a dodržiavania zákonov č. 431/2002 Z.z. o účtovníctve  a zákona  č. 523/2003 Z.z., resp. zákona č. 25/2006 Z.z. o verejnom obstarávaní.</w:t>
      </w:r>
    </w:p>
    <w:p w:rsidR="00405552" w:rsidRPr="00405552" w:rsidP="00405552">
      <w:pPr>
        <w:spacing w:line="240" w:lineRule="auto"/>
        <w:rPr>
          <w:rFonts w:ascii="Times New Roman" w:hAnsi="Times New Roman" w:cs="Times New Roman"/>
          <w:iCs/>
          <w:sz w:val="24"/>
          <w:szCs w:val="24"/>
        </w:rPr>
      </w:pPr>
    </w:p>
    <w:p w:rsidR="00405552" w:rsidRPr="00A27969" w:rsidP="00A27969">
      <w:pPr>
        <w:spacing w:line="240" w:lineRule="auto"/>
        <w:ind w:firstLine="709"/>
        <w:outlineLvl w:val="1"/>
        <w:rPr>
          <w:rFonts w:ascii="Times New Roman" w:hAnsi="Times New Roman" w:cs="Times New Roman"/>
          <w:iCs/>
          <w:sz w:val="24"/>
          <w:szCs w:val="24"/>
        </w:rPr>
      </w:pPr>
      <w:r w:rsidRPr="00A27969">
        <w:rPr>
          <w:rFonts w:ascii="Times New Roman" w:hAnsi="Times New Roman" w:cs="Times New Roman"/>
          <w:iCs/>
          <w:sz w:val="24"/>
          <w:szCs w:val="24"/>
        </w:rPr>
        <w:t>Celková ko</w:t>
      </w:r>
      <w:r w:rsidR="00A27969">
        <w:rPr>
          <w:rFonts w:ascii="Times New Roman" w:hAnsi="Times New Roman" w:cs="Times New Roman"/>
          <w:iCs/>
          <w:sz w:val="24"/>
          <w:szCs w:val="24"/>
        </w:rPr>
        <w:t xml:space="preserve">ntrolovaná suma prostriedkov ŠR: </w:t>
      </w:r>
      <w:r w:rsidRPr="00A27969">
        <w:rPr>
          <w:rFonts w:ascii="Times New Roman" w:hAnsi="Times New Roman" w:cs="Times New Roman"/>
          <w:iCs/>
          <w:sz w:val="24"/>
          <w:szCs w:val="24"/>
        </w:rPr>
        <w:t>2 401 769,- Sk</w:t>
      </w:r>
    </w:p>
    <w:p w:rsidR="00405552" w:rsidP="00A27969">
      <w:pPr>
        <w:spacing w:line="240" w:lineRule="auto"/>
        <w:ind w:firstLine="709"/>
        <w:rPr>
          <w:rFonts w:ascii="Times New Roman" w:hAnsi="Times New Roman" w:cs="Times New Roman"/>
          <w:bCs/>
          <w:iCs/>
          <w:sz w:val="24"/>
          <w:szCs w:val="24"/>
        </w:rPr>
      </w:pPr>
      <w:r w:rsidRPr="00A27969">
        <w:rPr>
          <w:rFonts w:ascii="Times New Roman" w:hAnsi="Times New Roman" w:cs="Times New Roman"/>
          <w:bCs/>
          <w:iCs/>
          <w:sz w:val="24"/>
          <w:szCs w:val="24"/>
        </w:rPr>
        <w:t>Kontrolné zistenia a opatrenia:</w:t>
      </w:r>
    </w:p>
    <w:p w:rsidR="00A27969" w:rsidRPr="00A27969" w:rsidP="00405552">
      <w:pPr>
        <w:spacing w:line="240" w:lineRule="auto"/>
        <w:rPr>
          <w:rFonts w:ascii="Times New Roman" w:hAnsi="Times New Roman" w:cs="Times New Roman"/>
          <w:bCs/>
          <w:iCs/>
          <w:sz w:val="24"/>
          <w:szCs w:val="24"/>
        </w:rPr>
      </w:pPr>
    </w:p>
    <w:p w:rsidR="00405552" w:rsidRPr="00405552" w:rsidP="001654CB">
      <w:pPr>
        <w:numPr>
          <w:ilvl w:val="0"/>
          <w:numId w:val="25"/>
        </w:numPr>
        <w:tabs>
          <w:tab w:val="left" w:pos="360"/>
          <w:tab w:val="left" w:pos="720"/>
          <w:tab w:val="left" w:pos="2835"/>
          <w:tab w:val="left" w:pos="3119"/>
          <w:tab w:val="left" w:pos="3263"/>
        </w:tabs>
        <w:spacing w:line="240" w:lineRule="auto"/>
        <w:rPr>
          <w:rFonts w:ascii="Times New Roman" w:hAnsi="Times New Roman" w:cs="Times New Roman"/>
          <w:sz w:val="24"/>
          <w:szCs w:val="24"/>
        </w:rPr>
      </w:pPr>
      <w:r w:rsidR="002436DE">
        <w:rPr>
          <w:rFonts w:ascii="Times New Roman" w:hAnsi="Times New Roman" w:cs="Times New Roman"/>
          <w:sz w:val="24"/>
          <w:szCs w:val="24"/>
        </w:rPr>
        <w:t>n</w:t>
      </w:r>
      <w:r w:rsidRPr="00405552">
        <w:rPr>
          <w:rFonts w:ascii="Times New Roman" w:hAnsi="Times New Roman" w:cs="Times New Roman"/>
          <w:sz w:val="24"/>
          <w:szCs w:val="24"/>
        </w:rPr>
        <w:t>edostatky v oblasti účtovania cestovných náhrad – v 2 vyúčtovaniach chýbali časové údaje o začiatku a ukončení pracovnej cesty, čím došlo k porušeniu ustanovení  internej Smernice č. 6/2002 o pracovných</w:t>
      </w:r>
      <w:r w:rsidR="00A27969">
        <w:rPr>
          <w:rFonts w:ascii="Times New Roman" w:hAnsi="Times New Roman" w:cs="Times New Roman"/>
          <w:sz w:val="24"/>
          <w:szCs w:val="24"/>
        </w:rPr>
        <w:t xml:space="preserve"> cestách a cestovných náhradách</w:t>
      </w:r>
      <w:r w:rsidRPr="00920C86" w:rsidR="00A27969">
        <w:rPr>
          <w:rFonts w:ascii="Times New Roman" w:hAnsi="Times New Roman" w:cs="Times New Roman"/>
          <w:sz w:val="24"/>
          <w:szCs w:val="24"/>
        </w:rPr>
        <w:t>;</w:t>
      </w:r>
    </w:p>
    <w:p w:rsidR="00405552" w:rsidRPr="00405552" w:rsidP="001654CB">
      <w:pPr>
        <w:numPr>
          <w:ilvl w:val="0"/>
          <w:numId w:val="25"/>
        </w:numPr>
        <w:tabs>
          <w:tab w:val="left" w:pos="360"/>
          <w:tab w:val="left" w:pos="720"/>
          <w:tab w:val="left" w:pos="2835"/>
          <w:tab w:val="left" w:pos="3119"/>
          <w:tab w:val="left" w:pos="3263"/>
        </w:tabs>
        <w:spacing w:line="240" w:lineRule="auto"/>
        <w:rPr>
          <w:rFonts w:ascii="Times New Roman" w:hAnsi="Times New Roman" w:cs="Times New Roman"/>
          <w:sz w:val="24"/>
          <w:szCs w:val="24"/>
        </w:rPr>
      </w:pPr>
      <w:r w:rsidR="002436DE">
        <w:rPr>
          <w:rFonts w:ascii="Times New Roman" w:hAnsi="Times New Roman" w:cs="Times New Roman"/>
          <w:sz w:val="24"/>
          <w:szCs w:val="24"/>
        </w:rPr>
        <w:t>n</w:t>
      </w:r>
      <w:r w:rsidRPr="00405552">
        <w:rPr>
          <w:rFonts w:ascii="Times New Roman" w:hAnsi="Times New Roman" w:cs="Times New Roman"/>
          <w:sz w:val="24"/>
          <w:szCs w:val="24"/>
        </w:rPr>
        <w:t xml:space="preserve">edostatky v oblasti hospodárenia na úseku autoprevádzky – aktuálny stav rozdelenia vozidiel nebol upravený dodatkom k príslušnej smernici, nedostatky u viacerých žiadaniek na prepravu – chýbajúce podpisy žiadateľov a zodpovedných </w:t>
      </w:r>
      <w:r w:rsidR="00A27969">
        <w:rPr>
          <w:rFonts w:ascii="Times New Roman" w:hAnsi="Times New Roman" w:cs="Times New Roman"/>
          <w:sz w:val="24"/>
          <w:szCs w:val="24"/>
        </w:rPr>
        <w:t xml:space="preserve">zamestnancov, chýbajúce dátumy </w:t>
      </w:r>
      <w:r w:rsidRPr="00405552">
        <w:rPr>
          <w:rFonts w:ascii="Times New Roman" w:hAnsi="Times New Roman" w:cs="Times New Roman"/>
          <w:sz w:val="24"/>
          <w:szCs w:val="24"/>
        </w:rPr>
        <w:t xml:space="preserve">overenia vyúčtovania, nevystavenie žiadaniek, čím došlo k porušeniu ustanovení internej Smernice č. 1/2006 o používaní </w:t>
      </w:r>
      <w:r w:rsidR="00A27969">
        <w:rPr>
          <w:rFonts w:ascii="Times New Roman" w:hAnsi="Times New Roman" w:cs="Times New Roman"/>
          <w:sz w:val="24"/>
          <w:szCs w:val="24"/>
        </w:rPr>
        <w:t>služobných  motorových vozidiel</w:t>
      </w:r>
      <w:r w:rsidRPr="00920C86" w:rsidR="00A27969">
        <w:rPr>
          <w:rFonts w:ascii="Times New Roman" w:hAnsi="Times New Roman" w:cs="Times New Roman"/>
          <w:sz w:val="24"/>
          <w:szCs w:val="24"/>
        </w:rPr>
        <w:t>;</w:t>
      </w:r>
    </w:p>
    <w:p w:rsidR="00405552" w:rsidRPr="00405552" w:rsidP="001654CB">
      <w:pPr>
        <w:numPr>
          <w:ilvl w:val="0"/>
          <w:numId w:val="25"/>
        </w:numPr>
        <w:tabs>
          <w:tab w:val="left" w:pos="360"/>
          <w:tab w:val="left" w:pos="720"/>
          <w:tab w:val="left" w:pos="2835"/>
          <w:tab w:val="left" w:pos="3119"/>
          <w:tab w:val="left" w:pos="3263"/>
        </w:tabs>
        <w:spacing w:line="240" w:lineRule="auto"/>
        <w:rPr>
          <w:rFonts w:ascii="Times New Roman" w:hAnsi="Times New Roman" w:cs="Times New Roman"/>
          <w:sz w:val="24"/>
          <w:szCs w:val="24"/>
        </w:rPr>
      </w:pPr>
      <w:r w:rsidR="002436DE">
        <w:rPr>
          <w:rFonts w:ascii="Times New Roman" w:hAnsi="Times New Roman" w:cs="Times New Roman"/>
          <w:sz w:val="24"/>
          <w:szCs w:val="24"/>
        </w:rPr>
        <w:t>v</w:t>
      </w:r>
      <w:r w:rsidRPr="00405552">
        <w:rPr>
          <w:rFonts w:ascii="Times New Roman" w:hAnsi="Times New Roman" w:cs="Times New Roman"/>
          <w:sz w:val="24"/>
          <w:szCs w:val="24"/>
        </w:rPr>
        <w:t xml:space="preserve"> oblasti vedenia účtovníctva bolo zistené, že kontrolovaný subjekt nemá vydaný interný predpis o obehu </w:t>
      </w:r>
      <w:r w:rsidR="00A27969">
        <w:rPr>
          <w:rFonts w:ascii="Times New Roman" w:hAnsi="Times New Roman" w:cs="Times New Roman"/>
          <w:sz w:val="24"/>
          <w:szCs w:val="24"/>
        </w:rPr>
        <w:t xml:space="preserve">účtovných dokladov, nedostatky záznamu </w:t>
      </w:r>
      <w:r w:rsidRPr="00405552">
        <w:rPr>
          <w:rFonts w:ascii="Times New Roman" w:hAnsi="Times New Roman" w:cs="Times New Roman"/>
          <w:sz w:val="24"/>
          <w:szCs w:val="24"/>
        </w:rPr>
        <w:t xml:space="preserve">o vykonaní predbežnej finančnej  kontroly – chýbal dátum  vykonania, nevykonávanie predbežnej finančnej kontroly  vo fáze prípravy finančnej operácie – pri vystavovaní objednávok a návrhov na uzavretie zmlúv, nevykonávanie predbežnej kontroly pri pokladničných finančných operáciách, čím došlo k porušeniu § 6 ods. </w:t>
      </w:r>
      <w:smartTag w:uri="urn:schemas-microsoft-com:office:smarttags" w:element="metricconverter">
        <w:smartTagPr>
          <w:attr w:name="ProductID" w:val="1 a"/>
        </w:smartTagPr>
        <w:r w:rsidRPr="00405552">
          <w:rPr>
            <w:rFonts w:ascii="Times New Roman" w:hAnsi="Times New Roman" w:cs="Times New Roman"/>
            <w:sz w:val="24"/>
            <w:szCs w:val="24"/>
          </w:rPr>
          <w:t>1 a</w:t>
        </w:r>
      </w:smartTag>
      <w:r w:rsidRPr="00405552">
        <w:rPr>
          <w:rFonts w:ascii="Times New Roman" w:hAnsi="Times New Roman" w:cs="Times New Roman"/>
          <w:sz w:val="24"/>
          <w:szCs w:val="24"/>
        </w:rPr>
        <w:t xml:space="preserve"> § 9 zákona č. 502/2001 Z. z. o finančnej kontrole a zároveň aj k porušeniu čl. 2 a čl. 5 internej Smernice č. 4/2006 o pravidlách a postupoch finančnéh</w:t>
      </w:r>
      <w:r w:rsidR="00A27969">
        <w:rPr>
          <w:rFonts w:ascii="Times New Roman" w:hAnsi="Times New Roman" w:cs="Times New Roman"/>
          <w:sz w:val="24"/>
          <w:szCs w:val="24"/>
        </w:rPr>
        <w:t>o riadenia a finančnej kontroly</w:t>
      </w:r>
      <w:r w:rsidRPr="00920C86" w:rsidR="00A27969">
        <w:rPr>
          <w:rFonts w:ascii="Times New Roman" w:hAnsi="Times New Roman" w:cs="Times New Roman"/>
          <w:sz w:val="24"/>
          <w:szCs w:val="24"/>
        </w:rPr>
        <w:t>;</w:t>
      </w:r>
      <w:r w:rsidRPr="00405552">
        <w:rPr>
          <w:rFonts w:ascii="Times New Roman" w:hAnsi="Times New Roman" w:cs="Times New Roman"/>
          <w:sz w:val="24"/>
          <w:szCs w:val="24"/>
        </w:rPr>
        <w:t xml:space="preserve"> </w:t>
      </w:r>
    </w:p>
    <w:p w:rsidR="00405552" w:rsidRPr="00405552" w:rsidP="00405552">
      <w:pPr>
        <w:numPr>
          <w:ilvl w:val="0"/>
          <w:numId w:val="25"/>
        </w:numPr>
        <w:tabs>
          <w:tab w:val="left" w:pos="720"/>
        </w:tabs>
        <w:spacing w:line="240" w:lineRule="auto"/>
        <w:rPr>
          <w:rFonts w:ascii="Times New Roman" w:hAnsi="Times New Roman" w:cs="Times New Roman"/>
          <w:sz w:val="24"/>
          <w:szCs w:val="24"/>
        </w:rPr>
      </w:pPr>
      <w:r w:rsidR="002436DE">
        <w:rPr>
          <w:rFonts w:ascii="Times New Roman" w:hAnsi="Times New Roman" w:cs="Times New Roman"/>
          <w:sz w:val="24"/>
          <w:szCs w:val="24"/>
        </w:rPr>
        <w:t>n</w:t>
      </w:r>
      <w:r w:rsidRPr="00405552">
        <w:rPr>
          <w:rFonts w:ascii="Times New Roman" w:hAnsi="Times New Roman" w:cs="Times New Roman"/>
          <w:sz w:val="24"/>
          <w:szCs w:val="24"/>
        </w:rPr>
        <w:t>edostatky v procese verejného obstarávania – nebol vydaný interný predpis na vykonávanie zákona o verejnom obstarávaní, čím neboli zabezpečené aplikácie niektorých ustanovení zákona, hlavne v oblasti rokovacieho konania bez zverejnenia, boli zistené viaceré nedostatky v evidencii a v archivácii dokumentácie z verejného obstarávania, čím došlo k porušeniu viacerých ustanovení (napr. § 76 ods. 1, § 102 ods. 4)  zákona č. 25/20</w:t>
      </w:r>
      <w:r w:rsidR="00A27969">
        <w:rPr>
          <w:rFonts w:ascii="Times New Roman" w:hAnsi="Times New Roman" w:cs="Times New Roman"/>
          <w:sz w:val="24"/>
          <w:szCs w:val="24"/>
        </w:rPr>
        <w:t>06 Z. z. o verejnom obstarávaní</w:t>
      </w:r>
      <w:r w:rsidRPr="00920C86" w:rsidR="00A27969">
        <w:rPr>
          <w:rFonts w:ascii="Times New Roman" w:hAnsi="Times New Roman" w:cs="Times New Roman"/>
          <w:sz w:val="24"/>
          <w:szCs w:val="24"/>
        </w:rPr>
        <w:t>;</w:t>
      </w:r>
    </w:p>
    <w:p w:rsidR="00405552" w:rsidRPr="00405552" w:rsidP="00405552">
      <w:pPr>
        <w:numPr>
          <w:ilvl w:val="0"/>
          <w:numId w:val="25"/>
        </w:numPr>
        <w:tabs>
          <w:tab w:val="left" w:pos="720"/>
        </w:tabs>
        <w:spacing w:line="240" w:lineRule="auto"/>
        <w:rPr>
          <w:rFonts w:ascii="Times New Roman" w:hAnsi="Times New Roman" w:cs="Times New Roman"/>
          <w:bCs/>
          <w:iCs/>
          <w:sz w:val="24"/>
          <w:szCs w:val="24"/>
        </w:rPr>
      </w:pPr>
      <w:r w:rsidR="002436DE">
        <w:rPr>
          <w:rFonts w:ascii="Times New Roman" w:hAnsi="Times New Roman" w:cs="Times New Roman"/>
          <w:sz w:val="24"/>
          <w:szCs w:val="24"/>
        </w:rPr>
        <w:t>k</w:t>
      </w:r>
      <w:r w:rsidRPr="00405552">
        <w:rPr>
          <w:rFonts w:ascii="Times New Roman" w:hAnsi="Times New Roman" w:cs="Times New Roman"/>
          <w:sz w:val="24"/>
          <w:szCs w:val="24"/>
        </w:rPr>
        <w:t>ontrolovaný subjekt nemal vydaný registratúrn</w:t>
      </w:r>
      <w:r w:rsidR="00A27969">
        <w:rPr>
          <w:rFonts w:ascii="Times New Roman" w:hAnsi="Times New Roman" w:cs="Times New Roman"/>
          <w:sz w:val="24"/>
          <w:szCs w:val="24"/>
        </w:rPr>
        <w:t>y poriadok a registratúrny plán</w:t>
      </w:r>
      <w:r w:rsidRPr="00920C86" w:rsidR="00A27969">
        <w:rPr>
          <w:rFonts w:ascii="Times New Roman" w:hAnsi="Times New Roman" w:cs="Times New Roman"/>
          <w:sz w:val="24"/>
          <w:szCs w:val="24"/>
        </w:rPr>
        <w:t>;</w:t>
      </w:r>
      <w:r w:rsidRPr="00405552">
        <w:rPr>
          <w:rFonts w:ascii="Times New Roman" w:hAnsi="Times New Roman" w:cs="Times New Roman"/>
          <w:sz w:val="24"/>
          <w:szCs w:val="24"/>
        </w:rPr>
        <w:t xml:space="preserve"> </w:t>
      </w:r>
    </w:p>
    <w:p w:rsidR="00405552" w:rsidRPr="00405552" w:rsidP="00405552">
      <w:pPr>
        <w:numPr>
          <w:ilvl w:val="0"/>
          <w:numId w:val="25"/>
        </w:numPr>
        <w:tabs>
          <w:tab w:val="left" w:pos="720"/>
        </w:tabs>
        <w:spacing w:line="240" w:lineRule="auto"/>
        <w:rPr>
          <w:rFonts w:ascii="Times New Roman" w:hAnsi="Times New Roman" w:cs="Times New Roman"/>
          <w:bCs/>
          <w:iCs/>
          <w:sz w:val="24"/>
          <w:szCs w:val="24"/>
        </w:rPr>
      </w:pPr>
      <w:r w:rsidR="002436DE">
        <w:rPr>
          <w:rFonts w:ascii="Times New Roman" w:hAnsi="Times New Roman" w:cs="Times New Roman"/>
          <w:sz w:val="24"/>
          <w:szCs w:val="24"/>
        </w:rPr>
        <w:t>k</w:t>
      </w:r>
      <w:r w:rsidRPr="00405552">
        <w:rPr>
          <w:rFonts w:ascii="Times New Roman" w:hAnsi="Times New Roman" w:cs="Times New Roman"/>
          <w:sz w:val="24"/>
          <w:szCs w:val="24"/>
        </w:rPr>
        <w:t>ontrolovaný subjekt nemal vydanú smernicu upravujúcu nakladanie s prebytočným, dočasne prebytočným a n</w:t>
      </w:r>
      <w:r w:rsidR="00A27969">
        <w:rPr>
          <w:rFonts w:ascii="Times New Roman" w:hAnsi="Times New Roman" w:cs="Times New Roman"/>
          <w:sz w:val="24"/>
          <w:szCs w:val="24"/>
        </w:rPr>
        <w:t>eupotrebiteľným majetkom štátu</w:t>
      </w:r>
      <w:r w:rsidRPr="00920C86" w:rsidR="00A27969">
        <w:rPr>
          <w:rFonts w:ascii="Times New Roman" w:hAnsi="Times New Roman" w:cs="Times New Roman"/>
          <w:sz w:val="24"/>
          <w:szCs w:val="24"/>
        </w:rPr>
        <w:t>;</w:t>
      </w:r>
    </w:p>
    <w:p w:rsidR="00405552" w:rsidRPr="00405552" w:rsidP="00405552">
      <w:pPr>
        <w:numPr>
          <w:ilvl w:val="0"/>
          <w:numId w:val="25"/>
        </w:numPr>
        <w:tabs>
          <w:tab w:val="left" w:pos="720"/>
        </w:tabs>
        <w:spacing w:line="240" w:lineRule="auto"/>
        <w:rPr>
          <w:rFonts w:ascii="Times New Roman" w:hAnsi="Times New Roman" w:cs="Times New Roman"/>
          <w:bCs/>
          <w:iCs/>
          <w:sz w:val="24"/>
          <w:szCs w:val="24"/>
        </w:rPr>
      </w:pPr>
      <w:r w:rsidR="002436DE">
        <w:rPr>
          <w:rFonts w:ascii="Times New Roman" w:hAnsi="Times New Roman" w:cs="Times New Roman"/>
          <w:sz w:val="24"/>
          <w:szCs w:val="24"/>
        </w:rPr>
        <w:t>v</w:t>
      </w:r>
      <w:r w:rsidRPr="00405552">
        <w:rPr>
          <w:rFonts w:ascii="Times New Roman" w:hAnsi="Times New Roman" w:cs="Times New Roman"/>
          <w:sz w:val="24"/>
          <w:szCs w:val="24"/>
        </w:rPr>
        <w:t xml:space="preserve"> smernici o pravidlách a postupoch finančného riadenia a finančnej kontroly, nebolo upravené vykonávanie následnej finančnej kontroly, v organizačnom poriadku nebol  upravený systém vnútornej a finančnej kontroly. </w:t>
      </w:r>
    </w:p>
    <w:p w:rsidR="004573C1" w:rsidP="00EE757E">
      <w:pPr>
        <w:tabs>
          <w:tab w:val="left" w:pos="2835"/>
        </w:tabs>
        <w:spacing w:line="240" w:lineRule="auto"/>
        <w:rPr>
          <w:rFonts w:ascii="Times New Roman" w:hAnsi="Times New Roman" w:cs="Times New Roman"/>
          <w:sz w:val="24"/>
          <w:szCs w:val="24"/>
        </w:rPr>
      </w:pPr>
    </w:p>
    <w:p w:rsidR="00405552" w:rsidRPr="00405552" w:rsidP="00A27969">
      <w:pPr>
        <w:tabs>
          <w:tab w:val="left" w:pos="360"/>
        </w:tabs>
        <w:spacing w:line="240" w:lineRule="auto"/>
        <w:rPr>
          <w:rFonts w:ascii="Times New Roman" w:hAnsi="Times New Roman" w:cs="Times New Roman"/>
          <w:sz w:val="24"/>
          <w:szCs w:val="24"/>
        </w:rPr>
      </w:pPr>
      <w:r w:rsidR="00A27969">
        <w:rPr>
          <w:rFonts w:ascii="Times New Roman" w:hAnsi="Times New Roman" w:cs="Times New Roman"/>
          <w:sz w:val="24"/>
          <w:szCs w:val="24"/>
        </w:rPr>
        <w:tab/>
        <w:tab/>
      </w:r>
      <w:r w:rsidRPr="00405552">
        <w:rPr>
          <w:rFonts w:ascii="Times New Roman" w:hAnsi="Times New Roman" w:cs="Times New Roman"/>
          <w:sz w:val="24"/>
          <w:szCs w:val="24"/>
        </w:rPr>
        <w:t xml:space="preserve">Vedúci kontrolovaného subjektu prijal </w:t>
      </w:r>
      <w:r w:rsidRPr="00A27969">
        <w:rPr>
          <w:rFonts w:ascii="Times New Roman" w:hAnsi="Times New Roman" w:cs="Times New Roman"/>
          <w:sz w:val="24"/>
          <w:szCs w:val="24"/>
        </w:rPr>
        <w:t>celkom 23 opatrení</w:t>
      </w:r>
      <w:r w:rsidRPr="00405552">
        <w:rPr>
          <w:rFonts w:ascii="Times New Roman" w:hAnsi="Times New Roman" w:cs="Times New Roman"/>
          <w:sz w:val="24"/>
          <w:szCs w:val="24"/>
        </w:rPr>
        <w:t xml:space="preserve"> na nápravu  zistených nedostatkov a na odstránenie príčin ich vzniku. Opatrenia boli zamerané hlavne na odstránenie nedostatkov v oblasti autoprevádzky – vystavovanie žiadaniek na prepravu, vydanie všetkých chýbajúcich vnútorných organizačných noriem,  zabezpečenie vykonávania predbežnej finančnej kontroly vo všetkých oblastiach a na odstránenie nedostatkov v oblasti verejného obstarávania. Zo správy o splnení opatrení vyplynulo, že všetkých 13 termínovaných opatrení bolo splnených v stanovenom termíne do 11.1.2008 a netermínované opatrenia boli tiež splnené, resp. sa priebežne plnia.</w:t>
      </w:r>
    </w:p>
    <w:p w:rsidR="004573C1" w:rsidRPr="00405552" w:rsidP="00A27969">
      <w:pPr>
        <w:spacing w:line="240" w:lineRule="auto"/>
        <w:rPr>
          <w:rFonts w:ascii="Times New Roman" w:hAnsi="Times New Roman" w:cs="Times New Roman"/>
          <w:b/>
          <w:bCs/>
          <w:sz w:val="24"/>
          <w:szCs w:val="24"/>
        </w:rPr>
      </w:pPr>
    </w:p>
    <w:p w:rsidR="00405552" w:rsidP="001654CB">
      <w:pPr>
        <w:numPr>
          <w:ilvl w:val="0"/>
          <w:numId w:val="34"/>
        </w:numPr>
        <w:tabs>
          <w:tab w:val="left" w:pos="720"/>
        </w:tabs>
        <w:spacing w:line="240" w:lineRule="auto"/>
        <w:ind w:left="0" w:firstLine="0"/>
        <w:rPr>
          <w:rFonts w:ascii="Times New Roman" w:hAnsi="Times New Roman" w:cs="Times New Roman"/>
          <w:b/>
          <w:bCs/>
          <w:sz w:val="24"/>
          <w:szCs w:val="24"/>
        </w:rPr>
      </w:pPr>
      <w:r w:rsidRPr="00405552">
        <w:rPr>
          <w:rFonts w:ascii="Times New Roman" w:hAnsi="Times New Roman" w:cs="Times New Roman"/>
          <w:b/>
          <w:bCs/>
          <w:sz w:val="24"/>
          <w:szCs w:val="24"/>
        </w:rPr>
        <w:t>– 12.  Úrad pre reguláciu železničnej dopravy, Brat</w:t>
      </w:r>
      <w:r w:rsidR="00A27969">
        <w:rPr>
          <w:rFonts w:ascii="Times New Roman" w:hAnsi="Times New Roman" w:cs="Times New Roman"/>
          <w:b/>
          <w:bCs/>
          <w:sz w:val="24"/>
          <w:szCs w:val="24"/>
        </w:rPr>
        <w:t xml:space="preserve">islava, Krajský úrad pre cestnú </w:t>
      </w:r>
      <w:r w:rsidRPr="00405552">
        <w:rPr>
          <w:rFonts w:ascii="Times New Roman" w:hAnsi="Times New Roman" w:cs="Times New Roman"/>
          <w:b/>
          <w:bCs/>
          <w:sz w:val="24"/>
          <w:szCs w:val="24"/>
        </w:rPr>
        <w:t xml:space="preserve">dopravu a pozemné komunikácie, Trenčín </w:t>
      </w:r>
    </w:p>
    <w:p w:rsidR="00A27969" w:rsidRPr="00405552" w:rsidP="00A27969">
      <w:pPr>
        <w:spacing w:line="240" w:lineRule="auto"/>
        <w:rPr>
          <w:rFonts w:ascii="Times New Roman" w:hAnsi="Times New Roman" w:cs="Times New Roman"/>
          <w:b/>
          <w:bCs/>
          <w:sz w:val="24"/>
          <w:szCs w:val="24"/>
        </w:rPr>
      </w:pPr>
    </w:p>
    <w:p w:rsidR="00405552" w:rsidRPr="00405552" w:rsidP="00A27969">
      <w:pPr>
        <w:keepNext/>
        <w:spacing w:line="240" w:lineRule="auto"/>
        <w:ind w:firstLine="709"/>
        <w:outlineLvl w:val="8"/>
        <w:rPr>
          <w:rFonts w:ascii="Times New Roman" w:hAnsi="Times New Roman" w:cs="Times New Roman"/>
          <w:b/>
          <w:bCs/>
          <w:iCs/>
          <w:sz w:val="24"/>
          <w:szCs w:val="24"/>
          <w:u w:val="single"/>
        </w:rPr>
      </w:pPr>
      <w:r w:rsidRPr="00405552">
        <w:rPr>
          <w:rFonts w:ascii="Times New Roman" w:hAnsi="Times New Roman" w:cs="Times New Roman"/>
          <w:sz w:val="24"/>
          <w:szCs w:val="24"/>
        </w:rPr>
        <w:t>Tieto</w:t>
      </w:r>
      <w:r w:rsidRPr="00405552">
        <w:rPr>
          <w:rFonts w:ascii="Times New Roman" w:hAnsi="Times New Roman" w:cs="Times New Roman"/>
          <w:b/>
          <w:sz w:val="24"/>
          <w:szCs w:val="24"/>
        </w:rPr>
        <w:t xml:space="preserve"> </w:t>
      </w:r>
      <w:r w:rsidRPr="00405552">
        <w:rPr>
          <w:rFonts w:ascii="Times New Roman" w:hAnsi="Times New Roman" w:cs="Times New Roman"/>
          <w:sz w:val="24"/>
          <w:szCs w:val="24"/>
        </w:rPr>
        <w:t xml:space="preserve">následné finančné kontroly boli zamerané na dodržiavanie hospodárnosti a účelnosti použitia rozpočtových  prostriedkov na vybrané tovary a služby, ako aj na obstarávanie kapitálových aktív, pridelených kontrolovaným subjektom na základe zákona    č. 655/2005 Z. z. o štátnom rozpočte na rok 2006 a rozpočtových opatrení MF SR a MDPT SR na rok 2006. </w:t>
      </w:r>
    </w:p>
    <w:p w:rsidR="00A27969" w:rsidP="00405552">
      <w:pPr>
        <w:spacing w:line="240" w:lineRule="auto"/>
        <w:outlineLvl w:val="1"/>
        <w:rPr>
          <w:rFonts w:ascii="Times New Roman" w:hAnsi="Times New Roman" w:cs="Times New Roman"/>
          <w:b/>
          <w:iCs/>
          <w:sz w:val="24"/>
          <w:szCs w:val="24"/>
          <w:u w:val="single"/>
        </w:rPr>
      </w:pPr>
    </w:p>
    <w:p w:rsidR="00405552" w:rsidRPr="00A27969" w:rsidP="00A27969">
      <w:pPr>
        <w:spacing w:line="240" w:lineRule="auto"/>
        <w:ind w:firstLine="709"/>
        <w:outlineLvl w:val="1"/>
        <w:rPr>
          <w:rFonts w:ascii="Times New Roman" w:hAnsi="Times New Roman" w:cs="Times New Roman"/>
          <w:iCs/>
          <w:sz w:val="24"/>
          <w:szCs w:val="24"/>
        </w:rPr>
      </w:pPr>
      <w:r w:rsidRPr="00A27969">
        <w:rPr>
          <w:rFonts w:ascii="Times New Roman" w:hAnsi="Times New Roman" w:cs="Times New Roman"/>
          <w:iCs/>
          <w:sz w:val="24"/>
          <w:szCs w:val="24"/>
        </w:rPr>
        <w:t>Celková kontrolovaná suma prostriedkov ŠR:</w:t>
      </w:r>
      <w:r w:rsidR="00A27969">
        <w:rPr>
          <w:rFonts w:ascii="Times New Roman" w:hAnsi="Times New Roman" w:cs="Times New Roman"/>
          <w:iCs/>
          <w:sz w:val="24"/>
          <w:szCs w:val="24"/>
        </w:rPr>
        <w:t xml:space="preserve"> </w:t>
      </w:r>
      <w:r w:rsidRPr="00A27969">
        <w:rPr>
          <w:rFonts w:ascii="Times New Roman" w:hAnsi="Times New Roman" w:cs="Times New Roman"/>
          <w:iCs/>
          <w:sz w:val="24"/>
          <w:szCs w:val="24"/>
        </w:rPr>
        <w:t>7 441 647,- Sk</w:t>
        <w:tab/>
      </w:r>
    </w:p>
    <w:p w:rsidR="00A27969" w:rsidP="00405552">
      <w:pPr>
        <w:spacing w:line="240" w:lineRule="auto"/>
        <w:ind w:firstLine="360"/>
        <w:rPr>
          <w:rFonts w:ascii="Times New Roman" w:hAnsi="Times New Roman" w:cs="Times New Roman"/>
          <w:sz w:val="24"/>
          <w:szCs w:val="24"/>
        </w:rPr>
      </w:pPr>
      <w:r w:rsidRPr="00405552" w:rsidR="00405552">
        <w:rPr>
          <w:rFonts w:ascii="Times New Roman" w:hAnsi="Times New Roman" w:cs="Times New Roman"/>
          <w:sz w:val="24"/>
          <w:szCs w:val="24"/>
        </w:rPr>
        <w:t xml:space="preserve">  </w:t>
      </w:r>
      <w:r>
        <w:rPr>
          <w:rFonts w:ascii="Times New Roman" w:hAnsi="Times New Roman" w:cs="Times New Roman"/>
          <w:sz w:val="24"/>
          <w:szCs w:val="24"/>
        </w:rPr>
        <w:tab/>
      </w:r>
    </w:p>
    <w:p w:rsidR="00405552" w:rsidRPr="00405552" w:rsidP="00405552">
      <w:pPr>
        <w:spacing w:line="240" w:lineRule="auto"/>
        <w:ind w:firstLine="360"/>
        <w:rPr>
          <w:rFonts w:ascii="Times New Roman" w:hAnsi="Times New Roman" w:cs="Times New Roman"/>
          <w:b/>
          <w:sz w:val="24"/>
          <w:szCs w:val="24"/>
        </w:rPr>
      </w:pPr>
      <w:r w:rsidRPr="00405552">
        <w:rPr>
          <w:rFonts w:ascii="Times New Roman" w:hAnsi="Times New Roman" w:cs="Times New Roman"/>
          <w:sz w:val="24"/>
          <w:szCs w:val="24"/>
        </w:rPr>
        <w:t xml:space="preserve">Následnými finančnými kontrolami nebolo v kontrolovanej oblasti zistené porušenie všeobecne záväzných právnych predpisov ani interných predpisov vydaných na ich základe, v dôsledku čoho boli o výsledkoch kontrol vypracované v zmysle zákona č. 502/2001 Z. z.  záznamy, s ktorými boli oboznámení vedúci kontrolovaných subjektov.      </w:t>
      </w:r>
    </w:p>
    <w:p w:rsidR="001221BA" w:rsidP="00405552">
      <w:pPr>
        <w:spacing w:line="240" w:lineRule="auto"/>
        <w:rPr>
          <w:rFonts w:ascii="Times New Roman" w:hAnsi="Times New Roman" w:cs="Times New Roman"/>
          <w:b/>
          <w:sz w:val="24"/>
          <w:szCs w:val="24"/>
          <w:u w:val="single"/>
        </w:rPr>
      </w:pPr>
    </w:p>
    <w:p w:rsidR="00405552" w:rsidP="00405552">
      <w:pPr>
        <w:spacing w:line="240" w:lineRule="auto"/>
        <w:rPr>
          <w:rFonts w:ascii="Times New Roman" w:hAnsi="Times New Roman" w:cs="Times New Roman"/>
          <w:b/>
          <w:sz w:val="24"/>
          <w:szCs w:val="24"/>
          <w:u w:val="single"/>
        </w:rPr>
      </w:pPr>
      <w:r w:rsidR="00A27969">
        <w:rPr>
          <w:rFonts w:ascii="Times New Roman" w:hAnsi="Times New Roman" w:cs="Times New Roman"/>
          <w:b/>
          <w:sz w:val="24"/>
          <w:szCs w:val="24"/>
          <w:u w:val="single"/>
        </w:rPr>
        <w:t xml:space="preserve">C.2. </w:t>
      </w:r>
      <w:r w:rsidRPr="00405552">
        <w:rPr>
          <w:rFonts w:ascii="Times New Roman" w:hAnsi="Times New Roman" w:cs="Times New Roman"/>
          <w:b/>
          <w:sz w:val="24"/>
          <w:szCs w:val="24"/>
          <w:u w:val="single"/>
        </w:rPr>
        <w:t>Vzorkové následné finančné kontroly projektov financova</w:t>
      </w:r>
      <w:r w:rsidR="00A27969">
        <w:rPr>
          <w:rFonts w:ascii="Times New Roman" w:hAnsi="Times New Roman" w:cs="Times New Roman"/>
          <w:b/>
          <w:sz w:val="24"/>
          <w:szCs w:val="24"/>
          <w:u w:val="single"/>
        </w:rPr>
        <w:t xml:space="preserve">ných z prostriedkov EÚ a štátneho rozpočtu </w:t>
      </w:r>
      <w:r w:rsidRPr="00405552">
        <w:rPr>
          <w:rFonts w:ascii="Times New Roman" w:hAnsi="Times New Roman" w:cs="Times New Roman"/>
          <w:b/>
          <w:sz w:val="24"/>
          <w:szCs w:val="24"/>
          <w:u w:val="single"/>
        </w:rPr>
        <w:t xml:space="preserve">na MDPT SR a u konečných prijímateľov (KP/PP) </w:t>
      </w:r>
    </w:p>
    <w:p w:rsidR="00A27969" w:rsidP="00405552">
      <w:pPr>
        <w:spacing w:line="240" w:lineRule="auto"/>
        <w:rPr>
          <w:rFonts w:ascii="Times New Roman" w:hAnsi="Times New Roman" w:cs="Times New Roman"/>
          <w:b/>
          <w:sz w:val="24"/>
          <w:szCs w:val="24"/>
          <w:u w:val="single"/>
        </w:rPr>
      </w:pPr>
    </w:p>
    <w:p w:rsidR="00A27969" w:rsidRPr="00405552" w:rsidP="00405552">
      <w:pPr>
        <w:spacing w:line="240" w:lineRule="auto"/>
        <w:rPr>
          <w:rFonts w:ascii="Times New Roman" w:hAnsi="Times New Roman" w:cs="Times New Roman"/>
          <w:b/>
          <w:sz w:val="24"/>
          <w:szCs w:val="24"/>
          <w:u w:val="single"/>
        </w:rPr>
      </w:pPr>
    </w:p>
    <w:p w:rsidR="00405552" w:rsidRPr="00405552" w:rsidP="00A27969">
      <w:pPr>
        <w:spacing w:line="240" w:lineRule="auto"/>
        <w:ind w:firstLine="709"/>
        <w:rPr>
          <w:rFonts w:ascii="Times New Roman" w:hAnsi="Times New Roman" w:cs="Times New Roman"/>
          <w:sz w:val="24"/>
          <w:szCs w:val="24"/>
        </w:rPr>
      </w:pPr>
      <w:r w:rsidRPr="00405552">
        <w:rPr>
          <w:rFonts w:ascii="Times New Roman" w:hAnsi="Times New Roman" w:cs="Times New Roman"/>
          <w:sz w:val="24"/>
          <w:szCs w:val="24"/>
        </w:rPr>
        <w:t xml:space="preserve">U konečných prijímateľov bolo vykonaných 5 kontrol </w:t>
      </w:r>
      <w:r w:rsidR="00B948F8">
        <w:rPr>
          <w:rFonts w:ascii="Times New Roman" w:hAnsi="Times New Roman" w:cs="Times New Roman"/>
          <w:sz w:val="24"/>
          <w:szCs w:val="24"/>
        </w:rPr>
        <w:t>a na MDPT SR celkom 4 kontroly. U konečného prijímateľa/prijímateľa pomoci</w:t>
      </w:r>
      <w:r w:rsidR="002436DE">
        <w:rPr>
          <w:rFonts w:ascii="Times New Roman" w:hAnsi="Times New Roman" w:cs="Times New Roman"/>
          <w:sz w:val="24"/>
          <w:szCs w:val="24"/>
        </w:rPr>
        <w:t xml:space="preserve"> </w:t>
      </w:r>
      <w:r w:rsidRPr="00405552">
        <w:rPr>
          <w:rFonts w:ascii="Times New Roman" w:hAnsi="Times New Roman" w:cs="Times New Roman"/>
          <w:sz w:val="24"/>
          <w:szCs w:val="24"/>
        </w:rPr>
        <w:t>bolo skontrolovaných celkom 7 projektov (z toho 6 projektov štrukturálneho fondu ERDF a 1 p</w:t>
      </w:r>
      <w:r w:rsidR="00B948F8">
        <w:rPr>
          <w:rFonts w:ascii="Times New Roman" w:hAnsi="Times New Roman" w:cs="Times New Roman"/>
          <w:sz w:val="24"/>
          <w:szCs w:val="24"/>
        </w:rPr>
        <w:t xml:space="preserve">rojekt ISPA/Kohézneho fondu). Objem skontrolovaných výdavkov </w:t>
      </w:r>
      <w:r w:rsidRPr="00405552">
        <w:rPr>
          <w:rFonts w:ascii="Times New Roman" w:hAnsi="Times New Roman" w:cs="Times New Roman"/>
          <w:sz w:val="24"/>
          <w:szCs w:val="24"/>
        </w:rPr>
        <w:t>u KP/PP bol nasledovný:</w:t>
        <w:tab/>
      </w:r>
    </w:p>
    <w:p w:rsidR="00A27969" w:rsidP="00A27969">
      <w:pPr>
        <w:spacing w:line="240" w:lineRule="auto"/>
        <w:rPr>
          <w:rFonts w:ascii="Times New Roman" w:hAnsi="Times New Roman" w:cs="Times New Roman"/>
          <w:sz w:val="24"/>
          <w:szCs w:val="24"/>
        </w:rPr>
      </w:pPr>
    </w:p>
    <w:p w:rsidR="00A27969" w:rsidP="00A27969">
      <w:pPr>
        <w:spacing w:line="240" w:lineRule="auto"/>
        <w:ind w:firstLine="709"/>
        <w:rPr>
          <w:rFonts w:ascii="Times New Roman" w:hAnsi="Times New Roman" w:cs="Times New Roman"/>
          <w:sz w:val="24"/>
          <w:szCs w:val="24"/>
        </w:rPr>
      </w:pPr>
      <w:r w:rsidRPr="00405552" w:rsidR="00405552">
        <w:rPr>
          <w:rFonts w:ascii="Times New Roman" w:hAnsi="Times New Roman" w:cs="Times New Roman"/>
          <w:sz w:val="24"/>
          <w:szCs w:val="24"/>
        </w:rPr>
        <w:t xml:space="preserve">Objem skontrolovaných </w:t>
      </w:r>
      <w:r>
        <w:rPr>
          <w:rFonts w:ascii="Times New Roman" w:hAnsi="Times New Roman" w:cs="Times New Roman"/>
          <w:sz w:val="24"/>
          <w:szCs w:val="24"/>
        </w:rPr>
        <w:t>výdavkov: 2 602 643 tis. Sk</w:t>
      </w:r>
    </w:p>
    <w:p w:rsidR="00405552" w:rsidRPr="00405552" w:rsidP="00FE5D16">
      <w:pPr>
        <w:spacing w:line="240" w:lineRule="auto"/>
        <w:ind w:left="720" w:firstLine="709"/>
        <w:rPr>
          <w:rFonts w:ascii="Times New Roman" w:hAnsi="Times New Roman" w:cs="Times New Roman"/>
          <w:sz w:val="24"/>
          <w:szCs w:val="24"/>
        </w:rPr>
      </w:pPr>
      <w:r w:rsidRPr="00405552">
        <w:rPr>
          <w:rFonts w:ascii="Times New Roman" w:hAnsi="Times New Roman" w:cs="Times New Roman"/>
          <w:sz w:val="24"/>
          <w:szCs w:val="24"/>
        </w:rPr>
        <w:t>z toho:</w:t>
      </w:r>
    </w:p>
    <w:p w:rsidR="00405552" w:rsidRPr="00405552" w:rsidP="00405552">
      <w:pPr>
        <w:pStyle w:val="List"/>
        <w:tabs>
          <w:tab w:val="left" w:pos="540"/>
        </w:tabs>
        <w:spacing w:line="240" w:lineRule="auto"/>
        <w:ind w:left="0" w:firstLine="0"/>
        <w:rPr>
          <w:rFonts w:ascii="Times New Roman" w:hAnsi="Times New Roman" w:cs="Times New Roman"/>
          <w:sz w:val="24"/>
          <w:szCs w:val="24"/>
          <w:lang w:val="sk-SK"/>
        </w:rPr>
      </w:pPr>
      <w:r w:rsidR="00A27969">
        <w:rPr>
          <w:rFonts w:ascii="Times New Roman" w:hAnsi="Times New Roman" w:cs="Times New Roman"/>
          <w:sz w:val="24"/>
          <w:szCs w:val="24"/>
          <w:lang w:val="sk-SK"/>
        </w:rPr>
        <w:tab/>
        <w:t xml:space="preserve"> </w:t>
        <w:tab/>
        <w:t>O</w:t>
      </w:r>
      <w:r w:rsidRPr="00405552">
        <w:rPr>
          <w:rFonts w:ascii="Times New Roman" w:hAnsi="Times New Roman" w:cs="Times New Roman"/>
          <w:sz w:val="24"/>
          <w:szCs w:val="24"/>
          <w:lang w:val="sk-SK"/>
        </w:rPr>
        <w:t>právnené výdavky:</w:t>
        <w:tab/>
      </w:r>
      <w:r w:rsidR="00A27969">
        <w:rPr>
          <w:rFonts w:ascii="Times New Roman" w:hAnsi="Times New Roman" w:cs="Times New Roman"/>
          <w:sz w:val="24"/>
          <w:szCs w:val="24"/>
          <w:lang w:val="sk-SK"/>
        </w:rPr>
        <w:t xml:space="preserve">                      </w:t>
      </w:r>
      <w:r w:rsidRPr="00405552">
        <w:rPr>
          <w:rFonts w:ascii="Times New Roman" w:hAnsi="Times New Roman" w:cs="Times New Roman"/>
          <w:sz w:val="24"/>
          <w:szCs w:val="24"/>
          <w:lang w:val="sk-SK"/>
        </w:rPr>
        <w:t>2 602 643 tis. Sk</w:t>
      </w:r>
    </w:p>
    <w:p w:rsidR="00405552" w:rsidP="00405552">
      <w:pPr>
        <w:pStyle w:val="List"/>
        <w:tabs>
          <w:tab w:val="left" w:pos="540"/>
        </w:tabs>
        <w:spacing w:line="240" w:lineRule="auto"/>
        <w:ind w:left="0" w:firstLine="0"/>
        <w:rPr>
          <w:rFonts w:ascii="Times New Roman" w:hAnsi="Times New Roman" w:cs="Times New Roman"/>
          <w:sz w:val="24"/>
          <w:szCs w:val="24"/>
          <w:lang w:val="sk-SK"/>
        </w:rPr>
      </w:pPr>
      <w:r w:rsidR="00A27969">
        <w:rPr>
          <w:rFonts w:ascii="Times New Roman" w:hAnsi="Times New Roman" w:cs="Times New Roman"/>
          <w:sz w:val="24"/>
          <w:szCs w:val="24"/>
          <w:lang w:val="sk-SK"/>
        </w:rPr>
        <w:tab/>
        <w:t xml:space="preserve"> </w:t>
        <w:tab/>
        <w:t>N</w:t>
      </w:r>
      <w:r w:rsidRPr="00405552">
        <w:rPr>
          <w:rFonts w:ascii="Times New Roman" w:hAnsi="Times New Roman" w:cs="Times New Roman"/>
          <w:sz w:val="24"/>
          <w:szCs w:val="24"/>
          <w:lang w:val="sk-SK"/>
        </w:rPr>
        <w:t xml:space="preserve">eoprávnené výdavky:             </w:t>
      </w:r>
      <w:r w:rsidR="00A27969">
        <w:rPr>
          <w:rFonts w:ascii="Times New Roman" w:hAnsi="Times New Roman" w:cs="Times New Roman"/>
          <w:sz w:val="24"/>
          <w:szCs w:val="24"/>
          <w:lang w:val="sk-SK"/>
        </w:rPr>
        <w:t xml:space="preserve">                      </w:t>
      </w:r>
      <w:r w:rsidRPr="00405552">
        <w:rPr>
          <w:rFonts w:ascii="Times New Roman" w:hAnsi="Times New Roman" w:cs="Times New Roman"/>
          <w:sz w:val="24"/>
          <w:szCs w:val="24"/>
          <w:lang w:val="sk-SK"/>
        </w:rPr>
        <w:t>0 tis. Sk</w:t>
      </w:r>
    </w:p>
    <w:p w:rsidR="00A27969" w:rsidRPr="00405552" w:rsidP="00405552">
      <w:pPr>
        <w:pStyle w:val="List"/>
        <w:tabs>
          <w:tab w:val="left" w:pos="540"/>
        </w:tabs>
        <w:spacing w:line="240" w:lineRule="auto"/>
        <w:ind w:left="0" w:firstLine="0"/>
        <w:rPr>
          <w:rFonts w:ascii="Times New Roman" w:hAnsi="Times New Roman" w:cs="Times New Roman"/>
          <w:sz w:val="24"/>
          <w:szCs w:val="24"/>
          <w:lang w:val="sk-SK"/>
        </w:rPr>
      </w:pPr>
    </w:p>
    <w:p w:rsidR="00405552" w:rsidP="00405552">
      <w:pPr>
        <w:pStyle w:val="List"/>
        <w:spacing w:line="240" w:lineRule="auto"/>
        <w:ind w:left="0" w:firstLine="0"/>
        <w:rPr>
          <w:rFonts w:ascii="Times New Roman" w:hAnsi="Times New Roman" w:cs="Times New Roman"/>
          <w:sz w:val="24"/>
          <w:szCs w:val="24"/>
          <w:lang w:val="sk-SK"/>
        </w:rPr>
      </w:pPr>
      <w:r w:rsidRPr="00405552">
        <w:rPr>
          <w:rFonts w:ascii="Times New Roman" w:hAnsi="Times New Roman" w:cs="Times New Roman"/>
          <w:sz w:val="24"/>
          <w:szCs w:val="24"/>
          <w:lang w:val="sk-SK"/>
        </w:rPr>
        <w:tab/>
        <w:t>Vykonanými vzorkovými kontrolami boli zist</w:t>
      </w:r>
      <w:r w:rsidRPr="00405552">
        <w:rPr>
          <w:rFonts w:ascii="Times New Roman" w:hAnsi="Times New Roman" w:cs="Times New Roman"/>
          <w:sz w:val="24"/>
          <w:szCs w:val="24"/>
          <w:lang w:val="sk-SK"/>
        </w:rPr>
        <w:t>e</w:t>
      </w:r>
      <w:r w:rsidRPr="00405552">
        <w:rPr>
          <w:rFonts w:ascii="Times New Roman" w:hAnsi="Times New Roman" w:cs="Times New Roman"/>
          <w:sz w:val="24"/>
          <w:szCs w:val="24"/>
          <w:lang w:val="sk-SK"/>
        </w:rPr>
        <w:t xml:space="preserve">né nedostatky, ktoré nemali zásadný vplyv na efektívnosť riadiacich a kontrolných systémov. Uvedenými kontrolami boli zistené nedostatky hlavne v nedodržiavaní postupov a lehôt stanovených v príslušných ustanoveniach Interného manuálu procedúr na úrovni riadenia ŠF, resp. KF na MDPT </w:t>
      </w:r>
      <w:r w:rsidR="00B948F8">
        <w:rPr>
          <w:rFonts w:ascii="Times New Roman" w:hAnsi="Times New Roman" w:cs="Times New Roman"/>
          <w:sz w:val="24"/>
          <w:szCs w:val="24"/>
          <w:lang w:val="sk-SK"/>
        </w:rPr>
        <w:t xml:space="preserve">SR (ďalej len “Interný manuál“) </w:t>
      </w:r>
      <w:r w:rsidRPr="00405552">
        <w:rPr>
          <w:rFonts w:ascii="Times New Roman" w:hAnsi="Times New Roman" w:cs="Times New Roman"/>
          <w:sz w:val="24"/>
          <w:szCs w:val="24"/>
          <w:lang w:val="sk-SK"/>
        </w:rPr>
        <w:t>a neevidovaní niektorých údajov v ITMS. U KP/PP bolo zistené hlavne nedodržiavanie, resp. nevypracovanie interných manuálov postupov KP/PP a v jednom prípade neosadenie informačnej tabule na mieste realizácie stavby. Konkrétne zistenia k jednotlivým projektom z jednotlivých NFK sú uvedené nižšie.</w:t>
      </w:r>
    </w:p>
    <w:p w:rsidR="00FE5D16" w:rsidRPr="00FE5D16" w:rsidP="00FE5D16">
      <w:pPr>
        <w:pStyle w:val="List"/>
        <w:spacing w:line="240" w:lineRule="auto"/>
        <w:ind w:left="0" w:firstLine="0"/>
        <w:rPr>
          <w:rFonts w:ascii="Times New Roman" w:hAnsi="Times New Roman" w:cs="Times New Roman"/>
          <w:b/>
          <w:sz w:val="24"/>
          <w:szCs w:val="24"/>
          <w:lang w:val="sk-SK"/>
        </w:rPr>
      </w:pPr>
    </w:p>
    <w:p w:rsidR="00405552" w:rsidRPr="00FE5D16" w:rsidP="00FE5D16">
      <w:pPr>
        <w:pStyle w:val="List"/>
        <w:numPr>
          <w:ilvl w:val="0"/>
          <w:numId w:val="29"/>
        </w:numPr>
        <w:tabs>
          <w:tab w:val="left" w:pos="360"/>
        </w:tabs>
        <w:spacing w:line="240" w:lineRule="auto"/>
        <w:rPr>
          <w:rFonts w:ascii="Times New Roman" w:hAnsi="Times New Roman" w:cs="Times New Roman"/>
          <w:b/>
          <w:sz w:val="24"/>
          <w:szCs w:val="24"/>
          <w:lang w:val="sk-SK"/>
        </w:rPr>
      </w:pPr>
      <w:r w:rsidRPr="00FE5D16">
        <w:rPr>
          <w:rFonts w:ascii="Times New Roman" w:hAnsi="Times New Roman" w:cs="Times New Roman"/>
          <w:b/>
          <w:sz w:val="24"/>
          <w:szCs w:val="24"/>
          <w:lang w:val="sk-SK"/>
        </w:rPr>
        <w:t xml:space="preserve">Následná finančná kontrola projektu ŠF ERDF </w:t>
      </w:r>
      <w:r w:rsidR="00FE5D16">
        <w:rPr>
          <w:rFonts w:ascii="Times New Roman" w:hAnsi="Times New Roman" w:cs="Times New Roman"/>
          <w:b/>
          <w:sz w:val="24"/>
          <w:szCs w:val="24"/>
          <w:lang w:val="sk-SK"/>
        </w:rPr>
        <w:t xml:space="preserve">– </w:t>
      </w:r>
      <w:r w:rsidRPr="00FE5D16">
        <w:rPr>
          <w:rFonts w:ascii="Times New Roman" w:hAnsi="Times New Roman" w:cs="Times New Roman"/>
          <w:b/>
          <w:sz w:val="24"/>
          <w:szCs w:val="24"/>
          <w:lang w:val="sk-SK"/>
        </w:rPr>
        <w:t xml:space="preserve">Technická asistencia – Publicita železničné projekty a projektu ŠF ERDF Technická asistencia – Publicita </w:t>
      </w:r>
      <w:r w:rsidR="002436DE">
        <w:rPr>
          <w:rFonts w:ascii="Times New Roman" w:hAnsi="Times New Roman" w:cs="Times New Roman"/>
          <w:b/>
          <w:sz w:val="24"/>
          <w:szCs w:val="24"/>
          <w:lang w:val="sk-SK"/>
        </w:rPr>
        <w:t xml:space="preserve">cestné projekty </w:t>
      </w:r>
      <w:r w:rsidRPr="00FE5D16">
        <w:rPr>
          <w:rFonts w:ascii="Times New Roman" w:hAnsi="Times New Roman" w:cs="Times New Roman"/>
          <w:b/>
          <w:sz w:val="24"/>
          <w:szCs w:val="24"/>
          <w:lang w:val="sk-SK"/>
        </w:rPr>
        <w:t xml:space="preserve">na MDPT SR  </w:t>
      </w:r>
    </w:p>
    <w:p w:rsidR="00FE5D16" w:rsidRPr="00FE5D16" w:rsidP="00FE5D16">
      <w:pPr>
        <w:pStyle w:val="List"/>
        <w:spacing w:line="240" w:lineRule="auto"/>
        <w:ind w:left="0" w:firstLine="0"/>
        <w:rPr>
          <w:rFonts w:ascii="Times New Roman" w:hAnsi="Times New Roman" w:cs="Times New Roman"/>
          <w:sz w:val="24"/>
          <w:szCs w:val="24"/>
          <w:lang w:val="sk-SK"/>
        </w:rPr>
      </w:pPr>
    </w:p>
    <w:p w:rsidR="00405552" w:rsidRPr="00405552" w:rsidP="00FE5D16">
      <w:pPr>
        <w:pStyle w:val="List"/>
        <w:spacing w:line="240" w:lineRule="auto"/>
        <w:ind w:left="0" w:firstLine="709"/>
        <w:rPr>
          <w:rFonts w:ascii="Times New Roman" w:hAnsi="Times New Roman" w:cs="Times New Roman"/>
          <w:sz w:val="24"/>
          <w:szCs w:val="24"/>
          <w:lang w:val="sk-SK"/>
        </w:rPr>
      </w:pPr>
      <w:r w:rsidRPr="00405552">
        <w:rPr>
          <w:rFonts w:ascii="Times New Roman" w:hAnsi="Times New Roman" w:cs="Times New Roman"/>
          <w:sz w:val="24"/>
          <w:szCs w:val="24"/>
          <w:lang w:val="sk-SK"/>
        </w:rPr>
        <w:t>Kontrolou bolo zistené:</w:t>
      </w:r>
    </w:p>
    <w:p w:rsidR="00FE5D16" w:rsidP="00FE5D16">
      <w:pPr>
        <w:pStyle w:val="List"/>
        <w:adjustRightInd/>
        <w:spacing w:line="240" w:lineRule="auto"/>
        <w:ind w:left="0" w:firstLine="0"/>
        <w:textAlignment w:val="auto"/>
        <w:rPr>
          <w:rFonts w:ascii="Times New Roman" w:hAnsi="Times New Roman" w:cs="Times New Roman"/>
          <w:sz w:val="24"/>
          <w:szCs w:val="24"/>
          <w:lang w:val="sk-SK"/>
        </w:rPr>
      </w:pPr>
    </w:p>
    <w:p w:rsidR="00405552" w:rsidP="00026979">
      <w:pPr>
        <w:pStyle w:val="List"/>
        <w:adjustRightInd/>
        <w:spacing w:line="240" w:lineRule="auto"/>
        <w:ind w:left="0" w:firstLine="709"/>
        <w:textAlignment w:val="auto"/>
        <w:rPr>
          <w:rFonts w:ascii="Times New Roman" w:hAnsi="Times New Roman" w:cs="Times New Roman"/>
          <w:sz w:val="24"/>
          <w:szCs w:val="24"/>
          <w:lang w:val="sk-SK"/>
        </w:rPr>
      </w:pPr>
      <w:r w:rsidR="00FE5D16">
        <w:rPr>
          <w:rFonts w:ascii="Times New Roman" w:hAnsi="Times New Roman" w:cs="Times New Roman"/>
          <w:sz w:val="24"/>
          <w:szCs w:val="24"/>
          <w:lang w:val="sk-SK"/>
        </w:rPr>
        <w:t>N</w:t>
      </w:r>
      <w:r w:rsidRPr="00405552">
        <w:rPr>
          <w:rFonts w:ascii="Times New Roman" w:hAnsi="Times New Roman" w:cs="Times New Roman"/>
          <w:sz w:val="24"/>
          <w:szCs w:val="24"/>
          <w:lang w:val="sk-SK"/>
        </w:rPr>
        <w:t>edodržanie postupu stanoveného v Internom manuáli proc</w:t>
      </w:r>
      <w:r w:rsidRPr="00405552">
        <w:rPr>
          <w:rFonts w:ascii="Times New Roman" w:hAnsi="Times New Roman" w:cs="Times New Roman"/>
          <w:sz w:val="24"/>
          <w:szCs w:val="24"/>
          <w:lang w:val="sk-SK"/>
        </w:rPr>
        <w:t>e</w:t>
      </w:r>
      <w:r w:rsidR="00FE5D16">
        <w:rPr>
          <w:rFonts w:ascii="Times New Roman" w:hAnsi="Times New Roman" w:cs="Times New Roman"/>
          <w:sz w:val="24"/>
          <w:szCs w:val="24"/>
          <w:lang w:val="sk-SK"/>
        </w:rPr>
        <w:t xml:space="preserve">dúr na úrovni riadenia ŠF </w:t>
      </w:r>
      <w:r w:rsidRPr="00405552">
        <w:rPr>
          <w:rFonts w:ascii="Times New Roman" w:hAnsi="Times New Roman" w:cs="Times New Roman"/>
          <w:sz w:val="24"/>
          <w:szCs w:val="24"/>
          <w:lang w:val="sk-SK"/>
        </w:rPr>
        <w:t>na MDPT SR pri schvaľovaní projektu TA – Publicita železničné projekty a vypr</w:t>
      </w:r>
      <w:r w:rsidRPr="00405552">
        <w:rPr>
          <w:rFonts w:ascii="Times New Roman" w:hAnsi="Times New Roman" w:cs="Times New Roman"/>
          <w:sz w:val="24"/>
          <w:szCs w:val="24"/>
          <w:lang w:val="sk-SK"/>
        </w:rPr>
        <w:t>a</w:t>
      </w:r>
      <w:r w:rsidRPr="00405552">
        <w:rPr>
          <w:rFonts w:ascii="Times New Roman" w:hAnsi="Times New Roman" w:cs="Times New Roman"/>
          <w:sz w:val="24"/>
          <w:szCs w:val="24"/>
          <w:lang w:val="sk-SK"/>
        </w:rPr>
        <w:t>covanie Kontrolného listu k Žiadosti o nenávratný finančný príspevok k projektu TA – Publicita cestné projekty.</w:t>
      </w:r>
    </w:p>
    <w:p w:rsidR="00FE5D16" w:rsidRPr="00405552" w:rsidP="00FE5D16">
      <w:pPr>
        <w:pStyle w:val="List"/>
        <w:adjustRightInd/>
        <w:spacing w:line="240" w:lineRule="auto"/>
        <w:ind w:left="540" w:firstLine="0"/>
        <w:textAlignment w:val="auto"/>
        <w:rPr>
          <w:rFonts w:ascii="Times New Roman" w:hAnsi="Times New Roman" w:cs="Times New Roman"/>
          <w:sz w:val="24"/>
          <w:szCs w:val="24"/>
          <w:lang w:val="sk-SK"/>
        </w:rPr>
      </w:pPr>
    </w:p>
    <w:p w:rsidR="00405552" w:rsidP="00405552">
      <w:pPr>
        <w:tabs>
          <w:tab w:val="left" w:pos="540"/>
        </w:tabs>
        <w:spacing w:line="240" w:lineRule="auto"/>
        <w:rPr>
          <w:rFonts w:ascii="Times New Roman" w:hAnsi="Times New Roman" w:cs="Times New Roman"/>
          <w:sz w:val="24"/>
          <w:szCs w:val="24"/>
        </w:rPr>
      </w:pPr>
      <w:r w:rsidR="00FE5D16">
        <w:rPr>
          <w:rFonts w:ascii="Times New Roman" w:hAnsi="Times New Roman" w:cs="Times New Roman"/>
          <w:sz w:val="24"/>
          <w:szCs w:val="24"/>
        </w:rPr>
        <w:tab/>
        <w:tab/>
      </w:r>
      <w:r w:rsidRPr="00405552">
        <w:rPr>
          <w:rFonts w:ascii="Times New Roman" w:hAnsi="Times New Roman" w:cs="Times New Roman"/>
          <w:sz w:val="24"/>
          <w:szCs w:val="24"/>
        </w:rPr>
        <w:t>Na základe výsledkov následnej finančnej kontroly vykonanej na MDPT SR na úrovni SORO a PJ boli prijaté 2 vecné opatrenia</w:t>
      </w:r>
      <w:r w:rsidRPr="00405552">
        <w:rPr>
          <w:rFonts w:ascii="Times New Roman" w:hAnsi="Times New Roman" w:cs="Times New Roman"/>
          <w:b/>
          <w:sz w:val="24"/>
          <w:szCs w:val="24"/>
        </w:rPr>
        <w:t xml:space="preserve">  </w:t>
      </w:r>
      <w:r w:rsidRPr="00405552">
        <w:rPr>
          <w:rFonts w:ascii="Times New Roman" w:hAnsi="Times New Roman" w:cs="Times New Roman"/>
          <w:sz w:val="24"/>
          <w:szCs w:val="24"/>
        </w:rPr>
        <w:t>na</w:t>
      </w:r>
      <w:r w:rsidRPr="00405552">
        <w:rPr>
          <w:rFonts w:ascii="Times New Roman" w:hAnsi="Times New Roman" w:cs="Times New Roman"/>
          <w:b/>
          <w:sz w:val="24"/>
          <w:szCs w:val="24"/>
        </w:rPr>
        <w:t xml:space="preserve"> </w:t>
      </w:r>
      <w:r w:rsidRPr="00405552">
        <w:rPr>
          <w:rFonts w:ascii="Times New Roman" w:hAnsi="Times New Roman" w:cs="Times New Roman"/>
          <w:sz w:val="24"/>
          <w:szCs w:val="24"/>
        </w:rPr>
        <w:t xml:space="preserve"> nápravu zistených nedostatkov a na odstránenie príčin ich vzniku so zameraním na povinnosť dôsledného dodržiavania postupov interného manuálu v platnom znení a na úpravu platnosti dokumentu č.16 „Technická asistencia“. Prijaté opatrenia boli podľa správy o splnení opatrení splnené 15.3.2007. </w:t>
      </w:r>
    </w:p>
    <w:p w:rsidR="00FE5D16" w:rsidRPr="00405552" w:rsidP="00405552">
      <w:pPr>
        <w:tabs>
          <w:tab w:val="left" w:pos="540"/>
        </w:tabs>
        <w:spacing w:line="240" w:lineRule="auto"/>
        <w:rPr>
          <w:rFonts w:ascii="Times New Roman" w:hAnsi="Times New Roman" w:cs="Times New Roman"/>
          <w:sz w:val="24"/>
          <w:szCs w:val="24"/>
        </w:rPr>
      </w:pPr>
    </w:p>
    <w:p w:rsidR="00405552" w:rsidP="00405552">
      <w:pPr>
        <w:pStyle w:val="List3"/>
        <w:spacing w:line="240" w:lineRule="auto"/>
        <w:ind w:left="357" w:hanging="357"/>
        <w:rPr>
          <w:rFonts w:ascii="Times New Roman" w:hAnsi="Times New Roman" w:cs="Times New Roman"/>
          <w:b/>
          <w:lang w:val="sk-SK"/>
        </w:rPr>
      </w:pPr>
      <w:r w:rsidR="00FE5D16">
        <w:rPr>
          <w:rFonts w:ascii="Times New Roman" w:hAnsi="Times New Roman" w:cs="Times New Roman"/>
          <w:b/>
          <w:lang w:val="sk-SK"/>
        </w:rPr>
        <w:t xml:space="preserve">2. </w:t>
      </w:r>
      <w:r w:rsidRPr="00405552">
        <w:rPr>
          <w:rFonts w:ascii="Times New Roman" w:hAnsi="Times New Roman" w:cs="Times New Roman"/>
          <w:b/>
          <w:lang w:val="sk-SK"/>
        </w:rPr>
        <w:t xml:space="preserve">Následná finančná kontrola projektu ŠF ERDF </w:t>
      </w:r>
      <w:r w:rsidR="00FE5D16">
        <w:rPr>
          <w:rFonts w:ascii="Times New Roman" w:hAnsi="Times New Roman" w:cs="Times New Roman"/>
          <w:b/>
          <w:lang w:val="sk-SK"/>
        </w:rPr>
        <w:t xml:space="preserve">– </w:t>
      </w:r>
      <w:r w:rsidRPr="00405552">
        <w:rPr>
          <w:rFonts w:ascii="Times New Roman" w:hAnsi="Times New Roman" w:cs="Times New Roman"/>
          <w:b/>
          <w:lang w:val="sk-SK"/>
        </w:rPr>
        <w:t xml:space="preserve">Zvolen – Banská </w:t>
      </w:r>
      <w:r w:rsidR="00FE5D16">
        <w:rPr>
          <w:rFonts w:ascii="Times New Roman" w:hAnsi="Times New Roman" w:cs="Times New Roman"/>
          <w:b/>
          <w:lang w:val="sk-SK"/>
        </w:rPr>
        <w:t xml:space="preserve">Bystrica – elektrifikácia trate, </w:t>
      </w:r>
      <w:r w:rsidRPr="00405552">
        <w:rPr>
          <w:rFonts w:ascii="Times New Roman" w:hAnsi="Times New Roman" w:cs="Times New Roman"/>
          <w:b/>
          <w:lang w:val="sk-SK"/>
        </w:rPr>
        <w:t>vrátane predelektrif</w:t>
      </w:r>
      <w:r w:rsidRPr="00405552">
        <w:rPr>
          <w:rFonts w:ascii="Times New Roman" w:hAnsi="Times New Roman" w:cs="Times New Roman"/>
          <w:b/>
          <w:lang w:val="sk-SK"/>
        </w:rPr>
        <w:t>i</w:t>
      </w:r>
      <w:r w:rsidRPr="00405552">
        <w:rPr>
          <w:rFonts w:ascii="Times New Roman" w:hAnsi="Times New Roman" w:cs="Times New Roman"/>
          <w:b/>
          <w:lang w:val="sk-SK"/>
        </w:rPr>
        <w:t>kačných úprav a proje</w:t>
      </w:r>
      <w:r w:rsidR="00026979">
        <w:rPr>
          <w:rFonts w:ascii="Times New Roman" w:hAnsi="Times New Roman" w:cs="Times New Roman"/>
          <w:b/>
          <w:lang w:val="sk-SK"/>
        </w:rPr>
        <w:t xml:space="preserve">ktu ŠF ERDF Prešov, peronizácia, </w:t>
      </w:r>
      <w:r w:rsidRPr="00405552">
        <w:rPr>
          <w:rFonts w:ascii="Times New Roman" w:hAnsi="Times New Roman" w:cs="Times New Roman"/>
          <w:b/>
          <w:lang w:val="sk-SK"/>
        </w:rPr>
        <w:t xml:space="preserve">na MDPT SR </w:t>
      </w:r>
    </w:p>
    <w:p w:rsidR="00FE5D16" w:rsidRPr="00405552" w:rsidP="00405552">
      <w:pPr>
        <w:pStyle w:val="List3"/>
        <w:spacing w:line="240" w:lineRule="auto"/>
        <w:ind w:left="357" w:hanging="357"/>
        <w:rPr>
          <w:rFonts w:ascii="Times New Roman" w:hAnsi="Times New Roman" w:cs="Times New Roman"/>
          <w:b/>
          <w:lang w:val="sk-SK"/>
        </w:rPr>
      </w:pPr>
    </w:p>
    <w:p w:rsidR="00405552" w:rsidP="00FE5D16">
      <w:pPr>
        <w:pStyle w:val="List"/>
        <w:spacing w:line="240" w:lineRule="auto"/>
        <w:ind w:firstLine="426"/>
        <w:rPr>
          <w:rFonts w:ascii="Times New Roman" w:hAnsi="Times New Roman" w:cs="Times New Roman"/>
          <w:sz w:val="24"/>
          <w:szCs w:val="24"/>
          <w:lang w:val="sk-SK"/>
        </w:rPr>
      </w:pPr>
      <w:r w:rsidRPr="00405552">
        <w:rPr>
          <w:rFonts w:ascii="Times New Roman" w:hAnsi="Times New Roman" w:cs="Times New Roman"/>
          <w:sz w:val="24"/>
          <w:szCs w:val="24"/>
          <w:lang w:val="sk-SK"/>
        </w:rPr>
        <w:t>Následnou finančnou kontrolou bolo zistené:</w:t>
      </w:r>
    </w:p>
    <w:p w:rsidR="00FE5D16" w:rsidRPr="00405552" w:rsidP="00405552">
      <w:pPr>
        <w:pStyle w:val="List"/>
        <w:spacing w:line="240" w:lineRule="auto"/>
        <w:rPr>
          <w:rFonts w:ascii="Times New Roman" w:hAnsi="Times New Roman" w:cs="Times New Roman"/>
          <w:sz w:val="24"/>
          <w:szCs w:val="24"/>
          <w:lang w:val="sk-SK"/>
        </w:rPr>
      </w:pPr>
    </w:p>
    <w:p w:rsidR="00405552" w:rsidP="00026979">
      <w:pPr>
        <w:pStyle w:val="List"/>
        <w:adjustRightInd/>
        <w:spacing w:line="240" w:lineRule="auto"/>
        <w:ind w:left="0" w:firstLine="709"/>
        <w:textAlignment w:val="auto"/>
        <w:rPr>
          <w:rFonts w:ascii="Times New Roman" w:hAnsi="Times New Roman" w:cs="Times New Roman"/>
          <w:sz w:val="24"/>
          <w:szCs w:val="24"/>
          <w:lang w:val="sk-SK"/>
        </w:rPr>
      </w:pPr>
      <w:r w:rsidR="00FE5D16">
        <w:rPr>
          <w:rFonts w:ascii="Times New Roman" w:hAnsi="Times New Roman" w:cs="Times New Roman"/>
          <w:sz w:val="24"/>
          <w:szCs w:val="24"/>
          <w:lang w:val="sk-SK"/>
        </w:rPr>
        <w:t xml:space="preserve">V </w:t>
      </w:r>
      <w:r w:rsidRPr="00405552">
        <w:rPr>
          <w:rFonts w:ascii="Times New Roman" w:hAnsi="Times New Roman" w:cs="Times New Roman"/>
          <w:sz w:val="24"/>
          <w:szCs w:val="24"/>
          <w:lang w:val="sk-SK"/>
        </w:rPr>
        <w:t xml:space="preserve">dvoch prípadoch nedostatočné vyplnenie kontrolného listu k žiadosti konečného prijímateľa o zúčtovanie predfinancovania, v kontrolnom liste nebolo uvedené číslo súhrnnej žiadosti o platbu, do ktorej bola žiadosť zaradená. </w:t>
      </w:r>
    </w:p>
    <w:p w:rsidR="00FE5D16" w:rsidRPr="00405552" w:rsidP="00FE5D16">
      <w:pPr>
        <w:pStyle w:val="List"/>
        <w:adjustRightInd/>
        <w:spacing w:line="240" w:lineRule="auto"/>
        <w:ind w:left="709" w:firstLine="709"/>
        <w:textAlignment w:val="auto"/>
        <w:rPr>
          <w:rFonts w:ascii="Times New Roman" w:hAnsi="Times New Roman" w:cs="Times New Roman"/>
          <w:sz w:val="24"/>
          <w:szCs w:val="24"/>
          <w:lang w:val="sk-SK"/>
        </w:rPr>
      </w:pPr>
    </w:p>
    <w:p w:rsidR="00405552" w:rsidP="00405552">
      <w:pPr>
        <w:tabs>
          <w:tab w:val="left" w:pos="540"/>
        </w:tabs>
        <w:spacing w:line="240" w:lineRule="auto"/>
        <w:rPr>
          <w:rFonts w:ascii="Times New Roman" w:hAnsi="Times New Roman" w:cs="Times New Roman"/>
          <w:sz w:val="24"/>
          <w:szCs w:val="24"/>
        </w:rPr>
      </w:pPr>
      <w:r w:rsidR="00FE5D16">
        <w:rPr>
          <w:rFonts w:ascii="Times New Roman" w:hAnsi="Times New Roman" w:cs="Times New Roman"/>
          <w:sz w:val="24"/>
          <w:szCs w:val="24"/>
        </w:rPr>
        <w:tab/>
        <w:tab/>
      </w:r>
      <w:r w:rsidRPr="00405552">
        <w:rPr>
          <w:rFonts w:ascii="Times New Roman" w:hAnsi="Times New Roman" w:cs="Times New Roman"/>
          <w:sz w:val="24"/>
          <w:szCs w:val="24"/>
        </w:rPr>
        <w:t xml:space="preserve">Na základe výsledkov následnej finančnej kontroly boli prijaté 2 vecné opatrenia na nápravu zistených nedostatkov so zameraním na dodržiavanie interného manuálu procedúr PJ MDPT SR a na zvýšený dôraz na vypĺňanie a kontrolu údajov v kontrolných listoch a ostatnej dokumentácii uplatňovaním kontroly štyroch očí. Obidve opatrenia sa plnia ako úloha trvalá. </w:t>
      </w:r>
    </w:p>
    <w:p w:rsidR="001221BA" w:rsidRPr="00405552" w:rsidP="00405552">
      <w:pPr>
        <w:tabs>
          <w:tab w:val="left" w:pos="540"/>
        </w:tabs>
        <w:spacing w:line="240" w:lineRule="auto"/>
        <w:rPr>
          <w:rFonts w:ascii="Times New Roman" w:hAnsi="Times New Roman" w:cs="Times New Roman"/>
          <w:sz w:val="24"/>
          <w:szCs w:val="24"/>
        </w:rPr>
      </w:pPr>
    </w:p>
    <w:p w:rsidR="00405552" w:rsidP="00405552">
      <w:pPr>
        <w:pStyle w:val="List"/>
        <w:spacing w:line="240" w:lineRule="auto"/>
        <w:ind w:left="357" w:hanging="357"/>
        <w:rPr>
          <w:rFonts w:ascii="Times New Roman" w:hAnsi="Times New Roman" w:cs="Times New Roman"/>
          <w:b/>
          <w:sz w:val="24"/>
          <w:szCs w:val="24"/>
          <w:lang w:val="sk-SK"/>
        </w:rPr>
      </w:pPr>
      <w:r w:rsidR="00FE5D16">
        <w:rPr>
          <w:rFonts w:ascii="Times New Roman" w:hAnsi="Times New Roman" w:cs="Times New Roman"/>
          <w:b/>
          <w:sz w:val="24"/>
          <w:szCs w:val="24"/>
          <w:lang w:val="sk-SK"/>
        </w:rPr>
        <w:t xml:space="preserve">3. </w:t>
      </w:r>
      <w:r w:rsidRPr="00405552">
        <w:rPr>
          <w:rFonts w:ascii="Times New Roman" w:hAnsi="Times New Roman" w:cs="Times New Roman"/>
          <w:b/>
          <w:sz w:val="24"/>
          <w:szCs w:val="24"/>
          <w:lang w:val="sk-SK"/>
        </w:rPr>
        <w:t xml:space="preserve">Následná finančná kontrola projektov ŠF ERDF </w:t>
      </w:r>
      <w:r w:rsidR="00FE5D16">
        <w:rPr>
          <w:rFonts w:ascii="Times New Roman" w:hAnsi="Times New Roman" w:cs="Times New Roman"/>
          <w:b/>
          <w:sz w:val="24"/>
          <w:szCs w:val="24"/>
          <w:lang w:val="sk-SK"/>
        </w:rPr>
        <w:t xml:space="preserve">– </w:t>
      </w:r>
      <w:r w:rsidRPr="00405552">
        <w:rPr>
          <w:rFonts w:ascii="Times New Roman" w:hAnsi="Times New Roman" w:cs="Times New Roman"/>
          <w:b/>
          <w:sz w:val="24"/>
          <w:szCs w:val="24"/>
          <w:lang w:val="sk-SK"/>
        </w:rPr>
        <w:t>Zvolen – Banská Bystrica – elektrifikácia trate vrátane predelektrif</w:t>
      </w:r>
      <w:r w:rsidRPr="00405552">
        <w:rPr>
          <w:rFonts w:ascii="Times New Roman" w:hAnsi="Times New Roman" w:cs="Times New Roman"/>
          <w:b/>
          <w:sz w:val="24"/>
          <w:szCs w:val="24"/>
          <w:lang w:val="sk-SK"/>
        </w:rPr>
        <w:t>i</w:t>
      </w:r>
      <w:r w:rsidRPr="00405552">
        <w:rPr>
          <w:rFonts w:ascii="Times New Roman" w:hAnsi="Times New Roman" w:cs="Times New Roman"/>
          <w:b/>
          <w:sz w:val="24"/>
          <w:szCs w:val="24"/>
          <w:lang w:val="sk-SK"/>
        </w:rPr>
        <w:t>kačných úprav</w:t>
      </w:r>
      <w:r w:rsidR="00026979">
        <w:rPr>
          <w:rFonts w:ascii="Times New Roman" w:hAnsi="Times New Roman" w:cs="Times New Roman"/>
          <w:b/>
          <w:sz w:val="24"/>
          <w:szCs w:val="24"/>
          <w:lang w:val="sk-SK"/>
        </w:rPr>
        <w:t xml:space="preserve"> a projektu Prešov, peronizácia, </w:t>
      </w:r>
      <w:r w:rsidRPr="00405552">
        <w:rPr>
          <w:rFonts w:ascii="Times New Roman" w:hAnsi="Times New Roman" w:cs="Times New Roman"/>
          <w:b/>
          <w:sz w:val="24"/>
          <w:szCs w:val="24"/>
          <w:lang w:val="sk-SK"/>
        </w:rPr>
        <w:t>na Železniciach Slovenskej repu</w:t>
      </w:r>
      <w:r w:rsidRPr="00405552">
        <w:rPr>
          <w:rFonts w:ascii="Times New Roman" w:hAnsi="Times New Roman" w:cs="Times New Roman"/>
          <w:b/>
          <w:sz w:val="24"/>
          <w:szCs w:val="24"/>
          <w:lang w:val="sk-SK"/>
        </w:rPr>
        <w:t>b</w:t>
      </w:r>
      <w:r w:rsidRPr="00405552">
        <w:rPr>
          <w:rFonts w:ascii="Times New Roman" w:hAnsi="Times New Roman" w:cs="Times New Roman"/>
          <w:b/>
          <w:sz w:val="24"/>
          <w:szCs w:val="24"/>
          <w:lang w:val="sk-SK"/>
        </w:rPr>
        <w:t xml:space="preserve">liky </w:t>
      </w:r>
    </w:p>
    <w:p w:rsidR="00FE5D16" w:rsidRPr="00405552" w:rsidP="00405552">
      <w:pPr>
        <w:pStyle w:val="List"/>
        <w:spacing w:line="240" w:lineRule="auto"/>
        <w:ind w:left="357" w:hanging="357"/>
        <w:rPr>
          <w:rFonts w:ascii="Times New Roman" w:hAnsi="Times New Roman" w:cs="Times New Roman"/>
          <w:b/>
          <w:sz w:val="24"/>
          <w:szCs w:val="24"/>
          <w:lang w:val="sk-SK"/>
        </w:rPr>
      </w:pPr>
    </w:p>
    <w:p w:rsidR="00405552" w:rsidP="00FE5D16">
      <w:pPr>
        <w:pStyle w:val="List"/>
        <w:spacing w:line="240" w:lineRule="auto"/>
        <w:ind w:left="720" w:firstLine="0"/>
        <w:rPr>
          <w:rFonts w:ascii="Times New Roman" w:hAnsi="Times New Roman" w:cs="Times New Roman"/>
          <w:sz w:val="24"/>
          <w:szCs w:val="24"/>
          <w:lang w:val="sk-SK"/>
        </w:rPr>
      </w:pPr>
      <w:r w:rsidRPr="00405552">
        <w:rPr>
          <w:rFonts w:ascii="Times New Roman" w:hAnsi="Times New Roman" w:cs="Times New Roman"/>
          <w:sz w:val="24"/>
          <w:szCs w:val="24"/>
          <w:lang w:val="sk-SK"/>
        </w:rPr>
        <w:t>Kontrolou bolo zistené:</w:t>
      </w:r>
    </w:p>
    <w:p w:rsidR="00FE5D16" w:rsidRPr="00405552" w:rsidP="00FE5D16">
      <w:pPr>
        <w:pStyle w:val="List"/>
        <w:spacing w:line="240" w:lineRule="auto"/>
        <w:ind w:left="992" w:firstLine="0"/>
        <w:rPr>
          <w:rFonts w:ascii="Times New Roman" w:hAnsi="Times New Roman" w:cs="Times New Roman"/>
          <w:sz w:val="24"/>
          <w:szCs w:val="24"/>
          <w:lang w:val="sk-SK"/>
        </w:rPr>
      </w:pPr>
    </w:p>
    <w:p w:rsidR="00FE5D16" w:rsidP="00026979">
      <w:pPr>
        <w:pStyle w:val="List"/>
        <w:numPr>
          <w:ilvl w:val="0"/>
          <w:numId w:val="25"/>
        </w:numPr>
        <w:tabs>
          <w:tab w:val="left" w:pos="720"/>
        </w:tabs>
        <w:adjustRightInd/>
        <w:spacing w:line="240" w:lineRule="auto"/>
        <w:textAlignment w:val="auto"/>
        <w:rPr>
          <w:rFonts w:ascii="Times New Roman" w:hAnsi="Times New Roman" w:cs="Times New Roman"/>
          <w:sz w:val="24"/>
          <w:szCs w:val="24"/>
          <w:lang w:val="sk-SK"/>
        </w:rPr>
      </w:pPr>
      <w:r w:rsidR="002436DE">
        <w:rPr>
          <w:rFonts w:ascii="Times New Roman" w:hAnsi="Times New Roman" w:cs="Times New Roman"/>
          <w:sz w:val="24"/>
          <w:szCs w:val="24"/>
          <w:lang w:val="sk-SK"/>
        </w:rPr>
        <w:t>v</w:t>
      </w:r>
      <w:r>
        <w:rPr>
          <w:rFonts w:ascii="Times New Roman" w:hAnsi="Times New Roman" w:cs="Times New Roman"/>
          <w:sz w:val="24"/>
          <w:szCs w:val="24"/>
          <w:lang w:val="sk-SK"/>
        </w:rPr>
        <w:t xml:space="preserve"> </w:t>
      </w:r>
      <w:r w:rsidRPr="00405552" w:rsidR="00405552">
        <w:rPr>
          <w:rFonts w:ascii="Times New Roman" w:hAnsi="Times New Roman" w:cs="Times New Roman"/>
          <w:sz w:val="24"/>
          <w:szCs w:val="24"/>
          <w:lang w:val="sk-SK"/>
        </w:rPr>
        <w:t>jednom prípade nedodržanie 5 dňovej lehoty stanovenej v internom manuáli vnútorných postupov konečného prijímateľa na vystavenie príkazu na úhradu k faktúre po pripísaní</w:t>
      </w:r>
      <w:r>
        <w:rPr>
          <w:rFonts w:ascii="Times New Roman" w:hAnsi="Times New Roman" w:cs="Times New Roman"/>
          <w:sz w:val="24"/>
          <w:szCs w:val="24"/>
          <w:lang w:val="sk-SK"/>
        </w:rPr>
        <w:t xml:space="preserve"> prostriedkov od PJ na účet KP</w:t>
      </w:r>
      <w:r w:rsidRPr="00920C86">
        <w:rPr>
          <w:rFonts w:ascii="Times New Roman" w:hAnsi="Times New Roman" w:cs="Times New Roman"/>
          <w:sz w:val="24"/>
          <w:szCs w:val="24"/>
        </w:rPr>
        <w:t>;</w:t>
      </w:r>
    </w:p>
    <w:p w:rsidR="00FE5D16" w:rsidRPr="00405552" w:rsidP="001221BA">
      <w:pPr>
        <w:pStyle w:val="List"/>
        <w:numPr>
          <w:ilvl w:val="0"/>
          <w:numId w:val="25"/>
        </w:numPr>
        <w:tabs>
          <w:tab w:val="left" w:pos="720"/>
        </w:tabs>
        <w:adjustRightInd/>
        <w:spacing w:line="240" w:lineRule="auto"/>
        <w:textAlignment w:val="auto"/>
        <w:rPr>
          <w:rFonts w:ascii="Times New Roman" w:hAnsi="Times New Roman" w:cs="Times New Roman"/>
          <w:sz w:val="24"/>
          <w:szCs w:val="24"/>
          <w:lang w:val="sk-SK"/>
        </w:rPr>
      </w:pPr>
      <w:r w:rsidR="002436DE">
        <w:rPr>
          <w:rFonts w:ascii="Times New Roman" w:hAnsi="Times New Roman" w:cs="Times New Roman"/>
          <w:sz w:val="24"/>
          <w:szCs w:val="24"/>
          <w:lang w:val="sk-SK"/>
        </w:rPr>
        <w:t>v</w:t>
      </w:r>
      <w:r w:rsidRPr="00405552" w:rsidR="00405552">
        <w:rPr>
          <w:rFonts w:ascii="Times New Roman" w:hAnsi="Times New Roman" w:cs="Times New Roman"/>
          <w:sz w:val="24"/>
          <w:szCs w:val="24"/>
          <w:lang w:val="sk-SK"/>
        </w:rPr>
        <w:t> štyroch prípadoch nedodržanie lehoty 10 pracovných dní na vypracovanie žiadosti o platbu, čím došlo k porušeniu interného manuálu vnútorných postupov konečného prijímateľa.</w:t>
      </w:r>
    </w:p>
    <w:p w:rsidR="00405552" w:rsidP="00405552">
      <w:pPr>
        <w:tabs>
          <w:tab w:val="left" w:pos="540"/>
        </w:tabs>
        <w:spacing w:line="240" w:lineRule="auto"/>
        <w:rPr>
          <w:rFonts w:ascii="Times New Roman" w:hAnsi="Times New Roman" w:cs="Times New Roman"/>
          <w:sz w:val="24"/>
          <w:szCs w:val="24"/>
        </w:rPr>
      </w:pPr>
      <w:r w:rsidR="00FE5D16">
        <w:rPr>
          <w:rFonts w:ascii="Times New Roman" w:hAnsi="Times New Roman" w:cs="Times New Roman"/>
          <w:sz w:val="24"/>
          <w:szCs w:val="24"/>
        </w:rPr>
        <w:tab/>
        <w:tab/>
      </w:r>
      <w:r w:rsidRPr="00405552">
        <w:rPr>
          <w:rFonts w:ascii="Times New Roman" w:hAnsi="Times New Roman" w:cs="Times New Roman"/>
          <w:sz w:val="24"/>
          <w:szCs w:val="24"/>
        </w:rPr>
        <w:t xml:space="preserve">Na základe výsledkov následnej finančnej kontroly </w:t>
      </w:r>
      <w:r w:rsidR="00FE5D16">
        <w:rPr>
          <w:rFonts w:ascii="Times New Roman" w:hAnsi="Times New Roman" w:cs="Times New Roman"/>
          <w:sz w:val="24"/>
          <w:szCs w:val="24"/>
        </w:rPr>
        <w:t xml:space="preserve">bolo prijaté 1 vecné opatrenie </w:t>
      </w:r>
      <w:r w:rsidRPr="00405552">
        <w:rPr>
          <w:rFonts w:ascii="Times New Roman" w:hAnsi="Times New Roman" w:cs="Times New Roman"/>
          <w:sz w:val="24"/>
          <w:szCs w:val="24"/>
        </w:rPr>
        <w:t xml:space="preserve">na nápravu zistených nedostatkov a na odstránenie príčin ich vzniku so zameraním </w:t>
        <w:br/>
        <w:t>na dodržiavanie interného manuálu vnútorných postupov KP/PP. Správa o plnení opatrenia bola kontrolnému orgánu zaslaná v stanovenom termíne dňa 8.6.2007.</w:t>
      </w:r>
    </w:p>
    <w:p w:rsidR="00FE5D16" w:rsidRPr="00405552" w:rsidP="00405552">
      <w:pPr>
        <w:tabs>
          <w:tab w:val="left" w:pos="540"/>
        </w:tabs>
        <w:spacing w:line="240" w:lineRule="auto"/>
        <w:rPr>
          <w:rFonts w:ascii="Times New Roman" w:hAnsi="Times New Roman" w:cs="Times New Roman"/>
          <w:sz w:val="24"/>
          <w:szCs w:val="24"/>
        </w:rPr>
      </w:pPr>
    </w:p>
    <w:p w:rsidR="00405552" w:rsidRPr="00405552" w:rsidP="00405552">
      <w:pPr>
        <w:pStyle w:val="List"/>
        <w:spacing w:line="240" w:lineRule="auto"/>
        <w:ind w:left="360" w:hanging="360"/>
        <w:rPr>
          <w:rFonts w:ascii="Times New Roman" w:hAnsi="Times New Roman" w:cs="Times New Roman"/>
          <w:b/>
          <w:sz w:val="24"/>
          <w:szCs w:val="24"/>
          <w:lang w:val="sk-SK"/>
        </w:rPr>
      </w:pPr>
      <w:r w:rsidR="00FE5D16">
        <w:rPr>
          <w:rFonts w:ascii="Times New Roman" w:hAnsi="Times New Roman" w:cs="Times New Roman"/>
          <w:b/>
          <w:sz w:val="24"/>
          <w:szCs w:val="24"/>
          <w:lang w:val="sk-SK"/>
        </w:rPr>
        <w:t xml:space="preserve">4. </w:t>
      </w:r>
      <w:r w:rsidRPr="00405552">
        <w:rPr>
          <w:rFonts w:ascii="Times New Roman" w:hAnsi="Times New Roman" w:cs="Times New Roman"/>
          <w:b/>
          <w:sz w:val="24"/>
          <w:szCs w:val="24"/>
          <w:lang w:val="sk-SK"/>
        </w:rPr>
        <w:t xml:space="preserve">Následná finančná kontrola projektu ŠF ERDF </w:t>
      </w:r>
      <w:r w:rsidR="00026979">
        <w:rPr>
          <w:rFonts w:ascii="Times New Roman" w:hAnsi="Times New Roman" w:cs="Times New Roman"/>
          <w:b/>
          <w:sz w:val="24"/>
          <w:szCs w:val="24"/>
          <w:lang w:val="sk-SK"/>
        </w:rPr>
        <w:t xml:space="preserve">– </w:t>
      </w:r>
      <w:r w:rsidRPr="00405552">
        <w:rPr>
          <w:rFonts w:ascii="Times New Roman" w:hAnsi="Times New Roman" w:cs="Times New Roman"/>
          <w:b/>
          <w:sz w:val="24"/>
          <w:szCs w:val="24"/>
          <w:lang w:val="sk-SK"/>
        </w:rPr>
        <w:t>Modernizácia bezpečnostného systému letiska Poprad – Tatry – oplot</w:t>
      </w:r>
      <w:r w:rsidRPr="00405552">
        <w:rPr>
          <w:rFonts w:ascii="Times New Roman" w:hAnsi="Times New Roman" w:cs="Times New Roman"/>
          <w:b/>
          <w:sz w:val="24"/>
          <w:szCs w:val="24"/>
          <w:lang w:val="sk-SK"/>
        </w:rPr>
        <w:t>e</w:t>
      </w:r>
      <w:r w:rsidRPr="00405552">
        <w:rPr>
          <w:rFonts w:ascii="Times New Roman" w:hAnsi="Times New Roman" w:cs="Times New Roman"/>
          <w:b/>
          <w:sz w:val="24"/>
          <w:szCs w:val="24"/>
          <w:lang w:val="sk-SK"/>
        </w:rPr>
        <w:t>nie areálu letiska a osvetlenie vybavovacej plochy a projektu ŠF ERDF Bezpečnostný systém letiska Piešťany – bezpečnostné oplotenie, kam</w:t>
      </w:r>
      <w:r w:rsidRPr="00405552">
        <w:rPr>
          <w:rFonts w:ascii="Times New Roman" w:hAnsi="Times New Roman" w:cs="Times New Roman"/>
          <w:b/>
          <w:sz w:val="24"/>
          <w:szCs w:val="24"/>
          <w:lang w:val="sk-SK"/>
        </w:rPr>
        <w:t>e</w:t>
      </w:r>
      <w:r w:rsidR="00026979">
        <w:rPr>
          <w:rFonts w:ascii="Times New Roman" w:hAnsi="Times New Roman" w:cs="Times New Roman"/>
          <w:b/>
          <w:sz w:val="24"/>
          <w:szCs w:val="24"/>
          <w:lang w:val="sk-SK"/>
        </w:rPr>
        <w:t xml:space="preserve">rový systém a vstupný režim, </w:t>
      </w:r>
      <w:r w:rsidRPr="00405552">
        <w:rPr>
          <w:rFonts w:ascii="Times New Roman" w:hAnsi="Times New Roman" w:cs="Times New Roman"/>
          <w:b/>
          <w:sz w:val="24"/>
          <w:szCs w:val="24"/>
          <w:lang w:val="sk-SK"/>
        </w:rPr>
        <w:t xml:space="preserve">na MDPT SR  </w:t>
      </w:r>
      <w:r w:rsidRPr="00405552">
        <w:rPr>
          <w:rFonts w:ascii="Times New Roman" w:hAnsi="Times New Roman" w:cs="Times New Roman"/>
          <w:b/>
          <w:iCs/>
          <w:sz w:val="24"/>
          <w:szCs w:val="24"/>
          <w:lang w:val="sk-SK"/>
        </w:rPr>
        <w:t xml:space="preserve"> </w:t>
      </w:r>
    </w:p>
    <w:p w:rsidR="00FE5D16" w:rsidP="00405552">
      <w:pPr>
        <w:pStyle w:val="List"/>
        <w:tabs>
          <w:tab w:val="left" w:pos="540"/>
        </w:tabs>
        <w:spacing w:line="240" w:lineRule="auto"/>
        <w:rPr>
          <w:rFonts w:ascii="Times New Roman" w:hAnsi="Times New Roman" w:cs="Times New Roman"/>
          <w:sz w:val="24"/>
          <w:szCs w:val="24"/>
          <w:lang w:val="sk-SK"/>
        </w:rPr>
      </w:pPr>
    </w:p>
    <w:p w:rsidR="00405552" w:rsidP="00405552">
      <w:pPr>
        <w:pStyle w:val="List"/>
        <w:tabs>
          <w:tab w:val="left" w:pos="540"/>
        </w:tabs>
        <w:spacing w:line="240" w:lineRule="auto"/>
        <w:rPr>
          <w:rFonts w:ascii="Times New Roman" w:hAnsi="Times New Roman" w:cs="Times New Roman"/>
          <w:sz w:val="24"/>
          <w:szCs w:val="24"/>
          <w:lang w:val="sk-SK"/>
        </w:rPr>
      </w:pPr>
      <w:r w:rsidR="00FE5D16">
        <w:rPr>
          <w:rFonts w:ascii="Times New Roman" w:hAnsi="Times New Roman" w:cs="Times New Roman"/>
          <w:sz w:val="24"/>
          <w:szCs w:val="24"/>
          <w:lang w:val="sk-SK"/>
        </w:rPr>
        <w:tab/>
        <w:tab/>
        <w:tab/>
      </w:r>
      <w:r w:rsidRPr="00405552">
        <w:rPr>
          <w:rFonts w:ascii="Times New Roman" w:hAnsi="Times New Roman" w:cs="Times New Roman"/>
          <w:sz w:val="24"/>
          <w:szCs w:val="24"/>
          <w:lang w:val="sk-SK"/>
        </w:rPr>
        <w:t>Následnou finančnou kontrolou bolo zistené:</w:t>
      </w:r>
    </w:p>
    <w:p w:rsidR="00FE5D16" w:rsidRPr="00405552" w:rsidP="00405552">
      <w:pPr>
        <w:pStyle w:val="List"/>
        <w:tabs>
          <w:tab w:val="left" w:pos="540"/>
        </w:tabs>
        <w:spacing w:line="240" w:lineRule="auto"/>
        <w:rPr>
          <w:rFonts w:ascii="Times New Roman" w:hAnsi="Times New Roman" w:cs="Times New Roman"/>
          <w:sz w:val="24"/>
          <w:szCs w:val="24"/>
          <w:lang w:val="sk-SK"/>
        </w:rPr>
      </w:pPr>
    </w:p>
    <w:p w:rsidR="00FE5D16" w:rsidRPr="00405552" w:rsidP="001654CB">
      <w:pPr>
        <w:pStyle w:val="List"/>
        <w:numPr>
          <w:ilvl w:val="0"/>
          <w:numId w:val="27"/>
        </w:numPr>
        <w:tabs>
          <w:tab w:val="left" w:pos="630"/>
        </w:tabs>
        <w:adjustRightInd/>
        <w:spacing w:line="240" w:lineRule="auto"/>
        <w:ind w:left="629" w:hanging="269"/>
        <w:textAlignment w:val="auto"/>
        <w:rPr>
          <w:rFonts w:ascii="Times New Roman" w:hAnsi="Times New Roman" w:cs="Times New Roman"/>
          <w:sz w:val="24"/>
          <w:szCs w:val="24"/>
          <w:lang w:val="sk-SK"/>
        </w:rPr>
      </w:pPr>
      <w:r w:rsidR="002436DE">
        <w:rPr>
          <w:rFonts w:ascii="Times New Roman" w:hAnsi="Times New Roman" w:cs="Times New Roman"/>
          <w:sz w:val="24"/>
          <w:szCs w:val="24"/>
          <w:lang w:val="sk-SK"/>
        </w:rPr>
        <w:t>n</w:t>
      </w:r>
      <w:r w:rsidRPr="00405552" w:rsidR="00405552">
        <w:rPr>
          <w:rFonts w:ascii="Times New Roman" w:hAnsi="Times New Roman" w:cs="Times New Roman"/>
          <w:sz w:val="24"/>
          <w:szCs w:val="24"/>
          <w:lang w:val="sk-SK"/>
        </w:rPr>
        <w:t>evykonanie kontroly súťažných podkladov a nevypracovanie kontrolného listu k súťažným podkladom, čím došlo k nedodržaniu čl.</w:t>
      </w:r>
      <w:r>
        <w:rPr>
          <w:rFonts w:ascii="Times New Roman" w:hAnsi="Times New Roman" w:cs="Times New Roman"/>
          <w:sz w:val="24"/>
          <w:szCs w:val="24"/>
          <w:lang w:val="sk-SK"/>
        </w:rPr>
        <w:t xml:space="preserve"> </w:t>
      </w:r>
      <w:r w:rsidRPr="00405552" w:rsidR="00405552">
        <w:rPr>
          <w:rFonts w:ascii="Times New Roman" w:hAnsi="Times New Roman" w:cs="Times New Roman"/>
          <w:sz w:val="24"/>
          <w:szCs w:val="24"/>
          <w:lang w:val="sk-SK"/>
        </w:rPr>
        <w:t>4 ods.1 Rámcovej zmluvy a interného manuálu, dokume</w:t>
      </w:r>
      <w:r>
        <w:rPr>
          <w:rFonts w:ascii="Times New Roman" w:hAnsi="Times New Roman" w:cs="Times New Roman"/>
          <w:sz w:val="24"/>
          <w:szCs w:val="24"/>
          <w:lang w:val="sk-SK"/>
        </w:rPr>
        <w:t>ntu č.10 „Verejné obstarávanie“</w:t>
      </w:r>
      <w:r w:rsidRPr="00920C86">
        <w:rPr>
          <w:rFonts w:ascii="Times New Roman" w:hAnsi="Times New Roman" w:cs="Times New Roman"/>
          <w:sz w:val="24"/>
          <w:szCs w:val="24"/>
        </w:rPr>
        <w:t>;</w:t>
      </w:r>
    </w:p>
    <w:p w:rsidR="00405552" w:rsidRPr="00405552" w:rsidP="001654CB">
      <w:pPr>
        <w:pStyle w:val="List"/>
        <w:numPr>
          <w:ilvl w:val="0"/>
          <w:numId w:val="27"/>
        </w:numPr>
        <w:tabs>
          <w:tab w:val="left" w:pos="630"/>
        </w:tabs>
        <w:adjustRightInd/>
        <w:spacing w:line="240" w:lineRule="auto"/>
        <w:ind w:left="629" w:hanging="269"/>
        <w:textAlignment w:val="auto"/>
        <w:rPr>
          <w:rFonts w:ascii="Times New Roman" w:hAnsi="Times New Roman" w:cs="Times New Roman"/>
          <w:sz w:val="24"/>
          <w:szCs w:val="24"/>
          <w:lang w:val="sk-SK"/>
        </w:rPr>
      </w:pPr>
      <w:r w:rsidR="002436DE">
        <w:rPr>
          <w:rFonts w:ascii="Times New Roman" w:hAnsi="Times New Roman" w:cs="Times New Roman"/>
          <w:sz w:val="24"/>
          <w:szCs w:val="24"/>
          <w:lang w:val="sk-SK"/>
        </w:rPr>
        <w:t>p</w:t>
      </w:r>
      <w:r w:rsidRPr="00405552">
        <w:rPr>
          <w:rFonts w:ascii="Times New Roman" w:hAnsi="Times New Roman" w:cs="Times New Roman"/>
          <w:sz w:val="24"/>
          <w:szCs w:val="24"/>
          <w:lang w:val="sk-SK"/>
        </w:rPr>
        <w:t>odpísanie dodatku k zmluve o dielo (s predĺžením doby realizácie diela a zvýšením zmluvnej ceny za práce) 2 mesiace po uko</w:t>
      </w:r>
      <w:r w:rsidR="00FE5D16">
        <w:rPr>
          <w:rFonts w:ascii="Times New Roman" w:hAnsi="Times New Roman" w:cs="Times New Roman"/>
          <w:sz w:val="24"/>
          <w:szCs w:val="24"/>
          <w:lang w:val="sk-SK"/>
        </w:rPr>
        <w:t>nčení realizácie zmluvy o dielo</w:t>
      </w:r>
      <w:r w:rsidRPr="00920C86" w:rsidR="00FE5D16">
        <w:rPr>
          <w:rFonts w:ascii="Times New Roman" w:hAnsi="Times New Roman" w:cs="Times New Roman"/>
          <w:sz w:val="24"/>
          <w:szCs w:val="24"/>
        </w:rPr>
        <w:t>;</w:t>
      </w:r>
    </w:p>
    <w:p w:rsidR="00405552" w:rsidRPr="00405552" w:rsidP="001654CB">
      <w:pPr>
        <w:pStyle w:val="List"/>
        <w:numPr>
          <w:ilvl w:val="0"/>
          <w:numId w:val="27"/>
        </w:numPr>
        <w:tabs>
          <w:tab w:val="left" w:pos="630"/>
        </w:tabs>
        <w:adjustRightInd/>
        <w:spacing w:line="240" w:lineRule="auto"/>
        <w:ind w:left="629" w:hanging="269"/>
        <w:textAlignment w:val="auto"/>
        <w:rPr>
          <w:rFonts w:ascii="Times New Roman" w:hAnsi="Times New Roman" w:cs="Times New Roman"/>
          <w:sz w:val="24"/>
          <w:szCs w:val="24"/>
          <w:lang w:val="sk-SK"/>
        </w:rPr>
      </w:pPr>
      <w:r w:rsidR="002436DE">
        <w:rPr>
          <w:rFonts w:ascii="Times New Roman" w:hAnsi="Times New Roman" w:cs="Times New Roman"/>
          <w:sz w:val="24"/>
          <w:szCs w:val="24"/>
          <w:lang w:val="sk-SK"/>
        </w:rPr>
        <w:t>s</w:t>
      </w:r>
      <w:r w:rsidRPr="00405552">
        <w:rPr>
          <w:rFonts w:ascii="Times New Roman" w:hAnsi="Times New Roman" w:cs="Times New Roman"/>
          <w:sz w:val="24"/>
          <w:szCs w:val="24"/>
          <w:lang w:val="sk-SK"/>
        </w:rPr>
        <w:t>chválenie žiadosti</w:t>
      </w:r>
      <w:r w:rsidR="00FE5D16">
        <w:rPr>
          <w:rFonts w:ascii="Times New Roman" w:hAnsi="Times New Roman" w:cs="Times New Roman"/>
          <w:sz w:val="24"/>
          <w:szCs w:val="24"/>
          <w:lang w:val="sk-SK"/>
        </w:rPr>
        <w:t xml:space="preserve"> o platbu na sumu o 3 442,- Sk </w:t>
      </w:r>
      <w:r w:rsidRPr="00405552">
        <w:rPr>
          <w:rFonts w:ascii="Times New Roman" w:hAnsi="Times New Roman" w:cs="Times New Roman"/>
          <w:sz w:val="24"/>
          <w:szCs w:val="24"/>
          <w:lang w:val="sk-SK"/>
        </w:rPr>
        <w:t>vyššiu ako bola preukázaná v podpornej dokumentácii k faktúre, čím došlo k porušeniu § 9 zákona č.502/2001 Z.z. o finančnej kontrole a dokumentu č.11 „finan</w:t>
      </w:r>
      <w:r w:rsidR="00FE5D16">
        <w:rPr>
          <w:rFonts w:ascii="Times New Roman" w:hAnsi="Times New Roman" w:cs="Times New Roman"/>
          <w:sz w:val="24"/>
          <w:szCs w:val="24"/>
          <w:lang w:val="sk-SK"/>
        </w:rPr>
        <w:t>čné riadenie“ interného manuálu</w:t>
      </w:r>
      <w:r w:rsidRPr="00920C86" w:rsidR="00FE5D16">
        <w:rPr>
          <w:rFonts w:ascii="Times New Roman" w:hAnsi="Times New Roman" w:cs="Times New Roman"/>
          <w:sz w:val="24"/>
          <w:szCs w:val="24"/>
        </w:rPr>
        <w:t>;</w:t>
      </w:r>
    </w:p>
    <w:p w:rsidR="00405552" w:rsidRPr="00405552" w:rsidP="001654CB">
      <w:pPr>
        <w:pStyle w:val="List"/>
        <w:numPr>
          <w:ilvl w:val="0"/>
          <w:numId w:val="27"/>
        </w:numPr>
        <w:tabs>
          <w:tab w:val="left" w:pos="630"/>
        </w:tabs>
        <w:adjustRightInd/>
        <w:spacing w:line="240" w:lineRule="auto"/>
        <w:ind w:left="629" w:hanging="269"/>
        <w:textAlignment w:val="auto"/>
        <w:rPr>
          <w:rFonts w:ascii="Times New Roman" w:hAnsi="Times New Roman" w:cs="Times New Roman"/>
          <w:sz w:val="24"/>
          <w:szCs w:val="24"/>
          <w:lang w:val="sk-SK"/>
        </w:rPr>
      </w:pPr>
      <w:r w:rsidR="002436DE">
        <w:rPr>
          <w:rFonts w:ascii="Times New Roman" w:hAnsi="Times New Roman" w:cs="Times New Roman"/>
          <w:sz w:val="24"/>
          <w:szCs w:val="24"/>
          <w:lang w:val="sk-SK"/>
        </w:rPr>
        <w:t>n</w:t>
      </w:r>
      <w:r w:rsidRPr="00405552">
        <w:rPr>
          <w:rFonts w:ascii="Times New Roman" w:hAnsi="Times New Roman" w:cs="Times New Roman"/>
          <w:sz w:val="24"/>
          <w:szCs w:val="24"/>
          <w:lang w:val="sk-SK"/>
        </w:rPr>
        <w:t>evykonanie kontroly súťažných podkladov a nevypracovanie kontrolného listu k súťažným podkladom, čím došlo k porušeniu čl.4 ods.1 Rám</w:t>
      </w:r>
      <w:r w:rsidR="00FE5D16">
        <w:rPr>
          <w:rFonts w:ascii="Times New Roman" w:hAnsi="Times New Roman" w:cs="Times New Roman"/>
          <w:sz w:val="24"/>
          <w:szCs w:val="24"/>
          <w:lang w:val="sk-SK"/>
        </w:rPr>
        <w:t>covej zmluvy a dokumentu č.10 „V</w:t>
      </w:r>
      <w:r w:rsidRPr="00405552">
        <w:rPr>
          <w:rFonts w:ascii="Times New Roman" w:hAnsi="Times New Roman" w:cs="Times New Roman"/>
          <w:sz w:val="24"/>
          <w:szCs w:val="24"/>
          <w:lang w:val="sk-SK"/>
        </w:rPr>
        <w:t xml:space="preserve">erejné </w:t>
      </w:r>
      <w:r w:rsidR="00FE5D16">
        <w:rPr>
          <w:rFonts w:ascii="Times New Roman" w:hAnsi="Times New Roman" w:cs="Times New Roman"/>
          <w:sz w:val="24"/>
          <w:szCs w:val="24"/>
          <w:lang w:val="sk-SK"/>
        </w:rPr>
        <w:t>obstarávanie“ interného manuálu</w:t>
      </w:r>
      <w:r w:rsidRPr="00920C86" w:rsidR="00FE5D16">
        <w:rPr>
          <w:rFonts w:ascii="Times New Roman" w:hAnsi="Times New Roman" w:cs="Times New Roman"/>
          <w:sz w:val="24"/>
          <w:szCs w:val="24"/>
        </w:rPr>
        <w:t>;</w:t>
      </w:r>
    </w:p>
    <w:p w:rsidR="00405552" w:rsidRPr="00405552" w:rsidP="001654CB">
      <w:pPr>
        <w:pStyle w:val="List"/>
        <w:numPr>
          <w:ilvl w:val="0"/>
          <w:numId w:val="10"/>
        </w:numPr>
        <w:tabs>
          <w:tab w:val="left" w:pos="630"/>
        </w:tabs>
        <w:spacing w:line="240" w:lineRule="auto"/>
        <w:ind w:left="629" w:hanging="269"/>
        <w:rPr>
          <w:rFonts w:ascii="Times New Roman" w:hAnsi="Times New Roman" w:cs="Times New Roman"/>
          <w:sz w:val="24"/>
          <w:szCs w:val="24"/>
          <w:lang w:val="sk-SK"/>
        </w:rPr>
      </w:pPr>
      <w:r w:rsidR="002436DE">
        <w:rPr>
          <w:rFonts w:ascii="Times New Roman" w:hAnsi="Times New Roman" w:cs="Times New Roman"/>
          <w:sz w:val="24"/>
          <w:szCs w:val="24"/>
          <w:lang w:val="sk-SK"/>
        </w:rPr>
        <w:t>n</w:t>
      </w:r>
      <w:r w:rsidRPr="00405552">
        <w:rPr>
          <w:rFonts w:ascii="Times New Roman" w:hAnsi="Times New Roman" w:cs="Times New Roman"/>
          <w:sz w:val="24"/>
          <w:szCs w:val="24"/>
          <w:lang w:val="sk-SK"/>
        </w:rPr>
        <w:t>ezaevidovanie údajov o verejnom obstarávaní do ITMS, čím došlo k nedodržaniu čl.3 Rámco</w:t>
      </w:r>
      <w:r w:rsidR="00FE5D16">
        <w:rPr>
          <w:rFonts w:ascii="Times New Roman" w:hAnsi="Times New Roman" w:cs="Times New Roman"/>
          <w:sz w:val="24"/>
          <w:szCs w:val="24"/>
          <w:lang w:val="sk-SK"/>
        </w:rPr>
        <w:t>vej zmluvy a interného manuálu</w:t>
      </w:r>
      <w:r w:rsidRPr="00920C86" w:rsidR="00FE5D16">
        <w:rPr>
          <w:rFonts w:ascii="Times New Roman" w:hAnsi="Times New Roman" w:cs="Times New Roman"/>
          <w:sz w:val="24"/>
          <w:szCs w:val="24"/>
        </w:rPr>
        <w:t>;</w:t>
      </w:r>
    </w:p>
    <w:p w:rsidR="00405552" w:rsidRPr="00FE5D16" w:rsidP="001654CB">
      <w:pPr>
        <w:pStyle w:val="List"/>
        <w:numPr>
          <w:ilvl w:val="0"/>
          <w:numId w:val="10"/>
        </w:numPr>
        <w:tabs>
          <w:tab w:val="left" w:pos="630"/>
        </w:tabs>
        <w:spacing w:line="240" w:lineRule="auto"/>
        <w:ind w:left="629" w:hanging="269"/>
        <w:rPr>
          <w:rFonts w:ascii="Times New Roman" w:hAnsi="Times New Roman" w:cs="Times New Roman"/>
          <w:sz w:val="24"/>
          <w:szCs w:val="24"/>
          <w:lang w:val="sk-SK"/>
        </w:rPr>
      </w:pPr>
      <w:r w:rsidR="002436DE">
        <w:rPr>
          <w:rFonts w:ascii="Times New Roman" w:hAnsi="Times New Roman" w:cs="Times New Roman"/>
          <w:sz w:val="24"/>
          <w:szCs w:val="24"/>
          <w:lang w:val="sk-SK"/>
        </w:rPr>
        <w:t>f</w:t>
      </w:r>
      <w:r w:rsidRPr="00405552">
        <w:rPr>
          <w:rFonts w:ascii="Times New Roman" w:hAnsi="Times New Roman" w:cs="Times New Roman"/>
          <w:sz w:val="24"/>
          <w:szCs w:val="24"/>
          <w:lang w:val="sk-SK"/>
        </w:rPr>
        <w:t>inančné riadenie projektu podľa neschváleného interného manuálu procedúr na úrovni riadenia ŠF, čím došlo k nedodržaniu, bodu 4.10 „Koncepcie systému finančného riadenia ŠF“ a d</w:t>
      </w:r>
      <w:r w:rsidR="00FE5D16">
        <w:rPr>
          <w:rFonts w:ascii="Times New Roman" w:hAnsi="Times New Roman" w:cs="Times New Roman"/>
          <w:sz w:val="24"/>
          <w:szCs w:val="24"/>
          <w:lang w:val="sk-SK"/>
        </w:rPr>
        <w:t>okumentu č.18 interného manuálu</w:t>
      </w:r>
      <w:r w:rsidRPr="00920C86" w:rsidR="00FE5D16">
        <w:rPr>
          <w:rFonts w:ascii="Times New Roman" w:hAnsi="Times New Roman" w:cs="Times New Roman"/>
          <w:sz w:val="24"/>
          <w:szCs w:val="24"/>
        </w:rPr>
        <w:t>;</w:t>
      </w:r>
    </w:p>
    <w:p w:rsidR="00FE5D16" w:rsidRPr="00405552" w:rsidP="00FE5D16">
      <w:pPr>
        <w:pStyle w:val="List"/>
        <w:spacing w:line="240" w:lineRule="auto"/>
        <w:ind w:left="0" w:firstLine="0"/>
        <w:rPr>
          <w:rFonts w:ascii="Times New Roman" w:hAnsi="Times New Roman" w:cs="Times New Roman"/>
          <w:sz w:val="24"/>
          <w:szCs w:val="24"/>
          <w:lang w:val="sk-SK"/>
        </w:rPr>
      </w:pPr>
    </w:p>
    <w:p w:rsidR="00405552" w:rsidP="00405552">
      <w:pPr>
        <w:tabs>
          <w:tab w:val="left" w:pos="540"/>
        </w:tabs>
        <w:spacing w:line="240" w:lineRule="auto"/>
        <w:rPr>
          <w:rFonts w:ascii="Times New Roman" w:hAnsi="Times New Roman" w:cs="Times New Roman"/>
          <w:sz w:val="24"/>
          <w:szCs w:val="24"/>
        </w:rPr>
      </w:pPr>
      <w:r w:rsidR="00FE5D16">
        <w:rPr>
          <w:rFonts w:ascii="Times New Roman" w:hAnsi="Times New Roman" w:cs="Times New Roman"/>
          <w:sz w:val="24"/>
          <w:szCs w:val="24"/>
        </w:rPr>
        <w:tab/>
        <w:tab/>
      </w:r>
      <w:r w:rsidRPr="00405552">
        <w:rPr>
          <w:rFonts w:ascii="Times New Roman" w:hAnsi="Times New Roman" w:cs="Times New Roman"/>
          <w:sz w:val="24"/>
          <w:szCs w:val="24"/>
        </w:rPr>
        <w:t xml:space="preserve">Na základe výsledkov následnej finančnej kontroly bolo prijatých 6 vecných opatrení  </w:t>
        <w:br/>
        <w:t>na nápravu zistených nedostatkov so zameraním na upozornenie KP, že v prípade projektov, u ktorých bolo už verejné obsta</w:t>
      </w:r>
      <w:r w:rsidR="00FE5D16">
        <w:rPr>
          <w:rFonts w:ascii="Times New Roman" w:hAnsi="Times New Roman" w:cs="Times New Roman"/>
          <w:sz w:val="24"/>
          <w:szCs w:val="24"/>
        </w:rPr>
        <w:t xml:space="preserve">rávanie skončené alebo prebieha, </w:t>
      </w:r>
      <w:r w:rsidRPr="00405552">
        <w:rPr>
          <w:rFonts w:ascii="Times New Roman" w:hAnsi="Times New Roman" w:cs="Times New Roman"/>
          <w:sz w:val="24"/>
          <w:szCs w:val="24"/>
        </w:rPr>
        <w:t>v čase podania žiadosti je potrebné, aby v žiadosti o nenávratný finančný príspevok konečný prijímateľ uviedol relevantné skutočnosti ohľadom verejného obstará</w:t>
      </w:r>
      <w:r w:rsidR="00FE5D16">
        <w:rPr>
          <w:rFonts w:ascii="Times New Roman" w:hAnsi="Times New Roman" w:cs="Times New Roman"/>
          <w:sz w:val="24"/>
          <w:szCs w:val="24"/>
        </w:rPr>
        <w:t xml:space="preserve">vania. Ďalej so zameraním </w:t>
      </w:r>
      <w:r w:rsidRPr="00405552">
        <w:rPr>
          <w:rFonts w:ascii="Times New Roman" w:hAnsi="Times New Roman" w:cs="Times New Roman"/>
          <w:sz w:val="24"/>
          <w:szCs w:val="24"/>
        </w:rPr>
        <w:t>na nevyhnutnosť procesu uzatvárania zmlúv s dodávateľom v čase realizácie predmetu zmluvy, na vykonávanie podrobnej kontroly štyroch očí a overovania správnosti a oprávnenosti údajov v kontrolnom liste, na evidenciu údajov o verejnom obstarávaní do ITMS a na zabezpečenie dodržiavania interného manuálu. Prijaté opatrenia sa v stanovenom termíne k 7.9.2007 plnili.</w:t>
      </w:r>
    </w:p>
    <w:p w:rsidR="00FE5D16" w:rsidRPr="00405552" w:rsidP="00405552">
      <w:pPr>
        <w:tabs>
          <w:tab w:val="left" w:pos="540"/>
        </w:tabs>
        <w:spacing w:line="240" w:lineRule="auto"/>
        <w:rPr>
          <w:rFonts w:ascii="Times New Roman" w:hAnsi="Times New Roman" w:cs="Times New Roman"/>
          <w:sz w:val="24"/>
          <w:szCs w:val="24"/>
        </w:rPr>
      </w:pPr>
    </w:p>
    <w:p w:rsidR="00405552" w:rsidP="00FE5D16">
      <w:pPr>
        <w:tabs>
          <w:tab w:val="left" w:pos="540"/>
        </w:tabs>
        <w:spacing w:line="240" w:lineRule="auto"/>
        <w:ind w:left="357" w:hanging="357"/>
        <w:rPr>
          <w:rFonts w:ascii="Times New Roman" w:hAnsi="Times New Roman" w:cs="Times New Roman"/>
          <w:b/>
          <w:sz w:val="24"/>
          <w:szCs w:val="24"/>
        </w:rPr>
      </w:pPr>
      <w:r w:rsidR="00FE5D16">
        <w:rPr>
          <w:rFonts w:ascii="Times New Roman" w:hAnsi="Times New Roman" w:cs="Times New Roman"/>
          <w:b/>
          <w:sz w:val="24"/>
          <w:szCs w:val="24"/>
        </w:rPr>
        <w:t xml:space="preserve">5. </w:t>
      </w:r>
      <w:r w:rsidRPr="00405552">
        <w:rPr>
          <w:rFonts w:ascii="Times New Roman" w:hAnsi="Times New Roman" w:cs="Times New Roman"/>
          <w:b/>
          <w:sz w:val="24"/>
          <w:szCs w:val="24"/>
        </w:rPr>
        <w:t xml:space="preserve">Následná finančná kontrola projektov ŠF ERDF </w:t>
      </w:r>
      <w:r w:rsidR="00026979">
        <w:rPr>
          <w:rFonts w:ascii="Times New Roman" w:hAnsi="Times New Roman" w:cs="Times New Roman"/>
          <w:b/>
          <w:sz w:val="24"/>
          <w:szCs w:val="24"/>
        </w:rPr>
        <w:t xml:space="preserve">– </w:t>
      </w:r>
      <w:r w:rsidR="00FE5D16">
        <w:rPr>
          <w:rFonts w:ascii="Times New Roman" w:hAnsi="Times New Roman" w:cs="Times New Roman"/>
          <w:b/>
          <w:sz w:val="24"/>
          <w:szCs w:val="24"/>
        </w:rPr>
        <w:t xml:space="preserve">Diaľničný privádzač, cesta I/18 </w:t>
      </w:r>
      <w:r w:rsidR="00026979">
        <w:rPr>
          <w:rFonts w:ascii="Times New Roman" w:hAnsi="Times New Roman" w:cs="Times New Roman"/>
          <w:b/>
          <w:sz w:val="24"/>
          <w:szCs w:val="24"/>
        </w:rPr>
        <w:t xml:space="preserve">Žilina – Strážov, </w:t>
      </w:r>
      <w:r w:rsidRPr="00405552">
        <w:rPr>
          <w:rFonts w:ascii="Times New Roman" w:hAnsi="Times New Roman" w:cs="Times New Roman"/>
          <w:b/>
          <w:sz w:val="24"/>
          <w:szCs w:val="24"/>
        </w:rPr>
        <w:t xml:space="preserve">na MDPT SR </w:t>
      </w:r>
    </w:p>
    <w:p w:rsidR="00FE5D16" w:rsidRPr="00405552" w:rsidP="00405552">
      <w:pPr>
        <w:tabs>
          <w:tab w:val="left" w:pos="540"/>
        </w:tabs>
        <w:spacing w:line="240" w:lineRule="auto"/>
        <w:ind w:left="357" w:hanging="357"/>
        <w:rPr>
          <w:rFonts w:ascii="Times New Roman" w:hAnsi="Times New Roman" w:cs="Times New Roman"/>
          <w:b/>
          <w:sz w:val="24"/>
          <w:szCs w:val="24"/>
        </w:rPr>
      </w:pPr>
    </w:p>
    <w:p w:rsidR="00405552" w:rsidP="00FE5D16">
      <w:pPr>
        <w:pStyle w:val="List"/>
        <w:spacing w:line="240" w:lineRule="auto"/>
        <w:ind w:firstLine="346"/>
        <w:rPr>
          <w:rFonts w:ascii="Times New Roman" w:hAnsi="Times New Roman" w:cs="Times New Roman"/>
          <w:sz w:val="24"/>
          <w:szCs w:val="24"/>
          <w:lang w:val="sk-SK"/>
        </w:rPr>
      </w:pPr>
      <w:r w:rsidRPr="00405552">
        <w:rPr>
          <w:rFonts w:ascii="Times New Roman" w:hAnsi="Times New Roman" w:cs="Times New Roman"/>
          <w:sz w:val="24"/>
          <w:szCs w:val="24"/>
          <w:lang w:val="sk-SK"/>
        </w:rPr>
        <w:t>Kontrolou bolo zistené:</w:t>
      </w:r>
    </w:p>
    <w:p w:rsidR="00FE5D16" w:rsidRPr="00405552" w:rsidP="00FE5D16">
      <w:pPr>
        <w:pStyle w:val="List"/>
        <w:spacing w:line="240" w:lineRule="auto"/>
        <w:ind w:firstLine="346"/>
        <w:rPr>
          <w:rFonts w:ascii="Times New Roman" w:hAnsi="Times New Roman" w:cs="Times New Roman"/>
          <w:sz w:val="24"/>
          <w:szCs w:val="24"/>
          <w:lang w:val="sk-SK"/>
        </w:rPr>
      </w:pPr>
    </w:p>
    <w:p w:rsidR="00405552" w:rsidRPr="00405552" w:rsidP="001654CB">
      <w:pPr>
        <w:pStyle w:val="List"/>
        <w:numPr>
          <w:ilvl w:val="0"/>
          <w:numId w:val="10"/>
        </w:numPr>
        <w:tabs>
          <w:tab w:val="left" w:pos="630"/>
        </w:tabs>
        <w:spacing w:line="240" w:lineRule="auto"/>
        <w:ind w:left="629" w:hanging="269"/>
        <w:rPr>
          <w:rFonts w:ascii="Times New Roman" w:hAnsi="Times New Roman" w:cs="Times New Roman"/>
          <w:sz w:val="24"/>
          <w:szCs w:val="24"/>
          <w:lang w:val="sk-SK"/>
        </w:rPr>
      </w:pPr>
      <w:r w:rsidR="002436DE">
        <w:rPr>
          <w:rFonts w:ascii="Times New Roman" w:hAnsi="Times New Roman" w:cs="Times New Roman"/>
          <w:sz w:val="24"/>
          <w:szCs w:val="24"/>
          <w:lang w:val="sk-SK"/>
        </w:rPr>
        <w:t>n</w:t>
      </w:r>
      <w:r w:rsidRPr="00405552">
        <w:rPr>
          <w:rFonts w:ascii="Times New Roman" w:hAnsi="Times New Roman" w:cs="Times New Roman"/>
          <w:sz w:val="24"/>
          <w:szCs w:val="24"/>
          <w:lang w:val="sk-SK"/>
        </w:rPr>
        <w:t>ezaregistrovanie žiadosti o nenávratný finančný príspevok a nevykonanie predbežnej finančnej kontroly Odborom zahraničnej pomoci (nevypracovanie kontrolného listu), čím došlo k nedodržaniu §9 ods.1 zákona č.502/</w:t>
      </w:r>
      <w:r w:rsidR="00026979">
        <w:rPr>
          <w:rFonts w:ascii="Times New Roman" w:hAnsi="Times New Roman" w:cs="Times New Roman"/>
          <w:sz w:val="24"/>
          <w:szCs w:val="24"/>
          <w:lang w:val="sk-SK"/>
        </w:rPr>
        <w:t>2001 Z. z. o finančnej kontrole</w:t>
      </w:r>
      <w:r w:rsidRPr="00920C86" w:rsidR="00026979">
        <w:rPr>
          <w:rFonts w:ascii="Times New Roman" w:hAnsi="Times New Roman" w:cs="Times New Roman"/>
          <w:sz w:val="24"/>
          <w:szCs w:val="24"/>
        </w:rPr>
        <w:t>;</w:t>
      </w:r>
    </w:p>
    <w:p w:rsidR="00405552" w:rsidRPr="00405552" w:rsidP="001654CB">
      <w:pPr>
        <w:pStyle w:val="List"/>
        <w:numPr>
          <w:ilvl w:val="0"/>
          <w:numId w:val="10"/>
        </w:numPr>
        <w:tabs>
          <w:tab w:val="left" w:pos="630"/>
        </w:tabs>
        <w:spacing w:line="240" w:lineRule="auto"/>
        <w:ind w:left="629" w:hanging="269"/>
        <w:rPr>
          <w:rFonts w:ascii="Times New Roman" w:hAnsi="Times New Roman" w:cs="Times New Roman"/>
          <w:sz w:val="24"/>
          <w:szCs w:val="24"/>
          <w:lang w:val="sk-SK"/>
        </w:rPr>
      </w:pPr>
      <w:r w:rsidR="002436DE">
        <w:rPr>
          <w:rFonts w:ascii="Times New Roman" w:hAnsi="Times New Roman" w:cs="Times New Roman"/>
          <w:sz w:val="24"/>
          <w:szCs w:val="24"/>
          <w:lang w:val="sk-SK"/>
        </w:rPr>
        <w:t>n</w:t>
      </w:r>
      <w:r w:rsidRPr="00405552">
        <w:rPr>
          <w:rFonts w:ascii="Times New Roman" w:hAnsi="Times New Roman" w:cs="Times New Roman"/>
          <w:sz w:val="24"/>
          <w:szCs w:val="24"/>
          <w:lang w:val="sk-SK"/>
        </w:rPr>
        <w:t>evykonanie kontroly na mieste v roku 2006 a v roku 2007 a nezahrnutie výkonu kontroly na mieste do plánu kontrol SORO, čím došlo k nedodržaniu do</w:t>
      </w:r>
      <w:r w:rsidR="00026979">
        <w:rPr>
          <w:rFonts w:ascii="Times New Roman" w:hAnsi="Times New Roman" w:cs="Times New Roman"/>
          <w:sz w:val="24"/>
          <w:szCs w:val="24"/>
          <w:lang w:val="sk-SK"/>
        </w:rPr>
        <w:t>kumentu č.12  interného manuálu</w:t>
      </w:r>
      <w:r w:rsidRPr="00920C86" w:rsidR="00026979">
        <w:rPr>
          <w:rFonts w:ascii="Times New Roman" w:hAnsi="Times New Roman" w:cs="Times New Roman"/>
          <w:sz w:val="24"/>
          <w:szCs w:val="24"/>
        </w:rPr>
        <w:t>;</w:t>
      </w:r>
    </w:p>
    <w:p w:rsidR="00405552" w:rsidRPr="00405552" w:rsidP="001654CB">
      <w:pPr>
        <w:pStyle w:val="List"/>
        <w:numPr>
          <w:ilvl w:val="0"/>
          <w:numId w:val="10"/>
        </w:numPr>
        <w:tabs>
          <w:tab w:val="left" w:pos="630"/>
        </w:tabs>
        <w:spacing w:line="240" w:lineRule="auto"/>
        <w:ind w:left="629" w:hanging="269"/>
        <w:rPr>
          <w:rFonts w:ascii="Times New Roman" w:hAnsi="Times New Roman" w:cs="Times New Roman"/>
          <w:sz w:val="24"/>
          <w:szCs w:val="24"/>
          <w:lang w:val="sk-SK"/>
        </w:rPr>
      </w:pPr>
      <w:r w:rsidR="002436DE">
        <w:rPr>
          <w:rFonts w:ascii="Times New Roman" w:hAnsi="Times New Roman" w:cs="Times New Roman"/>
          <w:sz w:val="24"/>
          <w:szCs w:val="24"/>
          <w:lang w:val="sk-SK"/>
        </w:rPr>
        <w:t>n</w:t>
      </w:r>
      <w:r w:rsidRPr="00405552">
        <w:rPr>
          <w:rFonts w:ascii="Times New Roman" w:hAnsi="Times New Roman" w:cs="Times New Roman"/>
          <w:sz w:val="24"/>
          <w:szCs w:val="24"/>
          <w:lang w:val="sk-SK"/>
        </w:rPr>
        <w:t>evypracovanie kontrolného listu k súťažným podkladom, čím došlo k nedodržaniu Rámcovej zmluvy a dokumentu č.10 interného manuálu.</w:t>
      </w:r>
    </w:p>
    <w:p w:rsidR="00026979" w:rsidP="00405552">
      <w:pPr>
        <w:tabs>
          <w:tab w:val="left" w:pos="540"/>
        </w:tabs>
        <w:spacing w:line="240" w:lineRule="auto"/>
        <w:rPr>
          <w:rFonts w:ascii="Times New Roman" w:hAnsi="Times New Roman" w:cs="Times New Roman"/>
          <w:sz w:val="24"/>
          <w:szCs w:val="24"/>
        </w:rPr>
      </w:pPr>
    </w:p>
    <w:p w:rsidR="00405552" w:rsidP="00405552">
      <w:pPr>
        <w:tabs>
          <w:tab w:val="left" w:pos="540"/>
        </w:tabs>
        <w:spacing w:line="240" w:lineRule="auto"/>
        <w:rPr>
          <w:rFonts w:ascii="Times New Roman" w:hAnsi="Times New Roman" w:cs="Times New Roman"/>
          <w:sz w:val="24"/>
          <w:szCs w:val="24"/>
        </w:rPr>
      </w:pPr>
      <w:r w:rsidR="00026979">
        <w:rPr>
          <w:rFonts w:ascii="Times New Roman" w:hAnsi="Times New Roman" w:cs="Times New Roman"/>
          <w:sz w:val="24"/>
          <w:szCs w:val="24"/>
        </w:rPr>
        <w:tab/>
        <w:tab/>
      </w:r>
      <w:r w:rsidRPr="00405552">
        <w:rPr>
          <w:rFonts w:ascii="Times New Roman" w:hAnsi="Times New Roman" w:cs="Times New Roman"/>
          <w:sz w:val="24"/>
          <w:szCs w:val="24"/>
        </w:rPr>
        <w:t xml:space="preserve">Na základe výsledkov následnej finančnej kontroly boli prijaté 3 vecné opatrenia </w:t>
        <w:br/>
        <w:t xml:space="preserve">na nápravu zistených nedostatkov so zameraním na úpravu procesu kontroly žiadosti o nenávratný finančný príspevok v internom manuáli a na upozornenie zamestnancov zapojených do implementácie projektov spolufinancovaných zo ŠF na platnú verziu interného manuálu a na vykonávanie kontroly na mieste v roku 2007. Správa o prijatých opatreniach bola doručená na kontrolný orgán dňa 10.9.2007. Podľa správy o splnení prijatých opatrení doručenej na kontrolný orgán boli opatrenia splnené. </w:t>
      </w:r>
    </w:p>
    <w:p w:rsidR="004573C1" w:rsidRPr="00405552" w:rsidP="00405552">
      <w:pPr>
        <w:tabs>
          <w:tab w:val="left" w:pos="540"/>
        </w:tabs>
        <w:spacing w:line="240" w:lineRule="auto"/>
        <w:rPr>
          <w:rFonts w:ascii="Times New Roman" w:hAnsi="Times New Roman" w:cs="Times New Roman"/>
          <w:sz w:val="24"/>
          <w:szCs w:val="24"/>
        </w:rPr>
      </w:pPr>
    </w:p>
    <w:p w:rsidR="00405552" w:rsidRPr="00405552" w:rsidP="00405552">
      <w:pPr>
        <w:pStyle w:val="List"/>
        <w:spacing w:line="240" w:lineRule="auto"/>
        <w:ind w:left="360" w:hanging="360"/>
        <w:rPr>
          <w:rFonts w:ascii="Times New Roman" w:hAnsi="Times New Roman" w:cs="Times New Roman"/>
          <w:b/>
          <w:sz w:val="24"/>
          <w:szCs w:val="24"/>
          <w:lang w:val="sk-SK"/>
        </w:rPr>
      </w:pPr>
      <w:r w:rsidR="00026979">
        <w:rPr>
          <w:rFonts w:ascii="Times New Roman" w:hAnsi="Times New Roman" w:cs="Times New Roman"/>
          <w:b/>
          <w:bCs/>
          <w:sz w:val="24"/>
          <w:szCs w:val="24"/>
          <w:lang w:val="sk-SK"/>
        </w:rPr>
        <w:t xml:space="preserve">6. </w:t>
      </w:r>
      <w:r w:rsidRPr="00405552">
        <w:rPr>
          <w:rFonts w:ascii="Times New Roman" w:hAnsi="Times New Roman" w:cs="Times New Roman"/>
          <w:b/>
          <w:bCs/>
          <w:sz w:val="24"/>
          <w:szCs w:val="24"/>
          <w:lang w:val="sk-SK"/>
        </w:rPr>
        <w:t xml:space="preserve">Následná finančná kontrola projektov ŠF ERDF </w:t>
      </w:r>
      <w:r w:rsidR="00026979">
        <w:rPr>
          <w:rFonts w:ascii="Times New Roman" w:hAnsi="Times New Roman" w:cs="Times New Roman"/>
          <w:b/>
          <w:bCs/>
          <w:sz w:val="24"/>
          <w:szCs w:val="24"/>
          <w:lang w:val="sk-SK"/>
        </w:rPr>
        <w:t xml:space="preserve">– </w:t>
      </w:r>
      <w:r w:rsidRPr="00405552">
        <w:rPr>
          <w:rFonts w:ascii="Times New Roman" w:hAnsi="Times New Roman" w:cs="Times New Roman"/>
          <w:b/>
          <w:sz w:val="24"/>
          <w:szCs w:val="24"/>
          <w:lang w:val="sk-SK"/>
        </w:rPr>
        <w:t>Diaľničný privádz</w:t>
      </w:r>
      <w:r w:rsidR="00026979">
        <w:rPr>
          <w:rFonts w:ascii="Times New Roman" w:hAnsi="Times New Roman" w:cs="Times New Roman"/>
          <w:b/>
          <w:sz w:val="24"/>
          <w:szCs w:val="24"/>
          <w:lang w:val="sk-SK"/>
        </w:rPr>
        <w:t xml:space="preserve">ač, cesta I/18 Žilina – Strážov, </w:t>
      </w:r>
      <w:r w:rsidRPr="00405552">
        <w:rPr>
          <w:rFonts w:ascii="Times New Roman" w:hAnsi="Times New Roman" w:cs="Times New Roman"/>
          <w:b/>
          <w:sz w:val="24"/>
          <w:szCs w:val="24"/>
          <w:lang w:val="sk-SK"/>
        </w:rPr>
        <w:t>na Slove</w:t>
      </w:r>
      <w:r w:rsidRPr="00405552">
        <w:rPr>
          <w:rFonts w:ascii="Times New Roman" w:hAnsi="Times New Roman" w:cs="Times New Roman"/>
          <w:b/>
          <w:sz w:val="24"/>
          <w:szCs w:val="24"/>
          <w:lang w:val="sk-SK"/>
        </w:rPr>
        <w:t>n</w:t>
      </w:r>
      <w:r w:rsidRPr="00405552">
        <w:rPr>
          <w:rFonts w:ascii="Times New Roman" w:hAnsi="Times New Roman" w:cs="Times New Roman"/>
          <w:b/>
          <w:sz w:val="24"/>
          <w:szCs w:val="24"/>
          <w:lang w:val="sk-SK"/>
        </w:rPr>
        <w:t xml:space="preserve">skej správe ciest </w:t>
      </w:r>
    </w:p>
    <w:p w:rsidR="00026979" w:rsidP="00405552">
      <w:pPr>
        <w:pStyle w:val="List"/>
        <w:tabs>
          <w:tab w:val="left" w:pos="540"/>
        </w:tabs>
        <w:spacing w:line="240" w:lineRule="auto"/>
        <w:rPr>
          <w:rFonts w:ascii="Times New Roman" w:hAnsi="Times New Roman" w:cs="Times New Roman"/>
          <w:sz w:val="24"/>
          <w:szCs w:val="24"/>
          <w:lang w:val="sk-SK"/>
        </w:rPr>
      </w:pPr>
    </w:p>
    <w:p w:rsidR="00405552" w:rsidP="00405552">
      <w:pPr>
        <w:pStyle w:val="List"/>
        <w:tabs>
          <w:tab w:val="left" w:pos="540"/>
        </w:tabs>
        <w:spacing w:line="240" w:lineRule="auto"/>
        <w:rPr>
          <w:rFonts w:ascii="Times New Roman" w:hAnsi="Times New Roman" w:cs="Times New Roman"/>
          <w:sz w:val="24"/>
          <w:szCs w:val="24"/>
          <w:lang w:val="sk-SK"/>
        </w:rPr>
      </w:pPr>
      <w:r w:rsidR="00026979">
        <w:rPr>
          <w:rFonts w:ascii="Times New Roman" w:hAnsi="Times New Roman" w:cs="Times New Roman"/>
          <w:sz w:val="24"/>
          <w:szCs w:val="24"/>
          <w:lang w:val="sk-SK"/>
        </w:rPr>
        <w:tab/>
        <w:tab/>
      </w:r>
      <w:r w:rsidRPr="00405552">
        <w:rPr>
          <w:rFonts w:ascii="Times New Roman" w:hAnsi="Times New Roman" w:cs="Times New Roman"/>
          <w:sz w:val="24"/>
          <w:szCs w:val="24"/>
          <w:lang w:val="sk-SK"/>
        </w:rPr>
        <w:t>Kontrolou bolo zistené:</w:t>
      </w:r>
    </w:p>
    <w:p w:rsidR="00026979" w:rsidRPr="00405552" w:rsidP="00405552">
      <w:pPr>
        <w:pStyle w:val="List"/>
        <w:tabs>
          <w:tab w:val="left" w:pos="540"/>
        </w:tabs>
        <w:spacing w:line="240" w:lineRule="auto"/>
        <w:rPr>
          <w:rFonts w:ascii="Times New Roman" w:hAnsi="Times New Roman" w:cs="Times New Roman"/>
          <w:sz w:val="24"/>
          <w:szCs w:val="24"/>
          <w:lang w:val="sk-SK"/>
        </w:rPr>
      </w:pPr>
    </w:p>
    <w:p w:rsidR="00405552" w:rsidRPr="00405552" w:rsidP="001654CB">
      <w:pPr>
        <w:pStyle w:val="List"/>
        <w:numPr>
          <w:ilvl w:val="0"/>
          <w:numId w:val="10"/>
        </w:numPr>
        <w:tabs>
          <w:tab w:val="left" w:pos="540"/>
          <w:tab w:val="left" w:pos="630"/>
        </w:tabs>
        <w:adjustRightInd/>
        <w:spacing w:line="240" w:lineRule="auto"/>
        <w:ind w:left="629" w:hanging="269"/>
        <w:textAlignment w:val="auto"/>
        <w:rPr>
          <w:rFonts w:ascii="Times New Roman" w:hAnsi="Times New Roman" w:cs="Times New Roman"/>
          <w:sz w:val="24"/>
          <w:szCs w:val="24"/>
          <w:lang w:val="sk-SK"/>
        </w:rPr>
      </w:pPr>
      <w:r w:rsidR="002436DE">
        <w:rPr>
          <w:rFonts w:ascii="Times New Roman" w:hAnsi="Times New Roman" w:cs="Times New Roman"/>
          <w:sz w:val="24"/>
          <w:szCs w:val="24"/>
          <w:lang w:val="sk-SK"/>
        </w:rPr>
        <w:t xml:space="preserve"> n</w:t>
      </w:r>
      <w:r w:rsidRPr="00405552">
        <w:rPr>
          <w:rFonts w:ascii="Times New Roman" w:hAnsi="Times New Roman" w:cs="Times New Roman"/>
          <w:sz w:val="24"/>
          <w:szCs w:val="24"/>
          <w:lang w:val="sk-SK"/>
        </w:rPr>
        <w:t>evypracovanie manuálu vnútorných postupov KP/PP, čím došlo k nedodržaniu čl.6 „Ostatné právomoci, zodpovednosti a úloh</w:t>
      </w:r>
      <w:r w:rsidR="00026979">
        <w:rPr>
          <w:rFonts w:ascii="Times New Roman" w:hAnsi="Times New Roman" w:cs="Times New Roman"/>
          <w:sz w:val="24"/>
          <w:szCs w:val="24"/>
          <w:lang w:val="sk-SK"/>
        </w:rPr>
        <w:t>y KP“, a ods.12 Rámcovej zmluvy</w:t>
      </w:r>
      <w:r w:rsidRPr="00920C86" w:rsidR="00026979">
        <w:rPr>
          <w:rFonts w:ascii="Times New Roman" w:hAnsi="Times New Roman" w:cs="Times New Roman"/>
          <w:sz w:val="24"/>
          <w:szCs w:val="24"/>
        </w:rPr>
        <w:t>;</w:t>
      </w:r>
    </w:p>
    <w:p w:rsidR="00405552" w:rsidP="001654CB">
      <w:pPr>
        <w:pStyle w:val="List"/>
        <w:numPr>
          <w:ilvl w:val="0"/>
          <w:numId w:val="10"/>
        </w:numPr>
        <w:tabs>
          <w:tab w:val="left" w:pos="540"/>
          <w:tab w:val="clear" w:pos="630"/>
        </w:tabs>
        <w:spacing w:line="240" w:lineRule="auto"/>
        <w:ind w:left="629" w:hanging="269"/>
        <w:rPr>
          <w:rFonts w:ascii="Times New Roman" w:hAnsi="Times New Roman" w:cs="Times New Roman"/>
          <w:sz w:val="24"/>
          <w:szCs w:val="24"/>
          <w:lang w:val="sk-SK"/>
        </w:rPr>
      </w:pPr>
      <w:r w:rsidR="002436DE">
        <w:rPr>
          <w:rFonts w:ascii="Times New Roman" w:hAnsi="Times New Roman" w:cs="Times New Roman"/>
          <w:sz w:val="24"/>
          <w:szCs w:val="24"/>
          <w:lang w:val="sk-SK"/>
        </w:rPr>
        <w:t xml:space="preserve"> n</w:t>
      </w:r>
      <w:r w:rsidRPr="00405552">
        <w:rPr>
          <w:rFonts w:ascii="Times New Roman" w:hAnsi="Times New Roman" w:cs="Times New Roman"/>
          <w:sz w:val="24"/>
          <w:szCs w:val="24"/>
          <w:lang w:val="sk-SK"/>
        </w:rPr>
        <w:t>eosadenie informačnej tabule na mieste realizácie stavby, čím bol porušený čl.6 ods.8 Rámcovej zmluvy a ods.7 Schvaľovacieho listu.</w:t>
      </w:r>
    </w:p>
    <w:p w:rsidR="00026979" w:rsidRPr="00405552" w:rsidP="00026979">
      <w:pPr>
        <w:pStyle w:val="List"/>
        <w:spacing w:line="240" w:lineRule="auto"/>
        <w:ind w:left="360" w:firstLine="0"/>
        <w:rPr>
          <w:rFonts w:ascii="Times New Roman" w:hAnsi="Times New Roman" w:cs="Times New Roman"/>
          <w:sz w:val="24"/>
          <w:szCs w:val="24"/>
          <w:lang w:val="sk-SK"/>
        </w:rPr>
      </w:pPr>
    </w:p>
    <w:p w:rsidR="00405552" w:rsidP="00405552">
      <w:pPr>
        <w:tabs>
          <w:tab w:val="left" w:pos="540"/>
        </w:tabs>
        <w:spacing w:line="240" w:lineRule="auto"/>
        <w:rPr>
          <w:rFonts w:ascii="Times New Roman" w:hAnsi="Times New Roman" w:cs="Times New Roman"/>
          <w:sz w:val="24"/>
          <w:szCs w:val="24"/>
        </w:rPr>
      </w:pPr>
      <w:r w:rsidR="00026979">
        <w:rPr>
          <w:rFonts w:ascii="Times New Roman" w:hAnsi="Times New Roman" w:cs="Times New Roman"/>
          <w:sz w:val="24"/>
          <w:szCs w:val="24"/>
        </w:rPr>
        <w:tab/>
        <w:tab/>
      </w:r>
      <w:r w:rsidRPr="00405552">
        <w:rPr>
          <w:rFonts w:ascii="Times New Roman" w:hAnsi="Times New Roman" w:cs="Times New Roman"/>
          <w:sz w:val="24"/>
          <w:szCs w:val="24"/>
        </w:rPr>
        <w:t xml:space="preserve">Na základe výsledkov následnej finančnej kontroly boli prijaté 3 vecné opatrenia </w:t>
        <w:br/>
        <w:t>na nápravu zistených nedostatkov so zameraním na upozornenie IVSC na potrebu dodržiavania vykonávacích pravidiel pre informovanosť a publicitu a na vydanie príkazu GR s opatreniami (2 vecné opatrenia sa týkali vypracovania manuálu KP/PP a jeho predloženia na SORO) a so stanovenými termínmi na ich splnenie. Správa o splnení prijatých opatrení bola na kontrolný orgán doručená dňa 19.9.2007, p</w:t>
      </w:r>
      <w:r w:rsidR="002436DE">
        <w:rPr>
          <w:rFonts w:ascii="Times New Roman" w:hAnsi="Times New Roman" w:cs="Times New Roman"/>
          <w:sz w:val="24"/>
          <w:szCs w:val="24"/>
        </w:rPr>
        <w:t xml:space="preserve">odľa ktorej boli opatrenia </w:t>
      </w:r>
      <w:r w:rsidRPr="00405552">
        <w:rPr>
          <w:rFonts w:ascii="Times New Roman" w:hAnsi="Times New Roman" w:cs="Times New Roman"/>
          <w:sz w:val="24"/>
          <w:szCs w:val="24"/>
        </w:rPr>
        <w:t xml:space="preserve">splnené. </w:t>
      </w:r>
    </w:p>
    <w:p w:rsidR="00026979" w:rsidRPr="00405552" w:rsidP="00405552">
      <w:pPr>
        <w:tabs>
          <w:tab w:val="left" w:pos="540"/>
        </w:tabs>
        <w:spacing w:line="240" w:lineRule="auto"/>
        <w:rPr>
          <w:rFonts w:ascii="Times New Roman" w:hAnsi="Times New Roman" w:cs="Times New Roman"/>
          <w:sz w:val="24"/>
          <w:szCs w:val="24"/>
        </w:rPr>
      </w:pPr>
    </w:p>
    <w:p w:rsidR="00405552" w:rsidRPr="00405552" w:rsidP="00405552">
      <w:pPr>
        <w:pStyle w:val="List"/>
        <w:spacing w:line="240" w:lineRule="auto"/>
        <w:ind w:left="360" w:hanging="360"/>
        <w:rPr>
          <w:rFonts w:ascii="Times New Roman" w:hAnsi="Times New Roman" w:cs="Times New Roman"/>
          <w:b/>
          <w:sz w:val="24"/>
          <w:szCs w:val="24"/>
          <w:lang w:val="sk-SK"/>
        </w:rPr>
      </w:pPr>
      <w:r w:rsidRPr="00405552">
        <w:rPr>
          <w:rFonts w:ascii="Times New Roman" w:hAnsi="Times New Roman" w:cs="Times New Roman"/>
          <w:b/>
          <w:sz w:val="24"/>
          <w:szCs w:val="24"/>
          <w:lang w:val="sk-SK"/>
        </w:rPr>
        <w:t>7</w:t>
      </w:r>
      <w:r w:rsidR="00026979">
        <w:rPr>
          <w:rFonts w:ascii="Times New Roman" w:hAnsi="Times New Roman" w:cs="Times New Roman"/>
          <w:sz w:val="24"/>
          <w:szCs w:val="24"/>
          <w:lang w:val="sk-SK"/>
        </w:rPr>
        <w:t xml:space="preserve">. </w:t>
      </w:r>
      <w:r w:rsidRPr="00405552">
        <w:rPr>
          <w:rFonts w:ascii="Times New Roman" w:hAnsi="Times New Roman" w:cs="Times New Roman"/>
          <w:b/>
          <w:bCs/>
          <w:sz w:val="24"/>
          <w:szCs w:val="24"/>
          <w:lang w:val="sk-SK"/>
        </w:rPr>
        <w:t xml:space="preserve">Následná finančná kontrola projektu ŠF ERDF </w:t>
      </w:r>
      <w:r w:rsidR="00026979">
        <w:rPr>
          <w:rFonts w:ascii="Times New Roman" w:hAnsi="Times New Roman" w:cs="Times New Roman"/>
          <w:b/>
          <w:bCs/>
          <w:sz w:val="24"/>
          <w:szCs w:val="24"/>
          <w:lang w:val="sk-SK"/>
        </w:rPr>
        <w:t xml:space="preserve">– </w:t>
      </w:r>
      <w:r w:rsidRPr="00405552">
        <w:rPr>
          <w:rFonts w:ascii="Times New Roman" w:hAnsi="Times New Roman" w:cs="Times New Roman"/>
          <w:b/>
          <w:sz w:val="24"/>
          <w:szCs w:val="24"/>
          <w:lang w:val="sk-SK"/>
        </w:rPr>
        <w:t xml:space="preserve">R2 Figa – obchvat a projektu Privádzač Košice, Križovatka Prešovská – Sečovská, III. etapa na MDPT SR </w:t>
      </w:r>
    </w:p>
    <w:p w:rsidR="00026979" w:rsidP="00405552">
      <w:pPr>
        <w:pStyle w:val="List"/>
        <w:spacing w:line="240" w:lineRule="auto"/>
        <w:rPr>
          <w:rFonts w:ascii="Times New Roman" w:hAnsi="Times New Roman" w:cs="Times New Roman"/>
          <w:sz w:val="24"/>
          <w:szCs w:val="24"/>
          <w:lang w:val="sk-SK"/>
        </w:rPr>
      </w:pPr>
    </w:p>
    <w:p w:rsidR="00405552" w:rsidRPr="00405552" w:rsidP="00EE757E">
      <w:pPr>
        <w:pStyle w:val="List"/>
        <w:spacing w:line="240" w:lineRule="auto"/>
        <w:ind w:firstLine="346"/>
        <w:rPr>
          <w:rFonts w:ascii="Times New Roman" w:hAnsi="Times New Roman" w:cs="Times New Roman"/>
          <w:sz w:val="24"/>
          <w:szCs w:val="24"/>
          <w:lang w:val="sk-SK"/>
        </w:rPr>
      </w:pPr>
      <w:r w:rsidRPr="00405552">
        <w:rPr>
          <w:rFonts w:ascii="Times New Roman" w:hAnsi="Times New Roman" w:cs="Times New Roman"/>
          <w:sz w:val="24"/>
          <w:szCs w:val="24"/>
          <w:lang w:val="sk-SK"/>
        </w:rPr>
        <w:t>Následnou finančnou kontrolou bolo zistené:</w:t>
      </w:r>
    </w:p>
    <w:p w:rsidR="00405552" w:rsidRPr="00405552" w:rsidP="001654CB">
      <w:pPr>
        <w:pStyle w:val="List"/>
        <w:numPr>
          <w:ilvl w:val="0"/>
          <w:numId w:val="28"/>
        </w:numPr>
        <w:tabs>
          <w:tab w:val="left" w:pos="630"/>
          <w:tab w:val="left" w:pos="720"/>
        </w:tabs>
        <w:adjustRightInd/>
        <w:spacing w:line="240" w:lineRule="auto"/>
        <w:ind w:left="629" w:hanging="269"/>
        <w:textAlignment w:val="auto"/>
        <w:rPr>
          <w:rFonts w:ascii="Times New Roman" w:hAnsi="Times New Roman" w:cs="Times New Roman"/>
          <w:sz w:val="24"/>
          <w:szCs w:val="24"/>
          <w:lang w:val="sk-SK"/>
        </w:rPr>
      </w:pPr>
      <w:r w:rsidR="002436DE">
        <w:rPr>
          <w:rFonts w:ascii="Times New Roman" w:hAnsi="Times New Roman" w:cs="Times New Roman"/>
          <w:sz w:val="24"/>
          <w:szCs w:val="24"/>
          <w:lang w:val="sk-SK"/>
        </w:rPr>
        <w:t>n</w:t>
      </w:r>
      <w:r w:rsidRPr="00405552">
        <w:rPr>
          <w:rFonts w:ascii="Times New Roman" w:hAnsi="Times New Roman" w:cs="Times New Roman"/>
          <w:sz w:val="24"/>
          <w:szCs w:val="24"/>
          <w:lang w:val="sk-SK"/>
        </w:rPr>
        <w:t>esúlad ustanovení čl.4 ods.1 písm. e) Rámcovej zmluvy a Dokumentu č.10 interného manuálu procedúr pri vykonávaní dohľadu SORO</w:t>
      </w:r>
      <w:r w:rsidR="00026979">
        <w:rPr>
          <w:rFonts w:ascii="Times New Roman" w:hAnsi="Times New Roman" w:cs="Times New Roman"/>
          <w:sz w:val="24"/>
          <w:szCs w:val="24"/>
          <w:lang w:val="sk-SK"/>
        </w:rPr>
        <w:t xml:space="preserve"> nad verejným obstarávaním u KP</w:t>
      </w:r>
      <w:r w:rsidRPr="00920C86" w:rsidR="00026979">
        <w:rPr>
          <w:rFonts w:ascii="Times New Roman" w:hAnsi="Times New Roman" w:cs="Times New Roman"/>
          <w:sz w:val="24"/>
          <w:szCs w:val="24"/>
        </w:rPr>
        <w:t>;</w:t>
      </w:r>
    </w:p>
    <w:p w:rsidR="00405552" w:rsidRPr="00405552" w:rsidP="001654CB">
      <w:pPr>
        <w:pStyle w:val="List"/>
        <w:numPr>
          <w:ilvl w:val="0"/>
          <w:numId w:val="22"/>
        </w:numPr>
        <w:tabs>
          <w:tab w:val="left" w:pos="630"/>
        </w:tabs>
        <w:spacing w:line="240" w:lineRule="auto"/>
        <w:ind w:left="629" w:hanging="269"/>
        <w:rPr>
          <w:rFonts w:ascii="Times New Roman" w:hAnsi="Times New Roman" w:cs="Times New Roman"/>
          <w:sz w:val="24"/>
          <w:szCs w:val="24"/>
          <w:lang w:val="sk-SK"/>
        </w:rPr>
      </w:pPr>
      <w:r w:rsidR="002436DE">
        <w:rPr>
          <w:rFonts w:ascii="Times New Roman" w:hAnsi="Times New Roman" w:cs="Times New Roman"/>
          <w:sz w:val="24"/>
          <w:szCs w:val="24"/>
          <w:lang w:val="sk-SK"/>
        </w:rPr>
        <w:t>n</w:t>
      </w:r>
      <w:r w:rsidRPr="00405552">
        <w:rPr>
          <w:rFonts w:ascii="Times New Roman" w:hAnsi="Times New Roman" w:cs="Times New Roman"/>
          <w:sz w:val="24"/>
          <w:szCs w:val="24"/>
          <w:lang w:val="sk-SK"/>
        </w:rPr>
        <w:t>edodržanie lehoty 30 pracovných dní od zaregistrovania úplnej Žiadosti o platbu na jej postúpenie na PJ – porušenie dokumentu č.11 interného m</w:t>
      </w:r>
      <w:r w:rsidR="00026979">
        <w:rPr>
          <w:rFonts w:ascii="Times New Roman" w:hAnsi="Times New Roman" w:cs="Times New Roman"/>
          <w:sz w:val="24"/>
          <w:szCs w:val="24"/>
          <w:lang w:val="sk-SK"/>
        </w:rPr>
        <w:t>anuálu</w:t>
      </w:r>
      <w:r w:rsidRPr="00920C86" w:rsidR="00026979">
        <w:rPr>
          <w:rFonts w:ascii="Times New Roman" w:hAnsi="Times New Roman" w:cs="Times New Roman"/>
          <w:sz w:val="24"/>
          <w:szCs w:val="24"/>
        </w:rPr>
        <w:t>;</w:t>
      </w:r>
    </w:p>
    <w:p w:rsidR="00405552" w:rsidRPr="00405552" w:rsidP="001654CB">
      <w:pPr>
        <w:pStyle w:val="List"/>
        <w:numPr>
          <w:ilvl w:val="0"/>
          <w:numId w:val="22"/>
        </w:numPr>
        <w:tabs>
          <w:tab w:val="left" w:pos="630"/>
        </w:tabs>
        <w:spacing w:line="240" w:lineRule="auto"/>
        <w:ind w:left="629" w:hanging="269"/>
        <w:rPr>
          <w:rFonts w:ascii="Times New Roman" w:hAnsi="Times New Roman" w:cs="Times New Roman"/>
          <w:sz w:val="24"/>
          <w:szCs w:val="24"/>
          <w:lang w:val="sk-SK"/>
        </w:rPr>
      </w:pPr>
      <w:r w:rsidR="002436DE">
        <w:rPr>
          <w:rFonts w:ascii="Times New Roman" w:hAnsi="Times New Roman" w:cs="Times New Roman"/>
          <w:sz w:val="24"/>
          <w:szCs w:val="24"/>
          <w:lang w:val="sk-SK"/>
        </w:rPr>
        <w:t>n</w:t>
      </w:r>
      <w:r w:rsidRPr="00405552">
        <w:rPr>
          <w:rFonts w:ascii="Times New Roman" w:hAnsi="Times New Roman" w:cs="Times New Roman"/>
          <w:sz w:val="24"/>
          <w:szCs w:val="24"/>
          <w:lang w:val="sk-SK"/>
        </w:rPr>
        <w:t>edodržanie lehoty 8 pracovných dní od zaregistrovania úplnej Žiadosti o platbu na jej postúpenie na PJ – porušenie d</w:t>
      </w:r>
      <w:r w:rsidR="00026979">
        <w:rPr>
          <w:rFonts w:ascii="Times New Roman" w:hAnsi="Times New Roman" w:cs="Times New Roman"/>
          <w:sz w:val="24"/>
          <w:szCs w:val="24"/>
          <w:lang w:val="sk-SK"/>
        </w:rPr>
        <w:t>okumentu č.11 interného manuálu</w:t>
      </w:r>
      <w:r w:rsidRPr="00920C86" w:rsidR="00026979">
        <w:rPr>
          <w:rFonts w:ascii="Times New Roman" w:hAnsi="Times New Roman" w:cs="Times New Roman"/>
          <w:sz w:val="24"/>
          <w:szCs w:val="24"/>
        </w:rPr>
        <w:t>;</w:t>
      </w:r>
    </w:p>
    <w:p w:rsidR="00405552" w:rsidRPr="00405552" w:rsidP="001654CB">
      <w:pPr>
        <w:pStyle w:val="List"/>
        <w:numPr>
          <w:ilvl w:val="0"/>
          <w:numId w:val="22"/>
        </w:numPr>
        <w:tabs>
          <w:tab w:val="left" w:pos="630"/>
        </w:tabs>
        <w:spacing w:line="240" w:lineRule="auto"/>
        <w:ind w:left="629" w:hanging="269"/>
        <w:rPr>
          <w:rFonts w:ascii="Times New Roman" w:hAnsi="Times New Roman" w:cs="Times New Roman"/>
          <w:sz w:val="24"/>
          <w:szCs w:val="24"/>
          <w:lang w:val="sk-SK"/>
        </w:rPr>
      </w:pPr>
      <w:r w:rsidR="002436DE">
        <w:rPr>
          <w:rFonts w:ascii="Times New Roman" w:hAnsi="Times New Roman" w:cs="Times New Roman"/>
          <w:sz w:val="24"/>
          <w:szCs w:val="24"/>
          <w:lang w:val="sk-SK"/>
        </w:rPr>
        <w:t>n</w:t>
      </w:r>
      <w:r w:rsidRPr="00405552">
        <w:rPr>
          <w:rFonts w:ascii="Times New Roman" w:hAnsi="Times New Roman" w:cs="Times New Roman"/>
          <w:sz w:val="24"/>
          <w:szCs w:val="24"/>
          <w:lang w:val="sk-SK"/>
        </w:rPr>
        <w:t xml:space="preserve">evykonanie kontroly na mieste – porušenie dokumentu </w:t>
      </w:r>
      <w:r w:rsidR="00026979">
        <w:rPr>
          <w:rFonts w:ascii="Times New Roman" w:hAnsi="Times New Roman" w:cs="Times New Roman"/>
          <w:sz w:val="24"/>
          <w:szCs w:val="24"/>
          <w:lang w:val="sk-SK"/>
        </w:rPr>
        <w:t>č.12 interného manuálu procedúr</w:t>
      </w:r>
      <w:r w:rsidRPr="00920C86" w:rsidR="00026979">
        <w:rPr>
          <w:rFonts w:ascii="Times New Roman" w:hAnsi="Times New Roman" w:cs="Times New Roman"/>
          <w:sz w:val="24"/>
          <w:szCs w:val="24"/>
        </w:rPr>
        <w:t>;</w:t>
      </w:r>
    </w:p>
    <w:p w:rsidR="00405552" w:rsidP="001654CB">
      <w:pPr>
        <w:pStyle w:val="List"/>
        <w:numPr>
          <w:ilvl w:val="0"/>
          <w:numId w:val="22"/>
        </w:numPr>
        <w:tabs>
          <w:tab w:val="left" w:pos="630"/>
        </w:tabs>
        <w:spacing w:line="240" w:lineRule="auto"/>
        <w:ind w:left="629" w:hanging="269"/>
        <w:rPr>
          <w:rFonts w:ascii="Times New Roman" w:hAnsi="Times New Roman" w:cs="Times New Roman"/>
          <w:sz w:val="24"/>
          <w:szCs w:val="24"/>
          <w:lang w:val="sk-SK"/>
        </w:rPr>
      </w:pPr>
      <w:r w:rsidR="002436DE">
        <w:rPr>
          <w:rFonts w:ascii="Times New Roman" w:hAnsi="Times New Roman" w:cs="Times New Roman"/>
          <w:sz w:val="24"/>
          <w:szCs w:val="24"/>
          <w:lang w:val="sk-SK"/>
        </w:rPr>
        <w:t>n</w:t>
      </w:r>
      <w:r w:rsidRPr="00405552">
        <w:rPr>
          <w:rFonts w:ascii="Times New Roman" w:hAnsi="Times New Roman" w:cs="Times New Roman"/>
          <w:sz w:val="24"/>
          <w:szCs w:val="24"/>
          <w:lang w:val="sk-SK"/>
        </w:rPr>
        <w:t xml:space="preserve">edodržanie lehoty na vydanie rozpočtového opatrenia – porušenie dokumentu č.6 interného manuálu PJ. </w:t>
      </w:r>
    </w:p>
    <w:p w:rsidR="00026979" w:rsidRPr="00405552" w:rsidP="00026979">
      <w:pPr>
        <w:pStyle w:val="List"/>
        <w:spacing w:line="240" w:lineRule="auto"/>
        <w:ind w:left="0" w:firstLine="0"/>
        <w:rPr>
          <w:rFonts w:ascii="Times New Roman" w:hAnsi="Times New Roman" w:cs="Times New Roman"/>
          <w:sz w:val="24"/>
          <w:szCs w:val="24"/>
          <w:lang w:val="sk-SK"/>
        </w:rPr>
      </w:pPr>
    </w:p>
    <w:p w:rsidR="00405552" w:rsidP="00405552">
      <w:pPr>
        <w:tabs>
          <w:tab w:val="left" w:pos="540"/>
        </w:tabs>
        <w:spacing w:line="240" w:lineRule="auto"/>
        <w:rPr>
          <w:rFonts w:ascii="Times New Roman" w:hAnsi="Times New Roman" w:cs="Times New Roman"/>
          <w:sz w:val="24"/>
          <w:szCs w:val="24"/>
        </w:rPr>
      </w:pPr>
      <w:r w:rsidR="00026979">
        <w:rPr>
          <w:rFonts w:ascii="Times New Roman" w:hAnsi="Times New Roman" w:cs="Times New Roman"/>
          <w:sz w:val="24"/>
          <w:szCs w:val="24"/>
        </w:rPr>
        <w:tab/>
        <w:tab/>
      </w:r>
      <w:r w:rsidRPr="00405552">
        <w:rPr>
          <w:rFonts w:ascii="Times New Roman" w:hAnsi="Times New Roman" w:cs="Times New Roman"/>
          <w:sz w:val="24"/>
          <w:szCs w:val="24"/>
        </w:rPr>
        <w:t xml:space="preserve">Na základe výsledkov následnej finančnej kontroly boli prijaté 3 vecné opatrenia </w:t>
        <w:br/>
        <w:t>na nápravu zistených nedostatkov so zameraním na upozornenie projektových manažérov na dodržiavanie termínov určených  v systéme finančného riadenia na kontrolu žiadostí o platbu, na vykonanie kontrol na mieste v roku 2008.  Správa o prijatých opatreniach bola doručená na kontrolný orgán dňa 1.2.2008. Termín na predloženie správy o splnení opatrení prijatých na nápravu zistených nedostatkov bol stanovený do 15.3.2008.</w:t>
      </w:r>
    </w:p>
    <w:p w:rsidR="001221BA" w:rsidRPr="00405552" w:rsidP="00405552">
      <w:pPr>
        <w:tabs>
          <w:tab w:val="left" w:pos="540"/>
        </w:tabs>
        <w:spacing w:line="240" w:lineRule="auto"/>
        <w:rPr>
          <w:rFonts w:ascii="Times New Roman" w:hAnsi="Times New Roman" w:cs="Times New Roman"/>
          <w:sz w:val="24"/>
          <w:szCs w:val="24"/>
        </w:rPr>
      </w:pPr>
    </w:p>
    <w:p w:rsidR="00026979" w:rsidP="004573C1">
      <w:pPr>
        <w:pStyle w:val="List"/>
        <w:numPr>
          <w:ilvl w:val="0"/>
          <w:numId w:val="30"/>
        </w:numPr>
        <w:tabs>
          <w:tab w:val="left" w:pos="360"/>
        </w:tabs>
        <w:spacing w:line="240" w:lineRule="auto"/>
        <w:rPr>
          <w:rFonts w:ascii="Times New Roman" w:hAnsi="Times New Roman" w:cs="Times New Roman"/>
          <w:b/>
          <w:sz w:val="24"/>
          <w:szCs w:val="24"/>
          <w:lang w:val="sk-SK"/>
        </w:rPr>
      </w:pPr>
      <w:r w:rsidRPr="00405552" w:rsidR="00405552">
        <w:rPr>
          <w:rFonts w:ascii="Times New Roman" w:hAnsi="Times New Roman" w:cs="Times New Roman"/>
          <w:b/>
          <w:bCs/>
          <w:sz w:val="24"/>
          <w:szCs w:val="24"/>
          <w:lang w:val="sk-SK"/>
        </w:rPr>
        <w:t xml:space="preserve">Následná finančná kontrola projektu ŠF ERDF </w:t>
      </w:r>
      <w:r>
        <w:rPr>
          <w:rFonts w:ascii="Times New Roman" w:hAnsi="Times New Roman" w:cs="Times New Roman"/>
          <w:b/>
          <w:bCs/>
          <w:sz w:val="24"/>
          <w:szCs w:val="24"/>
          <w:lang w:val="sk-SK"/>
        </w:rPr>
        <w:t xml:space="preserve">– </w:t>
      </w:r>
      <w:r>
        <w:rPr>
          <w:rFonts w:ascii="Times New Roman" w:hAnsi="Times New Roman" w:cs="Times New Roman"/>
          <w:b/>
          <w:sz w:val="24"/>
          <w:szCs w:val="24"/>
          <w:lang w:val="sk-SK"/>
        </w:rPr>
        <w:t xml:space="preserve">R2 Figa – obchvat, </w:t>
      </w:r>
      <w:r w:rsidRPr="00405552" w:rsidR="00405552">
        <w:rPr>
          <w:rFonts w:ascii="Times New Roman" w:hAnsi="Times New Roman" w:cs="Times New Roman"/>
          <w:b/>
          <w:sz w:val="24"/>
          <w:szCs w:val="24"/>
          <w:lang w:val="sk-SK"/>
        </w:rPr>
        <w:t xml:space="preserve">na Národnej diaľničnej spoločnosti, a.s. </w:t>
      </w:r>
    </w:p>
    <w:p w:rsidR="001221BA" w:rsidRPr="004573C1" w:rsidP="001221BA">
      <w:pPr>
        <w:pStyle w:val="List"/>
        <w:spacing w:line="240" w:lineRule="auto"/>
        <w:ind w:left="0" w:firstLine="0"/>
        <w:rPr>
          <w:rFonts w:ascii="Times New Roman" w:hAnsi="Times New Roman" w:cs="Times New Roman"/>
          <w:b/>
          <w:sz w:val="24"/>
          <w:szCs w:val="24"/>
          <w:lang w:val="sk-SK"/>
        </w:rPr>
      </w:pPr>
    </w:p>
    <w:p w:rsidR="001221BA" w:rsidRPr="00405552" w:rsidP="00EE757E">
      <w:pPr>
        <w:pStyle w:val="List"/>
        <w:tabs>
          <w:tab w:val="left" w:pos="540"/>
        </w:tabs>
        <w:spacing w:line="240" w:lineRule="auto"/>
        <w:ind w:left="284" w:hanging="284"/>
        <w:rPr>
          <w:rFonts w:ascii="Times New Roman" w:hAnsi="Times New Roman" w:cs="Times New Roman"/>
          <w:sz w:val="24"/>
          <w:szCs w:val="24"/>
          <w:lang w:val="sk-SK"/>
        </w:rPr>
      </w:pPr>
      <w:r w:rsidR="00EE757E">
        <w:rPr>
          <w:rFonts w:ascii="Times New Roman" w:hAnsi="Times New Roman" w:cs="Times New Roman"/>
          <w:sz w:val="24"/>
          <w:szCs w:val="24"/>
          <w:lang w:val="sk-SK"/>
        </w:rPr>
        <w:tab/>
        <w:tab/>
        <w:t xml:space="preserve"> </w:t>
      </w:r>
      <w:r w:rsidRPr="00405552" w:rsidR="00405552">
        <w:rPr>
          <w:rFonts w:ascii="Times New Roman" w:hAnsi="Times New Roman" w:cs="Times New Roman"/>
          <w:sz w:val="24"/>
          <w:szCs w:val="24"/>
          <w:lang w:val="sk-SK"/>
        </w:rPr>
        <w:t>Kontrolou bolo zistené:</w:t>
      </w:r>
    </w:p>
    <w:p w:rsidR="00405552" w:rsidRPr="00405552" w:rsidP="001654CB">
      <w:pPr>
        <w:pStyle w:val="List"/>
        <w:numPr>
          <w:ilvl w:val="0"/>
          <w:numId w:val="22"/>
        </w:numPr>
        <w:tabs>
          <w:tab w:val="left" w:pos="630"/>
        </w:tabs>
        <w:spacing w:line="240" w:lineRule="auto"/>
        <w:ind w:left="629" w:hanging="629"/>
        <w:rPr>
          <w:rFonts w:ascii="Times New Roman" w:hAnsi="Times New Roman" w:cs="Times New Roman"/>
          <w:sz w:val="24"/>
          <w:szCs w:val="24"/>
          <w:lang w:val="sk-SK"/>
        </w:rPr>
      </w:pPr>
      <w:r w:rsidR="002436DE">
        <w:rPr>
          <w:rFonts w:ascii="Times New Roman" w:hAnsi="Times New Roman" w:cs="Times New Roman"/>
          <w:sz w:val="24"/>
          <w:szCs w:val="24"/>
          <w:lang w:val="sk-SK"/>
        </w:rPr>
        <w:t>n</w:t>
      </w:r>
      <w:r w:rsidRPr="00405552">
        <w:rPr>
          <w:rFonts w:ascii="Times New Roman" w:hAnsi="Times New Roman" w:cs="Times New Roman"/>
          <w:sz w:val="24"/>
          <w:szCs w:val="24"/>
          <w:lang w:val="sk-SK"/>
        </w:rPr>
        <w:t>edodržanie ustanovenia čl.38 ods.4 Nariadenia Európskeho parlamentu a Rady č.2004/18/ES nesprávnym určením lehoty na predkladanie ponúk v </w:t>
      </w:r>
      <w:r w:rsidR="00026979">
        <w:rPr>
          <w:rFonts w:ascii="Times New Roman" w:hAnsi="Times New Roman" w:cs="Times New Roman"/>
          <w:sz w:val="24"/>
          <w:szCs w:val="24"/>
          <w:lang w:val="sk-SK"/>
        </w:rPr>
        <w:t>procese realizácie VO na služby</w:t>
      </w:r>
      <w:r w:rsidRPr="00920C86" w:rsidR="00026979">
        <w:rPr>
          <w:rFonts w:ascii="Times New Roman" w:hAnsi="Times New Roman" w:cs="Times New Roman"/>
          <w:sz w:val="24"/>
          <w:szCs w:val="24"/>
        </w:rPr>
        <w:t>;</w:t>
      </w:r>
    </w:p>
    <w:p w:rsidR="00026979" w:rsidRPr="00405552" w:rsidP="001654CB">
      <w:pPr>
        <w:pStyle w:val="List"/>
        <w:numPr>
          <w:ilvl w:val="0"/>
          <w:numId w:val="22"/>
        </w:numPr>
        <w:tabs>
          <w:tab w:val="left" w:pos="630"/>
        </w:tabs>
        <w:spacing w:line="240" w:lineRule="auto"/>
        <w:ind w:left="629" w:hanging="629"/>
        <w:rPr>
          <w:rFonts w:ascii="Times New Roman" w:hAnsi="Times New Roman" w:cs="Times New Roman"/>
          <w:sz w:val="24"/>
          <w:szCs w:val="24"/>
          <w:lang w:val="sk-SK"/>
        </w:rPr>
      </w:pPr>
      <w:r w:rsidR="002436DE">
        <w:rPr>
          <w:rFonts w:ascii="Times New Roman" w:hAnsi="Times New Roman" w:cs="Times New Roman"/>
          <w:sz w:val="24"/>
          <w:szCs w:val="24"/>
          <w:lang w:val="sk-SK"/>
        </w:rPr>
        <w:t>n</w:t>
      </w:r>
      <w:r w:rsidRPr="00405552" w:rsidR="00405552">
        <w:rPr>
          <w:rFonts w:ascii="Times New Roman" w:hAnsi="Times New Roman" w:cs="Times New Roman"/>
          <w:sz w:val="24"/>
          <w:szCs w:val="24"/>
          <w:lang w:val="sk-SK"/>
        </w:rPr>
        <w:t xml:space="preserve">edodržanie ustanovenia čl.6 ods.12 Rámcovej zmluvy z dôvodu nevypracovania interného manuálu vnútorných postupov KP/PP. </w:t>
      </w:r>
    </w:p>
    <w:p w:rsidR="00405552" w:rsidP="00405552">
      <w:pPr>
        <w:tabs>
          <w:tab w:val="left" w:pos="540"/>
        </w:tabs>
        <w:spacing w:line="240" w:lineRule="auto"/>
        <w:rPr>
          <w:rFonts w:ascii="Times New Roman" w:hAnsi="Times New Roman" w:cs="Times New Roman"/>
          <w:sz w:val="24"/>
          <w:szCs w:val="24"/>
        </w:rPr>
      </w:pPr>
      <w:r w:rsidR="004573C1">
        <w:rPr>
          <w:rFonts w:ascii="Times New Roman" w:hAnsi="Times New Roman" w:cs="Times New Roman"/>
          <w:sz w:val="24"/>
          <w:szCs w:val="24"/>
        </w:rPr>
        <w:tab/>
        <w:t xml:space="preserve">  </w:t>
      </w:r>
      <w:r w:rsidRPr="00405552">
        <w:rPr>
          <w:rFonts w:ascii="Times New Roman" w:hAnsi="Times New Roman" w:cs="Times New Roman"/>
          <w:sz w:val="24"/>
          <w:szCs w:val="24"/>
        </w:rPr>
        <w:t xml:space="preserve">Na základe výsledkov následnej finančnej kontroly boli prijaté 2 vecné opatrenia </w:t>
        <w:br/>
        <w:t>na nápravu zistených nedostatkov so zameraním na vypracovanie interného manuálu KP a dodržiavanie stanovenej lehoty na predkladanie ponúk v rámci verejného obstarávania.  Oznámenie o prijatých opatreniach bolo na kontrolný orgán doručené dňa 15.1.2008. Termín na predloženie správy o splnení opatrení</w:t>
      </w:r>
      <w:r w:rsidR="004573C1">
        <w:rPr>
          <w:rFonts w:ascii="Times New Roman" w:hAnsi="Times New Roman" w:cs="Times New Roman"/>
          <w:sz w:val="24"/>
          <w:szCs w:val="24"/>
        </w:rPr>
        <w:t xml:space="preserve"> prijatých na nápravu </w:t>
      </w:r>
      <w:r w:rsidRPr="00405552">
        <w:rPr>
          <w:rFonts w:ascii="Times New Roman" w:hAnsi="Times New Roman" w:cs="Times New Roman"/>
          <w:sz w:val="24"/>
          <w:szCs w:val="24"/>
        </w:rPr>
        <w:t xml:space="preserve">nedostatkov bol stanovený na 31.3.2008. </w:t>
      </w:r>
    </w:p>
    <w:p w:rsidR="001221BA" w:rsidRPr="00405552" w:rsidP="00405552">
      <w:pPr>
        <w:tabs>
          <w:tab w:val="left" w:pos="540"/>
        </w:tabs>
        <w:spacing w:line="240" w:lineRule="auto"/>
        <w:rPr>
          <w:rFonts w:ascii="Times New Roman" w:hAnsi="Times New Roman" w:cs="Times New Roman"/>
          <w:sz w:val="24"/>
          <w:szCs w:val="24"/>
        </w:rPr>
      </w:pPr>
    </w:p>
    <w:p w:rsidR="00405552" w:rsidRPr="00405552" w:rsidP="00026979">
      <w:pPr>
        <w:pStyle w:val="List"/>
        <w:numPr>
          <w:ilvl w:val="0"/>
          <w:numId w:val="30"/>
        </w:numPr>
        <w:tabs>
          <w:tab w:val="left" w:pos="360"/>
        </w:tabs>
        <w:spacing w:line="240" w:lineRule="auto"/>
        <w:rPr>
          <w:rFonts w:ascii="Times New Roman" w:hAnsi="Times New Roman" w:cs="Times New Roman"/>
          <w:b/>
          <w:sz w:val="24"/>
          <w:szCs w:val="24"/>
          <w:lang w:val="sk-SK"/>
        </w:rPr>
      </w:pPr>
      <w:r w:rsidRPr="00405552">
        <w:rPr>
          <w:rFonts w:ascii="Times New Roman" w:hAnsi="Times New Roman" w:cs="Times New Roman"/>
          <w:b/>
          <w:bCs/>
          <w:sz w:val="24"/>
          <w:szCs w:val="24"/>
          <w:lang w:val="sk-SK"/>
        </w:rPr>
        <w:t xml:space="preserve">Následná finančná kontrola projektu ISPA/ Kohézneho fondu </w:t>
      </w:r>
      <w:r w:rsidR="00026979">
        <w:rPr>
          <w:rFonts w:ascii="Times New Roman" w:hAnsi="Times New Roman" w:cs="Times New Roman"/>
          <w:b/>
          <w:bCs/>
          <w:sz w:val="24"/>
          <w:szCs w:val="24"/>
          <w:lang w:val="sk-SK"/>
        </w:rPr>
        <w:t xml:space="preserve">– </w:t>
      </w:r>
      <w:r w:rsidRPr="00405552">
        <w:rPr>
          <w:rFonts w:ascii="Times New Roman" w:hAnsi="Times New Roman" w:cs="Times New Roman"/>
          <w:b/>
          <w:sz w:val="24"/>
          <w:szCs w:val="24"/>
          <w:lang w:val="sk-SK"/>
        </w:rPr>
        <w:t xml:space="preserve">Modernizácia železničnej trate Trnava – Nové Mesto nad Váhom žkm 47,550 – 100,500 na rýchlosť </w:t>
      </w:r>
      <w:smartTag w:uri="urn:schemas-microsoft-com:office:smarttags" w:element="metricconverter">
        <w:smartTagPr>
          <w:attr w:name="ProductID" w:val="160 km/h"/>
        </w:smartTagPr>
        <w:r w:rsidRPr="00405552">
          <w:rPr>
            <w:rFonts w:ascii="Times New Roman" w:hAnsi="Times New Roman" w:cs="Times New Roman"/>
            <w:b/>
            <w:sz w:val="24"/>
            <w:szCs w:val="24"/>
            <w:lang w:val="sk-SK"/>
          </w:rPr>
          <w:t>160 km/h</w:t>
        </w:r>
      </w:smartTag>
      <w:r w:rsidRPr="00405552">
        <w:rPr>
          <w:rFonts w:ascii="Times New Roman" w:hAnsi="Times New Roman" w:cs="Times New Roman"/>
          <w:b/>
          <w:sz w:val="24"/>
          <w:szCs w:val="24"/>
          <w:lang w:val="sk-SK"/>
        </w:rPr>
        <w:t xml:space="preserve"> – II. Etapa – </w:t>
      </w:r>
      <w:r w:rsidR="00026979">
        <w:rPr>
          <w:rFonts w:ascii="Times New Roman" w:hAnsi="Times New Roman" w:cs="Times New Roman"/>
          <w:b/>
          <w:sz w:val="24"/>
          <w:szCs w:val="24"/>
          <w:lang w:val="sk-SK"/>
        </w:rPr>
        <w:t xml:space="preserve">Piešťany – Nové Mesto nad Váhom, </w:t>
      </w:r>
      <w:r w:rsidRPr="00405552">
        <w:rPr>
          <w:rFonts w:ascii="Times New Roman" w:hAnsi="Times New Roman" w:cs="Times New Roman"/>
          <w:b/>
          <w:sz w:val="24"/>
          <w:szCs w:val="24"/>
          <w:lang w:val="sk-SK"/>
        </w:rPr>
        <w:t>na ŽSR</w:t>
      </w:r>
    </w:p>
    <w:p w:rsidR="00026979" w:rsidP="00026979">
      <w:pPr>
        <w:pStyle w:val="List"/>
        <w:spacing w:line="240" w:lineRule="auto"/>
        <w:ind w:left="0" w:firstLine="0"/>
        <w:rPr>
          <w:rFonts w:ascii="Times New Roman" w:hAnsi="Times New Roman" w:cs="Times New Roman"/>
          <w:sz w:val="24"/>
          <w:szCs w:val="24"/>
          <w:lang w:val="sk-SK"/>
        </w:rPr>
      </w:pPr>
    </w:p>
    <w:p w:rsidR="00026979" w:rsidRPr="00405552" w:rsidP="004573C1">
      <w:pPr>
        <w:pStyle w:val="List"/>
        <w:spacing w:line="240" w:lineRule="auto"/>
        <w:ind w:left="0" w:firstLine="709"/>
        <w:rPr>
          <w:rFonts w:ascii="Times New Roman" w:hAnsi="Times New Roman" w:cs="Times New Roman"/>
          <w:sz w:val="24"/>
          <w:szCs w:val="24"/>
          <w:lang w:val="sk-SK"/>
        </w:rPr>
      </w:pPr>
      <w:r>
        <w:rPr>
          <w:rFonts w:ascii="Times New Roman" w:hAnsi="Times New Roman" w:cs="Times New Roman"/>
          <w:sz w:val="24"/>
          <w:szCs w:val="24"/>
          <w:lang w:val="sk-SK"/>
        </w:rPr>
        <w:t>V</w:t>
      </w:r>
      <w:r w:rsidRPr="00405552" w:rsidR="00405552">
        <w:rPr>
          <w:rFonts w:ascii="Times New Roman" w:hAnsi="Times New Roman" w:cs="Times New Roman"/>
          <w:sz w:val="24"/>
          <w:szCs w:val="24"/>
          <w:lang w:val="sk-SK"/>
        </w:rPr>
        <w:t>zorkovou kontrolou bolo v 2 prípadoch zistené nedodržanie termínu na vypracovanie a predloženie žiadosti o platbu na SORO a SOPO/PJ, čím bol porušený interný manuál postupov KP/PP a čl.11 ods.4 a 6 Zmluvy o implementácii a financovaní projektu.</w:t>
      </w:r>
    </w:p>
    <w:p w:rsidR="001221BA" w:rsidRPr="00D81E31" w:rsidP="00EE757E">
      <w:pPr>
        <w:pStyle w:val="BodyTextIndent"/>
        <w:spacing w:line="240" w:lineRule="auto"/>
        <w:rPr>
          <w:rFonts w:ascii="Times New Roman" w:hAnsi="Times New Roman" w:cs="Times New Roman"/>
          <w:sz w:val="24"/>
          <w:szCs w:val="24"/>
        </w:rPr>
      </w:pPr>
      <w:r w:rsidRPr="00D81E31" w:rsidR="00405552">
        <w:rPr>
          <w:rFonts w:ascii="Times New Roman" w:hAnsi="Times New Roman" w:cs="Times New Roman"/>
          <w:sz w:val="24"/>
          <w:szCs w:val="24"/>
        </w:rPr>
        <w:t xml:space="preserve">Na základe výsledkov následnej finančnej kontroly boli prijaté 3 vecné opatrenia </w:t>
        <w:br/>
        <w:t xml:space="preserve">na nápravu zistených nedostatkov a na odstránenie príčin ich vzniku so zameraním </w:t>
        <w:br/>
        <w:t>na oboznámenie zodpovedných zamestnancov so závermi kontroly, na zvýšenie stavu zamestnancov príslušného útvaru KP a na úpravu termínov splatnosti faktúr. Opatrenia na nápravu boli podľa správy o splnení prija</w:t>
      </w:r>
      <w:r w:rsidR="00EE757E">
        <w:rPr>
          <w:rFonts w:ascii="Times New Roman" w:hAnsi="Times New Roman" w:cs="Times New Roman"/>
          <w:sz w:val="24"/>
          <w:szCs w:val="24"/>
        </w:rPr>
        <w:t>tých opatrení splnené 31.1.2008.</w:t>
      </w:r>
    </w:p>
    <w:p w:rsidR="00EE1DEF" w:rsidRPr="002E4468" w:rsidP="00E85BE9">
      <w:pPr>
        <w:pStyle w:val="BodyTextIndent"/>
        <w:numPr>
          <w:ilvl w:val="1"/>
          <w:numId w:val="36"/>
        </w:numPr>
        <w:pBdr>
          <w:top w:val="threeDEmboss" w:sz="24" w:space="1" w:color="auto"/>
          <w:left w:val="threeDEmboss" w:sz="24" w:space="4" w:color="auto"/>
          <w:bottom w:val="threeDEmboss" w:sz="24" w:space="1" w:color="auto"/>
          <w:right w:val="threeDEmboss" w:sz="24" w:space="4" w:color="auto"/>
        </w:pBdr>
        <w:shd w:val="pct15" w:color="000000" w:fill="FFFFFF"/>
        <w:tabs>
          <w:tab w:val="left" w:pos="900"/>
        </w:tabs>
        <w:spacing w:line="240" w:lineRule="auto"/>
        <w:jc w:val="center"/>
        <w:rPr>
          <w:rFonts w:ascii="Times New Roman" w:hAnsi="Times New Roman" w:cs="Times New Roman"/>
          <w:b/>
          <w:sz w:val="32"/>
          <w:szCs w:val="32"/>
        </w:rPr>
      </w:pPr>
      <w:r>
        <w:rPr>
          <w:rFonts w:ascii="Times New Roman" w:hAnsi="Times New Roman" w:cs="Times New Roman"/>
          <w:b/>
          <w:sz w:val="32"/>
          <w:szCs w:val="32"/>
        </w:rPr>
        <w:t>Zhodnotenie majetkovej pozície kapitoly</w:t>
      </w:r>
    </w:p>
    <w:p w:rsidR="001221BA" w:rsidP="00C362EA">
      <w:pPr>
        <w:pStyle w:val="BodyTextIndent3"/>
        <w:spacing w:line="240" w:lineRule="auto"/>
        <w:ind w:firstLine="0"/>
        <w:rPr>
          <w:rFonts w:ascii="Times New Roman" w:hAnsi="Times New Roman" w:cs="Times New Roman"/>
        </w:rPr>
      </w:pPr>
    </w:p>
    <w:p w:rsidR="00EE1DEF" w:rsidRPr="00B97FAA" w:rsidP="00C362EA">
      <w:pPr>
        <w:spacing w:line="240" w:lineRule="auto"/>
        <w:outlineLvl w:val="0"/>
        <w:rPr>
          <w:rFonts w:ascii="Times New Roman" w:hAnsi="Times New Roman" w:cs="Times New Roman"/>
          <w:b/>
          <w:bCs/>
          <w:sz w:val="28"/>
          <w:szCs w:val="28"/>
        </w:rPr>
      </w:pPr>
      <w:r w:rsidRPr="00B97FAA">
        <w:rPr>
          <w:rFonts w:ascii="Times New Roman" w:hAnsi="Times New Roman" w:cs="Times New Roman"/>
          <w:b/>
          <w:bCs/>
          <w:sz w:val="28"/>
          <w:szCs w:val="28"/>
        </w:rPr>
        <w:t>A:</w:t>
      </w:r>
      <w:r w:rsidRPr="00B97FAA">
        <w:rPr>
          <w:rFonts w:ascii="Times New Roman" w:hAnsi="Times New Roman" w:cs="Times New Roman"/>
          <w:b/>
          <w:sz w:val="28"/>
          <w:szCs w:val="28"/>
        </w:rPr>
        <w:t xml:space="preserve"> </w:t>
      </w:r>
      <w:r w:rsidRPr="00B97FAA" w:rsidR="00B97FAA">
        <w:rPr>
          <w:rFonts w:ascii="Times New Roman" w:hAnsi="Times New Roman" w:cs="Times New Roman"/>
          <w:b/>
          <w:sz w:val="28"/>
          <w:szCs w:val="28"/>
        </w:rPr>
        <w:t xml:space="preserve">Zhodnotenie finančno – majetkovej pozície </w:t>
      </w:r>
      <w:r w:rsidRPr="00B97FAA" w:rsidR="00B97FAA">
        <w:rPr>
          <w:rFonts w:ascii="Times New Roman" w:hAnsi="Times New Roman" w:cs="Times New Roman"/>
          <w:b/>
          <w:bCs/>
          <w:sz w:val="28"/>
          <w:szCs w:val="28"/>
        </w:rPr>
        <w:t>Železn</w:t>
      </w:r>
      <w:r w:rsidR="00B97FAA">
        <w:rPr>
          <w:rFonts w:ascii="Times New Roman" w:hAnsi="Times New Roman" w:cs="Times New Roman"/>
          <w:b/>
          <w:bCs/>
          <w:sz w:val="28"/>
          <w:szCs w:val="28"/>
        </w:rPr>
        <w:t xml:space="preserve">íc SR </w:t>
      </w:r>
    </w:p>
    <w:p w:rsidR="001221BA" w:rsidRPr="00D23807" w:rsidP="00C362EA">
      <w:pPr>
        <w:pStyle w:val="BodyText"/>
        <w:pBdr>
          <w:top w:val="none" w:sz="0" w:space="0" w:color="auto"/>
          <w:left w:val="none" w:sz="0" w:space="0" w:color="auto"/>
          <w:bottom w:val="none" w:sz="0" w:space="0" w:color="auto"/>
          <w:right w:val="none" w:sz="0" w:space="0" w:color="auto"/>
        </w:pBdr>
        <w:shd w:val="clear" w:color="auto" w:fill="auto"/>
        <w:spacing w:line="240" w:lineRule="auto"/>
        <w:rPr>
          <w:rFonts w:ascii="Times New Roman" w:hAnsi="Times New Roman" w:cs="Times New Roman"/>
          <w:sz w:val="24"/>
        </w:rPr>
      </w:pPr>
    </w:p>
    <w:p w:rsidR="00B97FAA" w:rsidRPr="00B40A33" w:rsidP="00C362EA">
      <w:pPr>
        <w:pStyle w:val="BodyText2"/>
        <w:spacing w:line="240" w:lineRule="auto"/>
        <w:jc w:val="center"/>
        <w:rPr>
          <w:rFonts w:ascii="Times New Roman" w:hAnsi="Times New Roman" w:cs="Times New Roman"/>
          <w:b/>
          <w:bCs/>
          <w:iCs/>
          <w:szCs w:val="26"/>
          <w:u w:val="single"/>
        </w:rPr>
      </w:pPr>
      <w:r w:rsidRPr="00B40A33">
        <w:rPr>
          <w:rFonts w:ascii="Times New Roman" w:hAnsi="Times New Roman" w:cs="Times New Roman"/>
          <w:b/>
          <w:bCs/>
          <w:iCs/>
          <w:szCs w:val="26"/>
          <w:u w:val="single"/>
        </w:rPr>
        <w:t xml:space="preserve">Majetková a kapitálová štruktúra Železníc SR </w:t>
      </w:r>
    </w:p>
    <w:p w:rsidR="001221BA" w:rsidRPr="00B97FAA" w:rsidP="00EE757E">
      <w:pPr>
        <w:pStyle w:val="BodyText2"/>
        <w:spacing w:line="240" w:lineRule="auto"/>
        <w:jc w:val="center"/>
        <w:rPr>
          <w:rFonts w:ascii="Times New Roman" w:hAnsi="Times New Roman" w:cs="Times New Roman"/>
          <w:sz w:val="24"/>
          <w:szCs w:val="24"/>
        </w:rPr>
      </w:pPr>
      <w:r w:rsidRPr="00B97FAA" w:rsidR="00B97FAA">
        <w:rPr>
          <w:rFonts w:ascii="Times New Roman" w:hAnsi="Times New Roman" w:cs="Times New Roman"/>
          <w:bCs/>
          <w:iCs/>
          <w:sz w:val="24"/>
          <w:szCs w:val="24"/>
        </w:rPr>
        <w:t xml:space="preserve">(spracovaná k </w:t>
      </w:r>
      <w:r w:rsidR="008B6BC6">
        <w:rPr>
          <w:rFonts w:ascii="Times New Roman" w:hAnsi="Times New Roman" w:cs="Times New Roman"/>
          <w:sz w:val="24"/>
          <w:szCs w:val="24"/>
        </w:rPr>
        <w:t>31.12.2007</w:t>
      </w:r>
      <w:r w:rsidR="00B97FAA">
        <w:rPr>
          <w:rFonts w:ascii="Times New Roman" w:hAnsi="Times New Roman" w:cs="Times New Roman"/>
          <w:sz w:val="24"/>
          <w:szCs w:val="24"/>
        </w:rPr>
        <w:t xml:space="preserve"> </w:t>
      </w:r>
      <w:r w:rsidRPr="00B97FAA" w:rsidR="00B97FAA">
        <w:rPr>
          <w:rFonts w:ascii="Times New Roman" w:hAnsi="Times New Roman" w:cs="Times New Roman"/>
          <w:sz w:val="24"/>
          <w:szCs w:val="24"/>
        </w:rPr>
        <w:t>z</w:t>
      </w:r>
      <w:r w:rsidR="008B6BC6">
        <w:rPr>
          <w:rFonts w:ascii="Times New Roman" w:hAnsi="Times New Roman" w:cs="Times New Roman"/>
          <w:sz w:val="24"/>
          <w:szCs w:val="24"/>
        </w:rPr>
        <w:t xml:space="preserve"> tretích </w:t>
      </w:r>
      <w:r w:rsidRPr="00B97FAA" w:rsidR="00B97FAA">
        <w:rPr>
          <w:rFonts w:ascii="Times New Roman" w:hAnsi="Times New Roman" w:cs="Times New Roman"/>
          <w:sz w:val="24"/>
          <w:szCs w:val="24"/>
        </w:rPr>
        <w:t>predbežných výsledkov)</w:t>
      </w:r>
    </w:p>
    <w:tbl>
      <w:tblPr>
        <w:tblW w:w="10076" w:type="dxa"/>
        <w:jc w:val="center"/>
        <w:tblCellMar>
          <w:left w:w="70" w:type="dxa"/>
          <w:right w:w="70" w:type="dxa"/>
        </w:tblCellMar>
      </w:tblPr>
      <w:tblGrid>
        <w:gridCol w:w="2980"/>
        <w:gridCol w:w="1180"/>
        <w:gridCol w:w="1180"/>
        <w:gridCol w:w="1180"/>
        <w:gridCol w:w="1180"/>
        <w:gridCol w:w="1180"/>
        <w:gridCol w:w="1196"/>
      </w:tblGrid>
      <w:tr>
        <w:tblPrEx>
          <w:tblW w:w="10076" w:type="dxa"/>
          <w:jc w:val="center"/>
          <w:tblCellMar>
            <w:left w:w="70" w:type="dxa"/>
            <w:right w:w="70" w:type="dxa"/>
          </w:tblCellMar>
        </w:tblPrEx>
        <w:trPr>
          <w:trHeight w:val="270"/>
          <w:jc w:val="center"/>
        </w:trPr>
        <w:tc>
          <w:tcPr>
            <w:tcW w:w="2980" w:type="dxa"/>
            <w:tcBorders>
              <w:top w:val="nil"/>
              <w:left w:val="nil"/>
              <w:bottom w:val="single" w:sz="4" w:space="0" w:color="auto"/>
              <w:right w:val="nil"/>
              <w:tl2br w:val="nil"/>
              <w:tr2bl w:val="nil"/>
            </w:tcBorders>
            <w:noWrap/>
            <w:textDirection w:val="lrTb"/>
            <w:vAlign w:val="center"/>
          </w:tcPr>
          <w:p w:rsidR="0004453F" w:rsidP="00C362EA">
            <w:pPr>
              <w:spacing w:line="240" w:lineRule="auto"/>
              <w:rPr>
                <w:rFonts w:ascii="Times New Roman" w:hAnsi="Times New Roman" w:cs="Times New Roman"/>
                <w:sz w:val="16"/>
                <w:szCs w:val="16"/>
              </w:rPr>
            </w:pPr>
          </w:p>
          <w:p w:rsidR="00B97FAA" w:rsidP="00C362EA">
            <w:pPr>
              <w:spacing w:line="240" w:lineRule="auto"/>
              <w:rPr>
                <w:rFonts w:ascii="Times New Roman" w:hAnsi="Times New Roman" w:cs="Times New Roman"/>
                <w:sz w:val="16"/>
                <w:szCs w:val="16"/>
              </w:rPr>
            </w:pPr>
          </w:p>
        </w:tc>
        <w:tc>
          <w:tcPr>
            <w:tcW w:w="1180" w:type="dxa"/>
            <w:tcBorders>
              <w:top w:val="nil"/>
              <w:left w:val="nil"/>
              <w:bottom w:val="single" w:sz="4" w:space="0" w:color="auto"/>
              <w:right w:val="nil"/>
              <w:tl2br w:val="nil"/>
              <w:tr2bl w:val="nil"/>
            </w:tcBorders>
            <w:noWrap/>
            <w:textDirection w:val="lrTb"/>
            <w:vAlign w:val="center"/>
          </w:tcPr>
          <w:p w:rsidR="00B97FAA" w:rsidP="00C362EA">
            <w:pPr>
              <w:spacing w:line="240" w:lineRule="auto"/>
              <w:rPr>
                <w:rFonts w:ascii="Times New Roman" w:hAnsi="Times New Roman" w:cs="Times New Roman"/>
                <w:sz w:val="16"/>
                <w:szCs w:val="16"/>
              </w:rPr>
            </w:pPr>
          </w:p>
        </w:tc>
        <w:tc>
          <w:tcPr>
            <w:tcW w:w="1180" w:type="dxa"/>
            <w:tcBorders>
              <w:top w:val="nil"/>
              <w:left w:val="nil"/>
              <w:bottom w:val="single" w:sz="4" w:space="0" w:color="auto"/>
              <w:right w:val="nil"/>
              <w:tl2br w:val="nil"/>
              <w:tr2bl w:val="nil"/>
            </w:tcBorders>
            <w:noWrap/>
            <w:textDirection w:val="lrTb"/>
            <w:vAlign w:val="center"/>
          </w:tcPr>
          <w:p w:rsidR="00B97FAA" w:rsidP="00C362EA">
            <w:pPr>
              <w:spacing w:line="240" w:lineRule="auto"/>
              <w:rPr>
                <w:rFonts w:ascii="Times New Roman" w:hAnsi="Times New Roman" w:cs="Times New Roman"/>
                <w:sz w:val="16"/>
                <w:szCs w:val="16"/>
              </w:rPr>
            </w:pPr>
          </w:p>
        </w:tc>
        <w:tc>
          <w:tcPr>
            <w:tcW w:w="1180" w:type="dxa"/>
            <w:tcBorders>
              <w:top w:val="nil"/>
              <w:left w:val="nil"/>
              <w:bottom w:val="single" w:sz="4" w:space="0" w:color="auto"/>
              <w:right w:val="nil"/>
              <w:tl2br w:val="nil"/>
              <w:tr2bl w:val="nil"/>
            </w:tcBorders>
            <w:noWrap/>
            <w:textDirection w:val="lrTb"/>
            <w:vAlign w:val="center"/>
          </w:tcPr>
          <w:p w:rsidR="00B97FAA" w:rsidP="00C362EA">
            <w:pPr>
              <w:spacing w:line="240" w:lineRule="auto"/>
              <w:rPr>
                <w:rFonts w:ascii="Times New Roman" w:hAnsi="Times New Roman" w:cs="Times New Roman"/>
                <w:sz w:val="16"/>
                <w:szCs w:val="16"/>
              </w:rPr>
            </w:pPr>
          </w:p>
        </w:tc>
        <w:tc>
          <w:tcPr>
            <w:tcW w:w="1180" w:type="dxa"/>
            <w:tcBorders>
              <w:top w:val="nil"/>
              <w:left w:val="nil"/>
              <w:bottom w:val="single" w:sz="4" w:space="0" w:color="auto"/>
              <w:right w:val="nil"/>
              <w:tl2br w:val="nil"/>
              <w:tr2bl w:val="nil"/>
            </w:tcBorders>
            <w:noWrap/>
            <w:textDirection w:val="lrTb"/>
            <w:vAlign w:val="center"/>
          </w:tcPr>
          <w:p w:rsidR="00B97FAA" w:rsidP="00C362EA">
            <w:pPr>
              <w:spacing w:line="240" w:lineRule="auto"/>
              <w:rPr>
                <w:rFonts w:ascii="Times New Roman" w:hAnsi="Times New Roman" w:cs="Times New Roman"/>
                <w:sz w:val="16"/>
                <w:szCs w:val="16"/>
              </w:rPr>
            </w:pPr>
          </w:p>
        </w:tc>
        <w:tc>
          <w:tcPr>
            <w:tcW w:w="1180" w:type="dxa"/>
            <w:tcBorders>
              <w:top w:val="nil"/>
              <w:left w:val="nil"/>
              <w:bottom w:val="single" w:sz="4" w:space="0" w:color="auto"/>
              <w:right w:val="nil"/>
              <w:tl2br w:val="nil"/>
              <w:tr2bl w:val="nil"/>
            </w:tcBorders>
            <w:noWrap/>
            <w:textDirection w:val="lrTb"/>
            <w:vAlign w:val="center"/>
          </w:tcPr>
          <w:p w:rsidR="00B97FAA" w:rsidP="00C362EA">
            <w:pPr>
              <w:spacing w:line="240" w:lineRule="auto"/>
              <w:rPr>
                <w:rFonts w:ascii="Times New Roman" w:hAnsi="Times New Roman" w:cs="Times New Roman"/>
                <w:sz w:val="16"/>
                <w:szCs w:val="16"/>
              </w:rPr>
            </w:pPr>
          </w:p>
        </w:tc>
        <w:tc>
          <w:tcPr>
            <w:tcW w:w="1196" w:type="dxa"/>
            <w:tcBorders>
              <w:top w:val="nil"/>
              <w:left w:val="nil"/>
              <w:bottom w:val="single" w:sz="4" w:space="0" w:color="auto"/>
              <w:right w:val="nil"/>
              <w:tl2br w:val="nil"/>
              <w:tr2bl w:val="nil"/>
            </w:tcBorders>
            <w:noWrap/>
            <w:textDirection w:val="lrTb"/>
            <w:vAlign w:val="center"/>
          </w:tcPr>
          <w:p w:rsidR="00B97FAA" w:rsidP="00C362EA">
            <w:pPr>
              <w:spacing w:line="240" w:lineRule="auto"/>
              <w:jc w:val="right"/>
              <w:rPr>
                <w:rFonts w:ascii="Times New Roman" w:hAnsi="Times New Roman" w:cs="Times New Roman"/>
              </w:rPr>
            </w:pPr>
            <w:r>
              <w:rPr>
                <w:rFonts w:ascii="Times New Roman" w:hAnsi="Times New Roman" w:cs="Times New Roman"/>
              </w:rPr>
              <w:t>(v tis. Sk)</w:t>
            </w:r>
          </w:p>
        </w:tc>
      </w:tr>
      <w:tr>
        <w:tblPrEx>
          <w:tblW w:w="10076" w:type="dxa"/>
          <w:jc w:val="center"/>
          <w:tblCellMar>
            <w:left w:w="70" w:type="dxa"/>
            <w:right w:w="70" w:type="dxa"/>
          </w:tblCellMar>
        </w:tblPrEx>
        <w:trPr>
          <w:trHeight w:val="585"/>
          <w:jc w:val="center"/>
        </w:trPr>
        <w:tc>
          <w:tcPr>
            <w:tcW w:w="2980" w:type="dxa"/>
            <w:tcBorders>
              <w:top w:val="single" w:sz="4" w:space="0" w:color="auto"/>
              <w:left w:val="single" w:sz="4" w:space="0" w:color="auto"/>
              <w:bottom w:val="single" w:sz="4" w:space="0" w:color="auto"/>
              <w:right w:val="single" w:sz="4" w:space="0" w:color="auto"/>
              <w:tl2br w:val="nil"/>
              <w:tr2bl w:val="nil"/>
            </w:tcBorders>
            <w:shd w:val="clear" w:color="auto" w:fill="C0C0C0"/>
            <w:noWrap/>
            <w:textDirection w:val="lrTb"/>
            <w:vAlign w:val="center"/>
          </w:tcPr>
          <w:p w:rsidR="00B97FAA" w:rsidP="00C362EA">
            <w:pPr>
              <w:spacing w:line="240" w:lineRule="auto"/>
              <w:jc w:val="center"/>
              <w:rPr>
                <w:rFonts w:ascii="Times New Roman" w:hAnsi="Times New Roman" w:cs="Times New Roman"/>
                <w:b/>
                <w:bCs/>
              </w:rPr>
            </w:pPr>
            <w:r>
              <w:rPr>
                <w:rFonts w:ascii="Times New Roman" w:hAnsi="Times New Roman" w:cs="Times New Roman"/>
                <w:b/>
                <w:bCs/>
              </w:rPr>
              <w:t> </w:t>
            </w:r>
          </w:p>
        </w:tc>
        <w:tc>
          <w:tcPr>
            <w:tcW w:w="1180" w:type="dxa"/>
            <w:tcBorders>
              <w:top w:val="single" w:sz="4" w:space="0" w:color="auto"/>
              <w:left w:val="nil"/>
              <w:bottom w:val="single" w:sz="4" w:space="0" w:color="auto"/>
              <w:right w:val="nil"/>
              <w:tl2br w:val="nil"/>
              <w:tr2bl w:val="nil"/>
            </w:tcBorders>
            <w:shd w:val="clear" w:color="auto" w:fill="C0C0C0"/>
            <w:textDirection w:val="lrTb"/>
            <w:vAlign w:val="center"/>
          </w:tcPr>
          <w:p w:rsidR="00B97FAA" w:rsidP="00C362EA">
            <w:pPr>
              <w:spacing w:line="240" w:lineRule="auto"/>
              <w:jc w:val="center"/>
              <w:rPr>
                <w:rFonts w:ascii="Times New Roman" w:hAnsi="Times New Roman" w:cs="Times New Roman"/>
                <w:b/>
                <w:bCs/>
              </w:rPr>
            </w:pPr>
            <w:r w:rsidR="008B6BC6">
              <w:rPr>
                <w:rFonts w:ascii="Times New Roman" w:hAnsi="Times New Roman" w:cs="Times New Roman"/>
                <w:b/>
                <w:bCs/>
              </w:rPr>
              <w:t>Stav k 31.12.2006</w:t>
            </w:r>
          </w:p>
        </w:tc>
        <w:tc>
          <w:tcPr>
            <w:tcW w:w="1180" w:type="dxa"/>
            <w:tcBorders>
              <w:top w:val="single" w:sz="4" w:space="0" w:color="auto"/>
              <w:left w:val="single" w:sz="4" w:space="0" w:color="auto"/>
              <w:bottom w:val="single" w:sz="4" w:space="0" w:color="auto"/>
              <w:right w:val="nil"/>
              <w:tl2br w:val="nil"/>
              <w:tr2bl w:val="nil"/>
            </w:tcBorders>
            <w:shd w:val="clear" w:color="auto" w:fill="C0C0C0"/>
            <w:textDirection w:val="lrTb"/>
            <w:vAlign w:val="center"/>
          </w:tcPr>
          <w:p w:rsidR="00B97FAA" w:rsidP="00C362EA">
            <w:pPr>
              <w:spacing w:line="240" w:lineRule="auto"/>
              <w:jc w:val="center"/>
              <w:rPr>
                <w:rFonts w:ascii="Times New Roman" w:hAnsi="Times New Roman" w:cs="Times New Roman"/>
                <w:b/>
                <w:bCs/>
              </w:rPr>
            </w:pPr>
            <w:r w:rsidR="008B6BC6">
              <w:rPr>
                <w:rFonts w:ascii="Times New Roman" w:hAnsi="Times New Roman" w:cs="Times New Roman"/>
                <w:b/>
                <w:bCs/>
              </w:rPr>
              <w:t>Stav k</w:t>
            </w:r>
            <w:r w:rsidR="00EE757E">
              <w:rPr>
                <w:rFonts w:ascii="Times New Roman" w:hAnsi="Times New Roman" w:cs="Times New Roman"/>
                <w:b/>
                <w:bCs/>
              </w:rPr>
              <w:t> </w:t>
            </w:r>
            <w:r w:rsidR="008B6BC6">
              <w:rPr>
                <w:rFonts w:ascii="Times New Roman" w:hAnsi="Times New Roman" w:cs="Times New Roman"/>
                <w:b/>
                <w:bCs/>
              </w:rPr>
              <w:t>31.3.2007</w:t>
            </w:r>
          </w:p>
        </w:tc>
        <w:tc>
          <w:tcPr>
            <w:tcW w:w="1180" w:type="dxa"/>
            <w:tcBorders>
              <w:top w:val="single" w:sz="4" w:space="0" w:color="auto"/>
              <w:left w:val="single" w:sz="4" w:space="0" w:color="auto"/>
              <w:bottom w:val="single" w:sz="4" w:space="0" w:color="auto"/>
              <w:right w:val="nil"/>
              <w:tl2br w:val="nil"/>
              <w:tr2bl w:val="nil"/>
            </w:tcBorders>
            <w:shd w:val="clear" w:color="auto" w:fill="C0C0C0"/>
            <w:textDirection w:val="lrTb"/>
            <w:vAlign w:val="center"/>
          </w:tcPr>
          <w:p w:rsidR="00B97FAA" w:rsidP="00C362EA">
            <w:pPr>
              <w:spacing w:line="240" w:lineRule="auto"/>
              <w:jc w:val="center"/>
              <w:rPr>
                <w:rFonts w:ascii="Times New Roman" w:hAnsi="Times New Roman" w:cs="Times New Roman"/>
                <w:b/>
                <w:bCs/>
              </w:rPr>
            </w:pPr>
            <w:r>
              <w:rPr>
                <w:rFonts w:ascii="Times New Roman" w:hAnsi="Times New Roman" w:cs="Times New Roman"/>
                <w:b/>
                <w:bCs/>
              </w:rPr>
              <w:t>Stav k</w:t>
            </w:r>
            <w:r w:rsidR="00D12F83">
              <w:rPr>
                <w:rFonts w:ascii="Times New Roman" w:hAnsi="Times New Roman" w:cs="Times New Roman"/>
                <w:b/>
                <w:bCs/>
              </w:rPr>
              <w:t> </w:t>
            </w:r>
            <w:r w:rsidR="008B6BC6">
              <w:rPr>
                <w:rFonts w:ascii="Times New Roman" w:hAnsi="Times New Roman" w:cs="Times New Roman"/>
                <w:b/>
                <w:bCs/>
              </w:rPr>
              <w:t>30.6.2007</w:t>
            </w:r>
          </w:p>
        </w:tc>
        <w:tc>
          <w:tcPr>
            <w:tcW w:w="1180" w:type="dxa"/>
            <w:tcBorders>
              <w:top w:val="single" w:sz="4" w:space="0" w:color="auto"/>
              <w:left w:val="single" w:sz="4" w:space="0" w:color="auto"/>
              <w:bottom w:val="single" w:sz="4" w:space="0" w:color="auto"/>
              <w:right w:val="nil"/>
              <w:tl2br w:val="nil"/>
              <w:tr2bl w:val="nil"/>
            </w:tcBorders>
            <w:shd w:val="clear" w:color="auto" w:fill="C0C0C0"/>
            <w:textDirection w:val="lrTb"/>
            <w:vAlign w:val="center"/>
          </w:tcPr>
          <w:p w:rsidR="00B97FAA" w:rsidP="00C362EA">
            <w:pPr>
              <w:spacing w:line="240" w:lineRule="auto"/>
              <w:jc w:val="center"/>
              <w:rPr>
                <w:rFonts w:ascii="Times New Roman" w:hAnsi="Times New Roman" w:cs="Times New Roman"/>
                <w:b/>
                <w:bCs/>
              </w:rPr>
            </w:pPr>
            <w:r w:rsidR="008B6BC6">
              <w:rPr>
                <w:rFonts w:ascii="Times New Roman" w:hAnsi="Times New Roman" w:cs="Times New Roman"/>
                <w:b/>
                <w:bCs/>
              </w:rPr>
              <w:t>Stav k 30.9.2007</w:t>
            </w:r>
          </w:p>
        </w:tc>
        <w:tc>
          <w:tcPr>
            <w:tcW w:w="1180" w:type="dxa"/>
            <w:tcBorders>
              <w:top w:val="single" w:sz="4" w:space="0" w:color="auto"/>
              <w:left w:val="single" w:sz="4" w:space="0" w:color="auto"/>
              <w:bottom w:val="single" w:sz="4" w:space="0" w:color="auto"/>
              <w:right w:val="nil"/>
              <w:tl2br w:val="nil"/>
              <w:tr2bl w:val="nil"/>
            </w:tcBorders>
            <w:shd w:val="clear" w:color="auto" w:fill="C0C0C0"/>
            <w:textDirection w:val="lrTb"/>
            <w:vAlign w:val="center"/>
          </w:tcPr>
          <w:p w:rsidR="00B97FAA" w:rsidP="00C362EA">
            <w:pPr>
              <w:spacing w:line="240" w:lineRule="auto"/>
              <w:jc w:val="center"/>
              <w:rPr>
                <w:rFonts w:ascii="Times New Roman" w:hAnsi="Times New Roman" w:cs="Times New Roman"/>
                <w:b/>
                <w:bCs/>
              </w:rPr>
            </w:pPr>
            <w:r w:rsidR="008B6BC6">
              <w:rPr>
                <w:rFonts w:ascii="Times New Roman" w:hAnsi="Times New Roman" w:cs="Times New Roman"/>
                <w:b/>
                <w:bCs/>
              </w:rPr>
              <w:t>Stav k 31.12.2007</w:t>
            </w:r>
          </w:p>
        </w:tc>
        <w:tc>
          <w:tcPr>
            <w:tcW w:w="1196" w:type="dxa"/>
            <w:tcBorders>
              <w:top w:val="single" w:sz="4" w:space="0" w:color="auto"/>
              <w:left w:val="single" w:sz="4" w:space="0" w:color="auto"/>
              <w:bottom w:val="single" w:sz="4" w:space="0" w:color="auto"/>
              <w:right w:val="single" w:sz="4" w:space="0" w:color="auto"/>
              <w:tl2br w:val="nil"/>
              <w:tr2bl w:val="nil"/>
            </w:tcBorders>
            <w:shd w:val="clear" w:color="auto" w:fill="C0C0C0"/>
            <w:textDirection w:val="lrTb"/>
            <w:vAlign w:val="center"/>
          </w:tcPr>
          <w:p w:rsidR="00B97FAA" w:rsidP="00C362EA">
            <w:pPr>
              <w:spacing w:line="240" w:lineRule="auto"/>
              <w:jc w:val="center"/>
              <w:rPr>
                <w:rFonts w:ascii="Times New Roman" w:hAnsi="Times New Roman" w:cs="Times New Roman"/>
                <w:b/>
                <w:bCs/>
              </w:rPr>
            </w:pPr>
            <w:r>
              <w:rPr>
                <w:rFonts w:ascii="Times New Roman" w:hAnsi="Times New Roman" w:cs="Times New Roman"/>
                <w:b/>
                <w:bCs/>
              </w:rPr>
              <w:t>Rozdiel</w:t>
            </w:r>
          </w:p>
        </w:tc>
      </w:tr>
      <w:tr>
        <w:tblPrEx>
          <w:tblW w:w="10076" w:type="dxa"/>
          <w:jc w:val="center"/>
          <w:tblCellMar>
            <w:left w:w="70" w:type="dxa"/>
            <w:right w:w="70" w:type="dxa"/>
          </w:tblCellMar>
        </w:tblPrEx>
        <w:trPr>
          <w:trHeight w:val="255"/>
          <w:jc w:val="center"/>
        </w:trPr>
        <w:tc>
          <w:tcPr>
            <w:tcW w:w="2980" w:type="dxa"/>
            <w:tcBorders>
              <w:top w:val="single" w:sz="4" w:space="0" w:color="auto"/>
              <w:left w:val="single" w:sz="4" w:space="0" w:color="auto"/>
              <w:bottom w:val="single" w:sz="4" w:space="0" w:color="auto"/>
              <w:right w:val="single" w:sz="4" w:space="0" w:color="auto"/>
              <w:tl2br w:val="nil"/>
              <w:tr2bl w:val="nil"/>
            </w:tcBorders>
            <w:shd w:val="clear" w:color="auto" w:fill="C0C0C0"/>
            <w:noWrap/>
            <w:textDirection w:val="lrTb"/>
            <w:vAlign w:val="center"/>
          </w:tcPr>
          <w:p w:rsidR="00B97FAA" w:rsidP="00C362EA">
            <w:pPr>
              <w:spacing w:line="240" w:lineRule="auto"/>
              <w:rPr>
                <w:rFonts w:ascii="Times New Roman" w:hAnsi="Times New Roman" w:cs="Times New Roman"/>
                <w:b/>
                <w:bCs/>
              </w:rPr>
            </w:pPr>
            <w:r w:rsidR="00EE757E">
              <w:rPr>
                <w:rFonts w:ascii="Times New Roman" w:hAnsi="Times New Roman" w:cs="Times New Roman"/>
                <w:b/>
                <w:bCs/>
              </w:rPr>
              <w:t>AKTÍVA</w:t>
            </w:r>
          </w:p>
        </w:tc>
        <w:tc>
          <w:tcPr>
            <w:tcW w:w="1180" w:type="dxa"/>
            <w:tcBorders>
              <w:top w:val="single" w:sz="4" w:space="0" w:color="auto"/>
              <w:left w:val="nil"/>
              <w:bottom w:val="single" w:sz="4" w:space="0" w:color="auto"/>
              <w:right w:val="nil"/>
              <w:tl2br w:val="nil"/>
              <w:tr2bl w:val="nil"/>
            </w:tcBorders>
            <w:shd w:val="clear" w:color="auto" w:fill="C0C0C0"/>
            <w:noWrap/>
            <w:textDirection w:val="lrTb"/>
            <w:vAlign w:val="center"/>
          </w:tcPr>
          <w:p w:rsidR="00B97FAA" w:rsidP="00C362EA">
            <w:pPr>
              <w:spacing w:line="240" w:lineRule="auto"/>
              <w:jc w:val="right"/>
              <w:rPr>
                <w:rFonts w:ascii="Times New Roman" w:hAnsi="Times New Roman" w:cs="Times New Roman"/>
                <w:b/>
                <w:bCs/>
              </w:rPr>
            </w:pPr>
            <w:r w:rsidR="008B6BC6">
              <w:rPr>
                <w:rFonts w:ascii="Times New Roman" w:hAnsi="Times New Roman" w:cs="Times New Roman"/>
                <w:b/>
                <w:bCs/>
              </w:rPr>
              <w:t>68 885 997</w:t>
            </w:r>
          </w:p>
        </w:tc>
        <w:tc>
          <w:tcPr>
            <w:tcW w:w="1180" w:type="dxa"/>
            <w:tcBorders>
              <w:top w:val="single" w:sz="4" w:space="0" w:color="auto"/>
              <w:left w:val="single" w:sz="4" w:space="0" w:color="auto"/>
              <w:bottom w:val="single" w:sz="4" w:space="0" w:color="auto"/>
              <w:right w:val="nil"/>
              <w:tl2br w:val="nil"/>
              <w:tr2bl w:val="nil"/>
            </w:tcBorders>
            <w:shd w:val="clear" w:color="auto" w:fill="C0C0C0"/>
            <w:noWrap/>
            <w:textDirection w:val="lrTb"/>
            <w:vAlign w:val="center"/>
          </w:tcPr>
          <w:p w:rsidR="00B97FAA" w:rsidP="00C362EA">
            <w:pPr>
              <w:spacing w:line="240" w:lineRule="auto"/>
              <w:jc w:val="right"/>
              <w:rPr>
                <w:rFonts w:ascii="Times New Roman" w:hAnsi="Times New Roman" w:cs="Times New Roman"/>
                <w:b/>
                <w:bCs/>
              </w:rPr>
            </w:pPr>
            <w:r w:rsidR="008B6BC6">
              <w:rPr>
                <w:rFonts w:ascii="Times New Roman" w:hAnsi="Times New Roman" w:cs="Times New Roman"/>
                <w:b/>
                <w:bCs/>
              </w:rPr>
              <w:t>68 675 282</w:t>
            </w:r>
          </w:p>
        </w:tc>
        <w:tc>
          <w:tcPr>
            <w:tcW w:w="1180" w:type="dxa"/>
            <w:tcBorders>
              <w:top w:val="single" w:sz="4" w:space="0" w:color="auto"/>
              <w:left w:val="single" w:sz="4" w:space="0" w:color="auto"/>
              <w:bottom w:val="single" w:sz="4" w:space="0" w:color="auto"/>
              <w:right w:val="nil"/>
              <w:tl2br w:val="nil"/>
              <w:tr2bl w:val="nil"/>
            </w:tcBorders>
            <w:shd w:val="clear" w:color="auto" w:fill="C0C0C0"/>
            <w:noWrap/>
            <w:textDirection w:val="lrTb"/>
            <w:vAlign w:val="center"/>
          </w:tcPr>
          <w:p w:rsidR="00B97FAA" w:rsidP="00C362EA">
            <w:pPr>
              <w:spacing w:line="240" w:lineRule="auto"/>
              <w:jc w:val="right"/>
              <w:rPr>
                <w:rFonts w:ascii="Times New Roman" w:hAnsi="Times New Roman" w:cs="Times New Roman"/>
                <w:b/>
                <w:bCs/>
              </w:rPr>
            </w:pPr>
            <w:r w:rsidR="008B6BC6">
              <w:rPr>
                <w:rFonts w:ascii="Times New Roman" w:hAnsi="Times New Roman" w:cs="Times New Roman"/>
                <w:b/>
                <w:bCs/>
              </w:rPr>
              <w:t>70 304 848</w:t>
            </w:r>
          </w:p>
        </w:tc>
        <w:tc>
          <w:tcPr>
            <w:tcW w:w="1180" w:type="dxa"/>
            <w:tcBorders>
              <w:top w:val="single" w:sz="4" w:space="0" w:color="auto"/>
              <w:left w:val="single" w:sz="4" w:space="0" w:color="auto"/>
              <w:bottom w:val="single" w:sz="4" w:space="0" w:color="auto"/>
              <w:right w:val="nil"/>
              <w:tl2br w:val="nil"/>
              <w:tr2bl w:val="nil"/>
            </w:tcBorders>
            <w:shd w:val="clear" w:color="auto" w:fill="C0C0C0"/>
            <w:noWrap/>
            <w:textDirection w:val="lrTb"/>
            <w:vAlign w:val="center"/>
          </w:tcPr>
          <w:p w:rsidR="00B97FAA" w:rsidP="00C362EA">
            <w:pPr>
              <w:spacing w:line="240" w:lineRule="auto"/>
              <w:jc w:val="right"/>
              <w:rPr>
                <w:rFonts w:ascii="Times New Roman" w:hAnsi="Times New Roman" w:cs="Times New Roman"/>
                <w:b/>
                <w:bCs/>
              </w:rPr>
            </w:pPr>
            <w:r w:rsidR="008B6BC6">
              <w:rPr>
                <w:rFonts w:ascii="Times New Roman" w:hAnsi="Times New Roman" w:cs="Times New Roman"/>
                <w:b/>
                <w:bCs/>
              </w:rPr>
              <w:t>72 525 550</w:t>
            </w:r>
          </w:p>
        </w:tc>
        <w:tc>
          <w:tcPr>
            <w:tcW w:w="1180" w:type="dxa"/>
            <w:tcBorders>
              <w:top w:val="single" w:sz="4" w:space="0" w:color="auto"/>
              <w:left w:val="single" w:sz="4" w:space="0" w:color="auto"/>
              <w:bottom w:val="single" w:sz="4" w:space="0" w:color="auto"/>
              <w:right w:val="nil"/>
              <w:tl2br w:val="nil"/>
              <w:tr2bl w:val="nil"/>
            </w:tcBorders>
            <w:shd w:val="clear" w:color="auto" w:fill="C0C0C0"/>
            <w:noWrap/>
            <w:textDirection w:val="lrTb"/>
            <w:vAlign w:val="center"/>
          </w:tcPr>
          <w:p w:rsidR="00B97FAA" w:rsidP="00C362EA">
            <w:pPr>
              <w:spacing w:line="240" w:lineRule="auto"/>
              <w:jc w:val="right"/>
              <w:rPr>
                <w:rFonts w:ascii="Times New Roman" w:hAnsi="Times New Roman" w:cs="Times New Roman"/>
                <w:b/>
                <w:bCs/>
              </w:rPr>
            </w:pPr>
            <w:r w:rsidR="008B6BC6">
              <w:rPr>
                <w:rFonts w:ascii="Times New Roman" w:hAnsi="Times New Roman" w:cs="Times New Roman"/>
                <w:b/>
                <w:bCs/>
              </w:rPr>
              <w:t>76 393 491</w:t>
            </w:r>
          </w:p>
        </w:tc>
        <w:tc>
          <w:tcPr>
            <w:tcW w:w="1196" w:type="dxa"/>
            <w:tcBorders>
              <w:top w:val="single" w:sz="4" w:space="0" w:color="auto"/>
              <w:left w:val="single" w:sz="4" w:space="0" w:color="auto"/>
              <w:bottom w:val="single" w:sz="4" w:space="0" w:color="auto"/>
              <w:right w:val="single" w:sz="4" w:space="0" w:color="auto"/>
              <w:tl2br w:val="nil"/>
              <w:tr2bl w:val="nil"/>
            </w:tcBorders>
            <w:shd w:val="clear" w:color="auto" w:fill="C0C0C0"/>
            <w:noWrap/>
            <w:textDirection w:val="lrTb"/>
            <w:vAlign w:val="center"/>
          </w:tcPr>
          <w:p w:rsidR="00B97FAA" w:rsidP="00C362EA">
            <w:pPr>
              <w:spacing w:line="240" w:lineRule="auto"/>
              <w:jc w:val="right"/>
              <w:rPr>
                <w:rFonts w:ascii="Times New Roman" w:hAnsi="Times New Roman" w:cs="Times New Roman"/>
                <w:b/>
                <w:bCs/>
              </w:rPr>
            </w:pPr>
            <w:r w:rsidR="008B6BC6">
              <w:rPr>
                <w:rFonts w:ascii="Times New Roman" w:hAnsi="Times New Roman" w:cs="Times New Roman"/>
                <w:b/>
                <w:bCs/>
              </w:rPr>
              <w:t>7 507 494</w:t>
            </w:r>
          </w:p>
        </w:tc>
      </w:tr>
      <w:tr>
        <w:tblPrEx>
          <w:tblW w:w="10076" w:type="dxa"/>
          <w:jc w:val="center"/>
          <w:tblCellMar>
            <w:left w:w="70" w:type="dxa"/>
            <w:right w:w="70" w:type="dxa"/>
          </w:tblCellMar>
        </w:tblPrEx>
        <w:trPr>
          <w:trHeight w:hRule="exact" w:val="227"/>
          <w:jc w:val="center"/>
        </w:trPr>
        <w:tc>
          <w:tcPr>
            <w:tcW w:w="298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B97FAA" w:rsidP="00C362EA">
            <w:pPr>
              <w:spacing w:line="240" w:lineRule="auto"/>
              <w:rPr>
                <w:rFonts w:ascii="Times New Roman" w:hAnsi="Times New Roman" w:cs="Times New Roman"/>
                <w:b/>
                <w:bCs/>
              </w:rPr>
            </w:pPr>
            <w:r>
              <w:rPr>
                <w:rFonts w:ascii="Times New Roman" w:hAnsi="Times New Roman" w:cs="Times New Roman"/>
                <w:b/>
                <w:bCs/>
              </w:rPr>
              <w:t>Neobežný majetok</w:t>
            </w:r>
          </w:p>
        </w:tc>
        <w:tc>
          <w:tcPr>
            <w:tcW w:w="1180" w:type="dxa"/>
            <w:tcBorders>
              <w:top w:val="single" w:sz="4" w:space="0" w:color="auto"/>
              <w:left w:val="nil"/>
              <w:bottom w:val="single" w:sz="4" w:space="0" w:color="auto"/>
              <w:right w:val="single" w:sz="4" w:space="0" w:color="auto"/>
              <w:tl2br w:val="nil"/>
              <w:tr2bl w:val="nil"/>
            </w:tcBorders>
            <w:noWrap/>
            <w:textDirection w:val="lrTb"/>
            <w:vAlign w:val="center"/>
          </w:tcPr>
          <w:p w:rsidR="00B97FAA" w:rsidP="00C362EA">
            <w:pPr>
              <w:spacing w:line="240" w:lineRule="auto"/>
              <w:jc w:val="right"/>
              <w:rPr>
                <w:rFonts w:ascii="Times New Roman" w:hAnsi="Times New Roman" w:cs="Times New Roman"/>
                <w:b/>
                <w:bCs/>
              </w:rPr>
            </w:pPr>
            <w:r w:rsidR="008B6BC6">
              <w:rPr>
                <w:rFonts w:ascii="Times New Roman" w:hAnsi="Times New Roman" w:cs="Times New Roman"/>
                <w:b/>
                <w:bCs/>
              </w:rPr>
              <w:t>65 642 488</w:t>
            </w:r>
          </w:p>
        </w:tc>
        <w:tc>
          <w:tcPr>
            <w:tcW w:w="1180" w:type="dxa"/>
            <w:tcBorders>
              <w:top w:val="single" w:sz="4" w:space="0" w:color="auto"/>
              <w:left w:val="nil"/>
              <w:bottom w:val="single" w:sz="4" w:space="0" w:color="auto"/>
              <w:right w:val="single" w:sz="4" w:space="0" w:color="auto"/>
              <w:tl2br w:val="nil"/>
              <w:tr2bl w:val="nil"/>
            </w:tcBorders>
            <w:noWrap/>
            <w:textDirection w:val="lrTb"/>
            <w:vAlign w:val="center"/>
          </w:tcPr>
          <w:p w:rsidR="00B97FAA" w:rsidP="00C362EA">
            <w:pPr>
              <w:spacing w:line="240" w:lineRule="auto"/>
              <w:jc w:val="right"/>
              <w:rPr>
                <w:rFonts w:ascii="Times New Roman" w:hAnsi="Times New Roman" w:cs="Times New Roman"/>
                <w:b/>
                <w:bCs/>
              </w:rPr>
            </w:pPr>
            <w:r w:rsidR="008B6BC6">
              <w:rPr>
                <w:rFonts w:ascii="Times New Roman" w:hAnsi="Times New Roman" w:cs="Times New Roman"/>
                <w:b/>
                <w:bCs/>
              </w:rPr>
              <w:t>65 468 272</w:t>
            </w:r>
          </w:p>
        </w:tc>
        <w:tc>
          <w:tcPr>
            <w:tcW w:w="1180" w:type="dxa"/>
            <w:tcBorders>
              <w:top w:val="single" w:sz="4" w:space="0" w:color="auto"/>
              <w:left w:val="nil"/>
              <w:bottom w:val="single" w:sz="4" w:space="0" w:color="auto"/>
              <w:right w:val="single" w:sz="4" w:space="0" w:color="auto"/>
              <w:tl2br w:val="nil"/>
              <w:tr2bl w:val="nil"/>
            </w:tcBorders>
            <w:noWrap/>
            <w:textDirection w:val="lrTb"/>
            <w:vAlign w:val="center"/>
          </w:tcPr>
          <w:p w:rsidR="00B97FAA" w:rsidP="00C362EA">
            <w:pPr>
              <w:spacing w:line="240" w:lineRule="auto"/>
              <w:jc w:val="right"/>
              <w:rPr>
                <w:rFonts w:ascii="Times New Roman" w:hAnsi="Times New Roman" w:cs="Times New Roman"/>
                <w:b/>
                <w:bCs/>
              </w:rPr>
            </w:pPr>
            <w:r w:rsidR="008B6BC6">
              <w:rPr>
                <w:rFonts w:ascii="Times New Roman" w:hAnsi="Times New Roman" w:cs="Times New Roman"/>
                <w:b/>
                <w:bCs/>
              </w:rPr>
              <w:t>66 710 742</w:t>
            </w:r>
          </w:p>
        </w:tc>
        <w:tc>
          <w:tcPr>
            <w:tcW w:w="1180" w:type="dxa"/>
            <w:tcBorders>
              <w:top w:val="single" w:sz="4" w:space="0" w:color="auto"/>
              <w:left w:val="nil"/>
              <w:bottom w:val="single" w:sz="4" w:space="0" w:color="auto"/>
              <w:right w:val="single" w:sz="4" w:space="0" w:color="auto"/>
              <w:tl2br w:val="nil"/>
              <w:tr2bl w:val="nil"/>
            </w:tcBorders>
            <w:noWrap/>
            <w:textDirection w:val="lrTb"/>
            <w:vAlign w:val="center"/>
          </w:tcPr>
          <w:p w:rsidR="00B97FAA" w:rsidP="00C362EA">
            <w:pPr>
              <w:spacing w:line="240" w:lineRule="auto"/>
              <w:jc w:val="right"/>
              <w:rPr>
                <w:rFonts w:ascii="Times New Roman" w:hAnsi="Times New Roman" w:cs="Times New Roman"/>
                <w:b/>
                <w:bCs/>
              </w:rPr>
            </w:pPr>
            <w:r w:rsidR="008B6BC6">
              <w:rPr>
                <w:rFonts w:ascii="Times New Roman" w:hAnsi="Times New Roman" w:cs="Times New Roman"/>
                <w:b/>
                <w:bCs/>
              </w:rPr>
              <w:t>68 315 797</w:t>
            </w:r>
          </w:p>
        </w:tc>
        <w:tc>
          <w:tcPr>
            <w:tcW w:w="1180" w:type="dxa"/>
            <w:tcBorders>
              <w:top w:val="single" w:sz="4" w:space="0" w:color="auto"/>
              <w:left w:val="nil"/>
              <w:bottom w:val="single" w:sz="4" w:space="0" w:color="auto"/>
              <w:right w:val="single" w:sz="4" w:space="0" w:color="auto"/>
              <w:tl2br w:val="nil"/>
              <w:tr2bl w:val="nil"/>
            </w:tcBorders>
            <w:noWrap/>
            <w:textDirection w:val="lrTb"/>
            <w:vAlign w:val="center"/>
          </w:tcPr>
          <w:p w:rsidR="00B97FAA" w:rsidP="00C362EA">
            <w:pPr>
              <w:spacing w:line="240" w:lineRule="auto"/>
              <w:jc w:val="right"/>
              <w:rPr>
                <w:rFonts w:ascii="Times New Roman" w:hAnsi="Times New Roman" w:cs="Times New Roman"/>
                <w:b/>
                <w:bCs/>
              </w:rPr>
            </w:pPr>
            <w:r w:rsidR="008B6BC6">
              <w:rPr>
                <w:rFonts w:ascii="Times New Roman" w:hAnsi="Times New Roman" w:cs="Times New Roman"/>
                <w:b/>
                <w:bCs/>
              </w:rPr>
              <w:t>72 866 822</w:t>
            </w:r>
          </w:p>
        </w:tc>
        <w:tc>
          <w:tcPr>
            <w:tcW w:w="1196" w:type="dxa"/>
            <w:tcBorders>
              <w:top w:val="single" w:sz="4" w:space="0" w:color="auto"/>
              <w:left w:val="nil"/>
              <w:bottom w:val="single" w:sz="4" w:space="0" w:color="auto"/>
              <w:right w:val="single" w:sz="4" w:space="0" w:color="auto"/>
              <w:tl2br w:val="nil"/>
              <w:tr2bl w:val="nil"/>
            </w:tcBorders>
            <w:noWrap/>
            <w:textDirection w:val="lrTb"/>
            <w:vAlign w:val="center"/>
          </w:tcPr>
          <w:p w:rsidR="00B97FAA" w:rsidP="00C362EA">
            <w:pPr>
              <w:spacing w:line="240" w:lineRule="auto"/>
              <w:jc w:val="right"/>
              <w:rPr>
                <w:rFonts w:ascii="Times New Roman" w:hAnsi="Times New Roman" w:cs="Times New Roman"/>
                <w:b/>
                <w:bCs/>
              </w:rPr>
            </w:pPr>
            <w:r w:rsidR="008B6BC6">
              <w:rPr>
                <w:rFonts w:ascii="Times New Roman" w:hAnsi="Times New Roman" w:cs="Times New Roman"/>
                <w:b/>
                <w:bCs/>
              </w:rPr>
              <w:t>7 224 334</w:t>
            </w:r>
          </w:p>
        </w:tc>
      </w:tr>
      <w:tr>
        <w:tblPrEx>
          <w:tblW w:w="10076" w:type="dxa"/>
          <w:jc w:val="center"/>
          <w:tblCellMar>
            <w:left w:w="70" w:type="dxa"/>
            <w:right w:w="70" w:type="dxa"/>
          </w:tblCellMar>
        </w:tblPrEx>
        <w:trPr>
          <w:trHeight w:hRule="exact" w:val="227"/>
          <w:jc w:val="center"/>
        </w:trPr>
        <w:tc>
          <w:tcPr>
            <w:tcW w:w="298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B97FAA" w:rsidP="00C362EA">
            <w:pPr>
              <w:spacing w:line="240" w:lineRule="auto"/>
              <w:rPr>
                <w:rFonts w:ascii="Times New Roman" w:hAnsi="Times New Roman" w:cs="Times New Roman"/>
              </w:rPr>
            </w:pPr>
            <w:r>
              <w:rPr>
                <w:rFonts w:ascii="Times New Roman" w:hAnsi="Times New Roman" w:cs="Times New Roman"/>
              </w:rPr>
              <w:t>Dlhodobý nehmotný majetok</w:t>
            </w:r>
          </w:p>
        </w:tc>
        <w:tc>
          <w:tcPr>
            <w:tcW w:w="1180" w:type="dxa"/>
            <w:tcBorders>
              <w:top w:val="single" w:sz="4" w:space="0" w:color="auto"/>
              <w:left w:val="nil"/>
              <w:bottom w:val="single" w:sz="4" w:space="0" w:color="auto"/>
              <w:right w:val="single" w:sz="4" w:space="0" w:color="auto"/>
              <w:tl2br w:val="nil"/>
              <w:tr2bl w:val="nil"/>
            </w:tcBorders>
            <w:noWrap/>
            <w:textDirection w:val="lrTb"/>
            <w:vAlign w:val="center"/>
          </w:tcPr>
          <w:p w:rsidR="00B97FAA" w:rsidP="00C362EA">
            <w:pPr>
              <w:spacing w:line="240" w:lineRule="auto"/>
              <w:jc w:val="right"/>
              <w:rPr>
                <w:rFonts w:ascii="Times New Roman" w:hAnsi="Times New Roman" w:cs="Times New Roman"/>
              </w:rPr>
            </w:pPr>
            <w:r w:rsidR="007403F0">
              <w:rPr>
                <w:rFonts w:ascii="Times New Roman" w:hAnsi="Times New Roman" w:cs="Times New Roman"/>
              </w:rPr>
              <w:t>104 143</w:t>
            </w:r>
          </w:p>
        </w:tc>
        <w:tc>
          <w:tcPr>
            <w:tcW w:w="1180" w:type="dxa"/>
            <w:tcBorders>
              <w:top w:val="single" w:sz="4" w:space="0" w:color="auto"/>
              <w:left w:val="nil"/>
              <w:bottom w:val="single" w:sz="4" w:space="0" w:color="auto"/>
              <w:right w:val="nil"/>
              <w:tl2br w:val="nil"/>
              <w:tr2bl w:val="nil"/>
            </w:tcBorders>
            <w:noWrap/>
            <w:textDirection w:val="lrTb"/>
            <w:vAlign w:val="center"/>
          </w:tcPr>
          <w:p w:rsidR="00B97FAA" w:rsidP="00C362EA">
            <w:pPr>
              <w:spacing w:line="240" w:lineRule="auto"/>
              <w:jc w:val="right"/>
              <w:rPr>
                <w:rFonts w:ascii="Times New Roman" w:hAnsi="Times New Roman" w:cs="Times New Roman"/>
              </w:rPr>
            </w:pPr>
            <w:r w:rsidR="008B6BC6">
              <w:rPr>
                <w:rFonts w:ascii="Times New Roman" w:hAnsi="Times New Roman" w:cs="Times New Roman"/>
              </w:rPr>
              <w:t>95 713</w:t>
            </w:r>
          </w:p>
        </w:tc>
        <w:tc>
          <w:tcPr>
            <w:tcW w:w="1180" w:type="dxa"/>
            <w:tcBorders>
              <w:top w:val="single" w:sz="4" w:space="0" w:color="auto"/>
              <w:left w:val="single" w:sz="4" w:space="0" w:color="auto"/>
              <w:bottom w:val="single" w:sz="4" w:space="0" w:color="auto"/>
              <w:right w:val="nil"/>
              <w:tl2br w:val="nil"/>
              <w:tr2bl w:val="nil"/>
            </w:tcBorders>
            <w:noWrap/>
            <w:textDirection w:val="lrTb"/>
            <w:vAlign w:val="center"/>
          </w:tcPr>
          <w:p w:rsidR="00B97FAA" w:rsidP="00C362EA">
            <w:pPr>
              <w:spacing w:line="240" w:lineRule="auto"/>
              <w:jc w:val="right"/>
              <w:rPr>
                <w:rFonts w:ascii="Times New Roman" w:hAnsi="Times New Roman" w:cs="Times New Roman"/>
              </w:rPr>
            </w:pPr>
            <w:r w:rsidR="008B6BC6">
              <w:rPr>
                <w:rFonts w:ascii="Times New Roman" w:hAnsi="Times New Roman" w:cs="Times New Roman"/>
              </w:rPr>
              <w:t>99 880</w:t>
            </w:r>
          </w:p>
        </w:tc>
        <w:tc>
          <w:tcPr>
            <w:tcW w:w="1180" w:type="dxa"/>
            <w:tcBorders>
              <w:top w:val="single" w:sz="4" w:space="0" w:color="auto"/>
              <w:left w:val="single" w:sz="4" w:space="0" w:color="auto"/>
              <w:bottom w:val="single" w:sz="4" w:space="0" w:color="auto"/>
              <w:right w:val="nil"/>
              <w:tl2br w:val="nil"/>
              <w:tr2bl w:val="nil"/>
            </w:tcBorders>
            <w:noWrap/>
            <w:textDirection w:val="lrTb"/>
            <w:vAlign w:val="center"/>
          </w:tcPr>
          <w:p w:rsidR="00B97FAA" w:rsidP="00C362EA">
            <w:pPr>
              <w:spacing w:line="240" w:lineRule="auto"/>
              <w:jc w:val="right"/>
              <w:rPr>
                <w:rFonts w:ascii="Times New Roman" w:hAnsi="Times New Roman" w:cs="Times New Roman"/>
              </w:rPr>
            </w:pPr>
            <w:r w:rsidR="008B6BC6">
              <w:rPr>
                <w:rFonts w:ascii="Times New Roman" w:hAnsi="Times New Roman" w:cs="Times New Roman"/>
              </w:rPr>
              <w:t>82 824</w:t>
            </w:r>
          </w:p>
        </w:tc>
        <w:tc>
          <w:tcPr>
            <w:tcW w:w="1180" w:type="dxa"/>
            <w:tcBorders>
              <w:top w:val="single" w:sz="4" w:space="0" w:color="auto"/>
              <w:left w:val="single" w:sz="4" w:space="0" w:color="auto"/>
              <w:bottom w:val="single" w:sz="4" w:space="0" w:color="auto"/>
              <w:right w:val="nil"/>
              <w:tl2br w:val="nil"/>
              <w:tr2bl w:val="nil"/>
            </w:tcBorders>
            <w:noWrap/>
            <w:textDirection w:val="lrTb"/>
            <w:vAlign w:val="center"/>
          </w:tcPr>
          <w:p w:rsidR="00B97FAA" w:rsidP="00C362EA">
            <w:pPr>
              <w:spacing w:line="240" w:lineRule="auto"/>
              <w:jc w:val="right"/>
              <w:rPr>
                <w:rFonts w:ascii="Times New Roman" w:hAnsi="Times New Roman" w:cs="Times New Roman"/>
              </w:rPr>
            </w:pPr>
            <w:r w:rsidR="008B6BC6">
              <w:rPr>
                <w:rFonts w:ascii="Times New Roman" w:hAnsi="Times New Roman" w:cs="Times New Roman"/>
              </w:rPr>
              <w:t>137 225</w:t>
            </w:r>
          </w:p>
        </w:tc>
        <w:tc>
          <w:tcPr>
            <w:tcW w:w="1196"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B97FAA" w:rsidP="00C362EA">
            <w:pPr>
              <w:spacing w:line="240" w:lineRule="auto"/>
              <w:jc w:val="right"/>
              <w:rPr>
                <w:rFonts w:ascii="Times New Roman" w:hAnsi="Times New Roman" w:cs="Times New Roman"/>
              </w:rPr>
            </w:pPr>
            <w:r w:rsidR="008B6BC6">
              <w:rPr>
                <w:rFonts w:ascii="Times New Roman" w:hAnsi="Times New Roman" w:cs="Times New Roman"/>
              </w:rPr>
              <w:t>33 082</w:t>
            </w:r>
          </w:p>
        </w:tc>
      </w:tr>
      <w:tr>
        <w:tblPrEx>
          <w:tblW w:w="10076" w:type="dxa"/>
          <w:jc w:val="center"/>
          <w:tblCellMar>
            <w:left w:w="70" w:type="dxa"/>
            <w:right w:w="70" w:type="dxa"/>
          </w:tblCellMar>
        </w:tblPrEx>
        <w:trPr>
          <w:trHeight w:hRule="exact" w:val="227"/>
          <w:jc w:val="center"/>
        </w:trPr>
        <w:tc>
          <w:tcPr>
            <w:tcW w:w="298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B97FAA" w:rsidP="00C362EA">
            <w:pPr>
              <w:spacing w:line="240" w:lineRule="auto"/>
              <w:rPr>
                <w:rFonts w:ascii="Times New Roman" w:hAnsi="Times New Roman" w:cs="Times New Roman"/>
              </w:rPr>
            </w:pPr>
            <w:r>
              <w:rPr>
                <w:rFonts w:ascii="Times New Roman" w:hAnsi="Times New Roman" w:cs="Times New Roman"/>
              </w:rPr>
              <w:t>Dlhodobý hmotný majetok</w:t>
            </w:r>
          </w:p>
        </w:tc>
        <w:tc>
          <w:tcPr>
            <w:tcW w:w="1180" w:type="dxa"/>
            <w:tcBorders>
              <w:top w:val="single" w:sz="4" w:space="0" w:color="auto"/>
              <w:left w:val="nil"/>
              <w:bottom w:val="single" w:sz="4" w:space="0" w:color="auto"/>
              <w:right w:val="single" w:sz="4" w:space="0" w:color="auto"/>
              <w:tl2br w:val="nil"/>
              <w:tr2bl w:val="nil"/>
            </w:tcBorders>
            <w:noWrap/>
            <w:textDirection w:val="lrTb"/>
            <w:vAlign w:val="center"/>
          </w:tcPr>
          <w:p w:rsidR="00B97FAA" w:rsidP="00C362EA">
            <w:pPr>
              <w:spacing w:line="240" w:lineRule="auto"/>
              <w:jc w:val="right"/>
              <w:rPr>
                <w:rFonts w:ascii="Times New Roman" w:hAnsi="Times New Roman" w:cs="Times New Roman"/>
              </w:rPr>
            </w:pPr>
            <w:r w:rsidR="007403F0">
              <w:rPr>
                <w:rFonts w:ascii="Times New Roman" w:hAnsi="Times New Roman" w:cs="Times New Roman"/>
              </w:rPr>
              <w:t>65 471 093</w:t>
            </w:r>
          </w:p>
        </w:tc>
        <w:tc>
          <w:tcPr>
            <w:tcW w:w="1180" w:type="dxa"/>
            <w:tcBorders>
              <w:top w:val="single" w:sz="4" w:space="0" w:color="auto"/>
              <w:left w:val="nil"/>
              <w:bottom w:val="single" w:sz="4" w:space="0" w:color="auto"/>
              <w:right w:val="nil"/>
              <w:tl2br w:val="nil"/>
              <w:tr2bl w:val="nil"/>
            </w:tcBorders>
            <w:noWrap/>
            <w:textDirection w:val="lrTb"/>
            <w:vAlign w:val="center"/>
          </w:tcPr>
          <w:p w:rsidR="00B97FAA" w:rsidP="00C362EA">
            <w:pPr>
              <w:spacing w:line="240" w:lineRule="auto"/>
              <w:jc w:val="right"/>
              <w:rPr>
                <w:rFonts w:ascii="Times New Roman" w:hAnsi="Times New Roman" w:cs="Times New Roman"/>
              </w:rPr>
            </w:pPr>
            <w:r w:rsidR="008B6BC6">
              <w:rPr>
                <w:rFonts w:ascii="Times New Roman" w:hAnsi="Times New Roman" w:cs="Times New Roman"/>
              </w:rPr>
              <w:t>65 305 307</w:t>
            </w:r>
          </w:p>
        </w:tc>
        <w:tc>
          <w:tcPr>
            <w:tcW w:w="1180" w:type="dxa"/>
            <w:tcBorders>
              <w:top w:val="single" w:sz="4" w:space="0" w:color="auto"/>
              <w:left w:val="single" w:sz="4" w:space="0" w:color="auto"/>
              <w:bottom w:val="single" w:sz="4" w:space="0" w:color="auto"/>
              <w:right w:val="nil"/>
              <w:tl2br w:val="nil"/>
              <w:tr2bl w:val="nil"/>
            </w:tcBorders>
            <w:noWrap/>
            <w:textDirection w:val="lrTb"/>
            <w:vAlign w:val="center"/>
          </w:tcPr>
          <w:p w:rsidR="00B97FAA" w:rsidP="00C362EA">
            <w:pPr>
              <w:spacing w:line="240" w:lineRule="auto"/>
              <w:jc w:val="right"/>
              <w:rPr>
                <w:rFonts w:ascii="Times New Roman" w:hAnsi="Times New Roman" w:cs="Times New Roman"/>
              </w:rPr>
            </w:pPr>
            <w:r w:rsidR="008B6BC6">
              <w:rPr>
                <w:rFonts w:ascii="Times New Roman" w:hAnsi="Times New Roman" w:cs="Times New Roman"/>
              </w:rPr>
              <w:t>66 543 610</w:t>
            </w:r>
          </w:p>
        </w:tc>
        <w:tc>
          <w:tcPr>
            <w:tcW w:w="118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B97FAA" w:rsidP="00C362EA">
            <w:pPr>
              <w:spacing w:line="240" w:lineRule="auto"/>
              <w:jc w:val="right"/>
              <w:rPr>
                <w:rFonts w:ascii="Times New Roman" w:hAnsi="Times New Roman" w:cs="Times New Roman"/>
              </w:rPr>
            </w:pPr>
            <w:r w:rsidR="008B6BC6">
              <w:rPr>
                <w:rFonts w:ascii="Times New Roman" w:hAnsi="Times New Roman" w:cs="Times New Roman"/>
              </w:rPr>
              <w:t>68 165 721</w:t>
            </w:r>
          </w:p>
        </w:tc>
        <w:tc>
          <w:tcPr>
            <w:tcW w:w="1180" w:type="dxa"/>
            <w:tcBorders>
              <w:top w:val="single" w:sz="4" w:space="0" w:color="auto"/>
              <w:left w:val="nil"/>
              <w:bottom w:val="single" w:sz="4" w:space="0" w:color="auto"/>
              <w:right w:val="single" w:sz="4" w:space="0" w:color="auto"/>
              <w:tl2br w:val="nil"/>
              <w:tr2bl w:val="nil"/>
            </w:tcBorders>
            <w:noWrap/>
            <w:textDirection w:val="lrTb"/>
            <w:vAlign w:val="center"/>
          </w:tcPr>
          <w:p w:rsidR="00B97FAA" w:rsidP="00C362EA">
            <w:pPr>
              <w:spacing w:line="240" w:lineRule="auto"/>
              <w:jc w:val="right"/>
              <w:rPr>
                <w:rFonts w:ascii="Times New Roman" w:hAnsi="Times New Roman" w:cs="Times New Roman"/>
              </w:rPr>
            </w:pPr>
            <w:r w:rsidR="008B6BC6">
              <w:rPr>
                <w:rFonts w:ascii="Times New Roman" w:hAnsi="Times New Roman" w:cs="Times New Roman"/>
              </w:rPr>
              <w:t>72 662 345</w:t>
            </w:r>
          </w:p>
        </w:tc>
        <w:tc>
          <w:tcPr>
            <w:tcW w:w="1196" w:type="dxa"/>
            <w:tcBorders>
              <w:top w:val="single" w:sz="4" w:space="0" w:color="auto"/>
              <w:left w:val="nil"/>
              <w:bottom w:val="single" w:sz="4" w:space="0" w:color="auto"/>
              <w:right w:val="single" w:sz="4" w:space="0" w:color="auto"/>
              <w:tl2br w:val="nil"/>
              <w:tr2bl w:val="nil"/>
            </w:tcBorders>
            <w:noWrap/>
            <w:textDirection w:val="lrTb"/>
            <w:vAlign w:val="center"/>
          </w:tcPr>
          <w:p w:rsidR="00B97FAA" w:rsidP="00C362EA">
            <w:pPr>
              <w:spacing w:line="240" w:lineRule="auto"/>
              <w:jc w:val="right"/>
              <w:rPr>
                <w:rFonts w:ascii="Times New Roman" w:hAnsi="Times New Roman" w:cs="Times New Roman"/>
              </w:rPr>
            </w:pPr>
            <w:r w:rsidR="008B6BC6">
              <w:rPr>
                <w:rFonts w:ascii="Times New Roman" w:hAnsi="Times New Roman" w:cs="Times New Roman"/>
              </w:rPr>
              <w:t>7 191 252</w:t>
            </w:r>
          </w:p>
        </w:tc>
      </w:tr>
      <w:tr>
        <w:tblPrEx>
          <w:tblW w:w="10076" w:type="dxa"/>
          <w:jc w:val="center"/>
          <w:tblCellMar>
            <w:left w:w="70" w:type="dxa"/>
            <w:right w:w="70" w:type="dxa"/>
          </w:tblCellMar>
        </w:tblPrEx>
        <w:trPr>
          <w:trHeight w:hRule="exact" w:val="227"/>
          <w:jc w:val="center"/>
        </w:trPr>
        <w:tc>
          <w:tcPr>
            <w:tcW w:w="298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B97FAA" w:rsidP="00C362EA">
            <w:pPr>
              <w:spacing w:line="240" w:lineRule="auto"/>
              <w:rPr>
                <w:rFonts w:ascii="Times New Roman" w:hAnsi="Times New Roman" w:cs="Times New Roman"/>
              </w:rPr>
            </w:pPr>
            <w:r>
              <w:rPr>
                <w:rFonts w:ascii="Times New Roman" w:hAnsi="Times New Roman" w:cs="Times New Roman"/>
              </w:rPr>
              <w:t>Dlhodobý finančný majetok</w:t>
            </w:r>
          </w:p>
        </w:tc>
        <w:tc>
          <w:tcPr>
            <w:tcW w:w="1180" w:type="dxa"/>
            <w:tcBorders>
              <w:top w:val="single" w:sz="4" w:space="0" w:color="auto"/>
              <w:left w:val="nil"/>
              <w:bottom w:val="single" w:sz="4" w:space="0" w:color="auto"/>
              <w:right w:val="single" w:sz="4" w:space="0" w:color="auto"/>
              <w:tl2br w:val="nil"/>
              <w:tr2bl w:val="nil"/>
            </w:tcBorders>
            <w:noWrap/>
            <w:textDirection w:val="lrTb"/>
            <w:vAlign w:val="center"/>
          </w:tcPr>
          <w:p w:rsidR="00B97FAA" w:rsidP="00C362EA">
            <w:pPr>
              <w:spacing w:line="240" w:lineRule="auto"/>
              <w:jc w:val="right"/>
              <w:rPr>
                <w:rFonts w:ascii="Times New Roman" w:hAnsi="Times New Roman" w:cs="Times New Roman"/>
              </w:rPr>
            </w:pPr>
            <w:r w:rsidR="007403F0">
              <w:rPr>
                <w:rFonts w:ascii="Times New Roman" w:hAnsi="Times New Roman" w:cs="Times New Roman"/>
              </w:rPr>
              <w:t>67 252</w:t>
            </w:r>
          </w:p>
        </w:tc>
        <w:tc>
          <w:tcPr>
            <w:tcW w:w="1180" w:type="dxa"/>
            <w:tcBorders>
              <w:top w:val="single" w:sz="4" w:space="0" w:color="auto"/>
              <w:left w:val="nil"/>
              <w:bottom w:val="single" w:sz="4" w:space="0" w:color="auto"/>
              <w:right w:val="nil"/>
              <w:tl2br w:val="nil"/>
              <w:tr2bl w:val="nil"/>
            </w:tcBorders>
            <w:noWrap/>
            <w:textDirection w:val="lrTb"/>
            <w:vAlign w:val="center"/>
          </w:tcPr>
          <w:p w:rsidR="00B97FAA" w:rsidP="00C362EA">
            <w:pPr>
              <w:spacing w:line="240" w:lineRule="auto"/>
              <w:jc w:val="right"/>
              <w:rPr>
                <w:rFonts w:ascii="Times New Roman" w:hAnsi="Times New Roman" w:cs="Times New Roman"/>
              </w:rPr>
            </w:pPr>
            <w:r w:rsidR="008B6BC6">
              <w:rPr>
                <w:rFonts w:ascii="Times New Roman" w:hAnsi="Times New Roman" w:cs="Times New Roman"/>
              </w:rPr>
              <w:t>67 252</w:t>
            </w:r>
          </w:p>
        </w:tc>
        <w:tc>
          <w:tcPr>
            <w:tcW w:w="1180" w:type="dxa"/>
            <w:tcBorders>
              <w:top w:val="single" w:sz="4" w:space="0" w:color="auto"/>
              <w:left w:val="single" w:sz="4" w:space="0" w:color="auto"/>
              <w:bottom w:val="single" w:sz="4" w:space="0" w:color="auto"/>
              <w:right w:val="nil"/>
              <w:tl2br w:val="nil"/>
              <w:tr2bl w:val="nil"/>
            </w:tcBorders>
            <w:noWrap/>
            <w:textDirection w:val="lrTb"/>
            <w:vAlign w:val="center"/>
          </w:tcPr>
          <w:p w:rsidR="00B97FAA" w:rsidP="00C362EA">
            <w:pPr>
              <w:spacing w:line="240" w:lineRule="auto"/>
              <w:jc w:val="right"/>
              <w:rPr>
                <w:rFonts w:ascii="Times New Roman" w:hAnsi="Times New Roman" w:cs="Times New Roman"/>
              </w:rPr>
            </w:pPr>
            <w:r w:rsidR="008B6BC6">
              <w:rPr>
                <w:rFonts w:ascii="Times New Roman" w:hAnsi="Times New Roman" w:cs="Times New Roman"/>
              </w:rPr>
              <w:t>67 252</w:t>
            </w:r>
          </w:p>
        </w:tc>
        <w:tc>
          <w:tcPr>
            <w:tcW w:w="1180" w:type="dxa"/>
            <w:tcBorders>
              <w:top w:val="single" w:sz="4" w:space="0" w:color="auto"/>
              <w:left w:val="single" w:sz="4" w:space="0" w:color="auto"/>
              <w:bottom w:val="single" w:sz="4" w:space="0" w:color="auto"/>
              <w:right w:val="nil"/>
              <w:tl2br w:val="nil"/>
              <w:tr2bl w:val="nil"/>
            </w:tcBorders>
            <w:noWrap/>
            <w:textDirection w:val="lrTb"/>
            <w:vAlign w:val="center"/>
          </w:tcPr>
          <w:p w:rsidR="00B97FAA" w:rsidP="00C362EA">
            <w:pPr>
              <w:spacing w:line="240" w:lineRule="auto"/>
              <w:jc w:val="right"/>
              <w:rPr>
                <w:rFonts w:ascii="Times New Roman" w:hAnsi="Times New Roman" w:cs="Times New Roman"/>
              </w:rPr>
            </w:pPr>
            <w:r w:rsidR="008B6BC6">
              <w:rPr>
                <w:rFonts w:ascii="Times New Roman" w:hAnsi="Times New Roman" w:cs="Times New Roman"/>
              </w:rPr>
              <w:t>67 252</w:t>
            </w:r>
          </w:p>
        </w:tc>
        <w:tc>
          <w:tcPr>
            <w:tcW w:w="1180" w:type="dxa"/>
            <w:tcBorders>
              <w:top w:val="single" w:sz="4" w:space="0" w:color="auto"/>
              <w:left w:val="single" w:sz="4" w:space="0" w:color="auto"/>
              <w:bottom w:val="single" w:sz="4" w:space="0" w:color="auto"/>
              <w:right w:val="nil"/>
              <w:tl2br w:val="nil"/>
              <w:tr2bl w:val="nil"/>
            </w:tcBorders>
            <w:noWrap/>
            <w:textDirection w:val="lrTb"/>
            <w:vAlign w:val="center"/>
          </w:tcPr>
          <w:p w:rsidR="00B97FAA" w:rsidP="00C362EA">
            <w:pPr>
              <w:spacing w:line="240" w:lineRule="auto"/>
              <w:jc w:val="right"/>
              <w:rPr>
                <w:rFonts w:ascii="Times New Roman" w:hAnsi="Times New Roman" w:cs="Times New Roman"/>
              </w:rPr>
            </w:pPr>
            <w:r w:rsidR="008B6BC6">
              <w:rPr>
                <w:rFonts w:ascii="Times New Roman" w:hAnsi="Times New Roman" w:cs="Times New Roman"/>
              </w:rPr>
              <w:t>67 252</w:t>
            </w:r>
          </w:p>
        </w:tc>
        <w:tc>
          <w:tcPr>
            <w:tcW w:w="1196"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B97FAA" w:rsidP="00C362EA">
            <w:pPr>
              <w:spacing w:line="240" w:lineRule="auto"/>
              <w:jc w:val="right"/>
              <w:rPr>
                <w:rFonts w:ascii="Times New Roman" w:hAnsi="Times New Roman" w:cs="Times New Roman"/>
              </w:rPr>
            </w:pPr>
            <w:r w:rsidR="008B6BC6">
              <w:rPr>
                <w:rFonts w:ascii="Times New Roman" w:hAnsi="Times New Roman" w:cs="Times New Roman"/>
              </w:rPr>
              <w:t>0</w:t>
            </w:r>
          </w:p>
        </w:tc>
      </w:tr>
      <w:tr>
        <w:tblPrEx>
          <w:tblW w:w="10076" w:type="dxa"/>
          <w:jc w:val="center"/>
          <w:tblCellMar>
            <w:left w:w="70" w:type="dxa"/>
            <w:right w:w="70" w:type="dxa"/>
          </w:tblCellMar>
        </w:tblPrEx>
        <w:trPr>
          <w:trHeight w:hRule="exact" w:val="227"/>
          <w:jc w:val="center"/>
        </w:trPr>
        <w:tc>
          <w:tcPr>
            <w:tcW w:w="298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B97FAA" w:rsidP="00C362EA">
            <w:pPr>
              <w:spacing w:line="240" w:lineRule="auto"/>
              <w:rPr>
                <w:rFonts w:ascii="Times New Roman" w:hAnsi="Times New Roman" w:cs="Times New Roman"/>
                <w:b/>
                <w:bCs/>
              </w:rPr>
            </w:pPr>
            <w:r>
              <w:rPr>
                <w:rFonts w:ascii="Times New Roman" w:hAnsi="Times New Roman" w:cs="Times New Roman"/>
                <w:b/>
                <w:bCs/>
              </w:rPr>
              <w:t>Obežný majetok</w:t>
            </w:r>
          </w:p>
        </w:tc>
        <w:tc>
          <w:tcPr>
            <w:tcW w:w="1180" w:type="dxa"/>
            <w:tcBorders>
              <w:top w:val="single" w:sz="4" w:space="0" w:color="auto"/>
              <w:left w:val="nil"/>
              <w:bottom w:val="single" w:sz="4" w:space="0" w:color="auto"/>
              <w:right w:val="single" w:sz="4" w:space="0" w:color="auto"/>
              <w:tl2br w:val="nil"/>
              <w:tr2bl w:val="nil"/>
            </w:tcBorders>
            <w:noWrap/>
            <w:textDirection w:val="lrTb"/>
            <w:vAlign w:val="center"/>
          </w:tcPr>
          <w:p w:rsidR="00B97FAA" w:rsidP="00C362EA">
            <w:pPr>
              <w:spacing w:line="240" w:lineRule="auto"/>
              <w:jc w:val="right"/>
              <w:rPr>
                <w:rFonts w:ascii="Times New Roman" w:hAnsi="Times New Roman" w:cs="Times New Roman"/>
                <w:b/>
                <w:bCs/>
              </w:rPr>
            </w:pPr>
            <w:r w:rsidR="007403F0">
              <w:rPr>
                <w:rFonts w:ascii="Times New Roman" w:hAnsi="Times New Roman" w:cs="Times New Roman"/>
                <w:b/>
                <w:bCs/>
              </w:rPr>
              <w:t>3 181 383</w:t>
            </w:r>
          </w:p>
        </w:tc>
        <w:tc>
          <w:tcPr>
            <w:tcW w:w="1180" w:type="dxa"/>
            <w:tcBorders>
              <w:top w:val="single" w:sz="4" w:space="0" w:color="auto"/>
              <w:left w:val="nil"/>
              <w:bottom w:val="single" w:sz="4" w:space="0" w:color="auto"/>
              <w:right w:val="single" w:sz="4" w:space="0" w:color="auto"/>
              <w:tl2br w:val="nil"/>
              <w:tr2bl w:val="nil"/>
            </w:tcBorders>
            <w:noWrap/>
            <w:textDirection w:val="lrTb"/>
            <w:vAlign w:val="center"/>
          </w:tcPr>
          <w:p w:rsidR="00B97FAA" w:rsidP="00C362EA">
            <w:pPr>
              <w:spacing w:line="240" w:lineRule="auto"/>
              <w:jc w:val="right"/>
              <w:rPr>
                <w:rFonts w:ascii="Times New Roman" w:hAnsi="Times New Roman" w:cs="Times New Roman"/>
                <w:b/>
                <w:bCs/>
              </w:rPr>
            </w:pPr>
            <w:r w:rsidR="007403F0">
              <w:rPr>
                <w:rFonts w:ascii="Times New Roman" w:hAnsi="Times New Roman" w:cs="Times New Roman"/>
                <w:b/>
                <w:bCs/>
              </w:rPr>
              <w:t>3 148 325</w:t>
            </w:r>
          </w:p>
        </w:tc>
        <w:tc>
          <w:tcPr>
            <w:tcW w:w="1180" w:type="dxa"/>
            <w:tcBorders>
              <w:top w:val="single" w:sz="4" w:space="0" w:color="auto"/>
              <w:left w:val="nil"/>
              <w:bottom w:val="single" w:sz="4" w:space="0" w:color="auto"/>
              <w:right w:val="single" w:sz="4" w:space="0" w:color="auto"/>
              <w:tl2br w:val="nil"/>
              <w:tr2bl w:val="nil"/>
            </w:tcBorders>
            <w:noWrap/>
            <w:textDirection w:val="lrTb"/>
            <w:vAlign w:val="center"/>
          </w:tcPr>
          <w:p w:rsidR="00B97FAA" w:rsidP="00C362EA">
            <w:pPr>
              <w:spacing w:line="240" w:lineRule="auto"/>
              <w:jc w:val="right"/>
              <w:rPr>
                <w:rFonts w:ascii="Times New Roman" w:hAnsi="Times New Roman" w:cs="Times New Roman"/>
                <w:b/>
                <w:bCs/>
              </w:rPr>
            </w:pPr>
            <w:r w:rsidR="008B6BC6">
              <w:rPr>
                <w:rFonts w:ascii="Times New Roman" w:hAnsi="Times New Roman" w:cs="Times New Roman"/>
                <w:b/>
                <w:bCs/>
              </w:rPr>
              <w:t>3 536 578</w:t>
            </w:r>
          </w:p>
        </w:tc>
        <w:tc>
          <w:tcPr>
            <w:tcW w:w="1180" w:type="dxa"/>
            <w:tcBorders>
              <w:top w:val="single" w:sz="4" w:space="0" w:color="auto"/>
              <w:left w:val="nil"/>
              <w:bottom w:val="single" w:sz="4" w:space="0" w:color="auto"/>
              <w:right w:val="single" w:sz="4" w:space="0" w:color="auto"/>
              <w:tl2br w:val="nil"/>
              <w:tr2bl w:val="nil"/>
            </w:tcBorders>
            <w:noWrap/>
            <w:textDirection w:val="lrTb"/>
            <w:vAlign w:val="center"/>
          </w:tcPr>
          <w:p w:rsidR="00B97FAA" w:rsidP="00C362EA">
            <w:pPr>
              <w:spacing w:line="240" w:lineRule="auto"/>
              <w:jc w:val="right"/>
              <w:rPr>
                <w:rFonts w:ascii="Times New Roman" w:hAnsi="Times New Roman" w:cs="Times New Roman"/>
                <w:b/>
                <w:bCs/>
              </w:rPr>
            </w:pPr>
            <w:r w:rsidR="008B6BC6">
              <w:rPr>
                <w:rFonts w:ascii="Times New Roman" w:hAnsi="Times New Roman" w:cs="Times New Roman"/>
                <w:b/>
                <w:bCs/>
              </w:rPr>
              <w:t>4 144 076</w:t>
            </w:r>
          </w:p>
        </w:tc>
        <w:tc>
          <w:tcPr>
            <w:tcW w:w="1180" w:type="dxa"/>
            <w:tcBorders>
              <w:top w:val="single" w:sz="4" w:space="0" w:color="auto"/>
              <w:left w:val="nil"/>
              <w:bottom w:val="single" w:sz="4" w:space="0" w:color="auto"/>
              <w:right w:val="single" w:sz="4" w:space="0" w:color="auto"/>
              <w:tl2br w:val="nil"/>
              <w:tr2bl w:val="nil"/>
            </w:tcBorders>
            <w:noWrap/>
            <w:textDirection w:val="lrTb"/>
            <w:vAlign w:val="center"/>
          </w:tcPr>
          <w:p w:rsidR="00B97FAA" w:rsidP="00C362EA">
            <w:pPr>
              <w:spacing w:line="240" w:lineRule="auto"/>
              <w:jc w:val="right"/>
              <w:rPr>
                <w:rFonts w:ascii="Times New Roman" w:hAnsi="Times New Roman" w:cs="Times New Roman"/>
                <w:b/>
                <w:bCs/>
              </w:rPr>
            </w:pPr>
            <w:r w:rsidR="008B6BC6">
              <w:rPr>
                <w:rFonts w:ascii="Times New Roman" w:hAnsi="Times New Roman" w:cs="Times New Roman"/>
                <w:b/>
                <w:bCs/>
              </w:rPr>
              <w:t>3 44</w:t>
            </w:r>
            <w:r w:rsidR="007403F0">
              <w:rPr>
                <w:rFonts w:ascii="Times New Roman" w:hAnsi="Times New Roman" w:cs="Times New Roman"/>
                <w:b/>
                <w:bCs/>
              </w:rPr>
              <w:t>4</w:t>
            </w:r>
            <w:r w:rsidR="008B6BC6">
              <w:rPr>
                <w:rFonts w:ascii="Times New Roman" w:hAnsi="Times New Roman" w:cs="Times New Roman"/>
                <w:b/>
                <w:bCs/>
              </w:rPr>
              <w:t xml:space="preserve"> 461</w:t>
            </w:r>
          </w:p>
        </w:tc>
        <w:tc>
          <w:tcPr>
            <w:tcW w:w="1196" w:type="dxa"/>
            <w:tcBorders>
              <w:top w:val="single" w:sz="4" w:space="0" w:color="auto"/>
              <w:left w:val="nil"/>
              <w:bottom w:val="single" w:sz="4" w:space="0" w:color="auto"/>
              <w:right w:val="single" w:sz="4" w:space="0" w:color="auto"/>
              <w:tl2br w:val="nil"/>
              <w:tr2bl w:val="nil"/>
            </w:tcBorders>
            <w:noWrap/>
            <w:textDirection w:val="lrTb"/>
            <w:vAlign w:val="center"/>
          </w:tcPr>
          <w:p w:rsidR="00B97FAA" w:rsidP="00C362EA">
            <w:pPr>
              <w:spacing w:line="240" w:lineRule="auto"/>
              <w:jc w:val="right"/>
              <w:rPr>
                <w:rFonts w:ascii="Times New Roman" w:hAnsi="Times New Roman" w:cs="Times New Roman"/>
                <w:b/>
                <w:bCs/>
              </w:rPr>
            </w:pPr>
            <w:r w:rsidR="008B6BC6">
              <w:rPr>
                <w:rFonts w:ascii="Times New Roman" w:hAnsi="Times New Roman" w:cs="Times New Roman"/>
                <w:b/>
                <w:bCs/>
              </w:rPr>
              <w:t>263 078</w:t>
            </w:r>
          </w:p>
        </w:tc>
      </w:tr>
      <w:tr>
        <w:tblPrEx>
          <w:tblW w:w="10076" w:type="dxa"/>
          <w:jc w:val="center"/>
          <w:tblCellMar>
            <w:left w:w="70" w:type="dxa"/>
            <w:right w:w="70" w:type="dxa"/>
          </w:tblCellMar>
        </w:tblPrEx>
        <w:trPr>
          <w:trHeight w:hRule="exact" w:val="227"/>
          <w:jc w:val="center"/>
        </w:trPr>
        <w:tc>
          <w:tcPr>
            <w:tcW w:w="298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B97FAA" w:rsidP="00C362EA">
            <w:pPr>
              <w:spacing w:line="240" w:lineRule="auto"/>
              <w:rPr>
                <w:rFonts w:ascii="Times New Roman" w:hAnsi="Times New Roman" w:cs="Times New Roman"/>
              </w:rPr>
            </w:pPr>
            <w:r>
              <w:rPr>
                <w:rFonts w:ascii="Times New Roman" w:hAnsi="Times New Roman" w:cs="Times New Roman"/>
              </w:rPr>
              <w:t>Zásoby</w:t>
            </w:r>
          </w:p>
        </w:tc>
        <w:tc>
          <w:tcPr>
            <w:tcW w:w="1180" w:type="dxa"/>
            <w:tcBorders>
              <w:top w:val="single" w:sz="4" w:space="0" w:color="auto"/>
              <w:left w:val="nil"/>
              <w:bottom w:val="single" w:sz="4" w:space="0" w:color="auto"/>
              <w:right w:val="single" w:sz="4" w:space="0" w:color="auto"/>
              <w:tl2br w:val="nil"/>
              <w:tr2bl w:val="nil"/>
            </w:tcBorders>
            <w:noWrap/>
            <w:textDirection w:val="lrTb"/>
            <w:vAlign w:val="center"/>
          </w:tcPr>
          <w:p w:rsidR="00B97FAA" w:rsidP="00C362EA">
            <w:pPr>
              <w:spacing w:line="240" w:lineRule="auto"/>
              <w:jc w:val="right"/>
              <w:rPr>
                <w:rFonts w:ascii="Times New Roman" w:hAnsi="Times New Roman" w:cs="Times New Roman"/>
              </w:rPr>
            </w:pPr>
            <w:r w:rsidR="007403F0">
              <w:rPr>
                <w:rFonts w:ascii="Times New Roman" w:hAnsi="Times New Roman" w:cs="Times New Roman"/>
              </w:rPr>
              <w:t>615 859</w:t>
            </w:r>
          </w:p>
        </w:tc>
        <w:tc>
          <w:tcPr>
            <w:tcW w:w="1180" w:type="dxa"/>
            <w:tcBorders>
              <w:top w:val="single" w:sz="4" w:space="0" w:color="auto"/>
              <w:left w:val="nil"/>
              <w:bottom w:val="single" w:sz="4" w:space="0" w:color="auto"/>
              <w:right w:val="nil"/>
              <w:tl2br w:val="nil"/>
              <w:tr2bl w:val="nil"/>
            </w:tcBorders>
            <w:noWrap/>
            <w:textDirection w:val="lrTb"/>
            <w:vAlign w:val="center"/>
          </w:tcPr>
          <w:p w:rsidR="00B97FAA" w:rsidP="00C362EA">
            <w:pPr>
              <w:spacing w:line="240" w:lineRule="auto"/>
              <w:jc w:val="right"/>
              <w:rPr>
                <w:rFonts w:ascii="Times New Roman" w:hAnsi="Times New Roman" w:cs="Times New Roman"/>
              </w:rPr>
            </w:pPr>
            <w:r w:rsidR="007403F0">
              <w:rPr>
                <w:rFonts w:ascii="Times New Roman" w:hAnsi="Times New Roman" w:cs="Times New Roman"/>
              </w:rPr>
              <w:t>615 428</w:t>
            </w:r>
          </w:p>
        </w:tc>
        <w:tc>
          <w:tcPr>
            <w:tcW w:w="1180" w:type="dxa"/>
            <w:tcBorders>
              <w:top w:val="single" w:sz="4" w:space="0" w:color="auto"/>
              <w:left w:val="single" w:sz="4" w:space="0" w:color="auto"/>
              <w:bottom w:val="single" w:sz="4" w:space="0" w:color="auto"/>
              <w:right w:val="nil"/>
              <w:tl2br w:val="nil"/>
              <w:tr2bl w:val="nil"/>
            </w:tcBorders>
            <w:noWrap/>
            <w:textDirection w:val="lrTb"/>
            <w:vAlign w:val="center"/>
          </w:tcPr>
          <w:p w:rsidR="00B97FAA" w:rsidP="00C362EA">
            <w:pPr>
              <w:spacing w:line="240" w:lineRule="auto"/>
              <w:jc w:val="right"/>
              <w:rPr>
                <w:rFonts w:ascii="Times New Roman" w:hAnsi="Times New Roman" w:cs="Times New Roman"/>
              </w:rPr>
            </w:pPr>
            <w:r w:rsidR="008B6BC6">
              <w:rPr>
                <w:rFonts w:ascii="Times New Roman" w:hAnsi="Times New Roman" w:cs="Times New Roman"/>
              </w:rPr>
              <w:t>583 723</w:t>
            </w:r>
          </w:p>
        </w:tc>
        <w:tc>
          <w:tcPr>
            <w:tcW w:w="1180" w:type="dxa"/>
            <w:tcBorders>
              <w:top w:val="single" w:sz="4" w:space="0" w:color="auto"/>
              <w:left w:val="single" w:sz="4" w:space="0" w:color="auto"/>
              <w:bottom w:val="single" w:sz="4" w:space="0" w:color="auto"/>
              <w:right w:val="nil"/>
              <w:tl2br w:val="nil"/>
              <w:tr2bl w:val="nil"/>
            </w:tcBorders>
            <w:noWrap/>
            <w:textDirection w:val="lrTb"/>
            <w:vAlign w:val="center"/>
          </w:tcPr>
          <w:p w:rsidR="00B97FAA" w:rsidP="00C362EA">
            <w:pPr>
              <w:spacing w:line="240" w:lineRule="auto"/>
              <w:jc w:val="right"/>
              <w:rPr>
                <w:rFonts w:ascii="Times New Roman" w:hAnsi="Times New Roman" w:cs="Times New Roman"/>
              </w:rPr>
            </w:pPr>
            <w:r w:rsidR="008B6BC6">
              <w:rPr>
                <w:rFonts w:ascii="Times New Roman" w:hAnsi="Times New Roman" w:cs="Times New Roman"/>
              </w:rPr>
              <w:t>647 261</w:t>
            </w:r>
          </w:p>
        </w:tc>
        <w:tc>
          <w:tcPr>
            <w:tcW w:w="1180" w:type="dxa"/>
            <w:tcBorders>
              <w:top w:val="single" w:sz="4" w:space="0" w:color="auto"/>
              <w:left w:val="single" w:sz="4" w:space="0" w:color="auto"/>
              <w:bottom w:val="single" w:sz="4" w:space="0" w:color="auto"/>
              <w:right w:val="nil"/>
              <w:tl2br w:val="nil"/>
              <w:tr2bl w:val="nil"/>
            </w:tcBorders>
            <w:noWrap/>
            <w:textDirection w:val="lrTb"/>
            <w:vAlign w:val="center"/>
          </w:tcPr>
          <w:p w:rsidR="00B97FAA" w:rsidP="00C362EA">
            <w:pPr>
              <w:spacing w:line="240" w:lineRule="auto"/>
              <w:jc w:val="right"/>
              <w:rPr>
                <w:rFonts w:ascii="Times New Roman" w:hAnsi="Times New Roman" w:cs="Times New Roman"/>
              </w:rPr>
            </w:pPr>
            <w:r w:rsidR="008B6BC6">
              <w:rPr>
                <w:rFonts w:ascii="Times New Roman" w:hAnsi="Times New Roman" w:cs="Times New Roman"/>
              </w:rPr>
              <w:t>983 565</w:t>
            </w:r>
          </w:p>
        </w:tc>
        <w:tc>
          <w:tcPr>
            <w:tcW w:w="1196"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B97FAA" w:rsidP="00C362EA">
            <w:pPr>
              <w:spacing w:line="240" w:lineRule="auto"/>
              <w:jc w:val="right"/>
              <w:rPr>
                <w:rFonts w:ascii="Times New Roman" w:hAnsi="Times New Roman" w:cs="Times New Roman"/>
              </w:rPr>
            </w:pPr>
            <w:r w:rsidR="008B6BC6">
              <w:rPr>
                <w:rFonts w:ascii="Times New Roman" w:hAnsi="Times New Roman" w:cs="Times New Roman"/>
              </w:rPr>
              <w:t>367 706</w:t>
            </w:r>
          </w:p>
        </w:tc>
      </w:tr>
      <w:tr>
        <w:tblPrEx>
          <w:tblW w:w="10076" w:type="dxa"/>
          <w:jc w:val="center"/>
          <w:tblCellMar>
            <w:left w:w="70" w:type="dxa"/>
            <w:right w:w="70" w:type="dxa"/>
          </w:tblCellMar>
        </w:tblPrEx>
        <w:trPr>
          <w:trHeight w:hRule="exact" w:val="227"/>
          <w:jc w:val="center"/>
        </w:trPr>
        <w:tc>
          <w:tcPr>
            <w:tcW w:w="298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B97FAA" w:rsidP="00C362EA">
            <w:pPr>
              <w:spacing w:line="240" w:lineRule="auto"/>
              <w:rPr>
                <w:rFonts w:ascii="Times New Roman" w:hAnsi="Times New Roman" w:cs="Times New Roman"/>
              </w:rPr>
            </w:pPr>
            <w:r>
              <w:rPr>
                <w:rFonts w:ascii="Times New Roman" w:hAnsi="Times New Roman" w:cs="Times New Roman"/>
              </w:rPr>
              <w:t>Dlhodobé pohľadávky</w:t>
            </w:r>
          </w:p>
        </w:tc>
        <w:tc>
          <w:tcPr>
            <w:tcW w:w="1180" w:type="dxa"/>
            <w:tcBorders>
              <w:top w:val="single" w:sz="4" w:space="0" w:color="auto"/>
              <w:left w:val="nil"/>
              <w:bottom w:val="single" w:sz="4" w:space="0" w:color="auto"/>
              <w:right w:val="single" w:sz="4" w:space="0" w:color="auto"/>
              <w:tl2br w:val="nil"/>
              <w:tr2bl w:val="nil"/>
            </w:tcBorders>
            <w:noWrap/>
            <w:textDirection w:val="lrTb"/>
            <w:vAlign w:val="center"/>
          </w:tcPr>
          <w:p w:rsidR="00B97FAA" w:rsidP="00C362EA">
            <w:pPr>
              <w:spacing w:line="240" w:lineRule="auto"/>
              <w:jc w:val="right"/>
              <w:rPr>
                <w:rFonts w:ascii="Times New Roman" w:hAnsi="Times New Roman" w:cs="Times New Roman"/>
              </w:rPr>
            </w:pPr>
            <w:r w:rsidR="007403F0">
              <w:rPr>
                <w:rFonts w:ascii="Times New Roman" w:hAnsi="Times New Roman" w:cs="Times New Roman"/>
              </w:rPr>
              <w:t>29 217</w:t>
            </w:r>
          </w:p>
        </w:tc>
        <w:tc>
          <w:tcPr>
            <w:tcW w:w="1180" w:type="dxa"/>
            <w:tcBorders>
              <w:top w:val="single" w:sz="4" w:space="0" w:color="auto"/>
              <w:left w:val="nil"/>
              <w:bottom w:val="single" w:sz="4" w:space="0" w:color="auto"/>
              <w:right w:val="nil"/>
              <w:tl2br w:val="nil"/>
              <w:tr2bl w:val="nil"/>
            </w:tcBorders>
            <w:noWrap/>
            <w:textDirection w:val="lrTb"/>
            <w:vAlign w:val="center"/>
          </w:tcPr>
          <w:p w:rsidR="00B97FAA" w:rsidP="00C362EA">
            <w:pPr>
              <w:spacing w:line="240" w:lineRule="auto"/>
              <w:jc w:val="right"/>
              <w:rPr>
                <w:rFonts w:ascii="Times New Roman" w:hAnsi="Times New Roman" w:cs="Times New Roman"/>
              </w:rPr>
            </w:pPr>
            <w:r w:rsidR="007403F0">
              <w:rPr>
                <w:rFonts w:ascii="Times New Roman" w:hAnsi="Times New Roman" w:cs="Times New Roman"/>
              </w:rPr>
              <w:t>37 296</w:t>
            </w:r>
          </w:p>
        </w:tc>
        <w:tc>
          <w:tcPr>
            <w:tcW w:w="1180" w:type="dxa"/>
            <w:tcBorders>
              <w:top w:val="single" w:sz="4" w:space="0" w:color="auto"/>
              <w:left w:val="single" w:sz="4" w:space="0" w:color="auto"/>
              <w:bottom w:val="single" w:sz="4" w:space="0" w:color="auto"/>
              <w:right w:val="nil"/>
              <w:tl2br w:val="nil"/>
              <w:tr2bl w:val="nil"/>
            </w:tcBorders>
            <w:noWrap/>
            <w:textDirection w:val="lrTb"/>
            <w:vAlign w:val="center"/>
          </w:tcPr>
          <w:p w:rsidR="00B97FAA" w:rsidP="00C362EA">
            <w:pPr>
              <w:spacing w:line="240" w:lineRule="auto"/>
              <w:jc w:val="right"/>
              <w:rPr>
                <w:rFonts w:ascii="Times New Roman" w:hAnsi="Times New Roman" w:cs="Times New Roman"/>
              </w:rPr>
            </w:pPr>
            <w:r w:rsidR="008B6BC6">
              <w:rPr>
                <w:rFonts w:ascii="Times New Roman" w:hAnsi="Times New Roman" w:cs="Times New Roman"/>
              </w:rPr>
              <w:t>57 940</w:t>
            </w:r>
          </w:p>
        </w:tc>
        <w:tc>
          <w:tcPr>
            <w:tcW w:w="118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B97FAA" w:rsidP="00C362EA">
            <w:pPr>
              <w:spacing w:line="240" w:lineRule="auto"/>
              <w:jc w:val="right"/>
              <w:rPr>
                <w:rFonts w:ascii="Times New Roman" w:hAnsi="Times New Roman" w:cs="Times New Roman"/>
              </w:rPr>
            </w:pPr>
            <w:r w:rsidR="008B6BC6">
              <w:rPr>
                <w:rFonts w:ascii="Times New Roman" w:hAnsi="Times New Roman" w:cs="Times New Roman"/>
              </w:rPr>
              <w:t>58 953</w:t>
            </w:r>
          </w:p>
        </w:tc>
        <w:tc>
          <w:tcPr>
            <w:tcW w:w="1180" w:type="dxa"/>
            <w:tcBorders>
              <w:top w:val="single" w:sz="4" w:space="0" w:color="auto"/>
              <w:left w:val="nil"/>
              <w:bottom w:val="single" w:sz="4" w:space="0" w:color="auto"/>
              <w:right w:val="single" w:sz="4" w:space="0" w:color="auto"/>
              <w:tl2br w:val="nil"/>
              <w:tr2bl w:val="nil"/>
            </w:tcBorders>
            <w:noWrap/>
            <w:textDirection w:val="lrTb"/>
            <w:vAlign w:val="center"/>
          </w:tcPr>
          <w:p w:rsidR="00B97FAA" w:rsidP="00C362EA">
            <w:pPr>
              <w:spacing w:line="240" w:lineRule="auto"/>
              <w:jc w:val="right"/>
              <w:rPr>
                <w:rFonts w:ascii="Times New Roman" w:hAnsi="Times New Roman" w:cs="Times New Roman"/>
              </w:rPr>
            </w:pPr>
            <w:r w:rsidR="008B6BC6">
              <w:rPr>
                <w:rFonts w:ascii="Times New Roman" w:hAnsi="Times New Roman" w:cs="Times New Roman"/>
              </w:rPr>
              <w:t>52 871</w:t>
            </w:r>
          </w:p>
        </w:tc>
        <w:tc>
          <w:tcPr>
            <w:tcW w:w="1196" w:type="dxa"/>
            <w:tcBorders>
              <w:top w:val="single" w:sz="4" w:space="0" w:color="auto"/>
              <w:left w:val="nil"/>
              <w:bottom w:val="single" w:sz="4" w:space="0" w:color="auto"/>
              <w:right w:val="single" w:sz="4" w:space="0" w:color="auto"/>
              <w:tl2br w:val="nil"/>
              <w:tr2bl w:val="nil"/>
            </w:tcBorders>
            <w:noWrap/>
            <w:textDirection w:val="lrTb"/>
            <w:vAlign w:val="center"/>
          </w:tcPr>
          <w:p w:rsidR="00B97FAA" w:rsidP="00C362EA">
            <w:pPr>
              <w:spacing w:line="240" w:lineRule="auto"/>
              <w:jc w:val="right"/>
              <w:rPr>
                <w:rFonts w:ascii="Times New Roman" w:hAnsi="Times New Roman" w:cs="Times New Roman"/>
              </w:rPr>
            </w:pPr>
            <w:r w:rsidR="008B6BC6">
              <w:rPr>
                <w:rFonts w:ascii="Times New Roman" w:hAnsi="Times New Roman" w:cs="Times New Roman"/>
              </w:rPr>
              <w:t>23 654</w:t>
            </w:r>
          </w:p>
        </w:tc>
      </w:tr>
      <w:tr>
        <w:tblPrEx>
          <w:tblW w:w="10076" w:type="dxa"/>
          <w:jc w:val="center"/>
          <w:tblCellMar>
            <w:left w:w="70" w:type="dxa"/>
            <w:right w:w="70" w:type="dxa"/>
          </w:tblCellMar>
        </w:tblPrEx>
        <w:trPr>
          <w:trHeight w:hRule="exact" w:val="227"/>
          <w:jc w:val="center"/>
        </w:trPr>
        <w:tc>
          <w:tcPr>
            <w:tcW w:w="298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B97FAA" w:rsidP="00C362EA">
            <w:pPr>
              <w:spacing w:line="240" w:lineRule="auto"/>
              <w:rPr>
                <w:rFonts w:ascii="Times New Roman" w:hAnsi="Times New Roman" w:cs="Times New Roman"/>
              </w:rPr>
            </w:pPr>
            <w:r>
              <w:rPr>
                <w:rFonts w:ascii="Times New Roman" w:hAnsi="Times New Roman" w:cs="Times New Roman"/>
              </w:rPr>
              <w:t>Krátkodobé pohľadávky</w:t>
            </w:r>
          </w:p>
        </w:tc>
        <w:tc>
          <w:tcPr>
            <w:tcW w:w="1180" w:type="dxa"/>
            <w:tcBorders>
              <w:top w:val="single" w:sz="4" w:space="0" w:color="auto"/>
              <w:left w:val="nil"/>
              <w:bottom w:val="single" w:sz="4" w:space="0" w:color="auto"/>
              <w:right w:val="single" w:sz="4" w:space="0" w:color="auto"/>
              <w:tl2br w:val="nil"/>
              <w:tr2bl w:val="nil"/>
            </w:tcBorders>
            <w:noWrap/>
            <w:textDirection w:val="lrTb"/>
            <w:vAlign w:val="center"/>
          </w:tcPr>
          <w:p w:rsidR="00B97FAA" w:rsidP="00C362EA">
            <w:pPr>
              <w:spacing w:line="240" w:lineRule="auto"/>
              <w:jc w:val="right"/>
              <w:rPr>
                <w:rFonts w:ascii="Times New Roman" w:hAnsi="Times New Roman" w:cs="Times New Roman"/>
              </w:rPr>
            </w:pPr>
            <w:r w:rsidR="007403F0">
              <w:rPr>
                <w:rFonts w:ascii="Times New Roman" w:hAnsi="Times New Roman" w:cs="Times New Roman"/>
              </w:rPr>
              <w:t>1 452 905</w:t>
            </w:r>
          </w:p>
        </w:tc>
        <w:tc>
          <w:tcPr>
            <w:tcW w:w="1180" w:type="dxa"/>
            <w:tcBorders>
              <w:top w:val="single" w:sz="4" w:space="0" w:color="auto"/>
              <w:left w:val="nil"/>
              <w:bottom w:val="single" w:sz="4" w:space="0" w:color="auto"/>
              <w:right w:val="nil"/>
              <w:tl2br w:val="nil"/>
              <w:tr2bl w:val="nil"/>
            </w:tcBorders>
            <w:noWrap/>
            <w:textDirection w:val="lrTb"/>
            <w:vAlign w:val="center"/>
          </w:tcPr>
          <w:p w:rsidR="00B97FAA" w:rsidP="00C362EA">
            <w:pPr>
              <w:spacing w:line="240" w:lineRule="auto"/>
              <w:jc w:val="right"/>
              <w:rPr>
                <w:rFonts w:ascii="Times New Roman" w:hAnsi="Times New Roman" w:cs="Times New Roman"/>
              </w:rPr>
            </w:pPr>
            <w:r w:rsidR="007403F0">
              <w:rPr>
                <w:rFonts w:ascii="Times New Roman" w:hAnsi="Times New Roman" w:cs="Times New Roman"/>
              </w:rPr>
              <w:t>1 310 906</w:t>
            </w:r>
          </w:p>
        </w:tc>
        <w:tc>
          <w:tcPr>
            <w:tcW w:w="1180" w:type="dxa"/>
            <w:tcBorders>
              <w:top w:val="single" w:sz="4" w:space="0" w:color="auto"/>
              <w:left w:val="single" w:sz="4" w:space="0" w:color="auto"/>
              <w:bottom w:val="single" w:sz="4" w:space="0" w:color="auto"/>
              <w:right w:val="nil"/>
              <w:tl2br w:val="nil"/>
              <w:tr2bl w:val="nil"/>
            </w:tcBorders>
            <w:noWrap/>
            <w:textDirection w:val="lrTb"/>
            <w:vAlign w:val="center"/>
          </w:tcPr>
          <w:p w:rsidR="00B97FAA" w:rsidP="00C362EA">
            <w:pPr>
              <w:spacing w:line="240" w:lineRule="auto"/>
              <w:jc w:val="right"/>
              <w:rPr>
                <w:rFonts w:ascii="Times New Roman" w:hAnsi="Times New Roman" w:cs="Times New Roman"/>
              </w:rPr>
            </w:pPr>
            <w:r w:rsidR="008B6BC6">
              <w:rPr>
                <w:rFonts w:ascii="Times New Roman" w:hAnsi="Times New Roman" w:cs="Times New Roman"/>
              </w:rPr>
              <w:t>1 415 491</w:t>
            </w:r>
          </w:p>
        </w:tc>
        <w:tc>
          <w:tcPr>
            <w:tcW w:w="1180" w:type="dxa"/>
            <w:tcBorders>
              <w:top w:val="single" w:sz="4" w:space="0" w:color="auto"/>
              <w:left w:val="single" w:sz="4" w:space="0" w:color="auto"/>
              <w:bottom w:val="single" w:sz="4" w:space="0" w:color="auto"/>
              <w:right w:val="nil"/>
              <w:tl2br w:val="nil"/>
              <w:tr2bl w:val="nil"/>
            </w:tcBorders>
            <w:noWrap/>
            <w:textDirection w:val="lrTb"/>
            <w:vAlign w:val="center"/>
          </w:tcPr>
          <w:p w:rsidR="00B97FAA" w:rsidP="00C362EA">
            <w:pPr>
              <w:spacing w:line="240" w:lineRule="auto"/>
              <w:jc w:val="right"/>
              <w:rPr>
                <w:rFonts w:ascii="Times New Roman" w:hAnsi="Times New Roman" w:cs="Times New Roman"/>
              </w:rPr>
            </w:pPr>
            <w:r w:rsidR="008B6BC6">
              <w:rPr>
                <w:rFonts w:ascii="Times New Roman" w:hAnsi="Times New Roman" w:cs="Times New Roman"/>
              </w:rPr>
              <w:t>1 644 648</w:t>
            </w:r>
          </w:p>
        </w:tc>
        <w:tc>
          <w:tcPr>
            <w:tcW w:w="1180" w:type="dxa"/>
            <w:tcBorders>
              <w:top w:val="single" w:sz="4" w:space="0" w:color="auto"/>
              <w:left w:val="single" w:sz="4" w:space="0" w:color="auto"/>
              <w:bottom w:val="single" w:sz="4" w:space="0" w:color="auto"/>
              <w:right w:val="nil"/>
              <w:tl2br w:val="nil"/>
              <w:tr2bl w:val="nil"/>
            </w:tcBorders>
            <w:noWrap/>
            <w:textDirection w:val="lrTb"/>
            <w:vAlign w:val="center"/>
          </w:tcPr>
          <w:p w:rsidR="00B97FAA" w:rsidP="00C362EA">
            <w:pPr>
              <w:spacing w:line="240" w:lineRule="auto"/>
              <w:jc w:val="right"/>
              <w:rPr>
                <w:rFonts w:ascii="Times New Roman" w:hAnsi="Times New Roman" w:cs="Times New Roman"/>
              </w:rPr>
            </w:pPr>
            <w:r w:rsidR="008B6BC6">
              <w:rPr>
                <w:rFonts w:ascii="Times New Roman" w:hAnsi="Times New Roman" w:cs="Times New Roman"/>
              </w:rPr>
              <w:t>2 023 952</w:t>
            </w:r>
          </w:p>
        </w:tc>
        <w:tc>
          <w:tcPr>
            <w:tcW w:w="1196"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B97FAA" w:rsidP="00C362EA">
            <w:pPr>
              <w:spacing w:line="240" w:lineRule="auto"/>
              <w:jc w:val="right"/>
              <w:rPr>
                <w:rFonts w:ascii="Times New Roman" w:hAnsi="Times New Roman" w:cs="Times New Roman"/>
              </w:rPr>
            </w:pPr>
            <w:r w:rsidR="008B6BC6">
              <w:rPr>
                <w:rFonts w:ascii="Times New Roman" w:hAnsi="Times New Roman" w:cs="Times New Roman"/>
              </w:rPr>
              <w:t>571 047</w:t>
            </w:r>
          </w:p>
        </w:tc>
      </w:tr>
      <w:tr>
        <w:tblPrEx>
          <w:tblW w:w="10076" w:type="dxa"/>
          <w:jc w:val="center"/>
          <w:tblCellMar>
            <w:left w:w="70" w:type="dxa"/>
            <w:right w:w="70" w:type="dxa"/>
          </w:tblCellMar>
        </w:tblPrEx>
        <w:trPr>
          <w:trHeight w:hRule="exact" w:val="227"/>
          <w:jc w:val="center"/>
        </w:trPr>
        <w:tc>
          <w:tcPr>
            <w:tcW w:w="298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B97FAA" w:rsidP="00C362EA">
            <w:pPr>
              <w:spacing w:line="240" w:lineRule="auto"/>
              <w:rPr>
                <w:rFonts w:ascii="Times New Roman" w:hAnsi="Times New Roman" w:cs="Times New Roman"/>
              </w:rPr>
            </w:pPr>
            <w:r>
              <w:rPr>
                <w:rFonts w:ascii="Times New Roman" w:hAnsi="Times New Roman" w:cs="Times New Roman"/>
              </w:rPr>
              <w:t>Finančné účty</w:t>
            </w:r>
          </w:p>
        </w:tc>
        <w:tc>
          <w:tcPr>
            <w:tcW w:w="1180" w:type="dxa"/>
            <w:tcBorders>
              <w:top w:val="single" w:sz="4" w:space="0" w:color="auto"/>
              <w:left w:val="nil"/>
              <w:bottom w:val="single" w:sz="4" w:space="0" w:color="auto"/>
              <w:right w:val="single" w:sz="4" w:space="0" w:color="auto"/>
              <w:tl2br w:val="nil"/>
              <w:tr2bl w:val="nil"/>
            </w:tcBorders>
            <w:noWrap/>
            <w:textDirection w:val="lrTb"/>
            <w:vAlign w:val="center"/>
          </w:tcPr>
          <w:p w:rsidR="00B97FAA" w:rsidP="00C362EA">
            <w:pPr>
              <w:spacing w:line="240" w:lineRule="auto"/>
              <w:jc w:val="right"/>
              <w:rPr>
                <w:rFonts w:ascii="Times New Roman" w:hAnsi="Times New Roman" w:cs="Times New Roman"/>
              </w:rPr>
            </w:pPr>
            <w:r w:rsidR="007403F0">
              <w:rPr>
                <w:rFonts w:ascii="Times New Roman" w:hAnsi="Times New Roman" w:cs="Times New Roman"/>
              </w:rPr>
              <w:t>1 083 402</w:t>
            </w:r>
          </w:p>
        </w:tc>
        <w:tc>
          <w:tcPr>
            <w:tcW w:w="1180" w:type="dxa"/>
            <w:tcBorders>
              <w:top w:val="single" w:sz="4" w:space="0" w:color="auto"/>
              <w:left w:val="nil"/>
              <w:bottom w:val="single" w:sz="4" w:space="0" w:color="auto"/>
              <w:right w:val="nil"/>
              <w:tl2br w:val="nil"/>
              <w:tr2bl w:val="nil"/>
            </w:tcBorders>
            <w:noWrap/>
            <w:textDirection w:val="lrTb"/>
            <w:vAlign w:val="center"/>
          </w:tcPr>
          <w:p w:rsidR="00B97FAA" w:rsidP="00C362EA">
            <w:pPr>
              <w:spacing w:line="240" w:lineRule="auto"/>
              <w:jc w:val="right"/>
              <w:rPr>
                <w:rFonts w:ascii="Times New Roman" w:hAnsi="Times New Roman" w:cs="Times New Roman"/>
              </w:rPr>
            </w:pPr>
            <w:r w:rsidR="007403F0">
              <w:rPr>
                <w:rFonts w:ascii="Times New Roman" w:hAnsi="Times New Roman" w:cs="Times New Roman"/>
              </w:rPr>
              <w:t>1 184 695</w:t>
            </w:r>
          </w:p>
        </w:tc>
        <w:tc>
          <w:tcPr>
            <w:tcW w:w="1180" w:type="dxa"/>
            <w:tcBorders>
              <w:top w:val="single" w:sz="4" w:space="0" w:color="auto"/>
              <w:left w:val="single" w:sz="4" w:space="0" w:color="auto"/>
              <w:bottom w:val="single" w:sz="4" w:space="0" w:color="auto"/>
              <w:right w:val="nil"/>
              <w:tl2br w:val="nil"/>
              <w:tr2bl w:val="nil"/>
            </w:tcBorders>
            <w:noWrap/>
            <w:textDirection w:val="lrTb"/>
            <w:vAlign w:val="center"/>
          </w:tcPr>
          <w:p w:rsidR="00B97FAA" w:rsidP="00C362EA">
            <w:pPr>
              <w:spacing w:line="240" w:lineRule="auto"/>
              <w:jc w:val="right"/>
              <w:rPr>
                <w:rFonts w:ascii="Times New Roman" w:hAnsi="Times New Roman" w:cs="Times New Roman"/>
              </w:rPr>
            </w:pPr>
            <w:r w:rsidR="008B6BC6">
              <w:rPr>
                <w:rFonts w:ascii="Times New Roman" w:hAnsi="Times New Roman" w:cs="Times New Roman"/>
              </w:rPr>
              <w:t>1 479 424</w:t>
            </w:r>
          </w:p>
        </w:tc>
        <w:tc>
          <w:tcPr>
            <w:tcW w:w="1180" w:type="dxa"/>
            <w:tcBorders>
              <w:top w:val="single" w:sz="4" w:space="0" w:color="auto"/>
              <w:left w:val="single" w:sz="4" w:space="0" w:color="auto"/>
              <w:bottom w:val="single" w:sz="4" w:space="0" w:color="auto"/>
              <w:right w:val="nil"/>
              <w:tl2br w:val="nil"/>
              <w:tr2bl w:val="nil"/>
            </w:tcBorders>
            <w:noWrap/>
            <w:textDirection w:val="lrTb"/>
            <w:vAlign w:val="center"/>
          </w:tcPr>
          <w:p w:rsidR="00B97FAA" w:rsidP="00C362EA">
            <w:pPr>
              <w:spacing w:line="240" w:lineRule="auto"/>
              <w:jc w:val="right"/>
              <w:rPr>
                <w:rFonts w:ascii="Times New Roman" w:hAnsi="Times New Roman" w:cs="Times New Roman"/>
              </w:rPr>
            </w:pPr>
            <w:r w:rsidR="008B6BC6">
              <w:rPr>
                <w:rFonts w:ascii="Times New Roman" w:hAnsi="Times New Roman" w:cs="Times New Roman"/>
              </w:rPr>
              <w:t>1 793 214</w:t>
            </w:r>
          </w:p>
        </w:tc>
        <w:tc>
          <w:tcPr>
            <w:tcW w:w="1180" w:type="dxa"/>
            <w:tcBorders>
              <w:top w:val="single" w:sz="4" w:space="0" w:color="auto"/>
              <w:left w:val="single" w:sz="4" w:space="0" w:color="auto"/>
              <w:bottom w:val="single" w:sz="4" w:space="0" w:color="auto"/>
              <w:right w:val="nil"/>
              <w:tl2br w:val="nil"/>
              <w:tr2bl w:val="nil"/>
            </w:tcBorders>
            <w:noWrap/>
            <w:textDirection w:val="lrTb"/>
            <w:vAlign w:val="center"/>
          </w:tcPr>
          <w:p w:rsidR="00B97FAA" w:rsidP="00C362EA">
            <w:pPr>
              <w:spacing w:line="240" w:lineRule="auto"/>
              <w:jc w:val="right"/>
              <w:rPr>
                <w:rFonts w:ascii="Times New Roman" w:hAnsi="Times New Roman" w:cs="Times New Roman"/>
              </w:rPr>
            </w:pPr>
            <w:r w:rsidR="008B6BC6">
              <w:rPr>
                <w:rFonts w:ascii="Times New Roman" w:hAnsi="Times New Roman" w:cs="Times New Roman"/>
              </w:rPr>
              <w:t>384 073</w:t>
            </w:r>
          </w:p>
        </w:tc>
        <w:tc>
          <w:tcPr>
            <w:tcW w:w="1196"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B97FAA" w:rsidP="00C362EA">
            <w:pPr>
              <w:spacing w:line="240" w:lineRule="auto"/>
              <w:jc w:val="right"/>
              <w:rPr>
                <w:rFonts w:ascii="Times New Roman" w:hAnsi="Times New Roman" w:cs="Times New Roman"/>
              </w:rPr>
            </w:pPr>
            <w:r w:rsidR="008B6BC6">
              <w:rPr>
                <w:rFonts w:ascii="Times New Roman" w:hAnsi="Times New Roman" w:cs="Times New Roman"/>
              </w:rPr>
              <w:t>- 699 329</w:t>
            </w:r>
          </w:p>
        </w:tc>
      </w:tr>
      <w:tr>
        <w:tblPrEx>
          <w:tblW w:w="10076" w:type="dxa"/>
          <w:jc w:val="center"/>
          <w:tblCellMar>
            <w:left w:w="70" w:type="dxa"/>
            <w:right w:w="70" w:type="dxa"/>
          </w:tblCellMar>
        </w:tblPrEx>
        <w:trPr>
          <w:trHeight w:hRule="exact" w:val="227"/>
          <w:jc w:val="center"/>
        </w:trPr>
        <w:tc>
          <w:tcPr>
            <w:tcW w:w="298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B97FAA" w:rsidP="00C362EA">
            <w:pPr>
              <w:spacing w:line="240" w:lineRule="auto"/>
              <w:rPr>
                <w:rFonts w:ascii="Times New Roman" w:hAnsi="Times New Roman" w:cs="Times New Roman"/>
                <w:b/>
                <w:bCs/>
              </w:rPr>
            </w:pPr>
            <w:r>
              <w:rPr>
                <w:rFonts w:ascii="Times New Roman" w:hAnsi="Times New Roman" w:cs="Times New Roman"/>
                <w:b/>
                <w:bCs/>
              </w:rPr>
              <w:t>Časové rozlíšenie</w:t>
            </w:r>
          </w:p>
        </w:tc>
        <w:tc>
          <w:tcPr>
            <w:tcW w:w="1180" w:type="dxa"/>
            <w:tcBorders>
              <w:top w:val="single" w:sz="4" w:space="0" w:color="auto"/>
              <w:left w:val="nil"/>
              <w:bottom w:val="single" w:sz="4" w:space="0" w:color="auto"/>
              <w:right w:val="single" w:sz="4" w:space="0" w:color="auto"/>
              <w:tl2br w:val="nil"/>
              <w:tr2bl w:val="nil"/>
            </w:tcBorders>
            <w:noWrap/>
            <w:textDirection w:val="lrTb"/>
            <w:vAlign w:val="center"/>
          </w:tcPr>
          <w:p w:rsidR="00B97FAA" w:rsidP="00C362EA">
            <w:pPr>
              <w:spacing w:line="240" w:lineRule="auto"/>
              <w:jc w:val="right"/>
              <w:rPr>
                <w:rFonts w:ascii="Times New Roman" w:hAnsi="Times New Roman" w:cs="Times New Roman"/>
                <w:b/>
                <w:bCs/>
              </w:rPr>
            </w:pPr>
            <w:r w:rsidR="007403F0">
              <w:rPr>
                <w:rFonts w:ascii="Times New Roman" w:hAnsi="Times New Roman" w:cs="Times New Roman"/>
                <w:b/>
                <w:bCs/>
              </w:rPr>
              <w:t>62 126</w:t>
            </w:r>
          </w:p>
        </w:tc>
        <w:tc>
          <w:tcPr>
            <w:tcW w:w="1180" w:type="dxa"/>
            <w:tcBorders>
              <w:top w:val="single" w:sz="4" w:space="0" w:color="auto"/>
              <w:left w:val="nil"/>
              <w:bottom w:val="single" w:sz="4" w:space="0" w:color="auto"/>
              <w:right w:val="nil"/>
              <w:tl2br w:val="nil"/>
              <w:tr2bl w:val="nil"/>
            </w:tcBorders>
            <w:noWrap/>
            <w:textDirection w:val="lrTb"/>
            <w:vAlign w:val="center"/>
          </w:tcPr>
          <w:p w:rsidR="00B97FAA" w:rsidP="00C362EA">
            <w:pPr>
              <w:spacing w:line="240" w:lineRule="auto"/>
              <w:jc w:val="right"/>
              <w:rPr>
                <w:rFonts w:ascii="Times New Roman" w:hAnsi="Times New Roman" w:cs="Times New Roman"/>
                <w:b/>
                <w:bCs/>
              </w:rPr>
            </w:pPr>
            <w:r w:rsidR="007403F0">
              <w:rPr>
                <w:rFonts w:ascii="Times New Roman" w:hAnsi="Times New Roman" w:cs="Times New Roman"/>
                <w:b/>
                <w:bCs/>
              </w:rPr>
              <w:t>58 685</w:t>
            </w:r>
          </w:p>
        </w:tc>
        <w:tc>
          <w:tcPr>
            <w:tcW w:w="1180" w:type="dxa"/>
            <w:tcBorders>
              <w:top w:val="single" w:sz="4" w:space="0" w:color="auto"/>
              <w:left w:val="single" w:sz="4" w:space="0" w:color="auto"/>
              <w:bottom w:val="single" w:sz="4" w:space="0" w:color="auto"/>
              <w:right w:val="nil"/>
              <w:tl2br w:val="nil"/>
              <w:tr2bl w:val="nil"/>
            </w:tcBorders>
            <w:noWrap/>
            <w:textDirection w:val="lrTb"/>
            <w:vAlign w:val="center"/>
          </w:tcPr>
          <w:p w:rsidR="00B97FAA" w:rsidP="00C362EA">
            <w:pPr>
              <w:spacing w:line="240" w:lineRule="auto"/>
              <w:jc w:val="right"/>
              <w:rPr>
                <w:rFonts w:ascii="Times New Roman" w:hAnsi="Times New Roman" w:cs="Times New Roman"/>
                <w:b/>
                <w:bCs/>
              </w:rPr>
            </w:pPr>
            <w:r w:rsidR="008B6BC6">
              <w:rPr>
                <w:rFonts w:ascii="Times New Roman" w:hAnsi="Times New Roman" w:cs="Times New Roman"/>
                <w:b/>
                <w:bCs/>
              </w:rPr>
              <w:t>57 528</w:t>
            </w:r>
          </w:p>
        </w:tc>
        <w:tc>
          <w:tcPr>
            <w:tcW w:w="1180" w:type="dxa"/>
            <w:tcBorders>
              <w:top w:val="single" w:sz="4" w:space="0" w:color="auto"/>
              <w:left w:val="single" w:sz="4" w:space="0" w:color="auto"/>
              <w:bottom w:val="single" w:sz="4" w:space="0" w:color="auto"/>
              <w:right w:val="nil"/>
              <w:tl2br w:val="nil"/>
              <w:tr2bl w:val="nil"/>
            </w:tcBorders>
            <w:noWrap/>
            <w:textDirection w:val="lrTb"/>
            <w:vAlign w:val="center"/>
          </w:tcPr>
          <w:p w:rsidR="00B97FAA" w:rsidP="00C362EA">
            <w:pPr>
              <w:spacing w:line="240" w:lineRule="auto"/>
              <w:jc w:val="right"/>
              <w:rPr>
                <w:rFonts w:ascii="Times New Roman" w:hAnsi="Times New Roman" w:cs="Times New Roman"/>
                <w:b/>
                <w:bCs/>
              </w:rPr>
            </w:pPr>
            <w:r w:rsidR="008B6BC6">
              <w:rPr>
                <w:rFonts w:ascii="Times New Roman" w:hAnsi="Times New Roman" w:cs="Times New Roman"/>
                <w:b/>
                <w:bCs/>
              </w:rPr>
              <w:t>65 677</w:t>
            </w:r>
          </w:p>
        </w:tc>
        <w:tc>
          <w:tcPr>
            <w:tcW w:w="1180" w:type="dxa"/>
            <w:tcBorders>
              <w:top w:val="single" w:sz="4" w:space="0" w:color="auto"/>
              <w:left w:val="single" w:sz="4" w:space="0" w:color="auto"/>
              <w:bottom w:val="single" w:sz="4" w:space="0" w:color="auto"/>
              <w:right w:val="nil"/>
              <w:tl2br w:val="nil"/>
              <w:tr2bl w:val="nil"/>
            </w:tcBorders>
            <w:noWrap/>
            <w:textDirection w:val="lrTb"/>
            <w:vAlign w:val="center"/>
          </w:tcPr>
          <w:p w:rsidR="00B97FAA" w:rsidP="00C362EA">
            <w:pPr>
              <w:spacing w:line="240" w:lineRule="auto"/>
              <w:jc w:val="right"/>
              <w:rPr>
                <w:rFonts w:ascii="Times New Roman" w:hAnsi="Times New Roman" w:cs="Times New Roman"/>
                <w:b/>
                <w:bCs/>
              </w:rPr>
            </w:pPr>
            <w:r w:rsidR="008B6BC6">
              <w:rPr>
                <w:rFonts w:ascii="Times New Roman" w:hAnsi="Times New Roman" w:cs="Times New Roman"/>
                <w:b/>
                <w:bCs/>
              </w:rPr>
              <w:t>82 208</w:t>
            </w:r>
          </w:p>
        </w:tc>
        <w:tc>
          <w:tcPr>
            <w:tcW w:w="1196"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B97FAA" w:rsidP="00C362EA">
            <w:pPr>
              <w:spacing w:line="240" w:lineRule="auto"/>
              <w:jc w:val="right"/>
              <w:rPr>
                <w:rFonts w:ascii="Times New Roman" w:hAnsi="Times New Roman" w:cs="Times New Roman"/>
                <w:b/>
                <w:bCs/>
              </w:rPr>
            </w:pPr>
            <w:r w:rsidR="008B6BC6">
              <w:rPr>
                <w:rFonts w:ascii="Times New Roman" w:hAnsi="Times New Roman" w:cs="Times New Roman"/>
                <w:b/>
                <w:bCs/>
              </w:rPr>
              <w:t>20 082</w:t>
            </w:r>
          </w:p>
        </w:tc>
      </w:tr>
      <w:tr>
        <w:tblPrEx>
          <w:tblW w:w="10076" w:type="dxa"/>
          <w:jc w:val="center"/>
          <w:tblCellMar>
            <w:left w:w="70" w:type="dxa"/>
            <w:right w:w="70" w:type="dxa"/>
          </w:tblCellMar>
        </w:tblPrEx>
        <w:trPr>
          <w:trHeight w:val="255"/>
          <w:jc w:val="center"/>
        </w:trPr>
        <w:tc>
          <w:tcPr>
            <w:tcW w:w="2980" w:type="dxa"/>
            <w:tcBorders>
              <w:top w:val="single" w:sz="4" w:space="0" w:color="auto"/>
              <w:left w:val="single" w:sz="4" w:space="0" w:color="auto"/>
              <w:bottom w:val="single" w:sz="4" w:space="0" w:color="auto"/>
              <w:right w:val="single" w:sz="4" w:space="0" w:color="auto"/>
              <w:tl2br w:val="nil"/>
              <w:tr2bl w:val="nil"/>
            </w:tcBorders>
            <w:shd w:val="clear" w:color="auto" w:fill="C0C0C0"/>
            <w:noWrap/>
            <w:textDirection w:val="lrTb"/>
            <w:vAlign w:val="center"/>
          </w:tcPr>
          <w:p w:rsidR="00B97FAA" w:rsidP="00C362EA">
            <w:pPr>
              <w:spacing w:line="240" w:lineRule="auto"/>
              <w:rPr>
                <w:rFonts w:ascii="Times New Roman" w:hAnsi="Times New Roman" w:cs="Times New Roman"/>
                <w:b/>
                <w:bCs/>
              </w:rPr>
            </w:pPr>
            <w:r w:rsidR="00EE757E">
              <w:rPr>
                <w:rFonts w:ascii="Times New Roman" w:hAnsi="Times New Roman" w:cs="Times New Roman"/>
                <w:b/>
                <w:bCs/>
              </w:rPr>
              <w:t>PASÍVA</w:t>
            </w:r>
          </w:p>
        </w:tc>
        <w:tc>
          <w:tcPr>
            <w:tcW w:w="1180" w:type="dxa"/>
            <w:tcBorders>
              <w:top w:val="single" w:sz="4" w:space="0" w:color="auto"/>
              <w:left w:val="single" w:sz="4" w:space="0" w:color="auto"/>
              <w:bottom w:val="single" w:sz="4" w:space="0" w:color="auto"/>
              <w:right w:val="single" w:sz="4" w:space="0" w:color="auto"/>
              <w:tl2br w:val="nil"/>
              <w:tr2bl w:val="nil"/>
            </w:tcBorders>
            <w:shd w:val="clear" w:color="auto" w:fill="C0C0C0"/>
            <w:noWrap/>
            <w:textDirection w:val="lrTb"/>
            <w:vAlign w:val="center"/>
          </w:tcPr>
          <w:p w:rsidR="00B97FAA" w:rsidP="00C362EA">
            <w:pPr>
              <w:spacing w:line="240" w:lineRule="auto"/>
              <w:jc w:val="right"/>
              <w:rPr>
                <w:rFonts w:ascii="Times New Roman" w:hAnsi="Times New Roman" w:cs="Times New Roman"/>
                <w:b/>
                <w:bCs/>
              </w:rPr>
            </w:pPr>
            <w:r w:rsidR="007403F0">
              <w:rPr>
                <w:rFonts w:ascii="Times New Roman" w:hAnsi="Times New Roman" w:cs="Times New Roman"/>
                <w:b/>
                <w:bCs/>
              </w:rPr>
              <w:t>68 885 997</w:t>
            </w:r>
          </w:p>
        </w:tc>
        <w:tc>
          <w:tcPr>
            <w:tcW w:w="1180" w:type="dxa"/>
            <w:tcBorders>
              <w:top w:val="single" w:sz="4" w:space="0" w:color="auto"/>
              <w:left w:val="single" w:sz="4" w:space="0" w:color="auto"/>
              <w:bottom w:val="single" w:sz="4" w:space="0" w:color="auto"/>
              <w:right w:val="single" w:sz="4" w:space="0" w:color="auto"/>
              <w:tl2br w:val="nil"/>
              <w:tr2bl w:val="nil"/>
            </w:tcBorders>
            <w:shd w:val="clear" w:color="auto" w:fill="C0C0C0"/>
            <w:noWrap/>
            <w:textDirection w:val="lrTb"/>
            <w:vAlign w:val="center"/>
          </w:tcPr>
          <w:p w:rsidR="00B97FAA" w:rsidP="00C362EA">
            <w:pPr>
              <w:spacing w:line="240" w:lineRule="auto"/>
              <w:jc w:val="right"/>
              <w:rPr>
                <w:rFonts w:ascii="Times New Roman" w:hAnsi="Times New Roman" w:cs="Times New Roman"/>
                <w:b/>
                <w:bCs/>
              </w:rPr>
            </w:pPr>
            <w:r w:rsidR="0058179B">
              <w:rPr>
                <w:rFonts w:ascii="Times New Roman" w:hAnsi="Times New Roman" w:cs="Times New Roman"/>
                <w:b/>
                <w:bCs/>
              </w:rPr>
              <w:t>68 675 282</w:t>
            </w:r>
          </w:p>
        </w:tc>
        <w:tc>
          <w:tcPr>
            <w:tcW w:w="1180" w:type="dxa"/>
            <w:tcBorders>
              <w:top w:val="single" w:sz="4" w:space="0" w:color="auto"/>
              <w:left w:val="single" w:sz="4" w:space="0" w:color="auto"/>
              <w:bottom w:val="single" w:sz="4" w:space="0" w:color="auto"/>
              <w:right w:val="single" w:sz="4" w:space="0" w:color="auto"/>
              <w:tl2br w:val="nil"/>
              <w:tr2bl w:val="nil"/>
            </w:tcBorders>
            <w:shd w:val="clear" w:color="auto" w:fill="C0C0C0"/>
            <w:noWrap/>
            <w:textDirection w:val="lrTb"/>
            <w:vAlign w:val="center"/>
          </w:tcPr>
          <w:p w:rsidR="00B97FAA" w:rsidP="00C362EA">
            <w:pPr>
              <w:spacing w:line="240" w:lineRule="auto"/>
              <w:jc w:val="right"/>
              <w:rPr>
                <w:rFonts w:ascii="Times New Roman" w:hAnsi="Times New Roman" w:cs="Times New Roman"/>
                <w:b/>
                <w:bCs/>
              </w:rPr>
            </w:pPr>
            <w:r w:rsidR="0058179B">
              <w:rPr>
                <w:rFonts w:ascii="Times New Roman" w:hAnsi="Times New Roman" w:cs="Times New Roman"/>
                <w:b/>
                <w:bCs/>
              </w:rPr>
              <w:t>70 304 848</w:t>
            </w:r>
          </w:p>
        </w:tc>
        <w:tc>
          <w:tcPr>
            <w:tcW w:w="1180" w:type="dxa"/>
            <w:tcBorders>
              <w:top w:val="single" w:sz="4" w:space="0" w:color="auto"/>
              <w:left w:val="single" w:sz="4" w:space="0" w:color="auto"/>
              <w:bottom w:val="single" w:sz="4" w:space="0" w:color="auto"/>
              <w:right w:val="single" w:sz="4" w:space="0" w:color="auto"/>
              <w:tl2br w:val="nil"/>
              <w:tr2bl w:val="nil"/>
            </w:tcBorders>
            <w:shd w:val="clear" w:color="auto" w:fill="C0C0C0"/>
            <w:noWrap/>
            <w:textDirection w:val="lrTb"/>
            <w:vAlign w:val="center"/>
          </w:tcPr>
          <w:p w:rsidR="00B97FAA" w:rsidP="00C362EA">
            <w:pPr>
              <w:spacing w:line="240" w:lineRule="auto"/>
              <w:jc w:val="right"/>
              <w:rPr>
                <w:rFonts w:ascii="Times New Roman" w:hAnsi="Times New Roman" w:cs="Times New Roman"/>
                <w:b/>
                <w:bCs/>
              </w:rPr>
            </w:pPr>
            <w:r w:rsidR="0058179B">
              <w:rPr>
                <w:rFonts w:ascii="Times New Roman" w:hAnsi="Times New Roman" w:cs="Times New Roman"/>
                <w:b/>
                <w:bCs/>
              </w:rPr>
              <w:t>72 525 550</w:t>
            </w:r>
          </w:p>
        </w:tc>
        <w:tc>
          <w:tcPr>
            <w:tcW w:w="1180" w:type="dxa"/>
            <w:tcBorders>
              <w:top w:val="single" w:sz="4" w:space="0" w:color="auto"/>
              <w:left w:val="single" w:sz="4" w:space="0" w:color="auto"/>
              <w:bottom w:val="single" w:sz="4" w:space="0" w:color="auto"/>
              <w:right w:val="single" w:sz="4" w:space="0" w:color="auto"/>
              <w:tl2br w:val="nil"/>
              <w:tr2bl w:val="nil"/>
            </w:tcBorders>
            <w:shd w:val="clear" w:color="auto" w:fill="C0C0C0"/>
            <w:noWrap/>
            <w:textDirection w:val="lrTb"/>
            <w:vAlign w:val="center"/>
          </w:tcPr>
          <w:p w:rsidR="00B97FAA" w:rsidP="00C362EA">
            <w:pPr>
              <w:spacing w:line="240" w:lineRule="auto"/>
              <w:jc w:val="right"/>
              <w:rPr>
                <w:rFonts w:ascii="Times New Roman" w:hAnsi="Times New Roman" w:cs="Times New Roman"/>
                <w:b/>
                <w:bCs/>
              </w:rPr>
            </w:pPr>
            <w:r w:rsidR="0058179B">
              <w:rPr>
                <w:rFonts w:ascii="Times New Roman" w:hAnsi="Times New Roman" w:cs="Times New Roman"/>
                <w:b/>
                <w:bCs/>
              </w:rPr>
              <w:t>76 393 491</w:t>
            </w:r>
          </w:p>
        </w:tc>
        <w:tc>
          <w:tcPr>
            <w:tcW w:w="1196" w:type="dxa"/>
            <w:tcBorders>
              <w:top w:val="single" w:sz="4" w:space="0" w:color="auto"/>
              <w:left w:val="single" w:sz="4" w:space="0" w:color="auto"/>
              <w:bottom w:val="single" w:sz="4" w:space="0" w:color="auto"/>
              <w:right w:val="single" w:sz="4" w:space="0" w:color="auto"/>
              <w:tl2br w:val="nil"/>
              <w:tr2bl w:val="nil"/>
            </w:tcBorders>
            <w:shd w:val="clear" w:color="auto" w:fill="C0C0C0"/>
            <w:noWrap/>
            <w:textDirection w:val="lrTb"/>
            <w:vAlign w:val="center"/>
          </w:tcPr>
          <w:p w:rsidR="00B97FAA" w:rsidP="00C362EA">
            <w:pPr>
              <w:spacing w:line="240" w:lineRule="auto"/>
              <w:jc w:val="right"/>
              <w:rPr>
                <w:rFonts w:ascii="Times New Roman" w:hAnsi="Times New Roman" w:cs="Times New Roman"/>
                <w:b/>
                <w:bCs/>
              </w:rPr>
            </w:pPr>
            <w:r w:rsidR="0058179B">
              <w:rPr>
                <w:rFonts w:ascii="Times New Roman" w:hAnsi="Times New Roman" w:cs="Times New Roman"/>
                <w:b/>
                <w:bCs/>
              </w:rPr>
              <w:t>7 507 494</w:t>
            </w:r>
          </w:p>
        </w:tc>
      </w:tr>
      <w:tr>
        <w:tblPrEx>
          <w:tblW w:w="10076" w:type="dxa"/>
          <w:jc w:val="center"/>
          <w:tblCellMar>
            <w:left w:w="70" w:type="dxa"/>
            <w:right w:w="70" w:type="dxa"/>
          </w:tblCellMar>
        </w:tblPrEx>
        <w:trPr>
          <w:trHeight w:hRule="exact" w:val="227"/>
          <w:jc w:val="center"/>
        </w:trPr>
        <w:tc>
          <w:tcPr>
            <w:tcW w:w="298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B97FAA" w:rsidP="00C362EA">
            <w:pPr>
              <w:spacing w:line="240" w:lineRule="auto"/>
              <w:rPr>
                <w:rFonts w:ascii="Times New Roman" w:hAnsi="Times New Roman" w:cs="Times New Roman"/>
                <w:b/>
                <w:bCs/>
              </w:rPr>
            </w:pPr>
            <w:r>
              <w:rPr>
                <w:rFonts w:ascii="Times New Roman" w:hAnsi="Times New Roman" w:cs="Times New Roman"/>
                <w:b/>
                <w:bCs/>
              </w:rPr>
              <w:t>Vlastné imanie</w:t>
            </w:r>
          </w:p>
        </w:tc>
        <w:tc>
          <w:tcPr>
            <w:tcW w:w="1180" w:type="dxa"/>
            <w:tcBorders>
              <w:top w:val="single" w:sz="4" w:space="0" w:color="auto"/>
              <w:left w:val="nil"/>
              <w:bottom w:val="single" w:sz="4" w:space="0" w:color="auto"/>
              <w:right w:val="single" w:sz="4" w:space="0" w:color="auto"/>
              <w:tl2br w:val="nil"/>
              <w:tr2bl w:val="nil"/>
            </w:tcBorders>
            <w:noWrap/>
            <w:textDirection w:val="lrTb"/>
            <w:vAlign w:val="center"/>
          </w:tcPr>
          <w:p w:rsidR="00B97FAA" w:rsidP="00C362EA">
            <w:pPr>
              <w:spacing w:line="240" w:lineRule="auto"/>
              <w:jc w:val="right"/>
              <w:rPr>
                <w:rFonts w:ascii="Times New Roman" w:hAnsi="Times New Roman" w:cs="Times New Roman"/>
                <w:b/>
                <w:bCs/>
              </w:rPr>
            </w:pPr>
            <w:r w:rsidR="007403F0">
              <w:rPr>
                <w:rFonts w:ascii="Times New Roman" w:hAnsi="Times New Roman" w:cs="Times New Roman"/>
                <w:b/>
                <w:bCs/>
              </w:rPr>
              <w:t>28 144 123</w:t>
            </w:r>
          </w:p>
        </w:tc>
        <w:tc>
          <w:tcPr>
            <w:tcW w:w="1180" w:type="dxa"/>
            <w:tcBorders>
              <w:top w:val="single" w:sz="4" w:space="0" w:color="auto"/>
              <w:left w:val="nil"/>
              <w:bottom w:val="single" w:sz="4" w:space="0" w:color="auto"/>
              <w:right w:val="single" w:sz="4" w:space="0" w:color="auto"/>
              <w:tl2br w:val="nil"/>
              <w:tr2bl w:val="nil"/>
            </w:tcBorders>
            <w:noWrap/>
            <w:textDirection w:val="lrTb"/>
            <w:vAlign w:val="center"/>
          </w:tcPr>
          <w:p w:rsidR="00B97FAA" w:rsidP="00C362EA">
            <w:pPr>
              <w:spacing w:line="240" w:lineRule="auto"/>
              <w:jc w:val="right"/>
              <w:rPr>
                <w:rFonts w:ascii="Times New Roman" w:hAnsi="Times New Roman" w:cs="Times New Roman"/>
                <w:b/>
                <w:bCs/>
              </w:rPr>
            </w:pPr>
            <w:r w:rsidR="0058179B">
              <w:rPr>
                <w:rFonts w:ascii="Times New Roman" w:hAnsi="Times New Roman" w:cs="Times New Roman"/>
                <w:b/>
                <w:bCs/>
              </w:rPr>
              <w:t>34 669 138</w:t>
            </w:r>
          </w:p>
        </w:tc>
        <w:tc>
          <w:tcPr>
            <w:tcW w:w="1180" w:type="dxa"/>
            <w:tcBorders>
              <w:top w:val="single" w:sz="4" w:space="0" w:color="auto"/>
              <w:left w:val="nil"/>
              <w:bottom w:val="single" w:sz="4" w:space="0" w:color="auto"/>
              <w:right w:val="single" w:sz="4" w:space="0" w:color="auto"/>
              <w:tl2br w:val="nil"/>
              <w:tr2bl w:val="nil"/>
            </w:tcBorders>
            <w:noWrap/>
            <w:textDirection w:val="lrTb"/>
            <w:vAlign w:val="center"/>
          </w:tcPr>
          <w:p w:rsidR="00B97FAA" w:rsidP="00C362EA">
            <w:pPr>
              <w:spacing w:line="240" w:lineRule="auto"/>
              <w:jc w:val="right"/>
              <w:rPr>
                <w:rFonts w:ascii="Times New Roman" w:hAnsi="Times New Roman" w:cs="Times New Roman"/>
                <w:b/>
                <w:bCs/>
              </w:rPr>
            </w:pPr>
            <w:r w:rsidR="0058179B">
              <w:rPr>
                <w:rFonts w:ascii="Times New Roman" w:hAnsi="Times New Roman" w:cs="Times New Roman"/>
                <w:b/>
                <w:bCs/>
              </w:rPr>
              <w:t>48 940 301</w:t>
            </w:r>
          </w:p>
        </w:tc>
        <w:tc>
          <w:tcPr>
            <w:tcW w:w="1180" w:type="dxa"/>
            <w:tcBorders>
              <w:top w:val="single" w:sz="4" w:space="0" w:color="auto"/>
              <w:left w:val="nil"/>
              <w:bottom w:val="single" w:sz="4" w:space="0" w:color="auto"/>
              <w:right w:val="single" w:sz="4" w:space="0" w:color="auto"/>
              <w:tl2br w:val="nil"/>
              <w:tr2bl w:val="nil"/>
            </w:tcBorders>
            <w:noWrap/>
            <w:textDirection w:val="lrTb"/>
            <w:vAlign w:val="center"/>
          </w:tcPr>
          <w:p w:rsidR="00B97FAA" w:rsidP="00C362EA">
            <w:pPr>
              <w:spacing w:line="240" w:lineRule="auto"/>
              <w:jc w:val="right"/>
              <w:rPr>
                <w:rFonts w:ascii="Times New Roman" w:hAnsi="Times New Roman" w:cs="Times New Roman"/>
                <w:b/>
                <w:bCs/>
              </w:rPr>
            </w:pPr>
            <w:r w:rsidR="0058179B">
              <w:rPr>
                <w:rFonts w:ascii="Times New Roman" w:hAnsi="Times New Roman" w:cs="Times New Roman"/>
                <w:b/>
                <w:bCs/>
              </w:rPr>
              <w:t>49 045 036</w:t>
            </w:r>
          </w:p>
        </w:tc>
        <w:tc>
          <w:tcPr>
            <w:tcW w:w="1180" w:type="dxa"/>
            <w:tcBorders>
              <w:top w:val="single" w:sz="4" w:space="0" w:color="auto"/>
              <w:left w:val="nil"/>
              <w:bottom w:val="single" w:sz="4" w:space="0" w:color="auto"/>
              <w:right w:val="single" w:sz="4" w:space="0" w:color="auto"/>
              <w:tl2br w:val="nil"/>
              <w:tr2bl w:val="nil"/>
            </w:tcBorders>
            <w:noWrap/>
            <w:textDirection w:val="lrTb"/>
            <w:vAlign w:val="center"/>
          </w:tcPr>
          <w:p w:rsidR="00B97FAA" w:rsidP="00C362EA">
            <w:pPr>
              <w:spacing w:line="240" w:lineRule="auto"/>
              <w:jc w:val="right"/>
              <w:rPr>
                <w:rFonts w:ascii="Times New Roman" w:hAnsi="Times New Roman" w:cs="Times New Roman"/>
                <w:b/>
                <w:bCs/>
              </w:rPr>
            </w:pPr>
            <w:r w:rsidR="0058179B">
              <w:rPr>
                <w:rFonts w:ascii="Times New Roman" w:hAnsi="Times New Roman" w:cs="Times New Roman"/>
                <w:b/>
                <w:bCs/>
              </w:rPr>
              <w:t>48 787 562</w:t>
            </w:r>
          </w:p>
        </w:tc>
        <w:tc>
          <w:tcPr>
            <w:tcW w:w="1196" w:type="dxa"/>
            <w:tcBorders>
              <w:top w:val="single" w:sz="4" w:space="0" w:color="auto"/>
              <w:left w:val="nil"/>
              <w:bottom w:val="single" w:sz="4" w:space="0" w:color="auto"/>
              <w:right w:val="single" w:sz="4" w:space="0" w:color="auto"/>
              <w:tl2br w:val="nil"/>
              <w:tr2bl w:val="nil"/>
            </w:tcBorders>
            <w:noWrap/>
            <w:textDirection w:val="lrTb"/>
            <w:vAlign w:val="center"/>
          </w:tcPr>
          <w:p w:rsidR="00B97FAA" w:rsidP="00C362EA">
            <w:pPr>
              <w:spacing w:line="240" w:lineRule="auto"/>
              <w:jc w:val="right"/>
              <w:rPr>
                <w:rFonts w:ascii="Times New Roman" w:hAnsi="Times New Roman" w:cs="Times New Roman"/>
                <w:b/>
                <w:bCs/>
              </w:rPr>
            </w:pPr>
            <w:r w:rsidR="0058179B">
              <w:rPr>
                <w:rFonts w:ascii="Times New Roman" w:hAnsi="Times New Roman" w:cs="Times New Roman"/>
                <w:b/>
                <w:bCs/>
              </w:rPr>
              <w:t>20 643 439</w:t>
            </w:r>
          </w:p>
        </w:tc>
      </w:tr>
      <w:tr>
        <w:tblPrEx>
          <w:tblW w:w="10076" w:type="dxa"/>
          <w:jc w:val="center"/>
          <w:tblCellMar>
            <w:left w:w="70" w:type="dxa"/>
            <w:right w:w="70" w:type="dxa"/>
          </w:tblCellMar>
        </w:tblPrEx>
        <w:trPr>
          <w:trHeight w:hRule="exact" w:val="227"/>
          <w:jc w:val="center"/>
        </w:trPr>
        <w:tc>
          <w:tcPr>
            <w:tcW w:w="298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B97FAA" w:rsidP="00C362EA">
            <w:pPr>
              <w:spacing w:line="240" w:lineRule="auto"/>
              <w:rPr>
                <w:rFonts w:ascii="Times New Roman" w:hAnsi="Times New Roman" w:cs="Times New Roman"/>
              </w:rPr>
            </w:pPr>
            <w:r>
              <w:rPr>
                <w:rFonts w:ascii="Times New Roman" w:hAnsi="Times New Roman" w:cs="Times New Roman"/>
              </w:rPr>
              <w:t>Základné imanie</w:t>
            </w:r>
          </w:p>
        </w:tc>
        <w:tc>
          <w:tcPr>
            <w:tcW w:w="1180" w:type="dxa"/>
            <w:tcBorders>
              <w:top w:val="single" w:sz="4" w:space="0" w:color="auto"/>
              <w:left w:val="nil"/>
              <w:bottom w:val="single" w:sz="4" w:space="0" w:color="auto"/>
              <w:right w:val="single" w:sz="4" w:space="0" w:color="auto"/>
              <w:tl2br w:val="nil"/>
              <w:tr2bl w:val="nil"/>
            </w:tcBorders>
            <w:noWrap/>
            <w:textDirection w:val="lrTb"/>
            <w:vAlign w:val="center"/>
          </w:tcPr>
          <w:p w:rsidR="00B97FAA" w:rsidP="00C362EA">
            <w:pPr>
              <w:spacing w:line="240" w:lineRule="auto"/>
              <w:jc w:val="right"/>
              <w:rPr>
                <w:rFonts w:ascii="Times New Roman" w:hAnsi="Times New Roman" w:cs="Times New Roman"/>
              </w:rPr>
            </w:pPr>
            <w:r w:rsidR="007403F0">
              <w:rPr>
                <w:rFonts w:ascii="Times New Roman" w:hAnsi="Times New Roman" w:cs="Times New Roman"/>
              </w:rPr>
              <w:t>22 905 924</w:t>
            </w:r>
          </w:p>
        </w:tc>
        <w:tc>
          <w:tcPr>
            <w:tcW w:w="1180" w:type="dxa"/>
            <w:tcBorders>
              <w:top w:val="single" w:sz="4" w:space="0" w:color="auto"/>
              <w:left w:val="nil"/>
              <w:bottom w:val="single" w:sz="4" w:space="0" w:color="auto"/>
              <w:right w:val="nil"/>
              <w:tl2br w:val="nil"/>
              <w:tr2bl w:val="nil"/>
            </w:tcBorders>
            <w:noWrap/>
            <w:textDirection w:val="lrTb"/>
            <w:vAlign w:val="center"/>
          </w:tcPr>
          <w:p w:rsidR="00B97FAA" w:rsidP="00C362EA">
            <w:pPr>
              <w:spacing w:line="240" w:lineRule="auto"/>
              <w:jc w:val="right"/>
              <w:rPr>
                <w:rFonts w:ascii="Times New Roman" w:hAnsi="Times New Roman" w:cs="Times New Roman"/>
              </w:rPr>
            </w:pPr>
            <w:r w:rsidR="0058179B">
              <w:rPr>
                <w:rFonts w:ascii="Times New Roman" w:hAnsi="Times New Roman" w:cs="Times New Roman"/>
              </w:rPr>
              <w:t>22 905 924</w:t>
            </w:r>
          </w:p>
        </w:tc>
        <w:tc>
          <w:tcPr>
            <w:tcW w:w="1180" w:type="dxa"/>
            <w:tcBorders>
              <w:top w:val="single" w:sz="4" w:space="0" w:color="auto"/>
              <w:left w:val="single" w:sz="4" w:space="0" w:color="auto"/>
              <w:bottom w:val="single" w:sz="4" w:space="0" w:color="auto"/>
              <w:right w:val="nil"/>
              <w:tl2br w:val="nil"/>
              <w:tr2bl w:val="nil"/>
            </w:tcBorders>
            <w:noWrap/>
            <w:textDirection w:val="lrTb"/>
            <w:vAlign w:val="center"/>
          </w:tcPr>
          <w:p w:rsidR="00B97FAA" w:rsidP="00C362EA">
            <w:pPr>
              <w:spacing w:line="240" w:lineRule="auto"/>
              <w:jc w:val="right"/>
              <w:rPr>
                <w:rFonts w:ascii="Times New Roman" w:hAnsi="Times New Roman" w:cs="Times New Roman"/>
              </w:rPr>
            </w:pPr>
            <w:r w:rsidR="0058179B">
              <w:rPr>
                <w:rFonts w:ascii="Times New Roman" w:hAnsi="Times New Roman" w:cs="Times New Roman"/>
              </w:rPr>
              <w:t>22 905 924</w:t>
            </w:r>
          </w:p>
        </w:tc>
        <w:tc>
          <w:tcPr>
            <w:tcW w:w="1180" w:type="dxa"/>
            <w:tcBorders>
              <w:top w:val="single" w:sz="4" w:space="0" w:color="auto"/>
              <w:left w:val="single" w:sz="4" w:space="0" w:color="auto"/>
              <w:bottom w:val="single" w:sz="4" w:space="0" w:color="auto"/>
              <w:right w:val="nil"/>
              <w:tl2br w:val="nil"/>
              <w:tr2bl w:val="nil"/>
            </w:tcBorders>
            <w:noWrap/>
            <w:textDirection w:val="lrTb"/>
            <w:vAlign w:val="center"/>
          </w:tcPr>
          <w:p w:rsidR="00B97FAA" w:rsidP="00C362EA">
            <w:pPr>
              <w:spacing w:line="240" w:lineRule="auto"/>
              <w:jc w:val="right"/>
              <w:rPr>
                <w:rFonts w:ascii="Times New Roman" w:hAnsi="Times New Roman" w:cs="Times New Roman"/>
              </w:rPr>
            </w:pPr>
            <w:r w:rsidR="0058179B">
              <w:rPr>
                <w:rFonts w:ascii="Times New Roman" w:hAnsi="Times New Roman" w:cs="Times New Roman"/>
              </w:rPr>
              <w:t>22 905 924</w:t>
            </w:r>
          </w:p>
        </w:tc>
        <w:tc>
          <w:tcPr>
            <w:tcW w:w="1180" w:type="dxa"/>
            <w:tcBorders>
              <w:top w:val="single" w:sz="4" w:space="0" w:color="auto"/>
              <w:left w:val="single" w:sz="4" w:space="0" w:color="auto"/>
              <w:bottom w:val="single" w:sz="4" w:space="0" w:color="auto"/>
              <w:right w:val="nil"/>
              <w:tl2br w:val="nil"/>
              <w:tr2bl w:val="nil"/>
            </w:tcBorders>
            <w:noWrap/>
            <w:textDirection w:val="lrTb"/>
            <w:vAlign w:val="center"/>
          </w:tcPr>
          <w:p w:rsidR="00B97FAA" w:rsidP="00C362EA">
            <w:pPr>
              <w:spacing w:line="240" w:lineRule="auto"/>
              <w:jc w:val="right"/>
              <w:rPr>
                <w:rFonts w:ascii="Times New Roman" w:hAnsi="Times New Roman" w:cs="Times New Roman"/>
              </w:rPr>
            </w:pPr>
            <w:r w:rsidR="0058179B">
              <w:rPr>
                <w:rFonts w:ascii="Times New Roman" w:hAnsi="Times New Roman" w:cs="Times New Roman"/>
              </w:rPr>
              <w:t>22 905 924</w:t>
            </w:r>
          </w:p>
        </w:tc>
        <w:tc>
          <w:tcPr>
            <w:tcW w:w="1196"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B97FAA" w:rsidP="00C362EA">
            <w:pPr>
              <w:spacing w:line="240" w:lineRule="auto"/>
              <w:jc w:val="right"/>
              <w:rPr>
                <w:rFonts w:ascii="Times New Roman" w:hAnsi="Times New Roman" w:cs="Times New Roman"/>
              </w:rPr>
            </w:pPr>
            <w:r w:rsidR="0058179B">
              <w:rPr>
                <w:rFonts w:ascii="Times New Roman" w:hAnsi="Times New Roman" w:cs="Times New Roman"/>
              </w:rPr>
              <w:t>0</w:t>
            </w:r>
          </w:p>
        </w:tc>
      </w:tr>
      <w:tr>
        <w:tblPrEx>
          <w:tblW w:w="10076" w:type="dxa"/>
          <w:jc w:val="center"/>
          <w:tblCellMar>
            <w:left w:w="70" w:type="dxa"/>
            <w:right w:w="70" w:type="dxa"/>
          </w:tblCellMar>
        </w:tblPrEx>
        <w:trPr>
          <w:trHeight w:hRule="exact" w:val="227"/>
          <w:jc w:val="center"/>
        </w:trPr>
        <w:tc>
          <w:tcPr>
            <w:tcW w:w="298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B97FAA" w:rsidP="00C362EA">
            <w:pPr>
              <w:spacing w:line="240" w:lineRule="auto"/>
              <w:rPr>
                <w:rFonts w:ascii="Times New Roman" w:hAnsi="Times New Roman" w:cs="Times New Roman"/>
              </w:rPr>
            </w:pPr>
            <w:r>
              <w:rPr>
                <w:rFonts w:ascii="Times New Roman" w:hAnsi="Times New Roman" w:cs="Times New Roman"/>
              </w:rPr>
              <w:t>Kapitálové fondy</w:t>
            </w:r>
          </w:p>
        </w:tc>
        <w:tc>
          <w:tcPr>
            <w:tcW w:w="1180" w:type="dxa"/>
            <w:tcBorders>
              <w:top w:val="single" w:sz="4" w:space="0" w:color="auto"/>
              <w:left w:val="nil"/>
              <w:bottom w:val="single" w:sz="4" w:space="0" w:color="auto"/>
              <w:right w:val="single" w:sz="4" w:space="0" w:color="auto"/>
              <w:tl2br w:val="nil"/>
              <w:tr2bl w:val="nil"/>
            </w:tcBorders>
            <w:noWrap/>
            <w:textDirection w:val="lrTb"/>
            <w:vAlign w:val="center"/>
          </w:tcPr>
          <w:p w:rsidR="00B97FAA" w:rsidP="00C362EA">
            <w:pPr>
              <w:spacing w:line="240" w:lineRule="auto"/>
              <w:jc w:val="right"/>
              <w:rPr>
                <w:rFonts w:ascii="Times New Roman" w:hAnsi="Times New Roman" w:cs="Times New Roman"/>
              </w:rPr>
            </w:pPr>
            <w:r w:rsidR="007403F0">
              <w:rPr>
                <w:rFonts w:ascii="Times New Roman" w:hAnsi="Times New Roman" w:cs="Times New Roman"/>
              </w:rPr>
              <w:t>12 479 451</w:t>
            </w:r>
          </w:p>
        </w:tc>
        <w:tc>
          <w:tcPr>
            <w:tcW w:w="1180" w:type="dxa"/>
            <w:tcBorders>
              <w:top w:val="single" w:sz="4" w:space="0" w:color="auto"/>
              <w:left w:val="nil"/>
              <w:bottom w:val="single" w:sz="4" w:space="0" w:color="auto"/>
              <w:right w:val="nil"/>
              <w:tl2br w:val="nil"/>
              <w:tr2bl w:val="nil"/>
            </w:tcBorders>
            <w:noWrap/>
            <w:textDirection w:val="lrTb"/>
            <w:vAlign w:val="center"/>
          </w:tcPr>
          <w:p w:rsidR="00B97FAA" w:rsidP="00C362EA">
            <w:pPr>
              <w:spacing w:line="240" w:lineRule="auto"/>
              <w:jc w:val="right"/>
              <w:rPr>
                <w:rFonts w:ascii="Times New Roman" w:hAnsi="Times New Roman" w:cs="Times New Roman"/>
              </w:rPr>
            </w:pPr>
            <w:r w:rsidR="0058179B">
              <w:rPr>
                <w:rFonts w:ascii="Times New Roman" w:hAnsi="Times New Roman" w:cs="Times New Roman"/>
              </w:rPr>
              <w:t>12 477 089</w:t>
            </w:r>
          </w:p>
        </w:tc>
        <w:tc>
          <w:tcPr>
            <w:tcW w:w="1180" w:type="dxa"/>
            <w:tcBorders>
              <w:top w:val="single" w:sz="4" w:space="0" w:color="auto"/>
              <w:left w:val="single" w:sz="4" w:space="0" w:color="auto"/>
              <w:bottom w:val="single" w:sz="4" w:space="0" w:color="auto"/>
              <w:right w:val="nil"/>
              <w:tl2br w:val="nil"/>
              <w:tr2bl w:val="nil"/>
            </w:tcBorders>
            <w:noWrap/>
            <w:textDirection w:val="lrTb"/>
            <w:vAlign w:val="center"/>
          </w:tcPr>
          <w:p w:rsidR="00B97FAA" w:rsidP="00C362EA">
            <w:pPr>
              <w:spacing w:line="240" w:lineRule="auto"/>
              <w:jc w:val="right"/>
              <w:rPr>
                <w:rFonts w:ascii="Times New Roman" w:hAnsi="Times New Roman" w:cs="Times New Roman"/>
              </w:rPr>
            </w:pPr>
            <w:r w:rsidR="0058179B">
              <w:rPr>
                <w:rFonts w:ascii="Times New Roman" w:hAnsi="Times New Roman" w:cs="Times New Roman"/>
              </w:rPr>
              <w:t>12 640 720</w:t>
            </w:r>
          </w:p>
        </w:tc>
        <w:tc>
          <w:tcPr>
            <w:tcW w:w="1180" w:type="dxa"/>
            <w:tcBorders>
              <w:top w:val="single" w:sz="4" w:space="0" w:color="auto"/>
              <w:left w:val="single" w:sz="4" w:space="0" w:color="auto"/>
              <w:bottom w:val="single" w:sz="4" w:space="0" w:color="auto"/>
              <w:right w:val="nil"/>
              <w:tl2br w:val="nil"/>
              <w:tr2bl w:val="nil"/>
            </w:tcBorders>
            <w:noWrap/>
            <w:textDirection w:val="lrTb"/>
            <w:vAlign w:val="center"/>
          </w:tcPr>
          <w:p w:rsidR="00B97FAA" w:rsidP="00C362EA">
            <w:pPr>
              <w:spacing w:line="240" w:lineRule="auto"/>
              <w:jc w:val="right"/>
              <w:rPr>
                <w:rFonts w:ascii="Times New Roman" w:hAnsi="Times New Roman" w:cs="Times New Roman"/>
              </w:rPr>
            </w:pPr>
            <w:r w:rsidR="0058179B">
              <w:rPr>
                <w:rFonts w:ascii="Times New Roman" w:hAnsi="Times New Roman" w:cs="Times New Roman"/>
              </w:rPr>
              <w:t>12 643 585</w:t>
            </w:r>
          </w:p>
        </w:tc>
        <w:tc>
          <w:tcPr>
            <w:tcW w:w="1180" w:type="dxa"/>
            <w:tcBorders>
              <w:top w:val="single" w:sz="4" w:space="0" w:color="auto"/>
              <w:left w:val="single" w:sz="4" w:space="0" w:color="auto"/>
              <w:bottom w:val="single" w:sz="4" w:space="0" w:color="auto"/>
              <w:right w:val="nil"/>
              <w:tl2br w:val="nil"/>
              <w:tr2bl w:val="nil"/>
            </w:tcBorders>
            <w:noWrap/>
            <w:textDirection w:val="lrTb"/>
            <w:vAlign w:val="center"/>
          </w:tcPr>
          <w:p w:rsidR="00B97FAA" w:rsidP="00C362EA">
            <w:pPr>
              <w:spacing w:line="240" w:lineRule="auto"/>
              <w:jc w:val="right"/>
              <w:rPr>
                <w:rFonts w:ascii="Times New Roman" w:hAnsi="Times New Roman" w:cs="Times New Roman"/>
              </w:rPr>
            </w:pPr>
            <w:r w:rsidR="0058179B">
              <w:rPr>
                <w:rFonts w:ascii="Times New Roman" w:hAnsi="Times New Roman" w:cs="Times New Roman"/>
              </w:rPr>
              <w:t>12 695 528</w:t>
            </w:r>
          </w:p>
        </w:tc>
        <w:tc>
          <w:tcPr>
            <w:tcW w:w="1196"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B97FAA" w:rsidP="00C362EA">
            <w:pPr>
              <w:spacing w:line="240" w:lineRule="auto"/>
              <w:jc w:val="right"/>
              <w:rPr>
                <w:rFonts w:ascii="Times New Roman" w:hAnsi="Times New Roman" w:cs="Times New Roman"/>
              </w:rPr>
            </w:pPr>
            <w:r w:rsidR="0058179B">
              <w:rPr>
                <w:rFonts w:ascii="Times New Roman" w:hAnsi="Times New Roman" w:cs="Times New Roman"/>
              </w:rPr>
              <w:t>216 077</w:t>
            </w:r>
          </w:p>
        </w:tc>
      </w:tr>
      <w:tr>
        <w:tblPrEx>
          <w:tblW w:w="10076" w:type="dxa"/>
          <w:jc w:val="center"/>
          <w:tblCellMar>
            <w:left w:w="70" w:type="dxa"/>
            <w:right w:w="70" w:type="dxa"/>
          </w:tblCellMar>
        </w:tblPrEx>
        <w:trPr>
          <w:trHeight w:hRule="exact" w:val="227"/>
          <w:jc w:val="center"/>
        </w:trPr>
        <w:tc>
          <w:tcPr>
            <w:tcW w:w="298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B97FAA" w:rsidP="00C362EA">
            <w:pPr>
              <w:spacing w:line="240" w:lineRule="auto"/>
              <w:rPr>
                <w:rFonts w:ascii="Times New Roman" w:hAnsi="Times New Roman" w:cs="Times New Roman"/>
              </w:rPr>
            </w:pPr>
            <w:r>
              <w:rPr>
                <w:rFonts w:ascii="Times New Roman" w:hAnsi="Times New Roman" w:cs="Times New Roman"/>
              </w:rPr>
              <w:t>Fondy zo zisku</w:t>
            </w:r>
          </w:p>
        </w:tc>
        <w:tc>
          <w:tcPr>
            <w:tcW w:w="1180" w:type="dxa"/>
            <w:tcBorders>
              <w:top w:val="single" w:sz="4" w:space="0" w:color="auto"/>
              <w:left w:val="nil"/>
              <w:bottom w:val="single" w:sz="4" w:space="0" w:color="auto"/>
              <w:right w:val="single" w:sz="4" w:space="0" w:color="auto"/>
              <w:tl2br w:val="nil"/>
              <w:tr2bl w:val="nil"/>
            </w:tcBorders>
            <w:noWrap/>
            <w:textDirection w:val="lrTb"/>
            <w:vAlign w:val="center"/>
          </w:tcPr>
          <w:p w:rsidR="00B97FAA" w:rsidP="00C362EA">
            <w:pPr>
              <w:spacing w:line="240" w:lineRule="auto"/>
              <w:jc w:val="right"/>
              <w:rPr>
                <w:rFonts w:ascii="Times New Roman" w:hAnsi="Times New Roman" w:cs="Times New Roman"/>
              </w:rPr>
            </w:pPr>
            <w:r w:rsidR="007403F0">
              <w:rPr>
                <w:rFonts w:ascii="Times New Roman" w:hAnsi="Times New Roman" w:cs="Times New Roman"/>
              </w:rPr>
              <w:t>636 303</w:t>
            </w:r>
          </w:p>
        </w:tc>
        <w:tc>
          <w:tcPr>
            <w:tcW w:w="1180" w:type="dxa"/>
            <w:tcBorders>
              <w:top w:val="single" w:sz="4" w:space="0" w:color="auto"/>
              <w:left w:val="nil"/>
              <w:bottom w:val="single" w:sz="4" w:space="0" w:color="auto"/>
              <w:right w:val="nil"/>
              <w:tl2br w:val="nil"/>
              <w:tr2bl w:val="nil"/>
            </w:tcBorders>
            <w:noWrap/>
            <w:textDirection w:val="lrTb"/>
            <w:vAlign w:val="center"/>
          </w:tcPr>
          <w:p w:rsidR="00B97FAA" w:rsidP="00C362EA">
            <w:pPr>
              <w:spacing w:line="240" w:lineRule="auto"/>
              <w:jc w:val="right"/>
              <w:rPr>
                <w:rFonts w:ascii="Times New Roman" w:hAnsi="Times New Roman" w:cs="Times New Roman"/>
              </w:rPr>
            </w:pPr>
            <w:r w:rsidR="0058179B">
              <w:rPr>
                <w:rFonts w:ascii="Times New Roman" w:hAnsi="Times New Roman" w:cs="Times New Roman"/>
              </w:rPr>
              <w:t>636 303</w:t>
            </w:r>
          </w:p>
        </w:tc>
        <w:tc>
          <w:tcPr>
            <w:tcW w:w="1180" w:type="dxa"/>
            <w:tcBorders>
              <w:top w:val="single" w:sz="4" w:space="0" w:color="auto"/>
              <w:left w:val="single" w:sz="4" w:space="0" w:color="auto"/>
              <w:bottom w:val="single" w:sz="4" w:space="0" w:color="auto"/>
              <w:right w:val="nil"/>
              <w:tl2br w:val="nil"/>
              <w:tr2bl w:val="nil"/>
            </w:tcBorders>
            <w:noWrap/>
            <w:textDirection w:val="lrTb"/>
            <w:vAlign w:val="center"/>
          </w:tcPr>
          <w:p w:rsidR="00B97FAA" w:rsidP="00C362EA">
            <w:pPr>
              <w:spacing w:line="240" w:lineRule="auto"/>
              <w:jc w:val="right"/>
              <w:rPr>
                <w:rFonts w:ascii="Times New Roman" w:hAnsi="Times New Roman" w:cs="Times New Roman"/>
              </w:rPr>
            </w:pPr>
            <w:r w:rsidR="0058179B">
              <w:rPr>
                <w:rFonts w:ascii="Times New Roman" w:hAnsi="Times New Roman" w:cs="Times New Roman"/>
              </w:rPr>
              <w:t>636 303</w:t>
            </w:r>
          </w:p>
        </w:tc>
        <w:tc>
          <w:tcPr>
            <w:tcW w:w="1180" w:type="dxa"/>
            <w:tcBorders>
              <w:top w:val="single" w:sz="4" w:space="0" w:color="auto"/>
              <w:left w:val="single" w:sz="4" w:space="0" w:color="auto"/>
              <w:bottom w:val="single" w:sz="4" w:space="0" w:color="auto"/>
              <w:right w:val="nil"/>
              <w:tl2br w:val="nil"/>
              <w:tr2bl w:val="nil"/>
            </w:tcBorders>
            <w:noWrap/>
            <w:textDirection w:val="lrTb"/>
            <w:vAlign w:val="center"/>
          </w:tcPr>
          <w:p w:rsidR="00B97FAA" w:rsidP="00C362EA">
            <w:pPr>
              <w:spacing w:line="240" w:lineRule="auto"/>
              <w:jc w:val="right"/>
              <w:rPr>
                <w:rFonts w:ascii="Times New Roman" w:hAnsi="Times New Roman" w:cs="Times New Roman"/>
              </w:rPr>
            </w:pPr>
            <w:r w:rsidR="0058179B">
              <w:rPr>
                <w:rFonts w:ascii="Times New Roman" w:hAnsi="Times New Roman" w:cs="Times New Roman"/>
              </w:rPr>
              <w:t>636 303</w:t>
            </w:r>
          </w:p>
        </w:tc>
        <w:tc>
          <w:tcPr>
            <w:tcW w:w="1180" w:type="dxa"/>
            <w:tcBorders>
              <w:top w:val="single" w:sz="4" w:space="0" w:color="auto"/>
              <w:left w:val="single" w:sz="4" w:space="0" w:color="auto"/>
              <w:bottom w:val="single" w:sz="4" w:space="0" w:color="auto"/>
              <w:right w:val="nil"/>
              <w:tl2br w:val="nil"/>
              <w:tr2bl w:val="nil"/>
            </w:tcBorders>
            <w:noWrap/>
            <w:textDirection w:val="lrTb"/>
            <w:vAlign w:val="center"/>
          </w:tcPr>
          <w:p w:rsidR="00B97FAA" w:rsidP="00C362EA">
            <w:pPr>
              <w:spacing w:line="240" w:lineRule="auto"/>
              <w:jc w:val="right"/>
              <w:rPr>
                <w:rFonts w:ascii="Times New Roman" w:hAnsi="Times New Roman" w:cs="Times New Roman"/>
              </w:rPr>
            </w:pPr>
            <w:r w:rsidR="0058179B">
              <w:rPr>
                <w:rFonts w:ascii="Times New Roman" w:hAnsi="Times New Roman" w:cs="Times New Roman"/>
              </w:rPr>
              <w:t>636 303</w:t>
            </w:r>
          </w:p>
        </w:tc>
        <w:tc>
          <w:tcPr>
            <w:tcW w:w="1196"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B97FAA" w:rsidP="00C362EA">
            <w:pPr>
              <w:spacing w:line="240" w:lineRule="auto"/>
              <w:jc w:val="right"/>
              <w:rPr>
                <w:rFonts w:ascii="Times New Roman" w:hAnsi="Times New Roman" w:cs="Times New Roman"/>
              </w:rPr>
            </w:pPr>
            <w:r w:rsidR="0058179B">
              <w:rPr>
                <w:rFonts w:ascii="Times New Roman" w:hAnsi="Times New Roman" w:cs="Times New Roman"/>
              </w:rPr>
              <w:t>0</w:t>
            </w:r>
          </w:p>
        </w:tc>
      </w:tr>
      <w:tr>
        <w:tblPrEx>
          <w:tblW w:w="10076" w:type="dxa"/>
          <w:jc w:val="center"/>
          <w:tblCellMar>
            <w:left w:w="70" w:type="dxa"/>
            <w:right w:w="70" w:type="dxa"/>
          </w:tblCellMar>
        </w:tblPrEx>
        <w:trPr>
          <w:trHeight w:hRule="exact" w:val="227"/>
          <w:jc w:val="center"/>
        </w:trPr>
        <w:tc>
          <w:tcPr>
            <w:tcW w:w="298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B97FAA" w:rsidP="00C362EA">
            <w:pPr>
              <w:spacing w:line="240" w:lineRule="auto"/>
              <w:rPr>
                <w:rFonts w:ascii="Times New Roman" w:hAnsi="Times New Roman" w:cs="Times New Roman"/>
              </w:rPr>
            </w:pPr>
            <w:r>
              <w:rPr>
                <w:rFonts w:ascii="Times New Roman" w:hAnsi="Times New Roman" w:cs="Times New Roman"/>
              </w:rPr>
              <w:t>Výsledok hospodárenia min. rokov</w:t>
            </w:r>
          </w:p>
        </w:tc>
        <w:tc>
          <w:tcPr>
            <w:tcW w:w="1180" w:type="dxa"/>
            <w:tcBorders>
              <w:top w:val="single" w:sz="4" w:space="0" w:color="auto"/>
              <w:left w:val="nil"/>
              <w:bottom w:val="single" w:sz="4" w:space="0" w:color="auto"/>
              <w:right w:val="single" w:sz="4" w:space="0" w:color="auto"/>
              <w:tl2br w:val="nil"/>
              <w:tr2bl w:val="nil"/>
            </w:tcBorders>
            <w:noWrap/>
            <w:textDirection w:val="lrTb"/>
            <w:vAlign w:val="center"/>
          </w:tcPr>
          <w:p w:rsidR="00B97FAA" w:rsidP="00C362EA">
            <w:pPr>
              <w:spacing w:line="240" w:lineRule="auto"/>
              <w:jc w:val="right"/>
              <w:rPr>
                <w:rFonts w:ascii="Times New Roman" w:hAnsi="Times New Roman" w:cs="Times New Roman"/>
              </w:rPr>
            </w:pPr>
            <w:r w:rsidR="007403F0">
              <w:rPr>
                <w:rFonts w:ascii="Times New Roman" w:hAnsi="Times New Roman" w:cs="Times New Roman"/>
              </w:rPr>
              <w:t>- 18 658 743</w:t>
            </w:r>
          </w:p>
        </w:tc>
        <w:tc>
          <w:tcPr>
            <w:tcW w:w="1180" w:type="dxa"/>
            <w:tcBorders>
              <w:top w:val="single" w:sz="4" w:space="0" w:color="auto"/>
              <w:left w:val="nil"/>
              <w:bottom w:val="single" w:sz="4" w:space="0" w:color="auto"/>
              <w:right w:val="nil"/>
              <w:tl2br w:val="nil"/>
              <w:tr2bl w:val="nil"/>
            </w:tcBorders>
            <w:noWrap/>
            <w:textDirection w:val="lrTb"/>
            <w:vAlign w:val="center"/>
          </w:tcPr>
          <w:p w:rsidR="00B97FAA" w:rsidP="00C362EA">
            <w:pPr>
              <w:spacing w:line="240" w:lineRule="auto"/>
              <w:jc w:val="right"/>
              <w:rPr>
                <w:rFonts w:ascii="Times New Roman" w:hAnsi="Times New Roman" w:cs="Times New Roman"/>
              </w:rPr>
            </w:pPr>
            <w:r w:rsidR="0058179B">
              <w:rPr>
                <w:rFonts w:ascii="Times New Roman" w:hAnsi="Times New Roman" w:cs="Times New Roman"/>
              </w:rPr>
              <w:t>- 7 877 555</w:t>
            </w:r>
          </w:p>
        </w:tc>
        <w:tc>
          <w:tcPr>
            <w:tcW w:w="1180" w:type="dxa"/>
            <w:tcBorders>
              <w:top w:val="single" w:sz="4" w:space="0" w:color="auto"/>
              <w:left w:val="single" w:sz="4" w:space="0" w:color="auto"/>
              <w:bottom w:val="single" w:sz="4" w:space="0" w:color="auto"/>
              <w:right w:val="nil"/>
              <w:tl2br w:val="nil"/>
              <w:tr2bl w:val="nil"/>
            </w:tcBorders>
            <w:noWrap/>
            <w:textDirection w:val="lrTb"/>
            <w:vAlign w:val="center"/>
          </w:tcPr>
          <w:p w:rsidR="00B97FAA" w:rsidP="00C362EA">
            <w:pPr>
              <w:spacing w:line="240" w:lineRule="auto"/>
              <w:jc w:val="right"/>
              <w:rPr>
                <w:rFonts w:ascii="Times New Roman" w:hAnsi="Times New Roman" w:cs="Times New Roman"/>
              </w:rPr>
            </w:pPr>
            <w:r w:rsidR="0058179B">
              <w:rPr>
                <w:rFonts w:ascii="Times New Roman" w:hAnsi="Times New Roman" w:cs="Times New Roman"/>
              </w:rPr>
              <w:t>- 7 895 708</w:t>
            </w:r>
          </w:p>
        </w:tc>
        <w:tc>
          <w:tcPr>
            <w:tcW w:w="1180" w:type="dxa"/>
            <w:tcBorders>
              <w:top w:val="single" w:sz="4" w:space="0" w:color="auto"/>
              <w:left w:val="single" w:sz="4" w:space="0" w:color="auto"/>
              <w:bottom w:val="single" w:sz="4" w:space="0" w:color="auto"/>
              <w:right w:val="nil"/>
              <w:tl2br w:val="nil"/>
              <w:tr2bl w:val="nil"/>
            </w:tcBorders>
            <w:noWrap/>
            <w:textDirection w:val="lrTb"/>
            <w:vAlign w:val="center"/>
          </w:tcPr>
          <w:p w:rsidR="00B97FAA" w:rsidP="00C362EA">
            <w:pPr>
              <w:spacing w:line="240" w:lineRule="auto"/>
              <w:jc w:val="right"/>
              <w:rPr>
                <w:rFonts w:ascii="Times New Roman" w:hAnsi="Times New Roman" w:cs="Times New Roman"/>
              </w:rPr>
            </w:pPr>
            <w:r w:rsidR="0058179B">
              <w:rPr>
                <w:rFonts w:ascii="Times New Roman" w:hAnsi="Times New Roman" w:cs="Times New Roman"/>
              </w:rPr>
              <w:t>- 7 908 070</w:t>
            </w:r>
          </w:p>
        </w:tc>
        <w:tc>
          <w:tcPr>
            <w:tcW w:w="1180" w:type="dxa"/>
            <w:tcBorders>
              <w:top w:val="single" w:sz="4" w:space="0" w:color="auto"/>
              <w:left w:val="single" w:sz="4" w:space="0" w:color="auto"/>
              <w:bottom w:val="single" w:sz="4" w:space="0" w:color="auto"/>
              <w:right w:val="nil"/>
              <w:tl2br w:val="nil"/>
              <w:tr2bl w:val="nil"/>
            </w:tcBorders>
            <w:noWrap/>
            <w:textDirection w:val="lrTb"/>
            <w:vAlign w:val="center"/>
          </w:tcPr>
          <w:p w:rsidR="00B97FAA" w:rsidP="00C362EA">
            <w:pPr>
              <w:spacing w:line="240" w:lineRule="auto"/>
              <w:jc w:val="right"/>
              <w:rPr>
                <w:rFonts w:ascii="Times New Roman" w:hAnsi="Times New Roman" w:cs="Times New Roman"/>
              </w:rPr>
            </w:pPr>
            <w:r w:rsidR="0058179B">
              <w:rPr>
                <w:rFonts w:ascii="Times New Roman" w:hAnsi="Times New Roman" w:cs="Times New Roman"/>
              </w:rPr>
              <w:t>- 7 905 801</w:t>
            </w:r>
          </w:p>
        </w:tc>
        <w:tc>
          <w:tcPr>
            <w:tcW w:w="1196"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B97FAA" w:rsidP="00C362EA">
            <w:pPr>
              <w:spacing w:line="240" w:lineRule="auto"/>
              <w:jc w:val="right"/>
              <w:rPr>
                <w:rFonts w:ascii="Times New Roman" w:hAnsi="Times New Roman" w:cs="Times New Roman"/>
              </w:rPr>
            </w:pPr>
            <w:r w:rsidR="0058179B">
              <w:rPr>
                <w:rFonts w:ascii="Times New Roman" w:hAnsi="Times New Roman" w:cs="Times New Roman"/>
              </w:rPr>
              <w:t>10 752 942</w:t>
            </w:r>
          </w:p>
        </w:tc>
      </w:tr>
      <w:tr>
        <w:tblPrEx>
          <w:tblW w:w="10076" w:type="dxa"/>
          <w:jc w:val="center"/>
          <w:tblCellMar>
            <w:left w:w="70" w:type="dxa"/>
            <w:right w:w="70" w:type="dxa"/>
          </w:tblCellMar>
        </w:tblPrEx>
        <w:trPr>
          <w:trHeight w:hRule="exact" w:val="227"/>
          <w:jc w:val="center"/>
        </w:trPr>
        <w:tc>
          <w:tcPr>
            <w:tcW w:w="298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B97FAA" w:rsidP="00C362EA">
            <w:pPr>
              <w:spacing w:line="240" w:lineRule="auto"/>
              <w:rPr>
                <w:rFonts w:ascii="Times New Roman" w:hAnsi="Times New Roman" w:cs="Times New Roman"/>
              </w:rPr>
            </w:pPr>
            <w:r>
              <w:rPr>
                <w:rFonts w:ascii="Times New Roman" w:hAnsi="Times New Roman" w:cs="Times New Roman"/>
              </w:rPr>
              <w:t>VH za účtovné obdobie</w:t>
            </w:r>
          </w:p>
        </w:tc>
        <w:tc>
          <w:tcPr>
            <w:tcW w:w="1180" w:type="dxa"/>
            <w:tcBorders>
              <w:top w:val="single" w:sz="4" w:space="0" w:color="auto"/>
              <w:left w:val="nil"/>
              <w:bottom w:val="single" w:sz="4" w:space="0" w:color="auto"/>
              <w:right w:val="single" w:sz="4" w:space="0" w:color="auto"/>
              <w:tl2br w:val="nil"/>
              <w:tr2bl w:val="nil"/>
            </w:tcBorders>
            <w:noWrap/>
            <w:textDirection w:val="lrTb"/>
            <w:vAlign w:val="center"/>
          </w:tcPr>
          <w:p w:rsidR="00B97FAA" w:rsidP="00C362EA">
            <w:pPr>
              <w:spacing w:line="240" w:lineRule="auto"/>
              <w:jc w:val="right"/>
              <w:rPr>
                <w:rFonts w:ascii="Times New Roman" w:hAnsi="Times New Roman" w:cs="Times New Roman"/>
              </w:rPr>
            </w:pPr>
            <w:r w:rsidR="007403F0">
              <w:rPr>
                <w:rFonts w:ascii="Times New Roman" w:hAnsi="Times New Roman" w:cs="Times New Roman"/>
              </w:rPr>
              <w:t>10 781 188</w:t>
            </w:r>
          </w:p>
        </w:tc>
        <w:tc>
          <w:tcPr>
            <w:tcW w:w="1180" w:type="dxa"/>
            <w:tcBorders>
              <w:top w:val="single" w:sz="4" w:space="0" w:color="auto"/>
              <w:left w:val="nil"/>
              <w:bottom w:val="single" w:sz="4" w:space="0" w:color="auto"/>
              <w:right w:val="nil"/>
              <w:tl2br w:val="nil"/>
              <w:tr2bl w:val="nil"/>
            </w:tcBorders>
            <w:noWrap/>
            <w:textDirection w:val="lrTb"/>
            <w:vAlign w:val="center"/>
          </w:tcPr>
          <w:p w:rsidR="00B97FAA" w:rsidP="00C362EA">
            <w:pPr>
              <w:spacing w:line="240" w:lineRule="auto"/>
              <w:jc w:val="right"/>
              <w:rPr>
                <w:rFonts w:ascii="Times New Roman" w:hAnsi="Times New Roman" w:cs="Times New Roman"/>
              </w:rPr>
            </w:pPr>
            <w:r w:rsidR="0058179B">
              <w:rPr>
                <w:rFonts w:ascii="Times New Roman" w:hAnsi="Times New Roman" w:cs="Times New Roman"/>
              </w:rPr>
              <w:t>6 527 377</w:t>
            </w:r>
          </w:p>
        </w:tc>
        <w:tc>
          <w:tcPr>
            <w:tcW w:w="1180" w:type="dxa"/>
            <w:tcBorders>
              <w:top w:val="single" w:sz="4" w:space="0" w:color="auto"/>
              <w:left w:val="single" w:sz="4" w:space="0" w:color="auto"/>
              <w:bottom w:val="single" w:sz="4" w:space="0" w:color="auto"/>
              <w:right w:val="nil"/>
              <w:tl2br w:val="nil"/>
              <w:tr2bl w:val="nil"/>
            </w:tcBorders>
            <w:noWrap/>
            <w:textDirection w:val="lrTb"/>
            <w:vAlign w:val="center"/>
          </w:tcPr>
          <w:p w:rsidR="00B97FAA" w:rsidP="00C362EA">
            <w:pPr>
              <w:spacing w:line="240" w:lineRule="auto"/>
              <w:jc w:val="right"/>
              <w:rPr>
                <w:rFonts w:ascii="Times New Roman" w:hAnsi="Times New Roman" w:cs="Times New Roman"/>
              </w:rPr>
            </w:pPr>
            <w:r w:rsidR="0058179B">
              <w:rPr>
                <w:rFonts w:ascii="Times New Roman" w:hAnsi="Times New Roman" w:cs="Times New Roman"/>
              </w:rPr>
              <w:t>20 653 062</w:t>
            </w:r>
          </w:p>
        </w:tc>
        <w:tc>
          <w:tcPr>
            <w:tcW w:w="1180" w:type="dxa"/>
            <w:tcBorders>
              <w:top w:val="single" w:sz="4" w:space="0" w:color="auto"/>
              <w:left w:val="single" w:sz="4" w:space="0" w:color="auto"/>
              <w:bottom w:val="single" w:sz="4" w:space="0" w:color="auto"/>
              <w:right w:val="nil"/>
              <w:tl2br w:val="nil"/>
              <w:tr2bl w:val="nil"/>
            </w:tcBorders>
            <w:noWrap/>
            <w:textDirection w:val="lrTb"/>
            <w:vAlign w:val="center"/>
          </w:tcPr>
          <w:p w:rsidR="00B97FAA" w:rsidP="00C362EA">
            <w:pPr>
              <w:spacing w:line="240" w:lineRule="auto"/>
              <w:jc w:val="right"/>
              <w:rPr>
                <w:rFonts w:ascii="Times New Roman" w:hAnsi="Times New Roman" w:cs="Times New Roman"/>
              </w:rPr>
            </w:pPr>
            <w:r w:rsidR="0058179B">
              <w:rPr>
                <w:rFonts w:ascii="Times New Roman" w:hAnsi="Times New Roman" w:cs="Times New Roman"/>
              </w:rPr>
              <w:t>20 767 294</w:t>
            </w:r>
          </w:p>
        </w:tc>
        <w:tc>
          <w:tcPr>
            <w:tcW w:w="1180" w:type="dxa"/>
            <w:tcBorders>
              <w:top w:val="single" w:sz="4" w:space="0" w:color="auto"/>
              <w:left w:val="single" w:sz="4" w:space="0" w:color="auto"/>
              <w:bottom w:val="single" w:sz="4" w:space="0" w:color="auto"/>
              <w:right w:val="nil"/>
              <w:tl2br w:val="nil"/>
              <w:tr2bl w:val="nil"/>
            </w:tcBorders>
            <w:noWrap/>
            <w:textDirection w:val="lrTb"/>
            <w:vAlign w:val="center"/>
          </w:tcPr>
          <w:p w:rsidR="00B97FAA" w:rsidP="00C362EA">
            <w:pPr>
              <w:spacing w:line="240" w:lineRule="auto"/>
              <w:jc w:val="right"/>
              <w:rPr>
                <w:rFonts w:ascii="Times New Roman" w:hAnsi="Times New Roman" w:cs="Times New Roman"/>
              </w:rPr>
            </w:pPr>
            <w:r w:rsidR="0058179B">
              <w:rPr>
                <w:rFonts w:ascii="Times New Roman" w:hAnsi="Times New Roman" w:cs="Times New Roman"/>
              </w:rPr>
              <w:t>20 455 608</w:t>
            </w:r>
          </w:p>
        </w:tc>
        <w:tc>
          <w:tcPr>
            <w:tcW w:w="1196"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B97FAA" w:rsidP="00C362EA">
            <w:pPr>
              <w:spacing w:line="240" w:lineRule="auto"/>
              <w:jc w:val="right"/>
              <w:rPr>
                <w:rFonts w:ascii="Times New Roman" w:hAnsi="Times New Roman" w:cs="Times New Roman"/>
              </w:rPr>
            </w:pPr>
            <w:r w:rsidR="0058179B">
              <w:rPr>
                <w:rFonts w:ascii="Times New Roman" w:hAnsi="Times New Roman" w:cs="Times New Roman"/>
              </w:rPr>
              <w:t>9 674 420</w:t>
            </w:r>
          </w:p>
        </w:tc>
      </w:tr>
      <w:tr>
        <w:tblPrEx>
          <w:tblW w:w="10076" w:type="dxa"/>
          <w:jc w:val="center"/>
          <w:tblCellMar>
            <w:left w:w="70" w:type="dxa"/>
            <w:right w:w="70" w:type="dxa"/>
          </w:tblCellMar>
        </w:tblPrEx>
        <w:trPr>
          <w:trHeight w:hRule="exact" w:val="227"/>
          <w:jc w:val="center"/>
        </w:trPr>
        <w:tc>
          <w:tcPr>
            <w:tcW w:w="298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B97FAA" w:rsidP="00C362EA">
            <w:pPr>
              <w:spacing w:line="240" w:lineRule="auto"/>
              <w:rPr>
                <w:rFonts w:ascii="Times New Roman" w:hAnsi="Times New Roman" w:cs="Times New Roman"/>
                <w:b/>
                <w:bCs/>
              </w:rPr>
            </w:pPr>
            <w:r>
              <w:rPr>
                <w:rFonts w:ascii="Times New Roman" w:hAnsi="Times New Roman" w:cs="Times New Roman"/>
                <w:b/>
                <w:bCs/>
              </w:rPr>
              <w:t>Záväzky</w:t>
            </w:r>
          </w:p>
        </w:tc>
        <w:tc>
          <w:tcPr>
            <w:tcW w:w="1180" w:type="dxa"/>
            <w:tcBorders>
              <w:top w:val="single" w:sz="4" w:space="0" w:color="auto"/>
              <w:left w:val="nil"/>
              <w:bottom w:val="single" w:sz="4" w:space="0" w:color="auto"/>
              <w:right w:val="single" w:sz="4" w:space="0" w:color="auto"/>
              <w:tl2br w:val="nil"/>
              <w:tr2bl w:val="nil"/>
            </w:tcBorders>
            <w:noWrap/>
            <w:textDirection w:val="lrTb"/>
            <w:vAlign w:val="center"/>
          </w:tcPr>
          <w:p w:rsidR="00B97FAA" w:rsidP="00C362EA">
            <w:pPr>
              <w:spacing w:line="240" w:lineRule="auto"/>
              <w:jc w:val="right"/>
              <w:rPr>
                <w:rFonts w:ascii="Times New Roman" w:hAnsi="Times New Roman" w:cs="Times New Roman"/>
                <w:b/>
                <w:bCs/>
              </w:rPr>
            </w:pPr>
            <w:r w:rsidR="007403F0">
              <w:rPr>
                <w:rFonts w:ascii="Times New Roman" w:hAnsi="Times New Roman" w:cs="Times New Roman"/>
                <w:b/>
                <w:bCs/>
              </w:rPr>
              <w:t>27 918 564</w:t>
            </w:r>
          </w:p>
        </w:tc>
        <w:tc>
          <w:tcPr>
            <w:tcW w:w="1180" w:type="dxa"/>
            <w:tcBorders>
              <w:top w:val="single" w:sz="4" w:space="0" w:color="auto"/>
              <w:left w:val="nil"/>
              <w:bottom w:val="single" w:sz="4" w:space="0" w:color="auto"/>
              <w:right w:val="single" w:sz="4" w:space="0" w:color="auto"/>
              <w:tl2br w:val="nil"/>
              <w:tr2bl w:val="nil"/>
            </w:tcBorders>
            <w:noWrap/>
            <w:textDirection w:val="lrTb"/>
            <w:vAlign w:val="center"/>
          </w:tcPr>
          <w:p w:rsidR="00B97FAA" w:rsidP="00C362EA">
            <w:pPr>
              <w:spacing w:line="240" w:lineRule="auto"/>
              <w:jc w:val="right"/>
              <w:rPr>
                <w:rFonts w:ascii="Times New Roman" w:hAnsi="Times New Roman" w:cs="Times New Roman"/>
                <w:b/>
                <w:bCs/>
              </w:rPr>
            </w:pPr>
            <w:r w:rsidR="0058179B">
              <w:rPr>
                <w:rFonts w:ascii="Times New Roman" w:hAnsi="Times New Roman" w:cs="Times New Roman"/>
                <w:b/>
                <w:bCs/>
              </w:rPr>
              <w:t>19 462 194</w:t>
            </w:r>
          </w:p>
        </w:tc>
        <w:tc>
          <w:tcPr>
            <w:tcW w:w="1180" w:type="dxa"/>
            <w:tcBorders>
              <w:top w:val="single" w:sz="4" w:space="0" w:color="auto"/>
              <w:left w:val="nil"/>
              <w:bottom w:val="single" w:sz="4" w:space="0" w:color="auto"/>
              <w:right w:val="single" w:sz="4" w:space="0" w:color="auto"/>
              <w:tl2br w:val="nil"/>
              <w:tr2bl w:val="nil"/>
            </w:tcBorders>
            <w:noWrap/>
            <w:textDirection w:val="lrTb"/>
            <w:vAlign w:val="center"/>
          </w:tcPr>
          <w:p w:rsidR="00B97FAA" w:rsidP="00C362EA">
            <w:pPr>
              <w:spacing w:line="240" w:lineRule="auto"/>
              <w:jc w:val="right"/>
              <w:rPr>
                <w:rFonts w:ascii="Times New Roman" w:hAnsi="Times New Roman" w:cs="Times New Roman"/>
                <w:b/>
                <w:bCs/>
              </w:rPr>
            </w:pPr>
            <w:r w:rsidR="0058179B">
              <w:rPr>
                <w:rFonts w:ascii="Times New Roman" w:hAnsi="Times New Roman" w:cs="Times New Roman"/>
                <w:b/>
                <w:bCs/>
              </w:rPr>
              <w:t>5 727 196</w:t>
            </w:r>
          </w:p>
        </w:tc>
        <w:tc>
          <w:tcPr>
            <w:tcW w:w="1180" w:type="dxa"/>
            <w:tcBorders>
              <w:top w:val="single" w:sz="4" w:space="0" w:color="auto"/>
              <w:left w:val="nil"/>
              <w:bottom w:val="single" w:sz="4" w:space="0" w:color="auto"/>
              <w:right w:val="single" w:sz="4" w:space="0" w:color="auto"/>
              <w:tl2br w:val="nil"/>
              <w:tr2bl w:val="nil"/>
            </w:tcBorders>
            <w:noWrap/>
            <w:textDirection w:val="lrTb"/>
            <w:vAlign w:val="center"/>
          </w:tcPr>
          <w:p w:rsidR="00B97FAA" w:rsidP="00C362EA">
            <w:pPr>
              <w:spacing w:line="240" w:lineRule="auto"/>
              <w:jc w:val="right"/>
              <w:rPr>
                <w:rFonts w:ascii="Times New Roman" w:hAnsi="Times New Roman" w:cs="Times New Roman"/>
                <w:b/>
                <w:bCs/>
              </w:rPr>
            </w:pPr>
            <w:r w:rsidR="0058179B">
              <w:rPr>
                <w:rFonts w:ascii="Times New Roman" w:hAnsi="Times New Roman" w:cs="Times New Roman"/>
                <w:b/>
                <w:bCs/>
              </w:rPr>
              <w:t>6 697 664</w:t>
            </w:r>
          </w:p>
        </w:tc>
        <w:tc>
          <w:tcPr>
            <w:tcW w:w="1180" w:type="dxa"/>
            <w:tcBorders>
              <w:top w:val="single" w:sz="4" w:space="0" w:color="auto"/>
              <w:left w:val="nil"/>
              <w:bottom w:val="single" w:sz="4" w:space="0" w:color="auto"/>
              <w:right w:val="single" w:sz="4" w:space="0" w:color="auto"/>
              <w:tl2br w:val="nil"/>
              <w:tr2bl w:val="nil"/>
            </w:tcBorders>
            <w:noWrap/>
            <w:textDirection w:val="lrTb"/>
            <w:vAlign w:val="center"/>
          </w:tcPr>
          <w:p w:rsidR="00B97FAA" w:rsidP="00C362EA">
            <w:pPr>
              <w:spacing w:line="240" w:lineRule="auto"/>
              <w:jc w:val="right"/>
              <w:rPr>
                <w:rFonts w:ascii="Times New Roman" w:hAnsi="Times New Roman" w:cs="Times New Roman"/>
                <w:b/>
                <w:bCs/>
              </w:rPr>
            </w:pPr>
            <w:r w:rsidR="0058179B">
              <w:rPr>
                <w:rFonts w:ascii="Times New Roman" w:hAnsi="Times New Roman" w:cs="Times New Roman"/>
                <w:b/>
                <w:bCs/>
              </w:rPr>
              <w:t>8 984 556</w:t>
            </w:r>
          </w:p>
        </w:tc>
        <w:tc>
          <w:tcPr>
            <w:tcW w:w="1196" w:type="dxa"/>
            <w:tcBorders>
              <w:top w:val="single" w:sz="4" w:space="0" w:color="auto"/>
              <w:left w:val="nil"/>
              <w:bottom w:val="single" w:sz="4" w:space="0" w:color="auto"/>
              <w:right w:val="single" w:sz="4" w:space="0" w:color="auto"/>
              <w:tl2br w:val="nil"/>
              <w:tr2bl w:val="nil"/>
            </w:tcBorders>
            <w:noWrap/>
            <w:textDirection w:val="lrTb"/>
            <w:vAlign w:val="center"/>
          </w:tcPr>
          <w:p w:rsidR="00B97FAA" w:rsidP="00C362EA">
            <w:pPr>
              <w:spacing w:line="240" w:lineRule="auto"/>
              <w:jc w:val="right"/>
              <w:rPr>
                <w:rFonts w:ascii="Times New Roman" w:hAnsi="Times New Roman" w:cs="Times New Roman"/>
                <w:b/>
                <w:bCs/>
              </w:rPr>
            </w:pPr>
            <w:r w:rsidR="0058179B">
              <w:rPr>
                <w:rFonts w:ascii="Times New Roman" w:hAnsi="Times New Roman" w:cs="Times New Roman"/>
                <w:b/>
                <w:bCs/>
              </w:rPr>
              <w:t>- 18 934 008</w:t>
            </w:r>
          </w:p>
        </w:tc>
      </w:tr>
      <w:tr>
        <w:tblPrEx>
          <w:tblW w:w="10076" w:type="dxa"/>
          <w:jc w:val="center"/>
          <w:tblCellMar>
            <w:left w:w="70" w:type="dxa"/>
            <w:right w:w="70" w:type="dxa"/>
          </w:tblCellMar>
        </w:tblPrEx>
        <w:trPr>
          <w:trHeight w:hRule="exact" w:val="227"/>
          <w:jc w:val="center"/>
        </w:trPr>
        <w:tc>
          <w:tcPr>
            <w:tcW w:w="298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B97FAA" w:rsidP="00C362EA">
            <w:pPr>
              <w:spacing w:line="240" w:lineRule="auto"/>
              <w:rPr>
                <w:rFonts w:ascii="Times New Roman" w:hAnsi="Times New Roman" w:cs="Times New Roman"/>
              </w:rPr>
            </w:pPr>
            <w:r>
              <w:rPr>
                <w:rFonts w:ascii="Times New Roman" w:hAnsi="Times New Roman" w:cs="Times New Roman"/>
              </w:rPr>
              <w:t>Rezervy</w:t>
            </w:r>
          </w:p>
        </w:tc>
        <w:tc>
          <w:tcPr>
            <w:tcW w:w="1180" w:type="dxa"/>
            <w:tcBorders>
              <w:top w:val="single" w:sz="4" w:space="0" w:color="auto"/>
              <w:left w:val="nil"/>
              <w:bottom w:val="single" w:sz="4" w:space="0" w:color="auto"/>
              <w:right w:val="single" w:sz="4" w:space="0" w:color="auto"/>
              <w:tl2br w:val="nil"/>
              <w:tr2bl w:val="nil"/>
            </w:tcBorders>
            <w:noWrap/>
            <w:textDirection w:val="lrTb"/>
            <w:vAlign w:val="center"/>
          </w:tcPr>
          <w:p w:rsidR="00B97FAA" w:rsidP="00C362EA">
            <w:pPr>
              <w:spacing w:line="240" w:lineRule="auto"/>
              <w:jc w:val="right"/>
              <w:rPr>
                <w:rFonts w:ascii="Times New Roman" w:hAnsi="Times New Roman" w:cs="Times New Roman"/>
              </w:rPr>
            </w:pPr>
            <w:r w:rsidR="007403F0">
              <w:rPr>
                <w:rFonts w:ascii="Times New Roman" w:hAnsi="Times New Roman" w:cs="Times New Roman"/>
              </w:rPr>
              <w:t>2 050 180</w:t>
            </w:r>
          </w:p>
        </w:tc>
        <w:tc>
          <w:tcPr>
            <w:tcW w:w="1180" w:type="dxa"/>
            <w:tcBorders>
              <w:top w:val="single" w:sz="4" w:space="0" w:color="auto"/>
              <w:left w:val="nil"/>
              <w:bottom w:val="single" w:sz="4" w:space="0" w:color="auto"/>
              <w:right w:val="nil"/>
              <w:tl2br w:val="nil"/>
              <w:tr2bl w:val="nil"/>
            </w:tcBorders>
            <w:noWrap/>
            <w:textDirection w:val="lrTb"/>
            <w:vAlign w:val="center"/>
          </w:tcPr>
          <w:p w:rsidR="00B97FAA" w:rsidP="00C362EA">
            <w:pPr>
              <w:spacing w:line="240" w:lineRule="auto"/>
              <w:jc w:val="right"/>
              <w:rPr>
                <w:rFonts w:ascii="Times New Roman" w:hAnsi="Times New Roman" w:cs="Times New Roman"/>
              </w:rPr>
            </w:pPr>
            <w:r w:rsidR="0058179B">
              <w:rPr>
                <w:rFonts w:ascii="Times New Roman" w:hAnsi="Times New Roman" w:cs="Times New Roman"/>
              </w:rPr>
              <w:t>1 270 332</w:t>
            </w:r>
          </w:p>
        </w:tc>
        <w:tc>
          <w:tcPr>
            <w:tcW w:w="1180" w:type="dxa"/>
            <w:tcBorders>
              <w:top w:val="single" w:sz="4" w:space="0" w:color="auto"/>
              <w:left w:val="single" w:sz="4" w:space="0" w:color="auto"/>
              <w:bottom w:val="single" w:sz="4" w:space="0" w:color="auto"/>
              <w:right w:val="nil"/>
              <w:tl2br w:val="nil"/>
              <w:tr2bl w:val="nil"/>
            </w:tcBorders>
            <w:noWrap/>
            <w:textDirection w:val="lrTb"/>
            <w:vAlign w:val="center"/>
          </w:tcPr>
          <w:p w:rsidR="00B97FAA" w:rsidP="00C362EA">
            <w:pPr>
              <w:spacing w:line="240" w:lineRule="auto"/>
              <w:jc w:val="right"/>
              <w:rPr>
                <w:rFonts w:ascii="Times New Roman" w:hAnsi="Times New Roman" w:cs="Times New Roman"/>
              </w:rPr>
            </w:pPr>
            <w:r w:rsidR="0058179B">
              <w:rPr>
                <w:rFonts w:ascii="Times New Roman" w:hAnsi="Times New Roman" w:cs="Times New Roman"/>
              </w:rPr>
              <w:t xml:space="preserve"> 1 237 754</w:t>
            </w:r>
          </w:p>
        </w:tc>
        <w:tc>
          <w:tcPr>
            <w:tcW w:w="1180" w:type="dxa"/>
            <w:tcBorders>
              <w:top w:val="single" w:sz="4" w:space="0" w:color="auto"/>
              <w:left w:val="single" w:sz="4" w:space="0" w:color="auto"/>
              <w:bottom w:val="single" w:sz="4" w:space="0" w:color="auto"/>
              <w:right w:val="nil"/>
              <w:tl2br w:val="nil"/>
              <w:tr2bl w:val="nil"/>
            </w:tcBorders>
            <w:noWrap/>
            <w:textDirection w:val="lrTb"/>
            <w:vAlign w:val="center"/>
          </w:tcPr>
          <w:p w:rsidR="00B97FAA" w:rsidP="00C362EA">
            <w:pPr>
              <w:spacing w:line="240" w:lineRule="auto"/>
              <w:jc w:val="right"/>
              <w:rPr>
                <w:rFonts w:ascii="Times New Roman" w:hAnsi="Times New Roman" w:cs="Times New Roman"/>
              </w:rPr>
            </w:pPr>
            <w:r w:rsidR="0058179B">
              <w:rPr>
                <w:rFonts w:ascii="Times New Roman" w:hAnsi="Times New Roman" w:cs="Times New Roman"/>
              </w:rPr>
              <w:t>1 201 465</w:t>
            </w:r>
          </w:p>
        </w:tc>
        <w:tc>
          <w:tcPr>
            <w:tcW w:w="1180" w:type="dxa"/>
            <w:tcBorders>
              <w:top w:val="single" w:sz="4" w:space="0" w:color="auto"/>
              <w:left w:val="single" w:sz="4" w:space="0" w:color="auto"/>
              <w:bottom w:val="single" w:sz="4" w:space="0" w:color="auto"/>
              <w:right w:val="nil"/>
              <w:tl2br w:val="nil"/>
              <w:tr2bl w:val="nil"/>
            </w:tcBorders>
            <w:noWrap/>
            <w:textDirection w:val="lrTb"/>
            <w:vAlign w:val="center"/>
          </w:tcPr>
          <w:p w:rsidR="00B97FAA" w:rsidP="00C362EA">
            <w:pPr>
              <w:spacing w:line="240" w:lineRule="auto"/>
              <w:jc w:val="right"/>
              <w:rPr>
                <w:rFonts w:ascii="Times New Roman" w:hAnsi="Times New Roman" w:cs="Times New Roman"/>
              </w:rPr>
            </w:pPr>
            <w:r w:rsidR="0058179B">
              <w:rPr>
                <w:rFonts w:ascii="Times New Roman" w:hAnsi="Times New Roman" w:cs="Times New Roman"/>
              </w:rPr>
              <w:t>1 935 200</w:t>
            </w:r>
          </w:p>
        </w:tc>
        <w:tc>
          <w:tcPr>
            <w:tcW w:w="1196"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B97FAA" w:rsidP="00C362EA">
            <w:pPr>
              <w:spacing w:line="240" w:lineRule="auto"/>
              <w:jc w:val="right"/>
              <w:rPr>
                <w:rFonts w:ascii="Times New Roman" w:hAnsi="Times New Roman" w:cs="Times New Roman"/>
              </w:rPr>
            </w:pPr>
            <w:r w:rsidR="0058179B">
              <w:rPr>
                <w:rFonts w:ascii="Times New Roman" w:hAnsi="Times New Roman" w:cs="Times New Roman"/>
              </w:rPr>
              <w:t>- 114 980</w:t>
            </w:r>
          </w:p>
        </w:tc>
      </w:tr>
      <w:tr>
        <w:tblPrEx>
          <w:tblW w:w="10076" w:type="dxa"/>
          <w:jc w:val="center"/>
          <w:tblCellMar>
            <w:left w:w="70" w:type="dxa"/>
            <w:right w:w="70" w:type="dxa"/>
          </w:tblCellMar>
        </w:tblPrEx>
        <w:trPr>
          <w:trHeight w:hRule="exact" w:val="227"/>
          <w:jc w:val="center"/>
        </w:trPr>
        <w:tc>
          <w:tcPr>
            <w:tcW w:w="298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B97FAA" w:rsidP="00C362EA">
            <w:pPr>
              <w:spacing w:line="240" w:lineRule="auto"/>
              <w:rPr>
                <w:rFonts w:ascii="Times New Roman" w:hAnsi="Times New Roman" w:cs="Times New Roman"/>
              </w:rPr>
            </w:pPr>
            <w:r>
              <w:rPr>
                <w:rFonts w:ascii="Times New Roman" w:hAnsi="Times New Roman" w:cs="Times New Roman"/>
              </w:rPr>
              <w:t>Dlhodobé záväzky</w:t>
            </w:r>
          </w:p>
        </w:tc>
        <w:tc>
          <w:tcPr>
            <w:tcW w:w="1180" w:type="dxa"/>
            <w:tcBorders>
              <w:top w:val="single" w:sz="4" w:space="0" w:color="auto"/>
              <w:left w:val="nil"/>
              <w:bottom w:val="single" w:sz="4" w:space="0" w:color="auto"/>
              <w:right w:val="single" w:sz="4" w:space="0" w:color="auto"/>
              <w:tl2br w:val="nil"/>
              <w:tr2bl w:val="nil"/>
            </w:tcBorders>
            <w:noWrap/>
            <w:textDirection w:val="lrTb"/>
            <w:vAlign w:val="center"/>
          </w:tcPr>
          <w:p w:rsidR="00B97FAA" w:rsidP="00C362EA">
            <w:pPr>
              <w:spacing w:line="240" w:lineRule="auto"/>
              <w:jc w:val="right"/>
              <w:rPr>
                <w:rFonts w:ascii="Times New Roman" w:hAnsi="Times New Roman" w:cs="Times New Roman"/>
              </w:rPr>
            </w:pPr>
            <w:r w:rsidR="007403F0">
              <w:rPr>
                <w:rFonts w:ascii="Times New Roman" w:hAnsi="Times New Roman" w:cs="Times New Roman"/>
              </w:rPr>
              <w:t>497 477</w:t>
            </w:r>
          </w:p>
        </w:tc>
        <w:tc>
          <w:tcPr>
            <w:tcW w:w="1180" w:type="dxa"/>
            <w:tcBorders>
              <w:top w:val="single" w:sz="4" w:space="0" w:color="auto"/>
              <w:left w:val="nil"/>
              <w:bottom w:val="single" w:sz="4" w:space="0" w:color="auto"/>
              <w:right w:val="nil"/>
              <w:tl2br w:val="nil"/>
              <w:tr2bl w:val="nil"/>
            </w:tcBorders>
            <w:noWrap/>
            <w:textDirection w:val="lrTb"/>
            <w:vAlign w:val="center"/>
          </w:tcPr>
          <w:p w:rsidR="00B97FAA" w:rsidP="00C362EA">
            <w:pPr>
              <w:spacing w:line="240" w:lineRule="auto"/>
              <w:jc w:val="right"/>
              <w:rPr>
                <w:rFonts w:ascii="Times New Roman" w:hAnsi="Times New Roman" w:cs="Times New Roman"/>
              </w:rPr>
            </w:pPr>
            <w:r w:rsidR="0058179B">
              <w:rPr>
                <w:rFonts w:ascii="Times New Roman" w:hAnsi="Times New Roman" w:cs="Times New Roman"/>
              </w:rPr>
              <w:t>505 462</w:t>
            </w:r>
          </w:p>
        </w:tc>
        <w:tc>
          <w:tcPr>
            <w:tcW w:w="1180" w:type="dxa"/>
            <w:tcBorders>
              <w:top w:val="single" w:sz="4" w:space="0" w:color="auto"/>
              <w:left w:val="single" w:sz="4" w:space="0" w:color="auto"/>
              <w:bottom w:val="single" w:sz="4" w:space="0" w:color="auto"/>
              <w:right w:val="nil"/>
              <w:tl2br w:val="nil"/>
              <w:tr2bl w:val="nil"/>
            </w:tcBorders>
            <w:noWrap/>
            <w:textDirection w:val="lrTb"/>
            <w:vAlign w:val="center"/>
          </w:tcPr>
          <w:p w:rsidR="00B97FAA" w:rsidP="00C362EA">
            <w:pPr>
              <w:spacing w:line="240" w:lineRule="auto"/>
              <w:jc w:val="right"/>
              <w:rPr>
                <w:rFonts w:ascii="Times New Roman" w:hAnsi="Times New Roman" w:cs="Times New Roman"/>
              </w:rPr>
            </w:pPr>
            <w:r w:rsidR="0058179B">
              <w:rPr>
                <w:rFonts w:ascii="Times New Roman" w:hAnsi="Times New Roman" w:cs="Times New Roman"/>
              </w:rPr>
              <w:t>504 808</w:t>
            </w:r>
          </w:p>
        </w:tc>
        <w:tc>
          <w:tcPr>
            <w:tcW w:w="1180" w:type="dxa"/>
            <w:tcBorders>
              <w:top w:val="single" w:sz="4" w:space="0" w:color="auto"/>
              <w:left w:val="single" w:sz="4" w:space="0" w:color="auto"/>
              <w:bottom w:val="single" w:sz="4" w:space="0" w:color="auto"/>
              <w:right w:val="nil"/>
              <w:tl2br w:val="nil"/>
              <w:tr2bl w:val="nil"/>
            </w:tcBorders>
            <w:noWrap/>
            <w:textDirection w:val="lrTb"/>
            <w:vAlign w:val="center"/>
          </w:tcPr>
          <w:p w:rsidR="00B97FAA" w:rsidP="00C362EA">
            <w:pPr>
              <w:spacing w:line="240" w:lineRule="auto"/>
              <w:jc w:val="right"/>
              <w:rPr>
                <w:rFonts w:ascii="Times New Roman" w:hAnsi="Times New Roman" w:cs="Times New Roman"/>
              </w:rPr>
            </w:pPr>
            <w:r w:rsidR="0058179B">
              <w:rPr>
                <w:rFonts w:ascii="Times New Roman" w:hAnsi="Times New Roman" w:cs="Times New Roman"/>
              </w:rPr>
              <w:t>569 140</w:t>
            </w:r>
          </w:p>
        </w:tc>
        <w:tc>
          <w:tcPr>
            <w:tcW w:w="1180" w:type="dxa"/>
            <w:tcBorders>
              <w:top w:val="single" w:sz="4" w:space="0" w:color="auto"/>
              <w:left w:val="single" w:sz="4" w:space="0" w:color="auto"/>
              <w:bottom w:val="single" w:sz="4" w:space="0" w:color="auto"/>
              <w:right w:val="nil"/>
              <w:tl2br w:val="nil"/>
              <w:tr2bl w:val="nil"/>
            </w:tcBorders>
            <w:noWrap/>
            <w:textDirection w:val="lrTb"/>
            <w:vAlign w:val="center"/>
          </w:tcPr>
          <w:p w:rsidR="00B97FAA" w:rsidP="00C362EA">
            <w:pPr>
              <w:spacing w:line="240" w:lineRule="auto"/>
              <w:jc w:val="right"/>
              <w:rPr>
                <w:rFonts w:ascii="Times New Roman" w:hAnsi="Times New Roman" w:cs="Times New Roman"/>
              </w:rPr>
            </w:pPr>
            <w:r w:rsidR="0058179B">
              <w:rPr>
                <w:rFonts w:ascii="Times New Roman" w:hAnsi="Times New Roman" w:cs="Times New Roman"/>
              </w:rPr>
              <w:t>491 527</w:t>
            </w:r>
          </w:p>
        </w:tc>
        <w:tc>
          <w:tcPr>
            <w:tcW w:w="1196"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B97FAA" w:rsidP="00C362EA">
            <w:pPr>
              <w:spacing w:line="240" w:lineRule="auto"/>
              <w:jc w:val="right"/>
              <w:rPr>
                <w:rFonts w:ascii="Times New Roman" w:hAnsi="Times New Roman" w:cs="Times New Roman"/>
              </w:rPr>
            </w:pPr>
            <w:r w:rsidR="0058179B">
              <w:rPr>
                <w:rFonts w:ascii="Times New Roman" w:hAnsi="Times New Roman" w:cs="Times New Roman"/>
              </w:rPr>
              <w:t>- 5 950</w:t>
            </w:r>
          </w:p>
        </w:tc>
      </w:tr>
      <w:tr>
        <w:tblPrEx>
          <w:tblW w:w="10076" w:type="dxa"/>
          <w:jc w:val="center"/>
          <w:tblCellMar>
            <w:left w:w="70" w:type="dxa"/>
            <w:right w:w="70" w:type="dxa"/>
          </w:tblCellMar>
        </w:tblPrEx>
        <w:trPr>
          <w:trHeight w:hRule="exact" w:val="227"/>
          <w:jc w:val="center"/>
        </w:trPr>
        <w:tc>
          <w:tcPr>
            <w:tcW w:w="298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B97FAA" w:rsidP="00C362EA">
            <w:pPr>
              <w:spacing w:line="240" w:lineRule="auto"/>
              <w:rPr>
                <w:rFonts w:ascii="Times New Roman" w:hAnsi="Times New Roman" w:cs="Times New Roman"/>
              </w:rPr>
            </w:pPr>
            <w:r>
              <w:rPr>
                <w:rFonts w:ascii="Times New Roman" w:hAnsi="Times New Roman" w:cs="Times New Roman"/>
              </w:rPr>
              <w:t>Krátkodobé záväzky</w:t>
            </w:r>
          </w:p>
        </w:tc>
        <w:tc>
          <w:tcPr>
            <w:tcW w:w="1180" w:type="dxa"/>
            <w:tcBorders>
              <w:top w:val="single" w:sz="4" w:space="0" w:color="auto"/>
              <w:left w:val="nil"/>
              <w:bottom w:val="single" w:sz="4" w:space="0" w:color="auto"/>
              <w:right w:val="single" w:sz="4" w:space="0" w:color="auto"/>
              <w:tl2br w:val="nil"/>
              <w:tr2bl w:val="nil"/>
            </w:tcBorders>
            <w:noWrap/>
            <w:textDirection w:val="lrTb"/>
            <w:vAlign w:val="center"/>
          </w:tcPr>
          <w:p w:rsidR="00B97FAA" w:rsidP="00C362EA">
            <w:pPr>
              <w:spacing w:line="240" w:lineRule="auto"/>
              <w:jc w:val="right"/>
              <w:rPr>
                <w:rFonts w:ascii="Times New Roman" w:hAnsi="Times New Roman" w:cs="Times New Roman"/>
              </w:rPr>
            </w:pPr>
            <w:r w:rsidR="007403F0">
              <w:rPr>
                <w:rFonts w:ascii="Times New Roman" w:hAnsi="Times New Roman" w:cs="Times New Roman"/>
              </w:rPr>
              <w:t>3 847 195</w:t>
            </w:r>
          </w:p>
        </w:tc>
        <w:tc>
          <w:tcPr>
            <w:tcW w:w="1180" w:type="dxa"/>
            <w:tcBorders>
              <w:top w:val="single" w:sz="4" w:space="0" w:color="auto"/>
              <w:left w:val="nil"/>
              <w:bottom w:val="single" w:sz="4" w:space="0" w:color="auto"/>
              <w:right w:val="nil"/>
              <w:tl2br w:val="nil"/>
              <w:tr2bl w:val="nil"/>
            </w:tcBorders>
            <w:noWrap/>
            <w:textDirection w:val="lrTb"/>
            <w:vAlign w:val="center"/>
          </w:tcPr>
          <w:p w:rsidR="00B97FAA" w:rsidP="00C362EA">
            <w:pPr>
              <w:spacing w:line="240" w:lineRule="auto"/>
              <w:jc w:val="right"/>
              <w:rPr>
                <w:rFonts w:ascii="Times New Roman" w:hAnsi="Times New Roman" w:cs="Times New Roman"/>
              </w:rPr>
            </w:pPr>
            <w:r w:rsidR="0058179B">
              <w:rPr>
                <w:rFonts w:ascii="Times New Roman" w:hAnsi="Times New Roman" w:cs="Times New Roman"/>
              </w:rPr>
              <w:t>2 258 861</w:t>
            </w:r>
          </w:p>
        </w:tc>
        <w:tc>
          <w:tcPr>
            <w:tcW w:w="1180" w:type="dxa"/>
            <w:tcBorders>
              <w:top w:val="single" w:sz="4" w:space="0" w:color="auto"/>
              <w:left w:val="single" w:sz="4" w:space="0" w:color="auto"/>
              <w:bottom w:val="single" w:sz="4" w:space="0" w:color="auto"/>
              <w:right w:val="nil"/>
              <w:tl2br w:val="nil"/>
              <w:tr2bl w:val="nil"/>
            </w:tcBorders>
            <w:noWrap/>
            <w:textDirection w:val="lrTb"/>
            <w:vAlign w:val="center"/>
          </w:tcPr>
          <w:p w:rsidR="00B97FAA" w:rsidP="00C362EA">
            <w:pPr>
              <w:spacing w:line="240" w:lineRule="auto"/>
              <w:jc w:val="right"/>
              <w:rPr>
                <w:rFonts w:ascii="Times New Roman" w:hAnsi="Times New Roman" w:cs="Times New Roman"/>
              </w:rPr>
            </w:pPr>
            <w:r w:rsidR="0058179B">
              <w:rPr>
                <w:rFonts w:ascii="Times New Roman" w:hAnsi="Times New Roman" w:cs="Times New Roman"/>
              </w:rPr>
              <w:t>1 826 373</w:t>
            </w:r>
          </w:p>
        </w:tc>
        <w:tc>
          <w:tcPr>
            <w:tcW w:w="1180" w:type="dxa"/>
            <w:tcBorders>
              <w:top w:val="single" w:sz="4" w:space="0" w:color="auto"/>
              <w:left w:val="single" w:sz="4" w:space="0" w:color="auto"/>
              <w:bottom w:val="single" w:sz="4" w:space="0" w:color="auto"/>
              <w:right w:val="nil"/>
              <w:tl2br w:val="nil"/>
              <w:tr2bl w:val="nil"/>
            </w:tcBorders>
            <w:noWrap/>
            <w:textDirection w:val="lrTb"/>
            <w:vAlign w:val="center"/>
          </w:tcPr>
          <w:p w:rsidR="00B97FAA" w:rsidP="00C362EA">
            <w:pPr>
              <w:spacing w:line="240" w:lineRule="auto"/>
              <w:jc w:val="right"/>
              <w:rPr>
                <w:rFonts w:ascii="Times New Roman" w:hAnsi="Times New Roman" w:cs="Times New Roman"/>
              </w:rPr>
            </w:pPr>
            <w:r w:rsidR="0058179B">
              <w:rPr>
                <w:rFonts w:ascii="Times New Roman" w:hAnsi="Times New Roman" w:cs="Times New Roman"/>
              </w:rPr>
              <w:t>2 361 447</w:t>
            </w:r>
          </w:p>
        </w:tc>
        <w:tc>
          <w:tcPr>
            <w:tcW w:w="1180" w:type="dxa"/>
            <w:tcBorders>
              <w:top w:val="single" w:sz="4" w:space="0" w:color="auto"/>
              <w:left w:val="single" w:sz="4" w:space="0" w:color="auto"/>
              <w:bottom w:val="single" w:sz="4" w:space="0" w:color="auto"/>
              <w:right w:val="nil"/>
              <w:tl2br w:val="nil"/>
              <w:tr2bl w:val="nil"/>
            </w:tcBorders>
            <w:noWrap/>
            <w:textDirection w:val="lrTb"/>
            <w:vAlign w:val="center"/>
          </w:tcPr>
          <w:p w:rsidR="00B97FAA" w:rsidP="00C362EA">
            <w:pPr>
              <w:spacing w:line="240" w:lineRule="auto"/>
              <w:jc w:val="right"/>
              <w:rPr>
                <w:rFonts w:ascii="Times New Roman" w:hAnsi="Times New Roman" w:cs="Times New Roman"/>
              </w:rPr>
            </w:pPr>
            <w:r w:rsidR="0058179B">
              <w:rPr>
                <w:rFonts w:ascii="Times New Roman" w:hAnsi="Times New Roman" w:cs="Times New Roman"/>
              </w:rPr>
              <w:t>3 767 543</w:t>
            </w:r>
          </w:p>
        </w:tc>
        <w:tc>
          <w:tcPr>
            <w:tcW w:w="1196"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B97FAA" w:rsidP="00C362EA">
            <w:pPr>
              <w:spacing w:line="240" w:lineRule="auto"/>
              <w:jc w:val="right"/>
              <w:rPr>
                <w:rFonts w:ascii="Times New Roman" w:hAnsi="Times New Roman" w:cs="Times New Roman"/>
              </w:rPr>
            </w:pPr>
            <w:r w:rsidR="0058179B">
              <w:rPr>
                <w:rFonts w:ascii="Times New Roman" w:hAnsi="Times New Roman" w:cs="Times New Roman"/>
              </w:rPr>
              <w:t>- 79 652</w:t>
            </w:r>
          </w:p>
        </w:tc>
      </w:tr>
      <w:tr>
        <w:tblPrEx>
          <w:tblW w:w="10076" w:type="dxa"/>
          <w:jc w:val="center"/>
          <w:tblCellMar>
            <w:left w:w="70" w:type="dxa"/>
            <w:right w:w="70" w:type="dxa"/>
          </w:tblCellMar>
        </w:tblPrEx>
        <w:trPr>
          <w:trHeight w:hRule="exact" w:val="227"/>
          <w:jc w:val="center"/>
        </w:trPr>
        <w:tc>
          <w:tcPr>
            <w:tcW w:w="298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B97FAA" w:rsidP="00C362EA">
            <w:pPr>
              <w:spacing w:line="240" w:lineRule="auto"/>
              <w:rPr>
                <w:rFonts w:ascii="Times New Roman" w:hAnsi="Times New Roman" w:cs="Times New Roman"/>
              </w:rPr>
            </w:pPr>
            <w:r>
              <w:rPr>
                <w:rFonts w:ascii="Times New Roman" w:hAnsi="Times New Roman" w:cs="Times New Roman"/>
              </w:rPr>
              <w:t>Bankové úvery</w:t>
            </w:r>
          </w:p>
        </w:tc>
        <w:tc>
          <w:tcPr>
            <w:tcW w:w="1180" w:type="dxa"/>
            <w:tcBorders>
              <w:top w:val="single" w:sz="4" w:space="0" w:color="auto"/>
              <w:left w:val="nil"/>
              <w:bottom w:val="single" w:sz="4" w:space="0" w:color="auto"/>
              <w:right w:val="single" w:sz="4" w:space="0" w:color="auto"/>
              <w:tl2br w:val="nil"/>
              <w:tr2bl w:val="nil"/>
            </w:tcBorders>
            <w:noWrap/>
            <w:textDirection w:val="lrTb"/>
            <w:vAlign w:val="center"/>
          </w:tcPr>
          <w:p w:rsidR="00B97FAA" w:rsidP="00C362EA">
            <w:pPr>
              <w:spacing w:line="240" w:lineRule="auto"/>
              <w:jc w:val="right"/>
              <w:rPr>
                <w:rFonts w:ascii="Times New Roman" w:hAnsi="Times New Roman" w:cs="Times New Roman"/>
              </w:rPr>
            </w:pPr>
            <w:r w:rsidR="007403F0">
              <w:rPr>
                <w:rFonts w:ascii="Times New Roman" w:hAnsi="Times New Roman" w:cs="Times New Roman"/>
              </w:rPr>
              <w:t>21 523 712</w:t>
            </w:r>
          </w:p>
        </w:tc>
        <w:tc>
          <w:tcPr>
            <w:tcW w:w="1180" w:type="dxa"/>
            <w:tcBorders>
              <w:top w:val="single" w:sz="4" w:space="0" w:color="auto"/>
              <w:left w:val="nil"/>
              <w:bottom w:val="single" w:sz="4" w:space="0" w:color="auto"/>
              <w:right w:val="nil"/>
              <w:tl2br w:val="nil"/>
              <w:tr2bl w:val="nil"/>
            </w:tcBorders>
            <w:noWrap/>
            <w:textDirection w:val="lrTb"/>
            <w:vAlign w:val="center"/>
          </w:tcPr>
          <w:p w:rsidR="00B97FAA" w:rsidP="00C362EA">
            <w:pPr>
              <w:spacing w:line="240" w:lineRule="auto"/>
              <w:jc w:val="right"/>
              <w:rPr>
                <w:rFonts w:ascii="Times New Roman" w:hAnsi="Times New Roman" w:cs="Times New Roman"/>
              </w:rPr>
            </w:pPr>
            <w:r w:rsidR="0058179B">
              <w:rPr>
                <w:rFonts w:ascii="Times New Roman" w:hAnsi="Times New Roman" w:cs="Times New Roman"/>
              </w:rPr>
              <w:t>15 427 539</w:t>
            </w:r>
          </w:p>
        </w:tc>
        <w:tc>
          <w:tcPr>
            <w:tcW w:w="1180" w:type="dxa"/>
            <w:tcBorders>
              <w:top w:val="single" w:sz="4" w:space="0" w:color="auto"/>
              <w:left w:val="single" w:sz="4" w:space="0" w:color="auto"/>
              <w:bottom w:val="single" w:sz="4" w:space="0" w:color="auto"/>
              <w:right w:val="nil"/>
              <w:tl2br w:val="nil"/>
              <w:tr2bl w:val="nil"/>
            </w:tcBorders>
            <w:noWrap/>
            <w:textDirection w:val="lrTb"/>
            <w:vAlign w:val="center"/>
          </w:tcPr>
          <w:p w:rsidR="00B97FAA" w:rsidP="00C362EA">
            <w:pPr>
              <w:spacing w:line="240" w:lineRule="auto"/>
              <w:jc w:val="right"/>
              <w:rPr>
                <w:rFonts w:ascii="Times New Roman" w:hAnsi="Times New Roman" w:cs="Times New Roman"/>
              </w:rPr>
            </w:pPr>
            <w:r w:rsidR="0058179B">
              <w:rPr>
                <w:rFonts w:ascii="Times New Roman" w:hAnsi="Times New Roman" w:cs="Times New Roman"/>
              </w:rPr>
              <w:t>2 158 261</w:t>
            </w:r>
          </w:p>
        </w:tc>
        <w:tc>
          <w:tcPr>
            <w:tcW w:w="1180" w:type="dxa"/>
            <w:tcBorders>
              <w:top w:val="single" w:sz="4" w:space="0" w:color="auto"/>
              <w:left w:val="single" w:sz="4" w:space="0" w:color="auto"/>
              <w:bottom w:val="single" w:sz="4" w:space="0" w:color="auto"/>
              <w:right w:val="nil"/>
              <w:tl2br w:val="nil"/>
              <w:tr2bl w:val="nil"/>
            </w:tcBorders>
            <w:noWrap/>
            <w:textDirection w:val="lrTb"/>
            <w:vAlign w:val="center"/>
          </w:tcPr>
          <w:p w:rsidR="00B97FAA" w:rsidP="00C362EA">
            <w:pPr>
              <w:spacing w:line="240" w:lineRule="auto"/>
              <w:jc w:val="right"/>
              <w:rPr>
                <w:rFonts w:ascii="Times New Roman" w:hAnsi="Times New Roman" w:cs="Times New Roman"/>
              </w:rPr>
            </w:pPr>
            <w:r w:rsidR="0058179B">
              <w:rPr>
                <w:rFonts w:ascii="Times New Roman" w:hAnsi="Times New Roman" w:cs="Times New Roman"/>
              </w:rPr>
              <w:t>2 565 612</w:t>
            </w:r>
          </w:p>
        </w:tc>
        <w:tc>
          <w:tcPr>
            <w:tcW w:w="1180" w:type="dxa"/>
            <w:tcBorders>
              <w:top w:val="single" w:sz="4" w:space="0" w:color="auto"/>
              <w:left w:val="single" w:sz="4" w:space="0" w:color="auto"/>
              <w:bottom w:val="single" w:sz="4" w:space="0" w:color="auto"/>
              <w:right w:val="nil"/>
              <w:tl2br w:val="nil"/>
              <w:tr2bl w:val="nil"/>
            </w:tcBorders>
            <w:noWrap/>
            <w:textDirection w:val="lrTb"/>
            <w:vAlign w:val="center"/>
          </w:tcPr>
          <w:p w:rsidR="00B97FAA" w:rsidP="00C362EA">
            <w:pPr>
              <w:spacing w:line="240" w:lineRule="auto"/>
              <w:jc w:val="right"/>
              <w:rPr>
                <w:rFonts w:ascii="Times New Roman" w:hAnsi="Times New Roman" w:cs="Times New Roman"/>
              </w:rPr>
            </w:pPr>
            <w:r w:rsidR="0058179B">
              <w:rPr>
                <w:rFonts w:ascii="Times New Roman" w:hAnsi="Times New Roman" w:cs="Times New Roman"/>
              </w:rPr>
              <w:t>2 790 286</w:t>
            </w:r>
          </w:p>
        </w:tc>
        <w:tc>
          <w:tcPr>
            <w:tcW w:w="1196"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B97FAA" w:rsidP="00C362EA">
            <w:pPr>
              <w:spacing w:line="240" w:lineRule="auto"/>
              <w:jc w:val="right"/>
              <w:rPr>
                <w:rFonts w:ascii="Times New Roman" w:hAnsi="Times New Roman" w:cs="Times New Roman"/>
              </w:rPr>
            </w:pPr>
            <w:r w:rsidR="0058179B">
              <w:rPr>
                <w:rFonts w:ascii="Times New Roman" w:hAnsi="Times New Roman" w:cs="Times New Roman"/>
              </w:rPr>
              <w:t>- 18 733 426</w:t>
            </w:r>
          </w:p>
        </w:tc>
      </w:tr>
      <w:tr>
        <w:tblPrEx>
          <w:tblW w:w="10076" w:type="dxa"/>
          <w:jc w:val="center"/>
          <w:tblCellMar>
            <w:left w:w="70" w:type="dxa"/>
            <w:right w:w="70" w:type="dxa"/>
          </w:tblCellMar>
        </w:tblPrEx>
        <w:trPr>
          <w:trHeight w:hRule="exact" w:val="227"/>
          <w:jc w:val="center"/>
        </w:trPr>
        <w:tc>
          <w:tcPr>
            <w:tcW w:w="298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B97FAA" w:rsidP="00C362EA">
            <w:pPr>
              <w:spacing w:line="240" w:lineRule="auto"/>
              <w:rPr>
                <w:rFonts w:ascii="Times New Roman" w:hAnsi="Times New Roman" w:cs="Times New Roman"/>
                <w:b/>
                <w:bCs/>
              </w:rPr>
            </w:pPr>
            <w:r>
              <w:rPr>
                <w:rFonts w:ascii="Times New Roman" w:hAnsi="Times New Roman" w:cs="Times New Roman"/>
                <w:b/>
                <w:bCs/>
              </w:rPr>
              <w:t>Časové rozlíšenie</w:t>
            </w:r>
          </w:p>
        </w:tc>
        <w:tc>
          <w:tcPr>
            <w:tcW w:w="1180" w:type="dxa"/>
            <w:tcBorders>
              <w:top w:val="single" w:sz="4" w:space="0" w:color="auto"/>
              <w:left w:val="nil"/>
              <w:bottom w:val="single" w:sz="4" w:space="0" w:color="auto"/>
              <w:right w:val="nil"/>
              <w:tl2br w:val="nil"/>
              <w:tr2bl w:val="nil"/>
            </w:tcBorders>
            <w:noWrap/>
            <w:textDirection w:val="lrTb"/>
            <w:vAlign w:val="center"/>
          </w:tcPr>
          <w:p w:rsidR="00B97FAA" w:rsidP="00C362EA">
            <w:pPr>
              <w:spacing w:line="240" w:lineRule="auto"/>
              <w:jc w:val="right"/>
              <w:rPr>
                <w:rFonts w:ascii="Times New Roman" w:hAnsi="Times New Roman" w:cs="Times New Roman"/>
                <w:b/>
                <w:bCs/>
              </w:rPr>
            </w:pPr>
            <w:r w:rsidR="007403F0">
              <w:rPr>
                <w:rFonts w:ascii="Times New Roman" w:hAnsi="Times New Roman" w:cs="Times New Roman"/>
                <w:b/>
                <w:bCs/>
              </w:rPr>
              <w:t>12 823 310</w:t>
            </w:r>
          </w:p>
        </w:tc>
        <w:tc>
          <w:tcPr>
            <w:tcW w:w="1180" w:type="dxa"/>
            <w:tcBorders>
              <w:top w:val="single" w:sz="4" w:space="0" w:color="auto"/>
              <w:left w:val="single" w:sz="4" w:space="0" w:color="auto"/>
              <w:bottom w:val="single" w:sz="4" w:space="0" w:color="auto"/>
              <w:right w:val="nil"/>
              <w:tl2br w:val="nil"/>
              <w:tr2bl w:val="nil"/>
            </w:tcBorders>
            <w:noWrap/>
            <w:textDirection w:val="lrTb"/>
            <w:vAlign w:val="center"/>
          </w:tcPr>
          <w:p w:rsidR="00B97FAA" w:rsidP="00C362EA">
            <w:pPr>
              <w:spacing w:line="240" w:lineRule="auto"/>
              <w:jc w:val="right"/>
              <w:rPr>
                <w:rFonts w:ascii="Times New Roman" w:hAnsi="Times New Roman" w:cs="Times New Roman"/>
                <w:b/>
                <w:bCs/>
              </w:rPr>
            </w:pPr>
            <w:r w:rsidR="0058179B">
              <w:rPr>
                <w:rFonts w:ascii="Times New Roman" w:hAnsi="Times New Roman" w:cs="Times New Roman"/>
                <w:b/>
                <w:bCs/>
              </w:rPr>
              <w:t>14 543 950</w:t>
            </w:r>
          </w:p>
        </w:tc>
        <w:tc>
          <w:tcPr>
            <w:tcW w:w="1180" w:type="dxa"/>
            <w:tcBorders>
              <w:top w:val="single" w:sz="4" w:space="0" w:color="auto"/>
              <w:left w:val="single" w:sz="4" w:space="0" w:color="auto"/>
              <w:bottom w:val="single" w:sz="4" w:space="0" w:color="auto"/>
              <w:right w:val="nil"/>
              <w:tl2br w:val="nil"/>
              <w:tr2bl w:val="nil"/>
            </w:tcBorders>
            <w:noWrap/>
            <w:textDirection w:val="lrTb"/>
            <w:vAlign w:val="center"/>
          </w:tcPr>
          <w:p w:rsidR="00B97FAA" w:rsidP="00C362EA">
            <w:pPr>
              <w:spacing w:line="240" w:lineRule="auto"/>
              <w:jc w:val="right"/>
              <w:rPr>
                <w:rFonts w:ascii="Times New Roman" w:hAnsi="Times New Roman" w:cs="Times New Roman"/>
                <w:b/>
                <w:bCs/>
              </w:rPr>
            </w:pPr>
            <w:r w:rsidR="0058179B">
              <w:rPr>
                <w:rFonts w:ascii="Times New Roman" w:hAnsi="Times New Roman" w:cs="Times New Roman"/>
                <w:b/>
                <w:bCs/>
              </w:rPr>
              <w:t>15 637 351</w:t>
            </w:r>
          </w:p>
        </w:tc>
        <w:tc>
          <w:tcPr>
            <w:tcW w:w="1180" w:type="dxa"/>
            <w:tcBorders>
              <w:top w:val="single" w:sz="4" w:space="0" w:color="auto"/>
              <w:left w:val="single" w:sz="4" w:space="0" w:color="auto"/>
              <w:bottom w:val="single" w:sz="4" w:space="0" w:color="auto"/>
              <w:right w:val="nil"/>
              <w:tl2br w:val="nil"/>
              <w:tr2bl w:val="nil"/>
            </w:tcBorders>
            <w:noWrap/>
            <w:textDirection w:val="lrTb"/>
            <w:vAlign w:val="center"/>
          </w:tcPr>
          <w:p w:rsidR="00B97FAA" w:rsidP="00C362EA">
            <w:pPr>
              <w:spacing w:line="240" w:lineRule="auto"/>
              <w:jc w:val="right"/>
              <w:rPr>
                <w:rFonts w:ascii="Times New Roman" w:hAnsi="Times New Roman" w:cs="Times New Roman"/>
                <w:b/>
                <w:bCs/>
              </w:rPr>
            </w:pPr>
            <w:r w:rsidR="0058179B">
              <w:rPr>
                <w:rFonts w:ascii="Times New Roman" w:hAnsi="Times New Roman" w:cs="Times New Roman"/>
                <w:b/>
                <w:bCs/>
              </w:rPr>
              <w:t>16 782 850</w:t>
            </w:r>
          </w:p>
        </w:tc>
        <w:tc>
          <w:tcPr>
            <w:tcW w:w="1180" w:type="dxa"/>
            <w:tcBorders>
              <w:top w:val="single" w:sz="4" w:space="0" w:color="auto"/>
              <w:left w:val="single" w:sz="4" w:space="0" w:color="auto"/>
              <w:bottom w:val="single" w:sz="4" w:space="0" w:color="auto"/>
              <w:right w:val="nil"/>
              <w:tl2br w:val="nil"/>
              <w:tr2bl w:val="nil"/>
            </w:tcBorders>
            <w:noWrap/>
            <w:textDirection w:val="lrTb"/>
            <w:vAlign w:val="center"/>
          </w:tcPr>
          <w:p w:rsidR="00B97FAA" w:rsidP="00C362EA">
            <w:pPr>
              <w:spacing w:line="240" w:lineRule="auto"/>
              <w:jc w:val="right"/>
              <w:rPr>
                <w:rFonts w:ascii="Times New Roman" w:hAnsi="Times New Roman" w:cs="Times New Roman"/>
                <w:b/>
                <w:bCs/>
              </w:rPr>
            </w:pPr>
            <w:r w:rsidR="0058179B">
              <w:rPr>
                <w:rFonts w:ascii="Times New Roman" w:hAnsi="Times New Roman" w:cs="Times New Roman"/>
                <w:b/>
                <w:bCs/>
              </w:rPr>
              <w:t>18 621 373</w:t>
            </w:r>
          </w:p>
        </w:tc>
        <w:tc>
          <w:tcPr>
            <w:tcW w:w="1196"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B97FAA" w:rsidP="00C362EA">
            <w:pPr>
              <w:spacing w:line="240" w:lineRule="auto"/>
              <w:jc w:val="right"/>
              <w:rPr>
                <w:rFonts w:ascii="Times New Roman" w:hAnsi="Times New Roman" w:cs="Times New Roman"/>
                <w:b/>
                <w:bCs/>
              </w:rPr>
            </w:pPr>
            <w:r w:rsidR="0058179B">
              <w:rPr>
                <w:rFonts w:ascii="Times New Roman" w:hAnsi="Times New Roman" w:cs="Times New Roman"/>
                <w:b/>
                <w:bCs/>
              </w:rPr>
              <w:t>5 798 063</w:t>
            </w:r>
          </w:p>
        </w:tc>
      </w:tr>
    </w:tbl>
    <w:p w:rsidR="001221BA" w:rsidP="001221BA">
      <w:pPr>
        <w:pStyle w:val="BodyText2"/>
        <w:numPr>
          <w:ilvl w:val="0"/>
        </w:numPr>
        <w:spacing w:line="240" w:lineRule="auto"/>
        <w:ind w:firstLine="0"/>
        <w:rPr>
          <w:rFonts w:ascii="Times New Roman" w:hAnsi="Times New Roman" w:cs="Times New Roman"/>
          <w:sz w:val="24"/>
          <w:szCs w:val="24"/>
        </w:rPr>
      </w:pPr>
    </w:p>
    <w:p w:rsidR="001221BA" w:rsidP="00EE757E">
      <w:pPr>
        <w:pStyle w:val="BodyText2"/>
        <w:numPr>
          <w:ilvl w:val="0"/>
        </w:numPr>
        <w:spacing w:line="240" w:lineRule="auto"/>
        <w:ind w:firstLine="0"/>
        <w:rPr>
          <w:rFonts w:ascii="Times New Roman" w:hAnsi="Times New Roman" w:cs="Times New Roman"/>
          <w:sz w:val="24"/>
          <w:szCs w:val="24"/>
        </w:rPr>
      </w:pPr>
      <w:r w:rsidRPr="00641BDB" w:rsidR="00641BDB">
        <w:rPr>
          <w:rFonts w:ascii="Times New Roman" w:hAnsi="Times New Roman" w:cs="Times New Roman"/>
          <w:sz w:val="24"/>
          <w:szCs w:val="24"/>
        </w:rPr>
        <w:t>Ž</w:t>
      </w:r>
      <w:r w:rsidR="00641BDB">
        <w:rPr>
          <w:rFonts w:ascii="Times New Roman" w:hAnsi="Times New Roman" w:cs="Times New Roman"/>
          <w:sz w:val="24"/>
          <w:szCs w:val="24"/>
        </w:rPr>
        <w:t xml:space="preserve">eleznice </w:t>
      </w:r>
      <w:r w:rsidRPr="00641BDB" w:rsidR="00641BDB">
        <w:rPr>
          <w:rFonts w:ascii="Times New Roman" w:hAnsi="Times New Roman" w:cs="Times New Roman"/>
          <w:sz w:val="24"/>
          <w:szCs w:val="24"/>
        </w:rPr>
        <w:t>SR disponujú k 31.12.2007 majetkom v celkovom objeme 76 393 491 tis. Sk, pričom oproti stavu k 31.12.2006 došlo k jeho nárastu o 7 507 494 tis. Sk. Zmena stavu bola spôsobená nárastom neobežného majetku o 7 224 334 tis. Sk, nárastom obežného majetku o 263 078 tis. Sk a nárastom položiek časového rozlíšenia o 20 082 tis. Sk. K 31.12.2007 tvorí neobežný majetok z celkového objemu majetku 95,38 % (</w:t>
      </w:r>
      <w:r w:rsidR="0031620F">
        <w:rPr>
          <w:rFonts w:ascii="Times New Roman" w:hAnsi="Times New Roman" w:cs="Times New Roman"/>
          <w:sz w:val="24"/>
          <w:szCs w:val="24"/>
        </w:rPr>
        <w:t xml:space="preserve">k 31.12.2006 predstavoval </w:t>
      </w:r>
      <w:r w:rsidRPr="00641BDB" w:rsidR="00641BDB">
        <w:rPr>
          <w:rFonts w:ascii="Times New Roman" w:hAnsi="Times New Roman" w:cs="Times New Roman"/>
          <w:sz w:val="24"/>
          <w:szCs w:val="24"/>
        </w:rPr>
        <w:t>95,29 %), obežný majetok 4,51 % (k 31.12.2006 predstavoval 4,62 %) a položky časového rozlíšenia 0,11 % (k 31.12.2006 predstavovali 0,09 %).</w:t>
      </w:r>
    </w:p>
    <w:p w:rsidR="001221BA" w:rsidP="00EE757E">
      <w:pPr>
        <w:pStyle w:val="BodyText2"/>
        <w:numPr>
          <w:ilvl w:val="0"/>
        </w:numPr>
        <w:spacing w:line="240" w:lineRule="auto"/>
        <w:ind w:firstLine="0"/>
        <w:rPr>
          <w:rFonts w:ascii="Times New Roman" w:hAnsi="Times New Roman" w:cs="Times New Roman"/>
          <w:sz w:val="24"/>
          <w:szCs w:val="24"/>
        </w:rPr>
      </w:pPr>
      <w:r w:rsidR="0031620F">
        <w:rPr>
          <w:rFonts w:ascii="Times New Roman" w:hAnsi="Times New Roman" w:cs="Times New Roman"/>
          <w:sz w:val="24"/>
          <w:szCs w:val="24"/>
        </w:rPr>
        <w:t xml:space="preserve">Dlhodobý hmotný </w:t>
      </w:r>
      <w:r w:rsidRPr="00641BDB" w:rsidR="00641BDB">
        <w:rPr>
          <w:rFonts w:ascii="Times New Roman" w:hAnsi="Times New Roman" w:cs="Times New Roman"/>
          <w:sz w:val="24"/>
          <w:szCs w:val="24"/>
        </w:rPr>
        <w:t xml:space="preserve">majetok zaznamenal nárast oproti stavu k 31.12.2006                                      o 7 191 252 tis. Sk, čo </w:t>
      </w:r>
      <w:r w:rsidR="00095D9A">
        <w:rPr>
          <w:rFonts w:ascii="Times New Roman" w:hAnsi="Times New Roman" w:cs="Times New Roman"/>
          <w:sz w:val="24"/>
          <w:szCs w:val="24"/>
        </w:rPr>
        <w:t xml:space="preserve">súvisí najmä s </w:t>
      </w:r>
      <w:r w:rsidRPr="00641BDB" w:rsidR="00641BDB">
        <w:rPr>
          <w:rFonts w:ascii="Times New Roman" w:hAnsi="Times New Roman" w:cs="Times New Roman"/>
          <w:sz w:val="24"/>
          <w:szCs w:val="24"/>
        </w:rPr>
        <w:t>modernizáciou železničnej dopravnej cesty.</w:t>
      </w:r>
    </w:p>
    <w:p w:rsidR="0031620F" w:rsidRPr="00EF0282" w:rsidP="00EF0282">
      <w:pPr>
        <w:pStyle w:val="BodyText2"/>
        <w:numPr>
          <w:ilvl w:val="0"/>
        </w:numPr>
        <w:spacing w:line="240" w:lineRule="auto"/>
        <w:ind w:firstLine="0"/>
        <w:rPr>
          <w:rFonts w:ascii="Times New Roman" w:hAnsi="Times New Roman" w:cs="Times New Roman"/>
          <w:sz w:val="24"/>
          <w:szCs w:val="24"/>
        </w:rPr>
      </w:pPr>
      <w:r w:rsidRPr="00EF0282" w:rsidR="00641BDB">
        <w:rPr>
          <w:rFonts w:ascii="Times New Roman" w:hAnsi="Times New Roman" w:cs="Times New Roman"/>
          <w:sz w:val="24"/>
          <w:szCs w:val="24"/>
        </w:rPr>
        <w:t>Zásoby zaznamenali nárast oproti stavu k 31.12.2006 o 367 706 tis. Sk. K termínu definitívnej uzávierky sa ešte predpokladá tvorba opravných položiek k zásobám vo výške  359 000 tis. Sk, čo bude</w:t>
      </w:r>
      <w:r w:rsidRPr="00EF0282">
        <w:rPr>
          <w:rFonts w:ascii="Times New Roman" w:hAnsi="Times New Roman" w:cs="Times New Roman"/>
          <w:sz w:val="24"/>
          <w:szCs w:val="24"/>
        </w:rPr>
        <w:t xml:space="preserve"> vplývať na eliminovanie tohto </w:t>
      </w:r>
      <w:r w:rsidRPr="00EF0282" w:rsidR="00641BDB">
        <w:rPr>
          <w:rFonts w:ascii="Times New Roman" w:hAnsi="Times New Roman" w:cs="Times New Roman"/>
          <w:sz w:val="24"/>
          <w:szCs w:val="24"/>
        </w:rPr>
        <w:t>rozdielu.</w:t>
      </w:r>
    </w:p>
    <w:p w:rsidR="0031620F" w:rsidRPr="00EE757E" w:rsidP="00EE757E">
      <w:pPr>
        <w:pStyle w:val="BodyTextIndent"/>
        <w:numPr>
          <w:ilvl w:val="0"/>
        </w:numPr>
        <w:spacing w:line="240" w:lineRule="auto"/>
        <w:ind w:firstLine="0"/>
        <w:rPr>
          <w:rFonts w:ascii="Times New Roman" w:hAnsi="Times New Roman" w:cs="Times New Roman"/>
          <w:sz w:val="24"/>
          <w:szCs w:val="24"/>
        </w:rPr>
      </w:pPr>
      <w:r w:rsidRPr="00EE757E" w:rsidR="00641BDB">
        <w:rPr>
          <w:rFonts w:ascii="Times New Roman" w:hAnsi="Times New Roman" w:cs="Times New Roman"/>
          <w:sz w:val="24"/>
          <w:szCs w:val="24"/>
        </w:rPr>
        <w:t>Pohľadávky zaznamenali nárast oproti stavu k 31.12.2006 o 571 047 tis. Sk najmä z dôvodu rastu pohľadávok z obchodného styku voči ZSSK Cargo a Z</w:t>
      </w:r>
      <w:r w:rsidRPr="00EE757E">
        <w:rPr>
          <w:rFonts w:ascii="Times New Roman" w:hAnsi="Times New Roman" w:cs="Times New Roman"/>
          <w:sz w:val="24"/>
          <w:szCs w:val="24"/>
        </w:rPr>
        <w:t xml:space="preserve">SSK za poplatok za použitie železničnej dopravnej cesty </w:t>
      </w:r>
      <w:r w:rsidRPr="00EE757E" w:rsidR="00641BDB">
        <w:rPr>
          <w:rFonts w:ascii="Times New Roman" w:hAnsi="Times New Roman" w:cs="Times New Roman"/>
          <w:sz w:val="24"/>
          <w:szCs w:val="24"/>
        </w:rPr>
        <w:t>a za trakčnú elektrickú energiu</w:t>
      </w:r>
      <w:r w:rsidRPr="00EE757E">
        <w:rPr>
          <w:rFonts w:ascii="Times New Roman" w:hAnsi="Times New Roman" w:cs="Times New Roman"/>
          <w:sz w:val="24"/>
          <w:szCs w:val="24"/>
        </w:rPr>
        <w:t>. Predpokladá sa ešte doúčtovanie tvorby</w:t>
      </w:r>
      <w:r w:rsidRPr="00EE757E" w:rsidR="00641BDB">
        <w:rPr>
          <w:rFonts w:ascii="Times New Roman" w:hAnsi="Times New Roman" w:cs="Times New Roman"/>
          <w:sz w:val="24"/>
          <w:szCs w:val="24"/>
        </w:rPr>
        <w:t xml:space="preserve"> opravných položiek k pohľadávkam vo výške 170 000 tis. Sk.</w:t>
      </w:r>
    </w:p>
    <w:p w:rsidR="003D1504" w:rsidRPr="003D1504" w:rsidP="00EE757E">
      <w:pPr>
        <w:pStyle w:val="BodyText2"/>
        <w:overflowPunct w:val="0"/>
        <w:autoSpaceDE/>
        <w:autoSpaceDN/>
        <w:spacing w:line="240" w:lineRule="auto"/>
        <w:ind w:firstLine="708"/>
        <w:rPr>
          <w:rFonts w:ascii="Times New Roman" w:hAnsi="Times New Roman" w:cs="Times New Roman"/>
          <w:sz w:val="24"/>
          <w:szCs w:val="24"/>
        </w:rPr>
      </w:pPr>
      <w:r w:rsidRPr="003D1504" w:rsidR="00641BDB">
        <w:rPr>
          <w:rFonts w:ascii="Times New Roman" w:hAnsi="Times New Roman" w:cs="Times New Roman"/>
          <w:sz w:val="24"/>
          <w:szCs w:val="24"/>
        </w:rPr>
        <w:t>Na strane pasív došlo k nárastu vlastných zdrojov krytia majetku o 20 643 439 tis. Sk, k poklesu záväzkov o 18 934 008 tis. Sk a k nárastu časového rozlíšenia o 5 798 063 tis. Sk. Najväčší pokles u záväzkov zaznamenali bankové úvery a výpomoci. Ich stav k 31.12.2007 bol 2 790 286 tis. Sk a od začiatku roka klesol o 18 733 426 tis. Sk z dôvodu prevzatia úverov so št</w:t>
      </w:r>
      <w:r w:rsidRPr="003D1504" w:rsidR="0031620F">
        <w:rPr>
          <w:rFonts w:ascii="Times New Roman" w:hAnsi="Times New Roman" w:cs="Times New Roman"/>
          <w:sz w:val="24"/>
          <w:szCs w:val="24"/>
        </w:rPr>
        <w:t>átnou zárukou do štátneho dlhu. N</w:t>
      </w:r>
      <w:r w:rsidRPr="003D1504" w:rsidR="00641BDB">
        <w:rPr>
          <w:rFonts w:ascii="Times New Roman" w:hAnsi="Times New Roman" w:cs="Times New Roman"/>
          <w:sz w:val="24"/>
          <w:szCs w:val="24"/>
        </w:rPr>
        <w:t>a základe podpísanej dohody o prevzatí úverov so štátnou zárukou medzi Ž</w:t>
      </w:r>
      <w:r w:rsidRPr="003D1504" w:rsidR="0031620F">
        <w:rPr>
          <w:rFonts w:ascii="Times New Roman" w:hAnsi="Times New Roman" w:cs="Times New Roman"/>
          <w:sz w:val="24"/>
          <w:szCs w:val="24"/>
        </w:rPr>
        <w:t xml:space="preserve">eleznicami </w:t>
      </w:r>
      <w:r w:rsidRPr="003D1504" w:rsidR="00641BDB">
        <w:rPr>
          <w:rFonts w:ascii="Times New Roman" w:hAnsi="Times New Roman" w:cs="Times New Roman"/>
          <w:sz w:val="24"/>
          <w:szCs w:val="24"/>
        </w:rPr>
        <w:t>SR, banko</w:t>
      </w:r>
      <w:r w:rsidRPr="003D1504" w:rsidR="0031620F">
        <w:rPr>
          <w:rFonts w:ascii="Times New Roman" w:hAnsi="Times New Roman" w:cs="Times New Roman"/>
          <w:sz w:val="24"/>
          <w:szCs w:val="24"/>
        </w:rPr>
        <w:t xml:space="preserve">u a MDPT SR </w:t>
      </w:r>
      <w:r w:rsidRPr="003D1504" w:rsidR="00641BDB">
        <w:rPr>
          <w:rFonts w:ascii="Times New Roman" w:hAnsi="Times New Roman" w:cs="Times New Roman"/>
          <w:sz w:val="24"/>
          <w:szCs w:val="24"/>
        </w:rPr>
        <w:t>prebral štát do štátneho dlhu</w:t>
      </w:r>
      <w:r w:rsidRPr="003D1504" w:rsidR="0031620F">
        <w:rPr>
          <w:rFonts w:ascii="Times New Roman" w:hAnsi="Times New Roman" w:cs="Times New Roman"/>
          <w:sz w:val="24"/>
          <w:szCs w:val="24"/>
        </w:rPr>
        <w:t xml:space="preserve"> od 1.1.2007</w:t>
      </w:r>
      <w:r w:rsidRPr="003D1504" w:rsidR="00641BDB">
        <w:rPr>
          <w:rFonts w:ascii="Times New Roman" w:hAnsi="Times New Roman" w:cs="Times New Roman"/>
          <w:sz w:val="24"/>
          <w:szCs w:val="24"/>
        </w:rPr>
        <w:t xml:space="preserve">: </w:t>
      </w:r>
      <w:r w:rsidRPr="003D1504" w:rsidR="0031620F">
        <w:rPr>
          <w:rFonts w:ascii="Times New Roman" w:hAnsi="Times New Roman" w:cs="Times New Roman"/>
          <w:sz w:val="24"/>
          <w:szCs w:val="24"/>
        </w:rPr>
        <w:t xml:space="preserve"> úvery  od  Ľudovej   banky</w:t>
      </w:r>
      <w:r w:rsidRPr="003D1504" w:rsidR="00641BDB">
        <w:rPr>
          <w:rFonts w:ascii="Times New Roman" w:hAnsi="Times New Roman" w:cs="Times New Roman"/>
          <w:sz w:val="24"/>
          <w:szCs w:val="24"/>
        </w:rPr>
        <w:t xml:space="preserve"> </w:t>
      </w:r>
      <w:r w:rsidRPr="003D1504" w:rsidR="0031620F">
        <w:rPr>
          <w:rFonts w:ascii="Times New Roman" w:hAnsi="Times New Roman" w:cs="Times New Roman"/>
          <w:sz w:val="24"/>
          <w:szCs w:val="24"/>
        </w:rPr>
        <w:t xml:space="preserve"> </w:t>
      </w:r>
      <w:r w:rsidRPr="003D1504" w:rsidR="00641BDB">
        <w:rPr>
          <w:rFonts w:ascii="Times New Roman" w:hAnsi="Times New Roman" w:cs="Times New Roman"/>
          <w:sz w:val="24"/>
          <w:szCs w:val="24"/>
        </w:rPr>
        <w:t xml:space="preserve">vo </w:t>
      </w:r>
      <w:r w:rsidRPr="003D1504" w:rsidR="0031620F">
        <w:rPr>
          <w:rFonts w:ascii="Times New Roman" w:hAnsi="Times New Roman" w:cs="Times New Roman"/>
          <w:sz w:val="24"/>
          <w:szCs w:val="24"/>
        </w:rPr>
        <w:t xml:space="preserve"> </w:t>
      </w:r>
      <w:r w:rsidRPr="003D1504" w:rsidR="00641BDB">
        <w:rPr>
          <w:rFonts w:ascii="Times New Roman" w:hAnsi="Times New Roman" w:cs="Times New Roman"/>
          <w:sz w:val="24"/>
          <w:szCs w:val="24"/>
        </w:rPr>
        <w:t>výšk</w:t>
      </w:r>
      <w:r w:rsidRPr="003D1504" w:rsidR="0031620F">
        <w:rPr>
          <w:rFonts w:ascii="Times New Roman" w:hAnsi="Times New Roman" w:cs="Times New Roman"/>
          <w:sz w:val="24"/>
          <w:szCs w:val="24"/>
        </w:rPr>
        <w:t>e  1 818 500 tis. Sk,   Tatra  banky</w:t>
      </w:r>
      <w:r w:rsidRPr="003D1504" w:rsidR="00641BDB">
        <w:rPr>
          <w:rFonts w:ascii="Times New Roman" w:hAnsi="Times New Roman" w:cs="Times New Roman"/>
          <w:sz w:val="24"/>
          <w:szCs w:val="24"/>
        </w:rPr>
        <w:t xml:space="preserve"> </w:t>
      </w:r>
      <w:r w:rsidRPr="003D1504" w:rsidR="0031620F">
        <w:rPr>
          <w:rFonts w:ascii="Times New Roman" w:hAnsi="Times New Roman" w:cs="Times New Roman"/>
          <w:sz w:val="24"/>
          <w:szCs w:val="24"/>
        </w:rPr>
        <w:t xml:space="preserve"> </w:t>
      </w:r>
      <w:r w:rsidRPr="003D1504" w:rsidR="00641BDB">
        <w:rPr>
          <w:rFonts w:ascii="Times New Roman" w:hAnsi="Times New Roman" w:cs="Times New Roman"/>
          <w:sz w:val="24"/>
          <w:szCs w:val="24"/>
        </w:rPr>
        <w:t xml:space="preserve">vo </w:t>
      </w:r>
      <w:r w:rsidRPr="003D1504" w:rsidR="0031620F">
        <w:rPr>
          <w:rFonts w:ascii="Times New Roman" w:hAnsi="Times New Roman" w:cs="Times New Roman"/>
          <w:sz w:val="24"/>
          <w:szCs w:val="24"/>
        </w:rPr>
        <w:t xml:space="preserve"> </w:t>
      </w:r>
      <w:r w:rsidRPr="003D1504" w:rsidR="00641BDB">
        <w:rPr>
          <w:rFonts w:ascii="Times New Roman" w:hAnsi="Times New Roman" w:cs="Times New Roman"/>
          <w:sz w:val="24"/>
          <w:szCs w:val="24"/>
        </w:rPr>
        <w:t>výšk</w:t>
      </w:r>
      <w:r w:rsidRPr="003D1504" w:rsidR="0031620F">
        <w:rPr>
          <w:rFonts w:ascii="Times New Roman" w:hAnsi="Times New Roman" w:cs="Times New Roman"/>
          <w:sz w:val="24"/>
          <w:szCs w:val="24"/>
        </w:rPr>
        <w:t>e 1 350 519 tis. Sk, konzorcia Tatra banky a Slovenskej sporiteľne</w:t>
      </w:r>
      <w:r w:rsidRPr="003D1504" w:rsidR="00641BDB">
        <w:rPr>
          <w:rFonts w:ascii="Times New Roman" w:hAnsi="Times New Roman" w:cs="Times New Roman"/>
          <w:sz w:val="24"/>
          <w:szCs w:val="24"/>
        </w:rPr>
        <w:t xml:space="preserve"> vo výške 1 188 000, ČSOB vo výške 1 810 000 tis. Sk, J.P. Morgan vo výške </w:t>
      </w:r>
      <w:r w:rsidRPr="003D1504" w:rsidR="0031620F">
        <w:rPr>
          <w:rFonts w:ascii="Times New Roman" w:hAnsi="Times New Roman" w:cs="Times New Roman"/>
          <w:sz w:val="24"/>
          <w:szCs w:val="24"/>
        </w:rPr>
        <w:t>6 914 600 tis. Sk a konzorcia</w:t>
      </w:r>
      <w:r w:rsidRPr="003D1504" w:rsidR="00641BDB">
        <w:rPr>
          <w:rFonts w:ascii="Times New Roman" w:hAnsi="Times New Roman" w:cs="Times New Roman"/>
          <w:sz w:val="24"/>
          <w:szCs w:val="24"/>
        </w:rPr>
        <w:t xml:space="preserve"> J.P.Morgan + Tatra b</w:t>
      </w:r>
      <w:r w:rsidRPr="003D1504" w:rsidR="0031620F">
        <w:rPr>
          <w:rFonts w:ascii="Times New Roman" w:hAnsi="Times New Roman" w:cs="Times New Roman"/>
          <w:sz w:val="24"/>
          <w:szCs w:val="24"/>
        </w:rPr>
        <w:t>anka vo výške 6 840 000 tis. Sk</w:t>
      </w:r>
      <w:r w:rsidRPr="003D1504" w:rsidR="00641BDB">
        <w:rPr>
          <w:rFonts w:ascii="Times New Roman" w:hAnsi="Times New Roman" w:cs="Times New Roman"/>
          <w:sz w:val="24"/>
          <w:szCs w:val="24"/>
        </w:rPr>
        <w:t>.</w:t>
      </w:r>
    </w:p>
    <w:p w:rsidR="001221BA" w:rsidRPr="00EE757E" w:rsidP="00EE757E">
      <w:pPr>
        <w:numPr>
          <w:ilvl w:val="0"/>
        </w:numPr>
        <w:tabs>
          <w:tab w:val="left" w:pos="709"/>
        </w:tabs>
        <w:spacing w:line="240" w:lineRule="auto"/>
        <w:ind w:firstLine="0"/>
        <w:rPr>
          <w:rFonts w:ascii="Times New Roman" w:hAnsi="Times New Roman" w:cs="Times New Roman"/>
          <w:sz w:val="24"/>
          <w:szCs w:val="24"/>
        </w:rPr>
      </w:pPr>
      <w:r w:rsidRPr="003D1504" w:rsidR="00095D9A">
        <w:rPr>
          <w:rFonts w:ascii="Times New Roman" w:hAnsi="Times New Roman" w:cs="Times New Roman"/>
        </w:rPr>
        <w:tab/>
      </w:r>
      <w:r w:rsidRPr="00EE757E" w:rsidR="00641BDB">
        <w:rPr>
          <w:rFonts w:ascii="Times New Roman" w:hAnsi="Times New Roman" w:cs="Times New Roman"/>
          <w:sz w:val="24"/>
          <w:szCs w:val="24"/>
        </w:rPr>
        <w:t>Kapitálové fondy zaznamenali nárast oproti stavu k 31.12.2006 o 216 077 tis. Sk, čo súvisí hlavne s  precenením pozemkov na dopravnej ceste.</w:t>
      </w:r>
    </w:p>
    <w:p w:rsidR="0031620F" w:rsidRPr="00641BDB" w:rsidP="00EE757E">
      <w:pPr>
        <w:pStyle w:val="BodyText2"/>
        <w:numPr>
          <w:ilvl w:val="0"/>
        </w:numPr>
        <w:spacing w:line="240" w:lineRule="auto"/>
        <w:ind w:firstLine="0"/>
        <w:rPr>
          <w:rFonts w:ascii="Times New Roman" w:hAnsi="Times New Roman" w:cs="Times New Roman"/>
          <w:sz w:val="24"/>
          <w:szCs w:val="24"/>
        </w:rPr>
      </w:pPr>
      <w:r w:rsidRPr="00641BDB" w:rsidR="00641BDB">
        <w:rPr>
          <w:rFonts w:ascii="Times New Roman" w:hAnsi="Times New Roman" w:cs="Times New Roman"/>
          <w:sz w:val="24"/>
          <w:szCs w:val="24"/>
        </w:rPr>
        <w:t>Rezervy zaznamenali pokles oproti stavu k 31.12.2006 o 114 980 tis. Sk. K termínu definitívneho ukončenia účtovných prá</w:t>
      </w:r>
      <w:r>
        <w:rPr>
          <w:rFonts w:ascii="Times New Roman" w:hAnsi="Times New Roman" w:cs="Times New Roman"/>
          <w:sz w:val="24"/>
          <w:szCs w:val="24"/>
        </w:rPr>
        <w:t>c sa ešte predpokladá doúčtovanie tvorby rezerv</w:t>
      </w:r>
      <w:r w:rsidRPr="00641BDB" w:rsidR="00641BDB">
        <w:rPr>
          <w:rFonts w:ascii="Times New Roman" w:hAnsi="Times New Roman" w:cs="Times New Roman"/>
          <w:sz w:val="24"/>
          <w:szCs w:val="24"/>
        </w:rPr>
        <w:t xml:space="preserve"> (zamestnanecké pôžitky a ekológia) vo výške 900 000 tis. Sk. Z uvedeného vyplýva, že rezervy budú oproti stavu k 31.12.2007 vyššie cca o 785 000 tis. Sk.</w:t>
      </w:r>
    </w:p>
    <w:p w:rsidR="001221BA" w:rsidRPr="00EF0282" w:rsidP="00EE757E">
      <w:pPr>
        <w:numPr>
          <w:ilvl w:val="0"/>
        </w:numPr>
        <w:tabs>
          <w:tab w:val="left" w:pos="709"/>
        </w:tabs>
        <w:spacing w:line="240" w:lineRule="auto"/>
        <w:ind w:firstLine="0"/>
        <w:rPr>
          <w:rFonts w:ascii="Times New Roman" w:hAnsi="Times New Roman" w:cs="Times New Roman"/>
          <w:sz w:val="24"/>
          <w:szCs w:val="24"/>
        </w:rPr>
      </w:pPr>
      <w:r w:rsidRPr="00641BDB" w:rsidR="00641BDB">
        <w:rPr>
          <w:rFonts w:ascii="Times New Roman" w:hAnsi="Times New Roman" w:cs="Times New Roman"/>
        </w:rPr>
        <w:tab/>
      </w:r>
      <w:r w:rsidRPr="00EF0282" w:rsidR="00641BDB">
        <w:rPr>
          <w:rFonts w:ascii="Times New Roman" w:hAnsi="Times New Roman" w:cs="Times New Roman"/>
          <w:sz w:val="24"/>
          <w:szCs w:val="24"/>
        </w:rPr>
        <w:t>Krátkodobé záväzky síce poklesli oproti stavu k 31.12.2006 o 79 652 tis. Sk na sumu 3 767 543 tis. Sk, ale krátkodobé zväzky z obchodného styku sa zvýšili oproti stavu k 31.12.2006 o 488 311 tis. Sk na sumu 3 135 371 tis. Sk. Na vývoj krátkodobých záväzkov z obchodného styku výrazne vplývalo zaúčtovanie faktúr v decembri 2007 v zmysle uzatvorených zmlúv týkajúcich sa prebiehajúcej modernizácie železničnej trate Bratislava Rača – Nové Mesto nad Váhom, železničných staníc Poprad – Tatry a Prešov, ktoré s</w:t>
      </w:r>
      <w:r w:rsidRPr="00EF0282" w:rsidR="0031620F">
        <w:rPr>
          <w:rFonts w:ascii="Times New Roman" w:hAnsi="Times New Roman" w:cs="Times New Roman"/>
          <w:sz w:val="24"/>
          <w:szCs w:val="24"/>
        </w:rPr>
        <w:t>ú financované zo štrukturálneho fondu ERDF a Kohézneho fondu</w:t>
      </w:r>
      <w:r w:rsidRPr="00EF0282" w:rsidR="00641BDB">
        <w:rPr>
          <w:rFonts w:ascii="Times New Roman" w:hAnsi="Times New Roman" w:cs="Times New Roman"/>
          <w:sz w:val="24"/>
          <w:szCs w:val="24"/>
        </w:rPr>
        <w:t xml:space="preserve">, čo malo vplyv na nárast krátkodobých záväzkov z obchodného styku oproti stavu k 30.6.2006 o 1 913 066 tis. Sk. </w:t>
      </w:r>
    </w:p>
    <w:p w:rsidR="001221BA" w:rsidP="00EE757E">
      <w:pPr>
        <w:pStyle w:val="BodyText2"/>
        <w:numPr>
          <w:ilvl w:val="0"/>
        </w:numPr>
        <w:spacing w:line="240" w:lineRule="auto"/>
        <w:ind w:firstLine="0"/>
        <w:rPr>
          <w:rFonts w:ascii="Times New Roman" w:hAnsi="Times New Roman" w:cs="Times New Roman"/>
          <w:sz w:val="24"/>
          <w:szCs w:val="24"/>
        </w:rPr>
      </w:pPr>
      <w:r w:rsidRPr="00641BDB" w:rsidR="00641BDB">
        <w:rPr>
          <w:rFonts w:ascii="Times New Roman" w:hAnsi="Times New Roman" w:cs="Times New Roman"/>
          <w:sz w:val="24"/>
          <w:szCs w:val="24"/>
        </w:rPr>
        <w:t>Časové rozlíšenie narástlo o 5 798 063 tis. Sk oproti stavu k 31.12.2006 a je to hlavne z dôvodu prijatých</w:t>
      </w:r>
      <w:r w:rsidR="003D1504">
        <w:rPr>
          <w:rFonts w:ascii="Times New Roman" w:hAnsi="Times New Roman" w:cs="Times New Roman"/>
          <w:sz w:val="24"/>
          <w:szCs w:val="24"/>
        </w:rPr>
        <w:t xml:space="preserve"> dotácií na investičnú výstavbu.</w:t>
      </w:r>
    </w:p>
    <w:p w:rsidR="00EE757E" w:rsidRPr="004573C1" w:rsidP="00EE757E">
      <w:pPr>
        <w:pStyle w:val="BodyText2"/>
        <w:numPr>
          <w:ilvl w:val="0"/>
        </w:numPr>
        <w:spacing w:line="240" w:lineRule="auto"/>
        <w:ind w:firstLine="0"/>
        <w:rPr>
          <w:rFonts w:ascii="Times New Roman" w:hAnsi="Times New Roman" w:cs="Times New Roman"/>
          <w:sz w:val="24"/>
          <w:szCs w:val="24"/>
        </w:rPr>
      </w:pPr>
    </w:p>
    <w:p w:rsidR="00B97FAA" w:rsidRPr="00B40A33" w:rsidP="00FD671F">
      <w:pPr>
        <w:pStyle w:val="BodyText2"/>
        <w:numPr>
          <w:ilvl w:val="0"/>
        </w:numPr>
        <w:spacing w:line="240" w:lineRule="auto"/>
        <w:ind w:firstLine="0"/>
        <w:jc w:val="center"/>
        <w:rPr>
          <w:rFonts w:ascii="Times New Roman" w:hAnsi="Times New Roman" w:cs="Times New Roman"/>
          <w:b/>
          <w:bCs/>
          <w:iCs/>
          <w:szCs w:val="26"/>
          <w:u w:val="single"/>
        </w:rPr>
      </w:pPr>
      <w:r w:rsidRPr="00B40A33">
        <w:rPr>
          <w:rFonts w:ascii="Times New Roman" w:hAnsi="Times New Roman" w:cs="Times New Roman"/>
          <w:b/>
          <w:bCs/>
          <w:iCs/>
          <w:szCs w:val="26"/>
          <w:u w:val="single"/>
        </w:rPr>
        <w:t>Pohľadávky a záväzky po lehote splatnosti</w:t>
      </w:r>
    </w:p>
    <w:tbl>
      <w:tblPr>
        <w:tblW w:w="9294" w:type="dxa"/>
        <w:jc w:val="center"/>
        <w:tblCellMar>
          <w:left w:w="0" w:type="dxa"/>
          <w:right w:w="0" w:type="dxa"/>
        </w:tblCellMar>
      </w:tblPr>
      <w:tblGrid>
        <w:gridCol w:w="378"/>
        <w:gridCol w:w="2541"/>
        <w:gridCol w:w="1275"/>
        <w:gridCol w:w="1275"/>
        <w:gridCol w:w="1275"/>
        <w:gridCol w:w="1275"/>
        <w:gridCol w:w="1275"/>
      </w:tblGrid>
      <w:tr>
        <w:tblPrEx>
          <w:tblW w:w="9294" w:type="dxa"/>
          <w:jc w:val="center"/>
          <w:tblCellMar>
            <w:left w:w="0" w:type="dxa"/>
            <w:right w:w="0" w:type="dxa"/>
          </w:tblCellMar>
        </w:tblPrEx>
        <w:trPr>
          <w:trHeight w:val="342"/>
          <w:jc w:val="center"/>
        </w:trPr>
        <w:tc>
          <w:tcPr>
            <w:tcW w:w="1134" w:type="dxa"/>
            <w:gridSpan w:val="7"/>
            <w:tcBorders>
              <w:top w:val="nil"/>
              <w:left w:val="nil"/>
              <w:bottom w:val="nil"/>
              <w:right w:val="nil"/>
              <w:tl2br w:val="nil"/>
              <w:tr2bl w:val="nil"/>
            </w:tcBorders>
            <w:noWrap/>
            <w:tcMar>
              <w:top w:w="15" w:type="dxa"/>
              <w:left w:w="15" w:type="dxa"/>
              <w:bottom w:w="0" w:type="dxa"/>
              <w:right w:w="15" w:type="dxa"/>
            </w:tcMar>
            <w:textDirection w:val="lrTb"/>
            <w:vAlign w:val="center"/>
          </w:tcPr>
          <w:p w:rsidR="001221BA" w:rsidP="001221BA">
            <w:pPr>
              <w:spacing w:line="240" w:lineRule="auto"/>
              <w:rPr>
                <w:rFonts w:ascii="Times New Roman" w:hAnsi="Times New Roman" w:cs="Times New Roman"/>
                <w:b/>
                <w:bCs/>
                <w:iCs/>
                <w:sz w:val="24"/>
                <w:szCs w:val="24"/>
              </w:rPr>
            </w:pPr>
          </w:p>
          <w:p w:rsidR="00B97FAA" w:rsidRPr="00BC4A1A" w:rsidP="00FD671F">
            <w:pPr>
              <w:spacing w:line="240" w:lineRule="auto"/>
              <w:jc w:val="center"/>
              <w:rPr>
                <w:rFonts w:ascii="Times New Roman" w:hAnsi="Times New Roman" w:cs="Times New Roman"/>
                <w:b/>
                <w:bCs/>
                <w:iCs/>
                <w:sz w:val="24"/>
                <w:szCs w:val="24"/>
              </w:rPr>
            </w:pPr>
            <w:r w:rsidRPr="00BC4A1A">
              <w:rPr>
                <w:rFonts w:ascii="Times New Roman" w:hAnsi="Times New Roman" w:cs="Times New Roman"/>
                <w:b/>
                <w:bCs/>
                <w:iCs/>
                <w:sz w:val="24"/>
                <w:szCs w:val="24"/>
              </w:rPr>
              <w:t>Prehľad pohľadávok z</w:t>
            </w:r>
            <w:r w:rsidRPr="00BC4A1A" w:rsidR="008E7652">
              <w:rPr>
                <w:rFonts w:ascii="Times New Roman" w:hAnsi="Times New Roman" w:cs="Times New Roman"/>
                <w:b/>
                <w:bCs/>
                <w:iCs/>
                <w:sz w:val="24"/>
                <w:szCs w:val="24"/>
              </w:rPr>
              <w:t> </w:t>
            </w:r>
            <w:r w:rsidRPr="00BC4A1A">
              <w:rPr>
                <w:rFonts w:ascii="Times New Roman" w:hAnsi="Times New Roman" w:cs="Times New Roman"/>
                <w:b/>
                <w:bCs/>
                <w:iCs/>
                <w:sz w:val="24"/>
                <w:szCs w:val="24"/>
              </w:rPr>
              <w:t>ob</w:t>
            </w:r>
            <w:r w:rsidR="0028316E">
              <w:rPr>
                <w:rFonts w:ascii="Times New Roman" w:hAnsi="Times New Roman" w:cs="Times New Roman"/>
                <w:b/>
                <w:bCs/>
                <w:iCs/>
                <w:sz w:val="24"/>
                <w:szCs w:val="24"/>
              </w:rPr>
              <w:t>chodného styku (bez vnútroorganizačných</w:t>
            </w:r>
            <w:r w:rsidRPr="00BC4A1A">
              <w:rPr>
                <w:rFonts w:ascii="Times New Roman" w:hAnsi="Times New Roman" w:cs="Times New Roman"/>
                <w:b/>
                <w:bCs/>
                <w:iCs/>
                <w:sz w:val="24"/>
                <w:szCs w:val="24"/>
              </w:rPr>
              <w:t>)</w:t>
            </w:r>
          </w:p>
        </w:tc>
      </w:tr>
      <w:tr>
        <w:tblPrEx>
          <w:tblW w:w="9294" w:type="dxa"/>
          <w:jc w:val="center"/>
          <w:tblCellMar>
            <w:left w:w="0" w:type="dxa"/>
            <w:right w:w="0" w:type="dxa"/>
          </w:tblCellMar>
        </w:tblPrEx>
        <w:trPr>
          <w:trHeight w:hRule="exact" w:val="284"/>
          <w:jc w:val="center"/>
        </w:trPr>
        <w:tc>
          <w:tcPr>
            <w:tcW w:w="335" w:type="dxa"/>
            <w:tcBorders>
              <w:top w:val="nil"/>
              <w:left w:val="nil"/>
              <w:bottom w:val="nil"/>
              <w:right w:val="nil"/>
              <w:tl2br w:val="nil"/>
              <w:tr2bl w:val="nil"/>
            </w:tcBorders>
            <w:noWrap/>
            <w:tcMar>
              <w:top w:w="15" w:type="dxa"/>
              <w:left w:w="15" w:type="dxa"/>
              <w:bottom w:w="0" w:type="dxa"/>
              <w:right w:w="15" w:type="dxa"/>
            </w:tcMar>
            <w:textDirection w:val="lrTb"/>
            <w:vAlign w:val="center"/>
          </w:tcPr>
          <w:p w:rsidR="00B97FAA" w:rsidRPr="00BC4A1A" w:rsidP="00FD671F">
            <w:pPr>
              <w:spacing w:line="240" w:lineRule="auto"/>
              <w:rPr>
                <w:rFonts w:ascii="Times New Roman" w:hAnsi="Times New Roman" w:cs="Times New Roman"/>
                <w:b/>
                <w:sz w:val="24"/>
                <w:szCs w:val="24"/>
              </w:rPr>
            </w:pPr>
          </w:p>
        </w:tc>
        <w:tc>
          <w:tcPr>
            <w:tcW w:w="2259" w:type="dxa"/>
            <w:tcBorders>
              <w:top w:val="nil"/>
              <w:left w:val="nil"/>
              <w:bottom w:val="nil"/>
              <w:right w:val="nil"/>
              <w:tl2br w:val="nil"/>
              <w:tr2bl w:val="nil"/>
            </w:tcBorders>
            <w:noWrap/>
            <w:tcMar>
              <w:top w:w="15" w:type="dxa"/>
              <w:left w:w="15" w:type="dxa"/>
              <w:bottom w:w="0" w:type="dxa"/>
              <w:right w:w="15" w:type="dxa"/>
            </w:tcMar>
            <w:textDirection w:val="lrTb"/>
            <w:vAlign w:val="center"/>
          </w:tcPr>
          <w:p w:rsidR="00B97FAA" w:rsidRPr="00BC4A1A" w:rsidP="00FD671F">
            <w:pPr>
              <w:spacing w:line="240" w:lineRule="auto"/>
              <w:rPr>
                <w:rFonts w:ascii="Times New Roman" w:hAnsi="Times New Roman" w:cs="Times New Roman"/>
                <w:b/>
                <w:sz w:val="24"/>
                <w:szCs w:val="24"/>
              </w:rPr>
            </w:pPr>
          </w:p>
        </w:tc>
        <w:tc>
          <w:tcPr>
            <w:tcW w:w="1134" w:type="dxa"/>
            <w:tcBorders>
              <w:top w:val="nil"/>
              <w:left w:val="nil"/>
              <w:bottom w:val="nil"/>
              <w:right w:val="nil"/>
              <w:tl2br w:val="nil"/>
              <w:tr2bl w:val="nil"/>
            </w:tcBorders>
            <w:noWrap/>
            <w:tcMar>
              <w:top w:w="15" w:type="dxa"/>
              <w:left w:w="15" w:type="dxa"/>
              <w:bottom w:w="0" w:type="dxa"/>
              <w:right w:w="15" w:type="dxa"/>
            </w:tcMar>
            <w:textDirection w:val="lrTb"/>
            <w:vAlign w:val="center"/>
          </w:tcPr>
          <w:p w:rsidR="00B97FAA" w:rsidRPr="00BC4A1A" w:rsidP="00FD671F">
            <w:pPr>
              <w:spacing w:line="240" w:lineRule="auto"/>
              <w:rPr>
                <w:rFonts w:ascii="Times New Roman" w:hAnsi="Times New Roman" w:cs="Times New Roman"/>
                <w:b/>
                <w:sz w:val="24"/>
                <w:szCs w:val="24"/>
              </w:rPr>
            </w:pPr>
          </w:p>
        </w:tc>
        <w:tc>
          <w:tcPr>
            <w:tcW w:w="1134" w:type="dxa"/>
            <w:tcBorders>
              <w:top w:val="nil"/>
              <w:left w:val="nil"/>
              <w:bottom w:val="nil"/>
              <w:right w:val="nil"/>
              <w:tl2br w:val="nil"/>
              <w:tr2bl w:val="nil"/>
            </w:tcBorders>
            <w:noWrap/>
            <w:tcMar>
              <w:top w:w="15" w:type="dxa"/>
              <w:left w:w="15" w:type="dxa"/>
              <w:bottom w:w="0" w:type="dxa"/>
              <w:right w:w="15" w:type="dxa"/>
            </w:tcMar>
            <w:textDirection w:val="lrTb"/>
            <w:vAlign w:val="center"/>
          </w:tcPr>
          <w:p w:rsidR="00B97FAA" w:rsidRPr="00BC4A1A" w:rsidP="00FD671F">
            <w:pPr>
              <w:spacing w:line="240" w:lineRule="auto"/>
              <w:rPr>
                <w:rFonts w:ascii="Times New Roman" w:hAnsi="Times New Roman" w:cs="Times New Roman"/>
                <w:b/>
                <w:sz w:val="24"/>
                <w:szCs w:val="24"/>
              </w:rPr>
            </w:pPr>
          </w:p>
        </w:tc>
        <w:tc>
          <w:tcPr>
            <w:tcW w:w="1134" w:type="dxa"/>
            <w:tcBorders>
              <w:top w:val="nil"/>
              <w:left w:val="nil"/>
              <w:bottom w:val="nil"/>
              <w:right w:val="nil"/>
              <w:tl2br w:val="nil"/>
              <w:tr2bl w:val="nil"/>
            </w:tcBorders>
            <w:noWrap/>
            <w:tcMar>
              <w:top w:w="15" w:type="dxa"/>
              <w:left w:w="15" w:type="dxa"/>
              <w:bottom w:w="0" w:type="dxa"/>
              <w:right w:w="15" w:type="dxa"/>
            </w:tcMar>
            <w:textDirection w:val="lrTb"/>
            <w:vAlign w:val="center"/>
          </w:tcPr>
          <w:p w:rsidR="00B97FAA" w:rsidRPr="00BC4A1A" w:rsidP="00FD671F">
            <w:pPr>
              <w:spacing w:line="240" w:lineRule="auto"/>
              <w:rPr>
                <w:rFonts w:ascii="Times New Roman" w:hAnsi="Times New Roman" w:cs="Times New Roman"/>
                <w:b/>
                <w:sz w:val="24"/>
                <w:szCs w:val="24"/>
              </w:rPr>
            </w:pPr>
          </w:p>
        </w:tc>
        <w:tc>
          <w:tcPr>
            <w:tcW w:w="1134" w:type="dxa"/>
            <w:tcBorders>
              <w:top w:val="nil"/>
              <w:left w:val="nil"/>
              <w:bottom w:val="nil"/>
              <w:right w:val="nil"/>
              <w:tl2br w:val="nil"/>
              <w:tr2bl w:val="nil"/>
            </w:tcBorders>
            <w:noWrap/>
            <w:tcMar>
              <w:top w:w="15" w:type="dxa"/>
              <w:left w:w="15" w:type="dxa"/>
              <w:bottom w:w="0" w:type="dxa"/>
              <w:right w:w="15" w:type="dxa"/>
            </w:tcMar>
            <w:textDirection w:val="lrTb"/>
            <w:vAlign w:val="center"/>
          </w:tcPr>
          <w:p w:rsidR="00B97FAA" w:rsidRPr="00BC4A1A" w:rsidP="00FD671F">
            <w:pPr>
              <w:spacing w:line="240" w:lineRule="auto"/>
              <w:rPr>
                <w:rFonts w:ascii="Times New Roman" w:hAnsi="Times New Roman" w:cs="Times New Roman"/>
                <w:b/>
                <w:sz w:val="24"/>
                <w:szCs w:val="24"/>
              </w:rPr>
            </w:pPr>
          </w:p>
        </w:tc>
        <w:tc>
          <w:tcPr>
            <w:tcW w:w="1134" w:type="dxa"/>
            <w:tcBorders>
              <w:top w:val="nil"/>
              <w:left w:val="nil"/>
              <w:bottom w:val="nil"/>
              <w:right w:val="nil"/>
              <w:tl2br w:val="nil"/>
              <w:tr2bl w:val="nil"/>
            </w:tcBorders>
            <w:noWrap/>
            <w:tcMar>
              <w:top w:w="15" w:type="dxa"/>
              <w:left w:w="15" w:type="dxa"/>
              <w:bottom w:w="0" w:type="dxa"/>
              <w:right w:w="15" w:type="dxa"/>
            </w:tcMar>
            <w:textDirection w:val="lrTb"/>
            <w:vAlign w:val="center"/>
          </w:tcPr>
          <w:p w:rsidR="00B97FAA" w:rsidRPr="000E0A0E" w:rsidP="00FD671F">
            <w:pPr>
              <w:spacing w:line="240" w:lineRule="auto"/>
              <w:jc w:val="right"/>
              <w:rPr>
                <w:rFonts w:ascii="Times New Roman" w:hAnsi="Times New Roman" w:cs="Times New Roman"/>
              </w:rPr>
            </w:pPr>
            <w:r w:rsidRPr="000E0A0E">
              <w:rPr>
                <w:rFonts w:ascii="Times New Roman" w:hAnsi="Times New Roman" w:cs="Times New Roman"/>
              </w:rPr>
              <w:t>(v tis. Sk)</w:t>
            </w:r>
          </w:p>
        </w:tc>
      </w:tr>
      <w:tr>
        <w:tblPrEx>
          <w:tblW w:w="9294" w:type="dxa"/>
          <w:jc w:val="center"/>
          <w:tblCellMar>
            <w:left w:w="0" w:type="dxa"/>
            <w:right w:w="0" w:type="dxa"/>
          </w:tblCellMar>
        </w:tblPrEx>
        <w:trPr>
          <w:trHeight w:hRule="exact" w:val="284"/>
          <w:jc w:val="center"/>
        </w:trPr>
        <w:tc>
          <w:tcPr>
            <w:tcW w:w="335" w:type="dxa"/>
            <w:tcBorders>
              <w:top w:val="single" w:sz="8" w:space="0" w:color="auto"/>
              <w:left w:val="single" w:sz="8" w:space="0" w:color="auto"/>
              <w:bottom w:val="single" w:sz="8" w:space="0" w:color="auto"/>
              <w:right w:val="single" w:sz="4" w:space="0" w:color="auto"/>
              <w:tl2br w:val="nil"/>
              <w:tr2bl w:val="nil"/>
            </w:tcBorders>
            <w:shd w:val="clear" w:color="auto" w:fill="C0C0C0"/>
            <w:noWrap/>
            <w:tcMar>
              <w:top w:w="15" w:type="dxa"/>
              <w:left w:w="15" w:type="dxa"/>
              <w:bottom w:w="0" w:type="dxa"/>
              <w:right w:w="15" w:type="dxa"/>
            </w:tcMar>
            <w:textDirection w:val="lrTb"/>
            <w:vAlign w:val="center"/>
          </w:tcPr>
          <w:p w:rsidR="00B97FAA" w:rsidRPr="006810E4" w:rsidP="00FD671F">
            <w:pPr>
              <w:spacing w:line="240" w:lineRule="auto"/>
              <w:rPr>
                <w:rFonts w:ascii="Times New Roman" w:hAnsi="Times New Roman" w:cs="Times New Roman"/>
              </w:rPr>
            </w:pPr>
            <w:r w:rsidRPr="006810E4">
              <w:rPr>
                <w:rFonts w:ascii="Times New Roman" w:hAnsi="Times New Roman" w:cs="Times New Roman"/>
              </w:rPr>
              <w:t> </w:t>
            </w:r>
          </w:p>
        </w:tc>
        <w:tc>
          <w:tcPr>
            <w:tcW w:w="2259" w:type="dxa"/>
            <w:tcBorders>
              <w:top w:val="single" w:sz="8" w:space="0" w:color="auto"/>
              <w:left w:val="nil"/>
              <w:bottom w:val="single" w:sz="8" w:space="0" w:color="auto"/>
              <w:right w:val="single" w:sz="4" w:space="0" w:color="auto"/>
              <w:tl2br w:val="nil"/>
              <w:tr2bl w:val="nil"/>
            </w:tcBorders>
            <w:shd w:val="clear" w:color="auto" w:fill="C0C0C0"/>
            <w:noWrap/>
            <w:tcMar>
              <w:top w:w="15" w:type="dxa"/>
              <w:left w:w="15" w:type="dxa"/>
              <w:bottom w:w="0" w:type="dxa"/>
              <w:right w:w="15" w:type="dxa"/>
            </w:tcMar>
            <w:textDirection w:val="lrTb"/>
            <w:vAlign w:val="center"/>
          </w:tcPr>
          <w:p w:rsidR="00B97FAA" w:rsidRPr="006810E4" w:rsidP="00FD671F">
            <w:pPr>
              <w:spacing w:line="240" w:lineRule="auto"/>
              <w:jc w:val="center"/>
              <w:rPr>
                <w:rFonts w:ascii="Times New Roman" w:hAnsi="Times New Roman" w:cs="Times New Roman"/>
                <w:i/>
                <w:iCs/>
              </w:rPr>
            </w:pPr>
            <w:r w:rsidRPr="006810E4">
              <w:rPr>
                <w:rFonts w:ascii="Times New Roman" w:hAnsi="Times New Roman" w:cs="Times New Roman"/>
                <w:i/>
                <w:iCs/>
              </w:rPr>
              <w:t> </w:t>
            </w:r>
          </w:p>
        </w:tc>
        <w:tc>
          <w:tcPr>
            <w:tcW w:w="1134" w:type="dxa"/>
            <w:tcBorders>
              <w:top w:val="single" w:sz="8" w:space="0" w:color="auto"/>
              <w:left w:val="nil"/>
              <w:bottom w:val="single" w:sz="8" w:space="0" w:color="auto"/>
              <w:right w:val="nil"/>
              <w:tl2br w:val="nil"/>
              <w:tr2bl w:val="nil"/>
            </w:tcBorders>
            <w:shd w:val="clear" w:color="auto" w:fill="C0C0C0"/>
            <w:noWrap/>
            <w:tcMar>
              <w:top w:w="15" w:type="dxa"/>
              <w:left w:w="15" w:type="dxa"/>
              <w:bottom w:w="0" w:type="dxa"/>
              <w:right w:w="15" w:type="dxa"/>
            </w:tcMar>
            <w:textDirection w:val="lrTb"/>
            <w:vAlign w:val="center"/>
          </w:tcPr>
          <w:p w:rsidR="00B97FAA" w:rsidRPr="006810E4" w:rsidP="00FD671F">
            <w:pPr>
              <w:spacing w:line="240" w:lineRule="auto"/>
              <w:jc w:val="center"/>
              <w:rPr>
                <w:rFonts w:ascii="Times New Roman" w:hAnsi="Times New Roman" w:cs="Times New Roman"/>
                <w:b/>
                <w:bCs/>
              </w:rPr>
            </w:pPr>
            <w:r w:rsidRPr="006810E4">
              <w:rPr>
                <w:rFonts w:ascii="Times New Roman" w:hAnsi="Times New Roman" w:cs="Times New Roman"/>
                <w:b/>
                <w:bCs/>
              </w:rPr>
              <w:t>K 31.12.200</w:t>
            </w:r>
            <w:r w:rsidR="0028316E">
              <w:rPr>
                <w:rFonts w:ascii="Times New Roman" w:hAnsi="Times New Roman" w:cs="Times New Roman"/>
                <w:b/>
                <w:bCs/>
              </w:rPr>
              <w:t>6</w:t>
            </w:r>
          </w:p>
        </w:tc>
        <w:tc>
          <w:tcPr>
            <w:tcW w:w="1134" w:type="dxa"/>
            <w:tcBorders>
              <w:top w:val="single" w:sz="8" w:space="0" w:color="auto"/>
              <w:left w:val="single" w:sz="4" w:space="0" w:color="auto"/>
              <w:bottom w:val="single" w:sz="8" w:space="0" w:color="auto"/>
              <w:right w:val="nil"/>
              <w:tl2br w:val="nil"/>
              <w:tr2bl w:val="nil"/>
            </w:tcBorders>
            <w:shd w:val="clear" w:color="auto" w:fill="C0C0C0"/>
            <w:noWrap/>
            <w:tcMar>
              <w:top w:w="15" w:type="dxa"/>
              <w:left w:w="15" w:type="dxa"/>
              <w:bottom w:w="0" w:type="dxa"/>
              <w:right w:w="15" w:type="dxa"/>
            </w:tcMar>
            <w:textDirection w:val="lrTb"/>
            <w:vAlign w:val="center"/>
          </w:tcPr>
          <w:p w:rsidR="00B97FAA" w:rsidRPr="006810E4" w:rsidP="00FD671F">
            <w:pPr>
              <w:spacing w:line="240" w:lineRule="auto"/>
              <w:jc w:val="center"/>
              <w:rPr>
                <w:rFonts w:ascii="Times New Roman" w:hAnsi="Times New Roman" w:cs="Times New Roman"/>
                <w:b/>
                <w:bCs/>
              </w:rPr>
            </w:pPr>
            <w:r w:rsidRPr="006810E4">
              <w:rPr>
                <w:rFonts w:ascii="Times New Roman" w:hAnsi="Times New Roman" w:cs="Times New Roman"/>
                <w:b/>
                <w:bCs/>
              </w:rPr>
              <w:t>K 31.3.200</w:t>
            </w:r>
            <w:r w:rsidR="0028316E">
              <w:rPr>
                <w:rFonts w:ascii="Times New Roman" w:hAnsi="Times New Roman" w:cs="Times New Roman"/>
                <w:b/>
                <w:bCs/>
              </w:rPr>
              <w:t>7</w:t>
            </w:r>
          </w:p>
        </w:tc>
        <w:tc>
          <w:tcPr>
            <w:tcW w:w="1134" w:type="dxa"/>
            <w:tcBorders>
              <w:top w:val="single" w:sz="8" w:space="0" w:color="auto"/>
              <w:left w:val="single" w:sz="4" w:space="0" w:color="auto"/>
              <w:bottom w:val="single" w:sz="8" w:space="0" w:color="auto"/>
              <w:right w:val="nil"/>
              <w:tl2br w:val="nil"/>
              <w:tr2bl w:val="nil"/>
            </w:tcBorders>
            <w:shd w:val="clear" w:color="auto" w:fill="C0C0C0"/>
            <w:noWrap/>
            <w:tcMar>
              <w:top w:w="15" w:type="dxa"/>
              <w:left w:w="15" w:type="dxa"/>
              <w:bottom w:w="0" w:type="dxa"/>
              <w:right w:w="15" w:type="dxa"/>
            </w:tcMar>
            <w:textDirection w:val="lrTb"/>
            <w:vAlign w:val="center"/>
          </w:tcPr>
          <w:p w:rsidR="00B97FAA" w:rsidRPr="006810E4" w:rsidP="00FD671F">
            <w:pPr>
              <w:spacing w:line="240" w:lineRule="auto"/>
              <w:jc w:val="center"/>
              <w:rPr>
                <w:rFonts w:ascii="Times New Roman" w:hAnsi="Times New Roman" w:cs="Times New Roman"/>
                <w:b/>
                <w:bCs/>
              </w:rPr>
            </w:pPr>
            <w:r w:rsidRPr="006810E4">
              <w:rPr>
                <w:rFonts w:ascii="Times New Roman" w:hAnsi="Times New Roman" w:cs="Times New Roman"/>
                <w:b/>
                <w:bCs/>
              </w:rPr>
              <w:t>K 30.6.200</w:t>
            </w:r>
            <w:r w:rsidR="0028316E">
              <w:rPr>
                <w:rFonts w:ascii="Times New Roman" w:hAnsi="Times New Roman" w:cs="Times New Roman"/>
                <w:b/>
                <w:bCs/>
              </w:rPr>
              <w:t>7</w:t>
            </w:r>
          </w:p>
        </w:tc>
        <w:tc>
          <w:tcPr>
            <w:tcW w:w="1134" w:type="dxa"/>
            <w:tcBorders>
              <w:top w:val="single" w:sz="8" w:space="0" w:color="auto"/>
              <w:left w:val="single" w:sz="4" w:space="0" w:color="auto"/>
              <w:bottom w:val="single" w:sz="8" w:space="0" w:color="auto"/>
              <w:right w:val="nil"/>
              <w:tl2br w:val="nil"/>
              <w:tr2bl w:val="nil"/>
            </w:tcBorders>
            <w:shd w:val="clear" w:color="auto" w:fill="C0C0C0"/>
            <w:noWrap/>
            <w:tcMar>
              <w:top w:w="15" w:type="dxa"/>
              <w:left w:w="15" w:type="dxa"/>
              <w:bottom w:w="0" w:type="dxa"/>
              <w:right w:w="15" w:type="dxa"/>
            </w:tcMar>
            <w:textDirection w:val="lrTb"/>
            <w:vAlign w:val="center"/>
          </w:tcPr>
          <w:p w:rsidR="00B97FAA" w:rsidRPr="006810E4" w:rsidP="00FD671F">
            <w:pPr>
              <w:spacing w:line="240" w:lineRule="auto"/>
              <w:jc w:val="center"/>
              <w:rPr>
                <w:rFonts w:ascii="Times New Roman" w:hAnsi="Times New Roman" w:cs="Times New Roman"/>
                <w:b/>
                <w:bCs/>
              </w:rPr>
            </w:pPr>
            <w:r w:rsidRPr="006810E4">
              <w:rPr>
                <w:rFonts w:ascii="Times New Roman" w:hAnsi="Times New Roman" w:cs="Times New Roman"/>
                <w:b/>
                <w:bCs/>
              </w:rPr>
              <w:t>K 30.9.200</w:t>
            </w:r>
            <w:r w:rsidR="0028316E">
              <w:rPr>
                <w:rFonts w:ascii="Times New Roman" w:hAnsi="Times New Roman" w:cs="Times New Roman"/>
                <w:b/>
                <w:bCs/>
              </w:rPr>
              <w:t>7</w:t>
            </w:r>
          </w:p>
        </w:tc>
        <w:tc>
          <w:tcPr>
            <w:tcW w:w="1134" w:type="dxa"/>
            <w:tcBorders>
              <w:top w:val="single" w:sz="8" w:space="0" w:color="auto"/>
              <w:left w:val="single" w:sz="4" w:space="0" w:color="auto"/>
              <w:bottom w:val="single" w:sz="8" w:space="0" w:color="auto"/>
              <w:right w:val="single" w:sz="8" w:space="0" w:color="auto"/>
              <w:tl2br w:val="nil"/>
              <w:tr2bl w:val="nil"/>
            </w:tcBorders>
            <w:shd w:val="clear" w:color="auto" w:fill="C0C0C0"/>
            <w:noWrap/>
            <w:tcMar>
              <w:top w:w="15" w:type="dxa"/>
              <w:left w:w="15" w:type="dxa"/>
              <w:bottom w:w="0" w:type="dxa"/>
              <w:right w:w="15" w:type="dxa"/>
            </w:tcMar>
            <w:textDirection w:val="lrTb"/>
            <w:vAlign w:val="center"/>
          </w:tcPr>
          <w:p w:rsidR="00B97FAA" w:rsidRPr="006810E4" w:rsidP="00FD671F">
            <w:pPr>
              <w:spacing w:line="240" w:lineRule="auto"/>
              <w:jc w:val="center"/>
              <w:rPr>
                <w:rFonts w:ascii="Times New Roman" w:hAnsi="Times New Roman" w:cs="Times New Roman"/>
                <w:b/>
                <w:bCs/>
              </w:rPr>
            </w:pPr>
            <w:r w:rsidRPr="006810E4">
              <w:rPr>
                <w:rFonts w:ascii="Times New Roman" w:hAnsi="Times New Roman" w:cs="Times New Roman"/>
                <w:b/>
                <w:bCs/>
              </w:rPr>
              <w:t>K 31.12.200</w:t>
            </w:r>
            <w:r w:rsidR="0028316E">
              <w:rPr>
                <w:rFonts w:ascii="Times New Roman" w:hAnsi="Times New Roman" w:cs="Times New Roman"/>
                <w:b/>
                <w:bCs/>
              </w:rPr>
              <w:t>7</w:t>
            </w:r>
          </w:p>
        </w:tc>
      </w:tr>
      <w:tr>
        <w:tblPrEx>
          <w:tblW w:w="9294" w:type="dxa"/>
          <w:jc w:val="center"/>
          <w:tblCellMar>
            <w:left w:w="0" w:type="dxa"/>
            <w:right w:w="0" w:type="dxa"/>
          </w:tblCellMar>
        </w:tblPrEx>
        <w:trPr>
          <w:trHeight w:hRule="exact" w:val="284"/>
          <w:jc w:val="center"/>
        </w:trPr>
        <w:tc>
          <w:tcPr>
            <w:tcW w:w="335" w:type="dxa"/>
            <w:tcBorders>
              <w:top w:val="nil"/>
              <w:left w:val="single" w:sz="8" w:space="0" w:color="auto"/>
              <w:bottom w:val="single" w:sz="4" w:space="0" w:color="auto"/>
              <w:right w:val="single" w:sz="4" w:space="0" w:color="auto"/>
              <w:tl2br w:val="nil"/>
              <w:tr2bl w:val="nil"/>
            </w:tcBorders>
            <w:tcMar>
              <w:top w:w="15" w:type="dxa"/>
              <w:left w:w="15" w:type="dxa"/>
              <w:bottom w:w="0" w:type="dxa"/>
              <w:right w:w="15" w:type="dxa"/>
            </w:tcMar>
            <w:textDirection w:val="lrTb"/>
            <w:vAlign w:val="center"/>
          </w:tcPr>
          <w:p w:rsidR="00B97FAA" w:rsidRPr="006810E4" w:rsidP="00FD671F">
            <w:pPr>
              <w:spacing w:line="240" w:lineRule="auto"/>
              <w:jc w:val="left"/>
              <w:rPr>
                <w:rFonts w:ascii="Times New Roman" w:hAnsi="Times New Roman" w:cs="Times New Roman"/>
              </w:rPr>
            </w:pPr>
            <w:r w:rsidRPr="006810E4">
              <w:rPr>
                <w:rFonts w:ascii="Times New Roman" w:hAnsi="Times New Roman" w:cs="Times New Roman"/>
              </w:rPr>
              <w:t>311</w:t>
            </w:r>
          </w:p>
        </w:tc>
        <w:tc>
          <w:tcPr>
            <w:tcW w:w="2259" w:type="dxa"/>
            <w:tcBorders>
              <w:top w:val="nil"/>
              <w:left w:val="nil"/>
              <w:bottom w:val="single" w:sz="4" w:space="0" w:color="auto"/>
              <w:right w:val="single" w:sz="4" w:space="0" w:color="auto"/>
              <w:tl2br w:val="nil"/>
              <w:tr2bl w:val="nil"/>
            </w:tcBorders>
            <w:tcMar>
              <w:top w:w="15" w:type="dxa"/>
              <w:left w:w="15" w:type="dxa"/>
              <w:bottom w:w="0" w:type="dxa"/>
              <w:right w:w="15" w:type="dxa"/>
            </w:tcMar>
            <w:textDirection w:val="lrTb"/>
            <w:vAlign w:val="center"/>
          </w:tcPr>
          <w:p w:rsidR="00B97FAA" w:rsidRPr="006810E4" w:rsidP="00FD671F">
            <w:pPr>
              <w:spacing w:line="240" w:lineRule="auto"/>
              <w:jc w:val="left"/>
              <w:rPr>
                <w:rFonts w:ascii="Times New Roman" w:hAnsi="Times New Roman" w:cs="Times New Roman"/>
              </w:rPr>
            </w:pPr>
            <w:r w:rsidRPr="006810E4">
              <w:rPr>
                <w:rFonts w:ascii="Times New Roman" w:hAnsi="Times New Roman" w:cs="Times New Roman"/>
              </w:rPr>
              <w:t xml:space="preserve"> Odberatelia</w:t>
            </w:r>
          </w:p>
        </w:tc>
        <w:tc>
          <w:tcPr>
            <w:tcW w:w="1134" w:type="dxa"/>
            <w:tcBorders>
              <w:top w:val="nil"/>
              <w:left w:val="nil"/>
              <w:bottom w:val="nil"/>
              <w:right w:val="nil"/>
              <w:tl2br w:val="nil"/>
              <w:tr2bl w:val="nil"/>
            </w:tcBorders>
            <w:tcMar>
              <w:top w:w="15" w:type="dxa"/>
              <w:left w:w="15" w:type="dxa"/>
              <w:bottom w:w="0" w:type="dxa"/>
              <w:right w:w="15" w:type="dxa"/>
            </w:tcMar>
            <w:textDirection w:val="lrTb"/>
            <w:vAlign w:val="center"/>
          </w:tcPr>
          <w:p w:rsidR="00B97FAA" w:rsidRPr="006810E4" w:rsidP="00FD671F">
            <w:pPr>
              <w:spacing w:line="240" w:lineRule="auto"/>
              <w:jc w:val="right"/>
              <w:rPr>
                <w:rFonts w:ascii="Times New Roman" w:hAnsi="Times New Roman" w:cs="Times New Roman"/>
              </w:rPr>
            </w:pPr>
            <w:r w:rsidR="00D37034">
              <w:rPr>
                <w:rFonts w:ascii="Times New Roman" w:hAnsi="Times New Roman" w:cs="Times New Roman"/>
              </w:rPr>
              <w:t>1 011 506</w:t>
            </w:r>
          </w:p>
        </w:tc>
        <w:tc>
          <w:tcPr>
            <w:tcW w:w="1134" w:type="dxa"/>
            <w:tcBorders>
              <w:top w:val="nil"/>
              <w:left w:val="single" w:sz="4" w:space="0" w:color="auto"/>
              <w:bottom w:val="single" w:sz="4" w:space="0" w:color="auto"/>
              <w:right w:val="nil"/>
              <w:tl2br w:val="nil"/>
              <w:tr2bl w:val="nil"/>
            </w:tcBorders>
            <w:tcMar>
              <w:top w:w="15" w:type="dxa"/>
              <w:left w:w="15" w:type="dxa"/>
              <w:bottom w:w="0" w:type="dxa"/>
              <w:right w:w="15" w:type="dxa"/>
            </w:tcMar>
            <w:textDirection w:val="lrTb"/>
            <w:vAlign w:val="center"/>
          </w:tcPr>
          <w:p w:rsidR="00B97FAA" w:rsidRPr="006810E4" w:rsidP="00FD671F">
            <w:pPr>
              <w:spacing w:line="240" w:lineRule="auto"/>
              <w:jc w:val="right"/>
              <w:rPr>
                <w:rFonts w:ascii="Times New Roman" w:hAnsi="Times New Roman" w:cs="Times New Roman"/>
              </w:rPr>
            </w:pPr>
            <w:r w:rsidR="00D37034">
              <w:rPr>
                <w:rFonts w:ascii="Times New Roman" w:hAnsi="Times New Roman" w:cs="Times New Roman"/>
              </w:rPr>
              <w:t>1 287 306</w:t>
            </w:r>
          </w:p>
        </w:tc>
        <w:tc>
          <w:tcPr>
            <w:tcW w:w="1134" w:type="dxa"/>
            <w:tcBorders>
              <w:top w:val="nil"/>
              <w:left w:val="single" w:sz="4" w:space="0" w:color="auto"/>
              <w:bottom w:val="nil"/>
              <w:right w:val="nil"/>
              <w:tl2br w:val="nil"/>
              <w:tr2bl w:val="nil"/>
            </w:tcBorders>
            <w:tcMar>
              <w:top w:w="15" w:type="dxa"/>
              <w:left w:w="15" w:type="dxa"/>
              <w:bottom w:w="0" w:type="dxa"/>
              <w:right w:w="15" w:type="dxa"/>
            </w:tcMar>
            <w:textDirection w:val="lrTb"/>
            <w:vAlign w:val="center"/>
          </w:tcPr>
          <w:p w:rsidR="00B97FAA" w:rsidRPr="006810E4" w:rsidP="00FD671F">
            <w:pPr>
              <w:spacing w:line="240" w:lineRule="auto"/>
              <w:jc w:val="right"/>
              <w:rPr>
                <w:rFonts w:ascii="Times New Roman" w:hAnsi="Times New Roman" w:cs="Times New Roman"/>
              </w:rPr>
            </w:pPr>
            <w:r w:rsidR="00D37034">
              <w:rPr>
                <w:rFonts w:ascii="Times New Roman" w:hAnsi="Times New Roman" w:cs="Times New Roman"/>
              </w:rPr>
              <w:t>1 309 782</w:t>
            </w:r>
          </w:p>
        </w:tc>
        <w:tc>
          <w:tcPr>
            <w:tcW w:w="1134" w:type="dxa"/>
            <w:tcBorders>
              <w:top w:val="nil"/>
              <w:left w:val="single" w:sz="4" w:space="0" w:color="auto"/>
              <w:bottom w:val="nil"/>
              <w:right w:val="nil"/>
              <w:tl2br w:val="nil"/>
              <w:tr2bl w:val="nil"/>
            </w:tcBorders>
            <w:tcMar>
              <w:top w:w="15" w:type="dxa"/>
              <w:left w:w="15" w:type="dxa"/>
              <w:bottom w:w="0" w:type="dxa"/>
              <w:right w:w="15" w:type="dxa"/>
            </w:tcMar>
            <w:textDirection w:val="lrTb"/>
            <w:vAlign w:val="center"/>
          </w:tcPr>
          <w:p w:rsidR="00B97FAA" w:rsidRPr="006810E4" w:rsidP="00FD671F">
            <w:pPr>
              <w:spacing w:line="240" w:lineRule="auto"/>
              <w:jc w:val="right"/>
              <w:rPr>
                <w:rFonts w:ascii="Times New Roman" w:hAnsi="Times New Roman" w:cs="Times New Roman"/>
              </w:rPr>
            </w:pPr>
            <w:r w:rsidR="00D37034">
              <w:rPr>
                <w:rFonts w:ascii="Times New Roman" w:hAnsi="Times New Roman" w:cs="Times New Roman"/>
              </w:rPr>
              <w:t>1 519 906</w:t>
            </w:r>
          </w:p>
        </w:tc>
        <w:tc>
          <w:tcPr>
            <w:tcW w:w="1134" w:type="dxa"/>
            <w:tcBorders>
              <w:top w:val="nil"/>
              <w:left w:val="single" w:sz="4" w:space="0" w:color="auto"/>
              <w:bottom w:val="nil"/>
              <w:right w:val="single" w:sz="8" w:space="0" w:color="auto"/>
              <w:tl2br w:val="nil"/>
              <w:tr2bl w:val="nil"/>
            </w:tcBorders>
            <w:tcMar>
              <w:top w:w="15" w:type="dxa"/>
              <w:left w:w="15" w:type="dxa"/>
              <w:bottom w:w="0" w:type="dxa"/>
              <w:right w:w="15" w:type="dxa"/>
            </w:tcMar>
            <w:textDirection w:val="lrTb"/>
            <w:vAlign w:val="center"/>
          </w:tcPr>
          <w:p w:rsidR="00B97FAA" w:rsidRPr="006810E4" w:rsidP="00FD671F">
            <w:pPr>
              <w:spacing w:line="240" w:lineRule="auto"/>
              <w:jc w:val="right"/>
              <w:rPr>
                <w:rFonts w:ascii="Times New Roman" w:hAnsi="Times New Roman" w:cs="Times New Roman"/>
              </w:rPr>
            </w:pPr>
            <w:r w:rsidR="00D37034">
              <w:rPr>
                <w:rFonts w:ascii="Times New Roman" w:hAnsi="Times New Roman" w:cs="Times New Roman"/>
              </w:rPr>
              <w:t>1 423 012</w:t>
            </w:r>
          </w:p>
        </w:tc>
      </w:tr>
      <w:tr>
        <w:tblPrEx>
          <w:tblW w:w="9294" w:type="dxa"/>
          <w:jc w:val="center"/>
          <w:tblCellMar>
            <w:left w:w="0" w:type="dxa"/>
            <w:right w:w="0" w:type="dxa"/>
          </w:tblCellMar>
        </w:tblPrEx>
        <w:trPr>
          <w:trHeight w:hRule="exact" w:val="284"/>
          <w:jc w:val="center"/>
        </w:trPr>
        <w:tc>
          <w:tcPr>
            <w:tcW w:w="335" w:type="dxa"/>
            <w:tcBorders>
              <w:top w:val="nil"/>
              <w:left w:val="single" w:sz="8" w:space="0" w:color="auto"/>
              <w:bottom w:val="single" w:sz="4" w:space="0" w:color="auto"/>
              <w:right w:val="single" w:sz="4" w:space="0" w:color="auto"/>
              <w:tl2br w:val="nil"/>
              <w:tr2bl w:val="nil"/>
            </w:tcBorders>
            <w:tcMar>
              <w:top w:w="15" w:type="dxa"/>
              <w:left w:w="15" w:type="dxa"/>
              <w:bottom w:w="0" w:type="dxa"/>
              <w:right w:w="15" w:type="dxa"/>
            </w:tcMar>
            <w:textDirection w:val="lrTb"/>
            <w:vAlign w:val="center"/>
          </w:tcPr>
          <w:p w:rsidR="00D37034" w:rsidRPr="006810E4" w:rsidP="00FD671F">
            <w:pPr>
              <w:spacing w:line="240" w:lineRule="auto"/>
              <w:jc w:val="left"/>
              <w:rPr>
                <w:rFonts w:ascii="Times New Roman" w:hAnsi="Times New Roman" w:cs="Times New Roman"/>
              </w:rPr>
            </w:pPr>
            <w:r w:rsidRPr="006810E4">
              <w:rPr>
                <w:rFonts w:ascii="Times New Roman" w:hAnsi="Times New Roman" w:cs="Times New Roman"/>
              </w:rPr>
              <w:t>314</w:t>
            </w:r>
          </w:p>
        </w:tc>
        <w:tc>
          <w:tcPr>
            <w:tcW w:w="2259" w:type="dxa"/>
            <w:tcBorders>
              <w:top w:val="nil"/>
              <w:left w:val="nil"/>
              <w:bottom w:val="single" w:sz="4" w:space="0" w:color="auto"/>
              <w:right w:val="single" w:sz="4" w:space="0" w:color="auto"/>
              <w:tl2br w:val="nil"/>
              <w:tr2bl w:val="nil"/>
            </w:tcBorders>
            <w:tcMar>
              <w:top w:w="15" w:type="dxa"/>
              <w:left w:w="15" w:type="dxa"/>
              <w:bottom w:w="0" w:type="dxa"/>
              <w:right w:w="15" w:type="dxa"/>
            </w:tcMar>
            <w:textDirection w:val="lrTb"/>
            <w:vAlign w:val="center"/>
          </w:tcPr>
          <w:p w:rsidR="00D37034" w:rsidRPr="006810E4" w:rsidP="00FD671F">
            <w:pPr>
              <w:spacing w:line="240" w:lineRule="auto"/>
              <w:jc w:val="left"/>
              <w:rPr>
                <w:rFonts w:ascii="Times New Roman" w:hAnsi="Times New Roman" w:cs="Times New Roman"/>
              </w:rPr>
            </w:pPr>
            <w:r w:rsidRPr="006810E4">
              <w:rPr>
                <w:rFonts w:ascii="Times New Roman" w:hAnsi="Times New Roman" w:cs="Times New Roman"/>
              </w:rPr>
              <w:t xml:space="preserve"> Preddavky</w:t>
            </w:r>
          </w:p>
        </w:tc>
        <w:tc>
          <w:tcPr>
            <w:tcW w:w="1134" w:type="dxa"/>
            <w:tcBorders>
              <w:top w:val="single" w:sz="4" w:space="0" w:color="auto"/>
              <w:left w:val="nil"/>
              <w:bottom w:val="single" w:sz="4" w:space="0" w:color="auto"/>
              <w:right w:val="nil"/>
              <w:tl2br w:val="nil"/>
              <w:tr2bl w:val="nil"/>
            </w:tcBorders>
            <w:tcMar>
              <w:top w:w="15" w:type="dxa"/>
              <w:left w:w="15" w:type="dxa"/>
              <w:bottom w:w="0" w:type="dxa"/>
              <w:right w:w="15" w:type="dxa"/>
            </w:tcMar>
            <w:textDirection w:val="lrTb"/>
            <w:vAlign w:val="center"/>
          </w:tcPr>
          <w:p w:rsidR="00D37034" w:rsidRPr="006810E4" w:rsidP="00FD671F">
            <w:pPr>
              <w:spacing w:line="240" w:lineRule="auto"/>
              <w:jc w:val="right"/>
              <w:rPr>
                <w:rFonts w:ascii="Times New Roman" w:hAnsi="Times New Roman" w:cs="Times New Roman"/>
              </w:rPr>
            </w:pPr>
            <w:r>
              <w:rPr>
                <w:rFonts w:ascii="Times New Roman" w:hAnsi="Times New Roman" w:cs="Times New Roman"/>
              </w:rPr>
              <w:t>68 904</w:t>
            </w:r>
          </w:p>
        </w:tc>
        <w:tc>
          <w:tcPr>
            <w:tcW w:w="1134" w:type="dxa"/>
            <w:tcBorders>
              <w:top w:val="nil"/>
              <w:left w:val="single" w:sz="4" w:space="0" w:color="auto"/>
              <w:bottom w:val="single" w:sz="4" w:space="0" w:color="auto"/>
              <w:right w:val="nil"/>
              <w:tl2br w:val="nil"/>
              <w:tr2bl w:val="nil"/>
            </w:tcBorders>
            <w:tcMar>
              <w:top w:w="15" w:type="dxa"/>
              <w:left w:w="15" w:type="dxa"/>
              <w:bottom w:w="0" w:type="dxa"/>
              <w:right w:w="15" w:type="dxa"/>
            </w:tcMar>
            <w:textDirection w:val="lrTb"/>
            <w:vAlign w:val="center"/>
          </w:tcPr>
          <w:p w:rsidR="00D37034" w:rsidRPr="006810E4" w:rsidP="00FD671F">
            <w:pPr>
              <w:spacing w:line="240" w:lineRule="auto"/>
              <w:jc w:val="right"/>
              <w:rPr>
                <w:rFonts w:ascii="Times New Roman" w:hAnsi="Times New Roman" w:cs="Times New Roman"/>
              </w:rPr>
            </w:pPr>
            <w:r>
              <w:rPr>
                <w:rFonts w:ascii="Times New Roman" w:hAnsi="Times New Roman" w:cs="Times New Roman"/>
              </w:rPr>
              <w:t>177 558</w:t>
            </w:r>
          </w:p>
        </w:tc>
        <w:tc>
          <w:tcPr>
            <w:tcW w:w="1134" w:type="dxa"/>
            <w:tcBorders>
              <w:top w:val="single" w:sz="4" w:space="0" w:color="auto"/>
              <w:left w:val="single" w:sz="4" w:space="0" w:color="auto"/>
              <w:bottom w:val="single" w:sz="4" w:space="0" w:color="auto"/>
              <w:right w:val="nil"/>
              <w:tl2br w:val="nil"/>
              <w:tr2bl w:val="nil"/>
            </w:tcBorders>
            <w:tcMar>
              <w:top w:w="15" w:type="dxa"/>
              <w:left w:w="15" w:type="dxa"/>
              <w:bottom w:w="0" w:type="dxa"/>
              <w:right w:w="15" w:type="dxa"/>
            </w:tcMar>
            <w:textDirection w:val="lrTb"/>
            <w:vAlign w:val="center"/>
          </w:tcPr>
          <w:p w:rsidR="00D37034" w:rsidRPr="006810E4" w:rsidP="00FD671F">
            <w:pPr>
              <w:spacing w:line="240" w:lineRule="auto"/>
              <w:jc w:val="right"/>
              <w:rPr>
                <w:rFonts w:ascii="Times New Roman" w:hAnsi="Times New Roman" w:cs="Times New Roman"/>
              </w:rPr>
            </w:pPr>
            <w:r>
              <w:rPr>
                <w:rFonts w:ascii="Times New Roman" w:hAnsi="Times New Roman" w:cs="Times New Roman"/>
              </w:rPr>
              <w:t>140 078</w:t>
            </w:r>
          </w:p>
        </w:tc>
        <w:tc>
          <w:tcPr>
            <w:tcW w:w="1134" w:type="dxa"/>
            <w:tcBorders>
              <w:top w:val="single" w:sz="4" w:space="0" w:color="auto"/>
              <w:left w:val="single" w:sz="4" w:space="0" w:color="auto"/>
              <w:bottom w:val="single" w:sz="4" w:space="0" w:color="auto"/>
              <w:right w:val="nil"/>
              <w:tl2br w:val="nil"/>
              <w:tr2bl w:val="nil"/>
            </w:tcBorders>
            <w:tcMar>
              <w:top w:w="15" w:type="dxa"/>
              <w:left w:w="15" w:type="dxa"/>
              <w:bottom w:w="0" w:type="dxa"/>
              <w:right w:w="15" w:type="dxa"/>
            </w:tcMar>
            <w:textDirection w:val="lrTb"/>
            <w:vAlign w:val="center"/>
          </w:tcPr>
          <w:p w:rsidR="00D37034" w:rsidRPr="006810E4" w:rsidP="00FD671F">
            <w:pPr>
              <w:spacing w:line="240" w:lineRule="auto"/>
              <w:jc w:val="right"/>
              <w:rPr>
                <w:rFonts w:ascii="Times New Roman" w:hAnsi="Times New Roman" w:cs="Times New Roman"/>
              </w:rPr>
            </w:pPr>
            <w:r>
              <w:rPr>
                <w:rFonts w:ascii="Times New Roman" w:hAnsi="Times New Roman" w:cs="Times New Roman"/>
              </w:rPr>
              <w:t>119 359</w:t>
            </w:r>
          </w:p>
        </w:tc>
        <w:tc>
          <w:tcPr>
            <w:tcW w:w="1134" w:type="dxa"/>
            <w:tcBorders>
              <w:top w:val="single" w:sz="4" w:space="0" w:color="auto"/>
              <w:left w:val="single" w:sz="4" w:space="0" w:color="auto"/>
              <w:bottom w:val="single" w:sz="4" w:space="0" w:color="auto"/>
              <w:right w:val="single" w:sz="8" w:space="0" w:color="auto"/>
              <w:tl2br w:val="nil"/>
              <w:tr2bl w:val="nil"/>
            </w:tcBorders>
            <w:tcMar>
              <w:top w:w="15" w:type="dxa"/>
              <w:left w:w="15" w:type="dxa"/>
              <w:bottom w:w="0" w:type="dxa"/>
              <w:right w:w="15" w:type="dxa"/>
            </w:tcMar>
            <w:textDirection w:val="lrTb"/>
            <w:vAlign w:val="center"/>
          </w:tcPr>
          <w:p w:rsidR="00D37034" w:rsidRPr="006810E4" w:rsidP="00FD671F">
            <w:pPr>
              <w:spacing w:line="240" w:lineRule="auto"/>
              <w:jc w:val="right"/>
              <w:rPr>
                <w:rFonts w:ascii="Times New Roman" w:hAnsi="Times New Roman" w:cs="Times New Roman"/>
              </w:rPr>
            </w:pPr>
            <w:r>
              <w:rPr>
                <w:rFonts w:ascii="Times New Roman" w:hAnsi="Times New Roman" w:cs="Times New Roman"/>
              </w:rPr>
              <w:t>42 773</w:t>
            </w:r>
          </w:p>
        </w:tc>
      </w:tr>
      <w:tr>
        <w:tblPrEx>
          <w:tblW w:w="9294" w:type="dxa"/>
          <w:jc w:val="center"/>
          <w:tblCellMar>
            <w:left w:w="0" w:type="dxa"/>
            <w:right w:w="0" w:type="dxa"/>
          </w:tblCellMar>
        </w:tblPrEx>
        <w:trPr>
          <w:trHeight w:hRule="exact" w:val="284"/>
          <w:jc w:val="center"/>
        </w:trPr>
        <w:tc>
          <w:tcPr>
            <w:tcW w:w="335" w:type="dxa"/>
            <w:tcBorders>
              <w:top w:val="nil"/>
              <w:left w:val="single" w:sz="8" w:space="0" w:color="auto"/>
              <w:bottom w:val="nil"/>
              <w:right w:val="single" w:sz="4" w:space="0" w:color="auto"/>
              <w:tl2br w:val="nil"/>
              <w:tr2bl w:val="nil"/>
            </w:tcBorders>
            <w:tcMar>
              <w:top w:w="15" w:type="dxa"/>
              <w:left w:w="15" w:type="dxa"/>
              <w:bottom w:w="0" w:type="dxa"/>
              <w:right w:w="15" w:type="dxa"/>
            </w:tcMar>
            <w:textDirection w:val="lrTb"/>
            <w:vAlign w:val="center"/>
          </w:tcPr>
          <w:p w:rsidR="00D37034" w:rsidRPr="006810E4" w:rsidP="00FD671F">
            <w:pPr>
              <w:spacing w:line="240" w:lineRule="auto"/>
              <w:jc w:val="left"/>
              <w:rPr>
                <w:rFonts w:ascii="Times New Roman" w:hAnsi="Times New Roman" w:cs="Times New Roman"/>
              </w:rPr>
            </w:pPr>
            <w:r w:rsidRPr="006810E4">
              <w:rPr>
                <w:rFonts w:ascii="Times New Roman" w:hAnsi="Times New Roman" w:cs="Times New Roman"/>
              </w:rPr>
              <w:t>315</w:t>
            </w:r>
          </w:p>
        </w:tc>
        <w:tc>
          <w:tcPr>
            <w:tcW w:w="2259" w:type="dxa"/>
            <w:tcBorders>
              <w:top w:val="nil"/>
              <w:left w:val="nil"/>
              <w:bottom w:val="nil"/>
              <w:right w:val="single" w:sz="4" w:space="0" w:color="auto"/>
              <w:tl2br w:val="nil"/>
              <w:tr2bl w:val="nil"/>
            </w:tcBorders>
            <w:tcMar>
              <w:top w:w="15" w:type="dxa"/>
              <w:left w:w="15" w:type="dxa"/>
              <w:bottom w:w="0" w:type="dxa"/>
              <w:right w:w="15" w:type="dxa"/>
            </w:tcMar>
            <w:textDirection w:val="lrTb"/>
            <w:vAlign w:val="center"/>
          </w:tcPr>
          <w:p w:rsidR="00D37034" w:rsidRPr="006810E4" w:rsidP="00FD671F">
            <w:pPr>
              <w:spacing w:line="240" w:lineRule="auto"/>
              <w:jc w:val="left"/>
              <w:rPr>
                <w:rFonts w:ascii="Times New Roman" w:hAnsi="Times New Roman" w:cs="Times New Roman"/>
              </w:rPr>
            </w:pPr>
            <w:r w:rsidRPr="006810E4">
              <w:rPr>
                <w:rFonts w:ascii="Times New Roman" w:hAnsi="Times New Roman" w:cs="Times New Roman"/>
              </w:rPr>
              <w:t xml:space="preserve"> Ostatné pohľadávky</w:t>
            </w:r>
          </w:p>
        </w:tc>
        <w:tc>
          <w:tcPr>
            <w:tcW w:w="1134" w:type="dxa"/>
            <w:tcBorders>
              <w:top w:val="nil"/>
              <w:left w:val="nil"/>
              <w:bottom w:val="nil"/>
              <w:right w:val="nil"/>
              <w:tl2br w:val="nil"/>
              <w:tr2bl w:val="nil"/>
            </w:tcBorders>
            <w:tcMar>
              <w:top w:w="15" w:type="dxa"/>
              <w:left w:w="15" w:type="dxa"/>
              <w:bottom w:w="0" w:type="dxa"/>
              <w:right w:w="15" w:type="dxa"/>
            </w:tcMar>
            <w:textDirection w:val="lrTb"/>
            <w:vAlign w:val="center"/>
          </w:tcPr>
          <w:p w:rsidR="00D37034" w:rsidRPr="006810E4" w:rsidP="00FD671F">
            <w:pPr>
              <w:spacing w:line="240" w:lineRule="auto"/>
              <w:jc w:val="right"/>
              <w:rPr>
                <w:rFonts w:ascii="Times New Roman" w:hAnsi="Times New Roman" w:cs="Times New Roman"/>
              </w:rPr>
            </w:pPr>
            <w:r>
              <w:rPr>
                <w:rFonts w:ascii="Times New Roman" w:hAnsi="Times New Roman" w:cs="Times New Roman"/>
              </w:rPr>
              <w:t>278 162</w:t>
            </w:r>
          </w:p>
        </w:tc>
        <w:tc>
          <w:tcPr>
            <w:tcW w:w="1134" w:type="dxa"/>
            <w:tcBorders>
              <w:top w:val="nil"/>
              <w:left w:val="single" w:sz="4" w:space="0" w:color="auto"/>
              <w:bottom w:val="nil"/>
              <w:right w:val="nil"/>
              <w:tl2br w:val="nil"/>
              <w:tr2bl w:val="nil"/>
            </w:tcBorders>
            <w:tcMar>
              <w:top w:w="15" w:type="dxa"/>
              <w:left w:w="15" w:type="dxa"/>
              <w:bottom w:w="0" w:type="dxa"/>
              <w:right w:w="15" w:type="dxa"/>
            </w:tcMar>
            <w:textDirection w:val="lrTb"/>
            <w:vAlign w:val="center"/>
          </w:tcPr>
          <w:p w:rsidR="00D37034" w:rsidRPr="006810E4" w:rsidP="00FD671F">
            <w:pPr>
              <w:spacing w:line="240" w:lineRule="auto"/>
              <w:jc w:val="right"/>
              <w:rPr>
                <w:rFonts w:ascii="Times New Roman" w:hAnsi="Times New Roman" w:cs="Times New Roman"/>
              </w:rPr>
            </w:pPr>
            <w:r>
              <w:rPr>
                <w:rFonts w:ascii="Times New Roman" w:hAnsi="Times New Roman" w:cs="Times New Roman"/>
              </w:rPr>
              <w:t>244 828</w:t>
            </w:r>
          </w:p>
        </w:tc>
        <w:tc>
          <w:tcPr>
            <w:tcW w:w="1134" w:type="dxa"/>
            <w:tcBorders>
              <w:top w:val="nil"/>
              <w:left w:val="single" w:sz="4" w:space="0" w:color="auto"/>
              <w:bottom w:val="nil"/>
              <w:right w:val="nil"/>
              <w:tl2br w:val="nil"/>
              <w:tr2bl w:val="nil"/>
            </w:tcBorders>
            <w:tcMar>
              <w:top w:w="15" w:type="dxa"/>
              <w:left w:w="15" w:type="dxa"/>
              <w:bottom w:w="0" w:type="dxa"/>
              <w:right w:w="15" w:type="dxa"/>
            </w:tcMar>
            <w:textDirection w:val="lrTb"/>
            <w:vAlign w:val="center"/>
          </w:tcPr>
          <w:p w:rsidR="00D37034" w:rsidRPr="006810E4" w:rsidP="00FD671F">
            <w:pPr>
              <w:spacing w:line="240" w:lineRule="auto"/>
              <w:jc w:val="right"/>
              <w:rPr>
                <w:rFonts w:ascii="Times New Roman" w:hAnsi="Times New Roman" w:cs="Times New Roman"/>
              </w:rPr>
            </w:pPr>
            <w:r>
              <w:rPr>
                <w:rFonts w:ascii="Times New Roman" w:hAnsi="Times New Roman" w:cs="Times New Roman"/>
              </w:rPr>
              <w:t>296 207</w:t>
            </w:r>
          </w:p>
        </w:tc>
        <w:tc>
          <w:tcPr>
            <w:tcW w:w="1134" w:type="dxa"/>
            <w:tcBorders>
              <w:top w:val="nil"/>
              <w:left w:val="single" w:sz="4" w:space="0" w:color="auto"/>
              <w:bottom w:val="nil"/>
              <w:right w:val="nil"/>
              <w:tl2br w:val="nil"/>
              <w:tr2bl w:val="nil"/>
            </w:tcBorders>
            <w:tcMar>
              <w:top w:w="15" w:type="dxa"/>
              <w:left w:w="15" w:type="dxa"/>
              <w:bottom w:w="0" w:type="dxa"/>
              <w:right w:w="15" w:type="dxa"/>
            </w:tcMar>
            <w:textDirection w:val="lrTb"/>
            <w:vAlign w:val="center"/>
          </w:tcPr>
          <w:p w:rsidR="00D37034" w:rsidRPr="006810E4" w:rsidP="00FD671F">
            <w:pPr>
              <w:spacing w:line="240" w:lineRule="auto"/>
              <w:jc w:val="right"/>
              <w:rPr>
                <w:rFonts w:ascii="Times New Roman" w:hAnsi="Times New Roman" w:cs="Times New Roman"/>
              </w:rPr>
            </w:pPr>
            <w:r>
              <w:rPr>
                <w:rFonts w:ascii="Times New Roman" w:hAnsi="Times New Roman" w:cs="Times New Roman"/>
              </w:rPr>
              <w:t>180 025</w:t>
            </w:r>
          </w:p>
        </w:tc>
        <w:tc>
          <w:tcPr>
            <w:tcW w:w="1134" w:type="dxa"/>
            <w:tcBorders>
              <w:top w:val="nil"/>
              <w:left w:val="single" w:sz="4" w:space="0" w:color="auto"/>
              <w:bottom w:val="nil"/>
              <w:right w:val="single" w:sz="8" w:space="0" w:color="auto"/>
              <w:tl2br w:val="nil"/>
              <w:tr2bl w:val="nil"/>
            </w:tcBorders>
            <w:tcMar>
              <w:top w:w="15" w:type="dxa"/>
              <w:left w:w="15" w:type="dxa"/>
              <w:bottom w:w="0" w:type="dxa"/>
              <w:right w:w="15" w:type="dxa"/>
            </w:tcMar>
            <w:textDirection w:val="lrTb"/>
            <w:vAlign w:val="center"/>
          </w:tcPr>
          <w:p w:rsidR="00D37034" w:rsidRPr="006810E4" w:rsidP="00FD671F">
            <w:pPr>
              <w:spacing w:line="240" w:lineRule="auto"/>
              <w:jc w:val="right"/>
              <w:rPr>
                <w:rFonts w:ascii="Times New Roman" w:hAnsi="Times New Roman" w:cs="Times New Roman"/>
              </w:rPr>
            </w:pPr>
            <w:r>
              <w:rPr>
                <w:rFonts w:ascii="Times New Roman" w:hAnsi="Times New Roman" w:cs="Times New Roman"/>
              </w:rPr>
              <w:t>193 138</w:t>
            </w:r>
          </w:p>
        </w:tc>
      </w:tr>
      <w:tr>
        <w:tblPrEx>
          <w:tblW w:w="9294" w:type="dxa"/>
          <w:jc w:val="center"/>
          <w:tblCellMar>
            <w:left w:w="0" w:type="dxa"/>
            <w:right w:w="0" w:type="dxa"/>
          </w:tblCellMar>
        </w:tblPrEx>
        <w:trPr>
          <w:trHeight w:hRule="exact" w:val="284"/>
          <w:jc w:val="center"/>
        </w:trPr>
        <w:tc>
          <w:tcPr>
            <w:tcW w:w="335" w:type="dxa"/>
            <w:tcBorders>
              <w:top w:val="single" w:sz="8" w:space="0" w:color="auto"/>
              <w:left w:val="single" w:sz="8" w:space="0" w:color="auto"/>
              <w:bottom w:val="single" w:sz="8" w:space="0" w:color="auto"/>
              <w:right w:val="single" w:sz="4" w:space="0" w:color="auto"/>
              <w:tl2br w:val="nil"/>
              <w:tr2bl w:val="nil"/>
            </w:tcBorders>
            <w:shd w:val="clear" w:color="auto" w:fill="C0C0C0"/>
            <w:tcMar>
              <w:top w:w="15" w:type="dxa"/>
              <w:left w:w="15" w:type="dxa"/>
              <w:bottom w:w="0" w:type="dxa"/>
              <w:right w:w="15" w:type="dxa"/>
            </w:tcMar>
            <w:textDirection w:val="lrTb"/>
            <w:vAlign w:val="center"/>
          </w:tcPr>
          <w:p w:rsidR="00D37034" w:rsidRPr="006810E4" w:rsidP="00FD671F">
            <w:pPr>
              <w:spacing w:line="240" w:lineRule="auto"/>
              <w:jc w:val="left"/>
              <w:rPr>
                <w:rFonts w:ascii="Times New Roman" w:hAnsi="Times New Roman" w:cs="Times New Roman"/>
              </w:rPr>
            </w:pPr>
            <w:r w:rsidRPr="006810E4">
              <w:rPr>
                <w:rFonts w:ascii="Times New Roman" w:hAnsi="Times New Roman" w:cs="Times New Roman"/>
              </w:rPr>
              <w:t> </w:t>
            </w:r>
          </w:p>
        </w:tc>
        <w:tc>
          <w:tcPr>
            <w:tcW w:w="2259" w:type="dxa"/>
            <w:tcBorders>
              <w:top w:val="single" w:sz="8" w:space="0" w:color="auto"/>
              <w:left w:val="nil"/>
              <w:bottom w:val="single" w:sz="8" w:space="0" w:color="auto"/>
              <w:right w:val="single" w:sz="4" w:space="0" w:color="auto"/>
              <w:tl2br w:val="nil"/>
              <w:tr2bl w:val="nil"/>
            </w:tcBorders>
            <w:shd w:val="clear" w:color="auto" w:fill="C0C0C0"/>
            <w:tcMar>
              <w:top w:w="15" w:type="dxa"/>
              <w:left w:w="15" w:type="dxa"/>
              <w:bottom w:w="0" w:type="dxa"/>
              <w:right w:w="15" w:type="dxa"/>
            </w:tcMar>
            <w:textDirection w:val="lrTb"/>
            <w:vAlign w:val="center"/>
          </w:tcPr>
          <w:p w:rsidR="00D37034" w:rsidRPr="006810E4" w:rsidP="00FD671F">
            <w:pPr>
              <w:spacing w:line="240" w:lineRule="auto"/>
              <w:jc w:val="left"/>
              <w:rPr>
                <w:rFonts w:ascii="Times New Roman" w:hAnsi="Times New Roman" w:cs="Times New Roman"/>
                <w:b/>
                <w:bCs/>
              </w:rPr>
            </w:pPr>
            <w:r w:rsidRPr="006810E4">
              <w:rPr>
                <w:rFonts w:ascii="Times New Roman" w:hAnsi="Times New Roman" w:cs="Times New Roman"/>
                <w:b/>
                <w:bCs/>
              </w:rPr>
              <w:t xml:space="preserve"> Spolu</w:t>
            </w:r>
          </w:p>
        </w:tc>
        <w:tc>
          <w:tcPr>
            <w:tcW w:w="1134" w:type="dxa"/>
            <w:tcBorders>
              <w:top w:val="single" w:sz="8" w:space="0" w:color="auto"/>
              <w:left w:val="nil"/>
              <w:bottom w:val="single" w:sz="8" w:space="0" w:color="auto"/>
              <w:right w:val="nil"/>
              <w:tl2br w:val="nil"/>
              <w:tr2bl w:val="nil"/>
            </w:tcBorders>
            <w:shd w:val="clear" w:color="auto" w:fill="C0C0C0"/>
            <w:tcMar>
              <w:top w:w="15" w:type="dxa"/>
              <w:left w:w="15" w:type="dxa"/>
              <w:bottom w:w="0" w:type="dxa"/>
              <w:right w:w="15" w:type="dxa"/>
            </w:tcMar>
            <w:textDirection w:val="lrTb"/>
            <w:vAlign w:val="center"/>
          </w:tcPr>
          <w:p w:rsidR="00D37034" w:rsidRPr="006810E4" w:rsidP="00FD671F">
            <w:pPr>
              <w:spacing w:line="240" w:lineRule="auto"/>
              <w:jc w:val="right"/>
              <w:rPr>
                <w:rFonts w:ascii="Times New Roman" w:hAnsi="Times New Roman" w:cs="Times New Roman"/>
                <w:b/>
                <w:bCs/>
              </w:rPr>
            </w:pPr>
            <w:r>
              <w:rPr>
                <w:rFonts w:ascii="Times New Roman" w:hAnsi="Times New Roman" w:cs="Times New Roman"/>
                <w:b/>
                <w:bCs/>
              </w:rPr>
              <w:t>1 358 572</w:t>
            </w:r>
          </w:p>
        </w:tc>
        <w:tc>
          <w:tcPr>
            <w:tcW w:w="1134" w:type="dxa"/>
            <w:tcBorders>
              <w:top w:val="single" w:sz="8" w:space="0" w:color="auto"/>
              <w:left w:val="single" w:sz="4" w:space="0" w:color="auto"/>
              <w:bottom w:val="single" w:sz="8" w:space="0" w:color="auto"/>
              <w:right w:val="nil"/>
              <w:tl2br w:val="nil"/>
              <w:tr2bl w:val="nil"/>
            </w:tcBorders>
            <w:shd w:val="clear" w:color="auto" w:fill="C0C0C0"/>
            <w:tcMar>
              <w:top w:w="15" w:type="dxa"/>
              <w:left w:w="15" w:type="dxa"/>
              <w:bottom w:w="0" w:type="dxa"/>
              <w:right w:w="15" w:type="dxa"/>
            </w:tcMar>
            <w:textDirection w:val="lrTb"/>
            <w:vAlign w:val="center"/>
          </w:tcPr>
          <w:p w:rsidR="00D37034" w:rsidRPr="006810E4" w:rsidP="00FD671F">
            <w:pPr>
              <w:spacing w:line="240" w:lineRule="auto"/>
              <w:jc w:val="right"/>
              <w:rPr>
                <w:rFonts w:ascii="Times New Roman" w:hAnsi="Times New Roman" w:cs="Times New Roman"/>
                <w:b/>
                <w:bCs/>
              </w:rPr>
            </w:pPr>
            <w:r>
              <w:rPr>
                <w:rFonts w:ascii="Times New Roman" w:hAnsi="Times New Roman" w:cs="Times New Roman"/>
                <w:b/>
                <w:bCs/>
              </w:rPr>
              <w:t>1 709 693</w:t>
            </w:r>
          </w:p>
        </w:tc>
        <w:tc>
          <w:tcPr>
            <w:tcW w:w="1134" w:type="dxa"/>
            <w:tcBorders>
              <w:top w:val="single" w:sz="8" w:space="0" w:color="auto"/>
              <w:left w:val="single" w:sz="4" w:space="0" w:color="auto"/>
              <w:bottom w:val="single" w:sz="8" w:space="0" w:color="auto"/>
              <w:right w:val="nil"/>
              <w:tl2br w:val="nil"/>
              <w:tr2bl w:val="nil"/>
            </w:tcBorders>
            <w:shd w:val="clear" w:color="auto" w:fill="C0C0C0"/>
            <w:tcMar>
              <w:top w:w="15" w:type="dxa"/>
              <w:left w:w="15" w:type="dxa"/>
              <w:bottom w:w="0" w:type="dxa"/>
              <w:right w:w="15" w:type="dxa"/>
            </w:tcMar>
            <w:textDirection w:val="lrTb"/>
            <w:vAlign w:val="center"/>
          </w:tcPr>
          <w:p w:rsidR="00D37034" w:rsidRPr="006810E4" w:rsidP="00FD671F">
            <w:pPr>
              <w:spacing w:line="240" w:lineRule="auto"/>
              <w:jc w:val="right"/>
              <w:rPr>
                <w:rFonts w:ascii="Times New Roman" w:hAnsi="Times New Roman" w:cs="Times New Roman"/>
                <w:b/>
                <w:bCs/>
              </w:rPr>
            </w:pPr>
            <w:r>
              <w:rPr>
                <w:rFonts w:ascii="Times New Roman" w:hAnsi="Times New Roman" w:cs="Times New Roman"/>
                <w:b/>
                <w:bCs/>
              </w:rPr>
              <w:t>1 746 067</w:t>
            </w:r>
          </w:p>
        </w:tc>
        <w:tc>
          <w:tcPr>
            <w:tcW w:w="1134" w:type="dxa"/>
            <w:tcBorders>
              <w:top w:val="single" w:sz="8" w:space="0" w:color="auto"/>
              <w:left w:val="single" w:sz="4" w:space="0" w:color="auto"/>
              <w:bottom w:val="single" w:sz="8" w:space="0" w:color="auto"/>
              <w:right w:val="nil"/>
              <w:tl2br w:val="nil"/>
              <w:tr2bl w:val="nil"/>
            </w:tcBorders>
            <w:shd w:val="clear" w:color="auto" w:fill="C0C0C0"/>
            <w:tcMar>
              <w:top w:w="15" w:type="dxa"/>
              <w:left w:w="15" w:type="dxa"/>
              <w:bottom w:w="0" w:type="dxa"/>
              <w:right w:w="15" w:type="dxa"/>
            </w:tcMar>
            <w:textDirection w:val="lrTb"/>
            <w:vAlign w:val="center"/>
          </w:tcPr>
          <w:p w:rsidR="00D37034" w:rsidRPr="006810E4" w:rsidP="00FD671F">
            <w:pPr>
              <w:spacing w:line="240" w:lineRule="auto"/>
              <w:jc w:val="right"/>
              <w:rPr>
                <w:rFonts w:ascii="Times New Roman" w:hAnsi="Times New Roman" w:cs="Times New Roman"/>
                <w:b/>
                <w:bCs/>
              </w:rPr>
            </w:pPr>
            <w:r>
              <w:rPr>
                <w:rFonts w:ascii="Times New Roman" w:hAnsi="Times New Roman" w:cs="Times New Roman"/>
                <w:b/>
                <w:bCs/>
              </w:rPr>
              <w:t>1 819 290</w:t>
            </w:r>
          </w:p>
        </w:tc>
        <w:tc>
          <w:tcPr>
            <w:tcW w:w="1134" w:type="dxa"/>
            <w:tcBorders>
              <w:top w:val="single" w:sz="8" w:space="0" w:color="auto"/>
              <w:left w:val="single" w:sz="4" w:space="0" w:color="auto"/>
              <w:bottom w:val="single" w:sz="8" w:space="0" w:color="auto"/>
              <w:right w:val="single" w:sz="8" w:space="0" w:color="auto"/>
              <w:tl2br w:val="nil"/>
              <w:tr2bl w:val="nil"/>
            </w:tcBorders>
            <w:shd w:val="clear" w:color="auto" w:fill="C0C0C0"/>
            <w:tcMar>
              <w:top w:w="15" w:type="dxa"/>
              <w:left w:w="15" w:type="dxa"/>
              <w:bottom w:w="0" w:type="dxa"/>
              <w:right w:w="15" w:type="dxa"/>
            </w:tcMar>
            <w:textDirection w:val="lrTb"/>
            <w:vAlign w:val="center"/>
          </w:tcPr>
          <w:p w:rsidR="00D37034" w:rsidRPr="006810E4" w:rsidP="00FD671F">
            <w:pPr>
              <w:spacing w:line="240" w:lineRule="auto"/>
              <w:jc w:val="right"/>
              <w:rPr>
                <w:rFonts w:ascii="Times New Roman" w:hAnsi="Times New Roman" w:cs="Times New Roman"/>
                <w:b/>
                <w:bCs/>
              </w:rPr>
            </w:pPr>
            <w:r>
              <w:rPr>
                <w:rFonts w:ascii="Times New Roman" w:hAnsi="Times New Roman" w:cs="Times New Roman"/>
                <w:b/>
                <w:bCs/>
              </w:rPr>
              <w:t>1 658 923</w:t>
            </w:r>
          </w:p>
        </w:tc>
      </w:tr>
      <w:tr>
        <w:tblPrEx>
          <w:tblW w:w="9294" w:type="dxa"/>
          <w:jc w:val="center"/>
          <w:tblCellMar>
            <w:left w:w="0" w:type="dxa"/>
            <w:right w:w="0" w:type="dxa"/>
          </w:tblCellMar>
        </w:tblPrEx>
        <w:trPr>
          <w:trHeight w:hRule="exact" w:val="284"/>
          <w:jc w:val="center"/>
        </w:trPr>
        <w:tc>
          <w:tcPr>
            <w:tcW w:w="335" w:type="dxa"/>
            <w:tcBorders>
              <w:top w:val="nil"/>
              <w:left w:val="single" w:sz="8" w:space="0" w:color="auto"/>
              <w:bottom w:val="single" w:sz="4" w:space="0" w:color="auto"/>
              <w:right w:val="single" w:sz="4" w:space="0" w:color="auto"/>
              <w:tl2br w:val="nil"/>
              <w:tr2bl w:val="nil"/>
            </w:tcBorders>
            <w:tcMar>
              <w:top w:w="15" w:type="dxa"/>
              <w:left w:w="15" w:type="dxa"/>
              <w:bottom w:w="0" w:type="dxa"/>
              <w:right w:w="15" w:type="dxa"/>
            </w:tcMar>
            <w:textDirection w:val="lrTb"/>
            <w:vAlign w:val="center"/>
          </w:tcPr>
          <w:p w:rsidR="00D37034" w:rsidRPr="006810E4" w:rsidP="00FD671F">
            <w:pPr>
              <w:spacing w:line="240" w:lineRule="auto"/>
              <w:jc w:val="left"/>
              <w:rPr>
                <w:rFonts w:ascii="Times New Roman" w:hAnsi="Times New Roman" w:cs="Times New Roman"/>
              </w:rPr>
            </w:pPr>
            <w:r w:rsidRPr="006810E4">
              <w:rPr>
                <w:rFonts w:ascii="Times New Roman" w:hAnsi="Times New Roman" w:cs="Times New Roman"/>
              </w:rPr>
              <w:t> </w:t>
            </w:r>
          </w:p>
        </w:tc>
        <w:tc>
          <w:tcPr>
            <w:tcW w:w="2259" w:type="dxa"/>
            <w:tcBorders>
              <w:top w:val="nil"/>
              <w:left w:val="nil"/>
              <w:bottom w:val="single" w:sz="4" w:space="0" w:color="auto"/>
              <w:right w:val="single" w:sz="4" w:space="0" w:color="auto"/>
              <w:tl2br w:val="nil"/>
              <w:tr2bl w:val="nil"/>
            </w:tcBorders>
            <w:tcMar>
              <w:top w:w="15" w:type="dxa"/>
              <w:left w:w="15" w:type="dxa"/>
              <w:bottom w:w="0" w:type="dxa"/>
              <w:right w:w="15" w:type="dxa"/>
            </w:tcMar>
            <w:textDirection w:val="lrTb"/>
            <w:vAlign w:val="center"/>
          </w:tcPr>
          <w:p w:rsidR="00D37034" w:rsidRPr="006810E4" w:rsidP="00FD671F">
            <w:pPr>
              <w:spacing w:line="240" w:lineRule="auto"/>
              <w:jc w:val="left"/>
              <w:rPr>
                <w:rFonts w:ascii="Times New Roman" w:hAnsi="Times New Roman" w:cs="Times New Roman"/>
                <w:b/>
                <w:bCs/>
              </w:rPr>
            </w:pPr>
            <w:r w:rsidRPr="006810E4">
              <w:rPr>
                <w:rFonts w:ascii="Times New Roman" w:hAnsi="Times New Roman" w:cs="Times New Roman"/>
                <w:b/>
                <w:bCs/>
              </w:rPr>
              <w:t>v lehote splatnosti</w:t>
            </w:r>
          </w:p>
        </w:tc>
        <w:tc>
          <w:tcPr>
            <w:tcW w:w="1134" w:type="dxa"/>
            <w:tcBorders>
              <w:top w:val="nil"/>
              <w:left w:val="nil"/>
              <w:bottom w:val="single" w:sz="4" w:space="0" w:color="auto"/>
              <w:right w:val="nil"/>
              <w:tl2br w:val="nil"/>
              <w:tr2bl w:val="nil"/>
            </w:tcBorders>
            <w:tcMar>
              <w:top w:w="15" w:type="dxa"/>
              <w:left w:w="15" w:type="dxa"/>
              <w:bottom w:w="0" w:type="dxa"/>
              <w:right w:w="15" w:type="dxa"/>
            </w:tcMar>
            <w:textDirection w:val="lrTb"/>
            <w:vAlign w:val="center"/>
          </w:tcPr>
          <w:p w:rsidR="00D37034" w:rsidRPr="006810E4" w:rsidP="00FD671F">
            <w:pPr>
              <w:spacing w:line="240" w:lineRule="auto"/>
              <w:jc w:val="right"/>
              <w:rPr>
                <w:rFonts w:ascii="Times New Roman" w:hAnsi="Times New Roman" w:cs="Times New Roman"/>
                <w:b/>
                <w:bCs/>
              </w:rPr>
            </w:pPr>
            <w:r>
              <w:rPr>
                <w:rFonts w:ascii="Times New Roman" w:hAnsi="Times New Roman" w:cs="Times New Roman"/>
                <w:b/>
                <w:bCs/>
              </w:rPr>
              <w:t>807 227</w:t>
            </w:r>
          </w:p>
        </w:tc>
        <w:tc>
          <w:tcPr>
            <w:tcW w:w="1134" w:type="dxa"/>
            <w:tcBorders>
              <w:top w:val="nil"/>
              <w:left w:val="single" w:sz="4" w:space="0" w:color="auto"/>
              <w:bottom w:val="single" w:sz="4" w:space="0" w:color="auto"/>
              <w:right w:val="nil"/>
              <w:tl2br w:val="nil"/>
              <w:tr2bl w:val="nil"/>
            </w:tcBorders>
            <w:tcMar>
              <w:top w:w="15" w:type="dxa"/>
              <w:left w:w="15" w:type="dxa"/>
              <w:bottom w:w="0" w:type="dxa"/>
              <w:right w:w="15" w:type="dxa"/>
            </w:tcMar>
            <w:textDirection w:val="lrTb"/>
            <w:vAlign w:val="center"/>
          </w:tcPr>
          <w:p w:rsidR="00D37034" w:rsidRPr="006810E4" w:rsidP="00FD671F">
            <w:pPr>
              <w:spacing w:line="240" w:lineRule="auto"/>
              <w:jc w:val="right"/>
              <w:rPr>
                <w:rFonts w:ascii="Times New Roman" w:hAnsi="Times New Roman" w:cs="Times New Roman"/>
                <w:b/>
                <w:bCs/>
              </w:rPr>
            </w:pPr>
            <w:r>
              <w:rPr>
                <w:rFonts w:ascii="Times New Roman" w:hAnsi="Times New Roman" w:cs="Times New Roman"/>
                <w:b/>
                <w:bCs/>
              </w:rPr>
              <w:t>917 681</w:t>
            </w:r>
          </w:p>
        </w:tc>
        <w:tc>
          <w:tcPr>
            <w:tcW w:w="1134" w:type="dxa"/>
            <w:tcBorders>
              <w:top w:val="nil"/>
              <w:left w:val="single" w:sz="4" w:space="0" w:color="auto"/>
              <w:bottom w:val="single" w:sz="4" w:space="0" w:color="auto"/>
              <w:right w:val="nil"/>
              <w:tl2br w:val="nil"/>
              <w:tr2bl w:val="nil"/>
            </w:tcBorders>
            <w:tcMar>
              <w:top w:w="15" w:type="dxa"/>
              <w:left w:w="15" w:type="dxa"/>
              <w:bottom w:w="0" w:type="dxa"/>
              <w:right w:w="15" w:type="dxa"/>
            </w:tcMar>
            <w:textDirection w:val="lrTb"/>
            <w:vAlign w:val="center"/>
          </w:tcPr>
          <w:p w:rsidR="00D37034" w:rsidRPr="006810E4" w:rsidP="00FD671F">
            <w:pPr>
              <w:spacing w:line="240" w:lineRule="auto"/>
              <w:jc w:val="right"/>
              <w:rPr>
                <w:rFonts w:ascii="Times New Roman" w:hAnsi="Times New Roman" w:cs="Times New Roman"/>
                <w:b/>
                <w:bCs/>
              </w:rPr>
            </w:pPr>
            <w:r>
              <w:rPr>
                <w:rFonts w:ascii="Times New Roman" w:hAnsi="Times New Roman" w:cs="Times New Roman"/>
                <w:b/>
                <w:bCs/>
              </w:rPr>
              <w:t>936 777</w:t>
            </w:r>
          </w:p>
        </w:tc>
        <w:tc>
          <w:tcPr>
            <w:tcW w:w="1134" w:type="dxa"/>
            <w:tcBorders>
              <w:top w:val="nil"/>
              <w:left w:val="single" w:sz="4" w:space="0" w:color="auto"/>
              <w:bottom w:val="single" w:sz="4" w:space="0" w:color="auto"/>
              <w:right w:val="nil"/>
              <w:tl2br w:val="nil"/>
              <w:tr2bl w:val="nil"/>
            </w:tcBorders>
            <w:tcMar>
              <w:top w:w="15" w:type="dxa"/>
              <w:left w:w="15" w:type="dxa"/>
              <w:bottom w:w="0" w:type="dxa"/>
              <w:right w:w="15" w:type="dxa"/>
            </w:tcMar>
            <w:textDirection w:val="lrTb"/>
            <w:vAlign w:val="center"/>
          </w:tcPr>
          <w:p w:rsidR="00D37034" w:rsidRPr="006810E4" w:rsidP="00FD671F">
            <w:pPr>
              <w:spacing w:line="240" w:lineRule="auto"/>
              <w:jc w:val="right"/>
              <w:rPr>
                <w:rFonts w:ascii="Times New Roman" w:hAnsi="Times New Roman" w:cs="Times New Roman"/>
                <w:b/>
                <w:bCs/>
              </w:rPr>
            </w:pPr>
            <w:r>
              <w:rPr>
                <w:rFonts w:ascii="Times New Roman" w:hAnsi="Times New Roman" w:cs="Times New Roman"/>
                <w:b/>
                <w:bCs/>
              </w:rPr>
              <w:t>937 855</w:t>
            </w:r>
          </w:p>
        </w:tc>
        <w:tc>
          <w:tcPr>
            <w:tcW w:w="1134" w:type="dxa"/>
            <w:tcBorders>
              <w:top w:val="nil"/>
              <w:left w:val="single" w:sz="4" w:space="0" w:color="auto"/>
              <w:bottom w:val="single" w:sz="4" w:space="0" w:color="auto"/>
              <w:right w:val="single" w:sz="8" w:space="0" w:color="auto"/>
              <w:tl2br w:val="nil"/>
              <w:tr2bl w:val="nil"/>
            </w:tcBorders>
            <w:tcMar>
              <w:top w:w="15" w:type="dxa"/>
              <w:left w:w="15" w:type="dxa"/>
              <w:bottom w:w="0" w:type="dxa"/>
              <w:right w:w="15" w:type="dxa"/>
            </w:tcMar>
            <w:textDirection w:val="lrTb"/>
            <w:vAlign w:val="center"/>
          </w:tcPr>
          <w:p w:rsidR="00D37034" w:rsidRPr="006810E4" w:rsidP="00FD671F">
            <w:pPr>
              <w:spacing w:line="240" w:lineRule="auto"/>
              <w:jc w:val="right"/>
              <w:rPr>
                <w:rFonts w:ascii="Times New Roman" w:hAnsi="Times New Roman" w:cs="Times New Roman"/>
                <w:b/>
                <w:bCs/>
              </w:rPr>
            </w:pPr>
            <w:r>
              <w:rPr>
                <w:rFonts w:ascii="Times New Roman" w:hAnsi="Times New Roman" w:cs="Times New Roman"/>
                <w:b/>
                <w:bCs/>
              </w:rPr>
              <w:t>810 935</w:t>
            </w:r>
          </w:p>
        </w:tc>
      </w:tr>
      <w:tr>
        <w:tblPrEx>
          <w:tblW w:w="9294" w:type="dxa"/>
          <w:jc w:val="center"/>
          <w:tblCellMar>
            <w:left w:w="0" w:type="dxa"/>
            <w:right w:w="0" w:type="dxa"/>
          </w:tblCellMar>
        </w:tblPrEx>
        <w:trPr>
          <w:trHeight w:hRule="exact" w:val="284"/>
          <w:jc w:val="center"/>
        </w:trPr>
        <w:tc>
          <w:tcPr>
            <w:tcW w:w="335" w:type="dxa"/>
            <w:tcBorders>
              <w:top w:val="nil"/>
              <w:left w:val="single" w:sz="8" w:space="0" w:color="auto"/>
              <w:bottom w:val="single" w:sz="4" w:space="0" w:color="auto"/>
              <w:right w:val="single" w:sz="4" w:space="0" w:color="auto"/>
              <w:tl2br w:val="nil"/>
              <w:tr2bl w:val="nil"/>
            </w:tcBorders>
            <w:tcMar>
              <w:top w:w="15" w:type="dxa"/>
              <w:left w:w="15" w:type="dxa"/>
              <w:bottom w:w="0" w:type="dxa"/>
              <w:right w:w="15" w:type="dxa"/>
            </w:tcMar>
            <w:textDirection w:val="lrTb"/>
            <w:vAlign w:val="center"/>
          </w:tcPr>
          <w:p w:rsidR="00D37034" w:rsidRPr="006810E4" w:rsidP="00FD671F">
            <w:pPr>
              <w:spacing w:line="240" w:lineRule="auto"/>
              <w:jc w:val="left"/>
              <w:rPr>
                <w:rFonts w:ascii="Times New Roman" w:hAnsi="Times New Roman" w:cs="Times New Roman"/>
              </w:rPr>
            </w:pPr>
            <w:r w:rsidRPr="006810E4">
              <w:rPr>
                <w:rFonts w:ascii="Times New Roman" w:hAnsi="Times New Roman" w:cs="Times New Roman"/>
              </w:rPr>
              <w:t> </w:t>
            </w:r>
          </w:p>
        </w:tc>
        <w:tc>
          <w:tcPr>
            <w:tcW w:w="2259" w:type="dxa"/>
            <w:tcBorders>
              <w:top w:val="nil"/>
              <w:left w:val="nil"/>
              <w:bottom w:val="single" w:sz="4" w:space="0" w:color="auto"/>
              <w:right w:val="single" w:sz="4" w:space="0" w:color="auto"/>
              <w:tl2br w:val="nil"/>
              <w:tr2bl w:val="nil"/>
            </w:tcBorders>
            <w:tcMar>
              <w:top w:w="15" w:type="dxa"/>
              <w:left w:w="15" w:type="dxa"/>
              <w:bottom w:w="0" w:type="dxa"/>
              <w:right w:w="15" w:type="dxa"/>
            </w:tcMar>
            <w:textDirection w:val="lrTb"/>
            <w:vAlign w:val="center"/>
          </w:tcPr>
          <w:p w:rsidR="00D37034" w:rsidRPr="006810E4" w:rsidP="00FD671F">
            <w:pPr>
              <w:spacing w:line="240" w:lineRule="auto"/>
              <w:jc w:val="left"/>
              <w:rPr>
                <w:rFonts w:ascii="Times New Roman" w:hAnsi="Times New Roman" w:cs="Times New Roman"/>
                <w:b/>
                <w:bCs/>
              </w:rPr>
            </w:pPr>
            <w:r w:rsidRPr="006810E4">
              <w:rPr>
                <w:rFonts w:ascii="Times New Roman" w:hAnsi="Times New Roman" w:cs="Times New Roman"/>
                <w:b/>
                <w:bCs/>
              </w:rPr>
              <w:t>po lehote splatnosti</w:t>
            </w:r>
          </w:p>
        </w:tc>
        <w:tc>
          <w:tcPr>
            <w:tcW w:w="1134" w:type="dxa"/>
            <w:tcBorders>
              <w:top w:val="nil"/>
              <w:left w:val="nil"/>
              <w:bottom w:val="single" w:sz="4" w:space="0" w:color="auto"/>
              <w:right w:val="nil"/>
              <w:tl2br w:val="nil"/>
              <w:tr2bl w:val="nil"/>
            </w:tcBorders>
            <w:tcMar>
              <w:top w:w="15" w:type="dxa"/>
              <w:left w:w="15" w:type="dxa"/>
              <w:bottom w:w="0" w:type="dxa"/>
              <w:right w:w="15" w:type="dxa"/>
            </w:tcMar>
            <w:textDirection w:val="lrTb"/>
            <w:vAlign w:val="center"/>
          </w:tcPr>
          <w:p w:rsidR="00D37034" w:rsidRPr="006810E4" w:rsidP="00FD671F">
            <w:pPr>
              <w:spacing w:line="240" w:lineRule="auto"/>
              <w:jc w:val="right"/>
              <w:rPr>
                <w:rFonts w:ascii="Times New Roman" w:hAnsi="Times New Roman" w:cs="Times New Roman"/>
                <w:b/>
                <w:bCs/>
              </w:rPr>
            </w:pPr>
            <w:r>
              <w:rPr>
                <w:rFonts w:ascii="Times New Roman" w:hAnsi="Times New Roman" w:cs="Times New Roman"/>
                <w:b/>
                <w:bCs/>
              </w:rPr>
              <w:t>551 345</w:t>
            </w:r>
          </w:p>
        </w:tc>
        <w:tc>
          <w:tcPr>
            <w:tcW w:w="1134" w:type="dxa"/>
            <w:tcBorders>
              <w:top w:val="nil"/>
              <w:left w:val="single" w:sz="4" w:space="0" w:color="auto"/>
              <w:bottom w:val="single" w:sz="4" w:space="0" w:color="auto"/>
              <w:right w:val="nil"/>
              <w:tl2br w:val="nil"/>
              <w:tr2bl w:val="nil"/>
            </w:tcBorders>
            <w:tcMar>
              <w:top w:w="15" w:type="dxa"/>
              <w:left w:w="15" w:type="dxa"/>
              <w:bottom w:w="0" w:type="dxa"/>
              <w:right w:w="15" w:type="dxa"/>
            </w:tcMar>
            <w:textDirection w:val="lrTb"/>
            <w:vAlign w:val="center"/>
          </w:tcPr>
          <w:p w:rsidR="00D37034" w:rsidRPr="006810E4" w:rsidP="00FD671F">
            <w:pPr>
              <w:spacing w:line="240" w:lineRule="auto"/>
              <w:jc w:val="right"/>
              <w:rPr>
                <w:rFonts w:ascii="Times New Roman" w:hAnsi="Times New Roman" w:cs="Times New Roman"/>
                <w:b/>
                <w:bCs/>
              </w:rPr>
            </w:pPr>
            <w:r>
              <w:rPr>
                <w:rFonts w:ascii="Times New Roman" w:hAnsi="Times New Roman" w:cs="Times New Roman"/>
                <w:b/>
                <w:bCs/>
              </w:rPr>
              <w:t>792 012</w:t>
            </w:r>
          </w:p>
        </w:tc>
        <w:tc>
          <w:tcPr>
            <w:tcW w:w="1134" w:type="dxa"/>
            <w:tcBorders>
              <w:top w:val="nil"/>
              <w:left w:val="single" w:sz="4" w:space="0" w:color="auto"/>
              <w:bottom w:val="single" w:sz="4" w:space="0" w:color="auto"/>
              <w:right w:val="nil"/>
              <w:tl2br w:val="nil"/>
              <w:tr2bl w:val="nil"/>
            </w:tcBorders>
            <w:tcMar>
              <w:top w:w="15" w:type="dxa"/>
              <w:left w:w="15" w:type="dxa"/>
              <w:bottom w:w="0" w:type="dxa"/>
              <w:right w:w="15" w:type="dxa"/>
            </w:tcMar>
            <w:textDirection w:val="lrTb"/>
            <w:vAlign w:val="center"/>
          </w:tcPr>
          <w:p w:rsidR="00D37034" w:rsidRPr="006810E4" w:rsidP="00FD671F">
            <w:pPr>
              <w:spacing w:line="240" w:lineRule="auto"/>
              <w:jc w:val="right"/>
              <w:rPr>
                <w:rFonts w:ascii="Times New Roman" w:hAnsi="Times New Roman" w:cs="Times New Roman"/>
                <w:b/>
                <w:bCs/>
              </w:rPr>
            </w:pPr>
            <w:r>
              <w:rPr>
                <w:rFonts w:ascii="Times New Roman" w:hAnsi="Times New Roman" w:cs="Times New Roman"/>
                <w:b/>
                <w:bCs/>
              </w:rPr>
              <w:t>809 290</w:t>
            </w:r>
          </w:p>
        </w:tc>
        <w:tc>
          <w:tcPr>
            <w:tcW w:w="1134" w:type="dxa"/>
            <w:tcBorders>
              <w:top w:val="nil"/>
              <w:left w:val="single" w:sz="4" w:space="0" w:color="auto"/>
              <w:bottom w:val="nil"/>
              <w:right w:val="nil"/>
              <w:tl2br w:val="nil"/>
              <w:tr2bl w:val="nil"/>
            </w:tcBorders>
            <w:tcMar>
              <w:top w:w="15" w:type="dxa"/>
              <w:left w:w="15" w:type="dxa"/>
              <w:bottom w:w="0" w:type="dxa"/>
              <w:right w:w="15" w:type="dxa"/>
            </w:tcMar>
            <w:textDirection w:val="lrTb"/>
            <w:vAlign w:val="center"/>
          </w:tcPr>
          <w:p w:rsidR="00D37034" w:rsidRPr="006810E4" w:rsidP="00FD671F">
            <w:pPr>
              <w:spacing w:line="240" w:lineRule="auto"/>
              <w:jc w:val="right"/>
              <w:rPr>
                <w:rFonts w:ascii="Times New Roman" w:hAnsi="Times New Roman" w:cs="Times New Roman"/>
                <w:b/>
                <w:bCs/>
              </w:rPr>
            </w:pPr>
            <w:r>
              <w:rPr>
                <w:rFonts w:ascii="Times New Roman" w:hAnsi="Times New Roman" w:cs="Times New Roman"/>
                <w:b/>
                <w:bCs/>
              </w:rPr>
              <w:t>881 435</w:t>
            </w:r>
          </w:p>
        </w:tc>
        <w:tc>
          <w:tcPr>
            <w:tcW w:w="1134" w:type="dxa"/>
            <w:tcBorders>
              <w:top w:val="nil"/>
              <w:left w:val="single" w:sz="4" w:space="0" w:color="auto"/>
              <w:bottom w:val="nil"/>
              <w:right w:val="single" w:sz="8" w:space="0" w:color="auto"/>
              <w:tl2br w:val="nil"/>
              <w:tr2bl w:val="nil"/>
            </w:tcBorders>
            <w:tcMar>
              <w:top w:w="15" w:type="dxa"/>
              <w:left w:w="15" w:type="dxa"/>
              <w:bottom w:w="0" w:type="dxa"/>
              <w:right w:w="15" w:type="dxa"/>
            </w:tcMar>
            <w:textDirection w:val="lrTb"/>
            <w:vAlign w:val="center"/>
          </w:tcPr>
          <w:p w:rsidR="00D37034" w:rsidRPr="006810E4" w:rsidP="00FD671F">
            <w:pPr>
              <w:spacing w:line="240" w:lineRule="auto"/>
              <w:jc w:val="right"/>
              <w:rPr>
                <w:rFonts w:ascii="Times New Roman" w:hAnsi="Times New Roman" w:cs="Times New Roman"/>
                <w:b/>
                <w:bCs/>
              </w:rPr>
            </w:pPr>
            <w:r>
              <w:rPr>
                <w:rFonts w:ascii="Times New Roman" w:hAnsi="Times New Roman" w:cs="Times New Roman"/>
                <w:b/>
                <w:bCs/>
              </w:rPr>
              <w:t>847 989</w:t>
            </w:r>
          </w:p>
        </w:tc>
      </w:tr>
      <w:tr>
        <w:tblPrEx>
          <w:tblW w:w="9294" w:type="dxa"/>
          <w:jc w:val="center"/>
          <w:tblCellMar>
            <w:left w:w="0" w:type="dxa"/>
            <w:right w:w="0" w:type="dxa"/>
          </w:tblCellMar>
        </w:tblPrEx>
        <w:trPr>
          <w:trHeight w:hRule="exact" w:val="284"/>
          <w:jc w:val="center"/>
        </w:trPr>
        <w:tc>
          <w:tcPr>
            <w:tcW w:w="335" w:type="dxa"/>
            <w:tcBorders>
              <w:top w:val="nil"/>
              <w:left w:val="single" w:sz="8" w:space="0" w:color="auto"/>
              <w:bottom w:val="single" w:sz="4" w:space="0" w:color="auto"/>
              <w:right w:val="nil"/>
              <w:tl2br w:val="nil"/>
              <w:tr2bl w:val="nil"/>
            </w:tcBorders>
            <w:tcMar>
              <w:top w:w="15" w:type="dxa"/>
              <w:left w:w="15" w:type="dxa"/>
              <w:bottom w:w="0" w:type="dxa"/>
              <w:right w:w="15" w:type="dxa"/>
            </w:tcMar>
            <w:textDirection w:val="lrTb"/>
            <w:vAlign w:val="center"/>
          </w:tcPr>
          <w:p w:rsidR="00D37034" w:rsidRPr="006810E4" w:rsidP="00FD671F">
            <w:pPr>
              <w:spacing w:line="240" w:lineRule="auto"/>
              <w:jc w:val="left"/>
              <w:rPr>
                <w:rFonts w:ascii="Times New Roman" w:hAnsi="Times New Roman" w:cs="Times New Roman"/>
              </w:rPr>
            </w:pPr>
            <w:r w:rsidRPr="006810E4">
              <w:rPr>
                <w:rFonts w:ascii="Times New Roman" w:hAnsi="Times New Roman" w:cs="Times New Roman"/>
              </w:rPr>
              <w:t> </w:t>
            </w:r>
          </w:p>
        </w:tc>
        <w:tc>
          <w:tcPr>
            <w:tcW w:w="2259" w:type="dxa"/>
            <w:tcBorders>
              <w:top w:val="nil"/>
              <w:left w:val="single" w:sz="4" w:space="0" w:color="auto"/>
              <w:bottom w:val="single" w:sz="4" w:space="0" w:color="auto"/>
              <w:right w:val="single" w:sz="4" w:space="0" w:color="auto"/>
              <w:tl2br w:val="nil"/>
              <w:tr2bl w:val="nil"/>
            </w:tcBorders>
            <w:noWrap/>
            <w:tcMar>
              <w:top w:w="15" w:type="dxa"/>
              <w:left w:w="15" w:type="dxa"/>
              <w:bottom w:w="0" w:type="dxa"/>
              <w:right w:w="15" w:type="dxa"/>
            </w:tcMar>
            <w:textDirection w:val="lrTb"/>
            <w:vAlign w:val="center"/>
          </w:tcPr>
          <w:p w:rsidR="00D37034" w:rsidRPr="006810E4" w:rsidP="00FD671F">
            <w:pPr>
              <w:spacing w:line="240" w:lineRule="auto"/>
              <w:jc w:val="left"/>
              <w:rPr>
                <w:rFonts w:ascii="Times New Roman" w:hAnsi="Times New Roman" w:cs="Times New Roman"/>
              </w:rPr>
            </w:pPr>
            <w:r w:rsidRPr="006810E4">
              <w:rPr>
                <w:rFonts w:ascii="Times New Roman" w:hAnsi="Times New Roman" w:cs="Times New Roman"/>
              </w:rPr>
              <w:t>do 30 dní</w:t>
            </w:r>
          </w:p>
        </w:tc>
        <w:tc>
          <w:tcPr>
            <w:tcW w:w="1134" w:type="dxa"/>
            <w:tcBorders>
              <w:top w:val="nil"/>
              <w:left w:val="nil"/>
              <w:bottom w:val="single" w:sz="4" w:space="0" w:color="auto"/>
              <w:right w:val="nil"/>
              <w:tl2br w:val="nil"/>
              <w:tr2bl w:val="nil"/>
            </w:tcBorders>
            <w:tcMar>
              <w:top w:w="15" w:type="dxa"/>
              <w:left w:w="15" w:type="dxa"/>
              <w:bottom w:w="0" w:type="dxa"/>
              <w:right w:w="15" w:type="dxa"/>
            </w:tcMar>
            <w:textDirection w:val="lrTb"/>
            <w:vAlign w:val="center"/>
          </w:tcPr>
          <w:p w:rsidR="00D37034" w:rsidRPr="006810E4" w:rsidP="00FD671F">
            <w:pPr>
              <w:spacing w:line="240" w:lineRule="auto"/>
              <w:jc w:val="right"/>
              <w:rPr>
                <w:rFonts w:ascii="Times New Roman" w:hAnsi="Times New Roman" w:cs="Times New Roman"/>
              </w:rPr>
            </w:pPr>
            <w:r>
              <w:rPr>
                <w:rFonts w:ascii="Times New Roman" w:hAnsi="Times New Roman" w:cs="Times New Roman"/>
              </w:rPr>
              <w:t>56 903</w:t>
            </w:r>
          </w:p>
        </w:tc>
        <w:tc>
          <w:tcPr>
            <w:tcW w:w="1134" w:type="dxa"/>
            <w:tcBorders>
              <w:top w:val="nil"/>
              <w:left w:val="single" w:sz="4" w:space="0" w:color="auto"/>
              <w:bottom w:val="single" w:sz="4" w:space="0" w:color="auto"/>
              <w:right w:val="nil"/>
              <w:tl2br w:val="nil"/>
              <w:tr2bl w:val="nil"/>
            </w:tcBorders>
            <w:tcMar>
              <w:top w:w="15" w:type="dxa"/>
              <w:left w:w="15" w:type="dxa"/>
              <w:bottom w:w="0" w:type="dxa"/>
              <w:right w:w="15" w:type="dxa"/>
            </w:tcMar>
            <w:textDirection w:val="lrTb"/>
            <w:vAlign w:val="center"/>
          </w:tcPr>
          <w:p w:rsidR="00D37034" w:rsidRPr="006810E4" w:rsidP="00FD671F">
            <w:pPr>
              <w:spacing w:line="240" w:lineRule="auto"/>
              <w:jc w:val="right"/>
              <w:rPr>
                <w:rFonts w:ascii="Times New Roman" w:hAnsi="Times New Roman" w:cs="Times New Roman"/>
              </w:rPr>
            </w:pPr>
            <w:r>
              <w:rPr>
                <w:rFonts w:ascii="Times New Roman" w:hAnsi="Times New Roman" w:cs="Times New Roman"/>
              </w:rPr>
              <w:t>241 189</w:t>
            </w:r>
          </w:p>
        </w:tc>
        <w:tc>
          <w:tcPr>
            <w:tcW w:w="1134" w:type="dxa"/>
            <w:tcBorders>
              <w:top w:val="nil"/>
              <w:left w:val="single" w:sz="4" w:space="0" w:color="auto"/>
              <w:bottom w:val="nil"/>
              <w:right w:val="nil"/>
              <w:tl2br w:val="nil"/>
              <w:tr2bl w:val="nil"/>
            </w:tcBorders>
            <w:tcMar>
              <w:top w:w="15" w:type="dxa"/>
              <w:left w:w="15" w:type="dxa"/>
              <w:bottom w:w="0" w:type="dxa"/>
              <w:right w:w="15" w:type="dxa"/>
            </w:tcMar>
            <w:textDirection w:val="lrTb"/>
            <w:vAlign w:val="center"/>
          </w:tcPr>
          <w:p w:rsidR="00D37034" w:rsidRPr="006810E4" w:rsidP="00FD671F">
            <w:pPr>
              <w:spacing w:line="240" w:lineRule="auto"/>
              <w:jc w:val="right"/>
              <w:rPr>
                <w:rFonts w:ascii="Times New Roman" w:hAnsi="Times New Roman" w:cs="Times New Roman"/>
              </w:rPr>
            </w:pPr>
            <w:r>
              <w:rPr>
                <w:rFonts w:ascii="Times New Roman" w:hAnsi="Times New Roman" w:cs="Times New Roman"/>
              </w:rPr>
              <w:t>193 289</w:t>
            </w:r>
          </w:p>
        </w:tc>
        <w:tc>
          <w:tcPr>
            <w:tcW w:w="1134" w:type="dxa"/>
            <w:tcBorders>
              <w:top w:val="single" w:sz="4" w:space="0" w:color="auto"/>
              <w:left w:val="single" w:sz="4" w:space="0" w:color="auto"/>
              <w:bottom w:val="single" w:sz="4" w:space="0" w:color="auto"/>
              <w:right w:val="nil"/>
              <w:tl2br w:val="nil"/>
              <w:tr2bl w:val="nil"/>
            </w:tcBorders>
            <w:tcMar>
              <w:top w:w="15" w:type="dxa"/>
              <w:left w:w="15" w:type="dxa"/>
              <w:bottom w:w="0" w:type="dxa"/>
              <w:right w:w="15" w:type="dxa"/>
            </w:tcMar>
            <w:textDirection w:val="lrTb"/>
            <w:vAlign w:val="center"/>
          </w:tcPr>
          <w:p w:rsidR="00D37034" w:rsidRPr="006810E4" w:rsidP="00FD671F">
            <w:pPr>
              <w:spacing w:line="240" w:lineRule="auto"/>
              <w:jc w:val="right"/>
              <w:rPr>
                <w:rFonts w:ascii="Times New Roman" w:hAnsi="Times New Roman" w:cs="Times New Roman"/>
              </w:rPr>
            </w:pPr>
            <w:r>
              <w:rPr>
                <w:rFonts w:ascii="Times New Roman" w:hAnsi="Times New Roman" w:cs="Times New Roman"/>
              </w:rPr>
              <w:t>165 355</w:t>
            </w:r>
          </w:p>
        </w:tc>
        <w:tc>
          <w:tcPr>
            <w:tcW w:w="1134" w:type="dxa"/>
            <w:tcBorders>
              <w:top w:val="single" w:sz="4" w:space="0" w:color="auto"/>
              <w:left w:val="single" w:sz="4" w:space="0" w:color="auto"/>
              <w:bottom w:val="single" w:sz="4" w:space="0" w:color="auto"/>
              <w:right w:val="single" w:sz="8" w:space="0" w:color="auto"/>
              <w:tl2br w:val="nil"/>
              <w:tr2bl w:val="nil"/>
            </w:tcBorders>
            <w:tcMar>
              <w:top w:w="15" w:type="dxa"/>
              <w:left w:w="15" w:type="dxa"/>
              <w:bottom w:w="0" w:type="dxa"/>
              <w:right w:w="15" w:type="dxa"/>
            </w:tcMar>
            <w:textDirection w:val="lrTb"/>
            <w:vAlign w:val="center"/>
          </w:tcPr>
          <w:p w:rsidR="00D37034" w:rsidRPr="006810E4" w:rsidP="00FD671F">
            <w:pPr>
              <w:spacing w:line="240" w:lineRule="auto"/>
              <w:jc w:val="right"/>
              <w:rPr>
                <w:rFonts w:ascii="Times New Roman" w:hAnsi="Times New Roman" w:cs="Times New Roman"/>
              </w:rPr>
            </w:pPr>
            <w:r>
              <w:rPr>
                <w:rFonts w:ascii="Times New Roman" w:hAnsi="Times New Roman" w:cs="Times New Roman"/>
              </w:rPr>
              <w:t>96 338</w:t>
            </w:r>
          </w:p>
        </w:tc>
      </w:tr>
      <w:tr>
        <w:tblPrEx>
          <w:tblW w:w="9294" w:type="dxa"/>
          <w:jc w:val="center"/>
          <w:tblCellMar>
            <w:left w:w="0" w:type="dxa"/>
            <w:right w:w="0" w:type="dxa"/>
          </w:tblCellMar>
        </w:tblPrEx>
        <w:trPr>
          <w:trHeight w:hRule="exact" w:val="284"/>
          <w:jc w:val="center"/>
        </w:trPr>
        <w:tc>
          <w:tcPr>
            <w:tcW w:w="335" w:type="dxa"/>
            <w:tcBorders>
              <w:top w:val="nil"/>
              <w:left w:val="single" w:sz="8" w:space="0" w:color="auto"/>
              <w:bottom w:val="single" w:sz="4" w:space="0" w:color="auto"/>
              <w:right w:val="nil"/>
              <w:tl2br w:val="nil"/>
              <w:tr2bl w:val="nil"/>
            </w:tcBorders>
            <w:tcMar>
              <w:top w:w="15" w:type="dxa"/>
              <w:left w:w="15" w:type="dxa"/>
              <w:bottom w:w="0" w:type="dxa"/>
              <w:right w:w="15" w:type="dxa"/>
            </w:tcMar>
            <w:textDirection w:val="lrTb"/>
            <w:vAlign w:val="center"/>
          </w:tcPr>
          <w:p w:rsidR="00D37034" w:rsidRPr="006810E4" w:rsidP="00FD671F">
            <w:pPr>
              <w:spacing w:line="240" w:lineRule="auto"/>
              <w:jc w:val="left"/>
              <w:rPr>
                <w:rFonts w:ascii="Times New Roman" w:hAnsi="Times New Roman" w:cs="Times New Roman"/>
                <w:b/>
                <w:bCs/>
              </w:rPr>
            </w:pPr>
            <w:r w:rsidRPr="006810E4">
              <w:rPr>
                <w:rFonts w:ascii="Times New Roman" w:hAnsi="Times New Roman" w:cs="Times New Roman"/>
                <w:b/>
                <w:bCs/>
              </w:rPr>
              <w:t> </w:t>
            </w:r>
          </w:p>
        </w:tc>
        <w:tc>
          <w:tcPr>
            <w:tcW w:w="2259" w:type="dxa"/>
            <w:tcBorders>
              <w:top w:val="nil"/>
              <w:left w:val="single" w:sz="4" w:space="0" w:color="auto"/>
              <w:bottom w:val="single" w:sz="4" w:space="0" w:color="auto"/>
              <w:right w:val="single" w:sz="4" w:space="0" w:color="auto"/>
              <w:tl2br w:val="nil"/>
              <w:tr2bl w:val="nil"/>
            </w:tcBorders>
            <w:noWrap/>
            <w:tcMar>
              <w:top w:w="15" w:type="dxa"/>
              <w:left w:w="15" w:type="dxa"/>
              <w:bottom w:w="0" w:type="dxa"/>
              <w:right w:w="15" w:type="dxa"/>
            </w:tcMar>
            <w:textDirection w:val="lrTb"/>
            <w:vAlign w:val="center"/>
          </w:tcPr>
          <w:p w:rsidR="00D37034" w:rsidRPr="006810E4" w:rsidP="00FD671F">
            <w:pPr>
              <w:spacing w:line="240" w:lineRule="auto"/>
              <w:jc w:val="left"/>
              <w:rPr>
                <w:rFonts w:ascii="Times New Roman" w:hAnsi="Times New Roman" w:cs="Times New Roman"/>
              </w:rPr>
            </w:pPr>
            <w:r w:rsidRPr="006810E4">
              <w:rPr>
                <w:rFonts w:ascii="Times New Roman" w:hAnsi="Times New Roman" w:cs="Times New Roman"/>
              </w:rPr>
              <w:t>do 60 dní</w:t>
            </w:r>
          </w:p>
        </w:tc>
        <w:tc>
          <w:tcPr>
            <w:tcW w:w="1134" w:type="dxa"/>
            <w:tcBorders>
              <w:top w:val="nil"/>
              <w:left w:val="nil"/>
              <w:bottom w:val="single" w:sz="4" w:space="0" w:color="auto"/>
              <w:right w:val="nil"/>
              <w:tl2br w:val="nil"/>
              <w:tr2bl w:val="nil"/>
            </w:tcBorders>
            <w:tcMar>
              <w:top w:w="15" w:type="dxa"/>
              <w:left w:w="15" w:type="dxa"/>
              <w:bottom w:w="0" w:type="dxa"/>
              <w:right w:w="15" w:type="dxa"/>
            </w:tcMar>
            <w:textDirection w:val="lrTb"/>
            <w:vAlign w:val="center"/>
          </w:tcPr>
          <w:p w:rsidR="00D37034" w:rsidRPr="006810E4" w:rsidP="00FD671F">
            <w:pPr>
              <w:spacing w:line="240" w:lineRule="auto"/>
              <w:jc w:val="right"/>
              <w:rPr>
                <w:rFonts w:ascii="Times New Roman" w:hAnsi="Times New Roman" w:cs="Times New Roman"/>
              </w:rPr>
            </w:pPr>
            <w:r>
              <w:rPr>
                <w:rFonts w:ascii="Times New Roman" w:hAnsi="Times New Roman" w:cs="Times New Roman"/>
              </w:rPr>
              <w:t>29 497</w:t>
            </w:r>
          </w:p>
        </w:tc>
        <w:tc>
          <w:tcPr>
            <w:tcW w:w="1134" w:type="dxa"/>
            <w:tcBorders>
              <w:top w:val="nil"/>
              <w:left w:val="single" w:sz="4" w:space="0" w:color="auto"/>
              <w:bottom w:val="single" w:sz="4" w:space="0" w:color="auto"/>
              <w:right w:val="nil"/>
              <w:tl2br w:val="nil"/>
              <w:tr2bl w:val="nil"/>
            </w:tcBorders>
            <w:tcMar>
              <w:top w:w="15" w:type="dxa"/>
              <w:left w:w="15" w:type="dxa"/>
              <w:bottom w:w="0" w:type="dxa"/>
              <w:right w:w="15" w:type="dxa"/>
            </w:tcMar>
            <w:textDirection w:val="lrTb"/>
            <w:vAlign w:val="center"/>
          </w:tcPr>
          <w:p w:rsidR="00D37034" w:rsidRPr="006810E4" w:rsidP="00FD671F">
            <w:pPr>
              <w:spacing w:line="240" w:lineRule="auto"/>
              <w:jc w:val="right"/>
              <w:rPr>
                <w:rFonts w:ascii="Times New Roman" w:hAnsi="Times New Roman" w:cs="Times New Roman"/>
              </w:rPr>
            </w:pPr>
            <w:r>
              <w:rPr>
                <w:rFonts w:ascii="Times New Roman" w:hAnsi="Times New Roman" w:cs="Times New Roman"/>
              </w:rPr>
              <w:t>22 744</w:t>
            </w:r>
          </w:p>
        </w:tc>
        <w:tc>
          <w:tcPr>
            <w:tcW w:w="1134" w:type="dxa"/>
            <w:tcBorders>
              <w:top w:val="single" w:sz="4" w:space="0" w:color="auto"/>
              <w:left w:val="single" w:sz="4" w:space="0" w:color="auto"/>
              <w:bottom w:val="single" w:sz="4" w:space="0" w:color="auto"/>
              <w:right w:val="nil"/>
              <w:tl2br w:val="nil"/>
              <w:tr2bl w:val="nil"/>
            </w:tcBorders>
            <w:tcMar>
              <w:top w:w="15" w:type="dxa"/>
              <w:left w:w="15" w:type="dxa"/>
              <w:bottom w:w="0" w:type="dxa"/>
              <w:right w:w="15" w:type="dxa"/>
            </w:tcMar>
            <w:textDirection w:val="lrTb"/>
            <w:vAlign w:val="center"/>
          </w:tcPr>
          <w:p w:rsidR="00D37034" w:rsidRPr="006810E4" w:rsidP="00FD671F">
            <w:pPr>
              <w:spacing w:line="240" w:lineRule="auto"/>
              <w:jc w:val="right"/>
              <w:rPr>
                <w:rFonts w:ascii="Times New Roman" w:hAnsi="Times New Roman" w:cs="Times New Roman"/>
              </w:rPr>
            </w:pPr>
            <w:r>
              <w:rPr>
                <w:rFonts w:ascii="Times New Roman" w:hAnsi="Times New Roman" w:cs="Times New Roman"/>
              </w:rPr>
              <w:t>73 523</w:t>
            </w:r>
          </w:p>
        </w:tc>
        <w:tc>
          <w:tcPr>
            <w:tcW w:w="1134" w:type="dxa"/>
            <w:tcBorders>
              <w:top w:val="nil"/>
              <w:left w:val="single" w:sz="4" w:space="0" w:color="auto"/>
              <w:bottom w:val="nil"/>
              <w:right w:val="nil"/>
              <w:tl2br w:val="nil"/>
              <w:tr2bl w:val="nil"/>
            </w:tcBorders>
            <w:tcMar>
              <w:top w:w="15" w:type="dxa"/>
              <w:left w:w="15" w:type="dxa"/>
              <w:bottom w:w="0" w:type="dxa"/>
              <w:right w:w="15" w:type="dxa"/>
            </w:tcMar>
            <w:textDirection w:val="lrTb"/>
            <w:vAlign w:val="center"/>
          </w:tcPr>
          <w:p w:rsidR="00D37034" w:rsidRPr="006810E4" w:rsidP="00FD671F">
            <w:pPr>
              <w:spacing w:line="240" w:lineRule="auto"/>
              <w:jc w:val="right"/>
              <w:rPr>
                <w:rFonts w:ascii="Times New Roman" w:hAnsi="Times New Roman" w:cs="Times New Roman"/>
              </w:rPr>
            </w:pPr>
            <w:r>
              <w:rPr>
                <w:rFonts w:ascii="Times New Roman" w:hAnsi="Times New Roman" w:cs="Times New Roman"/>
              </w:rPr>
              <w:t>168 666</w:t>
            </w:r>
          </w:p>
        </w:tc>
        <w:tc>
          <w:tcPr>
            <w:tcW w:w="1134" w:type="dxa"/>
            <w:tcBorders>
              <w:top w:val="nil"/>
              <w:left w:val="single" w:sz="4" w:space="0" w:color="auto"/>
              <w:bottom w:val="nil"/>
              <w:right w:val="single" w:sz="8" w:space="0" w:color="auto"/>
              <w:tl2br w:val="nil"/>
              <w:tr2bl w:val="nil"/>
            </w:tcBorders>
            <w:tcMar>
              <w:top w:w="15" w:type="dxa"/>
              <w:left w:w="15" w:type="dxa"/>
              <w:bottom w:w="0" w:type="dxa"/>
              <w:right w:w="15" w:type="dxa"/>
            </w:tcMar>
            <w:textDirection w:val="lrTb"/>
            <w:vAlign w:val="center"/>
          </w:tcPr>
          <w:p w:rsidR="00D37034" w:rsidRPr="006810E4" w:rsidP="00FD671F">
            <w:pPr>
              <w:spacing w:line="240" w:lineRule="auto"/>
              <w:jc w:val="right"/>
              <w:rPr>
                <w:rFonts w:ascii="Times New Roman" w:hAnsi="Times New Roman" w:cs="Times New Roman"/>
              </w:rPr>
            </w:pPr>
            <w:r>
              <w:rPr>
                <w:rFonts w:ascii="Times New Roman" w:hAnsi="Times New Roman" w:cs="Times New Roman"/>
              </w:rPr>
              <w:t>74 150</w:t>
            </w:r>
          </w:p>
        </w:tc>
      </w:tr>
      <w:tr>
        <w:tblPrEx>
          <w:tblW w:w="9294" w:type="dxa"/>
          <w:jc w:val="center"/>
          <w:tblCellMar>
            <w:left w:w="0" w:type="dxa"/>
            <w:right w:w="0" w:type="dxa"/>
          </w:tblCellMar>
        </w:tblPrEx>
        <w:trPr>
          <w:trHeight w:hRule="exact" w:val="284"/>
          <w:jc w:val="center"/>
        </w:trPr>
        <w:tc>
          <w:tcPr>
            <w:tcW w:w="335" w:type="dxa"/>
            <w:tcBorders>
              <w:top w:val="nil"/>
              <w:left w:val="single" w:sz="8" w:space="0" w:color="auto"/>
              <w:bottom w:val="single" w:sz="4" w:space="0" w:color="auto"/>
              <w:right w:val="nil"/>
              <w:tl2br w:val="nil"/>
              <w:tr2bl w:val="nil"/>
            </w:tcBorders>
            <w:tcMar>
              <w:top w:w="15" w:type="dxa"/>
              <w:left w:w="15" w:type="dxa"/>
              <w:bottom w:w="0" w:type="dxa"/>
              <w:right w:w="15" w:type="dxa"/>
            </w:tcMar>
            <w:textDirection w:val="lrTb"/>
            <w:vAlign w:val="center"/>
          </w:tcPr>
          <w:p w:rsidR="00D37034" w:rsidRPr="006810E4" w:rsidP="00FD671F">
            <w:pPr>
              <w:spacing w:line="240" w:lineRule="auto"/>
              <w:jc w:val="left"/>
              <w:rPr>
                <w:rFonts w:ascii="Times New Roman" w:hAnsi="Times New Roman" w:cs="Times New Roman"/>
              </w:rPr>
            </w:pPr>
            <w:r w:rsidRPr="006810E4">
              <w:rPr>
                <w:rFonts w:ascii="Times New Roman" w:hAnsi="Times New Roman" w:cs="Times New Roman"/>
              </w:rPr>
              <w:t> </w:t>
            </w:r>
          </w:p>
        </w:tc>
        <w:tc>
          <w:tcPr>
            <w:tcW w:w="2259" w:type="dxa"/>
            <w:tcBorders>
              <w:top w:val="nil"/>
              <w:left w:val="single" w:sz="4" w:space="0" w:color="auto"/>
              <w:bottom w:val="single" w:sz="4" w:space="0" w:color="auto"/>
              <w:right w:val="single" w:sz="4" w:space="0" w:color="auto"/>
              <w:tl2br w:val="nil"/>
              <w:tr2bl w:val="nil"/>
            </w:tcBorders>
            <w:noWrap/>
            <w:tcMar>
              <w:top w:w="15" w:type="dxa"/>
              <w:left w:w="15" w:type="dxa"/>
              <w:bottom w:w="0" w:type="dxa"/>
              <w:right w:w="15" w:type="dxa"/>
            </w:tcMar>
            <w:textDirection w:val="lrTb"/>
            <w:vAlign w:val="center"/>
          </w:tcPr>
          <w:p w:rsidR="00D37034" w:rsidRPr="006810E4" w:rsidP="00FD671F">
            <w:pPr>
              <w:spacing w:line="240" w:lineRule="auto"/>
              <w:jc w:val="left"/>
              <w:rPr>
                <w:rFonts w:ascii="Times New Roman" w:hAnsi="Times New Roman" w:cs="Times New Roman"/>
              </w:rPr>
            </w:pPr>
            <w:r w:rsidRPr="006810E4">
              <w:rPr>
                <w:rFonts w:ascii="Times New Roman" w:hAnsi="Times New Roman" w:cs="Times New Roman"/>
              </w:rPr>
              <w:t>do 90 dní</w:t>
            </w:r>
          </w:p>
        </w:tc>
        <w:tc>
          <w:tcPr>
            <w:tcW w:w="1134" w:type="dxa"/>
            <w:tcBorders>
              <w:top w:val="nil"/>
              <w:left w:val="nil"/>
              <w:bottom w:val="single" w:sz="4" w:space="0" w:color="auto"/>
              <w:right w:val="nil"/>
              <w:tl2br w:val="nil"/>
              <w:tr2bl w:val="nil"/>
            </w:tcBorders>
            <w:tcMar>
              <w:top w:w="15" w:type="dxa"/>
              <w:left w:w="15" w:type="dxa"/>
              <w:bottom w:w="0" w:type="dxa"/>
              <w:right w:w="15" w:type="dxa"/>
            </w:tcMar>
            <w:textDirection w:val="lrTb"/>
            <w:vAlign w:val="center"/>
          </w:tcPr>
          <w:p w:rsidR="00D37034" w:rsidRPr="006810E4" w:rsidP="00FD671F">
            <w:pPr>
              <w:spacing w:line="240" w:lineRule="auto"/>
              <w:jc w:val="right"/>
              <w:rPr>
                <w:rFonts w:ascii="Times New Roman" w:hAnsi="Times New Roman" w:cs="Times New Roman"/>
              </w:rPr>
            </w:pPr>
            <w:r>
              <w:rPr>
                <w:rFonts w:ascii="Times New Roman" w:hAnsi="Times New Roman" w:cs="Times New Roman"/>
              </w:rPr>
              <w:t>16 818</w:t>
            </w:r>
          </w:p>
        </w:tc>
        <w:tc>
          <w:tcPr>
            <w:tcW w:w="1134" w:type="dxa"/>
            <w:tcBorders>
              <w:top w:val="nil"/>
              <w:left w:val="single" w:sz="4" w:space="0" w:color="auto"/>
              <w:bottom w:val="single" w:sz="4" w:space="0" w:color="auto"/>
              <w:right w:val="nil"/>
              <w:tl2br w:val="nil"/>
              <w:tr2bl w:val="nil"/>
            </w:tcBorders>
            <w:tcMar>
              <w:top w:w="15" w:type="dxa"/>
              <w:left w:w="15" w:type="dxa"/>
              <w:bottom w:w="0" w:type="dxa"/>
              <w:right w:w="15" w:type="dxa"/>
            </w:tcMar>
            <w:textDirection w:val="lrTb"/>
            <w:vAlign w:val="center"/>
          </w:tcPr>
          <w:p w:rsidR="00D37034" w:rsidRPr="006810E4" w:rsidP="00FD671F">
            <w:pPr>
              <w:spacing w:line="240" w:lineRule="auto"/>
              <w:jc w:val="right"/>
              <w:rPr>
                <w:rFonts w:ascii="Times New Roman" w:hAnsi="Times New Roman" w:cs="Times New Roman"/>
              </w:rPr>
            </w:pPr>
            <w:r>
              <w:rPr>
                <w:rFonts w:ascii="Times New Roman" w:hAnsi="Times New Roman" w:cs="Times New Roman"/>
              </w:rPr>
              <w:t>23 467</w:t>
            </w:r>
          </w:p>
        </w:tc>
        <w:tc>
          <w:tcPr>
            <w:tcW w:w="1134" w:type="dxa"/>
            <w:tcBorders>
              <w:top w:val="nil"/>
              <w:left w:val="single" w:sz="4" w:space="0" w:color="auto"/>
              <w:bottom w:val="nil"/>
              <w:right w:val="nil"/>
              <w:tl2br w:val="nil"/>
              <w:tr2bl w:val="nil"/>
            </w:tcBorders>
            <w:tcMar>
              <w:top w:w="15" w:type="dxa"/>
              <w:left w:w="15" w:type="dxa"/>
              <w:bottom w:w="0" w:type="dxa"/>
              <w:right w:w="15" w:type="dxa"/>
            </w:tcMar>
            <w:textDirection w:val="lrTb"/>
            <w:vAlign w:val="center"/>
          </w:tcPr>
          <w:p w:rsidR="00D37034" w:rsidRPr="006810E4" w:rsidP="00FD671F">
            <w:pPr>
              <w:spacing w:line="240" w:lineRule="auto"/>
              <w:jc w:val="right"/>
              <w:rPr>
                <w:rFonts w:ascii="Times New Roman" w:hAnsi="Times New Roman" w:cs="Times New Roman"/>
              </w:rPr>
            </w:pPr>
            <w:r>
              <w:rPr>
                <w:rFonts w:ascii="Times New Roman" w:hAnsi="Times New Roman" w:cs="Times New Roman"/>
              </w:rPr>
              <w:t>5 844</w:t>
            </w:r>
          </w:p>
        </w:tc>
        <w:tc>
          <w:tcPr>
            <w:tcW w:w="1134" w:type="dxa"/>
            <w:tcBorders>
              <w:top w:val="single" w:sz="4" w:space="0" w:color="auto"/>
              <w:left w:val="single" w:sz="4" w:space="0" w:color="auto"/>
              <w:bottom w:val="single" w:sz="4" w:space="0" w:color="auto"/>
              <w:right w:val="nil"/>
              <w:tl2br w:val="nil"/>
              <w:tr2bl w:val="nil"/>
            </w:tcBorders>
            <w:tcMar>
              <w:top w:w="15" w:type="dxa"/>
              <w:left w:w="15" w:type="dxa"/>
              <w:bottom w:w="0" w:type="dxa"/>
              <w:right w:w="15" w:type="dxa"/>
            </w:tcMar>
            <w:textDirection w:val="lrTb"/>
            <w:vAlign w:val="center"/>
          </w:tcPr>
          <w:p w:rsidR="00D37034" w:rsidRPr="006810E4" w:rsidP="00FD671F">
            <w:pPr>
              <w:spacing w:line="240" w:lineRule="auto"/>
              <w:jc w:val="right"/>
              <w:rPr>
                <w:rFonts w:ascii="Times New Roman" w:hAnsi="Times New Roman" w:cs="Times New Roman"/>
              </w:rPr>
            </w:pPr>
            <w:r>
              <w:rPr>
                <w:rFonts w:ascii="Times New Roman" w:hAnsi="Times New Roman" w:cs="Times New Roman"/>
              </w:rPr>
              <w:t>102 729</w:t>
            </w:r>
          </w:p>
        </w:tc>
        <w:tc>
          <w:tcPr>
            <w:tcW w:w="1134" w:type="dxa"/>
            <w:tcBorders>
              <w:top w:val="single" w:sz="4" w:space="0" w:color="auto"/>
              <w:left w:val="single" w:sz="4" w:space="0" w:color="auto"/>
              <w:bottom w:val="single" w:sz="4" w:space="0" w:color="auto"/>
              <w:right w:val="single" w:sz="8" w:space="0" w:color="auto"/>
              <w:tl2br w:val="nil"/>
              <w:tr2bl w:val="nil"/>
            </w:tcBorders>
            <w:tcMar>
              <w:top w:w="15" w:type="dxa"/>
              <w:left w:w="15" w:type="dxa"/>
              <w:bottom w:w="0" w:type="dxa"/>
              <w:right w:w="15" w:type="dxa"/>
            </w:tcMar>
            <w:textDirection w:val="lrTb"/>
            <w:vAlign w:val="center"/>
          </w:tcPr>
          <w:p w:rsidR="00D37034" w:rsidRPr="006810E4" w:rsidP="00FD671F">
            <w:pPr>
              <w:spacing w:line="240" w:lineRule="auto"/>
              <w:jc w:val="right"/>
              <w:rPr>
                <w:rFonts w:ascii="Times New Roman" w:hAnsi="Times New Roman" w:cs="Times New Roman"/>
              </w:rPr>
            </w:pPr>
            <w:r>
              <w:rPr>
                <w:rFonts w:ascii="Times New Roman" w:hAnsi="Times New Roman" w:cs="Times New Roman"/>
              </w:rPr>
              <w:t>92 262</w:t>
            </w:r>
          </w:p>
        </w:tc>
      </w:tr>
      <w:tr>
        <w:tblPrEx>
          <w:tblW w:w="9294" w:type="dxa"/>
          <w:jc w:val="center"/>
          <w:tblCellMar>
            <w:left w:w="0" w:type="dxa"/>
            <w:right w:w="0" w:type="dxa"/>
          </w:tblCellMar>
        </w:tblPrEx>
        <w:trPr>
          <w:trHeight w:hRule="exact" w:val="284"/>
          <w:jc w:val="center"/>
        </w:trPr>
        <w:tc>
          <w:tcPr>
            <w:tcW w:w="335" w:type="dxa"/>
            <w:tcBorders>
              <w:top w:val="nil"/>
              <w:left w:val="single" w:sz="8" w:space="0" w:color="auto"/>
              <w:bottom w:val="single" w:sz="4" w:space="0" w:color="auto"/>
              <w:right w:val="nil"/>
              <w:tl2br w:val="nil"/>
              <w:tr2bl w:val="nil"/>
            </w:tcBorders>
            <w:tcMar>
              <w:top w:w="15" w:type="dxa"/>
              <w:left w:w="15" w:type="dxa"/>
              <w:bottom w:w="0" w:type="dxa"/>
              <w:right w:w="15" w:type="dxa"/>
            </w:tcMar>
            <w:textDirection w:val="lrTb"/>
            <w:vAlign w:val="center"/>
          </w:tcPr>
          <w:p w:rsidR="00D37034" w:rsidRPr="006810E4" w:rsidP="00FD671F">
            <w:pPr>
              <w:spacing w:line="240" w:lineRule="auto"/>
              <w:jc w:val="left"/>
              <w:rPr>
                <w:rFonts w:ascii="Times New Roman" w:hAnsi="Times New Roman" w:cs="Times New Roman"/>
              </w:rPr>
            </w:pPr>
            <w:r w:rsidRPr="006810E4">
              <w:rPr>
                <w:rFonts w:ascii="Times New Roman" w:hAnsi="Times New Roman" w:cs="Times New Roman"/>
              </w:rPr>
              <w:t> </w:t>
            </w:r>
          </w:p>
        </w:tc>
        <w:tc>
          <w:tcPr>
            <w:tcW w:w="2259" w:type="dxa"/>
            <w:tcBorders>
              <w:top w:val="nil"/>
              <w:left w:val="single" w:sz="4" w:space="0" w:color="auto"/>
              <w:bottom w:val="single" w:sz="4" w:space="0" w:color="auto"/>
              <w:right w:val="single" w:sz="4" w:space="0" w:color="auto"/>
              <w:tl2br w:val="nil"/>
              <w:tr2bl w:val="nil"/>
            </w:tcBorders>
            <w:noWrap/>
            <w:tcMar>
              <w:top w:w="15" w:type="dxa"/>
              <w:left w:w="15" w:type="dxa"/>
              <w:bottom w:w="0" w:type="dxa"/>
              <w:right w:w="15" w:type="dxa"/>
            </w:tcMar>
            <w:textDirection w:val="lrTb"/>
            <w:vAlign w:val="center"/>
          </w:tcPr>
          <w:p w:rsidR="00D37034" w:rsidRPr="006810E4" w:rsidP="00FD671F">
            <w:pPr>
              <w:spacing w:line="240" w:lineRule="auto"/>
              <w:jc w:val="left"/>
              <w:rPr>
                <w:rFonts w:ascii="Times New Roman" w:hAnsi="Times New Roman" w:cs="Times New Roman"/>
              </w:rPr>
            </w:pPr>
            <w:r w:rsidRPr="006810E4">
              <w:rPr>
                <w:rFonts w:ascii="Times New Roman" w:hAnsi="Times New Roman" w:cs="Times New Roman"/>
              </w:rPr>
              <w:t>do 120 dní</w:t>
            </w:r>
          </w:p>
        </w:tc>
        <w:tc>
          <w:tcPr>
            <w:tcW w:w="1134" w:type="dxa"/>
            <w:tcBorders>
              <w:top w:val="nil"/>
              <w:left w:val="nil"/>
              <w:bottom w:val="single" w:sz="4" w:space="0" w:color="auto"/>
              <w:right w:val="nil"/>
              <w:tl2br w:val="nil"/>
              <w:tr2bl w:val="nil"/>
            </w:tcBorders>
            <w:tcMar>
              <w:top w:w="15" w:type="dxa"/>
              <w:left w:w="15" w:type="dxa"/>
              <w:bottom w:w="0" w:type="dxa"/>
              <w:right w:w="15" w:type="dxa"/>
            </w:tcMar>
            <w:textDirection w:val="lrTb"/>
            <w:vAlign w:val="center"/>
          </w:tcPr>
          <w:p w:rsidR="00D37034" w:rsidRPr="006810E4" w:rsidP="00FD671F">
            <w:pPr>
              <w:spacing w:line="240" w:lineRule="auto"/>
              <w:jc w:val="right"/>
              <w:rPr>
                <w:rFonts w:ascii="Times New Roman" w:hAnsi="Times New Roman" w:cs="Times New Roman"/>
              </w:rPr>
            </w:pPr>
            <w:r>
              <w:rPr>
                <w:rFonts w:ascii="Times New Roman" w:hAnsi="Times New Roman" w:cs="Times New Roman"/>
              </w:rPr>
              <w:t>14 202</w:t>
            </w:r>
          </w:p>
        </w:tc>
        <w:tc>
          <w:tcPr>
            <w:tcW w:w="1134" w:type="dxa"/>
            <w:tcBorders>
              <w:top w:val="nil"/>
              <w:left w:val="single" w:sz="4" w:space="0" w:color="auto"/>
              <w:bottom w:val="single" w:sz="4" w:space="0" w:color="auto"/>
              <w:right w:val="nil"/>
              <w:tl2br w:val="nil"/>
              <w:tr2bl w:val="nil"/>
            </w:tcBorders>
            <w:tcMar>
              <w:top w:w="15" w:type="dxa"/>
              <w:left w:w="15" w:type="dxa"/>
              <w:bottom w:w="0" w:type="dxa"/>
              <w:right w:w="15" w:type="dxa"/>
            </w:tcMar>
            <w:textDirection w:val="lrTb"/>
            <w:vAlign w:val="center"/>
          </w:tcPr>
          <w:p w:rsidR="00D37034" w:rsidRPr="006810E4" w:rsidP="00FD671F">
            <w:pPr>
              <w:spacing w:line="240" w:lineRule="auto"/>
              <w:jc w:val="right"/>
              <w:rPr>
                <w:rFonts w:ascii="Times New Roman" w:hAnsi="Times New Roman" w:cs="Times New Roman"/>
              </w:rPr>
            </w:pPr>
            <w:r>
              <w:rPr>
                <w:rFonts w:ascii="Times New Roman" w:hAnsi="Times New Roman" w:cs="Times New Roman"/>
              </w:rPr>
              <w:t>15 419</w:t>
            </w:r>
          </w:p>
        </w:tc>
        <w:tc>
          <w:tcPr>
            <w:tcW w:w="1134" w:type="dxa"/>
            <w:tcBorders>
              <w:top w:val="single" w:sz="4" w:space="0" w:color="auto"/>
              <w:left w:val="single" w:sz="4" w:space="0" w:color="auto"/>
              <w:bottom w:val="single" w:sz="4" w:space="0" w:color="auto"/>
              <w:right w:val="nil"/>
              <w:tl2br w:val="nil"/>
              <w:tr2bl w:val="nil"/>
            </w:tcBorders>
            <w:tcMar>
              <w:top w:w="15" w:type="dxa"/>
              <w:left w:w="15" w:type="dxa"/>
              <w:bottom w:w="0" w:type="dxa"/>
              <w:right w:w="15" w:type="dxa"/>
            </w:tcMar>
            <w:textDirection w:val="lrTb"/>
            <w:vAlign w:val="center"/>
          </w:tcPr>
          <w:p w:rsidR="00D37034" w:rsidRPr="006810E4" w:rsidP="00FD671F">
            <w:pPr>
              <w:spacing w:line="240" w:lineRule="auto"/>
              <w:jc w:val="right"/>
              <w:rPr>
                <w:rFonts w:ascii="Times New Roman" w:hAnsi="Times New Roman" w:cs="Times New Roman"/>
              </w:rPr>
            </w:pPr>
            <w:r>
              <w:rPr>
                <w:rFonts w:ascii="Times New Roman" w:hAnsi="Times New Roman" w:cs="Times New Roman"/>
              </w:rPr>
              <w:t>54 385</w:t>
            </w:r>
          </w:p>
        </w:tc>
        <w:tc>
          <w:tcPr>
            <w:tcW w:w="1134" w:type="dxa"/>
            <w:tcBorders>
              <w:top w:val="nil"/>
              <w:left w:val="single" w:sz="4" w:space="0" w:color="auto"/>
              <w:bottom w:val="nil"/>
              <w:right w:val="nil"/>
              <w:tl2br w:val="nil"/>
              <w:tr2bl w:val="nil"/>
            </w:tcBorders>
            <w:tcMar>
              <w:top w:w="15" w:type="dxa"/>
              <w:left w:w="15" w:type="dxa"/>
              <w:bottom w:w="0" w:type="dxa"/>
              <w:right w:w="15" w:type="dxa"/>
            </w:tcMar>
            <w:textDirection w:val="lrTb"/>
            <w:vAlign w:val="center"/>
          </w:tcPr>
          <w:p w:rsidR="00D37034" w:rsidRPr="006810E4" w:rsidP="00FD671F">
            <w:pPr>
              <w:spacing w:line="240" w:lineRule="auto"/>
              <w:jc w:val="right"/>
              <w:rPr>
                <w:rFonts w:ascii="Times New Roman" w:hAnsi="Times New Roman" w:cs="Times New Roman"/>
              </w:rPr>
            </w:pPr>
            <w:r>
              <w:rPr>
                <w:rFonts w:ascii="Times New Roman" w:hAnsi="Times New Roman" w:cs="Times New Roman"/>
              </w:rPr>
              <w:t>4 320</w:t>
            </w:r>
          </w:p>
        </w:tc>
        <w:tc>
          <w:tcPr>
            <w:tcW w:w="1134" w:type="dxa"/>
            <w:tcBorders>
              <w:top w:val="nil"/>
              <w:left w:val="single" w:sz="4" w:space="0" w:color="auto"/>
              <w:bottom w:val="nil"/>
              <w:right w:val="single" w:sz="8" w:space="0" w:color="auto"/>
              <w:tl2br w:val="nil"/>
              <w:tr2bl w:val="nil"/>
            </w:tcBorders>
            <w:tcMar>
              <w:top w:w="15" w:type="dxa"/>
              <w:left w:w="15" w:type="dxa"/>
              <w:bottom w:w="0" w:type="dxa"/>
              <w:right w:w="15" w:type="dxa"/>
            </w:tcMar>
            <w:textDirection w:val="lrTb"/>
            <w:vAlign w:val="center"/>
          </w:tcPr>
          <w:p w:rsidR="00D37034" w:rsidRPr="006810E4" w:rsidP="00FD671F">
            <w:pPr>
              <w:spacing w:line="240" w:lineRule="auto"/>
              <w:jc w:val="right"/>
              <w:rPr>
                <w:rFonts w:ascii="Times New Roman" w:hAnsi="Times New Roman" w:cs="Times New Roman"/>
              </w:rPr>
            </w:pPr>
            <w:r>
              <w:rPr>
                <w:rFonts w:ascii="Times New Roman" w:hAnsi="Times New Roman" w:cs="Times New Roman"/>
              </w:rPr>
              <w:t>67 613</w:t>
            </w:r>
          </w:p>
        </w:tc>
      </w:tr>
      <w:tr>
        <w:tblPrEx>
          <w:tblW w:w="9294" w:type="dxa"/>
          <w:jc w:val="center"/>
          <w:tblCellMar>
            <w:left w:w="0" w:type="dxa"/>
            <w:right w:w="0" w:type="dxa"/>
          </w:tblCellMar>
        </w:tblPrEx>
        <w:trPr>
          <w:trHeight w:hRule="exact" w:val="284"/>
          <w:jc w:val="center"/>
        </w:trPr>
        <w:tc>
          <w:tcPr>
            <w:tcW w:w="335" w:type="dxa"/>
            <w:tcBorders>
              <w:top w:val="nil"/>
              <w:left w:val="single" w:sz="8" w:space="0" w:color="auto"/>
              <w:bottom w:val="single" w:sz="4" w:space="0" w:color="auto"/>
              <w:right w:val="nil"/>
              <w:tl2br w:val="nil"/>
              <w:tr2bl w:val="nil"/>
            </w:tcBorders>
            <w:tcMar>
              <w:top w:w="15" w:type="dxa"/>
              <w:left w:w="15" w:type="dxa"/>
              <w:bottom w:w="0" w:type="dxa"/>
              <w:right w:w="15" w:type="dxa"/>
            </w:tcMar>
            <w:textDirection w:val="lrTb"/>
            <w:vAlign w:val="center"/>
          </w:tcPr>
          <w:p w:rsidR="00D37034" w:rsidRPr="006810E4" w:rsidP="00FD671F">
            <w:pPr>
              <w:spacing w:line="240" w:lineRule="auto"/>
              <w:jc w:val="left"/>
              <w:rPr>
                <w:rFonts w:ascii="Times New Roman" w:hAnsi="Times New Roman" w:cs="Times New Roman"/>
              </w:rPr>
            </w:pPr>
            <w:r w:rsidRPr="006810E4">
              <w:rPr>
                <w:rFonts w:ascii="Times New Roman" w:hAnsi="Times New Roman" w:cs="Times New Roman"/>
              </w:rPr>
              <w:t> </w:t>
            </w:r>
          </w:p>
        </w:tc>
        <w:tc>
          <w:tcPr>
            <w:tcW w:w="2259" w:type="dxa"/>
            <w:tcBorders>
              <w:top w:val="nil"/>
              <w:left w:val="single" w:sz="4" w:space="0" w:color="auto"/>
              <w:bottom w:val="single" w:sz="4" w:space="0" w:color="auto"/>
              <w:right w:val="single" w:sz="4" w:space="0" w:color="auto"/>
              <w:tl2br w:val="nil"/>
              <w:tr2bl w:val="nil"/>
            </w:tcBorders>
            <w:noWrap/>
            <w:tcMar>
              <w:top w:w="15" w:type="dxa"/>
              <w:left w:w="15" w:type="dxa"/>
              <w:bottom w:w="0" w:type="dxa"/>
              <w:right w:w="15" w:type="dxa"/>
            </w:tcMar>
            <w:textDirection w:val="lrTb"/>
            <w:vAlign w:val="center"/>
          </w:tcPr>
          <w:p w:rsidR="00D37034" w:rsidRPr="006810E4" w:rsidP="00FD671F">
            <w:pPr>
              <w:spacing w:line="240" w:lineRule="auto"/>
              <w:jc w:val="left"/>
              <w:rPr>
                <w:rFonts w:ascii="Times New Roman" w:hAnsi="Times New Roman" w:cs="Times New Roman"/>
              </w:rPr>
            </w:pPr>
            <w:r w:rsidRPr="006810E4">
              <w:rPr>
                <w:rFonts w:ascii="Times New Roman" w:hAnsi="Times New Roman" w:cs="Times New Roman"/>
              </w:rPr>
              <w:t>do 180 dní</w:t>
            </w:r>
          </w:p>
        </w:tc>
        <w:tc>
          <w:tcPr>
            <w:tcW w:w="1134" w:type="dxa"/>
            <w:tcBorders>
              <w:top w:val="nil"/>
              <w:left w:val="nil"/>
              <w:bottom w:val="single" w:sz="4" w:space="0" w:color="auto"/>
              <w:right w:val="nil"/>
              <w:tl2br w:val="nil"/>
              <w:tr2bl w:val="nil"/>
            </w:tcBorders>
            <w:noWrap/>
            <w:tcMar>
              <w:top w:w="15" w:type="dxa"/>
              <w:left w:w="15" w:type="dxa"/>
              <w:bottom w:w="0" w:type="dxa"/>
              <w:right w:w="15" w:type="dxa"/>
            </w:tcMar>
            <w:textDirection w:val="lrTb"/>
            <w:vAlign w:val="center"/>
          </w:tcPr>
          <w:p w:rsidR="00D37034" w:rsidRPr="006810E4" w:rsidP="00FD671F">
            <w:pPr>
              <w:spacing w:line="240" w:lineRule="auto"/>
              <w:jc w:val="right"/>
              <w:rPr>
                <w:rFonts w:ascii="Times New Roman" w:hAnsi="Times New Roman" w:cs="Times New Roman"/>
              </w:rPr>
            </w:pPr>
            <w:r>
              <w:rPr>
                <w:rFonts w:ascii="Times New Roman" w:hAnsi="Times New Roman" w:cs="Times New Roman"/>
              </w:rPr>
              <w:t>12 987</w:t>
            </w:r>
          </w:p>
        </w:tc>
        <w:tc>
          <w:tcPr>
            <w:tcW w:w="1134" w:type="dxa"/>
            <w:tcBorders>
              <w:top w:val="nil"/>
              <w:left w:val="single" w:sz="4" w:space="0" w:color="auto"/>
              <w:bottom w:val="single" w:sz="4" w:space="0" w:color="auto"/>
              <w:right w:val="nil"/>
              <w:tl2br w:val="nil"/>
              <w:tr2bl w:val="nil"/>
            </w:tcBorders>
            <w:noWrap/>
            <w:tcMar>
              <w:top w:w="15" w:type="dxa"/>
              <w:left w:w="15" w:type="dxa"/>
              <w:bottom w:w="0" w:type="dxa"/>
              <w:right w:w="15" w:type="dxa"/>
            </w:tcMar>
            <w:textDirection w:val="lrTb"/>
            <w:vAlign w:val="center"/>
          </w:tcPr>
          <w:p w:rsidR="00D37034" w:rsidRPr="006810E4" w:rsidP="00FD671F">
            <w:pPr>
              <w:spacing w:line="240" w:lineRule="auto"/>
              <w:jc w:val="right"/>
              <w:rPr>
                <w:rFonts w:ascii="Times New Roman" w:hAnsi="Times New Roman" w:cs="Times New Roman"/>
              </w:rPr>
            </w:pPr>
            <w:r>
              <w:rPr>
                <w:rFonts w:ascii="Times New Roman" w:hAnsi="Times New Roman" w:cs="Times New Roman"/>
              </w:rPr>
              <w:t>18 240</w:t>
            </w:r>
          </w:p>
        </w:tc>
        <w:tc>
          <w:tcPr>
            <w:tcW w:w="1134" w:type="dxa"/>
            <w:tcBorders>
              <w:top w:val="nil"/>
              <w:left w:val="single" w:sz="4" w:space="0" w:color="auto"/>
              <w:bottom w:val="nil"/>
              <w:right w:val="nil"/>
              <w:tl2br w:val="nil"/>
              <w:tr2bl w:val="nil"/>
            </w:tcBorders>
            <w:noWrap/>
            <w:tcMar>
              <w:top w:w="15" w:type="dxa"/>
              <w:left w:w="15" w:type="dxa"/>
              <w:bottom w:w="0" w:type="dxa"/>
              <w:right w:w="15" w:type="dxa"/>
            </w:tcMar>
            <w:textDirection w:val="lrTb"/>
            <w:vAlign w:val="center"/>
          </w:tcPr>
          <w:p w:rsidR="00D37034" w:rsidRPr="006810E4" w:rsidP="00FD671F">
            <w:pPr>
              <w:spacing w:line="240" w:lineRule="auto"/>
              <w:jc w:val="right"/>
              <w:rPr>
                <w:rFonts w:ascii="Times New Roman" w:hAnsi="Times New Roman" w:cs="Times New Roman"/>
              </w:rPr>
            </w:pPr>
            <w:r>
              <w:rPr>
                <w:rFonts w:ascii="Times New Roman" w:hAnsi="Times New Roman" w:cs="Times New Roman"/>
              </w:rPr>
              <w:t>22 596</w:t>
            </w:r>
          </w:p>
        </w:tc>
        <w:tc>
          <w:tcPr>
            <w:tcW w:w="1134" w:type="dxa"/>
            <w:tcBorders>
              <w:top w:val="single" w:sz="4" w:space="0" w:color="auto"/>
              <w:left w:val="single" w:sz="4" w:space="0" w:color="auto"/>
              <w:bottom w:val="single" w:sz="4" w:space="0" w:color="auto"/>
              <w:right w:val="nil"/>
              <w:tl2br w:val="nil"/>
              <w:tr2bl w:val="nil"/>
            </w:tcBorders>
            <w:noWrap/>
            <w:tcMar>
              <w:top w:w="15" w:type="dxa"/>
              <w:left w:w="15" w:type="dxa"/>
              <w:bottom w:w="0" w:type="dxa"/>
              <w:right w:w="15" w:type="dxa"/>
            </w:tcMar>
            <w:textDirection w:val="lrTb"/>
            <w:vAlign w:val="center"/>
          </w:tcPr>
          <w:p w:rsidR="00D37034" w:rsidRPr="006810E4" w:rsidP="00FD671F">
            <w:pPr>
              <w:spacing w:line="240" w:lineRule="auto"/>
              <w:jc w:val="right"/>
              <w:rPr>
                <w:rFonts w:ascii="Times New Roman" w:hAnsi="Times New Roman" w:cs="Times New Roman"/>
              </w:rPr>
            </w:pPr>
            <w:r>
              <w:rPr>
                <w:rFonts w:ascii="Times New Roman" w:hAnsi="Times New Roman" w:cs="Times New Roman"/>
              </w:rPr>
              <w:t>12 007</w:t>
            </w:r>
          </w:p>
        </w:tc>
        <w:tc>
          <w:tcPr>
            <w:tcW w:w="1134" w:type="dxa"/>
            <w:tcBorders>
              <w:top w:val="single" w:sz="4" w:space="0" w:color="auto"/>
              <w:left w:val="single" w:sz="4" w:space="0" w:color="auto"/>
              <w:bottom w:val="single" w:sz="4" w:space="0" w:color="auto"/>
              <w:right w:val="single" w:sz="8" w:space="0" w:color="auto"/>
              <w:tl2br w:val="nil"/>
              <w:tr2bl w:val="nil"/>
            </w:tcBorders>
            <w:noWrap/>
            <w:tcMar>
              <w:top w:w="15" w:type="dxa"/>
              <w:left w:w="15" w:type="dxa"/>
              <w:bottom w:w="0" w:type="dxa"/>
              <w:right w:w="15" w:type="dxa"/>
            </w:tcMar>
            <w:textDirection w:val="lrTb"/>
            <w:vAlign w:val="center"/>
          </w:tcPr>
          <w:p w:rsidR="00D37034" w:rsidRPr="006810E4" w:rsidP="00FD671F">
            <w:pPr>
              <w:spacing w:line="240" w:lineRule="auto"/>
              <w:jc w:val="right"/>
              <w:rPr>
                <w:rFonts w:ascii="Times New Roman" w:hAnsi="Times New Roman" w:cs="Times New Roman"/>
              </w:rPr>
            </w:pPr>
            <w:r>
              <w:rPr>
                <w:rFonts w:ascii="Times New Roman" w:hAnsi="Times New Roman" w:cs="Times New Roman"/>
              </w:rPr>
              <w:t>127 417</w:t>
            </w:r>
          </w:p>
        </w:tc>
      </w:tr>
      <w:tr>
        <w:tblPrEx>
          <w:tblW w:w="9294" w:type="dxa"/>
          <w:jc w:val="center"/>
          <w:tblCellMar>
            <w:left w:w="0" w:type="dxa"/>
            <w:right w:w="0" w:type="dxa"/>
          </w:tblCellMar>
        </w:tblPrEx>
        <w:trPr>
          <w:trHeight w:hRule="exact" w:val="284"/>
          <w:jc w:val="center"/>
        </w:trPr>
        <w:tc>
          <w:tcPr>
            <w:tcW w:w="335" w:type="dxa"/>
            <w:tcBorders>
              <w:top w:val="nil"/>
              <w:left w:val="single" w:sz="8" w:space="0" w:color="auto"/>
              <w:bottom w:val="single" w:sz="4" w:space="0" w:color="auto"/>
              <w:right w:val="nil"/>
              <w:tl2br w:val="nil"/>
              <w:tr2bl w:val="nil"/>
            </w:tcBorders>
            <w:tcMar>
              <w:top w:w="15" w:type="dxa"/>
              <w:left w:w="15" w:type="dxa"/>
              <w:bottom w:w="0" w:type="dxa"/>
              <w:right w:w="15" w:type="dxa"/>
            </w:tcMar>
            <w:textDirection w:val="lrTb"/>
            <w:vAlign w:val="center"/>
          </w:tcPr>
          <w:p w:rsidR="00D37034" w:rsidRPr="006810E4" w:rsidP="00FD671F">
            <w:pPr>
              <w:spacing w:line="240" w:lineRule="auto"/>
              <w:jc w:val="left"/>
              <w:rPr>
                <w:rFonts w:ascii="Times New Roman" w:hAnsi="Times New Roman" w:cs="Times New Roman"/>
              </w:rPr>
            </w:pPr>
            <w:r w:rsidRPr="006810E4">
              <w:rPr>
                <w:rFonts w:ascii="Times New Roman" w:hAnsi="Times New Roman" w:cs="Times New Roman"/>
              </w:rPr>
              <w:t> </w:t>
            </w:r>
          </w:p>
        </w:tc>
        <w:tc>
          <w:tcPr>
            <w:tcW w:w="2259" w:type="dxa"/>
            <w:tcBorders>
              <w:top w:val="nil"/>
              <w:left w:val="single" w:sz="4" w:space="0" w:color="auto"/>
              <w:bottom w:val="single" w:sz="4" w:space="0" w:color="auto"/>
              <w:right w:val="single" w:sz="4" w:space="0" w:color="auto"/>
              <w:tl2br w:val="nil"/>
              <w:tr2bl w:val="nil"/>
            </w:tcBorders>
            <w:noWrap/>
            <w:tcMar>
              <w:top w:w="15" w:type="dxa"/>
              <w:left w:w="15" w:type="dxa"/>
              <w:bottom w:w="0" w:type="dxa"/>
              <w:right w:w="15" w:type="dxa"/>
            </w:tcMar>
            <w:textDirection w:val="lrTb"/>
            <w:vAlign w:val="center"/>
          </w:tcPr>
          <w:p w:rsidR="00D37034" w:rsidRPr="006810E4" w:rsidP="00FD671F">
            <w:pPr>
              <w:spacing w:line="240" w:lineRule="auto"/>
              <w:jc w:val="left"/>
              <w:rPr>
                <w:rFonts w:ascii="Times New Roman" w:hAnsi="Times New Roman" w:cs="Times New Roman"/>
              </w:rPr>
            </w:pPr>
            <w:r w:rsidRPr="006810E4">
              <w:rPr>
                <w:rFonts w:ascii="Times New Roman" w:hAnsi="Times New Roman" w:cs="Times New Roman"/>
              </w:rPr>
              <w:t>do 360 dní</w:t>
            </w:r>
          </w:p>
        </w:tc>
        <w:tc>
          <w:tcPr>
            <w:tcW w:w="1134" w:type="dxa"/>
            <w:tcBorders>
              <w:top w:val="nil"/>
              <w:left w:val="nil"/>
              <w:bottom w:val="single" w:sz="4" w:space="0" w:color="auto"/>
              <w:right w:val="nil"/>
              <w:tl2br w:val="nil"/>
              <w:tr2bl w:val="nil"/>
            </w:tcBorders>
            <w:noWrap/>
            <w:tcMar>
              <w:top w:w="15" w:type="dxa"/>
              <w:left w:w="15" w:type="dxa"/>
              <w:bottom w:w="0" w:type="dxa"/>
              <w:right w:w="15" w:type="dxa"/>
            </w:tcMar>
            <w:textDirection w:val="lrTb"/>
            <w:vAlign w:val="center"/>
          </w:tcPr>
          <w:p w:rsidR="00D37034" w:rsidRPr="006810E4" w:rsidP="00FD671F">
            <w:pPr>
              <w:spacing w:line="240" w:lineRule="auto"/>
              <w:jc w:val="right"/>
              <w:rPr>
                <w:rFonts w:ascii="Times New Roman" w:hAnsi="Times New Roman" w:cs="Times New Roman"/>
              </w:rPr>
            </w:pPr>
            <w:r>
              <w:rPr>
                <w:rFonts w:ascii="Times New Roman" w:hAnsi="Times New Roman" w:cs="Times New Roman"/>
              </w:rPr>
              <w:t>93 739</w:t>
            </w:r>
          </w:p>
        </w:tc>
        <w:tc>
          <w:tcPr>
            <w:tcW w:w="1134" w:type="dxa"/>
            <w:tcBorders>
              <w:top w:val="nil"/>
              <w:left w:val="single" w:sz="4" w:space="0" w:color="auto"/>
              <w:bottom w:val="single" w:sz="4" w:space="0" w:color="auto"/>
              <w:right w:val="nil"/>
              <w:tl2br w:val="nil"/>
              <w:tr2bl w:val="nil"/>
            </w:tcBorders>
            <w:noWrap/>
            <w:tcMar>
              <w:top w:w="15" w:type="dxa"/>
              <w:left w:w="15" w:type="dxa"/>
              <w:bottom w:w="0" w:type="dxa"/>
              <w:right w:w="15" w:type="dxa"/>
            </w:tcMar>
            <w:textDirection w:val="lrTb"/>
            <w:vAlign w:val="center"/>
          </w:tcPr>
          <w:p w:rsidR="00D37034" w:rsidRPr="006810E4" w:rsidP="00FD671F">
            <w:pPr>
              <w:spacing w:line="240" w:lineRule="auto"/>
              <w:jc w:val="right"/>
              <w:rPr>
                <w:rFonts w:ascii="Times New Roman" w:hAnsi="Times New Roman" w:cs="Times New Roman"/>
              </w:rPr>
            </w:pPr>
            <w:r>
              <w:rPr>
                <w:rFonts w:ascii="Times New Roman" w:hAnsi="Times New Roman" w:cs="Times New Roman"/>
              </w:rPr>
              <w:t>19 019</w:t>
            </w:r>
          </w:p>
        </w:tc>
        <w:tc>
          <w:tcPr>
            <w:tcW w:w="1134" w:type="dxa"/>
            <w:tcBorders>
              <w:top w:val="single" w:sz="4" w:space="0" w:color="auto"/>
              <w:left w:val="single" w:sz="4" w:space="0" w:color="auto"/>
              <w:bottom w:val="single" w:sz="4" w:space="0" w:color="auto"/>
              <w:right w:val="nil"/>
              <w:tl2br w:val="nil"/>
              <w:tr2bl w:val="nil"/>
            </w:tcBorders>
            <w:noWrap/>
            <w:tcMar>
              <w:top w:w="15" w:type="dxa"/>
              <w:left w:w="15" w:type="dxa"/>
              <w:bottom w:w="0" w:type="dxa"/>
              <w:right w:w="15" w:type="dxa"/>
            </w:tcMar>
            <w:textDirection w:val="lrTb"/>
            <w:vAlign w:val="center"/>
          </w:tcPr>
          <w:p w:rsidR="00D37034" w:rsidRPr="006810E4" w:rsidP="00FD671F">
            <w:pPr>
              <w:spacing w:line="240" w:lineRule="auto"/>
              <w:jc w:val="right"/>
              <w:rPr>
                <w:rFonts w:ascii="Times New Roman" w:hAnsi="Times New Roman" w:cs="Times New Roman"/>
              </w:rPr>
            </w:pPr>
            <w:r>
              <w:rPr>
                <w:rFonts w:ascii="Times New Roman" w:hAnsi="Times New Roman" w:cs="Times New Roman"/>
              </w:rPr>
              <w:t>20 386</w:t>
            </w:r>
          </w:p>
        </w:tc>
        <w:tc>
          <w:tcPr>
            <w:tcW w:w="1134" w:type="dxa"/>
            <w:tcBorders>
              <w:top w:val="nil"/>
              <w:left w:val="single" w:sz="4" w:space="0" w:color="auto"/>
              <w:bottom w:val="nil"/>
              <w:right w:val="nil"/>
              <w:tl2br w:val="nil"/>
              <w:tr2bl w:val="nil"/>
            </w:tcBorders>
            <w:noWrap/>
            <w:tcMar>
              <w:top w:w="15" w:type="dxa"/>
              <w:left w:w="15" w:type="dxa"/>
              <w:bottom w:w="0" w:type="dxa"/>
              <w:right w:w="15" w:type="dxa"/>
            </w:tcMar>
            <w:textDirection w:val="lrTb"/>
            <w:vAlign w:val="center"/>
          </w:tcPr>
          <w:p w:rsidR="00D37034" w:rsidRPr="006810E4" w:rsidP="00FD671F">
            <w:pPr>
              <w:spacing w:line="240" w:lineRule="auto"/>
              <w:jc w:val="right"/>
              <w:rPr>
                <w:rFonts w:ascii="Times New Roman" w:hAnsi="Times New Roman" w:cs="Times New Roman"/>
              </w:rPr>
            </w:pPr>
            <w:r>
              <w:rPr>
                <w:rFonts w:ascii="Times New Roman" w:hAnsi="Times New Roman" w:cs="Times New Roman"/>
              </w:rPr>
              <w:t>64 419</w:t>
            </w:r>
          </w:p>
        </w:tc>
        <w:tc>
          <w:tcPr>
            <w:tcW w:w="1134" w:type="dxa"/>
            <w:tcBorders>
              <w:top w:val="nil"/>
              <w:left w:val="single" w:sz="4" w:space="0" w:color="auto"/>
              <w:bottom w:val="nil"/>
              <w:right w:val="single" w:sz="8" w:space="0" w:color="auto"/>
              <w:tl2br w:val="nil"/>
              <w:tr2bl w:val="nil"/>
            </w:tcBorders>
            <w:noWrap/>
            <w:tcMar>
              <w:top w:w="15" w:type="dxa"/>
              <w:left w:w="15" w:type="dxa"/>
              <w:bottom w:w="0" w:type="dxa"/>
              <w:right w:w="15" w:type="dxa"/>
            </w:tcMar>
            <w:textDirection w:val="lrTb"/>
            <w:vAlign w:val="center"/>
          </w:tcPr>
          <w:p w:rsidR="00D37034" w:rsidRPr="006810E4" w:rsidP="00FD671F">
            <w:pPr>
              <w:spacing w:line="240" w:lineRule="auto"/>
              <w:jc w:val="right"/>
              <w:rPr>
                <w:rFonts w:ascii="Times New Roman" w:hAnsi="Times New Roman" w:cs="Times New Roman"/>
              </w:rPr>
            </w:pPr>
            <w:r>
              <w:rPr>
                <w:rFonts w:ascii="Times New Roman" w:hAnsi="Times New Roman" w:cs="Times New Roman"/>
              </w:rPr>
              <w:t>57 880</w:t>
            </w:r>
          </w:p>
        </w:tc>
      </w:tr>
      <w:tr>
        <w:tblPrEx>
          <w:tblW w:w="9294" w:type="dxa"/>
          <w:jc w:val="center"/>
          <w:tblCellMar>
            <w:left w:w="0" w:type="dxa"/>
            <w:right w:w="0" w:type="dxa"/>
          </w:tblCellMar>
        </w:tblPrEx>
        <w:trPr>
          <w:trHeight w:hRule="exact" w:val="284"/>
          <w:jc w:val="center"/>
        </w:trPr>
        <w:tc>
          <w:tcPr>
            <w:tcW w:w="335" w:type="dxa"/>
            <w:tcBorders>
              <w:top w:val="nil"/>
              <w:left w:val="single" w:sz="8" w:space="0" w:color="auto"/>
              <w:bottom w:val="single" w:sz="4" w:space="0" w:color="auto"/>
              <w:right w:val="nil"/>
              <w:tl2br w:val="nil"/>
              <w:tr2bl w:val="nil"/>
            </w:tcBorders>
            <w:noWrap/>
            <w:tcMar>
              <w:top w:w="15" w:type="dxa"/>
              <w:left w:w="15" w:type="dxa"/>
              <w:bottom w:w="0" w:type="dxa"/>
              <w:right w:w="15" w:type="dxa"/>
            </w:tcMar>
            <w:textDirection w:val="lrTb"/>
            <w:vAlign w:val="center"/>
          </w:tcPr>
          <w:p w:rsidR="00D37034" w:rsidRPr="006810E4" w:rsidP="00FD671F">
            <w:pPr>
              <w:spacing w:line="240" w:lineRule="auto"/>
              <w:jc w:val="left"/>
              <w:rPr>
                <w:rFonts w:ascii="Times New Roman" w:hAnsi="Times New Roman" w:cs="Times New Roman"/>
              </w:rPr>
            </w:pPr>
            <w:r w:rsidRPr="006810E4">
              <w:rPr>
                <w:rFonts w:ascii="Times New Roman" w:hAnsi="Times New Roman" w:cs="Times New Roman"/>
              </w:rPr>
              <w:t> </w:t>
            </w:r>
          </w:p>
        </w:tc>
        <w:tc>
          <w:tcPr>
            <w:tcW w:w="2259" w:type="dxa"/>
            <w:tcBorders>
              <w:top w:val="nil"/>
              <w:left w:val="single" w:sz="4" w:space="0" w:color="auto"/>
              <w:bottom w:val="single" w:sz="4" w:space="0" w:color="auto"/>
              <w:right w:val="single" w:sz="4" w:space="0" w:color="auto"/>
              <w:tl2br w:val="nil"/>
              <w:tr2bl w:val="nil"/>
            </w:tcBorders>
            <w:noWrap/>
            <w:tcMar>
              <w:top w:w="15" w:type="dxa"/>
              <w:left w:w="15" w:type="dxa"/>
              <w:bottom w:w="0" w:type="dxa"/>
              <w:right w:w="15" w:type="dxa"/>
            </w:tcMar>
            <w:textDirection w:val="lrTb"/>
            <w:vAlign w:val="center"/>
          </w:tcPr>
          <w:p w:rsidR="00D37034" w:rsidRPr="006810E4" w:rsidP="00FD671F">
            <w:pPr>
              <w:spacing w:line="240" w:lineRule="auto"/>
              <w:jc w:val="left"/>
              <w:rPr>
                <w:rFonts w:ascii="Times New Roman" w:hAnsi="Times New Roman" w:cs="Times New Roman"/>
              </w:rPr>
            </w:pPr>
            <w:r w:rsidRPr="006810E4">
              <w:rPr>
                <w:rFonts w:ascii="Times New Roman" w:hAnsi="Times New Roman" w:cs="Times New Roman"/>
              </w:rPr>
              <w:t>do 2 rokov</w:t>
            </w:r>
          </w:p>
        </w:tc>
        <w:tc>
          <w:tcPr>
            <w:tcW w:w="1134" w:type="dxa"/>
            <w:tcBorders>
              <w:top w:val="nil"/>
              <w:left w:val="nil"/>
              <w:bottom w:val="single" w:sz="4" w:space="0" w:color="auto"/>
              <w:right w:val="nil"/>
              <w:tl2br w:val="nil"/>
              <w:tr2bl w:val="nil"/>
            </w:tcBorders>
            <w:noWrap/>
            <w:tcMar>
              <w:top w:w="15" w:type="dxa"/>
              <w:left w:w="15" w:type="dxa"/>
              <w:bottom w:w="0" w:type="dxa"/>
              <w:right w:w="15" w:type="dxa"/>
            </w:tcMar>
            <w:textDirection w:val="lrTb"/>
            <w:vAlign w:val="center"/>
          </w:tcPr>
          <w:p w:rsidR="00D37034" w:rsidRPr="006810E4" w:rsidP="00FD671F">
            <w:pPr>
              <w:spacing w:line="240" w:lineRule="auto"/>
              <w:jc w:val="right"/>
              <w:rPr>
                <w:rFonts w:ascii="Times New Roman" w:hAnsi="Times New Roman" w:cs="Times New Roman"/>
              </w:rPr>
            </w:pPr>
            <w:r>
              <w:rPr>
                <w:rFonts w:ascii="Times New Roman" w:hAnsi="Times New Roman" w:cs="Times New Roman"/>
              </w:rPr>
              <w:t>82 042</w:t>
            </w:r>
          </w:p>
        </w:tc>
        <w:tc>
          <w:tcPr>
            <w:tcW w:w="1134" w:type="dxa"/>
            <w:tcBorders>
              <w:top w:val="nil"/>
              <w:left w:val="single" w:sz="4" w:space="0" w:color="auto"/>
              <w:bottom w:val="single" w:sz="4" w:space="0" w:color="auto"/>
              <w:right w:val="nil"/>
              <w:tl2br w:val="nil"/>
              <w:tr2bl w:val="nil"/>
            </w:tcBorders>
            <w:noWrap/>
            <w:tcMar>
              <w:top w:w="15" w:type="dxa"/>
              <w:left w:w="15" w:type="dxa"/>
              <w:bottom w:w="0" w:type="dxa"/>
              <w:right w:w="15" w:type="dxa"/>
            </w:tcMar>
            <w:textDirection w:val="lrTb"/>
            <w:vAlign w:val="center"/>
          </w:tcPr>
          <w:p w:rsidR="00D37034" w:rsidRPr="006810E4" w:rsidP="00FD671F">
            <w:pPr>
              <w:spacing w:line="240" w:lineRule="auto"/>
              <w:jc w:val="right"/>
              <w:rPr>
                <w:rFonts w:ascii="Times New Roman" w:hAnsi="Times New Roman" w:cs="Times New Roman"/>
              </w:rPr>
            </w:pPr>
            <w:r>
              <w:rPr>
                <w:rFonts w:ascii="Times New Roman" w:hAnsi="Times New Roman" w:cs="Times New Roman"/>
              </w:rPr>
              <w:t>60 614</w:t>
            </w:r>
          </w:p>
        </w:tc>
        <w:tc>
          <w:tcPr>
            <w:tcW w:w="1134" w:type="dxa"/>
            <w:tcBorders>
              <w:top w:val="nil"/>
              <w:left w:val="single" w:sz="4" w:space="0" w:color="auto"/>
              <w:bottom w:val="nil"/>
              <w:right w:val="nil"/>
              <w:tl2br w:val="nil"/>
              <w:tr2bl w:val="nil"/>
            </w:tcBorders>
            <w:noWrap/>
            <w:tcMar>
              <w:top w:w="15" w:type="dxa"/>
              <w:left w:w="15" w:type="dxa"/>
              <w:bottom w:w="0" w:type="dxa"/>
              <w:right w:w="15" w:type="dxa"/>
            </w:tcMar>
            <w:textDirection w:val="lrTb"/>
            <w:vAlign w:val="center"/>
          </w:tcPr>
          <w:p w:rsidR="00D37034" w:rsidRPr="006810E4" w:rsidP="00FD671F">
            <w:pPr>
              <w:spacing w:line="240" w:lineRule="auto"/>
              <w:jc w:val="right"/>
              <w:rPr>
                <w:rFonts w:ascii="Times New Roman" w:hAnsi="Times New Roman" w:cs="Times New Roman"/>
              </w:rPr>
            </w:pPr>
            <w:r>
              <w:rPr>
                <w:rFonts w:ascii="Times New Roman" w:hAnsi="Times New Roman" w:cs="Times New Roman"/>
              </w:rPr>
              <w:t>67 600</w:t>
            </w:r>
          </w:p>
        </w:tc>
        <w:tc>
          <w:tcPr>
            <w:tcW w:w="1134" w:type="dxa"/>
            <w:tcBorders>
              <w:top w:val="single" w:sz="4" w:space="0" w:color="auto"/>
              <w:left w:val="single" w:sz="4" w:space="0" w:color="auto"/>
              <w:bottom w:val="single" w:sz="4" w:space="0" w:color="auto"/>
              <w:right w:val="nil"/>
              <w:tl2br w:val="nil"/>
              <w:tr2bl w:val="nil"/>
            </w:tcBorders>
            <w:noWrap/>
            <w:tcMar>
              <w:top w:w="15" w:type="dxa"/>
              <w:left w:w="15" w:type="dxa"/>
              <w:bottom w:w="0" w:type="dxa"/>
              <w:right w:w="15" w:type="dxa"/>
            </w:tcMar>
            <w:textDirection w:val="lrTb"/>
            <w:vAlign w:val="center"/>
          </w:tcPr>
          <w:p w:rsidR="00D37034" w:rsidRPr="006810E4" w:rsidP="00FD671F">
            <w:pPr>
              <w:spacing w:line="240" w:lineRule="auto"/>
              <w:jc w:val="right"/>
              <w:rPr>
                <w:rFonts w:ascii="Times New Roman" w:hAnsi="Times New Roman" w:cs="Times New Roman"/>
              </w:rPr>
            </w:pPr>
            <w:r>
              <w:rPr>
                <w:rFonts w:ascii="Times New Roman" w:hAnsi="Times New Roman" w:cs="Times New Roman"/>
              </w:rPr>
              <w:t>31 323</w:t>
            </w:r>
          </w:p>
        </w:tc>
        <w:tc>
          <w:tcPr>
            <w:tcW w:w="1134" w:type="dxa"/>
            <w:tcBorders>
              <w:top w:val="single" w:sz="4" w:space="0" w:color="auto"/>
              <w:left w:val="single" w:sz="4" w:space="0" w:color="auto"/>
              <w:bottom w:val="single" w:sz="4" w:space="0" w:color="auto"/>
              <w:right w:val="single" w:sz="8" w:space="0" w:color="auto"/>
              <w:tl2br w:val="nil"/>
              <w:tr2bl w:val="nil"/>
            </w:tcBorders>
            <w:noWrap/>
            <w:tcMar>
              <w:top w:w="15" w:type="dxa"/>
              <w:left w:w="15" w:type="dxa"/>
              <w:bottom w:w="0" w:type="dxa"/>
              <w:right w:w="15" w:type="dxa"/>
            </w:tcMar>
            <w:textDirection w:val="lrTb"/>
            <w:vAlign w:val="center"/>
          </w:tcPr>
          <w:p w:rsidR="00D37034" w:rsidRPr="006810E4" w:rsidP="00FD671F">
            <w:pPr>
              <w:spacing w:line="240" w:lineRule="auto"/>
              <w:jc w:val="right"/>
              <w:rPr>
                <w:rFonts w:ascii="Times New Roman" w:hAnsi="Times New Roman" w:cs="Times New Roman"/>
              </w:rPr>
            </w:pPr>
            <w:r>
              <w:rPr>
                <w:rFonts w:ascii="Times New Roman" w:hAnsi="Times New Roman" w:cs="Times New Roman"/>
              </w:rPr>
              <w:t>21 885</w:t>
            </w:r>
          </w:p>
        </w:tc>
      </w:tr>
      <w:tr>
        <w:tblPrEx>
          <w:tblW w:w="9294" w:type="dxa"/>
          <w:jc w:val="center"/>
          <w:tblCellMar>
            <w:left w:w="0" w:type="dxa"/>
            <w:right w:w="0" w:type="dxa"/>
          </w:tblCellMar>
        </w:tblPrEx>
        <w:trPr>
          <w:trHeight w:hRule="exact" w:val="284"/>
          <w:jc w:val="center"/>
        </w:trPr>
        <w:tc>
          <w:tcPr>
            <w:tcW w:w="335" w:type="dxa"/>
            <w:tcBorders>
              <w:top w:val="nil"/>
              <w:left w:val="single" w:sz="8" w:space="0" w:color="auto"/>
              <w:bottom w:val="single" w:sz="4" w:space="0" w:color="auto"/>
              <w:right w:val="nil"/>
              <w:tl2br w:val="nil"/>
              <w:tr2bl w:val="nil"/>
            </w:tcBorders>
            <w:noWrap/>
            <w:tcMar>
              <w:top w:w="15" w:type="dxa"/>
              <w:left w:w="15" w:type="dxa"/>
              <w:bottom w:w="0" w:type="dxa"/>
              <w:right w:w="15" w:type="dxa"/>
            </w:tcMar>
            <w:textDirection w:val="lrTb"/>
            <w:vAlign w:val="center"/>
          </w:tcPr>
          <w:p w:rsidR="00D37034" w:rsidRPr="006810E4" w:rsidP="00FD671F">
            <w:pPr>
              <w:spacing w:line="240" w:lineRule="auto"/>
              <w:jc w:val="left"/>
              <w:rPr>
                <w:rFonts w:ascii="Times New Roman" w:hAnsi="Times New Roman" w:cs="Times New Roman"/>
              </w:rPr>
            </w:pPr>
            <w:r w:rsidRPr="006810E4">
              <w:rPr>
                <w:rFonts w:ascii="Times New Roman" w:hAnsi="Times New Roman" w:cs="Times New Roman"/>
              </w:rPr>
              <w:t> </w:t>
            </w:r>
          </w:p>
        </w:tc>
        <w:tc>
          <w:tcPr>
            <w:tcW w:w="2259" w:type="dxa"/>
            <w:tcBorders>
              <w:top w:val="nil"/>
              <w:left w:val="single" w:sz="4" w:space="0" w:color="auto"/>
              <w:bottom w:val="single" w:sz="4" w:space="0" w:color="auto"/>
              <w:right w:val="single" w:sz="4" w:space="0" w:color="auto"/>
              <w:tl2br w:val="nil"/>
              <w:tr2bl w:val="nil"/>
            </w:tcBorders>
            <w:noWrap/>
            <w:tcMar>
              <w:top w:w="15" w:type="dxa"/>
              <w:left w:w="15" w:type="dxa"/>
              <w:bottom w:w="0" w:type="dxa"/>
              <w:right w:w="15" w:type="dxa"/>
            </w:tcMar>
            <w:textDirection w:val="lrTb"/>
            <w:vAlign w:val="center"/>
          </w:tcPr>
          <w:p w:rsidR="00D37034" w:rsidRPr="006810E4" w:rsidP="00FD671F">
            <w:pPr>
              <w:spacing w:line="240" w:lineRule="auto"/>
              <w:jc w:val="left"/>
              <w:rPr>
                <w:rFonts w:ascii="Times New Roman" w:hAnsi="Times New Roman" w:cs="Times New Roman"/>
              </w:rPr>
            </w:pPr>
            <w:r w:rsidRPr="006810E4">
              <w:rPr>
                <w:rFonts w:ascii="Times New Roman" w:hAnsi="Times New Roman" w:cs="Times New Roman"/>
              </w:rPr>
              <w:t>do 3 rokov</w:t>
            </w:r>
          </w:p>
        </w:tc>
        <w:tc>
          <w:tcPr>
            <w:tcW w:w="1134" w:type="dxa"/>
            <w:tcBorders>
              <w:top w:val="nil"/>
              <w:left w:val="nil"/>
              <w:bottom w:val="single" w:sz="4" w:space="0" w:color="auto"/>
              <w:right w:val="nil"/>
              <w:tl2br w:val="nil"/>
              <w:tr2bl w:val="nil"/>
            </w:tcBorders>
            <w:noWrap/>
            <w:tcMar>
              <w:top w:w="15" w:type="dxa"/>
              <w:left w:w="15" w:type="dxa"/>
              <w:bottom w:w="0" w:type="dxa"/>
              <w:right w:w="15" w:type="dxa"/>
            </w:tcMar>
            <w:textDirection w:val="lrTb"/>
            <w:vAlign w:val="center"/>
          </w:tcPr>
          <w:p w:rsidR="00D37034" w:rsidRPr="006810E4" w:rsidP="00FD671F">
            <w:pPr>
              <w:spacing w:line="240" w:lineRule="auto"/>
              <w:jc w:val="right"/>
              <w:rPr>
                <w:rFonts w:ascii="Times New Roman" w:hAnsi="Times New Roman" w:cs="Times New Roman"/>
              </w:rPr>
            </w:pPr>
            <w:r>
              <w:rPr>
                <w:rFonts w:ascii="Times New Roman" w:hAnsi="Times New Roman" w:cs="Times New Roman"/>
              </w:rPr>
              <w:t>33 110</w:t>
            </w:r>
          </w:p>
        </w:tc>
        <w:tc>
          <w:tcPr>
            <w:tcW w:w="1134" w:type="dxa"/>
            <w:tcBorders>
              <w:top w:val="nil"/>
              <w:left w:val="single" w:sz="4" w:space="0" w:color="auto"/>
              <w:bottom w:val="single" w:sz="4" w:space="0" w:color="auto"/>
              <w:right w:val="nil"/>
              <w:tl2br w:val="nil"/>
              <w:tr2bl w:val="nil"/>
            </w:tcBorders>
            <w:noWrap/>
            <w:tcMar>
              <w:top w:w="15" w:type="dxa"/>
              <w:left w:w="15" w:type="dxa"/>
              <w:bottom w:w="0" w:type="dxa"/>
              <w:right w:w="15" w:type="dxa"/>
            </w:tcMar>
            <w:textDirection w:val="lrTb"/>
            <w:vAlign w:val="center"/>
          </w:tcPr>
          <w:p w:rsidR="00D37034" w:rsidRPr="006810E4" w:rsidP="00FD671F">
            <w:pPr>
              <w:spacing w:line="240" w:lineRule="auto"/>
              <w:jc w:val="right"/>
              <w:rPr>
                <w:rFonts w:ascii="Times New Roman" w:hAnsi="Times New Roman" w:cs="Times New Roman"/>
              </w:rPr>
            </w:pPr>
            <w:r>
              <w:rPr>
                <w:rFonts w:ascii="Times New Roman" w:hAnsi="Times New Roman" w:cs="Times New Roman"/>
              </w:rPr>
              <w:t>73 112</w:t>
            </w:r>
          </w:p>
        </w:tc>
        <w:tc>
          <w:tcPr>
            <w:tcW w:w="1134" w:type="dxa"/>
            <w:tcBorders>
              <w:top w:val="single" w:sz="4" w:space="0" w:color="auto"/>
              <w:left w:val="single" w:sz="4" w:space="0" w:color="auto"/>
              <w:bottom w:val="single" w:sz="4" w:space="0" w:color="auto"/>
              <w:right w:val="nil"/>
              <w:tl2br w:val="nil"/>
              <w:tr2bl w:val="nil"/>
            </w:tcBorders>
            <w:noWrap/>
            <w:tcMar>
              <w:top w:w="15" w:type="dxa"/>
              <w:left w:w="15" w:type="dxa"/>
              <w:bottom w:w="0" w:type="dxa"/>
              <w:right w:w="15" w:type="dxa"/>
            </w:tcMar>
            <w:textDirection w:val="lrTb"/>
            <w:vAlign w:val="center"/>
          </w:tcPr>
          <w:p w:rsidR="00D37034" w:rsidRPr="006810E4" w:rsidP="00FD671F">
            <w:pPr>
              <w:spacing w:line="240" w:lineRule="auto"/>
              <w:jc w:val="right"/>
              <w:rPr>
                <w:rFonts w:ascii="Times New Roman" w:hAnsi="Times New Roman" w:cs="Times New Roman"/>
              </w:rPr>
            </w:pPr>
            <w:r>
              <w:rPr>
                <w:rFonts w:ascii="Times New Roman" w:hAnsi="Times New Roman" w:cs="Times New Roman"/>
              </w:rPr>
              <w:t>70 425</w:t>
            </w:r>
          </w:p>
        </w:tc>
        <w:tc>
          <w:tcPr>
            <w:tcW w:w="1134" w:type="dxa"/>
            <w:tcBorders>
              <w:top w:val="nil"/>
              <w:left w:val="single" w:sz="4" w:space="0" w:color="auto"/>
              <w:bottom w:val="single" w:sz="4" w:space="0" w:color="auto"/>
              <w:right w:val="nil"/>
              <w:tl2br w:val="nil"/>
              <w:tr2bl w:val="nil"/>
            </w:tcBorders>
            <w:noWrap/>
            <w:tcMar>
              <w:top w:w="15" w:type="dxa"/>
              <w:left w:w="15" w:type="dxa"/>
              <w:bottom w:w="0" w:type="dxa"/>
              <w:right w:w="15" w:type="dxa"/>
            </w:tcMar>
            <w:textDirection w:val="lrTb"/>
            <w:vAlign w:val="center"/>
          </w:tcPr>
          <w:p w:rsidR="00D37034" w:rsidRPr="006810E4" w:rsidP="00FD671F">
            <w:pPr>
              <w:spacing w:line="240" w:lineRule="auto"/>
              <w:jc w:val="right"/>
              <w:rPr>
                <w:rFonts w:ascii="Times New Roman" w:hAnsi="Times New Roman" w:cs="Times New Roman"/>
              </w:rPr>
            </w:pPr>
            <w:r>
              <w:rPr>
                <w:rFonts w:ascii="Times New Roman" w:hAnsi="Times New Roman" w:cs="Times New Roman"/>
              </w:rPr>
              <w:t>74 885</w:t>
            </w:r>
          </w:p>
        </w:tc>
        <w:tc>
          <w:tcPr>
            <w:tcW w:w="1134" w:type="dxa"/>
            <w:tcBorders>
              <w:top w:val="nil"/>
              <w:left w:val="single" w:sz="4" w:space="0" w:color="auto"/>
              <w:bottom w:val="single" w:sz="4" w:space="0" w:color="auto"/>
              <w:right w:val="single" w:sz="8" w:space="0" w:color="auto"/>
              <w:tl2br w:val="nil"/>
              <w:tr2bl w:val="nil"/>
            </w:tcBorders>
            <w:noWrap/>
            <w:tcMar>
              <w:top w:w="15" w:type="dxa"/>
              <w:left w:w="15" w:type="dxa"/>
              <w:bottom w:w="0" w:type="dxa"/>
              <w:right w:w="15" w:type="dxa"/>
            </w:tcMar>
            <w:textDirection w:val="lrTb"/>
            <w:vAlign w:val="center"/>
          </w:tcPr>
          <w:p w:rsidR="00D37034" w:rsidRPr="006810E4" w:rsidP="00FD671F">
            <w:pPr>
              <w:spacing w:line="240" w:lineRule="auto"/>
              <w:jc w:val="right"/>
              <w:rPr>
                <w:rFonts w:ascii="Times New Roman" w:hAnsi="Times New Roman" w:cs="Times New Roman"/>
              </w:rPr>
            </w:pPr>
            <w:r>
              <w:rPr>
                <w:rFonts w:ascii="Times New Roman" w:hAnsi="Times New Roman" w:cs="Times New Roman"/>
              </w:rPr>
              <w:t>61 730</w:t>
            </w:r>
          </w:p>
        </w:tc>
      </w:tr>
      <w:tr>
        <w:tblPrEx>
          <w:tblW w:w="9294" w:type="dxa"/>
          <w:jc w:val="center"/>
          <w:tblCellMar>
            <w:left w:w="0" w:type="dxa"/>
            <w:right w:w="0" w:type="dxa"/>
          </w:tblCellMar>
        </w:tblPrEx>
        <w:trPr>
          <w:trHeight w:hRule="exact" w:val="284"/>
          <w:jc w:val="center"/>
        </w:trPr>
        <w:tc>
          <w:tcPr>
            <w:tcW w:w="335" w:type="dxa"/>
            <w:tcBorders>
              <w:top w:val="nil"/>
              <w:left w:val="single" w:sz="8" w:space="0" w:color="auto"/>
              <w:bottom w:val="nil"/>
              <w:right w:val="nil"/>
              <w:tl2br w:val="nil"/>
              <w:tr2bl w:val="nil"/>
            </w:tcBorders>
            <w:noWrap/>
            <w:tcMar>
              <w:top w:w="15" w:type="dxa"/>
              <w:left w:w="15" w:type="dxa"/>
              <w:bottom w:w="0" w:type="dxa"/>
              <w:right w:w="15" w:type="dxa"/>
            </w:tcMar>
            <w:textDirection w:val="lrTb"/>
            <w:vAlign w:val="center"/>
          </w:tcPr>
          <w:p w:rsidR="00D37034" w:rsidRPr="006810E4" w:rsidP="00FD671F">
            <w:pPr>
              <w:spacing w:line="240" w:lineRule="auto"/>
              <w:jc w:val="left"/>
              <w:rPr>
                <w:rFonts w:ascii="Times New Roman" w:hAnsi="Times New Roman" w:cs="Times New Roman"/>
              </w:rPr>
            </w:pPr>
            <w:r w:rsidRPr="006810E4">
              <w:rPr>
                <w:rFonts w:ascii="Times New Roman" w:hAnsi="Times New Roman" w:cs="Times New Roman"/>
              </w:rPr>
              <w:t> </w:t>
            </w:r>
          </w:p>
        </w:tc>
        <w:tc>
          <w:tcPr>
            <w:tcW w:w="2259" w:type="dxa"/>
            <w:tcBorders>
              <w:top w:val="nil"/>
              <w:left w:val="single" w:sz="4" w:space="0" w:color="auto"/>
              <w:bottom w:val="nil"/>
              <w:right w:val="single" w:sz="4" w:space="0" w:color="auto"/>
              <w:tl2br w:val="nil"/>
              <w:tr2bl w:val="nil"/>
            </w:tcBorders>
            <w:noWrap/>
            <w:tcMar>
              <w:top w:w="15" w:type="dxa"/>
              <w:left w:w="15" w:type="dxa"/>
              <w:bottom w:w="0" w:type="dxa"/>
              <w:right w:w="15" w:type="dxa"/>
            </w:tcMar>
            <w:textDirection w:val="lrTb"/>
            <w:vAlign w:val="center"/>
          </w:tcPr>
          <w:p w:rsidR="00D37034" w:rsidRPr="006810E4" w:rsidP="00FD671F">
            <w:pPr>
              <w:spacing w:line="240" w:lineRule="auto"/>
              <w:jc w:val="left"/>
              <w:rPr>
                <w:rFonts w:ascii="Times New Roman" w:hAnsi="Times New Roman" w:cs="Times New Roman"/>
              </w:rPr>
            </w:pPr>
            <w:r w:rsidRPr="006810E4">
              <w:rPr>
                <w:rFonts w:ascii="Times New Roman" w:hAnsi="Times New Roman" w:cs="Times New Roman"/>
              </w:rPr>
              <w:t>Nad 3 roky</w:t>
            </w:r>
          </w:p>
        </w:tc>
        <w:tc>
          <w:tcPr>
            <w:tcW w:w="1134" w:type="dxa"/>
            <w:tcBorders>
              <w:top w:val="nil"/>
              <w:left w:val="nil"/>
              <w:bottom w:val="nil"/>
              <w:right w:val="nil"/>
              <w:tl2br w:val="nil"/>
              <w:tr2bl w:val="nil"/>
            </w:tcBorders>
            <w:noWrap/>
            <w:tcMar>
              <w:top w:w="15" w:type="dxa"/>
              <w:left w:w="15" w:type="dxa"/>
              <w:bottom w:w="0" w:type="dxa"/>
              <w:right w:w="15" w:type="dxa"/>
            </w:tcMar>
            <w:textDirection w:val="lrTb"/>
            <w:vAlign w:val="center"/>
          </w:tcPr>
          <w:p w:rsidR="00D37034" w:rsidRPr="006810E4" w:rsidP="00FD671F">
            <w:pPr>
              <w:spacing w:line="240" w:lineRule="auto"/>
              <w:jc w:val="right"/>
              <w:rPr>
                <w:rFonts w:ascii="Times New Roman" w:hAnsi="Times New Roman" w:cs="Times New Roman"/>
              </w:rPr>
            </w:pPr>
            <w:r>
              <w:rPr>
                <w:rFonts w:ascii="Times New Roman" w:hAnsi="Times New Roman" w:cs="Times New Roman"/>
              </w:rPr>
              <w:t>212 047</w:t>
            </w:r>
          </w:p>
        </w:tc>
        <w:tc>
          <w:tcPr>
            <w:tcW w:w="1134" w:type="dxa"/>
            <w:tcBorders>
              <w:top w:val="nil"/>
              <w:left w:val="single" w:sz="4" w:space="0" w:color="auto"/>
              <w:bottom w:val="nil"/>
              <w:right w:val="nil"/>
              <w:tl2br w:val="nil"/>
              <w:tr2bl w:val="nil"/>
            </w:tcBorders>
            <w:noWrap/>
            <w:tcMar>
              <w:top w:w="15" w:type="dxa"/>
              <w:left w:w="15" w:type="dxa"/>
              <w:bottom w:w="0" w:type="dxa"/>
              <w:right w:w="15" w:type="dxa"/>
            </w:tcMar>
            <w:textDirection w:val="lrTb"/>
            <w:vAlign w:val="center"/>
          </w:tcPr>
          <w:p w:rsidR="00D37034" w:rsidRPr="006810E4" w:rsidP="00FD671F">
            <w:pPr>
              <w:spacing w:line="240" w:lineRule="auto"/>
              <w:jc w:val="right"/>
              <w:rPr>
                <w:rFonts w:ascii="Times New Roman" w:hAnsi="Times New Roman" w:cs="Times New Roman"/>
              </w:rPr>
            </w:pPr>
            <w:r>
              <w:rPr>
                <w:rFonts w:ascii="Times New Roman" w:hAnsi="Times New Roman" w:cs="Times New Roman"/>
              </w:rPr>
              <w:t>318 209</w:t>
            </w:r>
          </w:p>
        </w:tc>
        <w:tc>
          <w:tcPr>
            <w:tcW w:w="1134" w:type="dxa"/>
            <w:tcBorders>
              <w:top w:val="nil"/>
              <w:left w:val="single" w:sz="4" w:space="0" w:color="auto"/>
              <w:bottom w:val="nil"/>
              <w:right w:val="nil"/>
              <w:tl2br w:val="nil"/>
              <w:tr2bl w:val="nil"/>
            </w:tcBorders>
            <w:noWrap/>
            <w:tcMar>
              <w:top w:w="15" w:type="dxa"/>
              <w:left w:w="15" w:type="dxa"/>
              <w:bottom w:w="0" w:type="dxa"/>
              <w:right w:w="15" w:type="dxa"/>
            </w:tcMar>
            <w:textDirection w:val="lrTb"/>
            <w:vAlign w:val="center"/>
          </w:tcPr>
          <w:p w:rsidR="00D37034" w:rsidRPr="006810E4" w:rsidP="00FD671F">
            <w:pPr>
              <w:spacing w:line="240" w:lineRule="auto"/>
              <w:jc w:val="right"/>
              <w:rPr>
                <w:rFonts w:ascii="Times New Roman" w:hAnsi="Times New Roman" w:cs="Times New Roman"/>
              </w:rPr>
            </w:pPr>
            <w:r>
              <w:rPr>
                <w:rFonts w:ascii="Times New Roman" w:hAnsi="Times New Roman" w:cs="Times New Roman"/>
              </w:rPr>
              <w:t>301 243</w:t>
            </w:r>
          </w:p>
        </w:tc>
        <w:tc>
          <w:tcPr>
            <w:tcW w:w="1134" w:type="dxa"/>
            <w:tcBorders>
              <w:top w:val="nil"/>
              <w:left w:val="single" w:sz="4" w:space="0" w:color="auto"/>
              <w:bottom w:val="nil"/>
              <w:right w:val="nil"/>
              <w:tl2br w:val="nil"/>
              <w:tr2bl w:val="nil"/>
            </w:tcBorders>
            <w:noWrap/>
            <w:tcMar>
              <w:top w:w="15" w:type="dxa"/>
              <w:left w:w="15" w:type="dxa"/>
              <w:bottom w:w="0" w:type="dxa"/>
              <w:right w:w="15" w:type="dxa"/>
            </w:tcMar>
            <w:textDirection w:val="lrTb"/>
            <w:vAlign w:val="center"/>
          </w:tcPr>
          <w:p w:rsidR="00D37034" w:rsidRPr="006810E4" w:rsidP="00FD671F">
            <w:pPr>
              <w:spacing w:line="240" w:lineRule="auto"/>
              <w:jc w:val="right"/>
              <w:rPr>
                <w:rFonts w:ascii="Times New Roman" w:hAnsi="Times New Roman" w:cs="Times New Roman"/>
              </w:rPr>
            </w:pPr>
            <w:r>
              <w:rPr>
                <w:rFonts w:ascii="Times New Roman" w:hAnsi="Times New Roman" w:cs="Times New Roman"/>
              </w:rPr>
              <w:t>257 731</w:t>
            </w:r>
          </w:p>
        </w:tc>
        <w:tc>
          <w:tcPr>
            <w:tcW w:w="1134" w:type="dxa"/>
            <w:tcBorders>
              <w:top w:val="nil"/>
              <w:left w:val="single" w:sz="4" w:space="0" w:color="auto"/>
              <w:bottom w:val="nil"/>
              <w:right w:val="single" w:sz="8" w:space="0" w:color="auto"/>
              <w:tl2br w:val="nil"/>
              <w:tr2bl w:val="nil"/>
            </w:tcBorders>
            <w:noWrap/>
            <w:tcMar>
              <w:top w:w="15" w:type="dxa"/>
              <w:left w:w="15" w:type="dxa"/>
              <w:bottom w:w="0" w:type="dxa"/>
              <w:right w:w="15" w:type="dxa"/>
            </w:tcMar>
            <w:textDirection w:val="lrTb"/>
            <w:vAlign w:val="center"/>
          </w:tcPr>
          <w:p w:rsidR="00D37034" w:rsidRPr="006810E4" w:rsidP="00FD671F">
            <w:pPr>
              <w:spacing w:line="240" w:lineRule="auto"/>
              <w:jc w:val="right"/>
              <w:rPr>
                <w:rFonts w:ascii="Times New Roman" w:hAnsi="Times New Roman" w:cs="Times New Roman"/>
              </w:rPr>
            </w:pPr>
            <w:r>
              <w:rPr>
                <w:rFonts w:ascii="Times New Roman" w:hAnsi="Times New Roman" w:cs="Times New Roman"/>
              </w:rPr>
              <w:t>248 714</w:t>
            </w:r>
          </w:p>
        </w:tc>
      </w:tr>
      <w:tr>
        <w:tblPrEx>
          <w:tblW w:w="9294" w:type="dxa"/>
          <w:jc w:val="center"/>
          <w:tblCellMar>
            <w:left w:w="0" w:type="dxa"/>
            <w:right w:w="0" w:type="dxa"/>
          </w:tblCellMar>
        </w:tblPrEx>
        <w:trPr>
          <w:trHeight w:hRule="exact" w:val="284"/>
          <w:jc w:val="center"/>
        </w:trPr>
        <w:tc>
          <w:tcPr>
            <w:tcW w:w="335" w:type="dxa"/>
            <w:tcBorders>
              <w:top w:val="single" w:sz="8" w:space="0" w:color="auto"/>
              <w:left w:val="single" w:sz="8" w:space="0" w:color="auto"/>
              <w:bottom w:val="single" w:sz="8" w:space="0" w:color="auto"/>
              <w:right w:val="single" w:sz="4" w:space="0" w:color="auto"/>
              <w:tl2br w:val="nil"/>
              <w:tr2bl w:val="nil"/>
            </w:tcBorders>
            <w:tcMar>
              <w:top w:w="15" w:type="dxa"/>
              <w:left w:w="15" w:type="dxa"/>
              <w:bottom w:w="0" w:type="dxa"/>
              <w:right w:w="15" w:type="dxa"/>
            </w:tcMar>
            <w:textDirection w:val="lrTb"/>
            <w:vAlign w:val="center"/>
          </w:tcPr>
          <w:p w:rsidR="00D37034" w:rsidRPr="006810E4" w:rsidP="00FD671F">
            <w:pPr>
              <w:spacing w:line="240" w:lineRule="auto"/>
              <w:jc w:val="left"/>
              <w:rPr>
                <w:rFonts w:ascii="Times New Roman" w:hAnsi="Times New Roman" w:cs="Times New Roman"/>
              </w:rPr>
            </w:pPr>
            <w:r w:rsidRPr="006810E4">
              <w:rPr>
                <w:rFonts w:ascii="Times New Roman" w:hAnsi="Times New Roman" w:cs="Times New Roman"/>
              </w:rPr>
              <w:t>391</w:t>
            </w:r>
          </w:p>
        </w:tc>
        <w:tc>
          <w:tcPr>
            <w:tcW w:w="2259" w:type="dxa"/>
            <w:tcBorders>
              <w:top w:val="single" w:sz="8" w:space="0" w:color="auto"/>
              <w:left w:val="nil"/>
              <w:bottom w:val="single" w:sz="8" w:space="0" w:color="auto"/>
              <w:right w:val="single" w:sz="4" w:space="0" w:color="auto"/>
              <w:tl2br w:val="nil"/>
              <w:tr2bl w:val="nil"/>
            </w:tcBorders>
            <w:tcMar>
              <w:top w:w="15" w:type="dxa"/>
              <w:left w:w="15" w:type="dxa"/>
              <w:bottom w:w="0" w:type="dxa"/>
              <w:right w:w="15" w:type="dxa"/>
            </w:tcMar>
            <w:textDirection w:val="lrTb"/>
            <w:vAlign w:val="center"/>
          </w:tcPr>
          <w:p w:rsidR="00D37034" w:rsidRPr="006810E4" w:rsidP="00FD671F">
            <w:pPr>
              <w:spacing w:line="240" w:lineRule="auto"/>
              <w:jc w:val="left"/>
              <w:rPr>
                <w:rFonts w:ascii="Times New Roman" w:hAnsi="Times New Roman" w:cs="Times New Roman"/>
              </w:rPr>
            </w:pPr>
            <w:r w:rsidRPr="006810E4">
              <w:rPr>
                <w:rFonts w:ascii="Times New Roman" w:hAnsi="Times New Roman" w:cs="Times New Roman"/>
              </w:rPr>
              <w:t xml:space="preserve"> Opravné položky</w:t>
            </w:r>
          </w:p>
        </w:tc>
        <w:tc>
          <w:tcPr>
            <w:tcW w:w="1134" w:type="dxa"/>
            <w:tcBorders>
              <w:top w:val="single" w:sz="8" w:space="0" w:color="auto"/>
              <w:left w:val="nil"/>
              <w:bottom w:val="single" w:sz="8" w:space="0" w:color="auto"/>
              <w:right w:val="nil"/>
              <w:tl2br w:val="nil"/>
              <w:tr2bl w:val="nil"/>
            </w:tcBorders>
            <w:noWrap/>
            <w:tcMar>
              <w:top w:w="15" w:type="dxa"/>
              <w:left w:w="15" w:type="dxa"/>
              <w:bottom w:w="0" w:type="dxa"/>
              <w:right w:w="15" w:type="dxa"/>
            </w:tcMar>
            <w:textDirection w:val="lrTb"/>
            <w:vAlign w:val="center"/>
          </w:tcPr>
          <w:p w:rsidR="00D37034" w:rsidRPr="006810E4" w:rsidP="00FD671F">
            <w:pPr>
              <w:spacing w:line="240" w:lineRule="auto"/>
              <w:jc w:val="right"/>
              <w:rPr>
                <w:rFonts w:ascii="Times New Roman" w:hAnsi="Times New Roman" w:cs="Times New Roman"/>
              </w:rPr>
            </w:pPr>
            <w:r>
              <w:rPr>
                <w:rFonts w:ascii="Times New Roman" w:hAnsi="Times New Roman" w:cs="Times New Roman"/>
              </w:rPr>
              <w:t>- 473 614</w:t>
            </w:r>
          </w:p>
        </w:tc>
        <w:tc>
          <w:tcPr>
            <w:tcW w:w="1134" w:type="dxa"/>
            <w:tcBorders>
              <w:top w:val="single" w:sz="8" w:space="0" w:color="auto"/>
              <w:left w:val="single" w:sz="4" w:space="0" w:color="auto"/>
              <w:bottom w:val="single" w:sz="8" w:space="0" w:color="auto"/>
              <w:right w:val="nil"/>
              <w:tl2br w:val="nil"/>
              <w:tr2bl w:val="nil"/>
            </w:tcBorders>
            <w:noWrap/>
            <w:tcMar>
              <w:top w:w="15" w:type="dxa"/>
              <w:left w:w="15" w:type="dxa"/>
              <w:bottom w:w="0" w:type="dxa"/>
              <w:right w:w="15" w:type="dxa"/>
            </w:tcMar>
            <w:textDirection w:val="lrTb"/>
            <w:vAlign w:val="center"/>
          </w:tcPr>
          <w:p w:rsidR="00D37034" w:rsidRPr="006810E4" w:rsidP="00FD671F">
            <w:pPr>
              <w:spacing w:line="240" w:lineRule="auto"/>
              <w:jc w:val="right"/>
              <w:rPr>
                <w:rFonts w:ascii="Times New Roman" w:hAnsi="Times New Roman" w:cs="Times New Roman"/>
              </w:rPr>
            </w:pPr>
            <w:r>
              <w:rPr>
                <w:rFonts w:ascii="Times New Roman" w:hAnsi="Times New Roman" w:cs="Times New Roman"/>
              </w:rPr>
              <w:t>- 435 063</w:t>
            </w:r>
          </w:p>
        </w:tc>
        <w:tc>
          <w:tcPr>
            <w:tcW w:w="1134" w:type="dxa"/>
            <w:tcBorders>
              <w:top w:val="single" w:sz="8" w:space="0" w:color="auto"/>
              <w:left w:val="single" w:sz="4" w:space="0" w:color="auto"/>
              <w:bottom w:val="single" w:sz="8" w:space="0" w:color="auto"/>
              <w:right w:val="nil"/>
              <w:tl2br w:val="nil"/>
              <w:tr2bl w:val="nil"/>
            </w:tcBorders>
            <w:noWrap/>
            <w:tcMar>
              <w:top w:w="15" w:type="dxa"/>
              <w:left w:w="15" w:type="dxa"/>
              <w:bottom w:w="0" w:type="dxa"/>
              <w:right w:w="15" w:type="dxa"/>
            </w:tcMar>
            <w:textDirection w:val="lrTb"/>
            <w:vAlign w:val="center"/>
          </w:tcPr>
          <w:p w:rsidR="00D37034" w:rsidRPr="006810E4" w:rsidP="00FD671F">
            <w:pPr>
              <w:spacing w:line="240" w:lineRule="auto"/>
              <w:jc w:val="right"/>
              <w:rPr>
                <w:rFonts w:ascii="Times New Roman" w:hAnsi="Times New Roman" w:cs="Times New Roman"/>
              </w:rPr>
            </w:pPr>
            <w:r>
              <w:rPr>
                <w:rFonts w:ascii="Times New Roman" w:hAnsi="Times New Roman" w:cs="Times New Roman"/>
              </w:rPr>
              <w:t>- 402 226</w:t>
            </w:r>
          </w:p>
        </w:tc>
        <w:tc>
          <w:tcPr>
            <w:tcW w:w="1134" w:type="dxa"/>
            <w:tcBorders>
              <w:top w:val="single" w:sz="8" w:space="0" w:color="auto"/>
              <w:left w:val="single" w:sz="4" w:space="0" w:color="auto"/>
              <w:bottom w:val="single" w:sz="8" w:space="0" w:color="auto"/>
              <w:right w:val="nil"/>
              <w:tl2br w:val="nil"/>
              <w:tr2bl w:val="nil"/>
            </w:tcBorders>
            <w:noWrap/>
            <w:tcMar>
              <w:top w:w="15" w:type="dxa"/>
              <w:left w:w="15" w:type="dxa"/>
              <w:bottom w:w="0" w:type="dxa"/>
              <w:right w:w="15" w:type="dxa"/>
            </w:tcMar>
            <w:textDirection w:val="lrTb"/>
            <w:vAlign w:val="center"/>
          </w:tcPr>
          <w:p w:rsidR="00D37034" w:rsidRPr="006810E4" w:rsidP="00FD671F">
            <w:pPr>
              <w:spacing w:line="240" w:lineRule="auto"/>
              <w:jc w:val="right"/>
              <w:rPr>
                <w:rFonts w:ascii="Times New Roman" w:hAnsi="Times New Roman" w:cs="Times New Roman"/>
              </w:rPr>
            </w:pPr>
            <w:r>
              <w:rPr>
                <w:rFonts w:ascii="Times New Roman" w:hAnsi="Times New Roman" w:cs="Times New Roman"/>
              </w:rPr>
              <w:t>- 319 545</w:t>
            </w:r>
          </w:p>
        </w:tc>
        <w:tc>
          <w:tcPr>
            <w:tcW w:w="1134" w:type="dxa"/>
            <w:tcBorders>
              <w:top w:val="single" w:sz="8" w:space="0" w:color="auto"/>
              <w:left w:val="single" w:sz="4" w:space="0" w:color="auto"/>
              <w:bottom w:val="single" w:sz="8" w:space="0" w:color="auto"/>
              <w:right w:val="single" w:sz="8" w:space="0" w:color="auto"/>
              <w:tl2br w:val="nil"/>
              <w:tr2bl w:val="nil"/>
            </w:tcBorders>
            <w:noWrap/>
            <w:tcMar>
              <w:top w:w="15" w:type="dxa"/>
              <w:left w:w="15" w:type="dxa"/>
              <w:bottom w:w="0" w:type="dxa"/>
              <w:right w:w="15" w:type="dxa"/>
            </w:tcMar>
            <w:textDirection w:val="lrTb"/>
            <w:vAlign w:val="center"/>
          </w:tcPr>
          <w:p w:rsidR="00D37034" w:rsidRPr="006810E4" w:rsidP="00FD671F">
            <w:pPr>
              <w:spacing w:line="240" w:lineRule="auto"/>
              <w:jc w:val="right"/>
              <w:rPr>
                <w:rFonts w:ascii="Times New Roman" w:hAnsi="Times New Roman" w:cs="Times New Roman"/>
              </w:rPr>
            </w:pPr>
            <w:r>
              <w:rPr>
                <w:rFonts w:ascii="Times New Roman" w:hAnsi="Times New Roman" w:cs="Times New Roman"/>
              </w:rPr>
              <w:t>- 273 179</w:t>
            </w:r>
          </w:p>
        </w:tc>
      </w:tr>
      <w:tr>
        <w:tblPrEx>
          <w:tblW w:w="9294" w:type="dxa"/>
          <w:jc w:val="center"/>
          <w:tblCellMar>
            <w:left w:w="0" w:type="dxa"/>
            <w:right w:w="0" w:type="dxa"/>
          </w:tblCellMar>
        </w:tblPrEx>
        <w:trPr>
          <w:trHeight w:hRule="exact" w:val="284"/>
          <w:jc w:val="center"/>
        </w:trPr>
        <w:tc>
          <w:tcPr>
            <w:tcW w:w="335" w:type="dxa"/>
            <w:tcBorders>
              <w:top w:val="nil"/>
              <w:left w:val="single" w:sz="8" w:space="0" w:color="auto"/>
              <w:bottom w:val="single" w:sz="8" w:space="0" w:color="auto"/>
              <w:right w:val="single" w:sz="4" w:space="0" w:color="auto"/>
              <w:tl2br w:val="nil"/>
              <w:tr2bl w:val="nil"/>
            </w:tcBorders>
            <w:shd w:val="clear" w:color="auto" w:fill="C0C0C0"/>
            <w:noWrap/>
            <w:tcMar>
              <w:top w:w="15" w:type="dxa"/>
              <w:left w:w="15" w:type="dxa"/>
              <w:bottom w:w="0" w:type="dxa"/>
              <w:right w:w="15" w:type="dxa"/>
            </w:tcMar>
            <w:textDirection w:val="lrTb"/>
            <w:vAlign w:val="center"/>
          </w:tcPr>
          <w:p w:rsidR="00D37034" w:rsidRPr="006810E4" w:rsidP="00FD671F">
            <w:pPr>
              <w:spacing w:line="240" w:lineRule="auto"/>
              <w:jc w:val="left"/>
              <w:rPr>
                <w:rFonts w:ascii="Times New Roman" w:hAnsi="Times New Roman" w:cs="Times New Roman"/>
              </w:rPr>
            </w:pPr>
            <w:r w:rsidRPr="006810E4">
              <w:rPr>
                <w:rFonts w:ascii="Times New Roman" w:hAnsi="Times New Roman" w:cs="Times New Roman"/>
              </w:rPr>
              <w:t> </w:t>
            </w:r>
          </w:p>
        </w:tc>
        <w:tc>
          <w:tcPr>
            <w:tcW w:w="2259" w:type="dxa"/>
            <w:tcBorders>
              <w:top w:val="nil"/>
              <w:left w:val="nil"/>
              <w:bottom w:val="single" w:sz="8" w:space="0" w:color="auto"/>
              <w:right w:val="single" w:sz="4" w:space="0" w:color="auto"/>
              <w:tl2br w:val="nil"/>
              <w:tr2bl w:val="nil"/>
            </w:tcBorders>
            <w:shd w:val="clear" w:color="auto" w:fill="C0C0C0"/>
            <w:noWrap/>
            <w:tcMar>
              <w:top w:w="15" w:type="dxa"/>
              <w:left w:w="15" w:type="dxa"/>
              <w:bottom w:w="0" w:type="dxa"/>
              <w:right w:w="15" w:type="dxa"/>
            </w:tcMar>
            <w:textDirection w:val="lrTb"/>
            <w:vAlign w:val="center"/>
          </w:tcPr>
          <w:p w:rsidR="00D37034" w:rsidRPr="006810E4" w:rsidP="00FD671F">
            <w:pPr>
              <w:spacing w:line="240" w:lineRule="auto"/>
              <w:jc w:val="left"/>
              <w:rPr>
                <w:rFonts w:ascii="Times New Roman" w:hAnsi="Times New Roman" w:cs="Times New Roman"/>
                <w:b/>
                <w:bCs/>
              </w:rPr>
            </w:pPr>
            <w:r w:rsidRPr="006810E4">
              <w:rPr>
                <w:rFonts w:ascii="Times New Roman" w:hAnsi="Times New Roman" w:cs="Times New Roman"/>
                <w:b/>
                <w:bCs/>
              </w:rPr>
              <w:t>Spolu po korekcii o OP</w:t>
            </w:r>
          </w:p>
        </w:tc>
        <w:tc>
          <w:tcPr>
            <w:tcW w:w="1134" w:type="dxa"/>
            <w:tcBorders>
              <w:top w:val="nil"/>
              <w:left w:val="nil"/>
              <w:bottom w:val="single" w:sz="8" w:space="0" w:color="auto"/>
              <w:right w:val="nil"/>
              <w:tl2br w:val="nil"/>
              <w:tr2bl w:val="nil"/>
            </w:tcBorders>
            <w:shd w:val="clear" w:color="auto" w:fill="C0C0C0"/>
            <w:noWrap/>
            <w:tcMar>
              <w:top w:w="15" w:type="dxa"/>
              <w:left w:w="15" w:type="dxa"/>
              <w:bottom w:w="0" w:type="dxa"/>
              <w:right w:w="15" w:type="dxa"/>
            </w:tcMar>
            <w:textDirection w:val="lrTb"/>
            <w:vAlign w:val="center"/>
          </w:tcPr>
          <w:p w:rsidR="00D37034" w:rsidRPr="006810E4" w:rsidP="00FD671F">
            <w:pPr>
              <w:spacing w:line="240" w:lineRule="auto"/>
              <w:jc w:val="right"/>
              <w:rPr>
                <w:rFonts w:ascii="Times New Roman" w:hAnsi="Times New Roman" w:cs="Times New Roman"/>
                <w:b/>
                <w:bCs/>
              </w:rPr>
            </w:pPr>
            <w:r>
              <w:rPr>
                <w:rFonts w:ascii="Times New Roman" w:hAnsi="Times New Roman" w:cs="Times New Roman"/>
                <w:b/>
                <w:bCs/>
              </w:rPr>
              <w:t>884 958</w:t>
            </w:r>
          </w:p>
        </w:tc>
        <w:tc>
          <w:tcPr>
            <w:tcW w:w="1134" w:type="dxa"/>
            <w:tcBorders>
              <w:top w:val="nil"/>
              <w:left w:val="single" w:sz="4" w:space="0" w:color="auto"/>
              <w:bottom w:val="single" w:sz="8" w:space="0" w:color="auto"/>
              <w:right w:val="nil"/>
              <w:tl2br w:val="nil"/>
              <w:tr2bl w:val="nil"/>
            </w:tcBorders>
            <w:shd w:val="clear" w:color="auto" w:fill="C0C0C0"/>
            <w:noWrap/>
            <w:tcMar>
              <w:top w:w="15" w:type="dxa"/>
              <w:left w:w="15" w:type="dxa"/>
              <w:bottom w:w="0" w:type="dxa"/>
              <w:right w:w="15" w:type="dxa"/>
            </w:tcMar>
            <w:textDirection w:val="lrTb"/>
            <w:vAlign w:val="center"/>
          </w:tcPr>
          <w:p w:rsidR="00D37034" w:rsidRPr="006810E4" w:rsidP="00FD671F">
            <w:pPr>
              <w:spacing w:line="240" w:lineRule="auto"/>
              <w:jc w:val="right"/>
              <w:rPr>
                <w:rFonts w:ascii="Times New Roman" w:hAnsi="Times New Roman" w:cs="Times New Roman"/>
                <w:b/>
                <w:bCs/>
              </w:rPr>
            </w:pPr>
            <w:r>
              <w:rPr>
                <w:rFonts w:ascii="Times New Roman" w:hAnsi="Times New Roman" w:cs="Times New Roman"/>
                <w:b/>
                <w:bCs/>
              </w:rPr>
              <w:t>1 274 630</w:t>
            </w:r>
          </w:p>
        </w:tc>
        <w:tc>
          <w:tcPr>
            <w:tcW w:w="1134" w:type="dxa"/>
            <w:tcBorders>
              <w:top w:val="nil"/>
              <w:left w:val="single" w:sz="4" w:space="0" w:color="auto"/>
              <w:bottom w:val="single" w:sz="8" w:space="0" w:color="auto"/>
              <w:right w:val="nil"/>
              <w:tl2br w:val="nil"/>
              <w:tr2bl w:val="nil"/>
            </w:tcBorders>
            <w:shd w:val="clear" w:color="auto" w:fill="C0C0C0"/>
            <w:noWrap/>
            <w:tcMar>
              <w:top w:w="15" w:type="dxa"/>
              <w:left w:w="15" w:type="dxa"/>
              <w:bottom w:w="0" w:type="dxa"/>
              <w:right w:w="15" w:type="dxa"/>
            </w:tcMar>
            <w:textDirection w:val="lrTb"/>
            <w:vAlign w:val="center"/>
          </w:tcPr>
          <w:p w:rsidR="00D37034" w:rsidRPr="006810E4" w:rsidP="00FD671F">
            <w:pPr>
              <w:spacing w:line="240" w:lineRule="auto"/>
              <w:jc w:val="right"/>
              <w:rPr>
                <w:rFonts w:ascii="Times New Roman" w:hAnsi="Times New Roman" w:cs="Times New Roman"/>
                <w:b/>
                <w:bCs/>
              </w:rPr>
            </w:pPr>
            <w:r>
              <w:rPr>
                <w:rFonts w:ascii="Times New Roman" w:hAnsi="Times New Roman" w:cs="Times New Roman"/>
                <w:b/>
                <w:bCs/>
              </w:rPr>
              <w:t>1 343 841</w:t>
            </w:r>
          </w:p>
        </w:tc>
        <w:tc>
          <w:tcPr>
            <w:tcW w:w="1134" w:type="dxa"/>
            <w:tcBorders>
              <w:top w:val="nil"/>
              <w:left w:val="single" w:sz="4" w:space="0" w:color="auto"/>
              <w:bottom w:val="single" w:sz="8" w:space="0" w:color="auto"/>
              <w:right w:val="nil"/>
              <w:tl2br w:val="nil"/>
              <w:tr2bl w:val="nil"/>
            </w:tcBorders>
            <w:shd w:val="clear" w:color="auto" w:fill="C0C0C0"/>
            <w:noWrap/>
            <w:tcMar>
              <w:top w:w="15" w:type="dxa"/>
              <w:left w:w="15" w:type="dxa"/>
              <w:bottom w:w="0" w:type="dxa"/>
              <w:right w:w="15" w:type="dxa"/>
            </w:tcMar>
            <w:textDirection w:val="lrTb"/>
            <w:vAlign w:val="center"/>
          </w:tcPr>
          <w:p w:rsidR="00D37034" w:rsidRPr="006810E4" w:rsidP="00FD671F">
            <w:pPr>
              <w:spacing w:line="240" w:lineRule="auto"/>
              <w:jc w:val="right"/>
              <w:rPr>
                <w:rFonts w:ascii="Times New Roman" w:hAnsi="Times New Roman" w:cs="Times New Roman"/>
                <w:b/>
                <w:bCs/>
              </w:rPr>
            </w:pPr>
            <w:r>
              <w:rPr>
                <w:rFonts w:ascii="Times New Roman" w:hAnsi="Times New Roman" w:cs="Times New Roman"/>
                <w:b/>
                <w:bCs/>
              </w:rPr>
              <w:t>1 499 745</w:t>
            </w:r>
          </w:p>
        </w:tc>
        <w:tc>
          <w:tcPr>
            <w:tcW w:w="1134" w:type="dxa"/>
            <w:tcBorders>
              <w:top w:val="nil"/>
              <w:left w:val="single" w:sz="4" w:space="0" w:color="auto"/>
              <w:bottom w:val="single" w:sz="8" w:space="0" w:color="auto"/>
              <w:right w:val="single" w:sz="8" w:space="0" w:color="auto"/>
              <w:tl2br w:val="nil"/>
              <w:tr2bl w:val="nil"/>
            </w:tcBorders>
            <w:shd w:val="clear" w:color="auto" w:fill="C0C0C0"/>
            <w:noWrap/>
            <w:tcMar>
              <w:top w:w="15" w:type="dxa"/>
              <w:left w:w="15" w:type="dxa"/>
              <w:bottom w:w="0" w:type="dxa"/>
              <w:right w:w="15" w:type="dxa"/>
            </w:tcMar>
            <w:textDirection w:val="lrTb"/>
            <w:vAlign w:val="center"/>
          </w:tcPr>
          <w:p w:rsidR="00D37034" w:rsidRPr="006810E4" w:rsidP="00FD671F">
            <w:pPr>
              <w:spacing w:line="240" w:lineRule="auto"/>
              <w:jc w:val="right"/>
              <w:rPr>
                <w:rFonts w:ascii="Times New Roman" w:hAnsi="Times New Roman" w:cs="Times New Roman"/>
                <w:b/>
                <w:bCs/>
              </w:rPr>
            </w:pPr>
            <w:r>
              <w:rPr>
                <w:rFonts w:ascii="Times New Roman" w:hAnsi="Times New Roman" w:cs="Times New Roman"/>
                <w:b/>
                <w:bCs/>
              </w:rPr>
              <w:t>1 385 744</w:t>
            </w:r>
          </w:p>
        </w:tc>
      </w:tr>
      <w:tr>
        <w:tblPrEx>
          <w:tblW w:w="9294" w:type="dxa"/>
          <w:jc w:val="center"/>
          <w:tblCellMar>
            <w:left w:w="0" w:type="dxa"/>
            <w:right w:w="0" w:type="dxa"/>
          </w:tblCellMar>
        </w:tblPrEx>
        <w:trPr>
          <w:trHeight w:hRule="exact" w:val="284"/>
          <w:jc w:val="center"/>
        </w:trPr>
        <w:tc>
          <w:tcPr>
            <w:tcW w:w="335" w:type="dxa"/>
            <w:tcBorders>
              <w:top w:val="nil"/>
              <w:left w:val="single" w:sz="8" w:space="0" w:color="auto"/>
              <w:bottom w:val="single" w:sz="8" w:space="0" w:color="auto"/>
              <w:right w:val="nil"/>
              <w:tl2br w:val="nil"/>
              <w:tr2bl w:val="nil"/>
            </w:tcBorders>
            <w:noWrap/>
            <w:tcMar>
              <w:top w:w="15" w:type="dxa"/>
              <w:left w:w="15" w:type="dxa"/>
              <w:bottom w:w="0" w:type="dxa"/>
              <w:right w:w="15" w:type="dxa"/>
            </w:tcMar>
            <w:textDirection w:val="lrTb"/>
            <w:vAlign w:val="center"/>
          </w:tcPr>
          <w:p w:rsidR="00D37034" w:rsidRPr="006810E4" w:rsidP="00FD671F">
            <w:pPr>
              <w:spacing w:line="240" w:lineRule="auto"/>
              <w:jc w:val="left"/>
              <w:rPr>
                <w:rFonts w:ascii="Times New Roman" w:hAnsi="Times New Roman" w:cs="Times New Roman"/>
              </w:rPr>
            </w:pPr>
            <w:r w:rsidRPr="006810E4">
              <w:rPr>
                <w:rFonts w:ascii="Times New Roman" w:hAnsi="Times New Roman" w:cs="Times New Roman"/>
              </w:rPr>
              <w:t> </w:t>
            </w:r>
          </w:p>
        </w:tc>
        <w:tc>
          <w:tcPr>
            <w:tcW w:w="2259" w:type="dxa"/>
            <w:tcBorders>
              <w:top w:val="nil"/>
              <w:left w:val="single" w:sz="4" w:space="0" w:color="auto"/>
              <w:bottom w:val="single" w:sz="8" w:space="0" w:color="auto"/>
              <w:right w:val="single" w:sz="4" w:space="0" w:color="auto"/>
              <w:tl2br w:val="nil"/>
              <w:tr2bl w:val="nil"/>
            </w:tcBorders>
            <w:noWrap/>
            <w:tcMar>
              <w:top w:w="15" w:type="dxa"/>
              <w:left w:w="15" w:type="dxa"/>
              <w:bottom w:w="0" w:type="dxa"/>
              <w:right w:w="15" w:type="dxa"/>
            </w:tcMar>
            <w:textDirection w:val="lrTb"/>
            <w:vAlign w:val="center"/>
          </w:tcPr>
          <w:p w:rsidR="00D37034" w:rsidRPr="006810E4" w:rsidP="00FD671F">
            <w:pPr>
              <w:spacing w:line="240" w:lineRule="auto"/>
              <w:jc w:val="left"/>
              <w:rPr>
                <w:rFonts w:ascii="Times New Roman" w:hAnsi="Times New Roman" w:cs="Times New Roman"/>
              </w:rPr>
            </w:pPr>
            <w:r w:rsidRPr="006810E4">
              <w:rPr>
                <w:rFonts w:ascii="Times New Roman" w:hAnsi="Times New Roman" w:cs="Times New Roman"/>
              </w:rPr>
              <w:t>z toho: po leh. splatnosti</w:t>
            </w:r>
          </w:p>
        </w:tc>
        <w:tc>
          <w:tcPr>
            <w:tcW w:w="1134" w:type="dxa"/>
            <w:tcBorders>
              <w:top w:val="nil"/>
              <w:left w:val="nil"/>
              <w:bottom w:val="single" w:sz="8" w:space="0" w:color="auto"/>
              <w:right w:val="nil"/>
              <w:tl2br w:val="nil"/>
              <w:tr2bl w:val="nil"/>
            </w:tcBorders>
            <w:noWrap/>
            <w:tcMar>
              <w:top w:w="15" w:type="dxa"/>
              <w:left w:w="15" w:type="dxa"/>
              <w:bottom w:w="0" w:type="dxa"/>
              <w:right w:w="15" w:type="dxa"/>
            </w:tcMar>
            <w:textDirection w:val="lrTb"/>
            <w:vAlign w:val="center"/>
          </w:tcPr>
          <w:p w:rsidR="00D37034" w:rsidRPr="006810E4" w:rsidP="00FD671F">
            <w:pPr>
              <w:spacing w:line="240" w:lineRule="auto"/>
              <w:jc w:val="right"/>
              <w:rPr>
                <w:rFonts w:ascii="Times New Roman" w:hAnsi="Times New Roman" w:cs="Times New Roman"/>
              </w:rPr>
            </w:pPr>
            <w:r>
              <w:rPr>
                <w:rFonts w:ascii="Times New Roman" w:hAnsi="Times New Roman" w:cs="Times New Roman"/>
              </w:rPr>
              <w:t>77 731</w:t>
            </w:r>
          </w:p>
        </w:tc>
        <w:tc>
          <w:tcPr>
            <w:tcW w:w="1134" w:type="dxa"/>
            <w:tcBorders>
              <w:top w:val="nil"/>
              <w:left w:val="single" w:sz="4" w:space="0" w:color="auto"/>
              <w:bottom w:val="single" w:sz="8" w:space="0" w:color="auto"/>
              <w:right w:val="nil"/>
              <w:tl2br w:val="nil"/>
              <w:tr2bl w:val="nil"/>
            </w:tcBorders>
            <w:noWrap/>
            <w:tcMar>
              <w:top w:w="15" w:type="dxa"/>
              <w:left w:w="15" w:type="dxa"/>
              <w:bottom w:w="0" w:type="dxa"/>
              <w:right w:w="15" w:type="dxa"/>
            </w:tcMar>
            <w:textDirection w:val="lrTb"/>
            <w:vAlign w:val="center"/>
          </w:tcPr>
          <w:p w:rsidR="00D37034" w:rsidRPr="006810E4" w:rsidP="00FD671F">
            <w:pPr>
              <w:spacing w:line="240" w:lineRule="auto"/>
              <w:jc w:val="right"/>
              <w:rPr>
                <w:rFonts w:ascii="Times New Roman" w:hAnsi="Times New Roman" w:cs="Times New Roman"/>
              </w:rPr>
            </w:pPr>
            <w:r>
              <w:rPr>
                <w:rFonts w:ascii="Times New Roman" w:hAnsi="Times New Roman" w:cs="Times New Roman"/>
              </w:rPr>
              <w:t>356 949</w:t>
            </w:r>
          </w:p>
        </w:tc>
        <w:tc>
          <w:tcPr>
            <w:tcW w:w="1134" w:type="dxa"/>
            <w:tcBorders>
              <w:top w:val="nil"/>
              <w:left w:val="single" w:sz="4" w:space="0" w:color="auto"/>
              <w:bottom w:val="single" w:sz="8" w:space="0" w:color="auto"/>
              <w:right w:val="nil"/>
              <w:tl2br w:val="nil"/>
              <w:tr2bl w:val="nil"/>
            </w:tcBorders>
            <w:noWrap/>
            <w:tcMar>
              <w:top w:w="15" w:type="dxa"/>
              <w:left w:w="15" w:type="dxa"/>
              <w:bottom w:w="0" w:type="dxa"/>
              <w:right w:w="15" w:type="dxa"/>
            </w:tcMar>
            <w:textDirection w:val="lrTb"/>
            <w:vAlign w:val="center"/>
          </w:tcPr>
          <w:p w:rsidR="00D37034" w:rsidRPr="006810E4" w:rsidP="00FD671F">
            <w:pPr>
              <w:spacing w:line="240" w:lineRule="auto"/>
              <w:jc w:val="right"/>
              <w:rPr>
                <w:rFonts w:ascii="Times New Roman" w:hAnsi="Times New Roman" w:cs="Times New Roman"/>
              </w:rPr>
            </w:pPr>
            <w:r>
              <w:rPr>
                <w:rFonts w:ascii="Times New Roman" w:hAnsi="Times New Roman" w:cs="Times New Roman"/>
              </w:rPr>
              <w:t>407 064</w:t>
            </w:r>
          </w:p>
        </w:tc>
        <w:tc>
          <w:tcPr>
            <w:tcW w:w="1134" w:type="dxa"/>
            <w:tcBorders>
              <w:top w:val="nil"/>
              <w:left w:val="single" w:sz="4" w:space="0" w:color="auto"/>
              <w:bottom w:val="single" w:sz="8" w:space="0" w:color="auto"/>
              <w:right w:val="nil"/>
              <w:tl2br w:val="nil"/>
              <w:tr2bl w:val="nil"/>
            </w:tcBorders>
            <w:noWrap/>
            <w:tcMar>
              <w:top w:w="15" w:type="dxa"/>
              <w:left w:w="15" w:type="dxa"/>
              <w:bottom w:w="0" w:type="dxa"/>
              <w:right w:w="15" w:type="dxa"/>
            </w:tcMar>
            <w:textDirection w:val="lrTb"/>
            <w:vAlign w:val="center"/>
          </w:tcPr>
          <w:p w:rsidR="00D37034" w:rsidRPr="006810E4" w:rsidP="00FD671F">
            <w:pPr>
              <w:spacing w:line="240" w:lineRule="auto"/>
              <w:jc w:val="right"/>
              <w:rPr>
                <w:rFonts w:ascii="Times New Roman" w:hAnsi="Times New Roman" w:cs="Times New Roman"/>
              </w:rPr>
            </w:pPr>
            <w:r>
              <w:rPr>
                <w:rFonts w:ascii="Times New Roman" w:hAnsi="Times New Roman" w:cs="Times New Roman"/>
              </w:rPr>
              <w:t>561 890</w:t>
            </w:r>
          </w:p>
        </w:tc>
        <w:tc>
          <w:tcPr>
            <w:tcW w:w="1134" w:type="dxa"/>
            <w:tcBorders>
              <w:top w:val="nil"/>
              <w:left w:val="single" w:sz="4" w:space="0" w:color="auto"/>
              <w:bottom w:val="single" w:sz="8" w:space="0" w:color="auto"/>
              <w:right w:val="single" w:sz="8" w:space="0" w:color="auto"/>
              <w:tl2br w:val="nil"/>
              <w:tr2bl w:val="nil"/>
            </w:tcBorders>
            <w:noWrap/>
            <w:tcMar>
              <w:top w:w="15" w:type="dxa"/>
              <w:left w:w="15" w:type="dxa"/>
              <w:bottom w:w="0" w:type="dxa"/>
              <w:right w:w="15" w:type="dxa"/>
            </w:tcMar>
            <w:textDirection w:val="lrTb"/>
            <w:vAlign w:val="center"/>
          </w:tcPr>
          <w:p w:rsidR="00D37034" w:rsidRPr="006810E4" w:rsidP="00FD671F">
            <w:pPr>
              <w:spacing w:line="240" w:lineRule="auto"/>
              <w:jc w:val="right"/>
              <w:rPr>
                <w:rFonts w:ascii="Times New Roman" w:hAnsi="Times New Roman" w:cs="Times New Roman"/>
              </w:rPr>
            </w:pPr>
            <w:r>
              <w:rPr>
                <w:rFonts w:ascii="Times New Roman" w:hAnsi="Times New Roman" w:cs="Times New Roman"/>
              </w:rPr>
              <w:t>574 810</w:t>
            </w:r>
          </w:p>
        </w:tc>
      </w:tr>
    </w:tbl>
    <w:p w:rsidR="0072119B" w:rsidRPr="00245288" w:rsidP="00FD671F">
      <w:pPr>
        <w:spacing w:line="240" w:lineRule="auto"/>
        <w:rPr>
          <w:rFonts w:ascii="Times New Roman" w:hAnsi="Times New Roman" w:cs="Times New Roman"/>
          <w:sz w:val="24"/>
          <w:szCs w:val="24"/>
        </w:rPr>
      </w:pPr>
    </w:p>
    <w:tbl>
      <w:tblPr>
        <w:tblW w:w="9326" w:type="dxa"/>
        <w:jc w:val="center"/>
        <w:tblInd w:w="2256" w:type="dxa"/>
        <w:tblCellMar>
          <w:left w:w="0" w:type="dxa"/>
          <w:right w:w="0" w:type="dxa"/>
        </w:tblCellMar>
      </w:tblPr>
      <w:tblGrid>
        <w:gridCol w:w="330"/>
        <w:gridCol w:w="44"/>
        <w:gridCol w:w="2503"/>
        <w:gridCol w:w="402"/>
        <w:gridCol w:w="921"/>
        <w:gridCol w:w="402"/>
        <w:gridCol w:w="881"/>
        <w:gridCol w:w="402"/>
        <w:gridCol w:w="818"/>
        <w:gridCol w:w="402"/>
        <w:gridCol w:w="826"/>
        <w:gridCol w:w="402"/>
        <w:gridCol w:w="956"/>
        <w:gridCol w:w="37"/>
      </w:tblGrid>
      <w:tr>
        <w:tblPrEx>
          <w:tblW w:w="9326" w:type="dxa"/>
          <w:jc w:val="center"/>
          <w:tblInd w:w="2256" w:type="dxa"/>
          <w:tblCellMar>
            <w:left w:w="0" w:type="dxa"/>
            <w:right w:w="0" w:type="dxa"/>
          </w:tblCellMar>
        </w:tblPrEx>
        <w:trPr>
          <w:trHeight w:val="342"/>
          <w:jc w:val="center"/>
        </w:trPr>
        <w:tc>
          <w:tcPr>
            <w:tcW w:w="9326" w:type="dxa"/>
            <w:gridSpan w:val="14"/>
            <w:tcBorders>
              <w:top w:val="nil"/>
              <w:left w:val="nil"/>
              <w:bottom w:val="nil"/>
              <w:right w:val="nil"/>
              <w:tl2br w:val="nil"/>
              <w:tr2bl w:val="nil"/>
            </w:tcBorders>
            <w:noWrap/>
            <w:tcMar>
              <w:top w:w="15" w:type="dxa"/>
              <w:left w:w="15" w:type="dxa"/>
              <w:bottom w:w="0" w:type="dxa"/>
              <w:right w:w="15" w:type="dxa"/>
            </w:tcMar>
            <w:textDirection w:val="lrTb"/>
            <w:vAlign w:val="center"/>
          </w:tcPr>
          <w:p w:rsidR="00B97FAA" w:rsidRPr="00BC4A1A" w:rsidP="00FD671F">
            <w:pPr>
              <w:spacing w:line="240" w:lineRule="auto"/>
              <w:ind w:left="-467" w:firstLine="467"/>
              <w:jc w:val="center"/>
              <w:rPr>
                <w:rFonts w:ascii="Times New Roman" w:hAnsi="Times New Roman" w:cs="Times New Roman"/>
                <w:b/>
                <w:bCs/>
                <w:iCs/>
                <w:sz w:val="24"/>
                <w:szCs w:val="24"/>
              </w:rPr>
            </w:pPr>
            <w:r w:rsidR="00B40A33">
              <w:rPr>
                <w:rFonts w:ascii="Times New Roman" w:hAnsi="Times New Roman" w:cs="Times New Roman"/>
                <w:b/>
                <w:bCs/>
                <w:iCs/>
                <w:sz w:val="24"/>
                <w:szCs w:val="24"/>
              </w:rPr>
              <w:t xml:space="preserve">Prehľad krátkodobých záväzkov z obchodného </w:t>
            </w:r>
            <w:r w:rsidRPr="00BC4A1A">
              <w:rPr>
                <w:rFonts w:ascii="Times New Roman" w:hAnsi="Times New Roman" w:cs="Times New Roman"/>
                <w:b/>
                <w:bCs/>
                <w:iCs/>
                <w:sz w:val="24"/>
                <w:szCs w:val="24"/>
              </w:rPr>
              <w:t>styku voči cudzím dodávateľom</w:t>
            </w:r>
          </w:p>
        </w:tc>
      </w:tr>
      <w:tr>
        <w:tblPrEx>
          <w:tblW w:w="9326" w:type="dxa"/>
          <w:jc w:val="center"/>
          <w:tblInd w:w="2256" w:type="dxa"/>
          <w:tblCellMar>
            <w:left w:w="0" w:type="dxa"/>
            <w:right w:w="0" w:type="dxa"/>
          </w:tblCellMar>
        </w:tblPrEx>
        <w:trPr>
          <w:trHeight w:hRule="exact" w:val="227"/>
          <w:jc w:val="center"/>
        </w:trPr>
        <w:tc>
          <w:tcPr>
            <w:tcW w:w="374" w:type="dxa"/>
            <w:gridSpan w:val="2"/>
            <w:tcBorders>
              <w:top w:val="nil"/>
              <w:left w:val="nil"/>
              <w:bottom w:val="nil"/>
              <w:right w:val="nil"/>
              <w:tl2br w:val="nil"/>
              <w:tr2bl w:val="nil"/>
            </w:tcBorders>
            <w:noWrap/>
            <w:tcMar>
              <w:top w:w="15" w:type="dxa"/>
              <w:left w:w="15" w:type="dxa"/>
              <w:bottom w:w="0" w:type="dxa"/>
              <w:right w:w="15" w:type="dxa"/>
            </w:tcMar>
            <w:textDirection w:val="lrTb"/>
            <w:vAlign w:val="center"/>
          </w:tcPr>
          <w:p w:rsidR="00B97FAA" w:rsidRPr="006810E4" w:rsidP="00FD671F">
            <w:pPr>
              <w:spacing w:line="240" w:lineRule="auto"/>
              <w:rPr>
                <w:rFonts w:ascii="Times New Roman" w:hAnsi="Times New Roman" w:cs="Times New Roman"/>
              </w:rPr>
            </w:pPr>
          </w:p>
        </w:tc>
        <w:tc>
          <w:tcPr>
            <w:tcW w:w="2905" w:type="dxa"/>
            <w:gridSpan w:val="2"/>
            <w:tcBorders>
              <w:top w:val="nil"/>
              <w:left w:val="nil"/>
              <w:bottom w:val="nil"/>
              <w:right w:val="nil"/>
              <w:tl2br w:val="nil"/>
              <w:tr2bl w:val="nil"/>
            </w:tcBorders>
            <w:noWrap/>
            <w:tcMar>
              <w:top w:w="15" w:type="dxa"/>
              <w:left w:w="15" w:type="dxa"/>
              <w:bottom w:w="0" w:type="dxa"/>
              <w:right w:w="15" w:type="dxa"/>
            </w:tcMar>
            <w:textDirection w:val="lrTb"/>
            <w:vAlign w:val="center"/>
          </w:tcPr>
          <w:p w:rsidR="00B97FAA" w:rsidRPr="006810E4" w:rsidP="00FD671F">
            <w:pPr>
              <w:spacing w:line="240" w:lineRule="auto"/>
              <w:rPr>
                <w:rFonts w:ascii="Times New Roman" w:hAnsi="Times New Roman" w:cs="Times New Roman"/>
              </w:rPr>
            </w:pPr>
          </w:p>
        </w:tc>
        <w:tc>
          <w:tcPr>
            <w:tcW w:w="1323" w:type="dxa"/>
            <w:gridSpan w:val="2"/>
            <w:tcBorders>
              <w:top w:val="nil"/>
              <w:left w:val="nil"/>
              <w:bottom w:val="nil"/>
              <w:right w:val="nil"/>
              <w:tl2br w:val="nil"/>
              <w:tr2bl w:val="nil"/>
            </w:tcBorders>
            <w:noWrap/>
            <w:tcMar>
              <w:top w:w="15" w:type="dxa"/>
              <w:left w:w="15" w:type="dxa"/>
              <w:bottom w:w="0" w:type="dxa"/>
              <w:right w:w="15" w:type="dxa"/>
            </w:tcMar>
            <w:textDirection w:val="lrTb"/>
            <w:vAlign w:val="center"/>
          </w:tcPr>
          <w:p w:rsidR="00B97FAA" w:rsidRPr="006810E4" w:rsidP="00FD671F">
            <w:pPr>
              <w:spacing w:line="240" w:lineRule="auto"/>
              <w:rPr>
                <w:rFonts w:ascii="Times New Roman" w:hAnsi="Times New Roman" w:cs="Times New Roman"/>
              </w:rPr>
            </w:pPr>
          </w:p>
        </w:tc>
        <w:tc>
          <w:tcPr>
            <w:tcW w:w="1283" w:type="dxa"/>
            <w:gridSpan w:val="2"/>
            <w:tcBorders>
              <w:top w:val="nil"/>
              <w:left w:val="nil"/>
              <w:bottom w:val="nil"/>
              <w:right w:val="nil"/>
              <w:tl2br w:val="nil"/>
              <w:tr2bl w:val="nil"/>
            </w:tcBorders>
            <w:noWrap/>
            <w:tcMar>
              <w:top w:w="15" w:type="dxa"/>
              <w:left w:w="15" w:type="dxa"/>
              <w:bottom w:w="0" w:type="dxa"/>
              <w:right w:w="15" w:type="dxa"/>
            </w:tcMar>
            <w:textDirection w:val="lrTb"/>
            <w:vAlign w:val="center"/>
          </w:tcPr>
          <w:p w:rsidR="00B97FAA" w:rsidRPr="006810E4" w:rsidP="00FD671F">
            <w:pPr>
              <w:spacing w:line="240" w:lineRule="auto"/>
              <w:rPr>
                <w:rFonts w:ascii="Times New Roman" w:hAnsi="Times New Roman" w:cs="Times New Roman"/>
              </w:rPr>
            </w:pPr>
          </w:p>
        </w:tc>
        <w:tc>
          <w:tcPr>
            <w:tcW w:w="1220" w:type="dxa"/>
            <w:gridSpan w:val="2"/>
            <w:tcBorders>
              <w:top w:val="nil"/>
              <w:left w:val="nil"/>
              <w:bottom w:val="nil"/>
              <w:right w:val="nil"/>
              <w:tl2br w:val="nil"/>
              <w:tr2bl w:val="nil"/>
            </w:tcBorders>
            <w:noWrap/>
            <w:tcMar>
              <w:top w:w="15" w:type="dxa"/>
              <w:left w:w="15" w:type="dxa"/>
              <w:bottom w:w="0" w:type="dxa"/>
              <w:right w:w="15" w:type="dxa"/>
            </w:tcMar>
            <w:textDirection w:val="lrTb"/>
            <w:vAlign w:val="center"/>
          </w:tcPr>
          <w:p w:rsidR="00B97FAA" w:rsidRPr="006810E4" w:rsidP="00FD671F">
            <w:pPr>
              <w:spacing w:line="240" w:lineRule="auto"/>
              <w:rPr>
                <w:rFonts w:ascii="Times New Roman" w:hAnsi="Times New Roman" w:cs="Times New Roman"/>
              </w:rPr>
            </w:pPr>
          </w:p>
        </w:tc>
        <w:tc>
          <w:tcPr>
            <w:tcW w:w="1228" w:type="dxa"/>
            <w:gridSpan w:val="2"/>
            <w:tcBorders>
              <w:top w:val="nil"/>
              <w:left w:val="nil"/>
              <w:bottom w:val="nil"/>
              <w:right w:val="nil"/>
              <w:tl2br w:val="nil"/>
              <w:tr2bl w:val="nil"/>
            </w:tcBorders>
            <w:noWrap/>
            <w:tcMar>
              <w:top w:w="15" w:type="dxa"/>
              <w:left w:w="15" w:type="dxa"/>
              <w:bottom w:w="0" w:type="dxa"/>
              <w:right w:w="15" w:type="dxa"/>
            </w:tcMar>
            <w:textDirection w:val="lrTb"/>
            <w:vAlign w:val="center"/>
          </w:tcPr>
          <w:p w:rsidR="00B97FAA" w:rsidRPr="006810E4" w:rsidP="00FD671F">
            <w:pPr>
              <w:spacing w:line="240" w:lineRule="auto"/>
              <w:ind w:left="-467" w:firstLine="467"/>
              <w:rPr>
                <w:rFonts w:ascii="Times New Roman" w:hAnsi="Times New Roman" w:cs="Times New Roman"/>
              </w:rPr>
            </w:pPr>
          </w:p>
        </w:tc>
        <w:tc>
          <w:tcPr>
            <w:tcW w:w="993" w:type="dxa"/>
            <w:gridSpan w:val="2"/>
            <w:tcBorders>
              <w:top w:val="nil"/>
              <w:left w:val="nil"/>
              <w:bottom w:val="nil"/>
              <w:right w:val="nil"/>
              <w:tl2br w:val="nil"/>
              <w:tr2bl w:val="nil"/>
            </w:tcBorders>
            <w:noWrap/>
            <w:tcMar>
              <w:top w:w="15" w:type="dxa"/>
              <w:left w:w="15" w:type="dxa"/>
              <w:bottom w:w="0" w:type="dxa"/>
              <w:right w:w="15" w:type="dxa"/>
            </w:tcMar>
            <w:textDirection w:val="lrTb"/>
            <w:vAlign w:val="center"/>
          </w:tcPr>
          <w:p w:rsidR="00B97FAA" w:rsidRPr="006810E4" w:rsidP="00FD671F">
            <w:pPr>
              <w:spacing w:line="240" w:lineRule="auto"/>
              <w:ind w:left="-467" w:firstLine="467"/>
              <w:jc w:val="center"/>
              <w:rPr>
                <w:rFonts w:ascii="Times New Roman" w:hAnsi="Times New Roman" w:cs="Times New Roman"/>
              </w:rPr>
            </w:pPr>
            <w:r w:rsidRPr="006810E4">
              <w:rPr>
                <w:rFonts w:ascii="Times New Roman" w:hAnsi="Times New Roman" w:cs="Times New Roman"/>
              </w:rPr>
              <w:t>(v tis. Sk)</w:t>
            </w:r>
          </w:p>
        </w:tc>
      </w:tr>
      <w:tr>
        <w:tblPrEx>
          <w:tblW w:w="9326" w:type="dxa"/>
          <w:jc w:val="center"/>
          <w:tblInd w:w="2256" w:type="dxa"/>
          <w:tblCellMar>
            <w:left w:w="0" w:type="dxa"/>
            <w:right w:w="0" w:type="dxa"/>
          </w:tblCellMar>
        </w:tblPrEx>
        <w:trPr>
          <w:gridAfter w:val="1"/>
          <w:wAfter w:w="37" w:type="dxa"/>
          <w:trHeight w:hRule="exact" w:val="284"/>
          <w:jc w:val="center"/>
        </w:trPr>
        <w:tc>
          <w:tcPr>
            <w:tcW w:w="330" w:type="dxa"/>
            <w:tcBorders>
              <w:top w:val="single" w:sz="4" w:space="0" w:color="auto"/>
              <w:left w:val="single" w:sz="4" w:space="0" w:color="auto"/>
              <w:bottom w:val="single" w:sz="4" w:space="0" w:color="auto"/>
              <w:right w:val="single" w:sz="4" w:space="0" w:color="auto"/>
              <w:tl2br w:val="nil"/>
              <w:tr2bl w:val="nil"/>
            </w:tcBorders>
            <w:shd w:val="clear" w:color="auto" w:fill="C0C0C0"/>
            <w:noWrap/>
            <w:tcMar>
              <w:top w:w="15" w:type="dxa"/>
              <w:left w:w="15" w:type="dxa"/>
              <w:bottom w:w="0" w:type="dxa"/>
              <w:right w:w="15" w:type="dxa"/>
            </w:tcMar>
            <w:textDirection w:val="lrTb"/>
            <w:vAlign w:val="center"/>
          </w:tcPr>
          <w:p w:rsidR="00B97FAA" w:rsidRPr="006810E4" w:rsidP="00FD671F">
            <w:pPr>
              <w:spacing w:line="240" w:lineRule="auto"/>
              <w:ind w:left="-710"/>
              <w:jc w:val="center"/>
              <w:rPr>
                <w:rFonts w:ascii="Times New Roman" w:hAnsi="Times New Roman" w:cs="Times New Roman"/>
                <w:i/>
                <w:iCs/>
              </w:rPr>
            </w:pPr>
            <w:r w:rsidRPr="006810E4">
              <w:rPr>
                <w:rFonts w:ascii="Times New Roman" w:hAnsi="Times New Roman" w:cs="Times New Roman"/>
                <w:i/>
                <w:iCs/>
              </w:rPr>
              <w:t> </w:t>
            </w:r>
          </w:p>
        </w:tc>
        <w:tc>
          <w:tcPr>
            <w:tcW w:w="2547" w:type="dxa"/>
            <w:gridSpan w:val="2"/>
            <w:tcBorders>
              <w:top w:val="single" w:sz="4" w:space="0" w:color="auto"/>
              <w:left w:val="nil"/>
              <w:bottom w:val="single" w:sz="4" w:space="0" w:color="auto"/>
              <w:right w:val="single" w:sz="4" w:space="0" w:color="auto"/>
              <w:tl2br w:val="nil"/>
              <w:tr2bl w:val="nil"/>
            </w:tcBorders>
            <w:shd w:val="clear" w:color="auto" w:fill="C0C0C0"/>
            <w:noWrap/>
            <w:tcMar>
              <w:top w:w="15" w:type="dxa"/>
              <w:left w:w="15" w:type="dxa"/>
              <w:bottom w:w="0" w:type="dxa"/>
              <w:right w:w="15" w:type="dxa"/>
            </w:tcMar>
            <w:textDirection w:val="lrTb"/>
            <w:vAlign w:val="center"/>
          </w:tcPr>
          <w:p w:rsidR="00B97FAA" w:rsidRPr="006810E4" w:rsidP="00FD671F">
            <w:pPr>
              <w:spacing w:line="240" w:lineRule="auto"/>
              <w:ind w:left="-941"/>
              <w:jc w:val="center"/>
              <w:rPr>
                <w:rFonts w:ascii="Times New Roman" w:hAnsi="Times New Roman" w:cs="Times New Roman"/>
                <w:i/>
                <w:iCs/>
              </w:rPr>
            </w:pPr>
            <w:r w:rsidRPr="006810E4">
              <w:rPr>
                <w:rFonts w:ascii="Times New Roman" w:hAnsi="Times New Roman" w:cs="Times New Roman"/>
                <w:i/>
                <w:iCs/>
              </w:rPr>
              <w:t> </w:t>
            </w:r>
          </w:p>
        </w:tc>
        <w:tc>
          <w:tcPr>
            <w:tcW w:w="1323" w:type="dxa"/>
            <w:gridSpan w:val="2"/>
            <w:tcBorders>
              <w:top w:val="single" w:sz="4" w:space="0" w:color="auto"/>
              <w:left w:val="nil"/>
              <w:bottom w:val="single" w:sz="4" w:space="0" w:color="auto"/>
              <w:right w:val="single" w:sz="4" w:space="0" w:color="auto"/>
              <w:tl2br w:val="nil"/>
              <w:tr2bl w:val="nil"/>
            </w:tcBorders>
            <w:shd w:val="clear" w:color="auto" w:fill="C0C0C0"/>
            <w:noWrap/>
            <w:tcMar>
              <w:top w:w="15" w:type="dxa"/>
              <w:left w:w="15" w:type="dxa"/>
              <w:bottom w:w="0" w:type="dxa"/>
              <w:right w:w="15" w:type="dxa"/>
            </w:tcMar>
            <w:textDirection w:val="lrTb"/>
            <w:vAlign w:val="center"/>
          </w:tcPr>
          <w:p w:rsidR="00B97FAA" w:rsidRPr="006810E4" w:rsidP="00FD671F">
            <w:pPr>
              <w:spacing w:line="240" w:lineRule="auto"/>
              <w:jc w:val="center"/>
              <w:rPr>
                <w:rFonts w:ascii="Times New Roman" w:hAnsi="Times New Roman" w:cs="Times New Roman"/>
                <w:b/>
                <w:bCs/>
              </w:rPr>
            </w:pPr>
            <w:r w:rsidRPr="006810E4">
              <w:rPr>
                <w:rFonts w:ascii="Times New Roman" w:hAnsi="Times New Roman" w:cs="Times New Roman"/>
                <w:b/>
                <w:bCs/>
              </w:rPr>
              <w:t>K 31.12.200</w:t>
            </w:r>
            <w:r w:rsidR="0028316E">
              <w:rPr>
                <w:rFonts w:ascii="Times New Roman" w:hAnsi="Times New Roman" w:cs="Times New Roman"/>
                <w:b/>
                <w:bCs/>
              </w:rPr>
              <w:t>6</w:t>
            </w:r>
          </w:p>
        </w:tc>
        <w:tc>
          <w:tcPr>
            <w:tcW w:w="1283" w:type="dxa"/>
            <w:gridSpan w:val="2"/>
            <w:tcBorders>
              <w:top w:val="single" w:sz="4" w:space="0" w:color="auto"/>
              <w:left w:val="nil"/>
              <w:bottom w:val="single" w:sz="4" w:space="0" w:color="auto"/>
              <w:right w:val="nil"/>
              <w:tl2br w:val="nil"/>
              <w:tr2bl w:val="nil"/>
            </w:tcBorders>
            <w:shd w:val="clear" w:color="auto" w:fill="C0C0C0"/>
            <w:noWrap/>
            <w:tcMar>
              <w:top w:w="15" w:type="dxa"/>
              <w:left w:w="15" w:type="dxa"/>
              <w:bottom w:w="0" w:type="dxa"/>
              <w:right w:w="15" w:type="dxa"/>
            </w:tcMar>
            <w:textDirection w:val="lrTb"/>
            <w:vAlign w:val="center"/>
          </w:tcPr>
          <w:p w:rsidR="00B97FAA" w:rsidRPr="006810E4" w:rsidP="00FD671F">
            <w:pPr>
              <w:spacing w:line="240" w:lineRule="auto"/>
              <w:jc w:val="center"/>
              <w:rPr>
                <w:rFonts w:ascii="Times New Roman" w:hAnsi="Times New Roman" w:cs="Times New Roman"/>
                <w:b/>
                <w:bCs/>
              </w:rPr>
            </w:pPr>
            <w:r w:rsidRPr="006810E4">
              <w:rPr>
                <w:rFonts w:ascii="Times New Roman" w:hAnsi="Times New Roman" w:cs="Times New Roman"/>
                <w:b/>
                <w:bCs/>
              </w:rPr>
              <w:t>K 31.3.200</w:t>
            </w:r>
            <w:r w:rsidR="0028316E">
              <w:rPr>
                <w:rFonts w:ascii="Times New Roman" w:hAnsi="Times New Roman" w:cs="Times New Roman"/>
                <w:b/>
                <w:bCs/>
              </w:rPr>
              <w:t>7</w:t>
            </w:r>
          </w:p>
        </w:tc>
        <w:tc>
          <w:tcPr>
            <w:tcW w:w="1220" w:type="dxa"/>
            <w:gridSpan w:val="2"/>
            <w:tcBorders>
              <w:top w:val="single" w:sz="4" w:space="0" w:color="auto"/>
              <w:left w:val="single" w:sz="4" w:space="0" w:color="auto"/>
              <w:bottom w:val="single" w:sz="4" w:space="0" w:color="auto"/>
              <w:right w:val="nil"/>
              <w:tl2br w:val="nil"/>
              <w:tr2bl w:val="nil"/>
            </w:tcBorders>
            <w:shd w:val="clear" w:color="auto" w:fill="C0C0C0"/>
            <w:noWrap/>
            <w:tcMar>
              <w:top w:w="15" w:type="dxa"/>
              <w:left w:w="15" w:type="dxa"/>
              <w:bottom w:w="0" w:type="dxa"/>
              <w:right w:w="15" w:type="dxa"/>
            </w:tcMar>
            <w:textDirection w:val="lrTb"/>
            <w:vAlign w:val="center"/>
          </w:tcPr>
          <w:p w:rsidR="00B97FAA" w:rsidRPr="006810E4" w:rsidP="00FD671F">
            <w:pPr>
              <w:spacing w:line="240" w:lineRule="auto"/>
              <w:jc w:val="center"/>
              <w:rPr>
                <w:rFonts w:ascii="Times New Roman" w:hAnsi="Times New Roman" w:cs="Times New Roman"/>
                <w:b/>
                <w:bCs/>
              </w:rPr>
            </w:pPr>
            <w:r w:rsidRPr="006810E4">
              <w:rPr>
                <w:rFonts w:ascii="Times New Roman" w:hAnsi="Times New Roman" w:cs="Times New Roman"/>
                <w:b/>
                <w:bCs/>
              </w:rPr>
              <w:t>K 30.6.200</w:t>
            </w:r>
            <w:r w:rsidR="0028316E">
              <w:rPr>
                <w:rFonts w:ascii="Times New Roman" w:hAnsi="Times New Roman" w:cs="Times New Roman"/>
                <w:b/>
                <w:bCs/>
              </w:rPr>
              <w:t>7</w:t>
            </w:r>
          </w:p>
        </w:tc>
        <w:tc>
          <w:tcPr>
            <w:tcW w:w="1228" w:type="dxa"/>
            <w:gridSpan w:val="2"/>
            <w:tcBorders>
              <w:top w:val="single" w:sz="4" w:space="0" w:color="auto"/>
              <w:left w:val="single" w:sz="4" w:space="0" w:color="auto"/>
              <w:bottom w:val="single" w:sz="4" w:space="0" w:color="auto"/>
              <w:right w:val="nil"/>
              <w:tl2br w:val="nil"/>
              <w:tr2bl w:val="nil"/>
            </w:tcBorders>
            <w:shd w:val="clear" w:color="auto" w:fill="C0C0C0"/>
            <w:noWrap/>
            <w:tcMar>
              <w:top w:w="15" w:type="dxa"/>
              <w:left w:w="15" w:type="dxa"/>
              <w:bottom w:w="0" w:type="dxa"/>
              <w:right w:w="15" w:type="dxa"/>
            </w:tcMar>
            <w:textDirection w:val="lrTb"/>
            <w:vAlign w:val="center"/>
          </w:tcPr>
          <w:p w:rsidR="00B97FAA" w:rsidRPr="006810E4" w:rsidP="00FD671F">
            <w:pPr>
              <w:spacing w:line="240" w:lineRule="auto"/>
              <w:ind w:left="-467" w:firstLine="467"/>
              <w:jc w:val="center"/>
              <w:rPr>
                <w:rFonts w:ascii="Times New Roman" w:hAnsi="Times New Roman" w:cs="Times New Roman"/>
                <w:b/>
                <w:bCs/>
              </w:rPr>
            </w:pPr>
            <w:r w:rsidRPr="006810E4">
              <w:rPr>
                <w:rFonts w:ascii="Times New Roman" w:hAnsi="Times New Roman" w:cs="Times New Roman"/>
                <w:b/>
                <w:bCs/>
              </w:rPr>
              <w:t>K 30.9.200</w:t>
            </w:r>
            <w:r w:rsidR="0028316E">
              <w:rPr>
                <w:rFonts w:ascii="Times New Roman" w:hAnsi="Times New Roman" w:cs="Times New Roman"/>
                <w:b/>
                <w:bCs/>
              </w:rPr>
              <w:t>7</w:t>
            </w:r>
          </w:p>
        </w:tc>
        <w:tc>
          <w:tcPr>
            <w:tcW w:w="1358" w:type="dxa"/>
            <w:gridSpan w:val="2"/>
            <w:tcBorders>
              <w:top w:val="single" w:sz="4" w:space="0" w:color="auto"/>
              <w:left w:val="single" w:sz="4" w:space="0" w:color="auto"/>
              <w:bottom w:val="single" w:sz="4" w:space="0" w:color="auto"/>
              <w:right w:val="single" w:sz="4" w:space="0" w:color="auto"/>
              <w:tl2br w:val="nil"/>
              <w:tr2bl w:val="nil"/>
            </w:tcBorders>
            <w:shd w:val="clear" w:color="auto" w:fill="C0C0C0"/>
            <w:noWrap/>
            <w:tcMar>
              <w:top w:w="15" w:type="dxa"/>
              <w:left w:w="15" w:type="dxa"/>
              <w:bottom w:w="0" w:type="dxa"/>
              <w:right w:w="15" w:type="dxa"/>
            </w:tcMar>
            <w:textDirection w:val="lrTb"/>
            <w:vAlign w:val="center"/>
          </w:tcPr>
          <w:p w:rsidR="00B97FAA" w:rsidRPr="006810E4" w:rsidP="00FD671F">
            <w:pPr>
              <w:spacing w:line="240" w:lineRule="auto"/>
              <w:ind w:left="-467" w:firstLine="467"/>
              <w:jc w:val="center"/>
              <w:rPr>
                <w:rFonts w:ascii="Times New Roman" w:hAnsi="Times New Roman" w:cs="Times New Roman"/>
                <w:b/>
                <w:bCs/>
              </w:rPr>
            </w:pPr>
            <w:r w:rsidRPr="006810E4">
              <w:rPr>
                <w:rFonts w:ascii="Times New Roman" w:hAnsi="Times New Roman" w:cs="Times New Roman"/>
                <w:b/>
                <w:bCs/>
              </w:rPr>
              <w:t>K 31.12.200</w:t>
            </w:r>
            <w:r w:rsidR="0028316E">
              <w:rPr>
                <w:rFonts w:ascii="Times New Roman" w:hAnsi="Times New Roman" w:cs="Times New Roman"/>
                <w:b/>
                <w:bCs/>
              </w:rPr>
              <w:t>7</w:t>
            </w:r>
          </w:p>
        </w:tc>
      </w:tr>
      <w:tr>
        <w:tblPrEx>
          <w:tblW w:w="9326" w:type="dxa"/>
          <w:jc w:val="center"/>
          <w:tblInd w:w="2256" w:type="dxa"/>
          <w:tblCellMar>
            <w:left w:w="0" w:type="dxa"/>
            <w:right w:w="0" w:type="dxa"/>
          </w:tblCellMar>
        </w:tblPrEx>
        <w:trPr>
          <w:gridAfter w:val="1"/>
          <w:wAfter w:w="37" w:type="dxa"/>
          <w:trHeight w:hRule="exact" w:val="284"/>
          <w:jc w:val="center"/>
        </w:trPr>
        <w:tc>
          <w:tcPr>
            <w:tcW w:w="330" w:type="dxa"/>
            <w:tcBorders>
              <w:top w:val="single" w:sz="4" w:space="0" w:color="auto"/>
              <w:left w:val="single" w:sz="8" w:space="0" w:color="auto"/>
              <w:bottom w:val="single" w:sz="4" w:space="0" w:color="auto"/>
              <w:right w:val="single" w:sz="4" w:space="0" w:color="auto"/>
              <w:tl2br w:val="nil"/>
              <w:tr2bl w:val="nil"/>
            </w:tcBorders>
            <w:noWrap/>
            <w:tcMar>
              <w:top w:w="15" w:type="dxa"/>
              <w:left w:w="15" w:type="dxa"/>
              <w:bottom w:w="0" w:type="dxa"/>
              <w:right w:w="15" w:type="dxa"/>
            </w:tcMar>
            <w:textDirection w:val="lrTb"/>
            <w:vAlign w:val="center"/>
          </w:tcPr>
          <w:p w:rsidR="00B97FAA" w:rsidRPr="006810E4" w:rsidP="00FD671F">
            <w:pPr>
              <w:spacing w:line="240" w:lineRule="auto"/>
              <w:jc w:val="left"/>
              <w:rPr>
                <w:rFonts w:ascii="Times New Roman" w:hAnsi="Times New Roman" w:cs="Times New Roman"/>
              </w:rPr>
            </w:pPr>
            <w:r w:rsidRPr="006810E4">
              <w:rPr>
                <w:rFonts w:ascii="Times New Roman" w:hAnsi="Times New Roman" w:cs="Times New Roman"/>
              </w:rPr>
              <w:t>321</w:t>
            </w:r>
          </w:p>
        </w:tc>
        <w:tc>
          <w:tcPr>
            <w:tcW w:w="2547" w:type="dxa"/>
            <w:gridSpan w:val="2"/>
            <w:tcBorders>
              <w:top w:val="single" w:sz="4" w:space="0" w:color="auto"/>
              <w:left w:val="nil"/>
              <w:bottom w:val="single" w:sz="4" w:space="0" w:color="auto"/>
              <w:right w:val="single" w:sz="4" w:space="0" w:color="auto"/>
              <w:tl2br w:val="nil"/>
              <w:tr2bl w:val="nil"/>
            </w:tcBorders>
            <w:noWrap/>
            <w:tcMar>
              <w:top w:w="15" w:type="dxa"/>
              <w:left w:w="15" w:type="dxa"/>
              <w:bottom w:w="0" w:type="dxa"/>
              <w:right w:w="15" w:type="dxa"/>
            </w:tcMar>
            <w:textDirection w:val="lrTb"/>
            <w:vAlign w:val="center"/>
          </w:tcPr>
          <w:p w:rsidR="00B97FAA" w:rsidRPr="006810E4" w:rsidP="00FD671F">
            <w:pPr>
              <w:spacing w:line="240" w:lineRule="auto"/>
              <w:jc w:val="left"/>
              <w:rPr>
                <w:rFonts w:ascii="Times New Roman" w:hAnsi="Times New Roman" w:cs="Times New Roman"/>
              </w:rPr>
            </w:pPr>
            <w:r w:rsidRPr="006810E4">
              <w:rPr>
                <w:rFonts w:ascii="Times New Roman" w:hAnsi="Times New Roman" w:cs="Times New Roman"/>
              </w:rPr>
              <w:t xml:space="preserve"> Dodávatelia</w:t>
            </w:r>
          </w:p>
        </w:tc>
        <w:tc>
          <w:tcPr>
            <w:tcW w:w="1323" w:type="dxa"/>
            <w:gridSpan w:val="2"/>
            <w:tcBorders>
              <w:top w:val="single" w:sz="4" w:space="0" w:color="auto"/>
              <w:left w:val="nil"/>
              <w:bottom w:val="single" w:sz="4" w:space="0" w:color="auto"/>
              <w:right w:val="single" w:sz="4" w:space="0" w:color="auto"/>
              <w:tl2br w:val="nil"/>
              <w:tr2bl w:val="nil"/>
            </w:tcBorders>
            <w:noWrap/>
            <w:tcMar>
              <w:top w:w="15" w:type="dxa"/>
              <w:left w:w="15" w:type="dxa"/>
              <w:bottom w:w="0" w:type="dxa"/>
              <w:right w:w="15" w:type="dxa"/>
            </w:tcMar>
            <w:textDirection w:val="lrTb"/>
            <w:vAlign w:val="center"/>
          </w:tcPr>
          <w:p w:rsidR="00B97FAA" w:rsidRPr="006810E4" w:rsidP="00FD671F">
            <w:pPr>
              <w:spacing w:line="240" w:lineRule="auto"/>
              <w:jc w:val="right"/>
              <w:rPr>
                <w:rFonts w:ascii="Times New Roman" w:hAnsi="Times New Roman" w:cs="Times New Roman"/>
              </w:rPr>
            </w:pPr>
            <w:r w:rsidR="00634549">
              <w:rPr>
                <w:rFonts w:ascii="Times New Roman" w:hAnsi="Times New Roman" w:cs="Times New Roman"/>
              </w:rPr>
              <w:t>2 612 228</w:t>
            </w:r>
          </w:p>
        </w:tc>
        <w:tc>
          <w:tcPr>
            <w:tcW w:w="1283" w:type="dxa"/>
            <w:gridSpan w:val="2"/>
            <w:tcBorders>
              <w:top w:val="single" w:sz="4" w:space="0" w:color="auto"/>
              <w:left w:val="nil"/>
              <w:bottom w:val="single" w:sz="4" w:space="0" w:color="auto"/>
              <w:right w:val="nil"/>
              <w:tl2br w:val="nil"/>
              <w:tr2bl w:val="nil"/>
            </w:tcBorders>
            <w:noWrap/>
            <w:tcMar>
              <w:top w:w="15" w:type="dxa"/>
              <w:left w:w="15" w:type="dxa"/>
              <w:bottom w:w="0" w:type="dxa"/>
              <w:right w:w="15" w:type="dxa"/>
            </w:tcMar>
            <w:textDirection w:val="lrTb"/>
            <w:vAlign w:val="center"/>
          </w:tcPr>
          <w:p w:rsidR="00B97FAA" w:rsidRPr="006810E4" w:rsidP="00FD671F">
            <w:pPr>
              <w:spacing w:line="240" w:lineRule="auto"/>
              <w:jc w:val="right"/>
              <w:rPr>
                <w:rFonts w:ascii="Times New Roman" w:hAnsi="Times New Roman" w:cs="Times New Roman"/>
              </w:rPr>
            </w:pPr>
            <w:r w:rsidR="00736DDC">
              <w:rPr>
                <w:rFonts w:ascii="Times New Roman" w:hAnsi="Times New Roman" w:cs="Times New Roman"/>
              </w:rPr>
              <w:t>1  090 505</w:t>
            </w:r>
          </w:p>
        </w:tc>
        <w:tc>
          <w:tcPr>
            <w:tcW w:w="1220" w:type="dxa"/>
            <w:gridSpan w:val="2"/>
            <w:tcBorders>
              <w:top w:val="single" w:sz="4" w:space="0" w:color="auto"/>
              <w:left w:val="single" w:sz="4" w:space="0" w:color="auto"/>
              <w:bottom w:val="nil"/>
              <w:right w:val="nil"/>
              <w:tl2br w:val="nil"/>
              <w:tr2bl w:val="nil"/>
            </w:tcBorders>
            <w:noWrap/>
            <w:tcMar>
              <w:top w:w="15" w:type="dxa"/>
              <w:left w:w="15" w:type="dxa"/>
              <w:bottom w:w="0" w:type="dxa"/>
              <w:right w:w="15" w:type="dxa"/>
            </w:tcMar>
            <w:textDirection w:val="lrTb"/>
            <w:vAlign w:val="center"/>
          </w:tcPr>
          <w:p w:rsidR="00B97FAA" w:rsidRPr="006810E4" w:rsidP="00FD671F">
            <w:pPr>
              <w:spacing w:line="240" w:lineRule="auto"/>
              <w:jc w:val="right"/>
              <w:rPr>
                <w:rFonts w:ascii="Times New Roman" w:hAnsi="Times New Roman" w:cs="Times New Roman"/>
              </w:rPr>
            </w:pPr>
            <w:r w:rsidR="00736DDC">
              <w:rPr>
                <w:rFonts w:ascii="Times New Roman" w:hAnsi="Times New Roman" w:cs="Times New Roman"/>
              </w:rPr>
              <w:t>1 168 842</w:t>
            </w:r>
          </w:p>
        </w:tc>
        <w:tc>
          <w:tcPr>
            <w:tcW w:w="1228" w:type="dxa"/>
            <w:gridSpan w:val="2"/>
            <w:tcBorders>
              <w:top w:val="single" w:sz="4" w:space="0" w:color="auto"/>
              <w:left w:val="single" w:sz="4" w:space="0" w:color="auto"/>
              <w:bottom w:val="nil"/>
              <w:right w:val="nil"/>
              <w:tl2br w:val="nil"/>
              <w:tr2bl w:val="nil"/>
            </w:tcBorders>
            <w:noWrap/>
            <w:tcMar>
              <w:top w:w="15" w:type="dxa"/>
              <w:left w:w="15" w:type="dxa"/>
              <w:bottom w:w="0" w:type="dxa"/>
              <w:right w:w="15" w:type="dxa"/>
            </w:tcMar>
            <w:textDirection w:val="lrTb"/>
            <w:vAlign w:val="center"/>
          </w:tcPr>
          <w:p w:rsidR="00B97FAA" w:rsidRPr="006810E4" w:rsidP="00FD671F">
            <w:pPr>
              <w:spacing w:line="240" w:lineRule="auto"/>
              <w:ind w:left="-467" w:firstLine="467"/>
              <w:jc w:val="right"/>
              <w:rPr>
                <w:rFonts w:ascii="Times New Roman" w:hAnsi="Times New Roman" w:cs="Times New Roman"/>
              </w:rPr>
            </w:pPr>
            <w:r w:rsidR="00736DDC">
              <w:rPr>
                <w:rFonts w:ascii="Times New Roman" w:hAnsi="Times New Roman" w:cs="Times New Roman"/>
              </w:rPr>
              <w:t>1 744 722</w:t>
            </w:r>
          </w:p>
        </w:tc>
        <w:tc>
          <w:tcPr>
            <w:tcW w:w="1358" w:type="dxa"/>
            <w:gridSpan w:val="2"/>
            <w:tcBorders>
              <w:top w:val="single" w:sz="4" w:space="0" w:color="auto"/>
              <w:left w:val="single" w:sz="4" w:space="0" w:color="auto"/>
              <w:bottom w:val="nil"/>
              <w:right w:val="single" w:sz="8" w:space="0" w:color="auto"/>
              <w:tl2br w:val="nil"/>
              <w:tr2bl w:val="nil"/>
            </w:tcBorders>
            <w:noWrap/>
            <w:tcMar>
              <w:top w:w="15" w:type="dxa"/>
              <w:left w:w="15" w:type="dxa"/>
              <w:bottom w:w="0" w:type="dxa"/>
              <w:right w:w="15" w:type="dxa"/>
            </w:tcMar>
            <w:textDirection w:val="lrTb"/>
            <w:vAlign w:val="center"/>
          </w:tcPr>
          <w:p w:rsidR="00B97FAA" w:rsidRPr="006810E4" w:rsidP="00FD671F">
            <w:pPr>
              <w:spacing w:line="240" w:lineRule="auto"/>
              <w:ind w:left="-467" w:firstLine="467"/>
              <w:jc w:val="right"/>
              <w:rPr>
                <w:rFonts w:ascii="Times New Roman" w:hAnsi="Times New Roman" w:cs="Times New Roman"/>
              </w:rPr>
            </w:pPr>
            <w:r w:rsidR="00736DDC">
              <w:rPr>
                <w:rFonts w:ascii="Times New Roman" w:hAnsi="Times New Roman" w:cs="Times New Roman"/>
              </w:rPr>
              <w:t>2 966 190</w:t>
            </w:r>
          </w:p>
        </w:tc>
      </w:tr>
      <w:tr>
        <w:tblPrEx>
          <w:tblW w:w="9326" w:type="dxa"/>
          <w:jc w:val="center"/>
          <w:tblInd w:w="2256" w:type="dxa"/>
          <w:tblCellMar>
            <w:left w:w="0" w:type="dxa"/>
            <w:right w:w="0" w:type="dxa"/>
          </w:tblCellMar>
        </w:tblPrEx>
        <w:trPr>
          <w:gridAfter w:val="1"/>
          <w:wAfter w:w="37" w:type="dxa"/>
          <w:trHeight w:hRule="exact" w:val="284"/>
          <w:jc w:val="center"/>
        </w:trPr>
        <w:tc>
          <w:tcPr>
            <w:tcW w:w="330" w:type="dxa"/>
            <w:tcBorders>
              <w:top w:val="nil"/>
              <w:left w:val="single" w:sz="8" w:space="0" w:color="auto"/>
              <w:bottom w:val="single" w:sz="4" w:space="0" w:color="auto"/>
              <w:right w:val="single" w:sz="4" w:space="0" w:color="auto"/>
              <w:tl2br w:val="nil"/>
              <w:tr2bl w:val="nil"/>
            </w:tcBorders>
            <w:noWrap/>
            <w:tcMar>
              <w:top w:w="15" w:type="dxa"/>
              <w:left w:w="15" w:type="dxa"/>
              <w:bottom w:w="0" w:type="dxa"/>
              <w:right w:w="15" w:type="dxa"/>
            </w:tcMar>
            <w:textDirection w:val="lrTb"/>
            <w:vAlign w:val="center"/>
          </w:tcPr>
          <w:p w:rsidR="00B97FAA" w:rsidRPr="006810E4" w:rsidP="00FD671F">
            <w:pPr>
              <w:spacing w:line="240" w:lineRule="auto"/>
              <w:jc w:val="left"/>
              <w:rPr>
                <w:rFonts w:ascii="Times New Roman" w:hAnsi="Times New Roman" w:cs="Times New Roman"/>
              </w:rPr>
            </w:pPr>
            <w:r w:rsidRPr="006810E4">
              <w:rPr>
                <w:rFonts w:ascii="Times New Roman" w:hAnsi="Times New Roman" w:cs="Times New Roman"/>
              </w:rPr>
              <w:t>324</w:t>
            </w:r>
          </w:p>
        </w:tc>
        <w:tc>
          <w:tcPr>
            <w:tcW w:w="2547" w:type="dxa"/>
            <w:gridSpan w:val="2"/>
            <w:tcBorders>
              <w:top w:val="nil"/>
              <w:left w:val="nil"/>
              <w:bottom w:val="single" w:sz="4" w:space="0" w:color="auto"/>
              <w:right w:val="single" w:sz="4" w:space="0" w:color="auto"/>
              <w:tl2br w:val="nil"/>
              <w:tr2bl w:val="nil"/>
            </w:tcBorders>
            <w:noWrap/>
            <w:tcMar>
              <w:top w:w="15" w:type="dxa"/>
              <w:left w:w="15" w:type="dxa"/>
              <w:bottom w:w="0" w:type="dxa"/>
              <w:right w:w="15" w:type="dxa"/>
            </w:tcMar>
            <w:textDirection w:val="lrTb"/>
            <w:vAlign w:val="center"/>
          </w:tcPr>
          <w:p w:rsidR="00B97FAA" w:rsidRPr="006810E4" w:rsidP="00FD671F">
            <w:pPr>
              <w:spacing w:line="240" w:lineRule="auto"/>
              <w:jc w:val="left"/>
              <w:rPr>
                <w:rFonts w:ascii="Times New Roman" w:hAnsi="Times New Roman" w:cs="Times New Roman"/>
              </w:rPr>
            </w:pPr>
            <w:r w:rsidRPr="006810E4">
              <w:rPr>
                <w:rFonts w:ascii="Times New Roman" w:hAnsi="Times New Roman" w:cs="Times New Roman"/>
              </w:rPr>
              <w:t xml:space="preserve"> Prijaté preddavky</w:t>
            </w:r>
          </w:p>
        </w:tc>
        <w:tc>
          <w:tcPr>
            <w:tcW w:w="1323" w:type="dxa"/>
            <w:gridSpan w:val="2"/>
            <w:tcBorders>
              <w:top w:val="nil"/>
              <w:left w:val="nil"/>
              <w:bottom w:val="single" w:sz="4" w:space="0" w:color="auto"/>
              <w:right w:val="single" w:sz="4" w:space="0" w:color="auto"/>
              <w:tl2br w:val="nil"/>
              <w:tr2bl w:val="nil"/>
            </w:tcBorders>
            <w:noWrap/>
            <w:tcMar>
              <w:top w:w="15" w:type="dxa"/>
              <w:left w:w="15" w:type="dxa"/>
              <w:bottom w:w="0" w:type="dxa"/>
              <w:right w:w="15" w:type="dxa"/>
            </w:tcMar>
            <w:textDirection w:val="lrTb"/>
            <w:vAlign w:val="center"/>
          </w:tcPr>
          <w:p w:rsidR="00B97FAA" w:rsidRPr="006810E4" w:rsidP="00FD671F">
            <w:pPr>
              <w:spacing w:line="240" w:lineRule="auto"/>
              <w:jc w:val="right"/>
              <w:rPr>
                <w:rFonts w:ascii="Times New Roman" w:hAnsi="Times New Roman" w:cs="Times New Roman"/>
              </w:rPr>
            </w:pPr>
            <w:r w:rsidR="00634549">
              <w:rPr>
                <w:rFonts w:ascii="Times New Roman" w:hAnsi="Times New Roman" w:cs="Times New Roman"/>
              </w:rPr>
              <w:t>30 015</w:t>
            </w:r>
          </w:p>
        </w:tc>
        <w:tc>
          <w:tcPr>
            <w:tcW w:w="1283" w:type="dxa"/>
            <w:gridSpan w:val="2"/>
            <w:tcBorders>
              <w:top w:val="nil"/>
              <w:left w:val="nil"/>
              <w:bottom w:val="single" w:sz="4" w:space="0" w:color="auto"/>
              <w:right w:val="nil"/>
              <w:tl2br w:val="nil"/>
              <w:tr2bl w:val="nil"/>
            </w:tcBorders>
            <w:noWrap/>
            <w:tcMar>
              <w:top w:w="15" w:type="dxa"/>
              <w:left w:w="15" w:type="dxa"/>
              <w:bottom w:w="0" w:type="dxa"/>
              <w:right w:w="15" w:type="dxa"/>
            </w:tcMar>
            <w:textDirection w:val="lrTb"/>
            <w:vAlign w:val="center"/>
          </w:tcPr>
          <w:p w:rsidR="00B97FAA" w:rsidRPr="006810E4" w:rsidP="00FD671F">
            <w:pPr>
              <w:spacing w:line="240" w:lineRule="auto"/>
              <w:jc w:val="right"/>
              <w:rPr>
                <w:rFonts w:ascii="Times New Roman" w:hAnsi="Times New Roman" w:cs="Times New Roman"/>
              </w:rPr>
            </w:pPr>
            <w:r w:rsidR="00736DDC">
              <w:rPr>
                <w:rFonts w:ascii="Times New Roman" w:hAnsi="Times New Roman" w:cs="Times New Roman"/>
              </w:rPr>
              <w:t>40 945</w:t>
            </w:r>
          </w:p>
        </w:tc>
        <w:tc>
          <w:tcPr>
            <w:tcW w:w="1220" w:type="dxa"/>
            <w:gridSpan w:val="2"/>
            <w:tcBorders>
              <w:top w:val="single" w:sz="4" w:space="0" w:color="auto"/>
              <w:left w:val="single" w:sz="4" w:space="0" w:color="auto"/>
              <w:bottom w:val="single" w:sz="4" w:space="0" w:color="auto"/>
              <w:right w:val="nil"/>
              <w:tl2br w:val="nil"/>
              <w:tr2bl w:val="nil"/>
            </w:tcBorders>
            <w:noWrap/>
            <w:tcMar>
              <w:top w:w="15" w:type="dxa"/>
              <w:left w:w="15" w:type="dxa"/>
              <w:bottom w:w="0" w:type="dxa"/>
              <w:right w:w="15" w:type="dxa"/>
            </w:tcMar>
            <w:textDirection w:val="lrTb"/>
            <w:vAlign w:val="center"/>
          </w:tcPr>
          <w:p w:rsidR="00B97FAA" w:rsidRPr="006810E4" w:rsidP="00FD671F">
            <w:pPr>
              <w:spacing w:line="240" w:lineRule="auto"/>
              <w:jc w:val="right"/>
              <w:rPr>
                <w:rFonts w:ascii="Times New Roman" w:hAnsi="Times New Roman" w:cs="Times New Roman"/>
              </w:rPr>
            </w:pPr>
            <w:r w:rsidR="00736DDC">
              <w:rPr>
                <w:rFonts w:ascii="Times New Roman" w:hAnsi="Times New Roman" w:cs="Times New Roman"/>
              </w:rPr>
              <w:t>40 829</w:t>
            </w:r>
          </w:p>
        </w:tc>
        <w:tc>
          <w:tcPr>
            <w:tcW w:w="1228" w:type="dxa"/>
            <w:gridSpan w:val="2"/>
            <w:tcBorders>
              <w:top w:val="single" w:sz="4" w:space="0" w:color="auto"/>
              <w:left w:val="single" w:sz="4" w:space="0" w:color="auto"/>
              <w:bottom w:val="single" w:sz="4" w:space="0" w:color="auto"/>
              <w:right w:val="nil"/>
              <w:tl2br w:val="nil"/>
              <w:tr2bl w:val="nil"/>
            </w:tcBorders>
            <w:noWrap/>
            <w:tcMar>
              <w:top w:w="15" w:type="dxa"/>
              <w:left w:w="15" w:type="dxa"/>
              <w:bottom w:w="0" w:type="dxa"/>
              <w:right w:w="15" w:type="dxa"/>
            </w:tcMar>
            <w:textDirection w:val="lrTb"/>
            <w:vAlign w:val="center"/>
          </w:tcPr>
          <w:p w:rsidR="00B97FAA" w:rsidRPr="006810E4" w:rsidP="00FD671F">
            <w:pPr>
              <w:spacing w:line="240" w:lineRule="auto"/>
              <w:ind w:left="-467" w:firstLine="467"/>
              <w:jc w:val="right"/>
              <w:rPr>
                <w:rFonts w:ascii="Times New Roman" w:hAnsi="Times New Roman" w:cs="Times New Roman"/>
              </w:rPr>
            </w:pPr>
            <w:r w:rsidR="00736DDC">
              <w:rPr>
                <w:rFonts w:ascii="Times New Roman" w:hAnsi="Times New Roman" w:cs="Times New Roman"/>
              </w:rPr>
              <w:t>22 399</w:t>
            </w:r>
          </w:p>
        </w:tc>
        <w:tc>
          <w:tcPr>
            <w:tcW w:w="1358" w:type="dxa"/>
            <w:gridSpan w:val="2"/>
            <w:tcBorders>
              <w:top w:val="single" w:sz="4" w:space="0" w:color="auto"/>
              <w:left w:val="single" w:sz="4" w:space="0" w:color="auto"/>
              <w:bottom w:val="single" w:sz="4" w:space="0" w:color="auto"/>
              <w:right w:val="single" w:sz="8" w:space="0" w:color="auto"/>
              <w:tl2br w:val="nil"/>
              <w:tr2bl w:val="nil"/>
            </w:tcBorders>
            <w:noWrap/>
            <w:tcMar>
              <w:top w:w="15" w:type="dxa"/>
              <w:left w:w="15" w:type="dxa"/>
              <w:bottom w:w="0" w:type="dxa"/>
              <w:right w:w="15" w:type="dxa"/>
            </w:tcMar>
            <w:textDirection w:val="lrTb"/>
            <w:vAlign w:val="center"/>
          </w:tcPr>
          <w:p w:rsidR="00B97FAA" w:rsidRPr="006810E4" w:rsidP="00FD671F">
            <w:pPr>
              <w:spacing w:line="240" w:lineRule="auto"/>
              <w:ind w:left="-467" w:firstLine="467"/>
              <w:jc w:val="right"/>
              <w:rPr>
                <w:rFonts w:ascii="Times New Roman" w:hAnsi="Times New Roman" w:cs="Times New Roman"/>
              </w:rPr>
            </w:pPr>
            <w:r w:rsidR="00736DDC">
              <w:rPr>
                <w:rFonts w:ascii="Times New Roman" w:hAnsi="Times New Roman" w:cs="Times New Roman"/>
              </w:rPr>
              <w:t>31 861</w:t>
            </w:r>
          </w:p>
        </w:tc>
      </w:tr>
      <w:tr>
        <w:tblPrEx>
          <w:tblW w:w="9326" w:type="dxa"/>
          <w:jc w:val="center"/>
          <w:tblInd w:w="2256" w:type="dxa"/>
          <w:tblCellMar>
            <w:left w:w="0" w:type="dxa"/>
            <w:right w:w="0" w:type="dxa"/>
          </w:tblCellMar>
        </w:tblPrEx>
        <w:trPr>
          <w:gridAfter w:val="1"/>
          <w:wAfter w:w="37" w:type="dxa"/>
          <w:trHeight w:hRule="exact" w:val="284"/>
          <w:jc w:val="center"/>
        </w:trPr>
        <w:tc>
          <w:tcPr>
            <w:tcW w:w="330" w:type="dxa"/>
            <w:tcBorders>
              <w:top w:val="nil"/>
              <w:left w:val="single" w:sz="8" w:space="0" w:color="auto"/>
              <w:bottom w:val="nil"/>
              <w:right w:val="single" w:sz="4" w:space="0" w:color="auto"/>
              <w:tl2br w:val="nil"/>
              <w:tr2bl w:val="nil"/>
            </w:tcBorders>
            <w:noWrap/>
            <w:tcMar>
              <w:top w:w="15" w:type="dxa"/>
              <w:left w:w="15" w:type="dxa"/>
              <w:bottom w:w="0" w:type="dxa"/>
              <w:right w:w="15" w:type="dxa"/>
            </w:tcMar>
            <w:textDirection w:val="lrTb"/>
            <w:vAlign w:val="center"/>
          </w:tcPr>
          <w:p w:rsidR="00B97FAA" w:rsidRPr="006810E4" w:rsidP="00FD671F">
            <w:pPr>
              <w:spacing w:line="240" w:lineRule="auto"/>
              <w:jc w:val="left"/>
              <w:rPr>
                <w:rFonts w:ascii="Times New Roman" w:hAnsi="Times New Roman" w:cs="Times New Roman"/>
              </w:rPr>
            </w:pPr>
            <w:r w:rsidRPr="006810E4">
              <w:rPr>
                <w:rFonts w:ascii="Times New Roman" w:hAnsi="Times New Roman" w:cs="Times New Roman"/>
              </w:rPr>
              <w:t>325</w:t>
            </w:r>
          </w:p>
        </w:tc>
        <w:tc>
          <w:tcPr>
            <w:tcW w:w="2547" w:type="dxa"/>
            <w:gridSpan w:val="2"/>
            <w:tcBorders>
              <w:top w:val="nil"/>
              <w:left w:val="nil"/>
              <w:bottom w:val="nil"/>
              <w:right w:val="single" w:sz="4" w:space="0" w:color="auto"/>
              <w:tl2br w:val="nil"/>
              <w:tr2bl w:val="nil"/>
            </w:tcBorders>
            <w:noWrap/>
            <w:tcMar>
              <w:top w:w="15" w:type="dxa"/>
              <w:left w:w="15" w:type="dxa"/>
              <w:bottom w:w="0" w:type="dxa"/>
              <w:right w:w="15" w:type="dxa"/>
            </w:tcMar>
            <w:textDirection w:val="lrTb"/>
            <w:vAlign w:val="center"/>
          </w:tcPr>
          <w:p w:rsidR="00B97FAA" w:rsidRPr="006810E4" w:rsidP="00FD671F">
            <w:pPr>
              <w:spacing w:line="240" w:lineRule="auto"/>
              <w:jc w:val="left"/>
              <w:rPr>
                <w:rFonts w:ascii="Times New Roman" w:hAnsi="Times New Roman" w:cs="Times New Roman"/>
              </w:rPr>
            </w:pPr>
            <w:r w:rsidRPr="006810E4">
              <w:rPr>
                <w:rFonts w:ascii="Times New Roman" w:hAnsi="Times New Roman" w:cs="Times New Roman"/>
              </w:rPr>
              <w:t xml:space="preserve"> Ostatné záväzky</w:t>
            </w:r>
          </w:p>
        </w:tc>
        <w:tc>
          <w:tcPr>
            <w:tcW w:w="1323" w:type="dxa"/>
            <w:gridSpan w:val="2"/>
            <w:tcBorders>
              <w:top w:val="nil"/>
              <w:left w:val="nil"/>
              <w:bottom w:val="nil"/>
              <w:right w:val="single" w:sz="4" w:space="0" w:color="auto"/>
              <w:tl2br w:val="nil"/>
              <w:tr2bl w:val="nil"/>
            </w:tcBorders>
            <w:noWrap/>
            <w:tcMar>
              <w:top w:w="15" w:type="dxa"/>
              <w:left w:w="15" w:type="dxa"/>
              <w:bottom w:w="0" w:type="dxa"/>
              <w:right w:w="15" w:type="dxa"/>
            </w:tcMar>
            <w:textDirection w:val="lrTb"/>
            <w:vAlign w:val="center"/>
          </w:tcPr>
          <w:p w:rsidR="00B97FAA" w:rsidRPr="006810E4" w:rsidP="00FD671F">
            <w:pPr>
              <w:spacing w:line="240" w:lineRule="auto"/>
              <w:jc w:val="right"/>
              <w:rPr>
                <w:rFonts w:ascii="Times New Roman" w:hAnsi="Times New Roman" w:cs="Times New Roman"/>
              </w:rPr>
            </w:pPr>
            <w:r w:rsidR="00634549">
              <w:rPr>
                <w:rFonts w:ascii="Times New Roman" w:hAnsi="Times New Roman" w:cs="Times New Roman"/>
              </w:rPr>
              <w:t>4 817</w:t>
            </w:r>
          </w:p>
        </w:tc>
        <w:tc>
          <w:tcPr>
            <w:tcW w:w="1283" w:type="dxa"/>
            <w:gridSpan w:val="2"/>
            <w:tcBorders>
              <w:top w:val="nil"/>
              <w:left w:val="nil"/>
              <w:bottom w:val="nil"/>
              <w:right w:val="nil"/>
              <w:tl2br w:val="nil"/>
              <w:tr2bl w:val="nil"/>
            </w:tcBorders>
            <w:noWrap/>
            <w:tcMar>
              <w:top w:w="15" w:type="dxa"/>
              <w:left w:w="15" w:type="dxa"/>
              <w:bottom w:w="0" w:type="dxa"/>
              <w:right w:w="15" w:type="dxa"/>
            </w:tcMar>
            <w:textDirection w:val="lrTb"/>
            <w:vAlign w:val="center"/>
          </w:tcPr>
          <w:p w:rsidR="00B97FAA" w:rsidRPr="006810E4" w:rsidP="00FD671F">
            <w:pPr>
              <w:spacing w:line="240" w:lineRule="auto"/>
              <w:jc w:val="right"/>
              <w:rPr>
                <w:rFonts w:ascii="Times New Roman" w:hAnsi="Times New Roman" w:cs="Times New Roman"/>
              </w:rPr>
            </w:pPr>
            <w:r w:rsidR="00736DDC">
              <w:rPr>
                <w:rFonts w:ascii="Times New Roman" w:hAnsi="Times New Roman" w:cs="Times New Roman"/>
              </w:rPr>
              <w:t>4 670</w:t>
            </w:r>
          </w:p>
        </w:tc>
        <w:tc>
          <w:tcPr>
            <w:tcW w:w="1220" w:type="dxa"/>
            <w:gridSpan w:val="2"/>
            <w:tcBorders>
              <w:top w:val="nil"/>
              <w:left w:val="single" w:sz="4" w:space="0" w:color="auto"/>
              <w:bottom w:val="nil"/>
              <w:right w:val="nil"/>
              <w:tl2br w:val="nil"/>
              <w:tr2bl w:val="nil"/>
            </w:tcBorders>
            <w:noWrap/>
            <w:tcMar>
              <w:top w:w="15" w:type="dxa"/>
              <w:left w:w="15" w:type="dxa"/>
              <w:bottom w:w="0" w:type="dxa"/>
              <w:right w:w="15" w:type="dxa"/>
            </w:tcMar>
            <w:textDirection w:val="lrTb"/>
            <w:vAlign w:val="center"/>
          </w:tcPr>
          <w:p w:rsidR="00B97FAA" w:rsidRPr="006810E4" w:rsidP="00FD671F">
            <w:pPr>
              <w:spacing w:line="240" w:lineRule="auto"/>
              <w:jc w:val="right"/>
              <w:rPr>
                <w:rFonts w:ascii="Times New Roman" w:hAnsi="Times New Roman" w:cs="Times New Roman"/>
              </w:rPr>
            </w:pPr>
            <w:r w:rsidR="00736DDC">
              <w:rPr>
                <w:rFonts w:ascii="Times New Roman" w:hAnsi="Times New Roman" w:cs="Times New Roman"/>
              </w:rPr>
              <w:t>12 632</w:t>
            </w:r>
          </w:p>
        </w:tc>
        <w:tc>
          <w:tcPr>
            <w:tcW w:w="1228" w:type="dxa"/>
            <w:gridSpan w:val="2"/>
            <w:tcBorders>
              <w:top w:val="nil"/>
              <w:left w:val="single" w:sz="4" w:space="0" w:color="auto"/>
              <w:bottom w:val="nil"/>
              <w:right w:val="nil"/>
              <w:tl2br w:val="nil"/>
              <w:tr2bl w:val="nil"/>
            </w:tcBorders>
            <w:noWrap/>
            <w:tcMar>
              <w:top w:w="15" w:type="dxa"/>
              <w:left w:w="15" w:type="dxa"/>
              <w:bottom w:w="0" w:type="dxa"/>
              <w:right w:w="15" w:type="dxa"/>
            </w:tcMar>
            <w:textDirection w:val="lrTb"/>
            <w:vAlign w:val="center"/>
          </w:tcPr>
          <w:p w:rsidR="00B97FAA" w:rsidRPr="006810E4" w:rsidP="00FD671F">
            <w:pPr>
              <w:spacing w:line="240" w:lineRule="auto"/>
              <w:ind w:left="-467" w:firstLine="467"/>
              <w:jc w:val="right"/>
              <w:rPr>
                <w:rFonts w:ascii="Times New Roman" w:hAnsi="Times New Roman" w:cs="Times New Roman"/>
              </w:rPr>
            </w:pPr>
            <w:r w:rsidR="00736DDC">
              <w:rPr>
                <w:rFonts w:ascii="Times New Roman" w:hAnsi="Times New Roman" w:cs="Times New Roman"/>
              </w:rPr>
              <w:t>12 167</w:t>
            </w:r>
          </w:p>
        </w:tc>
        <w:tc>
          <w:tcPr>
            <w:tcW w:w="1358" w:type="dxa"/>
            <w:gridSpan w:val="2"/>
            <w:tcBorders>
              <w:top w:val="nil"/>
              <w:left w:val="single" w:sz="4" w:space="0" w:color="auto"/>
              <w:bottom w:val="nil"/>
              <w:right w:val="single" w:sz="8" w:space="0" w:color="auto"/>
              <w:tl2br w:val="nil"/>
              <w:tr2bl w:val="nil"/>
            </w:tcBorders>
            <w:noWrap/>
            <w:tcMar>
              <w:top w:w="15" w:type="dxa"/>
              <w:left w:w="15" w:type="dxa"/>
              <w:bottom w:w="0" w:type="dxa"/>
              <w:right w:w="15" w:type="dxa"/>
            </w:tcMar>
            <w:textDirection w:val="lrTb"/>
            <w:vAlign w:val="center"/>
          </w:tcPr>
          <w:p w:rsidR="00B97FAA" w:rsidRPr="006810E4" w:rsidP="00FD671F">
            <w:pPr>
              <w:spacing w:line="240" w:lineRule="auto"/>
              <w:ind w:left="-467" w:firstLine="467"/>
              <w:jc w:val="right"/>
              <w:rPr>
                <w:rFonts w:ascii="Times New Roman" w:hAnsi="Times New Roman" w:cs="Times New Roman"/>
              </w:rPr>
            </w:pPr>
            <w:r w:rsidR="00736DDC">
              <w:rPr>
                <w:rFonts w:ascii="Times New Roman" w:hAnsi="Times New Roman" w:cs="Times New Roman"/>
              </w:rPr>
              <w:t>137 320</w:t>
            </w:r>
          </w:p>
        </w:tc>
      </w:tr>
      <w:tr>
        <w:tblPrEx>
          <w:tblW w:w="9326" w:type="dxa"/>
          <w:jc w:val="center"/>
          <w:tblInd w:w="2256" w:type="dxa"/>
          <w:tblCellMar>
            <w:left w:w="0" w:type="dxa"/>
            <w:right w:w="0" w:type="dxa"/>
          </w:tblCellMar>
        </w:tblPrEx>
        <w:trPr>
          <w:gridAfter w:val="1"/>
          <w:wAfter w:w="37" w:type="dxa"/>
          <w:trHeight w:hRule="exact" w:val="284"/>
          <w:jc w:val="center"/>
        </w:trPr>
        <w:tc>
          <w:tcPr>
            <w:tcW w:w="330" w:type="dxa"/>
            <w:tcBorders>
              <w:top w:val="single" w:sz="8" w:space="0" w:color="auto"/>
              <w:left w:val="single" w:sz="8" w:space="0" w:color="auto"/>
              <w:bottom w:val="single" w:sz="8" w:space="0" w:color="auto"/>
              <w:right w:val="single" w:sz="4" w:space="0" w:color="auto"/>
              <w:tl2br w:val="nil"/>
              <w:tr2bl w:val="nil"/>
            </w:tcBorders>
            <w:shd w:val="clear" w:color="auto" w:fill="C0C0C0"/>
            <w:noWrap/>
            <w:tcMar>
              <w:top w:w="15" w:type="dxa"/>
              <w:left w:w="15" w:type="dxa"/>
              <w:bottom w:w="0" w:type="dxa"/>
              <w:right w:w="15" w:type="dxa"/>
            </w:tcMar>
            <w:textDirection w:val="lrTb"/>
            <w:vAlign w:val="center"/>
          </w:tcPr>
          <w:p w:rsidR="00B97FAA" w:rsidRPr="006810E4" w:rsidP="00FD671F">
            <w:pPr>
              <w:spacing w:line="240" w:lineRule="auto"/>
              <w:rPr>
                <w:rFonts w:ascii="Times New Roman" w:hAnsi="Times New Roman" w:cs="Times New Roman"/>
              </w:rPr>
            </w:pPr>
            <w:r w:rsidRPr="006810E4">
              <w:rPr>
                <w:rFonts w:ascii="Times New Roman" w:hAnsi="Times New Roman" w:cs="Times New Roman"/>
              </w:rPr>
              <w:t> </w:t>
            </w:r>
          </w:p>
        </w:tc>
        <w:tc>
          <w:tcPr>
            <w:tcW w:w="2547" w:type="dxa"/>
            <w:gridSpan w:val="2"/>
            <w:tcBorders>
              <w:top w:val="single" w:sz="8" w:space="0" w:color="auto"/>
              <w:left w:val="nil"/>
              <w:bottom w:val="single" w:sz="8" w:space="0" w:color="auto"/>
              <w:right w:val="single" w:sz="4" w:space="0" w:color="auto"/>
              <w:tl2br w:val="nil"/>
              <w:tr2bl w:val="nil"/>
            </w:tcBorders>
            <w:shd w:val="clear" w:color="auto" w:fill="C0C0C0"/>
            <w:noWrap/>
            <w:tcMar>
              <w:top w:w="15" w:type="dxa"/>
              <w:left w:w="15" w:type="dxa"/>
              <w:bottom w:w="0" w:type="dxa"/>
              <w:right w:w="15" w:type="dxa"/>
            </w:tcMar>
            <w:textDirection w:val="lrTb"/>
            <w:vAlign w:val="center"/>
          </w:tcPr>
          <w:p w:rsidR="00B97FAA" w:rsidRPr="006810E4" w:rsidP="00FD671F">
            <w:pPr>
              <w:spacing w:line="240" w:lineRule="auto"/>
              <w:jc w:val="left"/>
              <w:rPr>
                <w:rFonts w:ascii="Times New Roman" w:hAnsi="Times New Roman" w:cs="Times New Roman"/>
                <w:b/>
                <w:bCs/>
              </w:rPr>
            </w:pPr>
            <w:r w:rsidRPr="006810E4">
              <w:rPr>
                <w:rFonts w:ascii="Times New Roman" w:hAnsi="Times New Roman" w:cs="Times New Roman"/>
                <w:b/>
                <w:bCs/>
              </w:rPr>
              <w:t>Spolu</w:t>
            </w:r>
          </w:p>
        </w:tc>
        <w:tc>
          <w:tcPr>
            <w:tcW w:w="1323" w:type="dxa"/>
            <w:gridSpan w:val="2"/>
            <w:tcBorders>
              <w:top w:val="single" w:sz="8" w:space="0" w:color="auto"/>
              <w:left w:val="nil"/>
              <w:bottom w:val="single" w:sz="8" w:space="0" w:color="auto"/>
              <w:right w:val="single" w:sz="4" w:space="0" w:color="auto"/>
              <w:tl2br w:val="nil"/>
              <w:tr2bl w:val="nil"/>
            </w:tcBorders>
            <w:shd w:val="clear" w:color="auto" w:fill="C0C0C0"/>
            <w:noWrap/>
            <w:tcMar>
              <w:top w:w="15" w:type="dxa"/>
              <w:left w:w="15" w:type="dxa"/>
              <w:bottom w:w="0" w:type="dxa"/>
              <w:right w:w="15" w:type="dxa"/>
            </w:tcMar>
            <w:textDirection w:val="lrTb"/>
            <w:vAlign w:val="center"/>
          </w:tcPr>
          <w:p w:rsidR="00B97FAA" w:rsidRPr="006810E4" w:rsidP="00FD671F">
            <w:pPr>
              <w:spacing w:line="240" w:lineRule="auto"/>
              <w:jc w:val="right"/>
              <w:rPr>
                <w:rFonts w:ascii="Times New Roman" w:hAnsi="Times New Roman" w:cs="Times New Roman"/>
                <w:b/>
                <w:bCs/>
              </w:rPr>
            </w:pPr>
            <w:r w:rsidR="00634549">
              <w:rPr>
                <w:rFonts w:ascii="Times New Roman" w:hAnsi="Times New Roman" w:cs="Times New Roman"/>
                <w:b/>
                <w:bCs/>
              </w:rPr>
              <w:t>2 647 060</w:t>
            </w:r>
          </w:p>
        </w:tc>
        <w:tc>
          <w:tcPr>
            <w:tcW w:w="1283" w:type="dxa"/>
            <w:gridSpan w:val="2"/>
            <w:tcBorders>
              <w:top w:val="single" w:sz="8" w:space="0" w:color="auto"/>
              <w:left w:val="nil"/>
              <w:bottom w:val="single" w:sz="8" w:space="0" w:color="auto"/>
              <w:right w:val="nil"/>
              <w:tl2br w:val="nil"/>
              <w:tr2bl w:val="nil"/>
            </w:tcBorders>
            <w:shd w:val="clear" w:color="auto" w:fill="C0C0C0"/>
            <w:noWrap/>
            <w:tcMar>
              <w:top w:w="15" w:type="dxa"/>
              <w:left w:w="15" w:type="dxa"/>
              <w:bottom w:w="0" w:type="dxa"/>
              <w:right w:w="15" w:type="dxa"/>
            </w:tcMar>
            <w:textDirection w:val="lrTb"/>
            <w:vAlign w:val="center"/>
          </w:tcPr>
          <w:p w:rsidR="00B97FAA" w:rsidRPr="006810E4" w:rsidP="00FD671F">
            <w:pPr>
              <w:spacing w:line="240" w:lineRule="auto"/>
              <w:jc w:val="right"/>
              <w:rPr>
                <w:rFonts w:ascii="Times New Roman" w:hAnsi="Times New Roman" w:cs="Times New Roman"/>
                <w:b/>
                <w:bCs/>
              </w:rPr>
            </w:pPr>
            <w:r w:rsidR="00736DDC">
              <w:rPr>
                <w:rFonts w:ascii="Times New Roman" w:hAnsi="Times New Roman" w:cs="Times New Roman"/>
                <w:b/>
                <w:bCs/>
              </w:rPr>
              <w:t>1 136 120</w:t>
            </w:r>
          </w:p>
        </w:tc>
        <w:tc>
          <w:tcPr>
            <w:tcW w:w="1220" w:type="dxa"/>
            <w:gridSpan w:val="2"/>
            <w:tcBorders>
              <w:top w:val="single" w:sz="8" w:space="0" w:color="auto"/>
              <w:left w:val="single" w:sz="4" w:space="0" w:color="auto"/>
              <w:bottom w:val="single" w:sz="8" w:space="0" w:color="auto"/>
              <w:right w:val="nil"/>
              <w:tl2br w:val="nil"/>
              <w:tr2bl w:val="nil"/>
            </w:tcBorders>
            <w:shd w:val="clear" w:color="auto" w:fill="C0C0C0"/>
            <w:noWrap/>
            <w:tcMar>
              <w:top w:w="15" w:type="dxa"/>
              <w:left w:w="15" w:type="dxa"/>
              <w:bottom w:w="0" w:type="dxa"/>
              <w:right w:w="15" w:type="dxa"/>
            </w:tcMar>
            <w:textDirection w:val="lrTb"/>
            <w:vAlign w:val="center"/>
          </w:tcPr>
          <w:p w:rsidR="00B97FAA" w:rsidRPr="006810E4" w:rsidP="00FD671F">
            <w:pPr>
              <w:spacing w:line="240" w:lineRule="auto"/>
              <w:jc w:val="right"/>
              <w:rPr>
                <w:rFonts w:ascii="Times New Roman" w:hAnsi="Times New Roman" w:cs="Times New Roman"/>
                <w:b/>
                <w:bCs/>
              </w:rPr>
            </w:pPr>
            <w:r w:rsidR="00736DDC">
              <w:rPr>
                <w:rFonts w:ascii="Times New Roman" w:hAnsi="Times New Roman" w:cs="Times New Roman"/>
                <w:b/>
                <w:bCs/>
              </w:rPr>
              <w:t>1 222 303</w:t>
            </w:r>
          </w:p>
        </w:tc>
        <w:tc>
          <w:tcPr>
            <w:tcW w:w="1228" w:type="dxa"/>
            <w:gridSpan w:val="2"/>
            <w:tcBorders>
              <w:top w:val="single" w:sz="8" w:space="0" w:color="auto"/>
              <w:left w:val="single" w:sz="4" w:space="0" w:color="auto"/>
              <w:bottom w:val="single" w:sz="8" w:space="0" w:color="auto"/>
              <w:right w:val="nil"/>
              <w:tl2br w:val="nil"/>
              <w:tr2bl w:val="nil"/>
            </w:tcBorders>
            <w:shd w:val="clear" w:color="auto" w:fill="C0C0C0"/>
            <w:noWrap/>
            <w:tcMar>
              <w:top w:w="15" w:type="dxa"/>
              <w:left w:w="15" w:type="dxa"/>
              <w:bottom w:w="0" w:type="dxa"/>
              <w:right w:w="15" w:type="dxa"/>
            </w:tcMar>
            <w:textDirection w:val="lrTb"/>
            <w:vAlign w:val="center"/>
          </w:tcPr>
          <w:p w:rsidR="00B97FAA" w:rsidRPr="006810E4" w:rsidP="00FD671F">
            <w:pPr>
              <w:spacing w:line="240" w:lineRule="auto"/>
              <w:ind w:left="-467" w:firstLine="467"/>
              <w:jc w:val="right"/>
              <w:rPr>
                <w:rFonts w:ascii="Times New Roman" w:hAnsi="Times New Roman" w:cs="Times New Roman"/>
                <w:b/>
                <w:bCs/>
              </w:rPr>
            </w:pPr>
            <w:r w:rsidR="00736DDC">
              <w:rPr>
                <w:rFonts w:ascii="Times New Roman" w:hAnsi="Times New Roman" w:cs="Times New Roman"/>
                <w:b/>
                <w:bCs/>
              </w:rPr>
              <w:t>1 779 287</w:t>
            </w:r>
          </w:p>
        </w:tc>
        <w:tc>
          <w:tcPr>
            <w:tcW w:w="1358" w:type="dxa"/>
            <w:gridSpan w:val="2"/>
            <w:tcBorders>
              <w:top w:val="single" w:sz="8" w:space="0" w:color="auto"/>
              <w:left w:val="single" w:sz="4" w:space="0" w:color="auto"/>
              <w:bottom w:val="single" w:sz="8" w:space="0" w:color="auto"/>
              <w:right w:val="single" w:sz="8" w:space="0" w:color="auto"/>
              <w:tl2br w:val="nil"/>
              <w:tr2bl w:val="nil"/>
            </w:tcBorders>
            <w:shd w:val="clear" w:color="auto" w:fill="C0C0C0"/>
            <w:noWrap/>
            <w:tcMar>
              <w:top w:w="15" w:type="dxa"/>
              <w:left w:w="15" w:type="dxa"/>
              <w:bottom w:w="0" w:type="dxa"/>
              <w:right w:w="15" w:type="dxa"/>
            </w:tcMar>
            <w:textDirection w:val="lrTb"/>
            <w:vAlign w:val="center"/>
          </w:tcPr>
          <w:p w:rsidR="00B97FAA" w:rsidRPr="006810E4" w:rsidP="00FD671F">
            <w:pPr>
              <w:spacing w:line="240" w:lineRule="auto"/>
              <w:ind w:left="-467" w:firstLine="467"/>
              <w:jc w:val="right"/>
              <w:rPr>
                <w:rFonts w:ascii="Times New Roman" w:hAnsi="Times New Roman" w:cs="Times New Roman"/>
                <w:b/>
                <w:bCs/>
              </w:rPr>
            </w:pPr>
            <w:r w:rsidR="00736DDC">
              <w:rPr>
                <w:rFonts w:ascii="Times New Roman" w:hAnsi="Times New Roman" w:cs="Times New Roman"/>
                <w:b/>
                <w:bCs/>
              </w:rPr>
              <w:t>3 135 371</w:t>
            </w:r>
          </w:p>
        </w:tc>
      </w:tr>
      <w:tr>
        <w:tblPrEx>
          <w:tblW w:w="9326" w:type="dxa"/>
          <w:jc w:val="center"/>
          <w:tblInd w:w="2256" w:type="dxa"/>
          <w:tblCellMar>
            <w:left w:w="0" w:type="dxa"/>
            <w:right w:w="0" w:type="dxa"/>
          </w:tblCellMar>
        </w:tblPrEx>
        <w:trPr>
          <w:gridAfter w:val="1"/>
          <w:wAfter w:w="37" w:type="dxa"/>
          <w:trHeight w:hRule="exact" w:val="284"/>
          <w:jc w:val="center"/>
        </w:trPr>
        <w:tc>
          <w:tcPr>
            <w:tcW w:w="330" w:type="dxa"/>
            <w:tcBorders>
              <w:top w:val="nil"/>
              <w:left w:val="single" w:sz="8" w:space="0" w:color="auto"/>
              <w:bottom w:val="single" w:sz="4" w:space="0" w:color="auto"/>
              <w:right w:val="single" w:sz="4" w:space="0" w:color="auto"/>
              <w:tl2br w:val="nil"/>
              <w:tr2bl w:val="nil"/>
            </w:tcBorders>
            <w:noWrap/>
            <w:tcMar>
              <w:top w:w="15" w:type="dxa"/>
              <w:left w:w="15" w:type="dxa"/>
              <w:bottom w:w="0" w:type="dxa"/>
              <w:right w:w="15" w:type="dxa"/>
            </w:tcMar>
            <w:textDirection w:val="lrTb"/>
            <w:vAlign w:val="center"/>
          </w:tcPr>
          <w:p w:rsidR="00B97FAA" w:rsidRPr="006810E4" w:rsidP="00FD671F">
            <w:pPr>
              <w:spacing w:line="240" w:lineRule="auto"/>
              <w:rPr>
                <w:rFonts w:ascii="Times New Roman" w:hAnsi="Times New Roman" w:cs="Times New Roman"/>
              </w:rPr>
            </w:pPr>
            <w:r w:rsidRPr="006810E4">
              <w:rPr>
                <w:rFonts w:ascii="Times New Roman" w:hAnsi="Times New Roman" w:cs="Times New Roman"/>
              </w:rPr>
              <w:t> </w:t>
            </w:r>
          </w:p>
        </w:tc>
        <w:tc>
          <w:tcPr>
            <w:tcW w:w="2547" w:type="dxa"/>
            <w:gridSpan w:val="2"/>
            <w:tcBorders>
              <w:top w:val="nil"/>
              <w:left w:val="nil"/>
              <w:bottom w:val="single" w:sz="4" w:space="0" w:color="auto"/>
              <w:right w:val="single" w:sz="4" w:space="0" w:color="auto"/>
              <w:tl2br w:val="nil"/>
              <w:tr2bl w:val="nil"/>
            </w:tcBorders>
            <w:noWrap/>
            <w:tcMar>
              <w:top w:w="15" w:type="dxa"/>
              <w:left w:w="15" w:type="dxa"/>
              <w:bottom w:w="0" w:type="dxa"/>
              <w:right w:w="15" w:type="dxa"/>
            </w:tcMar>
            <w:textDirection w:val="lrTb"/>
            <w:vAlign w:val="center"/>
          </w:tcPr>
          <w:p w:rsidR="00B97FAA" w:rsidRPr="006810E4" w:rsidP="00FD671F">
            <w:pPr>
              <w:spacing w:line="240" w:lineRule="auto"/>
              <w:jc w:val="left"/>
              <w:rPr>
                <w:rFonts w:ascii="Times New Roman" w:hAnsi="Times New Roman" w:cs="Times New Roman"/>
                <w:b/>
                <w:bCs/>
              </w:rPr>
            </w:pPr>
            <w:r w:rsidRPr="006810E4">
              <w:rPr>
                <w:rFonts w:ascii="Times New Roman" w:hAnsi="Times New Roman" w:cs="Times New Roman"/>
                <w:b/>
                <w:bCs/>
              </w:rPr>
              <w:t>v lehote splatnosti</w:t>
            </w:r>
          </w:p>
        </w:tc>
        <w:tc>
          <w:tcPr>
            <w:tcW w:w="1323" w:type="dxa"/>
            <w:gridSpan w:val="2"/>
            <w:tcBorders>
              <w:top w:val="nil"/>
              <w:left w:val="nil"/>
              <w:bottom w:val="single" w:sz="4" w:space="0" w:color="auto"/>
              <w:right w:val="single" w:sz="4" w:space="0" w:color="auto"/>
              <w:tl2br w:val="nil"/>
              <w:tr2bl w:val="nil"/>
            </w:tcBorders>
            <w:tcMar>
              <w:top w:w="15" w:type="dxa"/>
              <w:left w:w="15" w:type="dxa"/>
              <w:bottom w:w="0" w:type="dxa"/>
              <w:right w:w="15" w:type="dxa"/>
            </w:tcMar>
            <w:textDirection w:val="lrTb"/>
            <w:vAlign w:val="center"/>
          </w:tcPr>
          <w:p w:rsidR="00B97FAA" w:rsidRPr="006810E4" w:rsidP="00FD671F">
            <w:pPr>
              <w:spacing w:line="240" w:lineRule="auto"/>
              <w:jc w:val="right"/>
              <w:rPr>
                <w:rFonts w:ascii="Times New Roman" w:hAnsi="Times New Roman" w:cs="Times New Roman"/>
                <w:b/>
                <w:bCs/>
              </w:rPr>
            </w:pPr>
            <w:r w:rsidR="00634549">
              <w:rPr>
                <w:rFonts w:ascii="Times New Roman" w:hAnsi="Times New Roman" w:cs="Times New Roman"/>
                <w:b/>
                <w:bCs/>
              </w:rPr>
              <w:t>2 391 543</w:t>
            </w:r>
          </w:p>
        </w:tc>
        <w:tc>
          <w:tcPr>
            <w:tcW w:w="1283" w:type="dxa"/>
            <w:gridSpan w:val="2"/>
            <w:tcBorders>
              <w:top w:val="nil"/>
              <w:left w:val="nil"/>
              <w:bottom w:val="single" w:sz="4" w:space="0" w:color="auto"/>
              <w:right w:val="nil"/>
              <w:tl2br w:val="nil"/>
              <w:tr2bl w:val="nil"/>
            </w:tcBorders>
            <w:tcMar>
              <w:top w:w="15" w:type="dxa"/>
              <w:left w:w="15" w:type="dxa"/>
              <w:bottom w:w="0" w:type="dxa"/>
              <w:right w:w="15" w:type="dxa"/>
            </w:tcMar>
            <w:textDirection w:val="lrTb"/>
            <w:vAlign w:val="center"/>
          </w:tcPr>
          <w:p w:rsidR="00B97FAA" w:rsidRPr="006810E4" w:rsidP="00FD671F">
            <w:pPr>
              <w:spacing w:line="240" w:lineRule="auto"/>
              <w:jc w:val="right"/>
              <w:rPr>
                <w:rFonts w:ascii="Times New Roman" w:hAnsi="Times New Roman" w:cs="Times New Roman"/>
                <w:b/>
                <w:bCs/>
              </w:rPr>
            </w:pPr>
            <w:r w:rsidR="00736DDC">
              <w:rPr>
                <w:rFonts w:ascii="Times New Roman" w:hAnsi="Times New Roman" w:cs="Times New Roman"/>
                <w:b/>
                <w:bCs/>
              </w:rPr>
              <w:t>869 904</w:t>
            </w:r>
          </w:p>
        </w:tc>
        <w:tc>
          <w:tcPr>
            <w:tcW w:w="1220" w:type="dxa"/>
            <w:gridSpan w:val="2"/>
            <w:tcBorders>
              <w:top w:val="nil"/>
              <w:left w:val="single" w:sz="4" w:space="0" w:color="auto"/>
              <w:bottom w:val="single" w:sz="4" w:space="0" w:color="auto"/>
              <w:right w:val="nil"/>
              <w:tl2br w:val="nil"/>
              <w:tr2bl w:val="nil"/>
            </w:tcBorders>
            <w:tcMar>
              <w:top w:w="15" w:type="dxa"/>
              <w:left w:w="15" w:type="dxa"/>
              <w:bottom w:w="0" w:type="dxa"/>
              <w:right w:w="15" w:type="dxa"/>
            </w:tcMar>
            <w:textDirection w:val="lrTb"/>
            <w:vAlign w:val="center"/>
          </w:tcPr>
          <w:p w:rsidR="00B97FAA" w:rsidRPr="006810E4" w:rsidP="00FD671F">
            <w:pPr>
              <w:spacing w:line="240" w:lineRule="auto"/>
              <w:jc w:val="right"/>
              <w:rPr>
                <w:rFonts w:ascii="Times New Roman" w:hAnsi="Times New Roman" w:cs="Times New Roman"/>
                <w:b/>
                <w:bCs/>
              </w:rPr>
            </w:pPr>
            <w:r w:rsidR="00736DDC">
              <w:rPr>
                <w:rFonts w:ascii="Times New Roman" w:hAnsi="Times New Roman" w:cs="Times New Roman"/>
                <w:b/>
                <w:bCs/>
              </w:rPr>
              <w:t>953 511</w:t>
            </w:r>
          </w:p>
        </w:tc>
        <w:tc>
          <w:tcPr>
            <w:tcW w:w="1228" w:type="dxa"/>
            <w:gridSpan w:val="2"/>
            <w:tcBorders>
              <w:top w:val="nil"/>
              <w:left w:val="single" w:sz="4" w:space="0" w:color="auto"/>
              <w:bottom w:val="single" w:sz="4" w:space="0" w:color="auto"/>
              <w:right w:val="nil"/>
              <w:tl2br w:val="nil"/>
              <w:tr2bl w:val="nil"/>
            </w:tcBorders>
            <w:tcMar>
              <w:top w:w="15" w:type="dxa"/>
              <w:left w:w="15" w:type="dxa"/>
              <w:bottom w:w="0" w:type="dxa"/>
              <w:right w:w="15" w:type="dxa"/>
            </w:tcMar>
            <w:textDirection w:val="lrTb"/>
            <w:vAlign w:val="center"/>
          </w:tcPr>
          <w:p w:rsidR="00B97FAA" w:rsidRPr="006810E4" w:rsidP="00FD671F">
            <w:pPr>
              <w:spacing w:line="240" w:lineRule="auto"/>
              <w:ind w:left="-467" w:firstLine="467"/>
              <w:jc w:val="right"/>
              <w:rPr>
                <w:rFonts w:ascii="Times New Roman" w:hAnsi="Times New Roman" w:cs="Times New Roman"/>
                <w:b/>
                <w:bCs/>
              </w:rPr>
            </w:pPr>
            <w:r w:rsidR="00736DDC">
              <w:rPr>
                <w:rFonts w:ascii="Times New Roman" w:hAnsi="Times New Roman" w:cs="Times New Roman"/>
                <w:b/>
                <w:bCs/>
              </w:rPr>
              <w:t>1 498 508</w:t>
            </w:r>
          </w:p>
        </w:tc>
        <w:tc>
          <w:tcPr>
            <w:tcW w:w="1358" w:type="dxa"/>
            <w:gridSpan w:val="2"/>
            <w:tcBorders>
              <w:top w:val="nil"/>
              <w:left w:val="single" w:sz="4" w:space="0" w:color="auto"/>
              <w:bottom w:val="single" w:sz="4" w:space="0" w:color="auto"/>
              <w:right w:val="single" w:sz="8" w:space="0" w:color="auto"/>
              <w:tl2br w:val="nil"/>
              <w:tr2bl w:val="nil"/>
            </w:tcBorders>
            <w:tcMar>
              <w:top w:w="15" w:type="dxa"/>
              <w:left w:w="15" w:type="dxa"/>
              <w:bottom w:w="0" w:type="dxa"/>
              <w:right w:w="15" w:type="dxa"/>
            </w:tcMar>
            <w:textDirection w:val="lrTb"/>
            <w:vAlign w:val="center"/>
          </w:tcPr>
          <w:p w:rsidR="00B97FAA" w:rsidRPr="006810E4" w:rsidP="00FD671F">
            <w:pPr>
              <w:spacing w:line="240" w:lineRule="auto"/>
              <w:ind w:left="-467" w:firstLine="467"/>
              <w:jc w:val="right"/>
              <w:rPr>
                <w:rFonts w:ascii="Times New Roman" w:hAnsi="Times New Roman" w:cs="Times New Roman"/>
                <w:b/>
                <w:bCs/>
              </w:rPr>
            </w:pPr>
            <w:r w:rsidR="00736DDC">
              <w:rPr>
                <w:rFonts w:ascii="Times New Roman" w:hAnsi="Times New Roman" w:cs="Times New Roman"/>
                <w:b/>
                <w:bCs/>
              </w:rPr>
              <w:t>2 842 074</w:t>
            </w:r>
          </w:p>
        </w:tc>
      </w:tr>
      <w:tr>
        <w:tblPrEx>
          <w:tblW w:w="9326" w:type="dxa"/>
          <w:jc w:val="center"/>
          <w:tblInd w:w="2256" w:type="dxa"/>
          <w:tblCellMar>
            <w:left w:w="0" w:type="dxa"/>
            <w:right w:w="0" w:type="dxa"/>
          </w:tblCellMar>
        </w:tblPrEx>
        <w:trPr>
          <w:gridAfter w:val="1"/>
          <w:wAfter w:w="37" w:type="dxa"/>
          <w:trHeight w:hRule="exact" w:val="284"/>
          <w:jc w:val="center"/>
        </w:trPr>
        <w:tc>
          <w:tcPr>
            <w:tcW w:w="330" w:type="dxa"/>
            <w:tcBorders>
              <w:top w:val="nil"/>
              <w:left w:val="single" w:sz="8" w:space="0" w:color="auto"/>
              <w:bottom w:val="single" w:sz="4" w:space="0" w:color="auto"/>
              <w:right w:val="single" w:sz="4" w:space="0" w:color="auto"/>
              <w:tl2br w:val="nil"/>
              <w:tr2bl w:val="nil"/>
            </w:tcBorders>
            <w:noWrap/>
            <w:tcMar>
              <w:top w:w="15" w:type="dxa"/>
              <w:left w:w="15" w:type="dxa"/>
              <w:bottom w:w="0" w:type="dxa"/>
              <w:right w:w="15" w:type="dxa"/>
            </w:tcMar>
            <w:textDirection w:val="lrTb"/>
            <w:vAlign w:val="center"/>
          </w:tcPr>
          <w:p w:rsidR="00B97FAA" w:rsidRPr="006810E4" w:rsidP="00FD671F">
            <w:pPr>
              <w:spacing w:line="240" w:lineRule="auto"/>
              <w:rPr>
                <w:rFonts w:ascii="Times New Roman" w:hAnsi="Times New Roman" w:cs="Times New Roman"/>
              </w:rPr>
            </w:pPr>
            <w:r w:rsidRPr="006810E4">
              <w:rPr>
                <w:rFonts w:ascii="Times New Roman" w:hAnsi="Times New Roman" w:cs="Times New Roman"/>
              </w:rPr>
              <w:t> </w:t>
            </w:r>
          </w:p>
        </w:tc>
        <w:tc>
          <w:tcPr>
            <w:tcW w:w="2547" w:type="dxa"/>
            <w:gridSpan w:val="2"/>
            <w:tcBorders>
              <w:top w:val="nil"/>
              <w:left w:val="nil"/>
              <w:bottom w:val="single" w:sz="4" w:space="0" w:color="auto"/>
              <w:right w:val="single" w:sz="4" w:space="0" w:color="auto"/>
              <w:tl2br w:val="nil"/>
              <w:tr2bl w:val="nil"/>
            </w:tcBorders>
            <w:noWrap/>
            <w:tcMar>
              <w:top w:w="15" w:type="dxa"/>
              <w:left w:w="15" w:type="dxa"/>
              <w:bottom w:w="0" w:type="dxa"/>
              <w:right w:w="15" w:type="dxa"/>
            </w:tcMar>
            <w:textDirection w:val="lrTb"/>
            <w:vAlign w:val="center"/>
          </w:tcPr>
          <w:p w:rsidR="00B97FAA" w:rsidRPr="006810E4" w:rsidP="00FD671F">
            <w:pPr>
              <w:spacing w:line="240" w:lineRule="auto"/>
              <w:jc w:val="left"/>
              <w:rPr>
                <w:rFonts w:ascii="Times New Roman" w:hAnsi="Times New Roman" w:cs="Times New Roman"/>
                <w:b/>
                <w:bCs/>
              </w:rPr>
            </w:pPr>
            <w:r w:rsidRPr="006810E4">
              <w:rPr>
                <w:rFonts w:ascii="Times New Roman" w:hAnsi="Times New Roman" w:cs="Times New Roman"/>
                <w:b/>
                <w:bCs/>
              </w:rPr>
              <w:t>po lehote splatnosti</w:t>
            </w:r>
          </w:p>
        </w:tc>
        <w:tc>
          <w:tcPr>
            <w:tcW w:w="1323" w:type="dxa"/>
            <w:gridSpan w:val="2"/>
            <w:tcBorders>
              <w:top w:val="nil"/>
              <w:left w:val="nil"/>
              <w:bottom w:val="single" w:sz="4" w:space="0" w:color="auto"/>
              <w:right w:val="single" w:sz="4" w:space="0" w:color="auto"/>
              <w:tl2br w:val="nil"/>
              <w:tr2bl w:val="nil"/>
            </w:tcBorders>
            <w:tcMar>
              <w:top w:w="15" w:type="dxa"/>
              <w:left w:w="15" w:type="dxa"/>
              <w:bottom w:w="0" w:type="dxa"/>
              <w:right w:w="15" w:type="dxa"/>
            </w:tcMar>
            <w:textDirection w:val="lrTb"/>
            <w:vAlign w:val="center"/>
          </w:tcPr>
          <w:p w:rsidR="00B97FAA" w:rsidRPr="006810E4" w:rsidP="00FD671F">
            <w:pPr>
              <w:spacing w:line="240" w:lineRule="auto"/>
              <w:jc w:val="right"/>
              <w:rPr>
                <w:rFonts w:ascii="Times New Roman" w:hAnsi="Times New Roman" w:cs="Times New Roman"/>
                <w:b/>
                <w:bCs/>
              </w:rPr>
            </w:pPr>
            <w:r w:rsidR="00634549">
              <w:rPr>
                <w:rFonts w:ascii="Times New Roman" w:hAnsi="Times New Roman" w:cs="Times New Roman"/>
                <w:b/>
                <w:bCs/>
              </w:rPr>
              <w:t>255 517</w:t>
            </w:r>
          </w:p>
        </w:tc>
        <w:tc>
          <w:tcPr>
            <w:tcW w:w="1283" w:type="dxa"/>
            <w:gridSpan w:val="2"/>
            <w:tcBorders>
              <w:top w:val="nil"/>
              <w:left w:val="nil"/>
              <w:bottom w:val="single" w:sz="4" w:space="0" w:color="auto"/>
              <w:right w:val="nil"/>
              <w:tl2br w:val="nil"/>
              <w:tr2bl w:val="nil"/>
            </w:tcBorders>
            <w:tcMar>
              <w:top w:w="15" w:type="dxa"/>
              <w:left w:w="15" w:type="dxa"/>
              <w:bottom w:w="0" w:type="dxa"/>
              <w:right w:w="15" w:type="dxa"/>
            </w:tcMar>
            <w:textDirection w:val="lrTb"/>
            <w:vAlign w:val="center"/>
          </w:tcPr>
          <w:p w:rsidR="00B97FAA" w:rsidRPr="006810E4" w:rsidP="00FD671F">
            <w:pPr>
              <w:spacing w:line="240" w:lineRule="auto"/>
              <w:jc w:val="right"/>
              <w:rPr>
                <w:rFonts w:ascii="Times New Roman" w:hAnsi="Times New Roman" w:cs="Times New Roman"/>
                <w:b/>
                <w:bCs/>
              </w:rPr>
            </w:pPr>
            <w:r w:rsidR="00736DDC">
              <w:rPr>
                <w:rFonts w:ascii="Times New Roman" w:hAnsi="Times New Roman" w:cs="Times New Roman"/>
                <w:b/>
                <w:bCs/>
              </w:rPr>
              <w:t>266 216</w:t>
            </w:r>
          </w:p>
        </w:tc>
        <w:tc>
          <w:tcPr>
            <w:tcW w:w="1220" w:type="dxa"/>
            <w:gridSpan w:val="2"/>
            <w:tcBorders>
              <w:top w:val="nil"/>
              <w:left w:val="single" w:sz="4" w:space="0" w:color="auto"/>
              <w:bottom w:val="single" w:sz="4" w:space="0" w:color="auto"/>
              <w:right w:val="nil"/>
              <w:tl2br w:val="nil"/>
              <w:tr2bl w:val="nil"/>
            </w:tcBorders>
            <w:tcMar>
              <w:top w:w="15" w:type="dxa"/>
              <w:left w:w="15" w:type="dxa"/>
              <w:bottom w:w="0" w:type="dxa"/>
              <w:right w:w="15" w:type="dxa"/>
            </w:tcMar>
            <w:textDirection w:val="lrTb"/>
            <w:vAlign w:val="center"/>
          </w:tcPr>
          <w:p w:rsidR="00B97FAA" w:rsidRPr="006810E4" w:rsidP="00FD671F">
            <w:pPr>
              <w:spacing w:line="240" w:lineRule="auto"/>
              <w:jc w:val="right"/>
              <w:rPr>
                <w:rFonts w:ascii="Times New Roman" w:hAnsi="Times New Roman" w:cs="Times New Roman"/>
                <w:b/>
                <w:bCs/>
              </w:rPr>
            </w:pPr>
            <w:r w:rsidR="00736DDC">
              <w:rPr>
                <w:rFonts w:ascii="Times New Roman" w:hAnsi="Times New Roman" w:cs="Times New Roman"/>
                <w:b/>
                <w:bCs/>
              </w:rPr>
              <w:t>268 792</w:t>
            </w:r>
          </w:p>
        </w:tc>
        <w:tc>
          <w:tcPr>
            <w:tcW w:w="1228" w:type="dxa"/>
            <w:gridSpan w:val="2"/>
            <w:tcBorders>
              <w:top w:val="nil"/>
              <w:left w:val="single" w:sz="4" w:space="0" w:color="auto"/>
              <w:bottom w:val="single" w:sz="4" w:space="0" w:color="auto"/>
              <w:right w:val="nil"/>
              <w:tl2br w:val="nil"/>
              <w:tr2bl w:val="nil"/>
            </w:tcBorders>
            <w:tcMar>
              <w:top w:w="15" w:type="dxa"/>
              <w:left w:w="15" w:type="dxa"/>
              <w:bottom w:w="0" w:type="dxa"/>
              <w:right w:w="15" w:type="dxa"/>
            </w:tcMar>
            <w:textDirection w:val="lrTb"/>
            <w:vAlign w:val="center"/>
          </w:tcPr>
          <w:p w:rsidR="00B97FAA" w:rsidRPr="006810E4" w:rsidP="00FD671F">
            <w:pPr>
              <w:spacing w:line="240" w:lineRule="auto"/>
              <w:ind w:left="-467" w:firstLine="467"/>
              <w:jc w:val="right"/>
              <w:rPr>
                <w:rFonts w:ascii="Times New Roman" w:hAnsi="Times New Roman" w:cs="Times New Roman"/>
                <w:b/>
                <w:bCs/>
              </w:rPr>
            </w:pPr>
            <w:r w:rsidR="00736DDC">
              <w:rPr>
                <w:rFonts w:ascii="Times New Roman" w:hAnsi="Times New Roman" w:cs="Times New Roman"/>
                <w:b/>
                <w:bCs/>
              </w:rPr>
              <w:t>280 780</w:t>
            </w:r>
          </w:p>
        </w:tc>
        <w:tc>
          <w:tcPr>
            <w:tcW w:w="1358" w:type="dxa"/>
            <w:gridSpan w:val="2"/>
            <w:tcBorders>
              <w:top w:val="nil"/>
              <w:left w:val="single" w:sz="4" w:space="0" w:color="auto"/>
              <w:bottom w:val="single" w:sz="4" w:space="0" w:color="auto"/>
              <w:right w:val="single" w:sz="8" w:space="0" w:color="auto"/>
              <w:tl2br w:val="nil"/>
              <w:tr2bl w:val="nil"/>
            </w:tcBorders>
            <w:tcMar>
              <w:top w:w="15" w:type="dxa"/>
              <w:left w:w="15" w:type="dxa"/>
              <w:bottom w:w="0" w:type="dxa"/>
              <w:right w:w="15" w:type="dxa"/>
            </w:tcMar>
            <w:textDirection w:val="lrTb"/>
            <w:vAlign w:val="center"/>
          </w:tcPr>
          <w:p w:rsidR="00B97FAA" w:rsidRPr="006810E4" w:rsidP="00FD671F">
            <w:pPr>
              <w:spacing w:line="240" w:lineRule="auto"/>
              <w:ind w:left="-467" w:firstLine="467"/>
              <w:jc w:val="right"/>
              <w:rPr>
                <w:rFonts w:ascii="Times New Roman" w:hAnsi="Times New Roman" w:cs="Times New Roman"/>
                <w:b/>
                <w:bCs/>
              </w:rPr>
            </w:pPr>
            <w:r w:rsidR="00736DDC">
              <w:rPr>
                <w:rFonts w:ascii="Times New Roman" w:hAnsi="Times New Roman" w:cs="Times New Roman"/>
                <w:b/>
                <w:bCs/>
              </w:rPr>
              <w:t>293 297</w:t>
            </w:r>
          </w:p>
        </w:tc>
      </w:tr>
      <w:tr>
        <w:tblPrEx>
          <w:tblW w:w="9326" w:type="dxa"/>
          <w:jc w:val="center"/>
          <w:tblInd w:w="2256" w:type="dxa"/>
          <w:tblCellMar>
            <w:left w:w="0" w:type="dxa"/>
            <w:right w:w="0" w:type="dxa"/>
          </w:tblCellMar>
        </w:tblPrEx>
        <w:trPr>
          <w:gridAfter w:val="1"/>
          <w:wAfter w:w="37" w:type="dxa"/>
          <w:trHeight w:hRule="exact" w:val="284"/>
          <w:jc w:val="center"/>
        </w:trPr>
        <w:tc>
          <w:tcPr>
            <w:tcW w:w="330" w:type="dxa"/>
            <w:tcBorders>
              <w:top w:val="nil"/>
              <w:left w:val="single" w:sz="8" w:space="0" w:color="auto"/>
              <w:bottom w:val="single" w:sz="4" w:space="0" w:color="auto"/>
              <w:right w:val="single" w:sz="4" w:space="0" w:color="auto"/>
              <w:tl2br w:val="nil"/>
              <w:tr2bl w:val="nil"/>
            </w:tcBorders>
            <w:noWrap/>
            <w:tcMar>
              <w:top w:w="15" w:type="dxa"/>
              <w:left w:w="15" w:type="dxa"/>
              <w:bottom w:w="0" w:type="dxa"/>
              <w:right w:w="15" w:type="dxa"/>
            </w:tcMar>
            <w:textDirection w:val="lrTb"/>
            <w:vAlign w:val="center"/>
          </w:tcPr>
          <w:p w:rsidR="00B97FAA" w:rsidRPr="006810E4" w:rsidP="00FD671F">
            <w:pPr>
              <w:spacing w:line="240" w:lineRule="auto"/>
              <w:rPr>
                <w:rFonts w:ascii="Times New Roman" w:hAnsi="Times New Roman" w:cs="Times New Roman"/>
              </w:rPr>
            </w:pPr>
            <w:r w:rsidRPr="006810E4">
              <w:rPr>
                <w:rFonts w:ascii="Times New Roman" w:hAnsi="Times New Roman" w:cs="Times New Roman"/>
              </w:rPr>
              <w:t> </w:t>
            </w:r>
          </w:p>
        </w:tc>
        <w:tc>
          <w:tcPr>
            <w:tcW w:w="2547" w:type="dxa"/>
            <w:gridSpan w:val="2"/>
            <w:tcBorders>
              <w:top w:val="nil"/>
              <w:left w:val="nil"/>
              <w:bottom w:val="single" w:sz="4" w:space="0" w:color="auto"/>
              <w:right w:val="single" w:sz="4" w:space="0" w:color="auto"/>
              <w:tl2br w:val="nil"/>
              <w:tr2bl w:val="nil"/>
            </w:tcBorders>
            <w:noWrap/>
            <w:tcMar>
              <w:top w:w="15" w:type="dxa"/>
              <w:left w:w="15" w:type="dxa"/>
              <w:bottom w:w="0" w:type="dxa"/>
              <w:right w:w="15" w:type="dxa"/>
            </w:tcMar>
            <w:textDirection w:val="lrTb"/>
            <w:vAlign w:val="center"/>
          </w:tcPr>
          <w:p w:rsidR="00B97FAA" w:rsidRPr="006810E4" w:rsidP="00FD671F">
            <w:pPr>
              <w:spacing w:line="240" w:lineRule="auto"/>
              <w:jc w:val="left"/>
              <w:rPr>
                <w:rFonts w:ascii="Times New Roman" w:hAnsi="Times New Roman" w:cs="Times New Roman"/>
              </w:rPr>
            </w:pPr>
            <w:r w:rsidRPr="006810E4">
              <w:rPr>
                <w:rFonts w:ascii="Times New Roman" w:hAnsi="Times New Roman" w:cs="Times New Roman"/>
              </w:rPr>
              <w:t>do 30 dní</w:t>
            </w:r>
          </w:p>
        </w:tc>
        <w:tc>
          <w:tcPr>
            <w:tcW w:w="1323" w:type="dxa"/>
            <w:gridSpan w:val="2"/>
            <w:tcBorders>
              <w:top w:val="nil"/>
              <w:left w:val="nil"/>
              <w:bottom w:val="single" w:sz="4" w:space="0" w:color="auto"/>
              <w:right w:val="single" w:sz="4" w:space="0" w:color="auto"/>
              <w:tl2br w:val="nil"/>
              <w:tr2bl w:val="nil"/>
            </w:tcBorders>
            <w:tcMar>
              <w:top w:w="15" w:type="dxa"/>
              <w:left w:w="15" w:type="dxa"/>
              <w:bottom w:w="0" w:type="dxa"/>
              <w:right w:w="15" w:type="dxa"/>
            </w:tcMar>
            <w:textDirection w:val="lrTb"/>
            <w:vAlign w:val="center"/>
          </w:tcPr>
          <w:p w:rsidR="00B97FAA" w:rsidRPr="006810E4" w:rsidP="00FD671F">
            <w:pPr>
              <w:spacing w:line="240" w:lineRule="auto"/>
              <w:jc w:val="right"/>
              <w:rPr>
                <w:rFonts w:ascii="Times New Roman" w:hAnsi="Times New Roman" w:cs="Times New Roman"/>
              </w:rPr>
            </w:pPr>
            <w:r w:rsidR="00634549">
              <w:rPr>
                <w:rFonts w:ascii="Times New Roman" w:hAnsi="Times New Roman" w:cs="Times New Roman"/>
              </w:rPr>
              <w:t>29 583</w:t>
            </w:r>
          </w:p>
        </w:tc>
        <w:tc>
          <w:tcPr>
            <w:tcW w:w="1283" w:type="dxa"/>
            <w:gridSpan w:val="2"/>
            <w:tcBorders>
              <w:top w:val="nil"/>
              <w:left w:val="nil"/>
              <w:bottom w:val="single" w:sz="4" w:space="0" w:color="auto"/>
              <w:right w:val="nil"/>
              <w:tl2br w:val="nil"/>
              <w:tr2bl w:val="nil"/>
            </w:tcBorders>
            <w:tcMar>
              <w:top w:w="15" w:type="dxa"/>
              <w:left w:w="15" w:type="dxa"/>
              <w:bottom w:w="0" w:type="dxa"/>
              <w:right w:w="15" w:type="dxa"/>
            </w:tcMar>
            <w:textDirection w:val="lrTb"/>
            <w:vAlign w:val="center"/>
          </w:tcPr>
          <w:p w:rsidR="00B97FAA" w:rsidRPr="006810E4" w:rsidP="00FD671F">
            <w:pPr>
              <w:spacing w:line="240" w:lineRule="auto"/>
              <w:jc w:val="right"/>
              <w:rPr>
                <w:rFonts w:ascii="Times New Roman" w:hAnsi="Times New Roman" w:cs="Times New Roman"/>
              </w:rPr>
            </w:pPr>
            <w:r w:rsidR="00736DDC">
              <w:rPr>
                <w:rFonts w:ascii="Times New Roman" w:hAnsi="Times New Roman" w:cs="Times New Roman"/>
              </w:rPr>
              <w:t>105 879</w:t>
            </w:r>
          </w:p>
        </w:tc>
        <w:tc>
          <w:tcPr>
            <w:tcW w:w="1220" w:type="dxa"/>
            <w:gridSpan w:val="2"/>
            <w:tcBorders>
              <w:top w:val="nil"/>
              <w:left w:val="single" w:sz="4" w:space="0" w:color="auto"/>
              <w:bottom w:val="nil"/>
              <w:right w:val="nil"/>
              <w:tl2br w:val="nil"/>
              <w:tr2bl w:val="nil"/>
            </w:tcBorders>
            <w:tcMar>
              <w:top w:w="15" w:type="dxa"/>
              <w:left w:w="15" w:type="dxa"/>
              <w:bottom w:w="0" w:type="dxa"/>
              <w:right w:w="15" w:type="dxa"/>
            </w:tcMar>
            <w:textDirection w:val="lrTb"/>
            <w:vAlign w:val="center"/>
          </w:tcPr>
          <w:p w:rsidR="00B97FAA" w:rsidRPr="006810E4" w:rsidP="00FD671F">
            <w:pPr>
              <w:spacing w:line="240" w:lineRule="auto"/>
              <w:jc w:val="right"/>
              <w:rPr>
                <w:rFonts w:ascii="Times New Roman" w:hAnsi="Times New Roman" w:cs="Times New Roman"/>
              </w:rPr>
            </w:pPr>
            <w:r w:rsidR="00736DDC">
              <w:rPr>
                <w:rFonts w:ascii="Times New Roman" w:hAnsi="Times New Roman" w:cs="Times New Roman"/>
              </w:rPr>
              <w:t>80 827</w:t>
            </w:r>
          </w:p>
        </w:tc>
        <w:tc>
          <w:tcPr>
            <w:tcW w:w="1228" w:type="dxa"/>
            <w:gridSpan w:val="2"/>
            <w:tcBorders>
              <w:top w:val="nil"/>
              <w:left w:val="single" w:sz="4" w:space="0" w:color="auto"/>
              <w:bottom w:val="nil"/>
              <w:right w:val="nil"/>
              <w:tl2br w:val="nil"/>
              <w:tr2bl w:val="nil"/>
            </w:tcBorders>
            <w:tcMar>
              <w:top w:w="15" w:type="dxa"/>
              <w:left w:w="15" w:type="dxa"/>
              <w:bottom w:w="0" w:type="dxa"/>
              <w:right w:w="15" w:type="dxa"/>
            </w:tcMar>
            <w:textDirection w:val="lrTb"/>
            <w:vAlign w:val="center"/>
          </w:tcPr>
          <w:p w:rsidR="00B97FAA" w:rsidRPr="006810E4" w:rsidP="00FD671F">
            <w:pPr>
              <w:spacing w:line="240" w:lineRule="auto"/>
              <w:ind w:left="-467" w:firstLine="467"/>
              <w:jc w:val="right"/>
              <w:rPr>
                <w:rFonts w:ascii="Times New Roman" w:hAnsi="Times New Roman" w:cs="Times New Roman"/>
              </w:rPr>
            </w:pPr>
            <w:r w:rsidR="00736DDC">
              <w:rPr>
                <w:rFonts w:ascii="Times New Roman" w:hAnsi="Times New Roman" w:cs="Times New Roman"/>
              </w:rPr>
              <w:t>44 324</w:t>
            </w:r>
          </w:p>
        </w:tc>
        <w:tc>
          <w:tcPr>
            <w:tcW w:w="1358" w:type="dxa"/>
            <w:gridSpan w:val="2"/>
            <w:tcBorders>
              <w:top w:val="nil"/>
              <w:left w:val="single" w:sz="4" w:space="0" w:color="auto"/>
              <w:bottom w:val="nil"/>
              <w:right w:val="single" w:sz="8" w:space="0" w:color="auto"/>
              <w:tl2br w:val="nil"/>
              <w:tr2bl w:val="nil"/>
            </w:tcBorders>
            <w:tcMar>
              <w:top w:w="15" w:type="dxa"/>
              <w:left w:w="15" w:type="dxa"/>
              <w:bottom w:w="0" w:type="dxa"/>
              <w:right w:w="15" w:type="dxa"/>
            </w:tcMar>
            <w:textDirection w:val="lrTb"/>
            <w:vAlign w:val="center"/>
          </w:tcPr>
          <w:p w:rsidR="00B97FAA" w:rsidRPr="006810E4" w:rsidP="00FD671F">
            <w:pPr>
              <w:spacing w:line="240" w:lineRule="auto"/>
              <w:ind w:left="-467" w:firstLine="467"/>
              <w:jc w:val="right"/>
              <w:rPr>
                <w:rFonts w:ascii="Times New Roman" w:hAnsi="Times New Roman" w:cs="Times New Roman"/>
              </w:rPr>
            </w:pPr>
            <w:r w:rsidR="00736DDC">
              <w:rPr>
                <w:rFonts w:ascii="Times New Roman" w:hAnsi="Times New Roman" w:cs="Times New Roman"/>
              </w:rPr>
              <w:t>143 881</w:t>
            </w:r>
          </w:p>
        </w:tc>
      </w:tr>
      <w:tr>
        <w:tblPrEx>
          <w:tblW w:w="9326" w:type="dxa"/>
          <w:jc w:val="center"/>
          <w:tblInd w:w="2256" w:type="dxa"/>
          <w:tblCellMar>
            <w:left w:w="0" w:type="dxa"/>
            <w:right w:w="0" w:type="dxa"/>
          </w:tblCellMar>
        </w:tblPrEx>
        <w:trPr>
          <w:gridAfter w:val="1"/>
          <w:wAfter w:w="37" w:type="dxa"/>
          <w:trHeight w:hRule="exact" w:val="284"/>
          <w:jc w:val="center"/>
        </w:trPr>
        <w:tc>
          <w:tcPr>
            <w:tcW w:w="330" w:type="dxa"/>
            <w:tcBorders>
              <w:top w:val="nil"/>
              <w:left w:val="single" w:sz="8" w:space="0" w:color="auto"/>
              <w:bottom w:val="single" w:sz="4" w:space="0" w:color="auto"/>
              <w:right w:val="single" w:sz="4" w:space="0" w:color="auto"/>
              <w:tl2br w:val="nil"/>
              <w:tr2bl w:val="nil"/>
            </w:tcBorders>
            <w:noWrap/>
            <w:tcMar>
              <w:top w:w="15" w:type="dxa"/>
              <w:left w:w="15" w:type="dxa"/>
              <w:bottom w:w="0" w:type="dxa"/>
              <w:right w:w="15" w:type="dxa"/>
            </w:tcMar>
            <w:textDirection w:val="lrTb"/>
            <w:vAlign w:val="center"/>
          </w:tcPr>
          <w:p w:rsidR="00B97FAA" w:rsidRPr="006810E4" w:rsidP="00FD671F">
            <w:pPr>
              <w:spacing w:line="240" w:lineRule="auto"/>
              <w:rPr>
                <w:rFonts w:ascii="Times New Roman" w:hAnsi="Times New Roman" w:cs="Times New Roman"/>
              </w:rPr>
            </w:pPr>
            <w:r w:rsidRPr="006810E4">
              <w:rPr>
                <w:rFonts w:ascii="Times New Roman" w:hAnsi="Times New Roman" w:cs="Times New Roman"/>
              </w:rPr>
              <w:t> </w:t>
            </w:r>
          </w:p>
        </w:tc>
        <w:tc>
          <w:tcPr>
            <w:tcW w:w="2547" w:type="dxa"/>
            <w:gridSpan w:val="2"/>
            <w:tcBorders>
              <w:top w:val="nil"/>
              <w:left w:val="nil"/>
              <w:bottom w:val="single" w:sz="4" w:space="0" w:color="auto"/>
              <w:right w:val="single" w:sz="4" w:space="0" w:color="auto"/>
              <w:tl2br w:val="nil"/>
              <w:tr2bl w:val="nil"/>
            </w:tcBorders>
            <w:noWrap/>
            <w:tcMar>
              <w:top w:w="15" w:type="dxa"/>
              <w:left w:w="15" w:type="dxa"/>
              <w:bottom w:w="0" w:type="dxa"/>
              <w:right w:w="15" w:type="dxa"/>
            </w:tcMar>
            <w:textDirection w:val="lrTb"/>
            <w:vAlign w:val="center"/>
          </w:tcPr>
          <w:p w:rsidR="00B97FAA" w:rsidRPr="006810E4" w:rsidP="00FD671F">
            <w:pPr>
              <w:spacing w:line="240" w:lineRule="auto"/>
              <w:jc w:val="left"/>
              <w:rPr>
                <w:rFonts w:ascii="Times New Roman" w:hAnsi="Times New Roman" w:cs="Times New Roman"/>
              </w:rPr>
            </w:pPr>
            <w:r w:rsidRPr="006810E4">
              <w:rPr>
                <w:rFonts w:ascii="Times New Roman" w:hAnsi="Times New Roman" w:cs="Times New Roman"/>
              </w:rPr>
              <w:t>do 60 dní</w:t>
            </w:r>
          </w:p>
        </w:tc>
        <w:tc>
          <w:tcPr>
            <w:tcW w:w="1323" w:type="dxa"/>
            <w:gridSpan w:val="2"/>
            <w:tcBorders>
              <w:top w:val="nil"/>
              <w:left w:val="nil"/>
              <w:bottom w:val="single" w:sz="4" w:space="0" w:color="auto"/>
              <w:right w:val="single" w:sz="4" w:space="0" w:color="auto"/>
              <w:tl2br w:val="nil"/>
              <w:tr2bl w:val="nil"/>
            </w:tcBorders>
            <w:tcMar>
              <w:top w:w="15" w:type="dxa"/>
              <w:left w:w="15" w:type="dxa"/>
              <w:bottom w:w="0" w:type="dxa"/>
              <w:right w:w="15" w:type="dxa"/>
            </w:tcMar>
            <w:textDirection w:val="lrTb"/>
            <w:vAlign w:val="center"/>
          </w:tcPr>
          <w:p w:rsidR="00B97FAA" w:rsidRPr="006810E4" w:rsidP="00FD671F">
            <w:pPr>
              <w:spacing w:line="240" w:lineRule="auto"/>
              <w:jc w:val="right"/>
              <w:rPr>
                <w:rFonts w:ascii="Times New Roman" w:hAnsi="Times New Roman" w:cs="Times New Roman"/>
              </w:rPr>
            </w:pPr>
            <w:r w:rsidR="00634549">
              <w:rPr>
                <w:rFonts w:ascii="Times New Roman" w:hAnsi="Times New Roman" w:cs="Times New Roman"/>
              </w:rPr>
              <w:t>6 072</w:t>
            </w:r>
          </w:p>
        </w:tc>
        <w:tc>
          <w:tcPr>
            <w:tcW w:w="1283" w:type="dxa"/>
            <w:gridSpan w:val="2"/>
            <w:tcBorders>
              <w:top w:val="nil"/>
              <w:left w:val="nil"/>
              <w:bottom w:val="single" w:sz="4" w:space="0" w:color="auto"/>
              <w:right w:val="nil"/>
              <w:tl2br w:val="nil"/>
              <w:tr2bl w:val="nil"/>
            </w:tcBorders>
            <w:tcMar>
              <w:top w:w="15" w:type="dxa"/>
              <w:left w:w="15" w:type="dxa"/>
              <w:bottom w:w="0" w:type="dxa"/>
              <w:right w:w="15" w:type="dxa"/>
            </w:tcMar>
            <w:textDirection w:val="lrTb"/>
            <w:vAlign w:val="center"/>
          </w:tcPr>
          <w:p w:rsidR="00B97FAA" w:rsidRPr="006810E4" w:rsidP="00FD671F">
            <w:pPr>
              <w:spacing w:line="240" w:lineRule="auto"/>
              <w:jc w:val="right"/>
              <w:rPr>
                <w:rFonts w:ascii="Times New Roman" w:hAnsi="Times New Roman" w:cs="Times New Roman"/>
              </w:rPr>
            </w:pPr>
            <w:r w:rsidR="00736DDC">
              <w:rPr>
                <w:rFonts w:ascii="Times New Roman" w:hAnsi="Times New Roman" w:cs="Times New Roman"/>
              </w:rPr>
              <w:t>9 071</w:t>
            </w:r>
          </w:p>
        </w:tc>
        <w:tc>
          <w:tcPr>
            <w:tcW w:w="1220" w:type="dxa"/>
            <w:gridSpan w:val="2"/>
            <w:tcBorders>
              <w:top w:val="single" w:sz="4" w:space="0" w:color="auto"/>
              <w:left w:val="single" w:sz="4" w:space="0" w:color="auto"/>
              <w:bottom w:val="single" w:sz="4" w:space="0" w:color="auto"/>
              <w:right w:val="nil"/>
              <w:tl2br w:val="nil"/>
              <w:tr2bl w:val="nil"/>
            </w:tcBorders>
            <w:tcMar>
              <w:top w:w="15" w:type="dxa"/>
              <w:left w:w="15" w:type="dxa"/>
              <w:bottom w:w="0" w:type="dxa"/>
              <w:right w:w="15" w:type="dxa"/>
            </w:tcMar>
            <w:textDirection w:val="lrTb"/>
            <w:vAlign w:val="center"/>
          </w:tcPr>
          <w:p w:rsidR="00B97FAA" w:rsidRPr="006810E4" w:rsidP="00FD671F">
            <w:pPr>
              <w:spacing w:line="240" w:lineRule="auto"/>
              <w:jc w:val="right"/>
              <w:rPr>
                <w:rFonts w:ascii="Times New Roman" w:hAnsi="Times New Roman" w:cs="Times New Roman"/>
              </w:rPr>
            </w:pPr>
            <w:r w:rsidR="00736DDC">
              <w:rPr>
                <w:rFonts w:ascii="Times New Roman" w:hAnsi="Times New Roman" w:cs="Times New Roman"/>
              </w:rPr>
              <w:t>607</w:t>
            </w:r>
          </w:p>
        </w:tc>
        <w:tc>
          <w:tcPr>
            <w:tcW w:w="1228" w:type="dxa"/>
            <w:gridSpan w:val="2"/>
            <w:tcBorders>
              <w:top w:val="single" w:sz="4" w:space="0" w:color="auto"/>
              <w:left w:val="single" w:sz="4" w:space="0" w:color="auto"/>
              <w:bottom w:val="single" w:sz="4" w:space="0" w:color="auto"/>
              <w:right w:val="nil"/>
              <w:tl2br w:val="nil"/>
              <w:tr2bl w:val="nil"/>
            </w:tcBorders>
            <w:tcMar>
              <w:top w:w="15" w:type="dxa"/>
              <w:left w:w="15" w:type="dxa"/>
              <w:bottom w:w="0" w:type="dxa"/>
              <w:right w:w="15" w:type="dxa"/>
            </w:tcMar>
            <w:textDirection w:val="lrTb"/>
            <w:vAlign w:val="center"/>
          </w:tcPr>
          <w:p w:rsidR="00B97FAA" w:rsidRPr="006810E4" w:rsidP="00FD671F">
            <w:pPr>
              <w:spacing w:line="240" w:lineRule="auto"/>
              <w:ind w:left="-467" w:firstLine="467"/>
              <w:jc w:val="right"/>
              <w:rPr>
                <w:rFonts w:ascii="Times New Roman" w:hAnsi="Times New Roman" w:cs="Times New Roman"/>
              </w:rPr>
            </w:pPr>
            <w:r w:rsidR="00736DDC">
              <w:rPr>
                <w:rFonts w:ascii="Times New Roman" w:hAnsi="Times New Roman" w:cs="Times New Roman"/>
              </w:rPr>
              <w:t>91 637</w:t>
            </w:r>
          </w:p>
        </w:tc>
        <w:tc>
          <w:tcPr>
            <w:tcW w:w="1358" w:type="dxa"/>
            <w:gridSpan w:val="2"/>
            <w:tcBorders>
              <w:top w:val="single" w:sz="4" w:space="0" w:color="auto"/>
              <w:left w:val="single" w:sz="4" w:space="0" w:color="auto"/>
              <w:bottom w:val="single" w:sz="4" w:space="0" w:color="auto"/>
              <w:right w:val="single" w:sz="8" w:space="0" w:color="auto"/>
              <w:tl2br w:val="nil"/>
              <w:tr2bl w:val="nil"/>
            </w:tcBorders>
            <w:tcMar>
              <w:top w:w="15" w:type="dxa"/>
              <w:left w:w="15" w:type="dxa"/>
              <w:bottom w:w="0" w:type="dxa"/>
              <w:right w:w="15" w:type="dxa"/>
            </w:tcMar>
            <w:textDirection w:val="lrTb"/>
            <w:vAlign w:val="center"/>
          </w:tcPr>
          <w:p w:rsidR="00B97FAA" w:rsidRPr="006810E4" w:rsidP="00FD671F">
            <w:pPr>
              <w:spacing w:line="240" w:lineRule="auto"/>
              <w:ind w:left="-467" w:firstLine="467"/>
              <w:jc w:val="right"/>
              <w:rPr>
                <w:rFonts w:ascii="Times New Roman" w:hAnsi="Times New Roman" w:cs="Times New Roman"/>
              </w:rPr>
            </w:pPr>
            <w:r w:rsidR="00736DDC">
              <w:rPr>
                <w:rFonts w:ascii="Times New Roman" w:hAnsi="Times New Roman" w:cs="Times New Roman"/>
              </w:rPr>
              <w:t>5 208</w:t>
            </w:r>
          </w:p>
        </w:tc>
      </w:tr>
      <w:tr>
        <w:tblPrEx>
          <w:tblW w:w="9326" w:type="dxa"/>
          <w:jc w:val="center"/>
          <w:tblInd w:w="2256" w:type="dxa"/>
          <w:tblCellMar>
            <w:left w:w="0" w:type="dxa"/>
            <w:right w:w="0" w:type="dxa"/>
          </w:tblCellMar>
        </w:tblPrEx>
        <w:trPr>
          <w:gridAfter w:val="1"/>
          <w:wAfter w:w="37" w:type="dxa"/>
          <w:trHeight w:hRule="exact" w:val="284"/>
          <w:jc w:val="center"/>
        </w:trPr>
        <w:tc>
          <w:tcPr>
            <w:tcW w:w="330" w:type="dxa"/>
            <w:tcBorders>
              <w:top w:val="nil"/>
              <w:left w:val="single" w:sz="8" w:space="0" w:color="auto"/>
              <w:bottom w:val="single" w:sz="4" w:space="0" w:color="auto"/>
              <w:right w:val="single" w:sz="4" w:space="0" w:color="auto"/>
              <w:tl2br w:val="nil"/>
              <w:tr2bl w:val="nil"/>
            </w:tcBorders>
            <w:noWrap/>
            <w:tcMar>
              <w:top w:w="15" w:type="dxa"/>
              <w:left w:w="15" w:type="dxa"/>
              <w:bottom w:w="0" w:type="dxa"/>
              <w:right w:w="15" w:type="dxa"/>
            </w:tcMar>
            <w:textDirection w:val="lrTb"/>
            <w:vAlign w:val="center"/>
          </w:tcPr>
          <w:p w:rsidR="00B97FAA" w:rsidRPr="006810E4" w:rsidP="00FD671F">
            <w:pPr>
              <w:spacing w:line="240" w:lineRule="auto"/>
              <w:rPr>
                <w:rFonts w:ascii="Times New Roman" w:hAnsi="Times New Roman" w:cs="Times New Roman"/>
              </w:rPr>
            </w:pPr>
            <w:r w:rsidRPr="006810E4">
              <w:rPr>
                <w:rFonts w:ascii="Times New Roman" w:hAnsi="Times New Roman" w:cs="Times New Roman"/>
              </w:rPr>
              <w:t> </w:t>
            </w:r>
          </w:p>
        </w:tc>
        <w:tc>
          <w:tcPr>
            <w:tcW w:w="2547" w:type="dxa"/>
            <w:gridSpan w:val="2"/>
            <w:tcBorders>
              <w:top w:val="nil"/>
              <w:left w:val="nil"/>
              <w:bottom w:val="single" w:sz="4" w:space="0" w:color="auto"/>
              <w:right w:val="single" w:sz="4" w:space="0" w:color="auto"/>
              <w:tl2br w:val="nil"/>
              <w:tr2bl w:val="nil"/>
            </w:tcBorders>
            <w:noWrap/>
            <w:tcMar>
              <w:top w:w="15" w:type="dxa"/>
              <w:left w:w="15" w:type="dxa"/>
              <w:bottom w:w="0" w:type="dxa"/>
              <w:right w:w="15" w:type="dxa"/>
            </w:tcMar>
            <w:textDirection w:val="lrTb"/>
            <w:vAlign w:val="center"/>
          </w:tcPr>
          <w:p w:rsidR="00B97FAA" w:rsidRPr="006810E4" w:rsidP="00FD671F">
            <w:pPr>
              <w:spacing w:line="240" w:lineRule="auto"/>
              <w:jc w:val="left"/>
              <w:rPr>
                <w:rFonts w:ascii="Times New Roman" w:hAnsi="Times New Roman" w:cs="Times New Roman"/>
              </w:rPr>
            </w:pPr>
            <w:r w:rsidRPr="006810E4">
              <w:rPr>
                <w:rFonts w:ascii="Times New Roman" w:hAnsi="Times New Roman" w:cs="Times New Roman"/>
              </w:rPr>
              <w:t>do 90 dní</w:t>
            </w:r>
          </w:p>
        </w:tc>
        <w:tc>
          <w:tcPr>
            <w:tcW w:w="1323" w:type="dxa"/>
            <w:gridSpan w:val="2"/>
            <w:tcBorders>
              <w:top w:val="nil"/>
              <w:left w:val="nil"/>
              <w:bottom w:val="single" w:sz="4" w:space="0" w:color="auto"/>
              <w:right w:val="single" w:sz="4" w:space="0" w:color="auto"/>
              <w:tl2br w:val="nil"/>
              <w:tr2bl w:val="nil"/>
            </w:tcBorders>
            <w:tcMar>
              <w:top w:w="15" w:type="dxa"/>
              <w:left w:w="15" w:type="dxa"/>
              <w:bottom w:w="0" w:type="dxa"/>
              <w:right w:w="15" w:type="dxa"/>
            </w:tcMar>
            <w:textDirection w:val="lrTb"/>
            <w:vAlign w:val="center"/>
          </w:tcPr>
          <w:p w:rsidR="00B97FAA" w:rsidRPr="006810E4" w:rsidP="00FD671F">
            <w:pPr>
              <w:spacing w:line="240" w:lineRule="auto"/>
              <w:jc w:val="right"/>
              <w:rPr>
                <w:rFonts w:ascii="Times New Roman" w:hAnsi="Times New Roman" w:cs="Times New Roman"/>
              </w:rPr>
            </w:pPr>
            <w:r w:rsidR="00634549">
              <w:rPr>
                <w:rFonts w:ascii="Times New Roman" w:hAnsi="Times New Roman" w:cs="Times New Roman"/>
              </w:rPr>
              <w:t>3 141</w:t>
            </w:r>
          </w:p>
        </w:tc>
        <w:tc>
          <w:tcPr>
            <w:tcW w:w="1283" w:type="dxa"/>
            <w:gridSpan w:val="2"/>
            <w:tcBorders>
              <w:top w:val="nil"/>
              <w:left w:val="nil"/>
              <w:bottom w:val="single" w:sz="4" w:space="0" w:color="auto"/>
              <w:right w:val="nil"/>
              <w:tl2br w:val="nil"/>
              <w:tr2bl w:val="nil"/>
            </w:tcBorders>
            <w:tcMar>
              <w:top w:w="15" w:type="dxa"/>
              <w:left w:w="15" w:type="dxa"/>
              <w:bottom w:w="0" w:type="dxa"/>
              <w:right w:w="15" w:type="dxa"/>
            </w:tcMar>
            <w:textDirection w:val="lrTb"/>
            <w:vAlign w:val="center"/>
          </w:tcPr>
          <w:p w:rsidR="00B97FAA" w:rsidRPr="006810E4" w:rsidP="00FD671F">
            <w:pPr>
              <w:spacing w:line="240" w:lineRule="auto"/>
              <w:jc w:val="right"/>
              <w:rPr>
                <w:rFonts w:ascii="Times New Roman" w:hAnsi="Times New Roman" w:cs="Times New Roman"/>
              </w:rPr>
            </w:pPr>
            <w:r w:rsidR="00736DDC">
              <w:rPr>
                <w:rFonts w:ascii="Times New Roman" w:hAnsi="Times New Roman" w:cs="Times New Roman"/>
              </w:rPr>
              <w:t>29 682</w:t>
            </w:r>
          </w:p>
        </w:tc>
        <w:tc>
          <w:tcPr>
            <w:tcW w:w="1220" w:type="dxa"/>
            <w:gridSpan w:val="2"/>
            <w:tcBorders>
              <w:top w:val="nil"/>
              <w:left w:val="single" w:sz="4" w:space="0" w:color="auto"/>
              <w:bottom w:val="nil"/>
              <w:right w:val="nil"/>
              <w:tl2br w:val="nil"/>
              <w:tr2bl w:val="nil"/>
            </w:tcBorders>
            <w:tcMar>
              <w:top w:w="15" w:type="dxa"/>
              <w:left w:w="15" w:type="dxa"/>
              <w:bottom w:w="0" w:type="dxa"/>
              <w:right w:w="15" w:type="dxa"/>
            </w:tcMar>
            <w:textDirection w:val="lrTb"/>
            <w:vAlign w:val="center"/>
          </w:tcPr>
          <w:p w:rsidR="00B97FAA" w:rsidRPr="006810E4" w:rsidP="00FD671F">
            <w:pPr>
              <w:spacing w:line="240" w:lineRule="auto"/>
              <w:jc w:val="right"/>
              <w:rPr>
                <w:rFonts w:ascii="Times New Roman" w:hAnsi="Times New Roman" w:cs="Times New Roman"/>
              </w:rPr>
            </w:pPr>
            <w:r w:rsidR="00736DDC">
              <w:rPr>
                <w:rFonts w:ascii="Times New Roman" w:hAnsi="Times New Roman" w:cs="Times New Roman"/>
              </w:rPr>
              <w:t>3 514</w:t>
            </w:r>
          </w:p>
        </w:tc>
        <w:tc>
          <w:tcPr>
            <w:tcW w:w="1228" w:type="dxa"/>
            <w:gridSpan w:val="2"/>
            <w:tcBorders>
              <w:top w:val="nil"/>
              <w:left w:val="single" w:sz="4" w:space="0" w:color="auto"/>
              <w:bottom w:val="nil"/>
              <w:right w:val="nil"/>
              <w:tl2br w:val="nil"/>
              <w:tr2bl w:val="nil"/>
            </w:tcBorders>
            <w:tcMar>
              <w:top w:w="15" w:type="dxa"/>
              <w:left w:w="15" w:type="dxa"/>
              <w:bottom w:w="0" w:type="dxa"/>
              <w:right w:w="15" w:type="dxa"/>
            </w:tcMar>
            <w:textDirection w:val="lrTb"/>
            <w:vAlign w:val="center"/>
          </w:tcPr>
          <w:p w:rsidR="00B97FAA" w:rsidRPr="006810E4" w:rsidP="00FD671F">
            <w:pPr>
              <w:spacing w:line="240" w:lineRule="auto"/>
              <w:ind w:left="-467" w:firstLine="467"/>
              <w:jc w:val="right"/>
              <w:rPr>
                <w:rFonts w:ascii="Times New Roman" w:hAnsi="Times New Roman" w:cs="Times New Roman"/>
              </w:rPr>
            </w:pPr>
            <w:r w:rsidR="00736DDC">
              <w:rPr>
                <w:rFonts w:ascii="Times New Roman" w:hAnsi="Times New Roman" w:cs="Times New Roman"/>
              </w:rPr>
              <w:t>5 548</w:t>
            </w:r>
          </w:p>
        </w:tc>
        <w:tc>
          <w:tcPr>
            <w:tcW w:w="1358" w:type="dxa"/>
            <w:gridSpan w:val="2"/>
            <w:tcBorders>
              <w:top w:val="nil"/>
              <w:left w:val="single" w:sz="4" w:space="0" w:color="auto"/>
              <w:bottom w:val="nil"/>
              <w:right w:val="single" w:sz="8" w:space="0" w:color="auto"/>
              <w:tl2br w:val="nil"/>
              <w:tr2bl w:val="nil"/>
            </w:tcBorders>
            <w:tcMar>
              <w:top w:w="15" w:type="dxa"/>
              <w:left w:w="15" w:type="dxa"/>
              <w:bottom w:w="0" w:type="dxa"/>
              <w:right w:w="15" w:type="dxa"/>
            </w:tcMar>
            <w:textDirection w:val="lrTb"/>
            <w:vAlign w:val="center"/>
          </w:tcPr>
          <w:p w:rsidR="00B97FAA" w:rsidRPr="006810E4" w:rsidP="00FD671F">
            <w:pPr>
              <w:spacing w:line="240" w:lineRule="auto"/>
              <w:ind w:left="-467" w:firstLine="467"/>
              <w:jc w:val="right"/>
              <w:rPr>
                <w:rFonts w:ascii="Times New Roman" w:hAnsi="Times New Roman" w:cs="Times New Roman"/>
              </w:rPr>
            </w:pPr>
            <w:r w:rsidR="00736DDC">
              <w:rPr>
                <w:rFonts w:ascii="Times New Roman" w:hAnsi="Times New Roman" w:cs="Times New Roman"/>
              </w:rPr>
              <w:t>6 422</w:t>
            </w:r>
          </w:p>
        </w:tc>
      </w:tr>
      <w:tr>
        <w:tblPrEx>
          <w:tblW w:w="9326" w:type="dxa"/>
          <w:jc w:val="center"/>
          <w:tblInd w:w="2256" w:type="dxa"/>
          <w:tblCellMar>
            <w:left w:w="0" w:type="dxa"/>
            <w:right w:w="0" w:type="dxa"/>
          </w:tblCellMar>
        </w:tblPrEx>
        <w:trPr>
          <w:gridAfter w:val="1"/>
          <w:wAfter w:w="37" w:type="dxa"/>
          <w:trHeight w:hRule="exact" w:val="284"/>
          <w:jc w:val="center"/>
        </w:trPr>
        <w:tc>
          <w:tcPr>
            <w:tcW w:w="330" w:type="dxa"/>
            <w:tcBorders>
              <w:top w:val="nil"/>
              <w:left w:val="single" w:sz="8" w:space="0" w:color="auto"/>
              <w:bottom w:val="single" w:sz="4" w:space="0" w:color="auto"/>
              <w:right w:val="single" w:sz="4" w:space="0" w:color="auto"/>
              <w:tl2br w:val="nil"/>
              <w:tr2bl w:val="nil"/>
            </w:tcBorders>
            <w:noWrap/>
            <w:tcMar>
              <w:top w:w="15" w:type="dxa"/>
              <w:left w:w="15" w:type="dxa"/>
              <w:bottom w:w="0" w:type="dxa"/>
              <w:right w:w="15" w:type="dxa"/>
            </w:tcMar>
            <w:textDirection w:val="lrTb"/>
            <w:vAlign w:val="center"/>
          </w:tcPr>
          <w:p w:rsidR="00B97FAA" w:rsidRPr="006810E4" w:rsidP="00FD671F">
            <w:pPr>
              <w:spacing w:line="240" w:lineRule="auto"/>
              <w:rPr>
                <w:rFonts w:ascii="Times New Roman" w:hAnsi="Times New Roman" w:cs="Times New Roman"/>
              </w:rPr>
            </w:pPr>
            <w:r w:rsidRPr="006810E4">
              <w:rPr>
                <w:rFonts w:ascii="Times New Roman" w:hAnsi="Times New Roman" w:cs="Times New Roman"/>
              </w:rPr>
              <w:t> </w:t>
            </w:r>
          </w:p>
        </w:tc>
        <w:tc>
          <w:tcPr>
            <w:tcW w:w="2547" w:type="dxa"/>
            <w:gridSpan w:val="2"/>
            <w:tcBorders>
              <w:top w:val="nil"/>
              <w:left w:val="nil"/>
              <w:bottom w:val="single" w:sz="4" w:space="0" w:color="auto"/>
              <w:right w:val="single" w:sz="4" w:space="0" w:color="auto"/>
              <w:tl2br w:val="nil"/>
              <w:tr2bl w:val="nil"/>
            </w:tcBorders>
            <w:noWrap/>
            <w:tcMar>
              <w:top w:w="15" w:type="dxa"/>
              <w:left w:w="15" w:type="dxa"/>
              <w:bottom w:w="0" w:type="dxa"/>
              <w:right w:w="15" w:type="dxa"/>
            </w:tcMar>
            <w:textDirection w:val="lrTb"/>
            <w:vAlign w:val="center"/>
          </w:tcPr>
          <w:p w:rsidR="00B97FAA" w:rsidRPr="006810E4" w:rsidP="00FD671F">
            <w:pPr>
              <w:spacing w:line="240" w:lineRule="auto"/>
              <w:jc w:val="left"/>
              <w:rPr>
                <w:rFonts w:ascii="Times New Roman" w:hAnsi="Times New Roman" w:cs="Times New Roman"/>
              </w:rPr>
            </w:pPr>
            <w:r w:rsidRPr="006810E4">
              <w:rPr>
                <w:rFonts w:ascii="Times New Roman" w:hAnsi="Times New Roman" w:cs="Times New Roman"/>
              </w:rPr>
              <w:t>do 120 dní</w:t>
            </w:r>
          </w:p>
        </w:tc>
        <w:tc>
          <w:tcPr>
            <w:tcW w:w="1323" w:type="dxa"/>
            <w:gridSpan w:val="2"/>
            <w:tcBorders>
              <w:top w:val="nil"/>
              <w:left w:val="nil"/>
              <w:bottom w:val="single" w:sz="4" w:space="0" w:color="auto"/>
              <w:right w:val="single" w:sz="4" w:space="0" w:color="auto"/>
              <w:tl2br w:val="nil"/>
              <w:tr2bl w:val="nil"/>
            </w:tcBorders>
            <w:tcMar>
              <w:top w:w="15" w:type="dxa"/>
              <w:left w:w="15" w:type="dxa"/>
              <w:bottom w:w="0" w:type="dxa"/>
              <w:right w:w="15" w:type="dxa"/>
            </w:tcMar>
            <w:textDirection w:val="lrTb"/>
            <w:vAlign w:val="center"/>
          </w:tcPr>
          <w:p w:rsidR="00B97FAA" w:rsidRPr="006810E4" w:rsidP="00FD671F">
            <w:pPr>
              <w:spacing w:line="240" w:lineRule="auto"/>
              <w:jc w:val="right"/>
              <w:rPr>
                <w:rFonts w:ascii="Times New Roman" w:hAnsi="Times New Roman" w:cs="Times New Roman"/>
              </w:rPr>
            </w:pPr>
            <w:r w:rsidR="00634549">
              <w:rPr>
                <w:rFonts w:ascii="Times New Roman" w:hAnsi="Times New Roman" w:cs="Times New Roman"/>
              </w:rPr>
              <w:t>4 894</w:t>
            </w:r>
          </w:p>
        </w:tc>
        <w:tc>
          <w:tcPr>
            <w:tcW w:w="1283" w:type="dxa"/>
            <w:gridSpan w:val="2"/>
            <w:tcBorders>
              <w:top w:val="nil"/>
              <w:left w:val="nil"/>
              <w:bottom w:val="single" w:sz="4" w:space="0" w:color="auto"/>
              <w:right w:val="nil"/>
              <w:tl2br w:val="nil"/>
              <w:tr2bl w:val="nil"/>
            </w:tcBorders>
            <w:tcMar>
              <w:top w:w="15" w:type="dxa"/>
              <w:left w:w="15" w:type="dxa"/>
              <w:bottom w:w="0" w:type="dxa"/>
              <w:right w:w="15" w:type="dxa"/>
            </w:tcMar>
            <w:textDirection w:val="lrTb"/>
            <w:vAlign w:val="center"/>
          </w:tcPr>
          <w:p w:rsidR="00B97FAA" w:rsidRPr="006810E4" w:rsidP="00FD671F">
            <w:pPr>
              <w:spacing w:line="240" w:lineRule="auto"/>
              <w:jc w:val="right"/>
              <w:rPr>
                <w:rFonts w:ascii="Times New Roman" w:hAnsi="Times New Roman" w:cs="Times New Roman"/>
              </w:rPr>
            </w:pPr>
            <w:r w:rsidR="00736DDC">
              <w:rPr>
                <w:rFonts w:ascii="Times New Roman" w:hAnsi="Times New Roman" w:cs="Times New Roman"/>
              </w:rPr>
              <w:t>609</w:t>
            </w:r>
          </w:p>
        </w:tc>
        <w:tc>
          <w:tcPr>
            <w:tcW w:w="1220" w:type="dxa"/>
            <w:gridSpan w:val="2"/>
            <w:tcBorders>
              <w:top w:val="single" w:sz="4" w:space="0" w:color="auto"/>
              <w:left w:val="single" w:sz="4" w:space="0" w:color="auto"/>
              <w:bottom w:val="single" w:sz="4" w:space="0" w:color="auto"/>
              <w:right w:val="nil"/>
              <w:tl2br w:val="nil"/>
              <w:tr2bl w:val="nil"/>
            </w:tcBorders>
            <w:tcMar>
              <w:top w:w="15" w:type="dxa"/>
              <w:left w:w="15" w:type="dxa"/>
              <w:bottom w:w="0" w:type="dxa"/>
              <w:right w:w="15" w:type="dxa"/>
            </w:tcMar>
            <w:textDirection w:val="lrTb"/>
            <w:vAlign w:val="center"/>
          </w:tcPr>
          <w:p w:rsidR="00B97FAA" w:rsidRPr="006810E4" w:rsidP="00FD671F">
            <w:pPr>
              <w:spacing w:line="240" w:lineRule="auto"/>
              <w:jc w:val="right"/>
              <w:rPr>
                <w:rFonts w:ascii="Times New Roman" w:hAnsi="Times New Roman" w:cs="Times New Roman"/>
              </w:rPr>
            </w:pPr>
            <w:r w:rsidR="00736DDC">
              <w:rPr>
                <w:rFonts w:ascii="Times New Roman" w:hAnsi="Times New Roman" w:cs="Times New Roman"/>
              </w:rPr>
              <w:t>4 310</w:t>
            </w:r>
          </w:p>
        </w:tc>
        <w:tc>
          <w:tcPr>
            <w:tcW w:w="1228" w:type="dxa"/>
            <w:gridSpan w:val="2"/>
            <w:tcBorders>
              <w:top w:val="single" w:sz="4" w:space="0" w:color="auto"/>
              <w:left w:val="single" w:sz="4" w:space="0" w:color="auto"/>
              <w:bottom w:val="single" w:sz="4" w:space="0" w:color="auto"/>
              <w:right w:val="nil"/>
              <w:tl2br w:val="nil"/>
              <w:tr2bl w:val="nil"/>
            </w:tcBorders>
            <w:tcMar>
              <w:top w:w="15" w:type="dxa"/>
              <w:left w:w="15" w:type="dxa"/>
              <w:bottom w:w="0" w:type="dxa"/>
              <w:right w:w="15" w:type="dxa"/>
            </w:tcMar>
            <w:textDirection w:val="lrTb"/>
            <w:vAlign w:val="center"/>
          </w:tcPr>
          <w:p w:rsidR="00B97FAA" w:rsidRPr="006810E4" w:rsidP="00FD671F">
            <w:pPr>
              <w:spacing w:line="240" w:lineRule="auto"/>
              <w:ind w:left="-467" w:firstLine="467"/>
              <w:jc w:val="right"/>
              <w:rPr>
                <w:rFonts w:ascii="Times New Roman" w:hAnsi="Times New Roman" w:cs="Times New Roman"/>
              </w:rPr>
            </w:pPr>
            <w:r w:rsidR="00736DDC">
              <w:rPr>
                <w:rFonts w:ascii="Times New Roman" w:hAnsi="Times New Roman" w:cs="Times New Roman"/>
              </w:rPr>
              <w:t>478</w:t>
            </w:r>
          </w:p>
        </w:tc>
        <w:tc>
          <w:tcPr>
            <w:tcW w:w="1358" w:type="dxa"/>
            <w:gridSpan w:val="2"/>
            <w:tcBorders>
              <w:top w:val="single" w:sz="4" w:space="0" w:color="auto"/>
              <w:left w:val="single" w:sz="4" w:space="0" w:color="auto"/>
              <w:bottom w:val="single" w:sz="4" w:space="0" w:color="auto"/>
              <w:right w:val="single" w:sz="8" w:space="0" w:color="auto"/>
              <w:tl2br w:val="nil"/>
              <w:tr2bl w:val="nil"/>
            </w:tcBorders>
            <w:tcMar>
              <w:top w:w="15" w:type="dxa"/>
              <w:left w:w="15" w:type="dxa"/>
              <w:bottom w:w="0" w:type="dxa"/>
              <w:right w:w="15" w:type="dxa"/>
            </w:tcMar>
            <w:textDirection w:val="lrTb"/>
            <w:vAlign w:val="center"/>
          </w:tcPr>
          <w:p w:rsidR="00B97FAA" w:rsidRPr="006810E4" w:rsidP="00FD671F">
            <w:pPr>
              <w:spacing w:line="240" w:lineRule="auto"/>
              <w:ind w:left="-467" w:firstLine="467"/>
              <w:jc w:val="right"/>
              <w:rPr>
                <w:rFonts w:ascii="Times New Roman" w:hAnsi="Times New Roman" w:cs="Times New Roman"/>
              </w:rPr>
            </w:pPr>
            <w:r w:rsidR="00736DDC">
              <w:rPr>
                <w:rFonts w:ascii="Times New Roman" w:hAnsi="Times New Roman" w:cs="Times New Roman"/>
              </w:rPr>
              <w:t>1 495</w:t>
            </w:r>
          </w:p>
        </w:tc>
      </w:tr>
      <w:tr>
        <w:tblPrEx>
          <w:tblW w:w="9326" w:type="dxa"/>
          <w:jc w:val="center"/>
          <w:tblInd w:w="2256" w:type="dxa"/>
          <w:tblCellMar>
            <w:left w:w="0" w:type="dxa"/>
            <w:right w:w="0" w:type="dxa"/>
          </w:tblCellMar>
        </w:tblPrEx>
        <w:trPr>
          <w:gridAfter w:val="1"/>
          <w:wAfter w:w="37" w:type="dxa"/>
          <w:trHeight w:hRule="exact" w:val="284"/>
          <w:jc w:val="center"/>
        </w:trPr>
        <w:tc>
          <w:tcPr>
            <w:tcW w:w="330" w:type="dxa"/>
            <w:tcBorders>
              <w:top w:val="nil"/>
              <w:left w:val="single" w:sz="8" w:space="0" w:color="auto"/>
              <w:bottom w:val="single" w:sz="4" w:space="0" w:color="auto"/>
              <w:right w:val="single" w:sz="4" w:space="0" w:color="auto"/>
              <w:tl2br w:val="nil"/>
              <w:tr2bl w:val="nil"/>
            </w:tcBorders>
            <w:noWrap/>
            <w:tcMar>
              <w:top w:w="15" w:type="dxa"/>
              <w:left w:w="15" w:type="dxa"/>
              <w:bottom w:w="0" w:type="dxa"/>
              <w:right w:w="15" w:type="dxa"/>
            </w:tcMar>
            <w:textDirection w:val="lrTb"/>
            <w:vAlign w:val="center"/>
          </w:tcPr>
          <w:p w:rsidR="00B97FAA" w:rsidRPr="006810E4" w:rsidP="00FD671F">
            <w:pPr>
              <w:spacing w:line="240" w:lineRule="auto"/>
              <w:rPr>
                <w:rFonts w:ascii="Times New Roman" w:hAnsi="Times New Roman" w:cs="Times New Roman"/>
              </w:rPr>
            </w:pPr>
            <w:r w:rsidRPr="006810E4">
              <w:rPr>
                <w:rFonts w:ascii="Times New Roman" w:hAnsi="Times New Roman" w:cs="Times New Roman"/>
              </w:rPr>
              <w:t> </w:t>
            </w:r>
          </w:p>
        </w:tc>
        <w:tc>
          <w:tcPr>
            <w:tcW w:w="2547" w:type="dxa"/>
            <w:gridSpan w:val="2"/>
            <w:tcBorders>
              <w:top w:val="nil"/>
              <w:left w:val="nil"/>
              <w:bottom w:val="single" w:sz="4" w:space="0" w:color="auto"/>
              <w:right w:val="single" w:sz="4" w:space="0" w:color="auto"/>
              <w:tl2br w:val="nil"/>
              <w:tr2bl w:val="nil"/>
            </w:tcBorders>
            <w:noWrap/>
            <w:tcMar>
              <w:top w:w="15" w:type="dxa"/>
              <w:left w:w="15" w:type="dxa"/>
              <w:bottom w:w="0" w:type="dxa"/>
              <w:right w:w="15" w:type="dxa"/>
            </w:tcMar>
            <w:textDirection w:val="lrTb"/>
            <w:vAlign w:val="center"/>
          </w:tcPr>
          <w:p w:rsidR="00B97FAA" w:rsidRPr="006810E4" w:rsidP="00FD671F">
            <w:pPr>
              <w:spacing w:line="240" w:lineRule="auto"/>
              <w:jc w:val="left"/>
              <w:rPr>
                <w:rFonts w:ascii="Times New Roman" w:hAnsi="Times New Roman" w:cs="Times New Roman"/>
              </w:rPr>
            </w:pPr>
            <w:r w:rsidRPr="006810E4">
              <w:rPr>
                <w:rFonts w:ascii="Times New Roman" w:hAnsi="Times New Roman" w:cs="Times New Roman"/>
              </w:rPr>
              <w:t>do 180 dní</w:t>
            </w:r>
          </w:p>
        </w:tc>
        <w:tc>
          <w:tcPr>
            <w:tcW w:w="1323" w:type="dxa"/>
            <w:gridSpan w:val="2"/>
            <w:tcBorders>
              <w:top w:val="nil"/>
              <w:left w:val="nil"/>
              <w:bottom w:val="single" w:sz="4" w:space="0" w:color="auto"/>
              <w:right w:val="single" w:sz="4" w:space="0" w:color="auto"/>
              <w:tl2br w:val="nil"/>
              <w:tr2bl w:val="nil"/>
            </w:tcBorders>
            <w:tcMar>
              <w:top w:w="15" w:type="dxa"/>
              <w:left w:w="15" w:type="dxa"/>
              <w:bottom w:w="0" w:type="dxa"/>
              <w:right w:w="15" w:type="dxa"/>
            </w:tcMar>
            <w:textDirection w:val="lrTb"/>
            <w:vAlign w:val="center"/>
          </w:tcPr>
          <w:p w:rsidR="00B97FAA" w:rsidRPr="006810E4" w:rsidP="00FD671F">
            <w:pPr>
              <w:spacing w:line="240" w:lineRule="auto"/>
              <w:jc w:val="right"/>
              <w:rPr>
                <w:rFonts w:ascii="Times New Roman" w:hAnsi="Times New Roman" w:cs="Times New Roman"/>
              </w:rPr>
            </w:pPr>
            <w:r w:rsidR="00634549">
              <w:rPr>
                <w:rFonts w:ascii="Times New Roman" w:hAnsi="Times New Roman" w:cs="Times New Roman"/>
              </w:rPr>
              <w:t>4 330</w:t>
            </w:r>
          </w:p>
        </w:tc>
        <w:tc>
          <w:tcPr>
            <w:tcW w:w="1283" w:type="dxa"/>
            <w:gridSpan w:val="2"/>
            <w:tcBorders>
              <w:top w:val="nil"/>
              <w:left w:val="nil"/>
              <w:bottom w:val="single" w:sz="4" w:space="0" w:color="auto"/>
              <w:right w:val="nil"/>
              <w:tl2br w:val="nil"/>
              <w:tr2bl w:val="nil"/>
            </w:tcBorders>
            <w:tcMar>
              <w:top w:w="15" w:type="dxa"/>
              <w:left w:w="15" w:type="dxa"/>
              <w:bottom w:w="0" w:type="dxa"/>
              <w:right w:w="15" w:type="dxa"/>
            </w:tcMar>
            <w:textDirection w:val="lrTb"/>
            <w:vAlign w:val="center"/>
          </w:tcPr>
          <w:p w:rsidR="00B97FAA" w:rsidRPr="006810E4" w:rsidP="00FD671F">
            <w:pPr>
              <w:spacing w:line="240" w:lineRule="auto"/>
              <w:jc w:val="right"/>
              <w:rPr>
                <w:rFonts w:ascii="Times New Roman" w:hAnsi="Times New Roman" w:cs="Times New Roman"/>
              </w:rPr>
            </w:pPr>
            <w:r w:rsidR="00736DDC">
              <w:rPr>
                <w:rFonts w:ascii="Times New Roman" w:hAnsi="Times New Roman" w:cs="Times New Roman"/>
              </w:rPr>
              <w:t>4 093</w:t>
            </w:r>
          </w:p>
        </w:tc>
        <w:tc>
          <w:tcPr>
            <w:tcW w:w="1220" w:type="dxa"/>
            <w:gridSpan w:val="2"/>
            <w:tcBorders>
              <w:top w:val="nil"/>
              <w:left w:val="single" w:sz="4" w:space="0" w:color="auto"/>
              <w:bottom w:val="nil"/>
              <w:right w:val="nil"/>
              <w:tl2br w:val="nil"/>
              <w:tr2bl w:val="nil"/>
            </w:tcBorders>
            <w:tcMar>
              <w:top w:w="15" w:type="dxa"/>
              <w:left w:w="15" w:type="dxa"/>
              <w:bottom w:w="0" w:type="dxa"/>
              <w:right w:w="15" w:type="dxa"/>
            </w:tcMar>
            <w:textDirection w:val="lrTb"/>
            <w:vAlign w:val="center"/>
          </w:tcPr>
          <w:p w:rsidR="00B97FAA" w:rsidRPr="006810E4" w:rsidP="00FD671F">
            <w:pPr>
              <w:spacing w:line="240" w:lineRule="auto"/>
              <w:jc w:val="right"/>
              <w:rPr>
                <w:rFonts w:ascii="Times New Roman" w:hAnsi="Times New Roman" w:cs="Times New Roman"/>
              </w:rPr>
            </w:pPr>
            <w:r w:rsidR="00736DDC">
              <w:rPr>
                <w:rFonts w:ascii="Times New Roman" w:hAnsi="Times New Roman" w:cs="Times New Roman"/>
              </w:rPr>
              <w:t>11 070</w:t>
            </w:r>
          </w:p>
        </w:tc>
        <w:tc>
          <w:tcPr>
            <w:tcW w:w="1228" w:type="dxa"/>
            <w:gridSpan w:val="2"/>
            <w:tcBorders>
              <w:top w:val="nil"/>
              <w:left w:val="single" w:sz="4" w:space="0" w:color="auto"/>
              <w:bottom w:val="nil"/>
              <w:right w:val="nil"/>
              <w:tl2br w:val="nil"/>
              <w:tr2bl w:val="nil"/>
            </w:tcBorders>
            <w:tcMar>
              <w:top w:w="15" w:type="dxa"/>
              <w:left w:w="15" w:type="dxa"/>
              <w:bottom w:w="0" w:type="dxa"/>
              <w:right w:w="15" w:type="dxa"/>
            </w:tcMar>
            <w:textDirection w:val="lrTb"/>
            <w:vAlign w:val="center"/>
          </w:tcPr>
          <w:p w:rsidR="00B97FAA" w:rsidRPr="006810E4" w:rsidP="00FD671F">
            <w:pPr>
              <w:spacing w:line="240" w:lineRule="auto"/>
              <w:ind w:left="-467" w:firstLine="467"/>
              <w:jc w:val="right"/>
              <w:rPr>
                <w:rFonts w:ascii="Times New Roman" w:hAnsi="Times New Roman" w:cs="Times New Roman"/>
              </w:rPr>
            </w:pPr>
            <w:r w:rsidR="00736DDC">
              <w:rPr>
                <w:rFonts w:ascii="Times New Roman" w:hAnsi="Times New Roman" w:cs="Times New Roman"/>
              </w:rPr>
              <w:t>428</w:t>
            </w:r>
          </w:p>
        </w:tc>
        <w:tc>
          <w:tcPr>
            <w:tcW w:w="1358" w:type="dxa"/>
            <w:gridSpan w:val="2"/>
            <w:tcBorders>
              <w:top w:val="nil"/>
              <w:left w:val="single" w:sz="4" w:space="0" w:color="auto"/>
              <w:bottom w:val="nil"/>
              <w:right w:val="single" w:sz="8" w:space="0" w:color="auto"/>
              <w:tl2br w:val="nil"/>
              <w:tr2bl w:val="nil"/>
            </w:tcBorders>
            <w:tcMar>
              <w:top w:w="15" w:type="dxa"/>
              <w:left w:w="15" w:type="dxa"/>
              <w:bottom w:w="0" w:type="dxa"/>
              <w:right w:w="15" w:type="dxa"/>
            </w:tcMar>
            <w:textDirection w:val="lrTb"/>
            <w:vAlign w:val="center"/>
          </w:tcPr>
          <w:p w:rsidR="00B97FAA" w:rsidRPr="006810E4" w:rsidP="00FD671F">
            <w:pPr>
              <w:spacing w:line="240" w:lineRule="auto"/>
              <w:ind w:left="-467" w:firstLine="467"/>
              <w:jc w:val="right"/>
              <w:rPr>
                <w:rFonts w:ascii="Times New Roman" w:hAnsi="Times New Roman" w:cs="Times New Roman"/>
              </w:rPr>
            </w:pPr>
            <w:r w:rsidR="00736DDC">
              <w:rPr>
                <w:rFonts w:ascii="Times New Roman" w:hAnsi="Times New Roman" w:cs="Times New Roman"/>
              </w:rPr>
              <w:t>779</w:t>
            </w:r>
          </w:p>
        </w:tc>
      </w:tr>
      <w:tr>
        <w:tblPrEx>
          <w:tblW w:w="9326" w:type="dxa"/>
          <w:jc w:val="center"/>
          <w:tblInd w:w="2256" w:type="dxa"/>
          <w:tblCellMar>
            <w:left w:w="0" w:type="dxa"/>
            <w:right w:w="0" w:type="dxa"/>
          </w:tblCellMar>
        </w:tblPrEx>
        <w:trPr>
          <w:gridAfter w:val="1"/>
          <w:wAfter w:w="37" w:type="dxa"/>
          <w:trHeight w:hRule="exact" w:val="284"/>
          <w:jc w:val="center"/>
        </w:trPr>
        <w:tc>
          <w:tcPr>
            <w:tcW w:w="330" w:type="dxa"/>
            <w:tcBorders>
              <w:top w:val="nil"/>
              <w:left w:val="single" w:sz="8" w:space="0" w:color="auto"/>
              <w:bottom w:val="single" w:sz="4" w:space="0" w:color="auto"/>
              <w:right w:val="single" w:sz="4" w:space="0" w:color="auto"/>
              <w:tl2br w:val="nil"/>
              <w:tr2bl w:val="nil"/>
            </w:tcBorders>
            <w:noWrap/>
            <w:tcMar>
              <w:top w:w="15" w:type="dxa"/>
              <w:left w:w="15" w:type="dxa"/>
              <w:bottom w:w="0" w:type="dxa"/>
              <w:right w:w="15" w:type="dxa"/>
            </w:tcMar>
            <w:textDirection w:val="lrTb"/>
            <w:vAlign w:val="center"/>
          </w:tcPr>
          <w:p w:rsidR="00B97FAA" w:rsidRPr="006810E4" w:rsidP="00FD671F">
            <w:pPr>
              <w:spacing w:line="240" w:lineRule="auto"/>
              <w:rPr>
                <w:rFonts w:ascii="Times New Roman" w:hAnsi="Times New Roman" w:cs="Times New Roman"/>
              </w:rPr>
            </w:pPr>
            <w:r w:rsidRPr="006810E4">
              <w:rPr>
                <w:rFonts w:ascii="Times New Roman" w:hAnsi="Times New Roman" w:cs="Times New Roman"/>
              </w:rPr>
              <w:t> </w:t>
            </w:r>
          </w:p>
        </w:tc>
        <w:tc>
          <w:tcPr>
            <w:tcW w:w="2547" w:type="dxa"/>
            <w:gridSpan w:val="2"/>
            <w:tcBorders>
              <w:top w:val="nil"/>
              <w:left w:val="nil"/>
              <w:bottom w:val="single" w:sz="4" w:space="0" w:color="auto"/>
              <w:right w:val="single" w:sz="4" w:space="0" w:color="auto"/>
              <w:tl2br w:val="nil"/>
              <w:tr2bl w:val="nil"/>
            </w:tcBorders>
            <w:noWrap/>
            <w:tcMar>
              <w:top w:w="15" w:type="dxa"/>
              <w:left w:w="15" w:type="dxa"/>
              <w:bottom w:w="0" w:type="dxa"/>
              <w:right w:w="15" w:type="dxa"/>
            </w:tcMar>
            <w:textDirection w:val="lrTb"/>
            <w:vAlign w:val="center"/>
          </w:tcPr>
          <w:p w:rsidR="00B97FAA" w:rsidRPr="006810E4" w:rsidP="00FD671F">
            <w:pPr>
              <w:spacing w:line="240" w:lineRule="auto"/>
              <w:jc w:val="left"/>
              <w:rPr>
                <w:rFonts w:ascii="Times New Roman" w:hAnsi="Times New Roman" w:cs="Times New Roman"/>
              </w:rPr>
            </w:pPr>
            <w:r w:rsidRPr="006810E4">
              <w:rPr>
                <w:rFonts w:ascii="Times New Roman" w:hAnsi="Times New Roman" w:cs="Times New Roman"/>
              </w:rPr>
              <w:t>do 360 dní</w:t>
            </w:r>
          </w:p>
        </w:tc>
        <w:tc>
          <w:tcPr>
            <w:tcW w:w="1323" w:type="dxa"/>
            <w:gridSpan w:val="2"/>
            <w:tcBorders>
              <w:top w:val="nil"/>
              <w:left w:val="nil"/>
              <w:bottom w:val="single" w:sz="4" w:space="0" w:color="auto"/>
              <w:right w:val="single" w:sz="4" w:space="0" w:color="auto"/>
              <w:tl2br w:val="nil"/>
              <w:tr2bl w:val="nil"/>
            </w:tcBorders>
            <w:tcMar>
              <w:top w:w="15" w:type="dxa"/>
              <w:left w:w="15" w:type="dxa"/>
              <w:bottom w:w="0" w:type="dxa"/>
              <w:right w:w="15" w:type="dxa"/>
            </w:tcMar>
            <w:textDirection w:val="lrTb"/>
            <w:vAlign w:val="center"/>
          </w:tcPr>
          <w:p w:rsidR="00B97FAA" w:rsidRPr="006810E4" w:rsidP="00FD671F">
            <w:pPr>
              <w:spacing w:line="240" w:lineRule="auto"/>
              <w:jc w:val="right"/>
              <w:rPr>
                <w:rFonts w:ascii="Times New Roman" w:hAnsi="Times New Roman" w:cs="Times New Roman"/>
              </w:rPr>
            </w:pPr>
            <w:r w:rsidR="00634549">
              <w:rPr>
                <w:rFonts w:ascii="Times New Roman" w:hAnsi="Times New Roman" w:cs="Times New Roman"/>
              </w:rPr>
              <w:t>15 381</w:t>
            </w:r>
          </w:p>
        </w:tc>
        <w:tc>
          <w:tcPr>
            <w:tcW w:w="1283" w:type="dxa"/>
            <w:gridSpan w:val="2"/>
            <w:tcBorders>
              <w:top w:val="nil"/>
              <w:left w:val="nil"/>
              <w:bottom w:val="single" w:sz="4" w:space="0" w:color="auto"/>
              <w:right w:val="nil"/>
              <w:tl2br w:val="nil"/>
              <w:tr2bl w:val="nil"/>
            </w:tcBorders>
            <w:tcMar>
              <w:top w:w="15" w:type="dxa"/>
              <w:left w:w="15" w:type="dxa"/>
              <w:bottom w:w="0" w:type="dxa"/>
              <w:right w:w="15" w:type="dxa"/>
            </w:tcMar>
            <w:textDirection w:val="lrTb"/>
            <w:vAlign w:val="center"/>
          </w:tcPr>
          <w:p w:rsidR="00B97FAA" w:rsidRPr="006810E4" w:rsidP="00FD671F">
            <w:pPr>
              <w:spacing w:line="240" w:lineRule="auto"/>
              <w:jc w:val="right"/>
              <w:rPr>
                <w:rFonts w:ascii="Times New Roman" w:hAnsi="Times New Roman" w:cs="Times New Roman"/>
              </w:rPr>
            </w:pPr>
            <w:r w:rsidR="00736DDC">
              <w:rPr>
                <w:rFonts w:ascii="Times New Roman" w:hAnsi="Times New Roman" w:cs="Times New Roman"/>
              </w:rPr>
              <w:t>9 104</w:t>
            </w:r>
          </w:p>
        </w:tc>
        <w:tc>
          <w:tcPr>
            <w:tcW w:w="1220" w:type="dxa"/>
            <w:gridSpan w:val="2"/>
            <w:tcBorders>
              <w:top w:val="single" w:sz="4" w:space="0" w:color="auto"/>
              <w:left w:val="single" w:sz="4" w:space="0" w:color="auto"/>
              <w:bottom w:val="single" w:sz="4" w:space="0" w:color="auto"/>
              <w:right w:val="nil"/>
              <w:tl2br w:val="nil"/>
              <w:tr2bl w:val="nil"/>
            </w:tcBorders>
            <w:tcMar>
              <w:top w:w="15" w:type="dxa"/>
              <w:left w:w="15" w:type="dxa"/>
              <w:bottom w:w="0" w:type="dxa"/>
              <w:right w:w="15" w:type="dxa"/>
            </w:tcMar>
            <w:textDirection w:val="lrTb"/>
            <w:vAlign w:val="center"/>
          </w:tcPr>
          <w:p w:rsidR="00B97FAA" w:rsidRPr="006810E4" w:rsidP="00FD671F">
            <w:pPr>
              <w:spacing w:line="240" w:lineRule="auto"/>
              <w:jc w:val="right"/>
              <w:rPr>
                <w:rFonts w:ascii="Times New Roman" w:hAnsi="Times New Roman" w:cs="Times New Roman"/>
              </w:rPr>
            </w:pPr>
            <w:r w:rsidR="00736DDC">
              <w:rPr>
                <w:rFonts w:ascii="Times New Roman" w:hAnsi="Times New Roman" w:cs="Times New Roman"/>
              </w:rPr>
              <w:t>16 137</w:t>
            </w:r>
          </w:p>
        </w:tc>
        <w:tc>
          <w:tcPr>
            <w:tcW w:w="1228" w:type="dxa"/>
            <w:gridSpan w:val="2"/>
            <w:tcBorders>
              <w:top w:val="single" w:sz="4" w:space="0" w:color="auto"/>
              <w:left w:val="single" w:sz="4" w:space="0" w:color="auto"/>
              <w:bottom w:val="single" w:sz="4" w:space="0" w:color="auto"/>
              <w:right w:val="nil"/>
              <w:tl2br w:val="nil"/>
              <w:tr2bl w:val="nil"/>
            </w:tcBorders>
            <w:tcMar>
              <w:top w:w="15" w:type="dxa"/>
              <w:left w:w="15" w:type="dxa"/>
              <w:bottom w:w="0" w:type="dxa"/>
              <w:right w:w="15" w:type="dxa"/>
            </w:tcMar>
            <w:textDirection w:val="lrTb"/>
            <w:vAlign w:val="center"/>
          </w:tcPr>
          <w:p w:rsidR="00B97FAA" w:rsidRPr="006810E4" w:rsidP="00FD671F">
            <w:pPr>
              <w:spacing w:line="240" w:lineRule="auto"/>
              <w:ind w:left="-467" w:firstLine="467"/>
              <w:jc w:val="right"/>
              <w:rPr>
                <w:rFonts w:ascii="Times New Roman" w:hAnsi="Times New Roman" w:cs="Times New Roman"/>
              </w:rPr>
            </w:pPr>
            <w:r w:rsidR="00736DDC">
              <w:rPr>
                <w:rFonts w:ascii="Times New Roman" w:hAnsi="Times New Roman" w:cs="Times New Roman"/>
              </w:rPr>
              <w:t>368</w:t>
            </w:r>
          </w:p>
        </w:tc>
        <w:tc>
          <w:tcPr>
            <w:tcW w:w="1358" w:type="dxa"/>
            <w:gridSpan w:val="2"/>
            <w:tcBorders>
              <w:top w:val="single" w:sz="4" w:space="0" w:color="auto"/>
              <w:left w:val="single" w:sz="4" w:space="0" w:color="auto"/>
              <w:bottom w:val="single" w:sz="4" w:space="0" w:color="auto"/>
              <w:right w:val="single" w:sz="8" w:space="0" w:color="auto"/>
              <w:tl2br w:val="nil"/>
              <w:tr2bl w:val="nil"/>
            </w:tcBorders>
            <w:tcMar>
              <w:top w:w="15" w:type="dxa"/>
              <w:left w:w="15" w:type="dxa"/>
              <w:bottom w:w="0" w:type="dxa"/>
              <w:right w:w="15" w:type="dxa"/>
            </w:tcMar>
            <w:textDirection w:val="lrTb"/>
            <w:vAlign w:val="center"/>
          </w:tcPr>
          <w:p w:rsidR="00B97FAA" w:rsidRPr="006810E4" w:rsidP="00FD671F">
            <w:pPr>
              <w:spacing w:line="240" w:lineRule="auto"/>
              <w:ind w:left="-467" w:firstLine="467"/>
              <w:jc w:val="right"/>
              <w:rPr>
                <w:rFonts w:ascii="Times New Roman" w:hAnsi="Times New Roman" w:cs="Times New Roman"/>
              </w:rPr>
            </w:pPr>
            <w:r w:rsidR="00736DDC">
              <w:rPr>
                <w:rFonts w:ascii="Times New Roman" w:hAnsi="Times New Roman" w:cs="Times New Roman"/>
              </w:rPr>
              <w:t>512</w:t>
            </w:r>
          </w:p>
        </w:tc>
      </w:tr>
      <w:tr>
        <w:tblPrEx>
          <w:tblW w:w="9326" w:type="dxa"/>
          <w:jc w:val="center"/>
          <w:tblInd w:w="2256" w:type="dxa"/>
          <w:tblCellMar>
            <w:left w:w="0" w:type="dxa"/>
            <w:right w:w="0" w:type="dxa"/>
          </w:tblCellMar>
        </w:tblPrEx>
        <w:trPr>
          <w:gridAfter w:val="1"/>
          <w:wAfter w:w="37" w:type="dxa"/>
          <w:trHeight w:hRule="exact" w:val="284"/>
          <w:jc w:val="center"/>
        </w:trPr>
        <w:tc>
          <w:tcPr>
            <w:tcW w:w="330" w:type="dxa"/>
            <w:tcBorders>
              <w:top w:val="nil"/>
              <w:left w:val="single" w:sz="8" w:space="0" w:color="auto"/>
              <w:bottom w:val="single" w:sz="4" w:space="0" w:color="auto"/>
              <w:right w:val="single" w:sz="4" w:space="0" w:color="auto"/>
              <w:tl2br w:val="nil"/>
              <w:tr2bl w:val="nil"/>
            </w:tcBorders>
            <w:noWrap/>
            <w:tcMar>
              <w:top w:w="15" w:type="dxa"/>
              <w:left w:w="15" w:type="dxa"/>
              <w:bottom w:w="0" w:type="dxa"/>
              <w:right w:w="15" w:type="dxa"/>
            </w:tcMar>
            <w:textDirection w:val="lrTb"/>
            <w:vAlign w:val="center"/>
          </w:tcPr>
          <w:p w:rsidR="00B97FAA" w:rsidRPr="006810E4" w:rsidP="00FD671F">
            <w:pPr>
              <w:spacing w:line="240" w:lineRule="auto"/>
              <w:rPr>
                <w:rFonts w:ascii="Times New Roman" w:hAnsi="Times New Roman" w:cs="Times New Roman"/>
              </w:rPr>
            </w:pPr>
            <w:r w:rsidRPr="006810E4">
              <w:rPr>
                <w:rFonts w:ascii="Times New Roman" w:hAnsi="Times New Roman" w:cs="Times New Roman"/>
              </w:rPr>
              <w:t> </w:t>
            </w:r>
          </w:p>
        </w:tc>
        <w:tc>
          <w:tcPr>
            <w:tcW w:w="2547" w:type="dxa"/>
            <w:gridSpan w:val="2"/>
            <w:tcBorders>
              <w:top w:val="nil"/>
              <w:left w:val="nil"/>
              <w:bottom w:val="single" w:sz="4" w:space="0" w:color="auto"/>
              <w:right w:val="single" w:sz="4" w:space="0" w:color="auto"/>
              <w:tl2br w:val="nil"/>
              <w:tr2bl w:val="nil"/>
            </w:tcBorders>
            <w:noWrap/>
            <w:tcMar>
              <w:top w:w="15" w:type="dxa"/>
              <w:left w:w="15" w:type="dxa"/>
              <w:bottom w:w="0" w:type="dxa"/>
              <w:right w:w="15" w:type="dxa"/>
            </w:tcMar>
            <w:textDirection w:val="lrTb"/>
            <w:vAlign w:val="center"/>
          </w:tcPr>
          <w:p w:rsidR="00B97FAA" w:rsidRPr="006810E4" w:rsidP="00FD671F">
            <w:pPr>
              <w:spacing w:line="240" w:lineRule="auto"/>
              <w:jc w:val="left"/>
              <w:rPr>
                <w:rFonts w:ascii="Times New Roman" w:hAnsi="Times New Roman" w:cs="Times New Roman"/>
              </w:rPr>
            </w:pPr>
            <w:r w:rsidRPr="006810E4">
              <w:rPr>
                <w:rFonts w:ascii="Times New Roman" w:hAnsi="Times New Roman" w:cs="Times New Roman"/>
              </w:rPr>
              <w:t>do 2 rokov</w:t>
            </w:r>
          </w:p>
        </w:tc>
        <w:tc>
          <w:tcPr>
            <w:tcW w:w="1323" w:type="dxa"/>
            <w:gridSpan w:val="2"/>
            <w:tcBorders>
              <w:top w:val="nil"/>
              <w:left w:val="nil"/>
              <w:bottom w:val="single" w:sz="4" w:space="0" w:color="auto"/>
              <w:right w:val="single" w:sz="4" w:space="0" w:color="auto"/>
              <w:tl2br w:val="nil"/>
              <w:tr2bl w:val="nil"/>
            </w:tcBorders>
            <w:tcMar>
              <w:top w:w="15" w:type="dxa"/>
              <w:left w:w="15" w:type="dxa"/>
              <w:bottom w:w="0" w:type="dxa"/>
              <w:right w:w="15" w:type="dxa"/>
            </w:tcMar>
            <w:textDirection w:val="lrTb"/>
            <w:vAlign w:val="center"/>
          </w:tcPr>
          <w:p w:rsidR="00B97FAA" w:rsidRPr="006810E4" w:rsidP="00FD671F">
            <w:pPr>
              <w:spacing w:line="240" w:lineRule="auto"/>
              <w:jc w:val="right"/>
              <w:rPr>
                <w:rFonts w:ascii="Times New Roman" w:hAnsi="Times New Roman" w:cs="Times New Roman"/>
              </w:rPr>
            </w:pPr>
            <w:r w:rsidR="00634549">
              <w:rPr>
                <w:rFonts w:ascii="Times New Roman" w:hAnsi="Times New Roman" w:cs="Times New Roman"/>
              </w:rPr>
              <w:t>- 1 318</w:t>
            </w:r>
          </w:p>
        </w:tc>
        <w:tc>
          <w:tcPr>
            <w:tcW w:w="1283" w:type="dxa"/>
            <w:gridSpan w:val="2"/>
            <w:tcBorders>
              <w:top w:val="nil"/>
              <w:left w:val="nil"/>
              <w:bottom w:val="single" w:sz="4" w:space="0" w:color="auto"/>
              <w:right w:val="nil"/>
              <w:tl2br w:val="nil"/>
              <w:tr2bl w:val="nil"/>
            </w:tcBorders>
            <w:tcMar>
              <w:top w:w="15" w:type="dxa"/>
              <w:left w:w="15" w:type="dxa"/>
              <w:bottom w:w="0" w:type="dxa"/>
              <w:right w:w="15" w:type="dxa"/>
            </w:tcMar>
            <w:textDirection w:val="lrTb"/>
            <w:vAlign w:val="center"/>
          </w:tcPr>
          <w:p w:rsidR="00B97FAA" w:rsidRPr="006810E4" w:rsidP="00FD671F">
            <w:pPr>
              <w:spacing w:line="240" w:lineRule="auto"/>
              <w:jc w:val="right"/>
              <w:rPr>
                <w:rFonts w:ascii="Times New Roman" w:hAnsi="Times New Roman" w:cs="Times New Roman"/>
              </w:rPr>
            </w:pPr>
            <w:r w:rsidR="00736DDC">
              <w:rPr>
                <w:rFonts w:ascii="Times New Roman" w:hAnsi="Times New Roman" w:cs="Times New Roman"/>
              </w:rPr>
              <w:t>6 792</w:t>
            </w:r>
          </w:p>
        </w:tc>
        <w:tc>
          <w:tcPr>
            <w:tcW w:w="1220" w:type="dxa"/>
            <w:gridSpan w:val="2"/>
            <w:tcBorders>
              <w:top w:val="single" w:sz="4" w:space="0" w:color="auto"/>
              <w:left w:val="single" w:sz="4" w:space="0" w:color="auto"/>
              <w:bottom w:val="single" w:sz="4" w:space="0" w:color="auto"/>
              <w:right w:val="nil"/>
              <w:tl2br w:val="nil"/>
              <w:tr2bl w:val="nil"/>
            </w:tcBorders>
            <w:tcMar>
              <w:top w:w="15" w:type="dxa"/>
              <w:left w:w="15" w:type="dxa"/>
              <w:bottom w:w="0" w:type="dxa"/>
              <w:right w:w="15" w:type="dxa"/>
            </w:tcMar>
            <w:textDirection w:val="lrTb"/>
            <w:vAlign w:val="center"/>
          </w:tcPr>
          <w:p w:rsidR="00B97FAA" w:rsidRPr="006810E4" w:rsidP="00FD671F">
            <w:pPr>
              <w:spacing w:line="240" w:lineRule="auto"/>
              <w:jc w:val="right"/>
              <w:rPr>
                <w:rFonts w:ascii="Times New Roman" w:hAnsi="Times New Roman" w:cs="Times New Roman"/>
              </w:rPr>
            </w:pPr>
            <w:r w:rsidR="00736DDC">
              <w:rPr>
                <w:rFonts w:ascii="Times New Roman" w:hAnsi="Times New Roman" w:cs="Times New Roman"/>
              </w:rPr>
              <w:t>12 690</w:t>
            </w:r>
          </w:p>
        </w:tc>
        <w:tc>
          <w:tcPr>
            <w:tcW w:w="1228" w:type="dxa"/>
            <w:gridSpan w:val="2"/>
            <w:tcBorders>
              <w:top w:val="single" w:sz="4" w:space="0" w:color="auto"/>
              <w:left w:val="single" w:sz="4" w:space="0" w:color="auto"/>
              <w:bottom w:val="single" w:sz="4" w:space="0" w:color="auto"/>
              <w:right w:val="nil"/>
              <w:tl2br w:val="nil"/>
              <w:tr2bl w:val="nil"/>
            </w:tcBorders>
            <w:tcMar>
              <w:top w:w="15" w:type="dxa"/>
              <w:left w:w="15" w:type="dxa"/>
              <w:bottom w:w="0" w:type="dxa"/>
              <w:right w:w="15" w:type="dxa"/>
            </w:tcMar>
            <w:textDirection w:val="lrTb"/>
            <w:vAlign w:val="center"/>
          </w:tcPr>
          <w:p w:rsidR="00B97FAA" w:rsidRPr="006810E4" w:rsidP="00FD671F">
            <w:pPr>
              <w:spacing w:line="240" w:lineRule="auto"/>
              <w:ind w:left="-467" w:firstLine="467"/>
              <w:jc w:val="right"/>
              <w:rPr>
                <w:rFonts w:ascii="Times New Roman" w:hAnsi="Times New Roman" w:cs="Times New Roman"/>
              </w:rPr>
            </w:pPr>
            <w:r w:rsidR="00736DDC">
              <w:rPr>
                <w:rFonts w:ascii="Times New Roman" w:hAnsi="Times New Roman" w:cs="Times New Roman"/>
              </w:rPr>
              <w:t>2 197</w:t>
            </w:r>
          </w:p>
        </w:tc>
        <w:tc>
          <w:tcPr>
            <w:tcW w:w="1358" w:type="dxa"/>
            <w:gridSpan w:val="2"/>
            <w:tcBorders>
              <w:top w:val="single" w:sz="4" w:space="0" w:color="auto"/>
              <w:left w:val="single" w:sz="4" w:space="0" w:color="auto"/>
              <w:bottom w:val="single" w:sz="4" w:space="0" w:color="auto"/>
              <w:right w:val="single" w:sz="4" w:space="0" w:color="auto"/>
              <w:tl2br w:val="nil"/>
              <w:tr2bl w:val="nil"/>
            </w:tcBorders>
            <w:tcMar>
              <w:top w:w="15" w:type="dxa"/>
              <w:left w:w="15" w:type="dxa"/>
              <w:bottom w:w="0" w:type="dxa"/>
              <w:right w:w="15" w:type="dxa"/>
            </w:tcMar>
            <w:textDirection w:val="lrTb"/>
            <w:vAlign w:val="center"/>
          </w:tcPr>
          <w:p w:rsidR="00B97FAA" w:rsidRPr="006810E4" w:rsidP="00FD671F">
            <w:pPr>
              <w:spacing w:line="240" w:lineRule="auto"/>
              <w:ind w:left="-467" w:firstLine="467"/>
              <w:jc w:val="right"/>
              <w:rPr>
                <w:rFonts w:ascii="Times New Roman" w:hAnsi="Times New Roman" w:cs="Times New Roman"/>
              </w:rPr>
            </w:pPr>
            <w:r w:rsidR="00736DDC">
              <w:rPr>
                <w:rFonts w:ascii="Times New Roman" w:hAnsi="Times New Roman" w:cs="Times New Roman"/>
              </w:rPr>
              <w:t>2 108</w:t>
            </w:r>
          </w:p>
        </w:tc>
      </w:tr>
      <w:tr>
        <w:tblPrEx>
          <w:tblW w:w="9326" w:type="dxa"/>
          <w:jc w:val="center"/>
          <w:tblInd w:w="2256" w:type="dxa"/>
          <w:tblCellMar>
            <w:left w:w="0" w:type="dxa"/>
            <w:right w:w="0" w:type="dxa"/>
          </w:tblCellMar>
        </w:tblPrEx>
        <w:trPr>
          <w:gridAfter w:val="1"/>
          <w:wAfter w:w="37" w:type="dxa"/>
          <w:trHeight w:hRule="exact" w:val="284"/>
          <w:jc w:val="center"/>
        </w:trPr>
        <w:tc>
          <w:tcPr>
            <w:tcW w:w="330" w:type="dxa"/>
            <w:tcBorders>
              <w:top w:val="single" w:sz="4" w:space="0" w:color="auto"/>
              <w:left w:val="single" w:sz="4" w:space="0" w:color="auto"/>
              <w:bottom w:val="single" w:sz="4" w:space="0" w:color="auto"/>
              <w:right w:val="single" w:sz="4" w:space="0" w:color="auto"/>
              <w:tl2br w:val="nil"/>
              <w:tr2bl w:val="nil"/>
            </w:tcBorders>
            <w:noWrap/>
            <w:tcMar>
              <w:top w:w="15" w:type="dxa"/>
              <w:left w:w="15" w:type="dxa"/>
              <w:bottom w:w="0" w:type="dxa"/>
              <w:right w:w="15" w:type="dxa"/>
            </w:tcMar>
            <w:textDirection w:val="lrTb"/>
            <w:vAlign w:val="center"/>
          </w:tcPr>
          <w:p w:rsidR="00B97FAA" w:rsidRPr="006810E4" w:rsidP="00FD671F">
            <w:pPr>
              <w:spacing w:line="240" w:lineRule="auto"/>
              <w:rPr>
                <w:rFonts w:ascii="Times New Roman" w:hAnsi="Times New Roman" w:cs="Times New Roman"/>
              </w:rPr>
            </w:pPr>
            <w:r w:rsidRPr="006810E4">
              <w:rPr>
                <w:rFonts w:ascii="Times New Roman" w:hAnsi="Times New Roman" w:cs="Times New Roman"/>
              </w:rPr>
              <w:t> </w:t>
            </w:r>
          </w:p>
        </w:tc>
        <w:tc>
          <w:tcPr>
            <w:tcW w:w="2547" w:type="dxa"/>
            <w:gridSpan w:val="2"/>
            <w:tcBorders>
              <w:top w:val="single" w:sz="4" w:space="0" w:color="auto"/>
              <w:left w:val="single" w:sz="4" w:space="0" w:color="auto"/>
              <w:bottom w:val="single" w:sz="4" w:space="0" w:color="auto"/>
              <w:right w:val="single" w:sz="4" w:space="0" w:color="auto"/>
              <w:tl2br w:val="nil"/>
              <w:tr2bl w:val="nil"/>
            </w:tcBorders>
            <w:noWrap/>
            <w:tcMar>
              <w:top w:w="15" w:type="dxa"/>
              <w:left w:w="15" w:type="dxa"/>
              <w:bottom w:w="0" w:type="dxa"/>
              <w:right w:w="15" w:type="dxa"/>
            </w:tcMar>
            <w:textDirection w:val="lrTb"/>
            <w:vAlign w:val="center"/>
          </w:tcPr>
          <w:p w:rsidR="00B97FAA" w:rsidRPr="006810E4" w:rsidP="00FD671F">
            <w:pPr>
              <w:spacing w:line="240" w:lineRule="auto"/>
              <w:jc w:val="left"/>
              <w:rPr>
                <w:rFonts w:ascii="Times New Roman" w:hAnsi="Times New Roman" w:cs="Times New Roman"/>
              </w:rPr>
            </w:pPr>
            <w:r w:rsidRPr="006810E4">
              <w:rPr>
                <w:rFonts w:ascii="Times New Roman" w:hAnsi="Times New Roman" w:cs="Times New Roman"/>
              </w:rPr>
              <w:t>do 3 rokov</w:t>
            </w:r>
          </w:p>
        </w:tc>
        <w:tc>
          <w:tcPr>
            <w:tcW w:w="1323" w:type="dxa"/>
            <w:gridSpan w:val="2"/>
            <w:tcBorders>
              <w:top w:val="single" w:sz="4" w:space="0" w:color="auto"/>
              <w:left w:val="single" w:sz="4" w:space="0" w:color="auto"/>
              <w:bottom w:val="single" w:sz="4" w:space="0" w:color="auto"/>
              <w:right w:val="single" w:sz="4" w:space="0" w:color="auto"/>
              <w:tl2br w:val="nil"/>
              <w:tr2bl w:val="nil"/>
            </w:tcBorders>
            <w:tcMar>
              <w:top w:w="15" w:type="dxa"/>
              <w:left w:w="15" w:type="dxa"/>
              <w:bottom w:w="0" w:type="dxa"/>
              <w:right w:w="15" w:type="dxa"/>
            </w:tcMar>
            <w:textDirection w:val="lrTb"/>
            <w:vAlign w:val="center"/>
          </w:tcPr>
          <w:p w:rsidR="00B97FAA" w:rsidRPr="006810E4" w:rsidP="00FD671F">
            <w:pPr>
              <w:spacing w:line="240" w:lineRule="auto"/>
              <w:jc w:val="right"/>
              <w:rPr>
                <w:rFonts w:ascii="Times New Roman" w:hAnsi="Times New Roman" w:cs="Times New Roman"/>
              </w:rPr>
            </w:pPr>
            <w:r w:rsidR="00634549">
              <w:rPr>
                <w:rFonts w:ascii="Times New Roman" w:hAnsi="Times New Roman" w:cs="Times New Roman"/>
              </w:rPr>
              <w:t>4 564</w:t>
            </w:r>
          </w:p>
        </w:tc>
        <w:tc>
          <w:tcPr>
            <w:tcW w:w="1283" w:type="dxa"/>
            <w:gridSpan w:val="2"/>
            <w:tcBorders>
              <w:top w:val="single" w:sz="4" w:space="0" w:color="auto"/>
              <w:left w:val="single" w:sz="4" w:space="0" w:color="auto"/>
              <w:bottom w:val="single" w:sz="4" w:space="0" w:color="auto"/>
              <w:right w:val="single" w:sz="4" w:space="0" w:color="auto"/>
              <w:tl2br w:val="nil"/>
              <w:tr2bl w:val="nil"/>
            </w:tcBorders>
            <w:tcMar>
              <w:top w:w="15" w:type="dxa"/>
              <w:left w:w="15" w:type="dxa"/>
              <w:bottom w:w="0" w:type="dxa"/>
              <w:right w:w="15" w:type="dxa"/>
            </w:tcMar>
            <w:textDirection w:val="lrTb"/>
            <w:vAlign w:val="center"/>
          </w:tcPr>
          <w:p w:rsidR="00B97FAA" w:rsidRPr="006810E4" w:rsidP="00FD671F">
            <w:pPr>
              <w:spacing w:line="240" w:lineRule="auto"/>
              <w:jc w:val="right"/>
              <w:rPr>
                <w:rFonts w:ascii="Times New Roman" w:hAnsi="Times New Roman" w:cs="Times New Roman"/>
              </w:rPr>
            </w:pPr>
            <w:r w:rsidR="00736DDC">
              <w:rPr>
                <w:rFonts w:ascii="Times New Roman" w:hAnsi="Times New Roman" w:cs="Times New Roman"/>
              </w:rPr>
              <w:t>1 504</w:t>
            </w:r>
          </w:p>
        </w:tc>
        <w:tc>
          <w:tcPr>
            <w:tcW w:w="1220" w:type="dxa"/>
            <w:gridSpan w:val="2"/>
            <w:tcBorders>
              <w:top w:val="single" w:sz="4" w:space="0" w:color="auto"/>
              <w:left w:val="single" w:sz="4" w:space="0" w:color="auto"/>
              <w:bottom w:val="single" w:sz="4" w:space="0" w:color="auto"/>
              <w:right w:val="nil"/>
              <w:tl2br w:val="nil"/>
              <w:tr2bl w:val="nil"/>
            </w:tcBorders>
            <w:tcMar>
              <w:top w:w="15" w:type="dxa"/>
              <w:left w:w="15" w:type="dxa"/>
              <w:bottom w:w="0" w:type="dxa"/>
              <w:right w:w="15" w:type="dxa"/>
            </w:tcMar>
            <w:textDirection w:val="lrTb"/>
            <w:vAlign w:val="center"/>
          </w:tcPr>
          <w:p w:rsidR="00B97FAA" w:rsidRPr="006810E4" w:rsidP="00FD671F">
            <w:pPr>
              <w:spacing w:line="240" w:lineRule="auto"/>
              <w:jc w:val="right"/>
              <w:rPr>
                <w:rFonts w:ascii="Times New Roman" w:hAnsi="Times New Roman" w:cs="Times New Roman"/>
              </w:rPr>
            </w:pPr>
            <w:r w:rsidR="00736DDC">
              <w:rPr>
                <w:rFonts w:ascii="Times New Roman" w:hAnsi="Times New Roman" w:cs="Times New Roman"/>
              </w:rPr>
              <w:t>1 179</w:t>
            </w:r>
          </w:p>
        </w:tc>
        <w:tc>
          <w:tcPr>
            <w:tcW w:w="1228" w:type="dxa"/>
            <w:gridSpan w:val="2"/>
            <w:tcBorders>
              <w:top w:val="single" w:sz="4" w:space="0" w:color="auto"/>
              <w:left w:val="single" w:sz="4" w:space="0" w:color="auto"/>
              <w:bottom w:val="single" w:sz="4" w:space="0" w:color="auto"/>
              <w:right w:val="nil"/>
              <w:tl2br w:val="nil"/>
              <w:tr2bl w:val="nil"/>
            </w:tcBorders>
            <w:tcMar>
              <w:top w:w="15" w:type="dxa"/>
              <w:left w:w="15" w:type="dxa"/>
              <w:bottom w:w="0" w:type="dxa"/>
              <w:right w:w="15" w:type="dxa"/>
            </w:tcMar>
            <w:textDirection w:val="lrTb"/>
            <w:vAlign w:val="center"/>
          </w:tcPr>
          <w:p w:rsidR="00B97FAA" w:rsidRPr="006810E4" w:rsidP="00FD671F">
            <w:pPr>
              <w:spacing w:line="240" w:lineRule="auto"/>
              <w:ind w:left="-467" w:firstLine="467"/>
              <w:jc w:val="right"/>
              <w:rPr>
                <w:rFonts w:ascii="Times New Roman" w:hAnsi="Times New Roman" w:cs="Times New Roman"/>
              </w:rPr>
            </w:pPr>
            <w:r w:rsidR="00736DDC">
              <w:rPr>
                <w:rFonts w:ascii="Times New Roman" w:hAnsi="Times New Roman" w:cs="Times New Roman"/>
              </w:rPr>
              <w:t>1 690</w:t>
            </w:r>
          </w:p>
        </w:tc>
        <w:tc>
          <w:tcPr>
            <w:tcW w:w="1358" w:type="dxa"/>
            <w:gridSpan w:val="2"/>
            <w:tcBorders>
              <w:top w:val="single" w:sz="4" w:space="0" w:color="auto"/>
              <w:left w:val="single" w:sz="4" w:space="0" w:color="auto"/>
              <w:bottom w:val="single" w:sz="4" w:space="0" w:color="auto"/>
              <w:right w:val="single" w:sz="8" w:space="0" w:color="auto"/>
              <w:tl2br w:val="nil"/>
              <w:tr2bl w:val="nil"/>
            </w:tcBorders>
            <w:tcMar>
              <w:top w:w="15" w:type="dxa"/>
              <w:left w:w="15" w:type="dxa"/>
              <w:bottom w:w="0" w:type="dxa"/>
              <w:right w:w="15" w:type="dxa"/>
            </w:tcMar>
            <w:textDirection w:val="lrTb"/>
            <w:vAlign w:val="center"/>
          </w:tcPr>
          <w:p w:rsidR="00B97FAA" w:rsidRPr="006810E4" w:rsidP="00FD671F">
            <w:pPr>
              <w:spacing w:line="240" w:lineRule="auto"/>
              <w:ind w:left="-467" w:firstLine="467"/>
              <w:jc w:val="right"/>
              <w:rPr>
                <w:rFonts w:ascii="Times New Roman" w:hAnsi="Times New Roman" w:cs="Times New Roman"/>
              </w:rPr>
            </w:pPr>
            <w:r w:rsidR="00736DDC">
              <w:rPr>
                <w:rFonts w:ascii="Times New Roman" w:hAnsi="Times New Roman" w:cs="Times New Roman"/>
              </w:rPr>
              <w:t>756</w:t>
            </w:r>
          </w:p>
        </w:tc>
      </w:tr>
      <w:tr>
        <w:tblPrEx>
          <w:tblW w:w="9326" w:type="dxa"/>
          <w:jc w:val="center"/>
          <w:tblInd w:w="2256" w:type="dxa"/>
          <w:tblCellMar>
            <w:left w:w="0" w:type="dxa"/>
            <w:right w:w="0" w:type="dxa"/>
          </w:tblCellMar>
        </w:tblPrEx>
        <w:trPr>
          <w:gridAfter w:val="1"/>
          <w:wAfter w:w="37" w:type="dxa"/>
          <w:trHeight w:hRule="exact" w:val="284"/>
          <w:jc w:val="center"/>
        </w:trPr>
        <w:tc>
          <w:tcPr>
            <w:tcW w:w="330" w:type="dxa"/>
            <w:tcBorders>
              <w:top w:val="single" w:sz="4" w:space="0" w:color="auto"/>
              <w:left w:val="single" w:sz="8" w:space="0" w:color="auto"/>
              <w:bottom w:val="single" w:sz="8" w:space="0" w:color="auto"/>
              <w:right w:val="single" w:sz="4" w:space="0" w:color="auto"/>
              <w:tl2br w:val="nil"/>
              <w:tr2bl w:val="nil"/>
            </w:tcBorders>
            <w:noWrap/>
            <w:tcMar>
              <w:top w:w="15" w:type="dxa"/>
              <w:left w:w="15" w:type="dxa"/>
              <w:bottom w:w="0" w:type="dxa"/>
              <w:right w:w="15" w:type="dxa"/>
            </w:tcMar>
            <w:textDirection w:val="lrTb"/>
            <w:vAlign w:val="center"/>
          </w:tcPr>
          <w:p w:rsidR="00B97FAA" w:rsidRPr="006810E4" w:rsidP="00FD671F">
            <w:pPr>
              <w:spacing w:line="240" w:lineRule="auto"/>
              <w:rPr>
                <w:rFonts w:ascii="Times New Roman" w:hAnsi="Times New Roman" w:cs="Times New Roman"/>
              </w:rPr>
            </w:pPr>
            <w:r w:rsidRPr="006810E4">
              <w:rPr>
                <w:rFonts w:ascii="Times New Roman" w:hAnsi="Times New Roman" w:cs="Times New Roman"/>
              </w:rPr>
              <w:t> </w:t>
            </w:r>
          </w:p>
        </w:tc>
        <w:tc>
          <w:tcPr>
            <w:tcW w:w="2547" w:type="dxa"/>
            <w:gridSpan w:val="2"/>
            <w:tcBorders>
              <w:top w:val="single" w:sz="4" w:space="0" w:color="auto"/>
              <w:left w:val="nil"/>
              <w:bottom w:val="single" w:sz="8" w:space="0" w:color="auto"/>
              <w:right w:val="single" w:sz="4" w:space="0" w:color="auto"/>
              <w:tl2br w:val="nil"/>
              <w:tr2bl w:val="nil"/>
            </w:tcBorders>
            <w:noWrap/>
            <w:tcMar>
              <w:top w:w="15" w:type="dxa"/>
              <w:left w:w="15" w:type="dxa"/>
              <w:bottom w:w="0" w:type="dxa"/>
              <w:right w:w="15" w:type="dxa"/>
            </w:tcMar>
            <w:textDirection w:val="lrTb"/>
            <w:vAlign w:val="center"/>
          </w:tcPr>
          <w:p w:rsidR="00B97FAA" w:rsidRPr="006810E4" w:rsidP="00FD671F">
            <w:pPr>
              <w:spacing w:line="240" w:lineRule="auto"/>
              <w:jc w:val="left"/>
              <w:rPr>
                <w:rFonts w:ascii="Times New Roman" w:hAnsi="Times New Roman" w:cs="Times New Roman"/>
              </w:rPr>
            </w:pPr>
            <w:r w:rsidRPr="006810E4">
              <w:rPr>
                <w:rFonts w:ascii="Times New Roman" w:hAnsi="Times New Roman" w:cs="Times New Roman"/>
              </w:rPr>
              <w:t>Nad 3 roky</w:t>
            </w:r>
          </w:p>
        </w:tc>
        <w:tc>
          <w:tcPr>
            <w:tcW w:w="1323" w:type="dxa"/>
            <w:gridSpan w:val="2"/>
            <w:tcBorders>
              <w:top w:val="single" w:sz="4" w:space="0" w:color="auto"/>
              <w:left w:val="nil"/>
              <w:bottom w:val="single" w:sz="8" w:space="0" w:color="auto"/>
              <w:right w:val="single" w:sz="4" w:space="0" w:color="auto"/>
              <w:tl2br w:val="nil"/>
              <w:tr2bl w:val="nil"/>
            </w:tcBorders>
            <w:tcMar>
              <w:top w:w="15" w:type="dxa"/>
              <w:left w:w="15" w:type="dxa"/>
              <w:bottom w:w="0" w:type="dxa"/>
              <w:right w:w="15" w:type="dxa"/>
            </w:tcMar>
            <w:textDirection w:val="lrTb"/>
            <w:vAlign w:val="center"/>
          </w:tcPr>
          <w:p w:rsidR="00B97FAA" w:rsidRPr="006810E4" w:rsidP="00FD671F">
            <w:pPr>
              <w:spacing w:line="240" w:lineRule="auto"/>
              <w:jc w:val="right"/>
              <w:rPr>
                <w:rFonts w:ascii="Times New Roman" w:hAnsi="Times New Roman" w:cs="Times New Roman"/>
              </w:rPr>
            </w:pPr>
            <w:r w:rsidR="00634549">
              <w:rPr>
                <w:rFonts w:ascii="Times New Roman" w:hAnsi="Times New Roman" w:cs="Times New Roman"/>
              </w:rPr>
              <w:t>188 870</w:t>
            </w:r>
          </w:p>
        </w:tc>
        <w:tc>
          <w:tcPr>
            <w:tcW w:w="1283" w:type="dxa"/>
            <w:gridSpan w:val="2"/>
            <w:tcBorders>
              <w:top w:val="single" w:sz="4" w:space="0" w:color="auto"/>
              <w:left w:val="nil"/>
              <w:bottom w:val="single" w:sz="8" w:space="0" w:color="auto"/>
              <w:right w:val="nil"/>
              <w:tl2br w:val="nil"/>
              <w:tr2bl w:val="nil"/>
            </w:tcBorders>
            <w:tcMar>
              <w:top w:w="15" w:type="dxa"/>
              <w:left w:w="15" w:type="dxa"/>
              <w:bottom w:w="0" w:type="dxa"/>
              <w:right w:w="15" w:type="dxa"/>
            </w:tcMar>
            <w:textDirection w:val="lrTb"/>
            <w:vAlign w:val="center"/>
          </w:tcPr>
          <w:p w:rsidR="00B97FAA" w:rsidRPr="006810E4" w:rsidP="00FD671F">
            <w:pPr>
              <w:spacing w:line="240" w:lineRule="auto"/>
              <w:jc w:val="right"/>
              <w:rPr>
                <w:rFonts w:ascii="Times New Roman" w:hAnsi="Times New Roman" w:cs="Times New Roman"/>
              </w:rPr>
            </w:pPr>
            <w:r w:rsidR="00736DDC">
              <w:rPr>
                <w:rFonts w:ascii="Times New Roman" w:hAnsi="Times New Roman" w:cs="Times New Roman"/>
              </w:rPr>
              <w:t>99 483</w:t>
            </w:r>
          </w:p>
        </w:tc>
        <w:tc>
          <w:tcPr>
            <w:tcW w:w="1220" w:type="dxa"/>
            <w:gridSpan w:val="2"/>
            <w:tcBorders>
              <w:top w:val="nil"/>
              <w:left w:val="single" w:sz="4" w:space="0" w:color="auto"/>
              <w:bottom w:val="single" w:sz="8" w:space="0" w:color="auto"/>
              <w:right w:val="nil"/>
              <w:tl2br w:val="nil"/>
              <w:tr2bl w:val="nil"/>
            </w:tcBorders>
            <w:tcMar>
              <w:top w:w="15" w:type="dxa"/>
              <w:left w:w="15" w:type="dxa"/>
              <w:bottom w:w="0" w:type="dxa"/>
              <w:right w:w="15" w:type="dxa"/>
            </w:tcMar>
            <w:textDirection w:val="lrTb"/>
            <w:vAlign w:val="center"/>
          </w:tcPr>
          <w:p w:rsidR="00B97FAA" w:rsidRPr="006810E4" w:rsidP="00FD671F">
            <w:pPr>
              <w:spacing w:line="240" w:lineRule="auto"/>
              <w:jc w:val="right"/>
              <w:rPr>
                <w:rFonts w:ascii="Times New Roman" w:hAnsi="Times New Roman" w:cs="Times New Roman"/>
              </w:rPr>
            </w:pPr>
            <w:r w:rsidR="00736DDC">
              <w:rPr>
                <w:rFonts w:ascii="Times New Roman" w:hAnsi="Times New Roman" w:cs="Times New Roman"/>
              </w:rPr>
              <w:t>138 458</w:t>
            </w:r>
          </w:p>
        </w:tc>
        <w:tc>
          <w:tcPr>
            <w:tcW w:w="1228" w:type="dxa"/>
            <w:gridSpan w:val="2"/>
            <w:tcBorders>
              <w:top w:val="nil"/>
              <w:left w:val="single" w:sz="4" w:space="0" w:color="auto"/>
              <w:bottom w:val="single" w:sz="8" w:space="0" w:color="auto"/>
              <w:right w:val="nil"/>
              <w:tl2br w:val="nil"/>
              <w:tr2bl w:val="nil"/>
            </w:tcBorders>
            <w:tcMar>
              <w:top w:w="15" w:type="dxa"/>
              <w:left w:w="15" w:type="dxa"/>
              <w:bottom w:w="0" w:type="dxa"/>
              <w:right w:w="15" w:type="dxa"/>
            </w:tcMar>
            <w:textDirection w:val="lrTb"/>
            <w:vAlign w:val="center"/>
          </w:tcPr>
          <w:p w:rsidR="00B97FAA" w:rsidRPr="006810E4" w:rsidP="00FD671F">
            <w:pPr>
              <w:spacing w:line="240" w:lineRule="auto"/>
              <w:ind w:left="-467" w:firstLine="467"/>
              <w:jc w:val="right"/>
              <w:rPr>
                <w:rFonts w:ascii="Times New Roman" w:hAnsi="Times New Roman" w:cs="Times New Roman"/>
              </w:rPr>
            </w:pPr>
            <w:r w:rsidR="00736DDC">
              <w:rPr>
                <w:rFonts w:ascii="Times New Roman" w:hAnsi="Times New Roman" w:cs="Times New Roman"/>
              </w:rPr>
              <w:t>134 110</w:t>
            </w:r>
          </w:p>
        </w:tc>
        <w:tc>
          <w:tcPr>
            <w:tcW w:w="1358" w:type="dxa"/>
            <w:gridSpan w:val="2"/>
            <w:tcBorders>
              <w:top w:val="nil"/>
              <w:left w:val="single" w:sz="4" w:space="0" w:color="auto"/>
              <w:bottom w:val="single" w:sz="8" w:space="0" w:color="auto"/>
              <w:right w:val="single" w:sz="8" w:space="0" w:color="auto"/>
              <w:tl2br w:val="nil"/>
              <w:tr2bl w:val="nil"/>
            </w:tcBorders>
            <w:tcMar>
              <w:top w:w="15" w:type="dxa"/>
              <w:left w:w="15" w:type="dxa"/>
              <w:bottom w:w="0" w:type="dxa"/>
              <w:right w:w="15" w:type="dxa"/>
            </w:tcMar>
            <w:textDirection w:val="lrTb"/>
            <w:vAlign w:val="center"/>
          </w:tcPr>
          <w:p w:rsidR="00B97FAA" w:rsidRPr="006810E4" w:rsidP="00FD671F">
            <w:pPr>
              <w:spacing w:line="240" w:lineRule="auto"/>
              <w:ind w:left="-467" w:firstLine="467"/>
              <w:jc w:val="right"/>
              <w:rPr>
                <w:rFonts w:ascii="Times New Roman" w:hAnsi="Times New Roman" w:cs="Times New Roman"/>
              </w:rPr>
            </w:pPr>
            <w:r w:rsidR="00736DDC">
              <w:rPr>
                <w:rFonts w:ascii="Times New Roman" w:hAnsi="Times New Roman" w:cs="Times New Roman"/>
              </w:rPr>
              <w:t>132 136</w:t>
            </w:r>
          </w:p>
        </w:tc>
      </w:tr>
    </w:tbl>
    <w:p w:rsidR="0050148B" w:rsidP="00FD671F">
      <w:pPr>
        <w:spacing w:line="240" w:lineRule="auto"/>
        <w:outlineLvl w:val="0"/>
        <w:rPr>
          <w:rFonts w:ascii="Times New Roman" w:hAnsi="Times New Roman" w:cs="Times New Roman"/>
          <w:b/>
          <w:bCs/>
          <w:sz w:val="28"/>
        </w:rPr>
      </w:pPr>
    </w:p>
    <w:p w:rsidR="00EF0282" w:rsidP="00FD671F">
      <w:pPr>
        <w:overflowPunct w:val="0"/>
        <w:autoSpaceDE/>
        <w:autoSpaceDN/>
        <w:spacing w:line="240" w:lineRule="auto"/>
        <w:ind w:firstLine="709"/>
        <w:rPr>
          <w:rFonts w:ascii="Times New Roman" w:hAnsi="Times New Roman" w:cs="Times New Roman"/>
          <w:sz w:val="24"/>
          <w:szCs w:val="24"/>
        </w:rPr>
      </w:pPr>
    </w:p>
    <w:p w:rsidR="00BA1D9B" w:rsidP="00FD671F">
      <w:pPr>
        <w:overflowPunct w:val="0"/>
        <w:autoSpaceDE/>
        <w:autoSpaceDN/>
        <w:spacing w:line="240" w:lineRule="auto"/>
        <w:ind w:firstLine="709"/>
        <w:rPr>
          <w:rFonts w:ascii="Times New Roman" w:hAnsi="Times New Roman" w:cs="Times New Roman"/>
          <w:sz w:val="24"/>
          <w:szCs w:val="24"/>
        </w:rPr>
      </w:pPr>
      <w:r w:rsidRPr="00BA1D9B">
        <w:rPr>
          <w:rFonts w:ascii="Times New Roman" w:hAnsi="Times New Roman" w:cs="Times New Roman"/>
          <w:sz w:val="24"/>
          <w:szCs w:val="24"/>
        </w:rPr>
        <w:t>K 1.1.2007 ŽSR nedisponovali žiadnymi nesplatenými návratnými finančnými výpomocami a počas roka 2007 neboli ŽSR poskytnuté žiadne n</w:t>
      </w:r>
      <w:r>
        <w:rPr>
          <w:rFonts w:ascii="Times New Roman" w:hAnsi="Times New Roman" w:cs="Times New Roman"/>
          <w:sz w:val="24"/>
          <w:szCs w:val="24"/>
        </w:rPr>
        <w:t xml:space="preserve">ové návratne finančné výpomoci. </w:t>
      </w:r>
      <w:r w:rsidRPr="00BA1D9B">
        <w:rPr>
          <w:rFonts w:ascii="Times New Roman" w:hAnsi="Times New Roman" w:cs="Times New Roman"/>
          <w:sz w:val="24"/>
          <w:szCs w:val="24"/>
        </w:rPr>
        <w:t>ŽSR svoje aktuálne mesačné záväzky voči verejnoprávnym inštitúciám a daňovým úradom uhrádzajú v stan</w:t>
      </w:r>
      <w:r>
        <w:rPr>
          <w:rFonts w:ascii="Times New Roman" w:hAnsi="Times New Roman" w:cs="Times New Roman"/>
          <w:sz w:val="24"/>
          <w:szCs w:val="24"/>
        </w:rPr>
        <w:t xml:space="preserve">ovenom termíne a v plnej výške. </w:t>
      </w:r>
    </w:p>
    <w:p w:rsidR="00EF0282" w:rsidP="00AE473C">
      <w:pPr>
        <w:overflowPunct w:val="0"/>
        <w:autoSpaceDE/>
        <w:autoSpaceDN/>
        <w:spacing w:line="240" w:lineRule="auto"/>
        <w:ind w:firstLine="709"/>
        <w:rPr>
          <w:rFonts w:ascii="Times New Roman" w:hAnsi="Times New Roman" w:cs="Times New Roman"/>
          <w:sz w:val="24"/>
          <w:szCs w:val="24"/>
        </w:rPr>
      </w:pPr>
    </w:p>
    <w:p w:rsidR="0031620F" w:rsidRPr="00AE473C" w:rsidP="00AE473C">
      <w:pPr>
        <w:overflowPunct w:val="0"/>
        <w:autoSpaceDE/>
        <w:autoSpaceDN/>
        <w:spacing w:line="240" w:lineRule="auto"/>
        <w:ind w:firstLine="709"/>
        <w:rPr>
          <w:rFonts w:ascii="Times New Roman" w:hAnsi="Times New Roman" w:cs="Times New Roman"/>
          <w:sz w:val="24"/>
          <w:szCs w:val="24"/>
        </w:rPr>
      </w:pPr>
      <w:r w:rsidRPr="00BA1D9B" w:rsidR="00BA1D9B">
        <w:rPr>
          <w:rFonts w:ascii="Times New Roman" w:hAnsi="Times New Roman" w:cs="Times New Roman"/>
          <w:sz w:val="24"/>
          <w:szCs w:val="24"/>
        </w:rPr>
        <w:t>Spôsob vymáhania nedobytných pohľadávok ŽSR je realizovaný v zmysle platnej smernice „Práca s pohľadávkami ŽSR č. 39/03-O 310“, ktorá je účinná od 1.1.2004</w:t>
      </w:r>
    </w:p>
    <w:p w:rsidR="00EF0282" w:rsidP="00C362EA">
      <w:pPr>
        <w:spacing w:line="240" w:lineRule="auto"/>
        <w:outlineLvl w:val="0"/>
        <w:rPr>
          <w:rFonts w:ascii="Times New Roman" w:hAnsi="Times New Roman" w:cs="Times New Roman"/>
          <w:b/>
          <w:bCs/>
          <w:sz w:val="28"/>
          <w:szCs w:val="28"/>
        </w:rPr>
      </w:pPr>
    </w:p>
    <w:p w:rsidR="00EF0282" w:rsidP="00C362EA">
      <w:pPr>
        <w:spacing w:line="240" w:lineRule="auto"/>
        <w:outlineLvl w:val="0"/>
        <w:rPr>
          <w:rFonts w:ascii="Times New Roman" w:hAnsi="Times New Roman" w:cs="Times New Roman"/>
          <w:b/>
          <w:bCs/>
          <w:sz w:val="28"/>
          <w:szCs w:val="28"/>
        </w:rPr>
      </w:pPr>
    </w:p>
    <w:p w:rsidR="00E0380B" w:rsidP="00C362EA">
      <w:pPr>
        <w:spacing w:line="240" w:lineRule="auto"/>
        <w:outlineLvl w:val="0"/>
        <w:rPr>
          <w:rFonts w:ascii="Times New Roman" w:hAnsi="Times New Roman" w:cs="Times New Roman"/>
          <w:b/>
          <w:bCs/>
          <w:sz w:val="28"/>
          <w:szCs w:val="28"/>
        </w:rPr>
      </w:pPr>
      <w:r>
        <w:rPr>
          <w:rFonts w:ascii="Times New Roman" w:hAnsi="Times New Roman" w:cs="Times New Roman"/>
          <w:b/>
          <w:bCs/>
          <w:sz w:val="28"/>
          <w:szCs w:val="28"/>
        </w:rPr>
        <w:t>B</w:t>
      </w:r>
      <w:r w:rsidRPr="00B97FAA">
        <w:rPr>
          <w:rFonts w:ascii="Times New Roman" w:hAnsi="Times New Roman" w:cs="Times New Roman"/>
          <w:b/>
          <w:bCs/>
          <w:sz w:val="28"/>
          <w:szCs w:val="28"/>
        </w:rPr>
        <w:t>:</w:t>
      </w:r>
      <w:r w:rsidRPr="00B97FAA">
        <w:rPr>
          <w:rFonts w:ascii="Times New Roman" w:hAnsi="Times New Roman" w:cs="Times New Roman"/>
          <w:b/>
          <w:sz w:val="28"/>
          <w:szCs w:val="28"/>
        </w:rPr>
        <w:t xml:space="preserve"> Zhodnotenie </w:t>
      </w:r>
      <w:r>
        <w:rPr>
          <w:rFonts w:ascii="Times New Roman" w:hAnsi="Times New Roman" w:cs="Times New Roman"/>
          <w:b/>
          <w:sz w:val="28"/>
          <w:szCs w:val="28"/>
        </w:rPr>
        <w:t xml:space="preserve">  </w:t>
      </w:r>
      <w:r w:rsidRPr="00B97FAA">
        <w:rPr>
          <w:rFonts w:ascii="Times New Roman" w:hAnsi="Times New Roman" w:cs="Times New Roman"/>
          <w:b/>
          <w:sz w:val="28"/>
          <w:szCs w:val="28"/>
        </w:rPr>
        <w:t xml:space="preserve">finančno </w:t>
      </w:r>
      <w:r>
        <w:rPr>
          <w:rFonts w:ascii="Times New Roman" w:hAnsi="Times New Roman" w:cs="Times New Roman"/>
          <w:b/>
          <w:sz w:val="28"/>
          <w:szCs w:val="28"/>
        </w:rPr>
        <w:t xml:space="preserve"> </w:t>
      </w:r>
      <w:r w:rsidRPr="00B97FAA">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B97FAA">
        <w:rPr>
          <w:rFonts w:ascii="Times New Roman" w:hAnsi="Times New Roman" w:cs="Times New Roman"/>
          <w:b/>
          <w:sz w:val="28"/>
          <w:szCs w:val="28"/>
        </w:rPr>
        <w:t xml:space="preserve">majetkovej </w:t>
      </w:r>
      <w:r>
        <w:rPr>
          <w:rFonts w:ascii="Times New Roman" w:hAnsi="Times New Roman" w:cs="Times New Roman"/>
          <w:b/>
          <w:sz w:val="28"/>
          <w:szCs w:val="28"/>
        </w:rPr>
        <w:t xml:space="preserve">  </w:t>
      </w:r>
      <w:r w:rsidRPr="00B97FAA">
        <w:rPr>
          <w:rFonts w:ascii="Times New Roman" w:hAnsi="Times New Roman" w:cs="Times New Roman"/>
          <w:b/>
          <w:sz w:val="28"/>
          <w:szCs w:val="28"/>
        </w:rPr>
        <w:t xml:space="preserve">pozície </w:t>
      </w:r>
      <w:r>
        <w:rPr>
          <w:rFonts w:ascii="Times New Roman" w:hAnsi="Times New Roman" w:cs="Times New Roman"/>
          <w:b/>
          <w:sz w:val="28"/>
          <w:szCs w:val="28"/>
        </w:rPr>
        <w:t xml:space="preserve">  </w:t>
      </w:r>
      <w:r w:rsidRPr="00B97FAA">
        <w:rPr>
          <w:rFonts w:ascii="Times New Roman" w:hAnsi="Times New Roman" w:cs="Times New Roman"/>
          <w:b/>
          <w:bCs/>
          <w:sz w:val="28"/>
          <w:szCs w:val="28"/>
        </w:rPr>
        <w:t>Železn</w:t>
      </w:r>
      <w:r>
        <w:rPr>
          <w:rFonts w:ascii="Times New Roman" w:hAnsi="Times New Roman" w:cs="Times New Roman"/>
          <w:b/>
          <w:bCs/>
          <w:sz w:val="28"/>
          <w:szCs w:val="28"/>
        </w:rPr>
        <w:t xml:space="preserve">ičnej   spoločnosti </w:t>
      </w:r>
    </w:p>
    <w:p w:rsidR="00EE1DEF" w:rsidRPr="00E0380B" w:rsidP="00C362EA">
      <w:pPr>
        <w:spacing w:line="240" w:lineRule="auto"/>
        <w:outlineLvl w:val="0"/>
        <w:rPr>
          <w:rFonts w:ascii="Times New Roman" w:hAnsi="Times New Roman" w:cs="Times New Roman"/>
          <w:b/>
          <w:bCs/>
          <w:sz w:val="28"/>
          <w:szCs w:val="28"/>
        </w:rPr>
      </w:pPr>
      <w:r w:rsidR="00E0380B">
        <w:rPr>
          <w:rFonts w:ascii="Times New Roman" w:hAnsi="Times New Roman" w:cs="Times New Roman"/>
          <w:b/>
          <w:bCs/>
          <w:sz w:val="28"/>
          <w:szCs w:val="28"/>
        </w:rPr>
        <w:t xml:space="preserve">     Slovensko,  a. s.  (ZSSK)</w:t>
      </w:r>
    </w:p>
    <w:p w:rsidR="00E0380B" w:rsidP="00C362EA">
      <w:pPr>
        <w:spacing w:line="240" w:lineRule="auto"/>
        <w:outlineLvl w:val="0"/>
        <w:rPr>
          <w:rFonts w:ascii="Times New Roman" w:hAnsi="Times New Roman" w:cs="Times New Roman"/>
          <w:b/>
          <w:bCs/>
          <w:sz w:val="28"/>
        </w:rPr>
      </w:pPr>
    </w:p>
    <w:p w:rsidR="00D12F83" w:rsidRPr="00B40A33" w:rsidP="00FD671F">
      <w:pPr>
        <w:pStyle w:val="BodyText2"/>
        <w:spacing w:line="240" w:lineRule="auto"/>
        <w:jc w:val="center"/>
        <w:rPr>
          <w:rFonts w:ascii="Times New Roman" w:hAnsi="Times New Roman" w:cs="Times New Roman"/>
          <w:b/>
          <w:bCs/>
          <w:iCs/>
          <w:szCs w:val="26"/>
          <w:u w:val="single"/>
        </w:rPr>
      </w:pPr>
      <w:r w:rsidRPr="00B40A33">
        <w:rPr>
          <w:rFonts w:ascii="Times New Roman" w:hAnsi="Times New Roman" w:cs="Times New Roman"/>
          <w:b/>
          <w:bCs/>
          <w:iCs/>
          <w:szCs w:val="26"/>
          <w:u w:val="single"/>
        </w:rPr>
        <w:t>Majetková a </w:t>
      </w:r>
      <w:r>
        <w:rPr>
          <w:rFonts w:ascii="Times New Roman" w:hAnsi="Times New Roman" w:cs="Times New Roman"/>
          <w:b/>
          <w:bCs/>
          <w:iCs/>
          <w:szCs w:val="26"/>
          <w:u w:val="single"/>
        </w:rPr>
        <w:t>kapitálová štruktúra Železničnej spoločnosti Slovensko, a.s.</w:t>
      </w:r>
    </w:p>
    <w:p w:rsidR="00D12F83" w:rsidP="00FD671F">
      <w:pPr>
        <w:pStyle w:val="BodyText2"/>
        <w:spacing w:line="240" w:lineRule="auto"/>
        <w:jc w:val="center"/>
        <w:rPr>
          <w:rFonts w:ascii="Times New Roman" w:hAnsi="Times New Roman" w:cs="Times New Roman"/>
          <w:sz w:val="24"/>
          <w:szCs w:val="24"/>
        </w:rPr>
      </w:pPr>
      <w:r w:rsidRPr="00B97FAA">
        <w:rPr>
          <w:rFonts w:ascii="Times New Roman" w:hAnsi="Times New Roman" w:cs="Times New Roman"/>
          <w:bCs/>
          <w:iCs/>
          <w:sz w:val="24"/>
          <w:szCs w:val="24"/>
        </w:rPr>
        <w:t xml:space="preserve">(spracovaná k </w:t>
      </w:r>
      <w:r w:rsidR="00F55498">
        <w:rPr>
          <w:rFonts w:ascii="Times New Roman" w:hAnsi="Times New Roman" w:cs="Times New Roman"/>
          <w:sz w:val="24"/>
          <w:szCs w:val="24"/>
        </w:rPr>
        <w:t>31.12.2007</w:t>
      </w:r>
      <w:r>
        <w:rPr>
          <w:rFonts w:ascii="Times New Roman" w:hAnsi="Times New Roman" w:cs="Times New Roman"/>
          <w:sz w:val="24"/>
          <w:szCs w:val="24"/>
        </w:rPr>
        <w:t xml:space="preserve"> </w:t>
      </w:r>
      <w:r w:rsidRPr="00B97FAA">
        <w:rPr>
          <w:rFonts w:ascii="Times New Roman" w:hAnsi="Times New Roman" w:cs="Times New Roman"/>
          <w:sz w:val="24"/>
          <w:szCs w:val="24"/>
        </w:rPr>
        <w:t xml:space="preserve">z  predbežných </w:t>
      </w:r>
      <w:r w:rsidR="00F55498">
        <w:rPr>
          <w:rFonts w:ascii="Times New Roman" w:hAnsi="Times New Roman" w:cs="Times New Roman"/>
          <w:sz w:val="24"/>
          <w:szCs w:val="24"/>
        </w:rPr>
        <w:t xml:space="preserve">a neauditovaných </w:t>
      </w:r>
      <w:r w:rsidRPr="00B97FAA">
        <w:rPr>
          <w:rFonts w:ascii="Times New Roman" w:hAnsi="Times New Roman" w:cs="Times New Roman"/>
          <w:sz w:val="24"/>
          <w:szCs w:val="24"/>
        </w:rPr>
        <w:t>výsledkov)</w:t>
      </w:r>
    </w:p>
    <w:p w:rsidR="002935C7" w:rsidP="004E5ADA">
      <w:pPr>
        <w:pStyle w:val="BodyText2"/>
        <w:numPr>
          <w:ilvl w:val="0"/>
        </w:numPr>
        <w:spacing w:line="240" w:lineRule="auto"/>
        <w:ind w:firstLine="0"/>
        <w:rPr>
          <w:rFonts w:ascii="Times New Roman" w:hAnsi="Times New Roman" w:cs="Times New Roman"/>
          <w:sz w:val="24"/>
          <w:szCs w:val="24"/>
        </w:rPr>
      </w:pPr>
    </w:p>
    <w:p w:rsidR="00F55498" w:rsidRPr="00F55498" w:rsidP="004E5ADA">
      <w:pPr>
        <w:spacing w:line="240" w:lineRule="auto"/>
        <w:rPr>
          <w:rFonts w:ascii="Arial Narrow" w:hAnsi="Arial Narrow" w:cs="Times New Roman"/>
          <w:sz w:val="22"/>
          <w:szCs w:val="22"/>
        </w:rPr>
      </w:pPr>
      <w:r w:rsidR="00581B9F">
        <w:rPr>
          <w:rFonts w:ascii="Arial Narrow" w:hAnsi="Arial Narrow" w:cs="Times New Roman"/>
          <w:sz w:val="22"/>
          <w:szCs w:val="22"/>
        </w:rPr>
        <w:t xml:space="preserve">                                                                                                                                                              (v tis. Sk) </w:t>
      </w:r>
    </w:p>
    <w:tbl>
      <w:tblPr>
        <w:tblW w:w="8175" w:type="dxa"/>
        <w:jc w:val="center"/>
        <w:tblLayout w:type="fixed"/>
        <w:tblCellMar>
          <w:top w:w="0" w:type="dxa"/>
          <w:left w:w="30" w:type="dxa"/>
          <w:bottom w:w="0" w:type="dxa"/>
          <w:right w:w="30" w:type="dxa"/>
        </w:tblCellMar>
      </w:tblPr>
      <w:tblGrid>
        <w:gridCol w:w="2725"/>
        <w:gridCol w:w="2725"/>
        <w:gridCol w:w="2725"/>
      </w:tblGrid>
      <w:tr>
        <w:tblPrEx>
          <w:tblW w:w="8175" w:type="dxa"/>
          <w:jc w:val="center"/>
          <w:tblLayout w:type="fixed"/>
          <w:tblCellMar>
            <w:top w:w="0" w:type="dxa"/>
            <w:left w:w="30" w:type="dxa"/>
            <w:bottom w:w="0" w:type="dxa"/>
            <w:right w:w="30" w:type="dxa"/>
          </w:tblCellMar>
        </w:tblPrEx>
        <w:trPr>
          <w:trHeight w:hRule="exact" w:val="284"/>
          <w:jc w:val="center"/>
        </w:trPr>
        <w:tc>
          <w:tcPr>
            <w:tcW w:w="4139" w:type="dxa"/>
            <w:tcBorders>
              <w:top w:val="single" w:sz="4" w:space="0" w:color="auto"/>
              <w:left w:val="single" w:sz="4" w:space="0" w:color="auto"/>
              <w:bottom w:val="single" w:sz="4" w:space="0" w:color="auto"/>
              <w:right w:val="single" w:sz="4" w:space="0" w:color="auto"/>
              <w:tl2br w:val="nil"/>
              <w:tr2bl w:val="nil"/>
            </w:tcBorders>
            <w:shd w:val="clear" w:color="auto" w:fill="808080"/>
            <w:textDirection w:val="lrTb"/>
            <w:vAlign w:val="center"/>
          </w:tcPr>
          <w:p w:rsidR="00767FDC" w:rsidRPr="00F55498" w:rsidP="004E5ADA">
            <w:pPr>
              <w:spacing w:line="240" w:lineRule="auto"/>
              <w:jc w:val="center"/>
              <w:rPr>
                <w:rFonts w:ascii="Arial Narrow" w:hAnsi="Arial Narrow" w:cs="Arial"/>
                <w:i/>
                <w:iCs/>
                <w:sz w:val="22"/>
                <w:szCs w:val="22"/>
              </w:rPr>
            </w:pPr>
          </w:p>
        </w:tc>
        <w:tc>
          <w:tcPr>
            <w:tcW w:w="4139" w:type="dxa"/>
            <w:tcBorders>
              <w:top w:val="single" w:sz="4" w:space="0" w:color="auto"/>
              <w:left w:val="single" w:sz="4" w:space="0" w:color="auto"/>
              <w:bottom w:val="single" w:sz="4" w:space="0" w:color="auto"/>
              <w:right w:val="single" w:sz="4" w:space="0" w:color="auto"/>
              <w:tl2br w:val="nil"/>
              <w:tr2bl w:val="nil"/>
            </w:tcBorders>
            <w:shd w:val="clear" w:color="auto" w:fill="808080"/>
            <w:textDirection w:val="lrTb"/>
            <w:vAlign w:val="center"/>
          </w:tcPr>
          <w:p w:rsidR="00767FDC" w:rsidRPr="004E5ADA" w:rsidP="004E5ADA">
            <w:pPr>
              <w:spacing w:line="240" w:lineRule="auto"/>
              <w:jc w:val="center"/>
              <w:rPr>
                <w:rFonts w:ascii="Arial Narrow" w:hAnsi="Arial Narrow" w:cs="Arial"/>
                <w:b/>
                <w:bCs/>
                <w:color w:val="FFFFFF"/>
                <w:sz w:val="22"/>
                <w:szCs w:val="22"/>
              </w:rPr>
            </w:pPr>
            <w:r w:rsidRPr="004E5ADA">
              <w:rPr>
                <w:rFonts w:ascii="Arial Narrow" w:hAnsi="Arial Narrow" w:cs="Arial"/>
                <w:b/>
                <w:bCs/>
                <w:color w:val="FFFFFF"/>
                <w:sz w:val="22"/>
                <w:szCs w:val="22"/>
              </w:rPr>
              <w:t>31.12.2006</w:t>
            </w:r>
          </w:p>
        </w:tc>
        <w:tc>
          <w:tcPr>
            <w:tcW w:w="4139" w:type="dxa"/>
            <w:tcBorders>
              <w:top w:val="single" w:sz="4" w:space="0" w:color="auto"/>
              <w:left w:val="single" w:sz="4" w:space="0" w:color="auto"/>
              <w:bottom w:val="single" w:sz="4" w:space="0" w:color="auto"/>
              <w:right w:val="single" w:sz="4" w:space="0" w:color="auto"/>
              <w:tl2br w:val="nil"/>
              <w:tr2bl w:val="nil"/>
            </w:tcBorders>
            <w:shd w:val="clear" w:color="auto" w:fill="808080"/>
            <w:textDirection w:val="lrTb"/>
            <w:vAlign w:val="center"/>
          </w:tcPr>
          <w:p w:rsidR="00767FDC" w:rsidRPr="004E5ADA" w:rsidP="004E5ADA">
            <w:pPr>
              <w:spacing w:line="240" w:lineRule="auto"/>
              <w:jc w:val="center"/>
              <w:rPr>
                <w:rFonts w:ascii="Arial Narrow" w:hAnsi="Arial Narrow" w:cs="Arial"/>
                <w:b/>
                <w:bCs/>
                <w:color w:val="FFFFFF"/>
                <w:sz w:val="22"/>
                <w:szCs w:val="22"/>
              </w:rPr>
            </w:pPr>
            <w:r w:rsidRPr="004E5ADA">
              <w:rPr>
                <w:rFonts w:ascii="Arial Narrow" w:hAnsi="Arial Narrow" w:cs="Arial"/>
                <w:b/>
                <w:bCs/>
                <w:color w:val="FFFFFF"/>
                <w:sz w:val="22"/>
                <w:szCs w:val="22"/>
              </w:rPr>
              <w:t>31.12.2007</w:t>
            </w:r>
          </w:p>
        </w:tc>
      </w:tr>
      <w:tr>
        <w:tblPrEx>
          <w:tblW w:w="8175" w:type="dxa"/>
          <w:jc w:val="center"/>
          <w:tblLayout w:type="fixed"/>
          <w:tblCellMar>
            <w:top w:w="0" w:type="dxa"/>
            <w:left w:w="30" w:type="dxa"/>
            <w:bottom w:w="0" w:type="dxa"/>
            <w:right w:w="30" w:type="dxa"/>
          </w:tblCellMar>
        </w:tblPrEx>
        <w:trPr>
          <w:trHeight w:hRule="exact" w:val="284"/>
          <w:jc w:val="center"/>
        </w:trPr>
        <w:tc>
          <w:tcPr>
            <w:tcW w:w="4139" w:type="dxa"/>
            <w:tcBorders>
              <w:top w:val="single" w:sz="4" w:space="0" w:color="auto"/>
              <w:left w:val="single" w:sz="4" w:space="0" w:color="auto"/>
              <w:bottom w:val="single" w:sz="4" w:space="0" w:color="auto"/>
              <w:right w:val="single" w:sz="4" w:space="0" w:color="auto"/>
              <w:tl2br w:val="nil"/>
              <w:tr2bl w:val="nil"/>
            </w:tcBorders>
            <w:shd w:val="clear" w:color="auto" w:fill="C0C0C0"/>
            <w:textDirection w:val="lrTb"/>
            <w:vAlign w:val="center"/>
          </w:tcPr>
          <w:p w:rsidR="00767FDC" w:rsidRPr="00AE473C" w:rsidP="004E5ADA">
            <w:pPr>
              <w:spacing w:line="240" w:lineRule="auto"/>
              <w:rPr>
                <w:rFonts w:ascii="Arial Narrow" w:hAnsi="Arial Narrow" w:cs="Arial"/>
                <w:b/>
                <w:bCs/>
                <w:sz w:val="24"/>
                <w:szCs w:val="24"/>
              </w:rPr>
            </w:pPr>
            <w:r w:rsidR="004E5ADA">
              <w:rPr>
                <w:rFonts w:ascii="Arial Narrow" w:hAnsi="Arial Narrow" w:cs="Arial"/>
                <w:b/>
                <w:bCs/>
                <w:sz w:val="28"/>
                <w:szCs w:val="28"/>
              </w:rPr>
              <w:t xml:space="preserve"> </w:t>
            </w:r>
            <w:r w:rsidRPr="00AE473C">
              <w:rPr>
                <w:rFonts w:ascii="Arial Narrow" w:hAnsi="Arial Narrow" w:cs="Arial"/>
                <w:b/>
                <w:bCs/>
                <w:sz w:val="24"/>
                <w:szCs w:val="24"/>
              </w:rPr>
              <w:t>Aktíva</w:t>
            </w:r>
          </w:p>
        </w:tc>
        <w:tc>
          <w:tcPr>
            <w:tcW w:w="4139" w:type="dxa"/>
            <w:tcBorders>
              <w:top w:val="single" w:sz="4" w:space="0" w:color="auto"/>
              <w:left w:val="single" w:sz="4" w:space="0" w:color="auto"/>
              <w:bottom w:val="single" w:sz="4" w:space="0" w:color="auto"/>
              <w:right w:val="single" w:sz="4" w:space="0" w:color="auto"/>
              <w:tl2br w:val="nil"/>
              <w:tr2bl w:val="nil"/>
            </w:tcBorders>
            <w:shd w:val="clear" w:color="auto" w:fill="C0C0C0"/>
            <w:textDirection w:val="lrTb"/>
            <w:vAlign w:val="center"/>
          </w:tcPr>
          <w:p w:rsidR="00767FDC" w:rsidRPr="00F55498" w:rsidP="004E5ADA">
            <w:pPr>
              <w:suppressAutoHyphens/>
              <w:autoSpaceDE/>
              <w:spacing w:line="240" w:lineRule="auto"/>
              <w:jc w:val="right"/>
              <w:rPr>
                <w:rFonts w:ascii="Arial Narrow" w:hAnsi="Arial Narrow" w:cs="Arial"/>
                <w:b/>
                <w:bCs/>
                <w:sz w:val="22"/>
                <w:szCs w:val="22"/>
                <w:lang w:eastAsia="ar-SA"/>
              </w:rPr>
            </w:pPr>
            <w:r w:rsidRPr="00F55498">
              <w:rPr>
                <w:rFonts w:ascii="Arial Narrow" w:hAnsi="Arial Narrow" w:cs="Arial"/>
                <w:b/>
                <w:bCs/>
                <w:sz w:val="22"/>
                <w:szCs w:val="22"/>
                <w:lang w:eastAsia="ar-SA"/>
              </w:rPr>
              <w:t>14 047 359</w:t>
            </w:r>
          </w:p>
        </w:tc>
        <w:tc>
          <w:tcPr>
            <w:tcW w:w="4139" w:type="dxa"/>
            <w:tcBorders>
              <w:top w:val="single" w:sz="4" w:space="0" w:color="auto"/>
              <w:left w:val="single" w:sz="4" w:space="0" w:color="auto"/>
              <w:bottom w:val="single" w:sz="4" w:space="0" w:color="auto"/>
              <w:right w:val="single" w:sz="4" w:space="0" w:color="auto"/>
              <w:tl2br w:val="nil"/>
              <w:tr2bl w:val="nil"/>
            </w:tcBorders>
            <w:shd w:val="clear" w:color="auto" w:fill="C0C0C0"/>
            <w:textDirection w:val="lrTb"/>
            <w:vAlign w:val="center"/>
          </w:tcPr>
          <w:p w:rsidR="00767FDC" w:rsidRPr="00F55498" w:rsidP="004E5ADA">
            <w:pPr>
              <w:spacing w:line="240" w:lineRule="auto"/>
              <w:jc w:val="right"/>
              <w:rPr>
                <w:rFonts w:ascii="Arial Narrow" w:hAnsi="Arial Narrow" w:cs="Arial"/>
                <w:b/>
                <w:bCs/>
                <w:sz w:val="22"/>
                <w:szCs w:val="22"/>
              </w:rPr>
            </w:pPr>
            <w:r>
              <w:rPr>
                <w:rFonts w:ascii="Arial Narrow" w:hAnsi="Arial Narrow" w:cs="Arial"/>
                <w:b/>
                <w:bCs/>
                <w:sz w:val="22"/>
                <w:szCs w:val="22"/>
              </w:rPr>
              <w:t>14 438 584</w:t>
            </w:r>
          </w:p>
        </w:tc>
      </w:tr>
      <w:tr>
        <w:tblPrEx>
          <w:tblW w:w="8175" w:type="dxa"/>
          <w:jc w:val="center"/>
          <w:tblLayout w:type="fixed"/>
          <w:tblCellMar>
            <w:top w:w="0" w:type="dxa"/>
            <w:left w:w="30" w:type="dxa"/>
            <w:bottom w:w="0" w:type="dxa"/>
            <w:right w:w="30" w:type="dxa"/>
          </w:tblCellMar>
        </w:tblPrEx>
        <w:trPr>
          <w:trHeight w:hRule="exact" w:val="284"/>
          <w:jc w:val="center"/>
        </w:trPr>
        <w:tc>
          <w:tcPr>
            <w:tcW w:w="4139"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767FDC" w:rsidRPr="00F55498" w:rsidP="004E5ADA">
            <w:pPr>
              <w:spacing w:line="240" w:lineRule="auto"/>
              <w:ind w:left="57"/>
              <w:rPr>
                <w:rFonts w:ascii="Arial Narrow" w:hAnsi="Arial Narrow" w:cs="Arial"/>
                <w:b/>
                <w:bCs/>
                <w:sz w:val="22"/>
                <w:szCs w:val="22"/>
              </w:rPr>
            </w:pPr>
            <w:r w:rsidRPr="00F55498">
              <w:rPr>
                <w:rFonts w:ascii="Arial Narrow" w:hAnsi="Arial Narrow" w:cs="Arial"/>
                <w:b/>
                <w:bCs/>
                <w:sz w:val="22"/>
                <w:szCs w:val="22"/>
              </w:rPr>
              <w:t>Neobežný majetok</w:t>
            </w:r>
          </w:p>
        </w:tc>
        <w:tc>
          <w:tcPr>
            <w:tcW w:w="4139"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767FDC" w:rsidRPr="00F55498" w:rsidP="004E5ADA">
            <w:pPr>
              <w:suppressAutoHyphens/>
              <w:autoSpaceDE/>
              <w:spacing w:line="240" w:lineRule="auto"/>
              <w:jc w:val="right"/>
              <w:rPr>
                <w:rFonts w:ascii="Arial Narrow" w:hAnsi="Arial Narrow" w:cs="Arial"/>
                <w:b/>
                <w:bCs/>
                <w:sz w:val="22"/>
                <w:szCs w:val="22"/>
                <w:lang w:eastAsia="ar-SA"/>
              </w:rPr>
            </w:pPr>
            <w:r w:rsidRPr="00F55498">
              <w:rPr>
                <w:rFonts w:ascii="Arial Narrow" w:hAnsi="Arial Narrow" w:cs="Arial"/>
                <w:b/>
                <w:bCs/>
                <w:sz w:val="22"/>
                <w:szCs w:val="22"/>
                <w:lang w:eastAsia="ar-SA"/>
              </w:rPr>
              <w:t>12 543 285</w:t>
            </w:r>
          </w:p>
        </w:tc>
        <w:tc>
          <w:tcPr>
            <w:tcW w:w="4139"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767FDC" w:rsidRPr="00F55498" w:rsidP="004E5ADA">
            <w:pPr>
              <w:spacing w:line="240" w:lineRule="auto"/>
              <w:jc w:val="right"/>
              <w:rPr>
                <w:rFonts w:ascii="Arial Narrow" w:hAnsi="Arial Narrow" w:cs="Arial"/>
                <w:b/>
                <w:bCs/>
                <w:sz w:val="22"/>
                <w:szCs w:val="22"/>
              </w:rPr>
            </w:pPr>
            <w:r w:rsidRPr="00F55498">
              <w:rPr>
                <w:rFonts w:ascii="Arial Narrow" w:hAnsi="Arial Narrow" w:cs="Arial"/>
                <w:b/>
                <w:bCs/>
                <w:sz w:val="22"/>
                <w:szCs w:val="22"/>
              </w:rPr>
              <w:t>13 019 336</w:t>
            </w:r>
          </w:p>
        </w:tc>
      </w:tr>
      <w:tr>
        <w:tblPrEx>
          <w:tblW w:w="8175" w:type="dxa"/>
          <w:jc w:val="center"/>
          <w:tblLayout w:type="fixed"/>
          <w:tblCellMar>
            <w:top w:w="0" w:type="dxa"/>
            <w:left w:w="30" w:type="dxa"/>
            <w:bottom w:w="0" w:type="dxa"/>
            <w:right w:w="30" w:type="dxa"/>
          </w:tblCellMar>
        </w:tblPrEx>
        <w:trPr>
          <w:trHeight w:hRule="exact" w:val="284"/>
          <w:jc w:val="center"/>
        </w:trPr>
        <w:tc>
          <w:tcPr>
            <w:tcW w:w="4139" w:type="dxa"/>
            <w:tcBorders>
              <w:top w:val="single" w:sz="4" w:space="0" w:color="auto"/>
              <w:left w:val="single" w:sz="4" w:space="0" w:color="auto"/>
              <w:bottom w:val="single" w:sz="6" w:space="0" w:color="auto"/>
              <w:right w:val="single" w:sz="4" w:space="0" w:color="auto"/>
              <w:tl2br w:val="nil"/>
              <w:tr2bl w:val="nil"/>
            </w:tcBorders>
            <w:textDirection w:val="lrTb"/>
            <w:vAlign w:val="center"/>
          </w:tcPr>
          <w:p w:rsidR="00767FDC" w:rsidRPr="00F55498" w:rsidP="004E5ADA">
            <w:pPr>
              <w:spacing w:line="240" w:lineRule="auto"/>
              <w:ind w:left="57"/>
              <w:jc w:val="left"/>
              <w:rPr>
                <w:rFonts w:ascii="Arial Narrow" w:hAnsi="Arial Narrow" w:cs="Arial"/>
                <w:sz w:val="22"/>
                <w:szCs w:val="22"/>
              </w:rPr>
            </w:pPr>
            <w:r w:rsidRPr="00F55498">
              <w:rPr>
                <w:rFonts w:ascii="Arial Narrow" w:hAnsi="Arial Narrow" w:cs="Arial"/>
                <w:sz w:val="22"/>
                <w:szCs w:val="22"/>
              </w:rPr>
              <w:t>Dlhodobý nehmotný majetok</w:t>
            </w:r>
          </w:p>
        </w:tc>
        <w:tc>
          <w:tcPr>
            <w:tcW w:w="4139" w:type="dxa"/>
            <w:tcBorders>
              <w:top w:val="single" w:sz="4" w:space="0" w:color="auto"/>
              <w:left w:val="single" w:sz="4" w:space="0" w:color="auto"/>
              <w:bottom w:val="single" w:sz="6" w:space="0" w:color="auto"/>
              <w:right w:val="single" w:sz="4" w:space="0" w:color="auto"/>
              <w:tl2br w:val="nil"/>
              <w:tr2bl w:val="nil"/>
            </w:tcBorders>
            <w:textDirection w:val="lrTb"/>
            <w:vAlign w:val="center"/>
          </w:tcPr>
          <w:p w:rsidR="00767FDC" w:rsidRPr="00F55498" w:rsidP="004E5ADA">
            <w:pPr>
              <w:suppressAutoHyphens/>
              <w:autoSpaceDE/>
              <w:spacing w:line="240" w:lineRule="auto"/>
              <w:jc w:val="right"/>
              <w:rPr>
                <w:rFonts w:ascii="Arial Narrow" w:hAnsi="Arial Narrow" w:cs="Arial"/>
                <w:sz w:val="22"/>
                <w:szCs w:val="22"/>
                <w:lang w:eastAsia="ar-SA"/>
              </w:rPr>
            </w:pPr>
            <w:r w:rsidRPr="00F55498">
              <w:rPr>
                <w:rFonts w:ascii="Arial Narrow" w:hAnsi="Arial Narrow" w:cs="Arial"/>
                <w:sz w:val="22"/>
                <w:szCs w:val="22"/>
                <w:lang w:eastAsia="ar-SA"/>
              </w:rPr>
              <w:t>233 497</w:t>
            </w:r>
          </w:p>
        </w:tc>
        <w:tc>
          <w:tcPr>
            <w:tcW w:w="4139" w:type="dxa"/>
            <w:tcBorders>
              <w:top w:val="single" w:sz="4" w:space="0" w:color="auto"/>
              <w:left w:val="single" w:sz="4" w:space="0" w:color="auto"/>
              <w:bottom w:val="single" w:sz="6" w:space="0" w:color="auto"/>
              <w:right w:val="single" w:sz="4" w:space="0" w:color="auto"/>
              <w:tl2br w:val="nil"/>
              <w:tr2bl w:val="nil"/>
            </w:tcBorders>
            <w:textDirection w:val="lrTb"/>
            <w:vAlign w:val="center"/>
          </w:tcPr>
          <w:p w:rsidR="00767FDC" w:rsidRPr="00F55498" w:rsidP="004E5ADA">
            <w:pPr>
              <w:spacing w:line="240" w:lineRule="auto"/>
              <w:jc w:val="right"/>
              <w:rPr>
                <w:rFonts w:ascii="Arial Narrow" w:hAnsi="Arial Narrow" w:cs="Arial"/>
                <w:sz w:val="22"/>
                <w:szCs w:val="22"/>
              </w:rPr>
            </w:pPr>
            <w:r w:rsidRPr="00F55498">
              <w:rPr>
                <w:rFonts w:ascii="Arial Narrow" w:hAnsi="Arial Narrow" w:cs="Arial"/>
                <w:sz w:val="22"/>
                <w:szCs w:val="22"/>
              </w:rPr>
              <w:t xml:space="preserve">232 150 </w:t>
            </w:r>
          </w:p>
        </w:tc>
      </w:tr>
      <w:tr>
        <w:tblPrEx>
          <w:tblW w:w="8175" w:type="dxa"/>
          <w:jc w:val="center"/>
          <w:tblLayout w:type="fixed"/>
          <w:tblCellMar>
            <w:top w:w="0" w:type="dxa"/>
            <w:left w:w="30" w:type="dxa"/>
            <w:bottom w:w="0" w:type="dxa"/>
            <w:right w:w="30" w:type="dxa"/>
          </w:tblCellMar>
        </w:tblPrEx>
        <w:trPr>
          <w:trHeight w:hRule="exact" w:val="284"/>
          <w:jc w:val="center"/>
        </w:trPr>
        <w:tc>
          <w:tcPr>
            <w:tcW w:w="4139" w:type="dxa"/>
            <w:tcBorders>
              <w:top w:val="single" w:sz="6" w:space="0" w:color="auto"/>
              <w:left w:val="single" w:sz="4" w:space="0" w:color="auto"/>
              <w:bottom w:val="single" w:sz="6" w:space="0" w:color="auto"/>
              <w:right w:val="single" w:sz="4" w:space="0" w:color="auto"/>
              <w:tl2br w:val="nil"/>
              <w:tr2bl w:val="nil"/>
            </w:tcBorders>
            <w:textDirection w:val="lrTb"/>
            <w:vAlign w:val="center"/>
          </w:tcPr>
          <w:p w:rsidR="00767FDC" w:rsidRPr="00F55498" w:rsidP="004E5ADA">
            <w:pPr>
              <w:spacing w:line="240" w:lineRule="auto"/>
              <w:ind w:left="57"/>
              <w:jc w:val="left"/>
              <w:rPr>
                <w:rFonts w:ascii="Arial Narrow" w:hAnsi="Arial Narrow" w:cs="Arial"/>
                <w:sz w:val="22"/>
                <w:szCs w:val="22"/>
              </w:rPr>
            </w:pPr>
            <w:r w:rsidRPr="00F55498">
              <w:rPr>
                <w:rFonts w:ascii="Arial Narrow" w:hAnsi="Arial Narrow" w:cs="Arial"/>
                <w:sz w:val="22"/>
                <w:szCs w:val="22"/>
              </w:rPr>
              <w:t>Dlhodobý hmotný majetok</w:t>
            </w:r>
          </w:p>
        </w:tc>
        <w:tc>
          <w:tcPr>
            <w:tcW w:w="4139" w:type="dxa"/>
            <w:tcBorders>
              <w:top w:val="single" w:sz="6" w:space="0" w:color="auto"/>
              <w:left w:val="single" w:sz="4" w:space="0" w:color="auto"/>
              <w:bottom w:val="single" w:sz="6" w:space="0" w:color="auto"/>
              <w:right w:val="single" w:sz="4" w:space="0" w:color="auto"/>
              <w:tl2br w:val="nil"/>
              <w:tr2bl w:val="nil"/>
            </w:tcBorders>
            <w:textDirection w:val="lrTb"/>
            <w:vAlign w:val="center"/>
          </w:tcPr>
          <w:p w:rsidR="00767FDC" w:rsidRPr="00F55498" w:rsidP="004E5ADA">
            <w:pPr>
              <w:suppressAutoHyphens/>
              <w:autoSpaceDE/>
              <w:spacing w:line="240" w:lineRule="auto"/>
              <w:jc w:val="right"/>
              <w:rPr>
                <w:rFonts w:ascii="Arial Narrow" w:hAnsi="Arial Narrow" w:cs="Arial"/>
                <w:sz w:val="22"/>
                <w:szCs w:val="22"/>
                <w:lang w:eastAsia="ar-SA"/>
              </w:rPr>
            </w:pPr>
            <w:r w:rsidRPr="00F55498">
              <w:rPr>
                <w:rFonts w:ascii="Arial Narrow" w:hAnsi="Arial Narrow" w:cs="Arial"/>
                <w:sz w:val="22"/>
                <w:szCs w:val="22"/>
                <w:lang w:eastAsia="ar-SA"/>
              </w:rPr>
              <w:t>12 178 496</w:t>
            </w:r>
          </w:p>
        </w:tc>
        <w:tc>
          <w:tcPr>
            <w:tcW w:w="4139" w:type="dxa"/>
            <w:tcBorders>
              <w:top w:val="single" w:sz="6" w:space="0" w:color="auto"/>
              <w:left w:val="single" w:sz="4" w:space="0" w:color="auto"/>
              <w:bottom w:val="single" w:sz="6" w:space="0" w:color="auto"/>
              <w:right w:val="single" w:sz="4" w:space="0" w:color="auto"/>
              <w:tl2br w:val="nil"/>
              <w:tr2bl w:val="nil"/>
            </w:tcBorders>
            <w:textDirection w:val="lrTb"/>
            <w:vAlign w:val="center"/>
          </w:tcPr>
          <w:p w:rsidR="00767FDC" w:rsidRPr="00F55498" w:rsidP="004E5ADA">
            <w:pPr>
              <w:spacing w:line="240" w:lineRule="auto"/>
              <w:jc w:val="right"/>
              <w:rPr>
                <w:rFonts w:ascii="Arial Narrow" w:hAnsi="Arial Narrow" w:cs="Arial"/>
                <w:sz w:val="22"/>
                <w:szCs w:val="22"/>
              </w:rPr>
            </w:pPr>
            <w:r w:rsidRPr="00F55498">
              <w:rPr>
                <w:rFonts w:ascii="Arial Narrow" w:hAnsi="Arial Narrow" w:cs="Arial"/>
                <w:sz w:val="22"/>
                <w:szCs w:val="22"/>
              </w:rPr>
              <w:t>12 663 855</w:t>
            </w:r>
          </w:p>
        </w:tc>
      </w:tr>
      <w:tr>
        <w:tblPrEx>
          <w:tblW w:w="8175" w:type="dxa"/>
          <w:jc w:val="center"/>
          <w:tblLayout w:type="fixed"/>
          <w:tblCellMar>
            <w:top w:w="0" w:type="dxa"/>
            <w:left w:w="30" w:type="dxa"/>
            <w:bottom w:w="0" w:type="dxa"/>
            <w:right w:w="30" w:type="dxa"/>
          </w:tblCellMar>
        </w:tblPrEx>
        <w:trPr>
          <w:trHeight w:hRule="exact" w:val="284"/>
          <w:jc w:val="center"/>
        </w:trPr>
        <w:tc>
          <w:tcPr>
            <w:tcW w:w="4139" w:type="dxa"/>
            <w:tcBorders>
              <w:top w:val="single" w:sz="6" w:space="0" w:color="auto"/>
              <w:left w:val="single" w:sz="4" w:space="0" w:color="auto"/>
              <w:bottom w:val="single" w:sz="4" w:space="0" w:color="auto"/>
              <w:right w:val="single" w:sz="4" w:space="0" w:color="auto"/>
              <w:tl2br w:val="nil"/>
              <w:tr2bl w:val="nil"/>
            </w:tcBorders>
            <w:textDirection w:val="lrTb"/>
            <w:vAlign w:val="center"/>
          </w:tcPr>
          <w:p w:rsidR="00767FDC" w:rsidRPr="00F55498" w:rsidP="004E5ADA">
            <w:pPr>
              <w:spacing w:line="240" w:lineRule="auto"/>
              <w:ind w:left="57"/>
              <w:jc w:val="left"/>
              <w:rPr>
                <w:rFonts w:ascii="Arial Narrow" w:hAnsi="Arial Narrow" w:cs="Arial"/>
                <w:sz w:val="22"/>
                <w:szCs w:val="22"/>
              </w:rPr>
            </w:pPr>
            <w:r>
              <w:rPr>
                <w:rFonts w:ascii="Arial Narrow" w:hAnsi="Arial Narrow" w:cs="Arial"/>
                <w:sz w:val="22"/>
                <w:szCs w:val="22"/>
              </w:rPr>
              <w:t xml:space="preserve">Dlhodobý finančný </w:t>
            </w:r>
            <w:r w:rsidRPr="00F55498">
              <w:rPr>
                <w:rFonts w:ascii="Arial Narrow" w:hAnsi="Arial Narrow" w:cs="Arial"/>
                <w:sz w:val="22"/>
                <w:szCs w:val="22"/>
              </w:rPr>
              <w:t>majetok</w:t>
            </w:r>
          </w:p>
        </w:tc>
        <w:tc>
          <w:tcPr>
            <w:tcW w:w="4139" w:type="dxa"/>
            <w:tcBorders>
              <w:top w:val="single" w:sz="6" w:space="0" w:color="auto"/>
              <w:left w:val="single" w:sz="4" w:space="0" w:color="auto"/>
              <w:bottom w:val="single" w:sz="4" w:space="0" w:color="auto"/>
              <w:right w:val="single" w:sz="4" w:space="0" w:color="auto"/>
              <w:tl2br w:val="nil"/>
              <w:tr2bl w:val="nil"/>
            </w:tcBorders>
            <w:textDirection w:val="lrTb"/>
            <w:vAlign w:val="center"/>
          </w:tcPr>
          <w:p w:rsidR="00767FDC" w:rsidRPr="00F55498" w:rsidP="004E5ADA">
            <w:pPr>
              <w:suppressAutoHyphens/>
              <w:autoSpaceDE/>
              <w:spacing w:line="240" w:lineRule="auto"/>
              <w:jc w:val="right"/>
              <w:rPr>
                <w:rFonts w:ascii="Arial Narrow" w:hAnsi="Arial Narrow" w:cs="Arial"/>
                <w:sz w:val="22"/>
                <w:szCs w:val="22"/>
                <w:lang w:eastAsia="ar-SA"/>
              </w:rPr>
            </w:pPr>
            <w:r w:rsidRPr="00F55498">
              <w:rPr>
                <w:rFonts w:ascii="Arial Narrow" w:hAnsi="Arial Narrow" w:cs="Arial"/>
                <w:sz w:val="22"/>
                <w:szCs w:val="22"/>
                <w:lang w:eastAsia="ar-SA"/>
              </w:rPr>
              <w:t>131 292</w:t>
            </w:r>
          </w:p>
        </w:tc>
        <w:tc>
          <w:tcPr>
            <w:tcW w:w="4139" w:type="dxa"/>
            <w:tcBorders>
              <w:top w:val="single" w:sz="6" w:space="0" w:color="auto"/>
              <w:left w:val="single" w:sz="4" w:space="0" w:color="auto"/>
              <w:bottom w:val="single" w:sz="4" w:space="0" w:color="auto"/>
              <w:right w:val="single" w:sz="4" w:space="0" w:color="auto"/>
              <w:tl2br w:val="nil"/>
              <w:tr2bl w:val="nil"/>
            </w:tcBorders>
            <w:textDirection w:val="lrTb"/>
            <w:vAlign w:val="center"/>
          </w:tcPr>
          <w:p w:rsidR="00767FDC" w:rsidRPr="00F55498" w:rsidP="004E5ADA">
            <w:pPr>
              <w:spacing w:line="240" w:lineRule="auto"/>
              <w:jc w:val="right"/>
              <w:rPr>
                <w:rFonts w:ascii="Arial Narrow" w:hAnsi="Arial Narrow" w:cs="Arial"/>
                <w:sz w:val="22"/>
                <w:szCs w:val="22"/>
              </w:rPr>
            </w:pPr>
            <w:r w:rsidRPr="00F55498">
              <w:rPr>
                <w:rFonts w:ascii="Arial Narrow" w:hAnsi="Arial Narrow" w:cs="Arial"/>
                <w:sz w:val="22"/>
                <w:szCs w:val="22"/>
              </w:rPr>
              <w:t>123 331</w:t>
            </w:r>
          </w:p>
        </w:tc>
      </w:tr>
      <w:tr>
        <w:tblPrEx>
          <w:tblW w:w="8175" w:type="dxa"/>
          <w:jc w:val="center"/>
          <w:tblLayout w:type="fixed"/>
          <w:tblCellMar>
            <w:top w:w="0" w:type="dxa"/>
            <w:left w:w="30" w:type="dxa"/>
            <w:bottom w:w="0" w:type="dxa"/>
            <w:right w:w="30" w:type="dxa"/>
          </w:tblCellMar>
        </w:tblPrEx>
        <w:trPr>
          <w:trHeight w:hRule="exact" w:val="284"/>
          <w:jc w:val="center"/>
        </w:trPr>
        <w:tc>
          <w:tcPr>
            <w:tcW w:w="4139"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767FDC" w:rsidRPr="00F55498" w:rsidP="004E5ADA">
            <w:pPr>
              <w:spacing w:line="240" w:lineRule="auto"/>
              <w:ind w:left="57"/>
              <w:rPr>
                <w:rFonts w:ascii="Arial Narrow" w:hAnsi="Arial Narrow" w:cs="Arial"/>
                <w:b/>
                <w:bCs/>
                <w:sz w:val="22"/>
                <w:szCs w:val="22"/>
              </w:rPr>
            </w:pPr>
            <w:r w:rsidRPr="00F55498">
              <w:rPr>
                <w:rFonts w:ascii="Arial Narrow" w:hAnsi="Arial Narrow" w:cs="Arial"/>
                <w:b/>
                <w:bCs/>
                <w:sz w:val="22"/>
                <w:szCs w:val="22"/>
              </w:rPr>
              <w:t>Obežný majetok</w:t>
            </w:r>
          </w:p>
        </w:tc>
        <w:tc>
          <w:tcPr>
            <w:tcW w:w="4139"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767FDC" w:rsidRPr="00F55498" w:rsidP="004E5ADA">
            <w:pPr>
              <w:suppressAutoHyphens/>
              <w:autoSpaceDE/>
              <w:spacing w:line="240" w:lineRule="auto"/>
              <w:jc w:val="right"/>
              <w:rPr>
                <w:rFonts w:ascii="Arial Narrow" w:hAnsi="Arial Narrow" w:cs="Arial"/>
                <w:b/>
                <w:bCs/>
                <w:sz w:val="22"/>
                <w:szCs w:val="22"/>
                <w:lang w:eastAsia="ar-SA"/>
              </w:rPr>
            </w:pPr>
            <w:r w:rsidRPr="00F55498">
              <w:rPr>
                <w:rFonts w:ascii="Arial Narrow" w:hAnsi="Arial Narrow" w:cs="Arial"/>
                <w:b/>
                <w:bCs/>
                <w:sz w:val="22"/>
                <w:szCs w:val="22"/>
                <w:lang w:eastAsia="ar-SA"/>
              </w:rPr>
              <w:t>1 496 152</w:t>
            </w:r>
          </w:p>
        </w:tc>
        <w:tc>
          <w:tcPr>
            <w:tcW w:w="4139"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767FDC" w:rsidRPr="00F55498" w:rsidP="004E5ADA">
            <w:pPr>
              <w:spacing w:line="240" w:lineRule="auto"/>
              <w:jc w:val="right"/>
              <w:rPr>
                <w:rFonts w:ascii="Arial Narrow" w:hAnsi="Arial Narrow" w:cs="Arial"/>
                <w:b/>
                <w:bCs/>
                <w:sz w:val="22"/>
                <w:szCs w:val="22"/>
              </w:rPr>
            </w:pPr>
            <w:r w:rsidR="00370758">
              <w:rPr>
                <w:rFonts w:ascii="Arial Narrow" w:hAnsi="Arial Narrow" w:cs="Arial"/>
                <w:b/>
                <w:bCs/>
                <w:sz w:val="22"/>
                <w:szCs w:val="22"/>
              </w:rPr>
              <w:t>1 407 491</w:t>
            </w:r>
          </w:p>
        </w:tc>
      </w:tr>
      <w:tr>
        <w:tblPrEx>
          <w:tblW w:w="8175" w:type="dxa"/>
          <w:jc w:val="center"/>
          <w:tblLayout w:type="fixed"/>
          <w:tblCellMar>
            <w:top w:w="0" w:type="dxa"/>
            <w:left w:w="30" w:type="dxa"/>
            <w:bottom w:w="0" w:type="dxa"/>
            <w:right w:w="30" w:type="dxa"/>
          </w:tblCellMar>
        </w:tblPrEx>
        <w:trPr>
          <w:trHeight w:hRule="exact" w:val="284"/>
          <w:jc w:val="center"/>
        </w:trPr>
        <w:tc>
          <w:tcPr>
            <w:tcW w:w="4139" w:type="dxa"/>
            <w:tcBorders>
              <w:top w:val="single" w:sz="4" w:space="0" w:color="auto"/>
              <w:left w:val="single" w:sz="4" w:space="0" w:color="auto"/>
              <w:bottom w:val="single" w:sz="6" w:space="0" w:color="auto"/>
              <w:right w:val="single" w:sz="4" w:space="0" w:color="auto"/>
              <w:tl2br w:val="nil"/>
              <w:tr2bl w:val="nil"/>
            </w:tcBorders>
            <w:textDirection w:val="lrTb"/>
            <w:vAlign w:val="center"/>
          </w:tcPr>
          <w:p w:rsidR="00767FDC" w:rsidRPr="00F55498" w:rsidP="004E5ADA">
            <w:pPr>
              <w:spacing w:line="240" w:lineRule="auto"/>
              <w:ind w:left="57"/>
              <w:rPr>
                <w:rFonts w:ascii="Arial Narrow" w:hAnsi="Arial Narrow" w:cs="Arial"/>
                <w:sz w:val="22"/>
                <w:szCs w:val="22"/>
              </w:rPr>
            </w:pPr>
            <w:r w:rsidRPr="00F55498">
              <w:rPr>
                <w:rFonts w:ascii="Arial Narrow" w:hAnsi="Arial Narrow" w:cs="Arial"/>
                <w:sz w:val="22"/>
                <w:szCs w:val="22"/>
              </w:rPr>
              <w:t>Zásoby</w:t>
            </w:r>
          </w:p>
        </w:tc>
        <w:tc>
          <w:tcPr>
            <w:tcW w:w="4139" w:type="dxa"/>
            <w:tcBorders>
              <w:top w:val="single" w:sz="4" w:space="0" w:color="auto"/>
              <w:left w:val="single" w:sz="4" w:space="0" w:color="auto"/>
              <w:bottom w:val="single" w:sz="6" w:space="0" w:color="auto"/>
              <w:right w:val="single" w:sz="4" w:space="0" w:color="auto"/>
              <w:tl2br w:val="nil"/>
              <w:tr2bl w:val="nil"/>
            </w:tcBorders>
            <w:textDirection w:val="lrTb"/>
            <w:vAlign w:val="center"/>
          </w:tcPr>
          <w:p w:rsidR="00767FDC" w:rsidRPr="00F55498" w:rsidP="004E5ADA">
            <w:pPr>
              <w:suppressAutoHyphens/>
              <w:autoSpaceDE/>
              <w:spacing w:line="240" w:lineRule="auto"/>
              <w:jc w:val="right"/>
              <w:rPr>
                <w:rFonts w:ascii="Arial Narrow" w:hAnsi="Arial Narrow" w:cs="Arial"/>
                <w:sz w:val="22"/>
                <w:szCs w:val="22"/>
                <w:lang w:eastAsia="ar-SA"/>
              </w:rPr>
            </w:pPr>
            <w:r w:rsidRPr="00F55498">
              <w:rPr>
                <w:rFonts w:ascii="Arial Narrow" w:hAnsi="Arial Narrow" w:cs="Arial"/>
                <w:sz w:val="22"/>
                <w:szCs w:val="22"/>
                <w:lang w:eastAsia="ar-SA"/>
              </w:rPr>
              <w:t>176 596</w:t>
            </w:r>
          </w:p>
        </w:tc>
        <w:tc>
          <w:tcPr>
            <w:tcW w:w="4139" w:type="dxa"/>
            <w:tcBorders>
              <w:top w:val="single" w:sz="4" w:space="0" w:color="auto"/>
              <w:left w:val="single" w:sz="4" w:space="0" w:color="auto"/>
              <w:bottom w:val="single" w:sz="6" w:space="0" w:color="auto"/>
              <w:right w:val="single" w:sz="4" w:space="0" w:color="auto"/>
              <w:tl2br w:val="nil"/>
              <w:tr2bl w:val="nil"/>
            </w:tcBorders>
            <w:textDirection w:val="lrTb"/>
            <w:vAlign w:val="center"/>
          </w:tcPr>
          <w:p w:rsidR="00767FDC" w:rsidRPr="00F55498" w:rsidP="004E5ADA">
            <w:pPr>
              <w:spacing w:line="240" w:lineRule="auto"/>
              <w:jc w:val="right"/>
              <w:rPr>
                <w:rFonts w:ascii="Arial Narrow" w:hAnsi="Arial Narrow" w:cs="Arial"/>
                <w:sz w:val="22"/>
                <w:szCs w:val="22"/>
              </w:rPr>
            </w:pPr>
            <w:r w:rsidRPr="00F55498">
              <w:rPr>
                <w:rFonts w:ascii="Arial Narrow" w:hAnsi="Arial Narrow" w:cs="Arial"/>
                <w:sz w:val="22"/>
                <w:szCs w:val="22"/>
              </w:rPr>
              <w:t>159 075</w:t>
            </w:r>
          </w:p>
        </w:tc>
      </w:tr>
      <w:tr>
        <w:tblPrEx>
          <w:tblW w:w="8175" w:type="dxa"/>
          <w:jc w:val="center"/>
          <w:tblLayout w:type="fixed"/>
          <w:tblCellMar>
            <w:top w:w="0" w:type="dxa"/>
            <w:left w:w="30" w:type="dxa"/>
            <w:bottom w:w="0" w:type="dxa"/>
            <w:right w:w="30" w:type="dxa"/>
          </w:tblCellMar>
        </w:tblPrEx>
        <w:trPr>
          <w:trHeight w:hRule="exact" w:val="284"/>
          <w:jc w:val="center"/>
        </w:trPr>
        <w:tc>
          <w:tcPr>
            <w:tcW w:w="4139" w:type="dxa"/>
            <w:tcBorders>
              <w:top w:val="single" w:sz="6" w:space="0" w:color="auto"/>
              <w:left w:val="single" w:sz="4" w:space="0" w:color="auto"/>
              <w:bottom w:val="single" w:sz="4" w:space="0" w:color="auto"/>
              <w:right w:val="single" w:sz="4" w:space="0" w:color="auto"/>
              <w:tl2br w:val="nil"/>
              <w:tr2bl w:val="nil"/>
            </w:tcBorders>
            <w:textDirection w:val="lrTb"/>
            <w:vAlign w:val="center"/>
          </w:tcPr>
          <w:p w:rsidR="00767FDC" w:rsidRPr="00F55498" w:rsidP="004E5ADA">
            <w:pPr>
              <w:spacing w:line="240" w:lineRule="auto"/>
              <w:ind w:left="57"/>
              <w:rPr>
                <w:rFonts w:ascii="Arial Narrow" w:hAnsi="Arial Narrow" w:cs="Arial"/>
                <w:sz w:val="22"/>
                <w:szCs w:val="22"/>
              </w:rPr>
            </w:pPr>
            <w:r w:rsidRPr="00F55498">
              <w:rPr>
                <w:rFonts w:ascii="Arial Narrow" w:hAnsi="Arial Narrow" w:cs="Arial"/>
                <w:sz w:val="22"/>
                <w:szCs w:val="22"/>
              </w:rPr>
              <w:t>Dlhodobé pohľadávky</w:t>
            </w:r>
          </w:p>
        </w:tc>
        <w:tc>
          <w:tcPr>
            <w:tcW w:w="4139" w:type="dxa"/>
            <w:tcBorders>
              <w:top w:val="single" w:sz="6" w:space="0" w:color="auto"/>
              <w:left w:val="single" w:sz="4" w:space="0" w:color="auto"/>
              <w:bottom w:val="single" w:sz="4" w:space="0" w:color="auto"/>
              <w:right w:val="single" w:sz="4" w:space="0" w:color="auto"/>
              <w:tl2br w:val="nil"/>
              <w:tr2bl w:val="nil"/>
            </w:tcBorders>
            <w:textDirection w:val="lrTb"/>
            <w:vAlign w:val="center"/>
          </w:tcPr>
          <w:p w:rsidR="00767FDC" w:rsidRPr="00F55498" w:rsidP="004E5ADA">
            <w:pPr>
              <w:suppressAutoHyphens/>
              <w:autoSpaceDE/>
              <w:spacing w:line="240" w:lineRule="auto"/>
              <w:jc w:val="right"/>
              <w:rPr>
                <w:rFonts w:ascii="Arial Narrow" w:hAnsi="Arial Narrow" w:cs="Arial"/>
                <w:sz w:val="22"/>
                <w:szCs w:val="22"/>
                <w:lang w:eastAsia="ar-SA"/>
              </w:rPr>
            </w:pPr>
            <w:r w:rsidRPr="00F55498">
              <w:rPr>
                <w:rFonts w:ascii="Arial Narrow" w:hAnsi="Arial Narrow" w:cs="Arial"/>
                <w:sz w:val="22"/>
                <w:szCs w:val="22"/>
                <w:lang w:eastAsia="ar-SA"/>
              </w:rPr>
              <w:t>0</w:t>
            </w:r>
          </w:p>
        </w:tc>
        <w:tc>
          <w:tcPr>
            <w:tcW w:w="4139" w:type="dxa"/>
            <w:tcBorders>
              <w:top w:val="single" w:sz="6" w:space="0" w:color="auto"/>
              <w:left w:val="single" w:sz="4" w:space="0" w:color="auto"/>
              <w:bottom w:val="single" w:sz="4" w:space="0" w:color="auto"/>
              <w:right w:val="single" w:sz="4" w:space="0" w:color="auto"/>
              <w:tl2br w:val="nil"/>
              <w:tr2bl w:val="nil"/>
            </w:tcBorders>
            <w:textDirection w:val="lrTb"/>
            <w:vAlign w:val="center"/>
          </w:tcPr>
          <w:p w:rsidR="00767FDC" w:rsidRPr="00F55498" w:rsidP="004E5ADA">
            <w:pPr>
              <w:spacing w:line="240" w:lineRule="auto"/>
              <w:jc w:val="right"/>
              <w:rPr>
                <w:rFonts w:ascii="Arial Narrow" w:hAnsi="Arial Narrow" w:cs="Arial"/>
                <w:sz w:val="22"/>
                <w:szCs w:val="22"/>
              </w:rPr>
            </w:pPr>
            <w:r w:rsidRPr="00F55498">
              <w:rPr>
                <w:rFonts w:ascii="Arial Narrow" w:hAnsi="Arial Narrow" w:cs="Arial"/>
                <w:sz w:val="22"/>
                <w:szCs w:val="22"/>
              </w:rPr>
              <w:t>0</w:t>
            </w:r>
          </w:p>
        </w:tc>
      </w:tr>
      <w:tr>
        <w:tblPrEx>
          <w:tblW w:w="8175" w:type="dxa"/>
          <w:jc w:val="center"/>
          <w:tblLayout w:type="fixed"/>
          <w:tblCellMar>
            <w:top w:w="0" w:type="dxa"/>
            <w:left w:w="30" w:type="dxa"/>
            <w:bottom w:w="0" w:type="dxa"/>
            <w:right w:w="30" w:type="dxa"/>
          </w:tblCellMar>
        </w:tblPrEx>
        <w:trPr>
          <w:trHeight w:hRule="exact" w:val="284"/>
          <w:jc w:val="center"/>
        </w:trPr>
        <w:tc>
          <w:tcPr>
            <w:tcW w:w="4139"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767FDC" w:rsidRPr="00F55498" w:rsidP="004E5ADA">
            <w:pPr>
              <w:spacing w:line="240" w:lineRule="auto"/>
              <w:ind w:left="57"/>
              <w:rPr>
                <w:rFonts w:ascii="Arial Narrow" w:hAnsi="Arial Narrow" w:cs="Arial"/>
                <w:sz w:val="22"/>
                <w:szCs w:val="22"/>
              </w:rPr>
            </w:pPr>
            <w:r w:rsidRPr="00F55498">
              <w:rPr>
                <w:rFonts w:ascii="Arial Narrow" w:hAnsi="Arial Narrow" w:cs="Arial"/>
                <w:sz w:val="22"/>
                <w:szCs w:val="22"/>
              </w:rPr>
              <w:t>Krátkodobé  pohľadávky</w:t>
            </w:r>
          </w:p>
        </w:tc>
        <w:tc>
          <w:tcPr>
            <w:tcW w:w="4139"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767FDC" w:rsidRPr="00F55498" w:rsidP="004E5ADA">
            <w:pPr>
              <w:suppressAutoHyphens/>
              <w:autoSpaceDE/>
              <w:spacing w:line="240" w:lineRule="auto"/>
              <w:jc w:val="right"/>
              <w:rPr>
                <w:rFonts w:ascii="Arial Narrow" w:hAnsi="Arial Narrow" w:cs="Arial"/>
                <w:sz w:val="22"/>
                <w:szCs w:val="22"/>
                <w:lang w:eastAsia="ar-SA"/>
              </w:rPr>
            </w:pPr>
            <w:r w:rsidRPr="00F55498">
              <w:rPr>
                <w:rFonts w:ascii="Arial Narrow" w:hAnsi="Arial Narrow" w:cs="Arial"/>
                <w:sz w:val="22"/>
                <w:szCs w:val="22"/>
                <w:lang w:eastAsia="ar-SA"/>
              </w:rPr>
              <w:t>947 406</w:t>
            </w:r>
          </w:p>
        </w:tc>
        <w:tc>
          <w:tcPr>
            <w:tcW w:w="4139"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767FDC" w:rsidRPr="00F55498" w:rsidP="004E5ADA">
            <w:pPr>
              <w:spacing w:line="240" w:lineRule="auto"/>
              <w:jc w:val="right"/>
              <w:rPr>
                <w:rFonts w:ascii="Arial Narrow" w:hAnsi="Arial Narrow" w:cs="Arial"/>
                <w:sz w:val="22"/>
                <w:szCs w:val="22"/>
              </w:rPr>
            </w:pPr>
            <w:r w:rsidR="00370758">
              <w:rPr>
                <w:rFonts w:ascii="Arial Narrow" w:hAnsi="Arial Narrow" w:cs="Arial"/>
                <w:sz w:val="22"/>
                <w:szCs w:val="22"/>
              </w:rPr>
              <w:t>796</w:t>
            </w:r>
            <w:r w:rsidRPr="00F55498">
              <w:rPr>
                <w:rFonts w:ascii="Arial Narrow" w:hAnsi="Arial Narrow" w:cs="Arial"/>
                <w:sz w:val="22"/>
                <w:szCs w:val="22"/>
              </w:rPr>
              <w:t xml:space="preserve"> 381</w:t>
            </w:r>
          </w:p>
        </w:tc>
      </w:tr>
      <w:tr>
        <w:tblPrEx>
          <w:tblW w:w="8175" w:type="dxa"/>
          <w:jc w:val="center"/>
          <w:tblLayout w:type="fixed"/>
          <w:tblCellMar>
            <w:top w:w="0" w:type="dxa"/>
            <w:left w:w="30" w:type="dxa"/>
            <w:bottom w:w="0" w:type="dxa"/>
            <w:right w:w="30" w:type="dxa"/>
          </w:tblCellMar>
        </w:tblPrEx>
        <w:trPr>
          <w:trHeight w:hRule="exact" w:val="284"/>
          <w:jc w:val="center"/>
        </w:trPr>
        <w:tc>
          <w:tcPr>
            <w:tcW w:w="4139"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767FDC" w:rsidRPr="00F55498" w:rsidP="004E5ADA">
            <w:pPr>
              <w:spacing w:line="240" w:lineRule="auto"/>
              <w:ind w:left="57"/>
              <w:rPr>
                <w:rFonts w:ascii="Arial Narrow" w:hAnsi="Arial Narrow" w:cs="Arial"/>
                <w:sz w:val="22"/>
                <w:szCs w:val="22"/>
              </w:rPr>
            </w:pPr>
            <w:r w:rsidRPr="00F55498">
              <w:rPr>
                <w:rFonts w:ascii="Arial Narrow" w:hAnsi="Arial Narrow" w:cs="Arial"/>
                <w:sz w:val="22"/>
                <w:szCs w:val="22"/>
              </w:rPr>
              <w:t xml:space="preserve"> Finančné účty</w:t>
            </w:r>
          </w:p>
        </w:tc>
        <w:tc>
          <w:tcPr>
            <w:tcW w:w="4139"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767FDC" w:rsidRPr="00F55498" w:rsidP="004E5ADA">
            <w:pPr>
              <w:suppressAutoHyphens/>
              <w:autoSpaceDE/>
              <w:spacing w:line="240" w:lineRule="auto"/>
              <w:jc w:val="right"/>
              <w:rPr>
                <w:rFonts w:ascii="Arial Narrow" w:hAnsi="Arial Narrow" w:cs="Arial"/>
                <w:sz w:val="22"/>
                <w:szCs w:val="22"/>
                <w:lang w:eastAsia="ar-SA"/>
              </w:rPr>
            </w:pPr>
            <w:r w:rsidRPr="00F55498">
              <w:rPr>
                <w:rFonts w:ascii="Arial Narrow" w:hAnsi="Arial Narrow" w:cs="Arial"/>
                <w:sz w:val="22"/>
                <w:szCs w:val="22"/>
                <w:lang w:eastAsia="ar-SA"/>
              </w:rPr>
              <w:t>372 150</w:t>
            </w:r>
          </w:p>
        </w:tc>
        <w:tc>
          <w:tcPr>
            <w:tcW w:w="4139"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767FDC" w:rsidRPr="00F55498" w:rsidP="004E5ADA">
            <w:pPr>
              <w:spacing w:line="240" w:lineRule="auto"/>
              <w:jc w:val="right"/>
              <w:rPr>
                <w:rFonts w:ascii="Arial Narrow" w:hAnsi="Arial Narrow" w:cs="Arial"/>
                <w:sz w:val="22"/>
                <w:szCs w:val="22"/>
              </w:rPr>
            </w:pPr>
            <w:r w:rsidRPr="00F55498">
              <w:rPr>
                <w:rFonts w:ascii="Arial Narrow" w:hAnsi="Arial Narrow" w:cs="Arial"/>
                <w:sz w:val="22"/>
                <w:szCs w:val="22"/>
              </w:rPr>
              <w:t>452 035</w:t>
            </w:r>
          </w:p>
        </w:tc>
      </w:tr>
      <w:tr>
        <w:tblPrEx>
          <w:tblW w:w="8175" w:type="dxa"/>
          <w:jc w:val="center"/>
          <w:tblLayout w:type="fixed"/>
          <w:tblCellMar>
            <w:top w:w="0" w:type="dxa"/>
            <w:left w:w="30" w:type="dxa"/>
            <w:bottom w:w="0" w:type="dxa"/>
            <w:right w:w="30" w:type="dxa"/>
          </w:tblCellMar>
        </w:tblPrEx>
        <w:trPr>
          <w:trHeight w:hRule="exact" w:val="284"/>
          <w:jc w:val="center"/>
        </w:trPr>
        <w:tc>
          <w:tcPr>
            <w:tcW w:w="4139"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767FDC" w:rsidRPr="00F55498" w:rsidP="004E5ADA">
            <w:pPr>
              <w:spacing w:line="240" w:lineRule="auto"/>
              <w:ind w:left="57"/>
              <w:rPr>
                <w:rFonts w:ascii="Arial Narrow" w:hAnsi="Arial Narrow" w:cs="Arial"/>
                <w:b/>
                <w:bCs/>
                <w:sz w:val="22"/>
                <w:szCs w:val="22"/>
              </w:rPr>
            </w:pPr>
            <w:r w:rsidRPr="00F55498">
              <w:rPr>
                <w:rFonts w:ascii="Arial Narrow" w:hAnsi="Arial Narrow" w:cs="Arial"/>
                <w:b/>
                <w:bCs/>
                <w:sz w:val="22"/>
                <w:szCs w:val="22"/>
              </w:rPr>
              <w:t>Časové rozlíšenie</w:t>
            </w:r>
          </w:p>
        </w:tc>
        <w:tc>
          <w:tcPr>
            <w:tcW w:w="4139"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767FDC" w:rsidRPr="00F55498" w:rsidP="004E5ADA">
            <w:pPr>
              <w:suppressAutoHyphens/>
              <w:autoSpaceDE/>
              <w:spacing w:line="240" w:lineRule="auto"/>
              <w:jc w:val="right"/>
              <w:rPr>
                <w:rFonts w:ascii="Arial Narrow" w:hAnsi="Arial Narrow" w:cs="Arial"/>
                <w:b/>
                <w:bCs/>
                <w:sz w:val="22"/>
                <w:szCs w:val="22"/>
                <w:lang w:eastAsia="ar-SA"/>
              </w:rPr>
            </w:pPr>
            <w:r w:rsidRPr="00F55498">
              <w:rPr>
                <w:rFonts w:ascii="Arial Narrow" w:hAnsi="Arial Narrow" w:cs="Arial"/>
                <w:b/>
                <w:bCs/>
                <w:sz w:val="22"/>
                <w:szCs w:val="22"/>
                <w:lang w:eastAsia="ar-SA"/>
              </w:rPr>
              <w:t>7 922</w:t>
            </w:r>
          </w:p>
        </w:tc>
        <w:tc>
          <w:tcPr>
            <w:tcW w:w="4139"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767FDC" w:rsidRPr="00F55498" w:rsidP="004E5ADA">
            <w:pPr>
              <w:spacing w:line="240" w:lineRule="auto"/>
              <w:jc w:val="right"/>
              <w:rPr>
                <w:rFonts w:ascii="Arial Narrow" w:hAnsi="Arial Narrow" w:cs="Arial"/>
                <w:b/>
                <w:bCs/>
                <w:sz w:val="22"/>
                <w:szCs w:val="22"/>
              </w:rPr>
            </w:pPr>
            <w:r w:rsidR="00370758">
              <w:rPr>
                <w:rFonts w:ascii="Arial Narrow" w:hAnsi="Arial Narrow" w:cs="Arial"/>
                <w:b/>
                <w:bCs/>
                <w:sz w:val="22"/>
                <w:szCs w:val="22"/>
              </w:rPr>
              <w:t>11 757</w:t>
            </w:r>
          </w:p>
        </w:tc>
      </w:tr>
      <w:tr>
        <w:tblPrEx>
          <w:tblW w:w="8175" w:type="dxa"/>
          <w:jc w:val="center"/>
          <w:tblLayout w:type="fixed"/>
          <w:tblCellMar>
            <w:top w:w="0" w:type="dxa"/>
            <w:left w:w="30" w:type="dxa"/>
            <w:bottom w:w="0" w:type="dxa"/>
            <w:right w:w="30" w:type="dxa"/>
          </w:tblCellMar>
        </w:tblPrEx>
        <w:trPr>
          <w:trHeight w:hRule="exact" w:val="284"/>
          <w:jc w:val="center"/>
        </w:trPr>
        <w:tc>
          <w:tcPr>
            <w:tcW w:w="4139" w:type="dxa"/>
            <w:tcBorders>
              <w:top w:val="single" w:sz="4" w:space="0" w:color="auto"/>
              <w:left w:val="single" w:sz="4" w:space="0" w:color="auto"/>
              <w:bottom w:val="single" w:sz="4" w:space="0" w:color="auto"/>
              <w:right w:val="single" w:sz="4" w:space="0" w:color="auto"/>
              <w:tl2br w:val="nil"/>
              <w:tr2bl w:val="nil"/>
            </w:tcBorders>
            <w:shd w:val="clear" w:color="auto" w:fill="C0C0C0"/>
            <w:textDirection w:val="lrTb"/>
            <w:vAlign w:val="center"/>
          </w:tcPr>
          <w:p w:rsidR="00767FDC" w:rsidRPr="00AE473C" w:rsidP="004E5ADA">
            <w:pPr>
              <w:spacing w:line="240" w:lineRule="auto"/>
              <w:jc w:val="left"/>
              <w:rPr>
                <w:rFonts w:ascii="Arial Narrow" w:hAnsi="Arial Narrow" w:cs="Arial"/>
                <w:b/>
                <w:bCs/>
                <w:sz w:val="24"/>
                <w:szCs w:val="24"/>
              </w:rPr>
            </w:pPr>
            <w:r w:rsidR="004E5ADA">
              <w:rPr>
                <w:rFonts w:ascii="Arial Narrow" w:hAnsi="Arial Narrow" w:cs="Arial"/>
                <w:b/>
                <w:bCs/>
                <w:sz w:val="28"/>
                <w:szCs w:val="28"/>
              </w:rPr>
              <w:t xml:space="preserve"> </w:t>
            </w:r>
            <w:r w:rsidRPr="00AE473C">
              <w:rPr>
                <w:rFonts w:ascii="Arial Narrow" w:hAnsi="Arial Narrow" w:cs="Arial"/>
                <w:b/>
                <w:bCs/>
                <w:sz w:val="24"/>
                <w:szCs w:val="24"/>
              </w:rPr>
              <w:t>Pasíva</w:t>
            </w:r>
          </w:p>
        </w:tc>
        <w:tc>
          <w:tcPr>
            <w:tcW w:w="4139" w:type="dxa"/>
            <w:tcBorders>
              <w:top w:val="single" w:sz="4" w:space="0" w:color="auto"/>
              <w:left w:val="single" w:sz="4" w:space="0" w:color="auto"/>
              <w:bottom w:val="single" w:sz="4" w:space="0" w:color="auto"/>
              <w:right w:val="single" w:sz="4" w:space="0" w:color="auto"/>
              <w:tl2br w:val="nil"/>
              <w:tr2bl w:val="nil"/>
            </w:tcBorders>
            <w:shd w:val="clear" w:color="auto" w:fill="C0C0C0"/>
            <w:textDirection w:val="lrTb"/>
            <w:vAlign w:val="center"/>
          </w:tcPr>
          <w:p w:rsidR="00767FDC" w:rsidRPr="00F55498" w:rsidP="004E5ADA">
            <w:pPr>
              <w:suppressAutoHyphens/>
              <w:autoSpaceDE/>
              <w:spacing w:line="240" w:lineRule="auto"/>
              <w:jc w:val="right"/>
              <w:rPr>
                <w:rFonts w:ascii="Arial Narrow" w:hAnsi="Arial Narrow" w:cs="Arial"/>
                <w:b/>
                <w:bCs/>
                <w:sz w:val="22"/>
                <w:szCs w:val="22"/>
                <w:lang w:eastAsia="ar-SA"/>
              </w:rPr>
            </w:pPr>
            <w:r w:rsidRPr="00F55498">
              <w:rPr>
                <w:rFonts w:ascii="Arial Narrow" w:hAnsi="Arial Narrow" w:cs="Arial"/>
                <w:b/>
                <w:bCs/>
                <w:sz w:val="22"/>
                <w:szCs w:val="22"/>
                <w:lang w:eastAsia="ar-SA"/>
              </w:rPr>
              <w:t>14 047 359</w:t>
            </w:r>
          </w:p>
        </w:tc>
        <w:tc>
          <w:tcPr>
            <w:tcW w:w="4139" w:type="dxa"/>
            <w:tcBorders>
              <w:top w:val="single" w:sz="4" w:space="0" w:color="auto"/>
              <w:left w:val="single" w:sz="4" w:space="0" w:color="auto"/>
              <w:bottom w:val="single" w:sz="4" w:space="0" w:color="auto"/>
              <w:right w:val="single" w:sz="4" w:space="0" w:color="auto"/>
              <w:tl2br w:val="nil"/>
              <w:tr2bl w:val="nil"/>
            </w:tcBorders>
            <w:shd w:val="clear" w:color="auto" w:fill="C0C0C0"/>
            <w:textDirection w:val="lrTb"/>
            <w:vAlign w:val="center"/>
          </w:tcPr>
          <w:p w:rsidR="00767FDC" w:rsidRPr="00F55498" w:rsidP="004E5ADA">
            <w:pPr>
              <w:spacing w:line="240" w:lineRule="auto"/>
              <w:jc w:val="right"/>
              <w:rPr>
                <w:rFonts w:ascii="Arial Narrow" w:hAnsi="Arial Narrow" w:cs="Arial"/>
                <w:b/>
                <w:bCs/>
                <w:sz w:val="22"/>
                <w:szCs w:val="22"/>
              </w:rPr>
            </w:pPr>
            <w:r>
              <w:rPr>
                <w:rFonts w:ascii="Arial Narrow" w:hAnsi="Arial Narrow" w:cs="Arial"/>
                <w:b/>
                <w:bCs/>
                <w:sz w:val="22"/>
                <w:szCs w:val="22"/>
              </w:rPr>
              <w:t>14 438 584</w:t>
            </w:r>
          </w:p>
        </w:tc>
      </w:tr>
      <w:tr>
        <w:tblPrEx>
          <w:tblW w:w="8175" w:type="dxa"/>
          <w:jc w:val="center"/>
          <w:tblLayout w:type="fixed"/>
          <w:tblCellMar>
            <w:top w:w="0" w:type="dxa"/>
            <w:left w:w="30" w:type="dxa"/>
            <w:bottom w:w="0" w:type="dxa"/>
            <w:right w:w="30" w:type="dxa"/>
          </w:tblCellMar>
        </w:tblPrEx>
        <w:trPr>
          <w:trHeight w:hRule="exact" w:val="284"/>
          <w:jc w:val="center"/>
        </w:trPr>
        <w:tc>
          <w:tcPr>
            <w:tcW w:w="4139"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767FDC" w:rsidRPr="00F55498" w:rsidP="004E5ADA">
            <w:pPr>
              <w:spacing w:line="240" w:lineRule="auto"/>
              <w:ind w:left="57"/>
              <w:rPr>
                <w:rFonts w:ascii="Arial Narrow" w:hAnsi="Arial Narrow" w:cs="Arial"/>
                <w:b/>
                <w:bCs/>
                <w:sz w:val="22"/>
                <w:szCs w:val="22"/>
              </w:rPr>
            </w:pPr>
            <w:r w:rsidRPr="00F55498">
              <w:rPr>
                <w:rFonts w:ascii="Arial Narrow" w:hAnsi="Arial Narrow" w:cs="Arial"/>
                <w:b/>
                <w:bCs/>
                <w:sz w:val="22"/>
                <w:szCs w:val="22"/>
              </w:rPr>
              <w:t>Vlastné imanie</w:t>
            </w:r>
          </w:p>
        </w:tc>
        <w:tc>
          <w:tcPr>
            <w:tcW w:w="4139"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767FDC" w:rsidRPr="00F55498" w:rsidP="004E5ADA">
            <w:pPr>
              <w:suppressAutoHyphens/>
              <w:autoSpaceDE/>
              <w:spacing w:line="240" w:lineRule="auto"/>
              <w:jc w:val="right"/>
              <w:rPr>
                <w:rFonts w:ascii="Arial Narrow" w:hAnsi="Arial Narrow" w:cs="Arial"/>
                <w:b/>
                <w:bCs/>
                <w:sz w:val="22"/>
                <w:szCs w:val="22"/>
                <w:lang w:eastAsia="ar-SA"/>
              </w:rPr>
            </w:pPr>
            <w:r w:rsidRPr="00F55498">
              <w:rPr>
                <w:rFonts w:ascii="Arial Narrow" w:hAnsi="Arial Narrow" w:cs="Arial"/>
                <w:b/>
                <w:bCs/>
                <w:sz w:val="22"/>
                <w:szCs w:val="22"/>
                <w:lang w:eastAsia="ar-SA"/>
              </w:rPr>
              <w:t>7 043 334</w:t>
            </w:r>
          </w:p>
        </w:tc>
        <w:tc>
          <w:tcPr>
            <w:tcW w:w="4139"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767FDC" w:rsidRPr="00F55498" w:rsidP="004E5ADA">
            <w:pPr>
              <w:spacing w:line="240" w:lineRule="auto"/>
              <w:jc w:val="right"/>
              <w:rPr>
                <w:rFonts w:ascii="Arial Narrow" w:hAnsi="Arial Narrow" w:cs="Arial"/>
                <w:b/>
                <w:bCs/>
                <w:sz w:val="22"/>
                <w:szCs w:val="22"/>
              </w:rPr>
            </w:pPr>
            <w:r>
              <w:rPr>
                <w:rFonts w:ascii="Arial Narrow" w:hAnsi="Arial Narrow" w:cs="Arial"/>
                <w:b/>
                <w:bCs/>
                <w:sz w:val="22"/>
                <w:szCs w:val="22"/>
              </w:rPr>
              <w:t>7 024 136</w:t>
            </w:r>
          </w:p>
        </w:tc>
      </w:tr>
      <w:tr>
        <w:tblPrEx>
          <w:tblW w:w="8175" w:type="dxa"/>
          <w:jc w:val="center"/>
          <w:tblLayout w:type="fixed"/>
          <w:tblCellMar>
            <w:top w:w="0" w:type="dxa"/>
            <w:left w:w="30" w:type="dxa"/>
            <w:bottom w:w="0" w:type="dxa"/>
            <w:right w:w="30" w:type="dxa"/>
          </w:tblCellMar>
        </w:tblPrEx>
        <w:trPr>
          <w:trHeight w:hRule="exact" w:val="284"/>
          <w:jc w:val="center"/>
        </w:trPr>
        <w:tc>
          <w:tcPr>
            <w:tcW w:w="4139"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767FDC" w:rsidRPr="00F55498" w:rsidP="004E5ADA">
            <w:pPr>
              <w:spacing w:line="240" w:lineRule="auto"/>
              <w:ind w:left="57"/>
              <w:rPr>
                <w:rFonts w:ascii="Arial Narrow" w:hAnsi="Arial Narrow" w:cs="Arial"/>
                <w:sz w:val="22"/>
                <w:szCs w:val="22"/>
              </w:rPr>
            </w:pPr>
            <w:r w:rsidRPr="00F55498">
              <w:rPr>
                <w:rFonts w:ascii="Arial Narrow" w:hAnsi="Arial Narrow" w:cs="Arial"/>
                <w:sz w:val="22"/>
                <w:szCs w:val="22"/>
              </w:rPr>
              <w:t>Základné imanie</w:t>
            </w:r>
          </w:p>
        </w:tc>
        <w:tc>
          <w:tcPr>
            <w:tcW w:w="4139"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767FDC" w:rsidRPr="00F55498" w:rsidP="004E5ADA">
            <w:pPr>
              <w:suppressAutoHyphens/>
              <w:autoSpaceDE/>
              <w:spacing w:line="240" w:lineRule="auto"/>
              <w:jc w:val="right"/>
              <w:rPr>
                <w:rFonts w:ascii="Arial Narrow" w:hAnsi="Arial Narrow" w:cs="Arial"/>
                <w:sz w:val="22"/>
                <w:szCs w:val="22"/>
                <w:lang w:eastAsia="ar-SA"/>
              </w:rPr>
            </w:pPr>
            <w:r w:rsidRPr="00F55498">
              <w:rPr>
                <w:rFonts w:ascii="Arial Narrow" w:hAnsi="Arial Narrow" w:cs="Arial"/>
                <w:sz w:val="22"/>
                <w:szCs w:val="22"/>
                <w:lang w:eastAsia="ar-SA"/>
              </w:rPr>
              <w:t>6 400 000</w:t>
            </w:r>
          </w:p>
        </w:tc>
        <w:tc>
          <w:tcPr>
            <w:tcW w:w="4139"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767FDC" w:rsidRPr="00F55498" w:rsidP="004E5ADA">
            <w:pPr>
              <w:spacing w:line="240" w:lineRule="auto"/>
              <w:jc w:val="right"/>
              <w:rPr>
                <w:rFonts w:ascii="Arial Narrow" w:hAnsi="Arial Narrow" w:cs="Arial"/>
                <w:sz w:val="22"/>
                <w:szCs w:val="22"/>
              </w:rPr>
            </w:pPr>
            <w:r w:rsidRPr="00F55498">
              <w:rPr>
                <w:rFonts w:ascii="Arial Narrow" w:hAnsi="Arial Narrow" w:cs="Arial"/>
                <w:sz w:val="22"/>
                <w:szCs w:val="22"/>
              </w:rPr>
              <w:t>6 400 000</w:t>
            </w:r>
          </w:p>
        </w:tc>
      </w:tr>
      <w:tr>
        <w:tblPrEx>
          <w:tblW w:w="8175" w:type="dxa"/>
          <w:jc w:val="center"/>
          <w:tblLayout w:type="fixed"/>
          <w:tblCellMar>
            <w:top w:w="0" w:type="dxa"/>
            <w:left w:w="30" w:type="dxa"/>
            <w:bottom w:w="0" w:type="dxa"/>
            <w:right w:w="30" w:type="dxa"/>
          </w:tblCellMar>
        </w:tblPrEx>
        <w:trPr>
          <w:trHeight w:hRule="exact" w:val="284"/>
          <w:jc w:val="center"/>
        </w:trPr>
        <w:tc>
          <w:tcPr>
            <w:tcW w:w="4139" w:type="dxa"/>
            <w:tcBorders>
              <w:top w:val="single" w:sz="4" w:space="0" w:color="auto"/>
              <w:left w:val="single" w:sz="4" w:space="0" w:color="auto"/>
              <w:bottom w:val="single" w:sz="6" w:space="0" w:color="auto"/>
              <w:right w:val="single" w:sz="4" w:space="0" w:color="auto"/>
              <w:tl2br w:val="nil"/>
              <w:tr2bl w:val="nil"/>
            </w:tcBorders>
            <w:textDirection w:val="lrTb"/>
            <w:vAlign w:val="center"/>
          </w:tcPr>
          <w:p w:rsidR="00767FDC" w:rsidRPr="00F55498" w:rsidP="004E5ADA">
            <w:pPr>
              <w:spacing w:line="240" w:lineRule="auto"/>
              <w:ind w:left="57"/>
              <w:rPr>
                <w:rFonts w:ascii="Arial Narrow" w:hAnsi="Arial Narrow" w:cs="Arial"/>
                <w:sz w:val="22"/>
                <w:szCs w:val="22"/>
              </w:rPr>
            </w:pPr>
            <w:r w:rsidRPr="00F55498">
              <w:rPr>
                <w:rFonts w:ascii="Arial Narrow" w:hAnsi="Arial Narrow" w:cs="Arial"/>
                <w:sz w:val="22"/>
                <w:szCs w:val="22"/>
              </w:rPr>
              <w:t>Kapitálové fondy</w:t>
            </w:r>
          </w:p>
        </w:tc>
        <w:tc>
          <w:tcPr>
            <w:tcW w:w="4139" w:type="dxa"/>
            <w:tcBorders>
              <w:top w:val="single" w:sz="4" w:space="0" w:color="auto"/>
              <w:left w:val="single" w:sz="4" w:space="0" w:color="auto"/>
              <w:bottom w:val="single" w:sz="6" w:space="0" w:color="auto"/>
              <w:right w:val="single" w:sz="4" w:space="0" w:color="auto"/>
              <w:tl2br w:val="nil"/>
              <w:tr2bl w:val="nil"/>
            </w:tcBorders>
            <w:textDirection w:val="lrTb"/>
            <w:vAlign w:val="center"/>
          </w:tcPr>
          <w:p w:rsidR="00767FDC" w:rsidRPr="00F55498" w:rsidP="004E5ADA">
            <w:pPr>
              <w:suppressAutoHyphens/>
              <w:autoSpaceDE/>
              <w:spacing w:line="240" w:lineRule="auto"/>
              <w:jc w:val="right"/>
              <w:rPr>
                <w:rFonts w:ascii="Arial Narrow" w:hAnsi="Arial Narrow" w:cs="Arial"/>
                <w:sz w:val="22"/>
                <w:szCs w:val="22"/>
                <w:lang w:eastAsia="ar-SA"/>
              </w:rPr>
            </w:pPr>
            <w:r w:rsidRPr="00F55498">
              <w:rPr>
                <w:rFonts w:ascii="Arial Narrow" w:hAnsi="Arial Narrow" w:cs="Arial"/>
                <w:sz w:val="22"/>
                <w:szCs w:val="22"/>
                <w:lang w:eastAsia="ar-SA"/>
              </w:rPr>
              <w:t>1 290 178</w:t>
            </w:r>
          </w:p>
        </w:tc>
        <w:tc>
          <w:tcPr>
            <w:tcW w:w="4139" w:type="dxa"/>
            <w:tcBorders>
              <w:top w:val="single" w:sz="4" w:space="0" w:color="auto"/>
              <w:left w:val="single" w:sz="4" w:space="0" w:color="auto"/>
              <w:bottom w:val="single" w:sz="6" w:space="0" w:color="auto"/>
              <w:right w:val="single" w:sz="4" w:space="0" w:color="auto"/>
              <w:tl2br w:val="nil"/>
              <w:tr2bl w:val="nil"/>
            </w:tcBorders>
            <w:textDirection w:val="lrTb"/>
            <w:vAlign w:val="center"/>
          </w:tcPr>
          <w:p w:rsidR="00767FDC" w:rsidRPr="00F55498" w:rsidP="004E5ADA">
            <w:pPr>
              <w:spacing w:line="240" w:lineRule="auto"/>
              <w:jc w:val="right"/>
              <w:rPr>
                <w:rFonts w:ascii="Arial Narrow" w:hAnsi="Arial Narrow" w:cs="Arial"/>
                <w:sz w:val="22"/>
                <w:szCs w:val="22"/>
              </w:rPr>
            </w:pPr>
            <w:r w:rsidRPr="00F55498">
              <w:rPr>
                <w:rFonts w:ascii="Arial Narrow" w:hAnsi="Arial Narrow" w:cs="Arial"/>
                <w:sz w:val="22"/>
                <w:szCs w:val="22"/>
              </w:rPr>
              <w:t>1 320 282</w:t>
            </w:r>
          </w:p>
        </w:tc>
      </w:tr>
      <w:tr>
        <w:tblPrEx>
          <w:tblW w:w="8175" w:type="dxa"/>
          <w:jc w:val="center"/>
          <w:tblLayout w:type="fixed"/>
          <w:tblCellMar>
            <w:top w:w="0" w:type="dxa"/>
            <w:left w:w="30" w:type="dxa"/>
            <w:bottom w:w="0" w:type="dxa"/>
            <w:right w:w="30" w:type="dxa"/>
          </w:tblCellMar>
        </w:tblPrEx>
        <w:trPr>
          <w:trHeight w:hRule="exact" w:val="284"/>
          <w:jc w:val="center"/>
        </w:trPr>
        <w:tc>
          <w:tcPr>
            <w:tcW w:w="4139" w:type="dxa"/>
            <w:tcBorders>
              <w:top w:val="single" w:sz="6" w:space="0" w:color="auto"/>
              <w:left w:val="single" w:sz="4" w:space="0" w:color="auto"/>
              <w:bottom w:val="single" w:sz="4" w:space="0" w:color="auto"/>
              <w:right w:val="single" w:sz="4" w:space="0" w:color="auto"/>
              <w:tl2br w:val="nil"/>
              <w:tr2bl w:val="nil"/>
            </w:tcBorders>
            <w:textDirection w:val="lrTb"/>
            <w:vAlign w:val="center"/>
          </w:tcPr>
          <w:p w:rsidR="00767FDC" w:rsidRPr="00F55498" w:rsidP="004E5ADA">
            <w:pPr>
              <w:spacing w:line="240" w:lineRule="auto"/>
              <w:ind w:left="57"/>
              <w:rPr>
                <w:rFonts w:ascii="Arial Narrow" w:hAnsi="Arial Narrow" w:cs="Arial"/>
                <w:sz w:val="22"/>
                <w:szCs w:val="22"/>
              </w:rPr>
            </w:pPr>
            <w:r w:rsidRPr="00F55498">
              <w:rPr>
                <w:rFonts w:ascii="Arial Narrow" w:hAnsi="Arial Narrow" w:cs="Arial"/>
                <w:sz w:val="22"/>
                <w:szCs w:val="22"/>
              </w:rPr>
              <w:t>Fondy zo zisku</w:t>
            </w:r>
          </w:p>
        </w:tc>
        <w:tc>
          <w:tcPr>
            <w:tcW w:w="4139" w:type="dxa"/>
            <w:tcBorders>
              <w:top w:val="single" w:sz="6" w:space="0" w:color="auto"/>
              <w:left w:val="single" w:sz="4" w:space="0" w:color="auto"/>
              <w:bottom w:val="single" w:sz="4" w:space="0" w:color="auto"/>
              <w:right w:val="single" w:sz="4" w:space="0" w:color="auto"/>
              <w:tl2br w:val="nil"/>
              <w:tr2bl w:val="nil"/>
            </w:tcBorders>
            <w:textDirection w:val="lrTb"/>
            <w:vAlign w:val="center"/>
          </w:tcPr>
          <w:p w:rsidR="00767FDC" w:rsidRPr="00F55498" w:rsidP="004E5ADA">
            <w:pPr>
              <w:suppressAutoHyphens/>
              <w:autoSpaceDE/>
              <w:spacing w:line="240" w:lineRule="auto"/>
              <w:jc w:val="right"/>
              <w:rPr>
                <w:rFonts w:ascii="Arial Narrow" w:hAnsi="Arial Narrow" w:cs="Arial"/>
                <w:sz w:val="22"/>
                <w:szCs w:val="22"/>
                <w:lang w:eastAsia="ar-SA"/>
              </w:rPr>
            </w:pPr>
            <w:r w:rsidRPr="00F55498">
              <w:rPr>
                <w:rFonts w:ascii="Arial Narrow" w:hAnsi="Arial Narrow" w:cs="Arial"/>
                <w:sz w:val="22"/>
                <w:szCs w:val="22"/>
                <w:lang w:eastAsia="ar-SA"/>
              </w:rPr>
              <w:t>0</w:t>
            </w:r>
          </w:p>
        </w:tc>
        <w:tc>
          <w:tcPr>
            <w:tcW w:w="4139" w:type="dxa"/>
            <w:tcBorders>
              <w:top w:val="single" w:sz="6" w:space="0" w:color="auto"/>
              <w:left w:val="single" w:sz="4" w:space="0" w:color="auto"/>
              <w:bottom w:val="single" w:sz="4" w:space="0" w:color="auto"/>
              <w:right w:val="single" w:sz="4" w:space="0" w:color="auto"/>
              <w:tl2br w:val="nil"/>
              <w:tr2bl w:val="nil"/>
            </w:tcBorders>
            <w:textDirection w:val="lrTb"/>
            <w:vAlign w:val="center"/>
          </w:tcPr>
          <w:p w:rsidR="00767FDC" w:rsidRPr="00F55498" w:rsidP="004E5ADA">
            <w:pPr>
              <w:spacing w:line="240" w:lineRule="auto"/>
              <w:jc w:val="right"/>
              <w:rPr>
                <w:rFonts w:ascii="Arial Narrow" w:hAnsi="Arial Narrow" w:cs="Arial"/>
                <w:sz w:val="22"/>
                <w:szCs w:val="22"/>
              </w:rPr>
            </w:pPr>
            <w:r w:rsidRPr="00F55498">
              <w:rPr>
                <w:rFonts w:ascii="Arial Narrow" w:hAnsi="Arial Narrow" w:cs="Arial"/>
                <w:sz w:val="22"/>
                <w:szCs w:val="22"/>
              </w:rPr>
              <w:t>0</w:t>
            </w:r>
          </w:p>
        </w:tc>
      </w:tr>
      <w:tr>
        <w:tblPrEx>
          <w:tblW w:w="8175" w:type="dxa"/>
          <w:jc w:val="center"/>
          <w:tblLayout w:type="fixed"/>
          <w:tblCellMar>
            <w:top w:w="0" w:type="dxa"/>
            <w:left w:w="30" w:type="dxa"/>
            <w:bottom w:w="0" w:type="dxa"/>
            <w:right w:w="30" w:type="dxa"/>
          </w:tblCellMar>
        </w:tblPrEx>
        <w:trPr>
          <w:trHeight w:hRule="exact" w:val="284"/>
          <w:jc w:val="center"/>
        </w:trPr>
        <w:tc>
          <w:tcPr>
            <w:tcW w:w="4139"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767FDC" w:rsidRPr="00F55498" w:rsidP="004E5ADA">
            <w:pPr>
              <w:spacing w:line="240" w:lineRule="auto"/>
              <w:ind w:left="57"/>
              <w:rPr>
                <w:rFonts w:ascii="Arial Narrow" w:hAnsi="Arial Narrow" w:cs="Arial"/>
                <w:bCs/>
                <w:sz w:val="22"/>
                <w:szCs w:val="22"/>
              </w:rPr>
            </w:pPr>
            <w:r>
              <w:rPr>
                <w:rFonts w:ascii="Arial Narrow" w:hAnsi="Arial Narrow" w:cs="Arial"/>
                <w:bCs/>
                <w:sz w:val="22"/>
                <w:szCs w:val="22"/>
              </w:rPr>
              <w:t xml:space="preserve">Výsledok hospodárenia </w:t>
            </w:r>
            <w:r w:rsidRPr="00F55498">
              <w:rPr>
                <w:rFonts w:ascii="Arial Narrow" w:hAnsi="Arial Narrow" w:cs="Arial"/>
                <w:bCs/>
                <w:sz w:val="22"/>
                <w:szCs w:val="22"/>
              </w:rPr>
              <w:t>minulých rokov</w:t>
            </w:r>
          </w:p>
        </w:tc>
        <w:tc>
          <w:tcPr>
            <w:tcW w:w="4139"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767FDC" w:rsidRPr="00F55498" w:rsidP="004E5ADA">
            <w:pPr>
              <w:suppressAutoHyphens/>
              <w:autoSpaceDE/>
              <w:spacing w:line="240" w:lineRule="auto"/>
              <w:jc w:val="right"/>
              <w:rPr>
                <w:rFonts w:ascii="Arial Narrow" w:hAnsi="Arial Narrow" w:cs="Arial"/>
                <w:sz w:val="22"/>
                <w:szCs w:val="22"/>
                <w:lang w:eastAsia="ar-SA"/>
              </w:rPr>
            </w:pPr>
            <w:r w:rsidRPr="00F55498">
              <w:rPr>
                <w:rFonts w:ascii="Arial Narrow" w:hAnsi="Arial Narrow" w:cs="Arial"/>
                <w:sz w:val="22"/>
                <w:szCs w:val="22"/>
                <w:lang w:eastAsia="ar-SA"/>
              </w:rPr>
              <w:t>-552 341</w:t>
            </w:r>
          </w:p>
        </w:tc>
        <w:tc>
          <w:tcPr>
            <w:tcW w:w="4139"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767FDC" w:rsidRPr="00F55498" w:rsidP="004E5ADA">
            <w:pPr>
              <w:spacing w:line="240" w:lineRule="auto"/>
              <w:jc w:val="right"/>
              <w:rPr>
                <w:rFonts w:ascii="Arial Narrow" w:hAnsi="Arial Narrow" w:cs="Arial"/>
                <w:sz w:val="22"/>
                <w:szCs w:val="22"/>
              </w:rPr>
            </w:pPr>
            <w:r>
              <w:rPr>
                <w:rFonts w:ascii="Arial Narrow" w:hAnsi="Arial Narrow" w:cs="Arial"/>
                <w:sz w:val="22"/>
                <w:szCs w:val="22"/>
              </w:rPr>
              <w:t>-638 597</w:t>
            </w:r>
          </w:p>
        </w:tc>
      </w:tr>
      <w:tr>
        <w:tblPrEx>
          <w:tblW w:w="8175" w:type="dxa"/>
          <w:jc w:val="center"/>
          <w:tblLayout w:type="fixed"/>
          <w:tblCellMar>
            <w:top w:w="0" w:type="dxa"/>
            <w:left w:w="30" w:type="dxa"/>
            <w:bottom w:w="0" w:type="dxa"/>
            <w:right w:w="30" w:type="dxa"/>
          </w:tblCellMar>
        </w:tblPrEx>
        <w:trPr>
          <w:trHeight w:hRule="exact" w:val="284"/>
          <w:jc w:val="center"/>
        </w:trPr>
        <w:tc>
          <w:tcPr>
            <w:tcW w:w="4139"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767FDC" w:rsidRPr="00F55498" w:rsidP="004E5ADA">
            <w:pPr>
              <w:spacing w:line="240" w:lineRule="auto"/>
              <w:ind w:left="57"/>
              <w:jc w:val="left"/>
              <w:rPr>
                <w:rFonts w:ascii="Arial Narrow" w:hAnsi="Arial Narrow" w:cs="Arial"/>
                <w:bCs/>
                <w:sz w:val="22"/>
                <w:szCs w:val="22"/>
              </w:rPr>
            </w:pPr>
            <w:r>
              <w:rPr>
                <w:rFonts w:ascii="Arial Narrow" w:hAnsi="Arial Narrow" w:cs="Arial"/>
                <w:bCs/>
                <w:sz w:val="22"/>
                <w:szCs w:val="22"/>
              </w:rPr>
              <w:t xml:space="preserve">Výsledok hospodárenia </w:t>
            </w:r>
            <w:r w:rsidRPr="00F55498">
              <w:rPr>
                <w:rFonts w:ascii="Arial Narrow" w:hAnsi="Arial Narrow" w:cs="Arial"/>
                <w:bCs/>
                <w:sz w:val="22"/>
                <w:szCs w:val="22"/>
              </w:rPr>
              <w:t>b</w:t>
            </w:r>
            <w:r>
              <w:rPr>
                <w:rFonts w:ascii="Arial Narrow" w:hAnsi="Arial Narrow" w:cs="Arial"/>
                <w:bCs/>
                <w:sz w:val="22"/>
                <w:szCs w:val="22"/>
              </w:rPr>
              <w:t xml:space="preserve">ežného účtovného </w:t>
            </w:r>
            <w:r w:rsidRPr="00F55498">
              <w:rPr>
                <w:rFonts w:ascii="Arial Narrow" w:hAnsi="Arial Narrow" w:cs="Arial"/>
                <w:bCs/>
                <w:sz w:val="22"/>
                <w:szCs w:val="22"/>
              </w:rPr>
              <w:t>obdobia</w:t>
            </w:r>
          </w:p>
        </w:tc>
        <w:tc>
          <w:tcPr>
            <w:tcW w:w="4139"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767FDC" w:rsidRPr="00F55498" w:rsidP="004E5ADA">
            <w:pPr>
              <w:suppressAutoHyphens/>
              <w:autoSpaceDE/>
              <w:spacing w:line="240" w:lineRule="auto"/>
              <w:jc w:val="right"/>
              <w:rPr>
                <w:rFonts w:ascii="Arial Narrow" w:hAnsi="Arial Narrow" w:cs="Arial"/>
                <w:sz w:val="22"/>
                <w:szCs w:val="22"/>
                <w:lang w:eastAsia="ar-SA"/>
              </w:rPr>
            </w:pPr>
            <w:r w:rsidRPr="00F55498">
              <w:rPr>
                <w:rFonts w:ascii="Arial Narrow" w:hAnsi="Arial Narrow" w:cs="Arial"/>
                <w:sz w:val="22"/>
                <w:szCs w:val="22"/>
                <w:lang w:eastAsia="ar-SA"/>
              </w:rPr>
              <w:t>-94 503</w:t>
            </w:r>
          </w:p>
        </w:tc>
        <w:tc>
          <w:tcPr>
            <w:tcW w:w="4139"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767FDC" w:rsidRPr="00F55498" w:rsidP="004E5ADA">
            <w:pPr>
              <w:spacing w:line="240" w:lineRule="auto"/>
              <w:jc w:val="right"/>
              <w:rPr>
                <w:rFonts w:ascii="Arial Narrow" w:hAnsi="Arial Narrow" w:cs="Arial"/>
                <w:sz w:val="22"/>
                <w:szCs w:val="22"/>
              </w:rPr>
            </w:pPr>
            <w:r>
              <w:rPr>
                <w:rFonts w:ascii="Arial Narrow" w:hAnsi="Arial Narrow" w:cs="Arial"/>
                <w:sz w:val="22"/>
                <w:szCs w:val="22"/>
              </w:rPr>
              <w:t>-57 549</w:t>
            </w:r>
          </w:p>
        </w:tc>
      </w:tr>
      <w:tr>
        <w:tblPrEx>
          <w:tblW w:w="8175" w:type="dxa"/>
          <w:jc w:val="center"/>
          <w:tblLayout w:type="fixed"/>
          <w:tblCellMar>
            <w:top w:w="0" w:type="dxa"/>
            <w:left w:w="30" w:type="dxa"/>
            <w:bottom w:w="0" w:type="dxa"/>
            <w:right w:w="30" w:type="dxa"/>
          </w:tblCellMar>
        </w:tblPrEx>
        <w:trPr>
          <w:trHeight w:hRule="exact" w:val="284"/>
          <w:jc w:val="center"/>
        </w:trPr>
        <w:tc>
          <w:tcPr>
            <w:tcW w:w="4139"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767FDC" w:rsidRPr="00F55498" w:rsidP="004E5ADA">
            <w:pPr>
              <w:spacing w:line="240" w:lineRule="auto"/>
              <w:ind w:left="57"/>
              <w:rPr>
                <w:rFonts w:ascii="Arial Narrow" w:hAnsi="Arial Narrow" w:cs="Arial"/>
                <w:b/>
                <w:bCs/>
                <w:sz w:val="22"/>
                <w:szCs w:val="22"/>
              </w:rPr>
            </w:pPr>
            <w:r w:rsidRPr="00F55498">
              <w:rPr>
                <w:rFonts w:ascii="Arial Narrow" w:hAnsi="Arial Narrow" w:cs="Arial"/>
                <w:b/>
                <w:bCs/>
                <w:sz w:val="22"/>
                <w:szCs w:val="22"/>
              </w:rPr>
              <w:t>Záväzky</w:t>
            </w:r>
          </w:p>
        </w:tc>
        <w:tc>
          <w:tcPr>
            <w:tcW w:w="4139"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767FDC" w:rsidRPr="00F55498" w:rsidP="004E5ADA">
            <w:pPr>
              <w:suppressAutoHyphens/>
              <w:autoSpaceDE/>
              <w:spacing w:line="240" w:lineRule="auto"/>
              <w:jc w:val="right"/>
              <w:rPr>
                <w:rFonts w:ascii="Arial Narrow" w:hAnsi="Arial Narrow" w:cs="Arial"/>
                <w:b/>
                <w:bCs/>
                <w:sz w:val="22"/>
                <w:szCs w:val="22"/>
                <w:lang w:eastAsia="ar-SA"/>
              </w:rPr>
            </w:pPr>
            <w:r w:rsidRPr="00F55498">
              <w:rPr>
                <w:rFonts w:ascii="Arial Narrow" w:hAnsi="Arial Narrow" w:cs="Arial"/>
                <w:b/>
                <w:bCs/>
                <w:sz w:val="22"/>
                <w:szCs w:val="22"/>
                <w:lang w:eastAsia="ar-SA"/>
              </w:rPr>
              <w:t>6 948 926</w:t>
            </w:r>
          </w:p>
        </w:tc>
        <w:tc>
          <w:tcPr>
            <w:tcW w:w="4139"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767FDC" w:rsidRPr="00F55498" w:rsidP="004E5ADA">
            <w:pPr>
              <w:spacing w:line="240" w:lineRule="auto"/>
              <w:jc w:val="right"/>
              <w:rPr>
                <w:rFonts w:ascii="Arial Narrow" w:hAnsi="Arial Narrow" w:cs="Arial"/>
                <w:b/>
                <w:bCs/>
                <w:sz w:val="22"/>
                <w:szCs w:val="22"/>
              </w:rPr>
            </w:pPr>
            <w:r>
              <w:rPr>
                <w:rFonts w:ascii="Arial Narrow" w:hAnsi="Arial Narrow" w:cs="Arial"/>
                <w:b/>
                <w:bCs/>
                <w:sz w:val="22"/>
                <w:szCs w:val="22"/>
              </w:rPr>
              <w:t>7 343 788</w:t>
            </w:r>
          </w:p>
        </w:tc>
      </w:tr>
      <w:tr>
        <w:tblPrEx>
          <w:tblW w:w="8175" w:type="dxa"/>
          <w:jc w:val="center"/>
          <w:tblLayout w:type="fixed"/>
          <w:tblCellMar>
            <w:top w:w="0" w:type="dxa"/>
            <w:left w:w="30" w:type="dxa"/>
            <w:bottom w:w="0" w:type="dxa"/>
            <w:right w:w="30" w:type="dxa"/>
          </w:tblCellMar>
        </w:tblPrEx>
        <w:trPr>
          <w:trHeight w:hRule="exact" w:val="284"/>
          <w:jc w:val="center"/>
        </w:trPr>
        <w:tc>
          <w:tcPr>
            <w:tcW w:w="4139"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767FDC" w:rsidRPr="00F55498" w:rsidP="004E5ADA">
            <w:pPr>
              <w:spacing w:line="240" w:lineRule="auto"/>
              <w:ind w:left="57"/>
              <w:rPr>
                <w:rFonts w:ascii="Arial Narrow" w:hAnsi="Arial Narrow" w:cs="Arial"/>
                <w:sz w:val="22"/>
                <w:szCs w:val="22"/>
              </w:rPr>
            </w:pPr>
            <w:r w:rsidRPr="00F55498">
              <w:rPr>
                <w:rFonts w:ascii="Arial Narrow" w:hAnsi="Arial Narrow" w:cs="Arial"/>
                <w:sz w:val="22"/>
                <w:szCs w:val="22"/>
              </w:rPr>
              <w:t>Rezervy</w:t>
            </w:r>
          </w:p>
        </w:tc>
        <w:tc>
          <w:tcPr>
            <w:tcW w:w="4139"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767FDC" w:rsidRPr="00F55498" w:rsidP="004E5ADA">
            <w:pPr>
              <w:suppressAutoHyphens/>
              <w:autoSpaceDE/>
              <w:spacing w:line="240" w:lineRule="auto"/>
              <w:jc w:val="right"/>
              <w:rPr>
                <w:rFonts w:ascii="Arial Narrow" w:hAnsi="Arial Narrow" w:cs="Arial"/>
                <w:sz w:val="22"/>
                <w:szCs w:val="22"/>
                <w:lang w:eastAsia="ar-SA"/>
              </w:rPr>
            </w:pPr>
            <w:r w:rsidRPr="00F55498">
              <w:rPr>
                <w:rFonts w:ascii="Arial Narrow" w:hAnsi="Arial Narrow" w:cs="Arial"/>
                <w:sz w:val="22"/>
                <w:szCs w:val="22"/>
                <w:lang w:eastAsia="ar-SA"/>
              </w:rPr>
              <w:t>766 600</w:t>
            </w:r>
          </w:p>
        </w:tc>
        <w:tc>
          <w:tcPr>
            <w:tcW w:w="4139"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767FDC" w:rsidRPr="00F55498" w:rsidP="004E5ADA">
            <w:pPr>
              <w:spacing w:line="240" w:lineRule="auto"/>
              <w:jc w:val="right"/>
              <w:rPr>
                <w:rFonts w:ascii="Arial Narrow" w:hAnsi="Arial Narrow" w:cs="Arial"/>
                <w:sz w:val="22"/>
                <w:szCs w:val="22"/>
              </w:rPr>
            </w:pPr>
            <w:r w:rsidR="004E5ADA">
              <w:rPr>
                <w:rFonts w:ascii="Arial Narrow" w:hAnsi="Arial Narrow" w:cs="Arial"/>
                <w:sz w:val="22"/>
                <w:szCs w:val="22"/>
              </w:rPr>
              <w:t>598 340</w:t>
            </w:r>
          </w:p>
        </w:tc>
      </w:tr>
      <w:tr>
        <w:tblPrEx>
          <w:tblW w:w="8175" w:type="dxa"/>
          <w:jc w:val="center"/>
          <w:tblLayout w:type="fixed"/>
          <w:tblCellMar>
            <w:top w:w="0" w:type="dxa"/>
            <w:left w:w="30" w:type="dxa"/>
            <w:bottom w:w="0" w:type="dxa"/>
            <w:right w:w="30" w:type="dxa"/>
          </w:tblCellMar>
        </w:tblPrEx>
        <w:trPr>
          <w:trHeight w:hRule="exact" w:val="284"/>
          <w:jc w:val="center"/>
        </w:trPr>
        <w:tc>
          <w:tcPr>
            <w:tcW w:w="4139"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767FDC" w:rsidRPr="00F55498" w:rsidP="004E5ADA">
            <w:pPr>
              <w:spacing w:line="240" w:lineRule="auto"/>
              <w:ind w:left="70"/>
              <w:rPr>
                <w:rFonts w:ascii="Arial Narrow" w:hAnsi="Arial Narrow" w:cs="Arial"/>
                <w:sz w:val="22"/>
                <w:szCs w:val="22"/>
              </w:rPr>
            </w:pPr>
            <w:r w:rsidRPr="00F55498">
              <w:rPr>
                <w:rFonts w:ascii="Arial Narrow" w:hAnsi="Arial Narrow" w:cs="Arial"/>
                <w:sz w:val="22"/>
                <w:szCs w:val="22"/>
              </w:rPr>
              <w:t>Dlhodobé záväzky</w:t>
            </w:r>
          </w:p>
        </w:tc>
        <w:tc>
          <w:tcPr>
            <w:tcW w:w="4139"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767FDC" w:rsidRPr="00F55498" w:rsidP="004E5ADA">
            <w:pPr>
              <w:suppressAutoHyphens/>
              <w:autoSpaceDE/>
              <w:spacing w:line="240" w:lineRule="auto"/>
              <w:jc w:val="right"/>
              <w:rPr>
                <w:rFonts w:ascii="Arial Narrow" w:hAnsi="Arial Narrow" w:cs="Arial"/>
                <w:sz w:val="22"/>
                <w:szCs w:val="22"/>
                <w:lang w:eastAsia="ar-SA"/>
              </w:rPr>
            </w:pPr>
            <w:r w:rsidRPr="00F55498">
              <w:rPr>
                <w:rFonts w:ascii="Arial Narrow" w:hAnsi="Arial Narrow" w:cs="Arial"/>
                <w:sz w:val="22"/>
                <w:szCs w:val="22"/>
                <w:lang w:eastAsia="ar-SA"/>
              </w:rPr>
              <w:t>2 697 832</w:t>
            </w:r>
          </w:p>
        </w:tc>
        <w:tc>
          <w:tcPr>
            <w:tcW w:w="4139"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767FDC" w:rsidRPr="00F55498" w:rsidP="004E5ADA">
            <w:pPr>
              <w:spacing w:line="240" w:lineRule="auto"/>
              <w:jc w:val="right"/>
              <w:rPr>
                <w:rFonts w:ascii="Arial Narrow" w:hAnsi="Arial Narrow" w:cs="Arial"/>
                <w:sz w:val="22"/>
                <w:szCs w:val="22"/>
              </w:rPr>
            </w:pPr>
            <w:r w:rsidR="004E5ADA">
              <w:rPr>
                <w:rFonts w:ascii="Arial Narrow" w:hAnsi="Arial Narrow" w:cs="Arial"/>
                <w:sz w:val="22"/>
                <w:szCs w:val="22"/>
              </w:rPr>
              <w:t>3 214 078</w:t>
            </w:r>
          </w:p>
        </w:tc>
      </w:tr>
      <w:tr>
        <w:tblPrEx>
          <w:tblW w:w="8175" w:type="dxa"/>
          <w:jc w:val="center"/>
          <w:tblLayout w:type="fixed"/>
          <w:tblCellMar>
            <w:top w:w="0" w:type="dxa"/>
            <w:left w:w="30" w:type="dxa"/>
            <w:bottom w:w="0" w:type="dxa"/>
            <w:right w:w="30" w:type="dxa"/>
          </w:tblCellMar>
        </w:tblPrEx>
        <w:trPr>
          <w:trHeight w:hRule="exact" w:val="284"/>
          <w:jc w:val="center"/>
        </w:trPr>
        <w:tc>
          <w:tcPr>
            <w:tcW w:w="4139"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767FDC" w:rsidRPr="00F55498" w:rsidP="004E5ADA">
            <w:pPr>
              <w:spacing w:line="240" w:lineRule="auto"/>
              <w:ind w:left="70"/>
              <w:rPr>
                <w:rFonts w:ascii="Arial Narrow" w:hAnsi="Arial Narrow" w:cs="Arial"/>
                <w:sz w:val="22"/>
                <w:szCs w:val="22"/>
              </w:rPr>
            </w:pPr>
            <w:r w:rsidRPr="00F55498">
              <w:rPr>
                <w:rFonts w:ascii="Arial Narrow" w:hAnsi="Arial Narrow" w:cs="Arial"/>
                <w:sz w:val="22"/>
                <w:szCs w:val="22"/>
              </w:rPr>
              <w:t>Krátkodobé záväzky</w:t>
            </w:r>
          </w:p>
        </w:tc>
        <w:tc>
          <w:tcPr>
            <w:tcW w:w="4139"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767FDC" w:rsidRPr="00F55498" w:rsidP="004E5ADA">
            <w:pPr>
              <w:suppressAutoHyphens/>
              <w:autoSpaceDE/>
              <w:spacing w:line="240" w:lineRule="auto"/>
              <w:jc w:val="right"/>
              <w:rPr>
                <w:rFonts w:ascii="Arial Narrow" w:hAnsi="Arial Narrow" w:cs="Arial"/>
                <w:sz w:val="22"/>
                <w:szCs w:val="22"/>
                <w:lang w:eastAsia="ar-SA"/>
              </w:rPr>
            </w:pPr>
            <w:r w:rsidRPr="00F55498">
              <w:rPr>
                <w:rFonts w:ascii="Arial Narrow" w:hAnsi="Arial Narrow" w:cs="Arial"/>
                <w:sz w:val="22"/>
                <w:szCs w:val="22"/>
                <w:lang w:eastAsia="ar-SA"/>
              </w:rPr>
              <w:t>1 118 383</w:t>
            </w:r>
          </w:p>
        </w:tc>
        <w:tc>
          <w:tcPr>
            <w:tcW w:w="4139"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767FDC" w:rsidRPr="00F55498" w:rsidP="004E5ADA">
            <w:pPr>
              <w:spacing w:line="240" w:lineRule="auto"/>
              <w:jc w:val="right"/>
              <w:rPr>
                <w:rFonts w:ascii="Arial Narrow" w:hAnsi="Arial Narrow" w:cs="Arial"/>
                <w:sz w:val="22"/>
                <w:szCs w:val="22"/>
              </w:rPr>
            </w:pPr>
            <w:r w:rsidR="004E5ADA">
              <w:rPr>
                <w:rFonts w:ascii="Arial Narrow" w:hAnsi="Arial Narrow" w:cs="Arial"/>
                <w:sz w:val="22"/>
                <w:szCs w:val="22"/>
              </w:rPr>
              <w:t>1 398 308</w:t>
            </w:r>
          </w:p>
        </w:tc>
      </w:tr>
      <w:tr>
        <w:tblPrEx>
          <w:tblW w:w="8175" w:type="dxa"/>
          <w:jc w:val="center"/>
          <w:tblLayout w:type="fixed"/>
          <w:tblCellMar>
            <w:top w:w="0" w:type="dxa"/>
            <w:left w:w="30" w:type="dxa"/>
            <w:bottom w:w="0" w:type="dxa"/>
            <w:right w:w="30" w:type="dxa"/>
          </w:tblCellMar>
        </w:tblPrEx>
        <w:trPr>
          <w:trHeight w:hRule="exact" w:val="284"/>
          <w:jc w:val="center"/>
        </w:trPr>
        <w:tc>
          <w:tcPr>
            <w:tcW w:w="4139"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767FDC" w:rsidRPr="00F55498" w:rsidP="004E5ADA">
            <w:pPr>
              <w:spacing w:line="240" w:lineRule="auto"/>
              <w:ind w:left="70"/>
              <w:jc w:val="left"/>
              <w:rPr>
                <w:rFonts w:ascii="Arial Narrow" w:hAnsi="Arial Narrow" w:cs="Arial"/>
                <w:sz w:val="22"/>
                <w:szCs w:val="22"/>
              </w:rPr>
            </w:pPr>
            <w:r w:rsidRPr="00F55498">
              <w:rPr>
                <w:rFonts w:ascii="Arial Narrow" w:hAnsi="Arial Narrow" w:cs="Arial"/>
                <w:sz w:val="22"/>
                <w:szCs w:val="22"/>
              </w:rPr>
              <w:t>Bankové úvery a</w:t>
            </w:r>
            <w:r>
              <w:rPr>
                <w:rFonts w:ascii="Arial Narrow" w:hAnsi="Arial Narrow" w:cs="Arial"/>
                <w:sz w:val="22"/>
                <w:szCs w:val="22"/>
              </w:rPr>
              <w:t> </w:t>
            </w:r>
            <w:r w:rsidRPr="00F55498">
              <w:rPr>
                <w:rFonts w:ascii="Arial Narrow" w:hAnsi="Arial Narrow" w:cs="Arial"/>
                <w:sz w:val="22"/>
                <w:szCs w:val="22"/>
              </w:rPr>
              <w:t>výpomoci</w:t>
            </w:r>
          </w:p>
        </w:tc>
        <w:tc>
          <w:tcPr>
            <w:tcW w:w="4139"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767FDC" w:rsidRPr="00F55498" w:rsidP="004E5ADA">
            <w:pPr>
              <w:suppressAutoHyphens/>
              <w:autoSpaceDE/>
              <w:spacing w:line="240" w:lineRule="auto"/>
              <w:jc w:val="right"/>
              <w:rPr>
                <w:rFonts w:ascii="Arial Narrow" w:hAnsi="Arial Narrow" w:cs="Arial"/>
                <w:sz w:val="22"/>
                <w:szCs w:val="22"/>
                <w:lang w:eastAsia="ar-SA"/>
              </w:rPr>
            </w:pPr>
            <w:r w:rsidRPr="00F55498">
              <w:rPr>
                <w:rFonts w:ascii="Arial Narrow" w:hAnsi="Arial Narrow" w:cs="Arial"/>
                <w:sz w:val="22"/>
                <w:szCs w:val="22"/>
                <w:lang w:eastAsia="ar-SA"/>
              </w:rPr>
              <w:t>2 366 111</w:t>
            </w:r>
          </w:p>
        </w:tc>
        <w:tc>
          <w:tcPr>
            <w:tcW w:w="4139"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767FDC" w:rsidRPr="00F55498" w:rsidP="004E5ADA">
            <w:pPr>
              <w:spacing w:line="240" w:lineRule="auto"/>
              <w:jc w:val="right"/>
              <w:rPr>
                <w:rFonts w:ascii="Arial Narrow" w:hAnsi="Arial Narrow" w:cs="Arial"/>
                <w:sz w:val="22"/>
                <w:szCs w:val="22"/>
              </w:rPr>
            </w:pPr>
            <w:r w:rsidRPr="00F55498">
              <w:rPr>
                <w:rFonts w:ascii="Arial Narrow" w:hAnsi="Arial Narrow" w:cs="Arial"/>
                <w:sz w:val="22"/>
                <w:szCs w:val="22"/>
              </w:rPr>
              <w:t>2 133 062</w:t>
            </w:r>
          </w:p>
        </w:tc>
      </w:tr>
      <w:tr>
        <w:tblPrEx>
          <w:tblW w:w="8175" w:type="dxa"/>
          <w:jc w:val="center"/>
          <w:tblLayout w:type="fixed"/>
          <w:tblCellMar>
            <w:top w:w="0" w:type="dxa"/>
            <w:left w:w="30" w:type="dxa"/>
            <w:bottom w:w="0" w:type="dxa"/>
            <w:right w:w="30" w:type="dxa"/>
          </w:tblCellMar>
        </w:tblPrEx>
        <w:trPr>
          <w:trHeight w:hRule="exact" w:val="284"/>
          <w:jc w:val="center"/>
        </w:trPr>
        <w:tc>
          <w:tcPr>
            <w:tcW w:w="4139"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767FDC" w:rsidRPr="00F55498" w:rsidP="004E5ADA">
            <w:pPr>
              <w:spacing w:line="240" w:lineRule="auto"/>
              <w:ind w:left="70"/>
              <w:rPr>
                <w:rFonts w:ascii="Arial Narrow" w:hAnsi="Arial Narrow" w:cs="Arial"/>
                <w:b/>
                <w:sz w:val="22"/>
                <w:szCs w:val="22"/>
              </w:rPr>
            </w:pPr>
            <w:r w:rsidRPr="00F55498">
              <w:rPr>
                <w:rFonts w:ascii="Arial Narrow" w:hAnsi="Arial Narrow" w:cs="Arial"/>
                <w:b/>
                <w:sz w:val="22"/>
                <w:szCs w:val="22"/>
              </w:rPr>
              <w:t>Časové rozlíšenie</w:t>
            </w:r>
          </w:p>
        </w:tc>
        <w:tc>
          <w:tcPr>
            <w:tcW w:w="4139"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767FDC" w:rsidRPr="002870B6" w:rsidP="004E5ADA">
            <w:pPr>
              <w:suppressAutoHyphens/>
              <w:autoSpaceDE/>
              <w:spacing w:line="240" w:lineRule="auto"/>
              <w:jc w:val="right"/>
              <w:rPr>
                <w:rFonts w:ascii="Arial Narrow" w:hAnsi="Arial Narrow" w:cs="Arial"/>
                <w:b/>
                <w:sz w:val="22"/>
                <w:szCs w:val="22"/>
                <w:lang w:eastAsia="ar-SA"/>
              </w:rPr>
            </w:pPr>
            <w:r w:rsidRPr="002870B6">
              <w:rPr>
                <w:rFonts w:ascii="Arial Narrow" w:hAnsi="Arial Narrow" w:cs="Arial"/>
                <w:b/>
                <w:sz w:val="22"/>
                <w:szCs w:val="22"/>
                <w:lang w:eastAsia="ar-SA"/>
              </w:rPr>
              <w:t>55 099</w:t>
            </w:r>
          </w:p>
        </w:tc>
        <w:tc>
          <w:tcPr>
            <w:tcW w:w="4139"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767FDC" w:rsidRPr="002870B6" w:rsidP="004E5ADA">
            <w:pPr>
              <w:spacing w:line="240" w:lineRule="auto"/>
              <w:jc w:val="right"/>
              <w:rPr>
                <w:rFonts w:ascii="Arial Narrow" w:hAnsi="Arial Narrow" w:cs="Arial"/>
                <w:b/>
                <w:sz w:val="22"/>
                <w:szCs w:val="22"/>
              </w:rPr>
            </w:pPr>
            <w:r w:rsidR="004E5ADA">
              <w:rPr>
                <w:rFonts w:ascii="Arial Narrow" w:hAnsi="Arial Narrow" w:cs="Arial"/>
                <w:b/>
                <w:sz w:val="22"/>
                <w:szCs w:val="22"/>
              </w:rPr>
              <w:t>70 660</w:t>
            </w:r>
          </w:p>
        </w:tc>
      </w:tr>
    </w:tbl>
    <w:p w:rsidR="00C936A2" w:rsidP="009F0797">
      <w:pPr>
        <w:pStyle w:val="BodyText2"/>
        <w:numPr>
          <w:ilvl w:val="0"/>
        </w:numPr>
        <w:spacing w:line="240" w:lineRule="auto"/>
        <w:ind w:firstLine="0"/>
        <w:rPr>
          <w:rFonts w:ascii="Times New Roman" w:hAnsi="Times New Roman" w:cs="Times New Roman"/>
          <w:b/>
          <w:bCs/>
          <w:iCs/>
          <w:szCs w:val="26"/>
          <w:u w:val="single"/>
        </w:rPr>
      </w:pPr>
    </w:p>
    <w:p w:rsidR="00D12F83" w:rsidP="009F0797">
      <w:pPr>
        <w:pStyle w:val="BodyText2"/>
        <w:numPr>
          <w:ilvl w:val="0"/>
        </w:numPr>
        <w:spacing w:line="240" w:lineRule="auto"/>
        <w:ind w:firstLine="0"/>
        <w:rPr>
          <w:rFonts w:ascii="Times New Roman" w:hAnsi="Times New Roman" w:cs="Times New Roman"/>
          <w:b/>
          <w:bCs/>
          <w:iCs/>
          <w:szCs w:val="26"/>
          <w:u w:val="single"/>
        </w:rPr>
      </w:pPr>
      <w:r w:rsidR="00AE473C">
        <w:rPr>
          <w:rFonts w:ascii="Times New Roman" w:hAnsi="Times New Roman" w:cs="Times New Roman"/>
          <w:b/>
          <w:bCs/>
          <w:iCs/>
          <w:szCs w:val="26"/>
          <w:u w:val="single"/>
        </w:rPr>
        <w:t>Z</w:t>
      </w:r>
      <w:r w:rsidR="0039553C">
        <w:rPr>
          <w:rFonts w:ascii="Times New Roman" w:hAnsi="Times New Roman" w:cs="Times New Roman"/>
          <w:b/>
          <w:bCs/>
          <w:iCs/>
          <w:szCs w:val="26"/>
          <w:u w:val="single"/>
        </w:rPr>
        <w:t>áväzky</w:t>
      </w:r>
      <w:r w:rsidR="00AE473C">
        <w:rPr>
          <w:rFonts w:ascii="Times New Roman" w:hAnsi="Times New Roman" w:cs="Times New Roman"/>
          <w:b/>
          <w:bCs/>
          <w:iCs/>
          <w:szCs w:val="26"/>
          <w:u w:val="single"/>
        </w:rPr>
        <w:t xml:space="preserve"> a pohľadávky</w:t>
      </w:r>
    </w:p>
    <w:p w:rsidR="00E3212F" w:rsidP="00C362EA">
      <w:pPr>
        <w:pStyle w:val="BodyText2"/>
        <w:numPr>
          <w:ilvl w:val="0"/>
        </w:numPr>
        <w:spacing w:line="240" w:lineRule="auto"/>
        <w:ind w:firstLine="0"/>
        <w:rPr>
          <w:rFonts w:ascii="Times New Roman" w:hAnsi="Times New Roman" w:cs="Times New Roman"/>
          <w:b/>
          <w:bCs/>
          <w:iCs/>
          <w:szCs w:val="26"/>
          <w:u w:val="single"/>
        </w:rPr>
      </w:pPr>
    </w:p>
    <w:p w:rsidR="007F17F1" w:rsidRPr="007F17F1" w:rsidP="00FD671F">
      <w:pPr>
        <w:spacing w:line="240" w:lineRule="auto"/>
        <w:rPr>
          <w:rFonts w:ascii="Times New Roman" w:hAnsi="Times New Roman" w:cs="Times New Roman"/>
          <w:b/>
          <w:bCs/>
          <w:sz w:val="24"/>
          <w:szCs w:val="24"/>
        </w:rPr>
      </w:pPr>
      <w:r w:rsidRPr="007F17F1" w:rsidR="009F0797">
        <w:rPr>
          <w:rFonts w:ascii="Times New Roman" w:hAnsi="Times New Roman" w:cs="Times New Roman"/>
          <w:b/>
          <w:bCs/>
          <w:sz w:val="24"/>
          <w:szCs w:val="24"/>
        </w:rPr>
        <w:t xml:space="preserve">Záväzky </w:t>
      </w:r>
    </w:p>
    <w:tbl>
      <w:tblPr>
        <w:tblW w:w="8845" w:type="dxa"/>
        <w:tblInd w:w="70" w:type="dxa"/>
        <w:tblCellMar>
          <w:left w:w="70" w:type="dxa"/>
          <w:right w:w="70" w:type="dxa"/>
        </w:tblCellMar>
      </w:tblPr>
      <w:tblGrid>
        <w:gridCol w:w="2907"/>
        <w:gridCol w:w="1272"/>
        <w:gridCol w:w="1152"/>
        <w:gridCol w:w="1152"/>
        <w:gridCol w:w="1152"/>
        <w:gridCol w:w="1210"/>
      </w:tblGrid>
      <w:tr>
        <w:tblPrEx>
          <w:tblW w:w="8845" w:type="dxa"/>
          <w:tblInd w:w="70" w:type="dxa"/>
          <w:tblCellMar>
            <w:left w:w="70" w:type="dxa"/>
            <w:right w:w="70" w:type="dxa"/>
          </w:tblCellMar>
        </w:tblPrEx>
        <w:trPr>
          <w:trHeight w:val="269"/>
        </w:trPr>
        <w:tc>
          <w:tcPr>
            <w:tcW w:w="2907" w:type="dxa"/>
            <w:tcBorders>
              <w:top w:val="nil"/>
              <w:left w:val="nil"/>
              <w:bottom w:val="single" w:sz="8" w:space="0" w:color="auto"/>
              <w:right w:val="nil"/>
              <w:tl2br w:val="nil"/>
              <w:tr2bl w:val="nil"/>
            </w:tcBorders>
            <w:noWrap/>
            <w:textDirection w:val="lrTb"/>
            <w:vAlign w:val="bottom"/>
          </w:tcPr>
          <w:p w:rsidR="009F0797" w:rsidRPr="00C2439B" w:rsidP="00FD671F">
            <w:pPr>
              <w:spacing w:line="240" w:lineRule="auto"/>
              <w:rPr>
                <w:rFonts w:ascii="Times New Roman" w:hAnsi="Times New Roman" w:cs="Times New Roman"/>
                <w:sz w:val="22"/>
                <w:szCs w:val="22"/>
              </w:rPr>
            </w:pPr>
          </w:p>
        </w:tc>
        <w:tc>
          <w:tcPr>
            <w:tcW w:w="1272" w:type="dxa"/>
            <w:tcBorders>
              <w:top w:val="nil"/>
              <w:left w:val="nil"/>
              <w:bottom w:val="single" w:sz="8" w:space="0" w:color="auto"/>
              <w:right w:val="nil"/>
              <w:tl2br w:val="nil"/>
              <w:tr2bl w:val="nil"/>
            </w:tcBorders>
            <w:noWrap/>
            <w:textDirection w:val="lrTb"/>
            <w:vAlign w:val="bottom"/>
          </w:tcPr>
          <w:p w:rsidR="009F0797" w:rsidRPr="00C2439B" w:rsidP="00FD671F">
            <w:pPr>
              <w:spacing w:line="240" w:lineRule="auto"/>
              <w:rPr>
                <w:rFonts w:ascii="Times New Roman" w:hAnsi="Times New Roman" w:cs="Times New Roman"/>
                <w:sz w:val="22"/>
                <w:szCs w:val="22"/>
              </w:rPr>
            </w:pPr>
          </w:p>
        </w:tc>
        <w:tc>
          <w:tcPr>
            <w:tcW w:w="1152" w:type="dxa"/>
            <w:tcBorders>
              <w:top w:val="nil"/>
              <w:left w:val="nil"/>
              <w:bottom w:val="single" w:sz="8" w:space="0" w:color="auto"/>
              <w:right w:val="nil"/>
              <w:tl2br w:val="nil"/>
              <w:tr2bl w:val="nil"/>
            </w:tcBorders>
            <w:noWrap/>
            <w:textDirection w:val="lrTb"/>
            <w:vAlign w:val="bottom"/>
          </w:tcPr>
          <w:p w:rsidR="009F0797" w:rsidRPr="00C2439B" w:rsidP="00FD671F">
            <w:pPr>
              <w:spacing w:line="240" w:lineRule="auto"/>
              <w:rPr>
                <w:rFonts w:ascii="Times New Roman" w:hAnsi="Times New Roman" w:cs="Times New Roman"/>
                <w:sz w:val="22"/>
                <w:szCs w:val="22"/>
              </w:rPr>
            </w:pPr>
          </w:p>
        </w:tc>
        <w:tc>
          <w:tcPr>
            <w:tcW w:w="1152" w:type="dxa"/>
            <w:tcBorders>
              <w:top w:val="nil"/>
              <w:left w:val="nil"/>
              <w:bottom w:val="single" w:sz="8" w:space="0" w:color="auto"/>
              <w:right w:val="nil"/>
              <w:tl2br w:val="nil"/>
              <w:tr2bl w:val="nil"/>
            </w:tcBorders>
            <w:noWrap/>
            <w:textDirection w:val="lrTb"/>
            <w:vAlign w:val="bottom"/>
          </w:tcPr>
          <w:p w:rsidR="009F0797" w:rsidRPr="00C2439B" w:rsidP="00FD671F">
            <w:pPr>
              <w:spacing w:line="240" w:lineRule="auto"/>
              <w:rPr>
                <w:rFonts w:ascii="Times New Roman" w:hAnsi="Times New Roman" w:cs="Times New Roman"/>
                <w:sz w:val="22"/>
                <w:szCs w:val="22"/>
              </w:rPr>
            </w:pPr>
          </w:p>
        </w:tc>
        <w:tc>
          <w:tcPr>
            <w:tcW w:w="1152" w:type="dxa"/>
            <w:tcBorders>
              <w:top w:val="nil"/>
              <w:left w:val="nil"/>
              <w:bottom w:val="single" w:sz="8" w:space="0" w:color="auto"/>
              <w:right w:val="nil"/>
              <w:tl2br w:val="nil"/>
              <w:tr2bl w:val="nil"/>
            </w:tcBorders>
            <w:noWrap/>
            <w:textDirection w:val="lrTb"/>
            <w:vAlign w:val="bottom"/>
          </w:tcPr>
          <w:p w:rsidR="009F0797" w:rsidRPr="00C2439B" w:rsidP="00FD671F">
            <w:pPr>
              <w:spacing w:line="240" w:lineRule="auto"/>
              <w:rPr>
                <w:rFonts w:ascii="Times New Roman" w:hAnsi="Times New Roman" w:cs="Times New Roman"/>
                <w:sz w:val="22"/>
                <w:szCs w:val="22"/>
              </w:rPr>
            </w:pPr>
          </w:p>
        </w:tc>
        <w:tc>
          <w:tcPr>
            <w:tcW w:w="1210" w:type="dxa"/>
            <w:tcBorders>
              <w:top w:val="nil"/>
              <w:left w:val="nil"/>
              <w:bottom w:val="single" w:sz="4" w:space="0" w:color="auto"/>
              <w:right w:val="single" w:sz="8" w:space="0" w:color="FFFFFF"/>
              <w:tl2br w:val="nil"/>
              <w:tr2bl w:val="nil"/>
            </w:tcBorders>
            <w:noWrap/>
            <w:textDirection w:val="lrTb"/>
            <w:vAlign w:val="bottom"/>
          </w:tcPr>
          <w:p w:rsidR="009F0797" w:rsidRPr="007F17F1" w:rsidP="00FD671F">
            <w:pPr>
              <w:spacing w:line="240" w:lineRule="auto"/>
              <w:jc w:val="right"/>
              <w:rPr>
                <w:rFonts w:ascii="Times New Roman" w:hAnsi="Times New Roman" w:cs="Times New Roman"/>
                <w:sz w:val="24"/>
                <w:szCs w:val="24"/>
              </w:rPr>
            </w:pPr>
            <w:r w:rsidR="007F17F1">
              <w:rPr>
                <w:rFonts w:ascii="Times New Roman" w:hAnsi="Times New Roman" w:cs="Times New Roman"/>
                <w:sz w:val="24"/>
                <w:szCs w:val="24"/>
              </w:rPr>
              <w:t>(</w:t>
            </w:r>
            <w:r w:rsidRPr="007F17F1" w:rsidR="007F17F1">
              <w:rPr>
                <w:rFonts w:ascii="Times New Roman" w:hAnsi="Times New Roman" w:cs="Times New Roman"/>
                <w:sz w:val="24"/>
                <w:szCs w:val="24"/>
              </w:rPr>
              <w:t>v tis. S</w:t>
            </w:r>
            <w:r w:rsidR="007F17F1">
              <w:rPr>
                <w:rFonts w:ascii="Times New Roman" w:hAnsi="Times New Roman" w:cs="Times New Roman"/>
                <w:sz w:val="24"/>
                <w:szCs w:val="24"/>
              </w:rPr>
              <w:t>k)</w:t>
            </w:r>
          </w:p>
        </w:tc>
      </w:tr>
      <w:tr>
        <w:tblPrEx>
          <w:tblW w:w="8845" w:type="dxa"/>
          <w:tblInd w:w="70" w:type="dxa"/>
          <w:tblCellMar>
            <w:left w:w="70" w:type="dxa"/>
            <w:right w:w="70" w:type="dxa"/>
          </w:tblCellMar>
        </w:tblPrEx>
        <w:trPr>
          <w:trHeight w:val="269"/>
        </w:trPr>
        <w:tc>
          <w:tcPr>
            <w:tcW w:w="2907" w:type="dxa"/>
            <w:vMerge w:val="restart"/>
            <w:tcBorders>
              <w:top w:val="single" w:sz="8" w:space="0" w:color="auto"/>
              <w:left w:val="single" w:sz="8" w:space="0" w:color="auto"/>
              <w:bottom w:val="single" w:sz="8" w:space="0" w:color="auto"/>
              <w:right w:val="nil"/>
              <w:tl2br w:val="nil"/>
              <w:tr2bl w:val="nil"/>
            </w:tcBorders>
            <w:shd w:val="clear" w:color="auto" w:fill="C0C0C0"/>
            <w:noWrap/>
            <w:textDirection w:val="lrTb"/>
            <w:vAlign w:val="center"/>
          </w:tcPr>
          <w:p w:rsidR="007F17F1" w:rsidRPr="007F17F1" w:rsidP="00FD671F">
            <w:pPr>
              <w:spacing w:line="240" w:lineRule="auto"/>
              <w:jc w:val="center"/>
              <w:rPr>
                <w:rFonts w:ascii="Times New Roman" w:hAnsi="Times New Roman" w:cs="Times New Roman"/>
                <w:b/>
                <w:bCs/>
                <w:sz w:val="22"/>
                <w:szCs w:val="22"/>
              </w:rPr>
            </w:pPr>
            <w:r w:rsidRPr="00C2439B">
              <w:rPr>
                <w:rFonts w:ascii="Times New Roman" w:hAnsi="Times New Roman" w:cs="Times New Roman"/>
                <w:b/>
                <w:bCs/>
                <w:sz w:val="22"/>
                <w:szCs w:val="22"/>
              </w:rPr>
              <w:t>Špecifikácia záväzkov</w:t>
            </w:r>
          </w:p>
        </w:tc>
        <w:tc>
          <w:tcPr>
            <w:tcW w:w="4728" w:type="dxa"/>
            <w:gridSpan w:val="4"/>
            <w:tcBorders>
              <w:top w:val="single" w:sz="8" w:space="0" w:color="auto"/>
              <w:left w:val="single" w:sz="8" w:space="0" w:color="auto"/>
              <w:bottom w:val="single" w:sz="8" w:space="0" w:color="auto"/>
              <w:right w:val="single" w:sz="4" w:space="0" w:color="auto"/>
              <w:tl2br w:val="nil"/>
              <w:tr2bl w:val="nil"/>
            </w:tcBorders>
            <w:shd w:val="clear" w:color="auto" w:fill="C0C0C0"/>
            <w:noWrap/>
            <w:textDirection w:val="lrTb"/>
            <w:vAlign w:val="center"/>
          </w:tcPr>
          <w:p w:rsidR="007F17F1" w:rsidRPr="00C2439B" w:rsidP="00FD671F">
            <w:pPr>
              <w:spacing w:line="240" w:lineRule="auto"/>
              <w:jc w:val="center"/>
              <w:rPr>
                <w:rFonts w:ascii="Times New Roman" w:hAnsi="Times New Roman" w:cs="Times New Roman"/>
                <w:b/>
                <w:bCs/>
                <w:sz w:val="22"/>
                <w:szCs w:val="22"/>
              </w:rPr>
            </w:pPr>
            <w:r w:rsidRPr="00C2439B">
              <w:rPr>
                <w:rFonts w:ascii="Times New Roman" w:hAnsi="Times New Roman" w:cs="Times New Roman"/>
                <w:b/>
                <w:bCs/>
                <w:sz w:val="22"/>
                <w:szCs w:val="22"/>
              </w:rPr>
              <w:t>Stav k</w:t>
            </w:r>
          </w:p>
        </w:tc>
        <w:tc>
          <w:tcPr>
            <w:tcW w:w="1210" w:type="dxa"/>
            <w:tcBorders>
              <w:top w:val="single" w:sz="4" w:space="0" w:color="auto"/>
              <w:left w:val="single" w:sz="4" w:space="0" w:color="auto"/>
              <w:bottom w:val="nil"/>
              <w:right w:val="single" w:sz="4" w:space="0" w:color="auto"/>
              <w:tl2br w:val="nil"/>
              <w:tr2bl w:val="nil"/>
            </w:tcBorders>
            <w:shd w:val="clear" w:color="auto" w:fill="C0C0C0"/>
            <w:noWrap/>
            <w:textDirection w:val="lrTb"/>
            <w:vAlign w:val="bottom"/>
          </w:tcPr>
          <w:p w:rsidR="007F17F1" w:rsidRPr="00C2439B" w:rsidP="00FD671F">
            <w:pPr>
              <w:spacing w:line="240" w:lineRule="auto"/>
              <w:jc w:val="center"/>
              <w:rPr>
                <w:rFonts w:ascii="Times New Roman" w:hAnsi="Times New Roman" w:cs="Times New Roman"/>
                <w:b/>
                <w:bCs/>
                <w:sz w:val="22"/>
                <w:szCs w:val="22"/>
              </w:rPr>
            </w:pPr>
            <w:r w:rsidRPr="00C2439B">
              <w:rPr>
                <w:rFonts w:ascii="Times New Roman" w:hAnsi="Times New Roman" w:cs="Times New Roman"/>
                <w:b/>
                <w:bCs/>
                <w:sz w:val="22"/>
                <w:szCs w:val="22"/>
              </w:rPr>
              <w:t>Rozdiel</w:t>
            </w:r>
          </w:p>
        </w:tc>
      </w:tr>
      <w:tr>
        <w:tblPrEx>
          <w:tblW w:w="8845" w:type="dxa"/>
          <w:tblInd w:w="70" w:type="dxa"/>
          <w:tblCellMar>
            <w:left w:w="70" w:type="dxa"/>
            <w:right w:w="70" w:type="dxa"/>
          </w:tblCellMar>
        </w:tblPrEx>
        <w:trPr>
          <w:trHeight w:val="254"/>
        </w:trPr>
        <w:tc>
          <w:tcPr>
            <w:tcW w:w="2907" w:type="dxa"/>
            <w:vMerge/>
            <w:tcBorders>
              <w:top w:val="single" w:sz="8" w:space="0" w:color="auto"/>
              <w:left w:val="single" w:sz="8" w:space="0" w:color="auto"/>
              <w:bottom w:val="single" w:sz="8" w:space="0" w:color="auto"/>
              <w:right w:val="nil"/>
              <w:tl2br w:val="nil"/>
              <w:tr2bl w:val="nil"/>
            </w:tcBorders>
            <w:shd w:val="clear" w:color="auto" w:fill="C0C0C0"/>
            <w:noWrap/>
            <w:textDirection w:val="lrTb"/>
            <w:vAlign w:val="bottom"/>
          </w:tcPr>
          <w:p w:rsidR="007F17F1" w:rsidRPr="00C2439B" w:rsidP="00FD671F">
            <w:pPr>
              <w:spacing w:line="240" w:lineRule="auto"/>
              <w:rPr>
                <w:rFonts w:ascii="Times New Roman" w:hAnsi="Times New Roman" w:cs="Times New Roman"/>
                <w:sz w:val="22"/>
                <w:szCs w:val="22"/>
              </w:rPr>
            </w:pPr>
          </w:p>
        </w:tc>
        <w:tc>
          <w:tcPr>
            <w:tcW w:w="1272" w:type="dxa"/>
            <w:vMerge w:val="restart"/>
            <w:tcBorders>
              <w:top w:val="single" w:sz="8" w:space="0" w:color="auto"/>
              <w:left w:val="single" w:sz="8" w:space="0" w:color="auto"/>
              <w:bottom w:val="single" w:sz="8" w:space="0" w:color="auto"/>
              <w:right w:val="single" w:sz="8" w:space="0" w:color="auto"/>
              <w:tl2br w:val="nil"/>
              <w:tr2bl w:val="nil"/>
            </w:tcBorders>
            <w:shd w:val="clear" w:color="auto" w:fill="C0C0C0"/>
            <w:noWrap/>
            <w:textDirection w:val="lrTb"/>
            <w:vAlign w:val="center"/>
          </w:tcPr>
          <w:p w:rsidR="007F17F1" w:rsidRPr="00FD671F" w:rsidP="00FD671F">
            <w:pPr>
              <w:spacing w:line="240" w:lineRule="auto"/>
              <w:jc w:val="center"/>
              <w:rPr>
                <w:rFonts w:ascii="Times New Roman" w:hAnsi="Times New Roman" w:cs="Times New Roman"/>
                <w:b/>
                <w:sz w:val="22"/>
                <w:szCs w:val="22"/>
              </w:rPr>
            </w:pPr>
            <w:r w:rsidRPr="00FD671F">
              <w:rPr>
                <w:rFonts w:ascii="Times New Roman" w:hAnsi="Times New Roman" w:cs="Times New Roman"/>
                <w:b/>
                <w:sz w:val="22"/>
                <w:szCs w:val="22"/>
              </w:rPr>
              <w:t>1.1.2005</w:t>
            </w:r>
          </w:p>
        </w:tc>
        <w:tc>
          <w:tcPr>
            <w:tcW w:w="1152" w:type="dxa"/>
            <w:vMerge w:val="restart"/>
            <w:tcBorders>
              <w:top w:val="single" w:sz="8" w:space="0" w:color="auto"/>
              <w:left w:val="nil"/>
              <w:bottom w:val="single" w:sz="8" w:space="0" w:color="auto"/>
              <w:right w:val="single" w:sz="8" w:space="0" w:color="auto"/>
              <w:tl2br w:val="nil"/>
              <w:tr2bl w:val="nil"/>
            </w:tcBorders>
            <w:shd w:val="clear" w:color="auto" w:fill="C0C0C0"/>
            <w:noWrap/>
            <w:textDirection w:val="lrTb"/>
            <w:vAlign w:val="center"/>
          </w:tcPr>
          <w:p w:rsidR="007F17F1" w:rsidRPr="00FD671F" w:rsidP="00FD671F">
            <w:pPr>
              <w:spacing w:line="240" w:lineRule="auto"/>
              <w:jc w:val="center"/>
              <w:rPr>
                <w:rFonts w:ascii="Times New Roman" w:hAnsi="Times New Roman" w:cs="Times New Roman"/>
                <w:b/>
                <w:sz w:val="22"/>
                <w:szCs w:val="22"/>
              </w:rPr>
            </w:pPr>
            <w:r w:rsidRPr="00FD671F">
              <w:rPr>
                <w:rFonts w:ascii="Times New Roman" w:hAnsi="Times New Roman" w:cs="Times New Roman"/>
                <w:b/>
                <w:sz w:val="22"/>
                <w:szCs w:val="22"/>
              </w:rPr>
              <w:t>31.12.2005</w:t>
            </w:r>
          </w:p>
        </w:tc>
        <w:tc>
          <w:tcPr>
            <w:tcW w:w="1152" w:type="dxa"/>
            <w:vMerge w:val="restart"/>
            <w:tcBorders>
              <w:top w:val="single" w:sz="8" w:space="0" w:color="auto"/>
              <w:left w:val="nil"/>
              <w:bottom w:val="single" w:sz="8" w:space="0" w:color="auto"/>
              <w:right w:val="nil"/>
              <w:tl2br w:val="nil"/>
              <w:tr2bl w:val="nil"/>
            </w:tcBorders>
            <w:shd w:val="clear" w:color="auto" w:fill="C0C0C0"/>
            <w:noWrap/>
            <w:textDirection w:val="lrTb"/>
            <w:vAlign w:val="center"/>
          </w:tcPr>
          <w:p w:rsidR="007F17F1" w:rsidRPr="00FD671F" w:rsidP="00FD671F">
            <w:pPr>
              <w:spacing w:line="240" w:lineRule="auto"/>
              <w:jc w:val="center"/>
              <w:rPr>
                <w:rFonts w:ascii="Times New Roman" w:hAnsi="Times New Roman" w:cs="Times New Roman"/>
                <w:b/>
                <w:sz w:val="22"/>
                <w:szCs w:val="22"/>
              </w:rPr>
            </w:pPr>
            <w:r w:rsidRPr="00FD671F">
              <w:rPr>
                <w:rFonts w:ascii="Times New Roman" w:hAnsi="Times New Roman" w:cs="Times New Roman"/>
                <w:b/>
                <w:sz w:val="22"/>
                <w:szCs w:val="22"/>
              </w:rPr>
              <w:t>31.12.2006</w:t>
            </w:r>
          </w:p>
        </w:tc>
        <w:tc>
          <w:tcPr>
            <w:tcW w:w="1152" w:type="dxa"/>
            <w:vMerge w:val="restart"/>
            <w:tcBorders>
              <w:top w:val="single" w:sz="8" w:space="0" w:color="auto"/>
              <w:left w:val="single" w:sz="8" w:space="0" w:color="auto"/>
              <w:bottom w:val="single" w:sz="8" w:space="0" w:color="auto"/>
              <w:right w:val="single" w:sz="4" w:space="0" w:color="auto"/>
              <w:tl2br w:val="nil"/>
              <w:tr2bl w:val="nil"/>
            </w:tcBorders>
            <w:shd w:val="clear" w:color="auto" w:fill="C0C0C0"/>
            <w:noWrap/>
            <w:textDirection w:val="lrTb"/>
            <w:vAlign w:val="center"/>
          </w:tcPr>
          <w:p w:rsidR="007F17F1" w:rsidRPr="00FD671F" w:rsidP="00FD671F">
            <w:pPr>
              <w:spacing w:line="240" w:lineRule="auto"/>
              <w:jc w:val="center"/>
              <w:rPr>
                <w:rFonts w:ascii="Times New Roman" w:hAnsi="Times New Roman" w:cs="Times New Roman"/>
                <w:b/>
                <w:sz w:val="22"/>
                <w:szCs w:val="22"/>
              </w:rPr>
            </w:pPr>
            <w:r w:rsidRPr="00FD671F">
              <w:rPr>
                <w:rFonts w:ascii="Times New Roman" w:hAnsi="Times New Roman" w:cs="Times New Roman"/>
                <w:b/>
                <w:sz w:val="22"/>
                <w:szCs w:val="22"/>
              </w:rPr>
              <w:t>31.12.2007</w:t>
            </w:r>
          </w:p>
        </w:tc>
        <w:tc>
          <w:tcPr>
            <w:tcW w:w="1210" w:type="dxa"/>
            <w:tcBorders>
              <w:top w:val="nil"/>
              <w:left w:val="single" w:sz="4" w:space="0" w:color="auto"/>
              <w:bottom w:val="nil"/>
              <w:right w:val="single" w:sz="4" w:space="0" w:color="auto"/>
              <w:tl2br w:val="nil"/>
              <w:tr2bl w:val="nil"/>
            </w:tcBorders>
            <w:shd w:val="clear" w:color="auto" w:fill="C0C0C0"/>
            <w:noWrap/>
            <w:textDirection w:val="lrTb"/>
            <w:vAlign w:val="bottom"/>
          </w:tcPr>
          <w:p w:rsidR="007F17F1" w:rsidRPr="00FD671F" w:rsidP="00FD671F">
            <w:pPr>
              <w:spacing w:line="240" w:lineRule="auto"/>
              <w:jc w:val="center"/>
              <w:rPr>
                <w:rFonts w:ascii="Times New Roman" w:hAnsi="Times New Roman" w:cs="Times New Roman"/>
                <w:b/>
                <w:sz w:val="22"/>
                <w:szCs w:val="22"/>
              </w:rPr>
            </w:pPr>
            <w:r w:rsidRPr="00FD671F">
              <w:rPr>
                <w:rFonts w:ascii="Times New Roman" w:hAnsi="Times New Roman" w:cs="Times New Roman"/>
                <w:b/>
                <w:sz w:val="22"/>
                <w:szCs w:val="22"/>
              </w:rPr>
              <w:t>31.12.2007</w:t>
            </w:r>
          </w:p>
        </w:tc>
      </w:tr>
      <w:tr>
        <w:tblPrEx>
          <w:tblW w:w="8845" w:type="dxa"/>
          <w:tblInd w:w="70" w:type="dxa"/>
          <w:tblCellMar>
            <w:left w:w="70" w:type="dxa"/>
            <w:right w:w="70" w:type="dxa"/>
          </w:tblCellMar>
        </w:tblPrEx>
        <w:trPr>
          <w:trHeight w:val="269"/>
        </w:trPr>
        <w:tc>
          <w:tcPr>
            <w:tcW w:w="2907" w:type="dxa"/>
            <w:vMerge/>
            <w:tcBorders>
              <w:top w:val="single" w:sz="8" w:space="0" w:color="auto"/>
              <w:left w:val="single" w:sz="8" w:space="0" w:color="auto"/>
              <w:bottom w:val="single" w:sz="8" w:space="0" w:color="auto"/>
              <w:right w:val="single" w:sz="8" w:space="0" w:color="auto"/>
              <w:tl2br w:val="nil"/>
              <w:tr2bl w:val="nil"/>
            </w:tcBorders>
            <w:shd w:val="clear" w:color="auto" w:fill="C0C0C0"/>
            <w:noWrap/>
            <w:textDirection w:val="lrTb"/>
            <w:vAlign w:val="bottom"/>
          </w:tcPr>
          <w:p w:rsidR="007F17F1" w:rsidRPr="00C2439B" w:rsidP="00FD671F">
            <w:pPr>
              <w:spacing w:line="240" w:lineRule="auto"/>
              <w:rPr>
                <w:rFonts w:ascii="Times New Roman" w:hAnsi="Times New Roman" w:cs="Times New Roman"/>
                <w:sz w:val="22"/>
                <w:szCs w:val="22"/>
              </w:rPr>
            </w:pPr>
          </w:p>
        </w:tc>
        <w:tc>
          <w:tcPr>
            <w:tcW w:w="1272" w:type="dxa"/>
            <w:vMerge/>
            <w:tcBorders>
              <w:top w:val="single" w:sz="8" w:space="0" w:color="auto"/>
              <w:left w:val="single" w:sz="8" w:space="0" w:color="auto"/>
              <w:bottom w:val="single" w:sz="8" w:space="0" w:color="auto"/>
              <w:right w:val="single" w:sz="8" w:space="0" w:color="auto"/>
              <w:tl2br w:val="nil"/>
              <w:tr2bl w:val="nil"/>
            </w:tcBorders>
            <w:shd w:val="clear" w:color="auto" w:fill="C0C0C0"/>
            <w:noWrap/>
            <w:textDirection w:val="lrTb"/>
            <w:vAlign w:val="bottom"/>
          </w:tcPr>
          <w:p w:rsidR="007F17F1" w:rsidRPr="00C2439B" w:rsidP="00FD671F">
            <w:pPr>
              <w:spacing w:line="240" w:lineRule="auto"/>
              <w:jc w:val="center"/>
              <w:rPr>
                <w:rFonts w:ascii="Times New Roman" w:hAnsi="Times New Roman" w:cs="Times New Roman"/>
                <w:sz w:val="22"/>
                <w:szCs w:val="22"/>
              </w:rPr>
            </w:pPr>
          </w:p>
        </w:tc>
        <w:tc>
          <w:tcPr>
            <w:tcW w:w="1152" w:type="dxa"/>
            <w:vMerge/>
            <w:tcBorders>
              <w:top w:val="nil"/>
              <w:left w:val="single" w:sz="8" w:space="0" w:color="auto"/>
              <w:bottom w:val="single" w:sz="8" w:space="0" w:color="auto"/>
              <w:right w:val="single" w:sz="8" w:space="0" w:color="auto"/>
              <w:tl2br w:val="nil"/>
              <w:tr2bl w:val="nil"/>
            </w:tcBorders>
            <w:shd w:val="clear" w:color="auto" w:fill="C0C0C0"/>
            <w:noWrap/>
            <w:textDirection w:val="lrTb"/>
            <w:vAlign w:val="bottom"/>
          </w:tcPr>
          <w:p w:rsidR="007F17F1" w:rsidRPr="00C2439B" w:rsidP="00FD671F">
            <w:pPr>
              <w:spacing w:line="240" w:lineRule="auto"/>
              <w:jc w:val="center"/>
              <w:rPr>
                <w:rFonts w:ascii="Times New Roman" w:hAnsi="Times New Roman" w:cs="Times New Roman"/>
                <w:sz w:val="22"/>
                <w:szCs w:val="22"/>
              </w:rPr>
            </w:pPr>
          </w:p>
        </w:tc>
        <w:tc>
          <w:tcPr>
            <w:tcW w:w="1152" w:type="dxa"/>
            <w:vMerge/>
            <w:tcBorders>
              <w:top w:val="nil"/>
              <w:left w:val="single" w:sz="8" w:space="0" w:color="auto"/>
              <w:bottom w:val="single" w:sz="8" w:space="0" w:color="auto"/>
              <w:right w:val="single" w:sz="8" w:space="0" w:color="auto"/>
              <w:tl2br w:val="nil"/>
              <w:tr2bl w:val="nil"/>
            </w:tcBorders>
            <w:shd w:val="clear" w:color="auto" w:fill="C0C0C0"/>
            <w:noWrap/>
            <w:textDirection w:val="lrTb"/>
            <w:vAlign w:val="bottom"/>
          </w:tcPr>
          <w:p w:rsidR="007F17F1" w:rsidRPr="00C2439B" w:rsidP="00FD671F">
            <w:pPr>
              <w:spacing w:line="240" w:lineRule="auto"/>
              <w:jc w:val="center"/>
              <w:rPr>
                <w:rFonts w:ascii="Times New Roman" w:hAnsi="Times New Roman" w:cs="Times New Roman"/>
                <w:sz w:val="22"/>
                <w:szCs w:val="22"/>
              </w:rPr>
            </w:pPr>
          </w:p>
        </w:tc>
        <w:tc>
          <w:tcPr>
            <w:tcW w:w="1152" w:type="dxa"/>
            <w:vMerge/>
            <w:tcBorders>
              <w:top w:val="nil"/>
              <w:left w:val="single" w:sz="8" w:space="0" w:color="auto"/>
              <w:bottom w:val="single" w:sz="8" w:space="0" w:color="auto"/>
              <w:right w:val="single" w:sz="4" w:space="0" w:color="auto"/>
              <w:tl2br w:val="nil"/>
              <w:tr2bl w:val="nil"/>
            </w:tcBorders>
            <w:shd w:val="clear" w:color="auto" w:fill="C0C0C0"/>
            <w:noWrap/>
            <w:textDirection w:val="lrTb"/>
            <w:vAlign w:val="bottom"/>
          </w:tcPr>
          <w:p w:rsidR="007F17F1" w:rsidRPr="00C2439B" w:rsidP="00FD671F">
            <w:pPr>
              <w:spacing w:line="240" w:lineRule="auto"/>
              <w:jc w:val="center"/>
              <w:rPr>
                <w:rFonts w:ascii="Times New Roman" w:hAnsi="Times New Roman" w:cs="Times New Roman"/>
                <w:sz w:val="22"/>
                <w:szCs w:val="22"/>
              </w:rPr>
            </w:pPr>
          </w:p>
        </w:tc>
        <w:tc>
          <w:tcPr>
            <w:tcW w:w="1210" w:type="dxa"/>
            <w:tcBorders>
              <w:top w:val="nil"/>
              <w:left w:val="single" w:sz="4" w:space="0" w:color="auto"/>
              <w:bottom w:val="single" w:sz="4" w:space="0" w:color="auto"/>
              <w:right w:val="single" w:sz="4" w:space="0" w:color="auto"/>
              <w:tl2br w:val="nil"/>
              <w:tr2bl w:val="nil"/>
            </w:tcBorders>
            <w:shd w:val="clear" w:color="auto" w:fill="C0C0C0"/>
            <w:noWrap/>
            <w:textDirection w:val="lrTb"/>
            <w:vAlign w:val="bottom"/>
          </w:tcPr>
          <w:p w:rsidR="007F17F1" w:rsidRPr="00FD671F" w:rsidP="00FD671F">
            <w:pPr>
              <w:spacing w:line="240" w:lineRule="auto"/>
              <w:jc w:val="center"/>
              <w:rPr>
                <w:rFonts w:ascii="Times New Roman" w:hAnsi="Times New Roman" w:cs="Times New Roman"/>
                <w:b/>
                <w:sz w:val="22"/>
                <w:szCs w:val="22"/>
              </w:rPr>
            </w:pPr>
            <w:r w:rsidRPr="00FD671F">
              <w:rPr>
                <w:rFonts w:ascii="Times New Roman" w:hAnsi="Times New Roman" w:cs="Times New Roman"/>
                <w:b/>
                <w:sz w:val="22"/>
                <w:szCs w:val="22"/>
              </w:rPr>
              <w:t xml:space="preserve"> - 31.12.2006</w:t>
            </w:r>
          </w:p>
        </w:tc>
      </w:tr>
      <w:tr>
        <w:tblPrEx>
          <w:tblW w:w="8845" w:type="dxa"/>
          <w:tblInd w:w="70" w:type="dxa"/>
          <w:tblCellMar>
            <w:left w:w="70" w:type="dxa"/>
            <w:right w:w="70" w:type="dxa"/>
          </w:tblCellMar>
        </w:tblPrEx>
        <w:trPr>
          <w:trHeight w:hRule="exact" w:val="340"/>
        </w:trPr>
        <w:tc>
          <w:tcPr>
            <w:tcW w:w="2907" w:type="dxa"/>
            <w:tcBorders>
              <w:top w:val="single" w:sz="8" w:space="0" w:color="auto"/>
              <w:left w:val="single" w:sz="8" w:space="0" w:color="auto"/>
              <w:bottom w:val="single" w:sz="8" w:space="0" w:color="auto"/>
              <w:right w:val="nil"/>
              <w:tl2br w:val="nil"/>
              <w:tr2bl w:val="nil"/>
            </w:tcBorders>
            <w:noWrap/>
            <w:textDirection w:val="lrTb"/>
            <w:vAlign w:val="center"/>
          </w:tcPr>
          <w:p w:rsidR="009F0797" w:rsidRPr="00C2439B" w:rsidP="00FD671F">
            <w:pPr>
              <w:spacing w:line="240" w:lineRule="auto"/>
              <w:rPr>
                <w:rFonts w:ascii="Times New Roman" w:hAnsi="Times New Roman" w:cs="Times New Roman"/>
                <w:sz w:val="22"/>
                <w:szCs w:val="22"/>
              </w:rPr>
            </w:pPr>
            <w:r w:rsidRPr="00C2439B">
              <w:rPr>
                <w:rFonts w:ascii="Times New Roman" w:hAnsi="Times New Roman" w:cs="Times New Roman"/>
                <w:sz w:val="22"/>
                <w:szCs w:val="22"/>
              </w:rPr>
              <w:t>Dlhodobé záväzky</w:t>
            </w:r>
          </w:p>
        </w:tc>
        <w:tc>
          <w:tcPr>
            <w:tcW w:w="1272" w:type="dxa"/>
            <w:tcBorders>
              <w:top w:val="single" w:sz="8" w:space="0" w:color="auto"/>
              <w:left w:val="single" w:sz="8" w:space="0" w:color="auto"/>
              <w:bottom w:val="single" w:sz="8" w:space="0" w:color="auto"/>
              <w:right w:val="single" w:sz="8" w:space="0" w:color="auto"/>
              <w:tl2br w:val="nil"/>
              <w:tr2bl w:val="nil"/>
            </w:tcBorders>
            <w:noWrap/>
            <w:textDirection w:val="lrTb"/>
            <w:vAlign w:val="center"/>
          </w:tcPr>
          <w:p w:rsidR="009F0797" w:rsidRPr="00C2439B" w:rsidP="00FD671F">
            <w:pPr>
              <w:spacing w:line="240" w:lineRule="auto"/>
              <w:jc w:val="right"/>
              <w:rPr>
                <w:rFonts w:ascii="Times New Roman" w:hAnsi="Times New Roman" w:cs="Times New Roman"/>
                <w:sz w:val="22"/>
                <w:szCs w:val="22"/>
              </w:rPr>
            </w:pPr>
            <w:r w:rsidRPr="00C2439B">
              <w:rPr>
                <w:rFonts w:ascii="Times New Roman" w:hAnsi="Times New Roman" w:cs="Times New Roman"/>
                <w:sz w:val="22"/>
                <w:szCs w:val="22"/>
              </w:rPr>
              <w:t>1 474 486</w:t>
            </w:r>
          </w:p>
        </w:tc>
        <w:tc>
          <w:tcPr>
            <w:tcW w:w="1152" w:type="dxa"/>
            <w:tcBorders>
              <w:top w:val="single" w:sz="8" w:space="0" w:color="auto"/>
              <w:left w:val="nil"/>
              <w:bottom w:val="single" w:sz="8" w:space="0" w:color="auto"/>
              <w:right w:val="single" w:sz="8" w:space="0" w:color="auto"/>
              <w:tl2br w:val="nil"/>
              <w:tr2bl w:val="nil"/>
            </w:tcBorders>
            <w:noWrap/>
            <w:textDirection w:val="lrTb"/>
            <w:vAlign w:val="center"/>
          </w:tcPr>
          <w:p w:rsidR="009F0797" w:rsidRPr="00C2439B" w:rsidP="00FD671F">
            <w:pPr>
              <w:spacing w:line="240" w:lineRule="auto"/>
              <w:jc w:val="right"/>
              <w:rPr>
                <w:rFonts w:ascii="Times New Roman" w:hAnsi="Times New Roman" w:cs="Times New Roman"/>
                <w:sz w:val="22"/>
                <w:szCs w:val="22"/>
              </w:rPr>
            </w:pPr>
            <w:r w:rsidRPr="00C2439B">
              <w:rPr>
                <w:rFonts w:ascii="Times New Roman" w:hAnsi="Times New Roman" w:cs="Times New Roman"/>
                <w:sz w:val="22"/>
                <w:szCs w:val="22"/>
              </w:rPr>
              <w:t>1 817 894</w:t>
            </w:r>
          </w:p>
        </w:tc>
        <w:tc>
          <w:tcPr>
            <w:tcW w:w="1152" w:type="dxa"/>
            <w:tcBorders>
              <w:top w:val="single" w:sz="8" w:space="0" w:color="auto"/>
              <w:left w:val="nil"/>
              <w:bottom w:val="single" w:sz="8" w:space="0" w:color="auto"/>
              <w:right w:val="single" w:sz="8" w:space="0" w:color="auto"/>
              <w:tl2br w:val="nil"/>
              <w:tr2bl w:val="nil"/>
            </w:tcBorders>
            <w:noWrap/>
            <w:textDirection w:val="lrTb"/>
            <w:vAlign w:val="center"/>
          </w:tcPr>
          <w:p w:rsidR="009F0797" w:rsidRPr="00C2439B" w:rsidP="00FD671F">
            <w:pPr>
              <w:spacing w:line="240" w:lineRule="auto"/>
              <w:jc w:val="right"/>
              <w:rPr>
                <w:rFonts w:ascii="Times New Roman" w:hAnsi="Times New Roman" w:cs="Times New Roman"/>
                <w:sz w:val="22"/>
                <w:szCs w:val="22"/>
                <w:highlight w:val="yellow"/>
              </w:rPr>
            </w:pPr>
            <w:r w:rsidRPr="00C2439B">
              <w:rPr>
                <w:rFonts w:ascii="Times New Roman" w:hAnsi="Times New Roman" w:cs="Times New Roman"/>
                <w:sz w:val="22"/>
                <w:szCs w:val="22"/>
              </w:rPr>
              <w:t>2 697 832</w:t>
            </w:r>
          </w:p>
        </w:tc>
        <w:tc>
          <w:tcPr>
            <w:tcW w:w="1152" w:type="dxa"/>
            <w:tcBorders>
              <w:top w:val="single" w:sz="8" w:space="0" w:color="auto"/>
              <w:left w:val="nil"/>
              <w:bottom w:val="single" w:sz="8" w:space="0" w:color="auto"/>
              <w:right w:val="nil"/>
              <w:tl2br w:val="nil"/>
              <w:tr2bl w:val="nil"/>
            </w:tcBorders>
            <w:noWrap/>
            <w:textDirection w:val="lrTb"/>
            <w:vAlign w:val="center"/>
          </w:tcPr>
          <w:p w:rsidR="009F0797" w:rsidRPr="00C2439B" w:rsidP="00FD671F">
            <w:pPr>
              <w:spacing w:line="240" w:lineRule="auto"/>
              <w:jc w:val="right"/>
              <w:rPr>
                <w:rFonts w:ascii="Times New Roman" w:hAnsi="Times New Roman" w:cs="Times New Roman"/>
                <w:sz w:val="22"/>
                <w:szCs w:val="22"/>
              </w:rPr>
            </w:pPr>
            <w:r w:rsidR="00045A66">
              <w:rPr>
                <w:rFonts w:ascii="Times New Roman" w:hAnsi="Times New Roman" w:cs="Times New Roman"/>
                <w:sz w:val="22"/>
                <w:szCs w:val="22"/>
              </w:rPr>
              <w:t>3 214 078</w:t>
            </w:r>
          </w:p>
        </w:tc>
        <w:tc>
          <w:tcPr>
            <w:tcW w:w="1210" w:type="dxa"/>
            <w:tcBorders>
              <w:top w:val="single" w:sz="4" w:space="0" w:color="auto"/>
              <w:left w:val="single" w:sz="8" w:space="0" w:color="auto"/>
              <w:bottom w:val="single" w:sz="8" w:space="0" w:color="auto"/>
              <w:right w:val="single" w:sz="8" w:space="0" w:color="auto"/>
              <w:tl2br w:val="nil"/>
              <w:tr2bl w:val="nil"/>
            </w:tcBorders>
            <w:noWrap/>
            <w:textDirection w:val="lrTb"/>
            <w:vAlign w:val="center"/>
          </w:tcPr>
          <w:p w:rsidR="009F0797" w:rsidRPr="00C2439B" w:rsidP="00FD671F">
            <w:pPr>
              <w:spacing w:line="240" w:lineRule="auto"/>
              <w:jc w:val="right"/>
              <w:rPr>
                <w:rFonts w:ascii="Times New Roman" w:hAnsi="Times New Roman" w:cs="Times New Roman"/>
                <w:sz w:val="22"/>
                <w:szCs w:val="22"/>
              </w:rPr>
            </w:pPr>
            <w:r w:rsidR="00045A66">
              <w:rPr>
                <w:rFonts w:ascii="Times New Roman" w:hAnsi="Times New Roman" w:cs="Times New Roman"/>
                <w:sz w:val="22"/>
                <w:szCs w:val="22"/>
              </w:rPr>
              <w:t>516 246</w:t>
            </w:r>
          </w:p>
        </w:tc>
      </w:tr>
      <w:tr>
        <w:tblPrEx>
          <w:tblW w:w="8845" w:type="dxa"/>
          <w:tblInd w:w="70" w:type="dxa"/>
          <w:tblCellMar>
            <w:left w:w="70" w:type="dxa"/>
            <w:right w:w="70" w:type="dxa"/>
          </w:tblCellMar>
        </w:tblPrEx>
        <w:trPr>
          <w:trHeight w:hRule="exact" w:val="340"/>
        </w:trPr>
        <w:tc>
          <w:tcPr>
            <w:tcW w:w="2907" w:type="dxa"/>
            <w:tcBorders>
              <w:top w:val="single" w:sz="8" w:space="0" w:color="auto"/>
              <w:left w:val="single" w:sz="8" w:space="0" w:color="auto"/>
              <w:bottom w:val="single" w:sz="8" w:space="0" w:color="auto"/>
              <w:right w:val="nil"/>
              <w:tl2br w:val="nil"/>
              <w:tr2bl w:val="nil"/>
            </w:tcBorders>
            <w:noWrap/>
            <w:textDirection w:val="lrTb"/>
            <w:vAlign w:val="center"/>
          </w:tcPr>
          <w:p w:rsidR="009F0797" w:rsidRPr="00C2439B" w:rsidP="00FD671F">
            <w:pPr>
              <w:spacing w:line="240" w:lineRule="auto"/>
              <w:rPr>
                <w:rFonts w:ascii="Times New Roman" w:hAnsi="Times New Roman" w:cs="Times New Roman"/>
                <w:sz w:val="22"/>
                <w:szCs w:val="22"/>
              </w:rPr>
            </w:pPr>
            <w:r w:rsidRPr="00C2439B">
              <w:rPr>
                <w:rFonts w:ascii="Times New Roman" w:hAnsi="Times New Roman" w:cs="Times New Roman"/>
                <w:sz w:val="22"/>
                <w:szCs w:val="22"/>
              </w:rPr>
              <w:t>Krátkodobé záväzky</w:t>
            </w:r>
          </w:p>
        </w:tc>
        <w:tc>
          <w:tcPr>
            <w:tcW w:w="1272" w:type="dxa"/>
            <w:tcBorders>
              <w:top w:val="single" w:sz="8" w:space="0" w:color="auto"/>
              <w:left w:val="single" w:sz="8" w:space="0" w:color="auto"/>
              <w:bottom w:val="single" w:sz="8" w:space="0" w:color="auto"/>
              <w:right w:val="single" w:sz="8" w:space="0" w:color="auto"/>
              <w:tl2br w:val="nil"/>
              <w:tr2bl w:val="nil"/>
            </w:tcBorders>
            <w:noWrap/>
            <w:textDirection w:val="lrTb"/>
            <w:vAlign w:val="center"/>
          </w:tcPr>
          <w:p w:rsidR="009F0797" w:rsidRPr="00C2439B" w:rsidP="00FD671F">
            <w:pPr>
              <w:spacing w:line="240" w:lineRule="auto"/>
              <w:jc w:val="right"/>
              <w:rPr>
                <w:rFonts w:ascii="Times New Roman" w:hAnsi="Times New Roman" w:cs="Times New Roman"/>
                <w:sz w:val="22"/>
                <w:szCs w:val="22"/>
              </w:rPr>
            </w:pPr>
            <w:r w:rsidRPr="00C2439B">
              <w:rPr>
                <w:rFonts w:ascii="Times New Roman" w:hAnsi="Times New Roman" w:cs="Times New Roman"/>
                <w:sz w:val="22"/>
                <w:szCs w:val="22"/>
              </w:rPr>
              <w:t>874 174</w:t>
            </w:r>
          </w:p>
        </w:tc>
        <w:tc>
          <w:tcPr>
            <w:tcW w:w="1152" w:type="dxa"/>
            <w:tcBorders>
              <w:top w:val="single" w:sz="8" w:space="0" w:color="auto"/>
              <w:left w:val="nil"/>
              <w:bottom w:val="single" w:sz="8" w:space="0" w:color="auto"/>
              <w:right w:val="single" w:sz="8" w:space="0" w:color="auto"/>
              <w:tl2br w:val="nil"/>
              <w:tr2bl w:val="nil"/>
            </w:tcBorders>
            <w:noWrap/>
            <w:textDirection w:val="lrTb"/>
            <w:vAlign w:val="center"/>
          </w:tcPr>
          <w:p w:rsidR="009F0797" w:rsidRPr="00C2439B" w:rsidP="00FD671F">
            <w:pPr>
              <w:spacing w:line="240" w:lineRule="auto"/>
              <w:jc w:val="right"/>
              <w:rPr>
                <w:rFonts w:ascii="Times New Roman" w:hAnsi="Times New Roman" w:cs="Times New Roman"/>
                <w:sz w:val="22"/>
                <w:szCs w:val="22"/>
              </w:rPr>
            </w:pPr>
            <w:r w:rsidRPr="00C2439B">
              <w:rPr>
                <w:rFonts w:ascii="Times New Roman" w:hAnsi="Times New Roman" w:cs="Times New Roman"/>
                <w:sz w:val="22"/>
                <w:szCs w:val="22"/>
              </w:rPr>
              <w:t>796 671</w:t>
            </w:r>
          </w:p>
        </w:tc>
        <w:tc>
          <w:tcPr>
            <w:tcW w:w="1152" w:type="dxa"/>
            <w:tcBorders>
              <w:top w:val="single" w:sz="8" w:space="0" w:color="auto"/>
              <w:left w:val="nil"/>
              <w:bottom w:val="single" w:sz="8" w:space="0" w:color="auto"/>
              <w:right w:val="single" w:sz="8" w:space="0" w:color="auto"/>
              <w:tl2br w:val="nil"/>
              <w:tr2bl w:val="nil"/>
            </w:tcBorders>
            <w:noWrap/>
            <w:textDirection w:val="lrTb"/>
            <w:vAlign w:val="center"/>
          </w:tcPr>
          <w:p w:rsidR="009F0797" w:rsidRPr="00C2439B" w:rsidP="00FD671F">
            <w:pPr>
              <w:spacing w:line="240" w:lineRule="auto"/>
              <w:jc w:val="right"/>
              <w:rPr>
                <w:rFonts w:ascii="Times New Roman" w:hAnsi="Times New Roman" w:cs="Times New Roman"/>
                <w:sz w:val="22"/>
                <w:szCs w:val="22"/>
              </w:rPr>
            </w:pPr>
            <w:r w:rsidRPr="00C2439B">
              <w:rPr>
                <w:rFonts w:ascii="Times New Roman" w:hAnsi="Times New Roman" w:cs="Times New Roman"/>
                <w:sz w:val="22"/>
                <w:szCs w:val="22"/>
              </w:rPr>
              <w:t>1 118 383</w:t>
            </w:r>
          </w:p>
        </w:tc>
        <w:tc>
          <w:tcPr>
            <w:tcW w:w="1152" w:type="dxa"/>
            <w:tcBorders>
              <w:top w:val="single" w:sz="8" w:space="0" w:color="auto"/>
              <w:left w:val="nil"/>
              <w:bottom w:val="single" w:sz="8" w:space="0" w:color="auto"/>
              <w:right w:val="nil"/>
              <w:tl2br w:val="nil"/>
              <w:tr2bl w:val="nil"/>
            </w:tcBorders>
            <w:noWrap/>
            <w:textDirection w:val="lrTb"/>
            <w:vAlign w:val="center"/>
          </w:tcPr>
          <w:p w:rsidR="009F0797" w:rsidRPr="00C2439B" w:rsidP="00FD671F">
            <w:pPr>
              <w:spacing w:line="240" w:lineRule="auto"/>
              <w:jc w:val="right"/>
              <w:rPr>
                <w:rFonts w:ascii="Times New Roman" w:hAnsi="Times New Roman" w:cs="Times New Roman"/>
                <w:sz w:val="22"/>
                <w:szCs w:val="22"/>
              </w:rPr>
            </w:pPr>
            <w:r w:rsidR="00045A66">
              <w:rPr>
                <w:rFonts w:ascii="Times New Roman" w:hAnsi="Times New Roman" w:cs="Times New Roman"/>
                <w:sz w:val="22"/>
                <w:szCs w:val="22"/>
              </w:rPr>
              <w:t>1 398 308</w:t>
            </w:r>
          </w:p>
        </w:tc>
        <w:tc>
          <w:tcPr>
            <w:tcW w:w="1210" w:type="dxa"/>
            <w:tcBorders>
              <w:top w:val="single" w:sz="8" w:space="0" w:color="auto"/>
              <w:left w:val="single" w:sz="8" w:space="0" w:color="auto"/>
              <w:bottom w:val="single" w:sz="8" w:space="0" w:color="auto"/>
              <w:right w:val="single" w:sz="8" w:space="0" w:color="auto"/>
              <w:tl2br w:val="nil"/>
              <w:tr2bl w:val="nil"/>
            </w:tcBorders>
            <w:noWrap/>
            <w:textDirection w:val="lrTb"/>
            <w:vAlign w:val="center"/>
          </w:tcPr>
          <w:p w:rsidR="009F0797" w:rsidRPr="00C2439B" w:rsidP="00FD671F">
            <w:pPr>
              <w:spacing w:line="240" w:lineRule="auto"/>
              <w:jc w:val="right"/>
              <w:rPr>
                <w:rFonts w:ascii="Times New Roman" w:hAnsi="Times New Roman" w:cs="Times New Roman"/>
                <w:sz w:val="22"/>
                <w:szCs w:val="22"/>
              </w:rPr>
            </w:pPr>
            <w:r w:rsidR="00045A66">
              <w:rPr>
                <w:rFonts w:ascii="Times New Roman" w:hAnsi="Times New Roman" w:cs="Times New Roman"/>
                <w:sz w:val="22"/>
                <w:szCs w:val="22"/>
              </w:rPr>
              <w:t>279 925</w:t>
            </w:r>
          </w:p>
        </w:tc>
      </w:tr>
      <w:tr>
        <w:tblPrEx>
          <w:tblW w:w="8845" w:type="dxa"/>
          <w:tblInd w:w="70" w:type="dxa"/>
          <w:tblCellMar>
            <w:left w:w="70" w:type="dxa"/>
            <w:right w:w="70" w:type="dxa"/>
          </w:tblCellMar>
        </w:tblPrEx>
        <w:trPr>
          <w:trHeight w:hRule="exact" w:val="340"/>
        </w:trPr>
        <w:tc>
          <w:tcPr>
            <w:tcW w:w="2907" w:type="dxa"/>
            <w:tcBorders>
              <w:top w:val="single" w:sz="8" w:space="0" w:color="auto"/>
              <w:left w:val="single" w:sz="8" w:space="0" w:color="auto"/>
              <w:bottom w:val="single" w:sz="8" w:space="0" w:color="auto"/>
              <w:right w:val="nil"/>
              <w:tl2br w:val="nil"/>
              <w:tr2bl w:val="nil"/>
            </w:tcBorders>
            <w:noWrap/>
            <w:textDirection w:val="lrTb"/>
            <w:vAlign w:val="center"/>
          </w:tcPr>
          <w:p w:rsidR="009F0797" w:rsidRPr="00C2439B" w:rsidP="00FD671F">
            <w:pPr>
              <w:spacing w:line="240" w:lineRule="auto"/>
              <w:rPr>
                <w:rFonts w:ascii="Times New Roman" w:hAnsi="Times New Roman" w:cs="Times New Roman"/>
                <w:sz w:val="22"/>
                <w:szCs w:val="22"/>
              </w:rPr>
            </w:pPr>
            <w:r w:rsidRPr="00C2439B">
              <w:rPr>
                <w:rFonts w:ascii="Times New Roman" w:hAnsi="Times New Roman" w:cs="Times New Roman"/>
                <w:sz w:val="22"/>
                <w:szCs w:val="22"/>
              </w:rPr>
              <w:t>Bankové úvery a</w:t>
            </w:r>
            <w:r w:rsidR="00EF0282">
              <w:rPr>
                <w:rFonts w:ascii="Times New Roman" w:hAnsi="Times New Roman" w:cs="Times New Roman"/>
                <w:sz w:val="22"/>
                <w:szCs w:val="22"/>
              </w:rPr>
              <w:t> </w:t>
            </w:r>
            <w:r w:rsidRPr="00C2439B">
              <w:rPr>
                <w:rFonts w:ascii="Times New Roman" w:hAnsi="Times New Roman" w:cs="Times New Roman"/>
                <w:sz w:val="22"/>
                <w:szCs w:val="22"/>
              </w:rPr>
              <w:t>výpomoci</w:t>
            </w:r>
          </w:p>
        </w:tc>
        <w:tc>
          <w:tcPr>
            <w:tcW w:w="1272" w:type="dxa"/>
            <w:tcBorders>
              <w:top w:val="single" w:sz="8" w:space="0" w:color="auto"/>
              <w:left w:val="single" w:sz="8" w:space="0" w:color="auto"/>
              <w:bottom w:val="single" w:sz="8" w:space="0" w:color="auto"/>
              <w:right w:val="single" w:sz="8" w:space="0" w:color="auto"/>
              <w:tl2br w:val="nil"/>
              <w:tr2bl w:val="nil"/>
            </w:tcBorders>
            <w:noWrap/>
            <w:textDirection w:val="lrTb"/>
            <w:vAlign w:val="center"/>
          </w:tcPr>
          <w:p w:rsidR="009F0797" w:rsidRPr="00C2439B" w:rsidP="00FD671F">
            <w:pPr>
              <w:spacing w:line="240" w:lineRule="auto"/>
              <w:jc w:val="right"/>
              <w:rPr>
                <w:rFonts w:ascii="Times New Roman" w:hAnsi="Times New Roman" w:cs="Times New Roman"/>
                <w:sz w:val="22"/>
                <w:szCs w:val="22"/>
              </w:rPr>
            </w:pPr>
            <w:r w:rsidRPr="00C2439B">
              <w:rPr>
                <w:rFonts w:ascii="Times New Roman" w:hAnsi="Times New Roman" w:cs="Times New Roman"/>
                <w:sz w:val="22"/>
                <w:szCs w:val="22"/>
              </w:rPr>
              <w:t>2 413 860</w:t>
            </w:r>
          </w:p>
        </w:tc>
        <w:tc>
          <w:tcPr>
            <w:tcW w:w="1152" w:type="dxa"/>
            <w:tcBorders>
              <w:top w:val="single" w:sz="8" w:space="0" w:color="auto"/>
              <w:left w:val="nil"/>
              <w:bottom w:val="single" w:sz="8" w:space="0" w:color="auto"/>
              <w:right w:val="single" w:sz="8" w:space="0" w:color="auto"/>
              <w:tl2br w:val="nil"/>
              <w:tr2bl w:val="nil"/>
            </w:tcBorders>
            <w:noWrap/>
            <w:textDirection w:val="lrTb"/>
            <w:vAlign w:val="center"/>
          </w:tcPr>
          <w:p w:rsidR="009F0797" w:rsidRPr="00C2439B" w:rsidP="00FD671F">
            <w:pPr>
              <w:spacing w:line="240" w:lineRule="auto"/>
              <w:jc w:val="right"/>
              <w:rPr>
                <w:rFonts w:ascii="Times New Roman" w:hAnsi="Times New Roman" w:cs="Times New Roman"/>
                <w:sz w:val="22"/>
                <w:szCs w:val="22"/>
              </w:rPr>
            </w:pPr>
            <w:r w:rsidRPr="00C2439B">
              <w:rPr>
                <w:rFonts w:ascii="Times New Roman" w:hAnsi="Times New Roman" w:cs="Times New Roman"/>
                <w:sz w:val="22"/>
                <w:szCs w:val="22"/>
              </w:rPr>
              <w:t>2 761 705</w:t>
            </w:r>
          </w:p>
        </w:tc>
        <w:tc>
          <w:tcPr>
            <w:tcW w:w="1152" w:type="dxa"/>
            <w:tcBorders>
              <w:top w:val="single" w:sz="8" w:space="0" w:color="auto"/>
              <w:left w:val="nil"/>
              <w:bottom w:val="single" w:sz="8" w:space="0" w:color="auto"/>
              <w:right w:val="single" w:sz="8" w:space="0" w:color="auto"/>
              <w:tl2br w:val="nil"/>
              <w:tr2bl w:val="nil"/>
            </w:tcBorders>
            <w:noWrap/>
            <w:textDirection w:val="lrTb"/>
            <w:vAlign w:val="center"/>
          </w:tcPr>
          <w:p w:rsidR="009F0797" w:rsidRPr="00C2439B" w:rsidP="00FD671F">
            <w:pPr>
              <w:spacing w:line="240" w:lineRule="auto"/>
              <w:jc w:val="right"/>
              <w:rPr>
                <w:rFonts w:ascii="Times New Roman" w:hAnsi="Times New Roman" w:cs="Times New Roman"/>
                <w:sz w:val="22"/>
                <w:szCs w:val="22"/>
              </w:rPr>
            </w:pPr>
            <w:r w:rsidRPr="00C2439B">
              <w:rPr>
                <w:rFonts w:ascii="Times New Roman" w:hAnsi="Times New Roman" w:cs="Times New Roman"/>
                <w:sz w:val="22"/>
                <w:szCs w:val="22"/>
              </w:rPr>
              <w:t>2 366 111</w:t>
            </w:r>
          </w:p>
        </w:tc>
        <w:tc>
          <w:tcPr>
            <w:tcW w:w="1152" w:type="dxa"/>
            <w:tcBorders>
              <w:top w:val="single" w:sz="8" w:space="0" w:color="auto"/>
              <w:left w:val="nil"/>
              <w:bottom w:val="single" w:sz="8" w:space="0" w:color="auto"/>
              <w:right w:val="nil"/>
              <w:tl2br w:val="nil"/>
              <w:tr2bl w:val="nil"/>
            </w:tcBorders>
            <w:noWrap/>
            <w:textDirection w:val="lrTb"/>
            <w:vAlign w:val="center"/>
          </w:tcPr>
          <w:p w:rsidR="009F0797" w:rsidRPr="00C2439B" w:rsidP="00FD671F">
            <w:pPr>
              <w:spacing w:line="240" w:lineRule="auto"/>
              <w:jc w:val="right"/>
              <w:rPr>
                <w:rFonts w:ascii="Times New Roman" w:hAnsi="Times New Roman" w:cs="Times New Roman"/>
                <w:sz w:val="22"/>
                <w:szCs w:val="22"/>
              </w:rPr>
            </w:pPr>
            <w:r w:rsidRPr="00C2439B">
              <w:rPr>
                <w:rFonts w:ascii="Times New Roman" w:hAnsi="Times New Roman" w:cs="Times New Roman"/>
                <w:sz w:val="22"/>
                <w:szCs w:val="22"/>
              </w:rPr>
              <w:t>2 133 062</w:t>
            </w:r>
          </w:p>
        </w:tc>
        <w:tc>
          <w:tcPr>
            <w:tcW w:w="1210" w:type="dxa"/>
            <w:tcBorders>
              <w:top w:val="single" w:sz="8" w:space="0" w:color="auto"/>
              <w:left w:val="single" w:sz="8" w:space="0" w:color="auto"/>
              <w:bottom w:val="single" w:sz="8" w:space="0" w:color="auto"/>
              <w:right w:val="single" w:sz="8" w:space="0" w:color="auto"/>
              <w:tl2br w:val="nil"/>
              <w:tr2bl w:val="nil"/>
            </w:tcBorders>
            <w:noWrap/>
            <w:textDirection w:val="lrTb"/>
            <w:vAlign w:val="center"/>
          </w:tcPr>
          <w:p w:rsidR="009F0797" w:rsidRPr="00C2439B" w:rsidP="00FD671F">
            <w:pPr>
              <w:spacing w:line="240" w:lineRule="auto"/>
              <w:jc w:val="right"/>
              <w:rPr>
                <w:rFonts w:ascii="Times New Roman" w:hAnsi="Times New Roman" w:cs="Times New Roman"/>
                <w:sz w:val="22"/>
                <w:szCs w:val="22"/>
              </w:rPr>
            </w:pPr>
            <w:r w:rsidRPr="00C2439B">
              <w:rPr>
                <w:rFonts w:ascii="Times New Roman" w:hAnsi="Times New Roman" w:cs="Times New Roman"/>
                <w:sz w:val="22"/>
                <w:szCs w:val="22"/>
              </w:rPr>
              <w:t>-233 049</w:t>
            </w:r>
          </w:p>
        </w:tc>
      </w:tr>
      <w:tr>
        <w:tblPrEx>
          <w:tblW w:w="8845" w:type="dxa"/>
          <w:tblInd w:w="70" w:type="dxa"/>
          <w:tblCellMar>
            <w:left w:w="70" w:type="dxa"/>
            <w:right w:w="70" w:type="dxa"/>
          </w:tblCellMar>
        </w:tblPrEx>
        <w:trPr>
          <w:trHeight w:hRule="exact" w:val="340"/>
        </w:trPr>
        <w:tc>
          <w:tcPr>
            <w:tcW w:w="2907" w:type="dxa"/>
            <w:tcBorders>
              <w:top w:val="single" w:sz="8" w:space="0" w:color="auto"/>
              <w:left w:val="single" w:sz="8" w:space="0" w:color="auto"/>
              <w:bottom w:val="single" w:sz="8" w:space="0" w:color="auto"/>
              <w:right w:val="nil"/>
              <w:tl2br w:val="nil"/>
              <w:tr2bl w:val="nil"/>
            </w:tcBorders>
            <w:shd w:val="clear" w:color="auto" w:fill="C0C0C0"/>
            <w:noWrap/>
            <w:textDirection w:val="lrTb"/>
            <w:vAlign w:val="center"/>
          </w:tcPr>
          <w:p w:rsidR="009F0797" w:rsidRPr="00C2439B" w:rsidP="00FD671F">
            <w:pPr>
              <w:spacing w:line="240" w:lineRule="auto"/>
              <w:rPr>
                <w:rFonts w:ascii="Times New Roman" w:hAnsi="Times New Roman" w:cs="Times New Roman"/>
                <w:b/>
                <w:bCs/>
                <w:sz w:val="22"/>
                <w:szCs w:val="22"/>
              </w:rPr>
            </w:pPr>
            <w:r w:rsidRPr="00C2439B">
              <w:rPr>
                <w:rFonts w:ascii="Times New Roman" w:hAnsi="Times New Roman" w:cs="Times New Roman"/>
                <w:b/>
                <w:bCs/>
                <w:sz w:val="22"/>
                <w:szCs w:val="22"/>
              </w:rPr>
              <w:t>Vonkajšia zadĺženosť</w:t>
            </w:r>
          </w:p>
        </w:tc>
        <w:tc>
          <w:tcPr>
            <w:tcW w:w="1272" w:type="dxa"/>
            <w:tcBorders>
              <w:top w:val="single" w:sz="8" w:space="0" w:color="auto"/>
              <w:left w:val="single" w:sz="8" w:space="0" w:color="auto"/>
              <w:bottom w:val="single" w:sz="8" w:space="0" w:color="auto"/>
              <w:right w:val="single" w:sz="8" w:space="0" w:color="auto"/>
              <w:tl2br w:val="nil"/>
              <w:tr2bl w:val="nil"/>
            </w:tcBorders>
            <w:shd w:val="clear" w:color="auto" w:fill="C0C0C0"/>
            <w:noWrap/>
            <w:textDirection w:val="lrTb"/>
            <w:vAlign w:val="center"/>
          </w:tcPr>
          <w:p w:rsidR="009F0797" w:rsidRPr="00C2439B" w:rsidP="00FD671F">
            <w:pPr>
              <w:spacing w:line="240" w:lineRule="auto"/>
              <w:jc w:val="right"/>
              <w:rPr>
                <w:rFonts w:ascii="Times New Roman" w:hAnsi="Times New Roman" w:cs="Times New Roman"/>
                <w:sz w:val="22"/>
                <w:szCs w:val="22"/>
              </w:rPr>
            </w:pPr>
            <w:r w:rsidRPr="00C2439B">
              <w:rPr>
                <w:rFonts w:ascii="Times New Roman" w:hAnsi="Times New Roman" w:cs="Times New Roman"/>
                <w:sz w:val="22"/>
                <w:szCs w:val="22"/>
              </w:rPr>
              <w:t>4 762 520</w:t>
            </w:r>
          </w:p>
        </w:tc>
        <w:tc>
          <w:tcPr>
            <w:tcW w:w="1152" w:type="dxa"/>
            <w:tcBorders>
              <w:top w:val="single" w:sz="8" w:space="0" w:color="auto"/>
              <w:left w:val="nil"/>
              <w:bottom w:val="single" w:sz="8" w:space="0" w:color="auto"/>
              <w:right w:val="single" w:sz="8" w:space="0" w:color="auto"/>
              <w:tl2br w:val="nil"/>
              <w:tr2bl w:val="nil"/>
            </w:tcBorders>
            <w:shd w:val="clear" w:color="auto" w:fill="C0C0C0"/>
            <w:noWrap/>
            <w:textDirection w:val="lrTb"/>
            <w:vAlign w:val="center"/>
          </w:tcPr>
          <w:p w:rsidR="009F0797" w:rsidRPr="00C2439B" w:rsidP="00FD671F">
            <w:pPr>
              <w:spacing w:line="240" w:lineRule="auto"/>
              <w:jc w:val="right"/>
              <w:rPr>
                <w:rFonts w:ascii="Times New Roman" w:hAnsi="Times New Roman" w:cs="Times New Roman"/>
                <w:sz w:val="22"/>
                <w:szCs w:val="22"/>
              </w:rPr>
            </w:pPr>
            <w:r w:rsidRPr="00C2439B">
              <w:rPr>
                <w:rFonts w:ascii="Times New Roman" w:hAnsi="Times New Roman" w:cs="Times New Roman"/>
                <w:sz w:val="22"/>
                <w:szCs w:val="22"/>
              </w:rPr>
              <w:t>5 376 270</w:t>
            </w:r>
          </w:p>
        </w:tc>
        <w:tc>
          <w:tcPr>
            <w:tcW w:w="1152" w:type="dxa"/>
            <w:tcBorders>
              <w:top w:val="single" w:sz="8" w:space="0" w:color="auto"/>
              <w:left w:val="nil"/>
              <w:bottom w:val="single" w:sz="8" w:space="0" w:color="auto"/>
              <w:right w:val="single" w:sz="8" w:space="0" w:color="auto"/>
              <w:tl2br w:val="nil"/>
              <w:tr2bl w:val="nil"/>
            </w:tcBorders>
            <w:shd w:val="clear" w:color="auto" w:fill="C0C0C0"/>
            <w:noWrap/>
            <w:textDirection w:val="lrTb"/>
            <w:vAlign w:val="center"/>
          </w:tcPr>
          <w:p w:rsidR="009F0797" w:rsidRPr="00C2439B" w:rsidP="00FD671F">
            <w:pPr>
              <w:spacing w:line="240" w:lineRule="auto"/>
              <w:jc w:val="right"/>
              <w:rPr>
                <w:rFonts w:ascii="Times New Roman" w:hAnsi="Times New Roman" w:cs="Times New Roman"/>
                <w:sz w:val="22"/>
                <w:szCs w:val="22"/>
              </w:rPr>
            </w:pPr>
            <w:r w:rsidRPr="00C2439B">
              <w:rPr>
                <w:rFonts w:ascii="Times New Roman" w:hAnsi="Times New Roman" w:cs="Times New Roman"/>
                <w:sz w:val="22"/>
                <w:szCs w:val="22"/>
              </w:rPr>
              <w:t>6 182 326</w:t>
            </w:r>
          </w:p>
        </w:tc>
        <w:tc>
          <w:tcPr>
            <w:tcW w:w="1152" w:type="dxa"/>
            <w:tcBorders>
              <w:top w:val="single" w:sz="8" w:space="0" w:color="auto"/>
              <w:left w:val="nil"/>
              <w:bottom w:val="single" w:sz="8" w:space="0" w:color="auto"/>
              <w:right w:val="nil"/>
              <w:tl2br w:val="nil"/>
              <w:tr2bl w:val="nil"/>
            </w:tcBorders>
            <w:shd w:val="clear" w:color="auto" w:fill="C0C0C0"/>
            <w:noWrap/>
            <w:textDirection w:val="lrTb"/>
            <w:vAlign w:val="center"/>
          </w:tcPr>
          <w:p w:rsidR="009F0797" w:rsidRPr="00C2439B" w:rsidP="00FD671F">
            <w:pPr>
              <w:spacing w:line="240" w:lineRule="auto"/>
              <w:jc w:val="right"/>
              <w:rPr>
                <w:rFonts w:ascii="Times New Roman" w:hAnsi="Times New Roman" w:cs="Times New Roman"/>
                <w:sz w:val="22"/>
                <w:szCs w:val="22"/>
              </w:rPr>
            </w:pPr>
            <w:r w:rsidR="00045A66">
              <w:rPr>
                <w:rFonts w:ascii="Times New Roman" w:hAnsi="Times New Roman" w:cs="Times New Roman"/>
                <w:sz w:val="22"/>
                <w:szCs w:val="22"/>
              </w:rPr>
              <w:t>6 745 448</w:t>
            </w:r>
          </w:p>
        </w:tc>
        <w:tc>
          <w:tcPr>
            <w:tcW w:w="1210" w:type="dxa"/>
            <w:tcBorders>
              <w:top w:val="single" w:sz="8" w:space="0" w:color="auto"/>
              <w:left w:val="single" w:sz="8" w:space="0" w:color="auto"/>
              <w:bottom w:val="single" w:sz="8" w:space="0" w:color="auto"/>
              <w:right w:val="single" w:sz="8" w:space="0" w:color="auto"/>
              <w:tl2br w:val="nil"/>
              <w:tr2bl w:val="nil"/>
            </w:tcBorders>
            <w:shd w:val="clear" w:color="auto" w:fill="C0C0C0"/>
            <w:noWrap/>
            <w:textDirection w:val="lrTb"/>
            <w:vAlign w:val="center"/>
          </w:tcPr>
          <w:p w:rsidR="009F0797" w:rsidRPr="00C2439B" w:rsidP="00FD671F">
            <w:pPr>
              <w:spacing w:line="240" w:lineRule="auto"/>
              <w:jc w:val="right"/>
              <w:rPr>
                <w:rFonts w:ascii="Times New Roman" w:hAnsi="Times New Roman" w:cs="Times New Roman"/>
                <w:sz w:val="22"/>
                <w:szCs w:val="22"/>
              </w:rPr>
            </w:pPr>
            <w:r w:rsidR="00045A66">
              <w:rPr>
                <w:rFonts w:ascii="Times New Roman" w:hAnsi="Times New Roman" w:cs="Times New Roman"/>
                <w:sz w:val="22"/>
                <w:szCs w:val="22"/>
              </w:rPr>
              <w:t>563 122</w:t>
            </w:r>
          </w:p>
        </w:tc>
      </w:tr>
      <w:tr>
        <w:tblPrEx>
          <w:tblW w:w="8845" w:type="dxa"/>
          <w:tblInd w:w="70" w:type="dxa"/>
          <w:tblCellMar>
            <w:left w:w="70" w:type="dxa"/>
            <w:right w:w="70" w:type="dxa"/>
          </w:tblCellMar>
        </w:tblPrEx>
        <w:trPr>
          <w:trHeight w:hRule="exact" w:val="340"/>
        </w:trPr>
        <w:tc>
          <w:tcPr>
            <w:tcW w:w="2907" w:type="dxa"/>
            <w:tcBorders>
              <w:top w:val="single" w:sz="8" w:space="0" w:color="auto"/>
              <w:left w:val="single" w:sz="8" w:space="0" w:color="auto"/>
              <w:bottom w:val="single" w:sz="8" w:space="0" w:color="auto"/>
              <w:right w:val="nil"/>
              <w:tl2br w:val="nil"/>
              <w:tr2bl w:val="nil"/>
            </w:tcBorders>
            <w:shd w:val="clear" w:color="auto" w:fill="C0C0C0"/>
            <w:noWrap/>
            <w:textDirection w:val="lrTb"/>
            <w:vAlign w:val="center"/>
          </w:tcPr>
          <w:p w:rsidR="009F0797" w:rsidRPr="00C2439B" w:rsidP="00FD671F">
            <w:pPr>
              <w:spacing w:line="240" w:lineRule="auto"/>
              <w:rPr>
                <w:rFonts w:ascii="Times New Roman" w:hAnsi="Times New Roman" w:cs="Times New Roman"/>
                <w:b/>
                <w:bCs/>
                <w:sz w:val="22"/>
                <w:szCs w:val="22"/>
              </w:rPr>
            </w:pPr>
            <w:r w:rsidR="007F17F1">
              <w:rPr>
                <w:rFonts w:ascii="Times New Roman" w:hAnsi="Times New Roman" w:cs="Times New Roman"/>
                <w:b/>
                <w:bCs/>
                <w:sz w:val="22"/>
                <w:szCs w:val="22"/>
              </w:rPr>
              <w:t>R</w:t>
            </w:r>
            <w:r w:rsidRPr="00C2439B">
              <w:rPr>
                <w:rFonts w:ascii="Times New Roman" w:hAnsi="Times New Roman" w:cs="Times New Roman"/>
                <w:b/>
                <w:bCs/>
                <w:sz w:val="22"/>
                <w:szCs w:val="22"/>
              </w:rPr>
              <w:t>ezervy</w:t>
            </w:r>
          </w:p>
        </w:tc>
        <w:tc>
          <w:tcPr>
            <w:tcW w:w="1272" w:type="dxa"/>
            <w:tcBorders>
              <w:top w:val="single" w:sz="8" w:space="0" w:color="auto"/>
              <w:left w:val="single" w:sz="8" w:space="0" w:color="auto"/>
              <w:bottom w:val="single" w:sz="8" w:space="0" w:color="auto"/>
              <w:right w:val="single" w:sz="8" w:space="0" w:color="auto"/>
              <w:tl2br w:val="nil"/>
              <w:tr2bl w:val="nil"/>
            </w:tcBorders>
            <w:shd w:val="clear" w:color="auto" w:fill="C0C0C0"/>
            <w:noWrap/>
            <w:textDirection w:val="lrTb"/>
            <w:vAlign w:val="center"/>
          </w:tcPr>
          <w:p w:rsidR="009F0797" w:rsidRPr="00C2439B" w:rsidP="00FD671F">
            <w:pPr>
              <w:spacing w:line="240" w:lineRule="auto"/>
              <w:jc w:val="right"/>
              <w:rPr>
                <w:rFonts w:ascii="Times New Roman" w:hAnsi="Times New Roman" w:cs="Times New Roman"/>
                <w:sz w:val="22"/>
                <w:szCs w:val="22"/>
              </w:rPr>
            </w:pPr>
            <w:r w:rsidRPr="00C2439B">
              <w:rPr>
                <w:rFonts w:ascii="Times New Roman" w:hAnsi="Times New Roman" w:cs="Times New Roman"/>
                <w:sz w:val="22"/>
                <w:szCs w:val="22"/>
              </w:rPr>
              <w:t>368 940</w:t>
            </w:r>
          </w:p>
        </w:tc>
        <w:tc>
          <w:tcPr>
            <w:tcW w:w="1152" w:type="dxa"/>
            <w:tcBorders>
              <w:top w:val="single" w:sz="8" w:space="0" w:color="auto"/>
              <w:left w:val="nil"/>
              <w:bottom w:val="single" w:sz="8" w:space="0" w:color="auto"/>
              <w:right w:val="single" w:sz="8" w:space="0" w:color="auto"/>
              <w:tl2br w:val="nil"/>
              <w:tr2bl w:val="nil"/>
            </w:tcBorders>
            <w:shd w:val="clear" w:color="auto" w:fill="C0C0C0"/>
            <w:noWrap/>
            <w:textDirection w:val="lrTb"/>
            <w:vAlign w:val="center"/>
          </w:tcPr>
          <w:p w:rsidR="009F0797" w:rsidRPr="00C2439B" w:rsidP="00FD671F">
            <w:pPr>
              <w:spacing w:line="240" w:lineRule="auto"/>
              <w:jc w:val="right"/>
              <w:rPr>
                <w:rFonts w:ascii="Times New Roman" w:hAnsi="Times New Roman" w:cs="Times New Roman"/>
                <w:sz w:val="22"/>
                <w:szCs w:val="22"/>
              </w:rPr>
            </w:pPr>
            <w:r w:rsidRPr="00C2439B">
              <w:rPr>
                <w:rFonts w:ascii="Times New Roman" w:hAnsi="Times New Roman" w:cs="Times New Roman"/>
                <w:sz w:val="22"/>
                <w:szCs w:val="22"/>
              </w:rPr>
              <w:t>428 081</w:t>
            </w:r>
          </w:p>
        </w:tc>
        <w:tc>
          <w:tcPr>
            <w:tcW w:w="1152" w:type="dxa"/>
            <w:tcBorders>
              <w:top w:val="single" w:sz="8" w:space="0" w:color="auto"/>
              <w:left w:val="nil"/>
              <w:bottom w:val="single" w:sz="8" w:space="0" w:color="auto"/>
              <w:right w:val="single" w:sz="8" w:space="0" w:color="auto"/>
              <w:tl2br w:val="nil"/>
              <w:tr2bl w:val="nil"/>
            </w:tcBorders>
            <w:shd w:val="clear" w:color="auto" w:fill="C0C0C0"/>
            <w:noWrap/>
            <w:textDirection w:val="lrTb"/>
            <w:vAlign w:val="center"/>
          </w:tcPr>
          <w:p w:rsidR="009F0797" w:rsidRPr="00C2439B" w:rsidP="00FD671F">
            <w:pPr>
              <w:spacing w:line="240" w:lineRule="auto"/>
              <w:jc w:val="right"/>
              <w:rPr>
                <w:rFonts w:ascii="Times New Roman" w:hAnsi="Times New Roman" w:cs="Times New Roman"/>
                <w:sz w:val="22"/>
                <w:szCs w:val="22"/>
              </w:rPr>
            </w:pPr>
            <w:r w:rsidRPr="00C2439B">
              <w:rPr>
                <w:rFonts w:ascii="Times New Roman" w:hAnsi="Times New Roman" w:cs="Times New Roman"/>
                <w:sz w:val="22"/>
                <w:szCs w:val="22"/>
              </w:rPr>
              <w:t>766 600</w:t>
            </w:r>
          </w:p>
        </w:tc>
        <w:tc>
          <w:tcPr>
            <w:tcW w:w="1152" w:type="dxa"/>
            <w:tcBorders>
              <w:top w:val="single" w:sz="8" w:space="0" w:color="auto"/>
              <w:left w:val="nil"/>
              <w:bottom w:val="single" w:sz="8" w:space="0" w:color="auto"/>
              <w:right w:val="nil"/>
              <w:tl2br w:val="nil"/>
              <w:tr2bl w:val="nil"/>
            </w:tcBorders>
            <w:shd w:val="clear" w:color="auto" w:fill="C0C0C0"/>
            <w:noWrap/>
            <w:textDirection w:val="lrTb"/>
            <w:vAlign w:val="center"/>
          </w:tcPr>
          <w:p w:rsidR="009F0797" w:rsidRPr="00C2439B" w:rsidP="00FD671F">
            <w:pPr>
              <w:spacing w:line="240" w:lineRule="auto"/>
              <w:jc w:val="right"/>
              <w:rPr>
                <w:rFonts w:ascii="Times New Roman" w:hAnsi="Times New Roman" w:cs="Times New Roman"/>
                <w:sz w:val="22"/>
                <w:szCs w:val="22"/>
              </w:rPr>
            </w:pPr>
            <w:r w:rsidR="00045A66">
              <w:rPr>
                <w:rFonts w:ascii="Times New Roman" w:hAnsi="Times New Roman" w:cs="Times New Roman"/>
                <w:sz w:val="22"/>
                <w:szCs w:val="22"/>
              </w:rPr>
              <w:t>598 340</w:t>
            </w:r>
          </w:p>
        </w:tc>
        <w:tc>
          <w:tcPr>
            <w:tcW w:w="1210" w:type="dxa"/>
            <w:tcBorders>
              <w:top w:val="single" w:sz="8" w:space="0" w:color="auto"/>
              <w:left w:val="single" w:sz="8" w:space="0" w:color="auto"/>
              <w:bottom w:val="single" w:sz="8" w:space="0" w:color="auto"/>
              <w:right w:val="single" w:sz="8" w:space="0" w:color="auto"/>
              <w:tl2br w:val="nil"/>
              <w:tr2bl w:val="nil"/>
            </w:tcBorders>
            <w:shd w:val="clear" w:color="auto" w:fill="C0C0C0"/>
            <w:noWrap/>
            <w:textDirection w:val="lrTb"/>
            <w:vAlign w:val="center"/>
          </w:tcPr>
          <w:p w:rsidR="009F0797" w:rsidRPr="00C2439B" w:rsidP="00FD671F">
            <w:pPr>
              <w:spacing w:line="240" w:lineRule="auto"/>
              <w:jc w:val="right"/>
              <w:rPr>
                <w:rFonts w:ascii="Times New Roman" w:hAnsi="Times New Roman" w:cs="Times New Roman"/>
                <w:sz w:val="22"/>
                <w:szCs w:val="22"/>
              </w:rPr>
            </w:pPr>
            <w:r w:rsidRPr="00C2439B">
              <w:rPr>
                <w:rFonts w:ascii="Times New Roman" w:hAnsi="Times New Roman" w:cs="Times New Roman"/>
                <w:sz w:val="22"/>
                <w:szCs w:val="22"/>
              </w:rPr>
              <w:t>-16</w:t>
            </w:r>
            <w:r w:rsidR="00045A66">
              <w:rPr>
                <w:rFonts w:ascii="Times New Roman" w:hAnsi="Times New Roman" w:cs="Times New Roman"/>
                <w:sz w:val="22"/>
                <w:szCs w:val="22"/>
              </w:rPr>
              <w:t>8 260</w:t>
            </w:r>
          </w:p>
        </w:tc>
      </w:tr>
      <w:tr>
        <w:tblPrEx>
          <w:tblW w:w="8845" w:type="dxa"/>
          <w:tblInd w:w="70" w:type="dxa"/>
          <w:tblCellMar>
            <w:left w:w="70" w:type="dxa"/>
            <w:right w:w="70" w:type="dxa"/>
          </w:tblCellMar>
        </w:tblPrEx>
        <w:trPr>
          <w:trHeight w:hRule="exact" w:val="340"/>
        </w:trPr>
        <w:tc>
          <w:tcPr>
            <w:tcW w:w="2907" w:type="dxa"/>
            <w:tcBorders>
              <w:top w:val="single" w:sz="8" w:space="0" w:color="auto"/>
              <w:left w:val="single" w:sz="8" w:space="0" w:color="auto"/>
              <w:bottom w:val="single" w:sz="8" w:space="0" w:color="auto"/>
              <w:right w:val="nil"/>
              <w:tl2br w:val="nil"/>
              <w:tr2bl w:val="nil"/>
            </w:tcBorders>
            <w:shd w:val="clear" w:color="auto" w:fill="C0C0C0"/>
            <w:noWrap/>
            <w:textDirection w:val="lrTb"/>
            <w:vAlign w:val="center"/>
          </w:tcPr>
          <w:p w:rsidR="009F0797" w:rsidRPr="00C2439B" w:rsidP="00FD671F">
            <w:pPr>
              <w:spacing w:line="240" w:lineRule="auto"/>
              <w:rPr>
                <w:rFonts w:ascii="Times New Roman" w:hAnsi="Times New Roman" w:cs="Times New Roman"/>
                <w:b/>
                <w:bCs/>
                <w:sz w:val="22"/>
                <w:szCs w:val="22"/>
              </w:rPr>
            </w:pPr>
            <w:r w:rsidR="007F17F1">
              <w:rPr>
                <w:rFonts w:ascii="Times New Roman" w:hAnsi="Times New Roman" w:cs="Times New Roman"/>
                <w:b/>
                <w:bCs/>
                <w:sz w:val="22"/>
                <w:szCs w:val="22"/>
              </w:rPr>
              <w:t>Z</w:t>
            </w:r>
            <w:r w:rsidRPr="00C2439B">
              <w:rPr>
                <w:rFonts w:ascii="Times New Roman" w:hAnsi="Times New Roman" w:cs="Times New Roman"/>
                <w:b/>
                <w:bCs/>
                <w:sz w:val="22"/>
                <w:szCs w:val="22"/>
              </w:rPr>
              <w:t>áväzky celkom</w:t>
            </w:r>
          </w:p>
        </w:tc>
        <w:tc>
          <w:tcPr>
            <w:tcW w:w="1272" w:type="dxa"/>
            <w:tcBorders>
              <w:top w:val="single" w:sz="8" w:space="0" w:color="auto"/>
              <w:left w:val="single" w:sz="8" w:space="0" w:color="auto"/>
              <w:bottom w:val="single" w:sz="8" w:space="0" w:color="auto"/>
              <w:right w:val="single" w:sz="8" w:space="0" w:color="auto"/>
              <w:tl2br w:val="nil"/>
              <w:tr2bl w:val="nil"/>
            </w:tcBorders>
            <w:shd w:val="clear" w:color="auto" w:fill="C0C0C0"/>
            <w:noWrap/>
            <w:textDirection w:val="lrTb"/>
            <w:vAlign w:val="center"/>
          </w:tcPr>
          <w:p w:rsidR="009F0797" w:rsidRPr="00C2439B" w:rsidP="00FD671F">
            <w:pPr>
              <w:spacing w:line="240" w:lineRule="auto"/>
              <w:jc w:val="right"/>
              <w:rPr>
                <w:rFonts w:ascii="Times New Roman" w:hAnsi="Times New Roman" w:cs="Times New Roman"/>
                <w:sz w:val="22"/>
                <w:szCs w:val="22"/>
              </w:rPr>
            </w:pPr>
            <w:r w:rsidRPr="00C2439B">
              <w:rPr>
                <w:rFonts w:ascii="Times New Roman" w:hAnsi="Times New Roman" w:cs="Times New Roman"/>
                <w:sz w:val="22"/>
                <w:szCs w:val="22"/>
              </w:rPr>
              <w:t>5 131 460</w:t>
            </w:r>
          </w:p>
        </w:tc>
        <w:tc>
          <w:tcPr>
            <w:tcW w:w="1152" w:type="dxa"/>
            <w:tcBorders>
              <w:top w:val="single" w:sz="8" w:space="0" w:color="auto"/>
              <w:left w:val="nil"/>
              <w:bottom w:val="single" w:sz="8" w:space="0" w:color="auto"/>
              <w:right w:val="single" w:sz="8" w:space="0" w:color="auto"/>
              <w:tl2br w:val="nil"/>
              <w:tr2bl w:val="nil"/>
            </w:tcBorders>
            <w:shd w:val="clear" w:color="auto" w:fill="C0C0C0"/>
            <w:noWrap/>
            <w:textDirection w:val="lrTb"/>
            <w:vAlign w:val="center"/>
          </w:tcPr>
          <w:p w:rsidR="009F0797" w:rsidRPr="00C2439B" w:rsidP="00FD671F">
            <w:pPr>
              <w:spacing w:line="240" w:lineRule="auto"/>
              <w:jc w:val="right"/>
              <w:rPr>
                <w:rFonts w:ascii="Times New Roman" w:hAnsi="Times New Roman" w:cs="Times New Roman"/>
                <w:sz w:val="22"/>
                <w:szCs w:val="22"/>
              </w:rPr>
            </w:pPr>
            <w:r w:rsidRPr="00C2439B">
              <w:rPr>
                <w:rFonts w:ascii="Times New Roman" w:hAnsi="Times New Roman" w:cs="Times New Roman"/>
                <w:sz w:val="22"/>
                <w:szCs w:val="22"/>
              </w:rPr>
              <w:t>5 804 351</w:t>
            </w:r>
          </w:p>
        </w:tc>
        <w:tc>
          <w:tcPr>
            <w:tcW w:w="1152" w:type="dxa"/>
            <w:tcBorders>
              <w:top w:val="single" w:sz="8" w:space="0" w:color="auto"/>
              <w:left w:val="nil"/>
              <w:bottom w:val="single" w:sz="8" w:space="0" w:color="auto"/>
              <w:right w:val="single" w:sz="8" w:space="0" w:color="auto"/>
              <w:tl2br w:val="nil"/>
              <w:tr2bl w:val="nil"/>
            </w:tcBorders>
            <w:shd w:val="clear" w:color="auto" w:fill="C0C0C0"/>
            <w:noWrap/>
            <w:textDirection w:val="lrTb"/>
            <w:vAlign w:val="center"/>
          </w:tcPr>
          <w:p w:rsidR="009F0797" w:rsidRPr="00C2439B" w:rsidP="00FD671F">
            <w:pPr>
              <w:spacing w:line="240" w:lineRule="auto"/>
              <w:jc w:val="right"/>
              <w:rPr>
                <w:rFonts w:ascii="Times New Roman" w:hAnsi="Times New Roman" w:cs="Times New Roman"/>
                <w:sz w:val="22"/>
                <w:szCs w:val="22"/>
              </w:rPr>
            </w:pPr>
            <w:r w:rsidRPr="00C2439B">
              <w:rPr>
                <w:rFonts w:ascii="Times New Roman" w:hAnsi="Times New Roman" w:cs="Times New Roman"/>
                <w:sz w:val="22"/>
                <w:szCs w:val="22"/>
              </w:rPr>
              <w:t>6 948 926</w:t>
            </w:r>
          </w:p>
        </w:tc>
        <w:tc>
          <w:tcPr>
            <w:tcW w:w="1152" w:type="dxa"/>
            <w:tcBorders>
              <w:top w:val="single" w:sz="8" w:space="0" w:color="auto"/>
              <w:left w:val="nil"/>
              <w:bottom w:val="single" w:sz="8" w:space="0" w:color="auto"/>
              <w:right w:val="nil"/>
              <w:tl2br w:val="nil"/>
              <w:tr2bl w:val="nil"/>
            </w:tcBorders>
            <w:shd w:val="clear" w:color="auto" w:fill="C0C0C0"/>
            <w:noWrap/>
            <w:textDirection w:val="lrTb"/>
            <w:vAlign w:val="center"/>
          </w:tcPr>
          <w:p w:rsidR="009F0797" w:rsidRPr="00C2439B" w:rsidP="00FD671F">
            <w:pPr>
              <w:spacing w:line="240" w:lineRule="auto"/>
              <w:jc w:val="right"/>
              <w:rPr>
                <w:rFonts w:ascii="Times New Roman" w:hAnsi="Times New Roman" w:cs="Times New Roman"/>
                <w:sz w:val="22"/>
                <w:szCs w:val="22"/>
              </w:rPr>
            </w:pPr>
            <w:r w:rsidR="00045A66">
              <w:rPr>
                <w:rFonts w:ascii="Times New Roman" w:hAnsi="Times New Roman" w:cs="Times New Roman"/>
                <w:sz w:val="22"/>
                <w:szCs w:val="22"/>
              </w:rPr>
              <w:t>7 343 788</w:t>
            </w:r>
          </w:p>
        </w:tc>
        <w:tc>
          <w:tcPr>
            <w:tcW w:w="1210" w:type="dxa"/>
            <w:tcBorders>
              <w:top w:val="single" w:sz="8" w:space="0" w:color="auto"/>
              <w:left w:val="single" w:sz="8" w:space="0" w:color="auto"/>
              <w:bottom w:val="single" w:sz="8" w:space="0" w:color="auto"/>
              <w:right w:val="single" w:sz="8" w:space="0" w:color="auto"/>
              <w:tl2br w:val="nil"/>
              <w:tr2bl w:val="nil"/>
            </w:tcBorders>
            <w:shd w:val="clear" w:color="auto" w:fill="C0C0C0"/>
            <w:noWrap/>
            <w:textDirection w:val="lrTb"/>
            <w:vAlign w:val="center"/>
          </w:tcPr>
          <w:p w:rsidR="009F0797" w:rsidRPr="00C2439B" w:rsidP="00FD671F">
            <w:pPr>
              <w:spacing w:line="240" w:lineRule="auto"/>
              <w:jc w:val="right"/>
              <w:rPr>
                <w:rFonts w:ascii="Times New Roman" w:hAnsi="Times New Roman" w:cs="Times New Roman"/>
                <w:sz w:val="22"/>
                <w:szCs w:val="22"/>
              </w:rPr>
            </w:pPr>
            <w:r w:rsidR="00045A66">
              <w:rPr>
                <w:rFonts w:ascii="Times New Roman" w:hAnsi="Times New Roman" w:cs="Times New Roman"/>
                <w:sz w:val="22"/>
                <w:szCs w:val="22"/>
              </w:rPr>
              <w:t>394 862</w:t>
            </w:r>
          </w:p>
        </w:tc>
      </w:tr>
    </w:tbl>
    <w:p w:rsidR="00AE473C" w:rsidP="00FD671F">
      <w:pPr>
        <w:spacing w:line="240" w:lineRule="auto"/>
        <w:rPr>
          <w:rFonts w:ascii="Times New Roman" w:hAnsi="Times New Roman" w:cs="Times New Roman"/>
          <w:b/>
          <w:sz w:val="24"/>
          <w:szCs w:val="24"/>
        </w:rPr>
      </w:pPr>
    </w:p>
    <w:p w:rsidR="004571DF" w:rsidRPr="00EF0282" w:rsidP="00FD671F">
      <w:pPr>
        <w:spacing w:line="240" w:lineRule="auto"/>
        <w:rPr>
          <w:rFonts w:ascii="Times New Roman" w:hAnsi="Times New Roman" w:cs="Times New Roman"/>
          <w:b/>
          <w:sz w:val="24"/>
          <w:szCs w:val="24"/>
        </w:rPr>
      </w:pPr>
      <w:r w:rsidRPr="00FD671F" w:rsidR="009F0797">
        <w:rPr>
          <w:rFonts w:ascii="Times New Roman" w:hAnsi="Times New Roman" w:cs="Times New Roman"/>
          <w:b/>
          <w:sz w:val="24"/>
          <w:szCs w:val="24"/>
        </w:rPr>
        <w:t xml:space="preserve">Krátkodobé záväzky </w:t>
      </w:r>
    </w:p>
    <w:p w:rsidR="00AE473C" w:rsidRPr="00AE473C" w:rsidP="00AE473C">
      <w:pPr>
        <w:spacing w:line="240" w:lineRule="auto"/>
        <w:ind w:right="-109"/>
        <w:rPr>
          <w:rFonts w:ascii="Times New Roman" w:hAnsi="Times New Roman" w:cs="Times New Roman"/>
          <w:sz w:val="22"/>
          <w:szCs w:val="22"/>
        </w:rPr>
      </w:pPr>
      <w:r>
        <w:rPr>
          <w:rFonts w:ascii="Arial" w:hAnsi="Arial" w:cs="Arial"/>
        </w:rPr>
        <w:tab/>
        <w:tab/>
        <w:tab/>
        <w:tab/>
        <w:tab/>
        <w:tab/>
        <w:tab/>
        <w:tab/>
        <w:tab/>
        <w:tab/>
        <w:tab/>
        <w:t xml:space="preserve">   </w:t>
      </w:r>
      <w:r w:rsidRPr="00AE473C">
        <w:rPr>
          <w:rFonts w:ascii="Times New Roman" w:hAnsi="Times New Roman" w:cs="Times New Roman"/>
          <w:sz w:val="22"/>
          <w:szCs w:val="22"/>
        </w:rPr>
        <w:t>(v tis. Sk)</w:t>
      </w:r>
    </w:p>
    <w:tbl>
      <w:tblPr>
        <w:tblW w:w="8858" w:type="dxa"/>
        <w:tblInd w:w="70" w:type="dxa"/>
        <w:tblCellMar>
          <w:left w:w="70" w:type="dxa"/>
          <w:right w:w="70" w:type="dxa"/>
        </w:tblCellMar>
      </w:tblPr>
      <w:tblGrid>
        <w:gridCol w:w="2880"/>
        <w:gridCol w:w="979"/>
        <w:gridCol w:w="1185"/>
        <w:gridCol w:w="1274"/>
        <w:gridCol w:w="1215"/>
        <w:gridCol w:w="1329"/>
      </w:tblGrid>
      <w:tr>
        <w:tblPrEx>
          <w:tblW w:w="8858" w:type="dxa"/>
          <w:tblInd w:w="70" w:type="dxa"/>
          <w:tblCellMar>
            <w:left w:w="70" w:type="dxa"/>
            <w:right w:w="70" w:type="dxa"/>
          </w:tblCellMar>
        </w:tblPrEx>
        <w:trPr>
          <w:trHeight w:val="269"/>
        </w:trPr>
        <w:tc>
          <w:tcPr>
            <w:tcW w:w="2880" w:type="dxa"/>
            <w:vMerge w:val="restart"/>
            <w:tcBorders>
              <w:top w:val="single" w:sz="4" w:space="0" w:color="auto"/>
              <w:left w:val="single" w:sz="4" w:space="0" w:color="auto"/>
              <w:bottom w:val="nil"/>
              <w:right w:val="single" w:sz="8" w:space="0" w:color="auto"/>
              <w:tl2br w:val="nil"/>
              <w:tr2bl w:val="nil"/>
            </w:tcBorders>
            <w:shd w:val="clear" w:color="auto" w:fill="C0C0C0"/>
            <w:noWrap/>
            <w:textDirection w:val="lrTb"/>
            <w:vAlign w:val="center"/>
          </w:tcPr>
          <w:p w:rsidR="00FD671F" w:rsidRPr="00C2439B" w:rsidP="00FD671F">
            <w:pPr>
              <w:spacing w:line="240" w:lineRule="auto"/>
              <w:jc w:val="center"/>
              <w:rPr>
                <w:rFonts w:ascii="Times New Roman" w:hAnsi="Times New Roman" w:cs="Times New Roman"/>
                <w:b/>
                <w:bCs/>
                <w:sz w:val="22"/>
                <w:szCs w:val="22"/>
              </w:rPr>
            </w:pPr>
            <w:r w:rsidRPr="00C2439B">
              <w:rPr>
                <w:rFonts w:ascii="Times New Roman" w:hAnsi="Times New Roman" w:cs="Times New Roman"/>
                <w:b/>
                <w:bCs/>
                <w:sz w:val="22"/>
                <w:szCs w:val="22"/>
              </w:rPr>
              <w:t>Špecifikácia záväzkov</w:t>
            </w:r>
          </w:p>
        </w:tc>
        <w:tc>
          <w:tcPr>
            <w:tcW w:w="4649" w:type="dxa"/>
            <w:gridSpan w:val="4"/>
            <w:tcBorders>
              <w:top w:val="single" w:sz="4" w:space="0" w:color="auto"/>
              <w:left w:val="nil"/>
              <w:bottom w:val="nil"/>
              <w:right w:val="single" w:sz="4" w:space="0" w:color="auto"/>
              <w:tl2br w:val="nil"/>
              <w:tr2bl w:val="nil"/>
            </w:tcBorders>
            <w:shd w:val="clear" w:color="auto" w:fill="C0C0C0"/>
            <w:noWrap/>
            <w:textDirection w:val="lrTb"/>
            <w:vAlign w:val="center"/>
          </w:tcPr>
          <w:p w:rsidR="00FD671F" w:rsidRPr="00C2439B" w:rsidP="00FD671F">
            <w:pPr>
              <w:spacing w:line="240" w:lineRule="auto"/>
              <w:jc w:val="center"/>
              <w:rPr>
                <w:rFonts w:ascii="Times New Roman" w:hAnsi="Times New Roman" w:cs="Times New Roman"/>
                <w:b/>
                <w:bCs/>
                <w:sz w:val="22"/>
                <w:szCs w:val="22"/>
              </w:rPr>
            </w:pPr>
            <w:r w:rsidRPr="00C2439B">
              <w:rPr>
                <w:rFonts w:ascii="Times New Roman" w:hAnsi="Times New Roman" w:cs="Times New Roman"/>
                <w:b/>
                <w:bCs/>
                <w:sz w:val="22"/>
                <w:szCs w:val="22"/>
              </w:rPr>
              <w:t>Stav k</w:t>
            </w:r>
          </w:p>
        </w:tc>
        <w:tc>
          <w:tcPr>
            <w:tcW w:w="1329" w:type="dxa"/>
            <w:tcBorders>
              <w:top w:val="single" w:sz="4" w:space="0" w:color="auto"/>
              <w:left w:val="single" w:sz="4" w:space="0" w:color="auto"/>
              <w:bottom w:val="nil"/>
              <w:right w:val="single" w:sz="4" w:space="0" w:color="auto"/>
              <w:tl2br w:val="nil"/>
              <w:tr2bl w:val="nil"/>
            </w:tcBorders>
            <w:shd w:val="clear" w:color="auto" w:fill="C0C0C0"/>
            <w:noWrap/>
            <w:textDirection w:val="lrTb"/>
            <w:vAlign w:val="bottom"/>
          </w:tcPr>
          <w:p w:rsidR="00FD671F" w:rsidRPr="00C2439B" w:rsidP="00FD671F">
            <w:pPr>
              <w:spacing w:line="240" w:lineRule="auto"/>
              <w:jc w:val="center"/>
              <w:rPr>
                <w:rFonts w:ascii="Times New Roman" w:hAnsi="Times New Roman" w:cs="Times New Roman"/>
                <w:b/>
                <w:bCs/>
                <w:sz w:val="22"/>
                <w:szCs w:val="22"/>
              </w:rPr>
            </w:pPr>
            <w:r w:rsidRPr="00C2439B">
              <w:rPr>
                <w:rFonts w:ascii="Times New Roman" w:hAnsi="Times New Roman" w:cs="Times New Roman"/>
                <w:b/>
                <w:bCs/>
                <w:sz w:val="22"/>
                <w:szCs w:val="22"/>
              </w:rPr>
              <w:t>Rozdiel</w:t>
            </w:r>
          </w:p>
        </w:tc>
      </w:tr>
      <w:tr>
        <w:tblPrEx>
          <w:tblW w:w="8858" w:type="dxa"/>
          <w:tblInd w:w="70" w:type="dxa"/>
          <w:tblCellMar>
            <w:left w:w="70" w:type="dxa"/>
            <w:right w:w="70" w:type="dxa"/>
          </w:tblCellMar>
        </w:tblPrEx>
        <w:trPr>
          <w:trHeight w:val="254"/>
        </w:trPr>
        <w:tc>
          <w:tcPr>
            <w:tcW w:w="2880" w:type="dxa"/>
            <w:vMerge/>
            <w:tcBorders>
              <w:top w:val="nil"/>
              <w:left w:val="single" w:sz="4" w:space="0" w:color="auto"/>
              <w:bottom w:val="nil"/>
              <w:right w:val="single" w:sz="8" w:space="0" w:color="auto"/>
              <w:tl2br w:val="nil"/>
              <w:tr2bl w:val="nil"/>
            </w:tcBorders>
            <w:shd w:val="clear" w:color="auto" w:fill="C0C0C0"/>
            <w:noWrap/>
            <w:textDirection w:val="lrTb"/>
            <w:vAlign w:val="bottom"/>
          </w:tcPr>
          <w:p w:rsidR="004571DF" w:rsidRPr="00C2439B" w:rsidP="00FD671F">
            <w:pPr>
              <w:rPr>
                <w:rFonts w:ascii="Times New Roman" w:hAnsi="Times New Roman" w:cs="Times New Roman"/>
                <w:sz w:val="22"/>
                <w:szCs w:val="22"/>
              </w:rPr>
            </w:pPr>
          </w:p>
        </w:tc>
        <w:tc>
          <w:tcPr>
            <w:tcW w:w="979" w:type="dxa"/>
            <w:vMerge w:val="restart"/>
            <w:tcBorders>
              <w:top w:val="single" w:sz="8" w:space="0" w:color="auto"/>
              <w:left w:val="single" w:sz="8" w:space="0" w:color="auto"/>
              <w:bottom w:val="nil"/>
              <w:right w:val="nil"/>
              <w:tl2br w:val="nil"/>
              <w:tr2bl w:val="nil"/>
            </w:tcBorders>
            <w:shd w:val="clear" w:color="auto" w:fill="C0C0C0"/>
            <w:noWrap/>
            <w:textDirection w:val="lrTb"/>
            <w:vAlign w:val="center"/>
          </w:tcPr>
          <w:p w:rsidR="004571DF" w:rsidRPr="004571DF" w:rsidP="004571DF">
            <w:pPr>
              <w:spacing w:line="240" w:lineRule="auto"/>
              <w:rPr>
                <w:rFonts w:ascii="Times New Roman" w:hAnsi="Times New Roman" w:cs="Times New Roman"/>
                <w:b/>
                <w:sz w:val="22"/>
                <w:szCs w:val="22"/>
              </w:rPr>
            </w:pPr>
            <w:r w:rsidRPr="004571DF">
              <w:rPr>
                <w:rFonts w:ascii="Times New Roman" w:hAnsi="Times New Roman" w:cs="Times New Roman"/>
                <w:b/>
                <w:sz w:val="22"/>
                <w:szCs w:val="22"/>
              </w:rPr>
              <w:t> 1.1.2005</w:t>
            </w:r>
          </w:p>
        </w:tc>
        <w:tc>
          <w:tcPr>
            <w:tcW w:w="1181" w:type="dxa"/>
            <w:vMerge w:val="restart"/>
            <w:tcBorders>
              <w:top w:val="single" w:sz="8" w:space="0" w:color="auto"/>
              <w:left w:val="single" w:sz="8" w:space="0" w:color="auto"/>
              <w:bottom w:val="nil"/>
              <w:right w:val="single" w:sz="8" w:space="0" w:color="auto"/>
              <w:tl2br w:val="nil"/>
              <w:tr2bl w:val="nil"/>
            </w:tcBorders>
            <w:shd w:val="clear" w:color="auto" w:fill="C0C0C0"/>
            <w:noWrap/>
            <w:textDirection w:val="lrTb"/>
            <w:vAlign w:val="center"/>
          </w:tcPr>
          <w:p w:rsidR="004571DF" w:rsidRPr="004571DF" w:rsidP="004571DF">
            <w:pPr>
              <w:spacing w:line="240" w:lineRule="auto"/>
              <w:rPr>
                <w:rFonts w:ascii="Times New Roman" w:hAnsi="Times New Roman" w:cs="Times New Roman"/>
                <w:b/>
                <w:sz w:val="22"/>
                <w:szCs w:val="22"/>
              </w:rPr>
            </w:pPr>
            <w:r w:rsidRPr="004571DF">
              <w:rPr>
                <w:rFonts w:ascii="Times New Roman" w:hAnsi="Times New Roman" w:cs="Times New Roman"/>
                <w:b/>
                <w:sz w:val="22"/>
                <w:szCs w:val="22"/>
              </w:rPr>
              <w:t> 31.12.2005</w:t>
            </w:r>
          </w:p>
        </w:tc>
        <w:tc>
          <w:tcPr>
            <w:tcW w:w="1274" w:type="dxa"/>
            <w:vMerge w:val="restart"/>
            <w:tcBorders>
              <w:top w:val="single" w:sz="8" w:space="0" w:color="auto"/>
              <w:left w:val="nil"/>
              <w:bottom w:val="nil"/>
              <w:right w:val="nil"/>
              <w:tl2br w:val="nil"/>
              <w:tr2bl w:val="nil"/>
            </w:tcBorders>
            <w:shd w:val="clear" w:color="auto" w:fill="C0C0C0"/>
            <w:noWrap/>
            <w:textDirection w:val="lrTb"/>
            <w:vAlign w:val="center"/>
          </w:tcPr>
          <w:p w:rsidR="004571DF" w:rsidRPr="004571DF" w:rsidP="004571DF">
            <w:pPr>
              <w:spacing w:line="240" w:lineRule="auto"/>
              <w:rPr>
                <w:rFonts w:ascii="Times New Roman" w:hAnsi="Times New Roman" w:cs="Times New Roman"/>
                <w:b/>
                <w:sz w:val="22"/>
                <w:szCs w:val="22"/>
              </w:rPr>
            </w:pPr>
            <w:r w:rsidRPr="004571DF">
              <w:rPr>
                <w:rFonts w:ascii="Times New Roman" w:hAnsi="Times New Roman" w:cs="Times New Roman"/>
                <w:b/>
                <w:sz w:val="22"/>
                <w:szCs w:val="22"/>
              </w:rPr>
              <w:t> 31.12.2006</w:t>
            </w:r>
          </w:p>
        </w:tc>
        <w:tc>
          <w:tcPr>
            <w:tcW w:w="1215" w:type="dxa"/>
            <w:vMerge w:val="restart"/>
            <w:tcBorders>
              <w:top w:val="single" w:sz="8" w:space="0" w:color="auto"/>
              <w:left w:val="single" w:sz="8" w:space="0" w:color="auto"/>
              <w:bottom w:val="nil"/>
              <w:right w:val="single" w:sz="4" w:space="0" w:color="auto"/>
              <w:tl2br w:val="nil"/>
              <w:tr2bl w:val="nil"/>
            </w:tcBorders>
            <w:shd w:val="clear" w:color="auto" w:fill="C0C0C0"/>
            <w:noWrap/>
            <w:textDirection w:val="lrTb"/>
            <w:vAlign w:val="center"/>
          </w:tcPr>
          <w:p w:rsidR="004571DF" w:rsidRPr="004571DF" w:rsidP="004571DF">
            <w:pPr>
              <w:spacing w:line="240" w:lineRule="auto"/>
              <w:rPr>
                <w:rFonts w:ascii="Times New Roman" w:hAnsi="Times New Roman" w:cs="Times New Roman"/>
                <w:b/>
                <w:sz w:val="22"/>
                <w:szCs w:val="22"/>
              </w:rPr>
            </w:pPr>
            <w:r w:rsidRPr="004571DF">
              <w:rPr>
                <w:rFonts w:ascii="Times New Roman" w:hAnsi="Times New Roman" w:cs="Times New Roman"/>
                <w:b/>
                <w:sz w:val="22"/>
                <w:szCs w:val="22"/>
              </w:rPr>
              <w:t> 31.12.2007</w:t>
            </w:r>
          </w:p>
        </w:tc>
        <w:tc>
          <w:tcPr>
            <w:tcW w:w="1329" w:type="dxa"/>
            <w:tcBorders>
              <w:top w:val="nil"/>
              <w:left w:val="single" w:sz="4" w:space="0" w:color="auto"/>
              <w:bottom w:val="nil"/>
              <w:right w:val="single" w:sz="4" w:space="0" w:color="auto"/>
              <w:tl2br w:val="nil"/>
              <w:tr2bl w:val="nil"/>
            </w:tcBorders>
            <w:shd w:val="clear" w:color="auto" w:fill="C0C0C0"/>
            <w:noWrap/>
            <w:textDirection w:val="lrTb"/>
            <w:vAlign w:val="bottom"/>
          </w:tcPr>
          <w:p w:rsidR="004571DF" w:rsidRPr="004571DF" w:rsidP="00FD671F">
            <w:pPr>
              <w:spacing w:line="240" w:lineRule="auto"/>
              <w:jc w:val="center"/>
              <w:rPr>
                <w:rFonts w:ascii="Times New Roman" w:hAnsi="Times New Roman" w:cs="Times New Roman"/>
                <w:b/>
                <w:sz w:val="22"/>
                <w:szCs w:val="22"/>
              </w:rPr>
            </w:pPr>
            <w:r w:rsidRPr="004571DF">
              <w:rPr>
                <w:rFonts w:ascii="Times New Roman" w:hAnsi="Times New Roman" w:cs="Times New Roman"/>
                <w:b/>
                <w:sz w:val="22"/>
                <w:szCs w:val="22"/>
              </w:rPr>
              <w:t>31.12.2007</w:t>
            </w:r>
          </w:p>
        </w:tc>
      </w:tr>
      <w:tr>
        <w:tblPrEx>
          <w:tblW w:w="8858" w:type="dxa"/>
          <w:tblInd w:w="70" w:type="dxa"/>
          <w:tblCellMar>
            <w:left w:w="70" w:type="dxa"/>
            <w:right w:w="70" w:type="dxa"/>
          </w:tblCellMar>
        </w:tblPrEx>
        <w:trPr>
          <w:trHeight w:val="269"/>
        </w:trPr>
        <w:tc>
          <w:tcPr>
            <w:tcW w:w="2880" w:type="dxa"/>
            <w:vMerge/>
            <w:tcBorders>
              <w:top w:val="nil"/>
              <w:left w:val="single" w:sz="4" w:space="0" w:color="auto"/>
              <w:bottom w:val="single" w:sz="4" w:space="0" w:color="auto"/>
              <w:right w:val="single" w:sz="8" w:space="0" w:color="auto"/>
              <w:tl2br w:val="nil"/>
              <w:tr2bl w:val="nil"/>
            </w:tcBorders>
            <w:shd w:val="clear" w:color="auto" w:fill="C0C0C0"/>
            <w:noWrap/>
            <w:textDirection w:val="lrTb"/>
            <w:vAlign w:val="bottom"/>
          </w:tcPr>
          <w:p w:rsidR="004571DF" w:rsidRPr="00C2439B" w:rsidP="00FD671F">
            <w:pPr>
              <w:spacing w:line="240" w:lineRule="auto"/>
              <w:rPr>
                <w:rFonts w:ascii="Times New Roman" w:hAnsi="Times New Roman" w:cs="Times New Roman"/>
                <w:sz w:val="22"/>
                <w:szCs w:val="22"/>
              </w:rPr>
            </w:pPr>
          </w:p>
        </w:tc>
        <w:tc>
          <w:tcPr>
            <w:tcW w:w="979" w:type="dxa"/>
            <w:vMerge/>
            <w:tcBorders>
              <w:top w:val="nil"/>
              <w:left w:val="single" w:sz="8" w:space="0" w:color="auto"/>
              <w:bottom w:val="single" w:sz="4" w:space="0" w:color="auto"/>
              <w:right w:val="nil"/>
              <w:tl2br w:val="nil"/>
              <w:tr2bl w:val="nil"/>
            </w:tcBorders>
            <w:shd w:val="clear" w:color="auto" w:fill="C0C0C0"/>
            <w:noWrap/>
            <w:textDirection w:val="lrTb"/>
            <w:vAlign w:val="bottom"/>
          </w:tcPr>
          <w:p w:rsidR="004571DF" w:rsidRPr="00C2439B" w:rsidP="00FD671F">
            <w:pPr>
              <w:spacing w:line="240" w:lineRule="auto"/>
              <w:jc w:val="center"/>
              <w:rPr>
                <w:rFonts w:ascii="Times New Roman" w:hAnsi="Times New Roman" w:cs="Times New Roman"/>
                <w:sz w:val="22"/>
                <w:szCs w:val="22"/>
              </w:rPr>
            </w:pPr>
          </w:p>
        </w:tc>
        <w:tc>
          <w:tcPr>
            <w:tcW w:w="1181" w:type="dxa"/>
            <w:vMerge/>
            <w:tcBorders>
              <w:top w:val="nil"/>
              <w:left w:val="single" w:sz="8" w:space="0" w:color="auto"/>
              <w:bottom w:val="single" w:sz="4" w:space="0" w:color="auto"/>
              <w:right w:val="single" w:sz="8" w:space="0" w:color="auto"/>
              <w:tl2br w:val="nil"/>
              <w:tr2bl w:val="nil"/>
            </w:tcBorders>
            <w:shd w:val="clear" w:color="auto" w:fill="C0C0C0"/>
            <w:noWrap/>
            <w:textDirection w:val="lrTb"/>
            <w:vAlign w:val="bottom"/>
          </w:tcPr>
          <w:p w:rsidR="004571DF" w:rsidRPr="00C2439B" w:rsidP="00FD671F">
            <w:pPr>
              <w:spacing w:line="240" w:lineRule="auto"/>
              <w:jc w:val="center"/>
              <w:rPr>
                <w:rFonts w:ascii="Times New Roman" w:hAnsi="Times New Roman" w:cs="Times New Roman"/>
                <w:sz w:val="22"/>
                <w:szCs w:val="22"/>
              </w:rPr>
            </w:pPr>
          </w:p>
        </w:tc>
        <w:tc>
          <w:tcPr>
            <w:tcW w:w="1274" w:type="dxa"/>
            <w:vMerge/>
            <w:tcBorders>
              <w:top w:val="nil"/>
              <w:left w:val="nil"/>
              <w:bottom w:val="single" w:sz="4" w:space="0" w:color="auto"/>
              <w:right w:val="nil"/>
              <w:tl2br w:val="nil"/>
              <w:tr2bl w:val="nil"/>
            </w:tcBorders>
            <w:shd w:val="clear" w:color="auto" w:fill="C0C0C0"/>
            <w:noWrap/>
            <w:textDirection w:val="lrTb"/>
            <w:vAlign w:val="bottom"/>
          </w:tcPr>
          <w:p w:rsidR="004571DF" w:rsidRPr="00C2439B" w:rsidP="00FD671F">
            <w:pPr>
              <w:spacing w:line="240" w:lineRule="auto"/>
              <w:jc w:val="center"/>
              <w:rPr>
                <w:rFonts w:ascii="Times New Roman" w:hAnsi="Times New Roman" w:cs="Times New Roman"/>
                <w:sz w:val="22"/>
                <w:szCs w:val="22"/>
              </w:rPr>
            </w:pPr>
          </w:p>
        </w:tc>
        <w:tc>
          <w:tcPr>
            <w:tcW w:w="1215" w:type="dxa"/>
            <w:vMerge/>
            <w:tcBorders>
              <w:top w:val="nil"/>
              <w:left w:val="single" w:sz="8" w:space="0" w:color="auto"/>
              <w:bottom w:val="single" w:sz="4" w:space="0" w:color="auto"/>
              <w:right w:val="single" w:sz="4" w:space="0" w:color="auto"/>
              <w:tl2br w:val="nil"/>
              <w:tr2bl w:val="nil"/>
            </w:tcBorders>
            <w:shd w:val="clear" w:color="auto" w:fill="C0C0C0"/>
            <w:noWrap/>
            <w:textDirection w:val="lrTb"/>
            <w:vAlign w:val="bottom"/>
          </w:tcPr>
          <w:p w:rsidR="004571DF" w:rsidRPr="00C2439B" w:rsidP="00FD671F">
            <w:pPr>
              <w:spacing w:line="240" w:lineRule="auto"/>
              <w:jc w:val="center"/>
              <w:rPr>
                <w:rFonts w:ascii="Times New Roman" w:hAnsi="Times New Roman" w:cs="Times New Roman"/>
                <w:sz w:val="22"/>
                <w:szCs w:val="22"/>
              </w:rPr>
            </w:pPr>
          </w:p>
        </w:tc>
        <w:tc>
          <w:tcPr>
            <w:tcW w:w="1329" w:type="dxa"/>
            <w:tcBorders>
              <w:top w:val="nil"/>
              <w:left w:val="single" w:sz="4" w:space="0" w:color="auto"/>
              <w:bottom w:val="single" w:sz="4" w:space="0" w:color="auto"/>
              <w:right w:val="single" w:sz="4" w:space="0" w:color="auto"/>
              <w:tl2br w:val="nil"/>
              <w:tr2bl w:val="nil"/>
            </w:tcBorders>
            <w:shd w:val="clear" w:color="auto" w:fill="C0C0C0"/>
            <w:noWrap/>
            <w:textDirection w:val="lrTb"/>
            <w:vAlign w:val="bottom"/>
          </w:tcPr>
          <w:p w:rsidR="004571DF" w:rsidRPr="004571DF" w:rsidP="00FD671F">
            <w:pPr>
              <w:spacing w:line="240" w:lineRule="auto"/>
              <w:jc w:val="center"/>
              <w:rPr>
                <w:rFonts w:ascii="Times New Roman" w:hAnsi="Times New Roman" w:cs="Times New Roman"/>
                <w:b/>
                <w:sz w:val="22"/>
                <w:szCs w:val="22"/>
              </w:rPr>
            </w:pPr>
            <w:r w:rsidRPr="004571DF">
              <w:rPr>
                <w:rFonts w:ascii="Times New Roman" w:hAnsi="Times New Roman" w:cs="Times New Roman"/>
                <w:b/>
                <w:sz w:val="22"/>
                <w:szCs w:val="22"/>
              </w:rPr>
              <w:t xml:space="preserve"> - </w:t>
            </w:r>
          </w:p>
          <w:p w:rsidR="004571DF" w:rsidRPr="004571DF" w:rsidP="00FD671F">
            <w:pPr>
              <w:spacing w:line="240" w:lineRule="auto"/>
              <w:jc w:val="center"/>
              <w:rPr>
                <w:rFonts w:ascii="Times New Roman" w:hAnsi="Times New Roman" w:cs="Times New Roman"/>
                <w:b/>
                <w:sz w:val="22"/>
                <w:szCs w:val="22"/>
              </w:rPr>
            </w:pPr>
            <w:r w:rsidRPr="004571DF">
              <w:rPr>
                <w:rFonts w:ascii="Times New Roman" w:hAnsi="Times New Roman" w:cs="Times New Roman"/>
                <w:b/>
                <w:sz w:val="22"/>
                <w:szCs w:val="22"/>
              </w:rPr>
              <w:t>31.12.2006</w:t>
            </w:r>
          </w:p>
        </w:tc>
      </w:tr>
      <w:tr>
        <w:tblPrEx>
          <w:tblW w:w="8858" w:type="dxa"/>
          <w:tblInd w:w="70" w:type="dxa"/>
          <w:tblCellMar>
            <w:left w:w="70" w:type="dxa"/>
            <w:right w:w="70" w:type="dxa"/>
          </w:tblCellMar>
        </w:tblPrEx>
        <w:trPr>
          <w:trHeight w:val="254"/>
        </w:trPr>
        <w:tc>
          <w:tcPr>
            <w:tcW w:w="2880" w:type="dxa"/>
            <w:tcBorders>
              <w:top w:val="single" w:sz="4" w:space="0" w:color="auto"/>
              <w:left w:val="single" w:sz="8" w:space="0" w:color="auto"/>
              <w:bottom w:val="single" w:sz="4" w:space="0" w:color="auto"/>
              <w:right w:val="nil"/>
              <w:tl2br w:val="nil"/>
              <w:tr2bl w:val="nil"/>
            </w:tcBorders>
            <w:noWrap/>
            <w:textDirection w:val="lrTb"/>
            <w:vAlign w:val="bottom"/>
          </w:tcPr>
          <w:p w:rsidR="009F0797" w:rsidRPr="00C2439B" w:rsidP="00FD671F">
            <w:pPr>
              <w:spacing w:line="240" w:lineRule="auto"/>
              <w:rPr>
                <w:rFonts w:ascii="Times New Roman" w:hAnsi="Times New Roman" w:cs="Times New Roman"/>
                <w:sz w:val="22"/>
                <w:szCs w:val="22"/>
              </w:rPr>
            </w:pPr>
            <w:r w:rsidRPr="00C2439B">
              <w:rPr>
                <w:rFonts w:ascii="Times New Roman" w:hAnsi="Times New Roman" w:cs="Times New Roman"/>
                <w:sz w:val="22"/>
                <w:szCs w:val="22"/>
              </w:rPr>
              <w:t>Záväzky z obchodného styku</w:t>
            </w:r>
          </w:p>
        </w:tc>
        <w:tc>
          <w:tcPr>
            <w:tcW w:w="979" w:type="dxa"/>
            <w:tcBorders>
              <w:top w:val="single" w:sz="4" w:space="0" w:color="auto"/>
              <w:left w:val="single" w:sz="8" w:space="0" w:color="auto"/>
              <w:bottom w:val="nil"/>
              <w:right w:val="nil"/>
              <w:tl2br w:val="nil"/>
              <w:tr2bl w:val="nil"/>
            </w:tcBorders>
            <w:noWrap/>
            <w:textDirection w:val="lrTb"/>
            <w:vAlign w:val="bottom"/>
          </w:tcPr>
          <w:p w:rsidR="009F0797" w:rsidRPr="00C2439B" w:rsidP="00FD671F">
            <w:pPr>
              <w:spacing w:line="240" w:lineRule="auto"/>
              <w:jc w:val="right"/>
              <w:rPr>
                <w:rFonts w:ascii="Times New Roman" w:hAnsi="Times New Roman" w:cs="Times New Roman"/>
                <w:sz w:val="22"/>
                <w:szCs w:val="22"/>
              </w:rPr>
            </w:pPr>
            <w:r w:rsidRPr="00C2439B">
              <w:rPr>
                <w:rFonts w:ascii="Times New Roman" w:hAnsi="Times New Roman" w:cs="Times New Roman"/>
                <w:sz w:val="22"/>
                <w:szCs w:val="22"/>
              </w:rPr>
              <w:t>772 521</w:t>
            </w:r>
          </w:p>
        </w:tc>
        <w:tc>
          <w:tcPr>
            <w:tcW w:w="1181" w:type="dxa"/>
            <w:tcBorders>
              <w:top w:val="single" w:sz="4" w:space="0" w:color="auto"/>
              <w:left w:val="single" w:sz="8" w:space="0" w:color="auto"/>
              <w:bottom w:val="nil"/>
              <w:right w:val="single" w:sz="8" w:space="0" w:color="auto"/>
              <w:tl2br w:val="nil"/>
              <w:tr2bl w:val="nil"/>
            </w:tcBorders>
            <w:noWrap/>
            <w:textDirection w:val="lrTb"/>
            <w:vAlign w:val="bottom"/>
          </w:tcPr>
          <w:p w:rsidR="009F0797" w:rsidRPr="00C2439B" w:rsidP="00FD671F">
            <w:pPr>
              <w:spacing w:line="240" w:lineRule="auto"/>
              <w:jc w:val="right"/>
              <w:rPr>
                <w:rFonts w:ascii="Times New Roman" w:hAnsi="Times New Roman" w:cs="Times New Roman"/>
                <w:sz w:val="22"/>
                <w:szCs w:val="22"/>
              </w:rPr>
            </w:pPr>
            <w:r w:rsidRPr="00C2439B">
              <w:rPr>
                <w:rFonts w:ascii="Times New Roman" w:hAnsi="Times New Roman" w:cs="Times New Roman"/>
                <w:sz w:val="22"/>
                <w:szCs w:val="22"/>
              </w:rPr>
              <w:t>629 107</w:t>
            </w:r>
          </w:p>
        </w:tc>
        <w:tc>
          <w:tcPr>
            <w:tcW w:w="1274" w:type="dxa"/>
            <w:tcBorders>
              <w:top w:val="single" w:sz="4" w:space="0" w:color="auto"/>
              <w:left w:val="nil"/>
              <w:bottom w:val="nil"/>
              <w:right w:val="nil"/>
              <w:tl2br w:val="nil"/>
              <w:tr2bl w:val="nil"/>
            </w:tcBorders>
            <w:noWrap/>
            <w:textDirection w:val="lrTb"/>
            <w:vAlign w:val="bottom"/>
          </w:tcPr>
          <w:p w:rsidR="009F0797" w:rsidRPr="00C2439B" w:rsidP="00FD671F">
            <w:pPr>
              <w:spacing w:line="240" w:lineRule="auto"/>
              <w:jc w:val="right"/>
              <w:rPr>
                <w:rFonts w:ascii="Times New Roman" w:hAnsi="Times New Roman" w:cs="Times New Roman"/>
                <w:sz w:val="22"/>
                <w:szCs w:val="22"/>
              </w:rPr>
            </w:pPr>
            <w:r w:rsidRPr="00C2439B">
              <w:rPr>
                <w:rFonts w:ascii="Times New Roman" w:hAnsi="Times New Roman" w:cs="Times New Roman"/>
                <w:sz w:val="22"/>
                <w:szCs w:val="22"/>
              </w:rPr>
              <w:t>843 092</w:t>
            </w:r>
          </w:p>
        </w:tc>
        <w:tc>
          <w:tcPr>
            <w:tcW w:w="1215" w:type="dxa"/>
            <w:tcBorders>
              <w:top w:val="single" w:sz="4" w:space="0" w:color="auto"/>
              <w:left w:val="single" w:sz="8" w:space="0" w:color="auto"/>
              <w:bottom w:val="nil"/>
              <w:right w:val="nil"/>
              <w:tl2br w:val="nil"/>
              <w:tr2bl w:val="nil"/>
            </w:tcBorders>
            <w:noWrap/>
            <w:textDirection w:val="lrTb"/>
            <w:vAlign w:val="bottom"/>
          </w:tcPr>
          <w:p w:rsidR="009F0797" w:rsidRPr="00C2439B" w:rsidP="00FD671F">
            <w:pPr>
              <w:spacing w:line="240" w:lineRule="auto"/>
              <w:jc w:val="right"/>
              <w:rPr>
                <w:rFonts w:ascii="Times New Roman" w:hAnsi="Times New Roman" w:cs="Times New Roman"/>
                <w:sz w:val="22"/>
                <w:szCs w:val="22"/>
              </w:rPr>
            </w:pPr>
            <w:r w:rsidRPr="00C2439B">
              <w:rPr>
                <w:rFonts w:ascii="Times New Roman" w:hAnsi="Times New Roman" w:cs="Times New Roman"/>
                <w:sz w:val="22"/>
                <w:szCs w:val="22"/>
              </w:rPr>
              <w:t>1 011 315</w:t>
            </w:r>
          </w:p>
        </w:tc>
        <w:tc>
          <w:tcPr>
            <w:tcW w:w="1329" w:type="dxa"/>
            <w:tcBorders>
              <w:top w:val="single" w:sz="4" w:space="0" w:color="auto"/>
              <w:left w:val="single" w:sz="8" w:space="0" w:color="auto"/>
              <w:bottom w:val="single" w:sz="4" w:space="0" w:color="auto"/>
              <w:right w:val="single" w:sz="8" w:space="0" w:color="auto"/>
              <w:tl2br w:val="nil"/>
              <w:tr2bl w:val="nil"/>
            </w:tcBorders>
            <w:noWrap/>
            <w:textDirection w:val="lrTb"/>
            <w:vAlign w:val="bottom"/>
          </w:tcPr>
          <w:p w:rsidR="009F0797" w:rsidRPr="00C2439B" w:rsidP="00FD671F">
            <w:pPr>
              <w:spacing w:line="240" w:lineRule="auto"/>
              <w:jc w:val="right"/>
              <w:rPr>
                <w:rFonts w:ascii="Times New Roman" w:hAnsi="Times New Roman" w:cs="Times New Roman"/>
                <w:sz w:val="22"/>
                <w:szCs w:val="22"/>
              </w:rPr>
            </w:pPr>
            <w:r w:rsidRPr="00C2439B">
              <w:rPr>
                <w:rFonts w:ascii="Times New Roman" w:hAnsi="Times New Roman" w:cs="Times New Roman"/>
                <w:sz w:val="22"/>
                <w:szCs w:val="22"/>
              </w:rPr>
              <w:t>168 223</w:t>
            </w:r>
          </w:p>
        </w:tc>
      </w:tr>
      <w:tr>
        <w:tblPrEx>
          <w:tblW w:w="8858" w:type="dxa"/>
          <w:tblInd w:w="70" w:type="dxa"/>
          <w:tblCellMar>
            <w:left w:w="70" w:type="dxa"/>
            <w:right w:w="70" w:type="dxa"/>
          </w:tblCellMar>
        </w:tblPrEx>
        <w:trPr>
          <w:trHeight w:val="254"/>
        </w:trPr>
        <w:tc>
          <w:tcPr>
            <w:tcW w:w="2880" w:type="dxa"/>
            <w:tcBorders>
              <w:top w:val="nil"/>
              <w:left w:val="single" w:sz="8" w:space="0" w:color="auto"/>
              <w:bottom w:val="single" w:sz="4" w:space="0" w:color="auto"/>
              <w:right w:val="nil"/>
              <w:tl2br w:val="nil"/>
              <w:tr2bl w:val="nil"/>
            </w:tcBorders>
            <w:noWrap/>
            <w:textDirection w:val="lrTb"/>
            <w:vAlign w:val="bottom"/>
          </w:tcPr>
          <w:p w:rsidR="009F0797" w:rsidRPr="00C2439B" w:rsidP="00FD671F">
            <w:pPr>
              <w:spacing w:line="240" w:lineRule="auto"/>
              <w:rPr>
                <w:rFonts w:ascii="Times New Roman" w:hAnsi="Times New Roman" w:cs="Times New Roman"/>
                <w:sz w:val="22"/>
                <w:szCs w:val="22"/>
              </w:rPr>
            </w:pPr>
            <w:r w:rsidRPr="00C2439B">
              <w:rPr>
                <w:rFonts w:ascii="Times New Roman" w:hAnsi="Times New Roman" w:cs="Times New Roman"/>
                <w:sz w:val="22"/>
                <w:szCs w:val="22"/>
              </w:rPr>
              <w:t>Záväzky voči zamestnancom</w:t>
            </w:r>
          </w:p>
        </w:tc>
        <w:tc>
          <w:tcPr>
            <w:tcW w:w="979" w:type="dxa"/>
            <w:tcBorders>
              <w:top w:val="single" w:sz="4" w:space="0" w:color="auto"/>
              <w:left w:val="single" w:sz="8" w:space="0" w:color="auto"/>
              <w:bottom w:val="single" w:sz="4" w:space="0" w:color="auto"/>
              <w:right w:val="nil"/>
              <w:tl2br w:val="nil"/>
              <w:tr2bl w:val="nil"/>
            </w:tcBorders>
            <w:noWrap/>
            <w:textDirection w:val="lrTb"/>
            <w:vAlign w:val="bottom"/>
          </w:tcPr>
          <w:p w:rsidR="009F0797" w:rsidRPr="00C2439B" w:rsidP="00FD671F">
            <w:pPr>
              <w:spacing w:line="240" w:lineRule="auto"/>
              <w:jc w:val="right"/>
              <w:rPr>
                <w:rFonts w:ascii="Times New Roman" w:hAnsi="Times New Roman" w:cs="Times New Roman"/>
                <w:sz w:val="22"/>
                <w:szCs w:val="22"/>
              </w:rPr>
            </w:pPr>
            <w:r w:rsidRPr="00C2439B">
              <w:rPr>
                <w:rFonts w:ascii="Times New Roman" w:hAnsi="Times New Roman" w:cs="Times New Roman"/>
                <w:sz w:val="22"/>
                <w:szCs w:val="22"/>
              </w:rPr>
              <w:t>53 107</w:t>
            </w:r>
          </w:p>
        </w:tc>
        <w:tc>
          <w:tcPr>
            <w:tcW w:w="1181" w:type="dxa"/>
            <w:tcBorders>
              <w:top w:val="single" w:sz="4" w:space="0" w:color="auto"/>
              <w:left w:val="single" w:sz="8" w:space="0" w:color="auto"/>
              <w:bottom w:val="single" w:sz="4" w:space="0" w:color="auto"/>
              <w:right w:val="single" w:sz="8" w:space="0" w:color="auto"/>
              <w:tl2br w:val="nil"/>
              <w:tr2bl w:val="nil"/>
            </w:tcBorders>
            <w:noWrap/>
            <w:textDirection w:val="lrTb"/>
            <w:vAlign w:val="bottom"/>
          </w:tcPr>
          <w:p w:rsidR="009F0797" w:rsidRPr="00C2439B" w:rsidP="00FD671F">
            <w:pPr>
              <w:spacing w:line="240" w:lineRule="auto"/>
              <w:jc w:val="right"/>
              <w:rPr>
                <w:rFonts w:ascii="Times New Roman" w:hAnsi="Times New Roman" w:cs="Times New Roman"/>
                <w:sz w:val="22"/>
                <w:szCs w:val="22"/>
              </w:rPr>
            </w:pPr>
            <w:r w:rsidRPr="00C2439B">
              <w:rPr>
                <w:rFonts w:ascii="Times New Roman" w:hAnsi="Times New Roman" w:cs="Times New Roman"/>
                <w:sz w:val="22"/>
                <w:szCs w:val="22"/>
              </w:rPr>
              <w:t>89 832</w:t>
            </w:r>
          </w:p>
        </w:tc>
        <w:tc>
          <w:tcPr>
            <w:tcW w:w="1274" w:type="dxa"/>
            <w:tcBorders>
              <w:top w:val="single" w:sz="4" w:space="0" w:color="auto"/>
              <w:left w:val="nil"/>
              <w:bottom w:val="single" w:sz="4" w:space="0" w:color="auto"/>
              <w:right w:val="nil"/>
              <w:tl2br w:val="nil"/>
              <w:tr2bl w:val="nil"/>
            </w:tcBorders>
            <w:noWrap/>
            <w:textDirection w:val="lrTb"/>
            <w:vAlign w:val="bottom"/>
          </w:tcPr>
          <w:p w:rsidR="009F0797" w:rsidRPr="00C2439B" w:rsidP="00FD671F">
            <w:pPr>
              <w:spacing w:line="240" w:lineRule="auto"/>
              <w:jc w:val="right"/>
              <w:rPr>
                <w:rFonts w:ascii="Times New Roman" w:hAnsi="Times New Roman" w:cs="Times New Roman"/>
                <w:sz w:val="22"/>
                <w:szCs w:val="22"/>
              </w:rPr>
            </w:pPr>
            <w:r w:rsidRPr="00C2439B">
              <w:rPr>
                <w:rFonts w:ascii="Times New Roman" w:hAnsi="Times New Roman" w:cs="Times New Roman"/>
                <w:sz w:val="22"/>
                <w:szCs w:val="22"/>
              </w:rPr>
              <w:t>87 768</w:t>
            </w:r>
          </w:p>
        </w:tc>
        <w:tc>
          <w:tcPr>
            <w:tcW w:w="1215" w:type="dxa"/>
            <w:tcBorders>
              <w:top w:val="single" w:sz="4" w:space="0" w:color="auto"/>
              <w:left w:val="single" w:sz="8" w:space="0" w:color="auto"/>
              <w:bottom w:val="single" w:sz="4" w:space="0" w:color="auto"/>
              <w:right w:val="nil"/>
              <w:tl2br w:val="nil"/>
              <w:tr2bl w:val="nil"/>
            </w:tcBorders>
            <w:noWrap/>
            <w:textDirection w:val="lrTb"/>
            <w:vAlign w:val="bottom"/>
          </w:tcPr>
          <w:p w:rsidR="009F0797" w:rsidRPr="00C2439B" w:rsidP="00FD671F">
            <w:pPr>
              <w:spacing w:line="240" w:lineRule="auto"/>
              <w:jc w:val="right"/>
              <w:rPr>
                <w:rFonts w:ascii="Times New Roman" w:hAnsi="Times New Roman" w:cs="Times New Roman"/>
                <w:sz w:val="22"/>
                <w:szCs w:val="22"/>
              </w:rPr>
            </w:pPr>
            <w:r w:rsidR="00E736C2">
              <w:rPr>
                <w:rFonts w:ascii="Times New Roman" w:hAnsi="Times New Roman" w:cs="Times New Roman"/>
                <w:sz w:val="22"/>
                <w:szCs w:val="22"/>
              </w:rPr>
              <w:t>95 257</w:t>
            </w:r>
          </w:p>
        </w:tc>
        <w:tc>
          <w:tcPr>
            <w:tcW w:w="1329" w:type="dxa"/>
            <w:tcBorders>
              <w:top w:val="nil"/>
              <w:left w:val="single" w:sz="8" w:space="0" w:color="auto"/>
              <w:bottom w:val="single" w:sz="4" w:space="0" w:color="auto"/>
              <w:right w:val="single" w:sz="8" w:space="0" w:color="auto"/>
              <w:tl2br w:val="nil"/>
              <w:tr2bl w:val="nil"/>
            </w:tcBorders>
            <w:noWrap/>
            <w:textDirection w:val="lrTb"/>
            <w:vAlign w:val="bottom"/>
          </w:tcPr>
          <w:p w:rsidR="009F0797" w:rsidRPr="00C2439B" w:rsidP="00FD671F">
            <w:pPr>
              <w:spacing w:line="240" w:lineRule="auto"/>
              <w:jc w:val="right"/>
              <w:rPr>
                <w:rFonts w:ascii="Times New Roman" w:hAnsi="Times New Roman" w:cs="Times New Roman"/>
                <w:sz w:val="22"/>
                <w:szCs w:val="22"/>
              </w:rPr>
            </w:pPr>
            <w:r w:rsidR="00E736C2">
              <w:rPr>
                <w:rFonts w:ascii="Times New Roman" w:hAnsi="Times New Roman" w:cs="Times New Roman"/>
                <w:sz w:val="22"/>
                <w:szCs w:val="22"/>
              </w:rPr>
              <w:t>7 489</w:t>
            </w:r>
          </w:p>
        </w:tc>
      </w:tr>
      <w:tr>
        <w:tblPrEx>
          <w:tblW w:w="8858" w:type="dxa"/>
          <w:tblInd w:w="70" w:type="dxa"/>
          <w:tblCellMar>
            <w:left w:w="70" w:type="dxa"/>
            <w:right w:w="70" w:type="dxa"/>
          </w:tblCellMar>
        </w:tblPrEx>
        <w:trPr>
          <w:trHeight w:val="254"/>
        </w:trPr>
        <w:tc>
          <w:tcPr>
            <w:tcW w:w="2880" w:type="dxa"/>
            <w:tcBorders>
              <w:top w:val="nil"/>
              <w:left w:val="single" w:sz="8" w:space="0" w:color="auto"/>
              <w:bottom w:val="single" w:sz="4" w:space="0" w:color="auto"/>
              <w:right w:val="nil"/>
              <w:tl2br w:val="nil"/>
              <w:tr2bl w:val="nil"/>
            </w:tcBorders>
            <w:noWrap/>
            <w:textDirection w:val="lrTb"/>
            <w:vAlign w:val="bottom"/>
          </w:tcPr>
          <w:p w:rsidR="009F0797" w:rsidRPr="00C2439B" w:rsidP="00FD671F">
            <w:pPr>
              <w:spacing w:line="240" w:lineRule="auto"/>
              <w:rPr>
                <w:rFonts w:ascii="Times New Roman" w:hAnsi="Times New Roman" w:cs="Times New Roman"/>
                <w:sz w:val="22"/>
                <w:szCs w:val="22"/>
              </w:rPr>
            </w:pPr>
            <w:r w:rsidRPr="00C2439B">
              <w:rPr>
                <w:rFonts w:ascii="Times New Roman" w:hAnsi="Times New Roman" w:cs="Times New Roman"/>
                <w:sz w:val="22"/>
                <w:szCs w:val="22"/>
              </w:rPr>
              <w:t>Záväzky zo soc. zabezpečenia</w:t>
            </w:r>
          </w:p>
        </w:tc>
        <w:tc>
          <w:tcPr>
            <w:tcW w:w="979" w:type="dxa"/>
            <w:tcBorders>
              <w:top w:val="nil"/>
              <w:left w:val="single" w:sz="8" w:space="0" w:color="auto"/>
              <w:bottom w:val="single" w:sz="4" w:space="0" w:color="auto"/>
              <w:right w:val="nil"/>
              <w:tl2br w:val="nil"/>
              <w:tr2bl w:val="nil"/>
            </w:tcBorders>
            <w:noWrap/>
            <w:textDirection w:val="lrTb"/>
            <w:vAlign w:val="bottom"/>
          </w:tcPr>
          <w:p w:rsidR="009F0797" w:rsidRPr="00C2439B" w:rsidP="00FD671F">
            <w:pPr>
              <w:spacing w:line="240" w:lineRule="auto"/>
              <w:jc w:val="right"/>
              <w:rPr>
                <w:rFonts w:ascii="Times New Roman" w:hAnsi="Times New Roman" w:cs="Times New Roman"/>
                <w:sz w:val="22"/>
                <w:szCs w:val="22"/>
              </w:rPr>
            </w:pPr>
            <w:r w:rsidRPr="00C2439B">
              <w:rPr>
                <w:rFonts w:ascii="Times New Roman" w:hAnsi="Times New Roman" w:cs="Times New Roman"/>
                <w:sz w:val="22"/>
                <w:szCs w:val="22"/>
              </w:rPr>
              <w:t>24 836</w:t>
            </w:r>
          </w:p>
        </w:tc>
        <w:tc>
          <w:tcPr>
            <w:tcW w:w="1181" w:type="dxa"/>
            <w:tcBorders>
              <w:top w:val="nil"/>
              <w:left w:val="single" w:sz="8" w:space="0" w:color="auto"/>
              <w:bottom w:val="single" w:sz="4" w:space="0" w:color="auto"/>
              <w:right w:val="single" w:sz="8" w:space="0" w:color="auto"/>
              <w:tl2br w:val="nil"/>
              <w:tr2bl w:val="nil"/>
            </w:tcBorders>
            <w:noWrap/>
            <w:textDirection w:val="lrTb"/>
            <w:vAlign w:val="bottom"/>
          </w:tcPr>
          <w:p w:rsidR="009F0797" w:rsidRPr="00C2439B" w:rsidP="00FD671F">
            <w:pPr>
              <w:spacing w:line="240" w:lineRule="auto"/>
              <w:jc w:val="right"/>
              <w:rPr>
                <w:rFonts w:ascii="Times New Roman" w:hAnsi="Times New Roman" w:cs="Times New Roman"/>
                <w:sz w:val="22"/>
                <w:szCs w:val="22"/>
              </w:rPr>
            </w:pPr>
            <w:r w:rsidRPr="00C2439B">
              <w:rPr>
                <w:rFonts w:ascii="Times New Roman" w:hAnsi="Times New Roman" w:cs="Times New Roman"/>
                <w:sz w:val="22"/>
                <w:szCs w:val="22"/>
              </w:rPr>
              <w:t>53 905</w:t>
            </w:r>
          </w:p>
        </w:tc>
        <w:tc>
          <w:tcPr>
            <w:tcW w:w="1274" w:type="dxa"/>
            <w:tcBorders>
              <w:top w:val="nil"/>
              <w:left w:val="nil"/>
              <w:bottom w:val="single" w:sz="4" w:space="0" w:color="auto"/>
              <w:right w:val="nil"/>
              <w:tl2br w:val="nil"/>
              <w:tr2bl w:val="nil"/>
            </w:tcBorders>
            <w:noWrap/>
            <w:textDirection w:val="lrTb"/>
            <w:vAlign w:val="bottom"/>
          </w:tcPr>
          <w:p w:rsidR="009F0797" w:rsidRPr="00C2439B" w:rsidP="00FD671F">
            <w:pPr>
              <w:spacing w:line="240" w:lineRule="auto"/>
              <w:jc w:val="right"/>
              <w:rPr>
                <w:rFonts w:ascii="Times New Roman" w:hAnsi="Times New Roman" w:cs="Times New Roman"/>
                <w:sz w:val="22"/>
                <w:szCs w:val="22"/>
              </w:rPr>
            </w:pPr>
            <w:r w:rsidRPr="00C2439B">
              <w:rPr>
                <w:rFonts w:ascii="Times New Roman" w:hAnsi="Times New Roman" w:cs="Times New Roman"/>
                <w:sz w:val="22"/>
                <w:szCs w:val="22"/>
              </w:rPr>
              <w:t>53 347</w:t>
            </w:r>
          </w:p>
        </w:tc>
        <w:tc>
          <w:tcPr>
            <w:tcW w:w="1215" w:type="dxa"/>
            <w:tcBorders>
              <w:top w:val="nil"/>
              <w:left w:val="single" w:sz="8" w:space="0" w:color="auto"/>
              <w:bottom w:val="single" w:sz="4" w:space="0" w:color="auto"/>
              <w:right w:val="nil"/>
              <w:tl2br w:val="nil"/>
              <w:tr2bl w:val="nil"/>
            </w:tcBorders>
            <w:noWrap/>
            <w:textDirection w:val="lrTb"/>
            <w:vAlign w:val="bottom"/>
          </w:tcPr>
          <w:p w:rsidR="009F0797" w:rsidRPr="00C2439B" w:rsidP="00FD671F">
            <w:pPr>
              <w:spacing w:line="240" w:lineRule="auto"/>
              <w:jc w:val="right"/>
              <w:rPr>
                <w:rFonts w:ascii="Times New Roman" w:hAnsi="Times New Roman" w:cs="Times New Roman"/>
                <w:sz w:val="22"/>
                <w:szCs w:val="22"/>
              </w:rPr>
            </w:pPr>
            <w:r w:rsidR="00E736C2">
              <w:rPr>
                <w:rFonts w:ascii="Times New Roman" w:hAnsi="Times New Roman" w:cs="Times New Roman"/>
                <w:sz w:val="22"/>
                <w:szCs w:val="22"/>
              </w:rPr>
              <w:t>56 022</w:t>
            </w:r>
          </w:p>
        </w:tc>
        <w:tc>
          <w:tcPr>
            <w:tcW w:w="1329" w:type="dxa"/>
            <w:tcBorders>
              <w:top w:val="nil"/>
              <w:left w:val="single" w:sz="8" w:space="0" w:color="auto"/>
              <w:bottom w:val="single" w:sz="4" w:space="0" w:color="auto"/>
              <w:right w:val="single" w:sz="8" w:space="0" w:color="auto"/>
              <w:tl2br w:val="nil"/>
              <w:tr2bl w:val="nil"/>
            </w:tcBorders>
            <w:noWrap/>
            <w:textDirection w:val="lrTb"/>
            <w:vAlign w:val="bottom"/>
          </w:tcPr>
          <w:p w:rsidR="009F0797" w:rsidRPr="00C2439B" w:rsidP="00FD671F">
            <w:pPr>
              <w:spacing w:line="240" w:lineRule="auto"/>
              <w:jc w:val="right"/>
              <w:rPr>
                <w:rFonts w:ascii="Times New Roman" w:hAnsi="Times New Roman" w:cs="Times New Roman"/>
                <w:sz w:val="22"/>
                <w:szCs w:val="22"/>
              </w:rPr>
            </w:pPr>
            <w:r w:rsidR="00E736C2">
              <w:rPr>
                <w:rFonts w:ascii="Times New Roman" w:hAnsi="Times New Roman" w:cs="Times New Roman"/>
                <w:sz w:val="22"/>
                <w:szCs w:val="22"/>
              </w:rPr>
              <w:t>2 675</w:t>
            </w:r>
          </w:p>
        </w:tc>
      </w:tr>
      <w:tr>
        <w:tblPrEx>
          <w:tblW w:w="8858" w:type="dxa"/>
          <w:tblInd w:w="70" w:type="dxa"/>
          <w:tblCellMar>
            <w:left w:w="70" w:type="dxa"/>
            <w:right w:w="70" w:type="dxa"/>
          </w:tblCellMar>
        </w:tblPrEx>
        <w:trPr>
          <w:trHeight w:val="254"/>
        </w:trPr>
        <w:tc>
          <w:tcPr>
            <w:tcW w:w="2880" w:type="dxa"/>
            <w:tcBorders>
              <w:top w:val="nil"/>
              <w:left w:val="single" w:sz="8" w:space="0" w:color="auto"/>
              <w:bottom w:val="single" w:sz="4" w:space="0" w:color="auto"/>
              <w:right w:val="nil"/>
              <w:tl2br w:val="nil"/>
              <w:tr2bl w:val="nil"/>
            </w:tcBorders>
            <w:noWrap/>
            <w:textDirection w:val="lrTb"/>
            <w:vAlign w:val="bottom"/>
          </w:tcPr>
          <w:p w:rsidR="009F0797" w:rsidRPr="00C2439B" w:rsidP="00FD671F">
            <w:pPr>
              <w:spacing w:line="240" w:lineRule="auto"/>
              <w:rPr>
                <w:rFonts w:ascii="Times New Roman" w:hAnsi="Times New Roman" w:cs="Times New Roman"/>
                <w:sz w:val="22"/>
                <w:szCs w:val="22"/>
              </w:rPr>
            </w:pPr>
            <w:r w:rsidRPr="00C2439B">
              <w:rPr>
                <w:rFonts w:ascii="Times New Roman" w:hAnsi="Times New Roman" w:cs="Times New Roman"/>
                <w:sz w:val="22"/>
                <w:szCs w:val="22"/>
              </w:rPr>
              <w:t xml:space="preserve">Daňové záväzky </w:t>
            </w:r>
          </w:p>
        </w:tc>
        <w:tc>
          <w:tcPr>
            <w:tcW w:w="979" w:type="dxa"/>
            <w:tcBorders>
              <w:top w:val="nil"/>
              <w:left w:val="single" w:sz="8" w:space="0" w:color="auto"/>
              <w:bottom w:val="nil"/>
              <w:right w:val="nil"/>
              <w:tl2br w:val="nil"/>
              <w:tr2bl w:val="nil"/>
            </w:tcBorders>
            <w:noWrap/>
            <w:textDirection w:val="lrTb"/>
            <w:vAlign w:val="bottom"/>
          </w:tcPr>
          <w:p w:rsidR="009F0797" w:rsidRPr="00C2439B" w:rsidP="00FD671F">
            <w:pPr>
              <w:spacing w:line="240" w:lineRule="auto"/>
              <w:jc w:val="right"/>
              <w:rPr>
                <w:rFonts w:ascii="Times New Roman" w:hAnsi="Times New Roman" w:cs="Times New Roman"/>
                <w:sz w:val="22"/>
                <w:szCs w:val="22"/>
              </w:rPr>
            </w:pPr>
            <w:r w:rsidRPr="00C2439B">
              <w:rPr>
                <w:rFonts w:ascii="Times New Roman" w:hAnsi="Times New Roman" w:cs="Times New Roman"/>
                <w:sz w:val="22"/>
                <w:szCs w:val="22"/>
              </w:rPr>
              <w:t>6 788</w:t>
            </w:r>
          </w:p>
        </w:tc>
        <w:tc>
          <w:tcPr>
            <w:tcW w:w="1181" w:type="dxa"/>
            <w:tcBorders>
              <w:top w:val="nil"/>
              <w:left w:val="single" w:sz="8" w:space="0" w:color="auto"/>
              <w:bottom w:val="nil"/>
              <w:right w:val="single" w:sz="8" w:space="0" w:color="auto"/>
              <w:tl2br w:val="nil"/>
              <w:tr2bl w:val="nil"/>
            </w:tcBorders>
            <w:noWrap/>
            <w:textDirection w:val="lrTb"/>
            <w:vAlign w:val="bottom"/>
          </w:tcPr>
          <w:p w:rsidR="009F0797" w:rsidRPr="00C2439B" w:rsidP="00FD671F">
            <w:pPr>
              <w:spacing w:line="240" w:lineRule="auto"/>
              <w:jc w:val="right"/>
              <w:rPr>
                <w:rFonts w:ascii="Times New Roman" w:hAnsi="Times New Roman" w:cs="Times New Roman"/>
                <w:sz w:val="22"/>
                <w:szCs w:val="22"/>
              </w:rPr>
            </w:pPr>
            <w:r w:rsidRPr="00C2439B">
              <w:rPr>
                <w:rFonts w:ascii="Times New Roman" w:hAnsi="Times New Roman" w:cs="Times New Roman"/>
                <w:sz w:val="22"/>
                <w:szCs w:val="22"/>
              </w:rPr>
              <w:t>10 772</w:t>
            </w:r>
          </w:p>
        </w:tc>
        <w:tc>
          <w:tcPr>
            <w:tcW w:w="1274" w:type="dxa"/>
            <w:tcBorders>
              <w:top w:val="nil"/>
              <w:left w:val="nil"/>
              <w:bottom w:val="nil"/>
              <w:right w:val="nil"/>
              <w:tl2br w:val="nil"/>
              <w:tr2bl w:val="nil"/>
            </w:tcBorders>
            <w:noWrap/>
            <w:textDirection w:val="lrTb"/>
            <w:vAlign w:val="bottom"/>
          </w:tcPr>
          <w:p w:rsidR="009F0797" w:rsidRPr="00C2439B" w:rsidP="00FD671F">
            <w:pPr>
              <w:spacing w:line="240" w:lineRule="auto"/>
              <w:jc w:val="right"/>
              <w:rPr>
                <w:rFonts w:ascii="Times New Roman" w:hAnsi="Times New Roman" w:cs="Times New Roman"/>
                <w:sz w:val="22"/>
                <w:szCs w:val="22"/>
              </w:rPr>
            </w:pPr>
            <w:r w:rsidRPr="00C2439B">
              <w:rPr>
                <w:rFonts w:ascii="Times New Roman" w:hAnsi="Times New Roman" w:cs="Times New Roman"/>
                <w:sz w:val="22"/>
                <w:szCs w:val="22"/>
              </w:rPr>
              <w:t>9 367</w:t>
            </w:r>
          </w:p>
        </w:tc>
        <w:tc>
          <w:tcPr>
            <w:tcW w:w="1215" w:type="dxa"/>
            <w:tcBorders>
              <w:top w:val="nil"/>
              <w:left w:val="single" w:sz="8" w:space="0" w:color="auto"/>
              <w:bottom w:val="nil"/>
              <w:right w:val="nil"/>
              <w:tl2br w:val="nil"/>
              <w:tr2bl w:val="nil"/>
            </w:tcBorders>
            <w:noWrap/>
            <w:textDirection w:val="lrTb"/>
            <w:vAlign w:val="bottom"/>
          </w:tcPr>
          <w:p w:rsidR="009F0797" w:rsidRPr="00C2439B" w:rsidP="00FD671F">
            <w:pPr>
              <w:spacing w:line="240" w:lineRule="auto"/>
              <w:jc w:val="right"/>
              <w:rPr>
                <w:rFonts w:ascii="Times New Roman" w:hAnsi="Times New Roman" w:cs="Times New Roman"/>
                <w:sz w:val="22"/>
                <w:szCs w:val="22"/>
              </w:rPr>
            </w:pPr>
            <w:r w:rsidR="00E736C2">
              <w:rPr>
                <w:rFonts w:ascii="Times New Roman" w:hAnsi="Times New Roman" w:cs="Times New Roman"/>
                <w:sz w:val="22"/>
                <w:szCs w:val="22"/>
              </w:rPr>
              <w:t>11 029</w:t>
            </w:r>
          </w:p>
        </w:tc>
        <w:tc>
          <w:tcPr>
            <w:tcW w:w="1329" w:type="dxa"/>
            <w:tcBorders>
              <w:top w:val="nil"/>
              <w:left w:val="single" w:sz="8" w:space="0" w:color="auto"/>
              <w:bottom w:val="single" w:sz="4" w:space="0" w:color="auto"/>
              <w:right w:val="single" w:sz="8" w:space="0" w:color="auto"/>
              <w:tl2br w:val="nil"/>
              <w:tr2bl w:val="nil"/>
            </w:tcBorders>
            <w:noWrap/>
            <w:textDirection w:val="lrTb"/>
            <w:vAlign w:val="bottom"/>
          </w:tcPr>
          <w:p w:rsidR="009F0797" w:rsidRPr="00C2439B" w:rsidP="00FD671F">
            <w:pPr>
              <w:spacing w:line="240" w:lineRule="auto"/>
              <w:jc w:val="right"/>
              <w:rPr>
                <w:rFonts w:ascii="Times New Roman" w:hAnsi="Times New Roman" w:cs="Times New Roman"/>
                <w:sz w:val="22"/>
                <w:szCs w:val="22"/>
              </w:rPr>
            </w:pPr>
            <w:r w:rsidR="00E736C2">
              <w:rPr>
                <w:rFonts w:ascii="Times New Roman" w:hAnsi="Times New Roman" w:cs="Times New Roman"/>
                <w:sz w:val="22"/>
                <w:szCs w:val="22"/>
              </w:rPr>
              <w:t>1 662</w:t>
            </w:r>
          </w:p>
        </w:tc>
      </w:tr>
      <w:tr>
        <w:tblPrEx>
          <w:tblW w:w="8858" w:type="dxa"/>
          <w:tblInd w:w="70" w:type="dxa"/>
          <w:tblCellMar>
            <w:left w:w="70" w:type="dxa"/>
            <w:right w:w="70" w:type="dxa"/>
          </w:tblCellMar>
        </w:tblPrEx>
        <w:trPr>
          <w:trHeight w:val="254"/>
        </w:trPr>
        <w:tc>
          <w:tcPr>
            <w:tcW w:w="2880" w:type="dxa"/>
            <w:tcBorders>
              <w:top w:val="nil"/>
              <w:left w:val="single" w:sz="8" w:space="0" w:color="auto"/>
              <w:bottom w:val="single" w:sz="4" w:space="0" w:color="auto"/>
              <w:right w:val="nil"/>
              <w:tl2br w:val="nil"/>
              <w:tr2bl w:val="nil"/>
            </w:tcBorders>
            <w:noWrap/>
            <w:textDirection w:val="lrTb"/>
            <w:vAlign w:val="bottom"/>
          </w:tcPr>
          <w:p w:rsidR="009F0797" w:rsidRPr="00C2439B" w:rsidP="00FD671F">
            <w:pPr>
              <w:spacing w:line="240" w:lineRule="auto"/>
              <w:rPr>
                <w:rFonts w:ascii="Times New Roman" w:hAnsi="Times New Roman" w:cs="Times New Roman"/>
                <w:sz w:val="22"/>
                <w:szCs w:val="22"/>
              </w:rPr>
            </w:pPr>
            <w:r w:rsidRPr="00C2439B">
              <w:rPr>
                <w:rFonts w:ascii="Times New Roman" w:hAnsi="Times New Roman" w:cs="Times New Roman"/>
                <w:sz w:val="22"/>
                <w:szCs w:val="22"/>
              </w:rPr>
              <w:t>Ostatné záväzky</w:t>
            </w:r>
          </w:p>
        </w:tc>
        <w:tc>
          <w:tcPr>
            <w:tcW w:w="979" w:type="dxa"/>
            <w:tcBorders>
              <w:top w:val="single" w:sz="4" w:space="0" w:color="auto"/>
              <w:left w:val="single" w:sz="8" w:space="0" w:color="auto"/>
              <w:bottom w:val="single" w:sz="4" w:space="0" w:color="auto"/>
              <w:right w:val="nil"/>
              <w:tl2br w:val="nil"/>
              <w:tr2bl w:val="nil"/>
            </w:tcBorders>
            <w:noWrap/>
            <w:textDirection w:val="lrTb"/>
            <w:vAlign w:val="bottom"/>
          </w:tcPr>
          <w:p w:rsidR="009F0797" w:rsidRPr="00C2439B" w:rsidP="00FD671F">
            <w:pPr>
              <w:spacing w:line="240" w:lineRule="auto"/>
              <w:jc w:val="right"/>
              <w:rPr>
                <w:rFonts w:ascii="Times New Roman" w:hAnsi="Times New Roman" w:cs="Times New Roman"/>
                <w:sz w:val="22"/>
                <w:szCs w:val="22"/>
              </w:rPr>
            </w:pPr>
            <w:r w:rsidRPr="00C2439B">
              <w:rPr>
                <w:rFonts w:ascii="Times New Roman" w:hAnsi="Times New Roman" w:cs="Times New Roman"/>
                <w:sz w:val="22"/>
                <w:szCs w:val="22"/>
              </w:rPr>
              <w:t>9</w:t>
            </w:r>
          </w:p>
        </w:tc>
        <w:tc>
          <w:tcPr>
            <w:tcW w:w="1181" w:type="dxa"/>
            <w:tcBorders>
              <w:top w:val="single" w:sz="4" w:space="0" w:color="auto"/>
              <w:left w:val="single" w:sz="8" w:space="0" w:color="auto"/>
              <w:bottom w:val="single" w:sz="4" w:space="0" w:color="auto"/>
              <w:right w:val="single" w:sz="8" w:space="0" w:color="auto"/>
              <w:tl2br w:val="nil"/>
              <w:tr2bl w:val="nil"/>
            </w:tcBorders>
            <w:noWrap/>
            <w:textDirection w:val="lrTb"/>
            <w:vAlign w:val="bottom"/>
          </w:tcPr>
          <w:p w:rsidR="009F0797" w:rsidRPr="00C2439B" w:rsidP="00FD671F">
            <w:pPr>
              <w:spacing w:line="240" w:lineRule="auto"/>
              <w:jc w:val="right"/>
              <w:rPr>
                <w:rFonts w:ascii="Times New Roman" w:hAnsi="Times New Roman" w:cs="Times New Roman"/>
                <w:sz w:val="22"/>
                <w:szCs w:val="22"/>
              </w:rPr>
            </w:pPr>
            <w:r w:rsidRPr="00C2439B">
              <w:rPr>
                <w:rFonts w:ascii="Times New Roman" w:hAnsi="Times New Roman" w:cs="Times New Roman"/>
                <w:sz w:val="22"/>
                <w:szCs w:val="22"/>
              </w:rPr>
              <w:t>2 195</w:t>
            </w:r>
          </w:p>
        </w:tc>
        <w:tc>
          <w:tcPr>
            <w:tcW w:w="1274" w:type="dxa"/>
            <w:tcBorders>
              <w:top w:val="single" w:sz="4" w:space="0" w:color="auto"/>
              <w:left w:val="nil"/>
              <w:bottom w:val="single" w:sz="4" w:space="0" w:color="auto"/>
              <w:right w:val="nil"/>
              <w:tl2br w:val="nil"/>
              <w:tr2bl w:val="nil"/>
            </w:tcBorders>
            <w:noWrap/>
            <w:textDirection w:val="lrTb"/>
            <w:vAlign w:val="bottom"/>
          </w:tcPr>
          <w:p w:rsidR="009F0797" w:rsidRPr="00C2439B" w:rsidP="00FD671F">
            <w:pPr>
              <w:spacing w:line="240" w:lineRule="auto"/>
              <w:jc w:val="right"/>
              <w:rPr>
                <w:rFonts w:ascii="Times New Roman" w:hAnsi="Times New Roman" w:cs="Times New Roman"/>
                <w:sz w:val="22"/>
                <w:szCs w:val="22"/>
              </w:rPr>
            </w:pPr>
            <w:r w:rsidRPr="00C2439B">
              <w:rPr>
                <w:rFonts w:ascii="Times New Roman" w:hAnsi="Times New Roman" w:cs="Times New Roman"/>
                <w:sz w:val="22"/>
                <w:szCs w:val="22"/>
              </w:rPr>
              <w:t>122 384</w:t>
            </w:r>
          </w:p>
        </w:tc>
        <w:tc>
          <w:tcPr>
            <w:tcW w:w="1215" w:type="dxa"/>
            <w:tcBorders>
              <w:top w:val="single" w:sz="4" w:space="0" w:color="auto"/>
              <w:left w:val="single" w:sz="8" w:space="0" w:color="auto"/>
              <w:bottom w:val="single" w:sz="4" w:space="0" w:color="auto"/>
              <w:right w:val="nil"/>
              <w:tl2br w:val="nil"/>
              <w:tr2bl w:val="nil"/>
            </w:tcBorders>
            <w:noWrap/>
            <w:textDirection w:val="lrTb"/>
            <w:vAlign w:val="bottom"/>
          </w:tcPr>
          <w:p w:rsidR="009F0797" w:rsidRPr="00C2439B" w:rsidP="00FD671F">
            <w:pPr>
              <w:spacing w:line="240" w:lineRule="auto"/>
              <w:jc w:val="right"/>
              <w:rPr>
                <w:rFonts w:ascii="Times New Roman" w:hAnsi="Times New Roman" w:cs="Times New Roman"/>
                <w:sz w:val="22"/>
                <w:szCs w:val="22"/>
              </w:rPr>
            </w:pPr>
            <w:r w:rsidR="00E736C2">
              <w:rPr>
                <w:rFonts w:ascii="Times New Roman" w:hAnsi="Times New Roman" w:cs="Times New Roman"/>
                <w:sz w:val="22"/>
                <w:szCs w:val="22"/>
              </w:rPr>
              <w:t>73 695</w:t>
            </w:r>
          </w:p>
        </w:tc>
        <w:tc>
          <w:tcPr>
            <w:tcW w:w="1329" w:type="dxa"/>
            <w:tcBorders>
              <w:top w:val="nil"/>
              <w:left w:val="single" w:sz="8" w:space="0" w:color="auto"/>
              <w:bottom w:val="single" w:sz="4" w:space="0" w:color="auto"/>
              <w:right w:val="single" w:sz="8" w:space="0" w:color="auto"/>
              <w:tl2br w:val="nil"/>
              <w:tr2bl w:val="nil"/>
            </w:tcBorders>
            <w:noWrap/>
            <w:textDirection w:val="lrTb"/>
            <w:vAlign w:val="bottom"/>
          </w:tcPr>
          <w:p w:rsidR="009F0797" w:rsidRPr="00C2439B" w:rsidP="00FD671F">
            <w:pPr>
              <w:spacing w:line="240" w:lineRule="auto"/>
              <w:jc w:val="right"/>
              <w:rPr>
                <w:rFonts w:ascii="Times New Roman" w:hAnsi="Times New Roman" w:cs="Times New Roman"/>
                <w:sz w:val="22"/>
                <w:szCs w:val="22"/>
              </w:rPr>
            </w:pPr>
            <w:r w:rsidR="00E736C2">
              <w:rPr>
                <w:rFonts w:ascii="Times New Roman" w:hAnsi="Times New Roman" w:cs="Times New Roman"/>
                <w:sz w:val="22"/>
                <w:szCs w:val="22"/>
              </w:rPr>
              <w:t>- 48 689</w:t>
            </w:r>
          </w:p>
        </w:tc>
      </w:tr>
      <w:tr>
        <w:tblPrEx>
          <w:tblW w:w="8858" w:type="dxa"/>
          <w:tblInd w:w="70" w:type="dxa"/>
          <w:tblCellMar>
            <w:left w:w="70" w:type="dxa"/>
            <w:right w:w="70" w:type="dxa"/>
          </w:tblCellMar>
        </w:tblPrEx>
        <w:trPr>
          <w:trHeight w:val="269"/>
        </w:trPr>
        <w:tc>
          <w:tcPr>
            <w:tcW w:w="2880" w:type="dxa"/>
            <w:tcBorders>
              <w:top w:val="nil"/>
              <w:left w:val="single" w:sz="8" w:space="0" w:color="auto"/>
              <w:bottom w:val="nil"/>
              <w:right w:val="nil"/>
              <w:tl2br w:val="nil"/>
              <w:tr2bl w:val="nil"/>
            </w:tcBorders>
            <w:noWrap/>
            <w:textDirection w:val="lrTb"/>
            <w:vAlign w:val="bottom"/>
          </w:tcPr>
          <w:p w:rsidR="009F0797" w:rsidRPr="00C2439B" w:rsidP="00FD671F">
            <w:pPr>
              <w:spacing w:line="240" w:lineRule="auto"/>
              <w:rPr>
                <w:rFonts w:ascii="Times New Roman" w:hAnsi="Times New Roman" w:cs="Times New Roman"/>
                <w:sz w:val="22"/>
                <w:szCs w:val="22"/>
              </w:rPr>
            </w:pPr>
            <w:r w:rsidRPr="00C2439B">
              <w:rPr>
                <w:rFonts w:ascii="Times New Roman" w:hAnsi="Times New Roman" w:cs="Times New Roman"/>
                <w:sz w:val="22"/>
                <w:szCs w:val="22"/>
              </w:rPr>
              <w:t>Nevyfakturované dodávky</w:t>
            </w:r>
          </w:p>
        </w:tc>
        <w:tc>
          <w:tcPr>
            <w:tcW w:w="979" w:type="dxa"/>
            <w:tcBorders>
              <w:top w:val="nil"/>
              <w:left w:val="single" w:sz="8" w:space="0" w:color="auto"/>
              <w:bottom w:val="nil"/>
              <w:right w:val="nil"/>
              <w:tl2br w:val="nil"/>
              <w:tr2bl w:val="nil"/>
            </w:tcBorders>
            <w:noWrap/>
            <w:textDirection w:val="lrTb"/>
            <w:vAlign w:val="bottom"/>
          </w:tcPr>
          <w:p w:rsidR="009F0797" w:rsidRPr="00C2439B" w:rsidP="00FD671F">
            <w:pPr>
              <w:spacing w:line="240" w:lineRule="auto"/>
              <w:jc w:val="right"/>
              <w:rPr>
                <w:rFonts w:ascii="Times New Roman" w:hAnsi="Times New Roman" w:cs="Times New Roman"/>
                <w:sz w:val="22"/>
                <w:szCs w:val="22"/>
              </w:rPr>
            </w:pPr>
            <w:r w:rsidRPr="00C2439B">
              <w:rPr>
                <w:rFonts w:ascii="Times New Roman" w:hAnsi="Times New Roman" w:cs="Times New Roman"/>
                <w:sz w:val="22"/>
                <w:szCs w:val="22"/>
              </w:rPr>
              <w:t>16 913</w:t>
            </w:r>
          </w:p>
        </w:tc>
        <w:tc>
          <w:tcPr>
            <w:tcW w:w="1181" w:type="dxa"/>
            <w:tcBorders>
              <w:top w:val="nil"/>
              <w:left w:val="single" w:sz="8" w:space="0" w:color="auto"/>
              <w:bottom w:val="nil"/>
              <w:right w:val="single" w:sz="8" w:space="0" w:color="auto"/>
              <w:tl2br w:val="nil"/>
              <w:tr2bl w:val="nil"/>
            </w:tcBorders>
            <w:noWrap/>
            <w:textDirection w:val="lrTb"/>
            <w:vAlign w:val="bottom"/>
          </w:tcPr>
          <w:p w:rsidR="009F0797" w:rsidRPr="00C2439B" w:rsidP="00FD671F">
            <w:pPr>
              <w:spacing w:line="240" w:lineRule="auto"/>
              <w:jc w:val="right"/>
              <w:rPr>
                <w:rFonts w:ascii="Times New Roman" w:hAnsi="Times New Roman" w:cs="Times New Roman"/>
                <w:sz w:val="22"/>
                <w:szCs w:val="22"/>
              </w:rPr>
            </w:pPr>
            <w:r w:rsidRPr="00C2439B">
              <w:rPr>
                <w:rFonts w:ascii="Times New Roman" w:hAnsi="Times New Roman" w:cs="Times New Roman"/>
                <w:sz w:val="22"/>
                <w:szCs w:val="22"/>
              </w:rPr>
              <w:t>10 860</w:t>
            </w:r>
          </w:p>
        </w:tc>
        <w:tc>
          <w:tcPr>
            <w:tcW w:w="1274" w:type="dxa"/>
            <w:tcBorders>
              <w:top w:val="nil"/>
              <w:left w:val="nil"/>
              <w:bottom w:val="nil"/>
              <w:right w:val="nil"/>
              <w:tl2br w:val="nil"/>
              <w:tr2bl w:val="nil"/>
            </w:tcBorders>
            <w:noWrap/>
            <w:textDirection w:val="lrTb"/>
            <w:vAlign w:val="bottom"/>
          </w:tcPr>
          <w:p w:rsidR="009F0797" w:rsidRPr="00C2439B" w:rsidP="00FD671F">
            <w:pPr>
              <w:spacing w:line="240" w:lineRule="auto"/>
              <w:jc w:val="right"/>
              <w:rPr>
                <w:rFonts w:ascii="Times New Roman" w:hAnsi="Times New Roman" w:cs="Times New Roman"/>
                <w:sz w:val="22"/>
                <w:szCs w:val="22"/>
              </w:rPr>
            </w:pPr>
            <w:r w:rsidRPr="00C2439B">
              <w:rPr>
                <w:rFonts w:ascii="Times New Roman" w:hAnsi="Times New Roman" w:cs="Times New Roman"/>
                <w:sz w:val="22"/>
                <w:szCs w:val="22"/>
              </w:rPr>
              <w:t>2 425</w:t>
            </w:r>
          </w:p>
        </w:tc>
        <w:tc>
          <w:tcPr>
            <w:tcW w:w="1215" w:type="dxa"/>
            <w:tcBorders>
              <w:top w:val="nil"/>
              <w:left w:val="single" w:sz="8" w:space="0" w:color="auto"/>
              <w:bottom w:val="nil"/>
              <w:right w:val="nil"/>
              <w:tl2br w:val="nil"/>
              <w:tr2bl w:val="nil"/>
            </w:tcBorders>
            <w:noWrap/>
            <w:textDirection w:val="lrTb"/>
            <w:vAlign w:val="bottom"/>
          </w:tcPr>
          <w:p w:rsidR="009F0797" w:rsidRPr="00C2439B" w:rsidP="00FD671F">
            <w:pPr>
              <w:spacing w:line="240" w:lineRule="auto"/>
              <w:jc w:val="right"/>
              <w:rPr>
                <w:rFonts w:ascii="Times New Roman" w:hAnsi="Times New Roman" w:cs="Times New Roman"/>
                <w:sz w:val="22"/>
                <w:szCs w:val="22"/>
              </w:rPr>
            </w:pPr>
            <w:r w:rsidR="00E736C2">
              <w:rPr>
                <w:rFonts w:ascii="Times New Roman" w:hAnsi="Times New Roman" w:cs="Times New Roman"/>
                <w:sz w:val="22"/>
                <w:szCs w:val="22"/>
              </w:rPr>
              <w:t>150 990</w:t>
            </w:r>
          </w:p>
        </w:tc>
        <w:tc>
          <w:tcPr>
            <w:tcW w:w="1329" w:type="dxa"/>
            <w:tcBorders>
              <w:top w:val="nil"/>
              <w:left w:val="single" w:sz="8" w:space="0" w:color="auto"/>
              <w:bottom w:val="single" w:sz="8" w:space="0" w:color="auto"/>
              <w:right w:val="single" w:sz="8" w:space="0" w:color="auto"/>
              <w:tl2br w:val="nil"/>
              <w:tr2bl w:val="nil"/>
            </w:tcBorders>
            <w:noWrap/>
            <w:textDirection w:val="lrTb"/>
            <w:vAlign w:val="bottom"/>
          </w:tcPr>
          <w:p w:rsidR="009F0797" w:rsidRPr="00C2439B" w:rsidP="00FD671F">
            <w:pPr>
              <w:spacing w:line="240" w:lineRule="auto"/>
              <w:jc w:val="right"/>
              <w:rPr>
                <w:rFonts w:ascii="Times New Roman" w:hAnsi="Times New Roman" w:cs="Times New Roman"/>
                <w:sz w:val="22"/>
                <w:szCs w:val="22"/>
              </w:rPr>
            </w:pPr>
            <w:r w:rsidR="00E736C2">
              <w:rPr>
                <w:rFonts w:ascii="Times New Roman" w:hAnsi="Times New Roman" w:cs="Times New Roman"/>
                <w:sz w:val="22"/>
                <w:szCs w:val="22"/>
              </w:rPr>
              <w:t>148 565</w:t>
            </w:r>
          </w:p>
        </w:tc>
      </w:tr>
      <w:tr>
        <w:tblPrEx>
          <w:tblW w:w="8858" w:type="dxa"/>
          <w:tblInd w:w="70" w:type="dxa"/>
          <w:tblCellMar>
            <w:left w:w="70" w:type="dxa"/>
            <w:right w:w="70" w:type="dxa"/>
          </w:tblCellMar>
        </w:tblPrEx>
        <w:trPr>
          <w:trHeight w:val="269"/>
        </w:trPr>
        <w:tc>
          <w:tcPr>
            <w:tcW w:w="2880" w:type="dxa"/>
            <w:tcBorders>
              <w:top w:val="single" w:sz="8" w:space="0" w:color="auto"/>
              <w:left w:val="single" w:sz="8" w:space="0" w:color="auto"/>
              <w:bottom w:val="single" w:sz="8" w:space="0" w:color="auto"/>
              <w:right w:val="nil"/>
              <w:tl2br w:val="nil"/>
              <w:tr2bl w:val="nil"/>
            </w:tcBorders>
            <w:shd w:val="clear" w:color="auto" w:fill="C0C0C0"/>
            <w:noWrap/>
            <w:textDirection w:val="lrTb"/>
            <w:vAlign w:val="bottom"/>
          </w:tcPr>
          <w:p w:rsidR="009F0797" w:rsidRPr="00C2439B" w:rsidP="00FD671F">
            <w:pPr>
              <w:spacing w:line="240" w:lineRule="auto"/>
              <w:rPr>
                <w:rFonts w:ascii="Times New Roman" w:hAnsi="Times New Roman" w:cs="Times New Roman"/>
                <w:b/>
                <w:bCs/>
                <w:sz w:val="22"/>
                <w:szCs w:val="22"/>
              </w:rPr>
            </w:pPr>
            <w:r w:rsidRPr="00C2439B">
              <w:rPr>
                <w:rFonts w:ascii="Times New Roman" w:hAnsi="Times New Roman" w:cs="Times New Roman"/>
                <w:b/>
                <w:bCs/>
                <w:sz w:val="22"/>
                <w:szCs w:val="22"/>
              </w:rPr>
              <w:t xml:space="preserve">Spolu krátkodobé záväzky </w:t>
            </w:r>
          </w:p>
        </w:tc>
        <w:tc>
          <w:tcPr>
            <w:tcW w:w="979" w:type="dxa"/>
            <w:tcBorders>
              <w:top w:val="single" w:sz="8" w:space="0" w:color="auto"/>
              <w:left w:val="single" w:sz="8" w:space="0" w:color="auto"/>
              <w:bottom w:val="single" w:sz="8" w:space="0" w:color="auto"/>
              <w:right w:val="nil"/>
              <w:tl2br w:val="nil"/>
              <w:tr2bl w:val="nil"/>
            </w:tcBorders>
            <w:shd w:val="clear" w:color="auto" w:fill="C0C0C0"/>
            <w:noWrap/>
            <w:textDirection w:val="lrTb"/>
            <w:vAlign w:val="bottom"/>
          </w:tcPr>
          <w:p w:rsidR="009F0797" w:rsidRPr="004571DF" w:rsidP="00FD671F">
            <w:pPr>
              <w:spacing w:line="240" w:lineRule="auto"/>
              <w:jc w:val="right"/>
              <w:rPr>
                <w:rFonts w:ascii="Times New Roman" w:hAnsi="Times New Roman" w:cs="Times New Roman"/>
                <w:b/>
                <w:sz w:val="22"/>
                <w:szCs w:val="22"/>
              </w:rPr>
            </w:pPr>
            <w:r w:rsidRPr="004571DF">
              <w:rPr>
                <w:rFonts w:ascii="Times New Roman" w:hAnsi="Times New Roman" w:cs="Times New Roman"/>
                <w:b/>
                <w:sz w:val="22"/>
                <w:szCs w:val="22"/>
              </w:rPr>
              <w:t>874 174</w:t>
            </w:r>
          </w:p>
        </w:tc>
        <w:tc>
          <w:tcPr>
            <w:tcW w:w="1181" w:type="dxa"/>
            <w:tcBorders>
              <w:top w:val="single" w:sz="8" w:space="0" w:color="auto"/>
              <w:left w:val="single" w:sz="8" w:space="0" w:color="auto"/>
              <w:bottom w:val="single" w:sz="8" w:space="0" w:color="auto"/>
              <w:right w:val="single" w:sz="8" w:space="0" w:color="auto"/>
              <w:tl2br w:val="nil"/>
              <w:tr2bl w:val="nil"/>
            </w:tcBorders>
            <w:shd w:val="clear" w:color="auto" w:fill="C0C0C0"/>
            <w:noWrap/>
            <w:textDirection w:val="lrTb"/>
            <w:vAlign w:val="bottom"/>
          </w:tcPr>
          <w:p w:rsidR="009F0797" w:rsidRPr="004571DF" w:rsidP="00FD671F">
            <w:pPr>
              <w:spacing w:line="240" w:lineRule="auto"/>
              <w:jc w:val="right"/>
              <w:rPr>
                <w:rFonts w:ascii="Times New Roman" w:hAnsi="Times New Roman" w:cs="Times New Roman"/>
                <w:b/>
                <w:sz w:val="22"/>
                <w:szCs w:val="22"/>
              </w:rPr>
            </w:pPr>
            <w:r w:rsidRPr="004571DF">
              <w:rPr>
                <w:rFonts w:ascii="Times New Roman" w:hAnsi="Times New Roman" w:cs="Times New Roman"/>
                <w:b/>
                <w:sz w:val="22"/>
                <w:szCs w:val="22"/>
              </w:rPr>
              <w:t>796 671</w:t>
            </w:r>
          </w:p>
        </w:tc>
        <w:tc>
          <w:tcPr>
            <w:tcW w:w="1274" w:type="dxa"/>
            <w:tcBorders>
              <w:top w:val="single" w:sz="8" w:space="0" w:color="auto"/>
              <w:left w:val="nil"/>
              <w:bottom w:val="single" w:sz="8" w:space="0" w:color="auto"/>
              <w:right w:val="nil"/>
              <w:tl2br w:val="nil"/>
              <w:tr2bl w:val="nil"/>
            </w:tcBorders>
            <w:shd w:val="clear" w:color="auto" w:fill="C0C0C0"/>
            <w:noWrap/>
            <w:textDirection w:val="lrTb"/>
            <w:vAlign w:val="bottom"/>
          </w:tcPr>
          <w:p w:rsidR="009F0797" w:rsidRPr="004571DF" w:rsidP="00FD671F">
            <w:pPr>
              <w:spacing w:line="240" w:lineRule="auto"/>
              <w:jc w:val="right"/>
              <w:rPr>
                <w:rFonts w:ascii="Times New Roman" w:hAnsi="Times New Roman" w:cs="Times New Roman"/>
                <w:b/>
                <w:sz w:val="22"/>
                <w:szCs w:val="22"/>
              </w:rPr>
            </w:pPr>
            <w:r w:rsidRPr="004571DF">
              <w:rPr>
                <w:rFonts w:ascii="Times New Roman" w:hAnsi="Times New Roman" w:cs="Times New Roman"/>
                <w:b/>
                <w:sz w:val="22"/>
                <w:szCs w:val="22"/>
              </w:rPr>
              <w:t>1 118 383</w:t>
            </w:r>
          </w:p>
        </w:tc>
        <w:tc>
          <w:tcPr>
            <w:tcW w:w="1215" w:type="dxa"/>
            <w:tcBorders>
              <w:top w:val="single" w:sz="8" w:space="0" w:color="auto"/>
              <w:left w:val="single" w:sz="8" w:space="0" w:color="auto"/>
              <w:bottom w:val="single" w:sz="8" w:space="0" w:color="auto"/>
              <w:right w:val="single" w:sz="8" w:space="0" w:color="auto"/>
              <w:tl2br w:val="nil"/>
              <w:tr2bl w:val="nil"/>
            </w:tcBorders>
            <w:shd w:val="clear" w:color="auto" w:fill="C0C0C0"/>
            <w:noWrap/>
            <w:textDirection w:val="lrTb"/>
            <w:vAlign w:val="bottom"/>
          </w:tcPr>
          <w:p w:rsidR="009F0797" w:rsidRPr="004571DF" w:rsidP="00FD671F">
            <w:pPr>
              <w:spacing w:line="240" w:lineRule="auto"/>
              <w:jc w:val="right"/>
              <w:rPr>
                <w:rFonts w:ascii="Times New Roman" w:hAnsi="Times New Roman" w:cs="Times New Roman"/>
                <w:b/>
                <w:sz w:val="22"/>
                <w:szCs w:val="22"/>
              </w:rPr>
            </w:pPr>
            <w:r w:rsidR="00E736C2">
              <w:rPr>
                <w:rFonts w:ascii="Times New Roman" w:hAnsi="Times New Roman" w:cs="Times New Roman"/>
                <w:b/>
                <w:sz w:val="22"/>
                <w:szCs w:val="22"/>
              </w:rPr>
              <w:t>1 398 308</w:t>
            </w:r>
          </w:p>
        </w:tc>
        <w:tc>
          <w:tcPr>
            <w:tcW w:w="1329" w:type="dxa"/>
            <w:tcBorders>
              <w:top w:val="nil"/>
              <w:left w:val="nil"/>
              <w:bottom w:val="single" w:sz="8" w:space="0" w:color="auto"/>
              <w:right w:val="single" w:sz="8" w:space="0" w:color="auto"/>
              <w:tl2br w:val="nil"/>
              <w:tr2bl w:val="nil"/>
            </w:tcBorders>
            <w:shd w:val="clear" w:color="auto" w:fill="C0C0C0"/>
            <w:noWrap/>
            <w:textDirection w:val="lrTb"/>
            <w:vAlign w:val="bottom"/>
          </w:tcPr>
          <w:p w:rsidR="009F0797" w:rsidRPr="004571DF" w:rsidP="00FD671F">
            <w:pPr>
              <w:spacing w:line="240" w:lineRule="auto"/>
              <w:jc w:val="right"/>
              <w:rPr>
                <w:rFonts w:ascii="Times New Roman" w:hAnsi="Times New Roman" w:cs="Times New Roman"/>
                <w:b/>
                <w:sz w:val="22"/>
                <w:szCs w:val="22"/>
              </w:rPr>
            </w:pPr>
            <w:r w:rsidR="00E736C2">
              <w:rPr>
                <w:rFonts w:ascii="Times New Roman" w:hAnsi="Times New Roman" w:cs="Times New Roman"/>
                <w:b/>
                <w:sz w:val="22"/>
                <w:szCs w:val="22"/>
              </w:rPr>
              <w:t>279 925</w:t>
            </w:r>
          </w:p>
        </w:tc>
      </w:tr>
    </w:tbl>
    <w:p w:rsidR="00CC386E" w:rsidP="00AE473C">
      <w:pPr>
        <w:adjustRightInd/>
        <w:spacing w:line="240" w:lineRule="auto"/>
        <w:textAlignment w:val="auto"/>
        <w:rPr>
          <w:rFonts w:ascii="Times New Roman" w:hAnsi="Times New Roman" w:cs="Times New Roman"/>
          <w:sz w:val="24"/>
          <w:szCs w:val="24"/>
        </w:rPr>
      </w:pPr>
    </w:p>
    <w:p w:rsidR="00CC386E" w:rsidP="00AE473C">
      <w:pPr>
        <w:adjustRightInd/>
        <w:spacing w:line="240" w:lineRule="auto"/>
        <w:ind w:firstLine="709"/>
        <w:textAlignment w:val="auto"/>
        <w:rPr>
          <w:rFonts w:ascii="Times New Roman" w:hAnsi="Times New Roman" w:cs="Times New Roman"/>
          <w:sz w:val="24"/>
          <w:szCs w:val="24"/>
        </w:rPr>
      </w:pPr>
      <w:r w:rsidRPr="004571DF" w:rsidR="009F0797">
        <w:rPr>
          <w:rFonts w:ascii="Times New Roman" w:hAnsi="Times New Roman" w:cs="Times New Roman"/>
          <w:sz w:val="24"/>
          <w:szCs w:val="24"/>
        </w:rPr>
        <w:t>Záväzky voči zamestnancom, záväzky zo sociálneho poistenia a daňové záväzky sú záväz</w:t>
      </w:r>
      <w:r w:rsidR="004571DF">
        <w:rPr>
          <w:rFonts w:ascii="Times New Roman" w:hAnsi="Times New Roman" w:cs="Times New Roman"/>
          <w:sz w:val="24"/>
          <w:szCs w:val="24"/>
        </w:rPr>
        <w:t xml:space="preserve">ky súvisiace s výplatou miezd a </w:t>
      </w:r>
      <w:r w:rsidRPr="004571DF" w:rsidR="009F0797">
        <w:rPr>
          <w:rFonts w:ascii="Times New Roman" w:hAnsi="Times New Roman" w:cs="Times New Roman"/>
          <w:sz w:val="24"/>
          <w:szCs w:val="24"/>
        </w:rPr>
        <w:t>sú v lehote sp</w:t>
      </w:r>
      <w:r w:rsidR="00AE473C">
        <w:rPr>
          <w:rFonts w:ascii="Times New Roman" w:hAnsi="Times New Roman" w:cs="Times New Roman"/>
          <w:sz w:val="24"/>
          <w:szCs w:val="24"/>
        </w:rPr>
        <w:t xml:space="preserve">latnosti. </w:t>
      </w:r>
      <w:r w:rsidR="004571DF">
        <w:rPr>
          <w:rFonts w:ascii="Times New Roman" w:hAnsi="Times New Roman" w:cs="Times New Roman"/>
          <w:sz w:val="24"/>
          <w:szCs w:val="24"/>
        </w:rPr>
        <w:t xml:space="preserve">Nevyfakturované dodávky </w:t>
      </w:r>
      <w:r w:rsidR="00AE473C">
        <w:rPr>
          <w:rFonts w:ascii="Times New Roman" w:hAnsi="Times New Roman" w:cs="Times New Roman"/>
          <w:sz w:val="24"/>
          <w:szCs w:val="24"/>
        </w:rPr>
        <w:t xml:space="preserve">sú za opravy ŽKV. </w:t>
      </w:r>
    </w:p>
    <w:p w:rsidR="009F0797" w:rsidRPr="00AE473C" w:rsidP="00AE473C">
      <w:pPr>
        <w:adjustRightInd/>
        <w:spacing w:line="240" w:lineRule="auto"/>
        <w:ind w:firstLine="709"/>
        <w:textAlignment w:val="auto"/>
        <w:rPr>
          <w:rFonts w:ascii="Times New Roman" w:hAnsi="Times New Roman" w:cs="Times New Roman"/>
          <w:sz w:val="24"/>
          <w:szCs w:val="24"/>
        </w:rPr>
      </w:pPr>
      <w:r w:rsidR="004571DF">
        <w:rPr>
          <w:rFonts w:ascii="Times New Roman" w:hAnsi="Times New Roman" w:cs="Times New Roman"/>
          <w:sz w:val="24"/>
          <w:szCs w:val="24"/>
        </w:rPr>
        <w:t>O</w:t>
      </w:r>
      <w:r w:rsidRPr="004571DF">
        <w:rPr>
          <w:rFonts w:ascii="Times New Roman" w:hAnsi="Times New Roman" w:cs="Times New Roman"/>
          <w:sz w:val="24"/>
          <w:szCs w:val="24"/>
        </w:rPr>
        <w:t>st</w:t>
      </w:r>
      <w:r w:rsidR="004571DF">
        <w:rPr>
          <w:rFonts w:ascii="Times New Roman" w:hAnsi="Times New Roman" w:cs="Times New Roman"/>
          <w:sz w:val="24"/>
          <w:szCs w:val="24"/>
        </w:rPr>
        <w:t xml:space="preserve">atné záväzky predstavujú </w:t>
      </w:r>
      <w:r w:rsidRPr="004571DF">
        <w:rPr>
          <w:rFonts w:ascii="Times New Roman" w:hAnsi="Times New Roman" w:cs="Times New Roman"/>
          <w:sz w:val="24"/>
          <w:szCs w:val="24"/>
        </w:rPr>
        <w:t>z</w:t>
      </w:r>
      <w:r w:rsidR="004571DF">
        <w:rPr>
          <w:rFonts w:ascii="Times New Roman" w:hAnsi="Times New Roman" w:cs="Times New Roman"/>
          <w:sz w:val="24"/>
          <w:szCs w:val="24"/>
        </w:rPr>
        <w:t xml:space="preserve">áväzky z  derivátových operácií, </w:t>
      </w:r>
      <w:r w:rsidRPr="004571DF">
        <w:rPr>
          <w:rFonts w:ascii="Times New Roman" w:hAnsi="Times New Roman" w:cs="Times New Roman"/>
          <w:sz w:val="24"/>
          <w:szCs w:val="24"/>
        </w:rPr>
        <w:t xml:space="preserve">u ktorých došlo k 31.12. </w:t>
      </w:r>
      <w:r w:rsidR="004571DF">
        <w:rPr>
          <w:rFonts w:ascii="Times New Roman" w:hAnsi="Times New Roman" w:cs="Times New Roman"/>
          <w:sz w:val="24"/>
          <w:szCs w:val="24"/>
        </w:rPr>
        <w:t xml:space="preserve">2006 </w:t>
      </w:r>
      <w:r w:rsidRPr="004571DF">
        <w:rPr>
          <w:rFonts w:ascii="Times New Roman" w:hAnsi="Times New Roman" w:cs="Times New Roman"/>
          <w:sz w:val="24"/>
          <w:szCs w:val="24"/>
        </w:rPr>
        <w:t xml:space="preserve">k zníženiu ich hodnoty. V roku 2007 </w:t>
      </w:r>
      <w:r w:rsidR="004571DF">
        <w:rPr>
          <w:rFonts w:ascii="Times New Roman" w:hAnsi="Times New Roman" w:cs="Times New Roman"/>
          <w:sz w:val="24"/>
          <w:szCs w:val="24"/>
        </w:rPr>
        <w:t xml:space="preserve">boli preúčtované </w:t>
      </w:r>
      <w:r w:rsidRPr="004571DF">
        <w:rPr>
          <w:rFonts w:ascii="Times New Roman" w:hAnsi="Times New Roman" w:cs="Times New Roman"/>
          <w:sz w:val="24"/>
          <w:szCs w:val="24"/>
        </w:rPr>
        <w:t xml:space="preserve">na dlhodobé záväzky. </w:t>
      </w:r>
    </w:p>
    <w:p w:rsidR="004573C1" w:rsidP="00AE473C">
      <w:pPr>
        <w:pStyle w:val="BodyText2"/>
        <w:numPr>
          <w:ilvl w:val="0"/>
        </w:numPr>
        <w:spacing w:line="240" w:lineRule="auto"/>
        <w:ind w:firstLine="0"/>
        <w:rPr>
          <w:rFonts w:ascii="Times New Roman" w:hAnsi="Times New Roman" w:cs="Times New Roman"/>
          <w:b/>
          <w:bCs/>
          <w:iCs/>
          <w:sz w:val="24"/>
          <w:szCs w:val="24"/>
        </w:rPr>
      </w:pPr>
    </w:p>
    <w:p w:rsidR="00CC386E" w:rsidP="00AE473C">
      <w:pPr>
        <w:pStyle w:val="BodyText2"/>
        <w:numPr>
          <w:ilvl w:val="0"/>
        </w:numPr>
        <w:spacing w:line="240" w:lineRule="auto"/>
        <w:ind w:firstLine="0"/>
        <w:rPr>
          <w:rFonts w:ascii="Times New Roman" w:hAnsi="Times New Roman" w:cs="Times New Roman"/>
          <w:b/>
          <w:bCs/>
          <w:iCs/>
          <w:sz w:val="24"/>
          <w:szCs w:val="24"/>
        </w:rPr>
      </w:pPr>
    </w:p>
    <w:p w:rsidR="00D12F83" w:rsidRPr="00323D34" w:rsidP="00FD671F">
      <w:pPr>
        <w:pStyle w:val="BodyText2"/>
        <w:numPr>
          <w:ilvl w:val="0"/>
        </w:numPr>
        <w:spacing w:line="240" w:lineRule="auto"/>
        <w:ind w:firstLine="0"/>
        <w:jc w:val="center"/>
        <w:rPr>
          <w:rFonts w:ascii="Times New Roman" w:hAnsi="Times New Roman" w:cs="Times New Roman"/>
          <w:b/>
          <w:bCs/>
          <w:iCs/>
          <w:sz w:val="24"/>
          <w:szCs w:val="24"/>
        </w:rPr>
      </w:pPr>
      <w:r w:rsidRPr="00323D34">
        <w:rPr>
          <w:rFonts w:ascii="Times New Roman" w:hAnsi="Times New Roman" w:cs="Times New Roman"/>
          <w:b/>
          <w:bCs/>
          <w:iCs/>
          <w:sz w:val="24"/>
          <w:szCs w:val="24"/>
        </w:rPr>
        <w:t>Prehľad krátkodobých záväzkov z obchodného styku voči cudzím dodávateľom</w:t>
      </w:r>
    </w:p>
    <w:tbl>
      <w:tblPr>
        <w:tblW w:w="8875" w:type="dxa"/>
        <w:tblInd w:w="55" w:type="dxa"/>
        <w:tblCellMar>
          <w:left w:w="70" w:type="dxa"/>
          <w:right w:w="70" w:type="dxa"/>
        </w:tblCellMar>
      </w:tblPr>
      <w:tblGrid>
        <w:gridCol w:w="440"/>
        <w:gridCol w:w="2635"/>
        <w:gridCol w:w="1220"/>
        <w:gridCol w:w="1120"/>
        <w:gridCol w:w="1120"/>
        <w:gridCol w:w="1120"/>
        <w:gridCol w:w="1220"/>
      </w:tblGrid>
      <w:tr>
        <w:tblPrEx>
          <w:tblW w:w="8875" w:type="dxa"/>
          <w:tblInd w:w="55" w:type="dxa"/>
          <w:tblCellMar>
            <w:left w:w="70" w:type="dxa"/>
            <w:right w:w="70" w:type="dxa"/>
          </w:tblCellMar>
        </w:tblPrEx>
        <w:trPr>
          <w:trHeight w:val="255"/>
        </w:trPr>
        <w:tc>
          <w:tcPr>
            <w:tcW w:w="440" w:type="dxa"/>
            <w:tcBorders>
              <w:top w:val="nil"/>
              <w:left w:val="nil"/>
              <w:bottom w:val="single" w:sz="4" w:space="0" w:color="auto"/>
              <w:right w:val="nil"/>
              <w:tl2br w:val="nil"/>
              <w:tr2bl w:val="nil"/>
            </w:tcBorders>
            <w:noWrap/>
            <w:textDirection w:val="lrTb"/>
            <w:vAlign w:val="bottom"/>
          </w:tcPr>
          <w:p w:rsidR="00D12F83" w:rsidP="00FD671F">
            <w:pPr>
              <w:spacing w:line="240" w:lineRule="auto"/>
              <w:rPr>
                <w:rFonts w:ascii="Times New Roman" w:hAnsi="Times New Roman" w:cs="Times New Roman"/>
                <w:lang w:eastAsia="sk-SK"/>
              </w:rPr>
            </w:pPr>
          </w:p>
        </w:tc>
        <w:tc>
          <w:tcPr>
            <w:tcW w:w="2635" w:type="dxa"/>
            <w:tcBorders>
              <w:top w:val="nil"/>
              <w:left w:val="nil"/>
              <w:bottom w:val="single" w:sz="4" w:space="0" w:color="auto"/>
              <w:right w:val="nil"/>
              <w:tl2br w:val="nil"/>
              <w:tr2bl w:val="nil"/>
            </w:tcBorders>
            <w:noWrap/>
            <w:textDirection w:val="lrTb"/>
            <w:vAlign w:val="bottom"/>
          </w:tcPr>
          <w:p w:rsidR="00D12F83" w:rsidP="00FD671F">
            <w:pPr>
              <w:spacing w:line="240" w:lineRule="auto"/>
              <w:rPr>
                <w:rFonts w:ascii="Times New Roman" w:hAnsi="Times New Roman" w:cs="Times New Roman"/>
                <w:lang w:eastAsia="sk-SK"/>
              </w:rPr>
            </w:pPr>
          </w:p>
          <w:p w:rsidR="004573C1" w:rsidP="00FD671F">
            <w:pPr>
              <w:spacing w:line="240" w:lineRule="auto"/>
              <w:rPr>
                <w:rFonts w:ascii="Times New Roman" w:hAnsi="Times New Roman" w:cs="Times New Roman"/>
                <w:lang w:eastAsia="sk-SK"/>
              </w:rPr>
            </w:pPr>
          </w:p>
        </w:tc>
        <w:tc>
          <w:tcPr>
            <w:tcW w:w="1220" w:type="dxa"/>
            <w:tcBorders>
              <w:top w:val="nil"/>
              <w:left w:val="nil"/>
              <w:bottom w:val="single" w:sz="4" w:space="0" w:color="auto"/>
              <w:right w:val="nil"/>
              <w:tl2br w:val="nil"/>
              <w:tr2bl w:val="nil"/>
            </w:tcBorders>
            <w:noWrap/>
            <w:textDirection w:val="lrTb"/>
            <w:vAlign w:val="bottom"/>
          </w:tcPr>
          <w:p w:rsidR="00D12F83" w:rsidP="00FD671F">
            <w:pPr>
              <w:spacing w:line="240" w:lineRule="auto"/>
              <w:rPr>
                <w:rFonts w:ascii="Times New Roman" w:hAnsi="Times New Roman" w:cs="Times New Roman"/>
                <w:lang w:eastAsia="sk-SK"/>
              </w:rPr>
            </w:pPr>
          </w:p>
        </w:tc>
        <w:tc>
          <w:tcPr>
            <w:tcW w:w="1120" w:type="dxa"/>
            <w:tcBorders>
              <w:top w:val="nil"/>
              <w:left w:val="nil"/>
              <w:bottom w:val="single" w:sz="4" w:space="0" w:color="auto"/>
              <w:right w:val="nil"/>
              <w:tl2br w:val="nil"/>
              <w:tr2bl w:val="nil"/>
            </w:tcBorders>
            <w:noWrap/>
            <w:textDirection w:val="lrTb"/>
            <w:vAlign w:val="bottom"/>
          </w:tcPr>
          <w:p w:rsidR="00D12F83" w:rsidP="00FD671F">
            <w:pPr>
              <w:spacing w:line="240" w:lineRule="auto"/>
              <w:rPr>
                <w:rFonts w:ascii="Times New Roman" w:hAnsi="Times New Roman" w:cs="Times New Roman"/>
                <w:lang w:eastAsia="sk-SK"/>
              </w:rPr>
            </w:pPr>
          </w:p>
        </w:tc>
        <w:tc>
          <w:tcPr>
            <w:tcW w:w="1120" w:type="dxa"/>
            <w:tcBorders>
              <w:top w:val="nil"/>
              <w:left w:val="nil"/>
              <w:bottom w:val="single" w:sz="4" w:space="0" w:color="auto"/>
              <w:right w:val="nil"/>
              <w:tl2br w:val="nil"/>
              <w:tr2bl w:val="nil"/>
            </w:tcBorders>
            <w:noWrap/>
            <w:textDirection w:val="lrTb"/>
            <w:vAlign w:val="bottom"/>
          </w:tcPr>
          <w:p w:rsidR="00D12F83" w:rsidP="00FD671F">
            <w:pPr>
              <w:spacing w:line="240" w:lineRule="auto"/>
              <w:rPr>
                <w:rFonts w:ascii="Times New Roman" w:hAnsi="Times New Roman" w:cs="Times New Roman"/>
                <w:lang w:eastAsia="sk-SK"/>
              </w:rPr>
            </w:pPr>
          </w:p>
        </w:tc>
        <w:tc>
          <w:tcPr>
            <w:tcW w:w="1120" w:type="dxa"/>
            <w:tcBorders>
              <w:top w:val="nil"/>
              <w:left w:val="nil"/>
              <w:bottom w:val="single" w:sz="4" w:space="0" w:color="auto"/>
              <w:right w:val="nil"/>
              <w:tl2br w:val="nil"/>
              <w:tr2bl w:val="nil"/>
            </w:tcBorders>
            <w:noWrap/>
            <w:textDirection w:val="lrTb"/>
            <w:vAlign w:val="bottom"/>
          </w:tcPr>
          <w:p w:rsidR="00D12F83" w:rsidP="00FD671F">
            <w:pPr>
              <w:spacing w:line="240" w:lineRule="auto"/>
              <w:rPr>
                <w:rFonts w:ascii="Times New Roman" w:hAnsi="Times New Roman" w:cs="Times New Roman"/>
                <w:lang w:eastAsia="sk-SK"/>
              </w:rPr>
            </w:pPr>
          </w:p>
        </w:tc>
        <w:tc>
          <w:tcPr>
            <w:tcW w:w="1220" w:type="dxa"/>
            <w:tcBorders>
              <w:top w:val="nil"/>
              <w:left w:val="nil"/>
              <w:bottom w:val="single" w:sz="4" w:space="0" w:color="auto"/>
              <w:right w:val="nil"/>
              <w:tl2br w:val="nil"/>
              <w:tr2bl w:val="nil"/>
            </w:tcBorders>
            <w:noWrap/>
            <w:textDirection w:val="lrTb"/>
            <w:vAlign w:val="bottom"/>
          </w:tcPr>
          <w:p w:rsidR="00D12F83" w:rsidP="00FD671F">
            <w:pPr>
              <w:spacing w:line="240" w:lineRule="auto"/>
              <w:jc w:val="right"/>
              <w:rPr>
                <w:rFonts w:ascii="Times New Roman" w:hAnsi="Times New Roman" w:cs="Times New Roman"/>
                <w:lang w:eastAsia="sk-SK"/>
              </w:rPr>
            </w:pPr>
            <w:r>
              <w:rPr>
                <w:rFonts w:ascii="Times New Roman" w:hAnsi="Times New Roman" w:cs="Times New Roman"/>
                <w:lang w:eastAsia="sk-SK"/>
              </w:rPr>
              <w:t>(v tis. Sk)</w:t>
            </w:r>
          </w:p>
        </w:tc>
      </w:tr>
      <w:tr>
        <w:tblPrEx>
          <w:tblW w:w="8875" w:type="dxa"/>
          <w:tblInd w:w="55" w:type="dxa"/>
          <w:tblCellMar>
            <w:left w:w="70" w:type="dxa"/>
            <w:right w:w="70" w:type="dxa"/>
          </w:tblCellMar>
        </w:tblPrEx>
        <w:trPr>
          <w:trHeight w:val="255"/>
        </w:trPr>
        <w:tc>
          <w:tcPr>
            <w:tcW w:w="440" w:type="dxa"/>
            <w:tcBorders>
              <w:top w:val="single" w:sz="4" w:space="0" w:color="auto"/>
              <w:left w:val="single" w:sz="4" w:space="0" w:color="auto"/>
              <w:bottom w:val="single" w:sz="4" w:space="0" w:color="auto"/>
              <w:right w:val="single" w:sz="4" w:space="0" w:color="auto"/>
              <w:tl2br w:val="nil"/>
              <w:tr2bl w:val="nil"/>
            </w:tcBorders>
            <w:shd w:val="clear" w:color="auto" w:fill="C0C0C0"/>
            <w:noWrap/>
            <w:textDirection w:val="lrTb"/>
            <w:vAlign w:val="bottom"/>
          </w:tcPr>
          <w:p w:rsidR="00D12F83" w:rsidRPr="00693711" w:rsidP="00FD671F">
            <w:pPr>
              <w:spacing w:line="240" w:lineRule="auto"/>
              <w:jc w:val="center"/>
              <w:rPr>
                <w:rFonts w:ascii="Times New Roman" w:hAnsi="Times New Roman" w:cs="Times New Roman"/>
                <w:i/>
                <w:iCs/>
                <w:lang w:eastAsia="sk-SK"/>
              </w:rPr>
            </w:pPr>
            <w:r w:rsidRPr="00693711">
              <w:rPr>
                <w:rFonts w:ascii="Times New Roman" w:hAnsi="Times New Roman" w:cs="Times New Roman"/>
                <w:i/>
                <w:iCs/>
                <w:lang w:eastAsia="sk-SK"/>
              </w:rPr>
              <w:t> </w:t>
            </w:r>
          </w:p>
        </w:tc>
        <w:tc>
          <w:tcPr>
            <w:tcW w:w="2635" w:type="dxa"/>
            <w:tcBorders>
              <w:top w:val="single" w:sz="4" w:space="0" w:color="auto"/>
              <w:left w:val="single" w:sz="4" w:space="0" w:color="auto"/>
              <w:bottom w:val="single" w:sz="4" w:space="0" w:color="auto"/>
              <w:right w:val="single" w:sz="4" w:space="0" w:color="auto"/>
              <w:tl2br w:val="nil"/>
              <w:tr2bl w:val="nil"/>
            </w:tcBorders>
            <w:shd w:val="clear" w:color="auto" w:fill="C0C0C0"/>
            <w:noWrap/>
            <w:textDirection w:val="lrTb"/>
            <w:vAlign w:val="bottom"/>
          </w:tcPr>
          <w:p w:rsidR="00D12F83" w:rsidRPr="00693711" w:rsidP="00FD671F">
            <w:pPr>
              <w:spacing w:line="240" w:lineRule="auto"/>
              <w:jc w:val="center"/>
              <w:rPr>
                <w:rFonts w:ascii="Times New Roman" w:hAnsi="Times New Roman" w:cs="Times New Roman"/>
                <w:i/>
                <w:iCs/>
                <w:lang w:eastAsia="sk-SK"/>
              </w:rPr>
            </w:pPr>
            <w:r w:rsidRPr="00693711">
              <w:rPr>
                <w:rFonts w:ascii="Times New Roman" w:hAnsi="Times New Roman" w:cs="Times New Roman"/>
                <w:i/>
                <w:iCs/>
                <w:lang w:eastAsia="sk-SK"/>
              </w:rPr>
              <w:t> </w:t>
            </w:r>
          </w:p>
        </w:tc>
        <w:tc>
          <w:tcPr>
            <w:tcW w:w="1220" w:type="dxa"/>
            <w:tcBorders>
              <w:top w:val="single" w:sz="4" w:space="0" w:color="auto"/>
              <w:left w:val="single" w:sz="4" w:space="0" w:color="auto"/>
              <w:bottom w:val="single" w:sz="4" w:space="0" w:color="auto"/>
              <w:right w:val="single" w:sz="4" w:space="0" w:color="auto"/>
              <w:tl2br w:val="nil"/>
              <w:tr2bl w:val="nil"/>
            </w:tcBorders>
            <w:shd w:val="clear" w:color="auto" w:fill="C0C0C0"/>
            <w:noWrap/>
            <w:textDirection w:val="lrTb"/>
            <w:vAlign w:val="bottom"/>
          </w:tcPr>
          <w:p w:rsidR="00D12F83" w:rsidRPr="00693711" w:rsidP="00FD671F">
            <w:pPr>
              <w:spacing w:line="240" w:lineRule="auto"/>
              <w:jc w:val="center"/>
              <w:rPr>
                <w:rFonts w:ascii="Times New Roman" w:hAnsi="Times New Roman" w:cs="Times New Roman"/>
                <w:b/>
                <w:bCs/>
                <w:lang w:eastAsia="sk-SK"/>
              </w:rPr>
            </w:pPr>
            <w:r w:rsidR="0039553C">
              <w:rPr>
                <w:rFonts w:ascii="Times New Roman" w:hAnsi="Times New Roman" w:cs="Times New Roman"/>
                <w:b/>
                <w:bCs/>
                <w:lang w:eastAsia="sk-SK"/>
              </w:rPr>
              <w:t>K 31.12.2006</w:t>
            </w:r>
          </w:p>
        </w:tc>
        <w:tc>
          <w:tcPr>
            <w:tcW w:w="1120" w:type="dxa"/>
            <w:tcBorders>
              <w:top w:val="single" w:sz="4" w:space="0" w:color="auto"/>
              <w:left w:val="single" w:sz="4" w:space="0" w:color="auto"/>
              <w:bottom w:val="single" w:sz="4" w:space="0" w:color="auto"/>
              <w:right w:val="single" w:sz="4" w:space="0" w:color="auto"/>
              <w:tl2br w:val="nil"/>
              <w:tr2bl w:val="nil"/>
            </w:tcBorders>
            <w:shd w:val="clear" w:color="auto" w:fill="C0C0C0"/>
            <w:noWrap/>
            <w:textDirection w:val="lrTb"/>
            <w:vAlign w:val="bottom"/>
          </w:tcPr>
          <w:p w:rsidR="00D12F83" w:rsidRPr="00693711" w:rsidP="00FD671F">
            <w:pPr>
              <w:spacing w:line="240" w:lineRule="auto"/>
              <w:jc w:val="center"/>
              <w:rPr>
                <w:rFonts w:ascii="Times New Roman" w:hAnsi="Times New Roman" w:cs="Times New Roman"/>
                <w:b/>
                <w:bCs/>
                <w:lang w:eastAsia="sk-SK"/>
              </w:rPr>
            </w:pPr>
            <w:r w:rsidRPr="00693711">
              <w:rPr>
                <w:rFonts w:ascii="Times New Roman" w:hAnsi="Times New Roman" w:cs="Times New Roman"/>
                <w:b/>
                <w:bCs/>
                <w:lang w:eastAsia="sk-SK"/>
              </w:rPr>
              <w:t>K 31.3.20</w:t>
            </w:r>
            <w:r w:rsidR="0039553C">
              <w:rPr>
                <w:rFonts w:ascii="Times New Roman" w:hAnsi="Times New Roman" w:cs="Times New Roman"/>
                <w:b/>
                <w:bCs/>
                <w:lang w:eastAsia="sk-SK"/>
              </w:rPr>
              <w:t>07</w:t>
            </w:r>
          </w:p>
        </w:tc>
        <w:tc>
          <w:tcPr>
            <w:tcW w:w="1120" w:type="dxa"/>
            <w:tcBorders>
              <w:top w:val="single" w:sz="4" w:space="0" w:color="auto"/>
              <w:left w:val="single" w:sz="4" w:space="0" w:color="auto"/>
              <w:bottom w:val="single" w:sz="4" w:space="0" w:color="auto"/>
              <w:right w:val="single" w:sz="4" w:space="0" w:color="auto"/>
              <w:tl2br w:val="nil"/>
              <w:tr2bl w:val="nil"/>
            </w:tcBorders>
            <w:shd w:val="clear" w:color="auto" w:fill="C0C0C0"/>
            <w:noWrap/>
            <w:textDirection w:val="lrTb"/>
            <w:vAlign w:val="bottom"/>
          </w:tcPr>
          <w:p w:rsidR="00D12F83" w:rsidRPr="00693711" w:rsidP="00FD671F">
            <w:pPr>
              <w:spacing w:line="240" w:lineRule="auto"/>
              <w:jc w:val="center"/>
              <w:rPr>
                <w:rFonts w:ascii="Times New Roman" w:hAnsi="Times New Roman" w:cs="Times New Roman"/>
                <w:b/>
                <w:bCs/>
                <w:lang w:eastAsia="sk-SK"/>
              </w:rPr>
            </w:pPr>
            <w:r w:rsidR="0039553C">
              <w:rPr>
                <w:rFonts w:ascii="Times New Roman" w:hAnsi="Times New Roman" w:cs="Times New Roman"/>
                <w:b/>
                <w:bCs/>
                <w:lang w:eastAsia="sk-SK"/>
              </w:rPr>
              <w:t>K 30.6.2007</w:t>
            </w:r>
          </w:p>
        </w:tc>
        <w:tc>
          <w:tcPr>
            <w:tcW w:w="1120" w:type="dxa"/>
            <w:tcBorders>
              <w:top w:val="single" w:sz="4" w:space="0" w:color="auto"/>
              <w:left w:val="single" w:sz="4" w:space="0" w:color="auto"/>
              <w:bottom w:val="single" w:sz="4" w:space="0" w:color="auto"/>
              <w:right w:val="single" w:sz="4" w:space="0" w:color="auto"/>
              <w:tl2br w:val="nil"/>
              <w:tr2bl w:val="nil"/>
            </w:tcBorders>
            <w:shd w:val="clear" w:color="auto" w:fill="C0C0C0"/>
            <w:noWrap/>
            <w:textDirection w:val="lrTb"/>
            <w:vAlign w:val="bottom"/>
          </w:tcPr>
          <w:p w:rsidR="00D12F83" w:rsidRPr="00693711" w:rsidP="00FD671F">
            <w:pPr>
              <w:spacing w:line="240" w:lineRule="auto"/>
              <w:jc w:val="center"/>
              <w:rPr>
                <w:rFonts w:ascii="Times New Roman" w:hAnsi="Times New Roman" w:cs="Times New Roman"/>
                <w:b/>
                <w:bCs/>
                <w:lang w:eastAsia="sk-SK"/>
              </w:rPr>
            </w:pPr>
            <w:r w:rsidR="0039553C">
              <w:rPr>
                <w:rFonts w:ascii="Times New Roman" w:hAnsi="Times New Roman" w:cs="Times New Roman"/>
                <w:b/>
                <w:bCs/>
                <w:lang w:eastAsia="sk-SK"/>
              </w:rPr>
              <w:t>K 30.9.2007</w:t>
            </w:r>
          </w:p>
        </w:tc>
        <w:tc>
          <w:tcPr>
            <w:tcW w:w="1220" w:type="dxa"/>
            <w:tcBorders>
              <w:top w:val="single" w:sz="4" w:space="0" w:color="auto"/>
              <w:left w:val="single" w:sz="4" w:space="0" w:color="auto"/>
              <w:bottom w:val="single" w:sz="4" w:space="0" w:color="auto"/>
              <w:right w:val="single" w:sz="4" w:space="0" w:color="auto"/>
              <w:tl2br w:val="nil"/>
              <w:tr2bl w:val="nil"/>
            </w:tcBorders>
            <w:shd w:val="clear" w:color="auto" w:fill="C0C0C0"/>
            <w:noWrap/>
            <w:textDirection w:val="lrTb"/>
            <w:vAlign w:val="bottom"/>
          </w:tcPr>
          <w:p w:rsidR="00D12F83" w:rsidRPr="00693711" w:rsidP="00FD671F">
            <w:pPr>
              <w:spacing w:line="240" w:lineRule="auto"/>
              <w:jc w:val="center"/>
              <w:rPr>
                <w:rFonts w:ascii="Times New Roman" w:hAnsi="Times New Roman" w:cs="Times New Roman"/>
                <w:b/>
                <w:bCs/>
                <w:lang w:eastAsia="sk-SK"/>
              </w:rPr>
            </w:pPr>
            <w:r w:rsidR="0039553C">
              <w:rPr>
                <w:rFonts w:ascii="Times New Roman" w:hAnsi="Times New Roman" w:cs="Times New Roman"/>
                <w:b/>
                <w:bCs/>
                <w:lang w:eastAsia="sk-SK"/>
              </w:rPr>
              <w:t>K 31.12.2007</w:t>
            </w:r>
          </w:p>
        </w:tc>
      </w:tr>
      <w:tr>
        <w:tblPrEx>
          <w:tblW w:w="8875" w:type="dxa"/>
          <w:tblInd w:w="55" w:type="dxa"/>
          <w:tblCellMar>
            <w:left w:w="70" w:type="dxa"/>
            <w:right w:w="70" w:type="dxa"/>
          </w:tblCellMar>
        </w:tblPrEx>
        <w:trPr>
          <w:trHeight w:hRule="exact" w:val="227"/>
        </w:trPr>
        <w:tc>
          <w:tcPr>
            <w:tcW w:w="44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D12F83" w:rsidP="00FD671F">
            <w:pPr>
              <w:spacing w:line="240" w:lineRule="auto"/>
              <w:jc w:val="center"/>
              <w:rPr>
                <w:rFonts w:ascii="Times New Roman" w:hAnsi="Times New Roman" w:cs="Times New Roman"/>
                <w:lang w:eastAsia="sk-SK"/>
              </w:rPr>
            </w:pPr>
            <w:r>
              <w:rPr>
                <w:rFonts w:ascii="Times New Roman" w:hAnsi="Times New Roman" w:cs="Times New Roman"/>
                <w:lang w:eastAsia="sk-SK"/>
              </w:rPr>
              <w:t>321</w:t>
            </w:r>
          </w:p>
        </w:tc>
        <w:tc>
          <w:tcPr>
            <w:tcW w:w="2635"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D12F83" w:rsidP="00FD671F">
            <w:pPr>
              <w:spacing w:line="240" w:lineRule="auto"/>
              <w:rPr>
                <w:rFonts w:ascii="Times New Roman" w:hAnsi="Times New Roman" w:cs="Times New Roman"/>
                <w:lang w:eastAsia="sk-SK"/>
              </w:rPr>
            </w:pPr>
            <w:r>
              <w:rPr>
                <w:rFonts w:ascii="Times New Roman" w:hAnsi="Times New Roman" w:cs="Times New Roman"/>
                <w:lang w:eastAsia="sk-SK"/>
              </w:rPr>
              <w:t xml:space="preserve"> Dodávatelia</w:t>
            </w:r>
          </w:p>
        </w:tc>
        <w:tc>
          <w:tcPr>
            <w:tcW w:w="122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D12F83" w:rsidP="00FD671F">
            <w:pPr>
              <w:spacing w:line="240" w:lineRule="auto"/>
              <w:jc w:val="right"/>
              <w:rPr>
                <w:rFonts w:ascii="Times New Roman" w:hAnsi="Times New Roman" w:cs="Times New Roman"/>
                <w:lang w:eastAsia="sk-SK"/>
              </w:rPr>
            </w:pPr>
            <w:r w:rsidR="0039553C">
              <w:rPr>
                <w:rFonts w:ascii="Times New Roman" w:hAnsi="Times New Roman" w:cs="Times New Roman"/>
                <w:lang w:eastAsia="sk-SK"/>
              </w:rPr>
              <w:t>813 978</w:t>
            </w:r>
          </w:p>
        </w:tc>
        <w:tc>
          <w:tcPr>
            <w:tcW w:w="112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D12F83" w:rsidP="00FD671F">
            <w:pPr>
              <w:spacing w:line="240" w:lineRule="auto"/>
              <w:jc w:val="right"/>
              <w:rPr>
                <w:rFonts w:ascii="Times New Roman" w:hAnsi="Times New Roman" w:cs="Times New Roman"/>
                <w:lang w:eastAsia="sk-SK"/>
              </w:rPr>
            </w:pPr>
            <w:r w:rsidR="0039553C">
              <w:rPr>
                <w:rFonts w:ascii="Times New Roman" w:hAnsi="Times New Roman" w:cs="Times New Roman"/>
                <w:lang w:eastAsia="sk-SK"/>
              </w:rPr>
              <w:t>363 813</w:t>
            </w:r>
          </w:p>
        </w:tc>
        <w:tc>
          <w:tcPr>
            <w:tcW w:w="112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D12F83" w:rsidP="00FD671F">
            <w:pPr>
              <w:spacing w:line="240" w:lineRule="auto"/>
              <w:jc w:val="right"/>
              <w:rPr>
                <w:rFonts w:ascii="Times New Roman" w:hAnsi="Times New Roman" w:cs="Times New Roman"/>
                <w:lang w:eastAsia="sk-SK"/>
              </w:rPr>
            </w:pPr>
            <w:r w:rsidR="0039553C">
              <w:rPr>
                <w:rFonts w:ascii="Times New Roman" w:hAnsi="Times New Roman" w:cs="Times New Roman"/>
                <w:lang w:eastAsia="sk-SK"/>
              </w:rPr>
              <w:t>597 605</w:t>
            </w:r>
          </w:p>
        </w:tc>
        <w:tc>
          <w:tcPr>
            <w:tcW w:w="112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D12F83" w:rsidP="00FD671F">
            <w:pPr>
              <w:spacing w:line="240" w:lineRule="auto"/>
              <w:jc w:val="right"/>
              <w:rPr>
                <w:rFonts w:ascii="Times New Roman" w:hAnsi="Times New Roman" w:cs="Times New Roman"/>
                <w:lang w:eastAsia="sk-SK"/>
              </w:rPr>
            </w:pPr>
            <w:r w:rsidR="0039553C">
              <w:rPr>
                <w:rFonts w:ascii="Times New Roman" w:hAnsi="Times New Roman" w:cs="Times New Roman"/>
                <w:lang w:eastAsia="sk-SK"/>
              </w:rPr>
              <w:t>738 343</w:t>
            </w:r>
          </w:p>
        </w:tc>
        <w:tc>
          <w:tcPr>
            <w:tcW w:w="122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D12F83" w:rsidP="00FD671F">
            <w:pPr>
              <w:spacing w:line="240" w:lineRule="auto"/>
              <w:jc w:val="right"/>
              <w:rPr>
                <w:rFonts w:ascii="Times New Roman" w:hAnsi="Times New Roman" w:cs="Times New Roman"/>
                <w:lang w:eastAsia="sk-SK"/>
              </w:rPr>
            </w:pPr>
            <w:r w:rsidR="0039553C">
              <w:rPr>
                <w:rFonts w:ascii="Times New Roman" w:hAnsi="Times New Roman" w:cs="Times New Roman"/>
                <w:lang w:eastAsia="sk-SK"/>
              </w:rPr>
              <w:t>972 837</w:t>
            </w:r>
          </w:p>
        </w:tc>
      </w:tr>
      <w:tr>
        <w:tblPrEx>
          <w:tblW w:w="8875" w:type="dxa"/>
          <w:tblInd w:w="55" w:type="dxa"/>
          <w:tblCellMar>
            <w:left w:w="70" w:type="dxa"/>
            <w:right w:w="70" w:type="dxa"/>
          </w:tblCellMar>
        </w:tblPrEx>
        <w:trPr>
          <w:trHeight w:hRule="exact" w:val="227"/>
        </w:trPr>
        <w:tc>
          <w:tcPr>
            <w:tcW w:w="44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D12F83" w:rsidP="00FD671F">
            <w:pPr>
              <w:spacing w:line="240" w:lineRule="auto"/>
              <w:jc w:val="center"/>
              <w:rPr>
                <w:rFonts w:ascii="Times New Roman" w:hAnsi="Times New Roman" w:cs="Times New Roman"/>
                <w:lang w:eastAsia="sk-SK"/>
              </w:rPr>
            </w:pPr>
            <w:r>
              <w:rPr>
                <w:rFonts w:ascii="Times New Roman" w:hAnsi="Times New Roman" w:cs="Times New Roman"/>
                <w:lang w:eastAsia="sk-SK"/>
              </w:rPr>
              <w:t>324</w:t>
            </w:r>
          </w:p>
        </w:tc>
        <w:tc>
          <w:tcPr>
            <w:tcW w:w="2635"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D12F83" w:rsidP="00FD671F">
            <w:pPr>
              <w:spacing w:line="240" w:lineRule="auto"/>
              <w:rPr>
                <w:rFonts w:ascii="Times New Roman" w:hAnsi="Times New Roman" w:cs="Times New Roman"/>
                <w:lang w:eastAsia="sk-SK"/>
              </w:rPr>
            </w:pPr>
            <w:r>
              <w:rPr>
                <w:rFonts w:ascii="Times New Roman" w:hAnsi="Times New Roman" w:cs="Times New Roman"/>
                <w:lang w:eastAsia="sk-SK"/>
              </w:rPr>
              <w:t xml:space="preserve"> Prijaté preddavky</w:t>
            </w:r>
          </w:p>
        </w:tc>
        <w:tc>
          <w:tcPr>
            <w:tcW w:w="122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D12F83" w:rsidP="00FD671F">
            <w:pPr>
              <w:spacing w:line="240" w:lineRule="auto"/>
              <w:jc w:val="right"/>
              <w:rPr>
                <w:rFonts w:ascii="Times New Roman" w:hAnsi="Times New Roman" w:cs="Times New Roman"/>
                <w:lang w:eastAsia="sk-SK"/>
              </w:rPr>
            </w:pPr>
            <w:r>
              <w:rPr>
                <w:rFonts w:ascii="Times New Roman" w:hAnsi="Times New Roman" w:cs="Times New Roman"/>
                <w:lang w:eastAsia="sk-SK"/>
              </w:rPr>
              <w:t>0</w:t>
            </w:r>
          </w:p>
        </w:tc>
        <w:tc>
          <w:tcPr>
            <w:tcW w:w="112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D12F83" w:rsidP="00FD671F">
            <w:pPr>
              <w:spacing w:line="240" w:lineRule="auto"/>
              <w:jc w:val="right"/>
              <w:rPr>
                <w:rFonts w:ascii="Times New Roman" w:hAnsi="Times New Roman" w:cs="Times New Roman"/>
                <w:lang w:eastAsia="sk-SK"/>
              </w:rPr>
            </w:pPr>
            <w:r w:rsidR="0039553C">
              <w:rPr>
                <w:rFonts w:ascii="Times New Roman" w:hAnsi="Times New Roman" w:cs="Times New Roman"/>
                <w:lang w:eastAsia="sk-SK"/>
              </w:rPr>
              <w:t>199</w:t>
            </w:r>
          </w:p>
        </w:tc>
        <w:tc>
          <w:tcPr>
            <w:tcW w:w="112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D12F83" w:rsidP="00FD671F">
            <w:pPr>
              <w:spacing w:line="240" w:lineRule="auto"/>
              <w:jc w:val="right"/>
              <w:rPr>
                <w:rFonts w:ascii="Times New Roman" w:hAnsi="Times New Roman" w:cs="Times New Roman"/>
                <w:lang w:eastAsia="sk-SK"/>
              </w:rPr>
            </w:pPr>
            <w:r>
              <w:rPr>
                <w:rFonts w:ascii="Times New Roman" w:hAnsi="Times New Roman" w:cs="Times New Roman"/>
                <w:lang w:eastAsia="sk-SK"/>
              </w:rPr>
              <w:t>0</w:t>
            </w:r>
          </w:p>
        </w:tc>
        <w:tc>
          <w:tcPr>
            <w:tcW w:w="112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D12F83" w:rsidP="00FD671F">
            <w:pPr>
              <w:spacing w:line="240" w:lineRule="auto"/>
              <w:jc w:val="right"/>
              <w:rPr>
                <w:rFonts w:ascii="Times New Roman" w:hAnsi="Times New Roman" w:cs="Times New Roman"/>
                <w:lang w:eastAsia="sk-SK"/>
              </w:rPr>
            </w:pPr>
            <w:r>
              <w:rPr>
                <w:rFonts w:ascii="Times New Roman" w:hAnsi="Times New Roman" w:cs="Times New Roman"/>
                <w:lang w:eastAsia="sk-SK"/>
              </w:rPr>
              <w:t>0</w:t>
            </w:r>
          </w:p>
        </w:tc>
        <w:tc>
          <w:tcPr>
            <w:tcW w:w="122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D12F83" w:rsidP="00FD671F">
            <w:pPr>
              <w:spacing w:line="240" w:lineRule="auto"/>
              <w:jc w:val="right"/>
              <w:rPr>
                <w:rFonts w:ascii="Times New Roman" w:hAnsi="Times New Roman" w:cs="Times New Roman"/>
                <w:lang w:eastAsia="sk-SK"/>
              </w:rPr>
            </w:pPr>
            <w:r w:rsidR="0039553C">
              <w:rPr>
                <w:rFonts w:ascii="Times New Roman" w:hAnsi="Times New Roman" w:cs="Times New Roman"/>
                <w:lang w:eastAsia="sk-SK"/>
              </w:rPr>
              <w:t>4</w:t>
            </w:r>
          </w:p>
        </w:tc>
      </w:tr>
      <w:tr>
        <w:tblPrEx>
          <w:tblW w:w="8875" w:type="dxa"/>
          <w:tblInd w:w="55" w:type="dxa"/>
          <w:tblCellMar>
            <w:left w:w="70" w:type="dxa"/>
            <w:right w:w="70" w:type="dxa"/>
          </w:tblCellMar>
        </w:tblPrEx>
        <w:trPr>
          <w:trHeight w:hRule="exact" w:val="227"/>
        </w:trPr>
        <w:tc>
          <w:tcPr>
            <w:tcW w:w="44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D12F83" w:rsidP="00FD671F">
            <w:pPr>
              <w:spacing w:line="240" w:lineRule="auto"/>
              <w:jc w:val="center"/>
              <w:rPr>
                <w:rFonts w:ascii="Times New Roman" w:hAnsi="Times New Roman" w:cs="Times New Roman"/>
                <w:lang w:eastAsia="sk-SK"/>
              </w:rPr>
            </w:pPr>
            <w:r>
              <w:rPr>
                <w:rFonts w:ascii="Times New Roman" w:hAnsi="Times New Roman" w:cs="Times New Roman"/>
                <w:lang w:eastAsia="sk-SK"/>
              </w:rPr>
              <w:t>325</w:t>
            </w:r>
          </w:p>
        </w:tc>
        <w:tc>
          <w:tcPr>
            <w:tcW w:w="2635"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D12F83" w:rsidP="00FD671F">
            <w:pPr>
              <w:spacing w:line="240" w:lineRule="auto"/>
              <w:rPr>
                <w:rFonts w:ascii="Times New Roman" w:hAnsi="Times New Roman" w:cs="Times New Roman"/>
                <w:lang w:eastAsia="sk-SK"/>
              </w:rPr>
            </w:pPr>
            <w:r>
              <w:rPr>
                <w:rFonts w:ascii="Times New Roman" w:hAnsi="Times New Roman" w:cs="Times New Roman"/>
                <w:lang w:eastAsia="sk-SK"/>
              </w:rPr>
              <w:t xml:space="preserve"> Ostatné záväzky</w:t>
            </w:r>
          </w:p>
        </w:tc>
        <w:tc>
          <w:tcPr>
            <w:tcW w:w="122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D12F83" w:rsidP="00FD671F">
            <w:pPr>
              <w:spacing w:line="240" w:lineRule="auto"/>
              <w:jc w:val="right"/>
              <w:rPr>
                <w:rFonts w:ascii="Times New Roman" w:hAnsi="Times New Roman" w:cs="Times New Roman"/>
                <w:lang w:eastAsia="sk-SK"/>
              </w:rPr>
            </w:pPr>
            <w:r w:rsidR="0039553C">
              <w:rPr>
                <w:rFonts w:ascii="Times New Roman" w:hAnsi="Times New Roman" w:cs="Times New Roman"/>
                <w:lang w:eastAsia="sk-SK"/>
              </w:rPr>
              <w:t>29 114</w:t>
            </w:r>
          </w:p>
        </w:tc>
        <w:tc>
          <w:tcPr>
            <w:tcW w:w="112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D12F83" w:rsidP="00FD671F">
            <w:pPr>
              <w:spacing w:line="240" w:lineRule="auto"/>
              <w:jc w:val="right"/>
              <w:rPr>
                <w:rFonts w:ascii="Times New Roman" w:hAnsi="Times New Roman" w:cs="Times New Roman"/>
                <w:lang w:eastAsia="sk-SK"/>
              </w:rPr>
            </w:pPr>
            <w:r w:rsidR="0039553C">
              <w:rPr>
                <w:rFonts w:ascii="Times New Roman" w:hAnsi="Times New Roman" w:cs="Times New Roman"/>
                <w:lang w:eastAsia="sk-SK"/>
              </w:rPr>
              <w:t>29 048</w:t>
            </w:r>
          </w:p>
        </w:tc>
        <w:tc>
          <w:tcPr>
            <w:tcW w:w="112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D12F83" w:rsidP="00FD671F">
            <w:pPr>
              <w:spacing w:line="240" w:lineRule="auto"/>
              <w:jc w:val="right"/>
              <w:rPr>
                <w:rFonts w:ascii="Times New Roman" w:hAnsi="Times New Roman" w:cs="Times New Roman"/>
                <w:lang w:eastAsia="sk-SK"/>
              </w:rPr>
            </w:pPr>
            <w:r w:rsidR="0039553C">
              <w:rPr>
                <w:rFonts w:ascii="Times New Roman" w:hAnsi="Times New Roman" w:cs="Times New Roman"/>
                <w:lang w:eastAsia="sk-SK"/>
              </w:rPr>
              <w:t>36 578</w:t>
            </w:r>
          </w:p>
        </w:tc>
        <w:tc>
          <w:tcPr>
            <w:tcW w:w="112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D12F83" w:rsidP="00FD671F">
            <w:pPr>
              <w:spacing w:line="240" w:lineRule="auto"/>
              <w:jc w:val="right"/>
              <w:rPr>
                <w:rFonts w:ascii="Times New Roman" w:hAnsi="Times New Roman" w:cs="Times New Roman"/>
                <w:lang w:eastAsia="sk-SK"/>
              </w:rPr>
            </w:pPr>
            <w:r w:rsidR="0039553C">
              <w:rPr>
                <w:rFonts w:ascii="Times New Roman" w:hAnsi="Times New Roman" w:cs="Times New Roman"/>
                <w:lang w:eastAsia="sk-SK"/>
              </w:rPr>
              <w:t>42 746</w:t>
            </w:r>
          </w:p>
        </w:tc>
        <w:tc>
          <w:tcPr>
            <w:tcW w:w="122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D12F83" w:rsidP="00FD671F">
            <w:pPr>
              <w:spacing w:line="240" w:lineRule="auto"/>
              <w:jc w:val="right"/>
              <w:rPr>
                <w:rFonts w:ascii="Times New Roman" w:hAnsi="Times New Roman" w:cs="Times New Roman"/>
                <w:lang w:eastAsia="sk-SK"/>
              </w:rPr>
            </w:pPr>
            <w:r w:rsidR="0039553C">
              <w:rPr>
                <w:rFonts w:ascii="Times New Roman" w:hAnsi="Times New Roman" w:cs="Times New Roman"/>
                <w:lang w:eastAsia="sk-SK"/>
              </w:rPr>
              <w:t>38 474</w:t>
            </w:r>
          </w:p>
        </w:tc>
      </w:tr>
      <w:tr>
        <w:tblPrEx>
          <w:tblW w:w="8875" w:type="dxa"/>
          <w:tblInd w:w="55" w:type="dxa"/>
          <w:tblCellMar>
            <w:left w:w="70" w:type="dxa"/>
            <w:right w:w="70" w:type="dxa"/>
          </w:tblCellMar>
        </w:tblPrEx>
        <w:trPr>
          <w:trHeight w:hRule="exact" w:val="227"/>
        </w:trPr>
        <w:tc>
          <w:tcPr>
            <w:tcW w:w="440" w:type="dxa"/>
            <w:tcBorders>
              <w:top w:val="single" w:sz="4" w:space="0" w:color="auto"/>
              <w:left w:val="single" w:sz="4" w:space="0" w:color="auto"/>
              <w:bottom w:val="single" w:sz="4" w:space="0" w:color="auto"/>
              <w:right w:val="single" w:sz="4" w:space="0" w:color="auto"/>
              <w:tl2br w:val="nil"/>
              <w:tr2bl w:val="nil"/>
            </w:tcBorders>
            <w:shd w:val="clear" w:color="auto" w:fill="C0C0C0"/>
            <w:noWrap/>
            <w:textDirection w:val="lrTb"/>
            <w:vAlign w:val="center"/>
          </w:tcPr>
          <w:p w:rsidR="00D12F83" w:rsidP="00FD671F">
            <w:pPr>
              <w:spacing w:line="240" w:lineRule="auto"/>
              <w:jc w:val="center"/>
              <w:rPr>
                <w:rFonts w:ascii="Times New Roman" w:hAnsi="Times New Roman" w:cs="Times New Roman"/>
                <w:lang w:eastAsia="sk-SK"/>
              </w:rPr>
            </w:pPr>
            <w:r>
              <w:rPr>
                <w:rFonts w:ascii="Times New Roman" w:hAnsi="Times New Roman" w:cs="Times New Roman"/>
                <w:lang w:eastAsia="sk-SK"/>
              </w:rPr>
              <w:t> </w:t>
            </w:r>
          </w:p>
        </w:tc>
        <w:tc>
          <w:tcPr>
            <w:tcW w:w="2635" w:type="dxa"/>
            <w:tcBorders>
              <w:top w:val="single" w:sz="4" w:space="0" w:color="auto"/>
              <w:left w:val="single" w:sz="4" w:space="0" w:color="auto"/>
              <w:bottom w:val="single" w:sz="4" w:space="0" w:color="auto"/>
              <w:right w:val="single" w:sz="4" w:space="0" w:color="auto"/>
              <w:tl2br w:val="nil"/>
              <w:tr2bl w:val="nil"/>
            </w:tcBorders>
            <w:shd w:val="clear" w:color="auto" w:fill="C0C0C0"/>
            <w:noWrap/>
            <w:textDirection w:val="lrTb"/>
            <w:vAlign w:val="center"/>
          </w:tcPr>
          <w:p w:rsidR="00D12F83" w:rsidRPr="00693711" w:rsidP="00FD671F">
            <w:pPr>
              <w:spacing w:line="240" w:lineRule="auto"/>
              <w:rPr>
                <w:rFonts w:ascii="Times New Roman" w:hAnsi="Times New Roman" w:cs="Times New Roman"/>
                <w:b/>
                <w:bCs/>
                <w:lang w:eastAsia="sk-SK"/>
              </w:rPr>
            </w:pPr>
            <w:r w:rsidRPr="00693711">
              <w:rPr>
                <w:rFonts w:ascii="Times New Roman" w:hAnsi="Times New Roman" w:cs="Times New Roman"/>
                <w:b/>
                <w:bCs/>
                <w:lang w:eastAsia="sk-SK"/>
              </w:rPr>
              <w:t>Spolu</w:t>
            </w:r>
          </w:p>
        </w:tc>
        <w:tc>
          <w:tcPr>
            <w:tcW w:w="1220" w:type="dxa"/>
            <w:tcBorders>
              <w:top w:val="single" w:sz="4" w:space="0" w:color="auto"/>
              <w:left w:val="single" w:sz="4" w:space="0" w:color="auto"/>
              <w:bottom w:val="single" w:sz="4" w:space="0" w:color="auto"/>
              <w:right w:val="single" w:sz="4" w:space="0" w:color="auto"/>
              <w:tl2br w:val="nil"/>
              <w:tr2bl w:val="nil"/>
            </w:tcBorders>
            <w:shd w:val="clear" w:color="auto" w:fill="C0C0C0"/>
            <w:noWrap/>
            <w:textDirection w:val="lrTb"/>
            <w:vAlign w:val="center"/>
          </w:tcPr>
          <w:p w:rsidR="00D12F83" w:rsidRPr="00693711" w:rsidP="00FD671F">
            <w:pPr>
              <w:spacing w:line="240" w:lineRule="auto"/>
              <w:jc w:val="right"/>
              <w:rPr>
                <w:rFonts w:ascii="Times New Roman" w:hAnsi="Times New Roman" w:cs="Times New Roman"/>
                <w:b/>
                <w:bCs/>
                <w:lang w:eastAsia="sk-SK"/>
              </w:rPr>
            </w:pPr>
            <w:r w:rsidR="0039553C">
              <w:rPr>
                <w:rFonts w:ascii="Times New Roman" w:hAnsi="Times New Roman" w:cs="Times New Roman"/>
                <w:b/>
                <w:bCs/>
                <w:lang w:eastAsia="sk-SK"/>
              </w:rPr>
              <w:t>843 092</w:t>
            </w:r>
          </w:p>
        </w:tc>
        <w:tc>
          <w:tcPr>
            <w:tcW w:w="1120" w:type="dxa"/>
            <w:tcBorders>
              <w:top w:val="single" w:sz="4" w:space="0" w:color="auto"/>
              <w:left w:val="single" w:sz="4" w:space="0" w:color="auto"/>
              <w:bottom w:val="single" w:sz="4" w:space="0" w:color="auto"/>
              <w:right w:val="single" w:sz="4" w:space="0" w:color="auto"/>
              <w:tl2br w:val="nil"/>
              <w:tr2bl w:val="nil"/>
            </w:tcBorders>
            <w:shd w:val="clear" w:color="auto" w:fill="C0C0C0"/>
            <w:noWrap/>
            <w:textDirection w:val="lrTb"/>
            <w:vAlign w:val="center"/>
          </w:tcPr>
          <w:p w:rsidR="00D12F83" w:rsidRPr="00693711" w:rsidP="00FD671F">
            <w:pPr>
              <w:spacing w:line="240" w:lineRule="auto"/>
              <w:jc w:val="right"/>
              <w:rPr>
                <w:rFonts w:ascii="Times New Roman" w:hAnsi="Times New Roman" w:cs="Times New Roman"/>
                <w:b/>
                <w:bCs/>
                <w:lang w:eastAsia="sk-SK"/>
              </w:rPr>
            </w:pPr>
            <w:r w:rsidR="0039553C">
              <w:rPr>
                <w:rFonts w:ascii="Times New Roman" w:hAnsi="Times New Roman" w:cs="Times New Roman"/>
                <w:b/>
                <w:bCs/>
                <w:lang w:eastAsia="sk-SK"/>
              </w:rPr>
              <w:t>393 060</w:t>
            </w:r>
          </w:p>
        </w:tc>
        <w:tc>
          <w:tcPr>
            <w:tcW w:w="1120" w:type="dxa"/>
            <w:tcBorders>
              <w:top w:val="single" w:sz="4" w:space="0" w:color="auto"/>
              <w:left w:val="single" w:sz="4" w:space="0" w:color="auto"/>
              <w:bottom w:val="single" w:sz="4" w:space="0" w:color="auto"/>
              <w:right w:val="single" w:sz="4" w:space="0" w:color="auto"/>
              <w:tl2br w:val="nil"/>
              <w:tr2bl w:val="nil"/>
            </w:tcBorders>
            <w:shd w:val="clear" w:color="auto" w:fill="C0C0C0"/>
            <w:noWrap/>
            <w:textDirection w:val="lrTb"/>
            <w:vAlign w:val="center"/>
          </w:tcPr>
          <w:p w:rsidR="00D12F83" w:rsidRPr="00693711" w:rsidP="00FD671F">
            <w:pPr>
              <w:spacing w:line="240" w:lineRule="auto"/>
              <w:jc w:val="right"/>
              <w:rPr>
                <w:rFonts w:ascii="Times New Roman" w:hAnsi="Times New Roman" w:cs="Times New Roman"/>
                <w:b/>
                <w:bCs/>
                <w:lang w:eastAsia="sk-SK"/>
              </w:rPr>
            </w:pPr>
            <w:r w:rsidR="0039553C">
              <w:rPr>
                <w:rFonts w:ascii="Times New Roman" w:hAnsi="Times New Roman" w:cs="Times New Roman"/>
                <w:b/>
                <w:bCs/>
                <w:lang w:eastAsia="sk-SK"/>
              </w:rPr>
              <w:t>634 183</w:t>
            </w:r>
          </w:p>
        </w:tc>
        <w:tc>
          <w:tcPr>
            <w:tcW w:w="1120" w:type="dxa"/>
            <w:tcBorders>
              <w:top w:val="single" w:sz="4" w:space="0" w:color="auto"/>
              <w:left w:val="single" w:sz="4" w:space="0" w:color="auto"/>
              <w:bottom w:val="single" w:sz="4" w:space="0" w:color="auto"/>
              <w:right w:val="single" w:sz="4" w:space="0" w:color="auto"/>
              <w:tl2br w:val="nil"/>
              <w:tr2bl w:val="nil"/>
            </w:tcBorders>
            <w:shd w:val="clear" w:color="auto" w:fill="C0C0C0"/>
            <w:noWrap/>
            <w:textDirection w:val="lrTb"/>
            <w:vAlign w:val="center"/>
          </w:tcPr>
          <w:p w:rsidR="00D12F83" w:rsidRPr="00693711" w:rsidP="00FD671F">
            <w:pPr>
              <w:spacing w:line="240" w:lineRule="auto"/>
              <w:jc w:val="right"/>
              <w:rPr>
                <w:rFonts w:ascii="Times New Roman" w:hAnsi="Times New Roman" w:cs="Times New Roman"/>
                <w:b/>
                <w:bCs/>
                <w:lang w:eastAsia="sk-SK"/>
              </w:rPr>
            </w:pPr>
            <w:r w:rsidR="0039553C">
              <w:rPr>
                <w:rFonts w:ascii="Times New Roman" w:hAnsi="Times New Roman" w:cs="Times New Roman"/>
                <w:b/>
                <w:bCs/>
                <w:lang w:eastAsia="sk-SK"/>
              </w:rPr>
              <w:t>781 089</w:t>
            </w:r>
          </w:p>
        </w:tc>
        <w:tc>
          <w:tcPr>
            <w:tcW w:w="1220" w:type="dxa"/>
            <w:tcBorders>
              <w:top w:val="single" w:sz="4" w:space="0" w:color="auto"/>
              <w:left w:val="single" w:sz="4" w:space="0" w:color="auto"/>
              <w:bottom w:val="single" w:sz="4" w:space="0" w:color="auto"/>
              <w:right w:val="single" w:sz="4" w:space="0" w:color="auto"/>
              <w:tl2br w:val="nil"/>
              <w:tr2bl w:val="nil"/>
            </w:tcBorders>
            <w:shd w:val="clear" w:color="auto" w:fill="C0C0C0"/>
            <w:noWrap/>
            <w:textDirection w:val="lrTb"/>
            <w:vAlign w:val="center"/>
          </w:tcPr>
          <w:p w:rsidR="00D12F83" w:rsidRPr="00693711" w:rsidP="00FD671F">
            <w:pPr>
              <w:spacing w:line="240" w:lineRule="auto"/>
              <w:jc w:val="right"/>
              <w:rPr>
                <w:rFonts w:ascii="Times New Roman" w:hAnsi="Times New Roman" w:cs="Times New Roman"/>
                <w:b/>
                <w:bCs/>
                <w:lang w:eastAsia="sk-SK"/>
              </w:rPr>
            </w:pPr>
            <w:r w:rsidR="0039553C">
              <w:rPr>
                <w:rFonts w:ascii="Times New Roman" w:hAnsi="Times New Roman" w:cs="Times New Roman"/>
                <w:b/>
                <w:bCs/>
                <w:lang w:eastAsia="sk-SK"/>
              </w:rPr>
              <w:t>1 011 315</w:t>
            </w:r>
          </w:p>
        </w:tc>
      </w:tr>
      <w:tr>
        <w:tblPrEx>
          <w:tblW w:w="8875" w:type="dxa"/>
          <w:tblInd w:w="55" w:type="dxa"/>
          <w:tblCellMar>
            <w:left w:w="70" w:type="dxa"/>
            <w:right w:w="70" w:type="dxa"/>
          </w:tblCellMar>
        </w:tblPrEx>
        <w:trPr>
          <w:trHeight w:hRule="exact" w:val="227"/>
        </w:trPr>
        <w:tc>
          <w:tcPr>
            <w:tcW w:w="44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D12F83" w:rsidP="00FD671F">
            <w:pPr>
              <w:spacing w:line="240" w:lineRule="auto"/>
              <w:jc w:val="center"/>
              <w:rPr>
                <w:rFonts w:ascii="Times New Roman" w:hAnsi="Times New Roman" w:cs="Times New Roman"/>
                <w:lang w:eastAsia="sk-SK"/>
              </w:rPr>
            </w:pPr>
            <w:r>
              <w:rPr>
                <w:rFonts w:ascii="Times New Roman" w:hAnsi="Times New Roman" w:cs="Times New Roman"/>
                <w:lang w:eastAsia="sk-SK"/>
              </w:rPr>
              <w:t> </w:t>
            </w:r>
          </w:p>
        </w:tc>
        <w:tc>
          <w:tcPr>
            <w:tcW w:w="2635"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D12F83" w:rsidRPr="00693711" w:rsidP="00FD671F">
            <w:pPr>
              <w:spacing w:line="240" w:lineRule="auto"/>
              <w:rPr>
                <w:rFonts w:ascii="Times New Roman" w:hAnsi="Times New Roman" w:cs="Times New Roman"/>
                <w:b/>
                <w:bCs/>
                <w:lang w:eastAsia="sk-SK"/>
              </w:rPr>
            </w:pPr>
            <w:r w:rsidRPr="00693711">
              <w:rPr>
                <w:rFonts w:ascii="Times New Roman" w:hAnsi="Times New Roman" w:cs="Times New Roman"/>
                <w:b/>
                <w:bCs/>
                <w:lang w:eastAsia="sk-SK"/>
              </w:rPr>
              <w:t>v lehote splatnosti</w:t>
            </w:r>
          </w:p>
        </w:tc>
        <w:tc>
          <w:tcPr>
            <w:tcW w:w="122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D12F83" w:rsidRPr="00693711" w:rsidP="00FD671F">
            <w:pPr>
              <w:spacing w:line="240" w:lineRule="auto"/>
              <w:jc w:val="right"/>
              <w:rPr>
                <w:rFonts w:ascii="Times New Roman" w:hAnsi="Times New Roman" w:cs="Times New Roman"/>
                <w:b/>
                <w:bCs/>
                <w:lang w:eastAsia="sk-SK"/>
              </w:rPr>
            </w:pPr>
            <w:r w:rsidR="0039553C">
              <w:rPr>
                <w:rFonts w:ascii="Times New Roman" w:hAnsi="Times New Roman" w:cs="Times New Roman"/>
                <w:b/>
                <w:bCs/>
                <w:lang w:eastAsia="sk-SK"/>
              </w:rPr>
              <w:t>781 151</w:t>
            </w:r>
          </w:p>
        </w:tc>
        <w:tc>
          <w:tcPr>
            <w:tcW w:w="112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D12F83" w:rsidRPr="00693711" w:rsidP="00FD671F">
            <w:pPr>
              <w:spacing w:line="240" w:lineRule="auto"/>
              <w:jc w:val="right"/>
              <w:rPr>
                <w:rFonts w:ascii="Times New Roman" w:hAnsi="Times New Roman" w:cs="Times New Roman"/>
                <w:b/>
                <w:bCs/>
                <w:lang w:eastAsia="sk-SK"/>
              </w:rPr>
            </w:pPr>
            <w:r w:rsidR="0039553C">
              <w:rPr>
                <w:rFonts w:ascii="Times New Roman" w:hAnsi="Times New Roman" w:cs="Times New Roman"/>
                <w:b/>
                <w:bCs/>
                <w:lang w:eastAsia="sk-SK"/>
              </w:rPr>
              <w:t>374 753</w:t>
            </w:r>
          </w:p>
        </w:tc>
        <w:tc>
          <w:tcPr>
            <w:tcW w:w="112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D12F83" w:rsidRPr="00693711" w:rsidP="00FD671F">
            <w:pPr>
              <w:spacing w:line="240" w:lineRule="auto"/>
              <w:jc w:val="right"/>
              <w:rPr>
                <w:rFonts w:ascii="Times New Roman" w:hAnsi="Times New Roman" w:cs="Times New Roman"/>
                <w:b/>
                <w:bCs/>
                <w:lang w:eastAsia="sk-SK"/>
              </w:rPr>
            </w:pPr>
            <w:r w:rsidR="0039553C">
              <w:rPr>
                <w:rFonts w:ascii="Times New Roman" w:hAnsi="Times New Roman" w:cs="Times New Roman"/>
                <w:b/>
                <w:bCs/>
                <w:lang w:eastAsia="sk-SK"/>
              </w:rPr>
              <w:t>612 825</w:t>
            </w:r>
          </w:p>
        </w:tc>
        <w:tc>
          <w:tcPr>
            <w:tcW w:w="112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D12F83" w:rsidRPr="00693711" w:rsidP="00FD671F">
            <w:pPr>
              <w:spacing w:line="240" w:lineRule="auto"/>
              <w:jc w:val="right"/>
              <w:rPr>
                <w:rFonts w:ascii="Times New Roman" w:hAnsi="Times New Roman" w:cs="Times New Roman"/>
                <w:b/>
                <w:bCs/>
                <w:lang w:eastAsia="sk-SK"/>
              </w:rPr>
            </w:pPr>
            <w:r w:rsidR="0039553C">
              <w:rPr>
                <w:rFonts w:ascii="Times New Roman" w:hAnsi="Times New Roman" w:cs="Times New Roman"/>
                <w:b/>
                <w:bCs/>
                <w:lang w:eastAsia="sk-SK"/>
              </w:rPr>
              <w:t>657 682</w:t>
            </w:r>
          </w:p>
        </w:tc>
        <w:tc>
          <w:tcPr>
            <w:tcW w:w="122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D12F83" w:rsidRPr="00693711" w:rsidP="00FD671F">
            <w:pPr>
              <w:spacing w:line="240" w:lineRule="auto"/>
              <w:jc w:val="right"/>
              <w:rPr>
                <w:rFonts w:ascii="Times New Roman" w:hAnsi="Times New Roman" w:cs="Times New Roman"/>
                <w:b/>
                <w:bCs/>
                <w:lang w:eastAsia="sk-SK"/>
              </w:rPr>
            </w:pPr>
            <w:r w:rsidR="0039553C">
              <w:rPr>
                <w:rFonts w:ascii="Times New Roman" w:hAnsi="Times New Roman" w:cs="Times New Roman"/>
                <w:b/>
                <w:bCs/>
                <w:lang w:eastAsia="sk-SK"/>
              </w:rPr>
              <w:t>1 001 445</w:t>
            </w:r>
          </w:p>
        </w:tc>
      </w:tr>
      <w:tr>
        <w:tblPrEx>
          <w:tblW w:w="8875" w:type="dxa"/>
          <w:tblInd w:w="55" w:type="dxa"/>
          <w:tblCellMar>
            <w:left w:w="70" w:type="dxa"/>
            <w:right w:w="70" w:type="dxa"/>
          </w:tblCellMar>
        </w:tblPrEx>
        <w:trPr>
          <w:trHeight w:hRule="exact" w:val="227"/>
        </w:trPr>
        <w:tc>
          <w:tcPr>
            <w:tcW w:w="44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D12F83" w:rsidP="00FD671F">
            <w:pPr>
              <w:spacing w:line="240" w:lineRule="auto"/>
              <w:jc w:val="center"/>
              <w:rPr>
                <w:rFonts w:ascii="Times New Roman" w:hAnsi="Times New Roman" w:cs="Times New Roman"/>
                <w:lang w:eastAsia="sk-SK"/>
              </w:rPr>
            </w:pPr>
            <w:r>
              <w:rPr>
                <w:rFonts w:ascii="Times New Roman" w:hAnsi="Times New Roman" w:cs="Times New Roman"/>
                <w:lang w:eastAsia="sk-SK"/>
              </w:rPr>
              <w:t> </w:t>
            </w:r>
          </w:p>
        </w:tc>
        <w:tc>
          <w:tcPr>
            <w:tcW w:w="2635"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D12F83" w:rsidRPr="00693711" w:rsidP="00FD671F">
            <w:pPr>
              <w:spacing w:line="240" w:lineRule="auto"/>
              <w:rPr>
                <w:rFonts w:ascii="Times New Roman" w:hAnsi="Times New Roman" w:cs="Times New Roman"/>
                <w:b/>
                <w:bCs/>
                <w:lang w:eastAsia="sk-SK"/>
              </w:rPr>
            </w:pPr>
            <w:r w:rsidRPr="00693711">
              <w:rPr>
                <w:rFonts w:ascii="Times New Roman" w:hAnsi="Times New Roman" w:cs="Times New Roman"/>
                <w:b/>
                <w:bCs/>
                <w:lang w:eastAsia="sk-SK"/>
              </w:rPr>
              <w:t>po lehote splatnosti</w:t>
            </w:r>
          </w:p>
        </w:tc>
        <w:tc>
          <w:tcPr>
            <w:tcW w:w="122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D12F83" w:rsidRPr="00693711" w:rsidP="00FD671F">
            <w:pPr>
              <w:spacing w:line="240" w:lineRule="auto"/>
              <w:jc w:val="right"/>
              <w:rPr>
                <w:rFonts w:ascii="Times New Roman" w:hAnsi="Times New Roman" w:cs="Times New Roman"/>
                <w:b/>
                <w:bCs/>
                <w:lang w:eastAsia="sk-SK"/>
              </w:rPr>
            </w:pPr>
            <w:r w:rsidR="0039553C">
              <w:rPr>
                <w:rFonts w:ascii="Times New Roman" w:hAnsi="Times New Roman" w:cs="Times New Roman"/>
                <w:b/>
                <w:bCs/>
                <w:lang w:eastAsia="sk-SK"/>
              </w:rPr>
              <w:t>61 941</w:t>
            </w:r>
          </w:p>
        </w:tc>
        <w:tc>
          <w:tcPr>
            <w:tcW w:w="112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D12F83" w:rsidRPr="00693711" w:rsidP="00FD671F">
            <w:pPr>
              <w:spacing w:line="240" w:lineRule="auto"/>
              <w:jc w:val="right"/>
              <w:rPr>
                <w:rFonts w:ascii="Times New Roman" w:hAnsi="Times New Roman" w:cs="Times New Roman"/>
                <w:b/>
                <w:bCs/>
                <w:lang w:eastAsia="sk-SK"/>
              </w:rPr>
            </w:pPr>
            <w:r w:rsidR="0039553C">
              <w:rPr>
                <w:rFonts w:ascii="Times New Roman" w:hAnsi="Times New Roman" w:cs="Times New Roman"/>
                <w:b/>
                <w:bCs/>
                <w:lang w:eastAsia="sk-SK"/>
              </w:rPr>
              <w:t>18 307</w:t>
            </w:r>
          </w:p>
        </w:tc>
        <w:tc>
          <w:tcPr>
            <w:tcW w:w="112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D12F83" w:rsidRPr="00693711" w:rsidP="00FD671F">
            <w:pPr>
              <w:spacing w:line="240" w:lineRule="auto"/>
              <w:jc w:val="right"/>
              <w:rPr>
                <w:rFonts w:ascii="Times New Roman" w:hAnsi="Times New Roman" w:cs="Times New Roman"/>
                <w:b/>
                <w:bCs/>
                <w:lang w:eastAsia="sk-SK"/>
              </w:rPr>
            </w:pPr>
            <w:r w:rsidR="0039553C">
              <w:rPr>
                <w:rFonts w:ascii="Times New Roman" w:hAnsi="Times New Roman" w:cs="Times New Roman"/>
                <w:b/>
                <w:bCs/>
                <w:lang w:eastAsia="sk-SK"/>
              </w:rPr>
              <w:t>21 358</w:t>
            </w:r>
          </w:p>
        </w:tc>
        <w:tc>
          <w:tcPr>
            <w:tcW w:w="112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D12F83" w:rsidRPr="00693711" w:rsidP="00FD671F">
            <w:pPr>
              <w:spacing w:line="240" w:lineRule="auto"/>
              <w:jc w:val="right"/>
              <w:rPr>
                <w:rFonts w:ascii="Times New Roman" w:hAnsi="Times New Roman" w:cs="Times New Roman"/>
                <w:b/>
                <w:bCs/>
                <w:lang w:eastAsia="sk-SK"/>
              </w:rPr>
            </w:pPr>
            <w:r w:rsidR="0039553C">
              <w:rPr>
                <w:rFonts w:ascii="Times New Roman" w:hAnsi="Times New Roman" w:cs="Times New Roman"/>
                <w:b/>
                <w:bCs/>
                <w:lang w:eastAsia="sk-SK"/>
              </w:rPr>
              <w:t>123 407</w:t>
            </w:r>
          </w:p>
        </w:tc>
        <w:tc>
          <w:tcPr>
            <w:tcW w:w="122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D12F83" w:rsidRPr="00693711" w:rsidP="00FD671F">
            <w:pPr>
              <w:spacing w:line="240" w:lineRule="auto"/>
              <w:jc w:val="right"/>
              <w:rPr>
                <w:rFonts w:ascii="Times New Roman" w:hAnsi="Times New Roman" w:cs="Times New Roman"/>
                <w:b/>
                <w:bCs/>
                <w:lang w:eastAsia="sk-SK"/>
              </w:rPr>
            </w:pPr>
            <w:r w:rsidR="0039553C">
              <w:rPr>
                <w:rFonts w:ascii="Times New Roman" w:hAnsi="Times New Roman" w:cs="Times New Roman"/>
                <w:b/>
                <w:bCs/>
                <w:lang w:eastAsia="sk-SK"/>
              </w:rPr>
              <w:t>9 870</w:t>
            </w:r>
          </w:p>
        </w:tc>
      </w:tr>
      <w:tr>
        <w:tblPrEx>
          <w:tblW w:w="8875" w:type="dxa"/>
          <w:tblInd w:w="55" w:type="dxa"/>
          <w:tblCellMar>
            <w:left w:w="70" w:type="dxa"/>
            <w:right w:w="70" w:type="dxa"/>
          </w:tblCellMar>
        </w:tblPrEx>
        <w:trPr>
          <w:trHeight w:hRule="exact" w:val="227"/>
        </w:trPr>
        <w:tc>
          <w:tcPr>
            <w:tcW w:w="44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D12F83" w:rsidP="00FD671F">
            <w:pPr>
              <w:spacing w:line="240" w:lineRule="auto"/>
              <w:jc w:val="center"/>
              <w:rPr>
                <w:rFonts w:ascii="Times New Roman" w:hAnsi="Times New Roman" w:cs="Times New Roman"/>
                <w:lang w:eastAsia="sk-SK"/>
              </w:rPr>
            </w:pPr>
            <w:r>
              <w:rPr>
                <w:rFonts w:ascii="Times New Roman" w:hAnsi="Times New Roman" w:cs="Times New Roman"/>
                <w:lang w:eastAsia="sk-SK"/>
              </w:rPr>
              <w:t> </w:t>
            </w:r>
          </w:p>
        </w:tc>
        <w:tc>
          <w:tcPr>
            <w:tcW w:w="2635"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D12F83" w:rsidP="00FD671F">
            <w:pPr>
              <w:spacing w:line="240" w:lineRule="auto"/>
              <w:rPr>
                <w:rFonts w:ascii="Times New Roman" w:hAnsi="Times New Roman" w:cs="Times New Roman"/>
                <w:lang w:eastAsia="sk-SK"/>
              </w:rPr>
            </w:pPr>
            <w:r>
              <w:rPr>
                <w:rFonts w:ascii="Times New Roman" w:hAnsi="Times New Roman" w:cs="Times New Roman"/>
                <w:lang w:eastAsia="sk-SK"/>
              </w:rPr>
              <w:t>do 30 dní</w:t>
            </w:r>
          </w:p>
        </w:tc>
        <w:tc>
          <w:tcPr>
            <w:tcW w:w="122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D12F83" w:rsidP="00FD671F">
            <w:pPr>
              <w:spacing w:line="240" w:lineRule="auto"/>
              <w:jc w:val="right"/>
              <w:rPr>
                <w:rFonts w:ascii="Times New Roman" w:hAnsi="Times New Roman" w:cs="Times New Roman"/>
                <w:lang w:eastAsia="sk-SK"/>
              </w:rPr>
            </w:pPr>
            <w:r w:rsidR="00C371F0">
              <w:rPr>
                <w:rFonts w:ascii="Times New Roman" w:hAnsi="Times New Roman" w:cs="Times New Roman"/>
                <w:lang w:eastAsia="sk-SK"/>
              </w:rPr>
              <w:t>53 432</w:t>
            </w:r>
          </w:p>
        </w:tc>
        <w:tc>
          <w:tcPr>
            <w:tcW w:w="112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D12F83" w:rsidP="00FD671F">
            <w:pPr>
              <w:spacing w:line="240" w:lineRule="auto"/>
              <w:jc w:val="right"/>
              <w:rPr>
                <w:rFonts w:ascii="Times New Roman" w:hAnsi="Times New Roman" w:cs="Times New Roman"/>
                <w:lang w:eastAsia="sk-SK"/>
              </w:rPr>
            </w:pPr>
            <w:r w:rsidR="00C371F0">
              <w:rPr>
                <w:rFonts w:ascii="Times New Roman" w:hAnsi="Times New Roman" w:cs="Times New Roman"/>
                <w:lang w:eastAsia="sk-SK"/>
              </w:rPr>
              <w:t>15 887</w:t>
            </w:r>
          </w:p>
        </w:tc>
        <w:tc>
          <w:tcPr>
            <w:tcW w:w="112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D12F83" w:rsidP="00FD671F">
            <w:pPr>
              <w:spacing w:line="240" w:lineRule="auto"/>
              <w:jc w:val="right"/>
              <w:rPr>
                <w:rFonts w:ascii="Times New Roman" w:hAnsi="Times New Roman" w:cs="Times New Roman"/>
                <w:lang w:eastAsia="sk-SK"/>
              </w:rPr>
            </w:pPr>
            <w:r w:rsidR="00C371F0">
              <w:rPr>
                <w:rFonts w:ascii="Times New Roman" w:hAnsi="Times New Roman" w:cs="Times New Roman"/>
                <w:lang w:eastAsia="sk-SK"/>
              </w:rPr>
              <w:t>11 601</w:t>
            </w:r>
          </w:p>
        </w:tc>
        <w:tc>
          <w:tcPr>
            <w:tcW w:w="112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D12F83" w:rsidP="00FD671F">
            <w:pPr>
              <w:spacing w:line="240" w:lineRule="auto"/>
              <w:jc w:val="right"/>
              <w:rPr>
                <w:rFonts w:ascii="Times New Roman" w:hAnsi="Times New Roman" w:cs="Times New Roman"/>
                <w:lang w:eastAsia="sk-SK"/>
              </w:rPr>
            </w:pPr>
            <w:r w:rsidR="00C371F0">
              <w:rPr>
                <w:rFonts w:ascii="Times New Roman" w:hAnsi="Times New Roman" w:cs="Times New Roman"/>
                <w:lang w:eastAsia="sk-SK"/>
              </w:rPr>
              <w:t>17 693</w:t>
            </w:r>
          </w:p>
        </w:tc>
        <w:tc>
          <w:tcPr>
            <w:tcW w:w="122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D12F83" w:rsidP="00FD671F">
            <w:pPr>
              <w:spacing w:line="240" w:lineRule="auto"/>
              <w:jc w:val="right"/>
              <w:rPr>
                <w:rFonts w:ascii="Times New Roman" w:hAnsi="Times New Roman" w:cs="Times New Roman"/>
                <w:lang w:eastAsia="sk-SK"/>
              </w:rPr>
            </w:pPr>
            <w:r w:rsidR="00C371F0">
              <w:rPr>
                <w:rFonts w:ascii="Times New Roman" w:hAnsi="Times New Roman" w:cs="Times New Roman"/>
                <w:lang w:eastAsia="sk-SK"/>
              </w:rPr>
              <w:t>1 839</w:t>
            </w:r>
          </w:p>
        </w:tc>
      </w:tr>
      <w:tr>
        <w:tblPrEx>
          <w:tblW w:w="8875" w:type="dxa"/>
          <w:tblInd w:w="55" w:type="dxa"/>
          <w:tblCellMar>
            <w:left w:w="70" w:type="dxa"/>
            <w:right w:w="70" w:type="dxa"/>
          </w:tblCellMar>
        </w:tblPrEx>
        <w:trPr>
          <w:trHeight w:hRule="exact" w:val="227"/>
        </w:trPr>
        <w:tc>
          <w:tcPr>
            <w:tcW w:w="44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D12F83" w:rsidP="00FD671F">
            <w:pPr>
              <w:spacing w:line="240" w:lineRule="auto"/>
              <w:jc w:val="center"/>
              <w:rPr>
                <w:rFonts w:ascii="Times New Roman" w:hAnsi="Times New Roman" w:cs="Times New Roman"/>
                <w:lang w:eastAsia="sk-SK"/>
              </w:rPr>
            </w:pPr>
            <w:r>
              <w:rPr>
                <w:rFonts w:ascii="Times New Roman" w:hAnsi="Times New Roman" w:cs="Times New Roman"/>
                <w:lang w:eastAsia="sk-SK"/>
              </w:rPr>
              <w:t> </w:t>
            </w:r>
          </w:p>
        </w:tc>
        <w:tc>
          <w:tcPr>
            <w:tcW w:w="2635"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D12F83" w:rsidP="00FD671F">
            <w:pPr>
              <w:spacing w:line="240" w:lineRule="auto"/>
              <w:rPr>
                <w:rFonts w:ascii="Times New Roman" w:hAnsi="Times New Roman" w:cs="Times New Roman"/>
                <w:lang w:eastAsia="sk-SK"/>
              </w:rPr>
            </w:pPr>
            <w:r>
              <w:rPr>
                <w:rFonts w:ascii="Times New Roman" w:hAnsi="Times New Roman" w:cs="Times New Roman"/>
                <w:lang w:eastAsia="sk-SK"/>
              </w:rPr>
              <w:t>do 60 dní</w:t>
            </w:r>
          </w:p>
        </w:tc>
        <w:tc>
          <w:tcPr>
            <w:tcW w:w="122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D12F83" w:rsidP="00FD671F">
            <w:pPr>
              <w:spacing w:line="240" w:lineRule="auto"/>
              <w:jc w:val="right"/>
              <w:rPr>
                <w:rFonts w:ascii="Times New Roman" w:hAnsi="Times New Roman" w:cs="Times New Roman"/>
                <w:lang w:eastAsia="sk-SK"/>
              </w:rPr>
            </w:pPr>
            <w:r w:rsidR="00C371F0">
              <w:rPr>
                <w:rFonts w:ascii="Times New Roman" w:hAnsi="Times New Roman" w:cs="Times New Roman"/>
                <w:lang w:eastAsia="sk-SK"/>
              </w:rPr>
              <w:t>4 224</w:t>
            </w:r>
          </w:p>
        </w:tc>
        <w:tc>
          <w:tcPr>
            <w:tcW w:w="112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D12F83" w:rsidP="00FD671F">
            <w:pPr>
              <w:spacing w:line="240" w:lineRule="auto"/>
              <w:jc w:val="right"/>
              <w:rPr>
                <w:rFonts w:ascii="Times New Roman" w:hAnsi="Times New Roman" w:cs="Times New Roman"/>
                <w:lang w:eastAsia="sk-SK"/>
              </w:rPr>
            </w:pPr>
            <w:r w:rsidR="00C371F0">
              <w:rPr>
                <w:rFonts w:ascii="Times New Roman" w:hAnsi="Times New Roman" w:cs="Times New Roman"/>
                <w:lang w:eastAsia="sk-SK"/>
              </w:rPr>
              <w:t>451</w:t>
            </w:r>
          </w:p>
        </w:tc>
        <w:tc>
          <w:tcPr>
            <w:tcW w:w="112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D12F83" w:rsidP="00FD671F">
            <w:pPr>
              <w:spacing w:line="240" w:lineRule="auto"/>
              <w:jc w:val="right"/>
              <w:rPr>
                <w:rFonts w:ascii="Times New Roman" w:hAnsi="Times New Roman" w:cs="Times New Roman"/>
                <w:lang w:eastAsia="sk-SK"/>
              </w:rPr>
            </w:pPr>
            <w:r w:rsidR="00C371F0">
              <w:rPr>
                <w:rFonts w:ascii="Times New Roman" w:hAnsi="Times New Roman" w:cs="Times New Roman"/>
                <w:lang w:eastAsia="sk-SK"/>
              </w:rPr>
              <w:t>8 090</w:t>
            </w:r>
          </w:p>
        </w:tc>
        <w:tc>
          <w:tcPr>
            <w:tcW w:w="112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D12F83" w:rsidP="00FD671F">
            <w:pPr>
              <w:spacing w:line="240" w:lineRule="auto"/>
              <w:jc w:val="right"/>
              <w:rPr>
                <w:rFonts w:ascii="Times New Roman" w:hAnsi="Times New Roman" w:cs="Times New Roman"/>
                <w:lang w:eastAsia="sk-SK"/>
              </w:rPr>
            </w:pPr>
            <w:r w:rsidR="00C371F0">
              <w:rPr>
                <w:rFonts w:ascii="Times New Roman" w:hAnsi="Times New Roman" w:cs="Times New Roman"/>
                <w:lang w:eastAsia="sk-SK"/>
              </w:rPr>
              <w:t>103 589</w:t>
            </w:r>
          </w:p>
        </w:tc>
        <w:tc>
          <w:tcPr>
            <w:tcW w:w="122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D12F83" w:rsidP="00FD671F">
            <w:pPr>
              <w:spacing w:line="240" w:lineRule="auto"/>
              <w:jc w:val="right"/>
              <w:rPr>
                <w:rFonts w:ascii="Times New Roman" w:hAnsi="Times New Roman" w:cs="Times New Roman"/>
                <w:lang w:eastAsia="sk-SK"/>
              </w:rPr>
            </w:pPr>
            <w:r w:rsidR="00C371F0">
              <w:rPr>
                <w:rFonts w:ascii="Times New Roman" w:hAnsi="Times New Roman" w:cs="Times New Roman"/>
                <w:lang w:eastAsia="sk-SK"/>
              </w:rPr>
              <w:t>6 670</w:t>
            </w:r>
          </w:p>
        </w:tc>
      </w:tr>
      <w:tr>
        <w:tblPrEx>
          <w:tblW w:w="8875" w:type="dxa"/>
          <w:tblInd w:w="55" w:type="dxa"/>
          <w:tblCellMar>
            <w:left w:w="70" w:type="dxa"/>
            <w:right w:w="70" w:type="dxa"/>
          </w:tblCellMar>
        </w:tblPrEx>
        <w:trPr>
          <w:trHeight w:hRule="exact" w:val="227"/>
        </w:trPr>
        <w:tc>
          <w:tcPr>
            <w:tcW w:w="44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D12F83" w:rsidP="00FD671F">
            <w:pPr>
              <w:spacing w:line="240" w:lineRule="auto"/>
              <w:jc w:val="center"/>
              <w:rPr>
                <w:rFonts w:ascii="Times New Roman" w:hAnsi="Times New Roman" w:cs="Times New Roman"/>
                <w:lang w:eastAsia="sk-SK"/>
              </w:rPr>
            </w:pPr>
            <w:r>
              <w:rPr>
                <w:rFonts w:ascii="Times New Roman" w:hAnsi="Times New Roman" w:cs="Times New Roman"/>
                <w:lang w:eastAsia="sk-SK"/>
              </w:rPr>
              <w:t> </w:t>
            </w:r>
          </w:p>
        </w:tc>
        <w:tc>
          <w:tcPr>
            <w:tcW w:w="2635"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D12F83" w:rsidP="00FD671F">
            <w:pPr>
              <w:spacing w:line="240" w:lineRule="auto"/>
              <w:rPr>
                <w:rFonts w:ascii="Times New Roman" w:hAnsi="Times New Roman" w:cs="Times New Roman"/>
                <w:lang w:eastAsia="sk-SK"/>
              </w:rPr>
            </w:pPr>
            <w:r>
              <w:rPr>
                <w:rFonts w:ascii="Times New Roman" w:hAnsi="Times New Roman" w:cs="Times New Roman"/>
                <w:lang w:eastAsia="sk-SK"/>
              </w:rPr>
              <w:t>do 90 dní</w:t>
            </w:r>
          </w:p>
        </w:tc>
        <w:tc>
          <w:tcPr>
            <w:tcW w:w="122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D12F83" w:rsidP="00FD671F">
            <w:pPr>
              <w:spacing w:line="240" w:lineRule="auto"/>
              <w:jc w:val="right"/>
              <w:rPr>
                <w:rFonts w:ascii="Times New Roman" w:hAnsi="Times New Roman" w:cs="Times New Roman"/>
                <w:lang w:eastAsia="sk-SK"/>
              </w:rPr>
            </w:pPr>
            <w:r w:rsidR="00C371F0">
              <w:rPr>
                <w:rFonts w:ascii="Times New Roman" w:hAnsi="Times New Roman" w:cs="Times New Roman"/>
                <w:lang w:eastAsia="sk-SK"/>
              </w:rPr>
              <w:t>400</w:t>
            </w:r>
          </w:p>
        </w:tc>
        <w:tc>
          <w:tcPr>
            <w:tcW w:w="112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D12F83" w:rsidP="00FD671F">
            <w:pPr>
              <w:spacing w:line="240" w:lineRule="auto"/>
              <w:jc w:val="right"/>
              <w:rPr>
                <w:rFonts w:ascii="Times New Roman" w:hAnsi="Times New Roman" w:cs="Times New Roman"/>
                <w:lang w:eastAsia="sk-SK"/>
              </w:rPr>
            </w:pPr>
            <w:r w:rsidR="00C371F0">
              <w:rPr>
                <w:rFonts w:ascii="Times New Roman" w:hAnsi="Times New Roman" w:cs="Times New Roman"/>
                <w:lang w:eastAsia="sk-SK"/>
              </w:rPr>
              <w:t>1 233</w:t>
            </w:r>
          </w:p>
        </w:tc>
        <w:tc>
          <w:tcPr>
            <w:tcW w:w="112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D12F83" w:rsidP="00FD671F">
            <w:pPr>
              <w:spacing w:line="240" w:lineRule="auto"/>
              <w:jc w:val="right"/>
              <w:rPr>
                <w:rFonts w:ascii="Times New Roman" w:hAnsi="Times New Roman" w:cs="Times New Roman"/>
                <w:lang w:eastAsia="sk-SK"/>
              </w:rPr>
            </w:pPr>
            <w:r w:rsidR="00C371F0">
              <w:rPr>
                <w:rFonts w:ascii="Times New Roman" w:hAnsi="Times New Roman" w:cs="Times New Roman"/>
                <w:lang w:eastAsia="sk-SK"/>
              </w:rPr>
              <w:t>63</w:t>
            </w:r>
          </w:p>
        </w:tc>
        <w:tc>
          <w:tcPr>
            <w:tcW w:w="112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D12F83" w:rsidP="00FD671F">
            <w:pPr>
              <w:spacing w:line="240" w:lineRule="auto"/>
              <w:jc w:val="right"/>
              <w:rPr>
                <w:rFonts w:ascii="Times New Roman" w:hAnsi="Times New Roman" w:cs="Times New Roman"/>
                <w:lang w:eastAsia="sk-SK"/>
              </w:rPr>
            </w:pPr>
            <w:r w:rsidR="00C371F0">
              <w:rPr>
                <w:rFonts w:ascii="Times New Roman" w:hAnsi="Times New Roman" w:cs="Times New Roman"/>
                <w:lang w:eastAsia="sk-SK"/>
              </w:rPr>
              <w:t>1 010</w:t>
            </w:r>
          </w:p>
        </w:tc>
        <w:tc>
          <w:tcPr>
            <w:tcW w:w="122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D12F83" w:rsidP="00FD671F">
            <w:pPr>
              <w:spacing w:line="240" w:lineRule="auto"/>
              <w:jc w:val="right"/>
              <w:rPr>
                <w:rFonts w:ascii="Times New Roman" w:hAnsi="Times New Roman" w:cs="Times New Roman"/>
                <w:lang w:eastAsia="sk-SK"/>
              </w:rPr>
            </w:pPr>
            <w:r w:rsidR="00C371F0">
              <w:rPr>
                <w:rFonts w:ascii="Times New Roman" w:hAnsi="Times New Roman" w:cs="Times New Roman"/>
                <w:lang w:eastAsia="sk-SK"/>
              </w:rPr>
              <w:t>37</w:t>
            </w:r>
          </w:p>
        </w:tc>
      </w:tr>
      <w:tr>
        <w:tblPrEx>
          <w:tblW w:w="8875" w:type="dxa"/>
          <w:tblInd w:w="55" w:type="dxa"/>
          <w:tblCellMar>
            <w:left w:w="70" w:type="dxa"/>
            <w:right w:w="70" w:type="dxa"/>
          </w:tblCellMar>
        </w:tblPrEx>
        <w:trPr>
          <w:trHeight w:hRule="exact" w:val="227"/>
        </w:trPr>
        <w:tc>
          <w:tcPr>
            <w:tcW w:w="44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D12F83" w:rsidP="00FD671F">
            <w:pPr>
              <w:spacing w:line="240" w:lineRule="auto"/>
              <w:jc w:val="center"/>
              <w:rPr>
                <w:rFonts w:ascii="Times New Roman" w:hAnsi="Times New Roman" w:cs="Times New Roman"/>
                <w:lang w:eastAsia="sk-SK"/>
              </w:rPr>
            </w:pPr>
            <w:r>
              <w:rPr>
                <w:rFonts w:ascii="Times New Roman" w:hAnsi="Times New Roman" w:cs="Times New Roman"/>
                <w:lang w:eastAsia="sk-SK"/>
              </w:rPr>
              <w:t> </w:t>
            </w:r>
          </w:p>
        </w:tc>
        <w:tc>
          <w:tcPr>
            <w:tcW w:w="2635"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D12F83" w:rsidP="00FD671F">
            <w:pPr>
              <w:spacing w:line="240" w:lineRule="auto"/>
              <w:rPr>
                <w:rFonts w:ascii="Times New Roman" w:hAnsi="Times New Roman" w:cs="Times New Roman"/>
                <w:lang w:eastAsia="sk-SK"/>
              </w:rPr>
            </w:pPr>
            <w:r>
              <w:rPr>
                <w:rFonts w:ascii="Times New Roman" w:hAnsi="Times New Roman" w:cs="Times New Roman"/>
                <w:lang w:eastAsia="sk-SK"/>
              </w:rPr>
              <w:t>do 120 dní</w:t>
            </w:r>
          </w:p>
        </w:tc>
        <w:tc>
          <w:tcPr>
            <w:tcW w:w="122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D12F83" w:rsidP="00FD671F">
            <w:pPr>
              <w:spacing w:line="240" w:lineRule="auto"/>
              <w:jc w:val="right"/>
              <w:rPr>
                <w:rFonts w:ascii="Times New Roman" w:hAnsi="Times New Roman" w:cs="Times New Roman"/>
                <w:lang w:eastAsia="sk-SK"/>
              </w:rPr>
            </w:pPr>
            <w:r>
              <w:rPr>
                <w:rFonts w:ascii="Times New Roman" w:hAnsi="Times New Roman" w:cs="Times New Roman"/>
                <w:lang w:eastAsia="sk-SK"/>
              </w:rPr>
              <w:t>5</w:t>
            </w:r>
            <w:r w:rsidR="00C371F0">
              <w:rPr>
                <w:rFonts w:ascii="Times New Roman" w:hAnsi="Times New Roman" w:cs="Times New Roman"/>
                <w:lang w:eastAsia="sk-SK"/>
              </w:rPr>
              <w:t>3</w:t>
            </w:r>
          </w:p>
        </w:tc>
        <w:tc>
          <w:tcPr>
            <w:tcW w:w="112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D12F83" w:rsidP="00FD671F">
            <w:pPr>
              <w:spacing w:line="240" w:lineRule="auto"/>
              <w:jc w:val="right"/>
              <w:rPr>
                <w:rFonts w:ascii="Times New Roman" w:hAnsi="Times New Roman" w:cs="Times New Roman"/>
                <w:lang w:eastAsia="sk-SK"/>
              </w:rPr>
            </w:pPr>
            <w:r w:rsidR="00C371F0">
              <w:rPr>
                <w:rFonts w:ascii="Times New Roman" w:hAnsi="Times New Roman" w:cs="Times New Roman"/>
                <w:lang w:eastAsia="sk-SK"/>
              </w:rPr>
              <w:t>429</w:t>
            </w:r>
          </w:p>
        </w:tc>
        <w:tc>
          <w:tcPr>
            <w:tcW w:w="112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D12F83" w:rsidP="00FD671F">
            <w:pPr>
              <w:spacing w:line="240" w:lineRule="auto"/>
              <w:jc w:val="right"/>
              <w:rPr>
                <w:rFonts w:ascii="Times New Roman" w:hAnsi="Times New Roman" w:cs="Times New Roman"/>
                <w:lang w:eastAsia="sk-SK"/>
              </w:rPr>
            </w:pPr>
            <w:r w:rsidR="00C371F0">
              <w:rPr>
                <w:rFonts w:ascii="Times New Roman" w:hAnsi="Times New Roman" w:cs="Times New Roman"/>
                <w:lang w:eastAsia="sk-SK"/>
              </w:rPr>
              <w:t>571</w:t>
            </w:r>
          </w:p>
        </w:tc>
        <w:tc>
          <w:tcPr>
            <w:tcW w:w="112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D12F83" w:rsidP="00FD671F">
            <w:pPr>
              <w:spacing w:line="240" w:lineRule="auto"/>
              <w:jc w:val="right"/>
              <w:rPr>
                <w:rFonts w:ascii="Times New Roman" w:hAnsi="Times New Roman" w:cs="Times New Roman"/>
                <w:lang w:eastAsia="sk-SK"/>
              </w:rPr>
            </w:pPr>
            <w:r w:rsidR="00C371F0">
              <w:rPr>
                <w:rFonts w:ascii="Times New Roman" w:hAnsi="Times New Roman" w:cs="Times New Roman"/>
                <w:lang w:eastAsia="sk-SK"/>
              </w:rPr>
              <w:t>80</w:t>
            </w:r>
          </w:p>
        </w:tc>
        <w:tc>
          <w:tcPr>
            <w:tcW w:w="122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D12F83" w:rsidP="00FD671F">
            <w:pPr>
              <w:spacing w:line="240" w:lineRule="auto"/>
              <w:jc w:val="right"/>
              <w:rPr>
                <w:rFonts w:ascii="Times New Roman" w:hAnsi="Times New Roman" w:cs="Times New Roman"/>
                <w:lang w:eastAsia="sk-SK"/>
              </w:rPr>
            </w:pPr>
            <w:r w:rsidR="00C371F0">
              <w:rPr>
                <w:rFonts w:ascii="Times New Roman" w:hAnsi="Times New Roman" w:cs="Times New Roman"/>
                <w:lang w:eastAsia="sk-SK"/>
              </w:rPr>
              <w:t>59</w:t>
            </w:r>
          </w:p>
        </w:tc>
      </w:tr>
      <w:tr>
        <w:tblPrEx>
          <w:tblW w:w="8875" w:type="dxa"/>
          <w:tblInd w:w="55" w:type="dxa"/>
          <w:tblCellMar>
            <w:left w:w="70" w:type="dxa"/>
            <w:right w:w="70" w:type="dxa"/>
          </w:tblCellMar>
        </w:tblPrEx>
        <w:trPr>
          <w:trHeight w:hRule="exact" w:val="227"/>
        </w:trPr>
        <w:tc>
          <w:tcPr>
            <w:tcW w:w="44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D12F83" w:rsidP="00FD671F">
            <w:pPr>
              <w:spacing w:line="240" w:lineRule="auto"/>
              <w:jc w:val="center"/>
              <w:rPr>
                <w:rFonts w:ascii="Times New Roman" w:hAnsi="Times New Roman" w:cs="Times New Roman"/>
                <w:lang w:eastAsia="sk-SK"/>
              </w:rPr>
            </w:pPr>
            <w:r>
              <w:rPr>
                <w:rFonts w:ascii="Times New Roman" w:hAnsi="Times New Roman" w:cs="Times New Roman"/>
                <w:lang w:eastAsia="sk-SK"/>
              </w:rPr>
              <w:t> </w:t>
            </w:r>
          </w:p>
        </w:tc>
        <w:tc>
          <w:tcPr>
            <w:tcW w:w="2635"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D12F83" w:rsidP="00FD671F">
            <w:pPr>
              <w:spacing w:line="240" w:lineRule="auto"/>
              <w:rPr>
                <w:rFonts w:ascii="Times New Roman" w:hAnsi="Times New Roman" w:cs="Times New Roman"/>
                <w:lang w:eastAsia="sk-SK"/>
              </w:rPr>
            </w:pPr>
            <w:r>
              <w:rPr>
                <w:rFonts w:ascii="Times New Roman" w:hAnsi="Times New Roman" w:cs="Times New Roman"/>
                <w:lang w:eastAsia="sk-SK"/>
              </w:rPr>
              <w:t>do 180 dní</w:t>
            </w:r>
          </w:p>
        </w:tc>
        <w:tc>
          <w:tcPr>
            <w:tcW w:w="122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D12F83" w:rsidP="00FD671F">
            <w:pPr>
              <w:spacing w:line="240" w:lineRule="auto"/>
              <w:jc w:val="right"/>
              <w:rPr>
                <w:rFonts w:ascii="Times New Roman" w:hAnsi="Times New Roman" w:cs="Times New Roman"/>
                <w:lang w:eastAsia="sk-SK"/>
              </w:rPr>
            </w:pPr>
            <w:r w:rsidR="00C371F0">
              <w:rPr>
                <w:rFonts w:ascii="Times New Roman" w:hAnsi="Times New Roman" w:cs="Times New Roman"/>
                <w:lang w:eastAsia="sk-SK"/>
              </w:rPr>
              <w:t>2 385</w:t>
            </w:r>
          </w:p>
        </w:tc>
        <w:tc>
          <w:tcPr>
            <w:tcW w:w="112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D12F83" w:rsidP="00FD671F">
            <w:pPr>
              <w:spacing w:line="240" w:lineRule="auto"/>
              <w:jc w:val="right"/>
              <w:rPr>
                <w:rFonts w:ascii="Times New Roman" w:hAnsi="Times New Roman" w:cs="Times New Roman"/>
                <w:lang w:eastAsia="sk-SK"/>
              </w:rPr>
            </w:pPr>
            <w:r w:rsidR="00C371F0">
              <w:rPr>
                <w:rFonts w:ascii="Times New Roman" w:hAnsi="Times New Roman" w:cs="Times New Roman"/>
                <w:lang w:eastAsia="sk-SK"/>
              </w:rPr>
              <w:t>157</w:t>
            </w:r>
          </w:p>
        </w:tc>
        <w:tc>
          <w:tcPr>
            <w:tcW w:w="112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D12F83" w:rsidP="00FD671F">
            <w:pPr>
              <w:spacing w:line="240" w:lineRule="auto"/>
              <w:jc w:val="right"/>
              <w:rPr>
                <w:rFonts w:ascii="Times New Roman" w:hAnsi="Times New Roman" w:cs="Times New Roman"/>
                <w:lang w:eastAsia="sk-SK"/>
              </w:rPr>
            </w:pPr>
            <w:r w:rsidR="00C371F0">
              <w:rPr>
                <w:rFonts w:ascii="Times New Roman" w:hAnsi="Times New Roman" w:cs="Times New Roman"/>
                <w:lang w:eastAsia="sk-SK"/>
              </w:rPr>
              <w:t>362</w:t>
            </w:r>
          </w:p>
        </w:tc>
        <w:tc>
          <w:tcPr>
            <w:tcW w:w="112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D12F83" w:rsidP="00FD671F">
            <w:pPr>
              <w:spacing w:line="240" w:lineRule="auto"/>
              <w:jc w:val="right"/>
              <w:rPr>
                <w:rFonts w:ascii="Times New Roman" w:hAnsi="Times New Roman" w:cs="Times New Roman"/>
                <w:lang w:eastAsia="sk-SK"/>
              </w:rPr>
            </w:pPr>
            <w:r w:rsidR="00C371F0">
              <w:rPr>
                <w:rFonts w:ascii="Times New Roman" w:hAnsi="Times New Roman" w:cs="Times New Roman"/>
                <w:lang w:eastAsia="sk-SK"/>
              </w:rPr>
              <w:t>225</w:t>
            </w:r>
          </w:p>
        </w:tc>
        <w:tc>
          <w:tcPr>
            <w:tcW w:w="122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D12F83" w:rsidP="00FD671F">
            <w:pPr>
              <w:spacing w:line="240" w:lineRule="auto"/>
              <w:jc w:val="right"/>
              <w:rPr>
                <w:rFonts w:ascii="Times New Roman" w:hAnsi="Times New Roman" w:cs="Times New Roman"/>
                <w:lang w:eastAsia="sk-SK"/>
              </w:rPr>
            </w:pPr>
            <w:r w:rsidR="00C371F0">
              <w:rPr>
                <w:rFonts w:ascii="Times New Roman" w:hAnsi="Times New Roman" w:cs="Times New Roman"/>
                <w:lang w:eastAsia="sk-SK"/>
              </w:rPr>
              <w:t>122</w:t>
            </w:r>
          </w:p>
        </w:tc>
      </w:tr>
      <w:tr>
        <w:tblPrEx>
          <w:tblW w:w="8875" w:type="dxa"/>
          <w:tblInd w:w="55" w:type="dxa"/>
          <w:tblCellMar>
            <w:left w:w="70" w:type="dxa"/>
            <w:right w:w="70" w:type="dxa"/>
          </w:tblCellMar>
        </w:tblPrEx>
        <w:trPr>
          <w:trHeight w:hRule="exact" w:val="227"/>
        </w:trPr>
        <w:tc>
          <w:tcPr>
            <w:tcW w:w="44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D12F83" w:rsidP="00FD671F">
            <w:pPr>
              <w:spacing w:line="240" w:lineRule="auto"/>
              <w:jc w:val="center"/>
              <w:rPr>
                <w:rFonts w:ascii="Times New Roman" w:hAnsi="Times New Roman" w:cs="Times New Roman"/>
                <w:lang w:eastAsia="sk-SK"/>
              </w:rPr>
            </w:pPr>
            <w:r>
              <w:rPr>
                <w:rFonts w:ascii="Times New Roman" w:hAnsi="Times New Roman" w:cs="Times New Roman"/>
                <w:lang w:eastAsia="sk-SK"/>
              </w:rPr>
              <w:t> </w:t>
            </w:r>
          </w:p>
        </w:tc>
        <w:tc>
          <w:tcPr>
            <w:tcW w:w="2635"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D12F83" w:rsidP="00FD671F">
            <w:pPr>
              <w:spacing w:line="240" w:lineRule="auto"/>
              <w:rPr>
                <w:rFonts w:ascii="Times New Roman" w:hAnsi="Times New Roman" w:cs="Times New Roman"/>
                <w:lang w:eastAsia="sk-SK"/>
              </w:rPr>
            </w:pPr>
            <w:r>
              <w:rPr>
                <w:rFonts w:ascii="Times New Roman" w:hAnsi="Times New Roman" w:cs="Times New Roman"/>
                <w:lang w:eastAsia="sk-SK"/>
              </w:rPr>
              <w:t>do 360 dní</w:t>
            </w:r>
          </w:p>
        </w:tc>
        <w:tc>
          <w:tcPr>
            <w:tcW w:w="122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D12F83" w:rsidP="00FD671F">
            <w:pPr>
              <w:spacing w:line="240" w:lineRule="auto"/>
              <w:jc w:val="right"/>
              <w:rPr>
                <w:rFonts w:ascii="Times New Roman" w:hAnsi="Times New Roman" w:cs="Times New Roman"/>
                <w:lang w:eastAsia="sk-SK"/>
              </w:rPr>
            </w:pPr>
            <w:r w:rsidR="00C371F0">
              <w:rPr>
                <w:rFonts w:ascii="Times New Roman" w:hAnsi="Times New Roman" w:cs="Times New Roman"/>
                <w:lang w:eastAsia="sk-SK"/>
              </w:rPr>
              <w:t>310</w:t>
            </w:r>
          </w:p>
        </w:tc>
        <w:tc>
          <w:tcPr>
            <w:tcW w:w="112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D12F83" w:rsidP="00FD671F">
            <w:pPr>
              <w:spacing w:line="240" w:lineRule="auto"/>
              <w:jc w:val="right"/>
              <w:rPr>
                <w:rFonts w:ascii="Times New Roman" w:hAnsi="Times New Roman" w:cs="Times New Roman"/>
                <w:lang w:eastAsia="sk-SK"/>
              </w:rPr>
            </w:pPr>
            <w:r w:rsidR="00C371F0">
              <w:rPr>
                <w:rFonts w:ascii="Times New Roman" w:hAnsi="Times New Roman" w:cs="Times New Roman"/>
                <w:lang w:eastAsia="sk-SK"/>
              </w:rPr>
              <w:t>20</w:t>
            </w:r>
          </w:p>
        </w:tc>
        <w:tc>
          <w:tcPr>
            <w:tcW w:w="112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D12F83" w:rsidP="00FD671F">
            <w:pPr>
              <w:spacing w:line="240" w:lineRule="auto"/>
              <w:jc w:val="right"/>
              <w:rPr>
                <w:rFonts w:ascii="Times New Roman" w:hAnsi="Times New Roman" w:cs="Times New Roman"/>
                <w:lang w:eastAsia="sk-SK"/>
              </w:rPr>
            </w:pPr>
            <w:r w:rsidR="00C371F0">
              <w:rPr>
                <w:rFonts w:ascii="Times New Roman" w:hAnsi="Times New Roman" w:cs="Times New Roman"/>
                <w:lang w:eastAsia="sk-SK"/>
              </w:rPr>
              <w:t>420</w:t>
            </w:r>
          </w:p>
        </w:tc>
        <w:tc>
          <w:tcPr>
            <w:tcW w:w="112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D12F83" w:rsidP="00FD671F">
            <w:pPr>
              <w:spacing w:line="240" w:lineRule="auto"/>
              <w:jc w:val="right"/>
              <w:rPr>
                <w:rFonts w:ascii="Times New Roman" w:hAnsi="Times New Roman" w:cs="Times New Roman"/>
                <w:lang w:eastAsia="sk-SK"/>
              </w:rPr>
            </w:pPr>
            <w:r w:rsidR="00C371F0">
              <w:rPr>
                <w:rFonts w:ascii="Times New Roman" w:hAnsi="Times New Roman" w:cs="Times New Roman"/>
                <w:lang w:eastAsia="sk-SK"/>
              </w:rPr>
              <w:t>676</w:t>
            </w:r>
          </w:p>
        </w:tc>
        <w:tc>
          <w:tcPr>
            <w:tcW w:w="122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D12F83" w:rsidP="00FD671F">
            <w:pPr>
              <w:spacing w:line="240" w:lineRule="auto"/>
              <w:jc w:val="right"/>
              <w:rPr>
                <w:rFonts w:ascii="Times New Roman" w:hAnsi="Times New Roman" w:cs="Times New Roman"/>
                <w:lang w:eastAsia="sk-SK"/>
              </w:rPr>
            </w:pPr>
            <w:r w:rsidR="00C371F0">
              <w:rPr>
                <w:rFonts w:ascii="Times New Roman" w:hAnsi="Times New Roman" w:cs="Times New Roman"/>
                <w:lang w:eastAsia="sk-SK"/>
              </w:rPr>
              <w:t>590</w:t>
            </w:r>
          </w:p>
        </w:tc>
      </w:tr>
      <w:tr>
        <w:tblPrEx>
          <w:tblW w:w="8875" w:type="dxa"/>
          <w:tblInd w:w="55" w:type="dxa"/>
          <w:tblCellMar>
            <w:left w:w="70" w:type="dxa"/>
            <w:right w:w="70" w:type="dxa"/>
          </w:tblCellMar>
        </w:tblPrEx>
        <w:trPr>
          <w:trHeight w:hRule="exact" w:val="227"/>
        </w:trPr>
        <w:tc>
          <w:tcPr>
            <w:tcW w:w="44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D12F83" w:rsidP="00FD671F">
            <w:pPr>
              <w:spacing w:line="240" w:lineRule="auto"/>
              <w:jc w:val="center"/>
              <w:rPr>
                <w:rFonts w:ascii="Times New Roman" w:hAnsi="Times New Roman" w:cs="Times New Roman"/>
                <w:lang w:eastAsia="sk-SK"/>
              </w:rPr>
            </w:pPr>
            <w:r>
              <w:rPr>
                <w:rFonts w:ascii="Times New Roman" w:hAnsi="Times New Roman" w:cs="Times New Roman"/>
                <w:lang w:eastAsia="sk-SK"/>
              </w:rPr>
              <w:t> </w:t>
            </w:r>
          </w:p>
        </w:tc>
        <w:tc>
          <w:tcPr>
            <w:tcW w:w="2635"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D12F83" w:rsidP="00FD671F">
            <w:pPr>
              <w:spacing w:line="240" w:lineRule="auto"/>
              <w:rPr>
                <w:rFonts w:ascii="Times New Roman" w:hAnsi="Times New Roman" w:cs="Times New Roman"/>
                <w:lang w:eastAsia="sk-SK"/>
              </w:rPr>
            </w:pPr>
            <w:r>
              <w:rPr>
                <w:rFonts w:ascii="Times New Roman" w:hAnsi="Times New Roman" w:cs="Times New Roman"/>
                <w:lang w:eastAsia="sk-SK"/>
              </w:rPr>
              <w:t>do 2 rokov</w:t>
            </w:r>
          </w:p>
        </w:tc>
        <w:tc>
          <w:tcPr>
            <w:tcW w:w="122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D12F83" w:rsidP="00FD671F">
            <w:pPr>
              <w:spacing w:line="240" w:lineRule="auto"/>
              <w:jc w:val="right"/>
              <w:rPr>
                <w:rFonts w:ascii="Times New Roman" w:hAnsi="Times New Roman" w:cs="Times New Roman"/>
                <w:lang w:eastAsia="sk-SK"/>
              </w:rPr>
            </w:pPr>
            <w:r w:rsidR="00C371F0">
              <w:rPr>
                <w:rFonts w:ascii="Times New Roman" w:hAnsi="Times New Roman" w:cs="Times New Roman"/>
                <w:lang w:eastAsia="sk-SK"/>
              </w:rPr>
              <w:t>1 121</w:t>
            </w:r>
          </w:p>
        </w:tc>
        <w:tc>
          <w:tcPr>
            <w:tcW w:w="112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D12F83" w:rsidP="00FD671F">
            <w:pPr>
              <w:spacing w:line="240" w:lineRule="auto"/>
              <w:jc w:val="right"/>
              <w:rPr>
                <w:rFonts w:ascii="Times New Roman" w:hAnsi="Times New Roman" w:cs="Times New Roman"/>
                <w:lang w:eastAsia="sk-SK"/>
              </w:rPr>
            </w:pPr>
            <w:r w:rsidR="00C371F0">
              <w:rPr>
                <w:rFonts w:ascii="Times New Roman" w:hAnsi="Times New Roman" w:cs="Times New Roman"/>
                <w:lang w:eastAsia="sk-SK"/>
              </w:rPr>
              <w:t>41</w:t>
            </w:r>
          </w:p>
        </w:tc>
        <w:tc>
          <w:tcPr>
            <w:tcW w:w="112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D12F83" w:rsidP="00FD671F">
            <w:pPr>
              <w:spacing w:line="240" w:lineRule="auto"/>
              <w:jc w:val="right"/>
              <w:rPr>
                <w:rFonts w:ascii="Times New Roman" w:hAnsi="Times New Roman" w:cs="Times New Roman"/>
                <w:lang w:eastAsia="sk-SK"/>
              </w:rPr>
            </w:pPr>
            <w:r w:rsidR="00C371F0">
              <w:rPr>
                <w:rFonts w:ascii="Times New Roman" w:hAnsi="Times New Roman" w:cs="Times New Roman"/>
                <w:lang w:eastAsia="sk-SK"/>
              </w:rPr>
              <w:t>150</w:t>
            </w:r>
          </w:p>
        </w:tc>
        <w:tc>
          <w:tcPr>
            <w:tcW w:w="112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D12F83" w:rsidP="00FD671F">
            <w:pPr>
              <w:spacing w:line="240" w:lineRule="auto"/>
              <w:jc w:val="right"/>
              <w:rPr>
                <w:rFonts w:ascii="Times New Roman" w:hAnsi="Times New Roman" w:cs="Times New Roman"/>
                <w:lang w:eastAsia="sk-SK"/>
              </w:rPr>
            </w:pPr>
            <w:r w:rsidR="00C371F0">
              <w:rPr>
                <w:rFonts w:ascii="Times New Roman" w:hAnsi="Times New Roman" w:cs="Times New Roman"/>
                <w:lang w:eastAsia="sk-SK"/>
              </w:rPr>
              <w:t>33</w:t>
            </w:r>
          </w:p>
        </w:tc>
        <w:tc>
          <w:tcPr>
            <w:tcW w:w="122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D12F83" w:rsidP="00FD671F">
            <w:pPr>
              <w:spacing w:line="240" w:lineRule="auto"/>
              <w:jc w:val="right"/>
              <w:rPr>
                <w:rFonts w:ascii="Times New Roman" w:hAnsi="Times New Roman" w:cs="Times New Roman"/>
                <w:lang w:eastAsia="sk-SK"/>
              </w:rPr>
            </w:pPr>
            <w:r w:rsidR="00C371F0">
              <w:rPr>
                <w:rFonts w:ascii="Times New Roman" w:hAnsi="Times New Roman" w:cs="Times New Roman"/>
                <w:lang w:eastAsia="sk-SK"/>
              </w:rPr>
              <w:t>431</w:t>
            </w:r>
          </w:p>
        </w:tc>
      </w:tr>
      <w:tr>
        <w:tblPrEx>
          <w:tblW w:w="8875" w:type="dxa"/>
          <w:tblInd w:w="55" w:type="dxa"/>
          <w:tblCellMar>
            <w:left w:w="70" w:type="dxa"/>
            <w:right w:w="70" w:type="dxa"/>
          </w:tblCellMar>
        </w:tblPrEx>
        <w:trPr>
          <w:trHeight w:hRule="exact" w:val="227"/>
        </w:trPr>
        <w:tc>
          <w:tcPr>
            <w:tcW w:w="44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D12F83" w:rsidP="00FD671F">
            <w:pPr>
              <w:spacing w:line="240" w:lineRule="auto"/>
              <w:jc w:val="center"/>
              <w:rPr>
                <w:rFonts w:ascii="Times New Roman" w:hAnsi="Times New Roman" w:cs="Times New Roman"/>
                <w:lang w:eastAsia="sk-SK"/>
              </w:rPr>
            </w:pPr>
            <w:r>
              <w:rPr>
                <w:rFonts w:ascii="Times New Roman" w:hAnsi="Times New Roman" w:cs="Times New Roman"/>
                <w:lang w:eastAsia="sk-SK"/>
              </w:rPr>
              <w:t> </w:t>
            </w:r>
          </w:p>
        </w:tc>
        <w:tc>
          <w:tcPr>
            <w:tcW w:w="2635"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D12F83" w:rsidP="00FD671F">
            <w:pPr>
              <w:spacing w:line="240" w:lineRule="auto"/>
              <w:rPr>
                <w:rFonts w:ascii="Times New Roman" w:hAnsi="Times New Roman" w:cs="Times New Roman"/>
                <w:lang w:eastAsia="sk-SK"/>
              </w:rPr>
            </w:pPr>
            <w:r>
              <w:rPr>
                <w:rFonts w:ascii="Times New Roman" w:hAnsi="Times New Roman" w:cs="Times New Roman"/>
                <w:lang w:eastAsia="sk-SK"/>
              </w:rPr>
              <w:t>do 3 rokov</w:t>
            </w:r>
          </w:p>
        </w:tc>
        <w:tc>
          <w:tcPr>
            <w:tcW w:w="122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D12F83" w:rsidP="00FD671F">
            <w:pPr>
              <w:spacing w:line="240" w:lineRule="auto"/>
              <w:jc w:val="right"/>
              <w:rPr>
                <w:rFonts w:ascii="Times New Roman" w:hAnsi="Times New Roman" w:cs="Times New Roman"/>
                <w:lang w:eastAsia="sk-SK"/>
              </w:rPr>
            </w:pPr>
            <w:r w:rsidR="00C371F0">
              <w:rPr>
                <w:rFonts w:ascii="Times New Roman" w:hAnsi="Times New Roman" w:cs="Times New Roman"/>
                <w:lang w:eastAsia="sk-SK"/>
              </w:rPr>
              <w:t>1</w:t>
            </w:r>
          </w:p>
        </w:tc>
        <w:tc>
          <w:tcPr>
            <w:tcW w:w="112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D12F83" w:rsidP="00FD671F">
            <w:pPr>
              <w:spacing w:line="240" w:lineRule="auto"/>
              <w:jc w:val="right"/>
              <w:rPr>
                <w:rFonts w:ascii="Times New Roman" w:hAnsi="Times New Roman" w:cs="Times New Roman"/>
                <w:lang w:eastAsia="sk-SK"/>
              </w:rPr>
            </w:pPr>
            <w:r w:rsidR="00C371F0">
              <w:rPr>
                <w:rFonts w:ascii="Times New Roman" w:hAnsi="Times New Roman" w:cs="Times New Roman"/>
                <w:lang w:eastAsia="sk-SK"/>
              </w:rPr>
              <w:t>88</w:t>
            </w:r>
          </w:p>
        </w:tc>
        <w:tc>
          <w:tcPr>
            <w:tcW w:w="112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D12F83" w:rsidP="00FD671F">
            <w:pPr>
              <w:spacing w:line="240" w:lineRule="auto"/>
              <w:jc w:val="right"/>
              <w:rPr>
                <w:rFonts w:ascii="Times New Roman" w:hAnsi="Times New Roman" w:cs="Times New Roman"/>
                <w:lang w:eastAsia="sk-SK"/>
              </w:rPr>
            </w:pPr>
            <w:r w:rsidR="00C371F0">
              <w:rPr>
                <w:rFonts w:ascii="Times New Roman" w:hAnsi="Times New Roman" w:cs="Times New Roman"/>
                <w:lang w:eastAsia="sk-SK"/>
              </w:rPr>
              <w:t>99</w:t>
            </w:r>
          </w:p>
        </w:tc>
        <w:tc>
          <w:tcPr>
            <w:tcW w:w="112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D12F83" w:rsidP="00FD671F">
            <w:pPr>
              <w:spacing w:line="240" w:lineRule="auto"/>
              <w:jc w:val="right"/>
              <w:rPr>
                <w:rFonts w:ascii="Times New Roman" w:hAnsi="Times New Roman" w:cs="Times New Roman"/>
                <w:lang w:eastAsia="sk-SK"/>
              </w:rPr>
            </w:pPr>
            <w:r w:rsidR="00C371F0">
              <w:rPr>
                <w:rFonts w:ascii="Times New Roman" w:hAnsi="Times New Roman" w:cs="Times New Roman"/>
                <w:lang w:eastAsia="sk-SK"/>
              </w:rPr>
              <w:t>99</w:t>
            </w:r>
          </w:p>
        </w:tc>
        <w:tc>
          <w:tcPr>
            <w:tcW w:w="122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D12F83" w:rsidP="00FD671F">
            <w:pPr>
              <w:spacing w:line="240" w:lineRule="auto"/>
              <w:jc w:val="right"/>
              <w:rPr>
                <w:rFonts w:ascii="Times New Roman" w:hAnsi="Times New Roman" w:cs="Times New Roman"/>
                <w:lang w:eastAsia="sk-SK"/>
              </w:rPr>
            </w:pPr>
            <w:r>
              <w:rPr>
                <w:rFonts w:ascii="Times New Roman" w:hAnsi="Times New Roman" w:cs="Times New Roman"/>
                <w:lang w:eastAsia="sk-SK"/>
              </w:rPr>
              <w:t>1</w:t>
            </w:r>
            <w:r w:rsidR="00C371F0">
              <w:rPr>
                <w:rFonts w:ascii="Times New Roman" w:hAnsi="Times New Roman" w:cs="Times New Roman"/>
                <w:lang w:eastAsia="sk-SK"/>
              </w:rPr>
              <w:t>20</w:t>
            </w:r>
          </w:p>
        </w:tc>
      </w:tr>
      <w:tr>
        <w:tblPrEx>
          <w:tblW w:w="8875" w:type="dxa"/>
          <w:tblInd w:w="55" w:type="dxa"/>
          <w:tblCellMar>
            <w:left w:w="70" w:type="dxa"/>
            <w:right w:w="70" w:type="dxa"/>
          </w:tblCellMar>
        </w:tblPrEx>
        <w:trPr>
          <w:trHeight w:hRule="exact" w:val="227"/>
        </w:trPr>
        <w:tc>
          <w:tcPr>
            <w:tcW w:w="44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D12F83" w:rsidP="00FD671F">
            <w:pPr>
              <w:spacing w:line="240" w:lineRule="auto"/>
              <w:jc w:val="center"/>
              <w:rPr>
                <w:rFonts w:ascii="Times New Roman" w:hAnsi="Times New Roman" w:cs="Times New Roman"/>
                <w:lang w:eastAsia="sk-SK"/>
              </w:rPr>
            </w:pPr>
            <w:r>
              <w:rPr>
                <w:rFonts w:ascii="Times New Roman" w:hAnsi="Times New Roman" w:cs="Times New Roman"/>
                <w:lang w:eastAsia="sk-SK"/>
              </w:rPr>
              <w:t> </w:t>
            </w:r>
          </w:p>
        </w:tc>
        <w:tc>
          <w:tcPr>
            <w:tcW w:w="2635"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D12F83" w:rsidP="00FD671F">
            <w:pPr>
              <w:spacing w:line="240" w:lineRule="auto"/>
              <w:rPr>
                <w:rFonts w:ascii="Times New Roman" w:hAnsi="Times New Roman" w:cs="Times New Roman"/>
                <w:lang w:eastAsia="sk-SK"/>
              </w:rPr>
            </w:pPr>
            <w:r>
              <w:rPr>
                <w:rFonts w:ascii="Times New Roman" w:hAnsi="Times New Roman" w:cs="Times New Roman"/>
                <w:lang w:eastAsia="sk-SK"/>
              </w:rPr>
              <w:t>Nad 3 roky</w:t>
            </w:r>
          </w:p>
        </w:tc>
        <w:tc>
          <w:tcPr>
            <w:tcW w:w="122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D12F83" w:rsidP="00FD671F">
            <w:pPr>
              <w:spacing w:line="240" w:lineRule="auto"/>
              <w:jc w:val="right"/>
              <w:rPr>
                <w:rFonts w:ascii="Times New Roman" w:hAnsi="Times New Roman" w:cs="Times New Roman"/>
                <w:lang w:eastAsia="sk-SK"/>
              </w:rPr>
            </w:pPr>
            <w:r w:rsidR="00C371F0">
              <w:rPr>
                <w:rFonts w:ascii="Times New Roman" w:hAnsi="Times New Roman" w:cs="Times New Roman"/>
                <w:lang w:eastAsia="sk-SK"/>
              </w:rPr>
              <w:t>15</w:t>
            </w:r>
          </w:p>
        </w:tc>
        <w:tc>
          <w:tcPr>
            <w:tcW w:w="112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D12F83" w:rsidP="00FD671F">
            <w:pPr>
              <w:spacing w:line="240" w:lineRule="auto"/>
              <w:jc w:val="right"/>
              <w:rPr>
                <w:rFonts w:ascii="Times New Roman" w:hAnsi="Times New Roman" w:cs="Times New Roman"/>
                <w:lang w:eastAsia="sk-SK"/>
              </w:rPr>
            </w:pPr>
            <w:r w:rsidR="00C371F0">
              <w:rPr>
                <w:rFonts w:ascii="Times New Roman" w:hAnsi="Times New Roman" w:cs="Times New Roman"/>
                <w:lang w:eastAsia="sk-SK"/>
              </w:rPr>
              <w:t>1</w:t>
            </w:r>
          </w:p>
        </w:tc>
        <w:tc>
          <w:tcPr>
            <w:tcW w:w="112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D12F83" w:rsidP="00FD671F">
            <w:pPr>
              <w:spacing w:line="240" w:lineRule="auto"/>
              <w:jc w:val="right"/>
              <w:rPr>
                <w:rFonts w:ascii="Times New Roman" w:hAnsi="Times New Roman" w:cs="Times New Roman"/>
                <w:lang w:eastAsia="sk-SK"/>
              </w:rPr>
            </w:pPr>
            <w:r w:rsidR="00C371F0">
              <w:rPr>
                <w:rFonts w:ascii="Times New Roman" w:hAnsi="Times New Roman" w:cs="Times New Roman"/>
                <w:lang w:eastAsia="sk-SK"/>
              </w:rPr>
              <w:t>2</w:t>
            </w:r>
          </w:p>
        </w:tc>
        <w:tc>
          <w:tcPr>
            <w:tcW w:w="112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D12F83" w:rsidP="00FD671F">
            <w:pPr>
              <w:spacing w:line="240" w:lineRule="auto"/>
              <w:jc w:val="right"/>
              <w:rPr>
                <w:rFonts w:ascii="Times New Roman" w:hAnsi="Times New Roman" w:cs="Times New Roman"/>
                <w:lang w:eastAsia="sk-SK"/>
              </w:rPr>
            </w:pPr>
            <w:r w:rsidR="00C371F0">
              <w:rPr>
                <w:rFonts w:ascii="Times New Roman" w:hAnsi="Times New Roman" w:cs="Times New Roman"/>
                <w:lang w:eastAsia="sk-SK"/>
              </w:rPr>
              <w:t>2</w:t>
            </w:r>
          </w:p>
        </w:tc>
        <w:tc>
          <w:tcPr>
            <w:tcW w:w="122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D12F83" w:rsidP="00FD671F">
            <w:pPr>
              <w:spacing w:line="240" w:lineRule="auto"/>
              <w:jc w:val="right"/>
              <w:rPr>
                <w:rFonts w:ascii="Times New Roman" w:hAnsi="Times New Roman" w:cs="Times New Roman"/>
                <w:lang w:eastAsia="sk-SK"/>
              </w:rPr>
            </w:pPr>
            <w:r w:rsidR="00C371F0">
              <w:rPr>
                <w:rFonts w:ascii="Times New Roman" w:hAnsi="Times New Roman" w:cs="Times New Roman"/>
                <w:lang w:eastAsia="sk-SK"/>
              </w:rPr>
              <w:t>2</w:t>
            </w:r>
          </w:p>
        </w:tc>
      </w:tr>
    </w:tbl>
    <w:p w:rsidR="00AE473C" w:rsidP="00FD671F">
      <w:pPr>
        <w:pStyle w:val="BodyText2"/>
        <w:numPr>
          <w:ilvl w:val="0"/>
        </w:numPr>
        <w:spacing w:line="240" w:lineRule="auto"/>
        <w:ind w:firstLine="0"/>
        <w:jc w:val="left"/>
        <w:rPr>
          <w:rFonts w:ascii="Times New Roman" w:hAnsi="Times New Roman" w:cs="Times New Roman"/>
          <w:b/>
          <w:bCs/>
          <w:iCs/>
          <w:sz w:val="24"/>
          <w:szCs w:val="24"/>
        </w:rPr>
      </w:pPr>
    </w:p>
    <w:p w:rsidR="00AE473C" w:rsidP="00EF0282">
      <w:pPr>
        <w:spacing w:line="240" w:lineRule="auto"/>
        <w:ind w:firstLine="709"/>
        <w:rPr>
          <w:rFonts w:ascii="Times New Roman" w:hAnsi="Times New Roman" w:cs="Times New Roman"/>
          <w:sz w:val="24"/>
          <w:szCs w:val="24"/>
        </w:rPr>
      </w:pPr>
      <w:r w:rsidRPr="004571DF" w:rsidR="004571DF">
        <w:rPr>
          <w:rFonts w:ascii="Times New Roman" w:hAnsi="Times New Roman" w:cs="Times New Roman"/>
          <w:sz w:val="24"/>
          <w:szCs w:val="24"/>
        </w:rPr>
        <w:t xml:space="preserve">Záväzky z obchodného styku k 31.12.2007 boli vo výške  1 011 315  tis. Sk, z toho po lehote </w:t>
      </w:r>
      <w:smartTag w:uri="urn:schemas-microsoft-com:office:smarttags" w:element="PersonName">
        <w:r w:rsidRPr="004571DF" w:rsidR="004571DF">
          <w:rPr>
            <w:rFonts w:ascii="Times New Roman" w:hAnsi="Times New Roman" w:cs="Times New Roman"/>
            <w:sz w:val="24"/>
            <w:szCs w:val="24"/>
          </w:rPr>
          <w:t>sp</w:t>
        </w:r>
      </w:smartTag>
      <w:r w:rsidR="004571DF">
        <w:rPr>
          <w:rFonts w:ascii="Times New Roman" w:hAnsi="Times New Roman" w:cs="Times New Roman"/>
          <w:sz w:val="24"/>
          <w:szCs w:val="24"/>
        </w:rPr>
        <w:t xml:space="preserve">latnosti  9 870 tis. Sk, </w:t>
      </w:r>
      <w:r w:rsidRPr="004571DF" w:rsidR="004571DF">
        <w:rPr>
          <w:rFonts w:ascii="Times New Roman" w:hAnsi="Times New Roman" w:cs="Times New Roman"/>
          <w:sz w:val="24"/>
          <w:szCs w:val="24"/>
        </w:rPr>
        <w:t>t.j. 0,98</w:t>
      </w:r>
      <w:r w:rsidR="004571DF">
        <w:rPr>
          <w:rFonts w:ascii="Times New Roman" w:hAnsi="Times New Roman" w:cs="Times New Roman"/>
          <w:sz w:val="24"/>
          <w:szCs w:val="24"/>
        </w:rPr>
        <w:t xml:space="preserve"> % </w:t>
      </w:r>
      <w:r w:rsidRPr="004571DF" w:rsidR="004571DF">
        <w:rPr>
          <w:rFonts w:ascii="Times New Roman" w:hAnsi="Times New Roman" w:cs="Times New Roman"/>
          <w:sz w:val="24"/>
          <w:szCs w:val="24"/>
        </w:rPr>
        <w:t xml:space="preserve">z celkového objemu záväzkov z obchodného styku. </w:t>
      </w:r>
    </w:p>
    <w:p w:rsidR="004571DF" w:rsidP="00095D9A">
      <w:pPr>
        <w:spacing w:line="240" w:lineRule="auto"/>
        <w:ind w:firstLine="709"/>
        <w:rPr>
          <w:rFonts w:ascii="Times New Roman" w:hAnsi="Times New Roman" w:cs="Times New Roman"/>
          <w:sz w:val="24"/>
          <w:szCs w:val="24"/>
        </w:rPr>
      </w:pPr>
      <w:r w:rsidRPr="004571DF">
        <w:rPr>
          <w:rFonts w:ascii="Times New Roman" w:hAnsi="Times New Roman" w:cs="Times New Roman"/>
          <w:sz w:val="24"/>
          <w:szCs w:val="24"/>
        </w:rPr>
        <w:t xml:space="preserve">Prevažná väčšina záväzkov po lehote </w:t>
      </w:r>
      <w:smartTag w:uri="urn:schemas-microsoft-com:office:smarttags" w:element="PersonName">
        <w:r w:rsidRPr="004571DF">
          <w:rPr>
            <w:rFonts w:ascii="Times New Roman" w:hAnsi="Times New Roman" w:cs="Times New Roman"/>
            <w:sz w:val="24"/>
            <w:szCs w:val="24"/>
          </w:rPr>
          <w:t>sp</w:t>
        </w:r>
      </w:smartTag>
      <w:r w:rsidRPr="004571DF">
        <w:rPr>
          <w:rFonts w:ascii="Times New Roman" w:hAnsi="Times New Roman" w:cs="Times New Roman"/>
          <w:sz w:val="24"/>
          <w:szCs w:val="24"/>
        </w:rPr>
        <w:t>latnosti sú z dôvodu reklamácie dodaného tovaru a služieb.</w:t>
      </w:r>
    </w:p>
    <w:p w:rsidR="00CC386E" w:rsidP="00AE473C">
      <w:pPr>
        <w:pStyle w:val="BodyText2"/>
        <w:numPr>
          <w:ilvl w:val="0"/>
        </w:numPr>
        <w:spacing w:line="240" w:lineRule="auto"/>
        <w:ind w:firstLine="0"/>
        <w:rPr>
          <w:rFonts w:ascii="Times New Roman" w:hAnsi="Times New Roman" w:cs="Times New Roman"/>
          <w:b/>
          <w:bCs/>
          <w:iCs/>
          <w:sz w:val="24"/>
          <w:szCs w:val="24"/>
        </w:rPr>
      </w:pPr>
    </w:p>
    <w:p w:rsidR="00AE473C" w:rsidP="00AE473C">
      <w:pPr>
        <w:pStyle w:val="BodyText2"/>
        <w:numPr>
          <w:ilvl w:val="0"/>
        </w:numPr>
        <w:spacing w:line="240" w:lineRule="auto"/>
        <w:ind w:firstLine="0"/>
        <w:rPr>
          <w:rFonts w:ascii="Times New Roman" w:hAnsi="Times New Roman" w:cs="Times New Roman"/>
          <w:b/>
          <w:bCs/>
          <w:iCs/>
          <w:szCs w:val="26"/>
          <w:u w:val="single"/>
        </w:rPr>
      </w:pPr>
      <w:r>
        <w:rPr>
          <w:rFonts w:ascii="Times New Roman" w:hAnsi="Times New Roman" w:cs="Times New Roman"/>
          <w:b/>
          <w:bCs/>
          <w:iCs/>
          <w:sz w:val="24"/>
          <w:szCs w:val="24"/>
        </w:rPr>
        <w:t>Krátkodobé pohľadáv</w:t>
      </w:r>
      <w:r w:rsidRPr="00BC4A1A">
        <w:rPr>
          <w:rFonts w:ascii="Times New Roman" w:hAnsi="Times New Roman" w:cs="Times New Roman"/>
          <w:b/>
          <w:bCs/>
          <w:iCs/>
          <w:sz w:val="24"/>
          <w:szCs w:val="24"/>
        </w:rPr>
        <w:t>k</w:t>
      </w:r>
      <w:r>
        <w:rPr>
          <w:rFonts w:ascii="Times New Roman" w:hAnsi="Times New Roman" w:cs="Times New Roman"/>
          <w:b/>
          <w:bCs/>
          <w:iCs/>
          <w:sz w:val="24"/>
          <w:szCs w:val="24"/>
        </w:rPr>
        <w:t>y</w:t>
      </w:r>
      <w:r w:rsidRPr="00BC4A1A">
        <w:rPr>
          <w:rFonts w:ascii="Times New Roman" w:hAnsi="Times New Roman" w:cs="Times New Roman"/>
          <w:b/>
          <w:bCs/>
          <w:iCs/>
          <w:sz w:val="24"/>
          <w:szCs w:val="24"/>
        </w:rPr>
        <w:t xml:space="preserve"> z obchodného styku</w:t>
      </w:r>
    </w:p>
    <w:tbl>
      <w:tblPr>
        <w:tblW w:w="8875" w:type="dxa"/>
        <w:tblInd w:w="55" w:type="dxa"/>
        <w:tblCellMar>
          <w:left w:w="70" w:type="dxa"/>
          <w:right w:w="70" w:type="dxa"/>
        </w:tblCellMar>
      </w:tblPr>
      <w:tblGrid>
        <w:gridCol w:w="440"/>
        <w:gridCol w:w="2635"/>
        <w:gridCol w:w="1220"/>
        <w:gridCol w:w="1120"/>
        <w:gridCol w:w="1120"/>
        <w:gridCol w:w="1120"/>
        <w:gridCol w:w="1220"/>
      </w:tblGrid>
      <w:tr>
        <w:tblPrEx>
          <w:tblW w:w="8875" w:type="dxa"/>
          <w:tblInd w:w="55" w:type="dxa"/>
          <w:tblCellMar>
            <w:left w:w="70" w:type="dxa"/>
            <w:right w:w="70" w:type="dxa"/>
          </w:tblCellMar>
        </w:tblPrEx>
        <w:trPr>
          <w:trHeight w:val="255"/>
        </w:trPr>
        <w:tc>
          <w:tcPr>
            <w:tcW w:w="440" w:type="dxa"/>
            <w:tcBorders>
              <w:top w:val="nil"/>
              <w:left w:val="nil"/>
              <w:bottom w:val="nil"/>
              <w:right w:val="nil"/>
              <w:tl2br w:val="nil"/>
              <w:tr2bl w:val="nil"/>
            </w:tcBorders>
            <w:noWrap/>
            <w:textDirection w:val="lrTb"/>
            <w:vAlign w:val="bottom"/>
          </w:tcPr>
          <w:p w:rsidR="00AE473C" w:rsidRPr="00693711" w:rsidP="00327CDA">
            <w:pPr>
              <w:spacing w:line="240" w:lineRule="auto"/>
              <w:rPr>
                <w:rFonts w:ascii="Times New Roman" w:hAnsi="Times New Roman" w:cs="Times New Roman"/>
                <w:b/>
                <w:bCs/>
                <w:sz w:val="24"/>
                <w:szCs w:val="24"/>
                <w:lang w:eastAsia="sk-SK"/>
              </w:rPr>
            </w:pPr>
          </w:p>
        </w:tc>
        <w:tc>
          <w:tcPr>
            <w:tcW w:w="2635" w:type="dxa"/>
            <w:tcBorders>
              <w:top w:val="nil"/>
              <w:left w:val="nil"/>
              <w:bottom w:val="nil"/>
              <w:right w:val="nil"/>
              <w:tl2br w:val="nil"/>
              <w:tr2bl w:val="nil"/>
            </w:tcBorders>
            <w:noWrap/>
            <w:textDirection w:val="lrTb"/>
            <w:vAlign w:val="bottom"/>
          </w:tcPr>
          <w:p w:rsidR="00AE473C" w:rsidRPr="00693711" w:rsidP="00327CDA">
            <w:pPr>
              <w:spacing w:line="240" w:lineRule="auto"/>
              <w:rPr>
                <w:rFonts w:ascii="Times New Roman" w:hAnsi="Times New Roman" w:cs="Times New Roman"/>
                <w:b/>
                <w:bCs/>
                <w:sz w:val="24"/>
                <w:szCs w:val="24"/>
                <w:lang w:eastAsia="sk-SK"/>
              </w:rPr>
            </w:pPr>
          </w:p>
        </w:tc>
        <w:tc>
          <w:tcPr>
            <w:tcW w:w="1220" w:type="dxa"/>
            <w:tcBorders>
              <w:top w:val="nil"/>
              <w:left w:val="nil"/>
              <w:bottom w:val="nil"/>
              <w:right w:val="nil"/>
              <w:tl2br w:val="nil"/>
              <w:tr2bl w:val="nil"/>
            </w:tcBorders>
            <w:noWrap/>
            <w:textDirection w:val="lrTb"/>
            <w:vAlign w:val="bottom"/>
          </w:tcPr>
          <w:p w:rsidR="00AE473C" w:rsidRPr="00693711" w:rsidP="00327CDA">
            <w:pPr>
              <w:spacing w:line="240" w:lineRule="auto"/>
              <w:rPr>
                <w:rFonts w:ascii="Times New Roman" w:hAnsi="Times New Roman" w:cs="Times New Roman"/>
                <w:b/>
                <w:bCs/>
                <w:sz w:val="24"/>
                <w:szCs w:val="24"/>
                <w:lang w:eastAsia="sk-SK"/>
              </w:rPr>
            </w:pPr>
          </w:p>
        </w:tc>
        <w:tc>
          <w:tcPr>
            <w:tcW w:w="1120" w:type="dxa"/>
            <w:tcBorders>
              <w:top w:val="nil"/>
              <w:left w:val="nil"/>
              <w:bottom w:val="nil"/>
              <w:right w:val="nil"/>
              <w:tl2br w:val="nil"/>
              <w:tr2bl w:val="nil"/>
            </w:tcBorders>
            <w:noWrap/>
            <w:textDirection w:val="lrTb"/>
            <w:vAlign w:val="bottom"/>
          </w:tcPr>
          <w:p w:rsidR="00AE473C" w:rsidRPr="00693711" w:rsidP="00327CDA">
            <w:pPr>
              <w:spacing w:line="240" w:lineRule="auto"/>
              <w:rPr>
                <w:rFonts w:ascii="Times New Roman" w:hAnsi="Times New Roman" w:cs="Times New Roman"/>
                <w:b/>
                <w:bCs/>
                <w:sz w:val="24"/>
                <w:szCs w:val="24"/>
                <w:lang w:eastAsia="sk-SK"/>
              </w:rPr>
            </w:pPr>
          </w:p>
        </w:tc>
        <w:tc>
          <w:tcPr>
            <w:tcW w:w="1120" w:type="dxa"/>
            <w:tcBorders>
              <w:top w:val="nil"/>
              <w:left w:val="nil"/>
              <w:bottom w:val="nil"/>
              <w:right w:val="nil"/>
              <w:tl2br w:val="nil"/>
              <w:tr2bl w:val="nil"/>
            </w:tcBorders>
            <w:noWrap/>
            <w:textDirection w:val="lrTb"/>
            <w:vAlign w:val="bottom"/>
          </w:tcPr>
          <w:p w:rsidR="00AE473C" w:rsidRPr="00693711" w:rsidP="00327CDA">
            <w:pPr>
              <w:spacing w:line="240" w:lineRule="auto"/>
              <w:rPr>
                <w:rFonts w:ascii="Times New Roman" w:hAnsi="Times New Roman" w:cs="Times New Roman"/>
                <w:b/>
                <w:bCs/>
                <w:sz w:val="24"/>
                <w:szCs w:val="24"/>
                <w:lang w:eastAsia="sk-SK"/>
              </w:rPr>
            </w:pPr>
          </w:p>
        </w:tc>
        <w:tc>
          <w:tcPr>
            <w:tcW w:w="1120" w:type="dxa"/>
            <w:tcBorders>
              <w:top w:val="nil"/>
              <w:left w:val="nil"/>
              <w:bottom w:val="nil"/>
              <w:right w:val="nil"/>
              <w:tl2br w:val="nil"/>
              <w:tr2bl w:val="nil"/>
            </w:tcBorders>
            <w:noWrap/>
            <w:textDirection w:val="lrTb"/>
            <w:vAlign w:val="bottom"/>
          </w:tcPr>
          <w:p w:rsidR="00AE473C" w:rsidRPr="00693711" w:rsidP="00327CDA">
            <w:pPr>
              <w:spacing w:line="240" w:lineRule="auto"/>
              <w:rPr>
                <w:rFonts w:ascii="Times New Roman" w:hAnsi="Times New Roman" w:cs="Times New Roman"/>
                <w:b/>
                <w:bCs/>
                <w:sz w:val="24"/>
                <w:szCs w:val="24"/>
                <w:lang w:eastAsia="sk-SK"/>
              </w:rPr>
            </w:pPr>
          </w:p>
        </w:tc>
        <w:tc>
          <w:tcPr>
            <w:tcW w:w="1220" w:type="dxa"/>
            <w:tcBorders>
              <w:top w:val="nil"/>
              <w:left w:val="nil"/>
              <w:bottom w:val="nil"/>
              <w:right w:val="nil"/>
              <w:tl2br w:val="nil"/>
              <w:tr2bl w:val="nil"/>
            </w:tcBorders>
            <w:noWrap/>
            <w:textDirection w:val="lrTb"/>
            <w:vAlign w:val="bottom"/>
          </w:tcPr>
          <w:p w:rsidR="00AE473C" w:rsidRPr="00693711" w:rsidP="00327CDA">
            <w:pPr>
              <w:spacing w:line="240" w:lineRule="auto"/>
              <w:jc w:val="right"/>
              <w:rPr>
                <w:rFonts w:ascii="Times New Roman" w:hAnsi="Times New Roman" w:cs="Times New Roman"/>
                <w:sz w:val="24"/>
                <w:szCs w:val="24"/>
                <w:lang w:eastAsia="sk-SK"/>
              </w:rPr>
            </w:pPr>
            <w:r w:rsidRPr="00693711">
              <w:rPr>
                <w:rFonts w:ascii="Times New Roman" w:hAnsi="Times New Roman" w:cs="Times New Roman"/>
                <w:sz w:val="24"/>
                <w:szCs w:val="24"/>
                <w:lang w:eastAsia="sk-SK"/>
              </w:rPr>
              <w:t>(v tis. Sk)</w:t>
            </w:r>
          </w:p>
        </w:tc>
      </w:tr>
      <w:tr>
        <w:tblPrEx>
          <w:tblW w:w="8875" w:type="dxa"/>
          <w:tblInd w:w="55" w:type="dxa"/>
          <w:tblCellMar>
            <w:left w:w="70" w:type="dxa"/>
            <w:right w:w="70" w:type="dxa"/>
          </w:tblCellMar>
        </w:tblPrEx>
        <w:trPr>
          <w:trHeight w:val="255"/>
        </w:trPr>
        <w:tc>
          <w:tcPr>
            <w:tcW w:w="440" w:type="dxa"/>
            <w:tcBorders>
              <w:top w:val="single" w:sz="8" w:space="0" w:color="auto"/>
              <w:left w:val="single" w:sz="8" w:space="0" w:color="auto"/>
              <w:bottom w:val="single" w:sz="8" w:space="0" w:color="auto"/>
              <w:right w:val="single" w:sz="8" w:space="0" w:color="auto"/>
              <w:tl2br w:val="nil"/>
              <w:tr2bl w:val="nil"/>
            </w:tcBorders>
            <w:shd w:val="clear" w:color="auto" w:fill="C0C0C0"/>
            <w:noWrap/>
            <w:textDirection w:val="lrTb"/>
            <w:vAlign w:val="bottom"/>
          </w:tcPr>
          <w:p w:rsidR="00AE473C" w:rsidP="00327CDA">
            <w:pPr>
              <w:spacing w:line="240" w:lineRule="auto"/>
              <w:rPr>
                <w:rFonts w:ascii="Times New Roman" w:hAnsi="Times New Roman" w:cs="Times New Roman"/>
                <w:lang w:eastAsia="sk-SK"/>
              </w:rPr>
            </w:pPr>
            <w:r>
              <w:rPr>
                <w:rFonts w:ascii="Times New Roman" w:hAnsi="Times New Roman" w:cs="Times New Roman"/>
                <w:lang w:eastAsia="sk-SK"/>
              </w:rPr>
              <w:t> </w:t>
            </w:r>
          </w:p>
        </w:tc>
        <w:tc>
          <w:tcPr>
            <w:tcW w:w="2635" w:type="dxa"/>
            <w:tcBorders>
              <w:top w:val="single" w:sz="8" w:space="0" w:color="auto"/>
              <w:left w:val="nil"/>
              <w:bottom w:val="single" w:sz="8" w:space="0" w:color="auto"/>
              <w:right w:val="single" w:sz="8" w:space="0" w:color="auto"/>
              <w:tl2br w:val="nil"/>
              <w:tr2bl w:val="nil"/>
            </w:tcBorders>
            <w:shd w:val="clear" w:color="auto" w:fill="C0C0C0"/>
            <w:noWrap/>
            <w:textDirection w:val="lrTb"/>
            <w:vAlign w:val="bottom"/>
          </w:tcPr>
          <w:p w:rsidR="00AE473C" w:rsidRPr="00693711" w:rsidP="00327CDA">
            <w:pPr>
              <w:spacing w:line="240" w:lineRule="auto"/>
              <w:jc w:val="center"/>
              <w:rPr>
                <w:rFonts w:ascii="Times New Roman" w:hAnsi="Times New Roman" w:cs="Times New Roman"/>
                <w:i/>
                <w:iCs/>
                <w:lang w:eastAsia="sk-SK"/>
              </w:rPr>
            </w:pPr>
            <w:r w:rsidRPr="00693711">
              <w:rPr>
                <w:rFonts w:ascii="Times New Roman" w:hAnsi="Times New Roman" w:cs="Times New Roman"/>
                <w:i/>
                <w:iCs/>
                <w:lang w:eastAsia="sk-SK"/>
              </w:rPr>
              <w:t> </w:t>
            </w:r>
          </w:p>
        </w:tc>
        <w:tc>
          <w:tcPr>
            <w:tcW w:w="1220" w:type="dxa"/>
            <w:tcBorders>
              <w:top w:val="single" w:sz="8" w:space="0" w:color="auto"/>
              <w:left w:val="nil"/>
              <w:bottom w:val="single" w:sz="8" w:space="0" w:color="auto"/>
              <w:right w:val="nil"/>
              <w:tl2br w:val="nil"/>
              <w:tr2bl w:val="nil"/>
            </w:tcBorders>
            <w:shd w:val="clear" w:color="auto" w:fill="C0C0C0"/>
            <w:noWrap/>
            <w:textDirection w:val="lrTb"/>
            <w:vAlign w:val="bottom"/>
          </w:tcPr>
          <w:p w:rsidR="00AE473C" w:rsidRPr="00693711" w:rsidP="00327CDA">
            <w:pPr>
              <w:spacing w:line="240" w:lineRule="auto"/>
              <w:jc w:val="center"/>
              <w:rPr>
                <w:rFonts w:ascii="Times New Roman" w:hAnsi="Times New Roman" w:cs="Times New Roman"/>
                <w:b/>
                <w:bCs/>
                <w:lang w:eastAsia="sk-SK"/>
              </w:rPr>
            </w:pPr>
            <w:r>
              <w:rPr>
                <w:rFonts w:ascii="Times New Roman" w:hAnsi="Times New Roman" w:cs="Times New Roman"/>
                <w:b/>
                <w:bCs/>
                <w:lang w:eastAsia="sk-SK"/>
              </w:rPr>
              <w:t>K 31.12.2006</w:t>
            </w:r>
          </w:p>
        </w:tc>
        <w:tc>
          <w:tcPr>
            <w:tcW w:w="1120" w:type="dxa"/>
            <w:tcBorders>
              <w:top w:val="single" w:sz="8" w:space="0" w:color="auto"/>
              <w:left w:val="single" w:sz="8" w:space="0" w:color="auto"/>
              <w:bottom w:val="single" w:sz="8" w:space="0" w:color="auto"/>
              <w:right w:val="nil"/>
              <w:tl2br w:val="nil"/>
              <w:tr2bl w:val="nil"/>
            </w:tcBorders>
            <w:shd w:val="clear" w:color="auto" w:fill="C0C0C0"/>
            <w:noWrap/>
            <w:textDirection w:val="lrTb"/>
            <w:vAlign w:val="bottom"/>
          </w:tcPr>
          <w:p w:rsidR="00AE473C" w:rsidRPr="00693711" w:rsidP="00327CDA">
            <w:pPr>
              <w:spacing w:line="240" w:lineRule="auto"/>
              <w:jc w:val="center"/>
              <w:rPr>
                <w:rFonts w:ascii="Times New Roman" w:hAnsi="Times New Roman" w:cs="Times New Roman"/>
                <w:b/>
                <w:bCs/>
                <w:lang w:eastAsia="sk-SK"/>
              </w:rPr>
            </w:pPr>
            <w:r>
              <w:rPr>
                <w:rFonts w:ascii="Times New Roman" w:hAnsi="Times New Roman" w:cs="Times New Roman"/>
                <w:b/>
                <w:bCs/>
                <w:lang w:eastAsia="sk-SK"/>
              </w:rPr>
              <w:t>K 31.3.2007</w:t>
            </w:r>
          </w:p>
        </w:tc>
        <w:tc>
          <w:tcPr>
            <w:tcW w:w="1120" w:type="dxa"/>
            <w:tcBorders>
              <w:top w:val="single" w:sz="8" w:space="0" w:color="auto"/>
              <w:left w:val="single" w:sz="8" w:space="0" w:color="auto"/>
              <w:bottom w:val="single" w:sz="8" w:space="0" w:color="auto"/>
              <w:right w:val="nil"/>
              <w:tl2br w:val="nil"/>
              <w:tr2bl w:val="nil"/>
            </w:tcBorders>
            <w:shd w:val="clear" w:color="auto" w:fill="C0C0C0"/>
            <w:noWrap/>
            <w:textDirection w:val="lrTb"/>
            <w:vAlign w:val="bottom"/>
          </w:tcPr>
          <w:p w:rsidR="00AE473C" w:rsidRPr="00693711" w:rsidP="00327CDA">
            <w:pPr>
              <w:spacing w:line="240" w:lineRule="auto"/>
              <w:jc w:val="center"/>
              <w:rPr>
                <w:rFonts w:ascii="Times New Roman" w:hAnsi="Times New Roman" w:cs="Times New Roman"/>
                <w:b/>
                <w:bCs/>
                <w:lang w:eastAsia="sk-SK"/>
              </w:rPr>
            </w:pPr>
            <w:r>
              <w:rPr>
                <w:rFonts w:ascii="Times New Roman" w:hAnsi="Times New Roman" w:cs="Times New Roman"/>
                <w:b/>
                <w:bCs/>
                <w:lang w:eastAsia="sk-SK"/>
              </w:rPr>
              <w:t>K 30.6.2007</w:t>
            </w:r>
          </w:p>
        </w:tc>
        <w:tc>
          <w:tcPr>
            <w:tcW w:w="1120" w:type="dxa"/>
            <w:tcBorders>
              <w:top w:val="single" w:sz="8" w:space="0" w:color="auto"/>
              <w:left w:val="single" w:sz="8" w:space="0" w:color="auto"/>
              <w:bottom w:val="single" w:sz="8" w:space="0" w:color="auto"/>
              <w:right w:val="nil"/>
              <w:tl2br w:val="nil"/>
              <w:tr2bl w:val="nil"/>
            </w:tcBorders>
            <w:shd w:val="clear" w:color="auto" w:fill="C0C0C0"/>
            <w:noWrap/>
            <w:textDirection w:val="lrTb"/>
            <w:vAlign w:val="bottom"/>
          </w:tcPr>
          <w:p w:rsidR="00AE473C" w:rsidRPr="00693711" w:rsidP="00327CDA">
            <w:pPr>
              <w:spacing w:line="240" w:lineRule="auto"/>
              <w:jc w:val="center"/>
              <w:rPr>
                <w:rFonts w:ascii="Times New Roman" w:hAnsi="Times New Roman" w:cs="Times New Roman"/>
                <w:b/>
                <w:bCs/>
                <w:lang w:eastAsia="sk-SK"/>
              </w:rPr>
            </w:pPr>
            <w:r>
              <w:rPr>
                <w:rFonts w:ascii="Times New Roman" w:hAnsi="Times New Roman" w:cs="Times New Roman"/>
                <w:b/>
                <w:bCs/>
                <w:lang w:eastAsia="sk-SK"/>
              </w:rPr>
              <w:t>K 30.9.2007</w:t>
            </w:r>
          </w:p>
        </w:tc>
        <w:tc>
          <w:tcPr>
            <w:tcW w:w="1220" w:type="dxa"/>
            <w:tcBorders>
              <w:top w:val="single" w:sz="8" w:space="0" w:color="auto"/>
              <w:left w:val="single" w:sz="8" w:space="0" w:color="auto"/>
              <w:bottom w:val="single" w:sz="8" w:space="0" w:color="auto"/>
              <w:right w:val="single" w:sz="8" w:space="0" w:color="auto"/>
              <w:tl2br w:val="nil"/>
              <w:tr2bl w:val="nil"/>
            </w:tcBorders>
            <w:shd w:val="clear" w:color="auto" w:fill="C0C0C0"/>
            <w:noWrap/>
            <w:textDirection w:val="lrTb"/>
            <w:vAlign w:val="bottom"/>
          </w:tcPr>
          <w:p w:rsidR="00AE473C" w:rsidRPr="00693711" w:rsidP="00327CDA">
            <w:pPr>
              <w:spacing w:line="240" w:lineRule="auto"/>
              <w:jc w:val="center"/>
              <w:rPr>
                <w:rFonts w:ascii="Times New Roman" w:hAnsi="Times New Roman" w:cs="Times New Roman"/>
                <w:b/>
                <w:bCs/>
                <w:lang w:eastAsia="sk-SK"/>
              </w:rPr>
            </w:pPr>
            <w:r>
              <w:rPr>
                <w:rFonts w:ascii="Times New Roman" w:hAnsi="Times New Roman" w:cs="Times New Roman"/>
                <w:b/>
                <w:bCs/>
                <w:lang w:eastAsia="sk-SK"/>
              </w:rPr>
              <w:t>K 31.12.2007</w:t>
            </w:r>
          </w:p>
        </w:tc>
      </w:tr>
      <w:tr>
        <w:tblPrEx>
          <w:tblW w:w="8875" w:type="dxa"/>
          <w:tblInd w:w="55" w:type="dxa"/>
          <w:tblCellMar>
            <w:left w:w="70" w:type="dxa"/>
            <w:right w:w="70" w:type="dxa"/>
          </w:tblCellMar>
        </w:tblPrEx>
        <w:trPr>
          <w:trHeight w:hRule="exact" w:val="227"/>
        </w:trPr>
        <w:tc>
          <w:tcPr>
            <w:tcW w:w="440" w:type="dxa"/>
            <w:tcBorders>
              <w:top w:val="nil"/>
              <w:left w:val="single" w:sz="8" w:space="0" w:color="auto"/>
              <w:bottom w:val="single" w:sz="8" w:space="0" w:color="auto"/>
              <w:right w:val="single" w:sz="8" w:space="0" w:color="auto"/>
              <w:tl2br w:val="nil"/>
              <w:tr2bl w:val="nil"/>
            </w:tcBorders>
            <w:textDirection w:val="lrTb"/>
            <w:vAlign w:val="bottom"/>
          </w:tcPr>
          <w:p w:rsidR="00AE473C" w:rsidP="00327CDA">
            <w:pPr>
              <w:spacing w:line="240" w:lineRule="auto"/>
              <w:jc w:val="center"/>
              <w:rPr>
                <w:rFonts w:ascii="Times New Roman" w:hAnsi="Times New Roman" w:cs="Times New Roman"/>
                <w:lang w:eastAsia="sk-SK"/>
              </w:rPr>
            </w:pPr>
            <w:r>
              <w:rPr>
                <w:rFonts w:ascii="Times New Roman" w:hAnsi="Times New Roman" w:cs="Times New Roman"/>
                <w:lang w:eastAsia="sk-SK"/>
              </w:rPr>
              <w:t>311</w:t>
            </w:r>
          </w:p>
        </w:tc>
        <w:tc>
          <w:tcPr>
            <w:tcW w:w="2635" w:type="dxa"/>
            <w:tcBorders>
              <w:top w:val="nil"/>
              <w:left w:val="nil"/>
              <w:bottom w:val="single" w:sz="8" w:space="0" w:color="auto"/>
              <w:right w:val="single" w:sz="8" w:space="0" w:color="auto"/>
              <w:tl2br w:val="nil"/>
              <w:tr2bl w:val="nil"/>
            </w:tcBorders>
            <w:textDirection w:val="lrTb"/>
            <w:vAlign w:val="bottom"/>
          </w:tcPr>
          <w:p w:rsidR="00AE473C" w:rsidP="00327CDA">
            <w:pPr>
              <w:spacing w:line="240" w:lineRule="auto"/>
              <w:rPr>
                <w:rFonts w:ascii="Times New Roman" w:hAnsi="Times New Roman" w:cs="Times New Roman"/>
                <w:lang w:eastAsia="sk-SK"/>
              </w:rPr>
            </w:pPr>
            <w:r>
              <w:rPr>
                <w:rFonts w:ascii="Times New Roman" w:hAnsi="Times New Roman" w:cs="Times New Roman"/>
                <w:lang w:eastAsia="sk-SK"/>
              </w:rPr>
              <w:t xml:space="preserve"> Odberatelia</w:t>
            </w:r>
          </w:p>
        </w:tc>
        <w:tc>
          <w:tcPr>
            <w:tcW w:w="1220" w:type="dxa"/>
            <w:tcBorders>
              <w:top w:val="nil"/>
              <w:left w:val="nil"/>
              <w:bottom w:val="nil"/>
              <w:right w:val="nil"/>
              <w:tl2br w:val="nil"/>
              <w:tr2bl w:val="nil"/>
            </w:tcBorders>
            <w:textDirection w:val="lrTb"/>
            <w:vAlign w:val="bottom"/>
          </w:tcPr>
          <w:p w:rsidR="00AE473C" w:rsidP="00327CDA">
            <w:pPr>
              <w:spacing w:line="240" w:lineRule="auto"/>
              <w:jc w:val="right"/>
              <w:rPr>
                <w:rFonts w:ascii="Times New Roman" w:hAnsi="Times New Roman" w:cs="Times New Roman"/>
                <w:lang w:eastAsia="sk-SK"/>
              </w:rPr>
            </w:pPr>
            <w:r>
              <w:rPr>
                <w:rFonts w:ascii="Times New Roman" w:hAnsi="Times New Roman" w:cs="Times New Roman"/>
                <w:lang w:eastAsia="sk-SK"/>
              </w:rPr>
              <w:t>49 180</w:t>
            </w:r>
          </w:p>
        </w:tc>
        <w:tc>
          <w:tcPr>
            <w:tcW w:w="1120" w:type="dxa"/>
            <w:tcBorders>
              <w:top w:val="nil"/>
              <w:left w:val="single" w:sz="8" w:space="0" w:color="auto"/>
              <w:bottom w:val="single" w:sz="8" w:space="0" w:color="auto"/>
              <w:right w:val="nil"/>
              <w:tl2br w:val="nil"/>
              <w:tr2bl w:val="nil"/>
            </w:tcBorders>
            <w:textDirection w:val="lrTb"/>
            <w:vAlign w:val="bottom"/>
          </w:tcPr>
          <w:p w:rsidR="00AE473C" w:rsidP="00327CDA">
            <w:pPr>
              <w:spacing w:line="240" w:lineRule="auto"/>
              <w:jc w:val="right"/>
              <w:rPr>
                <w:rFonts w:ascii="Times New Roman" w:hAnsi="Times New Roman" w:cs="Times New Roman"/>
                <w:lang w:eastAsia="sk-SK"/>
              </w:rPr>
            </w:pPr>
            <w:r>
              <w:rPr>
                <w:rFonts w:ascii="Times New Roman" w:hAnsi="Times New Roman" w:cs="Times New Roman"/>
                <w:lang w:eastAsia="sk-SK"/>
              </w:rPr>
              <w:t>53 902</w:t>
            </w:r>
          </w:p>
        </w:tc>
        <w:tc>
          <w:tcPr>
            <w:tcW w:w="1120" w:type="dxa"/>
            <w:tcBorders>
              <w:top w:val="nil"/>
              <w:left w:val="single" w:sz="8" w:space="0" w:color="auto"/>
              <w:bottom w:val="nil"/>
              <w:right w:val="nil"/>
              <w:tl2br w:val="nil"/>
              <w:tr2bl w:val="nil"/>
            </w:tcBorders>
            <w:textDirection w:val="lrTb"/>
            <w:vAlign w:val="bottom"/>
          </w:tcPr>
          <w:p w:rsidR="00AE473C" w:rsidP="00327CDA">
            <w:pPr>
              <w:spacing w:line="240" w:lineRule="auto"/>
              <w:jc w:val="right"/>
              <w:rPr>
                <w:rFonts w:ascii="Times New Roman" w:hAnsi="Times New Roman" w:cs="Times New Roman"/>
                <w:lang w:eastAsia="sk-SK"/>
              </w:rPr>
            </w:pPr>
            <w:r>
              <w:rPr>
                <w:rFonts w:ascii="Times New Roman" w:hAnsi="Times New Roman" w:cs="Times New Roman"/>
                <w:lang w:eastAsia="sk-SK"/>
              </w:rPr>
              <w:t>42 985</w:t>
            </w:r>
          </w:p>
        </w:tc>
        <w:tc>
          <w:tcPr>
            <w:tcW w:w="1120" w:type="dxa"/>
            <w:tcBorders>
              <w:top w:val="nil"/>
              <w:left w:val="single" w:sz="8" w:space="0" w:color="auto"/>
              <w:bottom w:val="nil"/>
              <w:right w:val="nil"/>
              <w:tl2br w:val="nil"/>
              <w:tr2bl w:val="nil"/>
            </w:tcBorders>
            <w:textDirection w:val="lrTb"/>
            <w:vAlign w:val="bottom"/>
          </w:tcPr>
          <w:p w:rsidR="00AE473C" w:rsidP="00327CDA">
            <w:pPr>
              <w:spacing w:line="240" w:lineRule="auto"/>
              <w:jc w:val="right"/>
              <w:rPr>
                <w:rFonts w:ascii="Times New Roman" w:hAnsi="Times New Roman" w:cs="Times New Roman"/>
                <w:lang w:eastAsia="sk-SK"/>
              </w:rPr>
            </w:pPr>
            <w:r>
              <w:rPr>
                <w:rFonts w:ascii="Times New Roman" w:hAnsi="Times New Roman" w:cs="Times New Roman"/>
                <w:lang w:eastAsia="sk-SK"/>
              </w:rPr>
              <w:t>39 679</w:t>
            </w:r>
          </w:p>
        </w:tc>
        <w:tc>
          <w:tcPr>
            <w:tcW w:w="1220" w:type="dxa"/>
            <w:tcBorders>
              <w:top w:val="nil"/>
              <w:left w:val="single" w:sz="8" w:space="0" w:color="auto"/>
              <w:bottom w:val="nil"/>
              <w:right w:val="single" w:sz="8" w:space="0" w:color="auto"/>
              <w:tl2br w:val="nil"/>
              <w:tr2bl w:val="nil"/>
            </w:tcBorders>
            <w:textDirection w:val="lrTb"/>
            <w:vAlign w:val="bottom"/>
          </w:tcPr>
          <w:p w:rsidR="00AE473C" w:rsidP="00327CDA">
            <w:pPr>
              <w:spacing w:line="240" w:lineRule="auto"/>
              <w:jc w:val="right"/>
              <w:rPr>
                <w:rFonts w:ascii="Times New Roman" w:hAnsi="Times New Roman" w:cs="Times New Roman"/>
                <w:lang w:eastAsia="sk-SK"/>
              </w:rPr>
            </w:pPr>
            <w:r>
              <w:rPr>
                <w:rFonts w:ascii="Times New Roman" w:hAnsi="Times New Roman" w:cs="Times New Roman"/>
                <w:lang w:eastAsia="sk-SK"/>
              </w:rPr>
              <w:t>53 867</w:t>
            </w:r>
          </w:p>
        </w:tc>
      </w:tr>
      <w:tr>
        <w:tblPrEx>
          <w:tblW w:w="8875" w:type="dxa"/>
          <w:tblInd w:w="55" w:type="dxa"/>
          <w:tblCellMar>
            <w:left w:w="70" w:type="dxa"/>
            <w:right w:w="70" w:type="dxa"/>
          </w:tblCellMar>
        </w:tblPrEx>
        <w:trPr>
          <w:trHeight w:hRule="exact" w:val="227"/>
        </w:trPr>
        <w:tc>
          <w:tcPr>
            <w:tcW w:w="440" w:type="dxa"/>
            <w:tcBorders>
              <w:top w:val="nil"/>
              <w:left w:val="single" w:sz="8" w:space="0" w:color="auto"/>
              <w:bottom w:val="single" w:sz="8" w:space="0" w:color="auto"/>
              <w:right w:val="single" w:sz="8" w:space="0" w:color="auto"/>
              <w:tl2br w:val="nil"/>
              <w:tr2bl w:val="nil"/>
            </w:tcBorders>
            <w:textDirection w:val="lrTb"/>
            <w:vAlign w:val="bottom"/>
          </w:tcPr>
          <w:p w:rsidR="00AE473C" w:rsidP="00327CDA">
            <w:pPr>
              <w:spacing w:line="240" w:lineRule="auto"/>
              <w:jc w:val="center"/>
              <w:rPr>
                <w:rFonts w:ascii="Times New Roman" w:hAnsi="Times New Roman" w:cs="Times New Roman"/>
                <w:lang w:eastAsia="sk-SK"/>
              </w:rPr>
            </w:pPr>
            <w:r>
              <w:rPr>
                <w:rFonts w:ascii="Times New Roman" w:hAnsi="Times New Roman" w:cs="Times New Roman"/>
                <w:lang w:eastAsia="sk-SK"/>
              </w:rPr>
              <w:t>314</w:t>
            </w:r>
          </w:p>
        </w:tc>
        <w:tc>
          <w:tcPr>
            <w:tcW w:w="2635" w:type="dxa"/>
            <w:tcBorders>
              <w:top w:val="nil"/>
              <w:left w:val="nil"/>
              <w:bottom w:val="single" w:sz="8" w:space="0" w:color="auto"/>
              <w:right w:val="single" w:sz="8" w:space="0" w:color="auto"/>
              <w:tl2br w:val="nil"/>
              <w:tr2bl w:val="nil"/>
            </w:tcBorders>
            <w:textDirection w:val="lrTb"/>
            <w:vAlign w:val="bottom"/>
          </w:tcPr>
          <w:p w:rsidR="00AE473C" w:rsidP="00327CDA">
            <w:pPr>
              <w:spacing w:line="240" w:lineRule="auto"/>
              <w:rPr>
                <w:rFonts w:ascii="Times New Roman" w:hAnsi="Times New Roman" w:cs="Times New Roman"/>
                <w:lang w:eastAsia="sk-SK"/>
              </w:rPr>
            </w:pPr>
            <w:r>
              <w:rPr>
                <w:rFonts w:ascii="Times New Roman" w:hAnsi="Times New Roman" w:cs="Times New Roman"/>
                <w:lang w:eastAsia="sk-SK"/>
              </w:rPr>
              <w:t xml:space="preserve"> Preddavky</w:t>
            </w:r>
          </w:p>
        </w:tc>
        <w:tc>
          <w:tcPr>
            <w:tcW w:w="1220" w:type="dxa"/>
            <w:tcBorders>
              <w:top w:val="single" w:sz="8" w:space="0" w:color="auto"/>
              <w:left w:val="nil"/>
              <w:bottom w:val="single" w:sz="8" w:space="0" w:color="auto"/>
              <w:right w:val="nil"/>
              <w:tl2br w:val="nil"/>
              <w:tr2bl w:val="nil"/>
            </w:tcBorders>
            <w:textDirection w:val="lrTb"/>
            <w:vAlign w:val="bottom"/>
          </w:tcPr>
          <w:p w:rsidR="00AE473C" w:rsidP="00327CDA">
            <w:pPr>
              <w:spacing w:line="240" w:lineRule="auto"/>
              <w:jc w:val="right"/>
              <w:rPr>
                <w:rFonts w:ascii="Times New Roman" w:hAnsi="Times New Roman" w:cs="Times New Roman"/>
                <w:lang w:eastAsia="sk-SK"/>
              </w:rPr>
            </w:pPr>
            <w:r>
              <w:rPr>
                <w:rFonts w:ascii="Times New Roman" w:hAnsi="Times New Roman" w:cs="Times New Roman"/>
                <w:lang w:eastAsia="sk-SK"/>
              </w:rPr>
              <w:t>9</w:t>
            </w:r>
          </w:p>
        </w:tc>
        <w:tc>
          <w:tcPr>
            <w:tcW w:w="1120" w:type="dxa"/>
            <w:tcBorders>
              <w:top w:val="nil"/>
              <w:left w:val="single" w:sz="8" w:space="0" w:color="auto"/>
              <w:bottom w:val="single" w:sz="8" w:space="0" w:color="auto"/>
              <w:right w:val="nil"/>
              <w:tl2br w:val="nil"/>
              <w:tr2bl w:val="nil"/>
            </w:tcBorders>
            <w:textDirection w:val="lrTb"/>
            <w:vAlign w:val="bottom"/>
          </w:tcPr>
          <w:p w:rsidR="00AE473C" w:rsidP="00327CDA">
            <w:pPr>
              <w:spacing w:line="240" w:lineRule="auto"/>
              <w:jc w:val="right"/>
              <w:rPr>
                <w:rFonts w:ascii="Times New Roman" w:hAnsi="Times New Roman" w:cs="Times New Roman"/>
                <w:lang w:eastAsia="sk-SK"/>
              </w:rPr>
            </w:pPr>
            <w:r>
              <w:rPr>
                <w:rFonts w:ascii="Times New Roman" w:hAnsi="Times New Roman" w:cs="Times New Roman"/>
                <w:lang w:eastAsia="sk-SK"/>
              </w:rPr>
              <w:t>111</w:t>
            </w:r>
          </w:p>
        </w:tc>
        <w:tc>
          <w:tcPr>
            <w:tcW w:w="1120" w:type="dxa"/>
            <w:tcBorders>
              <w:top w:val="single" w:sz="8" w:space="0" w:color="auto"/>
              <w:left w:val="single" w:sz="8" w:space="0" w:color="auto"/>
              <w:bottom w:val="single" w:sz="8" w:space="0" w:color="auto"/>
              <w:right w:val="nil"/>
              <w:tl2br w:val="nil"/>
              <w:tr2bl w:val="nil"/>
            </w:tcBorders>
            <w:textDirection w:val="lrTb"/>
            <w:vAlign w:val="bottom"/>
          </w:tcPr>
          <w:p w:rsidR="00AE473C" w:rsidP="00327CDA">
            <w:pPr>
              <w:spacing w:line="240" w:lineRule="auto"/>
              <w:jc w:val="right"/>
              <w:rPr>
                <w:rFonts w:ascii="Times New Roman" w:hAnsi="Times New Roman" w:cs="Times New Roman"/>
                <w:lang w:eastAsia="sk-SK"/>
              </w:rPr>
            </w:pPr>
            <w:r>
              <w:rPr>
                <w:rFonts w:ascii="Times New Roman" w:hAnsi="Times New Roman" w:cs="Times New Roman"/>
                <w:lang w:eastAsia="sk-SK"/>
              </w:rPr>
              <w:t>17</w:t>
            </w:r>
          </w:p>
        </w:tc>
        <w:tc>
          <w:tcPr>
            <w:tcW w:w="1120" w:type="dxa"/>
            <w:tcBorders>
              <w:top w:val="single" w:sz="8" w:space="0" w:color="auto"/>
              <w:left w:val="single" w:sz="8" w:space="0" w:color="auto"/>
              <w:bottom w:val="single" w:sz="8" w:space="0" w:color="auto"/>
              <w:right w:val="nil"/>
              <w:tl2br w:val="nil"/>
              <w:tr2bl w:val="nil"/>
            </w:tcBorders>
            <w:textDirection w:val="lrTb"/>
            <w:vAlign w:val="bottom"/>
          </w:tcPr>
          <w:p w:rsidR="00AE473C" w:rsidP="00327CDA">
            <w:pPr>
              <w:spacing w:line="240" w:lineRule="auto"/>
              <w:jc w:val="right"/>
              <w:rPr>
                <w:rFonts w:ascii="Times New Roman" w:hAnsi="Times New Roman" w:cs="Times New Roman"/>
                <w:lang w:eastAsia="sk-SK"/>
              </w:rPr>
            </w:pPr>
            <w:r>
              <w:rPr>
                <w:rFonts w:ascii="Times New Roman" w:hAnsi="Times New Roman" w:cs="Times New Roman"/>
                <w:lang w:eastAsia="sk-SK"/>
              </w:rPr>
              <w:t>170</w:t>
            </w:r>
          </w:p>
        </w:tc>
        <w:tc>
          <w:tcPr>
            <w:tcW w:w="1220" w:type="dxa"/>
            <w:tcBorders>
              <w:top w:val="single" w:sz="8" w:space="0" w:color="auto"/>
              <w:left w:val="single" w:sz="8" w:space="0" w:color="auto"/>
              <w:bottom w:val="single" w:sz="8" w:space="0" w:color="auto"/>
              <w:right w:val="single" w:sz="8" w:space="0" w:color="auto"/>
              <w:tl2br w:val="nil"/>
              <w:tr2bl w:val="nil"/>
            </w:tcBorders>
            <w:textDirection w:val="lrTb"/>
            <w:vAlign w:val="bottom"/>
          </w:tcPr>
          <w:p w:rsidR="00AE473C" w:rsidP="00327CDA">
            <w:pPr>
              <w:spacing w:line="240" w:lineRule="auto"/>
              <w:jc w:val="right"/>
              <w:rPr>
                <w:rFonts w:ascii="Times New Roman" w:hAnsi="Times New Roman" w:cs="Times New Roman"/>
                <w:lang w:eastAsia="sk-SK"/>
              </w:rPr>
            </w:pPr>
            <w:r>
              <w:rPr>
                <w:rFonts w:ascii="Times New Roman" w:hAnsi="Times New Roman" w:cs="Times New Roman"/>
                <w:lang w:eastAsia="sk-SK"/>
              </w:rPr>
              <w:t>361</w:t>
            </w:r>
          </w:p>
        </w:tc>
      </w:tr>
      <w:tr>
        <w:tblPrEx>
          <w:tblW w:w="8875" w:type="dxa"/>
          <w:tblInd w:w="55" w:type="dxa"/>
          <w:tblCellMar>
            <w:left w:w="70" w:type="dxa"/>
            <w:right w:w="70" w:type="dxa"/>
          </w:tblCellMar>
        </w:tblPrEx>
        <w:trPr>
          <w:trHeight w:hRule="exact" w:val="227"/>
        </w:trPr>
        <w:tc>
          <w:tcPr>
            <w:tcW w:w="440" w:type="dxa"/>
            <w:tcBorders>
              <w:top w:val="nil"/>
              <w:left w:val="single" w:sz="8" w:space="0" w:color="auto"/>
              <w:bottom w:val="nil"/>
              <w:right w:val="single" w:sz="8" w:space="0" w:color="auto"/>
              <w:tl2br w:val="nil"/>
              <w:tr2bl w:val="nil"/>
            </w:tcBorders>
            <w:textDirection w:val="lrTb"/>
            <w:vAlign w:val="bottom"/>
          </w:tcPr>
          <w:p w:rsidR="00AE473C" w:rsidP="00327CDA">
            <w:pPr>
              <w:spacing w:line="240" w:lineRule="auto"/>
              <w:jc w:val="center"/>
              <w:rPr>
                <w:rFonts w:ascii="Times New Roman" w:hAnsi="Times New Roman" w:cs="Times New Roman"/>
                <w:lang w:eastAsia="sk-SK"/>
              </w:rPr>
            </w:pPr>
            <w:r>
              <w:rPr>
                <w:rFonts w:ascii="Times New Roman" w:hAnsi="Times New Roman" w:cs="Times New Roman"/>
                <w:lang w:eastAsia="sk-SK"/>
              </w:rPr>
              <w:t>315</w:t>
            </w:r>
          </w:p>
        </w:tc>
        <w:tc>
          <w:tcPr>
            <w:tcW w:w="2635" w:type="dxa"/>
            <w:tcBorders>
              <w:top w:val="nil"/>
              <w:left w:val="nil"/>
              <w:bottom w:val="nil"/>
              <w:right w:val="single" w:sz="8" w:space="0" w:color="auto"/>
              <w:tl2br w:val="nil"/>
              <w:tr2bl w:val="nil"/>
            </w:tcBorders>
            <w:textDirection w:val="lrTb"/>
            <w:vAlign w:val="bottom"/>
          </w:tcPr>
          <w:p w:rsidR="00AE473C" w:rsidP="00327CDA">
            <w:pPr>
              <w:spacing w:line="240" w:lineRule="auto"/>
              <w:rPr>
                <w:rFonts w:ascii="Times New Roman" w:hAnsi="Times New Roman" w:cs="Times New Roman"/>
                <w:lang w:eastAsia="sk-SK"/>
              </w:rPr>
            </w:pPr>
            <w:r>
              <w:rPr>
                <w:rFonts w:ascii="Times New Roman" w:hAnsi="Times New Roman" w:cs="Times New Roman"/>
                <w:lang w:eastAsia="sk-SK"/>
              </w:rPr>
              <w:t xml:space="preserve"> Ostatné pohľadávky</w:t>
            </w:r>
          </w:p>
        </w:tc>
        <w:tc>
          <w:tcPr>
            <w:tcW w:w="1220" w:type="dxa"/>
            <w:tcBorders>
              <w:top w:val="nil"/>
              <w:left w:val="nil"/>
              <w:bottom w:val="nil"/>
              <w:right w:val="nil"/>
              <w:tl2br w:val="nil"/>
              <w:tr2bl w:val="nil"/>
            </w:tcBorders>
            <w:textDirection w:val="lrTb"/>
            <w:vAlign w:val="bottom"/>
          </w:tcPr>
          <w:p w:rsidR="00AE473C" w:rsidP="00327CDA">
            <w:pPr>
              <w:spacing w:line="240" w:lineRule="auto"/>
              <w:jc w:val="right"/>
              <w:rPr>
                <w:rFonts w:ascii="Times New Roman" w:hAnsi="Times New Roman" w:cs="Times New Roman"/>
                <w:lang w:eastAsia="sk-SK"/>
              </w:rPr>
            </w:pPr>
            <w:r>
              <w:rPr>
                <w:rFonts w:ascii="Times New Roman" w:hAnsi="Times New Roman" w:cs="Times New Roman"/>
                <w:lang w:eastAsia="sk-SK"/>
              </w:rPr>
              <w:t>660 791</w:t>
            </w:r>
          </w:p>
        </w:tc>
        <w:tc>
          <w:tcPr>
            <w:tcW w:w="1120" w:type="dxa"/>
            <w:tcBorders>
              <w:top w:val="nil"/>
              <w:left w:val="single" w:sz="8" w:space="0" w:color="auto"/>
              <w:bottom w:val="nil"/>
              <w:right w:val="nil"/>
              <w:tl2br w:val="nil"/>
              <w:tr2bl w:val="nil"/>
            </w:tcBorders>
            <w:textDirection w:val="lrTb"/>
            <w:vAlign w:val="bottom"/>
          </w:tcPr>
          <w:p w:rsidR="00AE473C" w:rsidP="00327CDA">
            <w:pPr>
              <w:spacing w:line="240" w:lineRule="auto"/>
              <w:jc w:val="right"/>
              <w:rPr>
                <w:rFonts w:ascii="Times New Roman" w:hAnsi="Times New Roman" w:cs="Times New Roman"/>
                <w:lang w:eastAsia="sk-SK"/>
              </w:rPr>
            </w:pPr>
            <w:r>
              <w:rPr>
                <w:rFonts w:ascii="Times New Roman" w:hAnsi="Times New Roman" w:cs="Times New Roman"/>
                <w:lang w:eastAsia="sk-SK"/>
              </w:rPr>
              <w:t>711 260</w:t>
            </w:r>
          </w:p>
        </w:tc>
        <w:tc>
          <w:tcPr>
            <w:tcW w:w="1120" w:type="dxa"/>
            <w:tcBorders>
              <w:top w:val="nil"/>
              <w:left w:val="single" w:sz="8" w:space="0" w:color="auto"/>
              <w:bottom w:val="nil"/>
              <w:right w:val="nil"/>
              <w:tl2br w:val="nil"/>
              <w:tr2bl w:val="nil"/>
            </w:tcBorders>
            <w:textDirection w:val="lrTb"/>
            <w:vAlign w:val="bottom"/>
          </w:tcPr>
          <w:p w:rsidR="00AE473C" w:rsidP="00327CDA">
            <w:pPr>
              <w:spacing w:line="240" w:lineRule="auto"/>
              <w:jc w:val="right"/>
              <w:rPr>
                <w:rFonts w:ascii="Times New Roman" w:hAnsi="Times New Roman" w:cs="Times New Roman"/>
                <w:lang w:eastAsia="sk-SK"/>
              </w:rPr>
            </w:pPr>
            <w:r>
              <w:rPr>
                <w:rFonts w:ascii="Times New Roman" w:hAnsi="Times New Roman" w:cs="Times New Roman"/>
                <w:lang w:eastAsia="sk-SK"/>
              </w:rPr>
              <w:t>336 784</w:t>
            </w:r>
          </w:p>
        </w:tc>
        <w:tc>
          <w:tcPr>
            <w:tcW w:w="1120" w:type="dxa"/>
            <w:tcBorders>
              <w:top w:val="nil"/>
              <w:left w:val="single" w:sz="8" w:space="0" w:color="auto"/>
              <w:bottom w:val="nil"/>
              <w:right w:val="nil"/>
              <w:tl2br w:val="nil"/>
              <w:tr2bl w:val="nil"/>
            </w:tcBorders>
            <w:textDirection w:val="lrTb"/>
            <w:vAlign w:val="bottom"/>
          </w:tcPr>
          <w:p w:rsidR="00AE473C" w:rsidP="00327CDA">
            <w:pPr>
              <w:spacing w:line="240" w:lineRule="auto"/>
              <w:jc w:val="right"/>
              <w:rPr>
                <w:rFonts w:ascii="Times New Roman" w:hAnsi="Times New Roman" w:cs="Times New Roman"/>
                <w:lang w:eastAsia="sk-SK"/>
              </w:rPr>
            </w:pPr>
            <w:r>
              <w:rPr>
                <w:rFonts w:ascii="Times New Roman" w:hAnsi="Times New Roman" w:cs="Times New Roman"/>
                <w:lang w:eastAsia="sk-SK"/>
              </w:rPr>
              <w:t>402 687</w:t>
            </w:r>
          </w:p>
        </w:tc>
        <w:tc>
          <w:tcPr>
            <w:tcW w:w="1220" w:type="dxa"/>
            <w:tcBorders>
              <w:top w:val="nil"/>
              <w:left w:val="single" w:sz="8" w:space="0" w:color="auto"/>
              <w:bottom w:val="nil"/>
              <w:right w:val="single" w:sz="8" w:space="0" w:color="auto"/>
              <w:tl2br w:val="nil"/>
              <w:tr2bl w:val="nil"/>
            </w:tcBorders>
            <w:textDirection w:val="lrTb"/>
            <w:vAlign w:val="bottom"/>
          </w:tcPr>
          <w:p w:rsidR="00AE473C" w:rsidP="00327CDA">
            <w:pPr>
              <w:spacing w:line="240" w:lineRule="auto"/>
              <w:jc w:val="right"/>
              <w:rPr>
                <w:rFonts w:ascii="Times New Roman" w:hAnsi="Times New Roman" w:cs="Times New Roman"/>
                <w:lang w:eastAsia="sk-SK"/>
              </w:rPr>
            </w:pPr>
            <w:r>
              <w:rPr>
                <w:rFonts w:ascii="Times New Roman" w:hAnsi="Times New Roman" w:cs="Times New Roman"/>
                <w:lang w:eastAsia="sk-SK"/>
              </w:rPr>
              <w:t>432 612</w:t>
            </w:r>
          </w:p>
        </w:tc>
      </w:tr>
      <w:tr>
        <w:tblPrEx>
          <w:tblW w:w="8875" w:type="dxa"/>
          <w:tblInd w:w="55" w:type="dxa"/>
          <w:tblCellMar>
            <w:left w:w="70" w:type="dxa"/>
            <w:right w:w="70" w:type="dxa"/>
          </w:tblCellMar>
        </w:tblPrEx>
        <w:trPr>
          <w:trHeight w:hRule="exact" w:val="227"/>
        </w:trPr>
        <w:tc>
          <w:tcPr>
            <w:tcW w:w="440" w:type="dxa"/>
            <w:tcBorders>
              <w:top w:val="single" w:sz="8" w:space="0" w:color="auto"/>
              <w:left w:val="single" w:sz="8" w:space="0" w:color="auto"/>
              <w:bottom w:val="single" w:sz="8" w:space="0" w:color="auto"/>
              <w:right w:val="single" w:sz="8" w:space="0" w:color="auto"/>
              <w:tl2br w:val="nil"/>
              <w:tr2bl w:val="nil"/>
            </w:tcBorders>
            <w:shd w:val="clear" w:color="auto" w:fill="C0C0C0"/>
            <w:textDirection w:val="lrTb"/>
            <w:vAlign w:val="bottom"/>
          </w:tcPr>
          <w:p w:rsidR="00AE473C" w:rsidP="00327CDA">
            <w:pPr>
              <w:spacing w:line="240" w:lineRule="auto"/>
              <w:jc w:val="center"/>
              <w:rPr>
                <w:rFonts w:ascii="Times New Roman" w:hAnsi="Times New Roman" w:cs="Times New Roman"/>
                <w:lang w:eastAsia="sk-SK"/>
              </w:rPr>
            </w:pPr>
            <w:r>
              <w:rPr>
                <w:rFonts w:ascii="Times New Roman" w:hAnsi="Times New Roman" w:cs="Times New Roman"/>
                <w:lang w:eastAsia="sk-SK"/>
              </w:rPr>
              <w:t> </w:t>
            </w:r>
          </w:p>
        </w:tc>
        <w:tc>
          <w:tcPr>
            <w:tcW w:w="2635" w:type="dxa"/>
            <w:tcBorders>
              <w:top w:val="single" w:sz="8" w:space="0" w:color="auto"/>
              <w:left w:val="nil"/>
              <w:bottom w:val="single" w:sz="8" w:space="0" w:color="auto"/>
              <w:right w:val="single" w:sz="8" w:space="0" w:color="auto"/>
              <w:tl2br w:val="nil"/>
              <w:tr2bl w:val="nil"/>
            </w:tcBorders>
            <w:shd w:val="clear" w:color="auto" w:fill="C0C0C0"/>
            <w:textDirection w:val="lrTb"/>
            <w:vAlign w:val="bottom"/>
          </w:tcPr>
          <w:p w:rsidR="00AE473C" w:rsidRPr="00693711" w:rsidP="00327CDA">
            <w:pPr>
              <w:spacing w:line="240" w:lineRule="auto"/>
              <w:rPr>
                <w:rFonts w:ascii="Times New Roman" w:hAnsi="Times New Roman" w:cs="Times New Roman"/>
                <w:b/>
                <w:bCs/>
                <w:lang w:eastAsia="sk-SK"/>
              </w:rPr>
            </w:pPr>
            <w:r w:rsidRPr="00693711">
              <w:rPr>
                <w:rFonts w:ascii="Times New Roman" w:hAnsi="Times New Roman" w:cs="Times New Roman"/>
                <w:b/>
                <w:bCs/>
                <w:lang w:eastAsia="sk-SK"/>
              </w:rPr>
              <w:t xml:space="preserve"> Spolu</w:t>
            </w:r>
          </w:p>
        </w:tc>
        <w:tc>
          <w:tcPr>
            <w:tcW w:w="1220" w:type="dxa"/>
            <w:tcBorders>
              <w:top w:val="single" w:sz="8" w:space="0" w:color="auto"/>
              <w:left w:val="nil"/>
              <w:bottom w:val="single" w:sz="8" w:space="0" w:color="auto"/>
              <w:right w:val="nil"/>
              <w:tl2br w:val="nil"/>
              <w:tr2bl w:val="nil"/>
            </w:tcBorders>
            <w:shd w:val="clear" w:color="auto" w:fill="C0C0C0"/>
            <w:textDirection w:val="lrTb"/>
            <w:vAlign w:val="bottom"/>
          </w:tcPr>
          <w:p w:rsidR="00AE473C" w:rsidRPr="00693711" w:rsidP="00327CDA">
            <w:pPr>
              <w:spacing w:line="240" w:lineRule="auto"/>
              <w:jc w:val="right"/>
              <w:rPr>
                <w:rFonts w:ascii="Times New Roman" w:hAnsi="Times New Roman" w:cs="Times New Roman"/>
                <w:b/>
                <w:bCs/>
                <w:lang w:eastAsia="sk-SK"/>
              </w:rPr>
            </w:pPr>
            <w:r>
              <w:rPr>
                <w:rFonts w:ascii="Times New Roman" w:hAnsi="Times New Roman" w:cs="Times New Roman"/>
                <w:b/>
                <w:bCs/>
                <w:lang w:eastAsia="sk-SK"/>
              </w:rPr>
              <w:t>709 980</w:t>
            </w:r>
          </w:p>
        </w:tc>
        <w:tc>
          <w:tcPr>
            <w:tcW w:w="1120" w:type="dxa"/>
            <w:tcBorders>
              <w:top w:val="single" w:sz="8" w:space="0" w:color="auto"/>
              <w:left w:val="single" w:sz="8" w:space="0" w:color="auto"/>
              <w:bottom w:val="single" w:sz="8" w:space="0" w:color="auto"/>
              <w:right w:val="nil"/>
              <w:tl2br w:val="nil"/>
              <w:tr2bl w:val="nil"/>
            </w:tcBorders>
            <w:shd w:val="clear" w:color="auto" w:fill="C0C0C0"/>
            <w:textDirection w:val="lrTb"/>
            <w:vAlign w:val="bottom"/>
          </w:tcPr>
          <w:p w:rsidR="00AE473C" w:rsidRPr="00693711" w:rsidP="00327CDA">
            <w:pPr>
              <w:spacing w:line="240" w:lineRule="auto"/>
              <w:jc w:val="right"/>
              <w:rPr>
                <w:rFonts w:ascii="Times New Roman" w:hAnsi="Times New Roman" w:cs="Times New Roman"/>
                <w:b/>
                <w:bCs/>
                <w:lang w:eastAsia="sk-SK"/>
              </w:rPr>
            </w:pPr>
            <w:r>
              <w:rPr>
                <w:rFonts w:ascii="Times New Roman" w:hAnsi="Times New Roman" w:cs="Times New Roman"/>
                <w:b/>
                <w:bCs/>
                <w:lang w:eastAsia="sk-SK"/>
              </w:rPr>
              <w:t>765 273</w:t>
            </w:r>
          </w:p>
        </w:tc>
        <w:tc>
          <w:tcPr>
            <w:tcW w:w="1120" w:type="dxa"/>
            <w:tcBorders>
              <w:top w:val="single" w:sz="8" w:space="0" w:color="auto"/>
              <w:left w:val="single" w:sz="8" w:space="0" w:color="auto"/>
              <w:bottom w:val="single" w:sz="8" w:space="0" w:color="auto"/>
              <w:right w:val="nil"/>
              <w:tl2br w:val="nil"/>
              <w:tr2bl w:val="nil"/>
            </w:tcBorders>
            <w:shd w:val="clear" w:color="auto" w:fill="C0C0C0"/>
            <w:textDirection w:val="lrTb"/>
            <w:vAlign w:val="bottom"/>
          </w:tcPr>
          <w:p w:rsidR="00AE473C" w:rsidRPr="00693711" w:rsidP="00327CDA">
            <w:pPr>
              <w:spacing w:line="240" w:lineRule="auto"/>
              <w:jc w:val="right"/>
              <w:rPr>
                <w:rFonts w:ascii="Times New Roman" w:hAnsi="Times New Roman" w:cs="Times New Roman"/>
                <w:b/>
                <w:bCs/>
                <w:lang w:eastAsia="sk-SK"/>
              </w:rPr>
            </w:pPr>
            <w:r>
              <w:rPr>
                <w:rFonts w:ascii="Times New Roman" w:hAnsi="Times New Roman" w:cs="Times New Roman"/>
                <w:b/>
                <w:bCs/>
                <w:lang w:eastAsia="sk-SK"/>
              </w:rPr>
              <w:t>379 786</w:t>
            </w:r>
          </w:p>
        </w:tc>
        <w:tc>
          <w:tcPr>
            <w:tcW w:w="1120" w:type="dxa"/>
            <w:tcBorders>
              <w:top w:val="single" w:sz="8" w:space="0" w:color="auto"/>
              <w:left w:val="single" w:sz="8" w:space="0" w:color="auto"/>
              <w:bottom w:val="single" w:sz="8" w:space="0" w:color="auto"/>
              <w:right w:val="nil"/>
              <w:tl2br w:val="nil"/>
              <w:tr2bl w:val="nil"/>
            </w:tcBorders>
            <w:shd w:val="clear" w:color="auto" w:fill="C0C0C0"/>
            <w:textDirection w:val="lrTb"/>
            <w:vAlign w:val="bottom"/>
          </w:tcPr>
          <w:p w:rsidR="00AE473C" w:rsidRPr="00693711" w:rsidP="00327CDA">
            <w:pPr>
              <w:spacing w:line="240" w:lineRule="auto"/>
              <w:jc w:val="right"/>
              <w:rPr>
                <w:rFonts w:ascii="Times New Roman" w:hAnsi="Times New Roman" w:cs="Times New Roman"/>
                <w:b/>
                <w:bCs/>
                <w:lang w:eastAsia="sk-SK"/>
              </w:rPr>
            </w:pPr>
            <w:r>
              <w:rPr>
                <w:rFonts w:ascii="Times New Roman" w:hAnsi="Times New Roman" w:cs="Times New Roman"/>
                <w:b/>
                <w:bCs/>
                <w:lang w:eastAsia="sk-SK"/>
              </w:rPr>
              <w:t>442 536</w:t>
            </w:r>
          </w:p>
        </w:tc>
        <w:tc>
          <w:tcPr>
            <w:tcW w:w="1220" w:type="dxa"/>
            <w:tcBorders>
              <w:top w:val="single" w:sz="8" w:space="0" w:color="auto"/>
              <w:left w:val="single" w:sz="8" w:space="0" w:color="auto"/>
              <w:bottom w:val="single" w:sz="8" w:space="0" w:color="auto"/>
              <w:right w:val="single" w:sz="8" w:space="0" w:color="auto"/>
              <w:tl2br w:val="nil"/>
              <w:tr2bl w:val="nil"/>
            </w:tcBorders>
            <w:shd w:val="clear" w:color="auto" w:fill="C0C0C0"/>
            <w:textDirection w:val="lrTb"/>
            <w:vAlign w:val="bottom"/>
          </w:tcPr>
          <w:p w:rsidR="00AE473C" w:rsidRPr="00693711" w:rsidP="00327CDA">
            <w:pPr>
              <w:spacing w:line="240" w:lineRule="auto"/>
              <w:jc w:val="right"/>
              <w:rPr>
                <w:rFonts w:ascii="Times New Roman" w:hAnsi="Times New Roman" w:cs="Times New Roman"/>
                <w:b/>
                <w:bCs/>
                <w:lang w:eastAsia="sk-SK"/>
              </w:rPr>
            </w:pPr>
            <w:r>
              <w:rPr>
                <w:rFonts w:ascii="Times New Roman" w:hAnsi="Times New Roman" w:cs="Times New Roman"/>
                <w:b/>
                <w:bCs/>
                <w:lang w:eastAsia="sk-SK"/>
              </w:rPr>
              <w:t>486 840</w:t>
            </w:r>
          </w:p>
        </w:tc>
      </w:tr>
      <w:tr>
        <w:tblPrEx>
          <w:tblW w:w="8875" w:type="dxa"/>
          <w:tblInd w:w="55" w:type="dxa"/>
          <w:tblCellMar>
            <w:left w:w="70" w:type="dxa"/>
            <w:right w:w="70" w:type="dxa"/>
          </w:tblCellMar>
        </w:tblPrEx>
        <w:trPr>
          <w:trHeight w:hRule="exact" w:val="227"/>
        </w:trPr>
        <w:tc>
          <w:tcPr>
            <w:tcW w:w="440" w:type="dxa"/>
            <w:tcBorders>
              <w:top w:val="nil"/>
              <w:left w:val="single" w:sz="8" w:space="0" w:color="auto"/>
              <w:bottom w:val="single" w:sz="8" w:space="0" w:color="auto"/>
              <w:right w:val="single" w:sz="8" w:space="0" w:color="auto"/>
              <w:tl2br w:val="nil"/>
              <w:tr2bl w:val="nil"/>
            </w:tcBorders>
            <w:textDirection w:val="lrTb"/>
            <w:vAlign w:val="bottom"/>
          </w:tcPr>
          <w:p w:rsidR="00AE473C" w:rsidP="00327CDA">
            <w:pPr>
              <w:spacing w:line="240" w:lineRule="auto"/>
              <w:jc w:val="center"/>
              <w:rPr>
                <w:rFonts w:ascii="Times New Roman" w:hAnsi="Times New Roman" w:cs="Times New Roman"/>
                <w:lang w:eastAsia="sk-SK"/>
              </w:rPr>
            </w:pPr>
            <w:r>
              <w:rPr>
                <w:rFonts w:ascii="Times New Roman" w:hAnsi="Times New Roman" w:cs="Times New Roman"/>
                <w:lang w:eastAsia="sk-SK"/>
              </w:rPr>
              <w:t> </w:t>
            </w:r>
          </w:p>
        </w:tc>
        <w:tc>
          <w:tcPr>
            <w:tcW w:w="2635" w:type="dxa"/>
            <w:tcBorders>
              <w:top w:val="nil"/>
              <w:left w:val="nil"/>
              <w:bottom w:val="single" w:sz="8" w:space="0" w:color="auto"/>
              <w:right w:val="single" w:sz="8" w:space="0" w:color="auto"/>
              <w:tl2br w:val="nil"/>
              <w:tr2bl w:val="nil"/>
            </w:tcBorders>
            <w:textDirection w:val="lrTb"/>
            <w:vAlign w:val="bottom"/>
          </w:tcPr>
          <w:p w:rsidR="00AE473C" w:rsidRPr="00693711" w:rsidP="00327CDA">
            <w:pPr>
              <w:spacing w:line="240" w:lineRule="auto"/>
              <w:rPr>
                <w:rFonts w:ascii="Times New Roman" w:hAnsi="Times New Roman" w:cs="Times New Roman"/>
                <w:b/>
                <w:bCs/>
                <w:lang w:eastAsia="sk-SK"/>
              </w:rPr>
            </w:pPr>
            <w:r w:rsidRPr="00693711">
              <w:rPr>
                <w:rFonts w:ascii="Times New Roman" w:hAnsi="Times New Roman" w:cs="Times New Roman"/>
                <w:b/>
                <w:bCs/>
                <w:lang w:eastAsia="sk-SK"/>
              </w:rPr>
              <w:t>v lehote splatnosti</w:t>
            </w:r>
          </w:p>
        </w:tc>
        <w:tc>
          <w:tcPr>
            <w:tcW w:w="1220" w:type="dxa"/>
            <w:tcBorders>
              <w:top w:val="nil"/>
              <w:left w:val="nil"/>
              <w:bottom w:val="single" w:sz="8" w:space="0" w:color="auto"/>
              <w:right w:val="nil"/>
              <w:tl2br w:val="nil"/>
              <w:tr2bl w:val="nil"/>
            </w:tcBorders>
            <w:textDirection w:val="lrTb"/>
            <w:vAlign w:val="bottom"/>
          </w:tcPr>
          <w:p w:rsidR="00AE473C" w:rsidRPr="00693711" w:rsidP="00327CDA">
            <w:pPr>
              <w:spacing w:line="240" w:lineRule="auto"/>
              <w:jc w:val="right"/>
              <w:rPr>
                <w:rFonts w:ascii="Times New Roman" w:hAnsi="Times New Roman" w:cs="Times New Roman"/>
                <w:b/>
                <w:bCs/>
                <w:lang w:eastAsia="sk-SK"/>
              </w:rPr>
            </w:pPr>
            <w:r>
              <w:rPr>
                <w:rFonts w:ascii="Times New Roman" w:hAnsi="Times New Roman" w:cs="Times New Roman"/>
                <w:b/>
                <w:bCs/>
                <w:lang w:eastAsia="sk-SK"/>
              </w:rPr>
              <w:t>659 206</w:t>
            </w:r>
          </w:p>
        </w:tc>
        <w:tc>
          <w:tcPr>
            <w:tcW w:w="1120" w:type="dxa"/>
            <w:tcBorders>
              <w:top w:val="nil"/>
              <w:left w:val="single" w:sz="8" w:space="0" w:color="auto"/>
              <w:bottom w:val="single" w:sz="8" w:space="0" w:color="auto"/>
              <w:right w:val="nil"/>
              <w:tl2br w:val="nil"/>
              <w:tr2bl w:val="nil"/>
            </w:tcBorders>
            <w:textDirection w:val="lrTb"/>
            <w:vAlign w:val="bottom"/>
          </w:tcPr>
          <w:p w:rsidR="00AE473C" w:rsidRPr="00693711" w:rsidP="00327CDA">
            <w:pPr>
              <w:spacing w:line="240" w:lineRule="auto"/>
              <w:jc w:val="right"/>
              <w:rPr>
                <w:rFonts w:ascii="Times New Roman" w:hAnsi="Times New Roman" w:cs="Times New Roman"/>
                <w:b/>
                <w:bCs/>
                <w:lang w:eastAsia="sk-SK"/>
              </w:rPr>
            </w:pPr>
            <w:r>
              <w:rPr>
                <w:rFonts w:ascii="Times New Roman" w:hAnsi="Times New Roman" w:cs="Times New Roman"/>
                <w:b/>
                <w:bCs/>
                <w:lang w:eastAsia="sk-SK"/>
              </w:rPr>
              <w:t>709 800</w:t>
            </w:r>
          </w:p>
        </w:tc>
        <w:tc>
          <w:tcPr>
            <w:tcW w:w="1120" w:type="dxa"/>
            <w:tcBorders>
              <w:top w:val="nil"/>
              <w:left w:val="single" w:sz="8" w:space="0" w:color="auto"/>
              <w:bottom w:val="single" w:sz="8" w:space="0" w:color="auto"/>
              <w:right w:val="nil"/>
              <w:tl2br w:val="nil"/>
              <w:tr2bl w:val="nil"/>
            </w:tcBorders>
            <w:textDirection w:val="lrTb"/>
            <w:vAlign w:val="bottom"/>
          </w:tcPr>
          <w:p w:rsidR="00AE473C" w:rsidRPr="00693711" w:rsidP="00327CDA">
            <w:pPr>
              <w:spacing w:line="240" w:lineRule="auto"/>
              <w:jc w:val="right"/>
              <w:rPr>
                <w:rFonts w:ascii="Times New Roman" w:hAnsi="Times New Roman" w:cs="Times New Roman"/>
                <w:b/>
                <w:bCs/>
                <w:lang w:eastAsia="sk-SK"/>
              </w:rPr>
            </w:pPr>
            <w:r>
              <w:rPr>
                <w:rFonts w:ascii="Times New Roman" w:hAnsi="Times New Roman" w:cs="Times New Roman"/>
                <w:b/>
                <w:bCs/>
                <w:lang w:eastAsia="sk-SK"/>
              </w:rPr>
              <w:t>322 072</w:t>
            </w:r>
          </w:p>
        </w:tc>
        <w:tc>
          <w:tcPr>
            <w:tcW w:w="1120" w:type="dxa"/>
            <w:tcBorders>
              <w:top w:val="nil"/>
              <w:left w:val="single" w:sz="8" w:space="0" w:color="auto"/>
              <w:bottom w:val="single" w:sz="8" w:space="0" w:color="auto"/>
              <w:right w:val="nil"/>
              <w:tl2br w:val="nil"/>
              <w:tr2bl w:val="nil"/>
            </w:tcBorders>
            <w:textDirection w:val="lrTb"/>
            <w:vAlign w:val="bottom"/>
          </w:tcPr>
          <w:p w:rsidR="00AE473C" w:rsidRPr="00693711" w:rsidP="00327CDA">
            <w:pPr>
              <w:spacing w:line="240" w:lineRule="auto"/>
              <w:jc w:val="right"/>
              <w:rPr>
                <w:rFonts w:ascii="Times New Roman" w:hAnsi="Times New Roman" w:cs="Times New Roman"/>
                <w:b/>
                <w:bCs/>
                <w:lang w:eastAsia="sk-SK"/>
              </w:rPr>
            </w:pPr>
            <w:r>
              <w:rPr>
                <w:rFonts w:ascii="Times New Roman" w:hAnsi="Times New Roman" w:cs="Times New Roman"/>
                <w:b/>
                <w:bCs/>
                <w:lang w:eastAsia="sk-SK"/>
              </w:rPr>
              <w:t>399 776</w:t>
            </w:r>
          </w:p>
        </w:tc>
        <w:tc>
          <w:tcPr>
            <w:tcW w:w="1220" w:type="dxa"/>
            <w:tcBorders>
              <w:top w:val="nil"/>
              <w:left w:val="single" w:sz="8" w:space="0" w:color="auto"/>
              <w:bottom w:val="single" w:sz="8" w:space="0" w:color="auto"/>
              <w:right w:val="single" w:sz="8" w:space="0" w:color="auto"/>
              <w:tl2br w:val="nil"/>
              <w:tr2bl w:val="nil"/>
            </w:tcBorders>
            <w:textDirection w:val="lrTb"/>
            <w:vAlign w:val="bottom"/>
          </w:tcPr>
          <w:p w:rsidR="00AE473C" w:rsidRPr="00693711" w:rsidP="00327CDA">
            <w:pPr>
              <w:spacing w:line="240" w:lineRule="auto"/>
              <w:jc w:val="right"/>
              <w:rPr>
                <w:rFonts w:ascii="Times New Roman" w:hAnsi="Times New Roman" w:cs="Times New Roman"/>
                <w:b/>
                <w:bCs/>
                <w:lang w:eastAsia="sk-SK"/>
              </w:rPr>
            </w:pPr>
            <w:r>
              <w:rPr>
                <w:rFonts w:ascii="Times New Roman" w:hAnsi="Times New Roman" w:cs="Times New Roman"/>
                <w:b/>
                <w:bCs/>
                <w:lang w:eastAsia="sk-SK"/>
              </w:rPr>
              <w:t>454 938</w:t>
            </w:r>
          </w:p>
        </w:tc>
      </w:tr>
      <w:tr>
        <w:tblPrEx>
          <w:tblW w:w="8875" w:type="dxa"/>
          <w:tblInd w:w="55" w:type="dxa"/>
          <w:tblCellMar>
            <w:left w:w="70" w:type="dxa"/>
            <w:right w:w="70" w:type="dxa"/>
          </w:tblCellMar>
        </w:tblPrEx>
        <w:trPr>
          <w:trHeight w:hRule="exact" w:val="227"/>
        </w:trPr>
        <w:tc>
          <w:tcPr>
            <w:tcW w:w="440" w:type="dxa"/>
            <w:tcBorders>
              <w:top w:val="nil"/>
              <w:left w:val="single" w:sz="8" w:space="0" w:color="auto"/>
              <w:bottom w:val="single" w:sz="8" w:space="0" w:color="auto"/>
              <w:right w:val="single" w:sz="8" w:space="0" w:color="auto"/>
              <w:tl2br w:val="nil"/>
              <w:tr2bl w:val="nil"/>
            </w:tcBorders>
            <w:textDirection w:val="lrTb"/>
            <w:vAlign w:val="bottom"/>
          </w:tcPr>
          <w:p w:rsidR="00AE473C" w:rsidP="00327CDA">
            <w:pPr>
              <w:spacing w:line="240" w:lineRule="auto"/>
              <w:jc w:val="center"/>
              <w:rPr>
                <w:rFonts w:ascii="Times New Roman" w:hAnsi="Times New Roman" w:cs="Times New Roman"/>
                <w:lang w:eastAsia="sk-SK"/>
              </w:rPr>
            </w:pPr>
            <w:r>
              <w:rPr>
                <w:rFonts w:ascii="Times New Roman" w:hAnsi="Times New Roman" w:cs="Times New Roman"/>
                <w:lang w:eastAsia="sk-SK"/>
              </w:rPr>
              <w:t> </w:t>
            </w:r>
          </w:p>
        </w:tc>
        <w:tc>
          <w:tcPr>
            <w:tcW w:w="2635" w:type="dxa"/>
            <w:tcBorders>
              <w:top w:val="nil"/>
              <w:left w:val="nil"/>
              <w:bottom w:val="single" w:sz="8" w:space="0" w:color="auto"/>
              <w:right w:val="single" w:sz="8" w:space="0" w:color="auto"/>
              <w:tl2br w:val="nil"/>
              <w:tr2bl w:val="nil"/>
            </w:tcBorders>
            <w:textDirection w:val="lrTb"/>
            <w:vAlign w:val="bottom"/>
          </w:tcPr>
          <w:p w:rsidR="00AE473C" w:rsidRPr="00693711" w:rsidP="00327CDA">
            <w:pPr>
              <w:spacing w:line="240" w:lineRule="auto"/>
              <w:rPr>
                <w:rFonts w:ascii="Times New Roman" w:hAnsi="Times New Roman" w:cs="Times New Roman"/>
                <w:b/>
                <w:bCs/>
                <w:lang w:eastAsia="sk-SK"/>
              </w:rPr>
            </w:pPr>
            <w:r w:rsidRPr="00693711">
              <w:rPr>
                <w:rFonts w:ascii="Times New Roman" w:hAnsi="Times New Roman" w:cs="Times New Roman"/>
                <w:b/>
                <w:bCs/>
                <w:lang w:eastAsia="sk-SK"/>
              </w:rPr>
              <w:t>po lehote splatnosti</w:t>
            </w:r>
          </w:p>
        </w:tc>
        <w:tc>
          <w:tcPr>
            <w:tcW w:w="1220" w:type="dxa"/>
            <w:tcBorders>
              <w:top w:val="nil"/>
              <w:left w:val="nil"/>
              <w:bottom w:val="single" w:sz="8" w:space="0" w:color="auto"/>
              <w:right w:val="nil"/>
              <w:tl2br w:val="nil"/>
              <w:tr2bl w:val="nil"/>
            </w:tcBorders>
            <w:textDirection w:val="lrTb"/>
            <w:vAlign w:val="bottom"/>
          </w:tcPr>
          <w:p w:rsidR="00AE473C" w:rsidRPr="00693711" w:rsidP="00327CDA">
            <w:pPr>
              <w:spacing w:line="240" w:lineRule="auto"/>
              <w:jc w:val="right"/>
              <w:rPr>
                <w:rFonts w:ascii="Times New Roman" w:hAnsi="Times New Roman" w:cs="Times New Roman"/>
                <w:b/>
                <w:bCs/>
                <w:lang w:eastAsia="sk-SK"/>
              </w:rPr>
            </w:pPr>
            <w:r>
              <w:rPr>
                <w:rFonts w:ascii="Times New Roman" w:hAnsi="Times New Roman" w:cs="Times New Roman"/>
                <w:b/>
                <w:bCs/>
                <w:lang w:eastAsia="sk-SK"/>
              </w:rPr>
              <w:t>50 774</w:t>
            </w:r>
          </w:p>
        </w:tc>
        <w:tc>
          <w:tcPr>
            <w:tcW w:w="1120" w:type="dxa"/>
            <w:tcBorders>
              <w:top w:val="nil"/>
              <w:left w:val="single" w:sz="8" w:space="0" w:color="auto"/>
              <w:bottom w:val="single" w:sz="8" w:space="0" w:color="auto"/>
              <w:right w:val="nil"/>
              <w:tl2br w:val="nil"/>
              <w:tr2bl w:val="nil"/>
            </w:tcBorders>
            <w:textDirection w:val="lrTb"/>
            <w:vAlign w:val="bottom"/>
          </w:tcPr>
          <w:p w:rsidR="00AE473C" w:rsidRPr="00693711" w:rsidP="00327CDA">
            <w:pPr>
              <w:spacing w:line="240" w:lineRule="auto"/>
              <w:jc w:val="right"/>
              <w:rPr>
                <w:rFonts w:ascii="Times New Roman" w:hAnsi="Times New Roman" w:cs="Times New Roman"/>
                <w:b/>
                <w:bCs/>
                <w:lang w:eastAsia="sk-SK"/>
              </w:rPr>
            </w:pPr>
            <w:r>
              <w:rPr>
                <w:rFonts w:ascii="Times New Roman" w:hAnsi="Times New Roman" w:cs="Times New Roman"/>
                <w:b/>
                <w:bCs/>
                <w:lang w:eastAsia="sk-SK"/>
              </w:rPr>
              <w:t>55 473</w:t>
            </w:r>
          </w:p>
        </w:tc>
        <w:tc>
          <w:tcPr>
            <w:tcW w:w="1120" w:type="dxa"/>
            <w:tcBorders>
              <w:top w:val="nil"/>
              <w:left w:val="single" w:sz="8" w:space="0" w:color="auto"/>
              <w:bottom w:val="single" w:sz="8" w:space="0" w:color="auto"/>
              <w:right w:val="nil"/>
              <w:tl2br w:val="nil"/>
              <w:tr2bl w:val="nil"/>
            </w:tcBorders>
            <w:textDirection w:val="lrTb"/>
            <w:vAlign w:val="bottom"/>
          </w:tcPr>
          <w:p w:rsidR="00AE473C" w:rsidRPr="00693711" w:rsidP="00327CDA">
            <w:pPr>
              <w:spacing w:line="240" w:lineRule="auto"/>
              <w:jc w:val="right"/>
              <w:rPr>
                <w:rFonts w:ascii="Times New Roman" w:hAnsi="Times New Roman" w:cs="Times New Roman"/>
                <w:b/>
                <w:bCs/>
                <w:lang w:eastAsia="sk-SK"/>
              </w:rPr>
            </w:pPr>
            <w:r>
              <w:rPr>
                <w:rFonts w:ascii="Times New Roman" w:hAnsi="Times New Roman" w:cs="Times New Roman"/>
                <w:b/>
                <w:bCs/>
                <w:lang w:eastAsia="sk-SK"/>
              </w:rPr>
              <w:t>57 714</w:t>
            </w:r>
          </w:p>
        </w:tc>
        <w:tc>
          <w:tcPr>
            <w:tcW w:w="1120" w:type="dxa"/>
            <w:tcBorders>
              <w:top w:val="nil"/>
              <w:left w:val="single" w:sz="8" w:space="0" w:color="auto"/>
              <w:bottom w:val="nil"/>
              <w:right w:val="nil"/>
              <w:tl2br w:val="nil"/>
              <w:tr2bl w:val="nil"/>
            </w:tcBorders>
            <w:textDirection w:val="lrTb"/>
            <w:vAlign w:val="bottom"/>
          </w:tcPr>
          <w:p w:rsidR="00AE473C" w:rsidRPr="00693711" w:rsidP="00327CDA">
            <w:pPr>
              <w:spacing w:line="240" w:lineRule="auto"/>
              <w:jc w:val="right"/>
              <w:rPr>
                <w:rFonts w:ascii="Times New Roman" w:hAnsi="Times New Roman" w:cs="Times New Roman"/>
                <w:b/>
                <w:bCs/>
                <w:lang w:eastAsia="sk-SK"/>
              </w:rPr>
            </w:pPr>
            <w:r>
              <w:rPr>
                <w:rFonts w:ascii="Times New Roman" w:hAnsi="Times New Roman" w:cs="Times New Roman"/>
                <w:b/>
                <w:bCs/>
                <w:lang w:eastAsia="sk-SK"/>
              </w:rPr>
              <w:t>42 760</w:t>
            </w:r>
          </w:p>
        </w:tc>
        <w:tc>
          <w:tcPr>
            <w:tcW w:w="1220" w:type="dxa"/>
            <w:tcBorders>
              <w:top w:val="nil"/>
              <w:left w:val="single" w:sz="8" w:space="0" w:color="auto"/>
              <w:bottom w:val="nil"/>
              <w:right w:val="single" w:sz="8" w:space="0" w:color="auto"/>
              <w:tl2br w:val="nil"/>
              <w:tr2bl w:val="nil"/>
            </w:tcBorders>
            <w:textDirection w:val="lrTb"/>
            <w:vAlign w:val="bottom"/>
          </w:tcPr>
          <w:p w:rsidR="00AE473C" w:rsidRPr="00693711" w:rsidP="00327CDA">
            <w:pPr>
              <w:spacing w:line="240" w:lineRule="auto"/>
              <w:jc w:val="right"/>
              <w:rPr>
                <w:rFonts w:ascii="Times New Roman" w:hAnsi="Times New Roman" w:cs="Times New Roman"/>
                <w:b/>
                <w:bCs/>
                <w:lang w:eastAsia="sk-SK"/>
              </w:rPr>
            </w:pPr>
            <w:r>
              <w:rPr>
                <w:rFonts w:ascii="Times New Roman" w:hAnsi="Times New Roman" w:cs="Times New Roman"/>
                <w:b/>
                <w:bCs/>
                <w:lang w:eastAsia="sk-SK"/>
              </w:rPr>
              <w:t>31 902</w:t>
            </w:r>
          </w:p>
        </w:tc>
      </w:tr>
      <w:tr>
        <w:tblPrEx>
          <w:tblW w:w="8875" w:type="dxa"/>
          <w:tblInd w:w="55" w:type="dxa"/>
          <w:tblCellMar>
            <w:left w:w="70" w:type="dxa"/>
            <w:right w:w="70" w:type="dxa"/>
          </w:tblCellMar>
        </w:tblPrEx>
        <w:trPr>
          <w:trHeight w:hRule="exact" w:val="227"/>
        </w:trPr>
        <w:tc>
          <w:tcPr>
            <w:tcW w:w="440" w:type="dxa"/>
            <w:tcBorders>
              <w:top w:val="nil"/>
              <w:left w:val="single" w:sz="8" w:space="0" w:color="auto"/>
              <w:bottom w:val="single" w:sz="8" w:space="0" w:color="auto"/>
              <w:right w:val="nil"/>
              <w:tl2br w:val="nil"/>
              <w:tr2bl w:val="nil"/>
            </w:tcBorders>
            <w:textDirection w:val="lrTb"/>
            <w:vAlign w:val="bottom"/>
          </w:tcPr>
          <w:p w:rsidR="00AE473C" w:rsidP="00327CDA">
            <w:pPr>
              <w:spacing w:line="240" w:lineRule="auto"/>
              <w:jc w:val="center"/>
              <w:rPr>
                <w:rFonts w:ascii="Times New Roman" w:hAnsi="Times New Roman" w:cs="Times New Roman"/>
                <w:lang w:eastAsia="sk-SK"/>
              </w:rPr>
            </w:pPr>
            <w:r>
              <w:rPr>
                <w:rFonts w:ascii="Times New Roman" w:hAnsi="Times New Roman" w:cs="Times New Roman"/>
                <w:lang w:eastAsia="sk-SK"/>
              </w:rPr>
              <w:t> </w:t>
            </w:r>
          </w:p>
        </w:tc>
        <w:tc>
          <w:tcPr>
            <w:tcW w:w="2635" w:type="dxa"/>
            <w:tcBorders>
              <w:top w:val="nil"/>
              <w:left w:val="single" w:sz="8" w:space="0" w:color="auto"/>
              <w:bottom w:val="single" w:sz="8" w:space="0" w:color="auto"/>
              <w:right w:val="single" w:sz="8" w:space="0" w:color="auto"/>
              <w:tl2br w:val="nil"/>
              <w:tr2bl w:val="nil"/>
            </w:tcBorders>
            <w:noWrap/>
            <w:textDirection w:val="lrTb"/>
            <w:vAlign w:val="bottom"/>
          </w:tcPr>
          <w:p w:rsidR="00AE473C" w:rsidP="00327CDA">
            <w:pPr>
              <w:spacing w:line="240" w:lineRule="auto"/>
              <w:rPr>
                <w:rFonts w:ascii="Times New Roman" w:hAnsi="Times New Roman" w:cs="Times New Roman"/>
                <w:lang w:eastAsia="sk-SK"/>
              </w:rPr>
            </w:pPr>
            <w:r>
              <w:rPr>
                <w:rFonts w:ascii="Times New Roman" w:hAnsi="Times New Roman" w:cs="Times New Roman"/>
                <w:lang w:eastAsia="sk-SK"/>
              </w:rPr>
              <w:t>do 30 dní</w:t>
            </w:r>
          </w:p>
        </w:tc>
        <w:tc>
          <w:tcPr>
            <w:tcW w:w="1220" w:type="dxa"/>
            <w:tcBorders>
              <w:top w:val="nil"/>
              <w:left w:val="nil"/>
              <w:bottom w:val="single" w:sz="8" w:space="0" w:color="auto"/>
              <w:right w:val="nil"/>
              <w:tl2br w:val="nil"/>
              <w:tr2bl w:val="nil"/>
            </w:tcBorders>
            <w:textDirection w:val="lrTb"/>
            <w:vAlign w:val="bottom"/>
          </w:tcPr>
          <w:p w:rsidR="00AE473C" w:rsidP="00327CDA">
            <w:pPr>
              <w:spacing w:line="240" w:lineRule="auto"/>
              <w:jc w:val="right"/>
              <w:rPr>
                <w:rFonts w:ascii="Times New Roman" w:hAnsi="Times New Roman" w:cs="Times New Roman"/>
                <w:lang w:eastAsia="sk-SK"/>
              </w:rPr>
            </w:pPr>
            <w:r>
              <w:rPr>
                <w:rFonts w:ascii="Times New Roman" w:hAnsi="Times New Roman" w:cs="Times New Roman"/>
                <w:lang w:eastAsia="sk-SK"/>
              </w:rPr>
              <w:t>7 217</w:t>
            </w:r>
          </w:p>
        </w:tc>
        <w:tc>
          <w:tcPr>
            <w:tcW w:w="1120" w:type="dxa"/>
            <w:tcBorders>
              <w:top w:val="nil"/>
              <w:left w:val="single" w:sz="8" w:space="0" w:color="auto"/>
              <w:bottom w:val="single" w:sz="8" w:space="0" w:color="auto"/>
              <w:right w:val="nil"/>
              <w:tl2br w:val="nil"/>
              <w:tr2bl w:val="nil"/>
            </w:tcBorders>
            <w:textDirection w:val="lrTb"/>
            <w:vAlign w:val="bottom"/>
          </w:tcPr>
          <w:p w:rsidR="00AE473C" w:rsidP="00327CDA">
            <w:pPr>
              <w:spacing w:line="240" w:lineRule="auto"/>
              <w:jc w:val="right"/>
              <w:rPr>
                <w:rFonts w:ascii="Times New Roman" w:hAnsi="Times New Roman" w:cs="Times New Roman"/>
                <w:lang w:eastAsia="sk-SK"/>
              </w:rPr>
            </w:pPr>
            <w:r>
              <w:rPr>
                <w:rFonts w:ascii="Times New Roman" w:hAnsi="Times New Roman" w:cs="Times New Roman"/>
                <w:lang w:eastAsia="sk-SK"/>
              </w:rPr>
              <w:t>19 390</w:t>
            </w:r>
          </w:p>
        </w:tc>
        <w:tc>
          <w:tcPr>
            <w:tcW w:w="1120" w:type="dxa"/>
            <w:tcBorders>
              <w:top w:val="nil"/>
              <w:left w:val="single" w:sz="8" w:space="0" w:color="auto"/>
              <w:bottom w:val="nil"/>
              <w:right w:val="nil"/>
              <w:tl2br w:val="nil"/>
              <w:tr2bl w:val="nil"/>
            </w:tcBorders>
            <w:textDirection w:val="lrTb"/>
            <w:vAlign w:val="bottom"/>
          </w:tcPr>
          <w:p w:rsidR="00AE473C" w:rsidP="00327CDA">
            <w:pPr>
              <w:spacing w:line="240" w:lineRule="auto"/>
              <w:jc w:val="right"/>
              <w:rPr>
                <w:rFonts w:ascii="Times New Roman" w:hAnsi="Times New Roman" w:cs="Times New Roman"/>
                <w:lang w:eastAsia="sk-SK"/>
              </w:rPr>
            </w:pPr>
            <w:r>
              <w:rPr>
                <w:rFonts w:ascii="Times New Roman" w:hAnsi="Times New Roman" w:cs="Times New Roman"/>
                <w:lang w:eastAsia="sk-SK"/>
              </w:rPr>
              <w:t>8 851</w:t>
            </w:r>
          </w:p>
        </w:tc>
        <w:tc>
          <w:tcPr>
            <w:tcW w:w="1120" w:type="dxa"/>
            <w:tcBorders>
              <w:top w:val="single" w:sz="8" w:space="0" w:color="auto"/>
              <w:left w:val="single" w:sz="8" w:space="0" w:color="auto"/>
              <w:bottom w:val="single" w:sz="8" w:space="0" w:color="auto"/>
              <w:right w:val="nil"/>
              <w:tl2br w:val="nil"/>
              <w:tr2bl w:val="nil"/>
            </w:tcBorders>
            <w:textDirection w:val="lrTb"/>
            <w:vAlign w:val="bottom"/>
          </w:tcPr>
          <w:p w:rsidR="00AE473C" w:rsidP="00327CDA">
            <w:pPr>
              <w:spacing w:line="240" w:lineRule="auto"/>
              <w:jc w:val="right"/>
              <w:rPr>
                <w:rFonts w:ascii="Times New Roman" w:hAnsi="Times New Roman" w:cs="Times New Roman"/>
                <w:lang w:eastAsia="sk-SK"/>
              </w:rPr>
            </w:pPr>
            <w:r>
              <w:rPr>
                <w:rFonts w:ascii="Times New Roman" w:hAnsi="Times New Roman" w:cs="Times New Roman"/>
                <w:lang w:eastAsia="sk-SK"/>
              </w:rPr>
              <w:t>7 466</w:t>
            </w:r>
          </w:p>
        </w:tc>
        <w:tc>
          <w:tcPr>
            <w:tcW w:w="1220" w:type="dxa"/>
            <w:tcBorders>
              <w:top w:val="single" w:sz="8" w:space="0" w:color="auto"/>
              <w:left w:val="single" w:sz="8" w:space="0" w:color="auto"/>
              <w:bottom w:val="single" w:sz="8" w:space="0" w:color="auto"/>
              <w:right w:val="single" w:sz="8" w:space="0" w:color="auto"/>
              <w:tl2br w:val="nil"/>
              <w:tr2bl w:val="nil"/>
            </w:tcBorders>
            <w:textDirection w:val="lrTb"/>
            <w:vAlign w:val="bottom"/>
          </w:tcPr>
          <w:p w:rsidR="00AE473C" w:rsidP="00327CDA">
            <w:pPr>
              <w:spacing w:line="240" w:lineRule="auto"/>
              <w:jc w:val="right"/>
              <w:rPr>
                <w:rFonts w:ascii="Times New Roman" w:hAnsi="Times New Roman" w:cs="Times New Roman"/>
                <w:lang w:eastAsia="sk-SK"/>
              </w:rPr>
            </w:pPr>
            <w:r>
              <w:rPr>
                <w:rFonts w:ascii="Times New Roman" w:hAnsi="Times New Roman" w:cs="Times New Roman"/>
                <w:lang w:eastAsia="sk-SK"/>
              </w:rPr>
              <w:t>4 846</w:t>
            </w:r>
          </w:p>
        </w:tc>
      </w:tr>
      <w:tr>
        <w:tblPrEx>
          <w:tblW w:w="8875" w:type="dxa"/>
          <w:tblInd w:w="55" w:type="dxa"/>
          <w:tblCellMar>
            <w:left w:w="70" w:type="dxa"/>
            <w:right w:w="70" w:type="dxa"/>
          </w:tblCellMar>
        </w:tblPrEx>
        <w:trPr>
          <w:trHeight w:hRule="exact" w:val="227"/>
        </w:trPr>
        <w:tc>
          <w:tcPr>
            <w:tcW w:w="440" w:type="dxa"/>
            <w:tcBorders>
              <w:top w:val="nil"/>
              <w:left w:val="single" w:sz="8" w:space="0" w:color="auto"/>
              <w:bottom w:val="single" w:sz="8" w:space="0" w:color="auto"/>
              <w:right w:val="nil"/>
              <w:tl2br w:val="nil"/>
              <w:tr2bl w:val="nil"/>
            </w:tcBorders>
            <w:textDirection w:val="lrTb"/>
            <w:vAlign w:val="bottom"/>
          </w:tcPr>
          <w:p w:rsidR="00AE473C" w:rsidRPr="00693711" w:rsidP="00327CDA">
            <w:pPr>
              <w:spacing w:line="240" w:lineRule="auto"/>
              <w:jc w:val="center"/>
              <w:rPr>
                <w:rFonts w:ascii="Times New Roman" w:hAnsi="Times New Roman" w:cs="Times New Roman"/>
                <w:b/>
                <w:bCs/>
                <w:lang w:eastAsia="sk-SK"/>
              </w:rPr>
            </w:pPr>
            <w:r w:rsidRPr="00693711">
              <w:rPr>
                <w:rFonts w:ascii="Times New Roman" w:hAnsi="Times New Roman" w:cs="Times New Roman"/>
                <w:b/>
                <w:bCs/>
                <w:lang w:eastAsia="sk-SK"/>
              </w:rPr>
              <w:t> </w:t>
            </w:r>
          </w:p>
        </w:tc>
        <w:tc>
          <w:tcPr>
            <w:tcW w:w="2635" w:type="dxa"/>
            <w:tcBorders>
              <w:top w:val="nil"/>
              <w:left w:val="single" w:sz="8" w:space="0" w:color="auto"/>
              <w:bottom w:val="single" w:sz="8" w:space="0" w:color="auto"/>
              <w:right w:val="single" w:sz="8" w:space="0" w:color="auto"/>
              <w:tl2br w:val="nil"/>
              <w:tr2bl w:val="nil"/>
            </w:tcBorders>
            <w:noWrap/>
            <w:textDirection w:val="lrTb"/>
            <w:vAlign w:val="bottom"/>
          </w:tcPr>
          <w:p w:rsidR="00AE473C" w:rsidP="00327CDA">
            <w:pPr>
              <w:spacing w:line="240" w:lineRule="auto"/>
              <w:rPr>
                <w:rFonts w:ascii="Times New Roman" w:hAnsi="Times New Roman" w:cs="Times New Roman"/>
                <w:lang w:eastAsia="sk-SK"/>
              </w:rPr>
            </w:pPr>
            <w:r>
              <w:rPr>
                <w:rFonts w:ascii="Times New Roman" w:hAnsi="Times New Roman" w:cs="Times New Roman"/>
                <w:lang w:eastAsia="sk-SK"/>
              </w:rPr>
              <w:t>do 60 dní</w:t>
            </w:r>
          </w:p>
        </w:tc>
        <w:tc>
          <w:tcPr>
            <w:tcW w:w="1220" w:type="dxa"/>
            <w:tcBorders>
              <w:top w:val="nil"/>
              <w:left w:val="nil"/>
              <w:bottom w:val="single" w:sz="8" w:space="0" w:color="auto"/>
              <w:right w:val="nil"/>
              <w:tl2br w:val="nil"/>
              <w:tr2bl w:val="nil"/>
            </w:tcBorders>
            <w:textDirection w:val="lrTb"/>
            <w:vAlign w:val="bottom"/>
          </w:tcPr>
          <w:p w:rsidR="00AE473C" w:rsidP="00327CDA">
            <w:pPr>
              <w:spacing w:line="240" w:lineRule="auto"/>
              <w:jc w:val="right"/>
              <w:rPr>
                <w:rFonts w:ascii="Times New Roman" w:hAnsi="Times New Roman" w:cs="Times New Roman"/>
                <w:lang w:eastAsia="sk-SK"/>
              </w:rPr>
            </w:pPr>
            <w:r>
              <w:rPr>
                <w:rFonts w:ascii="Times New Roman" w:hAnsi="Times New Roman" w:cs="Times New Roman"/>
                <w:lang w:eastAsia="sk-SK"/>
              </w:rPr>
              <w:t>2 425</w:t>
            </w:r>
          </w:p>
        </w:tc>
        <w:tc>
          <w:tcPr>
            <w:tcW w:w="1120" w:type="dxa"/>
            <w:tcBorders>
              <w:top w:val="nil"/>
              <w:left w:val="single" w:sz="8" w:space="0" w:color="auto"/>
              <w:bottom w:val="single" w:sz="8" w:space="0" w:color="auto"/>
              <w:right w:val="nil"/>
              <w:tl2br w:val="nil"/>
              <w:tr2bl w:val="nil"/>
            </w:tcBorders>
            <w:textDirection w:val="lrTb"/>
            <w:vAlign w:val="bottom"/>
          </w:tcPr>
          <w:p w:rsidR="00AE473C" w:rsidP="00327CDA">
            <w:pPr>
              <w:spacing w:line="240" w:lineRule="auto"/>
              <w:jc w:val="right"/>
              <w:rPr>
                <w:rFonts w:ascii="Times New Roman" w:hAnsi="Times New Roman" w:cs="Times New Roman"/>
                <w:lang w:eastAsia="sk-SK"/>
              </w:rPr>
            </w:pPr>
            <w:r>
              <w:rPr>
                <w:rFonts w:ascii="Times New Roman" w:hAnsi="Times New Roman" w:cs="Times New Roman"/>
                <w:lang w:eastAsia="sk-SK"/>
              </w:rPr>
              <w:t>6 198</w:t>
            </w:r>
          </w:p>
        </w:tc>
        <w:tc>
          <w:tcPr>
            <w:tcW w:w="1120" w:type="dxa"/>
            <w:tcBorders>
              <w:top w:val="single" w:sz="8" w:space="0" w:color="auto"/>
              <w:left w:val="single" w:sz="8" w:space="0" w:color="auto"/>
              <w:bottom w:val="single" w:sz="8" w:space="0" w:color="auto"/>
              <w:right w:val="nil"/>
              <w:tl2br w:val="nil"/>
              <w:tr2bl w:val="nil"/>
            </w:tcBorders>
            <w:textDirection w:val="lrTb"/>
            <w:vAlign w:val="bottom"/>
          </w:tcPr>
          <w:p w:rsidR="00AE473C" w:rsidP="00327CDA">
            <w:pPr>
              <w:spacing w:line="240" w:lineRule="auto"/>
              <w:jc w:val="right"/>
              <w:rPr>
                <w:rFonts w:ascii="Times New Roman" w:hAnsi="Times New Roman" w:cs="Times New Roman"/>
                <w:lang w:eastAsia="sk-SK"/>
              </w:rPr>
            </w:pPr>
            <w:r>
              <w:rPr>
                <w:rFonts w:ascii="Times New Roman" w:hAnsi="Times New Roman" w:cs="Times New Roman"/>
                <w:lang w:eastAsia="sk-SK"/>
              </w:rPr>
              <w:t>18 277</w:t>
            </w:r>
          </w:p>
        </w:tc>
        <w:tc>
          <w:tcPr>
            <w:tcW w:w="1120" w:type="dxa"/>
            <w:tcBorders>
              <w:top w:val="nil"/>
              <w:left w:val="single" w:sz="8" w:space="0" w:color="auto"/>
              <w:bottom w:val="nil"/>
              <w:right w:val="nil"/>
              <w:tl2br w:val="nil"/>
              <w:tr2bl w:val="nil"/>
            </w:tcBorders>
            <w:textDirection w:val="lrTb"/>
            <w:vAlign w:val="bottom"/>
          </w:tcPr>
          <w:p w:rsidR="00AE473C" w:rsidP="00327CDA">
            <w:pPr>
              <w:spacing w:line="240" w:lineRule="auto"/>
              <w:jc w:val="right"/>
              <w:rPr>
                <w:rFonts w:ascii="Times New Roman" w:hAnsi="Times New Roman" w:cs="Times New Roman"/>
                <w:lang w:eastAsia="sk-SK"/>
              </w:rPr>
            </w:pPr>
            <w:r>
              <w:rPr>
                <w:rFonts w:ascii="Times New Roman" w:hAnsi="Times New Roman" w:cs="Times New Roman"/>
                <w:lang w:eastAsia="sk-SK"/>
              </w:rPr>
              <w:t>4 184</w:t>
            </w:r>
          </w:p>
        </w:tc>
        <w:tc>
          <w:tcPr>
            <w:tcW w:w="1220" w:type="dxa"/>
            <w:tcBorders>
              <w:top w:val="nil"/>
              <w:left w:val="single" w:sz="8" w:space="0" w:color="auto"/>
              <w:bottom w:val="nil"/>
              <w:right w:val="single" w:sz="8" w:space="0" w:color="auto"/>
              <w:tl2br w:val="nil"/>
              <w:tr2bl w:val="nil"/>
            </w:tcBorders>
            <w:textDirection w:val="lrTb"/>
            <w:vAlign w:val="bottom"/>
          </w:tcPr>
          <w:p w:rsidR="00AE473C" w:rsidP="00327CDA">
            <w:pPr>
              <w:spacing w:line="240" w:lineRule="auto"/>
              <w:jc w:val="right"/>
              <w:rPr>
                <w:rFonts w:ascii="Times New Roman" w:hAnsi="Times New Roman" w:cs="Times New Roman"/>
                <w:lang w:eastAsia="sk-SK"/>
              </w:rPr>
            </w:pPr>
            <w:r>
              <w:rPr>
                <w:rFonts w:ascii="Times New Roman" w:hAnsi="Times New Roman" w:cs="Times New Roman"/>
                <w:lang w:eastAsia="sk-SK"/>
              </w:rPr>
              <w:t>5 144</w:t>
            </w:r>
          </w:p>
        </w:tc>
      </w:tr>
      <w:tr>
        <w:tblPrEx>
          <w:tblW w:w="8875" w:type="dxa"/>
          <w:tblInd w:w="55" w:type="dxa"/>
          <w:tblCellMar>
            <w:left w:w="70" w:type="dxa"/>
            <w:right w:w="70" w:type="dxa"/>
          </w:tblCellMar>
        </w:tblPrEx>
        <w:trPr>
          <w:trHeight w:hRule="exact" w:val="227"/>
        </w:trPr>
        <w:tc>
          <w:tcPr>
            <w:tcW w:w="440" w:type="dxa"/>
            <w:tcBorders>
              <w:top w:val="nil"/>
              <w:left w:val="single" w:sz="8" w:space="0" w:color="auto"/>
              <w:bottom w:val="single" w:sz="8" w:space="0" w:color="auto"/>
              <w:right w:val="nil"/>
              <w:tl2br w:val="nil"/>
              <w:tr2bl w:val="nil"/>
            </w:tcBorders>
            <w:textDirection w:val="lrTb"/>
            <w:vAlign w:val="bottom"/>
          </w:tcPr>
          <w:p w:rsidR="00AE473C" w:rsidP="00327CDA">
            <w:pPr>
              <w:spacing w:line="240" w:lineRule="auto"/>
              <w:jc w:val="center"/>
              <w:rPr>
                <w:rFonts w:ascii="Times New Roman" w:hAnsi="Times New Roman" w:cs="Times New Roman"/>
                <w:lang w:eastAsia="sk-SK"/>
              </w:rPr>
            </w:pPr>
            <w:r>
              <w:rPr>
                <w:rFonts w:ascii="Times New Roman" w:hAnsi="Times New Roman" w:cs="Times New Roman"/>
                <w:lang w:eastAsia="sk-SK"/>
              </w:rPr>
              <w:t> </w:t>
            </w:r>
          </w:p>
        </w:tc>
        <w:tc>
          <w:tcPr>
            <w:tcW w:w="2635" w:type="dxa"/>
            <w:tcBorders>
              <w:top w:val="nil"/>
              <w:left w:val="single" w:sz="8" w:space="0" w:color="auto"/>
              <w:bottom w:val="single" w:sz="8" w:space="0" w:color="auto"/>
              <w:right w:val="single" w:sz="8" w:space="0" w:color="auto"/>
              <w:tl2br w:val="nil"/>
              <w:tr2bl w:val="nil"/>
            </w:tcBorders>
            <w:noWrap/>
            <w:textDirection w:val="lrTb"/>
            <w:vAlign w:val="bottom"/>
          </w:tcPr>
          <w:p w:rsidR="00AE473C" w:rsidP="00327CDA">
            <w:pPr>
              <w:spacing w:line="240" w:lineRule="auto"/>
              <w:rPr>
                <w:rFonts w:ascii="Times New Roman" w:hAnsi="Times New Roman" w:cs="Times New Roman"/>
                <w:lang w:eastAsia="sk-SK"/>
              </w:rPr>
            </w:pPr>
            <w:r>
              <w:rPr>
                <w:rFonts w:ascii="Times New Roman" w:hAnsi="Times New Roman" w:cs="Times New Roman"/>
                <w:lang w:eastAsia="sk-SK"/>
              </w:rPr>
              <w:t>do 90 dní</w:t>
            </w:r>
          </w:p>
        </w:tc>
        <w:tc>
          <w:tcPr>
            <w:tcW w:w="1220" w:type="dxa"/>
            <w:tcBorders>
              <w:top w:val="nil"/>
              <w:left w:val="nil"/>
              <w:bottom w:val="single" w:sz="8" w:space="0" w:color="auto"/>
              <w:right w:val="nil"/>
              <w:tl2br w:val="nil"/>
              <w:tr2bl w:val="nil"/>
            </w:tcBorders>
            <w:textDirection w:val="lrTb"/>
            <w:vAlign w:val="bottom"/>
          </w:tcPr>
          <w:p w:rsidR="00AE473C" w:rsidP="00327CDA">
            <w:pPr>
              <w:spacing w:line="240" w:lineRule="auto"/>
              <w:jc w:val="right"/>
              <w:rPr>
                <w:rFonts w:ascii="Times New Roman" w:hAnsi="Times New Roman" w:cs="Times New Roman"/>
                <w:lang w:eastAsia="sk-SK"/>
              </w:rPr>
            </w:pPr>
            <w:r>
              <w:rPr>
                <w:rFonts w:ascii="Times New Roman" w:hAnsi="Times New Roman" w:cs="Times New Roman"/>
                <w:lang w:eastAsia="sk-SK"/>
              </w:rPr>
              <w:t>19 559</w:t>
            </w:r>
          </w:p>
        </w:tc>
        <w:tc>
          <w:tcPr>
            <w:tcW w:w="1120" w:type="dxa"/>
            <w:tcBorders>
              <w:top w:val="nil"/>
              <w:left w:val="single" w:sz="8" w:space="0" w:color="auto"/>
              <w:bottom w:val="single" w:sz="8" w:space="0" w:color="auto"/>
              <w:right w:val="nil"/>
              <w:tl2br w:val="nil"/>
              <w:tr2bl w:val="nil"/>
            </w:tcBorders>
            <w:textDirection w:val="lrTb"/>
            <w:vAlign w:val="bottom"/>
          </w:tcPr>
          <w:p w:rsidR="00AE473C" w:rsidP="00327CDA">
            <w:pPr>
              <w:spacing w:line="240" w:lineRule="auto"/>
              <w:jc w:val="right"/>
              <w:rPr>
                <w:rFonts w:ascii="Times New Roman" w:hAnsi="Times New Roman" w:cs="Times New Roman"/>
                <w:lang w:eastAsia="sk-SK"/>
              </w:rPr>
            </w:pPr>
            <w:r>
              <w:rPr>
                <w:rFonts w:ascii="Times New Roman" w:hAnsi="Times New Roman" w:cs="Times New Roman"/>
                <w:lang w:eastAsia="sk-SK"/>
              </w:rPr>
              <w:t>-58</w:t>
            </w:r>
          </w:p>
        </w:tc>
        <w:tc>
          <w:tcPr>
            <w:tcW w:w="1120" w:type="dxa"/>
            <w:tcBorders>
              <w:top w:val="nil"/>
              <w:left w:val="single" w:sz="8" w:space="0" w:color="auto"/>
              <w:bottom w:val="nil"/>
              <w:right w:val="nil"/>
              <w:tl2br w:val="nil"/>
              <w:tr2bl w:val="nil"/>
            </w:tcBorders>
            <w:textDirection w:val="lrTb"/>
            <w:vAlign w:val="bottom"/>
          </w:tcPr>
          <w:p w:rsidR="00AE473C" w:rsidP="00327CDA">
            <w:pPr>
              <w:spacing w:line="240" w:lineRule="auto"/>
              <w:jc w:val="right"/>
              <w:rPr>
                <w:rFonts w:ascii="Times New Roman" w:hAnsi="Times New Roman" w:cs="Times New Roman"/>
                <w:lang w:eastAsia="sk-SK"/>
              </w:rPr>
            </w:pPr>
            <w:r>
              <w:rPr>
                <w:rFonts w:ascii="Times New Roman" w:hAnsi="Times New Roman" w:cs="Times New Roman"/>
                <w:lang w:eastAsia="sk-SK"/>
              </w:rPr>
              <w:t>6 261</w:t>
            </w:r>
          </w:p>
        </w:tc>
        <w:tc>
          <w:tcPr>
            <w:tcW w:w="1120" w:type="dxa"/>
            <w:tcBorders>
              <w:top w:val="single" w:sz="8" w:space="0" w:color="auto"/>
              <w:left w:val="single" w:sz="8" w:space="0" w:color="auto"/>
              <w:bottom w:val="single" w:sz="8" w:space="0" w:color="auto"/>
              <w:right w:val="nil"/>
              <w:tl2br w:val="nil"/>
              <w:tr2bl w:val="nil"/>
            </w:tcBorders>
            <w:textDirection w:val="lrTb"/>
            <w:vAlign w:val="bottom"/>
          </w:tcPr>
          <w:p w:rsidR="00AE473C" w:rsidP="00327CDA">
            <w:pPr>
              <w:spacing w:line="240" w:lineRule="auto"/>
              <w:jc w:val="right"/>
              <w:rPr>
                <w:rFonts w:ascii="Times New Roman" w:hAnsi="Times New Roman" w:cs="Times New Roman"/>
                <w:lang w:eastAsia="sk-SK"/>
              </w:rPr>
            </w:pPr>
            <w:r>
              <w:rPr>
                <w:rFonts w:ascii="Times New Roman" w:hAnsi="Times New Roman" w:cs="Times New Roman"/>
                <w:lang w:eastAsia="sk-SK"/>
              </w:rPr>
              <w:t>8 792</w:t>
            </w:r>
          </w:p>
        </w:tc>
        <w:tc>
          <w:tcPr>
            <w:tcW w:w="1220" w:type="dxa"/>
            <w:tcBorders>
              <w:top w:val="single" w:sz="8" w:space="0" w:color="auto"/>
              <w:left w:val="single" w:sz="8" w:space="0" w:color="auto"/>
              <w:bottom w:val="single" w:sz="8" w:space="0" w:color="auto"/>
              <w:right w:val="single" w:sz="8" w:space="0" w:color="auto"/>
              <w:tl2br w:val="nil"/>
              <w:tr2bl w:val="nil"/>
            </w:tcBorders>
            <w:textDirection w:val="lrTb"/>
            <w:vAlign w:val="bottom"/>
          </w:tcPr>
          <w:p w:rsidR="00AE473C" w:rsidP="00327CDA">
            <w:pPr>
              <w:spacing w:line="240" w:lineRule="auto"/>
              <w:jc w:val="right"/>
              <w:rPr>
                <w:rFonts w:ascii="Times New Roman" w:hAnsi="Times New Roman" w:cs="Times New Roman"/>
                <w:lang w:eastAsia="sk-SK"/>
              </w:rPr>
            </w:pPr>
            <w:r>
              <w:rPr>
                <w:rFonts w:ascii="Times New Roman" w:hAnsi="Times New Roman" w:cs="Times New Roman"/>
                <w:lang w:eastAsia="sk-SK"/>
              </w:rPr>
              <w:t>381</w:t>
            </w:r>
          </w:p>
        </w:tc>
      </w:tr>
      <w:tr>
        <w:tblPrEx>
          <w:tblW w:w="8875" w:type="dxa"/>
          <w:tblInd w:w="55" w:type="dxa"/>
          <w:tblCellMar>
            <w:left w:w="70" w:type="dxa"/>
            <w:right w:w="70" w:type="dxa"/>
          </w:tblCellMar>
        </w:tblPrEx>
        <w:trPr>
          <w:trHeight w:hRule="exact" w:val="227"/>
        </w:trPr>
        <w:tc>
          <w:tcPr>
            <w:tcW w:w="440" w:type="dxa"/>
            <w:tcBorders>
              <w:top w:val="nil"/>
              <w:left w:val="single" w:sz="8" w:space="0" w:color="auto"/>
              <w:bottom w:val="single" w:sz="8" w:space="0" w:color="auto"/>
              <w:right w:val="nil"/>
              <w:tl2br w:val="nil"/>
              <w:tr2bl w:val="nil"/>
            </w:tcBorders>
            <w:textDirection w:val="lrTb"/>
            <w:vAlign w:val="bottom"/>
          </w:tcPr>
          <w:p w:rsidR="00AE473C" w:rsidP="00327CDA">
            <w:pPr>
              <w:spacing w:line="240" w:lineRule="auto"/>
              <w:jc w:val="center"/>
              <w:rPr>
                <w:rFonts w:ascii="Times New Roman" w:hAnsi="Times New Roman" w:cs="Times New Roman"/>
                <w:lang w:eastAsia="sk-SK"/>
              </w:rPr>
            </w:pPr>
            <w:r>
              <w:rPr>
                <w:rFonts w:ascii="Times New Roman" w:hAnsi="Times New Roman" w:cs="Times New Roman"/>
                <w:lang w:eastAsia="sk-SK"/>
              </w:rPr>
              <w:t> </w:t>
            </w:r>
          </w:p>
        </w:tc>
        <w:tc>
          <w:tcPr>
            <w:tcW w:w="2635" w:type="dxa"/>
            <w:tcBorders>
              <w:top w:val="nil"/>
              <w:left w:val="single" w:sz="8" w:space="0" w:color="auto"/>
              <w:bottom w:val="single" w:sz="8" w:space="0" w:color="auto"/>
              <w:right w:val="single" w:sz="8" w:space="0" w:color="auto"/>
              <w:tl2br w:val="nil"/>
              <w:tr2bl w:val="nil"/>
            </w:tcBorders>
            <w:noWrap/>
            <w:textDirection w:val="lrTb"/>
            <w:vAlign w:val="bottom"/>
          </w:tcPr>
          <w:p w:rsidR="00AE473C" w:rsidP="00327CDA">
            <w:pPr>
              <w:spacing w:line="240" w:lineRule="auto"/>
              <w:rPr>
                <w:rFonts w:ascii="Times New Roman" w:hAnsi="Times New Roman" w:cs="Times New Roman"/>
                <w:lang w:eastAsia="sk-SK"/>
              </w:rPr>
            </w:pPr>
            <w:r>
              <w:rPr>
                <w:rFonts w:ascii="Times New Roman" w:hAnsi="Times New Roman" w:cs="Times New Roman"/>
                <w:lang w:eastAsia="sk-SK"/>
              </w:rPr>
              <w:t>do 120 dní</w:t>
            </w:r>
          </w:p>
        </w:tc>
        <w:tc>
          <w:tcPr>
            <w:tcW w:w="1220" w:type="dxa"/>
            <w:tcBorders>
              <w:top w:val="nil"/>
              <w:left w:val="nil"/>
              <w:bottom w:val="single" w:sz="8" w:space="0" w:color="auto"/>
              <w:right w:val="nil"/>
              <w:tl2br w:val="nil"/>
              <w:tr2bl w:val="nil"/>
            </w:tcBorders>
            <w:textDirection w:val="lrTb"/>
            <w:vAlign w:val="bottom"/>
          </w:tcPr>
          <w:p w:rsidR="00AE473C" w:rsidP="00327CDA">
            <w:pPr>
              <w:spacing w:line="240" w:lineRule="auto"/>
              <w:jc w:val="right"/>
              <w:rPr>
                <w:rFonts w:ascii="Times New Roman" w:hAnsi="Times New Roman" w:cs="Times New Roman"/>
                <w:lang w:eastAsia="sk-SK"/>
              </w:rPr>
            </w:pPr>
            <w:r>
              <w:rPr>
                <w:rFonts w:ascii="Times New Roman" w:hAnsi="Times New Roman" w:cs="Times New Roman"/>
                <w:lang w:eastAsia="sk-SK"/>
              </w:rPr>
              <w:t>622</w:t>
            </w:r>
          </w:p>
        </w:tc>
        <w:tc>
          <w:tcPr>
            <w:tcW w:w="1120" w:type="dxa"/>
            <w:tcBorders>
              <w:top w:val="nil"/>
              <w:left w:val="single" w:sz="8" w:space="0" w:color="auto"/>
              <w:bottom w:val="single" w:sz="8" w:space="0" w:color="auto"/>
              <w:right w:val="nil"/>
              <w:tl2br w:val="nil"/>
              <w:tr2bl w:val="nil"/>
            </w:tcBorders>
            <w:textDirection w:val="lrTb"/>
            <w:vAlign w:val="bottom"/>
          </w:tcPr>
          <w:p w:rsidR="00AE473C" w:rsidP="00327CDA">
            <w:pPr>
              <w:spacing w:line="240" w:lineRule="auto"/>
              <w:jc w:val="right"/>
              <w:rPr>
                <w:rFonts w:ascii="Times New Roman" w:hAnsi="Times New Roman" w:cs="Times New Roman"/>
                <w:lang w:eastAsia="sk-SK"/>
              </w:rPr>
            </w:pPr>
            <w:r>
              <w:rPr>
                <w:rFonts w:ascii="Times New Roman" w:hAnsi="Times New Roman" w:cs="Times New Roman"/>
                <w:lang w:eastAsia="sk-SK"/>
              </w:rPr>
              <w:t>1 540</w:t>
            </w:r>
          </w:p>
        </w:tc>
        <w:tc>
          <w:tcPr>
            <w:tcW w:w="1120" w:type="dxa"/>
            <w:tcBorders>
              <w:top w:val="single" w:sz="8" w:space="0" w:color="auto"/>
              <w:left w:val="single" w:sz="8" w:space="0" w:color="auto"/>
              <w:bottom w:val="single" w:sz="8" w:space="0" w:color="auto"/>
              <w:right w:val="nil"/>
              <w:tl2br w:val="nil"/>
              <w:tr2bl w:val="nil"/>
            </w:tcBorders>
            <w:textDirection w:val="lrTb"/>
            <w:vAlign w:val="bottom"/>
          </w:tcPr>
          <w:p w:rsidR="00AE473C" w:rsidP="00327CDA">
            <w:pPr>
              <w:spacing w:line="240" w:lineRule="auto"/>
              <w:jc w:val="right"/>
              <w:rPr>
                <w:rFonts w:ascii="Times New Roman" w:hAnsi="Times New Roman" w:cs="Times New Roman"/>
                <w:lang w:eastAsia="sk-SK"/>
              </w:rPr>
            </w:pPr>
            <w:r>
              <w:rPr>
                <w:rFonts w:ascii="Times New Roman" w:hAnsi="Times New Roman" w:cs="Times New Roman"/>
                <w:lang w:eastAsia="sk-SK"/>
              </w:rPr>
              <w:t>1 866</w:t>
            </w:r>
          </w:p>
        </w:tc>
        <w:tc>
          <w:tcPr>
            <w:tcW w:w="1120" w:type="dxa"/>
            <w:tcBorders>
              <w:top w:val="nil"/>
              <w:left w:val="single" w:sz="8" w:space="0" w:color="auto"/>
              <w:bottom w:val="nil"/>
              <w:right w:val="nil"/>
              <w:tl2br w:val="nil"/>
              <w:tr2bl w:val="nil"/>
            </w:tcBorders>
            <w:textDirection w:val="lrTb"/>
            <w:vAlign w:val="bottom"/>
          </w:tcPr>
          <w:p w:rsidR="00AE473C" w:rsidP="00327CDA">
            <w:pPr>
              <w:spacing w:line="240" w:lineRule="auto"/>
              <w:jc w:val="right"/>
              <w:rPr>
                <w:rFonts w:ascii="Times New Roman" w:hAnsi="Times New Roman" w:cs="Times New Roman"/>
                <w:lang w:eastAsia="sk-SK"/>
              </w:rPr>
            </w:pPr>
            <w:r>
              <w:rPr>
                <w:rFonts w:ascii="Times New Roman" w:hAnsi="Times New Roman" w:cs="Times New Roman"/>
                <w:lang w:eastAsia="sk-SK"/>
              </w:rPr>
              <w:t>593</w:t>
            </w:r>
          </w:p>
        </w:tc>
        <w:tc>
          <w:tcPr>
            <w:tcW w:w="1220" w:type="dxa"/>
            <w:tcBorders>
              <w:top w:val="nil"/>
              <w:left w:val="single" w:sz="8" w:space="0" w:color="auto"/>
              <w:bottom w:val="nil"/>
              <w:right w:val="single" w:sz="8" w:space="0" w:color="auto"/>
              <w:tl2br w:val="nil"/>
              <w:tr2bl w:val="nil"/>
            </w:tcBorders>
            <w:textDirection w:val="lrTb"/>
            <w:vAlign w:val="bottom"/>
          </w:tcPr>
          <w:p w:rsidR="00AE473C" w:rsidP="00327CDA">
            <w:pPr>
              <w:spacing w:line="240" w:lineRule="auto"/>
              <w:jc w:val="right"/>
              <w:rPr>
                <w:rFonts w:ascii="Times New Roman" w:hAnsi="Times New Roman" w:cs="Times New Roman"/>
                <w:lang w:eastAsia="sk-SK"/>
              </w:rPr>
            </w:pPr>
            <w:r>
              <w:rPr>
                <w:rFonts w:ascii="Times New Roman" w:hAnsi="Times New Roman" w:cs="Times New Roman"/>
                <w:lang w:eastAsia="sk-SK"/>
              </w:rPr>
              <w:t>180</w:t>
            </w:r>
          </w:p>
        </w:tc>
      </w:tr>
      <w:tr>
        <w:tblPrEx>
          <w:tblW w:w="8875" w:type="dxa"/>
          <w:tblInd w:w="55" w:type="dxa"/>
          <w:tblCellMar>
            <w:left w:w="70" w:type="dxa"/>
            <w:right w:w="70" w:type="dxa"/>
          </w:tblCellMar>
        </w:tblPrEx>
        <w:trPr>
          <w:trHeight w:hRule="exact" w:val="227"/>
        </w:trPr>
        <w:tc>
          <w:tcPr>
            <w:tcW w:w="440" w:type="dxa"/>
            <w:tcBorders>
              <w:top w:val="nil"/>
              <w:left w:val="single" w:sz="8" w:space="0" w:color="auto"/>
              <w:bottom w:val="single" w:sz="8" w:space="0" w:color="auto"/>
              <w:right w:val="nil"/>
              <w:tl2br w:val="nil"/>
              <w:tr2bl w:val="nil"/>
            </w:tcBorders>
            <w:textDirection w:val="lrTb"/>
            <w:vAlign w:val="bottom"/>
          </w:tcPr>
          <w:p w:rsidR="00AE473C" w:rsidP="00327CDA">
            <w:pPr>
              <w:spacing w:line="240" w:lineRule="auto"/>
              <w:jc w:val="center"/>
              <w:rPr>
                <w:rFonts w:ascii="Times New Roman" w:hAnsi="Times New Roman" w:cs="Times New Roman"/>
                <w:lang w:eastAsia="sk-SK"/>
              </w:rPr>
            </w:pPr>
            <w:r>
              <w:rPr>
                <w:rFonts w:ascii="Times New Roman" w:hAnsi="Times New Roman" w:cs="Times New Roman"/>
                <w:lang w:eastAsia="sk-SK"/>
              </w:rPr>
              <w:t> </w:t>
            </w:r>
          </w:p>
        </w:tc>
        <w:tc>
          <w:tcPr>
            <w:tcW w:w="2635" w:type="dxa"/>
            <w:tcBorders>
              <w:top w:val="nil"/>
              <w:left w:val="single" w:sz="8" w:space="0" w:color="auto"/>
              <w:bottom w:val="single" w:sz="8" w:space="0" w:color="auto"/>
              <w:right w:val="single" w:sz="8" w:space="0" w:color="auto"/>
              <w:tl2br w:val="nil"/>
              <w:tr2bl w:val="nil"/>
            </w:tcBorders>
            <w:noWrap/>
            <w:textDirection w:val="lrTb"/>
            <w:vAlign w:val="bottom"/>
          </w:tcPr>
          <w:p w:rsidR="00AE473C" w:rsidP="00327CDA">
            <w:pPr>
              <w:spacing w:line="240" w:lineRule="auto"/>
              <w:rPr>
                <w:rFonts w:ascii="Times New Roman" w:hAnsi="Times New Roman" w:cs="Times New Roman"/>
                <w:lang w:eastAsia="sk-SK"/>
              </w:rPr>
            </w:pPr>
            <w:r>
              <w:rPr>
                <w:rFonts w:ascii="Times New Roman" w:hAnsi="Times New Roman" w:cs="Times New Roman"/>
                <w:lang w:eastAsia="sk-SK"/>
              </w:rPr>
              <w:t>do 180 dní</w:t>
            </w:r>
          </w:p>
        </w:tc>
        <w:tc>
          <w:tcPr>
            <w:tcW w:w="1220" w:type="dxa"/>
            <w:tcBorders>
              <w:top w:val="nil"/>
              <w:left w:val="nil"/>
              <w:bottom w:val="single" w:sz="8" w:space="0" w:color="auto"/>
              <w:right w:val="nil"/>
              <w:tl2br w:val="nil"/>
              <w:tr2bl w:val="nil"/>
            </w:tcBorders>
            <w:noWrap/>
            <w:textDirection w:val="lrTb"/>
            <w:vAlign w:val="bottom"/>
          </w:tcPr>
          <w:p w:rsidR="00AE473C" w:rsidP="00327CDA">
            <w:pPr>
              <w:spacing w:line="240" w:lineRule="auto"/>
              <w:jc w:val="right"/>
              <w:rPr>
                <w:rFonts w:ascii="Times New Roman" w:hAnsi="Times New Roman" w:cs="Times New Roman"/>
                <w:lang w:eastAsia="sk-SK"/>
              </w:rPr>
            </w:pPr>
            <w:r>
              <w:rPr>
                <w:rFonts w:ascii="Times New Roman" w:hAnsi="Times New Roman" w:cs="Times New Roman"/>
                <w:lang w:eastAsia="sk-SK"/>
              </w:rPr>
              <w:t>2 401</w:t>
            </w:r>
          </w:p>
        </w:tc>
        <w:tc>
          <w:tcPr>
            <w:tcW w:w="1120" w:type="dxa"/>
            <w:tcBorders>
              <w:top w:val="nil"/>
              <w:left w:val="single" w:sz="8" w:space="0" w:color="auto"/>
              <w:bottom w:val="single" w:sz="8" w:space="0" w:color="auto"/>
              <w:right w:val="nil"/>
              <w:tl2br w:val="nil"/>
              <w:tr2bl w:val="nil"/>
            </w:tcBorders>
            <w:noWrap/>
            <w:textDirection w:val="lrTb"/>
            <w:vAlign w:val="bottom"/>
          </w:tcPr>
          <w:p w:rsidR="00AE473C" w:rsidP="00327CDA">
            <w:pPr>
              <w:spacing w:line="240" w:lineRule="auto"/>
              <w:jc w:val="right"/>
              <w:rPr>
                <w:rFonts w:ascii="Times New Roman" w:hAnsi="Times New Roman" w:cs="Times New Roman"/>
                <w:lang w:eastAsia="sk-SK"/>
              </w:rPr>
            </w:pPr>
            <w:r>
              <w:rPr>
                <w:rFonts w:ascii="Times New Roman" w:hAnsi="Times New Roman" w:cs="Times New Roman"/>
                <w:lang w:eastAsia="sk-SK"/>
              </w:rPr>
              <w:t>9 718</w:t>
            </w:r>
          </w:p>
        </w:tc>
        <w:tc>
          <w:tcPr>
            <w:tcW w:w="1120" w:type="dxa"/>
            <w:tcBorders>
              <w:top w:val="nil"/>
              <w:left w:val="single" w:sz="8" w:space="0" w:color="auto"/>
              <w:bottom w:val="nil"/>
              <w:right w:val="nil"/>
              <w:tl2br w:val="nil"/>
              <w:tr2bl w:val="nil"/>
            </w:tcBorders>
            <w:noWrap/>
            <w:textDirection w:val="lrTb"/>
            <w:vAlign w:val="bottom"/>
          </w:tcPr>
          <w:p w:rsidR="00AE473C" w:rsidP="00327CDA">
            <w:pPr>
              <w:spacing w:line="240" w:lineRule="auto"/>
              <w:jc w:val="right"/>
              <w:rPr>
                <w:rFonts w:ascii="Times New Roman" w:hAnsi="Times New Roman" w:cs="Times New Roman"/>
                <w:lang w:eastAsia="sk-SK"/>
              </w:rPr>
            </w:pPr>
            <w:r>
              <w:rPr>
                <w:rFonts w:ascii="Times New Roman" w:hAnsi="Times New Roman" w:cs="Times New Roman"/>
                <w:lang w:eastAsia="sk-SK"/>
              </w:rPr>
              <w:t>3 501</w:t>
            </w:r>
          </w:p>
        </w:tc>
        <w:tc>
          <w:tcPr>
            <w:tcW w:w="1120" w:type="dxa"/>
            <w:tcBorders>
              <w:top w:val="single" w:sz="8" w:space="0" w:color="auto"/>
              <w:left w:val="single" w:sz="8" w:space="0" w:color="auto"/>
              <w:bottom w:val="single" w:sz="8" w:space="0" w:color="auto"/>
              <w:right w:val="nil"/>
              <w:tl2br w:val="nil"/>
              <w:tr2bl w:val="nil"/>
            </w:tcBorders>
            <w:noWrap/>
            <w:textDirection w:val="lrTb"/>
            <w:vAlign w:val="bottom"/>
          </w:tcPr>
          <w:p w:rsidR="00AE473C" w:rsidP="00327CDA">
            <w:pPr>
              <w:spacing w:line="240" w:lineRule="auto"/>
              <w:jc w:val="right"/>
              <w:rPr>
                <w:rFonts w:ascii="Times New Roman" w:hAnsi="Times New Roman" w:cs="Times New Roman"/>
                <w:lang w:eastAsia="sk-SK"/>
              </w:rPr>
            </w:pPr>
            <w:r>
              <w:rPr>
                <w:rFonts w:ascii="Times New Roman" w:hAnsi="Times New Roman" w:cs="Times New Roman"/>
                <w:lang w:eastAsia="sk-SK"/>
              </w:rPr>
              <w:t>2 403</w:t>
            </w:r>
          </w:p>
        </w:tc>
        <w:tc>
          <w:tcPr>
            <w:tcW w:w="1220" w:type="dxa"/>
            <w:tcBorders>
              <w:top w:val="single" w:sz="8" w:space="0" w:color="auto"/>
              <w:left w:val="single" w:sz="8" w:space="0" w:color="auto"/>
              <w:bottom w:val="single" w:sz="8" w:space="0" w:color="auto"/>
              <w:right w:val="single" w:sz="8" w:space="0" w:color="auto"/>
              <w:tl2br w:val="nil"/>
              <w:tr2bl w:val="nil"/>
            </w:tcBorders>
            <w:noWrap/>
            <w:textDirection w:val="lrTb"/>
            <w:vAlign w:val="bottom"/>
          </w:tcPr>
          <w:p w:rsidR="00AE473C" w:rsidP="00327CDA">
            <w:pPr>
              <w:spacing w:line="240" w:lineRule="auto"/>
              <w:jc w:val="right"/>
              <w:rPr>
                <w:rFonts w:ascii="Times New Roman" w:hAnsi="Times New Roman" w:cs="Times New Roman"/>
                <w:lang w:eastAsia="sk-SK"/>
              </w:rPr>
            </w:pPr>
            <w:r>
              <w:rPr>
                <w:rFonts w:ascii="Times New Roman" w:hAnsi="Times New Roman" w:cs="Times New Roman"/>
                <w:lang w:eastAsia="sk-SK"/>
              </w:rPr>
              <w:t>2 070</w:t>
            </w:r>
          </w:p>
        </w:tc>
      </w:tr>
      <w:tr>
        <w:tblPrEx>
          <w:tblW w:w="8875" w:type="dxa"/>
          <w:tblInd w:w="55" w:type="dxa"/>
          <w:tblCellMar>
            <w:left w:w="70" w:type="dxa"/>
            <w:right w:w="70" w:type="dxa"/>
          </w:tblCellMar>
        </w:tblPrEx>
        <w:trPr>
          <w:trHeight w:hRule="exact" w:val="227"/>
        </w:trPr>
        <w:tc>
          <w:tcPr>
            <w:tcW w:w="440" w:type="dxa"/>
            <w:tcBorders>
              <w:top w:val="nil"/>
              <w:left w:val="single" w:sz="8" w:space="0" w:color="auto"/>
              <w:bottom w:val="single" w:sz="8" w:space="0" w:color="auto"/>
              <w:right w:val="nil"/>
              <w:tl2br w:val="nil"/>
              <w:tr2bl w:val="nil"/>
            </w:tcBorders>
            <w:textDirection w:val="lrTb"/>
            <w:vAlign w:val="bottom"/>
          </w:tcPr>
          <w:p w:rsidR="00AE473C" w:rsidP="00327CDA">
            <w:pPr>
              <w:spacing w:line="240" w:lineRule="auto"/>
              <w:jc w:val="center"/>
              <w:rPr>
                <w:rFonts w:ascii="Times New Roman" w:hAnsi="Times New Roman" w:cs="Times New Roman"/>
                <w:lang w:eastAsia="sk-SK"/>
              </w:rPr>
            </w:pPr>
            <w:r>
              <w:rPr>
                <w:rFonts w:ascii="Times New Roman" w:hAnsi="Times New Roman" w:cs="Times New Roman"/>
                <w:lang w:eastAsia="sk-SK"/>
              </w:rPr>
              <w:t> </w:t>
            </w:r>
          </w:p>
        </w:tc>
        <w:tc>
          <w:tcPr>
            <w:tcW w:w="2635" w:type="dxa"/>
            <w:tcBorders>
              <w:top w:val="nil"/>
              <w:left w:val="single" w:sz="8" w:space="0" w:color="auto"/>
              <w:bottom w:val="single" w:sz="8" w:space="0" w:color="auto"/>
              <w:right w:val="single" w:sz="8" w:space="0" w:color="auto"/>
              <w:tl2br w:val="nil"/>
              <w:tr2bl w:val="nil"/>
            </w:tcBorders>
            <w:noWrap/>
            <w:textDirection w:val="lrTb"/>
            <w:vAlign w:val="bottom"/>
          </w:tcPr>
          <w:p w:rsidR="00AE473C" w:rsidP="00327CDA">
            <w:pPr>
              <w:spacing w:line="240" w:lineRule="auto"/>
              <w:rPr>
                <w:rFonts w:ascii="Times New Roman" w:hAnsi="Times New Roman" w:cs="Times New Roman"/>
                <w:lang w:eastAsia="sk-SK"/>
              </w:rPr>
            </w:pPr>
            <w:r>
              <w:rPr>
                <w:rFonts w:ascii="Times New Roman" w:hAnsi="Times New Roman" w:cs="Times New Roman"/>
                <w:lang w:eastAsia="sk-SK"/>
              </w:rPr>
              <w:t>do 360 dní</w:t>
            </w:r>
          </w:p>
        </w:tc>
        <w:tc>
          <w:tcPr>
            <w:tcW w:w="1220" w:type="dxa"/>
            <w:tcBorders>
              <w:top w:val="nil"/>
              <w:left w:val="nil"/>
              <w:bottom w:val="single" w:sz="8" w:space="0" w:color="auto"/>
              <w:right w:val="nil"/>
              <w:tl2br w:val="nil"/>
              <w:tr2bl w:val="nil"/>
            </w:tcBorders>
            <w:noWrap/>
            <w:textDirection w:val="lrTb"/>
            <w:vAlign w:val="bottom"/>
          </w:tcPr>
          <w:p w:rsidR="00AE473C" w:rsidP="00327CDA">
            <w:pPr>
              <w:spacing w:line="240" w:lineRule="auto"/>
              <w:jc w:val="right"/>
              <w:rPr>
                <w:rFonts w:ascii="Times New Roman" w:hAnsi="Times New Roman" w:cs="Times New Roman"/>
                <w:lang w:eastAsia="sk-SK"/>
              </w:rPr>
            </w:pPr>
            <w:r>
              <w:rPr>
                <w:rFonts w:ascii="Times New Roman" w:hAnsi="Times New Roman" w:cs="Times New Roman"/>
                <w:lang w:eastAsia="sk-SK"/>
              </w:rPr>
              <w:t>15 396</w:t>
            </w:r>
          </w:p>
        </w:tc>
        <w:tc>
          <w:tcPr>
            <w:tcW w:w="1120" w:type="dxa"/>
            <w:tcBorders>
              <w:top w:val="nil"/>
              <w:left w:val="single" w:sz="8" w:space="0" w:color="auto"/>
              <w:bottom w:val="single" w:sz="8" w:space="0" w:color="auto"/>
              <w:right w:val="nil"/>
              <w:tl2br w:val="nil"/>
              <w:tr2bl w:val="nil"/>
            </w:tcBorders>
            <w:noWrap/>
            <w:textDirection w:val="lrTb"/>
            <w:vAlign w:val="bottom"/>
          </w:tcPr>
          <w:p w:rsidR="00AE473C" w:rsidP="00327CDA">
            <w:pPr>
              <w:spacing w:line="240" w:lineRule="auto"/>
              <w:jc w:val="right"/>
              <w:rPr>
                <w:rFonts w:ascii="Times New Roman" w:hAnsi="Times New Roman" w:cs="Times New Roman"/>
                <w:lang w:eastAsia="sk-SK"/>
              </w:rPr>
            </w:pPr>
            <w:r>
              <w:rPr>
                <w:rFonts w:ascii="Times New Roman" w:hAnsi="Times New Roman" w:cs="Times New Roman"/>
                <w:lang w:eastAsia="sk-SK"/>
              </w:rPr>
              <w:t>14 452</w:t>
            </w:r>
          </w:p>
        </w:tc>
        <w:tc>
          <w:tcPr>
            <w:tcW w:w="1120" w:type="dxa"/>
            <w:tcBorders>
              <w:top w:val="single" w:sz="8" w:space="0" w:color="auto"/>
              <w:left w:val="single" w:sz="8" w:space="0" w:color="auto"/>
              <w:bottom w:val="single" w:sz="8" w:space="0" w:color="auto"/>
              <w:right w:val="nil"/>
              <w:tl2br w:val="nil"/>
              <w:tr2bl w:val="nil"/>
            </w:tcBorders>
            <w:noWrap/>
            <w:textDirection w:val="lrTb"/>
            <w:vAlign w:val="bottom"/>
          </w:tcPr>
          <w:p w:rsidR="00AE473C" w:rsidP="00327CDA">
            <w:pPr>
              <w:spacing w:line="240" w:lineRule="auto"/>
              <w:jc w:val="right"/>
              <w:rPr>
                <w:rFonts w:ascii="Times New Roman" w:hAnsi="Times New Roman" w:cs="Times New Roman"/>
                <w:lang w:eastAsia="sk-SK"/>
              </w:rPr>
            </w:pPr>
            <w:r>
              <w:rPr>
                <w:rFonts w:ascii="Times New Roman" w:hAnsi="Times New Roman" w:cs="Times New Roman"/>
                <w:lang w:eastAsia="sk-SK"/>
              </w:rPr>
              <w:t>1 491</w:t>
            </w:r>
          </w:p>
        </w:tc>
        <w:tc>
          <w:tcPr>
            <w:tcW w:w="1120" w:type="dxa"/>
            <w:tcBorders>
              <w:top w:val="nil"/>
              <w:left w:val="single" w:sz="8" w:space="0" w:color="auto"/>
              <w:bottom w:val="nil"/>
              <w:right w:val="nil"/>
              <w:tl2br w:val="nil"/>
              <w:tr2bl w:val="nil"/>
            </w:tcBorders>
            <w:noWrap/>
            <w:textDirection w:val="lrTb"/>
            <w:vAlign w:val="bottom"/>
          </w:tcPr>
          <w:p w:rsidR="00AE473C" w:rsidP="00327CDA">
            <w:pPr>
              <w:spacing w:line="240" w:lineRule="auto"/>
              <w:jc w:val="right"/>
              <w:rPr>
                <w:rFonts w:ascii="Times New Roman" w:hAnsi="Times New Roman" w:cs="Times New Roman"/>
                <w:lang w:eastAsia="sk-SK"/>
              </w:rPr>
            </w:pPr>
            <w:r>
              <w:rPr>
                <w:rFonts w:ascii="Times New Roman" w:hAnsi="Times New Roman" w:cs="Times New Roman"/>
                <w:lang w:eastAsia="sk-SK"/>
              </w:rPr>
              <w:t>2 176</w:t>
            </w:r>
          </w:p>
        </w:tc>
        <w:tc>
          <w:tcPr>
            <w:tcW w:w="1220" w:type="dxa"/>
            <w:tcBorders>
              <w:top w:val="nil"/>
              <w:left w:val="single" w:sz="8" w:space="0" w:color="auto"/>
              <w:bottom w:val="nil"/>
              <w:right w:val="single" w:sz="8" w:space="0" w:color="auto"/>
              <w:tl2br w:val="nil"/>
              <w:tr2bl w:val="nil"/>
            </w:tcBorders>
            <w:noWrap/>
            <w:textDirection w:val="lrTb"/>
            <w:vAlign w:val="bottom"/>
          </w:tcPr>
          <w:p w:rsidR="00AE473C" w:rsidP="00327CDA">
            <w:pPr>
              <w:spacing w:line="240" w:lineRule="auto"/>
              <w:jc w:val="right"/>
              <w:rPr>
                <w:rFonts w:ascii="Times New Roman" w:hAnsi="Times New Roman" w:cs="Times New Roman"/>
                <w:lang w:eastAsia="sk-SK"/>
              </w:rPr>
            </w:pPr>
            <w:r>
              <w:rPr>
                <w:rFonts w:ascii="Times New Roman" w:hAnsi="Times New Roman" w:cs="Times New Roman"/>
                <w:lang w:eastAsia="sk-SK"/>
              </w:rPr>
              <w:t>2 837</w:t>
            </w:r>
          </w:p>
        </w:tc>
      </w:tr>
      <w:tr>
        <w:tblPrEx>
          <w:tblW w:w="8875" w:type="dxa"/>
          <w:tblInd w:w="55" w:type="dxa"/>
          <w:tblCellMar>
            <w:left w:w="70" w:type="dxa"/>
            <w:right w:w="70" w:type="dxa"/>
          </w:tblCellMar>
        </w:tblPrEx>
        <w:trPr>
          <w:trHeight w:hRule="exact" w:val="227"/>
        </w:trPr>
        <w:tc>
          <w:tcPr>
            <w:tcW w:w="440" w:type="dxa"/>
            <w:tcBorders>
              <w:top w:val="nil"/>
              <w:left w:val="single" w:sz="8" w:space="0" w:color="auto"/>
              <w:bottom w:val="single" w:sz="8" w:space="0" w:color="auto"/>
              <w:right w:val="nil"/>
              <w:tl2br w:val="nil"/>
              <w:tr2bl w:val="nil"/>
            </w:tcBorders>
            <w:noWrap/>
            <w:textDirection w:val="lrTb"/>
            <w:vAlign w:val="bottom"/>
          </w:tcPr>
          <w:p w:rsidR="00AE473C" w:rsidP="00327CDA">
            <w:pPr>
              <w:spacing w:line="240" w:lineRule="auto"/>
              <w:jc w:val="center"/>
              <w:rPr>
                <w:rFonts w:ascii="Times New Roman" w:hAnsi="Times New Roman" w:cs="Times New Roman"/>
                <w:lang w:eastAsia="sk-SK"/>
              </w:rPr>
            </w:pPr>
            <w:r>
              <w:rPr>
                <w:rFonts w:ascii="Times New Roman" w:hAnsi="Times New Roman" w:cs="Times New Roman"/>
                <w:lang w:eastAsia="sk-SK"/>
              </w:rPr>
              <w:t> </w:t>
            </w:r>
          </w:p>
        </w:tc>
        <w:tc>
          <w:tcPr>
            <w:tcW w:w="2635" w:type="dxa"/>
            <w:tcBorders>
              <w:top w:val="nil"/>
              <w:left w:val="single" w:sz="8" w:space="0" w:color="auto"/>
              <w:bottom w:val="single" w:sz="8" w:space="0" w:color="auto"/>
              <w:right w:val="single" w:sz="8" w:space="0" w:color="auto"/>
              <w:tl2br w:val="nil"/>
              <w:tr2bl w:val="nil"/>
            </w:tcBorders>
            <w:noWrap/>
            <w:textDirection w:val="lrTb"/>
            <w:vAlign w:val="bottom"/>
          </w:tcPr>
          <w:p w:rsidR="00AE473C" w:rsidP="00327CDA">
            <w:pPr>
              <w:spacing w:line="240" w:lineRule="auto"/>
              <w:rPr>
                <w:rFonts w:ascii="Times New Roman" w:hAnsi="Times New Roman" w:cs="Times New Roman"/>
                <w:lang w:eastAsia="sk-SK"/>
              </w:rPr>
            </w:pPr>
            <w:r>
              <w:rPr>
                <w:rFonts w:ascii="Times New Roman" w:hAnsi="Times New Roman" w:cs="Times New Roman"/>
                <w:lang w:eastAsia="sk-SK"/>
              </w:rPr>
              <w:t>do 2 rokov</w:t>
            </w:r>
          </w:p>
        </w:tc>
        <w:tc>
          <w:tcPr>
            <w:tcW w:w="1220" w:type="dxa"/>
            <w:tcBorders>
              <w:top w:val="nil"/>
              <w:left w:val="nil"/>
              <w:bottom w:val="single" w:sz="8" w:space="0" w:color="auto"/>
              <w:right w:val="nil"/>
              <w:tl2br w:val="nil"/>
              <w:tr2bl w:val="nil"/>
            </w:tcBorders>
            <w:noWrap/>
            <w:textDirection w:val="lrTb"/>
            <w:vAlign w:val="bottom"/>
          </w:tcPr>
          <w:p w:rsidR="00AE473C" w:rsidP="00327CDA">
            <w:pPr>
              <w:spacing w:line="240" w:lineRule="auto"/>
              <w:jc w:val="right"/>
              <w:rPr>
                <w:rFonts w:ascii="Times New Roman" w:hAnsi="Times New Roman" w:cs="Times New Roman"/>
                <w:lang w:eastAsia="sk-SK"/>
              </w:rPr>
            </w:pPr>
            <w:r>
              <w:rPr>
                <w:rFonts w:ascii="Times New Roman" w:hAnsi="Times New Roman" w:cs="Times New Roman"/>
                <w:lang w:eastAsia="sk-SK"/>
              </w:rPr>
              <w:t>2 974</w:t>
            </w:r>
          </w:p>
        </w:tc>
        <w:tc>
          <w:tcPr>
            <w:tcW w:w="1120" w:type="dxa"/>
            <w:tcBorders>
              <w:top w:val="nil"/>
              <w:left w:val="single" w:sz="8" w:space="0" w:color="auto"/>
              <w:bottom w:val="single" w:sz="8" w:space="0" w:color="auto"/>
              <w:right w:val="nil"/>
              <w:tl2br w:val="nil"/>
              <w:tr2bl w:val="nil"/>
            </w:tcBorders>
            <w:noWrap/>
            <w:textDirection w:val="lrTb"/>
            <w:vAlign w:val="bottom"/>
          </w:tcPr>
          <w:p w:rsidR="00AE473C" w:rsidP="00327CDA">
            <w:pPr>
              <w:spacing w:line="240" w:lineRule="auto"/>
              <w:jc w:val="right"/>
              <w:rPr>
                <w:rFonts w:ascii="Times New Roman" w:hAnsi="Times New Roman" w:cs="Times New Roman"/>
                <w:lang w:eastAsia="sk-SK"/>
              </w:rPr>
            </w:pPr>
            <w:r>
              <w:rPr>
                <w:rFonts w:ascii="Times New Roman" w:hAnsi="Times New Roman" w:cs="Times New Roman"/>
                <w:lang w:eastAsia="sk-SK"/>
              </w:rPr>
              <w:t>4 075</w:t>
            </w:r>
          </w:p>
        </w:tc>
        <w:tc>
          <w:tcPr>
            <w:tcW w:w="1120" w:type="dxa"/>
            <w:tcBorders>
              <w:top w:val="nil"/>
              <w:left w:val="single" w:sz="8" w:space="0" w:color="auto"/>
              <w:bottom w:val="nil"/>
              <w:right w:val="nil"/>
              <w:tl2br w:val="nil"/>
              <w:tr2bl w:val="nil"/>
            </w:tcBorders>
            <w:noWrap/>
            <w:textDirection w:val="lrTb"/>
            <w:vAlign w:val="bottom"/>
          </w:tcPr>
          <w:p w:rsidR="00AE473C" w:rsidP="00327CDA">
            <w:pPr>
              <w:spacing w:line="240" w:lineRule="auto"/>
              <w:jc w:val="right"/>
              <w:rPr>
                <w:rFonts w:ascii="Times New Roman" w:hAnsi="Times New Roman" w:cs="Times New Roman"/>
                <w:lang w:eastAsia="sk-SK"/>
              </w:rPr>
            </w:pPr>
            <w:r>
              <w:rPr>
                <w:rFonts w:ascii="Times New Roman" w:hAnsi="Times New Roman" w:cs="Times New Roman"/>
                <w:lang w:eastAsia="sk-SK"/>
              </w:rPr>
              <w:t>17 341</w:t>
            </w:r>
          </w:p>
        </w:tc>
        <w:tc>
          <w:tcPr>
            <w:tcW w:w="1120" w:type="dxa"/>
            <w:tcBorders>
              <w:top w:val="single" w:sz="8" w:space="0" w:color="auto"/>
              <w:left w:val="single" w:sz="8" w:space="0" w:color="auto"/>
              <w:bottom w:val="single" w:sz="8" w:space="0" w:color="auto"/>
              <w:right w:val="nil"/>
              <w:tl2br w:val="nil"/>
              <w:tr2bl w:val="nil"/>
            </w:tcBorders>
            <w:noWrap/>
            <w:textDirection w:val="lrTb"/>
            <w:vAlign w:val="bottom"/>
          </w:tcPr>
          <w:p w:rsidR="00AE473C" w:rsidP="00327CDA">
            <w:pPr>
              <w:spacing w:line="240" w:lineRule="auto"/>
              <w:jc w:val="right"/>
              <w:rPr>
                <w:rFonts w:ascii="Times New Roman" w:hAnsi="Times New Roman" w:cs="Times New Roman"/>
                <w:lang w:eastAsia="sk-SK"/>
              </w:rPr>
            </w:pPr>
            <w:r>
              <w:rPr>
                <w:rFonts w:ascii="Times New Roman" w:hAnsi="Times New Roman" w:cs="Times New Roman"/>
                <w:lang w:eastAsia="sk-SK"/>
              </w:rPr>
              <w:t>16 146</w:t>
            </w:r>
          </w:p>
        </w:tc>
        <w:tc>
          <w:tcPr>
            <w:tcW w:w="1220" w:type="dxa"/>
            <w:tcBorders>
              <w:top w:val="single" w:sz="8" w:space="0" w:color="auto"/>
              <w:left w:val="single" w:sz="8" w:space="0" w:color="auto"/>
              <w:bottom w:val="single" w:sz="8" w:space="0" w:color="auto"/>
              <w:right w:val="single" w:sz="8" w:space="0" w:color="auto"/>
              <w:tl2br w:val="nil"/>
              <w:tr2bl w:val="nil"/>
            </w:tcBorders>
            <w:noWrap/>
            <w:textDirection w:val="lrTb"/>
            <w:vAlign w:val="bottom"/>
          </w:tcPr>
          <w:p w:rsidR="00AE473C" w:rsidP="00327CDA">
            <w:pPr>
              <w:spacing w:line="240" w:lineRule="auto"/>
              <w:jc w:val="right"/>
              <w:rPr>
                <w:rFonts w:ascii="Times New Roman" w:hAnsi="Times New Roman" w:cs="Times New Roman"/>
                <w:lang w:eastAsia="sk-SK"/>
              </w:rPr>
            </w:pPr>
            <w:r>
              <w:rPr>
                <w:rFonts w:ascii="Times New Roman" w:hAnsi="Times New Roman" w:cs="Times New Roman"/>
                <w:lang w:eastAsia="sk-SK"/>
              </w:rPr>
              <w:t>13 407</w:t>
            </w:r>
          </w:p>
        </w:tc>
      </w:tr>
      <w:tr>
        <w:tblPrEx>
          <w:tblW w:w="8875" w:type="dxa"/>
          <w:tblInd w:w="55" w:type="dxa"/>
          <w:tblCellMar>
            <w:left w:w="70" w:type="dxa"/>
            <w:right w:w="70" w:type="dxa"/>
          </w:tblCellMar>
        </w:tblPrEx>
        <w:trPr>
          <w:trHeight w:hRule="exact" w:val="227"/>
        </w:trPr>
        <w:tc>
          <w:tcPr>
            <w:tcW w:w="440" w:type="dxa"/>
            <w:tcBorders>
              <w:top w:val="nil"/>
              <w:left w:val="single" w:sz="8" w:space="0" w:color="auto"/>
              <w:bottom w:val="single" w:sz="8" w:space="0" w:color="auto"/>
              <w:right w:val="nil"/>
              <w:tl2br w:val="nil"/>
              <w:tr2bl w:val="nil"/>
            </w:tcBorders>
            <w:noWrap/>
            <w:textDirection w:val="lrTb"/>
            <w:vAlign w:val="bottom"/>
          </w:tcPr>
          <w:p w:rsidR="00AE473C" w:rsidP="00327CDA">
            <w:pPr>
              <w:spacing w:line="240" w:lineRule="auto"/>
              <w:jc w:val="center"/>
              <w:rPr>
                <w:rFonts w:ascii="Times New Roman" w:hAnsi="Times New Roman" w:cs="Times New Roman"/>
                <w:lang w:eastAsia="sk-SK"/>
              </w:rPr>
            </w:pPr>
            <w:r>
              <w:rPr>
                <w:rFonts w:ascii="Times New Roman" w:hAnsi="Times New Roman" w:cs="Times New Roman"/>
                <w:lang w:eastAsia="sk-SK"/>
              </w:rPr>
              <w:t> </w:t>
            </w:r>
          </w:p>
        </w:tc>
        <w:tc>
          <w:tcPr>
            <w:tcW w:w="2635" w:type="dxa"/>
            <w:tcBorders>
              <w:top w:val="nil"/>
              <w:left w:val="single" w:sz="8" w:space="0" w:color="auto"/>
              <w:bottom w:val="single" w:sz="8" w:space="0" w:color="auto"/>
              <w:right w:val="single" w:sz="8" w:space="0" w:color="auto"/>
              <w:tl2br w:val="nil"/>
              <w:tr2bl w:val="nil"/>
            </w:tcBorders>
            <w:noWrap/>
            <w:textDirection w:val="lrTb"/>
            <w:vAlign w:val="bottom"/>
          </w:tcPr>
          <w:p w:rsidR="00AE473C" w:rsidP="00327CDA">
            <w:pPr>
              <w:spacing w:line="240" w:lineRule="auto"/>
              <w:rPr>
                <w:rFonts w:ascii="Times New Roman" w:hAnsi="Times New Roman" w:cs="Times New Roman"/>
                <w:lang w:eastAsia="sk-SK"/>
              </w:rPr>
            </w:pPr>
            <w:r>
              <w:rPr>
                <w:rFonts w:ascii="Times New Roman" w:hAnsi="Times New Roman" w:cs="Times New Roman"/>
                <w:lang w:eastAsia="sk-SK"/>
              </w:rPr>
              <w:t>do 3 rokov</w:t>
            </w:r>
          </w:p>
        </w:tc>
        <w:tc>
          <w:tcPr>
            <w:tcW w:w="1220" w:type="dxa"/>
            <w:tcBorders>
              <w:top w:val="nil"/>
              <w:left w:val="nil"/>
              <w:bottom w:val="single" w:sz="8" w:space="0" w:color="auto"/>
              <w:right w:val="nil"/>
              <w:tl2br w:val="nil"/>
              <w:tr2bl w:val="nil"/>
            </w:tcBorders>
            <w:noWrap/>
            <w:textDirection w:val="lrTb"/>
            <w:vAlign w:val="bottom"/>
          </w:tcPr>
          <w:p w:rsidR="00AE473C" w:rsidP="00327CDA">
            <w:pPr>
              <w:spacing w:line="240" w:lineRule="auto"/>
              <w:jc w:val="right"/>
              <w:rPr>
                <w:rFonts w:ascii="Times New Roman" w:hAnsi="Times New Roman" w:cs="Times New Roman"/>
                <w:lang w:eastAsia="sk-SK"/>
              </w:rPr>
            </w:pPr>
            <w:r>
              <w:rPr>
                <w:rFonts w:ascii="Times New Roman" w:hAnsi="Times New Roman" w:cs="Times New Roman"/>
                <w:lang w:eastAsia="sk-SK"/>
              </w:rPr>
              <w:t>146</w:t>
            </w:r>
          </w:p>
        </w:tc>
        <w:tc>
          <w:tcPr>
            <w:tcW w:w="1120" w:type="dxa"/>
            <w:tcBorders>
              <w:top w:val="nil"/>
              <w:left w:val="single" w:sz="8" w:space="0" w:color="auto"/>
              <w:bottom w:val="single" w:sz="8" w:space="0" w:color="auto"/>
              <w:right w:val="nil"/>
              <w:tl2br w:val="nil"/>
              <w:tr2bl w:val="nil"/>
            </w:tcBorders>
            <w:noWrap/>
            <w:textDirection w:val="lrTb"/>
            <w:vAlign w:val="bottom"/>
          </w:tcPr>
          <w:p w:rsidR="00AE473C" w:rsidP="00327CDA">
            <w:pPr>
              <w:spacing w:line="240" w:lineRule="auto"/>
              <w:jc w:val="right"/>
              <w:rPr>
                <w:rFonts w:ascii="Times New Roman" w:hAnsi="Times New Roman" w:cs="Times New Roman"/>
                <w:lang w:eastAsia="sk-SK"/>
              </w:rPr>
            </w:pPr>
            <w:r>
              <w:rPr>
                <w:rFonts w:ascii="Times New Roman" w:hAnsi="Times New Roman" w:cs="Times New Roman"/>
                <w:lang w:eastAsia="sk-SK"/>
              </w:rPr>
              <w:t>144</w:t>
            </w:r>
          </w:p>
        </w:tc>
        <w:tc>
          <w:tcPr>
            <w:tcW w:w="1120" w:type="dxa"/>
            <w:tcBorders>
              <w:top w:val="single" w:sz="8" w:space="0" w:color="auto"/>
              <w:left w:val="single" w:sz="8" w:space="0" w:color="auto"/>
              <w:bottom w:val="single" w:sz="8" w:space="0" w:color="auto"/>
              <w:right w:val="nil"/>
              <w:tl2br w:val="nil"/>
              <w:tr2bl w:val="nil"/>
            </w:tcBorders>
            <w:noWrap/>
            <w:textDirection w:val="lrTb"/>
            <w:vAlign w:val="bottom"/>
          </w:tcPr>
          <w:p w:rsidR="00AE473C" w:rsidP="00327CDA">
            <w:pPr>
              <w:spacing w:line="240" w:lineRule="auto"/>
              <w:jc w:val="right"/>
              <w:rPr>
                <w:rFonts w:ascii="Times New Roman" w:hAnsi="Times New Roman" w:cs="Times New Roman"/>
                <w:lang w:eastAsia="sk-SK"/>
              </w:rPr>
            </w:pPr>
            <w:r>
              <w:rPr>
                <w:rFonts w:ascii="Times New Roman" w:hAnsi="Times New Roman" w:cs="Times New Roman"/>
                <w:lang w:eastAsia="sk-SK"/>
              </w:rPr>
              <w:t>112</w:t>
            </w:r>
          </w:p>
        </w:tc>
        <w:tc>
          <w:tcPr>
            <w:tcW w:w="1120" w:type="dxa"/>
            <w:tcBorders>
              <w:top w:val="nil"/>
              <w:left w:val="single" w:sz="8" w:space="0" w:color="auto"/>
              <w:bottom w:val="single" w:sz="8" w:space="0" w:color="auto"/>
              <w:right w:val="nil"/>
              <w:tl2br w:val="nil"/>
              <w:tr2bl w:val="nil"/>
            </w:tcBorders>
            <w:noWrap/>
            <w:textDirection w:val="lrTb"/>
            <w:vAlign w:val="bottom"/>
          </w:tcPr>
          <w:p w:rsidR="00AE473C" w:rsidP="00327CDA">
            <w:pPr>
              <w:spacing w:line="240" w:lineRule="auto"/>
              <w:jc w:val="right"/>
              <w:rPr>
                <w:rFonts w:ascii="Times New Roman" w:hAnsi="Times New Roman" w:cs="Times New Roman"/>
                <w:lang w:eastAsia="sk-SK"/>
              </w:rPr>
            </w:pPr>
            <w:r>
              <w:rPr>
                <w:rFonts w:ascii="Times New Roman" w:hAnsi="Times New Roman" w:cs="Times New Roman"/>
                <w:lang w:eastAsia="sk-SK"/>
              </w:rPr>
              <w:t>956</w:t>
            </w:r>
          </w:p>
        </w:tc>
        <w:tc>
          <w:tcPr>
            <w:tcW w:w="1220" w:type="dxa"/>
            <w:tcBorders>
              <w:top w:val="nil"/>
              <w:left w:val="single" w:sz="8" w:space="0" w:color="auto"/>
              <w:bottom w:val="single" w:sz="8" w:space="0" w:color="auto"/>
              <w:right w:val="single" w:sz="8" w:space="0" w:color="auto"/>
              <w:tl2br w:val="nil"/>
              <w:tr2bl w:val="nil"/>
            </w:tcBorders>
            <w:noWrap/>
            <w:textDirection w:val="lrTb"/>
            <w:vAlign w:val="bottom"/>
          </w:tcPr>
          <w:p w:rsidR="00AE473C" w:rsidP="00327CDA">
            <w:pPr>
              <w:spacing w:line="240" w:lineRule="auto"/>
              <w:jc w:val="right"/>
              <w:rPr>
                <w:rFonts w:ascii="Times New Roman" w:hAnsi="Times New Roman" w:cs="Times New Roman"/>
                <w:lang w:eastAsia="sk-SK"/>
              </w:rPr>
            </w:pPr>
            <w:r>
              <w:rPr>
                <w:rFonts w:ascii="Times New Roman" w:hAnsi="Times New Roman" w:cs="Times New Roman"/>
                <w:lang w:eastAsia="sk-SK"/>
              </w:rPr>
              <w:t>2 981</w:t>
            </w:r>
          </w:p>
        </w:tc>
      </w:tr>
      <w:tr>
        <w:tblPrEx>
          <w:tblW w:w="8875" w:type="dxa"/>
          <w:tblInd w:w="55" w:type="dxa"/>
          <w:tblCellMar>
            <w:left w:w="70" w:type="dxa"/>
            <w:right w:w="70" w:type="dxa"/>
          </w:tblCellMar>
        </w:tblPrEx>
        <w:trPr>
          <w:trHeight w:hRule="exact" w:val="227"/>
        </w:trPr>
        <w:tc>
          <w:tcPr>
            <w:tcW w:w="440" w:type="dxa"/>
            <w:tcBorders>
              <w:top w:val="nil"/>
              <w:left w:val="single" w:sz="8" w:space="0" w:color="auto"/>
              <w:bottom w:val="nil"/>
              <w:right w:val="nil"/>
              <w:tl2br w:val="nil"/>
              <w:tr2bl w:val="nil"/>
            </w:tcBorders>
            <w:noWrap/>
            <w:textDirection w:val="lrTb"/>
            <w:vAlign w:val="bottom"/>
          </w:tcPr>
          <w:p w:rsidR="00AE473C" w:rsidP="00327CDA">
            <w:pPr>
              <w:spacing w:line="240" w:lineRule="auto"/>
              <w:jc w:val="center"/>
              <w:rPr>
                <w:rFonts w:ascii="Times New Roman" w:hAnsi="Times New Roman" w:cs="Times New Roman"/>
                <w:lang w:eastAsia="sk-SK"/>
              </w:rPr>
            </w:pPr>
            <w:r>
              <w:rPr>
                <w:rFonts w:ascii="Times New Roman" w:hAnsi="Times New Roman" w:cs="Times New Roman"/>
                <w:lang w:eastAsia="sk-SK"/>
              </w:rPr>
              <w:t> </w:t>
            </w:r>
          </w:p>
        </w:tc>
        <w:tc>
          <w:tcPr>
            <w:tcW w:w="2635" w:type="dxa"/>
            <w:tcBorders>
              <w:top w:val="nil"/>
              <w:left w:val="single" w:sz="8" w:space="0" w:color="auto"/>
              <w:bottom w:val="nil"/>
              <w:right w:val="single" w:sz="8" w:space="0" w:color="auto"/>
              <w:tl2br w:val="nil"/>
              <w:tr2bl w:val="nil"/>
            </w:tcBorders>
            <w:noWrap/>
            <w:textDirection w:val="lrTb"/>
            <w:vAlign w:val="bottom"/>
          </w:tcPr>
          <w:p w:rsidR="00AE473C" w:rsidP="00327CDA">
            <w:pPr>
              <w:spacing w:line="240" w:lineRule="auto"/>
              <w:rPr>
                <w:rFonts w:ascii="Times New Roman" w:hAnsi="Times New Roman" w:cs="Times New Roman"/>
                <w:lang w:eastAsia="sk-SK"/>
              </w:rPr>
            </w:pPr>
            <w:r>
              <w:rPr>
                <w:rFonts w:ascii="Times New Roman" w:hAnsi="Times New Roman" w:cs="Times New Roman"/>
                <w:lang w:eastAsia="sk-SK"/>
              </w:rPr>
              <w:t>Nad 3 roky</w:t>
            </w:r>
          </w:p>
        </w:tc>
        <w:tc>
          <w:tcPr>
            <w:tcW w:w="1220" w:type="dxa"/>
            <w:tcBorders>
              <w:top w:val="nil"/>
              <w:left w:val="nil"/>
              <w:bottom w:val="nil"/>
              <w:right w:val="nil"/>
              <w:tl2br w:val="nil"/>
              <w:tr2bl w:val="nil"/>
            </w:tcBorders>
            <w:noWrap/>
            <w:textDirection w:val="lrTb"/>
            <w:vAlign w:val="bottom"/>
          </w:tcPr>
          <w:p w:rsidR="00AE473C" w:rsidP="00327CDA">
            <w:pPr>
              <w:spacing w:line="240" w:lineRule="auto"/>
              <w:jc w:val="right"/>
              <w:rPr>
                <w:rFonts w:ascii="Times New Roman" w:hAnsi="Times New Roman" w:cs="Times New Roman"/>
                <w:lang w:eastAsia="sk-SK"/>
              </w:rPr>
            </w:pPr>
            <w:r>
              <w:rPr>
                <w:rFonts w:ascii="Times New Roman" w:hAnsi="Times New Roman" w:cs="Times New Roman"/>
                <w:lang w:eastAsia="sk-SK"/>
              </w:rPr>
              <w:t>34</w:t>
            </w:r>
          </w:p>
        </w:tc>
        <w:tc>
          <w:tcPr>
            <w:tcW w:w="1120" w:type="dxa"/>
            <w:tcBorders>
              <w:top w:val="nil"/>
              <w:left w:val="single" w:sz="8" w:space="0" w:color="auto"/>
              <w:bottom w:val="nil"/>
              <w:right w:val="nil"/>
              <w:tl2br w:val="nil"/>
              <w:tr2bl w:val="nil"/>
            </w:tcBorders>
            <w:noWrap/>
            <w:textDirection w:val="lrTb"/>
            <w:vAlign w:val="bottom"/>
          </w:tcPr>
          <w:p w:rsidR="00AE473C" w:rsidP="00327CDA">
            <w:pPr>
              <w:spacing w:line="240" w:lineRule="auto"/>
              <w:jc w:val="right"/>
              <w:rPr>
                <w:rFonts w:ascii="Times New Roman" w:hAnsi="Times New Roman" w:cs="Times New Roman"/>
                <w:lang w:eastAsia="sk-SK"/>
              </w:rPr>
            </w:pPr>
            <w:r>
              <w:rPr>
                <w:rFonts w:ascii="Times New Roman" w:hAnsi="Times New Roman" w:cs="Times New Roman"/>
                <w:lang w:eastAsia="sk-SK"/>
              </w:rPr>
              <w:t>14</w:t>
            </w:r>
          </w:p>
        </w:tc>
        <w:tc>
          <w:tcPr>
            <w:tcW w:w="1120" w:type="dxa"/>
            <w:tcBorders>
              <w:top w:val="nil"/>
              <w:left w:val="single" w:sz="8" w:space="0" w:color="auto"/>
              <w:bottom w:val="nil"/>
              <w:right w:val="nil"/>
              <w:tl2br w:val="nil"/>
              <w:tr2bl w:val="nil"/>
            </w:tcBorders>
            <w:noWrap/>
            <w:textDirection w:val="lrTb"/>
            <w:vAlign w:val="bottom"/>
          </w:tcPr>
          <w:p w:rsidR="00AE473C" w:rsidP="00327CDA">
            <w:pPr>
              <w:spacing w:line="240" w:lineRule="auto"/>
              <w:jc w:val="right"/>
              <w:rPr>
                <w:rFonts w:ascii="Times New Roman" w:hAnsi="Times New Roman" w:cs="Times New Roman"/>
                <w:lang w:eastAsia="sk-SK"/>
              </w:rPr>
            </w:pPr>
            <w:r>
              <w:rPr>
                <w:rFonts w:ascii="Times New Roman" w:hAnsi="Times New Roman" w:cs="Times New Roman"/>
                <w:lang w:eastAsia="sk-SK"/>
              </w:rPr>
              <w:t>14</w:t>
            </w:r>
          </w:p>
        </w:tc>
        <w:tc>
          <w:tcPr>
            <w:tcW w:w="1120" w:type="dxa"/>
            <w:tcBorders>
              <w:top w:val="nil"/>
              <w:left w:val="single" w:sz="8" w:space="0" w:color="auto"/>
              <w:bottom w:val="nil"/>
              <w:right w:val="nil"/>
              <w:tl2br w:val="nil"/>
              <w:tr2bl w:val="nil"/>
            </w:tcBorders>
            <w:noWrap/>
            <w:textDirection w:val="lrTb"/>
            <w:vAlign w:val="bottom"/>
          </w:tcPr>
          <w:p w:rsidR="00AE473C" w:rsidP="00327CDA">
            <w:pPr>
              <w:spacing w:line="240" w:lineRule="auto"/>
              <w:jc w:val="right"/>
              <w:rPr>
                <w:rFonts w:ascii="Times New Roman" w:hAnsi="Times New Roman" w:cs="Times New Roman"/>
                <w:lang w:eastAsia="sk-SK"/>
              </w:rPr>
            </w:pPr>
            <w:r>
              <w:rPr>
                <w:rFonts w:ascii="Times New Roman" w:hAnsi="Times New Roman" w:cs="Times New Roman"/>
                <w:lang w:eastAsia="sk-SK"/>
              </w:rPr>
              <w:t>44</w:t>
            </w:r>
          </w:p>
        </w:tc>
        <w:tc>
          <w:tcPr>
            <w:tcW w:w="1220" w:type="dxa"/>
            <w:tcBorders>
              <w:top w:val="nil"/>
              <w:left w:val="single" w:sz="8" w:space="0" w:color="auto"/>
              <w:bottom w:val="nil"/>
              <w:right w:val="single" w:sz="8" w:space="0" w:color="auto"/>
              <w:tl2br w:val="nil"/>
              <w:tr2bl w:val="nil"/>
            </w:tcBorders>
            <w:noWrap/>
            <w:textDirection w:val="lrTb"/>
            <w:vAlign w:val="bottom"/>
          </w:tcPr>
          <w:p w:rsidR="00AE473C" w:rsidP="00327CDA">
            <w:pPr>
              <w:spacing w:line="240" w:lineRule="auto"/>
              <w:jc w:val="right"/>
              <w:rPr>
                <w:rFonts w:ascii="Times New Roman" w:hAnsi="Times New Roman" w:cs="Times New Roman"/>
                <w:lang w:eastAsia="sk-SK"/>
              </w:rPr>
            </w:pPr>
            <w:r>
              <w:rPr>
                <w:rFonts w:ascii="Times New Roman" w:hAnsi="Times New Roman" w:cs="Times New Roman"/>
                <w:lang w:eastAsia="sk-SK"/>
              </w:rPr>
              <w:t>56</w:t>
            </w:r>
          </w:p>
        </w:tc>
      </w:tr>
      <w:tr>
        <w:tblPrEx>
          <w:tblW w:w="8875" w:type="dxa"/>
          <w:tblInd w:w="55" w:type="dxa"/>
          <w:tblCellMar>
            <w:left w:w="70" w:type="dxa"/>
            <w:right w:w="70" w:type="dxa"/>
          </w:tblCellMar>
        </w:tblPrEx>
        <w:trPr>
          <w:trHeight w:hRule="exact" w:val="227"/>
        </w:trPr>
        <w:tc>
          <w:tcPr>
            <w:tcW w:w="440" w:type="dxa"/>
            <w:tcBorders>
              <w:top w:val="single" w:sz="8" w:space="0" w:color="auto"/>
              <w:left w:val="single" w:sz="8" w:space="0" w:color="auto"/>
              <w:bottom w:val="single" w:sz="8" w:space="0" w:color="auto"/>
              <w:right w:val="single" w:sz="8" w:space="0" w:color="auto"/>
              <w:tl2br w:val="nil"/>
              <w:tr2bl w:val="nil"/>
            </w:tcBorders>
            <w:textDirection w:val="lrTb"/>
            <w:vAlign w:val="bottom"/>
          </w:tcPr>
          <w:p w:rsidR="00AE473C" w:rsidP="00327CDA">
            <w:pPr>
              <w:spacing w:line="240" w:lineRule="auto"/>
              <w:jc w:val="center"/>
              <w:rPr>
                <w:rFonts w:ascii="Times New Roman" w:hAnsi="Times New Roman" w:cs="Times New Roman"/>
                <w:lang w:eastAsia="sk-SK"/>
              </w:rPr>
            </w:pPr>
            <w:r>
              <w:rPr>
                <w:rFonts w:ascii="Times New Roman" w:hAnsi="Times New Roman" w:cs="Times New Roman"/>
                <w:lang w:eastAsia="sk-SK"/>
              </w:rPr>
              <w:t>391</w:t>
            </w:r>
          </w:p>
        </w:tc>
        <w:tc>
          <w:tcPr>
            <w:tcW w:w="2635" w:type="dxa"/>
            <w:tcBorders>
              <w:top w:val="single" w:sz="8" w:space="0" w:color="auto"/>
              <w:left w:val="nil"/>
              <w:bottom w:val="single" w:sz="8" w:space="0" w:color="auto"/>
              <w:right w:val="single" w:sz="8" w:space="0" w:color="auto"/>
              <w:tl2br w:val="nil"/>
              <w:tr2bl w:val="nil"/>
            </w:tcBorders>
            <w:textDirection w:val="lrTb"/>
            <w:vAlign w:val="bottom"/>
          </w:tcPr>
          <w:p w:rsidR="00AE473C" w:rsidP="00327CDA">
            <w:pPr>
              <w:spacing w:line="240" w:lineRule="auto"/>
              <w:rPr>
                <w:rFonts w:ascii="Times New Roman" w:hAnsi="Times New Roman" w:cs="Times New Roman"/>
                <w:lang w:eastAsia="sk-SK"/>
              </w:rPr>
            </w:pPr>
            <w:r>
              <w:rPr>
                <w:rFonts w:ascii="Times New Roman" w:hAnsi="Times New Roman" w:cs="Times New Roman"/>
                <w:lang w:eastAsia="sk-SK"/>
              </w:rPr>
              <w:t xml:space="preserve"> Opravné položky</w:t>
            </w:r>
          </w:p>
        </w:tc>
        <w:tc>
          <w:tcPr>
            <w:tcW w:w="1220" w:type="dxa"/>
            <w:tcBorders>
              <w:top w:val="single" w:sz="8" w:space="0" w:color="auto"/>
              <w:left w:val="nil"/>
              <w:bottom w:val="single" w:sz="8" w:space="0" w:color="auto"/>
              <w:right w:val="nil"/>
              <w:tl2br w:val="nil"/>
              <w:tr2bl w:val="nil"/>
            </w:tcBorders>
            <w:noWrap/>
            <w:textDirection w:val="lrTb"/>
            <w:vAlign w:val="bottom"/>
          </w:tcPr>
          <w:p w:rsidR="00AE473C" w:rsidP="00327CDA">
            <w:pPr>
              <w:spacing w:line="240" w:lineRule="auto"/>
              <w:jc w:val="right"/>
              <w:rPr>
                <w:rFonts w:ascii="Times New Roman" w:hAnsi="Times New Roman" w:cs="Times New Roman"/>
                <w:lang w:eastAsia="sk-SK"/>
              </w:rPr>
            </w:pPr>
            <w:r>
              <w:rPr>
                <w:rFonts w:ascii="Times New Roman" w:hAnsi="Times New Roman" w:cs="Times New Roman"/>
                <w:lang w:eastAsia="sk-SK"/>
              </w:rPr>
              <w:t>15 997</w:t>
            </w:r>
          </w:p>
        </w:tc>
        <w:tc>
          <w:tcPr>
            <w:tcW w:w="1120" w:type="dxa"/>
            <w:tcBorders>
              <w:top w:val="single" w:sz="8" w:space="0" w:color="auto"/>
              <w:left w:val="single" w:sz="8" w:space="0" w:color="auto"/>
              <w:bottom w:val="single" w:sz="8" w:space="0" w:color="auto"/>
              <w:right w:val="nil"/>
              <w:tl2br w:val="nil"/>
              <w:tr2bl w:val="nil"/>
            </w:tcBorders>
            <w:noWrap/>
            <w:textDirection w:val="lrTb"/>
            <w:vAlign w:val="bottom"/>
          </w:tcPr>
          <w:p w:rsidR="00AE473C" w:rsidP="00327CDA">
            <w:pPr>
              <w:spacing w:line="240" w:lineRule="auto"/>
              <w:jc w:val="right"/>
              <w:rPr>
                <w:rFonts w:ascii="Times New Roman" w:hAnsi="Times New Roman" w:cs="Times New Roman"/>
                <w:lang w:eastAsia="sk-SK"/>
              </w:rPr>
            </w:pPr>
            <w:r>
              <w:rPr>
                <w:rFonts w:ascii="Times New Roman" w:hAnsi="Times New Roman" w:cs="Times New Roman"/>
                <w:lang w:eastAsia="sk-SK"/>
              </w:rPr>
              <w:t>15 400</w:t>
            </w:r>
          </w:p>
        </w:tc>
        <w:tc>
          <w:tcPr>
            <w:tcW w:w="1120" w:type="dxa"/>
            <w:tcBorders>
              <w:top w:val="single" w:sz="8" w:space="0" w:color="auto"/>
              <w:left w:val="single" w:sz="8" w:space="0" w:color="auto"/>
              <w:bottom w:val="single" w:sz="8" w:space="0" w:color="auto"/>
              <w:right w:val="nil"/>
              <w:tl2br w:val="nil"/>
              <w:tr2bl w:val="nil"/>
            </w:tcBorders>
            <w:noWrap/>
            <w:textDirection w:val="lrTb"/>
            <w:vAlign w:val="bottom"/>
          </w:tcPr>
          <w:p w:rsidR="00AE473C" w:rsidP="00327CDA">
            <w:pPr>
              <w:spacing w:line="240" w:lineRule="auto"/>
              <w:jc w:val="right"/>
              <w:rPr>
                <w:rFonts w:ascii="Times New Roman" w:hAnsi="Times New Roman" w:cs="Times New Roman"/>
                <w:lang w:eastAsia="sk-SK"/>
              </w:rPr>
            </w:pPr>
            <w:r>
              <w:rPr>
                <w:rFonts w:ascii="Times New Roman" w:hAnsi="Times New Roman" w:cs="Times New Roman"/>
                <w:lang w:eastAsia="sk-SK"/>
              </w:rPr>
              <w:t>14 920</w:t>
            </w:r>
          </w:p>
        </w:tc>
        <w:tc>
          <w:tcPr>
            <w:tcW w:w="1120" w:type="dxa"/>
            <w:tcBorders>
              <w:top w:val="single" w:sz="8" w:space="0" w:color="auto"/>
              <w:left w:val="single" w:sz="8" w:space="0" w:color="auto"/>
              <w:bottom w:val="single" w:sz="8" w:space="0" w:color="auto"/>
              <w:right w:val="nil"/>
              <w:tl2br w:val="nil"/>
              <w:tr2bl w:val="nil"/>
            </w:tcBorders>
            <w:noWrap/>
            <w:textDirection w:val="lrTb"/>
            <w:vAlign w:val="bottom"/>
          </w:tcPr>
          <w:p w:rsidR="00AE473C" w:rsidP="00327CDA">
            <w:pPr>
              <w:spacing w:line="240" w:lineRule="auto"/>
              <w:jc w:val="right"/>
              <w:rPr>
                <w:rFonts w:ascii="Times New Roman" w:hAnsi="Times New Roman" w:cs="Times New Roman"/>
                <w:lang w:eastAsia="sk-SK"/>
              </w:rPr>
            </w:pPr>
            <w:r>
              <w:rPr>
                <w:rFonts w:ascii="Times New Roman" w:hAnsi="Times New Roman" w:cs="Times New Roman"/>
                <w:lang w:eastAsia="sk-SK"/>
              </w:rPr>
              <w:t>14 919</w:t>
            </w:r>
          </w:p>
        </w:tc>
        <w:tc>
          <w:tcPr>
            <w:tcW w:w="1220" w:type="dxa"/>
            <w:tcBorders>
              <w:top w:val="single" w:sz="8" w:space="0" w:color="auto"/>
              <w:left w:val="single" w:sz="8" w:space="0" w:color="auto"/>
              <w:bottom w:val="single" w:sz="8" w:space="0" w:color="auto"/>
              <w:right w:val="single" w:sz="8" w:space="0" w:color="auto"/>
              <w:tl2br w:val="nil"/>
              <w:tr2bl w:val="nil"/>
            </w:tcBorders>
            <w:noWrap/>
            <w:textDirection w:val="lrTb"/>
            <w:vAlign w:val="bottom"/>
          </w:tcPr>
          <w:p w:rsidR="00AE473C" w:rsidP="00327CDA">
            <w:pPr>
              <w:spacing w:line="240" w:lineRule="auto"/>
              <w:jc w:val="right"/>
              <w:rPr>
                <w:rFonts w:ascii="Times New Roman" w:hAnsi="Times New Roman" w:cs="Times New Roman"/>
                <w:lang w:eastAsia="sk-SK"/>
              </w:rPr>
            </w:pPr>
            <w:r>
              <w:rPr>
                <w:rFonts w:ascii="Times New Roman" w:hAnsi="Times New Roman" w:cs="Times New Roman"/>
                <w:lang w:eastAsia="sk-SK"/>
              </w:rPr>
              <w:t>16 386</w:t>
            </w:r>
          </w:p>
        </w:tc>
      </w:tr>
      <w:tr>
        <w:tblPrEx>
          <w:tblW w:w="8875" w:type="dxa"/>
          <w:tblInd w:w="55" w:type="dxa"/>
          <w:tblCellMar>
            <w:left w:w="70" w:type="dxa"/>
            <w:right w:w="70" w:type="dxa"/>
          </w:tblCellMar>
        </w:tblPrEx>
        <w:trPr>
          <w:trHeight w:hRule="exact" w:val="227"/>
        </w:trPr>
        <w:tc>
          <w:tcPr>
            <w:tcW w:w="440" w:type="dxa"/>
            <w:tcBorders>
              <w:top w:val="nil"/>
              <w:left w:val="single" w:sz="8" w:space="0" w:color="auto"/>
              <w:bottom w:val="single" w:sz="8" w:space="0" w:color="auto"/>
              <w:right w:val="single" w:sz="8" w:space="0" w:color="auto"/>
              <w:tl2br w:val="nil"/>
              <w:tr2bl w:val="nil"/>
            </w:tcBorders>
            <w:shd w:val="clear" w:color="auto" w:fill="C0C0C0"/>
            <w:noWrap/>
            <w:textDirection w:val="lrTb"/>
            <w:vAlign w:val="bottom"/>
          </w:tcPr>
          <w:p w:rsidR="00AE473C" w:rsidP="00327CDA">
            <w:pPr>
              <w:spacing w:line="240" w:lineRule="auto"/>
              <w:jc w:val="center"/>
              <w:rPr>
                <w:rFonts w:ascii="Times New Roman" w:hAnsi="Times New Roman" w:cs="Times New Roman"/>
                <w:lang w:eastAsia="sk-SK"/>
              </w:rPr>
            </w:pPr>
            <w:r>
              <w:rPr>
                <w:rFonts w:ascii="Times New Roman" w:hAnsi="Times New Roman" w:cs="Times New Roman"/>
                <w:lang w:eastAsia="sk-SK"/>
              </w:rPr>
              <w:t> </w:t>
            </w:r>
          </w:p>
        </w:tc>
        <w:tc>
          <w:tcPr>
            <w:tcW w:w="2635" w:type="dxa"/>
            <w:tcBorders>
              <w:top w:val="nil"/>
              <w:left w:val="nil"/>
              <w:bottom w:val="single" w:sz="8" w:space="0" w:color="auto"/>
              <w:right w:val="single" w:sz="8" w:space="0" w:color="auto"/>
              <w:tl2br w:val="nil"/>
              <w:tr2bl w:val="nil"/>
            </w:tcBorders>
            <w:shd w:val="clear" w:color="auto" w:fill="C0C0C0"/>
            <w:noWrap/>
            <w:textDirection w:val="lrTb"/>
            <w:vAlign w:val="bottom"/>
          </w:tcPr>
          <w:p w:rsidR="00AE473C" w:rsidRPr="00693711" w:rsidP="00327CDA">
            <w:pPr>
              <w:spacing w:line="240" w:lineRule="auto"/>
              <w:rPr>
                <w:rFonts w:ascii="Times New Roman" w:hAnsi="Times New Roman" w:cs="Times New Roman"/>
                <w:b/>
                <w:bCs/>
                <w:lang w:eastAsia="sk-SK"/>
              </w:rPr>
            </w:pPr>
            <w:r w:rsidRPr="00693711">
              <w:rPr>
                <w:rFonts w:ascii="Times New Roman" w:hAnsi="Times New Roman" w:cs="Times New Roman"/>
                <w:b/>
                <w:bCs/>
                <w:lang w:eastAsia="sk-SK"/>
              </w:rPr>
              <w:t>Spolu po korekcii o</w:t>
            </w:r>
            <w:r w:rsidR="00EF0282">
              <w:rPr>
                <w:rFonts w:ascii="Times New Roman" w:hAnsi="Times New Roman" w:cs="Times New Roman"/>
                <w:b/>
                <w:bCs/>
                <w:lang w:eastAsia="sk-SK"/>
              </w:rPr>
              <w:t> </w:t>
            </w:r>
            <w:r w:rsidRPr="00693711">
              <w:rPr>
                <w:rFonts w:ascii="Times New Roman" w:hAnsi="Times New Roman" w:cs="Times New Roman"/>
                <w:b/>
                <w:bCs/>
                <w:lang w:eastAsia="sk-SK"/>
              </w:rPr>
              <w:t>OP</w:t>
            </w:r>
          </w:p>
        </w:tc>
        <w:tc>
          <w:tcPr>
            <w:tcW w:w="1220" w:type="dxa"/>
            <w:tcBorders>
              <w:top w:val="nil"/>
              <w:left w:val="nil"/>
              <w:bottom w:val="single" w:sz="8" w:space="0" w:color="auto"/>
              <w:right w:val="single" w:sz="8" w:space="0" w:color="auto"/>
              <w:tl2br w:val="nil"/>
              <w:tr2bl w:val="nil"/>
            </w:tcBorders>
            <w:shd w:val="clear" w:color="auto" w:fill="C0C0C0"/>
            <w:noWrap/>
            <w:textDirection w:val="lrTb"/>
            <w:vAlign w:val="bottom"/>
          </w:tcPr>
          <w:p w:rsidR="00AE473C" w:rsidRPr="00693711" w:rsidP="00327CDA">
            <w:pPr>
              <w:spacing w:line="240" w:lineRule="auto"/>
              <w:jc w:val="right"/>
              <w:rPr>
                <w:rFonts w:ascii="Times New Roman" w:hAnsi="Times New Roman" w:cs="Times New Roman"/>
                <w:b/>
                <w:bCs/>
                <w:lang w:eastAsia="sk-SK"/>
              </w:rPr>
            </w:pPr>
            <w:r>
              <w:rPr>
                <w:rFonts w:ascii="Times New Roman" w:hAnsi="Times New Roman" w:cs="Times New Roman"/>
                <w:b/>
                <w:bCs/>
                <w:lang w:eastAsia="sk-SK"/>
              </w:rPr>
              <w:t>725 977</w:t>
            </w:r>
          </w:p>
        </w:tc>
        <w:tc>
          <w:tcPr>
            <w:tcW w:w="1120" w:type="dxa"/>
            <w:tcBorders>
              <w:top w:val="nil"/>
              <w:left w:val="nil"/>
              <w:bottom w:val="single" w:sz="8" w:space="0" w:color="auto"/>
              <w:right w:val="single" w:sz="8" w:space="0" w:color="auto"/>
              <w:tl2br w:val="nil"/>
              <w:tr2bl w:val="nil"/>
            </w:tcBorders>
            <w:shd w:val="clear" w:color="auto" w:fill="C0C0C0"/>
            <w:noWrap/>
            <w:textDirection w:val="lrTb"/>
            <w:vAlign w:val="bottom"/>
          </w:tcPr>
          <w:p w:rsidR="00AE473C" w:rsidRPr="00693711" w:rsidP="00327CDA">
            <w:pPr>
              <w:spacing w:line="240" w:lineRule="auto"/>
              <w:jc w:val="right"/>
              <w:rPr>
                <w:rFonts w:ascii="Times New Roman" w:hAnsi="Times New Roman" w:cs="Times New Roman"/>
                <w:b/>
                <w:bCs/>
                <w:lang w:eastAsia="sk-SK"/>
              </w:rPr>
            </w:pPr>
            <w:r>
              <w:rPr>
                <w:rFonts w:ascii="Times New Roman" w:hAnsi="Times New Roman" w:cs="Times New Roman"/>
                <w:b/>
                <w:bCs/>
                <w:lang w:eastAsia="sk-SK"/>
              </w:rPr>
              <w:t>780 673</w:t>
            </w:r>
          </w:p>
        </w:tc>
        <w:tc>
          <w:tcPr>
            <w:tcW w:w="1120" w:type="dxa"/>
            <w:tcBorders>
              <w:top w:val="nil"/>
              <w:left w:val="nil"/>
              <w:bottom w:val="single" w:sz="8" w:space="0" w:color="auto"/>
              <w:right w:val="single" w:sz="8" w:space="0" w:color="auto"/>
              <w:tl2br w:val="nil"/>
              <w:tr2bl w:val="nil"/>
            </w:tcBorders>
            <w:shd w:val="clear" w:color="auto" w:fill="C0C0C0"/>
            <w:noWrap/>
            <w:textDirection w:val="lrTb"/>
            <w:vAlign w:val="bottom"/>
          </w:tcPr>
          <w:p w:rsidR="00AE473C" w:rsidRPr="00693711" w:rsidP="00327CDA">
            <w:pPr>
              <w:spacing w:line="240" w:lineRule="auto"/>
              <w:jc w:val="right"/>
              <w:rPr>
                <w:rFonts w:ascii="Times New Roman" w:hAnsi="Times New Roman" w:cs="Times New Roman"/>
                <w:b/>
                <w:bCs/>
                <w:lang w:eastAsia="sk-SK"/>
              </w:rPr>
            </w:pPr>
            <w:r>
              <w:rPr>
                <w:rFonts w:ascii="Times New Roman" w:hAnsi="Times New Roman" w:cs="Times New Roman"/>
                <w:b/>
                <w:bCs/>
                <w:lang w:eastAsia="sk-SK"/>
              </w:rPr>
              <w:t>394 706</w:t>
            </w:r>
          </w:p>
        </w:tc>
        <w:tc>
          <w:tcPr>
            <w:tcW w:w="1120" w:type="dxa"/>
            <w:tcBorders>
              <w:top w:val="nil"/>
              <w:left w:val="nil"/>
              <w:bottom w:val="single" w:sz="8" w:space="0" w:color="auto"/>
              <w:right w:val="single" w:sz="8" w:space="0" w:color="auto"/>
              <w:tl2br w:val="nil"/>
              <w:tr2bl w:val="nil"/>
            </w:tcBorders>
            <w:shd w:val="clear" w:color="auto" w:fill="C0C0C0"/>
            <w:noWrap/>
            <w:textDirection w:val="lrTb"/>
            <w:vAlign w:val="bottom"/>
          </w:tcPr>
          <w:p w:rsidR="00AE473C" w:rsidRPr="00693711" w:rsidP="00327CDA">
            <w:pPr>
              <w:spacing w:line="240" w:lineRule="auto"/>
              <w:jc w:val="right"/>
              <w:rPr>
                <w:rFonts w:ascii="Times New Roman" w:hAnsi="Times New Roman" w:cs="Times New Roman"/>
                <w:b/>
                <w:bCs/>
                <w:lang w:eastAsia="sk-SK"/>
              </w:rPr>
            </w:pPr>
            <w:r>
              <w:rPr>
                <w:rFonts w:ascii="Times New Roman" w:hAnsi="Times New Roman" w:cs="Times New Roman"/>
                <w:b/>
                <w:bCs/>
                <w:lang w:eastAsia="sk-SK"/>
              </w:rPr>
              <w:t>457 455</w:t>
            </w:r>
          </w:p>
        </w:tc>
        <w:tc>
          <w:tcPr>
            <w:tcW w:w="1220" w:type="dxa"/>
            <w:tcBorders>
              <w:top w:val="nil"/>
              <w:left w:val="nil"/>
              <w:bottom w:val="single" w:sz="8" w:space="0" w:color="auto"/>
              <w:right w:val="single" w:sz="8" w:space="0" w:color="auto"/>
              <w:tl2br w:val="nil"/>
              <w:tr2bl w:val="nil"/>
            </w:tcBorders>
            <w:shd w:val="clear" w:color="auto" w:fill="C0C0C0"/>
            <w:noWrap/>
            <w:textDirection w:val="lrTb"/>
            <w:vAlign w:val="bottom"/>
          </w:tcPr>
          <w:p w:rsidR="00AE473C" w:rsidRPr="00693711" w:rsidP="00327CDA">
            <w:pPr>
              <w:spacing w:line="240" w:lineRule="auto"/>
              <w:jc w:val="right"/>
              <w:rPr>
                <w:rFonts w:ascii="Times New Roman" w:hAnsi="Times New Roman" w:cs="Times New Roman"/>
                <w:b/>
                <w:bCs/>
                <w:lang w:eastAsia="sk-SK"/>
              </w:rPr>
            </w:pPr>
            <w:r>
              <w:rPr>
                <w:rFonts w:ascii="Times New Roman" w:hAnsi="Times New Roman" w:cs="Times New Roman"/>
                <w:b/>
                <w:bCs/>
                <w:lang w:eastAsia="sk-SK"/>
              </w:rPr>
              <w:t>503 226</w:t>
            </w:r>
          </w:p>
        </w:tc>
      </w:tr>
    </w:tbl>
    <w:p w:rsidR="00EF0282" w:rsidP="00AE473C">
      <w:pPr>
        <w:pStyle w:val="BodyText2"/>
        <w:numPr>
          <w:ilvl w:val="0"/>
        </w:numPr>
        <w:spacing w:line="240" w:lineRule="auto"/>
        <w:ind w:firstLine="0"/>
        <w:rPr>
          <w:rFonts w:ascii="Times New Roman" w:hAnsi="Times New Roman" w:cs="Times New Roman"/>
          <w:b/>
          <w:bCs/>
          <w:iCs/>
          <w:szCs w:val="26"/>
          <w:u w:val="single"/>
        </w:rPr>
      </w:pPr>
    </w:p>
    <w:p w:rsidR="00095D9A" w:rsidP="00EF0282">
      <w:pPr>
        <w:spacing w:line="240" w:lineRule="auto"/>
        <w:ind w:firstLine="709"/>
        <w:rPr>
          <w:rFonts w:ascii="Times New Roman" w:hAnsi="Times New Roman" w:cs="Times New Roman"/>
          <w:sz w:val="24"/>
          <w:szCs w:val="24"/>
        </w:rPr>
      </w:pPr>
      <w:r w:rsidRPr="0039553C" w:rsidR="00AE473C">
        <w:rPr>
          <w:rFonts w:ascii="Times New Roman" w:hAnsi="Times New Roman" w:cs="Times New Roman"/>
          <w:sz w:val="24"/>
          <w:szCs w:val="24"/>
        </w:rPr>
        <w:t>Z celkového objemu pohľadávok z obchodného styku  k 3</w:t>
      </w:r>
      <w:r w:rsidR="00AE473C">
        <w:rPr>
          <w:rFonts w:ascii="Times New Roman" w:hAnsi="Times New Roman" w:cs="Times New Roman"/>
          <w:sz w:val="24"/>
          <w:szCs w:val="24"/>
        </w:rPr>
        <w:t>1.12.2007 vo výške 486 840</w:t>
      </w:r>
      <w:r w:rsidRPr="0039553C" w:rsidR="00AE473C">
        <w:rPr>
          <w:rFonts w:ascii="Times New Roman" w:hAnsi="Times New Roman" w:cs="Times New Roman"/>
          <w:sz w:val="24"/>
          <w:szCs w:val="24"/>
        </w:rPr>
        <w:t xml:space="preserve"> tis. Sk je po lehote </w:t>
      </w:r>
      <w:smartTag w:uri="urn:schemas-microsoft-com:office:smarttags" w:element="PersonName">
        <w:r w:rsidRPr="0039553C" w:rsidR="00AE473C">
          <w:rPr>
            <w:rFonts w:ascii="Times New Roman" w:hAnsi="Times New Roman" w:cs="Times New Roman"/>
            <w:sz w:val="24"/>
            <w:szCs w:val="24"/>
          </w:rPr>
          <w:t>sp</w:t>
        </w:r>
      </w:smartTag>
      <w:r w:rsidR="00AE473C">
        <w:rPr>
          <w:rFonts w:ascii="Times New Roman" w:hAnsi="Times New Roman" w:cs="Times New Roman"/>
          <w:sz w:val="24"/>
          <w:szCs w:val="24"/>
        </w:rPr>
        <w:t xml:space="preserve">latnosti  31 902 tis. Sk, z toho dlhšie ako jeden rok vo výške </w:t>
      </w:r>
      <w:r w:rsidRPr="0039553C" w:rsidR="00AE473C">
        <w:rPr>
          <w:rFonts w:ascii="Times New Roman" w:hAnsi="Times New Roman" w:cs="Times New Roman"/>
          <w:sz w:val="24"/>
          <w:szCs w:val="24"/>
        </w:rPr>
        <w:t xml:space="preserve">16 444 tis. Sk. Najväčšie pohľadávky po </w:t>
      </w:r>
      <w:smartTag w:uri="urn:schemas-microsoft-com:office:smarttags" w:element="PersonName">
        <w:r w:rsidRPr="0039553C" w:rsidR="00AE473C">
          <w:rPr>
            <w:rFonts w:ascii="Times New Roman" w:hAnsi="Times New Roman" w:cs="Times New Roman"/>
            <w:sz w:val="24"/>
            <w:szCs w:val="24"/>
          </w:rPr>
          <w:t>sp</w:t>
        </w:r>
      </w:smartTag>
      <w:r w:rsidRPr="0039553C" w:rsidR="00AE473C">
        <w:rPr>
          <w:rFonts w:ascii="Times New Roman" w:hAnsi="Times New Roman" w:cs="Times New Roman"/>
          <w:sz w:val="24"/>
          <w:szCs w:val="24"/>
        </w:rPr>
        <w:t>latnosti dlhšie ako jeden rok sú súdne vymáhané od odberateľov</w:t>
      </w:r>
      <w:r w:rsidR="00AE473C">
        <w:rPr>
          <w:rFonts w:ascii="Times New Roman" w:hAnsi="Times New Roman" w:cs="Times New Roman"/>
          <w:sz w:val="24"/>
          <w:szCs w:val="24"/>
        </w:rPr>
        <w:t xml:space="preserve">. Ide o prípady za predaj cestovných </w:t>
      </w:r>
      <w:r w:rsidRPr="0039553C" w:rsidR="00AE473C">
        <w:rPr>
          <w:rFonts w:ascii="Times New Roman" w:hAnsi="Times New Roman" w:cs="Times New Roman"/>
          <w:sz w:val="24"/>
          <w:szCs w:val="24"/>
        </w:rPr>
        <w:t>lístkov, poistné udalosti, nási</w:t>
      </w:r>
      <w:r w:rsidR="00AE473C">
        <w:rPr>
          <w:rFonts w:ascii="Times New Roman" w:hAnsi="Times New Roman" w:cs="Times New Roman"/>
          <w:sz w:val="24"/>
          <w:szCs w:val="24"/>
        </w:rPr>
        <w:t xml:space="preserve">lné poškodenia a náhrady škody atď.. </w:t>
      </w:r>
      <w:r w:rsidRPr="0039553C" w:rsidR="00AE473C">
        <w:rPr>
          <w:rFonts w:ascii="Times New Roman" w:hAnsi="Times New Roman" w:cs="Times New Roman"/>
          <w:sz w:val="24"/>
          <w:szCs w:val="24"/>
        </w:rPr>
        <w:t>Hodnota pohľadávo</w:t>
      </w:r>
      <w:r w:rsidR="00AE473C">
        <w:rPr>
          <w:rFonts w:ascii="Times New Roman" w:hAnsi="Times New Roman" w:cs="Times New Roman"/>
          <w:sz w:val="24"/>
          <w:szCs w:val="24"/>
        </w:rPr>
        <w:t xml:space="preserve">k je znížená o 16 386 tis. Sk, a to o </w:t>
      </w:r>
      <w:r w:rsidRPr="0039553C" w:rsidR="00AE473C">
        <w:rPr>
          <w:rFonts w:ascii="Times New Roman" w:hAnsi="Times New Roman" w:cs="Times New Roman"/>
          <w:sz w:val="24"/>
          <w:szCs w:val="24"/>
        </w:rPr>
        <w:t>vytvorené opravné položky k pohľadávkam po lehote splatnosti.</w:t>
      </w:r>
    </w:p>
    <w:p w:rsidR="004571DF" w:rsidRPr="004571DF" w:rsidP="004571DF">
      <w:pPr>
        <w:spacing w:line="240" w:lineRule="auto"/>
        <w:ind w:firstLine="709"/>
        <w:rPr>
          <w:rFonts w:ascii="Times New Roman" w:hAnsi="Times New Roman" w:cs="Times New Roman"/>
          <w:sz w:val="24"/>
          <w:szCs w:val="24"/>
        </w:rPr>
      </w:pPr>
      <w:r w:rsidRPr="004571DF">
        <w:rPr>
          <w:rFonts w:ascii="Times New Roman" w:hAnsi="Times New Roman" w:cs="Times New Roman"/>
          <w:sz w:val="24"/>
          <w:szCs w:val="24"/>
        </w:rPr>
        <w:t xml:space="preserve">K 1.1.2007 a k 31.12.2007 Železničná </w:t>
      </w:r>
      <w:smartTag w:uri="urn:schemas-microsoft-com:office:smarttags" w:element="PersonName">
        <w:r w:rsidRPr="004571DF">
          <w:rPr>
            <w:rFonts w:ascii="Times New Roman" w:hAnsi="Times New Roman" w:cs="Times New Roman"/>
            <w:sz w:val="24"/>
            <w:szCs w:val="24"/>
          </w:rPr>
          <w:t>sp</w:t>
        </w:r>
      </w:smartTag>
      <w:r w:rsidR="008614A3">
        <w:rPr>
          <w:rFonts w:ascii="Times New Roman" w:hAnsi="Times New Roman" w:cs="Times New Roman"/>
          <w:sz w:val="24"/>
          <w:szCs w:val="24"/>
        </w:rPr>
        <w:t xml:space="preserve">oločnosť Slovensko, a.s., </w:t>
      </w:r>
      <w:r w:rsidRPr="004571DF">
        <w:rPr>
          <w:rFonts w:ascii="Times New Roman" w:hAnsi="Times New Roman" w:cs="Times New Roman"/>
          <w:sz w:val="24"/>
          <w:szCs w:val="24"/>
        </w:rPr>
        <w:t>neevidovala žiadne krátkodobé návratné finančné výpomoci.</w:t>
      </w:r>
      <w:r>
        <w:rPr>
          <w:rFonts w:ascii="Times New Roman" w:hAnsi="Times New Roman" w:cs="Times New Roman"/>
          <w:sz w:val="24"/>
          <w:szCs w:val="24"/>
        </w:rPr>
        <w:t xml:space="preserve"> </w:t>
      </w:r>
      <w:r w:rsidRPr="004571DF">
        <w:rPr>
          <w:rFonts w:ascii="Times New Roman" w:hAnsi="Times New Roman" w:cs="Times New Roman"/>
          <w:sz w:val="24"/>
          <w:szCs w:val="24"/>
        </w:rPr>
        <w:t xml:space="preserve">Železničná </w:t>
      </w:r>
      <w:smartTag w:uri="urn:schemas-microsoft-com:office:smarttags" w:element="PersonName">
        <w:r w:rsidRPr="004571DF">
          <w:rPr>
            <w:rFonts w:ascii="Times New Roman" w:hAnsi="Times New Roman" w:cs="Times New Roman"/>
            <w:sz w:val="24"/>
            <w:szCs w:val="24"/>
          </w:rPr>
          <w:t>sp</w:t>
        </w:r>
      </w:smartTag>
      <w:r w:rsidR="008614A3">
        <w:rPr>
          <w:rFonts w:ascii="Times New Roman" w:hAnsi="Times New Roman" w:cs="Times New Roman"/>
          <w:sz w:val="24"/>
          <w:szCs w:val="24"/>
        </w:rPr>
        <w:t xml:space="preserve">oločnosť Slovensko, a.s., </w:t>
      </w:r>
      <w:r w:rsidRPr="004571DF">
        <w:rPr>
          <w:rFonts w:ascii="Times New Roman" w:hAnsi="Times New Roman" w:cs="Times New Roman"/>
          <w:sz w:val="24"/>
          <w:szCs w:val="24"/>
        </w:rPr>
        <w:t>uhrádza svoje záväzky v lehote sp</w:t>
      </w:r>
      <w:r>
        <w:rPr>
          <w:rFonts w:ascii="Times New Roman" w:hAnsi="Times New Roman" w:cs="Times New Roman"/>
          <w:sz w:val="24"/>
          <w:szCs w:val="24"/>
        </w:rPr>
        <w:t xml:space="preserve">latnosti </w:t>
      </w:r>
      <w:r w:rsidRPr="004571DF">
        <w:rPr>
          <w:rFonts w:ascii="Times New Roman" w:hAnsi="Times New Roman" w:cs="Times New Roman"/>
          <w:sz w:val="24"/>
          <w:szCs w:val="24"/>
        </w:rPr>
        <w:t>v zmysle uzavretých úverových zmlúv, splátkových kalendárov a vystavených dodávateľských fak</w:t>
      </w:r>
      <w:r>
        <w:rPr>
          <w:rFonts w:ascii="Times New Roman" w:hAnsi="Times New Roman" w:cs="Times New Roman"/>
          <w:sz w:val="24"/>
          <w:szCs w:val="24"/>
        </w:rPr>
        <w:t>túr. V</w:t>
      </w:r>
      <w:r w:rsidRPr="004571DF">
        <w:rPr>
          <w:rFonts w:ascii="Times New Roman" w:hAnsi="Times New Roman" w:cs="Times New Roman"/>
          <w:sz w:val="24"/>
          <w:szCs w:val="24"/>
        </w:rPr>
        <w:t>ymáhanie pohľadávok sa riadi internou Smernicou</w:t>
      </w:r>
      <w:r>
        <w:rPr>
          <w:rFonts w:ascii="Times New Roman" w:hAnsi="Times New Roman" w:cs="Times New Roman"/>
          <w:sz w:val="24"/>
          <w:szCs w:val="24"/>
        </w:rPr>
        <w:t xml:space="preserve"> „</w:t>
      </w:r>
      <w:r w:rsidRPr="004571DF">
        <w:rPr>
          <w:rFonts w:ascii="Times New Roman" w:hAnsi="Times New Roman" w:cs="Times New Roman"/>
          <w:sz w:val="24"/>
          <w:szCs w:val="24"/>
        </w:rPr>
        <w:t>Práca s pohľadávkami“</w:t>
      </w:r>
      <w:r>
        <w:rPr>
          <w:rFonts w:ascii="Times New Roman" w:hAnsi="Times New Roman" w:cs="Times New Roman"/>
          <w:sz w:val="24"/>
          <w:szCs w:val="24"/>
        </w:rPr>
        <w:t xml:space="preserve">. Pohľadávky </w:t>
      </w:r>
      <w:r w:rsidRPr="004571DF">
        <w:rPr>
          <w:rFonts w:ascii="Times New Roman" w:hAnsi="Times New Roman" w:cs="Times New Roman"/>
          <w:sz w:val="24"/>
          <w:szCs w:val="24"/>
        </w:rPr>
        <w:t xml:space="preserve">po lehote </w:t>
      </w:r>
      <w:smartTag w:uri="urn:schemas-microsoft-com:office:smarttags" w:element="PersonName">
        <w:r w:rsidRPr="004571DF">
          <w:rPr>
            <w:rFonts w:ascii="Times New Roman" w:hAnsi="Times New Roman" w:cs="Times New Roman"/>
            <w:sz w:val="24"/>
            <w:szCs w:val="24"/>
          </w:rPr>
          <w:t>sp</w:t>
        </w:r>
      </w:smartTag>
      <w:r w:rsidRPr="004571DF">
        <w:rPr>
          <w:rFonts w:ascii="Times New Roman" w:hAnsi="Times New Roman" w:cs="Times New Roman"/>
          <w:sz w:val="24"/>
          <w:szCs w:val="24"/>
        </w:rPr>
        <w:t>latnosti sú právne zabezpečené.</w:t>
      </w:r>
    </w:p>
    <w:p w:rsidR="00B36EB8" w:rsidP="00DA47BF">
      <w:pPr>
        <w:spacing w:line="240" w:lineRule="auto"/>
        <w:outlineLvl w:val="0"/>
        <w:rPr>
          <w:rFonts w:ascii="Times New Roman" w:hAnsi="Times New Roman" w:cs="Times New Roman"/>
          <w:b/>
          <w:bCs/>
          <w:sz w:val="28"/>
          <w:szCs w:val="28"/>
        </w:rPr>
      </w:pPr>
    </w:p>
    <w:p w:rsidR="00EF0282" w:rsidP="00DA47BF">
      <w:pPr>
        <w:spacing w:line="240" w:lineRule="auto"/>
        <w:outlineLvl w:val="0"/>
        <w:rPr>
          <w:rFonts w:ascii="Times New Roman" w:hAnsi="Times New Roman" w:cs="Times New Roman"/>
          <w:b/>
          <w:bCs/>
          <w:sz w:val="28"/>
          <w:szCs w:val="28"/>
        </w:rPr>
      </w:pPr>
    </w:p>
    <w:p w:rsidR="00DA47BF" w:rsidRPr="00DA47BF" w:rsidP="00EF0282">
      <w:pPr>
        <w:spacing w:line="240" w:lineRule="auto"/>
        <w:outlineLvl w:val="0"/>
        <w:rPr>
          <w:rFonts w:ascii="Times New Roman" w:hAnsi="Times New Roman" w:cs="Times New Roman"/>
          <w:b/>
          <w:bCs/>
          <w:sz w:val="28"/>
          <w:szCs w:val="28"/>
        </w:rPr>
      </w:pPr>
      <w:r w:rsidRPr="00DA47BF">
        <w:rPr>
          <w:rFonts w:ascii="Times New Roman" w:hAnsi="Times New Roman" w:cs="Times New Roman"/>
          <w:b/>
          <w:bCs/>
          <w:sz w:val="28"/>
          <w:szCs w:val="28"/>
        </w:rPr>
        <w:t>C:</w:t>
      </w:r>
      <w:r w:rsidRPr="00DA47BF">
        <w:rPr>
          <w:rFonts w:ascii="Times New Roman" w:hAnsi="Times New Roman" w:cs="Times New Roman"/>
          <w:b/>
          <w:sz w:val="28"/>
          <w:szCs w:val="28"/>
        </w:rPr>
        <w:t xml:space="preserve"> Zhodnotenie   finančno  –  majetkovej   pozície   </w:t>
      </w:r>
      <w:r w:rsidRPr="00DA47BF">
        <w:rPr>
          <w:rFonts w:ascii="Times New Roman" w:hAnsi="Times New Roman" w:cs="Times New Roman"/>
          <w:b/>
          <w:bCs/>
          <w:sz w:val="28"/>
          <w:szCs w:val="28"/>
        </w:rPr>
        <w:t xml:space="preserve">Železničnej   spoločnosti </w:t>
      </w:r>
    </w:p>
    <w:p w:rsidR="00E11416" w:rsidP="00EF0282">
      <w:pPr>
        <w:spacing w:line="240" w:lineRule="auto"/>
        <w:outlineLvl w:val="0"/>
        <w:rPr>
          <w:rFonts w:ascii="Times New Roman" w:hAnsi="Times New Roman" w:cs="Times New Roman"/>
          <w:b/>
          <w:bCs/>
          <w:sz w:val="28"/>
          <w:szCs w:val="28"/>
        </w:rPr>
      </w:pPr>
      <w:r w:rsidR="008614A3">
        <w:rPr>
          <w:rFonts w:ascii="Times New Roman" w:hAnsi="Times New Roman" w:cs="Times New Roman"/>
          <w:b/>
          <w:bCs/>
          <w:sz w:val="28"/>
          <w:szCs w:val="28"/>
        </w:rPr>
        <w:t xml:space="preserve">     Cargo Slovakia,  a. s. </w:t>
      </w:r>
      <w:r w:rsidR="00DA47BF">
        <w:rPr>
          <w:rFonts w:ascii="Times New Roman" w:hAnsi="Times New Roman" w:cs="Times New Roman"/>
          <w:b/>
          <w:sz w:val="28"/>
          <w:szCs w:val="28"/>
        </w:rPr>
        <w:t>(</w:t>
      </w:r>
      <w:r w:rsidRPr="00DA47BF" w:rsidR="00DA47BF">
        <w:rPr>
          <w:rFonts w:ascii="Times New Roman" w:hAnsi="Times New Roman" w:cs="Times New Roman"/>
          <w:b/>
          <w:sz w:val="28"/>
          <w:szCs w:val="28"/>
        </w:rPr>
        <w:t>ZSSK CARGO)</w:t>
      </w:r>
    </w:p>
    <w:p w:rsidR="00EF0282" w:rsidP="00EF0282">
      <w:pPr>
        <w:spacing w:line="240" w:lineRule="auto"/>
        <w:outlineLvl w:val="0"/>
        <w:rPr>
          <w:rFonts w:ascii="Times New Roman" w:hAnsi="Times New Roman" w:cs="Times New Roman"/>
          <w:b/>
          <w:bCs/>
          <w:sz w:val="28"/>
          <w:szCs w:val="28"/>
        </w:rPr>
      </w:pPr>
    </w:p>
    <w:p w:rsidR="00EF0282" w:rsidRPr="00EF0282" w:rsidP="00EF0282">
      <w:pPr>
        <w:spacing w:line="240" w:lineRule="auto"/>
        <w:outlineLvl w:val="0"/>
        <w:rPr>
          <w:rFonts w:ascii="Times New Roman" w:hAnsi="Times New Roman" w:cs="Times New Roman"/>
          <w:b/>
          <w:bCs/>
          <w:sz w:val="28"/>
          <w:szCs w:val="28"/>
        </w:rPr>
      </w:pPr>
    </w:p>
    <w:p w:rsidR="00EF0282" w:rsidP="00EF0282">
      <w:pPr>
        <w:spacing w:line="240" w:lineRule="auto"/>
        <w:rPr>
          <w:rFonts w:ascii="Arial Narrow" w:hAnsi="Arial Narrow" w:cs="Times New Roman"/>
        </w:rPr>
      </w:pPr>
      <w:r w:rsidR="00607A12">
        <w:rPr>
          <w:rFonts w:ascii="Times New Roman" w:hAnsi="Times New Roman" w:cs="Times New Roman"/>
          <w:b/>
          <w:sz w:val="24"/>
          <w:szCs w:val="24"/>
        </w:rPr>
        <w:t xml:space="preserve">                </w:t>
      </w:r>
      <w:r w:rsidR="00B36EB8">
        <w:rPr>
          <w:rFonts w:ascii="Times New Roman" w:hAnsi="Times New Roman" w:cs="Times New Roman"/>
          <w:b/>
          <w:sz w:val="24"/>
          <w:szCs w:val="24"/>
        </w:rPr>
        <w:t xml:space="preserve">                              </w:t>
      </w:r>
      <w:r w:rsidR="00607A12">
        <w:rPr>
          <w:rFonts w:ascii="Times New Roman" w:hAnsi="Times New Roman" w:cs="Times New Roman"/>
          <w:b/>
          <w:sz w:val="24"/>
          <w:szCs w:val="24"/>
        </w:rPr>
        <w:t xml:space="preserve"> Prehľad aktív a pasív ZSSK CARGO</w:t>
      </w:r>
      <w:r w:rsidR="00607A12">
        <w:rPr>
          <w:rFonts w:ascii="Arial Narrow" w:hAnsi="Arial Narrow" w:cs="Times New Roman"/>
        </w:rPr>
        <w:t xml:space="preserve">   </w:t>
      </w:r>
    </w:p>
    <w:p w:rsidR="00EF0282" w:rsidP="00EF0282">
      <w:pPr>
        <w:spacing w:line="240" w:lineRule="auto"/>
        <w:rPr>
          <w:rFonts w:ascii="Arial Narrow" w:hAnsi="Arial Narrow" w:cs="Times New Roman"/>
        </w:rPr>
      </w:pPr>
    </w:p>
    <w:p w:rsidR="00EF0282" w:rsidP="00EF0282">
      <w:pPr>
        <w:spacing w:line="240" w:lineRule="auto"/>
        <w:rPr>
          <w:rFonts w:ascii="Arial Narrow" w:hAnsi="Arial Narrow" w:cs="Times New Roman"/>
        </w:rPr>
      </w:pPr>
    </w:p>
    <w:p w:rsidR="00E11416" w:rsidRPr="00607A12" w:rsidP="00EF0282">
      <w:pPr>
        <w:spacing w:line="240" w:lineRule="auto"/>
        <w:rPr>
          <w:rFonts w:ascii="Times New Roman" w:hAnsi="Times New Roman" w:cs="Times New Roman"/>
          <w:b/>
          <w:sz w:val="24"/>
          <w:szCs w:val="24"/>
        </w:rPr>
      </w:pPr>
      <w:r w:rsidR="00607A12">
        <w:rPr>
          <w:rFonts w:ascii="Arial Narrow" w:hAnsi="Arial Narrow" w:cs="Times New Roman"/>
        </w:rPr>
        <w:t xml:space="preserve">           </w:t>
      </w:r>
      <w:r>
        <w:rPr>
          <w:rFonts w:ascii="Arial Narrow" w:hAnsi="Arial Narrow" w:cs="Times New Roman"/>
        </w:rPr>
        <w:t xml:space="preserve">               </w:t>
      </w:r>
      <w:r w:rsidR="00B36EB8">
        <w:rPr>
          <w:rFonts w:ascii="Arial Narrow" w:hAnsi="Arial Narrow" w:cs="Times New Roman"/>
        </w:rPr>
        <w:t xml:space="preserve">  </w:t>
      </w:r>
      <w:r>
        <w:rPr>
          <w:rFonts w:ascii="Arial Narrow" w:hAnsi="Arial Narrow" w:cs="Times New Roman"/>
        </w:rPr>
        <w:t xml:space="preserve">    </w:t>
      </w:r>
      <w:r w:rsidR="00EF0282">
        <w:rPr>
          <w:rFonts w:ascii="Arial Narrow" w:hAnsi="Arial Narrow" w:cs="Times New Roman"/>
        </w:rPr>
        <w:t xml:space="preserve">                                                                                                                                                      </w:t>
      </w:r>
      <w:r w:rsidRPr="00E11416">
        <w:rPr>
          <w:rFonts w:ascii="Arial Narrow" w:hAnsi="Arial Narrow" w:cs="Times New Roman"/>
        </w:rPr>
        <w:t>(v tis. Sk)</w:t>
      </w:r>
    </w:p>
    <w:tbl>
      <w:tblPr>
        <w:tblW w:w="9055" w:type="dxa"/>
        <w:tblInd w:w="55" w:type="dxa"/>
        <w:tblCellMar>
          <w:left w:w="70" w:type="dxa"/>
          <w:right w:w="70" w:type="dxa"/>
        </w:tblCellMar>
      </w:tblPr>
      <w:tblGrid>
        <w:gridCol w:w="4335"/>
        <w:gridCol w:w="1720"/>
        <w:gridCol w:w="1460"/>
        <w:gridCol w:w="1540"/>
      </w:tblGrid>
      <w:tr>
        <w:tblPrEx>
          <w:tblW w:w="9055" w:type="dxa"/>
          <w:tblInd w:w="55" w:type="dxa"/>
          <w:tblCellMar>
            <w:left w:w="70" w:type="dxa"/>
            <w:right w:w="70" w:type="dxa"/>
          </w:tblCellMar>
        </w:tblPrEx>
        <w:trPr>
          <w:trHeight w:hRule="exact" w:val="340"/>
        </w:trPr>
        <w:tc>
          <w:tcPr>
            <w:tcW w:w="4335" w:type="dxa"/>
            <w:tcBorders>
              <w:top w:val="single" w:sz="4" w:space="0" w:color="auto"/>
              <w:left w:val="single" w:sz="4" w:space="0" w:color="auto"/>
              <w:bottom w:val="single" w:sz="4" w:space="0" w:color="auto"/>
              <w:right w:val="single" w:sz="4" w:space="0" w:color="auto"/>
              <w:tl2br w:val="nil"/>
              <w:tr2bl w:val="nil"/>
            </w:tcBorders>
            <w:shd w:val="clear" w:color="auto" w:fill="C0C0C0"/>
            <w:noWrap/>
            <w:textDirection w:val="lrTb"/>
            <w:vAlign w:val="center"/>
          </w:tcPr>
          <w:p w:rsidR="00E11416" w:rsidRPr="00E11416" w:rsidP="00EF0282">
            <w:pPr>
              <w:spacing w:line="240" w:lineRule="auto"/>
              <w:rPr>
                <w:rFonts w:ascii="Arial Narrow" w:hAnsi="Arial Narrow" w:cs="Arial"/>
                <w:b/>
                <w:bCs/>
                <w:lang w:eastAsia="sk-SK"/>
              </w:rPr>
            </w:pPr>
          </w:p>
        </w:tc>
        <w:tc>
          <w:tcPr>
            <w:tcW w:w="1720" w:type="dxa"/>
            <w:tcBorders>
              <w:top w:val="single" w:sz="4" w:space="0" w:color="auto"/>
              <w:left w:val="nil"/>
              <w:bottom w:val="single" w:sz="4" w:space="0" w:color="auto"/>
              <w:right w:val="single" w:sz="4" w:space="0" w:color="auto"/>
              <w:tl2br w:val="nil"/>
              <w:tr2bl w:val="nil"/>
            </w:tcBorders>
            <w:shd w:val="clear" w:color="auto" w:fill="C0C0C0"/>
            <w:noWrap/>
            <w:textDirection w:val="lrTb"/>
            <w:vAlign w:val="center"/>
          </w:tcPr>
          <w:p w:rsidR="00E11416" w:rsidRPr="00607A12" w:rsidP="00EF0282">
            <w:pPr>
              <w:spacing w:line="240" w:lineRule="auto"/>
              <w:jc w:val="center"/>
              <w:rPr>
                <w:rFonts w:ascii="Arial Narrow" w:hAnsi="Arial Narrow" w:cs="Arial"/>
                <w:b/>
                <w:bCs/>
                <w:sz w:val="24"/>
                <w:szCs w:val="24"/>
                <w:lang w:eastAsia="sk-SK"/>
              </w:rPr>
            </w:pPr>
            <w:r w:rsidRPr="00607A12">
              <w:rPr>
                <w:rFonts w:ascii="Arial Narrow" w:hAnsi="Arial Narrow" w:cs="Arial"/>
                <w:b/>
                <w:bCs/>
                <w:sz w:val="24"/>
                <w:szCs w:val="24"/>
                <w:lang w:eastAsia="sk-SK"/>
              </w:rPr>
              <w:t>31.12.2006</w:t>
            </w:r>
          </w:p>
        </w:tc>
        <w:tc>
          <w:tcPr>
            <w:tcW w:w="1460" w:type="dxa"/>
            <w:tcBorders>
              <w:top w:val="single" w:sz="4" w:space="0" w:color="auto"/>
              <w:left w:val="nil"/>
              <w:bottom w:val="single" w:sz="4" w:space="0" w:color="auto"/>
              <w:right w:val="single" w:sz="4" w:space="0" w:color="auto"/>
              <w:tl2br w:val="nil"/>
              <w:tr2bl w:val="nil"/>
            </w:tcBorders>
            <w:shd w:val="clear" w:color="auto" w:fill="C0C0C0"/>
            <w:noWrap/>
            <w:textDirection w:val="lrTb"/>
            <w:vAlign w:val="center"/>
          </w:tcPr>
          <w:p w:rsidR="00E11416" w:rsidRPr="00607A12" w:rsidP="00EF0282">
            <w:pPr>
              <w:spacing w:line="240" w:lineRule="auto"/>
              <w:jc w:val="center"/>
              <w:rPr>
                <w:rFonts w:ascii="Arial Narrow" w:hAnsi="Arial Narrow" w:cs="Arial"/>
                <w:b/>
                <w:bCs/>
                <w:sz w:val="24"/>
                <w:szCs w:val="24"/>
                <w:lang w:eastAsia="sk-SK"/>
              </w:rPr>
            </w:pPr>
            <w:r w:rsidRPr="00607A12">
              <w:rPr>
                <w:rFonts w:ascii="Arial Narrow" w:hAnsi="Arial Narrow" w:cs="Arial"/>
                <w:b/>
                <w:bCs/>
                <w:sz w:val="24"/>
                <w:szCs w:val="24"/>
                <w:lang w:eastAsia="sk-SK"/>
              </w:rPr>
              <w:t>31.12.2007</w:t>
            </w:r>
          </w:p>
        </w:tc>
        <w:tc>
          <w:tcPr>
            <w:tcW w:w="1540" w:type="dxa"/>
            <w:tcBorders>
              <w:top w:val="single" w:sz="4" w:space="0" w:color="auto"/>
              <w:left w:val="nil"/>
              <w:bottom w:val="single" w:sz="4" w:space="0" w:color="auto"/>
              <w:right w:val="single" w:sz="4" w:space="0" w:color="auto"/>
              <w:tl2br w:val="nil"/>
              <w:tr2bl w:val="nil"/>
            </w:tcBorders>
            <w:shd w:val="clear" w:color="auto" w:fill="C0C0C0"/>
            <w:noWrap/>
            <w:textDirection w:val="lrTb"/>
            <w:vAlign w:val="center"/>
          </w:tcPr>
          <w:p w:rsidR="00E11416" w:rsidRPr="00607A12" w:rsidP="00EF0282">
            <w:pPr>
              <w:spacing w:line="240" w:lineRule="auto"/>
              <w:jc w:val="center"/>
              <w:rPr>
                <w:rFonts w:ascii="Arial Narrow" w:hAnsi="Arial Narrow" w:cs="Arial"/>
                <w:b/>
                <w:bCs/>
                <w:sz w:val="24"/>
                <w:szCs w:val="24"/>
                <w:lang w:eastAsia="sk-SK"/>
              </w:rPr>
            </w:pPr>
            <w:r w:rsidRPr="00607A12">
              <w:rPr>
                <w:rFonts w:ascii="Arial Narrow" w:hAnsi="Arial Narrow" w:cs="Arial"/>
                <w:b/>
                <w:bCs/>
                <w:sz w:val="24"/>
                <w:szCs w:val="24"/>
                <w:lang w:eastAsia="sk-SK"/>
              </w:rPr>
              <w:t>Rozdiel</w:t>
            </w:r>
          </w:p>
        </w:tc>
      </w:tr>
      <w:tr>
        <w:tblPrEx>
          <w:tblW w:w="9055" w:type="dxa"/>
          <w:tblInd w:w="55" w:type="dxa"/>
          <w:tblCellMar>
            <w:left w:w="70" w:type="dxa"/>
            <w:right w:w="70" w:type="dxa"/>
          </w:tblCellMar>
        </w:tblPrEx>
        <w:trPr>
          <w:trHeight w:hRule="exact" w:val="340"/>
        </w:trPr>
        <w:tc>
          <w:tcPr>
            <w:tcW w:w="4335" w:type="dxa"/>
            <w:tcBorders>
              <w:top w:val="single" w:sz="4" w:space="0" w:color="auto"/>
              <w:left w:val="single" w:sz="4" w:space="0" w:color="auto"/>
              <w:bottom w:val="single" w:sz="4" w:space="0" w:color="auto"/>
              <w:right w:val="single" w:sz="4" w:space="0" w:color="auto"/>
              <w:tl2br w:val="nil"/>
              <w:tr2bl w:val="nil"/>
            </w:tcBorders>
            <w:shd w:val="clear" w:color="auto" w:fill="C0C0C0"/>
            <w:noWrap/>
            <w:textDirection w:val="lrTb"/>
            <w:vAlign w:val="center"/>
          </w:tcPr>
          <w:p w:rsidR="00E11416" w:rsidRPr="00E11416" w:rsidP="00E11416">
            <w:pPr>
              <w:spacing w:line="240" w:lineRule="auto"/>
              <w:rPr>
                <w:rFonts w:ascii="Arial Narrow" w:hAnsi="Arial Narrow" w:cs="Arial"/>
                <w:b/>
                <w:bCs/>
                <w:lang w:eastAsia="sk-SK"/>
              </w:rPr>
            </w:pPr>
            <w:r w:rsidRPr="00E11416">
              <w:rPr>
                <w:rFonts w:ascii="Arial Narrow" w:hAnsi="Arial Narrow" w:cs="Arial"/>
                <w:b/>
                <w:bCs/>
                <w:lang w:eastAsia="sk-SK"/>
              </w:rPr>
              <w:t>Aktíva celkom</w:t>
            </w:r>
          </w:p>
        </w:tc>
        <w:tc>
          <w:tcPr>
            <w:tcW w:w="1720" w:type="dxa"/>
            <w:tcBorders>
              <w:top w:val="single" w:sz="4" w:space="0" w:color="auto"/>
              <w:left w:val="nil"/>
              <w:bottom w:val="single" w:sz="4" w:space="0" w:color="auto"/>
              <w:right w:val="single" w:sz="4" w:space="0" w:color="auto"/>
              <w:tl2br w:val="nil"/>
              <w:tr2bl w:val="nil"/>
            </w:tcBorders>
            <w:shd w:val="clear" w:color="auto" w:fill="C0C0C0"/>
            <w:noWrap/>
            <w:textDirection w:val="lrTb"/>
            <w:vAlign w:val="center"/>
          </w:tcPr>
          <w:p w:rsidR="00E11416" w:rsidRPr="00E11416" w:rsidP="00E11416">
            <w:pPr>
              <w:spacing w:line="240" w:lineRule="auto"/>
              <w:jc w:val="right"/>
              <w:rPr>
                <w:rFonts w:ascii="Arial Narrow" w:hAnsi="Arial Narrow" w:cs="Arial"/>
                <w:b/>
                <w:bCs/>
                <w:lang w:eastAsia="sk-SK"/>
              </w:rPr>
            </w:pPr>
            <w:r w:rsidRPr="00E11416">
              <w:rPr>
                <w:rFonts w:ascii="Arial Narrow" w:hAnsi="Arial Narrow" w:cs="Arial"/>
                <w:b/>
                <w:bCs/>
                <w:lang w:eastAsia="sk-SK"/>
              </w:rPr>
              <w:t>21 364 341</w:t>
            </w:r>
          </w:p>
        </w:tc>
        <w:tc>
          <w:tcPr>
            <w:tcW w:w="1460" w:type="dxa"/>
            <w:tcBorders>
              <w:top w:val="single" w:sz="4" w:space="0" w:color="auto"/>
              <w:left w:val="nil"/>
              <w:bottom w:val="single" w:sz="4" w:space="0" w:color="auto"/>
              <w:right w:val="single" w:sz="4" w:space="0" w:color="auto"/>
              <w:tl2br w:val="nil"/>
              <w:tr2bl w:val="nil"/>
            </w:tcBorders>
            <w:shd w:val="clear" w:color="auto" w:fill="C0C0C0"/>
            <w:noWrap/>
            <w:textDirection w:val="lrTb"/>
            <w:vAlign w:val="center"/>
          </w:tcPr>
          <w:p w:rsidR="00E11416" w:rsidRPr="00E11416" w:rsidP="00E11416">
            <w:pPr>
              <w:spacing w:line="240" w:lineRule="auto"/>
              <w:jc w:val="right"/>
              <w:rPr>
                <w:rFonts w:ascii="Arial Narrow" w:hAnsi="Arial Narrow" w:cs="Arial"/>
                <w:b/>
                <w:bCs/>
                <w:lang w:eastAsia="sk-SK"/>
              </w:rPr>
            </w:pPr>
            <w:r w:rsidRPr="00E11416">
              <w:rPr>
                <w:rFonts w:ascii="Arial Narrow" w:hAnsi="Arial Narrow" w:cs="Arial"/>
                <w:b/>
                <w:bCs/>
                <w:lang w:eastAsia="sk-SK"/>
              </w:rPr>
              <w:t>20 306 303</w:t>
            </w:r>
          </w:p>
        </w:tc>
        <w:tc>
          <w:tcPr>
            <w:tcW w:w="1540" w:type="dxa"/>
            <w:tcBorders>
              <w:top w:val="single" w:sz="4" w:space="0" w:color="auto"/>
              <w:left w:val="nil"/>
              <w:bottom w:val="single" w:sz="4" w:space="0" w:color="auto"/>
              <w:right w:val="single" w:sz="4" w:space="0" w:color="auto"/>
              <w:tl2br w:val="nil"/>
              <w:tr2bl w:val="nil"/>
            </w:tcBorders>
            <w:shd w:val="clear" w:color="auto" w:fill="C0C0C0"/>
            <w:noWrap/>
            <w:textDirection w:val="lrTb"/>
            <w:vAlign w:val="center"/>
          </w:tcPr>
          <w:p w:rsidR="00E11416" w:rsidRPr="00E11416" w:rsidP="00E11416">
            <w:pPr>
              <w:spacing w:line="240" w:lineRule="auto"/>
              <w:jc w:val="right"/>
              <w:rPr>
                <w:rFonts w:ascii="Arial Narrow" w:hAnsi="Arial Narrow" w:cs="Arial"/>
                <w:b/>
                <w:bCs/>
                <w:lang w:eastAsia="sk-SK"/>
              </w:rPr>
            </w:pPr>
            <w:r w:rsidRPr="00E11416">
              <w:rPr>
                <w:rFonts w:ascii="Arial Narrow" w:hAnsi="Arial Narrow" w:cs="Arial"/>
                <w:b/>
                <w:bCs/>
                <w:lang w:eastAsia="sk-SK"/>
              </w:rPr>
              <w:t>-1 058 038</w:t>
            </w:r>
          </w:p>
        </w:tc>
      </w:tr>
      <w:tr>
        <w:tblPrEx>
          <w:tblW w:w="9055" w:type="dxa"/>
          <w:tblInd w:w="55" w:type="dxa"/>
          <w:tblCellMar>
            <w:left w:w="70" w:type="dxa"/>
            <w:right w:w="70" w:type="dxa"/>
          </w:tblCellMar>
        </w:tblPrEx>
        <w:trPr>
          <w:trHeight w:hRule="exact" w:val="284"/>
        </w:trPr>
        <w:tc>
          <w:tcPr>
            <w:tcW w:w="4335" w:type="dxa"/>
            <w:tcBorders>
              <w:top w:val="nil"/>
              <w:left w:val="single" w:sz="4" w:space="0" w:color="auto"/>
              <w:bottom w:val="single" w:sz="4" w:space="0" w:color="auto"/>
              <w:right w:val="single" w:sz="4" w:space="0" w:color="auto"/>
              <w:tl2br w:val="nil"/>
              <w:tr2bl w:val="nil"/>
            </w:tcBorders>
            <w:textDirection w:val="lrTb"/>
            <w:vAlign w:val="center"/>
          </w:tcPr>
          <w:p w:rsidR="00E11416" w:rsidRPr="00E11416" w:rsidP="00E11416">
            <w:pPr>
              <w:spacing w:line="240" w:lineRule="auto"/>
              <w:rPr>
                <w:rFonts w:ascii="Arial Narrow" w:hAnsi="Arial Narrow" w:cs="Arial"/>
                <w:b/>
                <w:bCs/>
                <w:lang w:eastAsia="sk-SK"/>
              </w:rPr>
            </w:pPr>
            <w:r w:rsidRPr="00E11416">
              <w:rPr>
                <w:rFonts w:ascii="Arial Narrow" w:hAnsi="Arial Narrow" w:cs="Arial"/>
                <w:b/>
                <w:bCs/>
                <w:lang w:eastAsia="sk-SK"/>
              </w:rPr>
              <w:t>Pohľadávky za upísané imanie</w:t>
            </w:r>
          </w:p>
        </w:tc>
        <w:tc>
          <w:tcPr>
            <w:tcW w:w="1720" w:type="dxa"/>
            <w:tcBorders>
              <w:top w:val="nil"/>
              <w:left w:val="nil"/>
              <w:bottom w:val="single" w:sz="4" w:space="0" w:color="auto"/>
              <w:right w:val="single" w:sz="4" w:space="0" w:color="auto"/>
              <w:tl2br w:val="nil"/>
              <w:tr2bl w:val="nil"/>
            </w:tcBorders>
            <w:noWrap/>
            <w:textDirection w:val="lrTb"/>
            <w:vAlign w:val="center"/>
          </w:tcPr>
          <w:p w:rsidR="00E11416" w:rsidRPr="00E11416" w:rsidP="00E11416">
            <w:pPr>
              <w:spacing w:line="240" w:lineRule="auto"/>
              <w:jc w:val="right"/>
              <w:rPr>
                <w:rFonts w:ascii="Arial Narrow" w:hAnsi="Arial Narrow" w:cs="Arial"/>
                <w:b/>
                <w:bCs/>
                <w:lang w:eastAsia="sk-SK"/>
              </w:rPr>
            </w:pPr>
            <w:r w:rsidRPr="00E11416">
              <w:rPr>
                <w:rFonts w:ascii="Arial Narrow" w:hAnsi="Arial Narrow" w:cs="Arial"/>
                <w:b/>
                <w:bCs/>
                <w:lang w:eastAsia="sk-SK"/>
              </w:rPr>
              <w:t>0</w:t>
            </w:r>
          </w:p>
        </w:tc>
        <w:tc>
          <w:tcPr>
            <w:tcW w:w="1460" w:type="dxa"/>
            <w:tcBorders>
              <w:top w:val="nil"/>
              <w:left w:val="nil"/>
              <w:bottom w:val="single" w:sz="4" w:space="0" w:color="auto"/>
              <w:right w:val="single" w:sz="4" w:space="0" w:color="auto"/>
              <w:tl2br w:val="nil"/>
              <w:tr2bl w:val="nil"/>
            </w:tcBorders>
            <w:noWrap/>
            <w:textDirection w:val="lrTb"/>
            <w:vAlign w:val="center"/>
          </w:tcPr>
          <w:p w:rsidR="00E11416" w:rsidRPr="00E11416" w:rsidP="00E11416">
            <w:pPr>
              <w:spacing w:line="240" w:lineRule="auto"/>
              <w:jc w:val="right"/>
              <w:rPr>
                <w:rFonts w:ascii="Arial Narrow" w:hAnsi="Arial Narrow" w:cs="Arial"/>
                <w:b/>
                <w:bCs/>
                <w:lang w:eastAsia="sk-SK"/>
              </w:rPr>
            </w:pPr>
            <w:r w:rsidRPr="00E11416">
              <w:rPr>
                <w:rFonts w:ascii="Arial Narrow" w:hAnsi="Arial Narrow" w:cs="Arial"/>
                <w:b/>
                <w:bCs/>
                <w:lang w:eastAsia="sk-SK"/>
              </w:rPr>
              <w:t>0</w:t>
            </w:r>
          </w:p>
        </w:tc>
        <w:tc>
          <w:tcPr>
            <w:tcW w:w="1540" w:type="dxa"/>
            <w:tcBorders>
              <w:top w:val="nil"/>
              <w:left w:val="nil"/>
              <w:bottom w:val="single" w:sz="4" w:space="0" w:color="auto"/>
              <w:right w:val="single" w:sz="4" w:space="0" w:color="auto"/>
              <w:tl2br w:val="nil"/>
              <w:tr2bl w:val="nil"/>
            </w:tcBorders>
            <w:noWrap/>
            <w:textDirection w:val="lrTb"/>
            <w:vAlign w:val="center"/>
          </w:tcPr>
          <w:p w:rsidR="00E11416" w:rsidRPr="00E11416" w:rsidP="00E11416">
            <w:pPr>
              <w:spacing w:line="240" w:lineRule="auto"/>
              <w:jc w:val="right"/>
              <w:rPr>
                <w:rFonts w:ascii="Arial Narrow" w:hAnsi="Arial Narrow" w:cs="Arial"/>
                <w:b/>
                <w:bCs/>
                <w:lang w:eastAsia="sk-SK"/>
              </w:rPr>
            </w:pPr>
            <w:r w:rsidRPr="00E11416">
              <w:rPr>
                <w:rFonts w:ascii="Arial Narrow" w:hAnsi="Arial Narrow" w:cs="Arial"/>
                <w:b/>
                <w:bCs/>
                <w:lang w:eastAsia="sk-SK"/>
              </w:rPr>
              <w:t>0</w:t>
            </w:r>
          </w:p>
        </w:tc>
      </w:tr>
      <w:tr>
        <w:tblPrEx>
          <w:tblW w:w="9055" w:type="dxa"/>
          <w:tblInd w:w="55" w:type="dxa"/>
          <w:tblCellMar>
            <w:left w:w="70" w:type="dxa"/>
            <w:right w:w="70" w:type="dxa"/>
          </w:tblCellMar>
        </w:tblPrEx>
        <w:trPr>
          <w:trHeight w:hRule="exact" w:val="284"/>
        </w:trPr>
        <w:tc>
          <w:tcPr>
            <w:tcW w:w="4335" w:type="dxa"/>
            <w:tcBorders>
              <w:top w:val="nil"/>
              <w:left w:val="single" w:sz="4" w:space="0" w:color="auto"/>
              <w:bottom w:val="single" w:sz="4" w:space="0" w:color="auto"/>
              <w:right w:val="single" w:sz="4" w:space="0" w:color="auto"/>
              <w:tl2br w:val="nil"/>
              <w:tr2bl w:val="nil"/>
            </w:tcBorders>
            <w:textDirection w:val="lrTb"/>
            <w:vAlign w:val="center"/>
          </w:tcPr>
          <w:p w:rsidR="00E11416" w:rsidRPr="00E11416" w:rsidP="00E11416">
            <w:pPr>
              <w:spacing w:line="240" w:lineRule="auto"/>
              <w:rPr>
                <w:rFonts w:ascii="Arial Narrow" w:hAnsi="Arial Narrow" w:cs="Arial"/>
                <w:b/>
                <w:bCs/>
                <w:lang w:eastAsia="sk-SK"/>
              </w:rPr>
            </w:pPr>
            <w:r w:rsidRPr="00E11416">
              <w:rPr>
                <w:rFonts w:ascii="Arial Narrow" w:hAnsi="Arial Narrow" w:cs="Arial"/>
                <w:b/>
                <w:bCs/>
                <w:lang w:eastAsia="sk-SK"/>
              </w:rPr>
              <w:t>Neobežný majetok</w:t>
            </w:r>
          </w:p>
        </w:tc>
        <w:tc>
          <w:tcPr>
            <w:tcW w:w="1720" w:type="dxa"/>
            <w:tcBorders>
              <w:top w:val="nil"/>
              <w:left w:val="nil"/>
              <w:bottom w:val="single" w:sz="4" w:space="0" w:color="auto"/>
              <w:right w:val="single" w:sz="4" w:space="0" w:color="auto"/>
              <w:tl2br w:val="nil"/>
              <w:tr2bl w:val="nil"/>
            </w:tcBorders>
            <w:noWrap/>
            <w:textDirection w:val="lrTb"/>
            <w:vAlign w:val="center"/>
          </w:tcPr>
          <w:p w:rsidR="00E11416" w:rsidRPr="00E11416" w:rsidP="00E11416">
            <w:pPr>
              <w:spacing w:line="240" w:lineRule="auto"/>
              <w:jc w:val="right"/>
              <w:rPr>
                <w:rFonts w:ascii="Arial Narrow" w:hAnsi="Arial Narrow" w:cs="Arial"/>
                <w:b/>
                <w:bCs/>
                <w:lang w:eastAsia="sk-SK"/>
              </w:rPr>
            </w:pPr>
            <w:r w:rsidRPr="00E11416">
              <w:rPr>
                <w:rFonts w:ascii="Arial Narrow" w:hAnsi="Arial Narrow" w:cs="Arial"/>
                <w:b/>
                <w:bCs/>
                <w:lang w:eastAsia="sk-SK"/>
              </w:rPr>
              <w:t>16 535 373</w:t>
            </w:r>
          </w:p>
        </w:tc>
        <w:tc>
          <w:tcPr>
            <w:tcW w:w="1460" w:type="dxa"/>
            <w:tcBorders>
              <w:top w:val="nil"/>
              <w:left w:val="nil"/>
              <w:bottom w:val="single" w:sz="4" w:space="0" w:color="auto"/>
              <w:right w:val="single" w:sz="4" w:space="0" w:color="auto"/>
              <w:tl2br w:val="nil"/>
              <w:tr2bl w:val="nil"/>
            </w:tcBorders>
            <w:noWrap/>
            <w:textDirection w:val="lrTb"/>
            <w:vAlign w:val="center"/>
          </w:tcPr>
          <w:p w:rsidR="00E11416" w:rsidRPr="00E11416" w:rsidP="00E11416">
            <w:pPr>
              <w:spacing w:line="240" w:lineRule="auto"/>
              <w:jc w:val="right"/>
              <w:rPr>
                <w:rFonts w:ascii="Arial Narrow" w:hAnsi="Arial Narrow" w:cs="Arial"/>
                <w:b/>
                <w:bCs/>
                <w:lang w:eastAsia="sk-SK"/>
              </w:rPr>
            </w:pPr>
            <w:r w:rsidRPr="00E11416">
              <w:rPr>
                <w:rFonts w:ascii="Arial Narrow" w:hAnsi="Arial Narrow" w:cs="Arial"/>
                <w:b/>
                <w:bCs/>
                <w:lang w:eastAsia="sk-SK"/>
              </w:rPr>
              <w:t>16 266 594</w:t>
            </w:r>
          </w:p>
        </w:tc>
        <w:tc>
          <w:tcPr>
            <w:tcW w:w="1540" w:type="dxa"/>
            <w:tcBorders>
              <w:top w:val="nil"/>
              <w:left w:val="nil"/>
              <w:bottom w:val="single" w:sz="4" w:space="0" w:color="auto"/>
              <w:right w:val="single" w:sz="4" w:space="0" w:color="auto"/>
              <w:tl2br w:val="nil"/>
              <w:tr2bl w:val="nil"/>
            </w:tcBorders>
            <w:noWrap/>
            <w:textDirection w:val="lrTb"/>
            <w:vAlign w:val="center"/>
          </w:tcPr>
          <w:p w:rsidR="00E11416" w:rsidRPr="00E11416" w:rsidP="00E11416">
            <w:pPr>
              <w:spacing w:line="240" w:lineRule="auto"/>
              <w:jc w:val="right"/>
              <w:rPr>
                <w:rFonts w:ascii="Arial Narrow" w:hAnsi="Arial Narrow" w:cs="Arial"/>
                <w:b/>
                <w:bCs/>
                <w:lang w:eastAsia="sk-SK"/>
              </w:rPr>
            </w:pPr>
            <w:r w:rsidRPr="00E11416">
              <w:rPr>
                <w:rFonts w:ascii="Arial Narrow" w:hAnsi="Arial Narrow" w:cs="Arial"/>
                <w:b/>
                <w:bCs/>
                <w:lang w:eastAsia="sk-SK"/>
              </w:rPr>
              <w:t>-268 779</w:t>
            </w:r>
          </w:p>
        </w:tc>
      </w:tr>
      <w:tr>
        <w:tblPrEx>
          <w:tblW w:w="9055" w:type="dxa"/>
          <w:tblInd w:w="55" w:type="dxa"/>
          <w:tblCellMar>
            <w:left w:w="70" w:type="dxa"/>
            <w:right w:w="70" w:type="dxa"/>
          </w:tblCellMar>
        </w:tblPrEx>
        <w:trPr>
          <w:trHeight w:hRule="exact" w:val="284"/>
        </w:trPr>
        <w:tc>
          <w:tcPr>
            <w:tcW w:w="4335" w:type="dxa"/>
            <w:tcBorders>
              <w:top w:val="nil"/>
              <w:left w:val="single" w:sz="4" w:space="0" w:color="auto"/>
              <w:bottom w:val="single" w:sz="4" w:space="0" w:color="auto"/>
              <w:right w:val="single" w:sz="4" w:space="0" w:color="auto"/>
              <w:tl2br w:val="nil"/>
              <w:tr2bl w:val="nil"/>
            </w:tcBorders>
            <w:noWrap/>
            <w:textDirection w:val="lrTb"/>
            <w:vAlign w:val="center"/>
          </w:tcPr>
          <w:p w:rsidR="00E11416" w:rsidRPr="00E11416" w:rsidP="00E11416">
            <w:pPr>
              <w:spacing w:line="240" w:lineRule="auto"/>
              <w:rPr>
                <w:rFonts w:ascii="Arial Narrow" w:hAnsi="Arial Narrow" w:cs="Arial"/>
                <w:lang w:eastAsia="sk-SK"/>
              </w:rPr>
            </w:pPr>
            <w:r w:rsidRPr="00E11416">
              <w:rPr>
                <w:rFonts w:ascii="Arial Narrow" w:hAnsi="Arial Narrow" w:cs="Arial"/>
                <w:lang w:eastAsia="sk-SK"/>
              </w:rPr>
              <w:t>Dlhodobý nehmotný majetok</w:t>
            </w:r>
          </w:p>
        </w:tc>
        <w:tc>
          <w:tcPr>
            <w:tcW w:w="1720" w:type="dxa"/>
            <w:tcBorders>
              <w:top w:val="nil"/>
              <w:left w:val="nil"/>
              <w:bottom w:val="single" w:sz="4" w:space="0" w:color="auto"/>
              <w:right w:val="single" w:sz="4" w:space="0" w:color="auto"/>
              <w:tl2br w:val="nil"/>
              <w:tr2bl w:val="nil"/>
            </w:tcBorders>
            <w:noWrap/>
            <w:textDirection w:val="lrTb"/>
            <w:vAlign w:val="center"/>
          </w:tcPr>
          <w:p w:rsidR="00E11416" w:rsidRPr="00E11416" w:rsidP="00E11416">
            <w:pPr>
              <w:spacing w:line="240" w:lineRule="auto"/>
              <w:jc w:val="right"/>
              <w:rPr>
                <w:rFonts w:ascii="Arial Narrow" w:hAnsi="Arial Narrow" w:cs="Arial"/>
                <w:lang w:eastAsia="sk-SK"/>
              </w:rPr>
            </w:pPr>
            <w:r w:rsidRPr="00E11416">
              <w:rPr>
                <w:rFonts w:ascii="Arial Narrow" w:hAnsi="Arial Narrow" w:cs="Arial"/>
                <w:lang w:eastAsia="sk-SK"/>
              </w:rPr>
              <w:t>274 885</w:t>
            </w:r>
          </w:p>
        </w:tc>
        <w:tc>
          <w:tcPr>
            <w:tcW w:w="1460" w:type="dxa"/>
            <w:tcBorders>
              <w:top w:val="nil"/>
              <w:left w:val="nil"/>
              <w:bottom w:val="single" w:sz="4" w:space="0" w:color="auto"/>
              <w:right w:val="single" w:sz="4" w:space="0" w:color="auto"/>
              <w:tl2br w:val="nil"/>
              <w:tr2bl w:val="nil"/>
            </w:tcBorders>
            <w:noWrap/>
            <w:textDirection w:val="lrTb"/>
            <w:vAlign w:val="center"/>
          </w:tcPr>
          <w:p w:rsidR="00E11416" w:rsidRPr="00E11416" w:rsidP="00E11416">
            <w:pPr>
              <w:spacing w:line="240" w:lineRule="auto"/>
              <w:jc w:val="right"/>
              <w:rPr>
                <w:rFonts w:ascii="Arial Narrow" w:hAnsi="Arial Narrow" w:cs="Arial"/>
                <w:lang w:eastAsia="sk-SK"/>
              </w:rPr>
            </w:pPr>
            <w:r w:rsidRPr="00E11416">
              <w:rPr>
                <w:rFonts w:ascii="Arial Narrow" w:hAnsi="Arial Narrow" w:cs="Arial"/>
                <w:lang w:eastAsia="sk-SK"/>
              </w:rPr>
              <w:t>403 026</w:t>
            </w:r>
          </w:p>
        </w:tc>
        <w:tc>
          <w:tcPr>
            <w:tcW w:w="1540" w:type="dxa"/>
            <w:tcBorders>
              <w:top w:val="nil"/>
              <w:left w:val="nil"/>
              <w:bottom w:val="single" w:sz="4" w:space="0" w:color="auto"/>
              <w:right w:val="single" w:sz="4" w:space="0" w:color="auto"/>
              <w:tl2br w:val="nil"/>
              <w:tr2bl w:val="nil"/>
            </w:tcBorders>
            <w:noWrap/>
            <w:textDirection w:val="lrTb"/>
            <w:vAlign w:val="center"/>
          </w:tcPr>
          <w:p w:rsidR="00E11416" w:rsidRPr="00E11416" w:rsidP="00E11416">
            <w:pPr>
              <w:spacing w:line="240" w:lineRule="auto"/>
              <w:jc w:val="right"/>
              <w:rPr>
                <w:rFonts w:ascii="Arial Narrow" w:hAnsi="Arial Narrow" w:cs="Arial"/>
                <w:lang w:eastAsia="sk-SK"/>
              </w:rPr>
            </w:pPr>
            <w:r w:rsidRPr="00E11416">
              <w:rPr>
                <w:rFonts w:ascii="Arial Narrow" w:hAnsi="Arial Narrow" w:cs="Arial"/>
                <w:lang w:eastAsia="sk-SK"/>
              </w:rPr>
              <w:t>128 141</w:t>
            </w:r>
          </w:p>
        </w:tc>
      </w:tr>
      <w:tr>
        <w:tblPrEx>
          <w:tblW w:w="9055" w:type="dxa"/>
          <w:tblInd w:w="55" w:type="dxa"/>
          <w:tblCellMar>
            <w:left w:w="70" w:type="dxa"/>
            <w:right w:w="70" w:type="dxa"/>
          </w:tblCellMar>
        </w:tblPrEx>
        <w:trPr>
          <w:trHeight w:hRule="exact" w:val="284"/>
        </w:trPr>
        <w:tc>
          <w:tcPr>
            <w:tcW w:w="9055" w:type="dxa"/>
            <w:gridSpan w:val="4"/>
            <w:tcBorders>
              <w:top w:val="single" w:sz="4" w:space="0" w:color="auto"/>
              <w:left w:val="single" w:sz="4" w:space="0" w:color="auto"/>
              <w:bottom w:val="single" w:sz="4" w:space="0" w:color="auto"/>
              <w:right w:val="single" w:sz="4" w:space="0" w:color="000000"/>
              <w:tl2br w:val="nil"/>
              <w:tr2bl w:val="nil"/>
            </w:tcBorders>
            <w:textDirection w:val="lrTb"/>
            <w:vAlign w:val="center"/>
          </w:tcPr>
          <w:p w:rsidR="00E11416" w:rsidRPr="00E11416" w:rsidP="00E11416">
            <w:pPr>
              <w:spacing w:line="240" w:lineRule="auto"/>
              <w:rPr>
                <w:rFonts w:ascii="Arial Narrow" w:hAnsi="Arial Narrow" w:cs="Arial"/>
                <w:b/>
                <w:bCs/>
                <w:i/>
                <w:iCs/>
                <w:lang w:eastAsia="sk-SK"/>
              </w:rPr>
            </w:pPr>
            <w:r w:rsidRPr="00607A12">
              <w:rPr>
                <w:rFonts w:ascii="Arial Narrow" w:hAnsi="Arial Narrow" w:cs="Arial"/>
                <w:bCs/>
                <w:i/>
                <w:iCs/>
                <w:lang w:eastAsia="sk-SK"/>
              </w:rPr>
              <w:t>Komentár</w:t>
            </w:r>
            <w:r w:rsidRPr="00607A12">
              <w:rPr>
                <w:rFonts w:ascii="Arial Narrow" w:hAnsi="Arial Narrow" w:cs="Arial"/>
                <w:i/>
                <w:iCs/>
                <w:lang w:eastAsia="sk-SK"/>
              </w:rPr>
              <w:t>: Nárast</w:t>
            </w:r>
            <w:r w:rsidRPr="00E11416">
              <w:rPr>
                <w:rFonts w:ascii="Arial Narrow" w:hAnsi="Arial Narrow" w:cs="Arial"/>
                <w:i/>
                <w:iCs/>
                <w:lang w:eastAsia="sk-SK"/>
              </w:rPr>
              <w:t xml:space="preserve"> súvisí so zaradením obstaraného DL</w:t>
            </w:r>
            <w:r>
              <w:rPr>
                <w:rFonts w:ascii="Arial Narrow" w:hAnsi="Arial Narrow" w:cs="Arial"/>
                <w:i/>
                <w:iCs/>
                <w:lang w:eastAsia="sk-SK"/>
              </w:rPr>
              <w:t>NM (Infor. systém prevádzky-</w:t>
            </w:r>
            <w:r w:rsidRPr="00E11416">
              <w:rPr>
                <w:rFonts w:ascii="Arial Narrow" w:hAnsi="Arial Narrow" w:cs="Arial"/>
                <w:i/>
                <w:iCs/>
                <w:lang w:eastAsia="sk-SK"/>
              </w:rPr>
              <w:t>ISP a licencie SAP) do užívania</w:t>
            </w:r>
            <w:r w:rsidR="00BC0B14">
              <w:rPr>
                <w:rFonts w:ascii="Arial Narrow" w:hAnsi="Arial Narrow" w:cs="Arial"/>
                <w:i/>
                <w:iCs/>
                <w:lang w:eastAsia="sk-SK"/>
              </w:rPr>
              <w:t>.</w:t>
            </w:r>
          </w:p>
        </w:tc>
      </w:tr>
      <w:tr>
        <w:tblPrEx>
          <w:tblW w:w="9055" w:type="dxa"/>
          <w:tblInd w:w="55" w:type="dxa"/>
          <w:tblCellMar>
            <w:left w:w="70" w:type="dxa"/>
            <w:right w:w="70" w:type="dxa"/>
          </w:tblCellMar>
        </w:tblPrEx>
        <w:trPr>
          <w:trHeight w:hRule="exact" w:val="284"/>
        </w:trPr>
        <w:tc>
          <w:tcPr>
            <w:tcW w:w="4335" w:type="dxa"/>
            <w:tcBorders>
              <w:top w:val="nil"/>
              <w:left w:val="single" w:sz="4" w:space="0" w:color="auto"/>
              <w:bottom w:val="single" w:sz="4" w:space="0" w:color="auto"/>
              <w:right w:val="single" w:sz="4" w:space="0" w:color="auto"/>
              <w:tl2br w:val="nil"/>
              <w:tr2bl w:val="nil"/>
            </w:tcBorders>
            <w:noWrap/>
            <w:textDirection w:val="lrTb"/>
            <w:vAlign w:val="center"/>
          </w:tcPr>
          <w:p w:rsidR="00E11416" w:rsidRPr="00E11416" w:rsidP="00E11416">
            <w:pPr>
              <w:spacing w:line="240" w:lineRule="auto"/>
              <w:rPr>
                <w:rFonts w:ascii="Arial Narrow" w:hAnsi="Arial Narrow" w:cs="Arial"/>
                <w:lang w:eastAsia="sk-SK"/>
              </w:rPr>
            </w:pPr>
            <w:r w:rsidRPr="00E11416">
              <w:rPr>
                <w:rFonts w:ascii="Arial Narrow" w:hAnsi="Arial Narrow" w:cs="Arial"/>
                <w:lang w:eastAsia="sk-SK"/>
              </w:rPr>
              <w:t>Dlhodobý hmotný majetok</w:t>
            </w:r>
          </w:p>
        </w:tc>
        <w:tc>
          <w:tcPr>
            <w:tcW w:w="1720" w:type="dxa"/>
            <w:tcBorders>
              <w:top w:val="nil"/>
              <w:left w:val="nil"/>
              <w:bottom w:val="single" w:sz="4" w:space="0" w:color="auto"/>
              <w:right w:val="single" w:sz="4" w:space="0" w:color="auto"/>
              <w:tl2br w:val="nil"/>
              <w:tr2bl w:val="nil"/>
            </w:tcBorders>
            <w:noWrap/>
            <w:textDirection w:val="lrTb"/>
            <w:vAlign w:val="center"/>
          </w:tcPr>
          <w:p w:rsidR="00E11416" w:rsidRPr="00E11416" w:rsidP="00E11416">
            <w:pPr>
              <w:spacing w:line="240" w:lineRule="auto"/>
              <w:jc w:val="right"/>
              <w:rPr>
                <w:rFonts w:ascii="Arial Narrow" w:hAnsi="Arial Narrow" w:cs="Arial"/>
                <w:lang w:eastAsia="sk-SK"/>
              </w:rPr>
            </w:pPr>
            <w:r w:rsidRPr="00E11416">
              <w:rPr>
                <w:rFonts w:ascii="Arial Narrow" w:hAnsi="Arial Narrow" w:cs="Arial"/>
                <w:lang w:eastAsia="sk-SK"/>
              </w:rPr>
              <w:t>16 260 122</w:t>
            </w:r>
          </w:p>
        </w:tc>
        <w:tc>
          <w:tcPr>
            <w:tcW w:w="1460" w:type="dxa"/>
            <w:tcBorders>
              <w:top w:val="nil"/>
              <w:left w:val="nil"/>
              <w:bottom w:val="single" w:sz="4" w:space="0" w:color="auto"/>
              <w:right w:val="single" w:sz="4" w:space="0" w:color="auto"/>
              <w:tl2br w:val="nil"/>
              <w:tr2bl w:val="nil"/>
            </w:tcBorders>
            <w:noWrap/>
            <w:textDirection w:val="lrTb"/>
            <w:vAlign w:val="center"/>
          </w:tcPr>
          <w:p w:rsidR="00E11416" w:rsidRPr="00E11416" w:rsidP="00E11416">
            <w:pPr>
              <w:spacing w:line="240" w:lineRule="auto"/>
              <w:jc w:val="right"/>
              <w:rPr>
                <w:rFonts w:ascii="Arial Narrow" w:hAnsi="Arial Narrow" w:cs="Arial"/>
                <w:lang w:eastAsia="sk-SK"/>
              </w:rPr>
            </w:pPr>
            <w:r w:rsidRPr="00E11416">
              <w:rPr>
                <w:rFonts w:ascii="Arial Narrow" w:hAnsi="Arial Narrow" w:cs="Arial"/>
                <w:lang w:eastAsia="sk-SK"/>
              </w:rPr>
              <w:t>15 863 212</w:t>
            </w:r>
          </w:p>
        </w:tc>
        <w:tc>
          <w:tcPr>
            <w:tcW w:w="1540" w:type="dxa"/>
            <w:tcBorders>
              <w:top w:val="nil"/>
              <w:left w:val="nil"/>
              <w:bottom w:val="single" w:sz="4" w:space="0" w:color="auto"/>
              <w:right w:val="single" w:sz="4" w:space="0" w:color="auto"/>
              <w:tl2br w:val="nil"/>
              <w:tr2bl w:val="nil"/>
            </w:tcBorders>
            <w:noWrap/>
            <w:textDirection w:val="lrTb"/>
            <w:vAlign w:val="center"/>
          </w:tcPr>
          <w:p w:rsidR="00E11416" w:rsidRPr="00E11416" w:rsidP="00E11416">
            <w:pPr>
              <w:spacing w:line="240" w:lineRule="auto"/>
              <w:jc w:val="right"/>
              <w:rPr>
                <w:rFonts w:ascii="Arial Narrow" w:hAnsi="Arial Narrow" w:cs="Arial"/>
                <w:lang w:eastAsia="sk-SK"/>
              </w:rPr>
            </w:pPr>
            <w:r w:rsidRPr="00E11416">
              <w:rPr>
                <w:rFonts w:ascii="Arial Narrow" w:hAnsi="Arial Narrow" w:cs="Arial"/>
                <w:lang w:eastAsia="sk-SK"/>
              </w:rPr>
              <w:t>-396 910</w:t>
            </w:r>
          </w:p>
        </w:tc>
      </w:tr>
      <w:tr>
        <w:tblPrEx>
          <w:tblW w:w="9055" w:type="dxa"/>
          <w:tblInd w:w="55" w:type="dxa"/>
          <w:tblCellMar>
            <w:left w:w="70" w:type="dxa"/>
            <w:right w:w="70" w:type="dxa"/>
          </w:tblCellMar>
        </w:tblPrEx>
        <w:trPr>
          <w:trHeight w:hRule="exact" w:val="737"/>
        </w:trPr>
        <w:tc>
          <w:tcPr>
            <w:tcW w:w="9055" w:type="dxa"/>
            <w:gridSpan w:val="4"/>
            <w:tcBorders>
              <w:top w:val="single" w:sz="4" w:space="0" w:color="auto"/>
              <w:left w:val="single" w:sz="4" w:space="0" w:color="auto"/>
              <w:bottom w:val="single" w:sz="4" w:space="0" w:color="auto"/>
              <w:right w:val="single" w:sz="4" w:space="0" w:color="000000"/>
              <w:tl2br w:val="nil"/>
              <w:tr2bl w:val="nil"/>
            </w:tcBorders>
            <w:textDirection w:val="lrTb"/>
            <w:vAlign w:val="center"/>
          </w:tcPr>
          <w:p w:rsidR="00E11416" w:rsidRPr="00E11416" w:rsidP="00E11416">
            <w:pPr>
              <w:spacing w:line="240" w:lineRule="auto"/>
              <w:rPr>
                <w:rFonts w:ascii="Arial Narrow" w:hAnsi="Arial Narrow" w:cs="Arial"/>
                <w:b/>
                <w:bCs/>
                <w:i/>
                <w:iCs/>
                <w:lang w:eastAsia="sk-SK"/>
              </w:rPr>
            </w:pPr>
            <w:r w:rsidRPr="00607A12">
              <w:rPr>
                <w:rFonts w:ascii="Arial Narrow" w:hAnsi="Arial Narrow" w:cs="Arial"/>
                <w:bCs/>
                <w:i/>
                <w:iCs/>
                <w:lang w:eastAsia="sk-SK"/>
              </w:rPr>
              <w:t>Komentár</w:t>
            </w:r>
            <w:r w:rsidRPr="00607A12">
              <w:rPr>
                <w:rFonts w:ascii="Arial Narrow" w:hAnsi="Arial Narrow" w:cs="Arial"/>
                <w:i/>
                <w:iCs/>
                <w:lang w:eastAsia="sk-SK"/>
              </w:rPr>
              <w:t>: Od začiatku</w:t>
            </w:r>
            <w:r w:rsidRPr="00E11416">
              <w:rPr>
                <w:rFonts w:ascii="Arial Narrow" w:hAnsi="Arial Narrow" w:cs="Arial"/>
                <w:i/>
                <w:iCs/>
                <w:lang w:eastAsia="sk-SK"/>
              </w:rPr>
              <w:t xml:space="preserve"> roka poklesli pozemky o -17,3 mil.Sk, stavby o -100 mil.Sk, samostatné hnuteľné veci o -420,7 mil.Sk (odpredaj NV a CMV). Narástol obstarávaný DLHM o +36,5 mil.Sk a poskytnuté preddavky na DLHM o +104,6 mil.Sk (modernizácia HDV, nákup NV).</w:t>
            </w:r>
          </w:p>
        </w:tc>
      </w:tr>
      <w:tr>
        <w:tblPrEx>
          <w:tblW w:w="9055" w:type="dxa"/>
          <w:tblInd w:w="55" w:type="dxa"/>
          <w:tblCellMar>
            <w:left w:w="70" w:type="dxa"/>
            <w:right w:w="70" w:type="dxa"/>
          </w:tblCellMar>
        </w:tblPrEx>
        <w:trPr>
          <w:trHeight w:hRule="exact" w:val="284"/>
        </w:trPr>
        <w:tc>
          <w:tcPr>
            <w:tcW w:w="4335" w:type="dxa"/>
            <w:tcBorders>
              <w:top w:val="nil"/>
              <w:left w:val="single" w:sz="4" w:space="0" w:color="auto"/>
              <w:bottom w:val="single" w:sz="4" w:space="0" w:color="auto"/>
              <w:right w:val="single" w:sz="4" w:space="0" w:color="auto"/>
              <w:tl2br w:val="nil"/>
              <w:tr2bl w:val="nil"/>
            </w:tcBorders>
            <w:textDirection w:val="lrTb"/>
            <w:vAlign w:val="center"/>
          </w:tcPr>
          <w:p w:rsidR="00E11416" w:rsidRPr="00E11416" w:rsidP="00E11416">
            <w:pPr>
              <w:spacing w:line="240" w:lineRule="auto"/>
              <w:rPr>
                <w:rFonts w:ascii="Arial Narrow" w:hAnsi="Arial Narrow" w:cs="Arial"/>
                <w:lang w:eastAsia="sk-SK"/>
              </w:rPr>
            </w:pPr>
            <w:r w:rsidRPr="00E11416">
              <w:rPr>
                <w:rFonts w:ascii="Arial Narrow" w:hAnsi="Arial Narrow" w:cs="Arial"/>
                <w:lang w:eastAsia="sk-SK"/>
              </w:rPr>
              <w:t>Dlhodobý finančný majetok</w:t>
            </w:r>
          </w:p>
        </w:tc>
        <w:tc>
          <w:tcPr>
            <w:tcW w:w="1720" w:type="dxa"/>
            <w:tcBorders>
              <w:top w:val="nil"/>
              <w:left w:val="nil"/>
              <w:bottom w:val="single" w:sz="4" w:space="0" w:color="auto"/>
              <w:right w:val="single" w:sz="4" w:space="0" w:color="auto"/>
              <w:tl2br w:val="nil"/>
              <w:tr2bl w:val="nil"/>
            </w:tcBorders>
            <w:noWrap/>
            <w:textDirection w:val="lrTb"/>
            <w:vAlign w:val="center"/>
          </w:tcPr>
          <w:p w:rsidR="00E11416" w:rsidRPr="00E11416" w:rsidP="00E11416">
            <w:pPr>
              <w:spacing w:line="240" w:lineRule="auto"/>
              <w:jc w:val="right"/>
              <w:rPr>
                <w:rFonts w:ascii="Arial Narrow" w:hAnsi="Arial Narrow" w:cs="Arial"/>
                <w:lang w:eastAsia="sk-SK"/>
              </w:rPr>
            </w:pPr>
            <w:r w:rsidRPr="00E11416">
              <w:rPr>
                <w:rFonts w:ascii="Arial Narrow" w:hAnsi="Arial Narrow" w:cs="Arial"/>
                <w:lang w:eastAsia="sk-SK"/>
              </w:rPr>
              <w:t>366</w:t>
            </w:r>
          </w:p>
        </w:tc>
        <w:tc>
          <w:tcPr>
            <w:tcW w:w="1460" w:type="dxa"/>
            <w:tcBorders>
              <w:top w:val="nil"/>
              <w:left w:val="nil"/>
              <w:bottom w:val="single" w:sz="4" w:space="0" w:color="auto"/>
              <w:right w:val="single" w:sz="4" w:space="0" w:color="auto"/>
              <w:tl2br w:val="nil"/>
              <w:tr2bl w:val="nil"/>
            </w:tcBorders>
            <w:noWrap/>
            <w:textDirection w:val="lrTb"/>
            <w:vAlign w:val="center"/>
          </w:tcPr>
          <w:p w:rsidR="00E11416" w:rsidRPr="00E11416" w:rsidP="00E11416">
            <w:pPr>
              <w:spacing w:line="240" w:lineRule="auto"/>
              <w:jc w:val="right"/>
              <w:rPr>
                <w:rFonts w:ascii="Arial Narrow" w:hAnsi="Arial Narrow" w:cs="Arial"/>
                <w:lang w:eastAsia="sk-SK"/>
              </w:rPr>
            </w:pPr>
            <w:r w:rsidRPr="00E11416">
              <w:rPr>
                <w:rFonts w:ascii="Arial Narrow" w:hAnsi="Arial Narrow" w:cs="Arial"/>
                <w:lang w:eastAsia="sk-SK"/>
              </w:rPr>
              <w:t>356</w:t>
            </w:r>
          </w:p>
        </w:tc>
        <w:tc>
          <w:tcPr>
            <w:tcW w:w="1540" w:type="dxa"/>
            <w:tcBorders>
              <w:top w:val="nil"/>
              <w:left w:val="nil"/>
              <w:bottom w:val="single" w:sz="4" w:space="0" w:color="auto"/>
              <w:right w:val="single" w:sz="4" w:space="0" w:color="auto"/>
              <w:tl2br w:val="nil"/>
              <w:tr2bl w:val="nil"/>
            </w:tcBorders>
            <w:noWrap/>
            <w:textDirection w:val="lrTb"/>
            <w:vAlign w:val="bottom"/>
          </w:tcPr>
          <w:p w:rsidR="00E11416" w:rsidRPr="00E11416" w:rsidP="00E11416">
            <w:pPr>
              <w:spacing w:line="240" w:lineRule="auto"/>
              <w:jc w:val="right"/>
              <w:rPr>
                <w:rFonts w:ascii="Arial Narrow" w:hAnsi="Arial Narrow" w:cs="Arial"/>
                <w:lang w:eastAsia="sk-SK"/>
              </w:rPr>
            </w:pPr>
            <w:r w:rsidRPr="00E11416">
              <w:rPr>
                <w:rFonts w:ascii="Arial Narrow" w:hAnsi="Arial Narrow" w:cs="Arial"/>
                <w:lang w:eastAsia="sk-SK"/>
              </w:rPr>
              <w:t>-10</w:t>
            </w:r>
          </w:p>
        </w:tc>
      </w:tr>
      <w:tr>
        <w:tblPrEx>
          <w:tblW w:w="9055" w:type="dxa"/>
          <w:tblInd w:w="55" w:type="dxa"/>
          <w:tblCellMar>
            <w:left w:w="70" w:type="dxa"/>
            <w:right w:w="70" w:type="dxa"/>
          </w:tblCellMar>
        </w:tblPrEx>
        <w:trPr>
          <w:trHeight w:hRule="exact" w:val="284"/>
        </w:trPr>
        <w:tc>
          <w:tcPr>
            <w:tcW w:w="9055" w:type="dxa"/>
            <w:gridSpan w:val="4"/>
            <w:tcBorders>
              <w:top w:val="single" w:sz="4" w:space="0" w:color="auto"/>
              <w:left w:val="single" w:sz="4" w:space="0" w:color="auto"/>
              <w:bottom w:val="single" w:sz="4" w:space="0" w:color="auto"/>
              <w:right w:val="single" w:sz="4" w:space="0" w:color="000000"/>
              <w:tl2br w:val="nil"/>
              <w:tr2bl w:val="nil"/>
            </w:tcBorders>
            <w:textDirection w:val="lrTb"/>
            <w:vAlign w:val="center"/>
          </w:tcPr>
          <w:p w:rsidR="00E11416" w:rsidRPr="00E11416" w:rsidP="00E11416">
            <w:pPr>
              <w:spacing w:line="240" w:lineRule="auto"/>
              <w:rPr>
                <w:rFonts w:ascii="Arial Narrow" w:hAnsi="Arial Narrow" w:cs="Arial"/>
                <w:b/>
                <w:bCs/>
                <w:i/>
                <w:iCs/>
                <w:lang w:eastAsia="sk-SK"/>
              </w:rPr>
            </w:pPr>
            <w:r w:rsidRPr="00607A12">
              <w:rPr>
                <w:rFonts w:ascii="Arial Narrow" w:hAnsi="Arial Narrow" w:cs="Arial"/>
                <w:bCs/>
                <w:i/>
                <w:iCs/>
                <w:lang w:eastAsia="sk-SK"/>
              </w:rPr>
              <w:t>Komentár:</w:t>
            </w:r>
            <w:r w:rsidRPr="00607A12">
              <w:rPr>
                <w:rFonts w:ascii="Arial Narrow" w:hAnsi="Arial Narrow" w:cs="Arial"/>
                <w:i/>
                <w:iCs/>
                <w:lang w:eastAsia="sk-SK"/>
              </w:rPr>
              <w:t xml:space="preserve"> Pokles</w:t>
            </w:r>
            <w:r w:rsidRPr="00E11416">
              <w:rPr>
                <w:rFonts w:ascii="Arial Narrow" w:hAnsi="Arial Narrow" w:cs="Arial"/>
                <w:i/>
                <w:iCs/>
                <w:lang w:eastAsia="sk-SK"/>
              </w:rPr>
              <w:t xml:space="preserve"> z titulu zúčtovania kurzových rozdielov.</w:t>
            </w:r>
          </w:p>
        </w:tc>
      </w:tr>
      <w:tr>
        <w:tblPrEx>
          <w:tblW w:w="9055" w:type="dxa"/>
          <w:tblInd w:w="55" w:type="dxa"/>
          <w:tblCellMar>
            <w:left w:w="70" w:type="dxa"/>
            <w:right w:w="70" w:type="dxa"/>
          </w:tblCellMar>
        </w:tblPrEx>
        <w:trPr>
          <w:trHeight w:hRule="exact" w:val="284"/>
        </w:trPr>
        <w:tc>
          <w:tcPr>
            <w:tcW w:w="4335" w:type="dxa"/>
            <w:tcBorders>
              <w:top w:val="nil"/>
              <w:left w:val="single" w:sz="4" w:space="0" w:color="auto"/>
              <w:bottom w:val="single" w:sz="4" w:space="0" w:color="auto"/>
              <w:right w:val="single" w:sz="4" w:space="0" w:color="auto"/>
              <w:tl2br w:val="nil"/>
              <w:tr2bl w:val="nil"/>
            </w:tcBorders>
            <w:noWrap/>
            <w:textDirection w:val="lrTb"/>
            <w:vAlign w:val="center"/>
          </w:tcPr>
          <w:p w:rsidR="00E11416" w:rsidRPr="00E11416" w:rsidP="00E11416">
            <w:pPr>
              <w:spacing w:line="240" w:lineRule="auto"/>
              <w:rPr>
                <w:rFonts w:ascii="Arial Narrow" w:hAnsi="Arial Narrow" w:cs="Arial"/>
                <w:b/>
                <w:bCs/>
                <w:lang w:eastAsia="sk-SK"/>
              </w:rPr>
            </w:pPr>
            <w:r w:rsidRPr="00E11416">
              <w:rPr>
                <w:rFonts w:ascii="Arial Narrow" w:hAnsi="Arial Narrow" w:cs="Arial"/>
                <w:b/>
                <w:bCs/>
                <w:lang w:eastAsia="sk-SK"/>
              </w:rPr>
              <w:t>Obežný majetok</w:t>
            </w:r>
          </w:p>
        </w:tc>
        <w:tc>
          <w:tcPr>
            <w:tcW w:w="1720" w:type="dxa"/>
            <w:tcBorders>
              <w:top w:val="nil"/>
              <w:left w:val="nil"/>
              <w:bottom w:val="single" w:sz="4" w:space="0" w:color="auto"/>
              <w:right w:val="single" w:sz="4" w:space="0" w:color="auto"/>
              <w:tl2br w:val="nil"/>
              <w:tr2bl w:val="nil"/>
            </w:tcBorders>
            <w:noWrap/>
            <w:textDirection w:val="lrTb"/>
            <w:vAlign w:val="center"/>
          </w:tcPr>
          <w:p w:rsidR="00E11416" w:rsidRPr="00E11416" w:rsidP="00E11416">
            <w:pPr>
              <w:spacing w:line="240" w:lineRule="auto"/>
              <w:jc w:val="right"/>
              <w:rPr>
                <w:rFonts w:ascii="Arial Narrow" w:hAnsi="Arial Narrow" w:cs="Arial"/>
                <w:b/>
                <w:bCs/>
                <w:lang w:eastAsia="sk-SK"/>
              </w:rPr>
            </w:pPr>
            <w:r w:rsidRPr="00E11416">
              <w:rPr>
                <w:rFonts w:ascii="Arial Narrow" w:hAnsi="Arial Narrow" w:cs="Arial"/>
                <w:b/>
                <w:bCs/>
                <w:lang w:eastAsia="sk-SK"/>
              </w:rPr>
              <w:t>4 729 417</w:t>
            </w:r>
          </w:p>
        </w:tc>
        <w:tc>
          <w:tcPr>
            <w:tcW w:w="1460" w:type="dxa"/>
            <w:tcBorders>
              <w:top w:val="nil"/>
              <w:left w:val="nil"/>
              <w:bottom w:val="single" w:sz="4" w:space="0" w:color="auto"/>
              <w:right w:val="single" w:sz="4" w:space="0" w:color="auto"/>
              <w:tl2br w:val="nil"/>
              <w:tr2bl w:val="nil"/>
            </w:tcBorders>
            <w:noWrap/>
            <w:textDirection w:val="lrTb"/>
            <w:vAlign w:val="center"/>
          </w:tcPr>
          <w:p w:rsidR="00E11416" w:rsidRPr="00E11416" w:rsidP="00E11416">
            <w:pPr>
              <w:spacing w:line="240" w:lineRule="auto"/>
              <w:jc w:val="right"/>
              <w:rPr>
                <w:rFonts w:ascii="Arial Narrow" w:hAnsi="Arial Narrow" w:cs="Arial"/>
                <w:b/>
                <w:bCs/>
                <w:lang w:eastAsia="sk-SK"/>
              </w:rPr>
            </w:pPr>
            <w:r w:rsidRPr="00E11416">
              <w:rPr>
                <w:rFonts w:ascii="Arial Narrow" w:hAnsi="Arial Narrow" w:cs="Arial"/>
                <w:b/>
                <w:bCs/>
                <w:lang w:eastAsia="sk-SK"/>
              </w:rPr>
              <w:t>3 948 136</w:t>
            </w:r>
          </w:p>
        </w:tc>
        <w:tc>
          <w:tcPr>
            <w:tcW w:w="1540" w:type="dxa"/>
            <w:tcBorders>
              <w:top w:val="nil"/>
              <w:left w:val="nil"/>
              <w:bottom w:val="single" w:sz="4" w:space="0" w:color="auto"/>
              <w:right w:val="single" w:sz="4" w:space="0" w:color="auto"/>
              <w:tl2br w:val="nil"/>
              <w:tr2bl w:val="nil"/>
            </w:tcBorders>
            <w:noWrap/>
            <w:textDirection w:val="lrTb"/>
            <w:vAlign w:val="bottom"/>
          </w:tcPr>
          <w:p w:rsidR="00E11416" w:rsidRPr="00E11416" w:rsidP="00E11416">
            <w:pPr>
              <w:spacing w:line="240" w:lineRule="auto"/>
              <w:jc w:val="right"/>
              <w:rPr>
                <w:rFonts w:ascii="Arial Narrow" w:hAnsi="Arial Narrow" w:cs="Arial"/>
                <w:b/>
                <w:bCs/>
                <w:lang w:eastAsia="sk-SK"/>
              </w:rPr>
            </w:pPr>
            <w:r w:rsidRPr="00E11416">
              <w:rPr>
                <w:rFonts w:ascii="Arial Narrow" w:hAnsi="Arial Narrow" w:cs="Arial"/>
                <w:b/>
                <w:bCs/>
                <w:lang w:eastAsia="sk-SK"/>
              </w:rPr>
              <w:t>-781 281</w:t>
            </w:r>
          </w:p>
        </w:tc>
      </w:tr>
      <w:tr>
        <w:tblPrEx>
          <w:tblW w:w="9055" w:type="dxa"/>
          <w:tblInd w:w="55" w:type="dxa"/>
          <w:tblCellMar>
            <w:left w:w="70" w:type="dxa"/>
            <w:right w:w="70" w:type="dxa"/>
          </w:tblCellMar>
        </w:tblPrEx>
        <w:trPr>
          <w:trHeight w:hRule="exact" w:val="284"/>
        </w:trPr>
        <w:tc>
          <w:tcPr>
            <w:tcW w:w="4335" w:type="dxa"/>
            <w:tcBorders>
              <w:top w:val="nil"/>
              <w:left w:val="single" w:sz="4" w:space="0" w:color="auto"/>
              <w:bottom w:val="single" w:sz="4" w:space="0" w:color="auto"/>
              <w:right w:val="single" w:sz="4" w:space="0" w:color="auto"/>
              <w:tl2br w:val="nil"/>
              <w:tr2bl w:val="nil"/>
            </w:tcBorders>
            <w:noWrap/>
            <w:textDirection w:val="lrTb"/>
            <w:vAlign w:val="center"/>
          </w:tcPr>
          <w:p w:rsidR="00E11416" w:rsidRPr="00E11416" w:rsidP="00E11416">
            <w:pPr>
              <w:spacing w:line="240" w:lineRule="auto"/>
              <w:rPr>
                <w:rFonts w:ascii="Arial Narrow" w:hAnsi="Arial Narrow" w:cs="Arial"/>
                <w:lang w:eastAsia="sk-SK"/>
              </w:rPr>
            </w:pPr>
            <w:r w:rsidRPr="00E11416">
              <w:rPr>
                <w:rFonts w:ascii="Arial Narrow" w:hAnsi="Arial Narrow" w:cs="Arial"/>
                <w:lang w:eastAsia="sk-SK"/>
              </w:rPr>
              <w:t>Zásoby</w:t>
            </w:r>
          </w:p>
        </w:tc>
        <w:tc>
          <w:tcPr>
            <w:tcW w:w="1720" w:type="dxa"/>
            <w:tcBorders>
              <w:top w:val="nil"/>
              <w:left w:val="nil"/>
              <w:bottom w:val="single" w:sz="4" w:space="0" w:color="auto"/>
              <w:right w:val="single" w:sz="4" w:space="0" w:color="auto"/>
              <w:tl2br w:val="nil"/>
              <w:tr2bl w:val="nil"/>
            </w:tcBorders>
            <w:noWrap/>
            <w:textDirection w:val="lrTb"/>
            <w:vAlign w:val="center"/>
          </w:tcPr>
          <w:p w:rsidR="00E11416" w:rsidRPr="00E11416" w:rsidP="00E11416">
            <w:pPr>
              <w:spacing w:line="240" w:lineRule="auto"/>
              <w:jc w:val="right"/>
              <w:rPr>
                <w:rFonts w:ascii="Arial Narrow" w:hAnsi="Arial Narrow" w:cs="Arial"/>
                <w:lang w:eastAsia="sk-SK"/>
              </w:rPr>
            </w:pPr>
            <w:r w:rsidRPr="00E11416">
              <w:rPr>
                <w:rFonts w:ascii="Arial Narrow" w:hAnsi="Arial Narrow" w:cs="Arial"/>
                <w:lang w:eastAsia="sk-SK"/>
              </w:rPr>
              <w:t>657 207</w:t>
            </w:r>
          </w:p>
        </w:tc>
        <w:tc>
          <w:tcPr>
            <w:tcW w:w="1460" w:type="dxa"/>
            <w:tcBorders>
              <w:top w:val="nil"/>
              <w:left w:val="nil"/>
              <w:bottom w:val="single" w:sz="4" w:space="0" w:color="auto"/>
              <w:right w:val="single" w:sz="4" w:space="0" w:color="auto"/>
              <w:tl2br w:val="nil"/>
              <w:tr2bl w:val="nil"/>
            </w:tcBorders>
            <w:noWrap/>
            <w:textDirection w:val="lrTb"/>
            <w:vAlign w:val="center"/>
          </w:tcPr>
          <w:p w:rsidR="00E11416" w:rsidRPr="00E11416" w:rsidP="00E11416">
            <w:pPr>
              <w:spacing w:line="240" w:lineRule="auto"/>
              <w:jc w:val="right"/>
              <w:rPr>
                <w:rFonts w:ascii="Arial Narrow" w:hAnsi="Arial Narrow" w:cs="Arial"/>
                <w:lang w:eastAsia="sk-SK"/>
              </w:rPr>
            </w:pPr>
            <w:r w:rsidRPr="00E11416">
              <w:rPr>
                <w:rFonts w:ascii="Arial Narrow" w:hAnsi="Arial Narrow" w:cs="Arial"/>
                <w:lang w:eastAsia="sk-SK"/>
              </w:rPr>
              <w:t>616 920</w:t>
            </w:r>
          </w:p>
        </w:tc>
        <w:tc>
          <w:tcPr>
            <w:tcW w:w="1540" w:type="dxa"/>
            <w:tcBorders>
              <w:top w:val="nil"/>
              <w:left w:val="nil"/>
              <w:bottom w:val="single" w:sz="4" w:space="0" w:color="auto"/>
              <w:right w:val="single" w:sz="4" w:space="0" w:color="auto"/>
              <w:tl2br w:val="nil"/>
              <w:tr2bl w:val="nil"/>
            </w:tcBorders>
            <w:noWrap/>
            <w:textDirection w:val="lrTb"/>
            <w:vAlign w:val="bottom"/>
          </w:tcPr>
          <w:p w:rsidR="00E11416" w:rsidRPr="00E11416" w:rsidP="00E11416">
            <w:pPr>
              <w:spacing w:line="240" w:lineRule="auto"/>
              <w:jc w:val="right"/>
              <w:rPr>
                <w:rFonts w:ascii="Arial Narrow" w:hAnsi="Arial Narrow" w:cs="Arial"/>
                <w:lang w:eastAsia="sk-SK"/>
              </w:rPr>
            </w:pPr>
            <w:r w:rsidRPr="00E11416">
              <w:rPr>
                <w:rFonts w:ascii="Arial Narrow" w:hAnsi="Arial Narrow" w:cs="Arial"/>
                <w:lang w:eastAsia="sk-SK"/>
              </w:rPr>
              <w:t>-40 287</w:t>
            </w:r>
          </w:p>
        </w:tc>
      </w:tr>
      <w:tr>
        <w:tblPrEx>
          <w:tblW w:w="9055" w:type="dxa"/>
          <w:tblInd w:w="55" w:type="dxa"/>
          <w:tblCellMar>
            <w:left w:w="70" w:type="dxa"/>
            <w:right w:w="70" w:type="dxa"/>
          </w:tblCellMar>
        </w:tblPrEx>
        <w:trPr>
          <w:trHeight w:hRule="exact" w:val="284"/>
        </w:trPr>
        <w:tc>
          <w:tcPr>
            <w:tcW w:w="9055" w:type="dxa"/>
            <w:gridSpan w:val="4"/>
            <w:tcBorders>
              <w:top w:val="single" w:sz="4" w:space="0" w:color="auto"/>
              <w:left w:val="single" w:sz="4" w:space="0" w:color="auto"/>
              <w:bottom w:val="single" w:sz="4" w:space="0" w:color="auto"/>
              <w:right w:val="single" w:sz="4" w:space="0" w:color="000000"/>
              <w:tl2br w:val="nil"/>
              <w:tr2bl w:val="nil"/>
            </w:tcBorders>
            <w:textDirection w:val="lrTb"/>
            <w:vAlign w:val="center"/>
          </w:tcPr>
          <w:p w:rsidR="00E11416" w:rsidRPr="00E11416" w:rsidP="00E11416">
            <w:pPr>
              <w:spacing w:line="240" w:lineRule="auto"/>
              <w:rPr>
                <w:rFonts w:ascii="Arial Narrow" w:hAnsi="Arial Narrow" w:cs="Arial"/>
                <w:b/>
                <w:bCs/>
                <w:i/>
                <w:iCs/>
                <w:lang w:eastAsia="sk-SK"/>
              </w:rPr>
            </w:pPr>
            <w:r w:rsidRPr="00607A12">
              <w:rPr>
                <w:rFonts w:ascii="Arial Narrow" w:hAnsi="Arial Narrow" w:cs="Arial"/>
                <w:bCs/>
                <w:i/>
                <w:iCs/>
                <w:lang w:eastAsia="sk-SK"/>
              </w:rPr>
              <w:t xml:space="preserve">Komentár: </w:t>
            </w:r>
            <w:r w:rsidRPr="00607A12">
              <w:rPr>
                <w:rFonts w:ascii="Arial Narrow" w:hAnsi="Arial Narrow" w:cs="Arial"/>
                <w:i/>
                <w:iCs/>
                <w:lang w:eastAsia="sk-SK"/>
              </w:rPr>
              <w:t>Pokles</w:t>
            </w:r>
            <w:r w:rsidRPr="00E11416">
              <w:rPr>
                <w:rFonts w:ascii="Arial Narrow" w:hAnsi="Arial Narrow" w:cs="Arial"/>
                <w:i/>
                <w:iCs/>
                <w:lang w:eastAsia="sk-SK"/>
              </w:rPr>
              <w:t xml:space="preserve"> spôsobený vyššou tvorbou opravných položiek k</w:t>
            </w:r>
            <w:r w:rsidR="00EF0282">
              <w:rPr>
                <w:rFonts w:ascii="Arial Narrow" w:hAnsi="Arial Narrow" w:cs="Arial"/>
                <w:i/>
                <w:iCs/>
                <w:lang w:eastAsia="sk-SK"/>
              </w:rPr>
              <w:t> </w:t>
            </w:r>
            <w:r w:rsidRPr="00E11416">
              <w:rPr>
                <w:rFonts w:ascii="Arial Narrow" w:hAnsi="Arial Narrow" w:cs="Arial"/>
                <w:i/>
                <w:iCs/>
                <w:lang w:eastAsia="sk-SK"/>
              </w:rPr>
              <w:t>materiálu.</w:t>
            </w:r>
          </w:p>
        </w:tc>
      </w:tr>
      <w:tr>
        <w:tblPrEx>
          <w:tblW w:w="9055" w:type="dxa"/>
          <w:tblInd w:w="55" w:type="dxa"/>
          <w:tblCellMar>
            <w:left w:w="70" w:type="dxa"/>
            <w:right w:w="70" w:type="dxa"/>
          </w:tblCellMar>
        </w:tblPrEx>
        <w:trPr>
          <w:trHeight w:hRule="exact" w:val="284"/>
        </w:trPr>
        <w:tc>
          <w:tcPr>
            <w:tcW w:w="4335"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E11416" w:rsidRPr="00E11416" w:rsidP="00E11416">
            <w:pPr>
              <w:spacing w:line="240" w:lineRule="auto"/>
              <w:rPr>
                <w:rFonts w:ascii="Arial Narrow" w:hAnsi="Arial Narrow" w:cs="Arial"/>
                <w:lang w:eastAsia="sk-SK"/>
              </w:rPr>
            </w:pPr>
            <w:r w:rsidRPr="00E11416">
              <w:rPr>
                <w:rFonts w:ascii="Arial Narrow" w:hAnsi="Arial Narrow" w:cs="Arial"/>
                <w:lang w:eastAsia="sk-SK"/>
              </w:rPr>
              <w:t>Dlhodobé pohľadávky</w:t>
            </w:r>
          </w:p>
        </w:tc>
        <w:tc>
          <w:tcPr>
            <w:tcW w:w="1720" w:type="dxa"/>
            <w:tcBorders>
              <w:top w:val="single" w:sz="4" w:space="0" w:color="auto"/>
              <w:left w:val="nil"/>
              <w:bottom w:val="single" w:sz="4" w:space="0" w:color="auto"/>
              <w:right w:val="single" w:sz="4" w:space="0" w:color="auto"/>
              <w:tl2br w:val="nil"/>
              <w:tr2bl w:val="nil"/>
            </w:tcBorders>
            <w:noWrap/>
            <w:textDirection w:val="lrTb"/>
            <w:vAlign w:val="center"/>
          </w:tcPr>
          <w:p w:rsidR="00E11416" w:rsidRPr="00E11416" w:rsidP="00E11416">
            <w:pPr>
              <w:spacing w:line="240" w:lineRule="auto"/>
              <w:jc w:val="right"/>
              <w:rPr>
                <w:rFonts w:ascii="Arial Narrow" w:hAnsi="Arial Narrow" w:cs="Arial"/>
                <w:lang w:eastAsia="sk-SK"/>
              </w:rPr>
            </w:pPr>
            <w:r w:rsidRPr="00E11416">
              <w:rPr>
                <w:rFonts w:ascii="Arial Narrow" w:hAnsi="Arial Narrow" w:cs="Arial"/>
                <w:lang w:eastAsia="sk-SK"/>
              </w:rPr>
              <w:t>466 485</w:t>
            </w:r>
          </w:p>
        </w:tc>
        <w:tc>
          <w:tcPr>
            <w:tcW w:w="1460" w:type="dxa"/>
            <w:tcBorders>
              <w:top w:val="single" w:sz="4" w:space="0" w:color="auto"/>
              <w:left w:val="nil"/>
              <w:bottom w:val="single" w:sz="4" w:space="0" w:color="auto"/>
              <w:right w:val="single" w:sz="4" w:space="0" w:color="auto"/>
              <w:tl2br w:val="nil"/>
              <w:tr2bl w:val="nil"/>
            </w:tcBorders>
            <w:noWrap/>
            <w:textDirection w:val="lrTb"/>
            <w:vAlign w:val="center"/>
          </w:tcPr>
          <w:p w:rsidR="00E11416" w:rsidRPr="00E11416" w:rsidP="00E11416">
            <w:pPr>
              <w:spacing w:line="240" w:lineRule="auto"/>
              <w:jc w:val="right"/>
              <w:rPr>
                <w:rFonts w:ascii="Arial Narrow" w:hAnsi="Arial Narrow" w:cs="Arial"/>
                <w:lang w:eastAsia="sk-SK"/>
              </w:rPr>
            </w:pPr>
            <w:r w:rsidRPr="00E11416">
              <w:rPr>
                <w:rFonts w:ascii="Arial Narrow" w:hAnsi="Arial Narrow" w:cs="Arial"/>
                <w:lang w:eastAsia="sk-SK"/>
              </w:rPr>
              <w:t>366 485</w:t>
            </w:r>
          </w:p>
        </w:tc>
        <w:tc>
          <w:tcPr>
            <w:tcW w:w="1540" w:type="dxa"/>
            <w:tcBorders>
              <w:top w:val="single" w:sz="4" w:space="0" w:color="auto"/>
              <w:left w:val="nil"/>
              <w:bottom w:val="single" w:sz="4" w:space="0" w:color="auto"/>
              <w:right w:val="single" w:sz="4" w:space="0" w:color="auto"/>
              <w:tl2br w:val="nil"/>
              <w:tr2bl w:val="nil"/>
            </w:tcBorders>
            <w:noWrap/>
            <w:textDirection w:val="lrTb"/>
            <w:vAlign w:val="bottom"/>
          </w:tcPr>
          <w:p w:rsidR="00E11416" w:rsidRPr="00E11416" w:rsidP="00E11416">
            <w:pPr>
              <w:spacing w:line="240" w:lineRule="auto"/>
              <w:jc w:val="right"/>
              <w:rPr>
                <w:rFonts w:ascii="Arial Narrow" w:hAnsi="Arial Narrow" w:cs="Arial"/>
                <w:lang w:eastAsia="sk-SK"/>
              </w:rPr>
            </w:pPr>
            <w:r w:rsidRPr="00E11416">
              <w:rPr>
                <w:rFonts w:ascii="Arial Narrow" w:hAnsi="Arial Narrow" w:cs="Arial"/>
                <w:lang w:eastAsia="sk-SK"/>
              </w:rPr>
              <w:t>-100 000</w:t>
            </w:r>
          </w:p>
        </w:tc>
      </w:tr>
      <w:tr>
        <w:tblPrEx>
          <w:tblW w:w="9055" w:type="dxa"/>
          <w:tblInd w:w="55" w:type="dxa"/>
          <w:tblCellMar>
            <w:left w:w="70" w:type="dxa"/>
            <w:right w:w="70" w:type="dxa"/>
          </w:tblCellMar>
        </w:tblPrEx>
        <w:trPr>
          <w:trHeight w:hRule="exact" w:val="510"/>
        </w:trPr>
        <w:tc>
          <w:tcPr>
            <w:tcW w:w="9055" w:type="dxa"/>
            <w:gridSpan w:val="4"/>
            <w:tcBorders>
              <w:top w:val="single" w:sz="4" w:space="0" w:color="auto"/>
              <w:left w:val="single" w:sz="4" w:space="0" w:color="auto"/>
              <w:bottom w:val="single" w:sz="4" w:space="0" w:color="auto"/>
              <w:right w:val="single" w:sz="4" w:space="0" w:color="000000"/>
              <w:tl2br w:val="nil"/>
              <w:tr2bl w:val="nil"/>
            </w:tcBorders>
            <w:textDirection w:val="lrTb"/>
            <w:vAlign w:val="center"/>
          </w:tcPr>
          <w:p w:rsidR="00E11416" w:rsidRPr="00E11416" w:rsidP="00E11416">
            <w:pPr>
              <w:spacing w:line="240" w:lineRule="auto"/>
              <w:rPr>
                <w:rFonts w:ascii="Arial Narrow" w:hAnsi="Arial Narrow" w:cs="Arial"/>
                <w:b/>
                <w:bCs/>
                <w:i/>
                <w:iCs/>
                <w:lang w:eastAsia="sk-SK"/>
              </w:rPr>
            </w:pPr>
            <w:r w:rsidRPr="00607A12">
              <w:rPr>
                <w:rFonts w:ascii="Arial Narrow" w:hAnsi="Arial Narrow" w:cs="Arial"/>
                <w:bCs/>
                <w:i/>
                <w:iCs/>
                <w:lang w:eastAsia="sk-SK"/>
              </w:rPr>
              <w:t xml:space="preserve">Komentár: </w:t>
            </w:r>
            <w:r w:rsidRPr="00607A12">
              <w:rPr>
                <w:rFonts w:ascii="Arial Narrow" w:hAnsi="Arial Narrow" w:cs="Arial"/>
                <w:i/>
                <w:iCs/>
                <w:lang w:eastAsia="sk-SK"/>
              </w:rPr>
              <w:t>Dňa</w:t>
            </w:r>
            <w:r w:rsidRPr="00E11416">
              <w:rPr>
                <w:rFonts w:ascii="Arial Narrow" w:hAnsi="Arial Narrow" w:cs="Arial"/>
                <w:i/>
                <w:iCs/>
                <w:lang w:eastAsia="sk-SK"/>
              </w:rPr>
              <w:t xml:space="preserve"> 27.12.2007 bola zo strany štátu realizovaná čiastočná úhrada </w:t>
            </w:r>
            <w:r>
              <w:rPr>
                <w:rFonts w:ascii="Arial Narrow" w:hAnsi="Arial Narrow" w:cs="Arial"/>
                <w:i/>
                <w:iCs/>
                <w:lang w:eastAsia="sk-SK"/>
              </w:rPr>
              <w:t xml:space="preserve">pohľadávky za výkony vo verejnom </w:t>
            </w:r>
            <w:r w:rsidRPr="00E11416">
              <w:rPr>
                <w:rFonts w:ascii="Arial Narrow" w:hAnsi="Arial Narrow" w:cs="Arial"/>
                <w:i/>
                <w:iCs/>
                <w:lang w:eastAsia="sk-SK"/>
              </w:rPr>
              <w:t>záujme vo výške 100 mil.Sk.</w:t>
            </w:r>
          </w:p>
        </w:tc>
      </w:tr>
      <w:tr>
        <w:tblPrEx>
          <w:tblW w:w="9055" w:type="dxa"/>
          <w:tblInd w:w="55" w:type="dxa"/>
          <w:tblCellMar>
            <w:left w:w="70" w:type="dxa"/>
            <w:right w:w="70" w:type="dxa"/>
          </w:tblCellMar>
        </w:tblPrEx>
        <w:trPr>
          <w:trHeight w:hRule="exact" w:val="284"/>
        </w:trPr>
        <w:tc>
          <w:tcPr>
            <w:tcW w:w="4335" w:type="dxa"/>
            <w:tcBorders>
              <w:top w:val="nil"/>
              <w:left w:val="single" w:sz="4" w:space="0" w:color="auto"/>
              <w:bottom w:val="single" w:sz="4" w:space="0" w:color="auto"/>
              <w:right w:val="single" w:sz="4" w:space="0" w:color="auto"/>
              <w:tl2br w:val="nil"/>
              <w:tr2bl w:val="nil"/>
            </w:tcBorders>
            <w:textDirection w:val="lrTb"/>
            <w:vAlign w:val="center"/>
          </w:tcPr>
          <w:p w:rsidR="00E11416" w:rsidRPr="00E11416" w:rsidP="00E11416">
            <w:pPr>
              <w:spacing w:line="240" w:lineRule="auto"/>
              <w:rPr>
                <w:rFonts w:ascii="Arial Narrow" w:hAnsi="Arial Narrow" w:cs="Arial"/>
                <w:lang w:eastAsia="sk-SK"/>
              </w:rPr>
            </w:pPr>
            <w:r w:rsidRPr="00E11416">
              <w:rPr>
                <w:rFonts w:ascii="Arial Narrow" w:hAnsi="Arial Narrow" w:cs="Arial"/>
                <w:lang w:eastAsia="sk-SK"/>
              </w:rPr>
              <w:t>Krátkodobé pohľadávky</w:t>
            </w:r>
          </w:p>
        </w:tc>
        <w:tc>
          <w:tcPr>
            <w:tcW w:w="1720" w:type="dxa"/>
            <w:tcBorders>
              <w:top w:val="nil"/>
              <w:left w:val="nil"/>
              <w:bottom w:val="single" w:sz="4" w:space="0" w:color="auto"/>
              <w:right w:val="single" w:sz="4" w:space="0" w:color="auto"/>
              <w:tl2br w:val="nil"/>
              <w:tr2bl w:val="nil"/>
            </w:tcBorders>
            <w:noWrap/>
            <w:textDirection w:val="lrTb"/>
            <w:vAlign w:val="center"/>
          </w:tcPr>
          <w:p w:rsidR="00E11416" w:rsidRPr="00E11416" w:rsidP="00E11416">
            <w:pPr>
              <w:spacing w:line="240" w:lineRule="auto"/>
              <w:jc w:val="right"/>
              <w:rPr>
                <w:rFonts w:ascii="Arial Narrow" w:hAnsi="Arial Narrow" w:cs="Arial"/>
                <w:lang w:eastAsia="sk-SK"/>
              </w:rPr>
            </w:pPr>
            <w:r w:rsidRPr="00E11416">
              <w:rPr>
                <w:rFonts w:ascii="Arial Narrow" w:hAnsi="Arial Narrow" w:cs="Arial"/>
                <w:lang w:eastAsia="sk-SK"/>
              </w:rPr>
              <w:t>3 375 513</w:t>
            </w:r>
          </w:p>
        </w:tc>
        <w:tc>
          <w:tcPr>
            <w:tcW w:w="1460" w:type="dxa"/>
            <w:tcBorders>
              <w:top w:val="nil"/>
              <w:left w:val="nil"/>
              <w:bottom w:val="single" w:sz="4" w:space="0" w:color="auto"/>
              <w:right w:val="single" w:sz="4" w:space="0" w:color="auto"/>
              <w:tl2br w:val="nil"/>
              <w:tr2bl w:val="nil"/>
            </w:tcBorders>
            <w:noWrap/>
            <w:textDirection w:val="lrTb"/>
            <w:vAlign w:val="center"/>
          </w:tcPr>
          <w:p w:rsidR="00E11416" w:rsidRPr="00E11416" w:rsidP="00E11416">
            <w:pPr>
              <w:spacing w:line="240" w:lineRule="auto"/>
              <w:jc w:val="right"/>
              <w:rPr>
                <w:rFonts w:ascii="Arial Narrow" w:hAnsi="Arial Narrow" w:cs="Arial"/>
                <w:lang w:eastAsia="sk-SK"/>
              </w:rPr>
            </w:pPr>
            <w:r w:rsidRPr="00E11416">
              <w:rPr>
                <w:rFonts w:ascii="Arial Narrow" w:hAnsi="Arial Narrow" w:cs="Arial"/>
                <w:lang w:eastAsia="sk-SK"/>
              </w:rPr>
              <w:t>2 927 635</w:t>
            </w:r>
          </w:p>
        </w:tc>
        <w:tc>
          <w:tcPr>
            <w:tcW w:w="1540" w:type="dxa"/>
            <w:tcBorders>
              <w:top w:val="nil"/>
              <w:left w:val="nil"/>
              <w:bottom w:val="single" w:sz="4" w:space="0" w:color="auto"/>
              <w:right w:val="single" w:sz="4" w:space="0" w:color="auto"/>
              <w:tl2br w:val="nil"/>
              <w:tr2bl w:val="nil"/>
            </w:tcBorders>
            <w:noWrap/>
            <w:textDirection w:val="lrTb"/>
            <w:vAlign w:val="center"/>
          </w:tcPr>
          <w:p w:rsidR="00E11416" w:rsidRPr="00E11416" w:rsidP="00E11416">
            <w:pPr>
              <w:spacing w:line="240" w:lineRule="auto"/>
              <w:jc w:val="right"/>
              <w:rPr>
                <w:rFonts w:ascii="Arial Narrow" w:hAnsi="Arial Narrow" w:cs="Arial"/>
                <w:lang w:eastAsia="sk-SK"/>
              </w:rPr>
            </w:pPr>
            <w:r w:rsidRPr="00E11416">
              <w:rPr>
                <w:rFonts w:ascii="Arial Narrow" w:hAnsi="Arial Narrow" w:cs="Arial"/>
                <w:lang w:eastAsia="sk-SK"/>
              </w:rPr>
              <w:t>-447 878</w:t>
            </w:r>
          </w:p>
        </w:tc>
      </w:tr>
      <w:tr>
        <w:tblPrEx>
          <w:tblW w:w="9055" w:type="dxa"/>
          <w:tblInd w:w="55" w:type="dxa"/>
          <w:tblCellMar>
            <w:left w:w="70" w:type="dxa"/>
            <w:right w:w="70" w:type="dxa"/>
          </w:tblCellMar>
        </w:tblPrEx>
        <w:trPr>
          <w:trHeight w:hRule="exact" w:val="510"/>
        </w:trPr>
        <w:tc>
          <w:tcPr>
            <w:tcW w:w="9055" w:type="dxa"/>
            <w:gridSpan w:val="4"/>
            <w:tcBorders>
              <w:top w:val="single" w:sz="4" w:space="0" w:color="auto"/>
              <w:left w:val="single" w:sz="4" w:space="0" w:color="auto"/>
              <w:bottom w:val="single" w:sz="4" w:space="0" w:color="auto"/>
              <w:right w:val="single" w:sz="4" w:space="0" w:color="000000"/>
              <w:tl2br w:val="nil"/>
              <w:tr2bl w:val="nil"/>
            </w:tcBorders>
            <w:textDirection w:val="lrTb"/>
            <w:vAlign w:val="center"/>
          </w:tcPr>
          <w:p w:rsidR="00E11416" w:rsidRPr="00E11416" w:rsidP="00E11416">
            <w:pPr>
              <w:spacing w:line="240" w:lineRule="auto"/>
              <w:rPr>
                <w:rFonts w:ascii="Arial Narrow" w:hAnsi="Arial Narrow" w:cs="Arial"/>
                <w:b/>
                <w:bCs/>
                <w:i/>
                <w:iCs/>
                <w:lang w:eastAsia="sk-SK"/>
              </w:rPr>
            </w:pPr>
            <w:r w:rsidRPr="00607A12">
              <w:rPr>
                <w:rFonts w:ascii="Arial Narrow" w:hAnsi="Arial Narrow" w:cs="Arial"/>
                <w:bCs/>
                <w:i/>
                <w:iCs/>
                <w:lang w:eastAsia="sk-SK"/>
              </w:rPr>
              <w:t>Komentár:</w:t>
            </w:r>
            <w:r w:rsidRPr="00607A12">
              <w:rPr>
                <w:rFonts w:ascii="Arial Narrow" w:hAnsi="Arial Narrow" w:cs="Arial"/>
                <w:i/>
                <w:iCs/>
                <w:lang w:eastAsia="sk-SK"/>
              </w:rPr>
              <w:t xml:space="preserve"> Poklesli</w:t>
            </w:r>
            <w:r w:rsidRPr="00E11416">
              <w:rPr>
                <w:rFonts w:ascii="Arial Narrow" w:hAnsi="Arial Narrow" w:cs="Arial"/>
                <w:i/>
                <w:iCs/>
                <w:lang w:eastAsia="sk-SK"/>
              </w:rPr>
              <w:t xml:space="preserve"> pohľadávky z obchodného styku o -138,1 mil.Sk a iné pohľadávky o -342,2 mil.Sk (deriváty). Naopak vzrástli štátne daňové pohľadávky o +32,4 mil.Sk (DPH).</w:t>
            </w:r>
          </w:p>
        </w:tc>
      </w:tr>
      <w:tr>
        <w:tblPrEx>
          <w:tblW w:w="9055" w:type="dxa"/>
          <w:tblInd w:w="55" w:type="dxa"/>
          <w:tblCellMar>
            <w:left w:w="70" w:type="dxa"/>
            <w:right w:w="70" w:type="dxa"/>
          </w:tblCellMar>
        </w:tblPrEx>
        <w:trPr>
          <w:trHeight w:hRule="exact" w:val="284"/>
        </w:trPr>
        <w:tc>
          <w:tcPr>
            <w:tcW w:w="4335" w:type="dxa"/>
            <w:tcBorders>
              <w:top w:val="nil"/>
              <w:left w:val="single" w:sz="4" w:space="0" w:color="auto"/>
              <w:bottom w:val="single" w:sz="4" w:space="0" w:color="auto"/>
              <w:right w:val="single" w:sz="4" w:space="0" w:color="auto"/>
              <w:tl2br w:val="nil"/>
              <w:tr2bl w:val="nil"/>
            </w:tcBorders>
            <w:textDirection w:val="lrTb"/>
            <w:vAlign w:val="center"/>
          </w:tcPr>
          <w:p w:rsidR="00E11416" w:rsidRPr="00E11416" w:rsidP="00E11416">
            <w:pPr>
              <w:spacing w:line="240" w:lineRule="auto"/>
              <w:rPr>
                <w:rFonts w:ascii="Arial Narrow" w:hAnsi="Arial Narrow" w:cs="Arial"/>
                <w:lang w:eastAsia="sk-SK"/>
              </w:rPr>
            </w:pPr>
            <w:r w:rsidRPr="00E11416">
              <w:rPr>
                <w:rFonts w:ascii="Arial Narrow" w:hAnsi="Arial Narrow" w:cs="Arial"/>
                <w:lang w:eastAsia="sk-SK"/>
              </w:rPr>
              <w:t>Finančné účty</w:t>
            </w:r>
          </w:p>
        </w:tc>
        <w:tc>
          <w:tcPr>
            <w:tcW w:w="1720" w:type="dxa"/>
            <w:tcBorders>
              <w:top w:val="nil"/>
              <w:left w:val="nil"/>
              <w:bottom w:val="single" w:sz="4" w:space="0" w:color="auto"/>
              <w:right w:val="single" w:sz="4" w:space="0" w:color="auto"/>
              <w:tl2br w:val="nil"/>
              <w:tr2bl w:val="nil"/>
            </w:tcBorders>
            <w:noWrap/>
            <w:textDirection w:val="lrTb"/>
            <w:vAlign w:val="center"/>
          </w:tcPr>
          <w:p w:rsidR="00E11416" w:rsidRPr="00E11416" w:rsidP="00E11416">
            <w:pPr>
              <w:spacing w:line="240" w:lineRule="auto"/>
              <w:jc w:val="right"/>
              <w:rPr>
                <w:rFonts w:ascii="Arial Narrow" w:hAnsi="Arial Narrow" w:cs="Arial"/>
                <w:lang w:eastAsia="sk-SK"/>
              </w:rPr>
            </w:pPr>
            <w:r w:rsidRPr="00E11416">
              <w:rPr>
                <w:rFonts w:ascii="Arial Narrow" w:hAnsi="Arial Narrow" w:cs="Arial"/>
                <w:lang w:eastAsia="sk-SK"/>
              </w:rPr>
              <w:t>230 212</w:t>
            </w:r>
          </w:p>
        </w:tc>
        <w:tc>
          <w:tcPr>
            <w:tcW w:w="1460" w:type="dxa"/>
            <w:tcBorders>
              <w:top w:val="nil"/>
              <w:left w:val="nil"/>
              <w:bottom w:val="single" w:sz="4" w:space="0" w:color="auto"/>
              <w:right w:val="single" w:sz="4" w:space="0" w:color="auto"/>
              <w:tl2br w:val="nil"/>
              <w:tr2bl w:val="nil"/>
            </w:tcBorders>
            <w:noWrap/>
            <w:textDirection w:val="lrTb"/>
            <w:vAlign w:val="center"/>
          </w:tcPr>
          <w:p w:rsidR="00E11416" w:rsidRPr="00E11416" w:rsidP="00E11416">
            <w:pPr>
              <w:spacing w:line="240" w:lineRule="auto"/>
              <w:jc w:val="right"/>
              <w:rPr>
                <w:rFonts w:ascii="Arial Narrow" w:hAnsi="Arial Narrow" w:cs="Arial"/>
                <w:lang w:eastAsia="sk-SK"/>
              </w:rPr>
            </w:pPr>
            <w:r w:rsidRPr="00E11416">
              <w:rPr>
                <w:rFonts w:ascii="Arial Narrow" w:hAnsi="Arial Narrow" w:cs="Arial"/>
                <w:lang w:eastAsia="sk-SK"/>
              </w:rPr>
              <w:t>37 096</w:t>
            </w:r>
          </w:p>
        </w:tc>
        <w:tc>
          <w:tcPr>
            <w:tcW w:w="1540" w:type="dxa"/>
            <w:tcBorders>
              <w:top w:val="nil"/>
              <w:left w:val="nil"/>
              <w:bottom w:val="single" w:sz="4" w:space="0" w:color="auto"/>
              <w:right w:val="single" w:sz="4" w:space="0" w:color="auto"/>
              <w:tl2br w:val="nil"/>
              <w:tr2bl w:val="nil"/>
            </w:tcBorders>
            <w:noWrap/>
            <w:textDirection w:val="lrTb"/>
            <w:vAlign w:val="center"/>
          </w:tcPr>
          <w:p w:rsidR="00E11416" w:rsidRPr="00E11416" w:rsidP="00E11416">
            <w:pPr>
              <w:spacing w:line="240" w:lineRule="auto"/>
              <w:jc w:val="right"/>
              <w:rPr>
                <w:rFonts w:ascii="Arial Narrow" w:hAnsi="Arial Narrow" w:cs="Arial"/>
                <w:lang w:eastAsia="sk-SK"/>
              </w:rPr>
            </w:pPr>
            <w:r w:rsidRPr="00E11416">
              <w:rPr>
                <w:rFonts w:ascii="Arial Narrow" w:hAnsi="Arial Narrow" w:cs="Arial"/>
                <w:lang w:eastAsia="sk-SK"/>
              </w:rPr>
              <w:t>-193 116</w:t>
            </w:r>
          </w:p>
        </w:tc>
      </w:tr>
      <w:tr>
        <w:tblPrEx>
          <w:tblW w:w="9055" w:type="dxa"/>
          <w:tblInd w:w="55" w:type="dxa"/>
          <w:tblCellMar>
            <w:left w:w="70" w:type="dxa"/>
            <w:right w:w="70" w:type="dxa"/>
          </w:tblCellMar>
        </w:tblPrEx>
        <w:trPr>
          <w:trHeight w:hRule="exact" w:val="284"/>
        </w:trPr>
        <w:tc>
          <w:tcPr>
            <w:tcW w:w="9055" w:type="dxa"/>
            <w:gridSpan w:val="4"/>
            <w:tcBorders>
              <w:top w:val="single" w:sz="4" w:space="0" w:color="auto"/>
              <w:left w:val="single" w:sz="4" w:space="0" w:color="auto"/>
              <w:bottom w:val="single" w:sz="4" w:space="0" w:color="auto"/>
              <w:right w:val="single" w:sz="4" w:space="0" w:color="000000"/>
              <w:tl2br w:val="nil"/>
              <w:tr2bl w:val="nil"/>
            </w:tcBorders>
            <w:textDirection w:val="lrTb"/>
            <w:vAlign w:val="center"/>
          </w:tcPr>
          <w:p w:rsidR="00E11416" w:rsidRPr="00E11416" w:rsidP="00E11416">
            <w:pPr>
              <w:spacing w:line="240" w:lineRule="auto"/>
              <w:rPr>
                <w:rFonts w:ascii="Arial Narrow" w:hAnsi="Arial Narrow" w:cs="Arial"/>
                <w:b/>
                <w:bCs/>
                <w:i/>
                <w:iCs/>
                <w:lang w:eastAsia="sk-SK"/>
              </w:rPr>
            </w:pPr>
            <w:r w:rsidRPr="00607A12">
              <w:rPr>
                <w:rFonts w:ascii="Arial Narrow" w:hAnsi="Arial Narrow" w:cs="Arial"/>
                <w:bCs/>
                <w:i/>
                <w:iCs/>
                <w:lang w:eastAsia="sk-SK"/>
              </w:rPr>
              <w:t>Komentár:</w:t>
            </w:r>
            <w:r w:rsidRPr="00607A12">
              <w:rPr>
                <w:rFonts w:ascii="Arial Narrow" w:hAnsi="Arial Narrow" w:cs="Arial"/>
                <w:i/>
                <w:iCs/>
                <w:lang w:eastAsia="sk-SK"/>
              </w:rPr>
              <w:t xml:space="preserve"> Poklesli</w:t>
            </w:r>
            <w:r w:rsidRPr="00E11416">
              <w:rPr>
                <w:rFonts w:ascii="Arial Narrow" w:hAnsi="Arial Narrow" w:cs="Arial"/>
                <w:i/>
                <w:iCs/>
                <w:lang w:eastAsia="sk-SK"/>
              </w:rPr>
              <w:t xml:space="preserve"> najmä účty v bankách o -188,2 mil.Sk a emisné kvóty o -5 mil.Sk.</w:t>
            </w:r>
          </w:p>
        </w:tc>
      </w:tr>
      <w:tr>
        <w:tblPrEx>
          <w:tblW w:w="9055" w:type="dxa"/>
          <w:tblInd w:w="55" w:type="dxa"/>
          <w:tblCellMar>
            <w:left w:w="70" w:type="dxa"/>
            <w:right w:w="70" w:type="dxa"/>
          </w:tblCellMar>
        </w:tblPrEx>
        <w:trPr>
          <w:trHeight w:hRule="exact" w:val="284"/>
        </w:trPr>
        <w:tc>
          <w:tcPr>
            <w:tcW w:w="4335" w:type="dxa"/>
            <w:tcBorders>
              <w:top w:val="nil"/>
              <w:left w:val="single" w:sz="4" w:space="0" w:color="auto"/>
              <w:bottom w:val="single" w:sz="4" w:space="0" w:color="auto"/>
              <w:right w:val="single" w:sz="4" w:space="0" w:color="auto"/>
              <w:tl2br w:val="nil"/>
              <w:tr2bl w:val="nil"/>
            </w:tcBorders>
            <w:textDirection w:val="lrTb"/>
            <w:vAlign w:val="center"/>
          </w:tcPr>
          <w:p w:rsidR="00E11416" w:rsidRPr="00E11416" w:rsidP="00E11416">
            <w:pPr>
              <w:spacing w:line="240" w:lineRule="auto"/>
              <w:rPr>
                <w:rFonts w:ascii="Arial Narrow" w:hAnsi="Arial Narrow" w:cs="Arial"/>
                <w:b/>
                <w:bCs/>
                <w:lang w:eastAsia="sk-SK"/>
              </w:rPr>
            </w:pPr>
            <w:r w:rsidRPr="00E11416">
              <w:rPr>
                <w:rFonts w:ascii="Arial Narrow" w:hAnsi="Arial Narrow" w:cs="Arial"/>
                <w:b/>
                <w:bCs/>
                <w:lang w:eastAsia="sk-SK"/>
              </w:rPr>
              <w:t>Časové rozlíšenie</w:t>
            </w:r>
          </w:p>
        </w:tc>
        <w:tc>
          <w:tcPr>
            <w:tcW w:w="1720" w:type="dxa"/>
            <w:tcBorders>
              <w:top w:val="nil"/>
              <w:left w:val="nil"/>
              <w:bottom w:val="single" w:sz="4" w:space="0" w:color="auto"/>
              <w:right w:val="single" w:sz="4" w:space="0" w:color="auto"/>
              <w:tl2br w:val="nil"/>
              <w:tr2bl w:val="nil"/>
            </w:tcBorders>
            <w:noWrap/>
            <w:textDirection w:val="lrTb"/>
            <w:vAlign w:val="center"/>
          </w:tcPr>
          <w:p w:rsidR="00E11416" w:rsidRPr="00E11416" w:rsidP="00E11416">
            <w:pPr>
              <w:spacing w:line="240" w:lineRule="auto"/>
              <w:jc w:val="right"/>
              <w:rPr>
                <w:rFonts w:ascii="Arial Narrow" w:hAnsi="Arial Narrow" w:cs="Arial"/>
                <w:b/>
                <w:bCs/>
                <w:lang w:eastAsia="sk-SK"/>
              </w:rPr>
            </w:pPr>
            <w:r w:rsidRPr="00E11416">
              <w:rPr>
                <w:rFonts w:ascii="Arial Narrow" w:hAnsi="Arial Narrow" w:cs="Arial"/>
                <w:b/>
                <w:bCs/>
                <w:lang w:eastAsia="sk-SK"/>
              </w:rPr>
              <w:t>99 551</w:t>
            </w:r>
          </w:p>
        </w:tc>
        <w:tc>
          <w:tcPr>
            <w:tcW w:w="1460" w:type="dxa"/>
            <w:tcBorders>
              <w:top w:val="nil"/>
              <w:left w:val="nil"/>
              <w:bottom w:val="single" w:sz="4" w:space="0" w:color="auto"/>
              <w:right w:val="single" w:sz="4" w:space="0" w:color="auto"/>
              <w:tl2br w:val="nil"/>
              <w:tr2bl w:val="nil"/>
            </w:tcBorders>
            <w:noWrap/>
            <w:textDirection w:val="lrTb"/>
            <w:vAlign w:val="center"/>
          </w:tcPr>
          <w:p w:rsidR="00E11416" w:rsidRPr="00E11416" w:rsidP="00E11416">
            <w:pPr>
              <w:spacing w:line="240" w:lineRule="auto"/>
              <w:jc w:val="right"/>
              <w:rPr>
                <w:rFonts w:ascii="Arial Narrow" w:hAnsi="Arial Narrow" w:cs="Arial"/>
                <w:b/>
                <w:bCs/>
                <w:lang w:eastAsia="sk-SK"/>
              </w:rPr>
            </w:pPr>
            <w:r w:rsidRPr="00E11416">
              <w:rPr>
                <w:rFonts w:ascii="Arial Narrow" w:hAnsi="Arial Narrow" w:cs="Arial"/>
                <w:b/>
                <w:bCs/>
                <w:lang w:eastAsia="sk-SK"/>
              </w:rPr>
              <w:t>91 573</w:t>
            </w:r>
          </w:p>
        </w:tc>
        <w:tc>
          <w:tcPr>
            <w:tcW w:w="1540" w:type="dxa"/>
            <w:tcBorders>
              <w:top w:val="nil"/>
              <w:left w:val="nil"/>
              <w:bottom w:val="single" w:sz="4" w:space="0" w:color="auto"/>
              <w:right w:val="single" w:sz="4" w:space="0" w:color="auto"/>
              <w:tl2br w:val="nil"/>
              <w:tr2bl w:val="nil"/>
            </w:tcBorders>
            <w:noWrap/>
            <w:textDirection w:val="lrTb"/>
            <w:vAlign w:val="center"/>
          </w:tcPr>
          <w:p w:rsidR="00E11416" w:rsidRPr="00E11416" w:rsidP="00E11416">
            <w:pPr>
              <w:spacing w:line="240" w:lineRule="auto"/>
              <w:jc w:val="right"/>
              <w:rPr>
                <w:rFonts w:ascii="Arial Narrow" w:hAnsi="Arial Narrow" w:cs="Arial"/>
                <w:b/>
                <w:bCs/>
                <w:lang w:eastAsia="sk-SK"/>
              </w:rPr>
            </w:pPr>
            <w:r w:rsidRPr="00E11416">
              <w:rPr>
                <w:rFonts w:ascii="Arial Narrow" w:hAnsi="Arial Narrow" w:cs="Arial"/>
                <w:b/>
                <w:bCs/>
                <w:lang w:eastAsia="sk-SK"/>
              </w:rPr>
              <w:t>-7 978</w:t>
            </w:r>
          </w:p>
        </w:tc>
      </w:tr>
      <w:tr>
        <w:tblPrEx>
          <w:tblW w:w="9055" w:type="dxa"/>
          <w:tblInd w:w="55" w:type="dxa"/>
          <w:tblCellMar>
            <w:left w:w="70" w:type="dxa"/>
            <w:right w:w="70" w:type="dxa"/>
          </w:tblCellMar>
        </w:tblPrEx>
        <w:trPr>
          <w:trHeight w:hRule="exact" w:val="284"/>
        </w:trPr>
        <w:tc>
          <w:tcPr>
            <w:tcW w:w="9055" w:type="dxa"/>
            <w:gridSpan w:val="4"/>
            <w:tcBorders>
              <w:top w:val="single" w:sz="4" w:space="0" w:color="auto"/>
              <w:left w:val="single" w:sz="4" w:space="0" w:color="auto"/>
              <w:bottom w:val="single" w:sz="4" w:space="0" w:color="auto"/>
              <w:right w:val="single" w:sz="4" w:space="0" w:color="000000"/>
              <w:tl2br w:val="nil"/>
              <w:tr2bl w:val="nil"/>
            </w:tcBorders>
            <w:textDirection w:val="lrTb"/>
            <w:vAlign w:val="center"/>
          </w:tcPr>
          <w:p w:rsidR="00E11416" w:rsidRPr="00E11416" w:rsidP="00E11416">
            <w:pPr>
              <w:spacing w:line="240" w:lineRule="auto"/>
              <w:rPr>
                <w:rFonts w:ascii="Arial Narrow" w:hAnsi="Arial Narrow" w:cs="Arial"/>
                <w:b/>
                <w:bCs/>
                <w:i/>
                <w:iCs/>
                <w:lang w:eastAsia="sk-SK"/>
              </w:rPr>
            </w:pPr>
            <w:r w:rsidRPr="00607A12">
              <w:rPr>
                <w:rFonts w:ascii="Arial Narrow" w:hAnsi="Arial Narrow" w:cs="Arial"/>
                <w:bCs/>
                <w:i/>
                <w:iCs/>
                <w:lang w:eastAsia="sk-SK"/>
              </w:rPr>
              <w:t>Komentár:</w:t>
            </w:r>
            <w:r w:rsidRPr="00607A12">
              <w:rPr>
                <w:rFonts w:ascii="Arial Narrow" w:hAnsi="Arial Narrow" w:cs="Arial"/>
                <w:i/>
                <w:iCs/>
                <w:lang w:eastAsia="sk-SK"/>
              </w:rPr>
              <w:t xml:space="preserve"> Poklesli</w:t>
            </w:r>
            <w:r w:rsidR="00BC0B14">
              <w:rPr>
                <w:rFonts w:ascii="Arial Narrow" w:hAnsi="Arial Narrow" w:cs="Arial"/>
                <w:i/>
                <w:iCs/>
                <w:lang w:eastAsia="sk-SK"/>
              </w:rPr>
              <w:t>.</w:t>
            </w:r>
            <w:r w:rsidRPr="00E11416">
              <w:rPr>
                <w:rFonts w:ascii="Arial Narrow" w:hAnsi="Arial Narrow" w:cs="Arial"/>
                <w:i/>
                <w:iCs/>
                <w:lang w:eastAsia="sk-SK"/>
              </w:rPr>
              <w:t>náklad</w:t>
            </w:r>
            <w:r w:rsidR="00BC0B14">
              <w:rPr>
                <w:rFonts w:ascii="Arial Narrow" w:hAnsi="Arial Narrow" w:cs="Arial"/>
                <w:i/>
                <w:iCs/>
                <w:lang w:eastAsia="sk-SK"/>
              </w:rPr>
              <w:t xml:space="preserve">y budúcich období o -7,2 mil.Sk, </w:t>
            </w:r>
            <w:r w:rsidRPr="00E11416">
              <w:rPr>
                <w:rFonts w:ascii="Arial Narrow" w:hAnsi="Arial Narrow" w:cs="Arial"/>
                <w:i/>
                <w:iCs/>
                <w:lang w:eastAsia="sk-SK"/>
              </w:rPr>
              <w:t>aj príjmy budúcich období o -0,8 mil.Sk.</w:t>
            </w:r>
          </w:p>
        </w:tc>
      </w:tr>
      <w:tr>
        <w:tblPrEx>
          <w:tblW w:w="9055" w:type="dxa"/>
          <w:tblInd w:w="55" w:type="dxa"/>
          <w:tblCellMar>
            <w:left w:w="70" w:type="dxa"/>
            <w:right w:w="70" w:type="dxa"/>
          </w:tblCellMar>
        </w:tblPrEx>
        <w:trPr>
          <w:trHeight w:hRule="exact" w:val="284"/>
        </w:trPr>
        <w:tc>
          <w:tcPr>
            <w:tcW w:w="4335" w:type="dxa"/>
            <w:tcBorders>
              <w:top w:val="single" w:sz="4" w:space="0" w:color="auto"/>
              <w:left w:val="single" w:sz="4" w:space="0" w:color="auto"/>
              <w:bottom w:val="single" w:sz="4" w:space="0" w:color="auto"/>
              <w:right w:val="single" w:sz="4" w:space="0" w:color="auto"/>
              <w:tl2br w:val="nil"/>
              <w:tr2bl w:val="nil"/>
            </w:tcBorders>
            <w:shd w:val="clear" w:color="auto" w:fill="C0C0C0"/>
            <w:textDirection w:val="lrTb"/>
            <w:vAlign w:val="center"/>
          </w:tcPr>
          <w:p w:rsidR="00E11416" w:rsidRPr="00E11416" w:rsidP="00E11416">
            <w:pPr>
              <w:spacing w:line="240" w:lineRule="auto"/>
              <w:rPr>
                <w:rFonts w:ascii="Arial Narrow" w:hAnsi="Arial Narrow" w:cs="Arial"/>
                <w:b/>
                <w:bCs/>
                <w:lang w:eastAsia="sk-SK"/>
              </w:rPr>
            </w:pPr>
            <w:r w:rsidRPr="00E11416">
              <w:rPr>
                <w:rFonts w:ascii="Arial Narrow" w:hAnsi="Arial Narrow" w:cs="Arial"/>
                <w:b/>
                <w:bCs/>
                <w:lang w:eastAsia="sk-SK"/>
              </w:rPr>
              <w:t>Pasíva celkom</w:t>
            </w:r>
          </w:p>
        </w:tc>
        <w:tc>
          <w:tcPr>
            <w:tcW w:w="1720" w:type="dxa"/>
            <w:tcBorders>
              <w:top w:val="single" w:sz="4" w:space="0" w:color="auto"/>
              <w:left w:val="nil"/>
              <w:bottom w:val="single" w:sz="4" w:space="0" w:color="auto"/>
              <w:right w:val="single" w:sz="4" w:space="0" w:color="auto"/>
              <w:tl2br w:val="nil"/>
              <w:tr2bl w:val="nil"/>
            </w:tcBorders>
            <w:shd w:val="clear" w:color="auto" w:fill="C0C0C0"/>
            <w:noWrap/>
            <w:textDirection w:val="lrTb"/>
            <w:vAlign w:val="center"/>
          </w:tcPr>
          <w:p w:rsidR="00E11416" w:rsidRPr="00E11416" w:rsidP="00E11416">
            <w:pPr>
              <w:spacing w:line="240" w:lineRule="auto"/>
              <w:jc w:val="right"/>
              <w:rPr>
                <w:rFonts w:ascii="Arial Narrow" w:hAnsi="Arial Narrow" w:cs="Arial"/>
                <w:b/>
                <w:bCs/>
                <w:lang w:eastAsia="sk-SK"/>
              </w:rPr>
            </w:pPr>
            <w:r w:rsidRPr="00E11416">
              <w:rPr>
                <w:rFonts w:ascii="Arial Narrow" w:hAnsi="Arial Narrow" w:cs="Arial"/>
                <w:b/>
                <w:bCs/>
                <w:lang w:eastAsia="sk-SK"/>
              </w:rPr>
              <w:t>21 364 341</w:t>
            </w:r>
          </w:p>
        </w:tc>
        <w:tc>
          <w:tcPr>
            <w:tcW w:w="1460" w:type="dxa"/>
            <w:tcBorders>
              <w:top w:val="single" w:sz="4" w:space="0" w:color="auto"/>
              <w:left w:val="nil"/>
              <w:bottom w:val="single" w:sz="4" w:space="0" w:color="auto"/>
              <w:right w:val="single" w:sz="4" w:space="0" w:color="auto"/>
              <w:tl2br w:val="nil"/>
              <w:tr2bl w:val="nil"/>
            </w:tcBorders>
            <w:shd w:val="clear" w:color="auto" w:fill="C0C0C0"/>
            <w:noWrap/>
            <w:textDirection w:val="lrTb"/>
            <w:vAlign w:val="center"/>
          </w:tcPr>
          <w:p w:rsidR="00E11416" w:rsidRPr="00E11416" w:rsidP="00E11416">
            <w:pPr>
              <w:spacing w:line="240" w:lineRule="auto"/>
              <w:jc w:val="right"/>
              <w:rPr>
                <w:rFonts w:ascii="Arial Narrow" w:hAnsi="Arial Narrow" w:cs="Arial"/>
                <w:b/>
                <w:bCs/>
                <w:lang w:eastAsia="sk-SK"/>
              </w:rPr>
            </w:pPr>
            <w:r w:rsidRPr="00E11416">
              <w:rPr>
                <w:rFonts w:ascii="Arial Narrow" w:hAnsi="Arial Narrow" w:cs="Arial"/>
                <w:b/>
                <w:bCs/>
                <w:lang w:eastAsia="sk-SK"/>
              </w:rPr>
              <w:t>20 306 303</w:t>
            </w:r>
          </w:p>
        </w:tc>
        <w:tc>
          <w:tcPr>
            <w:tcW w:w="1540" w:type="dxa"/>
            <w:tcBorders>
              <w:top w:val="single" w:sz="4" w:space="0" w:color="auto"/>
              <w:left w:val="nil"/>
              <w:bottom w:val="single" w:sz="4" w:space="0" w:color="auto"/>
              <w:right w:val="single" w:sz="4" w:space="0" w:color="auto"/>
              <w:tl2br w:val="nil"/>
              <w:tr2bl w:val="nil"/>
            </w:tcBorders>
            <w:shd w:val="clear" w:color="auto" w:fill="C0C0C0"/>
            <w:noWrap/>
            <w:textDirection w:val="lrTb"/>
            <w:vAlign w:val="center"/>
          </w:tcPr>
          <w:p w:rsidR="00E11416" w:rsidRPr="00E11416" w:rsidP="00E11416">
            <w:pPr>
              <w:spacing w:line="240" w:lineRule="auto"/>
              <w:jc w:val="right"/>
              <w:rPr>
                <w:rFonts w:ascii="Arial Narrow" w:hAnsi="Arial Narrow" w:cs="Arial"/>
                <w:b/>
                <w:bCs/>
                <w:lang w:eastAsia="sk-SK"/>
              </w:rPr>
            </w:pPr>
            <w:r w:rsidRPr="00E11416">
              <w:rPr>
                <w:rFonts w:ascii="Arial Narrow" w:hAnsi="Arial Narrow" w:cs="Arial"/>
                <w:b/>
                <w:bCs/>
                <w:lang w:eastAsia="sk-SK"/>
              </w:rPr>
              <w:t>-1 058 038</w:t>
            </w:r>
          </w:p>
        </w:tc>
      </w:tr>
      <w:tr>
        <w:tblPrEx>
          <w:tblW w:w="9055" w:type="dxa"/>
          <w:tblInd w:w="55" w:type="dxa"/>
          <w:tblCellMar>
            <w:left w:w="70" w:type="dxa"/>
            <w:right w:w="70" w:type="dxa"/>
          </w:tblCellMar>
        </w:tblPrEx>
        <w:trPr>
          <w:trHeight w:hRule="exact" w:val="284"/>
        </w:trPr>
        <w:tc>
          <w:tcPr>
            <w:tcW w:w="4335" w:type="dxa"/>
            <w:tcBorders>
              <w:top w:val="nil"/>
              <w:left w:val="single" w:sz="4" w:space="0" w:color="auto"/>
              <w:bottom w:val="single" w:sz="4" w:space="0" w:color="auto"/>
              <w:right w:val="single" w:sz="4" w:space="0" w:color="auto"/>
              <w:tl2br w:val="nil"/>
              <w:tr2bl w:val="nil"/>
            </w:tcBorders>
            <w:noWrap/>
            <w:textDirection w:val="lrTb"/>
            <w:vAlign w:val="center"/>
          </w:tcPr>
          <w:p w:rsidR="00E11416" w:rsidRPr="00E11416" w:rsidP="00E11416">
            <w:pPr>
              <w:spacing w:line="240" w:lineRule="auto"/>
              <w:rPr>
                <w:rFonts w:ascii="Arial Narrow" w:hAnsi="Arial Narrow" w:cs="Arial"/>
                <w:b/>
                <w:bCs/>
                <w:lang w:eastAsia="sk-SK"/>
              </w:rPr>
            </w:pPr>
            <w:r w:rsidRPr="00E11416">
              <w:rPr>
                <w:rFonts w:ascii="Arial Narrow" w:hAnsi="Arial Narrow" w:cs="Arial"/>
                <w:b/>
                <w:bCs/>
                <w:lang w:eastAsia="sk-SK"/>
              </w:rPr>
              <w:t>Vlastné imanie</w:t>
            </w:r>
          </w:p>
        </w:tc>
        <w:tc>
          <w:tcPr>
            <w:tcW w:w="1720" w:type="dxa"/>
            <w:tcBorders>
              <w:top w:val="nil"/>
              <w:left w:val="nil"/>
              <w:bottom w:val="single" w:sz="4" w:space="0" w:color="auto"/>
              <w:right w:val="single" w:sz="4" w:space="0" w:color="auto"/>
              <w:tl2br w:val="nil"/>
              <w:tr2bl w:val="nil"/>
            </w:tcBorders>
            <w:noWrap/>
            <w:textDirection w:val="lrTb"/>
            <w:vAlign w:val="center"/>
          </w:tcPr>
          <w:p w:rsidR="00E11416" w:rsidRPr="00E11416" w:rsidP="00E11416">
            <w:pPr>
              <w:spacing w:line="240" w:lineRule="auto"/>
              <w:jc w:val="right"/>
              <w:rPr>
                <w:rFonts w:ascii="Arial Narrow" w:hAnsi="Arial Narrow" w:cs="Arial"/>
                <w:b/>
                <w:bCs/>
                <w:lang w:eastAsia="sk-SK"/>
              </w:rPr>
            </w:pPr>
            <w:r w:rsidRPr="00E11416">
              <w:rPr>
                <w:rFonts w:ascii="Arial Narrow" w:hAnsi="Arial Narrow" w:cs="Arial"/>
                <w:b/>
                <w:bCs/>
                <w:lang w:eastAsia="sk-SK"/>
              </w:rPr>
              <w:t>10 762 373</w:t>
            </w:r>
          </w:p>
        </w:tc>
        <w:tc>
          <w:tcPr>
            <w:tcW w:w="1460" w:type="dxa"/>
            <w:tcBorders>
              <w:top w:val="nil"/>
              <w:left w:val="nil"/>
              <w:bottom w:val="single" w:sz="4" w:space="0" w:color="auto"/>
              <w:right w:val="single" w:sz="4" w:space="0" w:color="auto"/>
              <w:tl2br w:val="nil"/>
              <w:tr2bl w:val="nil"/>
            </w:tcBorders>
            <w:noWrap/>
            <w:textDirection w:val="lrTb"/>
            <w:vAlign w:val="center"/>
          </w:tcPr>
          <w:p w:rsidR="00E11416" w:rsidRPr="00E11416" w:rsidP="00E11416">
            <w:pPr>
              <w:spacing w:line="240" w:lineRule="auto"/>
              <w:jc w:val="right"/>
              <w:rPr>
                <w:rFonts w:ascii="Arial Narrow" w:hAnsi="Arial Narrow" w:cs="Arial"/>
                <w:b/>
                <w:bCs/>
                <w:lang w:eastAsia="sk-SK"/>
              </w:rPr>
            </w:pPr>
            <w:r w:rsidRPr="00E11416">
              <w:rPr>
                <w:rFonts w:ascii="Arial Narrow" w:hAnsi="Arial Narrow" w:cs="Arial"/>
                <w:b/>
                <w:bCs/>
                <w:lang w:eastAsia="sk-SK"/>
              </w:rPr>
              <w:t>9 909 716</w:t>
            </w:r>
          </w:p>
        </w:tc>
        <w:tc>
          <w:tcPr>
            <w:tcW w:w="1540" w:type="dxa"/>
            <w:tcBorders>
              <w:top w:val="nil"/>
              <w:left w:val="nil"/>
              <w:bottom w:val="single" w:sz="4" w:space="0" w:color="auto"/>
              <w:right w:val="single" w:sz="4" w:space="0" w:color="auto"/>
              <w:tl2br w:val="nil"/>
              <w:tr2bl w:val="nil"/>
            </w:tcBorders>
            <w:noWrap/>
            <w:textDirection w:val="lrTb"/>
            <w:vAlign w:val="center"/>
          </w:tcPr>
          <w:p w:rsidR="00E11416" w:rsidRPr="00E11416" w:rsidP="00E11416">
            <w:pPr>
              <w:spacing w:line="240" w:lineRule="auto"/>
              <w:jc w:val="right"/>
              <w:rPr>
                <w:rFonts w:ascii="Arial Narrow" w:hAnsi="Arial Narrow" w:cs="Arial"/>
                <w:b/>
                <w:bCs/>
                <w:lang w:eastAsia="sk-SK"/>
              </w:rPr>
            </w:pPr>
            <w:r w:rsidRPr="00E11416">
              <w:rPr>
                <w:rFonts w:ascii="Arial Narrow" w:hAnsi="Arial Narrow" w:cs="Arial"/>
                <w:b/>
                <w:bCs/>
                <w:lang w:eastAsia="sk-SK"/>
              </w:rPr>
              <w:t>-852 657</w:t>
            </w:r>
          </w:p>
        </w:tc>
      </w:tr>
      <w:tr>
        <w:tblPrEx>
          <w:tblW w:w="9055" w:type="dxa"/>
          <w:tblInd w:w="55" w:type="dxa"/>
          <w:tblCellMar>
            <w:left w:w="70" w:type="dxa"/>
            <w:right w:w="70" w:type="dxa"/>
          </w:tblCellMar>
        </w:tblPrEx>
        <w:trPr>
          <w:trHeight w:hRule="exact" w:val="284"/>
        </w:trPr>
        <w:tc>
          <w:tcPr>
            <w:tcW w:w="4335" w:type="dxa"/>
            <w:tcBorders>
              <w:top w:val="nil"/>
              <w:left w:val="single" w:sz="4" w:space="0" w:color="auto"/>
              <w:bottom w:val="single" w:sz="4" w:space="0" w:color="auto"/>
              <w:right w:val="single" w:sz="4" w:space="0" w:color="auto"/>
              <w:tl2br w:val="nil"/>
              <w:tr2bl w:val="nil"/>
            </w:tcBorders>
            <w:noWrap/>
            <w:textDirection w:val="lrTb"/>
            <w:vAlign w:val="center"/>
          </w:tcPr>
          <w:p w:rsidR="00E11416" w:rsidRPr="00E11416" w:rsidP="00E11416">
            <w:pPr>
              <w:spacing w:line="240" w:lineRule="auto"/>
              <w:rPr>
                <w:rFonts w:ascii="Arial Narrow" w:hAnsi="Arial Narrow" w:cs="Arial"/>
                <w:lang w:eastAsia="sk-SK"/>
              </w:rPr>
            </w:pPr>
            <w:r w:rsidRPr="00E11416">
              <w:rPr>
                <w:rFonts w:ascii="Arial Narrow" w:hAnsi="Arial Narrow" w:cs="Arial"/>
                <w:lang w:eastAsia="sk-SK"/>
              </w:rPr>
              <w:t>Základné imanie</w:t>
            </w:r>
          </w:p>
        </w:tc>
        <w:tc>
          <w:tcPr>
            <w:tcW w:w="1720" w:type="dxa"/>
            <w:tcBorders>
              <w:top w:val="nil"/>
              <w:left w:val="nil"/>
              <w:bottom w:val="single" w:sz="4" w:space="0" w:color="auto"/>
              <w:right w:val="single" w:sz="4" w:space="0" w:color="auto"/>
              <w:tl2br w:val="nil"/>
              <w:tr2bl w:val="nil"/>
            </w:tcBorders>
            <w:noWrap/>
            <w:textDirection w:val="lrTb"/>
            <w:vAlign w:val="center"/>
          </w:tcPr>
          <w:p w:rsidR="00E11416" w:rsidRPr="00E11416" w:rsidP="00E11416">
            <w:pPr>
              <w:spacing w:line="240" w:lineRule="auto"/>
              <w:jc w:val="right"/>
              <w:rPr>
                <w:rFonts w:ascii="Arial Narrow" w:hAnsi="Arial Narrow" w:cs="Arial"/>
                <w:lang w:eastAsia="sk-SK"/>
              </w:rPr>
            </w:pPr>
            <w:r w:rsidRPr="00E11416">
              <w:rPr>
                <w:rFonts w:ascii="Arial Narrow" w:hAnsi="Arial Narrow" w:cs="Arial"/>
                <w:lang w:eastAsia="sk-SK"/>
              </w:rPr>
              <w:t>12 100 000</w:t>
            </w:r>
          </w:p>
        </w:tc>
        <w:tc>
          <w:tcPr>
            <w:tcW w:w="1460" w:type="dxa"/>
            <w:tcBorders>
              <w:top w:val="nil"/>
              <w:left w:val="nil"/>
              <w:bottom w:val="single" w:sz="4" w:space="0" w:color="auto"/>
              <w:right w:val="single" w:sz="4" w:space="0" w:color="auto"/>
              <w:tl2br w:val="nil"/>
              <w:tr2bl w:val="nil"/>
            </w:tcBorders>
            <w:noWrap/>
            <w:textDirection w:val="lrTb"/>
            <w:vAlign w:val="center"/>
          </w:tcPr>
          <w:p w:rsidR="00E11416" w:rsidRPr="00E11416" w:rsidP="00E11416">
            <w:pPr>
              <w:spacing w:line="240" w:lineRule="auto"/>
              <w:jc w:val="right"/>
              <w:rPr>
                <w:rFonts w:ascii="Arial Narrow" w:hAnsi="Arial Narrow" w:cs="Arial"/>
                <w:lang w:eastAsia="sk-SK"/>
              </w:rPr>
            </w:pPr>
            <w:r w:rsidRPr="00E11416">
              <w:rPr>
                <w:rFonts w:ascii="Arial Narrow" w:hAnsi="Arial Narrow" w:cs="Arial"/>
                <w:lang w:eastAsia="sk-SK"/>
              </w:rPr>
              <w:t>12 100 000</w:t>
            </w:r>
          </w:p>
        </w:tc>
        <w:tc>
          <w:tcPr>
            <w:tcW w:w="1540" w:type="dxa"/>
            <w:tcBorders>
              <w:top w:val="nil"/>
              <w:left w:val="nil"/>
              <w:bottom w:val="single" w:sz="4" w:space="0" w:color="auto"/>
              <w:right w:val="single" w:sz="4" w:space="0" w:color="auto"/>
              <w:tl2br w:val="nil"/>
              <w:tr2bl w:val="nil"/>
            </w:tcBorders>
            <w:noWrap/>
            <w:textDirection w:val="lrTb"/>
            <w:vAlign w:val="center"/>
          </w:tcPr>
          <w:p w:rsidR="00E11416" w:rsidRPr="00E11416" w:rsidP="00E11416">
            <w:pPr>
              <w:spacing w:line="240" w:lineRule="auto"/>
              <w:jc w:val="right"/>
              <w:rPr>
                <w:rFonts w:ascii="Arial Narrow" w:hAnsi="Arial Narrow" w:cs="Arial"/>
                <w:lang w:eastAsia="sk-SK"/>
              </w:rPr>
            </w:pPr>
            <w:r w:rsidRPr="00E11416">
              <w:rPr>
                <w:rFonts w:ascii="Arial Narrow" w:hAnsi="Arial Narrow" w:cs="Arial"/>
                <w:lang w:eastAsia="sk-SK"/>
              </w:rPr>
              <w:t>0</w:t>
            </w:r>
          </w:p>
        </w:tc>
      </w:tr>
      <w:tr>
        <w:tblPrEx>
          <w:tblW w:w="9055" w:type="dxa"/>
          <w:tblInd w:w="55" w:type="dxa"/>
          <w:tblCellMar>
            <w:left w:w="70" w:type="dxa"/>
            <w:right w:w="70" w:type="dxa"/>
          </w:tblCellMar>
        </w:tblPrEx>
        <w:trPr>
          <w:trHeight w:hRule="exact" w:val="284"/>
        </w:trPr>
        <w:tc>
          <w:tcPr>
            <w:tcW w:w="4335" w:type="dxa"/>
            <w:tcBorders>
              <w:top w:val="nil"/>
              <w:left w:val="single" w:sz="4" w:space="0" w:color="auto"/>
              <w:bottom w:val="single" w:sz="4" w:space="0" w:color="auto"/>
              <w:right w:val="single" w:sz="4" w:space="0" w:color="auto"/>
              <w:tl2br w:val="nil"/>
              <w:tr2bl w:val="nil"/>
            </w:tcBorders>
            <w:noWrap/>
            <w:textDirection w:val="lrTb"/>
            <w:vAlign w:val="center"/>
          </w:tcPr>
          <w:p w:rsidR="00E11416" w:rsidRPr="00E11416" w:rsidP="00E11416">
            <w:pPr>
              <w:spacing w:line="240" w:lineRule="auto"/>
              <w:rPr>
                <w:rFonts w:ascii="Arial Narrow" w:hAnsi="Arial Narrow" w:cs="Arial"/>
                <w:lang w:eastAsia="sk-SK"/>
              </w:rPr>
            </w:pPr>
            <w:r w:rsidRPr="00E11416">
              <w:rPr>
                <w:rFonts w:ascii="Arial Narrow" w:hAnsi="Arial Narrow" w:cs="Arial"/>
                <w:lang w:eastAsia="sk-SK"/>
              </w:rPr>
              <w:t>Kapitálové fondy</w:t>
            </w:r>
          </w:p>
        </w:tc>
        <w:tc>
          <w:tcPr>
            <w:tcW w:w="1720" w:type="dxa"/>
            <w:tcBorders>
              <w:top w:val="nil"/>
              <w:left w:val="nil"/>
              <w:bottom w:val="single" w:sz="4" w:space="0" w:color="auto"/>
              <w:right w:val="single" w:sz="4" w:space="0" w:color="auto"/>
              <w:tl2br w:val="nil"/>
              <w:tr2bl w:val="nil"/>
            </w:tcBorders>
            <w:noWrap/>
            <w:textDirection w:val="lrTb"/>
            <w:vAlign w:val="center"/>
          </w:tcPr>
          <w:p w:rsidR="00E11416" w:rsidRPr="00E11416" w:rsidP="00E11416">
            <w:pPr>
              <w:spacing w:line="240" w:lineRule="auto"/>
              <w:jc w:val="right"/>
              <w:rPr>
                <w:rFonts w:ascii="Arial Narrow" w:hAnsi="Arial Narrow" w:cs="Arial"/>
                <w:lang w:eastAsia="sk-SK"/>
              </w:rPr>
            </w:pPr>
            <w:r w:rsidRPr="00E11416">
              <w:rPr>
                <w:rFonts w:ascii="Arial Narrow" w:hAnsi="Arial Narrow" w:cs="Arial"/>
                <w:lang w:eastAsia="sk-SK"/>
              </w:rPr>
              <w:t>1 634 129</w:t>
            </w:r>
          </w:p>
        </w:tc>
        <w:tc>
          <w:tcPr>
            <w:tcW w:w="1460" w:type="dxa"/>
            <w:tcBorders>
              <w:top w:val="nil"/>
              <w:left w:val="nil"/>
              <w:bottom w:val="single" w:sz="4" w:space="0" w:color="auto"/>
              <w:right w:val="single" w:sz="4" w:space="0" w:color="auto"/>
              <w:tl2br w:val="nil"/>
              <w:tr2bl w:val="nil"/>
            </w:tcBorders>
            <w:noWrap/>
            <w:textDirection w:val="lrTb"/>
            <w:vAlign w:val="center"/>
          </w:tcPr>
          <w:p w:rsidR="00E11416" w:rsidRPr="00E11416" w:rsidP="00E11416">
            <w:pPr>
              <w:spacing w:line="240" w:lineRule="auto"/>
              <w:jc w:val="right"/>
              <w:rPr>
                <w:rFonts w:ascii="Arial Narrow" w:hAnsi="Arial Narrow" w:cs="Arial"/>
                <w:lang w:eastAsia="sk-SK"/>
              </w:rPr>
            </w:pPr>
            <w:r w:rsidRPr="00E11416">
              <w:rPr>
                <w:rFonts w:ascii="Arial Narrow" w:hAnsi="Arial Narrow" w:cs="Arial"/>
                <w:lang w:eastAsia="sk-SK"/>
              </w:rPr>
              <w:t>1 219 947</w:t>
            </w:r>
          </w:p>
        </w:tc>
        <w:tc>
          <w:tcPr>
            <w:tcW w:w="1540" w:type="dxa"/>
            <w:tcBorders>
              <w:top w:val="nil"/>
              <w:left w:val="nil"/>
              <w:bottom w:val="single" w:sz="4" w:space="0" w:color="auto"/>
              <w:right w:val="single" w:sz="4" w:space="0" w:color="auto"/>
              <w:tl2br w:val="nil"/>
              <w:tr2bl w:val="nil"/>
            </w:tcBorders>
            <w:noWrap/>
            <w:textDirection w:val="lrTb"/>
            <w:vAlign w:val="center"/>
          </w:tcPr>
          <w:p w:rsidR="00E11416" w:rsidRPr="00E11416" w:rsidP="00E11416">
            <w:pPr>
              <w:spacing w:line="240" w:lineRule="auto"/>
              <w:jc w:val="right"/>
              <w:rPr>
                <w:rFonts w:ascii="Arial Narrow" w:hAnsi="Arial Narrow" w:cs="Arial"/>
                <w:lang w:eastAsia="sk-SK"/>
              </w:rPr>
            </w:pPr>
            <w:r w:rsidRPr="00E11416">
              <w:rPr>
                <w:rFonts w:ascii="Arial Narrow" w:hAnsi="Arial Narrow" w:cs="Arial"/>
                <w:lang w:eastAsia="sk-SK"/>
              </w:rPr>
              <w:t>-414 182</w:t>
            </w:r>
          </w:p>
        </w:tc>
      </w:tr>
      <w:tr>
        <w:tblPrEx>
          <w:tblW w:w="9055" w:type="dxa"/>
          <w:tblInd w:w="55" w:type="dxa"/>
          <w:tblCellMar>
            <w:left w:w="70" w:type="dxa"/>
            <w:right w:w="70" w:type="dxa"/>
          </w:tblCellMar>
        </w:tblPrEx>
        <w:trPr>
          <w:trHeight w:hRule="exact" w:val="284"/>
        </w:trPr>
        <w:tc>
          <w:tcPr>
            <w:tcW w:w="9055" w:type="dxa"/>
            <w:gridSpan w:val="4"/>
            <w:tcBorders>
              <w:top w:val="single" w:sz="4" w:space="0" w:color="auto"/>
              <w:left w:val="single" w:sz="4" w:space="0" w:color="auto"/>
              <w:bottom w:val="single" w:sz="4" w:space="0" w:color="auto"/>
              <w:right w:val="single" w:sz="4" w:space="0" w:color="000000"/>
              <w:tl2br w:val="nil"/>
              <w:tr2bl w:val="nil"/>
            </w:tcBorders>
            <w:textDirection w:val="lrTb"/>
            <w:vAlign w:val="center"/>
          </w:tcPr>
          <w:p w:rsidR="00E11416" w:rsidRPr="00E11416" w:rsidP="00E11416">
            <w:pPr>
              <w:spacing w:line="240" w:lineRule="auto"/>
              <w:rPr>
                <w:rFonts w:ascii="Arial Narrow" w:hAnsi="Arial Narrow" w:cs="Arial"/>
                <w:b/>
                <w:bCs/>
                <w:i/>
                <w:iCs/>
                <w:lang w:eastAsia="sk-SK"/>
              </w:rPr>
            </w:pPr>
            <w:r w:rsidRPr="00607A12">
              <w:rPr>
                <w:rFonts w:ascii="Arial Narrow" w:hAnsi="Arial Narrow" w:cs="Arial"/>
                <w:bCs/>
                <w:i/>
                <w:iCs/>
                <w:lang w:eastAsia="sk-SK"/>
              </w:rPr>
              <w:t>Komentár:</w:t>
            </w:r>
            <w:r w:rsidRPr="00607A12">
              <w:rPr>
                <w:rFonts w:ascii="Arial Narrow" w:hAnsi="Arial Narrow" w:cs="Arial"/>
                <w:i/>
                <w:iCs/>
                <w:lang w:eastAsia="sk-SK"/>
              </w:rPr>
              <w:t xml:space="preserve"> Pokles</w:t>
            </w:r>
            <w:r w:rsidRPr="00E11416">
              <w:rPr>
                <w:rFonts w:ascii="Arial Narrow" w:hAnsi="Arial Narrow" w:cs="Arial"/>
                <w:i/>
                <w:iCs/>
                <w:lang w:eastAsia="sk-SK"/>
              </w:rPr>
              <w:t xml:space="preserve"> spôsobený zúčtovaním oceňovacích rozdielov z precenenia majetku (deriváty).</w:t>
            </w:r>
          </w:p>
        </w:tc>
      </w:tr>
      <w:tr>
        <w:tblPrEx>
          <w:tblW w:w="9055" w:type="dxa"/>
          <w:tblInd w:w="55" w:type="dxa"/>
          <w:tblCellMar>
            <w:left w:w="70" w:type="dxa"/>
            <w:right w:w="70" w:type="dxa"/>
          </w:tblCellMar>
        </w:tblPrEx>
        <w:trPr>
          <w:trHeight w:hRule="exact" w:val="284"/>
        </w:trPr>
        <w:tc>
          <w:tcPr>
            <w:tcW w:w="4335" w:type="dxa"/>
            <w:tcBorders>
              <w:top w:val="nil"/>
              <w:left w:val="single" w:sz="4" w:space="0" w:color="auto"/>
              <w:bottom w:val="single" w:sz="4" w:space="0" w:color="auto"/>
              <w:right w:val="single" w:sz="4" w:space="0" w:color="auto"/>
              <w:tl2br w:val="nil"/>
              <w:tr2bl w:val="nil"/>
            </w:tcBorders>
            <w:noWrap/>
            <w:textDirection w:val="lrTb"/>
            <w:vAlign w:val="center"/>
          </w:tcPr>
          <w:p w:rsidR="00E11416" w:rsidRPr="00E11416" w:rsidP="00E11416">
            <w:pPr>
              <w:spacing w:line="240" w:lineRule="auto"/>
              <w:rPr>
                <w:rFonts w:ascii="Arial Narrow" w:hAnsi="Arial Narrow" w:cs="Arial"/>
                <w:lang w:eastAsia="sk-SK"/>
              </w:rPr>
            </w:pPr>
            <w:r w:rsidRPr="00E11416">
              <w:rPr>
                <w:rFonts w:ascii="Arial Narrow" w:hAnsi="Arial Narrow" w:cs="Arial"/>
                <w:lang w:eastAsia="sk-SK"/>
              </w:rPr>
              <w:t>Fondy zo zisku</w:t>
            </w:r>
          </w:p>
        </w:tc>
        <w:tc>
          <w:tcPr>
            <w:tcW w:w="1720" w:type="dxa"/>
            <w:tcBorders>
              <w:top w:val="nil"/>
              <w:left w:val="nil"/>
              <w:bottom w:val="single" w:sz="4" w:space="0" w:color="auto"/>
              <w:right w:val="single" w:sz="4" w:space="0" w:color="auto"/>
              <w:tl2br w:val="nil"/>
              <w:tr2bl w:val="nil"/>
            </w:tcBorders>
            <w:noWrap/>
            <w:textDirection w:val="lrTb"/>
            <w:vAlign w:val="center"/>
          </w:tcPr>
          <w:p w:rsidR="00E11416" w:rsidRPr="00E11416" w:rsidP="00E11416">
            <w:pPr>
              <w:spacing w:line="240" w:lineRule="auto"/>
              <w:jc w:val="right"/>
              <w:rPr>
                <w:rFonts w:ascii="Arial Narrow" w:hAnsi="Arial Narrow" w:cs="Arial"/>
                <w:lang w:eastAsia="sk-SK"/>
              </w:rPr>
            </w:pPr>
            <w:r w:rsidRPr="00E11416">
              <w:rPr>
                <w:rFonts w:ascii="Arial Narrow" w:hAnsi="Arial Narrow" w:cs="Arial"/>
                <w:lang w:eastAsia="sk-SK"/>
              </w:rPr>
              <w:t>0</w:t>
            </w:r>
          </w:p>
        </w:tc>
        <w:tc>
          <w:tcPr>
            <w:tcW w:w="1460" w:type="dxa"/>
            <w:tcBorders>
              <w:top w:val="nil"/>
              <w:left w:val="nil"/>
              <w:bottom w:val="single" w:sz="4" w:space="0" w:color="auto"/>
              <w:right w:val="single" w:sz="4" w:space="0" w:color="auto"/>
              <w:tl2br w:val="nil"/>
              <w:tr2bl w:val="nil"/>
            </w:tcBorders>
            <w:noWrap/>
            <w:textDirection w:val="lrTb"/>
            <w:vAlign w:val="center"/>
          </w:tcPr>
          <w:p w:rsidR="00E11416" w:rsidRPr="00E11416" w:rsidP="00E11416">
            <w:pPr>
              <w:spacing w:line="240" w:lineRule="auto"/>
              <w:jc w:val="right"/>
              <w:rPr>
                <w:rFonts w:ascii="Arial Narrow" w:hAnsi="Arial Narrow" w:cs="Arial"/>
                <w:lang w:eastAsia="sk-SK"/>
              </w:rPr>
            </w:pPr>
            <w:r w:rsidRPr="00E11416">
              <w:rPr>
                <w:rFonts w:ascii="Arial Narrow" w:hAnsi="Arial Narrow" w:cs="Arial"/>
                <w:lang w:eastAsia="sk-SK"/>
              </w:rPr>
              <w:t>0</w:t>
            </w:r>
          </w:p>
        </w:tc>
        <w:tc>
          <w:tcPr>
            <w:tcW w:w="1540" w:type="dxa"/>
            <w:tcBorders>
              <w:top w:val="nil"/>
              <w:left w:val="nil"/>
              <w:bottom w:val="single" w:sz="4" w:space="0" w:color="auto"/>
              <w:right w:val="single" w:sz="4" w:space="0" w:color="auto"/>
              <w:tl2br w:val="nil"/>
              <w:tr2bl w:val="nil"/>
            </w:tcBorders>
            <w:noWrap/>
            <w:textDirection w:val="lrTb"/>
            <w:vAlign w:val="center"/>
          </w:tcPr>
          <w:p w:rsidR="00E11416" w:rsidRPr="00E11416" w:rsidP="00E11416">
            <w:pPr>
              <w:spacing w:line="240" w:lineRule="auto"/>
              <w:jc w:val="right"/>
              <w:rPr>
                <w:rFonts w:ascii="Arial Narrow" w:hAnsi="Arial Narrow" w:cs="Arial"/>
                <w:lang w:eastAsia="sk-SK"/>
              </w:rPr>
            </w:pPr>
            <w:r w:rsidRPr="00E11416">
              <w:rPr>
                <w:rFonts w:ascii="Arial Narrow" w:hAnsi="Arial Narrow" w:cs="Arial"/>
                <w:lang w:eastAsia="sk-SK"/>
              </w:rPr>
              <w:t>0</w:t>
            </w:r>
          </w:p>
        </w:tc>
      </w:tr>
      <w:tr>
        <w:tblPrEx>
          <w:tblW w:w="9055" w:type="dxa"/>
          <w:tblInd w:w="55" w:type="dxa"/>
          <w:tblCellMar>
            <w:left w:w="70" w:type="dxa"/>
            <w:right w:w="70" w:type="dxa"/>
          </w:tblCellMar>
        </w:tblPrEx>
        <w:trPr>
          <w:trHeight w:hRule="exact" w:val="284"/>
        </w:trPr>
        <w:tc>
          <w:tcPr>
            <w:tcW w:w="4335" w:type="dxa"/>
            <w:tcBorders>
              <w:top w:val="nil"/>
              <w:left w:val="single" w:sz="4" w:space="0" w:color="auto"/>
              <w:bottom w:val="single" w:sz="4" w:space="0" w:color="auto"/>
              <w:right w:val="single" w:sz="4" w:space="0" w:color="auto"/>
              <w:tl2br w:val="nil"/>
              <w:tr2bl w:val="nil"/>
            </w:tcBorders>
            <w:noWrap/>
            <w:textDirection w:val="lrTb"/>
            <w:vAlign w:val="center"/>
          </w:tcPr>
          <w:p w:rsidR="00E11416" w:rsidRPr="00E11416" w:rsidP="00E11416">
            <w:pPr>
              <w:spacing w:line="240" w:lineRule="auto"/>
              <w:rPr>
                <w:rFonts w:ascii="Arial Narrow" w:hAnsi="Arial Narrow" w:cs="Arial"/>
                <w:lang w:eastAsia="sk-SK"/>
              </w:rPr>
            </w:pPr>
            <w:r w:rsidRPr="00E11416">
              <w:rPr>
                <w:rFonts w:ascii="Arial Narrow" w:hAnsi="Arial Narrow" w:cs="Arial"/>
                <w:lang w:eastAsia="sk-SK"/>
              </w:rPr>
              <w:t>Výsledok hospodárenia minulých rokov</w:t>
            </w:r>
          </w:p>
        </w:tc>
        <w:tc>
          <w:tcPr>
            <w:tcW w:w="1720" w:type="dxa"/>
            <w:tcBorders>
              <w:top w:val="nil"/>
              <w:left w:val="nil"/>
              <w:bottom w:val="single" w:sz="4" w:space="0" w:color="auto"/>
              <w:right w:val="single" w:sz="4" w:space="0" w:color="auto"/>
              <w:tl2br w:val="nil"/>
              <w:tr2bl w:val="nil"/>
            </w:tcBorders>
            <w:noWrap/>
            <w:textDirection w:val="lrTb"/>
            <w:vAlign w:val="center"/>
          </w:tcPr>
          <w:p w:rsidR="00E11416" w:rsidRPr="00E11416" w:rsidP="00E11416">
            <w:pPr>
              <w:spacing w:line="240" w:lineRule="auto"/>
              <w:jc w:val="right"/>
              <w:rPr>
                <w:rFonts w:ascii="Arial Narrow" w:hAnsi="Arial Narrow" w:cs="Arial"/>
                <w:lang w:eastAsia="sk-SK"/>
              </w:rPr>
            </w:pPr>
            <w:r w:rsidRPr="00E11416">
              <w:rPr>
                <w:rFonts w:ascii="Arial Narrow" w:hAnsi="Arial Narrow" w:cs="Arial"/>
                <w:lang w:eastAsia="sk-SK"/>
              </w:rPr>
              <w:t>-973 724</w:t>
            </w:r>
          </w:p>
        </w:tc>
        <w:tc>
          <w:tcPr>
            <w:tcW w:w="1460" w:type="dxa"/>
            <w:tcBorders>
              <w:top w:val="nil"/>
              <w:left w:val="nil"/>
              <w:bottom w:val="single" w:sz="4" w:space="0" w:color="auto"/>
              <w:right w:val="single" w:sz="4" w:space="0" w:color="auto"/>
              <w:tl2br w:val="nil"/>
              <w:tr2bl w:val="nil"/>
            </w:tcBorders>
            <w:noWrap/>
            <w:textDirection w:val="lrTb"/>
            <w:vAlign w:val="center"/>
          </w:tcPr>
          <w:p w:rsidR="00E11416" w:rsidRPr="00E11416" w:rsidP="00E11416">
            <w:pPr>
              <w:spacing w:line="240" w:lineRule="auto"/>
              <w:jc w:val="right"/>
              <w:rPr>
                <w:rFonts w:ascii="Arial Narrow" w:hAnsi="Arial Narrow" w:cs="Arial"/>
                <w:lang w:eastAsia="sk-SK"/>
              </w:rPr>
            </w:pPr>
            <w:r w:rsidRPr="00E11416">
              <w:rPr>
                <w:rFonts w:ascii="Arial Narrow" w:hAnsi="Arial Narrow" w:cs="Arial"/>
                <w:lang w:eastAsia="sk-SK"/>
              </w:rPr>
              <w:t>-2 971 756</w:t>
            </w:r>
          </w:p>
        </w:tc>
        <w:tc>
          <w:tcPr>
            <w:tcW w:w="1540" w:type="dxa"/>
            <w:tcBorders>
              <w:top w:val="nil"/>
              <w:left w:val="nil"/>
              <w:bottom w:val="single" w:sz="4" w:space="0" w:color="auto"/>
              <w:right w:val="single" w:sz="4" w:space="0" w:color="auto"/>
              <w:tl2br w:val="nil"/>
              <w:tr2bl w:val="nil"/>
            </w:tcBorders>
            <w:noWrap/>
            <w:textDirection w:val="lrTb"/>
            <w:vAlign w:val="center"/>
          </w:tcPr>
          <w:p w:rsidR="00E11416" w:rsidRPr="00E11416" w:rsidP="00E11416">
            <w:pPr>
              <w:spacing w:line="240" w:lineRule="auto"/>
              <w:jc w:val="right"/>
              <w:rPr>
                <w:rFonts w:ascii="Arial Narrow" w:hAnsi="Arial Narrow" w:cs="Arial"/>
                <w:lang w:eastAsia="sk-SK"/>
              </w:rPr>
            </w:pPr>
            <w:r w:rsidRPr="00E11416">
              <w:rPr>
                <w:rFonts w:ascii="Arial Narrow" w:hAnsi="Arial Narrow" w:cs="Arial"/>
                <w:lang w:eastAsia="sk-SK"/>
              </w:rPr>
              <w:t>-1 998 032</w:t>
            </w:r>
          </w:p>
        </w:tc>
      </w:tr>
      <w:tr>
        <w:tblPrEx>
          <w:tblW w:w="9055" w:type="dxa"/>
          <w:tblInd w:w="55" w:type="dxa"/>
          <w:tblCellMar>
            <w:left w:w="70" w:type="dxa"/>
            <w:right w:w="70" w:type="dxa"/>
          </w:tblCellMar>
        </w:tblPrEx>
        <w:trPr>
          <w:trHeight w:hRule="exact" w:val="284"/>
        </w:trPr>
        <w:tc>
          <w:tcPr>
            <w:tcW w:w="4335" w:type="dxa"/>
            <w:tcBorders>
              <w:top w:val="nil"/>
              <w:left w:val="single" w:sz="4" w:space="0" w:color="auto"/>
              <w:bottom w:val="single" w:sz="4" w:space="0" w:color="auto"/>
              <w:right w:val="single" w:sz="4" w:space="0" w:color="auto"/>
              <w:tl2br w:val="nil"/>
              <w:tr2bl w:val="nil"/>
            </w:tcBorders>
            <w:noWrap/>
            <w:textDirection w:val="lrTb"/>
            <w:vAlign w:val="center"/>
          </w:tcPr>
          <w:p w:rsidR="00E11416" w:rsidRPr="00E11416" w:rsidP="00E11416">
            <w:pPr>
              <w:spacing w:line="240" w:lineRule="auto"/>
              <w:rPr>
                <w:rFonts w:ascii="Arial Narrow" w:hAnsi="Arial Narrow" w:cs="Arial"/>
                <w:lang w:eastAsia="sk-SK"/>
              </w:rPr>
            </w:pPr>
            <w:r w:rsidRPr="00E11416">
              <w:rPr>
                <w:rFonts w:ascii="Arial Narrow" w:hAnsi="Arial Narrow" w:cs="Arial"/>
                <w:lang w:eastAsia="sk-SK"/>
              </w:rPr>
              <w:t>Výsledok hospodárenia za účtovné obdobie</w:t>
            </w:r>
          </w:p>
        </w:tc>
        <w:tc>
          <w:tcPr>
            <w:tcW w:w="1720" w:type="dxa"/>
            <w:tcBorders>
              <w:top w:val="nil"/>
              <w:left w:val="nil"/>
              <w:bottom w:val="single" w:sz="4" w:space="0" w:color="auto"/>
              <w:right w:val="single" w:sz="4" w:space="0" w:color="auto"/>
              <w:tl2br w:val="nil"/>
              <w:tr2bl w:val="nil"/>
            </w:tcBorders>
            <w:noWrap/>
            <w:textDirection w:val="lrTb"/>
            <w:vAlign w:val="center"/>
          </w:tcPr>
          <w:p w:rsidR="00E11416" w:rsidRPr="00E11416" w:rsidP="00E11416">
            <w:pPr>
              <w:spacing w:line="240" w:lineRule="auto"/>
              <w:jc w:val="right"/>
              <w:rPr>
                <w:rFonts w:ascii="Arial Narrow" w:hAnsi="Arial Narrow" w:cs="Arial"/>
                <w:lang w:eastAsia="sk-SK"/>
              </w:rPr>
            </w:pPr>
            <w:r w:rsidRPr="00E11416">
              <w:rPr>
                <w:rFonts w:ascii="Arial Narrow" w:hAnsi="Arial Narrow" w:cs="Arial"/>
                <w:lang w:eastAsia="sk-SK"/>
              </w:rPr>
              <w:t>-1 998 032</w:t>
            </w:r>
          </w:p>
        </w:tc>
        <w:tc>
          <w:tcPr>
            <w:tcW w:w="1460" w:type="dxa"/>
            <w:tcBorders>
              <w:top w:val="nil"/>
              <w:left w:val="nil"/>
              <w:bottom w:val="single" w:sz="4" w:space="0" w:color="auto"/>
              <w:right w:val="single" w:sz="4" w:space="0" w:color="auto"/>
              <w:tl2br w:val="nil"/>
              <w:tr2bl w:val="nil"/>
            </w:tcBorders>
            <w:noWrap/>
            <w:textDirection w:val="lrTb"/>
            <w:vAlign w:val="center"/>
          </w:tcPr>
          <w:p w:rsidR="00E11416" w:rsidRPr="00E11416" w:rsidP="00E11416">
            <w:pPr>
              <w:spacing w:line="240" w:lineRule="auto"/>
              <w:jc w:val="right"/>
              <w:rPr>
                <w:rFonts w:ascii="Arial Narrow" w:hAnsi="Arial Narrow" w:cs="Arial"/>
                <w:lang w:eastAsia="sk-SK"/>
              </w:rPr>
            </w:pPr>
            <w:r w:rsidRPr="00E11416">
              <w:rPr>
                <w:rFonts w:ascii="Arial Narrow" w:hAnsi="Arial Narrow" w:cs="Arial"/>
                <w:lang w:eastAsia="sk-SK"/>
              </w:rPr>
              <w:t>-438 475</w:t>
            </w:r>
          </w:p>
        </w:tc>
        <w:tc>
          <w:tcPr>
            <w:tcW w:w="1540" w:type="dxa"/>
            <w:tcBorders>
              <w:top w:val="nil"/>
              <w:left w:val="nil"/>
              <w:bottom w:val="single" w:sz="4" w:space="0" w:color="auto"/>
              <w:right w:val="single" w:sz="4" w:space="0" w:color="auto"/>
              <w:tl2br w:val="nil"/>
              <w:tr2bl w:val="nil"/>
            </w:tcBorders>
            <w:noWrap/>
            <w:textDirection w:val="lrTb"/>
            <w:vAlign w:val="center"/>
          </w:tcPr>
          <w:p w:rsidR="00E11416" w:rsidRPr="00E11416" w:rsidP="00E11416">
            <w:pPr>
              <w:spacing w:line="240" w:lineRule="auto"/>
              <w:jc w:val="right"/>
              <w:rPr>
                <w:rFonts w:ascii="Arial Narrow" w:hAnsi="Arial Narrow" w:cs="Arial"/>
                <w:lang w:eastAsia="sk-SK"/>
              </w:rPr>
            </w:pPr>
            <w:r w:rsidRPr="00E11416">
              <w:rPr>
                <w:rFonts w:ascii="Arial Narrow" w:hAnsi="Arial Narrow" w:cs="Arial"/>
                <w:lang w:eastAsia="sk-SK"/>
              </w:rPr>
              <w:t>1 559 557</w:t>
            </w:r>
          </w:p>
        </w:tc>
      </w:tr>
      <w:tr>
        <w:tblPrEx>
          <w:tblW w:w="9055" w:type="dxa"/>
          <w:tblInd w:w="55" w:type="dxa"/>
          <w:tblCellMar>
            <w:left w:w="70" w:type="dxa"/>
            <w:right w:w="70" w:type="dxa"/>
          </w:tblCellMar>
        </w:tblPrEx>
        <w:trPr>
          <w:trHeight w:hRule="exact" w:val="284"/>
        </w:trPr>
        <w:tc>
          <w:tcPr>
            <w:tcW w:w="4335" w:type="dxa"/>
            <w:tcBorders>
              <w:top w:val="nil"/>
              <w:left w:val="single" w:sz="4" w:space="0" w:color="auto"/>
              <w:bottom w:val="single" w:sz="4" w:space="0" w:color="auto"/>
              <w:right w:val="single" w:sz="4" w:space="0" w:color="auto"/>
              <w:tl2br w:val="nil"/>
              <w:tr2bl w:val="nil"/>
            </w:tcBorders>
            <w:noWrap/>
            <w:textDirection w:val="lrTb"/>
            <w:vAlign w:val="center"/>
          </w:tcPr>
          <w:p w:rsidR="00E11416" w:rsidRPr="00E11416" w:rsidP="00E11416">
            <w:pPr>
              <w:spacing w:line="240" w:lineRule="auto"/>
              <w:rPr>
                <w:rFonts w:ascii="Arial Narrow" w:hAnsi="Arial Narrow" w:cs="Arial"/>
                <w:b/>
                <w:bCs/>
                <w:lang w:eastAsia="sk-SK"/>
              </w:rPr>
            </w:pPr>
            <w:r w:rsidRPr="00E11416">
              <w:rPr>
                <w:rFonts w:ascii="Arial Narrow" w:hAnsi="Arial Narrow" w:cs="Arial"/>
                <w:b/>
                <w:bCs/>
                <w:lang w:eastAsia="sk-SK"/>
              </w:rPr>
              <w:t>Záväzky</w:t>
            </w:r>
          </w:p>
        </w:tc>
        <w:tc>
          <w:tcPr>
            <w:tcW w:w="1720" w:type="dxa"/>
            <w:tcBorders>
              <w:top w:val="nil"/>
              <w:left w:val="nil"/>
              <w:bottom w:val="single" w:sz="4" w:space="0" w:color="auto"/>
              <w:right w:val="single" w:sz="4" w:space="0" w:color="auto"/>
              <w:tl2br w:val="nil"/>
              <w:tr2bl w:val="nil"/>
            </w:tcBorders>
            <w:noWrap/>
            <w:textDirection w:val="lrTb"/>
            <w:vAlign w:val="center"/>
          </w:tcPr>
          <w:p w:rsidR="00E11416" w:rsidRPr="00E11416" w:rsidP="00E11416">
            <w:pPr>
              <w:spacing w:line="240" w:lineRule="auto"/>
              <w:jc w:val="right"/>
              <w:rPr>
                <w:rFonts w:ascii="Arial Narrow" w:hAnsi="Arial Narrow" w:cs="Arial"/>
                <w:b/>
                <w:bCs/>
                <w:lang w:eastAsia="sk-SK"/>
              </w:rPr>
            </w:pPr>
            <w:r w:rsidRPr="00E11416">
              <w:rPr>
                <w:rFonts w:ascii="Arial Narrow" w:hAnsi="Arial Narrow" w:cs="Arial"/>
                <w:b/>
                <w:bCs/>
                <w:lang w:eastAsia="sk-SK"/>
              </w:rPr>
              <w:t>10 548 781</w:t>
            </w:r>
          </w:p>
        </w:tc>
        <w:tc>
          <w:tcPr>
            <w:tcW w:w="1460" w:type="dxa"/>
            <w:tcBorders>
              <w:top w:val="nil"/>
              <w:left w:val="nil"/>
              <w:bottom w:val="single" w:sz="4" w:space="0" w:color="auto"/>
              <w:right w:val="single" w:sz="4" w:space="0" w:color="auto"/>
              <w:tl2br w:val="nil"/>
              <w:tr2bl w:val="nil"/>
            </w:tcBorders>
            <w:noWrap/>
            <w:textDirection w:val="lrTb"/>
            <w:vAlign w:val="center"/>
          </w:tcPr>
          <w:p w:rsidR="00E11416" w:rsidRPr="00E11416" w:rsidP="00E11416">
            <w:pPr>
              <w:spacing w:line="240" w:lineRule="auto"/>
              <w:jc w:val="right"/>
              <w:rPr>
                <w:rFonts w:ascii="Arial Narrow" w:hAnsi="Arial Narrow" w:cs="Arial"/>
                <w:b/>
                <w:bCs/>
                <w:lang w:eastAsia="sk-SK"/>
              </w:rPr>
            </w:pPr>
            <w:r w:rsidRPr="00E11416">
              <w:rPr>
                <w:rFonts w:ascii="Arial Narrow" w:hAnsi="Arial Narrow" w:cs="Arial"/>
                <w:b/>
                <w:bCs/>
                <w:lang w:eastAsia="sk-SK"/>
              </w:rPr>
              <w:t>10 341 214</w:t>
            </w:r>
          </w:p>
        </w:tc>
        <w:tc>
          <w:tcPr>
            <w:tcW w:w="1540" w:type="dxa"/>
            <w:tcBorders>
              <w:top w:val="nil"/>
              <w:left w:val="nil"/>
              <w:bottom w:val="single" w:sz="4" w:space="0" w:color="auto"/>
              <w:right w:val="single" w:sz="4" w:space="0" w:color="auto"/>
              <w:tl2br w:val="nil"/>
              <w:tr2bl w:val="nil"/>
            </w:tcBorders>
            <w:noWrap/>
            <w:textDirection w:val="lrTb"/>
            <w:vAlign w:val="center"/>
          </w:tcPr>
          <w:p w:rsidR="00E11416" w:rsidRPr="00E11416" w:rsidP="00E11416">
            <w:pPr>
              <w:spacing w:line="240" w:lineRule="auto"/>
              <w:jc w:val="right"/>
              <w:rPr>
                <w:rFonts w:ascii="Arial Narrow" w:hAnsi="Arial Narrow" w:cs="Arial"/>
                <w:b/>
                <w:bCs/>
                <w:lang w:eastAsia="sk-SK"/>
              </w:rPr>
            </w:pPr>
            <w:r w:rsidRPr="00E11416">
              <w:rPr>
                <w:rFonts w:ascii="Arial Narrow" w:hAnsi="Arial Narrow" w:cs="Arial"/>
                <w:b/>
                <w:bCs/>
                <w:lang w:eastAsia="sk-SK"/>
              </w:rPr>
              <w:t>-207 567</w:t>
            </w:r>
          </w:p>
        </w:tc>
      </w:tr>
      <w:tr>
        <w:tblPrEx>
          <w:tblW w:w="9055" w:type="dxa"/>
          <w:tblInd w:w="55" w:type="dxa"/>
          <w:tblCellMar>
            <w:left w:w="70" w:type="dxa"/>
            <w:right w:w="70" w:type="dxa"/>
          </w:tblCellMar>
        </w:tblPrEx>
        <w:trPr>
          <w:trHeight w:hRule="exact" w:val="284"/>
        </w:trPr>
        <w:tc>
          <w:tcPr>
            <w:tcW w:w="4335" w:type="dxa"/>
            <w:tcBorders>
              <w:top w:val="nil"/>
              <w:left w:val="single" w:sz="4" w:space="0" w:color="auto"/>
              <w:bottom w:val="single" w:sz="4" w:space="0" w:color="auto"/>
              <w:right w:val="single" w:sz="4" w:space="0" w:color="auto"/>
              <w:tl2br w:val="nil"/>
              <w:tr2bl w:val="nil"/>
            </w:tcBorders>
            <w:noWrap/>
            <w:textDirection w:val="lrTb"/>
            <w:vAlign w:val="center"/>
          </w:tcPr>
          <w:p w:rsidR="00E11416" w:rsidRPr="00E11416" w:rsidP="00E11416">
            <w:pPr>
              <w:spacing w:line="240" w:lineRule="auto"/>
              <w:rPr>
                <w:rFonts w:ascii="Arial Narrow" w:hAnsi="Arial Narrow" w:cs="Arial"/>
                <w:lang w:eastAsia="sk-SK"/>
              </w:rPr>
            </w:pPr>
            <w:r w:rsidRPr="00E11416">
              <w:rPr>
                <w:rFonts w:ascii="Arial Narrow" w:hAnsi="Arial Narrow" w:cs="Arial"/>
                <w:lang w:eastAsia="sk-SK"/>
              </w:rPr>
              <w:t>Rezervy</w:t>
            </w:r>
          </w:p>
        </w:tc>
        <w:tc>
          <w:tcPr>
            <w:tcW w:w="1720" w:type="dxa"/>
            <w:tcBorders>
              <w:top w:val="nil"/>
              <w:left w:val="nil"/>
              <w:bottom w:val="single" w:sz="4" w:space="0" w:color="auto"/>
              <w:right w:val="single" w:sz="4" w:space="0" w:color="auto"/>
              <w:tl2br w:val="nil"/>
              <w:tr2bl w:val="nil"/>
            </w:tcBorders>
            <w:noWrap/>
            <w:textDirection w:val="lrTb"/>
            <w:vAlign w:val="center"/>
          </w:tcPr>
          <w:p w:rsidR="00E11416" w:rsidRPr="00E11416" w:rsidP="00E11416">
            <w:pPr>
              <w:spacing w:line="240" w:lineRule="auto"/>
              <w:jc w:val="right"/>
              <w:rPr>
                <w:rFonts w:ascii="Arial Narrow" w:hAnsi="Arial Narrow" w:cs="Arial"/>
                <w:lang w:eastAsia="sk-SK"/>
              </w:rPr>
            </w:pPr>
            <w:r w:rsidRPr="00E11416">
              <w:rPr>
                <w:rFonts w:ascii="Arial Narrow" w:hAnsi="Arial Narrow" w:cs="Arial"/>
                <w:lang w:eastAsia="sk-SK"/>
              </w:rPr>
              <w:t>2 189 889</w:t>
            </w:r>
          </w:p>
        </w:tc>
        <w:tc>
          <w:tcPr>
            <w:tcW w:w="1460" w:type="dxa"/>
            <w:tcBorders>
              <w:top w:val="nil"/>
              <w:left w:val="nil"/>
              <w:bottom w:val="single" w:sz="4" w:space="0" w:color="auto"/>
              <w:right w:val="single" w:sz="4" w:space="0" w:color="auto"/>
              <w:tl2br w:val="nil"/>
              <w:tr2bl w:val="nil"/>
            </w:tcBorders>
            <w:noWrap/>
            <w:textDirection w:val="lrTb"/>
            <w:vAlign w:val="center"/>
          </w:tcPr>
          <w:p w:rsidR="00E11416" w:rsidRPr="00E11416" w:rsidP="00E11416">
            <w:pPr>
              <w:spacing w:line="240" w:lineRule="auto"/>
              <w:jc w:val="right"/>
              <w:rPr>
                <w:rFonts w:ascii="Arial Narrow" w:hAnsi="Arial Narrow" w:cs="Arial"/>
                <w:lang w:eastAsia="sk-SK"/>
              </w:rPr>
            </w:pPr>
            <w:r w:rsidRPr="00E11416">
              <w:rPr>
                <w:rFonts w:ascii="Arial Narrow" w:hAnsi="Arial Narrow" w:cs="Arial"/>
                <w:lang w:eastAsia="sk-SK"/>
              </w:rPr>
              <w:t>2 164 852</w:t>
            </w:r>
          </w:p>
        </w:tc>
        <w:tc>
          <w:tcPr>
            <w:tcW w:w="1540" w:type="dxa"/>
            <w:tcBorders>
              <w:top w:val="nil"/>
              <w:left w:val="nil"/>
              <w:bottom w:val="single" w:sz="4" w:space="0" w:color="auto"/>
              <w:right w:val="single" w:sz="4" w:space="0" w:color="auto"/>
              <w:tl2br w:val="nil"/>
              <w:tr2bl w:val="nil"/>
            </w:tcBorders>
            <w:noWrap/>
            <w:textDirection w:val="lrTb"/>
            <w:vAlign w:val="center"/>
          </w:tcPr>
          <w:p w:rsidR="00E11416" w:rsidRPr="00E11416" w:rsidP="00E11416">
            <w:pPr>
              <w:spacing w:line="240" w:lineRule="auto"/>
              <w:jc w:val="right"/>
              <w:rPr>
                <w:rFonts w:ascii="Arial Narrow" w:hAnsi="Arial Narrow" w:cs="Arial"/>
                <w:lang w:eastAsia="sk-SK"/>
              </w:rPr>
            </w:pPr>
            <w:r w:rsidRPr="00E11416">
              <w:rPr>
                <w:rFonts w:ascii="Arial Narrow" w:hAnsi="Arial Narrow" w:cs="Arial"/>
                <w:lang w:eastAsia="sk-SK"/>
              </w:rPr>
              <w:t>-25 037</w:t>
            </w:r>
          </w:p>
        </w:tc>
      </w:tr>
      <w:tr>
        <w:tblPrEx>
          <w:tblW w:w="9055" w:type="dxa"/>
          <w:tblInd w:w="55" w:type="dxa"/>
          <w:tblCellMar>
            <w:left w:w="70" w:type="dxa"/>
            <w:right w:w="70" w:type="dxa"/>
          </w:tblCellMar>
        </w:tblPrEx>
        <w:trPr>
          <w:trHeight w:hRule="exact" w:val="284"/>
        </w:trPr>
        <w:tc>
          <w:tcPr>
            <w:tcW w:w="9055" w:type="dxa"/>
            <w:gridSpan w:val="4"/>
            <w:tcBorders>
              <w:top w:val="single" w:sz="4" w:space="0" w:color="auto"/>
              <w:left w:val="single" w:sz="4" w:space="0" w:color="auto"/>
              <w:bottom w:val="single" w:sz="4" w:space="0" w:color="auto"/>
              <w:right w:val="single" w:sz="4" w:space="0" w:color="000000"/>
              <w:tl2br w:val="nil"/>
              <w:tr2bl w:val="nil"/>
            </w:tcBorders>
            <w:textDirection w:val="lrTb"/>
            <w:vAlign w:val="center"/>
          </w:tcPr>
          <w:p w:rsidR="00E11416" w:rsidRPr="00E11416" w:rsidP="00E11416">
            <w:pPr>
              <w:spacing w:line="240" w:lineRule="auto"/>
              <w:rPr>
                <w:rFonts w:ascii="Arial Narrow" w:hAnsi="Arial Narrow" w:cs="Arial"/>
                <w:b/>
                <w:bCs/>
                <w:i/>
                <w:iCs/>
                <w:lang w:eastAsia="sk-SK"/>
              </w:rPr>
            </w:pPr>
            <w:r w:rsidRPr="00607A12">
              <w:rPr>
                <w:rFonts w:ascii="Arial Narrow" w:hAnsi="Arial Narrow" w:cs="Arial"/>
                <w:bCs/>
                <w:i/>
                <w:iCs/>
                <w:lang w:eastAsia="sk-SK"/>
              </w:rPr>
              <w:t>Komentár</w:t>
            </w:r>
            <w:r w:rsidRPr="00607A12">
              <w:rPr>
                <w:rFonts w:ascii="Arial Narrow" w:hAnsi="Arial Narrow" w:cs="Arial"/>
                <w:i/>
                <w:iCs/>
                <w:lang w:eastAsia="sk-SK"/>
              </w:rPr>
              <w:t>: Pokles</w:t>
            </w:r>
            <w:r w:rsidRPr="00E11416">
              <w:rPr>
                <w:rFonts w:ascii="Arial Narrow" w:hAnsi="Arial Narrow" w:cs="Arial"/>
                <w:i/>
                <w:iCs/>
                <w:lang w:eastAsia="sk-SK"/>
              </w:rPr>
              <w:t xml:space="preserve"> spôsobený najmä nižšou tvorbou rezerv na zamestnanecké pôžitky.</w:t>
            </w:r>
          </w:p>
        </w:tc>
      </w:tr>
      <w:tr>
        <w:tblPrEx>
          <w:tblW w:w="9055" w:type="dxa"/>
          <w:tblInd w:w="55" w:type="dxa"/>
          <w:tblCellMar>
            <w:left w:w="70" w:type="dxa"/>
            <w:right w:w="70" w:type="dxa"/>
          </w:tblCellMar>
        </w:tblPrEx>
        <w:trPr>
          <w:trHeight w:hRule="exact" w:val="284"/>
        </w:trPr>
        <w:tc>
          <w:tcPr>
            <w:tcW w:w="4335"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E11416" w:rsidRPr="00E11416" w:rsidP="00E11416">
            <w:pPr>
              <w:spacing w:line="240" w:lineRule="auto"/>
              <w:rPr>
                <w:rFonts w:ascii="Arial Narrow" w:hAnsi="Arial Narrow" w:cs="Arial"/>
                <w:lang w:eastAsia="sk-SK"/>
              </w:rPr>
            </w:pPr>
            <w:r w:rsidRPr="00E11416">
              <w:rPr>
                <w:rFonts w:ascii="Arial Narrow" w:hAnsi="Arial Narrow" w:cs="Arial"/>
                <w:lang w:eastAsia="sk-SK"/>
              </w:rPr>
              <w:t>Dlhodobé záväzky</w:t>
            </w:r>
          </w:p>
        </w:tc>
        <w:tc>
          <w:tcPr>
            <w:tcW w:w="1720" w:type="dxa"/>
            <w:tcBorders>
              <w:top w:val="single" w:sz="4" w:space="0" w:color="auto"/>
              <w:left w:val="nil"/>
              <w:bottom w:val="single" w:sz="4" w:space="0" w:color="auto"/>
              <w:right w:val="single" w:sz="4" w:space="0" w:color="auto"/>
              <w:tl2br w:val="nil"/>
              <w:tr2bl w:val="nil"/>
            </w:tcBorders>
            <w:noWrap/>
            <w:textDirection w:val="lrTb"/>
            <w:vAlign w:val="center"/>
          </w:tcPr>
          <w:p w:rsidR="00E11416" w:rsidRPr="00E11416" w:rsidP="00E11416">
            <w:pPr>
              <w:spacing w:line="240" w:lineRule="auto"/>
              <w:jc w:val="right"/>
              <w:rPr>
                <w:rFonts w:ascii="Arial Narrow" w:hAnsi="Arial Narrow" w:cs="Arial"/>
                <w:lang w:eastAsia="sk-SK"/>
              </w:rPr>
            </w:pPr>
            <w:r w:rsidRPr="00E11416">
              <w:rPr>
                <w:rFonts w:ascii="Arial Narrow" w:hAnsi="Arial Narrow" w:cs="Arial"/>
                <w:lang w:eastAsia="sk-SK"/>
              </w:rPr>
              <w:t>1 016 872</w:t>
            </w:r>
          </w:p>
        </w:tc>
        <w:tc>
          <w:tcPr>
            <w:tcW w:w="1460" w:type="dxa"/>
            <w:tcBorders>
              <w:top w:val="single" w:sz="4" w:space="0" w:color="auto"/>
              <w:left w:val="nil"/>
              <w:bottom w:val="single" w:sz="4" w:space="0" w:color="auto"/>
              <w:right w:val="single" w:sz="4" w:space="0" w:color="auto"/>
              <w:tl2br w:val="nil"/>
              <w:tr2bl w:val="nil"/>
            </w:tcBorders>
            <w:noWrap/>
            <w:textDirection w:val="lrTb"/>
            <w:vAlign w:val="center"/>
          </w:tcPr>
          <w:p w:rsidR="00E11416" w:rsidRPr="00E11416" w:rsidP="00E11416">
            <w:pPr>
              <w:spacing w:line="240" w:lineRule="auto"/>
              <w:jc w:val="right"/>
              <w:rPr>
                <w:rFonts w:ascii="Arial Narrow" w:hAnsi="Arial Narrow" w:cs="Arial"/>
                <w:lang w:eastAsia="sk-SK"/>
              </w:rPr>
            </w:pPr>
            <w:r w:rsidRPr="00E11416">
              <w:rPr>
                <w:rFonts w:ascii="Arial Narrow" w:hAnsi="Arial Narrow" w:cs="Arial"/>
                <w:lang w:eastAsia="sk-SK"/>
              </w:rPr>
              <w:t>726 803</w:t>
            </w:r>
          </w:p>
        </w:tc>
        <w:tc>
          <w:tcPr>
            <w:tcW w:w="1540" w:type="dxa"/>
            <w:tcBorders>
              <w:top w:val="single" w:sz="4" w:space="0" w:color="auto"/>
              <w:left w:val="nil"/>
              <w:bottom w:val="single" w:sz="4" w:space="0" w:color="auto"/>
              <w:right w:val="single" w:sz="4" w:space="0" w:color="auto"/>
              <w:tl2br w:val="nil"/>
              <w:tr2bl w:val="nil"/>
            </w:tcBorders>
            <w:noWrap/>
            <w:textDirection w:val="lrTb"/>
            <w:vAlign w:val="center"/>
          </w:tcPr>
          <w:p w:rsidR="00E11416" w:rsidRPr="00E11416" w:rsidP="00E11416">
            <w:pPr>
              <w:spacing w:line="240" w:lineRule="auto"/>
              <w:jc w:val="right"/>
              <w:rPr>
                <w:rFonts w:ascii="Arial Narrow" w:hAnsi="Arial Narrow" w:cs="Arial"/>
                <w:lang w:eastAsia="sk-SK"/>
              </w:rPr>
            </w:pPr>
            <w:r w:rsidRPr="00E11416">
              <w:rPr>
                <w:rFonts w:ascii="Arial Narrow" w:hAnsi="Arial Narrow" w:cs="Arial"/>
                <w:lang w:eastAsia="sk-SK"/>
              </w:rPr>
              <w:t>-290 069</w:t>
            </w:r>
          </w:p>
        </w:tc>
      </w:tr>
      <w:tr>
        <w:tblPrEx>
          <w:tblW w:w="9055" w:type="dxa"/>
          <w:tblInd w:w="55" w:type="dxa"/>
          <w:tblCellMar>
            <w:left w:w="70" w:type="dxa"/>
            <w:right w:w="70" w:type="dxa"/>
          </w:tblCellMar>
        </w:tblPrEx>
        <w:trPr>
          <w:trHeight w:val="510"/>
        </w:trPr>
        <w:tc>
          <w:tcPr>
            <w:tcW w:w="9055" w:type="dxa"/>
            <w:gridSpan w:val="4"/>
            <w:tcBorders>
              <w:top w:val="single" w:sz="4" w:space="0" w:color="auto"/>
              <w:left w:val="single" w:sz="4" w:space="0" w:color="auto"/>
              <w:bottom w:val="single" w:sz="4" w:space="0" w:color="auto"/>
              <w:right w:val="single" w:sz="4" w:space="0" w:color="000000"/>
              <w:tl2br w:val="nil"/>
              <w:tr2bl w:val="nil"/>
            </w:tcBorders>
            <w:textDirection w:val="lrTb"/>
            <w:vAlign w:val="center"/>
          </w:tcPr>
          <w:p w:rsidR="00E11416" w:rsidRPr="00E11416" w:rsidP="00E11416">
            <w:pPr>
              <w:spacing w:line="240" w:lineRule="auto"/>
              <w:rPr>
                <w:rFonts w:ascii="Arial Narrow" w:hAnsi="Arial Narrow" w:cs="Arial"/>
                <w:b/>
                <w:bCs/>
                <w:i/>
                <w:iCs/>
                <w:lang w:eastAsia="sk-SK"/>
              </w:rPr>
            </w:pPr>
            <w:r w:rsidRPr="00607A12">
              <w:rPr>
                <w:rFonts w:ascii="Arial Narrow" w:hAnsi="Arial Narrow" w:cs="Arial"/>
                <w:bCs/>
                <w:i/>
                <w:iCs/>
                <w:lang w:eastAsia="sk-SK"/>
              </w:rPr>
              <w:t xml:space="preserve">Komentár: </w:t>
            </w:r>
            <w:r w:rsidRPr="00607A12">
              <w:rPr>
                <w:rFonts w:ascii="Arial Narrow" w:hAnsi="Arial Narrow" w:cs="Arial"/>
                <w:i/>
                <w:iCs/>
                <w:lang w:eastAsia="sk-SK"/>
              </w:rPr>
              <w:t>Pokles</w:t>
            </w:r>
            <w:r w:rsidRPr="00E11416">
              <w:rPr>
                <w:rFonts w:ascii="Arial Narrow" w:hAnsi="Arial Narrow" w:cs="Arial"/>
                <w:i/>
                <w:iCs/>
                <w:lang w:eastAsia="sk-SK"/>
              </w:rPr>
              <w:t xml:space="preserve"> spôsobený najmä poklesom dlhodobých finančných výpomocí o -284,8 mil.Sk, zvyšok sú záväzky zo sociálneho fondu.</w:t>
            </w:r>
          </w:p>
        </w:tc>
      </w:tr>
      <w:tr>
        <w:tblPrEx>
          <w:tblW w:w="9055" w:type="dxa"/>
          <w:tblInd w:w="55" w:type="dxa"/>
          <w:tblCellMar>
            <w:left w:w="70" w:type="dxa"/>
            <w:right w:w="70" w:type="dxa"/>
          </w:tblCellMar>
        </w:tblPrEx>
        <w:trPr>
          <w:trHeight w:hRule="exact" w:val="284"/>
        </w:trPr>
        <w:tc>
          <w:tcPr>
            <w:tcW w:w="4335" w:type="dxa"/>
            <w:tcBorders>
              <w:top w:val="nil"/>
              <w:left w:val="single" w:sz="4" w:space="0" w:color="auto"/>
              <w:bottom w:val="single" w:sz="4" w:space="0" w:color="auto"/>
              <w:right w:val="single" w:sz="4" w:space="0" w:color="auto"/>
              <w:tl2br w:val="nil"/>
              <w:tr2bl w:val="nil"/>
            </w:tcBorders>
            <w:noWrap/>
            <w:textDirection w:val="lrTb"/>
            <w:vAlign w:val="center"/>
          </w:tcPr>
          <w:p w:rsidR="00E11416" w:rsidRPr="00E11416" w:rsidP="00E11416">
            <w:pPr>
              <w:spacing w:line="240" w:lineRule="auto"/>
              <w:rPr>
                <w:rFonts w:ascii="Arial Narrow" w:hAnsi="Arial Narrow" w:cs="Arial"/>
                <w:lang w:eastAsia="sk-SK"/>
              </w:rPr>
            </w:pPr>
            <w:r w:rsidRPr="00E11416">
              <w:rPr>
                <w:rFonts w:ascii="Arial Narrow" w:hAnsi="Arial Narrow" w:cs="Arial"/>
                <w:lang w:eastAsia="sk-SK"/>
              </w:rPr>
              <w:t>Krátkodobé záväzky</w:t>
            </w:r>
          </w:p>
        </w:tc>
        <w:tc>
          <w:tcPr>
            <w:tcW w:w="1720" w:type="dxa"/>
            <w:tcBorders>
              <w:top w:val="nil"/>
              <w:left w:val="nil"/>
              <w:bottom w:val="single" w:sz="4" w:space="0" w:color="auto"/>
              <w:right w:val="single" w:sz="4" w:space="0" w:color="auto"/>
              <w:tl2br w:val="nil"/>
              <w:tr2bl w:val="nil"/>
            </w:tcBorders>
            <w:noWrap/>
            <w:textDirection w:val="lrTb"/>
            <w:vAlign w:val="center"/>
          </w:tcPr>
          <w:p w:rsidR="00E11416" w:rsidRPr="00E11416" w:rsidP="00E11416">
            <w:pPr>
              <w:spacing w:line="240" w:lineRule="auto"/>
              <w:jc w:val="right"/>
              <w:rPr>
                <w:rFonts w:ascii="Arial Narrow" w:hAnsi="Arial Narrow" w:cs="Arial"/>
                <w:lang w:eastAsia="sk-SK"/>
              </w:rPr>
            </w:pPr>
            <w:r w:rsidRPr="00E11416">
              <w:rPr>
                <w:rFonts w:ascii="Arial Narrow" w:hAnsi="Arial Narrow" w:cs="Arial"/>
                <w:lang w:eastAsia="sk-SK"/>
              </w:rPr>
              <w:t>2 668 307</w:t>
            </w:r>
          </w:p>
        </w:tc>
        <w:tc>
          <w:tcPr>
            <w:tcW w:w="1460" w:type="dxa"/>
            <w:tcBorders>
              <w:top w:val="nil"/>
              <w:left w:val="nil"/>
              <w:bottom w:val="single" w:sz="4" w:space="0" w:color="auto"/>
              <w:right w:val="single" w:sz="4" w:space="0" w:color="auto"/>
              <w:tl2br w:val="nil"/>
              <w:tr2bl w:val="nil"/>
            </w:tcBorders>
            <w:noWrap/>
            <w:textDirection w:val="lrTb"/>
            <w:vAlign w:val="center"/>
          </w:tcPr>
          <w:p w:rsidR="00E11416" w:rsidRPr="00E11416" w:rsidP="00E11416">
            <w:pPr>
              <w:spacing w:line="240" w:lineRule="auto"/>
              <w:jc w:val="right"/>
              <w:rPr>
                <w:rFonts w:ascii="Arial Narrow" w:hAnsi="Arial Narrow" w:cs="Arial"/>
                <w:lang w:eastAsia="sk-SK"/>
              </w:rPr>
            </w:pPr>
            <w:r w:rsidRPr="00E11416">
              <w:rPr>
                <w:rFonts w:ascii="Arial Narrow" w:hAnsi="Arial Narrow" w:cs="Arial"/>
                <w:lang w:eastAsia="sk-SK"/>
              </w:rPr>
              <w:t>2 668</w:t>
            </w:r>
            <w:r w:rsidR="00EF0282">
              <w:rPr>
                <w:rFonts w:ascii="Arial Narrow" w:hAnsi="Arial Narrow" w:cs="Arial"/>
                <w:lang w:eastAsia="sk-SK"/>
              </w:rPr>
              <w:t> </w:t>
            </w:r>
            <w:r w:rsidRPr="00E11416">
              <w:rPr>
                <w:rFonts w:ascii="Arial Narrow" w:hAnsi="Arial Narrow" w:cs="Arial"/>
                <w:lang w:eastAsia="sk-SK"/>
              </w:rPr>
              <w:t>369</w:t>
            </w:r>
          </w:p>
        </w:tc>
        <w:tc>
          <w:tcPr>
            <w:tcW w:w="1540" w:type="dxa"/>
            <w:tcBorders>
              <w:top w:val="nil"/>
              <w:left w:val="nil"/>
              <w:bottom w:val="single" w:sz="4" w:space="0" w:color="auto"/>
              <w:right w:val="single" w:sz="4" w:space="0" w:color="auto"/>
              <w:tl2br w:val="nil"/>
              <w:tr2bl w:val="nil"/>
            </w:tcBorders>
            <w:noWrap/>
            <w:textDirection w:val="lrTb"/>
            <w:vAlign w:val="center"/>
          </w:tcPr>
          <w:p w:rsidR="00E11416" w:rsidRPr="00E11416" w:rsidP="00E11416">
            <w:pPr>
              <w:spacing w:line="240" w:lineRule="auto"/>
              <w:jc w:val="right"/>
              <w:rPr>
                <w:rFonts w:ascii="Arial Narrow" w:hAnsi="Arial Narrow" w:cs="Arial"/>
                <w:lang w:eastAsia="sk-SK"/>
              </w:rPr>
            </w:pPr>
            <w:r w:rsidRPr="00E11416">
              <w:rPr>
                <w:rFonts w:ascii="Arial Narrow" w:hAnsi="Arial Narrow" w:cs="Arial"/>
                <w:lang w:eastAsia="sk-SK"/>
              </w:rPr>
              <w:t>62</w:t>
            </w:r>
          </w:p>
        </w:tc>
      </w:tr>
      <w:tr>
        <w:tblPrEx>
          <w:tblW w:w="9055" w:type="dxa"/>
          <w:tblInd w:w="55" w:type="dxa"/>
          <w:tblCellMar>
            <w:left w:w="70" w:type="dxa"/>
            <w:right w:w="70" w:type="dxa"/>
          </w:tblCellMar>
        </w:tblPrEx>
        <w:trPr>
          <w:trHeight w:hRule="exact" w:val="737"/>
        </w:trPr>
        <w:tc>
          <w:tcPr>
            <w:tcW w:w="9055" w:type="dxa"/>
            <w:gridSpan w:val="4"/>
            <w:tcBorders>
              <w:top w:val="single" w:sz="4" w:space="0" w:color="auto"/>
              <w:left w:val="single" w:sz="4" w:space="0" w:color="auto"/>
              <w:bottom w:val="single" w:sz="4" w:space="0" w:color="auto"/>
              <w:right w:val="single" w:sz="4" w:space="0" w:color="000000"/>
              <w:tl2br w:val="nil"/>
              <w:tr2bl w:val="nil"/>
            </w:tcBorders>
            <w:textDirection w:val="lrTb"/>
            <w:vAlign w:val="center"/>
          </w:tcPr>
          <w:p w:rsidR="00E11416" w:rsidRPr="00E11416" w:rsidP="00E11416">
            <w:pPr>
              <w:spacing w:line="240" w:lineRule="auto"/>
              <w:rPr>
                <w:rFonts w:ascii="Arial Narrow" w:hAnsi="Arial Narrow" w:cs="Arial"/>
                <w:b/>
                <w:bCs/>
                <w:i/>
                <w:iCs/>
                <w:lang w:eastAsia="sk-SK"/>
              </w:rPr>
            </w:pPr>
            <w:r w:rsidRPr="00607A12">
              <w:rPr>
                <w:rFonts w:ascii="Arial Narrow" w:hAnsi="Arial Narrow" w:cs="Arial"/>
                <w:bCs/>
                <w:i/>
                <w:iCs/>
                <w:lang w:eastAsia="sk-SK"/>
              </w:rPr>
              <w:t>Komentár:</w:t>
            </w:r>
            <w:r w:rsidRPr="00607A12">
              <w:rPr>
                <w:rFonts w:ascii="Arial Narrow" w:hAnsi="Arial Narrow" w:cs="Arial"/>
                <w:i/>
                <w:iCs/>
                <w:lang w:eastAsia="sk-SK"/>
              </w:rPr>
              <w:t xml:space="preserve"> Vzrástli</w:t>
            </w:r>
            <w:r w:rsidRPr="00E11416">
              <w:rPr>
                <w:rFonts w:ascii="Arial Narrow" w:hAnsi="Arial Narrow" w:cs="Arial"/>
                <w:i/>
                <w:iCs/>
                <w:lang w:eastAsia="sk-SK"/>
              </w:rPr>
              <w:t xml:space="preserve"> záväzky z obchodného styku o +217,7 mil.Sk a záväzky zo sociálneho zabezpečenia o +16,2 mil.Sk. Oproti tomu poklesli nevyfakturované dodávky o -103,3 mil.Sk, daňové záväzky o -1,7 mil.Sk a ostatné záväzky o -119,7 mil. Sk (finančné výpomoci z hľadiska doby splatnosti krátkodobé).</w:t>
            </w:r>
          </w:p>
        </w:tc>
      </w:tr>
      <w:tr>
        <w:tblPrEx>
          <w:tblW w:w="9055" w:type="dxa"/>
          <w:tblInd w:w="55" w:type="dxa"/>
          <w:tblCellMar>
            <w:left w:w="70" w:type="dxa"/>
            <w:right w:w="70" w:type="dxa"/>
          </w:tblCellMar>
        </w:tblPrEx>
        <w:trPr>
          <w:trHeight w:hRule="exact" w:val="284"/>
        </w:trPr>
        <w:tc>
          <w:tcPr>
            <w:tcW w:w="4335" w:type="dxa"/>
            <w:tcBorders>
              <w:top w:val="nil"/>
              <w:left w:val="single" w:sz="4" w:space="0" w:color="auto"/>
              <w:bottom w:val="single" w:sz="4" w:space="0" w:color="auto"/>
              <w:right w:val="single" w:sz="4" w:space="0" w:color="auto"/>
              <w:tl2br w:val="nil"/>
              <w:tr2bl w:val="nil"/>
            </w:tcBorders>
            <w:noWrap/>
            <w:textDirection w:val="lrTb"/>
            <w:vAlign w:val="center"/>
          </w:tcPr>
          <w:p w:rsidR="00E11416" w:rsidRPr="00E11416" w:rsidP="00E11416">
            <w:pPr>
              <w:spacing w:line="240" w:lineRule="auto"/>
              <w:rPr>
                <w:rFonts w:ascii="Arial Narrow" w:hAnsi="Arial Narrow" w:cs="Arial"/>
                <w:lang w:eastAsia="sk-SK"/>
              </w:rPr>
            </w:pPr>
            <w:r w:rsidRPr="00E11416">
              <w:rPr>
                <w:rFonts w:ascii="Arial Narrow" w:hAnsi="Arial Narrow" w:cs="Arial"/>
                <w:lang w:eastAsia="sk-SK"/>
              </w:rPr>
              <w:t>Bankové úvery a výpomoci</w:t>
            </w:r>
          </w:p>
        </w:tc>
        <w:tc>
          <w:tcPr>
            <w:tcW w:w="1720" w:type="dxa"/>
            <w:tcBorders>
              <w:top w:val="nil"/>
              <w:left w:val="nil"/>
              <w:bottom w:val="single" w:sz="4" w:space="0" w:color="auto"/>
              <w:right w:val="single" w:sz="4" w:space="0" w:color="auto"/>
              <w:tl2br w:val="nil"/>
              <w:tr2bl w:val="nil"/>
            </w:tcBorders>
            <w:noWrap/>
            <w:textDirection w:val="lrTb"/>
            <w:vAlign w:val="center"/>
          </w:tcPr>
          <w:p w:rsidR="00E11416" w:rsidRPr="00E11416" w:rsidP="00E11416">
            <w:pPr>
              <w:spacing w:line="240" w:lineRule="auto"/>
              <w:jc w:val="right"/>
              <w:rPr>
                <w:rFonts w:ascii="Arial Narrow" w:hAnsi="Arial Narrow" w:cs="Arial"/>
                <w:lang w:eastAsia="sk-SK"/>
              </w:rPr>
            </w:pPr>
            <w:r w:rsidRPr="00E11416">
              <w:rPr>
                <w:rFonts w:ascii="Arial Narrow" w:hAnsi="Arial Narrow" w:cs="Arial"/>
                <w:lang w:eastAsia="sk-SK"/>
              </w:rPr>
              <w:t>4 673 713</w:t>
            </w:r>
          </w:p>
        </w:tc>
        <w:tc>
          <w:tcPr>
            <w:tcW w:w="1460" w:type="dxa"/>
            <w:tcBorders>
              <w:top w:val="nil"/>
              <w:left w:val="nil"/>
              <w:bottom w:val="single" w:sz="4" w:space="0" w:color="auto"/>
              <w:right w:val="single" w:sz="4" w:space="0" w:color="auto"/>
              <w:tl2br w:val="nil"/>
              <w:tr2bl w:val="nil"/>
            </w:tcBorders>
            <w:noWrap/>
            <w:textDirection w:val="lrTb"/>
            <w:vAlign w:val="center"/>
          </w:tcPr>
          <w:p w:rsidR="00E11416" w:rsidRPr="00E11416" w:rsidP="00E11416">
            <w:pPr>
              <w:spacing w:line="240" w:lineRule="auto"/>
              <w:jc w:val="right"/>
              <w:rPr>
                <w:rFonts w:ascii="Arial Narrow" w:hAnsi="Arial Narrow" w:cs="Arial"/>
                <w:lang w:eastAsia="sk-SK"/>
              </w:rPr>
            </w:pPr>
            <w:r w:rsidRPr="00E11416">
              <w:rPr>
                <w:rFonts w:ascii="Arial Narrow" w:hAnsi="Arial Narrow" w:cs="Arial"/>
                <w:lang w:eastAsia="sk-SK"/>
              </w:rPr>
              <w:t>4 781 190</w:t>
            </w:r>
          </w:p>
        </w:tc>
        <w:tc>
          <w:tcPr>
            <w:tcW w:w="1540" w:type="dxa"/>
            <w:tcBorders>
              <w:top w:val="nil"/>
              <w:left w:val="nil"/>
              <w:bottom w:val="single" w:sz="4" w:space="0" w:color="auto"/>
              <w:right w:val="single" w:sz="4" w:space="0" w:color="auto"/>
              <w:tl2br w:val="nil"/>
              <w:tr2bl w:val="nil"/>
            </w:tcBorders>
            <w:noWrap/>
            <w:textDirection w:val="lrTb"/>
            <w:vAlign w:val="center"/>
          </w:tcPr>
          <w:p w:rsidR="00E11416" w:rsidRPr="00E11416" w:rsidP="00E11416">
            <w:pPr>
              <w:spacing w:line="240" w:lineRule="auto"/>
              <w:jc w:val="right"/>
              <w:rPr>
                <w:rFonts w:ascii="Arial Narrow" w:hAnsi="Arial Narrow" w:cs="Arial"/>
                <w:lang w:eastAsia="sk-SK"/>
              </w:rPr>
            </w:pPr>
            <w:r w:rsidRPr="00E11416">
              <w:rPr>
                <w:rFonts w:ascii="Arial Narrow" w:hAnsi="Arial Narrow" w:cs="Arial"/>
                <w:lang w:eastAsia="sk-SK"/>
              </w:rPr>
              <w:t>107 477</w:t>
            </w:r>
          </w:p>
        </w:tc>
      </w:tr>
      <w:tr>
        <w:tblPrEx>
          <w:tblW w:w="9055" w:type="dxa"/>
          <w:tblInd w:w="55" w:type="dxa"/>
          <w:tblCellMar>
            <w:left w:w="70" w:type="dxa"/>
            <w:right w:w="70" w:type="dxa"/>
          </w:tblCellMar>
        </w:tblPrEx>
        <w:trPr>
          <w:trHeight w:hRule="exact" w:val="510"/>
        </w:trPr>
        <w:tc>
          <w:tcPr>
            <w:tcW w:w="9055" w:type="dxa"/>
            <w:gridSpan w:val="4"/>
            <w:tcBorders>
              <w:top w:val="single" w:sz="4" w:space="0" w:color="auto"/>
              <w:left w:val="single" w:sz="4" w:space="0" w:color="auto"/>
              <w:bottom w:val="single" w:sz="4" w:space="0" w:color="auto"/>
              <w:right w:val="single" w:sz="4" w:space="0" w:color="000000"/>
              <w:tl2br w:val="nil"/>
              <w:tr2bl w:val="nil"/>
            </w:tcBorders>
            <w:textDirection w:val="lrTb"/>
            <w:vAlign w:val="center"/>
          </w:tcPr>
          <w:p w:rsidR="00E11416" w:rsidRPr="00E11416" w:rsidP="00E11416">
            <w:pPr>
              <w:spacing w:line="240" w:lineRule="auto"/>
              <w:rPr>
                <w:rFonts w:ascii="Arial Narrow" w:hAnsi="Arial Narrow" w:cs="Arial"/>
                <w:b/>
                <w:bCs/>
                <w:i/>
                <w:iCs/>
                <w:lang w:eastAsia="sk-SK"/>
              </w:rPr>
            </w:pPr>
            <w:r w:rsidRPr="00607A12">
              <w:rPr>
                <w:rFonts w:ascii="Arial Narrow" w:hAnsi="Arial Narrow" w:cs="Arial"/>
                <w:bCs/>
                <w:i/>
                <w:iCs/>
                <w:lang w:eastAsia="sk-SK"/>
              </w:rPr>
              <w:t xml:space="preserve">Komentár: </w:t>
            </w:r>
            <w:r w:rsidRPr="00607A12">
              <w:rPr>
                <w:rFonts w:ascii="Arial Narrow" w:hAnsi="Arial Narrow" w:cs="Arial"/>
                <w:i/>
                <w:iCs/>
                <w:lang w:eastAsia="sk-SK"/>
              </w:rPr>
              <w:t>Od z</w:t>
            </w:r>
            <w:r w:rsidRPr="00E11416">
              <w:rPr>
                <w:rFonts w:ascii="Arial Narrow" w:hAnsi="Arial Narrow" w:cs="Arial"/>
                <w:i/>
                <w:iCs/>
                <w:lang w:eastAsia="sk-SK"/>
              </w:rPr>
              <w:t>ačiatku roka došlo k poklesu dlhodobých bankových úverov o -269,8 mil. Sk a nárastu krátkodobých bežných bankových úverov o +377,3 mil.</w:t>
            </w:r>
            <w:r w:rsidR="00BC0B14">
              <w:rPr>
                <w:rFonts w:ascii="Arial Narrow" w:hAnsi="Arial Narrow" w:cs="Arial"/>
                <w:i/>
                <w:iCs/>
                <w:lang w:eastAsia="sk-SK"/>
              </w:rPr>
              <w:t xml:space="preserve"> </w:t>
            </w:r>
            <w:r w:rsidRPr="00E11416">
              <w:rPr>
                <w:rFonts w:ascii="Arial Narrow" w:hAnsi="Arial Narrow" w:cs="Arial"/>
                <w:i/>
                <w:iCs/>
                <w:lang w:eastAsia="sk-SK"/>
              </w:rPr>
              <w:t>Sk</w:t>
            </w:r>
            <w:r w:rsidR="00BC0B14">
              <w:rPr>
                <w:rFonts w:ascii="Arial Narrow" w:hAnsi="Arial Narrow" w:cs="Arial"/>
                <w:i/>
                <w:iCs/>
                <w:lang w:eastAsia="sk-SK"/>
              </w:rPr>
              <w:t>.</w:t>
            </w:r>
          </w:p>
        </w:tc>
      </w:tr>
      <w:tr>
        <w:tblPrEx>
          <w:tblW w:w="9055" w:type="dxa"/>
          <w:tblInd w:w="55" w:type="dxa"/>
          <w:tblCellMar>
            <w:left w:w="70" w:type="dxa"/>
            <w:right w:w="70" w:type="dxa"/>
          </w:tblCellMar>
        </w:tblPrEx>
        <w:trPr>
          <w:trHeight w:hRule="exact" w:val="284"/>
        </w:trPr>
        <w:tc>
          <w:tcPr>
            <w:tcW w:w="4335" w:type="dxa"/>
            <w:tcBorders>
              <w:top w:val="nil"/>
              <w:left w:val="single" w:sz="4" w:space="0" w:color="auto"/>
              <w:bottom w:val="single" w:sz="4" w:space="0" w:color="auto"/>
              <w:right w:val="single" w:sz="4" w:space="0" w:color="auto"/>
              <w:tl2br w:val="nil"/>
              <w:tr2bl w:val="nil"/>
            </w:tcBorders>
            <w:noWrap/>
            <w:textDirection w:val="lrTb"/>
            <w:vAlign w:val="center"/>
          </w:tcPr>
          <w:p w:rsidR="00E11416" w:rsidRPr="00E11416" w:rsidP="00E11416">
            <w:pPr>
              <w:spacing w:line="240" w:lineRule="auto"/>
              <w:rPr>
                <w:rFonts w:ascii="Arial Narrow" w:hAnsi="Arial Narrow" w:cs="Arial"/>
                <w:b/>
                <w:bCs/>
                <w:lang w:eastAsia="sk-SK"/>
              </w:rPr>
            </w:pPr>
            <w:r w:rsidRPr="00E11416">
              <w:rPr>
                <w:rFonts w:ascii="Arial Narrow" w:hAnsi="Arial Narrow" w:cs="Arial"/>
                <w:b/>
                <w:bCs/>
                <w:lang w:eastAsia="sk-SK"/>
              </w:rPr>
              <w:t>Časové rozlíšenie</w:t>
            </w:r>
          </w:p>
        </w:tc>
        <w:tc>
          <w:tcPr>
            <w:tcW w:w="1720" w:type="dxa"/>
            <w:tcBorders>
              <w:top w:val="nil"/>
              <w:left w:val="nil"/>
              <w:bottom w:val="single" w:sz="4" w:space="0" w:color="auto"/>
              <w:right w:val="single" w:sz="4" w:space="0" w:color="auto"/>
              <w:tl2br w:val="nil"/>
              <w:tr2bl w:val="nil"/>
            </w:tcBorders>
            <w:noWrap/>
            <w:textDirection w:val="lrTb"/>
            <w:vAlign w:val="center"/>
          </w:tcPr>
          <w:p w:rsidR="00E11416" w:rsidRPr="00E11416" w:rsidP="00E11416">
            <w:pPr>
              <w:spacing w:line="240" w:lineRule="auto"/>
              <w:jc w:val="right"/>
              <w:rPr>
                <w:rFonts w:ascii="Arial Narrow" w:hAnsi="Arial Narrow" w:cs="Arial"/>
                <w:b/>
                <w:bCs/>
                <w:lang w:eastAsia="sk-SK"/>
              </w:rPr>
            </w:pPr>
            <w:r w:rsidRPr="00E11416">
              <w:rPr>
                <w:rFonts w:ascii="Arial Narrow" w:hAnsi="Arial Narrow" w:cs="Arial"/>
                <w:b/>
                <w:bCs/>
                <w:lang w:eastAsia="sk-SK"/>
              </w:rPr>
              <w:t>53 187</w:t>
            </w:r>
          </w:p>
        </w:tc>
        <w:tc>
          <w:tcPr>
            <w:tcW w:w="1460" w:type="dxa"/>
            <w:tcBorders>
              <w:top w:val="nil"/>
              <w:left w:val="nil"/>
              <w:bottom w:val="single" w:sz="4" w:space="0" w:color="auto"/>
              <w:right w:val="single" w:sz="4" w:space="0" w:color="auto"/>
              <w:tl2br w:val="nil"/>
              <w:tr2bl w:val="nil"/>
            </w:tcBorders>
            <w:noWrap/>
            <w:textDirection w:val="lrTb"/>
            <w:vAlign w:val="center"/>
          </w:tcPr>
          <w:p w:rsidR="00E11416" w:rsidRPr="00E11416" w:rsidP="00E11416">
            <w:pPr>
              <w:spacing w:line="240" w:lineRule="auto"/>
              <w:jc w:val="right"/>
              <w:rPr>
                <w:rFonts w:ascii="Arial Narrow" w:hAnsi="Arial Narrow" w:cs="Arial"/>
                <w:b/>
                <w:bCs/>
                <w:lang w:eastAsia="sk-SK"/>
              </w:rPr>
            </w:pPr>
            <w:r w:rsidRPr="00E11416">
              <w:rPr>
                <w:rFonts w:ascii="Arial Narrow" w:hAnsi="Arial Narrow" w:cs="Arial"/>
                <w:b/>
                <w:bCs/>
                <w:lang w:eastAsia="sk-SK"/>
              </w:rPr>
              <w:t>55 373</w:t>
            </w:r>
          </w:p>
        </w:tc>
        <w:tc>
          <w:tcPr>
            <w:tcW w:w="1540" w:type="dxa"/>
            <w:tcBorders>
              <w:top w:val="nil"/>
              <w:left w:val="nil"/>
              <w:bottom w:val="single" w:sz="4" w:space="0" w:color="auto"/>
              <w:right w:val="single" w:sz="4" w:space="0" w:color="auto"/>
              <w:tl2br w:val="nil"/>
              <w:tr2bl w:val="nil"/>
            </w:tcBorders>
            <w:noWrap/>
            <w:textDirection w:val="lrTb"/>
            <w:vAlign w:val="center"/>
          </w:tcPr>
          <w:p w:rsidR="00E11416" w:rsidRPr="00E11416" w:rsidP="00E11416">
            <w:pPr>
              <w:spacing w:line="240" w:lineRule="auto"/>
              <w:jc w:val="right"/>
              <w:rPr>
                <w:rFonts w:ascii="Arial Narrow" w:hAnsi="Arial Narrow" w:cs="Arial"/>
                <w:b/>
                <w:bCs/>
                <w:lang w:eastAsia="sk-SK"/>
              </w:rPr>
            </w:pPr>
            <w:r w:rsidRPr="00E11416">
              <w:rPr>
                <w:rFonts w:ascii="Arial Narrow" w:hAnsi="Arial Narrow" w:cs="Arial"/>
                <w:b/>
                <w:bCs/>
                <w:lang w:eastAsia="sk-SK"/>
              </w:rPr>
              <w:t>2 186</w:t>
            </w:r>
          </w:p>
        </w:tc>
      </w:tr>
      <w:tr>
        <w:tblPrEx>
          <w:tblW w:w="9055" w:type="dxa"/>
          <w:tblInd w:w="55" w:type="dxa"/>
          <w:tblCellMar>
            <w:left w:w="70" w:type="dxa"/>
            <w:right w:w="70" w:type="dxa"/>
          </w:tblCellMar>
        </w:tblPrEx>
        <w:trPr>
          <w:trHeight w:hRule="exact" w:val="284"/>
        </w:trPr>
        <w:tc>
          <w:tcPr>
            <w:tcW w:w="9055" w:type="dxa"/>
            <w:gridSpan w:val="4"/>
            <w:tcBorders>
              <w:top w:val="single" w:sz="4" w:space="0" w:color="auto"/>
              <w:left w:val="single" w:sz="4" w:space="0" w:color="auto"/>
              <w:bottom w:val="single" w:sz="4" w:space="0" w:color="auto"/>
              <w:right w:val="single" w:sz="4" w:space="0" w:color="000000"/>
              <w:tl2br w:val="nil"/>
              <w:tr2bl w:val="nil"/>
            </w:tcBorders>
            <w:textDirection w:val="lrTb"/>
            <w:vAlign w:val="center"/>
          </w:tcPr>
          <w:p w:rsidR="00E11416" w:rsidRPr="00E11416" w:rsidP="00E11416">
            <w:pPr>
              <w:spacing w:line="240" w:lineRule="auto"/>
              <w:rPr>
                <w:rFonts w:ascii="Arial Narrow" w:hAnsi="Arial Narrow" w:cs="Arial"/>
                <w:b/>
                <w:bCs/>
                <w:i/>
                <w:iCs/>
                <w:lang w:eastAsia="sk-SK"/>
              </w:rPr>
            </w:pPr>
            <w:r w:rsidRPr="00607A12">
              <w:rPr>
                <w:rFonts w:ascii="Arial Narrow" w:hAnsi="Arial Narrow" w:cs="Arial"/>
                <w:bCs/>
                <w:i/>
                <w:iCs/>
                <w:lang w:eastAsia="sk-SK"/>
              </w:rPr>
              <w:t>Komentár:</w:t>
            </w:r>
            <w:r w:rsidRPr="00607A12">
              <w:rPr>
                <w:rFonts w:ascii="Arial Narrow" w:hAnsi="Arial Narrow" w:cs="Arial"/>
                <w:i/>
                <w:iCs/>
                <w:lang w:eastAsia="sk-SK"/>
              </w:rPr>
              <w:t xml:space="preserve"> Nárast</w:t>
            </w:r>
            <w:r w:rsidRPr="00E11416">
              <w:rPr>
                <w:rFonts w:ascii="Arial Narrow" w:hAnsi="Arial Narrow" w:cs="Arial"/>
                <w:i/>
                <w:iCs/>
                <w:lang w:eastAsia="sk-SK"/>
              </w:rPr>
              <w:t xml:space="preserve"> výdavkov budúcich účtovných období o </w:t>
            </w:r>
            <w:r>
              <w:rPr>
                <w:rFonts w:ascii="Arial Narrow" w:hAnsi="Arial Narrow" w:cs="Arial"/>
                <w:i/>
                <w:iCs/>
                <w:lang w:eastAsia="sk-SK"/>
              </w:rPr>
              <w:t>+1,7 mil.</w:t>
            </w:r>
            <w:r w:rsidR="00BC0B14">
              <w:rPr>
                <w:rFonts w:ascii="Arial Narrow" w:hAnsi="Arial Narrow" w:cs="Arial"/>
                <w:i/>
                <w:iCs/>
                <w:lang w:eastAsia="sk-SK"/>
              </w:rPr>
              <w:t xml:space="preserve"> </w:t>
            </w:r>
            <w:r>
              <w:rPr>
                <w:rFonts w:ascii="Arial Narrow" w:hAnsi="Arial Narrow" w:cs="Arial"/>
                <w:i/>
                <w:iCs/>
                <w:lang w:eastAsia="sk-SK"/>
              </w:rPr>
              <w:t xml:space="preserve">Sk aj výnosov bud. </w:t>
            </w:r>
            <w:r w:rsidRPr="00E11416">
              <w:rPr>
                <w:rFonts w:ascii="Arial Narrow" w:hAnsi="Arial Narrow" w:cs="Arial"/>
                <w:i/>
                <w:iCs/>
                <w:lang w:eastAsia="sk-SK"/>
              </w:rPr>
              <w:t>účtovných období o +0,5 mil.</w:t>
            </w:r>
            <w:r w:rsidR="00BC0B14">
              <w:rPr>
                <w:rFonts w:ascii="Arial Narrow" w:hAnsi="Arial Narrow" w:cs="Arial"/>
                <w:i/>
                <w:iCs/>
                <w:lang w:eastAsia="sk-SK"/>
              </w:rPr>
              <w:t xml:space="preserve"> </w:t>
            </w:r>
            <w:r w:rsidRPr="00E11416">
              <w:rPr>
                <w:rFonts w:ascii="Arial Narrow" w:hAnsi="Arial Narrow" w:cs="Arial"/>
                <w:i/>
                <w:iCs/>
                <w:lang w:eastAsia="sk-SK"/>
              </w:rPr>
              <w:t>Sk.</w:t>
            </w:r>
          </w:p>
        </w:tc>
      </w:tr>
    </w:tbl>
    <w:p w:rsidR="00E11416" w:rsidP="00E11416">
      <w:pPr>
        <w:spacing w:line="240" w:lineRule="auto"/>
        <w:rPr>
          <w:rFonts w:ascii="Times New Roman" w:hAnsi="Times New Roman" w:cs="Times New Roman"/>
          <w:sz w:val="28"/>
          <w:szCs w:val="28"/>
        </w:rPr>
      </w:pPr>
    </w:p>
    <w:p w:rsidR="00EF0282" w:rsidP="00E11416">
      <w:pPr>
        <w:spacing w:line="240" w:lineRule="auto"/>
        <w:rPr>
          <w:rFonts w:ascii="Times New Roman" w:hAnsi="Times New Roman" w:cs="Times New Roman"/>
          <w:sz w:val="28"/>
          <w:szCs w:val="28"/>
        </w:rPr>
      </w:pPr>
    </w:p>
    <w:p w:rsidR="00D30BB5" w:rsidRPr="00D30BB5" w:rsidP="00DA47BF">
      <w:pPr>
        <w:overflowPunct w:val="0"/>
        <w:autoSpaceDE/>
        <w:autoSpaceDN/>
        <w:spacing w:line="240" w:lineRule="auto"/>
        <w:ind w:firstLine="709"/>
        <w:rPr>
          <w:rFonts w:ascii="Times New Roman" w:hAnsi="Times New Roman" w:cs="Times New Roman"/>
          <w:sz w:val="24"/>
          <w:szCs w:val="24"/>
        </w:rPr>
      </w:pPr>
      <w:r w:rsidRPr="00D30BB5">
        <w:rPr>
          <w:rFonts w:ascii="Times New Roman" w:hAnsi="Times New Roman" w:cs="Times New Roman"/>
          <w:sz w:val="24"/>
          <w:szCs w:val="24"/>
        </w:rPr>
        <w:t>Pohľadávky z obchodného styku</w:t>
      </w:r>
      <w:r>
        <w:rPr>
          <w:rFonts w:ascii="Times New Roman" w:hAnsi="Times New Roman" w:cs="Times New Roman"/>
          <w:sz w:val="24"/>
          <w:szCs w:val="24"/>
        </w:rPr>
        <w:t xml:space="preserve"> za rok 2007 predstavovali </w:t>
      </w:r>
      <w:r w:rsidR="00BC0B14">
        <w:rPr>
          <w:rFonts w:ascii="Times New Roman" w:hAnsi="Times New Roman" w:cs="Times New Roman"/>
          <w:sz w:val="24"/>
          <w:szCs w:val="24"/>
        </w:rPr>
        <w:t xml:space="preserve">2 376 027 tis. Sk (v roku 2006 boli vo výške 2 514 115 tis. Sk) a záväzky z obchodného styku boli v roku 2007 vo výške 2 063 163 tis. Sk (v roku 2006 vo výške 1 845 505 tis. Sk). </w:t>
      </w:r>
    </w:p>
    <w:p w:rsidR="00D30BB5" w:rsidP="00DA47BF">
      <w:pPr>
        <w:overflowPunct w:val="0"/>
        <w:autoSpaceDE/>
        <w:autoSpaceDN/>
        <w:spacing w:line="240" w:lineRule="auto"/>
        <w:ind w:firstLine="709"/>
        <w:rPr>
          <w:rFonts w:ascii="Times New Roman" w:hAnsi="Times New Roman" w:cs="Times New Roman"/>
          <w:sz w:val="24"/>
          <w:szCs w:val="24"/>
        </w:rPr>
      </w:pPr>
    </w:p>
    <w:p w:rsidR="00DA47BF" w:rsidRPr="00DA47BF" w:rsidP="00DA47BF">
      <w:pPr>
        <w:overflowPunct w:val="0"/>
        <w:autoSpaceDE/>
        <w:autoSpaceDN/>
        <w:spacing w:line="240" w:lineRule="auto"/>
        <w:ind w:firstLine="709"/>
        <w:rPr>
          <w:rFonts w:ascii="Times New Roman" w:hAnsi="Times New Roman" w:cs="Times New Roman"/>
          <w:sz w:val="24"/>
          <w:szCs w:val="24"/>
        </w:rPr>
      </w:pPr>
      <w:r w:rsidRPr="00DA47BF">
        <w:rPr>
          <w:rFonts w:ascii="Times New Roman" w:hAnsi="Times New Roman" w:cs="Times New Roman"/>
          <w:sz w:val="24"/>
          <w:szCs w:val="24"/>
        </w:rPr>
        <w:t>Železničná spoločnosť Cargo Sl</w:t>
      </w:r>
      <w:r>
        <w:rPr>
          <w:rFonts w:ascii="Times New Roman" w:hAnsi="Times New Roman" w:cs="Times New Roman"/>
          <w:sz w:val="24"/>
          <w:szCs w:val="24"/>
        </w:rPr>
        <w:t xml:space="preserve">ovakia, a.s., </w:t>
      </w:r>
      <w:r w:rsidRPr="00DA47BF">
        <w:rPr>
          <w:rFonts w:ascii="Times New Roman" w:hAnsi="Times New Roman" w:cs="Times New Roman"/>
          <w:sz w:val="24"/>
          <w:szCs w:val="24"/>
        </w:rPr>
        <w:t>v priebehu roka 2007 neobdržala žiadne finančné výpomoci ani dotácie zo štátneho rozpočtu.</w:t>
      </w:r>
    </w:p>
    <w:p w:rsidR="00DA47BF" w:rsidRPr="00DA47BF" w:rsidP="00DA47BF">
      <w:pPr>
        <w:overflowPunct w:val="0"/>
        <w:autoSpaceDE/>
        <w:autoSpaceDN/>
        <w:spacing w:line="240" w:lineRule="auto"/>
        <w:ind w:firstLine="709"/>
        <w:rPr>
          <w:rFonts w:ascii="Times New Roman" w:hAnsi="Times New Roman" w:cs="Times New Roman"/>
          <w:sz w:val="24"/>
          <w:szCs w:val="24"/>
        </w:rPr>
      </w:pPr>
    </w:p>
    <w:p w:rsidR="00DA47BF" w:rsidP="00DA47BF">
      <w:pPr>
        <w:overflowPunct w:val="0"/>
        <w:autoSpaceDE/>
        <w:autoSpaceDN/>
        <w:spacing w:line="240" w:lineRule="auto"/>
        <w:ind w:firstLine="709"/>
        <w:rPr>
          <w:rFonts w:ascii="Times New Roman" w:hAnsi="Times New Roman" w:cs="Times New Roman"/>
          <w:sz w:val="24"/>
          <w:szCs w:val="24"/>
        </w:rPr>
      </w:pPr>
      <w:r w:rsidRPr="00DA47BF">
        <w:rPr>
          <w:rFonts w:ascii="Times New Roman" w:hAnsi="Times New Roman" w:cs="Times New Roman"/>
          <w:sz w:val="24"/>
          <w:szCs w:val="24"/>
        </w:rPr>
        <w:t>Spoločnosť ZSSK CARGO eviduje vo svojom účto</w:t>
      </w:r>
      <w:r>
        <w:rPr>
          <w:rFonts w:ascii="Times New Roman" w:hAnsi="Times New Roman" w:cs="Times New Roman"/>
          <w:sz w:val="24"/>
          <w:szCs w:val="24"/>
        </w:rPr>
        <w:t xml:space="preserve">vníctve pohľadávku voči štátu </w:t>
      </w:r>
      <w:r w:rsidRPr="00DA47BF">
        <w:rPr>
          <w:rFonts w:ascii="Times New Roman" w:hAnsi="Times New Roman" w:cs="Times New Roman"/>
          <w:sz w:val="24"/>
          <w:szCs w:val="24"/>
        </w:rPr>
        <w:t xml:space="preserve">za výkony vo verejnom záujme vo výške </w:t>
      </w:r>
      <w:r>
        <w:rPr>
          <w:rFonts w:ascii="Times New Roman" w:hAnsi="Times New Roman" w:cs="Times New Roman"/>
          <w:sz w:val="24"/>
          <w:szCs w:val="24"/>
        </w:rPr>
        <w:t>366 485 000,- Sk</w:t>
      </w:r>
      <w:r w:rsidRPr="00DA47BF">
        <w:rPr>
          <w:rFonts w:ascii="Times New Roman" w:hAnsi="Times New Roman" w:cs="Times New Roman"/>
          <w:sz w:val="24"/>
          <w:szCs w:val="24"/>
        </w:rPr>
        <w:t xml:space="preserve">. Pohľadávka voči štátu vznikla z dôvodu, že objednávka štátu na výkony vo verejnom záujme nebola zo strany štátu krytá štátnym rozpočtom v plnej výške, a tým dochádzalo k vzniku nekrytej straty </w:t>
      </w:r>
      <w:r>
        <w:rPr>
          <w:rFonts w:ascii="Times New Roman" w:hAnsi="Times New Roman" w:cs="Times New Roman"/>
          <w:sz w:val="24"/>
          <w:szCs w:val="24"/>
        </w:rPr>
        <w:t xml:space="preserve">na výkonoch vo verejnom záujme. </w:t>
      </w:r>
      <w:r w:rsidRPr="00DA47BF">
        <w:rPr>
          <w:rFonts w:ascii="Times New Roman" w:hAnsi="Times New Roman" w:cs="Times New Roman"/>
          <w:sz w:val="24"/>
          <w:szCs w:val="24"/>
        </w:rPr>
        <w:t xml:space="preserve">Za obdobie rokov </w:t>
      </w:r>
      <w:r>
        <w:rPr>
          <w:rFonts w:ascii="Times New Roman" w:hAnsi="Times New Roman" w:cs="Times New Roman"/>
          <w:sz w:val="24"/>
          <w:szCs w:val="24"/>
        </w:rPr>
        <w:t xml:space="preserve">1994 – </w:t>
      </w:r>
      <w:r w:rsidRPr="00DA47BF">
        <w:rPr>
          <w:rFonts w:ascii="Times New Roman" w:hAnsi="Times New Roman" w:cs="Times New Roman"/>
          <w:sz w:val="24"/>
          <w:szCs w:val="24"/>
        </w:rPr>
        <w:t>2001 a rok 2002 tak vznikli Ž</w:t>
      </w:r>
      <w:r>
        <w:rPr>
          <w:rFonts w:ascii="Times New Roman" w:hAnsi="Times New Roman" w:cs="Times New Roman"/>
          <w:sz w:val="24"/>
          <w:szCs w:val="24"/>
        </w:rPr>
        <w:t xml:space="preserve">elezniciam </w:t>
      </w:r>
      <w:r w:rsidRPr="00DA47BF">
        <w:rPr>
          <w:rFonts w:ascii="Times New Roman" w:hAnsi="Times New Roman" w:cs="Times New Roman"/>
          <w:sz w:val="24"/>
          <w:szCs w:val="24"/>
        </w:rPr>
        <w:t xml:space="preserve">SR </w:t>
      </w:r>
      <w:r w:rsidR="008614A3">
        <w:rPr>
          <w:rFonts w:ascii="Times New Roman" w:hAnsi="Times New Roman" w:cs="Times New Roman"/>
          <w:sz w:val="24"/>
          <w:szCs w:val="24"/>
        </w:rPr>
        <w:t xml:space="preserve">a Železničnej spoločnosti, a.s., </w:t>
      </w:r>
      <w:r w:rsidRPr="00DA47BF">
        <w:rPr>
          <w:rFonts w:ascii="Times New Roman" w:hAnsi="Times New Roman" w:cs="Times New Roman"/>
          <w:sz w:val="24"/>
          <w:szCs w:val="24"/>
        </w:rPr>
        <w:t>(predchodcovia ZSSK CARGO) pohľadávky, ktoré viedli k nárastu zadĺženosti, keďže bolo potrebné na zabezpečenie prevádzky  v osobnej doprave čerpať externé úverové zdroje.</w:t>
      </w:r>
    </w:p>
    <w:p w:rsidR="00DA47BF" w:rsidRPr="00DA47BF" w:rsidP="00DA47BF">
      <w:pPr>
        <w:overflowPunct w:val="0"/>
        <w:autoSpaceDE/>
        <w:autoSpaceDN/>
        <w:spacing w:line="240" w:lineRule="auto"/>
        <w:ind w:firstLine="709"/>
        <w:rPr>
          <w:rFonts w:ascii="Times New Roman" w:hAnsi="Times New Roman" w:cs="Times New Roman"/>
          <w:sz w:val="24"/>
          <w:szCs w:val="24"/>
        </w:rPr>
      </w:pPr>
    </w:p>
    <w:p w:rsidR="00DA47BF" w:rsidRPr="00DA47BF" w:rsidP="00A020C3">
      <w:pPr>
        <w:overflowPunct w:val="0"/>
        <w:autoSpaceDE/>
        <w:autoSpaceDN/>
        <w:spacing w:line="240" w:lineRule="auto"/>
        <w:ind w:firstLine="709"/>
        <w:rPr>
          <w:rFonts w:ascii="Times New Roman" w:hAnsi="Times New Roman" w:cs="Times New Roman"/>
          <w:sz w:val="24"/>
          <w:szCs w:val="24"/>
        </w:rPr>
      </w:pPr>
      <w:r w:rsidRPr="00DA47BF">
        <w:rPr>
          <w:rFonts w:ascii="Times New Roman" w:hAnsi="Times New Roman" w:cs="Times New Roman"/>
          <w:sz w:val="24"/>
          <w:szCs w:val="24"/>
        </w:rPr>
        <w:t>Dňa 29.03.2004 bola podpísaná Dohoda o započítaní vzájomných pohľadávok zmluvných strán medzi Ministerstvom financií a Železničnou spoločnosťou, a.s. (ďalej ŽS)</w:t>
      </w:r>
      <w:r w:rsidR="00A020C3">
        <w:rPr>
          <w:rFonts w:ascii="Times New Roman" w:hAnsi="Times New Roman" w:cs="Times New Roman"/>
          <w:sz w:val="24"/>
          <w:szCs w:val="24"/>
        </w:rPr>
        <w:t>,</w:t>
      </w:r>
      <w:r w:rsidRPr="00DA47BF">
        <w:rPr>
          <w:rFonts w:ascii="Times New Roman" w:hAnsi="Times New Roman" w:cs="Times New Roman"/>
          <w:sz w:val="24"/>
          <w:szCs w:val="24"/>
        </w:rPr>
        <w:t xml:space="preserve"> podľa ktorej sa pohľadávka ŽS voči štátu z titulu výkonov vo verejnom záujme vo výške </w:t>
      </w:r>
      <w:r>
        <w:rPr>
          <w:rFonts w:ascii="Times New Roman" w:hAnsi="Times New Roman" w:cs="Times New Roman"/>
          <w:sz w:val="24"/>
          <w:szCs w:val="24"/>
        </w:rPr>
        <w:t xml:space="preserve">7 319 000 000,- Sk </w:t>
      </w:r>
      <w:r w:rsidR="00A020C3">
        <w:rPr>
          <w:rFonts w:ascii="Times New Roman" w:hAnsi="Times New Roman" w:cs="Times New Roman"/>
          <w:sz w:val="24"/>
          <w:szCs w:val="24"/>
        </w:rPr>
        <w:t xml:space="preserve">započítala </w:t>
      </w:r>
      <w:r w:rsidRPr="00DA47BF">
        <w:rPr>
          <w:rFonts w:ascii="Times New Roman" w:hAnsi="Times New Roman" w:cs="Times New Roman"/>
          <w:sz w:val="24"/>
          <w:szCs w:val="24"/>
        </w:rPr>
        <w:t>so záväzkami ŽS voči štátu z titulu prevzatia dlhov z úverových záväzkov voči bankám vo výške 6 </w:t>
      </w:r>
      <w:r>
        <w:rPr>
          <w:rFonts w:ascii="Times New Roman" w:hAnsi="Times New Roman" w:cs="Times New Roman"/>
          <w:sz w:val="24"/>
          <w:szCs w:val="24"/>
        </w:rPr>
        <w:t>852 515 000,- Sk</w:t>
      </w:r>
      <w:r w:rsidRPr="00DA47BF">
        <w:rPr>
          <w:rFonts w:ascii="Times New Roman" w:hAnsi="Times New Roman" w:cs="Times New Roman"/>
          <w:sz w:val="24"/>
          <w:szCs w:val="24"/>
        </w:rPr>
        <w:t>.</w:t>
      </w:r>
      <w:r w:rsidR="00A020C3">
        <w:rPr>
          <w:rFonts w:ascii="Times New Roman" w:hAnsi="Times New Roman" w:cs="Times New Roman"/>
          <w:sz w:val="24"/>
          <w:szCs w:val="24"/>
        </w:rPr>
        <w:t xml:space="preserve"> </w:t>
      </w:r>
      <w:r w:rsidRPr="00DA47BF">
        <w:rPr>
          <w:rFonts w:ascii="Times New Roman" w:hAnsi="Times New Roman" w:cs="Times New Roman"/>
          <w:sz w:val="24"/>
          <w:szCs w:val="24"/>
        </w:rPr>
        <w:t xml:space="preserve">Po zrealizovaní zápočtu zostala nevyriešená časť objemu pohľadávky ŽS voči štátu vo výške </w:t>
      </w:r>
      <w:r w:rsidR="00A020C3">
        <w:rPr>
          <w:rFonts w:ascii="Times New Roman" w:hAnsi="Times New Roman" w:cs="Times New Roman"/>
          <w:sz w:val="24"/>
          <w:szCs w:val="24"/>
        </w:rPr>
        <w:t>466 485 000,- Sk</w:t>
      </w:r>
      <w:r w:rsidRPr="00DA47BF">
        <w:rPr>
          <w:rFonts w:ascii="Times New Roman" w:hAnsi="Times New Roman" w:cs="Times New Roman"/>
          <w:sz w:val="24"/>
          <w:szCs w:val="24"/>
        </w:rPr>
        <w:t xml:space="preserve">. </w:t>
      </w:r>
    </w:p>
    <w:p w:rsidR="00DA47BF" w:rsidRPr="00DA47BF" w:rsidP="00DA47BF">
      <w:pPr>
        <w:overflowPunct w:val="0"/>
        <w:autoSpaceDE/>
        <w:autoSpaceDN/>
        <w:spacing w:line="240" w:lineRule="auto"/>
        <w:ind w:firstLine="709"/>
        <w:rPr>
          <w:rFonts w:ascii="Times New Roman" w:hAnsi="Times New Roman" w:cs="Times New Roman"/>
          <w:sz w:val="24"/>
          <w:szCs w:val="24"/>
        </w:rPr>
      </w:pPr>
    </w:p>
    <w:p w:rsidR="00DA47BF" w:rsidRPr="00DA47BF" w:rsidP="00DA47BF">
      <w:pPr>
        <w:overflowPunct w:val="0"/>
        <w:autoSpaceDE/>
        <w:autoSpaceDN/>
        <w:spacing w:line="240" w:lineRule="auto"/>
        <w:ind w:firstLine="709"/>
        <w:rPr>
          <w:rFonts w:ascii="Times New Roman" w:hAnsi="Times New Roman" w:cs="Times New Roman"/>
          <w:sz w:val="24"/>
          <w:szCs w:val="24"/>
        </w:rPr>
      </w:pPr>
      <w:r w:rsidRPr="00DA47BF">
        <w:rPr>
          <w:rFonts w:ascii="Times New Roman" w:hAnsi="Times New Roman" w:cs="Times New Roman"/>
          <w:sz w:val="24"/>
          <w:szCs w:val="24"/>
        </w:rPr>
        <w:t>Dňa 27.12.2007 bola zo strany štátu zrealizovaná čiastočná úhrada pohľadávky vo výške</w:t>
      </w:r>
      <w:r w:rsidR="00A020C3">
        <w:rPr>
          <w:rFonts w:ascii="Times New Roman" w:hAnsi="Times New Roman" w:cs="Times New Roman"/>
          <w:sz w:val="24"/>
          <w:szCs w:val="24"/>
        </w:rPr>
        <w:t xml:space="preserve"> 100 000 000,- Sk</w:t>
      </w:r>
      <w:r w:rsidRPr="00DA47BF">
        <w:rPr>
          <w:rFonts w:ascii="Times New Roman" w:hAnsi="Times New Roman" w:cs="Times New Roman"/>
          <w:sz w:val="24"/>
          <w:szCs w:val="24"/>
        </w:rPr>
        <w:t xml:space="preserve">. K 31.12.2007 bolo vypočítané aj príslušenstvo k tejto pohľadávke – úrok z omeškania vo výške </w:t>
      </w:r>
      <w:r w:rsidR="00A020C3">
        <w:rPr>
          <w:rFonts w:ascii="Times New Roman" w:hAnsi="Times New Roman" w:cs="Times New Roman"/>
          <w:sz w:val="24"/>
          <w:szCs w:val="24"/>
        </w:rPr>
        <w:t>280 380 238,90 Sk</w:t>
      </w:r>
      <w:r w:rsidRPr="00DA47BF">
        <w:rPr>
          <w:rFonts w:ascii="Times New Roman" w:hAnsi="Times New Roman" w:cs="Times New Roman"/>
          <w:sz w:val="24"/>
          <w:szCs w:val="24"/>
        </w:rPr>
        <w:t xml:space="preserve">, </w:t>
      </w:r>
      <w:r w:rsidR="00A020C3">
        <w:rPr>
          <w:rFonts w:ascii="Times New Roman" w:hAnsi="Times New Roman" w:cs="Times New Roman"/>
          <w:sz w:val="24"/>
          <w:szCs w:val="24"/>
        </w:rPr>
        <w:t xml:space="preserve">ktoré </w:t>
      </w:r>
      <w:r w:rsidRPr="00DA47BF">
        <w:rPr>
          <w:rFonts w:ascii="Times New Roman" w:hAnsi="Times New Roman" w:cs="Times New Roman"/>
          <w:sz w:val="24"/>
          <w:szCs w:val="24"/>
        </w:rPr>
        <w:t>zo strany štátu</w:t>
      </w:r>
      <w:r w:rsidR="00A020C3">
        <w:rPr>
          <w:rFonts w:ascii="Times New Roman" w:hAnsi="Times New Roman" w:cs="Times New Roman"/>
          <w:sz w:val="24"/>
          <w:szCs w:val="24"/>
        </w:rPr>
        <w:t xml:space="preserve"> nebolo uhradené</w:t>
      </w:r>
      <w:r w:rsidRPr="00DA47BF">
        <w:rPr>
          <w:rFonts w:ascii="Times New Roman" w:hAnsi="Times New Roman" w:cs="Times New Roman"/>
          <w:sz w:val="24"/>
          <w:szCs w:val="24"/>
        </w:rPr>
        <w:t xml:space="preserve">. </w:t>
      </w:r>
    </w:p>
    <w:p w:rsidR="00DA47BF" w:rsidRPr="00DA47BF" w:rsidP="00DA47BF">
      <w:pPr>
        <w:overflowPunct w:val="0"/>
        <w:autoSpaceDE/>
        <w:autoSpaceDN/>
        <w:spacing w:line="240" w:lineRule="auto"/>
        <w:ind w:firstLine="709"/>
        <w:rPr>
          <w:rFonts w:ascii="Times New Roman" w:hAnsi="Times New Roman" w:cs="Times New Roman"/>
          <w:sz w:val="24"/>
          <w:szCs w:val="24"/>
        </w:rPr>
      </w:pPr>
    </w:p>
    <w:p w:rsidR="001A5544" w:rsidP="00C362EA">
      <w:pPr>
        <w:spacing w:line="240" w:lineRule="auto"/>
        <w:outlineLvl w:val="0"/>
        <w:rPr>
          <w:rFonts w:ascii="Times New Roman" w:hAnsi="Times New Roman" w:cs="Times New Roman"/>
          <w:b/>
          <w:bCs/>
          <w:sz w:val="28"/>
        </w:rPr>
      </w:pPr>
    </w:p>
    <w:p w:rsidR="00EF0282" w:rsidP="00C362EA">
      <w:pPr>
        <w:spacing w:line="240" w:lineRule="auto"/>
        <w:outlineLvl w:val="0"/>
        <w:rPr>
          <w:rFonts w:ascii="Times New Roman" w:hAnsi="Times New Roman" w:cs="Times New Roman"/>
          <w:b/>
          <w:bCs/>
          <w:sz w:val="28"/>
        </w:rPr>
      </w:pPr>
    </w:p>
    <w:p w:rsidR="00EE1DEF" w:rsidRPr="00D23807" w:rsidP="00C362EA">
      <w:pPr>
        <w:spacing w:line="240" w:lineRule="auto"/>
        <w:outlineLvl w:val="0"/>
        <w:rPr>
          <w:rFonts w:ascii="Times New Roman" w:hAnsi="Times New Roman" w:cs="Times New Roman"/>
          <w:b/>
          <w:bCs/>
          <w:sz w:val="28"/>
        </w:rPr>
      </w:pPr>
      <w:r w:rsidR="00F96ACE">
        <w:rPr>
          <w:rFonts w:ascii="Times New Roman" w:hAnsi="Times New Roman" w:cs="Times New Roman"/>
          <w:b/>
          <w:bCs/>
          <w:sz w:val="28"/>
        </w:rPr>
        <w:t>D</w:t>
      </w:r>
      <w:r w:rsidRPr="00D23807">
        <w:rPr>
          <w:rFonts w:ascii="Times New Roman" w:hAnsi="Times New Roman" w:cs="Times New Roman"/>
          <w:b/>
          <w:bCs/>
          <w:sz w:val="28"/>
        </w:rPr>
        <w:t>:</w:t>
      </w:r>
      <w:r w:rsidRPr="00D23807">
        <w:rPr>
          <w:rFonts w:ascii="Times New Roman" w:hAnsi="Times New Roman" w:cs="Times New Roman"/>
        </w:rPr>
        <w:t xml:space="preserve"> </w:t>
      </w:r>
      <w:r>
        <w:rPr>
          <w:rFonts w:ascii="Times New Roman" w:hAnsi="Times New Roman" w:cs="Times New Roman"/>
          <w:b/>
          <w:bCs/>
          <w:sz w:val="28"/>
        </w:rPr>
        <w:t>Národná diaľničná spoločnosť</w:t>
      </w:r>
      <w:r w:rsidRPr="00D23807">
        <w:rPr>
          <w:rFonts w:ascii="Times New Roman" w:hAnsi="Times New Roman" w:cs="Times New Roman"/>
          <w:b/>
          <w:bCs/>
          <w:sz w:val="28"/>
        </w:rPr>
        <w:t>, a. s.</w:t>
      </w:r>
    </w:p>
    <w:p w:rsidR="00F96ACE" w:rsidP="00F96ACE">
      <w:pPr>
        <w:spacing w:line="240" w:lineRule="auto"/>
        <w:ind w:left="709"/>
        <w:rPr>
          <w:rFonts w:ascii="Times New Roman" w:hAnsi="Times New Roman" w:cs="Times New Roman"/>
          <w:sz w:val="24"/>
          <w:szCs w:val="24"/>
        </w:rPr>
      </w:pPr>
    </w:p>
    <w:p w:rsidR="00F96ACE" w:rsidRPr="00F96ACE" w:rsidP="00F96ACE">
      <w:pPr>
        <w:spacing w:line="240" w:lineRule="auto"/>
        <w:ind w:left="709"/>
        <w:rPr>
          <w:rFonts w:ascii="Times New Roman" w:hAnsi="Times New Roman" w:cs="Times New Roman"/>
          <w:sz w:val="24"/>
          <w:szCs w:val="24"/>
        </w:rPr>
      </w:pPr>
      <w:r>
        <w:rPr>
          <w:rFonts w:ascii="Times New Roman" w:hAnsi="Times New Roman" w:cs="Times New Roman"/>
          <w:sz w:val="24"/>
          <w:szCs w:val="24"/>
        </w:rPr>
        <w:t xml:space="preserve">Údaje sú </w:t>
      </w:r>
      <w:r w:rsidRPr="00F96ACE">
        <w:rPr>
          <w:rFonts w:ascii="Times New Roman" w:hAnsi="Times New Roman" w:cs="Times New Roman"/>
          <w:sz w:val="24"/>
          <w:szCs w:val="24"/>
        </w:rPr>
        <w:t>spracované z predbežných a neauditovaných podkladov.</w:t>
      </w:r>
    </w:p>
    <w:p w:rsidR="00F96ACE" w:rsidP="00F96ACE">
      <w:pPr>
        <w:spacing w:line="240" w:lineRule="auto"/>
        <w:rPr>
          <w:rFonts w:ascii="Times New Roman" w:hAnsi="Times New Roman" w:cs="Times New Roman"/>
        </w:rPr>
      </w:pPr>
    </w:p>
    <w:p w:rsidR="00EF0282" w:rsidP="00F96ACE">
      <w:pPr>
        <w:spacing w:line="240" w:lineRule="auto"/>
        <w:rPr>
          <w:rFonts w:ascii="Times New Roman" w:hAnsi="Times New Roman" w:cs="Times New Roman"/>
        </w:rPr>
      </w:pPr>
    </w:p>
    <w:p w:rsidR="00EF0282" w:rsidP="00F96ACE">
      <w:pPr>
        <w:spacing w:line="240" w:lineRule="auto"/>
        <w:rPr>
          <w:rFonts w:ascii="Times New Roman" w:hAnsi="Times New Roman" w:cs="Times New Roman"/>
        </w:rPr>
      </w:pPr>
    </w:p>
    <w:p w:rsidR="00EF0282" w:rsidRPr="004A047C" w:rsidP="00F96ACE">
      <w:pPr>
        <w:spacing w:line="240" w:lineRule="auto"/>
        <w:rPr>
          <w:rFonts w:ascii="Times New Roman" w:hAnsi="Times New Roman" w:cs="Times New Roman"/>
        </w:rPr>
      </w:pPr>
    </w:p>
    <w:p w:rsidR="00F96ACE" w:rsidRPr="00F96ACE" w:rsidP="00F96ACE">
      <w:pPr>
        <w:spacing w:line="240" w:lineRule="auto"/>
        <w:jc w:val="center"/>
        <w:rPr>
          <w:rFonts w:ascii="Times New Roman" w:hAnsi="Times New Roman" w:cs="Times New Roman"/>
          <w:b/>
          <w:bCs/>
          <w:sz w:val="24"/>
          <w:szCs w:val="24"/>
        </w:rPr>
      </w:pPr>
      <w:r w:rsidR="00ED0F3C">
        <w:rPr>
          <w:rFonts w:ascii="Times New Roman" w:hAnsi="Times New Roman" w:cs="Times New Roman"/>
          <w:b/>
          <w:bCs/>
          <w:sz w:val="24"/>
          <w:szCs w:val="24"/>
        </w:rPr>
        <w:t>P</w:t>
      </w:r>
      <w:r w:rsidRPr="00F96ACE">
        <w:rPr>
          <w:rFonts w:ascii="Times New Roman" w:hAnsi="Times New Roman" w:cs="Times New Roman"/>
          <w:b/>
          <w:bCs/>
          <w:sz w:val="24"/>
          <w:szCs w:val="24"/>
        </w:rPr>
        <w:t>redbežná</w:t>
      </w:r>
      <w:r w:rsidR="00ED0F3C">
        <w:rPr>
          <w:rFonts w:ascii="Times New Roman" w:hAnsi="Times New Roman" w:cs="Times New Roman"/>
          <w:b/>
          <w:bCs/>
          <w:sz w:val="24"/>
          <w:szCs w:val="24"/>
        </w:rPr>
        <w:t xml:space="preserve"> súvaha spoločnosti k 31.12.2007</w:t>
      </w:r>
    </w:p>
    <w:tbl>
      <w:tblPr>
        <w:tblW w:w="9375" w:type="dxa"/>
        <w:tblInd w:w="55" w:type="dxa"/>
        <w:tblCellMar>
          <w:left w:w="70" w:type="dxa"/>
          <w:right w:w="70" w:type="dxa"/>
        </w:tblCellMar>
      </w:tblPr>
      <w:tblGrid>
        <w:gridCol w:w="1041"/>
        <w:gridCol w:w="5314"/>
        <w:gridCol w:w="581"/>
        <w:gridCol w:w="2439"/>
      </w:tblGrid>
      <w:tr>
        <w:tblPrEx>
          <w:tblW w:w="9375" w:type="dxa"/>
          <w:tblInd w:w="55" w:type="dxa"/>
          <w:tblCellMar>
            <w:left w:w="70" w:type="dxa"/>
            <w:right w:w="70" w:type="dxa"/>
          </w:tblCellMar>
        </w:tblPrEx>
        <w:trPr>
          <w:trHeight w:val="315"/>
        </w:trPr>
        <w:tc>
          <w:tcPr>
            <w:tcW w:w="1041" w:type="dxa"/>
            <w:tcBorders>
              <w:top w:val="nil"/>
              <w:left w:val="nil"/>
              <w:bottom w:val="single" w:sz="4" w:space="0" w:color="auto"/>
              <w:right w:val="nil"/>
              <w:tl2br w:val="nil"/>
              <w:tr2bl w:val="nil"/>
            </w:tcBorders>
            <w:noWrap/>
            <w:textDirection w:val="lrTb"/>
            <w:vAlign w:val="bottom"/>
          </w:tcPr>
          <w:p w:rsidR="00F96ACE" w:rsidP="00F96ACE">
            <w:pPr>
              <w:spacing w:line="240" w:lineRule="auto"/>
              <w:rPr>
                <w:rFonts w:ascii="Arial" w:hAnsi="Arial" w:cs="Arial"/>
              </w:rPr>
            </w:pPr>
          </w:p>
        </w:tc>
        <w:tc>
          <w:tcPr>
            <w:tcW w:w="5314" w:type="dxa"/>
            <w:tcBorders>
              <w:top w:val="nil"/>
              <w:left w:val="nil"/>
              <w:bottom w:val="single" w:sz="4" w:space="0" w:color="auto"/>
              <w:right w:val="nil"/>
              <w:tl2br w:val="nil"/>
              <w:tr2bl w:val="nil"/>
            </w:tcBorders>
            <w:noWrap/>
            <w:textDirection w:val="lrTb"/>
            <w:vAlign w:val="bottom"/>
          </w:tcPr>
          <w:p w:rsidR="00F96ACE" w:rsidP="00F96ACE">
            <w:pPr>
              <w:spacing w:line="240" w:lineRule="auto"/>
              <w:rPr>
                <w:rFonts w:ascii="Arial" w:hAnsi="Arial" w:cs="Arial"/>
                <w:b/>
                <w:bCs/>
              </w:rPr>
            </w:pPr>
          </w:p>
        </w:tc>
        <w:tc>
          <w:tcPr>
            <w:tcW w:w="581" w:type="dxa"/>
            <w:tcBorders>
              <w:top w:val="nil"/>
              <w:left w:val="nil"/>
              <w:bottom w:val="single" w:sz="4" w:space="0" w:color="auto"/>
              <w:right w:val="nil"/>
              <w:tl2br w:val="nil"/>
              <w:tr2bl w:val="nil"/>
            </w:tcBorders>
            <w:noWrap/>
            <w:textDirection w:val="lrTb"/>
            <w:vAlign w:val="bottom"/>
          </w:tcPr>
          <w:p w:rsidR="00F96ACE" w:rsidP="00F96ACE">
            <w:pPr>
              <w:spacing w:line="240" w:lineRule="auto"/>
              <w:rPr>
                <w:rFonts w:ascii="Arial" w:hAnsi="Arial" w:cs="Arial"/>
              </w:rPr>
            </w:pPr>
          </w:p>
        </w:tc>
        <w:tc>
          <w:tcPr>
            <w:tcW w:w="2439" w:type="dxa"/>
            <w:tcBorders>
              <w:top w:val="nil"/>
              <w:left w:val="nil"/>
              <w:bottom w:val="single" w:sz="4" w:space="0" w:color="auto"/>
              <w:right w:val="nil"/>
              <w:tl2br w:val="nil"/>
              <w:tr2bl w:val="nil"/>
            </w:tcBorders>
            <w:noWrap/>
            <w:textDirection w:val="lrTb"/>
            <w:vAlign w:val="bottom"/>
          </w:tcPr>
          <w:p w:rsidR="00F96ACE" w:rsidRPr="00790E8A" w:rsidP="00F96ACE">
            <w:pPr>
              <w:spacing w:line="240" w:lineRule="auto"/>
              <w:rPr>
                <w:rFonts w:ascii="Times New Roman" w:hAnsi="Times New Roman" w:cs="Times New Roman"/>
                <w:bCs/>
              </w:rPr>
            </w:pPr>
            <w:r>
              <w:rPr>
                <w:rFonts w:ascii="Times New Roman" w:hAnsi="Times New Roman" w:cs="Times New Roman"/>
                <w:bCs/>
              </w:rPr>
              <w:t xml:space="preserve">  1. 1. 2007 - 31. 12. 20</w:t>
            </w:r>
            <w:r w:rsidRPr="00790E8A">
              <w:rPr>
                <w:rFonts w:ascii="Times New Roman" w:hAnsi="Times New Roman" w:cs="Times New Roman"/>
                <w:bCs/>
              </w:rPr>
              <w:t>07</w:t>
            </w:r>
          </w:p>
        </w:tc>
      </w:tr>
      <w:tr>
        <w:tblPrEx>
          <w:tblW w:w="9375" w:type="dxa"/>
          <w:tblInd w:w="55" w:type="dxa"/>
          <w:tblCellMar>
            <w:left w:w="70" w:type="dxa"/>
            <w:right w:w="70" w:type="dxa"/>
          </w:tblCellMar>
        </w:tblPrEx>
        <w:trPr>
          <w:trHeight w:val="537"/>
        </w:trPr>
        <w:tc>
          <w:tcPr>
            <w:tcW w:w="1041" w:type="dxa"/>
            <w:tcBorders>
              <w:top w:val="single" w:sz="4" w:space="0" w:color="auto"/>
              <w:left w:val="single" w:sz="4" w:space="0" w:color="auto"/>
              <w:bottom w:val="single" w:sz="4" w:space="0" w:color="auto"/>
              <w:right w:val="single" w:sz="4" w:space="0" w:color="auto"/>
              <w:tl2br w:val="nil"/>
              <w:tr2bl w:val="nil"/>
            </w:tcBorders>
            <w:shd w:val="clear" w:color="auto" w:fill="C0C0C0"/>
            <w:textDirection w:val="lrTb"/>
            <w:vAlign w:val="center"/>
          </w:tcPr>
          <w:p w:rsidR="00F96ACE" w:rsidRPr="00E167CA" w:rsidP="00F96ACE">
            <w:pPr>
              <w:spacing w:line="240" w:lineRule="auto"/>
              <w:rPr>
                <w:rFonts w:ascii="Arial" w:hAnsi="Arial" w:cs="Arial"/>
                <w:b/>
                <w:color w:val="000000"/>
                <w:sz w:val="18"/>
                <w:szCs w:val="18"/>
              </w:rPr>
            </w:pPr>
            <w:r w:rsidRPr="00E167CA">
              <w:rPr>
                <w:rFonts w:ascii="Arial" w:hAnsi="Arial" w:cs="Arial"/>
                <w:b/>
                <w:color w:val="000000"/>
                <w:sz w:val="18"/>
                <w:szCs w:val="18"/>
              </w:rPr>
              <w:t>Označenie</w:t>
            </w:r>
          </w:p>
        </w:tc>
        <w:tc>
          <w:tcPr>
            <w:tcW w:w="5314" w:type="dxa"/>
            <w:tcBorders>
              <w:top w:val="single" w:sz="4" w:space="0" w:color="auto"/>
              <w:left w:val="nil"/>
              <w:bottom w:val="single" w:sz="4" w:space="0" w:color="auto"/>
              <w:right w:val="single" w:sz="4" w:space="0" w:color="auto"/>
              <w:tl2br w:val="nil"/>
              <w:tr2bl w:val="nil"/>
            </w:tcBorders>
            <w:shd w:val="clear" w:color="auto" w:fill="C0C0C0"/>
            <w:textDirection w:val="lrTb"/>
            <w:vAlign w:val="center"/>
          </w:tcPr>
          <w:p w:rsidR="00F96ACE" w:rsidRPr="00E167CA" w:rsidP="00E167CA">
            <w:pPr>
              <w:spacing w:line="240" w:lineRule="auto"/>
              <w:jc w:val="center"/>
              <w:rPr>
                <w:rFonts w:ascii="Arial" w:hAnsi="Arial" w:cs="Arial"/>
                <w:b/>
                <w:color w:val="000000"/>
                <w:sz w:val="18"/>
                <w:szCs w:val="18"/>
              </w:rPr>
            </w:pPr>
            <w:r w:rsidRPr="00E167CA">
              <w:rPr>
                <w:rFonts w:ascii="Arial" w:hAnsi="Arial" w:cs="Arial"/>
                <w:b/>
                <w:color w:val="000000"/>
                <w:sz w:val="18"/>
                <w:szCs w:val="18"/>
              </w:rPr>
              <w:t>A K T Í V</w:t>
            </w:r>
            <w:r w:rsidR="00E00F37">
              <w:rPr>
                <w:rFonts w:ascii="Arial" w:hAnsi="Arial" w:cs="Arial"/>
                <w:b/>
                <w:color w:val="000000"/>
                <w:sz w:val="18"/>
                <w:szCs w:val="18"/>
              </w:rPr>
              <w:t> </w:t>
            </w:r>
            <w:r w:rsidRPr="00E167CA">
              <w:rPr>
                <w:rFonts w:ascii="Arial" w:hAnsi="Arial" w:cs="Arial"/>
                <w:b/>
                <w:color w:val="000000"/>
                <w:sz w:val="18"/>
                <w:szCs w:val="18"/>
              </w:rPr>
              <w:t>A</w:t>
            </w:r>
          </w:p>
        </w:tc>
        <w:tc>
          <w:tcPr>
            <w:tcW w:w="581" w:type="dxa"/>
            <w:tcBorders>
              <w:top w:val="single" w:sz="4" w:space="0" w:color="auto"/>
              <w:left w:val="nil"/>
              <w:bottom w:val="single" w:sz="4" w:space="0" w:color="auto"/>
              <w:right w:val="single" w:sz="4" w:space="0" w:color="auto"/>
              <w:tl2br w:val="nil"/>
              <w:tr2bl w:val="nil"/>
            </w:tcBorders>
            <w:shd w:val="clear" w:color="auto" w:fill="C0C0C0"/>
            <w:textDirection w:val="lrTb"/>
            <w:vAlign w:val="center"/>
          </w:tcPr>
          <w:p w:rsidR="00F96ACE" w:rsidRPr="00E167CA" w:rsidP="00E167CA">
            <w:pPr>
              <w:spacing w:line="240" w:lineRule="auto"/>
              <w:jc w:val="center"/>
              <w:rPr>
                <w:rFonts w:ascii="Arial" w:hAnsi="Arial" w:cs="Arial"/>
                <w:b/>
                <w:color w:val="000000"/>
                <w:sz w:val="18"/>
                <w:szCs w:val="18"/>
              </w:rPr>
            </w:pPr>
            <w:r w:rsidRPr="00E167CA">
              <w:rPr>
                <w:rFonts w:ascii="Arial" w:hAnsi="Arial" w:cs="Arial"/>
                <w:b/>
                <w:color w:val="000000"/>
                <w:sz w:val="18"/>
                <w:szCs w:val="18"/>
              </w:rPr>
              <w:t>Číslo</w:t>
              <w:br/>
              <w:t>riad.</w:t>
            </w:r>
          </w:p>
        </w:tc>
        <w:tc>
          <w:tcPr>
            <w:tcW w:w="2439" w:type="dxa"/>
            <w:tcBorders>
              <w:top w:val="single" w:sz="4" w:space="0" w:color="auto"/>
              <w:left w:val="nil"/>
              <w:bottom w:val="single" w:sz="4" w:space="0" w:color="auto"/>
              <w:right w:val="single" w:sz="4" w:space="0" w:color="auto"/>
              <w:tl2br w:val="nil"/>
              <w:tr2bl w:val="nil"/>
            </w:tcBorders>
            <w:shd w:val="clear" w:color="auto" w:fill="C0C0C0"/>
            <w:textDirection w:val="lrTb"/>
            <w:vAlign w:val="center"/>
          </w:tcPr>
          <w:p w:rsidR="00E167CA" w:rsidRPr="00E167CA" w:rsidP="00F96ACE">
            <w:pPr>
              <w:spacing w:line="240" w:lineRule="auto"/>
              <w:jc w:val="center"/>
              <w:rPr>
                <w:rFonts w:ascii="Arial" w:hAnsi="Arial" w:cs="Arial"/>
                <w:b/>
                <w:color w:val="000000"/>
                <w:sz w:val="18"/>
                <w:szCs w:val="18"/>
              </w:rPr>
            </w:pPr>
            <w:r w:rsidRPr="00E167CA" w:rsidR="00F96ACE">
              <w:rPr>
                <w:rFonts w:ascii="Arial" w:hAnsi="Arial" w:cs="Arial"/>
                <w:b/>
                <w:color w:val="000000"/>
                <w:sz w:val="18"/>
                <w:szCs w:val="18"/>
              </w:rPr>
              <w:t xml:space="preserve">Zaokrúhlene (brutto) </w:t>
            </w:r>
          </w:p>
          <w:p w:rsidR="00F96ACE" w:rsidRPr="00E167CA" w:rsidP="00F96ACE">
            <w:pPr>
              <w:spacing w:line="240" w:lineRule="auto"/>
              <w:jc w:val="center"/>
              <w:rPr>
                <w:rFonts w:ascii="Arial" w:hAnsi="Arial" w:cs="Arial"/>
                <w:b/>
                <w:color w:val="000000"/>
                <w:sz w:val="18"/>
                <w:szCs w:val="18"/>
              </w:rPr>
            </w:pPr>
            <w:r w:rsidRPr="00E167CA">
              <w:rPr>
                <w:rFonts w:ascii="Arial" w:hAnsi="Arial" w:cs="Arial"/>
                <w:b/>
                <w:color w:val="000000"/>
                <w:sz w:val="18"/>
                <w:szCs w:val="18"/>
              </w:rPr>
              <w:t>v tis. Sk</w:t>
            </w:r>
          </w:p>
        </w:tc>
      </w:tr>
      <w:tr>
        <w:tblPrEx>
          <w:tblW w:w="9375" w:type="dxa"/>
          <w:tblInd w:w="55" w:type="dxa"/>
          <w:tblCellMar>
            <w:left w:w="70" w:type="dxa"/>
            <w:right w:w="70" w:type="dxa"/>
          </w:tblCellMar>
        </w:tblPrEx>
        <w:trPr>
          <w:trHeight w:hRule="exact" w:val="284"/>
        </w:trPr>
        <w:tc>
          <w:tcPr>
            <w:tcW w:w="1041"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F96ACE" w:rsidP="00F96ACE">
            <w:pPr>
              <w:spacing w:line="240" w:lineRule="auto"/>
              <w:rPr>
                <w:rFonts w:ascii="Arial" w:hAnsi="Arial" w:cs="Arial"/>
                <w:color w:val="000000"/>
                <w:sz w:val="18"/>
                <w:szCs w:val="18"/>
              </w:rPr>
            </w:pPr>
            <w:r>
              <w:rPr>
                <w:rFonts w:ascii="Arial" w:hAnsi="Arial" w:cs="Arial"/>
                <w:color w:val="000000"/>
                <w:sz w:val="18"/>
                <w:szCs w:val="18"/>
              </w:rPr>
              <w:t> </w:t>
            </w:r>
          </w:p>
        </w:tc>
        <w:tc>
          <w:tcPr>
            <w:tcW w:w="5314" w:type="dxa"/>
            <w:tcBorders>
              <w:top w:val="single" w:sz="4" w:space="0" w:color="auto"/>
              <w:left w:val="nil"/>
              <w:bottom w:val="single" w:sz="4" w:space="0" w:color="auto"/>
              <w:right w:val="single" w:sz="4" w:space="0" w:color="auto"/>
              <w:tl2br w:val="nil"/>
              <w:tr2bl w:val="nil"/>
            </w:tcBorders>
            <w:textDirection w:val="lrTb"/>
            <w:vAlign w:val="center"/>
          </w:tcPr>
          <w:p w:rsidR="00F96ACE" w:rsidP="00F96ACE">
            <w:pPr>
              <w:spacing w:line="240" w:lineRule="auto"/>
              <w:jc w:val="left"/>
              <w:rPr>
                <w:rFonts w:ascii="Arial" w:hAnsi="Arial" w:cs="Arial"/>
                <w:color w:val="000000"/>
                <w:sz w:val="18"/>
                <w:szCs w:val="18"/>
              </w:rPr>
            </w:pPr>
            <w:r>
              <w:rPr>
                <w:rFonts w:ascii="Arial" w:hAnsi="Arial" w:cs="Arial"/>
                <w:color w:val="000000"/>
                <w:sz w:val="18"/>
                <w:szCs w:val="18"/>
              </w:rPr>
              <w:t xml:space="preserve">Spolu majetok </w:t>
            </w:r>
            <w:r w:rsidR="00CD162C">
              <w:rPr>
                <w:rFonts w:ascii="Arial" w:hAnsi="Arial" w:cs="Arial"/>
                <w:color w:val="000000"/>
                <w:sz w:val="18"/>
                <w:szCs w:val="18"/>
              </w:rPr>
              <w:t>(</w:t>
            </w:r>
            <w:r>
              <w:rPr>
                <w:rFonts w:ascii="Arial" w:hAnsi="Arial" w:cs="Arial"/>
                <w:color w:val="000000"/>
                <w:sz w:val="18"/>
                <w:szCs w:val="18"/>
              </w:rPr>
              <w:t>r. 002+ r. 003+ r. 032+ r. 062</w:t>
            </w:r>
            <w:r w:rsidR="00CD162C">
              <w:rPr>
                <w:rFonts w:ascii="Arial" w:hAnsi="Arial" w:cs="Arial"/>
                <w:color w:val="000000"/>
                <w:sz w:val="18"/>
                <w:szCs w:val="18"/>
              </w:rPr>
              <w:t>)</w:t>
            </w:r>
          </w:p>
        </w:tc>
        <w:tc>
          <w:tcPr>
            <w:tcW w:w="581" w:type="dxa"/>
            <w:tcBorders>
              <w:top w:val="single" w:sz="4" w:space="0" w:color="auto"/>
              <w:left w:val="nil"/>
              <w:bottom w:val="single" w:sz="4" w:space="0" w:color="auto"/>
              <w:right w:val="single" w:sz="4" w:space="0" w:color="auto"/>
              <w:tl2br w:val="nil"/>
              <w:tr2bl w:val="nil"/>
            </w:tcBorders>
            <w:textDirection w:val="lrTb"/>
            <w:vAlign w:val="center"/>
          </w:tcPr>
          <w:p w:rsidR="00F96ACE" w:rsidP="00E167CA">
            <w:pPr>
              <w:spacing w:line="240" w:lineRule="auto"/>
              <w:jc w:val="center"/>
              <w:rPr>
                <w:rFonts w:ascii="Arial" w:hAnsi="Arial" w:cs="Arial"/>
                <w:color w:val="000000"/>
                <w:sz w:val="18"/>
                <w:szCs w:val="18"/>
              </w:rPr>
            </w:pPr>
            <w:r>
              <w:rPr>
                <w:rFonts w:ascii="Arial" w:hAnsi="Arial" w:cs="Arial"/>
                <w:color w:val="000000"/>
                <w:sz w:val="18"/>
                <w:szCs w:val="18"/>
              </w:rPr>
              <w:t>001</w:t>
            </w:r>
          </w:p>
        </w:tc>
        <w:tc>
          <w:tcPr>
            <w:tcW w:w="2439" w:type="dxa"/>
            <w:tcBorders>
              <w:top w:val="single" w:sz="4" w:space="0" w:color="auto"/>
              <w:left w:val="nil"/>
              <w:bottom w:val="single" w:sz="4" w:space="0" w:color="auto"/>
              <w:right w:val="single" w:sz="4" w:space="0" w:color="auto"/>
              <w:tl2br w:val="nil"/>
              <w:tr2bl w:val="nil"/>
            </w:tcBorders>
            <w:noWrap/>
            <w:textDirection w:val="lrTb"/>
            <w:vAlign w:val="center"/>
          </w:tcPr>
          <w:p w:rsidR="00F96ACE" w:rsidP="00F96ACE">
            <w:pPr>
              <w:spacing w:line="240" w:lineRule="auto"/>
              <w:jc w:val="right"/>
              <w:rPr>
                <w:rFonts w:ascii="Arial" w:hAnsi="Arial" w:cs="Arial"/>
                <w:color w:val="000000"/>
                <w:sz w:val="18"/>
                <w:szCs w:val="18"/>
              </w:rPr>
            </w:pPr>
            <w:r>
              <w:rPr>
                <w:rFonts w:ascii="Arial" w:hAnsi="Arial" w:cs="Arial"/>
                <w:color w:val="000000"/>
                <w:sz w:val="18"/>
                <w:szCs w:val="18"/>
              </w:rPr>
              <w:t>1</w:t>
            </w:r>
            <w:r w:rsidR="00A925FE">
              <w:rPr>
                <w:rFonts w:ascii="Arial" w:hAnsi="Arial" w:cs="Arial"/>
                <w:color w:val="000000"/>
                <w:sz w:val="18"/>
                <w:szCs w:val="18"/>
              </w:rPr>
              <w:t>54 009 150</w:t>
            </w:r>
          </w:p>
        </w:tc>
      </w:tr>
      <w:tr>
        <w:tblPrEx>
          <w:tblW w:w="9375" w:type="dxa"/>
          <w:tblInd w:w="55" w:type="dxa"/>
          <w:tblCellMar>
            <w:left w:w="70" w:type="dxa"/>
            <w:right w:w="70" w:type="dxa"/>
          </w:tblCellMar>
        </w:tblPrEx>
        <w:trPr>
          <w:trHeight w:hRule="exact" w:val="284"/>
        </w:trPr>
        <w:tc>
          <w:tcPr>
            <w:tcW w:w="1041" w:type="dxa"/>
            <w:tcBorders>
              <w:top w:val="nil"/>
              <w:left w:val="single" w:sz="4" w:space="0" w:color="auto"/>
              <w:bottom w:val="single" w:sz="4" w:space="0" w:color="auto"/>
              <w:right w:val="single" w:sz="4" w:space="0" w:color="auto"/>
              <w:tl2br w:val="nil"/>
              <w:tr2bl w:val="nil"/>
            </w:tcBorders>
            <w:textDirection w:val="lrTb"/>
            <w:vAlign w:val="center"/>
          </w:tcPr>
          <w:p w:rsidR="00F96ACE" w:rsidP="00F96ACE">
            <w:pPr>
              <w:spacing w:line="240" w:lineRule="auto"/>
              <w:rPr>
                <w:rFonts w:ascii="Arial" w:hAnsi="Arial" w:cs="Arial"/>
                <w:color w:val="000000"/>
                <w:sz w:val="18"/>
                <w:szCs w:val="18"/>
              </w:rPr>
            </w:pPr>
            <w:r>
              <w:rPr>
                <w:rFonts w:ascii="Arial" w:hAnsi="Arial" w:cs="Arial"/>
                <w:color w:val="000000"/>
                <w:sz w:val="18"/>
                <w:szCs w:val="18"/>
              </w:rPr>
              <w:t>A.</w:t>
            </w:r>
          </w:p>
        </w:tc>
        <w:tc>
          <w:tcPr>
            <w:tcW w:w="5314" w:type="dxa"/>
            <w:tcBorders>
              <w:top w:val="nil"/>
              <w:left w:val="nil"/>
              <w:bottom w:val="single" w:sz="4" w:space="0" w:color="auto"/>
              <w:right w:val="single" w:sz="4" w:space="0" w:color="auto"/>
              <w:tl2br w:val="nil"/>
              <w:tr2bl w:val="nil"/>
            </w:tcBorders>
            <w:textDirection w:val="lrTb"/>
            <w:vAlign w:val="center"/>
          </w:tcPr>
          <w:p w:rsidR="00F96ACE" w:rsidP="00F96ACE">
            <w:pPr>
              <w:spacing w:line="240" w:lineRule="auto"/>
              <w:jc w:val="left"/>
              <w:rPr>
                <w:rFonts w:ascii="Arial" w:hAnsi="Arial" w:cs="Arial"/>
                <w:color w:val="000000"/>
                <w:sz w:val="18"/>
                <w:szCs w:val="18"/>
              </w:rPr>
            </w:pPr>
            <w:r>
              <w:rPr>
                <w:rFonts w:ascii="Arial" w:hAnsi="Arial" w:cs="Arial"/>
                <w:color w:val="000000"/>
                <w:sz w:val="18"/>
                <w:szCs w:val="18"/>
              </w:rPr>
              <w:t>Pohľad</w:t>
            </w:r>
            <w:r w:rsidR="00CD162C">
              <w:rPr>
                <w:rFonts w:ascii="Arial" w:hAnsi="Arial" w:cs="Arial"/>
                <w:color w:val="000000"/>
                <w:sz w:val="18"/>
                <w:szCs w:val="18"/>
              </w:rPr>
              <w:t>ávky za upísané vlastné imanie (</w:t>
            </w:r>
            <w:r>
              <w:rPr>
                <w:rFonts w:ascii="Arial" w:hAnsi="Arial" w:cs="Arial"/>
                <w:color w:val="000000"/>
                <w:sz w:val="18"/>
                <w:szCs w:val="18"/>
              </w:rPr>
              <w:t>353)</w:t>
            </w:r>
          </w:p>
        </w:tc>
        <w:tc>
          <w:tcPr>
            <w:tcW w:w="581" w:type="dxa"/>
            <w:tcBorders>
              <w:top w:val="nil"/>
              <w:left w:val="nil"/>
              <w:bottom w:val="single" w:sz="4" w:space="0" w:color="auto"/>
              <w:right w:val="single" w:sz="4" w:space="0" w:color="auto"/>
              <w:tl2br w:val="nil"/>
              <w:tr2bl w:val="nil"/>
            </w:tcBorders>
            <w:textDirection w:val="lrTb"/>
            <w:vAlign w:val="center"/>
          </w:tcPr>
          <w:p w:rsidR="00F96ACE" w:rsidP="00E167CA">
            <w:pPr>
              <w:spacing w:line="240" w:lineRule="auto"/>
              <w:jc w:val="center"/>
              <w:rPr>
                <w:rFonts w:ascii="Arial" w:hAnsi="Arial" w:cs="Arial"/>
                <w:color w:val="000000"/>
                <w:sz w:val="18"/>
                <w:szCs w:val="18"/>
              </w:rPr>
            </w:pPr>
            <w:r>
              <w:rPr>
                <w:rFonts w:ascii="Arial" w:hAnsi="Arial" w:cs="Arial"/>
                <w:color w:val="000000"/>
                <w:sz w:val="18"/>
                <w:szCs w:val="18"/>
              </w:rPr>
              <w:t>002</w:t>
            </w:r>
          </w:p>
        </w:tc>
        <w:tc>
          <w:tcPr>
            <w:tcW w:w="2439" w:type="dxa"/>
            <w:tcBorders>
              <w:top w:val="nil"/>
              <w:left w:val="nil"/>
              <w:bottom w:val="single" w:sz="4" w:space="0" w:color="auto"/>
              <w:right w:val="single" w:sz="4" w:space="0" w:color="auto"/>
              <w:tl2br w:val="nil"/>
              <w:tr2bl w:val="nil"/>
            </w:tcBorders>
            <w:noWrap/>
            <w:textDirection w:val="lrTb"/>
            <w:vAlign w:val="center"/>
          </w:tcPr>
          <w:p w:rsidR="00F96ACE" w:rsidP="00F96ACE">
            <w:pPr>
              <w:spacing w:line="240" w:lineRule="auto"/>
              <w:jc w:val="right"/>
              <w:rPr>
                <w:rFonts w:ascii="Arial" w:hAnsi="Arial" w:cs="Arial"/>
                <w:color w:val="000000"/>
                <w:sz w:val="18"/>
                <w:szCs w:val="18"/>
              </w:rPr>
            </w:pPr>
            <w:r>
              <w:rPr>
                <w:rFonts w:ascii="Arial" w:hAnsi="Arial" w:cs="Arial"/>
                <w:color w:val="000000"/>
                <w:sz w:val="18"/>
                <w:szCs w:val="18"/>
              </w:rPr>
              <w:t> </w:t>
            </w:r>
          </w:p>
        </w:tc>
      </w:tr>
      <w:tr>
        <w:tblPrEx>
          <w:tblW w:w="9375" w:type="dxa"/>
          <w:tblInd w:w="55" w:type="dxa"/>
          <w:tblCellMar>
            <w:left w:w="70" w:type="dxa"/>
            <w:right w:w="70" w:type="dxa"/>
          </w:tblCellMar>
        </w:tblPrEx>
        <w:trPr>
          <w:trHeight w:hRule="exact" w:val="284"/>
        </w:trPr>
        <w:tc>
          <w:tcPr>
            <w:tcW w:w="1041" w:type="dxa"/>
            <w:tcBorders>
              <w:top w:val="nil"/>
              <w:left w:val="single" w:sz="4" w:space="0" w:color="auto"/>
              <w:bottom w:val="single" w:sz="4" w:space="0" w:color="auto"/>
              <w:right w:val="single" w:sz="4" w:space="0" w:color="auto"/>
              <w:tl2br w:val="nil"/>
              <w:tr2bl w:val="nil"/>
            </w:tcBorders>
            <w:textDirection w:val="lrTb"/>
            <w:vAlign w:val="center"/>
          </w:tcPr>
          <w:p w:rsidR="00F96ACE" w:rsidP="00F96ACE">
            <w:pPr>
              <w:spacing w:line="240" w:lineRule="auto"/>
              <w:rPr>
                <w:rFonts w:ascii="Arial" w:hAnsi="Arial" w:cs="Arial"/>
                <w:color w:val="000000"/>
                <w:sz w:val="18"/>
                <w:szCs w:val="18"/>
              </w:rPr>
            </w:pPr>
            <w:r>
              <w:rPr>
                <w:rFonts w:ascii="Arial" w:hAnsi="Arial" w:cs="Arial"/>
                <w:color w:val="000000"/>
                <w:sz w:val="18"/>
                <w:szCs w:val="18"/>
              </w:rPr>
              <w:t>B.</w:t>
            </w:r>
          </w:p>
        </w:tc>
        <w:tc>
          <w:tcPr>
            <w:tcW w:w="5314" w:type="dxa"/>
            <w:tcBorders>
              <w:top w:val="nil"/>
              <w:left w:val="nil"/>
              <w:bottom w:val="single" w:sz="4" w:space="0" w:color="auto"/>
              <w:right w:val="single" w:sz="4" w:space="0" w:color="auto"/>
              <w:tl2br w:val="nil"/>
              <w:tr2bl w:val="nil"/>
            </w:tcBorders>
            <w:textDirection w:val="lrTb"/>
            <w:vAlign w:val="center"/>
          </w:tcPr>
          <w:p w:rsidR="00F96ACE" w:rsidP="00F96ACE">
            <w:pPr>
              <w:spacing w:line="240" w:lineRule="auto"/>
              <w:jc w:val="left"/>
              <w:rPr>
                <w:rFonts w:ascii="Arial" w:hAnsi="Arial" w:cs="Arial"/>
                <w:color w:val="000000"/>
                <w:sz w:val="18"/>
                <w:szCs w:val="18"/>
              </w:rPr>
            </w:pPr>
            <w:r>
              <w:rPr>
                <w:rFonts w:ascii="Arial" w:hAnsi="Arial" w:cs="Arial"/>
                <w:color w:val="000000"/>
                <w:sz w:val="18"/>
                <w:szCs w:val="18"/>
              </w:rPr>
              <w:t xml:space="preserve">Neobežný majetok </w:t>
            </w:r>
            <w:r w:rsidR="00CD162C">
              <w:rPr>
                <w:rFonts w:ascii="Arial" w:hAnsi="Arial" w:cs="Arial"/>
                <w:color w:val="000000"/>
                <w:sz w:val="18"/>
                <w:szCs w:val="18"/>
              </w:rPr>
              <w:t>(</w:t>
            </w:r>
            <w:r>
              <w:rPr>
                <w:rFonts w:ascii="Arial" w:hAnsi="Arial" w:cs="Arial"/>
                <w:color w:val="000000"/>
                <w:sz w:val="18"/>
                <w:szCs w:val="18"/>
              </w:rPr>
              <w:t>r. 004+ r. 013+ r. 023</w:t>
            </w:r>
            <w:r w:rsidR="00CD162C">
              <w:rPr>
                <w:rFonts w:ascii="Arial" w:hAnsi="Arial" w:cs="Arial"/>
                <w:color w:val="000000"/>
                <w:sz w:val="18"/>
                <w:szCs w:val="18"/>
              </w:rPr>
              <w:t>)</w:t>
            </w:r>
          </w:p>
        </w:tc>
        <w:tc>
          <w:tcPr>
            <w:tcW w:w="581" w:type="dxa"/>
            <w:tcBorders>
              <w:top w:val="nil"/>
              <w:left w:val="nil"/>
              <w:bottom w:val="single" w:sz="4" w:space="0" w:color="auto"/>
              <w:right w:val="single" w:sz="4" w:space="0" w:color="auto"/>
              <w:tl2br w:val="nil"/>
              <w:tr2bl w:val="nil"/>
            </w:tcBorders>
            <w:textDirection w:val="lrTb"/>
            <w:vAlign w:val="center"/>
          </w:tcPr>
          <w:p w:rsidR="00F96ACE" w:rsidP="00E167CA">
            <w:pPr>
              <w:spacing w:line="240" w:lineRule="auto"/>
              <w:jc w:val="center"/>
              <w:rPr>
                <w:rFonts w:ascii="Arial" w:hAnsi="Arial" w:cs="Arial"/>
                <w:color w:val="000000"/>
                <w:sz w:val="18"/>
                <w:szCs w:val="18"/>
              </w:rPr>
            </w:pPr>
            <w:r>
              <w:rPr>
                <w:rFonts w:ascii="Arial" w:hAnsi="Arial" w:cs="Arial"/>
                <w:color w:val="000000"/>
                <w:sz w:val="18"/>
                <w:szCs w:val="18"/>
              </w:rPr>
              <w:t>003</w:t>
            </w:r>
          </w:p>
        </w:tc>
        <w:tc>
          <w:tcPr>
            <w:tcW w:w="2439" w:type="dxa"/>
            <w:tcBorders>
              <w:top w:val="nil"/>
              <w:left w:val="nil"/>
              <w:bottom w:val="single" w:sz="4" w:space="0" w:color="auto"/>
              <w:right w:val="single" w:sz="4" w:space="0" w:color="auto"/>
              <w:tl2br w:val="nil"/>
              <w:tr2bl w:val="nil"/>
            </w:tcBorders>
            <w:noWrap/>
            <w:textDirection w:val="lrTb"/>
            <w:vAlign w:val="center"/>
          </w:tcPr>
          <w:p w:rsidR="00F96ACE" w:rsidP="00F96ACE">
            <w:pPr>
              <w:spacing w:line="240" w:lineRule="auto"/>
              <w:jc w:val="right"/>
              <w:rPr>
                <w:rFonts w:ascii="Arial" w:hAnsi="Arial" w:cs="Arial"/>
                <w:color w:val="000000"/>
                <w:sz w:val="18"/>
                <w:szCs w:val="18"/>
              </w:rPr>
            </w:pPr>
            <w:r w:rsidR="00A925FE">
              <w:rPr>
                <w:rFonts w:ascii="Arial" w:hAnsi="Arial" w:cs="Arial"/>
                <w:color w:val="000000"/>
                <w:sz w:val="18"/>
                <w:szCs w:val="18"/>
              </w:rPr>
              <w:t>139 696 448</w:t>
            </w:r>
          </w:p>
        </w:tc>
      </w:tr>
      <w:tr>
        <w:tblPrEx>
          <w:tblW w:w="9375" w:type="dxa"/>
          <w:tblInd w:w="55" w:type="dxa"/>
          <w:tblCellMar>
            <w:left w:w="70" w:type="dxa"/>
            <w:right w:w="70" w:type="dxa"/>
          </w:tblCellMar>
        </w:tblPrEx>
        <w:trPr>
          <w:trHeight w:hRule="exact" w:val="284"/>
        </w:trPr>
        <w:tc>
          <w:tcPr>
            <w:tcW w:w="1041" w:type="dxa"/>
            <w:tcBorders>
              <w:top w:val="nil"/>
              <w:left w:val="single" w:sz="4" w:space="0" w:color="auto"/>
              <w:bottom w:val="single" w:sz="4" w:space="0" w:color="auto"/>
              <w:right w:val="single" w:sz="4" w:space="0" w:color="auto"/>
              <w:tl2br w:val="nil"/>
              <w:tr2bl w:val="nil"/>
            </w:tcBorders>
            <w:textDirection w:val="lrTb"/>
            <w:vAlign w:val="center"/>
          </w:tcPr>
          <w:p w:rsidR="00F96ACE" w:rsidP="00F96ACE">
            <w:pPr>
              <w:spacing w:line="240" w:lineRule="auto"/>
              <w:rPr>
                <w:rFonts w:ascii="Arial" w:hAnsi="Arial" w:cs="Arial"/>
                <w:color w:val="000000"/>
                <w:sz w:val="18"/>
                <w:szCs w:val="18"/>
              </w:rPr>
            </w:pPr>
            <w:r>
              <w:rPr>
                <w:rFonts w:ascii="Arial" w:hAnsi="Arial" w:cs="Arial"/>
                <w:color w:val="000000"/>
                <w:sz w:val="18"/>
                <w:szCs w:val="18"/>
              </w:rPr>
              <w:t>B.l.</w:t>
            </w:r>
          </w:p>
        </w:tc>
        <w:tc>
          <w:tcPr>
            <w:tcW w:w="5314" w:type="dxa"/>
            <w:tcBorders>
              <w:top w:val="nil"/>
              <w:left w:val="nil"/>
              <w:bottom w:val="single" w:sz="4" w:space="0" w:color="auto"/>
              <w:right w:val="single" w:sz="4" w:space="0" w:color="auto"/>
              <w:tl2br w:val="nil"/>
              <w:tr2bl w:val="nil"/>
            </w:tcBorders>
            <w:textDirection w:val="lrTb"/>
            <w:vAlign w:val="center"/>
          </w:tcPr>
          <w:p w:rsidR="00F96ACE" w:rsidP="00F96ACE">
            <w:pPr>
              <w:spacing w:line="240" w:lineRule="auto"/>
              <w:jc w:val="left"/>
              <w:rPr>
                <w:rFonts w:ascii="Arial" w:hAnsi="Arial" w:cs="Arial"/>
                <w:color w:val="000000"/>
                <w:sz w:val="18"/>
                <w:szCs w:val="18"/>
              </w:rPr>
            </w:pPr>
            <w:r>
              <w:rPr>
                <w:rFonts w:ascii="Arial" w:hAnsi="Arial" w:cs="Arial"/>
                <w:color w:val="000000"/>
                <w:sz w:val="18"/>
                <w:szCs w:val="18"/>
              </w:rPr>
              <w:t>Dlhodobý nehmotný majetok súčet (r. 005 až 012)</w:t>
            </w:r>
          </w:p>
        </w:tc>
        <w:tc>
          <w:tcPr>
            <w:tcW w:w="581" w:type="dxa"/>
            <w:tcBorders>
              <w:top w:val="nil"/>
              <w:left w:val="nil"/>
              <w:bottom w:val="single" w:sz="4" w:space="0" w:color="auto"/>
              <w:right w:val="single" w:sz="4" w:space="0" w:color="auto"/>
              <w:tl2br w:val="nil"/>
              <w:tr2bl w:val="nil"/>
            </w:tcBorders>
            <w:textDirection w:val="lrTb"/>
            <w:vAlign w:val="center"/>
          </w:tcPr>
          <w:p w:rsidR="00F96ACE" w:rsidP="00E167CA">
            <w:pPr>
              <w:spacing w:line="240" w:lineRule="auto"/>
              <w:jc w:val="center"/>
              <w:rPr>
                <w:rFonts w:ascii="Arial" w:hAnsi="Arial" w:cs="Arial"/>
                <w:color w:val="000000"/>
                <w:sz w:val="18"/>
                <w:szCs w:val="18"/>
              </w:rPr>
            </w:pPr>
            <w:r>
              <w:rPr>
                <w:rFonts w:ascii="Arial" w:hAnsi="Arial" w:cs="Arial"/>
                <w:color w:val="000000"/>
                <w:sz w:val="18"/>
                <w:szCs w:val="18"/>
              </w:rPr>
              <w:t>004</w:t>
            </w:r>
          </w:p>
        </w:tc>
        <w:tc>
          <w:tcPr>
            <w:tcW w:w="2439" w:type="dxa"/>
            <w:tcBorders>
              <w:top w:val="nil"/>
              <w:left w:val="nil"/>
              <w:bottom w:val="single" w:sz="4" w:space="0" w:color="auto"/>
              <w:right w:val="single" w:sz="4" w:space="0" w:color="auto"/>
              <w:tl2br w:val="nil"/>
              <w:tr2bl w:val="nil"/>
            </w:tcBorders>
            <w:noWrap/>
            <w:textDirection w:val="lrTb"/>
            <w:vAlign w:val="center"/>
          </w:tcPr>
          <w:p w:rsidR="00F96ACE" w:rsidP="00F96ACE">
            <w:pPr>
              <w:spacing w:line="240" w:lineRule="auto"/>
              <w:jc w:val="right"/>
              <w:rPr>
                <w:rFonts w:ascii="Arial" w:hAnsi="Arial" w:cs="Arial"/>
                <w:color w:val="000000"/>
                <w:sz w:val="18"/>
                <w:szCs w:val="18"/>
              </w:rPr>
            </w:pPr>
            <w:r w:rsidR="00A925FE">
              <w:rPr>
                <w:rFonts w:ascii="Arial" w:hAnsi="Arial" w:cs="Arial"/>
                <w:color w:val="000000"/>
                <w:sz w:val="18"/>
                <w:szCs w:val="18"/>
              </w:rPr>
              <w:t>14 513</w:t>
            </w:r>
          </w:p>
        </w:tc>
      </w:tr>
      <w:tr>
        <w:tblPrEx>
          <w:tblW w:w="9375" w:type="dxa"/>
          <w:tblInd w:w="55" w:type="dxa"/>
          <w:tblCellMar>
            <w:left w:w="70" w:type="dxa"/>
            <w:right w:w="70" w:type="dxa"/>
          </w:tblCellMar>
        </w:tblPrEx>
        <w:trPr>
          <w:trHeight w:hRule="exact" w:val="284"/>
        </w:trPr>
        <w:tc>
          <w:tcPr>
            <w:tcW w:w="1041" w:type="dxa"/>
            <w:tcBorders>
              <w:top w:val="nil"/>
              <w:left w:val="single" w:sz="4" w:space="0" w:color="auto"/>
              <w:bottom w:val="single" w:sz="4" w:space="0" w:color="auto"/>
              <w:right w:val="single" w:sz="4" w:space="0" w:color="auto"/>
              <w:tl2br w:val="nil"/>
              <w:tr2bl w:val="nil"/>
            </w:tcBorders>
            <w:textDirection w:val="lrTb"/>
            <w:vAlign w:val="center"/>
          </w:tcPr>
          <w:p w:rsidR="00F96ACE" w:rsidP="00F96ACE">
            <w:pPr>
              <w:spacing w:line="240" w:lineRule="auto"/>
              <w:rPr>
                <w:rFonts w:ascii="Arial" w:hAnsi="Arial" w:cs="Arial"/>
                <w:color w:val="000000"/>
                <w:sz w:val="18"/>
                <w:szCs w:val="18"/>
              </w:rPr>
            </w:pPr>
            <w:r>
              <w:rPr>
                <w:rFonts w:ascii="Arial" w:hAnsi="Arial" w:cs="Arial"/>
                <w:color w:val="000000"/>
                <w:sz w:val="18"/>
                <w:szCs w:val="18"/>
              </w:rPr>
              <w:t>B.I.3.</w:t>
            </w:r>
          </w:p>
        </w:tc>
        <w:tc>
          <w:tcPr>
            <w:tcW w:w="5314" w:type="dxa"/>
            <w:tcBorders>
              <w:top w:val="nil"/>
              <w:left w:val="nil"/>
              <w:bottom w:val="single" w:sz="4" w:space="0" w:color="auto"/>
              <w:right w:val="single" w:sz="4" w:space="0" w:color="auto"/>
              <w:tl2br w:val="nil"/>
              <w:tr2bl w:val="nil"/>
            </w:tcBorders>
            <w:textDirection w:val="lrTb"/>
            <w:vAlign w:val="center"/>
          </w:tcPr>
          <w:p w:rsidR="00F96ACE" w:rsidP="00F96ACE">
            <w:pPr>
              <w:spacing w:line="240" w:lineRule="auto"/>
              <w:jc w:val="left"/>
              <w:rPr>
                <w:rFonts w:ascii="Arial" w:hAnsi="Arial" w:cs="Arial"/>
                <w:color w:val="000000"/>
                <w:sz w:val="18"/>
                <w:szCs w:val="18"/>
              </w:rPr>
            </w:pPr>
            <w:r w:rsidR="00CD162C">
              <w:rPr>
                <w:rFonts w:ascii="Arial" w:hAnsi="Arial" w:cs="Arial"/>
                <w:color w:val="000000"/>
                <w:sz w:val="18"/>
                <w:szCs w:val="18"/>
              </w:rPr>
              <w:t xml:space="preserve">Softvér (013) - </w:t>
            </w:r>
            <w:r w:rsidR="00EA3AC8">
              <w:rPr>
                <w:rFonts w:ascii="Arial" w:hAnsi="Arial" w:cs="Arial"/>
                <w:color w:val="000000"/>
                <w:sz w:val="18"/>
                <w:szCs w:val="18"/>
              </w:rPr>
              <w:t>/</w:t>
            </w:r>
            <w:r w:rsidR="00CD162C">
              <w:rPr>
                <w:rFonts w:ascii="Arial" w:hAnsi="Arial" w:cs="Arial"/>
                <w:color w:val="000000"/>
                <w:sz w:val="18"/>
                <w:szCs w:val="18"/>
              </w:rPr>
              <w:t>073,091A</w:t>
            </w:r>
            <w:r w:rsidR="00EA3AC8">
              <w:rPr>
                <w:rFonts w:ascii="Arial" w:hAnsi="Arial" w:cs="Arial"/>
                <w:color w:val="000000"/>
                <w:sz w:val="18"/>
                <w:szCs w:val="18"/>
              </w:rPr>
              <w:t>/</w:t>
            </w:r>
          </w:p>
        </w:tc>
        <w:tc>
          <w:tcPr>
            <w:tcW w:w="581" w:type="dxa"/>
            <w:tcBorders>
              <w:top w:val="nil"/>
              <w:left w:val="nil"/>
              <w:bottom w:val="single" w:sz="4" w:space="0" w:color="auto"/>
              <w:right w:val="single" w:sz="4" w:space="0" w:color="auto"/>
              <w:tl2br w:val="nil"/>
              <w:tr2bl w:val="nil"/>
            </w:tcBorders>
            <w:textDirection w:val="lrTb"/>
            <w:vAlign w:val="center"/>
          </w:tcPr>
          <w:p w:rsidR="00F96ACE" w:rsidP="00E167CA">
            <w:pPr>
              <w:spacing w:line="240" w:lineRule="auto"/>
              <w:jc w:val="center"/>
              <w:rPr>
                <w:rFonts w:ascii="Arial" w:hAnsi="Arial" w:cs="Arial"/>
                <w:color w:val="000000"/>
                <w:sz w:val="18"/>
                <w:szCs w:val="18"/>
              </w:rPr>
            </w:pPr>
            <w:r>
              <w:rPr>
                <w:rFonts w:ascii="Arial" w:hAnsi="Arial" w:cs="Arial"/>
                <w:color w:val="000000"/>
                <w:sz w:val="18"/>
                <w:szCs w:val="18"/>
              </w:rPr>
              <w:t>007</w:t>
            </w:r>
          </w:p>
        </w:tc>
        <w:tc>
          <w:tcPr>
            <w:tcW w:w="2439" w:type="dxa"/>
            <w:tcBorders>
              <w:top w:val="nil"/>
              <w:left w:val="nil"/>
              <w:bottom w:val="single" w:sz="4" w:space="0" w:color="auto"/>
              <w:right w:val="single" w:sz="4" w:space="0" w:color="auto"/>
              <w:tl2br w:val="nil"/>
              <w:tr2bl w:val="nil"/>
            </w:tcBorders>
            <w:noWrap/>
            <w:textDirection w:val="lrTb"/>
            <w:vAlign w:val="center"/>
          </w:tcPr>
          <w:p w:rsidR="00F96ACE" w:rsidP="00F96ACE">
            <w:pPr>
              <w:spacing w:line="240" w:lineRule="auto"/>
              <w:jc w:val="right"/>
              <w:rPr>
                <w:rFonts w:ascii="Arial" w:hAnsi="Arial" w:cs="Arial"/>
                <w:color w:val="000000"/>
                <w:sz w:val="18"/>
                <w:szCs w:val="18"/>
              </w:rPr>
            </w:pPr>
            <w:r w:rsidR="00A925FE">
              <w:rPr>
                <w:rFonts w:ascii="Arial" w:hAnsi="Arial" w:cs="Arial"/>
                <w:color w:val="000000"/>
                <w:sz w:val="18"/>
                <w:szCs w:val="18"/>
              </w:rPr>
              <w:t>12 815</w:t>
            </w:r>
          </w:p>
        </w:tc>
      </w:tr>
      <w:tr>
        <w:tblPrEx>
          <w:tblW w:w="9375" w:type="dxa"/>
          <w:tblInd w:w="55" w:type="dxa"/>
          <w:tblCellMar>
            <w:left w:w="70" w:type="dxa"/>
            <w:right w:w="70" w:type="dxa"/>
          </w:tblCellMar>
        </w:tblPrEx>
        <w:trPr>
          <w:trHeight w:hRule="exact" w:val="284"/>
        </w:trPr>
        <w:tc>
          <w:tcPr>
            <w:tcW w:w="1041" w:type="dxa"/>
            <w:tcBorders>
              <w:top w:val="nil"/>
              <w:left w:val="single" w:sz="4" w:space="0" w:color="auto"/>
              <w:bottom w:val="single" w:sz="4" w:space="0" w:color="auto"/>
              <w:right w:val="single" w:sz="4" w:space="0" w:color="auto"/>
              <w:tl2br w:val="nil"/>
              <w:tr2bl w:val="nil"/>
            </w:tcBorders>
            <w:textDirection w:val="lrTb"/>
            <w:vAlign w:val="center"/>
          </w:tcPr>
          <w:p w:rsidR="00F96ACE" w:rsidP="00F96ACE">
            <w:pPr>
              <w:spacing w:line="240" w:lineRule="auto"/>
              <w:rPr>
                <w:rFonts w:ascii="Arial" w:hAnsi="Arial" w:cs="Arial"/>
                <w:color w:val="000000"/>
                <w:sz w:val="18"/>
                <w:szCs w:val="18"/>
              </w:rPr>
            </w:pPr>
            <w:r>
              <w:rPr>
                <w:rFonts w:ascii="Arial" w:hAnsi="Arial" w:cs="Arial"/>
                <w:color w:val="000000"/>
                <w:sz w:val="18"/>
                <w:szCs w:val="18"/>
              </w:rPr>
              <w:t>B.I.7.</w:t>
            </w:r>
          </w:p>
        </w:tc>
        <w:tc>
          <w:tcPr>
            <w:tcW w:w="5314" w:type="dxa"/>
            <w:tcBorders>
              <w:top w:val="nil"/>
              <w:left w:val="nil"/>
              <w:bottom w:val="single" w:sz="4" w:space="0" w:color="auto"/>
              <w:right w:val="single" w:sz="4" w:space="0" w:color="auto"/>
              <w:tl2br w:val="nil"/>
              <w:tr2bl w:val="nil"/>
            </w:tcBorders>
            <w:textDirection w:val="lrTb"/>
            <w:vAlign w:val="center"/>
          </w:tcPr>
          <w:p w:rsidR="00F96ACE" w:rsidP="00F96ACE">
            <w:pPr>
              <w:spacing w:line="240" w:lineRule="auto"/>
              <w:jc w:val="left"/>
              <w:rPr>
                <w:rFonts w:ascii="Arial" w:hAnsi="Arial" w:cs="Arial"/>
                <w:color w:val="000000"/>
                <w:sz w:val="18"/>
                <w:szCs w:val="18"/>
              </w:rPr>
            </w:pPr>
            <w:r>
              <w:rPr>
                <w:rFonts w:ascii="Arial" w:hAnsi="Arial" w:cs="Arial"/>
                <w:color w:val="000000"/>
                <w:sz w:val="18"/>
                <w:szCs w:val="18"/>
              </w:rPr>
              <w:t>Obstarávaný</w:t>
            </w:r>
            <w:r w:rsidR="00CD162C">
              <w:rPr>
                <w:rFonts w:ascii="Arial" w:hAnsi="Arial" w:cs="Arial"/>
                <w:color w:val="000000"/>
                <w:sz w:val="18"/>
                <w:szCs w:val="18"/>
              </w:rPr>
              <w:t xml:space="preserve"> dlhodobý nehmotný majetok (041) - </w:t>
            </w:r>
            <w:r>
              <w:rPr>
                <w:rFonts w:ascii="Arial" w:hAnsi="Arial" w:cs="Arial"/>
                <w:color w:val="000000"/>
                <w:sz w:val="18"/>
                <w:szCs w:val="18"/>
              </w:rPr>
              <w:t>093</w:t>
            </w:r>
          </w:p>
        </w:tc>
        <w:tc>
          <w:tcPr>
            <w:tcW w:w="581" w:type="dxa"/>
            <w:tcBorders>
              <w:top w:val="nil"/>
              <w:left w:val="nil"/>
              <w:bottom w:val="single" w:sz="4" w:space="0" w:color="auto"/>
              <w:right w:val="single" w:sz="4" w:space="0" w:color="auto"/>
              <w:tl2br w:val="nil"/>
              <w:tr2bl w:val="nil"/>
            </w:tcBorders>
            <w:textDirection w:val="lrTb"/>
            <w:vAlign w:val="center"/>
          </w:tcPr>
          <w:p w:rsidR="00F96ACE" w:rsidP="00E167CA">
            <w:pPr>
              <w:spacing w:line="240" w:lineRule="auto"/>
              <w:jc w:val="center"/>
              <w:rPr>
                <w:rFonts w:ascii="Arial" w:hAnsi="Arial" w:cs="Arial"/>
                <w:color w:val="000000"/>
                <w:sz w:val="18"/>
                <w:szCs w:val="18"/>
              </w:rPr>
            </w:pPr>
            <w:r>
              <w:rPr>
                <w:rFonts w:ascii="Arial" w:hAnsi="Arial" w:cs="Arial"/>
                <w:color w:val="000000"/>
                <w:sz w:val="18"/>
                <w:szCs w:val="18"/>
              </w:rPr>
              <w:t>011</w:t>
            </w:r>
          </w:p>
        </w:tc>
        <w:tc>
          <w:tcPr>
            <w:tcW w:w="2439" w:type="dxa"/>
            <w:tcBorders>
              <w:top w:val="nil"/>
              <w:left w:val="nil"/>
              <w:bottom w:val="single" w:sz="4" w:space="0" w:color="auto"/>
              <w:right w:val="single" w:sz="4" w:space="0" w:color="auto"/>
              <w:tl2br w:val="nil"/>
              <w:tr2bl w:val="nil"/>
            </w:tcBorders>
            <w:noWrap/>
            <w:textDirection w:val="lrTb"/>
            <w:vAlign w:val="center"/>
          </w:tcPr>
          <w:p w:rsidR="00F96ACE" w:rsidP="00F96ACE">
            <w:pPr>
              <w:spacing w:line="240" w:lineRule="auto"/>
              <w:jc w:val="right"/>
              <w:rPr>
                <w:rFonts w:ascii="Arial" w:hAnsi="Arial" w:cs="Arial"/>
                <w:color w:val="000000"/>
                <w:sz w:val="18"/>
                <w:szCs w:val="18"/>
              </w:rPr>
            </w:pPr>
            <w:r>
              <w:rPr>
                <w:rFonts w:ascii="Arial" w:hAnsi="Arial" w:cs="Arial"/>
                <w:color w:val="000000"/>
                <w:sz w:val="18"/>
                <w:szCs w:val="18"/>
              </w:rPr>
              <w:t>1 698</w:t>
            </w:r>
          </w:p>
        </w:tc>
      </w:tr>
      <w:tr>
        <w:tblPrEx>
          <w:tblW w:w="9375" w:type="dxa"/>
          <w:tblInd w:w="55" w:type="dxa"/>
          <w:tblCellMar>
            <w:left w:w="70" w:type="dxa"/>
            <w:right w:w="70" w:type="dxa"/>
          </w:tblCellMar>
        </w:tblPrEx>
        <w:trPr>
          <w:trHeight w:hRule="exact" w:val="284"/>
        </w:trPr>
        <w:tc>
          <w:tcPr>
            <w:tcW w:w="1041" w:type="dxa"/>
            <w:tcBorders>
              <w:top w:val="nil"/>
              <w:left w:val="single" w:sz="4" w:space="0" w:color="auto"/>
              <w:bottom w:val="single" w:sz="4" w:space="0" w:color="auto"/>
              <w:right w:val="single" w:sz="4" w:space="0" w:color="auto"/>
              <w:tl2br w:val="nil"/>
              <w:tr2bl w:val="nil"/>
            </w:tcBorders>
            <w:textDirection w:val="lrTb"/>
            <w:vAlign w:val="center"/>
          </w:tcPr>
          <w:p w:rsidR="00F96ACE" w:rsidP="00F96ACE">
            <w:pPr>
              <w:spacing w:line="240" w:lineRule="auto"/>
              <w:rPr>
                <w:rFonts w:ascii="Arial" w:hAnsi="Arial" w:cs="Arial"/>
                <w:color w:val="000000"/>
                <w:sz w:val="18"/>
                <w:szCs w:val="18"/>
              </w:rPr>
            </w:pPr>
            <w:r>
              <w:rPr>
                <w:rFonts w:ascii="Arial" w:hAnsi="Arial" w:cs="Arial"/>
                <w:color w:val="000000"/>
                <w:sz w:val="18"/>
                <w:szCs w:val="18"/>
              </w:rPr>
              <w:t>B.ll.</w:t>
            </w:r>
          </w:p>
        </w:tc>
        <w:tc>
          <w:tcPr>
            <w:tcW w:w="5314" w:type="dxa"/>
            <w:tcBorders>
              <w:top w:val="nil"/>
              <w:left w:val="nil"/>
              <w:bottom w:val="single" w:sz="4" w:space="0" w:color="auto"/>
              <w:right w:val="single" w:sz="4" w:space="0" w:color="auto"/>
              <w:tl2br w:val="nil"/>
              <w:tr2bl w:val="nil"/>
            </w:tcBorders>
            <w:textDirection w:val="lrTb"/>
            <w:vAlign w:val="center"/>
          </w:tcPr>
          <w:p w:rsidR="00F96ACE" w:rsidP="00F96ACE">
            <w:pPr>
              <w:spacing w:line="240" w:lineRule="auto"/>
              <w:jc w:val="left"/>
              <w:rPr>
                <w:rFonts w:ascii="Arial" w:hAnsi="Arial" w:cs="Arial"/>
                <w:color w:val="000000"/>
                <w:sz w:val="18"/>
                <w:szCs w:val="18"/>
              </w:rPr>
            </w:pPr>
            <w:r>
              <w:rPr>
                <w:rFonts w:ascii="Arial" w:hAnsi="Arial" w:cs="Arial"/>
                <w:color w:val="000000"/>
                <w:sz w:val="18"/>
                <w:szCs w:val="18"/>
              </w:rPr>
              <w:t>Dlhodobý hmotný majetok súčet (r. 014 až 022)</w:t>
            </w:r>
          </w:p>
        </w:tc>
        <w:tc>
          <w:tcPr>
            <w:tcW w:w="581" w:type="dxa"/>
            <w:tcBorders>
              <w:top w:val="nil"/>
              <w:left w:val="nil"/>
              <w:bottom w:val="single" w:sz="4" w:space="0" w:color="auto"/>
              <w:right w:val="single" w:sz="4" w:space="0" w:color="auto"/>
              <w:tl2br w:val="nil"/>
              <w:tr2bl w:val="nil"/>
            </w:tcBorders>
            <w:textDirection w:val="lrTb"/>
            <w:vAlign w:val="center"/>
          </w:tcPr>
          <w:p w:rsidR="00F96ACE" w:rsidP="00E167CA">
            <w:pPr>
              <w:spacing w:line="240" w:lineRule="auto"/>
              <w:jc w:val="center"/>
              <w:rPr>
                <w:rFonts w:ascii="Arial" w:hAnsi="Arial" w:cs="Arial"/>
                <w:color w:val="000000"/>
                <w:sz w:val="18"/>
                <w:szCs w:val="18"/>
              </w:rPr>
            </w:pPr>
            <w:r>
              <w:rPr>
                <w:rFonts w:ascii="Arial" w:hAnsi="Arial" w:cs="Arial"/>
                <w:color w:val="000000"/>
                <w:sz w:val="18"/>
                <w:szCs w:val="18"/>
              </w:rPr>
              <w:t>013</w:t>
            </w:r>
          </w:p>
        </w:tc>
        <w:tc>
          <w:tcPr>
            <w:tcW w:w="2439" w:type="dxa"/>
            <w:tcBorders>
              <w:top w:val="nil"/>
              <w:left w:val="nil"/>
              <w:bottom w:val="single" w:sz="4" w:space="0" w:color="auto"/>
              <w:right w:val="single" w:sz="4" w:space="0" w:color="auto"/>
              <w:tl2br w:val="nil"/>
              <w:tr2bl w:val="nil"/>
            </w:tcBorders>
            <w:noWrap/>
            <w:textDirection w:val="lrTb"/>
            <w:vAlign w:val="center"/>
          </w:tcPr>
          <w:p w:rsidR="00F96ACE" w:rsidP="00F96ACE">
            <w:pPr>
              <w:spacing w:line="240" w:lineRule="auto"/>
              <w:jc w:val="right"/>
              <w:rPr>
                <w:rFonts w:ascii="Arial" w:hAnsi="Arial" w:cs="Arial"/>
                <w:color w:val="000000"/>
                <w:sz w:val="18"/>
                <w:szCs w:val="18"/>
              </w:rPr>
            </w:pPr>
            <w:r w:rsidR="00A925FE">
              <w:rPr>
                <w:rFonts w:ascii="Arial" w:hAnsi="Arial" w:cs="Arial"/>
                <w:color w:val="000000"/>
                <w:sz w:val="18"/>
                <w:szCs w:val="18"/>
              </w:rPr>
              <w:t>139 681 935</w:t>
            </w:r>
          </w:p>
        </w:tc>
      </w:tr>
      <w:tr>
        <w:tblPrEx>
          <w:tblW w:w="9375" w:type="dxa"/>
          <w:tblInd w:w="55" w:type="dxa"/>
          <w:tblCellMar>
            <w:left w:w="70" w:type="dxa"/>
            <w:right w:w="70" w:type="dxa"/>
          </w:tblCellMar>
        </w:tblPrEx>
        <w:trPr>
          <w:trHeight w:hRule="exact" w:val="284"/>
        </w:trPr>
        <w:tc>
          <w:tcPr>
            <w:tcW w:w="1041" w:type="dxa"/>
            <w:tcBorders>
              <w:top w:val="nil"/>
              <w:left w:val="single" w:sz="4" w:space="0" w:color="auto"/>
              <w:bottom w:val="single" w:sz="4" w:space="0" w:color="auto"/>
              <w:right w:val="single" w:sz="4" w:space="0" w:color="auto"/>
              <w:tl2br w:val="nil"/>
              <w:tr2bl w:val="nil"/>
            </w:tcBorders>
            <w:textDirection w:val="lrTb"/>
            <w:vAlign w:val="center"/>
          </w:tcPr>
          <w:p w:rsidR="00F96ACE" w:rsidP="00F96ACE">
            <w:pPr>
              <w:spacing w:line="240" w:lineRule="auto"/>
              <w:rPr>
                <w:rFonts w:ascii="Arial" w:hAnsi="Arial" w:cs="Arial"/>
                <w:color w:val="000000"/>
                <w:sz w:val="18"/>
                <w:szCs w:val="18"/>
              </w:rPr>
            </w:pPr>
            <w:r>
              <w:rPr>
                <w:rFonts w:ascii="Arial" w:hAnsi="Arial" w:cs="Arial"/>
                <w:color w:val="000000"/>
                <w:sz w:val="18"/>
                <w:szCs w:val="18"/>
              </w:rPr>
              <w:t>B.ll.1.</w:t>
            </w:r>
          </w:p>
        </w:tc>
        <w:tc>
          <w:tcPr>
            <w:tcW w:w="5314" w:type="dxa"/>
            <w:tcBorders>
              <w:top w:val="nil"/>
              <w:left w:val="nil"/>
              <w:bottom w:val="single" w:sz="4" w:space="0" w:color="auto"/>
              <w:right w:val="single" w:sz="4" w:space="0" w:color="auto"/>
              <w:tl2br w:val="nil"/>
              <w:tr2bl w:val="nil"/>
            </w:tcBorders>
            <w:textDirection w:val="lrTb"/>
            <w:vAlign w:val="center"/>
          </w:tcPr>
          <w:p w:rsidR="00F96ACE" w:rsidP="00F96ACE">
            <w:pPr>
              <w:spacing w:line="240" w:lineRule="auto"/>
              <w:jc w:val="left"/>
              <w:rPr>
                <w:rFonts w:ascii="Arial" w:hAnsi="Arial" w:cs="Arial"/>
                <w:color w:val="000000"/>
                <w:sz w:val="18"/>
                <w:szCs w:val="18"/>
              </w:rPr>
            </w:pPr>
            <w:r>
              <w:rPr>
                <w:rFonts w:ascii="Arial" w:hAnsi="Arial" w:cs="Arial"/>
                <w:color w:val="000000"/>
                <w:sz w:val="18"/>
                <w:szCs w:val="18"/>
              </w:rPr>
              <w:t>Pozemky (031)</w:t>
            </w:r>
            <w:r w:rsidR="00CD162C">
              <w:rPr>
                <w:rFonts w:ascii="Arial" w:hAnsi="Arial" w:cs="Arial"/>
                <w:color w:val="000000"/>
                <w:sz w:val="18"/>
                <w:szCs w:val="18"/>
              </w:rPr>
              <w:t xml:space="preserve"> - </w:t>
            </w:r>
            <w:r>
              <w:rPr>
                <w:rFonts w:ascii="Arial" w:hAnsi="Arial" w:cs="Arial"/>
                <w:color w:val="000000"/>
                <w:sz w:val="18"/>
                <w:szCs w:val="18"/>
              </w:rPr>
              <w:t>092A</w:t>
            </w:r>
          </w:p>
        </w:tc>
        <w:tc>
          <w:tcPr>
            <w:tcW w:w="581" w:type="dxa"/>
            <w:tcBorders>
              <w:top w:val="nil"/>
              <w:left w:val="nil"/>
              <w:bottom w:val="single" w:sz="4" w:space="0" w:color="auto"/>
              <w:right w:val="single" w:sz="4" w:space="0" w:color="auto"/>
              <w:tl2br w:val="nil"/>
              <w:tr2bl w:val="nil"/>
            </w:tcBorders>
            <w:textDirection w:val="lrTb"/>
            <w:vAlign w:val="center"/>
          </w:tcPr>
          <w:p w:rsidR="00F96ACE" w:rsidP="00E167CA">
            <w:pPr>
              <w:spacing w:line="240" w:lineRule="auto"/>
              <w:jc w:val="center"/>
              <w:rPr>
                <w:rFonts w:ascii="Arial" w:hAnsi="Arial" w:cs="Arial"/>
                <w:color w:val="000000"/>
                <w:sz w:val="18"/>
                <w:szCs w:val="18"/>
              </w:rPr>
            </w:pPr>
            <w:r>
              <w:rPr>
                <w:rFonts w:ascii="Arial" w:hAnsi="Arial" w:cs="Arial"/>
                <w:color w:val="000000"/>
                <w:sz w:val="18"/>
                <w:szCs w:val="18"/>
              </w:rPr>
              <w:t>014</w:t>
            </w:r>
          </w:p>
        </w:tc>
        <w:tc>
          <w:tcPr>
            <w:tcW w:w="2439" w:type="dxa"/>
            <w:tcBorders>
              <w:top w:val="nil"/>
              <w:left w:val="nil"/>
              <w:bottom w:val="single" w:sz="4" w:space="0" w:color="auto"/>
              <w:right w:val="single" w:sz="4" w:space="0" w:color="auto"/>
              <w:tl2br w:val="nil"/>
              <w:tr2bl w:val="nil"/>
            </w:tcBorders>
            <w:noWrap/>
            <w:textDirection w:val="lrTb"/>
            <w:vAlign w:val="center"/>
          </w:tcPr>
          <w:p w:rsidR="00F96ACE" w:rsidP="00F96ACE">
            <w:pPr>
              <w:spacing w:line="240" w:lineRule="auto"/>
              <w:jc w:val="right"/>
              <w:rPr>
                <w:rFonts w:ascii="Arial" w:hAnsi="Arial" w:cs="Arial"/>
                <w:color w:val="000000"/>
                <w:sz w:val="18"/>
                <w:szCs w:val="18"/>
              </w:rPr>
            </w:pPr>
            <w:r>
              <w:rPr>
                <w:rFonts w:ascii="Arial" w:hAnsi="Arial" w:cs="Arial"/>
                <w:color w:val="000000"/>
                <w:sz w:val="18"/>
                <w:szCs w:val="18"/>
              </w:rPr>
              <w:t>7 304 422</w:t>
            </w:r>
          </w:p>
        </w:tc>
      </w:tr>
      <w:tr>
        <w:tblPrEx>
          <w:tblW w:w="9375" w:type="dxa"/>
          <w:tblInd w:w="55" w:type="dxa"/>
          <w:tblCellMar>
            <w:left w:w="70" w:type="dxa"/>
            <w:right w:w="70" w:type="dxa"/>
          </w:tblCellMar>
        </w:tblPrEx>
        <w:trPr>
          <w:trHeight w:hRule="exact" w:val="284"/>
        </w:trPr>
        <w:tc>
          <w:tcPr>
            <w:tcW w:w="1041" w:type="dxa"/>
            <w:tcBorders>
              <w:top w:val="nil"/>
              <w:left w:val="single" w:sz="4" w:space="0" w:color="auto"/>
              <w:bottom w:val="single" w:sz="4" w:space="0" w:color="auto"/>
              <w:right w:val="single" w:sz="4" w:space="0" w:color="auto"/>
              <w:tl2br w:val="nil"/>
              <w:tr2bl w:val="nil"/>
            </w:tcBorders>
            <w:textDirection w:val="lrTb"/>
            <w:vAlign w:val="center"/>
          </w:tcPr>
          <w:p w:rsidR="00F96ACE" w:rsidP="00F96ACE">
            <w:pPr>
              <w:spacing w:line="240" w:lineRule="auto"/>
              <w:rPr>
                <w:rFonts w:ascii="Arial" w:hAnsi="Arial" w:cs="Arial"/>
                <w:color w:val="000000"/>
                <w:sz w:val="18"/>
                <w:szCs w:val="18"/>
              </w:rPr>
            </w:pPr>
            <w:r>
              <w:rPr>
                <w:rFonts w:ascii="Arial" w:hAnsi="Arial" w:cs="Arial"/>
                <w:color w:val="000000"/>
                <w:sz w:val="18"/>
                <w:szCs w:val="18"/>
              </w:rPr>
              <w:t>B.II.2.</w:t>
            </w:r>
          </w:p>
        </w:tc>
        <w:tc>
          <w:tcPr>
            <w:tcW w:w="5314" w:type="dxa"/>
            <w:tcBorders>
              <w:top w:val="nil"/>
              <w:left w:val="nil"/>
              <w:bottom w:val="single" w:sz="4" w:space="0" w:color="auto"/>
              <w:right w:val="single" w:sz="4" w:space="0" w:color="auto"/>
              <w:tl2br w:val="nil"/>
              <w:tr2bl w:val="nil"/>
            </w:tcBorders>
            <w:textDirection w:val="lrTb"/>
            <w:vAlign w:val="center"/>
          </w:tcPr>
          <w:p w:rsidR="00F96ACE" w:rsidP="00F96ACE">
            <w:pPr>
              <w:spacing w:line="240" w:lineRule="auto"/>
              <w:jc w:val="left"/>
              <w:rPr>
                <w:rFonts w:ascii="Arial" w:hAnsi="Arial" w:cs="Arial"/>
                <w:color w:val="000000"/>
                <w:sz w:val="18"/>
                <w:szCs w:val="18"/>
              </w:rPr>
            </w:pPr>
            <w:r w:rsidR="00CD162C">
              <w:rPr>
                <w:rFonts w:ascii="Arial" w:hAnsi="Arial" w:cs="Arial"/>
                <w:color w:val="000000"/>
                <w:sz w:val="18"/>
                <w:szCs w:val="18"/>
              </w:rPr>
              <w:t xml:space="preserve">Stavby (021) - </w:t>
            </w:r>
            <w:r w:rsidR="00EA3AC8">
              <w:rPr>
                <w:rFonts w:ascii="Arial" w:hAnsi="Arial" w:cs="Arial"/>
                <w:color w:val="000000"/>
                <w:sz w:val="18"/>
                <w:szCs w:val="18"/>
              </w:rPr>
              <w:t>/</w:t>
            </w:r>
            <w:r w:rsidR="00CD162C">
              <w:rPr>
                <w:rFonts w:ascii="Arial" w:hAnsi="Arial" w:cs="Arial"/>
                <w:color w:val="000000"/>
                <w:sz w:val="18"/>
                <w:szCs w:val="18"/>
              </w:rPr>
              <w:t>081,092A</w:t>
            </w:r>
            <w:r w:rsidR="00EA3AC8">
              <w:rPr>
                <w:rFonts w:ascii="Arial" w:hAnsi="Arial" w:cs="Arial"/>
                <w:color w:val="000000"/>
                <w:sz w:val="18"/>
                <w:szCs w:val="18"/>
              </w:rPr>
              <w:t>/</w:t>
            </w:r>
          </w:p>
        </w:tc>
        <w:tc>
          <w:tcPr>
            <w:tcW w:w="581" w:type="dxa"/>
            <w:tcBorders>
              <w:top w:val="nil"/>
              <w:left w:val="nil"/>
              <w:bottom w:val="single" w:sz="4" w:space="0" w:color="auto"/>
              <w:right w:val="single" w:sz="4" w:space="0" w:color="auto"/>
              <w:tl2br w:val="nil"/>
              <w:tr2bl w:val="nil"/>
            </w:tcBorders>
            <w:textDirection w:val="lrTb"/>
            <w:vAlign w:val="center"/>
          </w:tcPr>
          <w:p w:rsidR="00F96ACE" w:rsidP="00E167CA">
            <w:pPr>
              <w:spacing w:line="240" w:lineRule="auto"/>
              <w:jc w:val="center"/>
              <w:rPr>
                <w:rFonts w:ascii="Arial" w:hAnsi="Arial" w:cs="Arial"/>
                <w:color w:val="000000"/>
                <w:sz w:val="18"/>
                <w:szCs w:val="18"/>
              </w:rPr>
            </w:pPr>
            <w:r>
              <w:rPr>
                <w:rFonts w:ascii="Arial" w:hAnsi="Arial" w:cs="Arial"/>
                <w:color w:val="000000"/>
                <w:sz w:val="18"/>
                <w:szCs w:val="18"/>
              </w:rPr>
              <w:t>015</w:t>
            </w:r>
          </w:p>
        </w:tc>
        <w:tc>
          <w:tcPr>
            <w:tcW w:w="2439" w:type="dxa"/>
            <w:tcBorders>
              <w:top w:val="nil"/>
              <w:left w:val="nil"/>
              <w:bottom w:val="single" w:sz="4" w:space="0" w:color="auto"/>
              <w:right w:val="single" w:sz="4" w:space="0" w:color="auto"/>
              <w:tl2br w:val="nil"/>
              <w:tr2bl w:val="nil"/>
            </w:tcBorders>
            <w:noWrap/>
            <w:textDirection w:val="lrTb"/>
            <w:vAlign w:val="center"/>
          </w:tcPr>
          <w:p w:rsidR="00F96ACE" w:rsidP="00F96ACE">
            <w:pPr>
              <w:spacing w:line="240" w:lineRule="auto"/>
              <w:jc w:val="right"/>
              <w:rPr>
                <w:rFonts w:ascii="Arial" w:hAnsi="Arial" w:cs="Arial"/>
                <w:color w:val="000000"/>
                <w:sz w:val="18"/>
                <w:szCs w:val="18"/>
              </w:rPr>
            </w:pPr>
            <w:r w:rsidR="00A925FE">
              <w:rPr>
                <w:rFonts w:ascii="Arial" w:hAnsi="Arial" w:cs="Arial"/>
                <w:color w:val="000000"/>
                <w:sz w:val="18"/>
                <w:szCs w:val="18"/>
              </w:rPr>
              <w:t>92 806 116</w:t>
            </w:r>
          </w:p>
        </w:tc>
      </w:tr>
      <w:tr>
        <w:tblPrEx>
          <w:tblW w:w="9375" w:type="dxa"/>
          <w:tblInd w:w="55" w:type="dxa"/>
          <w:tblCellMar>
            <w:left w:w="70" w:type="dxa"/>
            <w:right w:w="70" w:type="dxa"/>
          </w:tblCellMar>
        </w:tblPrEx>
        <w:trPr>
          <w:trHeight w:hRule="exact" w:val="454"/>
        </w:trPr>
        <w:tc>
          <w:tcPr>
            <w:tcW w:w="1041" w:type="dxa"/>
            <w:tcBorders>
              <w:top w:val="nil"/>
              <w:left w:val="single" w:sz="4" w:space="0" w:color="auto"/>
              <w:bottom w:val="single" w:sz="4" w:space="0" w:color="auto"/>
              <w:right w:val="single" w:sz="4" w:space="0" w:color="auto"/>
              <w:tl2br w:val="nil"/>
              <w:tr2bl w:val="nil"/>
            </w:tcBorders>
            <w:textDirection w:val="lrTb"/>
            <w:vAlign w:val="center"/>
          </w:tcPr>
          <w:p w:rsidR="00F96ACE" w:rsidP="00F96ACE">
            <w:pPr>
              <w:spacing w:line="240" w:lineRule="auto"/>
              <w:rPr>
                <w:rFonts w:ascii="Arial" w:hAnsi="Arial" w:cs="Arial"/>
                <w:color w:val="000000"/>
                <w:sz w:val="18"/>
                <w:szCs w:val="18"/>
              </w:rPr>
            </w:pPr>
            <w:r>
              <w:rPr>
                <w:rFonts w:ascii="Arial" w:hAnsi="Arial" w:cs="Arial"/>
                <w:color w:val="000000"/>
                <w:sz w:val="18"/>
                <w:szCs w:val="18"/>
              </w:rPr>
              <w:t>B.II.3.</w:t>
            </w:r>
          </w:p>
        </w:tc>
        <w:tc>
          <w:tcPr>
            <w:tcW w:w="5314" w:type="dxa"/>
            <w:tcBorders>
              <w:top w:val="nil"/>
              <w:left w:val="nil"/>
              <w:bottom w:val="single" w:sz="4" w:space="0" w:color="auto"/>
              <w:right w:val="single" w:sz="4" w:space="0" w:color="auto"/>
              <w:tl2br w:val="nil"/>
              <w:tr2bl w:val="nil"/>
            </w:tcBorders>
            <w:textDirection w:val="lrTb"/>
            <w:vAlign w:val="center"/>
          </w:tcPr>
          <w:p w:rsidR="00F96ACE" w:rsidP="00F96ACE">
            <w:pPr>
              <w:spacing w:line="240" w:lineRule="auto"/>
              <w:jc w:val="left"/>
              <w:rPr>
                <w:rFonts w:ascii="Arial" w:hAnsi="Arial" w:cs="Arial"/>
                <w:color w:val="000000"/>
                <w:sz w:val="18"/>
                <w:szCs w:val="18"/>
              </w:rPr>
            </w:pPr>
            <w:r>
              <w:rPr>
                <w:rFonts w:ascii="Arial" w:hAnsi="Arial" w:cs="Arial"/>
                <w:color w:val="000000"/>
                <w:sz w:val="18"/>
                <w:szCs w:val="18"/>
              </w:rPr>
              <w:t xml:space="preserve">Samostatné hnuteľné veci a </w:t>
            </w:r>
            <w:r w:rsidR="00CD162C">
              <w:rPr>
                <w:rFonts w:ascii="Arial" w:hAnsi="Arial" w:cs="Arial"/>
                <w:color w:val="000000"/>
                <w:sz w:val="18"/>
                <w:szCs w:val="18"/>
              </w:rPr>
              <w:t>súbory hnuteľných vecí (022) -</w:t>
            </w:r>
            <w:r w:rsidR="00EA3AC8">
              <w:rPr>
                <w:rFonts w:ascii="Arial" w:hAnsi="Arial" w:cs="Arial"/>
                <w:color w:val="000000"/>
                <w:sz w:val="18"/>
                <w:szCs w:val="18"/>
              </w:rPr>
              <w:t xml:space="preserve"> /</w:t>
            </w:r>
            <w:r w:rsidR="00CD162C">
              <w:rPr>
                <w:rFonts w:ascii="Arial" w:hAnsi="Arial" w:cs="Arial"/>
                <w:color w:val="000000"/>
                <w:sz w:val="18"/>
                <w:szCs w:val="18"/>
              </w:rPr>
              <w:t>082,092A</w:t>
            </w:r>
            <w:r w:rsidR="00EA3AC8">
              <w:rPr>
                <w:rFonts w:ascii="Arial" w:hAnsi="Arial" w:cs="Arial"/>
                <w:color w:val="000000"/>
                <w:sz w:val="18"/>
                <w:szCs w:val="18"/>
              </w:rPr>
              <w:t>/</w:t>
            </w:r>
          </w:p>
        </w:tc>
        <w:tc>
          <w:tcPr>
            <w:tcW w:w="581" w:type="dxa"/>
            <w:tcBorders>
              <w:top w:val="nil"/>
              <w:left w:val="nil"/>
              <w:bottom w:val="single" w:sz="4" w:space="0" w:color="auto"/>
              <w:right w:val="single" w:sz="4" w:space="0" w:color="auto"/>
              <w:tl2br w:val="nil"/>
              <w:tr2bl w:val="nil"/>
            </w:tcBorders>
            <w:textDirection w:val="lrTb"/>
            <w:vAlign w:val="center"/>
          </w:tcPr>
          <w:p w:rsidR="00F96ACE" w:rsidP="00E167CA">
            <w:pPr>
              <w:spacing w:line="240" w:lineRule="auto"/>
              <w:jc w:val="center"/>
              <w:rPr>
                <w:rFonts w:ascii="Arial" w:hAnsi="Arial" w:cs="Arial"/>
                <w:color w:val="000000"/>
                <w:sz w:val="18"/>
                <w:szCs w:val="18"/>
              </w:rPr>
            </w:pPr>
            <w:r>
              <w:rPr>
                <w:rFonts w:ascii="Arial" w:hAnsi="Arial" w:cs="Arial"/>
                <w:color w:val="000000"/>
                <w:sz w:val="18"/>
                <w:szCs w:val="18"/>
              </w:rPr>
              <w:t>016</w:t>
            </w:r>
          </w:p>
        </w:tc>
        <w:tc>
          <w:tcPr>
            <w:tcW w:w="2439" w:type="dxa"/>
            <w:tcBorders>
              <w:top w:val="nil"/>
              <w:left w:val="nil"/>
              <w:bottom w:val="single" w:sz="4" w:space="0" w:color="auto"/>
              <w:right w:val="single" w:sz="4" w:space="0" w:color="auto"/>
              <w:tl2br w:val="nil"/>
              <w:tr2bl w:val="nil"/>
            </w:tcBorders>
            <w:noWrap/>
            <w:textDirection w:val="lrTb"/>
            <w:vAlign w:val="center"/>
          </w:tcPr>
          <w:p w:rsidR="00F96ACE" w:rsidP="00F96ACE">
            <w:pPr>
              <w:spacing w:line="240" w:lineRule="auto"/>
              <w:jc w:val="right"/>
              <w:rPr>
                <w:rFonts w:ascii="Arial" w:hAnsi="Arial" w:cs="Arial"/>
                <w:color w:val="000000"/>
                <w:sz w:val="18"/>
                <w:szCs w:val="18"/>
              </w:rPr>
            </w:pPr>
            <w:r w:rsidR="00A925FE">
              <w:rPr>
                <w:rFonts w:ascii="Arial" w:hAnsi="Arial" w:cs="Arial"/>
                <w:color w:val="000000"/>
                <w:sz w:val="18"/>
                <w:szCs w:val="18"/>
              </w:rPr>
              <w:t>1 350 508</w:t>
            </w:r>
          </w:p>
        </w:tc>
      </w:tr>
      <w:tr>
        <w:tblPrEx>
          <w:tblW w:w="9375" w:type="dxa"/>
          <w:tblInd w:w="55" w:type="dxa"/>
          <w:tblCellMar>
            <w:left w:w="70" w:type="dxa"/>
            <w:right w:w="70" w:type="dxa"/>
          </w:tblCellMar>
        </w:tblPrEx>
        <w:trPr>
          <w:trHeight w:hRule="exact" w:val="284"/>
        </w:trPr>
        <w:tc>
          <w:tcPr>
            <w:tcW w:w="1041" w:type="dxa"/>
            <w:tcBorders>
              <w:top w:val="nil"/>
              <w:left w:val="single" w:sz="4" w:space="0" w:color="auto"/>
              <w:bottom w:val="single" w:sz="4" w:space="0" w:color="auto"/>
              <w:right w:val="single" w:sz="4" w:space="0" w:color="auto"/>
              <w:tl2br w:val="nil"/>
              <w:tr2bl w:val="nil"/>
            </w:tcBorders>
            <w:textDirection w:val="lrTb"/>
            <w:vAlign w:val="center"/>
          </w:tcPr>
          <w:p w:rsidR="00F96ACE" w:rsidP="00F96ACE">
            <w:pPr>
              <w:spacing w:line="240" w:lineRule="auto"/>
              <w:rPr>
                <w:rFonts w:ascii="Arial" w:hAnsi="Arial" w:cs="Arial"/>
                <w:color w:val="000000"/>
                <w:sz w:val="18"/>
                <w:szCs w:val="18"/>
              </w:rPr>
            </w:pPr>
            <w:r>
              <w:rPr>
                <w:rFonts w:ascii="Arial" w:hAnsi="Arial" w:cs="Arial"/>
                <w:color w:val="000000"/>
                <w:sz w:val="18"/>
                <w:szCs w:val="18"/>
              </w:rPr>
              <w:t>B.II.7.</w:t>
            </w:r>
          </w:p>
        </w:tc>
        <w:tc>
          <w:tcPr>
            <w:tcW w:w="5314" w:type="dxa"/>
            <w:tcBorders>
              <w:top w:val="nil"/>
              <w:left w:val="nil"/>
              <w:bottom w:val="single" w:sz="4" w:space="0" w:color="auto"/>
              <w:right w:val="single" w:sz="4" w:space="0" w:color="auto"/>
              <w:tl2br w:val="nil"/>
              <w:tr2bl w:val="nil"/>
            </w:tcBorders>
            <w:textDirection w:val="lrTb"/>
            <w:vAlign w:val="center"/>
          </w:tcPr>
          <w:p w:rsidR="00F96ACE" w:rsidP="00F96ACE">
            <w:pPr>
              <w:spacing w:line="240" w:lineRule="auto"/>
              <w:jc w:val="left"/>
              <w:rPr>
                <w:rFonts w:ascii="Arial" w:hAnsi="Arial" w:cs="Arial"/>
                <w:color w:val="000000"/>
                <w:sz w:val="18"/>
                <w:szCs w:val="18"/>
              </w:rPr>
            </w:pPr>
            <w:r>
              <w:rPr>
                <w:rFonts w:ascii="Arial" w:hAnsi="Arial" w:cs="Arial"/>
                <w:color w:val="000000"/>
                <w:sz w:val="18"/>
                <w:szCs w:val="18"/>
              </w:rPr>
              <w:t xml:space="preserve">Obstarávaný dlhodobý hmotný majetok (042) </w:t>
            </w:r>
            <w:r w:rsidR="00E00F37">
              <w:rPr>
                <w:rFonts w:ascii="Arial" w:hAnsi="Arial" w:cs="Arial"/>
                <w:color w:val="000000"/>
                <w:sz w:val="18"/>
                <w:szCs w:val="18"/>
              </w:rPr>
              <w:t>–</w:t>
            </w:r>
            <w:r>
              <w:rPr>
                <w:rFonts w:ascii="Arial" w:hAnsi="Arial" w:cs="Arial"/>
                <w:color w:val="000000"/>
                <w:sz w:val="18"/>
                <w:szCs w:val="18"/>
              </w:rPr>
              <w:t xml:space="preserve"> 094</w:t>
            </w:r>
          </w:p>
        </w:tc>
        <w:tc>
          <w:tcPr>
            <w:tcW w:w="581" w:type="dxa"/>
            <w:tcBorders>
              <w:top w:val="nil"/>
              <w:left w:val="nil"/>
              <w:bottom w:val="single" w:sz="4" w:space="0" w:color="auto"/>
              <w:right w:val="single" w:sz="4" w:space="0" w:color="auto"/>
              <w:tl2br w:val="nil"/>
              <w:tr2bl w:val="nil"/>
            </w:tcBorders>
            <w:textDirection w:val="lrTb"/>
            <w:vAlign w:val="center"/>
          </w:tcPr>
          <w:p w:rsidR="00F96ACE" w:rsidP="00E167CA">
            <w:pPr>
              <w:spacing w:line="240" w:lineRule="auto"/>
              <w:jc w:val="center"/>
              <w:rPr>
                <w:rFonts w:ascii="Arial" w:hAnsi="Arial" w:cs="Arial"/>
                <w:color w:val="000000"/>
                <w:sz w:val="18"/>
                <w:szCs w:val="18"/>
              </w:rPr>
            </w:pPr>
            <w:r>
              <w:rPr>
                <w:rFonts w:ascii="Arial" w:hAnsi="Arial" w:cs="Arial"/>
                <w:color w:val="000000"/>
                <w:sz w:val="18"/>
                <w:szCs w:val="18"/>
              </w:rPr>
              <w:t>020</w:t>
            </w:r>
          </w:p>
        </w:tc>
        <w:tc>
          <w:tcPr>
            <w:tcW w:w="2439" w:type="dxa"/>
            <w:tcBorders>
              <w:top w:val="nil"/>
              <w:left w:val="nil"/>
              <w:bottom w:val="single" w:sz="4" w:space="0" w:color="auto"/>
              <w:right w:val="single" w:sz="4" w:space="0" w:color="auto"/>
              <w:tl2br w:val="nil"/>
              <w:tr2bl w:val="nil"/>
            </w:tcBorders>
            <w:noWrap/>
            <w:textDirection w:val="lrTb"/>
            <w:vAlign w:val="center"/>
          </w:tcPr>
          <w:p w:rsidR="00F96ACE" w:rsidP="00F96ACE">
            <w:pPr>
              <w:spacing w:line="240" w:lineRule="auto"/>
              <w:jc w:val="right"/>
              <w:rPr>
                <w:rFonts w:ascii="Arial" w:hAnsi="Arial" w:cs="Arial"/>
                <w:color w:val="000000"/>
                <w:sz w:val="18"/>
                <w:szCs w:val="18"/>
              </w:rPr>
            </w:pPr>
            <w:r w:rsidR="00A925FE">
              <w:rPr>
                <w:rFonts w:ascii="Arial" w:hAnsi="Arial" w:cs="Arial"/>
                <w:color w:val="000000"/>
                <w:sz w:val="18"/>
                <w:szCs w:val="18"/>
              </w:rPr>
              <w:t>38 220 889</w:t>
            </w:r>
          </w:p>
        </w:tc>
      </w:tr>
      <w:tr>
        <w:tblPrEx>
          <w:tblW w:w="9375" w:type="dxa"/>
          <w:tblInd w:w="55" w:type="dxa"/>
          <w:tblCellMar>
            <w:left w:w="70" w:type="dxa"/>
            <w:right w:w="70" w:type="dxa"/>
          </w:tblCellMar>
        </w:tblPrEx>
        <w:trPr>
          <w:trHeight w:hRule="exact" w:val="284"/>
        </w:trPr>
        <w:tc>
          <w:tcPr>
            <w:tcW w:w="1041" w:type="dxa"/>
            <w:tcBorders>
              <w:top w:val="nil"/>
              <w:left w:val="single" w:sz="4" w:space="0" w:color="auto"/>
              <w:bottom w:val="single" w:sz="4" w:space="0" w:color="auto"/>
              <w:right w:val="single" w:sz="4" w:space="0" w:color="auto"/>
              <w:tl2br w:val="nil"/>
              <w:tr2bl w:val="nil"/>
            </w:tcBorders>
            <w:textDirection w:val="lrTb"/>
            <w:vAlign w:val="center"/>
          </w:tcPr>
          <w:p w:rsidR="00F96ACE" w:rsidP="00F96ACE">
            <w:pPr>
              <w:spacing w:line="240" w:lineRule="auto"/>
              <w:rPr>
                <w:rFonts w:ascii="Arial" w:hAnsi="Arial" w:cs="Arial"/>
                <w:color w:val="000000"/>
                <w:sz w:val="18"/>
                <w:szCs w:val="18"/>
              </w:rPr>
            </w:pPr>
            <w:r>
              <w:rPr>
                <w:rFonts w:ascii="Arial" w:hAnsi="Arial" w:cs="Arial"/>
                <w:color w:val="000000"/>
                <w:sz w:val="18"/>
                <w:szCs w:val="18"/>
              </w:rPr>
              <w:t>C.</w:t>
            </w:r>
          </w:p>
        </w:tc>
        <w:tc>
          <w:tcPr>
            <w:tcW w:w="5314" w:type="dxa"/>
            <w:tcBorders>
              <w:top w:val="nil"/>
              <w:left w:val="nil"/>
              <w:bottom w:val="single" w:sz="4" w:space="0" w:color="auto"/>
              <w:right w:val="single" w:sz="4" w:space="0" w:color="auto"/>
              <w:tl2br w:val="nil"/>
              <w:tr2bl w:val="nil"/>
            </w:tcBorders>
            <w:textDirection w:val="lrTb"/>
            <w:vAlign w:val="center"/>
          </w:tcPr>
          <w:p w:rsidR="00F96ACE" w:rsidP="00F96ACE">
            <w:pPr>
              <w:spacing w:line="240" w:lineRule="auto"/>
              <w:jc w:val="left"/>
              <w:rPr>
                <w:rFonts w:ascii="Arial" w:hAnsi="Arial" w:cs="Arial"/>
                <w:color w:val="000000"/>
                <w:sz w:val="18"/>
                <w:szCs w:val="18"/>
              </w:rPr>
            </w:pPr>
            <w:r>
              <w:rPr>
                <w:rFonts w:ascii="Arial" w:hAnsi="Arial" w:cs="Arial"/>
                <w:color w:val="000000"/>
                <w:sz w:val="18"/>
                <w:szCs w:val="18"/>
              </w:rPr>
              <w:t xml:space="preserve">Obežný majetok </w:t>
            </w:r>
            <w:r w:rsidR="00CD162C">
              <w:rPr>
                <w:rFonts w:ascii="Arial" w:hAnsi="Arial" w:cs="Arial"/>
                <w:color w:val="000000"/>
                <w:sz w:val="18"/>
                <w:szCs w:val="18"/>
              </w:rPr>
              <w:t>(</w:t>
            </w:r>
            <w:r>
              <w:rPr>
                <w:rFonts w:ascii="Arial" w:hAnsi="Arial" w:cs="Arial"/>
                <w:color w:val="000000"/>
                <w:sz w:val="18"/>
                <w:szCs w:val="18"/>
              </w:rPr>
              <w:t>r. 033+ r. 041+ r. 048+ r. 056</w:t>
            </w:r>
            <w:r w:rsidR="00CD162C">
              <w:rPr>
                <w:rFonts w:ascii="Arial" w:hAnsi="Arial" w:cs="Arial"/>
                <w:color w:val="000000"/>
                <w:sz w:val="18"/>
                <w:szCs w:val="18"/>
              </w:rPr>
              <w:t>)</w:t>
            </w:r>
          </w:p>
        </w:tc>
        <w:tc>
          <w:tcPr>
            <w:tcW w:w="581" w:type="dxa"/>
            <w:tcBorders>
              <w:top w:val="nil"/>
              <w:left w:val="nil"/>
              <w:bottom w:val="single" w:sz="4" w:space="0" w:color="auto"/>
              <w:right w:val="single" w:sz="4" w:space="0" w:color="auto"/>
              <w:tl2br w:val="nil"/>
              <w:tr2bl w:val="nil"/>
            </w:tcBorders>
            <w:textDirection w:val="lrTb"/>
            <w:vAlign w:val="center"/>
          </w:tcPr>
          <w:p w:rsidR="00F96ACE" w:rsidP="00E167CA">
            <w:pPr>
              <w:spacing w:line="240" w:lineRule="auto"/>
              <w:jc w:val="center"/>
              <w:rPr>
                <w:rFonts w:ascii="Arial" w:hAnsi="Arial" w:cs="Arial"/>
                <w:color w:val="000000"/>
                <w:sz w:val="18"/>
                <w:szCs w:val="18"/>
              </w:rPr>
            </w:pPr>
            <w:r>
              <w:rPr>
                <w:rFonts w:ascii="Arial" w:hAnsi="Arial" w:cs="Arial"/>
                <w:color w:val="000000"/>
                <w:sz w:val="18"/>
                <w:szCs w:val="18"/>
              </w:rPr>
              <w:t>032</w:t>
            </w:r>
          </w:p>
        </w:tc>
        <w:tc>
          <w:tcPr>
            <w:tcW w:w="2439" w:type="dxa"/>
            <w:tcBorders>
              <w:top w:val="nil"/>
              <w:left w:val="nil"/>
              <w:bottom w:val="single" w:sz="4" w:space="0" w:color="auto"/>
              <w:right w:val="single" w:sz="4" w:space="0" w:color="auto"/>
              <w:tl2br w:val="nil"/>
              <w:tr2bl w:val="nil"/>
            </w:tcBorders>
            <w:noWrap/>
            <w:textDirection w:val="lrTb"/>
            <w:vAlign w:val="center"/>
          </w:tcPr>
          <w:p w:rsidR="00F96ACE" w:rsidP="00F96ACE">
            <w:pPr>
              <w:spacing w:line="240" w:lineRule="auto"/>
              <w:jc w:val="right"/>
              <w:rPr>
                <w:rFonts w:ascii="Arial" w:hAnsi="Arial" w:cs="Arial"/>
                <w:color w:val="000000"/>
                <w:sz w:val="18"/>
                <w:szCs w:val="18"/>
              </w:rPr>
            </w:pPr>
            <w:r w:rsidR="00A925FE">
              <w:rPr>
                <w:rFonts w:ascii="Arial" w:hAnsi="Arial" w:cs="Arial"/>
                <w:color w:val="000000"/>
                <w:sz w:val="18"/>
                <w:szCs w:val="18"/>
              </w:rPr>
              <w:t>14 290 376</w:t>
            </w:r>
          </w:p>
        </w:tc>
      </w:tr>
      <w:tr>
        <w:tblPrEx>
          <w:tblW w:w="9375" w:type="dxa"/>
          <w:tblInd w:w="55" w:type="dxa"/>
          <w:tblCellMar>
            <w:left w:w="70" w:type="dxa"/>
            <w:right w:w="70" w:type="dxa"/>
          </w:tblCellMar>
        </w:tblPrEx>
        <w:trPr>
          <w:trHeight w:hRule="exact" w:val="284"/>
        </w:trPr>
        <w:tc>
          <w:tcPr>
            <w:tcW w:w="1041" w:type="dxa"/>
            <w:tcBorders>
              <w:top w:val="nil"/>
              <w:left w:val="single" w:sz="4" w:space="0" w:color="auto"/>
              <w:bottom w:val="single" w:sz="4" w:space="0" w:color="auto"/>
              <w:right w:val="single" w:sz="4" w:space="0" w:color="auto"/>
              <w:tl2br w:val="nil"/>
              <w:tr2bl w:val="nil"/>
            </w:tcBorders>
            <w:textDirection w:val="lrTb"/>
            <w:vAlign w:val="center"/>
          </w:tcPr>
          <w:p w:rsidR="00F96ACE" w:rsidP="00F96ACE">
            <w:pPr>
              <w:spacing w:line="240" w:lineRule="auto"/>
              <w:rPr>
                <w:rFonts w:ascii="Arial" w:hAnsi="Arial" w:cs="Arial"/>
                <w:color w:val="000000"/>
                <w:sz w:val="18"/>
                <w:szCs w:val="18"/>
              </w:rPr>
            </w:pPr>
            <w:r>
              <w:rPr>
                <w:rFonts w:ascii="Arial" w:hAnsi="Arial" w:cs="Arial"/>
                <w:color w:val="000000"/>
                <w:sz w:val="18"/>
                <w:szCs w:val="18"/>
              </w:rPr>
              <w:t>C.l.</w:t>
            </w:r>
          </w:p>
        </w:tc>
        <w:tc>
          <w:tcPr>
            <w:tcW w:w="5314" w:type="dxa"/>
            <w:tcBorders>
              <w:top w:val="nil"/>
              <w:left w:val="nil"/>
              <w:bottom w:val="single" w:sz="4" w:space="0" w:color="auto"/>
              <w:right w:val="single" w:sz="4" w:space="0" w:color="auto"/>
              <w:tl2br w:val="nil"/>
              <w:tr2bl w:val="nil"/>
            </w:tcBorders>
            <w:textDirection w:val="lrTb"/>
            <w:vAlign w:val="center"/>
          </w:tcPr>
          <w:p w:rsidR="00F96ACE" w:rsidP="00F96ACE">
            <w:pPr>
              <w:spacing w:line="240" w:lineRule="auto"/>
              <w:jc w:val="left"/>
              <w:rPr>
                <w:rFonts w:ascii="Arial" w:hAnsi="Arial" w:cs="Arial"/>
                <w:color w:val="000000"/>
                <w:sz w:val="18"/>
                <w:szCs w:val="18"/>
              </w:rPr>
            </w:pPr>
            <w:r>
              <w:rPr>
                <w:rFonts w:ascii="Arial" w:hAnsi="Arial" w:cs="Arial"/>
                <w:color w:val="000000"/>
                <w:sz w:val="18"/>
                <w:szCs w:val="18"/>
              </w:rPr>
              <w:t>Zásoby súčet (r. 034 až 040)</w:t>
            </w:r>
          </w:p>
        </w:tc>
        <w:tc>
          <w:tcPr>
            <w:tcW w:w="581" w:type="dxa"/>
            <w:tcBorders>
              <w:top w:val="nil"/>
              <w:left w:val="nil"/>
              <w:bottom w:val="single" w:sz="4" w:space="0" w:color="auto"/>
              <w:right w:val="single" w:sz="4" w:space="0" w:color="auto"/>
              <w:tl2br w:val="nil"/>
              <w:tr2bl w:val="nil"/>
            </w:tcBorders>
            <w:textDirection w:val="lrTb"/>
            <w:vAlign w:val="center"/>
          </w:tcPr>
          <w:p w:rsidR="00F96ACE" w:rsidP="00E167CA">
            <w:pPr>
              <w:spacing w:line="240" w:lineRule="auto"/>
              <w:jc w:val="center"/>
              <w:rPr>
                <w:rFonts w:ascii="Arial" w:hAnsi="Arial" w:cs="Arial"/>
                <w:color w:val="000000"/>
                <w:sz w:val="18"/>
                <w:szCs w:val="18"/>
              </w:rPr>
            </w:pPr>
            <w:r>
              <w:rPr>
                <w:rFonts w:ascii="Arial" w:hAnsi="Arial" w:cs="Arial"/>
                <w:color w:val="000000"/>
                <w:sz w:val="18"/>
                <w:szCs w:val="18"/>
              </w:rPr>
              <w:t>033</w:t>
            </w:r>
          </w:p>
        </w:tc>
        <w:tc>
          <w:tcPr>
            <w:tcW w:w="2439" w:type="dxa"/>
            <w:tcBorders>
              <w:top w:val="nil"/>
              <w:left w:val="nil"/>
              <w:bottom w:val="single" w:sz="4" w:space="0" w:color="auto"/>
              <w:right w:val="single" w:sz="4" w:space="0" w:color="auto"/>
              <w:tl2br w:val="nil"/>
              <w:tr2bl w:val="nil"/>
            </w:tcBorders>
            <w:noWrap/>
            <w:textDirection w:val="lrTb"/>
            <w:vAlign w:val="center"/>
          </w:tcPr>
          <w:p w:rsidR="00F96ACE" w:rsidP="00F96ACE">
            <w:pPr>
              <w:spacing w:line="240" w:lineRule="auto"/>
              <w:jc w:val="right"/>
              <w:rPr>
                <w:rFonts w:ascii="Arial" w:hAnsi="Arial" w:cs="Arial"/>
                <w:color w:val="000000"/>
                <w:sz w:val="18"/>
                <w:szCs w:val="18"/>
              </w:rPr>
            </w:pPr>
            <w:r w:rsidR="00A925FE">
              <w:rPr>
                <w:rFonts w:ascii="Arial" w:hAnsi="Arial" w:cs="Arial"/>
                <w:color w:val="000000"/>
                <w:sz w:val="18"/>
                <w:szCs w:val="18"/>
              </w:rPr>
              <w:t>91 858</w:t>
            </w:r>
          </w:p>
        </w:tc>
      </w:tr>
      <w:tr>
        <w:tblPrEx>
          <w:tblW w:w="9375" w:type="dxa"/>
          <w:tblInd w:w="55" w:type="dxa"/>
          <w:tblCellMar>
            <w:left w:w="70" w:type="dxa"/>
            <w:right w:w="70" w:type="dxa"/>
          </w:tblCellMar>
        </w:tblPrEx>
        <w:trPr>
          <w:trHeight w:hRule="exact" w:val="284"/>
        </w:trPr>
        <w:tc>
          <w:tcPr>
            <w:tcW w:w="1041" w:type="dxa"/>
            <w:tcBorders>
              <w:top w:val="nil"/>
              <w:left w:val="single" w:sz="4" w:space="0" w:color="auto"/>
              <w:bottom w:val="single" w:sz="4" w:space="0" w:color="auto"/>
              <w:right w:val="single" w:sz="4" w:space="0" w:color="auto"/>
              <w:tl2br w:val="nil"/>
              <w:tr2bl w:val="nil"/>
            </w:tcBorders>
            <w:textDirection w:val="lrTb"/>
            <w:vAlign w:val="center"/>
          </w:tcPr>
          <w:p w:rsidR="00F96ACE" w:rsidP="00F96ACE">
            <w:pPr>
              <w:spacing w:line="240" w:lineRule="auto"/>
              <w:rPr>
                <w:rFonts w:ascii="Arial" w:hAnsi="Arial" w:cs="Arial"/>
                <w:color w:val="000000"/>
                <w:sz w:val="18"/>
                <w:szCs w:val="18"/>
              </w:rPr>
            </w:pPr>
            <w:r>
              <w:rPr>
                <w:rFonts w:ascii="Arial" w:hAnsi="Arial" w:cs="Arial"/>
                <w:color w:val="000000"/>
                <w:sz w:val="18"/>
                <w:szCs w:val="18"/>
              </w:rPr>
              <w:t>C.l.1.</w:t>
            </w:r>
          </w:p>
        </w:tc>
        <w:tc>
          <w:tcPr>
            <w:tcW w:w="5314" w:type="dxa"/>
            <w:tcBorders>
              <w:top w:val="nil"/>
              <w:left w:val="nil"/>
              <w:bottom w:val="single" w:sz="4" w:space="0" w:color="auto"/>
              <w:right w:val="single" w:sz="4" w:space="0" w:color="auto"/>
              <w:tl2br w:val="nil"/>
              <w:tr2bl w:val="nil"/>
            </w:tcBorders>
            <w:textDirection w:val="lrTb"/>
            <w:vAlign w:val="center"/>
          </w:tcPr>
          <w:p w:rsidR="00F96ACE" w:rsidP="00F96ACE">
            <w:pPr>
              <w:spacing w:line="240" w:lineRule="auto"/>
              <w:jc w:val="left"/>
              <w:rPr>
                <w:rFonts w:ascii="Arial" w:hAnsi="Arial" w:cs="Arial"/>
                <w:color w:val="000000"/>
                <w:sz w:val="18"/>
                <w:szCs w:val="18"/>
              </w:rPr>
            </w:pPr>
            <w:r w:rsidR="00EA3AC8">
              <w:rPr>
                <w:rFonts w:ascii="Arial" w:hAnsi="Arial" w:cs="Arial"/>
                <w:color w:val="000000"/>
                <w:sz w:val="18"/>
                <w:szCs w:val="18"/>
              </w:rPr>
              <w:t>Materiál (112,119,11X) - (191,19X)</w:t>
            </w:r>
          </w:p>
        </w:tc>
        <w:tc>
          <w:tcPr>
            <w:tcW w:w="581" w:type="dxa"/>
            <w:tcBorders>
              <w:top w:val="nil"/>
              <w:left w:val="nil"/>
              <w:bottom w:val="single" w:sz="4" w:space="0" w:color="auto"/>
              <w:right w:val="single" w:sz="4" w:space="0" w:color="auto"/>
              <w:tl2br w:val="nil"/>
              <w:tr2bl w:val="nil"/>
            </w:tcBorders>
            <w:textDirection w:val="lrTb"/>
            <w:vAlign w:val="center"/>
          </w:tcPr>
          <w:p w:rsidR="00F96ACE" w:rsidP="00E167CA">
            <w:pPr>
              <w:spacing w:line="240" w:lineRule="auto"/>
              <w:jc w:val="center"/>
              <w:rPr>
                <w:rFonts w:ascii="Arial" w:hAnsi="Arial" w:cs="Arial"/>
                <w:color w:val="000000"/>
                <w:sz w:val="18"/>
                <w:szCs w:val="18"/>
              </w:rPr>
            </w:pPr>
            <w:r>
              <w:rPr>
                <w:rFonts w:ascii="Arial" w:hAnsi="Arial" w:cs="Arial"/>
                <w:color w:val="000000"/>
                <w:sz w:val="18"/>
                <w:szCs w:val="18"/>
              </w:rPr>
              <w:t>034</w:t>
            </w:r>
          </w:p>
        </w:tc>
        <w:tc>
          <w:tcPr>
            <w:tcW w:w="2439" w:type="dxa"/>
            <w:tcBorders>
              <w:top w:val="nil"/>
              <w:left w:val="nil"/>
              <w:bottom w:val="single" w:sz="4" w:space="0" w:color="auto"/>
              <w:right w:val="single" w:sz="4" w:space="0" w:color="auto"/>
              <w:tl2br w:val="nil"/>
              <w:tr2bl w:val="nil"/>
            </w:tcBorders>
            <w:noWrap/>
            <w:textDirection w:val="lrTb"/>
            <w:vAlign w:val="center"/>
          </w:tcPr>
          <w:p w:rsidR="00F96ACE" w:rsidP="00F96ACE">
            <w:pPr>
              <w:spacing w:line="240" w:lineRule="auto"/>
              <w:jc w:val="right"/>
              <w:rPr>
                <w:rFonts w:ascii="Arial" w:hAnsi="Arial" w:cs="Arial"/>
                <w:color w:val="000000"/>
                <w:sz w:val="18"/>
                <w:szCs w:val="18"/>
              </w:rPr>
            </w:pPr>
            <w:r w:rsidR="00A925FE">
              <w:rPr>
                <w:rFonts w:ascii="Arial" w:hAnsi="Arial" w:cs="Arial"/>
                <w:color w:val="000000"/>
                <w:sz w:val="18"/>
                <w:szCs w:val="18"/>
              </w:rPr>
              <w:t>91 858</w:t>
            </w:r>
          </w:p>
        </w:tc>
      </w:tr>
      <w:tr>
        <w:tblPrEx>
          <w:tblW w:w="9375" w:type="dxa"/>
          <w:tblInd w:w="55" w:type="dxa"/>
          <w:tblCellMar>
            <w:left w:w="70" w:type="dxa"/>
            <w:right w:w="70" w:type="dxa"/>
          </w:tblCellMar>
        </w:tblPrEx>
        <w:trPr>
          <w:trHeight w:hRule="exact" w:val="284"/>
        </w:trPr>
        <w:tc>
          <w:tcPr>
            <w:tcW w:w="1041" w:type="dxa"/>
            <w:tcBorders>
              <w:top w:val="nil"/>
              <w:left w:val="single" w:sz="4" w:space="0" w:color="auto"/>
              <w:bottom w:val="single" w:sz="4" w:space="0" w:color="auto"/>
              <w:right w:val="single" w:sz="4" w:space="0" w:color="auto"/>
              <w:tl2br w:val="nil"/>
              <w:tr2bl w:val="nil"/>
            </w:tcBorders>
            <w:textDirection w:val="lrTb"/>
            <w:vAlign w:val="center"/>
          </w:tcPr>
          <w:p w:rsidR="00F96ACE" w:rsidP="00F96ACE">
            <w:pPr>
              <w:spacing w:line="240" w:lineRule="auto"/>
              <w:rPr>
                <w:rFonts w:ascii="Arial" w:hAnsi="Arial" w:cs="Arial"/>
                <w:color w:val="000000"/>
                <w:sz w:val="18"/>
                <w:szCs w:val="18"/>
              </w:rPr>
            </w:pPr>
            <w:r>
              <w:rPr>
                <w:rFonts w:ascii="Arial" w:hAnsi="Arial" w:cs="Arial"/>
                <w:color w:val="000000"/>
                <w:sz w:val="18"/>
                <w:szCs w:val="18"/>
              </w:rPr>
              <w:t>C.ll.</w:t>
            </w:r>
          </w:p>
        </w:tc>
        <w:tc>
          <w:tcPr>
            <w:tcW w:w="5314" w:type="dxa"/>
            <w:tcBorders>
              <w:top w:val="nil"/>
              <w:left w:val="nil"/>
              <w:bottom w:val="single" w:sz="4" w:space="0" w:color="auto"/>
              <w:right w:val="single" w:sz="4" w:space="0" w:color="auto"/>
              <w:tl2br w:val="nil"/>
              <w:tr2bl w:val="nil"/>
            </w:tcBorders>
            <w:textDirection w:val="lrTb"/>
            <w:vAlign w:val="center"/>
          </w:tcPr>
          <w:p w:rsidR="00F96ACE" w:rsidP="00F96ACE">
            <w:pPr>
              <w:spacing w:line="240" w:lineRule="auto"/>
              <w:jc w:val="left"/>
              <w:rPr>
                <w:rFonts w:ascii="Arial" w:hAnsi="Arial" w:cs="Arial"/>
                <w:color w:val="000000"/>
                <w:sz w:val="18"/>
                <w:szCs w:val="18"/>
              </w:rPr>
            </w:pPr>
            <w:r>
              <w:rPr>
                <w:rFonts w:ascii="Arial" w:hAnsi="Arial" w:cs="Arial"/>
                <w:color w:val="000000"/>
                <w:sz w:val="18"/>
                <w:szCs w:val="18"/>
              </w:rPr>
              <w:t>Dlhodobé pohľadávky súčet (r. 042 až 047)</w:t>
            </w:r>
          </w:p>
        </w:tc>
        <w:tc>
          <w:tcPr>
            <w:tcW w:w="581" w:type="dxa"/>
            <w:tcBorders>
              <w:top w:val="nil"/>
              <w:left w:val="nil"/>
              <w:bottom w:val="single" w:sz="4" w:space="0" w:color="auto"/>
              <w:right w:val="single" w:sz="4" w:space="0" w:color="auto"/>
              <w:tl2br w:val="nil"/>
              <w:tr2bl w:val="nil"/>
            </w:tcBorders>
            <w:textDirection w:val="lrTb"/>
            <w:vAlign w:val="center"/>
          </w:tcPr>
          <w:p w:rsidR="00F96ACE" w:rsidP="00E167CA">
            <w:pPr>
              <w:spacing w:line="240" w:lineRule="auto"/>
              <w:jc w:val="center"/>
              <w:rPr>
                <w:rFonts w:ascii="Arial" w:hAnsi="Arial" w:cs="Arial"/>
                <w:color w:val="000000"/>
                <w:sz w:val="18"/>
                <w:szCs w:val="18"/>
              </w:rPr>
            </w:pPr>
            <w:r>
              <w:rPr>
                <w:rFonts w:ascii="Arial" w:hAnsi="Arial" w:cs="Arial"/>
                <w:color w:val="000000"/>
                <w:sz w:val="18"/>
                <w:szCs w:val="18"/>
              </w:rPr>
              <w:t>041</w:t>
            </w:r>
          </w:p>
        </w:tc>
        <w:tc>
          <w:tcPr>
            <w:tcW w:w="2439" w:type="dxa"/>
            <w:tcBorders>
              <w:top w:val="nil"/>
              <w:left w:val="nil"/>
              <w:bottom w:val="single" w:sz="4" w:space="0" w:color="auto"/>
              <w:right w:val="single" w:sz="4" w:space="0" w:color="auto"/>
              <w:tl2br w:val="nil"/>
              <w:tr2bl w:val="nil"/>
            </w:tcBorders>
            <w:noWrap/>
            <w:textDirection w:val="lrTb"/>
            <w:vAlign w:val="center"/>
          </w:tcPr>
          <w:p w:rsidR="00F96ACE" w:rsidP="00F96ACE">
            <w:pPr>
              <w:spacing w:line="240" w:lineRule="auto"/>
              <w:jc w:val="right"/>
              <w:rPr>
                <w:rFonts w:ascii="Arial" w:hAnsi="Arial" w:cs="Arial"/>
                <w:color w:val="000000"/>
                <w:sz w:val="18"/>
                <w:szCs w:val="18"/>
              </w:rPr>
            </w:pPr>
            <w:r>
              <w:rPr>
                <w:rFonts w:ascii="Arial" w:hAnsi="Arial" w:cs="Arial"/>
                <w:color w:val="000000"/>
                <w:sz w:val="18"/>
                <w:szCs w:val="18"/>
              </w:rPr>
              <w:t>8 756</w:t>
            </w:r>
          </w:p>
        </w:tc>
      </w:tr>
      <w:tr>
        <w:tblPrEx>
          <w:tblW w:w="9375" w:type="dxa"/>
          <w:tblInd w:w="55" w:type="dxa"/>
          <w:tblCellMar>
            <w:left w:w="70" w:type="dxa"/>
            <w:right w:w="70" w:type="dxa"/>
          </w:tblCellMar>
        </w:tblPrEx>
        <w:trPr>
          <w:trHeight w:hRule="exact" w:val="454"/>
        </w:trPr>
        <w:tc>
          <w:tcPr>
            <w:tcW w:w="1041" w:type="dxa"/>
            <w:tcBorders>
              <w:top w:val="nil"/>
              <w:left w:val="single" w:sz="4" w:space="0" w:color="auto"/>
              <w:bottom w:val="single" w:sz="4" w:space="0" w:color="auto"/>
              <w:right w:val="single" w:sz="4" w:space="0" w:color="auto"/>
              <w:tl2br w:val="nil"/>
              <w:tr2bl w:val="nil"/>
            </w:tcBorders>
            <w:textDirection w:val="lrTb"/>
            <w:vAlign w:val="center"/>
          </w:tcPr>
          <w:p w:rsidR="00F96ACE" w:rsidP="00F96ACE">
            <w:pPr>
              <w:spacing w:line="240" w:lineRule="auto"/>
              <w:rPr>
                <w:rFonts w:ascii="Arial" w:hAnsi="Arial" w:cs="Arial"/>
                <w:color w:val="000000"/>
                <w:sz w:val="18"/>
                <w:szCs w:val="18"/>
              </w:rPr>
            </w:pPr>
            <w:r>
              <w:rPr>
                <w:rFonts w:ascii="Arial" w:hAnsi="Arial" w:cs="Arial"/>
                <w:color w:val="000000"/>
                <w:sz w:val="18"/>
                <w:szCs w:val="18"/>
              </w:rPr>
              <w:t>C.ll.1.</w:t>
            </w:r>
          </w:p>
        </w:tc>
        <w:tc>
          <w:tcPr>
            <w:tcW w:w="5314" w:type="dxa"/>
            <w:tcBorders>
              <w:top w:val="nil"/>
              <w:left w:val="nil"/>
              <w:bottom w:val="single" w:sz="4" w:space="0" w:color="auto"/>
              <w:right w:val="single" w:sz="4" w:space="0" w:color="auto"/>
              <w:tl2br w:val="nil"/>
              <w:tr2bl w:val="nil"/>
            </w:tcBorders>
            <w:textDirection w:val="lrTb"/>
            <w:vAlign w:val="center"/>
          </w:tcPr>
          <w:p w:rsidR="00F96ACE" w:rsidP="00F96ACE">
            <w:pPr>
              <w:spacing w:line="240" w:lineRule="auto"/>
              <w:jc w:val="left"/>
              <w:rPr>
                <w:rFonts w:ascii="Arial" w:hAnsi="Arial" w:cs="Arial"/>
                <w:color w:val="000000"/>
                <w:sz w:val="18"/>
                <w:szCs w:val="18"/>
              </w:rPr>
            </w:pPr>
            <w:r>
              <w:rPr>
                <w:rFonts w:ascii="Arial" w:hAnsi="Arial" w:cs="Arial"/>
                <w:color w:val="000000"/>
                <w:sz w:val="18"/>
                <w:szCs w:val="18"/>
              </w:rPr>
              <w:t>Pohľadávky z obchodného styku (311A,312A,313A,314A,315A,31XA) - 391A</w:t>
            </w:r>
          </w:p>
        </w:tc>
        <w:tc>
          <w:tcPr>
            <w:tcW w:w="581" w:type="dxa"/>
            <w:tcBorders>
              <w:top w:val="nil"/>
              <w:left w:val="nil"/>
              <w:bottom w:val="single" w:sz="4" w:space="0" w:color="auto"/>
              <w:right w:val="single" w:sz="4" w:space="0" w:color="auto"/>
              <w:tl2br w:val="nil"/>
              <w:tr2bl w:val="nil"/>
            </w:tcBorders>
            <w:textDirection w:val="lrTb"/>
            <w:vAlign w:val="center"/>
          </w:tcPr>
          <w:p w:rsidR="00F96ACE" w:rsidP="00E167CA">
            <w:pPr>
              <w:spacing w:line="240" w:lineRule="auto"/>
              <w:jc w:val="center"/>
              <w:rPr>
                <w:rFonts w:ascii="Arial" w:hAnsi="Arial" w:cs="Arial"/>
                <w:color w:val="000000"/>
                <w:sz w:val="18"/>
                <w:szCs w:val="18"/>
              </w:rPr>
            </w:pPr>
            <w:r>
              <w:rPr>
                <w:rFonts w:ascii="Arial" w:hAnsi="Arial" w:cs="Arial"/>
                <w:color w:val="000000"/>
                <w:sz w:val="18"/>
                <w:szCs w:val="18"/>
              </w:rPr>
              <w:t>042</w:t>
            </w:r>
          </w:p>
        </w:tc>
        <w:tc>
          <w:tcPr>
            <w:tcW w:w="2439" w:type="dxa"/>
            <w:tcBorders>
              <w:top w:val="nil"/>
              <w:left w:val="nil"/>
              <w:bottom w:val="single" w:sz="4" w:space="0" w:color="auto"/>
              <w:right w:val="single" w:sz="4" w:space="0" w:color="auto"/>
              <w:tl2br w:val="nil"/>
              <w:tr2bl w:val="nil"/>
            </w:tcBorders>
            <w:noWrap/>
            <w:textDirection w:val="lrTb"/>
            <w:vAlign w:val="center"/>
          </w:tcPr>
          <w:p w:rsidR="00F96ACE" w:rsidP="00F96ACE">
            <w:pPr>
              <w:spacing w:line="240" w:lineRule="auto"/>
              <w:jc w:val="right"/>
              <w:rPr>
                <w:rFonts w:ascii="Arial" w:hAnsi="Arial" w:cs="Arial"/>
                <w:color w:val="000000"/>
                <w:sz w:val="18"/>
                <w:szCs w:val="18"/>
              </w:rPr>
            </w:pPr>
            <w:r>
              <w:rPr>
                <w:rFonts w:ascii="Arial" w:hAnsi="Arial" w:cs="Arial"/>
                <w:color w:val="000000"/>
                <w:sz w:val="18"/>
                <w:szCs w:val="18"/>
              </w:rPr>
              <w:t>8 756</w:t>
            </w:r>
          </w:p>
        </w:tc>
      </w:tr>
      <w:tr>
        <w:tblPrEx>
          <w:tblW w:w="9375" w:type="dxa"/>
          <w:tblInd w:w="55" w:type="dxa"/>
          <w:tblCellMar>
            <w:left w:w="70" w:type="dxa"/>
            <w:right w:w="70" w:type="dxa"/>
          </w:tblCellMar>
        </w:tblPrEx>
        <w:trPr>
          <w:trHeight w:hRule="exact" w:val="284"/>
        </w:trPr>
        <w:tc>
          <w:tcPr>
            <w:tcW w:w="1041" w:type="dxa"/>
            <w:tcBorders>
              <w:top w:val="nil"/>
              <w:left w:val="single" w:sz="4" w:space="0" w:color="auto"/>
              <w:bottom w:val="single" w:sz="4" w:space="0" w:color="auto"/>
              <w:right w:val="single" w:sz="4" w:space="0" w:color="auto"/>
              <w:tl2br w:val="nil"/>
              <w:tr2bl w:val="nil"/>
            </w:tcBorders>
            <w:textDirection w:val="lrTb"/>
            <w:vAlign w:val="center"/>
          </w:tcPr>
          <w:p w:rsidR="00F96ACE" w:rsidP="00F96ACE">
            <w:pPr>
              <w:spacing w:line="240" w:lineRule="auto"/>
              <w:rPr>
                <w:rFonts w:ascii="Arial" w:hAnsi="Arial" w:cs="Arial"/>
                <w:color w:val="000000"/>
                <w:sz w:val="18"/>
                <w:szCs w:val="18"/>
              </w:rPr>
            </w:pPr>
            <w:r>
              <w:rPr>
                <w:rFonts w:ascii="Arial" w:hAnsi="Arial" w:cs="Arial"/>
                <w:color w:val="000000"/>
                <w:sz w:val="18"/>
                <w:szCs w:val="18"/>
              </w:rPr>
              <w:t>C.lll.</w:t>
            </w:r>
          </w:p>
        </w:tc>
        <w:tc>
          <w:tcPr>
            <w:tcW w:w="5314" w:type="dxa"/>
            <w:tcBorders>
              <w:top w:val="nil"/>
              <w:left w:val="nil"/>
              <w:bottom w:val="single" w:sz="4" w:space="0" w:color="auto"/>
              <w:right w:val="single" w:sz="4" w:space="0" w:color="auto"/>
              <w:tl2br w:val="nil"/>
              <w:tr2bl w:val="nil"/>
            </w:tcBorders>
            <w:textDirection w:val="lrTb"/>
            <w:vAlign w:val="center"/>
          </w:tcPr>
          <w:p w:rsidR="00F96ACE" w:rsidP="00F96ACE">
            <w:pPr>
              <w:spacing w:line="240" w:lineRule="auto"/>
              <w:jc w:val="left"/>
              <w:rPr>
                <w:rFonts w:ascii="Arial" w:hAnsi="Arial" w:cs="Arial"/>
                <w:color w:val="000000"/>
                <w:sz w:val="18"/>
                <w:szCs w:val="18"/>
              </w:rPr>
            </w:pPr>
            <w:r>
              <w:rPr>
                <w:rFonts w:ascii="Arial" w:hAnsi="Arial" w:cs="Arial"/>
                <w:color w:val="000000"/>
                <w:sz w:val="18"/>
                <w:szCs w:val="18"/>
              </w:rPr>
              <w:t>Krátkodobé pohľadávky súčet (r. 049 až 055)</w:t>
            </w:r>
          </w:p>
        </w:tc>
        <w:tc>
          <w:tcPr>
            <w:tcW w:w="581" w:type="dxa"/>
            <w:tcBorders>
              <w:top w:val="nil"/>
              <w:left w:val="nil"/>
              <w:bottom w:val="single" w:sz="4" w:space="0" w:color="auto"/>
              <w:right w:val="single" w:sz="4" w:space="0" w:color="auto"/>
              <w:tl2br w:val="nil"/>
              <w:tr2bl w:val="nil"/>
            </w:tcBorders>
            <w:textDirection w:val="lrTb"/>
            <w:vAlign w:val="center"/>
          </w:tcPr>
          <w:p w:rsidR="00F96ACE" w:rsidP="00E167CA">
            <w:pPr>
              <w:spacing w:line="240" w:lineRule="auto"/>
              <w:jc w:val="center"/>
              <w:rPr>
                <w:rFonts w:ascii="Arial" w:hAnsi="Arial" w:cs="Arial"/>
                <w:color w:val="000000"/>
                <w:sz w:val="18"/>
                <w:szCs w:val="18"/>
              </w:rPr>
            </w:pPr>
            <w:r>
              <w:rPr>
                <w:rFonts w:ascii="Arial" w:hAnsi="Arial" w:cs="Arial"/>
                <w:color w:val="000000"/>
                <w:sz w:val="18"/>
                <w:szCs w:val="18"/>
              </w:rPr>
              <w:t>048</w:t>
            </w:r>
          </w:p>
        </w:tc>
        <w:tc>
          <w:tcPr>
            <w:tcW w:w="2439" w:type="dxa"/>
            <w:tcBorders>
              <w:top w:val="nil"/>
              <w:left w:val="nil"/>
              <w:bottom w:val="single" w:sz="4" w:space="0" w:color="auto"/>
              <w:right w:val="single" w:sz="4" w:space="0" w:color="auto"/>
              <w:tl2br w:val="nil"/>
              <w:tr2bl w:val="nil"/>
            </w:tcBorders>
            <w:noWrap/>
            <w:textDirection w:val="lrTb"/>
            <w:vAlign w:val="center"/>
          </w:tcPr>
          <w:p w:rsidR="00F96ACE" w:rsidP="00F96ACE">
            <w:pPr>
              <w:spacing w:line="240" w:lineRule="auto"/>
              <w:jc w:val="right"/>
              <w:rPr>
                <w:rFonts w:ascii="Arial" w:hAnsi="Arial" w:cs="Arial"/>
                <w:color w:val="000000"/>
                <w:sz w:val="18"/>
                <w:szCs w:val="18"/>
              </w:rPr>
            </w:pPr>
            <w:r w:rsidR="00A925FE">
              <w:rPr>
                <w:rFonts w:ascii="Arial" w:hAnsi="Arial" w:cs="Arial"/>
                <w:color w:val="000000"/>
                <w:sz w:val="18"/>
                <w:szCs w:val="18"/>
              </w:rPr>
              <w:t>11 180 296</w:t>
            </w:r>
          </w:p>
        </w:tc>
      </w:tr>
      <w:tr>
        <w:tblPrEx>
          <w:tblW w:w="9375" w:type="dxa"/>
          <w:tblInd w:w="55" w:type="dxa"/>
          <w:tblCellMar>
            <w:left w:w="70" w:type="dxa"/>
            <w:right w:w="70" w:type="dxa"/>
          </w:tblCellMar>
        </w:tblPrEx>
        <w:trPr>
          <w:trHeight w:hRule="exact" w:val="454"/>
        </w:trPr>
        <w:tc>
          <w:tcPr>
            <w:tcW w:w="1041" w:type="dxa"/>
            <w:tcBorders>
              <w:top w:val="nil"/>
              <w:left w:val="single" w:sz="4" w:space="0" w:color="auto"/>
              <w:bottom w:val="single" w:sz="4" w:space="0" w:color="auto"/>
              <w:right w:val="single" w:sz="4" w:space="0" w:color="auto"/>
              <w:tl2br w:val="nil"/>
              <w:tr2bl w:val="nil"/>
            </w:tcBorders>
            <w:textDirection w:val="lrTb"/>
            <w:vAlign w:val="center"/>
          </w:tcPr>
          <w:p w:rsidR="00F96ACE" w:rsidP="00F96ACE">
            <w:pPr>
              <w:spacing w:line="240" w:lineRule="auto"/>
              <w:rPr>
                <w:rFonts w:ascii="Arial" w:hAnsi="Arial" w:cs="Arial"/>
                <w:color w:val="000000"/>
                <w:sz w:val="18"/>
                <w:szCs w:val="18"/>
              </w:rPr>
            </w:pPr>
            <w:r>
              <w:rPr>
                <w:rFonts w:ascii="Arial" w:hAnsi="Arial" w:cs="Arial"/>
                <w:color w:val="000000"/>
                <w:sz w:val="18"/>
                <w:szCs w:val="18"/>
              </w:rPr>
              <w:t>C.lll.1.</w:t>
            </w:r>
          </w:p>
        </w:tc>
        <w:tc>
          <w:tcPr>
            <w:tcW w:w="5314" w:type="dxa"/>
            <w:tcBorders>
              <w:top w:val="nil"/>
              <w:left w:val="nil"/>
              <w:bottom w:val="single" w:sz="4" w:space="0" w:color="auto"/>
              <w:right w:val="single" w:sz="4" w:space="0" w:color="auto"/>
              <w:tl2br w:val="nil"/>
              <w:tr2bl w:val="nil"/>
            </w:tcBorders>
            <w:textDirection w:val="lrTb"/>
            <w:vAlign w:val="center"/>
          </w:tcPr>
          <w:p w:rsidR="00F96ACE" w:rsidP="00F96ACE">
            <w:pPr>
              <w:spacing w:line="240" w:lineRule="auto"/>
              <w:jc w:val="left"/>
              <w:rPr>
                <w:rFonts w:ascii="Arial" w:hAnsi="Arial" w:cs="Arial"/>
                <w:color w:val="000000"/>
                <w:sz w:val="18"/>
                <w:szCs w:val="18"/>
              </w:rPr>
            </w:pPr>
            <w:r>
              <w:rPr>
                <w:rFonts w:ascii="Arial" w:hAnsi="Arial" w:cs="Arial"/>
                <w:color w:val="000000"/>
                <w:sz w:val="18"/>
                <w:szCs w:val="18"/>
              </w:rPr>
              <w:t>Pohľadávky z obchodného styku (311A,312A,313A,314A,315A,31XA) - 391A</w:t>
            </w:r>
          </w:p>
        </w:tc>
        <w:tc>
          <w:tcPr>
            <w:tcW w:w="581" w:type="dxa"/>
            <w:tcBorders>
              <w:top w:val="nil"/>
              <w:left w:val="nil"/>
              <w:bottom w:val="single" w:sz="4" w:space="0" w:color="auto"/>
              <w:right w:val="single" w:sz="4" w:space="0" w:color="auto"/>
              <w:tl2br w:val="nil"/>
              <w:tr2bl w:val="nil"/>
            </w:tcBorders>
            <w:textDirection w:val="lrTb"/>
            <w:vAlign w:val="center"/>
          </w:tcPr>
          <w:p w:rsidR="00F96ACE" w:rsidP="00E167CA">
            <w:pPr>
              <w:spacing w:line="240" w:lineRule="auto"/>
              <w:jc w:val="center"/>
              <w:rPr>
                <w:rFonts w:ascii="Arial" w:hAnsi="Arial" w:cs="Arial"/>
                <w:color w:val="000000"/>
                <w:sz w:val="18"/>
                <w:szCs w:val="18"/>
              </w:rPr>
            </w:pPr>
            <w:r>
              <w:rPr>
                <w:rFonts w:ascii="Arial" w:hAnsi="Arial" w:cs="Arial"/>
                <w:color w:val="000000"/>
                <w:sz w:val="18"/>
                <w:szCs w:val="18"/>
              </w:rPr>
              <w:t>049</w:t>
            </w:r>
          </w:p>
        </w:tc>
        <w:tc>
          <w:tcPr>
            <w:tcW w:w="2439" w:type="dxa"/>
            <w:tcBorders>
              <w:top w:val="nil"/>
              <w:left w:val="nil"/>
              <w:bottom w:val="single" w:sz="4" w:space="0" w:color="auto"/>
              <w:right w:val="single" w:sz="4" w:space="0" w:color="auto"/>
              <w:tl2br w:val="nil"/>
              <w:tr2bl w:val="nil"/>
            </w:tcBorders>
            <w:noWrap/>
            <w:textDirection w:val="lrTb"/>
            <w:vAlign w:val="center"/>
          </w:tcPr>
          <w:p w:rsidR="00F96ACE" w:rsidP="00F96ACE">
            <w:pPr>
              <w:spacing w:line="240" w:lineRule="auto"/>
              <w:jc w:val="right"/>
              <w:rPr>
                <w:rFonts w:ascii="Arial" w:hAnsi="Arial" w:cs="Arial"/>
                <w:color w:val="000000"/>
                <w:sz w:val="18"/>
                <w:szCs w:val="18"/>
              </w:rPr>
            </w:pPr>
            <w:r w:rsidR="00A925FE">
              <w:rPr>
                <w:rFonts w:ascii="Arial" w:hAnsi="Arial" w:cs="Arial"/>
                <w:color w:val="000000"/>
                <w:sz w:val="18"/>
                <w:szCs w:val="18"/>
              </w:rPr>
              <w:t>337 493</w:t>
            </w:r>
          </w:p>
        </w:tc>
      </w:tr>
      <w:tr>
        <w:tblPrEx>
          <w:tblW w:w="9375" w:type="dxa"/>
          <w:tblInd w:w="55" w:type="dxa"/>
          <w:tblCellMar>
            <w:left w:w="70" w:type="dxa"/>
            <w:right w:w="70" w:type="dxa"/>
          </w:tblCellMar>
        </w:tblPrEx>
        <w:trPr>
          <w:trHeight w:hRule="exact" w:val="284"/>
        </w:trPr>
        <w:tc>
          <w:tcPr>
            <w:tcW w:w="1041" w:type="dxa"/>
            <w:tcBorders>
              <w:top w:val="nil"/>
              <w:left w:val="single" w:sz="4" w:space="0" w:color="auto"/>
              <w:bottom w:val="single" w:sz="4" w:space="0" w:color="auto"/>
              <w:right w:val="single" w:sz="4" w:space="0" w:color="auto"/>
              <w:tl2br w:val="nil"/>
              <w:tr2bl w:val="nil"/>
            </w:tcBorders>
            <w:textDirection w:val="lrTb"/>
            <w:vAlign w:val="center"/>
          </w:tcPr>
          <w:p w:rsidR="00F96ACE" w:rsidP="00F96ACE">
            <w:pPr>
              <w:spacing w:line="240" w:lineRule="auto"/>
              <w:rPr>
                <w:rFonts w:ascii="Arial" w:hAnsi="Arial" w:cs="Arial"/>
                <w:color w:val="000000"/>
                <w:sz w:val="18"/>
                <w:szCs w:val="18"/>
              </w:rPr>
            </w:pPr>
            <w:r>
              <w:rPr>
                <w:rFonts w:ascii="Arial" w:hAnsi="Arial" w:cs="Arial"/>
                <w:color w:val="000000"/>
                <w:sz w:val="18"/>
                <w:szCs w:val="18"/>
              </w:rPr>
              <w:t>C.III.6.</w:t>
            </w:r>
          </w:p>
        </w:tc>
        <w:tc>
          <w:tcPr>
            <w:tcW w:w="5314" w:type="dxa"/>
            <w:tcBorders>
              <w:top w:val="nil"/>
              <w:left w:val="nil"/>
              <w:bottom w:val="single" w:sz="4" w:space="0" w:color="auto"/>
              <w:right w:val="single" w:sz="4" w:space="0" w:color="auto"/>
              <w:tl2br w:val="nil"/>
              <w:tr2bl w:val="nil"/>
            </w:tcBorders>
            <w:textDirection w:val="lrTb"/>
            <w:vAlign w:val="center"/>
          </w:tcPr>
          <w:p w:rsidR="00F96ACE" w:rsidP="00F96ACE">
            <w:pPr>
              <w:spacing w:line="240" w:lineRule="auto"/>
              <w:jc w:val="left"/>
              <w:rPr>
                <w:rFonts w:ascii="Arial" w:hAnsi="Arial" w:cs="Arial"/>
                <w:color w:val="000000"/>
                <w:sz w:val="18"/>
                <w:szCs w:val="18"/>
              </w:rPr>
            </w:pPr>
            <w:r>
              <w:rPr>
                <w:rFonts w:ascii="Arial" w:hAnsi="Arial" w:cs="Arial"/>
                <w:color w:val="000000"/>
                <w:sz w:val="18"/>
                <w:szCs w:val="18"/>
              </w:rPr>
              <w:t>Daňové pohľadávky (341,342,343,345, 346, 347) - 391A</w:t>
            </w:r>
          </w:p>
        </w:tc>
        <w:tc>
          <w:tcPr>
            <w:tcW w:w="581" w:type="dxa"/>
            <w:tcBorders>
              <w:top w:val="nil"/>
              <w:left w:val="nil"/>
              <w:bottom w:val="single" w:sz="4" w:space="0" w:color="auto"/>
              <w:right w:val="single" w:sz="4" w:space="0" w:color="auto"/>
              <w:tl2br w:val="nil"/>
              <w:tr2bl w:val="nil"/>
            </w:tcBorders>
            <w:textDirection w:val="lrTb"/>
            <w:vAlign w:val="center"/>
          </w:tcPr>
          <w:p w:rsidR="00F96ACE" w:rsidP="00E167CA">
            <w:pPr>
              <w:spacing w:line="240" w:lineRule="auto"/>
              <w:jc w:val="center"/>
              <w:rPr>
                <w:rFonts w:ascii="Arial" w:hAnsi="Arial" w:cs="Arial"/>
                <w:color w:val="000000"/>
                <w:sz w:val="18"/>
                <w:szCs w:val="18"/>
              </w:rPr>
            </w:pPr>
            <w:r>
              <w:rPr>
                <w:rFonts w:ascii="Arial" w:hAnsi="Arial" w:cs="Arial"/>
                <w:color w:val="000000"/>
                <w:sz w:val="18"/>
                <w:szCs w:val="18"/>
              </w:rPr>
              <w:t>054</w:t>
            </w:r>
          </w:p>
        </w:tc>
        <w:tc>
          <w:tcPr>
            <w:tcW w:w="2439" w:type="dxa"/>
            <w:tcBorders>
              <w:top w:val="nil"/>
              <w:left w:val="nil"/>
              <w:bottom w:val="single" w:sz="4" w:space="0" w:color="auto"/>
              <w:right w:val="single" w:sz="4" w:space="0" w:color="auto"/>
              <w:tl2br w:val="nil"/>
              <w:tr2bl w:val="nil"/>
            </w:tcBorders>
            <w:noWrap/>
            <w:textDirection w:val="lrTb"/>
            <w:vAlign w:val="center"/>
          </w:tcPr>
          <w:p w:rsidR="00F96ACE" w:rsidP="00F96ACE">
            <w:pPr>
              <w:spacing w:line="240" w:lineRule="auto"/>
              <w:jc w:val="right"/>
              <w:rPr>
                <w:rFonts w:ascii="Arial" w:hAnsi="Arial" w:cs="Arial"/>
                <w:color w:val="000000"/>
                <w:sz w:val="18"/>
                <w:szCs w:val="18"/>
              </w:rPr>
            </w:pPr>
            <w:r>
              <w:rPr>
                <w:rFonts w:ascii="Arial" w:hAnsi="Arial" w:cs="Arial"/>
                <w:color w:val="000000"/>
                <w:sz w:val="18"/>
                <w:szCs w:val="18"/>
              </w:rPr>
              <w:t>10 835 131</w:t>
            </w:r>
          </w:p>
        </w:tc>
      </w:tr>
      <w:tr>
        <w:tblPrEx>
          <w:tblW w:w="9375" w:type="dxa"/>
          <w:tblInd w:w="55" w:type="dxa"/>
          <w:tblCellMar>
            <w:left w:w="70" w:type="dxa"/>
            <w:right w:w="70" w:type="dxa"/>
          </w:tblCellMar>
        </w:tblPrEx>
        <w:trPr>
          <w:trHeight w:hRule="exact" w:val="454"/>
        </w:trPr>
        <w:tc>
          <w:tcPr>
            <w:tcW w:w="1041" w:type="dxa"/>
            <w:tcBorders>
              <w:top w:val="nil"/>
              <w:left w:val="single" w:sz="4" w:space="0" w:color="auto"/>
              <w:bottom w:val="single" w:sz="4" w:space="0" w:color="auto"/>
              <w:right w:val="single" w:sz="4" w:space="0" w:color="auto"/>
              <w:tl2br w:val="nil"/>
              <w:tr2bl w:val="nil"/>
            </w:tcBorders>
            <w:textDirection w:val="lrTb"/>
            <w:vAlign w:val="center"/>
          </w:tcPr>
          <w:p w:rsidR="00F96ACE" w:rsidP="00F96ACE">
            <w:pPr>
              <w:spacing w:line="240" w:lineRule="auto"/>
              <w:rPr>
                <w:rFonts w:ascii="Arial" w:hAnsi="Arial" w:cs="Arial"/>
                <w:color w:val="000000"/>
                <w:sz w:val="18"/>
                <w:szCs w:val="18"/>
              </w:rPr>
            </w:pPr>
            <w:r>
              <w:rPr>
                <w:rFonts w:ascii="Arial" w:hAnsi="Arial" w:cs="Arial"/>
                <w:color w:val="000000"/>
                <w:sz w:val="18"/>
                <w:szCs w:val="18"/>
              </w:rPr>
              <w:t>C.III.7.</w:t>
            </w:r>
          </w:p>
        </w:tc>
        <w:tc>
          <w:tcPr>
            <w:tcW w:w="5314" w:type="dxa"/>
            <w:tcBorders>
              <w:top w:val="nil"/>
              <w:left w:val="nil"/>
              <w:bottom w:val="single" w:sz="4" w:space="0" w:color="auto"/>
              <w:right w:val="single" w:sz="4" w:space="0" w:color="auto"/>
              <w:tl2br w:val="nil"/>
              <w:tr2bl w:val="nil"/>
            </w:tcBorders>
            <w:textDirection w:val="lrTb"/>
            <w:vAlign w:val="center"/>
          </w:tcPr>
          <w:p w:rsidR="00F96ACE" w:rsidP="00F96ACE">
            <w:pPr>
              <w:spacing w:line="240" w:lineRule="auto"/>
              <w:jc w:val="left"/>
              <w:rPr>
                <w:rFonts w:ascii="Arial" w:hAnsi="Arial" w:cs="Arial"/>
                <w:color w:val="000000"/>
                <w:sz w:val="18"/>
                <w:szCs w:val="18"/>
              </w:rPr>
            </w:pPr>
            <w:r>
              <w:rPr>
                <w:rFonts w:ascii="Arial" w:hAnsi="Arial" w:cs="Arial"/>
                <w:color w:val="000000"/>
                <w:sz w:val="18"/>
                <w:szCs w:val="18"/>
              </w:rPr>
              <w:t>Iné pohľadávky (335A,33XA,371A,373A,374A,375A,376A,378A) - 391A</w:t>
            </w:r>
          </w:p>
        </w:tc>
        <w:tc>
          <w:tcPr>
            <w:tcW w:w="581" w:type="dxa"/>
            <w:tcBorders>
              <w:top w:val="nil"/>
              <w:left w:val="nil"/>
              <w:bottom w:val="single" w:sz="4" w:space="0" w:color="auto"/>
              <w:right w:val="single" w:sz="4" w:space="0" w:color="auto"/>
              <w:tl2br w:val="nil"/>
              <w:tr2bl w:val="nil"/>
            </w:tcBorders>
            <w:textDirection w:val="lrTb"/>
            <w:vAlign w:val="center"/>
          </w:tcPr>
          <w:p w:rsidR="00F96ACE" w:rsidP="00E167CA">
            <w:pPr>
              <w:spacing w:line="240" w:lineRule="auto"/>
              <w:jc w:val="center"/>
              <w:rPr>
                <w:rFonts w:ascii="Arial" w:hAnsi="Arial" w:cs="Arial"/>
                <w:color w:val="000000"/>
                <w:sz w:val="18"/>
                <w:szCs w:val="18"/>
              </w:rPr>
            </w:pPr>
            <w:r>
              <w:rPr>
                <w:rFonts w:ascii="Arial" w:hAnsi="Arial" w:cs="Arial"/>
                <w:color w:val="000000"/>
                <w:sz w:val="18"/>
                <w:szCs w:val="18"/>
              </w:rPr>
              <w:t>055</w:t>
            </w:r>
          </w:p>
        </w:tc>
        <w:tc>
          <w:tcPr>
            <w:tcW w:w="2439" w:type="dxa"/>
            <w:tcBorders>
              <w:top w:val="nil"/>
              <w:left w:val="nil"/>
              <w:bottom w:val="single" w:sz="4" w:space="0" w:color="auto"/>
              <w:right w:val="single" w:sz="4" w:space="0" w:color="auto"/>
              <w:tl2br w:val="nil"/>
              <w:tr2bl w:val="nil"/>
            </w:tcBorders>
            <w:noWrap/>
            <w:textDirection w:val="lrTb"/>
            <w:vAlign w:val="center"/>
          </w:tcPr>
          <w:p w:rsidR="00F96ACE" w:rsidP="00F96ACE">
            <w:pPr>
              <w:spacing w:line="240" w:lineRule="auto"/>
              <w:jc w:val="right"/>
              <w:rPr>
                <w:rFonts w:ascii="Arial" w:hAnsi="Arial" w:cs="Arial"/>
                <w:color w:val="000000"/>
                <w:sz w:val="18"/>
                <w:szCs w:val="18"/>
              </w:rPr>
            </w:pPr>
            <w:r>
              <w:rPr>
                <w:rFonts w:ascii="Arial" w:hAnsi="Arial" w:cs="Arial"/>
                <w:color w:val="000000"/>
                <w:sz w:val="18"/>
                <w:szCs w:val="18"/>
              </w:rPr>
              <w:t>7 672</w:t>
            </w:r>
          </w:p>
        </w:tc>
      </w:tr>
      <w:tr>
        <w:tblPrEx>
          <w:tblW w:w="9375" w:type="dxa"/>
          <w:tblInd w:w="55" w:type="dxa"/>
          <w:tblCellMar>
            <w:left w:w="70" w:type="dxa"/>
            <w:right w:w="70" w:type="dxa"/>
          </w:tblCellMar>
        </w:tblPrEx>
        <w:trPr>
          <w:trHeight w:hRule="exact" w:val="284"/>
        </w:trPr>
        <w:tc>
          <w:tcPr>
            <w:tcW w:w="1041" w:type="dxa"/>
            <w:tcBorders>
              <w:top w:val="nil"/>
              <w:left w:val="single" w:sz="4" w:space="0" w:color="auto"/>
              <w:bottom w:val="single" w:sz="4" w:space="0" w:color="auto"/>
              <w:right w:val="single" w:sz="4" w:space="0" w:color="auto"/>
              <w:tl2br w:val="nil"/>
              <w:tr2bl w:val="nil"/>
            </w:tcBorders>
            <w:textDirection w:val="lrTb"/>
            <w:vAlign w:val="center"/>
          </w:tcPr>
          <w:p w:rsidR="00F96ACE" w:rsidP="00F96ACE">
            <w:pPr>
              <w:spacing w:line="240" w:lineRule="auto"/>
              <w:rPr>
                <w:rFonts w:ascii="Arial" w:hAnsi="Arial" w:cs="Arial"/>
                <w:color w:val="000000"/>
                <w:sz w:val="18"/>
                <w:szCs w:val="18"/>
              </w:rPr>
            </w:pPr>
            <w:r>
              <w:rPr>
                <w:rFonts w:ascii="Arial" w:hAnsi="Arial" w:cs="Arial"/>
                <w:color w:val="000000"/>
                <w:sz w:val="18"/>
                <w:szCs w:val="18"/>
              </w:rPr>
              <w:t>C.lV.</w:t>
            </w:r>
          </w:p>
        </w:tc>
        <w:tc>
          <w:tcPr>
            <w:tcW w:w="5314" w:type="dxa"/>
            <w:tcBorders>
              <w:top w:val="nil"/>
              <w:left w:val="nil"/>
              <w:bottom w:val="single" w:sz="4" w:space="0" w:color="auto"/>
              <w:right w:val="single" w:sz="4" w:space="0" w:color="auto"/>
              <w:tl2br w:val="nil"/>
              <w:tr2bl w:val="nil"/>
            </w:tcBorders>
            <w:textDirection w:val="lrTb"/>
            <w:vAlign w:val="center"/>
          </w:tcPr>
          <w:p w:rsidR="00F96ACE" w:rsidP="00F96ACE">
            <w:pPr>
              <w:spacing w:line="240" w:lineRule="auto"/>
              <w:jc w:val="left"/>
              <w:rPr>
                <w:rFonts w:ascii="Arial" w:hAnsi="Arial" w:cs="Arial"/>
                <w:color w:val="000000"/>
                <w:sz w:val="18"/>
                <w:szCs w:val="18"/>
              </w:rPr>
            </w:pPr>
            <w:r>
              <w:rPr>
                <w:rFonts w:ascii="Arial" w:hAnsi="Arial" w:cs="Arial"/>
                <w:color w:val="000000"/>
                <w:sz w:val="18"/>
                <w:szCs w:val="18"/>
              </w:rPr>
              <w:t>Finančné účty súčet (r. 057 až 061)</w:t>
            </w:r>
          </w:p>
        </w:tc>
        <w:tc>
          <w:tcPr>
            <w:tcW w:w="581" w:type="dxa"/>
            <w:tcBorders>
              <w:top w:val="nil"/>
              <w:left w:val="nil"/>
              <w:bottom w:val="single" w:sz="4" w:space="0" w:color="auto"/>
              <w:right w:val="single" w:sz="4" w:space="0" w:color="auto"/>
              <w:tl2br w:val="nil"/>
              <w:tr2bl w:val="nil"/>
            </w:tcBorders>
            <w:textDirection w:val="lrTb"/>
            <w:vAlign w:val="center"/>
          </w:tcPr>
          <w:p w:rsidR="00F96ACE" w:rsidP="00E167CA">
            <w:pPr>
              <w:spacing w:line="240" w:lineRule="auto"/>
              <w:jc w:val="center"/>
              <w:rPr>
                <w:rFonts w:ascii="Arial" w:hAnsi="Arial" w:cs="Arial"/>
                <w:color w:val="000000"/>
                <w:sz w:val="18"/>
                <w:szCs w:val="18"/>
              </w:rPr>
            </w:pPr>
            <w:r>
              <w:rPr>
                <w:rFonts w:ascii="Arial" w:hAnsi="Arial" w:cs="Arial"/>
                <w:color w:val="000000"/>
                <w:sz w:val="18"/>
                <w:szCs w:val="18"/>
              </w:rPr>
              <w:t>056</w:t>
            </w:r>
          </w:p>
        </w:tc>
        <w:tc>
          <w:tcPr>
            <w:tcW w:w="2439" w:type="dxa"/>
            <w:tcBorders>
              <w:top w:val="nil"/>
              <w:left w:val="nil"/>
              <w:bottom w:val="single" w:sz="4" w:space="0" w:color="auto"/>
              <w:right w:val="single" w:sz="4" w:space="0" w:color="auto"/>
              <w:tl2br w:val="nil"/>
              <w:tr2bl w:val="nil"/>
            </w:tcBorders>
            <w:noWrap/>
            <w:textDirection w:val="lrTb"/>
            <w:vAlign w:val="center"/>
          </w:tcPr>
          <w:p w:rsidR="00F96ACE" w:rsidP="00F96ACE">
            <w:pPr>
              <w:spacing w:line="240" w:lineRule="auto"/>
              <w:jc w:val="right"/>
              <w:rPr>
                <w:rFonts w:ascii="Arial" w:hAnsi="Arial" w:cs="Arial"/>
                <w:color w:val="000000"/>
                <w:sz w:val="18"/>
                <w:szCs w:val="18"/>
              </w:rPr>
            </w:pPr>
            <w:r>
              <w:rPr>
                <w:rFonts w:ascii="Arial" w:hAnsi="Arial" w:cs="Arial"/>
                <w:color w:val="000000"/>
                <w:sz w:val="18"/>
                <w:szCs w:val="18"/>
              </w:rPr>
              <w:t>3 009 466</w:t>
            </w:r>
          </w:p>
        </w:tc>
      </w:tr>
      <w:tr>
        <w:tblPrEx>
          <w:tblW w:w="9375" w:type="dxa"/>
          <w:tblInd w:w="55" w:type="dxa"/>
          <w:tblCellMar>
            <w:left w:w="70" w:type="dxa"/>
            <w:right w:w="70" w:type="dxa"/>
          </w:tblCellMar>
        </w:tblPrEx>
        <w:trPr>
          <w:trHeight w:hRule="exact" w:val="284"/>
        </w:trPr>
        <w:tc>
          <w:tcPr>
            <w:tcW w:w="1041" w:type="dxa"/>
            <w:tcBorders>
              <w:top w:val="nil"/>
              <w:left w:val="single" w:sz="4" w:space="0" w:color="auto"/>
              <w:bottom w:val="single" w:sz="4" w:space="0" w:color="auto"/>
              <w:right w:val="single" w:sz="4" w:space="0" w:color="auto"/>
              <w:tl2br w:val="nil"/>
              <w:tr2bl w:val="nil"/>
            </w:tcBorders>
            <w:textDirection w:val="lrTb"/>
            <w:vAlign w:val="center"/>
          </w:tcPr>
          <w:p w:rsidR="00F96ACE" w:rsidP="00F96ACE">
            <w:pPr>
              <w:spacing w:line="240" w:lineRule="auto"/>
              <w:rPr>
                <w:rFonts w:ascii="Arial" w:hAnsi="Arial" w:cs="Arial"/>
                <w:color w:val="000000"/>
                <w:sz w:val="18"/>
                <w:szCs w:val="18"/>
              </w:rPr>
            </w:pPr>
            <w:r>
              <w:rPr>
                <w:rFonts w:ascii="Arial" w:hAnsi="Arial" w:cs="Arial"/>
                <w:color w:val="000000"/>
                <w:sz w:val="18"/>
                <w:szCs w:val="18"/>
              </w:rPr>
              <w:t>C.lV.1.</w:t>
            </w:r>
          </w:p>
        </w:tc>
        <w:tc>
          <w:tcPr>
            <w:tcW w:w="5314" w:type="dxa"/>
            <w:tcBorders>
              <w:top w:val="nil"/>
              <w:left w:val="nil"/>
              <w:bottom w:val="single" w:sz="4" w:space="0" w:color="auto"/>
              <w:right w:val="single" w:sz="4" w:space="0" w:color="auto"/>
              <w:tl2br w:val="nil"/>
              <w:tr2bl w:val="nil"/>
            </w:tcBorders>
            <w:textDirection w:val="lrTb"/>
            <w:vAlign w:val="center"/>
          </w:tcPr>
          <w:p w:rsidR="00F96ACE" w:rsidP="00F96ACE">
            <w:pPr>
              <w:spacing w:line="240" w:lineRule="auto"/>
              <w:jc w:val="left"/>
              <w:rPr>
                <w:rFonts w:ascii="Arial" w:hAnsi="Arial" w:cs="Arial"/>
                <w:color w:val="000000"/>
                <w:sz w:val="18"/>
                <w:szCs w:val="18"/>
              </w:rPr>
            </w:pPr>
            <w:r>
              <w:rPr>
                <w:rFonts w:ascii="Arial" w:hAnsi="Arial" w:cs="Arial"/>
                <w:color w:val="000000"/>
                <w:sz w:val="18"/>
                <w:szCs w:val="18"/>
              </w:rPr>
              <w:t>Peniaze (211,213,21X)</w:t>
            </w:r>
          </w:p>
        </w:tc>
        <w:tc>
          <w:tcPr>
            <w:tcW w:w="581" w:type="dxa"/>
            <w:tcBorders>
              <w:top w:val="nil"/>
              <w:left w:val="nil"/>
              <w:bottom w:val="single" w:sz="4" w:space="0" w:color="auto"/>
              <w:right w:val="single" w:sz="4" w:space="0" w:color="auto"/>
              <w:tl2br w:val="nil"/>
              <w:tr2bl w:val="nil"/>
            </w:tcBorders>
            <w:textDirection w:val="lrTb"/>
            <w:vAlign w:val="center"/>
          </w:tcPr>
          <w:p w:rsidR="00F96ACE" w:rsidP="00E167CA">
            <w:pPr>
              <w:spacing w:line="240" w:lineRule="auto"/>
              <w:jc w:val="center"/>
              <w:rPr>
                <w:rFonts w:ascii="Arial" w:hAnsi="Arial" w:cs="Arial"/>
                <w:color w:val="000000"/>
                <w:sz w:val="18"/>
                <w:szCs w:val="18"/>
              </w:rPr>
            </w:pPr>
            <w:r>
              <w:rPr>
                <w:rFonts w:ascii="Arial" w:hAnsi="Arial" w:cs="Arial"/>
                <w:color w:val="000000"/>
                <w:sz w:val="18"/>
                <w:szCs w:val="18"/>
              </w:rPr>
              <w:t>057</w:t>
            </w:r>
          </w:p>
        </w:tc>
        <w:tc>
          <w:tcPr>
            <w:tcW w:w="2439" w:type="dxa"/>
            <w:tcBorders>
              <w:top w:val="nil"/>
              <w:left w:val="nil"/>
              <w:bottom w:val="single" w:sz="4" w:space="0" w:color="auto"/>
              <w:right w:val="single" w:sz="4" w:space="0" w:color="auto"/>
              <w:tl2br w:val="nil"/>
              <w:tr2bl w:val="nil"/>
            </w:tcBorders>
            <w:noWrap/>
            <w:textDirection w:val="lrTb"/>
            <w:vAlign w:val="center"/>
          </w:tcPr>
          <w:p w:rsidR="00F96ACE" w:rsidP="00F96ACE">
            <w:pPr>
              <w:spacing w:line="240" w:lineRule="auto"/>
              <w:jc w:val="right"/>
              <w:rPr>
                <w:rFonts w:ascii="Arial" w:hAnsi="Arial" w:cs="Arial"/>
                <w:color w:val="000000"/>
                <w:sz w:val="18"/>
                <w:szCs w:val="18"/>
              </w:rPr>
            </w:pPr>
            <w:r>
              <w:rPr>
                <w:rFonts w:ascii="Arial" w:hAnsi="Arial" w:cs="Arial"/>
                <w:color w:val="000000"/>
                <w:sz w:val="18"/>
                <w:szCs w:val="18"/>
              </w:rPr>
              <w:t>1 820</w:t>
            </w:r>
          </w:p>
        </w:tc>
      </w:tr>
      <w:tr>
        <w:tblPrEx>
          <w:tblW w:w="9375" w:type="dxa"/>
          <w:tblInd w:w="55" w:type="dxa"/>
          <w:tblCellMar>
            <w:left w:w="70" w:type="dxa"/>
            <w:right w:w="70" w:type="dxa"/>
          </w:tblCellMar>
        </w:tblPrEx>
        <w:trPr>
          <w:trHeight w:hRule="exact" w:val="284"/>
        </w:trPr>
        <w:tc>
          <w:tcPr>
            <w:tcW w:w="1041" w:type="dxa"/>
            <w:tcBorders>
              <w:top w:val="nil"/>
              <w:left w:val="single" w:sz="4" w:space="0" w:color="auto"/>
              <w:bottom w:val="single" w:sz="4" w:space="0" w:color="auto"/>
              <w:right w:val="single" w:sz="4" w:space="0" w:color="auto"/>
              <w:tl2br w:val="nil"/>
              <w:tr2bl w:val="nil"/>
            </w:tcBorders>
            <w:textDirection w:val="lrTb"/>
            <w:vAlign w:val="center"/>
          </w:tcPr>
          <w:p w:rsidR="00F96ACE" w:rsidP="00F96ACE">
            <w:pPr>
              <w:spacing w:line="240" w:lineRule="auto"/>
              <w:rPr>
                <w:rFonts w:ascii="Arial" w:hAnsi="Arial" w:cs="Arial"/>
                <w:color w:val="000000"/>
                <w:sz w:val="18"/>
                <w:szCs w:val="18"/>
              </w:rPr>
            </w:pPr>
            <w:r>
              <w:rPr>
                <w:rFonts w:ascii="Arial" w:hAnsi="Arial" w:cs="Arial"/>
                <w:color w:val="000000"/>
                <w:sz w:val="18"/>
                <w:szCs w:val="18"/>
              </w:rPr>
              <w:t>C.IV.2.</w:t>
            </w:r>
          </w:p>
        </w:tc>
        <w:tc>
          <w:tcPr>
            <w:tcW w:w="5314" w:type="dxa"/>
            <w:tcBorders>
              <w:top w:val="nil"/>
              <w:left w:val="nil"/>
              <w:bottom w:val="single" w:sz="4" w:space="0" w:color="auto"/>
              <w:right w:val="single" w:sz="4" w:space="0" w:color="auto"/>
              <w:tl2br w:val="nil"/>
              <w:tr2bl w:val="nil"/>
            </w:tcBorders>
            <w:textDirection w:val="lrTb"/>
            <w:vAlign w:val="center"/>
          </w:tcPr>
          <w:p w:rsidR="00F96ACE" w:rsidP="00F96ACE">
            <w:pPr>
              <w:spacing w:line="240" w:lineRule="auto"/>
              <w:jc w:val="left"/>
              <w:rPr>
                <w:rFonts w:ascii="Arial" w:hAnsi="Arial" w:cs="Arial"/>
                <w:color w:val="000000"/>
                <w:sz w:val="18"/>
                <w:szCs w:val="18"/>
              </w:rPr>
            </w:pPr>
            <w:r>
              <w:rPr>
                <w:rFonts w:ascii="Arial" w:hAnsi="Arial" w:cs="Arial"/>
                <w:color w:val="000000"/>
                <w:sz w:val="18"/>
                <w:szCs w:val="18"/>
              </w:rPr>
              <w:t>Účty v bankách (221A,22X +/-261)</w:t>
            </w:r>
          </w:p>
        </w:tc>
        <w:tc>
          <w:tcPr>
            <w:tcW w:w="581" w:type="dxa"/>
            <w:tcBorders>
              <w:top w:val="nil"/>
              <w:left w:val="nil"/>
              <w:bottom w:val="single" w:sz="4" w:space="0" w:color="auto"/>
              <w:right w:val="single" w:sz="4" w:space="0" w:color="auto"/>
              <w:tl2br w:val="nil"/>
              <w:tr2bl w:val="nil"/>
            </w:tcBorders>
            <w:textDirection w:val="lrTb"/>
            <w:vAlign w:val="center"/>
          </w:tcPr>
          <w:p w:rsidR="00F96ACE" w:rsidP="00E167CA">
            <w:pPr>
              <w:spacing w:line="240" w:lineRule="auto"/>
              <w:jc w:val="center"/>
              <w:rPr>
                <w:rFonts w:ascii="Arial" w:hAnsi="Arial" w:cs="Arial"/>
                <w:color w:val="000000"/>
                <w:sz w:val="18"/>
                <w:szCs w:val="18"/>
              </w:rPr>
            </w:pPr>
            <w:r>
              <w:rPr>
                <w:rFonts w:ascii="Arial" w:hAnsi="Arial" w:cs="Arial"/>
                <w:color w:val="000000"/>
                <w:sz w:val="18"/>
                <w:szCs w:val="18"/>
              </w:rPr>
              <w:t>058</w:t>
            </w:r>
          </w:p>
        </w:tc>
        <w:tc>
          <w:tcPr>
            <w:tcW w:w="2439" w:type="dxa"/>
            <w:tcBorders>
              <w:top w:val="nil"/>
              <w:left w:val="nil"/>
              <w:bottom w:val="single" w:sz="4" w:space="0" w:color="auto"/>
              <w:right w:val="single" w:sz="4" w:space="0" w:color="auto"/>
              <w:tl2br w:val="nil"/>
              <w:tr2bl w:val="nil"/>
            </w:tcBorders>
            <w:noWrap/>
            <w:textDirection w:val="lrTb"/>
            <w:vAlign w:val="center"/>
          </w:tcPr>
          <w:p w:rsidR="00F96ACE" w:rsidP="00F96ACE">
            <w:pPr>
              <w:spacing w:line="240" w:lineRule="auto"/>
              <w:jc w:val="right"/>
              <w:rPr>
                <w:rFonts w:ascii="Arial" w:hAnsi="Arial" w:cs="Arial"/>
                <w:color w:val="000000"/>
                <w:sz w:val="18"/>
                <w:szCs w:val="18"/>
              </w:rPr>
            </w:pPr>
            <w:r>
              <w:rPr>
                <w:rFonts w:ascii="Arial" w:hAnsi="Arial" w:cs="Arial"/>
                <w:color w:val="000000"/>
                <w:sz w:val="18"/>
                <w:szCs w:val="18"/>
              </w:rPr>
              <w:t>3 007 646</w:t>
            </w:r>
          </w:p>
        </w:tc>
      </w:tr>
      <w:tr>
        <w:tblPrEx>
          <w:tblW w:w="9375" w:type="dxa"/>
          <w:tblInd w:w="55" w:type="dxa"/>
          <w:tblCellMar>
            <w:left w:w="70" w:type="dxa"/>
            <w:right w:w="70" w:type="dxa"/>
          </w:tblCellMar>
        </w:tblPrEx>
        <w:trPr>
          <w:trHeight w:hRule="exact" w:val="284"/>
        </w:trPr>
        <w:tc>
          <w:tcPr>
            <w:tcW w:w="1041" w:type="dxa"/>
            <w:tcBorders>
              <w:top w:val="nil"/>
              <w:left w:val="single" w:sz="4" w:space="0" w:color="auto"/>
              <w:bottom w:val="single" w:sz="4" w:space="0" w:color="auto"/>
              <w:right w:val="single" w:sz="4" w:space="0" w:color="auto"/>
              <w:tl2br w:val="nil"/>
              <w:tr2bl w:val="nil"/>
            </w:tcBorders>
            <w:textDirection w:val="lrTb"/>
            <w:vAlign w:val="center"/>
          </w:tcPr>
          <w:p w:rsidR="00F96ACE" w:rsidP="00F96ACE">
            <w:pPr>
              <w:spacing w:line="240" w:lineRule="auto"/>
              <w:rPr>
                <w:rFonts w:ascii="Arial" w:hAnsi="Arial" w:cs="Arial"/>
                <w:color w:val="000000"/>
                <w:sz w:val="18"/>
                <w:szCs w:val="18"/>
              </w:rPr>
            </w:pPr>
            <w:r>
              <w:rPr>
                <w:rFonts w:ascii="Arial" w:hAnsi="Arial" w:cs="Arial"/>
                <w:color w:val="000000"/>
                <w:sz w:val="18"/>
                <w:szCs w:val="18"/>
              </w:rPr>
              <w:t>D.</w:t>
            </w:r>
          </w:p>
        </w:tc>
        <w:tc>
          <w:tcPr>
            <w:tcW w:w="5314" w:type="dxa"/>
            <w:tcBorders>
              <w:top w:val="nil"/>
              <w:left w:val="nil"/>
              <w:bottom w:val="single" w:sz="4" w:space="0" w:color="auto"/>
              <w:right w:val="single" w:sz="4" w:space="0" w:color="auto"/>
              <w:tl2br w:val="nil"/>
              <w:tr2bl w:val="nil"/>
            </w:tcBorders>
            <w:textDirection w:val="lrTb"/>
            <w:vAlign w:val="center"/>
          </w:tcPr>
          <w:p w:rsidR="00F96ACE" w:rsidP="00F96ACE">
            <w:pPr>
              <w:spacing w:line="240" w:lineRule="auto"/>
              <w:jc w:val="left"/>
              <w:rPr>
                <w:rFonts w:ascii="Arial" w:hAnsi="Arial" w:cs="Arial"/>
                <w:color w:val="000000"/>
                <w:sz w:val="18"/>
                <w:szCs w:val="18"/>
              </w:rPr>
            </w:pPr>
            <w:r>
              <w:rPr>
                <w:rFonts w:ascii="Arial" w:hAnsi="Arial" w:cs="Arial"/>
                <w:color w:val="000000"/>
                <w:sz w:val="18"/>
                <w:szCs w:val="18"/>
              </w:rPr>
              <w:t xml:space="preserve">Časové rozlíšenie </w:t>
            </w:r>
            <w:r w:rsidR="00CD162C">
              <w:rPr>
                <w:rFonts w:ascii="Arial" w:hAnsi="Arial" w:cs="Arial"/>
                <w:color w:val="000000"/>
                <w:sz w:val="18"/>
                <w:szCs w:val="18"/>
              </w:rPr>
              <w:t>(</w:t>
            </w:r>
            <w:r>
              <w:rPr>
                <w:rFonts w:ascii="Arial" w:hAnsi="Arial" w:cs="Arial"/>
                <w:color w:val="000000"/>
                <w:sz w:val="18"/>
                <w:szCs w:val="18"/>
              </w:rPr>
              <w:t>r. 063 a r. 064</w:t>
            </w:r>
            <w:r w:rsidR="00CD162C">
              <w:rPr>
                <w:rFonts w:ascii="Arial" w:hAnsi="Arial" w:cs="Arial"/>
                <w:color w:val="000000"/>
                <w:sz w:val="18"/>
                <w:szCs w:val="18"/>
              </w:rPr>
              <w:t>)</w:t>
            </w:r>
          </w:p>
        </w:tc>
        <w:tc>
          <w:tcPr>
            <w:tcW w:w="581" w:type="dxa"/>
            <w:tcBorders>
              <w:top w:val="nil"/>
              <w:left w:val="nil"/>
              <w:bottom w:val="single" w:sz="4" w:space="0" w:color="auto"/>
              <w:right w:val="single" w:sz="4" w:space="0" w:color="auto"/>
              <w:tl2br w:val="nil"/>
              <w:tr2bl w:val="nil"/>
            </w:tcBorders>
            <w:textDirection w:val="lrTb"/>
            <w:vAlign w:val="center"/>
          </w:tcPr>
          <w:p w:rsidR="00F96ACE" w:rsidP="00E167CA">
            <w:pPr>
              <w:spacing w:line="240" w:lineRule="auto"/>
              <w:jc w:val="center"/>
              <w:rPr>
                <w:rFonts w:ascii="Arial" w:hAnsi="Arial" w:cs="Arial"/>
                <w:color w:val="000000"/>
                <w:sz w:val="18"/>
                <w:szCs w:val="18"/>
              </w:rPr>
            </w:pPr>
            <w:r>
              <w:rPr>
                <w:rFonts w:ascii="Arial" w:hAnsi="Arial" w:cs="Arial"/>
                <w:color w:val="000000"/>
                <w:sz w:val="18"/>
                <w:szCs w:val="18"/>
              </w:rPr>
              <w:t>062</w:t>
            </w:r>
          </w:p>
        </w:tc>
        <w:tc>
          <w:tcPr>
            <w:tcW w:w="2439" w:type="dxa"/>
            <w:tcBorders>
              <w:top w:val="nil"/>
              <w:left w:val="nil"/>
              <w:bottom w:val="single" w:sz="4" w:space="0" w:color="auto"/>
              <w:right w:val="single" w:sz="4" w:space="0" w:color="auto"/>
              <w:tl2br w:val="nil"/>
              <w:tr2bl w:val="nil"/>
            </w:tcBorders>
            <w:noWrap/>
            <w:textDirection w:val="lrTb"/>
            <w:vAlign w:val="center"/>
          </w:tcPr>
          <w:p w:rsidR="00F96ACE" w:rsidP="00F96ACE">
            <w:pPr>
              <w:spacing w:line="240" w:lineRule="auto"/>
              <w:jc w:val="right"/>
              <w:rPr>
                <w:rFonts w:ascii="Arial" w:hAnsi="Arial" w:cs="Arial"/>
                <w:color w:val="000000"/>
                <w:sz w:val="18"/>
                <w:szCs w:val="18"/>
              </w:rPr>
            </w:pPr>
            <w:r>
              <w:rPr>
                <w:rFonts w:ascii="Arial" w:hAnsi="Arial" w:cs="Arial"/>
                <w:color w:val="000000"/>
                <w:sz w:val="18"/>
                <w:szCs w:val="18"/>
              </w:rPr>
              <w:t>22 326</w:t>
            </w:r>
          </w:p>
        </w:tc>
      </w:tr>
      <w:tr>
        <w:tblPrEx>
          <w:tblW w:w="9375" w:type="dxa"/>
          <w:tblInd w:w="55" w:type="dxa"/>
          <w:tblCellMar>
            <w:left w:w="70" w:type="dxa"/>
            <w:right w:w="70" w:type="dxa"/>
          </w:tblCellMar>
        </w:tblPrEx>
        <w:trPr>
          <w:trHeight w:hRule="exact" w:val="284"/>
        </w:trPr>
        <w:tc>
          <w:tcPr>
            <w:tcW w:w="1041" w:type="dxa"/>
            <w:tcBorders>
              <w:top w:val="nil"/>
              <w:left w:val="single" w:sz="4" w:space="0" w:color="auto"/>
              <w:bottom w:val="single" w:sz="4" w:space="0" w:color="auto"/>
              <w:right w:val="single" w:sz="4" w:space="0" w:color="auto"/>
              <w:tl2br w:val="nil"/>
              <w:tr2bl w:val="nil"/>
            </w:tcBorders>
            <w:textDirection w:val="lrTb"/>
            <w:vAlign w:val="center"/>
          </w:tcPr>
          <w:p w:rsidR="00F96ACE" w:rsidP="00F96ACE">
            <w:pPr>
              <w:spacing w:line="240" w:lineRule="auto"/>
              <w:rPr>
                <w:rFonts w:ascii="Arial" w:hAnsi="Arial" w:cs="Arial"/>
                <w:color w:val="000000"/>
                <w:sz w:val="18"/>
                <w:szCs w:val="18"/>
              </w:rPr>
            </w:pPr>
            <w:r>
              <w:rPr>
                <w:rFonts w:ascii="Arial" w:hAnsi="Arial" w:cs="Arial"/>
                <w:color w:val="000000"/>
                <w:sz w:val="18"/>
                <w:szCs w:val="18"/>
              </w:rPr>
              <w:t>D.1.</w:t>
            </w:r>
          </w:p>
        </w:tc>
        <w:tc>
          <w:tcPr>
            <w:tcW w:w="5314" w:type="dxa"/>
            <w:tcBorders>
              <w:top w:val="nil"/>
              <w:left w:val="nil"/>
              <w:bottom w:val="single" w:sz="4" w:space="0" w:color="auto"/>
              <w:right w:val="single" w:sz="4" w:space="0" w:color="auto"/>
              <w:tl2br w:val="nil"/>
              <w:tr2bl w:val="nil"/>
            </w:tcBorders>
            <w:textDirection w:val="lrTb"/>
            <w:vAlign w:val="center"/>
          </w:tcPr>
          <w:p w:rsidR="00F96ACE" w:rsidP="00F96ACE">
            <w:pPr>
              <w:spacing w:line="240" w:lineRule="auto"/>
              <w:jc w:val="left"/>
              <w:rPr>
                <w:rFonts w:ascii="Arial" w:hAnsi="Arial" w:cs="Arial"/>
                <w:color w:val="000000"/>
                <w:sz w:val="18"/>
                <w:szCs w:val="18"/>
              </w:rPr>
            </w:pPr>
            <w:r>
              <w:rPr>
                <w:rFonts w:ascii="Arial" w:hAnsi="Arial" w:cs="Arial"/>
                <w:color w:val="000000"/>
                <w:sz w:val="18"/>
                <w:szCs w:val="18"/>
              </w:rPr>
              <w:t>Náklady budúcich období (381,382)</w:t>
            </w:r>
          </w:p>
        </w:tc>
        <w:tc>
          <w:tcPr>
            <w:tcW w:w="581" w:type="dxa"/>
            <w:tcBorders>
              <w:top w:val="nil"/>
              <w:left w:val="nil"/>
              <w:bottom w:val="single" w:sz="4" w:space="0" w:color="auto"/>
              <w:right w:val="single" w:sz="4" w:space="0" w:color="auto"/>
              <w:tl2br w:val="nil"/>
              <w:tr2bl w:val="nil"/>
            </w:tcBorders>
            <w:textDirection w:val="lrTb"/>
            <w:vAlign w:val="center"/>
          </w:tcPr>
          <w:p w:rsidR="00F96ACE" w:rsidP="00E167CA">
            <w:pPr>
              <w:spacing w:line="240" w:lineRule="auto"/>
              <w:jc w:val="center"/>
              <w:rPr>
                <w:rFonts w:ascii="Arial" w:hAnsi="Arial" w:cs="Arial"/>
                <w:color w:val="000000"/>
                <w:sz w:val="18"/>
                <w:szCs w:val="18"/>
              </w:rPr>
            </w:pPr>
            <w:r>
              <w:rPr>
                <w:rFonts w:ascii="Arial" w:hAnsi="Arial" w:cs="Arial"/>
                <w:color w:val="000000"/>
                <w:sz w:val="18"/>
                <w:szCs w:val="18"/>
              </w:rPr>
              <w:t>063</w:t>
            </w:r>
          </w:p>
        </w:tc>
        <w:tc>
          <w:tcPr>
            <w:tcW w:w="2439" w:type="dxa"/>
            <w:tcBorders>
              <w:top w:val="nil"/>
              <w:left w:val="nil"/>
              <w:bottom w:val="single" w:sz="4" w:space="0" w:color="auto"/>
              <w:right w:val="single" w:sz="4" w:space="0" w:color="auto"/>
              <w:tl2br w:val="nil"/>
              <w:tr2bl w:val="nil"/>
            </w:tcBorders>
            <w:noWrap/>
            <w:textDirection w:val="lrTb"/>
            <w:vAlign w:val="center"/>
          </w:tcPr>
          <w:p w:rsidR="00F96ACE" w:rsidP="00F96ACE">
            <w:pPr>
              <w:spacing w:line="240" w:lineRule="auto"/>
              <w:jc w:val="right"/>
              <w:rPr>
                <w:rFonts w:ascii="Arial" w:hAnsi="Arial" w:cs="Arial"/>
                <w:color w:val="000000"/>
                <w:sz w:val="18"/>
                <w:szCs w:val="18"/>
              </w:rPr>
            </w:pPr>
            <w:r>
              <w:rPr>
                <w:rFonts w:ascii="Arial" w:hAnsi="Arial" w:cs="Arial"/>
                <w:color w:val="000000"/>
                <w:sz w:val="18"/>
                <w:szCs w:val="18"/>
              </w:rPr>
              <w:t>14 477</w:t>
            </w:r>
          </w:p>
        </w:tc>
      </w:tr>
      <w:tr>
        <w:tblPrEx>
          <w:tblW w:w="9375" w:type="dxa"/>
          <w:tblInd w:w="55" w:type="dxa"/>
          <w:tblCellMar>
            <w:left w:w="70" w:type="dxa"/>
            <w:right w:w="70" w:type="dxa"/>
          </w:tblCellMar>
        </w:tblPrEx>
        <w:trPr>
          <w:trHeight w:hRule="exact" w:val="284"/>
        </w:trPr>
        <w:tc>
          <w:tcPr>
            <w:tcW w:w="1041" w:type="dxa"/>
            <w:tcBorders>
              <w:top w:val="nil"/>
              <w:left w:val="single" w:sz="4" w:space="0" w:color="auto"/>
              <w:bottom w:val="single" w:sz="4" w:space="0" w:color="auto"/>
              <w:right w:val="single" w:sz="4" w:space="0" w:color="auto"/>
              <w:tl2br w:val="nil"/>
              <w:tr2bl w:val="nil"/>
            </w:tcBorders>
            <w:textDirection w:val="lrTb"/>
            <w:vAlign w:val="center"/>
          </w:tcPr>
          <w:p w:rsidR="00F96ACE" w:rsidP="00F96ACE">
            <w:pPr>
              <w:spacing w:line="240" w:lineRule="auto"/>
              <w:rPr>
                <w:rFonts w:ascii="Arial" w:hAnsi="Arial" w:cs="Arial"/>
                <w:color w:val="000000"/>
                <w:sz w:val="18"/>
                <w:szCs w:val="18"/>
              </w:rPr>
            </w:pPr>
            <w:r w:rsidR="00E167CA">
              <w:rPr>
                <w:rFonts w:ascii="Arial" w:hAnsi="Arial" w:cs="Arial"/>
                <w:color w:val="000000"/>
                <w:sz w:val="18"/>
                <w:szCs w:val="18"/>
              </w:rPr>
              <w:t>D.</w:t>
            </w:r>
            <w:r>
              <w:rPr>
                <w:rFonts w:ascii="Arial" w:hAnsi="Arial" w:cs="Arial"/>
                <w:color w:val="000000"/>
                <w:sz w:val="18"/>
                <w:szCs w:val="18"/>
              </w:rPr>
              <w:t>2.</w:t>
            </w:r>
          </w:p>
        </w:tc>
        <w:tc>
          <w:tcPr>
            <w:tcW w:w="5314" w:type="dxa"/>
            <w:tcBorders>
              <w:top w:val="nil"/>
              <w:left w:val="nil"/>
              <w:bottom w:val="single" w:sz="4" w:space="0" w:color="auto"/>
              <w:right w:val="single" w:sz="4" w:space="0" w:color="auto"/>
              <w:tl2br w:val="nil"/>
              <w:tr2bl w:val="nil"/>
            </w:tcBorders>
            <w:textDirection w:val="lrTb"/>
            <w:vAlign w:val="center"/>
          </w:tcPr>
          <w:p w:rsidR="00F96ACE" w:rsidP="00F96ACE">
            <w:pPr>
              <w:spacing w:line="240" w:lineRule="auto"/>
              <w:jc w:val="left"/>
              <w:rPr>
                <w:rFonts w:ascii="Arial" w:hAnsi="Arial" w:cs="Arial"/>
                <w:color w:val="000000"/>
                <w:sz w:val="18"/>
                <w:szCs w:val="18"/>
              </w:rPr>
            </w:pPr>
            <w:r>
              <w:rPr>
                <w:rFonts w:ascii="Arial" w:hAnsi="Arial" w:cs="Arial"/>
                <w:color w:val="000000"/>
                <w:sz w:val="18"/>
                <w:szCs w:val="18"/>
              </w:rPr>
              <w:t>Príjmy budúcich období (385)</w:t>
            </w:r>
          </w:p>
        </w:tc>
        <w:tc>
          <w:tcPr>
            <w:tcW w:w="581" w:type="dxa"/>
            <w:tcBorders>
              <w:top w:val="nil"/>
              <w:left w:val="nil"/>
              <w:bottom w:val="single" w:sz="4" w:space="0" w:color="auto"/>
              <w:right w:val="single" w:sz="4" w:space="0" w:color="auto"/>
              <w:tl2br w:val="nil"/>
              <w:tr2bl w:val="nil"/>
            </w:tcBorders>
            <w:textDirection w:val="lrTb"/>
            <w:vAlign w:val="center"/>
          </w:tcPr>
          <w:p w:rsidR="00F96ACE" w:rsidP="00E167CA">
            <w:pPr>
              <w:spacing w:line="240" w:lineRule="auto"/>
              <w:jc w:val="center"/>
              <w:rPr>
                <w:rFonts w:ascii="Arial" w:hAnsi="Arial" w:cs="Arial"/>
                <w:color w:val="000000"/>
                <w:sz w:val="18"/>
                <w:szCs w:val="18"/>
              </w:rPr>
            </w:pPr>
            <w:r>
              <w:rPr>
                <w:rFonts w:ascii="Arial" w:hAnsi="Arial" w:cs="Arial"/>
                <w:color w:val="000000"/>
                <w:sz w:val="18"/>
                <w:szCs w:val="18"/>
              </w:rPr>
              <w:t>064</w:t>
            </w:r>
          </w:p>
        </w:tc>
        <w:tc>
          <w:tcPr>
            <w:tcW w:w="2439" w:type="dxa"/>
            <w:tcBorders>
              <w:top w:val="nil"/>
              <w:left w:val="nil"/>
              <w:bottom w:val="single" w:sz="4" w:space="0" w:color="auto"/>
              <w:right w:val="single" w:sz="4" w:space="0" w:color="auto"/>
              <w:tl2br w:val="nil"/>
              <w:tr2bl w:val="nil"/>
            </w:tcBorders>
            <w:noWrap/>
            <w:textDirection w:val="lrTb"/>
            <w:vAlign w:val="center"/>
          </w:tcPr>
          <w:p w:rsidR="00F96ACE" w:rsidP="00F96ACE">
            <w:pPr>
              <w:spacing w:line="240" w:lineRule="auto"/>
              <w:jc w:val="right"/>
              <w:rPr>
                <w:rFonts w:ascii="Arial" w:hAnsi="Arial" w:cs="Arial"/>
                <w:color w:val="000000"/>
                <w:sz w:val="18"/>
                <w:szCs w:val="18"/>
              </w:rPr>
            </w:pPr>
            <w:r>
              <w:rPr>
                <w:rFonts w:ascii="Arial" w:hAnsi="Arial" w:cs="Arial"/>
                <w:color w:val="000000"/>
                <w:sz w:val="18"/>
                <w:szCs w:val="18"/>
              </w:rPr>
              <w:t>7 849</w:t>
            </w:r>
          </w:p>
        </w:tc>
      </w:tr>
    </w:tbl>
    <w:p w:rsidR="00F96ACE" w:rsidP="00F96ACE">
      <w:pPr>
        <w:spacing w:line="240" w:lineRule="auto"/>
        <w:rPr>
          <w:rFonts w:ascii="Times New Roman" w:hAnsi="Times New Roman" w:cs="Times New Roman"/>
          <w:b/>
        </w:rPr>
      </w:pPr>
    </w:p>
    <w:p w:rsidR="00F96ACE" w:rsidP="00F96ACE">
      <w:pPr>
        <w:spacing w:line="240" w:lineRule="auto"/>
        <w:rPr>
          <w:rFonts w:ascii="Times New Roman" w:hAnsi="Times New Roman" w:cs="Times New Roman"/>
          <w:b/>
        </w:rPr>
      </w:pPr>
    </w:p>
    <w:tbl>
      <w:tblPr>
        <w:tblW w:w="9375" w:type="dxa"/>
        <w:tblInd w:w="55" w:type="dxa"/>
        <w:tblCellMar>
          <w:left w:w="70" w:type="dxa"/>
          <w:right w:w="70" w:type="dxa"/>
        </w:tblCellMar>
      </w:tblPr>
      <w:tblGrid>
        <w:gridCol w:w="1041"/>
        <w:gridCol w:w="5244"/>
        <w:gridCol w:w="581"/>
        <w:gridCol w:w="2509"/>
      </w:tblGrid>
      <w:tr>
        <w:tblPrEx>
          <w:tblW w:w="9375" w:type="dxa"/>
          <w:tblInd w:w="55" w:type="dxa"/>
          <w:tblCellMar>
            <w:left w:w="70" w:type="dxa"/>
            <w:right w:w="70" w:type="dxa"/>
          </w:tblCellMar>
        </w:tblPrEx>
        <w:trPr>
          <w:trHeight w:hRule="exact" w:val="567"/>
        </w:trPr>
        <w:tc>
          <w:tcPr>
            <w:tcW w:w="1041" w:type="dxa"/>
            <w:tcBorders>
              <w:top w:val="single" w:sz="4" w:space="0" w:color="auto"/>
              <w:left w:val="single" w:sz="4" w:space="0" w:color="auto"/>
              <w:bottom w:val="single" w:sz="4" w:space="0" w:color="auto"/>
              <w:right w:val="single" w:sz="4" w:space="0" w:color="auto"/>
              <w:tl2br w:val="nil"/>
              <w:tr2bl w:val="nil"/>
            </w:tcBorders>
            <w:shd w:val="clear" w:color="auto" w:fill="C0C0C0"/>
            <w:textDirection w:val="lrTb"/>
            <w:vAlign w:val="center"/>
          </w:tcPr>
          <w:p w:rsidR="00F96ACE" w:rsidRPr="00E167CA" w:rsidP="00F96ACE">
            <w:pPr>
              <w:spacing w:line="240" w:lineRule="auto"/>
              <w:rPr>
                <w:rFonts w:ascii="Arial" w:hAnsi="Arial" w:cs="Arial"/>
                <w:b/>
                <w:color w:val="000000"/>
                <w:sz w:val="18"/>
                <w:szCs w:val="18"/>
              </w:rPr>
            </w:pPr>
            <w:r w:rsidRPr="00E167CA">
              <w:rPr>
                <w:rFonts w:ascii="Arial" w:hAnsi="Arial" w:cs="Arial"/>
                <w:b/>
                <w:color w:val="000000"/>
                <w:sz w:val="18"/>
                <w:szCs w:val="18"/>
              </w:rPr>
              <w:t>Označenie</w:t>
            </w:r>
          </w:p>
        </w:tc>
        <w:tc>
          <w:tcPr>
            <w:tcW w:w="5244" w:type="dxa"/>
            <w:tcBorders>
              <w:top w:val="single" w:sz="4" w:space="0" w:color="auto"/>
              <w:left w:val="nil"/>
              <w:bottom w:val="single" w:sz="4" w:space="0" w:color="auto"/>
              <w:right w:val="single" w:sz="4" w:space="0" w:color="auto"/>
              <w:tl2br w:val="nil"/>
              <w:tr2bl w:val="nil"/>
            </w:tcBorders>
            <w:shd w:val="clear" w:color="auto" w:fill="C0C0C0"/>
            <w:textDirection w:val="lrTb"/>
            <w:vAlign w:val="center"/>
          </w:tcPr>
          <w:p w:rsidR="00F96ACE" w:rsidRPr="00E167CA" w:rsidP="00E167CA">
            <w:pPr>
              <w:spacing w:line="240" w:lineRule="auto"/>
              <w:jc w:val="center"/>
              <w:rPr>
                <w:rFonts w:ascii="Arial" w:hAnsi="Arial" w:cs="Arial"/>
                <w:b/>
                <w:color w:val="000000"/>
                <w:sz w:val="18"/>
                <w:szCs w:val="18"/>
              </w:rPr>
            </w:pPr>
            <w:r w:rsidRPr="00E167CA">
              <w:rPr>
                <w:rFonts w:ascii="Arial" w:hAnsi="Arial" w:cs="Arial"/>
                <w:b/>
                <w:color w:val="000000"/>
                <w:sz w:val="18"/>
                <w:szCs w:val="18"/>
              </w:rPr>
              <w:t>P A S Í V A</w:t>
            </w:r>
          </w:p>
        </w:tc>
        <w:tc>
          <w:tcPr>
            <w:tcW w:w="581" w:type="dxa"/>
            <w:tcBorders>
              <w:top w:val="single" w:sz="4" w:space="0" w:color="auto"/>
              <w:left w:val="nil"/>
              <w:bottom w:val="single" w:sz="4" w:space="0" w:color="auto"/>
              <w:right w:val="single" w:sz="4" w:space="0" w:color="auto"/>
              <w:tl2br w:val="nil"/>
              <w:tr2bl w:val="nil"/>
            </w:tcBorders>
            <w:shd w:val="clear" w:color="auto" w:fill="C0C0C0"/>
            <w:textDirection w:val="lrTb"/>
            <w:vAlign w:val="center"/>
          </w:tcPr>
          <w:p w:rsidR="00F96ACE" w:rsidRPr="00E167CA" w:rsidP="00E167CA">
            <w:pPr>
              <w:spacing w:line="240" w:lineRule="auto"/>
              <w:jc w:val="center"/>
              <w:rPr>
                <w:rFonts w:ascii="Arial" w:hAnsi="Arial" w:cs="Arial"/>
                <w:b/>
                <w:color w:val="000000"/>
                <w:sz w:val="18"/>
                <w:szCs w:val="18"/>
              </w:rPr>
            </w:pPr>
            <w:r w:rsidR="00095D9A">
              <w:rPr>
                <w:rFonts w:ascii="Arial" w:hAnsi="Arial" w:cs="Arial"/>
                <w:b/>
                <w:color w:val="000000"/>
                <w:sz w:val="18"/>
                <w:szCs w:val="18"/>
              </w:rPr>
              <w:t>Číslo</w:t>
              <w:br/>
            </w:r>
            <w:r w:rsidRPr="00E167CA">
              <w:rPr>
                <w:rFonts w:ascii="Arial" w:hAnsi="Arial" w:cs="Arial"/>
                <w:b/>
                <w:color w:val="000000"/>
                <w:sz w:val="18"/>
                <w:szCs w:val="18"/>
              </w:rPr>
              <w:t>riad.</w:t>
            </w:r>
          </w:p>
        </w:tc>
        <w:tc>
          <w:tcPr>
            <w:tcW w:w="2509" w:type="dxa"/>
            <w:tcBorders>
              <w:top w:val="single" w:sz="4" w:space="0" w:color="auto"/>
              <w:left w:val="single" w:sz="4" w:space="0" w:color="auto"/>
              <w:bottom w:val="single" w:sz="4" w:space="0" w:color="auto"/>
              <w:right w:val="single" w:sz="4" w:space="0" w:color="auto"/>
              <w:tl2br w:val="nil"/>
              <w:tr2bl w:val="nil"/>
            </w:tcBorders>
            <w:shd w:val="clear" w:color="auto" w:fill="C0C0C0"/>
            <w:textDirection w:val="lrTb"/>
            <w:vAlign w:val="center"/>
          </w:tcPr>
          <w:p w:rsidR="00F96ACE" w:rsidRPr="00E167CA" w:rsidP="00E167CA">
            <w:pPr>
              <w:spacing w:line="240" w:lineRule="auto"/>
              <w:jc w:val="center"/>
              <w:rPr>
                <w:rFonts w:ascii="Arial" w:hAnsi="Arial" w:cs="Arial"/>
                <w:b/>
                <w:color w:val="000000"/>
                <w:sz w:val="18"/>
                <w:szCs w:val="18"/>
              </w:rPr>
            </w:pPr>
            <w:r w:rsidR="00E167CA">
              <w:rPr>
                <w:rFonts w:ascii="Arial" w:hAnsi="Arial" w:cs="Arial"/>
                <w:b/>
                <w:color w:val="000000"/>
                <w:sz w:val="18"/>
                <w:szCs w:val="18"/>
              </w:rPr>
              <w:t>Zaokrúhlené</w:t>
            </w:r>
          </w:p>
          <w:p w:rsidR="00F96ACE" w:rsidRPr="00E167CA" w:rsidP="00E167CA">
            <w:pPr>
              <w:spacing w:line="240" w:lineRule="auto"/>
              <w:jc w:val="center"/>
              <w:rPr>
                <w:rFonts w:ascii="Arial" w:hAnsi="Arial" w:cs="Arial"/>
                <w:b/>
                <w:color w:val="000000"/>
                <w:sz w:val="18"/>
                <w:szCs w:val="18"/>
              </w:rPr>
            </w:pPr>
            <w:r w:rsidR="00E167CA">
              <w:rPr>
                <w:rFonts w:ascii="Arial" w:hAnsi="Arial" w:cs="Arial"/>
                <w:b/>
                <w:color w:val="000000"/>
                <w:sz w:val="18"/>
                <w:szCs w:val="18"/>
              </w:rPr>
              <w:t>v tis. Sk</w:t>
            </w:r>
          </w:p>
        </w:tc>
      </w:tr>
      <w:tr>
        <w:tblPrEx>
          <w:tblW w:w="9375" w:type="dxa"/>
          <w:tblInd w:w="55" w:type="dxa"/>
          <w:tblCellMar>
            <w:left w:w="70" w:type="dxa"/>
            <w:right w:w="70" w:type="dxa"/>
          </w:tblCellMar>
        </w:tblPrEx>
        <w:trPr>
          <w:trHeight w:hRule="exact" w:val="284"/>
        </w:trPr>
        <w:tc>
          <w:tcPr>
            <w:tcW w:w="1041"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F96ACE" w:rsidP="00F96ACE">
            <w:pPr>
              <w:spacing w:line="240" w:lineRule="auto"/>
              <w:rPr>
                <w:rFonts w:ascii="Arial" w:hAnsi="Arial" w:cs="Arial"/>
                <w:color w:val="000000"/>
                <w:sz w:val="18"/>
                <w:szCs w:val="18"/>
              </w:rPr>
            </w:pPr>
            <w:r>
              <w:rPr>
                <w:rFonts w:ascii="Arial" w:hAnsi="Arial" w:cs="Arial"/>
                <w:color w:val="000000"/>
                <w:sz w:val="18"/>
                <w:szCs w:val="18"/>
              </w:rPr>
              <w:t> </w:t>
            </w:r>
          </w:p>
        </w:tc>
        <w:tc>
          <w:tcPr>
            <w:tcW w:w="5244" w:type="dxa"/>
            <w:tcBorders>
              <w:top w:val="single" w:sz="4" w:space="0" w:color="auto"/>
              <w:left w:val="nil"/>
              <w:bottom w:val="single" w:sz="4" w:space="0" w:color="auto"/>
              <w:right w:val="single" w:sz="4" w:space="0" w:color="auto"/>
              <w:tl2br w:val="nil"/>
              <w:tr2bl w:val="nil"/>
            </w:tcBorders>
            <w:textDirection w:val="lrTb"/>
            <w:vAlign w:val="center"/>
          </w:tcPr>
          <w:p w:rsidR="00F96ACE" w:rsidP="00CD162C">
            <w:pPr>
              <w:spacing w:line="240" w:lineRule="auto"/>
              <w:jc w:val="left"/>
              <w:rPr>
                <w:rFonts w:ascii="Arial" w:hAnsi="Arial" w:cs="Arial"/>
                <w:color w:val="000000"/>
                <w:sz w:val="18"/>
                <w:szCs w:val="18"/>
              </w:rPr>
            </w:pPr>
            <w:r>
              <w:rPr>
                <w:rFonts w:ascii="Arial" w:hAnsi="Arial" w:cs="Arial"/>
                <w:color w:val="000000"/>
                <w:sz w:val="18"/>
                <w:szCs w:val="18"/>
              </w:rPr>
              <w:t>Spolu vlastné imanie a závä</w:t>
            </w:r>
            <w:r w:rsidR="00CD162C">
              <w:rPr>
                <w:rFonts w:ascii="Arial" w:hAnsi="Arial" w:cs="Arial"/>
                <w:color w:val="000000"/>
                <w:sz w:val="18"/>
                <w:szCs w:val="18"/>
              </w:rPr>
              <w:t>z</w:t>
            </w:r>
            <w:r>
              <w:rPr>
                <w:rFonts w:ascii="Arial" w:hAnsi="Arial" w:cs="Arial"/>
                <w:color w:val="000000"/>
                <w:sz w:val="18"/>
                <w:szCs w:val="18"/>
              </w:rPr>
              <w:t xml:space="preserve">ky </w:t>
            </w:r>
            <w:r w:rsidR="00CD162C">
              <w:rPr>
                <w:rFonts w:ascii="Arial" w:hAnsi="Arial" w:cs="Arial"/>
                <w:color w:val="000000"/>
                <w:sz w:val="18"/>
                <w:szCs w:val="18"/>
              </w:rPr>
              <w:t>(</w:t>
            </w:r>
            <w:r>
              <w:rPr>
                <w:rFonts w:ascii="Arial" w:hAnsi="Arial" w:cs="Arial"/>
                <w:color w:val="000000"/>
                <w:sz w:val="18"/>
                <w:szCs w:val="18"/>
              </w:rPr>
              <w:t>r. 066+ r. 086+ r. 116</w:t>
            </w:r>
            <w:r w:rsidR="00CD162C">
              <w:rPr>
                <w:rFonts w:ascii="Arial" w:hAnsi="Arial" w:cs="Arial"/>
                <w:color w:val="000000"/>
                <w:sz w:val="18"/>
                <w:szCs w:val="18"/>
              </w:rPr>
              <w:t>)</w:t>
            </w:r>
          </w:p>
        </w:tc>
        <w:tc>
          <w:tcPr>
            <w:tcW w:w="581" w:type="dxa"/>
            <w:tcBorders>
              <w:top w:val="single" w:sz="4" w:space="0" w:color="auto"/>
              <w:left w:val="nil"/>
              <w:bottom w:val="single" w:sz="4" w:space="0" w:color="auto"/>
              <w:right w:val="single" w:sz="4" w:space="0" w:color="auto"/>
              <w:tl2br w:val="nil"/>
              <w:tr2bl w:val="nil"/>
            </w:tcBorders>
            <w:textDirection w:val="lrTb"/>
            <w:vAlign w:val="center"/>
          </w:tcPr>
          <w:p w:rsidR="00F96ACE" w:rsidP="00E167CA">
            <w:pPr>
              <w:spacing w:line="240" w:lineRule="auto"/>
              <w:jc w:val="center"/>
              <w:rPr>
                <w:rFonts w:ascii="Arial" w:hAnsi="Arial" w:cs="Arial"/>
                <w:color w:val="000000"/>
                <w:sz w:val="18"/>
                <w:szCs w:val="18"/>
              </w:rPr>
            </w:pPr>
            <w:r>
              <w:rPr>
                <w:rFonts w:ascii="Arial" w:hAnsi="Arial" w:cs="Arial"/>
                <w:color w:val="000000"/>
                <w:sz w:val="18"/>
                <w:szCs w:val="18"/>
              </w:rPr>
              <w:t>065</w:t>
            </w:r>
          </w:p>
        </w:tc>
        <w:tc>
          <w:tcPr>
            <w:tcW w:w="2509"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F96ACE" w:rsidP="00F96ACE">
            <w:pPr>
              <w:spacing w:line="240" w:lineRule="auto"/>
              <w:jc w:val="right"/>
              <w:rPr>
                <w:rFonts w:ascii="Arial" w:hAnsi="Arial" w:cs="Arial"/>
                <w:color w:val="000000"/>
                <w:sz w:val="18"/>
                <w:szCs w:val="18"/>
              </w:rPr>
            </w:pPr>
            <w:r>
              <w:rPr>
                <w:rFonts w:ascii="Arial" w:hAnsi="Arial" w:cs="Arial"/>
                <w:color w:val="000000"/>
                <w:sz w:val="18"/>
                <w:szCs w:val="18"/>
              </w:rPr>
              <w:t>154 009 150</w:t>
            </w:r>
          </w:p>
        </w:tc>
      </w:tr>
      <w:tr>
        <w:tblPrEx>
          <w:tblW w:w="9375" w:type="dxa"/>
          <w:tblInd w:w="55" w:type="dxa"/>
          <w:tblCellMar>
            <w:left w:w="70" w:type="dxa"/>
            <w:right w:w="70" w:type="dxa"/>
          </w:tblCellMar>
        </w:tblPrEx>
        <w:trPr>
          <w:trHeight w:hRule="exact" w:val="284"/>
        </w:trPr>
        <w:tc>
          <w:tcPr>
            <w:tcW w:w="1041" w:type="dxa"/>
            <w:tcBorders>
              <w:top w:val="nil"/>
              <w:left w:val="single" w:sz="4" w:space="0" w:color="auto"/>
              <w:bottom w:val="single" w:sz="4" w:space="0" w:color="auto"/>
              <w:right w:val="single" w:sz="4" w:space="0" w:color="auto"/>
              <w:tl2br w:val="nil"/>
              <w:tr2bl w:val="nil"/>
            </w:tcBorders>
            <w:textDirection w:val="lrTb"/>
            <w:vAlign w:val="center"/>
          </w:tcPr>
          <w:p w:rsidR="00F96ACE" w:rsidP="00F96ACE">
            <w:pPr>
              <w:spacing w:line="240" w:lineRule="auto"/>
              <w:rPr>
                <w:rFonts w:ascii="Arial" w:hAnsi="Arial" w:cs="Arial"/>
                <w:color w:val="000000"/>
                <w:sz w:val="18"/>
                <w:szCs w:val="18"/>
              </w:rPr>
            </w:pPr>
            <w:r>
              <w:rPr>
                <w:rFonts w:ascii="Arial" w:hAnsi="Arial" w:cs="Arial"/>
                <w:color w:val="000000"/>
                <w:sz w:val="18"/>
                <w:szCs w:val="18"/>
              </w:rPr>
              <w:t>A.</w:t>
            </w:r>
          </w:p>
        </w:tc>
        <w:tc>
          <w:tcPr>
            <w:tcW w:w="5244" w:type="dxa"/>
            <w:tcBorders>
              <w:top w:val="nil"/>
              <w:left w:val="nil"/>
              <w:bottom w:val="single" w:sz="4" w:space="0" w:color="auto"/>
              <w:right w:val="single" w:sz="4" w:space="0" w:color="auto"/>
              <w:tl2br w:val="nil"/>
              <w:tr2bl w:val="nil"/>
            </w:tcBorders>
            <w:textDirection w:val="lrTb"/>
            <w:vAlign w:val="center"/>
          </w:tcPr>
          <w:p w:rsidR="00F96ACE" w:rsidP="00CD162C">
            <w:pPr>
              <w:spacing w:line="240" w:lineRule="auto"/>
              <w:jc w:val="left"/>
              <w:rPr>
                <w:rFonts w:ascii="Arial" w:hAnsi="Arial" w:cs="Arial"/>
                <w:color w:val="000000"/>
                <w:sz w:val="18"/>
                <w:szCs w:val="18"/>
              </w:rPr>
            </w:pPr>
            <w:r>
              <w:rPr>
                <w:rFonts w:ascii="Arial" w:hAnsi="Arial" w:cs="Arial"/>
                <w:color w:val="000000"/>
                <w:sz w:val="18"/>
                <w:szCs w:val="18"/>
              </w:rPr>
              <w:t xml:space="preserve">Vlastné imanie </w:t>
            </w:r>
            <w:r w:rsidR="00CD162C">
              <w:rPr>
                <w:rFonts w:ascii="Arial" w:hAnsi="Arial" w:cs="Arial"/>
                <w:color w:val="000000"/>
                <w:sz w:val="18"/>
                <w:szCs w:val="18"/>
              </w:rPr>
              <w:t>(</w:t>
            </w:r>
            <w:r>
              <w:rPr>
                <w:rFonts w:ascii="Arial" w:hAnsi="Arial" w:cs="Arial"/>
                <w:color w:val="000000"/>
                <w:sz w:val="18"/>
                <w:szCs w:val="18"/>
              </w:rPr>
              <w:t>r. 067+ r. 071+ r. 078+ r. 082+ r. 085</w:t>
            </w:r>
            <w:r w:rsidR="00CD162C">
              <w:rPr>
                <w:rFonts w:ascii="Arial" w:hAnsi="Arial" w:cs="Arial"/>
                <w:color w:val="000000"/>
                <w:sz w:val="18"/>
                <w:szCs w:val="18"/>
              </w:rPr>
              <w:t>)</w:t>
            </w:r>
          </w:p>
        </w:tc>
        <w:tc>
          <w:tcPr>
            <w:tcW w:w="581" w:type="dxa"/>
            <w:tcBorders>
              <w:top w:val="nil"/>
              <w:left w:val="nil"/>
              <w:bottom w:val="single" w:sz="4" w:space="0" w:color="auto"/>
              <w:right w:val="single" w:sz="4" w:space="0" w:color="auto"/>
              <w:tl2br w:val="nil"/>
              <w:tr2bl w:val="nil"/>
            </w:tcBorders>
            <w:textDirection w:val="lrTb"/>
            <w:vAlign w:val="center"/>
          </w:tcPr>
          <w:p w:rsidR="00F96ACE" w:rsidP="00E167CA">
            <w:pPr>
              <w:spacing w:line="240" w:lineRule="auto"/>
              <w:jc w:val="center"/>
              <w:rPr>
                <w:rFonts w:ascii="Arial" w:hAnsi="Arial" w:cs="Arial"/>
                <w:color w:val="000000"/>
                <w:sz w:val="18"/>
                <w:szCs w:val="18"/>
              </w:rPr>
            </w:pPr>
            <w:r>
              <w:rPr>
                <w:rFonts w:ascii="Arial" w:hAnsi="Arial" w:cs="Arial"/>
                <w:color w:val="000000"/>
                <w:sz w:val="18"/>
                <w:szCs w:val="18"/>
              </w:rPr>
              <w:t>066</w:t>
            </w:r>
          </w:p>
        </w:tc>
        <w:tc>
          <w:tcPr>
            <w:tcW w:w="2509" w:type="dxa"/>
            <w:tcBorders>
              <w:top w:val="nil"/>
              <w:left w:val="single" w:sz="4" w:space="0" w:color="auto"/>
              <w:bottom w:val="single" w:sz="4" w:space="0" w:color="auto"/>
              <w:right w:val="single" w:sz="4" w:space="0" w:color="auto"/>
              <w:tl2br w:val="nil"/>
              <w:tr2bl w:val="nil"/>
            </w:tcBorders>
            <w:noWrap/>
            <w:textDirection w:val="lrTb"/>
            <w:vAlign w:val="center"/>
          </w:tcPr>
          <w:p w:rsidR="00F96ACE" w:rsidP="00F96ACE">
            <w:pPr>
              <w:spacing w:line="240" w:lineRule="auto"/>
              <w:jc w:val="right"/>
              <w:rPr>
                <w:rFonts w:ascii="Arial" w:hAnsi="Arial" w:cs="Arial"/>
                <w:color w:val="000000"/>
                <w:sz w:val="18"/>
                <w:szCs w:val="18"/>
              </w:rPr>
            </w:pPr>
            <w:r>
              <w:rPr>
                <w:rFonts w:ascii="Arial" w:hAnsi="Arial" w:cs="Arial"/>
                <w:color w:val="000000"/>
                <w:sz w:val="18"/>
                <w:szCs w:val="18"/>
              </w:rPr>
              <w:t>97 359 825</w:t>
            </w:r>
          </w:p>
        </w:tc>
      </w:tr>
      <w:tr>
        <w:tblPrEx>
          <w:tblW w:w="9375" w:type="dxa"/>
          <w:tblInd w:w="55" w:type="dxa"/>
          <w:tblCellMar>
            <w:left w:w="70" w:type="dxa"/>
            <w:right w:w="70" w:type="dxa"/>
          </w:tblCellMar>
        </w:tblPrEx>
        <w:trPr>
          <w:trHeight w:hRule="exact" w:val="284"/>
        </w:trPr>
        <w:tc>
          <w:tcPr>
            <w:tcW w:w="1041" w:type="dxa"/>
            <w:tcBorders>
              <w:top w:val="nil"/>
              <w:left w:val="single" w:sz="4" w:space="0" w:color="auto"/>
              <w:bottom w:val="single" w:sz="4" w:space="0" w:color="auto"/>
              <w:right w:val="single" w:sz="4" w:space="0" w:color="auto"/>
              <w:tl2br w:val="nil"/>
              <w:tr2bl w:val="nil"/>
            </w:tcBorders>
            <w:textDirection w:val="lrTb"/>
            <w:vAlign w:val="center"/>
          </w:tcPr>
          <w:p w:rsidR="00F96ACE" w:rsidP="00F96ACE">
            <w:pPr>
              <w:spacing w:line="240" w:lineRule="auto"/>
              <w:rPr>
                <w:rFonts w:ascii="Arial" w:hAnsi="Arial" w:cs="Arial"/>
                <w:color w:val="000000"/>
                <w:sz w:val="18"/>
                <w:szCs w:val="18"/>
              </w:rPr>
            </w:pPr>
            <w:r>
              <w:rPr>
                <w:rFonts w:ascii="Arial" w:hAnsi="Arial" w:cs="Arial"/>
                <w:color w:val="000000"/>
                <w:sz w:val="18"/>
                <w:szCs w:val="18"/>
              </w:rPr>
              <w:t>A.l.</w:t>
            </w:r>
          </w:p>
        </w:tc>
        <w:tc>
          <w:tcPr>
            <w:tcW w:w="5244" w:type="dxa"/>
            <w:tcBorders>
              <w:top w:val="nil"/>
              <w:left w:val="nil"/>
              <w:bottom w:val="single" w:sz="4" w:space="0" w:color="auto"/>
              <w:right w:val="single" w:sz="4" w:space="0" w:color="auto"/>
              <w:tl2br w:val="nil"/>
              <w:tr2bl w:val="nil"/>
            </w:tcBorders>
            <w:textDirection w:val="lrTb"/>
            <w:vAlign w:val="center"/>
          </w:tcPr>
          <w:p w:rsidR="00F96ACE" w:rsidP="00CD162C">
            <w:pPr>
              <w:spacing w:line="240" w:lineRule="auto"/>
              <w:jc w:val="left"/>
              <w:rPr>
                <w:rFonts w:ascii="Arial" w:hAnsi="Arial" w:cs="Arial"/>
                <w:color w:val="000000"/>
                <w:sz w:val="18"/>
                <w:szCs w:val="18"/>
              </w:rPr>
            </w:pPr>
            <w:r>
              <w:rPr>
                <w:rFonts w:ascii="Arial" w:hAnsi="Arial" w:cs="Arial"/>
                <w:color w:val="000000"/>
                <w:sz w:val="18"/>
                <w:szCs w:val="18"/>
              </w:rPr>
              <w:t>Základné imanie súčet (r. 068 až 070)</w:t>
            </w:r>
          </w:p>
        </w:tc>
        <w:tc>
          <w:tcPr>
            <w:tcW w:w="581" w:type="dxa"/>
            <w:tcBorders>
              <w:top w:val="nil"/>
              <w:left w:val="nil"/>
              <w:bottom w:val="single" w:sz="4" w:space="0" w:color="auto"/>
              <w:right w:val="single" w:sz="4" w:space="0" w:color="auto"/>
              <w:tl2br w:val="nil"/>
              <w:tr2bl w:val="nil"/>
            </w:tcBorders>
            <w:textDirection w:val="lrTb"/>
            <w:vAlign w:val="center"/>
          </w:tcPr>
          <w:p w:rsidR="00F96ACE" w:rsidP="00E167CA">
            <w:pPr>
              <w:spacing w:line="240" w:lineRule="auto"/>
              <w:jc w:val="center"/>
              <w:rPr>
                <w:rFonts w:ascii="Arial" w:hAnsi="Arial" w:cs="Arial"/>
                <w:color w:val="000000"/>
                <w:sz w:val="18"/>
                <w:szCs w:val="18"/>
              </w:rPr>
            </w:pPr>
            <w:r>
              <w:rPr>
                <w:rFonts w:ascii="Arial" w:hAnsi="Arial" w:cs="Arial"/>
                <w:color w:val="000000"/>
                <w:sz w:val="18"/>
                <w:szCs w:val="18"/>
              </w:rPr>
              <w:t>067</w:t>
            </w:r>
          </w:p>
        </w:tc>
        <w:tc>
          <w:tcPr>
            <w:tcW w:w="2509" w:type="dxa"/>
            <w:tcBorders>
              <w:top w:val="nil"/>
              <w:left w:val="single" w:sz="4" w:space="0" w:color="auto"/>
              <w:bottom w:val="single" w:sz="4" w:space="0" w:color="auto"/>
              <w:right w:val="single" w:sz="4" w:space="0" w:color="auto"/>
              <w:tl2br w:val="nil"/>
              <w:tr2bl w:val="nil"/>
            </w:tcBorders>
            <w:noWrap/>
            <w:textDirection w:val="lrTb"/>
            <w:vAlign w:val="center"/>
          </w:tcPr>
          <w:p w:rsidR="00F96ACE" w:rsidP="00F96ACE">
            <w:pPr>
              <w:spacing w:line="240" w:lineRule="auto"/>
              <w:jc w:val="right"/>
              <w:rPr>
                <w:rFonts w:ascii="Arial" w:hAnsi="Arial" w:cs="Arial"/>
                <w:color w:val="000000"/>
                <w:sz w:val="18"/>
                <w:szCs w:val="18"/>
              </w:rPr>
            </w:pPr>
            <w:r>
              <w:rPr>
                <w:rFonts w:ascii="Arial" w:hAnsi="Arial" w:cs="Arial"/>
                <w:color w:val="000000"/>
                <w:sz w:val="18"/>
                <w:szCs w:val="18"/>
              </w:rPr>
              <w:t>90 187 430</w:t>
            </w:r>
          </w:p>
        </w:tc>
      </w:tr>
      <w:tr>
        <w:tblPrEx>
          <w:tblW w:w="9375" w:type="dxa"/>
          <w:tblInd w:w="55" w:type="dxa"/>
          <w:tblCellMar>
            <w:left w:w="70" w:type="dxa"/>
            <w:right w:w="70" w:type="dxa"/>
          </w:tblCellMar>
        </w:tblPrEx>
        <w:trPr>
          <w:trHeight w:hRule="exact" w:val="284"/>
        </w:trPr>
        <w:tc>
          <w:tcPr>
            <w:tcW w:w="1041" w:type="dxa"/>
            <w:tcBorders>
              <w:top w:val="nil"/>
              <w:left w:val="single" w:sz="4" w:space="0" w:color="auto"/>
              <w:bottom w:val="single" w:sz="4" w:space="0" w:color="auto"/>
              <w:right w:val="single" w:sz="4" w:space="0" w:color="auto"/>
              <w:tl2br w:val="nil"/>
              <w:tr2bl w:val="nil"/>
            </w:tcBorders>
            <w:textDirection w:val="lrTb"/>
            <w:vAlign w:val="center"/>
          </w:tcPr>
          <w:p w:rsidR="00F96ACE" w:rsidP="00F96ACE">
            <w:pPr>
              <w:spacing w:line="240" w:lineRule="auto"/>
              <w:rPr>
                <w:rFonts w:ascii="Arial" w:hAnsi="Arial" w:cs="Arial"/>
                <w:color w:val="000000"/>
                <w:sz w:val="18"/>
                <w:szCs w:val="18"/>
              </w:rPr>
            </w:pPr>
            <w:r>
              <w:rPr>
                <w:rFonts w:ascii="Arial" w:hAnsi="Arial" w:cs="Arial"/>
                <w:color w:val="000000"/>
                <w:sz w:val="18"/>
                <w:szCs w:val="18"/>
              </w:rPr>
              <w:t>A.l.1.</w:t>
            </w:r>
          </w:p>
        </w:tc>
        <w:tc>
          <w:tcPr>
            <w:tcW w:w="5244" w:type="dxa"/>
            <w:tcBorders>
              <w:top w:val="nil"/>
              <w:left w:val="nil"/>
              <w:bottom w:val="single" w:sz="4" w:space="0" w:color="auto"/>
              <w:right w:val="single" w:sz="4" w:space="0" w:color="auto"/>
              <w:tl2br w:val="nil"/>
              <w:tr2bl w:val="nil"/>
            </w:tcBorders>
            <w:textDirection w:val="lrTb"/>
            <w:vAlign w:val="center"/>
          </w:tcPr>
          <w:p w:rsidR="00F96ACE" w:rsidP="00CD162C">
            <w:pPr>
              <w:spacing w:line="240" w:lineRule="auto"/>
              <w:jc w:val="left"/>
              <w:rPr>
                <w:rFonts w:ascii="Arial" w:hAnsi="Arial" w:cs="Arial"/>
                <w:color w:val="000000"/>
                <w:sz w:val="18"/>
                <w:szCs w:val="18"/>
              </w:rPr>
            </w:pPr>
            <w:r>
              <w:rPr>
                <w:rFonts w:ascii="Arial" w:hAnsi="Arial" w:cs="Arial"/>
                <w:color w:val="000000"/>
                <w:sz w:val="18"/>
                <w:szCs w:val="18"/>
              </w:rPr>
              <w:t>Základné imanie (411 alebo +/-491)</w:t>
            </w:r>
          </w:p>
        </w:tc>
        <w:tc>
          <w:tcPr>
            <w:tcW w:w="581" w:type="dxa"/>
            <w:tcBorders>
              <w:top w:val="nil"/>
              <w:left w:val="nil"/>
              <w:bottom w:val="single" w:sz="4" w:space="0" w:color="auto"/>
              <w:right w:val="single" w:sz="4" w:space="0" w:color="auto"/>
              <w:tl2br w:val="nil"/>
              <w:tr2bl w:val="nil"/>
            </w:tcBorders>
            <w:textDirection w:val="lrTb"/>
            <w:vAlign w:val="center"/>
          </w:tcPr>
          <w:p w:rsidR="00F96ACE" w:rsidP="00E167CA">
            <w:pPr>
              <w:spacing w:line="240" w:lineRule="auto"/>
              <w:jc w:val="center"/>
              <w:rPr>
                <w:rFonts w:ascii="Arial" w:hAnsi="Arial" w:cs="Arial"/>
                <w:color w:val="000000"/>
                <w:sz w:val="18"/>
                <w:szCs w:val="18"/>
              </w:rPr>
            </w:pPr>
            <w:r>
              <w:rPr>
                <w:rFonts w:ascii="Arial" w:hAnsi="Arial" w:cs="Arial"/>
                <w:color w:val="000000"/>
                <w:sz w:val="18"/>
                <w:szCs w:val="18"/>
              </w:rPr>
              <w:t>068</w:t>
            </w:r>
          </w:p>
        </w:tc>
        <w:tc>
          <w:tcPr>
            <w:tcW w:w="2509" w:type="dxa"/>
            <w:tcBorders>
              <w:top w:val="nil"/>
              <w:left w:val="single" w:sz="4" w:space="0" w:color="auto"/>
              <w:bottom w:val="single" w:sz="4" w:space="0" w:color="auto"/>
              <w:right w:val="single" w:sz="4" w:space="0" w:color="auto"/>
              <w:tl2br w:val="nil"/>
              <w:tr2bl w:val="nil"/>
            </w:tcBorders>
            <w:noWrap/>
            <w:textDirection w:val="lrTb"/>
            <w:vAlign w:val="center"/>
          </w:tcPr>
          <w:p w:rsidR="00F96ACE" w:rsidP="00F96ACE">
            <w:pPr>
              <w:spacing w:line="240" w:lineRule="auto"/>
              <w:jc w:val="right"/>
              <w:rPr>
                <w:rFonts w:ascii="Arial" w:hAnsi="Arial" w:cs="Arial"/>
                <w:color w:val="000000"/>
                <w:sz w:val="18"/>
                <w:szCs w:val="18"/>
              </w:rPr>
            </w:pPr>
            <w:r>
              <w:rPr>
                <w:rFonts w:ascii="Arial" w:hAnsi="Arial" w:cs="Arial"/>
                <w:color w:val="000000"/>
                <w:sz w:val="18"/>
                <w:szCs w:val="18"/>
              </w:rPr>
              <w:t>90 187 430</w:t>
            </w:r>
          </w:p>
        </w:tc>
      </w:tr>
      <w:tr>
        <w:tblPrEx>
          <w:tblW w:w="9375" w:type="dxa"/>
          <w:tblInd w:w="55" w:type="dxa"/>
          <w:tblCellMar>
            <w:left w:w="70" w:type="dxa"/>
            <w:right w:w="70" w:type="dxa"/>
          </w:tblCellMar>
        </w:tblPrEx>
        <w:trPr>
          <w:trHeight w:hRule="exact" w:val="284"/>
        </w:trPr>
        <w:tc>
          <w:tcPr>
            <w:tcW w:w="1041" w:type="dxa"/>
            <w:tcBorders>
              <w:top w:val="nil"/>
              <w:left w:val="single" w:sz="4" w:space="0" w:color="auto"/>
              <w:bottom w:val="single" w:sz="4" w:space="0" w:color="auto"/>
              <w:right w:val="single" w:sz="4" w:space="0" w:color="auto"/>
              <w:tl2br w:val="nil"/>
              <w:tr2bl w:val="nil"/>
            </w:tcBorders>
            <w:textDirection w:val="lrTb"/>
            <w:vAlign w:val="center"/>
          </w:tcPr>
          <w:p w:rsidR="00F96ACE" w:rsidP="00F96ACE">
            <w:pPr>
              <w:spacing w:line="240" w:lineRule="auto"/>
              <w:rPr>
                <w:rFonts w:ascii="Arial" w:hAnsi="Arial" w:cs="Arial"/>
                <w:color w:val="000000"/>
                <w:sz w:val="18"/>
                <w:szCs w:val="18"/>
              </w:rPr>
            </w:pPr>
            <w:r>
              <w:rPr>
                <w:rFonts w:ascii="Arial" w:hAnsi="Arial" w:cs="Arial"/>
                <w:color w:val="000000"/>
                <w:sz w:val="18"/>
                <w:szCs w:val="18"/>
              </w:rPr>
              <w:t>A.ll.</w:t>
            </w:r>
          </w:p>
        </w:tc>
        <w:tc>
          <w:tcPr>
            <w:tcW w:w="5244" w:type="dxa"/>
            <w:tcBorders>
              <w:top w:val="nil"/>
              <w:left w:val="nil"/>
              <w:bottom w:val="single" w:sz="4" w:space="0" w:color="auto"/>
              <w:right w:val="single" w:sz="4" w:space="0" w:color="auto"/>
              <w:tl2br w:val="nil"/>
              <w:tr2bl w:val="nil"/>
            </w:tcBorders>
            <w:textDirection w:val="lrTb"/>
            <w:vAlign w:val="center"/>
          </w:tcPr>
          <w:p w:rsidR="00F96ACE" w:rsidP="00CD162C">
            <w:pPr>
              <w:spacing w:line="240" w:lineRule="auto"/>
              <w:jc w:val="left"/>
              <w:rPr>
                <w:rFonts w:ascii="Arial" w:hAnsi="Arial" w:cs="Arial"/>
                <w:color w:val="000000"/>
                <w:sz w:val="18"/>
                <w:szCs w:val="18"/>
              </w:rPr>
            </w:pPr>
            <w:r>
              <w:rPr>
                <w:rFonts w:ascii="Arial" w:hAnsi="Arial" w:cs="Arial"/>
                <w:color w:val="000000"/>
                <w:sz w:val="18"/>
                <w:szCs w:val="18"/>
              </w:rPr>
              <w:t>Kapitálové fondy súčet (r. 072 až 077)</w:t>
            </w:r>
          </w:p>
        </w:tc>
        <w:tc>
          <w:tcPr>
            <w:tcW w:w="581" w:type="dxa"/>
            <w:tcBorders>
              <w:top w:val="nil"/>
              <w:left w:val="nil"/>
              <w:bottom w:val="single" w:sz="4" w:space="0" w:color="auto"/>
              <w:right w:val="single" w:sz="4" w:space="0" w:color="auto"/>
              <w:tl2br w:val="nil"/>
              <w:tr2bl w:val="nil"/>
            </w:tcBorders>
            <w:textDirection w:val="lrTb"/>
            <w:vAlign w:val="center"/>
          </w:tcPr>
          <w:p w:rsidR="00F96ACE" w:rsidP="00E167CA">
            <w:pPr>
              <w:spacing w:line="240" w:lineRule="auto"/>
              <w:jc w:val="center"/>
              <w:rPr>
                <w:rFonts w:ascii="Arial" w:hAnsi="Arial" w:cs="Arial"/>
                <w:color w:val="000000"/>
                <w:sz w:val="18"/>
                <w:szCs w:val="18"/>
              </w:rPr>
            </w:pPr>
            <w:r>
              <w:rPr>
                <w:rFonts w:ascii="Arial" w:hAnsi="Arial" w:cs="Arial"/>
                <w:color w:val="000000"/>
                <w:sz w:val="18"/>
                <w:szCs w:val="18"/>
              </w:rPr>
              <w:t>071</w:t>
            </w:r>
          </w:p>
        </w:tc>
        <w:tc>
          <w:tcPr>
            <w:tcW w:w="2509" w:type="dxa"/>
            <w:tcBorders>
              <w:top w:val="nil"/>
              <w:left w:val="single" w:sz="4" w:space="0" w:color="auto"/>
              <w:bottom w:val="single" w:sz="4" w:space="0" w:color="auto"/>
              <w:right w:val="single" w:sz="4" w:space="0" w:color="auto"/>
              <w:tl2br w:val="nil"/>
              <w:tr2bl w:val="nil"/>
            </w:tcBorders>
            <w:noWrap/>
            <w:textDirection w:val="lrTb"/>
            <w:vAlign w:val="center"/>
          </w:tcPr>
          <w:p w:rsidR="00F96ACE" w:rsidP="00F96ACE">
            <w:pPr>
              <w:spacing w:line="240" w:lineRule="auto"/>
              <w:jc w:val="right"/>
              <w:rPr>
                <w:rFonts w:ascii="Arial" w:hAnsi="Arial" w:cs="Arial"/>
                <w:color w:val="000000"/>
                <w:sz w:val="18"/>
                <w:szCs w:val="18"/>
              </w:rPr>
            </w:pPr>
            <w:r>
              <w:rPr>
                <w:rFonts w:ascii="Arial" w:hAnsi="Arial" w:cs="Arial"/>
                <w:color w:val="000000"/>
                <w:sz w:val="18"/>
                <w:szCs w:val="18"/>
              </w:rPr>
              <w:t>10 003 252</w:t>
            </w:r>
          </w:p>
        </w:tc>
      </w:tr>
      <w:tr>
        <w:tblPrEx>
          <w:tblW w:w="9375" w:type="dxa"/>
          <w:tblInd w:w="55" w:type="dxa"/>
          <w:tblCellMar>
            <w:left w:w="70" w:type="dxa"/>
            <w:right w:w="70" w:type="dxa"/>
          </w:tblCellMar>
        </w:tblPrEx>
        <w:trPr>
          <w:trHeight w:hRule="exact" w:val="284"/>
        </w:trPr>
        <w:tc>
          <w:tcPr>
            <w:tcW w:w="1041" w:type="dxa"/>
            <w:tcBorders>
              <w:top w:val="nil"/>
              <w:left w:val="single" w:sz="4" w:space="0" w:color="auto"/>
              <w:bottom w:val="single" w:sz="4" w:space="0" w:color="auto"/>
              <w:right w:val="single" w:sz="4" w:space="0" w:color="auto"/>
              <w:tl2br w:val="nil"/>
              <w:tr2bl w:val="nil"/>
            </w:tcBorders>
            <w:textDirection w:val="lrTb"/>
            <w:vAlign w:val="center"/>
          </w:tcPr>
          <w:p w:rsidR="00F96ACE" w:rsidP="00F96ACE">
            <w:pPr>
              <w:spacing w:line="240" w:lineRule="auto"/>
              <w:rPr>
                <w:rFonts w:ascii="Arial" w:hAnsi="Arial" w:cs="Arial"/>
                <w:color w:val="000000"/>
                <w:sz w:val="18"/>
                <w:szCs w:val="18"/>
              </w:rPr>
            </w:pPr>
            <w:r>
              <w:rPr>
                <w:rFonts w:ascii="Arial" w:hAnsi="Arial" w:cs="Arial"/>
                <w:color w:val="000000"/>
                <w:sz w:val="18"/>
                <w:szCs w:val="18"/>
              </w:rPr>
              <w:t>A.II.2.</w:t>
            </w:r>
          </w:p>
        </w:tc>
        <w:tc>
          <w:tcPr>
            <w:tcW w:w="5244" w:type="dxa"/>
            <w:tcBorders>
              <w:top w:val="nil"/>
              <w:left w:val="nil"/>
              <w:bottom w:val="single" w:sz="4" w:space="0" w:color="auto"/>
              <w:right w:val="single" w:sz="4" w:space="0" w:color="auto"/>
              <w:tl2br w:val="nil"/>
              <w:tr2bl w:val="nil"/>
            </w:tcBorders>
            <w:textDirection w:val="lrTb"/>
            <w:vAlign w:val="center"/>
          </w:tcPr>
          <w:p w:rsidR="00F96ACE" w:rsidP="00CD162C">
            <w:pPr>
              <w:spacing w:line="240" w:lineRule="auto"/>
              <w:jc w:val="left"/>
              <w:rPr>
                <w:rFonts w:ascii="Arial" w:hAnsi="Arial" w:cs="Arial"/>
                <w:color w:val="000000"/>
                <w:sz w:val="18"/>
                <w:szCs w:val="18"/>
              </w:rPr>
            </w:pPr>
            <w:r>
              <w:rPr>
                <w:rFonts w:ascii="Arial" w:hAnsi="Arial" w:cs="Arial"/>
                <w:color w:val="000000"/>
                <w:sz w:val="18"/>
                <w:szCs w:val="18"/>
              </w:rPr>
              <w:t>Ostatné kapitálové fondy (413)</w:t>
            </w:r>
          </w:p>
        </w:tc>
        <w:tc>
          <w:tcPr>
            <w:tcW w:w="581" w:type="dxa"/>
            <w:tcBorders>
              <w:top w:val="nil"/>
              <w:left w:val="nil"/>
              <w:bottom w:val="single" w:sz="4" w:space="0" w:color="auto"/>
              <w:right w:val="single" w:sz="4" w:space="0" w:color="auto"/>
              <w:tl2br w:val="nil"/>
              <w:tr2bl w:val="nil"/>
            </w:tcBorders>
            <w:textDirection w:val="lrTb"/>
            <w:vAlign w:val="center"/>
          </w:tcPr>
          <w:p w:rsidR="00F96ACE" w:rsidP="00E167CA">
            <w:pPr>
              <w:spacing w:line="240" w:lineRule="auto"/>
              <w:jc w:val="center"/>
              <w:rPr>
                <w:rFonts w:ascii="Arial" w:hAnsi="Arial" w:cs="Arial"/>
                <w:color w:val="000000"/>
                <w:sz w:val="18"/>
                <w:szCs w:val="18"/>
              </w:rPr>
            </w:pPr>
            <w:r>
              <w:rPr>
                <w:rFonts w:ascii="Arial" w:hAnsi="Arial" w:cs="Arial"/>
                <w:color w:val="000000"/>
                <w:sz w:val="18"/>
                <w:szCs w:val="18"/>
              </w:rPr>
              <w:t>073</w:t>
            </w:r>
          </w:p>
        </w:tc>
        <w:tc>
          <w:tcPr>
            <w:tcW w:w="2509" w:type="dxa"/>
            <w:tcBorders>
              <w:top w:val="nil"/>
              <w:left w:val="single" w:sz="4" w:space="0" w:color="auto"/>
              <w:bottom w:val="single" w:sz="4" w:space="0" w:color="auto"/>
              <w:right w:val="single" w:sz="4" w:space="0" w:color="auto"/>
              <w:tl2br w:val="nil"/>
              <w:tr2bl w:val="nil"/>
            </w:tcBorders>
            <w:noWrap/>
            <w:textDirection w:val="lrTb"/>
            <w:vAlign w:val="center"/>
          </w:tcPr>
          <w:p w:rsidR="00F96ACE" w:rsidP="00F96ACE">
            <w:pPr>
              <w:spacing w:line="240" w:lineRule="auto"/>
              <w:jc w:val="right"/>
              <w:rPr>
                <w:rFonts w:ascii="Arial" w:hAnsi="Arial" w:cs="Arial"/>
                <w:color w:val="000000"/>
                <w:sz w:val="18"/>
                <w:szCs w:val="18"/>
              </w:rPr>
            </w:pPr>
            <w:r>
              <w:rPr>
                <w:rFonts w:ascii="Arial" w:hAnsi="Arial" w:cs="Arial"/>
                <w:color w:val="000000"/>
                <w:sz w:val="18"/>
                <w:szCs w:val="18"/>
              </w:rPr>
              <w:t>382</w:t>
            </w:r>
          </w:p>
        </w:tc>
      </w:tr>
      <w:tr>
        <w:tblPrEx>
          <w:tblW w:w="9375" w:type="dxa"/>
          <w:tblInd w:w="55" w:type="dxa"/>
          <w:tblCellMar>
            <w:left w:w="70" w:type="dxa"/>
            <w:right w:w="70" w:type="dxa"/>
          </w:tblCellMar>
        </w:tblPrEx>
        <w:trPr>
          <w:trHeight w:hRule="exact" w:val="454"/>
        </w:trPr>
        <w:tc>
          <w:tcPr>
            <w:tcW w:w="1041" w:type="dxa"/>
            <w:tcBorders>
              <w:top w:val="nil"/>
              <w:left w:val="single" w:sz="4" w:space="0" w:color="auto"/>
              <w:bottom w:val="single" w:sz="4" w:space="0" w:color="auto"/>
              <w:right w:val="single" w:sz="4" w:space="0" w:color="auto"/>
              <w:tl2br w:val="nil"/>
              <w:tr2bl w:val="nil"/>
            </w:tcBorders>
            <w:textDirection w:val="lrTb"/>
            <w:vAlign w:val="center"/>
          </w:tcPr>
          <w:p w:rsidR="00F96ACE" w:rsidP="00F96ACE">
            <w:pPr>
              <w:spacing w:line="240" w:lineRule="auto"/>
              <w:rPr>
                <w:rFonts w:ascii="Arial" w:hAnsi="Arial" w:cs="Arial"/>
                <w:color w:val="000000"/>
                <w:sz w:val="18"/>
                <w:szCs w:val="18"/>
              </w:rPr>
            </w:pPr>
            <w:r>
              <w:rPr>
                <w:rFonts w:ascii="Arial" w:hAnsi="Arial" w:cs="Arial"/>
                <w:color w:val="000000"/>
                <w:sz w:val="18"/>
                <w:szCs w:val="18"/>
              </w:rPr>
              <w:t>A.II.3.</w:t>
            </w:r>
          </w:p>
        </w:tc>
        <w:tc>
          <w:tcPr>
            <w:tcW w:w="5244" w:type="dxa"/>
            <w:tcBorders>
              <w:top w:val="nil"/>
              <w:left w:val="nil"/>
              <w:bottom w:val="single" w:sz="4" w:space="0" w:color="auto"/>
              <w:right w:val="single" w:sz="4" w:space="0" w:color="auto"/>
              <w:tl2br w:val="nil"/>
              <w:tr2bl w:val="nil"/>
            </w:tcBorders>
            <w:textDirection w:val="lrTb"/>
            <w:vAlign w:val="center"/>
          </w:tcPr>
          <w:p w:rsidR="00F96ACE" w:rsidP="00CD162C">
            <w:pPr>
              <w:spacing w:line="240" w:lineRule="auto"/>
              <w:jc w:val="left"/>
              <w:rPr>
                <w:rFonts w:ascii="Arial" w:hAnsi="Arial" w:cs="Arial"/>
                <w:color w:val="000000"/>
                <w:sz w:val="18"/>
                <w:szCs w:val="18"/>
              </w:rPr>
            </w:pPr>
            <w:r>
              <w:rPr>
                <w:rFonts w:ascii="Arial" w:hAnsi="Arial" w:cs="Arial"/>
                <w:color w:val="000000"/>
                <w:sz w:val="18"/>
                <w:szCs w:val="18"/>
              </w:rPr>
              <w:t>Zákonný rezervný fond (Nedeliteľný fond) z kapitálových vkladov (417,418)</w:t>
            </w:r>
          </w:p>
        </w:tc>
        <w:tc>
          <w:tcPr>
            <w:tcW w:w="581" w:type="dxa"/>
            <w:tcBorders>
              <w:top w:val="nil"/>
              <w:left w:val="nil"/>
              <w:bottom w:val="single" w:sz="4" w:space="0" w:color="auto"/>
              <w:right w:val="single" w:sz="4" w:space="0" w:color="auto"/>
              <w:tl2br w:val="nil"/>
              <w:tr2bl w:val="nil"/>
            </w:tcBorders>
            <w:textDirection w:val="lrTb"/>
            <w:vAlign w:val="center"/>
          </w:tcPr>
          <w:p w:rsidR="00F96ACE" w:rsidP="00E167CA">
            <w:pPr>
              <w:spacing w:line="240" w:lineRule="auto"/>
              <w:jc w:val="center"/>
              <w:rPr>
                <w:rFonts w:ascii="Arial" w:hAnsi="Arial" w:cs="Arial"/>
                <w:color w:val="000000"/>
                <w:sz w:val="18"/>
                <w:szCs w:val="18"/>
              </w:rPr>
            </w:pPr>
            <w:r>
              <w:rPr>
                <w:rFonts w:ascii="Arial" w:hAnsi="Arial" w:cs="Arial"/>
                <w:color w:val="000000"/>
                <w:sz w:val="18"/>
                <w:szCs w:val="18"/>
              </w:rPr>
              <w:t>074</w:t>
            </w:r>
          </w:p>
        </w:tc>
        <w:tc>
          <w:tcPr>
            <w:tcW w:w="2509" w:type="dxa"/>
            <w:tcBorders>
              <w:top w:val="nil"/>
              <w:left w:val="single" w:sz="4" w:space="0" w:color="auto"/>
              <w:bottom w:val="single" w:sz="4" w:space="0" w:color="auto"/>
              <w:right w:val="single" w:sz="4" w:space="0" w:color="auto"/>
              <w:tl2br w:val="nil"/>
              <w:tr2bl w:val="nil"/>
            </w:tcBorders>
            <w:noWrap/>
            <w:textDirection w:val="lrTb"/>
            <w:vAlign w:val="center"/>
          </w:tcPr>
          <w:p w:rsidR="00F96ACE" w:rsidP="00F96ACE">
            <w:pPr>
              <w:spacing w:line="240" w:lineRule="auto"/>
              <w:jc w:val="right"/>
              <w:rPr>
                <w:rFonts w:ascii="Arial" w:hAnsi="Arial" w:cs="Arial"/>
                <w:color w:val="000000"/>
                <w:sz w:val="18"/>
                <w:szCs w:val="18"/>
              </w:rPr>
            </w:pPr>
            <w:r>
              <w:rPr>
                <w:rFonts w:ascii="Arial" w:hAnsi="Arial" w:cs="Arial"/>
                <w:color w:val="000000"/>
                <w:sz w:val="18"/>
                <w:szCs w:val="18"/>
              </w:rPr>
              <w:t>10 002 870</w:t>
            </w:r>
          </w:p>
        </w:tc>
      </w:tr>
      <w:tr>
        <w:tblPrEx>
          <w:tblW w:w="9375" w:type="dxa"/>
          <w:tblInd w:w="55" w:type="dxa"/>
          <w:tblCellMar>
            <w:left w:w="70" w:type="dxa"/>
            <w:right w:w="70" w:type="dxa"/>
          </w:tblCellMar>
        </w:tblPrEx>
        <w:trPr>
          <w:trHeight w:hRule="exact" w:val="284"/>
        </w:trPr>
        <w:tc>
          <w:tcPr>
            <w:tcW w:w="1041" w:type="dxa"/>
            <w:tcBorders>
              <w:top w:val="nil"/>
              <w:left w:val="single" w:sz="4" w:space="0" w:color="auto"/>
              <w:bottom w:val="single" w:sz="4" w:space="0" w:color="auto"/>
              <w:right w:val="single" w:sz="4" w:space="0" w:color="auto"/>
              <w:tl2br w:val="nil"/>
              <w:tr2bl w:val="nil"/>
            </w:tcBorders>
            <w:textDirection w:val="lrTb"/>
            <w:vAlign w:val="center"/>
          </w:tcPr>
          <w:p w:rsidR="00F96ACE" w:rsidP="00F96ACE">
            <w:pPr>
              <w:spacing w:line="240" w:lineRule="auto"/>
              <w:rPr>
                <w:rFonts w:ascii="Arial" w:hAnsi="Arial" w:cs="Arial"/>
                <w:color w:val="000000"/>
                <w:sz w:val="18"/>
                <w:szCs w:val="18"/>
              </w:rPr>
            </w:pPr>
            <w:r>
              <w:rPr>
                <w:rFonts w:ascii="Arial" w:hAnsi="Arial" w:cs="Arial"/>
                <w:color w:val="000000"/>
                <w:sz w:val="18"/>
                <w:szCs w:val="18"/>
              </w:rPr>
              <w:t>A.lll.</w:t>
            </w:r>
          </w:p>
        </w:tc>
        <w:tc>
          <w:tcPr>
            <w:tcW w:w="5244" w:type="dxa"/>
            <w:tcBorders>
              <w:top w:val="nil"/>
              <w:left w:val="nil"/>
              <w:bottom w:val="single" w:sz="4" w:space="0" w:color="auto"/>
              <w:right w:val="single" w:sz="4" w:space="0" w:color="auto"/>
              <w:tl2br w:val="nil"/>
              <w:tr2bl w:val="nil"/>
            </w:tcBorders>
            <w:textDirection w:val="lrTb"/>
            <w:vAlign w:val="center"/>
          </w:tcPr>
          <w:p w:rsidR="00F96ACE" w:rsidP="00CD162C">
            <w:pPr>
              <w:spacing w:line="240" w:lineRule="auto"/>
              <w:jc w:val="left"/>
              <w:rPr>
                <w:rFonts w:ascii="Arial" w:hAnsi="Arial" w:cs="Arial"/>
                <w:color w:val="000000"/>
                <w:sz w:val="18"/>
                <w:szCs w:val="18"/>
              </w:rPr>
            </w:pPr>
            <w:r>
              <w:rPr>
                <w:rFonts w:ascii="Arial" w:hAnsi="Arial" w:cs="Arial"/>
                <w:color w:val="000000"/>
                <w:sz w:val="18"/>
                <w:szCs w:val="18"/>
              </w:rPr>
              <w:t>Fondy zo zisku súčet (r. 079 až 081)</w:t>
            </w:r>
          </w:p>
        </w:tc>
        <w:tc>
          <w:tcPr>
            <w:tcW w:w="581" w:type="dxa"/>
            <w:tcBorders>
              <w:top w:val="nil"/>
              <w:left w:val="nil"/>
              <w:bottom w:val="single" w:sz="4" w:space="0" w:color="auto"/>
              <w:right w:val="single" w:sz="4" w:space="0" w:color="auto"/>
              <w:tl2br w:val="nil"/>
              <w:tr2bl w:val="nil"/>
            </w:tcBorders>
            <w:textDirection w:val="lrTb"/>
            <w:vAlign w:val="center"/>
          </w:tcPr>
          <w:p w:rsidR="00F96ACE" w:rsidP="00E167CA">
            <w:pPr>
              <w:spacing w:line="240" w:lineRule="auto"/>
              <w:jc w:val="center"/>
              <w:rPr>
                <w:rFonts w:ascii="Arial" w:hAnsi="Arial" w:cs="Arial"/>
                <w:color w:val="000000"/>
                <w:sz w:val="18"/>
                <w:szCs w:val="18"/>
              </w:rPr>
            </w:pPr>
            <w:r>
              <w:rPr>
                <w:rFonts w:ascii="Arial" w:hAnsi="Arial" w:cs="Arial"/>
                <w:color w:val="000000"/>
                <w:sz w:val="18"/>
                <w:szCs w:val="18"/>
              </w:rPr>
              <w:t>078</w:t>
            </w:r>
          </w:p>
        </w:tc>
        <w:tc>
          <w:tcPr>
            <w:tcW w:w="2509" w:type="dxa"/>
            <w:tcBorders>
              <w:top w:val="nil"/>
              <w:left w:val="single" w:sz="4" w:space="0" w:color="auto"/>
              <w:bottom w:val="single" w:sz="4" w:space="0" w:color="auto"/>
              <w:right w:val="single" w:sz="4" w:space="0" w:color="auto"/>
              <w:tl2br w:val="nil"/>
              <w:tr2bl w:val="nil"/>
            </w:tcBorders>
            <w:noWrap/>
            <w:textDirection w:val="lrTb"/>
            <w:vAlign w:val="center"/>
          </w:tcPr>
          <w:p w:rsidR="00F96ACE" w:rsidP="00F96ACE">
            <w:pPr>
              <w:spacing w:line="240" w:lineRule="auto"/>
              <w:jc w:val="right"/>
              <w:rPr>
                <w:rFonts w:ascii="Arial" w:hAnsi="Arial" w:cs="Arial"/>
                <w:color w:val="000000"/>
                <w:sz w:val="18"/>
                <w:szCs w:val="18"/>
              </w:rPr>
            </w:pPr>
            <w:r>
              <w:rPr>
                <w:rFonts w:ascii="Arial" w:hAnsi="Arial" w:cs="Arial"/>
                <w:color w:val="000000"/>
                <w:sz w:val="18"/>
                <w:szCs w:val="18"/>
              </w:rPr>
              <w:t>35 236</w:t>
            </w:r>
          </w:p>
        </w:tc>
      </w:tr>
      <w:tr>
        <w:tblPrEx>
          <w:tblW w:w="9375" w:type="dxa"/>
          <w:tblInd w:w="55" w:type="dxa"/>
          <w:tblCellMar>
            <w:left w:w="70" w:type="dxa"/>
            <w:right w:w="70" w:type="dxa"/>
          </w:tblCellMar>
        </w:tblPrEx>
        <w:trPr>
          <w:trHeight w:hRule="exact" w:val="284"/>
        </w:trPr>
        <w:tc>
          <w:tcPr>
            <w:tcW w:w="1041" w:type="dxa"/>
            <w:tcBorders>
              <w:top w:val="nil"/>
              <w:left w:val="single" w:sz="4" w:space="0" w:color="auto"/>
              <w:bottom w:val="single" w:sz="4" w:space="0" w:color="auto"/>
              <w:right w:val="single" w:sz="4" w:space="0" w:color="auto"/>
              <w:tl2br w:val="nil"/>
              <w:tr2bl w:val="nil"/>
            </w:tcBorders>
            <w:textDirection w:val="lrTb"/>
            <w:vAlign w:val="center"/>
          </w:tcPr>
          <w:p w:rsidR="00F96ACE" w:rsidP="00F96ACE">
            <w:pPr>
              <w:spacing w:line="240" w:lineRule="auto"/>
              <w:rPr>
                <w:rFonts w:ascii="Arial" w:hAnsi="Arial" w:cs="Arial"/>
                <w:color w:val="000000"/>
                <w:sz w:val="18"/>
                <w:szCs w:val="18"/>
              </w:rPr>
            </w:pPr>
            <w:r>
              <w:rPr>
                <w:rFonts w:ascii="Arial" w:hAnsi="Arial" w:cs="Arial"/>
                <w:color w:val="000000"/>
                <w:sz w:val="18"/>
                <w:szCs w:val="18"/>
              </w:rPr>
              <w:t>A.lll.1.</w:t>
            </w:r>
          </w:p>
        </w:tc>
        <w:tc>
          <w:tcPr>
            <w:tcW w:w="5244" w:type="dxa"/>
            <w:tcBorders>
              <w:top w:val="nil"/>
              <w:left w:val="nil"/>
              <w:bottom w:val="single" w:sz="4" w:space="0" w:color="auto"/>
              <w:right w:val="single" w:sz="4" w:space="0" w:color="auto"/>
              <w:tl2br w:val="nil"/>
              <w:tr2bl w:val="nil"/>
            </w:tcBorders>
            <w:textDirection w:val="lrTb"/>
            <w:vAlign w:val="center"/>
          </w:tcPr>
          <w:p w:rsidR="00F96ACE" w:rsidP="00CD162C">
            <w:pPr>
              <w:spacing w:line="240" w:lineRule="auto"/>
              <w:jc w:val="left"/>
              <w:rPr>
                <w:rFonts w:ascii="Arial" w:hAnsi="Arial" w:cs="Arial"/>
                <w:color w:val="000000"/>
                <w:sz w:val="18"/>
                <w:szCs w:val="18"/>
              </w:rPr>
            </w:pPr>
            <w:r>
              <w:rPr>
                <w:rFonts w:ascii="Arial" w:hAnsi="Arial" w:cs="Arial"/>
                <w:color w:val="000000"/>
                <w:sz w:val="18"/>
                <w:szCs w:val="18"/>
              </w:rPr>
              <w:t>Zákonný rezervný fond (421)</w:t>
            </w:r>
          </w:p>
        </w:tc>
        <w:tc>
          <w:tcPr>
            <w:tcW w:w="581" w:type="dxa"/>
            <w:tcBorders>
              <w:top w:val="nil"/>
              <w:left w:val="nil"/>
              <w:bottom w:val="single" w:sz="4" w:space="0" w:color="auto"/>
              <w:right w:val="single" w:sz="4" w:space="0" w:color="auto"/>
              <w:tl2br w:val="nil"/>
              <w:tr2bl w:val="nil"/>
            </w:tcBorders>
            <w:textDirection w:val="lrTb"/>
            <w:vAlign w:val="center"/>
          </w:tcPr>
          <w:p w:rsidR="00F96ACE" w:rsidP="00E167CA">
            <w:pPr>
              <w:spacing w:line="240" w:lineRule="auto"/>
              <w:jc w:val="center"/>
              <w:rPr>
                <w:rFonts w:ascii="Arial" w:hAnsi="Arial" w:cs="Arial"/>
                <w:color w:val="000000"/>
                <w:sz w:val="18"/>
                <w:szCs w:val="18"/>
              </w:rPr>
            </w:pPr>
            <w:r>
              <w:rPr>
                <w:rFonts w:ascii="Arial" w:hAnsi="Arial" w:cs="Arial"/>
                <w:color w:val="000000"/>
                <w:sz w:val="18"/>
                <w:szCs w:val="18"/>
              </w:rPr>
              <w:t>079</w:t>
            </w:r>
          </w:p>
        </w:tc>
        <w:tc>
          <w:tcPr>
            <w:tcW w:w="2509" w:type="dxa"/>
            <w:tcBorders>
              <w:top w:val="nil"/>
              <w:left w:val="single" w:sz="4" w:space="0" w:color="auto"/>
              <w:bottom w:val="single" w:sz="4" w:space="0" w:color="auto"/>
              <w:right w:val="single" w:sz="4" w:space="0" w:color="auto"/>
              <w:tl2br w:val="nil"/>
              <w:tr2bl w:val="nil"/>
            </w:tcBorders>
            <w:noWrap/>
            <w:textDirection w:val="lrTb"/>
            <w:vAlign w:val="center"/>
          </w:tcPr>
          <w:p w:rsidR="00F96ACE" w:rsidP="00F96ACE">
            <w:pPr>
              <w:spacing w:line="240" w:lineRule="auto"/>
              <w:jc w:val="right"/>
              <w:rPr>
                <w:rFonts w:ascii="Arial" w:hAnsi="Arial" w:cs="Arial"/>
                <w:color w:val="000000"/>
                <w:sz w:val="18"/>
                <w:szCs w:val="18"/>
              </w:rPr>
            </w:pPr>
            <w:r>
              <w:rPr>
                <w:rFonts w:ascii="Arial" w:hAnsi="Arial" w:cs="Arial"/>
                <w:color w:val="000000"/>
                <w:sz w:val="18"/>
                <w:szCs w:val="18"/>
              </w:rPr>
              <w:t>35 236</w:t>
            </w:r>
          </w:p>
        </w:tc>
      </w:tr>
      <w:tr>
        <w:tblPrEx>
          <w:tblW w:w="9375" w:type="dxa"/>
          <w:tblInd w:w="55" w:type="dxa"/>
          <w:tblCellMar>
            <w:left w:w="70" w:type="dxa"/>
            <w:right w:w="70" w:type="dxa"/>
          </w:tblCellMar>
        </w:tblPrEx>
        <w:trPr>
          <w:trHeight w:hRule="exact" w:val="284"/>
        </w:trPr>
        <w:tc>
          <w:tcPr>
            <w:tcW w:w="1041" w:type="dxa"/>
            <w:tcBorders>
              <w:top w:val="nil"/>
              <w:left w:val="single" w:sz="4" w:space="0" w:color="auto"/>
              <w:bottom w:val="single" w:sz="4" w:space="0" w:color="auto"/>
              <w:right w:val="single" w:sz="4" w:space="0" w:color="auto"/>
              <w:tl2br w:val="nil"/>
              <w:tr2bl w:val="nil"/>
            </w:tcBorders>
            <w:textDirection w:val="lrTb"/>
            <w:vAlign w:val="center"/>
          </w:tcPr>
          <w:p w:rsidR="00F96ACE" w:rsidP="00F96ACE">
            <w:pPr>
              <w:spacing w:line="240" w:lineRule="auto"/>
              <w:rPr>
                <w:rFonts w:ascii="Arial" w:hAnsi="Arial" w:cs="Arial"/>
                <w:color w:val="000000"/>
                <w:sz w:val="18"/>
                <w:szCs w:val="18"/>
              </w:rPr>
            </w:pPr>
            <w:r>
              <w:rPr>
                <w:rFonts w:ascii="Arial" w:hAnsi="Arial" w:cs="Arial"/>
                <w:color w:val="000000"/>
                <w:sz w:val="18"/>
                <w:szCs w:val="18"/>
              </w:rPr>
              <w:t>A.lV.</w:t>
            </w:r>
          </w:p>
        </w:tc>
        <w:tc>
          <w:tcPr>
            <w:tcW w:w="5244" w:type="dxa"/>
            <w:tcBorders>
              <w:top w:val="nil"/>
              <w:left w:val="nil"/>
              <w:bottom w:val="single" w:sz="4" w:space="0" w:color="auto"/>
              <w:right w:val="single" w:sz="4" w:space="0" w:color="auto"/>
              <w:tl2br w:val="nil"/>
              <w:tr2bl w:val="nil"/>
            </w:tcBorders>
            <w:textDirection w:val="lrTb"/>
            <w:vAlign w:val="center"/>
          </w:tcPr>
          <w:p w:rsidR="00F96ACE" w:rsidP="00CD162C">
            <w:pPr>
              <w:spacing w:line="240" w:lineRule="auto"/>
              <w:jc w:val="left"/>
              <w:rPr>
                <w:rFonts w:ascii="Arial" w:hAnsi="Arial" w:cs="Arial"/>
                <w:color w:val="000000"/>
                <w:sz w:val="18"/>
                <w:szCs w:val="18"/>
              </w:rPr>
            </w:pPr>
            <w:r>
              <w:rPr>
                <w:rFonts w:ascii="Arial" w:hAnsi="Arial" w:cs="Arial"/>
                <w:color w:val="000000"/>
                <w:sz w:val="18"/>
                <w:szCs w:val="18"/>
              </w:rPr>
              <w:t xml:space="preserve">Výsledok hospodárenia minulých rokov </w:t>
            </w:r>
            <w:r w:rsidR="00CD162C">
              <w:rPr>
                <w:rFonts w:ascii="Arial" w:hAnsi="Arial" w:cs="Arial"/>
                <w:color w:val="000000"/>
                <w:sz w:val="18"/>
                <w:szCs w:val="18"/>
              </w:rPr>
              <w:t>(</w:t>
            </w:r>
            <w:r>
              <w:rPr>
                <w:rFonts w:ascii="Arial" w:hAnsi="Arial" w:cs="Arial"/>
                <w:color w:val="000000"/>
                <w:sz w:val="18"/>
                <w:szCs w:val="18"/>
              </w:rPr>
              <w:t>r. 083 a r. 084</w:t>
            </w:r>
            <w:r w:rsidR="00CD162C">
              <w:rPr>
                <w:rFonts w:ascii="Arial" w:hAnsi="Arial" w:cs="Arial"/>
                <w:color w:val="000000"/>
                <w:sz w:val="18"/>
                <w:szCs w:val="18"/>
              </w:rPr>
              <w:t>)</w:t>
            </w:r>
          </w:p>
        </w:tc>
        <w:tc>
          <w:tcPr>
            <w:tcW w:w="581" w:type="dxa"/>
            <w:tcBorders>
              <w:top w:val="nil"/>
              <w:left w:val="nil"/>
              <w:bottom w:val="single" w:sz="4" w:space="0" w:color="auto"/>
              <w:right w:val="single" w:sz="4" w:space="0" w:color="auto"/>
              <w:tl2br w:val="nil"/>
              <w:tr2bl w:val="nil"/>
            </w:tcBorders>
            <w:textDirection w:val="lrTb"/>
            <w:vAlign w:val="center"/>
          </w:tcPr>
          <w:p w:rsidR="00F96ACE" w:rsidP="00E167CA">
            <w:pPr>
              <w:spacing w:line="240" w:lineRule="auto"/>
              <w:jc w:val="center"/>
              <w:rPr>
                <w:rFonts w:ascii="Arial" w:hAnsi="Arial" w:cs="Arial"/>
                <w:color w:val="000000"/>
                <w:sz w:val="18"/>
                <w:szCs w:val="18"/>
              </w:rPr>
            </w:pPr>
            <w:r>
              <w:rPr>
                <w:rFonts w:ascii="Arial" w:hAnsi="Arial" w:cs="Arial"/>
                <w:color w:val="000000"/>
                <w:sz w:val="18"/>
                <w:szCs w:val="18"/>
              </w:rPr>
              <w:t>082</w:t>
            </w:r>
          </w:p>
        </w:tc>
        <w:tc>
          <w:tcPr>
            <w:tcW w:w="2509" w:type="dxa"/>
            <w:tcBorders>
              <w:top w:val="nil"/>
              <w:left w:val="single" w:sz="4" w:space="0" w:color="auto"/>
              <w:bottom w:val="single" w:sz="4" w:space="0" w:color="auto"/>
              <w:right w:val="single" w:sz="4" w:space="0" w:color="auto"/>
              <w:tl2br w:val="nil"/>
              <w:tr2bl w:val="nil"/>
            </w:tcBorders>
            <w:noWrap/>
            <w:textDirection w:val="lrTb"/>
            <w:vAlign w:val="center"/>
          </w:tcPr>
          <w:p w:rsidR="00F96ACE" w:rsidP="00F96ACE">
            <w:pPr>
              <w:spacing w:line="240" w:lineRule="auto"/>
              <w:jc w:val="right"/>
              <w:rPr>
                <w:rFonts w:ascii="Arial" w:hAnsi="Arial" w:cs="Arial"/>
                <w:color w:val="000000"/>
                <w:sz w:val="18"/>
                <w:szCs w:val="18"/>
              </w:rPr>
            </w:pPr>
            <w:r>
              <w:rPr>
                <w:rFonts w:ascii="Arial" w:hAnsi="Arial" w:cs="Arial"/>
                <w:color w:val="000000"/>
                <w:sz w:val="18"/>
                <w:szCs w:val="18"/>
              </w:rPr>
              <w:t>-2 638 099</w:t>
            </w:r>
          </w:p>
        </w:tc>
      </w:tr>
      <w:tr>
        <w:tblPrEx>
          <w:tblW w:w="9375" w:type="dxa"/>
          <w:tblInd w:w="55" w:type="dxa"/>
          <w:tblCellMar>
            <w:left w:w="70" w:type="dxa"/>
            <w:right w:w="70" w:type="dxa"/>
          </w:tblCellMar>
        </w:tblPrEx>
        <w:trPr>
          <w:trHeight w:hRule="exact" w:val="284"/>
        </w:trPr>
        <w:tc>
          <w:tcPr>
            <w:tcW w:w="1041" w:type="dxa"/>
            <w:tcBorders>
              <w:top w:val="nil"/>
              <w:left w:val="single" w:sz="4" w:space="0" w:color="auto"/>
              <w:bottom w:val="single" w:sz="4" w:space="0" w:color="auto"/>
              <w:right w:val="single" w:sz="4" w:space="0" w:color="auto"/>
              <w:tl2br w:val="nil"/>
              <w:tr2bl w:val="nil"/>
            </w:tcBorders>
            <w:textDirection w:val="lrTb"/>
            <w:vAlign w:val="center"/>
          </w:tcPr>
          <w:p w:rsidR="00F96ACE" w:rsidP="00F96ACE">
            <w:pPr>
              <w:spacing w:line="240" w:lineRule="auto"/>
              <w:rPr>
                <w:rFonts w:ascii="Arial" w:hAnsi="Arial" w:cs="Arial"/>
                <w:color w:val="000000"/>
                <w:sz w:val="18"/>
                <w:szCs w:val="18"/>
              </w:rPr>
            </w:pPr>
            <w:r>
              <w:rPr>
                <w:rFonts w:ascii="Arial" w:hAnsi="Arial" w:cs="Arial"/>
                <w:color w:val="000000"/>
                <w:sz w:val="18"/>
                <w:szCs w:val="18"/>
              </w:rPr>
              <w:t>A.lV.1.</w:t>
            </w:r>
          </w:p>
        </w:tc>
        <w:tc>
          <w:tcPr>
            <w:tcW w:w="5244" w:type="dxa"/>
            <w:tcBorders>
              <w:top w:val="nil"/>
              <w:left w:val="nil"/>
              <w:bottom w:val="single" w:sz="4" w:space="0" w:color="auto"/>
              <w:right w:val="single" w:sz="4" w:space="0" w:color="auto"/>
              <w:tl2br w:val="nil"/>
              <w:tr2bl w:val="nil"/>
            </w:tcBorders>
            <w:textDirection w:val="lrTb"/>
            <w:vAlign w:val="center"/>
          </w:tcPr>
          <w:p w:rsidR="00F96ACE" w:rsidP="00CD162C">
            <w:pPr>
              <w:spacing w:line="240" w:lineRule="auto"/>
              <w:jc w:val="left"/>
              <w:rPr>
                <w:rFonts w:ascii="Arial" w:hAnsi="Arial" w:cs="Arial"/>
                <w:color w:val="000000"/>
                <w:sz w:val="18"/>
                <w:szCs w:val="18"/>
              </w:rPr>
            </w:pPr>
            <w:r>
              <w:rPr>
                <w:rFonts w:ascii="Arial" w:hAnsi="Arial" w:cs="Arial"/>
                <w:color w:val="000000"/>
                <w:sz w:val="18"/>
                <w:szCs w:val="18"/>
              </w:rPr>
              <w:t>Nerozdelený zisk minulých rokov (428)</w:t>
            </w:r>
          </w:p>
        </w:tc>
        <w:tc>
          <w:tcPr>
            <w:tcW w:w="581" w:type="dxa"/>
            <w:tcBorders>
              <w:top w:val="nil"/>
              <w:left w:val="nil"/>
              <w:bottom w:val="single" w:sz="4" w:space="0" w:color="auto"/>
              <w:right w:val="single" w:sz="4" w:space="0" w:color="auto"/>
              <w:tl2br w:val="nil"/>
              <w:tr2bl w:val="nil"/>
            </w:tcBorders>
            <w:textDirection w:val="lrTb"/>
            <w:vAlign w:val="center"/>
          </w:tcPr>
          <w:p w:rsidR="00F96ACE" w:rsidP="00E167CA">
            <w:pPr>
              <w:spacing w:line="240" w:lineRule="auto"/>
              <w:jc w:val="center"/>
              <w:rPr>
                <w:rFonts w:ascii="Arial" w:hAnsi="Arial" w:cs="Arial"/>
                <w:color w:val="000000"/>
                <w:sz w:val="18"/>
                <w:szCs w:val="18"/>
              </w:rPr>
            </w:pPr>
            <w:r>
              <w:rPr>
                <w:rFonts w:ascii="Arial" w:hAnsi="Arial" w:cs="Arial"/>
                <w:color w:val="000000"/>
                <w:sz w:val="18"/>
                <w:szCs w:val="18"/>
              </w:rPr>
              <w:t>083</w:t>
            </w:r>
          </w:p>
        </w:tc>
        <w:tc>
          <w:tcPr>
            <w:tcW w:w="2509" w:type="dxa"/>
            <w:tcBorders>
              <w:top w:val="nil"/>
              <w:left w:val="single" w:sz="4" w:space="0" w:color="auto"/>
              <w:bottom w:val="single" w:sz="4" w:space="0" w:color="auto"/>
              <w:right w:val="single" w:sz="4" w:space="0" w:color="auto"/>
              <w:tl2br w:val="nil"/>
              <w:tr2bl w:val="nil"/>
            </w:tcBorders>
            <w:noWrap/>
            <w:textDirection w:val="lrTb"/>
            <w:vAlign w:val="center"/>
          </w:tcPr>
          <w:p w:rsidR="00F96ACE" w:rsidP="00F96ACE">
            <w:pPr>
              <w:spacing w:line="240" w:lineRule="auto"/>
              <w:jc w:val="right"/>
              <w:rPr>
                <w:rFonts w:ascii="Arial" w:hAnsi="Arial" w:cs="Arial"/>
                <w:color w:val="000000"/>
                <w:sz w:val="18"/>
                <w:szCs w:val="18"/>
              </w:rPr>
            </w:pPr>
            <w:r>
              <w:rPr>
                <w:rFonts w:ascii="Arial" w:hAnsi="Arial" w:cs="Arial"/>
                <w:color w:val="000000"/>
                <w:sz w:val="18"/>
                <w:szCs w:val="18"/>
              </w:rPr>
              <w:t>134 750</w:t>
            </w:r>
          </w:p>
        </w:tc>
      </w:tr>
      <w:tr>
        <w:tblPrEx>
          <w:tblW w:w="9375" w:type="dxa"/>
          <w:tblInd w:w="55" w:type="dxa"/>
          <w:tblCellMar>
            <w:left w:w="70" w:type="dxa"/>
            <w:right w:w="70" w:type="dxa"/>
          </w:tblCellMar>
        </w:tblPrEx>
        <w:trPr>
          <w:trHeight w:hRule="exact" w:val="284"/>
        </w:trPr>
        <w:tc>
          <w:tcPr>
            <w:tcW w:w="1041" w:type="dxa"/>
            <w:tcBorders>
              <w:top w:val="nil"/>
              <w:left w:val="single" w:sz="4" w:space="0" w:color="auto"/>
              <w:bottom w:val="single" w:sz="4" w:space="0" w:color="auto"/>
              <w:right w:val="single" w:sz="4" w:space="0" w:color="auto"/>
              <w:tl2br w:val="nil"/>
              <w:tr2bl w:val="nil"/>
            </w:tcBorders>
            <w:textDirection w:val="lrTb"/>
            <w:vAlign w:val="center"/>
          </w:tcPr>
          <w:p w:rsidR="00F96ACE" w:rsidP="00F96ACE">
            <w:pPr>
              <w:spacing w:line="240" w:lineRule="auto"/>
              <w:rPr>
                <w:rFonts w:ascii="Arial" w:hAnsi="Arial" w:cs="Arial"/>
                <w:color w:val="000000"/>
                <w:sz w:val="18"/>
                <w:szCs w:val="18"/>
              </w:rPr>
            </w:pPr>
            <w:r>
              <w:rPr>
                <w:rFonts w:ascii="Arial" w:hAnsi="Arial" w:cs="Arial"/>
                <w:color w:val="000000"/>
                <w:sz w:val="18"/>
                <w:szCs w:val="18"/>
              </w:rPr>
              <w:t>A.IV.2.</w:t>
            </w:r>
          </w:p>
        </w:tc>
        <w:tc>
          <w:tcPr>
            <w:tcW w:w="5244" w:type="dxa"/>
            <w:tcBorders>
              <w:top w:val="nil"/>
              <w:left w:val="nil"/>
              <w:bottom w:val="single" w:sz="4" w:space="0" w:color="auto"/>
              <w:right w:val="single" w:sz="4" w:space="0" w:color="auto"/>
              <w:tl2br w:val="nil"/>
              <w:tr2bl w:val="nil"/>
            </w:tcBorders>
            <w:textDirection w:val="lrTb"/>
            <w:vAlign w:val="center"/>
          </w:tcPr>
          <w:p w:rsidR="00F96ACE" w:rsidP="00CD162C">
            <w:pPr>
              <w:spacing w:line="240" w:lineRule="auto"/>
              <w:jc w:val="left"/>
              <w:rPr>
                <w:rFonts w:ascii="Arial" w:hAnsi="Arial" w:cs="Arial"/>
                <w:color w:val="000000"/>
                <w:sz w:val="18"/>
                <w:szCs w:val="18"/>
              </w:rPr>
            </w:pPr>
            <w:r>
              <w:rPr>
                <w:rFonts w:ascii="Arial" w:hAnsi="Arial" w:cs="Arial"/>
                <w:color w:val="000000"/>
                <w:sz w:val="18"/>
                <w:szCs w:val="18"/>
              </w:rPr>
              <w:t>Neuhradená strata minulých rokov (/-/429)</w:t>
            </w:r>
          </w:p>
        </w:tc>
        <w:tc>
          <w:tcPr>
            <w:tcW w:w="581" w:type="dxa"/>
            <w:tcBorders>
              <w:top w:val="nil"/>
              <w:left w:val="nil"/>
              <w:bottom w:val="single" w:sz="4" w:space="0" w:color="auto"/>
              <w:right w:val="single" w:sz="4" w:space="0" w:color="auto"/>
              <w:tl2br w:val="nil"/>
              <w:tr2bl w:val="nil"/>
            </w:tcBorders>
            <w:textDirection w:val="lrTb"/>
            <w:vAlign w:val="center"/>
          </w:tcPr>
          <w:p w:rsidR="00F96ACE" w:rsidP="00E167CA">
            <w:pPr>
              <w:spacing w:line="240" w:lineRule="auto"/>
              <w:jc w:val="center"/>
              <w:rPr>
                <w:rFonts w:ascii="Arial" w:hAnsi="Arial" w:cs="Arial"/>
                <w:color w:val="000000"/>
                <w:sz w:val="18"/>
                <w:szCs w:val="18"/>
              </w:rPr>
            </w:pPr>
            <w:r>
              <w:rPr>
                <w:rFonts w:ascii="Arial" w:hAnsi="Arial" w:cs="Arial"/>
                <w:color w:val="000000"/>
                <w:sz w:val="18"/>
                <w:szCs w:val="18"/>
              </w:rPr>
              <w:t>084</w:t>
            </w:r>
          </w:p>
        </w:tc>
        <w:tc>
          <w:tcPr>
            <w:tcW w:w="2509" w:type="dxa"/>
            <w:tcBorders>
              <w:top w:val="nil"/>
              <w:left w:val="single" w:sz="4" w:space="0" w:color="auto"/>
              <w:bottom w:val="single" w:sz="4" w:space="0" w:color="auto"/>
              <w:right w:val="single" w:sz="4" w:space="0" w:color="auto"/>
              <w:tl2br w:val="nil"/>
              <w:tr2bl w:val="nil"/>
            </w:tcBorders>
            <w:noWrap/>
            <w:textDirection w:val="lrTb"/>
            <w:vAlign w:val="center"/>
          </w:tcPr>
          <w:p w:rsidR="00F96ACE" w:rsidP="00F96ACE">
            <w:pPr>
              <w:spacing w:line="240" w:lineRule="auto"/>
              <w:jc w:val="right"/>
              <w:rPr>
                <w:rFonts w:ascii="Arial" w:hAnsi="Arial" w:cs="Arial"/>
                <w:color w:val="000000"/>
                <w:sz w:val="18"/>
                <w:szCs w:val="18"/>
              </w:rPr>
            </w:pPr>
            <w:r>
              <w:rPr>
                <w:rFonts w:ascii="Arial" w:hAnsi="Arial" w:cs="Arial"/>
                <w:color w:val="000000"/>
                <w:sz w:val="18"/>
                <w:szCs w:val="18"/>
              </w:rPr>
              <w:t>-2 772 849</w:t>
            </w:r>
          </w:p>
        </w:tc>
      </w:tr>
      <w:tr>
        <w:tblPrEx>
          <w:tblW w:w="9375" w:type="dxa"/>
          <w:tblInd w:w="55" w:type="dxa"/>
          <w:tblCellMar>
            <w:left w:w="70" w:type="dxa"/>
            <w:right w:w="70" w:type="dxa"/>
          </w:tblCellMar>
        </w:tblPrEx>
        <w:trPr>
          <w:trHeight w:hRule="exact" w:val="454"/>
        </w:trPr>
        <w:tc>
          <w:tcPr>
            <w:tcW w:w="1041"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F96ACE" w:rsidP="00F96ACE">
            <w:pPr>
              <w:spacing w:line="240" w:lineRule="auto"/>
              <w:rPr>
                <w:rFonts w:ascii="Arial" w:hAnsi="Arial" w:cs="Arial"/>
                <w:color w:val="000000"/>
                <w:sz w:val="18"/>
                <w:szCs w:val="18"/>
              </w:rPr>
            </w:pPr>
            <w:r>
              <w:rPr>
                <w:rFonts w:ascii="Arial" w:hAnsi="Arial" w:cs="Arial"/>
                <w:color w:val="000000"/>
                <w:sz w:val="18"/>
                <w:szCs w:val="18"/>
              </w:rPr>
              <w:t>A.V.</w:t>
            </w:r>
          </w:p>
        </w:tc>
        <w:tc>
          <w:tcPr>
            <w:tcW w:w="5244" w:type="dxa"/>
            <w:tcBorders>
              <w:top w:val="single" w:sz="4" w:space="0" w:color="auto"/>
              <w:left w:val="nil"/>
              <w:bottom w:val="single" w:sz="4" w:space="0" w:color="auto"/>
              <w:right w:val="single" w:sz="4" w:space="0" w:color="auto"/>
              <w:tl2br w:val="nil"/>
              <w:tr2bl w:val="nil"/>
            </w:tcBorders>
            <w:textDirection w:val="lrTb"/>
            <w:vAlign w:val="center"/>
          </w:tcPr>
          <w:p w:rsidR="00F96ACE" w:rsidP="00CD162C">
            <w:pPr>
              <w:spacing w:line="240" w:lineRule="auto"/>
              <w:jc w:val="left"/>
              <w:rPr>
                <w:rFonts w:ascii="Arial" w:hAnsi="Arial" w:cs="Arial"/>
                <w:color w:val="000000"/>
                <w:sz w:val="18"/>
                <w:szCs w:val="18"/>
              </w:rPr>
            </w:pPr>
            <w:r>
              <w:rPr>
                <w:rFonts w:ascii="Arial" w:hAnsi="Arial" w:cs="Arial"/>
                <w:color w:val="000000"/>
                <w:sz w:val="18"/>
                <w:szCs w:val="18"/>
              </w:rPr>
              <w:t>Výsledok hospodárenia za účtovné obdobie /+-/ r.001- (r. 067+ r. 071+ r. 078+ r. 082+ r. 086+ r. 116)</w:t>
            </w:r>
          </w:p>
        </w:tc>
        <w:tc>
          <w:tcPr>
            <w:tcW w:w="581" w:type="dxa"/>
            <w:tcBorders>
              <w:top w:val="single" w:sz="4" w:space="0" w:color="auto"/>
              <w:left w:val="nil"/>
              <w:bottom w:val="single" w:sz="4" w:space="0" w:color="auto"/>
              <w:right w:val="single" w:sz="4" w:space="0" w:color="auto"/>
              <w:tl2br w:val="nil"/>
              <w:tr2bl w:val="nil"/>
            </w:tcBorders>
            <w:textDirection w:val="lrTb"/>
            <w:vAlign w:val="center"/>
          </w:tcPr>
          <w:p w:rsidR="00F96ACE" w:rsidP="00E167CA">
            <w:pPr>
              <w:spacing w:line="240" w:lineRule="auto"/>
              <w:jc w:val="center"/>
              <w:rPr>
                <w:rFonts w:ascii="Arial" w:hAnsi="Arial" w:cs="Arial"/>
                <w:color w:val="000000"/>
                <w:sz w:val="18"/>
                <w:szCs w:val="18"/>
              </w:rPr>
            </w:pPr>
            <w:r>
              <w:rPr>
                <w:rFonts w:ascii="Arial" w:hAnsi="Arial" w:cs="Arial"/>
                <w:color w:val="000000"/>
                <w:sz w:val="18"/>
                <w:szCs w:val="18"/>
              </w:rPr>
              <w:t>085</w:t>
            </w:r>
          </w:p>
        </w:tc>
        <w:tc>
          <w:tcPr>
            <w:tcW w:w="2509"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F96ACE" w:rsidP="00F96ACE">
            <w:pPr>
              <w:spacing w:line="240" w:lineRule="auto"/>
              <w:jc w:val="right"/>
              <w:rPr>
                <w:rFonts w:ascii="Arial" w:hAnsi="Arial" w:cs="Arial"/>
                <w:color w:val="000000"/>
                <w:sz w:val="18"/>
                <w:szCs w:val="18"/>
              </w:rPr>
            </w:pPr>
            <w:r>
              <w:rPr>
                <w:rFonts w:ascii="Arial" w:hAnsi="Arial" w:cs="Arial"/>
                <w:color w:val="000000"/>
                <w:sz w:val="18"/>
                <w:szCs w:val="18"/>
              </w:rPr>
              <w:t>-227 994</w:t>
            </w:r>
          </w:p>
        </w:tc>
      </w:tr>
      <w:tr>
        <w:tblPrEx>
          <w:tblW w:w="9375" w:type="dxa"/>
          <w:tblInd w:w="55" w:type="dxa"/>
          <w:tblCellMar>
            <w:left w:w="70" w:type="dxa"/>
            <w:right w:w="70" w:type="dxa"/>
          </w:tblCellMar>
        </w:tblPrEx>
        <w:trPr>
          <w:trHeight w:hRule="exact" w:val="284"/>
        </w:trPr>
        <w:tc>
          <w:tcPr>
            <w:tcW w:w="1041"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F96ACE" w:rsidP="00F96ACE">
            <w:pPr>
              <w:spacing w:line="240" w:lineRule="auto"/>
              <w:rPr>
                <w:rFonts w:ascii="Arial" w:hAnsi="Arial" w:cs="Arial"/>
                <w:color w:val="000000"/>
                <w:sz w:val="18"/>
                <w:szCs w:val="18"/>
              </w:rPr>
            </w:pPr>
            <w:r>
              <w:rPr>
                <w:rFonts w:ascii="Arial" w:hAnsi="Arial" w:cs="Arial"/>
                <w:color w:val="000000"/>
                <w:sz w:val="18"/>
                <w:szCs w:val="18"/>
              </w:rPr>
              <w:t>B.</w:t>
            </w:r>
          </w:p>
        </w:tc>
        <w:tc>
          <w:tcPr>
            <w:tcW w:w="5244" w:type="dxa"/>
            <w:tcBorders>
              <w:top w:val="single" w:sz="4" w:space="0" w:color="auto"/>
              <w:left w:val="nil"/>
              <w:bottom w:val="single" w:sz="4" w:space="0" w:color="auto"/>
              <w:right w:val="single" w:sz="4" w:space="0" w:color="auto"/>
              <w:tl2br w:val="nil"/>
              <w:tr2bl w:val="nil"/>
            </w:tcBorders>
            <w:textDirection w:val="lrTb"/>
            <w:vAlign w:val="center"/>
          </w:tcPr>
          <w:p w:rsidR="00F96ACE" w:rsidP="00CD162C">
            <w:pPr>
              <w:spacing w:line="240" w:lineRule="auto"/>
              <w:jc w:val="left"/>
              <w:rPr>
                <w:rFonts w:ascii="Arial" w:hAnsi="Arial" w:cs="Arial"/>
                <w:color w:val="000000"/>
                <w:sz w:val="18"/>
                <w:szCs w:val="18"/>
              </w:rPr>
            </w:pPr>
            <w:r>
              <w:rPr>
                <w:rFonts w:ascii="Arial" w:hAnsi="Arial" w:cs="Arial"/>
                <w:color w:val="000000"/>
                <w:sz w:val="18"/>
                <w:szCs w:val="18"/>
              </w:rPr>
              <w:t>Záväzky z r. 087+ r. 091+ r. 102+ r. 112</w:t>
            </w:r>
          </w:p>
        </w:tc>
        <w:tc>
          <w:tcPr>
            <w:tcW w:w="581" w:type="dxa"/>
            <w:tcBorders>
              <w:top w:val="single" w:sz="4" w:space="0" w:color="auto"/>
              <w:left w:val="nil"/>
              <w:bottom w:val="single" w:sz="4" w:space="0" w:color="auto"/>
              <w:right w:val="single" w:sz="4" w:space="0" w:color="auto"/>
              <w:tl2br w:val="nil"/>
              <w:tr2bl w:val="nil"/>
            </w:tcBorders>
            <w:textDirection w:val="lrTb"/>
            <w:vAlign w:val="center"/>
          </w:tcPr>
          <w:p w:rsidR="00F96ACE" w:rsidP="00E167CA">
            <w:pPr>
              <w:spacing w:line="240" w:lineRule="auto"/>
              <w:jc w:val="center"/>
              <w:rPr>
                <w:rFonts w:ascii="Arial" w:hAnsi="Arial" w:cs="Arial"/>
                <w:color w:val="000000"/>
                <w:sz w:val="18"/>
                <w:szCs w:val="18"/>
              </w:rPr>
            </w:pPr>
            <w:r>
              <w:rPr>
                <w:rFonts w:ascii="Arial" w:hAnsi="Arial" w:cs="Arial"/>
                <w:color w:val="000000"/>
                <w:sz w:val="18"/>
                <w:szCs w:val="18"/>
              </w:rPr>
              <w:t>086</w:t>
            </w:r>
          </w:p>
        </w:tc>
        <w:tc>
          <w:tcPr>
            <w:tcW w:w="2509"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F96ACE" w:rsidP="00F96ACE">
            <w:pPr>
              <w:spacing w:line="240" w:lineRule="auto"/>
              <w:jc w:val="right"/>
              <w:rPr>
                <w:rFonts w:ascii="Arial" w:hAnsi="Arial" w:cs="Arial"/>
                <w:color w:val="000000"/>
                <w:sz w:val="18"/>
                <w:szCs w:val="18"/>
              </w:rPr>
            </w:pPr>
            <w:r>
              <w:rPr>
                <w:rFonts w:ascii="Arial" w:hAnsi="Arial" w:cs="Arial"/>
                <w:color w:val="000000"/>
                <w:sz w:val="18"/>
                <w:szCs w:val="18"/>
              </w:rPr>
              <w:t>23 168 844</w:t>
            </w:r>
          </w:p>
        </w:tc>
      </w:tr>
      <w:tr>
        <w:tblPrEx>
          <w:tblW w:w="9375" w:type="dxa"/>
          <w:tblInd w:w="55" w:type="dxa"/>
          <w:tblCellMar>
            <w:left w:w="70" w:type="dxa"/>
            <w:right w:w="70" w:type="dxa"/>
          </w:tblCellMar>
        </w:tblPrEx>
        <w:trPr>
          <w:trHeight w:hRule="exact" w:val="284"/>
        </w:trPr>
        <w:tc>
          <w:tcPr>
            <w:tcW w:w="1041" w:type="dxa"/>
            <w:tcBorders>
              <w:top w:val="nil"/>
              <w:left w:val="single" w:sz="4" w:space="0" w:color="auto"/>
              <w:bottom w:val="single" w:sz="4" w:space="0" w:color="auto"/>
              <w:right w:val="single" w:sz="4" w:space="0" w:color="auto"/>
              <w:tl2br w:val="nil"/>
              <w:tr2bl w:val="nil"/>
            </w:tcBorders>
            <w:textDirection w:val="lrTb"/>
            <w:vAlign w:val="center"/>
          </w:tcPr>
          <w:p w:rsidR="00F96ACE" w:rsidP="00F96ACE">
            <w:pPr>
              <w:spacing w:line="240" w:lineRule="auto"/>
              <w:rPr>
                <w:rFonts w:ascii="Arial" w:hAnsi="Arial" w:cs="Arial"/>
                <w:color w:val="000000"/>
                <w:sz w:val="18"/>
                <w:szCs w:val="18"/>
              </w:rPr>
            </w:pPr>
            <w:r>
              <w:rPr>
                <w:rFonts w:ascii="Arial" w:hAnsi="Arial" w:cs="Arial"/>
                <w:color w:val="000000"/>
                <w:sz w:val="18"/>
                <w:szCs w:val="18"/>
              </w:rPr>
              <w:t>B.l.</w:t>
            </w:r>
          </w:p>
        </w:tc>
        <w:tc>
          <w:tcPr>
            <w:tcW w:w="5244" w:type="dxa"/>
            <w:tcBorders>
              <w:top w:val="nil"/>
              <w:left w:val="nil"/>
              <w:bottom w:val="single" w:sz="4" w:space="0" w:color="auto"/>
              <w:right w:val="single" w:sz="4" w:space="0" w:color="auto"/>
              <w:tl2br w:val="nil"/>
              <w:tr2bl w:val="nil"/>
            </w:tcBorders>
            <w:textDirection w:val="lrTb"/>
            <w:vAlign w:val="center"/>
          </w:tcPr>
          <w:p w:rsidR="00F96ACE" w:rsidP="00CD162C">
            <w:pPr>
              <w:spacing w:line="240" w:lineRule="auto"/>
              <w:jc w:val="left"/>
              <w:rPr>
                <w:rFonts w:ascii="Arial" w:hAnsi="Arial" w:cs="Arial"/>
                <w:color w:val="000000"/>
                <w:sz w:val="18"/>
                <w:szCs w:val="18"/>
              </w:rPr>
            </w:pPr>
            <w:r>
              <w:rPr>
                <w:rFonts w:ascii="Arial" w:hAnsi="Arial" w:cs="Arial"/>
                <w:color w:val="000000"/>
                <w:sz w:val="18"/>
                <w:szCs w:val="18"/>
              </w:rPr>
              <w:t>Rezervy súčet (r. 088 až 090)</w:t>
            </w:r>
          </w:p>
        </w:tc>
        <w:tc>
          <w:tcPr>
            <w:tcW w:w="581" w:type="dxa"/>
            <w:tcBorders>
              <w:top w:val="nil"/>
              <w:left w:val="nil"/>
              <w:bottom w:val="single" w:sz="4" w:space="0" w:color="auto"/>
              <w:right w:val="single" w:sz="4" w:space="0" w:color="auto"/>
              <w:tl2br w:val="nil"/>
              <w:tr2bl w:val="nil"/>
            </w:tcBorders>
            <w:textDirection w:val="lrTb"/>
            <w:vAlign w:val="center"/>
          </w:tcPr>
          <w:p w:rsidR="00F96ACE" w:rsidP="00E167CA">
            <w:pPr>
              <w:spacing w:line="240" w:lineRule="auto"/>
              <w:jc w:val="center"/>
              <w:rPr>
                <w:rFonts w:ascii="Arial" w:hAnsi="Arial" w:cs="Arial"/>
                <w:color w:val="000000"/>
                <w:sz w:val="18"/>
                <w:szCs w:val="18"/>
              </w:rPr>
            </w:pPr>
            <w:r>
              <w:rPr>
                <w:rFonts w:ascii="Arial" w:hAnsi="Arial" w:cs="Arial"/>
                <w:color w:val="000000"/>
                <w:sz w:val="18"/>
                <w:szCs w:val="18"/>
              </w:rPr>
              <w:t>087</w:t>
            </w:r>
          </w:p>
        </w:tc>
        <w:tc>
          <w:tcPr>
            <w:tcW w:w="2509" w:type="dxa"/>
            <w:tcBorders>
              <w:top w:val="nil"/>
              <w:left w:val="single" w:sz="4" w:space="0" w:color="auto"/>
              <w:bottom w:val="single" w:sz="4" w:space="0" w:color="auto"/>
              <w:right w:val="single" w:sz="4" w:space="0" w:color="auto"/>
              <w:tl2br w:val="nil"/>
              <w:tr2bl w:val="nil"/>
            </w:tcBorders>
            <w:noWrap/>
            <w:textDirection w:val="lrTb"/>
            <w:vAlign w:val="center"/>
          </w:tcPr>
          <w:p w:rsidR="00F96ACE" w:rsidP="00F96ACE">
            <w:pPr>
              <w:spacing w:line="240" w:lineRule="auto"/>
              <w:jc w:val="right"/>
              <w:rPr>
                <w:rFonts w:ascii="Arial" w:hAnsi="Arial" w:cs="Arial"/>
                <w:color w:val="000000"/>
                <w:sz w:val="18"/>
                <w:szCs w:val="18"/>
              </w:rPr>
            </w:pPr>
            <w:r>
              <w:rPr>
                <w:rFonts w:ascii="Arial" w:hAnsi="Arial" w:cs="Arial"/>
                <w:color w:val="000000"/>
                <w:sz w:val="18"/>
                <w:szCs w:val="18"/>
              </w:rPr>
              <w:t>339 469</w:t>
            </w:r>
          </w:p>
        </w:tc>
      </w:tr>
      <w:tr>
        <w:tblPrEx>
          <w:tblW w:w="9375" w:type="dxa"/>
          <w:tblInd w:w="55" w:type="dxa"/>
          <w:tblCellMar>
            <w:left w:w="70" w:type="dxa"/>
            <w:right w:w="70" w:type="dxa"/>
          </w:tblCellMar>
        </w:tblPrEx>
        <w:trPr>
          <w:trHeight w:hRule="exact" w:val="284"/>
        </w:trPr>
        <w:tc>
          <w:tcPr>
            <w:tcW w:w="1041" w:type="dxa"/>
            <w:tcBorders>
              <w:top w:val="nil"/>
              <w:left w:val="single" w:sz="4" w:space="0" w:color="auto"/>
              <w:bottom w:val="single" w:sz="4" w:space="0" w:color="auto"/>
              <w:right w:val="single" w:sz="4" w:space="0" w:color="auto"/>
              <w:tl2br w:val="nil"/>
              <w:tr2bl w:val="nil"/>
            </w:tcBorders>
            <w:textDirection w:val="lrTb"/>
            <w:vAlign w:val="center"/>
          </w:tcPr>
          <w:p w:rsidR="00F96ACE" w:rsidP="00F96ACE">
            <w:pPr>
              <w:spacing w:line="240" w:lineRule="auto"/>
              <w:rPr>
                <w:rFonts w:ascii="Arial" w:hAnsi="Arial" w:cs="Arial"/>
                <w:color w:val="000000"/>
                <w:sz w:val="18"/>
                <w:szCs w:val="18"/>
              </w:rPr>
            </w:pPr>
            <w:r>
              <w:rPr>
                <w:rFonts w:ascii="Arial" w:hAnsi="Arial" w:cs="Arial"/>
                <w:color w:val="000000"/>
                <w:sz w:val="18"/>
                <w:szCs w:val="18"/>
              </w:rPr>
              <w:t>B.I.2.</w:t>
            </w:r>
          </w:p>
        </w:tc>
        <w:tc>
          <w:tcPr>
            <w:tcW w:w="5244" w:type="dxa"/>
            <w:tcBorders>
              <w:top w:val="nil"/>
              <w:left w:val="nil"/>
              <w:bottom w:val="single" w:sz="4" w:space="0" w:color="auto"/>
              <w:right w:val="single" w:sz="4" w:space="0" w:color="auto"/>
              <w:tl2br w:val="nil"/>
              <w:tr2bl w:val="nil"/>
            </w:tcBorders>
            <w:textDirection w:val="lrTb"/>
            <w:vAlign w:val="center"/>
          </w:tcPr>
          <w:p w:rsidR="00F96ACE" w:rsidP="00CD162C">
            <w:pPr>
              <w:spacing w:line="240" w:lineRule="auto"/>
              <w:jc w:val="left"/>
              <w:rPr>
                <w:rFonts w:ascii="Arial" w:hAnsi="Arial" w:cs="Arial"/>
                <w:color w:val="000000"/>
                <w:sz w:val="18"/>
                <w:szCs w:val="18"/>
              </w:rPr>
            </w:pPr>
            <w:r>
              <w:rPr>
                <w:rFonts w:ascii="Arial" w:hAnsi="Arial" w:cs="Arial"/>
                <w:color w:val="000000"/>
                <w:sz w:val="18"/>
                <w:szCs w:val="18"/>
              </w:rPr>
              <w:t>Ostatné dlhodobé rezervy (459 A,45XA)</w:t>
            </w:r>
          </w:p>
        </w:tc>
        <w:tc>
          <w:tcPr>
            <w:tcW w:w="581" w:type="dxa"/>
            <w:tcBorders>
              <w:top w:val="nil"/>
              <w:left w:val="nil"/>
              <w:bottom w:val="single" w:sz="4" w:space="0" w:color="auto"/>
              <w:right w:val="single" w:sz="4" w:space="0" w:color="auto"/>
              <w:tl2br w:val="nil"/>
              <w:tr2bl w:val="nil"/>
            </w:tcBorders>
            <w:textDirection w:val="lrTb"/>
            <w:vAlign w:val="center"/>
          </w:tcPr>
          <w:p w:rsidR="00F96ACE" w:rsidP="00E167CA">
            <w:pPr>
              <w:spacing w:line="240" w:lineRule="auto"/>
              <w:jc w:val="center"/>
              <w:rPr>
                <w:rFonts w:ascii="Arial" w:hAnsi="Arial" w:cs="Arial"/>
                <w:color w:val="000000"/>
                <w:sz w:val="18"/>
                <w:szCs w:val="18"/>
              </w:rPr>
            </w:pPr>
            <w:r>
              <w:rPr>
                <w:rFonts w:ascii="Arial" w:hAnsi="Arial" w:cs="Arial"/>
                <w:color w:val="000000"/>
                <w:sz w:val="18"/>
                <w:szCs w:val="18"/>
              </w:rPr>
              <w:t>089</w:t>
            </w:r>
          </w:p>
        </w:tc>
        <w:tc>
          <w:tcPr>
            <w:tcW w:w="2509" w:type="dxa"/>
            <w:tcBorders>
              <w:top w:val="nil"/>
              <w:left w:val="single" w:sz="4" w:space="0" w:color="auto"/>
              <w:bottom w:val="single" w:sz="4" w:space="0" w:color="auto"/>
              <w:right w:val="single" w:sz="4" w:space="0" w:color="auto"/>
              <w:tl2br w:val="nil"/>
              <w:tr2bl w:val="nil"/>
            </w:tcBorders>
            <w:noWrap/>
            <w:textDirection w:val="lrTb"/>
            <w:vAlign w:val="center"/>
          </w:tcPr>
          <w:p w:rsidR="00F96ACE" w:rsidP="00F96ACE">
            <w:pPr>
              <w:spacing w:line="240" w:lineRule="auto"/>
              <w:jc w:val="right"/>
              <w:rPr>
                <w:rFonts w:ascii="Arial" w:hAnsi="Arial" w:cs="Arial"/>
                <w:color w:val="000000"/>
                <w:sz w:val="18"/>
                <w:szCs w:val="18"/>
              </w:rPr>
            </w:pPr>
            <w:r>
              <w:rPr>
                <w:rFonts w:ascii="Arial" w:hAnsi="Arial" w:cs="Arial"/>
                <w:color w:val="000000"/>
                <w:sz w:val="18"/>
                <w:szCs w:val="18"/>
              </w:rPr>
              <w:t>59 643</w:t>
            </w:r>
          </w:p>
        </w:tc>
      </w:tr>
      <w:tr>
        <w:tblPrEx>
          <w:tblW w:w="9375" w:type="dxa"/>
          <w:tblInd w:w="55" w:type="dxa"/>
          <w:tblCellMar>
            <w:left w:w="70" w:type="dxa"/>
            <w:right w:w="70" w:type="dxa"/>
          </w:tblCellMar>
        </w:tblPrEx>
        <w:trPr>
          <w:trHeight w:hRule="exact" w:val="284"/>
        </w:trPr>
        <w:tc>
          <w:tcPr>
            <w:tcW w:w="1041" w:type="dxa"/>
            <w:tcBorders>
              <w:top w:val="nil"/>
              <w:left w:val="single" w:sz="4" w:space="0" w:color="auto"/>
              <w:bottom w:val="single" w:sz="4" w:space="0" w:color="auto"/>
              <w:right w:val="single" w:sz="4" w:space="0" w:color="auto"/>
              <w:tl2br w:val="nil"/>
              <w:tr2bl w:val="nil"/>
            </w:tcBorders>
            <w:textDirection w:val="lrTb"/>
            <w:vAlign w:val="center"/>
          </w:tcPr>
          <w:p w:rsidR="00F96ACE" w:rsidP="00F96ACE">
            <w:pPr>
              <w:spacing w:line="240" w:lineRule="auto"/>
              <w:rPr>
                <w:rFonts w:ascii="Arial" w:hAnsi="Arial" w:cs="Arial"/>
                <w:color w:val="000000"/>
                <w:sz w:val="18"/>
                <w:szCs w:val="18"/>
              </w:rPr>
            </w:pPr>
            <w:r w:rsidR="00A078CF">
              <w:rPr>
                <w:rFonts w:ascii="Arial" w:hAnsi="Arial" w:cs="Arial"/>
                <w:color w:val="000000"/>
                <w:sz w:val="18"/>
                <w:szCs w:val="18"/>
              </w:rPr>
              <w:t>B.I.</w:t>
            </w:r>
            <w:r>
              <w:rPr>
                <w:rFonts w:ascii="Arial" w:hAnsi="Arial" w:cs="Arial"/>
                <w:color w:val="000000"/>
                <w:sz w:val="18"/>
                <w:szCs w:val="18"/>
              </w:rPr>
              <w:t>3.</w:t>
            </w:r>
          </w:p>
        </w:tc>
        <w:tc>
          <w:tcPr>
            <w:tcW w:w="5244" w:type="dxa"/>
            <w:tcBorders>
              <w:top w:val="nil"/>
              <w:left w:val="nil"/>
              <w:bottom w:val="single" w:sz="4" w:space="0" w:color="auto"/>
              <w:right w:val="single" w:sz="4" w:space="0" w:color="auto"/>
              <w:tl2br w:val="nil"/>
              <w:tr2bl w:val="nil"/>
            </w:tcBorders>
            <w:textDirection w:val="lrTb"/>
            <w:vAlign w:val="center"/>
          </w:tcPr>
          <w:p w:rsidR="00F96ACE" w:rsidP="00CD162C">
            <w:pPr>
              <w:spacing w:line="240" w:lineRule="auto"/>
              <w:jc w:val="left"/>
              <w:rPr>
                <w:rFonts w:ascii="Arial" w:hAnsi="Arial" w:cs="Arial"/>
                <w:color w:val="000000"/>
                <w:sz w:val="18"/>
                <w:szCs w:val="18"/>
              </w:rPr>
            </w:pPr>
            <w:r>
              <w:rPr>
                <w:rFonts w:ascii="Arial" w:hAnsi="Arial" w:cs="Arial"/>
                <w:color w:val="000000"/>
                <w:sz w:val="18"/>
                <w:szCs w:val="18"/>
              </w:rPr>
              <w:t>Krátkodobé rezervy (323, 32X, 451A, 459A,45XA)</w:t>
            </w:r>
          </w:p>
        </w:tc>
        <w:tc>
          <w:tcPr>
            <w:tcW w:w="581" w:type="dxa"/>
            <w:tcBorders>
              <w:top w:val="nil"/>
              <w:left w:val="nil"/>
              <w:bottom w:val="single" w:sz="4" w:space="0" w:color="auto"/>
              <w:right w:val="single" w:sz="4" w:space="0" w:color="auto"/>
              <w:tl2br w:val="nil"/>
              <w:tr2bl w:val="nil"/>
            </w:tcBorders>
            <w:textDirection w:val="lrTb"/>
            <w:vAlign w:val="center"/>
          </w:tcPr>
          <w:p w:rsidR="00F96ACE" w:rsidP="00E167CA">
            <w:pPr>
              <w:spacing w:line="240" w:lineRule="auto"/>
              <w:jc w:val="center"/>
              <w:rPr>
                <w:rFonts w:ascii="Arial" w:hAnsi="Arial" w:cs="Arial"/>
                <w:color w:val="000000"/>
                <w:sz w:val="18"/>
                <w:szCs w:val="18"/>
              </w:rPr>
            </w:pPr>
            <w:r>
              <w:rPr>
                <w:rFonts w:ascii="Arial" w:hAnsi="Arial" w:cs="Arial"/>
                <w:color w:val="000000"/>
                <w:sz w:val="18"/>
                <w:szCs w:val="18"/>
              </w:rPr>
              <w:t>090</w:t>
            </w:r>
          </w:p>
        </w:tc>
        <w:tc>
          <w:tcPr>
            <w:tcW w:w="2509" w:type="dxa"/>
            <w:tcBorders>
              <w:top w:val="nil"/>
              <w:left w:val="single" w:sz="4" w:space="0" w:color="auto"/>
              <w:bottom w:val="single" w:sz="4" w:space="0" w:color="auto"/>
              <w:right w:val="single" w:sz="4" w:space="0" w:color="auto"/>
              <w:tl2br w:val="nil"/>
              <w:tr2bl w:val="nil"/>
            </w:tcBorders>
            <w:noWrap/>
            <w:textDirection w:val="lrTb"/>
            <w:vAlign w:val="center"/>
          </w:tcPr>
          <w:p w:rsidR="00F96ACE" w:rsidP="00F96ACE">
            <w:pPr>
              <w:spacing w:line="240" w:lineRule="auto"/>
              <w:jc w:val="right"/>
              <w:rPr>
                <w:rFonts w:ascii="Arial" w:hAnsi="Arial" w:cs="Arial"/>
                <w:color w:val="000000"/>
                <w:sz w:val="18"/>
                <w:szCs w:val="18"/>
              </w:rPr>
            </w:pPr>
            <w:r>
              <w:rPr>
                <w:rFonts w:ascii="Arial" w:hAnsi="Arial" w:cs="Arial"/>
                <w:color w:val="000000"/>
                <w:sz w:val="18"/>
                <w:szCs w:val="18"/>
              </w:rPr>
              <w:t>279 826</w:t>
            </w:r>
          </w:p>
        </w:tc>
      </w:tr>
      <w:tr>
        <w:tblPrEx>
          <w:tblW w:w="9375" w:type="dxa"/>
          <w:tblInd w:w="55" w:type="dxa"/>
          <w:tblCellMar>
            <w:left w:w="70" w:type="dxa"/>
            <w:right w:w="70" w:type="dxa"/>
          </w:tblCellMar>
        </w:tblPrEx>
        <w:trPr>
          <w:trHeight w:hRule="exact" w:val="284"/>
        </w:trPr>
        <w:tc>
          <w:tcPr>
            <w:tcW w:w="1041" w:type="dxa"/>
            <w:tcBorders>
              <w:top w:val="nil"/>
              <w:left w:val="single" w:sz="4" w:space="0" w:color="auto"/>
              <w:bottom w:val="single" w:sz="4" w:space="0" w:color="auto"/>
              <w:right w:val="single" w:sz="4" w:space="0" w:color="auto"/>
              <w:tl2br w:val="nil"/>
              <w:tr2bl w:val="nil"/>
            </w:tcBorders>
            <w:textDirection w:val="lrTb"/>
            <w:vAlign w:val="center"/>
          </w:tcPr>
          <w:p w:rsidR="00F96ACE" w:rsidP="00F96ACE">
            <w:pPr>
              <w:spacing w:line="240" w:lineRule="auto"/>
              <w:rPr>
                <w:rFonts w:ascii="Arial" w:hAnsi="Arial" w:cs="Arial"/>
                <w:color w:val="000000"/>
                <w:sz w:val="18"/>
                <w:szCs w:val="18"/>
              </w:rPr>
            </w:pPr>
            <w:r>
              <w:rPr>
                <w:rFonts w:ascii="Arial" w:hAnsi="Arial" w:cs="Arial"/>
                <w:color w:val="000000"/>
                <w:sz w:val="18"/>
                <w:szCs w:val="18"/>
              </w:rPr>
              <w:t>B.ll.</w:t>
            </w:r>
          </w:p>
        </w:tc>
        <w:tc>
          <w:tcPr>
            <w:tcW w:w="5244" w:type="dxa"/>
            <w:tcBorders>
              <w:top w:val="nil"/>
              <w:left w:val="nil"/>
              <w:bottom w:val="single" w:sz="4" w:space="0" w:color="auto"/>
              <w:right w:val="single" w:sz="4" w:space="0" w:color="auto"/>
              <w:tl2br w:val="nil"/>
              <w:tr2bl w:val="nil"/>
            </w:tcBorders>
            <w:textDirection w:val="lrTb"/>
            <w:vAlign w:val="center"/>
          </w:tcPr>
          <w:p w:rsidR="00F96ACE" w:rsidP="00CD162C">
            <w:pPr>
              <w:spacing w:line="240" w:lineRule="auto"/>
              <w:jc w:val="left"/>
              <w:rPr>
                <w:rFonts w:ascii="Arial" w:hAnsi="Arial" w:cs="Arial"/>
                <w:color w:val="000000"/>
                <w:sz w:val="18"/>
                <w:szCs w:val="18"/>
              </w:rPr>
            </w:pPr>
            <w:r>
              <w:rPr>
                <w:rFonts w:ascii="Arial" w:hAnsi="Arial" w:cs="Arial"/>
                <w:color w:val="000000"/>
                <w:sz w:val="18"/>
                <w:szCs w:val="18"/>
              </w:rPr>
              <w:t>Dlhodobé záväzky súčet (r. 092 až 101)</w:t>
            </w:r>
          </w:p>
        </w:tc>
        <w:tc>
          <w:tcPr>
            <w:tcW w:w="581" w:type="dxa"/>
            <w:tcBorders>
              <w:top w:val="nil"/>
              <w:left w:val="nil"/>
              <w:bottom w:val="single" w:sz="4" w:space="0" w:color="auto"/>
              <w:right w:val="single" w:sz="4" w:space="0" w:color="auto"/>
              <w:tl2br w:val="nil"/>
              <w:tr2bl w:val="nil"/>
            </w:tcBorders>
            <w:textDirection w:val="lrTb"/>
            <w:vAlign w:val="center"/>
          </w:tcPr>
          <w:p w:rsidR="00F96ACE" w:rsidP="00E167CA">
            <w:pPr>
              <w:spacing w:line="240" w:lineRule="auto"/>
              <w:jc w:val="center"/>
              <w:rPr>
                <w:rFonts w:ascii="Arial" w:hAnsi="Arial" w:cs="Arial"/>
                <w:color w:val="000000"/>
                <w:sz w:val="18"/>
                <w:szCs w:val="18"/>
              </w:rPr>
            </w:pPr>
            <w:r>
              <w:rPr>
                <w:rFonts w:ascii="Arial" w:hAnsi="Arial" w:cs="Arial"/>
                <w:color w:val="000000"/>
                <w:sz w:val="18"/>
                <w:szCs w:val="18"/>
              </w:rPr>
              <w:t>091</w:t>
            </w:r>
          </w:p>
        </w:tc>
        <w:tc>
          <w:tcPr>
            <w:tcW w:w="2509" w:type="dxa"/>
            <w:tcBorders>
              <w:top w:val="nil"/>
              <w:left w:val="single" w:sz="4" w:space="0" w:color="auto"/>
              <w:bottom w:val="single" w:sz="4" w:space="0" w:color="auto"/>
              <w:right w:val="single" w:sz="4" w:space="0" w:color="auto"/>
              <w:tl2br w:val="nil"/>
              <w:tr2bl w:val="nil"/>
            </w:tcBorders>
            <w:noWrap/>
            <w:textDirection w:val="lrTb"/>
            <w:vAlign w:val="center"/>
          </w:tcPr>
          <w:p w:rsidR="00F96ACE" w:rsidP="00F96ACE">
            <w:pPr>
              <w:spacing w:line="240" w:lineRule="auto"/>
              <w:jc w:val="right"/>
              <w:rPr>
                <w:rFonts w:ascii="Arial" w:hAnsi="Arial" w:cs="Arial"/>
                <w:color w:val="000000"/>
                <w:sz w:val="18"/>
                <w:szCs w:val="18"/>
              </w:rPr>
            </w:pPr>
            <w:r>
              <w:rPr>
                <w:rFonts w:ascii="Arial" w:hAnsi="Arial" w:cs="Arial"/>
                <w:color w:val="000000"/>
                <w:sz w:val="18"/>
                <w:szCs w:val="18"/>
              </w:rPr>
              <w:t>3 354 952</w:t>
            </w:r>
          </w:p>
        </w:tc>
      </w:tr>
      <w:tr>
        <w:tblPrEx>
          <w:tblW w:w="9375" w:type="dxa"/>
          <w:tblInd w:w="55" w:type="dxa"/>
          <w:tblCellMar>
            <w:left w:w="70" w:type="dxa"/>
            <w:right w:w="70" w:type="dxa"/>
          </w:tblCellMar>
        </w:tblPrEx>
        <w:trPr>
          <w:trHeight w:hRule="exact" w:val="284"/>
        </w:trPr>
        <w:tc>
          <w:tcPr>
            <w:tcW w:w="1041" w:type="dxa"/>
            <w:tcBorders>
              <w:top w:val="nil"/>
              <w:left w:val="single" w:sz="4" w:space="0" w:color="auto"/>
              <w:bottom w:val="single" w:sz="4" w:space="0" w:color="auto"/>
              <w:right w:val="single" w:sz="4" w:space="0" w:color="auto"/>
              <w:tl2br w:val="nil"/>
              <w:tr2bl w:val="nil"/>
            </w:tcBorders>
            <w:textDirection w:val="lrTb"/>
            <w:vAlign w:val="center"/>
          </w:tcPr>
          <w:p w:rsidR="00F96ACE" w:rsidP="00F96ACE">
            <w:pPr>
              <w:spacing w:line="240" w:lineRule="auto"/>
              <w:rPr>
                <w:rFonts w:ascii="Arial" w:hAnsi="Arial" w:cs="Arial"/>
                <w:color w:val="000000"/>
                <w:sz w:val="18"/>
                <w:szCs w:val="18"/>
              </w:rPr>
            </w:pPr>
            <w:r>
              <w:rPr>
                <w:rFonts w:ascii="Arial" w:hAnsi="Arial" w:cs="Arial"/>
                <w:color w:val="000000"/>
                <w:sz w:val="18"/>
                <w:szCs w:val="18"/>
              </w:rPr>
              <w:t>B.ll.1.</w:t>
            </w:r>
          </w:p>
        </w:tc>
        <w:tc>
          <w:tcPr>
            <w:tcW w:w="5244" w:type="dxa"/>
            <w:tcBorders>
              <w:top w:val="nil"/>
              <w:left w:val="nil"/>
              <w:bottom w:val="single" w:sz="4" w:space="0" w:color="auto"/>
              <w:right w:val="single" w:sz="4" w:space="0" w:color="auto"/>
              <w:tl2br w:val="nil"/>
              <w:tr2bl w:val="nil"/>
            </w:tcBorders>
            <w:textDirection w:val="lrTb"/>
            <w:vAlign w:val="center"/>
          </w:tcPr>
          <w:p w:rsidR="00F96ACE" w:rsidP="00CD162C">
            <w:pPr>
              <w:spacing w:line="240" w:lineRule="auto"/>
              <w:jc w:val="left"/>
              <w:rPr>
                <w:rFonts w:ascii="Arial" w:hAnsi="Arial" w:cs="Arial"/>
                <w:color w:val="000000"/>
                <w:sz w:val="18"/>
                <w:szCs w:val="18"/>
              </w:rPr>
            </w:pPr>
            <w:r>
              <w:rPr>
                <w:rFonts w:ascii="Arial" w:hAnsi="Arial" w:cs="Arial"/>
                <w:color w:val="000000"/>
                <w:sz w:val="18"/>
                <w:szCs w:val="18"/>
              </w:rPr>
              <w:t>Dlhodobé záväzky z obchodného styku (479A)</w:t>
            </w:r>
          </w:p>
        </w:tc>
        <w:tc>
          <w:tcPr>
            <w:tcW w:w="581" w:type="dxa"/>
            <w:tcBorders>
              <w:top w:val="nil"/>
              <w:left w:val="nil"/>
              <w:bottom w:val="single" w:sz="4" w:space="0" w:color="auto"/>
              <w:right w:val="single" w:sz="4" w:space="0" w:color="auto"/>
              <w:tl2br w:val="nil"/>
              <w:tr2bl w:val="nil"/>
            </w:tcBorders>
            <w:textDirection w:val="lrTb"/>
            <w:vAlign w:val="center"/>
          </w:tcPr>
          <w:p w:rsidR="00F96ACE" w:rsidP="00E167CA">
            <w:pPr>
              <w:spacing w:line="240" w:lineRule="auto"/>
              <w:jc w:val="center"/>
              <w:rPr>
                <w:rFonts w:ascii="Arial" w:hAnsi="Arial" w:cs="Arial"/>
                <w:color w:val="000000"/>
                <w:sz w:val="18"/>
                <w:szCs w:val="18"/>
              </w:rPr>
            </w:pPr>
            <w:r>
              <w:rPr>
                <w:rFonts w:ascii="Arial" w:hAnsi="Arial" w:cs="Arial"/>
                <w:color w:val="000000"/>
                <w:sz w:val="18"/>
                <w:szCs w:val="18"/>
              </w:rPr>
              <w:t>092</w:t>
            </w:r>
          </w:p>
        </w:tc>
        <w:tc>
          <w:tcPr>
            <w:tcW w:w="2509" w:type="dxa"/>
            <w:tcBorders>
              <w:top w:val="nil"/>
              <w:left w:val="single" w:sz="4" w:space="0" w:color="auto"/>
              <w:bottom w:val="single" w:sz="4" w:space="0" w:color="auto"/>
              <w:right w:val="single" w:sz="4" w:space="0" w:color="auto"/>
              <w:tl2br w:val="nil"/>
              <w:tr2bl w:val="nil"/>
            </w:tcBorders>
            <w:noWrap/>
            <w:textDirection w:val="lrTb"/>
            <w:vAlign w:val="center"/>
          </w:tcPr>
          <w:p w:rsidR="00F96ACE" w:rsidP="00F96ACE">
            <w:pPr>
              <w:spacing w:line="240" w:lineRule="auto"/>
              <w:jc w:val="right"/>
              <w:rPr>
                <w:rFonts w:ascii="Arial" w:hAnsi="Arial" w:cs="Arial"/>
                <w:color w:val="000000"/>
                <w:sz w:val="18"/>
                <w:szCs w:val="18"/>
              </w:rPr>
            </w:pPr>
            <w:r>
              <w:rPr>
                <w:rFonts w:ascii="Arial" w:hAnsi="Arial" w:cs="Arial"/>
                <w:color w:val="000000"/>
                <w:sz w:val="18"/>
                <w:szCs w:val="18"/>
              </w:rPr>
              <w:t>772 699</w:t>
            </w:r>
          </w:p>
        </w:tc>
      </w:tr>
      <w:tr>
        <w:tblPrEx>
          <w:tblW w:w="9375" w:type="dxa"/>
          <w:tblInd w:w="55" w:type="dxa"/>
          <w:tblCellMar>
            <w:left w:w="70" w:type="dxa"/>
            <w:right w:w="70" w:type="dxa"/>
          </w:tblCellMar>
        </w:tblPrEx>
        <w:trPr>
          <w:trHeight w:hRule="exact" w:val="284"/>
        </w:trPr>
        <w:tc>
          <w:tcPr>
            <w:tcW w:w="1041" w:type="dxa"/>
            <w:tcBorders>
              <w:top w:val="nil"/>
              <w:left w:val="single" w:sz="4" w:space="0" w:color="auto"/>
              <w:bottom w:val="single" w:sz="4" w:space="0" w:color="auto"/>
              <w:right w:val="single" w:sz="4" w:space="0" w:color="auto"/>
              <w:tl2br w:val="nil"/>
              <w:tr2bl w:val="nil"/>
            </w:tcBorders>
            <w:textDirection w:val="lrTb"/>
            <w:vAlign w:val="center"/>
          </w:tcPr>
          <w:p w:rsidR="00F96ACE" w:rsidP="00F96ACE">
            <w:pPr>
              <w:spacing w:line="240" w:lineRule="auto"/>
              <w:rPr>
                <w:rFonts w:ascii="Arial" w:hAnsi="Arial" w:cs="Arial"/>
                <w:color w:val="000000"/>
                <w:sz w:val="18"/>
                <w:szCs w:val="18"/>
              </w:rPr>
            </w:pPr>
            <w:r w:rsidR="00A078CF">
              <w:rPr>
                <w:rFonts w:ascii="Arial" w:hAnsi="Arial" w:cs="Arial"/>
                <w:color w:val="000000"/>
                <w:sz w:val="18"/>
                <w:szCs w:val="18"/>
              </w:rPr>
              <w:t>B.II.</w:t>
            </w:r>
            <w:r>
              <w:rPr>
                <w:rFonts w:ascii="Arial" w:hAnsi="Arial" w:cs="Arial"/>
                <w:color w:val="000000"/>
                <w:sz w:val="18"/>
                <w:szCs w:val="18"/>
              </w:rPr>
              <w:t>8.</w:t>
            </w:r>
          </w:p>
        </w:tc>
        <w:tc>
          <w:tcPr>
            <w:tcW w:w="5244" w:type="dxa"/>
            <w:tcBorders>
              <w:top w:val="nil"/>
              <w:left w:val="nil"/>
              <w:bottom w:val="single" w:sz="4" w:space="0" w:color="auto"/>
              <w:right w:val="single" w:sz="4" w:space="0" w:color="auto"/>
              <w:tl2br w:val="nil"/>
              <w:tr2bl w:val="nil"/>
            </w:tcBorders>
            <w:textDirection w:val="lrTb"/>
            <w:vAlign w:val="center"/>
          </w:tcPr>
          <w:p w:rsidR="00F96ACE" w:rsidP="00CD162C">
            <w:pPr>
              <w:spacing w:line="240" w:lineRule="auto"/>
              <w:jc w:val="left"/>
              <w:rPr>
                <w:rFonts w:ascii="Arial" w:hAnsi="Arial" w:cs="Arial"/>
                <w:color w:val="000000"/>
                <w:sz w:val="18"/>
                <w:szCs w:val="18"/>
              </w:rPr>
            </w:pPr>
            <w:r>
              <w:rPr>
                <w:rFonts w:ascii="Arial" w:hAnsi="Arial" w:cs="Arial"/>
                <w:color w:val="000000"/>
                <w:sz w:val="18"/>
                <w:szCs w:val="18"/>
              </w:rPr>
              <w:t>Záväzky zo sociálneho fondu (472)</w:t>
            </w:r>
          </w:p>
        </w:tc>
        <w:tc>
          <w:tcPr>
            <w:tcW w:w="581" w:type="dxa"/>
            <w:tcBorders>
              <w:top w:val="nil"/>
              <w:left w:val="nil"/>
              <w:bottom w:val="single" w:sz="4" w:space="0" w:color="auto"/>
              <w:right w:val="single" w:sz="4" w:space="0" w:color="auto"/>
              <w:tl2br w:val="nil"/>
              <w:tr2bl w:val="nil"/>
            </w:tcBorders>
            <w:textDirection w:val="lrTb"/>
            <w:vAlign w:val="center"/>
          </w:tcPr>
          <w:p w:rsidR="00F96ACE" w:rsidP="00E167CA">
            <w:pPr>
              <w:spacing w:line="240" w:lineRule="auto"/>
              <w:jc w:val="center"/>
              <w:rPr>
                <w:rFonts w:ascii="Arial" w:hAnsi="Arial" w:cs="Arial"/>
                <w:color w:val="000000"/>
                <w:sz w:val="18"/>
                <w:szCs w:val="18"/>
              </w:rPr>
            </w:pPr>
            <w:r>
              <w:rPr>
                <w:rFonts w:ascii="Arial" w:hAnsi="Arial" w:cs="Arial"/>
                <w:color w:val="000000"/>
                <w:sz w:val="18"/>
                <w:szCs w:val="18"/>
              </w:rPr>
              <w:t>099</w:t>
            </w:r>
          </w:p>
        </w:tc>
        <w:tc>
          <w:tcPr>
            <w:tcW w:w="2509" w:type="dxa"/>
            <w:tcBorders>
              <w:top w:val="nil"/>
              <w:left w:val="single" w:sz="4" w:space="0" w:color="auto"/>
              <w:bottom w:val="single" w:sz="4" w:space="0" w:color="auto"/>
              <w:right w:val="single" w:sz="4" w:space="0" w:color="auto"/>
              <w:tl2br w:val="nil"/>
              <w:tr2bl w:val="nil"/>
            </w:tcBorders>
            <w:noWrap/>
            <w:textDirection w:val="lrTb"/>
            <w:vAlign w:val="center"/>
          </w:tcPr>
          <w:p w:rsidR="00F96ACE" w:rsidP="00F96ACE">
            <w:pPr>
              <w:spacing w:line="240" w:lineRule="auto"/>
              <w:jc w:val="right"/>
              <w:rPr>
                <w:rFonts w:ascii="Arial" w:hAnsi="Arial" w:cs="Arial"/>
                <w:color w:val="000000"/>
                <w:sz w:val="18"/>
                <w:szCs w:val="18"/>
              </w:rPr>
            </w:pPr>
            <w:r>
              <w:rPr>
                <w:rFonts w:ascii="Arial" w:hAnsi="Arial" w:cs="Arial"/>
                <w:color w:val="000000"/>
                <w:sz w:val="18"/>
                <w:szCs w:val="18"/>
              </w:rPr>
              <w:t>3 886</w:t>
            </w:r>
          </w:p>
        </w:tc>
      </w:tr>
      <w:tr>
        <w:tblPrEx>
          <w:tblW w:w="9375" w:type="dxa"/>
          <w:tblInd w:w="55" w:type="dxa"/>
          <w:tblCellMar>
            <w:left w:w="70" w:type="dxa"/>
            <w:right w:w="70" w:type="dxa"/>
          </w:tblCellMar>
        </w:tblPrEx>
        <w:trPr>
          <w:trHeight w:hRule="exact" w:val="284"/>
        </w:trPr>
        <w:tc>
          <w:tcPr>
            <w:tcW w:w="1041" w:type="dxa"/>
            <w:tcBorders>
              <w:top w:val="nil"/>
              <w:left w:val="single" w:sz="4" w:space="0" w:color="auto"/>
              <w:bottom w:val="single" w:sz="4" w:space="0" w:color="auto"/>
              <w:right w:val="single" w:sz="4" w:space="0" w:color="auto"/>
              <w:tl2br w:val="nil"/>
              <w:tr2bl w:val="nil"/>
            </w:tcBorders>
            <w:textDirection w:val="lrTb"/>
            <w:vAlign w:val="center"/>
          </w:tcPr>
          <w:p w:rsidR="00F96ACE" w:rsidP="00F96ACE">
            <w:pPr>
              <w:spacing w:line="240" w:lineRule="auto"/>
              <w:rPr>
                <w:rFonts w:ascii="Arial" w:hAnsi="Arial" w:cs="Arial"/>
                <w:color w:val="000000"/>
                <w:sz w:val="18"/>
                <w:szCs w:val="18"/>
              </w:rPr>
            </w:pPr>
            <w:r w:rsidR="00A078CF">
              <w:rPr>
                <w:rFonts w:ascii="Arial" w:hAnsi="Arial" w:cs="Arial"/>
                <w:color w:val="000000"/>
                <w:sz w:val="18"/>
                <w:szCs w:val="18"/>
              </w:rPr>
              <w:t>B.II.</w:t>
            </w:r>
            <w:r>
              <w:rPr>
                <w:rFonts w:ascii="Arial" w:hAnsi="Arial" w:cs="Arial"/>
                <w:color w:val="000000"/>
                <w:sz w:val="18"/>
                <w:szCs w:val="18"/>
              </w:rPr>
              <w:t>10.</w:t>
            </w:r>
          </w:p>
        </w:tc>
        <w:tc>
          <w:tcPr>
            <w:tcW w:w="5244" w:type="dxa"/>
            <w:tcBorders>
              <w:top w:val="nil"/>
              <w:left w:val="nil"/>
              <w:bottom w:val="single" w:sz="4" w:space="0" w:color="auto"/>
              <w:right w:val="single" w:sz="4" w:space="0" w:color="auto"/>
              <w:tl2br w:val="nil"/>
              <w:tr2bl w:val="nil"/>
            </w:tcBorders>
            <w:textDirection w:val="lrTb"/>
            <w:vAlign w:val="center"/>
          </w:tcPr>
          <w:p w:rsidR="00F96ACE" w:rsidP="00CD162C">
            <w:pPr>
              <w:spacing w:line="240" w:lineRule="auto"/>
              <w:jc w:val="left"/>
              <w:rPr>
                <w:rFonts w:ascii="Arial" w:hAnsi="Arial" w:cs="Arial"/>
                <w:color w:val="000000"/>
                <w:sz w:val="18"/>
                <w:szCs w:val="18"/>
              </w:rPr>
            </w:pPr>
            <w:r>
              <w:rPr>
                <w:rFonts w:ascii="Arial" w:hAnsi="Arial" w:cs="Arial"/>
                <w:color w:val="000000"/>
                <w:sz w:val="18"/>
                <w:szCs w:val="18"/>
              </w:rPr>
              <w:t>Odložený daňový záväzok (481A)</w:t>
            </w:r>
          </w:p>
        </w:tc>
        <w:tc>
          <w:tcPr>
            <w:tcW w:w="581" w:type="dxa"/>
            <w:tcBorders>
              <w:top w:val="nil"/>
              <w:left w:val="nil"/>
              <w:bottom w:val="single" w:sz="4" w:space="0" w:color="auto"/>
              <w:right w:val="single" w:sz="4" w:space="0" w:color="auto"/>
              <w:tl2br w:val="nil"/>
              <w:tr2bl w:val="nil"/>
            </w:tcBorders>
            <w:textDirection w:val="lrTb"/>
            <w:vAlign w:val="center"/>
          </w:tcPr>
          <w:p w:rsidR="00F96ACE" w:rsidP="00E167CA">
            <w:pPr>
              <w:spacing w:line="240" w:lineRule="auto"/>
              <w:jc w:val="center"/>
              <w:rPr>
                <w:rFonts w:ascii="Arial" w:hAnsi="Arial" w:cs="Arial"/>
                <w:color w:val="000000"/>
                <w:sz w:val="18"/>
                <w:szCs w:val="18"/>
              </w:rPr>
            </w:pPr>
            <w:r>
              <w:rPr>
                <w:rFonts w:ascii="Arial" w:hAnsi="Arial" w:cs="Arial"/>
                <w:color w:val="000000"/>
                <w:sz w:val="18"/>
                <w:szCs w:val="18"/>
              </w:rPr>
              <w:t>101</w:t>
            </w:r>
          </w:p>
        </w:tc>
        <w:tc>
          <w:tcPr>
            <w:tcW w:w="2509" w:type="dxa"/>
            <w:tcBorders>
              <w:top w:val="nil"/>
              <w:left w:val="single" w:sz="4" w:space="0" w:color="auto"/>
              <w:bottom w:val="single" w:sz="4" w:space="0" w:color="auto"/>
              <w:right w:val="single" w:sz="4" w:space="0" w:color="auto"/>
              <w:tl2br w:val="nil"/>
              <w:tr2bl w:val="nil"/>
            </w:tcBorders>
            <w:noWrap/>
            <w:textDirection w:val="lrTb"/>
            <w:vAlign w:val="center"/>
          </w:tcPr>
          <w:p w:rsidR="00F96ACE" w:rsidP="00F96ACE">
            <w:pPr>
              <w:spacing w:line="240" w:lineRule="auto"/>
              <w:jc w:val="right"/>
              <w:rPr>
                <w:rFonts w:ascii="Arial" w:hAnsi="Arial" w:cs="Arial"/>
                <w:color w:val="000000"/>
                <w:sz w:val="18"/>
                <w:szCs w:val="18"/>
              </w:rPr>
            </w:pPr>
            <w:r>
              <w:rPr>
                <w:rFonts w:ascii="Arial" w:hAnsi="Arial" w:cs="Arial"/>
                <w:color w:val="000000"/>
                <w:sz w:val="18"/>
                <w:szCs w:val="18"/>
              </w:rPr>
              <w:t>2 578 367</w:t>
            </w:r>
          </w:p>
        </w:tc>
      </w:tr>
      <w:tr>
        <w:tblPrEx>
          <w:tblW w:w="9375" w:type="dxa"/>
          <w:tblInd w:w="55" w:type="dxa"/>
          <w:tblCellMar>
            <w:left w:w="70" w:type="dxa"/>
            <w:right w:w="70" w:type="dxa"/>
          </w:tblCellMar>
        </w:tblPrEx>
        <w:trPr>
          <w:trHeight w:hRule="exact" w:val="284"/>
        </w:trPr>
        <w:tc>
          <w:tcPr>
            <w:tcW w:w="1041" w:type="dxa"/>
            <w:tcBorders>
              <w:top w:val="nil"/>
              <w:left w:val="single" w:sz="4" w:space="0" w:color="auto"/>
              <w:bottom w:val="single" w:sz="4" w:space="0" w:color="auto"/>
              <w:right w:val="single" w:sz="4" w:space="0" w:color="auto"/>
              <w:tl2br w:val="nil"/>
              <w:tr2bl w:val="nil"/>
            </w:tcBorders>
            <w:textDirection w:val="lrTb"/>
            <w:vAlign w:val="center"/>
          </w:tcPr>
          <w:p w:rsidR="00F96ACE" w:rsidP="00F96ACE">
            <w:pPr>
              <w:spacing w:line="240" w:lineRule="auto"/>
              <w:rPr>
                <w:rFonts w:ascii="Arial" w:hAnsi="Arial" w:cs="Arial"/>
                <w:color w:val="000000"/>
                <w:sz w:val="18"/>
                <w:szCs w:val="18"/>
              </w:rPr>
            </w:pPr>
            <w:r>
              <w:rPr>
                <w:rFonts w:ascii="Arial" w:hAnsi="Arial" w:cs="Arial"/>
                <w:color w:val="000000"/>
                <w:sz w:val="18"/>
                <w:szCs w:val="18"/>
              </w:rPr>
              <w:t>B.lll.</w:t>
            </w:r>
          </w:p>
        </w:tc>
        <w:tc>
          <w:tcPr>
            <w:tcW w:w="5244" w:type="dxa"/>
            <w:tcBorders>
              <w:top w:val="nil"/>
              <w:left w:val="nil"/>
              <w:bottom w:val="single" w:sz="4" w:space="0" w:color="auto"/>
              <w:right w:val="single" w:sz="4" w:space="0" w:color="auto"/>
              <w:tl2br w:val="nil"/>
              <w:tr2bl w:val="nil"/>
            </w:tcBorders>
            <w:textDirection w:val="lrTb"/>
            <w:vAlign w:val="center"/>
          </w:tcPr>
          <w:p w:rsidR="00F96ACE" w:rsidP="00CD162C">
            <w:pPr>
              <w:spacing w:line="240" w:lineRule="auto"/>
              <w:jc w:val="left"/>
              <w:rPr>
                <w:rFonts w:ascii="Arial" w:hAnsi="Arial" w:cs="Arial"/>
                <w:color w:val="000000"/>
                <w:sz w:val="18"/>
                <w:szCs w:val="18"/>
              </w:rPr>
            </w:pPr>
            <w:r>
              <w:rPr>
                <w:rFonts w:ascii="Arial" w:hAnsi="Arial" w:cs="Arial"/>
                <w:color w:val="000000"/>
                <w:sz w:val="18"/>
                <w:szCs w:val="18"/>
              </w:rPr>
              <w:t>Krátkodobé záväzky súčet (r. 103 až 111)</w:t>
            </w:r>
          </w:p>
        </w:tc>
        <w:tc>
          <w:tcPr>
            <w:tcW w:w="581" w:type="dxa"/>
            <w:tcBorders>
              <w:top w:val="nil"/>
              <w:left w:val="nil"/>
              <w:bottom w:val="single" w:sz="4" w:space="0" w:color="auto"/>
              <w:right w:val="single" w:sz="4" w:space="0" w:color="auto"/>
              <w:tl2br w:val="nil"/>
              <w:tr2bl w:val="nil"/>
            </w:tcBorders>
            <w:textDirection w:val="lrTb"/>
            <w:vAlign w:val="center"/>
          </w:tcPr>
          <w:p w:rsidR="00F96ACE" w:rsidP="00E167CA">
            <w:pPr>
              <w:spacing w:line="240" w:lineRule="auto"/>
              <w:jc w:val="center"/>
              <w:rPr>
                <w:rFonts w:ascii="Arial" w:hAnsi="Arial" w:cs="Arial"/>
                <w:color w:val="000000"/>
                <w:sz w:val="18"/>
                <w:szCs w:val="18"/>
              </w:rPr>
            </w:pPr>
            <w:r>
              <w:rPr>
                <w:rFonts w:ascii="Arial" w:hAnsi="Arial" w:cs="Arial"/>
                <w:color w:val="000000"/>
                <w:sz w:val="18"/>
                <w:szCs w:val="18"/>
              </w:rPr>
              <w:t>102</w:t>
            </w:r>
          </w:p>
        </w:tc>
        <w:tc>
          <w:tcPr>
            <w:tcW w:w="2509" w:type="dxa"/>
            <w:tcBorders>
              <w:top w:val="nil"/>
              <w:left w:val="single" w:sz="4" w:space="0" w:color="auto"/>
              <w:bottom w:val="single" w:sz="4" w:space="0" w:color="auto"/>
              <w:right w:val="single" w:sz="4" w:space="0" w:color="auto"/>
              <w:tl2br w:val="nil"/>
              <w:tr2bl w:val="nil"/>
            </w:tcBorders>
            <w:noWrap/>
            <w:textDirection w:val="lrTb"/>
            <w:vAlign w:val="center"/>
          </w:tcPr>
          <w:p w:rsidR="00F96ACE" w:rsidP="00F96ACE">
            <w:pPr>
              <w:spacing w:line="240" w:lineRule="auto"/>
              <w:jc w:val="right"/>
              <w:rPr>
                <w:rFonts w:ascii="Arial" w:hAnsi="Arial" w:cs="Arial"/>
                <w:color w:val="000000"/>
                <w:sz w:val="18"/>
                <w:szCs w:val="18"/>
              </w:rPr>
            </w:pPr>
            <w:r>
              <w:rPr>
                <w:rFonts w:ascii="Arial" w:hAnsi="Arial" w:cs="Arial"/>
                <w:color w:val="000000"/>
                <w:sz w:val="18"/>
                <w:szCs w:val="18"/>
              </w:rPr>
              <w:t>2 674 374</w:t>
            </w:r>
          </w:p>
        </w:tc>
      </w:tr>
      <w:tr>
        <w:tblPrEx>
          <w:tblW w:w="9375" w:type="dxa"/>
          <w:tblInd w:w="55" w:type="dxa"/>
          <w:tblCellMar>
            <w:left w:w="70" w:type="dxa"/>
            <w:right w:w="70" w:type="dxa"/>
          </w:tblCellMar>
        </w:tblPrEx>
        <w:trPr>
          <w:trHeight w:hRule="exact" w:val="454"/>
        </w:trPr>
        <w:tc>
          <w:tcPr>
            <w:tcW w:w="1041" w:type="dxa"/>
            <w:tcBorders>
              <w:top w:val="nil"/>
              <w:left w:val="single" w:sz="4" w:space="0" w:color="auto"/>
              <w:bottom w:val="single" w:sz="4" w:space="0" w:color="auto"/>
              <w:right w:val="single" w:sz="4" w:space="0" w:color="auto"/>
              <w:tl2br w:val="nil"/>
              <w:tr2bl w:val="nil"/>
            </w:tcBorders>
            <w:textDirection w:val="lrTb"/>
            <w:vAlign w:val="center"/>
          </w:tcPr>
          <w:p w:rsidR="00F96ACE" w:rsidP="00F96ACE">
            <w:pPr>
              <w:spacing w:line="240" w:lineRule="auto"/>
              <w:rPr>
                <w:rFonts w:ascii="Arial" w:hAnsi="Arial" w:cs="Arial"/>
                <w:color w:val="000000"/>
                <w:sz w:val="18"/>
                <w:szCs w:val="18"/>
              </w:rPr>
            </w:pPr>
            <w:r>
              <w:rPr>
                <w:rFonts w:ascii="Arial" w:hAnsi="Arial" w:cs="Arial"/>
                <w:color w:val="000000"/>
                <w:sz w:val="18"/>
                <w:szCs w:val="18"/>
              </w:rPr>
              <w:t>B.lll.1</w:t>
            </w:r>
          </w:p>
        </w:tc>
        <w:tc>
          <w:tcPr>
            <w:tcW w:w="5244" w:type="dxa"/>
            <w:tcBorders>
              <w:top w:val="nil"/>
              <w:left w:val="nil"/>
              <w:bottom w:val="single" w:sz="4" w:space="0" w:color="auto"/>
              <w:right w:val="single" w:sz="4" w:space="0" w:color="auto"/>
              <w:tl2br w:val="nil"/>
              <w:tr2bl w:val="nil"/>
            </w:tcBorders>
            <w:textDirection w:val="lrTb"/>
            <w:vAlign w:val="center"/>
          </w:tcPr>
          <w:p w:rsidR="00F96ACE" w:rsidP="00CD162C">
            <w:pPr>
              <w:spacing w:line="240" w:lineRule="auto"/>
              <w:jc w:val="left"/>
              <w:rPr>
                <w:rFonts w:ascii="Arial" w:hAnsi="Arial" w:cs="Arial"/>
                <w:color w:val="000000"/>
                <w:sz w:val="18"/>
                <w:szCs w:val="18"/>
              </w:rPr>
            </w:pPr>
            <w:r>
              <w:rPr>
                <w:rFonts w:ascii="Arial" w:hAnsi="Arial" w:cs="Arial"/>
                <w:color w:val="000000"/>
                <w:sz w:val="18"/>
                <w:szCs w:val="18"/>
              </w:rPr>
              <w:t>Záväzky z obchodného styku (321,322,324,325,32X,475A,478A,479A,47XA)</w:t>
            </w:r>
          </w:p>
        </w:tc>
        <w:tc>
          <w:tcPr>
            <w:tcW w:w="581" w:type="dxa"/>
            <w:tcBorders>
              <w:top w:val="nil"/>
              <w:left w:val="nil"/>
              <w:bottom w:val="single" w:sz="4" w:space="0" w:color="auto"/>
              <w:right w:val="single" w:sz="4" w:space="0" w:color="auto"/>
              <w:tl2br w:val="nil"/>
              <w:tr2bl w:val="nil"/>
            </w:tcBorders>
            <w:textDirection w:val="lrTb"/>
            <w:vAlign w:val="center"/>
          </w:tcPr>
          <w:p w:rsidR="00F96ACE" w:rsidP="00E167CA">
            <w:pPr>
              <w:spacing w:line="240" w:lineRule="auto"/>
              <w:jc w:val="center"/>
              <w:rPr>
                <w:rFonts w:ascii="Arial" w:hAnsi="Arial" w:cs="Arial"/>
                <w:color w:val="000000"/>
                <w:sz w:val="18"/>
                <w:szCs w:val="18"/>
              </w:rPr>
            </w:pPr>
            <w:r>
              <w:rPr>
                <w:rFonts w:ascii="Arial" w:hAnsi="Arial" w:cs="Arial"/>
                <w:color w:val="000000"/>
                <w:sz w:val="18"/>
                <w:szCs w:val="18"/>
              </w:rPr>
              <w:t>103</w:t>
            </w:r>
          </w:p>
        </w:tc>
        <w:tc>
          <w:tcPr>
            <w:tcW w:w="2509" w:type="dxa"/>
            <w:tcBorders>
              <w:top w:val="nil"/>
              <w:left w:val="single" w:sz="4" w:space="0" w:color="auto"/>
              <w:bottom w:val="single" w:sz="4" w:space="0" w:color="auto"/>
              <w:right w:val="single" w:sz="4" w:space="0" w:color="auto"/>
              <w:tl2br w:val="nil"/>
              <w:tr2bl w:val="nil"/>
            </w:tcBorders>
            <w:noWrap/>
            <w:textDirection w:val="lrTb"/>
            <w:vAlign w:val="center"/>
          </w:tcPr>
          <w:p w:rsidR="00F96ACE" w:rsidP="00F96ACE">
            <w:pPr>
              <w:spacing w:line="240" w:lineRule="auto"/>
              <w:jc w:val="right"/>
              <w:rPr>
                <w:rFonts w:ascii="Arial" w:hAnsi="Arial" w:cs="Arial"/>
                <w:color w:val="000000"/>
                <w:sz w:val="18"/>
                <w:szCs w:val="18"/>
              </w:rPr>
            </w:pPr>
            <w:r>
              <w:rPr>
                <w:rFonts w:ascii="Arial" w:hAnsi="Arial" w:cs="Arial"/>
                <w:color w:val="000000"/>
                <w:sz w:val="18"/>
                <w:szCs w:val="18"/>
              </w:rPr>
              <w:t>2 423 777</w:t>
            </w:r>
          </w:p>
        </w:tc>
      </w:tr>
      <w:tr>
        <w:tblPrEx>
          <w:tblW w:w="9375" w:type="dxa"/>
          <w:tblInd w:w="55" w:type="dxa"/>
          <w:tblCellMar>
            <w:left w:w="70" w:type="dxa"/>
            <w:right w:w="70" w:type="dxa"/>
          </w:tblCellMar>
        </w:tblPrEx>
        <w:trPr>
          <w:trHeight w:hRule="exact" w:val="284"/>
        </w:trPr>
        <w:tc>
          <w:tcPr>
            <w:tcW w:w="1041" w:type="dxa"/>
            <w:tcBorders>
              <w:top w:val="nil"/>
              <w:left w:val="single" w:sz="4" w:space="0" w:color="auto"/>
              <w:bottom w:val="single" w:sz="4" w:space="0" w:color="auto"/>
              <w:right w:val="single" w:sz="4" w:space="0" w:color="auto"/>
              <w:tl2br w:val="nil"/>
              <w:tr2bl w:val="nil"/>
            </w:tcBorders>
            <w:textDirection w:val="lrTb"/>
            <w:vAlign w:val="center"/>
          </w:tcPr>
          <w:p w:rsidR="00F96ACE" w:rsidP="00F96ACE">
            <w:pPr>
              <w:spacing w:line="240" w:lineRule="auto"/>
              <w:rPr>
                <w:rFonts w:ascii="Arial" w:hAnsi="Arial" w:cs="Arial"/>
                <w:color w:val="000000"/>
                <w:sz w:val="18"/>
                <w:szCs w:val="18"/>
              </w:rPr>
            </w:pPr>
            <w:r w:rsidR="00A078CF">
              <w:rPr>
                <w:rFonts w:ascii="Arial" w:hAnsi="Arial" w:cs="Arial"/>
                <w:color w:val="000000"/>
                <w:sz w:val="18"/>
                <w:szCs w:val="18"/>
              </w:rPr>
              <w:t>B.III.</w:t>
            </w:r>
            <w:r>
              <w:rPr>
                <w:rFonts w:ascii="Arial" w:hAnsi="Arial" w:cs="Arial"/>
                <w:color w:val="000000"/>
                <w:sz w:val="18"/>
                <w:szCs w:val="18"/>
              </w:rPr>
              <w:t>2.</w:t>
            </w:r>
          </w:p>
        </w:tc>
        <w:tc>
          <w:tcPr>
            <w:tcW w:w="5244" w:type="dxa"/>
            <w:tcBorders>
              <w:top w:val="nil"/>
              <w:left w:val="nil"/>
              <w:bottom w:val="single" w:sz="4" w:space="0" w:color="auto"/>
              <w:right w:val="single" w:sz="4" w:space="0" w:color="auto"/>
              <w:tl2br w:val="nil"/>
              <w:tr2bl w:val="nil"/>
            </w:tcBorders>
            <w:textDirection w:val="lrTb"/>
            <w:vAlign w:val="center"/>
          </w:tcPr>
          <w:p w:rsidR="00F96ACE" w:rsidP="00CD162C">
            <w:pPr>
              <w:spacing w:line="240" w:lineRule="auto"/>
              <w:jc w:val="left"/>
              <w:rPr>
                <w:rFonts w:ascii="Arial" w:hAnsi="Arial" w:cs="Arial"/>
                <w:color w:val="000000"/>
                <w:sz w:val="18"/>
                <w:szCs w:val="18"/>
              </w:rPr>
            </w:pPr>
            <w:r>
              <w:rPr>
                <w:rFonts w:ascii="Arial" w:hAnsi="Arial" w:cs="Arial"/>
                <w:color w:val="000000"/>
                <w:sz w:val="18"/>
                <w:szCs w:val="18"/>
              </w:rPr>
              <w:t>Nevyfakturované dodávky (326,476A)</w:t>
            </w:r>
          </w:p>
        </w:tc>
        <w:tc>
          <w:tcPr>
            <w:tcW w:w="581" w:type="dxa"/>
            <w:tcBorders>
              <w:top w:val="nil"/>
              <w:left w:val="nil"/>
              <w:bottom w:val="single" w:sz="4" w:space="0" w:color="auto"/>
              <w:right w:val="single" w:sz="4" w:space="0" w:color="auto"/>
              <w:tl2br w:val="nil"/>
              <w:tr2bl w:val="nil"/>
            </w:tcBorders>
            <w:textDirection w:val="lrTb"/>
            <w:vAlign w:val="center"/>
          </w:tcPr>
          <w:p w:rsidR="00F96ACE" w:rsidP="00E167CA">
            <w:pPr>
              <w:spacing w:line="240" w:lineRule="auto"/>
              <w:jc w:val="center"/>
              <w:rPr>
                <w:rFonts w:ascii="Arial" w:hAnsi="Arial" w:cs="Arial"/>
                <w:color w:val="000000"/>
                <w:sz w:val="18"/>
                <w:szCs w:val="18"/>
              </w:rPr>
            </w:pPr>
            <w:r>
              <w:rPr>
                <w:rFonts w:ascii="Arial" w:hAnsi="Arial" w:cs="Arial"/>
                <w:color w:val="000000"/>
                <w:sz w:val="18"/>
                <w:szCs w:val="18"/>
              </w:rPr>
              <w:t>104</w:t>
            </w:r>
          </w:p>
        </w:tc>
        <w:tc>
          <w:tcPr>
            <w:tcW w:w="2509" w:type="dxa"/>
            <w:tcBorders>
              <w:top w:val="nil"/>
              <w:left w:val="single" w:sz="4" w:space="0" w:color="auto"/>
              <w:bottom w:val="single" w:sz="4" w:space="0" w:color="auto"/>
              <w:right w:val="single" w:sz="4" w:space="0" w:color="auto"/>
              <w:tl2br w:val="nil"/>
              <w:tr2bl w:val="nil"/>
            </w:tcBorders>
            <w:noWrap/>
            <w:textDirection w:val="lrTb"/>
            <w:vAlign w:val="center"/>
          </w:tcPr>
          <w:p w:rsidR="00F96ACE" w:rsidP="00F96ACE">
            <w:pPr>
              <w:spacing w:line="240" w:lineRule="auto"/>
              <w:jc w:val="right"/>
              <w:rPr>
                <w:rFonts w:ascii="Arial" w:hAnsi="Arial" w:cs="Arial"/>
                <w:color w:val="000000"/>
                <w:sz w:val="18"/>
                <w:szCs w:val="18"/>
              </w:rPr>
            </w:pPr>
            <w:r>
              <w:rPr>
                <w:rFonts w:ascii="Arial" w:hAnsi="Arial" w:cs="Arial"/>
                <w:color w:val="000000"/>
                <w:sz w:val="18"/>
                <w:szCs w:val="18"/>
              </w:rPr>
              <w:t>774</w:t>
            </w:r>
          </w:p>
        </w:tc>
      </w:tr>
      <w:tr>
        <w:tblPrEx>
          <w:tblW w:w="9375" w:type="dxa"/>
          <w:tblInd w:w="55" w:type="dxa"/>
          <w:tblCellMar>
            <w:left w:w="70" w:type="dxa"/>
            <w:right w:w="70" w:type="dxa"/>
          </w:tblCellMar>
        </w:tblPrEx>
        <w:trPr>
          <w:trHeight w:hRule="exact" w:val="284"/>
        </w:trPr>
        <w:tc>
          <w:tcPr>
            <w:tcW w:w="1041" w:type="dxa"/>
            <w:tcBorders>
              <w:top w:val="nil"/>
              <w:left w:val="single" w:sz="4" w:space="0" w:color="auto"/>
              <w:bottom w:val="single" w:sz="4" w:space="0" w:color="auto"/>
              <w:right w:val="single" w:sz="4" w:space="0" w:color="auto"/>
              <w:tl2br w:val="nil"/>
              <w:tr2bl w:val="nil"/>
            </w:tcBorders>
            <w:textDirection w:val="lrTb"/>
            <w:vAlign w:val="center"/>
          </w:tcPr>
          <w:p w:rsidR="00F96ACE" w:rsidP="00F96ACE">
            <w:pPr>
              <w:spacing w:line="240" w:lineRule="auto"/>
              <w:rPr>
                <w:rFonts w:ascii="Arial" w:hAnsi="Arial" w:cs="Arial"/>
                <w:color w:val="000000"/>
                <w:sz w:val="18"/>
                <w:szCs w:val="18"/>
              </w:rPr>
            </w:pPr>
            <w:r w:rsidR="00A078CF">
              <w:rPr>
                <w:rFonts w:ascii="Arial" w:hAnsi="Arial" w:cs="Arial"/>
                <w:color w:val="000000"/>
                <w:sz w:val="18"/>
                <w:szCs w:val="18"/>
              </w:rPr>
              <w:t>B.III.</w:t>
            </w:r>
            <w:r>
              <w:rPr>
                <w:rFonts w:ascii="Arial" w:hAnsi="Arial" w:cs="Arial"/>
                <w:color w:val="000000"/>
                <w:sz w:val="18"/>
                <w:szCs w:val="18"/>
              </w:rPr>
              <w:t>6.</w:t>
            </w:r>
          </w:p>
        </w:tc>
        <w:tc>
          <w:tcPr>
            <w:tcW w:w="5244" w:type="dxa"/>
            <w:tcBorders>
              <w:top w:val="nil"/>
              <w:left w:val="nil"/>
              <w:bottom w:val="single" w:sz="4" w:space="0" w:color="auto"/>
              <w:right w:val="single" w:sz="4" w:space="0" w:color="auto"/>
              <w:tl2br w:val="nil"/>
              <w:tr2bl w:val="nil"/>
            </w:tcBorders>
            <w:textDirection w:val="lrTb"/>
            <w:vAlign w:val="center"/>
          </w:tcPr>
          <w:p w:rsidR="00F96ACE" w:rsidP="00CD162C">
            <w:pPr>
              <w:spacing w:line="240" w:lineRule="auto"/>
              <w:jc w:val="left"/>
              <w:rPr>
                <w:rFonts w:ascii="Arial" w:hAnsi="Arial" w:cs="Arial"/>
                <w:color w:val="000000"/>
                <w:sz w:val="18"/>
                <w:szCs w:val="18"/>
              </w:rPr>
            </w:pPr>
            <w:r>
              <w:rPr>
                <w:rFonts w:ascii="Arial" w:hAnsi="Arial" w:cs="Arial"/>
                <w:color w:val="000000"/>
                <w:sz w:val="18"/>
                <w:szCs w:val="18"/>
              </w:rPr>
              <w:t>Záväzky voči zamestnancom (331,333,33X,479A)</w:t>
            </w:r>
          </w:p>
        </w:tc>
        <w:tc>
          <w:tcPr>
            <w:tcW w:w="581" w:type="dxa"/>
            <w:tcBorders>
              <w:top w:val="nil"/>
              <w:left w:val="nil"/>
              <w:bottom w:val="single" w:sz="4" w:space="0" w:color="auto"/>
              <w:right w:val="single" w:sz="4" w:space="0" w:color="auto"/>
              <w:tl2br w:val="nil"/>
              <w:tr2bl w:val="nil"/>
            </w:tcBorders>
            <w:textDirection w:val="lrTb"/>
            <w:vAlign w:val="center"/>
          </w:tcPr>
          <w:p w:rsidR="00F96ACE" w:rsidP="00E167CA">
            <w:pPr>
              <w:spacing w:line="240" w:lineRule="auto"/>
              <w:jc w:val="center"/>
              <w:rPr>
                <w:rFonts w:ascii="Arial" w:hAnsi="Arial" w:cs="Arial"/>
                <w:color w:val="000000"/>
                <w:sz w:val="18"/>
                <w:szCs w:val="18"/>
              </w:rPr>
            </w:pPr>
            <w:r>
              <w:rPr>
                <w:rFonts w:ascii="Arial" w:hAnsi="Arial" w:cs="Arial"/>
                <w:color w:val="000000"/>
                <w:sz w:val="18"/>
                <w:szCs w:val="18"/>
              </w:rPr>
              <w:t>108</w:t>
            </w:r>
          </w:p>
        </w:tc>
        <w:tc>
          <w:tcPr>
            <w:tcW w:w="2509" w:type="dxa"/>
            <w:tcBorders>
              <w:top w:val="nil"/>
              <w:left w:val="single" w:sz="4" w:space="0" w:color="auto"/>
              <w:bottom w:val="single" w:sz="4" w:space="0" w:color="auto"/>
              <w:right w:val="single" w:sz="4" w:space="0" w:color="auto"/>
              <w:tl2br w:val="nil"/>
              <w:tr2bl w:val="nil"/>
            </w:tcBorders>
            <w:noWrap/>
            <w:textDirection w:val="lrTb"/>
            <w:vAlign w:val="center"/>
          </w:tcPr>
          <w:p w:rsidR="00F96ACE" w:rsidP="00F96ACE">
            <w:pPr>
              <w:spacing w:line="240" w:lineRule="auto"/>
              <w:jc w:val="right"/>
              <w:rPr>
                <w:rFonts w:ascii="Arial" w:hAnsi="Arial" w:cs="Arial"/>
                <w:color w:val="000000"/>
                <w:sz w:val="18"/>
                <w:szCs w:val="18"/>
              </w:rPr>
            </w:pPr>
            <w:r>
              <w:rPr>
                <w:rFonts w:ascii="Arial" w:hAnsi="Arial" w:cs="Arial"/>
                <w:color w:val="000000"/>
                <w:sz w:val="18"/>
                <w:szCs w:val="18"/>
              </w:rPr>
              <w:t>22 861</w:t>
            </w:r>
          </w:p>
        </w:tc>
      </w:tr>
      <w:tr>
        <w:tblPrEx>
          <w:tblW w:w="9375" w:type="dxa"/>
          <w:tblInd w:w="55" w:type="dxa"/>
          <w:tblCellMar>
            <w:left w:w="70" w:type="dxa"/>
            <w:right w:w="70" w:type="dxa"/>
          </w:tblCellMar>
        </w:tblPrEx>
        <w:trPr>
          <w:trHeight w:hRule="exact" w:val="284"/>
        </w:trPr>
        <w:tc>
          <w:tcPr>
            <w:tcW w:w="1041" w:type="dxa"/>
            <w:tcBorders>
              <w:top w:val="nil"/>
              <w:left w:val="single" w:sz="4" w:space="0" w:color="auto"/>
              <w:bottom w:val="single" w:sz="4" w:space="0" w:color="auto"/>
              <w:right w:val="single" w:sz="4" w:space="0" w:color="auto"/>
              <w:tl2br w:val="nil"/>
              <w:tr2bl w:val="nil"/>
            </w:tcBorders>
            <w:textDirection w:val="lrTb"/>
            <w:vAlign w:val="center"/>
          </w:tcPr>
          <w:p w:rsidR="00F96ACE" w:rsidP="00F96ACE">
            <w:pPr>
              <w:spacing w:line="240" w:lineRule="auto"/>
              <w:rPr>
                <w:rFonts w:ascii="Arial" w:hAnsi="Arial" w:cs="Arial"/>
                <w:color w:val="000000"/>
                <w:sz w:val="18"/>
                <w:szCs w:val="18"/>
              </w:rPr>
            </w:pPr>
            <w:r w:rsidR="00A078CF">
              <w:rPr>
                <w:rFonts w:ascii="Arial" w:hAnsi="Arial" w:cs="Arial"/>
                <w:color w:val="000000"/>
                <w:sz w:val="18"/>
                <w:szCs w:val="18"/>
              </w:rPr>
              <w:t>B.III.</w:t>
            </w:r>
            <w:r>
              <w:rPr>
                <w:rFonts w:ascii="Arial" w:hAnsi="Arial" w:cs="Arial"/>
                <w:color w:val="000000"/>
                <w:sz w:val="18"/>
                <w:szCs w:val="18"/>
              </w:rPr>
              <w:t>7.</w:t>
            </w:r>
          </w:p>
        </w:tc>
        <w:tc>
          <w:tcPr>
            <w:tcW w:w="5244" w:type="dxa"/>
            <w:tcBorders>
              <w:top w:val="nil"/>
              <w:left w:val="nil"/>
              <w:bottom w:val="single" w:sz="4" w:space="0" w:color="auto"/>
              <w:right w:val="single" w:sz="4" w:space="0" w:color="auto"/>
              <w:tl2br w:val="nil"/>
              <w:tr2bl w:val="nil"/>
            </w:tcBorders>
            <w:textDirection w:val="lrTb"/>
            <w:vAlign w:val="center"/>
          </w:tcPr>
          <w:p w:rsidR="00F96ACE" w:rsidP="00CD162C">
            <w:pPr>
              <w:spacing w:line="240" w:lineRule="auto"/>
              <w:jc w:val="left"/>
              <w:rPr>
                <w:rFonts w:ascii="Arial" w:hAnsi="Arial" w:cs="Arial"/>
                <w:color w:val="000000"/>
                <w:sz w:val="18"/>
                <w:szCs w:val="18"/>
              </w:rPr>
            </w:pPr>
            <w:r>
              <w:rPr>
                <w:rFonts w:ascii="Arial" w:hAnsi="Arial" w:cs="Arial"/>
                <w:color w:val="000000"/>
                <w:sz w:val="18"/>
                <w:szCs w:val="18"/>
              </w:rPr>
              <w:t>Záväzky zo sociálneho poistenia (336,479A)</w:t>
            </w:r>
          </w:p>
        </w:tc>
        <w:tc>
          <w:tcPr>
            <w:tcW w:w="581" w:type="dxa"/>
            <w:tcBorders>
              <w:top w:val="nil"/>
              <w:left w:val="nil"/>
              <w:bottom w:val="single" w:sz="4" w:space="0" w:color="auto"/>
              <w:right w:val="single" w:sz="4" w:space="0" w:color="auto"/>
              <w:tl2br w:val="nil"/>
              <w:tr2bl w:val="nil"/>
            </w:tcBorders>
            <w:textDirection w:val="lrTb"/>
            <w:vAlign w:val="center"/>
          </w:tcPr>
          <w:p w:rsidR="00F96ACE" w:rsidP="00E167CA">
            <w:pPr>
              <w:spacing w:line="240" w:lineRule="auto"/>
              <w:jc w:val="center"/>
              <w:rPr>
                <w:rFonts w:ascii="Arial" w:hAnsi="Arial" w:cs="Arial"/>
                <w:color w:val="000000"/>
                <w:sz w:val="18"/>
                <w:szCs w:val="18"/>
              </w:rPr>
            </w:pPr>
            <w:r>
              <w:rPr>
                <w:rFonts w:ascii="Arial" w:hAnsi="Arial" w:cs="Arial"/>
                <w:color w:val="000000"/>
                <w:sz w:val="18"/>
                <w:szCs w:val="18"/>
              </w:rPr>
              <w:t>109</w:t>
            </w:r>
          </w:p>
        </w:tc>
        <w:tc>
          <w:tcPr>
            <w:tcW w:w="2509" w:type="dxa"/>
            <w:tcBorders>
              <w:top w:val="nil"/>
              <w:left w:val="single" w:sz="4" w:space="0" w:color="auto"/>
              <w:bottom w:val="single" w:sz="4" w:space="0" w:color="auto"/>
              <w:right w:val="single" w:sz="4" w:space="0" w:color="auto"/>
              <w:tl2br w:val="nil"/>
              <w:tr2bl w:val="nil"/>
            </w:tcBorders>
            <w:noWrap/>
            <w:textDirection w:val="lrTb"/>
            <w:vAlign w:val="center"/>
          </w:tcPr>
          <w:p w:rsidR="00F96ACE" w:rsidP="00F96ACE">
            <w:pPr>
              <w:spacing w:line="240" w:lineRule="auto"/>
              <w:jc w:val="right"/>
              <w:rPr>
                <w:rFonts w:ascii="Arial" w:hAnsi="Arial" w:cs="Arial"/>
                <w:color w:val="000000"/>
                <w:sz w:val="18"/>
                <w:szCs w:val="18"/>
              </w:rPr>
            </w:pPr>
            <w:r>
              <w:rPr>
                <w:rFonts w:ascii="Arial" w:hAnsi="Arial" w:cs="Arial"/>
                <w:color w:val="000000"/>
                <w:sz w:val="18"/>
                <w:szCs w:val="18"/>
              </w:rPr>
              <w:t>14 696</w:t>
            </w:r>
          </w:p>
        </w:tc>
      </w:tr>
      <w:tr>
        <w:tblPrEx>
          <w:tblW w:w="9375" w:type="dxa"/>
          <w:tblInd w:w="55" w:type="dxa"/>
          <w:tblCellMar>
            <w:left w:w="70" w:type="dxa"/>
            <w:right w:w="70" w:type="dxa"/>
          </w:tblCellMar>
        </w:tblPrEx>
        <w:trPr>
          <w:trHeight w:hRule="exact" w:val="284"/>
        </w:trPr>
        <w:tc>
          <w:tcPr>
            <w:tcW w:w="1041" w:type="dxa"/>
            <w:tcBorders>
              <w:top w:val="nil"/>
              <w:left w:val="single" w:sz="4" w:space="0" w:color="auto"/>
              <w:bottom w:val="single" w:sz="4" w:space="0" w:color="auto"/>
              <w:right w:val="single" w:sz="4" w:space="0" w:color="auto"/>
              <w:tl2br w:val="nil"/>
              <w:tr2bl w:val="nil"/>
            </w:tcBorders>
            <w:textDirection w:val="lrTb"/>
            <w:vAlign w:val="center"/>
          </w:tcPr>
          <w:p w:rsidR="00F96ACE" w:rsidP="00F96ACE">
            <w:pPr>
              <w:spacing w:line="240" w:lineRule="auto"/>
              <w:rPr>
                <w:rFonts w:ascii="Arial" w:hAnsi="Arial" w:cs="Arial"/>
                <w:color w:val="000000"/>
                <w:sz w:val="18"/>
                <w:szCs w:val="18"/>
              </w:rPr>
            </w:pPr>
            <w:r w:rsidR="00A078CF">
              <w:rPr>
                <w:rFonts w:ascii="Arial" w:hAnsi="Arial" w:cs="Arial"/>
                <w:color w:val="000000"/>
                <w:sz w:val="18"/>
                <w:szCs w:val="18"/>
              </w:rPr>
              <w:t>B.III.</w:t>
            </w:r>
            <w:r>
              <w:rPr>
                <w:rFonts w:ascii="Arial" w:hAnsi="Arial" w:cs="Arial"/>
                <w:color w:val="000000"/>
                <w:sz w:val="18"/>
                <w:szCs w:val="18"/>
              </w:rPr>
              <w:t>8.</w:t>
            </w:r>
          </w:p>
        </w:tc>
        <w:tc>
          <w:tcPr>
            <w:tcW w:w="5244" w:type="dxa"/>
            <w:tcBorders>
              <w:top w:val="nil"/>
              <w:left w:val="nil"/>
              <w:bottom w:val="single" w:sz="4" w:space="0" w:color="auto"/>
              <w:right w:val="single" w:sz="4" w:space="0" w:color="auto"/>
              <w:tl2br w:val="nil"/>
              <w:tr2bl w:val="nil"/>
            </w:tcBorders>
            <w:textDirection w:val="lrTb"/>
            <w:vAlign w:val="center"/>
          </w:tcPr>
          <w:p w:rsidR="00F96ACE" w:rsidP="00CD162C">
            <w:pPr>
              <w:spacing w:line="240" w:lineRule="auto"/>
              <w:jc w:val="left"/>
              <w:rPr>
                <w:rFonts w:ascii="Arial" w:hAnsi="Arial" w:cs="Arial"/>
                <w:color w:val="000000"/>
                <w:sz w:val="18"/>
                <w:szCs w:val="18"/>
              </w:rPr>
            </w:pPr>
            <w:r>
              <w:rPr>
                <w:rFonts w:ascii="Arial" w:hAnsi="Arial" w:cs="Arial"/>
                <w:color w:val="000000"/>
                <w:sz w:val="18"/>
                <w:szCs w:val="18"/>
              </w:rPr>
              <w:t>Daňové záväzky a dotácie (341,342,343,345,346,347,34X)</w:t>
            </w:r>
          </w:p>
        </w:tc>
        <w:tc>
          <w:tcPr>
            <w:tcW w:w="581" w:type="dxa"/>
            <w:tcBorders>
              <w:top w:val="nil"/>
              <w:left w:val="nil"/>
              <w:bottom w:val="single" w:sz="4" w:space="0" w:color="auto"/>
              <w:right w:val="single" w:sz="4" w:space="0" w:color="auto"/>
              <w:tl2br w:val="nil"/>
              <w:tr2bl w:val="nil"/>
            </w:tcBorders>
            <w:textDirection w:val="lrTb"/>
            <w:vAlign w:val="center"/>
          </w:tcPr>
          <w:p w:rsidR="00F96ACE" w:rsidP="00E167CA">
            <w:pPr>
              <w:spacing w:line="240" w:lineRule="auto"/>
              <w:jc w:val="center"/>
              <w:rPr>
                <w:rFonts w:ascii="Arial" w:hAnsi="Arial" w:cs="Arial"/>
                <w:color w:val="000000"/>
                <w:sz w:val="18"/>
                <w:szCs w:val="18"/>
              </w:rPr>
            </w:pPr>
            <w:r>
              <w:rPr>
                <w:rFonts w:ascii="Arial" w:hAnsi="Arial" w:cs="Arial"/>
                <w:color w:val="000000"/>
                <w:sz w:val="18"/>
                <w:szCs w:val="18"/>
              </w:rPr>
              <w:t>110</w:t>
            </w:r>
          </w:p>
        </w:tc>
        <w:tc>
          <w:tcPr>
            <w:tcW w:w="2509" w:type="dxa"/>
            <w:tcBorders>
              <w:top w:val="nil"/>
              <w:left w:val="single" w:sz="4" w:space="0" w:color="auto"/>
              <w:bottom w:val="single" w:sz="4" w:space="0" w:color="auto"/>
              <w:right w:val="single" w:sz="4" w:space="0" w:color="auto"/>
              <w:tl2br w:val="nil"/>
              <w:tr2bl w:val="nil"/>
            </w:tcBorders>
            <w:noWrap/>
            <w:textDirection w:val="lrTb"/>
            <w:vAlign w:val="center"/>
          </w:tcPr>
          <w:p w:rsidR="00F96ACE" w:rsidP="00F96ACE">
            <w:pPr>
              <w:spacing w:line="240" w:lineRule="auto"/>
              <w:jc w:val="right"/>
              <w:rPr>
                <w:rFonts w:ascii="Arial" w:hAnsi="Arial" w:cs="Arial"/>
                <w:color w:val="000000"/>
                <w:sz w:val="18"/>
                <w:szCs w:val="18"/>
              </w:rPr>
            </w:pPr>
            <w:r>
              <w:rPr>
                <w:rFonts w:ascii="Arial" w:hAnsi="Arial" w:cs="Arial"/>
                <w:color w:val="000000"/>
                <w:sz w:val="18"/>
                <w:szCs w:val="18"/>
              </w:rPr>
              <w:t>3 241</w:t>
            </w:r>
          </w:p>
        </w:tc>
      </w:tr>
      <w:tr>
        <w:tblPrEx>
          <w:tblW w:w="9375" w:type="dxa"/>
          <w:tblInd w:w="55" w:type="dxa"/>
          <w:tblCellMar>
            <w:left w:w="70" w:type="dxa"/>
            <w:right w:w="70" w:type="dxa"/>
          </w:tblCellMar>
        </w:tblPrEx>
        <w:trPr>
          <w:trHeight w:hRule="exact" w:val="284"/>
        </w:trPr>
        <w:tc>
          <w:tcPr>
            <w:tcW w:w="1041" w:type="dxa"/>
            <w:tcBorders>
              <w:top w:val="nil"/>
              <w:left w:val="single" w:sz="4" w:space="0" w:color="auto"/>
              <w:bottom w:val="single" w:sz="4" w:space="0" w:color="auto"/>
              <w:right w:val="single" w:sz="4" w:space="0" w:color="auto"/>
              <w:tl2br w:val="nil"/>
              <w:tr2bl w:val="nil"/>
            </w:tcBorders>
            <w:textDirection w:val="lrTb"/>
            <w:vAlign w:val="center"/>
          </w:tcPr>
          <w:p w:rsidR="00F96ACE" w:rsidP="00F96ACE">
            <w:pPr>
              <w:spacing w:line="240" w:lineRule="auto"/>
              <w:rPr>
                <w:rFonts w:ascii="Arial" w:hAnsi="Arial" w:cs="Arial"/>
                <w:color w:val="000000"/>
                <w:sz w:val="18"/>
                <w:szCs w:val="18"/>
              </w:rPr>
            </w:pPr>
            <w:r w:rsidR="00A078CF">
              <w:rPr>
                <w:rFonts w:ascii="Arial" w:hAnsi="Arial" w:cs="Arial"/>
                <w:color w:val="000000"/>
                <w:sz w:val="18"/>
                <w:szCs w:val="18"/>
              </w:rPr>
              <w:t>B.III.</w:t>
            </w:r>
            <w:r>
              <w:rPr>
                <w:rFonts w:ascii="Arial" w:hAnsi="Arial" w:cs="Arial"/>
                <w:color w:val="000000"/>
                <w:sz w:val="18"/>
                <w:szCs w:val="18"/>
              </w:rPr>
              <w:t>9.</w:t>
            </w:r>
          </w:p>
        </w:tc>
        <w:tc>
          <w:tcPr>
            <w:tcW w:w="5244" w:type="dxa"/>
            <w:tcBorders>
              <w:top w:val="nil"/>
              <w:left w:val="nil"/>
              <w:bottom w:val="single" w:sz="4" w:space="0" w:color="auto"/>
              <w:right w:val="single" w:sz="4" w:space="0" w:color="auto"/>
              <w:tl2br w:val="nil"/>
              <w:tr2bl w:val="nil"/>
            </w:tcBorders>
            <w:textDirection w:val="lrTb"/>
            <w:vAlign w:val="center"/>
          </w:tcPr>
          <w:p w:rsidR="00F96ACE" w:rsidP="00CD162C">
            <w:pPr>
              <w:spacing w:line="240" w:lineRule="auto"/>
              <w:jc w:val="left"/>
              <w:rPr>
                <w:rFonts w:ascii="Arial" w:hAnsi="Arial" w:cs="Arial"/>
                <w:color w:val="000000"/>
                <w:sz w:val="18"/>
                <w:szCs w:val="18"/>
              </w:rPr>
            </w:pPr>
            <w:r>
              <w:rPr>
                <w:rFonts w:ascii="Arial" w:hAnsi="Arial" w:cs="Arial"/>
                <w:color w:val="000000"/>
                <w:sz w:val="18"/>
                <w:szCs w:val="18"/>
              </w:rPr>
              <w:t>Ostatné záväzky (372A,373A,377A,379A,474A,479A,47X)</w:t>
            </w:r>
          </w:p>
        </w:tc>
        <w:tc>
          <w:tcPr>
            <w:tcW w:w="581" w:type="dxa"/>
            <w:tcBorders>
              <w:top w:val="nil"/>
              <w:left w:val="nil"/>
              <w:bottom w:val="single" w:sz="4" w:space="0" w:color="auto"/>
              <w:right w:val="single" w:sz="4" w:space="0" w:color="auto"/>
              <w:tl2br w:val="nil"/>
              <w:tr2bl w:val="nil"/>
            </w:tcBorders>
            <w:textDirection w:val="lrTb"/>
            <w:vAlign w:val="center"/>
          </w:tcPr>
          <w:p w:rsidR="00F96ACE" w:rsidP="00E167CA">
            <w:pPr>
              <w:spacing w:line="240" w:lineRule="auto"/>
              <w:jc w:val="center"/>
              <w:rPr>
                <w:rFonts w:ascii="Arial" w:hAnsi="Arial" w:cs="Arial"/>
                <w:color w:val="000000"/>
                <w:sz w:val="18"/>
                <w:szCs w:val="18"/>
              </w:rPr>
            </w:pPr>
            <w:r>
              <w:rPr>
                <w:rFonts w:ascii="Arial" w:hAnsi="Arial" w:cs="Arial"/>
                <w:color w:val="000000"/>
                <w:sz w:val="18"/>
                <w:szCs w:val="18"/>
              </w:rPr>
              <w:t>111</w:t>
            </w:r>
          </w:p>
        </w:tc>
        <w:tc>
          <w:tcPr>
            <w:tcW w:w="2509" w:type="dxa"/>
            <w:tcBorders>
              <w:top w:val="nil"/>
              <w:left w:val="single" w:sz="4" w:space="0" w:color="auto"/>
              <w:bottom w:val="single" w:sz="4" w:space="0" w:color="auto"/>
              <w:right w:val="single" w:sz="4" w:space="0" w:color="auto"/>
              <w:tl2br w:val="nil"/>
              <w:tr2bl w:val="nil"/>
            </w:tcBorders>
            <w:noWrap/>
            <w:textDirection w:val="lrTb"/>
            <w:vAlign w:val="center"/>
          </w:tcPr>
          <w:p w:rsidR="00F96ACE" w:rsidP="00F96ACE">
            <w:pPr>
              <w:spacing w:line="240" w:lineRule="auto"/>
              <w:jc w:val="right"/>
              <w:rPr>
                <w:rFonts w:ascii="Arial" w:hAnsi="Arial" w:cs="Arial"/>
                <w:color w:val="000000"/>
                <w:sz w:val="18"/>
                <w:szCs w:val="18"/>
              </w:rPr>
            </w:pPr>
            <w:r>
              <w:rPr>
                <w:rFonts w:ascii="Arial" w:hAnsi="Arial" w:cs="Arial"/>
                <w:color w:val="000000"/>
                <w:sz w:val="18"/>
                <w:szCs w:val="18"/>
              </w:rPr>
              <w:t>209 025</w:t>
            </w:r>
          </w:p>
        </w:tc>
      </w:tr>
      <w:tr>
        <w:tblPrEx>
          <w:tblW w:w="9375" w:type="dxa"/>
          <w:tblInd w:w="55" w:type="dxa"/>
          <w:tblCellMar>
            <w:left w:w="70" w:type="dxa"/>
            <w:right w:w="70" w:type="dxa"/>
          </w:tblCellMar>
        </w:tblPrEx>
        <w:trPr>
          <w:trHeight w:hRule="exact" w:val="284"/>
        </w:trPr>
        <w:tc>
          <w:tcPr>
            <w:tcW w:w="1041" w:type="dxa"/>
            <w:tcBorders>
              <w:top w:val="nil"/>
              <w:left w:val="single" w:sz="4" w:space="0" w:color="auto"/>
              <w:bottom w:val="single" w:sz="4" w:space="0" w:color="auto"/>
              <w:right w:val="single" w:sz="4" w:space="0" w:color="auto"/>
              <w:tl2br w:val="nil"/>
              <w:tr2bl w:val="nil"/>
            </w:tcBorders>
            <w:textDirection w:val="lrTb"/>
            <w:vAlign w:val="center"/>
          </w:tcPr>
          <w:p w:rsidR="00F96ACE" w:rsidP="00F96ACE">
            <w:pPr>
              <w:spacing w:line="240" w:lineRule="auto"/>
              <w:rPr>
                <w:rFonts w:ascii="Arial" w:hAnsi="Arial" w:cs="Arial"/>
                <w:color w:val="000000"/>
                <w:sz w:val="18"/>
                <w:szCs w:val="18"/>
              </w:rPr>
            </w:pPr>
            <w:r>
              <w:rPr>
                <w:rFonts w:ascii="Arial" w:hAnsi="Arial" w:cs="Arial"/>
                <w:color w:val="000000"/>
                <w:sz w:val="18"/>
                <w:szCs w:val="18"/>
              </w:rPr>
              <w:t>B.lV.</w:t>
            </w:r>
          </w:p>
        </w:tc>
        <w:tc>
          <w:tcPr>
            <w:tcW w:w="5244" w:type="dxa"/>
            <w:tcBorders>
              <w:top w:val="nil"/>
              <w:left w:val="nil"/>
              <w:bottom w:val="single" w:sz="4" w:space="0" w:color="auto"/>
              <w:right w:val="single" w:sz="4" w:space="0" w:color="auto"/>
              <w:tl2br w:val="nil"/>
              <w:tr2bl w:val="nil"/>
            </w:tcBorders>
            <w:textDirection w:val="lrTb"/>
            <w:vAlign w:val="center"/>
          </w:tcPr>
          <w:p w:rsidR="00F96ACE" w:rsidP="00CD162C">
            <w:pPr>
              <w:spacing w:line="240" w:lineRule="auto"/>
              <w:jc w:val="left"/>
              <w:rPr>
                <w:rFonts w:ascii="Arial" w:hAnsi="Arial" w:cs="Arial"/>
                <w:color w:val="000000"/>
                <w:sz w:val="18"/>
                <w:szCs w:val="18"/>
              </w:rPr>
            </w:pPr>
            <w:r>
              <w:rPr>
                <w:rFonts w:ascii="Arial" w:hAnsi="Arial" w:cs="Arial"/>
                <w:color w:val="000000"/>
                <w:sz w:val="18"/>
                <w:szCs w:val="18"/>
              </w:rPr>
              <w:t>Bankové úvery a výpomoci súčet (r. 113 až 115)</w:t>
            </w:r>
          </w:p>
        </w:tc>
        <w:tc>
          <w:tcPr>
            <w:tcW w:w="581" w:type="dxa"/>
            <w:tcBorders>
              <w:top w:val="nil"/>
              <w:left w:val="nil"/>
              <w:bottom w:val="single" w:sz="4" w:space="0" w:color="auto"/>
              <w:right w:val="single" w:sz="4" w:space="0" w:color="auto"/>
              <w:tl2br w:val="nil"/>
              <w:tr2bl w:val="nil"/>
            </w:tcBorders>
            <w:textDirection w:val="lrTb"/>
            <w:vAlign w:val="center"/>
          </w:tcPr>
          <w:p w:rsidR="00F96ACE" w:rsidP="00E167CA">
            <w:pPr>
              <w:spacing w:line="240" w:lineRule="auto"/>
              <w:jc w:val="center"/>
              <w:rPr>
                <w:rFonts w:ascii="Arial" w:hAnsi="Arial" w:cs="Arial"/>
                <w:color w:val="000000"/>
                <w:sz w:val="18"/>
                <w:szCs w:val="18"/>
              </w:rPr>
            </w:pPr>
            <w:r>
              <w:rPr>
                <w:rFonts w:ascii="Arial" w:hAnsi="Arial" w:cs="Arial"/>
                <w:color w:val="000000"/>
                <w:sz w:val="18"/>
                <w:szCs w:val="18"/>
              </w:rPr>
              <w:t>112</w:t>
            </w:r>
          </w:p>
        </w:tc>
        <w:tc>
          <w:tcPr>
            <w:tcW w:w="2509" w:type="dxa"/>
            <w:tcBorders>
              <w:top w:val="nil"/>
              <w:left w:val="single" w:sz="4" w:space="0" w:color="auto"/>
              <w:bottom w:val="single" w:sz="4" w:space="0" w:color="auto"/>
              <w:right w:val="single" w:sz="4" w:space="0" w:color="auto"/>
              <w:tl2br w:val="nil"/>
              <w:tr2bl w:val="nil"/>
            </w:tcBorders>
            <w:noWrap/>
            <w:textDirection w:val="lrTb"/>
            <w:vAlign w:val="center"/>
          </w:tcPr>
          <w:p w:rsidR="00F96ACE" w:rsidP="00F96ACE">
            <w:pPr>
              <w:spacing w:line="240" w:lineRule="auto"/>
              <w:jc w:val="right"/>
              <w:rPr>
                <w:rFonts w:ascii="Arial" w:hAnsi="Arial" w:cs="Arial"/>
                <w:color w:val="000000"/>
                <w:sz w:val="18"/>
                <w:szCs w:val="18"/>
              </w:rPr>
            </w:pPr>
            <w:r>
              <w:rPr>
                <w:rFonts w:ascii="Arial" w:hAnsi="Arial" w:cs="Arial"/>
                <w:color w:val="000000"/>
                <w:sz w:val="18"/>
                <w:szCs w:val="18"/>
              </w:rPr>
              <w:t>16 800 049</w:t>
            </w:r>
          </w:p>
        </w:tc>
      </w:tr>
      <w:tr>
        <w:tblPrEx>
          <w:tblW w:w="9375" w:type="dxa"/>
          <w:tblInd w:w="55" w:type="dxa"/>
          <w:tblCellMar>
            <w:left w:w="70" w:type="dxa"/>
            <w:right w:w="70" w:type="dxa"/>
          </w:tblCellMar>
        </w:tblPrEx>
        <w:trPr>
          <w:trHeight w:hRule="exact" w:val="284"/>
        </w:trPr>
        <w:tc>
          <w:tcPr>
            <w:tcW w:w="1041" w:type="dxa"/>
            <w:tcBorders>
              <w:top w:val="nil"/>
              <w:left w:val="single" w:sz="4" w:space="0" w:color="auto"/>
              <w:bottom w:val="single" w:sz="4" w:space="0" w:color="auto"/>
              <w:right w:val="single" w:sz="4" w:space="0" w:color="auto"/>
              <w:tl2br w:val="nil"/>
              <w:tr2bl w:val="nil"/>
            </w:tcBorders>
            <w:textDirection w:val="lrTb"/>
            <w:vAlign w:val="center"/>
          </w:tcPr>
          <w:p w:rsidR="00F96ACE" w:rsidP="00F96ACE">
            <w:pPr>
              <w:spacing w:line="240" w:lineRule="auto"/>
              <w:rPr>
                <w:rFonts w:ascii="Arial" w:hAnsi="Arial" w:cs="Arial"/>
                <w:color w:val="000000"/>
                <w:sz w:val="18"/>
                <w:szCs w:val="18"/>
              </w:rPr>
            </w:pPr>
            <w:r>
              <w:rPr>
                <w:rFonts w:ascii="Arial" w:hAnsi="Arial" w:cs="Arial"/>
                <w:color w:val="000000"/>
                <w:sz w:val="18"/>
                <w:szCs w:val="18"/>
              </w:rPr>
              <w:t>B.lV.1.</w:t>
            </w:r>
          </w:p>
        </w:tc>
        <w:tc>
          <w:tcPr>
            <w:tcW w:w="5244" w:type="dxa"/>
            <w:tcBorders>
              <w:top w:val="nil"/>
              <w:left w:val="nil"/>
              <w:bottom w:val="single" w:sz="4" w:space="0" w:color="auto"/>
              <w:right w:val="single" w:sz="4" w:space="0" w:color="auto"/>
              <w:tl2br w:val="nil"/>
              <w:tr2bl w:val="nil"/>
            </w:tcBorders>
            <w:textDirection w:val="lrTb"/>
            <w:vAlign w:val="center"/>
          </w:tcPr>
          <w:p w:rsidR="00F96ACE" w:rsidP="00CD162C">
            <w:pPr>
              <w:spacing w:line="240" w:lineRule="auto"/>
              <w:jc w:val="left"/>
              <w:rPr>
                <w:rFonts w:ascii="Arial" w:hAnsi="Arial" w:cs="Arial"/>
                <w:color w:val="000000"/>
                <w:sz w:val="18"/>
                <w:szCs w:val="18"/>
              </w:rPr>
            </w:pPr>
            <w:r>
              <w:rPr>
                <w:rFonts w:ascii="Arial" w:hAnsi="Arial" w:cs="Arial"/>
                <w:color w:val="000000"/>
                <w:sz w:val="18"/>
                <w:szCs w:val="18"/>
              </w:rPr>
              <w:t>Bankové úvery dlhodobé (461A,46XA)</w:t>
            </w:r>
          </w:p>
        </w:tc>
        <w:tc>
          <w:tcPr>
            <w:tcW w:w="581" w:type="dxa"/>
            <w:tcBorders>
              <w:top w:val="nil"/>
              <w:left w:val="nil"/>
              <w:bottom w:val="single" w:sz="4" w:space="0" w:color="auto"/>
              <w:right w:val="single" w:sz="4" w:space="0" w:color="auto"/>
              <w:tl2br w:val="nil"/>
              <w:tr2bl w:val="nil"/>
            </w:tcBorders>
            <w:textDirection w:val="lrTb"/>
            <w:vAlign w:val="center"/>
          </w:tcPr>
          <w:p w:rsidR="00F96ACE" w:rsidP="00E167CA">
            <w:pPr>
              <w:spacing w:line="240" w:lineRule="auto"/>
              <w:jc w:val="center"/>
              <w:rPr>
                <w:rFonts w:ascii="Arial" w:hAnsi="Arial" w:cs="Arial"/>
                <w:color w:val="000000"/>
                <w:sz w:val="18"/>
                <w:szCs w:val="18"/>
              </w:rPr>
            </w:pPr>
            <w:r>
              <w:rPr>
                <w:rFonts w:ascii="Arial" w:hAnsi="Arial" w:cs="Arial"/>
                <w:color w:val="000000"/>
                <w:sz w:val="18"/>
                <w:szCs w:val="18"/>
              </w:rPr>
              <w:t>113</w:t>
            </w:r>
          </w:p>
        </w:tc>
        <w:tc>
          <w:tcPr>
            <w:tcW w:w="2509" w:type="dxa"/>
            <w:tcBorders>
              <w:top w:val="nil"/>
              <w:left w:val="single" w:sz="4" w:space="0" w:color="auto"/>
              <w:bottom w:val="single" w:sz="4" w:space="0" w:color="auto"/>
              <w:right w:val="single" w:sz="4" w:space="0" w:color="auto"/>
              <w:tl2br w:val="nil"/>
              <w:tr2bl w:val="nil"/>
            </w:tcBorders>
            <w:noWrap/>
            <w:textDirection w:val="lrTb"/>
            <w:vAlign w:val="center"/>
          </w:tcPr>
          <w:p w:rsidR="00F96ACE" w:rsidP="00F96ACE">
            <w:pPr>
              <w:spacing w:line="240" w:lineRule="auto"/>
              <w:jc w:val="right"/>
              <w:rPr>
                <w:rFonts w:ascii="Arial" w:hAnsi="Arial" w:cs="Arial"/>
                <w:color w:val="000000"/>
                <w:sz w:val="18"/>
                <w:szCs w:val="18"/>
              </w:rPr>
            </w:pPr>
            <w:r>
              <w:rPr>
                <w:rFonts w:ascii="Arial" w:hAnsi="Arial" w:cs="Arial"/>
                <w:color w:val="000000"/>
                <w:sz w:val="18"/>
                <w:szCs w:val="18"/>
              </w:rPr>
              <w:t>16 800 000</w:t>
            </w:r>
          </w:p>
        </w:tc>
      </w:tr>
      <w:tr>
        <w:tblPrEx>
          <w:tblW w:w="9375" w:type="dxa"/>
          <w:tblInd w:w="55" w:type="dxa"/>
          <w:tblCellMar>
            <w:left w:w="70" w:type="dxa"/>
            <w:right w:w="70" w:type="dxa"/>
          </w:tblCellMar>
        </w:tblPrEx>
        <w:trPr>
          <w:trHeight w:hRule="exact" w:val="284"/>
        </w:trPr>
        <w:tc>
          <w:tcPr>
            <w:tcW w:w="1041" w:type="dxa"/>
            <w:tcBorders>
              <w:top w:val="nil"/>
              <w:left w:val="single" w:sz="4" w:space="0" w:color="auto"/>
              <w:bottom w:val="single" w:sz="4" w:space="0" w:color="auto"/>
              <w:right w:val="single" w:sz="4" w:space="0" w:color="auto"/>
              <w:tl2br w:val="nil"/>
              <w:tr2bl w:val="nil"/>
            </w:tcBorders>
            <w:textDirection w:val="lrTb"/>
            <w:vAlign w:val="center"/>
          </w:tcPr>
          <w:p w:rsidR="00F96ACE" w:rsidP="00F96ACE">
            <w:pPr>
              <w:spacing w:line="240" w:lineRule="auto"/>
              <w:rPr>
                <w:rFonts w:ascii="Arial" w:hAnsi="Arial" w:cs="Arial"/>
                <w:color w:val="000000"/>
                <w:sz w:val="18"/>
                <w:szCs w:val="18"/>
              </w:rPr>
            </w:pPr>
            <w:r w:rsidR="00A078CF">
              <w:rPr>
                <w:rFonts w:ascii="Arial" w:hAnsi="Arial" w:cs="Arial"/>
                <w:color w:val="000000"/>
                <w:sz w:val="18"/>
                <w:szCs w:val="18"/>
              </w:rPr>
              <w:t>B.IV.</w:t>
            </w:r>
            <w:r>
              <w:rPr>
                <w:rFonts w:ascii="Arial" w:hAnsi="Arial" w:cs="Arial"/>
                <w:color w:val="000000"/>
                <w:sz w:val="18"/>
                <w:szCs w:val="18"/>
              </w:rPr>
              <w:t>2.</w:t>
            </w:r>
          </w:p>
        </w:tc>
        <w:tc>
          <w:tcPr>
            <w:tcW w:w="5244" w:type="dxa"/>
            <w:tcBorders>
              <w:top w:val="nil"/>
              <w:left w:val="nil"/>
              <w:bottom w:val="single" w:sz="4" w:space="0" w:color="auto"/>
              <w:right w:val="single" w:sz="4" w:space="0" w:color="auto"/>
              <w:tl2br w:val="nil"/>
              <w:tr2bl w:val="nil"/>
            </w:tcBorders>
            <w:textDirection w:val="lrTb"/>
            <w:vAlign w:val="center"/>
          </w:tcPr>
          <w:p w:rsidR="00F96ACE" w:rsidP="00CD162C">
            <w:pPr>
              <w:spacing w:line="240" w:lineRule="auto"/>
              <w:jc w:val="left"/>
              <w:rPr>
                <w:rFonts w:ascii="Arial" w:hAnsi="Arial" w:cs="Arial"/>
                <w:color w:val="000000"/>
                <w:sz w:val="18"/>
                <w:szCs w:val="18"/>
              </w:rPr>
            </w:pPr>
            <w:r>
              <w:rPr>
                <w:rFonts w:ascii="Arial" w:hAnsi="Arial" w:cs="Arial"/>
                <w:color w:val="000000"/>
                <w:sz w:val="18"/>
                <w:szCs w:val="18"/>
              </w:rPr>
              <w:t>Bežné bankové úvery (221A,231,232,23X,461A,46XA)</w:t>
            </w:r>
          </w:p>
        </w:tc>
        <w:tc>
          <w:tcPr>
            <w:tcW w:w="581" w:type="dxa"/>
            <w:tcBorders>
              <w:top w:val="nil"/>
              <w:left w:val="nil"/>
              <w:bottom w:val="single" w:sz="4" w:space="0" w:color="auto"/>
              <w:right w:val="single" w:sz="4" w:space="0" w:color="auto"/>
              <w:tl2br w:val="nil"/>
              <w:tr2bl w:val="nil"/>
            </w:tcBorders>
            <w:textDirection w:val="lrTb"/>
            <w:vAlign w:val="center"/>
          </w:tcPr>
          <w:p w:rsidR="00F96ACE" w:rsidP="00E167CA">
            <w:pPr>
              <w:spacing w:line="240" w:lineRule="auto"/>
              <w:jc w:val="center"/>
              <w:rPr>
                <w:rFonts w:ascii="Arial" w:hAnsi="Arial" w:cs="Arial"/>
                <w:color w:val="000000"/>
                <w:sz w:val="18"/>
                <w:szCs w:val="18"/>
              </w:rPr>
            </w:pPr>
            <w:r>
              <w:rPr>
                <w:rFonts w:ascii="Arial" w:hAnsi="Arial" w:cs="Arial"/>
                <w:color w:val="000000"/>
                <w:sz w:val="18"/>
                <w:szCs w:val="18"/>
              </w:rPr>
              <w:t>114</w:t>
            </w:r>
          </w:p>
        </w:tc>
        <w:tc>
          <w:tcPr>
            <w:tcW w:w="2509" w:type="dxa"/>
            <w:tcBorders>
              <w:top w:val="nil"/>
              <w:left w:val="single" w:sz="4" w:space="0" w:color="auto"/>
              <w:bottom w:val="single" w:sz="4" w:space="0" w:color="auto"/>
              <w:right w:val="single" w:sz="4" w:space="0" w:color="auto"/>
              <w:tl2br w:val="nil"/>
              <w:tr2bl w:val="nil"/>
            </w:tcBorders>
            <w:noWrap/>
            <w:textDirection w:val="lrTb"/>
            <w:vAlign w:val="center"/>
          </w:tcPr>
          <w:p w:rsidR="00F96ACE" w:rsidP="00F96ACE">
            <w:pPr>
              <w:spacing w:line="240" w:lineRule="auto"/>
              <w:jc w:val="right"/>
              <w:rPr>
                <w:rFonts w:ascii="Arial" w:hAnsi="Arial" w:cs="Arial"/>
                <w:color w:val="000000"/>
                <w:sz w:val="18"/>
                <w:szCs w:val="18"/>
              </w:rPr>
            </w:pPr>
            <w:r>
              <w:rPr>
                <w:rFonts w:ascii="Arial" w:hAnsi="Arial" w:cs="Arial"/>
                <w:color w:val="000000"/>
                <w:sz w:val="18"/>
                <w:szCs w:val="18"/>
              </w:rPr>
              <w:t>49</w:t>
            </w:r>
          </w:p>
        </w:tc>
      </w:tr>
      <w:tr>
        <w:tblPrEx>
          <w:tblW w:w="9375" w:type="dxa"/>
          <w:tblInd w:w="55" w:type="dxa"/>
          <w:tblCellMar>
            <w:left w:w="70" w:type="dxa"/>
            <w:right w:w="70" w:type="dxa"/>
          </w:tblCellMar>
        </w:tblPrEx>
        <w:trPr>
          <w:trHeight w:hRule="exact" w:val="284"/>
        </w:trPr>
        <w:tc>
          <w:tcPr>
            <w:tcW w:w="1041" w:type="dxa"/>
            <w:tcBorders>
              <w:top w:val="nil"/>
              <w:left w:val="single" w:sz="4" w:space="0" w:color="auto"/>
              <w:bottom w:val="single" w:sz="4" w:space="0" w:color="auto"/>
              <w:right w:val="single" w:sz="4" w:space="0" w:color="auto"/>
              <w:tl2br w:val="nil"/>
              <w:tr2bl w:val="nil"/>
            </w:tcBorders>
            <w:textDirection w:val="lrTb"/>
            <w:vAlign w:val="center"/>
          </w:tcPr>
          <w:p w:rsidR="00F96ACE" w:rsidP="00F96ACE">
            <w:pPr>
              <w:spacing w:line="240" w:lineRule="auto"/>
              <w:rPr>
                <w:rFonts w:ascii="Arial" w:hAnsi="Arial" w:cs="Arial"/>
                <w:color w:val="000000"/>
                <w:sz w:val="18"/>
                <w:szCs w:val="18"/>
              </w:rPr>
            </w:pPr>
            <w:r>
              <w:rPr>
                <w:rFonts w:ascii="Arial" w:hAnsi="Arial" w:cs="Arial"/>
                <w:color w:val="000000"/>
                <w:sz w:val="18"/>
                <w:szCs w:val="18"/>
              </w:rPr>
              <w:t>C.</w:t>
            </w:r>
          </w:p>
        </w:tc>
        <w:tc>
          <w:tcPr>
            <w:tcW w:w="5244" w:type="dxa"/>
            <w:tcBorders>
              <w:top w:val="nil"/>
              <w:left w:val="nil"/>
              <w:bottom w:val="single" w:sz="4" w:space="0" w:color="auto"/>
              <w:right w:val="single" w:sz="4" w:space="0" w:color="auto"/>
              <w:tl2br w:val="nil"/>
              <w:tr2bl w:val="nil"/>
            </w:tcBorders>
            <w:textDirection w:val="lrTb"/>
            <w:vAlign w:val="center"/>
          </w:tcPr>
          <w:p w:rsidR="00F96ACE" w:rsidP="00CD162C">
            <w:pPr>
              <w:spacing w:line="240" w:lineRule="auto"/>
              <w:jc w:val="left"/>
              <w:rPr>
                <w:rFonts w:ascii="Arial" w:hAnsi="Arial" w:cs="Arial"/>
                <w:color w:val="000000"/>
                <w:sz w:val="18"/>
                <w:szCs w:val="18"/>
              </w:rPr>
            </w:pPr>
            <w:r>
              <w:rPr>
                <w:rFonts w:ascii="Arial" w:hAnsi="Arial" w:cs="Arial"/>
                <w:color w:val="000000"/>
                <w:sz w:val="18"/>
                <w:szCs w:val="18"/>
              </w:rPr>
              <w:t>Časové rozlíšenie súčet (r. 117 a 118)</w:t>
            </w:r>
          </w:p>
        </w:tc>
        <w:tc>
          <w:tcPr>
            <w:tcW w:w="581" w:type="dxa"/>
            <w:tcBorders>
              <w:top w:val="nil"/>
              <w:left w:val="nil"/>
              <w:bottom w:val="single" w:sz="4" w:space="0" w:color="auto"/>
              <w:right w:val="single" w:sz="4" w:space="0" w:color="auto"/>
              <w:tl2br w:val="nil"/>
              <w:tr2bl w:val="nil"/>
            </w:tcBorders>
            <w:textDirection w:val="lrTb"/>
            <w:vAlign w:val="center"/>
          </w:tcPr>
          <w:p w:rsidR="00F96ACE" w:rsidP="00E167CA">
            <w:pPr>
              <w:spacing w:line="240" w:lineRule="auto"/>
              <w:jc w:val="center"/>
              <w:rPr>
                <w:rFonts w:ascii="Arial" w:hAnsi="Arial" w:cs="Arial"/>
                <w:color w:val="000000"/>
                <w:sz w:val="18"/>
                <w:szCs w:val="18"/>
              </w:rPr>
            </w:pPr>
            <w:r>
              <w:rPr>
                <w:rFonts w:ascii="Arial" w:hAnsi="Arial" w:cs="Arial"/>
                <w:color w:val="000000"/>
                <w:sz w:val="18"/>
                <w:szCs w:val="18"/>
              </w:rPr>
              <w:t>116</w:t>
            </w:r>
          </w:p>
        </w:tc>
        <w:tc>
          <w:tcPr>
            <w:tcW w:w="2509" w:type="dxa"/>
            <w:tcBorders>
              <w:top w:val="nil"/>
              <w:left w:val="single" w:sz="4" w:space="0" w:color="auto"/>
              <w:bottom w:val="single" w:sz="4" w:space="0" w:color="auto"/>
              <w:right w:val="single" w:sz="4" w:space="0" w:color="auto"/>
              <w:tl2br w:val="nil"/>
              <w:tr2bl w:val="nil"/>
            </w:tcBorders>
            <w:noWrap/>
            <w:textDirection w:val="lrTb"/>
            <w:vAlign w:val="center"/>
          </w:tcPr>
          <w:p w:rsidR="00F96ACE" w:rsidP="00F96ACE">
            <w:pPr>
              <w:spacing w:line="240" w:lineRule="auto"/>
              <w:jc w:val="right"/>
              <w:rPr>
                <w:rFonts w:ascii="Arial" w:hAnsi="Arial" w:cs="Arial"/>
                <w:color w:val="000000"/>
                <w:sz w:val="18"/>
                <w:szCs w:val="18"/>
              </w:rPr>
            </w:pPr>
            <w:r>
              <w:rPr>
                <w:rFonts w:ascii="Arial" w:hAnsi="Arial" w:cs="Arial"/>
                <w:color w:val="000000"/>
                <w:sz w:val="18"/>
                <w:szCs w:val="18"/>
              </w:rPr>
              <w:t>33 480 481</w:t>
            </w:r>
          </w:p>
        </w:tc>
      </w:tr>
      <w:tr>
        <w:tblPrEx>
          <w:tblW w:w="9375" w:type="dxa"/>
          <w:tblInd w:w="55" w:type="dxa"/>
          <w:tblCellMar>
            <w:left w:w="70" w:type="dxa"/>
            <w:right w:w="70" w:type="dxa"/>
          </w:tblCellMar>
        </w:tblPrEx>
        <w:trPr>
          <w:trHeight w:hRule="exact" w:val="284"/>
        </w:trPr>
        <w:tc>
          <w:tcPr>
            <w:tcW w:w="1041" w:type="dxa"/>
            <w:tcBorders>
              <w:top w:val="nil"/>
              <w:left w:val="single" w:sz="4" w:space="0" w:color="auto"/>
              <w:bottom w:val="single" w:sz="4" w:space="0" w:color="auto"/>
              <w:right w:val="single" w:sz="4" w:space="0" w:color="auto"/>
              <w:tl2br w:val="nil"/>
              <w:tr2bl w:val="nil"/>
            </w:tcBorders>
            <w:textDirection w:val="lrTb"/>
            <w:vAlign w:val="center"/>
          </w:tcPr>
          <w:p w:rsidR="00F96ACE" w:rsidP="00F96ACE">
            <w:pPr>
              <w:spacing w:line="240" w:lineRule="auto"/>
              <w:rPr>
                <w:rFonts w:ascii="Arial" w:hAnsi="Arial" w:cs="Arial"/>
                <w:color w:val="000000"/>
                <w:sz w:val="18"/>
                <w:szCs w:val="18"/>
              </w:rPr>
            </w:pPr>
            <w:r>
              <w:rPr>
                <w:rFonts w:ascii="Arial" w:hAnsi="Arial" w:cs="Arial"/>
                <w:color w:val="000000"/>
                <w:sz w:val="18"/>
                <w:szCs w:val="18"/>
              </w:rPr>
              <w:t>C.1.</w:t>
            </w:r>
          </w:p>
        </w:tc>
        <w:tc>
          <w:tcPr>
            <w:tcW w:w="5244" w:type="dxa"/>
            <w:tcBorders>
              <w:top w:val="nil"/>
              <w:left w:val="nil"/>
              <w:bottom w:val="single" w:sz="4" w:space="0" w:color="auto"/>
              <w:right w:val="single" w:sz="4" w:space="0" w:color="auto"/>
              <w:tl2br w:val="nil"/>
              <w:tr2bl w:val="nil"/>
            </w:tcBorders>
            <w:textDirection w:val="lrTb"/>
            <w:vAlign w:val="center"/>
          </w:tcPr>
          <w:p w:rsidR="00F96ACE" w:rsidP="00CD162C">
            <w:pPr>
              <w:spacing w:line="240" w:lineRule="auto"/>
              <w:jc w:val="left"/>
              <w:rPr>
                <w:rFonts w:ascii="Arial" w:hAnsi="Arial" w:cs="Arial"/>
                <w:color w:val="000000"/>
                <w:sz w:val="18"/>
                <w:szCs w:val="18"/>
              </w:rPr>
            </w:pPr>
            <w:r>
              <w:rPr>
                <w:rFonts w:ascii="Arial" w:hAnsi="Arial" w:cs="Arial"/>
                <w:color w:val="000000"/>
                <w:sz w:val="18"/>
                <w:szCs w:val="18"/>
              </w:rPr>
              <w:t>Výdavky budúcich období (383)</w:t>
            </w:r>
          </w:p>
        </w:tc>
        <w:tc>
          <w:tcPr>
            <w:tcW w:w="581" w:type="dxa"/>
            <w:tcBorders>
              <w:top w:val="nil"/>
              <w:left w:val="nil"/>
              <w:bottom w:val="single" w:sz="4" w:space="0" w:color="auto"/>
              <w:right w:val="single" w:sz="4" w:space="0" w:color="auto"/>
              <w:tl2br w:val="nil"/>
              <w:tr2bl w:val="nil"/>
            </w:tcBorders>
            <w:textDirection w:val="lrTb"/>
            <w:vAlign w:val="center"/>
          </w:tcPr>
          <w:p w:rsidR="00F96ACE" w:rsidP="00E167CA">
            <w:pPr>
              <w:spacing w:line="240" w:lineRule="auto"/>
              <w:jc w:val="center"/>
              <w:rPr>
                <w:rFonts w:ascii="Arial" w:hAnsi="Arial" w:cs="Arial"/>
                <w:color w:val="000000"/>
                <w:sz w:val="18"/>
                <w:szCs w:val="18"/>
              </w:rPr>
            </w:pPr>
            <w:r>
              <w:rPr>
                <w:rFonts w:ascii="Arial" w:hAnsi="Arial" w:cs="Arial"/>
                <w:color w:val="000000"/>
                <w:sz w:val="18"/>
                <w:szCs w:val="18"/>
              </w:rPr>
              <w:t>117</w:t>
            </w:r>
          </w:p>
        </w:tc>
        <w:tc>
          <w:tcPr>
            <w:tcW w:w="2509" w:type="dxa"/>
            <w:tcBorders>
              <w:top w:val="nil"/>
              <w:left w:val="single" w:sz="4" w:space="0" w:color="auto"/>
              <w:bottom w:val="single" w:sz="4" w:space="0" w:color="auto"/>
              <w:right w:val="single" w:sz="4" w:space="0" w:color="auto"/>
              <w:tl2br w:val="nil"/>
              <w:tr2bl w:val="nil"/>
            </w:tcBorders>
            <w:noWrap/>
            <w:textDirection w:val="lrTb"/>
            <w:vAlign w:val="center"/>
          </w:tcPr>
          <w:p w:rsidR="00F96ACE" w:rsidP="00F96ACE">
            <w:pPr>
              <w:spacing w:line="240" w:lineRule="auto"/>
              <w:jc w:val="right"/>
              <w:rPr>
                <w:rFonts w:ascii="Arial" w:hAnsi="Arial" w:cs="Arial"/>
                <w:color w:val="000000"/>
                <w:sz w:val="18"/>
                <w:szCs w:val="18"/>
              </w:rPr>
            </w:pPr>
            <w:r>
              <w:rPr>
                <w:rFonts w:ascii="Arial" w:hAnsi="Arial" w:cs="Arial"/>
                <w:color w:val="000000"/>
                <w:sz w:val="18"/>
                <w:szCs w:val="18"/>
              </w:rPr>
              <w:t>95</w:t>
            </w:r>
          </w:p>
        </w:tc>
      </w:tr>
      <w:tr>
        <w:tblPrEx>
          <w:tblW w:w="9375" w:type="dxa"/>
          <w:tblInd w:w="55" w:type="dxa"/>
          <w:tblCellMar>
            <w:left w:w="70" w:type="dxa"/>
            <w:right w:w="70" w:type="dxa"/>
          </w:tblCellMar>
        </w:tblPrEx>
        <w:trPr>
          <w:trHeight w:hRule="exact" w:val="284"/>
        </w:trPr>
        <w:tc>
          <w:tcPr>
            <w:tcW w:w="1041" w:type="dxa"/>
            <w:tcBorders>
              <w:top w:val="nil"/>
              <w:left w:val="single" w:sz="4" w:space="0" w:color="auto"/>
              <w:bottom w:val="single" w:sz="4" w:space="0" w:color="auto"/>
              <w:right w:val="single" w:sz="4" w:space="0" w:color="auto"/>
              <w:tl2br w:val="nil"/>
              <w:tr2bl w:val="nil"/>
            </w:tcBorders>
            <w:textDirection w:val="lrTb"/>
            <w:vAlign w:val="center"/>
          </w:tcPr>
          <w:p w:rsidR="00F96ACE" w:rsidP="00F96ACE">
            <w:pPr>
              <w:spacing w:line="240" w:lineRule="auto"/>
              <w:rPr>
                <w:rFonts w:ascii="Arial" w:hAnsi="Arial" w:cs="Arial"/>
                <w:color w:val="000000"/>
                <w:sz w:val="18"/>
                <w:szCs w:val="18"/>
              </w:rPr>
            </w:pPr>
            <w:r w:rsidR="00A078CF">
              <w:rPr>
                <w:rFonts w:ascii="Arial" w:hAnsi="Arial" w:cs="Arial"/>
                <w:color w:val="000000"/>
                <w:sz w:val="18"/>
                <w:szCs w:val="18"/>
              </w:rPr>
              <w:t>C.</w:t>
            </w:r>
            <w:r>
              <w:rPr>
                <w:rFonts w:ascii="Arial" w:hAnsi="Arial" w:cs="Arial"/>
                <w:color w:val="000000"/>
                <w:sz w:val="18"/>
                <w:szCs w:val="18"/>
              </w:rPr>
              <w:t>2.</w:t>
            </w:r>
          </w:p>
        </w:tc>
        <w:tc>
          <w:tcPr>
            <w:tcW w:w="5244" w:type="dxa"/>
            <w:tcBorders>
              <w:top w:val="nil"/>
              <w:left w:val="nil"/>
              <w:bottom w:val="single" w:sz="4" w:space="0" w:color="auto"/>
              <w:right w:val="single" w:sz="4" w:space="0" w:color="auto"/>
              <w:tl2br w:val="nil"/>
              <w:tr2bl w:val="nil"/>
            </w:tcBorders>
            <w:textDirection w:val="lrTb"/>
            <w:vAlign w:val="center"/>
          </w:tcPr>
          <w:p w:rsidR="00F96ACE" w:rsidP="00CD162C">
            <w:pPr>
              <w:spacing w:line="240" w:lineRule="auto"/>
              <w:jc w:val="left"/>
              <w:rPr>
                <w:rFonts w:ascii="Arial" w:hAnsi="Arial" w:cs="Arial"/>
                <w:color w:val="000000"/>
                <w:sz w:val="18"/>
                <w:szCs w:val="18"/>
              </w:rPr>
            </w:pPr>
            <w:r>
              <w:rPr>
                <w:rFonts w:ascii="Arial" w:hAnsi="Arial" w:cs="Arial"/>
                <w:color w:val="000000"/>
                <w:sz w:val="18"/>
                <w:szCs w:val="18"/>
              </w:rPr>
              <w:t>Výnosy budúcich období (384)</w:t>
            </w:r>
          </w:p>
        </w:tc>
        <w:tc>
          <w:tcPr>
            <w:tcW w:w="581" w:type="dxa"/>
            <w:tcBorders>
              <w:top w:val="nil"/>
              <w:left w:val="nil"/>
              <w:bottom w:val="single" w:sz="4" w:space="0" w:color="auto"/>
              <w:right w:val="single" w:sz="4" w:space="0" w:color="auto"/>
              <w:tl2br w:val="nil"/>
              <w:tr2bl w:val="nil"/>
            </w:tcBorders>
            <w:textDirection w:val="lrTb"/>
            <w:vAlign w:val="center"/>
          </w:tcPr>
          <w:p w:rsidR="00F96ACE" w:rsidP="00E167CA">
            <w:pPr>
              <w:spacing w:line="240" w:lineRule="auto"/>
              <w:jc w:val="center"/>
              <w:rPr>
                <w:rFonts w:ascii="Arial" w:hAnsi="Arial" w:cs="Arial"/>
                <w:color w:val="000000"/>
                <w:sz w:val="18"/>
                <w:szCs w:val="18"/>
              </w:rPr>
            </w:pPr>
            <w:r>
              <w:rPr>
                <w:rFonts w:ascii="Arial" w:hAnsi="Arial" w:cs="Arial"/>
                <w:color w:val="000000"/>
                <w:sz w:val="18"/>
                <w:szCs w:val="18"/>
              </w:rPr>
              <w:t>118</w:t>
            </w:r>
          </w:p>
        </w:tc>
        <w:tc>
          <w:tcPr>
            <w:tcW w:w="2509" w:type="dxa"/>
            <w:tcBorders>
              <w:top w:val="nil"/>
              <w:left w:val="single" w:sz="4" w:space="0" w:color="auto"/>
              <w:bottom w:val="single" w:sz="4" w:space="0" w:color="auto"/>
              <w:right w:val="single" w:sz="4" w:space="0" w:color="auto"/>
              <w:tl2br w:val="nil"/>
              <w:tr2bl w:val="nil"/>
            </w:tcBorders>
            <w:noWrap/>
            <w:textDirection w:val="lrTb"/>
            <w:vAlign w:val="center"/>
          </w:tcPr>
          <w:p w:rsidR="00F96ACE" w:rsidP="00F96ACE">
            <w:pPr>
              <w:spacing w:line="240" w:lineRule="auto"/>
              <w:jc w:val="right"/>
              <w:rPr>
                <w:rFonts w:ascii="Arial" w:hAnsi="Arial" w:cs="Arial"/>
                <w:color w:val="000000"/>
                <w:sz w:val="18"/>
                <w:szCs w:val="18"/>
              </w:rPr>
            </w:pPr>
            <w:r>
              <w:rPr>
                <w:rFonts w:ascii="Arial" w:hAnsi="Arial" w:cs="Arial"/>
                <w:color w:val="000000"/>
                <w:sz w:val="18"/>
                <w:szCs w:val="18"/>
              </w:rPr>
              <w:t>33 480 386</w:t>
            </w:r>
          </w:p>
        </w:tc>
      </w:tr>
    </w:tbl>
    <w:p w:rsidR="00FD60CB" w:rsidRPr="00095D9A" w:rsidP="00F96ACE">
      <w:pPr>
        <w:spacing w:line="240" w:lineRule="auto"/>
        <w:rPr>
          <w:rFonts w:ascii="Times New Roman" w:hAnsi="Times New Roman" w:cs="Times New Roman"/>
        </w:rPr>
      </w:pPr>
      <w:r w:rsidRPr="00095D9A" w:rsidR="00611F39">
        <w:rPr>
          <w:rFonts w:ascii="Times New Roman" w:hAnsi="Times New Roman" w:cs="Times New Roman"/>
        </w:rPr>
        <w:t>Pozn.:</w:t>
      </w:r>
      <w:r w:rsidRPr="00095D9A" w:rsidR="00611F39">
        <w:rPr>
          <w:rFonts w:ascii="Times New Roman" w:hAnsi="Times New Roman" w:cs="Times New Roman"/>
          <w:b/>
        </w:rPr>
        <w:t xml:space="preserve"> </w:t>
      </w:r>
      <w:r w:rsidRPr="00095D9A" w:rsidR="00611F39">
        <w:rPr>
          <w:rFonts w:ascii="Times New Roman" w:hAnsi="Times New Roman" w:cs="Times New Roman"/>
        </w:rPr>
        <w:t xml:space="preserve">Položky z nulovou hodnotou v súvahe zaradené nie sú. </w:t>
      </w:r>
    </w:p>
    <w:p w:rsidR="004573C1" w:rsidP="001221BA">
      <w:pPr>
        <w:spacing w:line="240" w:lineRule="auto"/>
        <w:rPr>
          <w:rFonts w:ascii="Times New Roman" w:hAnsi="Times New Roman" w:cs="Times New Roman"/>
          <w:b/>
          <w:sz w:val="24"/>
          <w:szCs w:val="24"/>
        </w:rPr>
      </w:pPr>
    </w:p>
    <w:p w:rsidR="00FD60CB" w:rsidP="00095D9A">
      <w:pPr>
        <w:spacing w:line="240" w:lineRule="auto"/>
        <w:jc w:val="center"/>
        <w:rPr>
          <w:rFonts w:ascii="Times New Roman" w:hAnsi="Times New Roman" w:cs="Times New Roman"/>
          <w:b/>
          <w:sz w:val="24"/>
          <w:szCs w:val="24"/>
        </w:rPr>
      </w:pPr>
      <w:r w:rsidRPr="00FD60CB" w:rsidR="00F96ACE">
        <w:rPr>
          <w:rFonts w:ascii="Times New Roman" w:hAnsi="Times New Roman" w:cs="Times New Roman"/>
          <w:b/>
          <w:sz w:val="24"/>
          <w:szCs w:val="24"/>
        </w:rPr>
        <w:t>Komentár k významným položkám súvahy</w:t>
      </w:r>
    </w:p>
    <w:p w:rsidR="00095D9A" w:rsidRPr="009656A6" w:rsidP="00095D9A">
      <w:pPr>
        <w:spacing w:line="240" w:lineRule="auto"/>
        <w:jc w:val="center"/>
        <w:rPr>
          <w:rFonts w:ascii="Times New Roman" w:hAnsi="Times New Roman" w:cs="Times New Roman"/>
          <w:b/>
          <w:sz w:val="24"/>
          <w:szCs w:val="24"/>
        </w:rPr>
      </w:pPr>
    </w:p>
    <w:p w:rsidR="00907A81" w:rsidP="00FD60CB">
      <w:pPr>
        <w:spacing w:line="240" w:lineRule="auto"/>
        <w:ind w:firstLine="709"/>
        <w:rPr>
          <w:rFonts w:ascii="Times New Roman" w:hAnsi="Times New Roman" w:cs="Times New Roman"/>
          <w:sz w:val="24"/>
          <w:szCs w:val="24"/>
        </w:rPr>
      </w:pPr>
      <w:r w:rsidR="00FD60CB">
        <w:rPr>
          <w:rFonts w:ascii="Times New Roman" w:hAnsi="Times New Roman" w:cs="Times New Roman"/>
          <w:sz w:val="24"/>
          <w:szCs w:val="24"/>
        </w:rPr>
        <w:t>V majetkovej časti</w:t>
      </w:r>
      <w:r>
        <w:rPr>
          <w:rFonts w:ascii="Times New Roman" w:hAnsi="Times New Roman" w:cs="Times New Roman"/>
          <w:sz w:val="24"/>
          <w:szCs w:val="24"/>
        </w:rPr>
        <w:t xml:space="preserve">, v rámci pohybov </w:t>
      </w:r>
      <w:r w:rsidR="00FD60CB">
        <w:rPr>
          <w:rFonts w:ascii="Times New Roman" w:hAnsi="Times New Roman" w:cs="Times New Roman"/>
          <w:sz w:val="24"/>
          <w:szCs w:val="24"/>
        </w:rPr>
        <w:t>v</w:t>
      </w:r>
      <w:r>
        <w:rPr>
          <w:rFonts w:ascii="Times New Roman" w:hAnsi="Times New Roman" w:cs="Times New Roman"/>
          <w:sz w:val="24"/>
          <w:szCs w:val="24"/>
        </w:rPr>
        <w:t> evidencii majetku, najväčší objem predstavovali zaradenia</w:t>
      </w:r>
      <w:r w:rsidRPr="00FD60CB" w:rsidR="00F96ACE">
        <w:rPr>
          <w:rFonts w:ascii="Times New Roman" w:hAnsi="Times New Roman" w:cs="Times New Roman"/>
          <w:sz w:val="24"/>
          <w:szCs w:val="24"/>
        </w:rPr>
        <w:t xml:space="preserve"> diaľnic a rýchlostných ciest do trvalého užívania v objeme 19,8 mld. Sk, čo malo vplyv na nárast odpisov oproti</w:t>
      </w:r>
      <w:r>
        <w:rPr>
          <w:rFonts w:ascii="Times New Roman" w:hAnsi="Times New Roman" w:cs="Times New Roman"/>
          <w:sz w:val="24"/>
          <w:szCs w:val="24"/>
        </w:rPr>
        <w:t xml:space="preserve"> minulému roku, ako aj zaradenia</w:t>
      </w:r>
      <w:r w:rsidRPr="00FD60CB" w:rsidR="00F96ACE">
        <w:rPr>
          <w:rFonts w:ascii="Times New Roman" w:hAnsi="Times New Roman" w:cs="Times New Roman"/>
          <w:sz w:val="24"/>
          <w:szCs w:val="24"/>
        </w:rPr>
        <w:t xml:space="preserve"> diaľnic a rýchlostných ciest do predčasného užívania v objeme 5,87 mld. Sk, čo malo vplyv na nárast opravných položiek oproti minulému roku. </w:t>
      </w:r>
    </w:p>
    <w:p w:rsidR="00095D9A" w:rsidP="00FD60CB">
      <w:pPr>
        <w:spacing w:line="240" w:lineRule="auto"/>
        <w:ind w:firstLine="709"/>
        <w:rPr>
          <w:rFonts w:ascii="Times New Roman" w:hAnsi="Times New Roman" w:cs="Times New Roman"/>
          <w:sz w:val="24"/>
          <w:szCs w:val="24"/>
        </w:rPr>
      </w:pPr>
    </w:p>
    <w:p w:rsidR="00F96ACE" w:rsidRPr="00FD60CB" w:rsidP="00FD60CB">
      <w:pPr>
        <w:spacing w:line="240" w:lineRule="auto"/>
        <w:ind w:firstLine="709"/>
        <w:rPr>
          <w:rFonts w:ascii="Times New Roman" w:hAnsi="Times New Roman" w:cs="Times New Roman"/>
          <w:sz w:val="24"/>
          <w:szCs w:val="24"/>
        </w:rPr>
      </w:pPr>
      <w:r w:rsidR="00907A81">
        <w:rPr>
          <w:rFonts w:ascii="Times New Roman" w:hAnsi="Times New Roman" w:cs="Times New Roman"/>
          <w:sz w:val="24"/>
          <w:szCs w:val="24"/>
        </w:rPr>
        <w:t xml:space="preserve">V čase spracovávania záverečného účtu </w:t>
      </w:r>
      <w:r w:rsidRPr="00FD60CB">
        <w:rPr>
          <w:rFonts w:ascii="Times New Roman" w:hAnsi="Times New Roman" w:cs="Times New Roman"/>
          <w:sz w:val="24"/>
          <w:szCs w:val="24"/>
        </w:rPr>
        <w:t>prebieha</w:t>
      </w:r>
      <w:r w:rsidR="00907A81">
        <w:rPr>
          <w:rFonts w:ascii="Times New Roman" w:hAnsi="Times New Roman" w:cs="Times New Roman"/>
          <w:sz w:val="24"/>
          <w:szCs w:val="24"/>
        </w:rPr>
        <w:t>lo</w:t>
      </w:r>
      <w:r w:rsidRPr="00FD60CB">
        <w:rPr>
          <w:rFonts w:ascii="Times New Roman" w:hAnsi="Times New Roman" w:cs="Times New Roman"/>
          <w:sz w:val="24"/>
          <w:szCs w:val="24"/>
        </w:rPr>
        <w:t xml:space="preserve"> doúčtovanie majet</w:t>
      </w:r>
      <w:r w:rsidR="00907A81">
        <w:rPr>
          <w:rFonts w:ascii="Times New Roman" w:hAnsi="Times New Roman" w:cs="Times New Roman"/>
          <w:sz w:val="24"/>
          <w:szCs w:val="24"/>
        </w:rPr>
        <w:t xml:space="preserve">ku, ktorý vecne a časovo súvisel </w:t>
      </w:r>
      <w:r w:rsidRPr="00FD60CB">
        <w:rPr>
          <w:rFonts w:ascii="Times New Roman" w:hAnsi="Times New Roman" w:cs="Times New Roman"/>
          <w:sz w:val="24"/>
          <w:szCs w:val="24"/>
        </w:rPr>
        <w:t>s obdobím december 2007, preúčtovanie kapitalizov</w:t>
      </w:r>
      <w:r w:rsidR="00907A81">
        <w:rPr>
          <w:rFonts w:ascii="Times New Roman" w:hAnsi="Times New Roman" w:cs="Times New Roman"/>
          <w:sz w:val="24"/>
          <w:szCs w:val="24"/>
        </w:rPr>
        <w:t xml:space="preserve">aných úrokov z účtu obstarania 042 na účet 02 </w:t>
      </w:r>
      <w:r w:rsidRPr="00FD60CB">
        <w:rPr>
          <w:rFonts w:ascii="Times New Roman" w:hAnsi="Times New Roman" w:cs="Times New Roman"/>
          <w:sz w:val="24"/>
          <w:szCs w:val="24"/>
        </w:rPr>
        <w:t>a s tým súvisiace odpisy z tohto majetku. Odhadovaný nárast odpisov j</w:t>
      </w:r>
      <w:r w:rsidR="00907A81">
        <w:rPr>
          <w:rFonts w:ascii="Times New Roman" w:hAnsi="Times New Roman" w:cs="Times New Roman"/>
          <w:sz w:val="24"/>
          <w:szCs w:val="24"/>
        </w:rPr>
        <w:t xml:space="preserve">e cca </w:t>
      </w:r>
      <w:r w:rsidRPr="00FD60CB">
        <w:rPr>
          <w:rFonts w:ascii="Times New Roman" w:hAnsi="Times New Roman" w:cs="Times New Roman"/>
          <w:sz w:val="24"/>
          <w:szCs w:val="24"/>
        </w:rPr>
        <w:t>+ 97 mil. Sk</w:t>
      </w:r>
    </w:p>
    <w:p w:rsidR="00907A81" w:rsidP="00F96ACE">
      <w:pPr>
        <w:spacing w:line="240" w:lineRule="auto"/>
        <w:rPr>
          <w:rFonts w:ascii="Times New Roman" w:hAnsi="Times New Roman" w:cs="Times New Roman"/>
          <w:sz w:val="24"/>
          <w:szCs w:val="24"/>
        </w:rPr>
      </w:pPr>
    </w:p>
    <w:p w:rsidR="0052738B" w:rsidRPr="0052738B" w:rsidP="00F96ACE">
      <w:pPr>
        <w:spacing w:line="240" w:lineRule="auto"/>
        <w:rPr>
          <w:rFonts w:ascii="Times New Roman" w:hAnsi="Times New Roman" w:cs="Times New Roman"/>
          <w:b/>
          <w:sz w:val="24"/>
          <w:szCs w:val="24"/>
        </w:rPr>
      </w:pPr>
      <w:r w:rsidRPr="0052738B" w:rsidR="00F96ACE">
        <w:rPr>
          <w:rFonts w:ascii="Times New Roman" w:hAnsi="Times New Roman" w:cs="Times New Roman"/>
          <w:b/>
          <w:sz w:val="24"/>
          <w:szCs w:val="24"/>
        </w:rPr>
        <w:t xml:space="preserve">POHĽADÁVKY  k 31.12.2007 PO  LEHOTE  SPLATNOSTI  </w:t>
      </w:r>
    </w:p>
    <w:p w:rsidR="0052738B" w:rsidP="00F96ACE">
      <w:pPr>
        <w:spacing w:line="240" w:lineRule="auto"/>
        <w:rPr>
          <w:rFonts w:ascii="Times New Roman" w:hAnsi="Times New Roman" w:cs="Times New Roman"/>
          <w:sz w:val="24"/>
          <w:szCs w:val="24"/>
        </w:rPr>
      </w:pPr>
    </w:p>
    <w:p w:rsidR="00011E0D" w:rsidP="00F96ACE">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Pohľadávky k 31.12.2007 po lehote splatnosti dosiahli 50 348 tis. Sk, z toho: </w:t>
      </w:r>
    </w:p>
    <w:p w:rsidR="00F96ACE" w:rsidRPr="00FD60CB" w:rsidP="00F96ACE">
      <w:pPr>
        <w:spacing w:line="240" w:lineRule="auto"/>
        <w:rPr>
          <w:rFonts w:ascii="Times New Roman" w:hAnsi="Times New Roman" w:cs="Times New Roman"/>
          <w:sz w:val="24"/>
          <w:szCs w:val="24"/>
        </w:rPr>
      </w:pPr>
    </w:p>
    <w:p w:rsidR="00011E0D" w:rsidP="001654CB">
      <w:pPr>
        <w:numPr>
          <w:ilvl w:val="0"/>
          <w:numId w:val="22"/>
        </w:numPr>
        <w:tabs>
          <w:tab w:val="left" w:pos="630"/>
        </w:tabs>
        <w:spacing w:line="240" w:lineRule="auto"/>
        <w:ind w:firstLine="90"/>
        <w:rPr>
          <w:rFonts w:ascii="Times New Roman" w:hAnsi="Times New Roman" w:cs="Times New Roman"/>
          <w:sz w:val="24"/>
          <w:szCs w:val="24"/>
        </w:rPr>
      </w:pPr>
      <w:r>
        <w:rPr>
          <w:rFonts w:ascii="Times New Roman" w:hAnsi="Times New Roman" w:cs="Times New Roman"/>
          <w:sz w:val="24"/>
          <w:szCs w:val="24"/>
        </w:rPr>
        <w:t>do 10 dní...............43 380 tis. Sk</w:t>
      </w:r>
    </w:p>
    <w:p w:rsidR="00011E0D" w:rsidP="001654CB">
      <w:pPr>
        <w:numPr>
          <w:ilvl w:val="0"/>
          <w:numId w:val="22"/>
        </w:numPr>
        <w:tabs>
          <w:tab w:val="left" w:pos="630"/>
        </w:tabs>
        <w:spacing w:line="240" w:lineRule="auto"/>
        <w:ind w:firstLine="90"/>
        <w:rPr>
          <w:rFonts w:ascii="Times New Roman" w:hAnsi="Times New Roman" w:cs="Times New Roman"/>
          <w:sz w:val="24"/>
          <w:szCs w:val="24"/>
        </w:rPr>
      </w:pPr>
      <w:r>
        <w:rPr>
          <w:rFonts w:ascii="Times New Roman" w:hAnsi="Times New Roman" w:cs="Times New Roman"/>
          <w:sz w:val="24"/>
          <w:szCs w:val="24"/>
        </w:rPr>
        <w:t xml:space="preserve">do 30 dní....................927 tis. Sk </w:t>
      </w:r>
    </w:p>
    <w:p w:rsidR="00011E0D" w:rsidP="001654CB">
      <w:pPr>
        <w:numPr>
          <w:ilvl w:val="0"/>
          <w:numId w:val="22"/>
        </w:numPr>
        <w:tabs>
          <w:tab w:val="left" w:pos="630"/>
        </w:tabs>
        <w:spacing w:line="240" w:lineRule="auto"/>
        <w:ind w:firstLine="90"/>
        <w:rPr>
          <w:rFonts w:ascii="Times New Roman" w:hAnsi="Times New Roman" w:cs="Times New Roman"/>
          <w:sz w:val="24"/>
          <w:szCs w:val="24"/>
        </w:rPr>
      </w:pPr>
      <w:r>
        <w:rPr>
          <w:rFonts w:ascii="Times New Roman" w:hAnsi="Times New Roman" w:cs="Times New Roman"/>
          <w:sz w:val="24"/>
          <w:szCs w:val="24"/>
        </w:rPr>
        <w:t>do 60 dní.................1 529 tis. Sk</w:t>
      </w:r>
    </w:p>
    <w:p w:rsidR="00011E0D" w:rsidP="001654CB">
      <w:pPr>
        <w:numPr>
          <w:ilvl w:val="0"/>
          <w:numId w:val="22"/>
        </w:numPr>
        <w:tabs>
          <w:tab w:val="left" w:pos="630"/>
        </w:tabs>
        <w:spacing w:line="240" w:lineRule="auto"/>
        <w:ind w:firstLine="90"/>
        <w:rPr>
          <w:rFonts w:ascii="Times New Roman" w:hAnsi="Times New Roman" w:cs="Times New Roman"/>
          <w:sz w:val="24"/>
          <w:szCs w:val="24"/>
        </w:rPr>
      </w:pPr>
      <w:r>
        <w:rPr>
          <w:rFonts w:ascii="Times New Roman" w:hAnsi="Times New Roman" w:cs="Times New Roman"/>
          <w:sz w:val="24"/>
          <w:szCs w:val="24"/>
        </w:rPr>
        <w:t>do 90 dní........................5 tis. Sk</w:t>
      </w:r>
    </w:p>
    <w:p w:rsidR="00011E0D" w:rsidP="001654CB">
      <w:pPr>
        <w:numPr>
          <w:ilvl w:val="0"/>
          <w:numId w:val="22"/>
        </w:numPr>
        <w:tabs>
          <w:tab w:val="left" w:pos="630"/>
        </w:tabs>
        <w:spacing w:line="240" w:lineRule="auto"/>
        <w:ind w:firstLine="90"/>
        <w:rPr>
          <w:rFonts w:ascii="Times New Roman" w:hAnsi="Times New Roman" w:cs="Times New Roman"/>
          <w:sz w:val="24"/>
          <w:szCs w:val="24"/>
        </w:rPr>
      </w:pPr>
      <w:r>
        <w:rPr>
          <w:rFonts w:ascii="Times New Roman" w:hAnsi="Times New Roman" w:cs="Times New Roman"/>
          <w:sz w:val="24"/>
          <w:szCs w:val="24"/>
        </w:rPr>
        <w:t>d</w:t>
      </w:r>
      <w:r w:rsidRPr="00FD60CB" w:rsidR="00F96ACE">
        <w:rPr>
          <w:rFonts w:ascii="Times New Roman" w:hAnsi="Times New Roman" w:cs="Times New Roman"/>
          <w:sz w:val="24"/>
          <w:szCs w:val="24"/>
        </w:rPr>
        <w:t>o 180 dní</w:t>
      </w:r>
      <w:r>
        <w:rPr>
          <w:rFonts w:ascii="Times New Roman" w:hAnsi="Times New Roman" w:cs="Times New Roman"/>
          <w:sz w:val="24"/>
          <w:szCs w:val="24"/>
        </w:rPr>
        <w:t>....................57 tis. Sk</w:t>
      </w:r>
    </w:p>
    <w:p w:rsidR="00011E0D" w:rsidP="001654CB">
      <w:pPr>
        <w:numPr>
          <w:ilvl w:val="0"/>
          <w:numId w:val="22"/>
        </w:numPr>
        <w:tabs>
          <w:tab w:val="left" w:pos="630"/>
        </w:tabs>
        <w:spacing w:line="240" w:lineRule="auto"/>
        <w:ind w:firstLine="90"/>
        <w:rPr>
          <w:rFonts w:ascii="Times New Roman" w:hAnsi="Times New Roman" w:cs="Times New Roman"/>
          <w:sz w:val="24"/>
          <w:szCs w:val="24"/>
        </w:rPr>
      </w:pPr>
      <w:r>
        <w:rPr>
          <w:rFonts w:ascii="Times New Roman" w:hAnsi="Times New Roman" w:cs="Times New Roman"/>
          <w:sz w:val="24"/>
          <w:szCs w:val="24"/>
        </w:rPr>
        <w:t>do 360 dní..................613 tis. Sk</w:t>
      </w:r>
    </w:p>
    <w:p w:rsidR="00F96ACE" w:rsidRPr="00FD60CB" w:rsidP="001654CB">
      <w:pPr>
        <w:numPr>
          <w:ilvl w:val="0"/>
          <w:numId w:val="22"/>
        </w:numPr>
        <w:tabs>
          <w:tab w:val="left" w:pos="630"/>
        </w:tabs>
        <w:spacing w:line="240" w:lineRule="auto"/>
        <w:ind w:firstLine="90"/>
        <w:rPr>
          <w:rFonts w:ascii="Times New Roman" w:hAnsi="Times New Roman" w:cs="Times New Roman"/>
          <w:sz w:val="24"/>
          <w:szCs w:val="24"/>
        </w:rPr>
      </w:pPr>
      <w:r w:rsidR="00011E0D">
        <w:rPr>
          <w:rFonts w:ascii="Times New Roman" w:hAnsi="Times New Roman" w:cs="Times New Roman"/>
          <w:sz w:val="24"/>
          <w:szCs w:val="24"/>
        </w:rPr>
        <w:t>nad 360 dní.............</w:t>
      </w:r>
      <w:r w:rsidRPr="00FD60CB">
        <w:rPr>
          <w:rFonts w:ascii="Times New Roman" w:hAnsi="Times New Roman" w:cs="Times New Roman"/>
          <w:sz w:val="24"/>
          <w:szCs w:val="24"/>
        </w:rPr>
        <w:t xml:space="preserve">3 834 tis. Sk  </w:t>
      </w:r>
    </w:p>
    <w:p w:rsidR="00F96ACE" w:rsidRPr="00FD60CB" w:rsidP="00F96ACE">
      <w:pPr>
        <w:spacing w:line="240" w:lineRule="auto"/>
        <w:rPr>
          <w:rFonts w:ascii="Times New Roman" w:hAnsi="Times New Roman" w:cs="Times New Roman"/>
          <w:sz w:val="24"/>
          <w:szCs w:val="24"/>
        </w:rPr>
      </w:pPr>
    </w:p>
    <w:p w:rsidR="00F96ACE" w:rsidRPr="00FD60CB" w:rsidP="009656A6">
      <w:pPr>
        <w:spacing w:line="240" w:lineRule="auto"/>
        <w:ind w:firstLine="630"/>
        <w:rPr>
          <w:rFonts w:ascii="Times New Roman" w:hAnsi="Times New Roman" w:cs="Times New Roman"/>
          <w:sz w:val="24"/>
          <w:szCs w:val="24"/>
        </w:rPr>
      </w:pPr>
      <w:r w:rsidRPr="00FD60CB">
        <w:rPr>
          <w:rFonts w:ascii="Times New Roman" w:hAnsi="Times New Roman" w:cs="Times New Roman"/>
          <w:sz w:val="24"/>
          <w:szCs w:val="24"/>
        </w:rPr>
        <w:t>Úhrada pohľadávok je samostatne sledovaná a týždenne sa predkladá sumarizácia neuhradených pohľadávok na právny odbor. Ihneď po splatnosti pohľadávky sa zasiela upomienka dlžníkovi a zároveň sa odstupuje na právny odbor, ktorý postupuje ďalej v zmysle zákona a príslušnej legislatívy a pokračuje vo vymáhaní pohľa</w:t>
      </w:r>
      <w:r w:rsidR="00011E0D">
        <w:rPr>
          <w:rFonts w:ascii="Times New Roman" w:hAnsi="Times New Roman" w:cs="Times New Roman"/>
          <w:sz w:val="24"/>
          <w:szCs w:val="24"/>
        </w:rPr>
        <w:t xml:space="preserve">dávok. Nedobytné pohľadávky </w:t>
      </w:r>
      <w:r w:rsidRPr="00FD60CB">
        <w:rPr>
          <w:rFonts w:ascii="Times New Roman" w:hAnsi="Times New Roman" w:cs="Times New Roman"/>
          <w:sz w:val="24"/>
          <w:szCs w:val="24"/>
        </w:rPr>
        <w:t>eviduje len pri vy</w:t>
      </w:r>
      <w:r w:rsidR="00011E0D">
        <w:rPr>
          <w:rFonts w:ascii="Times New Roman" w:hAnsi="Times New Roman" w:cs="Times New Roman"/>
          <w:sz w:val="24"/>
          <w:szCs w:val="24"/>
        </w:rPr>
        <w:t>máhaní zostatkových škôd na diaľnic</w:t>
      </w:r>
      <w:r w:rsidRPr="00FD60CB">
        <w:rPr>
          <w:rFonts w:ascii="Times New Roman" w:hAnsi="Times New Roman" w:cs="Times New Roman"/>
          <w:sz w:val="24"/>
          <w:szCs w:val="24"/>
        </w:rPr>
        <w:t>ach (spoluúčasť, ktorú neplatí poisťov</w:t>
      </w:r>
      <w:r w:rsidR="00011E0D">
        <w:rPr>
          <w:rFonts w:ascii="Times New Roman" w:hAnsi="Times New Roman" w:cs="Times New Roman"/>
          <w:sz w:val="24"/>
          <w:szCs w:val="24"/>
        </w:rPr>
        <w:t>-</w:t>
      </w:r>
      <w:r w:rsidRPr="00FD60CB">
        <w:rPr>
          <w:rFonts w:ascii="Times New Roman" w:hAnsi="Times New Roman" w:cs="Times New Roman"/>
          <w:sz w:val="24"/>
          <w:szCs w:val="24"/>
        </w:rPr>
        <w:t>ňa ale priamo účastník nehody), pričom úspešnosť vymáhan</w:t>
      </w:r>
      <w:r w:rsidR="009656A6">
        <w:rPr>
          <w:rFonts w:ascii="Times New Roman" w:hAnsi="Times New Roman" w:cs="Times New Roman"/>
          <w:sz w:val="24"/>
          <w:szCs w:val="24"/>
        </w:rPr>
        <w:t>ia pohľadávok je viac ako 55 %.</w:t>
      </w:r>
    </w:p>
    <w:p w:rsidR="00F96ACE" w:rsidRPr="00FD60CB" w:rsidP="00F96ACE">
      <w:pPr>
        <w:spacing w:line="240" w:lineRule="auto"/>
        <w:rPr>
          <w:rFonts w:ascii="Times New Roman" w:hAnsi="Times New Roman" w:cs="Times New Roman"/>
          <w:sz w:val="24"/>
          <w:szCs w:val="24"/>
        </w:rPr>
      </w:pPr>
    </w:p>
    <w:p w:rsidR="009656A6" w:rsidP="00F96ACE">
      <w:pPr>
        <w:spacing w:line="240" w:lineRule="auto"/>
        <w:rPr>
          <w:rFonts w:ascii="Times New Roman" w:hAnsi="Times New Roman" w:cs="Times New Roman"/>
          <w:sz w:val="24"/>
          <w:szCs w:val="24"/>
        </w:rPr>
      </w:pPr>
      <w:r>
        <w:rPr>
          <w:rFonts w:ascii="Times New Roman" w:hAnsi="Times New Roman" w:cs="Times New Roman"/>
          <w:b/>
          <w:sz w:val="24"/>
          <w:szCs w:val="24"/>
        </w:rPr>
        <w:t xml:space="preserve">ZÁVÄZKY </w:t>
      </w:r>
      <w:r w:rsidRPr="009656A6" w:rsidR="00F96ACE">
        <w:rPr>
          <w:rFonts w:ascii="Times New Roman" w:hAnsi="Times New Roman" w:cs="Times New Roman"/>
          <w:b/>
          <w:sz w:val="24"/>
          <w:szCs w:val="24"/>
        </w:rPr>
        <w:t>K 31.12.2007 PO LEHOTE SPLATNOSTI</w:t>
      </w:r>
      <w:r w:rsidRPr="00FD60CB" w:rsidR="00F96ACE">
        <w:rPr>
          <w:rFonts w:ascii="Times New Roman" w:hAnsi="Times New Roman" w:cs="Times New Roman"/>
          <w:sz w:val="24"/>
          <w:szCs w:val="24"/>
        </w:rPr>
        <w:t xml:space="preserve"> </w:t>
      </w:r>
    </w:p>
    <w:p w:rsidR="009656A6" w:rsidP="00F96ACE">
      <w:pPr>
        <w:spacing w:line="240" w:lineRule="auto"/>
        <w:rPr>
          <w:rFonts w:ascii="Times New Roman" w:hAnsi="Times New Roman" w:cs="Times New Roman"/>
          <w:sz w:val="24"/>
          <w:szCs w:val="24"/>
        </w:rPr>
      </w:pPr>
    </w:p>
    <w:p w:rsidR="009656A6" w:rsidP="00F96ACE">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Záväzky k 31.12.2007 po lehote splatnosti dosiahli </w:t>
      </w:r>
      <w:r w:rsidRPr="00FD60CB" w:rsidR="00F96ACE">
        <w:rPr>
          <w:rFonts w:ascii="Times New Roman" w:hAnsi="Times New Roman" w:cs="Times New Roman"/>
          <w:sz w:val="24"/>
          <w:szCs w:val="24"/>
        </w:rPr>
        <w:t>56 887 tis. Sk</w:t>
      </w:r>
      <w:r>
        <w:rPr>
          <w:rFonts w:ascii="Times New Roman" w:hAnsi="Times New Roman" w:cs="Times New Roman"/>
          <w:sz w:val="24"/>
          <w:szCs w:val="24"/>
        </w:rPr>
        <w:t xml:space="preserve"> a je to záväzok do 18</w:t>
      </w:r>
      <w:r w:rsidR="004573C1">
        <w:rPr>
          <w:rFonts w:ascii="Times New Roman" w:hAnsi="Times New Roman" w:cs="Times New Roman"/>
          <w:sz w:val="24"/>
          <w:szCs w:val="24"/>
        </w:rPr>
        <w:t xml:space="preserve">0 dní voči spoločnosti TAISEI. </w:t>
      </w:r>
    </w:p>
    <w:p w:rsidR="00F96ACE" w:rsidRPr="00FD60CB" w:rsidP="009656A6">
      <w:pPr>
        <w:spacing w:line="240" w:lineRule="auto"/>
        <w:ind w:firstLine="709"/>
        <w:rPr>
          <w:rFonts w:ascii="Times New Roman" w:hAnsi="Times New Roman" w:cs="Times New Roman"/>
          <w:sz w:val="24"/>
          <w:szCs w:val="24"/>
        </w:rPr>
      </w:pPr>
      <w:r w:rsidR="009656A6">
        <w:rPr>
          <w:rFonts w:ascii="Times New Roman" w:hAnsi="Times New Roman" w:cs="Times New Roman"/>
          <w:sz w:val="24"/>
          <w:szCs w:val="24"/>
        </w:rPr>
        <w:t>Finančné v</w:t>
      </w:r>
      <w:r w:rsidR="004E590E">
        <w:rPr>
          <w:rFonts w:ascii="Times New Roman" w:hAnsi="Times New Roman" w:cs="Times New Roman"/>
          <w:sz w:val="24"/>
          <w:szCs w:val="24"/>
        </w:rPr>
        <w:t xml:space="preserve">ýpomoci NDS, a.s., </w:t>
      </w:r>
      <w:r w:rsidRPr="00FD60CB">
        <w:rPr>
          <w:rFonts w:ascii="Times New Roman" w:hAnsi="Times New Roman" w:cs="Times New Roman"/>
          <w:sz w:val="24"/>
          <w:szCs w:val="24"/>
        </w:rPr>
        <w:t>k dnešnému dňu neobd</w:t>
      </w:r>
      <w:r w:rsidR="009656A6">
        <w:rPr>
          <w:rFonts w:ascii="Times New Roman" w:hAnsi="Times New Roman" w:cs="Times New Roman"/>
          <w:sz w:val="24"/>
          <w:szCs w:val="24"/>
        </w:rPr>
        <w:t xml:space="preserve">ržala žiadne. </w:t>
      </w:r>
    </w:p>
    <w:p w:rsidR="00EE1DEF" w:rsidRPr="00F96ACE" w:rsidP="00F96ACE">
      <w:pPr>
        <w:spacing w:line="240" w:lineRule="auto"/>
        <w:outlineLvl w:val="0"/>
        <w:rPr>
          <w:rFonts w:ascii="Times New Roman" w:hAnsi="Times New Roman" w:cs="Times New Roman"/>
          <w:sz w:val="24"/>
          <w:szCs w:val="24"/>
        </w:rPr>
      </w:pPr>
    </w:p>
    <w:p w:rsidR="00060280" w:rsidRPr="00B97FAA" w:rsidP="00060280">
      <w:pPr>
        <w:spacing w:line="240" w:lineRule="auto"/>
        <w:outlineLvl w:val="0"/>
        <w:rPr>
          <w:rFonts w:ascii="Times New Roman" w:hAnsi="Times New Roman" w:cs="Times New Roman"/>
          <w:b/>
          <w:bCs/>
          <w:sz w:val="28"/>
          <w:szCs w:val="28"/>
        </w:rPr>
      </w:pPr>
      <w:r>
        <w:rPr>
          <w:rFonts w:ascii="Times New Roman" w:hAnsi="Times New Roman" w:cs="Times New Roman"/>
          <w:b/>
          <w:bCs/>
          <w:sz w:val="28"/>
          <w:szCs w:val="28"/>
        </w:rPr>
        <w:t>E</w:t>
      </w:r>
      <w:r w:rsidRPr="00B97FAA">
        <w:rPr>
          <w:rFonts w:ascii="Times New Roman" w:hAnsi="Times New Roman" w:cs="Times New Roman"/>
          <w:b/>
          <w:bCs/>
          <w:sz w:val="28"/>
          <w:szCs w:val="28"/>
        </w:rPr>
        <w:t>:</w:t>
      </w:r>
      <w:r w:rsidRPr="00B97FAA">
        <w:rPr>
          <w:rFonts w:ascii="Times New Roman" w:hAnsi="Times New Roman" w:cs="Times New Roman"/>
          <w:b/>
          <w:sz w:val="28"/>
          <w:szCs w:val="28"/>
        </w:rPr>
        <w:t xml:space="preserve"> Zhodnoteni</w:t>
      </w:r>
      <w:r>
        <w:rPr>
          <w:rFonts w:ascii="Times New Roman" w:hAnsi="Times New Roman" w:cs="Times New Roman"/>
          <w:b/>
          <w:sz w:val="28"/>
          <w:szCs w:val="28"/>
        </w:rPr>
        <w:t>e finančno – majetkovej pozície Letiska Piešťany, a.s.</w:t>
      </w:r>
    </w:p>
    <w:p w:rsidR="00060280" w:rsidP="00060280">
      <w:pPr>
        <w:spacing w:line="240" w:lineRule="auto"/>
        <w:ind w:left="709"/>
        <w:rPr>
          <w:rFonts w:ascii="Times New Roman" w:hAnsi="Times New Roman" w:cs="Times New Roman"/>
          <w:sz w:val="24"/>
          <w:szCs w:val="24"/>
        </w:rPr>
      </w:pPr>
    </w:p>
    <w:p w:rsidR="00166D13" w:rsidRPr="00B1599D" w:rsidP="00456597">
      <w:pPr>
        <w:spacing w:line="240" w:lineRule="auto"/>
        <w:ind w:left="709"/>
        <w:rPr>
          <w:rFonts w:ascii="Times New Roman" w:hAnsi="Times New Roman" w:cs="Times New Roman"/>
          <w:sz w:val="24"/>
          <w:szCs w:val="24"/>
        </w:rPr>
      </w:pPr>
      <w:r w:rsidR="00060280">
        <w:rPr>
          <w:rFonts w:ascii="Times New Roman" w:hAnsi="Times New Roman" w:cs="Times New Roman"/>
          <w:sz w:val="24"/>
          <w:szCs w:val="24"/>
        </w:rPr>
        <w:t xml:space="preserve">Údaje sú </w:t>
      </w:r>
      <w:r w:rsidRPr="00F96ACE" w:rsidR="00060280">
        <w:rPr>
          <w:rFonts w:ascii="Times New Roman" w:hAnsi="Times New Roman" w:cs="Times New Roman"/>
          <w:sz w:val="24"/>
          <w:szCs w:val="24"/>
        </w:rPr>
        <w:t>spracované z predbežn</w:t>
      </w:r>
      <w:r w:rsidR="00456597">
        <w:rPr>
          <w:rFonts w:ascii="Times New Roman" w:hAnsi="Times New Roman" w:cs="Times New Roman"/>
          <w:sz w:val="24"/>
          <w:szCs w:val="24"/>
        </w:rPr>
        <w:t>ých a neauditovaných podkladov.</w:t>
      </w:r>
    </w:p>
    <w:p w:rsidR="00F90106" w:rsidP="00F90106">
      <w:pPr>
        <w:spacing w:line="240" w:lineRule="auto"/>
        <w:jc w:val="center"/>
        <w:rPr>
          <w:rFonts w:ascii="Times New Roman" w:hAnsi="Times New Roman" w:cs="Times New Roman"/>
          <w:b/>
          <w:sz w:val="24"/>
          <w:szCs w:val="24"/>
        </w:rPr>
      </w:pPr>
    </w:p>
    <w:p w:rsidR="00F90106" w:rsidP="00F90106">
      <w:pPr>
        <w:spacing w:line="240" w:lineRule="auto"/>
        <w:jc w:val="center"/>
        <w:rPr>
          <w:rFonts w:ascii="Times New Roman" w:hAnsi="Times New Roman" w:cs="Times New Roman"/>
          <w:b/>
          <w:sz w:val="24"/>
          <w:szCs w:val="24"/>
        </w:rPr>
      </w:pPr>
      <w:r>
        <w:rPr>
          <w:rFonts w:ascii="Times New Roman" w:hAnsi="Times New Roman" w:cs="Times New Roman"/>
          <w:b/>
          <w:sz w:val="24"/>
          <w:szCs w:val="24"/>
        </w:rPr>
        <w:t>S</w:t>
      </w:r>
      <w:r w:rsidRPr="00B1599D">
        <w:rPr>
          <w:rFonts w:ascii="Times New Roman" w:hAnsi="Times New Roman" w:cs="Times New Roman"/>
          <w:b/>
          <w:sz w:val="24"/>
          <w:szCs w:val="24"/>
        </w:rPr>
        <w:t>úvaha spoločnosti k 31.12.2007</w:t>
      </w:r>
    </w:p>
    <w:p w:rsidR="00F90106" w:rsidRPr="000A4072" w:rsidP="00F90106">
      <w:pPr>
        <w:spacing w:line="240" w:lineRule="auto"/>
        <w:jc w:val="center"/>
        <w:rPr>
          <w:rFonts w:ascii="Arial Narrow" w:hAnsi="Arial Narrow" w:cs="Times New Roman"/>
        </w:rPr>
      </w:pPr>
      <w:r>
        <w:rPr>
          <w:rFonts w:ascii="Times New Roman" w:hAnsi="Times New Roman" w:cs="Times New Roman"/>
          <w:b/>
          <w:sz w:val="24"/>
          <w:szCs w:val="24"/>
        </w:rPr>
        <w:t xml:space="preserve">                                                                                                                                            </w:t>
      </w:r>
      <w:r w:rsidRPr="000A4072">
        <w:rPr>
          <w:rFonts w:ascii="Arial Narrow" w:hAnsi="Arial Narrow" w:cs="Times New Roman"/>
        </w:rPr>
        <w:t>(v tis. sk)</w:t>
      </w:r>
    </w:p>
    <w:tbl>
      <w:tblPr>
        <w:tblW w:w="8580" w:type="dxa"/>
        <w:tblInd w:w="6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Pr>
      <w:tblGrid>
        <w:gridCol w:w="5560"/>
        <w:gridCol w:w="1460"/>
        <w:gridCol w:w="1560"/>
      </w:tblGrid>
      <w:tr>
        <w:tblPrEx>
          <w:tblW w:w="8580" w:type="dxa"/>
          <w:tblInd w:w="6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PrEx>
        <w:trPr>
          <w:trHeight w:val="255"/>
        </w:trPr>
        <w:tc>
          <w:tcPr>
            <w:tcW w:w="5560" w:type="dxa"/>
            <w:tcBorders>
              <w:top w:val="single" w:sz="4" w:space="0" w:color="auto"/>
              <w:left w:val="single" w:sz="4" w:space="0" w:color="auto"/>
              <w:bottom w:val="single" w:sz="4" w:space="0" w:color="auto"/>
              <w:right w:val="single" w:sz="4" w:space="0" w:color="auto"/>
              <w:tl2br w:val="nil"/>
              <w:tr2bl w:val="nil"/>
            </w:tcBorders>
            <w:shd w:val="clear" w:color="auto" w:fill="999999"/>
            <w:noWrap/>
            <w:textDirection w:val="lrTb"/>
            <w:vAlign w:val="center"/>
          </w:tcPr>
          <w:p w:rsidR="00F90106" w:rsidRPr="005360FA" w:rsidP="00302CE9">
            <w:pPr>
              <w:spacing w:line="240" w:lineRule="auto"/>
              <w:jc w:val="center"/>
              <w:rPr>
                <w:rFonts w:ascii="Arial Narrow" w:hAnsi="Arial Narrow" w:cs="Times New Roman"/>
                <w:b/>
                <w:bCs/>
              </w:rPr>
            </w:pPr>
          </w:p>
        </w:tc>
        <w:tc>
          <w:tcPr>
            <w:tcW w:w="1460" w:type="dxa"/>
            <w:tcBorders>
              <w:top w:val="single" w:sz="4" w:space="0" w:color="auto"/>
              <w:left w:val="single" w:sz="4" w:space="0" w:color="auto"/>
              <w:bottom w:val="single" w:sz="4" w:space="0" w:color="auto"/>
              <w:right w:val="single" w:sz="4" w:space="0" w:color="auto"/>
              <w:tl2br w:val="nil"/>
              <w:tr2bl w:val="nil"/>
            </w:tcBorders>
            <w:shd w:val="clear" w:color="auto" w:fill="999999"/>
            <w:noWrap/>
            <w:textDirection w:val="lrTb"/>
            <w:vAlign w:val="center"/>
          </w:tcPr>
          <w:p w:rsidR="00F90106" w:rsidRPr="005360FA" w:rsidP="00302CE9">
            <w:pPr>
              <w:spacing w:line="240" w:lineRule="auto"/>
              <w:jc w:val="center"/>
              <w:rPr>
                <w:rFonts w:ascii="Arial Narrow" w:hAnsi="Arial Narrow" w:cs="Times New Roman"/>
                <w:b/>
                <w:bCs/>
              </w:rPr>
            </w:pPr>
            <w:r w:rsidRPr="005360FA">
              <w:rPr>
                <w:rFonts w:ascii="Arial Narrow" w:hAnsi="Arial Narrow" w:cs="Times New Roman"/>
                <w:b/>
                <w:bCs/>
              </w:rPr>
              <w:t>Bežné obdobie (Netto)</w:t>
            </w:r>
          </w:p>
        </w:tc>
        <w:tc>
          <w:tcPr>
            <w:tcW w:w="1560" w:type="dxa"/>
            <w:tcBorders>
              <w:top w:val="single" w:sz="4" w:space="0" w:color="auto"/>
              <w:left w:val="single" w:sz="4" w:space="0" w:color="auto"/>
              <w:bottom w:val="single" w:sz="4" w:space="0" w:color="auto"/>
              <w:right w:val="single" w:sz="4" w:space="0" w:color="auto"/>
              <w:tl2br w:val="nil"/>
              <w:tr2bl w:val="nil"/>
            </w:tcBorders>
            <w:shd w:val="clear" w:color="auto" w:fill="999999"/>
            <w:noWrap/>
            <w:textDirection w:val="lrTb"/>
            <w:vAlign w:val="center"/>
          </w:tcPr>
          <w:p w:rsidR="00F90106" w:rsidRPr="005360FA" w:rsidP="00302CE9">
            <w:pPr>
              <w:spacing w:line="240" w:lineRule="auto"/>
              <w:jc w:val="center"/>
              <w:rPr>
                <w:rFonts w:ascii="Arial Narrow" w:hAnsi="Arial Narrow" w:cs="Times New Roman"/>
                <w:b/>
                <w:bCs/>
              </w:rPr>
            </w:pPr>
            <w:r w:rsidRPr="005360FA">
              <w:rPr>
                <w:rFonts w:ascii="Arial Narrow" w:hAnsi="Arial Narrow" w:cs="Times New Roman"/>
                <w:b/>
                <w:bCs/>
              </w:rPr>
              <w:t>Predch. obdobie (Netto)</w:t>
            </w:r>
          </w:p>
        </w:tc>
      </w:tr>
      <w:tr>
        <w:tblPrEx>
          <w:tblW w:w="8580" w:type="dxa"/>
          <w:tblInd w:w="610" w:type="dxa"/>
          <w:tblCellMar>
            <w:left w:w="70" w:type="dxa"/>
            <w:right w:w="70" w:type="dxa"/>
          </w:tblCellMar>
        </w:tblPrEx>
        <w:trPr>
          <w:trHeight w:hRule="exact" w:val="227"/>
        </w:trPr>
        <w:tc>
          <w:tcPr>
            <w:tcW w:w="5560" w:type="dxa"/>
            <w:tcBorders>
              <w:top w:val="single" w:sz="4" w:space="0" w:color="auto"/>
              <w:left w:val="single" w:sz="4" w:space="0" w:color="auto"/>
              <w:bottom w:val="single" w:sz="4" w:space="0" w:color="auto"/>
              <w:right w:val="single" w:sz="4" w:space="0" w:color="auto"/>
              <w:tl2br w:val="nil"/>
              <w:tr2bl w:val="nil"/>
            </w:tcBorders>
            <w:shd w:val="clear" w:color="auto" w:fill="C0C0C0"/>
            <w:noWrap/>
            <w:textDirection w:val="lrTb"/>
            <w:vAlign w:val="center"/>
          </w:tcPr>
          <w:p w:rsidR="00F90106" w:rsidRPr="005360FA" w:rsidP="00302CE9">
            <w:pPr>
              <w:spacing w:line="240" w:lineRule="auto"/>
              <w:jc w:val="left"/>
              <w:rPr>
                <w:rFonts w:ascii="Arial Narrow" w:hAnsi="Arial Narrow" w:cs="Times New Roman"/>
              </w:rPr>
            </w:pPr>
            <w:r w:rsidRPr="005360FA">
              <w:rPr>
                <w:rFonts w:ascii="Arial Narrow" w:hAnsi="Arial Narrow" w:cs="Times New Roman"/>
              </w:rPr>
              <w:t xml:space="preserve">AKTÍVA - SPOLU MAJETOK </w:t>
            </w:r>
          </w:p>
        </w:tc>
        <w:tc>
          <w:tcPr>
            <w:tcW w:w="1460" w:type="dxa"/>
            <w:tcBorders>
              <w:top w:val="single" w:sz="4" w:space="0" w:color="auto"/>
              <w:left w:val="single" w:sz="4" w:space="0" w:color="auto"/>
              <w:bottom w:val="single" w:sz="4" w:space="0" w:color="auto"/>
              <w:right w:val="single" w:sz="4" w:space="0" w:color="auto"/>
              <w:tl2br w:val="nil"/>
              <w:tr2bl w:val="nil"/>
            </w:tcBorders>
            <w:shd w:val="clear" w:color="auto" w:fill="C0C0C0"/>
            <w:noWrap/>
            <w:textDirection w:val="lrTb"/>
            <w:vAlign w:val="center"/>
          </w:tcPr>
          <w:p w:rsidR="00F90106" w:rsidRPr="005360FA" w:rsidP="00302CE9">
            <w:pPr>
              <w:spacing w:line="240" w:lineRule="auto"/>
              <w:jc w:val="right"/>
              <w:rPr>
                <w:rFonts w:ascii="Arial Narrow" w:hAnsi="Arial Narrow" w:cs="Times New Roman"/>
              </w:rPr>
            </w:pPr>
            <w:r w:rsidR="00B90B97">
              <w:rPr>
                <w:rFonts w:ascii="Arial Narrow" w:hAnsi="Arial Narrow" w:cs="Times New Roman"/>
              </w:rPr>
              <w:t>504 446</w:t>
            </w:r>
          </w:p>
        </w:tc>
        <w:tc>
          <w:tcPr>
            <w:tcW w:w="1560" w:type="dxa"/>
            <w:tcBorders>
              <w:top w:val="single" w:sz="4" w:space="0" w:color="auto"/>
              <w:left w:val="single" w:sz="4" w:space="0" w:color="auto"/>
              <w:bottom w:val="single" w:sz="4" w:space="0" w:color="auto"/>
              <w:right w:val="single" w:sz="4" w:space="0" w:color="auto"/>
              <w:tl2br w:val="nil"/>
              <w:tr2bl w:val="nil"/>
            </w:tcBorders>
            <w:shd w:val="clear" w:color="auto" w:fill="C0C0C0"/>
            <w:noWrap/>
            <w:textDirection w:val="lrTb"/>
            <w:vAlign w:val="center"/>
          </w:tcPr>
          <w:p w:rsidR="00F90106" w:rsidRPr="005360FA" w:rsidP="00302CE9">
            <w:pPr>
              <w:spacing w:line="240" w:lineRule="auto"/>
              <w:jc w:val="right"/>
              <w:rPr>
                <w:rFonts w:ascii="Arial Narrow" w:hAnsi="Arial Narrow" w:cs="Times New Roman"/>
              </w:rPr>
            </w:pPr>
            <w:r w:rsidR="00B90B97">
              <w:rPr>
                <w:rFonts w:ascii="Arial Narrow" w:hAnsi="Arial Narrow" w:cs="Times New Roman"/>
              </w:rPr>
              <w:t>501 731</w:t>
            </w:r>
          </w:p>
        </w:tc>
      </w:tr>
      <w:tr>
        <w:tblPrEx>
          <w:tblW w:w="8580" w:type="dxa"/>
          <w:tblInd w:w="610" w:type="dxa"/>
          <w:tblCellMar>
            <w:left w:w="70" w:type="dxa"/>
            <w:right w:w="70" w:type="dxa"/>
          </w:tblCellMar>
        </w:tblPrEx>
        <w:trPr>
          <w:trHeight w:hRule="exact" w:val="227"/>
        </w:trPr>
        <w:tc>
          <w:tcPr>
            <w:tcW w:w="556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F90106" w:rsidRPr="005360FA" w:rsidP="00302CE9">
            <w:pPr>
              <w:spacing w:line="240" w:lineRule="auto"/>
              <w:jc w:val="left"/>
              <w:rPr>
                <w:rFonts w:ascii="Arial Narrow" w:hAnsi="Arial Narrow" w:cs="Times New Roman"/>
              </w:rPr>
            </w:pPr>
            <w:r w:rsidRPr="005360FA">
              <w:rPr>
                <w:rFonts w:ascii="Arial Narrow" w:hAnsi="Arial Narrow" w:cs="Times New Roman"/>
              </w:rPr>
              <w:t>Pohľadávky za upísané vlastné imanie</w:t>
            </w:r>
          </w:p>
        </w:tc>
        <w:tc>
          <w:tcPr>
            <w:tcW w:w="146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F90106" w:rsidRPr="005360FA" w:rsidP="00302CE9">
            <w:pPr>
              <w:spacing w:line="240" w:lineRule="auto"/>
              <w:jc w:val="right"/>
              <w:rPr>
                <w:rFonts w:ascii="Arial Narrow" w:hAnsi="Arial Narrow" w:cs="Times New Roman"/>
              </w:rPr>
            </w:pPr>
            <w:r w:rsidR="00B90B97">
              <w:rPr>
                <w:rFonts w:ascii="Arial Narrow" w:hAnsi="Arial Narrow" w:cs="Times New Roman"/>
              </w:rPr>
              <w:t>-</w:t>
            </w:r>
          </w:p>
        </w:tc>
        <w:tc>
          <w:tcPr>
            <w:tcW w:w="156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F90106" w:rsidRPr="005360FA" w:rsidP="00302CE9">
            <w:pPr>
              <w:spacing w:line="240" w:lineRule="auto"/>
              <w:jc w:val="right"/>
              <w:rPr>
                <w:rFonts w:ascii="Arial Narrow" w:hAnsi="Arial Narrow" w:cs="Times New Roman"/>
              </w:rPr>
            </w:pPr>
            <w:r w:rsidR="00B90B97">
              <w:rPr>
                <w:rFonts w:ascii="Arial Narrow" w:hAnsi="Arial Narrow" w:cs="Times New Roman"/>
              </w:rPr>
              <w:t>-</w:t>
            </w:r>
          </w:p>
        </w:tc>
      </w:tr>
      <w:tr>
        <w:tblPrEx>
          <w:tblW w:w="8580" w:type="dxa"/>
          <w:tblInd w:w="610" w:type="dxa"/>
          <w:tblCellMar>
            <w:left w:w="70" w:type="dxa"/>
            <w:right w:w="70" w:type="dxa"/>
          </w:tblCellMar>
        </w:tblPrEx>
        <w:trPr>
          <w:trHeight w:hRule="exact" w:val="227"/>
        </w:trPr>
        <w:tc>
          <w:tcPr>
            <w:tcW w:w="556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F90106" w:rsidRPr="005360FA" w:rsidP="00302CE9">
            <w:pPr>
              <w:spacing w:line="240" w:lineRule="auto"/>
              <w:jc w:val="left"/>
              <w:rPr>
                <w:rFonts w:ascii="Arial Narrow" w:hAnsi="Arial Narrow" w:cs="Times New Roman"/>
              </w:rPr>
            </w:pPr>
            <w:r w:rsidRPr="005360FA">
              <w:rPr>
                <w:rFonts w:ascii="Arial Narrow" w:hAnsi="Arial Narrow" w:cs="Times New Roman"/>
              </w:rPr>
              <w:t>Neobežný majetok</w:t>
            </w:r>
          </w:p>
        </w:tc>
        <w:tc>
          <w:tcPr>
            <w:tcW w:w="146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F90106" w:rsidRPr="005360FA" w:rsidP="00302CE9">
            <w:pPr>
              <w:spacing w:line="240" w:lineRule="auto"/>
              <w:jc w:val="right"/>
              <w:rPr>
                <w:rFonts w:ascii="Arial Narrow" w:hAnsi="Arial Narrow" w:cs="Times New Roman"/>
              </w:rPr>
            </w:pPr>
            <w:r w:rsidR="00B90B97">
              <w:rPr>
                <w:rFonts w:ascii="Arial Narrow" w:hAnsi="Arial Narrow" w:cs="Times New Roman"/>
              </w:rPr>
              <w:t>495 548</w:t>
            </w:r>
          </w:p>
        </w:tc>
        <w:tc>
          <w:tcPr>
            <w:tcW w:w="156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F90106" w:rsidRPr="005360FA" w:rsidP="00302CE9">
            <w:pPr>
              <w:spacing w:line="240" w:lineRule="auto"/>
              <w:jc w:val="right"/>
              <w:rPr>
                <w:rFonts w:ascii="Arial Narrow" w:hAnsi="Arial Narrow" w:cs="Times New Roman"/>
              </w:rPr>
            </w:pPr>
            <w:r w:rsidR="00B90B97">
              <w:rPr>
                <w:rFonts w:ascii="Arial Narrow" w:hAnsi="Arial Narrow" w:cs="Times New Roman"/>
              </w:rPr>
              <w:t>495 655</w:t>
            </w:r>
          </w:p>
        </w:tc>
      </w:tr>
      <w:tr>
        <w:tblPrEx>
          <w:tblW w:w="8580" w:type="dxa"/>
          <w:tblInd w:w="610" w:type="dxa"/>
          <w:tblCellMar>
            <w:left w:w="70" w:type="dxa"/>
            <w:right w:w="70" w:type="dxa"/>
          </w:tblCellMar>
        </w:tblPrEx>
        <w:trPr>
          <w:trHeight w:hRule="exact" w:val="227"/>
        </w:trPr>
        <w:tc>
          <w:tcPr>
            <w:tcW w:w="556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F90106" w:rsidRPr="005360FA" w:rsidP="00302CE9">
            <w:pPr>
              <w:spacing w:line="240" w:lineRule="auto"/>
              <w:jc w:val="left"/>
              <w:rPr>
                <w:rFonts w:ascii="Arial Narrow" w:hAnsi="Arial Narrow" w:cs="Times New Roman"/>
              </w:rPr>
            </w:pPr>
            <w:r w:rsidRPr="005360FA">
              <w:rPr>
                <w:rFonts w:ascii="Arial Narrow" w:hAnsi="Arial Narrow" w:cs="Times New Roman"/>
              </w:rPr>
              <w:t xml:space="preserve">Dlhodobý nehmotný majetok súčet </w:t>
            </w:r>
          </w:p>
        </w:tc>
        <w:tc>
          <w:tcPr>
            <w:tcW w:w="146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F90106" w:rsidRPr="005360FA" w:rsidP="00302CE9">
            <w:pPr>
              <w:spacing w:line="240" w:lineRule="auto"/>
              <w:jc w:val="right"/>
              <w:rPr>
                <w:rFonts w:ascii="Arial Narrow" w:hAnsi="Arial Narrow" w:cs="Times New Roman"/>
              </w:rPr>
            </w:pPr>
            <w:r w:rsidR="00CA3F8C">
              <w:rPr>
                <w:rFonts w:ascii="Arial Narrow" w:hAnsi="Arial Narrow" w:cs="Times New Roman"/>
              </w:rPr>
              <w:t>3</w:t>
            </w:r>
          </w:p>
        </w:tc>
        <w:tc>
          <w:tcPr>
            <w:tcW w:w="156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F90106" w:rsidRPr="00CA3F8C" w:rsidP="00CA3F8C">
            <w:pPr>
              <w:spacing w:line="240" w:lineRule="auto"/>
              <w:jc w:val="right"/>
              <w:rPr>
                <w:rFonts w:ascii="Arial Narrow" w:hAnsi="Arial Narrow" w:cs="Times New Roman"/>
              </w:rPr>
            </w:pPr>
            <w:r w:rsidRPr="00CA3F8C" w:rsidR="00CA3F8C">
              <w:rPr>
                <w:rFonts w:ascii="Arial Narrow" w:hAnsi="Arial Narrow" w:cs="Times New Roman"/>
              </w:rPr>
              <w:t>5</w:t>
            </w:r>
          </w:p>
        </w:tc>
      </w:tr>
      <w:tr>
        <w:tblPrEx>
          <w:tblW w:w="8580" w:type="dxa"/>
          <w:tblInd w:w="610" w:type="dxa"/>
          <w:tblCellMar>
            <w:left w:w="70" w:type="dxa"/>
            <w:right w:w="70" w:type="dxa"/>
          </w:tblCellMar>
        </w:tblPrEx>
        <w:trPr>
          <w:trHeight w:hRule="exact" w:val="227"/>
        </w:trPr>
        <w:tc>
          <w:tcPr>
            <w:tcW w:w="556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F90106" w:rsidRPr="005360FA" w:rsidP="00302CE9">
            <w:pPr>
              <w:spacing w:line="240" w:lineRule="auto"/>
              <w:jc w:val="left"/>
              <w:rPr>
                <w:rFonts w:ascii="Arial Narrow" w:hAnsi="Arial Narrow" w:cs="Times New Roman"/>
              </w:rPr>
            </w:pPr>
            <w:r w:rsidRPr="005360FA">
              <w:rPr>
                <w:rFonts w:ascii="Arial Narrow" w:hAnsi="Arial Narrow" w:cs="Times New Roman"/>
              </w:rPr>
              <w:t xml:space="preserve">Softvér </w:t>
            </w:r>
          </w:p>
        </w:tc>
        <w:tc>
          <w:tcPr>
            <w:tcW w:w="146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F90106" w:rsidRPr="005360FA" w:rsidP="00302CE9">
            <w:pPr>
              <w:spacing w:line="240" w:lineRule="auto"/>
              <w:jc w:val="right"/>
              <w:rPr>
                <w:rFonts w:ascii="Arial Narrow" w:hAnsi="Arial Narrow" w:cs="Times New Roman"/>
              </w:rPr>
            </w:pPr>
            <w:r w:rsidR="00CA3F8C">
              <w:rPr>
                <w:rFonts w:ascii="Arial Narrow" w:hAnsi="Arial Narrow" w:cs="Times New Roman"/>
              </w:rPr>
              <w:t>3</w:t>
            </w:r>
          </w:p>
        </w:tc>
        <w:tc>
          <w:tcPr>
            <w:tcW w:w="156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F90106" w:rsidRPr="005360FA" w:rsidP="00302CE9">
            <w:pPr>
              <w:spacing w:line="240" w:lineRule="auto"/>
              <w:jc w:val="right"/>
              <w:rPr>
                <w:rFonts w:ascii="Arial Narrow" w:hAnsi="Arial Narrow" w:cs="Times New Roman"/>
              </w:rPr>
            </w:pPr>
            <w:r w:rsidR="00CA3F8C">
              <w:rPr>
                <w:rFonts w:ascii="Arial Narrow" w:hAnsi="Arial Narrow" w:cs="Times New Roman"/>
              </w:rPr>
              <w:t>5</w:t>
            </w:r>
          </w:p>
        </w:tc>
      </w:tr>
      <w:tr>
        <w:tblPrEx>
          <w:tblW w:w="8580" w:type="dxa"/>
          <w:tblInd w:w="610" w:type="dxa"/>
          <w:tblCellMar>
            <w:left w:w="70" w:type="dxa"/>
            <w:right w:w="70" w:type="dxa"/>
          </w:tblCellMar>
        </w:tblPrEx>
        <w:trPr>
          <w:trHeight w:hRule="exact" w:val="227"/>
        </w:trPr>
        <w:tc>
          <w:tcPr>
            <w:tcW w:w="556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F90106" w:rsidRPr="005360FA" w:rsidP="00302CE9">
            <w:pPr>
              <w:spacing w:line="240" w:lineRule="auto"/>
              <w:jc w:val="left"/>
              <w:rPr>
                <w:rFonts w:ascii="Arial Narrow" w:hAnsi="Arial Narrow" w:cs="Times New Roman"/>
              </w:rPr>
            </w:pPr>
            <w:r w:rsidRPr="005360FA">
              <w:rPr>
                <w:rFonts w:ascii="Arial Narrow" w:hAnsi="Arial Narrow" w:cs="Times New Roman"/>
              </w:rPr>
              <w:t xml:space="preserve">Dlhodobý hmotný majetok súčet </w:t>
            </w:r>
          </w:p>
        </w:tc>
        <w:tc>
          <w:tcPr>
            <w:tcW w:w="146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F90106" w:rsidRPr="005360FA" w:rsidP="00302CE9">
            <w:pPr>
              <w:spacing w:line="240" w:lineRule="auto"/>
              <w:jc w:val="right"/>
              <w:rPr>
                <w:rFonts w:ascii="Arial Narrow" w:hAnsi="Arial Narrow" w:cs="Times New Roman"/>
              </w:rPr>
            </w:pPr>
            <w:r w:rsidR="00CA3F8C">
              <w:rPr>
                <w:rFonts w:ascii="Arial Narrow" w:hAnsi="Arial Narrow" w:cs="Times New Roman"/>
              </w:rPr>
              <w:t>495 545</w:t>
            </w:r>
          </w:p>
        </w:tc>
        <w:tc>
          <w:tcPr>
            <w:tcW w:w="156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F90106" w:rsidRPr="005360FA" w:rsidP="00302CE9">
            <w:pPr>
              <w:spacing w:line="240" w:lineRule="auto"/>
              <w:jc w:val="right"/>
              <w:rPr>
                <w:rFonts w:ascii="Arial Narrow" w:hAnsi="Arial Narrow" w:cs="Times New Roman"/>
              </w:rPr>
            </w:pPr>
            <w:r w:rsidR="00A7017D">
              <w:rPr>
                <w:rFonts w:ascii="Arial Narrow" w:hAnsi="Arial Narrow" w:cs="Times New Roman"/>
              </w:rPr>
              <w:t>495 650</w:t>
            </w:r>
          </w:p>
        </w:tc>
      </w:tr>
      <w:tr>
        <w:tblPrEx>
          <w:tblW w:w="8580" w:type="dxa"/>
          <w:tblInd w:w="610" w:type="dxa"/>
          <w:tblCellMar>
            <w:left w:w="70" w:type="dxa"/>
            <w:right w:w="70" w:type="dxa"/>
          </w:tblCellMar>
        </w:tblPrEx>
        <w:trPr>
          <w:trHeight w:hRule="exact" w:val="227"/>
        </w:trPr>
        <w:tc>
          <w:tcPr>
            <w:tcW w:w="556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F90106" w:rsidRPr="005360FA" w:rsidP="00302CE9">
            <w:pPr>
              <w:spacing w:line="240" w:lineRule="auto"/>
              <w:jc w:val="left"/>
              <w:rPr>
                <w:rFonts w:ascii="Arial Narrow" w:hAnsi="Arial Narrow" w:cs="Times New Roman"/>
              </w:rPr>
            </w:pPr>
            <w:r w:rsidRPr="005360FA">
              <w:rPr>
                <w:rFonts w:ascii="Arial Narrow" w:hAnsi="Arial Narrow" w:cs="Times New Roman"/>
              </w:rPr>
              <w:t xml:space="preserve">Pozemky </w:t>
            </w:r>
          </w:p>
        </w:tc>
        <w:tc>
          <w:tcPr>
            <w:tcW w:w="146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F90106" w:rsidRPr="005360FA" w:rsidP="00302CE9">
            <w:pPr>
              <w:spacing w:line="240" w:lineRule="auto"/>
              <w:jc w:val="right"/>
              <w:rPr>
                <w:rFonts w:ascii="Arial Narrow" w:hAnsi="Arial Narrow" w:cs="Times New Roman"/>
              </w:rPr>
            </w:pPr>
            <w:r w:rsidR="00CA3F8C">
              <w:rPr>
                <w:rFonts w:ascii="Arial Narrow" w:hAnsi="Arial Narrow" w:cs="Times New Roman"/>
              </w:rPr>
              <w:t>421 880</w:t>
            </w:r>
          </w:p>
        </w:tc>
        <w:tc>
          <w:tcPr>
            <w:tcW w:w="156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F90106" w:rsidRPr="005360FA" w:rsidP="00302CE9">
            <w:pPr>
              <w:spacing w:line="240" w:lineRule="auto"/>
              <w:jc w:val="right"/>
              <w:rPr>
                <w:rFonts w:ascii="Arial Narrow" w:hAnsi="Arial Narrow" w:cs="Times New Roman"/>
              </w:rPr>
            </w:pPr>
            <w:r w:rsidR="00CA3F8C">
              <w:rPr>
                <w:rFonts w:ascii="Arial Narrow" w:hAnsi="Arial Narrow" w:cs="Times New Roman"/>
              </w:rPr>
              <w:t>421 880</w:t>
            </w:r>
          </w:p>
        </w:tc>
      </w:tr>
      <w:tr>
        <w:tblPrEx>
          <w:tblW w:w="8580" w:type="dxa"/>
          <w:tblInd w:w="610" w:type="dxa"/>
          <w:tblCellMar>
            <w:left w:w="70" w:type="dxa"/>
            <w:right w:w="70" w:type="dxa"/>
          </w:tblCellMar>
        </w:tblPrEx>
        <w:trPr>
          <w:trHeight w:hRule="exact" w:val="227"/>
        </w:trPr>
        <w:tc>
          <w:tcPr>
            <w:tcW w:w="556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F90106" w:rsidRPr="005360FA" w:rsidP="00302CE9">
            <w:pPr>
              <w:spacing w:line="240" w:lineRule="auto"/>
              <w:jc w:val="left"/>
              <w:rPr>
                <w:rFonts w:ascii="Arial Narrow" w:hAnsi="Arial Narrow" w:cs="Times New Roman"/>
              </w:rPr>
            </w:pPr>
            <w:r w:rsidRPr="005360FA">
              <w:rPr>
                <w:rFonts w:ascii="Arial Narrow" w:hAnsi="Arial Narrow" w:cs="Times New Roman"/>
              </w:rPr>
              <w:t xml:space="preserve">Stavby </w:t>
            </w:r>
          </w:p>
        </w:tc>
        <w:tc>
          <w:tcPr>
            <w:tcW w:w="146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F90106" w:rsidRPr="005360FA" w:rsidP="00302CE9">
            <w:pPr>
              <w:spacing w:line="240" w:lineRule="auto"/>
              <w:jc w:val="right"/>
              <w:rPr>
                <w:rFonts w:ascii="Arial Narrow" w:hAnsi="Arial Narrow" w:cs="Times New Roman"/>
              </w:rPr>
            </w:pPr>
            <w:r w:rsidR="00CA3F8C">
              <w:rPr>
                <w:rFonts w:ascii="Arial Narrow" w:hAnsi="Arial Narrow" w:cs="Times New Roman"/>
              </w:rPr>
              <w:t>53 600</w:t>
            </w:r>
          </w:p>
        </w:tc>
        <w:tc>
          <w:tcPr>
            <w:tcW w:w="156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F90106" w:rsidRPr="005360FA" w:rsidP="00302CE9">
            <w:pPr>
              <w:spacing w:line="240" w:lineRule="auto"/>
              <w:jc w:val="right"/>
              <w:rPr>
                <w:rFonts w:ascii="Arial Narrow" w:hAnsi="Arial Narrow" w:cs="Times New Roman"/>
              </w:rPr>
            </w:pPr>
            <w:r w:rsidR="00CA3F8C">
              <w:rPr>
                <w:rFonts w:ascii="Arial Narrow" w:hAnsi="Arial Narrow" w:cs="Times New Roman"/>
              </w:rPr>
              <w:t>56 682</w:t>
            </w:r>
          </w:p>
        </w:tc>
      </w:tr>
      <w:tr>
        <w:tblPrEx>
          <w:tblW w:w="8580" w:type="dxa"/>
          <w:tblInd w:w="610" w:type="dxa"/>
          <w:tblCellMar>
            <w:left w:w="70" w:type="dxa"/>
            <w:right w:w="70" w:type="dxa"/>
          </w:tblCellMar>
        </w:tblPrEx>
        <w:trPr>
          <w:trHeight w:hRule="exact" w:val="227"/>
        </w:trPr>
        <w:tc>
          <w:tcPr>
            <w:tcW w:w="556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F90106" w:rsidRPr="005360FA" w:rsidP="00302CE9">
            <w:pPr>
              <w:spacing w:line="240" w:lineRule="auto"/>
              <w:jc w:val="left"/>
              <w:rPr>
                <w:rFonts w:ascii="Arial Narrow" w:hAnsi="Arial Narrow" w:cs="Times New Roman"/>
              </w:rPr>
            </w:pPr>
            <w:r w:rsidRPr="005360FA">
              <w:rPr>
                <w:rFonts w:ascii="Arial Narrow" w:hAnsi="Arial Narrow" w:cs="Times New Roman"/>
              </w:rPr>
              <w:t xml:space="preserve">Samostatné hnuteľné veci a súbory hnuteľných vecí </w:t>
            </w:r>
          </w:p>
        </w:tc>
        <w:tc>
          <w:tcPr>
            <w:tcW w:w="146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F90106" w:rsidRPr="005360FA" w:rsidP="00302CE9">
            <w:pPr>
              <w:spacing w:line="240" w:lineRule="auto"/>
              <w:jc w:val="right"/>
              <w:rPr>
                <w:rFonts w:ascii="Arial Narrow" w:hAnsi="Arial Narrow" w:cs="Times New Roman"/>
              </w:rPr>
            </w:pPr>
            <w:r w:rsidR="00CA3F8C">
              <w:rPr>
                <w:rFonts w:ascii="Arial Narrow" w:hAnsi="Arial Narrow" w:cs="Times New Roman"/>
              </w:rPr>
              <w:t>13 609</w:t>
            </w:r>
          </w:p>
        </w:tc>
        <w:tc>
          <w:tcPr>
            <w:tcW w:w="156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F90106" w:rsidRPr="005360FA" w:rsidP="00302CE9">
            <w:pPr>
              <w:spacing w:line="240" w:lineRule="auto"/>
              <w:jc w:val="right"/>
              <w:rPr>
                <w:rFonts w:ascii="Arial Narrow" w:hAnsi="Arial Narrow" w:cs="Times New Roman"/>
              </w:rPr>
            </w:pPr>
            <w:r w:rsidR="00CA3F8C">
              <w:rPr>
                <w:rFonts w:ascii="Arial Narrow" w:hAnsi="Arial Narrow" w:cs="Times New Roman"/>
              </w:rPr>
              <w:t>16 821</w:t>
            </w:r>
          </w:p>
        </w:tc>
      </w:tr>
      <w:tr>
        <w:tblPrEx>
          <w:tblW w:w="8580" w:type="dxa"/>
          <w:tblInd w:w="610" w:type="dxa"/>
          <w:tblCellMar>
            <w:left w:w="70" w:type="dxa"/>
            <w:right w:w="70" w:type="dxa"/>
          </w:tblCellMar>
        </w:tblPrEx>
        <w:trPr>
          <w:trHeight w:hRule="exact" w:val="227"/>
        </w:trPr>
        <w:tc>
          <w:tcPr>
            <w:tcW w:w="556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F90106" w:rsidRPr="005360FA" w:rsidP="00302CE9">
            <w:pPr>
              <w:spacing w:line="240" w:lineRule="auto"/>
              <w:jc w:val="left"/>
              <w:rPr>
                <w:rFonts w:ascii="Arial Narrow" w:hAnsi="Arial Narrow" w:cs="Times New Roman"/>
              </w:rPr>
            </w:pPr>
            <w:r w:rsidRPr="005360FA">
              <w:rPr>
                <w:rFonts w:ascii="Arial Narrow" w:hAnsi="Arial Narrow" w:cs="Times New Roman"/>
              </w:rPr>
              <w:t xml:space="preserve">Obstarávaný dlhodobý hmotný majetok </w:t>
            </w:r>
          </w:p>
        </w:tc>
        <w:tc>
          <w:tcPr>
            <w:tcW w:w="146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F90106" w:rsidRPr="005360FA" w:rsidP="00302CE9">
            <w:pPr>
              <w:spacing w:line="240" w:lineRule="auto"/>
              <w:jc w:val="right"/>
              <w:rPr>
                <w:rFonts w:ascii="Arial Narrow" w:hAnsi="Arial Narrow" w:cs="Times New Roman"/>
              </w:rPr>
            </w:pPr>
            <w:r w:rsidR="00CA3F8C">
              <w:rPr>
                <w:rFonts w:ascii="Arial Narrow" w:hAnsi="Arial Narrow" w:cs="Times New Roman"/>
              </w:rPr>
              <w:t>6 456</w:t>
            </w:r>
          </w:p>
        </w:tc>
        <w:tc>
          <w:tcPr>
            <w:tcW w:w="156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F90106" w:rsidRPr="005360FA" w:rsidP="00302CE9">
            <w:pPr>
              <w:spacing w:line="240" w:lineRule="auto"/>
              <w:jc w:val="right"/>
              <w:rPr>
                <w:rFonts w:ascii="Arial Narrow" w:hAnsi="Arial Narrow" w:cs="Times New Roman"/>
              </w:rPr>
            </w:pPr>
            <w:r w:rsidR="00CA3F8C">
              <w:rPr>
                <w:rFonts w:ascii="Arial Narrow" w:hAnsi="Arial Narrow" w:cs="Times New Roman"/>
              </w:rPr>
              <w:t>267</w:t>
            </w:r>
          </w:p>
        </w:tc>
      </w:tr>
      <w:tr>
        <w:tblPrEx>
          <w:tblW w:w="8580" w:type="dxa"/>
          <w:tblInd w:w="610" w:type="dxa"/>
          <w:tblCellMar>
            <w:left w:w="70" w:type="dxa"/>
            <w:right w:w="70" w:type="dxa"/>
          </w:tblCellMar>
        </w:tblPrEx>
        <w:trPr>
          <w:trHeight w:hRule="exact" w:val="227"/>
        </w:trPr>
        <w:tc>
          <w:tcPr>
            <w:tcW w:w="556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F90106" w:rsidRPr="005360FA" w:rsidP="00302CE9">
            <w:pPr>
              <w:spacing w:line="240" w:lineRule="auto"/>
              <w:jc w:val="left"/>
              <w:rPr>
                <w:rFonts w:ascii="Arial Narrow" w:hAnsi="Arial Narrow" w:cs="Times New Roman"/>
              </w:rPr>
            </w:pPr>
            <w:r w:rsidRPr="005360FA">
              <w:rPr>
                <w:rFonts w:ascii="Arial Narrow" w:hAnsi="Arial Narrow" w:cs="Times New Roman"/>
              </w:rPr>
              <w:t xml:space="preserve">Obežný majetok </w:t>
            </w:r>
          </w:p>
        </w:tc>
        <w:tc>
          <w:tcPr>
            <w:tcW w:w="146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F90106" w:rsidRPr="005360FA" w:rsidP="00302CE9">
            <w:pPr>
              <w:spacing w:line="240" w:lineRule="auto"/>
              <w:jc w:val="right"/>
              <w:rPr>
                <w:rFonts w:ascii="Arial Narrow" w:hAnsi="Arial Narrow" w:cs="Times New Roman"/>
              </w:rPr>
            </w:pPr>
            <w:r w:rsidR="00CA3F8C">
              <w:rPr>
                <w:rFonts w:ascii="Arial Narrow" w:hAnsi="Arial Narrow" w:cs="Times New Roman"/>
              </w:rPr>
              <w:t>8805</w:t>
            </w:r>
          </w:p>
        </w:tc>
        <w:tc>
          <w:tcPr>
            <w:tcW w:w="156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F90106" w:rsidRPr="005360FA" w:rsidP="00302CE9">
            <w:pPr>
              <w:spacing w:line="240" w:lineRule="auto"/>
              <w:jc w:val="right"/>
              <w:rPr>
                <w:rFonts w:ascii="Arial Narrow" w:hAnsi="Arial Narrow" w:cs="Times New Roman"/>
              </w:rPr>
            </w:pPr>
            <w:r w:rsidR="00CA3F8C">
              <w:rPr>
                <w:rFonts w:ascii="Arial Narrow" w:hAnsi="Arial Narrow" w:cs="Times New Roman"/>
              </w:rPr>
              <w:t>6 050</w:t>
            </w:r>
          </w:p>
        </w:tc>
      </w:tr>
      <w:tr>
        <w:tblPrEx>
          <w:tblW w:w="8580" w:type="dxa"/>
          <w:tblInd w:w="610" w:type="dxa"/>
          <w:tblCellMar>
            <w:left w:w="70" w:type="dxa"/>
            <w:right w:w="70" w:type="dxa"/>
          </w:tblCellMar>
        </w:tblPrEx>
        <w:trPr>
          <w:trHeight w:hRule="exact" w:val="227"/>
        </w:trPr>
        <w:tc>
          <w:tcPr>
            <w:tcW w:w="556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F90106" w:rsidRPr="005360FA" w:rsidP="00302CE9">
            <w:pPr>
              <w:spacing w:line="240" w:lineRule="auto"/>
              <w:jc w:val="left"/>
              <w:rPr>
                <w:rFonts w:ascii="Arial Narrow" w:hAnsi="Arial Narrow" w:cs="Times New Roman"/>
              </w:rPr>
            </w:pPr>
            <w:r w:rsidRPr="005360FA">
              <w:rPr>
                <w:rFonts w:ascii="Arial Narrow" w:hAnsi="Arial Narrow" w:cs="Times New Roman"/>
              </w:rPr>
              <w:t xml:space="preserve">Zásoby súčet </w:t>
            </w:r>
          </w:p>
        </w:tc>
        <w:tc>
          <w:tcPr>
            <w:tcW w:w="146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F90106" w:rsidRPr="005360FA" w:rsidP="00302CE9">
            <w:pPr>
              <w:spacing w:line="240" w:lineRule="auto"/>
              <w:jc w:val="right"/>
              <w:rPr>
                <w:rFonts w:ascii="Arial Narrow" w:hAnsi="Arial Narrow" w:cs="Times New Roman"/>
              </w:rPr>
            </w:pPr>
            <w:r w:rsidR="00CA3F8C">
              <w:rPr>
                <w:rFonts w:ascii="Arial Narrow" w:hAnsi="Arial Narrow" w:cs="Times New Roman"/>
              </w:rPr>
              <w:t>1 515</w:t>
            </w:r>
          </w:p>
        </w:tc>
        <w:tc>
          <w:tcPr>
            <w:tcW w:w="156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F90106" w:rsidRPr="005360FA" w:rsidP="00302CE9">
            <w:pPr>
              <w:spacing w:line="240" w:lineRule="auto"/>
              <w:jc w:val="right"/>
              <w:rPr>
                <w:rFonts w:ascii="Arial Narrow" w:hAnsi="Arial Narrow" w:cs="Times New Roman"/>
              </w:rPr>
            </w:pPr>
            <w:r w:rsidR="00CA3F8C">
              <w:rPr>
                <w:rFonts w:ascii="Arial Narrow" w:hAnsi="Arial Narrow" w:cs="Times New Roman"/>
              </w:rPr>
              <w:t>1 851</w:t>
            </w:r>
          </w:p>
        </w:tc>
      </w:tr>
      <w:tr>
        <w:tblPrEx>
          <w:tblW w:w="8580" w:type="dxa"/>
          <w:tblInd w:w="610" w:type="dxa"/>
          <w:tblCellMar>
            <w:left w:w="70" w:type="dxa"/>
            <w:right w:w="70" w:type="dxa"/>
          </w:tblCellMar>
        </w:tblPrEx>
        <w:trPr>
          <w:trHeight w:hRule="exact" w:val="227"/>
        </w:trPr>
        <w:tc>
          <w:tcPr>
            <w:tcW w:w="556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F90106" w:rsidRPr="005360FA" w:rsidP="00302CE9">
            <w:pPr>
              <w:spacing w:line="240" w:lineRule="auto"/>
              <w:jc w:val="left"/>
              <w:rPr>
                <w:rFonts w:ascii="Arial Narrow" w:hAnsi="Arial Narrow" w:cs="Times New Roman"/>
              </w:rPr>
            </w:pPr>
            <w:r w:rsidRPr="005360FA">
              <w:rPr>
                <w:rFonts w:ascii="Arial Narrow" w:hAnsi="Arial Narrow" w:cs="Times New Roman"/>
              </w:rPr>
              <w:t xml:space="preserve">Materiál </w:t>
            </w:r>
          </w:p>
        </w:tc>
        <w:tc>
          <w:tcPr>
            <w:tcW w:w="146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F90106" w:rsidRPr="005360FA" w:rsidP="00302CE9">
            <w:pPr>
              <w:spacing w:line="240" w:lineRule="auto"/>
              <w:jc w:val="right"/>
              <w:rPr>
                <w:rFonts w:ascii="Arial Narrow" w:hAnsi="Arial Narrow" w:cs="Times New Roman"/>
              </w:rPr>
            </w:pPr>
            <w:r w:rsidR="00CA3F8C">
              <w:rPr>
                <w:rFonts w:ascii="Arial Narrow" w:hAnsi="Arial Narrow" w:cs="Times New Roman"/>
              </w:rPr>
              <w:t>1 268</w:t>
            </w:r>
          </w:p>
        </w:tc>
        <w:tc>
          <w:tcPr>
            <w:tcW w:w="156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F90106" w:rsidRPr="005360FA" w:rsidP="00302CE9">
            <w:pPr>
              <w:spacing w:line="240" w:lineRule="auto"/>
              <w:jc w:val="right"/>
              <w:rPr>
                <w:rFonts w:ascii="Arial Narrow" w:hAnsi="Arial Narrow" w:cs="Times New Roman"/>
              </w:rPr>
            </w:pPr>
            <w:r w:rsidR="00CA3F8C">
              <w:rPr>
                <w:rFonts w:ascii="Arial Narrow" w:hAnsi="Arial Narrow" w:cs="Times New Roman"/>
              </w:rPr>
              <w:t>1 160</w:t>
            </w:r>
          </w:p>
        </w:tc>
      </w:tr>
      <w:tr>
        <w:tblPrEx>
          <w:tblW w:w="8580" w:type="dxa"/>
          <w:tblInd w:w="610" w:type="dxa"/>
          <w:tblCellMar>
            <w:left w:w="70" w:type="dxa"/>
            <w:right w:w="70" w:type="dxa"/>
          </w:tblCellMar>
        </w:tblPrEx>
        <w:trPr>
          <w:trHeight w:hRule="exact" w:val="227"/>
        </w:trPr>
        <w:tc>
          <w:tcPr>
            <w:tcW w:w="556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F90106" w:rsidRPr="005360FA" w:rsidP="00302CE9">
            <w:pPr>
              <w:spacing w:line="240" w:lineRule="auto"/>
              <w:jc w:val="left"/>
              <w:rPr>
                <w:rFonts w:ascii="Arial Narrow" w:hAnsi="Arial Narrow" w:cs="Times New Roman"/>
              </w:rPr>
            </w:pPr>
            <w:r w:rsidRPr="005360FA">
              <w:rPr>
                <w:rFonts w:ascii="Arial Narrow" w:hAnsi="Arial Narrow" w:cs="Times New Roman"/>
              </w:rPr>
              <w:t xml:space="preserve">Tovar </w:t>
            </w:r>
          </w:p>
        </w:tc>
        <w:tc>
          <w:tcPr>
            <w:tcW w:w="146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F90106" w:rsidRPr="005360FA" w:rsidP="00302CE9">
            <w:pPr>
              <w:spacing w:line="240" w:lineRule="auto"/>
              <w:jc w:val="right"/>
              <w:rPr>
                <w:rFonts w:ascii="Arial Narrow" w:hAnsi="Arial Narrow" w:cs="Times New Roman"/>
              </w:rPr>
            </w:pPr>
            <w:r w:rsidR="00CA3F8C">
              <w:rPr>
                <w:rFonts w:ascii="Arial Narrow" w:hAnsi="Arial Narrow" w:cs="Times New Roman"/>
              </w:rPr>
              <w:t>613</w:t>
            </w:r>
          </w:p>
        </w:tc>
        <w:tc>
          <w:tcPr>
            <w:tcW w:w="156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F90106" w:rsidRPr="005360FA" w:rsidP="00302CE9">
            <w:pPr>
              <w:spacing w:line="240" w:lineRule="auto"/>
              <w:jc w:val="right"/>
              <w:rPr>
                <w:rFonts w:ascii="Arial Narrow" w:hAnsi="Arial Narrow" w:cs="Times New Roman"/>
              </w:rPr>
            </w:pPr>
            <w:r w:rsidR="00CA3F8C">
              <w:rPr>
                <w:rFonts w:ascii="Arial Narrow" w:hAnsi="Arial Narrow" w:cs="Times New Roman"/>
              </w:rPr>
              <w:t>691</w:t>
            </w:r>
          </w:p>
        </w:tc>
      </w:tr>
      <w:tr>
        <w:tblPrEx>
          <w:tblW w:w="8580" w:type="dxa"/>
          <w:tblInd w:w="610" w:type="dxa"/>
          <w:tblCellMar>
            <w:left w:w="70" w:type="dxa"/>
            <w:right w:w="70" w:type="dxa"/>
          </w:tblCellMar>
        </w:tblPrEx>
        <w:trPr>
          <w:trHeight w:hRule="exact" w:val="227"/>
        </w:trPr>
        <w:tc>
          <w:tcPr>
            <w:tcW w:w="556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CA3F8C" w:rsidRPr="005360FA" w:rsidP="00302CE9">
            <w:pPr>
              <w:spacing w:line="240" w:lineRule="auto"/>
              <w:jc w:val="left"/>
              <w:rPr>
                <w:rFonts w:ascii="Arial Narrow" w:hAnsi="Arial Narrow" w:cs="Times New Roman"/>
              </w:rPr>
            </w:pPr>
            <w:r>
              <w:rPr>
                <w:rFonts w:ascii="Arial Narrow" w:hAnsi="Arial Narrow" w:cs="Times New Roman"/>
              </w:rPr>
              <w:t xml:space="preserve">Poskytnuté preddavky na zásoby </w:t>
            </w:r>
          </w:p>
        </w:tc>
        <w:tc>
          <w:tcPr>
            <w:tcW w:w="146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CA3F8C" w:rsidRPr="005360FA" w:rsidP="00302CE9">
            <w:pPr>
              <w:spacing w:line="240" w:lineRule="auto"/>
              <w:jc w:val="right"/>
              <w:rPr>
                <w:rFonts w:ascii="Arial Narrow" w:hAnsi="Arial Narrow" w:cs="Times New Roman"/>
              </w:rPr>
            </w:pPr>
            <w:r>
              <w:rPr>
                <w:rFonts w:ascii="Arial Narrow" w:hAnsi="Arial Narrow" w:cs="Times New Roman"/>
              </w:rPr>
              <w:t>- 366</w:t>
            </w:r>
          </w:p>
        </w:tc>
        <w:tc>
          <w:tcPr>
            <w:tcW w:w="156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CA3F8C" w:rsidRPr="005360FA" w:rsidP="00302CE9">
            <w:pPr>
              <w:spacing w:line="240" w:lineRule="auto"/>
              <w:jc w:val="right"/>
              <w:rPr>
                <w:rFonts w:ascii="Arial Narrow" w:hAnsi="Arial Narrow" w:cs="Times New Roman"/>
              </w:rPr>
            </w:pPr>
            <w:r>
              <w:rPr>
                <w:rFonts w:ascii="Arial Narrow" w:hAnsi="Arial Narrow" w:cs="Times New Roman"/>
              </w:rPr>
              <w:t>-</w:t>
            </w:r>
          </w:p>
        </w:tc>
      </w:tr>
      <w:tr>
        <w:tblPrEx>
          <w:tblW w:w="8580" w:type="dxa"/>
          <w:tblInd w:w="610" w:type="dxa"/>
          <w:tblCellMar>
            <w:left w:w="70" w:type="dxa"/>
            <w:right w:w="70" w:type="dxa"/>
          </w:tblCellMar>
        </w:tblPrEx>
        <w:trPr>
          <w:trHeight w:hRule="exact" w:val="227"/>
        </w:trPr>
        <w:tc>
          <w:tcPr>
            <w:tcW w:w="556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F90106" w:rsidRPr="005360FA" w:rsidP="00302CE9">
            <w:pPr>
              <w:spacing w:line="240" w:lineRule="auto"/>
              <w:jc w:val="left"/>
              <w:rPr>
                <w:rFonts w:ascii="Arial Narrow" w:hAnsi="Arial Narrow" w:cs="Times New Roman"/>
              </w:rPr>
            </w:pPr>
            <w:r w:rsidRPr="005360FA">
              <w:rPr>
                <w:rFonts w:ascii="Arial Narrow" w:hAnsi="Arial Narrow" w:cs="Times New Roman"/>
              </w:rPr>
              <w:t xml:space="preserve">Krátkodobé pohľadávky súčet </w:t>
            </w:r>
          </w:p>
        </w:tc>
        <w:tc>
          <w:tcPr>
            <w:tcW w:w="146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F90106" w:rsidRPr="005360FA" w:rsidP="00302CE9">
            <w:pPr>
              <w:spacing w:line="240" w:lineRule="auto"/>
              <w:jc w:val="right"/>
              <w:rPr>
                <w:rFonts w:ascii="Arial Narrow" w:hAnsi="Arial Narrow" w:cs="Times New Roman"/>
              </w:rPr>
            </w:pPr>
            <w:r w:rsidR="00CA3F8C">
              <w:rPr>
                <w:rFonts w:ascii="Arial Narrow" w:hAnsi="Arial Narrow" w:cs="Times New Roman"/>
              </w:rPr>
              <w:t>4 872</w:t>
            </w:r>
          </w:p>
        </w:tc>
        <w:tc>
          <w:tcPr>
            <w:tcW w:w="156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F90106" w:rsidRPr="005360FA" w:rsidP="00302CE9">
            <w:pPr>
              <w:spacing w:line="240" w:lineRule="auto"/>
              <w:jc w:val="right"/>
              <w:rPr>
                <w:rFonts w:ascii="Arial Narrow" w:hAnsi="Arial Narrow" w:cs="Times New Roman"/>
              </w:rPr>
            </w:pPr>
            <w:r w:rsidR="00CA3F8C">
              <w:rPr>
                <w:rFonts w:ascii="Arial Narrow" w:hAnsi="Arial Narrow" w:cs="Times New Roman"/>
              </w:rPr>
              <w:t>1 873</w:t>
            </w:r>
          </w:p>
        </w:tc>
      </w:tr>
      <w:tr>
        <w:tblPrEx>
          <w:tblW w:w="8580" w:type="dxa"/>
          <w:tblInd w:w="610" w:type="dxa"/>
          <w:tblCellMar>
            <w:left w:w="70" w:type="dxa"/>
            <w:right w:w="70" w:type="dxa"/>
          </w:tblCellMar>
        </w:tblPrEx>
        <w:trPr>
          <w:trHeight w:hRule="exact" w:val="227"/>
        </w:trPr>
        <w:tc>
          <w:tcPr>
            <w:tcW w:w="556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F90106" w:rsidRPr="005360FA" w:rsidP="00302CE9">
            <w:pPr>
              <w:spacing w:line="240" w:lineRule="auto"/>
              <w:jc w:val="left"/>
              <w:rPr>
                <w:rFonts w:ascii="Arial Narrow" w:hAnsi="Arial Narrow" w:cs="Times New Roman"/>
              </w:rPr>
            </w:pPr>
            <w:r w:rsidRPr="005360FA">
              <w:rPr>
                <w:rFonts w:ascii="Arial Narrow" w:hAnsi="Arial Narrow" w:cs="Times New Roman"/>
              </w:rPr>
              <w:t>Pohľadávky z obchodného styku</w:t>
            </w:r>
          </w:p>
        </w:tc>
        <w:tc>
          <w:tcPr>
            <w:tcW w:w="146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F90106" w:rsidRPr="005360FA" w:rsidP="00302CE9">
            <w:pPr>
              <w:spacing w:line="240" w:lineRule="auto"/>
              <w:jc w:val="right"/>
              <w:rPr>
                <w:rFonts w:ascii="Arial Narrow" w:hAnsi="Arial Narrow" w:cs="Times New Roman"/>
              </w:rPr>
            </w:pPr>
            <w:r w:rsidR="00CA3F8C">
              <w:rPr>
                <w:rFonts w:ascii="Arial Narrow" w:hAnsi="Arial Narrow" w:cs="Times New Roman"/>
              </w:rPr>
              <w:t>3 168</w:t>
            </w:r>
          </w:p>
        </w:tc>
        <w:tc>
          <w:tcPr>
            <w:tcW w:w="156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F90106" w:rsidRPr="005360FA" w:rsidP="00302CE9">
            <w:pPr>
              <w:spacing w:line="240" w:lineRule="auto"/>
              <w:jc w:val="right"/>
              <w:rPr>
                <w:rFonts w:ascii="Arial Narrow" w:hAnsi="Arial Narrow" w:cs="Times New Roman"/>
              </w:rPr>
            </w:pPr>
            <w:r w:rsidR="00CA3F8C">
              <w:rPr>
                <w:rFonts w:ascii="Arial Narrow" w:hAnsi="Arial Narrow" w:cs="Times New Roman"/>
              </w:rPr>
              <w:t>1 388</w:t>
            </w:r>
          </w:p>
        </w:tc>
      </w:tr>
      <w:tr>
        <w:tblPrEx>
          <w:tblW w:w="8580" w:type="dxa"/>
          <w:tblInd w:w="610" w:type="dxa"/>
          <w:tblCellMar>
            <w:left w:w="70" w:type="dxa"/>
            <w:right w:w="70" w:type="dxa"/>
          </w:tblCellMar>
        </w:tblPrEx>
        <w:trPr>
          <w:trHeight w:hRule="exact" w:val="227"/>
        </w:trPr>
        <w:tc>
          <w:tcPr>
            <w:tcW w:w="556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F90106" w:rsidRPr="005360FA" w:rsidP="00302CE9">
            <w:pPr>
              <w:spacing w:line="240" w:lineRule="auto"/>
              <w:jc w:val="left"/>
              <w:rPr>
                <w:rFonts w:ascii="Arial Narrow" w:hAnsi="Arial Narrow" w:cs="Times New Roman"/>
              </w:rPr>
            </w:pPr>
            <w:r w:rsidRPr="005360FA">
              <w:rPr>
                <w:rFonts w:ascii="Arial Narrow" w:hAnsi="Arial Narrow" w:cs="Times New Roman"/>
              </w:rPr>
              <w:t xml:space="preserve">Daňové pohľadávky </w:t>
            </w:r>
          </w:p>
        </w:tc>
        <w:tc>
          <w:tcPr>
            <w:tcW w:w="146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F90106" w:rsidRPr="005360FA" w:rsidP="00302CE9">
            <w:pPr>
              <w:spacing w:line="240" w:lineRule="auto"/>
              <w:jc w:val="right"/>
              <w:rPr>
                <w:rFonts w:ascii="Arial Narrow" w:hAnsi="Arial Narrow" w:cs="Times New Roman"/>
              </w:rPr>
            </w:pPr>
            <w:r w:rsidR="00CA3F8C">
              <w:rPr>
                <w:rFonts w:ascii="Arial Narrow" w:hAnsi="Arial Narrow" w:cs="Times New Roman"/>
              </w:rPr>
              <w:t>1 278</w:t>
            </w:r>
          </w:p>
        </w:tc>
        <w:tc>
          <w:tcPr>
            <w:tcW w:w="156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F90106" w:rsidRPr="005360FA" w:rsidP="00302CE9">
            <w:pPr>
              <w:spacing w:line="240" w:lineRule="auto"/>
              <w:jc w:val="right"/>
              <w:rPr>
                <w:rFonts w:ascii="Arial Narrow" w:hAnsi="Arial Narrow" w:cs="Times New Roman"/>
              </w:rPr>
            </w:pPr>
            <w:r w:rsidR="00CA3F8C">
              <w:rPr>
                <w:rFonts w:ascii="Arial Narrow" w:hAnsi="Arial Narrow" w:cs="Times New Roman"/>
              </w:rPr>
              <w:t>58</w:t>
            </w:r>
          </w:p>
        </w:tc>
      </w:tr>
      <w:tr>
        <w:tblPrEx>
          <w:tblW w:w="8580" w:type="dxa"/>
          <w:tblInd w:w="610" w:type="dxa"/>
          <w:tblCellMar>
            <w:left w:w="70" w:type="dxa"/>
            <w:right w:w="70" w:type="dxa"/>
          </w:tblCellMar>
        </w:tblPrEx>
        <w:trPr>
          <w:trHeight w:hRule="exact" w:val="227"/>
        </w:trPr>
        <w:tc>
          <w:tcPr>
            <w:tcW w:w="556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F90106" w:rsidRPr="005360FA" w:rsidP="00302CE9">
            <w:pPr>
              <w:spacing w:line="240" w:lineRule="auto"/>
              <w:jc w:val="left"/>
              <w:rPr>
                <w:rFonts w:ascii="Arial Narrow" w:hAnsi="Arial Narrow" w:cs="Times New Roman"/>
              </w:rPr>
            </w:pPr>
            <w:r w:rsidRPr="005360FA">
              <w:rPr>
                <w:rFonts w:ascii="Arial Narrow" w:hAnsi="Arial Narrow" w:cs="Times New Roman"/>
              </w:rPr>
              <w:t xml:space="preserve">Iné pohľadávky </w:t>
            </w:r>
          </w:p>
        </w:tc>
        <w:tc>
          <w:tcPr>
            <w:tcW w:w="146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F90106" w:rsidRPr="005360FA" w:rsidP="00302CE9">
            <w:pPr>
              <w:spacing w:line="240" w:lineRule="auto"/>
              <w:jc w:val="right"/>
              <w:rPr>
                <w:rFonts w:ascii="Arial Narrow" w:hAnsi="Arial Narrow" w:cs="Times New Roman"/>
              </w:rPr>
            </w:pPr>
            <w:r w:rsidR="00CA3F8C">
              <w:rPr>
                <w:rFonts w:ascii="Arial Narrow" w:hAnsi="Arial Narrow" w:cs="Times New Roman"/>
              </w:rPr>
              <w:t>426</w:t>
            </w:r>
          </w:p>
        </w:tc>
        <w:tc>
          <w:tcPr>
            <w:tcW w:w="156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F90106" w:rsidRPr="005360FA" w:rsidP="00302CE9">
            <w:pPr>
              <w:spacing w:line="240" w:lineRule="auto"/>
              <w:jc w:val="right"/>
              <w:rPr>
                <w:rFonts w:ascii="Arial Narrow" w:hAnsi="Arial Narrow" w:cs="Times New Roman"/>
              </w:rPr>
            </w:pPr>
            <w:r w:rsidR="00CA3F8C">
              <w:rPr>
                <w:rFonts w:ascii="Arial Narrow" w:hAnsi="Arial Narrow" w:cs="Times New Roman"/>
              </w:rPr>
              <w:t>427</w:t>
            </w:r>
          </w:p>
        </w:tc>
      </w:tr>
      <w:tr>
        <w:tblPrEx>
          <w:tblW w:w="8580" w:type="dxa"/>
          <w:tblInd w:w="610" w:type="dxa"/>
          <w:tblCellMar>
            <w:left w:w="70" w:type="dxa"/>
            <w:right w:w="70" w:type="dxa"/>
          </w:tblCellMar>
        </w:tblPrEx>
        <w:trPr>
          <w:trHeight w:hRule="exact" w:val="227"/>
        </w:trPr>
        <w:tc>
          <w:tcPr>
            <w:tcW w:w="556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F90106" w:rsidRPr="005360FA" w:rsidP="00302CE9">
            <w:pPr>
              <w:spacing w:line="240" w:lineRule="auto"/>
              <w:jc w:val="left"/>
              <w:rPr>
                <w:rFonts w:ascii="Arial Narrow" w:hAnsi="Arial Narrow" w:cs="Times New Roman"/>
              </w:rPr>
            </w:pPr>
            <w:r w:rsidRPr="005360FA">
              <w:rPr>
                <w:rFonts w:ascii="Arial Narrow" w:hAnsi="Arial Narrow" w:cs="Times New Roman"/>
              </w:rPr>
              <w:t xml:space="preserve">Finančné účty súčet </w:t>
            </w:r>
          </w:p>
        </w:tc>
        <w:tc>
          <w:tcPr>
            <w:tcW w:w="146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F90106" w:rsidRPr="005360FA" w:rsidP="00302CE9">
            <w:pPr>
              <w:spacing w:line="240" w:lineRule="auto"/>
              <w:jc w:val="right"/>
              <w:rPr>
                <w:rFonts w:ascii="Arial Narrow" w:hAnsi="Arial Narrow" w:cs="Times New Roman"/>
              </w:rPr>
            </w:pPr>
            <w:r w:rsidR="00CA3F8C">
              <w:rPr>
                <w:rFonts w:ascii="Arial Narrow" w:hAnsi="Arial Narrow" w:cs="Times New Roman"/>
              </w:rPr>
              <w:t>2 418</w:t>
            </w:r>
          </w:p>
        </w:tc>
        <w:tc>
          <w:tcPr>
            <w:tcW w:w="156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F90106" w:rsidRPr="005360FA" w:rsidP="00302CE9">
            <w:pPr>
              <w:spacing w:line="240" w:lineRule="auto"/>
              <w:jc w:val="right"/>
              <w:rPr>
                <w:rFonts w:ascii="Arial Narrow" w:hAnsi="Arial Narrow" w:cs="Times New Roman"/>
              </w:rPr>
            </w:pPr>
            <w:r w:rsidR="00CA3F8C">
              <w:rPr>
                <w:rFonts w:ascii="Arial Narrow" w:hAnsi="Arial Narrow" w:cs="Times New Roman"/>
              </w:rPr>
              <w:t>2 326</w:t>
            </w:r>
          </w:p>
        </w:tc>
      </w:tr>
      <w:tr>
        <w:tblPrEx>
          <w:tblW w:w="8580" w:type="dxa"/>
          <w:tblInd w:w="610" w:type="dxa"/>
          <w:tblCellMar>
            <w:left w:w="70" w:type="dxa"/>
            <w:right w:w="70" w:type="dxa"/>
          </w:tblCellMar>
        </w:tblPrEx>
        <w:trPr>
          <w:trHeight w:hRule="exact" w:val="227"/>
        </w:trPr>
        <w:tc>
          <w:tcPr>
            <w:tcW w:w="556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F90106" w:rsidRPr="005360FA" w:rsidP="00302CE9">
            <w:pPr>
              <w:spacing w:line="240" w:lineRule="auto"/>
              <w:jc w:val="left"/>
              <w:rPr>
                <w:rFonts w:ascii="Arial Narrow" w:hAnsi="Arial Narrow" w:cs="Times New Roman"/>
              </w:rPr>
            </w:pPr>
            <w:r w:rsidRPr="005360FA">
              <w:rPr>
                <w:rFonts w:ascii="Arial Narrow" w:hAnsi="Arial Narrow" w:cs="Times New Roman"/>
              </w:rPr>
              <w:t xml:space="preserve">Peniaze </w:t>
            </w:r>
          </w:p>
        </w:tc>
        <w:tc>
          <w:tcPr>
            <w:tcW w:w="146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F90106" w:rsidRPr="005360FA" w:rsidP="00302CE9">
            <w:pPr>
              <w:spacing w:line="240" w:lineRule="auto"/>
              <w:jc w:val="right"/>
              <w:rPr>
                <w:rFonts w:ascii="Arial Narrow" w:hAnsi="Arial Narrow" w:cs="Times New Roman"/>
              </w:rPr>
            </w:pPr>
            <w:r w:rsidR="00CA3F8C">
              <w:rPr>
                <w:rFonts w:ascii="Arial Narrow" w:hAnsi="Arial Narrow" w:cs="Times New Roman"/>
              </w:rPr>
              <w:t xml:space="preserve">66 </w:t>
            </w:r>
          </w:p>
        </w:tc>
        <w:tc>
          <w:tcPr>
            <w:tcW w:w="156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F90106" w:rsidRPr="00A7017D" w:rsidP="00CA3F8C">
            <w:pPr>
              <w:spacing w:line="240" w:lineRule="auto"/>
              <w:jc w:val="right"/>
              <w:rPr>
                <w:rFonts w:ascii="Arial Narrow" w:hAnsi="Arial Narrow" w:cs="Times New Roman"/>
                <w:u w:val="single"/>
              </w:rPr>
            </w:pPr>
            <w:r w:rsidRPr="00A7017D" w:rsidR="00CA3F8C">
              <w:rPr>
                <w:rFonts w:ascii="Arial Narrow" w:hAnsi="Arial Narrow" w:cs="Times New Roman"/>
                <w:u w:val="single"/>
              </w:rPr>
              <w:t>100</w:t>
            </w:r>
          </w:p>
        </w:tc>
      </w:tr>
      <w:tr>
        <w:tblPrEx>
          <w:tblW w:w="8580" w:type="dxa"/>
          <w:tblInd w:w="610" w:type="dxa"/>
          <w:tblCellMar>
            <w:left w:w="70" w:type="dxa"/>
            <w:right w:w="70" w:type="dxa"/>
          </w:tblCellMar>
        </w:tblPrEx>
        <w:trPr>
          <w:trHeight w:hRule="exact" w:val="227"/>
        </w:trPr>
        <w:tc>
          <w:tcPr>
            <w:tcW w:w="556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F90106" w:rsidRPr="005360FA" w:rsidP="00302CE9">
            <w:pPr>
              <w:spacing w:line="240" w:lineRule="auto"/>
              <w:jc w:val="left"/>
              <w:rPr>
                <w:rFonts w:ascii="Arial Narrow" w:hAnsi="Arial Narrow" w:cs="Times New Roman"/>
              </w:rPr>
            </w:pPr>
            <w:r w:rsidRPr="005360FA">
              <w:rPr>
                <w:rFonts w:ascii="Arial Narrow" w:hAnsi="Arial Narrow" w:cs="Times New Roman"/>
              </w:rPr>
              <w:t xml:space="preserve">Účty v bankách </w:t>
            </w:r>
          </w:p>
        </w:tc>
        <w:tc>
          <w:tcPr>
            <w:tcW w:w="146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F90106" w:rsidRPr="005360FA" w:rsidP="00302CE9">
            <w:pPr>
              <w:spacing w:line="240" w:lineRule="auto"/>
              <w:jc w:val="right"/>
              <w:rPr>
                <w:rFonts w:ascii="Arial Narrow" w:hAnsi="Arial Narrow" w:cs="Times New Roman"/>
              </w:rPr>
            </w:pPr>
            <w:r w:rsidR="00CA3F8C">
              <w:rPr>
                <w:rFonts w:ascii="Arial Narrow" w:hAnsi="Arial Narrow" w:cs="Times New Roman"/>
              </w:rPr>
              <w:t>2 352</w:t>
            </w:r>
          </w:p>
        </w:tc>
        <w:tc>
          <w:tcPr>
            <w:tcW w:w="156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F90106" w:rsidRPr="005360FA" w:rsidP="00302CE9">
            <w:pPr>
              <w:spacing w:line="240" w:lineRule="auto"/>
              <w:jc w:val="right"/>
              <w:rPr>
                <w:rFonts w:ascii="Arial Narrow" w:hAnsi="Arial Narrow" w:cs="Times New Roman"/>
              </w:rPr>
            </w:pPr>
            <w:r w:rsidR="00CA3F8C">
              <w:rPr>
                <w:rFonts w:ascii="Arial Narrow" w:hAnsi="Arial Narrow" w:cs="Times New Roman"/>
              </w:rPr>
              <w:t>2 226</w:t>
            </w:r>
          </w:p>
        </w:tc>
      </w:tr>
      <w:tr>
        <w:tblPrEx>
          <w:tblW w:w="8580" w:type="dxa"/>
          <w:tblInd w:w="610" w:type="dxa"/>
          <w:tblCellMar>
            <w:left w:w="70" w:type="dxa"/>
            <w:right w:w="70" w:type="dxa"/>
          </w:tblCellMar>
        </w:tblPrEx>
        <w:trPr>
          <w:trHeight w:hRule="exact" w:val="227"/>
        </w:trPr>
        <w:tc>
          <w:tcPr>
            <w:tcW w:w="556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F90106" w:rsidRPr="005360FA" w:rsidP="00302CE9">
            <w:pPr>
              <w:spacing w:line="240" w:lineRule="auto"/>
              <w:jc w:val="left"/>
              <w:rPr>
                <w:rFonts w:ascii="Arial Narrow" w:hAnsi="Arial Narrow" w:cs="Times New Roman"/>
              </w:rPr>
            </w:pPr>
            <w:r w:rsidRPr="005360FA">
              <w:rPr>
                <w:rFonts w:ascii="Arial Narrow" w:hAnsi="Arial Narrow" w:cs="Times New Roman"/>
              </w:rPr>
              <w:t xml:space="preserve">Časové rozlíšenie </w:t>
            </w:r>
          </w:p>
        </w:tc>
        <w:tc>
          <w:tcPr>
            <w:tcW w:w="146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F90106" w:rsidRPr="005360FA" w:rsidP="00302CE9">
            <w:pPr>
              <w:spacing w:line="240" w:lineRule="auto"/>
              <w:jc w:val="right"/>
              <w:rPr>
                <w:rFonts w:ascii="Arial Narrow" w:hAnsi="Arial Narrow" w:cs="Times New Roman"/>
              </w:rPr>
            </w:pPr>
            <w:r w:rsidR="00482848">
              <w:rPr>
                <w:rFonts w:ascii="Arial Narrow" w:hAnsi="Arial Narrow" w:cs="Times New Roman"/>
              </w:rPr>
              <w:t>93</w:t>
            </w:r>
          </w:p>
        </w:tc>
        <w:tc>
          <w:tcPr>
            <w:tcW w:w="156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F90106" w:rsidRPr="005360FA" w:rsidP="00302CE9">
            <w:pPr>
              <w:spacing w:line="240" w:lineRule="auto"/>
              <w:jc w:val="right"/>
              <w:rPr>
                <w:rFonts w:ascii="Arial Narrow" w:hAnsi="Arial Narrow" w:cs="Times New Roman"/>
              </w:rPr>
            </w:pPr>
            <w:r w:rsidR="00482848">
              <w:rPr>
                <w:rFonts w:ascii="Arial Narrow" w:hAnsi="Arial Narrow" w:cs="Times New Roman"/>
              </w:rPr>
              <w:t>26</w:t>
            </w:r>
          </w:p>
        </w:tc>
      </w:tr>
      <w:tr>
        <w:tblPrEx>
          <w:tblW w:w="8580" w:type="dxa"/>
          <w:tblInd w:w="610" w:type="dxa"/>
          <w:tblCellMar>
            <w:left w:w="70" w:type="dxa"/>
            <w:right w:w="70" w:type="dxa"/>
          </w:tblCellMar>
        </w:tblPrEx>
        <w:trPr>
          <w:trHeight w:hRule="exact" w:val="227"/>
        </w:trPr>
        <w:tc>
          <w:tcPr>
            <w:tcW w:w="556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F90106" w:rsidRPr="005360FA" w:rsidP="00302CE9">
            <w:pPr>
              <w:spacing w:line="240" w:lineRule="auto"/>
              <w:jc w:val="left"/>
              <w:rPr>
                <w:rFonts w:ascii="Arial Narrow" w:hAnsi="Arial Narrow" w:cs="Times New Roman"/>
              </w:rPr>
            </w:pPr>
            <w:r w:rsidRPr="005360FA">
              <w:rPr>
                <w:rFonts w:ascii="Arial Narrow" w:hAnsi="Arial Narrow" w:cs="Times New Roman"/>
              </w:rPr>
              <w:t>Náklady budúcich období</w:t>
            </w:r>
          </w:p>
        </w:tc>
        <w:tc>
          <w:tcPr>
            <w:tcW w:w="146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F90106" w:rsidRPr="005360FA" w:rsidP="00302CE9">
            <w:pPr>
              <w:spacing w:line="240" w:lineRule="auto"/>
              <w:jc w:val="right"/>
              <w:rPr>
                <w:rFonts w:ascii="Arial Narrow" w:hAnsi="Arial Narrow" w:cs="Times New Roman"/>
              </w:rPr>
            </w:pPr>
            <w:r w:rsidR="00482848">
              <w:rPr>
                <w:rFonts w:ascii="Arial Narrow" w:hAnsi="Arial Narrow" w:cs="Times New Roman"/>
              </w:rPr>
              <w:t>89</w:t>
            </w:r>
          </w:p>
        </w:tc>
        <w:tc>
          <w:tcPr>
            <w:tcW w:w="156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F90106" w:rsidRPr="005360FA" w:rsidP="00302CE9">
            <w:pPr>
              <w:spacing w:line="240" w:lineRule="auto"/>
              <w:jc w:val="right"/>
              <w:rPr>
                <w:rFonts w:ascii="Arial Narrow" w:hAnsi="Arial Narrow" w:cs="Times New Roman"/>
              </w:rPr>
            </w:pPr>
            <w:r w:rsidR="00482848">
              <w:rPr>
                <w:rFonts w:ascii="Arial Narrow" w:hAnsi="Arial Narrow" w:cs="Times New Roman"/>
              </w:rPr>
              <w:t>26</w:t>
            </w:r>
          </w:p>
        </w:tc>
      </w:tr>
      <w:tr>
        <w:tblPrEx>
          <w:tblW w:w="8580" w:type="dxa"/>
          <w:tblInd w:w="610" w:type="dxa"/>
          <w:tblCellMar>
            <w:left w:w="70" w:type="dxa"/>
            <w:right w:w="70" w:type="dxa"/>
          </w:tblCellMar>
        </w:tblPrEx>
        <w:trPr>
          <w:trHeight w:hRule="exact" w:val="227"/>
        </w:trPr>
        <w:tc>
          <w:tcPr>
            <w:tcW w:w="556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482848" w:rsidRPr="005360FA" w:rsidP="00302CE9">
            <w:pPr>
              <w:spacing w:line="240" w:lineRule="auto"/>
              <w:jc w:val="left"/>
              <w:rPr>
                <w:rFonts w:ascii="Arial Narrow" w:hAnsi="Arial Narrow" w:cs="Times New Roman"/>
              </w:rPr>
            </w:pPr>
            <w:r>
              <w:rPr>
                <w:rFonts w:ascii="Arial Narrow" w:hAnsi="Arial Narrow" w:cs="Times New Roman"/>
              </w:rPr>
              <w:t xml:space="preserve">Príjmy </w:t>
            </w:r>
            <w:r w:rsidRPr="005360FA">
              <w:rPr>
                <w:rFonts w:ascii="Arial Narrow" w:hAnsi="Arial Narrow" w:cs="Times New Roman"/>
              </w:rPr>
              <w:t>budúcich období</w:t>
            </w:r>
          </w:p>
        </w:tc>
        <w:tc>
          <w:tcPr>
            <w:tcW w:w="146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482848" w:rsidP="00302CE9">
            <w:pPr>
              <w:spacing w:line="240" w:lineRule="auto"/>
              <w:jc w:val="right"/>
              <w:rPr>
                <w:rFonts w:ascii="Arial Narrow" w:hAnsi="Arial Narrow" w:cs="Times New Roman"/>
              </w:rPr>
            </w:pPr>
            <w:r>
              <w:rPr>
                <w:rFonts w:ascii="Arial Narrow" w:hAnsi="Arial Narrow" w:cs="Times New Roman"/>
              </w:rPr>
              <w:t>4</w:t>
            </w:r>
          </w:p>
        </w:tc>
        <w:tc>
          <w:tcPr>
            <w:tcW w:w="156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482848" w:rsidP="00302CE9">
            <w:pPr>
              <w:spacing w:line="240" w:lineRule="auto"/>
              <w:jc w:val="right"/>
              <w:rPr>
                <w:rFonts w:ascii="Arial Narrow" w:hAnsi="Arial Narrow" w:cs="Times New Roman"/>
              </w:rPr>
            </w:pPr>
            <w:r>
              <w:rPr>
                <w:rFonts w:ascii="Arial Narrow" w:hAnsi="Arial Narrow" w:cs="Times New Roman"/>
              </w:rPr>
              <w:t>-</w:t>
            </w:r>
          </w:p>
        </w:tc>
      </w:tr>
      <w:tr>
        <w:tblPrEx>
          <w:tblW w:w="8580" w:type="dxa"/>
          <w:tblInd w:w="610" w:type="dxa"/>
          <w:tblCellMar>
            <w:left w:w="70" w:type="dxa"/>
            <w:right w:w="70" w:type="dxa"/>
          </w:tblCellMar>
        </w:tblPrEx>
        <w:trPr>
          <w:trHeight w:hRule="exact" w:val="227"/>
        </w:trPr>
        <w:tc>
          <w:tcPr>
            <w:tcW w:w="5560" w:type="dxa"/>
            <w:tcBorders>
              <w:top w:val="single" w:sz="4" w:space="0" w:color="auto"/>
              <w:left w:val="single" w:sz="8" w:space="0" w:color="auto"/>
              <w:bottom w:val="single" w:sz="8" w:space="0" w:color="auto"/>
              <w:right w:val="single" w:sz="8" w:space="0" w:color="auto"/>
              <w:tl2br w:val="nil"/>
              <w:tr2bl w:val="nil"/>
            </w:tcBorders>
            <w:shd w:val="clear" w:color="auto" w:fill="C0C0C0"/>
            <w:noWrap/>
            <w:textDirection w:val="lrTb"/>
            <w:vAlign w:val="center"/>
          </w:tcPr>
          <w:p w:rsidR="00F90106" w:rsidRPr="005360FA" w:rsidP="00302CE9">
            <w:pPr>
              <w:spacing w:line="240" w:lineRule="auto"/>
              <w:rPr>
                <w:rFonts w:ascii="Arial Narrow" w:hAnsi="Arial Narrow" w:cs="Times New Roman"/>
              </w:rPr>
            </w:pPr>
            <w:r w:rsidRPr="005360FA">
              <w:rPr>
                <w:rFonts w:ascii="Arial Narrow" w:hAnsi="Arial Narrow" w:cs="Times New Roman"/>
              </w:rPr>
              <w:t xml:space="preserve">PASÍVA - SPOLU VLASTNÉ IMANIE A ZÁVÄZKY </w:t>
            </w:r>
          </w:p>
        </w:tc>
        <w:tc>
          <w:tcPr>
            <w:tcW w:w="1460" w:type="dxa"/>
            <w:tcBorders>
              <w:top w:val="single" w:sz="4" w:space="0" w:color="auto"/>
              <w:left w:val="single" w:sz="8" w:space="0" w:color="auto"/>
              <w:bottom w:val="single" w:sz="8" w:space="0" w:color="auto"/>
              <w:right w:val="single" w:sz="8" w:space="0" w:color="auto"/>
              <w:tl2br w:val="nil"/>
              <w:tr2bl w:val="nil"/>
            </w:tcBorders>
            <w:shd w:val="clear" w:color="auto" w:fill="C0C0C0"/>
            <w:noWrap/>
            <w:textDirection w:val="lrTb"/>
            <w:vAlign w:val="center"/>
          </w:tcPr>
          <w:p w:rsidR="00F90106" w:rsidRPr="005360FA" w:rsidP="00302CE9">
            <w:pPr>
              <w:spacing w:line="240" w:lineRule="auto"/>
              <w:jc w:val="right"/>
              <w:rPr>
                <w:rFonts w:ascii="Arial Narrow" w:hAnsi="Arial Narrow" w:cs="Times New Roman"/>
              </w:rPr>
            </w:pPr>
            <w:r w:rsidR="00482848">
              <w:rPr>
                <w:rFonts w:ascii="Arial Narrow" w:hAnsi="Arial Narrow" w:cs="Times New Roman"/>
              </w:rPr>
              <w:t>504 446</w:t>
            </w:r>
          </w:p>
        </w:tc>
        <w:tc>
          <w:tcPr>
            <w:tcW w:w="1560" w:type="dxa"/>
            <w:tcBorders>
              <w:top w:val="single" w:sz="4" w:space="0" w:color="auto"/>
              <w:left w:val="single" w:sz="8" w:space="0" w:color="auto"/>
              <w:bottom w:val="single" w:sz="8" w:space="0" w:color="auto"/>
              <w:right w:val="single" w:sz="8" w:space="0" w:color="auto"/>
              <w:tl2br w:val="nil"/>
              <w:tr2bl w:val="nil"/>
            </w:tcBorders>
            <w:shd w:val="clear" w:color="auto" w:fill="C0C0C0"/>
            <w:noWrap/>
            <w:textDirection w:val="lrTb"/>
            <w:vAlign w:val="center"/>
          </w:tcPr>
          <w:p w:rsidR="00F90106" w:rsidRPr="005360FA" w:rsidP="00302CE9">
            <w:pPr>
              <w:spacing w:line="240" w:lineRule="auto"/>
              <w:jc w:val="right"/>
              <w:rPr>
                <w:rFonts w:ascii="Arial Narrow" w:hAnsi="Arial Narrow" w:cs="Times New Roman"/>
              </w:rPr>
            </w:pPr>
            <w:r w:rsidR="00482848">
              <w:rPr>
                <w:rFonts w:ascii="Arial Narrow" w:hAnsi="Arial Narrow" w:cs="Times New Roman"/>
              </w:rPr>
              <w:t>501 731</w:t>
            </w:r>
          </w:p>
        </w:tc>
      </w:tr>
      <w:tr>
        <w:tblPrEx>
          <w:tblW w:w="8580" w:type="dxa"/>
          <w:tblInd w:w="610" w:type="dxa"/>
          <w:tblCellMar>
            <w:left w:w="70" w:type="dxa"/>
            <w:right w:w="70" w:type="dxa"/>
          </w:tblCellMar>
        </w:tblPrEx>
        <w:trPr>
          <w:trHeight w:hRule="exact" w:val="227"/>
        </w:trPr>
        <w:tc>
          <w:tcPr>
            <w:tcW w:w="5560" w:type="dxa"/>
            <w:tcBorders>
              <w:top w:val="single" w:sz="8" w:space="0" w:color="auto"/>
              <w:left w:val="single" w:sz="8" w:space="0" w:color="auto"/>
              <w:bottom w:val="single" w:sz="8" w:space="0" w:color="auto"/>
              <w:right w:val="single" w:sz="8" w:space="0" w:color="auto"/>
              <w:tl2br w:val="nil"/>
              <w:tr2bl w:val="nil"/>
            </w:tcBorders>
            <w:noWrap/>
            <w:textDirection w:val="lrTb"/>
            <w:vAlign w:val="center"/>
          </w:tcPr>
          <w:p w:rsidR="00F90106" w:rsidRPr="005360FA" w:rsidP="00302CE9">
            <w:pPr>
              <w:spacing w:line="240" w:lineRule="auto"/>
              <w:rPr>
                <w:rFonts w:ascii="Arial Narrow" w:hAnsi="Arial Narrow" w:cs="Times New Roman"/>
              </w:rPr>
            </w:pPr>
            <w:r w:rsidRPr="005360FA">
              <w:rPr>
                <w:rFonts w:ascii="Arial Narrow" w:hAnsi="Arial Narrow" w:cs="Times New Roman"/>
              </w:rPr>
              <w:t xml:space="preserve">Vlastné imanie </w:t>
            </w:r>
          </w:p>
        </w:tc>
        <w:tc>
          <w:tcPr>
            <w:tcW w:w="1460" w:type="dxa"/>
            <w:tcBorders>
              <w:top w:val="single" w:sz="8" w:space="0" w:color="auto"/>
              <w:left w:val="single" w:sz="8" w:space="0" w:color="auto"/>
              <w:bottom w:val="single" w:sz="8" w:space="0" w:color="auto"/>
              <w:right w:val="single" w:sz="8" w:space="0" w:color="auto"/>
              <w:tl2br w:val="nil"/>
              <w:tr2bl w:val="nil"/>
            </w:tcBorders>
            <w:noWrap/>
            <w:textDirection w:val="lrTb"/>
            <w:vAlign w:val="center"/>
          </w:tcPr>
          <w:p w:rsidR="00F90106" w:rsidRPr="005360FA" w:rsidP="00302CE9">
            <w:pPr>
              <w:spacing w:line="240" w:lineRule="auto"/>
              <w:jc w:val="right"/>
              <w:rPr>
                <w:rFonts w:ascii="Arial Narrow" w:hAnsi="Arial Narrow" w:cs="Times New Roman"/>
              </w:rPr>
            </w:pPr>
            <w:r w:rsidR="00482848">
              <w:rPr>
                <w:rFonts w:ascii="Arial Narrow" w:hAnsi="Arial Narrow" w:cs="Times New Roman"/>
              </w:rPr>
              <w:t>479 006</w:t>
            </w:r>
          </w:p>
        </w:tc>
        <w:tc>
          <w:tcPr>
            <w:tcW w:w="1560" w:type="dxa"/>
            <w:tcBorders>
              <w:top w:val="single" w:sz="8" w:space="0" w:color="auto"/>
              <w:left w:val="single" w:sz="8" w:space="0" w:color="auto"/>
              <w:bottom w:val="single" w:sz="8" w:space="0" w:color="auto"/>
              <w:right w:val="single" w:sz="8" w:space="0" w:color="auto"/>
              <w:tl2br w:val="nil"/>
              <w:tr2bl w:val="nil"/>
            </w:tcBorders>
            <w:noWrap/>
            <w:textDirection w:val="lrTb"/>
            <w:vAlign w:val="center"/>
          </w:tcPr>
          <w:p w:rsidR="00F90106" w:rsidRPr="005360FA" w:rsidP="00302CE9">
            <w:pPr>
              <w:spacing w:line="240" w:lineRule="auto"/>
              <w:jc w:val="right"/>
              <w:rPr>
                <w:rFonts w:ascii="Arial Narrow" w:hAnsi="Arial Narrow" w:cs="Times New Roman"/>
              </w:rPr>
            </w:pPr>
            <w:r w:rsidR="00482848">
              <w:rPr>
                <w:rFonts w:ascii="Arial Narrow" w:hAnsi="Arial Narrow" w:cs="Times New Roman"/>
              </w:rPr>
              <w:t>484 060</w:t>
            </w:r>
          </w:p>
        </w:tc>
      </w:tr>
      <w:tr>
        <w:tblPrEx>
          <w:tblW w:w="8580" w:type="dxa"/>
          <w:tblInd w:w="610" w:type="dxa"/>
          <w:tblCellMar>
            <w:left w:w="70" w:type="dxa"/>
            <w:right w:w="70" w:type="dxa"/>
          </w:tblCellMar>
        </w:tblPrEx>
        <w:trPr>
          <w:trHeight w:hRule="exact" w:val="227"/>
        </w:trPr>
        <w:tc>
          <w:tcPr>
            <w:tcW w:w="5560" w:type="dxa"/>
            <w:tcBorders>
              <w:top w:val="single" w:sz="8" w:space="0" w:color="auto"/>
              <w:left w:val="single" w:sz="8" w:space="0" w:color="auto"/>
              <w:bottom w:val="single" w:sz="8" w:space="0" w:color="auto"/>
              <w:right w:val="single" w:sz="8" w:space="0" w:color="auto"/>
              <w:tl2br w:val="nil"/>
              <w:tr2bl w:val="nil"/>
            </w:tcBorders>
            <w:noWrap/>
            <w:textDirection w:val="lrTb"/>
            <w:vAlign w:val="center"/>
          </w:tcPr>
          <w:p w:rsidR="00F90106" w:rsidRPr="005360FA" w:rsidP="00302CE9">
            <w:pPr>
              <w:spacing w:line="240" w:lineRule="auto"/>
              <w:rPr>
                <w:rFonts w:ascii="Arial Narrow" w:hAnsi="Arial Narrow" w:cs="Times New Roman"/>
              </w:rPr>
            </w:pPr>
            <w:r w:rsidRPr="005360FA">
              <w:rPr>
                <w:rFonts w:ascii="Arial Narrow" w:hAnsi="Arial Narrow" w:cs="Times New Roman"/>
              </w:rPr>
              <w:t xml:space="preserve">Základné imanie súčet </w:t>
            </w:r>
          </w:p>
        </w:tc>
        <w:tc>
          <w:tcPr>
            <w:tcW w:w="1460" w:type="dxa"/>
            <w:tcBorders>
              <w:top w:val="single" w:sz="8" w:space="0" w:color="auto"/>
              <w:left w:val="single" w:sz="8" w:space="0" w:color="auto"/>
              <w:bottom w:val="single" w:sz="8" w:space="0" w:color="auto"/>
              <w:right w:val="single" w:sz="8" w:space="0" w:color="auto"/>
              <w:tl2br w:val="nil"/>
              <w:tr2bl w:val="nil"/>
            </w:tcBorders>
            <w:noWrap/>
            <w:textDirection w:val="lrTb"/>
            <w:vAlign w:val="center"/>
          </w:tcPr>
          <w:p w:rsidR="00F90106" w:rsidRPr="005360FA" w:rsidP="00302CE9">
            <w:pPr>
              <w:spacing w:line="240" w:lineRule="auto"/>
              <w:jc w:val="right"/>
              <w:rPr>
                <w:rFonts w:ascii="Arial Narrow" w:hAnsi="Arial Narrow" w:cs="Times New Roman"/>
              </w:rPr>
            </w:pPr>
            <w:r w:rsidR="00482848">
              <w:rPr>
                <w:rFonts w:ascii="Arial Narrow" w:hAnsi="Arial Narrow" w:cs="Times New Roman"/>
              </w:rPr>
              <w:t>446 118</w:t>
            </w:r>
          </w:p>
        </w:tc>
        <w:tc>
          <w:tcPr>
            <w:tcW w:w="1560" w:type="dxa"/>
            <w:tcBorders>
              <w:top w:val="single" w:sz="8" w:space="0" w:color="auto"/>
              <w:left w:val="single" w:sz="8" w:space="0" w:color="auto"/>
              <w:bottom w:val="single" w:sz="8" w:space="0" w:color="auto"/>
              <w:right w:val="single" w:sz="8" w:space="0" w:color="auto"/>
              <w:tl2br w:val="nil"/>
              <w:tr2bl w:val="nil"/>
            </w:tcBorders>
            <w:noWrap/>
            <w:textDirection w:val="lrTb"/>
            <w:vAlign w:val="center"/>
          </w:tcPr>
          <w:p w:rsidR="00F90106" w:rsidRPr="005360FA" w:rsidP="00302CE9">
            <w:pPr>
              <w:spacing w:line="240" w:lineRule="auto"/>
              <w:jc w:val="right"/>
              <w:rPr>
                <w:rFonts w:ascii="Arial Narrow" w:hAnsi="Arial Narrow" w:cs="Times New Roman"/>
              </w:rPr>
            </w:pPr>
            <w:r w:rsidR="00482848">
              <w:rPr>
                <w:rFonts w:ascii="Arial Narrow" w:hAnsi="Arial Narrow" w:cs="Times New Roman"/>
              </w:rPr>
              <w:t>446 118</w:t>
            </w:r>
          </w:p>
        </w:tc>
      </w:tr>
      <w:tr>
        <w:tblPrEx>
          <w:tblW w:w="8580" w:type="dxa"/>
          <w:tblInd w:w="610" w:type="dxa"/>
          <w:tblCellMar>
            <w:left w:w="70" w:type="dxa"/>
            <w:right w:w="70" w:type="dxa"/>
          </w:tblCellMar>
        </w:tblPrEx>
        <w:trPr>
          <w:trHeight w:hRule="exact" w:val="227"/>
        </w:trPr>
        <w:tc>
          <w:tcPr>
            <w:tcW w:w="5560" w:type="dxa"/>
            <w:tcBorders>
              <w:top w:val="single" w:sz="8" w:space="0" w:color="auto"/>
              <w:left w:val="single" w:sz="8" w:space="0" w:color="auto"/>
              <w:bottom w:val="single" w:sz="8" w:space="0" w:color="auto"/>
              <w:right w:val="single" w:sz="8" w:space="0" w:color="auto"/>
              <w:tl2br w:val="nil"/>
              <w:tr2bl w:val="nil"/>
            </w:tcBorders>
            <w:noWrap/>
            <w:textDirection w:val="lrTb"/>
            <w:vAlign w:val="center"/>
          </w:tcPr>
          <w:p w:rsidR="00F90106" w:rsidRPr="005360FA" w:rsidP="00302CE9">
            <w:pPr>
              <w:spacing w:line="240" w:lineRule="auto"/>
              <w:rPr>
                <w:rFonts w:ascii="Arial Narrow" w:hAnsi="Arial Narrow" w:cs="Times New Roman"/>
              </w:rPr>
            </w:pPr>
            <w:r w:rsidRPr="005360FA">
              <w:rPr>
                <w:rFonts w:ascii="Arial Narrow" w:hAnsi="Arial Narrow" w:cs="Times New Roman"/>
              </w:rPr>
              <w:t xml:space="preserve">Základné imanie </w:t>
            </w:r>
          </w:p>
        </w:tc>
        <w:tc>
          <w:tcPr>
            <w:tcW w:w="1460" w:type="dxa"/>
            <w:tcBorders>
              <w:top w:val="single" w:sz="8" w:space="0" w:color="auto"/>
              <w:left w:val="single" w:sz="8" w:space="0" w:color="auto"/>
              <w:bottom w:val="single" w:sz="8" w:space="0" w:color="auto"/>
              <w:right w:val="single" w:sz="8" w:space="0" w:color="auto"/>
              <w:tl2br w:val="nil"/>
              <w:tr2bl w:val="nil"/>
            </w:tcBorders>
            <w:noWrap/>
            <w:textDirection w:val="lrTb"/>
            <w:vAlign w:val="center"/>
          </w:tcPr>
          <w:p w:rsidR="00F90106" w:rsidRPr="005360FA" w:rsidP="00302CE9">
            <w:pPr>
              <w:spacing w:line="240" w:lineRule="auto"/>
              <w:jc w:val="right"/>
              <w:rPr>
                <w:rFonts w:ascii="Arial Narrow" w:hAnsi="Arial Narrow" w:cs="Times New Roman"/>
              </w:rPr>
            </w:pPr>
            <w:r w:rsidR="00482848">
              <w:rPr>
                <w:rFonts w:ascii="Arial Narrow" w:hAnsi="Arial Narrow" w:cs="Times New Roman"/>
              </w:rPr>
              <w:t>446 118</w:t>
            </w:r>
          </w:p>
        </w:tc>
        <w:tc>
          <w:tcPr>
            <w:tcW w:w="1560" w:type="dxa"/>
            <w:tcBorders>
              <w:top w:val="single" w:sz="8" w:space="0" w:color="auto"/>
              <w:left w:val="single" w:sz="8" w:space="0" w:color="auto"/>
              <w:bottom w:val="single" w:sz="8" w:space="0" w:color="auto"/>
              <w:right w:val="single" w:sz="8" w:space="0" w:color="auto"/>
              <w:tl2br w:val="nil"/>
              <w:tr2bl w:val="nil"/>
            </w:tcBorders>
            <w:noWrap/>
            <w:textDirection w:val="lrTb"/>
            <w:vAlign w:val="center"/>
          </w:tcPr>
          <w:p w:rsidR="00F90106" w:rsidRPr="005360FA" w:rsidP="00302CE9">
            <w:pPr>
              <w:spacing w:line="240" w:lineRule="auto"/>
              <w:jc w:val="right"/>
              <w:rPr>
                <w:rFonts w:ascii="Arial Narrow" w:hAnsi="Arial Narrow" w:cs="Times New Roman"/>
              </w:rPr>
            </w:pPr>
            <w:r w:rsidR="00482848">
              <w:rPr>
                <w:rFonts w:ascii="Arial Narrow" w:hAnsi="Arial Narrow" w:cs="Times New Roman"/>
              </w:rPr>
              <w:t>446 118</w:t>
            </w:r>
          </w:p>
        </w:tc>
      </w:tr>
      <w:tr>
        <w:tblPrEx>
          <w:tblW w:w="8580" w:type="dxa"/>
          <w:tblInd w:w="610" w:type="dxa"/>
          <w:tblCellMar>
            <w:left w:w="70" w:type="dxa"/>
            <w:right w:w="70" w:type="dxa"/>
          </w:tblCellMar>
        </w:tblPrEx>
        <w:trPr>
          <w:trHeight w:hRule="exact" w:val="227"/>
        </w:trPr>
        <w:tc>
          <w:tcPr>
            <w:tcW w:w="5560" w:type="dxa"/>
            <w:tcBorders>
              <w:top w:val="single" w:sz="8" w:space="0" w:color="auto"/>
              <w:left w:val="single" w:sz="8" w:space="0" w:color="auto"/>
              <w:bottom w:val="single" w:sz="8" w:space="0" w:color="auto"/>
              <w:right w:val="single" w:sz="8" w:space="0" w:color="auto"/>
              <w:tl2br w:val="nil"/>
              <w:tr2bl w:val="nil"/>
            </w:tcBorders>
            <w:noWrap/>
            <w:textDirection w:val="lrTb"/>
            <w:vAlign w:val="center"/>
          </w:tcPr>
          <w:p w:rsidR="00F90106" w:rsidRPr="005360FA" w:rsidP="00302CE9">
            <w:pPr>
              <w:spacing w:line="240" w:lineRule="auto"/>
              <w:rPr>
                <w:rFonts w:ascii="Arial Narrow" w:hAnsi="Arial Narrow" w:cs="Times New Roman"/>
              </w:rPr>
            </w:pPr>
            <w:r w:rsidRPr="005360FA">
              <w:rPr>
                <w:rFonts w:ascii="Arial Narrow" w:hAnsi="Arial Narrow" w:cs="Times New Roman"/>
              </w:rPr>
              <w:t xml:space="preserve">Kapitálové fondy súčet </w:t>
            </w:r>
          </w:p>
        </w:tc>
        <w:tc>
          <w:tcPr>
            <w:tcW w:w="1460" w:type="dxa"/>
            <w:tcBorders>
              <w:top w:val="single" w:sz="8" w:space="0" w:color="auto"/>
              <w:left w:val="single" w:sz="8" w:space="0" w:color="auto"/>
              <w:bottom w:val="single" w:sz="8" w:space="0" w:color="auto"/>
              <w:right w:val="single" w:sz="8" w:space="0" w:color="auto"/>
              <w:tl2br w:val="nil"/>
              <w:tr2bl w:val="nil"/>
            </w:tcBorders>
            <w:noWrap/>
            <w:textDirection w:val="lrTb"/>
            <w:vAlign w:val="center"/>
          </w:tcPr>
          <w:p w:rsidR="00F90106" w:rsidRPr="005360FA" w:rsidP="00302CE9">
            <w:pPr>
              <w:spacing w:line="240" w:lineRule="auto"/>
              <w:jc w:val="right"/>
              <w:rPr>
                <w:rFonts w:ascii="Arial Narrow" w:hAnsi="Arial Narrow" w:cs="Times New Roman"/>
              </w:rPr>
            </w:pPr>
            <w:r w:rsidR="00482848">
              <w:rPr>
                <w:rFonts w:ascii="Arial Narrow" w:hAnsi="Arial Narrow" w:cs="Times New Roman"/>
              </w:rPr>
              <w:t>45 963</w:t>
            </w:r>
          </w:p>
        </w:tc>
        <w:tc>
          <w:tcPr>
            <w:tcW w:w="1560" w:type="dxa"/>
            <w:tcBorders>
              <w:top w:val="single" w:sz="8" w:space="0" w:color="auto"/>
              <w:left w:val="single" w:sz="8" w:space="0" w:color="auto"/>
              <w:bottom w:val="single" w:sz="8" w:space="0" w:color="auto"/>
              <w:right w:val="single" w:sz="8" w:space="0" w:color="auto"/>
              <w:tl2br w:val="nil"/>
              <w:tr2bl w:val="nil"/>
            </w:tcBorders>
            <w:noWrap/>
            <w:textDirection w:val="lrTb"/>
            <w:vAlign w:val="center"/>
          </w:tcPr>
          <w:p w:rsidR="00F90106" w:rsidRPr="005360FA" w:rsidP="00302CE9">
            <w:pPr>
              <w:spacing w:line="240" w:lineRule="auto"/>
              <w:jc w:val="right"/>
              <w:rPr>
                <w:rFonts w:ascii="Arial Narrow" w:hAnsi="Arial Narrow" w:cs="Times New Roman"/>
              </w:rPr>
            </w:pPr>
            <w:r w:rsidR="00482848">
              <w:rPr>
                <w:rFonts w:ascii="Arial Narrow" w:hAnsi="Arial Narrow" w:cs="Times New Roman"/>
              </w:rPr>
              <w:t>45 963</w:t>
            </w:r>
          </w:p>
        </w:tc>
      </w:tr>
      <w:tr>
        <w:tblPrEx>
          <w:tblW w:w="8580" w:type="dxa"/>
          <w:tblInd w:w="610" w:type="dxa"/>
          <w:tblCellMar>
            <w:left w:w="70" w:type="dxa"/>
            <w:right w:w="70" w:type="dxa"/>
          </w:tblCellMar>
        </w:tblPrEx>
        <w:trPr>
          <w:trHeight w:hRule="exact" w:val="227"/>
        </w:trPr>
        <w:tc>
          <w:tcPr>
            <w:tcW w:w="556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F90106" w:rsidRPr="005360FA" w:rsidP="00302CE9">
            <w:pPr>
              <w:spacing w:line="240" w:lineRule="auto"/>
              <w:rPr>
                <w:rFonts w:ascii="Arial Narrow" w:hAnsi="Arial Narrow" w:cs="Times New Roman"/>
              </w:rPr>
            </w:pPr>
            <w:r w:rsidRPr="005360FA">
              <w:rPr>
                <w:rFonts w:ascii="Arial Narrow" w:hAnsi="Arial Narrow" w:cs="Times New Roman"/>
              </w:rPr>
              <w:t xml:space="preserve">Zákonný rezervný fond (Nedeliteľný fond) z kapitálových vkladov </w:t>
            </w:r>
          </w:p>
        </w:tc>
        <w:tc>
          <w:tcPr>
            <w:tcW w:w="146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F90106" w:rsidRPr="005360FA" w:rsidP="00302CE9">
            <w:pPr>
              <w:spacing w:line="240" w:lineRule="auto"/>
              <w:jc w:val="right"/>
              <w:rPr>
                <w:rFonts w:ascii="Arial Narrow" w:hAnsi="Arial Narrow" w:cs="Times New Roman"/>
              </w:rPr>
            </w:pPr>
            <w:r w:rsidR="00F94C99">
              <w:rPr>
                <w:rFonts w:ascii="Arial Narrow" w:hAnsi="Arial Narrow" w:cs="Times New Roman"/>
              </w:rPr>
              <w:t>45 963</w:t>
            </w:r>
          </w:p>
        </w:tc>
        <w:tc>
          <w:tcPr>
            <w:tcW w:w="156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F90106" w:rsidRPr="005360FA" w:rsidP="00302CE9">
            <w:pPr>
              <w:spacing w:line="240" w:lineRule="auto"/>
              <w:jc w:val="right"/>
              <w:rPr>
                <w:rFonts w:ascii="Arial Narrow" w:hAnsi="Arial Narrow" w:cs="Times New Roman"/>
              </w:rPr>
            </w:pPr>
            <w:r w:rsidR="00F94C99">
              <w:rPr>
                <w:rFonts w:ascii="Arial Narrow" w:hAnsi="Arial Narrow" w:cs="Times New Roman"/>
              </w:rPr>
              <w:t>45 963</w:t>
            </w:r>
          </w:p>
        </w:tc>
      </w:tr>
      <w:tr>
        <w:tblPrEx>
          <w:tblW w:w="8580" w:type="dxa"/>
          <w:tblInd w:w="610" w:type="dxa"/>
          <w:tblCellMar>
            <w:left w:w="70" w:type="dxa"/>
            <w:right w:w="70" w:type="dxa"/>
          </w:tblCellMar>
        </w:tblPrEx>
        <w:trPr>
          <w:trHeight w:hRule="exact" w:val="227"/>
        </w:trPr>
        <w:tc>
          <w:tcPr>
            <w:tcW w:w="5560" w:type="dxa"/>
            <w:tcBorders>
              <w:top w:val="single" w:sz="8" w:space="0" w:color="auto"/>
              <w:left w:val="single" w:sz="8" w:space="0" w:color="auto"/>
              <w:bottom w:val="single" w:sz="8" w:space="0" w:color="auto"/>
              <w:right w:val="single" w:sz="8" w:space="0" w:color="auto"/>
              <w:tl2br w:val="nil"/>
              <w:tr2bl w:val="nil"/>
            </w:tcBorders>
            <w:noWrap/>
            <w:textDirection w:val="lrTb"/>
            <w:vAlign w:val="center"/>
          </w:tcPr>
          <w:p w:rsidR="00F90106" w:rsidRPr="005360FA" w:rsidP="00302CE9">
            <w:pPr>
              <w:spacing w:line="240" w:lineRule="auto"/>
              <w:rPr>
                <w:rFonts w:ascii="Arial Narrow" w:hAnsi="Arial Narrow" w:cs="Times New Roman"/>
              </w:rPr>
            </w:pPr>
            <w:r w:rsidRPr="005360FA">
              <w:rPr>
                <w:rFonts w:ascii="Arial Narrow" w:hAnsi="Arial Narrow" w:cs="Times New Roman"/>
              </w:rPr>
              <w:t xml:space="preserve">Výsledok hospodárenia minulých rokov </w:t>
            </w:r>
          </w:p>
        </w:tc>
        <w:tc>
          <w:tcPr>
            <w:tcW w:w="1460" w:type="dxa"/>
            <w:tcBorders>
              <w:top w:val="single" w:sz="8" w:space="0" w:color="auto"/>
              <w:left w:val="single" w:sz="8" w:space="0" w:color="auto"/>
              <w:bottom w:val="single" w:sz="8" w:space="0" w:color="auto"/>
              <w:right w:val="single" w:sz="8" w:space="0" w:color="auto"/>
              <w:tl2br w:val="nil"/>
              <w:tr2bl w:val="nil"/>
            </w:tcBorders>
            <w:noWrap/>
            <w:textDirection w:val="lrTb"/>
            <w:vAlign w:val="center"/>
          </w:tcPr>
          <w:p w:rsidR="00F90106" w:rsidRPr="005360FA" w:rsidP="00302CE9">
            <w:pPr>
              <w:spacing w:line="240" w:lineRule="auto"/>
              <w:jc w:val="right"/>
              <w:rPr>
                <w:rFonts w:ascii="Arial Narrow" w:hAnsi="Arial Narrow" w:cs="Times New Roman"/>
              </w:rPr>
            </w:pPr>
            <w:r w:rsidR="00F94C99">
              <w:rPr>
                <w:rFonts w:ascii="Arial Narrow" w:hAnsi="Arial Narrow" w:cs="Times New Roman"/>
              </w:rPr>
              <w:t>- 8 021</w:t>
            </w:r>
          </w:p>
        </w:tc>
        <w:tc>
          <w:tcPr>
            <w:tcW w:w="1560" w:type="dxa"/>
            <w:tcBorders>
              <w:top w:val="single" w:sz="8" w:space="0" w:color="auto"/>
              <w:left w:val="single" w:sz="8" w:space="0" w:color="auto"/>
              <w:bottom w:val="single" w:sz="8" w:space="0" w:color="auto"/>
              <w:right w:val="single" w:sz="8" w:space="0" w:color="auto"/>
              <w:tl2br w:val="nil"/>
              <w:tr2bl w:val="nil"/>
            </w:tcBorders>
            <w:noWrap/>
            <w:textDirection w:val="lrTb"/>
            <w:vAlign w:val="center"/>
          </w:tcPr>
          <w:p w:rsidR="00F90106" w:rsidRPr="005360FA" w:rsidP="00302CE9">
            <w:pPr>
              <w:spacing w:line="240" w:lineRule="auto"/>
              <w:jc w:val="right"/>
              <w:rPr>
                <w:rFonts w:ascii="Arial Narrow" w:hAnsi="Arial Narrow" w:cs="Times New Roman"/>
              </w:rPr>
            </w:pPr>
            <w:r w:rsidR="00F94C99">
              <w:rPr>
                <w:rFonts w:ascii="Arial Narrow" w:hAnsi="Arial Narrow" w:cs="Times New Roman"/>
              </w:rPr>
              <w:t>- 2 918</w:t>
            </w:r>
          </w:p>
        </w:tc>
      </w:tr>
      <w:tr>
        <w:tblPrEx>
          <w:tblW w:w="8580" w:type="dxa"/>
          <w:tblInd w:w="610" w:type="dxa"/>
          <w:tblCellMar>
            <w:left w:w="70" w:type="dxa"/>
            <w:right w:w="70" w:type="dxa"/>
          </w:tblCellMar>
        </w:tblPrEx>
        <w:trPr>
          <w:trHeight w:hRule="exact" w:val="227"/>
        </w:trPr>
        <w:tc>
          <w:tcPr>
            <w:tcW w:w="5560" w:type="dxa"/>
            <w:tcBorders>
              <w:top w:val="single" w:sz="8" w:space="0" w:color="auto"/>
              <w:left w:val="single" w:sz="8" w:space="0" w:color="auto"/>
              <w:bottom w:val="single" w:sz="8" w:space="0" w:color="auto"/>
              <w:right w:val="single" w:sz="8" w:space="0" w:color="auto"/>
              <w:tl2br w:val="nil"/>
              <w:tr2bl w:val="nil"/>
            </w:tcBorders>
            <w:noWrap/>
            <w:textDirection w:val="lrTb"/>
            <w:vAlign w:val="center"/>
          </w:tcPr>
          <w:p w:rsidR="00F90106" w:rsidRPr="005360FA" w:rsidP="00302CE9">
            <w:pPr>
              <w:spacing w:line="240" w:lineRule="auto"/>
              <w:rPr>
                <w:rFonts w:ascii="Arial Narrow" w:hAnsi="Arial Narrow" w:cs="Times New Roman"/>
              </w:rPr>
            </w:pPr>
            <w:r w:rsidRPr="005360FA">
              <w:rPr>
                <w:rFonts w:ascii="Arial Narrow" w:hAnsi="Arial Narrow" w:cs="Times New Roman"/>
              </w:rPr>
              <w:t xml:space="preserve">Neuhradená strata minulých rokov </w:t>
            </w:r>
          </w:p>
        </w:tc>
        <w:tc>
          <w:tcPr>
            <w:tcW w:w="1460" w:type="dxa"/>
            <w:tcBorders>
              <w:top w:val="single" w:sz="8" w:space="0" w:color="auto"/>
              <w:left w:val="single" w:sz="8" w:space="0" w:color="auto"/>
              <w:bottom w:val="single" w:sz="8" w:space="0" w:color="auto"/>
              <w:right w:val="single" w:sz="8" w:space="0" w:color="auto"/>
              <w:tl2br w:val="nil"/>
              <w:tr2bl w:val="nil"/>
            </w:tcBorders>
            <w:noWrap/>
            <w:textDirection w:val="lrTb"/>
            <w:vAlign w:val="center"/>
          </w:tcPr>
          <w:p w:rsidR="00F90106" w:rsidRPr="005360FA" w:rsidP="00302CE9">
            <w:pPr>
              <w:spacing w:line="240" w:lineRule="auto"/>
              <w:jc w:val="right"/>
              <w:rPr>
                <w:rFonts w:ascii="Arial Narrow" w:hAnsi="Arial Narrow" w:cs="Times New Roman"/>
              </w:rPr>
            </w:pPr>
            <w:r w:rsidR="00A7017D">
              <w:rPr>
                <w:rFonts w:ascii="Arial Narrow" w:hAnsi="Arial Narrow" w:cs="Times New Roman"/>
              </w:rPr>
              <w:t>- 8 021</w:t>
            </w:r>
          </w:p>
        </w:tc>
        <w:tc>
          <w:tcPr>
            <w:tcW w:w="1560" w:type="dxa"/>
            <w:tcBorders>
              <w:top w:val="single" w:sz="8" w:space="0" w:color="auto"/>
              <w:left w:val="single" w:sz="8" w:space="0" w:color="auto"/>
              <w:bottom w:val="single" w:sz="8" w:space="0" w:color="auto"/>
              <w:right w:val="single" w:sz="8" w:space="0" w:color="auto"/>
              <w:tl2br w:val="nil"/>
              <w:tr2bl w:val="nil"/>
            </w:tcBorders>
            <w:noWrap/>
            <w:textDirection w:val="lrTb"/>
            <w:vAlign w:val="center"/>
          </w:tcPr>
          <w:p w:rsidR="00F90106" w:rsidRPr="005360FA" w:rsidP="00302CE9">
            <w:pPr>
              <w:spacing w:line="240" w:lineRule="auto"/>
              <w:jc w:val="right"/>
              <w:rPr>
                <w:rFonts w:ascii="Arial Narrow" w:hAnsi="Arial Narrow" w:cs="Times New Roman"/>
              </w:rPr>
            </w:pPr>
            <w:r w:rsidR="00F94C99">
              <w:rPr>
                <w:rFonts w:ascii="Arial Narrow" w:hAnsi="Arial Narrow" w:cs="Times New Roman"/>
              </w:rPr>
              <w:t>- 2 918</w:t>
            </w:r>
          </w:p>
        </w:tc>
      </w:tr>
      <w:tr>
        <w:tblPrEx>
          <w:tblW w:w="8580" w:type="dxa"/>
          <w:tblInd w:w="610" w:type="dxa"/>
          <w:tblCellMar>
            <w:left w:w="70" w:type="dxa"/>
            <w:right w:w="70" w:type="dxa"/>
          </w:tblCellMar>
        </w:tblPrEx>
        <w:trPr>
          <w:trHeight w:hRule="exact" w:val="227"/>
        </w:trPr>
        <w:tc>
          <w:tcPr>
            <w:tcW w:w="5560" w:type="dxa"/>
            <w:tcBorders>
              <w:top w:val="single" w:sz="8" w:space="0" w:color="auto"/>
              <w:left w:val="single" w:sz="8" w:space="0" w:color="auto"/>
              <w:bottom w:val="single" w:sz="8" w:space="0" w:color="auto"/>
              <w:right w:val="single" w:sz="8" w:space="0" w:color="auto"/>
              <w:tl2br w:val="nil"/>
              <w:tr2bl w:val="nil"/>
            </w:tcBorders>
            <w:noWrap/>
            <w:textDirection w:val="lrTb"/>
            <w:vAlign w:val="center"/>
          </w:tcPr>
          <w:p w:rsidR="00F90106" w:rsidRPr="005360FA" w:rsidP="00302CE9">
            <w:pPr>
              <w:spacing w:line="240" w:lineRule="auto"/>
              <w:rPr>
                <w:rFonts w:ascii="Arial Narrow" w:hAnsi="Arial Narrow" w:cs="Times New Roman"/>
              </w:rPr>
            </w:pPr>
            <w:r w:rsidRPr="005360FA">
              <w:rPr>
                <w:rFonts w:ascii="Arial Narrow" w:hAnsi="Arial Narrow" w:cs="Times New Roman"/>
              </w:rPr>
              <w:t xml:space="preserve">Výsledok hospodárenia za účtovné obdobie /+ -/ </w:t>
            </w:r>
          </w:p>
        </w:tc>
        <w:tc>
          <w:tcPr>
            <w:tcW w:w="1460" w:type="dxa"/>
            <w:tcBorders>
              <w:top w:val="single" w:sz="8" w:space="0" w:color="auto"/>
              <w:left w:val="single" w:sz="8" w:space="0" w:color="auto"/>
              <w:bottom w:val="single" w:sz="8" w:space="0" w:color="auto"/>
              <w:right w:val="single" w:sz="8" w:space="0" w:color="auto"/>
              <w:tl2br w:val="nil"/>
              <w:tr2bl w:val="nil"/>
            </w:tcBorders>
            <w:noWrap/>
            <w:textDirection w:val="lrTb"/>
            <w:vAlign w:val="center"/>
          </w:tcPr>
          <w:p w:rsidR="00F90106" w:rsidRPr="005360FA" w:rsidP="00302CE9">
            <w:pPr>
              <w:spacing w:line="240" w:lineRule="auto"/>
              <w:jc w:val="right"/>
              <w:rPr>
                <w:rFonts w:ascii="Arial Narrow" w:hAnsi="Arial Narrow" w:cs="Times New Roman"/>
              </w:rPr>
            </w:pPr>
            <w:r w:rsidR="00F94C99">
              <w:rPr>
                <w:rFonts w:ascii="Arial Narrow" w:hAnsi="Arial Narrow" w:cs="Times New Roman"/>
              </w:rPr>
              <w:t>- 5 054</w:t>
            </w:r>
          </w:p>
        </w:tc>
        <w:tc>
          <w:tcPr>
            <w:tcW w:w="1560" w:type="dxa"/>
            <w:tcBorders>
              <w:top w:val="single" w:sz="8" w:space="0" w:color="auto"/>
              <w:left w:val="single" w:sz="8" w:space="0" w:color="auto"/>
              <w:bottom w:val="single" w:sz="8" w:space="0" w:color="auto"/>
              <w:right w:val="single" w:sz="8" w:space="0" w:color="auto"/>
              <w:tl2br w:val="nil"/>
              <w:tr2bl w:val="nil"/>
            </w:tcBorders>
            <w:noWrap/>
            <w:textDirection w:val="lrTb"/>
            <w:vAlign w:val="center"/>
          </w:tcPr>
          <w:p w:rsidR="00F90106" w:rsidRPr="005360FA" w:rsidP="00302CE9">
            <w:pPr>
              <w:spacing w:line="240" w:lineRule="auto"/>
              <w:jc w:val="right"/>
              <w:rPr>
                <w:rFonts w:ascii="Arial Narrow" w:hAnsi="Arial Narrow" w:cs="Times New Roman"/>
              </w:rPr>
            </w:pPr>
            <w:r w:rsidR="00F94C99">
              <w:rPr>
                <w:rFonts w:ascii="Arial Narrow" w:hAnsi="Arial Narrow" w:cs="Times New Roman"/>
              </w:rPr>
              <w:t>- 5 103</w:t>
            </w:r>
          </w:p>
        </w:tc>
      </w:tr>
      <w:tr>
        <w:tblPrEx>
          <w:tblW w:w="8580" w:type="dxa"/>
          <w:tblInd w:w="610" w:type="dxa"/>
          <w:tblCellMar>
            <w:left w:w="70" w:type="dxa"/>
            <w:right w:w="70" w:type="dxa"/>
          </w:tblCellMar>
        </w:tblPrEx>
        <w:trPr>
          <w:trHeight w:hRule="exact" w:val="227"/>
        </w:trPr>
        <w:tc>
          <w:tcPr>
            <w:tcW w:w="5560" w:type="dxa"/>
            <w:tcBorders>
              <w:top w:val="single" w:sz="8" w:space="0" w:color="auto"/>
              <w:left w:val="single" w:sz="8" w:space="0" w:color="auto"/>
              <w:bottom w:val="single" w:sz="8" w:space="0" w:color="auto"/>
              <w:right w:val="single" w:sz="8" w:space="0" w:color="auto"/>
              <w:tl2br w:val="nil"/>
              <w:tr2bl w:val="nil"/>
            </w:tcBorders>
            <w:noWrap/>
            <w:textDirection w:val="lrTb"/>
            <w:vAlign w:val="center"/>
          </w:tcPr>
          <w:p w:rsidR="00F90106" w:rsidRPr="005360FA" w:rsidP="00302CE9">
            <w:pPr>
              <w:spacing w:line="240" w:lineRule="auto"/>
              <w:rPr>
                <w:rFonts w:ascii="Arial Narrow" w:hAnsi="Arial Narrow" w:cs="Times New Roman"/>
              </w:rPr>
            </w:pPr>
            <w:r w:rsidRPr="005360FA">
              <w:rPr>
                <w:rFonts w:ascii="Arial Narrow" w:hAnsi="Arial Narrow" w:cs="Times New Roman"/>
              </w:rPr>
              <w:t xml:space="preserve">Záväzky </w:t>
            </w:r>
          </w:p>
        </w:tc>
        <w:tc>
          <w:tcPr>
            <w:tcW w:w="1460" w:type="dxa"/>
            <w:tcBorders>
              <w:top w:val="single" w:sz="8" w:space="0" w:color="auto"/>
              <w:left w:val="single" w:sz="8" w:space="0" w:color="auto"/>
              <w:bottom w:val="single" w:sz="8" w:space="0" w:color="auto"/>
              <w:right w:val="single" w:sz="8" w:space="0" w:color="auto"/>
              <w:tl2br w:val="nil"/>
              <w:tr2bl w:val="nil"/>
            </w:tcBorders>
            <w:noWrap/>
            <w:textDirection w:val="lrTb"/>
            <w:vAlign w:val="center"/>
          </w:tcPr>
          <w:p w:rsidR="00F90106" w:rsidRPr="005360FA" w:rsidP="00302CE9">
            <w:pPr>
              <w:spacing w:line="240" w:lineRule="auto"/>
              <w:jc w:val="right"/>
              <w:rPr>
                <w:rFonts w:ascii="Arial Narrow" w:hAnsi="Arial Narrow" w:cs="Times New Roman"/>
              </w:rPr>
            </w:pPr>
            <w:r w:rsidR="00F94C99">
              <w:rPr>
                <w:rFonts w:ascii="Arial Narrow" w:hAnsi="Arial Narrow" w:cs="Times New Roman"/>
              </w:rPr>
              <w:t>10 086</w:t>
            </w:r>
          </w:p>
        </w:tc>
        <w:tc>
          <w:tcPr>
            <w:tcW w:w="1560" w:type="dxa"/>
            <w:tcBorders>
              <w:top w:val="single" w:sz="8" w:space="0" w:color="auto"/>
              <w:left w:val="single" w:sz="8" w:space="0" w:color="auto"/>
              <w:bottom w:val="single" w:sz="8" w:space="0" w:color="auto"/>
              <w:right w:val="single" w:sz="8" w:space="0" w:color="auto"/>
              <w:tl2br w:val="nil"/>
              <w:tr2bl w:val="nil"/>
            </w:tcBorders>
            <w:noWrap/>
            <w:textDirection w:val="lrTb"/>
            <w:vAlign w:val="center"/>
          </w:tcPr>
          <w:p w:rsidR="00F90106" w:rsidRPr="005360FA" w:rsidP="00302CE9">
            <w:pPr>
              <w:spacing w:line="240" w:lineRule="auto"/>
              <w:jc w:val="right"/>
              <w:rPr>
                <w:rFonts w:ascii="Arial Narrow" w:hAnsi="Arial Narrow" w:cs="Times New Roman"/>
              </w:rPr>
            </w:pPr>
            <w:r w:rsidR="00F94C99">
              <w:rPr>
                <w:rFonts w:ascii="Arial Narrow" w:hAnsi="Arial Narrow" w:cs="Times New Roman"/>
              </w:rPr>
              <w:t>17 671</w:t>
            </w:r>
          </w:p>
        </w:tc>
      </w:tr>
      <w:tr>
        <w:tblPrEx>
          <w:tblW w:w="8580" w:type="dxa"/>
          <w:tblInd w:w="610" w:type="dxa"/>
          <w:tblCellMar>
            <w:left w:w="70" w:type="dxa"/>
            <w:right w:w="70" w:type="dxa"/>
          </w:tblCellMar>
        </w:tblPrEx>
        <w:trPr>
          <w:trHeight w:hRule="exact" w:val="227"/>
        </w:trPr>
        <w:tc>
          <w:tcPr>
            <w:tcW w:w="5560" w:type="dxa"/>
            <w:tcBorders>
              <w:top w:val="single" w:sz="8" w:space="0" w:color="auto"/>
              <w:left w:val="single" w:sz="8" w:space="0" w:color="auto"/>
              <w:bottom w:val="single" w:sz="8" w:space="0" w:color="auto"/>
              <w:right w:val="single" w:sz="8" w:space="0" w:color="auto"/>
              <w:tl2br w:val="nil"/>
              <w:tr2bl w:val="nil"/>
            </w:tcBorders>
            <w:noWrap/>
            <w:textDirection w:val="lrTb"/>
            <w:vAlign w:val="center"/>
          </w:tcPr>
          <w:p w:rsidR="00F90106" w:rsidRPr="005360FA" w:rsidP="00302CE9">
            <w:pPr>
              <w:spacing w:line="240" w:lineRule="auto"/>
              <w:rPr>
                <w:rFonts w:ascii="Arial Narrow" w:hAnsi="Arial Narrow" w:cs="Times New Roman"/>
              </w:rPr>
            </w:pPr>
            <w:r w:rsidRPr="005360FA">
              <w:rPr>
                <w:rFonts w:ascii="Arial Narrow" w:hAnsi="Arial Narrow" w:cs="Times New Roman"/>
              </w:rPr>
              <w:t xml:space="preserve">Rezervy súčet </w:t>
            </w:r>
          </w:p>
        </w:tc>
        <w:tc>
          <w:tcPr>
            <w:tcW w:w="1460" w:type="dxa"/>
            <w:tcBorders>
              <w:top w:val="single" w:sz="8" w:space="0" w:color="auto"/>
              <w:left w:val="single" w:sz="8" w:space="0" w:color="auto"/>
              <w:bottom w:val="single" w:sz="8" w:space="0" w:color="auto"/>
              <w:right w:val="single" w:sz="8" w:space="0" w:color="auto"/>
              <w:tl2br w:val="nil"/>
              <w:tr2bl w:val="nil"/>
            </w:tcBorders>
            <w:noWrap/>
            <w:textDirection w:val="lrTb"/>
            <w:vAlign w:val="center"/>
          </w:tcPr>
          <w:p w:rsidR="00F90106" w:rsidRPr="005360FA" w:rsidP="00302CE9">
            <w:pPr>
              <w:spacing w:line="240" w:lineRule="auto"/>
              <w:jc w:val="right"/>
              <w:rPr>
                <w:rFonts w:ascii="Arial Narrow" w:hAnsi="Arial Narrow" w:cs="Times New Roman"/>
              </w:rPr>
            </w:pPr>
            <w:r w:rsidR="00F94C99">
              <w:rPr>
                <w:rFonts w:ascii="Arial Narrow" w:hAnsi="Arial Narrow" w:cs="Times New Roman"/>
              </w:rPr>
              <w:t>545</w:t>
            </w:r>
          </w:p>
        </w:tc>
        <w:tc>
          <w:tcPr>
            <w:tcW w:w="1560" w:type="dxa"/>
            <w:tcBorders>
              <w:top w:val="single" w:sz="8" w:space="0" w:color="auto"/>
              <w:left w:val="single" w:sz="8" w:space="0" w:color="auto"/>
              <w:bottom w:val="single" w:sz="8" w:space="0" w:color="auto"/>
              <w:right w:val="single" w:sz="8" w:space="0" w:color="auto"/>
              <w:tl2br w:val="nil"/>
              <w:tr2bl w:val="nil"/>
            </w:tcBorders>
            <w:noWrap/>
            <w:textDirection w:val="lrTb"/>
            <w:vAlign w:val="center"/>
          </w:tcPr>
          <w:p w:rsidR="00F90106" w:rsidRPr="005360FA" w:rsidP="00302CE9">
            <w:pPr>
              <w:spacing w:line="240" w:lineRule="auto"/>
              <w:jc w:val="right"/>
              <w:rPr>
                <w:rFonts w:ascii="Arial Narrow" w:hAnsi="Arial Narrow" w:cs="Times New Roman"/>
              </w:rPr>
            </w:pPr>
            <w:r w:rsidR="00F94C99">
              <w:rPr>
                <w:rFonts w:ascii="Arial Narrow" w:hAnsi="Arial Narrow" w:cs="Times New Roman"/>
              </w:rPr>
              <w:t>382</w:t>
            </w:r>
          </w:p>
        </w:tc>
      </w:tr>
      <w:tr>
        <w:tblPrEx>
          <w:tblW w:w="8580" w:type="dxa"/>
          <w:tblInd w:w="610" w:type="dxa"/>
          <w:tblCellMar>
            <w:left w:w="70" w:type="dxa"/>
            <w:right w:w="70" w:type="dxa"/>
          </w:tblCellMar>
        </w:tblPrEx>
        <w:trPr>
          <w:trHeight w:hRule="exact" w:val="227"/>
        </w:trPr>
        <w:tc>
          <w:tcPr>
            <w:tcW w:w="5560" w:type="dxa"/>
            <w:tcBorders>
              <w:top w:val="single" w:sz="8" w:space="0" w:color="auto"/>
              <w:left w:val="single" w:sz="8" w:space="0" w:color="auto"/>
              <w:bottom w:val="single" w:sz="8" w:space="0" w:color="auto"/>
              <w:right w:val="single" w:sz="8" w:space="0" w:color="auto"/>
              <w:tl2br w:val="nil"/>
              <w:tr2bl w:val="nil"/>
            </w:tcBorders>
            <w:noWrap/>
            <w:textDirection w:val="lrTb"/>
            <w:vAlign w:val="center"/>
          </w:tcPr>
          <w:p w:rsidR="00F90106" w:rsidRPr="005360FA" w:rsidP="00302CE9">
            <w:pPr>
              <w:spacing w:line="240" w:lineRule="auto"/>
              <w:rPr>
                <w:rFonts w:ascii="Arial Narrow" w:hAnsi="Arial Narrow" w:cs="Times New Roman"/>
              </w:rPr>
            </w:pPr>
            <w:r w:rsidRPr="005360FA">
              <w:rPr>
                <w:rFonts w:ascii="Arial Narrow" w:hAnsi="Arial Narrow" w:cs="Times New Roman"/>
              </w:rPr>
              <w:t xml:space="preserve">Krátkodobé rezervy </w:t>
            </w:r>
          </w:p>
        </w:tc>
        <w:tc>
          <w:tcPr>
            <w:tcW w:w="1460" w:type="dxa"/>
            <w:tcBorders>
              <w:top w:val="single" w:sz="8" w:space="0" w:color="auto"/>
              <w:left w:val="single" w:sz="8" w:space="0" w:color="auto"/>
              <w:bottom w:val="single" w:sz="8" w:space="0" w:color="auto"/>
              <w:right w:val="single" w:sz="8" w:space="0" w:color="auto"/>
              <w:tl2br w:val="nil"/>
              <w:tr2bl w:val="nil"/>
            </w:tcBorders>
            <w:noWrap/>
            <w:textDirection w:val="lrTb"/>
            <w:vAlign w:val="center"/>
          </w:tcPr>
          <w:p w:rsidR="00F90106" w:rsidRPr="005360FA" w:rsidP="00302CE9">
            <w:pPr>
              <w:spacing w:line="240" w:lineRule="auto"/>
              <w:jc w:val="right"/>
              <w:rPr>
                <w:rFonts w:ascii="Arial Narrow" w:hAnsi="Arial Narrow" w:cs="Times New Roman"/>
              </w:rPr>
            </w:pPr>
            <w:r w:rsidR="00F94C99">
              <w:rPr>
                <w:rFonts w:ascii="Arial Narrow" w:hAnsi="Arial Narrow" w:cs="Times New Roman"/>
              </w:rPr>
              <w:t>545</w:t>
            </w:r>
          </w:p>
        </w:tc>
        <w:tc>
          <w:tcPr>
            <w:tcW w:w="1560" w:type="dxa"/>
            <w:tcBorders>
              <w:top w:val="single" w:sz="8" w:space="0" w:color="auto"/>
              <w:left w:val="single" w:sz="8" w:space="0" w:color="auto"/>
              <w:bottom w:val="single" w:sz="8" w:space="0" w:color="auto"/>
              <w:right w:val="single" w:sz="8" w:space="0" w:color="auto"/>
              <w:tl2br w:val="nil"/>
              <w:tr2bl w:val="nil"/>
            </w:tcBorders>
            <w:noWrap/>
            <w:textDirection w:val="lrTb"/>
            <w:vAlign w:val="center"/>
          </w:tcPr>
          <w:p w:rsidR="00F90106" w:rsidRPr="005360FA" w:rsidP="00302CE9">
            <w:pPr>
              <w:spacing w:line="240" w:lineRule="auto"/>
              <w:jc w:val="right"/>
              <w:rPr>
                <w:rFonts w:ascii="Arial Narrow" w:hAnsi="Arial Narrow" w:cs="Times New Roman"/>
              </w:rPr>
            </w:pPr>
            <w:r w:rsidR="00F94C99">
              <w:rPr>
                <w:rFonts w:ascii="Arial Narrow" w:hAnsi="Arial Narrow" w:cs="Times New Roman"/>
              </w:rPr>
              <w:t>382</w:t>
            </w:r>
          </w:p>
        </w:tc>
      </w:tr>
      <w:tr>
        <w:tblPrEx>
          <w:tblW w:w="8580" w:type="dxa"/>
          <w:tblInd w:w="610" w:type="dxa"/>
          <w:tblCellMar>
            <w:left w:w="70" w:type="dxa"/>
            <w:right w:w="70" w:type="dxa"/>
          </w:tblCellMar>
        </w:tblPrEx>
        <w:trPr>
          <w:trHeight w:hRule="exact" w:val="227"/>
        </w:trPr>
        <w:tc>
          <w:tcPr>
            <w:tcW w:w="5560" w:type="dxa"/>
            <w:tcBorders>
              <w:top w:val="single" w:sz="8" w:space="0" w:color="auto"/>
              <w:left w:val="single" w:sz="8" w:space="0" w:color="auto"/>
              <w:bottom w:val="single" w:sz="8" w:space="0" w:color="auto"/>
              <w:right w:val="single" w:sz="8" w:space="0" w:color="auto"/>
              <w:tl2br w:val="nil"/>
              <w:tr2bl w:val="nil"/>
            </w:tcBorders>
            <w:noWrap/>
            <w:textDirection w:val="lrTb"/>
            <w:vAlign w:val="center"/>
          </w:tcPr>
          <w:p w:rsidR="00F90106" w:rsidRPr="005360FA" w:rsidP="00302CE9">
            <w:pPr>
              <w:spacing w:line="240" w:lineRule="auto"/>
              <w:rPr>
                <w:rFonts w:ascii="Arial Narrow" w:hAnsi="Arial Narrow" w:cs="Times New Roman"/>
              </w:rPr>
            </w:pPr>
            <w:r w:rsidRPr="005360FA">
              <w:rPr>
                <w:rFonts w:ascii="Arial Narrow" w:hAnsi="Arial Narrow" w:cs="Times New Roman"/>
              </w:rPr>
              <w:t xml:space="preserve">Dlhodobé záväzky súčet </w:t>
            </w:r>
          </w:p>
        </w:tc>
        <w:tc>
          <w:tcPr>
            <w:tcW w:w="1460" w:type="dxa"/>
            <w:tcBorders>
              <w:top w:val="single" w:sz="8" w:space="0" w:color="auto"/>
              <w:left w:val="single" w:sz="8" w:space="0" w:color="auto"/>
              <w:bottom w:val="single" w:sz="4" w:space="0" w:color="auto"/>
              <w:right w:val="single" w:sz="8" w:space="0" w:color="auto"/>
              <w:tl2br w:val="nil"/>
              <w:tr2bl w:val="nil"/>
            </w:tcBorders>
            <w:noWrap/>
            <w:textDirection w:val="lrTb"/>
            <w:vAlign w:val="center"/>
          </w:tcPr>
          <w:p w:rsidR="00F90106" w:rsidRPr="005360FA" w:rsidP="00302CE9">
            <w:pPr>
              <w:spacing w:line="240" w:lineRule="auto"/>
              <w:jc w:val="right"/>
              <w:rPr>
                <w:rFonts w:ascii="Arial Narrow" w:hAnsi="Arial Narrow" w:cs="Times New Roman"/>
              </w:rPr>
            </w:pPr>
            <w:r w:rsidR="00A7017D">
              <w:rPr>
                <w:rFonts w:ascii="Arial Narrow" w:hAnsi="Arial Narrow" w:cs="Times New Roman"/>
              </w:rPr>
              <w:t>69</w:t>
            </w:r>
          </w:p>
        </w:tc>
        <w:tc>
          <w:tcPr>
            <w:tcW w:w="1560" w:type="dxa"/>
            <w:tcBorders>
              <w:top w:val="single" w:sz="8" w:space="0" w:color="auto"/>
              <w:left w:val="single" w:sz="8" w:space="0" w:color="auto"/>
              <w:bottom w:val="single" w:sz="4" w:space="0" w:color="auto"/>
              <w:right w:val="single" w:sz="8" w:space="0" w:color="auto"/>
              <w:tl2br w:val="nil"/>
              <w:tr2bl w:val="nil"/>
            </w:tcBorders>
            <w:noWrap/>
            <w:textDirection w:val="lrTb"/>
            <w:vAlign w:val="center"/>
          </w:tcPr>
          <w:p w:rsidR="00F90106" w:rsidRPr="005360FA" w:rsidP="00302CE9">
            <w:pPr>
              <w:spacing w:line="240" w:lineRule="auto"/>
              <w:jc w:val="right"/>
              <w:rPr>
                <w:rFonts w:ascii="Arial Narrow" w:hAnsi="Arial Narrow" w:cs="Times New Roman"/>
              </w:rPr>
            </w:pPr>
            <w:r w:rsidR="00A7017D">
              <w:rPr>
                <w:rFonts w:ascii="Arial Narrow" w:hAnsi="Arial Narrow" w:cs="Times New Roman"/>
              </w:rPr>
              <w:t>65</w:t>
            </w:r>
          </w:p>
        </w:tc>
      </w:tr>
      <w:tr>
        <w:tblPrEx>
          <w:tblW w:w="8580" w:type="dxa"/>
          <w:tblInd w:w="610" w:type="dxa"/>
          <w:tblCellMar>
            <w:left w:w="70" w:type="dxa"/>
            <w:right w:w="70" w:type="dxa"/>
          </w:tblCellMar>
        </w:tblPrEx>
        <w:trPr>
          <w:trHeight w:hRule="exact" w:val="227"/>
        </w:trPr>
        <w:tc>
          <w:tcPr>
            <w:tcW w:w="5560" w:type="dxa"/>
            <w:tcBorders>
              <w:top w:val="single" w:sz="8" w:space="0" w:color="auto"/>
              <w:left w:val="single" w:sz="8" w:space="0" w:color="auto"/>
              <w:bottom w:val="single" w:sz="8" w:space="0" w:color="auto"/>
              <w:right w:val="single" w:sz="4" w:space="0" w:color="auto"/>
              <w:tl2br w:val="nil"/>
              <w:tr2bl w:val="nil"/>
            </w:tcBorders>
            <w:noWrap/>
            <w:textDirection w:val="lrTb"/>
            <w:vAlign w:val="center"/>
          </w:tcPr>
          <w:p w:rsidR="00F90106" w:rsidRPr="005360FA" w:rsidP="00302CE9">
            <w:pPr>
              <w:spacing w:line="240" w:lineRule="auto"/>
              <w:rPr>
                <w:rFonts w:ascii="Arial Narrow" w:hAnsi="Arial Narrow" w:cs="Times New Roman"/>
              </w:rPr>
            </w:pPr>
            <w:r w:rsidRPr="005360FA">
              <w:rPr>
                <w:rFonts w:ascii="Arial Narrow" w:hAnsi="Arial Narrow" w:cs="Times New Roman"/>
              </w:rPr>
              <w:t xml:space="preserve">Záväzky zo sociálneho fondu </w:t>
            </w:r>
          </w:p>
        </w:tc>
        <w:tc>
          <w:tcPr>
            <w:tcW w:w="146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F90106" w:rsidRPr="00A7017D" w:rsidP="00A7017D">
            <w:pPr>
              <w:spacing w:line="240" w:lineRule="auto"/>
              <w:jc w:val="right"/>
              <w:rPr>
                <w:rFonts w:ascii="Arial Narrow" w:hAnsi="Arial Narrow" w:cs="Times New Roman"/>
              </w:rPr>
            </w:pPr>
            <w:r w:rsidRPr="00A7017D" w:rsidR="00A7017D">
              <w:rPr>
                <w:rFonts w:ascii="Arial Narrow" w:hAnsi="Arial Narrow" w:cs="Times New Roman"/>
              </w:rPr>
              <w:t>69</w:t>
            </w:r>
          </w:p>
        </w:tc>
        <w:tc>
          <w:tcPr>
            <w:tcW w:w="156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F90106" w:rsidRPr="00A7017D" w:rsidP="00302CE9">
            <w:pPr>
              <w:spacing w:line="240" w:lineRule="auto"/>
              <w:jc w:val="right"/>
              <w:rPr>
                <w:rFonts w:ascii="Arial Narrow" w:hAnsi="Arial Narrow" w:cs="Times New Roman"/>
              </w:rPr>
            </w:pPr>
            <w:r w:rsidRPr="00A7017D" w:rsidR="00A7017D">
              <w:rPr>
                <w:rFonts w:ascii="Arial Narrow" w:hAnsi="Arial Narrow" w:cs="Times New Roman"/>
              </w:rPr>
              <w:t>65</w:t>
            </w:r>
          </w:p>
        </w:tc>
      </w:tr>
      <w:tr>
        <w:tblPrEx>
          <w:tblW w:w="8580" w:type="dxa"/>
          <w:tblInd w:w="610" w:type="dxa"/>
          <w:tblCellMar>
            <w:left w:w="70" w:type="dxa"/>
            <w:right w:w="70" w:type="dxa"/>
          </w:tblCellMar>
        </w:tblPrEx>
        <w:trPr>
          <w:trHeight w:hRule="exact" w:val="227"/>
        </w:trPr>
        <w:tc>
          <w:tcPr>
            <w:tcW w:w="5560" w:type="dxa"/>
            <w:tcBorders>
              <w:top w:val="single" w:sz="8" w:space="0" w:color="auto"/>
              <w:left w:val="single" w:sz="8" w:space="0" w:color="auto"/>
              <w:bottom w:val="single" w:sz="8" w:space="0" w:color="auto"/>
              <w:right w:val="single" w:sz="8" w:space="0" w:color="auto"/>
              <w:tl2br w:val="nil"/>
              <w:tr2bl w:val="nil"/>
            </w:tcBorders>
            <w:noWrap/>
            <w:textDirection w:val="lrTb"/>
            <w:vAlign w:val="center"/>
          </w:tcPr>
          <w:p w:rsidR="00F90106" w:rsidRPr="005360FA" w:rsidP="00302CE9">
            <w:pPr>
              <w:spacing w:line="240" w:lineRule="auto"/>
              <w:rPr>
                <w:rFonts w:ascii="Arial Narrow" w:hAnsi="Arial Narrow" w:cs="Times New Roman"/>
              </w:rPr>
            </w:pPr>
            <w:r w:rsidRPr="005360FA">
              <w:rPr>
                <w:rFonts w:ascii="Arial Narrow" w:hAnsi="Arial Narrow" w:cs="Times New Roman"/>
              </w:rPr>
              <w:t xml:space="preserve">Krátkodobé záväzky súčet </w:t>
            </w:r>
          </w:p>
        </w:tc>
        <w:tc>
          <w:tcPr>
            <w:tcW w:w="1460" w:type="dxa"/>
            <w:tcBorders>
              <w:top w:val="single" w:sz="4" w:space="0" w:color="auto"/>
              <w:left w:val="single" w:sz="8" w:space="0" w:color="auto"/>
              <w:bottom w:val="single" w:sz="8" w:space="0" w:color="auto"/>
              <w:right w:val="single" w:sz="8" w:space="0" w:color="auto"/>
              <w:tl2br w:val="nil"/>
              <w:tr2bl w:val="nil"/>
            </w:tcBorders>
            <w:noWrap/>
            <w:textDirection w:val="lrTb"/>
            <w:vAlign w:val="center"/>
          </w:tcPr>
          <w:p w:rsidR="00F90106" w:rsidRPr="005360FA" w:rsidP="00302CE9">
            <w:pPr>
              <w:spacing w:line="240" w:lineRule="auto"/>
              <w:jc w:val="right"/>
              <w:rPr>
                <w:rFonts w:ascii="Arial Narrow" w:hAnsi="Arial Narrow" w:cs="Times New Roman"/>
              </w:rPr>
            </w:pPr>
            <w:r w:rsidR="00A7017D">
              <w:rPr>
                <w:rFonts w:ascii="Arial Narrow" w:hAnsi="Arial Narrow" w:cs="Times New Roman"/>
              </w:rPr>
              <w:t>5 479</w:t>
            </w:r>
          </w:p>
        </w:tc>
        <w:tc>
          <w:tcPr>
            <w:tcW w:w="1560" w:type="dxa"/>
            <w:tcBorders>
              <w:top w:val="single" w:sz="4" w:space="0" w:color="auto"/>
              <w:left w:val="single" w:sz="8" w:space="0" w:color="auto"/>
              <w:bottom w:val="single" w:sz="8" w:space="0" w:color="auto"/>
              <w:right w:val="single" w:sz="8" w:space="0" w:color="auto"/>
              <w:tl2br w:val="nil"/>
              <w:tr2bl w:val="nil"/>
            </w:tcBorders>
            <w:noWrap/>
            <w:textDirection w:val="lrTb"/>
            <w:vAlign w:val="center"/>
          </w:tcPr>
          <w:p w:rsidR="00F90106" w:rsidRPr="005360FA" w:rsidP="00302CE9">
            <w:pPr>
              <w:spacing w:line="240" w:lineRule="auto"/>
              <w:jc w:val="right"/>
              <w:rPr>
                <w:rFonts w:ascii="Arial Narrow" w:hAnsi="Arial Narrow" w:cs="Times New Roman"/>
              </w:rPr>
            </w:pPr>
            <w:r w:rsidR="00A7017D">
              <w:rPr>
                <w:rFonts w:ascii="Arial Narrow" w:hAnsi="Arial Narrow" w:cs="Times New Roman"/>
              </w:rPr>
              <w:t>8 224</w:t>
            </w:r>
          </w:p>
        </w:tc>
      </w:tr>
      <w:tr>
        <w:tblPrEx>
          <w:tblW w:w="8580" w:type="dxa"/>
          <w:tblInd w:w="610" w:type="dxa"/>
          <w:tblCellMar>
            <w:left w:w="70" w:type="dxa"/>
            <w:right w:w="70" w:type="dxa"/>
          </w:tblCellMar>
        </w:tblPrEx>
        <w:trPr>
          <w:trHeight w:hRule="exact" w:val="227"/>
        </w:trPr>
        <w:tc>
          <w:tcPr>
            <w:tcW w:w="5560" w:type="dxa"/>
            <w:tcBorders>
              <w:top w:val="single" w:sz="8" w:space="0" w:color="auto"/>
              <w:left w:val="single" w:sz="8" w:space="0" w:color="auto"/>
              <w:bottom w:val="single" w:sz="8" w:space="0" w:color="auto"/>
              <w:right w:val="single" w:sz="8" w:space="0" w:color="auto"/>
              <w:tl2br w:val="nil"/>
              <w:tr2bl w:val="nil"/>
            </w:tcBorders>
            <w:noWrap/>
            <w:textDirection w:val="lrTb"/>
            <w:vAlign w:val="center"/>
          </w:tcPr>
          <w:p w:rsidR="00F90106" w:rsidRPr="005360FA" w:rsidP="00302CE9">
            <w:pPr>
              <w:spacing w:line="240" w:lineRule="auto"/>
              <w:rPr>
                <w:rFonts w:ascii="Arial Narrow" w:hAnsi="Arial Narrow" w:cs="Times New Roman"/>
              </w:rPr>
            </w:pPr>
            <w:r w:rsidRPr="005360FA">
              <w:rPr>
                <w:rFonts w:ascii="Arial Narrow" w:hAnsi="Arial Narrow" w:cs="Times New Roman"/>
              </w:rPr>
              <w:t xml:space="preserve">Záväzky z obchodného styku </w:t>
            </w:r>
          </w:p>
        </w:tc>
        <w:tc>
          <w:tcPr>
            <w:tcW w:w="1460" w:type="dxa"/>
            <w:tcBorders>
              <w:top w:val="single" w:sz="8" w:space="0" w:color="auto"/>
              <w:left w:val="single" w:sz="8" w:space="0" w:color="auto"/>
              <w:bottom w:val="single" w:sz="8" w:space="0" w:color="auto"/>
              <w:right w:val="single" w:sz="8" w:space="0" w:color="auto"/>
              <w:tl2br w:val="nil"/>
              <w:tr2bl w:val="nil"/>
            </w:tcBorders>
            <w:noWrap/>
            <w:textDirection w:val="lrTb"/>
            <w:vAlign w:val="center"/>
          </w:tcPr>
          <w:p w:rsidR="00F90106" w:rsidRPr="005360FA" w:rsidP="00302CE9">
            <w:pPr>
              <w:spacing w:line="240" w:lineRule="auto"/>
              <w:jc w:val="right"/>
              <w:rPr>
                <w:rFonts w:ascii="Arial Narrow" w:hAnsi="Arial Narrow" w:cs="Times New Roman"/>
              </w:rPr>
            </w:pPr>
            <w:r w:rsidR="00A7017D">
              <w:rPr>
                <w:rFonts w:ascii="Arial Narrow" w:hAnsi="Arial Narrow" w:cs="Times New Roman"/>
              </w:rPr>
              <w:t>4 167</w:t>
            </w:r>
          </w:p>
        </w:tc>
        <w:tc>
          <w:tcPr>
            <w:tcW w:w="1560" w:type="dxa"/>
            <w:tcBorders>
              <w:top w:val="single" w:sz="8" w:space="0" w:color="auto"/>
              <w:left w:val="single" w:sz="8" w:space="0" w:color="auto"/>
              <w:bottom w:val="single" w:sz="8" w:space="0" w:color="auto"/>
              <w:right w:val="single" w:sz="8" w:space="0" w:color="auto"/>
              <w:tl2br w:val="nil"/>
              <w:tr2bl w:val="nil"/>
            </w:tcBorders>
            <w:noWrap/>
            <w:textDirection w:val="lrTb"/>
            <w:vAlign w:val="center"/>
          </w:tcPr>
          <w:p w:rsidR="00F90106" w:rsidRPr="005360FA" w:rsidP="00302CE9">
            <w:pPr>
              <w:spacing w:line="240" w:lineRule="auto"/>
              <w:jc w:val="right"/>
              <w:rPr>
                <w:rFonts w:ascii="Arial Narrow" w:hAnsi="Arial Narrow" w:cs="Times New Roman"/>
              </w:rPr>
            </w:pPr>
            <w:r w:rsidR="00A7017D">
              <w:rPr>
                <w:rFonts w:ascii="Arial Narrow" w:hAnsi="Arial Narrow" w:cs="Times New Roman"/>
              </w:rPr>
              <w:t>1 572</w:t>
            </w:r>
          </w:p>
        </w:tc>
      </w:tr>
      <w:tr>
        <w:tblPrEx>
          <w:tblW w:w="8580" w:type="dxa"/>
          <w:tblInd w:w="610" w:type="dxa"/>
          <w:tblCellMar>
            <w:left w:w="70" w:type="dxa"/>
            <w:right w:w="70" w:type="dxa"/>
          </w:tblCellMar>
        </w:tblPrEx>
        <w:trPr>
          <w:trHeight w:hRule="exact" w:val="227"/>
        </w:trPr>
        <w:tc>
          <w:tcPr>
            <w:tcW w:w="5560" w:type="dxa"/>
            <w:tcBorders>
              <w:top w:val="single" w:sz="8" w:space="0" w:color="auto"/>
              <w:left w:val="single" w:sz="8" w:space="0" w:color="auto"/>
              <w:bottom w:val="single" w:sz="8" w:space="0" w:color="auto"/>
              <w:right w:val="single" w:sz="8" w:space="0" w:color="auto"/>
              <w:tl2br w:val="nil"/>
              <w:tr2bl w:val="nil"/>
            </w:tcBorders>
            <w:noWrap/>
            <w:textDirection w:val="lrTb"/>
            <w:vAlign w:val="center"/>
          </w:tcPr>
          <w:p w:rsidR="00F90106" w:rsidRPr="005360FA" w:rsidP="00302CE9">
            <w:pPr>
              <w:spacing w:line="240" w:lineRule="auto"/>
              <w:rPr>
                <w:rFonts w:ascii="Arial Narrow" w:hAnsi="Arial Narrow" w:cs="Times New Roman"/>
              </w:rPr>
            </w:pPr>
            <w:r w:rsidRPr="005360FA">
              <w:rPr>
                <w:rFonts w:ascii="Arial Narrow" w:hAnsi="Arial Narrow" w:cs="Times New Roman"/>
              </w:rPr>
              <w:t>Nevyfakturované dodávky</w:t>
            </w:r>
          </w:p>
        </w:tc>
        <w:tc>
          <w:tcPr>
            <w:tcW w:w="1460" w:type="dxa"/>
            <w:tcBorders>
              <w:top w:val="single" w:sz="8" w:space="0" w:color="auto"/>
              <w:left w:val="single" w:sz="8" w:space="0" w:color="auto"/>
              <w:bottom w:val="single" w:sz="8" w:space="0" w:color="auto"/>
              <w:right w:val="single" w:sz="8" w:space="0" w:color="auto"/>
              <w:tl2br w:val="nil"/>
              <w:tr2bl w:val="nil"/>
            </w:tcBorders>
            <w:noWrap/>
            <w:textDirection w:val="lrTb"/>
            <w:vAlign w:val="center"/>
          </w:tcPr>
          <w:p w:rsidR="00F90106" w:rsidRPr="005360FA" w:rsidP="00302CE9">
            <w:pPr>
              <w:spacing w:line="240" w:lineRule="auto"/>
              <w:jc w:val="right"/>
              <w:rPr>
                <w:rFonts w:ascii="Arial Narrow" w:hAnsi="Arial Narrow" w:cs="Times New Roman"/>
              </w:rPr>
            </w:pPr>
            <w:r w:rsidR="00A7017D">
              <w:rPr>
                <w:rFonts w:ascii="Arial Narrow" w:hAnsi="Arial Narrow" w:cs="Times New Roman"/>
              </w:rPr>
              <w:t>70</w:t>
            </w:r>
          </w:p>
        </w:tc>
        <w:tc>
          <w:tcPr>
            <w:tcW w:w="1560" w:type="dxa"/>
            <w:tcBorders>
              <w:top w:val="single" w:sz="8" w:space="0" w:color="auto"/>
              <w:left w:val="single" w:sz="8" w:space="0" w:color="auto"/>
              <w:bottom w:val="single" w:sz="8" w:space="0" w:color="auto"/>
              <w:right w:val="single" w:sz="8" w:space="0" w:color="auto"/>
              <w:tl2br w:val="nil"/>
              <w:tr2bl w:val="nil"/>
            </w:tcBorders>
            <w:noWrap/>
            <w:textDirection w:val="lrTb"/>
            <w:vAlign w:val="center"/>
          </w:tcPr>
          <w:p w:rsidR="00F90106" w:rsidRPr="005360FA" w:rsidP="00302CE9">
            <w:pPr>
              <w:spacing w:line="240" w:lineRule="auto"/>
              <w:jc w:val="right"/>
              <w:rPr>
                <w:rFonts w:ascii="Arial Narrow" w:hAnsi="Arial Narrow" w:cs="Times New Roman"/>
              </w:rPr>
            </w:pPr>
            <w:r w:rsidR="00A7017D">
              <w:rPr>
                <w:rFonts w:ascii="Arial Narrow" w:hAnsi="Arial Narrow" w:cs="Times New Roman"/>
              </w:rPr>
              <w:t>55</w:t>
            </w:r>
          </w:p>
        </w:tc>
      </w:tr>
      <w:tr>
        <w:tblPrEx>
          <w:tblW w:w="8580" w:type="dxa"/>
          <w:tblInd w:w="610" w:type="dxa"/>
          <w:tblCellMar>
            <w:left w:w="70" w:type="dxa"/>
            <w:right w:w="70" w:type="dxa"/>
          </w:tblCellMar>
        </w:tblPrEx>
        <w:trPr>
          <w:trHeight w:hRule="exact" w:val="227"/>
        </w:trPr>
        <w:tc>
          <w:tcPr>
            <w:tcW w:w="5560" w:type="dxa"/>
            <w:tcBorders>
              <w:top w:val="single" w:sz="8" w:space="0" w:color="auto"/>
              <w:left w:val="single" w:sz="8" w:space="0" w:color="auto"/>
              <w:bottom w:val="single" w:sz="8" w:space="0" w:color="auto"/>
              <w:right w:val="single" w:sz="8" w:space="0" w:color="auto"/>
              <w:tl2br w:val="nil"/>
              <w:tr2bl w:val="nil"/>
            </w:tcBorders>
            <w:noWrap/>
            <w:textDirection w:val="lrTb"/>
            <w:vAlign w:val="center"/>
          </w:tcPr>
          <w:p w:rsidR="00F90106" w:rsidRPr="005360FA" w:rsidP="00302CE9">
            <w:pPr>
              <w:spacing w:line="240" w:lineRule="auto"/>
              <w:rPr>
                <w:rFonts w:ascii="Arial Narrow" w:hAnsi="Arial Narrow" w:cs="Times New Roman"/>
              </w:rPr>
            </w:pPr>
            <w:r w:rsidRPr="005360FA">
              <w:rPr>
                <w:rFonts w:ascii="Arial Narrow" w:hAnsi="Arial Narrow" w:cs="Times New Roman"/>
              </w:rPr>
              <w:t xml:space="preserve">Záväzky voči zamestnancom </w:t>
            </w:r>
          </w:p>
        </w:tc>
        <w:tc>
          <w:tcPr>
            <w:tcW w:w="1460" w:type="dxa"/>
            <w:tcBorders>
              <w:top w:val="single" w:sz="8" w:space="0" w:color="auto"/>
              <w:left w:val="single" w:sz="8" w:space="0" w:color="auto"/>
              <w:bottom w:val="single" w:sz="8" w:space="0" w:color="auto"/>
              <w:right w:val="single" w:sz="8" w:space="0" w:color="auto"/>
              <w:tl2br w:val="nil"/>
              <w:tr2bl w:val="nil"/>
            </w:tcBorders>
            <w:noWrap/>
            <w:textDirection w:val="lrTb"/>
            <w:vAlign w:val="center"/>
          </w:tcPr>
          <w:p w:rsidR="00F90106" w:rsidRPr="005360FA" w:rsidP="00302CE9">
            <w:pPr>
              <w:spacing w:line="240" w:lineRule="auto"/>
              <w:jc w:val="right"/>
              <w:rPr>
                <w:rFonts w:ascii="Arial Narrow" w:hAnsi="Arial Narrow" w:cs="Times New Roman"/>
              </w:rPr>
            </w:pPr>
            <w:r w:rsidR="00A7017D">
              <w:rPr>
                <w:rFonts w:ascii="Arial Narrow" w:hAnsi="Arial Narrow" w:cs="Times New Roman"/>
              </w:rPr>
              <w:t>693</w:t>
            </w:r>
          </w:p>
        </w:tc>
        <w:tc>
          <w:tcPr>
            <w:tcW w:w="1560" w:type="dxa"/>
            <w:tcBorders>
              <w:top w:val="single" w:sz="8" w:space="0" w:color="auto"/>
              <w:left w:val="single" w:sz="8" w:space="0" w:color="auto"/>
              <w:bottom w:val="single" w:sz="8" w:space="0" w:color="auto"/>
              <w:right w:val="single" w:sz="8" w:space="0" w:color="auto"/>
              <w:tl2br w:val="nil"/>
              <w:tr2bl w:val="nil"/>
            </w:tcBorders>
            <w:noWrap/>
            <w:textDirection w:val="lrTb"/>
            <w:vAlign w:val="center"/>
          </w:tcPr>
          <w:p w:rsidR="00F90106" w:rsidRPr="005360FA" w:rsidP="00302CE9">
            <w:pPr>
              <w:spacing w:line="240" w:lineRule="auto"/>
              <w:jc w:val="right"/>
              <w:rPr>
                <w:rFonts w:ascii="Arial Narrow" w:hAnsi="Arial Narrow" w:cs="Times New Roman"/>
              </w:rPr>
            </w:pPr>
            <w:r w:rsidR="00A7017D">
              <w:rPr>
                <w:rFonts w:ascii="Arial Narrow" w:hAnsi="Arial Narrow" w:cs="Times New Roman"/>
              </w:rPr>
              <w:t>-</w:t>
            </w:r>
          </w:p>
        </w:tc>
      </w:tr>
      <w:tr>
        <w:tblPrEx>
          <w:tblW w:w="8580" w:type="dxa"/>
          <w:tblInd w:w="610" w:type="dxa"/>
          <w:tblCellMar>
            <w:left w:w="70" w:type="dxa"/>
            <w:right w:w="70" w:type="dxa"/>
          </w:tblCellMar>
        </w:tblPrEx>
        <w:trPr>
          <w:trHeight w:hRule="exact" w:val="227"/>
        </w:trPr>
        <w:tc>
          <w:tcPr>
            <w:tcW w:w="5560" w:type="dxa"/>
            <w:tcBorders>
              <w:top w:val="single" w:sz="8" w:space="0" w:color="auto"/>
              <w:left w:val="single" w:sz="8" w:space="0" w:color="auto"/>
              <w:bottom w:val="single" w:sz="8" w:space="0" w:color="auto"/>
              <w:right w:val="single" w:sz="8" w:space="0" w:color="auto"/>
              <w:tl2br w:val="nil"/>
              <w:tr2bl w:val="nil"/>
            </w:tcBorders>
            <w:noWrap/>
            <w:textDirection w:val="lrTb"/>
            <w:vAlign w:val="center"/>
          </w:tcPr>
          <w:p w:rsidR="00F90106" w:rsidRPr="005360FA" w:rsidP="00302CE9">
            <w:pPr>
              <w:spacing w:line="240" w:lineRule="auto"/>
              <w:rPr>
                <w:rFonts w:ascii="Arial Narrow" w:hAnsi="Arial Narrow" w:cs="Times New Roman"/>
              </w:rPr>
            </w:pPr>
            <w:r w:rsidRPr="005360FA">
              <w:rPr>
                <w:rFonts w:ascii="Arial Narrow" w:hAnsi="Arial Narrow" w:cs="Times New Roman"/>
              </w:rPr>
              <w:t xml:space="preserve">Záväzky zo sociálneho poistenia </w:t>
            </w:r>
          </w:p>
        </w:tc>
        <w:tc>
          <w:tcPr>
            <w:tcW w:w="1460" w:type="dxa"/>
            <w:tcBorders>
              <w:top w:val="single" w:sz="8" w:space="0" w:color="auto"/>
              <w:left w:val="single" w:sz="8" w:space="0" w:color="auto"/>
              <w:bottom w:val="single" w:sz="8" w:space="0" w:color="auto"/>
              <w:right w:val="single" w:sz="8" w:space="0" w:color="auto"/>
              <w:tl2br w:val="nil"/>
              <w:tr2bl w:val="nil"/>
            </w:tcBorders>
            <w:noWrap/>
            <w:textDirection w:val="lrTb"/>
            <w:vAlign w:val="center"/>
          </w:tcPr>
          <w:p w:rsidR="00F90106" w:rsidRPr="005360FA" w:rsidP="00302CE9">
            <w:pPr>
              <w:spacing w:line="240" w:lineRule="auto"/>
              <w:jc w:val="right"/>
              <w:rPr>
                <w:rFonts w:ascii="Arial Narrow" w:hAnsi="Arial Narrow" w:cs="Times New Roman"/>
              </w:rPr>
            </w:pPr>
            <w:r w:rsidR="00A7017D">
              <w:rPr>
                <w:rFonts w:ascii="Arial Narrow" w:hAnsi="Arial Narrow" w:cs="Times New Roman"/>
              </w:rPr>
              <w:t>416</w:t>
            </w:r>
          </w:p>
        </w:tc>
        <w:tc>
          <w:tcPr>
            <w:tcW w:w="1560" w:type="dxa"/>
            <w:tcBorders>
              <w:top w:val="single" w:sz="8" w:space="0" w:color="auto"/>
              <w:left w:val="single" w:sz="8" w:space="0" w:color="auto"/>
              <w:bottom w:val="single" w:sz="8" w:space="0" w:color="auto"/>
              <w:right w:val="single" w:sz="8" w:space="0" w:color="auto"/>
              <w:tl2br w:val="nil"/>
              <w:tr2bl w:val="nil"/>
            </w:tcBorders>
            <w:noWrap/>
            <w:textDirection w:val="lrTb"/>
            <w:vAlign w:val="center"/>
          </w:tcPr>
          <w:p w:rsidR="00F90106" w:rsidRPr="005360FA" w:rsidP="00302CE9">
            <w:pPr>
              <w:spacing w:line="240" w:lineRule="auto"/>
              <w:jc w:val="right"/>
              <w:rPr>
                <w:rFonts w:ascii="Arial Narrow" w:hAnsi="Arial Narrow" w:cs="Times New Roman"/>
              </w:rPr>
            </w:pPr>
            <w:r w:rsidR="00A7017D">
              <w:rPr>
                <w:rFonts w:ascii="Arial Narrow" w:hAnsi="Arial Narrow" w:cs="Times New Roman"/>
              </w:rPr>
              <w:t>321</w:t>
            </w:r>
          </w:p>
        </w:tc>
      </w:tr>
      <w:tr>
        <w:tblPrEx>
          <w:tblW w:w="8580" w:type="dxa"/>
          <w:tblInd w:w="610" w:type="dxa"/>
          <w:tblCellMar>
            <w:left w:w="70" w:type="dxa"/>
            <w:right w:w="70" w:type="dxa"/>
          </w:tblCellMar>
        </w:tblPrEx>
        <w:trPr>
          <w:trHeight w:hRule="exact" w:val="227"/>
        </w:trPr>
        <w:tc>
          <w:tcPr>
            <w:tcW w:w="5560" w:type="dxa"/>
            <w:tcBorders>
              <w:top w:val="single" w:sz="8" w:space="0" w:color="auto"/>
              <w:left w:val="single" w:sz="8" w:space="0" w:color="auto"/>
              <w:bottom w:val="single" w:sz="8" w:space="0" w:color="auto"/>
              <w:right w:val="single" w:sz="8" w:space="0" w:color="auto"/>
              <w:tl2br w:val="nil"/>
              <w:tr2bl w:val="nil"/>
            </w:tcBorders>
            <w:noWrap/>
            <w:textDirection w:val="lrTb"/>
            <w:vAlign w:val="center"/>
          </w:tcPr>
          <w:p w:rsidR="00F90106" w:rsidRPr="005360FA" w:rsidP="00302CE9">
            <w:pPr>
              <w:spacing w:line="240" w:lineRule="auto"/>
              <w:rPr>
                <w:rFonts w:ascii="Arial Narrow" w:hAnsi="Arial Narrow" w:cs="Times New Roman"/>
              </w:rPr>
            </w:pPr>
            <w:r w:rsidRPr="005360FA">
              <w:rPr>
                <w:rFonts w:ascii="Arial Narrow" w:hAnsi="Arial Narrow" w:cs="Times New Roman"/>
              </w:rPr>
              <w:t xml:space="preserve">Daňové záväzky a dotácie </w:t>
            </w:r>
          </w:p>
        </w:tc>
        <w:tc>
          <w:tcPr>
            <w:tcW w:w="1460" w:type="dxa"/>
            <w:tcBorders>
              <w:top w:val="single" w:sz="8" w:space="0" w:color="auto"/>
              <w:left w:val="single" w:sz="8" w:space="0" w:color="auto"/>
              <w:bottom w:val="single" w:sz="8" w:space="0" w:color="auto"/>
              <w:right w:val="single" w:sz="8" w:space="0" w:color="auto"/>
              <w:tl2br w:val="nil"/>
              <w:tr2bl w:val="nil"/>
            </w:tcBorders>
            <w:noWrap/>
            <w:textDirection w:val="lrTb"/>
            <w:vAlign w:val="center"/>
          </w:tcPr>
          <w:p w:rsidR="00F90106" w:rsidRPr="005360FA" w:rsidP="00302CE9">
            <w:pPr>
              <w:spacing w:line="240" w:lineRule="auto"/>
              <w:jc w:val="right"/>
              <w:rPr>
                <w:rFonts w:ascii="Arial Narrow" w:hAnsi="Arial Narrow" w:cs="Times New Roman"/>
              </w:rPr>
            </w:pPr>
            <w:r w:rsidR="00A7017D">
              <w:rPr>
                <w:rFonts w:ascii="Arial Narrow" w:hAnsi="Arial Narrow" w:cs="Times New Roman"/>
              </w:rPr>
              <w:t>109</w:t>
            </w:r>
          </w:p>
        </w:tc>
        <w:tc>
          <w:tcPr>
            <w:tcW w:w="1560" w:type="dxa"/>
            <w:tcBorders>
              <w:top w:val="single" w:sz="8" w:space="0" w:color="auto"/>
              <w:left w:val="single" w:sz="8" w:space="0" w:color="auto"/>
              <w:bottom w:val="single" w:sz="8" w:space="0" w:color="auto"/>
              <w:right w:val="single" w:sz="8" w:space="0" w:color="auto"/>
              <w:tl2br w:val="nil"/>
              <w:tr2bl w:val="nil"/>
            </w:tcBorders>
            <w:noWrap/>
            <w:textDirection w:val="lrTb"/>
            <w:vAlign w:val="center"/>
          </w:tcPr>
          <w:p w:rsidR="00F90106" w:rsidRPr="005360FA" w:rsidP="00302CE9">
            <w:pPr>
              <w:spacing w:line="240" w:lineRule="auto"/>
              <w:jc w:val="right"/>
              <w:rPr>
                <w:rFonts w:ascii="Arial Narrow" w:hAnsi="Arial Narrow" w:cs="Times New Roman"/>
              </w:rPr>
            </w:pPr>
            <w:r w:rsidR="00A7017D">
              <w:rPr>
                <w:rFonts w:ascii="Arial Narrow" w:hAnsi="Arial Narrow" w:cs="Times New Roman"/>
              </w:rPr>
              <w:t>5 746</w:t>
            </w:r>
          </w:p>
        </w:tc>
      </w:tr>
      <w:tr>
        <w:tblPrEx>
          <w:tblW w:w="8580" w:type="dxa"/>
          <w:tblInd w:w="610" w:type="dxa"/>
          <w:tblCellMar>
            <w:left w:w="70" w:type="dxa"/>
            <w:right w:w="70" w:type="dxa"/>
          </w:tblCellMar>
        </w:tblPrEx>
        <w:trPr>
          <w:trHeight w:hRule="exact" w:val="227"/>
        </w:trPr>
        <w:tc>
          <w:tcPr>
            <w:tcW w:w="5560" w:type="dxa"/>
            <w:tcBorders>
              <w:top w:val="single" w:sz="8" w:space="0" w:color="auto"/>
              <w:left w:val="single" w:sz="8" w:space="0" w:color="auto"/>
              <w:bottom w:val="single" w:sz="8" w:space="0" w:color="auto"/>
              <w:right w:val="single" w:sz="8" w:space="0" w:color="auto"/>
              <w:tl2br w:val="nil"/>
              <w:tr2bl w:val="nil"/>
            </w:tcBorders>
            <w:noWrap/>
            <w:textDirection w:val="lrTb"/>
            <w:vAlign w:val="center"/>
          </w:tcPr>
          <w:p w:rsidR="00F90106" w:rsidRPr="005360FA" w:rsidP="00302CE9">
            <w:pPr>
              <w:spacing w:line="240" w:lineRule="auto"/>
              <w:rPr>
                <w:rFonts w:ascii="Arial Narrow" w:hAnsi="Arial Narrow" w:cs="Times New Roman"/>
              </w:rPr>
            </w:pPr>
            <w:r w:rsidRPr="005360FA">
              <w:rPr>
                <w:rFonts w:ascii="Arial Narrow" w:hAnsi="Arial Narrow" w:cs="Times New Roman"/>
              </w:rPr>
              <w:t xml:space="preserve">Ostatné záväzky </w:t>
            </w:r>
          </w:p>
        </w:tc>
        <w:tc>
          <w:tcPr>
            <w:tcW w:w="1460" w:type="dxa"/>
            <w:tcBorders>
              <w:top w:val="single" w:sz="8" w:space="0" w:color="auto"/>
              <w:left w:val="single" w:sz="8" w:space="0" w:color="auto"/>
              <w:bottom w:val="single" w:sz="8" w:space="0" w:color="auto"/>
              <w:right w:val="single" w:sz="8" w:space="0" w:color="auto"/>
              <w:tl2br w:val="nil"/>
              <w:tr2bl w:val="nil"/>
            </w:tcBorders>
            <w:noWrap/>
            <w:textDirection w:val="lrTb"/>
            <w:vAlign w:val="center"/>
          </w:tcPr>
          <w:p w:rsidR="00F90106" w:rsidRPr="005360FA" w:rsidP="00302CE9">
            <w:pPr>
              <w:spacing w:line="240" w:lineRule="auto"/>
              <w:jc w:val="right"/>
              <w:rPr>
                <w:rFonts w:ascii="Arial Narrow" w:hAnsi="Arial Narrow" w:cs="Times New Roman"/>
              </w:rPr>
            </w:pPr>
            <w:r w:rsidR="00A7017D">
              <w:rPr>
                <w:rFonts w:ascii="Arial Narrow" w:hAnsi="Arial Narrow" w:cs="Times New Roman"/>
              </w:rPr>
              <w:t>24</w:t>
            </w:r>
          </w:p>
        </w:tc>
        <w:tc>
          <w:tcPr>
            <w:tcW w:w="1560" w:type="dxa"/>
            <w:tcBorders>
              <w:top w:val="single" w:sz="8" w:space="0" w:color="auto"/>
              <w:left w:val="single" w:sz="8" w:space="0" w:color="auto"/>
              <w:bottom w:val="single" w:sz="8" w:space="0" w:color="auto"/>
              <w:right w:val="single" w:sz="8" w:space="0" w:color="auto"/>
              <w:tl2br w:val="nil"/>
              <w:tr2bl w:val="nil"/>
            </w:tcBorders>
            <w:noWrap/>
            <w:textDirection w:val="lrTb"/>
            <w:vAlign w:val="center"/>
          </w:tcPr>
          <w:p w:rsidR="00F90106" w:rsidRPr="005360FA" w:rsidP="00302CE9">
            <w:pPr>
              <w:spacing w:line="240" w:lineRule="auto"/>
              <w:jc w:val="right"/>
              <w:rPr>
                <w:rFonts w:ascii="Arial Narrow" w:hAnsi="Arial Narrow" w:cs="Times New Roman"/>
              </w:rPr>
            </w:pPr>
            <w:r w:rsidR="00A7017D">
              <w:rPr>
                <w:rFonts w:ascii="Arial Narrow" w:hAnsi="Arial Narrow" w:cs="Times New Roman"/>
              </w:rPr>
              <w:t>530</w:t>
            </w:r>
          </w:p>
        </w:tc>
      </w:tr>
      <w:tr>
        <w:tblPrEx>
          <w:tblW w:w="8580" w:type="dxa"/>
          <w:tblInd w:w="610" w:type="dxa"/>
          <w:tblCellMar>
            <w:left w:w="70" w:type="dxa"/>
            <w:right w:w="70" w:type="dxa"/>
          </w:tblCellMar>
        </w:tblPrEx>
        <w:trPr>
          <w:trHeight w:hRule="exact" w:val="227"/>
        </w:trPr>
        <w:tc>
          <w:tcPr>
            <w:tcW w:w="5560" w:type="dxa"/>
            <w:tcBorders>
              <w:top w:val="single" w:sz="8" w:space="0" w:color="auto"/>
              <w:left w:val="single" w:sz="8" w:space="0" w:color="auto"/>
              <w:bottom w:val="single" w:sz="8" w:space="0" w:color="auto"/>
              <w:right w:val="single" w:sz="8" w:space="0" w:color="auto"/>
              <w:tl2br w:val="nil"/>
              <w:tr2bl w:val="nil"/>
            </w:tcBorders>
            <w:noWrap/>
            <w:textDirection w:val="lrTb"/>
            <w:vAlign w:val="center"/>
          </w:tcPr>
          <w:p w:rsidR="00A7017D" w:rsidRPr="005360FA" w:rsidP="00302CE9">
            <w:pPr>
              <w:spacing w:line="240" w:lineRule="auto"/>
              <w:rPr>
                <w:rFonts w:ascii="Arial Narrow" w:hAnsi="Arial Narrow" w:cs="Times New Roman"/>
              </w:rPr>
            </w:pPr>
            <w:r>
              <w:rPr>
                <w:rFonts w:ascii="Arial Narrow" w:hAnsi="Arial Narrow" w:cs="Times New Roman"/>
              </w:rPr>
              <w:t>Bankové úvery a výpomoci súčet</w:t>
            </w:r>
          </w:p>
        </w:tc>
        <w:tc>
          <w:tcPr>
            <w:tcW w:w="1460" w:type="dxa"/>
            <w:tcBorders>
              <w:top w:val="single" w:sz="8" w:space="0" w:color="auto"/>
              <w:left w:val="single" w:sz="8" w:space="0" w:color="auto"/>
              <w:bottom w:val="single" w:sz="8" w:space="0" w:color="auto"/>
              <w:right w:val="single" w:sz="8" w:space="0" w:color="auto"/>
              <w:tl2br w:val="nil"/>
              <w:tr2bl w:val="nil"/>
            </w:tcBorders>
            <w:noWrap/>
            <w:textDirection w:val="lrTb"/>
            <w:vAlign w:val="center"/>
          </w:tcPr>
          <w:p w:rsidR="00A7017D" w:rsidRPr="005360FA" w:rsidP="00302CE9">
            <w:pPr>
              <w:spacing w:line="240" w:lineRule="auto"/>
              <w:jc w:val="right"/>
              <w:rPr>
                <w:rFonts w:ascii="Arial Narrow" w:hAnsi="Arial Narrow" w:cs="Times New Roman"/>
              </w:rPr>
            </w:pPr>
            <w:r>
              <w:rPr>
                <w:rFonts w:ascii="Arial Narrow" w:hAnsi="Arial Narrow" w:cs="Times New Roman"/>
              </w:rPr>
              <w:t>3 993</w:t>
            </w:r>
          </w:p>
        </w:tc>
        <w:tc>
          <w:tcPr>
            <w:tcW w:w="1560" w:type="dxa"/>
            <w:tcBorders>
              <w:top w:val="single" w:sz="8" w:space="0" w:color="auto"/>
              <w:left w:val="single" w:sz="8" w:space="0" w:color="auto"/>
              <w:bottom w:val="single" w:sz="8" w:space="0" w:color="auto"/>
              <w:right w:val="single" w:sz="8" w:space="0" w:color="auto"/>
              <w:tl2br w:val="nil"/>
              <w:tr2bl w:val="nil"/>
            </w:tcBorders>
            <w:noWrap/>
            <w:textDirection w:val="lrTb"/>
            <w:vAlign w:val="center"/>
          </w:tcPr>
          <w:p w:rsidR="00A7017D" w:rsidRPr="005360FA" w:rsidP="00302CE9">
            <w:pPr>
              <w:spacing w:line="240" w:lineRule="auto"/>
              <w:jc w:val="right"/>
              <w:rPr>
                <w:rFonts w:ascii="Arial Narrow" w:hAnsi="Arial Narrow" w:cs="Times New Roman"/>
              </w:rPr>
            </w:pPr>
            <w:r>
              <w:rPr>
                <w:rFonts w:ascii="Arial Narrow" w:hAnsi="Arial Narrow" w:cs="Times New Roman"/>
              </w:rPr>
              <w:t>9 000</w:t>
            </w:r>
          </w:p>
        </w:tc>
      </w:tr>
      <w:tr>
        <w:tblPrEx>
          <w:tblW w:w="8580" w:type="dxa"/>
          <w:tblInd w:w="610" w:type="dxa"/>
          <w:tblCellMar>
            <w:left w:w="70" w:type="dxa"/>
            <w:right w:w="70" w:type="dxa"/>
          </w:tblCellMar>
        </w:tblPrEx>
        <w:trPr>
          <w:trHeight w:hRule="exact" w:val="227"/>
        </w:trPr>
        <w:tc>
          <w:tcPr>
            <w:tcW w:w="5560" w:type="dxa"/>
            <w:tcBorders>
              <w:top w:val="single" w:sz="8" w:space="0" w:color="auto"/>
              <w:left w:val="single" w:sz="8" w:space="0" w:color="auto"/>
              <w:bottom w:val="single" w:sz="8" w:space="0" w:color="auto"/>
              <w:right w:val="single" w:sz="8" w:space="0" w:color="auto"/>
              <w:tl2br w:val="nil"/>
              <w:tr2bl w:val="nil"/>
            </w:tcBorders>
            <w:noWrap/>
            <w:textDirection w:val="lrTb"/>
            <w:vAlign w:val="center"/>
          </w:tcPr>
          <w:p w:rsidR="00A7017D" w:rsidRPr="005360FA" w:rsidP="00302CE9">
            <w:pPr>
              <w:spacing w:line="240" w:lineRule="auto"/>
              <w:rPr>
                <w:rFonts w:ascii="Arial Narrow" w:hAnsi="Arial Narrow" w:cs="Times New Roman"/>
              </w:rPr>
            </w:pPr>
            <w:r>
              <w:rPr>
                <w:rFonts w:ascii="Arial Narrow" w:hAnsi="Arial Narrow" w:cs="Times New Roman"/>
              </w:rPr>
              <w:t>Bežné bankové úvery</w:t>
            </w:r>
          </w:p>
        </w:tc>
        <w:tc>
          <w:tcPr>
            <w:tcW w:w="1460" w:type="dxa"/>
            <w:tcBorders>
              <w:top w:val="single" w:sz="8" w:space="0" w:color="auto"/>
              <w:left w:val="single" w:sz="8" w:space="0" w:color="auto"/>
              <w:bottom w:val="single" w:sz="8" w:space="0" w:color="auto"/>
              <w:right w:val="single" w:sz="8" w:space="0" w:color="auto"/>
              <w:tl2br w:val="nil"/>
              <w:tr2bl w:val="nil"/>
            </w:tcBorders>
            <w:noWrap/>
            <w:textDirection w:val="lrTb"/>
            <w:vAlign w:val="center"/>
          </w:tcPr>
          <w:p w:rsidR="00A7017D" w:rsidRPr="005360FA" w:rsidP="00302CE9">
            <w:pPr>
              <w:spacing w:line="240" w:lineRule="auto"/>
              <w:jc w:val="right"/>
              <w:rPr>
                <w:rFonts w:ascii="Arial Narrow" w:hAnsi="Arial Narrow" w:cs="Times New Roman"/>
              </w:rPr>
            </w:pPr>
            <w:r>
              <w:rPr>
                <w:rFonts w:ascii="Arial Narrow" w:hAnsi="Arial Narrow" w:cs="Times New Roman"/>
              </w:rPr>
              <w:t>3 993</w:t>
            </w:r>
          </w:p>
        </w:tc>
        <w:tc>
          <w:tcPr>
            <w:tcW w:w="1560" w:type="dxa"/>
            <w:tcBorders>
              <w:top w:val="single" w:sz="8" w:space="0" w:color="auto"/>
              <w:left w:val="single" w:sz="8" w:space="0" w:color="auto"/>
              <w:bottom w:val="single" w:sz="8" w:space="0" w:color="auto"/>
              <w:right w:val="single" w:sz="8" w:space="0" w:color="auto"/>
              <w:tl2br w:val="nil"/>
              <w:tr2bl w:val="nil"/>
            </w:tcBorders>
            <w:noWrap/>
            <w:textDirection w:val="lrTb"/>
            <w:vAlign w:val="center"/>
          </w:tcPr>
          <w:p w:rsidR="00A7017D" w:rsidRPr="005360FA" w:rsidP="00302CE9">
            <w:pPr>
              <w:spacing w:line="240" w:lineRule="auto"/>
              <w:jc w:val="right"/>
              <w:rPr>
                <w:rFonts w:ascii="Arial Narrow" w:hAnsi="Arial Narrow" w:cs="Times New Roman"/>
              </w:rPr>
            </w:pPr>
            <w:r>
              <w:rPr>
                <w:rFonts w:ascii="Arial Narrow" w:hAnsi="Arial Narrow" w:cs="Times New Roman"/>
              </w:rPr>
              <w:t>9 000</w:t>
            </w:r>
          </w:p>
        </w:tc>
      </w:tr>
      <w:tr>
        <w:tblPrEx>
          <w:tblW w:w="8580" w:type="dxa"/>
          <w:tblInd w:w="610" w:type="dxa"/>
          <w:tblCellMar>
            <w:left w:w="70" w:type="dxa"/>
            <w:right w:w="70" w:type="dxa"/>
          </w:tblCellMar>
        </w:tblPrEx>
        <w:trPr>
          <w:trHeight w:hRule="exact" w:val="227"/>
        </w:trPr>
        <w:tc>
          <w:tcPr>
            <w:tcW w:w="5560" w:type="dxa"/>
            <w:tcBorders>
              <w:top w:val="single" w:sz="8" w:space="0" w:color="auto"/>
              <w:left w:val="single" w:sz="8" w:space="0" w:color="auto"/>
              <w:bottom w:val="single" w:sz="8" w:space="0" w:color="auto"/>
              <w:right w:val="single" w:sz="8" w:space="0" w:color="auto"/>
              <w:tl2br w:val="nil"/>
              <w:tr2bl w:val="nil"/>
            </w:tcBorders>
            <w:noWrap/>
            <w:textDirection w:val="lrTb"/>
            <w:vAlign w:val="center"/>
          </w:tcPr>
          <w:p w:rsidR="00F90106" w:rsidRPr="005360FA" w:rsidP="00302CE9">
            <w:pPr>
              <w:spacing w:line="240" w:lineRule="auto"/>
              <w:rPr>
                <w:rFonts w:ascii="Arial Narrow" w:hAnsi="Arial Narrow" w:cs="Times New Roman"/>
              </w:rPr>
            </w:pPr>
            <w:r w:rsidRPr="005360FA">
              <w:rPr>
                <w:rFonts w:ascii="Arial Narrow" w:hAnsi="Arial Narrow" w:cs="Times New Roman"/>
              </w:rPr>
              <w:t xml:space="preserve">Časové rozlíšenie súčet </w:t>
            </w:r>
          </w:p>
        </w:tc>
        <w:tc>
          <w:tcPr>
            <w:tcW w:w="1460" w:type="dxa"/>
            <w:tcBorders>
              <w:top w:val="single" w:sz="8" w:space="0" w:color="auto"/>
              <w:left w:val="single" w:sz="8" w:space="0" w:color="auto"/>
              <w:bottom w:val="single" w:sz="8" w:space="0" w:color="auto"/>
              <w:right w:val="single" w:sz="8" w:space="0" w:color="auto"/>
              <w:tl2br w:val="nil"/>
              <w:tr2bl w:val="nil"/>
            </w:tcBorders>
            <w:noWrap/>
            <w:textDirection w:val="lrTb"/>
            <w:vAlign w:val="center"/>
          </w:tcPr>
          <w:p w:rsidR="00F90106" w:rsidRPr="005360FA" w:rsidP="00302CE9">
            <w:pPr>
              <w:spacing w:line="240" w:lineRule="auto"/>
              <w:jc w:val="right"/>
              <w:rPr>
                <w:rFonts w:ascii="Arial Narrow" w:hAnsi="Arial Narrow" w:cs="Times New Roman"/>
              </w:rPr>
            </w:pPr>
            <w:r w:rsidR="00A7017D">
              <w:rPr>
                <w:rFonts w:ascii="Arial Narrow" w:hAnsi="Arial Narrow" w:cs="Times New Roman"/>
              </w:rPr>
              <w:t>15 354</w:t>
            </w:r>
          </w:p>
        </w:tc>
        <w:tc>
          <w:tcPr>
            <w:tcW w:w="1560" w:type="dxa"/>
            <w:tcBorders>
              <w:top w:val="single" w:sz="8" w:space="0" w:color="auto"/>
              <w:left w:val="single" w:sz="8" w:space="0" w:color="auto"/>
              <w:bottom w:val="single" w:sz="8" w:space="0" w:color="auto"/>
              <w:right w:val="single" w:sz="8" w:space="0" w:color="auto"/>
              <w:tl2br w:val="nil"/>
              <w:tr2bl w:val="nil"/>
            </w:tcBorders>
            <w:noWrap/>
            <w:textDirection w:val="lrTb"/>
            <w:vAlign w:val="center"/>
          </w:tcPr>
          <w:p w:rsidR="00F90106" w:rsidRPr="005360FA" w:rsidP="00302CE9">
            <w:pPr>
              <w:spacing w:line="240" w:lineRule="auto"/>
              <w:jc w:val="right"/>
              <w:rPr>
                <w:rFonts w:ascii="Arial Narrow" w:hAnsi="Arial Narrow" w:cs="Times New Roman"/>
              </w:rPr>
            </w:pPr>
            <w:r w:rsidR="00A7017D">
              <w:rPr>
                <w:rFonts w:ascii="Arial Narrow" w:hAnsi="Arial Narrow" w:cs="Times New Roman"/>
              </w:rPr>
              <w:t>-</w:t>
            </w:r>
          </w:p>
        </w:tc>
      </w:tr>
      <w:tr>
        <w:tblPrEx>
          <w:tblW w:w="8580" w:type="dxa"/>
          <w:tblInd w:w="610" w:type="dxa"/>
          <w:tblCellMar>
            <w:left w:w="70" w:type="dxa"/>
            <w:right w:w="70" w:type="dxa"/>
          </w:tblCellMar>
        </w:tblPrEx>
        <w:trPr>
          <w:trHeight w:hRule="exact" w:val="227"/>
        </w:trPr>
        <w:tc>
          <w:tcPr>
            <w:tcW w:w="556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F90106" w:rsidRPr="005360FA" w:rsidP="00302CE9">
            <w:pPr>
              <w:spacing w:line="240" w:lineRule="auto"/>
              <w:rPr>
                <w:rFonts w:ascii="Arial Narrow" w:hAnsi="Arial Narrow" w:cs="Times New Roman"/>
              </w:rPr>
            </w:pPr>
            <w:r w:rsidRPr="005360FA">
              <w:rPr>
                <w:rFonts w:ascii="Arial Narrow" w:hAnsi="Arial Narrow" w:cs="Times New Roman"/>
              </w:rPr>
              <w:t xml:space="preserve">Výnosy budúcich období </w:t>
            </w:r>
          </w:p>
        </w:tc>
        <w:tc>
          <w:tcPr>
            <w:tcW w:w="146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F90106" w:rsidRPr="005360FA" w:rsidP="00302CE9">
            <w:pPr>
              <w:spacing w:line="240" w:lineRule="auto"/>
              <w:jc w:val="right"/>
              <w:rPr>
                <w:rFonts w:ascii="Arial Narrow" w:hAnsi="Arial Narrow" w:cs="Times New Roman"/>
              </w:rPr>
            </w:pPr>
            <w:r w:rsidR="00A7017D">
              <w:rPr>
                <w:rFonts w:ascii="Arial Narrow" w:hAnsi="Arial Narrow" w:cs="Times New Roman"/>
              </w:rPr>
              <w:t>15 354</w:t>
            </w:r>
          </w:p>
        </w:tc>
        <w:tc>
          <w:tcPr>
            <w:tcW w:w="156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F90106" w:rsidRPr="005360FA" w:rsidP="00302CE9">
            <w:pPr>
              <w:spacing w:line="240" w:lineRule="auto"/>
              <w:jc w:val="right"/>
              <w:rPr>
                <w:rFonts w:ascii="Arial Narrow" w:hAnsi="Arial Narrow" w:cs="Times New Roman"/>
              </w:rPr>
            </w:pPr>
            <w:r w:rsidR="00A7017D">
              <w:rPr>
                <w:rFonts w:ascii="Arial Narrow" w:hAnsi="Arial Narrow" w:cs="Times New Roman"/>
              </w:rPr>
              <w:t>-</w:t>
            </w:r>
          </w:p>
        </w:tc>
      </w:tr>
    </w:tbl>
    <w:p w:rsidR="00F90106" w:rsidRPr="00ED0F3C" w:rsidP="00F90106">
      <w:pPr>
        <w:spacing w:line="240" w:lineRule="auto"/>
        <w:rPr>
          <w:rFonts w:ascii="Times New Roman" w:hAnsi="Times New Roman" w:cs="Times New Roman"/>
        </w:rPr>
      </w:pPr>
      <w:r>
        <w:rPr>
          <w:rFonts w:ascii="Times New Roman" w:hAnsi="Times New Roman" w:cs="Times New Roman"/>
          <w:b/>
          <w:sz w:val="24"/>
          <w:szCs w:val="24"/>
        </w:rPr>
        <w:t xml:space="preserve">         </w:t>
      </w:r>
      <w:r w:rsidRPr="00ED0F3C">
        <w:rPr>
          <w:rFonts w:ascii="Times New Roman" w:hAnsi="Times New Roman" w:cs="Times New Roman"/>
        </w:rPr>
        <w:t>Pozn.:</w:t>
      </w:r>
      <w:r w:rsidRPr="00ED0F3C">
        <w:rPr>
          <w:rFonts w:ascii="Times New Roman" w:hAnsi="Times New Roman" w:cs="Times New Roman"/>
          <w:b/>
        </w:rPr>
        <w:t xml:space="preserve"> </w:t>
      </w:r>
      <w:r w:rsidRPr="00ED0F3C">
        <w:rPr>
          <w:rFonts w:ascii="Times New Roman" w:hAnsi="Times New Roman" w:cs="Times New Roman"/>
        </w:rPr>
        <w:t xml:space="preserve">Položky z nulovou hodnotou v súvahe zaradené nie sú. </w:t>
      </w:r>
    </w:p>
    <w:p w:rsidR="00F90106" w:rsidP="004573C1">
      <w:pPr>
        <w:spacing w:line="240" w:lineRule="auto"/>
        <w:rPr>
          <w:rFonts w:ascii="Times New Roman" w:hAnsi="Times New Roman" w:cs="Times New Roman"/>
          <w:b/>
          <w:sz w:val="24"/>
          <w:szCs w:val="24"/>
        </w:rPr>
      </w:pPr>
    </w:p>
    <w:p w:rsidR="00B708F9" w:rsidP="00B708F9">
      <w:pPr>
        <w:spacing w:line="240" w:lineRule="auto"/>
        <w:ind w:firstLine="709"/>
        <w:rPr>
          <w:rFonts w:ascii="Times New Roman" w:hAnsi="Times New Roman" w:cs="Times New Roman"/>
          <w:sz w:val="24"/>
          <w:szCs w:val="24"/>
        </w:rPr>
      </w:pPr>
      <w:r w:rsidRPr="00B1599D" w:rsidR="00B1599D">
        <w:rPr>
          <w:rFonts w:ascii="Times New Roman" w:hAnsi="Times New Roman" w:cs="Times New Roman"/>
          <w:sz w:val="24"/>
          <w:szCs w:val="24"/>
        </w:rPr>
        <w:t xml:space="preserve">V priebehu roku 2007 sa zmenila štruktúra vlastníkov spoločnosti, ale nezmenila sa výška základného imania, ktoré je </w:t>
      </w:r>
      <w:r w:rsidR="00060280">
        <w:rPr>
          <w:rFonts w:ascii="Times New Roman" w:hAnsi="Times New Roman" w:cs="Times New Roman"/>
          <w:sz w:val="24"/>
          <w:szCs w:val="24"/>
        </w:rPr>
        <w:t xml:space="preserve">vo výške </w:t>
      </w:r>
      <w:r w:rsidRPr="00B1599D" w:rsidR="00B1599D">
        <w:rPr>
          <w:rFonts w:ascii="Times New Roman" w:hAnsi="Times New Roman" w:cs="Times New Roman"/>
          <w:sz w:val="24"/>
          <w:szCs w:val="24"/>
        </w:rPr>
        <w:t>446 118 tis. Sk. Vlastné imanie k 31</w:t>
      </w:r>
      <w:r w:rsidR="00060280">
        <w:rPr>
          <w:rFonts w:ascii="Times New Roman" w:hAnsi="Times New Roman" w:cs="Times New Roman"/>
          <w:sz w:val="24"/>
          <w:szCs w:val="24"/>
        </w:rPr>
        <w:t xml:space="preserve">.12.2007 predstavuje </w:t>
      </w:r>
      <w:r w:rsidRPr="00B1599D" w:rsidR="00B1599D">
        <w:rPr>
          <w:rFonts w:ascii="Times New Roman" w:hAnsi="Times New Roman" w:cs="Times New Roman"/>
          <w:sz w:val="24"/>
          <w:szCs w:val="24"/>
        </w:rPr>
        <w:t>479 208 tis. Sk.</w:t>
      </w:r>
      <w:r>
        <w:rPr>
          <w:rFonts w:ascii="Times New Roman" w:hAnsi="Times New Roman" w:cs="Times New Roman"/>
          <w:sz w:val="24"/>
          <w:szCs w:val="24"/>
        </w:rPr>
        <w:t xml:space="preserve"> Obstarávaný dlhodobý hmotný majetok narástol oproti roku 2006 z dôvodu realizovania investičných akcií realizovaných z fondu ERDF a spolufinancovania zo štátneho rozpočtu. </w:t>
      </w:r>
    </w:p>
    <w:p w:rsidR="00EF0282" w:rsidP="00060280">
      <w:pPr>
        <w:spacing w:line="240" w:lineRule="auto"/>
        <w:ind w:firstLine="709"/>
        <w:rPr>
          <w:rFonts w:ascii="Times New Roman" w:hAnsi="Times New Roman" w:cs="Times New Roman"/>
          <w:sz w:val="24"/>
          <w:szCs w:val="24"/>
        </w:rPr>
      </w:pPr>
    </w:p>
    <w:p w:rsidR="00060280" w:rsidP="00060280">
      <w:pPr>
        <w:spacing w:line="240" w:lineRule="auto"/>
        <w:ind w:firstLine="709"/>
        <w:rPr>
          <w:rFonts w:ascii="Times New Roman" w:hAnsi="Times New Roman" w:cs="Times New Roman"/>
          <w:sz w:val="24"/>
          <w:szCs w:val="24"/>
        </w:rPr>
      </w:pPr>
      <w:r w:rsidRPr="00B1599D" w:rsidR="00B1599D">
        <w:rPr>
          <w:rFonts w:ascii="Times New Roman" w:hAnsi="Times New Roman" w:cs="Times New Roman"/>
          <w:sz w:val="24"/>
          <w:szCs w:val="24"/>
        </w:rPr>
        <w:t>Vý</w:t>
      </w:r>
      <w:r>
        <w:rPr>
          <w:rFonts w:ascii="Times New Roman" w:hAnsi="Times New Roman" w:cs="Times New Roman"/>
          <w:sz w:val="24"/>
          <w:szCs w:val="24"/>
        </w:rPr>
        <w:t>sledkom hospodárenia za rok 2007</w:t>
      </w:r>
      <w:r w:rsidRPr="00B1599D" w:rsidR="00B1599D">
        <w:rPr>
          <w:rFonts w:ascii="Times New Roman" w:hAnsi="Times New Roman" w:cs="Times New Roman"/>
          <w:sz w:val="24"/>
          <w:szCs w:val="24"/>
        </w:rPr>
        <w:t xml:space="preserve"> bude strata vo výške 4 852 tis. Sk.</w:t>
      </w:r>
    </w:p>
    <w:p w:rsidR="00EF0282" w:rsidP="00B708F9">
      <w:pPr>
        <w:spacing w:line="240" w:lineRule="auto"/>
        <w:ind w:firstLine="709"/>
        <w:rPr>
          <w:rFonts w:ascii="Times New Roman" w:hAnsi="Times New Roman" w:cs="Times New Roman"/>
          <w:sz w:val="24"/>
          <w:szCs w:val="24"/>
        </w:rPr>
      </w:pPr>
    </w:p>
    <w:p w:rsidR="00B708F9" w:rsidP="00B708F9">
      <w:pPr>
        <w:spacing w:line="240" w:lineRule="auto"/>
        <w:ind w:firstLine="709"/>
        <w:rPr>
          <w:rFonts w:ascii="Times New Roman" w:hAnsi="Times New Roman" w:cs="Times New Roman"/>
          <w:sz w:val="24"/>
          <w:szCs w:val="24"/>
        </w:rPr>
      </w:pPr>
      <w:r w:rsidRPr="00B1599D" w:rsidR="00B1599D">
        <w:rPr>
          <w:rFonts w:ascii="Times New Roman" w:hAnsi="Times New Roman" w:cs="Times New Roman"/>
          <w:sz w:val="24"/>
          <w:szCs w:val="24"/>
        </w:rPr>
        <w:t>Bankové úvery vo výške 3 993 tis. Sk slúžia na prefinancovanie proje</w:t>
      </w:r>
      <w:r w:rsidR="00060280">
        <w:rPr>
          <w:rFonts w:ascii="Times New Roman" w:hAnsi="Times New Roman" w:cs="Times New Roman"/>
          <w:sz w:val="24"/>
          <w:szCs w:val="24"/>
        </w:rPr>
        <w:t>ktov financovaných z ERDF a ŠR.</w:t>
      </w:r>
      <w:r>
        <w:rPr>
          <w:rFonts w:ascii="Times New Roman" w:hAnsi="Times New Roman" w:cs="Times New Roman"/>
          <w:sz w:val="24"/>
          <w:szCs w:val="24"/>
        </w:rPr>
        <w:t xml:space="preserve"> V roku 2007 bol splatený úver vo výške 9 mil. Sk a bola uzatvorená nová úverová zmluva v objeme 15 mil. Sk na prefinancovanie projektu EÚ – rozšírenie rolovacej dráhy a terminálu letiska. </w:t>
      </w:r>
      <w:r w:rsidR="00060280">
        <w:rPr>
          <w:rFonts w:ascii="Times New Roman" w:hAnsi="Times New Roman" w:cs="Times New Roman"/>
          <w:sz w:val="24"/>
          <w:szCs w:val="24"/>
        </w:rPr>
        <w:t xml:space="preserve"> </w:t>
      </w:r>
    </w:p>
    <w:p w:rsidR="00EF0282" w:rsidP="00060280">
      <w:pPr>
        <w:spacing w:line="240" w:lineRule="auto"/>
        <w:ind w:firstLine="709"/>
        <w:rPr>
          <w:rFonts w:ascii="Times New Roman" w:hAnsi="Times New Roman" w:cs="Times New Roman"/>
          <w:sz w:val="24"/>
          <w:szCs w:val="24"/>
        </w:rPr>
      </w:pPr>
    </w:p>
    <w:p w:rsidR="00B1599D" w:rsidRPr="00B1599D" w:rsidP="00060280">
      <w:pPr>
        <w:spacing w:line="240" w:lineRule="auto"/>
        <w:ind w:firstLine="709"/>
        <w:rPr>
          <w:rFonts w:ascii="Times New Roman" w:hAnsi="Times New Roman" w:cs="Times New Roman"/>
          <w:sz w:val="24"/>
          <w:szCs w:val="24"/>
        </w:rPr>
      </w:pPr>
      <w:r w:rsidRPr="00B1599D">
        <w:rPr>
          <w:rFonts w:ascii="Times New Roman" w:hAnsi="Times New Roman" w:cs="Times New Roman"/>
          <w:sz w:val="24"/>
          <w:szCs w:val="24"/>
        </w:rPr>
        <w:t>Spoločnosť Letisko</w:t>
      </w:r>
      <w:r w:rsidR="00060280">
        <w:rPr>
          <w:rFonts w:ascii="Times New Roman" w:hAnsi="Times New Roman" w:cs="Times New Roman"/>
          <w:sz w:val="24"/>
          <w:szCs w:val="24"/>
        </w:rPr>
        <w:t xml:space="preserve"> Piešťany, a.</w:t>
      </w:r>
      <w:r w:rsidRPr="00B1599D">
        <w:rPr>
          <w:rFonts w:ascii="Times New Roman" w:hAnsi="Times New Roman" w:cs="Times New Roman"/>
          <w:sz w:val="24"/>
          <w:szCs w:val="24"/>
        </w:rPr>
        <w:t>s.</w:t>
      </w:r>
      <w:r w:rsidR="00060280">
        <w:rPr>
          <w:rFonts w:ascii="Times New Roman" w:hAnsi="Times New Roman" w:cs="Times New Roman"/>
          <w:sz w:val="24"/>
          <w:szCs w:val="24"/>
        </w:rPr>
        <w:t>,</w:t>
      </w:r>
      <w:r w:rsidRPr="00B1599D">
        <w:rPr>
          <w:rFonts w:ascii="Times New Roman" w:hAnsi="Times New Roman" w:cs="Times New Roman"/>
          <w:sz w:val="24"/>
          <w:szCs w:val="24"/>
        </w:rPr>
        <w:t xml:space="preserve"> neeviduje ku koncu roka žiadne finančné výpomoci a ani v priebehu roka nedostala žiadnu finančnú výpomoc.</w:t>
      </w:r>
    </w:p>
    <w:p w:rsidR="00EF0282" w:rsidP="00B1599D">
      <w:pPr>
        <w:spacing w:line="240" w:lineRule="auto"/>
        <w:rPr>
          <w:rFonts w:ascii="Times New Roman" w:hAnsi="Times New Roman" w:cs="Times New Roman"/>
          <w:sz w:val="24"/>
          <w:szCs w:val="24"/>
        </w:rPr>
      </w:pPr>
      <w:r w:rsidR="00B708F9">
        <w:rPr>
          <w:rFonts w:ascii="Times New Roman" w:hAnsi="Times New Roman" w:cs="Times New Roman"/>
          <w:sz w:val="24"/>
          <w:szCs w:val="24"/>
        </w:rPr>
        <w:tab/>
      </w:r>
    </w:p>
    <w:p w:rsidR="00B1599D" w:rsidRPr="00B1599D" w:rsidP="00EF0282">
      <w:pPr>
        <w:spacing w:line="240" w:lineRule="auto"/>
        <w:ind w:firstLine="709"/>
        <w:rPr>
          <w:rFonts w:ascii="Times New Roman" w:hAnsi="Times New Roman" w:cs="Times New Roman"/>
          <w:sz w:val="24"/>
          <w:szCs w:val="24"/>
        </w:rPr>
      </w:pPr>
      <w:r w:rsidR="00B708F9">
        <w:rPr>
          <w:rFonts w:ascii="Times New Roman" w:hAnsi="Times New Roman" w:cs="Times New Roman"/>
          <w:sz w:val="24"/>
          <w:szCs w:val="24"/>
        </w:rPr>
        <w:t xml:space="preserve">Pri výnosoch budúcich období ide o investičné dotácie, ktoré sa zúčtovávajú do výnosov postupne vo výške odpisov zariadení a stavieb, na ktoré boli poskytnuté. </w:t>
      </w:r>
    </w:p>
    <w:p w:rsidR="00EF0282" w:rsidP="00060280">
      <w:pPr>
        <w:spacing w:line="240" w:lineRule="auto"/>
        <w:ind w:firstLine="709"/>
        <w:rPr>
          <w:rFonts w:ascii="Times New Roman" w:hAnsi="Times New Roman" w:cs="Times New Roman"/>
          <w:sz w:val="24"/>
          <w:szCs w:val="24"/>
        </w:rPr>
      </w:pPr>
    </w:p>
    <w:p w:rsidR="00060280" w:rsidP="00060280">
      <w:pPr>
        <w:spacing w:line="240" w:lineRule="auto"/>
        <w:ind w:firstLine="709"/>
        <w:rPr>
          <w:rFonts w:ascii="Times New Roman" w:hAnsi="Times New Roman" w:cs="Times New Roman"/>
          <w:sz w:val="24"/>
          <w:szCs w:val="24"/>
        </w:rPr>
      </w:pPr>
      <w:r w:rsidRPr="00B1599D" w:rsidR="00B1599D">
        <w:rPr>
          <w:rFonts w:ascii="Times New Roman" w:hAnsi="Times New Roman" w:cs="Times New Roman"/>
          <w:sz w:val="24"/>
          <w:szCs w:val="24"/>
        </w:rPr>
        <w:t>Pohľadávky z obchodného styku boli k 3</w:t>
      </w:r>
      <w:r w:rsidR="00B708F9">
        <w:rPr>
          <w:rFonts w:ascii="Times New Roman" w:hAnsi="Times New Roman" w:cs="Times New Roman"/>
          <w:sz w:val="24"/>
          <w:szCs w:val="24"/>
        </w:rPr>
        <w:t xml:space="preserve">1.12.2007 v objeme 3 168 tis. </w:t>
      </w:r>
      <w:r w:rsidRPr="00B1599D" w:rsidR="00B1599D">
        <w:rPr>
          <w:rFonts w:ascii="Times New Roman" w:hAnsi="Times New Roman" w:cs="Times New Roman"/>
          <w:sz w:val="24"/>
          <w:szCs w:val="24"/>
        </w:rPr>
        <w:t>Sk, z toho pohľadávky po lehote sp</w:t>
      </w:r>
      <w:r w:rsidR="003C58A3">
        <w:rPr>
          <w:rFonts w:ascii="Times New Roman" w:hAnsi="Times New Roman" w:cs="Times New Roman"/>
          <w:sz w:val="24"/>
          <w:szCs w:val="24"/>
        </w:rPr>
        <w:t xml:space="preserve">latnosti nad  365 dní vo výške 190 tis. Sk, nad 270 dní vo výške 214 tis. Sk, nad 180 dní vo výške 500 tis. Sk a nad 90 dní vo výške 757 tis. </w:t>
      </w:r>
      <w:r w:rsidRPr="00B1599D" w:rsidR="00B1599D">
        <w:rPr>
          <w:rFonts w:ascii="Times New Roman" w:hAnsi="Times New Roman" w:cs="Times New Roman"/>
          <w:sz w:val="24"/>
          <w:szCs w:val="24"/>
        </w:rPr>
        <w:t>Sk. Všetky pohľadávky nad 90 dní  po lehote splatnosti sú riešené  právnou kanceláriou spoločnosti.</w:t>
      </w:r>
      <w:r>
        <w:rPr>
          <w:rFonts w:ascii="Times New Roman" w:hAnsi="Times New Roman" w:cs="Times New Roman"/>
          <w:sz w:val="24"/>
          <w:szCs w:val="24"/>
        </w:rPr>
        <w:t xml:space="preserve"> </w:t>
      </w:r>
    </w:p>
    <w:p w:rsidR="00EF0282" w:rsidP="004573C1">
      <w:pPr>
        <w:spacing w:line="240" w:lineRule="auto"/>
        <w:ind w:firstLine="709"/>
        <w:rPr>
          <w:rFonts w:ascii="Times New Roman" w:hAnsi="Times New Roman" w:cs="Times New Roman"/>
          <w:sz w:val="24"/>
          <w:szCs w:val="24"/>
        </w:rPr>
      </w:pPr>
    </w:p>
    <w:p w:rsidR="00060280" w:rsidRPr="004573C1" w:rsidP="004573C1">
      <w:pPr>
        <w:spacing w:line="240" w:lineRule="auto"/>
        <w:ind w:firstLine="709"/>
        <w:rPr>
          <w:rFonts w:ascii="Times New Roman" w:hAnsi="Times New Roman" w:cs="Times New Roman"/>
          <w:sz w:val="24"/>
          <w:szCs w:val="24"/>
        </w:rPr>
      </w:pPr>
      <w:r w:rsidRPr="00B1599D" w:rsidR="00B1599D">
        <w:rPr>
          <w:rFonts w:ascii="Times New Roman" w:hAnsi="Times New Roman" w:cs="Times New Roman"/>
          <w:sz w:val="24"/>
          <w:szCs w:val="24"/>
        </w:rPr>
        <w:t>Zá</w:t>
      </w:r>
      <w:r>
        <w:rPr>
          <w:rFonts w:ascii="Times New Roman" w:hAnsi="Times New Roman" w:cs="Times New Roman"/>
          <w:sz w:val="24"/>
          <w:szCs w:val="24"/>
        </w:rPr>
        <w:t>väzky z obchodného s</w:t>
      </w:r>
      <w:r w:rsidR="003C58A3">
        <w:rPr>
          <w:rFonts w:ascii="Times New Roman" w:hAnsi="Times New Roman" w:cs="Times New Roman"/>
          <w:sz w:val="24"/>
          <w:szCs w:val="24"/>
        </w:rPr>
        <w:t xml:space="preserve">tyku predstavovali 4 167 tis. </w:t>
      </w:r>
      <w:r>
        <w:rPr>
          <w:rFonts w:ascii="Times New Roman" w:hAnsi="Times New Roman" w:cs="Times New Roman"/>
          <w:sz w:val="24"/>
          <w:szCs w:val="24"/>
        </w:rPr>
        <w:t xml:space="preserve">Sk, </w:t>
      </w:r>
      <w:r w:rsidRPr="00B1599D" w:rsidR="00B1599D">
        <w:rPr>
          <w:rFonts w:ascii="Times New Roman" w:hAnsi="Times New Roman" w:cs="Times New Roman"/>
          <w:sz w:val="24"/>
          <w:szCs w:val="24"/>
        </w:rPr>
        <w:t>z</w:t>
      </w:r>
      <w:r>
        <w:rPr>
          <w:rFonts w:ascii="Times New Roman" w:hAnsi="Times New Roman" w:cs="Times New Roman"/>
          <w:sz w:val="24"/>
          <w:szCs w:val="24"/>
        </w:rPr>
        <w:t xml:space="preserve"> </w:t>
      </w:r>
      <w:r w:rsidRPr="00B1599D" w:rsidR="00B1599D">
        <w:rPr>
          <w:rFonts w:ascii="Times New Roman" w:hAnsi="Times New Roman" w:cs="Times New Roman"/>
          <w:sz w:val="24"/>
          <w:szCs w:val="24"/>
        </w:rPr>
        <w:t xml:space="preserve"> toho </w:t>
      </w:r>
      <w:r w:rsidR="003C58A3">
        <w:rPr>
          <w:rFonts w:ascii="Times New Roman" w:hAnsi="Times New Roman" w:cs="Times New Roman"/>
          <w:sz w:val="24"/>
          <w:szCs w:val="24"/>
        </w:rPr>
        <w:t xml:space="preserve">po lehote splatnosti v sume 209 tis. </w:t>
      </w:r>
      <w:r w:rsidRPr="00B1599D" w:rsidR="00B1599D">
        <w:rPr>
          <w:rFonts w:ascii="Times New Roman" w:hAnsi="Times New Roman" w:cs="Times New Roman"/>
          <w:sz w:val="24"/>
          <w:szCs w:val="24"/>
        </w:rPr>
        <w:t>Sk, všetko v kategórii</w:t>
      </w:r>
      <w:r w:rsidR="004573C1">
        <w:rPr>
          <w:rFonts w:ascii="Times New Roman" w:hAnsi="Times New Roman" w:cs="Times New Roman"/>
          <w:sz w:val="24"/>
          <w:szCs w:val="24"/>
        </w:rPr>
        <w:t xml:space="preserve"> do 30 dní po lehote splatnosti.</w:t>
      </w:r>
    </w:p>
    <w:p w:rsidR="00EF0282" w:rsidP="00060280">
      <w:pPr>
        <w:spacing w:line="240" w:lineRule="auto"/>
        <w:outlineLvl w:val="0"/>
        <w:rPr>
          <w:rFonts w:ascii="Times New Roman" w:hAnsi="Times New Roman" w:cs="Times New Roman"/>
          <w:b/>
          <w:bCs/>
          <w:sz w:val="28"/>
          <w:szCs w:val="28"/>
        </w:rPr>
      </w:pPr>
    </w:p>
    <w:p w:rsidR="00EF0282" w:rsidP="00060280">
      <w:pPr>
        <w:spacing w:line="240" w:lineRule="auto"/>
        <w:outlineLvl w:val="0"/>
        <w:rPr>
          <w:rFonts w:ascii="Times New Roman" w:hAnsi="Times New Roman" w:cs="Times New Roman"/>
          <w:b/>
          <w:bCs/>
          <w:sz w:val="28"/>
          <w:szCs w:val="28"/>
        </w:rPr>
      </w:pPr>
    </w:p>
    <w:p w:rsidR="00060280" w:rsidRPr="00B97FAA" w:rsidP="00060280">
      <w:pPr>
        <w:spacing w:line="240" w:lineRule="auto"/>
        <w:outlineLvl w:val="0"/>
        <w:rPr>
          <w:rFonts w:ascii="Times New Roman" w:hAnsi="Times New Roman" w:cs="Times New Roman"/>
          <w:b/>
          <w:bCs/>
          <w:sz w:val="28"/>
          <w:szCs w:val="28"/>
        </w:rPr>
      </w:pPr>
      <w:r>
        <w:rPr>
          <w:rFonts w:ascii="Times New Roman" w:hAnsi="Times New Roman" w:cs="Times New Roman"/>
          <w:b/>
          <w:bCs/>
          <w:sz w:val="28"/>
          <w:szCs w:val="28"/>
        </w:rPr>
        <w:t>F</w:t>
      </w:r>
      <w:r w:rsidRPr="00B97FAA">
        <w:rPr>
          <w:rFonts w:ascii="Times New Roman" w:hAnsi="Times New Roman" w:cs="Times New Roman"/>
          <w:b/>
          <w:bCs/>
          <w:sz w:val="28"/>
          <w:szCs w:val="28"/>
        </w:rPr>
        <w:t>:</w:t>
      </w:r>
      <w:r w:rsidRPr="00B97FAA">
        <w:rPr>
          <w:rFonts w:ascii="Times New Roman" w:hAnsi="Times New Roman" w:cs="Times New Roman"/>
          <w:b/>
          <w:sz w:val="28"/>
          <w:szCs w:val="28"/>
        </w:rPr>
        <w:t xml:space="preserve"> Zhodnoteni</w:t>
      </w:r>
      <w:r>
        <w:rPr>
          <w:rFonts w:ascii="Times New Roman" w:hAnsi="Times New Roman" w:cs="Times New Roman"/>
          <w:b/>
          <w:sz w:val="28"/>
          <w:szCs w:val="28"/>
        </w:rPr>
        <w:t>e finančno – majetkovej pozície Letiska Žilina, a.s.</w:t>
      </w:r>
    </w:p>
    <w:p w:rsidR="00B1599D" w:rsidRPr="00B1599D" w:rsidP="00B1599D">
      <w:pPr>
        <w:spacing w:line="240" w:lineRule="auto"/>
        <w:rPr>
          <w:rFonts w:ascii="Times New Roman" w:hAnsi="Times New Roman" w:cs="Times New Roman"/>
          <w:sz w:val="24"/>
          <w:szCs w:val="24"/>
        </w:rPr>
      </w:pPr>
    </w:p>
    <w:p w:rsidR="00B1599D" w:rsidRPr="00B1599D" w:rsidP="00060280">
      <w:pPr>
        <w:spacing w:line="240" w:lineRule="auto"/>
        <w:ind w:firstLine="709"/>
        <w:rPr>
          <w:rFonts w:ascii="Times New Roman" w:hAnsi="Times New Roman" w:cs="Times New Roman"/>
          <w:sz w:val="24"/>
          <w:szCs w:val="24"/>
        </w:rPr>
      </w:pPr>
      <w:r w:rsidR="00060280">
        <w:rPr>
          <w:rFonts w:ascii="Times New Roman" w:hAnsi="Times New Roman" w:cs="Times New Roman"/>
          <w:sz w:val="24"/>
          <w:szCs w:val="24"/>
        </w:rPr>
        <w:t xml:space="preserve">Údaje </w:t>
      </w:r>
      <w:r w:rsidRPr="00B1599D">
        <w:rPr>
          <w:rFonts w:ascii="Times New Roman" w:hAnsi="Times New Roman" w:cs="Times New Roman"/>
          <w:sz w:val="24"/>
          <w:szCs w:val="24"/>
        </w:rPr>
        <w:t>spoločnosti sú spracované z predbežných a neauditovaných podkladov.</w:t>
      </w:r>
    </w:p>
    <w:p w:rsidR="00B1599D" w:rsidP="00B1599D">
      <w:pPr>
        <w:spacing w:line="240" w:lineRule="auto"/>
        <w:rPr>
          <w:rFonts w:ascii="Times New Roman" w:hAnsi="Times New Roman" w:cs="Times New Roman"/>
          <w:sz w:val="24"/>
          <w:szCs w:val="24"/>
        </w:rPr>
      </w:pPr>
    </w:p>
    <w:p w:rsidR="00EF0282" w:rsidP="00B1599D">
      <w:pPr>
        <w:spacing w:line="240" w:lineRule="auto"/>
        <w:rPr>
          <w:rFonts w:ascii="Times New Roman" w:hAnsi="Times New Roman" w:cs="Times New Roman"/>
          <w:sz w:val="24"/>
          <w:szCs w:val="24"/>
        </w:rPr>
      </w:pPr>
    </w:p>
    <w:p w:rsidR="00EF0282" w:rsidP="00B1599D">
      <w:pPr>
        <w:spacing w:line="240" w:lineRule="auto"/>
        <w:rPr>
          <w:rFonts w:ascii="Times New Roman" w:hAnsi="Times New Roman" w:cs="Times New Roman"/>
          <w:sz w:val="24"/>
          <w:szCs w:val="24"/>
        </w:rPr>
      </w:pPr>
    </w:p>
    <w:p w:rsidR="00EF0282" w:rsidP="00B1599D">
      <w:pPr>
        <w:spacing w:line="240" w:lineRule="auto"/>
        <w:rPr>
          <w:rFonts w:ascii="Times New Roman" w:hAnsi="Times New Roman" w:cs="Times New Roman"/>
          <w:sz w:val="24"/>
          <w:szCs w:val="24"/>
        </w:rPr>
      </w:pPr>
    </w:p>
    <w:p w:rsidR="00EF0282" w:rsidRPr="00B1599D" w:rsidP="00B1599D">
      <w:pPr>
        <w:spacing w:line="240" w:lineRule="auto"/>
        <w:rPr>
          <w:rFonts w:ascii="Times New Roman" w:hAnsi="Times New Roman" w:cs="Times New Roman"/>
          <w:sz w:val="24"/>
          <w:szCs w:val="24"/>
        </w:rPr>
      </w:pPr>
    </w:p>
    <w:p w:rsidR="00B1599D" w:rsidRPr="00060280" w:rsidP="00060280">
      <w:pPr>
        <w:spacing w:line="240" w:lineRule="auto"/>
        <w:jc w:val="center"/>
        <w:rPr>
          <w:rFonts w:ascii="Times New Roman" w:hAnsi="Times New Roman" w:cs="Times New Roman"/>
          <w:b/>
          <w:sz w:val="24"/>
          <w:szCs w:val="24"/>
        </w:rPr>
      </w:pPr>
      <w:r w:rsidRPr="00060280">
        <w:rPr>
          <w:rFonts w:ascii="Times New Roman" w:hAnsi="Times New Roman" w:cs="Times New Roman"/>
          <w:b/>
          <w:sz w:val="24"/>
          <w:szCs w:val="24"/>
        </w:rPr>
        <w:t>Predbežná súvaha spoločnosti za rok 2007</w:t>
      </w:r>
    </w:p>
    <w:p w:rsidR="00B1599D" w:rsidRPr="0075637E" w:rsidP="0075637E">
      <w:pPr>
        <w:spacing w:line="240" w:lineRule="auto"/>
        <w:ind w:right="-829"/>
        <w:rPr>
          <w:rFonts w:ascii="Arial Narrow" w:hAnsi="Arial Narrow" w:cs="Times New Roman"/>
        </w:rPr>
      </w:pPr>
      <w:r w:rsidRPr="0075637E" w:rsidR="0075637E">
        <w:rPr>
          <w:rFonts w:ascii="Arial Narrow" w:hAnsi="Arial Narrow" w:cs="Times New Roman"/>
        </w:rPr>
        <w:t xml:space="preserve">                                                                                                                                    </w:t>
      </w:r>
      <w:r w:rsidR="0075637E">
        <w:rPr>
          <w:rFonts w:ascii="Arial Narrow" w:hAnsi="Arial Narrow" w:cs="Times New Roman"/>
        </w:rPr>
        <w:t xml:space="preserve">                                                   </w:t>
      </w:r>
      <w:r w:rsidRPr="0075637E" w:rsidR="0075637E">
        <w:rPr>
          <w:rFonts w:ascii="Arial Narrow" w:hAnsi="Arial Narrow" w:cs="Times New Roman"/>
        </w:rPr>
        <w:t>(v tis. Sk)</w:t>
      </w:r>
    </w:p>
    <w:tbl>
      <w:tblPr>
        <w:tblW w:w="91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
      <w:tblGrid>
        <w:gridCol w:w="3379"/>
        <w:gridCol w:w="1260"/>
        <w:gridCol w:w="3261"/>
        <w:gridCol w:w="1260"/>
      </w:tblGrid>
      <w:tr>
        <w:tblPrEx>
          <w:tblW w:w="91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405"/>
        </w:trPr>
        <w:tc>
          <w:tcPr>
            <w:tcW w:w="3379" w:type="dxa"/>
            <w:tcBorders>
              <w:top w:val="single" w:sz="4" w:space="0" w:color="auto"/>
              <w:left w:val="single" w:sz="4" w:space="0" w:color="auto"/>
              <w:bottom w:val="single" w:sz="4" w:space="0" w:color="auto"/>
              <w:right w:val="single" w:sz="4" w:space="0" w:color="auto"/>
              <w:tl2br w:val="nil"/>
              <w:tr2bl w:val="nil"/>
            </w:tcBorders>
            <w:shd w:val="clear" w:color="auto" w:fill="C0C0C0"/>
            <w:textDirection w:val="lrTb"/>
            <w:vAlign w:val="center"/>
          </w:tcPr>
          <w:p w:rsidR="0075637E" w:rsidRPr="00060280" w:rsidP="00060280">
            <w:pPr>
              <w:spacing w:line="240" w:lineRule="auto"/>
              <w:jc w:val="center"/>
              <w:rPr>
                <w:rFonts w:ascii="Arial Narrow" w:hAnsi="Arial Narrow" w:cs="Times New Roman"/>
                <w:b/>
                <w:sz w:val="24"/>
                <w:szCs w:val="24"/>
              </w:rPr>
            </w:pPr>
            <w:r>
              <w:rPr>
                <w:rFonts w:ascii="Arial Narrow" w:hAnsi="Arial Narrow" w:cs="Times New Roman"/>
                <w:b/>
                <w:sz w:val="24"/>
                <w:szCs w:val="24"/>
              </w:rPr>
              <w:t>AKTÍVA</w:t>
            </w:r>
          </w:p>
        </w:tc>
        <w:tc>
          <w:tcPr>
            <w:tcW w:w="1260" w:type="dxa"/>
            <w:tcBorders>
              <w:top w:val="single" w:sz="4" w:space="0" w:color="auto"/>
              <w:left w:val="single" w:sz="4" w:space="0" w:color="auto"/>
              <w:bottom w:val="single" w:sz="4" w:space="0" w:color="auto"/>
              <w:right w:val="single" w:sz="4" w:space="0" w:color="auto"/>
              <w:tl2br w:val="nil"/>
              <w:tr2bl w:val="nil"/>
            </w:tcBorders>
            <w:shd w:val="clear" w:color="auto" w:fill="C0C0C0"/>
            <w:textDirection w:val="lrTb"/>
            <w:vAlign w:val="center"/>
          </w:tcPr>
          <w:p w:rsidR="0075637E" w:rsidRPr="00060280" w:rsidP="00060280">
            <w:pPr>
              <w:spacing w:line="240" w:lineRule="auto"/>
              <w:jc w:val="center"/>
              <w:rPr>
                <w:rFonts w:ascii="Arial Narrow" w:hAnsi="Arial Narrow" w:cs="Times New Roman"/>
                <w:b/>
                <w:sz w:val="24"/>
                <w:szCs w:val="24"/>
              </w:rPr>
            </w:pPr>
            <w:r>
              <w:rPr>
                <w:rFonts w:ascii="Arial Narrow" w:hAnsi="Arial Narrow" w:cs="Times New Roman"/>
                <w:b/>
                <w:sz w:val="24"/>
                <w:szCs w:val="24"/>
              </w:rPr>
              <w:t>Netto</w:t>
            </w:r>
          </w:p>
        </w:tc>
        <w:tc>
          <w:tcPr>
            <w:tcW w:w="3261" w:type="dxa"/>
            <w:tcBorders>
              <w:top w:val="single" w:sz="4" w:space="0" w:color="auto"/>
              <w:left w:val="single" w:sz="4" w:space="0" w:color="auto"/>
              <w:bottom w:val="single" w:sz="4" w:space="0" w:color="auto"/>
              <w:right w:val="single" w:sz="4" w:space="0" w:color="auto"/>
              <w:tl2br w:val="nil"/>
              <w:tr2bl w:val="nil"/>
            </w:tcBorders>
            <w:shd w:val="clear" w:color="auto" w:fill="C0C0C0"/>
            <w:textDirection w:val="lrTb"/>
            <w:vAlign w:val="center"/>
          </w:tcPr>
          <w:p w:rsidR="0075637E" w:rsidRPr="00060280" w:rsidP="00060280">
            <w:pPr>
              <w:spacing w:line="240" w:lineRule="auto"/>
              <w:jc w:val="center"/>
              <w:rPr>
                <w:rFonts w:ascii="Arial Narrow" w:hAnsi="Arial Narrow" w:cs="Times New Roman"/>
                <w:b/>
                <w:sz w:val="24"/>
                <w:szCs w:val="24"/>
              </w:rPr>
            </w:pPr>
            <w:r>
              <w:rPr>
                <w:rFonts w:ascii="Arial Narrow" w:hAnsi="Arial Narrow" w:cs="Times New Roman"/>
                <w:b/>
                <w:sz w:val="24"/>
                <w:szCs w:val="24"/>
              </w:rPr>
              <w:t>PASÍVA</w:t>
            </w:r>
          </w:p>
        </w:tc>
        <w:tc>
          <w:tcPr>
            <w:tcW w:w="1260" w:type="dxa"/>
            <w:tcBorders>
              <w:top w:val="single" w:sz="4" w:space="0" w:color="auto"/>
              <w:left w:val="single" w:sz="4" w:space="0" w:color="auto"/>
              <w:bottom w:val="single" w:sz="4" w:space="0" w:color="auto"/>
              <w:right w:val="single" w:sz="4" w:space="0" w:color="auto"/>
              <w:tl2br w:val="nil"/>
              <w:tr2bl w:val="nil"/>
            </w:tcBorders>
            <w:shd w:val="clear" w:color="auto" w:fill="C0C0C0"/>
            <w:textDirection w:val="lrTb"/>
            <w:vAlign w:val="center"/>
          </w:tcPr>
          <w:p w:rsidR="0075637E" w:rsidRPr="00060280" w:rsidP="00060280">
            <w:pPr>
              <w:spacing w:line="240" w:lineRule="auto"/>
              <w:jc w:val="center"/>
              <w:rPr>
                <w:rFonts w:ascii="Arial Narrow" w:hAnsi="Arial Narrow" w:cs="Times New Roman"/>
                <w:b/>
                <w:sz w:val="24"/>
                <w:szCs w:val="24"/>
              </w:rPr>
            </w:pPr>
            <w:r>
              <w:rPr>
                <w:rFonts w:ascii="Arial Narrow" w:hAnsi="Arial Narrow" w:cs="Times New Roman"/>
                <w:b/>
                <w:sz w:val="24"/>
                <w:szCs w:val="24"/>
              </w:rPr>
              <w:t>Netto</w:t>
            </w:r>
          </w:p>
        </w:tc>
      </w:tr>
      <w:tr>
        <w:tblPrEx>
          <w:tblW w:w="9160" w:type="dxa"/>
          <w:tblInd w:w="70" w:type="dxa"/>
          <w:tblCellMar>
            <w:left w:w="70" w:type="dxa"/>
            <w:right w:w="70" w:type="dxa"/>
          </w:tblCellMar>
        </w:tblPrEx>
        <w:trPr>
          <w:trHeight w:hRule="exact" w:val="284"/>
        </w:trPr>
        <w:tc>
          <w:tcPr>
            <w:tcW w:w="3379"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75637E" w:rsidRPr="00C9022C" w:rsidP="00060280">
            <w:pPr>
              <w:spacing w:line="240" w:lineRule="auto"/>
              <w:jc w:val="left"/>
              <w:rPr>
                <w:rFonts w:ascii="Arial Narrow" w:hAnsi="Arial Narrow" w:cs="Times New Roman"/>
                <w:b/>
              </w:rPr>
            </w:pPr>
            <w:r w:rsidRPr="00C9022C" w:rsidR="00C9022C">
              <w:rPr>
                <w:rFonts w:ascii="Arial Narrow" w:hAnsi="Arial Narrow" w:cs="Times New Roman"/>
                <w:b/>
              </w:rPr>
              <w:t>Neobežný majetok</w:t>
            </w:r>
          </w:p>
        </w:tc>
        <w:tc>
          <w:tcPr>
            <w:tcW w:w="126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75637E" w:rsidRPr="00C9022C" w:rsidP="00060280">
            <w:pPr>
              <w:spacing w:line="240" w:lineRule="auto"/>
              <w:jc w:val="right"/>
              <w:rPr>
                <w:rFonts w:ascii="Arial Narrow" w:hAnsi="Arial Narrow" w:cs="Times New Roman"/>
                <w:b/>
              </w:rPr>
            </w:pPr>
            <w:r w:rsidRPr="00C9022C" w:rsidR="00C9022C">
              <w:rPr>
                <w:rFonts w:ascii="Arial Narrow" w:hAnsi="Arial Narrow" w:cs="Times New Roman"/>
                <w:b/>
              </w:rPr>
              <w:t>78 011</w:t>
            </w:r>
          </w:p>
        </w:tc>
        <w:tc>
          <w:tcPr>
            <w:tcW w:w="3261"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75637E" w:rsidRPr="00276BAE" w:rsidP="00060280">
            <w:pPr>
              <w:spacing w:line="240" w:lineRule="auto"/>
              <w:jc w:val="left"/>
              <w:rPr>
                <w:rFonts w:ascii="Arial Narrow" w:hAnsi="Arial Narrow" w:cs="Times New Roman"/>
                <w:b/>
              </w:rPr>
            </w:pPr>
            <w:r w:rsidRPr="00276BAE" w:rsidR="00C9022C">
              <w:rPr>
                <w:rFonts w:ascii="Arial Narrow" w:hAnsi="Arial Narrow" w:cs="Times New Roman"/>
                <w:b/>
              </w:rPr>
              <w:t>Vlastné imanie</w:t>
            </w:r>
          </w:p>
          <w:p w:rsidR="00C9022C" w:rsidRPr="00060280" w:rsidP="00060280">
            <w:pPr>
              <w:spacing w:line="240" w:lineRule="auto"/>
              <w:jc w:val="left"/>
              <w:rPr>
                <w:rFonts w:ascii="Arial Narrow" w:hAnsi="Arial Narrow" w:cs="Times New Roman"/>
              </w:rPr>
            </w:pPr>
            <w:r>
              <w:rPr>
                <w:rFonts w:ascii="Arial Narrow" w:hAnsi="Arial Narrow" w:cs="Times New Roman"/>
              </w:rPr>
              <w:t>Základné imanie - súčekdk</w:t>
            </w:r>
          </w:p>
        </w:tc>
        <w:tc>
          <w:tcPr>
            <w:tcW w:w="126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75637E" w:rsidRPr="00060280" w:rsidP="00060280">
            <w:pPr>
              <w:spacing w:line="240" w:lineRule="auto"/>
              <w:jc w:val="right"/>
              <w:rPr>
                <w:rFonts w:ascii="Arial Narrow" w:hAnsi="Arial Narrow" w:cs="Times New Roman"/>
              </w:rPr>
            </w:pPr>
            <w:r w:rsidR="00276BAE">
              <w:rPr>
                <w:rFonts w:ascii="Arial Narrow" w:hAnsi="Arial Narrow" w:cs="Times New Roman"/>
              </w:rPr>
              <w:t>69 811</w:t>
            </w:r>
          </w:p>
        </w:tc>
      </w:tr>
      <w:tr>
        <w:tblPrEx>
          <w:tblW w:w="9160" w:type="dxa"/>
          <w:tblInd w:w="70" w:type="dxa"/>
          <w:tblCellMar>
            <w:left w:w="70" w:type="dxa"/>
            <w:right w:w="70" w:type="dxa"/>
          </w:tblCellMar>
        </w:tblPrEx>
        <w:trPr>
          <w:trHeight w:val="319"/>
        </w:trPr>
        <w:tc>
          <w:tcPr>
            <w:tcW w:w="3379"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75637E" w:rsidRPr="00060280" w:rsidP="00060280">
            <w:pPr>
              <w:spacing w:line="240" w:lineRule="auto"/>
              <w:jc w:val="left"/>
              <w:rPr>
                <w:rFonts w:ascii="Arial Narrow" w:hAnsi="Arial Narrow" w:cs="Times New Roman"/>
              </w:rPr>
            </w:pPr>
            <w:r w:rsidR="00C9022C">
              <w:rPr>
                <w:rFonts w:ascii="Arial Narrow" w:hAnsi="Arial Narrow" w:cs="Times New Roman"/>
              </w:rPr>
              <w:t>Dlhodobý nehmotný majetok –</w:t>
            </w:r>
            <w:r w:rsidR="002B7C08">
              <w:rPr>
                <w:rFonts w:ascii="Arial Narrow" w:hAnsi="Arial Narrow" w:cs="Times New Roman"/>
              </w:rPr>
              <w:t xml:space="preserve"> </w:t>
            </w:r>
            <w:r w:rsidR="00C9022C">
              <w:rPr>
                <w:rFonts w:ascii="Arial Narrow" w:hAnsi="Arial Narrow" w:cs="Times New Roman"/>
              </w:rPr>
              <w:t>súčet</w:t>
            </w:r>
          </w:p>
        </w:tc>
        <w:tc>
          <w:tcPr>
            <w:tcW w:w="126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75637E" w:rsidRPr="00060280" w:rsidP="00060280">
            <w:pPr>
              <w:spacing w:line="240" w:lineRule="auto"/>
              <w:jc w:val="right"/>
              <w:rPr>
                <w:rFonts w:ascii="Arial Narrow" w:hAnsi="Arial Narrow" w:cs="Times New Roman"/>
              </w:rPr>
            </w:pPr>
            <w:r w:rsidR="00C9022C">
              <w:rPr>
                <w:rFonts w:ascii="Arial Narrow" w:hAnsi="Arial Narrow" w:cs="Times New Roman"/>
              </w:rPr>
              <w:t>43 506</w:t>
            </w:r>
          </w:p>
        </w:tc>
        <w:tc>
          <w:tcPr>
            <w:tcW w:w="3261"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75637E" w:rsidRPr="00060280" w:rsidP="00060280">
            <w:pPr>
              <w:spacing w:line="240" w:lineRule="auto"/>
              <w:jc w:val="left"/>
              <w:rPr>
                <w:rFonts w:ascii="Arial Narrow" w:hAnsi="Arial Narrow" w:cs="Times New Roman"/>
              </w:rPr>
            </w:pPr>
            <w:r w:rsidR="00C9022C">
              <w:rPr>
                <w:rFonts w:ascii="Arial Narrow" w:hAnsi="Arial Narrow" w:cs="Times New Roman"/>
              </w:rPr>
              <w:t>Základné imanie – súčet</w:t>
            </w:r>
          </w:p>
        </w:tc>
        <w:tc>
          <w:tcPr>
            <w:tcW w:w="126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75637E" w:rsidRPr="00060280" w:rsidP="00060280">
            <w:pPr>
              <w:spacing w:line="240" w:lineRule="auto"/>
              <w:jc w:val="right"/>
              <w:rPr>
                <w:rFonts w:ascii="Arial Narrow" w:hAnsi="Arial Narrow" w:cs="Times New Roman"/>
              </w:rPr>
            </w:pPr>
            <w:r w:rsidR="00FC3D3D">
              <w:rPr>
                <w:rFonts w:ascii="Arial Narrow" w:hAnsi="Arial Narrow" w:cs="Times New Roman"/>
              </w:rPr>
              <w:t>90 26</w:t>
            </w:r>
            <w:r w:rsidR="00276BAE">
              <w:rPr>
                <w:rFonts w:ascii="Arial Narrow" w:hAnsi="Arial Narrow" w:cs="Times New Roman"/>
              </w:rPr>
              <w:t>0</w:t>
            </w:r>
          </w:p>
        </w:tc>
      </w:tr>
      <w:tr>
        <w:tblPrEx>
          <w:tblW w:w="9160" w:type="dxa"/>
          <w:tblInd w:w="70" w:type="dxa"/>
          <w:tblCellMar>
            <w:left w:w="70" w:type="dxa"/>
            <w:right w:w="70" w:type="dxa"/>
          </w:tblCellMar>
        </w:tblPrEx>
        <w:trPr>
          <w:trHeight w:val="284"/>
        </w:trPr>
        <w:tc>
          <w:tcPr>
            <w:tcW w:w="3379"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75637E" w:rsidRPr="00060280" w:rsidP="00060280">
            <w:pPr>
              <w:spacing w:line="240" w:lineRule="auto"/>
              <w:jc w:val="left"/>
              <w:rPr>
                <w:rFonts w:ascii="Arial Narrow" w:hAnsi="Arial Narrow" w:cs="Times New Roman"/>
              </w:rPr>
            </w:pPr>
            <w:r w:rsidR="00C9022C">
              <w:rPr>
                <w:rFonts w:ascii="Arial Narrow" w:hAnsi="Arial Narrow" w:cs="Times New Roman"/>
              </w:rPr>
              <w:t>Oceniteľné práva</w:t>
            </w:r>
          </w:p>
        </w:tc>
        <w:tc>
          <w:tcPr>
            <w:tcW w:w="126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75637E" w:rsidRPr="00060280" w:rsidP="00060280">
            <w:pPr>
              <w:spacing w:line="240" w:lineRule="auto"/>
              <w:jc w:val="right"/>
              <w:rPr>
                <w:rFonts w:ascii="Arial Narrow" w:hAnsi="Arial Narrow" w:cs="Times New Roman"/>
              </w:rPr>
            </w:pPr>
            <w:r w:rsidR="00C9022C">
              <w:rPr>
                <w:rFonts w:ascii="Arial Narrow" w:hAnsi="Arial Narrow" w:cs="Times New Roman"/>
              </w:rPr>
              <w:t>43 506</w:t>
            </w:r>
          </w:p>
        </w:tc>
        <w:tc>
          <w:tcPr>
            <w:tcW w:w="3261"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75637E" w:rsidRPr="00060280" w:rsidP="00060280">
            <w:pPr>
              <w:spacing w:line="240" w:lineRule="auto"/>
              <w:jc w:val="left"/>
              <w:rPr>
                <w:rFonts w:ascii="Arial Narrow" w:hAnsi="Arial Narrow" w:cs="Times New Roman"/>
              </w:rPr>
            </w:pPr>
            <w:r w:rsidR="00C9022C">
              <w:rPr>
                <w:rFonts w:ascii="Arial Narrow" w:hAnsi="Arial Narrow" w:cs="Times New Roman"/>
              </w:rPr>
              <w:t xml:space="preserve">Základné imanie </w:t>
            </w:r>
          </w:p>
        </w:tc>
        <w:tc>
          <w:tcPr>
            <w:tcW w:w="126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75637E" w:rsidRPr="00060280" w:rsidP="00060280">
            <w:pPr>
              <w:spacing w:line="240" w:lineRule="auto"/>
              <w:jc w:val="right"/>
              <w:rPr>
                <w:rFonts w:ascii="Arial Narrow" w:hAnsi="Arial Narrow" w:cs="Times New Roman"/>
              </w:rPr>
            </w:pPr>
            <w:r w:rsidR="00276BAE">
              <w:rPr>
                <w:rFonts w:ascii="Arial Narrow" w:hAnsi="Arial Narrow" w:cs="Times New Roman"/>
              </w:rPr>
              <w:t>90 260</w:t>
            </w:r>
          </w:p>
        </w:tc>
      </w:tr>
      <w:tr>
        <w:tblPrEx>
          <w:tblW w:w="9160" w:type="dxa"/>
          <w:tblInd w:w="70" w:type="dxa"/>
          <w:tblCellMar>
            <w:left w:w="70" w:type="dxa"/>
            <w:right w:w="70" w:type="dxa"/>
          </w:tblCellMar>
        </w:tblPrEx>
        <w:trPr>
          <w:trHeight w:val="284"/>
        </w:trPr>
        <w:tc>
          <w:tcPr>
            <w:tcW w:w="3379"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75637E" w:rsidRPr="00060280" w:rsidP="00060280">
            <w:pPr>
              <w:spacing w:line="240" w:lineRule="auto"/>
              <w:jc w:val="left"/>
              <w:rPr>
                <w:rFonts w:ascii="Arial Narrow" w:hAnsi="Arial Narrow" w:cs="Times New Roman"/>
              </w:rPr>
            </w:pPr>
            <w:r w:rsidR="00C9022C">
              <w:rPr>
                <w:rFonts w:ascii="Arial Narrow" w:hAnsi="Arial Narrow" w:cs="Times New Roman"/>
              </w:rPr>
              <w:t xml:space="preserve">Dlhodobý hmotný majetok </w:t>
            </w:r>
            <w:r w:rsidR="002B7C08">
              <w:rPr>
                <w:rFonts w:ascii="Arial Narrow" w:hAnsi="Arial Narrow" w:cs="Times New Roman"/>
              </w:rPr>
              <w:t>–</w:t>
            </w:r>
            <w:r w:rsidR="00C9022C">
              <w:rPr>
                <w:rFonts w:ascii="Arial Narrow" w:hAnsi="Arial Narrow" w:cs="Times New Roman"/>
              </w:rPr>
              <w:t xml:space="preserve"> súčet</w:t>
            </w:r>
          </w:p>
        </w:tc>
        <w:tc>
          <w:tcPr>
            <w:tcW w:w="126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75637E" w:rsidRPr="00060280" w:rsidP="00060280">
            <w:pPr>
              <w:spacing w:line="240" w:lineRule="auto"/>
              <w:jc w:val="right"/>
              <w:rPr>
                <w:rFonts w:ascii="Arial Narrow" w:hAnsi="Arial Narrow" w:cs="Times New Roman"/>
              </w:rPr>
            </w:pPr>
            <w:r w:rsidR="00FC3D3D">
              <w:rPr>
                <w:rFonts w:ascii="Arial Narrow" w:hAnsi="Arial Narrow" w:cs="Times New Roman"/>
              </w:rPr>
              <w:t>34 50</w:t>
            </w:r>
            <w:r w:rsidR="00C9022C">
              <w:rPr>
                <w:rFonts w:ascii="Arial Narrow" w:hAnsi="Arial Narrow" w:cs="Times New Roman"/>
              </w:rPr>
              <w:t>5</w:t>
            </w:r>
          </w:p>
        </w:tc>
        <w:tc>
          <w:tcPr>
            <w:tcW w:w="3261"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75637E" w:rsidRPr="00060280" w:rsidP="00060280">
            <w:pPr>
              <w:spacing w:line="240" w:lineRule="auto"/>
              <w:jc w:val="left"/>
              <w:rPr>
                <w:rFonts w:ascii="Arial Narrow" w:hAnsi="Arial Narrow" w:cs="Times New Roman"/>
              </w:rPr>
            </w:pPr>
            <w:r w:rsidR="00C9022C">
              <w:rPr>
                <w:rFonts w:ascii="Arial Narrow" w:hAnsi="Arial Narrow" w:cs="Times New Roman"/>
              </w:rPr>
              <w:t>Zmena základného imania</w:t>
            </w:r>
          </w:p>
        </w:tc>
        <w:tc>
          <w:tcPr>
            <w:tcW w:w="126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75637E" w:rsidRPr="00060280" w:rsidP="00060280">
            <w:pPr>
              <w:spacing w:line="240" w:lineRule="auto"/>
              <w:jc w:val="right"/>
              <w:rPr>
                <w:rFonts w:ascii="Arial Narrow" w:hAnsi="Arial Narrow" w:cs="Times New Roman"/>
              </w:rPr>
            </w:pPr>
          </w:p>
        </w:tc>
      </w:tr>
      <w:tr>
        <w:tblPrEx>
          <w:tblW w:w="9160" w:type="dxa"/>
          <w:tblInd w:w="70" w:type="dxa"/>
          <w:tblCellMar>
            <w:left w:w="70" w:type="dxa"/>
            <w:right w:w="70" w:type="dxa"/>
          </w:tblCellMar>
        </w:tblPrEx>
        <w:trPr>
          <w:trHeight w:val="284"/>
        </w:trPr>
        <w:tc>
          <w:tcPr>
            <w:tcW w:w="3379"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75637E" w:rsidRPr="00060280" w:rsidP="00060280">
            <w:pPr>
              <w:spacing w:line="240" w:lineRule="auto"/>
              <w:jc w:val="left"/>
              <w:rPr>
                <w:rFonts w:ascii="Arial Narrow" w:hAnsi="Arial Narrow" w:cs="Times New Roman"/>
              </w:rPr>
            </w:pPr>
            <w:r w:rsidR="00C9022C">
              <w:rPr>
                <w:rFonts w:ascii="Arial Narrow" w:hAnsi="Arial Narrow" w:cs="Times New Roman"/>
              </w:rPr>
              <w:t>Pozemky</w:t>
            </w:r>
          </w:p>
        </w:tc>
        <w:tc>
          <w:tcPr>
            <w:tcW w:w="126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75637E" w:rsidRPr="00060280" w:rsidP="00060280">
            <w:pPr>
              <w:spacing w:line="240" w:lineRule="auto"/>
              <w:jc w:val="right"/>
              <w:rPr>
                <w:rFonts w:ascii="Arial Narrow" w:hAnsi="Arial Narrow" w:cs="Times New Roman"/>
              </w:rPr>
            </w:pPr>
            <w:r w:rsidR="00C9022C">
              <w:rPr>
                <w:rFonts w:ascii="Arial Narrow" w:hAnsi="Arial Narrow" w:cs="Times New Roman"/>
              </w:rPr>
              <w:t>1 029</w:t>
            </w:r>
          </w:p>
        </w:tc>
        <w:tc>
          <w:tcPr>
            <w:tcW w:w="3261"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75637E" w:rsidRPr="00060280" w:rsidP="00060280">
            <w:pPr>
              <w:spacing w:line="240" w:lineRule="auto"/>
              <w:jc w:val="left"/>
              <w:rPr>
                <w:rFonts w:ascii="Arial Narrow" w:hAnsi="Arial Narrow" w:cs="Times New Roman"/>
              </w:rPr>
            </w:pPr>
            <w:r w:rsidR="00C9022C">
              <w:rPr>
                <w:rFonts w:ascii="Arial Narrow" w:hAnsi="Arial Narrow" w:cs="Times New Roman"/>
              </w:rPr>
              <w:t>Kapitálové fondy</w:t>
            </w:r>
          </w:p>
        </w:tc>
        <w:tc>
          <w:tcPr>
            <w:tcW w:w="126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75637E" w:rsidRPr="00060280" w:rsidP="00060280">
            <w:pPr>
              <w:spacing w:line="240" w:lineRule="auto"/>
              <w:jc w:val="right"/>
              <w:rPr>
                <w:rFonts w:ascii="Arial Narrow" w:hAnsi="Arial Narrow" w:cs="Times New Roman"/>
              </w:rPr>
            </w:pPr>
            <w:r w:rsidR="00276BAE">
              <w:rPr>
                <w:rFonts w:ascii="Arial Narrow" w:hAnsi="Arial Narrow" w:cs="Times New Roman"/>
              </w:rPr>
              <w:t>140</w:t>
            </w:r>
          </w:p>
        </w:tc>
      </w:tr>
      <w:tr>
        <w:tblPrEx>
          <w:tblW w:w="9160" w:type="dxa"/>
          <w:tblInd w:w="70" w:type="dxa"/>
          <w:tblCellMar>
            <w:left w:w="70" w:type="dxa"/>
            <w:right w:w="70" w:type="dxa"/>
          </w:tblCellMar>
        </w:tblPrEx>
        <w:trPr>
          <w:trHeight w:val="284"/>
        </w:trPr>
        <w:tc>
          <w:tcPr>
            <w:tcW w:w="3379"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75637E" w:rsidRPr="00060280" w:rsidP="00060280">
            <w:pPr>
              <w:spacing w:line="240" w:lineRule="auto"/>
              <w:jc w:val="left"/>
              <w:rPr>
                <w:rFonts w:ascii="Arial Narrow" w:hAnsi="Arial Narrow" w:cs="Times New Roman"/>
              </w:rPr>
            </w:pPr>
            <w:r w:rsidR="00C9022C">
              <w:rPr>
                <w:rFonts w:ascii="Arial Narrow" w:hAnsi="Arial Narrow" w:cs="Times New Roman"/>
              </w:rPr>
              <w:t>Samostatn</w:t>
            </w:r>
            <w:r w:rsidR="002B7C08">
              <w:rPr>
                <w:rFonts w:ascii="Arial Narrow" w:hAnsi="Arial Narrow" w:cs="Times New Roman"/>
              </w:rPr>
              <w:t xml:space="preserve">é hmut. </w:t>
            </w:r>
            <w:r w:rsidR="00C9022C">
              <w:rPr>
                <w:rFonts w:ascii="Arial Narrow" w:hAnsi="Arial Narrow" w:cs="Times New Roman"/>
              </w:rPr>
              <w:t>veci a súbory hnut.</w:t>
            </w:r>
            <w:r w:rsidR="002B7C08">
              <w:rPr>
                <w:rFonts w:ascii="Arial Narrow" w:hAnsi="Arial Narrow" w:cs="Times New Roman"/>
              </w:rPr>
              <w:t xml:space="preserve"> </w:t>
            </w:r>
            <w:r w:rsidR="00C9022C">
              <w:rPr>
                <w:rFonts w:ascii="Arial Narrow" w:hAnsi="Arial Narrow" w:cs="Times New Roman"/>
              </w:rPr>
              <w:t>vecí</w:t>
            </w:r>
          </w:p>
        </w:tc>
        <w:tc>
          <w:tcPr>
            <w:tcW w:w="126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75637E" w:rsidRPr="00060280" w:rsidP="00060280">
            <w:pPr>
              <w:spacing w:line="240" w:lineRule="auto"/>
              <w:jc w:val="right"/>
              <w:rPr>
                <w:rFonts w:ascii="Arial Narrow" w:hAnsi="Arial Narrow" w:cs="Times New Roman"/>
              </w:rPr>
            </w:pPr>
            <w:r w:rsidR="00C9022C">
              <w:rPr>
                <w:rFonts w:ascii="Arial Narrow" w:hAnsi="Arial Narrow" w:cs="Times New Roman"/>
              </w:rPr>
              <w:t>22 276</w:t>
            </w:r>
          </w:p>
        </w:tc>
        <w:tc>
          <w:tcPr>
            <w:tcW w:w="3261"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75637E" w:rsidRPr="00060280" w:rsidP="00060280">
            <w:pPr>
              <w:spacing w:line="240" w:lineRule="auto"/>
              <w:jc w:val="left"/>
              <w:rPr>
                <w:rFonts w:ascii="Arial Narrow" w:hAnsi="Arial Narrow" w:cs="Times New Roman"/>
              </w:rPr>
            </w:pPr>
            <w:r w:rsidR="00C9022C">
              <w:rPr>
                <w:rFonts w:ascii="Arial Narrow" w:hAnsi="Arial Narrow" w:cs="Times New Roman"/>
              </w:rPr>
              <w:t>Zákonný rezervný fond</w:t>
            </w:r>
          </w:p>
        </w:tc>
        <w:tc>
          <w:tcPr>
            <w:tcW w:w="126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75637E" w:rsidRPr="00060280" w:rsidP="00060280">
            <w:pPr>
              <w:spacing w:line="240" w:lineRule="auto"/>
              <w:jc w:val="right"/>
              <w:rPr>
                <w:rFonts w:ascii="Arial Narrow" w:hAnsi="Arial Narrow" w:cs="Times New Roman"/>
              </w:rPr>
            </w:pPr>
            <w:r w:rsidR="00276BAE">
              <w:rPr>
                <w:rFonts w:ascii="Arial Narrow" w:hAnsi="Arial Narrow" w:cs="Times New Roman"/>
              </w:rPr>
              <w:t>140</w:t>
            </w:r>
          </w:p>
        </w:tc>
      </w:tr>
      <w:tr>
        <w:tblPrEx>
          <w:tblW w:w="9160" w:type="dxa"/>
          <w:tblInd w:w="70" w:type="dxa"/>
          <w:tblCellMar>
            <w:left w:w="70" w:type="dxa"/>
            <w:right w:w="70" w:type="dxa"/>
          </w:tblCellMar>
        </w:tblPrEx>
        <w:trPr>
          <w:trHeight w:val="284"/>
        </w:trPr>
        <w:tc>
          <w:tcPr>
            <w:tcW w:w="3379"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75637E" w:rsidRPr="00060280" w:rsidP="00060280">
            <w:pPr>
              <w:spacing w:line="240" w:lineRule="auto"/>
              <w:jc w:val="left"/>
              <w:rPr>
                <w:rFonts w:ascii="Arial Narrow" w:hAnsi="Arial Narrow" w:cs="Times New Roman"/>
              </w:rPr>
            </w:pPr>
            <w:r w:rsidR="002B7C08">
              <w:rPr>
                <w:rFonts w:ascii="Arial Narrow" w:hAnsi="Arial Narrow" w:cs="Times New Roman"/>
              </w:rPr>
              <w:t>Obsta</w:t>
            </w:r>
            <w:r w:rsidR="00C9022C">
              <w:rPr>
                <w:rFonts w:ascii="Arial Narrow" w:hAnsi="Arial Narrow" w:cs="Times New Roman"/>
              </w:rPr>
              <w:t>rávaný dlhodobý hmotný majetok</w:t>
            </w:r>
          </w:p>
        </w:tc>
        <w:tc>
          <w:tcPr>
            <w:tcW w:w="126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75637E" w:rsidRPr="00060280" w:rsidP="00060280">
            <w:pPr>
              <w:spacing w:line="240" w:lineRule="auto"/>
              <w:jc w:val="right"/>
              <w:rPr>
                <w:rFonts w:ascii="Arial Narrow" w:hAnsi="Arial Narrow" w:cs="Times New Roman"/>
              </w:rPr>
            </w:pPr>
            <w:r w:rsidR="00C9022C">
              <w:rPr>
                <w:rFonts w:ascii="Arial Narrow" w:hAnsi="Arial Narrow" w:cs="Times New Roman"/>
              </w:rPr>
              <w:t>11 200</w:t>
            </w:r>
          </w:p>
        </w:tc>
        <w:tc>
          <w:tcPr>
            <w:tcW w:w="3261"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75637E" w:rsidRPr="00060280" w:rsidP="00060280">
            <w:pPr>
              <w:spacing w:line="240" w:lineRule="auto"/>
              <w:jc w:val="left"/>
              <w:rPr>
                <w:rFonts w:ascii="Arial Narrow" w:hAnsi="Arial Narrow" w:cs="Times New Roman"/>
              </w:rPr>
            </w:pPr>
            <w:r w:rsidR="00C9022C">
              <w:rPr>
                <w:rFonts w:ascii="Arial Narrow" w:hAnsi="Arial Narrow" w:cs="Times New Roman"/>
              </w:rPr>
              <w:t>Výsledok hospodárenia min.</w:t>
            </w:r>
            <w:r w:rsidR="00276BAE">
              <w:rPr>
                <w:rFonts w:ascii="Arial Narrow" w:hAnsi="Arial Narrow" w:cs="Times New Roman"/>
              </w:rPr>
              <w:t xml:space="preserve"> </w:t>
            </w:r>
            <w:r w:rsidR="00C9022C">
              <w:rPr>
                <w:rFonts w:ascii="Arial Narrow" w:hAnsi="Arial Narrow" w:cs="Times New Roman"/>
              </w:rPr>
              <w:t>rokov</w:t>
            </w:r>
          </w:p>
        </w:tc>
        <w:tc>
          <w:tcPr>
            <w:tcW w:w="126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75637E" w:rsidRPr="00060280" w:rsidP="00060280">
            <w:pPr>
              <w:spacing w:line="240" w:lineRule="auto"/>
              <w:jc w:val="right"/>
              <w:rPr>
                <w:rFonts w:ascii="Arial Narrow" w:hAnsi="Arial Narrow" w:cs="Times New Roman"/>
              </w:rPr>
            </w:pPr>
            <w:r w:rsidR="00276BAE">
              <w:rPr>
                <w:rFonts w:ascii="Arial Narrow" w:hAnsi="Arial Narrow" w:cs="Times New Roman"/>
              </w:rPr>
              <w:t>- 17 881</w:t>
            </w:r>
          </w:p>
        </w:tc>
      </w:tr>
      <w:tr>
        <w:tblPrEx>
          <w:tblW w:w="9160" w:type="dxa"/>
          <w:tblInd w:w="70" w:type="dxa"/>
          <w:tblCellMar>
            <w:left w:w="70" w:type="dxa"/>
            <w:right w:w="70" w:type="dxa"/>
          </w:tblCellMar>
        </w:tblPrEx>
        <w:trPr>
          <w:trHeight w:val="361"/>
        </w:trPr>
        <w:tc>
          <w:tcPr>
            <w:tcW w:w="3379"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75637E" w:rsidRPr="00C9022C" w:rsidP="00060280">
            <w:pPr>
              <w:spacing w:line="240" w:lineRule="auto"/>
              <w:jc w:val="left"/>
              <w:rPr>
                <w:rFonts w:ascii="Arial Narrow" w:hAnsi="Arial Narrow" w:cs="Times New Roman"/>
                <w:b/>
              </w:rPr>
            </w:pPr>
            <w:r w:rsidRPr="00C9022C" w:rsidR="00C9022C">
              <w:rPr>
                <w:rFonts w:ascii="Arial Narrow" w:hAnsi="Arial Narrow" w:cs="Times New Roman"/>
                <w:b/>
              </w:rPr>
              <w:t>Obežný majetok</w:t>
            </w:r>
          </w:p>
        </w:tc>
        <w:tc>
          <w:tcPr>
            <w:tcW w:w="126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75637E" w:rsidRPr="00C9022C" w:rsidP="00060280">
            <w:pPr>
              <w:spacing w:line="240" w:lineRule="auto"/>
              <w:jc w:val="right"/>
              <w:rPr>
                <w:rFonts w:ascii="Arial Narrow" w:hAnsi="Arial Narrow" w:cs="Times New Roman"/>
                <w:b/>
              </w:rPr>
            </w:pPr>
            <w:r w:rsidRPr="00C9022C" w:rsidR="00C9022C">
              <w:rPr>
                <w:rFonts w:ascii="Arial Narrow" w:hAnsi="Arial Narrow" w:cs="Times New Roman"/>
                <w:b/>
              </w:rPr>
              <w:t xml:space="preserve">21 314 </w:t>
            </w:r>
          </w:p>
        </w:tc>
        <w:tc>
          <w:tcPr>
            <w:tcW w:w="3261"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75637E" w:rsidRPr="00060280" w:rsidP="00060280">
            <w:pPr>
              <w:spacing w:line="240" w:lineRule="auto"/>
              <w:jc w:val="left"/>
              <w:rPr>
                <w:rFonts w:ascii="Arial Narrow" w:hAnsi="Arial Narrow" w:cs="Times New Roman"/>
              </w:rPr>
            </w:pPr>
            <w:r w:rsidR="00276BAE">
              <w:rPr>
                <w:rFonts w:ascii="Arial Narrow" w:hAnsi="Arial Narrow" w:cs="Times New Roman"/>
              </w:rPr>
              <w:t>Neuhradená strata minulých rokov</w:t>
            </w:r>
          </w:p>
        </w:tc>
        <w:tc>
          <w:tcPr>
            <w:tcW w:w="126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75637E" w:rsidRPr="00060280" w:rsidP="00060280">
            <w:pPr>
              <w:spacing w:line="240" w:lineRule="auto"/>
              <w:jc w:val="right"/>
              <w:rPr>
                <w:rFonts w:ascii="Arial Narrow" w:hAnsi="Arial Narrow" w:cs="Times New Roman"/>
              </w:rPr>
            </w:pPr>
            <w:r w:rsidR="00276BAE">
              <w:rPr>
                <w:rFonts w:ascii="Arial Narrow" w:hAnsi="Arial Narrow" w:cs="Times New Roman"/>
              </w:rPr>
              <w:t>- 17 881</w:t>
            </w:r>
          </w:p>
        </w:tc>
      </w:tr>
      <w:tr>
        <w:tblPrEx>
          <w:tblW w:w="9160" w:type="dxa"/>
          <w:tblInd w:w="70" w:type="dxa"/>
          <w:tblCellMar>
            <w:left w:w="70" w:type="dxa"/>
            <w:right w:w="70" w:type="dxa"/>
          </w:tblCellMar>
        </w:tblPrEx>
        <w:trPr>
          <w:trHeight w:hRule="exact" w:val="284"/>
        </w:trPr>
        <w:tc>
          <w:tcPr>
            <w:tcW w:w="3379"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75637E" w:rsidRPr="00060280" w:rsidP="00060280">
            <w:pPr>
              <w:spacing w:line="240" w:lineRule="auto"/>
              <w:jc w:val="left"/>
              <w:rPr>
                <w:rFonts w:ascii="Arial Narrow" w:hAnsi="Arial Narrow" w:cs="Times New Roman"/>
              </w:rPr>
            </w:pPr>
            <w:r w:rsidR="002B7C08">
              <w:rPr>
                <w:rFonts w:ascii="Arial Narrow" w:hAnsi="Arial Narrow" w:cs="Times New Roman"/>
              </w:rPr>
              <w:t xml:space="preserve">Zásoby – </w:t>
            </w:r>
            <w:r w:rsidR="00C9022C">
              <w:rPr>
                <w:rFonts w:ascii="Arial Narrow" w:hAnsi="Arial Narrow" w:cs="Times New Roman"/>
              </w:rPr>
              <w:t xml:space="preserve"> súčet</w:t>
            </w:r>
          </w:p>
        </w:tc>
        <w:tc>
          <w:tcPr>
            <w:tcW w:w="126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75637E" w:rsidRPr="00060280" w:rsidP="00060280">
            <w:pPr>
              <w:spacing w:line="240" w:lineRule="auto"/>
              <w:jc w:val="right"/>
              <w:rPr>
                <w:rFonts w:ascii="Arial Narrow" w:hAnsi="Arial Narrow" w:cs="Times New Roman"/>
              </w:rPr>
            </w:pPr>
            <w:r w:rsidR="00C9022C">
              <w:rPr>
                <w:rFonts w:ascii="Arial Narrow" w:hAnsi="Arial Narrow" w:cs="Times New Roman"/>
              </w:rPr>
              <w:t>336</w:t>
            </w:r>
          </w:p>
        </w:tc>
        <w:tc>
          <w:tcPr>
            <w:tcW w:w="3261"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75637E" w:rsidRPr="00276BAE" w:rsidP="00060280">
            <w:pPr>
              <w:spacing w:line="240" w:lineRule="auto"/>
              <w:jc w:val="left"/>
              <w:rPr>
                <w:rFonts w:ascii="Arial Narrow" w:hAnsi="Arial Narrow" w:cs="Times New Roman"/>
                <w:b/>
              </w:rPr>
            </w:pPr>
            <w:r w:rsidRPr="00276BAE" w:rsidR="00276BAE">
              <w:rPr>
                <w:rFonts w:ascii="Arial Narrow" w:hAnsi="Arial Narrow" w:cs="Times New Roman"/>
                <w:b/>
              </w:rPr>
              <w:t>Výsledok hospodárenia za účtov. obdobie</w:t>
            </w:r>
          </w:p>
        </w:tc>
        <w:tc>
          <w:tcPr>
            <w:tcW w:w="126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75637E" w:rsidRPr="00060280" w:rsidP="00060280">
            <w:pPr>
              <w:spacing w:line="240" w:lineRule="auto"/>
              <w:jc w:val="right"/>
              <w:rPr>
                <w:rFonts w:ascii="Arial Narrow" w:hAnsi="Arial Narrow" w:cs="Times New Roman"/>
              </w:rPr>
            </w:pPr>
            <w:r w:rsidR="00276BAE">
              <w:rPr>
                <w:rFonts w:ascii="Arial Narrow" w:hAnsi="Arial Narrow" w:cs="Times New Roman"/>
              </w:rPr>
              <w:t>2 708</w:t>
            </w:r>
          </w:p>
        </w:tc>
      </w:tr>
      <w:tr>
        <w:tblPrEx>
          <w:tblW w:w="9160" w:type="dxa"/>
          <w:tblInd w:w="70" w:type="dxa"/>
          <w:tblCellMar>
            <w:left w:w="70" w:type="dxa"/>
            <w:right w:w="70" w:type="dxa"/>
          </w:tblCellMar>
        </w:tblPrEx>
        <w:trPr>
          <w:trHeight w:hRule="exact" w:val="284"/>
        </w:trPr>
        <w:tc>
          <w:tcPr>
            <w:tcW w:w="3379"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75637E" w:rsidRPr="00060280" w:rsidP="00060280">
            <w:pPr>
              <w:spacing w:line="240" w:lineRule="auto"/>
              <w:jc w:val="left"/>
              <w:rPr>
                <w:rFonts w:ascii="Arial Narrow" w:hAnsi="Arial Narrow" w:cs="Times New Roman"/>
              </w:rPr>
            </w:pPr>
            <w:r w:rsidR="00C9022C">
              <w:rPr>
                <w:rFonts w:ascii="Arial Narrow" w:hAnsi="Arial Narrow" w:cs="Times New Roman"/>
              </w:rPr>
              <w:t>Materiál</w:t>
            </w:r>
          </w:p>
        </w:tc>
        <w:tc>
          <w:tcPr>
            <w:tcW w:w="126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75637E" w:rsidRPr="00060280" w:rsidP="00060280">
            <w:pPr>
              <w:spacing w:line="240" w:lineRule="auto"/>
              <w:jc w:val="right"/>
              <w:rPr>
                <w:rFonts w:ascii="Arial Narrow" w:hAnsi="Arial Narrow" w:cs="Times New Roman"/>
              </w:rPr>
            </w:pPr>
            <w:r w:rsidR="00C9022C">
              <w:rPr>
                <w:rFonts w:ascii="Arial Narrow" w:hAnsi="Arial Narrow" w:cs="Times New Roman"/>
              </w:rPr>
              <w:t>43</w:t>
            </w:r>
          </w:p>
        </w:tc>
        <w:tc>
          <w:tcPr>
            <w:tcW w:w="3261"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75637E" w:rsidRPr="00276BAE" w:rsidP="00060280">
            <w:pPr>
              <w:spacing w:line="240" w:lineRule="auto"/>
              <w:jc w:val="left"/>
              <w:rPr>
                <w:rFonts w:ascii="Arial Narrow" w:hAnsi="Arial Narrow" w:cs="Times New Roman"/>
                <w:b/>
              </w:rPr>
            </w:pPr>
            <w:r w:rsidRPr="00276BAE" w:rsidR="00276BAE">
              <w:rPr>
                <w:rFonts w:ascii="Arial Narrow" w:hAnsi="Arial Narrow" w:cs="Times New Roman"/>
                <w:b/>
              </w:rPr>
              <w:t>Záväzky</w:t>
            </w:r>
          </w:p>
        </w:tc>
        <w:tc>
          <w:tcPr>
            <w:tcW w:w="126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75637E" w:rsidRPr="00060280" w:rsidP="00060280">
            <w:pPr>
              <w:spacing w:line="240" w:lineRule="auto"/>
              <w:jc w:val="right"/>
              <w:rPr>
                <w:rFonts w:ascii="Arial Narrow" w:hAnsi="Arial Narrow" w:cs="Times New Roman"/>
              </w:rPr>
            </w:pPr>
            <w:r w:rsidR="00276BAE">
              <w:rPr>
                <w:rFonts w:ascii="Arial Narrow" w:hAnsi="Arial Narrow" w:cs="Times New Roman"/>
              </w:rPr>
              <w:t>17 261</w:t>
            </w:r>
          </w:p>
        </w:tc>
      </w:tr>
      <w:tr>
        <w:tblPrEx>
          <w:tblW w:w="9160" w:type="dxa"/>
          <w:tblInd w:w="70" w:type="dxa"/>
          <w:tblCellMar>
            <w:left w:w="70" w:type="dxa"/>
            <w:right w:w="70" w:type="dxa"/>
          </w:tblCellMar>
        </w:tblPrEx>
        <w:trPr>
          <w:trHeight w:hRule="exact" w:val="284"/>
        </w:trPr>
        <w:tc>
          <w:tcPr>
            <w:tcW w:w="3379"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75637E" w:rsidRPr="00060280" w:rsidP="00060280">
            <w:pPr>
              <w:spacing w:line="240" w:lineRule="auto"/>
              <w:jc w:val="left"/>
              <w:rPr>
                <w:rFonts w:ascii="Arial Narrow" w:hAnsi="Arial Narrow" w:cs="Times New Roman"/>
              </w:rPr>
            </w:pPr>
            <w:r w:rsidR="00C9022C">
              <w:rPr>
                <w:rFonts w:ascii="Arial Narrow" w:hAnsi="Arial Narrow" w:cs="Times New Roman"/>
              </w:rPr>
              <w:t>Tovar</w:t>
            </w:r>
          </w:p>
        </w:tc>
        <w:tc>
          <w:tcPr>
            <w:tcW w:w="126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75637E" w:rsidRPr="00060280" w:rsidP="00060280">
            <w:pPr>
              <w:spacing w:line="240" w:lineRule="auto"/>
              <w:jc w:val="right"/>
              <w:rPr>
                <w:rFonts w:ascii="Arial Narrow" w:hAnsi="Arial Narrow" w:cs="Times New Roman"/>
              </w:rPr>
            </w:pPr>
            <w:r w:rsidR="00C9022C">
              <w:rPr>
                <w:rFonts w:ascii="Arial Narrow" w:hAnsi="Arial Narrow" w:cs="Times New Roman"/>
              </w:rPr>
              <w:t>293</w:t>
            </w:r>
          </w:p>
        </w:tc>
        <w:tc>
          <w:tcPr>
            <w:tcW w:w="3261"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75637E" w:rsidRPr="00060280" w:rsidP="00060280">
            <w:pPr>
              <w:spacing w:line="240" w:lineRule="auto"/>
              <w:jc w:val="left"/>
              <w:rPr>
                <w:rFonts w:ascii="Arial Narrow" w:hAnsi="Arial Narrow" w:cs="Times New Roman"/>
              </w:rPr>
            </w:pPr>
            <w:r w:rsidR="00276BAE">
              <w:rPr>
                <w:rFonts w:ascii="Arial Narrow" w:hAnsi="Arial Narrow" w:cs="Times New Roman"/>
              </w:rPr>
              <w:t>Rezervy</w:t>
            </w:r>
          </w:p>
        </w:tc>
        <w:tc>
          <w:tcPr>
            <w:tcW w:w="126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75637E" w:rsidRPr="00060280" w:rsidP="00060280">
            <w:pPr>
              <w:spacing w:line="240" w:lineRule="auto"/>
              <w:jc w:val="right"/>
              <w:rPr>
                <w:rFonts w:ascii="Arial Narrow" w:hAnsi="Arial Narrow" w:cs="Times New Roman"/>
              </w:rPr>
            </w:pPr>
            <w:r w:rsidR="00276BAE">
              <w:rPr>
                <w:rFonts w:ascii="Arial Narrow" w:hAnsi="Arial Narrow" w:cs="Times New Roman"/>
              </w:rPr>
              <w:t>796</w:t>
            </w:r>
          </w:p>
        </w:tc>
      </w:tr>
      <w:tr>
        <w:tblPrEx>
          <w:tblW w:w="9160" w:type="dxa"/>
          <w:tblInd w:w="70" w:type="dxa"/>
          <w:tblCellMar>
            <w:left w:w="70" w:type="dxa"/>
            <w:right w:w="70" w:type="dxa"/>
          </w:tblCellMar>
        </w:tblPrEx>
        <w:trPr>
          <w:trHeight w:hRule="exact" w:val="284"/>
        </w:trPr>
        <w:tc>
          <w:tcPr>
            <w:tcW w:w="3379"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75637E" w:rsidRPr="002B7C08" w:rsidP="00060280">
            <w:pPr>
              <w:spacing w:line="240" w:lineRule="auto"/>
              <w:jc w:val="left"/>
              <w:rPr>
                <w:rFonts w:ascii="Arial Narrow" w:hAnsi="Arial Narrow" w:cs="Times New Roman"/>
              </w:rPr>
            </w:pPr>
            <w:r w:rsidRPr="002B7C08" w:rsidR="00C9022C">
              <w:rPr>
                <w:rFonts w:ascii="Arial Narrow" w:hAnsi="Arial Narrow" w:cs="Times New Roman"/>
              </w:rPr>
              <w:t>Krátkodobé pohľadávky – súčet</w:t>
            </w:r>
          </w:p>
        </w:tc>
        <w:tc>
          <w:tcPr>
            <w:tcW w:w="126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75637E" w:rsidRPr="00FC3D3D" w:rsidP="00060280">
            <w:pPr>
              <w:spacing w:line="240" w:lineRule="auto"/>
              <w:jc w:val="right"/>
              <w:rPr>
                <w:rFonts w:ascii="Arial Narrow" w:hAnsi="Arial Narrow" w:cs="Times New Roman"/>
              </w:rPr>
            </w:pPr>
            <w:r w:rsidRPr="00FC3D3D" w:rsidR="00C9022C">
              <w:rPr>
                <w:rFonts w:ascii="Arial Narrow" w:hAnsi="Arial Narrow" w:cs="Times New Roman"/>
              </w:rPr>
              <w:t>5 965</w:t>
            </w:r>
          </w:p>
        </w:tc>
        <w:tc>
          <w:tcPr>
            <w:tcW w:w="3261"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75637E" w:rsidRPr="00FC3D3D" w:rsidP="00060280">
            <w:pPr>
              <w:spacing w:line="240" w:lineRule="auto"/>
              <w:jc w:val="left"/>
              <w:rPr>
                <w:rFonts w:ascii="Arial Narrow" w:hAnsi="Arial Narrow" w:cs="Times New Roman"/>
              </w:rPr>
            </w:pPr>
            <w:r w:rsidRPr="00FC3D3D" w:rsidR="00276BAE">
              <w:rPr>
                <w:rFonts w:ascii="Arial Narrow" w:hAnsi="Arial Narrow" w:cs="Times New Roman"/>
              </w:rPr>
              <w:t>Krátkodobé rezervy</w:t>
            </w:r>
          </w:p>
        </w:tc>
        <w:tc>
          <w:tcPr>
            <w:tcW w:w="126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75637E" w:rsidRPr="00060280" w:rsidP="00060280">
            <w:pPr>
              <w:spacing w:line="240" w:lineRule="auto"/>
              <w:jc w:val="right"/>
              <w:rPr>
                <w:rFonts w:ascii="Arial Narrow" w:hAnsi="Arial Narrow" w:cs="Times New Roman"/>
              </w:rPr>
            </w:pPr>
            <w:r w:rsidR="00276BAE">
              <w:rPr>
                <w:rFonts w:ascii="Arial Narrow" w:hAnsi="Arial Narrow" w:cs="Times New Roman"/>
              </w:rPr>
              <w:t>796</w:t>
            </w:r>
          </w:p>
        </w:tc>
      </w:tr>
      <w:tr>
        <w:tblPrEx>
          <w:tblW w:w="9160" w:type="dxa"/>
          <w:tblInd w:w="70" w:type="dxa"/>
          <w:tblCellMar>
            <w:left w:w="70" w:type="dxa"/>
            <w:right w:w="70" w:type="dxa"/>
          </w:tblCellMar>
        </w:tblPrEx>
        <w:trPr>
          <w:trHeight w:hRule="exact" w:val="284"/>
        </w:trPr>
        <w:tc>
          <w:tcPr>
            <w:tcW w:w="3379"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75637E" w:rsidRPr="00060280" w:rsidP="00060280">
            <w:pPr>
              <w:spacing w:line="240" w:lineRule="auto"/>
              <w:jc w:val="left"/>
              <w:rPr>
                <w:rFonts w:ascii="Arial Narrow" w:hAnsi="Arial Narrow" w:cs="Times New Roman"/>
              </w:rPr>
            </w:pPr>
            <w:r w:rsidR="00C9022C">
              <w:rPr>
                <w:rFonts w:ascii="Arial Narrow" w:hAnsi="Arial Narrow" w:cs="Times New Roman"/>
              </w:rPr>
              <w:t>Pohľadávky z obchodného styku</w:t>
            </w:r>
          </w:p>
        </w:tc>
        <w:tc>
          <w:tcPr>
            <w:tcW w:w="126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75637E" w:rsidRPr="00060280" w:rsidP="00060280">
            <w:pPr>
              <w:spacing w:line="240" w:lineRule="auto"/>
              <w:jc w:val="right"/>
              <w:rPr>
                <w:rFonts w:ascii="Arial Narrow" w:hAnsi="Arial Narrow" w:cs="Times New Roman"/>
              </w:rPr>
            </w:pPr>
            <w:r w:rsidR="00C9022C">
              <w:rPr>
                <w:rFonts w:ascii="Arial Narrow" w:hAnsi="Arial Narrow" w:cs="Times New Roman"/>
              </w:rPr>
              <w:t>667</w:t>
            </w:r>
          </w:p>
        </w:tc>
        <w:tc>
          <w:tcPr>
            <w:tcW w:w="3261"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75637E" w:rsidRPr="00060280" w:rsidP="00060280">
            <w:pPr>
              <w:spacing w:line="240" w:lineRule="auto"/>
              <w:jc w:val="left"/>
              <w:rPr>
                <w:rFonts w:ascii="Arial Narrow" w:hAnsi="Arial Narrow" w:cs="Times New Roman"/>
              </w:rPr>
            </w:pPr>
            <w:r w:rsidR="00276BAE">
              <w:rPr>
                <w:rFonts w:ascii="Arial Narrow" w:hAnsi="Arial Narrow" w:cs="Times New Roman"/>
              </w:rPr>
              <w:t>Dlhodobé záväzky</w:t>
            </w:r>
          </w:p>
        </w:tc>
        <w:tc>
          <w:tcPr>
            <w:tcW w:w="126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75637E" w:rsidRPr="00060280" w:rsidP="00060280">
            <w:pPr>
              <w:spacing w:line="240" w:lineRule="auto"/>
              <w:jc w:val="right"/>
              <w:rPr>
                <w:rFonts w:ascii="Arial Narrow" w:hAnsi="Arial Narrow" w:cs="Times New Roman"/>
              </w:rPr>
            </w:pPr>
            <w:r w:rsidR="00276BAE">
              <w:rPr>
                <w:rFonts w:ascii="Arial Narrow" w:hAnsi="Arial Narrow" w:cs="Times New Roman"/>
              </w:rPr>
              <w:t>8 151</w:t>
            </w:r>
          </w:p>
        </w:tc>
      </w:tr>
      <w:tr>
        <w:tblPrEx>
          <w:tblW w:w="9160" w:type="dxa"/>
          <w:tblInd w:w="70" w:type="dxa"/>
          <w:tblCellMar>
            <w:left w:w="70" w:type="dxa"/>
            <w:right w:w="70" w:type="dxa"/>
          </w:tblCellMar>
        </w:tblPrEx>
        <w:trPr>
          <w:trHeight w:hRule="exact" w:val="284"/>
        </w:trPr>
        <w:tc>
          <w:tcPr>
            <w:tcW w:w="3379"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75637E" w:rsidRPr="00060280" w:rsidP="00060280">
            <w:pPr>
              <w:spacing w:line="240" w:lineRule="auto"/>
              <w:jc w:val="left"/>
              <w:rPr>
                <w:rFonts w:ascii="Arial Narrow" w:hAnsi="Arial Narrow" w:cs="Times New Roman"/>
              </w:rPr>
            </w:pPr>
            <w:r w:rsidR="00C9022C">
              <w:rPr>
                <w:rFonts w:ascii="Arial Narrow" w:hAnsi="Arial Narrow" w:cs="Times New Roman"/>
              </w:rPr>
              <w:t>Daňové pohľadávky</w:t>
            </w:r>
          </w:p>
        </w:tc>
        <w:tc>
          <w:tcPr>
            <w:tcW w:w="126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75637E" w:rsidRPr="00060280" w:rsidP="00060280">
            <w:pPr>
              <w:spacing w:line="240" w:lineRule="auto"/>
              <w:jc w:val="right"/>
              <w:rPr>
                <w:rFonts w:ascii="Arial Narrow" w:hAnsi="Arial Narrow" w:cs="Times New Roman"/>
              </w:rPr>
            </w:pPr>
            <w:r w:rsidR="00C9022C">
              <w:rPr>
                <w:rFonts w:ascii="Arial Narrow" w:hAnsi="Arial Narrow" w:cs="Times New Roman"/>
              </w:rPr>
              <w:t>5 111</w:t>
            </w:r>
          </w:p>
        </w:tc>
        <w:tc>
          <w:tcPr>
            <w:tcW w:w="3261"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75637E" w:rsidRPr="00060280" w:rsidP="00060280">
            <w:pPr>
              <w:spacing w:line="240" w:lineRule="auto"/>
              <w:jc w:val="left"/>
              <w:rPr>
                <w:rFonts w:ascii="Arial Narrow" w:hAnsi="Arial Narrow" w:cs="Times New Roman"/>
              </w:rPr>
            </w:pPr>
            <w:r w:rsidR="00276BAE">
              <w:rPr>
                <w:rFonts w:ascii="Arial Narrow" w:hAnsi="Arial Narrow" w:cs="Times New Roman"/>
              </w:rPr>
              <w:t>Dlhodobé záväzky z</w:t>
            </w:r>
            <w:r w:rsidR="002B7C08">
              <w:rPr>
                <w:rFonts w:ascii="Arial Narrow" w:hAnsi="Arial Narrow" w:cs="Times New Roman"/>
              </w:rPr>
              <w:t xml:space="preserve"> obchodného </w:t>
            </w:r>
            <w:r w:rsidR="00276BAE">
              <w:rPr>
                <w:rFonts w:ascii="Arial Narrow" w:hAnsi="Arial Narrow" w:cs="Times New Roman"/>
              </w:rPr>
              <w:t>styku</w:t>
            </w:r>
          </w:p>
        </w:tc>
        <w:tc>
          <w:tcPr>
            <w:tcW w:w="126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75637E" w:rsidRPr="00060280" w:rsidP="00060280">
            <w:pPr>
              <w:spacing w:line="240" w:lineRule="auto"/>
              <w:jc w:val="right"/>
              <w:rPr>
                <w:rFonts w:ascii="Arial Narrow" w:hAnsi="Arial Narrow" w:cs="Times New Roman"/>
              </w:rPr>
            </w:pPr>
            <w:r w:rsidR="00276BAE">
              <w:rPr>
                <w:rFonts w:ascii="Arial Narrow" w:hAnsi="Arial Narrow" w:cs="Times New Roman"/>
              </w:rPr>
              <w:t>8 130</w:t>
            </w:r>
          </w:p>
        </w:tc>
      </w:tr>
      <w:tr>
        <w:tblPrEx>
          <w:tblW w:w="9160" w:type="dxa"/>
          <w:tblInd w:w="70" w:type="dxa"/>
          <w:tblCellMar>
            <w:left w:w="70" w:type="dxa"/>
            <w:right w:w="70" w:type="dxa"/>
          </w:tblCellMar>
        </w:tblPrEx>
        <w:trPr>
          <w:trHeight w:hRule="exact" w:val="284"/>
        </w:trPr>
        <w:tc>
          <w:tcPr>
            <w:tcW w:w="3379"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75637E" w:rsidRPr="00060280" w:rsidP="00060280">
            <w:pPr>
              <w:spacing w:line="240" w:lineRule="auto"/>
              <w:jc w:val="left"/>
              <w:rPr>
                <w:rFonts w:ascii="Arial Narrow" w:hAnsi="Arial Narrow" w:cs="Times New Roman"/>
              </w:rPr>
            </w:pPr>
            <w:r w:rsidR="00C9022C">
              <w:rPr>
                <w:rFonts w:ascii="Arial Narrow" w:hAnsi="Arial Narrow" w:cs="Times New Roman"/>
              </w:rPr>
              <w:t>Iné pohľadávky</w:t>
            </w:r>
          </w:p>
        </w:tc>
        <w:tc>
          <w:tcPr>
            <w:tcW w:w="126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75637E" w:rsidRPr="00060280" w:rsidP="00060280">
            <w:pPr>
              <w:spacing w:line="240" w:lineRule="auto"/>
              <w:jc w:val="right"/>
              <w:rPr>
                <w:rFonts w:ascii="Arial Narrow" w:hAnsi="Arial Narrow" w:cs="Times New Roman"/>
              </w:rPr>
            </w:pPr>
            <w:r w:rsidR="00C9022C">
              <w:rPr>
                <w:rFonts w:ascii="Arial Narrow" w:hAnsi="Arial Narrow" w:cs="Times New Roman"/>
              </w:rPr>
              <w:t>187</w:t>
            </w:r>
          </w:p>
        </w:tc>
        <w:tc>
          <w:tcPr>
            <w:tcW w:w="3261"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75637E" w:rsidRPr="00060280" w:rsidP="00060280">
            <w:pPr>
              <w:spacing w:line="240" w:lineRule="auto"/>
              <w:jc w:val="left"/>
              <w:rPr>
                <w:rFonts w:ascii="Arial Narrow" w:hAnsi="Arial Narrow" w:cs="Times New Roman"/>
              </w:rPr>
            </w:pPr>
            <w:r w:rsidR="00276BAE">
              <w:rPr>
                <w:rFonts w:ascii="Arial Narrow" w:hAnsi="Arial Narrow" w:cs="Times New Roman"/>
              </w:rPr>
              <w:t>Záväzky zo sociálneho fondu</w:t>
            </w:r>
          </w:p>
        </w:tc>
        <w:tc>
          <w:tcPr>
            <w:tcW w:w="126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75637E" w:rsidRPr="00060280" w:rsidP="00060280">
            <w:pPr>
              <w:spacing w:line="240" w:lineRule="auto"/>
              <w:jc w:val="right"/>
              <w:rPr>
                <w:rFonts w:ascii="Arial Narrow" w:hAnsi="Arial Narrow" w:cs="Times New Roman"/>
              </w:rPr>
            </w:pPr>
            <w:r w:rsidR="00276BAE">
              <w:rPr>
                <w:rFonts w:ascii="Arial Narrow" w:hAnsi="Arial Narrow" w:cs="Times New Roman"/>
              </w:rPr>
              <w:t>21</w:t>
            </w:r>
          </w:p>
        </w:tc>
      </w:tr>
      <w:tr>
        <w:tblPrEx>
          <w:tblW w:w="9160" w:type="dxa"/>
          <w:tblInd w:w="70" w:type="dxa"/>
          <w:tblCellMar>
            <w:left w:w="70" w:type="dxa"/>
            <w:right w:w="70" w:type="dxa"/>
          </w:tblCellMar>
        </w:tblPrEx>
        <w:trPr>
          <w:trHeight w:hRule="exact" w:val="284"/>
        </w:trPr>
        <w:tc>
          <w:tcPr>
            <w:tcW w:w="3379"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75637E" w:rsidRPr="00060280" w:rsidP="00B1599D">
            <w:pPr>
              <w:spacing w:line="240" w:lineRule="auto"/>
              <w:rPr>
                <w:rFonts w:ascii="Arial Narrow" w:hAnsi="Arial Narrow" w:cs="Times New Roman"/>
              </w:rPr>
            </w:pPr>
            <w:r w:rsidR="002B7C08">
              <w:rPr>
                <w:rFonts w:ascii="Arial Narrow" w:hAnsi="Arial Narrow" w:cs="Times New Roman"/>
              </w:rPr>
              <w:t xml:space="preserve">Finančné účty – </w:t>
            </w:r>
            <w:r w:rsidR="00C9022C">
              <w:rPr>
                <w:rFonts w:ascii="Arial Narrow" w:hAnsi="Arial Narrow" w:cs="Times New Roman"/>
              </w:rPr>
              <w:t xml:space="preserve"> súčet</w:t>
            </w:r>
          </w:p>
        </w:tc>
        <w:tc>
          <w:tcPr>
            <w:tcW w:w="126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75637E" w:rsidRPr="00060280" w:rsidP="00060280">
            <w:pPr>
              <w:spacing w:line="240" w:lineRule="auto"/>
              <w:jc w:val="right"/>
              <w:rPr>
                <w:rFonts w:ascii="Arial Narrow" w:hAnsi="Arial Narrow" w:cs="Times New Roman"/>
              </w:rPr>
            </w:pPr>
            <w:r w:rsidR="00C9022C">
              <w:rPr>
                <w:rFonts w:ascii="Arial Narrow" w:hAnsi="Arial Narrow" w:cs="Times New Roman"/>
              </w:rPr>
              <w:t>15 013</w:t>
            </w:r>
          </w:p>
        </w:tc>
        <w:tc>
          <w:tcPr>
            <w:tcW w:w="3261"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75637E" w:rsidRPr="00060280" w:rsidP="00060280">
            <w:pPr>
              <w:spacing w:line="240" w:lineRule="auto"/>
              <w:jc w:val="left"/>
              <w:rPr>
                <w:rFonts w:ascii="Arial Narrow" w:hAnsi="Arial Narrow" w:cs="Times New Roman"/>
              </w:rPr>
            </w:pPr>
            <w:r w:rsidR="00276BAE">
              <w:rPr>
                <w:rFonts w:ascii="Arial Narrow" w:hAnsi="Arial Narrow" w:cs="Times New Roman"/>
              </w:rPr>
              <w:t>Krátkodobé záväzky</w:t>
            </w:r>
          </w:p>
        </w:tc>
        <w:tc>
          <w:tcPr>
            <w:tcW w:w="126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75637E" w:rsidRPr="00060280" w:rsidP="00060280">
            <w:pPr>
              <w:spacing w:line="240" w:lineRule="auto"/>
              <w:jc w:val="right"/>
              <w:rPr>
                <w:rFonts w:ascii="Arial Narrow" w:hAnsi="Arial Narrow" w:cs="Times New Roman"/>
              </w:rPr>
            </w:pPr>
            <w:r w:rsidR="00276BAE">
              <w:rPr>
                <w:rFonts w:ascii="Arial Narrow" w:hAnsi="Arial Narrow" w:cs="Times New Roman"/>
              </w:rPr>
              <w:t>8 293</w:t>
            </w:r>
          </w:p>
        </w:tc>
      </w:tr>
      <w:tr>
        <w:tblPrEx>
          <w:tblW w:w="9160" w:type="dxa"/>
          <w:tblInd w:w="70" w:type="dxa"/>
          <w:tblCellMar>
            <w:left w:w="70" w:type="dxa"/>
            <w:right w:w="70" w:type="dxa"/>
          </w:tblCellMar>
        </w:tblPrEx>
        <w:trPr>
          <w:trHeight w:hRule="exact" w:val="284"/>
        </w:trPr>
        <w:tc>
          <w:tcPr>
            <w:tcW w:w="3379"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75637E" w:rsidRPr="00060280" w:rsidP="00B1599D">
            <w:pPr>
              <w:spacing w:line="240" w:lineRule="auto"/>
              <w:rPr>
                <w:rFonts w:ascii="Arial Narrow" w:hAnsi="Arial Narrow" w:cs="Times New Roman"/>
              </w:rPr>
            </w:pPr>
            <w:r w:rsidR="00C9022C">
              <w:rPr>
                <w:rFonts w:ascii="Arial Narrow" w:hAnsi="Arial Narrow" w:cs="Times New Roman"/>
              </w:rPr>
              <w:t>Peniaze</w:t>
            </w:r>
          </w:p>
        </w:tc>
        <w:tc>
          <w:tcPr>
            <w:tcW w:w="126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75637E" w:rsidRPr="00060280" w:rsidP="00060280">
            <w:pPr>
              <w:spacing w:line="240" w:lineRule="auto"/>
              <w:jc w:val="right"/>
              <w:rPr>
                <w:rFonts w:ascii="Arial Narrow" w:hAnsi="Arial Narrow" w:cs="Times New Roman"/>
              </w:rPr>
            </w:pPr>
            <w:r w:rsidR="00C9022C">
              <w:rPr>
                <w:rFonts w:ascii="Arial Narrow" w:hAnsi="Arial Narrow" w:cs="Times New Roman"/>
              </w:rPr>
              <w:t>23</w:t>
            </w:r>
          </w:p>
        </w:tc>
        <w:tc>
          <w:tcPr>
            <w:tcW w:w="3261"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75637E" w:rsidRPr="00060280" w:rsidP="00060280">
            <w:pPr>
              <w:spacing w:line="240" w:lineRule="auto"/>
              <w:jc w:val="left"/>
              <w:rPr>
                <w:rFonts w:ascii="Arial Narrow" w:hAnsi="Arial Narrow" w:cs="Times New Roman"/>
              </w:rPr>
            </w:pPr>
            <w:r w:rsidR="00276BAE">
              <w:rPr>
                <w:rFonts w:ascii="Arial Narrow" w:hAnsi="Arial Narrow" w:cs="Times New Roman"/>
              </w:rPr>
              <w:t>Záväzky z obchodného styku</w:t>
            </w:r>
          </w:p>
        </w:tc>
        <w:tc>
          <w:tcPr>
            <w:tcW w:w="126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75637E" w:rsidRPr="00060280" w:rsidP="00060280">
            <w:pPr>
              <w:spacing w:line="240" w:lineRule="auto"/>
              <w:jc w:val="right"/>
              <w:rPr>
                <w:rFonts w:ascii="Arial Narrow" w:hAnsi="Arial Narrow" w:cs="Times New Roman"/>
              </w:rPr>
            </w:pPr>
            <w:r w:rsidR="00276BAE">
              <w:rPr>
                <w:rFonts w:ascii="Arial Narrow" w:hAnsi="Arial Narrow" w:cs="Times New Roman"/>
              </w:rPr>
              <w:t>6 372</w:t>
            </w:r>
          </w:p>
        </w:tc>
      </w:tr>
      <w:tr>
        <w:tblPrEx>
          <w:tblW w:w="9160" w:type="dxa"/>
          <w:tblInd w:w="70" w:type="dxa"/>
          <w:tblCellMar>
            <w:left w:w="70" w:type="dxa"/>
            <w:right w:w="70" w:type="dxa"/>
          </w:tblCellMar>
        </w:tblPrEx>
        <w:trPr>
          <w:trHeight w:hRule="exact" w:val="284"/>
        </w:trPr>
        <w:tc>
          <w:tcPr>
            <w:tcW w:w="3379"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75637E" w:rsidRPr="00060280" w:rsidP="00B1599D">
            <w:pPr>
              <w:spacing w:line="240" w:lineRule="auto"/>
              <w:rPr>
                <w:rFonts w:ascii="Arial Narrow" w:hAnsi="Arial Narrow" w:cs="Times New Roman"/>
              </w:rPr>
            </w:pPr>
            <w:r w:rsidR="00C9022C">
              <w:rPr>
                <w:rFonts w:ascii="Arial Narrow" w:hAnsi="Arial Narrow" w:cs="Times New Roman"/>
              </w:rPr>
              <w:t>Účty v</w:t>
            </w:r>
            <w:r w:rsidR="00EF0282">
              <w:rPr>
                <w:rFonts w:ascii="Arial Narrow" w:hAnsi="Arial Narrow" w:cs="Times New Roman"/>
              </w:rPr>
              <w:t> </w:t>
            </w:r>
            <w:r w:rsidR="00C9022C">
              <w:rPr>
                <w:rFonts w:ascii="Arial Narrow" w:hAnsi="Arial Narrow" w:cs="Times New Roman"/>
              </w:rPr>
              <w:t>bankách</w:t>
            </w:r>
          </w:p>
        </w:tc>
        <w:tc>
          <w:tcPr>
            <w:tcW w:w="126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75637E" w:rsidRPr="00060280" w:rsidP="00060280">
            <w:pPr>
              <w:spacing w:line="240" w:lineRule="auto"/>
              <w:jc w:val="right"/>
              <w:rPr>
                <w:rFonts w:ascii="Arial Narrow" w:hAnsi="Arial Narrow" w:cs="Times New Roman"/>
              </w:rPr>
            </w:pPr>
            <w:r w:rsidR="00C9022C">
              <w:rPr>
                <w:rFonts w:ascii="Arial Narrow" w:hAnsi="Arial Narrow" w:cs="Times New Roman"/>
              </w:rPr>
              <w:t>14 990</w:t>
            </w:r>
          </w:p>
        </w:tc>
        <w:tc>
          <w:tcPr>
            <w:tcW w:w="3261"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75637E" w:rsidRPr="00060280" w:rsidP="00060280">
            <w:pPr>
              <w:spacing w:line="240" w:lineRule="auto"/>
              <w:jc w:val="left"/>
              <w:rPr>
                <w:rFonts w:ascii="Arial Narrow" w:hAnsi="Arial Narrow" w:cs="Times New Roman"/>
              </w:rPr>
            </w:pPr>
            <w:r w:rsidR="00276BAE">
              <w:rPr>
                <w:rFonts w:ascii="Arial Narrow" w:hAnsi="Arial Narrow" w:cs="Times New Roman"/>
              </w:rPr>
              <w:t>Nevyfaktúrované dodávky</w:t>
            </w:r>
          </w:p>
        </w:tc>
        <w:tc>
          <w:tcPr>
            <w:tcW w:w="126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75637E" w:rsidRPr="00060280" w:rsidP="00060280">
            <w:pPr>
              <w:spacing w:line="240" w:lineRule="auto"/>
              <w:jc w:val="right"/>
              <w:rPr>
                <w:rFonts w:ascii="Arial Narrow" w:hAnsi="Arial Narrow" w:cs="Times New Roman"/>
              </w:rPr>
            </w:pPr>
            <w:r w:rsidR="00276BAE">
              <w:rPr>
                <w:rFonts w:ascii="Arial Narrow" w:hAnsi="Arial Narrow" w:cs="Times New Roman"/>
              </w:rPr>
              <w:t>941</w:t>
            </w:r>
          </w:p>
        </w:tc>
      </w:tr>
      <w:tr>
        <w:tblPrEx>
          <w:tblW w:w="9160" w:type="dxa"/>
          <w:tblInd w:w="70" w:type="dxa"/>
          <w:tblCellMar>
            <w:left w:w="70" w:type="dxa"/>
            <w:right w:w="70" w:type="dxa"/>
          </w:tblCellMar>
        </w:tblPrEx>
        <w:trPr>
          <w:trHeight w:hRule="exact" w:val="284"/>
        </w:trPr>
        <w:tc>
          <w:tcPr>
            <w:tcW w:w="3379"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C9022C" w:rsidRPr="002B7C08" w:rsidP="00854617">
            <w:pPr>
              <w:spacing w:line="240" w:lineRule="auto"/>
              <w:rPr>
                <w:rFonts w:ascii="Arial Narrow" w:hAnsi="Arial Narrow" w:cs="Times New Roman"/>
                <w:b/>
              </w:rPr>
            </w:pPr>
            <w:r w:rsidRPr="002B7C08">
              <w:rPr>
                <w:rFonts w:ascii="Arial Narrow" w:hAnsi="Arial Narrow" w:cs="Times New Roman"/>
                <w:b/>
              </w:rPr>
              <w:t>Časové rozlíšenie</w:t>
            </w:r>
          </w:p>
        </w:tc>
        <w:tc>
          <w:tcPr>
            <w:tcW w:w="126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C9022C" w:rsidRPr="00FC3D3D" w:rsidP="00854617">
            <w:pPr>
              <w:spacing w:line="240" w:lineRule="auto"/>
              <w:jc w:val="right"/>
              <w:rPr>
                <w:rFonts w:ascii="Arial Narrow" w:hAnsi="Arial Narrow" w:cs="Times New Roman"/>
                <w:b/>
              </w:rPr>
            </w:pPr>
            <w:r w:rsidRPr="00FC3D3D">
              <w:rPr>
                <w:rFonts w:ascii="Arial Narrow" w:hAnsi="Arial Narrow" w:cs="Times New Roman"/>
                <w:b/>
              </w:rPr>
              <w:t>133</w:t>
            </w:r>
          </w:p>
        </w:tc>
        <w:tc>
          <w:tcPr>
            <w:tcW w:w="3261"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C9022C" w:rsidRPr="00060280" w:rsidP="00060280">
            <w:pPr>
              <w:spacing w:line="240" w:lineRule="auto"/>
              <w:jc w:val="left"/>
              <w:rPr>
                <w:rFonts w:ascii="Arial Narrow" w:hAnsi="Arial Narrow" w:cs="Times New Roman"/>
              </w:rPr>
            </w:pPr>
            <w:r w:rsidR="00276BAE">
              <w:rPr>
                <w:rFonts w:ascii="Arial Narrow" w:hAnsi="Arial Narrow" w:cs="Times New Roman"/>
              </w:rPr>
              <w:t>Záväzky voči zamestnancom</w:t>
            </w:r>
          </w:p>
        </w:tc>
        <w:tc>
          <w:tcPr>
            <w:tcW w:w="126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C9022C" w:rsidRPr="00060280" w:rsidP="00060280">
            <w:pPr>
              <w:spacing w:line="240" w:lineRule="auto"/>
              <w:jc w:val="right"/>
              <w:rPr>
                <w:rFonts w:ascii="Arial Narrow" w:hAnsi="Arial Narrow" w:cs="Times New Roman"/>
              </w:rPr>
            </w:pPr>
            <w:r w:rsidR="00276BAE">
              <w:rPr>
                <w:rFonts w:ascii="Arial Narrow" w:hAnsi="Arial Narrow" w:cs="Times New Roman"/>
              </w:rPr>
              <w:t>526</w:t>
            </w:r>
          </w:p>
        </w:tc>
      </w:tr>
      <w:tr>
        <w:tblPrEx>
          <w:tblW w:w="9160" w:type="dxa"/>
          <w:tblInd w:w="70" w:type="dxa"/>
          <w:tblCellMar>
            <w:left w:w="70" w:type="dxa"/>
            <w:right w:w="70" w:type="dxa"/>
          </w:tblCellMar>
        </w:tblPrEx>
        <w:trPr>
          <w:trHeight w:hRule="exact" w:val="345"/>
        </w:trPr>
        <w:tc>
          <w:tcPr>
            <w:tcW w:w="3379"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C9022C" w:rsidRPr="00060280" w:rsidP="00B1599D">
            <w:pPr>
              <w:spacing w:line="240" w:lineRule="auto"/>
              <w:rPr>
                <w:rFonts w:ascii="Arial Narrow" w:hAnsi="Arial Narrow" w:cs="Times New Roman"/>
              </w:rPr>
            </w:pPr>
            <w:r>
              <w:rPr>
                <w:rFonts w:ascii="Arial Narrow" w:hAnsi="Arial Narrow" w:cs="Times New Roman"/>
              </w:rPr>
              <w:t>Náklady budúcich období</w:t>
            </w:r>
          </w:p>
        </w:tc>
        <w:tc>
          <w:tcPr>
            <w:tcW w:w="126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C9022C" w:rsidRPr="00060280" w:rsidP="00060280">
            <w:pPr>
              <w:spacing w:line="240" w:lineRule="auto"/>
              <w:jc w:val="right"/>
              <w:rPr>
                <w:rFonts w:ascii="Arial Narrow" w:hAnsi="Arial Narrow" w:cs="Times New Roman"/>
              </w:rPr>
            </w:pPr>
            <w:r>
              <w:rPr>
                <w:rFonts w:ascii="Arial Narrow" w:hAnsi="Arial Narrow" w:cs="Times New Roman"/>
              </w:rPr>
              <w:t>133</w:t>
            </w:r>
          </w:p>
        </w:tc>
        <w:tc>
          <w:tcPr>
            <w:tcW w:w="3261"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C9022C" w:rsidRPr="00060280" w:rsidP="00060280">
            <w:pPr>
              <w:spacing w:line="240" w:lineRule="auto"/>
              <w:jc w:val="left"/>
              <w:rPr>
                <w:rFonts w:ascii="Arial Narrow" w:hAnsi="Arial Narrow" w:cs="Times New Roman"/>
              </w:rPr>
            </w:pPr>
            <w:r w:rsidR="00276BAE">
              <w:rPr>
                <w:rFonts w:ascii="Arial Narrow" w:hAnsi="Arial Narrow" w:cs="Times New Roman"/>
              </w:rPr>
              <w:t>Záväzky zo soc. zabezpečenia</w:t>
            </w:r>
          </w:p>
        </w:tc>
        <w:tc>
          <w:tcPr>
            <w:tcW w:w="126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C9022C" w:rsidRPr="00060280" w:rsidP="00060280">
            <w:pPr>
              <w:spacing w:line="240" w:lineRule="auto"/>
              <w:jc w:val="right"/>
              <w:rPr>
                <w:rFonts w:ascii="Arial Narrow" w:hAnsi="Arial Narrow" w:cs="Times New Roman"/>
              </w:rPr>
            </w:pPr>
            <w:r w:rsidR="00276BAE">
              <w:rPr>
                <w:rFonts w:ascii="Arial Narrow" w:hAnsi="Arial Narrow" w:cs="Times New Roman"/>
              </w:rPr>
              <w:t>338</w:t>
            </w:r>
          </w:p>
        </w:tc>
      </w:tr>
      <w:tr>
        <w:tblPrEx>
          <w:tblW w:w="9160" w:type="dxa"/>
          <w:tblInd w:w="70" w:type="dxa"/>
          <w:tblCellMar>
            <w:left w:w="70" w:type="dxa"/>
            <w:right w:w="70" w:type="dxa"/>
          </w:tblCellMar>
        </w:tblPrEx>
        <w:trPr>
          <w:trHeight w:hRule="exact" w:val="284"/>
        </w:trPr>
        <w:tc>
          <w:tcPr>
            <w:tcW w:w="3379"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276BAE" w:rsidP="00B1599D">
            <w:pPr>
              <w:spacing w:line="240" w:lineRule="auto"/>
              <w:rPr>
                <w:rFonts w:ascii="Arial Narrow" w:hAnsi="Arial Narrow" w:cs="Times New Roman"/>
              </w:rPr>
            </w:pPr>
          </w:p>
        </w:tc>
        <w:tc>
          <w:tcPr>
            <w:tcW w:w="126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276BAE" w:rsidP="00060280">
            <w:pPr>
              <w:spacing w:line="240" w:lineRule="auto"/>
              <w:jc w:val="right"/>
              <w:rPr>
                <w:rFonts w:ascii="Arial Narrow" w:hAnsi="Arial Narrow" w:cs="Times New Roman"/>
              </w:rPr>
            </w:pPr>
          </w:p>
        </w:tc>
        <w:tc>
          <w:tcPr>
            <w:tcW w:w="3261"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276BAE" w:rsidP="00060280">
            <w:pPr>
              <w:spacing w:line="240" w:lineRule="auto"/>
              <w:jc w:val="left"/>
              <w:rPr>
                <w:rFonts w:ascii="Arial Narrow" w:hAnsi="Arial Narrow" w:cs="Times New Roman"/>
              </w:rPr>
            </w:pPr>
            <w:r>
              <w:rPr>
                <w:rFonts w:ascii="Arial Narrow" w:hAnsi="Arial Narrow" w:cs="Times New Roman"/>
              </w:rPr>
              <w:t>Daňové záväzky a</w:t>
            </w:r>
            <w:r w:rsidR="002B7C08">
              <w:rPr>
                <w:rFonts w:ascii="Arial Narrow" w:hAnsi="Arial Narrow" w:cs="Times New Roman"/>
              </w:rPr>
              <w:t> </w:t>
            </w:r>
            <w:r>
              <w:rPr>
                <w:rFonts w:ascii="Arial Narrow" w:hAnsi="Arial Narrow" w:cs="Times New Roman"/>
              </w:rPr>
              <w:t>dotáci</w:t>
            </w:r>
            <w:r w:rsidR="002B7C08">
              <w:rPr>
                <w:rFonts w:ascii="Arial Narrow" w:hAnsi="Arial Narrow" w:cs="Times New Roman"/>
              </w:rPr>
              <w:t>e</w:t>
            </w:r>
          </w:p>
        </w:tc>
        <w:tc>
          <w:tcPr>
            <w:tcW w:w="126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276BAE" w:rsidRPr="00060280" w:rsidP="00060280">
            <w:pPr>
              <w:spacing w:line="240" w:lineRule="auto"/>
              <w:jc w:val="right"/>
              <w:rPr>
                <w:rFonts w:ascii="Arial Narrow" w:hAnsi="Arial Narrow" w:cs="Times New Roman"/>
              </w:rPr>
            </w:pPr>
            <w:r>
              <w:rPr>
                <w:rFonts w:ascii="Arial Narrow" w:hAnsi="Arial Narrow" w:cs="Times New Roman"/>
              </w:rPr>
              <w:t>80</w:t>
            </w:r>
          </w:p>
        </w:tc>
      </w:tr>
      <w:tr>
        <w:tblPrEx>
          <w:tblW w:w="9160" w:type="dxa"/>
          <w:tblInd w:w="70" w:type="dxa"/>
          <w:tblCellMar>
            <w:left w:w="70" w:type="dxa"/>
            <w:right w:w="70" w:type="dxa"/>
          </w:tblCellMar>
        </w:tblPrEx>
        <w:trPr>
          <w:trHeight w:hRule="exact" w:val="284"/>
        </w:trPr>
        <w:tc>
          <w:tcPr>
            <w:tcW w:w="3379"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276BAE" w:rsidP="00B1599D">
            <w:pPr>
              <w:spacing w:line="240" w:lineRule="auto"/>
              <w:rPr>
                <w:rFonts w:ascii="Arial Narrow" w:hAnsi="Arial Narrow" w:cs="Times New Roman"/>
              </w:rPr>
            </w:pPr>
          </w:p>
        </w:tc>
        <w:tc>
          <w:tcPr>
            <w:tcW w:w="126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276BAE" w:rsidP="00060280">
            <w:pPr>
              <w:spacing w:line="240" w:lineRule="auto"/>
              <w:jc w:val="right"/>
              <w:rPr>
                <w:rFonts w:ascii="Arial Narrow" w:hAnsi="Arial Narrow" w:cs="Times New Roman"/>
              </w:rPr>
            </w:pPr>
          </w:p>
        </w:tc>
        <w:tc>
          <w:tcPr>
            <w:tcW w:w="3261"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276BAE" w:rsidP="00060280">
            <w:pPr>
              <w:spacing w:line="240" w:lineRule="auto"/>
              <w:jc w:val="left"/>
              <w:rPr>
                <w:rFonts w:ascii="Arial Narrow" w:hAnsi="Arial Narrow" w:cs="Times New Roman"/>
              </w:rPr>
            </w:pPr>
            <w:r>
              <w:rPr>
                <w:rFonts w:ascii="Arial Narrow" w:hAnsi="Arial Narrow" w:cs="Times New Roman"/>
              </w:rPr>
              <w:t>Ostatné záväzky</w:t>
            </w:r>
          </w:p>
        </w:tc>
        <w:tc>
          <w:tcPr>
            <w:tcW w:w="126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276BAE" w:rsidRPr="00060280" w:rsidP="00060280">
            <w:pPr>
              <w:spacing w:line="240" w:lineRule="auto"/>
              <w:jc w:val="right"/>
              <w:rPr>
                <w:rFonts w:ascii="Arial Narrow" w:hAnsi="Arial Narrow" w:cs="Times New Roman"/>
              </w:rPr>
            </w:pPr>
            <w:r>
              <w:rPr>
                <w:rFonts w:ascii="Arial Narrow" w:hAnsi="Arial Narrow" w:cs="Times New Roman"/>
              </w:rPr>
              <w:t>36</w:t>
            </w:r>
          </w:p>
        </w:tc>
      </w:tr>
      <w:tr>
        <w:tblPrEx>
          <w:tblW w:w="9160" w:type="dxa"/>
          <w:tblInd w:w="70" w:type="dxa"/>
          <w:tblCellMar>
            <w:left w:w="70" w:type="dxa"/>
            <w:right w:w="70" w:type="dxa"/>
          </w:tblCellMar>
        </w:tblPrEx>
        <w:trPr>
          <w:trHeight w:hRule="exact" w:val="284"/>
        </w:trPr>
        <w:tc>
          <w:tcPr>
            <w:tcW w:w="3379"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276BAE" w:rsidP="00B1599D">
            <w:pPr>
              <w:spacing w:line="240" w:lineRule="auto"/>
              <w:rPr>
                <w:rFonts w:ascii="Arial Narrow" w:hAnsi="Arial Narrow" w:cs="Times New Roman"/>
              </w:rPr>
            </w:pPr>
          </w:p>
        </w:tc>
        <w:tc>
          <w:tcPr>
            <w:tcW w:w="126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276BAE" w:rsidP="00060280">
            <w:pPr>
              <w:spacing w:line="240" w:lineRule="auto"/>
              <w:jc w:val="right"/>
              <w:rPr>
                <w:rFonts w:ascii="Arial Narrow" w:hAnsi="Arial Narrow" w:cs="Times New Roman"/>
              </w:rPr>
            </w:pPr>
          </w:p>
        </w:tc>
        <w:tc>
          <w:tcPr>
            <w:tcW w:w="3261"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276BAE" w:rsidP="00060280">
            <w:pPr>
              <w:spacing w:line="240" w:lineRule="auto"/>
              <w:jc w:val="left"/>
              <w:rPr>
                <w:rFonts w:ascii="Arial Narrow" w:hAnsi="Arial Narrow" w:cs="Times New Roman"/>
              </w:rPr>
            </w:pPr>
            <w:r>
              <w:rPr>
                <w:rFonts w:ascii="Arial Narrow" w:hAnsi="Arial Narrow" w:cs="Times New Roman"/>
              </w:rPr>
              <w:t>Bankové úvery a výpomoci – súčet</w:t>
            </w:r>
          </w:p>
        </w:tc>
        <w:tc>
          <w:tcPr>
            <w:tcW w:w="126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276BAE" w:rsidRPr="00060280" w:rsidP="00060280">
            <w:pPr>
              <w:spacing w:line="240" w:lineRule="auto"/>
              <w:jc w:val="right"/>
              <w:rPr>
                <w:rFonts w:ascii="Arial Narrow" w:hAnsi="Arial Narrow" w:cs="Times New Roman"/>
              </w:rPr>
            </w:pPr>
            <w:r>
              <w:rPr>
                <w:rFonts w:ascii="Arial Narrow" w:hAnsi="Arial Narrow" w:cs="Times New Roman"/>
              </w:rPr>
              <w:t>21</w:t>
            </w:r>
          </w:p>
        </w:tc>
      </w:tr>
      <w:tr>
        <w:tblPrEx>
          <w:tblW w:w="9160" w:type="dxa"/>
          <w:tblInd w:w="70" w:type="dxa"/>
          <w:tblCellMar>
            <w:left w:w="70" w:type="dxa"/>
            <w:right w:w="70" w:type="dxa"/>
          </w:tblCellMar>
        </w:tblPrEx>
        <w:trPr>
          <w:trHeight w:hRule="exact" w:val="284"/>
        </w:trPr>
        <w:tc>
          <w:tcPr>
            <w:tcW w:w="3379"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276BAE" w:rsidP="00B1599D">
            <w:pPr>
              <w:spacing w:line="240" w:lineRule="auto"/>
              <w:rPr>
                <w:rFonts w:ascii="Arial Narrow" w:hAnsi="Arial Narrow" w:cs="Times New Roman"/>
              </w:rPr>
            </w:pPr>
          </w:p>
        </w:tc>
        <w:tc>
          <w:tcPr>
            <w:tcW w:w="126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276BAE" w:rsidP="00060280">
            <w:pPr>
              <w:spacing w:line="240" w:lineRule="auto"/>
              <w:jc w:val="right"/>
              <w:rPr>
                <w:rFonts w:ascii="Arial Narrow" w:hAnsi="Arial Narrow" w:cs="Times New Roman"/>
              </w:rPr>
            </w:pPr>
          </w:p>
        </w:tc>
        <w:tc>
          <w:tcPr>
            <w:tcW w:w="3261"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276BAE" w:rsidP="00060280">
            <w:pPr>
              <w:spacing w:line="240" w:lineRule="auto"/>
              <w:jc w:val="left"/>
              <w:rPr>
                <w:rFonts w:ascii="Arial Narrow" w:hAnsi="Arial Narrow" w:cs="Times New Roman"/>
              </w:rPr>
            </w:pPr>
            <w:r>
              <w:rPr>
                <w:rFonts w:ascii="Arial Narrow" w:hAnsi="Arial Narrow" w:cs="Times New Roman"/>
              </w:rPr>
              <w:t>Bežné bankové úvery</w:t>
            </w:r>
          </w:p>
        </w:tc>
        <w:tc>
          <w:tcPr>
            <w:tcW w:w="126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276BAE" w:rsidRPr="00060280" w:rsidP="00060280">
            <w:pPr>
              <w:spacing w:line="240" w:lineRule="auto"/>
              <w:jc w:val="right"/>
              <w:rPr>
                <w:rFonts w:ascii="Arial Narrow" w:hAnsi="Arial Narrow" w:cs="Times New Roman"/>
              </w:rPr>
            </w:pPr>
            <w:r>
              <w:rPr>
                <w:rFonts w:ascii="Arial Narrow" w:hAnsi="Arial Narrow" w:cs="Times New Roman"/>
              </w:rPr>
              <w:t>21</w:t>
            </w:r>
          </w:p>
        </w:tc>
      </w:tr>
      <w:tr>
        <w:tblPrEx>
          <w:tblW w:w="9160" w:type="dxa"/>
          <w:tblInd w:w="70" w:type="dxa"/>
          <w:tblCellMar>
            <w:left w:w="70" w:type="dxa"/>
            <w:right w:w="70" w:type="dxa"/>
          </w:tblCellMar>
        </w:tblPrEx>
        <w:trPr>
          <w:trHeight w:hRule="exact" w:val="284"/>
        </w:trPr>
        <w:tc>
          <w:tcPr>
            <w:tcW w:w="3379"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276BAE" w:rsidP="00B1599D">
            <w:pPr>
              <w:spacing w:line="240" w:lineRule="auto"/>
              <w:rPr>
                <w:rFonts w:ascii="Arial Narrow" w:hAnsi="Arial Narrow" w:cs="Times New Roman"/>
              </w:rPr>
            </w:pPr>
          </w:p>
        </w:tc>
        <w:tc>
          <w:tcPr>
            <w:tcW w:w="126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276BAE" w:rsidP="00060280">
            <w:pPr>
              <w:spacing w:line="240" w:lineRule="auto"/>
              <w:jc w:val="right"/>
              <w:rPr>
                <w:rFonts w:ascii="Arial Narrow" w:hAnsi="Arial Narrow" w:cs="Times New Roman"/>
              </w:rPr>
            </w:pPr>
          </w:p>
        </w:tc>
        <w:tc>
          <w:tcPr>
            <w:tcW w:w="3261"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276BAE" w:rsidRPr="00276BAE" w:rsidP="00060280">
            <w:pPr>
              <w:spacing w:line="240" w:lineRule="auto"/>
              <w:jc w:val="left"/>
              <w:rPr>
                <w:rFonts w:ascii="Arial Narrow" w:hAnsi="Arial Narrow" w:cs="Times New Roman"/>
                <w:b/>
              </w:rPr>
            </w:pPr>
            <w:r w:rsidRPr="00276BAE">
              <w:rPr>
                <w:rFonts w:ascii="Arial Narrow" w:hAnsi="Arial Narrow" w:cs="Times New Roman"/>
                <w:b/>
              </w:rPr>
              <w:t>Časové rozlíšenie</w:t>
            </w:r>
          </w:p>
        </w:tc>
        <w:tc>
          <w:tcPr>
            <w:tcW w:w="126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276BAE" w:rsidRPr="00060280" w:rsidP="00060280">
            <w:pPr>
              <w:spacing w:line="240" w:lineRule="auto"/>
              <w:jc w:val="right"/>
              <w:rPr>
                <w:rFonts w:ascii="Arial Narrow" w:hAnsi="Arial Narrow" w:cs="Times New Roman"/>
              </w:rPr>
            </w:pPr>
            <w:r>
              <w:rPr>
                <w:rFonts w:ascii="Arial Narrow" w:hAnsi="Arial Narrow" w:cs="Times New Roman"/>
              </w:rPr>
              <w:t>12 386</w:t>
            </w:r>
          </w:p>
        </w:tc>
      </w:tr>
      <w:tr>
        <w:tblPrEx>
          <w:tblW w:w="9160" w:type="dxa"/>
          <w:tblInd w:w="70" w:type="dxa"/>
          <w:tblCellMar>
            <w:left w:w="70" w:type="dxa"/>
            <w:right w:w="70" w:type="dxa"/>
          </w:tblCellMar>
        </w:tblPrEx>
        <w:trPr>
          <w:trHeight w:hRule="exact" w:val="284"/>
        </w:trPr>
        <w:tc>
          <w:tcPr>
            <w:tcW w:w="3379"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276BAE" w:rsidP="00B1599D">
            <w:pPr>
              <w:spacing w:line="240" w:lineRule="auto"/>
              <w:rPr>
                <w:rFonts w:ascii="Arial Narrow" w:hAnsi="Arial Narrow" w:cs="Times New Roman"/>
              </w:rPr>
            </w:pPr>
          </w:p>
        </w:tc>
        <w:tc>
          <w:tcPr>
            <w:tcW w:w="126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276BAE" w:rsidP="00060280">
            <w:pPr>
              <w:spacing w:line="240" w:lineRule="auto"/>
              <w:jc w:val="right"/>
              <w:rPr>
                <w:rFonts w:ascii="Arial Narrow" w:hAnsi="Arial Narrow" w:cs="Times New Roman"/>
              </w:rPr>
            </w:pPr>
          </w:p>
        </w:tc>
        <w:tc>
          <w:tcPr>
            <w:tcW w:w="3261"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276BAE" w:rsidP="00060280">
            <w:pPr>
              <w:spacing w:line="240" w:lineRule="auto"/>
              <w:jc w:val="left"/>
              <w:rPr>
                <w:rFonts w:ascii="Arial Narrow" w:hAnsi="Arial Narrow" w:cs="Times New Roman"/>
              </w:rPr>
            </w:pPr>
            <w:r>
              <w:rPr>
                <w:rFonts w:ascii="Arial Narrow" w:hAnsi="Arial Narrow" w:cs="Times New Roman"/>
              </w:rPr>
              <w:t>Výdavky budúcich období</w:t>
            </w:r>
          </w:p>
        </w:tc>
        <w:tc>
          <w:tcPr>
            <w:tcW w:w="126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276BAE" w:rsidRPr="00060280" w:rsidP="00060280">
            <w:pPr>
              <w:spacing w:line="240" w:lineRule="auto"/>
              <w:jc w:val="right"/>
              <w:rPr>
                <w:rFonts w:ascii="Arial Narrow" w:hAnsi="Arial Narrow" w:cs="Times New Roman"/>
              </w:rPr>
            </w:pPr>
            <w:r>
              <w:rPr>
                <w:rFonts w:ascii="Arial Narrow" w:hAnsi="Arial Narrow" w:cs="Times New Roman"/>
              </w:rPr>
              <w:t>13</w:t>
            </w:r>
          </w:p>
        </w:tc>
      </w:tr>
      <w:tr>
        <w:tblPrEx>
          <w:tblW w:w="9160" w:type="dxa"/>
          <w:tblInd w:w="70" w:type="dxa"/>
          <w:tblCellMar>
            <w:left w:w="70" w:type="dxa"/>
            <w:right w:w="70" w:type="dxa"/>
          </w:tblCellMar>
        </w:tblPrEx>
        <w:trPr>
          <w:trHeight w:hRule="exact" w:val="284"/>
        </w:trPr>
        <w:tc>
          <w:tcPr>
            <w:tcW w:w="3379"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276BAE" w:rsidP="00B1599D">
            <w:pPr>
              <w:spacing w:line="240" w:lineRule="auto"/>
              <w:rPr>
                <w:rFonts w:ascii="Arial Narrow" w:hAnsi="Arial Narrow" w:cs="Times New Roman"/>
              </w:rPr>
            </w:pPr>
          </w:p>
        </w:tc>
        <w:tc>
          <w:tcPr>
            <w:tcW w:w="126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276BAE" w:rsidP="00060280">
            <w:pPr>
              <w:spacing w:line="240" w:lineRule="auto"/>
              <w:jc w:val="right"/>
              <w:rPr>
                <w:rFonts w:ascii="Arial Narrow" w:hAnsi="Arial Narrow" w:cs="Times New Roman"/>
              </w:rPr>
            </w:pPr>
          </w:p>
        </w:tc>
        <w:tc>
          <w:tcPr>
            <w:tcW w:w="3261"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276BAE" w:rsidP="00060280">
            <w:pPr>
              <w:spacing w:line="240" w:lineRule="auto"/>
              <w:jc w:val="left"/>
              <w:rPr>
                <w:rFonts w:ascii="Arial Narrow" w:hAnsi="Arial Narrow" w:cs="Times New Roman"/>
              </w:rPr>
            </w:pPr>
            <w:r>
              <w:rPr>
                <w:rFonts w:ascii="Arial Narrow" w:hAnsi="Arial Narrow" w:cs="Times New Roman"/>
              </w:rPr>
              <w:t>Výnosy budúcich období</w:t>
            </w:r>
          </w:p>
        </w:tc>
        <w:tc>
          <w:tcPr>
            <w:tcW w:w="126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276BAE" w:rsidRPr="00060280" w:rsidP="00060280">
            <w:pPr>
              <w:spacing w:line="240" w:lineRule="auto"/>
              <w:jc w:val="right"/>
              <w:rPr>
                <w:rFonts w:ascii="Arial Narrow" w:hAnsi="Arial Narrow" w:cs="Times New Roman"/>
              </w:rPr>
            </w:pPr>
            <w:r>
              <w:rPr>
                <w:rFonts w:ascii="Arial Narrow" w:hAnsi="Arial Narrow" w:cs="Times New Roman"/>
              </w:rPr>
              <w:t>12 373</w:t>
            </w:r>
          </w:p>
        </w:tc>
      </w:tr>
      <w:tr>
        <w:tblPrEx>
          <w:tblW w:w="9160" w:type="dxa"/>
          <w:tblInd w:w="70" w:type="dxa"/>
          <w:tblCellMar>
            <w:left w:w="70" w:type="dxa"/>
            <w:right w:w="70" w:type="dxa"/>
          </w:tblCellMar>
        </w:tblPrEx>
        <w:trPr>
          <w:trHeight w:hRule="exact" w:val="284"/>
        </w:trPr>
        <w:tc>
          <w:tcPr>
            <w:tcW w:w="3379" w:type="dxa"/>
            <w:tcBorders>
              <w:top w:val="single" w:sz="4" w:space="0" w:color="auto"/>
              <w:left w:val="single" w:sz="4" w:space="0" w:color="auto"/>
              <w:bottom w:val="single" w:sz="4" w:space="0" w:color="auto"/>
              <w:right w:val="single" w:sz="4" w:space="0" w:color="auto"/>
              <w:tl2br w:val="nil"/>
              <w:tr2bl w:val="nil"/>
            </w:tcBorders>
            <w:shd w:val="clear" w:color="auto" w:fill="C0C0C0"/>
            <w:textDirection w:val="lrTb"/>
            <w:vAlign w:val="center"/>
          </w:tcPr>
          <w:p w:rsidR="00FC3D3D" w:rsidRPr="00FC3D3D" w:rsidP="00B1599D">
            <w:pPr>
              <w:spacing w:line="240" w:lineRule="auto"/>
              <w:rPr>
                <w:rFonts w:ascii="Arial Narrow" w:hAnsi="Arial Narrow" w:cs="Times New Roman"/>
                <w:b/>
              </w:rPr>
            </w:pPr>
            <w:r w:rsidRPr="00FC3D3D">
              <w:rPr>
                <w:rFonts w:ascii="Arial Narrow" w:hAnsi="Arial Narrow" w:cs="Times New Roman"/>
                <w:b/>
              </w:rPr>
              <w:t>AKTÍVA SPOLU</w:t>
            </w:r>
          </w:p>
        </w:tc>
        <w:tc>
          <w:tcPr>
            <w:tcW w:w="1260" w:type="dxa"/>
            <w:tcBorders>
              <w:top w:val="single" w:sz="4" w:space="0" w:color="auto"/>
              <w:left w:val="single" w:sz="4" w:space="0" w:color="auto"/>
              <w:bottom w:val="single" w:sz="4" w:space="0" w:color="auto"/>
              <w:right w:val="single" w:sz="4" w:space="0" w:color="auto"/>
              <w:tl2br w:val="nil"/>
              <w:tr2bl w:val="nil"/>
            </w:tcBorders>
            <w:shd w:val="clear" w:color="auto" w:fill="C0C0C0"/>
            <w:textDirection w:val="lrTb"/>
            <w:vAlign w:val="center"/>
          </w:tcPr>
          <w:p w:rsidR="00FC3D3D" w:rsidRPr="00FC3D3D" w:rsidP="00060280">
            <w:pPr>
              <w:spacing w:line="240" w:lineRule="auto"/>
              <w:jc w:val="right"/>
              <w:rPr>
                <w:rFonts w:ascii="Arial Narrow" w:hAnsi="Arial Narrow" w:cs="Times New Roman"/>
                <w:b/>
              </w:rPr>
            </w:pPr>
            <w:r w:rsidRPr="00FC3D3D">
              <w:rPr>
                <w:rFonts w:ascii="Arial Narrow" w:hAnsi="Arial Narrow" w:cs="Times New Roman"/>
                <w:b/>
              </w:rPr>
              <w:t>99 458</w:t>
            </w:r>
          </w:p>
        </w:tc>
        <w:tc>
          <w:tcPr>
            <w:tcW w:w="3261" w:type="dxa"/>
            <w:tcBorders>
              <w:top w:val="single" w:sz="4" w:space="0" w:color="auto"/>
              <w:left w:val="single" w:sz="4" w:space="0" w:color="auto"/>
              <w:bottom w:val="single" w:sz="4" w:space="0" w:color="auto"/>
              <w:right w:val="single" w:sz="4" w:space="0" w:color="auto"/>
              <w:tl2br w:val="nil"/>
              <w:tr2bl w:val="nil"/>
            </w:tcBorders>
            <w:shd w:val="clear" w:color="auto" w:fill="C0C0C0"/>
            <w:textDirection w:val="lrTb"/>
            <w:vAlign w:val="center"/>
          </w:tcPr>
          <w:p w:rsidR="00FC3D3D" w:rsidRPr="00FC3D3D" w:rsidP="00060280">
            <w:pPr>
              <w:spacing w:line="240" w:lineRule="auto"/>
              <w:jc w:val="left"/>
              <w:rPr>
                <w:rFonts w:ascii="Arial Narrow" w:hAnsi="Arial Narrow" w:cs="Times New Roman"/>
                <w:b/>
              </w:rPr>
            </w:pPr>
            <w:r w:rsidRPr="00FC3D3D">
              <w:rPr>
                <w:rFonts w:ascii="Arial Narrow" w:hAnsi="Arial Narrow" w:cs="Times New Roman"/>
                <w:b/>
              </w:rPr>
              <w:t>PASÍVA SPOLU</w:t>
            </w:r>
          </w:p>
        </w:tc>
        <w:tc>
          <w:tcPr>
            <w:tcW w:w="1260" w:type="dxa"/>
            <w:tcBorders>
              <w:top w:val="single" w:sz="4" w:space="0" w:color="auto"/>
              <w:left w:val="single" w:sz="4" w:space="0" w:color="auto"/>
              <w:bottom w:val="single" w:sz="4" w:space="0" w:color="auto"/>
              <w:right w:val="single" w:sz="4" w:space="0" w:color="auto"/>
              <w:tl2br w:val="nil"/>
              <w:tr2bl w:val="nil"/>
            </w:tcBorders>
            <w:shd w:val="clear" w:color="auto" w:fill="C0C0C0"/>
            <w:textDirection w:val="lrTb"/>
            <w:vAlign w:val="center"/>
          </w:tcPr>
          <w:p w:rsidR="00FC3D3D" w:rsidRPr="00FC3D3D" w:rsidP="00060280">
            <w:pPr>
              <w:spacing w:line="240" w:lineRule="auto"/>
              <w:jc w:val="right"/>
              <w:rPr>
                <w:rFonts w:ascii="Arial Narrow" w:hAnsi="Arial Narrow" w:cs="Times New Roman"/>
                <w:b/>
              </w:rPr>
            </w:pPr>
            <w:r w:rsidRPr="00FC3D3D">
              <w:rPr>
                <w:rFonts w:ascii="Arial Narrow" w:hAnsi="Arial Narrow" w:cs="Times New Roman"/>
                <w:b/>
              </w:rPr>
              <w:t>99 458</w:t>
            </w:r>
          </w:p>
        </w:tc>
      </w:tr>
    </w:tbl>
    <w:p w:rsidR="00BB2B26" w:rsidP="00EF0282">
      <w:pPr>
        <w:spacing w:line="240" w:lineRule="auto"/>
        <w:rPr>
          <w:rFonts w:ascii="Times New Roman" w:hAnsi="Times New Roman" w:cs="Times New Roman"/>
          <w:sz w:val="24"/>
          <w:szCs w:val="24"/>
        </w:rPr>
      </w:pPr>
    </w:p>
    <w:p w:rsidR="00B1599D" w:rsidP="00060280">
      <w:pPr>
        <w:spacing w:line="240" w:lineRule="auto"/>
        <w:ind w:firstLine="709"/>
        <w:rPr>
          <w:rFonts w:ascii="Times New Roman" w:hAnsi="Times New Roman" w:cs="Times New Roman"/>
          <w:sz w:val="24"/>
          <w:szCs w:val="24"/>
        </w:rPr>
      </w:pPr>
      <w:r w:rsidRPr="00B1599D">
        <w:rPr>
          <w:rFonts w:ascii="Times New Roman" w:hAnsi="Times New Roman" w:cs="Times New Roman"/>
          <w:sz w:val="24"/>
          <w:szCs w:val="24"/>
        </w:rPr>
        <w:t>Let</w:t>
      </w:r>
      <w:r w:rsidR="004E590E">
        <w:rPr>
          <w:rFonts w:ascii="Times New Roman" w:hAnsi="Times New Roman" w:cs="Times New Roman"/>
          <w:sz w:val="24"/>
          <w:szCs w:val="24"/>
        </w:rPr>
        <w:t xml:space="preserve">isková spoločnosť Žilina, a.s., </w:t>
      </w:r>
      <w:r w:rsidRPr="00B1599D">
        <w:rPr>
          <w:rFonts w:ascii="Times New Roman" w:hAnsi="Times New Roman" w:cs="Times New Roman"/>
          <w:sz w:val="24"/>
          <w:szCs w:val="24"/>
        </w:rPr>
        <w:t>v zdaňovacom období 2007 vykázala stratu vo výške 2 670 025,91 Sk. Spoločnosti sa postupne darí znižo</w:t>
      </w:r>
      <w:r w:rsidR="00060280">
        <w:rPr>
          <w:rFonts w:ascii="Times New Roman" w:hAnsi="Times New Roman" w:cs="Times New Roman"/>
          <w:sz w:val="24"/>
          <w:szCs w:val="24"/>
        </w:rPr>
        <w:t>vať daňovú stratu. Z</w:t>
      </w:r>
      <w:r w:rsidRPr="00B1599D">
        <w:rPr>
          <w:rFonts w:ascii="Times New Roman" w:hAnsi="Times New Roman" w:cs="Times New Roman"/>
          <w:sz w:val="24"/>
          <w:szCs w:val="24"/>
        </w:rPr>
        <w:t>a posledné roky činnosti je to najpriaznivejší hospodársky výsledok.</w:t>
      </w:r>
    </w:p>
    <w:p w:rsidR="00BB2B26" w:rsidP="00EF0282">
      <w:pPr>
        <w:spacing w:line="240" w:lineRule="auto"/>
        <w:rPr>
          <w:rFonts w:ascii="Times New Roman" w:hAnsi="Times New Roman" w:cs="Times New Roman"/>
          <w:b/>
          <w:sz w:val="24"/>
          <w:szCs w:val="24"/>
        </w:rPr>
      </w:pPr>
    </w:p>
    <w:p w:rsidR="008229F4" w:rsidP="00177767">
      <w:pPr>
        <w:spacing w:line="240" w:lineRule="auto"/>
        <w:ind w:firstLine="709"/>
        <w:rPr>
          <w:rFonts w:ascii="Times New Roman" w:hAnsi="Times New Roman" w:cs="Times New Roman"/>
          <w:b/>
          <w:sz w:val="24"/>
          <w:szCs w:val="24"/>
        </w:rPr>
      </w:pPr>
      <w:r w:rsidRPr="008229F4">
        <w:rPr>
          <w:rFonts w:ascii="Times New Roman" w:hAnsi="Times New Roman" w:cs="Times New Roman"/>
          <w:b/>
          <w:sz w:val="24"/>
          <w:szCs w:val="24"/>
        </w:rPr>
        <w:t>Aktíva</w:t>
      </w:r>
    </w:p>
    <w:p w:rsidR="00177767" w:rsidRPr="008229F4" w:rsidP="00177767">
      <w:pPr>
        <w:spacing w:line="240" w:lineRule="auto"/>
        <w:ind w:firstLine="709"/>
        <w:rPr>
          <w:rFonts w:ascii="Times New Roman" w:hAnsi="Times New Roman" w:cs="Times New Roman"/>
          <w:b/>
          <w:sz w:val="24"/>
          <w:szCs w:val="24"/>
        </w:rPr>
      </w:pPr>
    </w:p>
    <w:p w:rsidR="00BB2B26" w:rsidP="00EF0282">
      <w:pPr>
        <w:spacing w:line="240" w:lineRule="auto"/>
        <w:ind w:firstLine="709"/>
        <w:rPr>
          <w:rFonts w:ascii="Times New Roman" w:hAnsi="Times New Roman" w:cs="Times New Roman"/>
          <w:sz w:val="24"/>
          <w:szCs w:val="24"/>
        </w:rPr>
      </w:pPr>
      <w:r w:rsidRPr="00B1599D" w:rsidR="00B1599D">
        <w:rPr>
          <w:rFonts w:ascii="Times New Roman" w:hAnsi="Times New Roman" w:cs="Times New Roman"/>
          <w:sz w:val="24"/>
          <w:szCs w:val="24"/>
        </w:rPr>
        <w:t>Na aktívnom účte 014 – Oceniteľné práva sa nachádza najvýznamnejšia položka aktív L</w:t>
      </w:r>
      <w:r w:rsidR="008614A3">
        <w:rPr>
          <w:rFonts w:ascii="Times New Roman" w:hAnsi="Times New Roman" w:cs="Times New Roman"/>
          <w:sz w:val="24"/>
          <w:szCs w:val="24"/>
        </w:rPr>
        <w:t xml:space="preserve">etiskovej spoločnosti Žilina, </w:t>
      </w:r>
      <w:r w:rsidR="00060280">
        <w:rPr>
          <w:rFonts w:ascii="Times New Roman" w:hAnsi="Times New Roman" w:cs="Times New Roman"/>
          <w:sz w:val="24"/>
          <w:szCs w:val="24"/>
        </w:rPr>
        <w:t>a.</w:t>
      </w:r>
      <w:r w:rsidRPr="00B1599D" w:rsidR="00B1599D">
        <w:rPr>
          <w:rFonts w:ascii="Times New Roman" w:hAnsi="Times New Roman" w:cs="Times New Roman"/>
          <w:sz w:val="24"/>
          <w:szCs w:val="24"/>
        </w:rPr>
        <w:t xml:space="preserve">s. </w:t>
      </w:r>
      <w:r w:rsidR="00FC3D3D">
        <w:rPr>
          <w:rFonts w:ascii="Times New Roman" w:hAnsi="Times New Roman" w:cs="Times New Roman"/>
          <w:sz w:val="24"/>
          <w:szCs w:val="24"/>
        </w:rPr>
        <w:t xml:space="preserve">Celá táto suma t. j. 43 506 tis. </w:t>
      </w:r>
      <w:r w:rsidRPr="00B1599D" w:rsidR="00B1599D">
        <w:rPr>
          <w:rFonts w:ascii="Times New Roman" w:hAnsi="Times New Roman" w:cs="Times New Roman"/>
          <w:sz w:val="24"/>
          <w:szCs w:val="24"/>
        </w:rPr>
        <w:t>Sk je v evidencii priradená nehmotnému majetku spoločnosti, ktorý je označovaný ako know – how.</w:t>
      </w:r>
      <w:r w:rsidR="00EF0282">
        <w:rPr>
          <w:rFonts w:ascii="Times New Roman" w:hAnsi="Times New Roman" w:cs="Times New Roman"/>
          <w:sz w:val="24"/>
          <w:szCs w:val="24"/>
        </w:rPr>
        <w:t xml:space="preserve"> </w:t>
      </w:r>
    </w:p>
    <w:p w:rsidR="00BB2B26" w:rsidP="00EF0282">
      <w:pPr>
        <w:spacing w:line="240" w:lineRule="auto"/>
        <w:ind w:firstLine="709"/>
        <w:rPr>
          <w:rFonts w:ascii="Times New Roman" w:hAnsi="Times New Roman" w:cs="Times New Roman"/>
          <w:sz w:val="24"/>
          <w:szCs w:val="24"/>
        </w:rPr>
      </w:pPr>
      <w:r w:rsidRPr="00B1599D" w:rsidR="00B1599D">
        <w:rPr>
          <w:rFonts w:ascii="Times New Roman" w:hAnsi="Times New Roman" w:cs="Times New Roman"/>
          <w:sz w:val="24"/>
          <w:szCs w:val="24"/>
        </w:rPr>
        <w:t>Druhá najväčšia položka súvahy je na strane aktív vedená na účte 022 – Samostatné hnuteľné veci a súbory hnuteľných vecí. Táto časť majetku zahŕňa predovšetkým výpočtovú techniku, ako počítačové zostavy a not</w:t>
      </w:r>
      <w:r w:rsidR="00060280">
        <w:rPr>
          <w:rFonts w:ascii="Times New Roman" w:hAnsi="Times New Roman" w:cs="Times New Roman"/>
          <w:sz w:val="24"/>
          <w:szCs w:val="24"/>
        </w:rPr>
        <w:t xml:space="preserve">ebooky, ďalej iné hnuteľné veci, </w:t>
      </w:r>
      <w:r w:rsidRPr="00B1599D" w:rsidR="00B1599D">
        <w:rPr>
          <w:rFonts w:ascii="Times New Roman" w:hAnsi="Times New Roman" w:cs="Times New Roman"/>
          <w:sz w:val="24"/>
          <w:szCs w:val="24"/>
        </w:rPr>
        <w:t>ako obstarané zariadenia detekčnej kontroly, kamerového systému a dopravné prostriedky vo vlastníctve Letiskovej spoločnos</w:t>
      </w:r>
      <w:r w:rsidR="00EF0282">
        <w:rPr>
          <w:rFonts w:ascii="Times New Roman" w:hAnsi="Times New Roman" w:cs="Times New Roman"/>
          <w:sz w:val="24"/>
          <w:szCs w:val="24"/>
        </w:rPr>
        <w:t xml:space="preserve">ti Žilina, a.s. </w:t>
      </w:r>
    </w:p>
    <w:p w:rsidR="00BB2B26" w:rsidP="00EF0282">
      <w:pPr>
        <w:spacing w:line="240" w:lineRule="auto"/>
        <w:ind w:firstLine="709"/>
        <w:rPr>
          <w:rFonts w:ascii="Times New Roman" w:hAnsi="Times New Roman" w:cs="Times New Roman"/>
          <w:sz w:val="24"/>
          <w:szCs w:val="24"/>
        </w:rPr>
      </w:pPr>
      <w:r w:rsidRPr="00B1599D" w:rsidR="00B1599D">
        <w:rPr>
          <w:rFonts w:ascii="Times New Roman" w:hAnsi="Times New Roman" w:cs="Times New Roman"/>
          <w:sz w:val="24"/>
          <w:szCs w:val="24"/>
        </w:rPr>
        <w:t xml:space="preserve">Významné pohyby boli v roku 2007 zaznamenané na účte 042 – Obstaranie dlhodobého hmotného majetku. V uvedenom roku spoločnosť obstarávala hmotný majetok nevyhnutný najmä na fungovanie detekčnej kontroly, vykonávanie prepravných potrieb spoločnosti a majetok súvisiaci so snahou o rozšírenie letiskovej infraštruktúry. </w:t>
      </w:r>
    </w:p>
    <w:p w:rsidR="00FC3D3D" w:rsidRPr="00EF0282" w:rsidP="00EF0282">
      <w:pPr>
        <w:spacing w:line="240" w:lineRule="auto"/>
        <w:ind w:firstLine="709"/>
        <w:rPr>
          <w:rFonts w:ascii="Times New Roman" w:hAnsi="Times New Roman" w:cs="Times New Roman"/>
          <w:b/>
          <w:sz w:val="24"/>
          <w:szCs w:val="24"/>
        </w:rPr>
      </w:pPr>
      <w:r w:rsidRPr="00B1599D" w:rsidR="00B1599D">
        <w:rPr>
          <w:rFonts w:ascii="Times New Roman" w:hAnsi="Times New Roman" w:cs="Times New Roman"/>
          <w:sz w:val="24"/>
          <w:szCs w:val="24"/>
        </w:rPr>
        <w:t>Na strane aktív sa nachádza ešte ďalšia významná položka – Pozemky, ktoré sú evidované na účte 031 a za rok 2007 je na tomto účte konečný</w:t>
      </w:r>
      <w:r w:rsidR="004E590E">
        <w:rPr>
          <w:rFonts w:ascii="Times New Roman" w:hAnsi="Times New Roman" w:cs="Times New Roman"/>
          <w:sz w:val="24"/>
          <w:szCs w:val="24"/>
        </w:rPr>
        <w:t xml:space="preserve"> zostatok vo výške</w:t>
      </w:r>
      <w:r>
        <w:rPr>
          <w:rFonts w:ascii="Times New Roman" w:hAnsi="Times New Roman" w:cs="Times New Roman"/>
          <w:sz w:val="24"/>
          <w:szCs w:val="24"/>
        </w:rPr>
        <w:t xml:space="preserve"> 1 029 tis. </w:t>
      </w:r>
      <w:r w:rsidRPr="00B1599D" w:rsidR="00B1599D">
        <w:rPr>
          <w:rFonts w:ascii="Times New Roman" w:hAnsi="Times New Roman" w:cs="Times New Roman"/>
          <w:sz w:val="24"/>
          <w:szCs w:val="24"/>
        </w:rPr>
        <w:t>Sk. Tieto pozemky sú tvorené predpoliami letiska. Iné pozemky spoločnosť nemá. Ostatné pozemky, na ktorých uskutočňuje svoju podnikateľskú činnosť má Letisková spoločnos</w:t>
      </w:r>
      <w:r w:rsidR="008614A3">
        <w:rPr>
          <w:rFonts w:ascii="Times New Roman" w:hAnsi="Times New Roman" w:cs="Times New Roman"/>
          <w:sz w:val="24"/>
          <w:szCs w:val="24"/>
        </w:rPr>
        <w:t>ť Žilina, a.</w:t>
      </w:r>
      <w:r w:rsidRPr="00B1599D" w:rsidR="00B1599D">
        <w:rPr>
          <w:rFonts w:ascii="Times New Roman" w:hAnsi="Times New Roman" w:cs="Times New Roman"/>
          <w:sz w:val="24"/>
          <w:szCs w:val="24"/>
        </w:rPr>
        <w:t>s.</w:t>
      </w:r>
      <w:r w:rsidR="008614A3">
        <w:rPr>
          <w:rFonts w:ascii="Times New Roman" w:hAnsi="Times New Roman" w:cs="Times New Roman"/>
          <w:sz w:val="24"/>
          <w:szCs w:val="24"/>
        </w:rPr>
        <w:t>,</w:t>
      </w:r>
      <w:r w:rsidRPr="00B1599D" w:rsidR="00B1599D">
        <w:rPr>
          <w:rFonts w:ascii="Times New Roman" w:hAnsi="Times New Roman" w:cs="Times New Roman"/>
          <w:sz w:val="24"/>
          <w:szCs w:val="24"/>
        </w:rPr>
        <w:t xml:space="preserve"> prenajaté od iných právnických osôb.</w:t>
      </w:r>
    </w:p>
    <w:p w:rsidR="0027274F" w:rsidRPr="00B1599D" w:rsidP="0027274F">
      <w:pPr>
        <w:spacing w:line="240" w:lineRule="auto"/>
        <w:ind w:firstLine="709"/>
        <w:rPr>
          <w:rFonts w:ascii="Times New Roman" w:hAnsi="Times New Roman" w:cs="Times New Roman"/>
          <w:sz w:val="24"/>
          <w:szCs w:val="24"/>
        </w:rPr>
      </w:pPr>
      <w:r w:rsidRPr="0027274F">
        <w:rPr>
          <w:rFonts w:ascii="Times New Roman" w:hAnsi="Times New Roman" w:cs="Times New Roman"/>
          <w:bCs/>
          <w:sz w:val="24"/>
          <w:szCs w:val="24"/>
        </w:rPr>
        <w:t>Pohľadávky spoločnosti z obchodného styku k 31.12.2007 po lehote splatnosti predstavujú 224 011,02 Sk, z toho do 30 dní vo výške 158 626,32 Sk, do 60 dní vo výške 34 549,30 Sk, do 90 dní 4 255,40 Sk a</w:t>
      </w:r>
      <w:r>
        <w:rPr>
          <w:rFonts w:ascii="Times New Roman" w:hAnsi="Times New Roman" w:cs="Times New Roman"/>
          <w:bCs/>
          <w:sz w:val="24"/>
          <w:szCs w:val="24"/>
        </w:rPr>
        <w:t xml:space="preserve"> do 360 </w:t>
      </w:r>
      <w:r w:rsidRPr="0027274F">
        <w:rPr>
          <w:rFonts w:ascii="Times New Roman" w:hAnsi="Times New Roman" w:cs="Times New Roman"/>
          <w:bCs/>
          <w:sz w:val="24"/>
          <w:szCs w:val="24"/>
        </w:rPr>
        <w:t>dní vo výške 26 580,</w:t>
      </w:r>
      <w:r>
        <w:rPr>
          <w:rFonts w:ascii="Times New Roman" w:hAnsi="Times New Roman" w:cs="Times New Roman"/>
          <w:bCs/>
          <w:sz w:val="24"/>
          <w:szCs w:val="24"/>
        </w:rPr>
        <w:t xml:space="preserve">00 Sk. </w:t>
      </w:r>
      <w:r w:rsidRPr="00B1599D">
        <w:rPr>
          <w:rFonts w:ascii="Times New Roman" w:hAnsi="Times New Roman" w:cs="Times New Roman"/>
          <w:sz w:val="24"/>
          <w:szCs w:val="24"/>
        </w:rPr>
        <w:t>Pohľadávky po dobe splatnosti dlhšej ako 1 r</w:t>
      </w:r>
      <w:r>
        <w:rPr>
          <w:rFonts w:ascii="Times New Roman" w:hAnsi="Times New Roman" w:cs="Times New Roman"/>
          <w:sz w:val="24"/>
          <w:szCs w:val="24"/>
        </w:rPr>
        <w:t xml:space="preserve">ok sa v evidencii nenachádzajú. </w:t>
      </w:r>
      <w:r w:rsidRPr="00B1599D">
        <w:rPr>
          <w:rFonts w:ascii="Times New Roman" w:hAnsi="Times New Roman" w:cs="Times New Roman"/>
          <w:sz w:val="24"/>
          <w:szCs w:val="24"/>
        </w:rPr>
        <w:t>K vymáhaniu nedoplatkov dosiaľ neprišlo, dlžníci boli podľa zákona o účtovníctve vyzvaní k odsúhlaseniu zostatkov na príslušných účtoch.</w:t>
      </w:r>
    </w:p>
    <w:p w:rsidR="00ED0F3C" w:rsidRPr="00B1599D" w:rsidP="00B1599D">
      <w:pPr>
        <w:spacing w:line="240" w:lineRule="auto"/>
        <w:rPr>
          <w:rFonts w:ascii="Times New Roman" w:hAnsi="Times New Roman" w:cs="Times New Roman"/>
          <w:sz w:val="24"/>
          <w:szCs w:val="24"/>
        </w:rPr>
      </w:pPr>
    </w:p>
    <w:p w:rsidR="008229F4" w:rsidP="00B1599D">
      <w:pPr>
        <w:spacing w:line="240" w:lineRule="auto"/>
        <w:rPr>
          <w:rFonts w:ascii="Times New Roman" w:hAnsi="Times New Roman" w:cs="Times New Roman"/>
          <w:b/>
          <w:sz w:val="24"/>
          <w:szCs w:val="24"/>
        </w:rPr>
      </w:pPr>
      <w:r>
        <w:rPr>
          <w:rFonts w:ascii="Times New Roman" w:hAnsi="Times New Roman" w:cs="Times New Roman"/>
          <w:b/>
          <w:sz w:val="24"/>
          <w:szCs w:val="24"/>
        </w:rPr>
        <w:t>Pasíva</w:t>
      </w:r>
    </w:p>
    <w:p w:rsidR="008229F4" w:rsidP="00B1599D">
      <w:pPr>
        <w:spacing w:line="240" w:lineRule="auto"/>
        <w:rPr>
          <w:rFonts w:ascii="Times New Roman" w:hAnsi="Times New Roman" w:cs="Times New Roman"/>
          <w:sz w:val="24"/>
          <w:szCs w:val="24"/>
        </w:rPr>
      </w:pPr>
    </w:p>
    <w:p w:rsidR="00ED0F3C" w:rsidRPr="00EF0282" w:rsidP="00EF0282">
      <w:pPr>
        <w:spacing w:line="240" w:lineRule="auto"/>
        <w:ind w:firstLine="709"/>
        <w:rPr>
          <w:rFonts w:ascii="Times New Roman" w:hAnsi="Times New Roman" w:cs="Times New Roman"/>
          <w:b/>
          <w:sz w:val="24"/>
          <w:szCs w:val="24"/>
        </w:rPr>
      </w:pPr>
      <w:r w:rsidRPr="00B1599D" w:rsidR="00B1599D">
        <w:rPr>
          <w:rFonts w:ascii="Times New Roman" w:hAnsi="Times New Roman" w:cs="Times New Roman"/>
          <w:sz w:val="24"/>
          <w:szCs w:val="24"/>
        </w:rPr>
        <w:t>V priebehu roka, v septembri 2007, prišlo k zvýšeniu základného imania spoločnosti o 9 000 tis. Sk, preto je toto na strane pasív najvýznamnejšou položkou. Stav účtu 411 – Základné imanie</w:t>
      </w:r>
      <w:r w:rsidR="008229F4">
        <w:rPr>
          <w:rFonts w:ascii="Times New Roman" w:hAnsi="Times New Roman" w:cs="Times New Roman"/>
          <w:sz w:val="24"/>
          <w:szCs w:val="24"/>
        </w:rPr>
        <w:t xml:space="preserve"> spoločnosti je k 31.12.2007 vo výške </w:t>
      </w:r>
      <w:r w:rsidRPr="00B1599D" w:rsidR="00B1599D">
        <w:rPr>
          <w:rFonts w:ascii="Times New Roman" w:hAnsi="Times New Roman" w:cs="Times New Roman"/>
          <w:sz w:val="24"/>
          <w:szCs w:val="24"/>
        </w:rPr>
        <w:t xml:space="preserve">90 260 tis. Sk. </w:t>
      </w:r>
    </w:p>
    <w:p w:rsidR="00B1599D" w:rsidRPr="00EF0282" w:rsidP="00EF0282">
      <w:pPr>
        <w:spacing w:line="240" w:lineRule="auto"/>
        <w:ind w:firstLine="709"/>
        <w:rPr>
          <w:rFonts w:ascii="Times New Roman" w:hAnsi="Times New Roman" w:cs="Times New Roman"/>
          <w:b/>
          <w:sz w:val="24"/>
          <w:szCs w:val="24"/>
        </w:rPr>
      </w:pPr>
      <w:r w:rsidRPr="00B1599D">
        <w:rPr>
          <w:rFonts w:ascii="Times New Roman" w:hAnsi="Times New Roman" w:cs="Times New Roman"/>
          <w:sz w:val="24"/>
          <w:szCs w:val="24"/>
        </w:rPr>
        <w:t xml:space="preserve">V minulých zdaňovacích obdobiach vykázala </w:t>
      </w:r>
      <w:r w:rsidR="008614A3">
        <w:rPr>
          <w:rFonts w:ascii="Times New Roman" w:hAnsi="Times New Roman" w:cs="Times New Roman"/>
          <w:sz w:val="24"/>
          <w:szCs w:val="24"/>
        </w:rPr>
        <w:t>Letisková spoločnosť Žilina, a.</w:t>
      </w:r>
      <w:r w:rsidRPr="00B1599D">
        <w:rPr>
          <w:rFonts w:ascii="Times New Roman" w:hAnsi="Times New Roman" w:cs="Times New Roman"/>
          <w:sz w:val="24"/>
          <w:szCs w:val="24"/>
        </w:rPr>
        <w:t>s.</w:t>
      </w:r>
      <w:r w:rsidR="008614A3">
        <w:rPr>
          <w:rFonts w:ascii="Times New Roman" w:hAnsi="Times New Roman" w:cs="Times New Roman"/>
          <w:sz w:val="24"/>
          <w:szCs w:val="24"/>
        </w:rPr>
        <w:t>,</w:t>
      </w:r>
      <w:r w:rsidRPr="00B1599D">
        <w:rPr>
          <w:rFonts w:ascii="Times New Roman" w:hAnsi="Times New Roman" w:cs="Times New Roman"/>
          <w:sz w:val="24"/>
          <w:szCs w:val="24"/>
        </w:rPr>
        <w:t xml:space="preserve"> vo svojom hospodárení stratu v celkovej výške 17 881 tis. Sk. Táto strata je vedená v účtovníctve spoločnosti na účte 429 – Neuhradená strata minulých rokov. Je potrebné poznamenať, že spoločnosti sa darí hospodársky výsledok spoločnosti zlepšovať a má vyhliadky na dosiahnutie pozitívneho výsledku hospodárenia v ďalších obdobiach.</w:t>
      </w:r>
    </w:p>
    <w:p w:rsidR="008229F4" w:rsidP="008229F4">
      <w:pPr>
        <w:spacing w:line="240" w:lineRule="auto"/>
        <w:ind w:firstLine="709"/>
        <w:rPr>
          <w:rFonts w:ascii="Times New Roman" w:hAnsi="Times New Roman" w:cs="Times New Roman"/>
          <w:sz w:val="24"/>
          <w:szCs w:val="24"/>
        </w:rPr>
      </w:pPr>
      <w:r w:rsidRPr="00B1599D" w:rsidR="00B1599D">
        <w:rPr>
          <w:rFonts w:ascii="Times New Roman" w:hAnsi="Times New Roman" w:cs="Times New Roman"/>
          <w:sz w:val="24"/>
          <w:szCs w:val="24"/>
        </w:rPr>
        <w:t>Na účte 384 – Výnosy budúcich období je za rok 2007 vykázaný zostatok 12 372 958,52 Sk. V Letiskovej spoločnosti Žilin</w:t>
      </w:r>
      <w:r w:rsidR="008614A3">
        <w:rPr>
          <w:rFonts w:ascii="Times New Roman" w:hAnsi="Times New Roman" w:cs="Times New Roman"/>
          <w:sz w:val="24"/>
          <w:szCs w:val="24"/>
        </w:rPr>
        <w:t>a, a.</w:t>
      </w:r>
      <w:r w:rsidRPr="00B1599D" w:rsidR="00B1599D">
        <w:rPr>
          <w:rFonts w:ascii="Times New Roman" w:hAnsi="Times New Roman" w:cs="Times New Roman"/>
          <w:sz w:val="24"/>
          <w:szCs w:val="24"/>
        </w:rPr>
        <w:t>s.</w:t>
      </w:r>
      <w:r w:rsidR="008614A3">
        <w:rPr>
          <w:rFonts w:ascii="Times New Roman" w:hAnsi="Times New Roman" w:cs="Times New Roman"/>
          <w:sz w:val="24"/>
          <w:szCs w:val="24"/>
        </w:rPr>
        <w:t>,</w:t>
      </w:r>
      <w:r w:rsidRPr="00B1599D" w:rsidR="00B1599D">
        <w:rPr>
          <w:rFonts w:ascii="Times New Roman" w:hAnsi="Times New Roman" w:cs="Times New Roman"/>
          <w:sz w:val="24"/>
          <w:szCs w:val="24"/>
        </w:rPr>
        <w:t xml:space="preserve"> sa na tomto účte zachytáva pohyb dotácií poskytovaných štátom i pohyb príspevkov v</w:t>
      </w:r>
      <w:r>
        <w:rPr>
          <w:rFonts w:ascii="Times New Roman" w:hAnsi="Times New Roman" w:cs="Times New Roman"/>
          <w:sz w:val="24"/>
          <w:szCs w:val="24"/>
        </w:rPr>
        <w:t>yplácaných z európskych fondov.</w:t>
      </w:r>
    </w:p>
    <w:p w:rsidR="00BB2B26" w:rsidRPr="00B1599D" w:rsidP="00B1599D">
      <w:pPr>
        <w:spacing w:line="240" w:lineRule="auto"/>
        <w:rPr>
          <w:rFonts w:ascii="Times New Roman" w:hAnsi="Times New Roman" w:cs="Times New Roman"/>
          <w:sz w:val="24"/>
          <w:szCs w:val="24"/>
        </w:rPr>
      </w:pPr>
    </w:p>
    <w:p w:rsidR="00611F39" w:rsidRPr="00B97FAA" w:rsidP="00611F39">
      <w:pPr>
        <w:spacing w:line="240" w:lineRule="auto"/>
        <w:outlineLvl w:val="0"/>
        <w:rPr>
          <w:rFonts w:ascii="Times New Roman" w:hAnsi="Times New Roman" w:cs="Times New Roman"/>
          <w:b/>
          <w:bCs/>
          <w:sz w:val="28"/>
          <w:szCs w:val="28"/>
        </w:rPr>
      </w:pPr>
      <w:r>
        <w:rPr>
          <w:rFonts w:ascii="Times New Roman" w:hAnsi="Times New Roman" w:cs="Times New Roman"/>
          <w:b/>
          <w:bCs/>
          <w:sz w:val="28"/>
          <w:szCs w:val="28"/>
        </w:rPr>
        <w:t>G</w:t>
      </w:r>
      <w:r w:rsidRPr="00B97FAA">
        <w:rPr>
          <w:rFonts w:ascii="Times New Roman" w:hAnsi="Times New Roman" w:cs="Times New Roman"/>
          <w:b/>
          <w:bCs/>
          <w:sz w:val="28"/>
          <w:szCs w:val="28"/>
        </w:rPr>
        <w:t>:</w:t>
      </w:r>
      <w:r w:rsidRPr="00B97FAA">
        <w:rPr>
          <w:rFonts w:ascii="Times New Roman" w:hAnsi="Times New Roman" w:cs="Times New Roman"/>
          <w:b/>
          <w:sz w:val="28"/>
          <w:szCs w:val="28"/>
        </w:rPr>
        <w:t xml:space="preserve"> Zhodnoteni</w:t>
      </w:r>
      <w:r>
        <w:rPr>
          <w:rFonts w:ascii="Times New Roman" w:hAnsi="Times New Roman" w:cs="Times New Roman"/>
          <w:b/>
          <w:sz w:val="28"/>
          <w:szCs w:val="28"/>
        </w:rPr>
        <w:t>e finančno – majetkovej pozície Letiska Košice, a.s.</w:t>
      </w:r>
    </w:p>
    <w:p w:rsidR="00B1599D" w:rsidRPr="00B1599D" w:rsidP="00B1599D">
      <w:pPr>
        <w:spacing w:line="240" w:lineRule="auto"/>
        <w:rPr>
          <w:rFonts w:ascii="Times New Roman" w:hAnsi="Times New Roman" w:cs="Times New Roman"/>
          <w:sz w:val="24"/>
          <w:szCs w:val="24"/>
        </w:rPr>
      </w:pPr>
    </w:p>
    <w:p w:rsidR="00B1599D" w:rsidRPr="00B1599D" w:rsidP="00611F39">
      <w:pPr>
        <w:spacing w:line="240" w:lineRule="auto"/>
        <w:ind w:firstLine="709"/>
        <w:rPr>
          <w:rFonts w:ascii="Times New Roman" w:hAnsi="Times New Roman" w:cs="Times New Roman"/>
          <w:sz w:val="24"/>
          <w:szCs w:val="24"/>
        </w:rPr>
      </w:pPr>
      <w:r w:rsidR="00611F39">
        <w:rPr>
          <w:rFonts w:ascii="Times New Roman" w:hAnsi="Times New Roman" w:cs="Times New Roman"/>
          <w:sz w:val="24"/>
          <w:szCs w:val="24"/>
        </w:rPr>
        <w:t xml:space="preserve">Údaje </w:t>
      </w:r>
      <w:r w:rsidRPr="00B1599D">
        <w:rPr>
          <w:rFonts w:ascii="Times New Roman" w:hAnsi="Times New Roman" w:cs="Times New Roman"/>
          <w:sz w:val="24"/>
          <w:szCs w:val="24"/>
        </w:rPr>
        <w:t>spoločnosti sú spracované z predbežných a neauditovaných</w:t>
      </w:r>
      <w:r w:rsidR="004E590E">
        <w:rPr>
          <w:rFonts w:ascii="Times New Roman" w:hAnsi="Times New Roman" w:cs="Times New Roman"/>
          <w:sz w:val="24"/>
          <w:szCs w:val="24"/>
        </w:rPr>
        <w:t xml:space="preserve"> podkladov</w:t>
      </w:r>
      <w:r w:rsidRPr="00B1599D">
        <w:rPr>
          <w:rFonts w:ascii="Times New Roman" w:hAnsi="Times New Roman" w:cs="Times New Roman"/>
          <w:sz w:val="24"/>
          <w:szCs w:val="24"/>
        </w:rPr>
        <w:t>.</w:t>
      </w:r>
    </w:p>
    <w:p w:rsidR="00BB2B26" w:rsidRPr="00B1599D" w:rsidP="00B1599D">
      <w:pPr>
        <w:spacing w:line="240" w:lineRule="auto"/>
        <w:rPr>
          <w:rFonts w:ascii="Times New Roman" w:hAnsi="Times New Roman" w:cs="Times New Roman"/>
          <w:b/>
          <w:sz w:val="24"/>
          <w:szCs w:val="24"/>
        </w:rPr>
      </w:pPr>
    </w:p>
    <w:p w:rsidR="00B1599D" w:rsidP="00611F39">
      <w:pPr>
        <w:spacing w:line="240" w:lineRule="auto"/>
        <w:jc w:val="center"/>
        <w:rPr>
          <w:rFonts w:ascii="Times New Roman" w:hAnsi="Times New Roman" w:cs="Times New Roman"/>
          <w:b/>
          <w:sz w:val="24"/>
          <w:szCs w:val="24"/>
        </w:rPr>
      </w:pPr>
      <w:r w:rsidRPr="00B1599D">
        <w:rPr>
          <w:rFonts w:ascii="Times New Roman" w:hAnsi="Times New Roman" w:cs="Times New Roman"/>
          <w:b/>
          <w:sz w:val="24"/>
          <w:szCs w:val="24"/>
        </w:rPr>
        <w:t>Predbežná súvaha spoločnosti k 31.12.2007</w:t>
      </w:r>
    </w:p>
    <w:p w:rsidR="005360FA" w:rsidRPr="000A4072" w:rsidP="00611F39">
      <w:pPr>
        <w:spacing w:line="240" w:lineRule="auto"/>
        <w:jc w:val="center"/>
        <w:rPr>
          <w:rFonts w:ascii="Arial Narrow" w:hAnsi="Arial Narrow" w:cs="Times New Roman"/>
        </w:rPr>
      </w:pPr>
      <w:r w:rsidR="000A4072">
        <w:rPr>
          <w:rFonts w:ascii="Times New Roman" w:hAnsi="Times New Roman" w:cs="Times New Roman"/>
          <w:b/>
          <w:sz w:val="24"/>
          <w:szCs w:val="24"/>
        </w:rPr>
        <w:t xml:space="preserve">                                                                                                                                            </w:t>
      </w:r>
      <w:r w:rsidRPr="000A4072" w:rsidR="000A4072">
        <w:rPr>
          <w:rFonts w:ascii="Arial Narrow" w:hAnsi="Arial Narrow" w:cs="Times New Roman"/>
        </w:rPr>
        <w:t>(v tis. sk)</w:t>
      </w:r>
    </w:p>
    <w:tbl>
      <w:tblPr>
        <w:tblW w:w="8580" w:type="dxa"/>
        <w:tblInd w:w="6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Pr>
      <w:tblGrid>
        <w:gridCol w:w="5560"/>
        <w:gridCol w:w="1460"/>
        <w:gridCol w:w="1560"/>
      </w:tblGrid>
      <w:tr>
        <w:tblPrEx>
          <w:tblW w:w="8580" w:type="dxa"/>
          <w:tblInd w:w="6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PrEx>
        <w:trPr>
          <w:trHeight w:val="255"/>
        </w:trPr>
        <w:tc>
          <w:tcPr>
            <w:tcW w:w="5560" w:type="dxa"/>
            <w:tcBorders>
              <w:top w:val="single" w:sz="8" w:space="0" w:color="auto"/>
              <w:left w:val="single" w:sz="8" w:space="0" w:color="auto"/>
              <w:bottom w:val="single" w:sz="8" w:space="0" w:color="auto"/>
              <w:right w:val="single" w:sz="8" w:space="0" w:color="auto"/>
              <w:tl2br w:val="nil"/>
              <w:tr2bl w:val="nil"/>
            </w:tcBorders>
            <w:shd w:val="clear" w:color="auto" w:fill="999999"/>
            <w:noWrap/>
            <w:textDirection w:val="lrTb"/>
            <w:vAlign w:val="center"/>
          </w:tcPr>
          <w:p w:rsidR="00B1599D" w:rsidRPr="005360FA" w:rsidP="005360FA">
            <w:pPr>
              <w:spacing w:line="240" w:lineRule="auto"/>
              <w:jc w:val="center"/>
              <w:rPr>
                <w:rFonts w:ascii="Arial Narrow" w:hAnsi="Arial Narrow" w:cs="Times New Roman"/>
                <w:b/>
                <w:bCs/>
              </w:rPr>
            </w:pPr>
          </w:p>
        </w:tc>
        <w:tc>
          <w:tcPr>
            <w:tcW w:w="1460" w:type="dxa"/>
            <w:tcBorders>
              <w:top w:val="single" w:sz="8" w:space="0" w:color="auto"/>
              <w:left w:val="single" w:sz="8" w:space="0" w:color="auto"/>
              <w:bottom w:val="single" w:sz="8" w:space="0" w:color="auto"/>
              <w:right w:val="single" w:sz="8" w:space="0" w:color="auto"/>
              <w:tl2br w:val="nil"/>
              <w:tr2bl w:val="nil"/>
            </w:tcBorders>
            <w:shd w:val="clear" w:color="auto" w:fill="999999"/>
            <w:noWrap/>
            <w:textDirection w:val="lrTb"/>
            <w:vAlign w:val="center"/>
          </w:tcPr>
          <w:p w:rsidR="00B1599D" w:rsidRPr="005360FA" w:rsidP="005360FA">
            <w:pPr>
              <w:spacing w:line="240" w:lineRule="auto"/>
              <w:jc w:val="center"/>
              <w:rPr>
                <w:rFonts w:ascii="Arial Narrow" w:hAnsi="Arial Narrow" w:cs="Times New Roman"/>
                <w:b/>
                <w:bCs/>
              </w:rPr>
            </w:pPr>
            <w:r w:rsidRPr="005360FA">
              <w:rPr>
                <w:rFonts w:ascii="Arial Narrow" w:hAnsi="Arial Narrow" w:cs="Times New Roman"/>
                <w:b/>
                <w:bCs/>
              </w:rPr>
              <w:t>Bežné obdobie</w:t>
            </w:r>
            <w:r w:rsidRPr="005360FA" w:rsidR="005360FA">
              <w:rPr>
                <w:rFonts w:ascii="Arial Narrow" w:hAnsi="Arial Narrow" w:cs="Times New Roman"/>
                <w:b/>
                <w:bCs/>
              </w:rPr>
              <w:t xml:space="preserve"> (Netto)</w:t>
            </w:r>
          </w:p>
        </w:tc>
        <w:tc>
          <w:tcPr>
            <w:tcW w:w="1560" w:type="dxa"/>
            <w:tcBorders>
              <w:top w:val="single" w:sz="8" w:space="0" w:color="auto"/>
              <w:left w:val="single" w:sz="8" w:space="0" w:color="auto"/>
              <w:bottom w:val="single" w:sz="8" w:space="0" w:color="auto"/>
              <w:right w:val="single" w:sz="8" w:space="0" w:color="auto"/>
              <w:tl2br w:val="nil"/>
              <w:tr2bl w:val="nil"/>
            </w:tcBorders>
            <w:shd w:val="clear" w:color="auto" w:fill="999999"/>
            <w:noWrap/>
            <w:textDirection w:val="lrTb"/>
            <w:vAlign w:val="center"/>
          </w:tcPr>
          <w:p w:rsidR="00B1599D" w:rsidRPr="005360FA" w:rsidP="005360FA">
            <w:pPr>
              <w:spacing w:line="240" w:lineRule="auto"/>
              <w:jc w:val="center"/>
              <w:rPr>
                <w:rFonts w:ascii="Arial Narrow" w:hAnsi="Arial Narrow" w:cs="Times New Roman"/>
                <w:b/>
                <w:bCs/>
              </w:rPr>
            </w:pPr>
            <w:r w:rsidRPr="005360FA">
              <w:rPr>
                <w:rFonts w:ascii="Arial Narrow" w:hAnsi="Arial Narrow" w:cs="Times New Roman"/>
                <w:b/>
                <w:bCs/>
              </w:rPr>
              <w:t>Predch. obdobie</w:t>
            </w:r>
            <w:r w:rsidRPr="005360FA" w:rsidR="005360FA">
              <w:rPr>
                <w:rFonts w:ascii="Arial Narrow" w:hAnsi="Arial Narrow" w:cs="Times New Roman"/>
                <w:b/>
                <w:bCs/>
              </w:rPr>
              <w:t xml:space="preserve"> (Netto)</w:t>
            </w:r>
          </w:p>
        </w:tc>
      </w:tr>
      <w:tr>
        <w:tblPrEx>
          <w:tblW w:w="8580" w:type="dxa"/>
          <w:tblInd w:w="610" w:type="dxa"/>
          <w:tblCellMar>
            <w:left w:w="70" w:type="dxa"/>
            <w:right w:w="70" w:type="dxa"/>
          </w:tblCellMar>
        </w:tblPrEx>
        <w:trPr>
          <w:trHeight w:hRule="exact" w:val="227"/>
        </w:trPr>
        <w:tc>
          <w:tcPr>
            <w:tcW w:w="5560" w:type="dxa"/>
            <w:tcBorders>
              <w:top w:val="single" w:sz="8" w:space="0" w:color="auto"/>
              <w:left w:val="single" w:sz="8" w:space="0" w:color="auto"/>
              <w:bottom w:val="single" w:sz="8" w:space="0" w:color="auto"/>
              <w:right w:val="single" w:sz="8" w:space="0" w:color="auto"/>
              <w:tl2br w:val="nil"/>
              <w:tr2bl w:val="nil"/>
            </w:tcBorders>
            <w:shd w:val="clear" w:color="auto" w:fill="C0C0C0"/>
            <w:noWrap/>
            <w:textDirection w:val="lrTb"/>
            <w:vAlign w:val="center"/>
          </w:tcPr>
          <w:p w:rsidR="00B1599D" w:rsidRPr="005360FA" w:rsidP="005360FA">
            <w:pPr>
              <w:spacing w:line="240" w:lineRule="auto"/>
              <w:jc w:val="left"/>
              <w:rPr>
                <w:rFonts w:ascii="Arial Narrow" w:hAnsi="Arial Narrow" w:cs="Times New Roman"/>
              </w:rPr>
            </w:pPr>
            <w:r w:rsidRPr="005360FA" w:rsidR="005360FA">
              <w:rPr>
                <w:rFonts w:ascii="Arial Narrow" w:hAnsi="Arial Narrow" w:cs="Times New Roman"/>
              </w:rPr>
              <w:t xml:space="preserve">AKTÍVA - </w:t>
            </w:r>
            <w:r w:rsidRPr="005360FA">
              <w:rPr>
                <w:rFonts w:ascii="Arial Narrow" w:hAnsi="Arial Narrow" w:cs="Times New Roman"/>
              </w:rPr>
              <w:t xml:space="preserve">SPOLU MAJETOK </w:t>
            </w:r>
          </w:p>
        </w:tc>
        <w:tc>
          <w:tcPr>
            <w:tcW w:w="1460" w:type="dxa"/>
            <w:tcBorders>
              <w:top w:val="single" w:sz="8" w:space="0" w:color="auto"/>
              <w:left w:val="single" w:sz="8" w:space="0" w:color="auto"/>
              <w:bottom w:val="single" w:sz="8" w:space="0" w:color="auto"/>
              <w:right w:val="single" w:sz="8" w:space="0" w:color="auto"/>
              <w:tl2br w:val="nil"/>
              <w:tr2bl w:val="nil"/>
            </w:tcBorders>
            <w:shd w:val="clear" w:color="auto" w:fill="C0C0C0"/>
            <w:noWrap/>
            <w:textDirection w:val="lrTb"/>
            <w:vAlign w:val="center"/>
          </w:tcPr>
          <w:p w:rsidR="00B1599D" w:rsidRPr="005360FA" w:rsidP="005360FA">
            <w:pPr>
              <w:spacing w:line="240" w:lineRule="auto"/>
              <w:jc w:val="right"/>
              <w:rPr>
                <w:rFonts w:ascii="Arial Narrow" w:hAnsi="Arial Narrow" w:cs="Times New Roman"/>
              </w:rPr>
            </w:pPr>
            <w:r w:rsidR="00D206BB">
              <w:rPr>
                <w:rFonts w:ascii="Arial Narrow" w:hAnsi="Arial Narrow" w:cs="Times New Roman"/>
              </w:rPr>
              <w:t>2 073 716,0</w:t>
            </w:r>
            <w:r w:rsidRPr="005360FA">
              <w:rPr>
                <w:rFonts w:ascii="Arial Narrow" w:hAnsi="Arial Narrow" w:cs="Times New Roman"/>
              </w:rPr>
              <w:t>0</w:t>
            </w:r>
          </w:p>
        </w:tc>
        <w:tc>
          <w:tcPr>
            <w:tcW w:w="1560" w:type="dxa"/>
            <w:tcBorders>
              <w:top w:val="single" w:sz="8" w:space="0" w:color="auto"/>
              <w:left w:val="single" w:sz="8" w:space="0" w:color="auto"/>
              <w:bottom w:val="single" w:sz="8" w:space="0" w:color="auto"/>
              <w:right w:val="single" w:sz="8" w:space="0" w:color="auto"/>
              <w:tl2br w:val="nil"/>
              <w:tr2bl w:val="nil"/>
            </w:tcBorders>
            <w:shd w:val="clear" w:color="auto" w:fill="C0C0C0"/>
            <w:noWrap/>
            <w:textDirection w:val="lrTb"/>
            <w:vAlign w:val="center"/>
          </w:tcPr>
          <w:p w:rsidR="00B1599D" w:rsidRPr="005360FA" w:rsidP="005360FA">
            <w:pPr>
              <w:spacing w:line="240" w:lineRule="auto"/>
              <w:jc w:val="right"/>
              <w:rPr>
                <w:rFonts w:ascii="Arial Narrow" w:hAnsi="Arial Narrow" w:cs="Times New Roman"/>
              </w:rPr>
            </w:pPr>
            <w:r w:rsidRPr="005360FA">
              <w:rPr>
                <w:rFonts w:ascii="Arial Narrow" w:hAnsi="Arial Narrow" w:cs="Times New Roman"/>
              </w:rPr>
              <w:t>2 022 801,00</w:t>
            </w:r>
          </w:p>
        </w:tc>
      </w:tr>
      <w:tr>
        <w:tblPrEx>
          <w:tblW w:w="8580" w:type="dxa"/>
          <w:tblInd w:w="610" w:type="dxa"/>
          <w:tblCellMar>
            <w:left w:w="70" w:type="dxa"/>
            <w:right w:w="70" w:type="dxa"/>
          </w:tblCellMar>
        </w:tblPrEx>
        <w:trPr>
          <w:trHeight w:hRule="exact" w:val="227"/>
        </w:trPr>
        <w:tc>
          <w:tcPr>
            <w:tcW w:w="5560" w:type="dxa"/>
            <w:tcBorders>
              <w:top w:val="single" w:sz="8" w:space="0" w:color="auto"/>
              <w:left w:val="single" w:sz="8" w:space="0" w:color="auto"/>
              <w:bottom w:val="single" w:sz="8" w:space="0" w:color="auto"/>
              <w:right w:val="single" w:sz="8" w:space="0" w:color="auto"/>
              <w:tl2br w:val="nil"/>
              <w:tr2bl w:val="nil"/>
            </w:tcBorders>
            <w:noWrap/>
            <w:textDirection w:val="lrTb"/>
            <w:vAlign w:val="center"/>
          </w:tcPr>
          <w:p w:rsidR="00B1599D" w:rsidRPr="005360FA" w:rsidP="005360FA">
            <w:pPr>
              <w:spacing w:line="240" w:lineRule="auto"/>
              <w:jc w:val="left"/>
              <w:rPr>
                <w:rFonts w:ascii="Arial Narrow" w:hAnsi="Arial Narrow" w:cs="Times New Roman"/>
              </w:rPr>
            </w:pPr>
            <w:r w:rsidRPr="005360FA">
              <w:rPr>
                <w:rFonts w:ascii="Arial Narrow" w:hAnsi="Arial Narrow" w:cs="Times New Roman"/>
              </w:rPr>
              <w:t>Pohľadávky za upísané vlastné imanie</w:t>
            </w:r>
          </w:p>
        </w:tc>
        <w:tc>
          <w:tcPr>
            <w:tcW w:w="1460" w:type="dxa"/>
            <w:tcBorders>
              <w:top w:val="single" w:sz="8" w:space="0" w:color="auto"/>
              <w:left w:val="single" w:sz="8" w:space="0" w:color="auto"/>
              <w:bottom w:val="single" w:sz="8" w:space="0" w:color="auto"/>
              <w:right w:val="single" w:sz="8" w:space="0" w:color="auto"/>
              <w:tl2br w:val="nil"/>
              <w:tr2bl w:val="nil"/>
            </w:tcBorders>
            <w:noWrap/>
            <w:textDirection w:val="lrTb"/>
            <w:vAlign w:val="center"/>
          </w:tcPr>
          <w:p w:rsidR="00B1599D" w:rsidRPr="005360FA" w:rsidP="005360FA">
            <w:pPr>
              <w:spacing w:line="240" w:lineRule="auto"/>
              <w:jc w:val="right"/>
              <w:rPr>
                <w:rFonts w:ascii="Arial Narrow" w:hAnsi="Arial Narrow" w:cs="Times New Roman"/>
              </w:rPr>
            </w:pPr>
            <w:r w:rsidRPr="005360FA">
              <w:rPr>
                <w:rFonts w:ascii="Arial Narrow" w:hAnsi="Arial Narrow" w:cs="Times New Roman"/>
              </w:rPr>
              <w:t>0,00</w:t>
            </w:r>
          </w:p>
        </w:tc>
        <w:tc>
          <w:tcPr>
            <w:tcW w:w="1560" w:type="dxa"/>
            <w:tcBorders>
              <w:top w:val="single" w:sz="8" w:space="0" w:color="auto"/>
              <w:left w:val="single" w:sz="8" w:space="0" w:color="auto"/>
              <w:bottom w:val="single" w:sz="8" w:space="0" w:color="auto"/>
              <w:right w:val="single" w:sz="8" w:space="0" w:color="auto"/>
              <w:tl2br w:val="nil"/>
              <w:tr2bl w:val="nil"/>
            </w:tcBorders>
            <w:noWrap/>
            <w:textDirection w:val="lrTb"/>
            <w:vAlign w:val="center"/>
          </w:tcPr>
          <w:p w:rsidR="00B1599D" w:rsidRPr="005360FA" w:rsidP="005360FA">
            <w:pPr>
              <w:spacing w:line="240" w:lineRule="auto"/>
              <w:jc w:val="right"/>
              <w:rPr>
                <w:rFonts w:ascii="Arial Narrow" w:hAnsi="Arial Narrow" w:cs="Times New Roman"/>
              </w:rPr>
            </w:pPr>
            <w:r w:rsidRPr="005360FA">
              <w:rPr>
                <w:rFonts w:ascii="Arial Narrow" w:hAnsi="Arial Narrow" w:cs="Times New Roman"/>
              </w:rPr>
              <w:t>0,00</w:t>
            </w:r>
          </w:p>
        </w:tc>
      </w:tr>
      <w:tr>
        <w:tblPrEx>
          <w:tblW w:w="8580" w:type="dxa"/>
          <w:tblInd w:w="610" w:type="dxa"/>
          <w:tblCellMar>
            <w:left w:w="70" w:type="dxa"/>
            <w:right w:w="70" w:type="dxa"/>
          </w:tblCellMar>
        </w:tblPrEx>
        <w:trPr>
          <w:trHeight w:hRule="exact" w:val="227"/>
        </w:trPr>
        <w:tc>
          <w:tcPr>
            <w:tcW w:w="5560" w:type="dxa"/>
            <w:tcBorders>
              <w:top w:val="single" w:sz="8" w:space="0" w:color="auto"/>
              <w:left w:val="single" w:sz="8" w:space="0" w:color="auto"/>
              <w:bottom w:val="single" w:sz="8" w:space="0" w:color="auto"/>
              <w:right w:val="single" w:sz="8" w:space="0" w:color="auto"/>
              <w:tl2br w:val="nil"/>
              <w:tr2bl w:val="nil"/>
            </w:tcBorders>
            <w:noWrap/>
            <w:textDirection w:val="lrTb"/>
            <w:vAlign w:val="center"/>
          </w:tcPr>
          <w:p w:rsidR="00B1599D" w:rsidRPr="005360FA" w:rsidP="005360FA">
            <w:pPr>
              <w:spacing w:line="240" w:lineRule="auto"/>
              <w:jc w:val="left"/>
              <w:rPr>
                <w:rFonts w:ascii="Arial Narrow" w:hAnsi="Arial Narrow" w:cs="Times New Roman"/>
              </w:rPr>
            </w:pPr>
            <w:r w:rsidRPr="005360FA">
              <w:rPr>
                <w:rFonts w:ascii="Arial Narrow" w:hAnsi="Arial Narrow" w:cs="Times New Roman"/>
              </w:rPr>
              <w:t>Neobežný majetok</w:t>
            </w:r>
          </w:p>
        </w:tc>
        <w:tc>
          <w:tcPr>
            <w:tcW w:w="1460" w:type="dxa"/>
            <w:tcBorders>
              <w:top w:val="single" w:sz="8" w:space="0" w:color="auto"/>
              <w:left w:val="single" w:sz="8" w:space="0" w:color="auto"/>
              <w:bottom w:val="single" w:sz="8" w:space="0" w:color="auto"/>
              <w:right w:val="single" w:sz="8" w:space="0" w:color="auto"/>
              <w:tl2br w:val="nil"/>
              <w:tr2bl w:val="nil"/>
            </w:tcBorders>
            <w:noWrap/>
            <w:textDirection w:val="lrTb"/>
            <w:vAlign w:val="center"/>
          </w:tcPr>
          <w:p w:rsidR="00B1599D" w:rsidRPr="005360FA" w:rsidP="005360FA">
            <w:pPr>
              <w:spacing w:line="240" w:lineRule="auto"/>
              <w:jc w:val="right"/>
              <w:rPr>
                <w:rFonts w:ascii="Arial Narrow" w:hAnsi="Arial Narrow" w:cs="Times New Roman"/>
              </w:rPr>
            </w:pPr>
            <w:r w:rsidRPr="005360FA">
              <w:rPr>
                <w:rFonts w:ascii="Arial Narrow" w:hAnsi="Arial Narrow" w:cs="Times New Roman"/>
              </w:rPr>
              <w:t>1 678 555,29</w:t>
            </w:r>
          </w:p>
        </w:tc>
        <w:tc>
          <w:tcPr>
            <w:tcW w:w="1560" w:type="dxa"/>
            <w:tcBorders>
              <w:top w:val="single" w:sz="8" w:space="0" w:color="auto"/>
              <w:left w:val="single" w:sz="8" w:space="0" w:color="auto"/>
              <w:bottom w:val="single" w:sz="8" w:space="0" w:color="auto"/>
              <w:right w:val="single" w:sz="8" w:space="0" w:color="auto"/>
              <w:tl2br w:val="nil"/>
              <w:tr2bl w:val="nil"/>
            </w:tcBorders>
            <w:noWrap/>
            <w:textDirection w:val="lrTb"/>
            <w:vAlign w:val="center"/>
          </w:tcPr>
          <w:p w:rsidR="00B1599D" w:rsidRPr="005360FA" w:rsidP="005360FA">
            <w:pPr>
              <w:spacing w:line="240" w:lineRule="auto"/>
              <w:jc w:val="right"/>
              <w:rPr>
                <w:rFonts w:ascii="Arial Narrow" w:hAnsi="Arial Narrow" w:cs="Times New Roman"/>
              </w:rPr>
            </w:pPr>
            <w:r w:rsidRPr="005360FA">
              <w:rPr>
                <w:rFonts w:ascii="Arial Narrow" w:hAnsi="Arial Narrow" w:cs="Times New Roman"/>
              </w:rPr>
              <w:t>1 565 794,00</w:t>
            </w:r>
          </w:p>
        </w:tc>
      </w:tr>
      <w:tr>
        <w:tblPrEx>
          <w:tblW w:w="8580" w:type="dxa"/>
          <w:tblInd w:w="610" w:type="dxa"/>
          <w:tblCellMar>
            <w:left w:w="70" w:type="dxa"/>
            <w:right w:w="70" w:type="dxa"/>
          </w:tblCellMar>
        </w:tblPrEx>
        <w:trPr>
          <w:trHeight w:hRule="exact" w:val="227"/>
        </w:trPr>
        <w:tc>
          <w:tcPr>
            <w:tcW w:w="5560" w:type="dxa"/>
            <w:tcBorders>
              <w:top w:val="single" w:sz="8" w:space="0" w:color="auto"/>
              <w:left w:val="single" w:sz="8" w:space="0" w:color="auto"/>
              <w:bottom w:val="single" w:sz="8" w:space="0" w:color="auto"/>
              <w:right w:val="single" w:sz="8" w:space="0" w:color="auto"/>
              <w:tl2br w:val="nil"/>
              <w:tr2bl w:val="nil"/>
            </w:tcBorders>
            <w:noWrap/>
            <w:textDirection w:val="lrTb"/>
            <w:vAlign w:val="center"/>
          </w:tcPr>
          <w:p w:rsidR="00B1599D" w:rsidRPr="005360FA" w:rsidP="005360FA">
            <w:pPr>
              <w:spacing w:line="240" w:lineRule="auto"/>
              <w:jc w:val="left"/>
              <w:rPr>
                <w:rFonts w:ascii="Arial Narrow" w:hAnsi="Arial Narrow" w:cs="Times New Roman"/>
              </w:rPr>
            </w:pPr>
            <w:r w:rsidRPr="005360FA">
              <w:rPr>
                <w:rFonts w:ascii="Arial Narrow" w:hAnsi="Arial Narrow" w:cs="Times New Roman"/>
              </w:rPr>
              <w:t xml:space="preserve">Dlhodobý nehmotný majetok súčet </w:t>
            </w:r>
          </w:p>
        </w:tc>
        <w:tc>
          <w:tcPr>
            <w:tcW w:w="1460" w:type="dxa"/>
            <w:tcBorders>
              <w:top w:val="single" w:sz="8" w:space="0" w:color="auto"/>
              <w:left w:val="single" w:sz="8" w:space="0" w:color="auto"/>
              <w:bottom w:val="single" w:sz="8" w:space="0" w:color="auto"/>
              <w:right w:val="single" w:sz="8" w:space="0" w:color="auto"/>
              <w:tl2br w:val="nil"/>
              <w:tr2bl w:val="nil"/>
            </w:tcBorders>
            <w:noWrap/>
            <w:textDirection w:val="lrTb"/>
            <w:vAlign w:val="center"/>
          </w:tcPr>
          <w:p w:rsidR="00B1599D" w:rsidRPr="005360FA" w:rsidP="005360FA">
            <w:pPr>
              <w:spacing w:line="240" w:lineRule="auto"/>
              <w:jc w:val="right"/>
              <w:rPr>
                <w:rFonts w:ascii="Arial Narrow" w:hAnsi="Arial Narrow" w:cs="Times New Roman"/>
              </w:rPr>
            </w:pPr>
            <w:r w:rsidRPr="005360FA">
              <w:rPr>
                <w:rFonts w:ascii="Arial Narrow" w:hAnsi="Arial Narrow" w:cs="Times New Roman"/>
              </w:rPr>
              <w:t>918,21</w:t>
            </w:r>
          </w:p>
        </w:tc>
        <w:tc>
          <w:tcPr>
            <w:tcW w:w="1560" w:type="dxa"/>
            <w:tcBorders>
              <w:top w:val="single" w:sz="8" w:space="0" w:color="auto"/>
              <w:left w:val="single" w:sz="8" w:space="0" w:color="auto"/>
              <w:bottom w:val="single" w:sz="8" w:space="0" w:color="auto"/>
              <w:right w:val="single" w:sz="8" w:space="0" w:color="auto"/>
              <w:tl2br w:val="nil"/>
              <w:tr2bl w:val="nil"/>
            </w:tcBorders>
            <w:noWrap/>
            <w:textDirection w:val="lrTb"/>
            <w:vAlign w:val="center"/>
          </w:tcPr>
          <w:p w:rsidR="00B1599D" w:rsidRPr="005360FA" w:rsidP="005360FA">
            <w:pPr>
              <w:spacing w:line="240" w:lineRule="auto"/>
              <w:jc w:val="right"/>
              <w:rPr>
                <w:rFonts w:ascii="Arial Narrow" w:hAnsi="Arial Narrow" w:cs="Times New Roman"/>
              </w:rPr>
            </w:pPr>
            <w:r w:rsidRPr="005360FA">
              <w:rPr>
                <w:rFonts w:ascii="Arial Narrow" w:hAnsi="Arial Narrow" w:cs="Times New Roman"/>
              </w:rPr>
              <w:t>675,00</w:t>
            </w:r>
          </w:p>
        </w:tc>
      </w:tr>
      <w:tr>
        <w:tblPrEx>
          <w:tblW w:w="8580" w:type="dxa"/>
          <w:tblInd w:w="610" w:type="dxa"/>
          <w:tblCellMar>
            <w:left w:w="70" w:type="dxa"/>
            <w:right w:w="70" w:type="dxa"/>
          </w:tblCellMar>
        </w:tblPrEx>
        <w:trPr>
          <w:trHeight w:hRule="exact" w:val="227"/>
        </w:trPr>
        <w:tc>
          <w:tcPr>
            <w:tcW w:w="5560" w:type="dxa"/>
            <w:tcBorders>
              <w:top w:val="single" w:sz="8" w:space="0" w:color="auto"/>
              <w:left w:val="single" w:sz="8" w:space="0" w:color="auto"/>
              <w:bottom w:val="single" w:sz="8" w:space="0" w:color="auto"/>
              <w:right w:val="single" w:sz="8" w:space="0" w:color="auto"/>
              <w:tl2br w:val="nil"/>
              <w:tr2bl w:val="nil"/>
            </w:tcBorders>
            <w:noWrap/>
            <w:textDirection w:val="lrTb"/>
            <w:vAlign w:val="center"/>
          </w:tcPr>
          <w:p w:rsidR="00B1599D" w:rsidRPr="005360FA" w:rsidP="005360FA">
            <w:pPr>
              <w:spacing w:line="240" w:lineRule="auto"/>
              <w:jc w:val="left"/>
              <w:rPr>
                <w:rFonts w:ascii="Arial Narrow" w:hAnsi="Arial Narrow" w:cs="Times New Roman"/>
              </w:rPr>
            </w:pPr>
            <w:r w:rsidRPr="005360FA">
              <w:rPr>
                <w:rFonts w:ascii="Arial Narrow" w:hAnsi="Arial Narrow" w:cs="Times New Roman"/>
              </w:rPr>
              <w:t xml:space="preserve">Softvér </w:t>
            </w:r>
          </w:p>
        </w:tc>
        <w:tc>
          <w:tcPr>
            <w:tcW w:w="1460" w:type="dxa"/>
            <w:tcBorders>
              <w:top w:val="single" w:sz="8" w:space="0" w:color="auto"/>
              <w:left w:val="single" w:sz="8" w:space="0" w:color="auto"/>
              <w:bottom w:val="single" w:sz="8" w:space="0" w:color="auto"/>
              <w:right w:val="single" w:sz="8" w:space="0" w:color="auto"/>
              <w:tl2br w:val="nil"/>
              <w:tr2bl w:val="nil"/>
            </w:tcBorders>
            <w:noWrap/>
            <w:textDirection w:val="lrTb"/>
            <w:vAlign w:val="center"/>
          </w:tcPr>
          <w:p w:rsidR="00B1599D" w:rsidRPr="005360FA" w:rsidP="005360FA">
            <w:pPr>
              <w:spacing w:line="240" w:lineRule="auto"/>
              <w:jc w:val="right"/>
              <w:rPr>
                <w:rFonts w:ascii="Arial Narrow" w:hAnsi="Arial Narrow" w:cs="Times New Roman"/>
              </w:rPr>
            </w:pPr>
            <w:r w:rsidRPr="005360FA">
              <w:rPr>
                <w:rFonts w:ascii="Arial Narrow" w:hAnsi="Arial Narrow" w:cs="Times New Roman"/>
              </w:rPr>
              <w:t>918,21</w:t>
            </w:r>
          </w:p>
        </w:tc>
        <w:tc>
          <w:tcPr>
            <w:tcW w:w="1560" w:type="dxa"/>
            <w:tcBorders>
              <w:top w:val="single" w:sz="8" w:space="0" w:color="auto"/>
              <w:left w:val="single" w:sz="8" w:space="0" w:color="auto"/>
              <w:bottom w:val="single" w:sz="8" w:space="0" w:color="auto"/>
              <w:right w:val="single" w:sz="8" w:space="0" w:color="auto"/>
              <w:tl2br w:val="nil"/>
              <w:tr2bl w:val="nil"/>
            </w:tcBorders>
            <w:noWrap/>
            <w:textDirection w:val="lrTb"/>
            <w:vAlign w:val="center"/>
          </w:tcPr>
          <w:p w:rsidR="00B1599D" w:rsidRPr="005360FA" w:rsidP="005360FA">
            <w:pPr>
              <w:spacing w:line="240" w:lineRule="auto"/>
              <w:jc w:val="right"/>
              <w:rPr>
                <w:rFonts w:ascii="Arial Narrow" w:hAnsi="Arial Narrow" w:cs="Times New Roman"/>
              </w:rPr>
            </w:pPr>
            <w:r w:rsidRPr="005360FA">
              <w:rPr>
                <w:rFonts w:ascii="Arial Narrow" w:hAnsi="Arial Narrow" w:cs="Times New Roman"/>
              </w:rPr>
              <w:t>675,00</w:t>
            </w:r>
          </w:p>
        </w:tc>
      </w:tr>
      <w:tr>
        <w:tblPrEx>
          <w:tblW w:w="8580" w:type="dxa"/>
          <w:tblInd w:w="610" w:type="dxa"/>
          <w:tblCellMar>
            <w:left w:w="70" w:type="dxa"/>
            <w:right w:w="70" w:type="dxa"/>
          </w:tblCellMar>
        </w:tblPrEx>
        <w:trPr>
          <w:trHeight w:hRule="exact" w:val="227"/>
        </w:trPr>
        <w:tc>
          <w:tcPr>
            <w:tcW w:w="5560" w:type="dxa"/>
            <w:tcBorders>
              <w:top w:val="single" w:sz="8" w:space="0" w:color="auto"/>
              <w:left w:val="single" w:sz="8" w:space="0" w:color="auto"/>
              <w:bottom w:val="single" w:sz="8" w:space="0" w:color="auto"/>
              <w:right w:val="single" w:sz="8" w:space="0" w:color="auto"/>
              <w:tl2br w:val="nil"/>
              <w:tr2bl w:val="nil"/>
            </w:tcBorders>
            <w:noWrap/>
            <w:textDirection w:val="lrTb"/>
            <w:vAlign w:val="center"/>
          </w:tcPr>
          <w:p w:rsidR="00B1599D" w:rsidRPr="005360FA" w:rsidP="005360FA">
            <w:pPr>
              <w:spacing w:line="240" w:lineRule="auto"/>
              <w:jc w:val="left"/>
              <w:rPr>
                <w:rFonts w:ascii="Arial Narrow" w:hAnsi="Arial Narrow" w:cs="Times New Roman"/>
              </w:rPr>
            </w:pPr>
            <w:r w:rsidRPr="005360FA">
              <w:rPr>
                <w:rFonts w:ascii="Arial Narrow" w:hAnsi="Arial Narrow" w:cs="Times New Roman"/>
              </w:rPr>
              <w:t xml:space="preserve">Dlhodobý hmotný majetok súčet </w:t>
            </w:r>
          </w:p>
        </w:tc>
        <w:tc>
          <w:tcPr>
            <w:tcW w:w="1460" w:type="dxa"/>
            <w:tcBorders>
              <w:top w:val="single" w:sz="8" w:space="0" w:color="auto"/>
              <w:left w:val="single" w:sz="8" w:space="0" w:color="auto"/>
              <w:bottom w:val="single" w:sz="8" w:space="0" w:color="auto"/>
              <w:right w:val="single" w:sz="8" w:space="0" w:color="auto"/>
              <w:tl2br w:val="nil"/>
              <w:tr2bl w:val="nil"/>
            </w:tcBorders>
            <w:noWrap/>
            <w:textDirection w:val="lrTb"/>
            <w:vAlign w:val="center"/>
          </w:tcPr>
          <w:p w:rsidR="00B1599D" w:rsidRPr="005360FA" w:rsidP="005360FA">
            <w:pPr>
              <w:spacing w:line="240" w:lineRule="auto"/>
              <w:jc w:val="right"/>
              <w:rPr>
                <w:rFonts w:ascii="Arial Narrow" w:hAnsi="Arial Narrow" w:cs="Times New Roman"/>
              </w:rPr>
            </w:pPr>
            <w:r w:rsidRPr="005360FA">
              <w:rPr>
                <w:rFonts w:ascii="Arial Narrow" w:hAnsi="Arial Narrow" w:cs="Times New Roman"/>
              </w:rPr>
              <w:t>1 677 637,08</w:t>
            </w:r>
          </w:p>
        </w:tc>
        <w:tc>
          <w:tcPr>
            <w:tcW w:w="1560" w:type="dxa"/>
            <w:tcBorders>
              <w:top w:val="single" w:sz="8" w:space="0" w:color="auto"/>
              <w:left w:val="single" w:sz="8" w:space="0" w:color="auto"/>
              <w:bottom w:val="single" w:sz="8" w:space="0" w:color="auto"/>
              <w:right w:val="single" w:sz="8" w:space="0" w:color="auto"/>
              <w:tl2br w:val="nil"/>
              <w:tr2bl w:val="nil"/>
            </w:tcBorders>
            <w:noWrap/>
            <w:textDirection w:val="lrTb"/>
            <w:vAlign w:val="center"/>
          </w:tcPr>
          <w:p w:rsidR="00B1599D" w:rsidRPr="005360FA" w:rsidP="005360FA">
            <w:pPr>
              <w:spacing w:line="240" w:lineRule="auto"/>
              <w:jc w:val="right"/>
              <w:rPr>
                <w:rFonts w:ascii="Arial Narrow" w:hAnsi="Arial Narrow" w:cs="Times New Roman"/>
              </w:rPr>
            </w:pPr>
            <w:r w:rsidRPr="005360FA">
              <w:rPr>
                <w:rFonts w:ascii="Arial Narrow" w:hAnsi="Arial Narrow" w:cs="Times New Roman"/>
              </w:rPr>
              <w:t>1 565 119,00</w:t>
            </w:r>
          </w:p>
        </w:tc>
      </w:tr>
      <w:tr>
        <w:tblPrEx>
          <w:tblW w:w="8580" w:type="dxa"/>
          <w:tblInd w:w="610" w:type="dxa"/>
          <w:tblCellMar>
            <w:left w:w="70" w:type="dxa"/>
            <w:right w:w="70" w:type="dxa"/>
          </w:tblCellMar>
        </w:tblPrEx>
        <w:trPr>
          <w:trHeight w:hRule="exact" w:val="227"/>
        </w:trPr>
        <w:tc>
          <w:tcPr>
            <w:tcW w:w="5560" w:type="dxa"/>
            <w:tcBorders>
              <w:top w:val="single" w:sz="8" w:space="0" w:color="auto"/>
              <w:left w:val="single" w:sz="8" w:space="0" w:color="auto"/>
              <w:bottom w:val="single" w:sz="8" w:space="0" w:color="auto"/>
              <w:right w:val="single" w:sz="8" w:space="0" w:color="auto"/>
              <w:tl2br w:val="nil"/>
              <w:tr2bl w:val="nil"/>
            </w:tcBorders>
            <w:noWrap/>
            <w:textDirection w:val="lrTb"/>
            <w:vAlign w:val="center"/>
          </w:tcPr>
          <w:p w:rsidR="00B1599D" w:rsidRPr="005360FA" w:rsidP="005360FA">
            <w:pPr>
              <w:spacing w:line="240" w:lineRule="auto"/>
              <w:jc w:val="left"/>
              <w:rPr>
                <w:rFonts w:ascii="Arial Narrow" w:hAnsi="Arial Narrow" w:cs="Times New Roman"/>
              </w:rPr>
            </w:pPr>
            <w:r w:rsidRPr="005360FA">
              <w:rPr>
                <w:rFonts w:ascii="Arial Narrow" w:hAnsi="Arial Narrow" w:cs="Times New Roman"/>
              </w:rPr>
              <w:t xml:space="preserve">Pozemky </w:t>
            </w:r>
          </w:p>
        </w:tc>
        <w:tc>
          <w:tcPr>
            <w:tcW w:w="1460" w:type="dxa"/>
            <w:tcBorders>
              <w:top w:val="single" w:sz="8" w:space="0" w:color="auto"/>
              <w:left w:val="single" w:sz="8" w:space="0" w:color="auto"/>
              <w:bottom w:val="single" w:sz="8" w:space="0" w:color="auto"/>
              <w:right w:val="single" w:sz="8" w:space="0" w:color="auto"/>
              <w:tl2br w:val="nil"/>
              <w:tr2bl w:val="nil"/>
            </w:tcBorders>
            <w:noWrap/>
            <w:textDirection w:val="lrTb"/>
            <w:vAlign w:val="center"/>
          </w:tcPr>
          <w:p w:rsidR="00B1599D" w:rsidRPr="005360FA" w:rsidP="005360FA">
            <w:pPr>
              <w:spacing w:line="240" w:lineRule="auto"/>
              <w:jc w:val="right"/>
              <w:rPr>
                <w:rFonts w:ascii="Arial Narrow" w:hAnsi="Arial Narrow" w:cs="Times New Roman"/>
              </w:rPr>
            </w:pPr>
            <w:r w:rsidRPr="005360FA">
              <w:rPr>
                <w:rFonts w:ascii="Arial Narrow" w:hAnsi="Arial Narrow" w:cs="Times New Roman"/>
              </w:rPr>
              <w:t>890 116,53</w:t>
            </w:r>
          </w:p>
        </w:tc>
        <w:tc>
          <w:tcPr>
            <w:tcW w:w="1560" w:type="dxa"/>
            <w:tcBorders>
              <w:top w:val="single" w:sz="8" w:space="0" w:color="auto"/>
              <w:left w:val="single" w:sz="8" w:space="0" w:color="auto"/>
              <w:bottom w:val="single" w:sz="8" w:space="0" w:color="auto"/>
              <w:right w:val="single" w:sz="8" w:space="0" w:color="auto"/>
              <w:tl2br w:val="nil"/>
              <w:tr2bl w:val="nil"/>
            </w:tcBorders>
            <w:noWrap/>
            <w:textDirection w:val="lrTb"/>
            <w:vAlign w:val="center"/>
          </w:tcPr>
          <w:p w:rsidR="00B1599D" w:rsidRPr="005360FA" w:rsidP="005360FA">
            <w:pPr>
              <w:spacing w:line="240" w:lineRule="auto"/>
              <w:jc w:val="right"/>
              <w:rPr>
                <w:rFonts w:ascii="Arial Narrow" w:hAnsi="Arial Narrow" w:cs="Times New Roman"/>
              </w:rPr>
            </w:pPr>
            <w:r w:rsidRPr="005360FA">
              <w:rPr>
                <w:rFonts w:ascii="Arial Narrow" w:hAnsi="Arial Narrow" w:cs="Times New Roman"/>
              </w:rPr>
              <w:t>890 117,00</w:t>
            </w:r>
          </w:p>
        </w:tc>
      </w:tr>
      <w:tr>
        <w:tblPrEx>
          <w:tblW w:w="8580" w:type="dxa"/>
          <w:tblInd w:w="610" w:type="dxa"/>
          <w:tblCellMar>
            <w:left w:w="70" w:type="dxa"/>
            <w:right w:w="70" w:type="dxa"/>
          </w:tblCellMar>
        </w:tblPrEx>
        <w:trPr>
          <w:trHeight w:hRule="exact" w:val="227"/>
        </w:trPr>
        <w:tc>
          <w:tcPr>
            <w:tcW w:w="5560" w:type="dxa"/>
            <w:tcBorders>
              <w:top w:val="single" w:sz="8" w:space="0" w:color="auto"/>
              <w:left w:val="single" w:sz="8" w:space="0" w:color="auto"/>
              <w:bottom w:val="single" w:sz="8" w:space="0" w:color="auto"/>
              <w:right w:val="single" w:sz="8" w:space="0" w:color="auto"/>
              <w:tl2br w:val="nil"/>
              <w:tr2bl w:val="nil"/>
            </w:tcBorders>
            <w:noWrap/>
            <w:textDirection w:val="lrTb"/>
            <w:vAlign w:val="center"/>
          </w:tcPr>
          <w:p w:rsidR="00B1599D" w:rsidRPr="005360FA" w:rsidP="005360FA">
            <w:pPr>
              <w:spacing w:line="240" w:lineRule="auto"/>
              <w:jc w:val="left"/>
              <w:rPr>
                <w:rFonts w:ascii="Arial Narrow" w:hAnsi="Arial Narrow" w:cs="Times New Roman"/>
              </w:rPr>
            </w:pPr>
            <w:r w:rsidRPr="005360FA">
              <w:rPr>
                <w:rFonts w:ascii="Arial Narrow" w:hAnsi="Arial Narrow" w:cs="Times New Roman"/>
              </w:rPr>
              <w:t xml:space="preserve">Stavby </w:t>
            </w:r>
          </w:p>
        </w:tc>
        <w:tc>
          <w:tcPr>
            <w:tcW w:w="1460" w:type="dxa"/>
            <w:tcBorders>
              <w:top w:val="single" w:sz="8" w:space="0" w:color="auto"/>
              <w:left w:val="single" w:sz="8" w:space="0" w:color="auto"/>
              <w:bottom w:val="single" w:sz="8" w:space="0" w:color="auto"/>
              <w:right w:val="single" w:sz="8" w:space="0" w:color="auto"/>
              <w:tl2br w:val="nil"/>
              <w:tr2bl w:val="nil"/>
            </w:tcBorders>
            <w:noWrap/>
            <w:textDirection w:val="lrTb"/>
            <w:vAlign w:val="center"/>
          </w:tcPr>
          <w:p w:rsidR="00B1599D" w:rsidRPr="005360FA" w:rsidP="005360FA">
            <w:pPr>
              <w:spacing w:line="240" w:lineRule="auto"/>
              <w:jc w:val="right"/>
              <w:rPr>
                <w:rFonts w:ascii="Arial Narrow" w:hAnsi="Arial Narrow" w:cs="Times New Roman"/>
              </w:rPr>
            </w:pPr>
            <w:r w:rsidRPr="005360FA">
              <w:rPr>
                <w:rFonts w:ascii="Arial Narrow" w:hAnsi="Arial Narrow" w:cs="Times New Roman"/>
              </w:rPr>
              <w:t>607 358,25</w:t>
            </w:r>
          </w:p>
        </w:tc>
        <w:tc>
          <w:tcPr>
            <w:tcW w:w="1560" w:type="dxa"/>
            <w:tcBorders>
              <w:top w:val="single" w:sz="8" w:space="0" w:color="auto"/>
              <w:left w:val="single" w:sz="8" w:space="0" w:color="auto"/>
              <w:bottom w:val="single" w:sz="8" w:space="0" w:color="auto"/>
              <w:right w:val="single" w:sz="8" w:space="0" w:color="auto"/>
              <w:tl2br w:val="nil"/>
              <w:tr2bl w:val="nil"/>
            </w:tcBorders>
            <w:noWrap/>
            <w:textDirection w:val="lrTb"/>
            <w:vAlign w:val="center"/>
          </w:tcPr>
          <w:p w:rsidR="00B1599D" w:rsidRPr="005360FA" w:rsidP="005360FA">
            <w:pPr>
              <w:spacing w:line="240" w:lineRule="auto"/>
              <w:jc w:val="right"/>
              <w:rPr>
                <w:rFonts w:ascii="Arial Narrow" w:hAnsi="Arial Narrow" w:cs="Times New Roman"/>
              </w:rPr>
            </w:pPr>
            <w:r w:rsidRPr="005360FA">
              <w:rPr>
                <w:rFonts w:ascii="Arial Narrow" w:hAnsi="Arial Narrow" w:cs="Times New Roman"/>
              </w:rPr>
              <w:t>541 646,00</w:t>
            </w:r>
          </w:p>
        </w:tc>
      </w:tr>
      <w:tr>
        <w:tblPrEx>
          <w:tblW w:w="8580" w:type="dxa"/>
          <w:tblInd w:w="610" w:type="dxa"/>
          <w:tblCellMar>
            <w:left w:w="70" w:type="dxa"/>
            <w:right w:w="70" w:type="dxa"/>
          </w:tblCellMar>
        </w:tblPrEx>
        <w:trPr>
          <w:trHeight w:hRule="exact" w:val="227"/>
        </w:trPr>
        <w:tc>
          <w:tcPr>
            <w:tcW w:w="5560" w:type="dxa"/>
            <w:tcBorders>
              <w:top w:val="single" w:sz="8" w:space="0" w:color="auto"/>
              <w:left w:val="single" w:sz="8" w:space="0" w:color="auto"/>
              <w:bottom w:val="single" w:sz="8" w:space="0" w:color="auto"/>
              <w:right w:val="single" w:sz="8" w:space="0" w:color="auto"/>
              <w:tl2br w:val="nil"/>
              <w:tr2bl w:val="nil"/>
            </w:tcBorders>
            <w:noWrap/>
            <w:textDirection w:val="lrTb"/>
            <w:vAlign w:val="center"/>
          </w:tcPr>
          <w:p w:rsidR="00B1599D" w:rsidRPr="005360FA" w:rsidP="005360FA">
            <w:pPr>
              <w:spacing w:line="240" w:lineRule="auto"/>
              <w:jc w:val="left"/>
              <w:rPr>
                <w:rFonts w:ascii="Arial Narrow" w:hAnsi="Arial Narrow" w:cs="Times New Roman"/>
              </w:rPr>
            </w:pPr>
            <w:r w:rsidRPr="005360FA">
              <w:rPr>
                <w:rFonts w:ascii="Arial Narrow" w:hAnsi="Arial Narrow" w:cs="Times New Roman"/>
              </w:rPr>
              <w:t xml:space="preserve">Samostatné hnuteľné veci a súbory hnuteľných vecí </w:t>
            </w:r>
          </w:p>
        </w:tc>
        <w:tc>
          <w:tcPr>
            <w:tcW w:w="1460" w:type="dxa"/>
            <w:tcBorders>
              <w:top w:val="single" w:sz="8" w:space="0" w:color="auto"/>
              <w:left w:val="single" w:sz="8" w:space="0" w:color="auto"/>
              <w:bottom w:val="single" w:sz="8" w:space="0" w:color="auto"/>
              <w:right w:val="single" w:sz="8" w:space="0" w:color="auto"/>
              <w:tl2br w:val="nil"/>
              <w:tr2bl w:val="nil"/>
            </w:tcBorders>
            <w:noWrap/>
            <w:textDirection w:val="lrTb"/>
            <w:vAlign w:val="center"/>
          </w:tcPr>
          <w:p w:rsidR="00B1599D" w:rsidRPr="005360FA" w:rsidP="005360FA">
            <w:pPr>
              <w:spacing w:line="240" w:lineRule="auto"/>
              <w:jc w:val="right"/>
              <w:rPr>
                <w:rFonts w:ascii="Arial Narrow" w:hAnsi="Arial Narrow" w:cs="Times New Roman"/>
              </w:rPr>
            </w:pPr>
            <w:r w:rsidRPr="005360FA">
              <w:rPr>
                <w:rFonts w:ascii="Arial Narrow" w:hAnsi="Arial Narrow" w:cs="Times New Roman"/>
              </w:rPr>
              <w:t>175 280,33</w:t>
            </w:r>
          </w:p>
        </w:tc>
        <w:tc>
          <w:tcPr>
            <w:tcW w:w="1560" w:type="dxa"/>
            <w:tcBorders>
              <w:top w:val="single" w:sz="8" w:space="0" w:color="auto"/>
              <w:left w:val="single" w:sz="8" w:space="0" w:color="auto"/>
              <w:bottom w:val="single" w:sz="8" w:space="0" w:color="auto"/>
              <w:right w:val="single" w:sz="8" w:space="0" w:color="auto"/>
              <w:tl2br w:val="nil"/>
              <w:tr2bl w:val="nil"/>
            </w:tcBorders>
            <w:noWrap/>
            <w:textDirection w:val="lrTb"/>
            <w:vAlign w:val="center"/>
          </w:tcPr>
          <w:p w:rsidR="00B1599D" w:rsidRPr="005360FA" w:rsidP="005360FA">
            <w:pPr>
              <w:spacing w:line="240" w:lineRule="auto"/>
              <w:jc w:val="right"/>
              <w:rPr>
                <w:rFonts w:ascii="Arial Narrow" w:hAnsi="Arial Narrow" w:cs="Times New Roman"/>
              </w:rPr>
            </w:pPr>
            <w:r w:rsidRPr="005360FA">
              <w:rPr>
                <w:rFonts w:ascii="Arial Narrow" w:hAnsi="Arial Narrow" w:cs="Times New Roman"/>
              </w:rPr>
              <w:t>132 727,00</w:t>
            </w:r>
          </w:p>
        </w:tc>
      </w:tr>
      <w:tr>
        <w:tblPrEx>
          <w:tblW w:w="8580" w:type="dxa"/>
          <w:tblInd w:w="610" w:type="dxa"/>
          <w:tblCellMar>
            <w:left w:w="70" w:type="dxa"/>
            <w:right w:w="70" w:type="dxa"/>
          </w:tblCellMar>
        </w:tblPrEx>
        <w:trPr>
          <w:trHeight w:hRule="exact" w:val="227"/>
        </w:trPr>
        <w:tc>
          <w:tcPr>
            <w:tcW w:w="5560" w:type="dxa"/>
            <w:tcBorders>
              <w:top w:val="single" w:sz="8" w:space="0" w:color="auto"/>
              <w:left w:val="single" w:sz="8" w:space="0" w:color="auto"/>
              <w:bottom w:val="single" w:sz="8" w:space="0" w:color="auto"/>
              <w:right w:val="single" w:sz="8" w:space="0" w:color="auto"/>
              <w:tl2br w:val="nil"/>
              <w:tr2bl w:val="nil"/>
            </w:tcBorders>
            <w:noWrap/>
            <w:textDirection w:val="lrTb"/>
            <w:vAlign w:val="center"/>
          </w:tcPr>
          <w:p w:rsidR="00B1599D" w:rsidRPr="005360FA" w:rsidP="005360FA">
            <w:pPr>
              <w:spacing w:line="240" w:lineRule="auto"/>
              <w:jc w:val="left"/>
              <w:rPr>
                <w:rFonts w:ascii="Arial Narrow" w:hAnsi="Arial Narrow" w:cs="Times New Roman"/>
              </w:rPr>
            </w:pPr>
            <w:r w:rsidRPr="005360FA">
              <w:rPr>
                <w:rFonts w:ascii="Arial Narrow" w:hAnsi="Arial Narrow" w:cs="Times New Roman"/>
              </w:rPr>
              <w:t xml:space="preserve">Ostatný dlhodobý hmotný majetok </w:t>
            </w:r>
          </w:p>
        </w:tc>
        <w:tc>
          <w:tcPr>
            <w:tcW w:w="1460" w:type="dxa"/>
            <w:tcBorders>
              <w:top w:val="single" w:sz="8" w:space="0" w:color="auto"/>
              <w:left w:val="single" w:sz="8" w:space="0" w:color="auto"/>
              <w:bottom w:val="single" w:sz="8" w:space="0" w:color="auto"/>
              <w:right w:val="single" w:sz="8" w:space="0" w:color="auto"/>
              <w:tl2br w:val="nil"/>
              <w:tr2bl w:val="nil"/>
            </w:tcBorders>
            <w:noWrap/>
            <w:textDirection w:val="lrTb"/>
            <w:vAlign w:val="center"/>
          </w:tcPr>
          <w:p w:rsidR="00B1599D" w:rsidRPr="005360FA" w:rsidP="005360FA">
            <w:pPr>
              <w:spacing w:line="240" w:lineRule="auto"/>
              <w:jc w:val="right"/>
              <w:rPr>
                <w:rFonts w:ascii="Arial Narrow" w:hAnsi="Arial Narrow" w:cs="Times New Roman"/>
              </w:rPr>
            </w:pPr>
            <w:r w:rsidRPr="005360FA">
              <w:rPr>
                <w:rFonts w:ascii="Arial Narrow" w:hAnsi="Arial Narrow" w:cs="Times New Roman"/>
              </w:rPr>
              <w:t>180,00</w:t>
            </w:r>
          </w:p>
        </w:tc>
        <w:tc>
          <w:tcPr>
            <w:tcW w:w="1560" w:type="dxa"/>
            <w:tcBorders>
              <w:top w:val="single" w:sz="8" w:space="0" w:color="auto"/>
              <w:left w:val="single" w:sz="8" w:space="0" w:color="auto"/>
              <w:bottom w:val="single" w:sz="8" w:space="0" w:color="auto"/>
              <w:right w:val="single" w:sz="8" w:space="0" w:color="auto"/>
              <w:tl2br w:val="nil"/>
              <w:tr2bl w:val="nil"/>
            </w:tcBorders>
            <w:noWrap/>
            <w:textDirection w:val="lrTb"/>
            <w:vAlign w:val="center"/>
          </w:tcPr>
          <w:p w:rsidR="00B1599D" w:rsidRPr="005360FA" w:rsidP="005360FA">
            <w:pPr>
              <w:spacing w:line="240" w:lineRule="auto"/>
              <w:jc w:val="right"/>
              <w:rPr>
                <w:rFonts w:ascii="Arial Narrow" w:hAnsi="Arial Narrow" w:cs="Times New Roman"/>
              </w:rPr>
            </w:pPr>
            <w:r w:rsidRPr="005360FA">
              <w:rPr>
                <w:rFonts w:ascii="Arial Narrow" w:hAnsi="Arial Narrow" w:cs="Times New Roman"/>
              </w:rPr>
              <w:t>180,00</w:t>
            </w:r>
          </w:p>
        </w:tc>
      </w:tr>
      <w:tr>
        <w:tblPrEx>
          <w:tblW w:w="8580" w:type="dxa"/>
          <w:tblInd w:w="610" w:type="dxa"/>
          <w:tblCellMar>
            <w:left w:w="70" w:type="dxa"/>
            <w:right w:w="70" w:type="dxa"/>
          </w:tblCellMar>
        </w:tblPrEx>
        <w:trPr>
          <w:trHeight w:hRule="exact" w:val="227"/>
        </w:trPr>
        <w:tc>
          <w:tcPr>
            <w:tcW w:w="5560" w:type="dxa"/>
            <w:tcBorders>
              <w:top w:val="single" w:sz="8" w:space="0" w:color="auto"/>
              <w:left w:val="single" w:sz="8" w:space="0" w:color="auto"/>
              <w:bottom w:val="single" w:sz="8" w:space="0" w:color="auto"/>
              <w:right w:val="single" w:sz="8" w:space="0" w:color="auto"/>
              <w:tl2br w:val="nil"/>
              <w:tr2bl w:val="nil"/>
            </w:tcBorders>
            <w:noWrap/>
            <w:textDirection w:val="lrTb"/>
            <w:vAlign w:val="center"/>
          </w:tcPr>
          <w:p w:rsidR="00B1599D" w:rsidRPr="005360FA" w:rsidP="005360FA">
            <w:pPr>
              <w:spacing w:line="240" w:lineRule="auto"/>
              <w:jc w:val="left"/>
              <w:rPr>
                <w:rFonts w:ascii="Arial Narrow" w:hAnsi="Arial Narrow" w:cs="Times New Roman"/>
              </w:rPr>
            </w:pPr>
            <w:r w:rsidRPr="005360FA">
              <w:rPr>
                <w:rFonts w:ascii="Arial Narrow" w:hAnsi="Arial Narrow" w:cs="Times New Roman"/>
              </w:rPr>
              <w:t xml:space="preserve">Obstarávaný dlhodobý hmotný majetok </w:t>
            </w:r>
          </w:p>
        </w:tc>
        <w:tc>
          <w:tcPr>
            <w:tcW w:w="1460" w:type="dxa"/>
            <w:tcBorders>
              <w:top w:val="single" w:sz="8" w:space="0" w:color="auto"/>
              <w:left w:val="single" w:sz="8" w:space="0" w:color="auto"/>
              <w:bottom w:val="single" w:sz="8" w:space="0" w:color="auto"/>
              <w:right w:val="single" w:sz="8" w:space="0" w:color="auto"/>
              <w:tl2br w:val="nil"/>
              <w:tr2bl w:val="nil"/>
            </w:tcBorders>
            <w:noWrap/>
            <w:textDirection w:val="lrTb"/>
            <w:vAlign w:val="center"/>
          </w:tcPr>
          <w:p w:rsidR="00B1599D" w:rsidRPr="005360FA" w:rsidP="005360FA">
            <w:pPr>
              <w:spacing w:line="240" w:lineRule="auto"/>
              <w:jc w:val="right"/>
              <w:rPr>
                <w:rFonts w:ascii="Arial Narrow" w:hAnsi="Arial Narrow" w:cs="Times New Roman"/>
              </w:rPr>
            </w:pPr>
            <w:r w:rsidRPr="005360FA">
              <w:rPr>
                <w:rFonts w:ascii="Arial Narrow" w:hAnsi="Arial Narrow" w:cs="Times New Roman"/>
              </w:rPr>
              <w:t>4 701,98</w:t>
            </w:r>
          </w:p>
        </w:tc>
        <w:tc>
          <w:tcPr>
            <w:tcW w:w="1560" w:type="dxa"/>
            <w:tcBorders>
              <w:top w:val="single" w:sz="8" w:space="0" w:color="auto"/>
              <w:left w:val="single" w:sz="8" w:space="0" w:color="auto"/>
              <w:bottom w:val="single" w:sz="8" w:space="0" w:color="auto"/>
              <w:right w:val="single" w:sz="8" w:space="0" w:color="auto"/>
              <w:tl2br w:val="nil"/>
              <w:tr2bl w:val="nil"/>
            </w:tcBorders>
            <w:noWrap/>
            <w:textDirection w:val="lrTb"/>
            <w:vAlign w:val="center"/>
          </w:tcPr>
          <w:p w:rsidR="00B1599D" w:rsidRPr="005360FA" w:rsidP="005360FA">
            <w:pPr>
              <w:spacing w:line="240" w:lineRule="auto"/>
              <w:jc w:val="right"/>
              <w:rPr>
                <w:rFonts w:ascii="Arial Narrow" w:hAnsi="Arial Narrow" w:cs="Times New Roman"/>
              </w:rPr>
            </w:pPr>
            <w:r w:rsidRPr="005360FA">
              <w:rPr>
                <w:rFonts w:ascii="Arial Narrow" w:hAnsi="Arial Narrow" w:cs="Times New Roman"/>
              </w:rPr>
              <w:t>159,00</w:t>
            </w:r>
          </w:p>
        </w:tc>
      </w:tr>
      <w:tr>
        <w:tblPrEx>
          <w:tblW w:w="8580" w:type="dxa"/>
          <w:tblInd w:w="610" w:type="dxa"/>
          <w:tblCellMar>
            <w:left w:w="70" w:type="dxa"/>
            <w:right w:w="70" w:type="dxa"/>
          </w:tblCellMar>
        </w:tblPrEx>
        <w:trPr>
          <w:trHeight w:hRule="exact" w:val="227"/>
        </w:trPr>
        <w:tc>
          <w:tcPr>
            <w:tcW w:w="5560" w:type="dxa"/>
            <w:tcBorders>
              <w:top w:val="single" w:sz="8" w:space="0" w:color="auto"/>
              <w:left w:val="single" w:sz="8" w:space="0" w:color="auto"/>
              <w:bottom w:val="single" w:sz="8" w:space="0" w:color="auto"/>
              <w:right w:val="single" w:sz="8" w:space="0" w:color="auto"/>
              <w:tl2br w:val="nil"/>
              <w:tr2bl w:val="nil"/>
            </w:tcBorders>
            <w:noWrap/>
            <w:textDirection w:val="lrTb"/>
            <w:vAlign w:val="center"/>
          </w:tcPr>
          <w:p w:rsidR="00B1599D" w:rsidRPr="005360FA" w:rsidP="005360FA">
            <w:pPr>
              <w:spacing w:line="240" w:lineRule="auto"/>
              <w:jc w:val="left"/>
              <w:rPr>
                <w:rFonts w:ascii="Arial Narrow" w:hAnsi="Arial Narrow" w:cs="Times New Roman"/>
              </w:rPr>
            </w:pPr>
            <w:r w:rsidRPr="005360FA">
              <w:rPr>
                <w:rFonts w:ascii="Arial Narrow" w:hAnsi="Arial Narrow" w:cs="Times New Roman"/>
              </w:rPr>
              <w:t xml:space="preserve">Poskytnuté preddavky na dlhodobý hmotný majetok </w:t>
            </w:r>
          </w:p>
        </w:tc>
        <w:tc>
          <w:tcPr>
            <w:tcW w:w="1460" w:type="dxa"/>
            <w:tcBorders>
              <w:top w:val="single" w:sz="8" w:space="0" w:color="auto"/>
              <w:left w:val="single" w:sz="8" w:space="0" w:color="auto"/>
              <w:bottom w:val="single" w:sz="8" w:space="0" w:color="auto"/>
              <w:right w:val="single" w:sz="8" w:space="0" w:color="auto"/>
              <w:tl2br w:val="nil"/>
              <w:tr2bl w:val="nil"/>
            </w:tcBorders>
            <w:noWrap/>
            <w:textDirection w:val="lrTb"/>
            <w:vAlign w:val="center"/>
          </w:tcPr>
          <w:p w:rsidR="00B1599D" w:rsidRPr="005360FA" w:rsidP="005360FA">
            <w:pPr>
              <w:spacing w:line="240" w:lineRule="auto"/>
              <w:jc w:val="right"/>
              <w:rPr>
                <w:rFonts w:ascii="Arial Narrow" w:hAnsi="Arial Narrow" w:cs="Times New Roman"/>
              </w:rPr>
            </w:pPr>
            <w:r w:rsidRPr="005360FA">
              <w:rPr>
                <w:rFonts w:ascii="Arial Narrow" w:hAnsi="Arial Narrow" w:cs="Times New Roman"/>
              </w:rPr>
              <w:t>0,00</w:t>
            </w:r>
          </w:p>
        </w:tc>
        <w:tc>
          <w:tcPr>
            <w:tcW w:w="1560" w:type="dxa"/>
            <w:tcBorders>
              <w:top w:val="single" w:sz="8" w:space="0" w:color="auto"/>
              <w:left w:val="single" w:sz="8" w:space="0" w:color="auto"/>
              <w:bottom w:val="single" w:sz="8" w:space="0" w:color="auto"/>
              <w:right w:val="single" w:sz="8" w:space="0" w:color="auto"/>
              <w:tl2br w:val="nil"/>
              <w:tr2bl w:val="nil"/>
            </w:tcBorders>
            <w:noWrap/>
            <w:textDirection w:val="lrTb"/>
            <w:vAlign w:val="center"/>
          </w:tcPr>
          <w:p w:rsidR="00B1599D" w:rsidRPr="005360FA" w:rsidP="005360FA">
            <w:pPr>
              <w:spacing w:line="240" w:lineRule="auto"/>
              <w:jc w:val="right"/>
              <w:rPr>
                <w:rFonts w:ascii="Arial Narrow" w:hAnsi="Arial Narrow" w:cs="Times New Roman"/>
              </w:rPr>
            </w:pPr>
            <w:r w:rsidRPr="005360FA">
              <w:rPr>
                <w:rFonts w:ascii="Arial Narrow" w:hAnsi="Arial Narrow" w:cs="Times New Roman"/>
              </w:rPr>
              <w:t>290,00</w:t>
            </w:r>
          </w:p>
        </w:tc>
      </w:tr>
      <w:tr>
        <w:tblPrEx>
          <w:tblW w:w="8580" w:type="dxa"/>
          <w:tblInd w:w="610" w:type="dxa"/>
          <w:tblCellMar>
            <w:left w:w="70" w:type="dxa"/>
            <w:right w:w="70" w:type="dxa"/>
          </w:tblCellMar>
        </w:tblPrEx>
        <w:trPr>
          <w:trHeight w:hRule="exact" w:val="227"/>
        </w:trPr>
        <w:tc>
          <w:tcPr>
            <w:tcW w:w="5560" w:type="dxa"/>
            <w:tcBorders>
              <w:top w:val="single" w:sz="8" w:space="0" w:color="auto"/>
              <w:left w:val="single" w:sz="8" w:space="0" w:color="auto"/>
              <w:bottom w:val="single" w:sz="8" w:space="0" w:color="auto"/>
              <w:right w:val="single" w:sz="8" w:space="0" w:color="auto"/>
              <w:tl2br w:val="nil"/>
              <w:tr2bl w:val="nil"/>
            </w:tcBorders>
            <w:noWrap/>
            <w:textDirection w:val="lrTb"/>
            <w:vAlign w:val="center"/>
          </w:tcPr>
          <w:p w:rsidR="00B1599D" w:rsidRPr="005360FA" w:rsidP="005360FA">
            <w:pPr>
              <w:spacing w:line="240" w:lineRule="auto"/>
              <w:jc w:val="left"/>
              <w:rPr>
                <w:rFonts w:ascii="Arial Narrow" w:hAnsi="Arial Narrow" w:cs="Times New Roman"/>
              </w:rPr>
            </w:pPr>
            <w:r w:rsidRPr="005360FA">
              <w:rPr>
                <w:rFonts w:ascii="Arial Narrow" w:hAnsi="Arial Narrow" w:cs="Times New Roman"/>
              </w:rPr>
              <w:t xml:space="preserve">Obežný majetok </w:t>
            </w:r>
          </w:p>
        </w:tc>
        <w:tc>
          <w:tcPr>
            <w:tcW w:w="1460" w:type="dxa"/>
            <w:tcBorders>
              <w:top w:val="single" w:sz="8" w:space="0" w:color="auto"/>
              <w:left w:val="single" w:sz="8" w:space="0" w:color="auto"/>
              <w:bottom w:val="single" w:sz="8" w:space="0" w:color="auto"/>
              <w:right w:val="single" w:sz="8" w:space="0" w:color="auto"/>
              <w:tl2br w:val="nil"/>
              <w:tr2bl w:val="nil"/>
            </w:tcBorders>
            <w:noWrap/>
            <w:textDirection w:val="lrTb"/>
            <w:vAlign w:val="center"/>
          </w:tcPr>
          <w:p w:rsidR="00B1599D" w:rsidRPr="005360FA" w:rsidP="005360FA">
            <w:pPr>
              <w:spacing w:line="240" w:lineRule="auto"/>
              <w:jc w:val="right"/>
              <w:rPr>
                <w:rFonts w:ascii="Arial Narrow" w:hAnsi="Arial Narrow" w:cs="Times New Roman"/>
              </w:rPr>
            </w:pPr>
            <w:r w:rsidRPr="005360FA">
              <w:rPr>
                <w:rFonts w:ascii="Arial Narrow" w:hAnsi="Arial Narrow" w:cs="Times New Roman"/>
              </w:rPr>
              <w:t>394 780,35</w:t>
            </w:r>
          </w:p>
        </w:tc>
        <w:tc>
          <w:tcPr>
            <w:tcW w:w="1560" w:type="dxa"/>
            <w:tcBorders>
              <w:top w:val="single" w:sz="8" w:space="0" w:color="auto"/>
              <w:left w:val="single" w:sz="8" w:space="0" w:color="auto"/>
              <w:bottom w:val="single" w:sz="8" w:space="0" w:color="auto"/>
              <w:right w:val="single" w:sz="8" w:space="0" w:color="auto"/>
              <w:tl2br w:val="nil"/>
              <w:tr2bl w:val="nil"/>
            </w:tcBorders>
            <w:noWrap/>
            <w:textDirection w:val="lrTb"/>
            <w:vAlign w:val="center"/>
          </w:tcPr>
          <w:p w:rsidR="00B1599D" w:rsidRPr="005360FA" w:rsidP="005360FA">
            <w:pPr>
              <w:spacing w:line="240" w:lineRule="auto"/>
              <w:jc w:val="right"/>
              <w:rPr>
                <w:rFonts w:ascii="Arial Narrow" w:hAnsi="Arial Narrow" w:cs="Times New Roman"/>
              </w:rPr>
            </w:pPr>
            <w:r w:rsidRPr="005360FA">
              <w:rPr>
                <w:rFonts w:ascii="Arial Narrow" w:hAnsi="Arial Narrow" w:cs="Times New Roman"/>
              </w:rPr>
              <w:t>456 656,00</w:t>
            </w:r>
          </w:p>
        </w:tc>
      </w:tr>
      <w:tr>
        <w:tblPrEx>
          <w:tblW w:w="8580" w:type="dxa"/>
          <w:tblInd w:w="610" w:type="dxa"/>
          <w:tblCellMar>
            <w:left w:w="70" w:type="dxa"/>
            <w:right w:w="70" w:type="dxa"/>
          </w:tblCellMar>
        </w:tblPrEx>
        <w:trPr>
          <w:trHeight w:hRule="exact" w:val="227"/>
        </w:trPr>
        <w:tc>
          <w:tcPr>
            <w:tcW w:w="5560" w:type="dxa"/>
            <w:tcBorders>
              <w:top w:val="single" w:sz="8" w:space="0" w:color="auto"/>
              <w:left w:val="single" w:sz="8" w:space="0" w:color="auto"/>
              <w:bottom w:val="single" w:sz="8" w:space="0" w:color="auto"/>
              <w:right w:val="single" w:sz="8" w:space="0" w:color="auto"/>
              <w:tl2br w:val="nil"/>
              <w:tr2bl w:val="nil"/>
            </w:tcBorders>
            <w:noWrap/>
            <w:textDirection w:val="lrTb"/>
            <w:vAlign w:val="center"/>
          </w:tcPr>
          <w:p w:rsidR="00B1599D" w:rsidRPr="005360FA" w:rsidP="005360FA">
            <w:pPr>
              <w:spacing w:line="240" w:lineRule="auto"/>
              <w:jc w:val="left"/>
              <w:rPr>
                <w:rFonts w:ascii="Arial Narrow" w:hAnsi="Arial Narrow" w:cs="Times New Roman"/>
              </w:rPr>
            </w:pPr>
            <w:r w:rsidRPr="005360FA">
              <w:rPr>
                <w:rFonts w:ascii="Arial Narrow" w:hAnsi="Arial Narrow" w:cs="Times New Roman"/>
              </w:rPr>
              <w:t xml:space="preserve">Zásoby súčet </w:t>
            </w:r>
          </w:p>
        </w:tc>
        <w:tc>
          <w:tcPr>
            <w:tcW w:w="1460" w:type="dxa"/>
            <w:tcBorders>
              <w:top w:val="single" w:sz="8" w:space="0" w:color="auto"/>
              <w:left w:val="single" w:sz="8" w:space="0" w:color="auto"/>
              <w:bottom w:val="single" w:sz="8" w:space="0" w:color="auto"/>
              <w:right w:val="single" w:sz="8" w:space="0" w:color="auto"/>
              <w:tl2br w:val="nil"/>
              <w:tr2bl w:val="nil"/>
            </w:tcBorders>
            <w:noWrap/>
            <w:textDirection w:val="lrTb"/>
            <w:vAlign w:val="center"/>
          </w:tcPr>
          <w:p w:rsidR="00B1599D" w:rsidRPr="005360FA" w:rsidP="005360FA">
            <w:pPr>
              <w:spacing w:line="240" w:lineRule="auto"/>
              <w:jc w:val="right"/>
              <w:rPr>
                <w:rFonts w:ascii="Arial Narrow" w:hAnsi="Arial Narrow" w:cs="Times New Roman"/>
              </w:rPr>
            </w:pPr>
            <w:r w:rsidRPr="005360FA">
              <w:rPr>
                <w:rFonts w:ascii="Arial Narrow" w:hAnsi="Arial Narrow" w:cs="Times New Roman"/>
              </w:rPr>
              <w:t>7 483,40</w:t>
            </w:r>
          </w:p>
        </w:tc>
        <w:tc>
          <w:tcPr>
            <w:tcW w:w="1560" w:type="dxa"/>
            <w:tcBorders>
              <w:top w:val="single" w:sz="8" w:space="0" w:color="auto"/>
              <w:left w:val="single" w:sz="8" w:space="0" w:color="auto"/>
              <w:bottom w:val="single" w:sz="8" w:space="0" w:color="auto"/>
              <w:right w:val="single" w:sz="8" w:space="0" w:color="auto"/>
              <w:tl2br w:val="nil"/>
              <w:tr2bl w:val="nil"/>
            </w:tcBorders>
            <w:noWrap/>
            <w:textDirection w:val="lrTb"/>
            <w:vAlign w:val="center"/>
          </w:tcPr>
          <w:p w:rsidR="00B1599D" w:rsidRPr="005360FA" w:rsidP="005360FA">
            <w:pPr>
              <w:spacing w:line="240" w:lineRule="auto"/>
              <w:jc w:val="right"/>
              <w:rPr>
                <w:rFonts w:ascii="Arial Narrow" w:hAnsi="Arial Narrow" w:cs="Times New Roman"/>
              </w:rPr>
            </w:pPr>
            <w:r w:rsidRPr="005360FA">
              <w:rPr>
                <w:rFonts w:ascii="Arial Narrow" w:hAnsi="Arial Narrow" w:cs="Times New Roman"/>
              </w:rPr>
              <w:t>4 439,00</w:t>
            </w:r>
          </w:p>
        </w:tc>
      </w:tr>
      <w:tr>
        <w:tblPrEx>
          <w:tblW w:w="8580" w:type="dxa"/>
          <w:tblInd w:w="610" w:type="dxa"/>
          <w:tblCellMar>
            <w:left w:w="70" w:type="dxa"/>
            <w:right w:w="70" w:type="dxa"/>
          </w:tblCellMar>
        </w:tblPrEx>
        <w:trPr>
          <w:trHeight w:hRule="exact" w:val="227"/>
        </w:trPr>
        <w:tc>
          <w:tcPr>
            <w:tcW w:w="5560" w:type="dxa"/>
            <w:tcBorders>
              <w:top w:val="single" w:sz="8" w:space="0" w:color="auto"/>
              <w:left w:val="single" w:sz="8" w:space="0" w:color="auto"/>
              <w:bottom w:val="single" w:sz="8" w:space="0" w:color="auto"/>
              <w:right w:val="single" w:sz="8" w:space="0" w:color="auto"/>
              <w:tl2br w:val="nil"/>
              <w:tr2bl w:val="nil"/>
            </w:tcBorders>
            <w:noWrap/>
            <w:textDirection w:val="lrTb"/>
            <w:vAlign w:val="center"/>
          </w:tcPr>
          <w:p w:rsidR="00B1599D" w:rsidRPr="005360FA" w:rsidP="005360FA">
            <w:pPr>
              <w:spacing w:line="240" w:lineRule="auto"/>
              <w:jc w:val="left"/>
              <w:rPr>
                <w:rFonts w:ascii="Arial Narrow" w:hAnsi="Arial Narrow" w:cs="Times New Roman"/>
              </w:rPr>
            </w:pPr>
            <w:r w:rsidRPr="005360FA">
              <w:rPr>
                <w:rFonts w:ascii="Arial Narrow" w:hAnsi="Arial Narrow" w:cs="Times New Roman"/>
              </w:rPr>
              <w:t xml:space="preserve">Materiál </w:t>
            </w:r>
          </w:p>
        </w:tc>
        <w:tc>
          <w:tcPr>
            <w:tcW w:w="1460" w:type="dxa"/>
            <w:tcBorders>
              <w:top w:val="single" w:sz="8" w:space="0" w:color="auto"/>
              <w:left w:val="single" w:sz="8" w:space="0" w:color="auto"/>
              <w:bottom w:val="single" w:sz="8" w:space="0" w:color="auto"/>
              <w:right w:val="single" w:sz="8" w:space="0" w:color="auto"/>
              <w:tl2br w:val="nil"/>
              <w:tr2bl w:val="nil"/>
            </w:tcBorders>
            <w:noWrap/>
            <w:textDirection w:val="lrTb"/>
            <w:vAlign w:val="center"/>
          </w:tcPr>
          <w:p w:rsidR="00B1599D" w:rsidRPr="005360FA" w:rsidP="005360FA">
            <w:pPr>
              <w:spacing w:line="240" w:lineRule="auto"/>
              <w:jc w:val="right"/>
              <w:rPr>
                <w:rFonts w:ascii="Arial Narrow" w:hAnsi="Arial Narrow" w:cs="Times New Roman"/>
              </w:rPr>
            </w:pPr>
            <w:r w:rsidRPr="005360FA">
              <w:rPr>
                <w:rFonts w:ascii="Arial Narrow" w:hAnsi="Arial Narrow" w:cs="Times New Roman"/>
              </w:rPr>
              <w:t>2 986,27</w:t>
            </w:r>
          </w:p>
        </w:tc>
        <w:tc>
          <w:tcPr>
            <w:tcW w:w="1560" w:type="dxa"/>
            <w:tcBorders>
              <w:top w:val="single" w:sz="8" w:space="0" w:color="auto"/>
              <w:left w:val="single" w:sz="8" w:space="0" w:color="auto"/>
              <w:bottom w:val="single" w:sz="8" w:space="0" w:color="auto"/>
              <w:right w:val="single" w:sz="8" w:space="0" w:color="auto"/>
              <w:tl2br w:val="nil"/>
              <w:tr2bl w:val="nil"/>
            </w:tcBorders>
            <w:noWrap/>
            <w:textDirection w:val="lrTb"/>
            <w:vAlign w:val="center"/>
          </w:tcPr>
          <w:p w:rsidR="00B1599D" w:rsidRPr="005360FA" w:rsidP="005360FA">
            <w:pPr>
              <w:spacing w:line="240" w:lineRule="auto"/>
              <w:jc w:val="right"/>
              <w:rPr>
                <w:rFonts w:ascii="Arial Narrow" w:hAnsi="Arial Narrow" w:cs="Times New Roman"/>
              </w:rPr>
            </w:pPr>
            <w:r w:rsidRPr="005360FA">
              <w:rPr>
                <w:rFonts w:ascii="Arial Narrow" w:hAnsi="Arial Narrow" w:cs="Times New Roman"/>
              </w:rPr>
              <w:t>1 600,00</w:t>
            </w:r>
          </w:p>
        </w:tc>
      </w:tr>
      <w:tr>
        <w:tblPrEx>
          <w:tblW w:w="8580" w:type="dxa"/>
          <w:tblInd w:w="610" w:type="dxa"/>
          <w:tblCellMar>
            <w:left w:w="70" w:type="dxa"/>
            <w:right w:w="70" w:type="dxa"/>
          </w:tblCellMar>
        </w:tblPrEx>
        <w:trPr>
          <w:trHeight w:hRule="exact" w:val="227"/>
        </w:trPr>
        <w:tc>
          <w:tcPr>
            <w:tcW w:w="5560" w:type="dxa"/>
            <w:tcBorders>
              <w:top w:val="single" w:sz="8" w:space="0" w:color="auto"/>
              <w:left w:val="single" w:sz="8" w:space="0" w:color="auto"/>
              <w:bottom w:val="single" w:sz="8" w:space="0" w:color="auto"/>
              <w:right w:val="single" w:sz="8" w:space="0" w:color="auto"/>
              <w:tl2br w:val="nil"/>
              <w:tr2bl w:val="nil"/>
            </w:tcBorders>
            <w:noWrap/>
            <w:textDirection w:val="lrTb"/>
            <w:vAlign w:val="center"/>
          </w:tcPr>
          <w:p w:rsidR="00B1599D" w:rsidRPr="005360FA" w:rsidP="005360FA">
            <w:pPr>
              <w:spacing w:line="240" w:lineRule="auto"/>
              <w:jc w:val="left"/>
              <w:rPr>
                <w:rFonts w:ascii="Arial Narrow" w:hAnsi="Arial Narrow" w:cs="Times New Roman"/>
              </w:rPr>
            </w:pPr>
            <w:r w:rsidRPr="005360FA">
              <w:rPr>
                <w:rFonts w:ascii="Arial Narrow" w:hAnsi="Arial Narrow" w:cs="Times New Roman"/>
              </w:rPr>
              <w:t xml:space="preserve">Zvieratá </w:t>
            </w:r>
          </w:p>
        </w:tc>
        <w:tc>
          <w:tcPr>
            <w:tcW w:w="1460" w:type="dxa"/>
            <w:tcBorders>
              <w:top w:val="single" w:sz="8" w:space="0" w:color="auto"/>
              <w:left w:val="single" w:sz="8" w:space="0" w:color="auto"/>
              <w:bottom w:val="single" w:sz="8" w:space="0" w:color="auto"/>
              <w:right w:val="single" w:sz="8" w:space="0" w:color="auto"/>
              <w:tl2br w:val="nil"/>
              <w:tr2bl w:val="nil"/>
            </w:tcBorders>
            <w:noWrap/>
            <w:textDirection w:val="lrTb"/>
            <w:vAlign w:val="center"/>
          </w:tcPr>
          <w:p w:rsidR="00B1599D" w:rsidRPr="005360FA" w:rsidP="005360FA">
            <w:pPr>
              <w:spacing w:line="240" w:lineRule="auto"/>
              <w:jc w:val="right"/>
              <w:rPr>
                <w:rFonts w:ascii="Arial Narrow" w:hAnsi="Arial Narrow" w:cs="Times New Roman"/>
              </w:rPr>
            </w:pPr>
            <w:r w:rsidRPr="005360FA">
              <w:rPr>
                <w:rFonts w:ascii="Arial Narrow" w:hAnsi="Arial Narrow" w:cs="Times New Roman"/>
              </w:rPr>
              <w:t>50,00</w:t>
            </w:r>
          </w:p>
        </w:tc>
        <w:tc>
          <w:tcPr>
            <w:tcW w:w="1560" w:type="dxa"/>
            <w:tcBorders>
              <w:top w:val="single" w:sz="8" w:space="0" w:color="auto"/>
              <w:left w:val="single" w:sz="8" w:space="0" w:color="auto"/>
              <w:bottom w:val="single" w:sz="8" w:space="0" w:color="auto"/>
              <w:right w:val="single" w:sz="8" w:space="0" w:color="auto"/>
              <w:tl2br w:val="nil"/>
              <w:tr2bl w:val="nil"/>
            </w:tcBorders>
            <w:noWrap/>
            <w:textDirection w:val="lrTb"/>
            <w:vAlign w:val="center"/>
          </w:tcPr>
          <w:p w:rsidR="00B1599D" w:rsidRPr="005360FA" w:rsidP="005360FA">
            <w:pPr>
              <w:spacing w:line="240" w:lineRule="auto"/>
              <w:jc w:val="right"/>
              <w:rPr>
                <w:rFonts w:ascii="Arial Narrow" w:hAnsi="Arial Narrow" w:cs="Times New Roman"/>
              </w:rPr>
            </w:pPr>
            <w:r w:rsidRPr="005360FA">
              <w:rPr>
                <w:rFonts w:ascii="Arial Narrow" w:hAnsi="Arial Narrow" w:cs="Times New Roman"/>
              </w:rPr>
              <w:t>65,00</w:t>
            </w:r>
          </w:p>
        </w:tc>
      </w:tr>
      <w:tr>
        <w:tblPrEx>
          <w:tblW w:w="8580" w:type="dxa"/>
          <w:tblInd w:w="610" w:type="dxa"/>
          <w:tblCellMar>
            <w:left w:w="70" w:type="dxa"/>
            <w:right w:w="70" w:type="dxa"/>
          </w:tblCellMar>
        </w:tblPrEx>
        <w:trPr>
          <w:trHeight w:hRule="exact" w:val="227"/>
        </w:trPr>
        <w:tc>
          <w:tcPr>
            <w:tcW w:w="5560" w:type="dxa"/>
            <w:tcBorders>
              <w:top w:val="single" w:sz="8" w:space="0" w:color="auto"/>
              <w:left w:val="single" w:sz="8" w:space="0" w:color="auto"/>
              <w:bottom w:val="single" w:sz="8" w:space="0" w:color="auto"/>
              <w:right w:val="single" w:sz="8" w:space="0" w:color="auto"/>
              <w:tl2br w:val="nil"/>
              <w:tr2bl w:val="nil"/>
            </w:tcBorders>
            <w:noWrap/>
            <w:textDirection w:val="lrTb"/>
            <w:vAlign w:val="center"/>
          </w:tcPr>
          <w:p w:rsidR="00B1599D" w:rsidRPr="005360FA" w:rsidP="005360FA">
            <w:pPr>
              <w:spacing w:line="240" w:lineRule="auto"/>
              <w:jc w:val="left"/>
              <w:rPr>
                <w:rFonts w:ascii="Arial Narrow" w:hAnsi="Arial Narrow" w:cs="Times New Roman"/>
              </w:rPr>
            </w:pPr>
            <w:r w:rsidRPr="005360FA">
              <w:rPr>
                <w:rFonts w:ascii="Arial Narrow" w:hAnsi="Arial Narrow" w:cs="Times New Roman"/>
              </w:rPr>
              <w:t xml:space="preserve">Tovar </w:t>
            </w:r>
          </w:p>
        </w:tc>
        <w:tc>
          <w:tcPr>
            <w:tcW w:w="1460" w:type="dxa"/>
            <w:tcBorders>
              <w:top w:val="single" w:sz="8" w:space="0" w:color="auto"/>
              <w:left w:val="single" w:sz="8" w:space="0" w:color="auto"/>
              <w:bottom w:val="single" w:sz="8" w:space="0" w:color="auto"/>
              <w:right w:val="single" w:sz="8" w:space="0" w:color="auto"/>
              <w:tl2br w:val="nil"/>
              <w:tr2bl w:val="nil"/>
            </w:tcBorders>
            <w:noWrap/>
            <w:textDirection w:val="lrTb"/>
            <w:vAlign w:val="center"/>
          </w:tcPr>
          <w:p w:rsidR="00B1599D" w:rsidRPr="005360FA" w:rsidP="005360FA">
            <w:pPr>
              <w:spacing w:line="240" w:lineRule="auto"/>
              <w:jc w:val="right"/>
              <w:rPr>
                <w:rFonts w:ascii="Arial Narrow" w:hAnsi="Arial Narrow" w:cs="Times New Roman"/>
              </w:rPr>
            </w:pPr>
            <w:r w:rsidRPr="005360FA">
              <w:rPr>
                <w:rFonts w:ascii="Arial Narrow" w:hAnsi="Arial Narrow" w:cs="Times New Roman"/>
              </w:rPr>
              <w:t>4 447,13</w:t>
            </w:r>
          </w:p>
        </w:tc>
        <w:tc>
          <w:tcPr>
            <w:tcW w:w="1560" w:type="dxa"/>
            <w:tcBorders>
              <w:top w:val="single" w:sz="8" w:space="0" w:color="auto"/>
              <w:left w:val="single" w:sz="8" w:space="0" w:color="auto"/>
              <w:bottom w:val="single" w:sz="8" w:space="0" w:color="auto"/>
              <w:right w:val="single" w:sz="8" w:space="0" w:color="auto"/>
              <w:tl2br w:val="nil"/>
              <w:tr2bl w:val="nil"/>
            </w:tcBorders>
            <w:noWrap/>
            <w:textDirection w:val="lrTb"/>
            <w:vAlign w:val="center"/>
          </w:tcPr>
          <w:p w:rsidR="00B1599D" w:rsidRPr="005360FA" w:rsidP="005360FA">
            <w:pPr>
              <w:spacing w:line="240" w:lineRule="auto"/>
              <w:jc w:val="right"/>
              <w:rPr>
                <w:rFonts w:ascii="Arial Narrow" w:hAnsi="Arial Narrow" w:cs="Times New Roman"/>
              </w:rPr>
            </w:pPr>
            <w:r w:rsidRPr="005360FA">
              <w:rPr>
                <w:rFonts w:ascii="Arial Narrow" w:hAnsi="Arial Narrow" w:cs="Times New Roman"/>
              </w:rPr>
              <w:t>2 774,00</w:t>
            </w:r>
          </w:p>
        </w:tc>
      </w:tr>
      <w:tr>
        <w:tblPrEx>
          <w:tblW w:w="8580" w:type="dxa"/>
          <w:tblInd w:w="610" w:type="dxa"/>
          <w:tblCellMar>
            <w:left w:w="70" w:type="dxa"/>
            <w:right w:w="70" w:type="dxa"/>
          </w:tblCellMar>
        </w:tblPrEx>
        <w:trPr>
          <w:trHeight w:hRule="exact" w:val="227"/>
        </w:trPr>
        <w:tc>
          <w:tcPr>
            <w:tcW w:w="5560" w:type="dxa"/>
            <w:tcBorders>
              <w:top w:val="single" w:sz="8" w:space="0" w:color="auto"/>
              <w:left w:val="single" w:sz="8" w:space="0" w:color="auto"/>
              <w:bottom w:val="single" w:sz="8" w:space="0" w:color="auto"/>
              <w:right w:val="single" w:sz="8" w:space="0" w:color="auto"/>
              <w:tl2br w:val="nil"/>
              <w:tr2bl w:val="nil"/>
            </w:tcBorders>
            <w:noWrap/>
            <w:textDirection w:val="lrTb"/>
            <w:vAlign w:val="center"/>
          </w:tcPr>
          <w:p w:rsidR="00B1599D" w:rsidRPr="005360FA" w:rsidP="005360FA">
            <w:pPr>
              <w:spacing w:line="240" w:lineRule="auto"/>
              <w:jc w:val="left"/>
              <w:rPr>
                <w:rFonts w:ascii="Arial Narrow" w:hAnsi="Arial Narrow" w:cs="Times New Roman"/>
              </w:rPr>
            </w:pPr>
            <w:r w:rsidRPr="005360FA">
              <w:rPr>
                <w:rFonts w:ascii="Arial Narrow" w:hAnsi="Arial Narrow" w:cs="Times New Roman"/>
              </w:rPr>
              <w:t xml:space="preserve">Krátkodobé pohľadávky súčet </w:t>
            </w:r>
          </w:p>
        </w:tc>
        <w:tc>
          <w:tcPr>
            <w:tcW w:w="1460" w:type="dxa"/>
            <w:tcBorders>
              <w:top w:val="single" w:sz="8" w:space="0" w:color="auto"/>
              <w:left w:val="single" w:sz="8" w:space="0" w:color="auto"/>
              <w:bottom w:val="single" w:sz="8" w:space="0" w:color="auto"/>
              <w:right w:val="single" w:sz="8" w:space="0" w:color="auto"/>
              <w:tl2br w:val="nil"/>
              <w:tr2bl w:val="nil"/>
            </w:tcBorders>
            <w:noWrap/>
            <w:textDirection w:val="lrTb"/>
            <w:vAlign w:val="center"/>
          </w:tcPr>
          <w:p w:rsidR="00B1599D" w:rsidRPr="005360FA" w:rsidP="005360FA">
            <w:pPr>
              <w:spacing w:line="240" w:lineRule="auto"/>
              <w:jc w:val="right"/>
              <w:rPr>
                <w:rFonts w:ascii="Arial Narrow" w:hAnsi="Arial Narrow" w:cs="Times New Roman"/>
              </w:rPr>
            </w:pPr>
            <w:r w:rsidRPr="005360FA">
              <w:rPr>
                <w:rFonts w:ascii="Arial Narrow" w:hAnsi="Arial Narrow" w:cs="Times New Roman"/>
              </w:rPr>
              <w:t>57 539,89</w:t>
            </w:r>
          </w:p>
        </w:tc>
        <w:tc>
          <w:tcPr>
            <w:tcW w:w="1560" w:type="dxa"/>
            <w:tcBorders>
              <w:top w:val="single" w:sz="8" w:space="0" w:color="auto"/>
              <w:left w:val="single" w:sz="8" w:space="0" w:color="auto"/>
              <w:bottom w:val="single" w:sz="8" w:space="0" w:color="auto"/>
              <w:right w:val="single" w:sz="8" w:space="0" w:color="auto"/>
              <w:tl2br w:val="nil"/>
              <w:tr2bl w:val="nil"/>
            </w:tcBorders>
            <w:noWrap/>
            <w:textDirection w:val="lrTb"/>
            <w:vAlign w:val="center"/>
          </w:tcPr>
          <w:p w:rsidR="00B1599D" w:rsidRPr="005360FA" w:rsidP="005360FA">
            <w:pPr>
              <w:spacing w:line="240" w:lineRule="auto"/>
              <w:jc w:val="right"/>
              <w:rPr>
                <w:rFonts w:ascii="Arial Narrow" w:hAnsi="Arial Narrow" w:cs="Times New Roman"/>
              </w:rPr>
            </w:pPr>
            <w:r w:rsidRPr="005360FA">
              <w:rPr>
                <w:rFonts w:ascii="Arial Narrow" w:hAnsi="Arial Narrow" w:cs="Times New Roman"/>
              </w:rPr>
              <w:t>18 195,00</w:t>
            </w:r>
          </w:p>
        </w:tc>
      </w:tr>
      <w:tr>
        <w:tblPrEx>
          <w:tblW w:w="8580" w:type="dxa"/>
          <w:tblInd w:w="610" w:type="dxa"/>
          <w:tblCellMar>
            <w:left w:w="70" w:type="dxa"/>
            <w:right w:w="70" w:type="dxa"/>
          </w:tblCellMar>
        </w:tblPrEx>
        <w:trPr>
          <w:trHeight w:hRule="exact" w:val="227"/>
        </w:trPr>
        <w:tc>
          <w:tcPr>
            <w:tcW w:w="5560" w:type="dxa"/>
            <w:tcBorders>
              <w:top w:val="single" w:sz="8" w:space="0" w:color="auto"/>
              <w:left w:val="single" w:sz="8" w:space="0" w:color="auto"/>
              <w:bottom w:val="single" w:sz="8" w:space="0" w:color="auto"/>
              <w:right w:val="single" w:sz="8" w:space="0" w:color="auto"/>
              <w:tl2br w:val="nil"/>
              <w:tr2bl w:val="nil"/>
            </w:tcBorders>
            <w:noWrap/>
            <w:textDirection w:val="lrTb"/>
            <w:vAlign w:val="center"/>
          </w:tcPr>
          <w:p w:rsidR="00B1599D" w:rsidRPr="005360FA" w:rsidP="005360FA">
            <w:pPr>
              <w:spacing w:line="240" w:lineRule="auto"/>
              <w:jc w:val="left"/>
              <w:rPr>
                <w:rFonts w:ascii="Arial Narrow" w:hAnsi="Arial Narrow" w:cs="Times New Roman"/>
              </w:rPr>
            </w:pPr>
            <w:r w:rsidRPr="005360FA">
              <w:rPr>
                <w:rFonts w:ascii="Arial Narrow" w:hAnsi="Arial Narrow" w:cs="Times New Roman"/>
              </w:rPr>
              <w:t>Pohľadávky z obchodného styku</w:t>
            </w:r>
          </w:p>
        </w:tc>
        <w:tc>
          <w:tcPr>
            <w:tcW w:w="1460" w:type="dxa"/>
            <w:tcBorders>
              <w:top w:val="single" w:sz="8" w:space="0" w:color="auto"/>
              <w:left w:val="single" w:sz="8" w:space="0" w:color="auto"/>
              <w:bottom w:val="single" w:sz="8" w:space="0" w:color="auto"/>
              <w:right w:val="single" w:sz="8" w:space="0" w:color="auto"/>
              <w:tl2br w:val="nil"/>
              <w:tr2bl w:val="nil"/>
            </w:tcBorders>
            <w:noWrap/>
            <w:textDirection w:val="lrTb"/>
            <w:vAlign w:val="center"/>
          </w:tcPr>
          <w:p w:rsidR="00B1599D" w:rsidRPr="005360FA" w:rsidP="005360FA">
            <w:pPr>
              <w:spacing w:line="240" w:lineRule="auto"/>
              <w:jc w:val="right"/>
              <w:rPr>
                <w:rFonts w:ascii="Arial Narrow" w:hAnsi="Arial Narrow" w:cs="Times New Roman"/>
              </w:rPr>
            </w:pPr>
            <w:r w:rsidRPr="005360FA">
              <w:rPr>
                <w:rFonts w:ascii="Arial Narrow" w:hAnsi="Arial Narrow" w:cs="Times New Roman"/>
              </w:rPr>
              <w:t>31 539,04</w:t>
            </w:r>
          </w:p>
        </w:tc>
        <w:tc>
          <w:tcPr>
            <w:tcW w:w="1560" w:type="dxa"/>
            <w:tcBorders>
              <w:top w:val="single" w:sz="8" w:space="0" w:color="auto"/>
              <w:left w:val="single" w:sz="8" w:space="0" w:color="auto"/>
              <w:bottom w:val="single" w:sz="8" w:space="0" w:color="auto"/>
              <w:right w:val="single" w:sz="8" w:space="0" w:color="auto"/>
              <w:tl2br w:val="nil"/>
              <w:tr2bl w:val="nil"/>
            </w:tcBorders>
            <w:noWrap/>
            <w:textDirection w:val="lrTb"/>
            <w:vAlign w:val="center"/>
          </w:tcPr>
          <w:p w:rsidR="00B1599D" w:rsidRPr="005360FA" w:rsidP="005360FA">
            <w:pPr>
              <w:spacing w:line="240" w:lineRule="auto"/>
              <w:jc w:val="right"/>
              <w:rPr>
                <w:rFonts w:ascii="Arial Narrow" w:hAnsi="Arial Narrow" w:cs="Times New Roman"/>
              </w:rPr>
            </w:pPr>
            <w:r w:rsidRPr="005360FA">
              <w:rPr>
                <w:rFonts w:ascii="Arial Narrow" w:hAnsi="Arial Narrow" w:cs="Times New Roman"/>
              </w:rPr>
              <w:t>15 790,00</w:t>
            </w:r>
          </w:p>
        </w:tc>
      </w:tr>
      <w:tr>
        <w:tblPrEx>
          <w:tblW w:w="8580" w:type="dxa"/>
          <w:tblInd w:w="610" w:type="dxa"/>
          <w:tblCellMar>
            <w:left w:w="70" w:type="dxa"/>
            <w:right w:w="70" w:type="dxa"/>
          </w:tblCellMar>
        </w:tblPrEx>
        <w:trPr>
          <w:trHeight w:hRule="exact" w:val="227"/>
        </w:trPr>
        <w:tc>
          <w:tcPr>
            <w:tcW w:w="5560" w:type="dxa"/>
            <w:tcBorders>
              <w:top w:val="single" w:sz="8" w:space="0" w:color="auto"/>
              <w:left w:val="single" w:sz="8" w:space="0" w:color="auto"/>
              <w:bottom w:val="single" w:sz="8" w:space="0" w:color="auto"/>
              <w:right w:val="single" w:sz="8" w:space="0" w:color="auto"/>
              <w:tl2br w:val="nil"/>
              <w:tr2bl w:val="nil"/>
            </w:tcBorders>
            <w:noWrap/>
            <w:textDirection w:val="lrTb"/>
            <w:vAlign w:val="center"/>
          </w:tcPr>
          <w:p w:rsidR="00B1599D" w:rsidRPr="005360FA" w:rsidP="005360FA">
            <w:pPr>
              <w:spacing w:line="240" w:lineRule="auto"/>
              <w:jc w:val="left"/>
              <w:rPr>
                <w:rFonts w:ascii="Arial Narrow" w:hAnsi="Arial Narrow" w:cs="Times New Roman"/>
              </w:rPr>
            </w:pPr>
            <w:r w:rsidRPr="005360FA">
              <w:rPr>
                <w:rFonts w:ascii="Arial Narrow" w:hAnsi="Arial Narrow" w:cs="Times New Roman"/>
              </w:rPr>
              <w:t xml:space="preserve">Daňové pohľadávky </w:t>
            </w:r>
          </w:p>
        </w:tc>
        <w:tc>
          <w:tcPr>
            <w:tcW w:w="1460" w:type="dxa"/>
            <w:tcBorders>
              <w:top w:val="single" w:sz="8" w:space="0" w:color="auto"/>
              <w:left w:val="single" w:sz="8" w:space="0" w:color="auto"/>
              <w:bottom w:val="single" w:sz="8" w:space="0" w:color="auto"/>
              <w:right w:val="single" w:sz="8" w:space="0" w:color="auto"/>
              <w:tl2br w:val="nil"/>
              <w:tr2bl w:val="nil"/>
            </w:tcBorders>
            <w:noWrap/>
            <w:textDirection w:val="lrTb"/>
            <w:vAlign w:val="center"/>
          </w:tcPr>
          <w:p w:rsidR="00B1599D" w:rsidRPr="005360FA" w:rsidP="005360FA">
            <w:pPr>
              <w:spacing w:line="240" w:lineRule="auto"/>
              <w:jc w:val="right"/>
              <w:rPr>
                <w:rFonts w:ascii="Arial Narrow" w:hAnsi="Arial Narrow" w:cs="Times New Roman"/>
              </w:rPr>
            </w:pPr>
            <w:r w:rsidRPr="005360FA">
              <w:rPr>
                <w:rFonts w:ascii="Arial Narrow" w:hAnsi="Arial Narrow" w:cs="Times New Roman"/>
              </w:rPr>
              <w:t>25 983,13</w:t>
            </w:r>
          </w:p>
        </w:tc>
        <w:tc>
          <w:tcPr>
            <w:tcW w:w="1560" w:type="dxa"/>
            <w:tcBorders>
              <w:top w:val="single" w:sz="8" w:space="0" w:color="auto"/>
              <w:left w:val="single" w:sz="8" w:space="0" w:color="auto"/>
              <w:bottom w:val="single" w:sz="8" w:space="0" w:color="auto"/>
              <w:right w:val="single" w:sz="8" w:space="0" w:color="auto"/>
              <w:tl2br w:val="nil"/>
              <w:tr2bl w:val="nil"/>
            </w:tcBorders>
            <w:noWrap/>
            <w:textDirection w:val="lrTb"/>
            <w:vAlign w:val="center"/>
          </w:tcPr>
          <w:p w:rsidR="00B1599D" w:rsidRPr="005360FA" w:rsidP="005360FA">
            <w:pPr>
              <w:spacing w:line="240" w:lineRule="auto"/>
              <w:jc w:val="right"/>
              <w:rPr>
                <w:rFonts w:ascii="Arial Narrow" w:hAnsi="Arial Narrow" w:cs="Times New Roman"/>
              </w:rPr>
            </w:pPr>
            <w:r w:rsidRPr="005360FA">
              <w:rPr>
                <w:rFonts w:ascii="Arial Narrow" w:hAnsi="Arial Narrow" w:cs="Times New Roman"/>
              </w:rPr>
              <w:t>2 386,00</w:t>
            </w:r>
          </w:p>
        </w:tc>
      </w:tr>
      <w:tr>
        <w:tblPrEx>
          <w:tblW w:w="8580" w:type="dxa"/>
          <w:tblInd w:w="610" w:type="dxa"/>
          <w:tblCellMar>
            <w:left w:w="70" w:type="dxa"/>
            <w:right w:w="70" w:type="dxa"/>
          </w:tblCellMar>
        </w:tblPrEx>
        <w:trPr>
          <w:trHeight w:hRule="exact" w:val="227"/>
        </w:trPr>
        <w:tc>
          <w:tcPr>
            <w:tcW w:w="5560" w:type="dxa"/>
            <w:tcBorders>
              <w:top w:val="single" w:sz="8" w:space="0" w:color="auto"/>
              <w:left w:val="single" w:sz="8" w:space="0" w:color="auto"/>
              <w:bottom w:val="single" w:sz="8" w:space="0" w:color="auto"/>
              <w:right w:val="single" w:sz="8" w:space="0" w:color="auto"/>
              <w:tl2br w:val="nil"/>
              <w:tr2bl w:val="nil"/>
            </w:tcBorders>
            <w:noWrap/>
            <w:textDirection w:val="lrTb"/>
            <w:vAlign w:val="center"/>
          </w:tcPr>
          <w:p w:rsidR="00B1599D" w:rsidRPr="005360FA" w:rsidP="005360FA">
            <w:pPr>
              <w:spacing w:line="240" w:lineRule="auto"/>
              <w:jc w:val="left"/>
              <w:rPr>
                <w:rFonts w:ascii="Arial Narrow" w:hAnsi="Arial Narrow" w:cs="Times New Roman"/>
              </w:rPr>
            </w:pPr>
            <w:r w:rsidRPr="005360FA">
              <w:rPr>
                <w:rFonts w:ascii="Arial Narrow" w:hAnsi="Arial Narrow" w:cs="Times New Roman"/>
              </w:rPr>
              <w:t xml:space="preserve">Iné pohľadávky </w:t>
            </w:r>
          </w:p>
        </w:tc>
        <w:tc>
          <w:tcPr>
            <w:tcW w:w="1460" w:type="dxa"/>
            <w:tcBorders>
              <w:top w:val="single" w:sz="8" w:space="0" w:color="auto"/>
              <w:left w:val="single" w:sz="8" w:space="0" w:color="auto"/>
              <w:bottom w:val="single" w:sz="8" w:space="0" w:color="auto"/>
              <w:right w:val="single" w:sz="8" w:space="0" w:color="auto"/>
              <w:tl2br w:val="nil"/>
              <w:tr2bl w:val="nil"/>
            </w:tcBorders>
            <w:noWrap/>
            <w:textDirection w:val="lrTb"/>
            <w:vAlign w:val="center"/>
          </w:tcPr>
          <w:p w:rsidR="00B1599D" w:rsidRPr="005360FA" w:rsidP="005360FA">
            <w:pPr>
              <w:spacing w:line="240" w:lineRule="auto"/>
              <w:jc w:val="right"/>
              <w:rPr>
                <w:rFonts w:ascii="Arial Narrow" w:hAnsi="Arial Narrow" w:cs="Times New Roman"/>
              </w:rPr>
            </w:pPr>
            <w:r w:rsidRPr="005360FA">
              <w:rPr>
                <w:rFonts w:ascii="Arial Narrow" w:hAnsi="Arial Narrow" w:cs="Times New Roman"/>
              </w:rPr>
              <w:t>17,72</w:t>
            </w:r>
          </w:p>
        </w:tc>
        <w:tc>
          <w:tcPr>
            <w:tcW w:w="1560" w:type="dxa"/>
            <w:tcBorders>
              <w:top w:val="single" w:sz="8" w:space="0" w:color="auto"/>
              <w:left w:val="single" w:sz="8" w:space="0" w:color="auto"/>
              <w:bottom w:val="single" w:sz="8" w:space="0" w:color="auto"/>
              <w:right w:val="single" w:sz="8" w:space="0" w:color="auto"/>
              <w:tl2br w:val="nil"/>
              <w:tr2bl w:val="nil"/>
            </w:tcBorders>
            <w:noWrap/>
            <w:textDirection w:val="lrTb"/>
            <w:vAlign w:val="center"/>
          </w:tcPr>
          <w:p w:rsidR="00B1599D" w:rsidRPr="005360FA" w:rsidP="005360FA">
            <w:pPr>
              <w:spacing w:line="240" w:lineRule="auto"/>
              <w:jc w:val="right"/>
              <w:rPr>
                <w:rFonts w:ascii="Arial Narrow" w:hAnsi="Arial Narrow" w:cs="Times New Roman"/>
              </w:rPr>
            </w:pPr>
            <w:r w:rsidRPr="005360FA">
              <w:rPr>
                <w:rFonts w:ascii="Arial Narrow" w:hAnsi="Arial Narrow" w:cs="Times New Roman"/>
              </w:rPr>
              <w:t>19,00</w:t>
            </w:r>
          </w:p>
        </w:tc>
      </w:tr>
      <w:tr>
        <w:tblPrEx>
          <w:tblW w:w="8580" w:type="dxa"/>
          <w:tblInd w:w="610" w:type="dxa"/>
          <w:tblCellMar>
            <w:left w:w="70" w:type="dxa"/>
            <w:right w:w="70" w:type="dxa"/>
          </w:tblCellMar>
        </w:tblPrEx>
        <w:trPr>
          <w:trHeight w:hRule="exact" w:val="227"/>
        </w:trPr>
        <w:tc>
          <w:tcPr>
            <w:tcW w:w="5560" w:type="dxa"/>
            <w:tcBorders>
              <w:top w:val="single" w:sz="8" w:space="0" w:color="auto"/>
              <w:left w:val="single" w:sz="8" w:space="0" w:color="auto"/>
              <w:bottom w:val="single" w:sz="8" w:space="0" w:color="auto"/>
              <w:right w:val="single" w:sz="8" w:space="0" w:color="auto"/>
              <w:tl2br w:val="nil"/>
              <w:tr2bl w:val="nil"/>
            </w:tcBorders>
            <w:noWrap/>
            <w:textDirection w:val="lrTb"/>
            <w:vAlign w:val="center"/>
          </w:tcPr>
          <w:p w:rsidR="00B1599D" w:rsidRPr="005360FA" w:rsidP="005360FA">
            <w:pPr>
              <w:spacing w:line="240" w:lineRule="auto"/>
              <w:jc w:val="left"/>
              <w:rPr>
                <w:rFonts w:ascii="Arial Narrow" w:hAnsi="Arial Narrow" w:cs="Times New Roman"/>
              </w:rPr>
            </w:pPr>
            <w:r w:rsidRPr="005360FA">
              <w:rPr>
                <w:rFonts w:ascii="Arial Narrow" w:hAnsi="Arial Narrow" w:cs="Times New Roman"/>
              </w:rPr>
              <w:t xml:space="preserve">Finančné účty súčet </w:t>
            </w:r>
          </w:p>
        </w:tc>
        <w:tc>
          <w:tcPr>
            <w:tcW w:w="1460" w:type="dxa"/>
            <w:tcBorders>
              <w:top w:val="single" w:sz="8" w:space="0" w:color="auto"/>
              <w:left w:val="single" w:sz="8" w:space="0" w:color="auto"/>
              <w:bottom w:val="single" w:sz="8" w:space="0" w:color="auto"/>
              <w:right w:val="single" w:sz="8" w:space="0" w:color="auto"/>
              <w:tl2br w:val="nil"/>
              <w:tr2bl w:val="nil"/>
            </w:tcBorders>
            <w:noWrap/>
            <w:textDirection w:val="lrTb"/>
            <w:vAlign w:val="center"/>
          </w:tcPr>
          <w:p w:rsidR="00B1599D" w:rsidRPr="005360FA" w:rsidP="005360FA">
            <w:pPr>
              <w:spacing w:line="240" w:lineRule="auto"/>
              <w:jc w:val="right"/>
              <w:rPr>
                <w:rFonts w:ascii="Arial Narrow" w:hAnsi="Arial Narrow" w:cs="Times New Roman"/>
              </w:rPr>
            </w:pPr>
            <w:r w:rsidRPr="005360FA">
              <w:rPr>
                <w:rFonts w:ascii="Arial Narrow" w:hAnsi="Arial Narrow" w:cs="Times New Roman"/>
              </w:rPr>
              <w:t>329 757,06</w:t>
            </w:r>
          </w:p>
        </w:tc>
        <w:tc>
          <w:tcPr>
            <w:tcW w:w="1560" w:type="dxa"/>
            <w:tcBorders>
              <w:top w:val="single" w:sz="8" w:space="0" w:color="auto"/>
              <w:left w:val="single" w:sz="8" w:space="0" w:color="auto"/>
              <w:bottom w:val="single" w:sz="8" w:space="0" w:color="auto"/>
              <w:right w:val="single" w:sz="8" w:space="0" w:color="auto"/>
              <w:tl2br w:val="nil"/>
              <w:tr2bl w:val="nil"/>
            </w:tcBorders>
            <w:noWrap/>
            <w:textDirection w:val="lrTb"/>
            <w:vAlign w:val="center"/>
          </w:tcPr>
          <w:p w:rsidR="00B1599D" w:rsidRPr="005360FA" w:rsidP="005360FA">
            <w:pPr>
              <w:spacing w:line="240" w:lineRule="auto"/>
              <w:jc w:val="right"/>
              <w:rPr>
                <w:rFonts w:ascii="Arial Narrow" w:hAnsi="Arial Narrow" w:cs="Times New Roman"/>
              </w:rPr>
            </w:pPr>
            <w:r w:rsidRPr="005360FA">
              <w:rPr>
                <w:rFonts w:ascii="Arial Narrow" w:hAnsi="Arial Narrow" w:cs="Times New Roman"/>
              </w:rPr>
              <w:t>434 022,00</w:t>
            </w:r>
          </w:p>
        </w:tc>
      </w:tr>
      <w:tr>
        <w:tblPrEx>
          <w:tblW w:w="8580" w:type="dxa"/>
          <w:tblInd w:w="610" w:type="dxa"/>
          <w:tblCellMar>
            <w:left w:w="70" w:type="dxa"/>
            <w:right w:w="70" w:type="dxa"/>
          </w:tblCellMar>
        </w:tblPrEx>
        <w:trPr>
          <w:trHeight w:hRule="exact" w:val="227"/>
        </w:trPr>
        <w:tc>
          <w:tcPr>
            <w:tcW w:w="5560" w:type="dxa"/>
            <w:tcBorders>
              <w:top w:val="single" w:sz="8" w:space="0" w:color="auto"/>
              <w:left w:val="single" w:sz="8" w:space="0" w:color="auto"/>
              <w:bottom w:val="single" w:sz="8" w:space="0" w:color="auto"/>
              <w:right w:val="single" w:sz="8" w:space="0" w:color="auto"/>
              <w:tl2br w:val="nil"/>
              <w:tr2bl w:val="nil"/>
            </w:tcBorders>
            <w:noWrap/>
            <w:textDirection w:val="lrTb"/>
            <w:vAlign w:val="center"/>
          </w:tcPr>
          <w:p w:rsidR="00B1599D" w:rsidRPr="005360FA" w:rsidP="005360FA">
            <w:pPr>
              <w:spacing w:line="240" w:lineRule="auto"/>
              <w:jc w:val="left"/>
              <w:rPr>
                <w:rFonts w:ascii="Arial Narrow" w:hAnsi="Arial Narrow" w:cs="Times New Roman"/>
              </w:rPr>
            </w:pPr>
            <w:r w:rsidRPr="005360FA">
              <w:rPr>
                <w:rFonts w:ascii="Arial Narrow" w:hAnsi="Arial Narrow" w:cs="Times New Roman"/>
              </w:rPr>
              <w:t xml:space="preserve">Peniaze </w:t>
            </w:r>
          </w:p>
        </w:tc>
        <w:tc>
          <w:tcPr>
            <w:tcW w:w="1460" w:type="dxa"/>
            <w:tcBorders>
              <w:top w:val="single" w:sz="8" w:space="0" w:color="auto"/>
              <w:left w:val="single" w:sz="8" w:space="0" w:color="auto"/>
              <w:bottom w:val="single" w:sz="8" w:space="0" w:color="auto"/>
              <w:right w:val="single" w:sz="8" w:space="0" w:color="auto"/>
              <w:tl2br w:val="nil"/>
              <w:tr2bl w:val="nil"/>
            </w:tcBorders>
            <w:noWrap/>
            <w:textDirection w:val="lrTb"/>
            <w:vAlign w:val="center"/>
          </w:tcPr>
          <w:p w:rsidR="00B1599D" w:rsidRPr="005360FA" w:rsidP="005360FA">
            <w:pPr>
              <w:spacing w:line="240" w:lineRule="auto"/>
              <w:jc w:val="right"/>
              <w:rPr>
                <w:rFonts w:ascii="Arial Narrow" w:hAnsi="Arial Narrow" w:cs="Times New Roman"/>
              </w:rPr>
            </w:pPr>
            <w:r w:rsidRPr="005360FA">
              <w:rPr>
                <w:rFonts w:ascii="Arial Narrow" w:hAnsi="Arial Narrow" w:cs="Times New Roman"/>
              </w:rPr>
              <w:t>582,71</w:t>
            </w:r>
          </w:p>
        </w:tc>
        <w:tc>
          <w:tcPr>
            <w:tcW w:w="1560" w:type="dxa"/>
            <w:tcBorders>
              <w:top w:val="single" w:sz="8" w:space="0" w:color="auto"/>
              <w:left w:val="single" w:sz="8" w:space="0" w:color="auto"/>
              <w:bottom w:val="single" w:sz="8" w:space="0" w:color="auto"/>
              <w:right w:val="single" w:sz="8" w:space="0" w:color="auto"/>
              <w:tl2br w:val="nil"/>
              <w:tr2bl w:val="nil"/>
            </w:tcBorders>
            <w:noWrap/>
            <w:textDirection w:val="lrTb"/>
            <w:vAlign w:val="center"/>
          </w:tcPr>
          <w:p w:rsidR="00B1599D" w:rsidRPr="005360FA" w:rsidP="005360FA">
            <w:pPr>
              <w:spacing w:line="240" w:lineRule="auto"/>
              <w:jc w:val="right"/>
              <w:rPr>
                <w:rFonts w:ascii="Arial Narrow" w:hAnsi="Arial Narrow" w:cs="Times New Roman"/>
              </w:rPr>
            </w:pPr>
            <w:r w:rsidRPr="005360FA">
              <w:rPr>
                <w:rFonts w:ascii="Arial Narrow" w:hAnsi="Arial Narrow" w:cs="Times New Roman"/>
              </w:rPr>
              <w:t>278,00</w:t>
            </w:r>
          </w:p>
        </w:tc>
      </w:tr>
      <w:tr>
        <w:tblPrEx>
          <w:tblW w:w="8580" w:type="dxa"/>
          <w:tblInd w:w="610" w:type="dxa"/>
          <w:tblCellMar>
            <w:left w:w="70" w:type="dxa"/>
            <w:right w:w="70" w:type="dxa"/>
          </w:tblCellMar>
        </w:tblPrEx>
        <w:trPr>
          <w:trHeight w:hRule="exact" w:val="227"/>
        </w:trPr>
        <w:tc>
          <w:tcPr>
            <w:tcW w:w="5560" w:type="dxa"/>
            <w:tcBorders>
              <w:top w:val="single" w:sz="8" w:space="0" w:color="auto"/>
              <w:left w:val="single" w:sz="8" w:space="0" w:color="auto"/>
              <w:bottom w:val="single" w:sz="8" w:space="0" w:color="auto"/>
              <w:right w:val="single" w:sz="8" w:space="0" w:color="auto"/>
              <w:tl2br w:val="nil"/>
              <w:tr2bl w:val="nil"/>
            </w:tcBorders>
            <w:noWrap/>
            <w:textDirection w:val="lrTb"/>
            <w:vAlign w:val="center"/>
          </w:tcPr>
          <w:p w:rsidR="00B1599D" w:rsidRPr="005360FA" w:rsidP="005360FA">
            <w:pPr>
              <w:spacing w:line="240" w:lineRule="auto"/>
              <w:jc w:val="left"/>
              <w:rPr>
                <w:rFonts w:ascii="Arial Narrow" w:hAnsi="Arial Narrow" w:cs="Times New Roman"/>
              </w:rPr>
            </w:pPr>
            <w:r w:rsidRPr="005360FA">
              <w:rPr>
                <w:rFonts w:ascii="Arial Narrow" w:hAnsi="Arial Narrow" w:cs="Times New Roman"/>
              </w:rPr>
              <w:t xml:space="preserve">Účty v bankách </w:t>
            </w:r>
          </w:p>
        </w:tc>
        <w:tc>
          <w:tcPr>
            <w:tcW w:w="1460" w:type="dxa"/>
            <w:tcBorders>
              <w:top w:val="single" w:sz="8" w:space="0" w:color="auto"/>
              <w:left w:val="single" w:sz="8" w:space="0" w:color="auto"/>
              <w:bottom w:val="single" w:sz="8" w:space="0" w:color="auto"/>
              <w:right w:val="single" w:sz="8" w:space="0" w:color="auto"/>
              <w:tl2br w:val="nil"/>
              <w:tr2bl w:val="nil"/>
            </w:tcBorders>
            <w:noWrap/>
            <w:textDirection w:val="lrTb"/>
            <w:vAlign w:val="center"/>
          </w:tcPr>
          <w:p w:rsidR="00B1599D" w:rsidRPr="005360FA" w:rsidP="005360FA">
            <w:pPr>
              <w:spacing w:line="240" w:lineRule="auto"/>
              <w:jc w:val="right"/>
              <w:rPr>
                <w:rFonts w:ascii="Arial Narrow" w:hAnsi="Arial Narrow" w:cs="Times New Roman"/>
              </w:rPr>
            </w:pPr>
            <w:r w:rsidRPr="005360FA">
              <w:rPr>
                <w:rFonts w:ascii="Arial Narrow" w:hAnsi="Arial Narrow" w:cs="Times New Roman"/>
              </w:rPr>
              <w:t>329 174,36</w:t>
            </w:r>
          </w:p>
        </w:tc>
        <w:tc>
          <w:tcPr>
            <w:tcW w:w="1560" w:type="dxa"/>
            <w:tcBorders>
              <w:top w:val="single" w:sz="8" w:space="0" w:color="auto"/>
              <w:left w:val="single" w:sz="8" w:space="0" w:color="auto"/>
              <w:bottom w:val="single" w:sz="8" w:space="0" w:color="auto"/>
              <w:right w:val="single" w:sz="8" w:space="0" w:color="auto"/>
              <w:tl2br w:val="nil"/>
              <w:tr2bl w:val="nil"/>
            </w:tcBorders>
            <w:noWrap/>
            <w:textDirection w:val="lrTb"/>
            <w:vAlign w:val="center"/>
          </w:tcPr>
          <w:p w:rsidR="00B1599D" w:rsidRPr="005360FA" w:rsidP="005360FA">
            <w:pPr>
              <w:spacing w:line="240" w:lineRule="auto"/>
              <w:jc w:val="right"/>
              <w:rPr>
                <w:rFonts w:ascii="Arial Narrow" w:hAnsi="Arial Narrow" w:cs="Times New Roman"/>
              </w:rPr>
            </w:pPr>
            <w:r w:rsidRPr="005360FA">
              <w:rPr>
                <w:rFonts w:ascii="Arial Narrow" w:hAnsi="Arial Narrow" w:cs="Times New Roman"/>
              </w:rPr>
              <w:t>433 744,00</w:t>
            </w:r>
          </w:p>
        </w:tc>
      </w:tr>
      <w:tr>
        <w:tblPrEx>
          <w:tblW w:w="8580" w:type="dxa"/>
          <w:tblInd w:w="610" w:type="dxa"/>
          <w:tblCellMar>
            <w:left w:w="70" w:type="dxa"/>
            <w:right w:w="70" w:type="dxa"/>
          </w:tblCellMar>
        </w:tblPrEx>
        <w:trPr>
          <w:trHeight w:hRule="exact" w:val="227"/>
        </w:trPr>
        <w:tc>
          <w:tcPr>
            <w:tcW w:w="5560" w:type="dxa"/>
            <w:tcBorders>
              <w:top w:val="single" w:sz="8" w:space="0" w:color="auto"/>
              <w:left w:val="single" w:sz="8" w:space="0" w:color="auto"/>
              <w:bottom w:val="single" w:sz="8" w:space="0" w:color="auto"/>
              <w:right w:val="single" w:sz="8" w:space="0" w:color="auto"/>
              <w:tl2br w:val="nil"/>
              <w:tr2bl w:val="nil"/>
            </w:tcBorders>
            <w:noWrap/>
            <w:textDirection w:val="lrTb"/>
            <w:vAlign w:val="center"/>
          </w:tcPr>
          <w:p w:rsidR="00B1599D" w:rsidRPr="005360FA" w:rsidP="005360FA">
            <w:pPr>
              <w:spacing w:line="240" w:lineRule="auto"/>
              <w:jc w:val="left"/>
              <w:rPr>
                <w:rFonts w:ascii="Arial Narrow" w:hAnsi="Arial Narrow" w:cs="Times New Roman"/>
              </w:rPr>
            </w:pPr>
            <w:r w:rsidRPr="005360FA">
              <w:rPr>
                <w:rFonts w:ascii="Arial Narrow" w:hAnsi="Arial Narrow" w:cs="Times New Roman"/>
              </w:rPr>
              <w:t xml:space="preserve">Časové rozlíšenie </w:t>
            </w:r>
          </w:p>
        </w:tc>
        <w:tc>
          <w:tcPr>
            <w:tcW w:w="1460" w:type="dxa"/>
            <w:tcBorders>
              <w:top w:val="single" w:sz="8" w:space="0" w:color="auto"/>
              <w:left w:val="single" w:sz="8" w:space="0" w:color="auto"/>
              <w:bottom w:val="single" w:sz="8" w:space="0" w:color="auto"/>
              <w:right w:val="single" w:sz="8" w:space="0" w:color="auto"/>
              <w:tl2br w:val="nil"/>
              <w:tr2bl w:val="nil"/>
            </w:tcBorders>
            <w:noWrap/>
            <w:textDirection w:val="lrTb"/>
            <w:vAlign w:val="center"/>
          </w:tcPr>
          <w:p w:rsidR="00B1599D" w:rsidRPr="005360FA" w:rsidP="005360FA">
            <w:pPr>
              <w:spacing w:line="240" w:lineRule="auto"/>
              <w:jc w:val="right"/>
              <w:rPr>
                <w:rFonts w:ascii="Arial Narrow" w:hAnsi="Arial Narrow" w:cs="Times New Roman"/>
              </w:rPr>
            </w:pPr>
            <w:r w:rsidRPr="005360FA">
              <w:rPr>
                <w:rFonts w:ascii="Arial Narrow" w:hAnsi="Arial Narrow" w:cs="Times New Roman"/>
              </w:rPr>
              <w:t>381,05</w:t>
            </w:r>
          </w:p>
        </w:tc>
        <w:tc>
          <w:tcPr>
            <w:tcW w:w="1560" w:type="dxa"/>
            <w:tcBorders>
              <w:top w:val="single" w:sz="8" w:space="0" w:color="auto"/>
              <w:left w:val="single" w:sz="8" w:space="0" w:color="auto"/>
              <w:bottom w:val="single" w:sz="8" w:space="0" w:color="auto"/>
              <w:right w:val="single" w:sz="8" w:space="0" w:color="auto"/>
              <w:tl2br w:val="nil"/>
              <w:tr2bl w:val="nil"/>
            </w:tcBorders>
            <w:noWrap/>
            <w:textDirection w:val="lrTb"/>
            <w:vAlign w:val="center"/>
          </w:tcPr>
          <w:p w:rsidR="00B1599D" w:rsidRPr="005360FA" w:rsidP="005360FA">
            <w:pPr>
              <w:spacing w:line="240" w:lineRule="auto"/>
              <w:jc w:val="right"/>
              <w:rPr>
                <w:rFonts w:ascii="Arial Narrow" w:hAnsi="Arial Narrow" w:cs="Times New Roman"/>
              </w:rPr>
            </w:pPr>
            <w:r w:rsidRPr="005360FA">
              <w:rPr>
                <w:rFonts w:ascii="Arial Narrow" w:hAnsi="Arial Narrow" w:cs="Times New Roman"/>
              </w:rPr>
              <w:t>351,00</w:t>
            </w:r>
          </w:p>
        </w:tc>
      </w:tr>
      <w:tr>
        <w:tblPrEx>
          <w:tblW w:w="8580" w:type="dxa"/>
          <w:tblInd w:w="610" w:type="dxa"/>
          <w:tblCellMar>
            <w:left w:w="70" w:type="dxa"/>
            <w:right w:w="70" w:type="dxa"/>
          </w:tblCellMar>
        </w:tblPrEx>
        <w:trPr>
          <w:trHeight w:hRule="exact" w:val="227"/>
        </w:trPr>
        <w:tc>
          <w:tcPr>
            <w:tcW w:w="5560" w:type="dxa"/>
            <w:tcBorders>
              <w:top w:val="single" w:sz="8" w:space="0" w:color="auto"/>
              <w:left w:val="single" w:sz="8" w:space="0" w:color="auto"/>
              <w:bottom w:val="single" w:sz="8" w:space="0" w:color="auto"/>
              <w:right w:val="single" w:sz="8" w:space="0" w:color="auto"/>
              <w:tl2br w:val="nil"/>
              <w:tr2bl w:val="nil"/>
            </w:tcBorders>
            <w:noWrap/>
            <w:textDirection w:val="lrTb"/>
            <w:vAlign w:val="center"/>
          </w:tcPr>
          <w:p w:rsidR="00B1599D" w:rsidRPr="005360FA" w:rsidP="005360FA">
            <w:pPr>
              <w:spacing w:line="240" w:lineRule="auto"/>
              <w:jc w:val="left"/>
              <w:rPr>
                <w:rFonts w:ascii="Arial Narrow" w:hAnsi="Arial Narrow" w:cs="Times New Roman"/>
              </w:rPr>
            </w:pPr>
            <w:r w:rsidRPr="005360FA">
              <w:rPr>
                <w:rFonts w:ascii="Arial Narrow" w:hAnsi="Arial Narrow" w:cs="Times New Roman"/>
              </w:rPr>
              <w:t>Náklady budúcich období</w:t>
            </w:r>
          </w:p>
        </w:tc>
        <w:tc>
          <w:tcPr>
            <w:tcW w:w="1460" w:type="dxa"/>
            <w:tcBorders>
              <w:top w:val="single" w:sz="8" w:space="0" w:color="auto"/>
              <w:left w:val="single" w:sz="8" w:space="0" w:color="auto"/>
              <w:bottom w:val="single" w:sz="8" w:space="0" w:color="auto"/>
              <w:right w:val="single" w:sz="8" w:space="0" w:color="auto"/>
              <w:tl2br w:val="nil"/>
              <w:tr2bl w:val="nil"/>
            </w:tcBorders>
            <w:noWrap/>
            <w:textDirection w:val="lrTb"/>
            <w:vAlign w:val="center"/>
          </w:tcPr>
          <w:p w:rsidR="00B1599D" w:rsidRPr="005360FA" w:rsidP="005360FA">
            <w:pPr>
              <w:spacing w:line="240" w:lineRule="auto"/>
              <w:jc w:val="right"/>
              <w:rPr>
                <w:rFonts w:ascii="Arial Narrow" w:hAnsi="Arial Narrow" w:cs="Times New Roman"/>
              </w:rPr>
            </w:pPr>
            <w:r w:rsidRPr="005360FA">
              <w:rPr>
                <w:rFonts w:ascii="Arial Narrow" w:hAnsi="Arial Narrow" w:cs="Times New Roman"/>
              </w:rPr>
              <w:t>381,05</w:t>
            </w:r>
          </w:p>
        </w:tc>
        <w:tc>
          <w:tcPr>
            <w:tcW w:w="1560" w:type="dxa"/>
            <w:tcBorders>
              <w:top w:val="single" w:sz="8" w:space="0" w:color="auto"/>
              <w:left w:val="single" w:sz="8" w:space="0" w:color="auto"/>
              <w:bottom w:val="single" w:sz="8" w:space="0" w:color="auto"/>
              <w:right w:val="single" w:sz="8" w:space="0" w:color="auto"/>
              <w:tl2br w:val="nil"/>
              <w:tr2bl w:val="nil"/>
            </w:tcBorders>
            <w:noWrap/>
            <w:textDirection w:val="lrTb"/>
            <w:vAlign w:val="center"/>
          </w:tcPr>
          <w:p w:rsidR="00B1599D" w:rsidRPr="005360FA" w:rsidP="005360FA">
            <w:pPr>
              <w:spacing w:line="240" w:lineRule="auto"/>
              <w:jc w:val="right"/>
              <w:rPr>
                <w:rFonts w:ascii="Arial Narrow" w:hAnsi="Arial Narrow" w:cs="Times New Roman"/>
              </w:rPr>
            </w:pPr>
            <w:r w:rsidRPr="005360FA">
              <w:rPr>
                <w:rFonts w:ascii="Arial Narrow" w:hAnsi="Arial Narrow" w:cs="Times New Roman"/>
              </w:rPr>
              <w:t>351,00</w:t>
            </w:r>
          </w:p>
        </w:tc>
      </w:tr>
      <w:tr>
        <w:tblPrEx>
          <w:tblW w:w="8580" w:type="dxa"/>
          <w:tblInd w:w="610" w:type="dxa"/>
          <w:tblCellMar>
            <w:left w:w="70" w:type="dxa"/>
            <w:right w:w="70" w:type="dxa"/>
          </w:tblCellMar>
        </w:tblPrEx>
        <w:trPr>
          <w:trHeight w:hRule="exact" w:val="227"/>
        </w:trPr>
        <w:tc>
          <w:tcPr>
            <w:tcW w:w="5560" w:type="dxa"/>
            <w:tcBorders>
              <w:top w:val="single" w:sz="8" w:space="0" w:color="auto"/>
              <w:left w:val="single" w:sz="8" w:space="0" w:color="auto"/>
              <w:bottom w:val="single" w:sz="8" w:space="0" w:color="auto"/>
              <w:right w:val="single" w:sz="8" w:space="0" w:color="auto"/>
              <w:tl2br w:val="nil"/>
              <w:tr2bl w:val="nil"/>
            </w:tcBorders>
            <w:shd w:val="clear" w:color="auto" w:fill="C0C0C0"/>
            <w:noWrap/>
            <w:textDirection w:val="lrTb"/>
            <w:vAlign w:val="center"/>
          </w:tcPr>
          <w:p w:rsidR="00B1599D" w:rsidRPr="005360FA" w:rsidP="00B1599D">
            <w:pPr>
              <w:spacing w:line="240" w:lineRule="auto"/>
              <w:rPr>
                <w:rFonts w:ascii="Arial Narrow" w:hAnsi="Arial Narrow" w:cs="Times New Roman"/>
              </w:rPr>
            </w:pPr>
            <w:r w:rsidRPr="005360FA" w:rsidR="005360FA">
              <w:rPr>
                <w:rFonts w:ascii="Arial Narrow" w:hAnsi="Arial Narrow" w:cs="Times New Roman"/>
              </w:rPr>
              <w:t xml:space="preserve">PASÍVA - </w:t>
            </w:r>
            <w:r w:rsidRPr="005360FA">
              <w:rPr>
                <w:rFonts w:ascii="Arial Narrow" w:hAnsi="Arial Narrow" w:cs="Times New Roman"/>
              </w:rPr>
              <w:t xml:space="preserve">SPOLU VLASTNÉ IMANIE A ZÁVÄZKY </w:t>
            </w:r>
          </w:p>
        </w:tc>
        <w:tc>
          <w:tcPr>
            <w:tcW w:w="1460" w:type="dxa"/>
            <w:tcBorders>
              <w:top w:val="single" w:sz="8" w:space="0" w:color="auto"/>
              <w:left w:val="single" w:sz="8" w:space="0" w:color="auto"/>
              <w:bottom w:val="single" w:sz="8" w:space="0" w:color="auto"/>
              <w:right w:val="single" w:sz="8" w:space="0" w:color="auto"/>
              <w:tl2br w:val="nil"/>
              <w:tr2bl w:val="nil"/>
            </w:tcBorders>
            <w:shd w:val="clear" w:color="auto" w:fill="C0C0C0"/>
            <w:noWrap/>
            <w:textDirection w:val="lrTb"/>
            <w:vAlign w:val="center"/>
          </w:tcPr>
          <w:p w:rsidR="00B1599D" w:rsidRPr="005360FA" w:rsidP="005360FA">
            <w:pPr>
              <w:spacing w:line="240" w:lineRule="auto"/>
              <w:jc w:val="right"/>
              <w:rPr>
                <w:rFonts w:ascii="Arial Narrow" w:hAnsi="Arial Narrow" w:cs="Times New Roman"/>
              </w:rPr>
            </w:pPr>
            <w:r w:rsidRPr="005360FA">
              <w:rPr>
                <w:rFonts w:ascii="Arial Narrow" w:hAnsi="Arial Narrow" w:cs="Times New Roman"/>
              </w:rPr>
              <w:t>2 073 716,00</w:t>
            </w:r>
          </w:p>
        </w:tc>
        <w:tc>
          <w:tcPr>
            <w:tcW w:w="1560" w:type="dxa"/>
            <w:tcBorders>
              <w:top w:val="single" w:sz="8" w:space="0" w:color="auto"/>
              <w:left w:val="single" w:sz="8" w:space="0" w:color="auto"/>
              <w:bottom w:val="single" w:sz="8" w:space="0" w:color="auto"/>
              <w:right w:val="single" w:sz="8" w:space="0" w:color="auto"/>
              <w:tl2br w:val="nil"/>
              <w:tr2bl w:val="nil"/>
            </w:tcBorders>
            <w:shd w:val="clear" w:color="auto" w:fill="C0C0C0"/>
            <w:noWrap/>
            <w:textDirection w:val="lrTb"/>
            <w:vAlign w:val="center"/>
          </w:tcPr>
          <w:p w:rsidR="00B1599D" w:rsidRPr="005360FA" w:rsidP="005360FA">
            <w:pPr>
              <w:spacing w:line="240" w:lineRule="auto"/>
              <w:jc w:val="right"/>
              <w:rPr>
                <w:rFonts w:ascii="Arial Narrow" w:hAnsi="Arial Narrow" w:cs="Times New Roman"/>
              </w:rPr>
            </w:pPr>
            <w:r w:rsidRPr="005360FA">
              <w:rPr>
                <w:rFonts w:ascii="Arial Narrow" w:hAnsi="Arial Narrow" w:cs="Times New Roman"/>
              </w:rPr>
              <w:t>2 022 801,00</w:t>
            </w:r>
          </w:p>
        </w:tc>
      </w:tr>
      <w:tr>
        <w:tblPrEx>
          <w:tblW w:w="8580" w:type="dxa"/>
          <w:tblInd w:w="610" w:type="dxa"/>
          <w:tblCellMar>
            <w:left w:w="70" w:type="dxa"/>
            <w:right w:w="70" w:type="dxa"/>
          </w:tblCellMar>
        </w:tblPrEx>
        <w:trPr>
          <w:trHeight w:hRule="exact" w:val="227"/>
        </w:trPr>
        <w:tc>
          <w:tcPr>
            <w:tcW w:w="5560" w:type="dxa"/>
            <w:tcBorders>
              <w:top w:val="single" w:sz="8" w:space="0" w:color="auto"/>
              <w:left w:val="single" w:sz="8" w:space="0" w:color="auto"/>
              <w:bottom w:val="single" w:sz="8" w:space="0" w:color="auto"/>
              <w:right w:val="single" w:sz="8" w:space="0" w:color="auto"/>
              <w:tl2br w:val="nil"/>
              <w:tr2bl w:val="nil"/>
            </w:tcBorders>
            <w:noWrap/>
            <w:textDirection w:val="lrTb"/>
            <w:vAlign w:val="center"/>
          </w:tcPr>
          <w:p w:rsidR="00B1599D" w:rsidRPr="005360FA" w:rsidP="00B1599D">
            <w:pPr>
              <w:spacing w:line="240" w:lineRule="auto"/>
              <w:rPr>
                <w:rFonts w:ascii="Arial Narrow" w:hAnsi="Arial Narrow" w:cs="Times New Roman"/>
              </w:rPr>
            </w:pPr>
            <w:r w:rsidRPr="005360FA">
              <w:rPr>
                <w:rFonts w:ascii="Arial Narrow" w:hAnsi="Arial Narrow" w:cs="Times New Roman"/>
              </w:rPr>
              <w:t xml:space="preserve">Vlastné imanie </w:t>
            </w:r>
          </w:p>
        </w:tc>
        <w:tc>
          <w:tcPr>
            <w:tcW w:w="1460" w:type="dxa"/>
            <w:tcBorders>
              <w:top w:val="single" w:sz="8" w:space="0" w:color="auto"/>
              <w:left w:val="single" w:sz="8" w:space="0" w:color="auto"/>
              <w:bottom w:val="single" w:sz="8" w:space="0" w:color="auto"/>
              <w:right w:val="single" w:sz="8" w:space="0" w:color="auto"/>
              <w:tl2br w:val="nil"/>
              <w:tr2bl w:val="nil"/>
            </w:tcBorders>
            <w:noWrap/>
            <w:textDirection w:val="lrTb"/>
            <w:vAlign w:val="center"/>
          </w:tcPr>
          <w:p w:rsidR="00B1599D" w:rsidRPr="005360FA" w:rsidP="005360FA">
            <w:pPr>
              <w:spacing w:line="240" w:lineRule="auto"/>
              <w:jc w:val="right"/>
              <w:rPr>
                <w:rFonts w:ascii="Arial Narrow" w:hAnsi="Arial Narrow" w:cs="Times New Roman"/>
              </w:rPr>
            </w:pPr>
            <w:r w:rsidRPr="005360FA">
              <w:rPr>
                <w:rFonts w:ascii="Arial Narrow" w:hAnsi="Arial Narrow" w:cs="Times New Roman"/>
              </w:rPr>
              <w:t>1 938 887,00</w:t>
            </w:r>
          </w:p>
        </w:tc>
        <w:tc>
          <w:tcPr>
            <w:tcW w:w="1560" w:type="dxa"/>
            <w:tcBorders>
              <w:top w:val="single" w:sz="8" w:space="0" w:color="auto"/>
              <w:left w:val="single" w:sz="8" w:space="0" w:color="auto"/>
              <w:bottom w:val="single" w:sz="8" w:space="0" w:color="auto"/>
              <w:right w:val="single" w:sz="8" w:space="0" w:color="auto"/>
              <w:tl2br w:val="nil"/>
              <w:tr2bl w:val="nil"/>
            </w:tcBorders>
            <w:noWrap/>
            <w:textDirection w:val="lrTb"/>
            <w:vAlign w:val="center"/>
          </w:tcPr>
          <w:p w:rsidR="00B1599D" w:rsidRPr="005360FA" w:rsidP="005360FA">
            <w:pPr>
              <w:spacing w:line="240" w:lineRule="auto"/>
              <w:jc w:val="right"/>
              <w:rPr>
                <w:rFonts w:ascii="Arial Narrow" w:hAnsi="Arial Narrow" w:cs="Times New Roman"/>
              </w:rPr>
            </w:pPr>
            <w:r w:rsidRPr="005360FA">
              <w:rPr>
                <w:rFonts w:ascii="Arial Narrow" w:hAnsi="Arial Narrow" w:cs="Times New Roman"/>
              </w:rPr>
              <w:t>1 852 017,00</w:t>
            </w:r>
          </w:p>
        </w:tc>
      </w:tr>
      <w:tr>
        <w:tblPrEx>
          <w:tblW w:w="8580" w:type="dxa"/>
          <w:tblInd w:w="610" w:type="dxa"/>
          <w:tblCellMar>
            <w:left w:w="70" w:type="dxa"/>
            <w:right w:w="70" w:type="dxa"/>
          </w:tblCellMar>
        </w:tblPrEx>
        <w:trPr>
          <w:trHeight w:hRule="exact" w:val="227"/>
        </w:trPr>
        <w:tc>
          <w:tcPr>
            <w:tcW w:w="5560" w:type="dxa"/>
            <w:tcBorders>
              <w:top w:val="single" w:sz="8" w:space="0" w:color="auto"/>
              <w:left w:val="single" w:sz="8" w:space="0" w:color="auto"/>
              <w:bottom w:val="single" w:sz="8" w:space="0" w:color="auto"/>
              <w:right w:val="single" w:sz="8" w:space="0" w:color="auto"/>
              <w:tl2br w:val="nil"/>
              <w:tr2bl w:val="nil"/>
            </w:tcBorders>
            <w:noWrap/>
            <w:textDirection w:val="lrTb"/>
            <w:vAlign w:val="center"/>
          </w:tcPr>
          <w:p w:rsidR="00B1599D" w:rsidRPr="005360FA" w:rsidP="00B1599D">
            <w:pPr>
              <w:spacing w:line="240" w:lineRule="auto"/>
              <w:rPr>
                <w:rFonts w:ascii="Arial Narrow" w:hAnsi="Arial Narrow" w:cs="Times New Roman"/>
              </w:rPr>
            </w:pPr>
            <w:r w:rsidRPr="005360FA">
              <w:rPr>
                <w:rFonts w:ascii="Arial Narrow" w:hAnsi="Arial Narrow" w:cs="Times New Roman"/>
              </w:rPr>
              <w:t xml:space="preserve">Základné imanie súčet </w:t>
            </w:r>
          </w:p>
        </w:tc>
        <w:tc>
          <w:tcPr>
            <w:tcW w:w="1460" w:type="dxa"/>
            <w:tcBorders>
              <w:top w:val="single" w:sz="8" w:space="0" w:color="auto"/>
              <w:left w:val="single" w:sz="8" w:space="0" w:color="auto"/>
              <w:bottom w:val="single" w:sz="8" w:space="0" w:color="auto"/>
              <w:right w:val="single" w:sz="8" w:space="0" w:color="auto"/>
              <w:tl2br w:val="nil"/>
              <w:tr2bl w:val="nil"/>
            </w:tcBorders>
            <w:noWrap/>
            <w:textDirection w:val="lrTb"/>
            <w:vAlign w:val="center"/>
          </w:tcPr>
          <w:p w:rsidR="00B1599D" w:rsidRPr="005360FA" w:rsidP="005360FA">
            <w:pPr>
              <w:spacing w:line="240" w:lineRule="auto"/>
              <w:jc w:val="right"/>
              <w:rPr>
                <w:rFonts w:ascii="Arial Narrow" w:hAnsi="Arial Narrow" w:cs="Times New Roman"/>
              </w:rPr>
            </w:pPr>
            <w:r w:rsidRPr="005360FA">
              <w:rPr>
                <w:rFonts w:ascii="Arial Narrow" w:hAnsi="Arial Narrow" w:cs="Times New Roman"/>
              </w:rPr>
              <w:t>1 731 913,00</w:t>
            </w:r>
          </w:p>
        </w:tc>
        <w:tc>
          <w:tcPr>
            <w:tcW w:w="1560" w:type="dxa"/>
            <w:tcBorders>
              <w:top w:val="single" w:sz="8" w:space="0" w:color="auto"/>
              <w:left w:val="single" w:sz="8" w:space="0" w:color="auto"/>
              <w:bottom w:val="single" w:sz="8" w:space="0" w:color="auto"/>
              <w:right w:val="single" w:sz="8" w:space="0" w:color="auto"/>
              <w:tl2br w:val="nil"/>
              <w:tr2bl w:val="nil"/>
            </w:tcBorders>
            <w:noWrap/>
            <w:textDirection w:val="lrTb"/>
            <w:vAlign w:val="center"/>
          </w:tcPr>
          <w:p w:rsidR="00B1599D" w:rsidRPr="005360FA" w:rsidP="005360FA">
            <w:pPr>
              <w:spacing w:line="240" w:lineRule="auto"/>
              <w:jc w:val="right"/>
              <w:rPr>
                <w:rFonts w:ascii="Arial Narrow" w:hAnsi="Arial Narrow" w:cs="Times New Roman"/>
              </w:rPr>
            </w:pPr>
            <w:r w:rsidRPr="005360FA">
              <w:rPr>
                <w:rFonts w:ascii="Arial Narrow" w:hAnsi="Arial Narrow" w:cs="Times New Roman"/>
              </w:rPr>
              <w:t>2 283 463,00</w:t>
            </w:r>
          </w:p>
        </w:tc>
      </w:tr>
      <w:tr>
        <w:tblPrEx>
          <w:tblW w:w="8580" w:type="dxa"/>
          <w:tblInd w:w="610" w:type="dxa"/>
          <w:tblCellMar>
            <w:left w:w="70" w:type="dxa"/>
            <w:right w:w="70" w:type="dxa"/>
          </w:tblCellMar>
        </w:tblPrEx>
        <w:trPr>
          <w:trHeight w:hRule="exact" w:val="227"/>
        </w:trPr>
        <w:tc>
          <w:tcPr>
            <w:tcW w:w="5560" w:type="dxa"/>
            <w:tcBorders>
              <w:top w:val="single" w:sz="8" w:space="0" w:color="auto"/>
              <w:left w:val="single" w:sz="8" w:space="0" w:color="auto"/>
              <w:bottom w:val="single" w:sz="8" w:space="0" w:color="auto"/>
              <w:right w:val="single" w:sz="8" w:space="0" w:color="auto"/>
              <w:tl2br w:val="nil"/>
              <w:tr2bl w:val="nil"/>
            </w:tcBorders>
            <w:noWrap/>
            <w:textDirection w:val="lrTb"/>
            <w:vAlign w:val="center"/>
          </w:tcPr>
          <w:p w:rsidR="00B1599D" w:rsidRPr="005360FA" w:rsidP="00B1599D">
            <w:pPr>
              <w:spacing w:line="240" w:lineRule="auto"/>
              <w:rPr>
                <w:rFonts w:ascii="Arial Narrow" w:hAnsi="Arial Narrow" w:cs="Times New Roman"/>
              </w:rPr>
            </w:pPr>
            <w:r w:rsidRPr="005360FA">
              <w:rPr>
                <w:rFonts w:ascii="Arial Narrow" w:hAnsi="Arial Narrow" w:cs="Times New Roman"/>
              </w:rPr>
              <w:t xml:space="preserve">Základné imanie </w:t>
            </w:r>
          </w:p>
        </w:tc>
        <w:tc>
          <w:tcPr>
            <w:tcW w:w="1460" w:type="dxa"/>
            <w:tcBorders>
              <w:top w:val="single" w:sz="8" w:space="0" w:color="auto"/>
              <w:left w:val="single" w:sz="8" w:space="0" w:color="auto"/>
              <w:bottom w:val="single" w:sz="8" w:space="0" w:color="auto"/>
              <w:right w:val="single" w:sz="8" w:space="0" w:color="auto"/>
              <w:tl2br w:val="nil"/>
              <w:tr2bl w:val="nil"/>
            </w:tcBorders>
            <w:noWrap/>
            <w:textDirection w:val="lrTb"/>
            <w:vAlign w:val="center"/>
          </w:tcPr>
          <w:p w:rsidR="00B1599D" w:rsidRPr="005360FA" w:rsidP="005360FA">
            <w:pPr>
              <w:spacing w:line="240" w:lineRule="auto"/>
              <w:jc w:val="right"/>
              <w:rPr>
                <w:rFonts w:ascii="Arial Narrow" w:hAnsi="Arial Narrow" w:cs="Times New Roman"/>
              </w:rPr>
            </w:pPr>
            <w:r w:rsidRPr="005360FA">
              <w:rPr>
                <w:rFonts w:ascii="Arial Narrow" w:hAnsi="Arial Narrow" w:cs="Times New Roman"/>
              </w:rPr>
              <w:t>1 731 913,00</w:t>
            </w:r>
          </w:p>
        </w:tc>
        <w:tc>
          <w:tcPr>
            <w:tcW w:w="1560" w:type="dxa"/>
            <w:tcBorders>
              <w:top w:val="single" w:sz="8" w:space="0" w:color="auto"/>
              <w:left w:val="single" w:sz="8" w:space="0" w:color="auto"/>
              <w:bottom w:val="single" w:sz="8" w:space="0" w:color="auto"/>
              <w:right w:val="single" w:sz="8" w:space="0" w:color="auto"/>
              <w:tl2br w:val="nil"/>
              <w:tr2bl w:val="nil"/>
            </w:tcBorders>
            <w:noWrap/>
            <w:textDirection w:val="lrTb"/>
            <w:vAlign w:val="center"/>
          </w:tcPr>
          <w:p w:rsidR="00B1599D" w:rsidRPr="005360FA" w:rsidP="005360FA">
            <w:pPr>
              <w:spacing w:line="240" w:lineRule="auto"/>
              <w:jc w:val="right"/>
              <w:rPr>
                <w:rFonts w:ascii="Arial Narrow" w:hAnsi="Arial Narrow" w:cs="Times New Roman"/>
              </w:rPr>
            </w:pPr>
            <w:r w:rsidRPr="005360FA">
              <w:rPr>
                <w:rFonts w:ascii="Arial Narrow" w:hAnsi="Arial Narrow" w:cs="Times New Roman"/>
              </w:rPr>
              <w:t>2 283 463,00</w:t>
            </w:r>
          </w:p>
        </w:tc>
      </w:tr>
      <w:tr>
        <w:tblPrEx>
          <w:tblW w:w="8580" w:type="dxa"/>
          <w:tblInd w:w="610" w:type="dxa"/>
          <w:tblCellMar>
            <w:left w:w="70" w:type="dxa"/>
            <w:right w:w="70" w:type="dxa"/>
          </w:tblCellMar>
        </w:tblPrEx>
        <w:trPr>
          <w:trHeight w:hRule="exact" w:val="227"/>
        </w:trPr>
        <w:tc>
          <w:tcPr>
            <w:tcW w:w="5560" w:type="dxa"/>
            <w:tcBorders>
              <w:top w:val="single" w:sz="8" w:space="0" w:color="auto"/>
              <w:left w:val="single" w:sz="8" w:space="0" w:color="auto"/>
              <w:bottom w:val="single" w:sz="8" w:space="0" w:color="auto"/>
              <w:right w:val="single" w:sz="8" w:space="0" w:color="auto"/>
              <w:tl2br w:val="nil"/>
              <w:tr2bl w:val="nil"/>
            </w:tcBorders>
            <w:noWrap/>
            <w:textDirection w:val="lrTb"/>
            <w:vAlign w:val="center"/>
          </w:tcPr>
          <w:p w:rsidR="00B1599D" w:rsidRPr="005360FA" w:rsidP="00B1599D">
            <w:pPr>
              <w:spacing w:line="240" w:lineRule="auto"/>
              <w:rPr>
                <w:rFonts w:ascii="Arial Narrow" w:hAnsi="Arial Narrow" w:cs="Times New Roman"/>
              </w:rPr>
            </w:pPr>
            <w:r w:rsidRPr="005360FA">
              <w:rPr>
                <w:rFonts w:ascii="Arial Narrow" w:hAnsi="Arial Narrow" w:cs="Times New Roman"/>
              </w:rPr>
              <w:t xml:space="preserve">Kapitálové fondy súčet </w:t>
            </w:r>
          </w:p>
        </w:tc>
        <w:tc>
          <w:tcPr>
            <w:tcW w:w="1460" w:type="dxa"/>
            <w:tcBorders>
              <w:top w:val="single" w:sz="8" w:space="0" w:color="auto"/>
              <w:left w:val="single" w:sz="8" w:space="0" w:color="auto"/>
              <w:bottom w:val="single" w:sz="8" w:space="0" w:color="auto"/>
              <w:right w:val="single" w:sz="8" w:space="0" w:color="auto"/>
              <w:tl2br w:val="nil"/>
              <w:tr2bl w:val="nil"/>
            </w:tcBorders>
            <w:noWrap/>
            <w:textDirection w:val="lrTb"/>
            <w:vAlign w:val="center"/>
          </w:tcPr>
          <w:p w:rsidR="00B1599D" w:rsidRPr="005360FA" w:rsidP="005360FA">
            <w:pPr>
              <w:spacing w:line="240" w:lineRule="auto"/>
              <w:jc w:val="right"/>
              <w:rPr>
                <w:rFonts w:ascii="Arial Narrow" w:hAnsi="Arial Narrow" w:cs="Times New Roman"/>
              </w:rPr>
            </w:pPr>
            <w:r w:rsidRPr="005360FA">
              <w:rPr>
                <w:rFonts w:ascii="Arial Narrow" w:hAnsi="Arial Narrow" w:cs="Times New Roman"/>
              </w:rPr>
              <w:t>475 758,00</w:t>
            </w:r>
          </w:p>
        </w:tc>
        <w:tc>
          <w:tcPr>
            <w:tcW w:w="1560" w:type="dxa"/>
            <w:tcBorders>
              <w:top w:val="single" w:sz="8" w:space="0" w:color="auto"/>
              <w:left w:val="single" w:sz="8" w:space="0" w:color="auto"/>
              <w:bottom w:val="single" w:sz="8" w:space="0" w:color="auto"/>
              <w:right w:val="single" w:sz="8" w:space="0" w:color="auto"/>
              <w:tl2br w:val="nil"/>
              <w:tr2bl w:val="nil"/>
            </w:tcBorders>
            <w:noWrap/>
            <w:textDirection w:val="lrTb"/>
            <w:vAlign w:val="center"/>
          </w:tcPr>
          <w:p w:rsidR="00B1599D" w:rsidRPr="005360FA" w:rsidP="005360FA">
            <w:pPr>
              <w:spacing w:line="240" w:lineRule="auto"/>
              <w:jc w:val="right"/>
              <w:rPr>
                <w:rFonts w:ascii="Arial Narrow" w:hAnsi="Arial Narrow" w:cs="Times New Roman"/>
              </w:rPr>
            </w:pPr>
            <w:r w:rsidRPr="005360FA">
              <w:rPr>
                <w:rFonts w:ascii="Arial Narrow" w:hAnsi="Arial Narrow" w:cs="Times New Roman"/>
              </w:rPr>
              <w:t>475 758,00</w:t>
            </w:r>
          </w:p>
        </w:tc>
      </w:tr>
      <w:tr>
        <w:tblPrEx>
          <w:tblW w:w="8580" w:type="dxa"/>
          <w:tblInd w:w="610" w:type="dxa"/>
          <w:tblCellMar>
            <w:left w:w="70" w:type="dxa"/>
            <w:right w:w="70" w:type="dxa"/>
          </w:tblCellMar>
        </w:tblPrEx>
        <w:trPr>
          <w:trHeight w:hRule="exact" w:val="227"/>
        </w:trPr>
        <w:tc>
          <w:tcPr>
            <w:tcW w:w="5560" w:type="dxa"/>
            <w:tcBorders>
              <w:top w:val="single" w:sz="8" w:space="0" w:color="auto"/>
              <w:left w:val="single" w:sz="8" w:space="0" w:color="auto"/>
              <w:bottom w:val="single" w:sz="4" w:space="0" w:color="auto"/>
              <w:right w:val="single" w:sz="8" w:space="0" w:color="auto"/>
              <w:tl2br w:val="nil"/>
              <w:tr2bl w:val="nil"/>
            </w:tcBorders>
            <w:noWrap/>
            <w:textDirection w:val="lrTb"/>
            <w:vAlign w:val="center"/>
          </w:tcPr>
          <w:p w:rsidR="00B1599D" w:rsidRPr="005360FA" w:rsidP="00B1599D">
            <w:pPr>
              <w:spacing w:line="240" w:lineRule="auto"/>
              <w:rPr>
                <w:rFonts w:ascii="Arial Narrow" w:hAnsi="Arial Narrow" w:cs="Times New Roman"/>
              </w:rPr>
            </w:pPr>
            <w:r w:rsidRPr="005360FA">
              <w:rPr>
                <w:rFonts w:ascii="Arial Narrow" w:hAnsi="Arial Narrow" w:cs="Times New Roman"/>
              </w:rPr>
              <w:t>Ostatné kapitálové fondy</w:t>
            </w:r>
          </w:p>
        </w:tc>
        <w:tc>
          <w:tcPr>
            <w:tcW w:w="1460" w:type="dxa"/>
            <w:tcBorders>
              <w:top w:val="single" w:sz="8" w:space="0" w:color="auto"/>
              <w:left w:val="single" w:sz="8" w:space="0" w:color="auto"/>
              <w:bottom w:val="single" w:sz="4" w:space="0" w:color="auto"/>
              <w:right w:val="single" w:sz="8" w:space="0" w:color="auto"/>
              <w:tl2br w:val="nil"/>
              <w:tr2bl w:val="nil"/>
            </w:tcBorders>
            <w:noWrap/>
            <w:textDirection w:val="lrTb"/>
            <w:vAlign w:val="center"/>
          </w:tcPr>
          <w:p w:rsidR="00B1599D" w:rsidRPr="005360FA" w:rsidP="005360FA">
            <w:pPr>
              <w:spacing w:line="240" w:lineRule="auto"/>
              <w:jc w:val="right"/>
              <w:rPr>
                <w:rFonts w:ascii="Arial Narrow" w:hAnsi="Arial Narrow" w:cs="Times New Roman"/>
              </w:rPr>
            </w:pPr>
            <w:r w:rsidRPr="005360FA">
              <w:rPr>
                <w:rFonts w:ascii="Arial Narrow" w:hAnsi="Arial Narrow" w:cs="Times New Roman"/>
              </w:rPr>
              <w:t>383 300,00</w:t>
            </w:r>
          </w:p>
        </w:tc>
        <w:tc>
          <w:tcPr>
            <w:tcW w:w="1560" w:type="dxa"/>
            <w:tcBorders>
              <w:top w:val="single" w:sz="8" w:space="0" w:color="auto"/>
              <w:left w:val="single" w:sz="8" w:space="0" w:color="auto"/>
              <w:bottom w:val="single" w:sz="4" w:space="0" w:color="auto"/>
              <w:right w:val="single" w:sz="8" w:space="0" w:color="auto"/>
              <w:tl2br w:val="nil"/>
              <w:tr2bl w:val="nil"/>
            </w:tcBorders>
            <w:noWrap/>
            <w:textDirection w:val="lrTb"/>
            <w:vAlign w:val="center"/>
          </w:tcPr>
          <w:p w:rsidR="00B1599D" w:rsidRPr="005360FA" w:rsidP="005360FA">
            <w:pPr>
              <w:spacing w:line="240" w:lineRule="auto"/>
              <w:jc w:val="right"/>
              <w:rPr>
                <w:rFonts w:ascii="Arial Narrow" w:hAnsi="Arial Narrow" w:cs="Times New Roman"/>
              </w:rPr>
            </w:pPr>
            <w:r w:rsidRPr="005360FA">
              <w:rPr>
                <w:rFonts w:ascii="Arial Narrow" w:hAnsi="Arial Narrow" w:cs="Times New Roman"/>
              </w:rPr>
              <w:t>383 300,00</w:t>
            </w:r>
          </w:p>
        </w:tc>
      </w:tr>
      <w:tr>
        <w:tblPrEx>
          <w:tblW w:w="8580" w:type="dxa"/>
          <w:tblInd w:w="610" w:type="dxa"/>
          <w:tblCellMar>
            <w:left w:w="70" w:type="dxa"/>
            <w:right w:w="70" w:type="dxa"/>
          </w:tblCellMar>
        </w:tblPrEx>
        <w:trPr>
          <w:trHeight w:hRule="exact" w:val="227"/>
        </w:trPr>
        <w:tc>
          <w:tcPr>
            <w:tcW w:w="556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B1599D" w:rsidRPr="005360FA" w:rsidP="00B1599D">
            <w:pPr>
              <w:spacing w:line="240" w:lineRule="auto"/>
              <w:rPr>
                <w:rFonts w:ascii="Arial Narrow" w:hAnsi="Arial Narrow" w:cs="Times New Roman"/>
              </w:rPr>
            </w:pPr>
            <w:r w:rsidRPr="005360FA">
              <w:rPr>
                <w:rFonts w:ascii="Arial Narrow" w:hAnsi="Arial Narrow" w:cs="Times New Roman"/>
              </w:rPr>
              <w:t xml:space="preserve">Zákonný rezervný fond (Nedeliteľný fond) z kapitálových vkladov </w:t>
            </w:r>
          </w:p>
        </w:tc>
        <w:tc>
          <w:tcPr>
            <w:tcW w:w="146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B1599D" w:rsidRPr="005360FA" w:rsidP="005360FA">
            <w:pPr>
              <w:spacing w:line="240" w:lineRule="auto"/>
              <w:jc w:val="right"/>
              <w:rPr>
                <w:rFonts w:ascii="Arial Narrow" w:hAnsi="Arial Narrow" w:cs="Times New Roman"/>
              </w:rPr>
            </w:pPr>
            <w:r w:rsidRPr="005360FA">
              <w:rPr>
                <w:rFonts w:ascii="Arial Narrow" w:hAnsi="Arial Narrow" w:cs="Times New Roman"/>
              </w:rPr>
              <w:t>92 458,00</w:t>
            </w:r>
          </w:p>
        </w:tc>
        <w:tc>
          <w:tcPr>
            <w:tcW w:w="156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B1599D" w:rsidRPr="005360FA" w:rsidP="005360FA">
            <w:pPr>
              <w:spacing w:line="240" w:lineRule="auto"/>
              <w:jc w:val="right"/>
              <w:rPr>
                <w:rFonts w:ascii="Arial Narrow" w:hAnsi="Arial Narrow" w:cs="Times New Roman"/>
              </w:rPr>
            </w:pPr>
            <w:r w:rsidRPr="005360FA">
              <w:rPr>
                <w:rFonts w:ascii="Arial Narrow" w:hAnsi="Arial Narrow" w:cs="Times New Roman"/>
              </w:rPr>
              <w:t>92 458,00</w:t>
            </w:r>
          </w:p>
        </w:tc>
      </w:tr>
      <w:tr>
        <w:tblPrEx>
          <w:tblW w:w="8580" w:type="dxa"/>
          <w:tblInd w:w="610" w:type="dxa"/>
          <w:tblCellMar>
            <w:left w:w="70" w:type="dxa"/>
            <w:right w:w="70" w:type="dxa"/>
          </w:tblCellMar>
        </w:tblPrEx>
        <w:trPr>
          <w:trHeight w:hRule="exact" w:val="227"/>
        </w:trPr>
        <w:tc>
          <w:tcPr>
            <w:tcW w:w="5560" w:type="dxa"/>
            <w:tcBorders>
              <w:top w:val="single" w:sz="4" w:space="0" w:color="auto"/>
              <w:left w:val="single" w:sz="8" w:space="0" w:color="auto"/>
              <w:bottom w:val="single" w:sz="8" w:space="0" w:color="auto"/>
              <w:right w:val="single" w:sz="8" w:space="0" w:color="auto"/>
              <w:tl2br w:val="nil"/>
              <w:tr2bl w:val="nil"/>
            </w:tcBorders>
            <w:noWrap/>
            <w:textDirection w:val="lrTb"/>
            <w:vAlign w:val="center"/>
          </w:tcPr>
          <w:p w:rsidR="00B1599D" w:rsidRPr="005360FA" w:rsidP="00B1599D">
            <w:pPr>
              <w:spacing w:line="240" w:lineRule="auto"/>
              <w:rPr>
                <w:rFonts w:ascii="Arial Narrow" w:hAnsi="Arial Narrow" w:cs="Times New Roman"/>
              </w:rPr>
            </w:pPr>
            <w:r w:rsidRPr="005360FA">
              <w:rPr>
                <w:rFonts w:ascii="Arial Narrow" w:hAnsi="Arial Narrow" w:cs="Times New Roman"/>
              </w:rPr>
              <w:t xml:space="preserve">Fondy zo zisku súčet </w:t>
            </w:r>
          </w:p>
        </w:tc>
        <w:tc>
          <w:tcPr>
            <w:tcW w:w="1460" w:type="dxa"/>
            <w:tcBorders>
              <w:top w:val="single" w:sz="4" w:space="0" w:color="auto"/>
              <w:left w:val="single" w:sz="8" w:space="0" w:color="auto"/>
              <w:bottom w:val="single" w:sz="8" w:space="0" w:color="auto"/>
              <w:right w:val="single" w:sz="8" w:space="0" w:color="auto"/>
              <w:tl2br w:val="nil"/>
              <w:tr2bl w:val="nil"/>
            </w:tcBorders>
            <w:noWrap/>
            <w:textDirection w:val="lrTb"/>
            <w:vAlign w:val="center"/>
          </w:tcPr>
          <w:p w:rsidR="00B1599D" w:rsidRPr="005360FA" w:rsidP="005360FA">
            <w:pPr>
              <w:spacing w:line="240" w:lineRule="auto"/>
              <w:jc w:val="right"/>
              <w:rPr>
                <w:rFonts w:ascii="Arial Narrow" w:hAnsi="Arial Narrow" w:cs="Times New Roman"/>
              </w:rPr>
            </w:pPr>
            <w:r w:rsidRPr="005360FA">
              <w:rPr>
                <w:rFonts w:ascii="Arial Narrow" w:hAnsi="Arial Narrow" w:cs="Times New Roman"/>
              </w:rPr>
              <w:t>136,00</w:t>
            </w:r>
          </w:p>
        </w:tc>
        <w:tc>
          <w:tcPr>
            <w:tcW w:w="1560" w:type="dxa"/>
            <w:tcBorders>
              <w:top w:val="single" w:sz="4" w:space="0" w:color="auto"/>
              <w:left w:val="single" w:sz="8" w:space="0" w:color="auto"/>
              <w:bottom w:val="single" w:sz="8" w:space="0" w:color="auto"/>
              <w:right w:val="single" w:sz="8" w:space="0" w:color="auto"/>
              <w:tl2br w:val="nil"/>
              <w:tr2bl w:val="nil"/>
            </w:tcBorders>
            <w:noWrap/>
            <w:textDirection w:val="lrTb"/>
            <w:vAlign w:val="center"/>
          </w:tcPr>
          <w:p w:rsidR="00B1599D" w:rsidRPr="005360FA" w:rsidP="005360FA">
            <w:pPr>
              <w:spacing w:line="240" w:lineRule="auto"/>
              <w:jc w:val="right"/>
              <w:rPr>
                <w:rFonts w:ascii="Arial Narrow" w:hAnsi="Arial Narrow" w:cs="Times New Roman"/>
              </w:rPr>
            </w:pPr>
            <w:r w:rsidRPr="005360FA">
              <w:rPr>
                <w:rFonts w:ascii="Arial Narrow" w:hAnsi="Arial Narrow" w:cs="Times New Roman"/>
              </w:rPr>
              <w:t>136,00</w:t>
            </w:r>
          </w:p>
        </w:tc>
      </w:tr>
      <w:tr>
        <w:tblPrEx>
          <w:tblW w:w="8580" w:type="dxa"/>
          <w:tblInd w:w="610" w:type="dxa"/>
          <w:tblCellMar>
            <w:left w:w="70" w:type="dxa"/>
            <w:right w:w="70" w:type="dxa"/>
          </w:tblCellMar>
        </w:tblPrEx>
        <w:trPr>
          <w:trHeight w:hRule="exact" w:val="227"/>
        </w:trPr>
        <w:tc>
          <w:tcPr>
            <w:tcW w:w="5560" w:type="dxa"/>
            <w:tcBorders>
              <w:top w:val="single" w:sz="8" w:space="0" w:color="auto"/>
              <w:left w:val="single" w:sz="8" w:space="0" w:color="auto"/>
              <w:bottom w:val="single" w:sz="8" w:space="0" w:color="auto"/>
              <w:right w:val="single" w:sz="8" w:space="0" w:color="auto"/>
              <w:tl2br w:val="nil"/>
              <w:tr2bl w:val="nil"/>
            </w:tcBorders>
            <w:noWrap/>
            <w:textDirection w:val="lrTb"/>
            <w:vAlign w:val="center"/>
          </w:tcPr>
          <w:p w:rsidR="00B1599D" w:rsidRPr="005360FA" w:rsidP="00B1599D">
            <w:pPr>
              <w:spacing w:line="240" w:lineRule="auto"/>
              <w:rPr>
                <w:rFonts w:ascii="Arial Narrow" w:hAnsi="Arial Narrow" w:cs="Times New Roman"/>
              </w:rPr>
            </w:pPr>
            <w:r w:rsidRPr="005360FA">
              <w:rPr>
                <w:rFonts w:ascii="Arial Narrow" w:hAnsi="Arial Narrow" w:cs="Times New Roman"/>
              </w:rPr>
              <w:t xml:space="preserve">Zákonný rezervný fond </w:t>
            </w:r>
          </w:p>
        </w:tc>
        <w:tc>
          <w:tcPr>
            <w:tcW w:w="1460" w:type="dxa"/>
            <w:tcBorders>
              <w:top w:val="single" w:sz="8" w:space="0" w:color="auto"/>
              <w:left w:val="single" w:sz="8" w:space="0" w:color="auto"/>
              <w:bottom w:val="single" w:sz="8" w:space="0" w:color="auto"/>
              <w:right w:val="single" w:sz="8" w:space="0" w:color="auto"/>
              <w:tl2br w:val="nil"/>
              <w:tr2bl w:val="nil"/>
            </w:tcBorders>
            <w:noWrap/>
            <w:textDirection w:val="lrTb"/>
            <w:vAlign w:val="center"/>
          </w:tcPr>
          <w:p w:rsidR="00B1599D" w:rsidRPr="005360FA" w:rsidP="005360FA">
            <w:pPr>
              <w:spacing w:line="240" w:lineRule="auto"/>
              <w:jc w:val="right"/>
              <w:rPr>
                <w:rFonts w:ascii="Arial Narrow" w:hAnsi="Arial Narrow" w:cs="Times New Roman"/>
              </w:rPr>
            </w:pPr>
            <w:r w:rsidRPr="005360FA">
              <w:rPr>
                <w:rFonts w:ascii="Arial Narrow" w:hAnsi="Arial Narrow" w:cs="Times New Roman"/>
              </w:rPr>
              <w:t>136,00</w:t>
            </w:r>
          </w:p>
        </w:tc>
        <w:tc>
          <w:tcPr>
            <w:tcW w:w="1560" w:type="dxa"/>
            <w:tcBorders>
              <w:top w:val="single" w:sz="8" w:space="0" w:color="auto"/>
              <w:left w:val="single" w:sz="8" w:space="0" w:color="auto"/>
              <w:bottom w:val="single" w:sz="8" w:space="0" w:color="auto"/>
              <w:right w:val="single" w:sz="8" w:space="0" w:color="auto"/>
              <w:tl2br w:val="nil"/>
              <w:tr2bl w:val="nil"/>
            </w:tcBorders>
            <w:noWrap/>
            <w:textDirection w:val="lrTb"/>
            <w:vAlign w:val="center"/>
          </w:tcPr>
          <w:p w:rsidR="00B1599D" w:rsidRPr="005360FA" w:rsidP="005360FA">
            <w:pPr>
              <w:spacing w:line="240" w:lineRule="auto"/>
              <w:jc w:val="right"/>
              <w:rPr>
                <w:rFonts w:ascii="Arial Narrow" w:hAnsi="Arial Narrow" w:cs="Times New Roman"/>
              </w:rPr>
            </w:pPr>
            <w:r w:rsidRPr="005360FA">
              <w:rPr>
                <w:rFonts w:ascii="Arial Narrow" w:hAnsi="Arial Narrow" w:cs="Times New Roman"/>
              </w:rPr>
              <w:t>136,00</w:t>
            </w:r>
          </w:p>
        </w:tc>
      </w:tr>
      <w:tr>
        <w:tblPrEx>
          <w:tblW w:w="8580" w:type="dxa"/>
          <w:tblInd w:w="610" w:type="dxa"/>
          <w:tblCellMar>
            <w:left w:w="70" w:type="dxa"/>
            <w:right w:w="70" w:type="dxa"/>
          </w:tblCellMar>
        </w:tblPrEx>
        <w:trPr>
          <w:trHeight w:hRule="exact" w:val="227"/>
        </w:trPr>
        <w:tc>
          <w:tcPr>
            <w:tcW w:w="5560" w:type="dxa"/>
            <w:tcBorders>
              <w:top w:val="single" w:sz="8" w:space="0" w:color="auto"/>
              <w:left w:val="single" w:sz="8" w:space="0" w:color="auto"/>
              <w:bottom w:val="single" w:sz="8" w:space="0" w:color="auto"/>
              <w:right w:val="single" w:sz="8" w:space="0" w:color="auto"/>
              <w:tl2br w:val="nil"/>
              <w:tr2bl w:val="nil"/>
            </w:tcBorders>
            <w:noWrap/>
            <w:textDirection w:val="lrTb"/>
            <w:vAlign w:val="center"/>
          </w:tcPr>
          <w:p w:rsidR="00B1599D" w:rsidRPr="005360FA" w:rsidP="00B1599D">
            <w:pPr>
              <w:spacing w:line="240" w:lineRule="auto"/>
              <w:rPr>
                <w:rFonts w:ascii="Arial Narrow" w:hAnsi="Arial Narrow" w:cs="Times New Roman"/>
              </w:rPr>
            </w:pPr>
            <w:r w:rsidRPr="005360FA">
              <w:rPr>
                <w:rFonts w:ascii="Arial Narrow" w:hAnsi="Arial Narrow" w:cs="Times New Roman"/>
              </w:rPr>
              <w:t xml:space="preserve">Výsledok hospodárenia minulých rokov </w:t>
            </w:r>
          </w:p>
        </w:tc>
        <w:tc>
          <w:tcPr>
            <w:tcW w:w="1460" w:type="dxa"/>
            <w:tcBorders>
              <w:top w:val="single" w:sz="8" w:space="0" w:color="auto"/>
              <w:left w:val="single" w:sz="8" w:space="0" w:color="auto"/>
              <w:bottom w:val="single" w:sz="8" w:space="0" w:color="auto"/>
              <w:right w:val="single" w:sz="8" w:space="0" w:color="auto"/>
              <w:tl2br w:val="nil"/>
              <w:tr2bl w:val="nil"/>
            </w:tcBorders>
            <w:noWrap/>
            <w:textDirection w:val="lrTb"/>
            <w:vAlign w:val="center"/>
          </w:tcPr>
          <w:p w:rsidR="00B1599D" w:rsidRPr="005360FA" w:rsidP="005360FA">
            <w:pPr>
              <w:spacing w:line="240" w:lineRule="auto"/>
              <w:jc w:val="right"/>
              <w:rPr>
                <w:rFonts w:ascii="Arial Narrow" w:hAnsi="Arial Narrow" w:cs="Times New Roman"/>
              </w:rPr>
            </w:pPr>
            <w:r w:rsidRPr="005360FA">
              <w:rPr>
                <w:rFonts w:ascii="Arial Narrow" w:hAnsi="Arial Narrow" w:cs="Times New Roman"/>
              </w:rPr>
              <w:t>-355 791,00</w:t>
            </w:r>
          </w:p>
        </w:tc>
        <w:tc>
          <w:tcPr>
            <w:tcW w:w="1560" w:type="dxa"/>
            <w:tcBorders>
              <w:top w:val="single" w:sz="8" w:space="0" w:color="auto"/>
              <w:left w:val="single" w:sz="8" w:space="0" w:color="auto"/>
              <w:bottom w:val="single" w:sz="8" w:space="0" w:color="auto"/>
              <w:right w:val="single" w:sz="8" w:space="0" w:color="auto"/>
              <w:tl2br w:val="nil"/>
              <w:tr2bl w:val="nil"/>
            </w:tcBorders>
            <w:noWrap/>
            <w:textDirection w:val="lrTb"/>
            <w:vAlign w:val="center"/>
          </w:tcPr>
          <w:p w:rsidR="00B1599D" w:rsidRPr="005360FA" w:rsidP="005360FA">
            <w:pPr>
              <w:spacing w:line="240" w:lineRule="auto"/>
              <w:jc w:val="right"/>
              <w:rPr>
                <w:rFonts w:ascii="Arial Narrow" w:hAnsi="Arial Narrow" w:cs="Times New Roman"/>
              </w:rPr>
            </w:pPr>
            <w:r w:rsidRPr="005360FA">
              <w:rPr>
                <w:rFonts w:ascii="Arial Narrow" w:hAnsi="Arial Narrow" w:cs="Times New Roman"/>
              </w:rPr>
              <w:t>-877 968,00</w:t>
            </w:r>
          </w:p>
        </w:tc>
      </w:tr>
      <w:tr>
        <w:tblPrEx>
          <w:tblW w:w="8580" w:type="dxa"/>
          <w:tblInd w:w="610" w:type="dxa"/>
          <w:tblCellMar>
            <w:left w:w="70" w:type="dxa"/>
            <w:right w:w="70" w:type="dxa"/>
          </w:tblCellMar>
        </w:tblPrEx>
        <w:trPr>
          <w:trHeight w:hRule="exact" w:val="227"/>
        </w:trPr>
        <w:tc>
          <w:tcPr>
            <w:tcW w:w="5560" w:type="dxa"/>
            <w:tcBorders>
              <w:top w:val="single" w:sz="8" w:space="0" w:color="auto"/>
              <w:left w:val="single" w:sz="8" w:space="0" w:color="auto"/>
              <w:bottom w:val="single" w:sz="8" w:space="0" w:color="auto"/>
              <w:right w:val="single" w:sz="8" w:space="0" w:color="auto"/>
              <w:tl2br w:val="nil"/>
              <w:tr2bl w:val="nil"/>
            </w:tcBorders>
            <w:noWrap/>
            <w:textDirection w:val="lrTb"/>
            <w:vAlign w:val="center"/>
          </w:tcPr>
          <w:p w:rsidR="00B1599D" w:rsidRPr="005360FA" w:rsidP="00B1599D">
            <w:pPr>
              <w:spacing w:line="240" w:lineRule="auto"/>
              <w:rPr>
                <w:rFonts w:ascii="Arial Narrow" w:hAnsi="Arial Narrow" w:cs="Times New Roman"/>
              </w:rPr>
            </w:pPr>
            <w:r w:rsidRPr="005360FA">
              <w:rPr>
                <w:rFonts w:ascii="Arial Narrow" w:hAnsi="Arial Narrow" w:cs="Times New Roman"/>
              </w:rPr>
              <w:t xml:space="preserve">Neuhradená strata minulých rokov </w:t>
            </w:r>
          </w:p>
        </w:tc>
        <w:tc>
          <w:tcPr>
            <w:tcW w:w="1460" w:type="dxa"/>
            <w:tcBorders>
              <w:top w:val="single" w:sz="8" w:space="0" w:color="auto"/>
              <w:left w:val="single" w:sz="8" w:space="0" w:color="auto"/>
              <w:bottom w:val="single" w:sz="8" w:space="0" w:color="auto"/>
              <w:right w:val="single" w:sz="8" w:space="0" w:color="auto"/>
              <w:tl2br w:val="nil"/>
              <w:tr2bl w:val="nil"/>
            </w:tcBorders>
            <w:noWrap/>
            <w:textDirection w:val="lrTb"/>
            <w:vAlign w:val="center"/>
          </w:tcPr>
          <w:p w:rsidR="00B1599D" w:rsidRPr="005360FA" w:rsidP="005360FA">
            <w:pPr>
              <w:spacing w:line="240" w:lineRule="auto"/>
              <w:jc w:val="right"/>
              <w:rPr>
                <w:rFonts w:ascii="Arial Narrow" w:hAnsi="Arial Narrow" w:cs="Times New Roman"/>
              </w:rPr>
            </w:pPr>
            <w:r w:rsidRPr="005360FA">
              <w:rPr>
                <w:rFonts w:ascii="Arial Narrow" w:hAnsi="Arial Narrow" w:cs="Times New Roman"/>
              </w:rPr>
              <w:t>-355 791,00</w:t>
            </w:r>
          </w:p>
        </w:tc>
        <w:tc>
          <w:tcPr>
            <w:tcW w:w="1560" w:type="dxa"/>
            <w:tcBorders>
              <w:top w:val="single" w:sz="8" w:space="0" w:color="auto"/>
              <w:left w:val="single" w:sz="8" w:space="0" w:color="auto"/>
              <w:bottom w:val="single" w:sz="8" w:space="0" w:color="auto"/>
              <w:right w:val="single" w:sz="8" w:space="0" w:color="auto"/>
              <w:tl2br w:val="nil"/>
              <w:tr2bl w:val="nil"/>
            </w:tcBorders>
            <w:noWrap/>
            <w:textDirection w:val="lrTb"/>
            <w:vAlign w:val="center"/>
          </w:tcPr>
          <w:p w:rsidR="00B1599D" w:rsidRPr="005360FA" w:rsidP="005360FA">
            <w:pPr>
              <w:spacing w:line="240" w:lineRule="auto"/>
              <w:jc w:val="right"/>
              <w:rPr>
                <w:rFonts w:ascii="Arial Narrow" w:hAnsi="Arial Narrow" w:cs="Times New Roman"/>
              </w:rPr>
            </w:pPr>
            <w:r w:rsidRPr="005360FA">
              <w:rPr>
                <w:rFonts w:ascii="Arial Narrow" w:hAnsi="Arial Narrow" w:cs="Times New Roman"/>
              </w:rPr>
              <w:t>-877 968,00</w:t>
            </w:r>
          </w:p>
        </w:tc>
      </w:tr>
      <w:tr>
        <w:tblPrEx>
          <w:tblW w:w="8580" w:type="dxa"/>
          <w:tblInd w:w="610" w:type="dxa"/>
          <w:tblCellMar>
            <w:left w:w="70" w:type="dxa"/>
            <w:right w:w="70" w:type="dxa"/>
          </w:tblCellMar>
        </w:tblPrEx>
        <w:trPr>
          <w:trHeight w:hRule="exact" w:val="227"/>
        </w:trPr>
        <w:tc>
          <w:tcPr>
            <w:tcW w:w="5560" w:type="dxa"/>
            <w:tcBorders>
              <w:top w:val="single" w:sz="8" w:space="0" w:color="auto"/>
              <w:left w:val="single" w:sz="8" w:space="0" w:color="auto"/>
              <w:bottom w:val="single" w:sz="8" w:space="0" w:color="auto"/>
              <w:right w:val="single" w:sz="8" w:space="0" w:color="auto"/>
              <w:tl2br w:val="nil"/>
              <w:tr2bl w:val="nil"/>
            </w:tcBorders>
            <w:noWrap/>
            <w:textDirection w:val="lrTb"/>
            <w:vAlign w:val="center"/>
          </w:tcPr>
          <w:p w:rsidR="00B1599D" w:rsidRPr="005360FA" w:rsidP="00B1599D">
            <w:pPr>
              <w:spacing w:line="240" w:lineRule="auto"/>
              <w:rPr>
                <w:rFonts w:ascii="Arial Narrow" w:hAnsi="Arial Narrow" w:cs="Times New Roman"/>
              </w:rPr>
            </w:pPr>
            <w:r w:rsidRPr="005360FA">
              <w:rPr>
                <w:rFonts w:ascii="Arial Narrow" w:hAnsi="Arial Narrow" w:cs="Times New Roman"/>
              </w:rPr>
              <w:t xml:space="preserve">Výsledok hospodárenia za účtovné obdobie /+ -/ </w:t>
            </w:r>
          </w:p>
        </w:tc>
        <w:tc>
          <w:tcPr>
            <w:tcW w:w="1460" w:type="dxa"/>
            <w:tcBorders>
              <w:top w:val="single" w:sz="8" w:space="0" w:color="auto"/>
              <w:left w:val="single" w:sz="8" w:space="0" w:color="auto"/>
              <w:bottom w:val="single" w:sz="8" w:space="0" w:color="auto"/>
              <w:right w:val="single" w:sz="8" w:space="0" w:color="auto"/>
              <w:tl2br w:val="nil"/>
              <w:tr2bl w:val="nil"/>
            </w:tcBorders>
            <w:noWrap/>
            <w:textDirection w:val="lrTb"/>
            <w:vAlign w:val="center"/>
          </w:tcPr>
          <w:p w:rsidR="00B1599D" w:rsidRPr="005360FA" w:rsidP="005360FA">
            <w:pPr>
              <w:spacing w:line="240" w:lineRule="auto"/>
              <w:jc w:val="right"/>
              <w:rPr>
                <w:rFonts w:ascii="Arial Narrow" w:hAnsi="Arial Narrow" w:cs="Times New Roman"/>
              </w:rPr>
            </w:pPr>
            <w:r w:rsidRPr="005360FA">
              <w:rPr>
                <w:rFonts w:ascii="Arial Narrow" w:hAnsi="Arial Narrow" w:cs="Times New Roman"/>
              </w:rPr>
              <w:t>86 871,00</w:t>
            </w:r>
          </w:p>
        </w:tc>
        <w:tc>
          <w:tcPr>
            <w:tcW w:w="1560" w:type="dxa"/>
            <w:tcBorders>
              <w:top w:val="single" w:sz="8" w:space="0" w:color="auto"/>
              <w:left w:val="single" w:sz="8" w:space="0" w:color="auto"/>
              <w:bottom w:val="single" w:sz="8" w:space="0" w:color="auto"/>
              <w:right w:val="single" w:sz="8" w:space="0" w:color="auto"/>
              <w:tl2br w:val="nil"/>
              <w:tr2bl w:val="nil"/>
            </w:tcBorders>
            <w:noWrap/>
            <w:textDirection w:val="lrTb"/>
            <w:vAlign w:val="center"/>
          </w:tcPr>
          <w:p w:rsidR="00B1599D" w:rsidRPr="005360FA" w:rsidP="005360FA">
            <w:pPr>
              <w:spacing w:line="240" w:lineRule="auto"/>
              <w:jc w:val="right"/>
              <w:rPr>
                <w:rFonts w:ascii="Arial Narrow" w:hAnsi="Arial Narrow" w:cs="Times New Roman"/>
              </w:rPr>
            </w:pPr>
            <w:r w:rsidRPr="005360FA">
              <w:rPr>
                <w:rFonts w:ascii="Arial Narrow" w:hAnsi="Arial Narrow" w:cs="Times New Roman"/>
              </w:rPr>
              <w:t>-29 372,00</w:t>
            </w:r>
          </w:p>
        </w:tc>
      </w:tr>
      <w:tr>
        <w:tblPrEx>
          <w:tblW w:w="8580" w:type="dxa"/>
          <w:tblInd w:w="610" w:type="dxa"/>
          <w:tblCellMar>
            <w:left w:w="70" w:type="dxa"/>
            <w:right w:w="70" w:type="dxa"/>
          </w:tblCellMar>
        </w:tblPrEx>
        <w:trPr>
          <w:trHeight w:hRule="exact" w:val="227"/>
        </w:trPr>
        <w:tc>
          <w:tcPr>
            <w:tcW w:w="5560" w:type="dxa"/>
            <w:tcBorders>
              <w:top w:val="single" w:sz="8" w:space="0" w:color="auto"/>
              <w:left w:val="single" w:sz="8" w:space="0" w:color="auto"/>
              <w:bottom w:val="single" w:sz="8" w:space="0" w:color="auto"/>
              <w:right w:val="single" w:sz="8" w:space="0" w:color="auto"/>
              <w:tl2br w:val="nil"/>
              <w:tr2bl w:val="nil"/>
            </w:tcBorders>
            <w:noWrap/>
            <w:textDirection w:val="lrTb"/>
            <w:vAlign w:val="center"/>
          </w:tcPr>
          <w:p w:rsidR="00B1599D" w:rsidRPr="005360FA" w:rsidP="00B1599D">
            <w:pPr>
              <w:spacing w:line="240" w:lineRule="auto"/>
              <w:rPr>
                <w:rFonts w:ascii="Arial Narrow" w:hAnsi="Arial Narrow" w:cs="Times New Roman"/>
              </w:rPr>
            </w:pPr>
            <w:r w:rsidRPr="005360FA">
              <w:rPr>
                <w:rFonts w:ascii="Arial Narrow" w:hAnsi="Arial Narrow" w:cs="Times New Roman"/>
              </w:rPr>
              <w:t xml:space="preserve">Záväzky </w:t>
            </w:r>
          </w:p>
        </w:tc>
        <w:tc>
          <w:tcPr>
            <w:tcW w:w="1460" w:type="dxa"/>
            <w:tcBorders>
              <w:top w:val="single" w:sz="8" w:space="0" w:color="auto"/>
              <w:left w:val="single" w:sz="8" w:space="0" w:color="auto"/>
              <w:bottom w:val="single" w:sz="8" w:space="0" w:color="auto"/>
              <w:right w:val="single" w:sz="8" w:space="0" w:color="auto"/>
              <w:tl2br w:val="nil"/>
              <w:tr2bl w:val="nil"/>
            </w:tcBorders>
            <w:noWrap/>
            <w:textDirection w:val="lrTb"/>
            <w:vAlign w:val="center"/>
          </w:tcPr>
          <w:p w:rsidR="00B1599D" w:rsidRPr="005360FA" w:rsidP="005360FA">
            <w:pPr>
              <w:spacing w:line="240" w:lineRule="auto"/>
              <w:jc w:val="right"/>
              <w:rPr>
                <w:rFonts w:ascii="Arial Narrow" w:hAnsi="Arial Narrow" w:cs="Times New Roman"/>
              </w:rPr>
            </w:pPr>
            <w:r w:rsidRPr="005360FA">
              <w:rPr>
                <w:rFonts w:ascii="Arial Narrow" w:hAnsi="Arial Narrow" w:cs="Times New Roman"/>
              </w:rPr>
              <w:t>134 454,00</w:t>
            </w:r>
          </w:p>
        </w:tc>
        <w:tc>
          <w:tcPr>
            <w:tcW w:w="1560" w:type="dxa"/>
            <w:tcBorders>
              <w:top w:val="single" w:sz="8" w:space="0" w:color="auto"/>
              <w:left w:val="single" w:sz="8" w:space="0" w:color="auto"/>
              <w:bottom w:val="single" w:sz="8" w:space="0" w:color="auto"/>
              <w:right w:val="single" w:sz="8" w:space="0" w:color="auto"/>
              <w:tl2br w:val="nil"/>
              <w:tr2bl w:val="nil"/>
            </w:tcBorders>
            <w:noWrap/>
            <w:textDirection w:val="lrTb"/>
            <w:vAlign w:val="center"/>
          </w:tcPr>
          <w:p w:rsidR="00B1599D" w:rsidRPr="005360FA" w:rsidP="005360FA">
            <w:pPr>
              <w:spacing w:line="240" w:lineRule="auto"/>
              <w:jc w:val="right"/>
              <w:rPr>
                <w:rFonts w:ascii="Arial Narrow" w:hAnsi="Arial Narrow" w:cs="Times New Roman"/>
              </w:rPr>
            </w:pPr>
            <w:r w:rsidRPr="005360FA">
              <w:rPr>
                <w:rFonts w:ascii="Arial Narrow" w:hAnsi="Arial Narrow" w:cs="Times New Roman"/>
              </w:rPr>
              <w:t>170 338,00</w:t>
            </w:r>
          </w:p>
        </w:tc>
      </w:tr>
      <w:tr>
        <w:tblPrEx>
          <w:tblW w:w="8580" w:type="dxa"/>
          <w:tblInd w:w="610" w:type="dxa"/>
          <w:tblCellMar>
            <w:left w:w="70" w:type="dxa"/>
            <w:right w:w="70" w:type="dxa"/>
          </w:tblCellMar>
        </w:tblPrEx>
        <w:trPr>
          <w:trHeight w:hRule="exact" w:val="227"/>
        </w:trPr>
        <w:tc>
          <w:tcPr>
            <w:tcW w:w="5560" w:type="dxa"/>
            <w:tcBorders>
              <w:top w:val="single" w:sz="8" w:space="0" w:color="auto"/>
              <w:left w:val="single" w:sz="8" w:space="0" w:color="auto"/>
              <w:bottom w:val="single" w:sz="8" w:space="0" w:color="auto"/>
              <w:right w:val="single" w:sz="8" w:space="0" w:color="auto"/>
              <w:tl2br w:val="nil"/>
              <w:tr2bl w:val="nil"/>
            </w:tcBorders>
            <w:noWrap/>
            <w:textDirection w:val="lrTb"/>
            <w:vAlign w:val="center"/>
          </w:tcPr>
          <w:p w:rsidR="00B1599D" w:rsidRPr="005360FA" w:rsidP="00B1599D">
            <w:pPr>
              <w:spacing w:line="240" w:lineRule="auto"/>
              <w:rPr>
                <w:rFonts w:ascii="Arial Narrow" w:hAnsi="Arial Narrow" w:cs="Times New Roman"/>
              </w:rPr>
            </w:pPr>
            <w:r w:rsidRPr="005360FA">
              <w:rPr>
                <w:rFonts w:ascii="Arial Narrow" w:hAnsi="Arial Narrow" w:cs="Times New Roman"/>
              </w:rPr>
              <w:t xml:space="preserve">Rezervy súčet </w:t>
            </w:r>
          </w:p>
        </w:tc>
        <w:tc>
          <w:tcPr>
            <w:tcW w:w="1460" w:type="dxa"/>
            <w:tcBorders>
              <w:top w:val="single" w:sz="8" w:space="0" w:color="auto"/>
              <w:left w:val="single" w:sz="8" w:space="0" w:color="auto"/>
              <w:bottom w:val="single" w:sz="8" w:space="0" w:color="auto"/>
              <w:right w:val="single" w:sz="8" w:space="0" w:color="auto"/>
              <w:tl2br w:val="nil"/>
              <w:tr2bl w:val="nil"/>
            </w:tcBorders>
            <w:noWrap/>
            <w:textDirection w:val="lrTb"/>
            <w:vAlign w:val="center"/>
          </w:tcPr>
          <w:p w:rsidR="00B1599D" w:rsidRPr="005360FA" w:rsidP="005360FA">
            <w:pPr>
              <w:spacing w:line="240" w:lineRule="auto"/>
              <w:jc w:val="right"/>
              <w:rPr>
                <w:rFonts w:ascii="Arial Narrow" w:hAnsi="Arial Narrow" w:cs="Times New Roman"/>
              </w:rPr>
            </w:pPr>
            <w:r w:rsidRPr="005360FA">
              <w:rPr>
                <w:rFonts w:ascii="Arial Narrow" w:hAnsi="Arial Narrow" w:cs="Times New Roman"/>
              </w:rPr>
              <w:t>59 377,00</w:t>
            </w:r>
          </w:p>
        </w:tc>
        <w:tc>
          <w:tcPr>
            <w:tcW w:w="1560" w:type="dxa"/>
            <w:tcBorders>
              <w:top w:val="single" w:sz="8" w:space="0" w:color="auto"/>
              <w:left w:val="single" w:sz="8" w:space="0" w:color="auto"/>
              <w:bottom w:val="single" w:sz="8" w:space="0" w:color="auto"/>
              <w:right w:val="single" w:sz="8" w:space="0" w:color="auto"/>
              <w:tl2br w:val="nil"/>
              <w:tr2bl w:val="nil"/>
            </w:tcBorders>
            <w:noWrap/>
            <w:textDirection w:val="lrTb"/>
            <w:vAlign w:val="center"/>
          </w:tcPr>
          <w:p w:rsidR="00B1599D" w:rsidRPr="005360FA" w:rsidP="005360FA">
            <w:pPr>
              <w:spacing w:line="240" w:lineRule="auto"/>
              <w:jc w:val="right"/>
              <w:rPr>
                <w:rFonts w:ascii="Arial Narrow" w:hAnsi="Arial Narrow" w:cs="Times New Roman"/>
              </w:rPr>
            </w:pPr>
            <w:r w:rsidRPr="005360FA">
              <w:rPr>
                <w:rFonts w:ascii="Arial Narrow" w:hAnsi="Arial Narrow" w:cs="Times New Roman"/>
              </w:rPr>
              <w:t>115 376,00</w:t>
            </w:r>
          </w:p>
        </w:tc>
      </w:tr>
      <w:tr>
        <w:tblPrEx>
          <w:tblW w:w="8580" w:type="dxa"/>
          <w:tblInd w:w="610" w:type="dxa"/>
          <w:tblCellMar>
            <w:left w:w="70" w:type="dxa"/>
            <w:right w:w="70" w:type="dxa"/>
          </w:tblCellMar>
        </w:tblPrEx>
        <w:trPr>
          <w:trHeight w:hRule="exact" w:val="227"/>
        </w:trPr>
        <w:tc>
          <w:tcPr>
            <w:tcW w:w="5560" w:type="dxa"/>
            <w:tcBorders>
              <w:top w:val="single" w:sz="8" w:space="0" w:color="auto"/>
              <w:left w:val="single" w:sz="8" w:space="0" w:color="auto"/>
              <w:bottom w:val="single" w:sz="8" w:space="0" w:color="auto"/>
              <w:right w:val="single" w:sz="8" w:space="0" w:color="auto"/>
              <w:tl2br w:val="nil"/>
              <w:tr2bl w:val="nil"/>
            </w:tcBorders>
            <w:noWrap/>
            <w:textDirection w:val="lrTb"/>
            <w:vAlign w:val="center"/>
          </w:tcPr>
          <w:p w:rsidR="00B1599D" w:rsidRPr="005360FA" w:rsidP="00B1599D">
            <w:pPr>
              <w:spacing w:line="240" w:lineRule="auto"/>
              <w:rPr>
                <w:rFonts w:ascii="Arial Narrow" w:hAnsi="Arial Narrow" w:cs="Times New Roman"/>
              </w:rPr>
            </w:pPr>
            <w:r w:rsidRPr="005360FA">
              <w:rPr>
                <w:rFonts w:ascii="Arial Narrow" w:hAnsi="Arial Narrow" w:cs="Times New Roman"/>
              </w:rPr>
              <w:t>Ostatné dlhodobé rezervy</w:t>
            </w:r>
          </w:p>
        </w:tc>
        <w:tc>
          <w:tcPr>
            <w:tcW w:w="1460" w:type="dxa"/>
            <w:tcBorders>
              <w:top w:val="single" w:sz="8" w:space="0" w:color="auto"/>
              <w:left w:val="single" w:sz="8" w:space="0" w:color="auto"/>
              <w:bottom w:val="single" w:sz="8" w:space="0" w:color="auto"/>
              <w:right w:val="single" w:sz="8" w:space="0" w:color="auto"/>
              <w:tl2br w:val="nil"/>
              <w:tr2bl w:val="nil"/>
            </w:tcBorders>
            <w:noWrap/>
            <w:textDirection w:val="lrTb"/>
            <w:vAlign w:val="center"/>
          </w:tcPr>
          <w:p w:rsidR="00B1599D" w:rsidRPr="005360FA" w:rsidP="005360FA">
            <w:pPr>
              <w:spacing w:line="240" w:lineRule="auto"/>
              <w:jc w:val="right"/>
              <w:rPr>
                <w:rFonts w:ascii="Arial Narrow" w:hAnsi="Arial Narrow" w:cs="Times New Roman"/>
              </w:rPr>
            </w:pPr>
            <w:r w:rsidRPr="005360FA">
              <w:rPr>
                <w:rFonts w:ascii="Arial Narrow" w:hAnsi="Arial Narrow" w:cs="Times New Roman"/>
              </w:rPr>
              <w:t>31 741,00</w:t>
            </w:r>
          </w:p>
        </w:tc>
        <w:tc>
          <w:tcPr>
            <w:tcW w:w="1560" w:type="dxa"/>
            <w:tcBorders>
              <w:top w:val="single" w:sz="8" w:space="0" w:color="auto"/>
              <w:left w:val="single" w:sz="8" w:space="0" w:color="auto"/>
              <w:bottom w:val="single" w:sz="8" w:space="0" w:color="auto"/>
              <w:right w:val="single" w:sz="8" w:space="0" w:color="auto"/>
              <w:tl2br w:val="nil"/>
              <w:tr2bl w:val="nil"/>
            </w:tcBorders>
            <w:noWrap/>
            <w:textDirection w:val="lrTb"/>
            <w:vAlign w:val="center"/>
          </w:tcPr>
          <w:p w:rsidR="00B1599D" w:rsidRPr="005360FA" w:rsidP="005360FA">
            <w:pPr>
              <w:spacing w:line="240" w:lineRule="auto"/>
              <w:jc w:val="right"/>
              <w:rPr>
                <w:rFonts w:ascii="Arial Narrow" w:hAnsi="Arial Narrow" w:cs="Times New Roman"/>
              </w:rPr>
            </w:pPr>
            <w:r w:rsidRPr="005360FA">
              <w:rPr>
                <w:rFonts w:ascii="Arial Narrow" w:hAnsi="Arial Narrow" w:cs="Times New Roman"/>
              </w:rPr>
              <w:t>79 783,00</w:t>
            </w:r>
          </w:p>
        </w:tc>
      </w:tr>
      <w:tr>
        <w:tblPrEx>
          <w:tblW w:w="8580" w:type="dxa"/>
          <w:tblInd w:w="610" w:type="dxa"/>
          <w:tblCellMar>
            <w:left w:w="70" w:type="dxa"/>
            <w:right w:w="70" w:type="dxa"/>
          </w:tblCellMar>
        </w:tblPrEx>
        <w:trPr>
          <w:trHeight w:hRule="exact" w:val="227"/>
        </w:trPr>
        <w:tc>
          <w:tcPr>
            <w:tcW w:w="5560" w:type="dxa"/>
            <w:tcBorders>
              <w:top w:val="single" w:sz="8" w:space="0" w:color="auto"/>
              <w:left w:val="single" w:sz="8" w:space="0" w:color="auto"/>
              <w:bottom w:val="single" w:sz="8" w:space="0" w:color="auto"/>
              <w:right w:val="single" w:sz="8" w:space="0" w:color="auto"/>
              <w:tl2br w:val="nil"/>
              <w:tr2bl w:val="nil"/>
            </w:tcBorders>
            <w:noWrap/>
            <w:textDirection w:val="lrTb"/>
            <w:vAlign w:val="center"/>
          </w:tcPr>
          <w:p w:rsidR="00B1599D" w:rsidRPr="005360FA" w:rsidP="00B1599D">
            <w:pPr>
              <w:spacing w:line="240" w:lineRule="auto"/>
              <w:rPr>
                <w:rFonts w:ascii="Arial Narrow" w:hAnsi="Arial Narrow" w:cs="Times New Roman"/>
              </w:rPr>
            </w:pPr>
            <w:r w:rsidRPr="005360FA">
              <w:rPr>
                <w:rFonts w:ascii="Arial Narrow" w:hAnsi="Arial Narrow" w:cs="Times New Roman"/>
              </w:rPr>
              <w:t xml:space="preserve">Krátkodobé rezervy </w:t>
            </w:r>
          </w:p>
        </w:tc>
        <w:tc>
          <w:tcPr>
            <w:tcW w:w="1460" w:type="dxa"/>
            <w:tcBorders>
              <w:top w:val="single" w:sz="8" w:space="0" w:color="auto"/>
              <w:left w:val="single" w:sz="8" w:space="0" w:color="auto"/>
              <w:bottom w:val="single" w:sz="8" w:space="0" w:color="auto"/>
              <w:right w:val="single" w:sz="8" w:space="0" w:color="auto"/>
              <w:tl2br w:val="nil"/>
              <w:tr2bl w:val="nil"/>
            </w:tcBorders>
            <w:noWrap/>
            <w:textDirection w:val="lrTb"/>
            <w:vAlign w:val="center"/>
          </w:tcPr>
          <w:p w:rsidR="00B1599D" w:rsidRPr="005360FA" w:rsidP="005360FA">
            <w:pPr>
              <w:spacing w:line="240" w:lineRule="auto"/>
              <w:jc w:val="right"/>
              <w:rPr>
                <w:rFonts w:ascii="Arial Narrow" w:hAnsi="Arial Narrow" w:cs="Times New Roman"/>
              </w:rPr>
            </w:pPr>
            <w:r w:rsidRPr="005360FA">
              <w:rPr>
                <w:rFonts w:ascii="Arial Narrow" w:hAnsi="Arial Narrow" w:cs="Times New Roman"/>
              </w:rPr>
              <w:t>27 636,00</w:t>
            </w:r>
          </w:p>
        </w:tc>
        <w:tc>
          <w:tcPr>
            <w:tcW w:w="1560" w:type="dxa"/>
            <w:tcBorders>
              <w:top w:val="single" w:sz="8" w:space="0" w:color="auto"/>
              <w:left w:val="single" w:sz="8" w:space="0" w:color="auto"/>
              <w:bottom w:val="single" w:sz="8" w:space="0" w:color="auto"/>
              <w:right w:val="single" w:sz="8" w:space="0" w:color="auto"/>
              <w:tl2br w:val="nil"/>
              <w:tr2bl w:val="nil"/>
            </w:tcBorders>
            <w:noWrap/>
            <w:textDirection w:val="lrTb"/>
            <w:vAlign w:val="center"/>
          </w:tcPr>
          <w:p w:rsidR="00B1599D" w:rsidRPr="005360FA" w:rsidP="005360FA">
            <w:pPr>
              <w:spacing w:line="240" w:lineRule="auto"/>
              <w:jc w:val="right"/>
              <w:rPr>
                <w:rFonts w:ascii="Arial Narrow" w:hAnsi="Arial Narrow" w:cs="Times New Roman"/>
              </w:rPr>
            </w:pPr>
            <w:r w:rsidRPr="005360FA">
              <w:rPr>
                <w:rFonts w:ascii="Arial Narrow" w:hAnsi="Arial Narrow" w:cs="Times New Roman"/>
              </w:rPr>
              <w:t>35 593,00</w:t>
            </w:r>
          </w:p>
        </w:tc>
      </w:tr>
      <w:tr>
        <w:tblPrEx>
          <w:tblW w:w="8580" w:type="dxa"/>
          <w:tblInd w:w="610" w:type="dxa"/>
          <w:tblCellMar>
            <w:left w:w="70" w:type="dxa"/>
            <w:right w:w="70" w:type="dxa"/>
          </w:tblCellMar>
        </w:tblPrEx>
        <w:trPr>
          <w:trHeight w:hRule="exact" w:val="227"/>
        </w:trPr>
        <w:tc>
          <w:tcPr>
            <w:tcW w:w="5560" w:type="dxa"/>
            <w:tcBorders>
              <w:top w:val="single" w:sz="8" w:space="0" w:color="auto"/>
              <w:left w:val="single" w:sz="8" w:space="0" w:color="auto"/>
              <w:bottom w:val="single" w:sz="8" w:space="0" w:color="auto"/>
              <w:right w:val="single" w:sz="8" w:space="0" w:color="auto"/>
              <w:tl2br w:val="nil"/>
              <w:tr2bl w:val="nil"/>
            </w:tcBorders>
            <w:noWrap/>
            <w:textDirection w:val="lrTb"/>
            <w:vAlign w:val="center"/>
          </w:tcPr>
          <w:p w:rsidR="00B1599D" w:rsidRPr="005360FA" w:rsidP="00B1599D">
            <w:pPr>
              <w:spacing w:line="240" w:lineRule="auto"/>
              <w:rPr>
                <w:rFonts w:ascii="Arial Narrow" w:hAnsi="Arial Narrow" w:cs="Times New Roman"/>
              </w:rPr>
            </w:pPr>
            <w:r w:rsidRPr="005360FA">
              <w:rPr>
                <w:rFonts w:ascii="Arial Narrow" w:hAnsi="Arial Narrow" w:cs="Times New Roman"/>
              </w:rPr>
              <w:t xml:space="preserve">Dlhodobé záväzky súčet </w:t>
            </w:r>
          </w:p>
        </w:tc>
        <w:tc>
          <w:tcPr>
            <w:tcW w:w="1460" w:type="dxa"/>
            <w:tcBorders>
              <w:top w:val="single" w:sz="8" w:space="0" w:color="auto"/>
              <w:left w:val="single" w:sz="8" w:space="0" w:color="auto"/>
              <w:bottom w:val="single" w:sz="8" w:space="0" w:color="auto"/>
              <w:right w:val="single" w:sz="8" w:space="0" w:color="auto"/>
              <w:tl2br w:val="nil"/>
              <w:tr2bl w:val="nil"/>
            </w:tcBorders>
            <w:noWrap/>
            <w:textDirection w:val="lrTb"/>
            <w:vAlign w:val="center"/>
          </w:tcPr>
          <w:p w:rsidR="00B1599D" w:rsidRPr="005360FA" w:rsidP="005360FA">
            <w:pPr>
              <w:spacing w:line="240" w:lineRule="auto"/>
              <w:jc w:val="right"/>
              <w:rPr>
                <w:rFonts w:ascii="Arial Narrow" w:hAnsi="Arial Narrow" w:cs="Times New Roman"/>
              </w:rPr>
            </w:pPr>
            <w:r w:rsidRPr="005360FA">
              <w:rPr>
                <w:rFonts w:ascii="Arial Narrow" w:hAnsi="Arial Narrow" w:cs="Times New Roman"/>
              </w:rPr>
              <w:t>45 084,00</w:t>
            </w:r>
          </w:p>
        </w:tc>
        <w:tc>
          <w:tcPr>
            <w:tcW w:w="1560" w:type="dxa"/>
            <w:tcBorders>
              <w:top w:val="single" w:sz="8" w:space="0" w:color="auto"/>
              <w:left w:val="single" w:sz="8" w:space="0" w:color="auto"/>
              <w:bottom w:val="single" w:sz="8" w:space="0" w:color="auto"/>
              <w:right w:val="single" w:sz="8" w:space="0" w:color="auto"/>
              <w:tl2br w:val="nil"/>
              <w:tr2bl w:val="nil"/>
            </w:tcBorders>
            <w:noWrap/>
            <w:textDirection w:val="lrTb"/>
            <w:vAlign w:val="center"/>
          </w:tcPr>
          <w:p w:rsidR="00B1599D" w:rsidRPr="005360FA" w:rsidP="005360FA">
            <w:pPr>
              <w:spacing w:line="240" w:lineRule="auto"/>
              <w:jc w:val="right"/>
              <w:rPr>
                <w:rFonts w:ascii="Arial Narrow" w:hAnsi="Arial Narrow" w:cs="Times New Roman"/>
              </w:rPr>
            </w:pPr>
            <w:r w:rsidRPr="005360FA">
              <w:rPr>
                <w:rFonts w:ascii="Arial Narrow" w:hAnsi="Arial Narrow" w:cs="Times New Roman"/>
              </w:rPr>
              <w:t>42 869,00</w:t>
            </w:r>
          </w:p>
        </w:tc>
      </w:tr>
      <w:tr>
        <w:tblPrEx>
          <w:tblW w:w="8580" w:type="dxa"/>
          <w:tblInd w:w="610" w:type="dxa"/>
          <w:tblCellMar>
            <w:left w:w="70" w:type="dxa"/>
            <w:right w:w="70" w:type="dxa"/>
          </w:tblCellMar>
        </w:tblPrEx>
        <w:trPr>
          <w:trHeight w:hRule="exact" w:val="227"/>
        </w:trPr>
        <w:tc>
          <w:tcPr>
            <w:tcW w:w="5560" w:type="dxa"/>
            <w:tcBorders>
              <w:top w:val="single" w:sz="8" w:space="0" w:color="auto"/>
              <w:left w:val="single" w:sz="8" w:space="0" w:color="auto"/>
              <w:bottom w:val="single" w:sz="8" w:space="0" w:color="auto"/>
              <w:right w:val="single" w:sz="8" w:space="0" w:color="auto"/>
              <w:tl2br w:val="nil"/>
              <w:tr2bl w:val="nil"/>
            </w:tcBorders>
            <w:noWrap/>
            <w:textDirection w:val="lrTb"/>
            <w:vAlign w:val="center"/>
          </w:tcPr>
          <w:p w:rsidR="00B1599D" w:rsidRPr="005360FA" w:rsidP="00B1599D">
            <w:pPr>
              <w:spacing w:line="240" w:lineRule="auto"/>
              <w:rPr>
                <w:rFonts w:ascii="Arial Narrow" w:hAnsi="Arial Narrow" w:cs="Times New Roman"/>
              </w:rPr>
            </w:pPr>
            <w:r w:rsidRPr="005360FA">
              <w:rPr>
                <w:rFonts w:ascii="Arial Narrow" w:hAnsi="Arial Narrow" w:cs="Times New Roman"/>
              </w:rPr>
              <w:t xml:space="preserve">Záväzky zo sociálneho fondu </w:t>
            </w:r>
          </w:p>
        </w:tc>
        <w:tc>
          <w:tcPr>
            <w:tcW w:w="1460" w:type="dxa"/>
            <w:tcBorders>
              <w:top w:val="single" w:sz="8" w:space="0" w:color="auto"/>
              <w:left w:val="single" w:sz="8" w:space="0" w:color="auto"/>
              <w:bottom w:val="single" w:sz="8" w:space="0" w:color="auto"/>
              <w:right w:val="single" w:sz="8" w:space="0" w:color="auto"/>
              <w:tl2br w:val="nil"/>
              <w:tr2bl w:val="nil"/>
            </w:tcBorders>
            <w:noWrap/>
            <w:textDirection w:val="lrTb"/>
            <w:vAlign w:val="center"/>
          </w:tcPr>
          <w:p w:rsidR="00B1599D" w:rsidRPr="005360FA" w:rsidP="005360FA">
            <w:pPr>
              <w:spacing w:line="240" w:lineRule="auto"/>
              <w:jc w:val="right"/>
              <w:rPr>
                <w:rFonts w:ascii="Arial Narrow" w:hAnsi="Arial Narrow" w:cs="Times New Roman"/>
              </w:rPr>
            </w:pPr>
            <w:r w:rsidRPr="005360FA">
              <w:rPr>
                <w:rFonts w:ascii="Arial Narrow" w:hAnsi="Arial Narrow" w:cs="Times New Roman"/>
              </w:rPr>
              <w:t>57,00</w:t>
            </w:r>
          </w:p>
        </w:tc>
        <w:tc>
          <w:tcPr>
            <w:tcW w:w="1560" w:type="dxa"/>
            <w:tcBorders>
              <w:top w:val="single" w:sz="8" w:space="0" w:color="auto"/>
              <w:left w:val="single" w:sz="8" w:space="0" w:color="auto"/>
              <w:bottom w:val="single" w:sz="8" w:space="0" w:color="auto"/>
              <w:right w:val="single" w:sz="8" w:space="0" w:color="auto"/>
              <w:tl2br w:val="nil"/>
              <w:tr2bl w:val="nil"/>
            </w:tcBorders>
            <w:noWrap/>
            <w:textDirection w:val="lrTb"/>
            <w:vAlign w:val="center"/>
          </w:tcPr>
          <w:p w:rsidR="00B1599D" w:rsidRPr="005360FA" w:rsidP="005360FA">
            <w:pPr>
              <w:spacing w:line="240" w:lineRule="auto"/>
              <w:jc w:val="right"/>
              <w:rPr>
                <w:rFonts w:ascii="Arial Narrow" w:hAnsi="Arial Narrow" w:cs="Times New Roman"/>
              </w:rPr>
            </w:pPr>
            <w:r w:rsidRPr="005360FA">
              <w:rPr>
                <w:rFonts w:ascii="Arial Narrow" w:hAnsi="Arial Narrow" w:cs="Times New Roman"/>
              </w:rPr>
              <w:t>-166,00</w:t>
            </w:r>
          </w:p>
        </w:tc>
      </w:tr>
      <w:tr>
        <w:tblPrEx>
          <w:tblW w:w="8580" w:type="dxa"/>
          <w:tblInd w:w="610" w:type="dxa"/>
          <w:tblCellMar>
            <w:left w:w="70" w:type="dxa"/>
            <w:right w:w="70" w:type="dxa"/>
          </w:tblCellMar>
        </w:tblPrEx>
        <w:trPr>
          <w:trHeight w:hRule="exact" w:val="227"/>
        </w:trPr>
        <w:tc>
          <w:tcPr>
            <w:tcW w:w="5560" w:type="dxa"/>
            <w:tcBorders>
              <w:top w:val="single" w:sz="8" w:space="0" w:color="auto"/>
              <w:left w:val="single" w:sz="8" w:space="0" w:color="auto"/>
              <w:bottom w:val="single" w:sz="8" w:space="0" w:color="auto"/>
              <w:right w:val="single" w:sz="8" w:space="0" w:color="auto"/>
              <w:tl2br w:val="nil"/>
              <w:tr2bl w:val="nil"/>
            </w:tcBorders>
            <w:noWrap/>
            <w:textDirection w:val="lrTb"/>
            <w:vAlign w:val="center"/>
          </w:tcPr>
          <w:p w:rsidR="00B1599D" w:rsidRPr="005360FA" w:rsidP="00B1599D">
            <w:pPr>
              <w:spacing w:line="240" w:lineRule="auto"/>
              <w:rPr>
                <w:rFonts w:ascii="Arial Narrow" w:hAnsi="Arial Narrow" w:cs="Times New Roman"/>
              </w:rPr>
            </w:pPr>
            <w:r w:rsidRPr="005360FA">
              <w:rPr>
                <w:rFonts w:ascii="Arial Narrow" w:hAnsi="Arial Narrow" w:cs="Times New Roman"/>
              </w:rPr>
              <w:t xml:space="preserve">Ostatné dlhodobé záväzky </w:t>
            </w:r>
          </w:p>
        </w:tc>
        <w:tc>
          <w:tcPr>
            <w:tcW w:w="1460" w:type="dxa"/>
            <w:tcBorders>
              <w:top w:val="single" w:sz="8" w:space="0" w:color="auto"/>
              <w:left w:val="single" w:sz="8" w:space="0" w:color="auto"/>
              <w:bottom w:val="single" w:sz="8" w:space="0" w:color="auto"/>
              <w:right w:val="single" w:sz="8" w:space="0" w:color="auto"/>
              <w:tl2br w:val="nil"/>
              <w:tr2bl w:val="nil"/>
            </w:tcBorders>
            <w:noWrap/>
            <w:textDirection w:val="lrTb"/>
            <w:vAlign w:val="center"/>
          </w:tcPr>
          <w:p w:rsidR="00B1599D" w:rsidRPr="005360FA" w:rsidP="005360FA">
            <w:pPr>
              <w:spacing w:line="240" w:lineRule="auto"/>
              <w:jc w:val="right"/>
              <w:rPr>
                <w:rFonts w:ascii="Arial Narrow" w:hAnsi="Arial Narrow" w:cs="Times New Roman"/>
              </w:rPr>
            </w:pPr>
            <w:r w:rsidRPr="005360FA">
              <w:rPr>
                <w:rFonts w:ascii="Arial Narrow" w:hAnsi="Arial Narrow" w:cs="Times New Roman"/>
              </w:rPr>
              <w:t>4 265,00</w:t>
            </w:r>
          </w:p>
        </w:tc>
        <w:tc>
          <w:tcPr>
            <w:tcW w:w="1560" w:type="dxa"/>
            <w:tcBorders>
              <w:top w:val="single" w:sz="8" w:space="0" w:color="auto"/>
              <w:left w:val="single" w:sz="8" w:space="0" w:color="auto"/>
              <w:bottom w:val="single" w:sz="8" w:space="0" w:color="auto"/>
              <w:right w:val="single" w:sz="8" w:space="0" w:color="auto"/>
              <w:tl2br w:val="nil"/>
              <w:tr2bl w:val="nil"/>
            </w:tcBorders>
            <w:noWrap/>
            <w:textDirection w:val="lrTb"/>
            <w:vAlign w:val="center"/>
          </w:tcPr>
          <w:p w:rsidR="00B1599D" w:rsidRPr="005360FA" w:rsidP="005360FA">
            <w:pPr>
              <w:spacing w:line="240" w:lineRule="auto"/>
              <w:jc w:val="right"/>
              <w:rPr>
                <w:rFonts w:ascii="Arial Narrow" w:hAnsi="Arial Narrow" w:cs="Times New Roman"/>
              </w:rPr>
            </w:pPr>
            <w:r w:rsidRPr="005360FA">
              <w:rPr>
                <w:rFonts w:ascii="Arial Narrow" w:hAnsi="Arial Narrow" w:cs="Times New Roman"/>
              </w:rPr>
              <w:t>16 869,00</w:t>
            </w:r>
          </w:p>
        </w:tc>
      </w:tr>
      <w:tr>
        <w:tblPrEx>
          <w:tblW w:w="8580" w:type="dxa"/>
          <w:tblInd w:w="610" w:type="dxa"/>
          <w:tblCellMar>
            <w:left w:w="70" w:type="dxa"/>
            <w:right w:w="70" w:type="dxa"/>
          </w:tblCellMar>
        </w:tblPrEx>
        <w:trPr>
          <w:trHeight w:hRule="exact" w:val="227"/>
        </w:trPr>
        <w:tc>
          <w:tcPr>
            <w:tcW w:w="5560" w:type="dxa"/>
            <w:tcBorders>
              <w:top w:val="single" w:sz="8" w:space="0" w:color="auto"/>
              <w:left w:val="single" w:sz="8" w:space="0" w:color="auto"/>
              <w:bottom w:val="single" w:sz="8" w:space="0" w:color="auto"/>
              <w:right w:val="single" w:sz="8" w:space="0" w:color="auto"/>
              <w:tl2br w:val="nil"/>
              <w:tr2bl w:val="nil"/>
            </w:tcBorders>
            <w:noWrap/>
            <w:textDirection w:val="lrTb"/>
            <w:vAlign w:val="center"/>
          </w:tcPr>
          <w:p w:rsidR="00B1599D" w:rsidRPr="005360FA" w:rsidP="00B1599D">
            <w:pPr>
              <w:spacing w:line="240" w:lineRule="auto"/>
              <w:rPr>
                <w:rFonts w:ascii="Arial Narrow" w:hAnsi="Arial Narrow" w:cs="Times New Roman"/>
              </w:rPr>
            </w:pPr>
            <w:r w:rsidRPr="005360FA">
              <w:rPr>
                <w:rFonts w:ascii="Arial Narrow" w:hAnsi="Arial Narrow" w:cs="Times New Roman"/>
              </w:rPr>
              <w:t xml:space="preserve">Odložený daňový záväzok </w:t>
            </w:r>
          </w:p>
        </w:tc>
        <w:tc>
          <w:tcPr>
            <w:tcW w:w="1460" w:type="dxa"/>
            <w:tcBorders>
              <w:top w:val="single" w:sz="8" w:space="0" w:color="auto"/>
              <w:left w:val="single" w:sz="8" w:space="0" w:color="auto"/>
              <w:bottom w:val="single" w:sz="8" w:space="0" w:color="auto"/>
              <w:right w:val="single" w:sz="8" w:space="0" w:color="auto"/>
              <w:tl2br w:val="nil"/>
              <w:tr2bl w:val="nil"/>
            </w:tcBorders>
            <w:noWrap/>
            <w:textDirection w:val="lrTb"/>
            <w:vAlign w:val="center"/>
          </w:tcPr>
          <w:p w:rsidR="00B1599D" w:rsidRPr="005360FA" w:rsidP="005360FA">
            <w:pPr>
              <w:spacing w:line="240" w:lineRule="auto"/>
              <w:jc w:val="right"/>
              <w:rPr>
                <w:rFonts w:ascii="Arial Narrow" w:hAnsi="Arial Narrow" w:cs="Times New Roman"/>
              </w:rPr>
            </w:pPr>
            <w:r w:rsidRPr="005360FA">
              <w:rPr>
                <w:rFonts w:ascii="Arial Narrow" w:hAnsi="Arial Narrow" w:cs="Times New Roman"/>
              </w:rPr>
              <w:t>40 762,00</w:t>
            </w:r>
          </w:p>
        </w:tc>
        <w:tc>
          <w:tcPr>
            <w:tcW w:w="1560" w:type="dxa"/>
            <w:tcBorders>
              <w:top w:val="single" w:sz="8" w:space="0" w:color="auto"/>
              <w:left w:val="single" w:sz="8" w:space="0" w:color="auto"/>
              <w:bottom w:val="single" w:sz="8" w:space="0" w:color="auto"/>
              <w:right w:val="single" w:sz="8" w:space="0" w:color="auto"/>
              <w:tl2br w:val="nil"/>
              <w:tr2bl w:val="nil"/>
            </w:tcBorders>
            <w:noWrap/>
            <w:textDirection w:val="lrTb"/>
            <w:vAlign w:val="center"/>
          </w:tcPr>
          <w:p w:rsidR="00B1599D" w:rsidRPr="005360FA" w:rsidP="005360FA">
            <w:pPr>
              <w:spacing w:line="240" w:lineRule="auto"/>
              <w:jc w:val="right"/>
              <w:rPr>
                <w:rFonts w:ascii="Arial Narrow" w:hAnsi="Arial Narrow" w:cs="Times New Roman"/>
              </w:rPr>
            </w:pPr>
            <w:r w:rsidRPr="005360FA">
              <w:rPr>
                <w:rFonts w:ascii="Arial Narrow" w:hAnsi="Arial Narrow" w:cs="Times New Roman"/>
              </w:rPr>
              <w:t>26 166,00</w:t>
            </w:r>
          </w:p>
        </w:tc>
      </w:tr>
      <w:tr>
        <w:tblPrEx>
          <w:tblW w:w="8580" w:type="dxa"/>
          <w:tblInd w:w="610" w:type="dxa"/>
          <w:tblCellMar>
            <w:left w:w="70" w:type="dxa"/>
            <w:right w:w="70" w:type="dxa"/>
          </w:tblCellMar>
        </w:tblPrEx>
        <w:trPr>
          <w:trHeight w:hRule="exact" w:val="227"/>
        </w:trPr>
        <w:tc>
          <w:tcPr>
            <w:tcW w:w="5560" w:type="dxa"/>
            <w:tcBorders>
              <w:top w:val="single" w:sz="8" w:space="0" w:color="auto"/>
              <w:left w:val="single" w:sz="8" w:space="0" w:color="auto"/>
              <w:bottom w:val="single" w:sz="8" w:space="0" w:color="auto"/>
              <w:right w:val="single" w:sz="8" w:space="0" w:color="auto"/>
              <w:tl2br w:val="nil"/>
              <w:tr2bl w:val="nil"/>
            </w:tcBorders>
            <w:noWrap/>
            <w:textDirection w:val="lrTb"/>
            <w:vAlign w:val="center"/>
          </w:tcPr>
          <w:p w:rsidR="00B1599D" w:rsidRPr="005360FA" w:rsidP="00B1599D">
            <w:pPr>
              <w:spacing w:line="240" w:lineRule="auto"/>
              <w:rPr>
                <w:rFonts w:ascii="Arial Narrow" w:hAnsi="Arial Narrow" w:cs="Times New Roman"/>
              </w:rPr>
            </w:pPr>
            <w:r w:rsidRPr="005360FA">
              <w:rPr>
                <w:rFonts w:ascii="Arial Narrow" w:hAnsi="Arial Narrow" w:cs="Times New Roman"/>
              </w:rPr>
              <w:t xml:space="preserve">Krátkodobé záväzky súčet </w:t>
            </w:r>
          </w:p>
        </w:tc>
        <w:tc>
          <w:tcPr>
            <w:tcW w:w="1460" w:type="dxa"/>
            <w:tcBorders>
              <w:top w:val="single" w:sz="8" w:space="0" w:color="auto"/>
              <w:left w:val="single" w:sz="8" w:space="0" w:color="auto"/>
              <w:bottom w:val="single" w:sz="8" w:space="0" w:color="auto"/>
              <w:right w:val="single" w:sz="8" w:space="0" w:color="auto"/>
              <w:tl2br w:val="nil"/>
              <w:tr2bl w:val="nil"/>
            </w:tcBorders>
            <w:noWrap/>
            <w:textDirection w:val="lrTb"/>
            <w:vAlign w:val="center"/>
          </w:tcPr>
          <w:p w:rsidR="00B1599D" w:rsidRPr="005360FA" w:rsidP="005360FA">
            <w:pPr>
              <w:spacing w:line="240" w:lineRule="auto"/>
              <w:jc w:val="right"/>
              <w:rPr>
                <w:rFonts w:ascii="Arial Narrow" w:hAnsi="Arial Narrow" w:cs="Times New Roman"/>
              </w:rPr>
            </w:pPr>
            <w:r w:rsidRPr="005360FA">
              <w:rPr>
                <w:rFonts w:ascii="Arial Narrow" w:hAnsi="Arial Narrow" w:cs="Times New Roman"/>
              </w:rPr>
              <w:t>29 993,00</w:t>
            </w:r>
          </w:p>
        </w:tc>
        <w:tc>
          <w:tcPr>
            <w:tcW w:w="1560" w:type="dxa"/>
            <w:tcBorders>
              <w:top w:val="single" w:sz="8" w:space="0" w:color="auto"/>
              <w:left w:val="single" w:sz="8" w:space="0" w:color="auto"/>
              <w:bottom w:val="single" w:sz="8" w:space="0" w:color="auto"/>
              <w:right w:val="single" w:sz="8" w:space="0" w:color="auto"/>
              <w:tl2br w:val="nil"/>
              <w:tr2bl w:val="nil"/>
            </w:tcBorders>
            <w:noWrap/>
            <w:textDirection w:val="lrTb"/>
            <w:vAlign w:val="center"/>
          </w:tcPr>
          <w:p w:rsidR="00B1599D" w:rsidRPr="005360FA" w:rsidP="005360FA">
            <w:pPr>
              <w:spacing w:line="240" w:lineRule="auto"/>
              <w:jc w:val="right"/>
              <w:rPr>
                <w:rFonts w:ascii="Arial Narrow" w:hAnsi="Arial Narrow" w:cs="Times New Roman"/>
              </w:rPr>
            </w:pPr>
            <w:r w:rsidRPr="005360FA">
              <w:rPr>
                <w:rFonts w:ascii="Arial Narrow" w:hAnsi="Arial Narrow" w:cs="Times New Roman"/>
              </w:rPr>
              <w:t>12 093,00</w:t>
            </w:r>
          </w:p>
        </w:tc>
      </w:tr>
      <w:tr>
        <w:tblPrEx>
          <w:tblW w:w="8580" w:type="dxa"/>
          <w:tblInd w:w="610" w:type="dxa"/>
          <w:tblCellMar>
            <w:left w:w="70" w:type="dxa"/>
            <w:right w:w="70" w:type="dxa"/>
          </w:tblCellMar>
        </w:tblPrEx>
        <w:trPr>
          <w:trHeight w:hRule="exact" w:val="227"/>
        </w:trPr>
        <w:tc>
          <w:tcPr>
            <w:tcW w:w="5560" w:type="dxa"/>
            <w:tcBorders>
              <w:top w:val="single" w:sz="8" w:space="0" w:color="auto"/>
              <w:left w:val="single" w:sz="8" w:space="0" w:color="auto"/>
              <w:bottom w:val="single" w:sz="8" w:space="0" w:color="auto"/>
              <w:right w:val="single" w:sz="8" w:space="0" w:color="auto"/>
              <w:tl2br w:val="nil"/>
              <w:tr2bl w:val="nil"/>
            </w:tcBorders>
            <w:noWrap/>
            <w:textDirection w:val="lrTb"/>
            <w:vAlign w:val="center"/>
          </w:tcPr>
          <w:p w:rsidR="00B1599D" w:rsidRPr="005360FA" w:rsidP="00B1599D">
            <w:pPr>
              <w:spacing w:line="240" w:lineRule="auto"/>
              <w:rPr>
                <w:rFonts w:ascii="Arial Narrow" w:hAnsi="Arial Narrow" w:cs="Times New Roman"/>
              </w:rPr>
            </w:pPr>
            <w:r w:rsidRPr="005360FA">
              <w:rPr>
                <w:rFonts w:ascii="Arial Narrow" w:hAnsi="Arial Narrow" w:cs="Times New Roman"/>
              </w:rPr>
              <w:t xml:space="preserve">Záväzky z obchodného styku </w:t>
            </w:r>
          </w:p>
        </w:tc>
        <w:tc>
          <w:tcPr>
            <w:tcW w:w="1460" w:type="dxa"/>
            <w:tcBorders>
              <w:top w:val="single" w:sz="8" w:space="0" w:color="auto"/>
              <w:left w:val="single" w:sz="8" w:space="0" w:color="auto"/>
              <w:bottom w:val="single" w:sz="8" w:space="0" w:color="auto"/>
              <w:right w:val="single" w:sz="8" w:space="0" w:color="auto"/>
              <w:tl2br w:val="nil"/>
              <w:tr2bl w:val="nil"/>
            </w:tcBorders>
            <w:noWrap/>
            <w:textDirection w:val="lrTb"/>
            <w:vAlign w:val="center"/>
          </w:tcPr>
          <w:p w:rsidR="00B1599D" w:rsidRPr="005360FA" w:rsidP="005360FA">
            <w:pPr>
              <w:spacing w:line="240" w:lineRule="auto"/>
              <w:jc w:val="right"/>
              <w:rPr>
                <w:rFonts w:ascii="Arial Narrow" w:hAnsi="Arial Narrow" w:cs="Times New Roman"/>
              </w:rPr>
            </w:pPr>
            <w:r w:rsidRPr="005360FA">
              <w:rPr>
                <w:rFonts w:ascii="Arial Narrow" w:hAnsi="Arial Narrow" w:cs="Times New Roman"/>
              </w:rPr>
              <w:t>14 767,00</w:t>
            </w:r>
          </w:p>
        </w:tc>
        <w:tc>
          <w:tcPr>
            <w:tcW w:w="1560" w:type="dxa"/>
            <w:tcBorders>
              <w:top w:val="single" w:sz="8" w:space="0" w:color="auto"/>
              <w:left w:val="single" w:sz="8" w:space="0" w:color="auto"/>
              <w:bottom w:val="single" w:sz="8" w:space="0" w:color="auto"/>
              <w:right w:val="single" w:sz="8" w:space="0" w:color="auto"/>
              <w:tl2br w:val="nil"/>
              <w:tr2bl w:val="nil"/>
            </w:tcBorders>
            <w:noWrap/>
            <w:textDirection w:val="lrTb"/>
            <w:vAlign w:val="center"/>
          </w:tcPr>
          <w:p w:rsidR="00B1599D" w:rsidRPr="005360FA" w:rsidP="005360FA">
            <w:pPr>
              <w:spacing w:line="240" w:lineRule="auto"/>
              <w:jc w:val="right"/>
              <w:rPr>
                <w:rFonts w:ascii="Arial Narrow" w:hAnsi="Arial Narrow" w:cs="Times New Roman"/>
              </w:rPr>
            </w:pPr>
            <w:r w:rsidRPr="005360FA">
              <w:rPr>
                <w:rFonts w:ascii="Arial Narrow" w:hAnsi="Arial Narrow" w:cs="Times New Roman"/>
              </w:rPr>
              <w:t>3 972,00</w:t>
            </w:r>
          </w:p>
        </w:tc>
      </w:tr>
      <w:tr>
        <w:tblPrEx>
          <w:tblW w:w="8580" w:type="dxa"/>
          <w:tblInd w:w="610" w:type="dxa"/>
          <w:tblCellMar>
            <w:left w:w="70" w:type="dxa"/>
            <w:right w:w="70" w:type="dxa"/>
          </w:tblCellMar>
        </w:tblPrEx>
        <w:trPr>
          <w:trHeight w:hRule="exact" w:val="227"/>
        </w:trPr>
        <w:tc>
          <w:tcPr>
            <w:tcW w:w="5560" w:type="dxa"/>
            <w:tcBorders>
              <w:top w:val="single" w:sz="8" w:space="0" w:color="auto"/>
              <w:left w:val="single" w:sz="8" w:space="0" w:color="auto"/>
              <w:bottom w:val="single" w:sz="8" w:space="0" w:color="auto"/>
              <w:right w:val="single" w:sz="8" w:space="0" w:color="auto"/>
              <w:tl2br w:val="nil"/>
              <w:tr2bl w:val="nil"/>
            </w:tcBorders>
            <w:noWrap/>
            <w:textDirection w:val="lrTb"/>
            <w:vAlign w:val="center"/>
          </w:tcPr>
          <w:p w:rsidR="00B1599D" w:rsidRPr="005360FA" w:rsidP="00B1599D">
            <w:pPr>
              <w:spacing w:line="240" w:lineRule="auto"/>
              <w:rPr>
                <w:rFonts w:ascii="Arial Narrow" w:hAnsi="Arial Narrow" w:cs="Times New Roman"/>
              </w:rPr>
            </w:pPr>
            <w:r w:rsidRPr="005360FA">
              <w:rPr>
                <w:rFonts w:ascii="Arial Narrow" w:hAnsi="Arial Narrow" w:cs="Times New Roman"/>
              </w:rPr>
              <w:t>Nevyfakturované dodávky</w:t>
            </w:r>
          </w:p>
        </w:tc>
        <w:tc>
          <w:tcPr>
            <w:tcW w:w="1460" w:type="dxa"/>
            <w:tcBorders>
              <w:top w:val="single" w:sz="8" w:space="0" w:color="auto"/>
              <w:left w:val="single" w:sz="8" w:space="0" w:color="auto"/>
              <w:bottom w:val="single" w:sz="8" w:space="0" w:color="auto"/>
              <w:right w:val="single" w:sz="8" w:space="0" w:color="auto"/>
              <w:tl2br w:val="nil"/>
              <w:tr2bl w:val="nil"/>
            </w:tcBorders>
            <w:noWrap/>
            <w:textDirection w:val="lrTb"/>
            <w:vAlign w:val="center"/>
          </w:tcPr>
          <w:p w:rsidR="00B1599D" w:rsidRPr="005360FA" w:rsidP="005360FA">
            <w:pPr>
              <w:spacing w:line="240" w:lineRule="auto"/>
              <w:jc w:val="right"/>
              <w:rPr>
                <w:rFonts w:ascii="Arial Narrow" w:hAnsi="Arial Narrow" w:cs="Times New Roman"/>
              </w:rPr>
            </w:pPr>
            <w:r w:rsidRPr="005360FA">
              <w:rPr>
                <w:rFonts w:ascii="Arial Narrow" w:hAnsi="Arial Narrow" w:cs="Times New Roman"/>
              </w:rPr>
              <w:t>23,00</w:t>
            </w:r>
          </w:p>
        </w:tc>
        <w:tc>
          <w:tcPr>
            <w:tcW w:w="1560" w:type="dxa"/>
            <w:tcBorders>
              <w:top w:val="single" w:sz="8" w:space="0" w:color="auto"/>
              <w:left w:val="single" w:sz="8" w:space="0" w:color="auto"/>
              <w:bottom w:val="single" w:sz="8" w:space="0" w:color="auto"/>
              <w:right w:val="single" w:sz="8" w:space="0" w:color="auto"/>
              <w:tl2br w:val="nil"/>
              <w:tr2bl w:val="nil"/>
            </w:tcBorders>
            <w:noWrap/>
            <w:textDirection w:val="lrTb"/>
            <w:vAlign w:val="center"/>
          </w:tcPr>
          <w:p w:rsidR="00B1599D" w:rsidRPr="005360FA" w:rsidP="005360FA">
            <w:pPr>
              <w:spacing w:line="240" w:lineRule="auto"/>
              <w:jc w:val="right"/>
              <w:rPr>
                <w:rFonts w:ascii="Arial Narrow" w:hAnsi="Arial Narrow" w:cs="Times New Roman"/>
              </w:rPr>
            </w:pPr>
            <w:r w:rsidRPr="005360FA">
              <w:rPr>
                <w:rFonts w:ascii="Arial Narrow" w:hAnsi="Arial Narrow" w:cs="Times New Roman"/>
              </w:rPr>
              <w:t>200,00</w:t>
            </w:r>
          </w:p>
        </w:tc>
      </w:tr>
      <w:tr>
        <w:tblPrEx>
          <w:tblW w:w="8580" w:type="dxa"/>
          <w:tblInd w:w="610" w:type="dxa"/>
          <w:tblCellMar>
            <w:left w:w="70" w:type="dxa"/>
            <w:right w:w="70" w:type="dxa"/>
          </w:tblCellMar>
        </w:tblPrEx>
        <w:trPr>
          <w:trHeight w:hRule="exact" w:val="227"/>
        </w:trPr>
        <w:tc>
          <w:tcPr>
            <w:tcW w:w="5560" w:type="dxa"/>
            <w:tcBorders>
              <w:top w:val="single" w:sz="8" w:space="0" w:color="auto"/>
              <w:left w:val="single" w:sz="8" w:space="0" w:color="auto"/>
              <w:bottom w:val="single" w:sz="8" w:space="0" w:color="auto"/>
              <w:right w:val="single" w:sz="8" w:space="0" w:color="auto"/>
              <w:tl2br w:val="nil"/>
              <w:tr2bl w:val="nil"/>
            </w:tcBorders>
            <w:noWrap/>
            <w:textDirection w:val="lrTb"/>
            <w:vAlign w:val="center"/>
          </w:tcPr>
          <w:p w:rsidR="00B1599D" w:rsidRPr="005360FA" w:rsidP="00B1599D">
            <w:pPr>
              <w:spacing w:line="240" w:lineRule="auto"/>
              <w:rPr>
                <w:rFonts w:ascii="Arial Narrow" w:hAnsi="Arial Narrow" w:cs="Times New Roman"/>
              </w:rPr>
            </w:pPr>
            <w:r w:rsidRPr="005360FA">
              <w:rPr>
                <w:rFonts w:ascii="Arial Narrow" w:hAnsi="Arial Narrow" w:cs="Times New Roman"/>
              </w:rPr>
              <w:t xml:space="preserve">Záväzky voči zamestnancom </w:t>
            </w:r>
          </w:p>
        </w:tc>
        <w:tc>
          <w:tcPr>
            <w:tcW w:w="1460" w:type="dxa"/>
            <w:tcBorders>
              <w:top w:val="single" w:sz="8" w:space="0" w:color="auto"/>
              <w:left w:val="single" w:sz="8" w:space="0" w:color="auto"/>
              <w:bottom w:val="single" w:sz="8" w:space="0" w:color="auto"/>
              <w:right w:val="single" w:sz="8" w:space="0" w:color="auto"/>
              <w:tl2br w:val="nil"/>
              <w:tr2bl w:val="nil"/>
            </w:tcBorders>
            <w:noWrap/>
            <w:textDirection w:val="lrTb"/>
            <w:vAlign w:val="center"/>
          </w:tcPr>
          <w:p w:rsidR="00B1599D" w:rsidRPr="005360FA" w:rsidP="005360FA">
            <w:pPr>
              <w:spacing w:line="240" w:lineRule="auto"/>
              <w:jc w:val="right"/>
              <w:rPr>
                <w:rFonts w:ascii="Arial Narrow" w:hAnsi="Arial Narrow" w:cs="Times New Roman"/>
              </w:rPr>
            </w:pPr>
            <w:r w:rsidRPr="005360FA">
              <w:rPr>
                <w:rFonts w:ascii="Arial Narrow" w:hAnsi="Arial Narrow" w:cs="Times New Roman"/>
              </w:rPr>
              <w:t>4 656,00</w:t>
            </w:r>
          </w:p>
        </w:tc>
        <w:tc>
          <w:tcPr>
            <w:tcW w:w="1560" w:type="dxa"/>
            <w:tcBorders>
              <w:top w:val="single" w:sz="8" w:space="0" w:color="auto"/>
              <w:left w:val="single" w:sz="8" w:space="0" w:color="auto"/>
              <w:bottom w:val="single" w:sz="8" w:space="0" w:color="auto"/>
              <w:right w:val="single" w:sz="8" w:space="0" w:color="auto"/>
              <w:tl2br w:val="nil"/>
              <w:tr2bl w:val="nil"/>
            </w:tcBorders>
            <w:noWrap/>
            <w:textDirection w:val="lrTb"/>
            <w:vAlign w:val="center"/>
          </w:tcPr>
          <w:p w:rsidR="00B1599D" w:rsidRPr="005360FA" w:rsidP="005360FA">
            <w:pPr>
              <w:spacing w:line="240" w:lineRule="auto"/>
              <w:jc w:val="right"/>
              <w:rPr>
                <w:rFonts w:ascii="Arial Narrow" w:hAnsi="Arial Narrow" w:cs="Times New Roman"/>
              </w:rPr>
            </w:pPr>
            <w:r w:rsidRPr="005360FA">
              <w:rPr>
                <w:rFonts w:ascii="Arial Narrow" w:hAnsi="Arial Narrow" w:cs="Times New Roman"/>
              </w:rPr>
              <w:t>0,00</w:t>
            </w:r>
          </w:p>
        </w:tc>
      </w:tr>
      <w:tr>
        <w:tblPrEx>
          <w:tblW w:w="8580" w:type="dxa"/>
          <w:tblInd w:w="610" w:type="dxa"/>
          <w:tblCellMar>
            <w:left w:w="70" w:type="dxa"/>
            <w:right w:w="70" w:type="dxa"/>
          </w:tblCellMar>
        </w:tblPrEx>
        <w:trPr>
          <w:trHeight w:hRule="exact" w:val="227"/>
        </w:trPr>
        <w:tc>
          <w:tcPr>
            <w:tcW w:w="5560" w:type="dxa"/>
            <w:tcBorders>
              <w:top w:val="single" w:sz="8" w:space="0" w:color="auto"/>
              <w:left w:val="single" w:sz="8" w:space="0" w:color="auto"/>
              <w:bottom w:val="single" w:sz="8" w:space="0" w:color="auto"/>
              <w:right w:val="single" w:sz="8" w:space="0" w:color="auto"/>
              <w:tl2br w:val="nil"/>
              <w:tr2bl w:val="nil"/>
            </w:tcBorders>
            <w:noWrap/>
            <w:textDirection w:val="lrTb"/>
            <w:vAlign w:val="center"/>
          </w:tcPr>
          <w:p w:rsidR="00B1599D" w:rsidRPr="005360FA" w:rsidP="00B1599D">
            <w:pPr>
              <w:spacing w:line="240" w:lineRule="auto"/>
              <w:rPr>
                <w:rFonts w:ascii="Arial Narrow" w:hAnsi="Arial Narrow" w:cs="Times New Roman"/>
              </w:rPr>
            </w:pPr>
            <w:r w:rsidRPr="005360FA">
              <w:rPr>
                <w:rFonts w:ascii="Arial Narrow" w:hAnsi="Arial Narrow" w:cs="Times New Roman"/>
              </w:rPr>
              <w:t xml:space="preserve">Záväzky zo sociálneho poistenia </w:t>
            </w:r>
          </w:p>
        </w:tc>
        <w:tc>
          <w:tcPr>
            <w:tcW w:w="1460" w:type="dxa"/>
            <w:tcBorders>
              <w:top w:val="single" w:sz="8" w:space="0" w:color="auto"/>
              <w:left w:val="single" w:sz="8" w:space="0" w:color="auto"/>
              <w:bottom w:val="single" w:sz="8" w:space="0" w:color="auto"/>
              <w:right w:val="single" w:sz="8" w:space="0" w:color="auto"/>
              <w:tl2br w:val="nil"/>
              <w:tr2bl w:val="nil"/>
            </w:tcBorders>
            <w:noWrap/>
            <w:textDirection w:val="lrTb"/>
            <w:vAlign w:val="center"/>
          </w:tcPr>
          <w:p w:rsidR="00B1599D" w:rsidRPr="005360FA" w:rsidP="005360FA">
            <w:pPr>
              <w:spacing w:line="240" w:lineRule="auto"/>
              <w:jc w:val="right"/>
              <w:rPr>
                <w:rFonts w:ascii="Arial Narrow" w:hAnsi="Arial Narrow" w:cs="Times New Roman"/>
              </w:rPr>
            </w:pPr>
            <w:r w:rsidRPr="005360FA">
              <w:rPr>
                <w:rFonts w:ascii="Arial Narrow" w:hAnsi="Arial Narrow" w:cs="Times New Roman"/>
              </w:rPr>
              <w:t>3 187,00</w:t>
            </w:r>
          </w:p>
        </w:tc>
        <w:tc>
          <w:tcPr>
            <w:tcW w:w="1560" w:type="dxa"/>
            <w:tcBorders>
              <w:top w:val="single" w:sz="8" w:space="0" w:color="auto"/>
              <w:left w:val="single" w:sz="8" w:space="0" w:color="auto"/>
              <w:bottom w:val="single" w:sz="8" w:space="0" w:color="auto"/>
              <w:right w:val="single" w:sz="8" w:space="0" w:color="auto"/>
              <w:tl2br w:val="nil"/>
              <w:tr2bl w:val="nil"/>
            </w:tcBorders>
            <w:noWrap/>
            <w:textDirection w:val="lrTb"/>
            <w:vAlign w:val="center"/>
          </w:tcPr>
          <w:p w:rsidR="00B1599D" w:rsidRPr="005360FA" w:rsidP="005360FA">
            <w:pPr>
              <w:spacing w:line="240" w:lineRule="auto"/>
              <w:jc w:val="right"/>
              <w:rPr>
                <w:rFonts w:ascii="Arial Narrow" w:hAnsi="Arial Narrow" w:cs="Times New Roman"/>
              </w:rPr>
            </w:pPr>
            <w:r w:rsidRPr="005360FA">
              <w:rPr>
                <w:rFonts w:ascii="Arial Narrow" w:hAnsi="Arial Narrow" w:cs="Times New Roman"/>
              </w:rPr>
              <w:t>2 604,00</w:t>
            </w:r>
          </w:p>
        </w:tc>
      </w:tr>
      <w:tr>
        <w:tblPrEx>
          <w:tblW w:w="8580" w:type="dxa"/>
          <w:tblInd w:w="610" w:type="dxa"/>
          <w:tblCellMar>
            <w:left w:w="70" w:type="dxa"/>
            <w:right w:w="70" w:type="dxa"/>
          </w:tblCellMar>
        </w:tblPrEx>
        <w:trPr>
          <w:trHeight w:hRule="exact" w:val="227"/>
        </w:trPr>
        <w:tc>
          <w:tcPr>
            <w:tcW w:w="5560" w:type="dxa"/>
            <w:tcBorders>
              <w:top w:val="single" w:sz="8" w:space="0" w:color="auto"/>
              <w:left w:val="single" w:sz="8" w:space="0" w:color="auto"/>
              <w:bottom w:val="single" w:sz="8" w:space="0" w:color="auto"/>
              <w:right w:val="single" w:sz="8" w:space="0" w:color="auto"/>
              <w:tl2br w:val="nil"/>
              <w:tr2bl w:val="nil"/>
            </w:tcBorders>
            <w:noWrap/>
            <w:textDirection w:val="lrTb"/>
            <w:vAlign w:val="center"/>
          </w:tcPr>
          <w:p w:rsidR="00B1599D" w:rsidRPr="005360FA" w:rsidP="00B1599D">
            <w:pPr>
              <w:spacing w:line="240" w:lineRule="auto"/>
              <w:rPr>
                <w:rFonts w:ascii="Arial Narrow" w:hAnsi="Arial Narrow" w:cs="Times New Roman"/>
              </w:rPr>
            </w:pPr>
            <w:r w:rsidRPr="005360FA">
              <w:rPr>
                <w:rFonts w:ascii="Arial Narrow" w:hAnsi="Arial Narrow" w:cs="Times New Roman"/>
              </w:rPr>
              <w:t xml:space="preserve">Daňové záväzky a dotácie </w:t>
            </w:r>
          </w:p>
        </w:tc>
        <w:tc>
          <w:tcPr>
            <w:tcW w:w="1460" w:type="dxa"/>
            <w:tcBorders>
              <w:top w:val="single" w:sz="8" w:space="0" w:color="auto"/>
              <w:left w:val="single" w:sz="8" w:space="0" w:color="auto"/>
              <w:bottom w:val="single" w:sz="8" w:space="0" w:color="auto"/>
              <w:right w:val="single" w:sz="8" w:space="0" w:color="auto"/>
              <w:tl2br w:val="nil"/>
              <w:tr2bl w:val="nil"/>
            </w:tcBorders>
            <w:noWrap/>
            <w:textDirection w:val="lrTb"/>
            <w:vAlign w:val="center"/>
          </w:tcPr>
          <w:p w:rsidR="00B1599D" w:rsidRPr="005360FA" w:rsidP="005360FA">
            <w:pPr>
              <w:spacing w:line="240" w:lineRule="auto"/>
              <w:jc w:val="right"/>
              <w:rPr>
                <w:rFonts w:ascii="Arial Narrow" w:hAnsi="Arial Narrow" w:cs="Times New Roman"/>
              </w:rPr>
            </w:pPr>
            <w:r w:rsidRPr="005360FA">
              <w:rPr>
                <w:rFonts w:ascii="Arial Narrow" w:hAnsi="Arial Narrow" w:cs="Times New Roman"/>
              </w:rPr>
              <w:t>985,00</w:t>
            </w:r>
          </w:p>
        </w:tc>
        <w:tc>
          <w:tcPr>
            <w:tcW w:w="1560" w:type="dxa"/>
            <w:tcBorders>
              <w:top w:val="single" w:sz="8" w:space="0" w:color="auto"/>
              <w:left w:val="single" w:sz="8" w:space="0" w:color="auto"/>
              <w:bottom w:val="single" w:sz="8" w:space="0" w:color="auto"/>
              <w:right w:val="single" w:sz="8" w:space="0" w:color="auto"/>
              <w:tl2br w:val="nil"/>
              <w:tr2bl w:val="nil"/>
            </w:tcBorders>
            <w:noWrap/>
            <w:textDirection w:val="lrTb"/>
            <w:vAlign w:val="center"/>
          </w:tcPr>
          <w:p w:rsidR="00B1599D" w:rsidRPr="005360FA" w:rsidP="005360FA">
            <w:pPr>
              <w:spacing w:line="240" w:lineRule="auto"/>
              <w:jc w:val="right"/>
              <w:rPr>
                <w:rFonts w:ascii="Arial Narrow" w:hAnsi="Arial Narrow" w:cs="Times New Roman"/>
              </w:rPr>
            </w:pPr>
            <w:r w:rsidRPr="005360FA">
              <w:rPr>
                <w:rFonts w:ascii="Arial Narrow" w:hAnsi="Arial Narrow" w:cs="Times New Roman"/>
              </w:rPr>
              <w:t>1 184,00</w:t>
            </w:r>
          </w:p>
        </w:tc>
      </w:tr>
      <w:tr>
        <w:tblPrEx>
          <w:tblW w:w="8580" w:type="dxa"/>
          <w:tblInd w:w="610" w:type="dxa"/>
          <w:tblCellMar>
            <w:left w:w="70" w:type="dxa"/>
            <w:right w:w="70" w:type="dxa"/>
          </w:tblCellMar>
        </w:tblPrEx>
        <w:trPr>
          <w:trHeight w:hRule="exact" w:val="227"/>
        </w:trPr>
        <w:tc>
          <w:tcPr>
            <w:tcW w:w="5560" w:type="dxa"/>
            <w:tcBorders>
              <w:top w:val="single" w:sz="8" w:space="0" w:color="auto"/>
              <w:left w:val="single" w:sz="8" w:space="0" w:color="auto"/>
              <w:bottom w:val="single" w:sz="8" w:space="0" w:color="auto"/>
              <w:right w:val="single" w:sz="8" w:space="0" w:color="auto"/>
              <w:tl2br w:val="nil"/>
              <w:tr2bl w:val="nil"/>
            </w:tcBorders>
            <w:noWrap/>
            <w:textDirection w:val="lrTb"/>
            <w:vAlign w:val="center"/>
          </w:tcPr>
          <w:p w:rsidR="00B1599D" w:rsidRPr="005360FA" w:rsidP="00B1599D">
            <w:pPr>
              <w:spacing w:line="240" w:lineRule="auto"/>
              <w:rPr>
                <w:rFonts w:ascii="Arial Narrow" w:hAnsi="Arial Narrow" w:cs="Times New Roman"/>
              </w:rPr>
            </w:pPr>
            <w:r w:rsidRPr="005360FA">
              <w:rPr>
                <w:rFonts w:ascii="Arial Narrow" w:hAnsi="Arial Narrow" w:cs="Times New Roman"/>
              </w:rPr>
              <w:t xml:space="preserve">Ostatné záväzky </w:t>
            </w:r>
          </w:p>
        </w:tc>
        <w:tc>
          <w:tcPr>
            <w:tcW w:w="1460" w:type="dxa"/>
            <w:tcBorders>
              <w:top w:val="single" w:sz="8" w:space="0" w:color="auto"/>
              <w:left w:val="single" w:sz="8" w:space="0" w:color="auto"/>
              <w:bottom w:val="single" w:sz="8" w:space="0" w:color="auto"/>
              <w:right w:val="single" w:sz="8" w:space="0" w:color="auto"/>
              <w:tl2br w:val="nil"/>
              <w:tr2bl w:val="nil"/>
            </w:tcBorders>
            <w:noWrap/>
            <w:textDirection w:val="lrTb"/>
            <w:vAlign w:val="center"/>
          </w:tcPr>
          <w:p w:rsidR="00B1599D" w:rsidRPr="005360FA" w:rsidP="005360FA">
            <w:pPr>
              <w:spacing w:line="240" w:lineRule="auto"/>
              <w:jc w:val="right"/>
              <w:rPr>
                <w:rFonts w:ascii="Arial Narrow" w:hAnsi="Arial Narrow" w:cs="Times New Roman"/>
              </w:rPr>
            </w:pPr>
            <w:r w:rsidRPr="005360FA">
              <w:rPr>
                <w:rFonts w:ascii="Arial Narrow" w:hAnsi="Arial Narrow" w:cs="Times New Roman"/>
              </w:rPr>
              <w:t>6 375,00</w:t>
            </w:r>
          </w:p>
        </w:tc>
        <w:tc>
          <w:tcPr>
            <w:tcW w:w="1560" w:type="dxa"/>
            <w:tcBorders>
              <w:top w:val="single" w:sz="8" w:space="0" w:color="auto"/>
              <w:left w:val="single" w:sz="8" w:space="0" w:color="auto"/>
              <w:bottom w:val="single" w:sz="8" w:space="0" w:color="auto"/>
              <w:right w:val="single" w:sz="8" w:space="0" w:color="auto"/>
              <w:tl2br w:val="nil"/>
              <w:tr2bl w:val="nil"/>
            </w:tcBorders>
            <w:noWrap/>
            <w:textDirection w:val="lrTb"/>
            <w:vAlign w:val="center"/>
          </w:tcPr>
          <w:p w:rsidR="00B1599D" w:rsidRPr="005360FA" w:rsidP="005360FA">
            <w:pPr>
              <w:spacing w:line="240" w:lineRule="auto"/>
              <w:jc w:val="right"/>
              <w:rPr>
                <w:rFonts w:ascii="Arial Narrow" w:hAnsi="Arial Narrow" w:cs="Times New Roman"/>
              </w:rPr>
            </w:pPr>
            <w:r w:rsidRPr="005360FA">
              <w:rPr>
                <w:rFonts w:ascii="Arial Narrow" w:hAnsi="Arial Narrow" w:cs="Times New Roman"/>
              </w:rPr>
              <w:t>4 133,00</w:t>
            </w:r>
          </w:p>
        </w:tc>
      </w:tr>
      <w:tr>
        <w:tblPrEx>
          <w:tblW w:w="8580" w:type="dxa"/>
          <w:tblInd w:w="610" w:type="dxa"/>
          <w:tblCellMar>
            <w:left w:w="70" w:type="dxa"/>
            <w:right w:w="70" w:type="dxa"/>
          </w:tblCellMar>
        </w:tblPrEx>
        <w:trPr>
          <w:trHeight w:hRule="exact" w:val="227"/>
        </w:trPr>
        <w:tc>
          <w:tcPr>
            <w:tcW w:w="5560" w:type="dxa"/>
            <w:tcBorders>
              <w:top w:val="single" w:sz="8" w:space="0" w:color="auto"/>
              <w:left w:val="single" w:sz="8" w:space="0" w:color="auto"/>
              <w:bottom w:val="single" w:sz="8" w:space="0" w:color="auto"/>
              <w:right w:val="single" w:sz="8" w:space="0" w:color="auto"/>
              <w:tl2br w:val="nil"/>
              <w:tr2bl w:val="nil"/>
            </w:tcBorders>
            <w:noWrap/>
            <w:textDirection w:val="lrTb"/>
            <w:vAlign w:val="center"/>
          </w:tcPr>
          <w:p w:rsidR="00B1599D" w:rsidRPr="005360FA" w:rsidP="00B1599D">
            <w:pPr>
              <w:spacing w:line="240" w:lineRule="auto"/>
              <w:rPr>
                <w:rFonts w:ascii="Arial Narrow" w:hAnsi="Arial Narrow" w:cs="Times New Roman"/>
              </w:rPr>
            </w:pPr>
            <w:r w:rsidRPr="005360FA">
              <w:rPr>
                <w:rFonts w:ascii="Arial Narrow" w:hAnsi="Arial Narrow" w:cs="Times New Roman"/>
              </w:rPr>
              <w:t xml:space="preserve">Časové rozlíšenie súčet </w:t>
            </w:r>
          </w:p>
        </w:tc>
        <w:tc>
          <w:tcPr>
            <w:tcW w:w="1460" w:type="dxa"/>
            <w:tcBorders>
              <w:top w:val="single" w:sz="8" w:space="0" w:color="auto"/>
              <w:left w:val="single" w:sz="8" w:space="0" w:color="auto"/>
              <w:bottom w:val="single" w:sz="8" w:space="0" w:color="auto"/>
              <w:right w:val="single" w:sz="8" w:space="0" w:color="auto"/>
              <w:tl2br w:val="nil"/>
              <w:tr2bl w:val="nil"/>
            </w:tcBorders>
            <w:noWrap/>
            <w:textDirection w:val="lrTb"/>
            <w:vAlign w:val="center"/>
          </w:tcPr>
          <w:p w:rsidR="00B1599D" w:rsidRPr="005360FA" w:rsidP="005360FA">
            <w:pPr>
              <w:spacing w:line="240" w:lineRule="auto"/>
              <w:jc w:val="right"/>
              <w:rPr>
                <w:rFonts w:ascii="Arial Narrow" w:hAnsi="Arial Narrow" w:cs="Times New Roman"/>
              </w:rPr>
            </w:pPr>
            <w:r w:rsidRPr="005360FA">
              <w:rPr>
                <w:rFonts w:ascii="Arial Narrow" w:hAnsi="Arial Narrow" w:cs="Times New Roman"/>
              </w:rPr>
              <w:t>375,00</w:t>
            </w:r>
          </w:p>
        </w:tc>
        <w:tc>
          <w:tcPr>
            <w:tcW w:w="1560" w:type="dxa"/>
            <w:tcBorders>
              <w:top w:val="single" w:sz="8" w:space="0" w:color="auto"/>
              <w:left w:val="single" w:sz="8" w:space="0" w:color="auto"/>
              <w:bottom w:val="single" w:sz="8" w:space="0" w:color="auto"/>
              <w:right w:val="single" w:sz="8" w:space="0" w:color="auto"/>
              <w:tl2br w:val="nil"/>
              <w:tr2bl w:val="nil"/>
            </w:tcBorders>
            <w:noWrap/>
            <w:textDirection w:val="lrTb"/>
            <w:vAlign w:val="center"/>
          </w:tcPr>
          <w:p w:rsidR="00B1599D" w:rsidRPr="005360FA" w:rsidP="005360FA">
            <w:pPr>
              <w:spacing w:line="240" w:lineRule="auto"/>
              <w:jc w:val="right"/>
              <w:rPr>
                <w:rFonts w:ascii="Arial Narrow" w:hAnsi="Arial Narrow" w:cs="Times New Roman"/>
              </w:rPr>
            </w:pPr>
            <w:r w:rsidRPr="005360FA">
              <w:rPr>
                <w:rFonts w:ascii="Arial Narrow" w:hAnsi="Arial Narrow" w:cs="Times New Roman"/>
              </w:rPr>
              <w:t>446,00</w:t>
            </w:r>
          </w:p>
        </w:tc>
      </w:tr>
      <w:tr>
        <w:tblPrEx>
          <w:tblW w:w="8580" w:type="dxa"/>
          <w:tblInd w:w="610" w:type="dxa"/>
          <w:tblCellMar>
            <w:left w:w="70" w:type="dxa"/>
            <w:right w:w="70" w:type="dxa"/>
          </w:tblCellMar>
        </w:tblPrEx>
        <w:trPr>
          <w:trHeight w:hRule="exact" w:val="227"/>
        </w:trPr>
        <w:tc>
          <w:tcPr>
            <w:tcW w:w="5560" w:type="dxa"/>
            <w:tcBorders>
              <w:top w:val="single" w:sz="8" w:space="0" w:color="auto"/>
              <w:left w:val="single" w:sz="8" w:space="0" w:color="auto"/>
              <w:bottom w:val="single" w:sz="4" w:space="0" w:color="auto"/>
              <w:right w:val="single" w:sz="8" w:space="0" w:color="auto"/>
              <w:tl2br w:val="nil"/>
              <w:tr2bl w:val="nil"/>
            </w:tcBorders>
            <w:noWrap/>
            <w:textDirection w:val="lrTb"/>
            <w:vAlign w:val="center"/>
          </w:tcPr>
          <w:p w:rsidR="00B1599D" w:rsidRPr="005360FA" w:rsidP="00B1599D">
            <w:pPr>
              <w:spacing w:line="240" w:lineRule="auto"/>
              <w:rPr>
                <w:rFonts w:ascii="Arial Narrow" w:hAnsi="Arial Narrow" w:cs="Times New Roman"/>
              </w:rPr>
            </w:pPr>
            <w:r w:rsidRPr="005360FA">
              <w:rPr>
                <w:rFonts w:ascii="Arial Narrow" w:hAnsi="Arial Narrow" w:cs="Times New Roman"/>
              </w:rPr>
              <w:t xml:space="preserve">Výdavky budúcich období </w:t>
            </w:r>
          </w:p>
        </w:tc>
        <w:tc>
          <w:tcPr>
            <w:tcW w:w="1460" w:type="dxa"/>
            <w:tcBorders>
              <w:top w:val="single" w:sz="8" w:space="0" w:color="auto"/>
              <w:left w:val="single" w:sz="8" w:space="0" w:color="auto"/>
              <w:bottom w:val="single" w:sz="4" w:space="0" w:color="auto"/>
              <w:right w:val="single" w:sz="8" w:space="0" w:color="auto"/>
              <w:tl2br w:val="nil"/>
              <w:tr2bl w:val="nil"/>
            </w:tcBorders>
            <w:noWrap/>
            <w:textDirection w:val="lrTb"/>
            <w:vAlign w:val="center"/>
          </w:tcPr>
          <w:p w:rsidR="00B1599D" w:rsidRPr="005360FA" w:rsidP="005360FA">
            <w:pPr>
              <w:spacing w:line="240" w:lineRule="auto"/>
              <w:jc w:val="right"/>
              <w:rPr>
                <w:rFonts w:ascii="Arial Narrow" w:hAnsi="Arial Narrow" w:cs="Times New Roman"/>
              </w:rPr>
            </w:pPr>
            <w:r w:rsidRPr="005360FA">
              <w:rPr>
                <w:rFonts w:ascii="Arial Narrow" w:hAnsi="Arial Narrow" w:cs="Times New Roman"/>
              </w:rPr>
              <w:t>4,00</w:t>
            </w:r>
          </w:p>
        </w:tc>
        <w:tc>
          <w:tcPr>
            <w:tcW w:w="1560" w:type="dxa"/>
            <w:tcBorders>
              <w:top w:val="single" w:sz="8" w:space="0" w:color="auto"/>
              <w:left w:val="single" w:sz="8" w:space="0" w:color="auto"/>
              <w:bottom w:val="single" w:sz="4" w:space="0" w:color="auto"/>
              <w:right w:val="single" w:sz="8" w:space="0" w:color="auto"/>
              <w:tl2br w:val="nil"/>
              <w:tr2bl w:val="nil"/>
            </w:tcBorders>
            <w:noWrap/>
            <w:textDirection w:val="lrTb"/>
            <w:vAlign w:val="center"/>
          </w:tcPr>
          <w:p w:rsidR="00B1599D" w:rsidRPr="005360FA" w:rsidP="005360FA">
            <w:pPr>
              <w:spacing w:line="240" w:lineRule="auto"/>
              <w:jc w:val="right"/>
              <w:rPr>
                <w:rFonts w:ascii="Arial Narrow" w:hAnsi="Arial Narrow" w:cs="Times New Roman"/>
              </w:rPr>
            </w:pPr>
            <w:r w:rsidRPr="005360FA">
              <w:rPr>
                <w:rFonts w:ascii="Arial Narrow" w:hAnsi="Arial Narrow" w:cs="Times New Roman"/>
              </w:rPr>
              <w:t>0,00</w:t>
            </w:r>
          </w:p>
        </w:tc>
      </w:tr>
      <w:tr>
        <w:tblPrEx>
          <w:tblW w:w="8580" w:type="dxa"/>
          <w:tblInd w:w="610" w:type="dxa"/>
          <w:tblCellMar>
            <w:left w:w="70" w:type="dxa"/>
            <w:right w:w="70" w:type="dxa"/>
          </w:tblCellMar>
        </w:tblPrEx>
        <w:trPr>
          <w:trHeight w:hRule="exact" w:val="227"/>
        </w:trPr>
        <w:tc>
          <w:tcPr>
            <w:tcW w:w="556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B1599D" w:rsidRPr="005360FA" w:rsidP="00B1599D">
            <w:pPr>
              <w:spacing w:line="240" w:lineRule="auto"/>
              <w:rPr>
                <w:rFonts w:ascii="Arial Narrow" w:hAnsi="Arial Narrow" w:cs="Times New Roman"/>
              </w:rPr>
            </w:pPr>
            <w:r w:rsidRPr="005360FA">
              <w:rPr>
                <w:rFonts w:ascii="Arial Narrow" w:hAnsi="Arial Narrow" w:cs="Times New Roman"/>
              </w:rPr>
              <w:t xml:space="preserve">Výnosy budúcich období </w:t>
            </w:r>
          </w:p>
        </w:tc>
        <w:tc>
          <w:tcPr>
            <w:tcW w:w="146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B1599D" w:rsidRPr="005360FA" w:rsidP="005360FA">
            <w:pPr>
              <w:spacing w:line="240" w:lineRule="auto"/>
              <w:jc w:val="right"/>
              <w:rPr>
                <w:rFonts w:ascii="Arial Narrow" w:hAnsi="Arial Narrow" w:cs="Times New Roman"/>
              </w:rPr>
            </w:pPr>
            <w:r w:rsidRPr="005360FA">
              <w:rPr>
                <w:rFonts w:ascii="Arial Narrow" w:hAnsi="Arial Narrow" w:cs="Times New Roman"/>
              </w:rPr>
              <w:t>371,00</w:t>
            </w:r>
          </w:p>
        </w:tc>
        <w:tc>
          <w:tcPr>
            <w:tcW w:w="156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B1599D" w:rsidRPr="005360FA" w:rsidP="005360FA">
            <w:pPr>
              <w:spacing w:line="240" w:lineRule="auto"/>
              <w:jc w:val="right"/>
              <w:rPr>
                <w:rFonts w:ascii="Arial Narrow" w:hAnsi="Arial Narrow" w:cs="Times New Roman"/>
              </w:rPr>
            </w:pPr>
            <w:r w:rsidRPr="005360FA">
              <w:rPr>
                <w:rFonts w:ascii="Arial Narrow" w:hAnsi="Arial Narrow" w:cs="Times New Roman"/>
              </w:rPr>
              <w:t>446,00</w:t>
            </w:r>
          </w:p>
        </w:tc>
      </w:tr>
    </w:tbl>
    <w:p w:rsidR="00D206BB" w:rsidRPr="00BB2B26" w:rsidP="00BB2B26">
      <w:pPr>
        <w:spacing w:line="240" w:lineRule="auto"/>
        <w:rPr>
          <w:rFonts w:ascii="Times New Roman" w:hAnsi="Times New Roman" w:cs="Times New Roman"/>
        </w:rPr>
      </w:pPr>
      <w:r w:rsidR="00ED0F3C">
        <w:rPr>
          <w:rFonts w:ascii="Times New Roman" w:hAnsi="Times New Roman" w:cs="Times New Roman"/>
          <w:b/>
          <w:sz w:val="24"/>
          <w:szCs w:val="24"/>
        </w:rPr>
        <w:t xml:space="preserve">         </w:t>
      </w:r>
      <w:r w:rsidRPr="00ED0F3C" w:rsidR="00611F39">
        <w:rPr>
          <w:rFonts w:ascii="Times New Roman" w:hAnsi="Times New Roman" w:cs="Times New Roman"/>
        </w:rPr>
        <w:t>Pozn.:</w:t>
      </w:r>
      <w:r w:rsidRPr="00ED0F3C" w:rsidR="00611F39">
        <w:rPr>
          <w:rFonts w:ascii="Times New Roman" w:hAnsi="Times New Roman" w:cs="Times New Roman"/>
          <w:b/>
        </w:rPr>
        <w:t xml:space="preserve"> </w:t>
      </w:r>
      <w:r w:rsidRPr="00ED0F3C" w:rsidR="00611F39">
        <w:rPr>
          <w:rFonts w:ascii="Times New Roman" w:hAnsi="Times New Roman" w:cs="Times New Roman"/>
        </w:rPr>
        <w:t xml:space="preserve">Položky z nulovou hodnotou v súvahe zaradené nie sú. </w:t>
      </w:r>
    </w:p>
    <w:p w:rsidR="00EF0282" w:rsidP="00D206BB">
      <w:pPr>
        <w:pStyle w:val="Header"/>
        <w:tabs>
          <w:tab w:val="clear" w:pos="4536"/>
          <w:tab w:val="clear" w:pos="9072"/>
        </w:tabs>
        <w:spacing w:line="240" w:lineRule="auto"/>
        <w:ind w:firstLine="709"/>
        <w:rPr>
          <w:rFonts w:ascii="Times New Roman" w:hAnsi="Times New Roman" w:cs="Times New Roman"/>
          <w:sz w:val="24"/>
          <w:szCs w:val="24"/>
        </w:rPr>
      </w:pPr>
    </w:p>
    <w:p w:rsidR="00B1599D" w:rsidRPr="00D206BB" w:rsidP="00D206BB">
      <w:pPr>
        <w:pStyle w:val="Header"/>
        <w:tabs>
          <w:tab w:val="clear" w:pos="4536"/>
          <w:tab w:val="clear" w:pos="9072"/>
        </w:tabs>
        <w:spacing w:line="240" w:lineRule="auto"/>
        <w:ind w:firstLine="709"/>
        <w:rPr>
          <w:rFonts w:ascii="Times New Roman" w:hAnsi="Times New Roman" w:cs="Times New Roman"/>
          <w:b/>
          <w:sz w:val="24"/>
          <w:szCs w:val="24"/>
        </w:rPr>
      </w:pPr>
      <w:r w:rsidRPr="00B1599D">
        <w:rPr>
          <w:rFonts w:ascii="Times New Roman" w:hAnsi="Times New Roman" w:cs="Times New Roman"/>
          <w:sz w:val="24"/>
          <w:szCs w:val="24"/>
        </w:rPr>
        <w:t>Spoločnosť Letisko Košice – Airport Košice, a.s. (ďalej len „KSC“)</w:t>
      </w:r>
      <w:r w:rsidR="008614A3">
        <w:rPr>
          <w:rFonts w:ascii="Times New Roman" w:hAnsi="Times New Roman" w:cs="Times New Roman"/>
          <w:sz w:val="24"/>
          <w:szCs w:val="24"/>
        </w:rPr>
        <w:t>,</w:t>
      </w:r>
      <w:r w:rsidRPr="00B1599D">
        <w:rPr>
          <w:rFonts w:ascii="Times New Roman" w:hAnsi="Times New Roman" w:cs="Times New Roman"/>
          <w:sz w:val="24"/>
          <w:szCs w:val="24"/>
        </w:rPr>
        <w:t xml:space="preserve"> disponuje majetkom v netto hodnote vo výšk</w:t>
      </w:r>
      <w:r w:rsidR="00D206BB">
        <w:rPr>
          <w:rFonts w:ascii="Times New Roman" w:hAnsi="Times New Roman" w:cs="Times New Roman"/>
          <w:sz w:val="24"/>
          <w:szCs w:val="24"/>
        </w:rPr>
        <w:t>e 2 073</w:t>
      </w:r>
      <w:r w:rsidR="000A4072">
        <w:rPr>
          <w:rFonts w:ascii="Times New Roman" w:hAnsi="Times New Roman" w:cs="Times New Roman"/>
          <w:sz w:val="24"/>
          <w:szCs w:val="24"/>
        </w:rPr>
        <w:t> </w:t>
      </w:r>
      <w:r w:rsidR="00D206BB">
        <w:rPr>
          <w:rFonts w:ascii="Times New Roman" w:hAnsi="Times New Roman" w:cs="Times New Roman"/>
          <w:sz w:val="24"/>
          <w:szCs w:val="24"/>
        </w:rPr>
        <w:t>716</w:t>
      </w:r>
      <w:r w:rsidR="000A4072">
        <w:rPr>
          <w:rFonts w:ascii="Times New Roman" w:hAnsi="Times New Roman" w:cs="Times New Roman"/>
          <w:sz w:val="24"/>
          <w:szCs w:val="24"/>
        </w:rPr>
        <w:t xml:space="preserve"> tis. </w:t>
      </w:r>
      <w:r w:rsidRPr="00B1599D">
        <w:rPr>
          <w:rFonts w:ascii="Times New Roman" w:hAnsi="Times New Roman" w:cs="Times New Roman"/>
          <w:sz w:val="24"/>
          <w:szCs w:val="24"/>
        </w:rPr>
        <w:t>Sk. Najväčšou položkou majetku je dlhodobý hm</w:t>
      </w:r>
      <w:r w:rsidR="00D206BB">
        <w:rPr>
          <w:rFonts w:ascii="Times New Roman" w:hAnsi="Times New Roman" w:cs="Times New Roman"/>
          <w:sz w:val="24"/>
          <w:szCs w:val="24"/>
        </w:rPr>
        <w:t>otný majetok vo výške 1 677</w:t>
      </w:r>
      <w:r w:rsidR="000A4072">
        <w:rPr>
          <w:rFonts w:ascii="Times New Roman" w:hAnsi="Times New Roman" w:cs="Times New Roman"/>
          <w:sz w:val="24"/>
          <w:szCs w:val="24"/>
        </w:rPr>
        <w:t xml:space="preserve"> 637 tis. </w:t>
      </w:r>
      <w:r w:rsidRPr="00B1599D">
        <w:rPr>
          <w:rFonts w:ascii="Times New Roman" w:hAnsi="Times New Roman" w:cs="Times New Roman"/>
          <w:sz w:val="24"/>
          <w:szCs w:val="24"/>
        </w:rPr>
        <w:t xml:space="preserve">Sk, </w:t>
      </w:r>
      <w:r w:rsidR="000A4072">
        <w:rPr>
          <w:rFonts w:ascii="Times New Roman" w:hAnsi="Times New Roman" w:cs="Times New Roman"/>
          <w:sz w:val="24"/>
          <w:szCs w:val="24"/>
        </w:rPr>
        <w:t xml:space="preserve">z toho pozemky </w:t>
      </w:r>
      <w:r w:rsidR="00D206BB">
        <w:rPr>
          <w:rFonts w:ascii="Times New Roman" w:hAnsi="Times New Roman" w:cs="Times New Roman"/>
          <w:sz w:val="24"/>
          <w:szCs w:val="24"/>
        </w:rPr>
        <w:t>890</w:t>
      </w:r>
      <w:r w:rsidR="000A4072">
        <w:rPr>
          <w:rFonts w:ascii="Times New Roman" w:hAnsi="Times New Roman" w:cs="Times New Roman"/>
          <w:sz w:val="24"/>
          <w:szCs w:val="24"/>
        </w:rPr>
        <w:t xml:space="preserve"> 117 tis. Sk, </w:t>
      </w:r>
      <w:r w:rsidR="00D206BB">
        <w:rPr>
          <w:rFonts w:ascii="Times New Roman" w:hAnsi="Times New Roman" w:cs="Times New Roman"/>
          <w:sz w:val="24"/>
          <w:szCs w:val="24"/>
        </w:rPr>
        <w:t>stavby 607</w:t>
      </w:r>
      <w:r w:rsidR="000A4072">
        <w:rPr>
          <w:rFonts w:ascii="Times New Roman" w:hAnsi="Times New Roman" w:cs="Times New Roman"/>
          <w:sz w:val="24"/>
          <w:szCs w:val="24"/>
        </w:rPr>
        <w:t xml:space="preserve"> 358 tis. </w:t>
      </w:r>
      <w:r w:rsidRPr="00B1599D">
        <w:rPr>
          <w:rFonts w:ascii="Times New Roman" w:hAnsi="Times New Roman" w:cs="Times New Roman"/>
          <w:sz w:val="24"/>
          <w:szCs w:val="24"/>
        </w:rPr>
        <w:t>Sk, samostatne hnuteľné veci a súbory h</w:t>
      </w:r>
      <w:r w:rsidR="00D206BB">
        <w:rPr>
          <w:rFonts w:ascii="Times New Roman" w:hAnsi="Times New Roman" w:cs="Times New Roman"/>
          <w:sz w:val="24"/>
          <w:szCs w:val="24"/>
        </w:rPr>
        <w:t>nut. vecí vo výške 175</w:t>
      </w:r>
      <w:r w:rsidR="000A4072">
        <w:rPr>
          <w:rFonts w:ascii="Times New Roman" w:hAnsi="Times New Roman" w:cs="Times New Roman"/>
          <w:sz w:val="24"/>
          <w:szCs w:val="24"/>
        </w:rPr>
        <w:t xml:space="preserve"> 281 tis. </w:t>
      </w:r>
      <w:r w:rsidRPr="00B1599D">
        <w:rPr>
          <w:rFonts w:ascii="Times New Roman" w:hAnsi="Times New Roman" w:cs="Times New Roman"/>
          <w:sz w:val="24"/>
          <w:szCs w:val="24"/>
        </w:rPr>
        <w:t>Sk.</w:t>
      </w:r>
    </w:p>
    <w:p w:rsidR="00B1599D" w:rsidRPr="00B1599D" w:rsidP="00B1599D">
      <w:pPr>
        <w:pStyle w:val="Header"/>
        <w:tabs>
          <w:tab w:val="clear" w:pos="4536"/>
          <w:tab w:val="clear" w:pos="9072"/>
        </w:tabs>
        <w:spacing w:line="240" w:lineRule="auto"/>
        <w:rPr>
          <w:rFonts w:ascii="Times New Roman" w:hAnsi="Times New Roman" w:cs="Times New Roman"/>
          <w:sz w:val="24"/>
          <w:szCs w:val="24"/>
        </w:rPr>
      </w:pPr>
    </w:p>
    <w:p w:rsidR="00B1599D" w:rsidRPr="00B1599D" w:rsidP="00394E08">
      <w:pPr>
        <w:pStyle w:val="Header"/>
        <w:tabs>
          <w:tab w:val="clear" w:pos="4536"/>
          <w:tab w:val="clear" w:pos="9072"/>
        </w:tabs>
        <w:spacing w:line="240" w:lineRule="auto"/>
        <w:ind w:firstLine="709"/>
        <w:rPr>
          <w:rFonts w:ascii="Times New Roman" w:hAnsi="Times New Roman" w:cs="Times New Roman"/>
          <w:b/>
          <w:sz w:val="24"/>
          <w:szCs w:val="24"/>
        </w:rPr>
      </w:pPr>
      <w:r w:rsidR="00C115BF">
        <w:rPr>
          <w:rFonts w:ascii="Times New Roman" w:hAnsi="Times New Roman" w:cs="Times New Roman"/>
          <w:b/>
          <w:sz w:val="24"/>
          <w:szCs w:val="24"/>
        </w:rPr>
        <w:t>Pohľadávky</w:t>
      </w:r>
    </w:p>
    <w:p w:rsidR="00394E08" w:rsidP="00B1599D">
      <w:pPr>
        <w:pStyle w:val="Header"/>
        <w:tabs>
          <w:tab w:val="clear" w:pos="4536"/>
          <w:tab w:val="clear" w:pos="9072"/>
        </w:tabs>
        <w:spacing w:line="240" w:lineRule="auto"/>
        <w:rPr>
          <w:rFonts w:ascii="Times New Roman" w:hAnsi="Times New Roman" w:cs="Times New Roman"/>
          <w:sz w:val="24"/>
          <w:szCs w:val="24"/>
        </w:rPr>
      </w:pPr>
    </w:p>
    <w:p w:rsidR="00394E08" w:rsidRPr="00A842B0" w:rsidP="00A842B0">
      <w:pPr>
        <w:pStyle w:val="Header"/>
        <w:tabs>
          <w:tab w:val="clear" w:pos="4536"/>
          <w:tab w:val="clear" w:pos="9072"/>
        </w:tabs>
        <w:spacing w:line="240" w:lineRule="auto"/>
        <w:ind w:firstLine="709"/>
        <w:rPr>
          <w:rFonts w:ascii="Times New Roman" w:hAnsi="Times New Roman" w:cs="Times New Roman"/>
          <w:sz w:val="24"/>
          <w:szCs w:val="24"/>
        </w:rPr>
      </w:pPr>
      <w:r w:rsidRPr="00B1599D" w:rsidR="00B1599D">
        <w:rPr>
          <w:rFonts w:ascii="Times New Roman" w:hAnsi="Times New Roman" w:cs="Times New Roman"/>
          <w:sz w:val="24"/>
          <w:szCs w:val="24"/>
        </w:rPr>
        <w:t xml:space="preserve">KSC eviduje pohľadávky po </w:t>
      </w:r>
      <w:r>
        <w:rPr>
          <w:rFonts w:ascii="Times New Roman" w:hAnsi="Times New Roman" w:cs="Times New Roman"/>
          <w:sz w:val="24"/>
          <w:szCs w:val="24"/>
        </w:rPr>
        <w:t xml:space="preserve"> </w:t>
      </w:r>
      <w:r w:rsidRPr="00B1599D" w:rsidR="00B1599D">
        <w:rPr>
          <w:rFonts w:ascii="Times New Roman" w:hAnsi="Times New Roman" w:cs="Times New Roman"/>
          <w:sz w:val="24"/>
          <w:szCs w:val="24"/>
        </w:rPr>
        <w:t xml:space="preserve">lehote </w:t>
      </w:r>
      <w:r>
        <w:rPr>
          <w:rFonts w:ascii="Times New Roman" w:hAnsi="Times New Roman" w:cs="Times New Roman"/>
          <w:sz w:val="24"/>
          <w:szCs w:val="24"/>
        </w:rPr>
        <w:t xml:space="preserve"> </w:t>
      </w:r>
      <w:r w:rsidRPr="00B1599D" w:rsidR="00B1599D">
        <w:rPr>
          <w:rFonts w:ascii="Times New Roman" w:hAnsi="Times New Roman" w:cs="Times New Roman"/>
          <w:sz w:val="24"/>
          <w:szCs w:val="24"/>
        </w:rPr>
        <w:t xml:space="preserve">splatnosti </w:t>
      </w:r>
      <w:r>
        <w:rPr>
          <w:rFonts w:ascii="Times New Roman" w:hAnsi="Times New Roman" w:cs="Times New Roman"/>
          <w:sz w:val="24"/>
          <w:szCs w:val="24"/>
        </w:rPr>
        <w:t xml:space="preserve"> </w:t>
      </w:r>
      <w:r w:rsidRPr="00B1599D" w:rsidR="00B1599D">
        <w:rPr>
          <w:rFonts w:ascii="Times New Roman" w:hAnsi="Times New Roman" w:cs="Times New Roman"/>
          <w:sz w:val="24"/>
          <w:szCs w:val="24"/>
        </w:rPr>
        <w:t>dlhš</w:t>
      </w:r>
      <w:r>
        <w:rPr>
          <w:rFonts w:ascii="Times New Roman" w:hAnsi="Times New Roman" w:cs="Times New Roman"/>
          <w:sz w:val="24"/>
          <w:szCs w:val="24"/>
        </w:rPr>
        <w:t xml:space="preserve">ej  ako 1 rok v celkovej sume 16 829 595,53 Sk, </w:t>
      </w:r>
      <w:r w:rsidRPr="00B1599D" w:rsidR="00B1599D">
        <w:rPr>
          <w:rFonts w:ascii="Times New Roman" w:hAnsi="Times New Roman" w:cs="Times New Roman"/>
          <w:sz w:val="24"/>
          <w:szCs w:val="24"/>
        </w:rPr>
        <w:t>pričom najväčším dlžníkom spoločnosti v tejto kategórii splatnosti pohľadávok je spoločnosť Slovenské aerolínie, a.s. Celkovo voči spoločnosti Slovenské aerolínie KSC</w:t>
      </w:r>
      <w:r>
        <w:rPr>
          <w:rFonts w:ascii="Times New Roman" w:hAnsi="Times New Roman" w:cs="Times New Roman"/>
          <w:sz w:val="24"/>
          <w:szCs w:val="24"/>
        </w:rPr>
        <w:t xml:space="preserve"> eviduje pohľadávky vo výške 21 004 682,- </w:t>
      </w:r>
      <w:r w:rsidRPr="00B1599D" w:rsidR="00B1599D">
        <w:rPr>
          <w:rFonts w:ascii="Times New Roman" w:hAnsi="Times New Roman" w:cs="Times New Roman"/>
          <w:sz w:val="24"/>
          <w:szCs w:val="24"/>
        </w:rPr>
        <w:t>Sk. KSC v tejto veci uskutočnila príslušné právne kroky, avšak vymožiteľnosť týchto pohľadávok je nízka a práve pre tento prípad vytvorila spoločnosť v roku 2006 opravné položky k pohľadávkam voči tomuto dlžníkovi v plnej výške ich nominálnej hodnoty. V prípade ostatných dlžníkov, vykonáva letisková spoločnosť aktívne kroky smerujúce k ich zaplateni</w:t>
      </w:r>
      <w:r>
        <w:rPr>
          <w:rFonts w:ascii="Times New Roman" w:hAnsi="Times New Roman" w:cs="Times New Roman"/>
          <w:sz w:val="24"/>
          <w:szCs w:val="24"/>
        </w:rPr>
        <w:t xml:space="preserve">u. </w:t>
      </w:r>
      <w:r w:rsidRPr="00B1599D" w:rsidR="00B1599D">
        <w:rPr>
          <w:rFonts w:ascii="Times New Roman" w:hAnsi="Times New Roman" w:cs="Times New Roman"/>
          <w:sz w:val="24"/>
          <w:szCs w:val="24"/>
        </w:rPr>
        <w:t>V prípade pohľadávok so splatnosťou do 1 roka, kto</w:t>
      </w:r>
      <w:r>
        <w:rPr>
          <w:rFonts w:ascii="Times New Roman" w:hAnsi="Times New Roman" w:cs="Times New Roman"/>
          <w:sz w:val="24"/>
          <w:szCs w:val="24"/>
        </w:rPr>
        <w:t xml:space="preserve">ré sú však v primeranej hodnote, </w:t>
      </w:r>
      <w:r w:rsidRPr="00B1599D" w:rsidR="00B1599D">
        <w:rPr>
          <w:rFonts w:ascii="Times New Roman" w:hAnsi="Times New Roman" w:cs="Times New Roman"/>
          <w:sz w:val="24"/>
          <w:szCs w:val="24"/>
        </w:rPr>
        <w:t>KSC taktie</w:t>
      </w:r>
      <w:r w:rsidR="004E590E">
        <w:rPr>
          <w:rFonts w:ascii="Times New Roman" w:hAnsi="Times New Roman" w:cs="Times New Roman"/>
          <w:sz w:val="24"/>
          <w:szCs w:val="24"/>
        </w:rPr>
        <w:t>ž podniká kroky smerujúce na vymáhanie</w:t>
      </w:r>
      <w:r w:rsidRPr="00B1599D" w:rsidR="00B1599D">
        <w:rPr>
          <w:rFonts w:ascii="Times New Roman" w:hAnsi="Times New Roman" w:cs="Times New Roman"/>
          <w:sz w:val="24"/>
          <w:szCs w:val="24"/>
        </w:rPr>
        <w:t>.</w:t>
      </w:r>
    </w:p>
    <w:p w:rsidR="00B1599D" w:rsidRPr="00B1599D" w:rsidP="0009614B">
      <w:pPr>
        <w:pStyle w:val="Header"/>
        <w:tabs>
          <w:tab w:val="clear" w:pos="4536"/>
          <w:tab w:val="clear" w:pos="9072"/>
        </w:tabs>
        <w:spacing w:line="240" w:lineRule="auto"/>
        <w:ind w:firstLine="709"/>
        <w:rPr>
          <w:rFonts w:ascii="Times New Roman" w:hAnsi="Times New Roman" w:cs="Times New Roman"/>
          <w:sz w:val="24"/>
          <w:szCs w:val="24"/>
        </w:rPr>
      </w:pPr>
      <w:r w:rsidRPr="00C115BF">
        <w:rPr>
          <w:rFonts w:ascii="Times New Roman" w:hAnsi="Times New Roman" w:cs="Times New Roman"/>
          <w:sz w:val="24"/>
          <w:szCs w:val="24"/>
        </w:rPr>
        <w:t>Veková štruktúra neu</w:t>
      </w:r>
      <w:r w:rsidR="00A842B0">
        <w:rPr>
          <w:rFonts w:ascii="Times New Roman" w:hAnsi="Times New Roman" w:cs="Times New Roman"/>
          <w:sz w:val="24"/>
          <w:szCs w:val="24"/>
        </w:rPr>
        <w:t>hradených odberateľských faktúr:</w:t>
      </w:r>
      <w:r w:rsidR="0009614B">
        <w:rPr>
          <w:rFonts w:ascii="Times New Roman" w:hAnsi="Times New Roman" w:cs="Times New Roman"/>
          <w:sz w:val="24"/>
          <w:szCs w:val="24"/>
        </w:rPr>
        <w:t xml:space="preserve"> </w:t>
      </w:r>
      <w:r w:rsidRPr="00B1599D">
        <w:rPr>
          <w:rFonts w:ascii="Times New Roman" w:hAnsi="Times New Roman" w:cs="Times New Roman"/>
          <w:sz w:val="24"/>
          <w:szCs w:val="24"/>
        </w:rPr>
        <w:t>nad</w:t>
      </w:r>
      <w:r w:rsidR="0009614B">
        <w:rPr>
          <w:rFonts w:ascii="Times New Roman" w:hAnsi="Times New Roman" w:cs="Times New Roman"/>
          <w:sz w:val="24"/>
          <w:szCs w:val="24"/>
        </w:rPr>
        <w:t xml:space="preserve"> 360 dní </w:t>
      </w:r>
      <w:r w:rsidR="00394E08">
        <w:rPr>
          <w:rFonts w:ascii="Times New Roman" w:hAnsi="Times New Roman" w:cs="Times New Roman"/>
          <w:sz w:val="24"/>
          <w:szCs w:val="24"/>
        </w:rPr>
        <w:t xml:space="preserve">16 829, </w:t>
      </w:r>
      <w:r w:rsidRPr="00B1599D">
        <w:rPr>
          <w:rFonts w:ascii="Times New Roman" w:hAnsi="Times New Roman" w:cs="Times New Roman"/>
          <w:sz w:val="24"/>
          <w:szCs w:val="24"/>
        </w:rPr>
        <w:t>595 tis. Sk</w:t>
      </w:r>
      <w:r w:rsidR="0009614B">
        <w:rPr>
          <w:rFonts w:ascii="Times New Roman" w:hAnsi="Times New Roman" w:cs="Times New Roman"/>
          <w:sz w:val="24"/>
          <w:szCs w:val="24"/>
        </w:rPr>
        <w:t xml:space="preserve">, </w:t>
      </w:r>
      <w:r w:rsidRPr="00B1599D">
        <w:rPr>
          <w:rFonts w:ascii="Times New Roman" w:hAnsi="Times New Roman" w:cs="Times New Roman"/>
          <w:sz w:val="24"/>
          <w:szCs w:val="24"/>
        </w:rPr>
        <w:t>do 360</w:t>
      </w:r>
      <w:r w:rsidR="0009614B">
        <w:rPr>
          <w:rFonts w:ascii="Times New Roman" w:hAnsi="Times New Roman" w:cs="Times New Roman"/>
          <w:sz w:val="24"/>
          <w:szCs w:val="24"/>
        </w:rPr>
        <w:t xml:space="preserve"> dní 4 517,068 </w:t>
      </w:r>
      <w:r w:rsidRPr="00B1599D">
        <w:rPr>
          <w:rFonts w:ascii="Times New Roman" w:hAnsi="Times New Roman" w:cs="Times New Roman"/>
          <w:sz w:val="24"/>
          <w:szCs w:val="24"/>
        </w:rPr>
        <w:t>tis. Sk</w:t>
      </w:r>
      <w:r w:rsidR="0009614B">
        <w:rPr>
          <w:rFonts w:ascii="Times New Roman" w:hAnsi="Times New Roman" w:cs="Times New Roman"/>
          <w:sz w:val="24"/>
          <w:szCs w:val="24"/>
        </w:rPr>
        <w:t xml:space="preserve">, </w:t>
      </w:r>
      <w:r w:rsidRPr="00B1599D">
        <w:rPr>
          <w:rFonts w:ascii="Times New Roman" w:hAnsi="Times New Roman" w:cs="Times New Roman"/>
          <w:sz w:val="24"/>
          <w:szCs w:val="24"/>
        </w:rPr>
        <w:t xml:space="preserve">do 180 </w:t>
      </w:r>
      <w:r w:rsidR="0009614B">
        <w:rPr>
          <w:rFonts w:ascii="Times New Roman" w:hAnsi="Times New Roman" w:cs="Times New Roman"/>
          <w:sz w:val="24"/>
          <w:szCs w:val="24"/>
        </w:rPr>
        <w:t xml:space="preserve">dní - 195,314 </w:t>
      </w:r>
      <w:r w:rsidRPr="00B1599D">
        <w:rPr>
          <w:rFonts w:ascii="Times New Roman" w:hAnsi="Times New Roman" w:cs="Times New Roman"/>
          <w:sz w:val="24"/>
          <w:szCs w:val="24"/>
        </w:rPr>
        <w:t>tis. Sk</w:t>
      </w:r>
      <w:r w:rsidR="0009614B">
        <w:rPr>
          <w:rFonts w:ascii="Times New Roman" w:hAnsi="Times New Roman" w:cs="Times New Roman"/>
          <w:sz w:val="24"/>
          <w:szCs w:val="24"/>
        </w:rPr>
        <w:t xml:space="preserve">, </w:t>
      </w:r>
      <w:r w:rsidRPr="00B1599D">
        <w:rPr>
          <w:rFonts w:ascii="Times New Roman" w:hAnsi="Times New Roman" w:cs="Times New Roman"/>
          <w:sz w:val="24"/>
          <w:szCs w:val="24"/>
        </w:rPr>
        <w:t>do 120</w:t>
      </w:r>
      <w:r w:rsidR="0009614B">
        <w:rPr>
          <w:rFonts w:ascii="Times New Roman" w:hAnsi="Times New Roman" w:cs="Times New Roman"/>
          <w:sz w:val="24"/>
          <w:szCs w:val="24"/>
        </w:rPr>
        <w:t xml:space="preserve"> dní 1 683,576 </w:t>
      </w:r>
      <w:r w:rsidRPr="00B1599D">
        <w:rPr>
          <w:rFonts w:ascii="Times New Roman" w:hAnsi="Times New Roman" w:cs="Times New Roman"/>
          <w:sz w:val="24"/>
          <w:szCs w:val="24"/>
        </w:rPr>
        <w:t>tis. Sk</w:t>
      </w:r>
      <w:r w:rsidR="0009614B">
        <w:rPr>
          <w:rFonts w:ascii="Times New Roman" w:hAnsi="Times New Roman" w:cs="Times New Roman"/>
          <w:sz w:val="24"/>
          <w:szCs w:val="24"/>
        </w:rPr>
        <w:t xml:space="preserve">, </w:t>
      </w:r>
      <w:r w:rsidR="00394E08">
        <w:rPr>
          <w:rFonts w:ascii="Times New Roman" w:hAnsi="Times New Roman" w:cs="Times New Roman"/>
          <w:sz w:val="24"/>
          <w:szCs w:val="24"/>
        </w:rPr>
        <w:t>do 60 dn</w:t>
      </w:r>
      <w:r w:rsidR="0009614B">
        <w:rPr>
          <w:rFonts w:ascii="Times New Roman" w:hAnsi="Times New Roman" w:cs="Times New Roman"/>
          <w:sz w:val="24"/>
          <w:szCs w:val="24"/>
        </w:rPr>
        <w:t xml:space="preserve">í 217,484 </w:t>
      </w:r>
      <w:r w:rsidRPr="00B1599D">
        <w:rPr>
          <w:rFonts w:ascii="Times New Roman" w:hAnsi="Times New Roman" w:cs="Times New Roman"/>
          <w:sz w:val="24"/>
          <w:szCs w:val="24"/>
        </w:rPr>
        <w:t>tis. Sk</w:t>
      </w:r>
      <w:r w:rsidR="0009614B">
        <w:rPr>
          <w:rFonts w:ascii="Times New Roman" w:hAnsi="Times New Roman" w:cs="Times New Roman"/>
          <w:sz w:val="24"/>
          <w:szCs w:val="24"/>
        </w:rPr>
        <w:t xml:space="preserve">, </w:t>
      </w:r>
      <w:r w:rsidRPr="00B1599D">
        <w:rPr>
          <w:rFonts w:ascii="Times New Roman" w:hAnsi="Times New Roman" w:cs="Times New Roman"/>
          <w:sz w:val="24"/>
          <w:szCs w:val="24"/>
        </w:rPr>
        <w:t xml:space="preserve">do 30 </w:t>
      </w:r>
      <w:r w:rsidR="0009614B">
        <w:rPr>
          <w:rFonts w:ascii="Times New Roman" w:hAnsi="Times New Roman" w:cs="Times New Roman"/>
          <w:sz w:val="24"/>
          <w:szCs w:val="24"/>
        </w:rPr>
        <w:t xml:space="preserve">dní 10 472,739 </w:t>
      </w:r>
      <w:r w:rsidRPr="00B1599D">
        <w:rPr>
          <w:rFonts w:ascii="Times New Roman" w:hAnsi="Times New Roman" w:cs="Times New Roman"/>
          <w:sz w:val="24"/>
          <w:szCs w:val="24"/>
        </w:rPr>
        <w:t>tis. Sk</w:t>
      </w:r>
      <w:r w:rsidR="0009614B">
        <w:rPr>
          <w:rFonts w:ascii="Times New Roman" w:hAnsi="Times New Roman" w:cs="Times New Roman"/>
          <w:sz w:val="24"/>
          <w:szCs w:val="24"/>
        </w:rPr>
        <w:t>.</w:t>
      </w:r>
    </w:p>
    <w:p w:rsidR="00B1599D" w:rsidRPr="00B1599D" w:rsidP="00B1599D">
      <w:pPr>
        <w:pStyle w:val="Header"/>
        <w:tabs>
          <w:tab w:val="clear" w:pos="4536"/>
          <w:tab w:val="clear" w:pos="9072"/>
        </w:tabs>
        <w:spacing w:line="240" w:lineRule="auto"/>
        <w:rPr>
          <w:rFonts w:ascii="Times New Roman" w:hAnsi="Times New Roman" w:cs="Times New Roman"/>
          <w:sz w:val="24"/>
          <w:szCs w:val="24"/>
        </w:rPr>
      </w:pPr>
    </w:p>
    <w:p w:rsidR="00B1599D" w:rsidP="00C115BF">
      <w:pPr>
        <w:pStyle w:val="Header"/>
        <w:tabs>
          <w:tab w:val="clear" w:pos="4536"/>
          <w:tab w:val="clear" w:pos="9072"/>
        </w:tabs>
        <w:spacing w:line="240" w:lineRule="auto"/>
        <w:ind w:firstLine="709"/>
        <w:rPr>
          <w:rFonts w:ascii="Times New Roman" w:hAnsi="Times New Roman" w:cs="Times New Roman"/>
          <w:b/>
          <w:sz w:val="24"/>
          <w:szCs w:val="24"/>
        </w:rPr>
      </w:pPr>
      <w:r w:rsidR="00C115BF">
        <w:rPr>
          <w:rFonts w:ascii="Times New Roman" w:hAnsi="Times New Roman" w:cs="Times New Roman"/>
          <w:b/>
          <w:sz w:val="24"/>
          <w:szCs w:val="24"/>
        </w:rPr>
        <w:t>Záväzky</w:t>
      </w:r>
    </w:p>
    <w:p w:rsidR="00C115BF" w:rsidRPr="00B1599D" w:rsidP="00B1599D">
      <w:pPr>
        <w:pStyle w:val="Header"/>
        <w:tabs>
          <w:tab w:val="clear" w:pos="4536"/>
          <w:tab w:val="clear" w:pos="9072"/>
        </w:tabs>
        <w:spacing w:line="240" w:lineRule="auto"/>
        <w:rPr>
          <w:rFonts w:ascii="Times New Roman" w:hAnsi="Times New Roman" w:cs="Times New Roman"/>
          <w:b/>
          <w:sz w:val="24"/>
          <w:szCs w:val="24"/>
        </w:rPr>
      </w:pPr>
    </w:p>
    <w:p w:rsidR="00B1599D" w:rsidRPr="00C115BF" w:rsidP="00C115BF">
      <w:pPr>
        <w:pStyle w:val="Header"/>
        <w:tabs>
          <w:tab w:val="clear" w:pos="4536"/>
          <w:tab w:val="clear" w:pos="9072"/>
        </w:tabs>
        <w:spacing w:line="240" w:lineRule="auto"/>
        <w:ind w:firstLine="709"/>
        <w:rPr>
          <w:rFonts w:ascii="Times New Roman" w:hAnsi="Times New Roman" w:cs="Times New Roman"/>
          <w:color w:val="FF0000"/>
          <w:sz w:val="24"/>
          <w:szCs w:val="24"/>
        </w:rPr>
      </w:pPr>
      <w:r w:rsidRPr="00B1599D">
        <w:rPr>
          <w:rFonts w:ascii="Times New Roman" w:hAnsi="Times New Roman" w:cs="Times New Roman"/>
          <w:sz w:val="24"/>
          <w:szCs w:val="24"/>
        </w:rPr>
        <w:t>KSC si svoje záväzky plní riadne a včas. Existencia zanedbateľných záväzkov KSC po lehote splatnosti má svoje opodstatnenie väčšinou na základe neplnenia si dohodnutých podmienok dotk</w:t>
      </w:r>
      <w:r w:rsidR="00C115BF">
        <w:rPr>
          <w:rFonts w:ascii="Times New Roman" w:hAnsi="Times New Roman" w:cs="Times New Roman"/>
          <w:sz w:val="24"/>
          <w:szCs w:val="24"/>
        </w:rPr>
        <w:t xml:space="preserve">nutých veriteľov KSC ako ich </w:t>
      </w:r>
      <w:r w:rsidRPr="00B1599D">
        <w:rPr>
          <w:rFonts w:ascii="Times New Roman" w:hAnsi="Times New Roman" w:cs="Times New Roman"/>
          <w:sz w:val="24"/>
          <w:szCs w:val="24"/>
        </w:rPr>
        <w:t>dodáv</w:t>
      </w:r>
      <w:r w:rsidR="00C115BF">
        <w:rPr>
          <w:rFonts w:ascii="Times New Roman" w:hAnsi="Times New Roman" w:cs="Times New Roman"/>
          <w:sz w:val="24"/>
          <w:szCs w:val="24"/>
        </w:rPr>
        <w:t xml:space="preserve">ateľov. </w:t>
      </w:r>
      <w:r w:rsidRPr="00B1599D">
        <w:rPr>
          <w:rFonts w:ascii="Times New Roman" w:hAnsi="Times New Roman" w:cs="Times New Roman"/>
          <w:sz w:val="24"/>
          <w:szCs w:val="24"/>
        </w:rPr>
        <w:t>Nesplatené návratné finančné výpomoci KSC neeviduje.</w:t>
      </w:r>
      <w:r w:rsidR="00C115BF">
        <w:rPr>
          <w:rFonts w:ascii="Times New Roman" w:hAnsi="Times New Roman" w:cs="Times New Roman"/>
          <w:color w:val="FF0000"/>
          <w:sz w:val="24"/>
          <w:szCs w:val="24"/>
        </w:rPr>
        <w:t xml:space="preserve"> </w:t>
      </w:r>
      <w:r w:rsidRPr="00B1599D">
        <w:rPr>
          <w:rFonts w:ascii="Times New Roman" w:hAnsi="Times New Roman" w:cs="Times New Roman"/>
          <w:sz w:val="24"/>
          <w:szCs w:val="24"/>
        </w:rPr>
        <w:t>Splatené návratné finančné výpomoci KSC neeviduje.</w:t>
      </w:r>
    </w:p>
    <w:p w:rsidR="00B1599D" w:rsidRPr="00B1599D" w:rsidP="00B1599D">
      <w:pPr>
        <w:spacing w:line="240" w:lineRule="auto"/>
        <w:rPr>
          <w:rFonts w:ascii="Times New Roman" w:hAnsi="Times New Roman" w:cs="Times New Roman"/>
          <w:sz w:val="24"/>
          <w:szCs w:val="24"/>
        </w:rPr>
      </w:pPr>
    </w:p>
    <w:p w:rsidR="007E76B1" w:rsidRPr="0034371C" w:rsidP="007E76B1">
      <w:pPr>
        <w:spacing w:line="240" w:lineRule="auto"/>
        <w:outlineLvl w:val="0"/>
        <w:rPr>
          <w:rFonts w:ascii="Times New Roman" w:hAnsi="Times New Roman" w:cs="Times New Roman"/>
          <w:b/>
          <w:bCs/>
          <w:sz w:val="28"/>
          <w:szCs w:val="28"/>
        </w:rPr>
      </w:pPr>
      <w:r w:rsidR="00E85BE9">
        <w:rPr>
          <w:rFonts w:ascii="Times New Roman" w:hAnsi="Times New Roman" w:cs="Times New Roman"/>
          <w:b/>
          <w:bCs/>
          <w:sz w:val="28"/>
          <w:szCs w:val="28"/>
        </w:rPr>
        <w:t>H</w:t>
      </w:r>
      <w:r w:rsidRPr="00B97FAA">
        <w:rPr>
          <w:rFonts w:ascii="Times New Roman" w:hAnsi="Times New Roman" w:cs="Times New Roman"/>
          <w:b/>
          <w:bCs/>
          <w:sz w:val="28"/>
          <w:szCs w:val="28"/>
        </w:rPr>
        <w:t>:</w:t>
      </w:r>
      <w:r w:rsidRPr="00B97FAA">
        <w:rPr>
          <w:rFonts w:ascii="Times New Roman" w:hAnsi="Times New Roman" w:cs="Times New Roman"/>
          <w:b/>
          <w:sz w:val="28"/>
          <w:szCs w:val="28"/>
        </w:rPr>
        <w:t xml:space="preserve"> Zhodnoteni</w:t>
      </w:r>
      <w:r>
        <w:rPr>
          <w:rFonts w:ascii="Times New Roman" w:hAnsi="Times New Roman" w:cs="Times New Roman"/>
          <w:b/>
          <w:sz w:val="28"/>
          <w:szCs w:val="28"/>
        </w:rPr>
        <w:t xml:space="preserve">e finančno – majetkovej pozície Letiska M. R. Štefánika – </w:t>
      </w:r>
      <w:r w:rsidRPr="0034371C">
        <w:rPr>
          <w:rFonts w:ascii="Times New Roman" w:hAnsi="Times New Roman" w:cs="Times New Roman"/>
          <w:b/>
          <w:sz w:val="28"/>
          <w:szCs w:val="28"/>
        </w:rPr>
        <w:t>Airport Bratislava, a.s.</w:t>
      </w:r>
    </w:p>
    <w:p w:rsidR="007E76B1" w:rsidRPr="0034371C" w:rsidP="007E76B1">
      <w:pPr>
        <w:spacing w:line="240" w:lineRule="auto"/>
        <w:ind w:firstLine="709"/>
        <w:rPr>
          <w:rFonts w:ascii="Times New Roman" w:hAnsi="Times New Roman" w:cs="Times New Roman"/>
          <w:sz w:val="24"/>
          <w:szCs w:val="24"/>
        </w:rPr>
      </w:pPr>
    </w:p>
    <w:p w:rsidR="00327CDA" w:rsidRPr="0034371C" w:rsidP="00327CDA">
      <w:pPr>
        <w:spacing w:line="240" w:lineRule="auto"/>
        <w:ind w:firstLine="709"/>
        <w:rPr>
          <w:rFonts w:ascii="Times New Roman" w:hAnsi="Times New Roman" w:cs="Times New Roman"/>
          <w:sz w:val="24"/>
          <w:szCs w:val="24"/>
        </w:rPr>
      </w:pPr>
      <w:r w:rsidRPr="0034371C" w:rsidR="007E76B1">
        <w:rPr>
          <w:rFonts w:ascii="Times New Roman" w:hAnsi="Times New Roman" w:cs="Times New Roman"/>
          <w:sz w:val="24"/>
          <w:szCs w:val="24"/>
        </w:rPr>
        <w:t>Údaje spoločnosti sú spracované z predbežných a neauditovaných podkladov.</w:t>
      </w:r>
    </w:p>
    <w:p w:rsidR="00327CDA" w:rsidRPr="0034371C" w:rsidP="00327CDA">
      <w:pPr>
        <w:spacing w:line="240" w:lineRule="auto"/>
        <w:ind w:firstLine="709"/>
        <w:rPr>
          <w:rFonts w:ascii="Times New Roman" w:hAnsi="Times New Roman" w:cs="Times New Roman"/>
          <w:sz w:val="24"/>
          <w:szCs w:val="24"/>
        </w:rPr>
      </w:pPr>
    </w:p>
    <w:tbl>
      <w:tblPr>
        <w:tblW w:w="9900" w:type="dxa"/>
        <w:tblInd w:w="-290" w:type="dxa"/>
        <w:tblCellMar>
          <w:left w:w="70" w:type="dxa"/>
          <w:right w:w="70" w:type="dxa"/>
        </w:tblCellMar>
      </w:tblPr>
      <w:tblGrid>
        <w:gridCol w:w="1980"/>
        <w:gridCol w:w="1620"/>
        <w:gridCol w:w="1620"/>
        <w:gridCol w:w="4680"/>
      </w:tblGrid>
      <w:tr>
        <w:tblPrEx>
          <w:tblW w:w="9900" w:type="dxa"/>
          <w:tblInd w:w="-290" w:type="dxa"/>
          <w:tblCellMar>
            <w:left w:w="70" w:type="dxa"/>
            <w:right w:w="70" w:type="dxa"/>
          </w:tblCellMar>
        </w:tblPrEx>
        <w:trPr>
          <w:trHeight w:val="570"/>
        </w:trPr>
        <w:tc>
          <w:tcPr>
            <w:tcW w:w="1980" w:type="dxa"/>
            <w:tcBorders>
              <w:top w:val="single" w:sz="4" w:space="0" w:color="auto"/>
              <w:left w:val="single" w:sz="4" w:space="0" w:color="auto"/>
              <w:bottom w:val="single" w:sz="4" w:space="0" w:color="auto"/>
              <w:right w:val="single" w:sz="4" w:space="0" w:color="auto"/>
              <w:tl2br w:val="nil"/>
              <w:tr2bl w:val="nil"/>
            </w:tcBorders>
            <w:shd w:val="clear" w:color="auto" w:fill="C0C0C0"/>
            <w:noWrap/>
            <w:textDirection w:val="lrTb"/>
            <w:vAlign w:val="center"/>
          </w:tcPr>
          <w:p w:rsidR="00327CDA" w:rsidRPr="0034371C" w:rsidP="00327CDA">
            <w:pPr>
              <w:spacing w:line="240" w:lineRule="auto"/>
              <w:jc w:val="center"/>
              <w:rPr>
                <w:rFonts w:ascii="Arial Narrow" w:hAnsi="Arial Narrow" w:cs="Arial"/>
                <w:b/>
                <w:color w:val="000000"/>
                <w:sz w:val="24"/>
                <w:szCs w:val="24"/>
                <w:lang w:eastAsia="sk-SK"/>
              </w:rPr>
            </w:pPr>
            <w:r w:rsidRPr="0034371C">
              <w:rPr>
                <w:rFonts w:ascii="Arial Narrow" w:hAnsi="Arial Narrow" w:cs="Arial"/>
                <w:b/>
                <w:color w:val="000000"/>
                <w:sz w:val="24"/>
                <w:szCs w:val="24"/>
                <w:lang w:eastAsia="sk-SK"/>
              </w:rPr>
              <w:t>Účet</w:t>
            </w:r>
          </w:p>
        </w:tc>
        <w:tc>
          <w:tcPr>
            <w:tcW w:w="1620" w:type="dxa"/>
            <w:tcBorders>
              <w:top w:val="single" w:sz="4" w:space="0" w:color="auto"/>
              <w:left w:val="nil"/>
              <w:bottom w:val="single" w:sz="4" w:space="0" w:color="auto"/>
              <w:right w:val="single" w:sz="4" w:space="0" w:color="auto"/>
              <w:tl2br w:val="nil"/>
              <w:tr2bl w:val="nil"/>
            </w:tcBorders>
            <w:shd w:val="clear" w:color="auto" w:fill="C0C0C0"/>
            <w:textDirection w:val="lrTb"/>
            <w:vAlign w:val="center"/>
          </w:tcPr>
          <w:p w:rsidR="00327CDA" w:rsidRPr="0034371C" w:rsidP="00327CDA">
            <w:pPr>
              <w:spacing w:line="240" w:lineRule="auto"/>
              <w:jc w:val="center"/>
              <w:rPr>
                <w:rFonts w:ascii="Arial Narrow" w:hAnsi="Arial Narrow" w:cs="Arial"/>
                <w:b/>
                <w:color w:val="000000"/>
                <w:sz w:val="24"/>
                <w:szCs w:val="24"/>
                <w:lang w:eastAsia="sk-SK"/>
              </w:rPr>
            </w:pPr>
            <w:r w:rsidRPr="0034371C">
              <w:rPr>
                <w:rFonts w:ascii="Arial Narrow" w:hAnsi="Arial Narrow" w:cs="Arial"/>
                <w:b/>
                <w:color w:val="000000"/>
                <w:sz w:val="24"/>
                <w:szCs w:val="24"/>
                <w:lang w:eastAsia="sk-SK"/>
              </w:rPr>
              <w:t>Stav k 31.12.2007</w:t>
            </w:r>
          </w:p>
        </w:tc>
        <w:tc>
          <w:tcPr>
            <w:tcW w:w="1620" w:type="dxa"/>
            <w:tcBorders>
              <w:top w:val="single" w:sz="4" w:space="0" w:color="auto"/>
              <w:left w:val="nil"/>
              <w:bottom w:val="single" w:sz="4" w:space="0" w:color="auto"/>
              <w:right w:val="single" w:sz="4" w:space="0" w:color="auto"/>
              <w:tl2br w:val="nil"/>
              <w:tr2bl w:val="nil"/>
            </w:tcBorders>
            <w:shd w:val="clear" w:color="auto" w:fill="C0C0C0"/>
            <w:textDirection w:val="lrTb"/>
            <w:vAlign w:val="center"/>
          </w:tcPr>
          <w:p w:rsidR="00327CDA" w:rsidRPr="0034371C" w:rsidP="00327CDA">
            <w:pPr>
              <w:spacing w:line="240" w:lineRule="auto"/>
              <w:jc w:val="center"/>
              <w:rPr>
                <w:rFonts w:ascii="Arial Narrow" w:hAnsi="Arial Narrow" w:cs="Arial"/>
                <w:b/>
                <w:color w:val="000000"/>
                <w:sz w:val="24"/>
                <w:szCs w:val="24"/>
                <w:lang w:eastAsia="sk-SK"/>
              </w:rPr>
            </w:pPr>
            <w:r w:rsidRPr="0034371C">
              <w:rPr>
                <w:rFonts w:ascii="Arial Narrow" w:hAnsi="Arial Narrow" w:cs="Arial"/>
                <w:b/>
                <w:color w:val="000000"/>
                <w:sz w:val="24"/>
                <w:szCs w:val="24"/>
                <w:lang w:eastAsia="sk-SK"/>
              </w:rPr>
              <w:t>Stav k 31.12.2006</w:t>
            </w:r>
          </w:p>
        </w:tc>
        <w:tc>
          <w:tcPr>
            <w:tcW w:w="4680" w:type="dxa"/>
            <w:tcBorders>
              <w:top w:val="single" w:sz="4" w:space="0" w:color="auto"/>
              <w:left w:val="nil"/>
              <w:bottom w:val="single" w:sz="4" w:space="0" w:color="auto"/>
              <w:right w:val="single" w:sz="4" w:space="0" w:color="auto"/>
              <w:tl2br w:val="nil"/>
              <w:tr2bl w:val="nil"/>
            </w:tcBorders>
            <w:shd w:val="clear" w:color="auto" w:fill="C0C0C0"/>
            <w:noWrap/>
            <w:textDirection w:val="lrTb"/>
            <w:vAlign w:val="center"/>
          </w:tcPr>
          <w:p w:rsidR="00327CDA" w:rsidRPr="0034371C" w:rsidP="00327CDA">
            <w:pPr>
              <w:spacing w:line="240" w:lineRule="auto"/>
              <w:jc w:val="center"/>
              <w:rPr>
                <w:rFonts w:ascii="Arial Narrow" w:hAnsi="Arial Narrow" w:cs="Arial"/>
                <w:b/>
                <w:color w:val="000000"/>
                <w:sz w:val="24"/>
                <w:szCs w:val="24"/>
                <w:lang w:eastAsia="sk-SK"/>
              </w:rPr>
            </w:pPr>
            <w:r w:rsidR="0034371C">
              <w:rPr>
                <w:rFonts w:ascii="Arial Narrow" w:hAnsi="Arial Narrow" w:cs="Arial"/>
                <w:b/>
                <w:color w:val="000000"/>
                <w:sz w:val="24"/>
                <w:szCs w:val="24"/>
                <w:lang w:eastAsia="sk-SK"/>
              </w:rPr>
              <w:t>Komentár k zmenám</w:t>
            </w:r>
          </w:p>
        </w:tc>
      </w:tr>
      <w:tr>
        <w:tblPrEx>
          <w:tblW w:w="9900" w:type="dxa"/>
          <w:tblInd w:w="-290" w:type="dxa"/>
          <w:tblCellMar>
            <w:left w:w="70" w:type="dxa"/>
            <w:right w:w="70" w:type="dxa"/>
          </w:tblCellMar>
        </w:tblPrEx>
        <w:trPr>
          <w:trHeight w:val="285"/>
        </w:trPr>
        <w:tc>
          <w:tcPr>
            <w:tcW w:w="1980" w:type="dxa"/>
            <w:tcBorders>
              <w:top w:val="nil"/>
              <w:left w:val="single" w:sz="4" w:space="0" w:color="auto"/>
              <w:bottom w:val="single" w:sz="4" w:space="0" w:color="auto"/>
              <w:right w:val="single" w:sz="4" w:space="0" w:color="auto"/>
              <w:tl2br w:val="nil"/>
              <w:tr2bl w:val="nil"/>
            </w:tcBorders>
            <w:noWrap/>
            <w:textDirection w:val="lrTb"/>
            <w:vAlign w:val="center"/>
          </w:tcPr>
          <w:p w:rsidR="00327CDA" w:rsidRPr="0034371C" w:rsidP="00327CDA">
            <w:pPr>
              <w:spacing w:line="240" w:lineRule="auto"/>
              <w:rPr>
                <w:rFonts w:ascii="Arial Narrow" w:hAnsi="Arial Narrow" w:cs="Arial"/>
                <w:color w:val="000000"/>
                <w:lang w:eastAsia="sk-SK"/>
              </w:rPr>
            </w:pPr>
            <w:r w:rsidRPr="0034371C" w:rsidR="0034371C">
              <w:rPr>
                <w:rFonts w:ascii="Arial Narrow" w:hAnsi="Arial Narrow" w:cs="Arial"/>
                <w:color w:val="000000"/>
                <w:lang w:eastAsia="sk-SK"/>
              </w:rPr>
              <w:t>013 - S</w:t>
            </w:r>
            <w:r w:rsidRPr="0034371C">
              <w:rPr>
                <w:rFonts w:ascii="Arial Narrow" w:hAnsi="Arial Narrow" w:cs="Arial"/>
                <w:color w:val="000000"/>
                <w:lang w:eastAsia="sk-SK"/>
              </w:rPr>
              <w:t>oftvér</w:t>
            </w:r>
          </w:p>
        </w:tc>
        <w:tc>
          <w:tcPr>
            <w:tcW w:w="1620" w:type="dxa"/>
            <w:tcBorders>
              <w:top w:val="nil"/>
              <w:left w:val="nil"/>
              <w:bottom w:val="single" w:sz="4" w:space="0" w:color="auto"/>
              <w:right w:val="single" w:sz="4" w:space="0" w:color="auto"/>
              <w:tl2br w:val="nil"/>
              <w:tr2bl w:val="nil"/>
            </w:tcBorders>
            <w:noWrap/>
            <w:textDirection w:val="lrTb"/>
            <w:vAlign w:val="center"/>
          </w:tcPr>
          <w:p w:rsidR="00327CDA" w:rsidRPr="0034371C" w:rsidP="00327CDA">
            <w:pPr>
              <w:spacing w:line="240" w:lineRule="auto"/>
              <w:jc w:val="right"/>
              <w:rPr>
                <w:rFonts w:ascii="Arial Narrow" w:hAnsi="Arial Narrow" w:cs="Arial"/>
                <w:color w:val="000000"/>
                <w:lang w:eastAsia="sk-SK"/>
              </w:rPr>
            </w:pPr>
            <w:r w:rsidRPr="0034371C">
              <w:rPr>
                <w:rFonts w:ascii="Arial Narrow" w:hAnsi="Arial Narrow" w:cs="Arial"/>
                <w:color w:val="000000"/>
                <w:lang w:eastAsia="sk-SK"/>
              </w:rPr>
              <w:t>10 506</w:t>
            </w:r>
          </w:p>
        </w:tc>
        <w:tc>
          <w:tcPr>
            <w:tcW w:w="1620" w:type="dxa"/>
            <w:tcBorders>
              <w:top w:val="nil"/>
              <w:left w:val="nil"/>
              <w:bottom w:val="single" w:sz="4" w:space="0" w:color="auto"/>
              <w:right w:val="single" w:sz="4" w:space="0" w:color="auto"/>
              <w:tl2br w:val="nil"/>
              <w:tr2bl w:val="nil"/>
            </w:tcBorders>
            <w:noWrap/>
            <w:textDirection w:val="lrTb"/>
            <w:vAlign w:val="center"/>
          </w:tcPr>
          <w:p w:rsidR="00327CDA" w:rsidRPr="0034371C" w:rsidP="00327CDA">
            <w:pPr>
              <w:spacing w:line="240" w:lineRule="auto"/>
              <w:jc w:val="right"/>
              <w:rPr>
                <w:rFonts w:ascii="Arial Narrow" w:hAnsi="Arial Narrow" w:cs="Arial"/>
                <w:color w:val="000000"/>
                <w:lang w:eastAsia="sk-SK"/>
              </w:rPr>
            </w:pPr>
            <w:r w:rsidRPr="0034371C">
              <w:rPr>
                <w:rFonts w:ascii="Arial Narrow" w:hAnsi="Arial Narrow" w:cs="Arial"/>
                <w:color w:val="000000"/>
                <w:lang w:eastAsia="sk-SK"/>
              </w:rPr>
              <w:t>2 792</w:t>
            </w:r>
          </w:p>
        </w:tc>
        <w:tc>
          <w:tcPr>
            <w:tcW w:w="4680" w:type="dxa"/>
            <w:tcBorders>
              <w:top w:val="nil"/>
              <w:left w:val="nil"/>
              <w:bottom w:val="single" w:sz="4" w:space="0" w:color="auto"/>
              <w:right w:val="single" w:sz="4" w:space="0" w:color="auto"/>
              <w:tl2br w:val="nil"/>
              <w:tr2bl w:val="nil"/>
            </w:tcBorders>
            <w:noWrap/>
            <w:textDirection w:val="lrTb"/>
            <w:vAlign w:val="center"/>
          </w:tcPr>
          <w:p w:rsidR="00327CDA" w:rsidRPr="0034371C" w:rsidP="00327CDA">
            <w:pPr>
              <w:spacing w:line="240" w:lineRule="auto"/>
              <w:rPr>
                <w:rFonts w:ascii="Arial Narrow" w:hAnsi="Arial Narrow" w:cs="Arial"/>
                <w:color w:val="000000"/>
                <w:lang w:eastAsia="sk-SK"/>
              </w:rPr>
            </w:pPr>
            <w:r w:rsidRPr="0034371C" w:rsidR="0034371C">
              <w:rPr>
                <w:rFonts w:ascii="Arial Narrow" w:hAnsi="Arial Narrow" w:cs="Arial"/>
                <w:color w:val="000000"/>
                <w:lang w:eastAsia="sk-SK"/>
              </w:rPr>
              <w:t>K</w:t>
            </w:r>
            <w:r w:rsidRPr="0034371C">
              <w:rPr>
                <w:rFonts w:ascii="Arial Narrow" w:hAnsi="Arial Narrow" w:cs="Arial"/>
                <w:color w:val="000000"/>
                <w:lang w:eastAsia="sk-SK"/>
              </w:rPr>
              <w:t>omplexný letiskový informačný systém - zaradenie do majetku</w:t>
            </w:r>
            <w:r w:rsidRPr="0034371C" w:rsidR="0034371C">
              <w:rPr>
                <w:rFonts w:ascii="Arial Narrow" w:hAnsi="Arial Narrow" w:cs="Arial"/>
                <w:color w:val="000000"/>
                <w:lang w:eastAsia="sk-SK"/>
              </w:rPr>
              <w:t>.</w:t>
            </w:r>
            <w:r w:rsidRPr="0034371C">
              <w:rPr>
                <w:rFonts w:ascii="Arial Narrow" w:hAnsi="Arial Narrow" w:cs="Arial"/>
                <w:color w:val="000000"/>
                <w:lang w:eastAsia="sk-SK"/>
              </w:rPr>
              <w:t xml:space="preserve"> </w:t>
            </w:r>
          </w:p>
        </w:tc>
      </w:tr>
      <w:tr>
        <w:tblPrEx>
          <w:tblW w:w="9900" w:type="dxa"/>
          <w:tblInd w:w="-290" w:type="dxa"/>
          <w:tblCellMar>
            <w:left w:w="70" w:type="dxa"/>
            <w:right w:w="70" w:type="dxa"/>
          </w:tblCellMar>
        </w:tblPrEx>
        <w:trPr>
          <w:trHeight w:val="570"/>
        </w:trPr>
        <w:tc>
          <w:tcPr>
            <w:tcW w:w="1980" w:type="dxa"/>
            <w:tcBorders>
              <w:top w:val="nil"/>
              <w:left w:val="single" w:sz="4" w:space="0" w:color="auto"/>
              <w:bottom w:val="single" w:sz="4" w:space="0" w:color="auto"/>
              <w:right w:val="single" w:sz="4" w:space="0" w:color="auto"/>
              <w:tl2br w:val="nil"/>
              <w:tr2bl w:val="nil"/>
            </w:tcBorders>
            <w:noWrap/>
            <w:textDirection w:val="lrTb"/>
            <w:vAlign w:val="center"/>
          </w:tcPr>
          <w:p w:rsidR="00327CDA" w:rsidRPr="0034371C" w:rsidP="00327CDA">
            <w:pPr>
              <w:spacing w:line="240" w:lineRule="auto"/>
              <w:rPr>
                <w:rFonts w:ascii="Arial Narrow" w:hAnsi="Arial Narrow" w:cs="Arial"/>
                <w:color w:val="000000"/>
                <w:lang w:eastAsia="sk-SK"/>
              </w:rPr>
            </w:pPr>
            <w:r w:rsidRPr="0034371C" w:rsidR="0034371C">
              <w:rPr>
                <w:rFonts w:ascii="Arial Narrow" w:hAnsi="Arial Narrow" w:cs="Arial"/>
                <w:color w:val="000000"/>
                <w:lang w:eastAsia="sk-SK"/>
              </w:rPr>
              <w:t>021 - S</w:t>
            </w:r>
            <w:r w:rsidRPr="0034371C">
              <w:rPr>
                <w:rFonts w:ascii="Arial Narrow" w:hAnsi="Arial Narrow" w:cs="Arial"/>
                <w:color w:val="000000"/>
                <w:lang w:eastAsia="sk-SK"/>
              </w:rPr>
              <w:t>tavby</w:t>
            </w:r>
          </w:p>
        </w:tc>
        <w:tc>
          <w:tcPr>
            <w:tcW w:w="1620" w:type="dxa"/>
            <w:tcBorders>
              <w:top w:val="nil"/>
              <w:left w:val="nil"/>
              <w:bottom w:val="single" w:sz="4" w:space="0" w:color="auto"/>
              <w:right w:val="single" w:sz="4" w:space="0" w:color="auto"/>
              <w:tl2br w:val="nil"/>
              <w:tr2bl w:val="nil"/>
            </w:tcBorders>
            <w:noWrap/>
            <w:textDirection w:val="lrTb"/>
            <w:vAlign w:val="center"/>
          </w:tcPr>
          <w:p w:rsidR="00327CDA" w:rsidRPr="0034371C" w:rsidP="00327CDA">
            <w:pPr>
              <w:spacing w:line="240" w:lineRule="auto"/>
              <w:jc w:val="right"/>
              <w:rPr>
                <w:rFonts w:ascii="Arial Narrow" w:hAnsi="Arial Narrow" w:cs="Arial"/>
                <w:color w:val="000000"/>
                <w:lang w:eastAsia="sk-SK"/>
              </w:rPr>
            </w:pPr>
            <w:r w:rsidRPr="0034371C">
              <w:rPr>
                <w:rFonts w:ascii="Arial Narrow" w:hAnsi="Arial Narrow" w:cs="Arial"/>
                <w:color w:val="000000"/>
                <w:lang w:eastAsia="sk-SK"/>
              </w:rPr>
              <w:t>2 190 819</w:t>
            </w:r>
          </w:p>
        </w:tc>
        <w:tc>
          <w:tcPr>
            <w:tcW w:w="1620" w:type="dxa"/>
            <w:tcBorders>
              <w:top w:val="nil"/>
              <w:left w:val="nil"/>
              <w:bottom w:val="single" w:sz="4" w:space="0" w:color="auto"/>
              <w:right w:val="single" w:sz="4" w:space="0" w:color="auto"/>
              <w:tl2br w:val="nil"/>
              <w:tr2bl w:val="nil"/>
            </w:tcBorders>
            <w:noWrap/>
            <w:textDirection w:val="lrTb"/>
            <w:vAlign w:val="center"/>
          </w:tcPr>
          <w:p w:rsidR="00327CDA" w:rsidRPr="0034371C" w:rsidP="00327CDA">
            <w:pPr>
              <w:spacing w:line="240" w:lineRule="auto"/>
              <w:jc w:val="right"/>
              <w:rPr>
                <w:rFonts w:ascii="Arial Narrow" w:hAnsi="Arial Narrow" w:cs="Arial"/>
                <w:color w:val="000000"/>
                <w:lang w:eastAsia="sk-SK"/>
              </w:rPr>
            </w:pPr>
            <w:r w:rsidRPr="0034371C">
              <w:rPr>
                <w:rFonts w:ascii="Arial Narrow" w:hAnsi="Arial Narrow" w:cs="Arial"/>
                <w:color w:val="000000"/>
                <w:lang w:eastAsia="sk-SK"/>
              </w:rPr>
              <w:t>2 003 772</w:t>
            </w:r>
          </w:p>
        </w:tc>
        <w:tc>
          <w:tcPr>
            <w:tcW w:w="4680" w:type="dxa"/>
            <w:tcBorders>
              <w:top w:val="nil"/>
              <w:left w:val="nil"/>
              <w:bottom w:val="single" w:sz="4" w:space="0" w:color="auto"/>
              <w:right w:val="single" w:sz="4" w:space="0" w:color="auto"/>
              <w:tl2br w:val="nil"/>
              <w:tr2bl w:val="nil"/>
            </w:tcBorders>
            <w:textDirection w:val="lrTb"/>
            <w:vAlign w:val="center"/>
          </w:tcPr>
          <w:p w:rsidR="00327CDA" w:rsidRPr="0034371C" w:rsidP="00327CDA">
            <w:pPr>
              <w:spacing w:line="240" w:lineRule="auto"/>
              <w:rPr>
                <w:rFonts w:ascii="Arial Narrow" w:hAnsi="Arial Narrow" w:cs="Arial"/>
                <w:color w:val="000000"/>
                <w:lang w:eastAsia="sk-SK"/>
              </w:rPr>
            </w:pPr>
            <w:r w:rsidRPr="0034371C" w:rsidR="0034371C">
              <w:rPr>
                <w:rFonts w:ascii="Arial Narrow" w:hAnsi="Arial Narrow" w:cs="Arial"/>
                <w:color w:val="000000"/>
                <w:lang w:eastAsia="sk-SK"/>
              </w:rPr>
              <w:t>S</w:t>
            </w:r>
            <w:r w:rsidRPr="0034371C">
              <w:rPr>
                <w:rFonts w:ascii="Arial Narrow" w:hAnsi="Arial Narrow" w:cs="Arial"/>
                <w:color w:val="000000"/>
                <w:lang w:eastAsia="sk-SK"/>
              </w:rPr>
              <w:t>tavebné úpravy</w:t>
            </w:r>
            <w:r w:rsidRPr="0034371C" w:rsidR="0034371C">
              <w:rPr>
                <w:rFonts w:ascii="Arial Narrow" w:hAnsi="Arial Narrow" w:cs="Arial"/>
                <w:color w:val="000000"/>
                <w:lang w:eastAsia="sk-SK"/>
              </w:rPr>
              <w:t xml:space="preserve"> a výstavba nových priestorov (n</w:t>
            </w:r>
            <w:r w:rsidRPr="0034371C">
              <w:rPr>
                <w:rFonts w:ascii="Arial Narrow" w:hAnsi="Arial Narrow" w:cs="Arial"/>
                <w:color w:val="000000"/>
                <w:lang w:eastAsia="sk-SK"/>
              </w:rPr>
              <w:t>ástupné prsty) v súvislosti so v</w:t>
            </w:r>
            <w:r w:rsidRPr="0034371C" w:rsidR="0034371C">
              <w:rPr>
                <w:rFonts w:ascii="Arial Narrow" w:hAnsi="Arial Narrow" w:cs="Arial"/>
                <w:color w:val="000000"/>
                <w:lang w:eastAsia="sk-SK"/>
              </w:rPr>
              <w:t>stupom Slovenskej republiky do s</w:t>
            </w:r>
            <w:r w:rsidRPr="0034371C">
              <w:rPr>
                <w:rFonts w:ascii="Arial Narrow" w:hAnsi="Arial Narrow" w:cs="Arial"/>
                <w:color w:val="000000"/>
                <w:lang w:eastAsia="sk-SK"/>
              </w:rPr>
              <w:t>chengenského priestoru</w:t>
            </w:r>
            <w:r w:rsidRPr="0034371C" w:rsidR="0034371C">
              <w:rPr>
                <w:rFonts w:ascii="Arial Narrow" w:hAnsi="Arial Narrow" w:cs="Arial"/>
                <w:color w:val="000000"/>
                <w:lang w:eastAsia="sk-SK"/>
              </w:rPr>
              <w:t>.</w:t>
            </w:r>
            <w:r w:rsidRPr="0034371C">
              <w:rPr>
                <w:rFonts w:ascii="Arial Narrow" w:hAnsi="Arial Narrow" w:cs="Arial"/>
                <w:color w:val="000000"/>
                <w:lang w:eastAsia="sk-SK"/>
              </w:rPr>
              <w:t xml:space="preserve"> </w:t>
            </w:r>
          </w:p>
        </w:tc>
      </w:tr>
      <w:tr>
        <w:tblPrEx>
          <w:tblW w:w="9900" w:type="dxa"/>
          <w:tblInd w:w="-290" w:type="dxa"/>
          <w:tblCellMar>
            <w:left w:w="70" w:type="dxa"/>
            <w:right w:w="70" w:type="dxa"/>
          </w:tblCellMar>
        </w:tblPrEx>
        <w:trPr>
          <w:trHeight w:val="855"/>
        </w:trPr>
        <w:tc>
          <w:tcPr>
            <w:tcW w:w="1980" w:type="dxa"/>
            <w:tcBorders>
              <w:top w:val="nil"/>
              <w:left w:val="single" w:sz="4" w:space="0" w:color="auto"/>
              <w:bottom w:val="single" w:sz="4" w:space="0" w:color="auto"/>
              <w:right w:val="single" w:sz="4" w:space="0" w:color="auto"/>
              <w:tl2br w:val="nil"/>
              <w:tr2bl w:val="nil"/>
            </w:tcBorders>
            <w:textDirection w:val="lrTb"/>
            <w:vAlign w:val="center"/>
          </w:tcPr>
          <w:p w:rsidR="00327CDA" w:rsidRPr="0034371C" w:rsidP="00327CDA">
            <w:pPr>
              <w:spacing w:line="240" w:lineRule="auto"/>
              <w:rPr>
                <w:rFonts w:ascii="Arial Narrow" w:hAnsi="Arial Narrow" w:cs="Arial"/>
                <w:color w:val="000000"/>
                <w:lang w:eastAsia="sk-SK"/>
              </w:rPr>
            </w:pPr>
            <w:r w:rsidRPr="0034371C" w:rsidR="0034371C">
              <w:rPr>
                <w:rFonts w:ascii="Arial Narrow" w:hAnsi="Arial Narrow" w:cs="Arial"/>
                <w:color w:val="000000"/>
                <w:lang w:eastAsia="sk-SK"/>
              </w:rPr>
              <w:t>022 - S</w:t>
            </w:r>
            <w:r w:rsidRPr="0034371C">
              <w:rPr>
                <w:rFonts w:ascii="Arial Narrow" w:hAnsi="Arial Narrow" w:cs="Arial"/>
                <w:color w:val="000000"/>
                <w:lang w:eastAsia="sk-SK"/>
              </w:rPr>
              <w:t>amostatné hnuteľné veci a súbory hnuteľných vecí</w:t>
            </w:r>
          </w:p>
        </w:tc>
        <w:tc>
          <w:tcPr>
            <w:tcW w:w="1620" w:type="dxa"/>
            <w:tcBorders>
              <w:top w:val="nil"/>
              <w:left w:val="nil"/>
              <w:bottom w:val="single" w:sz="4" w:space="0" w:color="auto"/>
              <w:right w:val="single" w:sz="4" w:space="0" w:color="auto"/>
              <w:tl2br w:val="nil"/>
              <w:tr2bl w:val="nil"/>
            </w:tcBorders>
            <w:noWrap/>
            <w:textDirection w:val="lrTb"/>
            <w:vAlign w:val="center"/>
          </w:tcPr>
          <w:p w:rsidR="00327CDA" w:rsidRPr="0034371C" w:rsidP="00327CDA">
            <w:pPr>
              <w:spacing w:line="240" w:lineRule="auto"/>
              <w:jc w:val="right"/>
              <w:rPr>
                <w:rFonts w:ascii="Arial Narrow" w:hAnsi="Arial Narrow" w:cs="Arial"/>
                <w:color w:val="000000"/>
                <w:lang w:eastAsia="sk-SK"/>
              </w:rPr>
            </w:pPr>
            <w:r w:rsidRPr="0034371C">
              <w:rPr>
                <w:rFonts w:ascii="Arial Narrow" w:hAnsi="Arial Narrow" w:cs="Arial"/>
                <w:color w:val="000000"/>
                <w:lang w:eastAsia="sk-SK"/>
              </w:rPr>
              <w:t>471 403</w:t>
            </w:r>
          </w:p>
        </w:tc>
        <w:tc>
          <w:tcPr>
            <w:tcW w:w="1620" w:type="dxa"/>
            <w:tcBorders>
              <w:top w:val="nil"/>
              <w:left w:val="nil"/>
              <w:bottom w:val="single" w:sz="4" w:space="0" w:color="auto"/>
              <w:right w:val="single" w:sz="4" w:space="0" w:color="auto"/>
              <w:tl2br w:val="nil"/>
              <w:tr2bl w:val="nil"/>
            </w:tcBorders>
            <w:noWrap/>
            <w:textDirection w:val="lrTb"/>
            <w:vAlign w:val="center"/>
          </w:tcPr>
          <w:p w:rsidR="00327CDA" w:rsidRPr="0034371C" w:rsidP="00327CDA">
            <w:pPr>
              <w:spacing w:line="240" w:lineRule="auto"/>
              <w:jc w:val="right"/>
              <w:rPr>
                <w:rFonts w:ascii="Arial Narrow" w:hAnsi="Arial Narrow" w:cs="Arial"/>
                <w:color w:val="000000"/>
                <w:lang w:eastAsia="sk-SK"/>
              </w:rPr>
            </w:pPr>
            <w:r w:rsidRPr="0034371C">
              <w:rPr>
                <w:rFonts w:ascii="Arial Narrow" w:hAnsi="Arial Narrow" w:cs="Arial"/>
                <w:color w:val="000000"/>
                <w:lang w:eastAsia="sk-SK"/>
              </w:rPr>
              <w:t>412 394</w:t>
            </w:r>
          </w:p>
        </w:tc>
        <w:tc>
          <w:tcPr>
            <w:tcW w:w="4680" w:type="dxa"/>
            <w:tcBorders>
              <w:top w:val="nil"/>
              <w:left w:val="nil"/>
              <w:bottom w:val="single" w:sz="4" w:space="0" w:color="auto"/>
              <w:right w:val="single" w:sz="4" w:space="0" w:color="auto"/>
              <w:tl2br w:val="nil"/>
              <w:tr2bl w:val="nil"/>
            </w:tcBorders>
            <w:textDirection w:val="lrTb"/>
            <w:vAlign w:val="center"/>
          </w:tcPr>
          <w:p w:rsidR="00327CDA" w:rsidRPr="0034371C" w:rsidP="00327CDA">
            <w:pPr>
              <w:spacing w:line="240" w:lineRule="auto"/>
              <w:rPr>
                <w:rFonts w:ascii="Arial Narrow" w:hAnsi="Arial Narrow" w:cs="Arial"/>
                <w:color w:val="000000"/>
                <w:lang w:eastAsia="sk-SK"/>
              </w:rPr>
            </w:pPr>
            <w:r w:rsidRPr="0034371C" w:rsidR="0034371C">
              <w:rPr>
                <w:rFonts w:ascii="Arial Narrow" w:hAnsi="Arial Narrow" w:cs="Arial"/>
                <w:color w:val="000000"/>
                <w:lang w:eastAsia="sk-SK"/>
              </w:rPr>
              <w:t>Z</w:t>
            </w:r>
            <w:r w:rsidRPr="0034371C">
              <w:rPr>
                <w:rFonts w:ascii="Arial Narrow" w:hAnsi="Arial Narrow" w:cs="Arial"/>
                <w:color w:val="000000"/>
                <w:lang w:eastAsia="sk-SK"/>
              </w:rPr>
              <w:t>aradenie obstaraného  majetku</w:t>
            </w:r>
            <w:r w:rsidRPr="0034371C" w:rsidR="0034371C">
              <w:rPr>
                <w:rFonts w:ascii="Arial Narrow" w:hAnsi="Arial Narrow" w:cs="Arial"/>
                <w:color w:val="000000"/>
                <w:lang w:eastAsia="sk-SK"/>
              </w:rPr>
              <w:t>.</w:t>
            </w:r>
          </w:p>
        </w:tc>
      </w:tr>
      <w:tr>
        <w:tblPrEx>
          <w:tblW w:w="9900" w:type="dxa"/>
          <w:tblInd w:w="-290" w:type="dxa"/>
          <w:tblCellMar>
            <w:left w:w="70" w:type="dxa"/>
            <w:right w:w="70" w:type="dxa"/>
          </w:tblCellMar>
        </w:tblPrEx>
        <w:trPr>
          <w:trHeight w:val="855"/>
        </w:trPr>
        <w:tc>
          <w:tcPr>
            <w:tcW w:w="1980" w:type="dxa"/>
            <w:tcBorders>
              <w:top w:val="nil"/>
              <w:left w:val="single" w:sz="4" w:space="0" w:color="auto"/>
              <w:bottom w:val="single" w:sz="4" w:space="0" w:color="auto"/>
              <w:right w:val="single" w:sz="4" w:space="0" w:color="auto"/>
              <w:tl2br w:val="nil"/>
              <w:tr2bl w:val="nil"/>
            </w:tcBorders>
            <w:textDirection w:val="lrTb"/>
            <w:vAlign w:val="center"/>
          </w:tcPr>
          <w:p w:rsidR="00327CDA" w:rsidRPr="0034371C" w:rsidP="00327CDA">
            <w:pPr>
              <w:spacing w:line="240" w:lineRule="auto"/>
              <w:rPr>
                <w:rFonts w:ascii="Arial Narrow" w:hAnsi="Arial Narrow" w:cs="Arial"/>
                <w:color w:val="000000"/>
                <w:lang w:eastAsia="sk-SK"/>
              </w:rPr>
            </w:pPr>
            <w:r w:rsidRPr="0034371C">
              <w:rPr>
                <w:rFonts w:ascii="Arial Narrow" w:hAnsi="Arial Narrow" w:cs="Arial"/>
                <w:color w:val="000000"/>
                <w:lang w:eastAsia="sk-SK"/>
              </w:rPr>
              <w:t>042 -</w:t>
            </w:r>
            <w:r w:rsidRPr="0034371C" w:rsidR="0034371C">
              <w:rPr>
                <w:rFonts w:ascii="Arial Narrow" w:hAnsi="Arial Narrow" w:cs="Arial"/>
                <w:color w:val="000000"/>
                <w:lang w:eastAsia="sk-SK"/>
              </w:rPr>
              <w:t xml:space="preserve"> Obstarávaný</w:t>
            </w:r>
            <w:r w:rsidRPr="0034371C">
              <w:rPr>
                <w:rFonts w:ascii="Arial Narrow" w:hAnsi="Arial Narrow" w:cs="Arial"/>
                <w:color w:val="000000"/>
                <w:lang w:eastAsia="sk-SK"/>
              </w:rPr>
              <w:t xml:space="preserve"> dlhodobý hmotný majetok</w:t>
            </w:r>
          </w:p>
        </w:tc>
        <w:tc>
          <w:tcPr>
            <w:tcW w:w="1620" w:type="dxa"/>
            <w:tcBorders>
              <w:top w:val="nil"/>
              <w:left w:val="nil"/>
              <w:bottom w:val="single" w:sz="4" w:space="0" w:color="auto"/>
              <w:right w:val="single" w:sz="4" w:space="0" w:color="auto"/>
              <w:tl2br w:val="nil"/>
              <w:tr2bl w:val="nil"/>
            </w:tcBorders>
            <w:noWrap/>
            <w:textDirection w:val="lrTb"/>
            <w:vAlign w:val="center"/>
          </w:tcPr>
          <w:p w:rsidR="00327CDA" w:rsidRPr="0034371C" w:rsidP="00327CDA">
            <w:pPr>
              <w:spacing w:line="240" w:lineRule="auto"/>
              <w:jc w:val="right"/>
              <w:rPr>
                <w:rFonts w:ascii="Arial Narrow" w:hAnsi="Arial Narrow" w:cs="Arial"/>
                <w:color w:val="000000"/>
                <w:lang w:eastAsia="sk-SK"/>
              </w:rPr>
            </w:pPr>
            <w:r w:rsidRPr="0034371C">
              <w:rPr>
                <w:rFonts w:ascii="Arial Narrow" w:hAnsi="Arial Narrow" w:cs="Arial"/>
                <w:color w:val="000000"/>
                <w:lang w:eastAsia="sk-SK"/>
              </w:rPr>
              <w:t>14 252</w:t>
            </w:r>
          </w:p>
        </w:tc>
        <w:tc>
          <w:tcPr>
            <w:tcW w:w="1620" w:type="dxa"/>
            <w:tcBorders>
              <w:top w:val="nil"/>
              <w:left w:val="nil"/>
              <w:bottom w:val="single" w:sz="4" w:space="0" w:color="auto"/>
              <w:right w:val="single" w:sz="4" w:space="0" w:color="auto"/>
              <w:tl2br w:val="nil"/>
              <w:tr2bl w:val="nil"/>
            </w:tcBorders>
            <w:noWrap/>
            <w:textDirection w:val="lrTb"/>
            <w:vAlign w:val="center"/>
          </w:tcPr>
          <w:p w:rsidR="00327CDA" w:rsidRPr="0034371C" w:rsidP="00327CDA">
            <w:pPr>
              <w:spacing w:line="240" w:lineRule="auto"/>
              <w:jc w:val="right"/>
              <w:rPr>
                <w:rFonts w:ascii="Arial Narrow" w:hAnsi="Arial Narrow" w:cs="Arial"/>
                <w:color w:val="000000"/>
                <w:lang w:eastAsia="sk-SK"/>
              </w:rPr>
            </w:pPr>
            <w:r w:rsidRPr="0034371C">
              <w:rPr>
                <w:rFonts w:ascii="Arial Narrow" w:hAnsi="Arial Narrow" w:cs="Arial"/>
                <w:color w:val="000000"/>
                <w:lang w:eastAsia="sk-SK"/>
              </w:rPr>
              <w:t>166 635</w:t>
            </w:r>
          </w:p>
        </w:tc>
        <w:tc>
          <w:tcPr>
            <w:tcW w:w="4680" w:type="dxa"/>
            <w:tcBorders>
              <w:top w:val="nil"/>
              <w:left w:val="nil"/>
              <w:bottom w:val="single" w:sz="4" w:space="0" w:color="auto"/>
              <w:right w:val="single" w:sz="4" w:space="0" w:color="auto"/>
              <w:tl2br w:val="nil"/>
              <w:tr2bl w:val="nil"/>
            </w:tcBorders>
            <w:textDirection w:val="lrTb"/>
            <w:vAlign w:val="center"/>
          </w:tcPr>
          <w:p w:rsidR="00327CDA" w:rsidRPr="0034371C" w:rsidP="00327CDA">
            <w:pPr>
              <w:spacing w:line="240" w:lineRule="auto"/>
              <w:rPr>
                <w:rFonts w:ascii="Arial Narrow" w:hAnsi="Arial Narrow" w:cs="Arial"/>
                <w:color w:val="000000"/>
                <w:lang w:eastAsia="sk-SK"/>
              </w:rPr>
            </w:pPr>
            <w:r w:rsidRPr="0034371C" w:rsidR="0034371C">
              <w:rPr>
                <w:rFonts w:ascii="Arial Narrow" w:hAnsi="Arial Narrow" w:cs="Arial"/>
                <w:color w:val="000000"/>
                <w:lang w:eastAsia="sk-SK"/>
              </w:rPr>
              <w:t>Z</w:t>
            </w:r>
            <w:r w:rsidRPr="0034371C">
              <w:rPr>
                <w:rFonts w:ascii="Arial Narrow" w:hAnsi="Arial Narrow" w:cs="Arial"/>
                <w:color w:val="000000"/>
                <w:lang w:eastAsia="sk-SK"/>
              </w:rPr>
              <w:t>aradenie do majetku letiskovej spoločnosti (príletová</w:t>
            </w:r>
            <w:r w:rsidR="0034371C">
              <w:rPr>
                <w:rFonts w:ascii="Arial Narrow" w:hAnsi="Arial Narrow" w:cs="Arial"/>
                <w:color w:val="000000"/>
                <w:lang w:eastAsia="sk-SK"/>
              </w:rPr>
              <w:t xml:space="preserve"> hala, nástupné prsty, rekonštru</w:t>
            </w:r>
            <w:r w:rsidRPr="0034371C">
              <w:rPr>
                <w:rFonts w:ascii="Arial Narrow" w:hAnsi="Arial Narrow" w:cs="Arial"/>
                <w:color w:val="000000"/>
                <w:lang w:eastAsia="sk-SK"/>
              </w:rPr>
              <w:t>kcia vn</w:t>
            </w:r>
            <w:r w:rsidR="0034371C">
              <w:rPr>
                <w:rFonts w:ascii="Arial Narrow" w:hAnsi="Arial Narrow" w:cs="Arial"/>
                <w:color w:val="000000"/>
                <w:lang w:eastAsia="sk-SK"/>
              </w:rPr>
              <w:t xml:space="preserve">útorných priestorov vybavovacej </w:t>
            </w:r>
            <w:r w:rsidRPr="0034371C">
              <w:rPr>
                <w:rFonts w:ascii="Arial Narrow" w:hAnsi="Arial Narrow" w:cs="Arial"/>
                <w:color w:val="000000"/>
                <w:lang w:eastAsia="sk-SK"/>
              </w:rPr>
              <w:t>budovy, stroje a vozidlá)</w:t>
            </w:r>
          </w:p>
        </w:tc>
      </w:tr>
      <w:tr>
        <w:tblPrEx>
          <w:tblW w:w="9900" w:type="dxa"/>
          <w:tblInd w:w="-290" w:type="dxa"/>
          <w:tblCellMar>
            <w:left w:w="70" w:type="dxa"/>
            <w:right w:w="70" w:type="dxa"/>
          </w:tblCellMar>
        </w:tblPrEx>
        <w:trPr>
          <w:trHeight w:val="855"/>
        </w:trPr>
        <w:tc>
          <w:tcPr>
            <w:tcW w:w="1980" w:type="dxa"/>
            <w:tcBorders>
              <w:top w:val="nil"/>
              <w:left w:val="single" w:sz="4" w:space="0" w:color="auto"/>
              <w:bottom w:val="single" w:sz="4" w:space="0" w:color="auto"/>
              <w:right w:val="single" w:sz="4" w:space="0" w:color="auto"/>
              <w:tl2br w:val="nil"/>
              <w:tr2bl w:val="nil"/>
            </w:tcBorders>
            <w:textDirection w:val="lrTb"/>
            <w:vAlign w:val="center"/>
          </w:tcPr>
          <w:p w:rsidR="00327CDA" w:rsidRPr="0034371C" w:rsidP="00327CDA">
            <w:pPr>
              <w:spacing w:line="240" w:lineRule="auto"/>
              <w:rPr>
                <w:rFonts w:ascii="Arial Narrow" w:hAnsi="Arial Narrow" w:cs="Arial"/>
                <w:color w:val="000000"/>
                <w:lang w:eastAsia="sk-SK"/>
              </w:rPr>
            </w:pPr>
            <w:r w:rsidRPr="0034371C" w:rsidR="0034371C">
              <w:rPr>
                <w:rFonts w:ascii="Arial Narrow" w:hAnsi="Arial Narrow" w:cs="Arial"/>
                <w:color w:val="000000"/>
                <w:lang w:eastAsia="sk-SK"/>
              </w:rPr>
              <w:t>052 - P</w:t>
            </w:r>
            <w:r w:rsidRPr="0034371C">
              <w:rPr>
                <w:rFonts w:ascii="Arial Narrow" w:hAnsi="Arial Narrow" w:cs="Arial"/>
                <w:color w:val="000000"/>
                <w:lang w:eastAsia="sk-SK"/>
              </w:rPr>
              <w:t>oskytnuté preddavky na dlhodobý hmotný majetok</w:t>
            </w:r>
          </w:p>
        </w:tc>
        <w:tc>
          <w:tcPr>
            <w:tcW w:w="1620" w:type="dxa"/>
            <w:tcBorders>
              <w:top w:val="nil"/>
              <w:left w:val="nil"/>
              <w:bottom w:val="single" w:sz="4" w:space="0" w:color="auto"/>
              <w:right w:val="single" w:sz="4" w:space="0" w:color="auto"/>
              <w:tl2br w:val="nil"/>
              <w:tr2bl w:val="nil"/>
            </w:tcBorders>
            <w:noWrap/>
            <w:textDirection w:val="lrTb"/>
            <w:vAlign w:val="center"/>
          </w:tcPr>
          <w:p w:rsidR="00327CDA" w:rsidRPr="0034371C" w:rsidP="00327CDA">
            <w:pPr>
              <w:spacing w:line="240" w:lineRule="auto"/>
              <w:jc w:val="right"/>
              <w:rPr>
                <w:rFonts w:ascii="Arial Narrow" w:hAnsi="Arial Narrow" w:cs="Arial"/>
                <w:color w:val="000000"/>
                <w:lang w:eastAsia="sk-SK"/>
              </w:rPr>
            </w:pPr>
            <w:r w:rsidRPr="0034371C">
              <w:rPr>
                <w:rFonts w:ascii="Arial Narrow" w:hAnsi="Arial Narrow" w:cs="Arial"/>
                <w:color w:val="000000"/>
                <w:lang w:eastAsia="sk-SK"/>
              </w:rPr>
              <w:t>27 907</w:t>
            </w:r>
          </w:p>
        </w:tc>
        <w:tc>
          <w:tcPr>
            <w:tcW w:w="1620" w:type="dxa"/>
            <w:tcBorders>
              <w:top w:val="nil"/>
              <w:left w:val="nil"/>
              <w:bottom w:val="single" w:sz="4" w:space="0" w:color="auto"/>
              <w:right w:val="single" w:sz="4" w:space="0" w:color="auto"/>
              <w:tl2br w:val="nil"/>
              <w:tr2bl w:val="nil"/>
            </w:tcBorders>
            <w:noWrap/>
            <w:textDirection w:val="lrTb"/>
            <w:vAlign w:val="center"/>
          </w:tcPr>
          <w:p w:rsidR="00327CDA" w:rsidRPr="0034371C" w:rsidP="00327CDA">
            <w:pPr>
              <w:spacing w:line="240" w:lineRule="auto"/>
              <w:jc w:val="right"/>
              <w:rPr>
                <w:rFonts w:ascii="Arial Narrow" w:hAnsi="Arial Narrow" w:cs="Arial"/>
                <w:color w:val="000000"/>
                <w:lang w:eastAsia="sk-SK"/>
              </w:rPr>
            </w:pPr>
            <w:r w:rsidRPr="0034371C">
              <w:rPr>
                <w:rFonts w:ascii="Arial Narrow" w:hAnsi="Arial Narrow" w:cs="Arial"/>
                <w:color w:val="000000"/>
                <w:lang w:eastAsia="sk-SK"/>
              </w:rPr>
              <w:t>54</w:t>
            </w:r>
          </w:p>
        </w:tc>
        <w:tc>
          <w:tcPr>
            <w:tcW w:w="4680" w:type="dxa"/>
            <w:tcBorders>
              <w:top w:val="nil"/>
              <w:left w:val="nil"/>
              <w:bottom w:val="single" w:sz="4" w:space="0" w:color="auto"/>
              <w:right w:val="single" w:sz="4" w:space="0" w:color="auto"/>
              <w:tl2br w:val="nil"/>
              <w:tr2bl w:val="nil"/>
            </w:tcBorders>
            <w:textDirection w:val="lrTb"/>
            <w:vAlign w:val="center"/>
          </w:tcPr>
          <w:p w:rsidR="00327CDA" w:rsidRPr="0034371C" w:rsidP="00327CDA">
            <w:pPr>
              <w:spacing w:line="240" w:lineRule="auto"/>
              <w:rPr>
                <w:rFonts w:ascii="Arial Narrow" w:hAnsi="Arial Narrow" w:cs="Arial"/>
                <w:color w:val="000000"/>
                <w:lang w:eastAsia="sk-SK"/>
              </w:rPr>
            </w:pPr>
            <w:r w:rsidRPr="0034371C" w:rsidR="0034371C">
              <w:rPr>
                <w:rFonts w:ascii="Arial Narrow" w:hAnsi="Arial Narrow" w:cs="Arial"/>
                <w:color w:val="000000"/>
                <w:lang w:eastAsia="sk-SK"/>
              </w:rPr>
              <w:t>P</w:t>
            </w:r>
            <w:r w:rsidRPr="0034371C">
              <w:rPr>
                <w:rFonts w:ascii="Arial Narrow" w:hAnsi="Arial Narrow" w:cs="Arial"/>
                <w:color w:val="000000"/>
                <w:lang w:eastAsia="sk-SK"/>
              </w:rPr>
              <w:t>oskytnuté preddavky na rekonšt</w:t>
            </w:r>
            <w:r w:rsidR="0034371C">
              <w:rPr>
                <w:rFonts w:ascii="Arial Narrow" w:hAnsi="Arial Narrow" w:cs="Arial"/>
                <w:color w:val="000000"/>
                <w:lang w:eastAsia="sk-SK"/>
              </w:rPr>
              <w:t>r</w:t>
            </w:r>
            <w:r w:rsidRPr="0034371C">
              <w:rPr>
                <w:rFonts w:ascii="Arial Narrow" w:hAnsi="Arial Narrow" w:cs="Arial"/>
                <w:color w:val="000000"/>
                <w:lang w:eastAsia="sk-SK"/>
              </w:rPr>
              <w:t>ukciu strechy na vybavovacej budove, rozšírenie parkoviska</w:t>
            </w:r>
            <w:r w:rsidRPr="0034371C" w:rsidR="0034371C">
              <w:rPr>
                <w:rFonts w:ascii="Arial Narrow" w:hAnsi="Arial Narrow" w:cs="Arial"/>
                <w:color w:val="000000"/>
                <w:lang w:eastAsia="sk-SK"/>
              </w:rPr>
              <w:t>.</w:t>
            </w:r>
          </w:p>
        </w:tc>
      </w:tr>
      <w:tr>
        <w:tblPrEx>
          <w:tblW w:w="9900" w:type="dxa"/>
          <w:tblInd w:w="-290" w:type="dxa"/>
          <w:tblCellMar>
            <w:left w:w="70" w:type="dxa"/>
            <w:right w:w="70" w:type="dxa"/>
          </w:tblCellMar>
        </w:tblPrEx>
        <w:trPr>
          <w:trHeight w:val="1275"/>
        </w:trPr>
        <w:tc>
          <w:tcPr>
            <w:tcW w:w="1980" w:type="dxa"/>
            <w:tcBorders>
              <w:top w:val="nil"/>
              <w:left w:val="single" w:sz="4" w:space="0" w:color="auto"/>
              <w:bottom w:val="single" w:sz="4" w:space="0" w:color="auto"/>
              <w:right w:val="single" w:sz="4" w:space="0" w:color="auto"/>
              <w:tl2br w:val="nil"/>
              <w:tr2bl w:val="nil"/>
            </w:tcBorders>
            <w:noWrap/>
            <w:textDirection w:val="lrTb"/>
            <w:vAlign w:val="center"/>
          </w:tcPr>
          <w:p w:rsidR="00327CDA" w:rsidRPr="0034371C" w:rsidP="00327CDA">
            <w:pPr>
              <w:spacing w:line="240" w:lineRule="auto"/>
              <w:rPr>
                <w:rFonts w:ascii="Arial Narrow" w:hAnsi="Arial Narrow" w:cs="Arial"/>
                <w:color w:val="000000"/>
                <w:lang w:eastAsia="sk-SK"/>
              </w:rPr>
            </w:pPr>
            <w:r w:rsidRPr="0034371C" w:rsidR="0034371C">
              <w:rPr>
                <w:rFonts w:ascii="Arial Narrow" w:hAnsi="Arial Narrow" w:cs="Arial"/>
                <w:color w:val="000000"/>
                <w:lang w:eastAsia="sk-SK"/>
              </w:rPr>
              <w:t>474 - Z</w:t>
            </w:r>
            <w:r w:rsidRPr="0034371C">
              <w:rPr>
                <w:rFonts w:ascii="Arial Narrow" w:hAnsi="Arial Narrow" w:cs="Arial"/>
                <w:color w:val="000000"/>
                <w:lang w:eastAsia="sk-SK"/>
              </w:rPr>
              <w:t>áväzky</w:t>
            </w:r>
          </w:p>
        </w:tc>
        <w:tc>
          <w:tcPr>
            <w:tcW w:w="1620" w:type="dxa"/>
            <w:tcBorders>
              <w:top w:val="nil"/>
              <w:left w:val="nil"/>
              <w:bottom w:val="single" w:sz="4" w:space="0" w:color="auto"/>
              <w:right w:val="single" w:sz="4" w:space="0" w:color="auto"/>
              <w:tl2br w:val="nil"/>
              <w:tr2bl w:val="nil"/>
            </w:tcBorders>
            <w:noWrap/>
            <w:textDirection w:val="lrTb"/>
            <w:vAlign w:val="center"/>
          </w:tcPr>
          <w:p w:rsidR="00327CDA" w:rsidRPr="0034371C" w:rsidP="00327CDA">
            <w:pPr>
              <w:spacing w:line="240" w:lineRule="auto"/>
              <w:jc w:val="right"/>
              <w:rPr>
                <w:rFonts w:ascii="Arial Narrow" w:hAnsi="Arial Narrow" w:cs="Arial"/>
                <w:color w:val="000000"/>
                <w:lang w:eastAsia="sk-SK"/>
              </w:rPr>
            </w:pPr>
            <w:r w:rsidRPr="0034371C">
              <w:rPr>
                <w:rFonts w:ascii="Arial Narrow" w:hAnsi="Arial Narrow" w:cs="Arial"/>
                <w:color w:val="000000"/>
                <w:lang w:eastAsia="sk-SK"/>
              </w:rPr>
              <w:t>153 661</w:t>
            </w:r>
          </w:p>
        </w:tc>
        <w:tc>
          <w:tcPr>
            <w:tcW w:w="1620" w:type="dxa"/>
            <w:tcBorders>
              <w:top w:val="nil"/>
              <w:left w:val="nil"/>
              <w:bottom w:val="single" w:sz="4" w:space="0" w:color="auto"/>
              <w:right w:val="single" w:sz="4" w:space="0" w:color="auto"/>
              <w:tl2br w:val="nil"/>
              <w:tr2bl w:val="nil"/>
            </w:tcBorders>
            <w:noWrap/>
            <w:textDirection w:val="lrTb"/>
            <w:vAlign w:val="center"/>
          </w:tcPr>
          <w:p w:rsidR="00327CDA" w:rsidRPr="0034371C" w:rsidP="00327CDA">
            <w:pPr>
              <w:spacing w:line="240" w:lineRule="auto"/>
              <w:jc w:val="right"/>
              <w:rPr>
                <w:rFonts w:ascii="Arial Narrow" w:hAnsi="Arial Narrow" w:cs="Arial"/>
                <w:color w:val="000000"/>
                <w:lang w:eastAsia="sk-SK"/>
              </w:rPr>
            </w:pPr>
            <w:r w:rsidRPr="0034371C">
              <w:rPr>
                <w:rFonts w:ascii="Arial Narrow" w:hAnsi="Arial Narrow" w:cs="Arial"/>
                <w:color w:val="000000"/>
                <w:lang w:eastAsia="sk-SK"/>
              </w:rPr>
              <w:t>87 737</w:t>
            </w:r>
          </w:p>
        </w:tc>
        <w:tc>
          <w:tcPr>
            <w:tcW w:w="4680" w:type="dxa"/>
            <w:tcBorders>
              <w:top w:val="nil"/>
              <w:left w:val="nil"/>
              <w:bottom w:val="single" w:sz="4" w:space="0" w:color="auto"/>
              <w:right w:val="single" w:sz="4" w:space="0" w:color="auto"/>
              <w:tl2br w:val="nil"/>
              <w:tr2bl w:val="nil"/>
            </w:tcBorders>
            <w:textDirection w:val="lrTb"/>
            <w:vAlign w:val="center"/>
          </w:tcPr>
          <w:p w:rsidR="00327CDA" w:rsidRPr="0034371C" w:rsidP="00327CDA">
            <w:pPr>
              <w:spacing w:line="240" w:lineRule="auto"/>
              <w:rPr>
                <w:rFonts w:ascii="Arial Narrow" w:hAnsi="Arial Narrow" w:cs="Arial"/>
                <w:color w:val="000000"/>
                <w:lang w:eastAsia="sk-SK"/>
              </w:rPr>
            </w:pPr>
            <w:r w:rsidRPr="0034371C" w:rsidR="0034371C">
              <w:rPr>
                <w:rFonts w:ascii="Arial Narrow" w:hAnsi="Arial Narrow" w:cs="Arial"/>
                <w:color w:val="000000"/>
                <w:lang w:eastAsia="sk-SK"/>
              </w:rPr>
              <w:t>L</w:t>
            </w:r>
            <w:r w:rsidRPr="0034371C">
              <w:rPr>
                <w:rFonts w:ascii="Arial Narrow" w:hAnsi="Arial Narrow" w:cs="Arial"/>
                <w:color w:val="000000"/>
                <w:lang w:eastAsia="sk-SK"/>
              </w:rPr>
              <w:t>easing  mechanizmov na zabezpečenie prevádzky a bezpečnosti letiska a cestujúcich (medzi najväčšie patrí: systém HBS na kontrolu a dopravu batožiny, schody k lietadlám, letiskový autobus, toaletné vozidlo, ťahač lietadiel, požiarnické vozidlo, snehové frézy, letiskový zametač)</w:t>
            </w:r>
            <w:r w:rsidRPr="0034371C" w:rsidR="0034371C">
              <w:rPr>
                <w:rFonts w:ascii="Arial Narrow" w:hAnsi="Arial Narrow" w:cs="Arial"/>
                <w:color w:val="000000"/>
                <w:lang w:eastAsia="sk-SK"/>
              </w:rPr>
              <w:t>.</w:t>
            </w:r>
          </w:p>
        </w:tc>
      </w:tr>
      <w:tr>
        <w:tblPrEx>
          <w:tblW w:w="9900" w:type="dxa"/>
          <w:tblInd w:w="-290" w:type="dxa"/>
          <w:tblCellMar>
            <w:left w:w="70" w:type="dxa"/>
            <w:right w:w="70" w:type="dxa"/>
          </w:tblCellMar>
        </w:tblPrEx>
        <w:trPr>
          <w:trHeight w:hRule="exact" w:val="567"/>
        </w:trPr>
        <w:tc>
          <w:tcPr>
            <w:tcW w:w="1980" w:type="dxa"/>
            <w:tcBorders>
              <w:top w:val="nil"/>
              <w:left w:val="single" w:sz="4" w:space="0" w:color="auto"/>
              <w:bottom w:val="single" w:sz="4" w:space="0" w:color="auto"/>
              <w:right w:val="single" w:sz="4" w:space="0" w:color="auto"/>
              <w:tl2br w:val="nil"/>
              <w:tr2bl w:val="nil"/>
            </w:tcBorders>
            <w:textDirection w:val="lrTb"/>
            <w:vAlign w:val="center"/>
          </w:tcPr>
          <w:p w:rsidR="00327CDA" w:rsidRPr="0034371C" w:rsidP="00327CDA">
            <w:pPr>
              <w:spacing w:line="240" w:lineRule="auto"/>
              <w:rPr>
                <w:rFonts w:ascii="Arial Narrow" w:hAnsi="Arial Narrow" w:cs="Arial"/>
                <w:color w:val="000000"/>
                <w:lang w:eastAsia="sk-SK"/>
              </w:rPr>
            </w:pPr>
            <w:r w:rsidRPr="0034371C" w:rsidR="0034371C">
              <w:rPr>
                <w:rFonts w:ascii="Arial Narrow" w:hAnsi="Arial Narrow" w:cs="Arial"/>
                <w:color w:val="000000"/>
                <w:lang w:eastAsia="sk-SK"/>
              </w:rPr>
              <w:t>421 - Z</w:t>
            </w:r>
            <w:r w:rsidRPr="0034371C">
              <w:rPr>
                <w:rFonts w:ascii="Arial Narrow" w:hAnsi="Arial Narrow" w:cs="Arial"/>
                <w:color w:val="000000"/>
                <w:lang w:eastAsia="sk-SK"/>
              </w:rPr>
              <w:t>ákonný rezervný fond</w:t>
            </w:r>
          </w:p>
        </w:tc>
        <w:tc>
          <w:tcPr>
            <w:tcW w:w="1620" w:type="dxa"/>
            <w:tcBorders>
              <w:top w:val="nil"/>
              <w:left w:val="nil"/>
              <w:bottom w:val="single" w:sz="4" w:space="0" w:color="auto"/>
              <w:right w:val="single" w:sz="4" w:space="0" w:color="auto"/>
              <w:tl2br w:val="nil"/>
              <w:tr2bl w:val="nil"/>
            </w:tcBorders>
            <w:noWrap/>
            <w:textDirection w:val="lrTb"/>
            <w:vAlign w:val="center"/>
          </w:tcPr>
          <w:p w:rsidR="00327CDA" w:rsidRPr="0034371C" w:rsidP="00327CDA">
            <w:pPr>
              <w:spacing w:line="240" w:lineRule="auto"/>
              <w:jc w:val="right"/>
              <w:rPr>
                <w:rFonts w:ascii="Arial Narrow" w:hAnsi="Arial Narrow" w:cs="Arial"/>
                <w:color w:val="000000"/>
                <w:lang w:eastAsia="sk-SK"/>
              </w:rPr>
            </w:pPr>
            <w:r w:rsidRPr="0034371C">
              <w:rPr>
                <w:rFonts w:ascii="Arial Narrow" w:hAnsi="Arial Narrow" w:cs="Arial"/>
                <w:color w:val="000000"/>
                <w:lang w:eastAsia="sk-SK"/>
              </w:rPr>
              <w:t>5 934</w:t>
            </w:r>
          </w:p>
        </w:tc>
        <w:tc>
          <w:tcPr>
            <w:tcW w:w="1620" w:type="dxa"/>
            <w:tcBorders>
              <w:top w:val="nil"/>
              <w:left w:val="nil"/>
              <w:bottom w:val="single" w:sz="4" w:space="0" w:color="auto"/>
              <w:right w:val="single" w:sz="4" w:space="0" w:color="auto"/>
              <w:tl2br w:val="nil"/>
              <w:tr2bl w:val="nil"/>
            </w:tcBorders>
            <w:noWrap/>
            <w:textDirection w:val="lrTb"/>
            <w:vAlign w:val="center"/>
          </w:tcPr>
          <w:p w:rsidR="00327CDA" w:rsidRPr="0034371C" w:rsidP="00327CDA">
            <w:pPr>
              <w:spacing w:line="240" w:lineRule="auto"/>
              <w:jc w:val="right"/>
              <w:rPr>
                <w:rFonts w:ascii="Arial Narrow" w:hAnsi="Arial Narrow" w:cs="Arial"/>
                <w:color w:val="000000"/>
                <w:lang w:eastAsia="sk-SK"/>
              </w:rPr>
            </w:pPr>
            <w:r w:rsidRPr="0034371C">
              <w:rPr>
                <w:rFonts w:ascii="Arial Narrow" w:hAnsi="Arial Narrow" w:cs="Arial"/>
                <w:color w:val="000000"/>
                <w:lang w:eastAsia="sk-SK"/>
              </w:rPr>
              <w:t>3 917</w:t>
            </w:r>
          </w:p>
        </w:tc>
        <w:tc>
          <w:tcPr>
            <w:tcW w:w="4680" w:type="dxa"/>
            <w:tcBorders>
              <w:top w:val="nil"/>
              <w:left w:val="nil"/>
              <w:bottom w:val="single" w:sz="4" w:space="0" w:color="auto"/>
              <w:right w:val="single" w:sz="4" w:space="0" w:color="auto"/>
              <w:tl2br w:val="nil"/>
              <w:tr2bl w:val="nil"/>
            </w:tcBorders>
            <w:textDirection w:val="lrTb"/>
            <w:vAlign w:val="center"/>
          </w:tcPr>
          <w:p w:rsidR="00327CDA" w:rsidRPr="0034371C" w:rsidP="00327CDA">
            <w:pPr>
              <w:spacing w:line="240" w:lineRule="auto"/>
              <w:rPr>
                <w:rFonts w:ascii="Arial Narrow" w:hAnsi="Arial Narrow" w:cs="Arial"/>
                <w:color w:val="000000"/>
                <w:lang w:eastAsia="sk-SK"/>
              </w:rPr>
            </w:pPr>
            <w:r w:rsidRPr="0034371C">
              <w:rPr>
                <w:rFonts w:ascii="Arial Narrow" w:hAnsi="Arial Narrow" w:cs="Arial"/>
                <w:color w:val="000000"/>
                <w:lang w:eastAsia="sk-SK"/>
              </w:rPr>
              <w:t>10</w:t>
            </w:r>
            <w:r w:rsidRPr="0034371C" w:rsidR="0034371C">
              <w:rPr>
                <w:rFonts w:ascii="Arial Narrow" w:hAnsi="Arial Narrow" w:cs="Arial"/>
                <w:color w:val="000000"/>
                <w:lang w:eastAsia="sk-SK"/>
              </w:rPr>
              <w:t xml:space="preserve"> </w:t>
            </w:r>
            <w:r w:rsidRPr="0034371C">
              <w:rPr>
                <w:rFonts w:ascii="Arial Narrow" w:hAnsi="Arial Narrow" w:cs="Arial"/>
                <w:color w:val="000000"/>
                <w:lang w:eastAsia="sk-SK"/>
              </w:rPr>
              <w:t xml:space="preserve">% </w:t>
            </w:r>
            <w:r w:rsidR="0034371C">
              <w:rPr>
                <w:rFonts w:ascii="Arial Narrow" w:hAnsi="Arial Narrow" w:cs="Arial"/>
                <w:color w:val="000000"/>
                <w:lang w:eastAsia="sk-SK"/>
              </w:rPr>
              <w:t>prídel z rozdeleného hospodárske</w:t>
            </w:r>
            <w:r w:rsidRPr="0034371C">
              <w:rPr>
                <w:rFonts w:ascii="Arial Narrow" w:hAnsi="Arial Narrow" w:cs="Arial"/>
                <w:color w:val="000000"/>
                <w:lang w:eastAsia="sk-SK"/>
              </w:rPr>
              <w:t>ho výsledku (zisku) z ro</w:t>
            </w:r>
            <w:r w:rsidRPr="0034371C" w:rsidR="0034371C">
              <w:rPr>
                <w:rFonts w:ascii="Arial Narrow" w:hAnsi="Arial Narrow" w:cs="Arial"/>
                <w:color w:val="000000"/>
                <w:lang w:eastAsia="sk-SK"/>
              </w:rPr>
              <w:t>ku 2006.</w:t>
            </w:r>
            <w:r w:rsidRPr="0034371C">
              <w:rPr>
                <w:rFonts w:ascii="Arial Narrow" w:hAnsi="Arial Narrow" w:cs="Arial"/>
                <w:color w:val="000000"/>
                <w:lang w:eastAsia="sk-SK"/>
              </w:rPr>
              <w:t xml:space="preserve"> </w:t>
            </w:r>
          </w:p>
        </w:tc>
      </w:tr>
      <w:tr>
        <w:tblPrEx>
          <w:tblW w:w="9900" w:type="dxa"/>
          <w:tblInd w:w="-290" w:type="dxa"/>
          <w:tblCellMar>
            <w:left w:w="70" w:type="dxa"/>
            <w:right w:w="70" w:type="dxa"/>
          </w:tblCellMar>
        </w:tblPrEx>
        <w:trPr>
          <w:trHeight w:hRule="exact" w:val="567"/>
        </w:trPr>
        <w:tc>
          <w:tcPr>
            <w:tcW w:w="1980" w:type="dxa"/>
            <w:tcBorders>
              <w:top w:val="nil"/>
              <w:left w:val="single" w:sz="4" w:space="0" w:color="auto"/>
              <w:bottom w:val="single" w:sz="4" w:space="0" w:color="auto"/>
              <w:right w:val="single" w:sz="4" w:space="0" w:color="auto"/>
              <w:tl2br w:val="nil"/>
              <w:tr2bl w:val="nil"/>
            </w:tcBorders>
            <w:textDirection w:val="lrTb"/>
            <w:vAlign w:val="center"/>
          </w:tcPr>
          <w:p w:rsidR="00327CDA" w:rsidRPr="0034371C" w:rsidP="00327CDA">
            <w:pPr>
              <w:spacing w:line="240" w:lineRule="auto"/>
              <w:rPr>
                <w:rFonts w:ascii="Arial Narrow" w:hAnsi="Arial Narrow" w:cs="Arial"/>
                <w:color w:val="000000"/>
                <w:lang w:eastAsia="sk-SK"/>
              </w:rPr>
            </w:pPr>
            <w:r w:rsidRPr="0034371C" w:rsidR="0034371C">
              <w:rPr>
                <w:rFonts w:ascii="Arial Narrow" w:hAnsi="Arial Narrow" w:cs="Arial"/>
                <w:color w:val="000000"/>
                <w:lang w:eastAsia="sk-SK"/>
              </w:rPr>
              <w:t>429  - N</w:t>
            </w:r>
            <w:r w:rsidRPr="0034371C">
              <w:rPr>
                <w:rFonts w:ascii="Arial Narrow" w:hAnsi="Arial Narrow" w:cs="Arial"/>
                <w:color w:val="000000"/>
                <w:lang w:eastAsia="sk-SK"/>
              </w:rPr>
              <w:t>euhradená strata minulých rokov</w:t>
            </w:r>
          </w:p>
        </w:tc>
        <w:tc>
          <w:tcPr>
            <w:tcW w:w="1620" w:type="dxa"/>
            <w:tcBorders>
              <w:top w:val="nil"/>
              <w:left w:val="nil"/>
              <w:bottom w:val="single" w:sz="4" w:space="0" w:color="auto"/>
              <w:right w:val="single" w:sz="4" w:space="0" w:color="auto"/>
              <w:tl2br w:val="nil"/>
              <w:tr2bl w:val="nil"/>
            </w:tcBorders>
            <w:noWrap/>
            <w:textDirection w:val="lrTb"/>
            <w:vAlign w:val="center"/>
          </w:tcPr>
          <w:p w:rsidR="00327CDA" w:rsidRPr="0034371C" w:rsidP="00327CDA">
            <w:pPr>
              <w:spacing w:line="240" w:lineRule="auto"/>
              <w:jc w:val="right"/>
              <w:rPr>
                <w:rFonts w:ascii="Arial Narrow" w:hAnsi="Arial Narrow" w:cs="Arial"/>
                <w:color w:val="000000"/>
                <w:lang w:eastAsia="sk-SK"/>
              </w:rPr>
            </w:pPr>
            <w:r w:rsidRPr="0034371C">
              <w:rPr>
                <w:rFonts w:ascii="Arial Narrow" w:hAnsi="Arial Narrow" w:cs="Arial"/>
                <w:color w:val="000000"/>
                <w:lang w:eastAsia="sk-SK"/>
              </w:rPr>
              <w:t>-613 091</w:t>
            </w:r>
          </w:p>
        </w:tc>
        <w:tc>
          <w:tcPr>
            <w:tcW w:w="1620" w:type="dxa"/>
            <w:tcBorders>
              <w:top w:val="nil"/>
              <w:left w:val="nil"/>
              <w:bottom w:val="single" w:sz="4" w:space="0" w:color="auto"/>
              <w:right w:val="single" w:sz="4" w:space="0" w:color="auto"/>
              <w:tl2br w:val="nil"/>
              <w:tr2bl w:val="nil"/>
            </w:tcBorders>
            <w:noWrap/>
            <w:textDirection w:val="lrTb"/>
            <w:vAlign w:val="center"/>
          </w:tcPr>
          <w:p w:rsidR="00327CDA" w:rsidRPr="0034371C" w:rsidP="00327CDA">
            <w:pPr>
              <w:spacing w:line="240" w:lineRule="auto"/>
              <w:jc w:val="right"/>
              <w:rPr>
                <w:rFonts w:ascii="Arial Narrow" w:hAnsi="Arial Narrow" w:cs="Arial"/>
                <w:color w:val="000000"/>
                <w:lang w:eastAsia="sk-SK"/>
              </w:rPr>
            </w:pPr>
            <w:r w:rsidRPr="0034371C">
              <w:rPr>
                <w:rFonts w:ascii="Arial Narrow" w:hAnsi="Arial Narrow" w:cs="Arial"/>
                <w:color w:val="000000"/>
                <w:lang w:eastAsia="sk-SK"/>
              </w:rPr>
              <w:t>-631 048</w:t>
            </w:r>
          </w:p>
        </w:tc>
        <w:tc>
          <w:tcPr>
            <w:tcW w:w="4680" w:type="dxa"/>
            <w:tcBorders>
              <w:top w:val="nil"/>
              <w:left w:val="nil"/>
              <w:bottom w:val="single" w:sz="4" w:space="0" w:color="auto"/>
              <w:right w:val="single" w:sz="4" w:space="0" w:color="auto"/>
              <w:tl2br w:val="nil"/>
              <w:tr2bl w:val="nil"/>
            </w:tcBorders>
            <w:noWrap/>
            <w:textDirection w:val="lrTb"/>
            <w:vAlign w:val="center"/>
          </w:tcPr>
          <w:p w:rsidR="00327CDA" w:rsidRPr="0034371C" w:rsidP="00327CDA">
            <w:pPr>
              <w:spacing w:line="240" w:lineRule="auto"/>
              <w:rPr>
                <w:rFonts w:ascii="Arial Narrow" w:hAnsi="Arial Narrow" w:cs="Arial"/>
                <w:color w:val="000000"/>
                <w:lang w:eastAsia="sk-SK"/>
              </w:rPr>
            </w:pPr>
            <w:r w:rsidRPr="0034371C" w:rsidR="0034371C">
              <w:rPr>
                <w:rFonts w:ascii="Arial Narrow" w:hAnsi="Arial Narrow" w:cs="Arial"/>
                <w:color w:val="000000"/>
                <w:lang w:eastAsia="sk-SK"/>
              </w:rPr>
              <w:t>Z</w:t>
            </w:r>
            <w:r w:rsidRPr="0034371C">
              <w:rPr>
                <w:rFonts w:ascii="Arial Narrow" w:hAnsi="Arial Narrow" w:cs="Arial"/>
                <w:color w:val="000000"/>
                <w:lang w:eastAsia="sk-SK"/>
              </w:rPr>
              <w:t>níženie straty o zaúčtovanie zisku z</w:t>
            </w:r>
            <w:r w:rsidR="008614A3">
              <w:rPr>
                <w:rFonts w:ascii="Arial Narrow" w:hAnsi="Arial Narrow" w:cs="Arial"/>
                <w:color w:val="000000"/>
                <w:lang w:eastAsia="sk-SK"/>
              </w:rPr>
              <w:t> </w:t>
            </w:r>
            <w:r w:rsidRPr="0034371C">
              <w:rPr>
                <w:rFonts w:ascii="Arial Narrow" w:hAnsi="Arial Narrow" w:cs="Arial"/>
                <w:color w:val="000000"/>
                <w:lang w:eastAsia="sk-SK"/>
              </w:rPr>
              <w:t>roku 2006</w:t>
            </w:r>
            <w:r w:rsidR="0034371C">
              <w:rPr>
                <w:rFonts w:ascii="Arial Narrow" w:hAnsi="Arial Narrow" w:cs="Arial"/>
                <w:color w:val="000000"/>
                <w:lang w:eastAsia="sk-SK"/>
              </w:rPr>
              <w:t>.</w:t>
            </w:r>
          </w:p>
        </w:tc>
      </w:tr>
      <w:tr>
        <w:tblPrEx>
          <w:tblW w:w="9900" w:type="dxa"/>
          <w:tblInd w:w="-290" w:type="dxa"/>
          <w:tblCellMar>
            <w:left w:w="70" w:type="dxa"/>
            <w:right w:w="70" w:type="dxa"/>
          </w:tblCellMar>
        </w:tblPrEx>
        <w:trPr>
          <w:trHeight w:hRule="exact" w:val="567"/>
        </w:trPr>
        <w:tc>
          <w:tcPr>
            <w:tcW w:w="1980" w:type="dxa"/>
            <w:tcBorders>
              <w:top w:val="nil"/>
              <w:left w:val="single" w:sz="4" w:space="0" w:color="auto"/>
              <w:bottom w:val="single" w:sz="4" w:space="0" w:color="auto"/>
              <w:right w:val="single" w:sz="4" w:space="0" w:color="auto"/>
              <w:tl2br w:val="nil"/>
              <w:tr2bl w:val="nil"/>
            </w:tcBorders>
            <w:textDirection w:val="lrTb"/>
            <w:vAlign w:val="center"/>
          </w:tcPr>
          <w:p w:rsidR="00327CDA" w:rsidRPr="0034371C" w:rsidP="00327CDA">
            <w:pPr>
              <w:spacing w:line="240" w:lineRule="auto"/>
              <w:rPr>
                <w:rFonts w:ascii="Arial Narrow" w:hAnsi="Arial Narrow" w:cs="Arial"/>
                <w:color w:val="000000"/>
                <w:lang w:eastAsia="sk-SK"/>
              </w:rPr>
            </w:pPr>
            <w:r w:rsidRPr="0034371C" w:rsidR="0034371C">
              <w:rPr>
                <w:rFonts w:ascii="Arial Narrow" w:hAnsi="Arial Narrow" w:cs="Arial"/>
                <w:color w:val="000000"/>
                <w:lang w:eastAsia="sk-SK"/>
              </w:rPr>
              <w:t>323 - K</w:t>
            </w:r>
            <w:r w:rsidRPr="0034371C">
              <w:rPr>
                <w:rFonts w:ascii="Arial Narrow" w:hAnsi="Arial Narrow" w:cs="Arial"/>
                <w:color w:val="000000"/>
                <w:lang w:eastAsia="sk-SK"/>
              </w:rPr>
              <w:t>rátkodobé rezervy</w:t>
            </w:r>
          </w:p>
        </w:tc>
        <w:tc>
          <w:tcPr>
            <w:tcW w:w="1620" w:type="dxa"/>
            <w:tcBorders>
              <w:top w:val="nil"/>
              <w:left w:val="nil"/>
              <w:bottom w:val="single" w:sz="4" w:space="0" w:color="auto"/>
              <w:right w:val="single" w:sz="4" w:space="0" w:color="auto"/>
              <w:tl2br w:val="nil"/>
              <w:tr2bl w:val="nil"/>
            </w:tcBorders>
            <w:noWrap/>
            <w:textDirection w:val="lrTb"/>
            <w:vAlign w:val="center"/>
          </w:tcPr>
          <w:p w:rsidR="00327CDA" w:rsidRPr="0034371C" w:rsidP="00327CDA">
            <w:pPr>
              <w:spacing w:line="240" w:lineRule="auto"/>
              <w:jc w:val="right"/>
              <w:rPr>
                <w:rFonts w:ascii="Arial Narrow" w:hAnsi="Arial Narrow" w:cs="Arial"/>
                <w:color w:val="000000"/>
                <w:lang w:eastAsia="sk-SK"/>
              </w:rPr>
            </w:pPr>
            <w:r w:rsidRPr="0034371C">
              <w:rPr>
                <w:rFonts w:ascii="Arial Narrow" w:hAnsi="Arial Narrow" w:cs="Arial"/>
                <w:color w:val="000000"/>
                <w:lang w:eastAsia="sk-SK"/>
              </w:rPr>
              <w:t>33 195</w:t>
            </w:r>
          </w:p>
        </w:tc>
        <w:tc>
          <w:tcPr>
            <w:tcW w:w="1620" w:type="dxa"/>
            <w:tcBorders>
              <w:top w:val="nil"/>
              <w:left w:val="nil"/>
              <w:bottom w:val="single" w:sz="4" w:space="0" w:color="auto"/>
              <w:right w:val="single" w:sz="4" w:space="0" w:color="auto"/>
              <w:tl2br w:val="nil"/>
              <w:tr2bl w:val="nil"/>
            </w:tcBorders>
            <w:noWrap/>
            <w:textDirection w:val="lrTb"/>
            <w:vAlign w:val="center"/>
          </w:tcPr>
          <w:p w:rsidR="00327CDA" w:rsidRPr="0034371C" w:rsidP="00327CDA">
            <w:pPr>
              <w:spacing w:line="240" w:lineRule="auto"/>
              <w:jc w:val="right"/>
              <w:rPr>
                <w:rFonts w:ascii="Arial Narrow" w:hAnsi="Arial Narrow" w:cs="Arial"/>
                <w:color w:val="000000"/>
                <w:lang w:eastAsia="sk-SK"/>
              </w:rPr>
            </w:pPr>
            <w:r w:rsidRPr="0034371C">
              <w:rPr>
                <w:rFonts w:ascii="Arial Narrow" w:hAnsi="Arial Narrow" w:cs="Arial"/>
                <w:color w:val="000000"/>
                <w:lang w:eastAsia="sk-SK"/>
              </w:rPr>
              <w:t>122 274</w:t>
            </w:r>
          </w:p>
        </w:tc>
        <w:tc>
          <w:tcPr>
            <w:tcW w:w="4680" w:type="dxa"/>
            <w:tcBorders>
              <w:top w:val="nil"/>
              <w:left w:val="nil"/>
              <w:bottom w:val="single" w:sz="4" w:space="0" w:color="auto"/>
              <w:right w:val="single" w:sz="4" w:space="0" w:color="auto"/>
              <w:tl2br w:val="nil"/>
              <w:tr2bl w:val="nil"/>
            </w:tcBorders>
            <w:noWrap/>
            <w:textDirection w:val="lrTb"/>
            <w:vAlign w:val="center"/>
          </w:tcPr>
          <w:p w:rsidR="00327CDA" w:rsidRPr="0034371C" w:rsidP="00327CDA">
            <w:pPr>
              <w:spacing w:line="240" w:lineRule="auto"/>
              <w:rPr>
                <w:rFonts w:ascii="Arial Narrow" w:hAnsi="Arial Narrow" w:cs="Arial"/>
                <w:color w:val="000000"/>
                <w:lang w:eastAsia="sk-SK"/>
              </w:rPr>
            </w:pPr>
            <w:r w:rsidRPr="0034371C" w:rsidR="0034371C">
              <w:rPr>
                <w:rFonts w:ascii="Arial Narrow" w:hAnsi="Arial Narrow" w:cs="Arial"/>
                <w:color w:val="000000"/>
                <w:lang w:eastAsia="sk-SK"/>
              </w:rPr>
              <w:t>H</w:t>
            </w:r>
            <w:r w:rsidRPr="0034371C">
              <w:rPr>
                <w:rFonts w:ascii="Arial Narrow" w:hAnsi="Arial Narrow" w:cs="Arial"/>
                <w:color w:val="000000"/>
                <w:lang w:eastAsia="sk-SK"/>
              </w:rPr>
              <w:t>lavne vysporiadanie pohľa</w:t>
            </w:r>
            <w:r w:rsidR="0034371C">
              <w:rPr>
                <w:rFonts w:ascii="Arial Narrow" w:hAnsi="Arial Narrow" w:cs="Arial"/>
                <w:color w:val="000000"/>
                <w:lang w:eastAsia="sk-SK"/>
              </w:rPr>
              <w:t>dávok a záväzkov  so SkyEurope A</w:t>
            </w:r>
            <w:r w:rsidRPr="0034371C">
              <w:rPr>
                <w:rFonts w:ascii="Arial Narrow" w:hAnsi="Arial Narrow" w:cs="Arial"/>
                <w:color w:val="000000"/>
                <w:lang w:eastAsia="sk-SK"/>
              </w:rPr>
              <w:t>irlines</w:t>
            </w:r>
            <w:r w:rsidRPr="0034371C" w:rsidR="0034371C">
              <w:rPr>
                <w:rFonts w:ascii="Arial Narrow" w:hAnsi="Arial Narrow" w:cs="Arial"/>
                <w:color w:val="000000"/>
                <w:lang w:eastAsia="sk-SK"/>
              </w:rPr>
              <w:t>.</w:t>
            </w:r>
          </w:p>
        </w:tc>
      </w:tr>
      <w:tr>
        <w:tblPrEx>
          <w:tblW w:w="9900" w:type="dxa"/>
          <w:tblInd w:w="-290" w:type="dxa"/>
          <w:tblCellMar>
            <w:left w:w="70" w:type="dxa"/>
            <w:right w:w="70" w:type="dxa"/>
          </w:tblCellMar>
        </w:tblPrEx>
        <w:trPr>
          <w:trHeight w:val="855"/>
        </w:trPr>
        <w:tc>
          <w:tcPr>
            <w:tcW w:w="1980" w:type="dxa"/>
            <w:tcBorders>
              <w:top w:val="nil"/>
              <w:left w:val="single" w:sz="4" w:space="0" w:color="auto"/>
              <w:bottom w:val="single" w:sz="4" w:space="0" w:color="auto"/>
              <w:right w:val="single" w:sz="4" w:space="0" w:color="auto"/>
              <w:tl2br w:val="nil"/>
              <w:tr2bl w:val="nil"/>
            </w:tcBorders>
            <w:textDirection w:val="lrTb"/>
            <w:vAlign w:val="center"/>
          </w:tcPr>
          <w:p w:rsidR="00327CDA" w:rsidRPr="0034371C" w:rsidP="00327CDA">
            <w:pPr>
              <w:spacing w:line="240" w:lineRule="auto"/>
              <w:rPr>
                <w:rFonts w:ascii="Arial Narrow" w:hAnsi="Arial Narrow" w:cs="Arial"/>
                <w:color w:val="000000"/>
                <w:lang w:eastAsia="sk-SK"/>
              </w:rPr>
            </w:pPr>
            <w:r w:rsidRPr="0034371C" w:rsidR="0034371C">
              <w:rPr>
                <w:rFonts w:ascii="Arial Narrow" w:hAnsi="Arial Narrow" w:cs="Arial"/>
                <w:color w:val="000000"/>
                <w:lang w:eastAsia="sk-SK"/>
              </w:rPr>
              <w:t>384 - V</w:t>
            </w:r>
            <w:r w:rsidRPr="0034371C">
              <w:rPr>
                <w:rFonts w:ascii="Arial Narrow" w:hAnsi="Arial Narrow" w:cs="Arial"/>
                <w:color w:val="000000"/>
                <w:lang w:eastAsia="sk-SK"/>
              </w:rPr>
              <w:t>ýdavky budúcich období</w:t>
            </w:r>
          </w:p>
        </w:tc>
        <w:tc>
          <w:tcPr>
            <w:tcW w:w="1620" w:type="dxa"/>
            <w:tcBorders>
              <w:top w:val="nil"/>
              <w:left w:val="nil"/>
              <w:bottom w:val="single" w:sz="4" w:space="0" w:color="auto"/>
              <w:right w:val="single" w:sz="4" w:space="0" w:color="auto"/>
              <w:tl2br w:val="nil"/>
              <w:tr2bl w:val="nil"/>
            </w:tcBorders>
            <w:noWrap/>
            <w:textDirection w:val="lrTb"/>
            <w:vAlign w:val="center"/>
          </w:tcPr>
          <w:p w:rsidR="00327CDA" w:rsidRPr="0034371C" w:rsidP="00327CDA">
            <w:pPr>
              <w:spacing w:line="240" w:lineRule="auto"/>
              <w:jc w:val="right"/>
              <w:rPr>
                <w:rFonts w:ascii="Arial Narrow" w:hAnsi="Arial Narrow" w:cs="Arial"/>
                <w:color w:val="000000"/>
                <w:lang w:eastAsia="sk-SK"/>
              </w:rPr>
            </w:pPr>
            <w:r w:rsidRPr="0034371C">
              <w:rPr>
                <w:rFonts w:ascii="Arial Narrow" w:hAnsi="Arial Narrow" w:cs="Arial"/>
                <w:color w:val="000000"/>
                <w:lang w:eastAsia="sk-SK"/>
              </w:rPr>
              <w:t>279 766</w:t>
            </w:r>
          </w:p>
        </w:tc>
        <w:tc>
          <w:tcPr>
            <w:tcW w:w="1620" w:type="dxa"/>
            <w:tcBorders>
              <w:top w:val="nil"/>
              <w:left w:val="nil"/>
              <w:bottom w:val="single" w:sz="4" w:space="0" w:color="auto"/>
              <w:right w:val="single" w:sz="4" w:space="0" w:color="auto"/>
              <w:tl2br w:val="nil"/>
              <w:tr2bl w:val="nil"/>
            </w:tcBorders>
            <w:noWrap/>
            <w:textDirection w:val="lrTb"/>
            <w:vAlign w:val="center"/>
          </w:tcPr>
          <w:p w:rsidR="00327CDA" w:rsidRPr="0034371C" w:rsidP="00327CDA">
            <w:pPr>
              <w:spacing w:line="240" w:lineRule="auto"/>
              <w:jc w:val="right"/>
              <w:rPr>
                <w:rFonts w:ascii="Arial Narrow" w:hAnsi="Arial Narrow" w:cs="Arial"/>
                <w:color w:val="000000"/>
                <w:lang w:eastAsia="sk-SK"/>
              </w:rPr>
            </w:pPr>
            <w:r w:rsidRPr="0034371C">
              <w:rPr>
                <w:rFonts w:ascii="Arial Narrow" w:hAnsi="Arial Narrow" w:cs="Arial"/>
                <w:color w:val="000000"/>
                <w:lang w:eastAsia="sk-SK"/>
              </w:rPr>
              <w:t>35 995</w:t>
            </w:r>
          </w:p>
        </w:tc>
        <w:tc>
          <w:tcPr>
            <w:tcW w:w="4680" w:type="dxa"/>
            <w:tcBorders>
              <w:top w:val="nil"/>
              <w:left w:val="nil"/>
              <w:bottom w:val="single" w:sz="4" w:space="0" w:color="auto"/>
              <w:right w:val="single" w:sz="4" w:space="0" w:color="auto"/>
              <w:tl2br w:val="nil"/>
              <w:tr2bl w:val="nil"/>
            </w:tcBorders>
            <w:textDirection w:val="lrTb"/>
            <w:vAlign w:val="center"/>
          </w:tcPr>
          <w:p w:rsidR="00327CDA" w:rsidRPr="0034371C" w:rsidP="00327CDA">
            <w:pPr>
              <w:spacing w:line="240" w:lineRule="auto"/>
              <w:rPr>
                <w:rFonts w:ascii="Arial Narrow" w:hAnsi="Arial Narrow" w:cs="Arial"/>
                <w:color w:val="000000"/>
                <w:lang w:eastAsia="sk-SK"/>
              </w:rPr>
            </w:pPr>
            <w:r w:rsidRPr="0034371C" w:rsidR="0034371C">
              <w:rPr>
                <w:rFonts w:ascii="Arial Narrow" w:hAnsi="Arial Narrow" w:cs="Arial"/>
                <w:color w:val="000000"/>
                <w:lang w:eastAsia="sk-SK"/>
              </w:rPr>
              <w:t>D</w:t>
            </w:r>
            <w:r w:rsidRPr="0034371C">
              <w:rPr>
                <w:rFonts w:ascii="Arial Narrow" w:hAnsi="Arial Narrow" w:cs="Arial"/>
                <w:color w:val="000000"/>
                <w:lang w:eastAsia="sk-SK"/>
              </w:rPr>
              <w:t>otáci</w:t>
            </w:r>
            <w:r w:rsidRPr="0034371C" w:rsidR="0034371C">
              <w:rPr>
                <w:rFonts w:ascii="Arial Narrow" w:hAnsi="Arial Narrow" w:cs="Arial"/>
                <w:color w:val="000000"/>
                <w:lang w:eastAsia="sk-SK"/>
              </w:rPr>
              <w:t>e na schengenské úpravy, rozpúšť</w:t>
            </w:r>
            <w:r w:rsidRPr="0034371C">
              <w:rPr>
                <w:rFonts w:ascii="Arial Narrow" w:hAnsi="Arial Narrow" w:cs="Arial"/>
                <w:color w:val="000000"/>
                <w:lang w:eastAsia="sk-SK"/>
              </w:rPr>
              <w:t>anie bude vo výške odpisov (dotácia na objekt Cargo, nástupné prsty, oplotenie a prístavbu príletovej haly)</w:t>
            </w:r>
            <w:r w:rsidRPr="0034371C" w:rsidR="0034371C">
              <w:rPr>
                <w:rFonts w:ascii="Arial Narrow" w:hAnsi="Arial Narrow" w:cs="Arial"/>
                <w:color w:val="000000"/>
                <w:lang w:eastAsia="sk-SK"/>
              </w:rPr>
              <w:t>.</w:t>
            </w:r>
          </w:p>
        </w:tc>
      </w:tr>
      <w:tr>
        <w:tblPrEx>
          <w:tblW w:w="9900" w:type="dxa"/>
          <w:tblInd w:w="-290" w:type="dxa"/>
          <w:tblCellMar>
            <w:left w:w="70" w:type="dxa"/>
            <w:right w:w="70" w:type="dxa"/>
          </w:tblCellMar>
        </w:tblPrEx>
        <w:trPr>
          <w:trHeight w:val="285"/>
        </w:trPr>
        <w:tc>
          <w:tcPr>
            <w:tcW w:w="1980" w:type="dxa"/>
            <w:tcBorders>
              <w:top w:val="nil"/>
              <w:left w:val="single" w:sz="4" w:space="0" w:color="auto"/>
              <w:bottom w:val="single" w:sz="4" w:space="0" w:color="auto"/>
              <w:right w:val="single" w:sz="4" w:space="0" w:color="auto"/>
              <w:tl2br w:val="nil"/>
              <w:tr2bl w:val="nil"/>
            </w:tcBorders>
            <w:noWrap/>
            <w:textDirection w:val="lrTb"/>
            <w:vAlign w:val="center"/>
          </w:tcPr>
          <w:p w:rsidR="00327CDA" w:rsidRPr="0034371C" w:rsidP="00327CDA">
            <w:pPr>
              <w:spacing w:line="240" w:lineRule="auto"/>
              <w:rPr>
                <w:rFonts w:ascii="Arial Narrow" w:hAnsi="Arial Narrow" w:cs="Arial"/>
                <w:color w:val="000000"/>
                <w:lang w:eastAsia="sk-SK"/>
              </w:rPr>
            </w:pPr>
            <w:r w:rsidRPr="0034371C">
              <w:rPr>
                <w:rFonts w:ascii="Arial Narrow" w:hAnsi="Arial Narrow" w:cs="Arial"/>
                <w:color w:val="000000"/>
                <w:lang w:eastAsia="sk-SK"/>
              </w:rPr>
              <w:t>Aktíva celkom</w:t>
            </w:r>
          </w:p>
        </w:tc>
        <w:tc>
          <w:tcPr>
            <w:tcW w:w="1620" w:type="dxa"/>
            <w:tcBorders>
              <w:top w:val="nil"/>
              <w:left w:val="nil"/>
              <w:bottom w:val="single" w:sz="4" w:space="0" w:color="auto"/>
              <w:right w:val="single" w:sz="4" w:space="0" w:color="auto"/>
              <w:tl2br w:val="nil"/>
              <w:tr2bl w:val="nil"/>
            </w:tcBorders>
            <w:noWrap/>
            <w:textDirection w:val="lrTb"/>
            <w:vAlign w:val="center"/>
          </w:tcPr>
          <w:p w:rsidR="00327CDA" w:rsidRPr="0034371C" w:rsidP="00327CDA">
            <w:pPr>
              <w:spacing w:line="240" w:lineRule="auto"/>
              <w:jc w:val="right"/>
              <w:rPr>
                <w:rFonts w:ascii="Arial Narrow" w:hAnsi="Arial Narrow" w:cs="Arial"/>
                <w:color w:val="000000"/>
                <w:lang w:eastAsia="sk-SK"/>
              </w:rPr>
            </w:pPr>
            <w:r w:rsidRPr="0034371C">
              <w:rPr>
                <w:rFonts w:ascii="Arial Narrow" w:hAnsi="Arial Narrow" w:cs="Arial"/>
                <w:color w:val="000000"/>
                <w:lang w:eastAsia="sk-SK"/>
              </w:rPr>
              <w:t>7 463 373</w:t>
            </w:r>
          </w:p>
        </w:tc>
        <w:tc>
          <w:tcPr>
            <w:tcW w:w="1620" w:type="dxa"/>
            <w:tcBorders>
              <w:top w:val="nil"/>
              <w:left w:val="nil"/>
              <w:bottom w:val="single" w:sz="4" w:space="0" w:color="auto"/>
              <w:right w:val="single" w:sz="4" w:space="0" w:color="auto"/>
              <w:tl2br w:val="nil"/>
              <w:tr2bl w:val="nil"/>
            </w:tcBorders>
            <w:noWrap/>
            <w:textDirection w:val="lrTb"/>
            <w:vAlign w:val="center"/>
          </w:tcPr>
          <w:p w:rsidR="00327CDA" w:rsidRPr="0034371C" w:rsidP="00327CDA">
            <w:pPr>
              <w:spacing w:line="240" w:lineRule="auto"/>
              <w:jc w:val="right"/>
              <w:rPr>
                <w:rFonts w:ascii="Arial Narrow" w:hAnsi="Arial Narrow" w:cs="Arial"/>
                <w:color w:val="000000"/>
                <w:lang w:eastAsia="sk-SK"/>
              </w:rPr>
            </w:pPr>
            <w:r w:rsidRPr="0034371C">
              <w:rPr>
                <w:rFonts w:ascii="Arial Narrow" w:hAnsi="Arial Narrow" w:cs="Arial"/>
                <w:color w:val="000000"/>
                <w:lang w:eastAsia="sk-SK"/>
              </w:rPr>
              <w:t>7 253 644</w:t>
            </w:r>
          </w:p>
        </w:tc>
        <w:tc>
          <w:tcPr>
            <w:tcW w:w="4680" w:type="dxa"/>
            <w:tcBorders>
              <w:top w:val="nil"/>
              <w:left w:val="nil"/>
              <w:bottom w:val="single" w:sz="4" w:space="0" w:color="auto"/>
              <w:right w:val="single" w:sz="4" w:space="0" w:color="auto"/>
              <w:tl2br w:val="nil"/>
              <w:tr2bl w:val="nil"/>
            </w:tcBorders>
            <w:noWrap/>
            <w:textDirection w:val="lrTb"/>
            <w:vAlign w:val="center"/>
          </w:tcPr>
          <w:p w:rsidR="00327CDA" w:rsidRPr="0034371C" w:rsidP="00327CDA">
            <w:pPr>
              <w:spacing w:line="240" w:lineRule="auto"/>
              <w:rPr>
                <w:rFonts w:ascii="Arial Narrow" w:hAnsi="Arial Narrow" w:cs="Arial"/>
                <w:color w:val="000000"/>
                <w:lang w:eastAsia="sk-SK"/>
              </w:rPr>
            </w:pPr>
            <w:r w:rsidRPr="0034371C">
              <w:rPr>
                <w:rFonts w:ascii="Arial Narrow" w:hAnsi="Arial Narrow" w:cs="Arial"/>
                <w:color w:val="000000"/>
                <w:lang w:eastAsia="sk-SK"/>
              </w:rPr>
              <w:t> </w:t>
            </w:r>
          </w:p>
        </w:tc>
      </w:tr>
      <w:tr>
        <w:tblPrEx>
          <w:tblW w:w="9900" w:type="dxa"/>
          <w:tblInd w:w="-290" w:type="dxa"/>
          <w:tblCellMar>
            <w:left w:w="70" w:type="dxa"/>
            <w:right w:w="70" w:type="dxa"/>
          </w:tblCellMar>
        </w:tblPrEx>
        <w:trPr>
          <w:trHeight w:val="285"/>
        </w:trPr>
        <w:tc>
          <w:tcPr>
            <w:tcW w:w="1980" w:type="dxa"/>
            <w:tcBorders>
              <w:top w:val="nil"/>
              <w:left w:val="single" w:sz="4" w:space="0" w:color="auto"/>
              <w:bottom w:val="single" w:sz="4" w:space="0" w:color="auto"/>
              <w:right w:val="single" w:sz="4" w:space="0" w:color="auto"/>
              <w:tl2br w:val="nil"/>
              <w:tr2bl w:val="nil"/>
            </w:tcBorders>
            <w:noWrap/>
            <w:textDirection w:val="lrTb"/>
            <w:vAlign w:val="center"/>
          </w:tcPr>
          <w:p w:rsidR="00327CDA" w:rsidRPr="0034371C" w:rsidP="00327CDA">
            <w:pPr>
              <w:spacing w:line="240" w:lineRule="auto"/>
              <w:rPr>
                <w:rFonts w:ascii="Arial Narrow" w:hAnsi="Arial Narrow" w:cs="Arial"/>
                <w:color w:val="000000"/>
                <w:lang w:eastAsia="sk-SK"/>
              </w:rPr>
            </w:pPr>
            <w:r w:rsidRPr="0034371C">
              <w:rPr>
                <w:rFonts w:ascii="Arial Narrow" w:hAnsi="Arial Narrow" w:cs="Arial"/>
                <w:color w:val="000000"/>
                <w:lang w:eastAsia="sk-SK"/>
              </w:rPr>
              <w:t>Pasíva celkom</w:t>
            </w:r>
          </w:p>
        </w:tc>
        <w:tc>
          <w:tcPr>
            <w:tcW w:w="1620" w:type="dxa"/>
            <w:tcBorders>
              <w:top w:val="nil"/>
              <w:left w:val="nil"/>
              <w:bottom w:val="single" w:sz="4" w:space="0" w:color="auto"/>
              <w:right w:val="single" w:sz="4" w:space="0" w:color="auto"/>
              <w:tl2br w:val="nil"/>
              <w:tr2bl w:val="nil"/>
            </w:tcBorders>
            <w:noWrap/>
            <w:textDirection w:val="lrTb"/>
            <w:vAlign w:val="center"/>
          </w:tcPr>
          <w:p w:rsidR="00327CDA" w:rsidRPr="0034371C" w:rsidP="00327CDA">
            <w:pPr>
              <w:spacing w:line="240" w:lineRule="auto"/>
              <w:jc w:val="right"/>
              <w:rPr>
                <w:rFonts w:ascii="Arial Narrow" w:hAnsi="Arial Narrow" w:cs="Arial"/>
                <w:color w:val="000000"/>
                <w:lang w:eastAsia="sk-SK"/>
              </w:rPr>
            </w:pPr>
            <w:r w:rsidRPr="0034371C">
              <w:rPr>
                <w:rFonts w:ascii="Arial Narrow" w:hAnsi="Arial Narrow" w:cs="Arial"/>
                <w:color w:val="000000"/>
                <w:lang w:eastAsia="sk-SK"/>
              </w:rPr>
              <w:t>7 463 373</w:t>
            </w:r>
          </w:p>
        </w:tc>
        <w:tc>
          <w:tcPr>
            <w:tcW w:w="1620" w:type="dxa"/>
            <w:tcBorders>
              <w:top w:val="nil"/>
              <w:left w:val="nil"/>
              <w:bottom w:val="single" w:sz="4" w:space="0" w:color="auto"/>
              <w:right w:val="single" w:sz="4" w:space="0" w:color="auto"/>
              <w:tl2br w:val="nil"/>
              <w:tr2bl w:val="nil"/>
            </w:tcBorders>
            <w:noWrap/>
            <w:textDirection w:val="lrTb"/>
            <w:vAlign w:val="center"/>
          </w:tcPr>
          <w:p w:rsidR="00327CDA" w:rsidRPr="0034371C" w:rsidP="00327CDA">
            <w:pPr>
              <w:spacing w:line="240" w:lineRule="auto"/>
              <w:jc w:val="right"/>
              <w:rPr>
                <w:rFonts w:ascii="Arial Narrow" w:hAnsi="Arial Narrow" w:cs="Arial"/>
                <w:color w:val="000000"/>
                <w:lang w:eastAsia="sk-SK"/>
              </w:rPr>
            </w:pPr>
            <w:r w:rsidRPr="0034371C">
              <w:rPr>
                <w:rFonts w:ascii="Arial Narrow" w:hAnsi="Arial Narrow" w:cs="Arial"/>
                <w:color w:val="000000"/>
                <w:lang w:eastAsia="sk-SK"/>
              </w:rPr>
              <w:t>7 253 644</w:t>
            </w:r>
          </w:p>
        </w:tc>
        <w:tc>
          <w:tcPr>
            <w:tcW w:w="4680" w:type="dxa"/>
            <w:tcBorders>
              <w:top w:val="nil"/>
              <w:left w:val="nil"/>
              <w:bottom w:val="single" w:sz="4" w:space="0" w:color="auto"/>
              <w:right w:val="single" w:sz="4" w:space="0" w:color="auto"/>
              <w:tl2br w:val="nil"/>
              <w:tr2bl w:val="nil"/>
            </w:tcBorders>
            <w:noWrap/>
            <w:textDirection w:val="lrTb"/>
            <w:vAlign w:val="center"/>
          </w:tcPr>
          <w:p w:rsidR="00327CDA" w:rsidRPr="0034371C" w:rsidP="00327CDA">
            <w:pPr>
              <w:spacing w:line="240" w:lineRule="auto"/>
              <w:rPr>
                <w:rFonts w:ascii="Arial Narrow" w:hAnsi="Arial Narrow" w:cs="Arial"/>
                <w:color w:val="000000"/>
                <w:lang w:eastAsia="sk-SK"/>
              </w:rPr>
            </w:pPr>
            <w:r w:rsidRPr="0034371C">
              <w:rPr>
                <w:rFonts w:ascii="Arial Narrow" w:hAnsi="Arial Narrow" w:cs="Arial"/>
                <w:color w:val="000000"/>
                <w:lang w:eastAsia="sk-SK"/>
              </w:rPr>
              <w:t> </w:t>
            </w:r>
          </w:p>
        </w:tc>
      </w:tr>
      <w:tr>
        <w:tblPrEx>
          <w:tblW w:w="9900" w:type="dxa"/>
          <w:tblInd w:w="-290" w:type="dxa"/>
          <w:tblCellMar>
            <w:left w:w="70" w:type="dxa"/>
            <w:right w:w="70" w:type="dxa"/>
          </w:tblCellMar>
        </w:tblPrEx>
        <w:trPr>
          <w:trHeight w:val="285"/>
        </w:trPr>
        <w:tc>
          <w:tcPr>
            <w:tcW w:w="1980" w:type="dxa"/>
            <w:tcBorders>
              <w:top w:val="nil"/>
              <w:left w:val="single" w:sz="4" w:space="0" w:color="auto"/>
              <w:bottom w:val="single" w:sz="4" w:space="0" w:color="auto"/>
              <w:right w:val="single" w:sz="4" w:space="0" w:color="auto"/>
              <w:tl2br w:val="nil"/>
              <w:tr2bl w:val="nil"/>
            </w:tcBorders>
            <w:noWrap/>
            <w:textDirection w:val="lrTb"/>
            <w:vAlign w:val="center"/>
          </w:tcPr>
          <w:p w:rsidR="00327CDA" w:rsidRPr="0034371C" w:rsidP="00327CDA">
            <w:pPr>
              <w:spacing w:line="240" w:lineRule="auto"/>
              <w:rPr>
                <w:rFonts w:ascii="Arial Narrow" w:hAnsi="Arial Narrow" w:cs="Arial"/>
                <w:color w:val="000000"/>
                <w:lang w:eastAsia="sk-SK"/>
              </w:rPr>
            </w:pPr>
            <w:r w:rsidRPr="0034371C">
              <w:rPr>
                <w:rFonts w:ascii="Arial Narrow" w:hAnsi="Arial Narrow" w:cs="Arial"/>
                <w:color w:val="000000"/>
                <w:lang w:eastAsia="sk-SK"/>
              </w:rPr>
              <w:t>Vlastné imanie</w:t>
            </w:r>
          </w:p>
        </w:tc>
        <w:tc>
          <w:tcPr>
            <w:tcW w:w="1620" w:type="dxa"/>
            <w:tcBorders>
              <w:top w:val="nil"/>
              <w:left w:val="nil"/>
              <w:bottom w:val="single" w:sz="4" w:space="0" w:color="auto"/>
              <w:right w:val="single" w:sz="4" w:space="0" w:color="auto"/>
              <w:tl2br w:val="nil"/>
              <w:tr2bl w:val="nil"/>
            </w:tcBorders>
            <w:noWrap/>
            <w:textDirection w:val="lrTb"/>
            <w:vAlign w:val="center"/>
          </w:tcPr>
          <w:p w:rsidR="00327CDA" w:rsidRPr="0034371C" w:rsidP="00327CDA">
            <w:pPr>
              <w:spacing w:line="240" w:lineRule="auto"/>
              <w:jc w:val="right"/>
              <w:rPr>
                <w:rFonts w:ascii="Arial Narrow" w:hAnsi="Arial Narrow" w:cs="Arial"/>
                <w:color w:val="000000"/>
                <w:lang w:eastAsia="sk-SK"/>
              </w:rPr>
            </w:pPr>
            <w:r w:rsidRPr="0034371C">
              <w:rPr>
                <w:rFonts w:ascii="Arial Narrow" w:hAnsi="Arial Narrow" w:cs="Arial"/>
                <w:color w:val="000000"/>
                <w:lang w:eastAsia="sk-SK"/>
              </w:rPr>
              <w:t>6 526 133</w:t>
            </w:r>
          </w:p>
        </w:tc>
        <w:tc>
          <w:tcPr>
            <w:tcW w:w="1620" w:type="dxa"/>
            <w:tcBorders>
              <w:top w:val="nil"/>
              <w:left w:val="nil"/>
              <w:bottom w:val="single" w:sz="4" w:space="0" w:color="auto"/>
              <w:right w:val="single" w:sz="4" w:space="0" w:color="auto"/>
              <w:tl2br w:val="nil"/>
              <w:tr2bl w:val="nil"/>
            </w:tcBorders>
            <w:noWrap/>
            <w:textDirection w:val="lrTb"/>
            <w:vAlign w:val="center"/>
          </w:tcPr>
          <w:p w:rsidR="00327CDA" w:rsidRPr="0034371C" w:rsidP="00327CDA">
            <w:pPr>
              <w:spacing w:line="240" w:lineRule="auto"/>
              <w:jc w:val="right"/>
              <w:rPr>
                <w:rFonts w:ascii="Arial Narrow" w:hAnsi="Arial Narrow" w:cs="Arial"/>
                <w:color w:val="000000"/>
                <w:lang w:eastAsia="sk-SK"/>
              </w:rPr>
            </w:pPr>
            <w:r w:rsidRPr="0034371C">
              <w:rPr>
                <w:rFonts w:ascii="Arial Narrow" w:hAnsi="Arial Narrow" w:cs="Arial"/>
                <w:color w:val="000000"/>
                <w:lang w:eastAsia="sk-SK"/>
              </w:rPr>
              <w:t>6 524 633</w:t>
            </w:r>
          </w:p>
        </w:tc>
        <w:tc>
          <w:tcPr>
            <w:tcW w:w="4680" w:type="dxa"/>
            <w:tcBorders>
              <w:top w:val="nil"/>
              <w:left w:val="nil"/>
              <w:bottom w:val="single" w:sz="4" w:space="0" w:color="auto"/>
              <w:right w:val="single" w:sz="4" w:space="0" w:color="auto"/>
              <w:tl2br w:val="nil"/>
              <w:tr2bl w:val="nil"/>
            </w:tcBorders>
            <w:noWrap/>
            <w:textDirection w:val="lrTb"/>
            <w:vAlign w:val="center"/>
          </w:tcPr>
          <w:p w:rsidR="00327CDA" w:rsidRPr="0034371C" w:rsidP="00327CDA">
            <w:pPr>
              <w:spacing w:line="240" w:lineRule="auto"/>
              <w:rPr>
                <w:rFonts w:ascii="Arial Narrow" w:hAnsi="Arial Narrow" w:cs="Arial"/>
                <w:color w:val="000000"/>
                <w:lang w:eastAsia="sk-SK"/>
              </w:rPr>
            </w:pPr>
            <w:r w:rsidRPr="0034371C">
              <w:rPr>
                <w:rFonts w:ascii="Arial Narrow" w:hAnsi="Arial Narrow" w:cs="Arial"/>
                <w:color w:val="000000"/>
                <w:lang w:eastAsia="sk-SK"/>
              </w:rPr>
              <w:t> </w:t>
            </w:r>
          </w:p>
        </w:tc>
      </w:tr>
    </w:tbl>
    <w:p w:rsidR="00327CDA" w:rsidRPr="00B1599D" w:rsidP="00327CDA">
      <w:pPr>
        <w:spacing w:line="240" w:lineRule="auto"/>
        <w:ind w:firstLine="709"/>
        <w:rPr>
          <w:rFonts w:ascii="Times New Roman" w:hAnsi="Times New Roman" w:cs="Times New Roman"/>
          <w:sz w:val="24"/>
          <w:szCs w:val="24"/>
        </w:rPr>
      </w:pPr>
    </w:p>
    <w:p w:rsidR="0034371C" w:rsidP="00B1599D">
      <w:pPr>
        <w:spacing w:line="240" w:lineRule="auto"/>
        <w:rPr>
          <w:rFonts w:ascii="Arial Narrow" w:hAnsi="Arial Narrow" w:cs="Times New Roman"/>
          <w:sz w:val="22"/>
          <w:szCs w:val="22"/>
        </w:rPr>
      </w:pPr>
    </w:p>
    <w:p w:rsidR="0034371C" w:rsidP="00B1599D">
      <w:pPr>
        <w:spacing w:line="240" w:lineRule="auto"/>
        <w:rPr>
          <w:rFonts w:ascii="Arial Narrow" w:hAnsi="Arial Narrow" w:cs="Times New Roman"/>
          <w:sz w:val="22"/>
          <w:szCs w:val="22"/>
        </w:rPr>
      </w:pPr>
    </w:p>
    <w:p w:rsidR="00B1599D" w:rsidRPr="007E76B1" w:rsidP="00B1599D">
      <w:pPr>
        <w:spacing w:line="240" w:lineRule="auto"/>
        <w:rPr>
          <w:rFonts w:ascii="Arial Narrow" w:hAnsi="Arial Narrow" w:cs="Times New Roman"/>
          <w:sz w:val="22"/>
          <w:szCs w:val="22"/>
        </w:rPr>
      </w:pPr>
      <w:r w:rsidRPr="007E76B1" w:rsidR="007E76B1">
        <w:rPr>
          <w:rFonts w:ascii="Arial Narrow" w:hAnsi="Arial Narrow" w:cs="Times New Roman"/>
          <w:sz w:val="22"/>
          <w:szCs w:val="22"/>
        </w:rPr>
        <w:t xml:space="preserve">                                                                                                                                       </w:t>
      </w:r>
      <w:r w:rsidR="007E76B1">
        <w:rPr>
          <w:rFonts w:ascii="Arial Narrow" w:hAnsi="Arial Narrow" w:cs="Times New Roman"/>
          <w:sz w:val="22"/>
          <w:szCs w:val="22"/>
        </w:rPr>
        <w:t xml:space="preserve">           (v tis. Sk)</w:t>
      </w:r>
      <w:r w:rsidRPr="007E76B1" w:rsidR="007E76B1">
        <w:rPr>
          <w:rFonts w:ascii="Arial Narrow" w:hAnsi="Arial Narrow" w:cs="Times New Roman"/>
          <w:sz w:val="22"/>
          <w:szCs w:val="22"/>
        </w:rPr>
        <w:t xml:space="preserve">                        </w:t>
      </w:r>
      <w:r w:rsidR="007E76B1">
        <w:rPr>
          <w:rFonts w:ascii="Arial Narrow" w:hAnsi="Arial Narrow" w:cs="Times New Roman"/>
          <w:sz w:val="22"/>
          <w:szCs w:val="22"/>
        </w:rPr>
        <w:t xml:space="preserve">                       </w:t>
      </w:r>
    </w:p>
    <w:tbl>
      <w:tblPr>
        <w:tblW w:w="73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Grid>
        <w:gridCol w:w="3070"/>
        <w:gridCol w:w="2150"/>
        <w:gridCol w:w="2160"/>
      </w:tblGrid>
      <w:tr>
        <w:tblPrEx>
          <w:tblW w:w="73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auto" w:val="0"/>
        </w:trPr>
        <w:tc>
          <w:tcPr>
            <w:tcW w:w="7380" w:type="dxa"/>
            <w:gridSpan w:val="3"/>
            <w:tcBorders>
              <w:top w:val="single" w:sz="4" w:space="0" w:color="auto"/>
              <w:left w:val="single" w:sz="4" w:space="0" w:color="auto"/>
              <w:bottom w:val="single" w:sz="4" w:space="0" w:color="auto"/>
              <w:right w:val="single" w:sz="4" w:space="0" w:color="auto"/>
              <w:tl2br w:val="nil"/>
              <w:tr2bl w:val="nil"/>
            </w:tcBorders>
            <w:shd w:val="clear" w:color="auto" w:fill="C0C0C0"/>
            <w:textDirection w:val="lrTb"/>
            <w:vAlign w:val="center"/>
          </w:tcPr>
          <w:p w:rsidR="007E76B1" w:rsidRPr="007E76B1" w:rsidP="007E76B1">
            <w:pPr>
              <w:spacing w:line="240" w:lineRule="auto"/>
              <w:jc w:val="center"/>
              <w:rPr>
                <w:rFonts w:ascii="Arial Narrow" w:hAnsi="Arial Narrow" w:cs="Times New Roman"/>
                <w:b/>
                <w:sz w:val="22"/>
                <w:szCs w:val="22"/>
              </w:rPr>
            </w:pPr>
            <w:r w:rsidRPr="007E76B1">
              <w:rPr>
                <w:rFonts w:ascii="Arial Narrow" w:hAnsi="Arial Narrow" w:cs="Times New Roman"/>
                <w:b/>
                <w:sz w:val="22"/>
                <w:szCs w:val="22"/>
              </w:rPr>
              <w:t>Stav vývoja pohľadávok z obchodného styku</w:t>
            </w:r>
          </w:p>
        </w:tc>
      </w:tr>
      <w:tr>
        <w:tblPrEx>
          <w:tblW w:w="7380" w:type="dxa"/>
          <w:tblInd w:w="828" w:type="dxa"/>
        </w:tblPrEx>
        <w:trPr>
          <w:trHeight w:hRule="auto" w:val="0"/>
        </w:trPr>
        <w:tc>
          <w:tcPr>
            <w:tcW w:w="307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7E76B1" w:rsidRPr="007E76B1" w:rsidP="00B1599D">
            <w:pPr>
              <w:spacing w:line="240" w:lineRule="auto"/>
              <w:rPr>
                <w:rFonts w:ascii="Arial Narrow" w:hAnsi="Arial Narrow" w:cs="Times New Roman"/>
                <w:sz w:val="22"/>
                <w:szCs w:val="22"/>
              </w:rPr>
            </w:pPr>
          </w:p>
        </w:tc>
        <w:tc>
          <w:tcPr>
            <w:tcW w:w="215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7E76B1" w:rsidRPr="007E76B1" w:rsidP="007E76B1">
            <w:pPr>
              <w:spacing w:line="240" w:lineRule="auto"/>
              <w:jc w:val="center"/>
              <w:rPr>
                <w:rFonts w:ascii="Arial Narrow" w:hAnsi="Arial Narrow" w:cs="Times New Roman"/>
                <w:b/>
                <w:sz w:val="22"/>
                <w:szCs w:val="22"/>
              </w:rPr>
            </w:pPr>
            <w:r w:rsidRPr="007E76B1">
              <w:rPr>
                <w:rFonts w:ascii="Arial Narrow" w:hAnsi="Arial Narrow" w:cs="Times New Roman"/>
                <w:b/>
                <w:sz w:val="22"/>
                <w:szCs w:val="22"/>
              </w:rPr>
              <w:t>k 31.12.2006</w:t>
            </w:r>
          </w:p>
        </w:tc>
        <w:tc>
          <w:tcPr>
            <w:tcW w:w="216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7E76B1" w:rsidRPr="007E76B1" w:rsidP="007E76B1">
            <w:pPr>
              <w:spacing w:line="240" w:lineRule="auto"/>
              <w:jc w:val="center"/>
              <w:rPr>
                <w:rFonts w:ascii="Arial Narrow" w:hAnsi="Arial Narrow" w:cs="Times New Roman"/>
                <w:b/>
                <w:sz w:val="22"/>
                <w:szCs w:val="22"/>
              </w:rPr>
            </w:pPr>
            <w:r w:rsidRPr="007E76B1">
              <w:rPr>
                <w:rFonts w:ascii="Arial Narrow" w:hAnsi="Arial Narrow" w:cs="Times New Roman"/>
                <w:b/>
                <w:sz w:val="22"/>
                <w:szCs w:val="22"/>
              </w:rPr>
              <w:t>k 31.12.2007</w:t>
            </w:r>
          </w:p>
        </w:tc>
      </w:tr>
      <w:tr>
        <w:tblPrEx>
          <w:tblW w:w="7380" w:type="dxa"/>
          <w:tblInd w:w="828" w:type="dxa"/>
        </w:tblPrEx>
        <w:trPr>
          <w:trHeight w:hRule="auto" w:val="0"/>
        </w:trPr>
        <w:tc>
          <w:tcPr>
            <w:tcW w:w="307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7E76B1" w:rsidRPr="007E76B1" w:rsidP="00B1599D">
            <w:pPr>
              <w:spacing w:line="240" w:lineRule="auto"/>
              <w:rPr>
                <w:rFonts w:ascii="Arial Narrow" w:hAnsi="Arial Narrow" w:cs="Times New Roman"/>
                <w:sz w:val="22"/>
                <w:szCs w:val="22"/>
              </w:rPr>
            </w:pPr>
            <w:r>
              <w:rPr>
                <w:rFonts w:ascii="Arial Narrow" w:hAnsi="Arial Narrow" w:cs="Times New Roman"/>
                <w:sz w:val="22"/>
                <w:szCs w:val="22"/>
              </w:rPr>
              <w:t>Sky Europe Airlines</w:t>
            </w:r>
          </w:p>
        </w:tc>
        <w:tc>
          <w:tcPr>
            <w:tcW w:w="215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7E76B1" w:rsidRPr="007E76B1" w:rsidP="007E76B1">
            <w:pPr>
              <w:spacing w:line="240" w:lineRule="auto"/>
              <w:jc w:val="center"/>
              <w:rPr>
                <w:rFonts w:ascii="Arial Narrow" w:hAnsi="Arial Narrow" w:cs="Times New Roman"/>
                <w:sz w:val="22"/>
                <w:szCs w:val="22"/>
              </w:rPr>
            </w:pPr>
            <w:r>
              <w:rPr>
                <w:rFonts w:ascii="Arial Narrow" w:hAnsi="Arial Narrow" w:cs="Times New Roman"/>
                <w:sz w:val="22"/>
                <w:szCs w:val="22"/>
              </w:rPr>
              <w:t>110 995</w:t>
            </w:r>
          </w:p>
        </w:tc>
        <w:tc>
          <w:tcPr>
            <w:tcW w:w="216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7E76B1" w:rsidRPr="007E76B1" w:rsidP="007E76B1">
            <w:pPr>
              <w:spacing w:line="240" w:lineRule="auto"/>
              <w:jc w:val="center"/>
              <w:rPr>
                <w:rFonts w:ascii="Arial Narrow" w:hAnsi="Arial Narrow" w:cs="Times New Roman"/>
                <w:sz w:val="22"/>
                <w:szCs w:val="22"/>
              </w:rPr>
            </w:pPr>
            <w:r>
              <w:rPr>
                <w:rFonts w:ascii="Arial Narrow" w:hAnsi="Arial Narrow" w:cs="Times New Roman"/>
                <w:sz w:val="22"/>
                <w:szCs w:val="22"/>
              </w:rPr>
              <w:t>29 199</w:t>
            </w:r>
          </w:p>
        </w:tc>
      </w:tr>
      <w:tr>
        <w:tblPrEx>
          <w:tblW w:w="7380" w:type="dxa"/>
          <w:tblInd w:w="828" w:type="dxa"/>
        </w:tblPrEx>
        <w:trPr>
          <w:trHeight w:hRule="auto" w:val="0"/>
        </w:trPr>
        <w:tc>
          <w:tcPr>
            <w:tcW w:w="307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7E76B1" w:rsidRPr="007E76B1" w:rsidP="00B1599D">
            <w:pPr>
              <w:spacing w:line="240" w:lineRule="auto"/>
              <w:rPr>
                <w:rFonts w:ascii="Arial Narrow" w:hAnsi="Arial Narrow" w:cs="Times New Roman"/>
                <w:sz w:val="22"/>
                <w:szCs w:val="22"/>
              </w:rPr>
            </w:pPr>
            <w:r>
              <w:rPr>
                <w:rFonts w:ascii="Arial Narrow" w:hAnsi="Arial Narrow" w:cs="Times New Roman"/>
                <w:sz w:val="22"/>
                <w:szCs w:val="22"/>
              </w:rPr>
              <w:t>Air Slovakia</w:t>
            </w:r>
          </w:p>
        </w:tc>
        <w:tc>
          <w:tcPr>
            <w:tcW w:w="215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7E76B1" w:rsidRPr="007E76B1" w:rsidP="007E76B1">
            <w:pPr>
              <w:spacing w:line="240" w:lineRule="auto"/>
              <w:jc w:val="center"/>
              <w:rPr>
                <w:rFonts w:ascii="Arial Narrow" w:hAnsi="Arial Narrow" w:cs="Times New Roman"/>
                <w:sz w:val="22"/>
                <w:szCs w:val="22"/>
              </w:rPr>
            </w:pPr>
            <w:r>
              <w:rPr>
                <w:rFonts w:ascii="Arial Narrow" w:hAnsi="Arial Narrow" w:cs="Times New Roman"/>
                <w:sz w:val="22"/>
                <w:szCs w:val="22"/>
              </w:rPr>
              <w:t>28 336</w:t>
            </w:r>
          </w:p>
        </w:tc>
        <w:tc>
          <w:tcPr>
            <w:tcW w:w="216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7E76B1" w:rsidRPr="007E76B1" w:rsidP="007E76B1">
            <w:pPr>
              <w:spacing w:line="240" w:lineRule="auto"/>
              <w:jc w:val="center"/>
              <w:rPr>
                <w:rFonts w:ascii="Arial Narrow" w:hAnsi="Arial Narrow" w:cs="Times New Roman"/>
                <w:sz w:val="22"/>
                <w:szCs w:val="22"/>
              </w:rPr>
            </w:pPr>
            <w:r>
              <w:rPr>
                <w:rFonts w:ascii="Arial Narrow" w:hAnsi="Arial Narrow" w:cs="Times New Roman"/>
                <w:sz w:val="22"/>
                <w:szCs w:val="22"/>
              </w:rPr>
              <w:t>12 930</w:t>
            </w:r>
          </w:p>
        </w:tc>
      </w:tr>
      <w:tr>
        <w:tblPrEx>
          <w:tblW w:w="7380" w:type="dxa"/>
          <w:tblInd w:w="828" w:type="dxa"/>
        </w:tblPrEx>
        <w:trPr>
          <w:trHeight w:hRule="auto" w:val="0"/>
        </w:trPr>
        <w:tc>
          <w:tcPr>
            <w:tcW w:w="307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7E76B1" w:rsidRPr="007E76B1" w:rsidP="00B1599D">
            <w:pPr>
              <w:spacing w:line="240" w:lineRule="auto"/>
              <w:rPr>
                <w:rFonts w:ascii="Arial Narrow" w:hAnsi="Arial Narrow" w:cs="Times New Roman"/>
                <w:sz w:val="22"/>
                <w:szCs w:val="22"/>
              </w:rPr>
            </w:pPr>
            <w:r>
              <w:rPr>
                <w:rFonts w:ascii="Arial Narrow" w:hAnsi="Arial Narrow" w:cs="Times New Roman"/>
                <w:sz w:val="22"/>
                <w:szCs w:val="22"/>
              </w:rPr>
              <w:t>Slovenské Aerolínie</w:t>
            </w:r>
          </w:p>
        </w:tc>
        <w:tc>
          <w:tcPr>
            <w:tcW w:w="215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7E76B1" w:rsidRPr="007E76B1" w:rsidP="007E76B1">
            <w:pPr>
              <w:spacing w:line="240" w:lineRule="auto"/>
              <w:jc w:val="center"/>
              <w:rPr>
                <w:rFonts w:ascii="Arial Narrow" w:hAnsi="Arial Narrow" w:cs="Times New Roman"/>
                <w:sz w:val="22"/>
                <w:szCs w:val="22"/>
              </w:rPr>
            </w:pPr>
            <w:r>
              <w:rPr>
                <w:rFonts w:ascii="Arial Narrow" w:hAnsi="Arial Narrow" w:cs="Times New Roman"/>
                <w:sz w:val="22"/>
                <w:szCs w:val="22"/>
              </w:rPr>
              <w:t>58 423</w:t>
            </w:r>
          </w:p>
        </w:tc>
        <w:tc>
          <w:tcPr>
            <w:tcW w:w="216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7E76B1" w:rsidRPr="007E76B1" w:rsidP="007E76B1">
            <w:pPr>
              <w:spacing w:line="240" w:lineRule="auto"/>
              <w:jc w:val="center"/>
              <w:rPr>
                <w:rFonts w:ascii="Arial Narrow" w:hAnsi="Arial Narrow" w:cs="Times New Roman"/>
                <w:sz w:val="22"/>
                <w:szCs w:val="22"/>
              </w:rPr>
            </w:pPr>
            <w:r>
              <w:rPr>
                <w:rFonts w:ascii="Arial Narrow" w:hAnsi="Arial Narrow" w:cs="Times New Roman"/>
                <w:sz w:val="22"/>
                <w:szCs w:val="22"/>
              </w:rPr>
              <w:t>57 984</w:t>
            </w:r>
          </w:p>
        </w:tc>
      </w:tr>
      <w:tr>
        <w:tblPrEx>
          <w:tblW w:w="7380" w:type="dxa"/>
          <w:tblInd w:w="828" w:type="dxa"/>
        </w:tblPrEx>
        <w:trPr>
          <w:trHeight w:hRule="auto" w:val="0"/>
        </w:trPr>
        <w:tc>
          <w:tcPr>
            <w:tcW w:w="3070" w:type="dxa"/>
            <w:tcBorders>
              <w:top w:val="single" w:sz="4" w:space="0" w:color="auto"/>
              <w:left w:val="single" w:sz="4" w:space="0" w:color="auto"/>
              <w:bottom w:val="single" w:sz="4" w:space="0" w:color="auto"/>
              <w:right w:val="single" w:sz="4" w:space="0" w:color="auto"/>
              <w:tl2br w:val="nil"/>
              <w:tr2bl w:val="nil"/>
            </w:tcBorders>
            <w:shd w:val="clear" w:color="auto" w:fill="C0C0C0"/>
            <w:textDirection w:val="lrTb"/>
            <w:vAlign w:val="center"/>
          </w:tcPr>
          <w:p w:rsidR="007E76B1" w:rsidRPr="007E76B1" w:rsidP="00B1599D">
            <w:pPr>
              <w:spacing w:line="240" w:lineRule="auto"/>
              <w:rPr>
                <w:rFonts w:ascii="Arial Narrow" w:hAnsi="Arial Narrow" w:cs="Times New Roman"/>
                <w:b/>
                <w:sz w:val="22"/>
                <w:szCs w:val="22"/>
              </w:rPr>
            </w:pPr>
            <w:r w:rsidRPr="007E76B1">
              <w:rPr>
                <w:rFonts w:ascii="Arial Narrow" w:hAnsi="Arial Narrow" w:cs="Times New Roman"/>
                <w:b/>
                <w:sz w:val="22"/>
                <w:szCs w:val="22"/>
              </w:rPr>
              <w:t>S P O LU</w:t>
            </w:r>
          </w:p>
        </w:tc>
        <w:tc>
          <w:tcPr>
            <w:tcW w:w="2150" w:type="dxa"/>
            <w:tcBorders>
              <w:top w:val="single" w:sz="4" w:space="0" w:color="auto"/>
              <w:left w:val="single" w:sz="4" w:space="0" w:color="auto"/>
              <w:bottom w:val="single" w:sz="4" w:space="0" w:color="auto"/>
              <w:right w:val="single" w:sz="4" w:space="0" w:color="auto"/>
              <w:tl2br w:val="nil"/>
              <w:tr2bl w:val="nil"/>
            </w:tcBorders>
            <w:shd w:val="clear" w:color="auto" w:fill="C0C0C0"/>
            <w:textDirection w:val="lrTb"/>
            <w:vAlign w:val="center"/>
          </w:tcPr>
          <w:p w:rsidR="007E76B1" w:rsidRPr="007E76B1" w:rsidP="007E76B1">
            <w:pPr>
              <w:spacing w:line="240" w:lineRule="auto"/>
              <w:jc w:val="center"/>
              <w:rPr>
                <w:rFonts w:ascii="Arial Narrow" w:hAnsi="Arial Narrow" w:cs="Times New Roman"/>
                <w:b/>
                <w:sz w:val="22"/>
                <w:szCs w:val="22"/>
              </w:rPr>
            </w:pPr>
            <w:r w:rsidRPr="007E76B1">
              <w:rPr>
                <w:rFonts w:ascii="Arial Narrow" w:hAnsi="Arial Narrow" w:cs="Times New Roman"/>
                <w:b/>
                <w:sz w:val="22"/>
                <w:szCs w:val="22"/>
              </w:rPr>
              <w:t>189 390</w:t>
            </w:r>
          </w:p>
        </w:tc>
        <w:tc>
          <w:tcPr>
            <w:tcW w:w="2160" w:type="dxa"/>
            <w:tcBorders>
              <w:top w:val="single" w:sz="4" w:space="0" w:color="auto"/>
              <w:left w:val="single" w:sz="4" w:space="0" w:color="auto"/>
              <w:bottom w:val="single" w:sz="4" w:space="0" w:color="auto"/>
              <w:right w:val="single" w:sz="4" w:space="0" w:color="auto"/>
              <w:tl2br w:val="nil"/>
              <w:tr2bl w:val="nil"/>
            </w:tcBorders>
            <w:shd w:val="clear" w:color="auto" w:fill="C0C0C0"/>
            <w:textDirection w:val="lrTb"/>
            <w:vAlign w:val="center"/>
          </w:tcPr>
          <w:p w:rsidR="007E76B1" w:rsidRPr="007E76B1" w:rsidP="007E76B1">
            <w:pPr>
              <w:spacing w:line="240" w:lineRule="auto"/>
              <w:jc w:val="center"/>
              <w:rPr>
                <w:rFonts w:ascii="Arial Narrow" w:hAnsi="Arial Narrow" w:cs="Times New Roman"/>
                <w:b/>
                <w:sz w:val="22"/>
                <w:szCs w:val="22"/>
              </w:rPr>
            </w:pPr>
            <w:r w:rsidRPr="007E76B1">
              <w:rPr>
                <w:rFonts w:ascii="Arial Narrow" w:hAnsi="Arial Narrow" w:cs="Times New Roman"/>
                <w:b/>
                <w:sz w:val="22"/>
                <w:szCs w:val="22"/>
              </w:rPr>
              <w:t>129 683</w:t>
            </w:r>
          </w:p>
        </w:tc>
      </w:tr>
    </w:tbl>
    <w:p w:rsidR="007E76B1" w:rsidRPr="00B1599D" w:rsidP="00B1599D">
      <w:pPr>
        <w:spacing w:line="240" w:lineRule="auto"/>
        <w:rPr>
          <w:rFonts w:ascii="Times New Roman" w:hAnsi="Times New Roman" w:cs="Times New Roman"/>
          <w:sz w:val="24"/>
          <w:szCs w:val="24"/>
        </w:rPr>
      </w:pPr>
    </w:p>
    <w:p w:rsidR="0034371C" w:rsidP="00B1599D">
      <w:pPr>
        <w:spacing w:line="240" w:lineRule="auto"/>
        <w:rPr>
          <w:rFonts w:ascii="Times New Roman" w:hAnsi="Times New Roman" w:cs="Times New Roman"/>
          <w:sz w:val="24"/>
          <w:szCs w:val="24"/>
        </w:rPr>
      </w:pPr>
      <w:r w:rsidRPr="00B1599D" w:rsidR="00B1599D">
        <w:rPr>
          <w:rFonts w:ascii="Times New Roman" w:hAnsi="Times New Roman" w:cs="Times New Roman"/>
          <w:sz w:val="24"/>
          <w:szCs w:val="24"/>
        </w:rPr>
        <w:t xml:space="preserve">           </w:t>
      </w:r>
    </w:p>
    <w:p w:rsidR="00B1599D" w:rsidRPr="00B1599D" w:rsidP="00B1599D">
      <w:pPr>
        <w:spacing w:line="240" w:lineRule="auto"/>
        <w:rPr>
          <w:rFonts w:ascii="Times New Roman" w:hAnsi="Times New Roman" w:cs="Times New Roman"/>
          <w:sz w:val="24"/>
          <w:szCs w:val="24"/>
        </w:rPr>
      </w:pPr>
      <w:r w:rsidR="0034371C">
        <w:rPr>
          <w:rFonts w:ascii="Times New Roman" w:hAnsi="Times New Roman" w:cs="Times New Roman"/>
          <w:sz w:val="24"/>
          <w:szCs w:val="24"/>
        </w:rPr>
        <w:t xml:space="preserve"> </w:t>
        <w:tab/>
      </w:r>
      <w:r w:rsidRPr="00B1599D">
        <w:rPr>
          <w:rFonts w:ascii="Times New Roman" w:hAnsi="Times New Roman" w:cs="Times New Roman"/>
          <w:sz w:val="24"/>
          <w:szCs w:val="24"/>
        </w:rPr>
        <w:t xml:space="preserve">Z uvedeného vyplýva, že vedenie letiskovej spoločnosti venuje maximálnu pozornosť vymáhaniu pohľadávok. Pohľadávky po lehote splatnosti viac ako 1 rok eviduje spoločnosť  hlavne ako pohľadávku Slovenských aerolínií, tá však bola v stanovenej lehote prihlásená </w:t>
      </w:r>
      <w:r w:rsidR="007E76B1">
        <w:rPr>
          <w:rFonts w:ascii="Times New Roman" w:hAnsi="Times New Roman" w:cs="Times New Roman"/>
          <w:sz w:val="24"/>
          <w:szCs w:val="24"/>
        </w:rPr>
        <w:t xml:space="preserve">do konkurzu. </w:t>
      </w:r>
      <w:r w:rsidRPr="00B1599D">
        <w:rPr>
          <w:rFonts w:ascii="Times New Roman" w:hAnsi="Times New Roman" w:cs="Times New Roman"/>
          <w:sz w:val="24"/>
          <w:szCs w:val="24"/>
        </w:rPr>
        <w:t>K 31.12.2007 eviduje spoločnosť dlhodobé záväzky hlavne z prenáj</w:t>
      </w:r>
      <w:r w:rsidR="007E76B1">
        <w:rPr>
          <w:rFonts w:ascii="Times New Roman" w:hAnsi="Times New Roman" w:cs="Times New Roman"/>
          <w:sz w:val="24"/>
          <w:szCs w:val="24"/>
        </w:rPr>
        <w:t xml:space="preserve">mu majetku (leasing) v sume 152 </w:t>
      </w:r>
      <w:r w:rsidRPr="00B1599D">
        <w:rPr>
          <w:rFonts w:ascii="Times New Roman" w:hAnsi="Times New Roman" w:cs="Times New Roman"/>
          <w:sz w:val="24"/>
          <w:szCs w:val="24"/>
        </w:rPr>
        <w:t>755 tis. Sk.</w:t>
      </w:r>
    </w:p>
    <w:p w:rsidR="0034371C" w:rsidP="00B1599D">
      <w:pPr>
        <w:spacing w:line="240" w:lineRule="auto"/>
        <w:rPr>
          <w:rFonts w:ascii="Times New Roman" w:hAnsi="Times New Roman" w:cs="Times New Roman"/>
          <w:sz w:val="24"/>
          <w:szCs w:val="24"/>
        </w:rPr>
      </w:pPr>
      <w:r w:rsidRPr="00B1599D" w:rsidR="00B1599D">
        <w:rPr>
          <w:rFonts w:ascii="Times New Roman" w:hAnsi="Times New Roman" w:cs="Times New Roman"/>
          <w:sz w:val="24"/>
          <w:szCs w:val="24"/>
        </w:rPr>
        <w:t xml:space="preserve">            </w:t>
      </w:r>
    </w:p>
    <w:p w:rsidR="00B1599D" w:rsidRPr="00B1599D" w:rsidP="0034371C">
      <w:pPr>
        <w:spacing w:line="240" w:lineRule="auto"/>
        <w:ind w:firstLine="709"/>
        <w:rPr>
          <w:rFonts w:ascii="Times New Roman" w:hAnsi="Times New Roman" w:cs="Times New Roman"/>
          <w:sz w:val="24"/>
          <w:szCs w:val="24"/>
        </w:rPr>
      </w:pPr>
      <w:r w:rsidRPr="00B1599D">
        <w:rPr>
          <w:rFonts w:ascii="Times New Roman" w:hAnsi="Times New Roman" w:cs="Times New Roman"/>
          <w:sz w:val="24"/>
          <w:szCs w:val="24"/>
        </w:rPr>
        <w:t xml:space="preserve">V oblasti majetku spoločnosti v priebehu r. 2007 bol zaznamenaný nárast na účte 021 a 022 hlavne v súvislostí s výstavbou nových priestorov súvisiacich so vstupom Slovenskej republiky do schengenského priestoru.        </w:t>
      </w:r>
    </w:p>
    <w:p w:rsidR="00B1599D" w:rsidP="00B1599D">
      <w:pPr>
        <w:spacing w:line="240" w:lineRule="auto"/>
        <w:rPr>
          <w:rFonts w:ascii="Times New Roman" w:hAnsi="Times New Roman" w:cs="Times New Roman"/>
          <w:sz w:val="24"/>
          <w:szCs w:val="24"/>
        </w:rPr>
      </w:pPr>
    </w:p>
    <w:p w:rsidR="0034371C" w:rsidRPr="00B1599D" w:rsidP="00B1599D">
      <w:pPr>
        <w:spacing w:line="240" w:lineRule="auto"/>
        <w:rPr>
          <w:rFonts w:ascii="Times New Roman" w:hAnsi="Times New Roman" w:cs="Times New Roman"/>
          <w:sz w:val="24"/>
          <w:szCs w:val="24"/>
        </w:rPr>
      </w:pPr>
    </w:p>
    <w:p w:rsidR="00E4303E" w:rsidRPr="00B97FAA" w:rsidP="00E4303E">
      <w:pPr>
        <w:spacing w:line="240" w:lineRule="auto"/>
        <w:outlineLvl w:val="0"/>
        <w:rPr>
          <w:rFonts w:ascii="Times New Roman" w:hAnsi="Times New Roman" w:cs="Times New Roman"/>
          <w:b/>
          <w:bCs/>
          <w:sz w:val="28"/>
          <w:szCs w:val="28"/>
        </w:rPr>
      </w:pPr>
      <w:r w:rsidR="00E85BE9">
        <w:rPr>
          <w:rFonts w:ascii="Times New Roman" w:hAnsi="Times New Roman" w:cs="Times New Roman"/>
          <w:b/>
          <w:bCs/>
          <w:sz w:val="28"/>
          <w:szCs w:val="28"/>
        </w:rPr>
        <w:t>I</w:t>
      </w:r>
      <w:r w:rsidRPr="00B97FAA">
        <w:rPr>
          <w:rFonts w:ascii="Times New Roman" w:hAnsi="Times New Roman" w:cs="Times New Roman"/>
          <w:b/>
          <w:bCs/>
          <w:sz w:val="28"/>
          <w:szCs w:val="28"/>
        </w:rPr>
        <w:t>:</w:t>
      </w:r>
      <w:r w:rsidRPr="00B97FAA">
        <w:rPr>
          <w:rFonts w:ascii="Times New Roman" w:hAnsi="Times New Roman" w:cs="Times New Roman"/>
          <w:b/>
          <w:sz w:val="28"/>
          <w:szCs w:val="28"/>
        </w:rPr>
        <w:t xml:space="preserve"> Zhodnoteni</w:t>
      </w:r>
      <w:r>
        <w:rPr>
          <w:rFonts w:ascii="Times New Roman" w:hAnsi="Times New Roman" w:cs="Times New Roman"/>
          <w:b/>
          <w:sz w:val="28"/>
          <w:szCs w:val="28"/>
        </w:rPr>
        <w:t>e finančno – majetkovej pozície Letiska Poprad – Tatry, a.s.</w:t>
      </w:r>
    </w:p>
    <w:p w:rsidR="00B1599D" w:rsidRPr="00B1599D" w:rsidP="00B1599D">
      <w:pPr>
        <w:spacing w:line="240" w:lineRule="auto"/>
        <w:rPr>
          <w:rFonts w:ascii="Times New Roman" w:hAnsi="Times New Roman" w:cs="Times New Roman"/>
          <w:sz w:val="24"/>
          <w:szCs w:val="24"/>
        </w:rPr>
      </w:pPr>
    </w:p>
    <w:p w:rsidR="00696AA3" w:rsidP="00A842B0">
      <w:pPr>
        <w:spacing w:line="240" w:lineRule="auto"/>
        <w:ind w:firstLine="709"/>
        <w:rPr>
          <w:rFonts w:ascii="Times New Roman" w:hAnsi="Times New Roman" w:cs="Times New Roman"/>
          <w:sz w:val="24"/>
          <w:szCs w:val="24"/>
        </w:rPr>
      </w:pPr>
      <w:r w:rsidR="00E4303E">
        <w:rPr>
          <w:rFonts w:ascii="Times New Roman" w:hAnsi="Times New Roman" w:cs="Times New Roman"/>
          <w:sz w:val="24"/>
          <w:szCs w:val="24"/>
        </w:rPr>
        <w:t xml:space="preserve">Údaje </w:t>
      </w:r>
      <w:r w:rsidRPr="00B1599D" w:rsidR="00B1599D">
        <w:rPr>
          <w:rFonts w:ascii="Times New Roman" w:hAnsi="Times New Roman" w:cs="Times New Roman"/>
          <w:sz w:val="24"/>
          <w:szCs w:val="24"/>
        </w:rPr>
        <w:t>spoločnosti sú spracované z predbežn</w:t>
      </w:r>
      <w:r w:rsidR="00A842B0">
        <w:rPr>
          <w:rFonts w:ascii="Times New Roman" w:hAnsi="Times New Roman" w:cs="Times New Roman"/>
          <w:sz w:val="24"/>
          <w:szCs w:val="24"/>
        </w:rPr>
        <w:t>ých a neauditovaných podkladov.</w:t>
      </w:r>
    </w:p>
    <w:p w:rsidR="00E711E4" w:rsidP="00696AA3">
      <w:pPr>
        <w:adjustRightInd/>
        <w:spacing w:line="240" w:lineRule="auto"/>
        <w:ind w:firstLine="709"/>
        <w:textAlignment w:val="auto"/>
        <w:rPr>
          <w:rFonts w:ascii="Times New Roman" w:hAnsi="Times New Roman" w:cs="Times New Roman"/>
          <w:sz w:val="24"/>
          <w:szCs w:val="24"/>
        </w:rPr>
      </w:pPr>
    </w:p>
    <w:p w:rsidR="0034371C" w:rsidP="00696AA3">
      <w:pPr>
        <w:adjustRightInd/>
        <w:spacing w:line="240" w:lineRule="auto"/>
        <w:ind w:firstLine="709"/>
        <w:textAlignment w:val="auto"/>
        <w:rPr>
          <w:rFonts w:ascii="Times New Roman" w:hAnsi="Times New Roman" w:cs="Times New Roman"/>
          <w:sz w:val="24"/>
          <w:szCs w:val="24"/>
        </w:rPr>
      </w:pPr>
    </w:p>
    <w:p w:rsidR="00E711E4" w:rsidP="00E711E4">
      <w:pPr>
        <w:spacing w:line="240" w:lineRule="auto"/>
        <w:jc w:val="center"/>
        <w:rPr>
          <w:rFonts w:ascii="Times New Roman" w:hAnsi="Times New Roman" w:cs="Times New Roman"/>
          <w:b/>
          <w:sz w:val="24"/>
          <w:szCs w:val="24"/>
        </w:rPr>
      </w:pPr>
      <w:r>
        <w:rPr>
          <w:rFonts w:ascii="Times New Roman" w:hAnsi="Times New Roman" w:cs="Times New Roman"/>
          <w:b/>
          <w:sz w:val="24"/>
          <w:szCs w:val="24"/>
        </w:rPr>
        <w:t>S</w:t>
      </w:r>
      <w:r w:rsidRPr="00B1599D">
        <w:rPr>
          <w:rFonts w:ascii="Times New Roman" w:hAnsi="Times New Roman" w:cs="Times New Roman"/>
          <w:b/>
          <w:sz w:val="24"/>
          <w:szCs w:val="24"/>
        </w:rPr>
        <w:t>úvaha spoločnosti k 31.12.2007</w:t>
      </w:r>
    </w:p>
    <w:p w:rsidR="00E711E4" w:rsidRPr="000A4072" w:rsidP="00E711E4">
      <w:pPr>
        <w:spacing w:line="240" w:lineRule="auto"/>
        <w:jc w:val="center"/>
        <w:rPr>
          <w:rFonts w:ascii="Arial Narrow" w:hAnsi="Arial Narrow" w:cs="Times New Roman"/>
        </w:rPr>
      </w:pPr>
      <w:r>
        <w:rPr>
          <w:rFonts w:ascii="Times New Roman" w:hAnsi="Times New Roman" w:cs="Times New Roman"/>
          <w:b/>
          <w:sz w:val="24"/>
          <w:szCs w:val="24"/>
        </w:rPr>
        <w:t xml:space="preserve">                                                                                                                                            </w:t>
      </w:r>
      <w:r w:rsidRPr="000A4072">
        <w:rPr>
          <w:rFonts w:ascii="Arial Narrow" w:hAnsi="Arial Narrow" w:cs="Times New Roman"/>
        </w:rPr>
        <w:t>(v tis. sk)</w:t>
      </w:r>
    </w:p>
    <w:tbl>
      <w:tblPr>
        <w:tblW w:w="8580" w:type="dxa"/>
        <w:tblInd w:w="6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Pr>
      <w:tblGrid>
        <w:gridCol w:w="5560"/>
        <w:gridCol w:w="1460"/>
        <w:gridCol w:w="1560"/>
      </w:tblGrid>
      <w:tr>
        <w:tblPrEx>
          <w:tblW w:w="8580" w:type="dxa"/>
          <w:tblInd w:w="6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PrEx>
        <w:trPr>
          <w:trHeight w:val="255"/>
        </w:trPr>
        <w:tc>
          <w:tcPr>
            <w:tcW w:w="5560" w:type="dxa"/>
            <w:tcBorders>
              <w:top w:val="single" w:sz="4" w:space="0" w:color="auto"/>
              <w:left w:val="single" w:sz="4" w:space="0" w:color="auto"/>
              <w:bottom w:val="single" w:sz="4" w:space="0" w:color="auto"/>
              <w:right w:val="single" w:sz="4" w:space="0" w:color="auto"/>
              <w:tl2br w:val="nil"/>
              <w:tr2bl w:val="nil"/>
            </w:tcBorders>
            <w:shd w:val="clear" w:color="auto" w:fill="999999"/>
            <w:noWrap/>
            <w:textDirection w:val="lrTb"/>
            <w:vAlign w:val="center"/>
          </w:tcPr>
          <w:p w:rsidR="00E711E4" w:rsidRPr="005360FA" w:rsidP="00854617">
            <w:pPr>
              <w:spacing w:line="240" w:lineRule="auto"/>
              <w:jc w:val="center"/>
              <w:rPr>
                <w:rFonts w:ascii="Arial Narrow" w:hAnsi="Arial Narrow" w:cs="Times New Roman"/>
                <w:b/>
                <w:bCs/>
              </w:rPr>
            </w:pPr>
          </w:p>
        </w:tc>
        <w:tc>
          <w:tcPr>
            <w:tcW w:w="1460" w:type="dxa"/>
            <w:tcBorders>
              <w:top w:val="single" w:sz="4" w:space="0" w:color="auto"/>
              <w:left w:val="single" w:sz="4" w:space="0" w:color="auto"/>
              <w:bottom w:val="single" w:sz="4" w:space="0" w:color="auto"/>
              <w:right w:val="single" w:sz="4" w:space="0" w:color="auto"/>
              <w:tl2br w:val="nil"/>
              <w:tr2bl w:val="nil"/>
            </w:tcBorders>
            <w:shd w:val="clear" w:color="auto" w:fill="999999"/>
            <w:noWrap/>
            <w:textDirection w:val="lrTb"/>
            <w:vAlign w:val="center"/>
          </w:tcPr>
          <w:p w:rsidR="00E711E4" w:rsidRPr="005360FA" w:rsidP="00854617">
            <w:pPr>
              <w:spacing w:line="240" w:lineRule="auto"/>
              <w:jc w:val="center"/>
              <w:rPr>
                <w:rFonts w:ascii="Arial Narrow" w:hAnsi="Arial Narrow" w:cs="Times New Roman"/>
                <w:b/>
                <w:bCs/>
              </w:rPr>
            </w:pPr>
            <w:r w:rsidRPr="005360FA">
              <w:rPr>
                <w:rFonts w:ascii="Arial Narrow" w:hAnsi="Arial Narrow" w:cs="Times New Roman"/>
                <w:b/>
                <w:bCs/>
              </w:rPr>
              <w:t>Bežné obdobie (Netto)</w:t>
            </w:r>
          </w:p>
        </w:tc>
        <w:tc>
          <w:tcPr>
            <w:tcW w:w="1560" w:type="dxa"/>
            <w:tcBorders>
              <w:top w:val="single" w:sz="4" w:space="0" w:color="auto"/>
              <w:left w:val="single" w:sz="4" w:space="0" w:color="auto"/>
              <w:bottom w:val="single" w:sz="4" w:space="0" w:color="auto"/>
              <w:right w:val="single" w:sz="4" w:space="0" w:color="auto"/>
              <w:tl2br w:val="nil"/>
              <w:tr2bl w:val="nil"/>
            </w:tcBorders>
            <w:shd w:val="clear" w:color="auto" w:fill="999999"/>
            <w:noWrap/>
            <w:textDirection w:val="lrTb"/>
            <w:vAlign w:val="center"/>
          </w:tcPr>
          <w:p w:rsidR="00E711E4" w:rsidRPr="005360FA" w:rsidP="00854617">
            <w:pPr>
              <w:spacing w:line="240" w:lineRule="auto"/>
              <w:jc w:val="center"/>
              <w:rPr>
                <w:rFonts w:ascii="Arial Narrow" w:hAnsi="Arial Narrow" w:cs="Times New Roman"/>
                <w:b/>
                <w:bCs/>
              </w:rPr>
            </w:pPr>
            <w:r w:rsidRPr="005360FA">
              <w:rPr>
                <w:rFonts w:ascii="Arial Narrow" w:hAnsi="Arial Narrow" w:cs="Times New Roman"/>
                <w:b/>
                <w:bCs/>
              </w:rPr>
              <w:t>Predch. obdobie (Netto)</w:t>
            </w:r>
          </w:p>
        </w:tc>
      </w:tr>
      <w:tr>
        <w:tblPrEx>
          <w:tblW w:w="8580" w:type="dxa"/>
          <w:tblInd w:w="610" w:type="dxa"/>
          <w:tblCellMar>
            <w:left w:w="70" w:type="dxa"/>
            <w:right w:w="70" w:type="dxa"/>
          </w:tblCellMar>
        </w:tblPrEx>
        <w:trPr>
          <w:trHeight w:hRule="exact" w:val="227"/>
        </w:trPr>
        <w:tc>
          <w:tcPr>
            <w:tcW w:w="5560" w:type="dxa"/>
            <w:tcBorders>
              <w:top w:val="single" w:sz="4" w:space="0" w:color="auto"/>
              <w:left w:val="single" w:sz="4" w:space="0" w:color="auto"/>
              <w:bottom w:val="single" w:sz="4" w:space="0" w:color="auto"/>
              <w:right w:val="single" w:sz="4" w:space="0" w:color="auto"/>
              <w:tl2br w:val="nil"/>
              <w:tr2bl w:val="nil"/>
            </w:tcBorders>
            <w:shd w:val="clear" w:color="auto" w:fill="C0C0C0"/>
            <w:noWrap/>
            <w:textDirection w:val="lrTb"/>
            <w:vAlign w:val="center"/>
          </w:tcPr>
          <w:p w:rsidR="00E711E4" w:rsidRPr="005360FA" w:rsidP="00854617">
            <w:pPr>
              <w:spacing w:line="240" w:lineRule="auto"/>
              <w:jc w:val="left"/>
              <w:rPr>
                <w:rFonts w:ascii="Arial Narrow" w:hAnsi="Arial Narrow" w:cs="Times New Roman"/>
              </w:rPr>
            </w:pPr>
            <w:r w:rsidRPr="005360FA">
              <w:rPr>
                <w:rFonts w:ascii="Arial Narrow" w:hAnsi="Arial Narrow" w:cs="Times New Roman"/>
              </w:rPr>
              <w:t xml:space="preserve">AKTÍVA - SPOLU MAJETOK </w:t>
            </w:r>
          </w:p>
        </w:tc>
        <w:tc>
          <w:tcPr>
            <w:tcW w:w="1460" w:type="dxa"/>
            <w:tcBorders>
              <w:top w:val="single" w:sz="4" w:space="0" w:color="auto"/>
              <w:left w:val="single" w:sz="4" w:space="0" w:color="auto"/>
              <w:bottom w:val="single" w:sz="4" w:space="0" w:color="auto"/>
              <w:right w:val="single" w:sz="4" w:space="0" w:color="auto"/>
              <w:tl2br w:val="nil"/>
              <w:tr2bl w:val="nil"/>
            </w:tcBorders>
            <w:shd w:val="clear" w:color="auto" w:fill="C0C0C0"/>
            <w:noWrap/>
            <w:textDirection w:val="lrTb"/>
            <w:vAlign w:val="center"/>
          </w:tcPr>
          <w:p w:rsidR="00E711E4" w:rsidRPr="005360FA" w:rsidP="00854617">
            <w:pPr>
              <w:spacing w:line="240" w:lineRule="auto"/>
              <w:jc w:val="right"/>
              <w:rPr>
                <w:rFonts w:ascii="Arial Narrow" w:hAnsi="Arial Narrow" w:cs="Times New Roman"/>
              </w:rPr>
            </w:pPr>
            <w:r>
              <w:rPr>
                <w:rFonts w:ascii="Arial Narrow" w:hAnsi="Arial Narrow" w:cs="Times New Roman"/>
              </w:rPr>
              <w:t>722 358</w:t>
            </w:r>
          </w:p>
        </w:tc>
        <w:tc>
          <w:tcPr>
            <w:tcW w:w="1560" w:type="dxa"/>
            <w:tcBorders>
              <w:top w:val="single" w:sz="4" w:space="0" w:color="auto"/>
              <w:left w:val="single" w:sz="4" w:space="0" w:color="auto"/>
              <w:bottom w:val="single" w:sz="4" w:space="0" w:color="auto"/>
              <w:right w:val="single" w:sz="4" w:space="0" w:color="auto"/>
              <w:tl2br w:val="nil"/>
              <w:tr2bl w:val="nil"/>
            </w:tcBorders>
            <w:shd w:val="clear" w:color="auto" w:fill="C0C0C0"/>
            <w:noWrap/>
            <w:textDirection w:val="lrTb"/>
            <w:vAlign w:val="center"/>
          </w:tcPr>
          <w:p w:rsidR="00E711E4" w:rsidRPr="005360FA" w:rsidP="00854617">
            <w:pPr>
              <w:spacing w:line="240" w:lineRule="auto"/>
              <w:jc w:val="right"/>
              <w:rPr>
                <w:rFonts w:ascii="Arial Narrow" w:hAnsi="Arial Narrow" w:cs="Times New Roman"/>
              </w:rPr>
            </w:pPr>
            <w:r>
              <w:rPr>
                <w:rFonts w:ascii="Arial Narrow" w:hAnsi="Arial Narrow" w:cs="Times New Roman"/>
              </w:rPr>
              <w:t>701 575</w:t>
            </w:r>
          </w:p>
        </w:tc>
      </w:tr>
      <w:tr>
        <w:tblPrEx>
          <w:tblW w:w="8580" w:type="dxa"/>
          <w:tblInd w:w="610" w:type="dxa"/>
          <w:tblCellMar>
            <w:left w:w="70" w:type="dxa"/>
            <w:right w:w="70" w:type="dxa"/>
          </w:tblCellMar>
        </w:tblPrEx>
        <w:trPr>
          <w:trHeight w:hRule="exact" w:val="227"/>
        </w:trPr>
        <w:tc>
          <w:tcPr>
            <w:tcW w:w="556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E711E4" w:rsidRPr="005360FA" w:rsidP="00854617">
            <w:pPr>
              <w:spacing w:line="240" w:lineRule="auto"/>
              <w:jc w:val="left"/>
              <w:rPr>
                <w:rFonts w:ascii="Arial Narrow" w:hAnsi="Arial Narrow" w:cs="Times New Roman"/>
              </w:rPr>
            </w:pPr>
            <w:r w:rsidRPr="005360FA">
              <w:rPr>
                <w:rFonts w:ascii="Arial Narrow" w:hAnsi="Arial Narrow" w:cs="Times New Roman"/>
              </w:rPr>
              <w:t>Neobežný majetok</w:t>
            </w:r>
          </w:p>
        </w:tc>
        <w:tc>
          <w:tcPr>
            <w:tcW w:w="146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E711E4" w:rsidRPr="005360FA" w:rsidP="00854617">
            <w:pPr>
              <w:spacing w:line="240" w:lineRule="auto"/>
              <w:jc w:val="right"/>
              <w:rPr>
                <w:rFonts w:ascii="Arial Narrow" w:hAnsi="Arial Narrow" w:cs="Times New Roman"/>
              </w:rPr>
            </w:pPr>
            <w:r>
              <w:rPr>
                <w:rFonts w:ascii="Arial Narrow" w:hAnsi="Arial Narrow" w:cs="Times New Roman"/>
              </w:rPr>
              <w:t>672 347</w:t>
            </w:r>
          </w:p>
        </w:tc>
        <w:tc>
          <w:tcPr>
            <w:tcW w:w="156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E711E4" w:rsidRPr="005360FA" w:rsidP="00854617">
            <w:pPr>
              <w:spacing w:line="240" w:lineRule="auto"/>
              <w:jc w:val="right"/>
              <w:rPr>
                <w:rFonts w:ascii="Arial Narrow" w:hAnsi="Arial Narrow" w:cs="Times New Roman"/>
              </w:rPr>
            </w:pPr>
            <w:r>
              <w:rPr>
                <w:rFonts w:ascii="Arial Narrow" w:hAnsi="Arial Narrow" w:cs="Times New Roman"/>
              </w:rPr>
              <w:t>671 961</w:t>
            </w:r>
          </w:p>
        </w:tc>
      </w:tr>
      <w:tr>
        <w:tblPrEx>
          <w:tblW w:w="8580" w:type="dxa"/>
          <w:tblInd w:w="610" w:type="dxa"/>
          <w:tblCellMar>
            <w:left w:w="70" w:type="dxa"/>
            <w:right w:w="70" w:type="dxa"/>
          </w:tblCellMar>
        </w:tblPrEx>
        <w:trPr>
          <w:trHeight w:hRule="exact" w:val="227"/>
        </w:trPr>
        <w:tc>
          <w:tcPr>
            <w:tcW w:w="556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E711E4" w:rsidRPr="005360FA" w:rsidP="00854617">
            <w:pPr>
              <w:spacing w:line="240" w:lineRule="auto"/>
              <w:jc w:val="left"/>
              <w:rPr>
                <w:rFonts w:ascii="Arial Narrow" w:hAnsi="Arial Narrow" w:cs="Times New Roman"/>
              </w:rPr>
            </w:pPr>
            <w:r w:rsidRPr="005360FA">
              <w:rPr>
                <w:rFonts w:ascii="Arial Narrow" w:hAnsi="Arial Narrow" w:cs="Times New Roman"/>
              </w:rPr>
              <w:t xml:space="preserve">Dlhodobý hmotný majetok súčet </w:t>
            </w:r>
          </w:p>
        </w:tc>
        <w:tc>
          <w:tcPr>
            <w:tcW w:w="146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E711E4" w:rsidRPr="005360FA" w:rsidP="00854617">
            <w:pPr>
              <w:spacing w:line="240" w:lineRule="auto"/>
              <w:jc w:val="right"/>
              <w:rPr>
                <w:rFonts w:ascii="Arial Narrow" w:hAnsi="Arial Narrow" w:cs="Times New Roman"/>
              </w:rPr>
            </w:pPr>
            <w:r>
              <w:rPr>
                <w:rFonts w:ascii="Arial Narrow" w:hAnsi="Arial Narrow" w:cs="Times New Roman"/>
              </w:rPr>
              <w:t>672 317</w:t>
            </w:r>
          </w:p>
        </w:tc>
        <w:tc>
          <w:tcPr>
            <w:tcW w:w="156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E711E4" w:rsidRPr="005360FA" w:rsidP="00854617">
            <w:pPr>
              <w:spacing w:line="240" w:lineRule="auto"/>
              <w:jc w:val="right"/>
              <w:rPr>
                <w:rFonts w:ascii="Arial Narrow" w:hAnsi="Arial Narrow" w:cs="Times New Roman"/>
              </w:rPr>
            </w:pPr>
            <w:r>
              <w:rPr>
                <w:rFonts w:ascii="Arial Narrow" w:hAnsi="Arial Narrow" w:cs="Times New Roman"/>
              </w:rPr>
              <w:t>671 931</w:t>
            </w:r>
          </w:p>
        </w:tc>
      </w:tr>
      <w:tr>
        <w:tblPrEx>
          <w:tblW w:w="8580" w:type="dxa"/>
          <w:tblInd w:w="610" w:type="dxa"/>
          <w:tblCellMar>
            <w:left w:w="70" w:type="dxa"/>
            <w:right w:w="70" w:type="dxa"/>
          </w:tblCellMar>
        </w:tblPrEx>
        <w:trPr>
          <w:trHeight w:hRule="exact" w:val="227"/>
        </w:trPr>
        <w:tc>
          <w:tcPr>
            <w:tcW w:w="556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E711E4" w:rsidRPr="005360FA" w:rsidP="00854617">
            <w:pPr>
              <w:spacing w:line="240" w:lineRule="auto"/>
              <w:jc w:val="left"/>
              <w:rPr>
                <w:rFonts w:ascii="Arial Narrow" w:hAnsi="Arial Narrow" w:cs="Times New Roman"/>
              </w:rPr>
            </w:pPr>
            <w:r w:rsidRPr="005360FA">
              <w:rPr>
                <w:rFonts w:ascii="Arial Narrow" w:hAnsi="Arial Narrow" w:cs="Times New Roman"/>
              </w:rPr>
              <w:t xml:space="preserve">Pozemky </w:t>
            </w:r>
          </w:p>
        </w:tc>
        <w:tc>
          <w:tcPr>
            <w:tcW w:w="146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E711E4" w:rsidRPr="005360FA" w:rsidP="00854617">
            <w:pPr>
              <w:spacing w:line="240" w:lineRule="auto"/>
              <w:jc w:val="right"/>
              <w:rPr>
                <w:rFonts w:ascii="Arial Narrow" w:hAnsi="Arial Narrow" w:cs="Times New Roman"/>
              </w:rPr>
            </w:pPr>
            <w:r>
              <w:rPr>
                <w:rFonts w:ascii="Arial Narrow" w:hAnsi="Arial Narrow" w:cs="Times New Roman"/>
              </w:rPr>
              <w:t>584 091</w:t>
            </w:r>
          </w:p>
        </w:tc>
        <w:tc>
          <w:tcPr>
            <w:tcW w:w="156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E711E4" w:rsidRPr="005360FA" w:rsidP="00854617">
            <w:pPr>
              <w:spacing w:line="240" w:lineRule="auto"/>
              <w:jc w:val="right"/>
              <w:rPr>
                <w:rFonts w:ascii="Arial Narrow" w:hAnsi="Arial Narrow" w:cs="Times New Roman"/>
              </w:rPr>
            </w:pPr>
            <w:r>
              <w:rPr>
                <w:rFonts w:ascii="Arial Narrow" w:hAnsi="Arial Narrow" w:cs="Times New Roman"/>
              </w:rPr>
              <w:t>578 021</w:t>
            </w:r>
          </w:p>
        </w:tc>
      </w:tr>
      <w:tr>
        <w:tblPrEx>
          <w:tblW w:w="8580" w:type="dxa"/>
          <w:tblInd w:w="610" w:type="dxa"/>
          <w:tblCellMar>
            <w:left w:w="70" w:type="dxa"/>
            <w:right w:w="70" w:type="dxa"/>
          </w:tblCellMar>
        </w:tblPrEx>
        <w:trPr>
          <w:trHeight w:hRule="exact" w:val="227"/>
        </w:trPr>
        <w:tc>
          <w:tcPr>
            <w:tcW w:w="556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E711E4" w:rsidRPr="005360FA" w:rsidP="00854617">
            <w:pPr>
              <w:spacing w:line="240" w:lineRule="auto"/>
              <w:jc w:val="left"/>
              <w:rPr>
                <w:rFonts w:ascii="Arial Narrow" w:hAnsi="Arial Narrow" w:cs="Times New Roman"/>
              </w:rPr>
            </w:pPr>
            <w:r w:rsidRPr="005360FA">
              <w:rPr>
                <w:rFonts w:ascii="Arial Narrow" w:hAnsi="Arial Narrow" w:cs="Times New Roman"/>
              </w:rPr>
              <w:t xml:space="preserve">Stavby </w:t>
            </w:r>
          </w:p>
        </w:tc>
        <w:tc>
          <w:tcPr>
            <w:tcW w:w="146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E711E4" w:rsidRPr="005360FA" w:rsidP="00854617">
            <w:pPr>
              <w:spacing w:line="240" w:lineRule="auto"/>
              <w:jc w:val="right"/>
              <w:rPr>
                <w:rFonts w:ascii="Arial Narrow" w:hAnsi="Arial Narrow" w:cs="Times New Roman"/>
              </w:rPr>
            </w:pPr>
            <w:r>
              <w:rPr>
                <w:rFonts w:ascii="Arial Narrow" w:hAnsi="Arial Narrow" w:cs="Times New Roman"/>
              </w:rPr>
              <w:t>64 705</w:t>
            </w:r>
          </w:p>
        </w:tc>
        <w:tc>
          <w:tcPr>
            <w:tcW w:w="156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E711E4" w:rsidRPr="005360FA" w:rsidP="00854617">
            <w:pPr>
              <w:spacing w:line="240" w:lineRule="auto"/>
              <w:jc w:val="right"/>
              <w:rPr>
                <w:rFonts w:ascii="Arial Narrow" w:hAnsi="Arial Narrow" w:cs="Times New Roman"/>
              </w:rPr>
            </w:pPr>
            <w:r>
              <w:rPr>
                <w:rFonts w:ascii="Arial Narrow" w:hAnsi="Arial Narrow" w:cs="Times New Roman"/>
              </w:rPr>
              <w:t>55 519</w:t>
            </w:r>
          </w:p>
        </w:tc>
      </w:tr>
      <w:tr>
        <w:tblPrEx>
          <w:tblW w:w="8580" w:type="dxa"/>
          <w:tblInd w:w="610" w:type="dxa"/>
          <w:tblCellMar>
            <w:left w:w="70" w:type="dxa"/>
            <w:right w:w="70" w:type="dxa"/>
          </w:tblCellMar>
        </w:tblPrEx>
        <w:trPr>
          <w:trHeight w:hRule="exact" w:val="227"/>
        </w:trPr>
        <w:tc>
          <w:tcPr>
            <w:tcW w:w="556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E711E4" w:rsidRPr="005360FA" w:rsidP="00854617">
            <w:pPr>
              <w:spacing w:line="240" w:lineRule="auto"/>
              <w:jc w:val="left"/>
              <w:rPr>
                <w:rFonts w:ascii="Arial Narrow" w:hAnsi="Arial Narrow" w:cs="Times New Roman"/>
              </w:rPr>
            </w:pPr>
            <w:r w:rsidRPr="005360FA">
              <w:rPr>
                <w:rFonts w:ascii="Arial Narrow" w:hAnsi="Arial Narrow" w:cs="Times New Roman"/>
              </w:rPr>
              <w:t xml:space="preserve">Samostatné hnuteľné veci a súbory hnuteľných vecí </w:t>
            </w:r>
          </w:p>
        </w:tc>
        <w:tc>
          <w:tcPr>
            <w:tcW w:w="146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E711E4" w:rsidRPr="005360FA" w:rsidP="00854617">
            <w:pPr>
              <w:spacing w:line="240" w:lineRule="auto"/>
              <w:jc w:val="right"/>
              <w:rPr>
                <w:rFonts w:ascii="Arial Narrow" w:hAnsi="Arial Narrow" w:cs="Times New Roman"/>
              </w:rPr>
            </w:pPr>
            <w:r>
              <w:rPr>
                <w:rFonts w:ascii="Arial Narrow" w:hAnsi="Arial Narrow" w:cs="Times New Roman"/>
              </w:rPr>
              <w:t>21 996</w:t>
            </w:r>
          </w:p>
        </w:tc>
        <w:tc>
          <w:tcPr>
            <w:tcW w:w="156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E711E4" w:rsidRPr="005360FA" w:rsidP="00854617">
            <w:pPr>
              <w:spacing w:line="240" w:lineRule="auto"/>
              <w:jc w:val="right"/>
              <w:rPr>
                <w:rFonts w:ascii="Arial Narrow" w:hAnsi="Arial Narrow" w:cs="Times New Roman"/>
              </w:rPr>
            </w:pPr>
            <w:r>
              <w:rPr>
                <w:rFonts w:ascii="Arial Narrow" w:hAnsi="Arial Narrow" w:cs="Times New Roman"/>
              </w:rPr>
              <w:t>24 025</w:t>
            </w:r>
          </w:p>
        </w:tc>
      </w:tr>
      <w:tr>
        <w:tblPrEx>
          <w:tblW w:w="8580" w:type="dxa"/>
          <w:tblInd w:w="610" w:type="dxa"/>
          <w:tblCellMar>
            <w:left w:w="70" w:type="dxa"/>
            <w:right w:w="70" w:type="dxa"/>
          </w:tblCellMar>
        </w:tblPrEx>
        <w:trPr>
          <w:trHeight w:hRule="exact" w:val="227"/>
        </w:trPr>
        <w:tc>
          <w:tcPr>
            <w:tcW w:w="556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E711E4" w:rsidRPr="005360FA" w:rsidP="00854617">
            <w:pPr>
              <w:spacing w:line="240" w:lineRule="auto"/>
              <w:jc w:val="left"/>
              <w:rPr>
                <w:rFonts w:ascii="Arial Narrow" w:hAnsi="Arial Narrow" w:cs="Times New Roman"/>
              </w:rPr>
            </w:pPr>
            <w:r>
              <w:rPr>
                <w:rFonts w:ascii="Arial Narrow" w:hAnsi="Arial Narrow" w:cs="Times New Roman"/>
              </w:rPr>
              <w:t>Ostatný dlhodobý hmotný majetok</w:t>
            </w:r>
          </w:p>
        </w:tc>
        <w:tc>
          <w:tcPr>
            <w:tcW w:w="146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E711E4" w:rsidP="00854617">
            <w:pPr>
              <w:spacing w:line="240" w:lineRule="auto"/>
              <w:jc w:val="right"/>
              <w:rPr>
                <w:rFonts w:ascii="Arial Narrow" w:hAnsi="Arial Narrow" w:cs="Times New Roman"/>
              </w:rPr>
            </w:pPr>
            <w:r w:rsidR="009349CA">
              <w:rPr>
                <w:rFonts w:ascii="Arial Narrow" w:hAnsi="Arial Narrow" w:cs="Times New Roman"/>
              </w:rPr>
              <w:t>66</w:t>
            </w:r>
          </w:p>
        </w:tc>
        <w:tc>
          <w:tcPr>
            <w:tcW w:w="156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E711E4" w:rsidP="00854617">
            <w:pPr>
              <w:spacing w:line="240" w:lineRule="auto"/>
              <w:jc w:val="right"/>
              <w:rPr>
                <w:rFonts w:ascii="Arial Narrow" w:hAnsi="Arial Narrow" w:cs="Times New Roman"/>
              </w:rPr>
            </w:pPr>
            <w:r w:rsidR="009349CA">
              <w:rPr>
                <w:rFonts w:ascii="Arial Narrow" w:hAnsi="Arial Narrow" w:cs="Times New Roman"/>
              </w:rPr>
              <w:t>104</w:t>
            </w:r>
          </w:p>
        </w:tc>
      </w:tr>
      <w:tr>
        <w:tblPrEx>
          <w:tblW w:w="8580" w:type="dxa"/>
          <w:tblInd w:w="610" w:type="dxa"/>
          <w:tblCellMar>
            <w:left w:w="70" w:type="dxa"/>
            <w:right w:w="70" w:type="dxa"/>
          </w:tblCellMar>
        </w:tblPrEx>
        <w:trPr>
          <w:trHeight w:hRule="exact" w:val="227"/>
        </w:trPr>
        <w:tc>
          <w:tcPr>
            <w:tcW w:w="556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E711E4" w:rsidRPr="005360FA" w:rsidP="00854617">
            <w:pPr>
              <w:spacing w:line="240" w:lineRule="auto"/>
              <w:jc w:val="left"/>
              <w:rPr>
                <w:rFonts w:ascii="Arial Narrow" w:hAnsi="Arial Narrow" w:cs="Times New Roman"/>
              </w:rPr>
            </w:pPr>
            <w:r w:rsidRPr="005360FA">
              <w:rPr>
                <w:rFonts w:ascii="Arial Narrow" w:hAnsi="Arial Narrow" w:cs="Times New Roman"/>
              </w:rPr>
              <w:t xml:space="preserve">Obstarávaný dlhodobý hmotný majetok </w:t>
            </w:r>
          </w:p>
        </w:tc>
        <w:tc>
          <w:tcPr>
            <w:tcW w:w="146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E711E4" w:rsidRPr="005360FA" w:rsidP="00854617">
            <w:pPr>
              <w:spacing w:line="240" w:lineRule="auto"/>
              <w:jc w:val="right"/>
              <w:rPr>
                <w:rFonts w:ascii="Arial Narrow" w:hAnsi="Arial Narrow" w:cs="Times New Roman"/>
              </w:rPr>
            </w:pPr>
            <w:r w:rsidR="009349CA">
              <w:rPr>
                <w:rFonts w:ascii="Arial Narrow" w:hAnsi="Arial Narrow" w:cs="Times New Roman"/>
              </w:rPr>
              <w:t>1 457</w:t>
            </w:r>
          </w:p>
        </w:tc>
        <w:tc>
          <w:tcPr>
            <w:tcW w:w="156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E711E4" w:rsidRPr="005360FA" w:rsidP="00854617">
            <w:pPr>
              <w:spacing w:line="240" w:lineRule="auto"/>
              <w:jc w:val="right"/>
              <w:rPr>
                <w:rFonts w:ascii="Arial Narrow" w:hAnsi="Arial Narrow" w:cs="Times New Roman"/>
              </w:rPr>
            </w:pPr>
            <w:r w:rsidR="009349CA">
              <w:rPr>
                <w:rFonts w:ascii="Arial Narrow" w:hAnsi="Arial Narrow" w:cs="Times New Roman"/>
              </w:rPr>
              <w:t>14 263</w:t>
            </w:r>
          </w:p>
        </w:tc>
      </w:tr>
      <w:tr>
        <w:tblPrEx>
          <w:tblW w:w="8580" w:type="dxa"/>
          <w:tblInd w:w="610" w:type="dxa"/>
          <w:tblCellMar>
            <w:left w:w="70" w:type="dxa"/>
            <w:right w:w="70" w:type="dxa"/>
          </w:tblCellMar>
        </w:tblPrEx>
        <w:trPr>
          <w:trHeight w:hRule="exact" w:val="227"/>
        </w:trPr>
        <w:tc>
          <w:tcPr>
            <w:tcW w:w="556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9349CA" w:rsidRPr="005360FA" w:rsidP="00854617">
            <w:pPr>
              <w:spacing w:line="240" w:lineRule="auto"/>
              <w:jc w:val="left"/>
              <w:rPr>
                <w:rFonts w:ascii="Arial Narrow" w:hAnsi="Arial Narrow" w:cs="Times New Roman"/>
              </w:rPr>
            </w:pPr>
            <w:r>
              <w:rPr>
                <w:rFonts w:ascii="Arial Narrow" w:hAnsi="Arial Narrow" w:cs="Times New Roman"/>
              </w:rPr>
              <w:t>Podielové cenné papiere a podiely v spol. s podstatným vplyvom</w:t>
            </w:r>
          </w:p>
        </w:tc>
        <w:tc>
          <w:tcPr>
            <w:tcW w:w="146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9349CA" w:rsidP="00854617">
            <w:pPr>
              <w:spacing w:line="240" w:lineRule="auto"/>
              <w:jc w:val="right"/>
              <w:rPr>
                <w:rFonts w:ascii="Arial Narrow" w:hAnsi="Arial Narrow" w:cs="Times New Roman"/>
              </w:rPr>
            </w:pPr>
            <w:r>
              <w:rPr>
                <w:rFonts w:ascii="Arial Narrow" w:hAnsi="Arial Narrow" w:cs="Times New Roman"/>
              </w:rPr>
              <w:t>30</w:t>
            </w:r>
          </w:p>
        </w:tc>
        <w:tc>
          <w:tcPr>
            <w:tcW w:w="156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9349CA" w:rsidP="00854617">
            <w:pPr>
              <w:spacing w:line="240" w:lineRule="auto"/>
              <w:jc w:val="right"/>
              <w:rPr>
                <w:rFonts w:ascii="Arial Narrow" w:hAnsi="Arial Narrow" w:cs="Times New Roman"/>
              </w:rPr>
            </w:pPr>
            <w:r>
              <w:rPr>
                <w:rFonts w:ascii="Arial Narrow" w:hAnsi="Arial Narrow" w:cs="Times New Roman"/>
              </w:rPr>
              <w:t>30</w:t>
            </w:r>
          </w:p>
        </w:tc>
      </w:tr>
      <w:tr>
        <w:tblPrEx>
          <w:tblW w:w="8580" w:type="dxa"/>
          <w:tblInd w:w="610" w:type="dxa"/>
          <w:tblCellMar>
            <w:left w:w="70" w:type="dxa"/>
            <w:right w:w="70" w:type="dxa"/>
          </w:tblCellMar>
        </w:tblPrEx>
        <w:trPr>
          <w:trHeight w:hRule="exact" w:val="227"/>
        </w:trPr>
        <w:tc>
          <w:tcPr>
            <w:tcW w:w="556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E711E4" w:rsidRPr="005360FA" w:rsidP="00854617">
            <w:pPr>
              <w:spacing w:line="240" w:lineRule="auto"/>
              <w:jc w:val="left"/>
              <w:rPr>
                <w:rFonts w:ascii="Arial Narrow" w:hAnsi="Arial Narrow" w:cs="Times New Roman"/>
              </w:rPr>
            </w:pPr>
            <w:r w:rsidRPr="005360FA">
              <w:rPr>
                <w:rFonts w:ascii="Arial Narrow" w:hAnsi="Arial Narrow" w:cs="Times New Roman"/>
              </w:rPr>
              <w:t xml:space="preserve">Obežný majetok </w:t>
            </w:r>
          </w:p>
        </w:tc>
        <w:tc>
          <w:tcPr>
            <w:tcW w:w="146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E711E4" w:rsidRPr="005360FA" w:rsidP="00854617">
            <w:pPr>
              <w:spacing w:line="240" w:lineRule="auto"/>
              <w:jc w:val="right"/>
              <w:rPr>
                <w:rFonts w:ascii="Arial Narrow" w:hAnsi="Arial Narrow" w:cs="Times New Roman"/>
              </w:rPr>
            </w:pPr>
            <w:r w:rsidR="009349CA">
              <w:rPr>
                <w:rFonts w:ascii="Arial Narrow" w:hAnsi="Arial Narrow" w:cs="Times New Roman"/>
              </w:rPr>
              <w:t>49 794</w:t>
            </w:r>
          </w:p>
        </w:tc>
        <w:tc>
          <w:tcPr>
            <w:tcW w:w="156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E711E4" w:rsidRPr="005360FA" w:rsidP="00854617">
            <w:pPr>
              <w:spacing w:line="240" w:lineRule="auto"/>
              <w:jc w:val="right"/>
              <w:rPr>
                <w:rFonts w:ascii="Arial Narrow" w:hAnsi="Arial Narrow" w:cs="Times New Roman"/>
              </w:rPr>
            </w:pPr>
            <w:r w:rsidR="009349CA">
              <w:rPr>
                <w:rFonts w:ascii="Arial Narrow" w:hAnsi="Arial Narrow" w:cs="Times New Roman"/>
              </w:rPr>
              <w:t>29 419</w:t>
            </w:r>
          </w:p>
        </w:tc>
      </w:tr>
      <w:tr>
        <w:tblPrEx>
          <w:tblW w:w="8580" w:type="dxa"/>
          <w:tblInd w:w="610" w:type="dxa"/>
          <w:tblCellMar>
            <w:left w:w="70" w:type="dxa"/>
            <w:right w:w="70" w:type="dxa"/>
          </w:tblCellMar>
        </w:tblPrEx>
        <w:trPr>
          <w:trHeight w:hRule="exact" w:val="227"/>
        </w:trPr>
        <w:tc>
          <w:tcPr>
            <w:tcW w:w="556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E711E4" w:rsidRPr="005360FA" w:rsidP="00854617">
            <w:pPr>
              <w:spacing w:line="240" w:lineRule="auto"/>
              <w:jc w:val="left"/>
              <w:rPr>
                <w:rFonts w:ascii="Arial Narrow" w:hAnsi="Arial Narrow" w:cs="Times New Roman"/>
              </w:rPr>
            </w:pPr>
            <w:r w:rsidRPr="005360FA">
              <w:rPr>
                <w:rFonts w:ascii="Arial Narrow" w:hAnsi="Arial Narrow" w:cs="Times New Roman"/>
              </w:rPr>
              <w:t xml:space="preserve">Zásoby súčet </w:t>
            </w:r>
          </w:p>
        </w:tc>
        <w:tc>
          <w:tcPr>
            <w:tcW w:w="146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E711E4" w:rsidRPr="005360FA" w:rsidP="00854617">
            <w:pPr>
              <w:spacing w:line="240" w:lineRule="auto"/>
              <w:jc w:val="right"/>
              <w:rPr>
                <w:rFonts w:ascii="Arial Narrow" w:hAnsi="Arial Narrow" w:cs="Times New Roman"/>
              </w:rPr>
            </w:pPr>
            <w:r w:rsidR="009349CA">
              <w:rPr>
                <w:rFonts w:ascii="Arial Narrow" w:hAnsi="Arial Narrow" w:cs="Times New Roman"/>
              </w:rPr>
              <w:t>3 867</w:t>
            </w:r>
          </w:p>
        </w:tc>
        <w:tc>
          <w:tcPr>
            <w:tcW w:w="156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E711E4" w:rsidRPr="005360FA" w:rsidP="00854617">
            <w:pPr>
              <w:spacing w:line="240" w:lineRule="auto"/>
              <w:jc w:val="right"/>
              <w:rPr>
                <w:rFonts w:ascii="Arial Narrow" w:hAnsi="Arial Narrow" w:cs="Times New Roman"/>
              </w:rPr>
            </w:pPr>
            <w:r w:rsidR="009349CA">
              <w:rPr>
                <w:rFonts w:ascii="Arial Narrow" w:hAnsi="Arial Narrow" w:cs="Times New Roman"/>
              </w:rPr>
              <w:t>4 215</w:t>
            </w:r>
          </w:p>
        </w:tc>
      </w:tr>
      <w:tr>
        <w:tblPrEx>
          <w:tblW w:w="8580" w:type="dxa"/>
          <w:tblInd w:w="610" w:type="dxa"/>
          <w:tblCellMar>
            <w:left w:w="70" w:type="dxa"/>
            <w:right w:w="70" w:type="dxa"/>
          </w:tblCellMar>
        </w:tblPrEx>
        <w:trPr>
          <w:trHeight w:hRule="exact" w:val="227"/>
        </w:trPr>
        <w:tc>
          <w:tcPr>
            <w:tcW w:w="556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E711E4" w:rsidRPr="005360FA" w:rsidP="00854617">
            <w:pPr>
              <w:spacing w:line="240" w:lineRule="auto"/>
              <w:jc w:val="left"/>
              <w:rPr>
                <w:rFonts w:ascii="Arial Narrow" w:hAnsi="Arial Narrow" w:cs="Times New Roman"/>
              </w:rPr>
            </w:pPr>
            <w:r w:rsidRPr="005360FA">
              <w:rPr>
                <w:rFonts w:ascii="Arial Narrow" w:hAnsi="Arial Narrow" w:cs="Times New Roman"/>
              </w:rPr>
              <w:t xml:space="preserve">Materiál </w:t>
            </w:r>
          </w:p>
        </w:tc>
        <w:tc>
          <w:tcPr>
            <w:tcW w:w="146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E711E4" w:rsidRPr="005360FA" w:rsidP="00854617">
            <w:pPr>
              <w:spacing w:line="240" w:lineRule="auto"/>
              <w:jc w:val="right"/>
              <w:rPr>
                <w:rFonts w:ascii="Arial Narrow" w:hAnsi="Arial Narrow" w:cs="Times New Roman"/>
              </w:rPr>
            </w:pPr>
            <w:r w:rsidR="009349CA">
              <w:rPr>
                <w:rFonts w:ascii="Arial Narrow" w:hAnsi="Arial Narrow" w:cs="Times New Roman"/>
              </w:rPr>
              <w:t>1 666</w:t>
            </w:r>
          </w:p>
        </w:tc>
        <w:tc>
          <w:tcPr>
            <w:tcW w:w="156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E711E4" w:rsidRPr="005360FA" w:rsidP="00854617">
            <w:pPr>
              <w:spacing w:line="240" w:lineRule="auto"/>
              <w:jc w:val="right"/>
              <w:rPr>
                <w:rFonts w:ascii="Arial Narrow" w:hAnsi="Arial Narrow" w:cs="Times New Roman"/>
              </w:rPr>
            </w:pPr>
            <w:r w:rsidR="009349CA">
              <w:rPr>
                <w:rFonts w:ascii="Arial Narrow" w:hAnsi="Arial Narrow" w:cs="Times New Roman"/>
              </w:rPr>
              <w:t>2 016</w:t>
            </w:r>
          </w:p>
        </w:tc>
      </w:tr>
      <w:tr>
        <w:tblPrEx>
          <w:tblW w:w="8580" w:type="dxa"/>
          <w:tblInd w:w="610" w:type="dxa"/>
          <w:tblCellMar>
            <w:left w:w="70" w:type="dxa"/>
            <w:right w:w="70" w:type="dxa"/>
          </w:tblCellMar>
        </w:tblPrEx>
        <w:trPr>
          <w:trHeight w:hRule="exact" w:val="227"/>
        </w:trPr>
        <w:tc>
          <w:tcPr>
            <w:tcW w:w="556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E711E4" w:rsidRPr="005360FA" w:rsidP="00854617">
            <w:pPr>
              <w:spacing w:line="240" w:lineRule="auto"/>
              <w:jc w:val="left"/>
              <w:rPr>
                <w:rFonts w:ascii="Arial Narrow" w:hAnsi="Arial Narrow" w:cs="Times New Roman"/>
              </w:rPr>
            </w:pPr>
            <w:r w:rsidRPr="005360FA">
              <w:rPr>
                <w:rFonts w:ascii="Arial Narrow" w:hAnsi="Arial Narrow" w:cs="Times New Roman"/>
              </w:rPr>
              <w:t xml:space="preserve">Tovar </w:t>
            </w:r>
          </w:p>
        </w:tc>
        <w:tc>
          <w:tcPr>
            <w:tcW w:w="146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E711E4" w:rsidRPr="005360FA" w:rsidP="00854617">
            <w:pPr>
              <w:spacing w:line="240" w:lineRule="auto"/>
              <w:jc w:val="right"/>
              <w:rPr>
                <w:rFonts w:ascii="Arial Narrow" w:hAnsi="Arial Narrow" w:cs="Times New Roman"/>
              </w:rPr>
            </w:pPr>
            <w:r w:rsidR="009349CA">
              <w:rPr>
                <w:rFonts w:ascii="Arial Narrow" w:hAnsi="Arial Narrow" w:cs="Times New Roman"/>
              </w:rPr>
              <w:t>2 277</w:t>
            </w:r>
          </w:p>
        </w:tc>
        <w:tc>
          <w:tcPr>
            <w:tcW w:w="156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E711E4" w:rsidRPr="005360FA" w:rsidP="00854617">
            <w:pPr>
              <w:spacing w:line="240" w:lineRule="auto"/>
              <w:jc w:val="right"/>
              <w:rPr>
                <w:rFonts w:ascii="Arial Narrow" w:hAnsi="Arial Narrow" w:cs="Times New Roman"/>
              </w:rPr>
            </w:pPr>
            <w:r w:rsidR="009349CA">
              <w:rPr>
                <w:rFonts w:ascii="Arial Narrow" w:hAnsi="Arial Narrow" w:cs="Times New Roman"/>
              </w:rPr>
              <w:t>2 199</w:t>
            </w:r>
          </w:p>
        </w:tc>
      </w:tr>
      <w:tr>
        <w:tblPrEx>
          <w:tblW w:w="8580" w:type="dxa"/>
          <w:tblInd w:w="610" w:type="dxa"/>
          <w:tblCellMar>
            <w:left w:w="70" w:type="dxa"/>
            <w:right w:w="70" w:type="dxa"/>
          </w:tblCellMar>
        </w:tblPrEx>
        <w:trPr>
          <w:trHeight w:hRule="exact" w:val="227"/>
        </w:trPr>
        <w:tc>
          <w:tcPr>
            <w:tcW w:w="556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E711E4" w:rsidRPr="005360FA" w:rsidP="00854617">
            <w:pPr>
              <w:spacing w:line="240" w:lineRule="auto"/>
              <w:jc w:val="left"/>
              <w:rPr>
                <w:rFonts w:ascii="Arial Narrow" w:hAnsi="Arial Narrow" w:cs="Times New Roman"/>
              </w:rPr>
            </w:pPr>
            <w:r>
              <w:rPr>
                <w:rFonts w:ascii="Arial Narrow" w:hAnsi="Arial Narrow" w:cs="Times New Roman"/>
              </w:rPr>
              <w:t xml:space="preserve">Poskytnuté preddavky na zásoby </w:t>
            </w:r>
          </w:p>
        </w:tc>
        <w:tc>
          <w:tcPr>
            <w:tcW w:w="146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E711E4" w:rsidRPr="005360FA" w:rsidP="00854617">
            <w:pPr>
              <w:spacing w:line="240" w:lineRule="auto"/>
              <w:jc w:val="right"/>
              <w:rPr>
                <w:rFonts w:ascii="Arial Narrow" w:hAnsi="Arial Narrow" w:cs="Times New Roman"/>
              </w:rPr>
            </w:pPr>
            <w:r w:rsidR="009349CA">
              <w:rPr>
                <w:rFonts w:ascii="Arial Narrow" w:hAnsi="Arial Narrow" w:cs="Times New Roman"/>
              </w:rPr>
              <w:t>- 76</w:t>
            </w:r>
          </w:p>
        </w:tc>
        <w:tc>
          <w:tcPr>
            <w:tcW w:w="156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E711E4" w:rsidRPr="005360FA" w:rsidP="00854617">
            <w:pPr>
              <w:spacing w:line="240" w:lineRule="auto"/>
              <w:jc w:val="right"/>
              <w:rPr>
                <w:rFonts w:ascii="Arial Narrow" w:hAnsi="Arial Narrow" w:cs="Times New Roman"/>
              </w:rPr>
            </w:pPr>
            <w:r>
              <w:rPr>
                <w:rFonts w:ascii="Arial Narrow" w:hAnsi="Arial Narrow" w:cs="Times New Roman"/>
              </w:rPr>
              <w:t>-</w:t>
            </w:r>
          </w:p>
        </w:tc>
      </w:tr>
      <w:tr>
        <w:tblPrEx>
          <w:tblW w:w="8580" w:type="dxa"/>
          <w:tblInd w:w="610" w:type="dxa"/>
          <w:tblCellMar>
            <w:left w:w="70" w:type="dxa"/>
            <w:right w:w="70" w:type="dxa"/>
          </w:tblCellMar>
        </w:tblPrEx>
        <w:trPr>
          <w:trHeight w:hRule="exact" w:val="227"/>
        </w:trPr>
        <w:tc>
          <w:tcPr>
            <w:tcW w:w="556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9349CA" w:rsidRPr="005360FA" w:rsidP="00854617">
            <w:pPr>
              <w:spacing w:line="240" w:lineRule="auto"/>
              <w:jc w:val="left"/>
              <w:rPr>
                <w:rFonts w:ascii="Arial Narrow" w:hAnsi="Arial Narrow" w:cs="Times New Roman"/>
              </w:rPr>
            </w:pPr>
            <w:r>
              <w:rPr>
                <w:rFonts w:ascii="Arial Narrow" w:hAnsi="Arial Narrow" w:cs="Times New Roman"/>
              </w:rPr>
              <w:t>Dlhodobé pohľadávky súčet</w:t>
            </w:r>
          </w:p>
        </w:tc>
        <w:tc>
          <w:tcPr>
            <w:tcW w:w="146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9349CA" w:rsidP="00854617">
            <w:pPr>
              <w:spacing w:line="240" w:lineRule="auto"/>
              <w:jc w:val="right"/>
              <w:rPr>
                <w:rFonts w:ascii="Arial Narrow" w:hAnsi="Arial Narrow" w:cs="Times New Roman"/>
              </w:rPr>
            </w:pPr>
            <w:r w:rsidR="006031C5">
              <w:rPr>
                <w:rFonts w:ascii="Arial Narrow" w:hAnsi="Arial Narrow" w:cs="Times New Roman"/>
              </w:rPr>
              <w:t>4</w:t>
            </w:r>
          </w:p>
        </w:tc>
        <w:tc>
          <w:tcPr>
            <w:tcW w:w="156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9349CA" w:rsidP="00854617">
            <w:pPr>
              <w:spacing w:line="240" w:lineRule="auto"/>
              <w:jc w:val="right"/>
              <w:rPr>
                <w:rFonts w:ascii="Arial Narrow" w:hAnsi="Arial Narrow" w:cs="Times New Roman"/>
              </w:rPr>
            </w:pPr>
            <w:r w:rsidR="006031C5">
              <w:rPr>
                <w:rFonts w:ascii="Arial Narrow" w:hAnsi="Arial Narrow" w:cs="Times New Roman"/>
              </w:rPr>
              <w:t>5</w:t>
            </w:r>
          </w:p>
        </w:tc>
      </w:tr>
      <w:tr>
        <w:tblPrEx>
          <w:tblW w:w="8580" w:type="dxa"/>
          <w:tblInd w:w="610" w:type="dxa"/>
          <w:tblCellMar>
            <w:left w:w="70" w:type="dxa"/>
            <w:right w:w="70" w:type="dxa"/>
          </w:tblCellMar>
        </w:tblPrEx>
        <w:trPr>
          <w:trHeight w:hRule="exact" w:val="227"/>
        </w:trPr>
        <w:tc>
          <w:tcPr>
            <w:tcW w:w="556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E711E4" w:rsidRPr="005360FA" w:rsidP="00854617">
            <w:pPr>
              <w:spacing w:line="240" w:lineRule="auto"/>
              <w:jc w:val="left"/>
              <w:rPr>
                <w:rFonts w:ascii="Arial Narrow" w:hAnsi="Arial Narrow" w:cs="Times New Roman"/>
              </w:rPr>
            </w:pPr>
            <w:r w:rsidRPr="005360FA">
              <w:rPr>
                <w:rFonts w:ascii="Arial Narrow" w:hAnsi="Arial Narrow" w:cs="Times New Roman"/>
              </w:rPr>
              <w:t xml:space="preserve">Krátkodobé pohľadávky súčet </w:t>
            </w:r>
          </w:p>
        </w:tc>
        <w:tc>
          <w:tcPr>
            <w:tcW w:w="146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E711E4" w:rsidRPr="005360FA" w:rsidP="00854617">
            <w:pPr>
              <w:spacing w:line="240" w:lineRule="auto"/>
              <w:jc w:val="right"/>
              <w:rPr>
                <w:rFonts w:ascii="Arial Narrow" w:hAnsi="Arial Narrow" w:cs="Times New Roman"/>
              </w:rPr>
            </w:pPr>
            <w:r w:rsidR="009349CA">
              <w:rPr>
                <w:rFonts w:ascii="Arial Narrow" w:hAnsi="Arial Narrow" w:cs="Times New Roman"/>
              </w:rPr>
              <w:t>30 052</w:t>
            </w:r>
          </w:p>
        </w:tc>
        <w:tc>
          <w:tcPr>
            <w:tcW w:w="156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E711E4" w:rsidRPr="005360FA" w:rsidP="00854617">
            <w:pPr>
              <w:spacing w:line="240" w:lineRule="auto"/>
              <w:jc w:val="right"/>
              <w:rPr>
                <w:rFonts w:ascii="Arial Narrow" w:hAnsi="Arial Narrow" w:cs="Times New Roman"/>
              </w:rPr>
            </w:pPr>
            <w:r w:rsidR="009349CA">
              <w:rPr>
                <w:rFonts w:ascii="Arial Narrow" w:hAnsi="Arial Narrow" w:cs="Times New Roman"/>
              </w:rPr>
              <w:t>6 575</w:t>
            </w:r>
          </w:p>
        </w:tc>
      </w:tr>
      <w:tr>
        <w:tblPrEx>
          <w:tblW w:w="8580" w:type="dxa"/>
          <w:tblInd w:w="610" w:type="dxa"/>
          <w:tblCellMar>
            <w:left w:w="70" w:type="dxa"/>
            <w:right w:w="70" w:type="dxa"/>
          </w:tblCellMar>
        </w:tblPrEx>
        <w:trPr>
          <w:trHeight w:hRule="exact" w:val="227"/>
        </w:trPr>
        <w:tc>
          <w:tcPr>
            <w:tcW w:w="556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E711E4" w:rsidRPr="005360FA" w:rsidP="00854617">
            <w:pPr>
              <w:spacing w:line="240" w:lineRule="auto"/>
              <w:jc w:val="left"/>
              <w:rPr>
                <w:rFonts w:ascii="Arial Narrow" w:hAnsi="Arial Narrow" w:cs="Times New Roman"/>
              </w:rPr>
            </w:pPr>
            <w:r w:rsidRPr="005360FA">
              <w:rPr>
                <w:rFonts w:ascii="Arial Narrow" w:hAnsi="Arial Narrow" w:cs="Times New Roman"/>
              </w:rPr>
              <w:t>Pohľadávky z obchodného styku</w:t>
            </w:r>
          </w:p>
        </w:tc>
        <w:tc>
          <w:tcPr>
            <w:tcW w:w="146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E711E4" w:rsidRPr="005360FA" w:rsidP="00854617">
            <w:pPr>
              <w:spacing w:line="240" w:lineRule="auto"/>
              <w:jc w:val="right"/>
              <w:rPr>
                <w:rFonts w:ascii="Arial Narrow" w:hAnsi="Arial Narrow" w:cs="Times New Roman"/>
              </w:rPr>
            </w:pPr>
            <w:r w:rsidR="009349CA">
              <w:rPr>
                <w:rFonts w:ascii="Arial Narrow" w:hAnsi="Arial Narrow" w:cs="Times New Roman"/>
              </w:rPr>
              <w:t>5 457</w:t>
            </w:r>
          </w:p>
        </w:tc>
        <w:tc>
          <w:tcPr>
            <w:tcW w:w="156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E711E4" w:rsidRPr="005360FA" w:rsidP="00854617">
            <w:pPr>
              <w:spacing w:line="240" w:lineRule="auto"/>
              <w:jc w:val="right"/>
              <w:rPr>
                <w:rFonts w:ascii="Arial Narrow" w:hAnsi="Arial Narrow" w:cs="Times New Roman"/>
              </w:rPr>
            </w:pPr>
            <w:r w:rsidR="009349CA">
              <w:rPr>
                <w:rFonts w:ascii="Arial Narrow" w:hAnsi="Arial Narrow" w:cs="Times New Roman"/>
              </w:rPr>
              <w:t>4 399</w:t>
            </w:r>
          </w:p>
        </w:tc>
      </w:tr>
      <w:tr>
        <w:tblPrEx>
          <w:tblW w:w="8580" w:type="dxa"/>
          <w:tblInd w:w="610" w:type="dxa"/>
          <w:tblCellMar>
            <w:left w:w="70" w:type="dxa"/>
            <w:right w:w="70" w:type="dxa"/>
          </w:tblCellMar>
        </w:tblPrEx>
        <w:trPr>
          <w:trHeight w:hRule="exact" w:val="227"/>
        </w:trPr>
        <w:tc>
          <w:tcPr>
            <w:tcW w:w="556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9349CA" w:rsidRPr="005360FA" w:rsidP="00854617">
            <w:pPr>
              <w:spacing w:line="240" w:lineRule="auto"/>
              <w:jc w:val="left"/>
              <w:rPr>
                <w:rFonts w:ascii="Arial Narrow" w:hAnsi="Arial Narrow" w:cs="Times New Roman"/>
              </w:rPr>
            </w:pPr>
            <w:r>
              <w:rPr>
                <w:rFonts w:ascii="Arial Narrow" w:hAnsi="Arial Narrow" w:cs="Times New Roman"/>
              </w:rPr>
              <w:t>Pohľadávky voči spoloč., člen. a združ.</w:t>
            </w:r>
          </w:p>
        </w:tc>
        <w:tc>
          <w:tcPr>
            <w:tcW w:w="146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9349CA" w:rsidP="00854617">
            <w:pPr>
              <w:spacing w:line="240" w:lineRule="auto"/>
              <w:jc w:val="right"/>
              <w:rPr>
                <w:rFonts w:ascii="Arial Narrow" w:hAnsi="Arial Narrow" w:cs="Times New Roman"/>
              </w:rPr>
            </w:pPr>
            <w:r>
              <w:rPr>
                <w:rFonts w:ascii="Arial Narrow" w:hAnsi="Arial Narrow" w:cs="Times New Roman"/>
              </w:rPr>
              <w:t>0</w:t>
            </w:r>
          </w:p>
        </w:tc>
        <w:tc>
          <w:tcPr>
            <w:tcW w:w="156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9349CA" w:rsidP="00854617">
            <w:pPr>
              <w:spacing w:line="240" w:lineRule="auto"/>
              <w:jc w:val="right"/>
              <w:rPr>
                <w:rFonts w:ascii="Arial Narrow" w:hAnsi="Arial Narrow" w:cs="Times New Roman"/>
              </w:rPr>
            </w:pPr>
            <w:r>
              <w:rPr>
                <w:rFonts w:ascii="Arial Narrow" w:hAnsi="Arial Narrow" w:cs="Times New Roman"/>
              </w:rPr>
              <w:t>- 464</w:t>
            </w:r>
          </w:p>
        </w:tc>
      </w:tr>
      <w:tr>
        <w:tblPrEx>
          <w:tblW w:w="8580" w:type="dxa"/>
          <w:tblInd w:w="610" w:type="dxa"/>
          <w:tblCellMar>
            <w:left w:w="70" w:type="dxa"/>
            <w:right w:w="70" w:type="dxa"/>
          </w:tblCellMar>
        </w:tblPrEx>
        <w:trPr>
          <w:trHeight w:hRule="exact" w:val="227"/>
        </w:trPr>
        <w:tc>
          <w:tcPr>
            <w:tcW w:w="556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E711E4" w:rsidRPr="005360FA" w:rsidP="00854617">
            <w:pPr>
              <w:spacing w:line="240" w:lineRule="auto"/>
              <w:jc w:val="left"/>
              <w:rPr>
                <w:rFonts w:ascii="Arial Narrow" w:hAnsi="Arial Narrow" w:cs="Times New Roman"/>
              </w:rPr>
            </w:pPr>
            <w:r w:rsidRPr="005360FA">
              <w:rPr>
                <w:rFonts w:ascii="Arial Narrow" w:hAnsi="Arial Narrow" w:cs="Times New Roman"/>
              </w:rPr>
              <w:t xml:space="preserve">Daňové pohľadávky </w:t>
            </w:r>
          </w:p>
        </w:tc>
        <w:tc>
          <w:tcPr>
            <w:tcW w:w="146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E711E4" w:rsidRPr="005360FA" w:rsidP="00854617">
            <w:pPr>
              <w:spacing w:line="240" w:lineRule="auto"/>
              <w:jc w:val="right"/>
              <w:rPr>
                <w:rFonts w:ascii="Arial Narrow" w:hAnsi="Arial Narrow" w:cs="Times New Roman"/>
              </w:rPr>
            </w:pPr>
            <w:r w:rsidR="009349CA">
              <w:rPr>
                <w:rFonts w:ascii="Arial Narrow" w:hAnsi="Arial Narrow" w:cs="Times New Roman"/>
              </w:rPr>
              <w:t>24 595</w:t>
            </w:r>
          </w:p>
        </w:tc>
        <w:tc>
          <w:tcPr>
            <w:tcW w:w="156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E711E4" w:rsidRPr="005360FA" w:rsidP="00854617">
            <w:pPr>
              <w:spacing w:line="240" w:lineRule="auto"/>
              <w:jc w:val="right"/>
              <w:rPr>
                <w:rFonts w:ascii="Arial Narrow" w:hAnsi="Arial Narrow" w:cs="Times New Roman"/>
              </w:rPr>
            </w:pPr>
            <w:r w:rsidR="009349CA">
              <w:rPr>
                <w:rFonts w:ascii="Arial Narrow" w:hAnsi="Arial Narrow" w:cs="Times New Roman"/>
              </w:rPr>
              <w:t>2 640</w:t>
            </w:r>
          </w:p>
        </w:tc>
      </w:tr>
      <w:tr>
        <w:tblPrEx>
          <w:tblW w:w="8580" w:type="dxa"/>
          <w:tblInd w:w="610" w:type="dxa"/>
          <w:tblCellMar>
            <w:left w:w="70" w:type="dxa"/>
            <w:right w:w="70" w:type="dxa"/>
          </w:tblCellMar>
        </w:tblPrEx>
        <w:trPr>
          <w:trHeight w:hRule="exact" w:val="227"/>
        </w:trPr>
        <w:tc>
          <w:tcPr>
            <w:tcW w:w="556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E711E4" w:rsidRPr="005360FA" w:rsidP="00854617">
            <w:pPr>
              <w:spacing w:line="240" w:lineRule="auto"/>
              <w:jc w:val="left"/>
              <w:rPr>
                <w:rFonts w:ascii="Arial Narrow" w:hAnsi="Arial Narrow" w:cs="Times New Roman"/>
              </w:rPr>
            </w:pPr>
            <w:r w:rsidRPr="005360FA">
              <w:rPr>
                <w:rFonts w:ascii="Arial Narrow" w:hAnsi="Arial Narrow" w:cs="Times New Roman"/>
              </w:rPr>
              <w:t xml:space="preserve">Finančné účty súčet </w:t>
            </w:r>
          </w:p>
        </w:tc>
        <w:tc>
          <w:tcPr>
            <w:tcW w:w="146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E711E4" w:rsidRPr="005360FA" w:rsidP="00854617">
            <w:pPr>
              <w:spacing w:line="240" w:lineRule="auto"/>
              <w:jc w:val="right"/>
              <w:rPr>
                <w:rFonts w:ascii="Arial Narrow" w:hAnsi="Arial Narrow" w:cs="Times New Roman"/>
              </w:rPr>
            </w:pPr>
            <w:r w:rsidR="009349CA">
              <w:rPr>
                <w:rFonts w:ascii="Arial Narrow" w:hAnsi="Arial Narrow" w:cs="Times New Roman"/>
              </w:rPr>
              <w:t>15 871</w:t>
            </w:r>
          </w:p>
        </w:tc>
        <w:tc>
          <w:tcPr>
            <w:tcW w:w="156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E711E4" w:rsidRPr="005360FA" w:rsidP="00854617">
            <w:pPr>
              <w:spacing w:line="240" w:lineRule="auto"/>
              <w:jc w:val="right"/>
              <w:rPr>
                <w:rFonts w:ascii="Arial Narrow" w:hAnsi="Arial Narrow" w:cs="Times New Roman"/>
              </w:rPr>
            </w:pPr>
            <w:r w:rsidR="009349CA">
              <w:rPr>
                <w:rFonts w:ascii="Arial Narrow" w:hAnsi="Arial Narrow" w:cs="Times New Roman"/>
              </w:rPr>
              <w:t>18 624</w:t>
            </w:r>
          </w:p>
        </w:tc>
      </w:tr>
      <w:tr>
        <w:tblPrEx>
          <w:tblW w:w="8580" w:type="dxa"/>
          <w:tblInd w:w="610" w:type="dxa"/>
          <w:tblCellMar>
            <w:left w:w="70" w:type="dxa"/>
            <w:right w:w="70" w:type="dxa"/>
          </w:tblCellMar>
        </w:tblPrEx>
        <w:trPr>
          <w:trHeight w:hRule="exact" w:val="227"/>
        </w:trPr>
        <w:tc>
          <w:tcPr>
            <w:tcW w:w="556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E711E4" w:rsidRPr="005360FA" w:rsidP="00854617">
            <w:pPr>
              <w:spacing w:line="240" w:lineRule="auto"/>
              <w:jc w:val="left"/>
              <w:rPr>
                <w:rFonts w:ascii="Arial Narrow" w:hAnsi="Arial Narrow" w:cs="Times New Roman"/>
              </w:rPr>
            </w:pPr>
            <w:r w:rsidRPr="005360FA">
              <w:rPr>
                <w:rFonts w:ascii="Arial Narrow" w:hAnsi="Arial Narrow" w:cs="Times New Roman"/>
              </w:rPr>
              <w:t xml:space="preserve">Peniaze </w:t>
            </w:r>
          </w:p>
        </w:tc>
        <w:tc>
          <w:tcPr>
            <w:tcW w:w="146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E711E4" w:rsidRPr="005360FA" w:rsidP="00854617">
            <w:pPr>
              <w:spacing w:line="240" w:lineRule="auto"/>
              <w:jc w:val="right"/>
              <w:rPr>
                <w:rFonts w:ascii="Arial Narrow" w:hAnsi="Arial Narrow" w:cs="Times New Roman"/>
              </w:rPr>
            </w:pPr>
            <w:r w:rsidR="009349CA">
              <w:rPr>
                <w:rFonts w:ascii="Arial Narrow" w:hAnsi="Arial Narrow" w:cs="Times New Roman"/>
              </w:rPr>
              <w:t>144</w:t>
            </w:r>
            <w:r>
              <w:rPr>
                <w:rFonts w:ascii="Arial Narrow" w:hAnsi="Arial Narrow" w:cs="Times New Roman"/>
              </w:rPr>
              <w:t xml:space="preserve"> </w:t>
            </w:r>
          </w:p>
        </w:tc>
        <w:tc>
          <w:tcPr>
            <w:tcW w:w="156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E711E4" w:rsidRPr="009349CA" w:rsidP="009349CA">
            <w:pPr>
              <w:spacing w:line="240" w:lineRule="auto"/>
              <w:jc w:val="right"/>
              <w:rPr>
                <w:rFonts w:ascii="Arial Narrow" w:hAnsi="Arial Narrow" w:cs="Times New Roman"/>
              </w:rPr>
            </w:pPr>
            <w:r w:rsidRPr="009349CA" w:rsidR="009349CA">
              <w:rPr>
                <w:rFonts w:ascii="Arial Narrow" w:hAnsi="Arial Narrow" w:cs="Times New Roman"/>
              </w:rPr>
              <w:t>279</w:t>
            </w:r>
          </w:p>
        </w:tc>
      </w:tr>
      <w:tr>
        <w:tblPrEx>
          <w:tblW w:w="8580" w:type="dxa"/>
          <w:tblInd w:w="610" w:type="dxa"/>
          <w:tblCellMar>
            <w:left w:w="70" w:type="dxa"/>
            <w:right w:w="70" w:type="dxa"/>
          </w:tblCellMar>
        </w:tblPrEx>
        <w:trPr>
          <w:trHeight w:hRule="exact" w:val="227"/>
        </w:trPr>
        <w:tc>
          <w:tcPr>
            <w:tcW w:w="556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E711E4" w:rsidRPr="005360FA" w:rsidP="00854617">
            <w:pPr>
              <w:spacing w:line="240" w:lineRule="auto"/>
              <w:jc w:val="left"/>
              <w:rPr>
                <w:rFonts w:ascii="Arial Narrow" w:hAnsi="Arial Narrow" w:cs="Times New Roman"/>
              </w:rPr>
            </w:pPr>
            <w:r w:rsidRPr="005360FA">
              <w:rPr>
                <w:rFonts w:ascii="Arial Narrow" w:hAnsi="Arial Narrow" w:cs="Times New Roman"/>
              </w:rPr>
              <w:t xml:space="preserve">Účty v bankách </w:t>
            </w:r>
          </w:p>
        </w:tc>
        <w:tc>
          <w:tcPr>
            <w:tcW w:w="146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E711E4" w:rsidRPr="005360FA" w:rsidP="00854617">
            <w:pPr>
              <w:spacing w:line="240" w:lineRule="auto"/>
              <w:jc w:val="right"/>
              <w:rPr>
                <w:rFonts w:ascii="Arial Narrow" w:hAnsi="Arial Narrow" w:cs="Times New Roman"/>
              </w:rPr>
            </w:pPr>
            <w:r w:rsidR="009349CA">
              <w:rPr>
                <w:rFonts w:ascii="Arial Narrow" w:hAnsi="Arial Narrow" w:cs="Times New Roman"/>
              </w:rPr>
              <w:t>15 726</w:t>
            </w:r>
          </w:p>
        </w:tc>
        <w:tc>
          <w:tcPr>
            <w:tcW w:w="156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E711E4" w:rsidRPr="005360FA" w:rsidP="00854617">
            <w:pPr>
              <w:spacing w:line="240" w:lineRule="auto"/>
              <w:jc w:val="right"/>
              <w:rPr>
                <w:rFonts w:ascii="Arial Narrow" w:hAnsi="Arial Narrow" w:cs="Times New Roman"/>
              </w:rPr>
            </w:pPr>
            <w:r w:rsidR="009349CA">
              <w:rPr>
                <w:rFonts w:ascii="Arial Narrow" w:hAnsi="Arial Narrow" w:cs="Times New Roman"/>
              </w:rPr>
              <w:t>18 345</w:t>
            </w:r>
          </w:p>
        </w:tc>
      </w:tr>
      <w:tr>
        <w:tblPrEx>
          <w:tblW w:w="8580" w:type="dxa"/>
          <w:tblInd w:w="610" w:type="dxa"/>
          <w:tblCellMar>
            <w:left w:w="70" w:type="dxa"/>
            <w:right w:w="70" w:type="dxa"/>
          </w:tblCellMar>
        </w:tblPrEx>
        <w:trPr>
          <w:trHeight w:hRule="exact" w:val="227"/>
        </w:trPr>
        <w:tc>
          <w:tcPr>
            <w:tcW w:w="556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E711E4" w:rsidRPr="005360FA" w:rsidP="00854617">
            <w:pPr>
              <w:spacing w:line="240" w:lineRule="auto"/>
              <w:jc w:val="left"/>
              <w:rPr>
                <w:rFonts w:ascii="Arial Narrow" w:hAnsi="Arial Narrow" w:cs="Times New Roman"/>
              </w:rPr>
            </w:pPr>
            <w:r w:rsidRPr="005360FA">
              <w:rPr>
                <w:rFonts w:ascii="Arial Narrow" w:hAnsi="Arial Narrow" w:cs="Times New Roman"/>
              </w:rPr>
              <w:t xml:space="preserve">Časové rozlíšenie </w:t>
            </w:r>
          </w:p>
        </w:tc>
        <w:tc>
          <w:tcPr>
            <w:tcW w:w="146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E711E4" w:rsidRPr="005360FA" w:rsidP="00854617">
            <w:pPr>
              <w:spacing w:line="240" w:lineRule="auto"/>
              <w:jc w:val="right"/>
              <w:rPr>
                <w:rFonts w:ascii="Arial Narrow" w:hAnsi="Arial Narrow" w:cs="Times New Roman"/>
              </w:rPr>
            </w:pPr>
            <w:r w:rsidR="009349CA">
              <w:rPr>
                <w:rFonts w:ascii="Arial Narrow" w:hAnsi="Arial Narrow" w:cs="Times New Roman"/>
              </w:rPr>
              <w:t>218</w:t>
            </w:r>
          </w:p>
        </w:tc>
        <w:tc>
          <w:tcPr>
            <w:tcW w:w="156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E711E4" w:rsidRPr="005360FA" w:rsidP="00854617">
            <w:pPr>
              <w:spacing w:line="240" w:lineRule="auto"/>
              <w:jc w:val="right"/>
              <w:rPr>
                <w:rFonts w:ascii="Arial Narrow" w:hAnsi="Arial Narrow" w:cs="Times New Roman"/>
              </w:rPr>
            </w:pPr>
            <w:r w:rsidR="009349CA">
              <w:rPr>
                <w:rFonts w:ascii="Arial Narrow" w:hAnsi="Arial Narrow" w:cs="Times New Roman"/>
              </w:rPr>
              <w:t>195</w:t>
            </w:r>
          </w:p>
        </w:tc>
      </w:tr>
      <w:tr>
        <w:tblPrEx>
          <w:tblW w:w="8580" w:type="dxa"/>
          <w:tblInd w:w="610" w:type="dxa"/>
          <w:tblCellMar>
            <w:left w:w="70" w:type="dxa"/>
            <w:right w:w="70" w:type="dxa"/>
          </w:tblCellMar>
        </w:tblPrEx>
        <w:trPr>
          <w:trHeight w:hRule="exact" w:val="227"/>
        </w:trPr>
        <w:tc>
          <w:tcPr>
            <w:tcW w:w="556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E711E4" w:rsidRPr="005360FA" w:rsidP="00854617">
            <w:pPr>
              <w:spacing w:line="240" w:lineRule="auto"/>
              <w:jc w:val="left"/>
              <w:rPr>
                <w:rFonts w:ascii="Arial Narrow" w:hAnsi="Arial Narrow" w:cs="Times New Roman"/>
              </w:rPr>
            </w:pPr>
            <w:r w:rsidRPr="005360FA">
              <w:rPr>
                <w:rFonts w:ascii="Arial Narrow" w:hAnsi="Arial Narrow" w:cs="Times New Roman"/>
              </w:rPr>
              <w:t>Náklady budúcich období</w:t>
            </w:r>
          </w:p>
        </w:tc>
        <w:tc>
          <w:tcPr>
            <w:tcW w:w="146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E711E4" w:rsidRPr="005360FA" w:rsidP="00854617">
            <w:pPr>
              <w:spacing w:line="240" w:lineRule="auto"/>
              <w:jc w:val="right"/>
              <w:rPr>
                <w:rFonts w:ascii="Arial Narrow" w:hAnsi="Arial Narrow" w:cs="Times New Roman"/>
              </w:rPr>
            </w:pPr>
            <w:r w:rsidR="009349CA">
              <w:rPr>
                <w:rFonts w:ascii="Arial Narrow" w:hAnsi="Arial Narrow" w:cs="Times New Roman"/>
              </w:rPr>
              <w:t>218</w:t>
            </w:r>
          </w:p>
        </w:tc>
        <w:tc>
          <w:tcPr>
            <w:tcW w:w="156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E711E4" w:rsidRPr="005360FA" w:rsidP="00854617">
            <w:pPr>
              <w:spacing w:line="240" w:lineRule="auto"/>
              <w:jc w:val="right"/>
              <w:rPr>
                <w:rFonts w:ascii="Arial Narrow" w:hAnsi="Arial Narrow" w:cs="Times New Roman"/>
              </w:rPr>
            </w:pPr>
            <w:r w:rsidR="009349CA">
              <w:rPr>
                <w:rFonts w:ascii="Arial Narrow" w:hAnsi="Arial Narrow" w:cs="Times New Roman"/>
              </w:rPr>
              <w:t>195</w:t>
            </w:r>
          </w:p>
        </w:tc>
      </w:tr>
      <w:tr>
        <w:tblPrEx>
          <w:tblW w:w="8580" w:type="dxa"/>
          <w:tblInd w:w="610" w:type="dxa"/>
          <w:tblCellMar>
            <w:left w:w="70" w:type="dxa"/>
            <w:right w:w="70" w:type="dxa"/>
          </w:tblCellMar>
        </w:tblPrEx>
        <w:trPr>
          <w:trHeight w:hRule="exact" w:val="227"/>
        </w:trPr>
        <w:tc>
          <w:tcPr>
            <w:tcW w:w="5560" w:type="dxa"/>
            <w:tcBorders>
              <w:top w:val="single" w:sz="4" w:space="0" w:color="auto"/>
              <w:left w:val="single" w:sz="8" w:space="0" w:color="auto"/>
              <w:bottom w:val="single" w:sz="8" w:space="0" w:color="auto"/>
              <w:right w:val="single" w:sz="8" w:space="0" w:color="auto"/>
              <w:tl2br w:val="nil"/>
              <w:tr2bl w:val="nil"/>
            </w:tcBorders>
            <w:shd w:val="clear" w:color="auto" w:fill="C0C0C0"/>
            <w:noWrap/>
            <w:textDirection w:val="lrTb"/>
            <w:vAlign w:val="center"/>
          </w:tcPr>
          <w:p w:rsidR="00E711E4" w:rsidRPr="005360FA" w:rsidP="00854617">
            <w:pPr>
              <w:spacing w:line="240" w:lineRule="auto"/>
              <w:rPr>
                <w:rFonts w:ascii="Arial Narrow" w:hAnsi="Arial Narrow" w:cs="Times New Roman"/>
              </w:rPr>
            </w:pPr>
            <w:r w:rsidRPr="005360FA">
              <w:rPr>
                <w:rFonts w:ascii="Arial Narrow" w:hAnsi="Arial Narrow" w:cs="Times New Roman"/>
              </w:rPr>
              <w:t xml:space="preserve">PASÍVA - SPOLU VLASTNÉ IMANIE A ZÁVÄZKY </w:t>
            </w:r>
          </w:p>
        </w:tc>
        <w:tc>
          <w:tcPr>
            <w:tcW w:w="1460" w:type="dxa"/>
            <w:tcBorders>
              <w:top w:val="single" w:sz="4" w:space="0" w:color="auto"/>
              <w:left w:val="single" w:sz="8" w:space="0" w:color="auto"/>
              <w:bottom w:val="single" w:sz="8" w:space="0" w:color="auto"/>
              <w:right w:val="single" w:sz="8" w:space="0" w:color="auto"/>
              <w:tl2br w:val="nil"/>
              <w:tr2bl w:val="nil"/>
            </w:tcBorders>
            <w:shd w:val="clear" w:color="auto" w:fill="C0C0C0"/>
            <w:noWrap/>
            <w:textDirection w:val="lrTb"/>
            <w:vAlign w:val="center"/>
          </w:tcPr>
          <w:p w:rsidR="00E711E4" w:rsidRPr="005360FA" w:rsidP="00854617">
            <w:pPr>
              <w:spacing w:line="240" w:lineRule="auto"/>
              <w:jc w:val="right"/>
              <w:rPr>
                <w:rFonts w:ascii="Arial Narrow" w:hAnsi="Arial Narrow" w:cs="Times New Roman"/>
              </w:rPr>
            </w:pPr>
            <w:r w:rsidR="009349CA">
              <w:rPr>
                <w:rFonts w:ascii="Arial Narrow" w:hAnsi="Arial Narrow" w:cs="Times New Roman"/>
              </w:rPr>
              <w:t>722 358</w:t>
            </w:r>
          </w:p>
        </w:tc>
        <w:tc>
          <w:tcPr>
            <w:tcW w:w="1560" w:type="dxa"/>
            <w:tcBorders>
              <w:top w:val="single" w:sz="4" w:space="0" w:color="auto"/>
              <w:left w:val="single" w:sz="8" w:space="0" w:color="auto"/>
              <w:bottom w:val="single" w:sz="8" w:space="0" w:color="auto"/>
              <w:right w:val="single" w:sz="8" w:space="0" w:color="auto"/>
              <w:tl2br w:val="nil"/>
              <w:tr2bl w:val="nil"/>
            </w:tcBorders>
            <w:shd w:val="clear" w:color="auto" w:fill="C0C0C0"/>
            <w:noWrap/>
            <w:textDirection w:val="lrTb"/>
            <w:vAlign w:val="center"/>
          </w:tcPr>
          <w:p w:rsidR="00E711E4" w:rsidRPr="005360FA" w:rsidP="00854617">
            <w:pPr>
              <w:spacing w:line="240" w:lineRule="auto"/>
              <w:jc w:val="right"/>
              <w:rPr>
                <w:rFonts w:ascii="Arial Narrow" w:hAnsi="Arial Narrow" w:cs="Times New Roman"/>
              </w:rPr>
            </w:pPr>
            <w:r w:rsidR="009349CA">
              <w:rPr>
                <w:rFonts w:ascii="Arial Narrow" w:hAnsi="Arial Narrow" w:cs="Times New Roman"/>
              </w:rPr>
              <w:t>701 575</w:t>
            </w:r>
          </w:p>
        </w:tc>
      </w:tr>
      <w:tr>
        <w:tblPrEx>
          <w:tblW w:w="8580" w:type="dxa"/>
          <w:tblInd w:w="610" w:type="dxa"/>
          <w:tblCellMar>
            <w:left w:w="70" w:type="dxa"/>
            <w:right w:w="70" w:type="dxa"/>
          </w:tblCellMar>
        </w:tblPrEx>
        <w:trPr>
          <w:trHeight w:hRule="exact" w:val="227"/>
        </w:trPr>
        <w:tc>
          <w:tcPr>
            <w:tcW w:w="5560" w:type="dxa"/>
            <w:tcBorders>
              <w:top w:val="single" w:sz="8" w:space="0" w:color="auto"/>
              <w:left w:val="single" w:sz="8" w:space="0" w:color="auto"/>
              <w:bottom w:val="single" w:sz="8" w:space="0" w:color="auto"/>
              <w:right w:val="single" w:sz="8" w:space="0" w:color="auto"/>
              <w:tl2br w:val="nil"/>
              <w:tr2bl w:val="nil"/>
            </w:tcBorders>
            <w:noWrap/>
            <w:textDirection w:val="lrTb"/>
            <w:vAlign w:val="center"/>
          </w:tcPr>
          <w:p w:rsidR="00E711E4" w:rsidRPr="005360FA" w:rsidP="00854617">
            <w:pPr>
              <w:spacing w:line="240" w:lineRule="auto"/>
              <w:rPr>
                <w:rFonts w:ascii="Arial Narrow" w:hAnsi="Arial Narrow" w:cs="Times New Roman"/>
              </w:rPr>
            </w:pPr>
            <w:r w:rsidRPr="005360FA">
              <w:rPr>
                <w:rFonts w:ascii="Arial Narrow" w:hAnsi="Arial Narrow" w:cs="Times New Roman"/>
              </w:rPr>
              <w:t xml:space="preserve">Vlastné imanie </w:t>
            </w:r>
          </w:p>
        </w:tc>
        <w:tc>
          <w:tcPr>
            <w:tcW w:w="1460" w:type="dxa"/>
            <w:tcBorders>
              <w:top w:val="single" w:sz="8" w:space="0" w:color="auto"/>
              <w:left w:val="single" w:sz="8" w:space="0" w:color="auto"/>
              <w:bottom w:val="single" w:sz="8" w:space="0" w:color="auto"/>
              <w:right w:val="single" w:sz="8" w:space="0" w:color="auto"/>
              <w:tl2br w:val="nil"/>
              <w:tr2bl w:val="nil"/>
            </w:tcBorders>
            <w:noWrap/>
            <w:textDirection w:val="lrTb"/>
            <w:vAlign w:val="center"/>
          </w:tcPr>
          <w:p w:rsidR="00E711E4" w:rsidRPr="005360FA" w:rsidP="00854617">
            <w:pPr>
              <w:spacing w:line="240" w:lineRule="auto"/>
              <w:jc w:val="right"/>
              <w:rPr>
                <w:rFonts w:ascii="Arial Narrow" w:hAnsi="Arial Narrow" w:cs="Times New Roman"/>
              </w:rPr>
            </w:pPr>
            <w:r w:rsidR="009349CA">
              <w:rPr>
                <w:rFonts w:ascii="Arial Narrow" w:hAnsi="Arial Narrow" w:cs="Times New Roman"/>
              </w:rPr>
              <w:t>670 140</w:t>
            </w:r>
          </w:p>
        </w:tc>
        <w:tc>
          <w:tcPr>
            <w:tcW w:w="1560" w:type="dxa"/>
            <w:tcBorders>
              <w:top w:val="single" w:sz="8" w:space="0" w:color="auto"/>
              <w:left w:val="single" w:sz="8" w:space="0" w:color="auto"/>
              <w:bottom w:val="single" w:sz="8" w:space="0" w:color="auto"/>
              <w:right w:val="single" w:sz="8" w:space="0" w:color="auto"/>
              <w:tl2br w:val="nil"/>
              <w:tr2bl w:val="nil"/>
            </w:tcBorders>
            <w:noWrap/>
            <w:textDirection w:val="lrTb"/>
            <w:vAlign w:val="center"/>
          </w:tcPr>
          <w:p w:rsidR="00E711E4" w:rsidRPr="005360FA" w:rsidP="00854617">
            <w:pPr>
              <w:spacing w:line="240" w:lineRule="auto"/>
              <w:jc w:val="right"/>
              <w:rPr>
                <w:rFonts w:ascii="Arial Narrow" w:hAnsi="Arial Narrow" w:cs="Times New Roman"/>
              </w:rPr>
            </w:pPr>
            <w:r w:rsidR="009349CA">
              <w:rPr>
                <w:rFonts w:ascii="Arial Narrow" w:hAnsi="Arial Narrow" w:cs="Times New Roman"/>
              </w:rPr>
              <w:t>665 585</w:t>
            </w:r>
          </w:p>
        </w:tc>
      </w:tr>
      <w:tr>
        <w:tblPrEx>
          <w:tblW w:w="8580" w:type="dxa"/>
          <w:tblInd w:w="610" w:type="dxa"/>
          <w:tblCellMar>
            <w:left w:w="70" w:type="dxa"/>
            <w:right w:w="70" w:type="dxa"/>
          </w:tblCellMar>
        </w:tblPrEx>
        <w:trPr>
          <w:trHeight w:hRule="exact" w:val="227"/>
        </w:trPr>
        <w:tc>
          <w:tcPr>
            <w:tcW w:w="5560" w:type="dxa"/>
            <w:tcBorders>
              <w:top w:val="single" w:sz="8" w:space="0" w:color="auto"/>
              <w:left w:val="single" w:sz="8" w:space="0" w:color="auto"/>
              <w:bottom w:val="single" w:sz="8" w:space="0" w:color="auto"/>
              <w:right w:val="single" w:sz="8" w:space="0" w:color="auto"/>
              <w:tl2br w:val="nil"/>
              <w:tr2bl w:val="nil"/>
            </w:tcBorders>
            <w:noWrap/>
            <w:textDirection w:val="lrTb"/>
            <w:vAlign w:val="center"/>
          </w:tcPr>
          <w:p w:rsidR="00E711E4" w:rsidRPr="005360FA" w:rsidP="00854617">
            <w:pPr>
              <w:spacing w:line="240" w:lineRule="auto"/>
              <w:rPr>
                <w:rFonts w:ascii="Arial Narrow" w:hAnsi="Arial Narrow" w:cs="Times New Roman"/>
              </w:rPr>
            </w:pPr>
            <w:r w:rsidRPr="005360FA">
              <w:rPr>
                <w:rFonts w:ascii="Arial Narrow" w:hAnsi="Arial Narrow" w:cs="Times New Roman"/>
              </w:rPr>
              <w:t xml:space="preserve">Základné imanie súčet </w:t>
            </w:r>
          </w:p>
        </w:tc>
        <w:tc>
          <w:tcPr>
            <w:tcW w:w="1460" w:type="dxa"/>
            <w:tcBorders>
              <w:top w:val="single" w:sz="8" w:space="0" w:color="auto"/>
              <w:left w:val="single" w:sz="8" w:space="0" w:color="auto"/>
              <w:bottom w:val="single" w:sz="8" w:space="0" w:color="auto"/>
              <w:right w:val="single" w:sz="8" w:space="0" w:color="auto"/>
              <w:tl2br w:val="nil"/>
              <w:tr2bl w:val="nil"/>
            </w:tcBorders>
            <w:noWrap/>
            <w:textDirection w:val="lrTb"/>
            <w:vAlign w:val="center"/>
          </w:tcPr>
          <w:p w:rsidR="00E711E4" w:rsidRPr="005360FA" w:rsidP="00854617">
            <w:pPr>
              <w:spacing w:line="240" w:lineRule="auto"/>
              <w:jc w:val="right"/>
              <w:rPr>
                <w:rFonts w:ascii="Arial Narrow" w:hAnsi="Arial Narrow" w:cs="Times New Roman"/>
              </w:rPr>
            </w:pPr>
            <w:r w:rsidR="009349CA">
              <w:rPr>
                <w:rFonts w:ascii="Arial Narrow" w:hAnsi="Arial Narrow" w:cs="Times New Roman"/>
              </w:rPr>
              <w:t>597 411</w:t>
            </w:r>
          </w:p>
        </w:tc>
        <w:tc>
          <w:tcPr>
            <w:tcW w:w="1560" w:type="dxa"/>
            <w:tcBorders>
              <w:top w:val="single" w:sz="8" w:space="0" w:color="auto"/>
              <w:left w:val="single" w:sz="8" w:space="0" w:color="auto"/>
              <w:bottom w:val="single" w:sz="8" w:space="0" w:color="auto"/>
              <w:right w:val="single" w:sz="8" w:space="0" w:color="auto"/>
              <w:tl2br w:val="nil"/>
              <w:tr2bl w:val="nil"/>
            </w:tcBorders>
            <w:noWrap/>
            <w:textDirection w:val="lrTb"/>
            <w:vAlign w:val="center"/>
          </w:tcPr>
          <w:p w:rsidR="00E711E4" w:rsidRPr="005360FA" w:rsidP="00854617">
            <w:pPr>
              <w:spacing w:line="240" w:lineRule="auto"/>
              <w:jc w:val="right"/>
              <w:rPr>
                <w:rFonts w:ascii="Arial Narrow" w:hAnsi="Arial Narrow" w:cs="Times New Roman"/>
              </w:rPr>
            </w:pPr>
            <w:r w:rsidR="009349CA">
              <w:rPr>
                <w:rFonts w:ascii="Arial Narrow" w:hAnsi="Arial Narrow" w:cs="Times New Roman"/>
              </w:rPr>
              <w:t>597 411</w:t>
            </w:r>
          </w:p>
        </w:tc>
      </w:tr>
      <w:tr>
        <w:tblPrEx>
          <w:tblW w:w="8580" w:type="dxa"/>
          <w:tblInd w:w="610" w:type="dxa"/>
          <w:tblCellMar>
            <w:left w:w="70" w:type="dxa"/>
            <w:right w:w="70" w:type="dxa"/>
          </w:tblCellMar>
        </w:tblPrEx>
        <w:trPr>
          <w:trHeight w:hRule="exact" w:val="227"/>
        </w:trPr>
        <w:tc>
          <w:tcPr>
            <w:tcW w:w="5560" w:type="dxa"/>
            <w:tcBorders>
              <w:top w:val="single" w:sz="8" w:space="0" w:color="auto"/>
              <w:left w:val="single" w:sz="8" w:space="0" w:color="auto"/>
              <w:bottom w:val="single" w:sz="8" w:space="0" w:color="auto"/>
              <w:right w:val="single" w:sz="8" w:space="0" w:color="auto"/>
              <w:tl2br w:val="nil"/>
              <w:tr2bl w:val="nil"/>
            </w:tcBorders>
            <w:noWrap/>
            <w:textDirection w:val="lrTb"/>
            <w:vAlign w:val="center"/>
          </w:tcPr>
          <w:p w:rsidR="00E711E4" w:rsidRPr="005360FA" w:rsidP="00854617">
            <w:pPr>
              <w:spacing w:line="240" w:lineRule="auto"/>
              <w:rPr>
                <w:rFonts w:ascii="Arial Narrow" w:hAnsi="Arial Narrow" w:cs="Times New Roman"/>
              </w:rPr>
            </w:pPr>
            <w:r w:rsidRPr="005360FA">
              <w:rPr>
                <w:rFonts w:ascii="Arial Narrow" w:hAnsi="Arial Narrow" w:cs="Times New Roman"/>
              </w:rPr>
              <w:t xml:space="preserve">Základné imanie </w:t>
            </w:r>
          </w:p>
        </w:tc>
        <w:tc>
          <w:tcPr>
            <w:tcW w:w="1460" w:type="dxa"/>
            <w:tcBorders>
              <w:top w:val="single" w:sz="8" w:space="0" w:color="auto"/>
              <w:left w:val="single" w:sz="8" w:space="0" w:color="auto"/>
              <w:bottom w:val="single" w:sz="8" w:space="0" w:color="auto"/>
              <w:right w:val="single" w:sz="8" w:space="0" w:color="auto"/>
              <w:tl2br w:val="nil"/>
              <w:tr2bl w:val="nil"/>
            </w:tcBorders>
            <w:noWrap/>
            <w:textDirection w:val="lrTb"/>
            <w:vAlign w:val="center"/>
          </w:tcPr>
          <w:p w:rsidR="00E711E4" w:rsidRPr="005360FA" w:rsidP="00854617">
            <w:pPr>
              <w:spacing w:line="240" w:lineRule="auto"/>
              <w:jc w:val="right"/>
              <w:rPr>
                <w:rFonts w:ascii="Arial Narrow" w:hAnsi="Arial Narrow" w:cs="Times New Roman"/>
              </w:rPr>
            </w:pPr>
            <w:r w:rsidR="009349CA">
              <w:rPr>
                <w:rFonts w:ascii="Arial Narrow" w:hAnsi="Arial Narrow" w:cs="Times New Roman"/>
              </w:rPr>
              <w:t>597 411</w:t>
            </w:r>
          </w:p>
        </w:tc>
        <w:tc>
          <w:tcPr>
            <w:tcW w:w="1560" w:type="dxa"/>
            <w:tcBorders>
              <w:top w:val="single" w:sz="8" w:space="0" w:color="auto"/>
              <w:left w:val="single" w:sz="8" w:space="0" w:color="auto"/>
              <w:bottom w:val="single" w:sz="8" w:space="0" w:color="auto"/>
              <w:right w:val="single" w:sz="8" w:space="0" w:color="auto"/>
              <w:tl2br w:val="nil"/>
              <w:tr2bl w:val="nil"/>
            </w:tcBorders>
            <w:noWrap/>
            <w:textDirection w:val="lrTb"/>
            <w:vAlign w:val="center"/>
          </w:tcPr>
          <w:p w:rsidR="00E711E4" w:rsidRPr="005360FA" w:rsidP="00854617">
            <w:pPr>
              <w:spacing w:line="240" w:lineRule="auto"/>
              <w:jc w:val="right"/>
              <w:rPr>
                <w:rFonts w:ascii="Arial Narrow" w:hAnsi="Arial Narrow" w:cs="Times New Roman"/>
              </w:rPr>
            </w:pPr>
            <w:r w:rsidR="009349CA">
              <w:rPr>
                <w:rFonts w:ascii="Arial Narrow" w:hAnsi="Arial Narrow" w:cs="Times New Roman"/>
              </w:rPr>
              <w:t>597 411</w:t>
            </w:r>
          </w:p>
        </w:tc>
      </w:tr>
      <w:tr>
        <w:tblPrEx>
          <w:tblW w:w="8580" w:type="dxa"/>
          <w:tblInd w:w="610" w:type="dxa"/>
          <w:tblCellMar>
            <w:left w:w="70" w:type="dxa"/>
            <w:right w:w="70" w:type="dxa"/>
          </w:tblCellMar>
        </w:tblPrEx>
        <w:trPr>
          <w:trHeight w:hRule="exact" w:val="227"/>
        </w:trPr>
        <w:tc>
          <w:tcPr>
            <w:tcW w:w="5560" w:type="dxa"/>
            <w:tcBorders>
              <w:top w:val="single" w:sz="8" w:space="0" w:color="auto"/>
              <w:left w:val="single" w:sz="8" w:space="0" w:color="auto"/>
              <w:bottom w:val="single" w:sz="8" w:space="0" w:color="auto"/>
              <w:right w:val="single" w:sz="8" w:space="0" w:color="auto"/>
              <w:tl2br w:val="nil"/>
              <w:tr2bl w:val="nil"/>
            </w:tcBorders>
            <w:noWrap/>
            <w:textDirection w:val="lrTb"/>
            <w:vAlign w:val="center"/>
          </w:tcPr>
          <w:p w:rsidR="00E711E4" w:rsidRPr="005360FA" w:rsidP="00854617">
            <w:pPr>
              <w:spacing w:line="240" w:lineRule="auto"/>
              <w:rPr>
                <w:rFonts w:ascii="Arial Narrow" w:hAnsi="Arial Narrow" w:cs="Times New Roman"/>
              </w:rPr>
            </w:pPr>
            <w:r w:rsidRPr="005360FA">
              <w:rPr>
                <w:rFonts w:ascii="Arial Narrow" w:hAnsi="Arial Narrow" w:cs="Times New Roman"/>
              </w:rPr>
              <w:t xml:space="preserve">Kapitálové fondy súčet </w:t>
            </w:r>
          </w:p>
        </w:tc>
        <w:tc>
          <w:tcPr>
            <w:tcW w:w="1460" w:type="dxa"/>
            <w:tcBorders>
              <w:top w:val="single" w:sz="8" w:space="0" w:color="auto"/>
              <w:left w:val="single" w:sz="8" w:space="0" w:color="auto"/>
              <w:bottom w:val="single" w:sz="8" w:space="0" w:color="auto"/>
              <w:right w:val="single" w:sz="8" w:space="0" w:color="auto"/>
              <w:tl2br w:val="nil"/>
              <w:tr2bl w:val="nil"/>
            </w:tcBorders>
            <w:noWrap/>
            <w:textDirection w:val="lrTb"/>
            <w:vAlign w:val="center"/>
          </w:tcPr>
          <w:p w:rsidR="00E711E4" w:rsidRPr="005360FA" w:rsidP="00854617">
            <w:pPr>
              <w:spacing w:line="240" w:lineRule="auto"/>
              <w:jc w:val="right"/>
              <w:rPr>
                <w:rFonts w:ascii="Arial Narrow" w:hAnsi="Arial Narrow" w:cs="Times New Roman"/>
              </w:rPr>
            </w:pPr>
            <w:r w:rsidR="009349CA">
              <w:rPr>
                <w:rFonts w:ascii="Arial Narrow" w:hAnsi="Arial Narrow" w:cs="Times New Roman"/>
              </w:rPr>
              <w:t>66 575</w:t>
            </w:r>
          </w:p>
        </w:tc>
        <w:tc>
          <w:tcPr>
            <w:tcW w:w="1560" w:type="dxa"/>
            <w:tcBorders>
              <w:top w:val="single" w:sz="8" w:space="0" w:color="auto"/>
              <w:left w:val="single" w:sz="8" w:space="0" w:color="auto"/>
              <w:bottom w:val="single" w:sz="8" w:space="0" w:color="auto"/>
              <w:right w:val="single" w:sz="8" w:space="0" w:color="auto"/>
              <w:tl2br w:val="nil"/>
              <w:tr2bl w:val="nil"/>
            </w:tcBorders>
            <w:noWrap/>
            <w:textDirection w:val="lrTb"/>
            <w:vAlign w:val="center"/>
          </w:tcPr>
          <w:p w:rsidR="00E711E4" w:rsidRPr="005360FA" w:rsidP="00854617">
            <w:pPr>
              <w:spacing w:line="240" w:lineRule="auto"/>
              <w:jc w:val="right"/>
              <w:rPr>
                <w:rFonts w:ascii="Arial Narrow" w:hAnsi="Arial Narrow" w:cs="Times New Roman"/>
              </w:rPr>
            </w:pPr>
            <w:r w:rsidR="009349CA">
              <w:rPr>
                <w:rFonts w:ascii="Arial Narrow" w:hAnsi="Arial Narrow" w:cs="Times New Roman"/>
              </w:rPr>
              <w:t>66 379</w:t>
            </w:r>
          </w:p>
        </w:tc>
      </w:tr>
      <w:tr>
        <w:tblPrEx>
          <w:tblW w:w="8580" w:type="dxa"/>
          <w:tblInd w:w="610" w:type="dxa"/>
          <w:tblCellMar>
            <w:left w:w="70" w:type="dxa"/>
            <w:right w:w="70" w:type="dxa"/>
          </w:tblCellMar>
        </w:tblPrEx>
        <w:trPr>
          <w:trHeight w:hRule="exact" w:val="227"/>
        </w:trPr>
        <w:tc>
          <w:tcPr>
            <w:tcW w:w="556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E711E4" w:rsidRPr="005360FA" w:rsidP="00854617">
            <w:pPr>
              <w:spacing w:line="240" w:lineRule="auto"/>
              <w:rPr>
                <w:rFonts w:ascii="Arial Narrow" w:hAnsi="Arial Narrow" w:cs="Times New Roman"/>
              </w:rPr>
            </w:pPr>
            <w:r w:rsidRPr="005360FA">
              <w:rPr>
                <w:rFonts w:ascii="Arial Narrow" w:hAnsi="Arial Narrow" w:cs="Times New Roman"/>
              </w:rPr>
              <w:t xml:space="preserve">Zákonný rezervný fond (Nedeliteľný fond) z kapitálových vkladov </w:t>
            </w:r>
          </w:p>
        </w:tc>
        <w:tc>
          <w:tcPr>
            <w:tcW w:w="146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E711E4" w:rsidRPr="005360FA" w:rsidP="00854617">
            <w:pPr>
              <w:spacing w:line="240" w:lineRule="auto"/>
              <w:jc w:val="right"/>
              <w:rPr>
                <w:rFonts w:ascii="Arial Narrow" w:hAnsi="Arial Narrow" w:cs="Times New Roman"/>
              </w:rPr>
            </w:pPr>
            <w:r w:rsidR="00AA44E9">
              <w:rPr>
                <w:rFonts w:ascii="Arial Narrow" w:hAnsi="Arial Narrow" w:cs="Times New Roman"/>
              </w:rPr>
              <w:t>66 575</w:t>
            </w:r>
          </w:p>
        </w:tc>
        <w:tc>
          <w:tcPr>
            <w:tcW w:w="156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E711E4" w:rsidRPr="005360FA" w:rsidP="00854617">
            <w:pPr>
              <w:spacing w:line="240" w:lineRule="auto"/>
              <w:jc w:val="right"/>
              <w:rPr>
                <w:rFonts w:ascii="Arial Narrow" w:hAnsi="Arial Narrow" w:cs="Times New Roman"/>
              </w:rPr>
            </w:pPr>
            <w:r w:rsidR="00AA44E9">
              <w:rPr>
                <w:rFonts w:ascii="Arial Narrow" w:hAnsi="Arial Narrow" w:cs="Times New Roman"/>
              </w:rPr>
              <w:t>66 379</w:t>
            </w:r>
          </w:p>
        </w:tc>
      </w:tr>
      <w:tr>
        <w:tblPrEx>
          <w:tblW w:w="8580" w:type="dxa"/>
          <w:tblInd w:w="610" w:type="dxa"/>
          <w:tblCellMar>
            <w:left w:w="70" w:type="dxa"/>
            <w:right w:w="70" w:type="dxa"/>
          </w:tblCellMar>
        </w:tblPrEx>
        <w:trPr>
          <w:trHeight w:hRule="exact" w:val="227"/>
        </w:trPr>
        <w:tc>
          <w:tcPr>
            <w:tcW w:w="5560" w:type="dxa"/>
            <w:tcBorders>
              <w:top w:val="single" w:sz="8" w:space="0" w:color="auto"/>
              <w:left w:val="single" w:sz="8" w:space="0" w:color="auto"/>
              <w:bottom w:val="single" w:sz="8" w:space="0" w:color="auto"/>
              <w:right w:val="single" w:sz="8" w:space="0" w:color="auto"/>
              <w:tl2br w:val="nil"/>
              <w:tr2bl w:val="nil"/>
            </w:tcBorders>
            <w:noWrap/>
            <w:textDirection w:val="lrTb"/>
            <w:vAlign w:val="center"/>
          </w:tcPr>
          <w:p w:rsidR="00E711E4" w:rsidRPr="005360FA" w:rsidP="00854617">
            <w:pPr>
              <w:spacing w:line="240" w:lineRule="auto"/>
              <w:rPr>
                <w:rFonts w:ascii="Arial Narrow" w:hAnsi="Arial Narrow" w:cs="Times New Roman"/>
              </w:rPr>
            </w:pPr>
            <w:r w:rsidRPr="005360FA">
              <w:rPr>
                <w:rFonts w:ascii="Arial Narrow" w:hAnsi="Arial Narrow" w:cs="Times New Roman"/>
              </w:rPr>
              <w:t xml:space="preserve">Výsledok hospodárenia minulých rokov </w:t>
            </w:r>
          </w:p>
        </w:tc>
        <w:tc>
          <w:tcPr>
            <w:tcW w:w="1460" w:type="dxa"/>
            <w:tcBorders>
              <w:top w:val="single" w:sz="8" w:space="0" w:color="auto"/>
              <w:left w:val="single" w:sz="8" w:space="0" w:color="auto"/>
              <w:bottom w:val="single" w:sz="8" w:space="0" w:color="auto"/>
              <w:right w:val="single" w:sz="8" w:space="0" w:color="auto"/>
              <w:tl2br w:val="nil"/>
              <w:tr2bl w:val="nil"/>
            </w:tcBorders>
            <w:noWrap/>
            <w:textDirection w:val="lrTb"/>
            <w:vAlign w:val="center"/>
          </w:tcPr>
          <w:p w:rsidR="00E711E4" w:rsidRPr="005360FA" w:rsidP="00854617">
            <w:pPr>
              <w:spacing w:line="240" w:lineRule="auto"/>
              <w:jc w:val="right"/>
              <w:rPr>
                <w:rFonts w:ascii="Arial Narrow" w:hAnsi="Arial Narrow" w:cs="Times New Roman"/>
              </w:rPr>
            </w:pPr>
            <w:r w:rsidR="00AA44E9">
              <w:rPr>
                <w:rFonts w:ascii="Arial Narrow" w:hAnsi="Arial Narrow" w:cs="Times New Roman"/>
              </w:rPr>
              <w:t>1 579</w:t>
            </w:r>
          </w:p>
        </w:tc>
        <w:tc>
          <w:tcPr>
            <w:tcW w:w="1560" w:type="dxa"/>
            <w:tcBorders>
              <w:top w:val="single" w:sz="8" w:space="0" w:color="auto"/>
              <w:left w:val="single" w:sz="8" w:space="0" w:color="auto"/>
              <w:bottom w:val="single" w:sz="8" w:space="0" w:color="auto"/>
              <w:right w:val="single" w:sz="8" w:space="0" w:color="auto"/>
              <w:tl2br w:val="nil"/>
              <w:tr2bl w:val="nil"/>
            </w:tcBorders>
            <w:noWrap/>
            <w:textDirection w:val="lrTb"/>
            <w:vAlign w:val="center"/>
          </w:tcPr>
          <w:p w:rsidR="00E711E4" w:rsidRPr="005360FA" w:rsidP="00854617">
            <w:pPr>
              <w:spacing w:line="240" w:lineRule="auto"/>
              <w:jc w:val="right"/>
              <w:rPr>
                <w:rFonts w:ascii="Arial Narrow" w:hAnsi="Arial Narrow" w:cs="Times New Roman"/>
              </w:rPr>
            </w:pPr>
            <w:r w:rsidR="00AA44E9">
              <w:rPr>
                <w:rFonts w:ascii="Arial Narrow" w:hAnsi="Arial Narrow" w:cs="Times New Roman"/>
              </w:rPr>
              <w:t>- 169</w:t>
            </w:r>
          </w:p>
        </w:tc>
      </w:tr>
      <w:tr>
        <w:tblPrEx>
          <w:tblW w:w="8580" w:type="dxa"/>
          <w:tblInd w:w="610" w:type="dxa"/>
          <w:tblCellMar>
            <w:left w:w="70" w:type="dxa"/>
            <w:right w:w="70" w:type="dxa"/>
          </w:tblCellMar>
        </w:tblPrEx>
        <w:trPr>
          <w:trHeight w:hRule="exact" w:val="227"/>
        </w:trPr>
        <w:tc>
          <w:tcPr>
            <w:tcW w:w="5560" w:type="dxa"/>
            <w:tcBorders>
              <w:top w:val="single" w:sz="8" w:space="0" w:color="auto"/>
              <w:left w:val="single" w:sz="8" w:space="0" w:color="auto"/>
              <w:bottom w:val="single" w:sz="8" w:space="0" w:color="auto"/>
              <w:right w:val="single" w:sz="8" w:space="0" w:color="auto"/>
              <w:tl2br w:val="nil"/>
              <w:tr2bl w:val="nil"/>
            </w:tcBorders>
            <w:noWrap/>
            <w:textDirection w:val="lrTb"/>
            <w:vAlign w:val="center"/>
          </w:tcPr>
          <w:p w:rsidR="00E711E4" w:rsidRPr="005360FA" w:rsidP="00854617">
            <w:pPr>
              <w:spacing w:line="240" w:lineRule="auto"/>
              <w:rPr>
                <w:rFonts w:ascii="Arial Narrow" w:hAnsi="Arial Narrow" w:cs="Times New Roman"/>
              </w:rPr>
            </w:pPr>
            <w:r w:rsidR="00AA44E9">
              <w:rPr>
                <w:rFonts w:ascii="Arial Narrow" w:hAnsi="Arial Narrow" w:cs="Times New Roman"/>
              </w:rPr>
              <w:t xml:space="preserve">Nerozdelený zisk </w:t>
            </w:r>
            <w:r w:rsidRPr="005360FA">
              <w:rPr>
                <w:rFonts w:ascii="Arial Narrow" w:hAnsi="Arial Narrow" w:cs="Times New Roman"/>
              </w:rPr>
              <w:t xml:space="preserve">minulých rokov </w:t>
            </w:r>
          </w:p>
        </w:tc>
        <w:tc>
          <w:tcPr>
            <w:tcW w:w="1460" w:type="dxa"/>
            <w:tcBorders>
              <w:top w:val="single" w:sz="8" w:space="0" w:color="auto"/>
              <w:left w:val="single" w:sz="8" w:space="0" w:color="auto"/>
              <w:bottom w:val="single" w:sz="8" w:space="0" w:color="auto"/>
              <w:right w:val="single" w:sz="8" w:space="0" w:color="auto"/>
              <w:tl2br w:val="nil"/>
              <w:tr2bl w:val="nil"/>
            </w:tcBorders>
            <w:noWrap/>
            <w:textDirection w:val="lrTb"/>
            <w:vAlign w:val="center"/>
          </w:tcPr>
          <w:p w:rsidR="00E711E4" w:rsidRPr="005360FA" w:rsidP="00854617">
            <w:pPr>
              <w:spacing w:line="240" w:lineRule="auto"/>
              <w:jc w:val="right"/>
              <w:rPr>
                <w:rFonts w:ascii="Arial Narrow" w:hAnsi="Arial Narrow" w:cs="Times New Roman"/>
              </w:rPr>
            </w:pPr>
            <w:r w:rsidR="00AA44E9">
              <w:rPr>
                <w:rFonts w:ascii="Arial Narrow" w:hAnsi="Arial Narrow" w:cs="Times New Roman"/>
              </w:rPr>
              <w:t>1 579</w:t>
            </w:r>
          </w:p>
        </w:tc>
        <w:tc>
          <w:tcPr>
            <w:tcW w:w="1560" w:type="dxa"/>
            <w:tcBorders>
              <w:top w:val="single" w:sz="8" w:space="0" w:color="auto"/>
              <w:left w:val="single" w:sz="8" w:space="0" w:color="auto"/>
              <w:bottom w:val="single" w:sz="8" w:space="0" w:color="auto"/>
              <w:right w:val="single" w:sz="8" w:space="0" w:color="auto"/>
              <w:tl2br w:val="nil"/>
              <w:tr2bl w:val="nil"/>
            </w:tcBorders>
            <w:noWrap/>
            <w:textDirection w:val="lrTb"/>
            <w:vAlign w:val="center"/>
          </w:tcPr>
          <w:p w:rsidR="00E711E4" w:rsidRPr="005360FA" w:rsidP="00854617">
            <w:pPr>
              <w:spacing w:line="240" w:lineRule="auto"/>
              <w:jc w:val="right"/>
              <w:rPr>
                <w:rFonts w:ascii="Arial Narrow" w:hAnsi="Arial Narrow" w:cs="Times New Roman"/>
              </w:rPr>
            </w:pPr>
            <w:r w:rsidR="00AA44E9">
              <w:rPr>
                <w:rFonts w:ascii="Arial Narrow" w:hAnsi="Arial Narrow" w:cs="Times New Roman"/>
              </w:rPr>
              <w:t>0</w:t>
            </w:r>
          </w:p>
        </w:tc>
      </w:tr>
      <w:tr>
        <w:tblPrEx>
          <w:tblW w:w="8580" w:type="dxa"/>
          <w:tblInd w:w="610" w:type="dxa"/>
          <w:tblCellMar>
            <w:left w:w="70" w:type="dxa"/>
            <w:right w:w="70" w:type="dxa"/>
          </w:tblCellMar>
        </w:tblPrEx>
        <w:trPr>
          <w:trHeight w:hRule="exact" w:val="227"/>
        </w:trPr>
        <w:tc>
          <w:tcPr>
            <w:tcW w:w="5560" w:type="dxa"/>
            <w:tcBorders>
              <w:top w:val="single" w:sz="8" w:space="0" w:color="auto"/>
              <w:left w:val="single" w:sz="8" w:space="0" w:color="auto"/>
              <w:bottom w:val="single" w:sz="8" w:space="0" w:color="auto"/>
              <w:right w:val="single" w:sz="8" w:space="0" w:color="auto"/>
              <w:tl2br w:val="nil"/>
              <w:tr2bl w:val="nil"/>
            </w:tcBorders>
            <w:noWrap/>
            <w:textDirection w:val="lrTb"/>
            <w:vAlign w:val="center"/>
          </w:tcPr>
          <w:p w:rsidR="00AA44E9" w:rsidP="00854617">
            <w:pPr>
              <w:spacing w:line="240" w:lineRule="auto"/>
              <w:rPr>
                <w:rFonts w:ascii="Arial Narrow" w:hAnsi="Arial Narrow" w:cs="Times New Roman"/>
              </w:rPr>
            </w:pPr>
            <w:r>
              <w:rPr>
                <w:rFonts w:ascii="Arial Narrow" w:hAnsi="Arial Narrow" w:cs="Times New Roman"/>
              </w:rPr>
              <w:t xml:space="preserve">Neuhradená strata </w:t>
            </w:r>
            <w:r w:rsidRPr="005360FA">
              <w:rPr>
                <w:rFonts w:ascii="Arial Narrow" w:hAnsi="Arial Narrow" w:cs="Times New Roman"/>
              </w:rPr>
              <w:t>minulých rokov</w:t>
            </w:r>
          </w:p>
        </w:tc>
        <w:tc>
          <w:tcPr>
            <w:tcW w:w="1460" w:type="dxa"/>
            <w:tcBorders>
              <w:top w:val="single" w:sz="8" w:space="0" w:color="auto"/>
              <w:left w:val="single" w:sz="8" w:space="0" w:color="auto"/>
              <w:bottom w:val="single" w:sz="8" w:space="0" w:color="auto"/>
              <w:right w:val="single" w:sz="8" w:space="0" w:color="auto"/>
              <w:tl2br w:val="nil"/>
              <w:tr2bl w:val="nil"/>
            </w:tcBorders>
            <w:noWrap/>
            <w:textDirection w:val="lrTb"/>
            <w:vAlign w:val="center"/>
          </w:tcPr>
          <w:p w:rsidR="00AA44E9" w:rsidP="00854617">
            <w:pPr>
              <w:spacing w:line="240" w:lineRule="auto"/>
              <w:jc w:val="right"/>
              <w:rPr>
                <w:rFonts w:ascii="Arial Narrow" w:hAnsi="Arial Narrow" w:cs="Times New Roman"/>
              </w:rPr>
            </w:pPr>
            <w:r>
              <w:rPr>
                <w:rFonts w:ascii="Arial Narrow" w:hAnsi="Arial Narrow" w:cs="Times New Roman"/>
              </w:rPr>
              <w:t>0</w:t>
            </w:r>
          </w:p>
        </w:tc>
        <w:tc>
          <w:tcPr>
            <w:tcW w:w="1560" w:type="dxa"/>
            <w:tcBorders>
              <w:top w:val="single" w:sz="8" w:space="0" w:color="auto"/>
              <w:left w:val="single" w:sz="8" w:space="0" w:color="auto"/>
              <w:bottom w:val="single" w:sz="8" w:space="0" w:color="auto"/>
              <w:right w:val="single" w:sz="8" w:space="0" w:color="auto"/>
              <w:tl2br w:val="nil"/>
              <w:tr2bl w:val="nil"/>
            </w:tcBorders>
            <w:noWrap/>
            <w:textDirection w:val="lrTb"/>
            <w:vAlign w:val="center"/>
          </w:tcPr>
          <w:p w:rsidR="00AA44E9" w:rsidP="00854617">
            <w:pPr>
              <w:spacing w:line="240" w:lineRule="auto"/>
              <w:jc w:val="right"/>
              <w:rPr>
                <w:rFonts w:ascii="Arial Narrow" w:hAnsi="Arial Narrow" w:cs="Times New Roman"/>
              </w:rPr>
            </w:pPr>
            <w:r>
              <w:rPr>
                <w:rFonts w:ascii="Arial Narrow" w:hAnsi="Arial Narrow" w:cs="Times New Roman"/>
              </w:rPr>
              <w:t>-169</w:t>
            </w:r>
          </w:p>
        </w:tc>
      </w:tr>
      <w:tr>
        <w:tblPrEx>
          <w:tblW w:w="8580" w:type="dxa"/>
          <w:tblInd w:w="610" w:type="dxa"/>
          <w:tblCellMar>
            <w:left w:w="70" w:type="dxa"/>
            <w:right w:w="70" w:type="dxa"/>
          </w:tblCellMar>
        </w:tblPrEx>
        <w:trPr>
          <w:trHeight w:hRule="exact" w:val="227"/>
        </w:trPr>
        <w:tc>
          <w:tcPr>
            <w:tcW w:w="5560" w:type="dxa"/>
            <w:tcBorders>
              <w:top w:val="single" w:sz="8" w:space="0" w:color="auto"/>
              <w:left w:val="single" w:sz="8" w:space="0" w:color="auto"/>
              <w:bottom w:val="single" w:sz="8" w:space="0" w:color="auto"/>
              <w:right w:val="single" w:sz="8" w:space="0" w:color="auto"/>
              <w:tl2br w:val="nil"/>
              <w:tr2bl w:val="nil"/>
            </w:tcBorders>
            <w:noWrap/>
            <w:textDirection w:val="lrTb"/>
            <w:vAlign w:val="center"/>
          </w:tcPr>
          <w:p w:rsidR="00E711E4" w:rsidRPr="005360FA" w:rsidP="00854617">
            <w:pPr>
              <w:spacing w:line="240" w:lineRule="auto"/>
              <w:rPr>
                <w:rFonts w:ascii="Arial Narrow" w:hAnsi="Arial Narrow" w:cs="Times New Roman"/>
              </w:rPr>
            </w:pPr>
            <w:r w:rsidRPr="005360FA">
              <w:rPr>
                <w:rFonts w:ascii="Arial Narrow" w:hAnsi="Arial Narrow" w:cs="Times New Roman"/>
              </w:rPr>
              <w:t xml:space="preserve">Výsledok hospodárenia za účtovné obdobie /+ -/ </w:t>
            </w:r>
          </w:p>
        </w:tc>
        <w:tc>
          <w:tcPr>
            <w:tcW w:w="1460" w:type="dxa"/>
            <w:tcBorders>
              <w:top w:val="single" w:sz="8" w:space="0" w:color="auto"/>
              <w:left w:val="single" w:sz="8" w:space="0" w:color="auto"/>
              <w:bottom w:val="single" w:sz="8" w:space="0" w:color="auto"/>
              <w:right w:val="single" w:sz="8" w:space="0" w:color="auto"/>
              <w:tl2br w:val="nil"/>
              <w:tr2bl w:val="nil"/>
            </w:tcBorders>
            <w:noWrap/>
            <w:textDirection w:val="lrTb"/>
            <w:vAlign w:val="center"/>
          </w:tcPr>
          <w:p w:rsidR="00E711E4" w:rsidRPr="005360FA" w:rsidP="00854617">
            <w:pPr>
              <w:spacing w:line="240" w:lineRule="auto"/>
              <w:jc w:val="right"/>
              <w:rPr>
                <w:rFonts w:ascii="Arial Narrow" w:hAnsi="Arial Narrow" w:cs="Times New Roman"/>
              </w:rPr>
            </w:pPr>
            <w:r w:rsidR="00AA44E9">
              <w:rPr>
                <w:rFonts w:ascii="Arial Narrow" w:hAnsi="Arial Narrow" w:cs="Times New Roman"/>
              </w:rPr>
              <w:t>4 575</w:t>
            </w:r>
          </w:p>
        </w:tc>
        <w:tc>
          <w:tcPr>
            <w:tcW w:w="1560" w:type="dxa"/>
            <w:tcBorders>
              <w:top w:val="single" w:sz="8" w:space="0" w:color="auto"/>
              <w:left w:val="single" w:sz="8" w:space="0" w:color="auto"/>
              <w:bottom w:val="single" w:sz="8" w:space="0" w:color="auto"/>
              <w:right w:val="single" w:sz="8" w:space="0" w:color="auto"/>
              <w:tl2br w:val="nil"/>
              <w:tr2bl w:val="nil"/>
            </w:tcBorders>
            <w:noWrap/>
            <w:textDirection w:val="lrTb"/>
            <w:vAlign w:val="center"/>
          </w:tcPr>
          <w:p w:rsidR="00E711E4" w:rsidRPr="005360FA" w:rsidP="00854617">
            <w:pPr>
              <w:spacing w:line="240" w:lineRule="auto"/>
              <w:jc w:val="right"/>
              <w:rPr>
                <w:rFonts w:ascii="Arial Narrow" w:hAnsi="Arial Narrow" w:cs="Times New Roman"/>
              </w:rPr>
            </w:pPr>
            <w:r w:rsidR="00AA44E9">
              <w:rPr>
                <w:rFonts w:ascii="Arial Narrow" w:hAnsi="Arial Narrow" w:cs="Times New Roman"/>
              </w:rPr>
              <w:t>1 963</w:t>
            </w:r>
          </w:p>
        </w:tc>
      </w:tr>
      <w:tr>
        <w:tblPrEx>
          <w:tblW w:w="8580" w:type="dxa"/>
          <w:tblInd w:w="610" w:type="dxa"/>
          <w:tblCellMar>
            <w:left w:w="70" w:type="dxa"/>
            <w:right w:w="70" w:type="dxa"/>
          </w:tblCellMar>
        </w:tblPrEx>
        <w:trPr>
          <w:trHeight w:hRule="exact" w:val="227"/>
        </w:trPr>
        <w:tc>
          <w:tcPr>
            <w:tcW w:w="5560" w:type="dxa"/>
            <w:tcBorders>
              <w:top w:val="single" w:sz="8" w:space="0" w:color="auto"/>
              <w:left w:val="single" w:sz="8" w:space="0" w:color="auto"/>
              <w:bottom w:val="single" w:sz="8" w:space="0" w:color="auto"/>
              <w:right w:val="single" w:sz="8" w:space="0" w:color="auto"/>
              <w:tl2br w:val="nil"/>
              <w:tr2bl w:val="nil"/>
            </w:tcBorders>
            <w:noWrap/>
            <w:textDirection w:val="lrTb"/>
            <w:vAlign w:val="center"/>
          </w:tcPr>
          <w:p w:rsidR="00E711E4" w:rsidRPr="005360FA" w:rsidP="00854617">
            <w:pPr>
              <w:spacing w:line="240" w:lineRule="auto"/>
              <w:rPr>
                <w:rFonts w:ascii="Arial Narrow" w:hAnsi="Arial Narrow" w:cs="Times New Roman"/>
              </w:rPr>
            </w:pPr>
            <w:r w:rsidRPr="005360FA">
              <w:rPr>
                <w:rFonts w:ascii="Arial Narrow" w:hAnsi="Arial Narrow" w:cs="Times New Roman"/>
              </w:rPr>
              <w:t xml:space="preserve">Záväzky </w:t>
            </w:r>
          </w:p>
        </w:tc>
        <w:tc>
          <w:tcPr>
            <w:tcW w:w="1460" w:type="dxa"/>
            <w:tcBorders>
              <w:top w:val="single" w:sz="8" w:space="0" w:color="auto"/>
              <w:left w:val="single" w:sz="8" w:space="0" w:color="auto"/>
              <w:bottom w:val="single" w:sz="8" w:space="0" w:color="auto"/>
              <w:right w:val="single" w:sz="8" w:space="0" w:color="auto"/>
              <w:tl2br w:val="nil"/>
              <w:tr2bl w:val="nil"/>
            </w:tcBorders>
            <w:noWrap/>
            <w:textDirection w:val="lrTb"/>
            <w:vAlign w:val="center"/>
          </w:tcPr>
          <w:p w:rsidR="00E711E4" w:rsidRPr="005360FA" w:rsidP="00854617">
            <w:pPr>
              <w:spacing w:line="240" w:lineRule="auto"/>
              <w:jc w:val="right"/>
              <w:rPr>
                <w:rFonts w:ascii="Arial Narrow" w:hAnsi="Arial Narrow" w:cs="Times New Roman"/>
              </w:rPr>
            </w:pPr>
            <w:r w:rsidR="00AA44E9">
              <w:rPr>
                <w:rFonts w:ascii="Arial Narrow" w:hAnsi="Arial Narrow" w:cs="Times New Roman"/>
              </w:rPr>
              <w:t>9 425</w:t>
            </w:r>
          </w:p>
        </w:tc>
        <w:tc>
          <w:tcPr>
            <w:tcW w:w="1560" w:type="dxa"/>
            <w:tcBorders>
              <w:top w:val="single" w:sz="8" w:space="0" w:color="auto"/>
              <w:left w:val="single" w:sz="8" w:space="0" w:color="auto"/>
              <w:bottom w:val="single" w:sz="8" w:space="0" w:color="auto"/>
              <w:right w:val="single" w:sz="8" w:space="0" w:color="auto"/>
              <w:tl2br w:val="nil"/>
              <w:tr2bl w:val="nil"/>
            </w:tcBorders>
            <w:noWrap/>
            <w:textDirection w:val="lrTb"/>
            <w:vAlign w:val="center"/>
          </w:tcPr>
          <w:p w:rsidR="00E711E4" w:rsidRPr="005360FA" w:rsidP="00854617">
            <w:pPr>
              <w:spacing w:line="240" w:lineRule="auto"/>
              <w:jc w:val="right"/>
              <w:rPr>
                <w:rFonts w:ascii="Arial Narrow" w:hAnsi="Arial Narrow" w:cs="Times New Roman"/>
              </w:rPr>
            </w:pPr>
            <w:r w:rsidR="00AA44E9">
              <w:rPr>
                <w:rFonts w:ascii="Arial Narrow" w:hAnsi="Arial Narrow" w:cs="Times New Roman"/>
              </w:rPr>
              <w:t>13 079</w:t>
            </w:r>
          </w:p>
        </w:tc>
      </w:tr>
      <w:tr>
        <w:tblPrEx>
          <w:tblW w:w="8580" w:type="dxa"/>
          <w:tblInd w:w="610" w:type="dxa"/>
          <w:tblCellMar>
            <w:left w:w="70" w:type="dxa"/>
            <w:right w:w="70" w:type="dxa"/>
          </w:tblCellMar>
        </w:tblPrEx>
        <w:trPr>
          <w:trHeight w:hRule="exact" w:val="227"/>
        </w:trPr>
        <w:tc>
          <w:tcPr>
            <w:tcW w:w="5560" w:type="dxa"/>
            <w:tcBorders>
              <w:top w:val="single" w:sz="8" w:space="0" w:color="auto"/>
              <w:left w:val="single" w:sz="8" w:space="0" w:color="auto"/>
              <w:bottom w:val="single" w:sz="8" w:space="0" w:color="auto"/>
              <w:right w:val="single" w:sz="8" w:space="0" w:color="auto"/>
              <w:tl2br w:val="nil"/>
              <w:tr2bl w:val="nil"/>
            </w:tcBorders>
            <w:noWrap/>
            <w:textDirection w:val="lrTb"/>
            <w:vAlign w:val="center"/>
          </w:tcPr>
          <w:p w:rsidR="00E711E4" w:rsidRPr="005360FA" w:rsidP="00854617">
            <w:pPr>
              <w:spacing w:line="240" w:lineRule="auto"/>
              <w:rPr>
                <w:rFonts w:ascii="Arial Narrow" w:hAnsi="Arial Narrow" w:cs="Times New Roman"/>
              </w:rPr>
            </w:pPr>
            <w:r w:rsidRPr="005360FA">
              <w:rPr>
                <w:rFonts w:ascii="Arial Narrow" w:hAnsi="Arial Narrow" w:cs="Times New Roman"/>
              </w:rPr>
              <w:t xml:space="preserve">Rezervy súčet </w:t>
            </w:r>
          </w:p>
        </w:tc>
        <w:tc>
          <w:tcPr>
            <w:tcW w:w="1460" w:type="dxa"/>
            <w:tcBorders>
              <w:top w:val="single" w:sz="8" w:space="0" w:color="auto"/>
              <w:left w:val="single" w:sz="8" w:space="0" w:color="auto"/>
              <w:bottom w:val="single" w:sz="8" w:space="0" w:color="auto"/>
              <w:right w:val="single" w:sz="8" w:space="0" w:color="auto"/>
              <w:tl2br w:val="nil"/>
              <w:tr2bl w:val="nil"/>
            </w:tcBorders>
            <w:noWrap/>
            <w:textDirection w:val="lrTb"/>
            <w:vAlign w:val="center"/>
          </w:tcPr>
          <w:p w:rsidR="00E711E4" w:rsidRPr="005360FA" w:rsidP="00854617">
            <w:pPr>
              <w:spacing w:line="240" w:lineRule="auto"/>
              <w:jc w:val="right"/>
              <w:rPr>
                <w:rFonts w:ascii="Arial Narrow" w:hAnsi="Arial Narrow" w:cs="Times New Roman"/>
              </w:rPr>
            </w:pPr>
            <w:r w:rsidR="00AA44E9">
              <w:rPr>
                <w:rFonts w:ascii="Arial Narrow" w:hAnsi="Arial Narrow" w:cs="Times New Roman"/>
              </w:rPr>
              <w:t>1 447</w:t>
            </w:r>
          </w:p>
        </w:tc>
        <w:tc>
          <w:tcPr>
            <w:tcW w:w="1560" w:type="dxa"/>
            <w:tcBorders>
              <w:top w:val="single" w:sz="8" w:space="0" w:color="auto"/>
              <w:left w:val="single" w:sz="8" w:space="0" w:color="auto"/>
              <w:bottom w:val="single" w:sz="8" w:space="0" w:color="auto"/>
              <w:right w:val="single" w:sz="8" w:space="0" w:color="auto"/>
              <w:tl2br w:val="nil"/>
              <w:tr2bl w:val="nil"/>
            </w:tcBorders>
            <w:noWrap/>
            <w:textDirection w:val="lrTb"/>
            <w:vAlign w:val="center"/>
          </w:tcPr>
          <w:p w:rsidR="00E711E4" w:rsidRPr="005360FA" w:rsidP="00854617">
            <w:pPr>
              <w:spacing w:line="240" w:lineRule="auto"/>
              <w:jc w:val="right"/>
              <w:rPr>
                <w:rFonts w:ascii="Arial Narrow" w:hAnsi="Arial Narrow" w:cs="Times New Roman"/>
              </w:rPr>
            </w:pPr>
            <w:r w:rsidR="00AA44E9">
              <w:rPr>
                <w:rFonts w:ascii="Arial Narrow" w:hAnsi="Arial Narrow" w:cs="Times New Roman"/>
              </w:rPr>
              <w:t>1 170</w:t>
            </w:r>
          </w:p>
        </w:tc>
      </w:tr>
      <w:tr>
        <w:tblPrEx>
          <w:tblW w:w="8580" w:type="dxa"/>
          <w:tblInd w:w="610" w:type="dxa"/>
          <w:tblCellMar>
            <w:left w:w="70" w:type="dxa"/>
            <w:right w:w="70" w:type="dxa"/>
          </w:tblCellMar>
        </w:tblPrEx>
        <w:trPr>
          <w:trHeight w:hRule="exact" w:val="227"/>
        </w:trPr>
        <w:tc>
          <w:tcPr>
            <w:tcW w:w="5560" w:type="dxa"/>
            <w:tcBorders>
              <w:top w:val="single" w:sz="8" w:space="0" w:color="auto"/>
              <w:left w:val="single" w:sz="8" w:space="0" w:color="auto"/>
              <w:bottom w:val="single" w:sz="8" w:space="0" w:color="auto"/>
              <w:right w:val="single" w:sz="8" w:space="0" w:color="auto"/>
              <w:tl2br w:val="nil"/>
              <w:tr2bl w:val="nil"/>
            </w:tcBorders>
            <w:noWrap/>
            <w:textDirection w:val="lrTb"/>
            <w:vAlign w:val="center"/>
          </w:tcPr>
          <w:p w:rsidR="00E711E4" w:rsidRPr="005360FA" w:rsidP="00854617">
            <w:pPr>
              <w:spacing w:line="240" w:lineRule="auto"/>
              <w:rPr>
                <w:rFonts w:ascii="Arial Narrow" w:hAnsi="Arial Narrow" w:cs="Times New Roman"/>
              </w:rPr>
            </w:pPr>
            <w:r w:rsidRPr="005360FA">
              <w:rPr>
                <w:rFonts w:ascii="Arial Narrow" w:hAnsi="Arial Narrow" w:cs="Times New Roman"/>
              </w:rPr>
              <w:t xml:space="preserve">Krátkodobé rezervy </w:t>
            </w:r>
          </w:p>
        </w:tc>
        <w:tc>
          <w:tcPr>
            <w:tcW w:w="1460" w:type="dxa"/>
            <w:tcBorders>
              <w:top w:val="single" w:sz="8" w:space="0" w:color="auto"/>
              <w:left w:val="single" w:sz="8" w:space="0" w:color="auto"/>
              <w:bottom w:val="single" w:sz="8" w:space="0" w:color="auto"/>
              <w:right w:val="single" w:sz="8" w:space="0" w:color="auto"/>
              <w:tl2br w:val="nil"/>
              <w:tr2bl w:val="nil"/>
            </w:tcBorders>
            <w:noWrap/>
            <w:textDirection w:val="lrTb"/>
            <w:vAlign w:val="center"/>
          </w:tcPr>
          <w:p w:rsidR="00E711E4" w:rsidRPr="005360FA" w:rsidP="00AA44E9">
            <w:pPr>
              <w:spacing w:line="240" w:lineRule="auto"/>
              <w:jc w:val="right"/>
              <w:rPr>
                <w:rFonts w:ascii="Arial Narrow" w:hAnsi="Arial Narrow" w:cs="Times New Roman"/>
              </w:rPr>
            </w:pPr>
            <w:r w:rsidR="00AA44E9">
              <w:rPr>
                <w:rFonts w:ascii="Arial Narrow" w:hAnsi="Arial Narrow" w:cs="Times New Roman"/>
              </w:rPr>
              <w:t>1 447</w:t>
            </w:r>
          </w:p>
        </w:tc>
        <w:tc>
          <w:tcPr>
            <w:tcW w:w="1560" w:type="dxa"/>
            <w:tcBorders>
              <w:top w:val="single" w:sz="8" w:space="0" w:color="auto"/>
              <w:left w:val="single" w:sz="8" w:space="0" w:color="auto"/>
              <w:bottom w:val="single" w:sz="8" w:space="0" w:color="auto"/>
              <w:right w:val="single" w:sz="8" w:space="0" w:color="auto"/>
              <w:tl2br w:val="nil"/>
              <w:tr2bl w:val="nil"/>
            </w:tcBorders>
            <w:noWrap/>
            <w:textDirection w:val="lrTb"/>
            <w:vAlign w:val="center"/>
          </w:tcPr>
          <w:p w:rsidR="00E711E4" w:rsidRPr="005360FA" w:rsidP="00854617">
            <w:pPr>
              <w:spacing w:line="240" w:lineRule="auto"/>
              <w:jc w:val="right"/>
              <w:rPr>
                <w:rFonts w:ascii="Arial Narrow" w:hAnsi="Arial Narrow" w:cs="Times New Roman"/>
              </w:rPr>
            </w:pPr>
            <w:r w:rsidR="00AA44E9">
              <w:rPr>
                <w:rFonts w:ascii="Arial Narrow" w:hAnsi="Arial Narrow" w:cs="Times New Roman"/>
              </w:rPr>
              <w:t>1 170</w:t>
            </w:r>
          </w:p>
        </w:tc>
      </w:tr>
      <w:tr>
        <w:tblPrEx>
          <w:tblW w:w="8580" w:type="dxa"/>
          <w:tblInd w:w="610" w:type="dxa"/>
          <w:tblCellMar>
            <w:left w:w="70" w:type="dxa"/>
            <w:right w:w="70" w:type="dxa"/>
          </w:tblCellMar>
        </w:tblPrEx>
        <w:trPr>
          <w:trHeight w:hRule="exact" w:val="227"/>
        </w:trPr>
        <w:tc>
          <w:tcPr>
            <w:tcW w:w="5560" w:type="dxa"/>
            <w:tcBorders>
              <w:top w:val="single" w:sz="8" w:space="0" w:color="auto"/>
              <w:left w:val="single" w:sz="8" w:space="0" w:color="auto"/>
              <w:bottom w:val="single" w:sz="8" w:space="0" w:color="auto"/>
              <w:right w:val="single" w:sz="8" w:space="0" w:color="auto"/>
              <w:tl2br w:val="nil"/>
              <w:tr2bl w:val="nil"/>
            </w:tcBorders>
            <w:noWrap/>
            <w:textDirection w:val="lrTb"/>
            <w:vAlign w:val="center"/>
          </w:tcPr>
          <w:p w:rsidR="00E711E4" w:rsidRPr="005360FA" w:rsidP="00854617">
            <w:pPr>
              <w:spacing w:line="240" w:lineRule="auto"/>
              <w:rPr>
                <w:rFonts w:ascii="Arial Narrow" w:hAnsi="Arial Narrow" w:cs="Times New Roman"/>
              </w:rPr>
            </w:pPr>
            <w:r w:rsidRPr="005360FA">
              <w:rPr>
                <w:rFonts w:ascii="Arial Narrow" w:hAnsi="Arial Narrow" w:cs="Times New Roman"/>
              </w:rPr>
              <w:t xml:space="preserve">Dlhodobé záväzky súčet </w:t>
            </w:r>
          </w:p>
        </w:tc>
        <w:tc>
          <w:tcPr>
            <w:tcW w:w="1460" w:type="dxa"/>
            <w:tcBorders>
              <w:top w:val="single" w:sz="8" w:space="0" w:color="auto"/>
              <w:left w:val="single" w:sz="8" w:space="0" w:color="auto"/>
              <w:bottom w:val="single" w:sz="4" w:space="0" w:color="auto"/>
              <w:right w:val="single" w:sz="8" w:space="0" w:color="auto"/>
              <w:tl2br w:val="nil"/>
              <w:tr2bl w:val="nil"/>
            </w:tcBorders>
            <w:noWrap/>
            <w:textDirection w:val="lrTb"/>
            <w:vAlign w:val="center"/>
          </w:tcPr>
          <w:p w:rsidR="00E711E4" w:rsidRPr="005360FA" w:rsidP="00854617">
            <w:pPr>
              <w:spacing w:line="240" w:lineRule="auto"/>
              <w:jc w:val="right"/>
              <w:rPr>
                <w:rFonts w:ascii="Arial Narrow" w:hAnsi="Arial Narrow" w:cs="Times New Roman"/>
              </w:rPr>
            </w:pPr>
            <w:r w:rsidR="00AA44E9">
              <w:rPr>
                <w:rFonts w:ascii="Arial Narrow" w:hAnsi="Arial Narrow" w:cs="Times New Roman"/>
              </w:rPr>
              <w:t>15</w:t>
            </w:r>
          </w:p>
        </w:tc>
        <w:tc>
          <w:tcPr>
            <w:tcW w:w="1560" w:type="dxa"/>
            <w:tcBorders>
              <w:top w:val="single" w:sz="8" w:space="0" w:color="auto"/>
              <w:left w:val="single" w:sz="8" w:space="0" w:color="auto"/>
              <w:bottom w:val="single" w:sz="4" w:space="0" w:color="auto"/>
              <w:right w:val="single" w:sz="8" w:space="0" w:color="auto"/>
              <w:tl2br w:val="nil"/>
              <w:tr2bl w:val="nil"/>
            </w:tcBorders>
            <w:noWrap/>
            <w:textDirection w:val="lrTb"/>
            <w:vAlign w:val="center"/>
          </w:tcPr>
          <w:p w:rsidR="00E711E4" w:rsidRPr="005360FA" w:rsidP="00854617">
            <w:pPr>
              <w:spacing w:line="240" w:lineRule="auto"/>
              <w:jc w:val="right"/>
              <w:rPr>
                <w:rFonts w:ascii="Arial Narrow" w:hAnsi="Arial Narrow" w:cs="Times New Roman"/>
              </w:rPr>
            </w:pPr>
            <w:r w:rsidR="00AA44E9">
              <w:rPr>
                <w:rFonts w:ascii="Arial Narrow" w:hAnsi="Arial Narrow" w:cs="Times New Roman"/>
              </w:rPr>
              <w:t>13</w:t>
            </w:r>
          </w:p>
        </w:tc>
      </w:tr>
      <w:tr>
        <w:tblPrEx>
          <w:tblW w:w="8580" w:type="dxa"/>
          <w:tblInd w:w="610" w:type="dxa"/>
          <w:tblCellMar>
            <w:left w:w="70" w:type="dxa"/>
            <w:right w:w="70" w:type="dxa"/>
          </w:tblCellMar>
        </w:tblPrEx>
        <w:trPr>
          <w:trHeight w:hRule="exact" w:val="227"/>
        </w:trPr>
        <w:tc>
          <w:tcPr>
            <w:tcW w:w="5560" w:type="dxa"/>
            <w:tcBorders>
              <w:top w:val="single" w:sz="8" w:space="0" w:color="auto"/>
              <w:left w:val="single" w:sz="8" w:space="0" w:color="auto"/>
              <w:bottom w:val="single" w:sz="8" w:space="0" w:color="auto"/>
              <w:right w:val="single" w:sz="4" w:space="0" w:color="auto"/>
              <w:tl2br w:val="nil"/>
              <w:tr2bl w:val="nil"/>
            </w:tcBorders>
            <w:noWrap/>
            <w:textDirection w:val="lrTb"/>
            <w:vAlign w:val="center"/>
          </w:tcPr>
          <w:p w:rsidR="00E711E4" w:rsidRPr="005360FA" w:rsidP="00854617">
            <w:pPr>
              <w:spacing w:line="240" w:lineRule="auto"/>
              <w:rPr>
                <w:rFonts w:ascii="Arial Narrow" w:hAnsi="Arial Narrow" w:cs="Times New Roman"/>
              </w:rPr>
            </w:pPr>
            <w:r w:rsidRPr="005360FA">
              <w:rPr>
                <w:rFonts w:ascii="Arial Narrow" w:hAnsi="Arial Narrow" w:cs="Times New Roman"/>
              </w:rPr>
              <w:t xml:space="preserve">Záväzky zo sociálneho fondu </w:t>
            </w:r>
          </w:p>
        </w:tc>
        <w:tc>
          <w:tcPr>
            <w:tcW w:w="146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E711E4" w:rsidRPr="00A7017D" w:rsidP="00854617">
            <w:pPr>
              <w:spacing w:line="240" w:lineRule="auto"/>
              <w:jc w:val="right"/>
              <w:rPr>
                <w:rFonts w:ascii="Arial Narrow" w:hAnsi="Arial Narrow" w:cs="Times New Roman"/>
              </w:rPr>
            </w:pPr>
            <w:r w:rsidR="00AA44E9">
              <w:rPr>
                <w:rFonts w:ascii="Arial Narrow" w:hAnsi="Arial Narrow" w:cs="Times New Roman"/>
              </w:rPr>
              <w:t>15</w:t>
            </w:r>
          </w:p>
        </w:tc>
        <w:tc>
          <w:tcPr>
            <w:tcW w:w="156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E711E4" w:rsidRPr="00A7017D" w:rsidP="00854617">
            <w:pPr>
              <w:spacing w:line="240" w:lineRule="auto"/>
              <w:jc w:val="right"/>
              <w:rPr>
                <w:rFonts w:ascii="Arial Narrow" w:hAnsi="Arial Narrow" w:cs="Times New Roman"/>
              </w:rPr>
            </w:pPr>
            <w:r w:rsidR="00AA44E9">
              <w:rPr>
                <w:rFonts w:ascii="Arial Narrow" w:hAnsi="Arial Narrow" w:cs="Times New Roman"/>
              </w:rPr>
              <w:t>13</w:t>
            </w:r>
          </w:p>
        </w:tc>
      </w:tr>
      <w:tr>
        <w:tblPrEx>
          <w:tblW w:w="8580" w:type="dxa"/>
          <w:tblInd w:w="610" w:type="dxa"/>
          <w:tblCellMar>
            <w:left w:w="70" w:type="dxa"/>
            <w:right w:w="70" w:type="dxa"/>
          </w:tblCellMar>
        </w:tblPrEx>
        <w:trPr>
          <w:trHeight w:hRule="exact" w:val="227"/>
        </w:trPr>
        <w:tc>
          <w:tcPr>
            <w:tcW w:w="5560" w:type="dxa"/>
            <w:tcBorders>
              <w:top w:val="single" w:sz="8" w:space="0" w:color="auto"/>
              <w:left w:val="single" w:sz="8" w:space="0" w:color="auto"/>
              <w:bottom w:val="single" w:sz="8" w:space="0" w:color="auto"/>
              <w:right w:val="single" w:sz="8" w:space="0" w:color="auto"/>
              <w:tl2br w:val="nil"/>
              <w:tr2bl w:val="nil"/>
            </w:tcBorders>
            <w:noWrap/>
            <w:textDirection w:val="lrTb"/>
            <w:vAlign w:val="center"/>
          </w:tcPr>
          <w:p w:rsidR="00E711E4" w:rsidRPr="005360FA" w:rsidP="00854617">
            <w:pPr>
              <w:spacing w:line="240" w:lineRule="auto"/>
              <w:rPr>
                <w:rFonts w:ascii="Arial Narrow" w:hAnsi="Arial Narrow" w:cs="Times New Roman"/>
              </w:rPr>
            </w:pPr>
            <w:r w:rsidRPr="005360FA">
              <w:rPr>
                <w:rFonts w:ascii="Arial Narrow" w:hAnsi="Arial Narrow" w:cs="Times New Roman"/>
              </w:rPr>
              <w:t xml:space="preserve">Krátkodobé záväzky súčet </w:t>
            </w:r>
          </w:p>
        </w:tc>
        <w:tc>
          <w:tcPr>
            <w:tcW w:w="1460" w:type="dxa"/>
            <w:tcBorders>
              <w:top w:val="single" w:sz="4" w:space="0" w:color="auto"/>
              <w:left w:val="single" w:sz="8" w:space="0" w:color="auto"/>
              <w:bottom w:val="single" w:sz="8" w:space="0" w:color="auto"/>
              <w:right w:val="single" w:sz="8" w:space="0" w:color="auto"/>
              <w:tl2br w:val="nil"/>
              <w:tr2bl w:val="nil"/>
            </w:tcBorders>
            <w:noWrap/>
            <w:textDirection w:val="lrTb"/>
            <w:vAlign w:val="center"/>
          </w:tcPr>
          <w:p w:rsidR="00E711E4" w:rsidRPr="005360FA" w:rsidP="00854617">
            <w:pPr>
              <w:spacing w:line="240" w:lineRule="auto"/>
              <w:jc w:val="right"/>
              <w:rPr>
                <w:rFonts w:ascii="Arial Narrow" w:hAnsi="Arial Narrow" w:cs="Times New Roman"/>
              </w:rPr>
            </w:pPr>
            <w:r w:rsidR="00AA44E9">
              <w:rPr>
                <w:rFonts w:ascii="Arial Narrow" w:hAnsi="Arial Narrow" w:cs="Times New Roman"/>
              </w:rPr>
              <w:t>7 963</w:t>
            </w:r>
          </w:p>
        </w:tc>
        <w:tc>
          <w:tcPr>
            <w:tcW w:w="1560" w:type="dxa"/>
            <w:tcBorders>
              <w:top w:val="single" w:sz="4" w:space="0" w:color="auto"/>
              <w:left w:val="single" w:sz="8" w:space="0" w:color="auto"/>
              <w:bottom w:val="single" w:sz="8" w:space="0" w:color="auto"/>
              <w:right w:val="single" w:sz="8" w:space="0" w:color="auto"/>
              <w:tl2br w:val="nil"/>
              <w:tr2bl w:val="nil"/>
            </w:tcBorders>
            <w:noWrap/>
            <w:textDirection w:val="lrTb"/>
            <w:vAlign w:val="center"/>
          </w:tcPr>
          <w:p w:rsidR="00E711E4" w:rsidRPr="005360FA" w:rsidP="00854617">
            <w:pPr>
              <w:spacing w:line="240" w:lineRule="auto"/>
              <w:jc w:val="right"/>
              <w:rPr>
                <w:rFonts w:ascii="Arial Narrow" w:hAnsi="Arial Narrow" w:cs="Times New Roman"/>
              </w:rPr>
            </w:pPr>
            <w:r w:rsidR="00AA44E9">
              <w:rPr>
                <w:rFonts w:ascii="Arial Narrow" w:hAnsi="Arial Narrow" w:cs="Times New Roman"/>
              </w:rPr>
              <w:t>-3 204</w:t>
            </w:r>
          </w:p>
        </w:tc>
      </w:tr>
      <w:tr>
        <w:tblPrEx>
          <w:tblW w:w="8580" w:type="dxa"/>
          <w:tblInd w:w="610" w:type="dxa"/>
          <w:tblCellMar>
            <w:left w:w="70" w:type="dxa"/>
            <w:right w:w="70" w:type="dxa"/>
          </w:tblCellMar>
        </w:tblPrEx>
        <w:trPr>
          <w:trHeight w:hRule="exact" w:val="227"/>
        </w:trPr>
        <w:tc>
          <w:tcPr>
            <w:tcW w:w="5560" w:type="dxa"/>
            <w:tcBorders>
              <w:top w:val="single" w:sz="8" w:space="0" w:color="auto"/>
              <w:left w:val="single" w:sz="8" w:space="0" w:color="auto"/>
              <w:bottom w:val="single" w:sz="8" w:space="0" w:color="auto"/>
              <w:right w:val="single" w:sz="8" w:space="0" w:color="auto"/>
              <w:tl2br w:val="nil"/>
              <w:tr2bl w:val="nil"/>
            </w:tcBorders>
            <w:noWrap/>
            <w:textDirection w:val="lrTb"/>
            <w:vAlign w:val="center"/>
          </w:tcPr>
          <w:p w:rsidR="00E711E4" w:rsidRPr="005360FA" w:rsidP="00854617">
            <w:pPr>
              <w:spacing w:line="240" w:lineRule="auto"/>
              <w:rPr>
                <w:rFonts w:ascii="Arial Narrow" w:hAnsi="Arial Narrow" w:cs="Times New Roman"/>
              </w:rPr>
            </w:pPr>
            <w:r w:rsidRPr="005360FA">
              <w:rPr>
                <w:rFonts w:ascii="Arial Narrow" w:hAnsi="Arial Narrow" w:cs="Times New Roman"/>
              </w:rPr>
              <w:t xml:space="preserve">Záväzky z obchodného styku </w:t>
            </w:r>
          </w:p>
        </w:tc>
        <w:tc>
          <w:tcPr>
            <w:tcW w:w="1460" w:type="dxa"/>
            <w:tcBorders>
              <w:top w:val="single" w:sz="8" w:space="0" w:color="auto"/>
              <w:left w:val="single" w:sz="8" w:space="0" w:color="auto"/>
              <w:bottom w:val="single" w:sz="8" w:space="0" w:color="auto"/>
              <w:right w:val="single" w:sz="8" w:space="0" w:color="auto"/>
              <w:tl2br w:val="nil"/>
              <w:tr2bl w:val="nil"/>
            </w:tcBorders>
            <w:noWrap/>
            <w:textDirection w:val="lrTb"/>
            <w:vAlign w:val="center"/>
          </w:tcPr>
          <w:p w:rsidR="00E711E4" w:rsidRPr="005360FA" w:rsidP="00854617">
            <w:pPr>
              <w:spacing w:line="240" w:lineRule="auto"/>
              <w:jc w:val="right"/>
              <w:rPr>
                <w:rFonts w:ascii="Arial Narrow" w:hAnsi="Arial Narrow" w:cs="Times New Roman"/>
              </w:rPr>
            </w:pPr>
            <w:r w:rsidR="00AA44E9">
              <w:rPr>
                <w:rFonts w:ascii="Arial Narrow" w:hAnsi="Arial Narrow" w:cs="Times New Roman"/>
              </w:rPr>
              <w:t>5 328</w:t>
            </w:r>
          </w:p>
        </w:tc>
        <w:tc>
          <w:tcPr>
            <w:tcW w:w="1560" w:type="dxa"/>
            <w:tcBorders>
              <w:top w:val="single" w:sz="8" w:space="0" w:color="auto"/>
              <w:left w:val="single" w:sz="8" w:space="0" w:color="auto"/>
              <w:bottom w:val="single" w:sz="8" w:space="0" w:color="auto"/>
              <w:right w:val="single" w:sz="8" w:space="0" w:color="auto"/>
              <w:tl2br w:val="nil"/>
              <w:tr2bl w:val="nil"/>
            </w:tcBorders>
            <w:noWrap/>
            <w:textDirection w:val="lrTb"/>
            <w:vAlign w:val="center"/>
          </w:tcPr>
          <w:p w:rsidR="00E711E4" w:rsidRPr="005360FA" w:rsidP="00854617">
            <w:pPr>
              <w:spacing w:line="240" w:lineRule="auto"/>
              <w:jc w:val="right"/>
              <w:rPr>
                <w:rFonts w:ascii="Arial Narrow" w:hAnsi="Arial Narrow" w:cs="Times New Roman"/>
              </w:rPr>
            </w:pPr>
            <w:r w:rsidR="00AA44E9">
              <w:rPr>
                <w:rFonts w:ascii="Arial Narrow" w:hAnsi="Arial Narrow" w:cs="Times New Roman"/>
              </w:rPr>
              <w:t>6 233</w:t>
            </w:r>
          </w:p>
        </w:tc>
      </w:tr>
      <w:tr>
        <w:tblPrEx>
          <w:tblW w:w="8580" w:type="dxa"/>
          <w:tblInd w:w="610" w:type="dxa"/>
          <w:tblCellMar>
            <w:left w:w="70" w:type="dxa"/>
            <w:right w:w="70" w:type="dxa"/>
          </w:tblCellMar>
        </w:tblPrEx>
        <w:trPr>
          <w:trHeight w:hRule="exact" w:val="227"/>
        </w:trPr>
        <w:tc>
          <w:tcPr>
            <w:tcW w:w="5560" w:type="dxa"/>
            <w:tcBorders>
              <w:top w:val="single" w:sz="8" w:space="0" w:color="auto"/>
              <w:left w:val="single" w:sz="8" w:space="0" w:color="auto"/>
              <w:bottom w:val="single" w:sz="8" w:space="0" w:color="auto"/>
              <w:right w:val="single" w:sz="8" w:space="0" w:color="auto"/>
              <w:tl2br w:val="nil"/>
              <w:tr2bl w:val="nil"/>
            </w:tcBorders>
            <w:noWrap/>
            <w:textDirection w:val="lrTb"/>
            <w:vAlign w:val="center"/>
          </w:tcPr>
          <w:p w:rsidR="00E711E4" w:rsidRPr="005360FA" w:rsidP="00854617">
            <w:pPr>
              <w:spacing w:line="240" w:lineRule="auto"/>
              <w:rPr>
                <w:rFonts w:ascii="Arial Narrow" w:hAnsi="Arial Narrow" w:cs="Times New Roman"/>
              </w:rPr>
            </w:pPr>
            <w:r w:rsidRPr="005360FA">
              <w:rPr>
                <w:rFonts w:ascii="Arial Narrow" w:hAnsi="Arial Narrow" w:cs="Times New Roman"/>
              </w:rPr>
              <w:t>Nevyfakturované dodávky</w:t>
            </w:r>
          </w:p>
        </w:tc>
        <w:tc>
          <w:tcPr>
            <w:tcW w:w="1460" w:type="dxa"/>
            <w:tcBorders>
              <w:top w:val="single" w:sz="8" w:space="0" w:color="auto"/>
              <w:left w:val="single" w:sz="8" w:space="0" w:color="auto"/>
              <w:bottom w:val="single" w:sz="8" w:space="0" w:color="auto"/>
              <w:right w:val="single" w:sz="8" w:space="0" w:color="auto"/>
              <w:tl2br w:val="nil"/>
              <w:tr2bl w:val="nil"/>
            </w:tcBorders>
            <w:noWrap/>
            <w:textDirection w:val="lrTb"/>
            <w:vAlign w:val="center"/>
          </w:tcPr>
          <w:p w:rsidR="00E711E4" w:rsidRPr="005360FA" w:rsidP="00854617">
            <w:pPr>
              <w:spacing w:line="240" w:lineRule="auto"/>
              <w:jc w:val="right"/>
              <w:rPr>
                <w:rFonts w:ascii="Arial Narrow" w:hAnsi="Arial Narrow" w:cs="Times New Roman"/>
              </w:rPr>
            </w:pPr>
            <w:r w:rsidR="00AA44E9">
              <w:rPr>
                <w:rFonts w:ascii="Arial Narrow" w:hAnsi="Arial Narrow" w:cs="Times New Roman"/>
              </w:rPr>
              <w:t>206</w:t>
            </w:r>
          </w:p>
        </w:tc>
        <w:tc>
          <w:tcPr>
            <w:tcW w:w="1560" w:type="dxa"/>
            <w:tcBorders>
              <w:top w:val="single" w:sz="8" w:space="0" w:color="auto"/>
              <w:left w:val="single" w:sz="8" w:space="0" w:color="auto"/>
              <w:bottom w:val="single" w:sz="8" w:space="0" w:color="auto"/>
              <w:right w:val="single" w:sz="8" w:space="0" w:color="auto"/>
              <w:tl2br w:val="nil"/>
              <w:tr2bl w:val="nil"/>
            </w:tcBorders>
            <w:noWrap/>
            <w:textDirection w:val="lrTb"/>
            <w:vAlign w:val="center"/>
          </w:tcPr>
          <w:p w:rsidR="00E711E4" w:rsidRPr="005360FA" w:rsidP="00854617">
            <w:pPr>
              <w:spacing w:line="240" w:lineRule="auto"/>
              <w:jc w:val="right"/>
              <w:rPr>
                <w:rFonts w:ascii="Arial Narrow" w:hAnsi="Arial Narrow" w:cs="Times New Roman"/>
              </w:rPr>
            </w:pPr>
            <w:r w:rsidR="00AA44E9">
              <w:rPr>
                <w:rFonts w:ascii="Arial Narrow" w:hAnsi="Arial Narrow" w:cs="Times New Roman"/>
              </w:rPr>
              <w:t>2</w:t>
            </w:r>
          </w:p>
        </w:tc>
      </w:tr>
      <w:tr>
        <w:tblPrEx>
          <w:tblW w:w="8580" w:type="dxa"/>
          <w:tblInd w:w="610" w:type="dxa"/>
          <w:tblCellMar>
            <w:left w:w="70" w:type="dxa"/>
            <w:right w:w="70" w:type="dxa"/>
          </w:tblCellMar>
        </w:tblPrEx>
        <w:trPr>
          <w:trHeight w:hRule="exact" w:val="227"/>
        </w:trPr>
        <w:tc>
          <w:tcPr>
            <w:tcW w:w="5560" w:type="dxa"/>
            <w:tcBorders>
              <w:top w:val="single" w:sz="8" w:space="0" w:color="auto"/>
              <w:left w:val="single" w:sz="8" w:space="0" w:color="auto"/>
              <w:bottom w:val="single" w:sz="8" w:space="0" w:color="auto"/>
              <w:right w:val="single" w:sz="8" w:space="0" w:color="auto"/>
              <w:tl2br w:val="nil"/>
              <w:tr2bl w:val="nil"/>
            </w:tcBorders>
            <w:noWrap/>
            <w:textDirection w:val="lrTb"/>
            <w:vAlign w:val="center"/>
          </w:tcPr>
          <w:p w:rsidR="00E711E4" w:rsidRPr="005360FA" w:rsidP="00854617">
            <w:pPr>
              <w:spacing w:line="240" w:lineRule="auto"/>
              <w:rPr>
                <w:rFonts w:ascii="Arial Narrow" w:hAnsi="Arial Narrow" w:cs="Times New Roman"/>
              </w:rPr>
            </w:pPr>
            <w:r w:rsidRPr="005360FA">
              <w:rPr>
                <w:rFonts w:ascii="Arial Narrow" w:hAnsi="Arial Narrow" w:cs="Times New Roman"/>
              </w:rPr>
              <w:t xml:space="preserve">Záväzky voči zamestnancom </w:t>
            </w:r>
          </w:p>
        </w:tc>
        <w:tc>
          <w:tcPr>
            <w:tcW w:w="1460" w:type="dxa"/>
            <w:tcBorders>
              <w:top w:val="single" w:sz="8" w:space="0" w:color="auto"/>
              <w:left w:val="single" w:sz="8" w:space="0" w:color="auto"/>
              <w:bottom w:val="single" w:sz="8" w:space="0" w:color="auto"/>
              <w:right w:val="single" w:sz="8" w:space="0" w:color="auto"/>
              <w:tl2br w:val="nil"/>
              <w:tr2bl w:val="nil"/>
            </w:tcBorders>
            <w:noWrap/>
            <w:textDirection w:val="lrTb"/>
            <w:vAlign w:val="center"/>
          </w:tcPr>
          <w:p w:rsidR="00E711E4" w:rsidRPr="005360FA" w:rsidP="00854617">
            <w:pPr>
              <w:spacing w:line="240" w:lineRule="auto"/>
              <w:jc w:val="right"/>
              <w:rPr>
                <w:rFonts w:ascii="Arial Narrow" w:hAnsi="Arial Narrow" w:cs="Times New Roman"/>
              </w:rPr>
            </w:pPr>
            <w:r w:rsidR="00AA44E9">
              <w:rPr>
                <w:rFonts w:ascii="Arial Narrow" w:hAnsi="Arial Narrow" w:cs="Times New Roman"/>
              </w:rPr>
              <w:t>1 299</w:t>
            </w:r>
          </w:p>
        </w:tc>
        <w:tc>
          <w:tcPr>
            <w:tcW w:w="1560" w:type="dxa"/>
            <w:tcBorders>
              <w:top w:val="single" w:sz="8" w:space="0" w:color="auto"/>
              <w:left w:val="single" w:sz="8" w:space="0" w:color="auto"/>
              <w:bottom w:val="single" w:sz="8" w:space="0" w:color="auto"/>
              <w:right w:val="single" w:sz="8" w:space="0" w:color="auto"/>
              <w:tl2br w:val="nil"/>
              <w:tr2bl w:val="nil"/>
            </w:tcBorders>
            <w:noWrap/>
            <w:textDirection w:val="lrTb"/>
            <w:vAlign w:val="center"/>
          </w:tcPr>
          <w:p w:rsidR="00E711E4" w:rsidRPr="005360FA" w:rsidP="00854617">
            <w:pPr>
              <w:spacing w:line="240" w:lineRule="auto"/>
              <w:jc w:val="right"/>
              <w:rPr>
                <w:rFonts w:ascii="Arial Narrow" w:hAnsi="Arial Narrow" w:cs="Times New Roman"/>
              </w:rPr>
            </w:pPr>
            <w:r w:rsidR="00AA44E9">
              <w:rPr>
                <w:rFonts w:ascii="Arial Narrow" w:hAnsi="Arial Narrow" w:cs="Times New Roman"/>
              </w:rPr>
              <w:t>1 515</w:t>
            </w:r>
          </w:p>
        </w:tc>
      </w:tr>
      <w:tr>
        <w:tblPrEx>
          <w:tblW w:w="8580" w:type="dxa"/>
          <w:tblInd w:w="610" w:type="dxa"/>
          <w:tblCellMar>
            <w:left w:w="70" w:type="dxa"/>
            <w:right w:w="70" w:type="dxa"/>
          </w:tblCellMar>
        </w:tblPrEx>
        <w:trPr>
          <w:trHeight w:hRule="exact" w:val="227"/>
        </w:trPr>
        <w:tc>
          <w:tcPr>
            <w:tcW w:w="5560" w:type="dxa"/>
            <w:tcBorders>
              <w:top w:val="single" w:sz="8" w:space="0" w:color="auto"/>
              <w:left w:val="single" w:sz="8" w:space="0" w:color="auto"/>
              <w:bottom w:val="single" w:sz="8" w:space="0" w:color="auto"/>
              <w:right w:val="single" w:sz="8" w:space="0" w:color="auto"/>
              <w:tl2br w:val="nil"/>
              <w:tr2bl w:val="nil"/>
            </w:tcBorders>
            <w:noWrap/>
            <w:textDirection w:val="lrTb"/>
            <w:vAlign w:val="center"/>
          </w:tcPr>
          <w:p w:rsidR="00E711E4" w:rsidRPr="005360FA" w:rsidP="00854617">
            <w:pPr>
              <w:spacing w:line="240" w:lineRule="auto"/>
              <w:rPr>
                <w:rFonts w:ascii="Arial Narrow" w:hAnsi="Arial Narrow" w:cs="Times New Roman"/>
              </w:rPr>
            </w:pPr>
            <w:r w:rsidRPr="005360FA">
              <w:rPr>
                <w:rFonts w:ascii="Arial Narrow" w:hAnsi="Arial Narrow" w:cs="Times New Roman"/>
              </w:rPr>
              <w:t xml:space="preserve">Záväzky zo sociálneho poistenia </w:t>
            </w:r>
          </w:p>
        </w:tc>
        <w:tc>
          <w:tcPr>
            <w:tcW w:w="1460" w:type="dxa"/>
            <w:tcBorders>
              <w:top w:val="single" w:sz="8" w:space="0" w:color="auto"/>
              <w:left w:val="single" w:sz="8" w:space="0" w:color="auto"/>
              <w:bottom w:val="single" w:sz="8" w:space="0" w:color="auto"/>
              <w:right w:val="single" w:sz="8" w:space="0" w:color="auto"/>
              <w:tl2br w:val="nil"/>
              <w:tr2bl w:val="nil"/>
            </w:tcBorders>
            <w:noWrap/>
            <w:textDirection w:val="lrTb"/>
            <w:vAlign w:val="center"/>
          </w:tcPr>
          <w:p w:rsidR="00E711E4" w:rsidRPr="005360FA" w:rsidP="00854617">
            <w:pPr>
              <w:spacing w:line="240" w:lineRule="auto"/>
              <w:jc w:val="right"/>
              <w:rPr>
                <w:rFonts w:ascii="Arial Narrow" w:hAnsi="Arial Narrow" w:cs="Times New Roman"/>
              </w:rPr>
            </w:pPr>
            <w:r w:rsidR="00AA44E9">
              <w:rPr>
                <w:rFonts w:ascii="Arial Narrow" w:hAnsi="Arial Narrow" w:cs="Times New Roman"/>
              </w:rPr>
              <w:t>835</w:t>
            </w:r>
          </w:p>
        </w:tc>
        <w:tc>
          <w:tcPr>
            <w:tcW w:w="1560" w:type="dxa"/>
            <w:tcBorders>
              <w:top w:val="single" w:sz="8" w:space="0" w:color="auto"/>
              <w:left w:val="single" w:sz="8" w:space="0" w:color="auto"/>
              <w:bottom w:val="single" w:sz="8" w:space="0" w:color="auto"/>
              <w:right w:val="single" w:sz="8" w:space="0" w:color="auto"/>
              <w:tl2br w:val="nil"/>
              <w:tr2bl w:val="nil"/>
            </w:tcBorders>
            <w:noWrap/>
            <w:textDirection w:val="lrTb"/>
            <w:vAlign w:val="center"/>
          </w:tcPr>
          <w:p w:rsidR="00E711E4" w:rsidRPr="005360FA" w:rsidP="00854617">
            <w:pPr>
              <w:spacing w:line="240" w:lineRule="auto"/>
              <w:jc w:val="right"/>
              <w:rPr>
                <w:rFonts w:ascii="Arial Narrow" w:hAnsi="Arial Narrow" w:cs="Times New Roman"/>
              </w:rPr>
            </w:pPr>
            <w:r w:rsidR="00AA44E9">
              <w:rPr>
                <w:rFonts w:ascii="Arial Narrow" w:hAnsi="Arial Narrow" w:cs="Times New Roman"/>
              </w:rPr>
              <w:t>1 000</w:t>
            </w:r>
          </w:p>
        </w:tc>
      </w:tr>
      <w:tr>
        <w:tblPrEx>
          <w:tblW w:w="8580" w:type="dxa"/>
          <w:tblInd w:w="610" w:type="dxa"/>
          <w:tblCellMar>
            <w:left w:w="70" w:type="dxa"/>
            <w:right w:w="70" w:type="dxa"/>
          </w:tblCellMar>
        </w:tblPrEx>
        <w:trPr>
          <w:trHeight w:hRule="exact" w:val="227"/>
        </w:trPr>
        <w:tc>
          <w:tcPr>
            <w:tcW w:w="5560" w:type="dxa"/>
            <w:tcBorders>
              <w:top w:val="single" w:sz="8" w:space="0" w:color="auto"/>
              <w:left w:val="single" w:sz="8" w:space="0" w:color="auto"/>
              <w:bottom w:val="single" w:sz="8" w:space="0" w:color="auto"/>
              <w:right w:val="single" w:sz="8" w:space="0" w:color="auto"/>
              <w:tl2br w:val="nil"/>
              <w:tr2bl w:val="nil"/>
            </w:tcBorders>
            <w:noWrap/>
            <w:textDirection w:val="lrTb"/>
            <w:vAlign w:val="center"/>
          </w:tcPr>
          <w:p w:rsidR="00E711E4" w:rsidRPr="005360FA" w:rsidP="00854617">
            <w:pPr>
              <w:spacing w:line="240" w:lineRule="auto"/>
              <w:rPr>
                <w:rFonts w:ascii="Arial Narrow" w:hAnsi="Arial Narrow" w:cs="Times New Roman"/>
              </w:rPr>
            </w:pPr>
            <w:r w:rsidRPr="005360FA">
              <w:rPr>
                <w:rFonts w:ascii="Arial Narrow" w:hAnsi="Arial Narrow" w:cs="Times New Roman"/>
              </w:rPr>
              <w:t xml:space="preserve">Daňové záväzky a dotácie </w:t>
            </w:r>
          </w:p>
        </w:tc>
        <w:tc>
          <w:tcPr>
            <w:tcW w:w="1460" w:type="dxa"/>
            <w:tcBorders>
              <w:top w:val="single" w:sz="8" w:space="0" w:color="auto"/>
              <w:left w:val="single" w:sz="8" w:space="0" w:color="auto"/>
              <w:bottom w:val="single" w:sz="8" w:space="0" w:color="auto"/>
              <w:right w:val="single" w:sz="8" w:space="0" w:color="auto"/>
              <w:tl2br w:val="nil"/>
              <w:tr2bl w:val="nil"/>
            </w:tcBorders>
            <w:noWrap/>
            <w:textDirection w:val="lrTb"/>
            <w:vAlign w:val="center"/>
          </w:tcPr>
          <w:p w:rsidR="00E711E4" w:rsidRPr="005360FA" w:rsidP="00854617">
            <w:pPr>
              <w:spacing w:line="240" w:lineRule="auto"/>
              <w:jc w:val="right"/>
              <w:rPr>
                <w:rFonts w:ascii="Arial Narrow" w:hAnsi="Arial Narrow" w:cs="Times New Roman"/>
              </w:rPr>
            </w:pPr>
            <w:r w:rsidR="00AA44E9">
              <w:rPr>
                <w:rFonts w:ascii="Arial Narrow" w:hAnsi="Arial Narrow" w:cs="Times New Roman"/>
              </w:rPr>
              <w:t>201</w:t>
            </w:r>
          </w:p>
        </w:tc>
        <w:tc>
          <w:tcPr>
            <w:tcW w:w="1560" w:type="dxa"/>
            <w:tcBorders>
              <w:top w:val="single" w:sz="8" w:space="0" w:color="auto"/>
              <w:left w:val="single" w:sz="8" w:space="0" w:color="auto"/>
              <w:bottom w:val="single" w:sz="8" w:space="0" w:color="auto"/>
              <w:right w:val="single" w:sz="8" w:space="0" w:color="auto"/>
              <w:tl2br w:val="nil"/>
              <w:tr2bl w:val="nil"/>
            </w:tcBorders>
            <w:noWrap/>
            <w:textDirection w:val="lrTb"/>
            <w:vAlign w:val="center"/>
          </w:tcPr>
          <w:p w:rsidR="00E711E4" w:rsidRPr="005360FA" w:rsidP="00854617">
            <w:pPr>
              <w:spacing w:line="240" w:lineRule="auto"/>
              <w:jc w:val="right"/>
              <w:rPr>
                <w:rFonts w:ascii="Arial Narrow" w:hAnsi="Arial Narrow" w:cs="Times New Roman"/>
              </w:rPr>
            </w:pPr>
            <w:r w:rsidR="00AA44E9">
              <w:rPr>
                <w:rFonts w:ascii="Arial Narrow" w:hAnsi="Arial Narrow" w:cs="Times New Roman"/>
              </w:rPr>
              <w:t>- 11 999</w:t>
            </w:r>
          </w:p>
        </w:tc>
      </w:tr>
      <w:tr>
        <w:tblPrEx>
          <w:tblW w:w="8580" w:type="dxa"/>
          <w:tblInd w:w="610" w:type="dxa"/>
          <w:tblCellMar>
            <w:left w:w="70" w:type="dxa"/>
            <w:right w:w="70" w:type="dxa"/>
          </w:tblCellMar>
        </w:tblPrEx>
        <w:trPr>
          <w:trHeight w:hRule="exact" w:val="227"/>
        </w:trPr>
        <w:tc>
          <w:tcPr>
            <w:tcW w:w="5560" w:type="dxa"/>
            <w:tcBorders>
              <w:top w:val="single" w:sz="8" w:space="0" w:color="auto"/>
              <w:left w:val="single" w:sz="8" w:space="0" w:color="auto"/>
              <w:bottom w:val="single" w:sz="8" w:space="0" w:color="auto"/>
              <w:right w:val="single" w:sz="8" w:space="0" w:color="auto"/>
              <w:tl2br w:val="nil"/>
              <w:tr2bl w:val="nil"/>
            </w:tcBorders>
            <w:noWrap/>
            <w:textDirection w:val="lrTb"/>
            <w:vAlign w:val="center"/>
          </w:tcPr>
          <w:p w:rsidR="00E711E4" w:rsidRPr="005360FA" w:rsidP="00854617">
            <w:pPr>
              <w:spacing w:line="240" w:lineRule="auto"/>
              <w:rPr>
                <w:rFonts w:ascii="Arial Narrow" w:hAnsi="Arial Narrow" w:cs="Times New Roman"/>
              </w:rPr>
            </w:pPr>
            <w:r w:rsidRPr="005360FA">
              <w:rPr>
                <w:rFonts w:ascii="Arial Narrow" w:hAnsi="Arial Narrow" w:cs="Times New Roman"/>
              </w:rPr>
              <w:t xml:space="preserve">Ostatné záväzky </w:t>
            </w:r>
          </w:p>
        </w:tc>
        <w:tc>
          <w:tcPr>
            <w:tcW w:w="1460" w:type="dxa"/>
            <w:tcBorders>
              <w:top w:val="single" w:sz="8" w:space="0" w:color="auto"/>
              <w:left w:val="single" w:sz="8" w:space="0" w:color="auto"/>
              <w:bottom w:val="single" w:sz="8" w:space="0" w:color="auto"/>
              <w:right w:val="single" w:sz="8" w:space="0" w:color="auto"/>
              <w:tl2br w:val="nil"/>
              <w:tr2bl w:val="nil"/>
            </w:tcBorders>
            <w:noWrap/>
            <w:textDirection w:val="lrTb"/>
            <w:vAlign w:val="center"/>
          </w:tcPr>
          <w:p w:rsidR="00E711E4" w:rsidRPr="005360FA" w:rsidP="00854617">
            <w:pPr>
              <w:spacing w:line="240" w:lineRule="auto"/>
              <w:jc w:val="right"/>
              <w:rPr>
                <w:rFonts w:ascii="Arial Narrow" w:hAnsi="Arial Narrow" w:cs="Times New Roman"/>
              </w:rPr>
            </w:pPr>
            <w:r w:rsidR="00AA44E9">
              <w:rPr>
                <w:rFonts w:ascii="Arial Narrow" w:hAnsi="Arial Narrow" w:cs="Times New Roman"/>
              </w:rPr>
              <w:t>93</w:t>
            </w:r>
          </w:p>
        </w:tc>
        <w:tc>
          <w:tcPr>
            <w:tcW w:w="1560" w:type="dxa"/>
            <w:tcBorders>
              <w:top w:val="single" w:sz="8" w:space="0" w:color="auto"/>
              <w:left w:val="single" w:sz="8" w:space="0" w:color="auto"/>
              <w:bottom w:val="single" w:sz="8" w:space="0" w:color="auto"/>
              <w:right w:val="single" w:sz="8" w:space="0" w:color="auto"/>
              <w:tl2br w:val="nil"/>
              <w:tr2bl w:val="nil"/>
            </w:tcBorders>
            <w:noWrap/>
            <w:textDirection w:val="lrTb"/>
            <w:vAlign w:val="center"/>
          </w:tcPr>
          <w:p w:rsidR="00E711E4" w:rsidRPr="005360FA" w:rsidP="00854617">
            <w:pPr>
              <w:spacing w:line="240" w:lineRule="auto"/>
              <w:jc w:val="right"/>
              <w:rPr>
                <w:rFonts w:ascii="Arial Narrow" w:hAnsi="Arial Narrow" w:cs="Times New Roman"/>
              </w:rPr>
            </w:pPr>
            <w:r w:rsidR="00AA44E9">
              <w:rPr>
                <w:rFonts w:ascii="Arial Narrow" w:hAnsi="Arial Narrow" w:cs="Times New Roman"/>
              </w:rPr>
              <w:t>46</w:t>
            </w:r>
          </w:p>
        </w:tc>
      </w:tr>
      <w:tr>
        <w:tblPrEx>
          <w:tblW w:w="8580" w:type="dxa"/>
          <w:tblInd w:w="610" w:type="dxa"/>
          <w:tblCellMar>
            <w:left w:w="70" w:type="dxa"/>
            <w:right w:w="70" w:type="dxa"/>
          </w:tblCellMar>
        </w:tblPrEx>
        <w:trPr>
          <w:trHeight w:hRule="exact" w:val="227"/>
        </w:trPr>
        <w:tc>
          <w:tcPr>
            <w:tcW w:w="5560" w:type="dxa"/>
            <w:tcBorders>
              <w:top w:val="single" w:sz="8" w:space="0" w:color="auto"/>
              <w:left w:val="single" w:sz="8" w:space="0" w:color="auto"/>
              <w:bottom w:val="single" w:sz="8" w:space="0" w:color="auto"/>
              <w:right w:val="single" w:sz="8" w:space="0" w:color="auto"/>
              <w:tl2br w:val="nil"/>
              <w:tr2bl w:val="nil"/>
            </w:tcBorders>
            <w:noWrap/>
            <w:textDirection w:val="lrTb"/>
            <w:vAlign w:val="center"/>
          </w:tcPr>
          <w:p w:rsidR="00E711E4" w:rsidRPr="005360FA" w:rsidP="00854617">
            <w:pPr>
              <w:spacing w:line="240" w:lineRule="auto"/>
              <w:rPr>
                <w:rFonts w:ascii="Arial Narrow" w:hAnsi="Arial Narrow" w:cs="Times New Roman"/>
              </w:rPr>
            </w:pPr>
            <w:r>
              <w:rPr>
                <w:rFonts w:ascii="Arial Narrow" w:hAnsi="Arial Narrow" w:cs="Times New Roman"/>
              </w:rPr>
              <w:t>Bankové úvery a výpomoci súčet</w:t>
            </w:r>
          </w:p>
        </w:tc>
        <w:tc>
          <w:tcPr>
            <w:tcW w:w="1460" w:type="dxa"/>
            <w:tcBorders>
              <w:top w:val="single" w:sz="8" w:space="0" w:color="auto"/>
              <w:left w:val="single" w:sz="8" w:space="0" w:color="auto"/>
              <w:bottom w:val="single" w:sz="8" w:space="0" w:color="auto"/>
              <w:right w:val="single" w:sz="8" w:space="0" w:color="auto"/>
              <w:tl2br w:val="nil"/>
              <w:tr2bl w:val="nil"/>
            </w:tcBorders>
            <w:noWrap/>
            <w:textDirection w:val="lrTb"/>
            <w:vAlign w:val="center"/>
          </w:tcPr>
          <w:p w:rsidR="00E711E4" w:rsidRPr="005360FA" w:rsidP="00854617">
            <w:pPr>
              <w:spacing w:line="240" w:lineRule="auto"/>
              <w:jc w:val="right"/>
              <w:rPr>
                <w:rFonts w:ascii="Arial Narrow" w:hAnsi="Arial Narrow" w:cs="Times New Roman"/>
              </w:rPr>
            </w:pPr>
            <w:r w:rsidR="00AA44E9">
              <w:rPr>
                <w:rFonts w:ascii="Arial Narrow" w:hAnsi="Arial Narrow" w:cs="Times New Roman"/>
              </w:rPr>
              <w:t>0</w:t>
            </w:r>
          </w:p>
        </w:tc>
        <w:tc>
          <w:tcPr>
            <w:tcW w:w="1560" w:type="dxa"/>
            <w:tcBorders>
              <w:top w:val="single" w:sz="8" w:space="0" w:color="auto"/>
              <w:left w:val="single" w:sz="8" w:space="0" w:color="auto"/>
              <w:bottom w:val="single" w:sz="8" w:space="0" w:color="auto"/>
              <w:right w:val="single" w:sz="8" w:space="0" w:color="auto"/>
              <w:tl2br w:val="nil"/>
              <w:tr2bl w:val="nil"/>
            </w:tcBorders>
            <w:noWrap/>
            <w:textDirection w:val="lrTb"/>
            <w:vAlign w:val="center"/>
          </w:tcPr>
          <w:p w:rsidR="00E711E4" w:rsidRPr="005360FA" w:rsidP="00854617">
            <w:pPr>
              <w:spacing w:line="240" w:lineRule="auto"/>
              <w:jc w:val="right"/>
              <w:rPr>
                <w:rFonts w:ascii="Arial Narrow" w:hAnsi="Arial Narrow" w:cs="Times New Roman"/>
              </w:rPr>
            </w:pPr>
            <w:r w:rsidR="00AA44E9">
              <w:rPr>
                <w:rFonts w:ascii="Arial Narrow" w:hAnsi="Arial Narrow" w:cs="Times New Roman"/>
              </w:rPr>
              <w:t>15 100</w:t>
            </w:r>
          </w:p>
        </w:tc>
      </w:tr>
      <w:tr>
        <w:tblPrEx>
          <w:tblW w:w="8580" w:type="dxa"/>
          <w:tblInd w:w="610" w:type="dxa"/>
          <w:tblCellMar>
            <w:left w:w="70" w:type="dxa"/>
            <w:right w:w="70" w:type="dxa"/>
          </w:tblCellMar>
        </w:tblPrEx>
        <w:trPr>
          <w:trHeight w:hRule="exact" w:val="227"/>
        </w:trPr>
        <w:tc>
          <w:tcPr>
            <w:tcW w:w="5560" w:type="dxa"/>
            <w:tcBorders>
              <w:top w:val="single" w:sz="8" w:space="0" w:color="auto"/>
              <w:left w:val="single" w:sz="8" w:space="0" w:color="auto"/>
              <w:bottom w:val="single" w:sz="8" w:space="0" w:color="auto"/>
              <w:right w:val="single" w:sz="8" w:space="0" w:color="auto"/>
              <w:tl2br w:val="nil"/>
              <w:tr2bl w:val="nil"/>
            </w:tcBorders>
            <w:noWrap/>
            <w:textDirection w:val="lrTb"/>
            <w:vAlign w:val="center"/>
          </w:tcPr>
          <w:p w:rsidR="00E711E4" w:rsidRPr="005360FA" w:rsidP="00854617">
            <w:pPr>
              <w:spacing w:line="240" w:lineRule="auto"/>
              <w:rPr>
                <w:rFonts w:ascii="Arial Narrow" w:hAnsi="Arial Narrow" w:cs="Times New Roman"/>
              </w:rPr>
            </w:pPr>
            <w:r>
              <w:rPr>
                <w:rFonts w:ascii="Arial Narrow" w:hAnsi="Arial Narrow" w:cs="Times New Roman"/>
              </w:rPr>
              <w:t>Bežné bankové úvery</w:t>
            </w:r>
          </w:p>
        </w:tc>
        <w:tc>
          <w:tcPr>
            <w:tcW w:w="1460" w:type="dxa"/>
            <w:tcBorders>
              <w:top w:val="single" w:sz="8" w:space="0" w:color="auto"/>
              <w:left w:val="single" w:sz="8" w:space="0" w:color="auto"/>
              <w:bottom w:val="single" w:sz="8" w:space="0" w:color="auto"/>
              <w:right w:val="single" w:sz="8" w:space="0" w:color="auto"/>
              <w:tl2br w:val="nil"/>
              <w:tr2bl w:val="nil"/>
            </w:tcBorders>
            <w:noWrap/>
            <w:textDirection w:val="lrTb"/>
            <w:vAlign w:val="center"/>
          </w:tcPr>
          <w:p w:rsidR="00E711E4" w:rsidRPr="005360FA" w:rsidP="00854617">
            <w:pPr>
              <w:spacing w:line="240" w:lineRule="auto"/>
              <w:jc w:val="right"/>
              <w:rPr>
                <w:rFonts w:ascii="Arial Narrow" w:hAnsi="Arial Narrow" w:cs="Times New Roman"/>
              </w:rPr>
            </w:pPr>
            <w:r w:rsidR="00AA44E9">
              <w:rPr>
                <w:rFonts w:ascii="Arial Narrow" w:hAnsi="Arial Narrow" w:cs="Times New Roman"/>
              </w:rPr>
              <w:t>0</w:t>
            </w:r>
          </w:p>
        </w:tc>
        <w:tc>
          <w:tcPr>
            <w:tcW w:w="1560" w:type="dxa"/>
            <w:tcBorders>
              <w:top w:val="single" w:sz="8" w:space="0" w:color="auto"/>
              <w:left w:val="single" w:sz="8" w:space="0" w:color="auto"/>
              <w:bottom w:val="single" w:sz="8" w:space="0" w:color="auto"/>
              <w:right w:val="single" w:sz="8" w:space="0" w:color="auto"/>
              <w:tl2br w:val="nil"/>
              <w:tr2bl w:val="nil"/>
            </w:tcBorders>
            <w:noWrap/>
            <w:textDirection w:val="lrTb"/>
            <w:vAlign w:val="center"/>
          </w:tcPr>
          <w:p w:rsidR="00E711E4" w:rsidRPr="005360FA" w:rsidP="00854617">
            <w:pPr>
              <w:spacing w:line="240" w:lineRule="auto"/>
              <w:jc w:val="right"/>
              <w:rPr>
                <w:rFonts w:ascii="Arial Narrow" w:hAnsi="Arial Narrow" w:cs="Times New Roman"/>
              </w:rPr>
            </w:pPr>
            <w:r w:rsidR="00AA44E9">
              <w:rPr>
                <w:rFonts w:ascii="Arial Narrow" w:hAnsi="Arial Narrow" w:cs="Times New Roman"/>
              </w:rPr>
              <w:t>15 100</w:t>
            </w:r>
          </w:p>
        </w:tc>
      </w:tr>
      <w:tr>
        <w:tblPrEx>
          <w:tblW w:w="8580" w:type="dxa"/>
          <w:tblInd w:w="610" w:type="dxa"/>
          <w:tblCellMar>
            <w:left w:w="70" w:type="dxa"/>
            <w:right w:w="70" w:type="dxa"/>
          </w:tblCellMar>
        </w:tblPrEx>
        <w:trPr>
          <w:trHeight w:hRule="exact" w:val="227"/>
        </w:trPr>
        <w:tc>
          <w:tcPr>
            <w:tcW w:w="5560" w:type="dxa"/>
            <w:tcBorders>
              <w:top w:val="single" w:sz="8" w:space="0" w:color="auto"/>
              <w:left w:val="single" w:sz="8" w:space="0" w:color="auto"/>
              <w:bottom w:val="single" w:sz="8" w:space="0" w:color="auto"/>
              <w:right w:val="single" w:sz="8" w:space="0" w:color="auto"/>
              <w:tl2br w:val="nil"/>
              <w:tr2bl w:val="nil"/>
            </w:tcBorders>
            <w:noWrap/>
            <w:textDirection w:val="lrTb"/>
            <w:vAlign w:val="center"/>
          </w:tcPr>
          <w:p w:rsidR="00E711E4" w:rsidRPr="005360FA" w:rsidP="00854617">
            <w:pPr>
              <w:spacing w:line="240" w:lineRule="auto"/>
              <w:rPr>
                <w:rFonts w:ascii="Arial Narrow" w:hAnsi="Arial Narrow" w:cs="Times New Roman"/>
              </w:rPr>
            </w:pPr>
            <w:r w:rsidRPr="005360FA">
              <w:rPr>
                <w:rFonts w:ascii="Arial Narrow" w:hAnsi="Arial Narrow" w:cs="Times New Roman"/>
              </w:rPr>
              <w:t xml:space="preserve">Časové rozlíšenie súčet </w:t>
            </w:r>
          </w:p>
        </w:tc>
        <w:tc>
          <w:tcPr>
            <w:tcW w:w="1460" w:type="dxa"/>
            <w:tcBorders>
              <w:top w:val="single" w:sz="8" w:space="0" w:color="auto"/>
              <w:left w:val="single" w:sz="8" w:space="0" w:color="auto"/>
              <w:bottom w:val="single" w:sz="8" w:space="0" w:color="auto"/>
              <w:right w:val="single" w:sz="8" w:space="0" w:color="auto"/>
              <w:tl2br w:val="nil"/>
              <w:tr2bl w:val="nil"/>
            </w:tcBorders>
            <w:noWrap/>
            <w:textDirection w:val="lrTb"/>
            <w:vAlign w:val="center"/>
          </w:tcPr>
          <w:p w:rsidR="00E711E4" w:rsidRPr="005360FA" w:rsidP="00854617">
            <w:pPr>
              <w:spacing w:line="240" w:lineRule="auto"/>
              <w:jc w:val="right"/>
              <w:rPr>
                <w:rFonts w:ascii="Arial Narrow" w:hAnsi="Arial Narrow" w:cs="Times New Roman"/>
              </w:rPr>
            </w:pPr>
            <w:r w:rsidR="00AA44E9">
              <w:rPr>
                <w:rFonts w:ascii="Arial Narrow" w:hAnsi="Arial Narrow" w:cs="Times New Roman"/>
              </w:rPr>
              <w:t>42 793</w:t>
            </w:r>
          </w:p>
        </w:tc>
        <w:tc>
          <w:tcPr>
            <w:tcW w:w="1560" w:type="dxa"/>
            <w:tcBorders>
              <w:top w:val="single" w:sz="8" w:space="0" w:color="auto"/>
              <w:left w:val="single" w:sz="8" w:space="0" w:color="auto"/>
              <w:bottom w:val="single" w:sz="8" w:space="0" w:color="auto"/>
              <w:right w:val="single" w:sz="8" w:space="0" w:color="auto"/>
              <w:tl2br w:val="nil"/>
              <w:tr2bl w:val="nil"/>
            </w:tcBorders>
            <w:noWrap/>
            <w:textDirection w:val="lrTb"/>
            <w:vAlign w:val="center"/>
          </w:tcPr>
          <w:p w:rsidR="00E711E4" w:rsidRPr="005360FA" w:rsidP="00854617">
            <w:pPr>
              <w:spacing w:line="240" w:lineRule="auto"/>
              <w:jc w:val="right"/>
              <w:rPr>
                <w:rFonts w:ascii="Arial Narrow" w:hAnsi="Arial Narrow" w:cs="Times New Roman"/>
              </w:rPr>
            </w:pPr>
            <w:r w:rsidR="00AA44E9">
              <w:rPr>
                <w:rFonts w:ascii="Arial Narrow" w:hAnsi="Arial Narrow" w:cs="Times New Roman"/>
              </w:rPr>
              <w:t>22 911</w:t>
            </w:r>
          </w:p>
        </w:tc>
      </w:tr>
      <w:tr>
        <w:tblPrEx>
          <w:tblW w:w="8580" w:type="dxa"/>
          <w:tblInd w:w="610" w:type="dxa"/>
          <w:tblCellMar>
            <w:left w:w="70" w:type="dxa"/>
            <w:right w:w="70" w:type="dxa"/>
          </w:tblCellMar>
        </w:tblPrEx>
        <w:trPr>
          <w:trHeight w:hRule="exact" w:val="227"/>
        </w:trPr>
        <w:tc>
          <w:tcPr>
            <w:tcW w:w="556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AA44E9" w:rsidRPr="005360FA" w:rsidP="00854617">
            <w:pPr>
              <w:spacing w:line="240" w:lineRule="auto"/>
              <w:rPr>
                <w:rFonts w:ascii="Arial Narrow" w:hAnsi="Arial Narrow" w:cs="Times New Roman"/>
              </w:rPr>
            </w:pPr>
            <w:r>
              <w:rPr>
                <w:rFonts w:ascii="Arial Narrow" w:hAnsi="Arial Narrow" w:cs="Times New Roman"/>
              </w:rPr>
              <w:t>Výdavky budúcich období</w:t>
            </w:r>
          </w:p>
        </w:tc>
        <w:tc>
          <w:tcPr>
            <w:tcW w:w="146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AA44E9" w:rsidP="00854617">
            <w:pPr>
              <w:spacing w:line="240" w:lineRule="auto"/>
              <w:jc w:val="right"/>
              <w:rPr>
                <w:rFonts w:ascii="Arial Narrow" w:hAnsi="Arial Narrow" w:cs="Times New Roman"/>
              </w:rPr>
            </w:pPr>
            <w:r>
              <w:rPr>
                <w:rFonts w:ascii="Arial Narrow" w:hAnsi="Arial Narrow" w:cs="Times New Roman"/>
              </w:rPr>
              <w:t>15</w:t>
            </w:r>
          </w:p>
        </w:tc>
        <w:tc>
          <w:tcPr>
            <w:tcW w:w="156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AA44E9" w:rsidP="00AA44E9">
            <w:pPr>
              <w:spacing w:line="240" w:lineRule="auto"/>
              <w:jc w:val="right"/>
              <w:rPr>
                <w:rFonts w:ascii="Arial Narrow" w:hAnsi="Arial Narrow" w:cs="Times New Roman"/>
              </w:rPr>
            </w:pPr>
            <w:r>
              <w:rPr>
                <w:rFonts w:ascii="Arial Narrow" w:hAnsi="Arial Narrow" w:cs="Times New Roman"/>
              </w:rPr>
              <w:t>0</w:t>
            </w:r>
          </w:p>
        </w:tc>
      </w:tr>
      <w:tr>
        <w:tblPrEx>
          <w:tblW w:w="8580" w:type="dxa"/>
          <w:tblInd w:w="610" w:type="dxa"/>
          <w:tblCellMar>
            <w:left w:w="70" w:type="dxa"/>
            <w:right w:w="70" w:type="dxa"/>
          </w:tblCellMar>
        </w:tblPrEx>
        <w:trPr>
          <w:trHeight w:hRule="exact" w:val="227"/>
        </w:trPr>
        <w:tc>
          <w:tcPr>
            <w:tcW w:w="556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E711E4" w:rsidRPr="005360FA" w:rsidP="00854617">
            <w:pPr>
              <w:spacing w:line="240" w:lineRule="auto"/>
              <w:rPr>
                <w:rFonts w:ascii="Arial Narrow" w:hAnsi="Arial Narrow" w:cs="Times New Roman"/>
              </w:rPr>
            </w:pPr>
            <w:r w:rsidRPr="005360FA">
              <w:rPr>
                <w:rFonts w:ascii="Arial Narrow" w:hAnsi="Arial Narrow" w:cs="Times New Roman"/>
              </w:rPr>
              <w:t xml:space="preserve">Výnosy budúcich období </w:t>
            </w:r>
          </w:p>
        </w:tc>
        <w:tc>
          <w:tcPr>
            <w:tcW w:w="146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E711E4" w:rsidRPr="005360FA" w:rsidP="00854617">
            <w:pPr>
              <w:spacing w:line="240" w:lineRule="auto"/>
              <w:jc w:val="right"/>
              <w:rPr>
                <w:rFonts w:ascii="Arial Narrow" w:hAnsi="Arial Narrow" w:cs="Times New Roman"/>
              </w:rPr>
            </w:pPr>
            <w:r w:rsidR="00AA44E9">
              <w:rPr>
                <w:rFonts w:ascii="Arial Narrow" w:hAnsi="Arial Narrow" w:cs="Times New Roman"/>
              </w:rPr>
              <w:t>42 778</w:t>
            </w:r>
          </w:p>
        </w:tc>
        <w:tc>
          <w:tcPr>
            <w:tcW w:w="1560"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E711E4" w:rsidRPr="005360FA" w:rsidP="00AA44E9">
            <w:pPr>
              <w:spacing w:line="240" w:lineRule="auto"/>
              <w:jc w:val="right"/>
              <w:rPr>
                <w:rFonts w:ascii="Arial Narrow" w:hAnsi="Arial Narrow" w:cs="Times New Roman"/>
              </w:rPr>
            </w:pPr>
            <w:r w:rsidR="00AA44E9">
              <w:rPr>
                <w:rFonts w:ascii="Arial Narrow" w:hAnsi="Arial Narrow" w:cs="Times New Roman"/>
              </w:rPr>
              <w:t>22 911</w:t>
            </w:r>
          </w:p>
        </w:tc>
      </w:tr>
    </w:tbl>
    <w:p w:rsidR="00E711E4" w:rsidRPr="00ED0F3C" w:rsidP="00E711E4">
      <w:pPr>
        <w:spacing w:line="240" w:lineRule="auto"/>
        <w:rPr>
          <w:rFonts w:ascii="Times New Roman" w:hAnsi="Times New Roman" w:cs="Times New Roman"/>
        </w:rPr>
      </w:pPr>
      <w:r>
        <w:rPr>
          <w:rFonts w:ascii="Times New Roman" w:hAnsi="Times New Roman" w:cs="Times New Roman"/>
          <w:b/>
          <w:sz w:val="24"/>
          <w:szCs w:val="24"/>
        </w:rPr>
        <w:t xml:space="preserve">         </w:t>
      </w:r>
      <w:r w:rsidRPr="00ED0F3C">
        <w:rPr>
          <w:rFonts w:ascii="Times New Roman" w:hAnsi="Times New Roman" w:cs="Times New Roman"/>
        </w:rPr>
        <w:t>Pozn.:</w:t>
      </w:r>
      <w:r w:rsidRPr="00ED0F3C">
        <w:rPr>
          <w:rFonts w:ascii="Times New Roman" w:hAnsi="Times New Roman" w:cs="Times New Roman"/>
          <w:b/>
        </w:rPr>
        <w:t xml:space="preserve"> </w:t>
      </w:r>
      <w:r w:rsidRPr="00ED0F3C">
        <w:rPr>
          <w:rFonts w:ascii="Times New Roman" w:hAnsi="Times New Roman" w:cs="Times New Roman"/>
        </w:rPr>
        <w:t xml:space="preserve">Položky z nulovou hodnotou v súvahe zaradené nie sú. </w:t>
      </w:r>
    </w:p>
    <w:p w:rsidR="00E711E4" w:rsidP="00696AA3">
      <w:pPr>
        <w:adjustRightInd/>
        <w:spacing w:line="240" w:lineRule="auto"/>
        <w:ind w:firstLine="709"/>
        <w:textAlignment w:val="auto"/>
        <w:rPr>
          <w:rFonts w:ascii="Times New Roman" w:hAnsi="Times New Roman" w:cs="Times New Roman"/>
          <w:sz w:val="24"/>
          <w:szCs w:val="24"/>
        </w:rPr>
      </w:pPr>
    </w:p>
    <w:p w:rsidR="00E711E4" w:rsidP="00696AA3">
      <w:pPr>
        <w:adjustRightInd/>
        <w:spacing w:line="240" w:lineRule="auto"/>
        <w:ind w:firstLine="709"/>
        <w:textAlignment w:val="auto"/>
        <w:rPr>
          <w:rFonts w:ascii="Times New Roman" w:hAnsi="Times New Roman" w:cs="Times New Roman"/>
          <w:sz w:val="24"/>
          <w:szCs w:val="24"/>
        </w:rPr>
      </w:pPr>
    </w:p>
    <w:p w:rsidR="00696AA3" w:rsidP="00696AA3">
      <w:pPr>
        <w:adjustRightInd/>
        <w:spacing w:line="240" w:lineRule="auto"/>
        <w:ind w:firstLine="709"/>
        <w:textAlignment w:val="auto"/>
        <w:rPr>
          <w:rFonts w:ascii="Times New Roman" w:hAnsi="Times New Roman" w:cs="Times New Roman"/>
          <w:sz w:val="24"/>
          <w:szCs w:val="24"/>
        </w:rPr>
      </w:pPr>
      <w:r>
        <w:rPr>
          <w:rFonts w:ascii="Times New Roman" w:hAnsi="Times New Roman" w:cs="Times New Roman"/>
          <w:sz w:val="24"/>
          <w:szCs w:val="24"/>
        </w:rPr>
        <w:t>Letisková spoločnosť v roku 2007 uskutočnila predaj</w:t>
      </w:r>
      <w:r w:rsidRPr="00B1599D" w:rsidR="00B1599D">
        <w:rPr>
          <w:rFonts w:ascii="Times New Roman" w:hAnsi="Times New Roman" w:cs="Times New Roman"/>
          <w:sz w:val="24"/>
          <w:szCs w:val="24"/>
        </w:rPr>
        <w:t xml:space="preserve"> nehnuteľného majetk</w:t>
      </w:r>
      <w:r>
        <w:rPr>
          <w:rFonts w:ascii="Times New Roman" w:hAnsi="Times New Roman" w:cs="Times New Roman"/>
          <w:sz w:val="24"/>
          <w:szCs w:val="24"/>
        </w:rPr>
        <w:t>u a pozemkov v zostatkovej cene 1 862 097,- Sk</w:t>
      </w:r>
      <w:r w:rsidRPr="00B1599D" w:rsidR="00B1599D">
        <w:rPr>
          <w:rFonts w:ascii="Times New Roman" w:hAnsi="Times New Roman" w:cs="Times New Roman"/>
          <w:sz w:val="24"/>
          <w:szCs w:val="24"/>
        </w:rPr>
        <w:t xml:space="preserve"> </w:t>
      </w:r>
      <w:r>
        <w:rPr>
          <w:rFonts w:ascii="Times New Roman" w:hAnsi="Times New Roman" w:cs="Times New Roman"/>
          <w:sz w:val="24"/>
          <w:szCs w:val="24"/>
        </w:rPr>
        <w:t xml:space="preserve">a v predajnej cene vo výške </w:t>
      </w:r>
      <w:r w:rsidRPr="00B1599D" w:rsidR="00B1599D">
        <w:rPr>
          <w:rFonts w:ascii="Times New Roman" w:hAnsi="Times New Roman" w:cs="Times New Roman"/>
          <w:sz w:val="24"/>
          <w:szCs w:val="24"/>
        </w:rPr>
        <w:t>3 755 670 Sk</w:t>
      </w:r>
      <w:r>
        <w:rPr>
          <w:rFonts w:ascii="Times New Roman" w:hAnsi="Times New Roman" w:cs="Times New Roman"/>
          <w:sz w:val="24"/>
          <w:szCs w:val="24"/>
        </w:rPr>
        <w:t>. V</w:t>
      </w:r>
      <w:r w:rsidRPr="00B1599D" w:rsidR="00B1599D">
        <w:rPr>
          <w:rFonts w:ascii="Times New Roman" w:hAnsi="Times New Roman" w:cs="Times New Roman"/>
          <w:sz w:val="24"/>
          <w:szCs w:val="24"/>
        </w:rPr>
        <w:t> rámci ROEP pre katastrálne územie Poprad – Veľká</w:t>
      </w:r>
      <w:r>
        <w:rPr>
          <w:rFonts w:ascii="Times New Roman" w:hAnsi="Times New Roman" w:cs="Times New Roman"/>
          <w:sz w:val="24"/>
          <w:szCs w:val="24"/>
        </w:rPr>
        <w:t xml:space="preserve"> (rozhodnutie č. C 197/2005) </w:t>
      </w:r>
      <w:r w:rsidRPr="00B1599D" w:rsidR="00B1599D">
        <w:rPr>
          <w:rFonts w:ascii="Times New Roman" w:hAnsi="Times New Roman" w:cs="Times New Roman"/>
          <w:sz w:val="24"/>
          <w:szCs w:val="24"/>
        </w:rPr>
        <w:t>získala spoločnosť pozemky v cel</w:t>
      </w:r>
      <w:r>
        <w:rPr>
          <w:rFonts w:ascii="Times New Roman" w:hAnsi="Times New Roman" w:cs="Times New Roman"/>
          <w:sz w:val="24"/>
          <w:szCs w:val="24"/>
        </w:rPr>
        <w:t>kovej hodnote cca 7</w:t>
      </w:r>
      <w:r w:rsidR="00797FC4">
        <w:rPr>
          <w:rFonts w:ascii="Times New Roman" w:hAnsi="Times New Roman" w:cs="Times New Roman"/>
          <w:sz w:val="24"/>
          <w:szCs w:val="24"/>
        </w:rPr>
        <w:t>,71</w:t>
      </w:r>
      <w:r>
        <w:rPr>
          <w:rFonts w:ascii="Times New Roman" w:hAnsi="Times New Roman" w:cs="Times New Roman"/>
          <w:sz w:val="24"/>
          <w:szCs w:val="24"/>
        </w:rPr>
        <w:t xml:space="preserve"> mil. Sk (</w:t>
      </w:r>
      <w:r w:rsidRPr="00B1599D" w:rsidR="00B1599D">
        <w:rPr>
          <w:rFonts w:ascii="Times New Roman" w:hAnsi="Times New Roman" w:cs="Times New Roman"/>
          <w:sz w:val="24"/>
          <w:szCs w:val="24"/>
        </w:rPr>
        <w:t>presná cena bude známa po ukončení prác na znaleckom posudku )</w:t>
      </w:r>
      <w:r>
        <w:rPr>
          <w:rFonts w:ascii="Times New Roman" w:hAnsi="Times New Roman" w:cs="Times New Roman"/>
          <w:sz w:val="24"/>
          <w:szCs w:val="24"/>
        </w:rPr>
        <w:t xml:space="preserve">. </w:t>
      </w:r>
    </w:p>
    <w:p w:rsidR="00D63335" w:rsidP="00696AA3">
      <w:pPr>
        <w:adjustRightInd/>
        <w:spacing w:line="240" w:lineRule="auto"/>
        <w:ind w:firstLine="709"/>
        <w:textAlignment w:val="auto"/>
        <w:rPr>
          <w:rFonts w:ascii="Times New Roman" w:hAnsi="Times New Roman" w:cs="Times New Roman"/>
          <w:sz w:val="24"/>
          <w:szCs w:val="24"/>
        </w:rPr>
      </w:pPr>
    </w:p>
    <w:p w:rsidR="00696AA3" w:rsidP="00696AA3">
      <w:pPr>
        <w:adjustRightInd/>
        <w:spacing w:line="240" w:lineRule="auto"/>
        <w:ind w:firstLine="709"/>
        <w:textAlignment w:val="auto"/>
        <w:rPr>
          <w:rFonts w:ascii="Times New Roman" w:hAnsi="Times New Roman" w:cs="Times New Roman"/>
          <w:sz w:val="24"/>
          <w:szCs w:val="24"/>
        </w:rPr>
      </w:pPr>
      <w:r>
        <w:rPr>
          <w:rFonts w:ascii="Times New Roman" w:hAnsi="Times New Roman" w:cs="Times New Roman"/>
          <w:sz w:val="24"/>
          <w:szCs w:val="24"/>
        </w:rPr>
        <w:t xml:space="preserve">K 31.12.2007 letisková spoločnosť nemá </w:t>
      </w:r>
      <w:r w:rsidRPr="00B1599D" w:rsidR="00B1599D">
        <w:rPr>
          <w:rFonts w:ascii="Times New Roman" w:hAnsi="Times New Roman" w:cs="Times New Roman"/>
          <w:sz w:val="24"/>
          <w:szCs w:val="24"/>
        </w:rPr>
        <w:t>žiaden úver</w:t>
      </w:r>
      <w:r>
        <w:rPr>
          <w:rFonts w:ascii="Times New Roman" w:hAnsi="Times New Roman" w:cs="Times New Roman"/>
          <w:sz w:val="24"/>
          <w:szCs w:val="24"/>
        </w:rPr>
        <w:t xml:space="preserve">. </w:t>
      </w:r>
    </w:p>
    <w:p w:rsidR="00D63335" w:rsidP="00696AA3">
      <w:pPr>
        <w:adjustRightInd/>
        <w:spacing w:line="240" w:lineRule="auto"/>
        <w:ind w:firstLine="709"/>
        <w:textAlignment w:val="auto"/>
        <w:rPr>
          <w:rFonts w:ascii="Times New Roman" w:hAnsi="Times New Roman" w:cs="Times New Roman"/>
          <w:sz w:val="24"/>
          <w:szCs w:val="24"/>
        </w:rPr>
      </w:pPr>
    </w:p>
    <w:p w:rsidR="00696AA3" w:rsidP="00696AA3">
      <w:pPr>
        <w:adjustRightInd/>
        <w:spacing w:line="240" w:lineRule="auto"/>
        <w:ind w:firstLine="709"/>
        <w:textAlignment w:val="auto"/>
        <w:rPr>
          <w:rFonts w:ascii="Times New Roman" w:hAnsi="Times New Roman" w:cs="Times New Roman"/>
          <w:sz w:val="24"/>
          <w:szCs w:val="24"/>
        </w:rPr>
      </w:pPr>
      <w:r>
        <w:rPr>
          <w:rFonts w:ascii="Times New Roman" w:hAnsi="Times New Roman" w:cs="Times New Roman"/>
          <w:sz w:val="24"/>
          <w:szCs w:val="24"/>
        </w:rPr>
        <w:t>Z</w:t>
      </w:r>
      <w:r w:rsidRPr="00B1599D" w:rsidR="00B1599D">
        <w:rPr>
          <w:rFonts w:ascii="Times New Roman" w:hAnsi="Times New Roman" w:cs="Times New Roman"/>
          <w:sz w:val="24"/>
          <w:szCs w:val="24"/>
        </w:rPr>
        <w:t>áväzky z obchodného styku predstavujú 5 328 tis. Sk a sú krátkodobé, všetky svoje záväzky spoločnosť uhrádza v lehote splatnosti</w:t>
      </w:r>
      <w:r>
        <w:rPr>
          <w:rFonts w:ascii="Times New Roman" w:hAnsi="Times New Roman" w:cs="Times New Roman"/>
          <w:sz w:val="24"/>
          <w:szCs w:val="24"/>
        </w:rPr>
        <w:t xml:space="preserve">. Pohľadávky predstavujú sumu </w:t>
      </w:r>
      <w:r w:rsidR="00797FC4">
        <w:rPr>
          <w:rFonts w:ascii="Times New Roman" w:hAnsi="Times New Roman" w:cs="Times New Roman"/>
          <w:sz w:val="24"/>
          <w:szCs w:val="24"/>
        </w:rPr>
        <w:t>5 457</w:t>
      </w:r>
      <w:r w:rsidRPr="00B1599D" w:rsidR="00B1599D">
        <w:rPr>
          <w:rFonts w:ascii="Times New Roman" w:hAnsi="Times New Roman" w:cs="Times New Roman"/>
          <w:sz w:val="24"/>
          <w:szCs w:val="24"/>
        </w:rPr>
        <w:t xml:space="preserve"> tis. Sk a v prevažnej väčšine sú to pohľadávky krátkodobé z ob</w:t>
      </w:r>
      <w:r>
        <w:rPr>
          <w:rFonts w:ascii="Times New Roman" w:hAnsi="Times New Roman" w:cs="Times New Roman"/>
          <w:sz w:val="24"/>
          <w:szCs w:val="24"/>
        </w:rPr>
        <w:t xml:space="preserve">chodného styku. S lehotou splatnosti nad jeden rok </w:t>
      </w:r>
      <w:r w:rsidRPr="00B1599D" w:rsidR="00B1599D">
        <w:rPr>
          <w:rFonts w:ascii="Times New Roman" w:hAnsi="Times New Roman" w:cs="Times New Roman"/>
          <w:sz w:val="24"/>
          <w:szCs w:val="24"/>
        </w:rPr>
        <w:t>nové pohľadávky letisková spoločnosť</w:t>
      </w:r>
      <w:r>
        <w:rPr>
          <w:rFonts w:ascii="Times New Roman" w:hAnsi="Times New Roman" w:cs="Times New Roman"/>
          <w:sz w:val="24"/>
          <w:szCs w:val="24"/>
        </w:rPr>
        <w:t xml:space="preserve"> nemá (len ešte prevzaté od Slovenskej správy letísk </w:t>
      </w:r>
      <w:r w:rsidRPr="00B1599D" w:rsidR="00B1599D">
        <w:rPr>
          <w:rFonts w:ascii="Times New Roman" w:hAnsi="Times New Roman" w:cs="Times New Roman"/>
          <w:sz w:val="24"/>
          <w:szCs w:val="24"/>
        </w:rPr>
        <w:t xml:space="preserve">a doposiaľ nevysporiadané). </w:t>
      </w:r>
    </w:p>
    <w:p w:rsidR="00D63335" w:rsidP="00797FC4">
      <w:pPr>
        <w:adjustRightInd/>
        <w:spacing w:line="240" w:lineRule="auto"/>
        <w:ind w:firstLine="709"/>
        <w:textAlignment w:val="auto"/>
        <w:rPr>
          <w:rFonts w:ascii="Times New Roman" w:hAnsi="Times New Roman" w:cs="Times New Roman"/>
          <w:sz w:val="24"/>
          <w:szCs w:val="24"/>
        </w:rPr>
      </w:pPr>
    </w:p>
    <w:p w:rsidR="00797FC4" w:rsidRPr="00797FC4" w:rsidP="00797FC4">
      <w:pPr>
        <w:adjustRightInd/>
        <w:spacing w:line="240" w:lineRule="auto"/>
        <w:ind w:firstLine="709"/>
        <w:textAlignment w:val="auto"/>
        <w:rPr>
          <w:rFonts w:ascii="Times New Roman" w:hAnsi="Times New Roman" w:cs="Times New Roman"/>
          <w:sz w:val="24"/>
          <w:szCs w:val="24"/>
        </w:rPr>
      </w:pPr>
      <w:r w:rsidR="00696AA3">
        <w:rPr>
          <w:rFonts w:ascii="Times New Roman" w:hAnsi="Times New Roman" w:cs="Times New Roman"/>
          <w:sz w:val="24"/>
          <w:szCs w:val="24"/>
        </w:rPr>
        <w:t xml:space="preserve">K 31.12.2007 boli </w:t>
      </w:r>
      <w:r w:rsidRPr="00B1599D" w:rsidR="00B1599D">
        <w:rPr>
          <w:rFonts w:ascii="Times New Roman" w:hAnsi="Times New Roman" w:cs="Times New Roman"/>
          <w:sz w:val="24"/>
          <w:szCs w:val="24"/>
        </w:rPr>
        <w:t>uhradené M</w:t>
      </w:r>
      <w:r w:rsidR="00696AA3">
        <w:rPr>
          <w:rFonts w:ascii="Times New Roman" w:hAnsi="Times New Roman" w:cs="Times New Roman"/>
          <w:sz w:val="24"/>
          <w:szCs w:val="24"/>
        </w:rPr>
        <w:t>DP</w:t>
      </w:r>
      <w:r w:rsidRPr="00B1599D" w:rsidR="00B1599D">
        <w:rPr>
          <w:rFonts w:ascii="Times New Roman" w:hAnsi="Times New Roman" w:cs="Times New Roman"/>
          <w:sz w:val="24"/>
          <w:szCs w:val="24"/>
        </w:rPr>
        <w:t xml:space="preserve">T </w:t>
      </w:r>
      <w:r w:rsidR="00696AA3">
        <w:rPr>
          <w:rFonts w:ascii="Times New Roman" w:hAnsi="Times New Roman" w:cs="Times New Roman"/>
          <w:sz w:val="24"/>
          <w:szCs w:val="24"/>
        </w:rPr>
        <w:t xml:space="preserve">SR </w:t>
      </w:r>
      <w:r w:rsidRPr="00B1599D" w:rsidR="00B1599D">
        <w:rPr>
          <w:rFonts w:ascii="Times New Roman" w:hAnsi="Times New Roman" w:cs="Times New Roman"/>
          <w:sz w:val="24"/>
          <w:szCs w:val="24"/>
        </w:rPr>
        <w:t>aj pohľadávky zo štrukturálnych fondov a štátneho rozpočtu za pro</w:t>
      </w:r>
      <w:r w:rsidR="00696AA3">
        <w:rPr>
          <w:rFonts w:ascii="Times New Roman" w:hAnsi="Times New Roman" w:cs="Times New Roman"/>
          <w:sz w:val="24"/>
          <w:szCs w:val="24"/>
        </w:rPr>
        <w:t xml:space="preserve">jekty schválené a ukončené v roku </w:t>
      </w:r>
      <w:r w:rsidRPr="00B1599D" w:rsidR="00B1599D">
        <w:rPr>
          <w:rFonts w:ascii="Times New Roman" w:hAnsi="Times New Roman" w:cs="Times New Roman"/>
          <w:sz w:val="24"/>
          <w:szCs w:val="24"/>
        </w:rPr>
        <w:t>2006.</w:t>
      </w:r>
      <w:r>
        <w:rPr>
          <w:rFonts w:ascii="Times New Roman" w:hAnsi="Times New Roman" w:cs="Times New Roman"/>
          <w:sz w:val="24"/>
          <w:szCs w:val="24"/>
        </w:rPr>
        <w:t xml:space="preserve"> H</w:t>
      </w:r>
      <w:r w:rsidRPr="00797FC4">
        <w:rPr>
          <w:rFonts w:ascii="Times New Roman" w:hAnsi="Times New Roman" w:cs="Times New Roman"/>
          <w:sz w:val="24"/>
          <w:szCs w:val="24"/>
        </w:rPr>
        <w:t>ospodár</w:t>
      </w:r>
      <w:r>
        <w:rPr>
          <w:rFonts w:ascii="Times New Roman" w:hAnsi="Times New Roman" w:cs="Times New Roman"/>
          <w:sz w:val="24"/>
          <w:szCs w:val="24"/>
        </w:rPr>
        <w:t xml:space="preserve">sky výsledok – zisk vo výške 4,575 mil. sk </w:t>
      </w:r>
      <w:r w:rsidRPr="00797FC4">
        <w:rPr>
          <w:rFonts w:ascii="Times New Roman" w:hAnsi="Times New Roman" w:cs="Times New Roman"/>
          <w:sz w:val="24"/>
          <w:szCs w:val="24"/>
        </w:rPr>
        <w:t>bol vytvorený zaúčtovaním bezodplatného obstarania pozemkov.</w:t>
      </w:r>
    </w:p>
    <w:p w:rsidR="00797FC4" w:rsidP="00B1599D">
      <w:pPr>
        <w:rPr>
          <w:rFonts w:ascii="Arial" w:hAnsi="Arial" w:cs="Arial"/>
          <w:sz w:val="22"/>
        </w:rPr>
      </w:pPr>
    </w:p>
    <w:p w:rsidR="00D63335" w:rsidP="00B1599D">
      <w:pPr>
        <w:rPr>
          <w:rFonts w:ascii="Arial" w:hAnsi="Arial" w:cs="Arial"/>
          <w:sz w:val="22"/>
        </w:rPr>
      </w:pPr>
    </w:p>
    <w:p w:rsidR="0034371C" w:rsidP="00B1599D">
      <w:pPr>
        <w:rPr>
          <w:rFonts w:ascii="Arial" w:hAnsi="Arial" w:cs="Arial"/>
          <w:sz w:val="22"/>
        </w:rPr>
      </w:pPr>
    </w:p>
    <w:p w:rsidR="0034371C" w:rsidP="00B1599D">
      <w:pPr>
        <w:rPr>
          <w:rFonts w:ascii="Arial" w:hAnsi="Arial" w:cs="Arial"/>
          <w:sz w:val="22"/>
        </w:rPr>
      </w:pPr>
    </w:p>
    <w:p w:rsidR="0034371C" w:rsidP="00B1599D">
      <w:pPr>
        <w:rPr>
          <w:rFonts w:ascii="Arial" w:hAnsi="Arial" w:cs="Arial"/>
          <w:sz w:val="22"/>
        </w:rPr>
      </w:pPr>
    </w:p>
    <w:p w:rsidR="0034371C" w:rsidP="00B1599D">
      <w:pPr>
        <w:rPr>
          <w:rFonts w:ascii="Arial" w:hAnsi="Arial" w:cs="Arial"/>
          <w:sz w:val="22"/>
        </w:rPr>
      </w:pPr>
    </w:p>
    <w:p w:rsidR="00D63335" w:rsidRPr="0034371C" w:rsidP="00053F68">
      <w:pPr>
        <w:spacing w:line="240" w:lineRule="auto"/>
        <w:outlineLvl w:val="0"/>
        <w:rPr>
          <w:rFonts w:ascii="Times New Roman" w:hAnsi="Times New Roman" w:cs="Times New Roman"/>
          <w:b/>
          <w:sz w:val="28"/>
          <w:szCs w:val="28"/>
        </w:rPr>
      </w:pPr>
      <w:r w:rsidR="00E85BE9">
        <w:rPr>
          <w:rFonts w:ascii="Times New Roman" w:hAnsi="Times New Roman" w:cs="Times New Roman"/>
          <w:b/>
          <w:bCs/>
          <w:sz w:val="28"/>
          <w:szCs w:val="28"/>
        </w:rPr>
        <w:t>J</w:t>
      </w:r>
      <w:r w:rsidRPr="00B97FAA" w:rsidR="00967F06">
        <w:rPr>
          <w:rFonts w:ascii="Times New Roman" w:hAnsi="Times New Roman" w:cs="Times New Roman"/>
          <w:b/>
          <w:bCs/>
          <w:sz w:val="28"/>
          <w:szCs w:val="28"/>
        </w:rPr>
        <w:t>:</w:t>
      </w:r>
      <w:r w:rsidRPr="00B97FAA" w:rsidR="00967F06">
        <w:rPr>
          <w:rFonts w:ascii="Times New Roman" w:hAnsi="Times New Roman" w:cs="Times New Roman"/>
          <w:b/>
          <w:sz w:val="28"/>
          <w:szCs w:val="28"/>
        </w:rPr>
        <w:t xml:space="preserve"> Zhodnoteni</w:t>
      </w:r>
      <w:r w:rsidR="00967F06">
        <w:rPr>
          <w:rFonts w:ascii="Times New Roman" w:hAnsi="Times New Roman" w:cs="Times New Roman"/>
          <w:b/>
          <w:sz w:val="28"/>
          <w:szCs w:val="28"/>
        </w:rPr>
        <w:t xml:space="preserve">e finančno – majetkovej </w:t>
      </w:r>
      <w:r w:rsidR="00A842B0">
        <w:rPr>
          <w:rFonts w:ascii="Times New Roman" w:hAnsi="Times New Roman" w:cs="Times New Roman"/>
          <w:b/>
          <w:sz w:val="28"/>
          <w:szCs w:val="28"/>
        </w:rPr>
        <w:t>pozície Úradu MDPT SR</w:t>
      </w:r>
    </w:p>
    <w:p w:rsidR="007078B9" w:rsidRPr="00691B22" w:rsidP="007078B9">
      <w:pPr>
        <w:spacing w:line="240" w:lineRule="auto"/>
        <w:rPr>
          <w:rFonts w:ascii="Times New Roman" w:hAnsi="Times New Roman" w:cs="Times New Roman"/>
          <w:b/>
          <w:sz w:val="24"/>
          <w:szCs w:val="24"/>
        </w:rPr>
      </w:pPr>
      <w:r w:rsidRPr="00691B22">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AF38CC">
        <w:rPr>
          <w:rFonts w:ascii="Arial Narrow" w:hAnsi="Arial Narrow" w:cs="Times New Roman"/>
          <w:sz w:val="24"/>
          <w:szCs w:val="24"/>
        </w:rPr>
        <w:t>(v Sk)</w:t>
      </w:r>
    </w:p>
    <w:tbl>
      <w:tblPr>
        <w:tblW w:w="9015" w:type="dxa"/>
        <w:tblLayout w:type="fixed"/>
        <w:tblCellMar>
          <w:left w:w="0" w:type="dxa"/>
          <w:right w:w="0" w:type="dxa"/>
        </w:tblCellMar>
      </w:tblPr>
      <w:tblGrid>
        <w:gridCol w:w="3075"/>
        <w:gridCol w:w="1980"/>
        <w:gridCol w:w="1800"/>
        <w:gridCol w:w="2160"/>
      </w:tblGrid>
      <w:tr>
        <w:tblPrEx>
          <w:tblW w:w="9015" w:type="dxa"/>
          <w:tblLayout w:type="fixed"/>
          <w:tblCellMar>
            <w:left w:w="0" w:type="dxa"/>
            <w:right w:w="0" w:type="dxa"/>
          </w:tblCellMar>
        </w:tblPrEx>
        <w:trPr>
          <w:trHeight w:val="284"/>
        </w:trPr>
        <w:tc>
          <w:tcPr>
            <w:tcW w:w="3075" w:type="dxa"/>
            <w:tcBorders>
              <w:top w:val="single" w:sz="4" w:space="0" w:color="auto"/>
              <w:left w:val="single" w:sz="4" w:space="0" w:color="auto"/>
              <w:bottom w:val="single" w:sz="4" w:space="0" w:color="auto"/>
              <w:right w:val="single" w:sz="4" w:space="0" w:color="auto"/>
              <w:tl2br w:val="nil"/>
              <w:tr2bl w:val="nil"/>
            </w:tcBorders>
            <w:shd w:val="clear" w:color="auto" w:fill="C0C0C0"/>
            <w:noWrap/>
            <w:tcMar>
              <w:top w:w="15" w:type="dxa"/>
              <w:left w:w="15" w:type="dxa"/>
              <w:bottom w:w="0" w:type="dxa"/>
              <w:right w:w="15" w:type="dxa"/>
            </w:tcMar>
            <w:textDirection w:val="lrTb"/>
            <w:vAlign w:val="bottom"/>
          </w:tcPr>
          <w:p w:rsidR="007078B9" w:rsidRPr="00166D13" w:rsidP="00E05908">
            <w:pPr>
              <w:spacing w:line="240" w:lineRule="auto"/>
              <w:jc w:val="center"/>
              <w:rPr>
                <w:rFonts w:ascii="Arial Narrow" w:hAnsi="Arial Narrow" w:cs="Times New Roman"/>
                <w:b/>
                <w:bCs/>
                <w:sz w:val="22"/>
                <w:szCs w:val="22"/>
              </w:rPr>
            </w:pPr>
            <w:r>
              <w:rPr>
                <w:rFonts w:ascii="Arial Narrow" w:hAnsi="Arial Narrow" w:cs="Times New Roman"/>
                <w:b/>
                <w:bCs/>
                <w:sz w:val="22"/>
                <w:szCs w:val="22"/>
              </w:rPr>
              <w:t>AKTˇÍVA</w:t>
            </w:r>
          </w:p>
        </w:tc>
        <w:tc>
          <w:tcPr>
            <w:tcW w:w="1980" w:type="dxa"/>
            <w:tcBorders>
              <w:top w:val="single" w:sz="4" w:space="0" w:color="auto"/>
              <w:left w:val="nil"/>
              <w:bottom w:val="single" w:sz="4" w:space="0" w:color="auto"/>
              <w:right w:val="single" w:sz="4" w:space="0" w:color="auto"/>
              <w:tl2br w:val="nil"/>
              <w:tr2bl w:val="nil"/>
            </w:tcBorders>
            <w:shd w:val="clear" w:color="auto" w:fill="C0C0C0"/>
            <w:noWrap/>
            <w:tcMar>
              <w:top w:w="15" w:type="dxa"/>
              <w:left w:w="15" w:type="dxa"/>
              <w:bottom w:w="0" w:type="dxa"/>
              <w:right w:w="15" w:type="dxa"/>
            </w:tcMar>
            <w:textDirection w:val="lrTb"/>
            <w:vAlign w:val="bottom"/>
          </w:tcPr>
          <w:p w:rsidR="007078B9" w:rsidRPr="00166D13" w:rsidP="00E05908">
            <w:pPr>
              <w:spacing w:line="240" w:lineRule="auto"/>
              <w:jc w:val="center"/>
              <w:rPr>
                <w:rFonts w:ascii="Arial Narrow" w:hAnsi="Arial Narrow" w:cs="Times New Roman"/>
                <w:b/>
                <w:bCs/>
                <w:sz w:val="22"/>
                <w:szCs w:val="22"/>
              </w:rPr>
            </w:pPr>
            <w:r>
              <w:rPr>
                <w:rFonts w:ascii="Arial Narrow" w:hAnsi="Arial Narrow" w:cs="Times New Roman"/>
                <w:b/>
                <w:bCs/>
                <w:sz w:val="22"/>
                <w:szCs w:val="22"/>
              </w:rPr>
              <w:t>Brutto</w:t>
            </w:r>
          </w:p>
        </w:tc>
        <w:tc>
          <w:tcPr>
            <w:tcW w:w="1800" w:type="dxa"/>
            <w:tcBorders>
              <w:top w:val="single" w:sz="4" w:space="0" w:color="auto"/>
              <w:left w:val="nil"/>
              <w:bottom w:val="single" w:sz="4" w:space="0" w:color="auto"/>
              <w:right w:val="single" w:sz="4" w:space="0" w:color="auto"/>
              <w:tl2br w:val="nil"/>
              <w:tr2bl w:val="nil"/>
            </w:tcBorders>
            <w:shd w:val="clear" w:color="auto" w:fill="C0C0C0"/>
            <w:noWrap/>
            <w:tcMar>
              <w:top w:w="15" w:type="dxa"/>
              <w:left w:w="15" w:type="dxa"/>
              <w:bottom w:w="0" w:type="dxa"/>
              <w:right w:w="15" w:type="dxa"/>
            </w:tcMar>
            <w:textDirection w:val="lrTb"/>
            <w:vAlign w:val="bottom"/>
          </w:tcPr>
          <w:p w:rsidR="007078B9" w:rsidRPr="00166D13" w:rsidP="00E05908">
            <w:pPr>
              <w:spacing w:line="240" w:lineRule="auto"/>
              <w:jc w:val="center"/>
              <w:rPr>
                <w:rFonts w:ascii="Arial Narrow" w:hAnsi="Arial Narrow" w:cs="Times New Roman"/>
                <w:b/>
                <w:bCs/>
                <w:sz w:val="22"/>
                <w:szCs w:val="22"/>
              </w:rPr>
            </w:pPr>
            <w:r>
              <w:rPr>
                <w:rFonts w:ascii="Arial Narrow" w:hAnsi="Arial Narrow" w:cs="Times New Roman"/>
                <w:b/>
                <w:bCs/>
                <w:sz w:val="22"/>
                <w:szCs w:val="22"/>
              </w:rPr>
              <w:t>Korekcia</w:t>
            </w:r>
          </w:p>
        </w:tc>
        <w:tc>
          <w:tcPr>
            <w:tcW w:w="2160" w:type="dxa"/>
            <w:tcBorders>
              <w:top w:val="single" w:sz="4" w:space="0" w:color="auto"/>
              <w:left w:val="nil"/>
              <w:bottom w:val="single" w:sz="4" w:space="0" w:color="auto"/>
              <w:right w:val="single" w:sz="4" w:space="0" w:color="auto"/>
              <w:tl2br w:val="nil"/>
              <w:tr2bl w:val="nil"/>
            </w:tcBorders>
            <w:shd w:val="clear" w:color="auto" w:fill="C0C0C0"/>
            <w:noWrap/>
            <w:tcMar>
              <w:top w:w="15" w:type="dxa"/>
              <w:left w:w="15" w:type="dxa"/>
              <w:bottom w:w="0" w:type="dxa"/>
              <w:right w:w="15" w:type="dxa"/>
            </w:tcMar>
            <w:textDirection w:val="lrTb"/>
            <w:vAlign w:val="bottom"/>
          </w:tcPr>
          <w:p w:rsidR="007078B9" w:rsidRPr="00166D13" w:rsidP="00E05908">
            <w:pPr>
              <w:spacing w:line="240" w:lineRule="auto"/>
              <w:jc w:val="center"/>
              <w:rPr>
                <w:rFonts w:ascii="Arial Narrow" w:hAnsi="Arial Narrow" w:cs="Times New Roman"/>
                <w:b/>
                <w:bCs/>
                <w:sz w:val="22"/>
                <w:szCs w:val="22"/>
              </w:rPr>
            </w:pPr>
            <w:r>
              <w:rPr>
                <w:rFonts w:ascii="Arial Narrow" w:hAnsi="Arial Narrow" w:cs="Times New Roman"/>
                <w:b/>
                <w:bCs/>
                <w:sz w:val="22"/>
                <w:szCs w:val="22"/>
              </w:rPr>
              <w:t>Netto</w:t>
            </w:r>
          </w:p>
        </w:tc>
      </w:tr>
      <w:tr>
        <w:tblPrEx>
          <w:tblW w:w="9015" w:type="dxa"/>
          <w:tblLayout w:type="fixed"/>
          <w:tblCellMar>
            <w:left w:w="0" w:type="dxa"/>
            <w:right w:w="0" w:type="dxa"/>
          </w:tblCellMar>
        </w:tblPrEx>
        <w:trPr>
          <w:trHeight w:val="284"/>
        </w:trPr>
        <w:tc>
          <w:tcPr>
            <w:tcW w:w="3075" w:type="dxa"/>
            <w:tcBorders>
              <w:top w:val="nil"/>
              <w:left w:val="single" w:sz="4" w:space="0" w:color="auto"/>
              <w:bottom w:val="single" w:sz="4" w:space="0" w:color="auto"/>
              <w:right w:val="single" w:sz="4" w:space="0" w:color="auto"/>
              <w:tl2br w:val="nil"/>
              <w:tr2bl w:val="nil"/>
            </w:tcBorders>
            <w:noWrap/>
            <w:tcMar>
              <w:top w:w="15" w:type="dxa"/>
              <w:left w:w="15" w:type="dxa"/>
              <w:bottom w:w="0" w:type="dxa"/>
              <w:right w:w="15" w:type="dxa"/>
            </w:tcMar>
            <w:textDirection w:val="lrTb"/>
            <w:vAlign w:val="bottom"/>
          </w:tcPr>
          <w:p w:rsidR="007078B9" w:rsidRPr="00166D13" w:rsidP="00E05908">
            <w:pPr>
              <w:spacing w:line="240" w:lineRule="auto"/>
              <w:rPr>
                <w:rFonts w:ascii="Arial Narrow" w:hAnsi="Arial Narrow" w:cs="Times New Roman"/>
                <w:b/>
                <w:bCs/>
                <w:sz w:val="22"/>
                <w:szCs w:val="22"/>
              </w:rPr>
            </w:pPr>
            <w:r>
              <w:rPr>
                <w:rFonts w:ascii="Arial Narrow" w:hAnsi="Arial Narrow" w:cs="Times New Roman"/>
                <w:b/>
                <w:bCs/>
                <w:sz w:val="22"/>
                <w:szCs w:val="22"/>
              </w:rPr>
              <w:t xml:space="preserve">A. NEOBEŽNÝ MAJETOK SPOLU: </w:t>
            </w:r>
          </w:p>
        </w:tc>
        <w:tc>
          <w:tcPr>
            <w:tcW w:w="1980" w:type="dxa"/>
            <w:tcBorders>
              <w:top w:val="nil"/>
              <w:left w:val="nil"/>
              <w:bottom w:val="single" w:sz="4" w:space="0" w:color="auto"/>
              <w:right w:val="single" w:sz="4" w:space="0" w:color="auto"/>
              <w:tl2br w:val="nil"/>
              <w:tr2bl w:val="nil"/>
            </w:tcBorders>
            <w:noWrap/>
            <w:tcMar>
              <w:top w:w="15" w:type="dxa"/>
              <w:left w:w="15" w:type="dxa"/>
              <w:bottom w:w="0" w:type="dxa"/>
              <w:right w:w="15" w:type="dxa"/>
            </w:tcMar>
            <w:textDirection w:val="lrTb"/>
            <w:vAlign w:val="bottom"/>
          </w:tcPr>
          <w:p w:rsidR="007078B9" w:rsidRPr="00166D13" w:rsidP="00E05908">
            <w:pPr>
              <w:spacing w:line="240" w:lineRule="auto"/>
              <w:jc w:val="right"/>
              <w:rPr>
                <w:rFonts w:ascii="Arial Narrow" w:hAnsi="Arial Narrow" w:cs="Times New Roman"/>
                <w:b/>
                <w:bCs/>
                <w:sz w:val="22"/>
                <w:szCs w:val="22"/>
              </w:rPr>
            </w:pPr>
            <w:r>
              <w:rPr>
                <w:rFonts w:ascii="Arial Narrow" w:hAnsi="Arial Narrow" w:cs="Times New Roman"/>
                <w:b/>
                <w:bCs/>
                <w:sz w:val="22"/>
                <w:szCs w:val="22"/>
              </w:rPr>
              <w:t>128.664.153.835,36</w:t>
            </w:r>
          </w:p>
        </w:tc>
        <w:tc>
          <w:tcPr>
            <w:tcW w:w="1800" w:type="dxa"/>
            <w:tcBorders>
              <w:top w:val="nil"/>
              <w:left w:val="nil"/>
              <w:bottom w:val="single" w:sz="4" w:space="0" w:color="auto"/>
              <w:right w:val="single" w:sz="4" w:space="0" w:color="auto"/>
              <w:tl2br w:val="nil"/>
              <w:tr2bl w:val="nil"/>
            </w:tcBorders>
            <w:noWrap/>
            <w:tcMar>
              <w:top w:w="15" w:type="dxa"/>
              <w:left w:w="15" w:type="dxa"/>
              <w:bottom w:w="0" w:type="dxa"/>
              <w:right w:w="15" w:type="dxa"/>
            </w:tcMar>
            <w:textDirection w:val="lrTb"/>
            <w:vAlign w:val="bottom"/>
          </w:tcPr>
          <w:p w:rsidR="007078B9" w:rsidP="00E05908">
            <w:pPr>
              <w:spacing w:line="240" w:lineRule="auto"/>
              <w:jc w:val="right"/>
              <w:rPr>
                <w:rFonts w:ascii="Arial Narrow" w:hAnsi="Arial Narrow" w:cs="Times New Roman"/>
                <w:b/>
                <w:bCs/>
                <w:sz w:val="22"/>
                <w:szCs w:val="22"/>
              </w:rPr>
            </w:pPr>
            <w:r>
              <w:rPr>
                <w:rFonts w:ascii="Arial Narrow" w:hAnsi="Arial Narrow" w:cs="Times New Roman"/>
                <w:b/>
                <w:bCs/>
                <w:sz w:val="22"/>
                <w:szCs w:val="22"/>
              </w:rPr>
              <w:t>142.455.853,48</w:t>
            </w:r>
          </w:p>
        </w:tc>
        <w:tc>
          <w:tcPr>
            <w:tcW w:w="2160" w:type="dxa"/>
            <w:tcBorders>
              <w:top w:val="nil"/>
              <w:left w:val="nil"/>
              <w:bottom w:val="single" w:sz="4" w:space="0" w:color="auto"/>
              <w:right w:val="single" w:sz="4" w:space="0" w:color="auto"/>
              <w:tl2br w:val="nil"/>
              <w:tr2bl w:val="nil"/>
            </w:tcBorders>
            <w:noWrap/>
            <w:tcMar>
              <w:top w:w="15" w:type="dxa"/>
              <w:left w:w="15" w:type="dxa"/>
              <w:bottom w:w="0" w:type="dxa"/>
              <w:right w:w="15" w:type="dxa"/>
            </w:tcMar>
            <w:textDirection w:val="lrTb"/>
            <w:vAlign w:val="bottom"/>
          </w:tcPr>
          <w:p w:rsidR="007078B9" w:rsidRPr="00166D13" w:rsidP="00E05908">
            <w:pPr>
              <w:spacing w:line="240" w:lineRule="auto"/>
              <w:jc w:val="right"/>
              <w:rPr>
                <w:rFonts w:ascii="Arial Narrow" w:hAnsi="Arial Narrow" w:cs="Times New Roman"/>
                <w:b/>
                <w:bCs/>
                <w:sz w:val="22"/>
                <w:szCs w:val="22"/>
              </w:rPr>
            </w:pPr>
            <w:r>
              <w:rPr>
                <w:rFonts w:ascii="Arial Narrow" w:hAnsi="Arial Narrow" w:cs="Times New Roman"/>
                <w:b/>
                <w:bCs/>
                <w:sz w:val="22"/>
                <w:szCs w:val="22"/>
              </w:rPr>
              <w:t>128.521.697.981,88</w:t>
            </w:r>
          </w:p>
        </w:tc>
      </w:tr>
      <w:tr>
        <w:tblPrEx>
          <w:tblW w:w="9015" w:type="dxa"/>
          <w:tblLayout w:type="fixed"/>
          <w:tblCellMar>
            <w:left w:w="0" w:type="dxa"/>
            <w:right w:w="0" w:type="dxa"/>
          </w:tblCellMar>
        </w:tblPrEx>
        <w:trPr>
          <w:trHeight w:val="284"/>
        </w:trPr>
        <w:tc>
          <w:tcPr>
            <w:tcW w:w="3075" w:type="dxa"/>
            <w:tcBorders>
              <w:top w:val="nil"/>
              <w:left w:val="single" w:sz="4" w:space="0" w:color="auto"/>
              <w:bottom w:val="single" w:sz="4" w:space="0" w:color="auto"/>
              <w:right w:val="single" w:sz="4" w:space="0" w:color="auto"/>
              <w:tl2br w:val="nil"/>
              <w:tr2bl w:val="nil"/>
            </w:tcBorders>
            <w:noWrap/>
            <w:tcMar>
              <w:top w:w="15" w:type="dxa"/>
              <w:left w:w="15" w:type="dxa"/>
              <w:bottom w:w="0" w:type="dxa"/>
              <w:right w:w="15" w:type="dxa"/>
            </w:tcMar>
            <w:textDirection w:val="lrTb"/>
            <w:vAlign w:val="bottom"/>
          </w:tcPr>
          <w:p w:rsidR="007078B9" w:rsidRPr="00166D13" w:rsidP="00E05908">
            <w:pPr>
              <w:spacing w:line="240" w:lineRule="auto"/>
              <w:rPr>
                <w:rFonts w:ascii="Arial Narrow" w:hAnsi="Arial Narrow" w:cs="Times New Roman"/>
                <w:sz w:val="22"/>
                <w:szCs w:val="22"/>
              </w:rPr>
            </w:pPr>
            <w:r w:rsidRPr="00166D13">
              <w:rPr>
                <w:rFonts w:ascii="Arial Narrow" w:hAnsi="Arial Narrow" w:cs="Times New Roman"/>
                <w:sz w:val="22"/>
                <w:szCs w:val="22"/>
              </w:rPr>
              <w:t xml:space="preserve">Software </w:t>
            </w:r>
          </w:p>
        </w:tc>
        <w:tc>
          <w:tcPr>
            <w:tcW w:w="1980" w:type="dxa"/>
            <w:tcBorders>
              <w:top w:val="nil"/>
              <w:left w:val="nil"/>
              <w:bottom w:val="single" w:sz="4" w:space="0" w:color="auto"/>
              <w:right w:val="single" w:sz="4" w:space="0" w:color="auto"/>
              <w:tl2br w:val="nil"/>
              <w:tr2bl w:val="nil"/>
            </w:tcBorders>
            <w:noWrap/>
            <w:tcMar>
              <w:top w:w="15" w:type="dxa"/>
              <w:left w:w="15" w:type="dxa"/>
              <w:bottom w:w="0" w:type="dxa"/>
              <w:right w:w="15" w:type="dxa"/>
            </w:tcMar>
            <w:textDirection w:val="lrTb"/>
            <w:vAlign w:val="bottom"/>
          </w:tcPr>
          <w:p w:rsidR="007078B9" w:rsidRPr="00166D13" w:rsidP="00E05908">
            <w:pPr>
              <w:spacing w:line="240" w:lineRule="auto"/>
              <w:jc w:val="right"/>
              <w:rPr>
                <w:rFonts w:ascii="Arial Narrow" w:hAnsi="Arial Narrow" w:cs="Times New Roman"/>
                <w:sz w:val="22"/>
                <w:szCs w:val="22"/>
              </w:rPr>
            </w:pPr>
            <w:r>
              <w:rPr>
                <w:rFonts w:ascii="Arial Narrow" w:hAnsi="Arial Narrow" w:cs="Times New Roman"/>
                <w:sz w:val="22"/>
                <w:szCs w:val="22"/>
              </w:rPr>
              <w:t>23.222.258,6</w:t>
            </w:r>
          </w:p>
        </w:tc>
        <w:tc>
          <w:tcPr>
            <w:tcW w:w="1800" w:type="dxa"/>
            <w:tcBorders>
              <w:top w:val="nil"/>
              <w:left w:val="nil"/>
              <w:bottom w:val="single" w:sz="4" w:space="0" w:color="auto"/>
              <w:right w:val="single" w:sz="4" w:space="0" w:color="auto"/>
              <w:tl2br w:val="nil"/>
              <w:tr2bl w:val="nil"/>
            </w:tcBorders>
            <w:noWrap/>
            <w:tcMar>
              <w:top w:w="15" w:type="dxa"/>
              <w:left w:w="15" w:type="dxa"/>
              <w:bottom w:w="0" w:type="dxa"/>
              <w:right w:w="15" w:type="dxa"/>
            </w:tcMar>
            <w:textDirection w:val="lrTb"/>
            <w:vAlign w:val="bottom"/>
          </w:tcPr>
          <w:p w:rsidR="007078B9" w:rsidRPr="00166D13" w:rsidP="00E05908">
            <w:pPr>
              <w:spacing w:line="240" w:lineRule="auto"/>
              <w:jc w:val="right"/>
              <w:rPr>
                <w:rFonts w:ascii="Arial Narrow" w:hAnsi="Arial Narrow" w:cs="Times New Roman"/>
                <w:sz w:val="22"/>
                <w:szCs w:val="22"/>
              </w:rPr>
            </w:pPr>
            <w:r>
              <w:rPr>
                <w:rFonts w:ascii="Arial Narrow" w:hAnsi="Arial Narrow" w:cs="Times New Roman"/>
                <w:sz w:val="22"/>
                <w:szCs w:val="22"/>
              </w:rPr>
              <w:t>32.985.847,26</w:t>
            </w:r>
          </w:p>
        </w:tc>
        <w:tc>
          <w:tcPr>
            <w:tcW w:w="2160" w:type="dxa"/>
            <w:tcBorders>
              <w:top w:val="nil"/>
              <w:left w:val="nil"/>
              <w:bottom w:val="single" w:sz="4" w:space="0" w:color="auto"/>
              <w:right w:val="single" w:sz="4" w:space="0" w:color="auto"/>
              <w:tl2br w:val="nil"/>
              <w:tr2bl w:val="nil"/>
            </w:tcBorders>
            <w:noWrap/>
            <w:tcMar>
              <w:top w:w="15" w:type="dxa"/>
              <w:left w:w="15" w:type="dxa"/>
              <w:bottom w:w="0" w:type="dxa"/>
              <w:right w:w="15" w:type="dxa"/>
            </w:tcMar>
            <w:textDirection w:val="lrTb"/>
            <w:vAlign w:val="bottom"/>
          </w:tcPr>
          <w:p w:rsidR="007078B9" w:rsidRPr="00166D13" w:rsidP="00E05908">
            <w:pPr>
              <w:spacing w:line="240" w:lineRule="auto"/>
              <w:jc w:val="right"/>
              <w:rPr>
                <w:rFonts w:ascii="Arial Narrow" w:hAnsi="Arial Narrow" w:cs="Times New Roman"/>
                <w:sz w:val="22"/>
                <w:szCs w:val="22"/>
              </w:rPr>
            </w:pPr>
            <w:r>
              <w:rPr>
                <w:rFonts w:ascii="Arial Narrow" w:hAnsi="Arial Narrow" w:cs="Times New Roman"/>
                <w:sz w:val="22"/>
                <w:szCs w:val="22"/>
              </w:rPr>
              <w:t>-9.763.588,66</w:t>
            </w:r>
          </w:p>
        </w:tc>
      </w:tr>
      <w:tr>
        <w:tblPrEx>
          <w:tblW w:w="9015" w:type="dxa"/>
          <w:tblLayout w:type="fixed"/>
          <w:tblCellMar>
            <w:left w:w="0" w:type="dxa"/>
            <w:right w:w="0" w:type="dxa"/>
          </w:tblCellMar>
        </w:tblPrEx>
        <w:trPr>
          <w:trHeight w:val="284"/>
        </w:trPr>
        <w:tc>
          <w:tcPr>
            <w:tcW w:w="3075" w:type="dxa"/>
            <w:tcBorders>
              <w:top w:val="nil"/>
              <w:left w:val="single" w:sz="4" w:space="0" w:color="auto"/>
              <w:bottom w:val="single" w:sz="4" w:space="0" w:color="auto"/>
              <w:right w:val="single" w:sz="4" w:space="0" w:color="auto"/>
              <w:tl2br w:val="nil"/>
              <w:tr2bl w:val="nil"/>
            </w:tcBorders>
            <w:noWrap/>
            <w:tcMar>
              <w:top w:w="15" w:type="dxa"/>
              <w:left w:w="15" w:type="dxa"/>
              <w:bottom w:w="0" w:type="dxa"/>
              <w:right w:w="15" w:type="dxa"/>
            </w:tcMar>
            <w:textDirection w:val="lrTb"/>
            <w:vAlign w:val="bottom"/>
          </w:tcPr>
          <w:p w:rsidR="007078B9" w:rsidRPr="00166D13" w:rsidP="00E05908">
            <w:pPr>
              <w:spacing w:line="240" w:lineRule="auto"/>
              <w:rPr>
                <w:rFonts w:ascii="Arial Narrow" w:hAnsi="Arial Narrow" w:cs="Times New Roman"/>
                <w:sz w:val="22"/>
                <w:szCs w:val="22"/>
              </w:rPr>
            </w:pPr>
            <w:r>
              <w:rPr>
                <w:rFonts w:ascii="Arial Narrow" w:hAnsi="Arial Narrow" w:cs="Times New Roman"/>
                <w:sz w:val="22"/>
                <w:szCs w:val="22"/>
              </w:rPr>
              <w:t>Ocen.práva</w:t>
            </w:r>
          </w:p>
        </w:tc>
        <w:tc>
          <w:tcPr>
            <w:tcW w:w="1980" w:type="dxa"/>
            <w:tcBorders>
              <w:top w:val="nil"/>
              <w:left w:val="nil"/>
              <w:bottom w:val="single" w:sz="4" w:space="0" w:color="auto"/>
              <w:right w:val="single" w:sz="4" w:space="0" w:color="auto"/>
              <w:tl2br w:val="nil"/>
              <w:tr2bl w:val="nil"/>
            </w:tcBorders>
            <w:noWrap/>
            <w:tcMar>
              <w:top w:w="15" w:type="dxa"/>
              <w:left w:w="15" w:type="dxa"/>
              <w:bottom w:w="0" w:type="dxa"/>
              <w:right w:w="15" w:type="dxa"/>
            </w:tcMar>
            <w:textDirection w:val="lrTb"/>
            <w:vAlign w:val="bottom"/>
          </w:tcPr>
          <w:p w:rsidR="007078B9" w:rsidP="00E05908">
            <w:pPr>
              <w:spacing w:line="240" w:lineRule="auto"/>
              <w:jc w:val="right"/>
              <w:rPr>
                <w:rFonts w:ascii="Arial Narrow" w:hAnsi="Arial Narrow" w:cs="Times New Roman"/>
                <w:sz w:val="22"/>
                <w:szCs w:val="22"/>
              </w:rPr>
            </w:pPr>
            <w:r>
              <w:rPr>
                <w:rFonts w:ascii="Arial Narrow" w:hAnsi="Arial Narrow" w:cs="Times New Roman"/>
                <w:sz w:val="22"/>
                <w:szCs w:val="22"/>
              </w:rPr>
              <w:t>8.649.693,9</w:t>
            </w:r>
          </w:p>
        </w:tc>
        <w:tc>
          <w:tcPr>
            <w:tcW w:w="1800" w:type="dxa"/>
            <w:tcBorders>
              <w:top w:val="nil"/>
              <w:left w:val="nil"/>
              <w:bottom w:val="single" w:sz="4" w:space="0" w:color="auto"/>
              <w:right w:val="single" w:sz="4" w:space="0" w:color="auto"/>
              <w:tl2br w:val="nil"/>
              <w:tr2bl w:val="nil"/>
            </w:tcBorders>
            <w:noWrap/>
            <w:tcMar>
              <w:top w:w="15" w:type="dxa"/>
              <w:left w:w="15" w:type="dxa"/>
              <w:bottom w:w="0" w:type="dxa"/>
              <w:right w:w="15" w:type="dxa"/>
            </w:tcMar>
            <w:textDirection w:val="lrTb"/>
            <w:vAlign w:val="bottom"/>
          </w:tcPr>
          <w:p w:rsidR="007078B9" w:rsidP="00E05908">
            <w:pPr>
              <w:spacing w:line="240" w:lineRule="auto"/>
              <w:jc w:val="right"/>
              <w:rPr>
                <w:rFonts w:ascii="Arial Narrow" w:hAnsi="Arial Narrow" w:cs="Times New Roman"/>
                <w:sz w:val="22"/>
                <w:szCs w:val="22"/>
              </w:rPr>
            </w:pPr>
            <w:r>
              <w:rPr>
                <w:rFonts w:ascii="Arial Narrow" w:hAnsi="Arial Narrow" w:cs="Times New Roman"/>
                <w:sz w:val="22"/>
                <w:szCs w:val="22"/>
              </w:rPr>
              <w:t>3.385.603,5</w:t>
            </w:r>
          </w:p>
        </w:tc>
        <w:tc>
          <w:tcPr>
            <w:tcW w:w="2160" w:type="dxa"/>
            <w:tcBorders>
              <w:top w:val="nil"/>
              <w:left w:val="nil"/>
              <w:bottom w:val="single" w:sz="4" w:space="0" w:color="auto"/>
              <w:right w:val="single" w:sz="4" w:space="0" w:color="auto"/>
              <w:tl2br w:val="nil"/>
              <w:tr2bl w:val="nil"/>
            </w:tcBorders>
            <w:noWrap/>
            <w:tcMar>
              <w:top w:w="15" w:type="dxa"/>
              <w:left w:w="15" w:type="dxa"/>
              <w:bottom w:w="0" w:type="dxa"/>
              <w:right w:w="15" w:type="dxa"/>
            </w:tcMar>
            <w:textDirection w:val="lrTb"/>
            <w:vAlign w:val="bottom"/>
          </w:tcPr>
          <w:p w:rsidR="007078B9" w:rsidP="00E05908">
            <w:pPr>
              <w:spacing w:line="240" w:lineRule="auto"/>
              <w:jc w:val="right"/>
              <w:rPr>
                <w:rFonts w:ascii="Arial Narrow" w:hAnsi="Arial Narrow" w:cs="Times New Roman"/>
                <w:sz w:val="22"/>
                <w:szCs w:val="22"/>
              </w:rPr>
            </w:pPr>
            <w:r>
              <w:rPr>
                <w:rFonts w:ascii="Arial Narrow" w:hAnsi="Arial Narrow" w:cs="Times New Roman"/>
                <w:sz w:val="22"/>
                <w:szCs w:val="22"/>
              </w:rPr>
              <w:t>5.264.090,4</w:t>
            </w:r>
          </w:p>
        </w:tc>
      </w:tr>
      <w:tr>
        <w:tblPrEx>
          <w:tblW w:w="9015" w:type="dxa"/>
          <w:tblLayout w:type="fixed"/>
          <w:tblCellMar>
            <w:left w:w="0" w:type="dxa"/>
            <w:right w:w="0" w:type="dxa"/>
          </w:tblCellMar>
        </w:tblPrEx>
        <w:trPr>
          <w:trHeight w:val="284"/>
        </w:trPr>
        <w:tc>
          <w:tcPr>
            <w:tcW w:w="3075" w:type="dxa"/>
            <w:tcBorders>
              <w:top w:val="nil"/>
              <w:left w:val="single" w:sz="4" w:space="0" w:color="auto"/>
              <w:bottom w:val="single" w:sz="4" w:space="0" w:color="auto"/>
              <w:right w:val="single" w:sz="4" w:space="0" w:color="auto"/>
              <w:tl2br w:val="nil"/>
              <w:tr2bl w:val="nil"/>
            </w:tcBorders>
            <w:noWrap/>
            <w:tcMar>
              <w:top w:w="15" w:type="dxa"/>
              <w:left w:w="15" w:type="dxa"/>
              <w:bottom w:w="0" w:type="dxa"/>
              <w:right w:w="15" w:type="dxa"/>
            </w:tcMar>
            <w:textDirection w:val="lrTb"/>
            <w:vAlign w:val="bottom"/>
          </w:tcPr>
          <w:p w:rsidR="007078B9" w:rsidP="00E05908">
            <w:pPr>
              <w:spacing w:line="240" w:lineRule="auto"/>
              <w:rPr>
                <w:rFonts w:ascii="Arial Narrow" w:hAnsi="Arial Narrow" w:cs="Times New Roman"/>
                <w:sz w:val="22"/>
                <w:szCs w:val="22"/>
              </w:rPr>
            </w:pPr>
            <w:r>
              <w:rPr>
                <w:rFonts w:ascii="Arial Narrow" w:hAnsi="Arial Narrow" w:cs="Times New Roman"/>
                <w:sz w:val="22"/>
                <w:szCs w:val="22"/>
              </w:rPr>
              <w:t>Drobný DNM</w:t>
            </w:r>
          </w:p>
        </w:tc>
        <w:tc>
          <w:tcPr>
            <w:tcW w:w="1980" w:type="dxa"/>
            <w:tcBorders>
              <w:top w:val="nil"/>
              <w:left w:val="nil"/>
              <w:bottom w:val="single" w:sz="4" w:space="0" w:color="auto"/>
              <w:right w:val="single" w:sz="4" w:space="0" w:color="auto"/>
              <w:tl2br w:val="nil"/>
              <w:tr2bl w:val="nil"/>
            </w:tcBorders>
            <w:noWrap/>
            <w:tcMar>
              <w:top w:w="15" w:type="dxa"/>
              <w:left w:w="15" w:type="dxa"/>
              <w:bottom w:w="0" w:type="dxa"/>
              <w:right w:w="15" w:type="dxa"/>
            </w:tcMar>
            <w:textDirection w:val="lrTb"/>
            <w:vAlign w:val="bottom"/>
          </w:tcPr>
          <w:p w:rsidR="007078B9" w:rsidP="00E05908">
            <w:pPr>
              <w:spacing w:line="240" w:lineRule="auto"/>
              <w:jc w:val="right"/>
              <w:rPr>
                <w:rFonts w:ascii="Arial Narrow" w:hAnsi="Arial Narrow" w:cs="Times New Roman"/>
                <w:sz w:val="22"/>
                <w:szCs w:val="22"/>
              </w:rPr>
            </w:pPr>
            <w:r>
              <w:rPr>
                <w:rFonts w:ascii="Arial Narrow" w:hAnsi="Arial Narrow" w:cs="Times New Roman"/>
                <w:sz w:val="22"/>
                <w:szCs w:val="22"/>
              </w:rPr>
              <w:t>117.753,2</w:t>
            </w:r>
          </w:p>
        </w:tc>
        <w:tc>
          <w:tcPr>
            <w:tcW w:w="1800" w:type="dxa"/>
            <w:tcBorders>
              <w:top w:val="nil"/>
              <w:left w:val="nil"/>
              <w:bottom w:val="single" w:sz="4" w:space="0" w:color="auto"/>
              <w:right w:val="single" w:sz="4" w:space="0" w:color="auto"/>
              <w:tl2br w:val="nil"/>
              <w:tr2bl w:val="nil"/>
            </w:tcBorders>
            <w:noWrap/>
            <w:tcMar>
              <w:top w:w="15" w:type="dxa"/>
              <w:left w:w="15" w:type="dxa"/>
              <w:bottom w:w="0" w:type="dxa"/>
              <w:right w:w="15" w:type="dxa"/>
            </w:tcMar>
            <w:textDirection w:val="lrTb"/>
            <w:vAlign w:val="bottom"/>
          </w:tcPr>
          <w:p w:rsidR="007078B9" w:rsidP="00E05908">
            <w:pPr>
              <w:spacing w:line="240" w:lineRule="auto"/>
              <w:jc w:val="right"/>
              <w:rPr>
                <w:rFonts w:ascii="Arial Narrow" w:hAnsi="Arial Narrow" w:cs="Times New Roman"/>
                <w:sz w:val="22"/>
                <w:szCs w:val="22"/>
              </w:rPr>
            </w:pPr>
          </w:p>
        </w:tc>
        <w:tc>
          <w:tcPr>
            <w:tcW w:w="2160" w:type="dxa"/>
            <w:tcBorders>
              <w:top w:val="nil"/>
              <w:left w:val="nil"/>
              <w:bottom w:val="single" w:sz="4" w:space="0" w:color="auto"/>
              <w:right w:val="single" w:sz="4" w:space="0" w:color="auto"/>
              <w:tl2br w:val="nil"/>
              <w:tr2bl w:val="nil"/>
            </w:tcBorders>
            <w:noWrap/>
            <w:tcMar>
              <w:top w:w="15" w:type="dxa"/>
              <w:left w:w="15" w:type="dxa"/>
              <w:bottom w:w="0" w:type="dxa"/>
              <w:right w:w="15" w:type="dxa"/>
            </w:tcMar>
            <w:textDirection w:val="lrTb"/>
            <w:vAlign w:val="bottom"/>
          </w:tcPr>
          <w:p w:rsidR="007078B9" w:rsidP="00E05908">
            <w:pPr>
              <w:spacing w:line="240" w:lineRule="auto"/>
              <w:jc w:val="right"/>
              <w:rPr>
                <w:rFonts w:ascii="Arial Narrow" w:hAnsi="Arial Narrow" w:cs="Times New Roman"/>
                <w:sz w:val="22"/>
                <w:szCs w:val="22"/>
              </w:rPr>
            </w:pPr>
            <w:r>
              <w:rPr>
                <w:rFonts w:ascii="Arial Narrow" w:hAnsi="Arial Narrow" w:cs="Times New Roman"/>
                <w:sz w:val="22"/>
                <w:szCs w:val="22"/>
              </w:rPr>
              <w:t>117.753,2</w:t>
            </w:r>
          </w:p>
        </w:tc>
      </w:tr>
      <w:tr>
        <w:tblPrEx>
          <w:tblW w:w="9015" w:type="dxa"/>
          <w:tblLayout w:type="fixed"/>
          <w:tblCellMar>
            <w:left w:w="0" w:type="dxa"/>
            <w:right w:w="0" w:type="dxa"/>
          </w:tblCellMar>
        </w:tblPrEx>
        <w:trPr>
          <w:trHeight w:val="284"/>
        </w:trPr>
        <w:tc>
          <w:tcPr>
            <w:tcW w:w="3075" w:type="dxa"/>
            <w:tcBorders>
              <w:top w:val="nil"/>
              <w:left w:val="single" w:sz="4" w:space="0" w:color="auto"/>
              <w:bottom w:val="single" w:sz="4" w:space="0" w:color="auto"/>
              <w:right w:val="single" w:sz="4" w:space="0" w:color="auto"/>
              <w:tl2br w:val="nil"/>
              <w:tr2bl w:val="nil"/>
            </w:tcBorders>
            <w:noWrap/>
            <w:tcMar>
              <w:top w:w="15" w:type="dxa"/>
              <w:left w:w="15" w:type="dxa"/>
              <w:bottom w:w="0" w:type="dxa"/>
              <w:right w:w="15" w:type="dxa"/>
            </w:tcMar>
            <w:textDirection w:val="lrTb"/>
            <w:vAlign w:val="bottom"/>
          </w:tcPr>
          <w:p w:rsidR="007078B9" w:rsidRPr="00166D13" w:rsidP="00E05908">
            <w:pPr>
              <w:spacing w:line="240" w:lineRule="auto"/>
              <w:rPr>
                <w:rFonts w:ascii="Arial Narrow" w:hAnsi="Arial Narrow" w:cs="Times New Roman"/>
                <w:b/>
                <w:sz w:val="22"/>
                <w:szCs w:val="22"/>
              </w:rPr>
            </w:pPr>
            <w:r>
              <w:rPr>
                <w:rFonts w:ascii="Arial Narrow" w:hAnsi="Arial Narrow" w:cs="Times New Roman"/>
                <w:b/>
                <w:sz w:val="22"/>
                <w:szCs w:val="22"/>
              </w:rPr>
              <w:t>D</w:t>
            </w:r>
            <w:r w:rsidRPr="00166D13">
              <w:rPr>
                <w:rFonts w:ascii="Arial Narrow" w:hAnsi="Arial Narrow" w:cs="Times New Roman"/>
                <w:b/>
                <w:sz w:val="22"/>
                <w:szCs w:val="22"/>
              </w:rPr>
              <w:t xml:space="preserve">NM spolu: </w:t>
            </w:r>
          </w:p>
        </w:tc>
        <w:tc>
          <w:tcPr>
            <w:tcW w:w="1980" w:type="dxa"/>
            <w:tcBorders>
              <w:top w:val="nil"/>
              <w:left w:val="nil"/>
              <w:bottom w:val="single" w:sz="4" w:space="0" w:color="auto"/>
              <w:right w:val="single" w:sz="4" w:space="0" w:color="auto"/>
              <w:tl2br w:val="nil"/>
              <w:tr2bl w:val="nil"/>
            </w:tcBorders>
            <w:noWrap/>
            <w:tcMar>
              <w:top w:w="15" w:type="dxa"/>
              <w:left w:w="15" w:type="dxa"/>
              <w:bottom w:w="0" w:type="dxa"/>
              <w:right w:w="15" w:type="dxa"/>
            </w:tcMar>
            <w:textDirection w:val="lrTb"/>
            <w:vAlign w:val="bottom"/>
          </w:tcPr>
          <w:p w:rsidR="007078B9" w:rsidRPr="00166D13" w:rsidP="00E05908">
            <w:pPr>
              <w:spacing w:line="240" w:lineRule="auto"/>
              <w:jc w:val="right"/>
              <w:rPr>
                <w:rFonts w:ascii="Arial Narrow" w:hAnsi="Arial Narrow" w:cs="Times New Roman"/>
                <w:b/>
                <w:sz w:val="22"/>
                <w:szCs w:val="22"/>
              </w:rPr>
            </w:pPr>
            <w:r>
              <w:rPr>
                <w:rFonts w:ascii="Arial Narrow" w:hAnsi="Arial Narrow" w:cs="Times New Roman"/>
                <w:b/>
                <w:sz w:val="22"/>
                <w:szCs w:val="22"/>
              </w:rPr>
              <w:t>32.727.505,7</w:t>
            </w:r>
          </w:p>
        </w:tc>
        <w:tc>
          <w:tcPr>
            <w:tcW w:w="1800" w:type="dxa"/>
            <w:tcBorders>
              <w:top w:val="nil"/>
              <w:left w:val="nil"/>
              <w:bottom w:val="single" w:sz="4" w:space="0" w:color="auto"/>
              <w:right w:val="single" w:sz="4" w:space="0" w:color="auto"/>
              <w:tl2br w:val="nil"/>
              <w:tr2bl w:val="nil"/>
            </w:tcBorders>
            <w:noWrap/>
            <w:tcMar>
              <w:top w:w="15" w:type="dxa"/>
              <w:left w:w="15" w:type="dxa"/>
              <w:bottom w:w="0" w:type="dxa"/>
              <w:right w:w="15" w:type="dxa"/>
            </w:tcMar>
            <w:textDirection w:val="lrTb"/>
            <w:vAlign w:val="bottom"/>
          </w:tcPr>
          <w:p w:rsidR="007078B9" w:rsidRPr="00166D13" w:rsidP="00E05908">
            <w:pPr>
              <w:spacing w:line="240" w:lineRule="auto"/>
              <w:jc w:val="right"/>
              <w:rPr>
                <w:rFonts w:ascii="Arial Narrow" w:hAnsi="Arial Narrow" w:cs="Times New Roman"/>
                <w:b/>
                <w:sz w:val="22"/>
                <w:szCs w:val="22"/>
              </w:rPr>
            </w:pPr>
            <w:r>
              <w:rPr>
                <w:rFonts w:ascii="Arial Narrow" w:hAnsi="Arial Narrow" w:cs="Times New Roman"/>
                <w:b/>
                <w:sz w:val="22"/>
                <w:szCs w:val="22"/>
              </w:rPr>
              <w:t>36.371.450,76</w:t>
            </w:r>
          </w:p>
        </w:tc>
        <w:tc>
          <w:tcPr>
            <w:tcW w:w="2160" w:type="dxa"/>
            <w:tcBorders>
              <w:top w:val="nil"/>
              <w:left w:val="nil"/>
              <w:bottom w:val="single" w:sz="4" w:space="0" w:color="auto"/>
              <w:right w:val="single" w:sz="4" w:space="0" w:color="auto"/>
              <w:tl2br w:val="nil"/>
              <w:tr2bl w:val="nil"/>
            </w:tcBorders>
            <w:noWrap/>
            <w:tcMar>
              <w:top w:w="15" w:type="dxa"/>
              <w:left w:w="15" w:type="dxa"/>
              <w:bottom w:w="0" w:type="dxa"/>
              <w:right w:w="15" w:type="dxa"/>
            </w:tcMar>
            <w:textDirection w:val="lrTb"/>
            <w:vAlign w:val="bottom"/>
          </w:tcPr>
          <w:p w:rsidR="007078B9" w:rsidRPr="00166D13" w:rsidP="00E05908">
            <w:pPr>
              <w:spacing w:line="240" w:lineRule="auto"/>
              <w:jc w:val="right"/>
              <w:rPr>
                <w:rFonts w:ascii="Arial Narrow" w:hAnsi="Arial Narrow" w:cs="Times New Roman"/>
                <w:b/>
                <w:sz w:val="22"/>
                <w:szCs w:val="22"/>
              </w:rPr>
            </w:pPr>
            <w:r>
              <w:rPr>
                <w:rFonts w:ascii="Arial Narrow" w:hAnsi="Arial Narrow" w:cs="Times New Roman"/>
                <w:b/>
                <w:sz w:val="22"/>
                <w:szCs w:val="22"/>
              </w:rPr>
              <w:t>-3.643.945,06</w:t>
            </w:r>
          </w:p>
        </w:tc>
      </w:tr>
      <w:tr>
        <w:tblPrEx>
          <w:tblW w:w="9015" w:type="dxa"/>
          <w:tblLayout w:type="fixed"/>
          <w:tblCellMar>
            <w:left w:w="0" w:type="dxa"/>
            <w:right w:w="0" w:type="dxa"/>
          </w:tblCellMar>
        </w:tblPrEx>
        <w:trPr>
          <w:trHeight w:val="284"/>
        </w:trPr>
        <w:tc>
          <w:tcPr>
            <w:tcW w:w="3075" w:type="dxa"/>
            <w:tcBorders>
              <w:top w:val="nil"/>
              <w:left w:val="single" w:sz="4" w:space="0" w:color="auto"/>
              <w:bottom w:val="single" w:sz="4" w:space="0" w:color="auto"/>
              <w:right w:val="single" w:sz="4" w:space="0" w:color="auto"/>
              <w:tl2br w:val="nil"/>
              <w:tr2bl w:val="nil"/>
            </w:tcBorders>
            <w:noWrap/>
            <w:tcMar>
              <w:top w:w="15" w:type="dxa"/>
              <w:left w:w="15" w:type="dxa"/>
              <w:bottom w:w="0" w:type="dxa"/>
              <w:right w:w="15" w:type="dxa"/>
            </w:tcMar>
            <w:textDirection w:val="lrTb"/>
            <w:vAlign w:val="bottom"/>
          </w:tcPr>
          <w:p w:rsidR="007078B9" w:rsidRPr="00166D13" w:rsidP="00E05908">
            <w:pPr>
              <w:spacing w:line="240" w:lineRule="auto"/>
              <w:rPr>
                <w:rFonts w:ascii="Arial Narrow" w:hAnsi="Arial Narrow" w:cs="Times New Roman"/>
                <w:sz w:val="22"/>
                <w:szCs w:val="22"/>
              </w:rPr>
            </w:pPr>
            <w:r w:rsidRPr="00166D13">
              <w:rPr>
                <w:rFonts w:ascii="Arial Narrow" w:hAnsi="Arial Narrow" w:cs="Times New Roman"/>
                <w:sz w:val="22"/>
                <w:szCs w:val="22"/>
              </w:rPr>
              <w:t xml:space="preserve">Budovy, haly ,stavby                                      </w:t>
            </w:r>
          </w:p>
        </w:tc>
        <w:tc>
          <w:tcPr>
            <w:tcW w:w="1980" w:type="dxa"/>
            <w:tcBorders>
              <w:top w:val="nil"/>
              <w:left w:val="nil"/>
              <w:bottom w:val="single" w:sz="4" w:space="0" w:color="auto"/>
              <w:right w:val="single" w:sz="4" w:space="0" w:color="auto"/>
              <w:tl2br w:val="nil"/>
              <w:tr2bl w:val="nil"/>
            </w:tcBorders>
            <w:noWrap/>
            <w:tcMar>
              <w:top w:w="15" w:type="dxa"/>
              <w:left w:w="15" w:type="dxa"/>
              <w:bottom w:w="0" w:type="dxa"/>
              <w:right w:w="15" w:type="dxa"/>
            </w:tcMar>
            <w:textDirection w:val="lrTb"/>
            <w:vAlign w:val="bottom"/>
          </w:tcPr>
          <w:p w:rsidR="007078B9" w:rsidRPr="00166D13" w:rsidP="00E05908">
            <w:pPr>
              <w:spacing w:line="240" w:lineRule="auto"/>
              <w:jc w:val="right"/>
              <w:rPr>
                <w:rFonts w:ascii="Arial Narrow" w:hAnsi="Arial Narrow" w:cs="Times New Roman"/>
                <w:sz w:val="22"/>
                <w:szCs w:val="22"/>
              </w:rPr>
            </w:pPr>
            <w:r>
              <w:rPr>
                <w:rFonts w:ascii="Arial Narrow" w:hAnsi="Arial Narrow" w:cs="Times New Roman"/>
                <w:sz w:val="22"/>
                <w:szCs w:val="22"/>
              </w:rPr>
              <w:t>400.552.380,5</w:t>
            </w:r>
          </w:p>
        </w:tc>
        <w:tc>
          <w:tcPr>
            <w:tcW w:w="1800" w:type="dxa"/>
            <w:tcBorders>
              <w:top w:val="nil"/>
              <w:left w:val="nil"/>
              <w:bottom w:val="single" w:sz="4" w:space="0" w:color="auto"/>
              <w:right w:val="single" w:sz="4" w:space="0" w:color="auto"/>
              <w:tl2br w:val="nil"/>
              <w:tr2bl w:val="nil"/>
            </w:tcBorders>
            <w:noWrap/>
            <w:tcMar>
              <w:top w:w="15" w:type="dxa"/>
              <w:left w:w="15" w:type="dxa"/>
              <w:bottom w:w="0" w:type="dxa"/>
              <w:right w:w="15" w:type="dxa"/>
            </w:tcMar>
            <w:textDirection w:val="lrTb"/>
            <w:vAlign w:val="bottom"/>
          </w:tcPr>
          <w:p w:rsidR="007078B9" w:rsidRPr="00166D13" w:rsidP="00E05908">
            <w:pPr>
              <w:spacing w:line="240" w:lineRule="auto"/>
              <w:jc w:val="right"/>
              <w:rPr>
                <w:rFonts w:ascii="Arial Narrow" w:hAnsi="Arial Narrow" w:cs="Times New Roman"/>
                <w:sz w:val="22"/>
                <w:szCs w:val="22"/>
              </w:rPr>
            </w:pPr>
            <w:r>
              <w:rPr>
                <w:rFonts w:ascii="Arial Narrow" w:hAnsi="Arial Narrow" w:cs="Times New Roman"/>
                <w:sz w:val="22"/>
                <w:szCs w:val="22"/>
              </w:rPr>
              <w:t>30.456.098,0</w:t>
            </w:r>
          </w:p>
        </w:tc>
        <w:tc>
          <w:tcPr>
            <w:tcW w:w="2160" w:type="dxa"/>
            <w:tcBorders>
              <w:top w:val="nil"/>
              <w:left w:val="nil"/>
              <w:bottom w:val="single" w:sz="4" w:space="0" w:color="auto"/>
              <w:right w:val="single" w:sz="4" w:space="0" w:color="auto"/>
              <w:tl2br w:val="nil"/>
              <w:tr2bl w:val="nil"/>
            </w:tcBorders>
            <w:noWrap/>
            <w:tcMar>
              <w:top w:w="15" w:type="dxa"/>
              <w:left w:w="15" w:type="dxa"/>
              <w:bottom w:w="0" w:type="dxa"/>
              <w:right w:w="15" w:type="dxa"/>
            </w:tcMar>
            <w:textDirection w:val="lrTb"/>
            <w:vAlign w:val="bottom"/>
          </w:tcPr>
          <w:p w:rsidR="007078B9" w:rsidRPr="00166D13" w:rsidP="00E05908">
            <w:pPr>
              <w:spacing w:line="240" w:lineRule="auto"/>
              <w:jc w:val="right"/>
              <w:rPr>
                <w:rFonts w:ascii="Arial Narrow" w:hAnsi="Arial Narrow" w:cs="Times New Roman"/>
                <w:sz w:val="22"/>
                <w:szCs w:val="22"/>
              </w:rPr>
            </w:pPr>
            <w:r>
              <w:rPr>
                <w:rFonts w:ascii="Arial Narrow" w:hAnsi="Arial Narrow" w:cs="Times New Roman"/>
                <w:sz w:val="22"/>
                <w:szCs w:val="22"/>
              </w:rPr>
              <w:t>370.096.282,5</w:t>
            </w:r>
          </w:p>
        </w:tc>
      </w:tr>
      <w:tr>
        <w:tblPrEx>
          <w:tblW w:w="9015" w:type="dxa"/>
          <w:tblLayout w:type="fixed"/>
          <w:tblCellMar>
            <w:left w:w="0" w:type="dxa"/>
            <w:right w:w="0" w:type="dxa"/>
          </w:tblCellMar>
        </w:tblPrEx>
        <w:trPr>
          <w:trHeight w:val="284"/>
        </w:trPr>
        <w:tc>
          <w:tcPr>
            <w:tcW w:w="3075" w:type="dxa"/>
            <w:tcBorders>
              <w:top w:val="nil"/>
              <w:left w:val="single" w:sz="4" w:space="0" w:color="auto"/>
              <w:bottom w:val="single" w:sz="4" w:space="0" w:color="auto"/>
              <w:right w:val="single" w:sz="4" w:space="0" w:color="auto"/>
              <w:tl2br w:val="nil"/>
              <w:tr2bl w:val="nil"/>
            </w:tcBorders>
            <w:noWrap/>
            <w:tcMar>
              <w:top w:w="15" w:type="dxa"/>
              <w:left w:w="15" w:type="dxa"/>
              <w:bottom w:w="0" w:type="dxa"/>
              <w:right w:w="15" w:type="dxa"/>
            </w:tcMar>
            <w:textDirection w:val="lrTb"/>
            <w:vAlign w:val="bottom"/>
          </w:tcPr>
          <w:p w:rsidR="007078B9" w:rsidRPr="00166D13" w:rsidP="00E05908">
            <w:pPr>
              <w:spacing w:line="240" w:lineRule="auto"/>
              <w:rPr>
                <w:rFonts w:ascii="Arial Narrow" w:hAnsi="Arial Narrow" w:cs="Times New Roman"/>
                <w:sz w:val="22"/>
                <w:szCs w:val="22"/>
              </w:rPr>
            </w:pPr>
            <w:r w:rsidRPr="00166D13">
              <w:rPr>
                <w:rFonts w:ascii="Arial Narrow" w:hAnsi="Arial Narrow" w:cs="Times New Roman"/>
                <w:sz w:val="22"/>
                <w:szCs w:val="22"/>
              </w:rPr>
              <w:t xml:space="preserve">Stroje, prístroje a zariadenia                             </w:t>
            </w:r>
          </w:p>
        </w:tc>
        <w:tc>
          <w:tcPr>
            <w:tcW w:w="1980" w:type="dxa"/>
            <w:tcBorders>
              <w:top w:val="nil"/>
              <w:left w:val="nil"/>
              <w:bottom w:val="single" w:sz="4" w:space="0" w:color="auto"/>
              <w:right w:val="single" w:sz="4" w:space="0" w:color="auto"/>
              <w:tl2br w:val="nil"/>
              <w:tr2bl w:val="nil"/>
            </w:tcBorders>
            <w:noWrap/>
            <w:tcMar>
              <w:top w:w="15" w:type="dxa"/>
              <w:left w:w="15" w:type="dxa"/>
              <w:bottom w:w="0" w:type="dxa"/>
              <w:right w:w="15" w:type="dxa"/>
            </w:tcMar>
            <w:textDirection w:val="lrTb"/>
            <w:vAlign w:val="bottom"/>
          </w:tcPr>
          <w:p w:rsidR="007078B9" w:rsidRPr="00166D13" w:rsidP="00E05908">
            <w:pPr>
              <w:spacing w:line="240" w:lineRule="auto"/>
              <w:jc w:val="right"/>
              <w:rPr>
                <w:rFonts w:ascii="Arial Narrow" w:hAnsi="Arial Narrow" w:cs="Times New Roman"/>
                <w:sz w:val="22"/>
                <w:szCs w:val="22"/>
              </w:rPr>
            </w:pPr>
            <w:r>
              <w:rPr>
                <w:rFonts w:ascii="Arial Narrow" w:hAnsi="Arial Narrow" w:cs="Times New Roman"/>
                <w:sz w:val="22"/>
                <w:szCs w:val="22"/>
              </w:rPr>
              <w:t>97.233.304,56</w:t>
            </w:r>
          </w:p>
        </w:tc>
        <w:tc>
          <w:tcPr>
            <w:tcW w:w="1800" w:type="dxa"/>
            <w:tcBorders>
              <w:top w:val="nil"/>
              <w:left w:val="nil"/>
              <w:bottom w:val="single" w:sz="4" w:space="0" w:color="auto"/>
              <w:right w:val="single" w:sz="4" w:space="0" w:color="auto"/>
              <w:tl2br w:val="nil"/>
              <w:tr2bl w:val="nil"/>
            </w:tcBorders>
            <w:noWrap/>
            <w:tcMar>
              <w:top w:w="15" w:type="dxa"/>
              <w:left w:w="15" w:type="dxa"/>
              <w:bottom w:w="0" w:type="dxa"/>
              <w:right w:w="15" w:type="dxa"/>
            </w:tcMar>
            <w:textDirection w:val="lrTb"/>
            <w:vAlign w:val="bottom"/>
          </w:tcPr>
          <w:p w:rsidR="007078B9" w:rsidRPr="00166D13" w:rsidP="00E05908">
            <w:pPr>
              <w:spacing w:line="240" w:lineRule="auto"/>
              <w:jc w:val="right"/>
              <w:rPr>
                <w:rFonts w:ascii="Arial Narrow" w:hAnsi="Arial Narrow" w:cs="Times New Roman"/>
                <w:sz w:val="22"/>
                <w:szCs w:val="22"/>
              </w:rPr>
            </w:pPr>
            <w:r>
              <w:rPr>
                <w:rFonts w:ascii="Arial Narrow" w:hAnsi="Arial Narrow" w:cs="Times New Roman"/>
                <w:sz w:val="22"/>
                <w:szCs w:val="22"/>
              </w:rPr>
              <w:t>63.941.809,43</w:t>
            </w:r>
          </w:p>
        </w:tc>
        <w:tc>
          <w:tcPr>
            <w:tcW w:w="2160" w:type="dxa"/>
            <w:tcBorders>
              <w:top w:val="nil"/>
              <w:left w:val="nil"/>
              <w:bottom w:val="single" w:sz="4" w:space="0" w:color="auto"/>
              <w:right w:val="single" w:sz="4" w:space="0" w:color="auto"/>
              <w:tl2br w:val="nil"/>
              <w:tr2bl w:val="nil"/>
            </w:tcBorders>
            <w:noWrap/>
            <w:tcMar>
              <w:top w:w="15" w:type="dxa"/>
              <w:left w:w="15" w:type="dxa"/>
              <w:bottom w:w="0" w:type="dxa"/>
              <w:right w:w="15" w:type="dxa"/>
            </w:tcMar>
            <w:textDirection w:val="lrTb"/>
            <w:vAlign w:val="bottom"/>
          </w:tcPr>
          <w:p w:rsidR="007078B9" w:rsidRPr="00166D13" w:rsidP="00E05908">
            <w:pPr>
              <w:spacing w:line="240" w:lineRule="auto"/>
              <w:jc w:val="right"/>
              <w:rPr>
                <w:rFonts w:ascii="Arial Narrow" w:hAnsi="Arial Narrow" w:cs="Times New Roman"/>
                <w:sz w:val="22"/>
                <w:szCs w:val="22"/>
              </w:rPr>
            </w:pPr>
            <w:r>
              <w:rPr>
                <w:rFonts w:ascii="Arial Narrow" w:hAnsi="Arial Narrow" w:cs="Times New Roman"/>
                <w:sz w:val="22"/>
                <w:szCs w:val="22"/>
              </w:rPr>
              <w:t>33.291.495,13</w:t>
            </w:r>
          </w:p>
        </w:tc>
      </w:tr>
      <w:tr>
        <w:tblPrEx>
          <w:tblW w:w="9015" w:type="dxa"/>
          <w:tblLayout w:type="fixed"/>
          <w:tblCellMar>
            <w:left w:w="0" w:type="dxa"/>
            <w:right w:w="0" w:type="dxa"/>
          </w:tblCellMar>
        </w:tblPrEx>
        <w:trPr>
          <w:trHeight w:val="284"/>
        </w:trPr>
        <w:tc>
          <w:tcPr>
            <w:tcW w:w="3075" w:type="dxa"/>
            <w:tcBorders>
              <w:top w:val="nil"/>
              <w:left w:val="single" w:sz="4" w:space="0" w:color="auto"/>
              <w:bottom w:val="single" w:sz="4" w:space="0" w:color="auto"/>
              <w:right w:val="single" w:sz="4" w:space="0" w:color="auto"/>
              <w:tl2br w:val="nil"/>
              <w:tr2bl w:val="nil"/>
            </w:tcBorders>
            <w:noWrap/>
            <w:tcMar>
              <w:top w:w="15" w:type="dxa"/>
              <w:left w:w="15" w:type="dxa"/>
              <w:bottom w:w="0" w:type="dxa"/>
              <w:right w:w="15" w:type="dxa"/>
            </w:tcMar>
            <w:textDirection w:val="lrTb"/>
            <w:vAlign w:val="bottom"/>
          </w:tcPr>
          <w:p w:rsidR="007078B9" w:rsidRPr="00166D13" w:rsidP="00E05908">
            <w:pPr>
              <w:spacing w:line="240" w:lineRule="auto"/>
              <w:rPr>
                <w:rFonts w:ascii="Arial Narrow" w:hAnsi="Arial Narrow" w:cs="Times New Roman"/>
                <w:sz w:val="22"/>
                <w:szCs w:val="22"/>
              </w:rPr>
            </w:pPr>
            <w:r w:rsidRPr="00166D13">
              <w:rPr>
                <w:rFonts w:ascii="Arial Narrow" w:hAnsi="Arial Narrow" w:cs="Times New Roman"/>
                <w:sz w:val="22"/>
                <w:szCs w:val="22"/>
              </w:rPr>
              <w:t xml:space="preserve">Dopravné prostriedky                                       </w:t>
            </w:r>
          </w:p>
        </w:tc>
        <w:tc>
          <w:tcPr>
            <w:tcW w:w="1980" w:type="dxa"/>
            <w:tcBorders>
              <w:top w:val="nil"/>
              <w:left w:val="nil"/>
              <w:bottom w:val="single" w:sz="4" w:space="0" w:color="auto"/>
              <w:right w:val="single" w:sz="4" w:space="0" w:color="auto"/>
              <w:tl2br w:val="nil"/>
              <w:tr2bl w:val="nil"/>
            </w:tcBorders>
            <w:noWrap/>
            <w:tcMar>
              <w:top w:w="15" w:type="dxa"/>
              <w:left w:w="15" w:type="dxa"/>
              <w:bottom w:w="0" w:type="dxa"/>
              <w:right w:w="15" w:type="dxa"/>
            </w:tcMar>
            <w:textDirection w:val="lrTb"/>
            <w:vAlign w:val="bottom"/>
          </w:tcPr>
          <w:p w:rsidR="007078B9" w:rsidRPr="00166D13" w:rsidP="00E05908">
            <w:pPr>
              <w:spacing w:line="240" w:lineRule="auto"/>
              <w:jc w:val="right"/>
              <w:rPr>
                <w:rFonts w:ascii="Arial Narrow" w:hAnsi="Arial Narrow" w:cs="Times New Roman"/>
                <w:sz w:val="22"/>
                <w:szCs w:val="22"/>
              </w:rPr>
            </w:pPr>
            <w:r>
              <w:rPr>
                <w:rFonts w:ascii="Arial Narrow" w:hAnsi="Arial Narrow" w:cs="Times New Roman"/>
                <w:sz w:val="22"/>
                <w:szCs w:val="22"/>
              </w:rPr>
              <w:t>16.982.208,0</w:t>
            </w:r>
          </w:p>
        </w:tc>
        <w:tc>
          <w:tcPr>
            <w:tcW w:w="1800" w:type="dxa"/>
            <w:tcBorders>
              <w:top w:val="nil"/>
              <w:left w:val="nil"/>
              <w:bottom w:val="single" w:sz="4" w:space="0" w:color="auto"/>
              <w:right w:val="single" w:sz="4" w:space="0" w:color="auto"/>
              <w:tl2br w:val="nil"/>
              <w:tr2bl w:val="nil"/>
            </w:tcBorders>
            <w:noWrap/>
            <w:tcMar>
              <w:top w:w="15" w:type="dxa"/>
              <w:left w:w="15" w:type="dxa"/>
              <w:bottom w:w="0" w:type="dxa"/>
              <w:right w:w="15" w:type="dxa"/>
            </w:tcMar>
            <w:textDirection w:val="lrTb"/>
            <w:vAlign w:val="bottom"/>
          </w:tcPr>
          <w:p w:rsidR="007078B9" w:rsidRPr="00166D13" w:rsidP="00E05908">
            <w:pPr>
              <w:spacing w:line="240" w:lineRule="auto"/>
              <w:jc w:val="right"/>
              <w:rPr>
                <w:rFonts w:ascii="Arial Narrow" w:hAnsi="Arial Narrow" w:cs="Times New Roman"/>
                <w:sz w:val="22"/>
                <w:szCs w:val="22"/>
              </w:rPr>
            </w:pPr>
            <w:r>
              <w:rPr>
                <w:rFonts w:ascii="Arial Narrow" w:hAnsi="Arial Narrow" w:cs="Times New Roman"/>
                <w:sz w:val="22"/>
                <w:szCs w:val="22"/>
              </w:rPr>
              <w:t>11.686.495,29</w:t>
            </w:r>
          </w:p>
        </w:tc>
        <w:tc>
          <w:tcPr>
            <w:tcW w:w="2160" w:type="dxa"/>
            <w:tcBorders>
              <w:top w:val="nil"/>
              <w:left w:val="nil"/>
              <w:bottom w:val="single" w:sz="4" w:space="0" w:color="auto"/>
              <w:right w:val="single" w:sz="4" w:space="0" w:color="auto"/>
              <w:tl2br w:val="nil"/>
              <w:tr2bl w:val="nil"/>
            </w:tcBorders>
            <w:noWrap/>
            <w:tcMar>
              <w:top w:w="15" w:type="dxa"/>
              <w:left w:w="15" w:type="dxa"/>
              <w:bottom w:w="0" w:type="dxa"/>
              <w:right w:w="15" w:type="dxa"/>
            </w:tcMar>
            <w:textDirection w:val="lrTb"/>
            <w:vAlign w:val="bottom"/>
          </w:tcPr>
          <w:p w:rsidR="007078B9" w:rsidRPr="00166D13" w:rsidP="00E05908">
            <w:pPr>
              <w:spacing w:line="240" w:lineRule="auto"/>
              <w:jc w:val="right"/>
              <w:rPr>
                <w:rFonts w:ascii="Arial Narrow" w:hAnsi="Arial Narrow" w:cs="Times New Roman"/>
                <w:sz w:val="22"/>
                <w:szCs w:val="22"/>
              </w:rPr>
            </w:pPr>
            <w:r>
              <w:rPr>
                <w:rFonts w:ascii="Arial Narrow" w:hAnsi="Arial Narrow" w:cs="Times New Roman"/>
                <w:sz w:val="22"/>
                <w:szCs w:val="22"/>
              </w:rPr>
              <w:t>5.295.712,71</w:t>
            </w:r>
          </w:p>
        </w:tc>
      </w:tr>
      <w:tr>
        <w:tblPrEx>
          <w:tblW w:w="9015" w:type="dxa"/>
          <w:tblLayout w:type="fixed"/>
          <w:tblCellMar>
            <w:left w:w="0" w:type="dxa"/>
            <w:right w:w="0" w:type="dxa"/>
          </w:tblCellMar>
        </w:tblPrEx>
        <w:trPr>
          <w:trHeight w:val="284"/>
        </w:trPr>
        <w:tc>
          <w:tcPr>
            <w:tcW w:w="3075" w:type="dxa"/>
            <w:tcBorders>
              <w:top w:val="nil"/>
              <w:left w:val="single" w:sz="4" w:space="0" w:color="auto"/>
              <w:bottom w:val="single" w:sz="4" w:space="0" w:color="auto"/>
              <w:right w:val="single" w:sz="4" w:space="0" w:color="auto"/>
              <w:tl2br w:val="nil"/>
              <w:tr2bl w:val="nil"/>
            </w:tcBorders>
            <w:noWrap/>
            <w:tcMar>
              <w:top w:w="15" w:type="dxa"/>
              <w:left w:w="15" w:type="dxa"/>
              <w:bottom w:w="0" w:type="dxa"/>
              <w:right w:w="15" w:type="dxa"/>
            </w:tcMar>
            <w:textDirection w:val="lrTb"/>
            <w:vAlign w:val="bottom"/>
          </w:tcPr>
          <w:p w:rsidR="007078B9" w:rsidRPr="00166D13" w:rsidP="00E05908">
            <w:pPr>
              <w:spacing w:line="240" w:lineRule="auto"/>
              <w:rPr>
                <w:rFonts w:ascii="Arial Narrow" w:hAnsi="Arial Narrow" w:cs="Times New Roman"/>
                <w:sz w:val="22"/>
                <w:szCs w:val="22"/>
              </w:rPr>
            </w:pPr>
            <w:r w:rsidRPr="00166D13">
              <w:rPr>
                <w:rFonts w:ascii="Arial Narrow" w:hAnsi="Arial Narrow" w:cs="Times New Roman"/>
                <w:sz w:val="22"/>
                <w:szCs w:val="22"/>
              </w:rPr>
              <w:t xml:space="preserve">Inventár                                                                  </w:t>
            </w:r>
          </w:p>
        </w:tc>
        <w:tc>
          <w:tcPr>
            <w:tcW w:w="1980" w:type="dxa"/>
            <w:tcBorders>
              <w:top w:val="nil"/>
              <w:left w:val="nil"/>
              <w:bottom w:val="single" w:sz="4" w:space="0" w:color="auto"/>
              <w:right w:val="single" w:sz="4" w:space="0" w:color="auto"/>
              <w:tl2br w:val="nil"/>
              <w:tr2bl w:val="nil"/>
            </w:tcBorders>
            <w:noWrap/>
            <w:tcMar>
              <w:top w:w="15" w:type="dxa"/>
              <w:left w:w="15" w:type="dxa"/>
              <w:bottom w:w="0" w:type="dxa"/>
              <w:right w:w="15" w:type="dxa"/>
            </w:tcMar>
            <w:textDirection w:val="lrTb"/>
            <w:vAlign w:val="bottom"/>
          </w:tcPr>
          <w:p w:rsidR="007078B9" w:rsidRPr="00166D13" w:rsidP="00E05908">
            <w:pPr>
              <w:spacing w:line="240" w:lineRule="auto"/>
              <w:jc w:val="center"/>
              <w:rPr>
                <w:rFonts w:ascii="Arial Narrow" w:hAnsi="Arial Narrow" w:cs="Times New Roman"/>
                <w:sz w:val="22"/>
                <w:szCs w:val="22"/>
              </w:rPr>
            </w:pPr>
            <w:r>
              <w:rPr>
                <w:rFonts w:ascii="Arial Narrow" w:hAnsi="Arial Narrow" w:cs="Times New Roman"/>
                <w:sz w:val="22"/>
                <w:szCs w:val="22"/>
              </w:rPr>
              <w:t>-</w:t>
            </w:r>
          </w:p>
        </w:tc>
        <w:tc>
          <w:tcPr>
            <w:tcW w:w="1800" w:type="dxa"/>
            <w:tcBorders>
              <w:top w:val="nil"/>
              <w:left w:val="nil"/>
              <w:bottom w:val="single" w:sz="4" w:space="0" w:color="auto"/>
              <w:right w:val="single" w:sz="4" w:space="0" w:color="auto"/>
              <w:tl2br w:val="nil"/>
              <w:tr2bl w:val="nil"/>
            </w:tcBorders>
            <w:noWrap/>
            <w:tcMar>
              <w:top w:w="15" w:type="dxa"/>
              <w:left w:w="15" w:type="dxa"/>
              <w:bottom w:w="0" w:type="dxa"/>
              <w:right w:w="15" w:type="dxa"/>
            </w:tcMar>
            <w:textDirection w:val="lrTb"/>
            <w:vAlign w:val="bottom"/>
          </w:tcPr>
          <w:p w:rsidR="007078B9" w:rsidRPr="00166D13" w:rsidP="00E05908">
            <w:pPr>
              <w:spacing w:line="240" w:lineRule="auto"/>
              <w:jc w:val="center"/>
              <w:rPr>
                <w:rFonts w:ascii="Arial Narrow" w:hAnsi="Arial Narrow" w:cs="Times New Roman"/>
                <w:sz w:val="22"/>
                <w:szCs w:val="22"/>
              </w:rPr>
            </w:pPr>
            <w:r>
              <w:rPr>
                <w:rFonts w:ascii="Arial Narrow" w:hAnsi="Arial Narrow" w:cs="Times New Roman"/>
                <w:sz w:val="22"/>
                <w:szCs w:val="22"/>
              </w:rPr>
              <w:t>-</w:t>
            </w:r>
          </w:p>
        </w:tc>
        <w:tc>
          <w:tcPr>
            <w:tcW w:w="2160" w:type="dxa"/>
            <w:tcBorders>
              <w:top w:val="nil"/>
              <w:left w:val="nil"/>
              <w:bottom w:val="single" w:sz="4" w:space="0" w:color="auto"/>
              <w:right w:val="single" w:sz="4" w:space="0" w:color="auto"/>
              <w:tl2br w:val="nil"/>
              <w:tr2bl w:val="nil"/>
            </w:tcBorders>
            <w:noWrap/>
            <w:tcMar>
              <w:top w:w="15" w:type="dxa"/>
              <w:left w:w="15" w:type="dxa"/>
              <w:bottom w:w="0" w:type="dxa"/>
              <w:right w:w="15" w:type="dxa"/>
            </w:tcMar>
            <w:textDirection w:val="lrTb"/>
            <w:vAlign w:val="bottom"/>
          </w:tcPr>
          <w:p w:rsidR="007078B9" w:rsidRPr="00166D13" w:rsidP="00E05908">
            <w:pPr>
              <w:spacing w:line="240" w:lineRule="auto"/>
              <w:jc w:val="center"/>
              <w:rPr>
                <w:rFonts w:ascii="Arial Narrow" w:hAnsi="Arial Narrow" w:cs="Times New Roman"/>
                <w:sz w:val="22"/>
                <w:szCs w:val="22"/>
              </w:rPr>
            </w:pPr>
            <w:r>
              <w:rPr>
                <w:rFonts w:ascii="Arial Narrow" w:hAnsi="Arial Narrow" w:cs="Times New Roman"/>
                <w:sz w:val="22"/>
                <w:szCs w:val="22"/>
              </w:rPr>
              <w:t>-</w:t>
            </w:r>
          </w:p>
        </w:tc>
      </w:tr>
      <w:tr>
        <w:tblPrEx>
          <w:tblW w:w="9015" w:type="dxa"/>
          <w:tblLayout w:type="fixed"/>
          <w:tblCellMar>
            <w:left w:w="0" w:type="dxa"/>
            <w:right w:w="0" w:type="dxa"/>
          </w:tblCellMar>
        </w:tblPrEx>
        <w:trPr>
          <w:trHeight w:val="284"/>
        </w:trPr>
        <w:tc>
          <w:tcPr>
            <w:tcW w:w="3075" w:type="dxa"/>
            <w:tcBorders>
              <w:top w:val="nil"/>
              <w:left w:val="single" w:sz="4" w:space="0" w:color="auto"/>
              <w:bottom w:val="single" w:sz="4" w:space="0" w:color="auto"/>
              <w:right w:val="single" w:sz="4" w:space="0" w:color="auto"/>
              <w:tl2br w:val="nil"/>
              <w:tr2bl w:val="nil"/>
            </w:tcBorders>
            <w:noWrap/>
            <w:tcMar>
              <w:top w:w="15" w:type="dxa"/>
              <w:left w:w="15" w:type="dxa"/>
              <w:bottom w:w="0" w:type="dxa"/>
              <w:right w:w="15" w:type="dxa"/>
            </w:tcMar>
            <w:textDirection w:val="lrTb"/>
            <w:vAlign w:val="bottom"/>
          </w:tcPr>
          <w:p w:rsidR="007078B9" w:rsidRPr="00166D13" w:rsidP="00E05908">
            <w:pPr>
              <w:spacing w:line="240" w:lineRule="auto"/>
              <w:rPr>
                <w:rFonts w:ascii="Arial Narrow" w:hAnsi="Arial Narrow" w:cs="Times New Roman"/>
                <w:sz w:val="22"/>
                <w:szCs w:val="22"/>
              </w:rPr>
            </w:pPr>
            <w:r w:rsidRPr="00166D13">
              <w:rPr>
                <w:rFonts w:ascii="Arial Narrow" w:hAnsi="Arial Narrow" w:cs="Times New Roman"/>
                <w:sz w:val="22"/>
                <w:szCs w:val="22"/>
              </w:rPr>
              <w:t xml:space="preserve">Pozemky                                                            </w:t>
            </w:r>
          </w:p>
        </w:tc>
        <w:tc>
          <w:tcPr>
            <w:tcW w:w="1980" w:type="dxa"/>
            <w:tcBorders>
              <w:top w:val="nil"/>
              <w:left w:val="nil"/>
              <w:bottom w:val="single" w:sz="4" w:space="0" w:color="auto"/>
              <w:right w:val="single" w:sz="4" w:space="0" w:color="auto"/>
              <w:tl2br w:val="nil"/>
              <w:tr2bl w:val="nil"/>
            </w:tcBorders>
            <w:noWrap/>
            <w:tcMar>
              <w:top w:w="15" w:type="dxa"/>
              <w:left w:w="15" w:type="dxa"/>
              <w:bottom w:w="0" w:type="dxa"/>
              <w:right w:w="15" w:type="dxa"/>
            </w:tcMar>
            <w:textDirection w:val="lrTb"/>
            <w:vAlign w:val="bottom"/>
          </w:tcPr>
          <w:p w:rsidR="007078B9" w:rsidRPr="00166D13" w:rsidP="00E05908">
            <w:pPr>
              <w:spacing w:line="240" w:lineRule="auto"/>
              <w:jc w:val="center"/>
              <w:rPr>
                <w:rFonts w:ascii="Arial Narrow" w:hAnsi="Arial Narrow" w:cs="Times New Roman"/>
                <w:sz w:val="22"/>
                <w:szCs w:val="22"/>
              </w:rPr>
            </w:pPr>
            <w:r>
              <w:rPr>
                <w:rFonts w:ascii="Arial Narrow" w:hAnsi="Arial Narrow" w:cs="Times New Roman"/>
                <w:sz w:val="22"/>
                <w:szCs w:val="22"/>
              </w:rPr>
              <w:t>-</w:t>
            </w:r>
          </w:p>
        </w:tc>
        <w:tc>
          <w:tcPr>
            <w:tcW w:w="1800" w:type="dxa"/>
            <w:tcBorders>
              <w:top w:val="nil"/>
              <w:left w:val="nil"/>
              <w:bottom w:val="single" w:sz="4" w:space="0" w:color="auto"/>
              <w:right w:val="single" w:sz="4" w:space="0" w:color="auto"/>
              <w:tl2br w:val="nil"/>
              <w:tr2bl w:val="nil"/>
            </w:tcBorders>
            <w:noWrap/>
            <w:tcMar>
              <w:top w:w="15" w:type="dxa"/>
              <w:left w:w="15" w:type="dxa"/>
              <w:bottom w:w="0" w:type="dxa"/>
              <w:right w:w="15" w:type="dxa"/>
            </w:tcMar>
            <w:textDirection w:val="lrTb"/>
            <w:vAlign w:val="bottom"/>
          </w:tcPr>
          <w:p w:rsidR="007078B9" w:rsidRPr="00166D13" w:rsidP="00E05908">
            <w:pPr>
              <w:spacing w:line="240" w:lineRule="auto"/>
              <w:jc w:val="center"/>
              <w:rPr>
                <w:rFonts w:ascii="Arial Narrow" w:hAnsi="Arial Narrow" w:cs="Times New Roman"/>
                <w:sz w:val="22"/>
                <w:szCs w:val="22"/>
              </w:rPr>
            </w:pPr>
            <w:r>
              <w:rPr>
                <w:rFonts w:ascii="Arial Narrow" w:hAnsi="Arial Narrow" w:cs="Times New Roman"/>
                <w:sz w:val="22"/>
                <w:szCs w:val="22"/>
              </w:rPr>
              <w:t>-</w:t>
            </w:r>
          </w:p>
        </w:tc>
        <w:tc>
          <w:tcPr>
            <w:tcW w:w="2160" w:type="dxa"/>
            <w:tcBorders>
              <w:top w:val="nil"/>
              <w:left w:val="nil"/>
              <w:bottom w:val="single" w:sz="4" w:space="0" w:color="auto"/>
              <w:right w:val="single" w:sz="4" w:space="0" w:color="auto"/>
              <w:tl2br w:val="nil"/>
              <w:tr2bl w:val="nil"/>
            </w:tcBorders>
            <w:noWrap/>
            <w:tcMar>
              <w:top w:w="15" w:type="dxa"/>
              <w:left w:w="15" w:type="dxa"/>
              <w:bottom w:w="0" w:type="dxa"/>
              <w:right w:w="15" w:type="dxa"/>
            </w:tcMar>
            <w:textDirection w:val="lrTb"/>
            <w:vAlign w:val="bottom"/>
          </w:tcPr>
          <w:p w:rsidR="007078B9" w:rsidRPr="00166D13" w:rsidP="00E05908">
            <w:pPr>
              <w:spacing w:line="240" w:lineRule="auto"/>
              <w:jc w:val="center"/>
              <w:rPr>
                <w:rFonts w:ascii="Arial Narrow" w:hAnsi="Arial Narrow" w:cs="Times New Roman"/>
                <w:sz w:val="22"/>
                <w:szCs w:val="22"/>
              </w:rPr>
            </w:pPr>
            <w:r>
              <w:rPr>
                <w:rFonts w:ascii="Arial Narrow" w:hAnsi="Arial Narrow" w:cs="Times New Roman"/>
                <w:sz w:val="22"/>
                <w:szCs w:val="22"/>
              </w:rPr>
              <w:t>-</w:t>
            </w:r>
          </w:p>
        </w:tc>
      </w:tr>
      <w:tr>
        <w:tblPrEx>
          <w:tblW w:w="9015" w:type="dxa"/>
          <w:tblLayout w:type="fixed"/>
          <w:tblCellMar>
            <w:left w:w="0" w:type="dxa"/>
            <w:right w:w="0" w:type="dxa"/>
          </w:tblCellMar>
        </w:tblPrEx>
        <w:trPr>
          <w:trHeight w:val="284"/>
        </w:trPr>
        <w:tc>
          <w:tcPr>
            <w:tcW w:w="3075" w:type="dxa"/>
            <w:tcBorders>
              <w:top w:val="nil"/>
              <w:left w:val="single" w:sz="4" w:space="0" w:color="auto"/>
              <w:bottom w:val="single" w:sz="4" w:space="0" w:color="auto"/>
              <w:right w:val="single" w:sz="4" w:space="0" w:color="auto"/>
              <w:tl2br w:val="nil"/>
              <w:tr2bl w:val="nil"/>
            </w:tcBorders>
            <w:noWrap/>
            <w:tcMar>
              <w:top w:w="15" w:type="dxa"/>
              <w:left w:w="15" w:type="dxa"/>
              <w:bottom w:w="0" w:type="dxa"/>
              <w:right w:w="15" w:type="dxa"/>
            </w:tcMar>
            <w:textDirection w:val="lrTb"/>
            <w:vAlign w:val="bottom"/>
          </w:tcPr>
          <w:p w:rsidR="007078B9" w:rsidRPr="00166D13" w:rsidP="00E05908">
            <w:pPr>
              <w:spacing w:line="240" w:lineRule="auto"/>
              <w:rPr>
                <w:rFonts w:ascii="Arial Narrow" w:hAnsi="Arial Narrow" w:cs="Times New Roman"/>
                <w:sz w:val="22"/>
                <w:szCs w:val="22"/>
              </w:rPr>
            </w:pPr>
            <w:r>
              <w:rPr>
                <w:rFonts w:ascii="Arial Narrow" w:hAnsi="Arial Narrow" w:cs="Times New Roman"/>
                <w:sz w:val="22"/>
                <w:szCs w:val="22"/>
              </w:rPr>
              <w:t>Drobný DHM</w:t>
            </w:r>
          </w:p>
        </w:tc>
        <w:tc>
          <w:tcPr>
            <w:tcW w:w="1980" w:type="dxa"/>
            <w:tcBorders>
              <w:top w:val="nil"/>
              <w:left w:val="nil"/>
              <w:bottom w:val="single" w:sz="4" w:space="0" w:color="auto"/>
              <w:right w:val="single" w:sz="4" w:space="0" w:color="auto"/>
              <w:tl2br w:val="nil"/>
              <w:tr2bl w:val="nil"/>
            </w:tcBorders>
            <w:noWrap/>
            <w:tcMar>
              <w:top w:w="15" w:type="dxa"/>
              <w:left w:w="15" w:type="dxa"/>
              <w:bottom w:w="0" w:type="dxa"/>
              <w:right w:w="15" w:type="dxa"/>
            </w:tcMar>
            <w:textDirection w:val="lrTb"/>
            <w:vAlign w:val="bottom"/>
          </w:tcPr>
          <w:p w:rsidR="007078B9" w:rsidRPr="00166D13" w:rsidP="00E05908">
            <w:pPr>
              <w:spacing w:line="240" w:lineRule="auto"/>
              <w:jc w:val="center"/>
              <w:rPr>
                <w:rFonts w:ascii="Arial Narrow" w:hAnsi="Arial Narrow" w:cs="Times New Roman"/>
                <w:sz w:val="22"/>
                <w:szCs w:val="22"/>
              </w:rPr>
            </w:pPr>
            <w:r>
              <w:rPr>
                <w:rFonts w:ascii="Arial Narrow" w:hAnsi="Arial Narrow" w:cs="Times New Roman"/>
                <w:sz w:val="22"/>
                <w:szCs w:val="22"/>
              </w:rPr>
              <w:t>-</w:t>
            </w:r>
          </w:p>
        </w:tc>
        <w:tc>
          <w:tcPr>
            <w:tcW w:w="1800" w:type="dxa"/>
            <w:tcBorders>
              <w:top w:val="nil"/>
              <w:left w:val="nil"/>
              <w:bottom w:val="single" w:sz="4" w:space="0" w:color="auto"/>
              <w:right w:val="single" w:sz="4" w:space="0" w:color="auto"/>
              <w:tl2br w:val="nil"/>
              <w:tr2bl w:val="nil"/>
            </w:tcBorders>
            <w:noWrap/>
            <w:tcMar>
              <w:top w:w="15" w:type="dxa"/>
              <w:left w:w="15" w:type="dxa"/>
              <w:bottom w:w="0" w:type="dxa"/>
              <w:right w:w="15" w:type="dxa"/>
            </w:tcMar>
            <w:textDirection w:val="lrTb"/>
            <w:vAlign w:val="bottom"/>
          </w:tcPr>
          <w:p w:rsidR="007078B9" w:rsidRPr="00166D13" w:rsidP="00E05908">
            <w:pPr>
              <w:spacing w:line="240" w:lineRule="auto"/>
              <w:jc w:val="center"/>
              <w:rPr>
                <w:rFonts w:ascii="Arial Narrow" w:hAnsi="Arial Narrow" w:cs="Times New Roman"/>
                <w:sz w:val="22"/>
                <w:szCs w:val="22"/>
              </w:rPr>
            </w:pPr>
            <w:r>
              <w:rPr>
                <w:rFonts w:ascii="Arial Narrow" w:hAnsi="Arial Narrow" w:cs="Times New Roman"/>
                <w:sz w:val="22"/>
                <w:szCs w:val="22"/>
              </w:rPr>
              <w:t>-</w:t>
            </w:r>
          </w:p>
        </w:tc>
        <w:tc>
          <w:tcPr>
            <w:tcW w:w="2160" w:type="dxa"/>
            <w:tcBorders>
              <w:top w:val="nil"/>
              <w:left w:val="nil"/>
              <w:bottom w:val="single" w:sz="4" w:space="0" w:color="auto"/>
              <w:right w:val="single" w:sz="4" w:space="0" w:color="auto"/>
              <w:tl2br w:val="nil"/>
              <w:tr2bl w:val="nil"/>
            </w:tcBorders>
            <w:noWrap/>
            <w:tcMar>
              <w:top w:w="15" w:type="dxa"/>
              <w:left w:w="15" w:type="dxa"/>
              <w:bottom w:w="0" w:type="dxa"/>
              <w:right w:w="15" w:type="dxa"/>
            </w:tcMar>
            <w:textDirection w:val="lrTb"/>
            <w:vAlign w:val="bottom"/>
          </w:tcPr>
          <w:p w:rsidR="007078B9" w:rsidRPr="00166D13" w:rsidP="00E05908">
            <w:pPr>
              <w:spacing w:line="240" w:lineRule="auto"/>
              <w:jc w:val="center"/>
              <w:rPr>
                <w:rFonts w:ascii="Arial Narrow" w:hAnsi="Arial Narrow" w:cs="Times New Roman"/>
                <w:sz w:val="22"/>
                <w:szCs w:val="22"/>
              </w:rPr>
            </w:pPr>
            <w:r>
              <w:rPr>
                <w:rFonts w:ascii="Arial Narrow" w:hAnsi="Arial Narrow" w:cs="Times New Roman"/>
                <w:sz w:val="22"/>
                <w:szCs w:val="22"/>
              </w:rPr>
              <w:t>-</w:t>
            </w:r>
          </w:p>
        </w:tc>
      </w:tr>
      <w:tr>
        <w:tblPrEx>
          <w:tblW w:w="9015" w:type="dxa"/>
          <w:tblLayout w:type="fixed"/>
          <w:tblCellMar>
            <w:left w:w="0" w:type="dxa"/>
            <w:right w:w="0" w:type="dxa"/>
          </w:tblCellMar>
        </w:tblPrEx>
        <w:trPr>
          <w:trHeight w:val="284"/>
        </w:trPr>
        <w:tc>
          <w:tcPr>
            <w:tcW w:w="3075" w:type="dxa"/>
            <w:tcBorders>
              <w:top w:val="nil"/>
              <w:left w:val="single" w:sz="4" w:space="0" w:color="auto"/>
              <w:bottom w:val="single" w:sz="4" w:space="0" w:color="auto"/>
              <w:right w:val="single" w:sz="4" w:space="0" w:color="auto"/>
              <w:tl2br w:val="nil"/>
              <w:tr2bl w:val="nil"/>
            </w:tcBorders>
            <w:noWrap/>
            <w:tcMar>
              <w:top w:w="15" w:type="dxa"/>
              <w:left w:w="15" w:type="dxa"/>
              <w:bottom w:w="0" w:type="dxa"/>
              <w:right w:w="15" w:type="dxa"/>
            </w:tcMar>
            <w:textDirection w:val="lrTb"/>
            <w:vAlign w:val="bottom"/>
          </w:tcPr>
          <w:p w:rsidR="007078B9" w:rsidRPr="00166D13" w:rsidP="00E05908">
            <w:pPr>
              <w:spacing w:line="240" w:lineRule="auto"/>
              <w:rPr>
                <w:rFonts w:ascii="Arial Narrow" w:hAnsi="Arial Narrow" w:cs="Times New Roman"/>
                <w:sz w:val="22"/>
                <w:szCs w:val="22"/>
              </w:rPr>
            </w:pPr>
            <w:r w:rsidRPr="00166D13">
              <w:rPr>
                <w:rFonts w:ascii="Arial Narrow" w:hAnsi="Arial Narrow" w:cs="Times New Roman"/>
                <w:sz w:val="22"/>
                <w:szCs w:val="22"/>
              </w:rPr>
              <w:t>Obstaranie</w:t>
            </w:r>
            <w:r>
              <w:rPr>
                <w:rFonts w:ascii="Arial Narrow" w:hAnsi="Arial Narrow" w:cs="Times New Roman"/>
                <w:sz w:val="22"/>
                <w:szCs w:val="22"/>
              </w:rPr>
              <w:t xml:space="preserve"> DHM</w:t>
            </w:r>
            <w:r w:rsidRPr="00166D13">
              <w:rPr>
                <w:rFonts w:ascii="Arial Narrow" w:hAnsi="Arial Narrow" w:cs="Times New Roman"/>
                <w:sz w:val="22"/>
                <w:szCs w:val="22"/>
              </w:rPr>
              <w:t xml:space="preserve">                                               </w:t>
            </w:r>
          </w:p>
        </w:tc>
        <w:tc>
          <w:tcPr>
            <w:tcW w:w="1980" w:type="dxa"/>
            <w:tcBorders>
              <w:top w:val="nil"/>
              <w:left w:val="nil"/>
              <w:bottom w:val="single" w:sz="4" w:space="0" w:color="auto"/>
              <w:right w:val="single" w:sz="4" w:space="0" w:color="auto"/>
              <w:tl2br w:val="nil"/>
              <w:tr2bl w:val="nil"/>
            </w:tcBorders>
            <w:noWrap/>
            <w:tcMar>
              <w:top w:w="15" w:type="dxa"/>
              <w:left w:w="15" w:type="dxa"/>
              <w:bottom w:w="0" w:type="dxa"/>
              <w:right w:w="15" w:type="dxa"/>
            </w:tcMar>
            <w:textDirection w:val="lrTb"/>
            <w:vAlign w:val="bottom"/>
          </w:tcPr>
          <w:p w:rsidR="007078B9" w:rsidRPr="00166D13" w:rsidP="00E05908">
            <w:pPr>
              <w:spacing w:line="240" w:lineRule="auto"/>
              <w:jc w:val="right"/>
              <w:rPr>
                <w:rFonts w:ascii="Arial Narrow" w:hAnsi="Arial Narrow" w:cs="Times New Roman"/>
                <w:sz w:val="22"/>
                <w:szCs w:val="22"/>
              </w:rPr>
            </w:pPr>
            <w:r>
              <w:rPr>
                <w:rFonts w:ascii="Arial Narrow" w:hAnsi="Arial Narrow" w:cs="Times New Roman"/>
                <w:sz w:val="22"/>
                <w:szCs w:val="22"/>
              </w:rPr>
              <w:t>63.467.255,1</w:t>
            </w:r>
          </w:p>
        </w:tc>
        <w:tc>
          <w:tcPr>
            <w:tcW w:w="1800" w:type="dxa"/>
            <w:tcBorders>
              <w:top w:val="nil"/>
              <w:left w:val="nil"/>
              <w:bottom w:val="single" w:sz="4" w:space="0" w:color="auto"/>
              <w:right w:val="single" w:sz="4" w:space="0" w:color="auto"/>
              <w:tl2br w:val="nil"/>
              <w:tr2bl w:val="nil"/>
            </w:tcBorders>
            <w:noWrap/>
            <w:tcMar>
              <w:top w:w="15" w:type="dxa"/>
              <w:left w:w="15" w:type="dxa"/>
              <w:bottom w:w="0" w:type="dxa"/>
              <w:right w:w="15" w:type="dxa"/>
            </w:tcMar>
            <w:textDirection w:val="lrTb"/>
            <w:vAlign w:val="bottom"/>
          </w:tcPr>
          <w:p w:rsidR="007078B9" w:rsidRPr="00166D13" w:rsidP="00E05908">
            <w:pPr>
              <w:spacing w:line="240" w:lineRule="auto"/>
              <w:jc w:val="right"/>
              <w:rPr>
                <w:rFonts w:ascii="Arial Narrow" w:hAnsi="Arial Narrow" w:cs="Times New Roman"/>
                <w:sz w:val="22"/>
                <w:szCs w:val="22"/>
              </w:rPr>
            </w:pPr>
          </w:p>
        </w:tc>
        <w:tc>
          <w:tcPr>
            <w:tcW w:w="2160" w:type="dxa"/>
            <w:tcBorders>
              <w:top w:val="nil"/>
              <w:left w:val="nil"/>
              <w:bottom w:val="single" w:sz="4" w:space="0" w:color="auto"/>
              <w:right w:val="single" w:sz="4" w:space="0" w:color="auto"/>
              <w:tl2br w:val="nil"/>
              <w:tr2bl w:val="nil"/>
            </w:tcBorders>
            <w:noWrap/>
            <w:tcMar>
              <w:top w:w="15" w:type="dxa"/>
              <w:left w:w="15" w:type="dxa"/>
              <w:bottom w:w="0" w:type="dxa"/>
              <w:right w:w="15" w:type="dxa"/>
            </w:tcMar>
            <w:textDirection w:val="lrTb"/>
            <w:vAlign w:val="bottom"/>
          </w:tcPr>
          <w:p w:rsidR="007078B9" w:rsidRPr="00166D13" w:rsidP="00E05908">
            <w:pPr>
              <w:spacing w:line="240" w:lineRule="auto"/>
              <w:jc w:val="right"/>
              <w:rPr>
                <w:rFonts w:ascii="Arial Narrow" w:hAnsi="Arial Narrow" w:cs="Times New Roman"/>
                <w:sz w:val="22"/>
                <w:szCs w:val="22"/>
              </w:rPr>
            </w:pPr>
            <w:r>
              <w:rPr>
                <w:rFonts w:ascii="Arial Narrow" w:hAnsi="Arial Narrow" w:cs="Times New Roman"/>
                <w:sz w:val="22"/>
                <w:szCs w:val="22"/>
              </w:rPr>
              <w:t>63.467.255,1</w:t>
            </w:r>
          </w:p>
        </w:tc>
      </w:tr>
      <w:tr>
        <w:tblPrEx>
          <w:tblW w:w="9015" w:type="dxa"/>
          <w:tblLayout w:type="fixed"/>
          <w:tblCellMar>
            <w:left w:w="0" w:type="dxa"/>
            <w:right w:w="0" w:type="dxa"/>
          </w:tblCellMar>
        </w:tblPrEx>
        <w:trPr>
          <w:trHeight w:val="284"/>
        </w:trPr>
        <w:tc>
          <w:tcPr>
            <w:tcW w:w="3075" w:type="dxa"/>
            <w:tcBorders>
              <w:top w:val="single" w:sz="4" w:space="0" w:color="auto"/>
              <w:left w:val="single" w:sz="4" w:space="0" w:color="auto"/>
              <w:bottom w:val="single" w:sz="4" w:space="0" w:color="auto"/>
              <w:right w:val="single" w:sz="4" w:space="0" w:color="auto"/>
              <w:tl2br w:val="nil"/>
              <w:tr2bl w:val="nil"/>
            </w:tcBorders>
            <w:noWrap/>
            <w:tcMar>
              <w:top w:w="15" w:type="dxa"/>
              <w:left w:w="15" w:type="dxa"/>
              <w:bottom w:w="0" w:type="dxa"/>
              <w:right w:w="15" w:type="dxa"/>
            </w:tcMar>
            <w:textDirection w:val="lrTb"/>
            <w:vAlign w:val="bottom"/>
          </w:tcPr>
          <w:p w:rsidR="007078B9" w:rsidRPr="00166D13" w:rsidP="00E05908">
            <w:pPr>
              <w:spacing w:line="240" w:lineRule="auto"/>
              <w:rPr>
                <w:rFonts w:ascii="Arial Narrow" w:hAnsi="Arial Narrow" w:cs="Times New Roman"/>
                <w:b/>
                <w:bCs/>
                <w:sz w:val="22"/>
                <w:szCs w:val="22"/>
              </w:rPr>
            </w:pPr>
            <w:r>
              <w:rPr>
                <w:rFonts w:ascii="Arial Narrow" w:hAnsi="Arial Narrow" w:cs="Times New Roman"/>
                <w:b/>
                <w:bCs/>
                <w:sz w:val="22"/>
                <w:szCs w:val="22"/>
              </w:rPr>
              <w:t xml:space="preserve">DHM </w:t>
            </w:r>
            <w:r w:rsidRPr="00166D13">
              <w:rPr>
                <w:rFonts w:ascii="Arial Narrow" w:hAnsi="Arial Narrow" w:cs="Times New Roman"/>
                <w:b/>
                <w:bCs/>
                <w:sz w:val="22"/>
                <w:szCs w:val="22"/>
              </w:rPr>
              <w:t>spolu:</w:t>
            </w:r>
          </w:p>
        </w:tc>
        <w:tc>
          <w:tcPr>
            <w:tcW w:w="1980" w:type="dxa"/>
            <w:tcBorders>
              <w:top w:val="single" w:sz="4" w:space="0" w:color="auto"/>
              <w:left w:val="nil"/>
              <w:bottom w:val="single" w:sz="4" w:space="0" w:color="auto"/>
              <w:right w:val="single" w:sz="4" w:space="0" w:color="auto"/>
              <w:tl2br w:val="nil"/>
              <w:tr2bl w:val="nil"/>
            </w:tcBorders>
            <w:noWrap/>
            <w:tcMar>
              <w:top w:w="15" w:type="dxa"/>
              <w:left w:w="15" w:type="dxa"/>
              <w:bottom w:w="0" w:type="dxa"/>
              <w:right w:w="15" w:type="dxa"/>
            </w:tcMar>
            <w:textDirection w:val="lrTb"/>
            <w:vAlign w:val="bottom"/>
          </w:tcPr>
          <w:p w:rsidR="007078B9" w:rsidRPr="00166D13" w:rsidP="00E05908">
            <w:pPr>
              <w:spacing w:line="240" w:lineRule="auto"/>
              <w:jc w:val="right"/>
              <w:rPr>
                <w:rFonts w:ascii="Arial Narrow" w:hAnsi="Arial Narrow" w:cs="Times New Roman"/>
                <w:b/>
                <w:bCs/>
                <w:sz w:val="22"/>
                <w:szCs w:val="22"/>
              </w:rPr>
            </w:pPr>
            <w:r>
              <w:rPr>
                <w:rFonts w:ascii="Arial Narrow" w:hAnsi="Arial Narrow" w:cs="Times New Roman"/>
                <w:b/>
                <w:bCs/>
                <w:sz w:val="22"/>
                <w:szCs w:val="22"/>
              </w:rPr>
              <w:t>583.757.385,31</w:t>
            </w:r>
          </w:p>
        </w:tc>
        <w:tc>
          <w:tcPr>
            <w:tcW w:w="1800" w:type="dxa"/>
            <w:tcBorders>
              <w:top w:val="single" w:sz="4" w:space="0" w:color="auto"/>
              <w:left w:val="nil"/>
              <w:bottom w:val="single" w:sz="4" w:space="0" w:color="auto"/>
              <w:right w:val="single" w:sz="4" w:space="0" w:color="auto"/>
              <w:tl2br w:val="nil"/>
              <w:tr2bl w:val="nil"/>
            </w:tcBorders>
            <w:noWrap/>
            <w:tcMar>
              <w:top w:w="15" w:type="dxa"/>
              <w:left w:w="15" w:type="dxa"/>
              <w:bottom w:w="0" w:type="dxa"/>
              <w:right w:w="15" w:type="dxa"/>
            </w:tcMar>
            <w:textDirection w:val="lrTb"/>
            <w:vAlign w:val="bottom"/>
          </w:tcPr>
          <w:p w:rsidR="007078B9" w:rsidRPr="00166D13" w:rsidP="00E05908">
            <w:pPr>
              <w:spacing w:line="240" w:lineRule="auto"/>
              <w:jc w:val="right"/>
              <w:rPr>
                <w:rFonts w:ascii="Arial Narrow" w:hAnsi="Arial Narrow" w:cs="Times New Roman"/>
                <w:b/>
                <w:bCs/>
                <w:sz w:val="22"/>
                <w:szCs w:val="22"/>
              </w:rPr>
            </w:pPr>
            <w:r>
              <w:rPr>
                <w:rFonts w:ascii="Arial Narrow" w:hAnsi="Arial Narrow" w:cs="Times New Roman"/>
                <w:b/>
                <w:bCs/>
                <w:sz w:val="22"/>
                <w:szCs w:val="22"/>
              </w:rPr>
              <w:t>106.084.402,72</w:t>
            </w:r>
          </w:p>
        </w:tc>
        <w:tc>
          <w:tcPr>
            <w:tcW w:w="2160" w:type="dxa"/>
            <w:tcBorders>
              <w:top w:val="single" w:sz="4" w:space="0" w:color="auto"/>
              <w:left w:val="nil"/>
              <w:bottom w:val="single" w:sz="4" w:space="0" w:color="auto"/>
              <w:right w:val="single" w:sz="4" w:space="0" w:color="auto"/>
              <w:tl2br w:val="nil"/>
              <w:tr2bl w:val="nil"/>
            </w:tcBorders>
            <w:noWrap/>
            <w:tcMar>
              <w:top w:w="15" w:type="dxa"/>
              <w:left w:w="15" w:type="dxa"/>
              <w:bottom w:w="0" w:type="dxa"/>
              <w:right w:w="15" w:type="dxa"/>
            </w:tcMar>
            <w:textDirection w:val="lrTb"/>
            <w:vAlign w:val="bottom"/>
          </w:tcPr>
          <w:p w:rsidR="007078B9" w:rsidRPr="00166D13" w:rsidP="00E05908">
            <w:pPr>
              <w:spacing w:line="240" w:lineRule="auto"/>
              <w:jc w:val="right"/>
              <w:rPr>
                <w:rFonts w:ascii="Arial Narrow" w:hAnsi="Arial Narrow" w:cs="Times New Roman"/>
                <w:b/>
                <w:bCs/>
                <w:sz w:val="22"/>
                <w:szCs w:val="22"/>
              </w:rPr>
            </w:pPr>
            <w:r>
              <w:rPr>
                <w:rFonts w:ascii="Arial Narrow" w:hAnsi="Arial Narrow" w:cs="Times New Roman"/>
                <w:b/>
                <w:bCs/>
                <w:sz w:val="22"/>
                <w:szCs w:val="22"/>
              </w:rPr>
              <w:t>477.672.982,59</w:t>
            </w:r>
          </w:p>
        </w:tc>
      </w:tr>
      <w:tr>
        <w:tblPrEx>
          <w:tblW w:w="9015" w:type="dxa"/>
          <w:tblLayout w:type="fixed"/>
          <w:tblCellMar>
            <w:left w:w="0" w:type="dxa"/>
            <w:right w:w="0" w:type="dxa"/>
          </w:tblCellMar>
        </w:tblPrEx>
        <w:trPr>
          <w:trHeight w:val="284"/>
        </w:trPr>
        <w:tc>
          <w:tcPr>
            <w:tcW w:w="3075" w:type="dxa"/>
            <w:tcBorders>
              <w:top w:val="single" w:sz="4" w:space="0" w:color="auto"/>
              <w:left w:val="single" w:sz="4" w:space="0" w:color="auto"/>
              <w:bottom w:val="single" w:sz="4" w:space="0" w:color="auto"/>
              <w:right w:val="single" w:sz="4" w:space="0" w:color="auto"/>
              <w:tl2br w:val="nil"/>
              <w:tr2bl w:val="nil"/>
            </w:tcBorders>
            <w:noWrap/>
            <w:tcMar>
              <w:top w:w="15" w:type="dxa"/>
              <w:left w:w="15" w:type="dxa"/>
              <w:bottom w:w="0" w:type="dxa"/>
              <w:right w:w="15" w:type="dxa"/>
            </w:tcMar>
            <w:textDirection w:val="lrTb"/>
            <w:vAlign w:val="bottom"/>
          </w:tcPr>
          <w:p w:rsidR="007078B9" w:rsidRPr="00166D13" w:rsidP="00E05908">
            <w:pPr>
              <w:spacing w:line="240" w:lineRule="auto"/>
              <w:rPr>
                <w:rFonts w:ascii="Arial Narrow" w:hAnsi="Arial Narrow" w:cs="Times New Roman"/>
                <w:b/>
                <w:bCs/>
                <w:sz w:val="22"/>
                <w:szCs w:val="22"/>
              </w:rPr>
            </w:pPr>
            <w:r>
              <w:rPr>
                <w:rFonts w:ascii="Arial Narrow" w:hAnsi="Arial Narrow" w:cs="Times New Roman"/>
                <w:b/>
                <w:bCs/>
                <w:sz w:val="22"/>
                <w:szCs w:val="22"/>
              </w:rPr>
              <w:t>Dlhodobý finančný majetok</w:t>
            </w:r>
          </w:p>
        </w:tc>
        <w:tc>
          <w:tcPr>
            <w:tcW w:w="1980" w:type="dxa"/>
            <w:tcBorders>
              <w:top w:val="single" w:sz="4" w:space="0" w:color="auto"/>
              <w:left w:val="nil"/>
              <w:bottom w:val="single" w:sz="4" w:space="0" w:color="auto"/>
              <w:right w:val="single" w:sz="4" w:space="0" w:color="auto"/>
              <w:tl2br w:val="nil"/>
              <w:tr2bl w:val="nil"/>
            </w:tcBorders>
            <w:noWrap/>
            <w:tcMar>
              <w:top w:w="15" w:type="dxa"/>
              <w:left w:w="15" w:type="dxa"/>
              <w:bottom w:w="0" w:type="dxa"/>
              <w:right w:w="15" w:type="dxa"/>
            </w:tcMar>
            <w:textDirection w:val="lrTb"/>
            <w:vAlign w:val="bottom"/>
          </w:tcPr>
          <w:p w:rsidR="007078B9" w:rsidRPr="00166D13" w:rsidP="00E05908">
            <w:pPr>
              <w:spacing w:line="240" w:lineRule="auto"/>
              <w:jc w:val="right"/>
              <w:rPr>
                <w:rFonts w:ascii="Arial Narrow" w:hAnsi="Arial Narrow" w:cs="Times New Roman"/>
                <w:b/>
                <w:bCs/>
                <w:sz w:val="22"/>
                <w:szCs w:val="22"/>
              </w:rPr>
            </w:pPr>
            <w:r>
              <w:rPr>
                <w:rFonts w:ascii="Arial Narrow" w:hAnsi="Arial Narrow" w:cs="Times New Roman"/>
                <w:b/>
                <w:bCs/>
                <w:sz w:val="22"/>
                <w:szCs w:val="22"/>
              </w:rPr>
              <w:t>128.047.668.944.35</w:t>
            </w:r>
          </w:p>
        </w:tc>
        <w:tc>
          <w:tcPr>
            <w:tcW w:w="1800" w:type="dxa"/>
            <w:tcBorders>
              <w:top w:val="single" w:sz="4" w:space="0" w:color="auto"/>
              <w:left w:val="nil"/>
              <w:bottom w:val="single" w:sz="4" w:space="0" w:color="auto"/>
              <w:right w:val="single" w:sz="4" w:space="0" w:color="auto"/>
              <w:tl2br w:val="nil"/>
              <w:tr2bl w:val="nil"/>
            </w:tcBorders>
            <w:noWrap/>
            <w:tcMar>
              <w:top w:w="15" w:type="dxa"/>
              <w:left w:w="15" w:type="dxa"/>
              <w:bottom w:w="0" w:type="dxa"/>
              <w:right w:w="15" w:type="dxa"/>
            </w:tcMar>
            <w:textDirection w:val="lrTb"/>
            <w:vAlign w:val="bottom"/>
          </w:tcPr>
          <w:p w:rsidR="007078B9" w:rsidP="00E05908">
            <w:pPr>
              <w:spacing w:line="240" w:lineRule="auto"/>
              <w:jc w:val="right"/>
              <w:rPr>
                <w:rFonts w:ascii="Arial Narrow" w:hAnsi="Arial Narrow" w:cs="Times New Roman"/>
                <w:b/>
                <w:bCs/>
                <w:sz w:val="22"/>
                <w:szCs w:val="22"/>
              </w:rPr>
            </w:pPr>
          </w:p>
        </w:tc>
        <w:tc>
          <w:tcPr>
            <w:tcW w:w="2160" w:type="dxa"/>
            <w:tcBorders>
              <w:top w:val="single" w:sz="4" w:space="0" w:color="auto"/>
              <w:left w:val="nil"/>
              <w:bottom w:val="single" w:sz="4" w:space="0" w:color="auto"/>
              <w:right w:val="single" w:sz="4" w:space="0" w:color="auto"/>
              <w:tl2br w:val="nil"/>
              <w:tr2bl w:val="nil"/>
            </w:tcBorders>
            <w:noWrap/>
            <w:tcMar>
              <w:top w:w="15" w:type="dxa"/>
              <w:left w:w="15" w:type="dxa"/>
              <w:bottom w:w="0" w:type="dxa"/>
              <w:right w:w="15" w:type="dxa"/>
            </w:tcMar>
            <w:textDirection w:val="lrTb"/>
            <w:vAlign w:val="bottom"/>
          </w:tcPr>
          <w:p w:rsidR="007078B9" w:rsidRPr="00166D13" w:rsidP="00E05908">
            <w:pPr>
              <w:spacing w:line="240" w:lineRule="auto"/>
              <w:jc w:val="right"/>
              <w:rPr>
                <w:rFonts w:ascii="Arial Narrow" w:hAnsi="Arial Narrow" w:cs="Times New Roman"/>
                <w:b/>
                <w:bCs/>
                <w:sz w:val="22"/>
                <w:szCs w:val="22"/>
              </w:rPr>
            </w:pPr>
            <w:r>
              <w:rPr>
                <w:rFonts w:ascii="Arial Narrow" w:hAnsi="Arial Narrow" w:cs="Times New Roman"/>
                <w:b/>
                <w:bCs/>
                <w:sz w:val="22"/>
                <w:szCs w:val="22"/>
              </w:rPr>
              <w:t>128.047.668.944,35</w:t>
            </w:r>
          </w:p>
        </w:tc>
      </w:tr>
      <w:tr>
        <w:tblPrEx>
          <w:tblW w:w="9015" w:type="dxa"/>
          <w:tblLayout w:type="fixed"/>
          <w:tblCellMar>
            <w:left w:w="0" w:type="dxa"/>
            <w:right w:w="0" w:type="dxa"/>
          </w:tblCellMar>
        </w:tblPrEx>
        <w:trPr>
          <w:trHeight w:val="284"/>
        </w:trPr>
        <w:tc>
          <w:tcPr>
            <w:tcW w:w="3075" w:type="dxa"/>
            <w:tcBorders>
              <w:top w:val="single" w:sz="4" w:space="0" w:color="auto"/>
              <w:left w:val="single" w:sz="4" w:space="0" w:color="auto"/>
              <w:bottom w:val="single" w:sz="4" w:space="0" w:color="auto"/>
              <w:right w:val="single" w:sz="4" w:space="0" w:color="auto"/>
              <w:tl2br w:val="nil"/>
              <w:tr2bl w:val="nil"/>
            </w:tcBorders>
            <w:noWrap/>
            <w:tcMar>
              <w:top w:w="15" w:type="dxa"/>
              <w:left w:w="15" w:type="dxa"/>
              <w:bottom w:w="0" w:type="dxa"/>
              <w:right w:w="15" w:type="dxa"/>
            </w:tcMar>
            <w:textDirection w:val="lrTb"/>
            <w:vAlign w:val="bottom"/>
          </w:tcPr>
          <w:p w:rsidR="007078B9" w:rsidRPr="00166D13" w:rsidP="00E05908">
            <w:pPr>
              <w:spacing w:line="240" w:lineRule="auto"/>
              <w:rPr>
                <w:rFonts w:ascii="Arial Narrow" w:hAnsi="Arial Narrow" w:cs="Times New Roman"/>
                <w:b/>
                <w:bCs/>
                <w:sz w:val="22"/>
                <w:szCs w:val="22"/>
              </w:rPr>
            </w:pPr>
            <w:r>
              <w:rPr>
                <w:rFonts w:ascii="Arial Narrow" w:hAnsi="Arial Narrow" w:cs="Times New Roman"/>
                <w:b/>
                <w:bCs/>
                <w:sz w:val="22"/>
                <w:szCs w:val="22"/>
              </w:rPr>
              <w:t xml:space="preserve">B. OBEŽNÝ MAJETOK SPOLU: </w:t>
            </w:r>
          </w:p>
        </w:tc>
        <w:tc>
          <w:tcPr>
            <w:tcW w:w="1980" w:type="dxa"/>
            <w:tcBorders>
              <w:top w:val="single" w:sz="4" w:space="0" w:color="auto"/>
              <w:left w:val="nil"/>
              <w:bottom w:val="single" w:sz="4" w:space="0" w:color="auto"/>
              <w:right w:val="single" w:sz="4" w:space="0" w:color="auto"/>
              <w:tl2br w:val="nil"/>
              <w:tr2bl w:val="nil"/>
            </w:tcBorders>
            <w:noWrap/>
            <w:tcMar>
              <w:top w:w="15" w:type="dxa"/>
              <w:left w:w="15" w:type="dxa"/>
              <w:bottom w:w="0" w:type="dxa"/>
              <w:right w:w="15" w:type="dxa"/>
            </w:tcMar>
            <w:textDirection w:val="lrTb"/>
            <w:vAlign w:val="bottom"/>
          </w:tcPr>
          <w:p w:rsidR="007078B9" w:rsidRPr="00166D13" w:rsidP="00E05908">
            <w:pPr>
              <w:spacing w:line="240" w:lineRule="auto"/>
              <w:jc w:val="right"/>
              <w:rPr>
                <w:rFonts w:ascii="Arial Narrow" w:hAnsi="Arial Narrow" w:cs="Times New Roman"/>
                <w:b/>
                <w:bCs/>
                <w:sz w:val="22"/>
                <w:szCs w:val="22"/>
              </w:rPr>
            </w:pPr>
            <w:r>
              <w:rPr>
                <w:rFonts w:ascii="Arial Narrow" w:hAnsi="Arial Narrow" w:cs="Times New Roman"/>
                <w:b/>
                <w:bCs/>
                <w:sz w:val="22"/>
                <w:szCs w:val="22"/>
              </w:rPr>
              <w:t>663.752.321,75</w:t>
            </w:r>
          </w:p>
        </w:tc>
        <w:tc>
          <w:tcPr>
            <w:tcW w:w="1800" w:type="dxa"/>
            <w:tcBorders>
              <w:top w:val="single" w:sz="4" w:space="0" w:color="auto"/>
              <w:left w:val="nil"/>
              <w:bottom w:val="single" w:sz="4" w:space="0" w:color="auto"/>
              <w:right w:val="single" w:sz="4" w:space="0" w:color="auto"/>
              <w:tl2br w:val="nil"/>
              <w:tr2bl w:val="nil"/>
            </w:tcBorders>
            <w:noWrap/>
            <w:tcMar>
              <w:top w:w="15" w:type="dxa"/>
              <w:left w:w="15" w:type="dxa"/>
              <w:bottom w:w="0" w:type="dxa"/>
              <w:right w:w="15" w:type="dxa"/>
            </w:tcMar>
            <w:textDirection w:val="lrTb"/>
            <w:vAlign w:val="bottom"/>
          </w:tcPr>
          <w:p w:rsidR="007078B9" w:rsidP="00E05908">
            <w:pPr>
              <w:spacing w:line="240" w:lineRule="auto"/>
              <w:jc w:val="right"/>
              <w:rPr>
                <w:rFonts w:ascii="Arial Narrow" w:hAnsi="Arial Narrow" w:cs="Times New Roman"/>
                <w:b/>
                <w:bCs/>
                <w:sz w:val="22"/>
                <w:szCs w:val="22"/>
              </w:rPr>
            </w:pPr>
          </w:p>
        </w:tc>
        <w:tc>
          <w:tcPr>
            <w:tcW w:w="2160" w:type="dxa"/>
            <w:tcBorders>
              <w:top w:val="single" w:sz="4" w:space="0" w:color="auto"/>
              <w:left w:val="nil"/>
              <w:bottom w:val="single" w:sz="4" w:space="0" w:color="auto"/>
              <w:right w:val="single" w:sz="4" w:space="0" w:color="auto"/>
              <w:tl2br w:val="nil"/>
              <w:tr2bl w:val="nil"/>
            </w:tcBorders>
            <w:noWrap/>
            <w:tcMar>
              <w:top w:w="15" w:type="dxa"/>
              <w:left w:w="15" w:type="dxa"/>
              <w:bottom w:w="0" w:type="dxa"/>
              <w:right w:w="15" w:type="dxa"/>
            </w:tcMar>
            <w:textDirection w:val="lrTb"/>
            <w:vAlign w:val="bottom"/>
          </w:tcPr>
          <w:p w:rsidR="007078B9" w:rsidRPr="00166D13" w:rsidP="00E05908">
            <w:pPr>
              <w:spacing w:line="240" w:lineRule="auto"/>
              <w:jc w:val="right"/>
              <w:rPr>
                <w:rFonts w:ascii="Arial Narrow" w:hAnsi="Arial Narrow" w:cs="Times New Roman"/>
                <w:b/>
                <w:bCs/>
                <w:sz w:val="22"/>
                <w:szCs w:val="22"/>
              </w:rPr>
            </w:pPr>
            <w:r>
              <w:rPr>
                <w:rFonts w:ascii="Arial Narrow" w:hAnsi="Arial Narrow" w:cs="Times New Roman"/>
                <w:b/>
                <w:bCs/>
                <w:sz w:val="22"/>
                <w:szCs w:val="22"/>
              </w:rPr>
              <w:t>663.752.321,75</w:t>
            </w:r>
          </w:p>
        </w:tc>
      </w:tr>
      <w:tr>
        <w:tblPrEx>
          <w:tblW w:w="9015" w:type="dxa"/>
          <w:tblLayout w:type="fixed"/>
          <w:tblCellMar>
            <w:left w:w="0" w:type="dxa"/>
            <w:right w:w="0" w:type="dxa"/>
          </w:tblCellMar>
        </w:tblPrEx>
        <w:trPr>
          <w:trHeight w:val="284"/>
        </w:trPr>
        <w:tc>
          <w:tcPr>
            <w:tcW w:w="3075" w:type="dxa"/>
            <w:tcBorders>
              <w:top w:val="single" w:sz="4" w:space="0" w:color="auto"/>
              <w:left w:val="single" w:sz="4" w:space="0" w:color="auto"/>
              <w:bottom w:val="single" w:sz="4" w:space="0" w:color="auto"/>
              <w:right w:val="single" w:sz="4" w:space="0" w:color="auto"/>
              <w:tl2br w:val="nil"/>
              <w:tr2bl w:val="nil"/>
            </w:tcBorders>
            <w:noWrap/>
            <w:tcMar>
              <w:top w:w="15" w:type="dxa"/>
              <w:left w:w="15" w:type="dxa"/>
              <w:bottom w:w="0" w:type="dxa"/>
              <w:right w:w="15" w:type="dxa"/>
            </w:tcMar>
            <w:textDirection w:val="lrTb"/>
            <w:vAlign w:val="bottom"/>
          </w:tcPr>
          <w:p w:rsidR="007078B9" w:rsidRPr="00355CED" w:rsidP="00E05908">
            <w:pPr>
              <w:spacing w:line="240" w:lineRule="auto"/>
              <w:rPr>
                <w:rFonts w:ascii="Arial Narrow" w:hAnsi="Arial Narrow" w:cs="Times New Roman"/>
                <w:bCs/>
                <w:sz w:val="22"/>
                <w:szCs w:val="22"/>
              </w:rPr>
            </w:pPr>
            <w:r w:rsidRPr="00355CED">
              <w:rPr>
                <w:rFonts w:ascii="Arial Narrow" w:hAnsi="Arial Narrow" w:cs="Times New Roman"/>
                <w:bCs/>
                <w:sz w:val="22"/>
                <w:szCs w:val="22"/>
              </w:rPr>
              <w:t xml:space="preserve">Zásoby </w:t>
            </w:r>
          </w:p>
        </w:tc>
        <w:tc>
          <w:tcPr>
            <w:tcW w:w="1980" w:type="dxa"/>
            <w:tcBorders>
              <w:top w:val="single" w:sz="4" w:space="0" w:color="auto"/>
              <w:left w:val="nil"/>
              <w:bottom w:val="single" w:sz="4" w:space="0" w:color="auto"/>
              <w:right w:val="single" w:sz="4" w:space="0" w:color="auto"/>
              <w:tl2br w:val="nil"/>
              <w:tr2bl w:val="nil"/>
            </w:tcBorders>
            <w:noWrap/>
            <w:tcMar>
              <w:top w:w="15" w:type="dxa"/>
              <w:left w:w="15" w:type="dxa"/>
              <w:bottom w:w="0" w:type="dxa"/>
              <w:right w:w="15" w:type="dxa"/>
            </w:tcMar>
            <w:textDirection w:val="lrTb"/>
            <w:vAlign w:val="bottom"/>
          </w:tcPr>
          <w:p w:rsidR="007078B9" w:rsidRPr="00355CED" w:rsidP="00E05908">
            <w:pPr>
              <w:spacing w:line="240" w:lineRule="auto"/>
              <w:jc w:val="center"/>
              <w:rPr>
                <w:rFonts w:ascii="Arial Narrow" w:hAnsi="Arial Narrow" w:cs="Times New Roman"/>
                <w:bCs/>
                <w:sz w:val="22"/>
                <w:szCs w:val="22"/>
              </w:rPr>
            </w:pPr>
            <w:r>
              <w:rPr>
                <w:rFonts w:ascii="Arial Narrow" w:hAnsi="Arial Narrow" w:cs="Times New Roman"/>
                <w:bCs/>
                <w:sz w:val="22"/>
                <w:szCs w:val="22"/>
              </w:rPr>
              <w:t>-</w:t>
            </w:r>
          </w:p>
        </w:tc>
        <w:tc>
          <w:tcPr>
            <w:tcW w:w="1800" w:type="dxa"/>
            <w:tcBorders>
              <w:top w:val="single" w:sz="4" w:space="0" w:color="auto"/>
              <w:left w:val="nil"/>
              <w:bottom w:val="single" w:sz="4" w:space="0" w:color="auto"/>
              <w:right w:val="single" w:sz="4" w:space="0" w:color="auto"/>
              <w:tl2br w:val="nil"/>
              <w:tr2bl w:val="nil"/>
            </w:tcBorders>
            <w:noWrap/>
            <w:tcMar>
              <w:top w:w="15" w:type="dxa"/>
              <w:left w:w="15" w:type="dxa"/>
              <w:bottom w:w="0" w:type="dxa"/>
              <w:right w:w="15" w:type="dxa"/>
            </w:tcMar>
            <w:textDirection w:val="lrTb"/>
            <w:vAlign w:val="bottom"/>
          </w:tcPr>
          <w:p w:rsidR="007078B9" w:rsidRPr="00355CED" w:rsidP="00E05908">
            <w:pPr>
              <w:spacing w:line="240" w:lineRule="auto"/>
              <w:jc w:val="center"/>
              <w:rPr>
                <w:rFonts w:ascii="Arial Narrow" w:hAnsi="Arial Narrow" w:cs="Times New Roman"/>
                <w:bCs/>
                <w:sz w:val="22"/>
                <w:szCs w:val="22"/>
              </w:rPr>
            </w:pPr>
            <w:r>
              <w:rPr>
                <w:rFonts w:ascii="Arial Narrow" w:hAnsi="Arial Narrow" w:cs="Times New Roman"/>
                <w:bCs/>
                <w:sz w:val="22"/>
                <w:szCs w:val="22"/>
              </w:rPr>
              <w:t>-</w:t>
            </w:r>
          </w:p>
        </w:tc>
        <w:tc>
          <w:tcPr>
            <w:tcW w:w="2160" w:type="dxa"/>
            <w:tcBorders>
              <w:top w:val="single" w:sz="4" w:space="0" w:color="auto"/>
              <w:left w:val="nil"/>
              <w:bottom w:val="single" w:sz="4" w:space="0" w:color="auto"/>
              <w:right w:val="single" w:sz="4" w:space="0" w:color="auto"/>
              <w:tl2br w:val="nil"/>
              <w:tr2bl w:val="nil"/>
            </w:tcBorders>
            <w:noWrap/>
            <w:tcMar>
              <w:top w:w="15" w:type="dxa"/>
              <w:left w:w="15" w:type="dxa"/>
              <w:bottom w:w="0" w:type="dxa"/>
              <w:right w:w="15" w:type="dxa"/>
            </w:tcMar>
            <w:textDirection w:val="lrTb"/>
            <w:vAlign w:val="bottom"/>
          </w:tcPr>
          <w:p w:rsidR="007078B9" w:rsidRPr="00691B22" w:rsidP="00E05908">
            <w:pPr>
              <w:spacing w:line="240" w:lineRule="auto"/>
              <w:jc w:val="center"/>
              <w:rPr>
                <w:rFonts w:ascii="Arial Narrow" w:hAnsi="Arial Narrow" w:cs="Times New Roman"/>
                <w:bCs/>
                <w:sz w:val="22"/>
                <w:szCs w:val="22"/>
              </w:rPr>
            </w:pPr>
            <w:r>
              <w:rPr>
                <w:rFonts w:ascii="Arial Narrow" w:hAnsi="Arial Narrow" w:cs="Times New Roman"/>
                <w:bCs/>
                <w:sz w:val="22"/>
                <w:szCs w:val="22"/>
              </w:rPr>
              <w:t>-</w:t>
            </w:r>
          </w:p>
        </w:tc>
      </w:tr>
      <w:tr>
        <w:tblPrEx>
          <w:tblW w:w="9015" w:type="dxa"/>
          <w:tblLayout w:type="fixed"/>
          <w:tblCellMar>
            <w:left w:w="0" w:type="dxa"/>
            <w:right w:w="0" w:type="dxa"/>
          </w:tblCellMar>
        </w:tblPrEx>
        <w:trPr>
          <w:trHeight w:val="284"/>
        </w:trPr>
        <w:tc>
          <w:tcPr>
            <w:tcW w:w="3075" w:type="dxa"/>
            <w:tcBorders>
              <w:top w:val="single" w:sz="4" w:space="0" w:color="auto"/>
              <w:left w:val="single" w:sz="4" w:space="0" w:color="auto"/>
              <w:bottom w:val="single" w:sz="4" w:space="0" w:color="auto"/>
              <w:right w:val="single" w:sz="4" w:space="0" w:color="auto"/>
              <w:tl2br w:val="nil"/>
              <w:tr2bl w:val="nil"/>
            </w:tcBorders>
            <w:noWrap/>
            <w:tcMar>
              <w:top w:w="15" w:type="dxa"/>
              <w:left w:w="15" w:type="dxa"/>
              <w:bottom w:w="0" w:type="dxa"/>
              <w:right w:w="15" w:type="dxa"/>
            </w:tcMar>
            <w:textDirection w:val="lrTb"/>
            <w:vAlign w:val="bottom"/>
          </w:tcPr>
          <w:p w:rsidR="007078B9" w:rsidRPr="00355CED" w:rsidP="00E05908">
            <w:pPr>
              <w:spacing w:line="240" w:lineRule="auto"/>
              <w:rPr>
                <w:rFonts w:ascii="Arial Narrow" w:hAnsi="Arial Narrow" w:cs="Times New Roman"/>
                <w:bCs/>
                <w:sz w:val="22"/>
                <w:szCs w:val="22"/>
              </w:rPr>
            </w:pPr>
            <w:r>
              <w:rPr>
                <w:rFonts w:ascii="Arial Narrow" w:hAnsi="Arial Narrow" w:cs="Times New Roman"/>
                <w:bCs/>
                <w:sz w:val="22"/>
                <w:szCs w:val="22"/>
              </w:rPr>
              <w:t>Materiál</w:t>
            </w:r>
          </w:p>
        </w:tc>
        <w:tc>
          <w:tcPr>
            <w:tcW w:w="1980" w:type="dxa"/>
            <w:tcBorders>
              <w:top w:val="single" w:sz="4" w:space="0" w:color="auto"/>
              <w:left w:val="nil"/>
              <w:bottom w:val="single" w:sz="4" w:space="0" w:color="auto"/>
              <w:right w:val="single" w:sz="4" w:space="0" w:color="auto"/>
              <w:tl2br w:val="nil"/>
              <w:tr2bl w:val="nil"/>
            </w:tcBorders>
            <w:noWrap/>
            <w:tcMar>
              <w:top w:w="15" w:type="dxa"/>
              <w:left w:w="15" w:type="dxa"/>
              <w:bottom w:w="0" w:type="dxa"/>
              <w:right w:w="15" w:type="dxa"/>
            </w:tcMar>
            <w:textDirection w:val="lrTb"/>
            <w:vAlign w:val="bottom"/>
          </w:tcPr>
          <w:p w:rsidR="007078B9" w:rsidP="00E05908">
            <w:pPr>
              <w:spacing w:line="240" w:lineRule="auto"/>
              <w:jc w:val="center"/>
              <w:rPr>
                <w:rFonts w:ascii="Arial Narrow" w:hAnsi="Arial Narrow" w:cs="Times New Roman"/>
                <w:bCs/>
                <w:sz w:val="22"/>
                <w:szCs w:val="22"/>
              </w:rPr>
            </w:pPr>
            <w:r>
              <w:rPr>
                <w:rFonts w:ascii="Arial Narrow" w:hAnsi="Arial Narrow" w:cs="Times New Roman"/>
                <w:bCs/>
                <w:sz w:val="22"/>
                <w:szCs w:val="22"/>
              </w:rPr>
              <w:t>-</w:t>
            </w:r>
          </w:p>
        </w:tc>
        <w:tc>
          <w:tcPr>
            <w:tcW w:w="1800" w:type="dxa"/>
            <w:tcBorders>
              <w:top w:val="single" w:sz="4" w:space="0" w:color="auto"/>
              <w:left w:val="nil"/>
              <w:bottom w:val="single" w:sz="4" w:space="0" w:color="auto"/>
              <w:right w:val="single" w:sz="4" w:space="0" w:color="auto"/>
              <w:tl2br w:val="nil"/>
              <w:tr2bl w:val="nil"/>
            </w:tcBorders>
            <w:noWrap/>
            <w:tcMar>
              <w:top w:w="15" w:type="dxa"/>
              <w:left w:w="15" w:type="dxa"/>
              <w:bottom w:w="0" w:type="dxa"/>
              <w:right w:w="15" w:type="dxa"/>
            </w:tcMar>
            <w:textDirection w:val="lrTb"/>
            <w:vAlign w:val="bottom"/>
          </w:tcPr>
          <w:p w:rsidR="007078B9" w:rsidP="00E05908">
            <w:pPr>
              <w:spacing w:line="240" w:lineRule="auto"/>
              <w:jc w:val="center"/>
              <w:rPr>
                <w:rFonts w:ascii="Arial Narrow" w:hAnsi="Arial Narrow" w:cs="Times New Roman"/>
                <w:bCs/>
                <w:sz w:val="22"/>
                <w:szCs w:val="22"/>
              </w:rPr>
            </w:pPr>
            <w:r>
              <w:rPr>
                <w:rFonts w:ascii="Arial Narrow" w:hAnsi="Arial Narrow" w:cs="Times New Roman"/>
                <w:bCs/>
                <w:sz w:val="22"/>
                <w:szCs w:val="22"/>
              </w:rPr>
              <w:t>-</w:t>
            </w:r>
          </w:p>
        </w:tc>
        <w:tc>
          <w:tcPr>
            <w:tcW w:w="2160" w:type="dxa"/>
            <w:tcBorders>
              <w:top w:val="single" w:sz="4" w:space="0" w:color="auto"/>
              <w:left w:val="nil"/>
              <w:bottom w:val="single" w:sz="4" w:space="0" w:color="auto"/>
              <w:right w:val="single" w:sz="4" w:space="0" w:color="auto"/>
              <w:tl2br w:val="nil"/>
              <w:tr2bl w:val="nil"/>
            </w:tcBorders>
            <w:noWrap/>
            <w:tcMar>
              <w:top w:w="15" w:type="dxa"/>
              <w:left w:w="15" w:type="dxa"/>
              <w:bottom w:w="0" w:type="dxa"/>
              <w:right w:w="15" w:type="dxa"/>
            </w:tcMar>
            <w:textDirection w:val="lrTb"/>
            <w:vAlign w:val="bottom"/>
          </w:tcPr>
          <w:p w:rsidR="007078B9" w:rsidP="00E05908">
            <w:pPr>
              <w:spacing w:line="240" w:lineRule="auto"/>
              <w:jc w:val="center"/>
              <w:rPr>
                <w:rFonts w:ascii="Arial Narrow" w:hAnsi="Arial Narrow" w:cs="Times New Roman"/>
                <w:bCs/>
                <w:sz w:val="22"/>
                <w:szCs w:val="22"/>
              </w:rPr>
            </w:pPr>
            <w:r>
              <w:rPr>
                <w:rFonts w:ascii="Arial Narrow" w:hAnsi="Arial Narrow" w:cs="Times New Roman"/>
                <w:bCs/>
                <w:sz w:val="22"/>
                <w:szCs w:val="22"/>
              </w:rPr>
              <w:t>-</w:t>
            </w:r>
          </w:p>
        </w:tc>
      </w:tr>
      <w:tr>
        <w:tblPrEx>
          <w:tblW w:w="9015" w:type="dxa"/>
          <w:tblLayout w:type="fixed"/>
          <w:tblCellMar>
            <w:left w:w="0" w:type="dxa"/>
            <w:right w:w="0" w:type="dxa"/>
          </w:tblCellMar>
        </w:tblPrEx>
        <w:trPr>
          <w:trHeight w:val="284"/>
        </w:trPr>
        <w:tc>
          <w:tcPr>
            <w:tcW w:w="3075" w:type="dxa"/>
            <w:tcBorders>
              <w:top w:val="single" w:sz="4" w:space="0" w:color="auto"/>
              <w:left w:val="single" w:sz="4" w:space="0" w:color="auto"/>
              <w:bottom w:val="single" w:sz="4" w:space="0" w:color="auto"/>
              <w:right w:val="single" w:sz="4" w:space="0" w:color="auto"/>
              <w:tl2br w:val="nil"/>
              <w:tr2bl w:val="nil"/>
            </w:tcBorders>
            <w:noWrap/>
            <w:tcMar>
              <w:top w:w="15" w:type="dxa"/>
              <w:left w:w="15" w:type="dxa"/>
              <w:bottom w:w="0" w:type="dxa"/>
              <w:right w:w="15" w:type="dxa"/>
            </w:tcMar>
            <w:textDirection w:val="lrTb"/>
            <w:vAlign w:val="bottom"/>
          </w:tcPr>
          <w:p w:rsidR="007078B9" w:rsidRPr="00355CED" w:rsidP="00E05908">
            <w:pPr>
              <w:spacing w:line="240" w:lineRule="auto"/>
              <w:rPr>
                <w:rFonts w:ascii="Arial Narrow" w:hAnsi="Arial Narrow" w:cs="Times New Roman"/>
                <w:bCs/>
                <w:sz w:val="22"/>
                <w:szCs w:val="22"/>
              </w:rPr>
            </w:pPr>
            <w:r>
              <w:rPr>
                <w:rFonts w:ascii="Arial Narrow" w:hAnsi="Arial Narrow" w:cs="Times New Roman"/>
                <w:bCs/>
                <w:sz w:val="22"/>
                <w:szCs w:val="22"/>
              </w:rPr>
              <w:t>Zvieratá</w:t>
            </w:r>
          </w:p>
        </w:tc>
        <w:tc>
          <w:tcPr>
            <w:tcW w:w="1980" w:type="dxa"/>
            <w:tcBorders>
              <w:top w:val="single" w:sz="4" w:space="0" w:color="auto"/>
              <w:left w:val="nil"/>
              <w:bottom w:val="single" w:sz="4" w:space="0" w:color="auto"/>
              <w:right w:val="single" w:sz="4" w:space="0" w:color="auto"/>
              <w:tl2br w:val="nil"/>
              <w:tr2bl w:val="nil"/>
            </w:tcBorders>
            <w:noWrap/>
            <w:tcMar>
              <w:top w:w="15" w:type="dxa"/>
              <w:left w:w="15" w:type="dxa"/>
              <w:bottom w:w="0" w:type="dxa"/>
              <w:right w:w="15" w:type="dxa"/>
            </w:tcMar>
            <w:textDirection w:val="lrTb"/>
            <w:vAlign w:val="bottom"/>
          </w:tcPr>
          <w:p w:rsidR="007078B9" w:rsidP="00E05908">
            <w:pPr>
              <w:spacing w:line="240" w:lineRule="auto"/>
              <w:jc w:val="center"/>
              <w:rPr>
                <w:rFonts w:ascii="Arial Narrow" w:hAnsi="Arial Narrow" w:cs="Times New Roman"/>
                <w:bCs/>
                <w:sz w:val="22"/>
                <w:szCs w:val="22"/>
              </w:rPr>
            </w:pPr>
            <w:r>
              <w:rPr>
                <w:rFonts w:ascii="Arial Narrow" w:hAnsi="Arial Narrow" w:cs="Times New Roman"/>
                <w:bCs/>
                <w:sz w:val="22"/>
                <w:szCs w:val="22"/>
              </w:rPr>
              <w:t>-</w:t>
            </w:r>
          </w:p>
        </w:tc>
        <w:tc>
          <w:tcPr>
            <w:tcW w:w="1800" w:type="dxa"/>
            <w:tcBorders>
              <w:top w:val="single" w:sz="4" w:space="0" w:color="auto"/>
              <w:left w:val="nil"/>
              <w:bottom w:val="single" w:sz="4" w:space="0" w:color="auto"/>
              <w:right w:val="single" w:sz="4" w:space="0" w:color="auto"/>
              <w:tl2br w:val="nil"/>
              <w:tr2bl w:val="nil"/>
            </w:tcBorders>
            <w:noWrap/>
            <w:tcMar>
              <w:top w:w="15" w:type="dxa"/>
              <w:left w:w="15" w:type="dxa"/>
              <w:bottom w:w="0" w:type="dxa"/>
              <w:right w:w="15" w:type="dxa"/>
            </w:tcMar>
            <w:textDirection w:val="lrTb"/>
            <w:vAlign w:val="bottom"/>
          </w:tcPr>
          <w:p w:rsidR="007078B9" w:rsidP="00E05908">
            <w:pPr>
              <w:spacing w:line="240" w:lineRule="auto"/>
              <w:jc w:val="center"/>
              <w:rPr>
                <w:rFonts w:ascii="Arial Narrow" w:hAnsi="Arial Narrow" w:cs="Times New Roman"/>
                <w:bCs/>
                <w:sz w:val="22"/>
                <w:szCs w:val="22"/>
              </w:rPr>
            </w:pPr>
            <w:r>
              <w:rPr>
                <w:rFonts w:ascii="Arial Narrow" w:hAnsi="Arial Narrow" w:cs="Times New Roman"/>
                <w:bCs/>
                <w:sz w:val="22"/>
                <w:szCs w:val="22"/>
              </w:rPr>
              <w:t>-</w:t>
            </w:r>
          </w:p>
        </w:tc>
        <w:tc>
          <w:tcPr>
            <w:tcW w:w="2160" w:type="dxa"/>
            <w:tcBorders>
              <w:top w:val="single" w:sz="4" w:space="0" w:color="auto"/>
              <w:left w:val="nil"/>
              <w:bottom w:val="single" w:sz="4" w:space="0" w:color="auto"/>
              <w:right w:val="single" w:sz="4" w:space="0" w:color="auto"/>
              <w:tl2br w:val="nil"/>
              <w:tr2bl w:val="nil"/>
            </w:tcBorders>
            <w:noWrap/>
            <w:tcMar>
              <w:top w:w="15" w:type="dxa"/>
              <w:left w:w="15" w:type="dxa"/>
              <w:bottom w:w="0" w:type="dxa"/>
              <w:right w:w="15" w:type="dxa"/>
            </w:tcMar>
            <w:textDirection w:val="lrTb"/>
            <w:vAlign w:val="bottom"/>
          </w:tcPr>
          <w:p w:rsidR="007078B9" w:rsidP="00E05908">
            <w:pPr>
              <w:spacing w:line="240" w:lineRule="auto"/>
              <w:jc w:val="center"/>
              <w:rPr>
                <w:rFonts w:ascii="Arial Narrow" w:hAnsi="Arial Narrow" w:cs="Times New Roman"/>
                <w:bCs/>
                <w:sz w:val="22"/>
                <w:szCs w:val="22"/>
              </w:rPr>
            </w:pPr>
            <w:r>
              <w:rPr>
                <w:rFonts w:ascii="Arial Narrow" w:hAnsi="Arial Narrow" w:cs="Times New Roman"/>
                <w:bCs/>
                <w:sz w:val="22"/>
                <w:szCs w:val="22"/>
              </w:rPr>
              <w:t>-</w:t>
            </w:r>
          </w:p>
        </w:tc>
      </w:tr>
      <w:tr>
        <w:tblPrEx>
          <w:tblW w:w="9015" w:type="dxa"/>
          <w:tblLayout w:type="fixed"/>
          <w:tblCellMar>
            <w:left w:w="0" w:type="dxa"/>
            <w:right w:w="0" w:type="dxa"/>
          </w:tblCellMar>
        </w:tblPrEx>
        <w:trPr>
          <w:trHeight w:val="284"/>
        </w:trPr>
        <w:tc>
          <w:tcPr>
            <w:tcW w:w="3075" w:type="dxa"/>
            <w:tcBorders>
              <w:top w:val="single" w:sz="4" w:space="0" w:color="auto"/>
              <w:left w:val="single" w:sz="4" w:space="0" w:color="auto"/>
              <w:bottom w:val="single" w:sz="4" w:space="0" w:color="auto"/>
              <w:right w:val="single" w:sz="4" w:space="0" w:color="auto"/>
              <w:tl2br w:val="nil"/>
              <w:tr2bl w:val="nil"/>
            </w:tcBorders>
            <w:noWrap/>
            <w:tcMar>
              <w:top w:w="15" w:type="dxa"/>
              <w:left w:w="15" w:type="dxa"/>
              <w:bottom w:w="0" w:type="dxa"/>
              <w:right w:w="15" w:type="dxa"/>
            </w:tcMar>
            <w:textDirection w:val="lrTb"/>
            <w:vAlign w:val="bottom"/>
          </w:tcPr>
          <w:p w:rsidR="007078B9" w:rsidRPr="00355CED" w:rsidP="00E05908">
            <w:pPr>
              <w:spacing w:line="240" w:lineRule="auto"/>
              <w:rPr>
                <w:rFonts w:ascii="Arial Narrow" w:hAnsi="Arial Narrow" w:cs="Times New Roman"/>
                <w:bCs/>
                <w:sz w:val="22"/>
                <w:szCs w:val="22"/>
              </w:rPr>
            </w:pPr>
            <w:r w:rsidRPr="00355CED">
              <w:rPr>
                <w:rFonts w:ascii="Arial Narrow" w:hAnsi="Arial Narrow" w:cs="Times New Roman"/>
                <w:bCs/>
                <w:sz w:val="22"/>
                <w:szCs w:val="22"/>
              </w:rPr>
              <w:t xml:space="preserve">Pohľadávky </w:t>
            </w:r>
          </w:p>
        </w:tc>
        <w:tc>
          <w:tcPr>
            <w:tcW w:w="1980" w:type="dxa"/>
            <w:tcBorders>
              <w:top w:val="single" w:sz="4" w:space="0" w:color="auto"/>
              <w:left w:val="nil"/>
              <w:bottom w:val="single" w:sz="4" w:space="0" w:color="auto"/>
              <w:right w:val="single" w:sz="4" w:space="0" w:color="auto"/>
              <w:tl2br w:val="nil"/>
              <w:tr2bl w:val="nil"/>
            </w:tcBorders>
            <w:noWrap/>
            <w:tcMar>
              <w:top w:w="15" w:type="dxa"/>
              <w:left w:w="15" w:type="dxa"/>
              <w:bottom w:w="0" w:type="dxa"/>
              <w:right w:w="15" w:type="dxa"/>
            </w:tcMar>
            <w:textDirection w:val="lrTb"/>
            <w:vAlign w:val="bottom"/>
          </w:tcPr>
          <w:p w:rsidR="007078B9" w:rsidRPr="00691B22" w:rsidP="00E05908">
            <w:pPr>
              <w:spacing w:line="240" w:lineRule="auto"/>
              <w:jc w:val="right"/>
              <w:rPr>
                <w:rFonts w:ascii="Arial Narrow" w:hAnsi="Arial Narrow" w:cs="Times New Roman"/>
                <w:bCs/>
                <w:sz w:val="22"/>
                <w:szCs w:val="22"/>
              </w:rPr>
            </w:pPr>
            <w:r>
              <w:rPr>
                <w:rFonts w:ascii="Arial Narrow" w:hAnsi="Arial Narrow" w:cs="Times New Roman"/>
                <w:bCs/>
                <w:sz w:val="22"/>
                <w:szCs w:val="22"/>
              </w:rPr>
              <w:t>269.134.983,21</w:t>
            </w:r>
          </w:p>
        </w:tc>
        <w:tc>
          <w:tcPr>
            <w:tcW w:w="1800" w:type="dxa"/>
            <w:tcBorders>
              <w:top w:val="single" w:sz="4" w:space="0" w:color="auto"/>
              <w:left w:val="nil"/>
              <w:bottom w:val="single" w:sz="4" w:space="0" w:color="auto"/>
              <w:right w:val="single" w:sz="4" w:space="0" w:color="auto"/>
              <w:tl2br w:val="nil"/>
              <w:tr2bl w:val="nil"/>
            </w:tcBorders>
            <w:noWrap/>
            <w:tcMar>
              <w:top w:w="15" w:type="dxa"/>
              <w:left w:w="15" w:type="dxa"/>
              <w:bottom w:w="0" w:type="dxa"/>
              <w:right w:w="15" w:type="dxa"/>
            </w:tcMar>
            <w:textDirection w:val="lrTb"/>
            <w:vAlign w:val="bottom"/>
          </w:tcPr>
          <w:p w:rsidR="007078B9" w:rsidRPr="00691B22" w:rsidP="00E05908">
            <w:pPr>
              <w:spacing w:line="240" w:lineRule="auto"/>
              <w:jc w:val="right"/>
              <w:rPr>
                <w:rFonts w:ascii="Arial Narrow" w:hAnsi="Arial Narrow" w:cs="Times New Roman"/>
                <w:bCs/>
                <w:sz w:val="22"/>
                <w:szCs w:val="22"/>
              </w:rPr>
            </w:pPr>
          </w:p>
        </w:tc>
        <w:tc>
          <w:tcPr>
            <w:tcW w:w="2160" w:type="dxa"/>
            <w:tcBorders>
              <w:top w:val="single" w:sz="4" w:space="0" w:color="auto"/>
              <w:left w:val="nil"/>
              <w:bottom w:val="single" w:sz="4" w:space="0" w:color="auto"/>
              <w:right w:val="single" w:sz="4" w:space="0" w:color="auto"/>
              <w:tl2br w:val="nil"/>
              <w:tr2bl w:val="nil"/>
            </w:tcBorders>
            <w:noWrap/>
            <w:tcMar>
              <w:top w:w="15" w:type="dxa"/>
              <w:left w:w="15" w:type="dxa"/>
              <w:bottom w:w="0" w:type="dxa"/>
              <w:right w:w="15" w:type="dxa"/>
            </w:tcMar>
            <w:textDirection w:val="lrTb"/>
            <w:vAlign w:val="bottom"/>
          </w:tcPr>
          <w:p w:rsidR="007078B9" w:rsidRPr="007621FD" w:rsidP="00E05908">
            <w:pPr>
              <w:spacing w:line="240" w:lineRule="auto"/>
              <w:jc w:val="right"/>
              <w:rPr>
                <w:rFonts w:ascii="Arial Narrow" w:hAnsi="Arial Narrow" w:cs="Times New Roman"/>
                <w:bCs/>
                <w:sz w:val="22"/>
                <w:szCs w:val="22"/>
              </w:rPr>
            </w:pPr>
            <w:r>
              <w:rPr>
                <w:rFonts w:ascii="Arial Narrow" w:hAnsi="Arial Narrow" w:cs="Times New Roman"/>
                <w:bCs/>
                <w:sz w:val="22"/>
                <w:szCs w:val="22"/>
              </w:rPr>
              <w:t>269.134.983,21</w:t>
            </w:r>
          </w:p>
        </w:tc>
      </w:tr>
      <w:tr>
        <w:tblPrEx>
          <w:tblW w:w="9015" w:type="dxa"/>
          <w:tblLayout w:type="fixed"/>
          <w:tblCellMar>
            <w:left w:w="0" w:type="dxa"/>
            <w:right w:w="0" w:type="dxa"/>
          </w:tblCellMar>
        </w:tblPrEx>
        <w:trPr>
          <w:trHeight w:val="284"/>
        </w:trPr>
        <w:tc>
          <w:tcPr>
            <w:tcW w:w="3075" w:type="dxa"/>
            <w:tcBorders>
              <w:top w:val="single" w:sz="4" w:space="0" w:color="auto"/>
              <w:left w:val="single" w:sz="4" w:space="0" w:color="auto"/>
              <w:bottom w:val="single" w:sz="4" w:space="0" w:color="auto"/>
              <w:right w:val="single" w:sz="4" w:space="0" w:color="auto"/>
              <w:tl2br w:val="nil"/>
              <w:tr2bl w:val="nil"/>
            </w:tcBorders>
            <w:noWrap/>
            <w:tcMar>
              <w:top w:w="15" w:type="dxa"/>
              <w:left w:w="15" w:type="dxa"/>
              <w:bottom w:w="0" w:type="dxa"/>
              <w:right w:w="15" w:type="dxa"/>
            </w:tcMar>
            <w:textDirection w:val="lrTb"/>
            <w:vAlign w:val="bottom"/>
          </w:tcPr>
          <w:p w:rsidR="007078B9" w:rsidRPr="00691B22" w:rsidP="00E05908">
            <w:pPr>
              <w:spacing w:line="240" w:lineRule="auto"/>
              <w:rPr>
                <w:rFonts w:ascii="Arial Narrow" w:hAnsi="Arial Narrow" w:cs="Times New Roman"/>
                <w:bCs/>
                <w:sz w:val="22"/>
                <w:szCs w:val="22"/>
              </w:rPr>
            </w:pPr>
            <w:r w:rsidRPr="00691B22">
              <w:rPr>
                <w:rFonts w:ascii="Arial Narrow" w:hAnsi="Arial Narrow" w:cs="Times New Roman"/>
                <w:bCs/>
                <w:sz w:val="22"/>
                <w:szCs w:val="22"/>
              </w:rPr>
              <w:t>Finančný majetok</w:t>
            </w:r>
          </w:p>
        </w:tc>
        <w:tc>
          <w:tcPr>
            <w:tcW w:w="1980" w:type="dxa"/>
            <w:tcBorders>
              <w:top w:val="single" w:sz="4" w:space="0" w:color="auto"/>
              <w:left w:val="nil"/>
              <w:bottom w:val="single" w:sz="4" w:space="0" w:color="auto"/>
              <w:right w:val="single" w:sz="4" w:space="0" w:color="auto"/>
              <w:tl2br w:val="nil"/>
              <w:tr2bl w:val="nil"/>
            </w:tcBorders>
            <w:noWrap/>
            <w:tcMar>
              <w:top w:w="15" w:type="dxa"/>
              <w:left w:w="15" w:type="dxa"/>
              <w:bottom w:w="0" w:type="dxa"/>
              <w:right w:w="15" w:type="dxa"/>
            </w:tcMar>
            <w:textDirection w:val="lrTb"/>
            <w:vAlign w:val="bottom"/>
          </w:tcPr>
          <w:p w:rsidR="007078B9" w:rsidRPr="00691B22" w:rsidP="00E05908">
            <w:pPr>
              <w:spacing w:line="240" w:lineRule="auto"/>
              <w:jc w:val="right"/>
              <w:rPr>
                <w:rFonts w:ascii="Arial Narrow" w:hAnsi="Arial Narrow" w:cs="Times New Roman"/>
                <w:bCs/>
                <w:sz w:val="22"/>
                <w:szCs w:val="22"/>
              </w:rPr>
            </w:pPr>
            <w:r>
              <w:rPr>
                <w:rFonts w:ascii="Arial Narrow" w:hAnsi="Arial Narrow" w:cs="Times New Roman"/>
                <w:bCs/>
                <w:sz w:val="22"/>
                <w:szCs w:val="22"/>
              </w:rPr>
              <w:t>394.617.338,54</w:t>
            </w:r>
          </w:p>
        </w:tc>
        <w:tc>
          <w:tcPr>
            <w:tcW w:w="1800" w:type="dxa"/>
            <w:tcBorders>
              <w:top w:val="single" w:sz="4" w:space="0" w:color="auto"/>
              <w:left w:val="nil"/>
              <w:bottom w:val="single" w:sz="4" w:space="0" w:color="auto"/>
              <w:right w:val="single" w:sz="4" w:space="0" w:color="auto"/>
              <w:tl2br w:val="nil"/>
              <w:tr2bl w:val="nil"/>
            </w:tcBorders>
            <w:noWrap/>
            <w:tcMar>
              <w:top w:w="15" w:type="dxa"/>
              <w:left w:w="15" w:type="dxa"/>
              <w:bottom w:w="0" w:type="dxa"/>
              <w:right w:w="15" w:type="dxa"/>
            </w:tcMar>
            <w:textDirection w:val="lrTb"/>
            <w:vAlign w:val="bottom"/>
          </w:tcPr>
          <w:p w:rsidR="007078B9" w:rsidRPr="00691B22" w:rsidP="00E05908">
            <w:pPr>
              <w:spacing w:line="240" w:lineRule="auto"/>
              <w:jc w:val="right"/>
              <w:rPr>
                <w:rFonts w:ascii="Arial Narrow" w:hAnsi="Arial Narrow" w:cs="Times New Roman"/>
                <w:bCs/>
                <w:sz w:val="22"/>
                <w:szCs w:val="22"/>
              </w:rPr>
            </w:pPr>
          </w:p>
        </w:tc>
        <w:tc>
          <w:tcPr>
            <w:tcW w:w="2160" w:type="dxa"/>
            <w:tcBorders>
              <w:top w:val="single" w:sz="4" w:space="0" w:color="auto"/>
              <w:left w:val="nil"/>
              <w:bottom w:val="single" w:sz="4" w:space="0" w:color="auto"/>
              <w:right w:val="single" w:sz="4" w:space="0" w:color="auto"/>
              <w:tl2br w:val="nil"/>
              <w:tr2bl w:val="nil"/>
            </w:tcBorders>
            <w:noWrap/>
            <w:tcMar>
              <w:top w:w="15" w:type="dxa"/>
              <w:left w:w="15" w:type="dxa"/>
              <w:bottom w:w="0" w:type="dxa"/>
              <w:right w:w="15" w:type="dxa"/>
            </w:tcMar>
            <w:textDirection w:val="lrTb"/>
            <w:vAlign w:val="bottom"/>
          </w:tcPr>
          <w:p w:rsidR="007078B9" w:rsidRPr="00691B22" w:rsidP="00E05908">
            <w:pPr>
              <w:spacing w:line="240" w:lineRule="auto"/>
              <w:jc w:val="right"/>
              <w:rPr>
                <w:rFonts w:ascii="Arial Narrow" w:hAnsi="Arial Narrow" w:cs="Times New Roman"/>
                <w:bCs/>
                <w:sz w:val="22"/>
                <w:szCs w:val="22"/>
              </w:rPr>
            </w:pPr>
            <w:r>
              <w:rPr>
                <w:rFonts w:ascii="Arial Narrow" w:hAnsi="Arial Narrow" w:cs="Times New Roman"/>
                <w:bCs/>
                <w:sz w:val="22"/>
                <w:szCs w:val="22"/>
              </w:rPr>
              <w:t>394.617.338,54</w:t>
            </w:r>
          </w:p>
        </w:tc>
      </w:tr>
      <w:tr>
        <w:tblPrEx>
          <w:tblW w:w="9015" w:type="dxa"/>
          <w:tblLayout w:type="fixed"/>
          <w:tblCellMar>
            <w:left w:w="0" w:type="dxa"/>
            <w:right w:w="0" w:type="dxa"/>
          </w:tblCellMar>
        </w:tblPrEx>
        <w:trPr>
          <w:trHeight w:val="284"/>
        </w:trPr>
        <w:tc>
          <w:tcPr>
            <w:tcW w:w="3075" w:type="dxa"/>
            <w:tcBorders>
              <w:top w:val="single" w:sz="4" w:space="0" w:color="auto"/>
              <w:left w:val="single" w:sz="4" w:space="0" w:color="auto"/>
              <w:bottom w:val="single" w:sz="4" w:space="0" w:color="auto"/>
              <w:right w:val="single" w:sz="4" w:space="0" w:color="auto"/>
              <w:tl2br w:val="nil"/>
              <w:tr2bl w:val="nil"/>
            </w:tcBorders>
            <w:shd w:val="clear" w:color="auto" w:fill="C0C0C0"/>
            <w:noWrap/>
            <w:tcMar>
              <w:top w:w="15" w:type="dxa"/>
              <w:left w:w="15" w:type="dxa"/>
              <w:bottom w:w="0" w:type="dxa"/>
              <w:right w:w="15" w:type="dxa"/>
            </w:tcMar>
            <w:textDirection w:val="lrTb"/>
            <w:vAlign w:val="bottom"/>
          </w:tcPr>
          <w:p w:rsidR="007078B9" w:rsidRPr="00691B22" w:rsidP="00E05908">
            <w:pPr>
              <w:spacing w:line="240" w:lineRule="auto"/>
              <w:rPr>
                <w:rFonts w:ascii="Arial Narrow" w:hAnsi="Arial Narrow" w:cs="Times New Roman"/>
                <w:b/>
                <w:bCs/>
                <w:sz w:val="22"/>
                <w:szCs w:val="22"/>
              </w:rPr>
            </w:pPr>
            <w:r w:rsidRPr="00691B22">
              <w:rPr>
                <w:rFonts w:ascii="Arial Narrow" w:hAnsi="Arial Narrow" w:cs="Times New Roman"/>
                <w:b/>
                <w:bCs/>
                <w:sz w:val="22"/>
                <w:szCs w:val="22"/>
              </w:rPr>
              <w:t xml:space="preserve">MAJETOK SPOLU: </w:t>
            </w:r>
          </w:p>
        </w:tc>
        <w:tc>
          <w:tcPr>
            <w:tcW w:w="1980" w:type="dxa"/>
            <w:tcBorders>
              <w:top w:val="single" w:sz="4" w:space="0" w:color="auto"/>
              <w:left w:val="nil"/>
              <w:bottom w:val="single" w:sz="4" w:space="0" w:color="auto"/>
              <w:right w:val="single" w:sz="4" w:space="0" w:color="auto"/>
              <w:tl2br w:val="nil"/>
              <w:tr2bl w:val="nil"/>
            </w:tcBorders>
            <w:shd w:val="clear" w:color="auto" w:fill="C0C0C0"/>
            <w:noWrap/>
            <w:tcMar>
              <w:top w:w="15" w:type="dxa"/>
              <w:left w:w="15" w:type="dxa"/>
              <w:bottom w:w="0" w:type="dxa"/>
              <w:right w:w="15" w:type="dxa"/>
            </w:tcMar>
            <w:textDirection w:val="lrTb"/>
            <w:vAlign w:val="bottom"/>
          </w:tcPr>
          <w:p w:rsidR="007078B9" w:rsidRPr="00691B22" w:rsidP="00E05908">
            <w:pPr>
              <w:spacing w:line="240" w:lineRule="auto"/>
              <w:jc w:val="right"/>
              <w:rPr>
                <w:rFonts w:ascii="Arial Narrow" w:hAnsi="Arial Narrow" w:cs="Times New Roman"/>
                <w:b/>
                <w:bCs/>
                <w:sz w:val="22"/>
                <w:szCs w:val="22"/>
              </w:rPr>
            </w:pPr>
            <w:r>
              <w:rPr>
                <w:rFonts w:ascii="Arial Narrow" w:hAnsi="Arial Narrow" w:cs="Times New Roman"/>
                <w:b/>
                <w:bCs/>
                <w:sz w:val="22"/>
                <w:szCs w:val="22"/>
              </w:rPr>
              <w:t>129.327.906.157,11</w:t>
            </w:r>
          </w:p>
        </w:tc>
        <w:tc>
          <w:tcPr>
            <w:tcW w:w="1800" w:type="dxa"/>
            <w:tcBorders>
              <w:top w:val="single" w:sz="4" w:space="0" w:color="auto"/>
              <w:left w:val="nil"/>
              <w:bottom w:val="single" w:sz="4" w:space="0" w:color="auto"/>
              <w:right w:val="single" w:sz="4" w:space="0" w:color="auto"/>
              <w:tl2br w:val="nil"/>
              <w:tr2bl w:val="nil"/>
            </w:tcBorders>
            <w:shd w:val="clear" w:color="auto" w:fill="C0C0C0"/>
            <w:noWrap/>
            <w:tcMar>
              <w:top w:w="15" w:type="dxa"/>
              <w:left w:w="15" w:type="dxa"/>
              <w:bottom w:w="0" w:type="dxa"/>
              <w:right w:w="15" w:type="dxa"/>
            </w:tcMar>
            <w:textDirection w:val="lrTb"/>
            <w:vAlign w:val="bottom"/>
          </w:tcPr>
          <w:p w:rsidR="007078B9" w:rsidRPr="00691B22" w:rsidP="00E05908">
            <w:pPr>
              <w:spacing w:line="240" w:lineRule="auto"/>
              <w:jc w:val="right"/>
              <w:rPr>
                <w:rFonts w:ascii="Arial Narrow" w:hAnsi="Arial Narrow" w:cs="Times New Roman"/>
                <w:b/>
                <w:bCs/>
                <w:sz w:val="22"/>
                <w:szCs w:val="22"/>
              </w:rPr>
            </w:pPr>
            <w:r>
              <w:rPr>
                <w:rFonts w:ascii="Arial Narrow" w:hAnsi="Arial Narrow" w:cs="Times New Roman"/>
                <w:b/>
                <w:bCs/>
                <w:sz w:val="22"/>
                <w:szCs w:val="22"/>
              </w:rPr>
              <w:t>142.455.853,48</w:t>
            </w:r>
          </w:p>
        </w:tc>
        <w:tc>
          <w:tcPr>
            <w:tcW w:w="2160" w:type="dxa"/>
            <w:tcBorders>
              <w:top w:val="single" w:sz="4" w:space="0" w:color="auto"/>
              <w:left w:val="nil"/>
              <w:bottom w:val="single" w:sz="4" w:space="0" w:color="auto"/>
              <w:right w:val="single" w:sz="4" w:space="0" w:color="auto"/>
              <w:tl2br w:val="nil"/>
              <w:tr2bl w:val="nil"/>
            </w:tcBorders>
            <w:shd w:val="clear" w:color="auto" w:fill="C0C0C0"/>
            <w:noWrap/>
            <w:tcMar>
              <w:top w:w="15" w:type="dxa"/>
              <w:left w:w="15" w:type="dxa"/>
              <w:bottom w:w="0" w:type="dxa"/>
              <w:right w:w="15" w:type="dxa"/>
            </w:tcMar>
            <w:textDirection w:val="lrTb"/>
            <w:vAlign w:val="bottom"/>
          </w:tcPr>
          <w:p w:rsidR="007078B9" w:rsidRPr="00691B22" w:rsidP="00E05908">
            <w:pPr>
              <w:spacing w:line="240" w:lineRule="auto"/>
              <w:jc w:val="right"/>
              <w:rPr>
                <w:rFonts w:ascii="Arial Narrow" w:hAnsi="Arial Narrow" w:cs="Times New Roman"/>
                <w:b/>
                <w:bCs/>
                <w:sz w:val="22"/>
                <w:szCs w:val="22"/>
              </w:rPr>
            </w:pPr>
            <w:r>
              <w:rPr>
                <w:rFonts w:ascii="Arial Narrow" w:hAnsi="Arial Narrow" w:cs="Times New Roman"/>
                <w:b/>
                <w:bCs/>
                <w:sz w:val="22"/>
                <w:szCs w:val="22"/>
              </w:rPr>
              <w:t>129.185.450.303,63</w:t>
            </w:r>
          </w:p>
        </w:tc>
      </w:tr>
    </w:tbl>
    <w:p w:rsidR="007078B9" w:rsidRPr="00691B22" w:rsidP="007078B9">
      <w:pPr>
        <w:spacing w:line="240" w:lineRule="auto"/>
        <w:rPr>
          <w:rFonts w:ascii="Times New Roman" w:hAnsi="Times New Roman" w:cs="Times New Roman"/>
          <w:b/>
          <w:sz w:val="24"/>
          <w:szCs w:val="24"/>
        </w:rPr>
      </w:pPr>
      <w:r w:rsidRPr="00691B22">
        <w:rPr>
          <w:rFonts w:ascii="Times New Roman" w:hAnsi="Times New Roman" w:cs="Times New Roman"/>
          <w:b/>
          <w:sz w:val="24"/>
          <w:szCs w:val="24"/>
        </w:rPr>
        <w:t xml:space="preserve">         </w:t>
      </w:r>
    </w:p>
    <w:tbl>
      <w:tblPr>
        <w:tblW w:w="9015" w:type="dxa"/>
        <w:tblLayout w:type="fixed"/>
        <w:tblCellMar>
          <w:left w:w="0" w:type="dxa"/>
          <w:right w:w="0" w:type="dxa"/>
        </w:tblCellMar>
      </w:tblPr>
      <w:tblGrid>
        <w:gridCol w:w="6855"/>
        <w:gridCol w:w="2160"/>
      </w:tblGrid>
      <w:tr>
        <w:tblPrEx>
          <w:tblW w:w="9015" w:type="dxa"/>
          <w:tblLayout w:type="fixed"/>
          <w:tblCellMar>
            <w:left w:w="0" w:type="dxa"/>
            <w:right w:w="0" w:type="dxa"/>
          </w:tblCellMar>
        </w:tblPrEx>
        <w:trPr>
          <w:trHeight w:val="284"/>
        </w:trPr>
        <w:tc>
          <w:tcPr>
            <w:tcW w:w="6855" w:type="dxa"/>
            <w:tcBorders>
              <w:top w:val="single" w:sz="4" w:space="0" w:color="auto"/>
              <w:left w:val="single" w:sz="4" w:space="0" w:color="auto"/>
              <w:bottom w:val="single" w:sz="4" w:space="0" w:color="auto"/>
              <w:right w:val="single" w:sz="4" w:space="0" w:color="auto"/>
              <w:tl2br w:val="nil"/>
              <w:tr2bl w:val="nil"/>
            </w:tcBorders>
            <w:shd w:val="clear" w:color="auto" w:fill="C0C0C0"/>
            <w:noWrap/>
            <w:tcMar>
              <w:top w:w="15" w:type="dxa"/>
              <w:left w:w="15" w:type="dxa"/>
              <w:bottom w:w="0" w:type="dxa"/>
              <w:right w:w="15" w:type="dxa"/>
            </w:tcMar>
            <w:textDirection w:val="lrTb"/>
            <w:vAlign w:val="bottom"/>
          </w:tcPr>
          <w:p w:rsidR="007078B9" w:rsidRPr="00166D13" w:rsidP="00E05908">
            <w:pPr>
              <w:spacing w:line="240" w:lineRule="auto"/>
              <w:jc w:val="center"/>
              <w:rPr>
                <w:rFonts w:ascii="Arial Narrow" w:hAnsi="Arial Narrow" w:cs="Times New Roman"/>
                <w:b/>
                <w:bCs/>
                <w:sz w:val="22"/>
                <w:szCs w:val="22"/>
              </w:rPr>
            </w:pPr>
            <w:r>
              <w:rPr>
                <w:rFonts w:ascii="Arial Narrow" w:hAnsi="Arial Narrow" w:cs="Times New Roman"/>
                <w:b/>
                <w:bCs/>
                <w:sz w:val="22"/>
                <w:szCs w:val="22"/>
              </w:rPr>
              <w:t>PASÍVA</w:t>
            </w:r>
          </w:p>
        </w:tc>
        <w:tc>
          <w:tcPr>
            <w:tcW w:w="2160" w:type="dxa"/>
            <w:tcBorders>
              <w:top w:val="single" w:sz="4" w:space="0" w:color="auto"/>
              <w:left w:val="nil"/>
              <w:bottom w:val="single" w:sz="4" w:space="0" w:color="auto"/>
              <w:right w:val="single" w:sz="4" w:space="0" w:color="auto"/>
              <w:tl2br w:val="nil"/>
              <w:tr2bl w:val="nil"/>
            </w:tcBorders>
            <w:shd w:val="clear" w:color="auto" w:fill="C0C0C0"/>
            <w:noWrap/>
            <w:tcMar>
              <w:top w:w="15" w:type="dxa"/>
              <w:left w:w="15" w:type="dxa"/>
              <w:bottom w:w="0" w:type="dxa"/>
              <w:right w:w="15" w:type="dxa"/>
            </w:tcMar>
            <w:textDirection w:val="lrTb"/>
            <w:vAlign w:val="bottom"/>
          </w:tcPr>
          <w:p w:rsidR="007078B9" w:rsidRPr="00166D13" w:rsidP="00E05908">
            <w:pPr>
              <w:spacing w:line="240" w:lineRule="auto"/>
              <w:jc w:val="center"/>
              <w:rPr>
                <w:rFonts w:ascii="Arial Narrow" w:hAnsi="Arial Narrow" w:cs="Times New Roman"/>
                <w:b/>
                <w:bCs/>
                <w:sz w:val="22"/>
                <w:szCs w:val="22"/>
              </w:rPr>
            </w:pPr>
            <w:r>
              <w:rPr>
                <w:rFonts w:ascii="Arial Narrow" w:hAnsi="Arial Narrow" w:cs="Times New Roman"/>
                <w:b/>
                <w:bCs/>
                <w:sz w:val="22"/>
                <w:szCs w:val="22"/>
              </w:rPr>
              <w:t>Netto</w:t>
            </w:r>
          </w:p>
        </w:tc>
      </w:tr>
      <w:tr>
        <w:tblPrEx>
          <w:tblW w:w="9015" w:type="dxa"/>
          <w:tblLayout w:type="fixed"/>
          <w:tblCellMar>
            <w:left w:w="0" w:type="dxa"/>
            <w:right w:w="0" w:type="dxa"/>
          </w:tblCellMar>
        </w:tblPrEx>
        <w:trPr>
          <w:trHeight w:val="284"/>
        </w:trPr>
        <w:tc>
          <w:tcPr>
            <w:tcW w:w="6855" w:type="dxa"/>
            <w:tcBorders>
              <w:top w:val="nil"/>
              <w:left w:val="single" w:sz="4" w:space="0" w:color="auto"/>
              <w:bottom w:val="single" w:sz="4" w:space="0" w:color="auto"/>
              <w:right w:val="single" w:sz="4" w:space="0" w:color="auto"/>
              <w:tl2br w:val="nil"/>
              <w:tr2bl w:val="nil"/>
            </w:tcBorders>
            <w:noWrap/>
            <w:tcMar>
              <w:top w:w="15" w:type="dxa"/>
              <w:left w:w="15" w:type="dxa"/>
              <w:bottom w:w="0" w:type="dxa"/>
              <w:right w:w="15" w:type="dxa"/>
            </w:tcMar>
            <w:textDirection w:val="lrTb"/>
            <w:vAlign w:val="bottom"/>
          </w:tcPr>
          <w:p w:rsidR="007078B9" w:rsidRPr="00166D13" w:rsidP="00E05908">
            <w:pPr>
              <w:spacing w:line="240" w:lineRule="auto"/>
              <w:rPr>
                <w:rFonts w:ascii="Arial Narrow" w:hAnsi="Arial Narrow" w:cs="Times New Roman"/>
                <w:b/>
                <w:bCs/>
                <w:sz w:val="22"/>
                <w:szCs w:val="22"/>
              </w:rPr>
            </w:pPr>
            <w:r>
              <w:rPr>
                <w:rFonts w:ascii="Arial Narrow" w:hAnsi="Arial Narrow" w:cs="Times New Roman"/>
                <w:b/>
                <w:bCs/>
                <w:sz w:val="22"/>
                <w:szCs w:val="22"/>
              </w:rPr>
              <w:t>A. VLASTNÉ ZDROJE KRYTIA MAJETKU súčet</w:t>
            </w:r>
          </w:p>
        </w:tc>
        <w:tc>
          <w:tcPr>
            <w:tcW w:w="2160" w:type="dxa"/>
            <w:tcBorders>
              <w:top w:val="nil"/>
              <w:left w:val="nil"/>
              <w:bottom w:val="single" w:sz="4" w:space="0" w:color="auto"/>
              <w:right w:val="single" w:sz="4" w:space="0" w:color="auto"/>
              <w:tl2br w:val="nil"/>
              <w:tr2bl w:val="nil"/>
            </w:tcBorders>
            <w:noWrap/>
            <w:tcMar>
              <w:top w:w="15" w:type="dxa"/>
              <w:left w:w="15" w:type="dxa"/>
              <w:bottom w:w="0" w:type="dxa"/>
              <w:right w:w="15" w:type="dxa"/>
            </w:tcMar>
            <w:textDirection w:val="lrTb"/>
            <w:vAlign w:val="bottom"/>
          </w:tcPr>
          <w:p w:rsidR="007078B9" w:rsidRPr="00166D13" w:rsidP="00E05908">
            <w:pPr>
              <w:spacing w:line="240" w:lineRule="auto"/>
              <w:jc w:val="right"/>
              <w:rPr>
                <w:rFonts w:ascii="Arial Narrow" w:hAnsi="Arial Narrow" w:cs="Times New Roman"/>
                <w:b/>
                <w:bCs/>
                <w:sz w:val="22"/>
                <w:szCs w:val="22"/>
              </w:rPr>
            </w:pPr>
            <w:r>
              <w:rPr>
                <w:rFonts w:ascii="Arial Narrow" w:hAnsi="Arial Narrow" w:cs="Times New Roman"/>
                <w:b/>
                <w:bCs/>
                <w:sz w:val="22"/>
                <w:szCs w:val="22"/>
              </w:rPr>
              <w:t>128.409.209.615,66</w:t>
            </w:r>
          </w:p>
        </w:tc>
      </w:tr>
      <w:tr>
        <w:tblPrEx>
          <w:tblW w:w="9015" w:type="dxa"/>
          <w:tblLayout w:type="fixed"/>
          <w:tblCellMar>
            <w:left w:w="0" w:type="dxa"/>
            <w:right w:w="0" w:type="dxa"/>
          </w:tblCellMar>
        </w:tblPrEx>
        <w:trPr>
          <w:trHeight w:val="284"/>
        </w:trPr>
        <w:tc>
          <w:tcPr>
            <w:tcW w:w="6855" w:type="dxa"/>
            <w:tcBorders>
              <w:top w:val="nil"/>
              <w:left w:val="single" w:sz="4" w:space="0" w:color="auto"/>
              <w:bottom w:val="single" w:sz="4" w:space="0" w:color="auto"/>
              <w:right w:val="single" w:sz="4" w:space="0" w:color="auto"/>
              <w:tl2br w:val="nil"/>
              <w:tr2bl w:val="nil"/>
            </w:tcBorders>
            <w:noWrap/>
            <w:tcMar>
              <w:top w:w="15" w:type="dxa"/>
              <w:left w:w="15" w:type="dxa"/>
              <w:bottom w:w="0" w:type="dxa"/>
              <w:right w:w="15" w:type="dxa"/>
            </w:tcMar>
            <w:textDirection w:val="lrTb"/>
            <w:vAlign w:val="bottom"/>
          </w:tcPr>
          <w:p w:rsidR="007078B9" w:rsidRPr="00AD7C6C" w:rsidP="00E05908">
            <w:pPr>
              <w:spacing w:line="240" w:lineRule="auto"/>
              <w:rPr>
                <w:rFonts w:ascii="Arial Narrow" w:hAnsi="Arial Narrow" w:cs="Times New Roman"/>
                <w:b/>
                <w:sz w:val="22"/>
                <w:szCs w:val="22"/>
              </w:rPr>
            </w:pPr>
            <w:r>
              <w:rPr>
                <w:rFonts w:ascii="Arial Narrow" w:hAnsi="Arial Narrow" w:cs="Times New Roman"/>
                <w:b/>
                <w:sz w:val="22"/>
                <w:szCs w:val="22"/>
              </w:rPr>
              <w:t xml:space="preserve">Fondy účtovnej </w:t>
            </w:r>
            <w:r w:rsidRPr="00AD7C6C">
              <w:rPr>
                <w:rFonts w:ascii="Arial Narrow" w:hAnsi="Arial Narrow" w:cs="Times New Roman"/>
                <w:b/>
                <w:sz w:val="22"/>
                <w:szCs w:val="22"/>
              </w:rPr>
              <w:t>jednotky a</w:t>
            </w:r>
            <w:r>
              <w:rPr>
                <w:rFonts w:ascii="Arial Narrow" w:hAnsi="Arial Narrow" w:cs="Times New Roman"/>
                <w:b/>
                <w:sz w:val="22"/>
                <w:szCs w:val="22"/>
              </w:rPr>
              <w:t xml:space="preserve"> osobitné fondy účtovnej </w:t>
            </w:r>
            <w:r w:rsidRPr="00AD7C6C">
              <w:rPr>
                <w:rFonts w:ascii="Arial Narrow" w:hAnsi="Arial Narrow" w:cs="Times New Roman"/>
                <w:b/>
                <w:sz w:val="22"/>
                <w:szCs w:val="22"/>
              </w:rPr>
              <w:t>jednotky súčet</w:t>
            </w:r>
          </w:p>
        </w:tc>
        <w:tc>
          <w:tcPr>
            <w:tcW w:w="2160" w:type="dxa"/>
            <w:tcBorders>
              <w:top w:val="nil"/>
              <w:left w:val="nil"/>
              <w:bottom w:val="single" w:sz="4" w:space="0" w:color="auto"/>
              <w:right w:val="single" w:sz="4" w:space="0" w:color="auto"/>
              <w:tl2br w:val="nil"/>
              <w:tr2bl w:val="nil"/>
            </w:tcBorders>
            <w:noWrap/>
            <w:tcMar>
              <w:top w:w="15" w:type="dxa"/>
              <w:left w:w="15" w:type="dxa"/>
              <w:bottom w:w="0" w:type="dxa"/>
              <w:right w:w="15" w:type="dxa"/>
            </w:tcMar>
            <w:textDirection w:val="lrTb"/>
            <w:vAlign w:val="bottom"/>
          </w:tcPr>
          <w:p w:rsidR="007078B9" w:rsidRPr="00AD7C6C" w:rsidP="00E05908">
            <w:pPr>
              <w:spacing w:line="240" w:lineRule="auto"/>
              <w:jc w:val="right"/>
              <w:rPr>
                <w:rFonts w:ascii="Arial Narrow" w:hAnsi="Arial Narrow" w:cs="Times New Roman"/>
                <w:b/>
                <w:sz w:val="22"/>
                <w:szCs w:val="22"/>
              </w:rPr>
            </w:pPr>
            <w:r>
              <w:rPr>
                <w:rFonts w:ascii="Arial Narrow" w:hAnsi="Arial Narrow" w:cs="Times New Roman"/>
                <w:b/>
                <w:sz w:val="22"/>
                <w:szCs w:val="22"/>
              </w:rPr>
              <w:t>128.786.064.114,55</w:t>
            </w:r>
          </w:p>
        </w:tc>
      </w:tr>
      <w:tr>
        <w:tblPrEx>
          <w:tblW w:w="9015" w:type="dxa"/>
          <w:tblLayout w:type="fixed"/>
          <w:tblCellMar>
            <w:left w:w="0" w:type="dxa"/>
            <w:right w:w="0" w:type="dxa"/>
          </w:tblCellMar>
        </w:tblPrEx>
        <w:trPr>
          <w:trHeight w:val="284"/>
        </w:trPr>
        <w:tc>
          <w:tcPr>
            <w:tcW w:w="6855" w:type="dxa"/>
            <w:tcBorders>
              <w:top w:val="nil"/>
              <w:left w:val="single" w:sz="4" w:space="0" w:color="auto"/>
              <w:bottom w:val="single" w:sz="4" w:space="0" w:color="auto"/>
              <w:right w:val="single" w:sz="4" w:space="0" w:color="auto"/>
              <w:tl2br w:val="nil"/>
              <w:tr2bl w:val="nil"/>
            </w:tcBorders>
            <w:noWrap/>
            <w:tcMar>
              <w:top w:w="15" w:type="dxa"/>
              <w:left w:w="15" w:type="dxa"/>
              <w:bottom w:w="0" w:type="dxa"/>
              <w:right w:w="15" w:type="dxa"/>
            </w:tcMar>
            <w:textDirection w:val="lrTb"/>
            <w:vAlign w:val="bottom"/>
          </w:tcPr>
          <w:p w:rsidR="007078B9" w:rsidRPr="00AD7C6C" w:rsidP="00E05908">
            <w:pPr>
              <w:spacing w:line="240" w:lineRule="auto"/>
              <w:rPr>
                <w:rFonts w:ascii="Arial Narrow" w:hAnsi="Arial Narrow" w:cs="Times New Roman"/>
                <w:sz w:val="22"/>
                <w:szCs w:val="22"/>
              </w:rPr>
            </w:pPr>
            <w:r w:rsidRPr="00AD7C6C">
              <w:rPr>
                <w:rFonts w:ascii="Arial Narrow" w:hAnsi="Arial Narrow" w:cs="Times New Roman"/>
                <w:sz w:val="22"/>
                <w:szCs w:val="22"/>
              </w:rPr>
              <w:t xml:space="preserve">Fond dlhodobého majetku </w:t>
            </w:r>
          </w:p>
        </w:tc>
        <w:tc>
          <w:tcPr>
            <w:tcW w:w="2160" w:type="dxa"/>
            <w:tcBorders>
              <w:top w:val="nil"/>
              <w:left w:val="nil"/>
              <w:bottom w:val="single" w:sz="4" w:space="0" w:color="auto"/>
              <w:right w:val="single" w:sz="4" w:space="0" w:color="auto"/>
              <w:tl2br w:val="nil"/>
              <w:tr2bl w:val="nil"/>
            </w:tcBorders>
            <w:noWrap/>
            <w:tcMar>
              <w:top w:w="15" w:type="dxa"/>
              <w:left w:w="15" w:type="dxa"/>
              <w:bottom w:w="0" w:type="dxa"/>
              <w:right w:w="15" w:type="dxa"/>
            </w:tcMar>
            <w:textDirection w:val="lrTb"/>
            <w:vAlign w:val="bottom"/>
          </w:tcPr>
          <w:p w:rsidR="007078B9" w:rsidRPr="00AD7C6C" w:rsidP="00E05908">
            <w:pPr>
              <w:spacing w:line="240" w:lineRule="auto"/>
              <w:jc w:val="right"/>
              <w:rPr>
                <w:rFonts w:ascii="Arial Narrow" w:hAnsi="Arial Narrow" w:cs="Times New Roman"/>
                <w:sz w:val="22"/>
                <w:szCs w:val="22"/>
              </w:rPr>
            </w:pPr>
            <w:r>
              <w:rPr>
                <w:rFonts w:ascii="Arial Narrow" w:hAnsi="Arial Narrow" w:cs="Times New Roman"/>
                <w:sz w:val="22"/>
                <w:szCs w:val="22"/>
              </w:rPr>
              <w:t>128.470.256.102,08</w:t>
            </w:r>
          </w:p>
        </w:tc>
      </w:tr>
      <w:tr>
        <w:tblPrEx>
          <w:tblW w:w="9015" w:type="dxa"/>
          <w:tblLayout w:type="fixed"/>
          <w:tblCellMar>
            <w:left w:w="0" w:type="dxa"/>
            <w:right w:w="0" w:type="dxa"/>
          </w:tblCellMar>
        </w:tblPrEx>
        <w:trPr>
          <w:trHeight w:val="284"/>
        </w:trPr>
        <w:tc>
          <w:tcPr>
            <w:tcW w:w="6855" w:type="dxa"/>
            <w:tcBorders>
              <w:top w:val="nil"/>
              <w:left w:val="single" w:sz="4" w:space="0" w:color="auto"/>
              <w:bottom w:val="single" w:sz="4" w:space="0" w:color="auto"/>
              <w:right w:val="single" w:sz="4" w:space="0" w:color="auto"/>
              <w:tl2br w:val="nil"/>
              <w:tr2bl w:val="nil"/>
            </w:tcBorders>
            <w:noWrap/>
            <w:tcMar>
              <w:top w:w="15" w:type="dxa"/>
              <w:left w:w="15" w:type="dxa"/>
              <w:bottom w:w="0" w:type="dxa"/>
              <w:right w:w="15" w:type="dxa"/>
            </w:tcMar>
            <w:textDirection w:val="lrTb"/>
            <w:vAlign w:val="bottom"/>
          </w:tcPr>
          <w:p w:rsidR="007078B9" w:rsidRPr="00AD7C6C" w:rsidP="00E05908">
            <w:pPr>
              <w:spacing w:line="240" w:lineRule="auto"/>
              <w:rPr>
                <w:rFonts w:ascii="Arial Narrow" w:hAnsi="Arial Narrow" w:cs="Times New Roman"/>
                <w:sz w:val="22"/>
                <w:szCs w:val="22"/>
              </w:rPr>
            </w:pPr>
            <w:r w:rsidRPr="00AD7C6C">
              <w:rPr>
                <w:rFonts w:ascii="Arial Narrow" w:hAnsi="Arial Narrow" w:cs="Times New Roman"/>
                <w:sz w:val="22"/>
                <w:szCs w:val="22"/>
              </w:rPr>
              <w:t xml:space="preserve">Fond obežného majetku </w:t>
            </w:r>
          </w:p>
        </w:tc>
        <w:tc>
          <w:tcPr>
            <w:tcW w:w="2160" w:type="dxa"/>
            <w:tcBorders>
              <w:top w:val="nil"/>
              <w:left w:val="nil"/>
              <w:bottom w:val="single" w:sz="4" w:space="0" w:color="auto"/>
              <w:right w:val="single" w:sz="4" w:space="0" w:color="auto"/>
              <w:tl2br w:val="nil"/>
              <w:tr2bl w:val="nil"/>
            </w:tcBorders>
            <w:noWrap/>
            <w:tcMar>
              <w:top w:w="15" w:type="dxa"/>
              <w:left w:w="15" w:type="dxa"/>
              <w:bottom w:w="0" w:type="dxa"/>
              <w:right w:w="15" w:type="dxa"/>
            </w:tcMar>
            <w:textDirection w:val="lrTb"/>
            <w:vAlign w:val="bottom"/>
          </w:tcPr>
          <w:p w:rsidR="007078B9" w:rsidRPr="00AD7C6C" w:rsidP="00E05908">
            <w:pPr>
              <w:spacing w:line="240" w:lineRule="auto"/>
              <w:jc w:val="right"/>
              <w:rPr>
                <w:rFonts w:ascii="Arial Narrow" w:hAnsi="Arial Narrow" w:cs="Times New Roman"/>
                <w:sz w:val="22"/>
                <w:szCs w:val="22"/>
              </w:rPr>
            </w:pPr>
            <w:r>
              <w:rPr>
                <w:rFonts w:ascii="Arial Narrow" w:hAnsi="Arial Narrow" w:cs="Times New Roman"/>
                <w:sz w:val="22"/>
                <w:szCs w:val="22"/>
              </w:rPr>
              <w:t>315.808.012,47</w:t>
            </w:r>
          </w:p>
        </w:tc>
      </w:tr>
      <w:tr>
        <w:tblPrEx>
          <w:tblW w:w="9015" w:type="dxa"/>
          <w:tblLayout w:type="fixed"/>
          <w:tblCellMar>
            <w:left w:w="0" w:type="dxa"/>
            <w:right w:w="0" w:type="dxa"/>
          </w:tblCellMar>
        </w:tblPrEx>
        <w:trPr>
          <w:trHeight w:val="284"/>
        </w:trPr>
        <w:tc>
          <w:tcPr>
            <w:tcW w:w="6855" w:type="dxa"/>
            <w:tcBorders>
              <w:top w:val="nil"/>
              <w:left w:val="single" w:sz="4" w:space="0" w:color="auto"/>
              <w:bottom w:val="single" w:sz="4" w:space="0" w:color="auto"/>
              <w:right w:val="single" w:sz="4" w:space="0" w:color="auto"/>
              <w:tl2br w:val="nil"/>
              <w:tr2bl w:val="nil"/>
            </w:tcBorders>
            <w:noWrap/>
            <w:tcMar>
              <w:top w:w="15" w:type="dxa"/>
              <w:left w:w="15" w:type="dxa"/>
              <w:bottom w:w="0" w:type="dxa"/>
              <w:right w:w="15" w:type="dxa"/>
            </w:tcMar>
            <w:textDirection w:val="lrTb"/>
            <w:vAlign w:val="bottom"/>
          </w:tcPr>
          <w:p w:rsidR="007078B9" w:rsidRPr="00AD7C6C" w:rsidP="00E05908">
            <w:pPr>
              <w:spacing w:line="240" w:lineRule="auto"/>
              <w:rPr>
                <w:rFonts w:ascii="Arial Narrow" w:hAnsi="Arial Narrow" w:cs="Times New Roman"/>
                <w:b/>
                <w:sz w:val="22"/>
                <w:szCs w:val="22"/>
              </w:rPr>
            </w:pPr>
            <w:r w:rsidRPr="00AD7C6C">
              <w:rPr>
                <w:rFonts w:ascii="Arial Narrow" w:hAnsi="Arial Narrow" w:cs="Times New Roman"/>
                <w:b/>
                <w:sz w:val="22"/>
                <w:szCs w:val="22"/>
              </w:rPr>
              <w:t xml:space="preserve">Výsledok hospodárenia súčet </w:t>
            </w:r>
          </w:p>
        </w:tc>
        <w:tc>
          <w:tcPr>
            <w:tcW w:w="2160" w:type="dxa"/>
            <w:tcBorders>
              <w:top w:val="nil"/>
              <w:left w:val="nil"/>
              <w:bottom w:val="single" w:sz="4" w:space="0" w:color="auto"/>
              <w:right w:val="single" w:sz="4" w:space="0" w:color="auto"/>
              <w:tl2br w:val="nil"/>
              <w:tr2bl w:val="nil"/>
            </w:tcBorders>
            <w:noWrap/>
            <w:tcMar>
              <w:top w:w="15" w:type="dxa"/>
              <w:left w:w="15" w:type="dxa"/>
              <w:bottom w:w="0" w:type="dxa"/>
              <w:right w:w="15" w:type="dxa"/>
            </w:tcMar>
            <w:textDirection w:val="lrTb"/>
            <w:vAlign w:val="bottom"/>
          </w:tcPr>
          <w:p w:rsidR="007078B9" w:rsidRPr="00166D13" w:rsidP="00E05908">
            <w:pPr>
              <w:spacing w:line="240" w:lineRule="auto"/>
              <w:jc w:val="right"/>
              <w:rPr>
                <w:rFonts w:ascii="Arial Narrow" w:hAnsi="Arial Narrow" w:cs="Times New Roman"/>
                <w:sz w:val="22"/>
                <w:szCs w:val="22"/>
              </w:rPr>
            </w:pPr>
            <w:r>
              <w:rPr>
                <w:rFonts w:ascii="Arial Narrow" w:hAnsi="Arial Narrow" w:cs="Times New Roman"/>
                <w:sz w:val="22"/>
                <w:szCs w:val="22"/>
              </w:rPr>
              <w:t>-376.854.498,89</w:t>
            </w:r>
          </w:p>
        </w:tc>
      </w:tr>
      <w:tr>
        <w:tblPrEx>
          <w:tblW w:w="9015" w:type="dxa"/>
          <w:tblLayout w:type="fixed"/>
          <w:tblCellMar>
            <w:left w:w="0" w:type="dxa"/>
            <w:right w:w="0" w:type="dxa"/>
          </w:tblCellMar>
        </w:tblPrEx>
        <w:trPr>
          <w:trHeight w:val="284"/>
        </w:trPr>
        <w:tc>
          <w:tcPr>
            <w:tcW w:w="6855" w:type="dxa"/>
            <w:tcBorders>
              <w:top w:val="nil"/>
              <w:left w:val="single" w:sz="4" w:space="0" w:color="auto"/>
              <w:bottom w:val="single" w:sz="4" w:space="0" w:color="auto"/>
              <w:right w:val="single" w:sz="4" w:space="0" w:color="auto"/>
              <w:tl2br w:val="nil"/>
              <w:tr2bl w:val="nil"/>
            </w:tcBorders>
            <w:noWrap/>
            <w:tcMar>
              <w:top w:w="15" w:type="dxa"/>
              <w:left w:w="15" w:type="dxa"/>
              <w:bottom w:w="0" w:type="dxa"/>
              <w:right w:w="15" w:type="dxa"/>
            </w:tcMar>
            <w:textDirection w:val="lrTb"/>
            <w:vAlign w:val="bottom"/>
          </w:tcPr>
          <w:p w:rsidR="007078B9" w:rsidRPr="00166D13" w:rsidP="00E05908">
            <w:pPr>
              <w:spacing w:line="240" w:lineRule="auto"/>
              <w:rPr>
                <w:rFonts w:ascii="Arial Narrow" w:hAnsi="Arial Narrow" w:cs="Times New Roman"/>
                <w:sz w:val="22"/>
                <w:szCs w:val="22"/>
              </w:rPr>
            </w:pPr>
            <w:r>
              <w:rPr>
                <w:rFonts w:ascii="Arial Narrow" w:hAnsi="Arial Narrow" w:cs="Times New Roman"/>
                <w:sz w:val="22"/>
                <w:szCs w:val="22"/>
              </w:rPr>
              <w:t>Saldo výdavkov a nákladov rozpočtového hospodárenia</w:t>
            </w:r>
          </w:p>
        </w:tc>
        <w:tc>
          <w:tcPr>
            <w:tcW w:w="2160" w:type="dxa"/>
            <w:tcBorders>
              <w:top w:val="nil"/>
              <w:left w:val="nil"/>
              <w:bottom w:val="single" w:sz="4" w:space="0" w:color="auto"/>
              <w:right w:val="single" w:sz="4" w:space="0" w:color="auto"/>
              <w:tl2br w:val="nil"/>
              <w:tr2bl w:val="nil"/>
            </w:tcBorders>
            <w:noWrap/>
            <w:tcMar>
              <w:top w:w="15" w:type="dxa"/>
              <w:left w:w="15" w:type="dxa"/>
              <w:bottom w:w="0" w:type="dxa"/>
              <w:right w:w="15" w:type="dxa"/>
            </w:tcMar>
            <w:textDirection w:val="lrTb"/>
            <w:vAlign w:val="bottom"/>
          </w:tcPr>
          <w:p w:rsidR="007078B9" w:rsidRPr="00166D13" w:rsidP="00E05908">
            <w:pPr>
              <w:spacing w:line="240" w:lineRule="auto"/>
              <w:jc w:val="right"/>
              <w:rPr>
                <w:rFonts w:ascii="Arial Narrow" w:hAnsi="Arial Narrow" w:cs="Times New Roman"/>
                <w:sz w:val="22"/>
                <w:szCs w:val="22"/>
              </w:rPr>
            </w:pPr>
            <w:r>
              <w:rPr>
                <w:rFonts w:ascii="Arial Narrow" w:hAnsi="Arial Narrow" w:cs="Times New Roman"/>
                <w:sz w:val="22"/>
                <w:szCs w:val="22"/>
              </w:rPr>
              <w:t>-644.050.218,69</w:t>
            </w:r>
          </w:p>
        </w:tc>
      </w:tr>
      <w:tr>
        <w:tblPrEx>
          <w:tblW w:w="9015" w:type="dxa"/>
          <w:tblLayout w:type="fixed"/>
          <w:tblCellMar>
            <w:left w:w="0" w:type="dxa"/>
            <w:right w:w="0" w:type="dxa"/>
          </w:tblCellMar>
        </w:tblPrEx>
        <w:trPr>
          <w:trHeight w:val="284"/>
        </w:trPr>
        <w:tc>
          <w:tcPr>
            <w:tcW w:w="6855" w:type="dxa"/>
            <w:tcBorders>
              <w:top w:val="nil"/>
              <w:left w:val="single" w:sz="4" w:space="0" w:color="auto"/>
              <w:bottom w:val="single" w:sz="4" w:space="0" w:color="auto"/>
              <w:right w:val="single" w:sz="4" w:space="0" w:color="auto"/>
              <w:tl2br w:val="nil"/>
              <w:tr2bl w:val="nil"/>
            </w:tcBorders>
            <w:noWrap/>
            <w:tcMar>
              <w:top w:w="15" w:type="dxa"/>
              <w:left w:w="15" w:type="dxa"/>
              <w:bottom w:w="0" w:type="dxa"/>
              <w:right w:w="15" w:type="dxa"/>
            </w:tcMar>
            <w:textDirection w:val="lrTb"/>
            <w:vAlign w:val="bottom"/>
          </w:tcPr>
          <w:p w:rsidR="007078B9" w:rsidRPr="00166D13" w:rsidP="00E05908">
            <w:pPr>
              <w:spacing w:line="240" w:lineRule="auto"/>
              <w:rPr>
                <w:rFonts w:ascii="Arial Narrow" w:hAnsi="Arial Narrow" w:cs="Times New Roman"/>
                <w:sz w:val="22"/>
                <w:szCs w:val="22"/>
              </w:rPr>
            </w:pPr>
            <w:r>
              <w:rPr>
                <w:rFonts w:ascii="Arial Narrow" w:hAnsi="Arial Narrow" w:cs="Times New Roman"/>
                <w:sz w:val="22"/>
                <w:szCs w:val="22"/>
              </w:rPr>
              <w:t>Saldo príjmov a výnosov rozpočtového hospodárenia</w:t>
            </w:r>
          </w:p>
        </w:tc>
        <w:tc>
          <w:tcPr>
            <w:tcW w:w="2160" w:type="dxa"/>
            <w:tcBorders>
              <w:top w:val="nil"/>
              <w:left w:val="nil"/>
              <w:bottom w:val="single" w:sz="4" w:space="0" w:color="auto"/>
              <w:right w:val="single" w:sz="4" w:space="0" w:color="auto"/>
              <w:tl2br w:val="nil"/>
              <w:tr2bl w:val="nil"/>
            </w:tcBorders>
            <w:noWrap/>
            <w:tcMar>
              <w:top w:w="15" w:type="dxa"/>
              <w:left w:w="15" w:type="dxa"/>
              <w:bottom w:w="0" w:type="dxa"/>
              <w:right w:w="15" w:type="dxa"/>
            </w:tcMar>
            <w:textDirection w:val="lrTb"/>
            <w:vAlign w:val="bottom"/>
          </w:tcPr>
          <w:p w:rsidR="007078B9" w:rsidRPr="00166D13" w:rsidP="00E05908">
            <w:pPr>
              <w:spacing w:line="240" w:lineRule="auto"/>
              <w:jc w:val="right"/>
              <w:rPr>
                <w:rFonts w:ascii="Arial Narrow" w:hAnsi="Arial Narrow" w:cs="Times New Roman"/>
                <w:sz w:val="22"/>
                <w:szCs w:val="22"/>
              </w:rPr>
            </w:pPr>
            <w:r>
              <w:rPr>
                <w:rFonts w:ascii="Arial Narrow" w:hAnsi="Arial Narrow" w:cs="Times New Roman"/>
                <w:sz w:val="22"/>
                <w:szCs w:val="22"/>
              </w:rPr>
              <w:t>267.195.719,8</w:t>
            </w:r>
          </w:p>
        </w:tc>
      </w:tr>
      <w:tr>
        <w:tblPrEx>
          <w:tblW w:w="9015" w:type="dxa"/>
          <w:tblLayout w:type="fixed"/>
          <w:tblCellMar>
            <w:left w:w="0" w:type="dxa"/>
            <w:right w:w="0" w:type="dxa"/>
          </w:tblCellMar>
        </w:tblPrEx>
        <w:trPr>
          <w:trHeight w:val="284"/>
        </w:trPr>
        <w:tc>
          <w:tcPr>
            <w:tcW w:w="6855" w:type="dxa"/>
            <w:tcBorders>
              <w:top w:val="single" w:sz="4" w:space="0" w:color="auto"/>
              <w:left w:val="single" w:sz="4" w:space="0" w:color="auto"/>
              <w:bottom w:val="single" w:sz="4" w:space="0" w:color="auto"/>
              <w:right w:val="single" w:sz="4" w:space="0" w:color="auto"/>
              <w:tl2br w:val="nil"/>
              <w:tr2bl w:val="nil"/>
            </w:tcBorders>
            <w:noWrap/>
            <w:tcMar>
              <w:top w:w="15" w:type="dxa"/>
              <w:left w:w="15" w:type="dxa"/>
              <w:bottom w:w="0" w:type="dxa"/>
              <w:right w:w="15" w:type="dxa"/>
            </w:tcMar>
            <w:textDirection w:val="lrTb"/>
            <w:vAlign w:val="bottom"/>
          </w:tcPr>
          <w:p w:rsidR="007078B9" w:rsidRPr="00166D13" w:rsidP="00E05908">
            <w:pPr>
              <w:spacing w:line="240" w:lineRule="auto"/>
              <w:rPr>
                <w:rFonts w:ascii="Arial Narrow" w:hAnsi="Arial Narrow" w:cs="Times New Roman"/>
                <w:b/>
                <w:bCs/>
                <w:sz w:val="22"/>
                <w:szCs w:val="22"/>
              </w:rPr>
            </w:pPr>
            <w:r>
              <w:rPr>
                <w:rFonts w:ascii="Arial Narrow" w:hAnsi="Arial Narrow" w:cs="Times New Roman"/>
                <w:b/>
                <w:bCs/>
                <w:sz w:val="22"/>
                <w:szCs w:val="22"/>
              </w:rPr>
              <w:t>B. ZÁVÄZKY</w:t>
            </w:r>
          </w:p>
        </w:tc>
        <w:tc>
          <w:tcPr>
            <w:tcW w:w="2160" w:type="dxa"/>
            <w:tcBorders>
              <w:top w:val="single" w:sz="4" w:space="0" w:color="auto"/>
              <w:left w:val="nil"/>
              <w:bottom w:val="single" w:sz="4" w:space="0" w:color="auto"/>
              <w:right w:val="single" w:sz="4" w:space="0" w:color="auto"/>
              <w:tl2br w:val="nil"/>
              <w:tr2bl w:val="nil"/>
            </w:tcBorders>
            <w:noWrap/>
            <w:tcMar>
              <w:top w:w="15" w:type="dxa"/>
              <w:left w:w="15" w:type="dxa"/>
              <w:bottom w:w="0" w:type="dxa"/>
              <w:right w:w="15" w:type="dxa"/>
            </w:tcMar>
            <w:textDirection w:val="lrTb"/>
            <w:vAlign w:val="bottom"/>
          </w:tcPr>
          <w:p w:rsidR="007078B9" w:rsidRPr="00166D13" w:rsidP="00E05908">
            <w:pPr>
              <w:spacing w:line="240" w:lineRule="auto"/>
              <w:jc w:val="right"/>
              <w:rPr>
                <w:rFonts w:ascii="Arial Narrow" w:hAnsi="Arial Narrow" w:cs="Times New Roman"/>
                <w:b/>
                <w:bCs/>
                <w:sz w:val="22"/>
                <w:szCs w:val="22"/>
              </w:rPr>
            </w:pPr>
            <w:r>
              <w:rPr>
                <w:rFonts w:ascii="Arial Narrow" w:hAnsi="Arial Narrow" w:cs="Times New Roman"/>
                <w:b/>
                <w:bCs/>
                <w:sz w:val="22"/>
                <w:szCs w:val="22"/>
              </w:rPr>
              <w:t>776.240.687,97</w:t>
            </w:r>
          </w:p>
        </w:tc>
      </w:tr>
      <w:tr>
        <w:tblPrEx>
          <w:tblW w:w="9015" w:type="dxa"/>
          <w:tblLayout w:type="fixed"/>
          <w:tblCellMar>
            <w:left w:w="0" w:type="dxa"/>
            <w:right w:w="0" w:type="dxa"/>
          </w:tblCellMar>
        </w:tblPrEx>
        <w:trPr>
          <w:trHeight w:val="284"/>
        </w:trPr>
        <w:tc>
          <w:tcPr>
            <w:tcW w:w="6855" w:type="dxa"/>
            <w:tcBorders>
              <w:top w:val="single" w:sz="4" w:space="0" w:color="auto"/>
              <w:left w:val="single" w:sz="4" w:space="0" w:color="auto"/>
              <w:bottom w:val="single" w:sz="4" w:space="0" w:color="auto"/>
              <w:right w:val="single" w:sz="4" w:space="0" w:color="auto"/>
              <w:tl2br w:val="nil"/>
              <w:tr2bl w:val="nil"/>
            </w:tcBorders>
            <w:noWrap/>
            <w:tcMar>
              <w:top w:w="15" w:type="dxa"/>
              <w:left w:w="15" w:type="dxa"/>
              <w:bottom w:w="0" w:type="dxa"/>
              <w:right w:w="15" w:type="dxa"/>
            </w:tcMar>
            <w:textDirection w:val="lrTb"/>
            <w:vAlign w:val="bottom"/>
          </w:tcPr>
          <w:p w:rsidR="007078B9" w:rsidRPr="00166D13" w:rsidP="00E05908">
            <w:pPr>
              <w:spacing w:line="240" w:lineRule="auto"/>
              <w:rPr>
                <w:rFonts w:ascii="Arial Narrow" w:hAnsi="Arial Narrow" w:cs="Times New Roman"/>
                <w:b/>
                <w:bCs/>
                <w:sz w:val="22"/>
                <w:szCs w:val="22"/>
              </w:rPr>
            </w:pPr>
            <w:r>
              <w:rPr>
                <w:rFonts w:ascii="Arial Narrow" w:hAnsi="Arial Narrow" w:cs="Times New Roman"/>
                <w:b/>
                <w:bCs/>
                <w:sz w:val="22"/>
                <w:szCs w:val="22"/>
              </w:rPr>
              <w:t>Rezervy</w:t>
            </w:r>
          </w:p>
        </w:tc>
        <w:tc>
          <w:tcPr>
            <w:tcW w:w="2160" w:type="dxa"/>
            <w:tcBorders>
              <w:top w:val="single" w:sz="4" w:space="0" w:color="auto"/>
              <w:left w:val="nil"/>
              <w:bottom w:val="single" w:sz="4" w:space="0" w:color="auto"/>
              <w:right w:val="single" w:sz="4" w:space="0" w:color="auto"/>
              <w:tl2br w:val="nil"/>
              <w:tr2bl w:val="nil"/>
            </w:tcBorders>
            <w:noWrap/>
            <w:tcMar>
              <w:top w:w="15" w:type="dxa"/>
              <w:left w:w="15" w:type="dxa"/>
              <w:bottom w:w="0" w:type="dxa"/>
              <w:right w:w="15" w:type="dxa"/>
            </w:tcMar>
            <w:textDirection w:val="lrTb"/>
            <w:vAlign w:val="bottom"/>
          </w:tcPr>
          <w:p w:rsidR="007078B9" w:rsidRPr="00166D13" w:rsidP="00E05908">
            <w:pPr>
              <w:spacing w:line="240" w:lineRule="auto"/>
              <w:jc w:val="center"/>
              <w:rPr>
                <w:rFonts w:ascii="Arial Narrow" w:hAnsi="Arial Narrow" w:cs="Times New Roman"/>
                <w:b/>
                <w:bCs/>
                <w:sz w:val="22"/>
                <w:szCs w:val="22"/>
              </w:rPr>
            </w:pPr>
            <w:r>
              <w:rPr>
                <w:rFonts w:ascii="Arial Narrow" w:hAnsi="Arial Narrow" w:cs="Times New Roman"/>
                <w:b/>
                <w:bCs/>
                <w:sz w:val="22"/>
                <w:szCs w:val="22"/>
              </w:rPr>
              <w:t>-</w:t>
            </w:r>
          </w:p>
        </w:tc>
      </w:tr>
      <w:tr>
        <w:tblPrEx>
          <w:tblW w:w="9015" w:type="dxa"/>
          <w:tblLayout w:type="fixed"/>
          <w:tblCellMar>
            <w:left w:w="0" w:type="dxa"/>
            <w:right w:w="0" w:type="dxa"/>
          </w:tblCellMar>
        </w:tblPrEx>
        <w:trPr>
          <w:trHeight w:val="284"/>
        </w:trPr>
        <w:tc>
          <w:tcPr>
            <w:tcW w:w="6855" w:type="dxa"/>
            <w:tcBorders>
              <w:top w:val="single" w:sz="4" w:space="0" w:color="auto"/>
              <w:left w:val="single" w:sz="4" w:space="0" w:color="auto"/>
              <w:bottom w:val="single" w:sz="4" w:space="0" w:color="auto"/>
              <w:right w:val="single" w:sz="4" w:space="0" w:color="auto"/>
              <w:tl2br w:val="nil"/>
              <w:tr2bl w:val="nil"/>
            </w:tcBorders>
            <w:noWrap/>
            <w:tcMar>
              <w:top w:w="15" w:type="dxa"/>
              <w:left w:w="15" w:type="dxa"/>
              <w:bottom w:w="0" w:type="dxa"/>
              <w:right w:w="15" w:type="dxa"/>
            </w:tcMar>
            <w:textDirection w:val="lrTb"/>
            <w:vAlign w:val="bottom"/>
          </w:tcPr>
          <w:p w:rsidR="007078B9" w:rsidRPr="00166D13" w:rsidP="00E05908">
            <w:pPr>
              <w:spacing w:line="240" w:lineRule="auto"/>
              <w:rPr>
                <w:rFonts w:ascii="Arial Narrow" w:hAnsi="Arial Narrow" w:cs="Times New Roman"/>
                <w:b/>
                <w:bCs/>
                <w:sz w:val="22"/>
                <w:szCs w:val="22"/>
              </w:rPr>
            </w:pPr>
            <w:r>
              <w:rPr>
                <w:rFonts w:ascii="Arial Narrow" w:hAnsi="Arial Narrow" w:cs="Times New Roman"/>
                <w:b/>
                <w:bCs/>
                <w:sz w:val="22"/>
                <w:szCs w:val="22"/>
              </w:rPr>
              <w:t>Dlhodobé záväzky</w:t>
            </w:r>
          </w:p>
        </w:tc>
        <w:tc>
          <w:tcPr>
            <w:tcW w:w="2160" w:type="dxa"/>
            <w:tcBorders>
              <w:top w:val="single" w:sz="4" w:space="0" w:color="auto"/>
              <w:left w:val="nil"/>
              <w:bottom w:val="single" w:sz="4" w:space="0" w:color="auto"/>
              <w:right w:val="single" w:sz="4" w:space="0" w:color="auto"/>
              <w:tl2br w:val="nil"/>
              <w:tr2bl w:val="nil"/>
            </w:tcBorders>
            <w:noWrap/>
            <w:tcMar>
              <w:top w:w="15" w:type="dxa"/>
              <w:left w:w="15" w:type="dxa"/>
              <w:bottom w:w="0" w:type="dxa"/>
              <w:right w:w="15" w:type="dxa"/>
            </w:tcMar>
            <w:textDirection w:val="lrTb"/>
            <w:vAlign w:val="bottom"/>
          </w:tcPr>
          <w:p w:rsidR="007078B9" w:rsidRPr="00166D13" w:rsidP="00E05908">
            <w:pPr>
              <w:spacing w:line="240" w:lineRule="auto"/>
              <w:jc w:val="right"/>
              <w:rPr>
                <w:rFonts w:ascii="Arial Narrow" w:hAnsi="Arial Narrow" w:cs="Times New Roman"/>
                <w:b/>
                <w:bCs/>
                <w:sz w:val="22"/>
                <w:szCs w:val="22"/>
              </w:rPr>
            </w:pPr>
            <w:r>
              <w:rPr>
                <w:rFonts w:ascii="Arial Narrow" w:hAnsi="Arial Narrow" w:cs="Times New Roman"/>
                <w:b/>
                <w:bCs/>
                <w:sz w:val="22"/>
                <w:szCs w:val="22"/>
              </w:rPr>
              <w:t>842.521,03</w:t>
            </w:r>
          </w:p>
        </w:tc>
      </w:tr>
      <w:tr>
        <w:tblPrEx>
          <w:tblW w:w="9015" w:type="dxa"/>
          <w:tblLayout w:type="fixed"/>
          <w:tblCellMar>
            <w:left w:w="0" w:type="dxa"/>
            <w:right w:w="0" w:type="dxa"/>
          </w:tblCellMar>
        </w:tblPrEx>
        <w:trPr>
          <w:trHeight w:val="284"/>
        </w:trPr>
        <w:tc>
          <w:tcPr>
            <w:tcW w:w="6855" w:type="dxa"/>
            <w:tcBorders>
              <w:top w:val="single" w:sz="4" w:space="0" w:color="auto"/>
              <w:left w:val="single" w:sz="4" w:space="0" w:color="auto"/>
              <w:bottom w:val="single" w:sz="4" w:space="0" w:color="auto"/>
              <w:right w:val="single" w:sz="4" w:space="0" w:color="auto"/>
              <w:tl2br w:val="nil"/>
              <w:tr2bl w:val="nil"/>
            </w:tcBorders>
            <w:noWrap/>
            <w:tcMar>
              <w:top w:w="15" w:type="dxa"/>
              <w:left w:w="15" w:type="dxa"/>
              <w:bottom w:w="0" w:type="dxa"/>
              <w:right w:w="15" w:type="dxa"/>
            </w:tcMar>
            <w:textDirection w:val="lrTb"/>
            <w:vAlign w:val="bottom"/>
          </w:tcPr>
          <w:p w:rsidR="007078B9" w:rsidRPr="00355CED" w:rsidP="00E05908">
            <w:pPr>
              <w:spacing w:line="240" w:lineRule="auto"/>
              <w:rPr>
                <w:rFonts w:ascii="Arial Narrow" w:hAnsi="Arial Narrow" w:cs="Times New Roman"/>
                <w:bCs/>
                <w:sz w:val="22"/>
                <w:szCs w:val="22"/>
              </w:rPr>
            </w:pPr>
            <w:r>
              <w:rPr>
                <w:rFonts w:ascii="Arial Narrow" w:hAnsi="Arial Narrow" w:cs="Times New Roman"/>
                <w:bCs/>
                <w:sz w:val="22"/>
                <w:szCs w:val="22"/>
              </w:rPr>
              <w:t>Krátkodobé záväzky</w:t>
            </w:r>
          </w:p>
        </w:tc>
        <w:tc>
          <w:tcPr>
            <w:tcW w:w="2160" w:type="dxa"/>
            <w:tcBorders>
              <w:top w:val="single" w:sz="4" w:space="0" w:color="auto"/>
              <w:left w:val="nil"/>
              <w:bottom w:val="single" w:sz="4" w:space="0" w:color="auto"/>
              <w:right w:val="single" w:sz="4" w:space="0" w:color="auto"/>
              <w:tl2br w:val="nil"/>
              <w:tr2bl w:val="nil"/>
            </w:tcBorders>
            <w:noWrap/>
            <w:tcMar>
              <w:top w:w="15" w:type="dxa"/>
              <w:left w:w="15" w:type="dxa"/>
              <w:bottom w:w="0" w:type="dxa"/>
              <w:right w:w="15" w:type="dxa"/>
            </w:tcMar>
            <w:textDirection w:val="lrTb"/>
            <w:vAlign w:val="bottom"/>
          </w:tcPr>
          <w:p w:rsidR="007078B9" w:rsidRPr="00691B22" w:rsidP="00E05908">
            <w:pPr>
              <w:spacing w:line="240" w:lineRule="auto"/>
              <w:jc w:val="right"/>
              <w:rPr>
                <w:rFonts w:ascii="Arial Narrow" w:hAnsi="Arial Narrow" w:cs="Times New Roman"/>
                <w:bCs/>
                <w:sz w:val="22"/>
                <w:szCs w:val="22"/>
              </w:rPr>
            </w:pPr>
            <w:r>
              <w:rPr>
                <w:rFonts w:ascii="Arial Narrow" w:hAnsi="Arial Narrow" w:cs="Times New Roman"/>
                <w:bCs/>
                <w:sz w:val="22"/>
                <w:szCs w:val="22"/>
              </w:rPr>
              <w:t>775.398.166,94</w:t>
            </w:r>
          </w:p>
        </w:tc>
      </w:tr>
      <w:tr>
        <w:tblPrEx>
          <w:tblW w:w="9015" w:type="dxa"/>
          <w:tblLayout w:type="fixed"/>
          <w:tblCellMar>
            <w:left w:w="0" w:type="dxa"/>
            <w:right w:w="0" w:type="dxa"/>
          </w:tblCellMar>
        </w:tblPrEx>
        <w:trPr>
          <w:trHeight w:val="284"/>
        </w:trPr>
        <w:tc>
          <w:tcPr>
            <w:tcW w:w="6855" w:type="dxa"/>
            <w:tcBorders>
              <w:top w:val="single" w:sz="4" w:space="0" w:color="auto"/>
              <w:left w:val="single" w:sz="4" w:space="0" w:color="auto"/>
              <w:bottom w:val="single" w:sz="4" w:space="0" w:color="auto"/>
              <w:right w:val="single" w:sz="4" w:space="0" w:color="auto"/>
              <w:tl2br w:val="nil"/>
              <w:tr2bl w:val="nil"/>
            </w:tcBorders>
            <w:noWrap/>
            <w:tcMar>
              <w:top w:w="15" w:type="dxa"/>
              <w:left w:w="15" w:type="dxa"/>
              <w:bottom w:w="0" w:type="dxa"/>
              <w:right w:w="15" w:type="dxa"/>
            </w:tcMar>
            <w:textDirection w:val="lrTb"/>
            <w:vAlign w:val="bottom"/>
          </w:tcPr>
          <w:p w:rsidR="007078B9" w:rsidRPr="00355CED" w:rsidP="00E05908">
            <w:pPr>
              <w:spacing w:line="240" w:lineRule="auto"/>
              <w:rPr>
                <w:rFonts w:ascii="Arial Narrow" w:hAnsi="Arial Narrow" w:cs="Times New Roman"/>
                <w:bCs/>
                <w:sz w:val="22"/>
                <w:szCs w:val="22"/>
              </w:rPr>
            </w:pPr>
            <w:r>
              <w:rPr>
                <w:rFonts w:ascii="Arial Narrow" w:hAnsi="Arial Narrow" w:cs="Times New Roman"/>
                <w:bCs/>
                <w:sz w:val="22"/>
                <w:szCs w:val="22"/>
              </w:rPr>
              <w:t>Bankové úvery a ostatné prijaté výpomoci</w:t>
            </w:r>
          </w:p>
        </w:tc>
        <w:tc>
          <w:tcPr>
            <w:tcW w:w="2160" w:type="dxa"/>
            <w:tcBorders>
              <w:top w:val="single" w:sz="4" w:space="0" w:color="auto"/>
              <w:left w:val="nil"/>
              <w:bottom w:val="single" w:sz="4" w:space="0" w:color="auto"/>
              <w:right w:val="single" w:sz="4" w:space="0" w:color="auto"/>
              <w:tl2br w:val="nil"/>
              <w:tr2bl w:val="nil"/>
            </w:tcBorders>
            <w:noWrap/>
            <w:tcMar>
              <w:top w:w="15" w:type="dxa"/>
              <w:left w:w="15" w:type="dxa"/>
              <w:bottom w:w="0" w:type="dxa"/>
              <w:right w:w="15" w:type="dxa"/>
            </w:tcMar>
            <w:textDirection w:val="lrTb"/>
            <w:vAlign w:val="bottom"/>
          </w:tcPr>
          <w:p w:rsidR="007078B9" w:rsidP="00E05908">
            <w:pPr>
              <w:spacing w:line="240" w:lineRule="auto"/>
              <w:jc w:val="center"/>
              <w:rPr>
                <w:rFonts w:ascii="Arial Narrow" w:hAnsi="Arial Narrow" w:cs="Times New Roman"/>
                <w:b/>
                <w:bCs/>
                <w:sz w:val="22"/>
                <w:szCs w:val="22"/>
              </w:rPr>
            </w:pPr>
            <w:r>
              <w:rPr>
                <w:rFonts w:ascii="Arial Narrow" w:hAnsi="Arial Narrow" w:cs="Times New Roman"/>
                <w:b/>
                <w:bCs/>
                <w:sz w:val="22"/>
                <w:szCs w:val="22"/>
              </w:rPr>
              <w:t>-</w:t>
            </w:r>
          </w:p>
        </w:tc>
      </w:tr>
      <w:tr>
        <w:tblPrEx>
          <w:tblW w:w="9015" w:type="dxa"/>
          <w:tblLayout w:type="fixed"/>
          <w:tblCellMar>
            <w:left w:w="0" w:type="dxa"/>
            <w:right w:w="0" w:type="dxa"/>
          </w:tblCellMar>
        </w:tblPrEx>
        <w:trPr>
          <w:trHeight w:val="284"/>
        </w:trPr>
        <w:tc>
          <w:tcPr>
            <w:tcW w:w="6855" w:type="dxa"/>
            <w:tcBorders>
              <w:top w:val="single" w:sz="4" w:space="0" w:color="auto"/>
              <w:left w:val="single" w:sz="4" w:space="0" w:color="auto"/>
              <w:bottom w:val="single" w:sz="4" w:space="0" w:color="auto"/>
              <w:right w:val="single" w:sz="4" w:space="0" w:color="auto"/>
              <w:tl2br w:val="nil"/>
              <w:tr2bl w:val="nil"/>
            </w:tcBorders>
            <w:shd w:val="clear" w:color="auto" w:fill="C0C0C0"/>
            <w:noWrap/>
            <w:tcMar>
              <w:top w:w="15" w:type="dxa"/>
              <w:left w:w="15" w:type="dxa"/>
              <w:bottom w:w="0" w:type="dxa"/>
              <w:right w:w="15" w:type="dxa"/>
            </w:tcMar>
            <w:textDirection w:val="lrTb"/>
            <w:vAlign w:val="bottom"/>
          </w:tcPr>
          <w:p w:rsidR="007078B9" w:rsidRPr="00691B22" w:rsidP="00E05908">
            <w:pPr>
              <w:spacing w:line="240" w:lineRule="auto"/>
              <w:rPr>
                <w:rFonts w:ascii="Arial Narrow" w:hAnsi="Arial Narrow" w:cs="Times New Roman"/>
                <w:bCs/>
                <w:sz w:val="22"/>
                <w:szCs w:val="22"/>
              </w:rPr>
            </w:pPr>
            <w:r>
              <w:rPr>
                <w:rFonts w:ascii="Arial Narrow" w:hAnsi="Arial Narrow" w:cs="Times New Roman"/>
                <w:b/>
                <w:bCs/>
                <w:sz w:val="22"/>
                <w:szCs w:val="22"/>
              </w:rPr>
              <w:t xml:space="preserve">VLASTNÉ ZDROJE KRYTIA MAJETKU A </w:t>
            </w:r>
            <w:r>
              <w:rPr>
                <w:rFonts w:ascii="Arial Narrow" w:hAnsi="Arial Narrow" w:cs="Times New Roman"/>
                <w:b/>
                <w:bCs/>
                <w:sz w:val="22"/>
                <w:szCs w:val="22"/>
              </w:rPr>
              <w:t>ZÁVÄZKY</w:t>
            </w:r>
            <w:r>
              <w:rPr>
                <w:rFonts w:ascii="Arial Narrow" w:hAnsi="Arial Narrow" w:cs="Times New Roman"/>
                <w:b/>
                <w:bCs/>
                <w:sz w:val="22"/>
                <w:szCs w:val="22"/>
              </w:rPr>
              <w:t xml:space="preserve"> súčet</w:t>
            </w:r>
          </w:p>
        </w:tc>
        <w:tc>
          <w:tcPr>
            <w:tcW w:w="2160" w:type="dxa"/>
            <w:tcBorders>
              <w:top w:val="single" w:sz="4" w:space="0" w:color="auto"/>
              <w:left w:val="nil"/>
              <w:bottom w:val="single" w:sz="4" w:space="0" w:color="auto"/>
              <w:right w:val="single" w:sz="4" w:space="0" w:color="auto"/>
              <w:tl2br w:val="nil"/>
              <w:tr2bl w:val="nil"/>
            </w:tcBorders>
            <w:shd w:val="clear" w:color="auto" w:fill="C0C0C0"/>
            <w:noWrap/>
            <w:tcMar>
              <w:top w:w="15" w:type="dxa"/>
              <w:left w:w="15" w:type="dxa"/>
              <w:bottom w:w="0" w:type="dxa"/>
              <w:right w:w="15" w:type="dxa"/>
            </w:tcMar>
            <w:textDirection w:val="lrTb"/>
            <w:vAlign w:val="bottom"/>
          </w:tcPr>
          <w:p w:rsidR="007078B9" w:rsidRPr="00691B22" w:rsidP="00E05908">
            <w:pPr>
              <w:spacing w:line="240" w:lineRule="auto"/>
              <w:jc w:val="right"/>
              <w:rPr>
                <w:rFonts w:ascii="Arial Narrow" w:hAnsi="Arial Narrow" w:cs="Times New Roman"/>
                <w:b/>
                <w:bCs/>
                <w:sz w:val="22"/>
                <w:szCs w:val="22"/>
              </w:rPr>
            </w:pPr>
            <w:r>
              <w:rPr>
                <w:rFonts w:ascii="Arial Narrow" w:hAnsi="Arial Narrow" w:cs="Times New Roman"/>
                <w:b/>
                <w:bCs/>
                <w:sz w:val="22"/>
                <w:szCs w:val="22"/>
              </w:rPr>
              <w:t>129.185.450.303,63</w:t>
            </w:r>
          </w:p>
        </w:tc>
      </w:tr>
    </w:tbl>
    <w:p w:rsidR="0034371C" w:rsidP="007078B9">
      <w:pPr>
        <w:spacing w:line="240" w:lineRule="auto"/>
        <w:rPr>
          <w:rFonts w:ascii="Times New Roman" w:hAnsi="Times New Roman" w:cs="Times New Roman"/>
          <w:b/>
          <w:sz w:val="28"/>
          <w:szCs w:val="28"/>
        </w:rPr>
      </w:pPr>
    </w:p>
    <w:p w:rsidR="007078B9" w:rsidRPr="0037441B" w:rsidP="007078B9">
      <w:pPr>
        <w:spacing w:line="240" w:lineRule="auto"/>
        <w:rPr>
          <w:rFonts w:ascii="Times New Roman" w:hAnsi="Times New Roman" w:cs="Times New Roman"/>
          <w:b/>
          <w:sz w:val="28"/>
          <w:szCs w:val="28"/>
        </w:rPr>
      </w:pPr>
      <w:r w:rsidRPr="0037441B">
        <w:rPr>
          <w:rFonts w:ascii="Times New Roman" w:hAnsi="Times New Roman" w:cs="Times New Roman"/>
          <w:b/>
          <w:sz w:val="28"/>
          <w:szCs w:val="28"/>
        </w:rPr>
        <w:t>Prehľad stavu pohľ</w:t>
      </w:r>
      <w:r>
        <w:rPr>
          <w:rFonts w:ascii="Times New Roman" w:hAnsi="Times New Roman" w:cs="Times New Roman"/>
          <w:b/>
          <w:sz w:val="28"/>
          <w:szCs w:val="28"/>
        </w:rPr>
        <w:t>adávok a záväzkov MDPT SR k 31.12.2007</w:t>
      </w:r>
    </w:p>
    <w:p w:rsidR="001221BA" w:rsidP="007078B9">
      <w:pPr>
        <w:spacing w:line="240" w:lineRule="auto"/>
        <w:rPr>
          <w:rFonts w:ascii="Times New Roman" w:hAnsi="Times New Roman" w:cs="Times New Roman"/>
          <w:b/>
          <w:sz w:val="24"/>
          <w:szCs w:val="24"/>
        </w:rPr>
      </w:pPr>
    </w:p>
    <w:p w:rsidR="001221BA" w:rsidRPr="0034371C" w:rsidP="007078B9">
      <w:pPr>
        <w:spacing w:line="240" w:lineRule="auto"/>
        <w:rPr>
          <w:rFonts w:ascii="Times New Roman" w:hAnsi="Times New Roman" w:cs="Times New Roman"/>
          <w:b/>
          <w:sz w:val="24"/>
          <w:szCs w:val="24"/>
        </w:rPr>
      </w:pPr>
      <w:r w:rsidR="007078B9">
        <w:rPr>
          <w:rFonts w:ascii="Times New Roman" w:hAnsi="Times New Roman" w:cs="Times New Roman"/>
          <w:b/>
          <w:sz w:val="24"/>
          <w:szCs w:val="24"/>
        </w:rPr>
        <w:t>Stav pohľadávok  k 31.12.2007</w:t>
      </w:r>
      <w:r w:rsidR="007078B9">
        <w:rPr>
          <w:rFonts w:ascii="Times New Roman" w:hAnsi="Times New Roman" w:cs="Times New Roman"/>
          <w:sz w:val="24"/>
          <w:szCs w:val="24"/>
        </w:rPr>
        <w:t>.....................................</w:t>
      </w:r>
      <w:r w:rsidR="007F60BD">
        <w:rPr>
          <w:rFonts w:ascii="Times New Roman" w:hAnsi="Times New Roman" w:cs="Times New Roman"/>
          <w:sz w:val="24"/>
          <w:szCs w:val="24"/>
        </w:rPr>
        <w:t>...............................</w:t>
      </w:r>
      <w:r w:rsidR="008614A3">
        <w:rPr>
          <w:rFonts w:ascii="Times New Roman" w:hAnsi="Times New Roman" w:cs="Times New Roman"/>
          <w:sz w:val="24"/>
          <w:szCs w:val="24"/>
        </w:rPr>
        <w:t xml:space="preserve">269 134 </w:t>
      </w:r>
      <w:r w:rsidR="007078B9">
        <w:rPr>
          <w:rFonts w:ascii="Times New Roman" w:hAnsi="Times New Roman" w:cs="Times New Roman"/>
          <w:sz w:val="24"/>
          <w:szCs w:val="24"/>
        </w:rPr>
        <w:t>983,21 Sk</w:t>
      </w:r>
    </w:p>
    <w:p w:rsidR="001221BA" w:rsidP="007078B9">
      <w:pPr>
        <w:spacing w:line="240" w:lineRule="auto"/>
        <w:rPr>
          <w:rFonts w:ascii="Times New Roman" w:hAnsi="Times New Roman" w:cs="Times New Roman"/>
          <w:sz w:val="24"/>
          <w:szCs w:val="24"/>
        </w:rPr>
      </w:pPr>
      <w:r w:rsidR="007078B9">
        <w:rPr>
          <w:rFonts w:ascii="Times New Roman" w:hAnsi="Times New Roman" w:cs="Times New Roman"/>
          <w:sz w:val="24"/>
          <w:szCs w:val="24"/>
        </w:rPr>
        <w:t>z toho po lehote splatnosti................................................</w:t>
      </w:r>
      <w:r w:rsidR="007F60BD">
        <w:rPr>
          <w:rFonts w:ascii="Times New Roman" w:hAnsi="Times New Roman" w:cs="Times New Roman"/>
          <w:sz w:val="24"/>
          <w:szCs w:val="24"/>
        </w:rPr>
        <w:t>..............................</w:t>
      </w:r>
      <w:r w:rsidR="008614A3">
        <w:rPr>
          <w:rFonts w:ascii="Times New Roman" w:hAnsi="Times New Roman" w:cs="Times New Roman"/>
          <w:sz w:val="24"/>
          <w:szCs w:val="24"/>
        </w:rPr>
        <w:t xml:space="preserve">268 818 </w:t>
      </w:r>
      <w:r w:rsidR="0034371C">
        <w:rPr>
          <w:rFonts w:ascii="Times New Roman" w:hAnsi="Times New Roman" w:cs="Times New Roman"/>
          <w:sz w:val="24"/>
          <w:szCs w:val="24"/>
        </w:rPr>
        <w:t>703,94 Sk</w:t>
      </w:r>
    </w:p>
    <w:p w:rsidR="007078B9" w:rsidRPr="001526D7" w:rsidP="007078B9">
      <w:pPr>
        <w:spacing w:line="240" w:lineRule="auto"/>
        <w:rPr>
          <w:rFonts w:ascii="Times New Roman" w:hAnsi="Times New Roman" w:cs="Times New Roman"/>
          <w:sz w:val="24"/>
          <w:szCs w:val="24"/>
        </w:rPr>
      </w:pPr>
      <w:r>
        <w:rPr>
          <w:rFonts w:ascii="Times New Roman" w:hAnsi="Times New Roman" w:cs="Times New Roman"/>
          <w:sz w:val="24"/>
          <w:szCs w:val="24"/>
        </w:rPr>
        <w:t>v lehote splatnosti...........................................................</w:t>
      </w:r>
      <w:r w:rsidR="007F60BD">
        <w:rPr>
          <w:rFonts w:ascii="Times New Roman" w:hAnsi="Times New Roman" w:cs="Times New Roman"/>
          <w:sz w:val="24"/>
          <w:szCs w:val="24"/>
        </w:rPr>
        <w:t>.......................................</w:t>
      </w:r>
      <w:r w:rsidR="008614A3">
        <w:rPr>
          <w:rFonts w:ascii="Times New Roman" w:hAnsi="Times New Roman" w:cs="Times New Roman"/>
          <w:sz w:val="24"/>
          <w:szCs w:val="24"/>
        </w:rPr>
        <w:t xml:space="preserve">316 </w:t>
      </w:r>
      <w:r>
        <w:rPr>
          <w:rFonts w:ascii="Times New Roman" w:hAnsi="Times New Roman" w:cs="Times New Roman"/>
          <w:sz w:val="24"/>
          <w:szCs w:val="24"/>
        </w:rPr>
        <w:t>279,27 Sk</w:t>
      </w:r>
    </w:p>
    <w:p w:rsidR="007078B9" w:rsidP="007078B9">
      <w:pPr>
        <w:spacing w:line="240" w:lineRule="auto"/>
        <w:ind w:firstLine="708"/>
        <w:rPr>
          <w:rFonts w:ascii="Times New Roman" w:hAnsi="Times New Roman" w:cs="Times New Roman"/>
          <w:sz w:val="24"/>
          <w:szCs w:val="24"/>
        </w:rPr>
      </w:pPr>
    </w:p>
    <w:p w:rsidR="001221BA" w:rsidRPr="001526D7" w:rsidP="007078B9">
      <w:pPr>
        <w:spacing w:line="240" w:lineRule="auto"/>
        <w:ind w:firstLine="708"/>
        <w:rPr>
          <w:rFonts w:ascii="Times New Roman" w:hAnsi="Times New Roman" w:cs="Times New Roman"/>
          <w:sz w:val="24"/>
          <w:szCs w:val="24"/>
        </w:rPr>
      </w:pPr>
    </w:p>
    <w:p w:rsidR="007078B9" w:rsidP="007078B9">
      <w:pPr>
        <w:spacing w:line="240" w:lineRule="auto"/>
        <w:ind w:firstLine="708"/>
        <w:rPr>
          <w:rFonts w:ascii="Times New Roman" w:hAnsi="Times New Roman" w:cs="Times New Roman"/>
          <w:sz w:val="24"/>
          <w:szCs w:val="24"/>
        </w:rPr>
      </w:pPr>
      <w:r w:rsidRPr="001526D7">
        <w:rPr>
          <w:rFonts w:ascii="Times New Roman" w:hAnsi="Times New Roman" w:cs="Times New Roman"/>
          <w:sz w:val="24"/>
          <w:szCs w:val="24"/>
        </w:rPr>
        <w:t>Pohľadávky po lehote splatnosti predstavujú pohľadávky</w:t>
      </w:r>
      <w:r>
        <w:rPr>
          <w:rFonts w:ascii="Times New Roman" w:hAnsi="Times New Roman" w:cs="Times New Roman"/>
          <w:sz w:val="24"/>
          <w:szCs w:val="24"/>
        </w:rPr>
        <w:t xml:space="preserve"> za neuhradené diaľničné nálepky (za roky 1997 až 2002, ktoré </w:t>
      </w:r>
      <w:r w:rsidR="008614A3">
        <w:rPr>
          <w:rFonts w:ascii="Times New Roman" w:hAnsi="Times New Roman" w:cs="Times New Roman"/>
          <w:sz w:val="24"/>
          <w:szCs w:val="24"/>
        </w:rPr>
        <w:t xml:space="preserve">sú súdne vymáhané) vo výške 191 </w:t>
      </w:r>
      <w:r>
        <w:rPr>
          <w:rFonts w:ascii="Times New Roman" w:hAnsi="Times New Roman" w:cs="Times New Roman"/>
          <w:sz w:val="24"/>
          <w:szCs w:val="24"/>
        </w:rPr>
        <w:t>717 tis. Sk, pohľadávky v</w:t>
      </w:r>
      <w:r w:rsidR="008614A3">
        <w:rPr>
          <w:rFonts w:ascii="Times New Roman" w:hAnsi="Times New Roman" w:cs="Times New Roman"/>
          <w:sz w:val="24"/>
          <w:szCs w:val="24"/>
        </w:rPr>
        <w:t xml:space="preserve">oči Slovenským aerolíniám, a.s., </w:t>
      </w:r>
      <w:r>
        <w:rPr>
          <w:rFonts w:ascii="Times New Roman" w:hAnsi="Times New Roman" w:cs="Times New Roman"/>
          <w:sz w:val="24"/>
          <w:szCs w:val="24"/>
        </w:rPr>
        <w:t xml:space="preserve">za </w:t>
      </w:r>
      <w:r w:rsidR="008614A3">
        <w:rPr>
          <w:rFonts w:ascii="Times New Roman" w:hAnsi="Times New Roman" w:cs="Times New Roman"/>
          <w:sz w:val="24"/>
          <w:szCs w:val="24"/>
        </w:rPr>
        <w:t xml:space="preserve">prenájom lietadiel vo výške  75 </w:t>
      </w:r>
      <w:r>
        <w:rPr>
          <w:rFonts w:ascii="Times New Roman" w:hAnsi="Times New Roman" w:cs="Times New Roman"/>
          <w:sz w:val="24"/>
          <w:szCs w:val="24"/>
        </w:rPr>
        <w:t>248 tis. Sk, pohľadávky za neuhradené faktúry delimitované po zrušení príspevkovej organizácie Slovenská správa letísk a iné.</w:t>
      </w:r>
    </w:p>
    <w:p w:rsidR="001221BA" w:rsidRPr="001526D7" w:rsidP="007078B9">
      <w:pPr>
        <w:spacing w:line="240" w:lineRule="auto"/>
        <w:rPr>
          <w:rFonts w:ascii="Times New Roman" w:hAnsi="Times New Roman" w:cs="Times New Roman"/>
          <w:sz w:val="24"/>
          <w:szCs w:val="24"/>
        </w:rPr>
      </w:pPr>
      <w:r w:rsidR="0034371C">
        <w:rPr>
          <w:rFonts w:ascii="Times New Roman" w:hAnsi="Times New Roman" w:cs="Times New Roman"/>
          <w:sz w:val="24"/>
          <w:szCs w:val="24"/>
        </w:rPr>
        <w:t xml:space="preserve">  </w:t>
      </w:r>
    </w:p>
    <w:p w:rsidR="001221BA" w:rsidRPr="0034371C" w:rsidP="007078B9">
      <w:pPr>
        <w:spacing w:line="240" w:lineRule="auto"/>
        <w:rPr>
          <w:rFonts w:ascii="Times New Roman" w:hAnsi="Times New Roman" w:cs="Times New Roman"/>
          <w:b/>
          <w:sz w:val="24"/>
          <w:szCs w:val="24"/>
        </w:rPr>
      </w:pPr>
      <w:r w:rsidR="007078B9">
        <w:rPr>
          <w:rFonts w:ascii="Times New Roman" w:hAnsi="Times New Roman" w:cs="Times New Roman"/>
          <w:b/>
          <w:sz w:val="24"/>
          <w:szCs w:val="24"/>
        </w:rPr>
        <w:t>Stav záväzkov k 31.12.2007</w:t>
      </w:r>
      <w:r w:rsidRPr="00C23FE0" w:rsidR="007078B9">
        <w:rPr>
          <w:rFonts w:ascii="Times New Roman" w:hAnsi="Times New Roman" w:cs="Times New Roman"/>
          <w:sz w:val="24"/>
          <w:szCs w:val="24"/>
        </w:rPr>
        <w:t>.................................</w:t>
      </w:r>
      <w:r w:rsidR="007F60BD">
        <w:rPr>
          <w:rFonts w:ascii="Times New Roman" w:hAnsi="Times New Roman" w:cs="Times New Roman"/>
          <w:sz w:val="24"/>
          <w:szCs w:val="24"/>
        </w:rPr>
        <w:t>...........................</w:t>
      </w:r>
      <w:r w:rsidRPr="00C23FE0" w:rsidR="007078B9">
        <w:rPr>
          <w:rFonts w:ascii="Times New Roman" w:hAnsi="Times New Roman" w:cs="Times New Roman"/>
          <w:sz w:val="24"/>
          <w:szCs w:val="24"/>
        </w:rPr>
        <w:t>..</w:t>
      </w:r>
      <w:r w:rsidR="007078B9">
        <w:rPr>
          <w:rFonts w:ascii="Times New Roman" w:hAnsi="Times New Roman" w:cs="Times New Roman"/>
          <w:sz w:val="24"/>
          <w:szCs w:val="24"/>
        </w:rPr>
        <w:t>........</w:t>
      </w:r>
      <w:r w:rsidRPr="00C23FE0" w:rsidR="007078B9">
        <w:rPr>
          <w:rFonts w:ascii="Times New Roman" w:hAnsi="Times New Roman" w:cs="Times New Roman"/>
          <w:sz w:val="24"/>
          <w:szCs w:val="24"/>
        </w:rPr>
        <w:t>...</w:t>
      </w:r>
      <w:r w:rsidR="0096169F">
        <w:rPr>
          <w:rFonts w:ascii="Times New Roman" w:hAnsi="Times New Roman" w:cs="Times New Roman"/>
          <w:b/>
          <w:sz w:val="24"/>
          <w:szCs w:val="24"/>
        </w:rPr>
        <w:t xml:space="preserve">776 240 687,97 </w:t>
      </w:r>
      <w:r w:rsidR="0034371C">
        <w:rPr>
          <w:rFonts w:ascii="Times New Roman" w:hAnsi="Times New Roman" w:cs="Times New Roman"/>
          <w:b/>
          <w:sz w:val="24"/>
          <w:szCs w:val="24"/>
        </w:rPr>
        <w:t>Sk</w:t>
      </w:r>
    </w:p>
    <w:p w:rsidR="007078B9" w:rsidRPr="001526D7" w:rsidP="007078B9">
      <w:pPr>
        <w:spacing w:line="240" w:lineRule="auto"/>
        <w:rPr>
          <w:rFonts w:ascii="Times New Roman" w:hAnsi="Times New Roman" w:cs="Times New Roman"/>
          <w:sz w:val="24"/>
          <w:szCs w:val="24"/>
        </w:rPr>
      </w:pPr>
      <w:r w:rsidRPr="001526D7">
        <w:rPr>
          <w:rFonts w:ascii="Times New Roman" w:hAnsi="Times New Roman" w:cs="Times New Roman"/>
          <w:sz w:val="24"/>
          <w:szCs w:val="24"/>
        </w:rPr>
        <w:t>z toho:</w:t>
      </w:r>
    </w:p>
    <w:p w:rsidR="007078B9" w:rsidRPr="001526D7" w:rsidP="007078B9">
      <w:pPr>
        <w:numPr>
          <w:ilvl w:val="0"/>
          <w:numId w:val="17"/>
        </w:numPr>
        <w:tabs>
          <w:tab w:val="left" w:pos="1068"/>
        </w:tabs>
        <w:adjustRightInd/>
        <w:spacing w:line="240" w:lineRule="auto"/>
        <w:textAlignment w:val="auto"/>
        <w:rPr>
          <w:rFonts w:ascii="Times New Roman" w:hAnsi="Times New Roman" w:cs="Times New Roman"/>
          <w:sz w:val="24"/>
          <w:szCs w:val="24"/>
        </w:rPr>
      </w:pPr>
      <w:r>
        <w:rPr>
          <w:rFonts w:ascii="Times New Roman" w:hAnsi="Times New Roman" w:cs="Times New Roman"/>
          <w:sz w:val="24"/>
          <w:szCs w:val="24"/>
        </w:rPr>
        <w:t>záväzky z miezd 12/2007............................</w:t>
      </w:r>
      <w:r w:rsidR="007F60BD">
        <w:rPr>
          <w:rFonts w:ascii="Times New Roman" w:hAnsi="Times New Roman" w:cs="Times New Roman"/>
          <w:sz w:val="24"/>
          <w:szCs w:val="24"/>
        </w:rPr>
        <w:t>..................................</w:t>
      </w:r>
      <w:r w:rsidR="008614A3">
        <w:rPr>
          <w:rFonts w:ascii="Times New Roman" w:hAnsi="Times New Roman" w:cs="Times New Roman"/>
          <w:sz w:val="24"/>
          <w:szCs w:val="24"/>
        </w:rPr>
        <w:t xml:space="preserve">...6 950 </w:t>
      </w:r>
      <w:r>
        <w:rPr>
          <w:rFonts w:ascii="Times New Roman" w:hAnsi="Times New Roman" w:cs="Times New Roman"/>
          <w:sz w:val="24"/>
          <w:szCs w:val="24"/>
        </w:rPr>
        <w:t>878,00  Sk</w:t>
      </w:r>
    </w:p>
    <w:p w:rsidR="007078B9" w:rsidRPr="001526D7" w:rsidP="007078B9">
      <w:pPr>
        <w:numPr>
          <w:ilvl w:val="0"/>
          <w:numId w:val="17"/>
        </w:numPr>
        <w:tabs>
          <w:tab w:val="left" w:pos="1068"/>
        </w:tabs>
        <w:adjustRightInd/>
        <w:spacing w:line="240" w:lineRule="auto"/>
        <w:textAlignment w:val="auto"/>
        <w:rPr>
          <w:rFonts w:ascii="Times New Roman" w:hAnsi="Times New Roman" w:cs="Times New Roman"/>
          <w:sz w:val="24"/>
          <w:szCs w:val="24"/>
        </w:rPr>
      </w:pPr>
      <w:r w:rsidRPr="001526D7">
        <w:rPr>
          <w:rFonts w:ascii="Times New Roman" w:hAnsi="Times New Roman" w:cs="Times New Roman"/>
          <w:sz w:val="24"/>
          <w:szCs w:val="24"/>
        </w:rPr>
        <w:t>odvody do poisťovní 12/20</w:t>
      </w:r>
      <w:r>
        <w:rPr>
          <w:rFonts w:ascii="Times New Roman" w:hAnsi="Times New Roman" w:cs="Times New Roman"/>
          <w:sz w:val="24"/>
          <w:szCs w:val="24"/>
        </w:rPr>
        <w:t>07.......................</w:t>
      </w:r>
      <w:r w:rsidR="007F60BD">
        <w:rPr>
          <w:rFonts w:ascii="Times New Roman" w:hAnsi="Times New Roman" w:cs="Times New Roman"/>
          <w:sz w:val="24"/>
          <w:szCs w:val="24"/>
        </w:rPr>
        <w:t>..................................</w:t>
      </w:r>
      <w:r w:rsidR="008614A3">
        <w:rPr>
          <w:rFonts w:ascii="Times New Roman" w:hAnsi="Times New Roman" w:cs="Times New Roman"/>
          <w:sz w:val="24"/>
          <w:szCs w:val="24"/>
        </w:rPr>
        <w:t xml:space="preserve">.1 201 </w:t>
      </w:r>
      <w:r>
        <w:rPr>
          <w:rFonts w:ascii="Times New Roman" w:hAnsi="Times New Roman" w:cs="Times New Roman"/>
          <w:sz w:val="24"/>
          <w:szCs w:val="24"/>
        </w:rPr>
        <w:t>594,00  Sk</w:t>
      </w:r>
    </w:p>
    <w:p w:rsidR="007078B9" w:rsidRPr="001526D7" w:rsidP="007078B9">
      <w:pPr>
        <w:numPr>
          <w:ilvl w:val="0"/>
          <w:numId w:val="17"/>
        </w:numPr>
        <w:tabs>
          <w:tab w:val="left" w:pos="1068"/>
        </w:tabs>
        <w:adjustRightInd/>
        <w:spacing w:line="240" w:lineRule="auto"/>
        <w:textAlignment w:val="auto"/>
        <w:rPr>
          <w:rFonts w:ascii="Times New Roman" w:hAnsi="Times New Roman" w:cs="Times New Roman"/>
          <w:sz w:val="24"/>
          <w:szCs w:val="24"/>
        </w:rPr>
      </w:pPr>
      <w:r w:rsidRPr="001526D7">
        <w:rPr>
          <w:rFonts w:ascii="Times New Roman" w:hAnsi="Times New Roman" w:cs="Times New Roman"/>
          <w:sz w:val="24"/>
          <w:szCs w:val="24"/>
        </w:rPr>
        <w:t>odvody dane z </w:t>
      </w:r>
      <w:r>
        <w:rPr>
          <w:rFonts w:ascii="Times New Roman" w:hAnsi="Times New Roman" w:cs="Times New Roman"/>
          <w:sz w:val="24"/>
          <w:szCs w:val="24"/>
        </w:rPr>
        <w:t>príjmu fyz. osôb 12/2007......</w:t>
      </w:r>
      <w:r w:rsidR="007F60BD">
        <w:rPr>
          <w:rFonts w:ascii="Times New Roman" w:hAnsi="Times New Roman" w:cs="Times New Roman"/>
          <w:sz w:val="24"/>
          <w:szCs w:val="24"/>
        </w:rPr>
        <w:t>.........</w:t>
      </w:r>
      <w:r w:rsidR="008614A3">
        <w:rPr>
          <w:rFonts w:ascii="Times New Roman" w:hAnsi="Times New Roman" w:cs="Times New Roman"/>
          <w:sz w:val="24"/>
          <w:szCs w:val="24"/>
        </w:rPr>
        <w:t xml:space="preserve">..........................1 242 </w:t>
      </w:r>
      <w:r w:rsidR="007F60BD">
        <w:rPr>
          <w:rFonts w:ascii="Times New Roman" w:hAnsi="Times New Roman" w:cs="Times New Roman"/>
          <w:sz w:val="24"/>
          <w:szCs w:val="24"/>
        </w:rPr>
        <w:t>607,00  Sk</w:t>
      </w:r>
      <w:r>
        <w:rPr>
          <w:rFonts w:ascii="Times New Roman" w:hAnsi="Times New Roman" w:cs="Times New Roman"/>
          <w:sz w:val="24"/>
          <w:szCs w:val="24"/>
        </w:rPr>
        <w:t xml:space="preserve">  </w:t>
      </w:r>
    </w:p>
    <w:p w:rsidR="007078B9" w:rsidRPr="001526D7" w:rsidP="007078B9">
      <w:pPr>
        <w:numPr>
          <w:ilvl w:val="0"/>
          <w:numId w:val="17"/>
        </w:numPr>
        <w:tabs>
          <w:tab w:val="left" w:pos="1068"/>
        </w:tabs>
        <w:adjustRightInd/>
        <w:spacing w:line="240" w:lineRule="auto"/>
        <w:textAlignment w:val="auto"/>
        <w:rPr>
          <w:rFonts w:ascii="Times New Roman" w:hAnsi="Times New Roman" w:cs="Times New Roman"/>
          <w:sz w:val="24"/>
          <w:szCs w:val="24"/>
        </w:rPr>
      </w:pPr>
      <w:r w:rsidRPr="001526D7">
        <w:rPr>
          <w:rFonts w:ascii="Times New Roman" w:hAnsi="Times New Roman" w:cs="Times New Roman"/>
          <w:sz w:val="24"/>
          <w:szCs w:val="24"/>
        </w:rPr>
        <w:t>nevyplatené mzdy 12/</w:t>
      </w:r>
      <w:r>
        <w:rPr>
          <w:rFonts w:ascii="Times New Roman" w:hAnsi="Times New Roman" w:cs="Times New Roman"/>
          <w:sz w:val="24"/>
          <w:szCs w:val="24"/>
        </w:rPr>
        <w:t>2007................................</w:t>
      </w:r>
      <w:r w:rsidR="007F60BD">
        <w:rPr>
          <w:rFonts w:ascii="Times New Roman" w:hAnsi="Times New Roman" w:cs="Times New Roman"/>
          <w:sz w:val="24"/>
          <w:szCs w:val="24"/>
        </w:rPr>
        <w:t>.................................</w:t>
      </w:r>
      <w:r w:rsidR="008614A3">
        <w:rPr>
          <w:rFonts w:ascii="Times New Roman" w:hAnsi="Times New Roman" w:cs="Times New Roman"/>
          <w:sz w:val="24"/>
          <w:szCs w:val="24"/>
        </w:rPr>
        <w:t xml:space="preserve">531 </w:t>
      </w:r>
      <w:r>
        <w:rPr>
          <w:rFonts w:ascii="Times New Roman" w:hAnsi="Times New Roman" w:cs="Times New Roman"/>
          <w:sz w:val="24"/>
          <w:szCs w:val="24"/>
        </w:rPr>
        <w:t>393,00  Sk</w:t>
      </w:r>
    </w:p>
    <w:p w:rsidR="0096169F" w:rsidP="007078B9">
      <w:pPr>
        <w:numPr>
          <w:ilvl w:val="0"/>
          <w:numId w:val="17"/>
        </w:numPr>
        <w:tabs>
          <w:tab w:val="left" w:pos="1068"/>
        </w:tabs>
        <w:adjustRightInd/>
        <w:spacing w:line="240" w:lineRule="auto"/>
        <w:textAlignment w:val="auto"/>
        <w:rPr>
          <w:rFonts w:ascii="Times New Roman" w:hAnsi="Times New Roman" w:cs="Times New Roman"/>
          <w:sz w:val="24"/>
          <w:szCs w:val="24"/>
        </w:rPr>
      </w:pPr>
      <w:r w:rsidRPr="001526D7" w:rsidR="007078B9">
        <w:rPr>
          <w:rFonts w:ascii="Times New Roman" w:hAnsi="Times New Roman" w:cs="Times New Roman"/>
          <w:sz w:val="24"/>
          <w:szCs w:val="24"/>
        </w:rPr>
        <w:t>neuhradené dodávateľské faktúry</w:t>
      </w:r>
      <w:r w:rsidR="007078B9">
        <w:rPr>
          <w:rFonts w:ascii="Times New Roman" w:hAnsi="Times New Roman" w:cs="Times New Roman"/>
          <w:sz w:val="24"/>
          <w:szCs w:val="24"/>
        </w:rPr>
        <w:t>.................</w:t>
      </w:r>
      <w:r w:rsidR="007F60BD">
        <w:rPr>
          <w:rFonts w:ascii="Times New Roman" w:hAnsi="Times New Roman" w:cs="Times New Roman"/>
          <w:sz w:val="24"/>
          <w:szCs w:val="24"/>
        </w:rPr>
        <w:t>...</w:t>
      </w:r>
      <w:r w:rsidR="003C3CD8">
        <w:rPr>
          <w:rFonts w:ascii="Times New Roman" w:hAnsi="Times New Roman" w:cs="Times New Roman"/>
          <w:sz w:val="24"/>
          <w:szCs w:val="24"/>
        </w:rPr>
        <w:t>..............................1</w:t>
      </w:r>
      <w:r w:rsidR="008614A3">
        <w:rPr>
          <w:rFonts w:ascii="Times New Roman" w:hAnsi="Times New Roman" w:cs="Times New Roman"/>
          <w:sz w:val="24"/>
          <w:szCs w:val="24"/>
        </w:rPr>
        <w:t xml:space="preserve">8 690 </w:t>
      </w:r>
      <w:r w:rsidR="007078B9">
        <w:rPr>
          <w:rFonts w:ascii="Times New Roman" w:hAnsi="Times New Roman" w:cs="Times New Roman"/>
          <w:sz w:val="24"/>
          <w:szCs w:val="24"/>
        </w:rPr>
        <w:t>709,02  Sk</w:t>
      </w:r>
      <w:r w:rsidRPr="001526D7" w:rsidR="007078B9">
        <w:rPr>
          <w:rFonts w:ascii="Times New Roman" w:hAnsi="Times New Roman" w:cs="Times New Roman"/>
          <w:sz w:val="24"/>
          <w:szCs w:val="24"/>
        </w:rPr>
        <w:t xml:space="preserve"> </w:t>
      </w:r>
    </w:p>
    <w:p w:rsidR="007078B9" w:rsidP="007078B9">
      <w:pPr>
        <w:numPr>
          <w:ilvl w:val="0"/>
          <w:numId w:val="17"/>
        </w:numPr>
        <w:tabs>
          <w:tab w:val="left" w:pos="1068"/>
        </w:tabs>
        <w:adjustRightInd/>
        <w:spacing w:line="240" w:lineRule="auto"/>
        <w:textAlignment w:val="auto"/>
        <w:rPr>
          <w:rFonts w:ascii="Times New Roman" w:hAnsi="Times New Roman" w:cs="Times New Roman"/>
          <w:sz w:val="24"/>
          <w:szCs w:val="24"/>
        </w:rPr>
      </w:pPr>
      <w:r w:rsidR="0096169F">
        <w:rPr>
          <w:rFonts w:ascii="Times New Roman" w:hAnsi="Times New Roman" w:cs="Times New Roman"/>
          <w:sz w:val="24"/>
          <w:szCs w:val="24"/>
        </w:rPr>
        <w:t>dlhodobé záväzky (sociálny fond).......................................................842 521,03 Sk</w:t>
      </w:r>
      <w:r>
        <w:rPr>
          <w:rFonts w:ascii="Times New Roman" w:hAnsi="Times New Roman" w:cs="Times New Roman"/>
          <w:sz w:val="24"/>
          <w:szCs w:val="24"/>
        </w:rPr>
        <w:t xml:space="preserve">      </w:t>
      </w:r>
    </w:p>
    <w:p w:rsidR="007078B9" w:rsidP="007078B9">
      <w:pPr>
        <w:numPr>
          <w:ilvl w:val="0"/>
          <w:numId w:val="17"/>
        </w:numPr>
        <w:tabs>
          <w:tab w:val="left" w:pos="1068"/>
        </w:tabs>
        <w:adjustRightInd/>
        <w:spacing w:line="240" w:lineRule="auto"/>
        <w:textAlignment w:val="auto"/>
        <w:rPr>
          <w:rFonts w:ascii="Times New Roman" w:hAnsi="Times New Roman" w:cs="Times New Roman"/>
          <w:sz w:val="24"/>
          <w:szCs w:val="24"/>
        </w:rPr>
      </w:pPr>
      <w:r w:rsidR="007F60BD">
        <w:rPr>
          <w:rFonts w:ascii="Times New Roman" w:hAnsi="Times New Roman" w:cs="Times New Roman"/>
          <w:sz w:val="24"/>
          <w:szCs w:val="24"/>
        </w:rPr>
        <w:t>ostatné........................................................................</w:t>
      </w:r>
      <w:r w:rsidR="00A3475E">
        <w:rPr>
          <w:rFonts w:ascii="Times New Roman" w:hAnsi="Times New Roman" w:cs="Times New Roman"/>
          <w:sz w:val="24"/>
          <w:szCs w:val="24"/>
        </w:rPr>
        <w:t>..................746 780 985,92</w:t>
      </w:r>
      <w:r w:rsidR="007F60BD">
        <w:rPr>
          <w:rFonts w:ascii="Times New Roman" w:hAnsi="Times New Roman" w:cs="Times New Roman"/>
          <w:sz w:val="24"/>
          <w:szCs w:val="24"/>
        </w:rPr>
        <w:t xml:space="preserve">  Sk</w:t>
      </w:r>
    </w:p>
    <w:p w:rsidR="007078B9" w:rsidP="007078B9">
      <w:pPr>
        <w:adjustRightInd/>
        <w:spacing w:line="240" w:lineRule="auto"/>
        <w:ind w:left="1080"/>
        <w:textAlignment w:val="auto"/>
        <w:rPr>
          <w:rFonts w:ascii="Times New Roman" w:hAnsi="Times New Roman" w:cs="Times New Roman"/>
          <w:sz w:val="24"/>
          <w:szCs w:val="24"/>
        </w:rPr>
      </w:pPr>
      <w:r>
        <w:rPr>
          <w:rFonts w:ascii="Times New Roman" w:hAnsi="Times New Roman" w:cs="Times New Roman"/>
          <w:sz w:val="24"/>
          <w:szCs w:val="24"/>
        </w:rPr>
        <w:t>(neo</w:t>
      </w:r>
      <w:r w:rsidR="007F60BD">
        <w:rPr>
          <w:rFonts w:ascii="Times New Roman" w:hAnsi="Times New Roman" w:cs="Times New Roman"/>
          <w:sz w:val="24"/>
          <w:szCs w:val="24"/>
        </w:rPr>
        <w:t>dĺžený záväzok voči Železničnej spoločnosti Cargo Slovakia</w:t>
      </w:r>
      <w:r w:rsidR="008614A3">
        <w:rPr>
          <w:rFonts w:ascii="Times New Roman" w:hAnsi="Times New Roman" w:cs="Times New Roman"/>
          <w:sz w:val="24"/>
          <w:szCs w:val="24"/>
        </w:rPr>
        <w:t xml:space="preserve">, a.s., vo výške 366 </w:t>
      </w:r>
      <w:r>
        <w:rPr>
          <w:rFonts w:ascii="Times New Roman" w:hAnsi="Times New Roman" w:cs="Times New Roman"/>
          <w:sz w:val="24"/>
          <w:szCs w:val="24"/>
        </w:rPr>
        <w:t>485 tis. Sk, prostriedky EÚ pre ešte nerealizova</w:t>
      </w:r>
      <w:r w:rsidR="008614A3">
        <w:rPr>
          <w:rFonts w:ascii="Times New Roman" w:hAnsi="Times New Roman" w:cs="Times New Roman"/>
          <w:sz w:val="24"/>
          <w:szCs w:val="24"/>
        </w:rPr>
        <w:t xml:space="preserve">né projekty TEN-T vo výške  166 </w:t>
      </w:r>
      <w:r>
        <w:rPr>
          <w:rFonts w:ascii="Times New Roman" w:hAnsi="Times New Roman" w:cs="Times New Roman"/>
          <w:sz w:val="24"/>
          <w:szCs w:val="24"/>
        </w:rPr>
        <w:t xml:space="preserve">675 tis. Sk a ďalšie projekty financované z prostriedkov </w:t>
      </w:r>
      <w:r w:rsidR="008614A3">
        <w:rPr>
          <w:rFonts w:ascii="Times New Roman" w:hAnsi="Times New Roman" w:cs="Times New Roman"/>
          <w:sz w:val="24"/>
          <w:szCs w:val="24"/>
        </w:rPr>
        <w:t xml:space="preserve">EÚ vo výške 208 </w:t>
      </w:r>
      <w:r>
        <w:rPr>
          <w:rFonts w:ascii="Times New Roman" w:hAnsi="Times New Roman" w:cs="Times New Roman"/>
          <w:sz w:val="24"/>
          <w:szCs w:val="24"/>
        </w:rPr>
        <w:t>124 tis. Sk, závä</w:t>
      </w:r>
      <w:r w:rsidR="007F60BD">
        <w:rPr>
          <w:rFonts w:ascii="Times New Roman" w:hAnsi="Times New Roman" w:cs="Times New Roman"/>
          <w:sz w:val="24"/>
          <w:szCs w:val="24"/>
        </w:rPr>
        <w:t xml:space="preserve">zky delimitované po zrušení SSL </w:t>
      </w:r>
      <w:r w:rsidR="0096169F">
        <w:rPr>
          <w:rFonts w:ascii="Times New Roman" w:hAnsi="Times New Roman" w:cs="Times New Roman"/>
          <w:sz w:val="24"/>
          <w:szCs w:val="24"/>
        </w:rPr>
        <w:t>1.458 tis. Sk a iné)</w:t>
      </w:r>
    </w:p>
    <w:p w:rsidR="001221BA" w:rsidRPr="001526D7" w:rsidP="007078B9">
      <w:pPr>
        <w:spacing w:line="240" w:lineRule="auto"/>
        <w:rPr>
          <w:rFonts w:ascii="Times New Roman" w:hAnsi="Times New Roman" w:cs="Times New Roman"/>
          <w:b/>
          <w:sz w:val="24"/>
          <w:szCs w:val="24"/>
        </w:rPr>
      </w:pPr>
    </w:p>
    <w:p w:rsidR="001221BA" w:rsidRPr="0034371C" w:rsidP="007078B9">
      <w:pPr>
        <w:spacing w:line="240" w:lineRule="auto"/>
        <w:rPr>
          <w:rFonts w:ascii="Times New Roman" w:hAnsi="Times New Roman" w:cs="Times New Roman"/>
          <w:b/>
          <w:sz w:val="24"/>
          <w:szCs w:val="24"/>
        </w:rPr>
      </w:pPr>
      <w:r w:rsidRPr="001526D7" w:rsidR="007078B9">
        <w:rPr>
          <w:rFonts w:ascii="Times New Roman" w:hAnsi="Times New Roman" w:cs="Times New Roman"/>
          <w:b/>
          <w:sz w:val="24"/>
          <w:szCs w:val="24"/>
        </w:rPr>
        <w:t>Stav neuhradených dodávateľských faktúr</w:t>
      </w:r>
      <w:r w:rsidR="007078B9">
        <w:rPr>
          <w:rFonts w:ascii="Times New Roman" w:hAnsi="Times New Roman" w:cs="Times New Roman"/>
          <w:b/>
          <w:sz w:val="24"/>
          <w:szCs w:val="24"/>
        </w:rPr>
        <w:t xml:space="preserve"> k 31.12.2007</w:t>
      </w:r>
      <w:r w:rsidRPr="00C23FE0" w:rsidR="007078B9">
        <w:rPr>
          <w:rFonts w:ascii="Times New Roman" w:hAnsi="Times New Roman" w:cs="Times New Roman"/>
          <w:sz w:val="24"/>
          <w:szCs w:val="24"/>
        </w:rPr>
        <w:t>............</w:t>
      </w:r>
      <w:r w:rsidR="007F60BD">
        <w:rPr>
          <w:rFonts w:ascii="Times New Roman" w:hAnsi="Times New Roman" w:cs="Times New Roman"/>
          <w:sz w:val="24"/>
          <w:szCs w:val="24"/>
        </w:rPr>
        <w:t>..............</w:t>
      </w:r>
      <w:r w:rsidR="008614A3">
        <w:rPr>
          <w:rFonts w:ascii="Times New Roman" w:hAnsi="Times New Roman" w:cs="Times New Roman"/>
          <w:b/>
          <w:sz w:val="24"/>
          <w:szCs w:val="24"/>
        </w:rPr>
        <w:t xml:space="preserve">18 </w:t>
      </w:r>
      <w:r w:rsidR="007078B9">
        <w:rPr>
          <w:rFonts w:ascii="Times New Roman" w:hAnsi="Times New Roman" w:cs="Times New Roman"/>
          <w:b/>
          <w:sz w:val="24"/>
          <w:szCs w:val="24"/>
        </w:rPr>
        <w:t>690</w:t>
      </w:r>
      <w:r w:rsidR="008614A3">
        <w:rPr>
          <w:rFonts w:ascii="Times New Roman" w:hAnsi="Times New Roman" w:cs="Times New Roman"/>
          <w:b/>
          <w:sz w:val="24"/>
          <w:szCs w:val="24"/>
        </w:rPr>
        <w:t xml:space="preserve"> </w:t>
      </w:r>
      <w:r w:rsidR="007078B9">
        <w:rPr>
          <w:rFonts w:ascii="Times New Roman" w:hAnsi="Times New Roman" w:cs="Times New Roman"/>
          <w:b/>
          <w:sz w:val="24"/>
          <w:szCs w:val="24"/>
        </w:rPr>
        <w:t>709</w:t>
      </w:r>
      <w:r w:rsidRPr="006E233D" w:rsidR="007078B9">
        <w:rPr>
          <w:rFonts w:ascii="Times New Roman" w:hAnsi="Times New Roman" w:cs="Times New Roman"/>
          <w:b/>
          <w:sz w:val="24"/>
          <w:szCs w:val="24"/>
        </w:rPr>
        <w:t>,</w:t>
      </w:r>
      <w:r w:rsidR="007078B9">
        <w:rPr>
          <w:rFonts w:ascii="Times New Roman" w:hAnsi="Times New Roman" w:cs="Times New Roman"/>
          <w:b/>
          <w:sz w:val="24"/>
          <w:szCs w:val="24"/>
        </w:rPr>
        <w:t>02</w:t>
      </w:r>
      <w:r w:rsidR="007078B9">
        <w:rPr>
          <w:rFonts w:ascii="Times New Roman" w:hAnsi="Times New Roman" w:cs="Times New Roman"/>
          <w:sz w:val="24"/>
          <w:szCs w:val="24"/>
        </w:rPr>
        <w:t xml:space="preserve">  </w:t>
      </w:r>
      <w:r w:rsidR="007078B9">
        <w:rPr>
          <w:rFonts w:ascii="Times New Roman" w:hAnsi="Times New Roman" w:cs="Times New Roman"/>
          <w:b/>
          <w:sz w:val="24"/>
          <w:szCs w:val="24"/>
        </w:rPr>
        <w:t>Sk</w:t>
      </w:r>
    </w:p>
    <w:p w:rsidR="001221BA" w:rsidP="007078B9">
      <w:pPr>
        <w:spacing w:line="240" w:lineRule="auto"/>
        <w:rPr>
          <w:rFonts w:ascii="Times New Roman" w:hAnsi="Times New Roman" w:cs="Times New Roman"/>
          <w:sz w:val="24"/>
          <w:szCs w:val="24"/>
        </w:rPr>
      </w:pPr>
      <w:r w:rsidRPr="001526D7" w:rsidR="007078B9">
        <w:rPr>
          <w:rFonts w:ascii="Times New Roman" w:hAnsi="Times New Roman" w:cs="Times New Roman"/>
          <w:sz w:val="24"/>
          <w:szCs w:val="24"/>
        </w:rPr>
        <w:t xml:space="preserve">z toho </w:t>
      </w:r>
      <w:r w:rsidR="007078B9">
        <w:rPr>
          <w:rFonts w:ascii="Times New Roman" w:hAnsi="Times New Roman" w:cs="Times New Roman"/>
          <w:sz w:val="24"/>
          <w:szCs w:val="24"/>
        </w:rPr>
        <w:tab/>
        <w:t>po lehote splatnosti.....................................................................</w:t>
      </w:r>
      <w:r w:rsidR="007F60BD">
        <w:rPr>
          <w:rFonts w:ascii="Times New Roman" w:hAnsi="Times New Roman" w:cs="Times New Roman"/>
          <w:sz w:val="24"/>
          <w:szCs w:val="24"/>
        </w:rPr>
        <w:t>...............</w:t>
      </w:r>
      <w:r w:rsidR="008614A3">
        <w:rPr>
          <w:rFonts w:ascii="Times New Roman" w:hAnsi="Times New Roman" w:cs="Times New Roman"/>
          <w:sz w:val="24"/>
          <w:szCs w:val="24"/>
        </w:rPr>
        <w:t xml:space="preserve">584 </w:t>
      </w:r>
      <w:r w:rsidR="007078B9">
        <w:rPr>
          <w:rFonts w:ascii="Times New Roman" w:hAnsi="Times New Roman" w:cs="Times New Roman"/>
          <w:sz w:val="24"/>
          <w:szCs w:val="24"/>
        </w:rPr>
        <w:t>894,76  Sk</w:t>
      </w:r>
    </w:p>
    <w:p w:rsidR="007078B9" w:rsidRPr="001526D7" w:rsidP="007078B9">
      <w:pPr>
        <w:spacing w:line="240" w:lineRule="auto"/>
        <w:rPr>
          <w:rFonts w:ascii="Times New Roman" w:hAnsi="Times New Roman" w:cs="Times New Roman"/>
          <w:sz w:val="24"/>
          <w:szCs w:val="24"/>
        </w:rPr>
      </w:pPr>
      <w:r>
        <w:rPr>
          <w:rFonts w:ascii="Times New Roman" w:hAnsi="Times New Roman" w:cs="Times New Roman"/>
          <w:sz w:val="24"/>
          <w:szCs w:val="24"/>
        </w:rPr>
        <w:t>v lehote splatnosti..............................................................................</w:t>
      </w:r>
      <w:r w:rsidR="007F60BD">
        <w:rPr>
          <w:rFonts w:ascii="Times New Roman" w:hAnsi="Times New Roman" w:cs="Times New Roman"/>
          <w:sz w:val="24"/>
          <w:szCs w:val="24"/>
        </w:rPr>
        <w:t>..............</w:t>
      </w:r>
      <w:r w:rsidR="008614A3">
        <w:rPr>
          <w:rFonts w:ascii="Times New Roman" w:hAnsi="Times New Roman" w:cs="Times New Roman"/>
          <w:sz w:val="24"/>
          <w:szCs w:val="24"/>
        </w:rPr>
        <w:t xml:space="preserve">18 105 </w:t>
      </w:r>
      <w:r>
        <w:rPr>
          <w:rFonts w:ascii="Times New Roman" w:hAnsi="Times New Roman" w:cs="Times New Roman"/>
          <w:sz w:val="24"/>
          <w:szCs w:val="24"/>
        </w:rPr>
        <w:t>814,26  Sk</w:t>
      </w:r>
    </w:p>
    <w:p w:rsidR="001221BA" w:rsidP="007078B9">
      <w:pPr>
        <w:spacing w:line="240" w:lineRule="auto"/>
        <w:ind w:firstLine="708"/>
        <w:rPr>
          <w:rFonts w:ascii="Times New Roman" w:hAnsi="Times New Roman" w:cs="Times New Roman"/>
          <w:sz w:val="24"/>
          <w:szCs w:val="24"/>
        </w:rPr>
      </w:pPr>
    </w:p>
    <w:p w:rsidR="001221BA" w:rsidP="0034371C">
      <w:pPr>
        <w:spacing w:line="240" w:lineRule="auto"/>
        <w:ind w:firstLine="708"/>
        <w:rPr>
          <w:rFonts w:ascii="Times New Roman" w:hAnsi="Times New Roman" w:cs="Times New Roman"/>
          <w:sz w:val="24"/>
          <w:szCs w:val="24"/>
        </w:rPr>
      </w:pPr>
      <w:r w:rsidRPr="00F40ED4" w:rsidR="007078B9">
        <w:rPr>
          <w:rFonts w:ascii="Times New Roman" w:hAnsi="Times New Roman" w:cs="Times New Roman"/>
          <w:sz w:val="24"/>
          <w:szCs w:val="24"/>
        </w:rPr>
        <w:t>Záväzky po lehote splatnosti predstavujú neuhradené faktúry vyplývajúce z delimitácie príspevkovej organi</w:t>
      </w:r>
      <w:r w:rsidR="0034371C">
        <w:rPr>
          <w:rFonts w:ascii="Times New Roman" w:hAnsi="Times New Roman" w:cs="Times New Roman"/>
          <w:sz w:val="24"/>
          <w:szCs w:val="24"/>
        </w:rPr>
        <w:t>zácie Slovenskej správy letísk.</w:t>
      </w:r>
    </w:p>
    <w:p w:rsidR="00967F06" w:rsidP="004573C1">
      <w:pPr>
        <w:spacing w:line="240" w:lineRule="auto"/>
        <w:ind w:left="708"/>
        <w:rPr>
          <w:rFonts w:ascii="Times New Roman" w:hAnsi="Times New Roman" w:cs="Times New Roman"/>
          <w:sz w:val="24"/>
          <w:szCs w:val="24"/>
        </w:rPr>
      </w:pPr>
      <w:r w:rsidRPr="00F40ED4" w:rsidR="007078B9">
        <w:rPr>
          <w:rFonts w:ascii="Times New Roman" w:hAnsi="Times New Roman" w:cs="Times New Roman"/>
          <w:sz w:val="24"/>
          <w:szCs w:val="24"/>
        </w:rPr>
        <w:t>Záväzky v lehote splatnosti predstavujú záväzky voči dodávateľom.</w:t>
      </w:r>
    </w:p>
    <w:p w:rsidR="001221BA" w:rsidP="0034371C">
      <w:pPr>
        <w:spacing w:line="240" w:lineRule="auto"/>
        <w:rPr>
          <w:rFonts w:ascii="Times New Roman" w:hAnsi="Times New Roman" w:cs="Times New Roman"/>
          <w:b/>
          <w:sz w:val="24"/>
          <w:szCs w:val="24"/>
        </w:rPr>
      </w:pPr>
    </w:p>
    <w:p w:rsidR="00DF2C35" w:rsidRPr="00DF2C35" w:rsidP="00DF2C35">
      <w:pPr>
        <w:spacing w:line="240" w:lineRule="auto"/>
        <w:ind w:firstLine="708"/>
        <w:rPr>
          <w:rFonts w:ascii="Times New Roman" w:hAnsi="Times New Roman" w:cs="Times New Roman"/>
          <w:sz w:val="24"/>
          <w:szCs w:val="24"/>
        </w:rPr>
      </w:pPr>
      <w:r w:rsidRPr="00DF2C35">
        <w:rPr>
          <w:rFonts w:ascii="Times New Roman" w:hAnsi="Times New Roman" w:cs="Times New Roman"/>
          <w:b/>
          <w:sz w:val="24"/>
          <w:szCs w:val="24"/>
        </w:rPr>
        <w:t>Zhodnotenie majetkovej pozície ostatných rozpočtových a príspevkových v pôsobnosti rezortu MDPT SR</w:t>
      </w:r>
      <w:r w:rsidRPr="00DF2C35">
        <w:rPr>
          <w:rFonts w:ascii="Times New Roman" w:hAnsi="Times New Roman" w:cs="Times New Roman"/>
          <w:sz w:val="24"/>
          <w:szCs w:val="24"/>
        </w:rPr>
        <w:t>, ako aj údaje o ich záväzkoch a pohľadávkach v lehote splatnosti a po lehote spla</w:t>
      </w:r>
      <w:r w:rsidR="00AD3E06">
        <w:rPr>
          <w:rFonts w:ascii="Times New Roman" w:hAnsi="Times New Roman" w:cs="Times New Roman"/>
          <w:sz w:val="24"/>
          <w:szCs w:val="24"/>
        </w:rPr>
        <w:t xml:space="preserve">tnosti, sa vzhľadom na rozsah </w:t>
      </w:r>
      <w:r w:rsidRPr="00DF2C35">
        <w:rPr>
          <w:rFonts w:ascii="Times New Roman" w:hAnsi="Times New Roman" w:cs="Times New Roman"/>
          <w:sz w:val="24"/>
          <w:szCs w:val="24"/>
        </w:rPr>
        <w:t>údajov (zo súvah jednotlivých organizácií) a malé hodnoty záväzkov a pohľadávok po</w:t>
      </w:r>
      <w:r w:rsidR="00AD3E06">
        <w:rPr>
          <w:rFonts w:ascii="Times New Roman" w:hAnsi="Times New Roman" w:cs="Times New Roman"/>
          <w:sz w:val="24"/>
          <w:szCs w:val="24"/>
        </w:rPr>
        <w:t xml:space="preserve"> lehote splatnosti, v tomto materiáli neuvádzajú. </w:t>
      </w:r>
      <w:r w:rsidRPr="00DF2C35">
        <w:rPr>
          <w:rFonts w:ascii="Times New Roman" w:hAnsi="Times New Roman" w:cs="Times New Roman"/>
          <w:sz w:val="24"/>
          <w:szCs w:val="24"/>
        </w:rPr>
        <w:t xml:space="preserve">            </w:t>
      </w:r>
    </w:p>
    <w:p w:rsidR="001221BA" w:rsidP="0034371C">
      <w:pPr>
        <w:spacing w:line="240" w:lineRule="auto"/>
        <w:rPr>
          <w:rFonts w:ascii="Times New Roman" w:hAnsi="Times New Roman" w:cs="Times New Roman"/>
          <w:sz w:val="24"/>
          <w:szCs w:val="24"/>
        </w:rPr>
      </w:pPr>
    </w:p>
    <w:p w:rsidR="00AD3E06" w:rsidP="00DF2C35">
      <w:pPr>
        <w:spacing w:line="240" w:lineRule="auto"/>
        <w:ind w:firstLine="709"/>
        <w:rPr>
          <w:rFonts w:ascii="Times New Roman" w:hAnsi="Times New Roman" w:cs="Times New Roman"/>
          <w:sz w:val="24"/>
          <w:szCs w:val="24"/>
        </w:rPr>
      </w:pPr>
      <w:r w:rsidRPr="00DF2C35" w:rsidR="00DF2C35">
        <w:rPr>
          <w:rFonts w:ascii="Times New Roman" w:hAnsi="Times New Roman" w:cs="Times New Roman"/>
          <w:sz w:val="24"/>
          <w:szCs w:val="24"/>
        </w:rPr>
        <w:t>Stav majetku jednotlivých rozpočtových or</w:t>
      </w:r>
      <w:r>
        <w:rPr>
          <w:rFonts w:ascii="Times New Roman" w:hAnsi="Times New Roman" w:cs="Times New Roman"/>
          <w:sz w:val="24"/>
          <w:szCs w:val="24"/>
        </w:rPr>
        <w:t xml:space="preserve">ganizácií sa počas roka upravuje </w:t>
      </w:r>
      <w:r w:rsidRPr="00DF2C35" w:rsidR="00DF2C35">
        <w:rPr>
          <w:rFonts w:ascii="Times New Roman" w:hAnsi="Times New Roman" w:cs="Times New Roman"/>
          <w:sz w:val="24"/>
          <w:szCs w:val="24"/>
        </w:rPr>
        <w:t>najmä o vyradený majetok vyraďovacou a likvidačnou komisiou a o majetok odovzdaný bezodplat</w:t>
      </w:r>
      <w:r w:rsidR="00DF2C35">
        <w:rPr>
          <w:rFonts w:ascii="Times New Roman" w:hAnsi="Times New Roman" w:cs="Times New Roman"/>
          <w:sz w:val="24"/>
          <w:szCs w:val="24"/>
        </w:rPr>
        <w:t>-</w:t>
      </w:r>
      <w:r w:rsidRPr="00DF2C35" w:rsidR="00DF2C35">
        <w:rPr>
          <w:rFonts w:ascii="Times New Roman" w:hAnsi="Times New Roman" w:cs="Times New Roman"/>
          <w:sz w:val="24"/>
          <w:szCs w:val="24"/>
        </w:rPr>
        <w:t xml:space="preserve">ným prevodom. Nárast majetku ovplyvňujú realizované nákupy výpočtovej techniky, strojov, prístrojov a zariadení, osobných motorových vozidiel, realizovaných rekonštrukcií alebo nákupov budov a zariadení, o ktorých sú informácie uvedené v texte záverečného účtu. </w:t>
      </w:r>
    </w:p>
    <w:p w:rsidR="00DF2C35" w:rsidRPr="00DF2C35" w:rsidP="0034371C">
      <w:pPr>
        <w:spacing w:line="240" w:lineRule="auto"/>
        <w:rPr>
          <w:rFonts w:ascii="Times New Roman" w:hAnsi="Times New Roman" w:cs="Times New Roman"/>
          <w:sz w:val="24"/>
          <w:szCs w:val="24"/>
        </w:rPr>
      </w:pPr>
      <w:r w:rsidRPr="00DF2C35">
        <w:rPr>
          <w:rFonts w:ascii="Times New Roman" w:hAnsi="Times New Roman" w:cs="Times New Roman"/>
          <w:sz w:val="24"/>
          <w:szCs w:val="24"/>
        </w:rPr>
        <w:t xml:space="preserve">  </w:t>
      </w:r>
    </w:p>
    <w:p w:rsidR="001221BA" w:rsidP="0034371C">
      <w:pPr>
        <w:spacing w:line="240" w:lineRule="auto"/>
        <w:ind w:firstLine="708"/>
        <w:rPr>
          <w:rFonts w:ascii="Times New Roman" w:hAnsi="Times New Roman" w:cs="Times New Roman"/>
          <w:sz w:val="24"/>
          <w:szCs w:val="24"/>
        </w:rPr>
      </w:pPr>
      <w:r w:rsidR="00AD3E06">
        <w:rPr>
          <w:rFonts w:ascii="Times New Roman" w:hAnsi="Times New Roman" w:cs="Times New Roman"/>
          <w:sz w:val="24"/>
          <w:szCs w:val="24"/>
        </w:rPr>
        <w:t xml:space="preserve">MDPT SR </w:t>
      </w:r>
      <w:r w:rsidRPr="00DF2C35" w:rsidR="00DF2C35">
        <w:rPr>
          <w:rFonts w:ascii="Times New Roman" w:hAnsi="Times New Roman" w:cs="Times New Roman"/>
          <w:sz w:val="24"/>
          <w:szCs w:val="24"/>
        </w:rPr>
        <w:t xml:space="preserve">listom č. 102326/2008-SRVS-9331 z 22.2.2008 </w:t>
      </w:r>
      <w:r w:rsidR="00AD3E06">
        <w:rPr>
          <w:rFonts w:ascii="Times New Roman" w:hAnsi="Times New Roman" w:cs="Times New Roman"/>
          <w:sz w:val="24"/>
          <w:szCs w:val="24"/>
        </w:rPr>
        <w:t xml:space="preserve">predložilo </w:t>
      </w:r>
      <w:r w:rsidRPr="00DF2C35" w:rsidR="00DF2C35">
        <w:rPr>
          <w:rFonts w:ascii="Times New Roman" w:hAnsi="Times New Roman" w:cs="Times New Roman"/>
          <w:sz w:val="24"/>
          <w:szCs w:val="24"/>
        </w:rPr>
        <w:t xml:space="preserve">Ministerstvu financií SR tabuľkové prehľady podľa bodu 5a) – 5j) Smernice MF SR na vypracovanie záverečných účtov kapitol štátneho rozpočtu, štátnych fondov a na vypracovanie návrhu záverečného účtu verejnej správy za rok 2007. </w:t>
      </w:r>
      <w:r w:rsidR="00AD3E06">
        <w:rPr>
          <w:rFonts w:ascii="Times New Roman" w:hAnsi="Times New Roman" w:cs="Times New Roman"/>
          <w:sz w:val="24"/>
          <w:szCs w:val="24"/>
        </w:rPr>
        <w:t xml:space="preserve">Listom č. 101262/2008 – SRVS/z.5742 zo dňa 05.02.2008 predložilo MDPT SR Ministerstvu financií SR účtovné a finančné výkazy k 31.12.2007. </w:t>
      </w:r>
      <w:r w:rsidRPr="00DF2C35" w:rsidR="00E23376">
        <w:rPr>
          <w:rFonts w:ascii="Times New Roman" w:hAnsi="Times New Roman" w:cs="Times New Roman"/>
          <w:sz w:val="24"/>
          <w:szCs w:val="24"/>
        </w:rPr>
        <w:t xml:space="preserve">Uvedené tabuľkové prehľady </w:t>
      </w:r>
      <w:r w:rsidR="00E23376">
        <w:rPr>
          <w:rFonts w:ascii="Times New Roman" w:hAnsi="Times New Roman" w:cs="Times New Roman"/>
          <w:sz w:val="24"/>
          <w:szCs w:val="24"/>
        </w:rPr>
        <w:t xml:space="preserve">a účtovné a finančné výkazy </w:t>
      </w:r>
      <w:r w:rsidRPr="00DF2C35" w:rsidR="00E23376">
        <w:rPr>
          <w:rFonts w:ascii="Times New Roman" w:hAnsi="Times New Roman" w:cs="Times New Roman"/>
          <w:sz w:val="24"/>
          <w:szCs w:val="24"/>
        </w:rPr>
        <w:t xml:space="preserve">poskytujú </w:t>
      </w:r>
      <w:r w:rsidR="00E23376">
        <w:rPr>
          <w:rFonts w:ascii="Times New Roman" w:hAnsi="Times New Roman" w:cs="Times New Roman"/>
          <w:sz w:val="24"/>
          <w:szCs w:val="24"/>
        </w:rPr>
        <w:t xml:space="preserve">podrobné </w:t>
      </w:r>
      <w:r w:rsidR="004E590E">
        <w:rPr>
          <w:rFonts w:ascii="Times New Roman" w:hAnsi="Times New Roman" w:cs="Times New Roman"/>
          <w:sz w:val="24"/>
          <w:szCs w:val="24"/>
        </w:rPr>
        <w:t>informácie na zhodnotenie</w:t>
      </w:r>
      <w:r w:rsidRPr="00DF2C35" w:rsidR="00E23376">
        <w:rPr>
          <w:rFonts w:ascii="Times New Roman" w:hAnsi="Times New Roman" w:cs="Times New Roman"/>
          <w:sz w:val="24"/>
          <w:szCs w:val="24"/>
        </w:rPr>
        <w:t xml:space="preserve"> majetkovej pozície jednotlivých rozpočtových a príspevkových </w:t>
      </w:r>
      <w:r w:rsidR="004E590E">
        <w:rPr>
          <w:rFonts w:ascii="Times New Roman" w:hAnsi="Times New Roman" w:cs="Times New Roman"/>
          <w:sz w:val="24"/>
          <w:szCs w:val="24"/>
        </w:rPr>
        <w:t xml:space="preserve">organizácií </w:t>
      </w:r>
      <w:r w:rsidRPr="00DF2C35" w:rsidR="00E23376">
        <w:rPr>
          <w:rFonts w:ascii="Times New Roman" w:hAnsi="Times New Roman" w:cs="Times New Roman"/>
          <w:sz w:val="24"/>
          <w:szCs w:val="24"/>
        </w:rPr>
        <w:t>v pôsobnosti rezortu MDPT SR, ako aj údaje o ich záväzkoch a pohľadávkach v lehote splatnosti a po lehote splatnosti.</w:t>
      </w:r>
    </w:p>
    <w:p w:rsidR="00AD3E06" w:rsidRPr="004573C1" w:rsidP="004573C1">
      <w:pPr>
        <w:spacing w:line="240" w:lineRule="auto"/>
        <w:ind w:left="708"/>
        <w:rPr>
          <w:rFonts w:ascii="Times New Roman" w:hAnsi="Times New Roman" w:cs="Times New Roman"/>
          <w:sz w:val="24"/>
          <w:szCs w:val="24"/>
        </w:rPr>
      </w:pPr>
    </w:p>
    <w:p w:rsidR="00452CD7" w:rsidRPr="002E4468" w:rsidP="00C362EA">
      <w:pPr>
        <w:pStyle w:val="BodyTextIndent"/>
        <w:numPr>
          <w:ilvl w:val="1"/>
          <w:numId w:val="13"/>
        </w:numPr>
        <w:pBdr>
          <w:top w:val="threeDEmboss" w:sz="24" w:space="1" w:color="auto"/>
          <w:left w:val="threeDEmboss" w:sz="24" w:space="4" w:color="auto"/>
          <w:bottom w:val="threeDEmboss" w:sz="24" w:space="1" w:color="auto"/>
          <w:right w:val="threeDEmboss" w:sz="24" w:space="4" w:color="auto"/>
        </w:pBdr>
        <w:shd w:val="pct15" w:color="000000" w:fill="FFFFFF"/>
        <w:tabs>
          <w:tab w:val="left" w:pos="900"/>
        </w:tabs>
        <w:spacing w:line="240" w:lineRule="auto"/>
        <w:jc w:val="center"/>
        <w:rPr>
          <w:rFonts w:ascii="Times New Roman" w:hAnsi="Times New Roman" w:cs="Times New Roman"/>
          <w:b/>
          <w:sz w:val="32"/>
          <w:szCs w:val="32"/>
        </w:rPr>
      </w:pPr>
      <w:r w:rsidR="00A96BFD">
        <w:rPr>
          <w:rFonts w:ascii="Times New Roman" w:hAnsi="Times New Roman" w:cs="Times New Roman"/>
          <w:b/>
          <w:sz w:val="32"/>
          <w:szCs w:val="32"/>
        </w:rPr>
        <w:t xml:space="preserve">Majetkové účasti štátu v obchodných spoločnostiach </w:t>
      </w:r>
    </w:p>
    <w:p w:rsidR="00D95CDD" w:rsidP="00C362EA">
      <w:pPr>
        <w:pStyle w:val="BodyTextIndent3"/>
        <w:spacing w:line="240" w:lineRule="auto"/>
        <w:ind w:firstLine="0"/>
        <w:rPr>
          <w:rFonts w:ascii="Times New Roman" w:hAnsi="Times New Roman" w:cs="Times New Roman"/>
        </w:rPr>
      </w:pPr>
    </w:p>
    <w:p w:rsidR="00967F06" w:rsidP="00967F06">
      <w:pPr>
        <w:spacing w:line="240" w:lineRule="auto"/>
        <w:ind w:firstLine="708"/>
        <w:jc w:val="center"/>
        <w:rPr>
          <w:rFonts w:ascii="Times New Roman" w:hAnsi="Times New Roman" w:cs="Times New Roman"/>
          <w:b/>
          <w:sz w:val="24"/>
          <w:szCs w:val="24"/>
        </w:rPr>
      </w:pPr>
    </w:p>
    <w:p w:rsidR="00D95CDD" w:rsidRPr="00967F06" w:rsidP="00967F06">
      <w:pPr>
        <w:spacing w:line="240" w:lineRule="auto"/>
        <w:ind w:firstLine="708"/>
        <w:jc w:val="center"/>
        <w:rPr>
          <w:rFonts w:ascii="Times New Roman" w:hAnsi="Times New Roman" w:cs="Times New Roman"/>
          <w:b/>
          <w:sz w:val="24"/>
          <w:szCs w:val="24"/>
        </w:rPr>
      </w:pPr>
      <w:r w:rsidR="00850F87">
        <w:rPr>
          <w:rFonts w:ascii="Times New Roman" w:hAnsi="Times New Roman" w:cs="Times New Roman"/>
          <w:b/>
          <w:sz w:val="24"/>
          <w:szCs w:val="24"/>
        </w:rPr>
        <w:t>P</w:t>
      </w:r>
      <w:r w:rsidRPr="00850F87" w:rsidR="0002435D">
        <w:rPr>
          <w:rFonts w:ascii="Times New Roman" w:hAnsi="Times New Roman" w:cs="Times New Roman"/>
          <w:b/>
          <w:sz w:val="24"/>
          <w:szCs w:val="24"/>
        </w:rPr>
        <w:t>rehľad o majetkovej účasti štátu v obchodných spoločnostiach, v ktorých má štát v za</w:t>
      </w:r>
      <w:r w:rsidR="00850F87">
        <w:rPr>
          <w:rFonts w:ascii="Times New Roman" w:hAnsi="Times New Roman" w:cs="Times New Roman"/>
          <w:b/>
          <w:sz w:val="24"/>
          <w:szCs w:val="24"/>
        </w:rPr>
        <w:t>stúpení MDPT SR majetkovú účasť</w:t>
      </w:r>
    </w:p>
    <w:p w:rsidR="00D95CDD" w:rsidP="00C05966">
      <w:pPr>
        <w:spacing w:line="240" w:lineRule="auto"/>
        <w:rPr>
          <w:rFonts w:ascii="Times New Roman" w:hAnsi="Times New Roman" w:cs="Times New Roman"/>
          <w:sz w:val="24"/>
          <w:szCs w:val="24"/>
        </w:rPr>
      </w:pPr>
    </w:p>
    <w:p w:rsidR="00967F06" w:rsidP="00C05966">
      <w:pPr>
        <w:spacing w:line="240" w:lineRule="auto"/>
        <w:rPr>
          <w:rFonts w:ascii="Times New Roman" w:hAnsi="Times New Roman" w:cs="Times New Roman"/>
          <w:sz w:val="24"/>
          <w:szCs w:val="24"/>
        </w:rPr>
      </w:pPr>
    </w:p>
    <w:tbl>
      <w:tblPr>
        <w:tblW w:w="9540" w:type="dxa"/>
        <w:tblInd w:w="-110" w:type="dxa"/>
        <w:tblCellMar>
          <w:left w:w="70" w:type="dxa"/>
          <w:right w:w="70" w:type="dxa"/>
        </w:tblCellMar>
      </w:tblPr>
      <w:tblGrid>
        <w:gridCol w:w="3339"/>
        <w:gridCol w:w="1521"/>
        <w:gridCol w:w="1440"/>
        <w:gridCol w:w="1620"/>
        <w:gridCol w:w="1620"/>
      </w:tblGrid>
      <w:tr>
        <w:tblPrEx>
          <w:tblW w:w="9540" w:type="dxa"/>
          <w:tblInd w:w="-110" w:type="dxa"/>
          <w:tblCellMar>
            <w:left w:w="70" w:type="dxa"/>
            <w:right w:w="70" w:type="dxa"/>
          </w:tblCellMar>
        </w:tblPrEx>
        <w:trPr>
          <w:trHeight w:val="780"/>
        </w:trPr>
        <w:tc>
          <w:tcPr>
            <w:tcW w:w="3339" w:type="dxa"/>
            <w:vMerge w:val="restart"/>
            <w:tcBorders>
              <w:top w:val="single" w:sz="8" w:space="0" w:color="auto"/>
              <w:left w:val="single" w:sz="8" w:space="0" w:color="auto"/>
              <w:bottom w:val="single" w:sz="8" w:space="0" w:color="000000"/>
              <w:right w:val="single" w:sz="8" w:space="0" w:color="auto"/>
              <w:tl2br w:val="nil"/>
              <w:tr2bl w:val="nil"/>
            </w:tcBorders>
            <w:shd w:val="clear" w:color="auto" w:fill="999999"/>
            <w:textDirection w:val="lrTb"/>
            <w:vAlign w:val="center"/>
          </w:tcPr>
          <w:p w:rsidR="00C05966" w:rsidRPr="00B30752" w:rsidP="00C05966">
            <w:pPr>
              <w:spacing w:line="240" w:lineRule="auto"/>
              <w:jc w:val="center"/>
              <w:rPr>
                <w:rFonts w:ascii="Arial Narrow" w:hAnsi="Arial Narrow" w:cs="Arial"/>
                <w:b/>
                <w:bCs/>
                <w:color w:val="FFFFFF"/>
                <w:lang w:eastAsia="sk-SK"/>
              </w:rPr>
            </w:pPr>
            <w:r w:rsidRPr="00B30752">
              <w:rPr>
                <w:rFonts w:ascii="Arial Narrow" w:hAnsi="Arial Narrow" w:cs="Arial"/>
                <w:b/>
                <w:bCs/>
                <w:color w:val="FFFFFF"/>
                <w:lang w:eastAsia="sk-SK"/>
              </w:rPr>
              <w:t>Názov a sídlo obchodnej spoločnosti, v ktorej má štát v zastúpení MDPT SR majetkový podiel</w:t>
            </w:r>
          </w:p>
        </w:tc>
        <w:tc>
          <w:tcPr>
            <w:tcW w:w="1521" w:type="dxa"/>
            <w:tcBorders>
              <w:top w:val="single" w:sz="8" w:space="0" w:color="auto"/>
              <w:left w:val="nil"/>
              <w:bottom w:val="single" w:sz="8" w:space="0" w:color="auto"/>
              <w:right w:val="single" w:sz="8" w:space="0" w:color="auto"/>
              <w:tl2br w:val="nil"/>
              <w:tr2bl w:val="nil"/>
            </w:tcBorders>
            <w:shd w:val="clear" w:color="auto" w:fill="999999"/>
            <w:textDirection w:val="lrTb"/>
            <w:vAlign w:val="center"/>
          </w:tcPr>
          <w:p w:rsidR="00C05966" w:rsidRPr="00B30752" w:rsidP="00C05966">
            <w:pPr>
              <w:spacing w:line="240" w:lineRule="auto"/>
              <w:jc w:val="center"/>
              <w:rPr>
                <w:rFonts w:ascii="Arial Narrow" w:hAnsi="Arial Narrow" w:cs="Arial"/>
                <w:b/>
                <w:bCs/>
                <w:color w:val="FFFFFF"/>
                <w:lang w:eastAsia="sk-SK"/>
              </w:rPr>
            </w:pPr>
            <w:r w:rsidRPr="00B30752">
              <w:rPr>
                <w:rFonts w:ascii="Arial Narrow" w:hAnsi="Arial Narrow" w:cs="Arial"/>
                <w:b/>
                <w:bCs/>
                <w:color w:val="FFFFFF"/>
                <w:lang w:eastAsia="sk-SK"/>
              </w:rPr>
              <w:t>Podiel na základnom imaní spoločnosti v %</w:t>
            </w:r>
          </w:p>
        </w:tc>
        <w:tc>
          <w:tcPr>
            <w:tcW w:w="1440" w:type="dxa"/>
            <w:tcBorders>
              <w:top w:val="single" w:sz="8" w:space="0" w:color="auto"/>
              <w:left w:val="nil"/>
              <w:bottom w:val="single" w:sz="8" w:space="0" w:color="auto"/>
              <w:right w:val="single" w:sz="8" w:space="0" w:color="auto"/>
              <w:tl2br w:val="nil"/>
              <w:tr2bl w:val="nil"/>
            </w:tcBorders>
            <w:shd w:val="clear" w:color="auto" w:fill="999999"/>
            <w:textDirection w:val="lrTb"/>
            <w:vAlign w:val="center"/>
          </w:tcPr>
          <w:p w:rsidR="00C05966" w:rsidRPr="00B30752" w:rsidP="00C05966">
            <w:pPr>
              <w:spacing w:line="240" w:lineRule="auto"/>
              <w:jc w:val="center"/>
              <w:rPr>
                <w:rFonts w:ascii="Arial Narrow" w:hAnsi="Arial Narrow" w:cs="Arial"/>
                <w:b/>
                <w:bCs/>
                <w:color w:val="FFFFFF"/>
                <w:lang w:eastAsia="sk-SK"/>
              </w:rPr>
            </w:pPr>
            <w:r w:rsidRPr="00B30752">
              <w:rPr>
                <w:rFonts w:ascii="Arial Narrow" w:hAnsi="Arial Narrow" w:cs="Arial"/>
                <w:b/>
                <w:bCs/>
                <w:color w:val="FFFFFF"/>
                <w:lang w:eastAsia="sk-SK"/>
              </w:rPr>
              <w:t>Podiel na hlasovacích právach v %</w:t>
            </w:r>
          </w:p>
        </w:tc>
        <w:tc>
          <w:tcPr>
            <w:tcW w:w="3240" w:type="dxa"/>
            <w:gridSpan w:val="2"/>
            <w:tcBorders>
              <w:top w:val="single" w:sz="8" w:space="0" w:color="auto"/>
              <w:left w:val="nil"/>
              <w:bottom w:val="single" w:sz="8" w:space="0" w:color="auto"/>
              <w:right w:val="single" w:sz="8" w:space="0" w:color="000000"/>
              <w:tl2br w:val="nil"/>
              <w:tr2bl w:val="nil"/>
            </w:tcBorders>
            <w:shd w:val="clear" w:color="auto" w:fill="999999"/>
            <w:textDirection w:val="lrTb"/>
            <w:vAlign w:val="center"/>
          </w:tcPr>
          <w:p w:rsidR="00C05966" w:rsidRPr="00B30752" w:rsidP="00C05966">
            <w:pPr>
              <w:spacing w:line="240" w:lineRule="auto"/>
              <w:jc w:val="center"/>
              <w:rPr>
                <w:rFonts w:ascii="Arial Narrow" w:hAnsi="Arial Narrow" w:cs="Arial"/>
                <w:b/>
                <w:bCs/>
                <w:color w:val="FFFFFF"/>
                <w:lang w:eastAsia="sk-SK"/>
              </w:rPr>
            </w:pPr>
            <w:r w:rsidRPr="00B30752">
              <w:rPr>
                <w:rFonts w:ascii="Arial Narrow" w:hAnsi="Arial Narrow" w:cs="Arial"/>
                <w:b/>
                <w:bCs/>
                <w:color w:val="FFFFFF"/>
                <w:lang w:eastAsia="sk-SK"/>
              </w:rPr>
              <w:t>Účtovná hodnota podielu vykázaná v súvahe v tis. Sk</w:t>
            </w:r>
          </w:p>
        </w:tc>
      </w:tr>
      <w:tr>
        <w:tblPrEx>
          <w:tblW w:w="9540" w:type="dxa"/>
          <w:tblInd w:w="-110" w:type="dxa"/>
          <w:tblCellMar>
            <w:left w:w="70" w:type="dxa"/>
            <w:right w:w="70" w:type="dxa"/>
          </w:tblCellMar>
        </w:tblPrEx>
        <w:trPr>
          <w:trHeight w:val="270"/>
        </w:trPr>
        <w:tc>
          <w:tcPr>
            <w:tcW w:w="3339" w:type="dxa"/>
            <w:vMerge/>
            <w:tcBorders>
              <w:top w:val="single" w:sz="8" w:space="0" w:color="auto"/>
              <w:left w:val="single" w:sz="8" w:space="0" w:color="auto"/>
              <w:bottom w:val="single" w:sz="8" w:space="0" w:color="000000"/>
              <w:right w:val="single" w:sz="8" w:space="0" w:color="auto"/>
              <w:tl2br w:val="nil"/>
              <w:tr2bl w:val="nil"/>
            </w:tcBorders>
            <w:textDirection w:val="lrTb"/>
            <w:vAlign w:val="center"/>
          </w:tcPr>
          <w:p w:rsidR="00C05966" w:rsidRPr="00B30752" w:rsidP="00C05966">
            <w:pPr>
              <w:spacing w:line="240" w:lineRule="auto"/>
              <w:rPr>
                <w:rFonts w:ascii="Arial Narrow" w:hAnsi="Arial Narrow" w:cs="Arial"/>
                <w:b/>
                <w:bCs/>
                <w:color w:val="FFFFFF"/>
                <w:lang w:eastAsia="sk-SK"/>
              </w:rPr>
            </w:pPr>
          </w:p>
        </w:tc>
        <w:tc>
          <w:tcPr>
            <w:tcW w:w="1521" w:type="dxa"/>
            <w:tcBorders>
              <w:top w:val="nil"/>
              <w:left w:val="nil"/>
              <w:bottom w:val="single" w:sz="8" w:space="0" w:color="auto"/>
              <w:right w:val="single" w:sz="8" w:space="0" w:color="auto"/>
              <w:tl2br w:val="nil"/>
              <w:tr2bl w:val="nil"/>
            </w:tcBorders>
            <w:shd w:val="clear" w:color="auto" w:fill="999999"/>
            <w:textDirection w:val="lrTb"/>
            <w:vAlign w:val="center"/>
          </w:tcPr>
          <w:p w:rsidR="00C05966" w:rsidRPr="00B30752" w:rsidP="00C05966">
            <w:pPr>
              <w:spacing w:line="240" w:lineRule="auto"/>
              <w:jc w:val="center"/>
              <w:rPr>
                <w:rFonts w:ascii="Arial Narrow" w:hAnsi="Arial Narrow" w:cs="Arial"/>
                <w:b/>
                <w:color w:val="FFFFFF"/>
                <w:lang w:eastAsia="sk-SK"/>
              </w:rPr>
            </w:pPr>
            <w:r w:rsidRPr="00B30752">
              <w:rPr>
                <w:rFonts w:ascii="Arial Narrow" w:hAnsi="Arial Narrow" w:cs="Arial"/>
                <w:b/>
                <w:color w:val="FFFFFF"/>
                <w:lang w:eastAsia="sk-SK"/>
              </w:rPr>
              <w:t>31.12.2007</w:t>
            </w:r>
          </w:p>
        </w:tc>
        <w:tc>
          <w:tcPr>
            <w:tcW w:w="1440" w:type="dxa"/>
            <w:tcBorders>
              <w:top w:val="nil"/>
              <w:left w:val="nil"/>
              <w:bottom w:val="single" w:sz="8" w:space="0" w:color="auto"/>
              <w:right w:val="single" w:sz="8" w:space="0" w:color="auto"/>
              <w:tl2br w:val="nil"/>
              <w:tr2bl w:val="nil"/>
            </w:tcBorders>
            <w:shd w:val="clear" w:color="auto" w:fill="999999"/>
            <w:textDirection w:val="lrTb"/>
            <w:vAlign w:val="center"/>
          </w:tcPr>
          <w:p w:rsidR="00C05966" w:rsidRPr="00B30752" w:rsidP="00C05966">
            <w:pPr>
              <w:spacing w:line="240" w:lineRule="auto"/>
              <w:jc w:val="center"/>
              <w:rPr>
                <w:rFonts w:ascii="Arial Narrow" w:hAnsi="Arial Narrow" w:cs="Arial"/>
                <w:b/>
                <w:color w:val="FFFFFF"/>
                <w:lang w:eastAsia="sk-SK"/>
              </w:rPr>
            </w:pPr>
            <w:r w:rsidRPr="00B30752">
              <w:rPr>
                <w:rFonts w:ascii="Arial Narrow" w:hAnsi="Arial Narrow" w:cs="Arial"/>
                <w:b/>
                <w:color w:val="FFFFFF"/>
                <w:lang w:eastAsia="sk-SK"/>
              </w:rPr>
              <w:t>31.12.2007</w:t>
            </w:r>
          </w:p>
        </w:tc>
        <w:tc>
          <w:tcPr>
            <w:tcW w:w="1620" w:type="dxa"/>
            <w:tcBorders>
              <w:top w:val="nil"/>
              <w:left w:val="nil"/>
              <w:bottom w:val="single" w:sz="8" w:space="0" w:color="auto"/>
              <w:right w:val="single" w:sz="8" w:space="0" w:color="auto"/>
              <w:tl2br w:val="nil"/>
              <w:tr2bl w:val="nil"/>
            </w:tcBorders>
            <w:shd w:val="clear" w:color="auto" w:fill="999999"/>
            <w:textDirection w:val="lrTb"/>
            <w:vAlign w:val="center"/>
          </w:tcPr>
          <w:p w:rsidR="00C05966" w:rsidRPr="00B30752" w:rsidP="00C05966">
            <w:pPr>
              <w:spacing w:line="240" w:lineRule="auto"/>
              <w:jc w:val="center"/>
              <w:rPr>
                <w:rFonts w:ascii="Arial Narrow" w:hAnsi="Arial Narrow" w:cs="Arial"/>
                <w:b/>
                <w:color w:val="FFFFFF"/>
                <w:lang w:eastAsia="sk-SK"/>
              </w:rPr>
            </w:pPr>
            <w:r w:rsidRPr="00B30752">
              <w:rPr>
                <w:rFonts w:ascii="Arial Narrow" w:hAnsi="Arial Narrow" w:cs="Arial"/>
                <w:b/>
                <w:color w:val="FFFFFF"/>
                <w:lang w:eastAsia="sk-SK"/>
              </w:rPr>
              <w:t>31.12.2006</w:t>
            </w:r>
          </w:p>
        </w:tc>
        <w:tc>
          <w:tcPr>
            <w:tcW w:w="1620" w:type="dxa"/>
            <w:tcBorders>
              <w:top w:val="nil"/>
              <w:left w:val="nil"/>
              <w:bottom w:val="single" w:sz="8" w:space="0" w:color="auto"/>
              <w:right w:val="single" w:sz="8" w:space="0" w:color="auto"/>
              <w:tl2br w:val="nil"/>
              <w:tr2bl w:val="nil"/>
            </w:tcBorders>
            <w:shd w:val="clear" w:color="auto" w:fill="999999"/>
            <w:textDirection w:val="lrTb"/>
            <w:vAlign w:val="center"/>
          </w:tcPr>
          <w:p w:rsidR="00C05966" w:rsidRPr="00B30752" w:rsidP="00C05966">
            <w:pPr>
              <w:spacing w:line="240" w:lineRule="auto"/>
              <w:jc w:val="center"/>
              <w:rPr>
                <w:rFonts w:ascii="Arial Narrow" w:hAnsi="Arial Narrow" w:cs="Arial"/>
                <w:b/>
                <w:color w:val="FFFFFF"/>
                <w:lang w:eastAsia="sk-SK"/>
              </w:rPr>
            </w:pPr>
            <w:r w:rsidRPr="00B30752">
              <w:rPr>
                <w:rFonts w:ascii="Arial Narrow" w:hAnsi="Arial Narrow" w:cs="Arial"/>
                <w:b/>
                <w:color w:val="FFFFFF"/>
                <w:lang w:eastAsia="sk-SK"/>
              </w:rPr>
              <w:t>31.12.2007</w:t>
            </w:r>
          </w:p>
        </w:tc>
      </w:tr>
      <w:tr>
        <w:tblPrEx>
          <w:tblW w:w="9540" w:type="dxa"/>
          <w:tblInd w:w="-110" w:type="dxa"/>
          <w:tblCellMar>
            <w:left w:w="70" w:type="dxa"/>
            <w:right w:w="70" w:type="dxa"/>
          </w:tblCellMar>
        </w:tblPrEx>
        <w:trPr>
          <w:trHeight w:val="510"/>
        </w:trPr>
        <w:tc>
          <w:tcPr>
            <w:tcW w:w="3339" w:type="dxa"/>
            <w:tcBorders>
              <w:top w:val="single" w:sz="8" w:space="0" w:color="auto"/>
              <w:left w:val="single" w:sz="8" w:space="0" w:color="auto"/>
              <w:bottom w:val="single" w:sz="4" w:space="0" w:color="auto"/>
              <w:right w:val="single" w:sz="8" w:space="0" w:color="auto"/>
              <w:tl2br w:val="nil"/>
              <w:tr2bl w:val="nil"/>
            </w:tcBorders>
            <w:textDirection w:val="lrTb"/>
            <w:vAlign w:val="center"/>
          </w:tcPr>
          <w:p w:rsidR="00C05966" w:rsidRPr="00C05966" w:rsidP="00850F87">
            <w:pPr>
              <w:spacing w:line="240" w:lineRule="auto"/>
              <w:jc w:val="left"/>
              <w:rPr>
                <w:rFonts w:ascii="Arial Narrow" w:hAnsi="Arial Narrow" w:cs="Arial"/>
                <w:lang w:eastAsia="sk-SK"/>
              </w:rPr>
            </w:pPr>
            <w:r w:rsidRPr="00C05966">
              <w:rPr>
                <w:rFonts w:ascii="Arial Narrow" w:hAnsi="Arial Narrow" w:cs="Arial"/>
                <w:lang w:eastAsia="sk-SK"/>
              </w:rPr>
              <w:t>1. Železničná spo</w:t>
            </w:r>
            <w:r w:rsidR="00850F87">
              <w:rPr>
                <w:rFonts w:ascii="Arial Narrow" w:hAnsi="Arial Narrow" w:cs="Arial"/>
                <w:lang w:eastAsia="sk-SK"/>
              </w:rPr>
              <w:t xml:space="preserve">ločnosť Cargo Slovakia, a.s., </w:t>
            </w:r>
            <w:r w:rsidRPr="00C05966">
              <w:rPr>
                <w:rFonts w:ascii="Arial Narrow" w:hAnsi="Arial Narrow" w:cs="Arial"/>
                <w:lang w:eastAsia="sk-SK"/>
              </w:rPr>
              <w:t xml:space="preserve">Drieňova 24, 820 09 Bratislava             </w:t>
            </w:r>
          </w:p>
        </w:tc>
        <w:tc>
          <w:tcPr>
            <w:tcW w:w="1521" w:type="dxa"/>
            <w:tcBorders>
              <w:top w:val="single" w:sz="8" w:space="0" w:color="auto"/>
              <w:left w:val="nil"/>
              <w:bottom w:val="single" w:sz="4" w:space="0" w:color="auto"/>
              <w:right w:val="single" w:sz="8" w:space="0" w:color="auto"/>
              <w:tl2br w:val="nil"/>
              <w:tr2bl w:val="nil"/>
            </w:tcBorders>
            <w:textDirection w:val="lrTb"/>
            <w:vAlign w:val="center"/>
          </w:tcPr>
          <w:p w:rsidR="00C05966" w:rsidRPr="00C05966" w:rsidP="00C05966">
            <w:pPr>
              <w:spacing w:line="240" w:lineRule="auto"/>
              <w:jc w:val="center"/>
              <w:rPr>
                <w:rFonts w:ascii="Arial Narrow" w:hAnsi="Arial Narrow" w:cs="Arial"/>
                <w:lang w:eastAsia="sk-SK"/>
              </w:rPr>
            </w:pPr>
            <w:r w:rsidRPr="00C05966">
              <w:rPr>
                <w:rFonts w:ascii="Arial Narrow" w:hAnsi="Arial Narrow" w:cs="Arial"/>
                <w:lang w:eastAsia="sk-SK"/>
              </w:rPr>
              <w:t>100,0</w:t>
            </w:r>
          </w:p>
        </w:tc>
        <w:tc>
          <w:tcPr>
            <w:tcW w:w="1440" w:type="dxa"/>
            <w:tcBorders>
              <w:top w:val="single" w:sz="8" w:space="0" w:color="auto"/>
              <w:left w:val="nil"/>
              <w:bottom w:val="single" w:sz="4" w:space="0" w:color="auto"/>
              <w:right w:val="single" w:sz="8" w:space="0" w:color="auto"/>
              <w:tl2br w:val="nil"/>
              <w:tr2bl w:val="nil"/>
            </w:tcBorders>
            <w:textDirection w:val="lrTb"/>
            <w:vAlign w:val="center"/>
          </w:tcPr>
          <w:p w:rsidR="00C05966" w:rsidRPr="00C05966" w:rsidP="00C05966">
            <w:pPr>
              <w:spacing w:line="240" w:lineRule="auto"/>
              <w:jc w:val="center"/>
              <w:rPr>
                <w:rFonts w:ascii="Arial Narrow" w:hAnsi="Arial Narrow" w:cs="Arial"/>
                <w:lang w:eastAsia="sk-SK"/>
              </w:rPr>
            </w:pPr>
            <w:r w:rsidRPr="00C05966">
              <w:rPr>
                <w:rFonts w:ascii="Arial Narrow" w:hAnsi="Arial Narrow" w:cs="Arial"/>
                <w:lang w:eastAsia="sk-SK"/>
              </w:rPr>
              <w:t>100,0</w:t>
            </w:r>
          </w:p>
        </w:tc>
        <w:tc>
          <w:tcPr>
            <w:tcW w:w="1620" w:type="dxa"/>
            <w:tcBorders>
              <w:top w:val="single" w:sz="8" w:space="0" w:color="auto"/>
              <w:left w:val="nil"/>
              <w:bottom w:val="single" w:sz="4" w:space="0" w:color="auto"/>
              <w:right w:val="single" w:sz="8" w:space="0" w:color="auto"/>
              <w:tl2br w:val="nil"/>
              <w:tr2bl w:val="nil"/>
            </w:tcBorders>
            <w:textDirection w:val="lrTb"/>
            <w:vAlign w:val="center"/>
          </w:tcPr>
          <w:p w:rsidR="00C05966" w:rsidRPr="00C05966" w:rsidP="00C05966">
            <w:pPr>
              <w:spacing w:line="240" w:lineRule="auto"/>
              <w:jc w:val="center"/>
              <w:rPr>
                <w:rFonts w:ascii="Arial Narrow" w:hAnsi="Arial Narrow" w:cs="Arial"/>
                <w:lang w:eastAsia="sk-SK"/>
              </w:rPr>
            </w:pPr>
            <w:r w:rsidRPr="00C05966">
              <w:rPr>
                <w:rFonts w:ascii="Arial Narrow" w:hAnsi="Arial Narrow" w:cs="Arial"/>
                <w:lang w:eastAsia="sk-SK"/>
              </w:rPr>
              <w:t>12 100 000</w:t>
            </w:r>
          </w:p>
        </w:tc>
        <w:tc>
          <w:tcPr>
            <w:tcW w:w="1620" w:type="dxa"/>
            <w:tcBorders>
              <w:top w:val="single" w:sz="8" w:space="0" w:color="auto"/>
              <w:left w:val="nil"/>
              <w:bottom w:val="single" w:sz="4" w:space="0" w:color="auto"/>
              <w:right w:val="single" w:sz="8" w:space="0" w:color="auto"/>
              <w:tl2br w:val="nil"/>
              <w:tr2bl w:val="nil"/>
            </w:tcBorders>
            <w:textDirection w:val="lrTb"/>
            <w:vAlign w:val="center"/>
          </w:tcPr>
          <w:p w:rsidR="00C05966" w:rsidRPr="00C05966" w:rsidP="00C05966">
            <w:pPr>
              <w:spacing w:line="240" w:lineRule="auto"/>
              <w:jc w:val="center"/>
              <w:rPr>
                <w:rFonts w:ascii="Arial Narrow" w:hAnsi="Arial Narrow" w:cs="Arial"/>
                <w:lang w:eastAsia="sk-SK"/>
              </w:rPr>
            </w:pPr>
            <w:r w:rsidRPr="00C05966">
              <w:rPr>
                <w:rFonts w:ascii="Arial Narrow" w:hAnsi="Arial Narrow" w:cs="Arial"/>
                <w:lang w:eastAsia="sk-SK"/>
              </w:rPr>
              <w:t>12 100 000</w:t>
            </w:r>
          </w:p>
        </w:tc>
      </w:tr>
      <w:tr>
        <w:tblPrEx>
          <w:tblW w:w="9540" w:type="dxa"/>
          <w:tblInd w:w="-110" w:type="dxa"/>
          <w:tblCellMar>
            <w:left w:w="70" w:type="dxa"/>
            <w:right w:w="70" w:type="dxa"/>
          </w:tblCellMar>
        </w:tblPrEx>
        <w:trPr>
          <w:trHeight w:val="510"/>
        </w:trPr>
        <w:tc>
          <w:tcPr>
            <w:tcW w:w="3339" w:type="dxa"/>
            <w:tcBorders>
              <w:top w:val="nil"/>
              <w:left w:val="single" w:sz="8" w:space="0" w:color="auto"/>
              <w:bottom w:val="single" w:sz="4" w:space="0" w:color="auto"/>
              <w:right w:val="single" w:sz="8" w:space="0" w:color="auto"/>
              <w:tl2br w:val="nil"/>
              <w:tr2bl w:val="nil"/>
            </w:tcBorders>
            <w:textDirection w:val="lrTb"/>
            <w:vAlign w:val="center"/>
          </w:tcPr>
          <w:p w:rsidR="00C05966" w:rsidRPr="00C05966" w:rsidP="00850F87">
            <w:pPr>
              <w:spacing w:line="240" w:lineRule="auto"/>
              <w:jc w:val="left"/>
              <w:rPr>
                <w:rFonts w:ascii="Arial Narrow" w:hAnsi="Arial Narrow" w:cs="Arial"/>
                <w:lang w:eastAsia="sk-SK"/>
              </w:rPr>
            </w:pPr>
            <w:r w:rsidRPr="00C05966">
              <w:rPr>
                <w:rFonts w:ascii="Arial Narrow" w:hAnsi="Arial Narrow" w:cs="Arial"/>
                <w:lang w:eastAsia="sk-SK"/>
              </w:rPr>
              <w:t>2. Železničná spoločnosť Slovensko, a.s.</w:t>
            </w:r>
            <w:r w:rsidR="00850F87">
              <w:rPr>
                <w:rFonts w:ascii="Arial Narrow" w:hAnsi="Arial Narrow" w:cs="Arial"/>
                <w:lang w:eastAsia="sk-SK"/>
              </w:rPr>
              <w:t>,</w:t>
            </w:r>
            <w:r w:rsidRPr="00C05966">
              <w:rPr>
                <w:rFonts w:ascii="Arial Narrow" w:hAnsi="Arial Narrow" w:cs="Arial"/>
                <w:lang w:eastAsia="sk-SK"/>
              </w:rPr>
              <w:t xml:space="preserve">                   Rožňavská 1, 832 72 Bratislava</w:t>
            </w:r>
          </w:p>
        </w:tc>
        <w:tc>
          <w:tcPr>
            <w:tcW w:w="1521" w:type="dxa"/>
            <w:tcBorders>
              <w:top w:val="nil"/>
              <w:left w:val="nil"/>
              <w:bottom w:val="single" w:sz="4" w:space="0" w:color="auto"/>
              <w:right w:val="single" w:sz="8" w:space="0" w:color="auto"/>
              <w:tl2br w:val="nil"/>
              <w:tr2bl w:val="nil"/>
            </w:tcBorders>
            <w:textDirection w:val="lrTb"/>
            <w:vAlign w:val="center"/>
          </w:tcPr>
          <w:p w:rsidR="00C05966" w:rsidRPr="00C05966" w:rsidP="00C05966">
            <w:pPr>
              <w:spacing w:line="240" w:lineRule="auto"/>
              <w:jc w:val="center"/>
              <w:rPr>
                <w:rFonts w:ascii="Arial Narrow" w:hAnsi="Arial Narrow" w:cs="Arial"/>
                <w:lang w:eastAsia="sk-SK"/>
              </w:rPr>
            </w:pPr>
            <w:r w:rsidRPr="00C05966">
              <w:rPr>
                <w:rFonts w:ascii="Arial Narrow" w:hAnsi="Arial Narrow" w:cs="Arial"/>
                <w:lang w:eastAsia="sk-SK"/>
              </w:rPr>
              <w:t>100,0</w:t>
            </w:r>
          </w:p>
        </w:tc>
        <w:tc>
          <w:tcPr>
            <w:tcW w:w="1440" w:type="dxa"/>
            <w:tcBorders>
              <w:top w:val="nil"/>
              <w:left w:val="nil"/>
              <w:bottom w:val="single" w:sz="4" w:space="0" w:color="auto"/>
              <w:right w:val="single" w:sz="8" w:space="0" w:color="auto"/>
              <w:tl2br w:val="nil"/>
              <w:tr2bl w:val="nil"/>
            </w:tcBorders>
            <w:textDirection w:val="lrTb"/>
            <w:vAlign w:val="center"/>
          </w:tcPr>
          <w:p w:rsidR="00C05966" w:rsidRPr="00C05966" w:rsidP="00C05966">
            <w:pPr>
              <w:spacing w:line="240" w:lineRule="auto"/>
              <w:jc w:val="center"/>
              <w:rPr>
                <w:rFonts w:ascii="Arial Narrow" w:hAnsi="Arial Narrow" w:cs="Arial"/>
                <w:lang w:eastAsia="sk-SK"/>
              </w:rPr>
            </w:pPr>
            <w:r w:rsidRPr="00C05966">
              <w:rPr>
                <w:rFonts w:ascii="Arial Narrow" w:hAnsi="Arial Narrow" w:cs="Arial"/>
                <w:lang w:eastAsia="sk-SK"/>
              </w:rPr>
              <w:t>100,0</w:t>
            </w:r>
          </w:p>
        </w:tc>
        <w:tc>
          <w:tcPr>
            <w:tcW w:w="1620" w:type="dxa"/>
            <w:tcBorders>
              <w:top w:val="nil"/>
              <w:left w:val="nil"/>
              <w:bottom w:val="single" w:sz="4" w:space="0" w:color="auto"/>
              <w:right w:val="single" w:sz="8" w:space="0" w:color="auto"/>
              <w:tl2br w:val="nil"/>
              <w:tr2bl w:val="nil"/>
            </w:tcBorders>
            <w:textDirection w:val="lrTb"/>
            <w:vAlign w:val="center"/>
          </w:tcPr>
          <w:p w:rsidR="00C05966" w:rsidRPr="00C05966" w:rsidP="00C05966">
            <w:pPr>
              <w:spacing w:line="240" w:lineRule="auto"/>
              <w:jc w:val="center"/>
              <w:rPr>
                <w:rFonts w:ascii="Arial Narrow" w:hAnsi="Arial Narrow" w:cs="Arial"/>
                <w:lang w:eastAsia="sk-SK"/>
              </w:rPr>
            </w:pPr>
            <w:r w:rsidRPr="00C05966">
              <w:rPr>
                <w:rFonts w:ascii="Arial Narrow" w:hAnsi="Arial Narrow" w:cs="Arial"/>
                <w:lang w:eastAsia="sk-SK"/>
              </w:rPr>
              <w:t>6 400 000</w:t>
            </w:r>
          </w:p>
        </w:tc>
        <w:tc>
          <w:tcPr>
            <w:tcW w:w="1620" w:type="dxa"/>
            <w:tcBorders>
              <w:top w:val="nil"/>
              <w:left w:val="nil"/>
              <w:bottom w:val="single" w:sz="4" w:space="0" w:color="auto"/>
              <w:right w:val="single" w:sz="8" w:space="0" w:color="auto"/>
              <w:tl2br w:val="nil"/>
              <w:tr2bl w:val="nil"/>
            </w:tcBorders>
            <w:textDirection w:val="lrTb"/>
            <w:vAlign w:val="center"/>
          </w:tcPr>
          <w:p w:rsidR="00C05966" w:rsidRPr="00C05966" w:rsidP="00C05966">
            <w:pPr>
              <w:spacing w:line="240" w:lineRule="auto"/>
              <w:jc w:val="center"/>
              <w:rPr>
                <w:rFonts w:ascii="Arial Narrow" w:hAnsi="Arial Narrow" w:cs="Arial"/>
                <w:lang w:eastAsia="sk-SK"/>
              </w:rPr>
            </w:pPr>
            <w:r w:rsidRPr="00C05966">
              <w:rPr>
                <w:rFonts w:ascii="Arial Narrow" w:hAnsi="Arial Narrow" w:cs="Arial"/>
                <w:lang w:eastAsia="sk-SK"/>
              </w:rPr>
              <w:t>6 400 000</w:t>
            </w:r>
          </w:p>
        </w:tc>
      </w:tr>
      <w:tr>
        <w:tblPrEx>
          <w:tblW w:w="9540" w:type="dxa"/>
          <w:tblInd w:w="-110" w:type="dxa"/>
          <w:tblCellMar>
            <w:left w:w="70" w:type="dxa"/>
            <w:right w:w="70" w:type="dxa"/>
          </w:tblCellMar>
        </w:tblPrEx>
        <w:trPr>
          <w:trHeight w:val="510"/>
        </w:trPr>
        <w:tc>
          <w:tcPr>
            <w:tcW w:w="3339" w:type="dxa"/>
            <w:tcBorders>
              <w:top w:val="nil"/>
              <w:left w:val="single" w:sz="8" w:space="0" w:color="auto"/>
              <w:bottom w:val="single" w:sz="4" w:space="0" w:color="auto"/>
              <w:right w:val="single" w:sz="8" w:space="0" w:color="auto"/>
              <w:tl2br w:val="nil"/>
              <w:tr2bl w:val="nil"/>
            </w:tcBorders>
            <w:textDirection w:val="lrTb"/>
            <w:vAlign w:val="center"/>
          </w:tcPr>
          <w:p w:rsidR="00C05966" w:rsidRPr="00C05966" w:rsidP="00850F87">
            <w:pPr>
              <w:spacing w:line="240" w:lineRule="auto"/>
              <w:jc w:val="left"/>
              <w:rPr>
                <w:rFonts w:ascii="Arial Narrow" w:hAnsi="Arial Narrow" w:cs="Arial"/>
                <w:lang w:eastAsia="sk-SK"/>
              </w:rPr>
            </w:pPr>
            <w:r w:rsidRPr="00C05966">
              <w:rPr>
                <w:rFonts w:ascii="Arial Narrow" w:hAnsi="Arial Narrow" w:cs="Arial"/>
                <w:lang w:eastAsia="sk-SK"/>
              </w:rPr>
              <w:t>3. Slovenská pošta, a.s.</w:t>
            </w:r>
            <w:r w:rsidR="00850F87">
              <w:rPr>
                <w:rFonts w:ascii="Arial Narrow" w:hAnsi="Arial Narrow" w:cs="Arial"/>
                <w:lang w:eastAsia="sk-SK"/>
              </w:rPr>
              <w:t>,</w:t>
            </w:r>
            <w:r w:rsidRPr="00C05966">
              <w:rPr>
                <w:rFonts w:ascii="Arial Narrow" w:hAnsi="Arial Narrow" w:cs="Arial"/>
                <w:lang w:eastAsia="sk-SK"/>
              </w:rPr>
              <w:t xml:space="preserve">                                             Partizánska cesta 9, 975 99 Banská Bystrica</w:t>
            </w:r>
          </w:p>
        </w:tc>
        <w:tc>
          <w:tcPr>
            <w:tcW w:w="1521" w:type="dxa"/>
            <w:tcBorders>
              <w:top w:val="nil"/>
              <w:left w:val="nil"/>
              <w:bottom w:val="single" w:sz="4" w:space="0" w:color="auto"/>
              <w:right w:val="single" w:sz="8" w:space="0" w:color="auto"/>
              <w:tl2br w:val="nil"/>
              <w:tr2bl w:val="nil"/>
            </w:tcBorders>
            <w:textDirection w:val="lrTb"/>
            <w:vAlign w:val="center"/>
          </w:tcPr>
          <w:p w:rsidR="00C05966" w:rsidRPr="00C05966" w:rsidP="00C05966">
            <w:pPr>
              <w:spacing w:line="240" w:lineRule="auto"/>
              <w:jc w:val="center"/>
              <w:rPr>
                <w:rFonts w:ascii="Arial Narrow" w:hAnsi="Arial Narrow" w:cs="Arial"/>
                <w:lang w:eastAsia="sk-SK"/>
              </w:rPr>
            </w:pPr>
            <w:r w:rsidRPr="00C05966">
              <w:rPr>
                <w:rFonts w:ascii="Arial Narrow" w:hAnsi="Arial Narrow" w:cs="Arial"/>
                <w:lang w:eastAsia="sk-SK"/>
              </w:rPr>
              <w:t>100,0</w:t>
            </w:r>
          </w:p>
        </w:tc>
        <w:tc>
          <w:tcPr>
            <w:tcW w:w="1440" w:type="dxa"/>
            <w:tcBorders>
              <w:top w:val="nil"/>
              <w:left w:val="nil"/>
              <w:bottom w:val="single" w:sz="4" w:space="0" w:color="auto"/>
              <w:right w:val="single" w:sz="8" w:space="0" w:color="auto"/>
              <w:tl2br w:val="nil"/>
              <w:tr2bl w:val="nil"/>
            </w:tcBorders>
            <w:textDirection w:val="lrTb"/>
            <w:vAlign w:val="center"/>
          </w:tcPr>
          <w:p w:rsidR="00C05966" w:rsidRPr="00C05966" w:rsidP="00C05966">
            <w:pPr>
              <w:spacing w:line="240" w:lineRule="auto"/>
              <w:jc w:val="center"/>
              <w:rPr>
                <w:rFonts w:ascii="Arial Narrow" w:hAnsi="Arial Narrow" w:cs="Arial"/>
                <w:lang w:eastAsia="sk-SK"/>
              </w:rPr>
            </w:pPr>
            <w:r w:rsidRPr="00C05966">
              <w:rPr>
                <w:rFonts w:ascii="Arial Narrow" w:hAnsi="Arial Narrow" w:cs="Arial"/>
                <w:lang w:eastAsia="sk-SK"/>
              </w:rPr>
              <w:t>100,0</w:t>
            </w:r>
          </w:p>
        </w:tc>
        <w:tc>
          <w:tcPr>
            <w:tcW w:w="1620" w:type="dxa"/>
            <w:tcBorders>
              <w:top w:val="nil"/>
              <w:left w:val="nil"/>
              <w:bottom w:val="single" w:sz="4" w:space="0" w:color="auto"/>
              <w:right w:val="single" w:sz="8" w:space="0" w:color="auto"/>
              <w:tl2br w:val="nil"/>
              <w:tr2bl w:val="nil"/>
            </w:tcBorders>
            <w:textDirection w:val="lrTb"/>
            <w:vAlign w:val="center"/>
          </w:tcPr>
          <w:p w:rsidR="00C05966" w:rsidRPr="00C05966" w:rsidP="00C05966">
            <w:pPr>
              <w:spacing w:line="240" w:lineRule="auto"/>
              <w:jc w:val="center"/>
              <w:rPr>
                <w:rFonts w:ascii="Arial Narrow" w:hAnsi="Arial Narrow" w:cs="Arial"/>
                <w:lang w:eastAsia="sk-SK"/>
              </w:rPr>
            </w:pPr>
            <w:r w:rsidRPr="00C05966">
              <w:rPr>
                <w:rFonts w:ascii="Arial Narrow" w:hAnsi="Arial Narrow" w:cs="Arial"/>
                <w:lang w:eastAsia="sk-SK"/>
              </w:rPr>
              <w:t>6 456 000</w:t>
            </w:r>
          </w:p>
        </w:tc>
        <w:tc>
          <w:tcPr>
            <w:tcW w:w="1620" w:type="dxa"/>
            <w:tcBorders>
              <w:top w:val="nil"/>
              <w:left w:val="nil"/>
              <w:bottom w:val="single" w:sz="4" w:space="0" w:color="auto"/>
              <w:right w:val="single" w:sz="8" w:space="0" w:color="auto"/>
              <w:tl2br w:val="nil"/>
              <w:tr2bl w:val="nil"/>
            </w:tcBorders>
            <w:textDirection w:val="lrTb"/>
            <w:vAlign w:val="center"/>
          </w:tcPr>
          <w:p w:rsidR="00C05966" w:rsidRPr="00C05966" w:rsidP="00C05966">
            <w:pPr>
              <w:spacing w:line="240" w:lineRule="auto"/>
              <w:jc w:val="center"/>
              <w:rPr>
                <w:rFonts w:ascii="Arial Narrow" w:hAnsi="Arial Narrow" w:cs="Arial"/>
                <w:lang w:eastAsia="sk-SK"/>
              </w:rPr>
            </w:pPr>
            <w:r w:rsidRPr="00C05966">
              <w:rPr>
                <w:rFonts w:ascii="Arial Narrow" w:hAnsi="Arial Narrow" w:cs="Arial"/>
                <w:lang w:eastAsia="sk-SK"/>
              </w:rPr>
              <w:t>6 456 000</w:t>
            </w:r>
          </w:p>
        </w:tc>
      </w:tr>
      <w:tr>
        <w:tblPrEx>
          <w:tblW w:w="9540" w:type="dxa"/>
          <w:tblInd w:w="-110" w:type="dxa"/>
          <w:tblCellMar>
            <w:left w:w="70" w:type="dxa"/>
            <w:right w:w="70" w:type="dxa"/>
          </w:tblCellMar>
        </w:tblPrEx>
        <w:trPr>
          <w:trHeight w:val="510"/>
        </w:trPr>
        <w:tc>
          <w:tcPr>
            <w:tcW w:w="3339" w:type="dxa"/>
            <w:tcBorders>
              <w:top w:val="nil"/>
              <w:left w:val="single" w:sz="8" w:space="0" w:color="auto"/>
              <w:bottom w:val="single" w:sz="4" w:space="0" w:color="auto"/>
              <w:right w:val="single" w:sz="8" w:space="0" w:color="auto"/>
              <w:tl2br w:val="nil"/>
              <w:tr2bl w:val="nil"/>
            </w:tcBorders>
            <w:textDirection w:val="lrTb"/>
            <w:vAlign w:val="center"/>
          </w:tcPr>
          <w:p w:rsidR="00C05966" w:rsidRPr="00C05966" w:rsidP="00850F87">
            <w:pPr>
              <w:spacing w:line="240" w:lineRule="auto"/>
              <w:jc w:val="left"/>
              <w:rPr>
                <w:rFonts w:ascii="Arial Narrow" w:hAnsi="Arial Narrow" w:cs="Arial"/>
                <w:lang w:eastAsia="sk-SK"/>
              </w:rPr>
            </w:pPr>
            <w:r w:rsidRPr="00C05966">
              <w:rPr>
                <w:rFonts w:ascii="Arial Narrow" w:hAnsi="Arial Narrow" w:cs="Arial"/>
                <w:lang w:eastAsia="sk-SK"/>
              </w:rPr>
              <w:t>4. Národná diaľničná spoločnosť, a.s.</w:t>
            </w:r>
            <w:r w:rsidR="00850F87">
              <w:rPr>
                <w:rFonts w:ascii="Arial Narrow" w:hAnsi="Arial Narrow" w:cs="Arial"/>
                <w:lang w:eastAsia="sk-SK"/>
              </w:rPr>
              <w:t>,</w:t>
            </w:r>
            <w:r w:rsidRPr="00C05966">
              <w:rPr>
                <w:rFonts w:ascii="Arial Narrow" w:hAnsi="Arial Narrow" w:cs="Arial"/>
                <w:lang w:eastAsia="sk-SK"/>
              </w:rPr>
              <w:t xml:space="preserve">              Mlynské Nivy 45, 821 09 Bratislava</w:t>
            </w:r>
          </w:p>
        </w:tc>
        <w:tc>
          <w:tcPr>
            <w:tcW w:w="1521" w:type="dxa"/>
            <w:tcBorders>
              <w:top w:val="nil"/>
              <w:left w:val="nil"/>
              <w:bottom w:val="single" w:sz="4" w:space="0" w:color="auto"/>
              <w:right w:val="single" w:sz="8" w:space="0" w:color="auto"/>
              <w:tl2br w:val="nil"/>
              <w:tr2bl w:val="nil"/>
            </w:tcBorders>
            <w:textDirection w:val="lrTb"/>
            <w:vAlign w:val="center"/>
          </w:tcPr>
          <w:p w:rsidR="00C05966" w:rsidRPr="00C05966" w:rsidP="00C05966">
            <w:pPr>
              <w:spacing w:line="240" w:lineRule="auto"/>
              <w:jc w:val="center"/>
              <w:rPr>
                <w:rFonts w:ascii="Arial Narrow" w:hAnsi="Arial Narrow" w:cs="Arial"/>
                <w:lang w:eastAsia="sk-SK"/>
              </w:rPr>
            </w:pPr>
            <w:r w:rsidRPr="00C05966">
              <w:rPr>
                <w:rFonts w:ascii="Arial Narrow" w:hAnsi="Arial Narrow" w:cs="Arial"/>
                <w:lang w:eastAsia="sk-SK"/>
              </w:rPr>
              <w:t>100,0</w:t>
            </w:r>
          </w:p>
        </w:tc>
        <w:tc>
          <w:tcPr>
            <w:tcW w:w="1440" w:type="dxa"/>
            <w:tcBorders>
              <w:top w:val="nil"/>
              <w:left w:val="nil"/>
              <w:bottom w:val="single" w:sz="4" w:space="0" w:color="auto"/>
              <w:right w:val="single" w:sz="8" w:space="0" w:color="auto"/>
              <w:tl2br w:val="nil"/>
              <w:tr2bl w:val="nil"/>
            </w:tcBorders>
            <w:textDirection w:val="lrTb"/>
            <w:vAlign w:val="center"/>
          </w:tcPr>
          <w:p w:rsidR="00C05966" w:rsidRPr="00C05966" w:rsidP="00C05966">
            <w:pPr>
              <w:spacing w:line="240" w:lineRule="auto"/>
              <w:jc w:val="center"/>
              <w:rPr>
                <w:rFonts w:ascii="Arial Narrow" w:hAnsi="Arial Narrow" w:cs="Arial"/>
                <w:lang w:eastAsia="sk-SK"/>
              </w:rPr>
            </w:pPr>
            <w:r w:rsidRPr="00C05966">
              <w:rPr>
                <w:rFonts w:ascii="Arial Narrow" w:hAnsi="Arial Narrow" w:cs="Arial"/>
                <w:lang w:eastAsia="sk-SK"/>
              </w:rPr>
              <w:t>100,0</w:t>
            </w:r>
          </w:p>
        </w:tc>
        <w:tc>
          <w:tcPr>
            <w:tcW w:w="1620" w:type="dxa"/>
            <w:tcBorders>
              <w:top w:val="nil"/>
              <w:left w:val="nil"/>
              <w:bottom w:val="single" w:sz="4" w:space="0" w:color="auto"/>
              <w:right w:val="single" w:sz="8" w:space="0" w:color="auto"/>
              <w:tl2br w:val="nil"/>
              <w:tr2bl w:val="nil"/>
            </w:tcBorders>
            <w:textDirection w:val="lrTb"/>
            <w:vAlign w:val="center"/>
          </w:tcPr>
          <w:p w:rsidR="00C05966" w:rsidRPr="00C05966" w:rsidP="00C05966">
            <w:pPr>
              <w:spacing w:line="240" w:lineRule="auto"/>
              <w:jc w:val="center"/>
              <w:rPr>
                <w:rFonts w:ascii="Arial Narrow" w:hAnsi="Arial Narrow" w:cs="Arial"/>
                <w:lang w:eastAsia="sk-SK"/>
              </w:rPr>
            </w:pPr>
            <w:r w:rsidRPr="00C05966">
              <w:rPr>
                <w:rFonts w:ascii="Arial Narrow" w:hAnsi="Arial Narrow" w:cs="Arial"/>
                <w:lang w:eastAsia="sk-SK"/>
              </w:rPr>
              <w:t>90 025 830</w:t>
            </w:r>
          </w:p>
        </w:tc>
        <w:tc>
          <w:tcPr>
            <w:tcW w:w="1620" w:type="dxa"/>
            <w:tcBorders>
              <w:top w:val="nil"/>
              <w:left w:val="nil"/>
              <w:bottom w:val="single" w:sz="4" w:space="0" w:color="auto"/>
              <w:right w:val="single" w:sz="8" w:space="0" w:color="auto"/>
              <w:tl2br w:val="nil"/>
              <w:tr2bl w:val="nil"/>
            </w:tcBorders>
            <w:textDirection w:val="lrTb"/>
            <w:vAlign w:val="center"/>
          </w:tcPr>
          <w:p w:rsidR="00C05966" w:rsidRPr="00C05966" w:rsidP="00C05966">
            <w:pPr>
              <w:spacing w:line="240" w:lineRule="auto"/>
              <w:jc w:val="center"/>
              <w:rPr>
                <w:rFonts w:ascii="Arial Narrow" w:hAnsi="Arial Narrow" w:cs="Arial"/>
                <w:lang w:eastAsia="sk-SK"/>
              </w:rPr>
            </w:pPr>
            <w:r w:rsidRPr="00C05966">
              <w:rPr>
                <w:rFonts w:ascii="Arial Narrow" w:hAnsi="Arial Narrow" w:cs="Arial"/>
                <w:lang w:eastAsia="sk-SK"/>
              </w:rPr>
              <w:t>90 187 430</w:t>
            </w:r>
          </w:p>
        </w:tc>
      </w:tr>
      <w:tr>
        <w:tblPrEx>
          <w:tblW w:w="9540" w:type="dxa"/>
          <w:tblInd w:w="-110" w:type="dxa"/>
          <w:tblCellMar>
            <w:left w:w="70" w:type="dxa"/>
            <w:right w:w="70" w:type="dxa"/>
          </w:tblCellMar>
        </w:tblPrEx>
        <w:trPr>
          <w:trHeight w:val="510"/>
        </w:trPr>
        <w:tc>
          <w:tcPr>
            <w:tcW w:w="3339" w:type="dxa"/>
            <w:tcBorders>
              <w:top w:val="nil"/>
              <w:left w:val="single" w:sz="8" w:space="0" w:color="auto"/>
              <w:bottom w:val="single" w:sz="4" w:space="0" w:color="auto"/>
              <w:right w:val="single" w:sz="8" w:space="0" w:color="auto"/>
              <w:tl2br w:val="nil"/>
              <w:tr2bl w:val="nil"/>
            </w:tcBorders>
            <w:textDirection w:val="lrTb"/>
            <w:vAlign w:val="center"/>
          </w:tcPr>
          <w:p w:rsidR="00C05966" w:rsidRPr="00C05966" w:rsidP="00850F87">
            <w:pPr>
              <w:spacing w:line="240" w:lineRule="auto"/>
              <w:jc w:val="left"/>
              <w:rPr>
                <w:rFonts w:ascii="Arial Narrow" w:hAnsi="Arial Narrow" w:cs="Arial"/>
                <w:lang w:eastAsia="sk-SK"/>
              </w:rPr>
            </w:pPr>
            <w:r w:rsidRPr="00C05966">
              <w:rPr>
                <w:rFonts w:ascii="Arial Narrow" w:hAnsi="Arial Narrow" w:cs="Arial"/>
                <w:lang w:eastAsia="sk-SK"/>
              </w:rPr>
              <w:t>5. Slovak Telekom, a.s.</w:t>
            </w:r>
            <w:r w:rsidR="00850F87">
              <w:rPr>
                <w:rFonts w:ascii="Arial Narrow" w:hAnsi="Arial Narrow" w:cs="Arial"/>
                <w:lang w:eastAsia="sk-SK"/>
              </w:rPr>
              <w:t>,</w:t>
            </w:r>
            <w:r w:rsidRPr="00C05966">
              <w:rPr>
                <w:rFonts w:ascii="Arial Narrow" w:hAnsi="Arial Narrow" w:cs="Arial"/>
                <w:lang w:eastAsia="sk-SK"/>
              </w:rPr>
              <w:t xml:space="preserve">                                     Karadžičova 10, 825 13 Bratislava</w:t>
            </w:r>
          </w:p>
        </w:tc>
        <w:tc>
          <w:tcPr>
            <w:tcW w:w="1521" w:type="dxa"/>
            <w:tcBorders>
              <w:top w:val="nil"/>
              <w:left w:val="nil"/>
              <w:bottom w:val="single" w:sz="4" w:space="0" w:color="auto"/>
              <w:right w:val="single" w:sz="8" w:space="0" w:color="auto"/>
              <w:tl2br w:val="nil"/>
              <w:tr2bl w:val="nil"/>
            </w:tcBorders>
            <w:textDirection w:val="lrTb"/>
            <w:vAlign w:val="center"/>
          </w:tcPr>
          <w:p w:rsidR="00C05966" w:rsidRPr="00C05966" w:rsidP="00C05966">
            <w:pPr>
              <w:spacing w:line="240" w:lineRule="auto"/>
              <w:jc w:val="center"/>
              <w:rPr>
                <w:rFonts w:ascii="Arial Narrow" w:hAnsi="Arial Narrow" w:cs="Arial"/>
                <w:lang w:eastAsia="sk-SK"/>
              </w:rPr>
            </w:pPr>
            <w:r w:rsidRPr="00C05966">
              <w:rPr>
                <w:rFonts w:ascii="Arial Narrow" w:hAnsi="Arial Narrow" w:cs="Arial"/>
                <w:lang w:eastAsia="sk-SK"/>
              </w:rPr>
              <w:t>34,0</w:t>
            </w:r>
          </w:p>
        </w:tc>
        <w:tc>
          <w:tcPr>
            <w:tcW w:w="1440" w:type="dxa"/>
            <w:tcBorders>
              <w:top w:val="nil"/>
              <w:left w:val="nil"/>
              <w:bottom w:val="single" w:sz="4" w:space="0" w:color="auto"/>
              <w:right w:val="single" w:sz="8" w:space="0" w:color="auto"/>
              <w:tl2br w:val="nil"/>
              <w:tr2bl w:val="nil"/>
            </w:tcBorders>
            <w:textDirection w:val="lrTb"/>
            <w:vAlign w:val="center"/>
          </w:tcPr>
          <w:p w:rsidR="00C05966" w:rsidRPr="00C05966" w:rsidP="00C05966">
            <w:pPr>
              <w:spacing w:line="240" w:lineRule="auto"/>
              <w:jc w:val="center"/>
              <w:rPr>
                <w:rFonts w:ascii="Arial Narrow" w:hAnsi="Arial Narrow" w:cs="Arial"/>
                <w:lang w:eastAsia="sk-SK"/>
              </w:rPr>
            </w:pPr>
            <w:r w:rsidRPr="00C05966">
              <w:rPr>
                <w:rFonts w:ascii="Arial Narrow" w:hAnsi="Arial Narrow" w:cs="Arial"/>
                <w:lang w:eastAsia="sk-SK"/>
              </w:rPr>
              <w:t>34,0</w:t>
            </w:r>
          </w:p>
        </w:tc>
        <w:tc>
          <w:tcPr>
            <w:tcW w:w="1620" w:type="dxa"/>
            <w:tcBorders>
              <w:top w:val="nil"/>
              <w:left w:val="nil"/>
              <w:bottom w:val="single" w:sz="4" w:space="0" w:color="auto"/>
              <w:right w:val="single" w:sz="8" w:space="0" w:color="auto"/>
              <w:tl2br w:val="nil"/>
              <w:tr2bl w:val="nil"/>
            </w:tcBorders>
            <w:textDirection w:val="lrTb"/>
            <w:vAlign w:val="center"/>
          </w:tcPr>
          <w:p w:rsidR="00C05966" w:rsidRPr="00C05966" w:rsidP="00C05966">
            <w:pPr>
              <w:spacing w:line="240" w:lineRule="auto"/>
              <w:jc w:val="center"/>
              <w:rPr>
                <w:rFonts w:ascii="Arial Narrow" w:hAnsi="Arial Narrow" w:cs="Arial"/>
                <w:lang w:eastAsia="sk-SK"/>
              </w:rPr>
            </w:pPr>
            <w:r w:rsidRPr="00C05966">
              <w:rPr>
                <w:rFonts w:ascii="Arial Narrow" w:hAnsi="Arial Narrow" w:cs="Arial"/>
                <w:lang w:eastAsia="sk-SK"/>
              </w:rPr>
              <w:t>8 849 350</w:t>
            </w:r>
          </w:p>
        </w:tc>
        <w:tc>
          <w:tcPr>
            <w:tcW w:w="1620" w:type="dxa"/>
            <w:tcBorders>
              <w:top w:val="nil"/>
              <w:left w:val="nil"/>
              <w:bottom w:val="single" w:sz="4" w:space="0" w:color="auto"/>
              <w:right w:val="single" w:sz="8" w:space="0" w:color="auto"/>
              <w:tl2br w:val="nil"/>
              <w:tr2bl w:val="nil"/>
            </w:tcBorders>
            <w:textDirection w:val="lrTb"/>
            <w:vAlign w:val="center"/>
          </w:tcPr>
          <w:p w:rsidR="00C05966" w:rsidRPr="00C05966" w:rsidP="00C05966">
            <w:pPr>
              <w:spacing w:line="240" w:lineRule="auto"/>
              <w:jc w:val="center"/>
              <w:rPr>
                <w:rFonts w:ascii="Arial Narrow" w:hAnsi="Arial Narrow" w:cs="Arial"/>
                <w:lang w:eastAsia="sk-SK"/>
              </w:rPr>
            </w:pPr>
            <w:r w:rsidRPr="00C05966">
              <w:rPr>
                <w:rFonts w:ascii="Arial Narrow" w:hAnsi="Arial Narrow" w:cs="Arial"/>
                <w:lang w:eastAsia="sk-SK"/>
              </w:rPr>
              <w:t>8 849 350</w:t>
            </w:r>
          </w:p>
        </w:tc>
      </w:tr>
      <w:tr>
        <w:tblPrEx>
          <w:tblW w:w="9540" w:type="dxa"/>
          <w:tblInd w:w="-110" w:type="dxa"/>
          <w:tblCellMar>
            <w:left w:w="70" w:type="dxa"/>
            <w:right w:w="70" w:type="dxa"/>
          </w:tblCellMar>
        </w:tblPrEx>
        <w:trPr>
          <w:trHeight w:val="765"/>
        </w:trPr>
        <w:tc>
          <w:tcPr>
            <w:tcW w:w="3339" w:type="dxa"/>
            <w:tcBorders>
              <w:top w:val="nil"/>
              <w:left w:val="single" w:sz="8" w:space="0" w:color="auto"/>
              <w:bottom w:val="single" w:sz="4" w:space="0" w:color="auto"/>
              <w:right w:val="single" w:sz="8" w:space="0" w:color="auto"/>
              <w:tl2br w:val="nil"/>
              <w:tr2bl w:val="nil"/>
            </w:tcBorders>
            <w:textDirection w:val="lrTb"/>
            <w:vAlign w:val="center"/>
          </w:tcPr>
          <w:p w:rsidR="00C05966" w:rsidRPr="00C05966" w:rsidP="00850F87">
            <w:pPr>
              <w:spacing w:line="240" w:lineRule="auto"/>
              <w:jc w:val="left"/>
              <w:rPr>
                <w:rFonts w:ascii="Arial Narrow" w:hAnsi="Arial Narrow" w:cs="Arial"/>
                <w:lang w:eastAsia="sk-SK"/>
              </w:rPr>
            </w:pPr>
            <w:r w:rsidRPr="00C05966">
              <w:rPr>
                <w:rFonts w:ascii="Arial Narrow" w:hAnsi="Arial Narrow" w:cs="Arial"/>
                <w:lang w:eastAsia="sk-SK"/>
              </w:rPr>
              <w:t>6. Letisko M.R.Štefánika-Airport Bratislava,</w:t>
            </w:r>
            <w:r w:rsidR="00850F87">
              <w:rPr>
                <w:rFonts w:ascii="Arial Narrow" w:hAnsi="Arial Narrow" w:cs="Arial"/>
                <w:lang w:eastAsia="sk-SK"/>
              </w:rPr>
              <w:t xml:space="preserve"> </w:t>
            </w:r>
            <w:r w:rsidRPr="00C05966">
              <w:rPr>
                <w:rFonts w:ascii="Arial Narrow" w:hAnsi="Arial Narrow" w:cs="Arial"/>
                <w:lang w:eastAsia="sk-SK"/>
              </w:rPr>
              <w:t>a.s.</w:t>
            </w:r>
            <w:r w:rsidR="00850F87">
              <w:rPr>
                <w:rFonts w:ascii="Arial Narrow" w:hAnsi="Arial Narrow" w:cs="Arial"/>
                <w:lang w:eastAsia="sk-SK"/>
              </w:rPr>
              <w:t xml:space="preserve">, </w:t>
            </w:r>
            <w:r w:rsidRPr="00C05966">
              <w:rPr>
                <w:rFonts w:ascii="Arial Narrow" w:hAnsi="Arial Narrow" w:cs="Arial"/>
                <w:lang w:eastAsia="sk-SK"/>
              </w:rPr>
              <w:t>(BTS) Letisko M.R.Štefánika, 823 11 Bratislava</w:t>
            </w:r>
          </w:p>
        </w:tc>
        <w:tc>
          <w:tcPr>
            <w:tcW w:w="1521" w:type="dxa"/>
            <w:tcBorders>
              <w:top w:val="nil"/>
              <w:left w:val="nil"/>
              <w:bottom w:val="single" w:sz="4" w:space="0" w:color="auto"/>
              <w:right w:val="single" w:sz="8" w:space="0" w:color="auto"/>
              <w:tl2br w:val="nil"/>
              <w:tr2bl w:val="nil"/>
            </w:tcBorders>
            <w:textDirection w:val="lrTb"/>
            <w:vAlign w:val="center"/>
          </w:tcPr>
          <w:p w:rsidR="00C05966" w:rsidRPr="00C05966" w:rsidP="00C05966">
            <w:pPr>
              <w:spacing w:line="240" w:lineRule="auto"/>
              <w:jc w:val="center"/>
              <w:rPr>
                <w:rFonts w:ascii="Arial Narrow" w:hAnsi="Arial Narrow" w:cs="Arial"/>
                <w:lang w:eastAsia="sk-SK"/>
              </w:rPr>
            </w:pPr>
            <w:r w:rsidRPr="00C05966">
              <w:rPr>
                <w:rFonts w:ascii="Arial Narrow" w:hAnsi="Arial Narrow" w:cs="Arial"/>
                <w:lang w:eastAsia="sk-SK"/>
              </w:rPr>
              <w:t>34,0</w:t>
            </w:r>
          </w:p>
        </w:tc>
        <w:tc>
          <w:tcPr>
            <w:tcW w:w="1440" w:type="dxa"/>
            <w:tcBorders>
              <w:top w:val="nil"/>
              <w:left w:val="nil"/>
              <w:bottom w:val="single" w:sz="4" w:space="0" w:color="auto"/>
              <w:right w:val="single" w:sz="8" w:space="0" w:color="auto"/>
              <w:tl2br w:val="nil"/>
              <w:tr2bl w:val="nil"/>
            </w:tcBorders>
            <w:textDirection w:val="lrTb"/>
            <w:vAlign w:val="center"/>
          </w:tcPr>
          <w:p w:rsidR="00C05966" w:rsidRPr="00C05966" w:rsidP="00C05966">
            <w:pPr>
              <w:spacing w:line="240" w:lineRule="auto"/>
              <w:jc w:val="center"/>
              <w:rPr>
                <w:rFonts w:ascii="Arial Narrow" w:hAnsi="Arial Narrow" w:cs="Arial"/>
                <w:lang w:eastAsia="sk-SK"/>
              </w:rPr>
            </w:pPr>
            <w:r w:rsidRPr="00C05966">
              <w:rPr>
                <w:rFonts w:ascii="Arial Narrow" w:hAnsi="Arial Narrow" w:cs="Arial"/>
                <w:lang w:eastAsia="sk-SK"/>
              </w:rPr>
              <w:t>34,0</w:t>
            </w:r>
          </w:p>
        </w:tc>
        <w:tc>
          <w:tcPr>
            <w:tcW w:w="1620" w:type="dxa"/>
            <w:tcBorders>
              <w:top w:val="nil"/>
              <w:left w:val="nil"/>
              <w:bottom w:val="single" w:sz="4" w:space="0" w:color="auto"/>
              <w:right w:val="single" w:sz="8" w:space="0" w:color="auto"/>
              <w:tl2br w:val="nil"/>
              <w:tr2bl w:val="nil"/>
            </w:tcBorders>
            <w:textDirection w:val="lrTb"/>
            <w:vAlign w:val="center"/>
          </w:tcPr>
          <w:p w:rsidR="00C05966" w:rsidRPr="00C05966" w:rsidP="00C05966">
            <w:pPr>
              <w:spacing w:line="240" w:lineRule="auto"/>
              <w:jc w:val="center"/>
              <w:rPr>
                <w:rFonts w:ascii="Arial Narrow" w:hAnsi="Arial Narrow" w:cs="Arial"/>
                <w:lang w:eastAsia="sk-SK"/>
              </w:rPr>
            </w:pPr>
            <w:r w:rsidRPr="00C05966">
              <w:rPr>
                <w:rFonts w:ascii="Arial Narrow" w:hAnsi="Arial Narrow" w:cs="Arial"/>
                <w:lang w:eastAsia="sk-SK"/>
              </w:rPr>
              <w:t>2 281 278</w:t>
            </w:r>
          </w:p>
        </w:tc>
        <w:tc>
          <w:tcPr>
            <w:tcW w:w="1620" w:type="dxa"/>
            <w:tcBorders>
              <w:top w:val="nil"/>
              <w:left w:val="nil"/>
              <w:bottom w:val="single" w:sz="4" w:space="0" w:color="auto"/>
              <w:right w:val="single" w:sz="8" w:space="0" w:color="auto"/>
              <w:tl2br w:val="nil"/>
              <w:tr2bl w:val="nil"/>
            </w:tcBorders>
            <w:textDirection w:val="lrTb"/>
            <w:vAlign w:val="center"/>
          </w:tcPr>
          <w:p w:rsidR="00C05966" w:rsidRPr="00C05966" w:rsidP="00C05966">
            <w:pPr>
              <w:spacing w:line="240" w:lineRule="auto"/>
              <w:jc w:val="center"/>
              <w:rPr>
                <w:rFonts w:ascii="Arial Narrow" w:hAnsi="Arial Narrow" w:cs="Arial"/>
                <w:lang w:eastAsia="sk-SK"/>
              </w:rPr>
            </w:pPr>
            <w:r w:rsidRPr="00C05966">
              <w:rPr>
                <w:rFonts w:ascii="Arial Narrow" w:hAnsi="Arial Narrow" w:cs="Arial"/>
                <w:lang w:eastAsia="sk-SK"/>
              </w:rPr>
              <w:t>2 281 278</w:t>
            </w:r>
          </w:p>
        </w:tc>
      </w:tr>
      <w:tr>
        <w:tblPrEx>
          <w:tblW w:w="9540" w:type="dxa"/>
          <w:tblInd w:w="-110" w:type="dxa"/>
          <w:tblCellMar>
            <w:left w:w="70" w:type="dxa"/>
            <w:right w:w="70" w:type="dxa"/>
          </w:tblCellMar>
        </w:tblPrEx>
        <w:trPr>
          <w:trHeight w:val="510"/>
        </w:trPr>
        <w:tc>
          <w:tcPr>
            <w:tcW w:w="3339" w:type="dxa"/>
            <w:tcBorders>
              <w:top w:val="nil"/>
              <w:left w:val="single" w:sz="8" w:space="0" w:color="auto"/>
              <w:bottom w:val="single" w:sz="4" w:space="0" w:color="auto"/>
              <w:right w:val="single" w:sz="8" w:space="0" w:color="auto"/>
              <w:tl2br w:val="nil"/>
              <w:tr2bl w:val="nil"/>
            </w:tcBorders>
            <w:textDirection w:val="lrTb"/>
            <w:vAlign w:val="center"/>
          </w:tcPr>
          <w:p w:rsidR="00C05966" w:rsidRPr="00C05966" w:rsidP="00850F87">
            <w:pPr>
              <w:spacing w:line="240" w:lineRule="auto"/>
              <w:jc w:val="left"/>
              <w:rPr>
                <w:rFonts w:ascii="Arial Narrow" w:hAnsi="Arial Narrow" w:cs="Arial"/>
                <w:lang w:eastAsia="sk-SK"/>
              </w:rPr>
            </w:pPr>
            <w:r w:rsidRPr="00C05966">
              <w:rPr>
                <w:rFonts w:ascii="Arial Narrow" w:hAnsi="Arial Narrow" w:cs="Arial"/>
                <w:lang w:eastAsia="sk-SK"/>
              </w:rPr>
              <w:t>7. Letisko Košice-Airport Košice,</w:t>
            </w:r>
            <w:r w:rsidR="00850F87">
              <w:rPr>
                <w:rFonts w:ascii="Arial Narrow" w:hAnsi="Arial Narrow" w:cs="Arial"/>
                <w:lang w:eastAsia="sk-SK"/>
              </w:rPr>
              <w:t xml:space="preserve"> </w:t>
            </w:r>
            <w:r w:rsidRPr="00C05966">
              <w:rPr>
                <w:rFonts w:ascii="Arial Narrow" w:hAnsi="Arial Narrow" w:cs="Arial"/>
                <w:lang w:eastAsia="sk-SK"/>
              </w:rPr>
              <w:t>a.s.</w:t>
            </w:r>
            <w:r w:rsidR="00850F87">
              <w:rPr>
                <w:rFonts w:ascii="Arial Narrow" w:hAnsi="Arial Narrow" w:cs="Arial"/>
                <w:lang w:eastAsia="sk-SK"/>
              </w:rPr>
              <w:t xml:space="preserve">, </w:t>
            </w:r>
            <w:r w:rsidRPr="00C05966">
              <w:rPr>
                <w:rFonts w:ascii="Arial Narrow" w:hAnsi="Arial Narrow" w:cs="Arial"/>
                <w:lang w:eastAsia="sk-SK"/>
              </w:rPr>
              <w:t xml:space="preserve">                            Letisko Košice, 041 75 Košice IV.</w:t>
            </w:r>
          </w:p>
        </w:tc>
        <w:tc>
          <w:tcPr>
            <w:tcW w:w="1521" w:type="dxa"/>
            <w:tcBorders>
              <w:top w:val="nil"/>
              <w:left w:val="nil"/>
              <w:bottom w:val="single" w:sz="4" w:space="0" w:color="auto"/>
              <w:right w:val="single" w:sz="8" w:space="0" w:color="auto"/>
              <w:tl2br w:val="nil"/>
              <w:tr2bl w:val="nil"/>
            </w:tcBorders>
            <w:noWrap/>
            <w:textDirection w:val="lrTb"/>
            <w:vAlign w:val="center"/>
          </w:tcPr>
          <w:p w:rsidR="00C05966" w:rsidRPr="00C05966" w:rsidP="00C05966">
            <w:pPr>
              <w:spacing w:line="240" w:lineRule="auto"/>
              <w:jc w:val="center"/>
              <w:rPr>
                <w:rFonts w:ascii="Arial Narrow" w:hAnsi="Arial Narrow" w:cs="Arial"/>
                <w:lang w:eastAsia="sk-SK"/>
              </w:rPr>
            </w:pPr>
            <w:r w:rsidRPr="00C05966">
              <w:rPr>
                <w:rFonts w:ascii="Arial Narrow" w:hAnsi="Arial Narrow" w:cs="Arial"/>
                <w:lang w:eastAsia="sk-SK"/>
              </w:rPr>
              <w:t>34,0</w:t>
            </w:r>
          </w:p>
        </w:tc>
        <w:tc>
          <w:tcPr>
            <w:tcW w:w="1440" w:type="dxa"/>
            <w:tcBorders>
              <w:top w:val="nil"/>
              <w:left w:val="nil"/>
              <w:bottom w:val="single" w:sz="4" w:space="0" w:color="auto"/>
              <w:right w:val="single" w:sz="8" w:space="0" w:color="auto"/>
              <w:tl2br w:val="nil"/>
              <w:tr2bl w:val="nil"/>
            </w:tcBorders>
            <w:noWrap/>
            <w:textDirection w:val="lrTb"/>
            <w:vAlign w:val="center"/>
          </w:tcPr>
          <w:p w:rsidR="00C05966" w:rsidRPr="00C05966" w:rsidP="00C05966">
            <w:pPr>
              <w:spacing w:line="240" w:lineRule="auto"/>
              <w:jc w:val="center"/>
              <w:rPr>
                <w:rFonts w:ascii="Arial Narrow" w:hAnsi="Arial Narrow" w:cs="Arial"/>
                <w:lang w:eastAsia="sk-SK"/>
              </w:rPr>
            </w:pPr>
            <w:r w:rsidRPr="00C05966">
              <w:rPr>
                <w:rFonts w:ascii="Arial Narrow" w:hAnsi="Arial Narrow" w:cs="Arial"/>
                <w:lang w:eastAsia="sk-SK"/>
              </w:rPr>
              <w:t>34,0</w:t>
            </w:r>
          </w:p>
        </w:tc>
        <w:tc>
          <w:tcPr>
            <w:tcW w:w="1620" w:type="dxa"/>
            <w:tcBorders>
              <w:top w:val="nil"/>
              <w:left w:val="nil"/>
              <w:bottom w:val="single" w:sz="4" w:space="0" w:color="auto"/>
              <w:right w:val="single" w:sz="8" w:space="0" w:color="auto"/>
              <w:tl2br w:val="nil"/>
              <w:tr2bl w:val="nil"/>
            </w:tcBorders>
            <w:noWrap/>
            <w:textDirection w:val="lrTb"/>
            <w:vAlign w:val="center"/>
          </w:tcPr>
          <w:p w:rsidR="00C05966" w:rsidRPr="00C05966" w:rsidP="00C05966">
            <w:pPr>
              <w:spacing w:line="240" w:lineRule="auto"/>
              <w:jc w:val="center"/>
              <w:rPr>
                <w:rFonts w:ascii="Arial Narrow" w:hAnsi="Arial Narrow" w:cs="Arial"/>
                <w:lang w:eastAsia="sk-SK"/>
              </w:rPr>
            </w:pPr>
            <w:r w:rsidRPr="00C05966">
              <w:rPr>
                <w:rFonts w:ascii="Arial Narrow" w:hAnsi="Arial Narrow" w:cs="Arial"/>
                <w:lang w:eastAsia="sk-SK"/>
              </w:rPr>
              <w:t>776 376</w:t>
            </w:r>
          </w:p>
        </w:tc>
        <w:tc>
          <w:tcPr>
            <w:tcW w:w="1620" w:type="dxa"/>
            <w:tcBorders>
              <w:top w:val="nil"/>
              <w:left w:val="nil"/>
              <w:bottom w:val="single" w:sz="4" w:space="0" w:color="auto"/>
              <w:right w:val="single" w:sz="8" w:space="0" w:color="auto"/>
              <w:tl2br w:val="nil"/>
              <w:tr2bl w:val="nil"/>
            </w:tcBorders>
            <w:noWrap/>
            <w:textDirection w:val="lrTb"/>
            <w:vAlign w:val="center"/>
          </w:tcPr>
          <w:p w:rsidR="00C05966" w:rsidRPr="00C05966" w:rsidP="00C05966">
            <w:pPr>
              <w:spacing w:line="240" w:lineRule="auto"/>
              <w:jc w:val="center"/>
              <w:rPr>
                <w:rFonts w:ascii="Arial Narrow" w:hAnsi="Arial Narrow" w:cs="Arial"/>
                <w:lang w:eastAsia="sk-SK"/>
              </w:rPr>
            </w:pPr>
            <w:r w:rsidRPr="00C05966">
              <w:rPr>
                <w:rFonts w:ascii="Arial Narrow" w:hAnsi="Arial Narrow" w:cs="Arial"/>
                <w:lang w:eastAsia="sk-SK"/>
              </w:rPr>
              <w:t>776 376</w:t>
            </w:r>
          </w:p>
        </w:tc>
      </w:tr>
      <w:tr>
        <w:tblPrEx>
          <w:tblW w:w="9540" w:type="dxa"/>
          <w:tblInd w:w="-110" w:type="dxa"/>
          <w:tblCellMar>
            <w:left w:w="70" w:type="dxa"/>
            <w:right w:w="70" w:type="dxa"/>
          </w:tblCellMar>
        </w:tblPrEx>
        <w:trPr>
          <w:trHeight w:val="510"/>
        </w:trPr>
        <w:tc>
          <w:tcPr>
            <w:tcW w:w="3339" w:type="dxa"/>
            <w:tcBorders>
              <w:top w:val="nil"/>
              <w:left w:val="single" w:sz="8" w:space="0" w:color="auto"/>
              <w:bottom w:val="single" w:sz="4" w:space="0" w:color="auto"/>
              <w:right w:val="single" w:sz="8" w:space="0" w:color="auto"/>
              <w:tl2br w:val="nil"/>
              <w:tr2bl w:val="nil"/>
            </w:tcBorders>
            <w:textDirection w:val="lrTb"/>
            <w:vAlign w:val="center"/>
          </w:tcPr>
          <w:p w:rsidR="00C05966" w:rsidRPr="00C05966" w:rsidP="00850F87">
            <w:pPr>
              <w:spacing w:line="240" w:lineRule="auto"/>
              <w:jc w:val="left"/>
              <w:rPr>
                <w:rFonts w:ascii="Arial Narrow" w:hAnsi="Arial Narrow" w:cs="Arial"/>
                <w:lang w:eastAsia="sk-SK"/>
              </w:rPr>
            </w:pPr>
            <w:r w:rsidRPr="00C05966">
              <w:rPr>
                <w:rFonts w:ascii="Arial Narrow" w:hAnsi="Arial Narrow" w:cs="Arial"/>
                <w:lang w:eastAsia="sk-SK"/>
              </w:rPr>
              <w:t>8. Letisková spoločnosť Žilina,</w:t>
            </w:r>
            <w:r w:rsidR="00850F87">
              <w:rPr>
                <w:rFonts w:ascii="Arial Narrow" w:hAnsi="Arial Narrow" w:cs="Arial"/>
                <w:lang w:eastAsia="sk-SK"/>
              </w:rPr>
              <w:t xml:space="preserve"> </w:t>
            </w:r>
            <w:r w:rsidRPr="00C05966">
              <w:rPr>
                <w:rFonts w:ascii="Arial Narrow" w:hAnsi="Arial Narrow" w:cs="Arial"/>
                <w:lang w:eastAsia="sk-SK"/>
              </w:rPr>
              <w:t>a.s.</w:t>
            </w:r>
            <w:r w:rsidR="00850F87">
              <w:rPr>
                <w:rFonts w:ascii="Arial Narrow" w:hAnsi="Arial Narrow" w:cs="Arial"/>
                <w:lang w:eastAsia="sk-SK"/>
              </w:rPr>
              <w:t>,</w:t>
            </w:r>
            <w:r w:rsidRPr="00C05966">
              <w:rPr>
                <w:rFonts w:ascii="Arial Narrow" w:hAnsi="Arial Narrow" w:cs="Arial"/>
                <w:lang w:eastAsia="sk-SK"/>
              </w:rPr>
              <w:t xml:space="preserve">                             Univerzitná 1, 010 26 Žilina</w:t>
            </w:r>
          </w:p>
        </w:tc>
        <w:tc>
          <w:tcPr>
            <w:tcW w:w="1521" w:type="dxa"/>
            <w:tcBorders>
              <w:top w:val="nil"/>
              <w:left w:val="nil"/>
              <w:bottom w:val="single" w:sz="4" w:space="0" w:color="auto"/>
              <w:right w:val="single" w:sz="8" w:space="0" w:color="auto"/>
              <w:tl2br w:val="nil"/>
              <w:tr2bl w:val="nil"/>
            </w:tcBorders>
            <w:noWrap/>
            <w:textDirection w:val="lrTb"/>
            <w:vAlign w:val="center"/>
          </w:tcPr>
          <w:p w:rsidR="00C05966" w:rsidRPr="00C05966" w:rsidP="00C05966">
            <w:pPr>
              <w:spacing w:line="240" w:lineRule="auto"/>
              <w:jc w:val="center"/>
              <w:rPr>
                <w:rFonts w:ascii="Arial Narrow" w:hAnsi="Arial Narrow" w:cs="Arial"/>
                <w:lang w:eastAsia="sk-SK"/>
              </w:rPr>
            </w:pPr>
            <w:r w:rsidRPr="00C05966">
              <w:rPr>
                <w:rFonts w:ascii="Arial Narrow" w:hAnsi="Arial Narrow" w:cs="Arial"/>
                <w:lang w:eastAsia="sk-SK"/>
              </w:rPr>
              <w:t>99,0</w:t>
            </w:r>
          </w:p>
        </w:tc>
        <w:tc>
          <w:tcPr>
            <w:tcW w:w="1440" w:type="dxa"/>
            <w:tcBorders>
              <w:top w:val="nil"/>
              <w:left w:val="nil"/>
              <w:bottom w:val="single" w:sz="4" w:space="0" w:color="auto"/>
              <w:right w:val="single" w:sz="8" w:space="0" w:color="auto"/>
              <w:tl2br w:val="nil"/>
              <w:tr2bl w:val="nil"/>
            </w:tcBorders>
            <w:noWrap/>
            <w:textDirection w:val="lrTb"/>
            <w:vAlign w:val="center"/>
          </w:tcPr>
          <w:p w:rsidR="00C05966" w:rsidRPr="00C05966" w:rsidP="00C05966">
            <w:pPr>
              <w:spacing w:line="240" w:lineRule="auto"/>
              <w:jc w:val="center"/>
              <w:rPr>
                <w:rFonts w:ascii="Arial Narrow" w:hAnsi="Arial Narrow" w:cs="Arial"/>
                <w:lang w:eastAsia="sk-SK"/>
              </w:rPr>
            </w:pPr>
            <w:r w:rsidRPr="00C05966">
              <w:rPr>
                <w:rFonts w:ascii="Arial Narrow" w:hAnsi="Arial Narrow" w:cs="Arial"/>
                <w:lang w:eastAsia="sk-SK"/>
              </w:rPr>
              <w:t>99,9</w:t>
            </w:r>
          </w:p>
        </w:tc>
        <w:tc>
          <w:tcPr>
            <w:tcW w:w="1620" w:type="dxa"/>
            <w:tcBorders>
              <w:top w:val="nil"/>
              <w:left w:val="nil"/>
              <w:bottom w:val="single" w:sz="4" w:space="0" w:color="auto"/>
              <w:right w:val="single" w:sz="8" w:space="0" w:color="auto"/>
              <w:tl2br w:val="nil"/>
              <w:tr2bl w:val="nil"/>
            </w:tcBorders>
            <w:noWrap/>
            <w:textDirection w:val="lrTb"/>
            <w:vAlign w:val="center"/>
          </w:tcPr>
          <w:p w:rsidR="00C05966" w:rsidRPr="00C05966" w:rsidP="00C05966">
            <w:pPr>
              <w:spacing w:line="240" w:lineRule="auto"/>
              <w:jc w:val="center"/>
              <w:rPr>
                <w:rFonts w:ascii="Arial Narrow" w:hAnsi="Arial Narrow" w:cs="Arial"/>
                <w:lang w:eastAsia="sk-SK"/>
              </w:rPr>
            </w:pPr>
            <w:r w:rsidRPr="00C05966">
              <w:rPr>
                <w:rFonts w:ascii="Arial Narrow" w:hAnsi="Arial Narrow" w:cs="Arial"/>
                <w:lang w:eastAsia="sk-SK"/>
              </w:rPr>
              <w:t>430 *</w:t>
            </w:r>
          </w:p>
        </w:tc>
        <w:tc>
          <w:tcPr>
            <w:tcW w:w="1620" w:type="dxa"/>
            <w:tcBorders>
              <w:top w:val="nil"/>
              <w:left w:val="nil"/>
              <w:bottom w:val="single" w:sz="4" w:space="0" w:color="auto"/>
              <w:right w:val="single" w:sz="8" w:space="0" w:color="auto"/>
              <w:tl2br w:val="nil"/>
              <w:tr2bl w:val="nil"/>
            </w:tcBorders>
            <w:noWrap/>
            <w:textDirection w:val="lrTb"/>
            <w:vAlign w:val="center"/>
          </w:tcPr>
          <w:p w:rsidR="00C05966" w:rsidRPr="00C05966" w:rsidP="00C05966">
            <w:pPr>
              <w:spacing w:line="240" w:lineRule="auto"/>
              <w:jc w:val="center"/>
              <w:rPr>
                <w:rFonts w:ascii="Arial Narrow" w:hAnsi="Arial Narrow" w:cs="Arial"/>
                <w:lang w:eastAsia="sk-SK"/>
              </w:rPr>
            </w:pPr>
            <w:r w:rsidRPr="00C05966">
              <w:rPr>
                <w:rFonts w:ascii="Arial Narrow" w:hAnsi="Arial Narrow" w:cs="Arial"/>
                <w:lang w:eastAsia="sk-SK"/>
              </w:rPr>
              <w:t>89 430</w:t>
            </w:r>
          </w:p>
        </w:tc>
      </w:tr>
      <w:tr>
        <w:tblPrEx>
          <w:tblW w:w="9540" w:type="dxa"/>
          <w:tblInd w:w="-110" w:type="dxa"/>
          <w:tblCellMar>
            <w:left w:w="70" w:type="dxa"/>
            <w:right w:w="70" w:type="dxa"/>
          </w:tblCellMar>
        </w:tblPrEx>
        <w:trPr>
          <w:trHeight w:val="510"/>
        </w:trPr>
        <w:tc>
          <w:tcPr>
            <w:tcW w:w="3339" w:type="dxa"/>
            <w:tcBorders>
              <w:top w:val="nil"/>
              <w:left w:val="single" w:sz="8" w:space="0" w:color="auto"/>
              <w:bottom w:val="single" w:sz="4" w:space="0" w:color="auto"/>
              <w:right w:val="single" w:sz="8" w:space="0" w:color="auto"/>
              <w:tl2br w:val="nil"/>
              <w:tr2bl w:val="nil"/>
            </w:tcBorders>
            <w:textDirection w:val="lrTb"/>
            <w:vAlign w:val="center"/>
          </w:tcPr>
          <w:p w:rsidR="00C05966" w:rsidRPr="00C05966" w:rsidP="00850F87">
            <w:pPr>
              <w:spacing w:line="240" w:lineRule="auto"/>
              <w:jc w:val="left"/>
              <w:rPr>
                <w:rFonts w:ascii="Arial Narrow" w:hAnsi="Arial Narrow" w:cs="Arial"/>
                <w:lang w:eastAsia="sk-SK"/>
              </w:rPr>
            </w:pPr>
            <w:r w:rsidRPr="00C05966">
              <w:rPr>
                <w:rFonts w:ascii="Arial Narrow" w:hAnsi="Arial Narrow" w:cs="Arial"/>
                <w:lang w:eastAsia="sk-SK"/>
              </w:rPr>
              <w:t>9. Letisko Poprad-Tatry, a.s.</w:t>
            </w:r>
            <w:r w:rsidR="00850F87">
              <w:rPr>
                <w:rFonts w:ascii="Arial Narrow" w:hAnsi="Arial Narrow" w:cs="Arial"/>
                <w:lang w:eastAsia="sk-SK"/>
              </w:rPr>
              <w:t>,</w:t>
            </w:r>
            <w:r w:rsidRPr="00C05966">
              <w:rPr>
                <w:rFonts w:ascii="Arial Narrow" w:hAnsi="Arial Narrow" w:cs="Arial"/>
                <w:lang w:eastAsia="sk-SK"/>
              </w:rPr>
              <w:t xml:space="preserve">                                                                        Na letisko 100, 058 98 Poprad</w:t>
            </w:r>
          </w:p>
        </w:tc>
        <w:tc>
          <w:tcPr>
            <w:tcW w:w="1521" w:type="dxa"/>
            <w:tcBorders>
              <w:top w:val="nil"/>
              <w:left w:val="nil"/>
              <w:bottom w:val="single" w:sz="4" w:space="0" w:color="auto"/>
              <w:right w:val="single" w:sz="8" w:space="0" w:color="auto"/>
              <w:tl2br w:val="nil"/>
              <w:tr2bl w:val="nil"/>
            </w:tcBorders>
            <w:noWrap/>
            <w:textDirection w:val="lrTb"/>
            <w:vAlign w:val="center"/>
          </w:tcPr>
          <w:p w:rsidR="00C05966" w:rsidRPr="00C05966" w:rsidP="00C05966">
            <w:pPr>
              <w:spacing w:line="240" w:lineRule="auto"/>
              <w:jc w:val="center"/>
              <w:rPr>
                <w:rFonts w:ascii="Arial Narrow" w:hAnsi="Arial Narrow" w:cs="Arial"/>
                <w:lang w:eastAsia="sk-SK"/>
              </w:rPr>
            </w:pPr>
            <w:r w:rsidRPr="00C05966">
              <w:rPr>
                <w:rFonts w:ascii="Arial Narrow" w:hAnsi="Arial Narrow" w:cs="Arial"/>
                <w:lang w:eastAsia="sk-SK"/>
              </w:rPr>
              <w:t>34,0</w:t>
            </w:r>
          </w:p>
        </w:tc>
        <w:tc>
          <w:tcPr>
            <w:tcW w:w="1440" w:type="dxa"/>
            <w:tcBorders>
              <w:top w:val="nil"/>
              <w:left w:val="nil"/>
              <w:bottom w:val="single" w:sz="4" w:space="0" w:color="auto"/>
              <w:right w:val="single" w:sz="8" w:space="0" w:color="auto"/>
              <w:tl2br w:val="nil"/>
              <w:tr2bl w:val="nil"/>
            </w:tcBorders>
            <w:noWrap/>
            <w:textDirection w:val="lrTb"/>
            <w:vAlign w:val="center"/>
          </w:tcPr>
          <w:p w:rsidR="00C05966" w:rsidRPr="00C05966" w:rsidP="00C05966">
            <w:pPr>
              <w:spacing w:line="240" w:lineRule="auto"/>
              <w:jc w:val="center"/>
              <w:rPr>
                <w:rFonts w:ascii="Arial Narrow" w:hAnsi="Arial Narrow" w:cs="Arial"/>
                <w:lang w:eastAsia="sk-SK"/>
              </w:rPr>
            </w:pPr>
            <w:r w:rsidRPr="00C05966">
              <w:rPr>
                <w:rFonts w:ascii="Arial Narrow" w:hAnsi="Arial Narrow" w:cs="Arial"/>
                <w:lang w:eastAsia="sk-SK"/>
              </w:rPr>
              <w:t>34,0</w:t>
            </w:r>
          </w:p>
        </w:tc>
        <w:tc>
          <w:tcPr>
            <w:tcW w:w="1620" w:type="dxa"/>
            <w:tcBorders>
              <w:top w:val="nil"/>
              <w:left w:val="nil"/>
              <w:bottom w:val="single" w:sz="4" w:space="0" w:color="auto"/>
              <w:right w:val="single" w:sz="8" w:space="0" w:color="auto"/>
              <w:tl2br w:val="nil"/>
              <w:tr2bl w:val="nil"/>
            </w:tcBorders>
            <w:noWrap/>
            <w:textDirection w:val="lrTb"/>
            <w:vAlign w:val="center"/>
          </w:tcPr>
          <w:p w:rsidR="00C05966" w:rsidRPr="00C05966" w:rsidP="00C05966">
            <w:pPr>
              <w:spacing w:line="240" w:lineRule="auto"/>
              <w:jc w:val="center"/>
              <w:rPr>
                <w:rFonts w:ascii="Arial Narrow" w:hAnsi="Arial Narrow" w:cs="Arial"/>
                <w:lang w:eastAsia="sk-SK"/>
              </w:rPr>
            </w:pPr>
            <w:r w:rsidRPr="00C05966">
              <w:rPr>
                <w:rFonts w:ascii="Arial Narrow" w:hAnsi="Arial Narrow" w:cs="Arial"/>
                <w:lang w:eastAsia="sk-SK"/>
              </w:rPr>
              <w:t>203 120</w:t>
            </w:r>
          </w:p>
        </w:tc>
        <w:tc>
          <w:tcPr>
            <w:tcW w:w="1620" w:type="dxa"/>
            <w:tcBorders>
              <w:top w:val="nil"/>
              <w:left w:val="nil"/>
              <w:bottom w:val="single" w:sz="4" w:space="0" w:color="auto"/>
              <w:right w:val="single" w:sz="8" w:space="0" w:color="auto"/>
              <w:tl2br w:val="nil"/>
              <w:tr2bl w:val="nil"/>
            </w:tcBorders>
            <w:noWrap/>
            <w:textDirection w:val="lrTb"/>
            <w:vAlign w:val="center"/>
          </w:tcPr>
          <w:p w:rsidR="00C05966" w:rsidRPr="00C05966" w:rsidP="00C05966">
            <w:pPr>
              <w:spacing w:line="240" w:lineRule="auto"/>
              <w:jc w:val="center"/>
              <w:rPr>
                <w:rFonts w:ascii="Arial Narrow" w:hAnsi="Arial Narrow" w:cs="Arial"/>
                <w:lang w:eastAsia="sk-SK"/>
              </w:rPr>
            </w:pPr>
            <w:r w:rsidRPr="00C05966">
              <w:rPr>
                <w:rFonts w:ascii="Arial Narrow" w:hAnsi="Arial Narrow" w:cs="Arial"/>
                <w:lang w:eastAsia="sk-SK"/>
              </w:rPr>
              <w:t>203 120</w:t>
            </w:r>
          </w:p>
        </w:tc>
      </w:tr>
      <w:tr>
        <w:tblPrEx>
          <w:tblW w:w="9540" w:type="dxa"/>
          <w:tblInd w:w="-110" w:type="dxa"/>
          <w:tblCellMar>
            <w:left w:w="70" w:type="dxa"/>
            <w:right w:w="70" w:type="dxa"/>
          </w:tblCellMar>
        </w:tblPrEx>
        <w:trPr>
          <w:trHeight w:val="510"/>
        </w:trPr>
        <w:tc>
          <w:tcPr>
            <w:tcW w:w="3339" w:type="dxa"/>
            <w:tcBorders>
              <w:top w:val="nil"/>
              <w:left w:val="single" w:sz="8" w:space="0" w:color="auto"/>
              <w:bottom w:val="single" w:sz="4" w:space="0" w:color="auto"/>
              <w:right w:val="single" w:sz="8" w:space="0" w:color="auto"/>
              <w:tl2br w:val="nil"/>
              <w:tr2bl w:val="nil"/>
            </w:tcBorders>
            <w:textDirection w:val="lrTb"/>
            <w:vAlign w:val="center"/>
          </w:tcPr>
          <w:p w:rsidR="00C05966" w:rsidRPr="00C05966" w:rsidP="00850F87">
            <w:pPr>
              <w:spacing w:line="240" w:lineRule="auto"/>
              <w:jc w:val="left"/>
              <w:rPr>
                <w:rFonts w:ascii="Arial Narrow" w:hAnsi="Arial Narrow" w:cs="Arial"/>
                <w:lang w:eastAsia="sk-SK"/>
              </w:rPr>
            </w:pPr>
            <w:r w:rsidRPr="00C05966">
              <w:rPr>
                <w:rFonts w:ascii="Arial Narrow" w:hAnsi="Arial Narrow" w:cs="Arial"/>
                <w:lang w:eastAsia="sk-SK"/>
              </w:rPr>
              <w:t>10. Letisko Piešťany, a.s.</w:t>
            </w:r>
            <w:r w:rsidR="00850F87">
              <w:rPr>
                <w:rFonts w:ascii="Arial Narrow" w:hAnsi="Arial Narrow" w:cs="Arial"/>
                <w:lang w:eastAsia="sk-SK"/>
              </w:rPr>
              <w:t>,</w:t>
            </w:r>
            <w:r w:rsidRPr="00C05966">
              <w:rPr>
                <w:rFonts w:ascii="Arial Narrow" w:hAnsi="Arial Narrow" w:cs="Arial"/>
                <w:lang w:eastAsia="sk-SK"/>
              </w:rPr>
              <w:t xml:space="preserve">                                            Žilinská cesta 597/81, 921 01 Piešťany                                       </w:t>
            </w:r>
          </w:p>
        </w:tc>
        <w:tc>
          <w:tcPr>
            <w:tcW w:w="1521" w:type="dxa"/>
            <w:tcBorders>
              <w:top w:val="nil"/>
              <w:left w:val="nil"/>
              <w:bottom w:val="single" w:sz="4" w:space="0" w:color="auto"/>
              <w:right w:val="single" w:sz="8" w:space="0" w:color="auto"/>
              <w:tl2br w:val="nil"/>
              <w:tr2bl w:val="nil"/>
            </w:tcBorders>
            <w:noWrap/>
            <w:textDirection w:val="lrTb"/>
            <w:vAlign w:val="center"/>
          </w:tcPr>
          <w:p w:rsidR="00C05966" w:rsidRPr="00C05966" w:rsidP="00C05966">
            <w:pPr>
              <w:spacing w:line="240" w:lineRule="auto"/>
              <w:jc w:val="center"/>
              <w:rPr>
                <w:rFonts w:ascii="Arial Narrow" w:hAnsi="Arial Narrow" w:cs="Arial"/>
                <w:lang w:eastAsia="sk-SK"/>
              </w:rPr>
            </w:pPr>
            <w:r w:rsidRPr="00C05966">
              <w:rPr>
                <w:rFonts w:ascii="Arial Narrow" w:hAnsi="Arial Narrow" w:cs="Arial"/>
                <w:lang w:eastAsia="sk-SK"/>
              </w:rPr>
              <w:t>34,0</w:t>
            </w:r>
          </w:p>
        </w:tc>
        <w:tc>
          <w:tcPr>
            <w:tcW w:w="1440" w:type="dxa"/>
            <w:tcBorders>
              <w:top w:val="nil"/>
              <w:left w:val="nil"/>
              <w:bottom w:val="single" w:sz="4" w:space="0" w:color="auto"/>
              <w:right w:val="single" w:sz="8" w:space="0" w:color="auto"/>
              <w:tl2br w:val="nil"/>
              <w:tr2bl w:val="nil"/>
            </w:tcBorders>
            <w:noWrap/>
            <w:textDirection w:val="lrTb"/>
            <w:vAlign w:val="center"/>
          </w:tcPr>
          <w:p w:rsidR="00C05966" w:rsidRPr="00C05966" w:rsidP="00C05966">
            <w:pPr>
              <w:spacing w:line="240" w:lineRule="auto"/>
              <w:jc w:val="center"/>
              <w:rPr>
                <w:rFonts w:ascii="Arial Narrow" w:hAnsi="Arial Narrow" w:cs="Arial"/>
                <w:lang w:eastAsia="sk-SK"/>
              </w:rPr>
            </w:pPr>
            <w:r w:rsidRPr="00C05966">
              <w:rPr>
                <w:rFonts w:ascii="Arial Narrow" w:hAnsi="Arial Narrow" w:cs="Arial"/>
                <w:lang w:eastAsia="sk-SK"/>
              </w:rPr>
              <w:t>34,0</w:t>
            </w:r>
          </w:p>
        </w:tc>
        <w:tc>
          <w:tcPr>
            <w:tcW w:w="1620" w:type="dxa"/>
            <w:tcBorders>
              <w:top w:val="nil"/>
              <w:left w:val="nil"/>
              <w:bottom w:val="single" w:sz="4" w:space="0" w:color="auto"/>
              <w:right w:val="single" w:sz="8" w:space="0" w:color="auto"/>
              <w:tl2br w:val="nil"/>
              <w:tr2bl w:val="nil"/>
            </w:tcBorders>
            <w:noWrap/>
            <w:textDirection w:val="lrTb"/>
            <w:vAlign w:val="center"/>
          </w:tcPr>
          <w:p w:rsidR="00C05966" w:rsidRPr="00C05966" w:rsidP="00C05966">
            <w:pPr>
              <w:spacing w:line="240" w:lineRule="auto"/>
              <w:jc w:val="center"/>
              <w:rPr>
                <w:rFonts w:ascii="Arial Narrow" w:hAnsi="Arial Narrow" w:cs="Arial"/>
                <w:lang w:eastAsia="sk-SK"/>
              </w:rPr>
            </w:pPr>
            <w:r w:rsidRPr="00C05966">
              <w:rPr>
                <w:rFonts w:ascii="Arial Narrow" w:hAnsi="Arial Narrow" w:cs="Arial"/>
                <w:lang w:eastAsia="sk-SK"/>
              </w:rPr>
              <w:t>151 680</w:t>
            </w:r>
          </w:p>
        </w:tc>
        <w:tc>
          <w:tcPr>
            <w:tcW w:w="1620" w:type="dxa"/>
            <w:tcBorders>
              <w:top w:val="nil"/>
              <w:left w:val="nil"/>
              <w:bottom w:val="single" w:sz="4" w:space="0" w:color="auto"/>
              <w:right w:val="single" w:sz="8" w:space="0" w:color="auto"/>
              <w:tl2br w:val="nil"/>
              <w:tr2bl w:val="nil"/>
            </w:tcBorders>
            <w:noWrap/>
            <w:textDirection w:val="lrTb"/>
            <w:vAlign w:val="center"/>
          </w:tcPr>
          <w:p w:rsidR="00C05966" w:rsidRPr="00C05966" w:rsidP="00C05966">
            <w:pPr>
              <w:spacing w:line="240" w:lineRule="auto"/>
              <w:jc w:val="center"/>
              <w:rPr>
                <w:rFonts w:ascii="Arial Narrow" w:hAnsi="Arial Narrow" w:cs="Arial"/>
                <w:lang w:eastAsia="sk-SK"/>
              </w:rPr>
            </w:pPr>
            <w:r w:rsidRPr="00C05966">
              <w:rPr>
                <w:rFonts w:ascii="Arial Narrow" w:hAnsi="Arial Narrow" w:cs="Arial"/>
                <w:lang w:eastAsia="sk-SK"/>
              </w:rPr>
              <w:t>151 680</w:t>
            </w:r>
          </w:p>
        </w:tc>
      </w:tr>
      <w:tr>
        <w:tblPrEx>
          <w:tblW w:w="9540" w:type="dxa"/>
          <w:tblInd w:w="-110" w:type="dxa"/>
          <w:tblCellMar>
            <w:left w:w="70" w:type="dxa"/>
            <w:right w:w="70" w:type="dxa"/>
          </w:tblCellMar>
        </w:tblPrEx>
        <w:trPr>
          <w:trHeight w:val="510"/>
        </w:trPr>
        <w:tc>
          <w:tcPr>
            <w:tcW w:w="3339" w:type="dxa"/>
            <w:tcBorders>
              <w:top w:val="nil"/>
              <w:left w:val="single" w:sz="8" w:space="0" w:color="auto"/>
              <w:bottom w:val="single" w:sz="4" w:space="0" w:color="auto"/>
              <w:right w:val="single" w:sz="8" w:space="0" w:color="auto"/>
              <w:tl2br w:val="nil"/>
              <w:tr2bl w:val="nil"/>
            </w:tcBorders>
            <w:textDirection w:val="lrTb"/>
            <w:vAlign w:val="center"/>
          </w:tcPr>
          <w:p w:rsidR="00C05966" w:rsidRPr="00C05966" w:rsidP="00850F87">
            <w:pPr>
              <w:spacing w:line="240" w:lineRule="auto"/>
              <w:jc w:val="left"/>
              <w:rPr>
                <w:rFonts w:ascii="Arial Narrow" w:hAnsi="Arial Narrow" w:cs="Arial"/>
                <w:lang w:eastAsia="sk-SK"/>
              </w:rPr>
            </w:pPr>
            <w:r w:rsidRPr="00C05966">
              <w:rPr>
                <w:rFonts w:ascii="Arial Narrow" w:hAnsi="Arial Narrow" w:cs="Arial"/>
                <w:lang w:eastAsia="sk-SK"/>
              </w:rPr>
              <w:t>11.Spoločná zdravotná poisťovňa, a.s.</w:t>
            </w:r>
            <w:r w:rsidR="00850F87">
              <w:rPr>
                <w:rFonts w:ascii="Arial Narrow" w:hAnsi="Arial Narrow" w:cs="Arial"/>
                <w:lang w:eastAsia="sk-SK"/>
              </w:rPr>
              <w:t>,</w:t>
            </w:r>
            <w:r w:rsidRPr="00C05966">
              <w:rPr>
                <w:rFonts w:ascii="Arial Narrow" w:hAnsi="Arial Narrow" w:cs="Arial"/>
                <w:lang w:eastAsia="sk-SK"/>
              </w:rPr>
              <w:t xml:space="preserve">             Ondavská 3, 820 05 Bratislava</w:t>
            </w:r>
          </w:p>
        </w:tc>
        <w:tc>
          <w:tcPr>
            <w:tcW w:w="1521" w:type="dxa"/>
            <w:tcBorders>
              <w:top w:val="nil"/>
              <w:left w:val="nil"/>
              <w:bottom w:val="single" w:sz="4" w:space="0" w:color="auto"/>
              <w:right w:val="single" w:sz="8" w:space="0" w:color="auto"/>
              <w:tl2br w:val="nil"/>
              <w:tr2bl w:val="nil"/>
            </w:tcBorders>
            <w:noWrap/>
            <w:textDirection w:val="lrTb"/>
            <w:vAlign w:val="center"/>
          </w:tcPr>
          <w:p w:rsidR="00C05966" w:rsidRPr="00C05966" w:rsidP="00C05966">
            <w:pPr>
              <w:spacing w:line="240" w:lineRule="auto"/>
              <w:jc w:val="center"/>
              <w:rPr>
                <w:rFonts w:ascii="Arial Narrow" w:hAnsi="Arial Narrow" w:cs="Arial"/>
                <w:lang w:eastAsia="sk-SK"/>
              </w:rPr>
            </w:pPr>
            <w:r w:rsidRPr="00C05966">
              <w:rPr>
                <w:rFonts w:ascii="Arial Narrow" w:hAnsi="Arial Narrow" w:cs="Arial"/>
                <w:lang w:eastAsia="sk-SK"/>
              </w:rPr>
              <w:t>34,0</w:t>
            </w:r>
          </w:p>
        </w:tc>
        <w:tc>
          <w:tcPr>
            <w:tcW w:w="1440" w:type="dxa"/>
            <w:tcBorders>
              <w:top w:val="nil"/>
              <w:left w:val="nil"/>
              <w:bottom w:val="single" w:sz="4" w:space="0" w:color="auto"/>
              <w:right w:val="single" w:sz="8" w:space="0" w:color="auto"/>
              <w:tl2br w:val="nil"/>
              <w:tr2bl w:val="nil"/>
            </w:tcBorders>
            <w:noWrap/>
            <w:textDirection w:val="lrTb"/>
            <w:vAlign w:val="center"/>
          </w:tcPr>
          <w:p w:rsidR="00C05966" w:rsidRPr="00C05966" w:rsidP="00C05966">
            <w:pPr>
              <w:spacing w:line="240" w:lineRule="auto"/>
              <w:jc w:val="center"/>
              <w:rPr>
                <w:rFonts w:ascii="Arial Narrow" w:hAnsi="Arial Narrow" w:cs="Arial"/>
                <w:lang w:eastAsia="sk-SK"/>
              </w:rPr>
            </w:pPr>
            <w:r w:rsidRPr="00C05966">
              <w:rPr>
                <w:rFonts w:ascii="Arial Narrow" w:hAnsi="Arial Narrow" w:cs="Arial"/>
                <w:lang w:eastAsia="sk-SK"/>
              </w:rPr>
              <w:t>34,0</w:t>
            </w:r>
          </w:p>
        </w:tc>
        <w:tc>
          <w:tcPr>
            <w:tcW w:w="1620" w:type="dxa"/>
            <w:tcBorders>
              <w:top w:val="nil"/>
              <w:left w:val="nil"/>
              <w:bottom w:val="single" w:sz="4" w:space="0" w:color="auto"/>
              <w:right w:val="single" w:sz="8" w:space="0" w:color="auto"/>
              <w:tl2br w:val="nil"/>
              <w:tr2bl w:val="nil"/>
            </w:tcBorders>
            <w:noWrap/>
            <w:textDirection w:val="lrTb"/>
            <w:vAlign w:val="center"/>
          </w:tcPr>
          <w:p w:rsidR="00C05966" w:rsidRPr="00C05966" w:rsidP="00C05966">
            <w:pPr>
              <w:spacing w:line="240" w:lineRule="auto"/>
              <w:jc w:val="center"/>
              <w:rPr>
                <w:rFonts w:ascii="Arial Narrow" w:hAnsi="Arial Narrow" w:cs="Arial"/>
                <w:lang w:eastAsia="sk-SK"/>
              </w:rPr>
            </w:pPr>
            <w:r w:rsidRPr="00C05966">
              <w:rPr>
                <w:rFonts w:ascii="Arial Narrow" w:hAnsi="Arial Narrow" w:cs="Arial"/>
                <w:lang w:eastAsia="sk-SK"/>
              </w:rPr>
              <w:t>310 930</w:t>
            </w:r>
          </w:p>
        </w:tc>
        <w:tc>
          <w:tcPr>
            <w:tcW w:w="1620" w:type="dxa"/>
            <w:tcBorders>
              <w:top w:val="nil"/>
              <w:left w:val="nil"/>
              <w:bottom w:val="single" w:sz="4" w:space="0" w:color="auto"/>
              <w:right w:val="single" w:sz="8" w:space="0" w:color="auto"/>
              <w:tl2br w:val="nil"/>
              <w:tr2bl w:val="nil"/>
            </w:tcBorders>
            <w:noWrap/>
            <w:textDirection w:val="lrTb"/>
            <w:vAlign w:val="center"/>
          </w:tcPr>
          <w:p w:rsidR="00C05966" w:rsidRPr="00C05966" w:rsidP="00C05966">
            <w:pPr>
              <w:spacing w:line="240" w:lineRule="auto"/>
              <w:jc w:val="center"/>
              <w:rPr>
                <w:rFonts w:ascii="Arial Narrow" w:hAnsi="Arial Narrow" w:cs="Arial"/>
                <w:lang w:eastAsia="sk-SK"/>
              </w:rPr>
            </w:pPr>
            <w:r w:rsidRPr="00C05966">
              <w:rPr>
                <w:rFonts w:ascii="Arial Narrow" w:hAnsi="Arial Narrow" w:cs="Arial"/>
                <w:lang w:eastAsia="sk-SK"/>
              </w:rPr>
              <w:t>310 930</w:t>
            </w:r>
          </w:p>
        </w:tc>
      </w:tr>
      <w:tr>
        <w:tblPrEx>
          <w:tblW w:w="9540" w:type="dxa"/>
          <w:tblInd w:w="-110" w:type="dxa"/>
          <w:tblCellMar>
            <w:left w:w="70" w:type="dxa"/>
            <w:right w:w="70" w:type="dxa"/>
          </w:tblCellMar>
        </w:tblPrEx>
        <w:trPr>
          <w:trHeight w:val="510"/>
        </w:trPr>
        <w:tc>
          <w:tcPr>
            <w:tcW w:w="3339" w:type="dxa"/>
            <w:tcBorders>
              <w:top w:val="nil"/>
              <w:left w:val="single" w:sz="8" w:space="0" w:color="auto"/>
              <w:bottom w:val="single" w:sz="4" w:space="0" w:color="auto"/>
              <w:right w:val="single" w:sz="8" w:space="0" w:color="auto"/>
              <w:tl2br w:val="nil"/>
              <w:tr2bl w:val="nil"/>
            </w:tcBorders>
            <w:textDirection w:val="lrTb"/>
            <w:vAlign w:val="center"/>
          </w:tcPr>
          <w:p w:rsidR="00C05966" w:rsidRPr="00C05966" w:rsidP="00850F87">
            <w:pPr>
              <w:spacing w:line="240" w:lineRule="auto"/>
              <w:jc w:val="left"/>
              <w:rPr>
                <w:rFonts w:ascii="Arial Narrow" w:hAnsi="Arial Narrow" w:cs="Arial"/>
                <w:lang w:eastAsia="sk-SK"/>
              </w:rPr>
            </w:pPr>
            <w:r w:rsidRPr="00C05966">
              <w:rPr>
                <w:rFonts w:ascii="Arial Narrow" w:hAnsi="Arial Narrow" w:cs="Arial"/>
                <w:lang w:eastAsia="sk-SK"/>
              </w:rPr>
              <w:t>12. METRO Bratislava, a.s.</w:t>
            </w:r>
            <w:r w:rsidR="00850F87">
              <w:rPr>
                <w:rFonts w:ascii="Arial Narrow" w:hAnsi="Arial Narrow" w:cs="Arial"/>
                <w:lang w:eastAsia="sk-SK"/>
              </w:rPr>
              <w:t>,</w:t>
            </w:r>
            <w:r w:rsidRPr="00C05966">
              <w:rPr>
                <w:rFonts w:ascii="Arial Narrow" w:hAnsi="Arial Narrow" w:cs="Arial"/>
                <w:lang w:eastAsia="sk-SK"/>
              </w:rPr>
              <w:t xml:space="preserve">                             Primaciálne nám. 1, 811 01 Bratislava</w:t>
            </w:r>
          </w:p>
        </w:tc>
        <w:tc>
          <w:tcPr>
            <w:tcW w:w="1521" w:type="dxa"/>
            <w:tcBorders>
              <w:top w:val="nil"/>
              <w:left w:val="nil"/>
              <w:bottom w:val="single" w:sz="4" w:space="0" w:color="auto"/>
              <w:right w:val="single" w:sz="8" w:space="0" w:color="auto"/>
              <w:tl2br w:val="nil"/>
              <w:tr2bl w:val="nil"/>
            </w:tcBorders>
            <w:noWrap/>
            <w:textDirection w:val="lrTb"/>
            <w:vAlign w:val="center"/>
          </w:tcPr>
          <w:p w:rsidR="00C05966" w:rsidRPr="00C05966" w:rsidP="00C05966">
            <w:pPr>
              <w:spacing w:line="240" w:lineRule="auto"/>
              <w:jc w:val="center"/>
              <w:rPr>
                <w:rFonts w:ascii="Arial Narrow" w:hAnsi="Arial Narrow" w:cs="Arial"/>
                <w:lang w:eastAsia="sk-SK"/>
              </w:rPr>
            </w:pPr>
            <w:r w:rsidRPr="00C05966">
              <w:rPr>
                <w:rFonts w:ascii="Arial Narrow" w:hAnsi="Arial Narrow" w:cs="Arial"/>
                <w:lang w:eastAsia="sk-SK"/>
              </w:rPr>
              <w:t>34,0</w:t>
            </w:r>
          </w:p>
        </w:tc>
        <w:tc>
          <w:tcPr>
            <w:tcW w:w="1440" w:type="dxa"/>
            <w:tcBorders>
              <w:top w:val="nil"/>
              <w:left w:val="nil"/>
              <w:bottom w:val="single" w:sz="4" w:space="0" w:color="auto"/>
              <w:right w:val="single" w:sz="8" w:space="0" w:color="auto"/>
              <w:tl2br w:val="nil"/>
              <w:tr2bl w:val="nil"/>
            </w:tcBorders>
            <w:noWrap/>
            <w:textDirection w:val="lrTb"/>
            <w:vAlign w:val="center"/>
          </w:tcPr>
          <w:p w:rsidR="00C05966" w:rsidRPr="00C05966" w:rsidP="00C05966">
            <w:pPr>
              <w:spacing w:line="240" w:lineRule="auto"/>
              <w:jc w:val="center"/>
              <w:rPr>
                <w:rFonts w:ascii="Arial Narrow" w:hAnsi="Arial Narrow" w:cs="Arial"/>
                <w:lang w:eastAsia="sk-SK"/>
              </w:rPr>
            </w:pPr>
            <w:r w:rsidRPr="00C05966">
              <w:rPr>
                <w:rFonts w:ascii="Arial Narrow" w:hAnsi="Arial Narrow" w:cs="Arial"/>
                <w:lang w:eastAsia="sk-SK"/>
              </w:rPr>
              <w:t>34,0</w:t>
            </w:r>
          </w:p>
        </w:tc>
        <w:tc>
          <w:tcPr>
            <w:tcW w:w="1620" w:type="dxa"/>
            <w:tcBorders>
              <w:top w:val="nil"/>
              <w:left w:val="nil"/>
              <w:bottom w:val="single" w:sz="4" w:space="0" w:color="auto"/>
              <w:right w:val="single" w:sz="8" w:space="0" w:color="auto"/>
              <w:tl2br w:val="nil"/>
              <w:tr2bl w:val="nil"/>
            </w:tcBorders>
            <w:noWrap/>
            <w:textDirection w:val="lrTb"/>
            <w:vAlign w:val="center"/>
          </w:tcPr>
          <w:p w:rsidR="00C05966" w:rsidRPr="00C05966" w:rsidP="00C05966">
            <w:pPr>
              <w:spacing w:line="240" w:lineRule="auto"/>
              <w:jc w:val="center"/>
              <w:rPr>
                <w:rFonts w:ascii="Arial Narrow" w:hAnsi="Arial Narrow" w:cs="Arial"/>
                <w:lang w:eastAsia="sk-SK"/>
              </w:rPr>
            </w:pPr>
            <w:r w:rsidRPr="00C05966">
              <w:rPr>
                <w:rFonts w:ascii="Arial Narrow" w:hAnsi="Arial Narrow" w:cs="Arial"/>
                <w:lang w:eastAsia="sk-SK"/>
              </w:rPr>
              <w:t>156 133</w:t>
            </w:r>
          </w:p>
        </w:tc>
        <w:tc>
          <w:tcPr>
            <w:tcW w:w="1620" w:type="dxa"/>
            <w:tcBorders>
              <w:top w:val="nil"/>
              <w:left w:val="nil"/>
              <w:bottom w:val="single" w:sz="4" w:space="0" w:color="auto"/>
              <w:right w:val="single" w:sz="8" w:space="0" w:color="auto"/>
              <w:tl2br w:val="nil"/>
              <w:tr2bl w:val="nil"/>
            </w:tcBorders>
            <w:noWrap/>
            <w:textDirection w:val="lrTb"/>
            <w:vAlign w:val="center"/>
          </w:tcPr>
          <w:p w:rsidR="00C05966" w:rsidRPr="00C05966" w:rsidP="00C05966">
            <w:pPr>
              <w:spacing w:line="240" w:lineRule="auto"/>
              <w:jc w:val="center"/>
              <w:rPr>
                <w:rFonts w:ascii="Arial Narrow" w:hAnsi="Arial Narrow" w:cs="Arial"/>
                <w:lang w:eastAsia="sk-SK"/>
              </w:rPr>
            </w:pPr>
            <w:r w:rsidRPr="00C05966">
              <w:rPr>
                <w:rFonts w:ascii="Arial Narrow" w:hAnsi="Arial Narrow" w:cs="Arial"/>
                <w:lang w:eastAsia="sk-SK"/>
              </w:rPr>
              <w:t>156 133</w:t>
            </w:r>
          </w:p>
        </w:tc>
      </w:tr>
      <w:tr>
        <w:tblPrEx>
          <w:tblW w:w="9540" w:type="dxa"/>
          <w:tblInd w:w="-110" w:type="dxa"/>
          <w:tblCellMar>
            <w:left w:w="70" w:type="dxa"/>
            <w:right w:w="70" w:type="dxa"/>
          </w:tblCellMar>
        </w:tblPrEx>
        <w:trPr>
          <w:trHeight w:val="510"/>
        </w:trPr>
        <w:tc>
          <w:tcPr>
            <w:tcW w:w="3339" w:type="dxa"/>
            <w:tcBorders>
              <w:top w:val="nil"/>
              <w:left w:val="single" w:sz="8" w:space="0" w:color="auto"/>
              <w:bottom w:val="single" w:sz="4" w:space="0" w:color="auto"/>
              <w:right w:val="single" w:sz="8" w:space="0" w:color="auto"/>
              <w:tl2br w:val="nil"/>
              <w:tr2bl w:val="nil"/>
            </w:tcBorders>
            <w:textDirection w:val="lrTb"/>
            <w:vAlign w:val="center"/>
          </w:tcPr>
          <w:p w:rsidR="00C05966" w:rsidRPr="00C05966" w:rsidP="00850F87">
            <w:pPr>
              <w:spacing w:line="240" w:lineRule="auto"/>
              <w:jc w:val="left"/>
              <w:rPr>
                <w:rFonts w:ascii="Arial Narrow" w:hAnsi="Arial Narrow" w:cs="Arial"/>
                <w:lang w:eastAsia="sk-SK"/>
              </w:rPr>
            </w:pPr>
            <w:r w:rsidRPr="00C05966">
              <w:rPr>
                <w:rFonts w:ascii="Arial Narrow" w:hAnsi="Arial Narrow" w:cs="Arial"/>
                <w:lang w:eastAsia="sk-SK"/>
              </w:rPr>
              <w:t>13. Poštová banka, a.s.</w:t>
            </w:r>
            <w:r w:rsidR="00850F87">
              <w:rPr>
                <w:rFonts w:ascii="Arial Narrow" w:hAnsi="Arial Narrow" w:cs="Arial"/>
                <w:lang w:eastAsia="sk-SK"/>
              </w:rPr>
              <w:t>,</w:t>
            </w:r>
            <w:r w:rsidRPr="00C05966">
              <w:rPr>
                <w:rFonts w:ascii="Arial Narrow" w:hAnsi="Arial Narrow" w:cs="Arial"/>
                <w:lang w:eastAsia="sk-SK"/>
              </w:rPr>
              <w:t xml:space="preserve">                                 Prievozská 2/B, 821 09 Bratislava                                             </w:t>
            </w:r>
          </w:p>
        </w:tc>
        <w:tc>
          <w:tcPr>
            <w:tcW w:w="1521" w:type="dxa"/>
            <w:tcBorders>
              <w:top w:val="nil"/>
              <w:left w:val="nil"/>
              <w:bottom w:val="single" w:sz="4" w:space="0" w:color="auto"/>
              <w:right w:val="single" w:sz="8" w:space="0" w:color="auto"/>
              <w:tl2br w:val="nil"/>
              <w:tr2bl w:val="nil"/>
            </w:tcBorders>
            <w:noWrap/>
            <w:textDirection w:val="lrTb"/>
            <w:vAlign w:val="center"/>
          </w:tcPr>
          <w:p w:rsidR="00C05966" w:rsidRPr="00C05966" w:rsidP="00C05966">
            <w:pPr>
              <w:spacing w:line="240" w:lineRule="auto"/>
              <w:jc w:val="center"/>
              <w:rPr>
                <w:rFonts w:ascii="Arial Narrow" w:hAnsi="Arial Narrow" w:cs="Arial"/>
                <w:lang w:eastAsia="sk-SK"/>
              </w:rPr>
            </w:pPr>
            <w:r w:rsidRPr="00C05966">
              <w:rPr>
                <w:rFonts w:ascii="Arial Narrow" w:hAnsi="Arial Narrow" w:cs="Arial"/>
                <w:lang w:eastAsia="sk-SK"/>
              </w:rPr>
              <w:t>0,1</w:t>
            </w:r>
          </w:p>
        </w:tc>
        <w:tc>
          <w:tcPr>
            <w:tcW w:w="1440" w:type="dxa"/>
            <w:tcBorders>
              <w:top w:val="nil"/>
              <w:left w:val="nil"/>
              <w:bottom w:val="single" w:sz="4" w:space="0" w:color="auto"/>
              <w:right w:val="single" w:sz="8" w:space="0" w:color="auto"/>
              <w:tl2br w:val="nil"/>
              <w:tr2bl w:val="nil"/>
            </w:tcBorders>
            <w:noWrap/>
            <w:textDirection w:val="lrTb"/>
            <w:vAlign w:val="center"/>
          </w:tcPr>
          <w:p w:rsidR="00C05966" w:rsidRPr="00C05966" w:rsidP="00C05966">
            <w:pPr>
              <w:spacing w:line="240" w:lineRule="auto"/>
              <w:jc w:val="center"/>
              <w:rPr>
                <w:rFonts w:ascii="Arial Narrow" w:hAnsi="Arial Narrow" w:cs="Arial"/>
                <w:lang w:eastAsia="sk-SK"/>
              </w:rPr>
            </w:pPr>
            <w:r w:rsidRPr="00C05966">
              <w:rPr>
                <w:rFonts w:ascii="Arial Narrow" w:hAnsi="Arial Narrow" w:cs="Arial"/>
                <w:lang w:eastAsia="sk-SK"/>
              </w:rPr>
              <w:t>0,1</w:t>
            </w:r>
          </w:p>
        </w:tc>
        <w:tc>
          <w:tcPr>
            <w:tcW w:w="1620" w:type="dxa"/>
            <w:tcBorders>
              <w:top w:val="nil"/>
              <w:left w:val="nil"/>
              <w:bottom w:val="single" w:sz="4" w:space="0" w:color="auto"/>
              <w:right w:val="single" w:sz="8" w:space="0" w:color="auto"/>
              <w:tl2br w:val="nil"/>
              <w:tr2bl w:val="nil"/>
            </w:tcBorders>
            <w:noWrap/>
            <w:textDirection w:val="lrTb"/>
            <w:vAlign w:val="center"/>
          </w:tcPr>
          <w:p w:rsidR="00C05966" w:rsidRPr="00C05966" w:rsidP="00C05966">
            <w:pPr>
              <w:spacing w:line="240" w:lineRule="auto"/>
              <w:jc w:val="center"/>
              <w:rPr>
                <w:rFonts w:ascii="Arial Narrow" w:hAnsi="Arial Narrow" w:cs="Arial"/>
                <w:lang w:eastAsia="sk-SK"/>
              </w:rPr>
            </w:pPr>
            <w:r w:rsidRPr="00C05966">
              <w:rPr>
                <w:rFonts w:ascii="Arial Narrow" w:hAnsi="Arial Narrow" w:cs="Arial"/>
                <w:lang w:eastAsia="sk-SK"/>
              </w:rPr>
              <w:t>2 532</w:t>
            </w:r>
          </w:p>
        </w:tc>
        <w:tc>
          <w:tcPr>
            <w:tcW w:w="1620" w:type="dxa"/>
            <w:tcBorders>
              <w:top w:val="nil"/>
              <w:left w:val="nil"/>
              <w:bottom w:val="single" w:sz="4" w:space="0" w:color="auto"/>
              <w:right w:val="single" w:sz="8" w:space="0" w:color="auto"/>
              <w:tl2br w:val="nil"/>
              <w:tr2bl w:val="nil"/>
            </w:tcBorders>
            <w:noWrap/>
            <w:textDirection w:val="lrTb"/>
            <w:vAlign w:val="center"/>
          </w:tcPr>
          <w:p w:rsidR="00C05966" w:rsidRPr="00C05966" w:rsidP="00C05966">
            <w:pPr>
              <w:spacing w:line="240" w:lineRule="auto"/>
              <w:jc w:val="center"/>
              <w:rPr>
                <w:rFonts w:ascii="Arial Narrow" w:hAnsi="Arial Narrow" w:cs="Arial"/>
                <w:lang w:eastAsia="sk-SK"/>
              </w:rPr>
            </w:pPr>
            <w:r w:rsidRPr="00C05966">
              <w:rPr>
                <w:rFonts w:ascii="Arial Narrow" w:hAnsi="Arial Narrow" w:cs="Arial"/>
                <w:lang w:eastAsia="sk-SK"/>
              </w:rPr>
              <w:t>2 532</w:t>
            </w:r>
          </w:p>
        </w:tc>
      </w:tr>
      <w:tr>
        <w:tblPrEx>
          <w:tblW w:w="9540" w:type="dxa"/>
          <w:tblInd w:w="-110" w:type="dxa"/>
          <w:tblCellMar>
            <w:left w:w="70" w:type="dxa"/>
            <w:right w:w="70" w:type="dxa"/>
          </w:tblCellMar>
        </w:tblPrEx>
        <w:trPr>
          <w:trHeight w:val="510"/>
        </w:trPr>
        <w:tc>
          <w:tcPr>
            <w:tcW w:w="3339" w:type="dxa"/>
            <w:tcBorders>
              <w:top w:val="nil"/>
              <w:left w:val="single" w:sz="8" w:space="0" w:color="auto"/>
              <w:bottom w:val="single" w:sz="4" w:space="0" w:color="auto"/>
              <w:right w:val="single" w:sz="8" w:space="0" w:color="auto"/>
              <w:tl2br w:val="nil"/>
              <w:tr2bl w:val="nil"/>
            </w:tcBorders>
            <w:textDirection w:val="lrTb"/>
            <w:vAlign w:val="center"/>
          </w:tcPr>
          <w:p w:rsidR="00C05966" w:rsidRPr="00C05966" w:rsidP="00850F87">
            <w:pPr>
              <w:spacing w:line="240" w:lineRule="auto"/>
              <w:jc w:val="left"/>
              <w:rPr>
                <w:rFonts w:ascii="Arial Narrow" w:hAnsi="Arial Narrow" w:cs="Arial"/>
                <w:lang w:eastAsia="sk-SK"/>
              </w:rPr>
            </w:pPr>
            <w:r w:rsidRPr="00C05966">
              <w:rPr>
                <w:rFonts w:ascii="Arial Narrow" w:hAnsi="Arial Narrow" w:cs="Arial"/>
                <w:lang w:eastAsia="sk-SK"/>
              </w:rPr>
              <w:t>14. Slovenské aerolínie, a.s.</w:t>
            </w:r>
            <w:r w:rsidR="00850F87">
              <w:rPr>
                <w:rFonts w:ascii="Arial Narrow" w:hAnsi="Arial Narrow" w:cs="Arial"/>
                <w:lang w:eastAsia="sk-SK"/>
              </w:rPr>
              <w:t>,</w:t>
            </w:r>
            <w:r w:rsidRPr="00C05966">
              <w:rPr>
                <w:rFonts w:ascii="Arial Narrow" w:hAnsi="Arial Narrow" w:cs="Arial"/>
                <w:lang w:eastAsia="sk-SK"/>
              </w:rPr>
              <w:t xml:space="preserve"> v konkurze                Letisko M.R.Štefánika, 823 12 Bratislava</w:t>
            </w:r>
          </w:p>
        </w:tc>
        <w:tc>
          <w:tcPr>
            <w:tcW w:w="1521" w:type="dxa"/>
            <w:tcBorders>
              <w:top w:val="nil"/>
              <w:left w:val="nil"/>
              <w:bottom w:val="single" w:sz="4" w:space="0" w:color="auto"/>
              <w:right w:val="single" w:sz="8" w:space="0" w:color="auto"/>
              <w:tl2br w:val="nil"/>
              <w:tr2bl w:val="nil"/>
            </w:tcBorders>
            <w:noWrap/>
            <w:textDirection w:val="lrTb"/>
            <w:vAlign w:val="center"/>
          </w:tcPr>
          <w:p w:rsidR="00C05966" w:rsidRPr="00C05966" w:rsidP="00C05966">
            <w:pPr>
              <w:spacing w:line="240" w:lineRule="auto"/>
              <w:jc w:val="center"/>
              <w:rPr>
                <w:rFonts w:ascii="Arial Narrow" w:hAnsi="Arial Narrow" w:cs="Arial"/>
                <w:lang w:eastAsia="sk-SK"/>
              </w:rPr>
            </w:pPr>
            <w:r w:rsidRPr="00C05966">
              <w:rPr>
                <w:rFonts w:ascii="Arial Narrow" w:hAnsi="Arial Narrow" w:cs="Arial"/>
                <w:lang w:eastAsia="sk-SK"/>
              </w:rPr>
              <w:t>34,0</w:t>
            </w:r>
          </w:p>
        </w:tc>
        <w:tc>
          <w:tcPr>
            <w:tcW w:w="1440" w:type="dxa"/>
            <w:tcBorders>
              <w:top w:val="nil"/>
              <w:left w:val="nil"/>
              <w:bottom w:val="single" w:sz="4" w:space="0" w:color="auto"/>
              <w:right w:val="single" w:sz="8" w:space="0" w:color="auto"/>
              <w:tl2br w:val="nil"/>
              <w:tr2bl w:val="nil"/>
            </w:tcBorders>
            <w:noWrap/>
            <w:textDirection w:val="lrTb"/>
            <w:vAlign w:val="center"/>
          </w:tcPr>
          <w:p w:rsidR="00C05966" w:rsidRPr="00C05966" w:rsidP="00C05966">
            <w:pPr>
              <w:spacing w:line="240" w:lineRule="auto"/>
              <w:jc w:val="center"/>
              <w:rPr>
                <w:rFonts w:ascii="Arial Narrow" w:hAnsi="Arial Narrow" w:cs="Arial"/>
                <w:lang w:eastAsia="sk-SK"/>
              </w:rPr>
            </w:pPr>
            <w:r w:rsidRPr="00C05966">
              <w:rPr>
                <w:rFonts w:ascii="Arial Narrow" w:hAnsi="Arial Narrow" w:cs="Arial"/>
                <w:lang w:eastAsia="sk-SK"/>
              </w:rPr>
              <w:t>34 **</w:t>
            </w:r>
          </w:p>
        </w:tc>
        <w:tc>
          <w:tcPr>
            <w:tcW w:w="1620" w:type="dxa"/>
            <w:tcBorders>
              <w:top w:val="nil"/>
              <w:left w:val="nil"/>
              <w:bottom w:val="single" w:sz="4" w:space="0" w:color="auto"/>
              <w:right w:val="single" w:sz="8" w:space="0" w:color="auto"/>
              <w:tl2br w:val="nil"/>
              <w:tr2bl w:val="nil"/>
            </w:tcBorders>
            <w:noWrap/>
            <w:textDirection w:val="lrTb"/>
            <w:vAlign w:val="center"/>
          </w:tcPr>
          <w:p w:rsidR="00C05966" w:rsidRPr="00C05966" w:rsidP="00C05966">
            <w:pPr>
              <w:spacing w:line="240" w:lineRule="auto"/>
              <w:jc w:val="center"/>
              <w:rPr>
                <w:rFonts w:ascii="Arial Narrow" w:hAnsi="Arial Narrow" w:cs="Arial"/>
                <w:lang w:eastAsia="sk-SK"/>
              </w:rPr>
            </w:pPr>
            <w:r w:rsidRPr="00C05966">
              <w:rPr>
                <w:rFonts w:ascii="Arial Narrow" w:hAnsi="Arial Narrow" w:cs="Arial"/>
                <w:lang w:eastAsia="sk-SK"/>
              </w:rPr>
              <w:t>62 871</w:t>
            </w:r>
          </w:p>
        </w:tc>
        <w:tc>
          <w:tcPr>
            <w:tcW w:w="1620" w:type="dxa"/>
            <w:tcBorders>
              <w:top w:val="nil"/>
              <w:left w:val="nil"/>
              <w:bottom w:val="single" w:sz="4" w:space="0" w:color="auto"/>
              <w:right w:val="single" w:sz="8" w:space="0" w:color="auto"/>
              <w:tl2br w:val="nil"/>
              <w:tr2bl w:val="nil"/>
            </w:tcBorders>
            <w:noWrap/>
            <w:textDirection w:val="lrTb"/>
            <w:vAlign w:val="center"/>
          </w:tcPr>
          <w:p w:rsidR="00C05966" w:rsidRPr="00C05966" w:rsidP="00C05966">
            <w:pPr>
              <w:spacing w:line="240" w:lineRule="auto"/>
              <w:jc w:val="center"/>
              <w:rPr>
                <w:rFonts w:ascii="Arial Narrow" w:hAnsi="Arial Narrow" w:cs="Arial"/>
                <w:lang w:eastAsia="sk-SK"/>
              </w:rPr>
            </w:pPr>
            <w:r w:rsidRPr="00C05966">
              <w:rPr>
                <w:rFonts w:ascii="Arial Narrow" w:hAnsi="Arial Narrow" w:cs="Arial"/>
                <w:lang w:eastAsia="sk-SK"/>
              </w:rPr>
              <w:t>62 871</w:t>
            </w:r>
          </w:p>
        </w:tc>
      </w:tr>
      <w:tr>
        <w:tblPrEx>
          <w:tblW w:w="9540" w:type="dxa"/>
          <w:tblInd w:w="-110" w:type="dxa"/>
          <w:tblCellMar>
            <w:left w:w="70" w:type="dxa"/>
            <w:right w:w="70" w:type="dxa"/>
          </w:tblCellMar>
        </w:tblPrEx>
        <w:trPr>
          <w:trHeight w:val="1035"/>
        </w:trPr>
        <w:tc>
          <w:tcPr>
            <w:tcW w:w="3339" w:type="dxa"/>
            <w:tcBorders>
              <w:top w:val="nil"/>
              <w:left w:val="single" w:sz="8" w:space="0" w:color="auto"/>
              <w:bottom w:val="single" w:sz="8" w:space="0" w:color="auto"/>
              <w:right w:val="single" w:sz="8" w:space="0" w:color="auto"/>
              <w:tl2br w:val="nil"/>
              <w:tr2bl w:val="nil"/>
            </w:tcBorders>
            <w:textDirection w:val="lrTb"/>
            <w:vAlign w:val="center"/>
          </w:tcPr>
          <w:p w:rsidR="00C05966" w:rsidRPr="00C05966" w:rsidP="00850F87">
            <w:pPr>
              <w:spacing w:line="240" w:lineRule="auto"/>
              <w:jc w:val="left"/>
              <w:rPr>
                <w:rFonts w:ascii="Arial Narrow" w:hAnsi="Arial Narrow" w:cs="Arial"/>
                <w:lang w:eastAsia="sk-SK"/>
              </w:rPr>
            </w:pPr>
            <w:r w:rsidR="00850F87">
              <w:rPr>
                <w:rFonts w:ascii="Arial Narrow" w:hAnsi="Arial Narrow" w:cs="Arial"/>
                <w:lang w:eastAsia="sk-SK"/>
              </w:rPr>
              <w:t xml:space="preserve">15. Dopravná banka, a.s., </w:t>
            </w:r>
            <w:r w:rsidRPr="00C05966">
              <w:rPr>
                <w:rFonts w:ascii="Arial Narrow" w:hAnsi="Arial Narrow" w:cs="Arial"/>
                <w:lang w:eastAsia="sk-SK"/>
              </w:rPr>
              <w:t xml:space="preserve">v konkurze                   Česko-slovenskej armády 24,                               974 00 Banská Bystrica  </w:t>
            </w:r>
          </w:p>
        </w:tc>
        <w:tc>
          <w:tcPr>
            <w:tcW w:w="1521" w:type="dxa"/>
            <w:tcBorders>
              <w:top w:val="nil"/>
              <w:left w:val="nil"/>
              <w:bottom w:val="single" w:sz="8" w:space="0" w:color="auto"/>
              <w:right w:val="single" w:sz="8" w:space="0" w:color="auto"/>
              <w:tl2br w:val="nil"/>
              <w:tr2bl w:val="nil"/>
            </w:tcBorders>
            <w:noWrap/>
            <w:textDirection w:val="lrTb"/>
            <w:vAlign w:val="center"/>
          </w:tcPr>
          <w:p w:rsidR="00C05966" w:rsidRPr="00C05966" w:rsidP="00C05966">
            <w:pPr>
              <w:spacing w:line="240" w:lineRule="auto"/>
              <w:jc w:val="center"/>
              <w:rPr>
                <w:rFonts w:ascii="Arial Narrow" w:hAnsi="Arial Narrow" w:cs="Arial"/>
                <w:lang w:eastAsia="sk-SK"/>
              </w:rPr>
            </w:pPr>
            <w:r w:rsidRPr="00C05966">
              <w:rPr>
                <w:rFonts w:ascii="Arial Narrow" w:hAnsi="Arial Narrow" w:cs="Arial"/>
                <w:lang w:eastAsia="sk-SK"/>
              </w:rPr>
              <w:t>2,5</w:t>
            </w:r>
          </w:p>
        </w:tc>
        <w:tc>
          <w:tcPr>
            <w:tcW w:w="1440" w:type="dxa"/>
            <w:tcBorders>
              <w:top w:val="nil"/>
              <w:left w:val="nil"/>
              <w:bottom w:val="single" w:sz="8" w:space="0" w:color="auto"/>
              <w:right w:val="single" w:sz="8" w:space="0" w:color="auto"/>
              <w:tl2br w:val="nil"/>
              <w:tr2bl w:val="nil"/>
            </w:tcBorders>
            <w:noWrap/>
            <w:textDirection w:val="lrTb"/>
            <w:vAlign w:val="center"/>
          </w:tcPr>
          <w:p w:rsidR="00C05966" w:rsidRPr="00C05966" w:rsidP="00C05966">
            <w:pPr>
              <w:spacing w:line="240" w:lineRule="auto"/>
              <w:jc w:val="center"/>
              <w:rPr>
                <w:rFonts w:ascii="Arial Narrow" w:hAnsi="Arial Narrow" w:cs="Arial"/>
                <w:lang w:eastAsia="sk-SK"/>
              </w:rPr>
            </w:pPr>
            <w:r w:rsidRPr="00C05966">
              <w:rPr>
                <w:rFonts w:ascii="Arial Narrow" w:hAnsi="Arial Narrow" w:cs="Arial"/>
                <w:lang w:eastAsia="sk-SK"/>
              </w:rPr>
              <w:t>2,5 **</w:t>
            </w:r>
          </w:p>
        </w:tc>
        <w:tc>
          <w:tcPr>
            <w:tcW w:w="1620" w:type="dxa"/>
            <w:tcBorders>
              <w:top w:val="nil"/>
              <w:left w:val="nil"/>
              <w:bottom w:val="single" w:sz="8" w:space="0" w:color="auto"/>
              <w:right w:val="single" w:sz="8" w:space="0" w:color="auto"/>
              <w:tl2br w:val="nil"/>
              <w:tr2bl w:val="nil"/>
            </w:tcBorders>
            <w:noWrap/>
            <w:textDirection w:val="lrTb"/>
            <w:vAlign w:val="center"/>
          </w:tcPr>
          <w:p w:rsidR="00C05966" w:rsidRPr="00C05966" w:rsidP="00C05966">
            <w:pPr>
              <w:spacing w:line="240" w:lineRule="auto"/>
              <w:jc w:val="center"/>
              <w:rPr>
                <w:rFonts w:ascii="Arial Narrow" w:hAnsi="Arial Narrow" w:cs="Arial"/>
                <w:lang w:eastAsia="sk-SK"/>
              </w:rPr>
            </w:pPr>
            <w:r w:rsidRPr="00C05966">
              <w:rPr>
                <w:rFonts w:ascii="Arial Narrow" w:hAnsi="Arial Narrow" w:cs="Arial"/>
                <w:lang w:eastAsia="sk-SK"/>
              </w:rPr>
              <w:t>20 000</w:t>
            </w:r>
          </w:p>
        </w:tc>
        <w:tc>
          <w:tcPr>
            <w:tcW w:w="1620" w:type="dxa"/>
            <w:tcBorders>
              <w:top w:val="nil"/>
              <w:left w:val="nil"/>
              <w:bottom w:val="single" w:sz="8" w:space="0" w:color="auto"/>
              <w:right w:val="single" w:sz="8" w:space="0" w:color="auto"/>
              <w:tl2br w:val="nil"/>
              <w:tr2bl w:val="nil"/>
            </w:tcBorders>
            <w:noWrap/>
            <w:textDirection w:val="lrTb"/>
            <w:vAlign w:val="center"/>
          </w:tcPr>
          <w:p w:rsidR="00C05966" w:rsidRPr="00C05966" w:rsidP="00C05966">
            <w:pPr>
              <w:spacing w:line="240" w:lineRule="auto"/>
              <w:jc w:val="center"/>
              <w:rPr>
                <w:rFonts w:ascii="Arial Narrow" w:hAnsi="Arial Narrow" w:cs="Arial"/>
                <w:lang w:eastAsia="sk-SK"/>
              </w:rPr>
            </w:pPr>
            <w:r w:rsidRPr="00C05966">
              <w:rPr>
                <w:rFonts w:ascii="Arial Narrow" w:hAnsi="Arial Narrow" w:cs="Arial"/>
                <w:lang w:eastAsia="sk-SK"/>
              </w:rPr>
              <w:t>20 000</w:t>
            </w:r>
          </w:p>
        </w:tc>
      </w:tr>
      <w:tr>
        <w:tblPrEx>
          <w:tblW w:w="9540" w:type="dxa"/>
          <w:tblInd w:w="-110" w:type="dxa"/>
          <w:tblCellMar>
            <w:left w:w="70" w:type="dxa"/>
            <w:right w:w="70" w:type="dxa"/>
          </w:tblCellMar>
        </w:tblPrEx>
        <w:trPr>
          <w:trHeight w:val="330"/>
        </w:trPr>
        <w:tc>
          <w:tcPr>
            <w:tcW w:w="3339" w:type="dxa"/>
            <w:tcBorders>
              <w:top w:val="single" w:sz="8" w:space="0" w:color="auto"/>
              <w:left w:val="single" w:sz="8" w:space="0" w:color="auto"/>
              <w:bottom w:val="single" w:sz="8" w:space="0" w:color="auto"/>
              <w:right w:val="nil"/>
              <w:tl2br w:val="nil"/>
              <w:tr2bl w:val="nil"/>
            </w:tcBorders>
            <w:shd w:val="clear" w:color="auto" w:fill="999999"/>
            <w:noWrap/>
            <w:textDirection w:val="lrTb"/>
            <w:vAlign w:val="bottom"/>
          </w:tcPr>
          <w:p w:rsidR="00C05966" w:rsidRPr="00B30752" w:rsidP="00C05966">
            <w:pPr>
              <w:spacing w:line="240" w:lineRule="auto"/>
              <w:rPr>
                <w:rFonts w:ascii="Arial" w:hAnsi="Arial" w:cs="Arial"/>
                <w:b/>
                <w:bCs/>
                <w:color w:val="FFFFFF"/>
                <w:sz w:val="24"/>
                <w:szCs w:val="24"/>
                <w:lang w:eastAsia="sk-SK"/>
              </w:rPr>
            </w:pPr>
            <w:r w:rsidRPr="00B30752">
              <w:rPr>
                <w:rFonts w:ascii="Arial" w:hAnsi="Arial" w:cs="Arial"/>
                <w:b/>
                <w:bCs/>
                <w:color w:val="FFFFFF"/>
                <w:sz w:val="24"/>
                <w:szCs w:val="24"/>
                <w:lang w:eastAsia="sk-SK"/>
              </w:rPr>
              <w:t>Spolu</w:t>
            </w:r>
          </w:p>
        </w:tc>
        <w:tc>
          <w:tcPr>
            <w:tcW w:w="1521" w:type="dxa"/>
            <w:tcBorders>
              <w:top w:val="single" w:sz="8" w:space="0" w:color="auto"/>
              <w:left w:val="single" w:sz="8" w:space="0" w:color="auto"/>
              <w:bottom w:val="single" w:sz="8" w:space="0" w:color="auto"/>
              <w:right w:val="single" w:sz="8" w:space="0" w:color="auto"/>
              <w:tl2br w:val="nil"/>
              <w:tr2bl w:val="nil"/>
            </w:tcBorders>
            <w:shd w:val="clear" w:color="auto" w:fill="999999"/>
            <w:noWrap/>
            <w:textDirection w:val="lrTb"/>
            <w:vAlign w:val="bottom"/>
          </w:tcPr>
          <w:p w:rsidR="00C05966" w:rsidRPr="00B30752" w:rsidP="00C05966">
            <w:pPr>
              <w:spacing w:line="240" w:lineRule="auto"/>
              <w:jc w:val="center"/>
              <w:rPr>
                <w:rFonts w:ascii="Arial" w:hAnsi="Arial" w:cs="Arial"/>
                <w:color w:val="FFFFFF"/>
                <w:lang w:eastAsia="sk-SK"/>
              </w:rPr>
            </w:pPr>
            <w:r w:rsidRPr="00B30752">
              <w:rPr>
                <w:rFonts w:ascii="Arial" w:hAnsi="Arial" w:cs="Arial"/>
                <w:color w:val="FFFFFF"/>
                <w:lang w:eastAsia="sk-SK"/>
              </w:rPr>
              <w:t>x</w:t>
            </w:r>
          </w:p>
        </w:tc>
        <w:tc>
          <w:tcPr>
            <w:tcW w:w="1440" w:type="dxa"/>
            <w:tcBorders>
              <w:top w:val="single" w:sz="8" w:space="0" w:color="auto"/>
              <w:left w:val="nil"/>
              <w:bottom w:val="single" w:sz="8" w:space="0" w:color="auto"/>
              <w:right w:val="nil"/>
              <w:tl2br w:val="nil"/>
              <w:tr2bl w:val="nil"/>
            </w:tcBorders>
            <w:shd w:val="clear" w:color="auto" w:fill="999999"/>
            <w:noWrap/>
            <w:textDirection w:val="lrTb"/>
            <w:vAlign w:val="bottom"/>
          </w:tcPr>
          <w:p w:rsidR="00C05966" w:rsidRPr="00B30752" w:rsidP="00C05966">
            <w:pPr>
              <w:spacing w:line="240" w:lineRule="auto"/>
              <w:jc w:val="center"/>
              <w:rPr>
                <w:rFonts w:ascii="Arial" w:hAnsi="Arial" w:cs="Arial"/>
                <w:color w:val="FFFFFF"/>
                <w:lang w:eastAsia="sk-SK"/>
              </w:rPr>
            </w:pPr>
            <w:r w:rsidRPr="00B30752">
              <w:rPr>
                <w:rFonts w:ascii="Arial" w:hAnsi="Arial" w:cs="Arial"/>
                <w:color w:val="FFFFFF"/>
                <w:lang w:eastAsia="sk-SK"/>
              </w:rPr>
              <w:t>x</w:t>
            </w:r>
          </w:p>
        </w:tc>
        <w:tc>
          <w:tcPr>
            <w:tcW w:w="1620" w:type="dxa"/>
            <w:tcBorders>
              <w:top w:val="single" w:sz="8" w:space="0" w:color="auto"/>
              <w:left w:val="single" w:sz="8" w:space="0" w:color="auto"/>
              <w:bottom w:val="single" w:sz="8" w:space="0" w:color="auto"/>
              <w:right w:val="single" w:sz="8" w:space="0" w:color="auto"/>
              <w:tl2br w:val="nil"/>
              <w:tr2bl w:val="nil"/>
            </w:tcBorders>
            <w:shd w:val="clear" w:color="auto" w:fill="999999"/>
            <w:noWrap/>
            <w:textDirection w:val="lrTb"/>
            <w:vAlign w:val="bottom"/>
          </w:tcPr>
          <w:p w:rsidR="00C05966" w:rsidRPr="00B30752" w:rsidP="00C05966">
            <w:pPr>
              <w:spacing w:line="240" w:lineRule="auto"/>
              <w:jc w:val="right"/>
              <w:rPr>
                <w:rFonts w:ascii="Arial" w:hAnsi="Arial" w:cs="Arial"/>
                <w:b/>
                <w:bCs/>
                <w:color w:val="FFFFFF"/>
                <w:lang w:eastAsia="sk-SK"/>
              </w:rPr>
            </w:pPr>
            <w:r w:rsidRPr="00B30752">
              <w:rPr>
                <w:rFonts w:ascii="Arial" w:hAnsi="Arial" w:cs="Arial"/>
                <w:b/>
                <w:bCs/>
                <w:color w:val="FFFFFF"/>
                <w:lang w:eastAsia="sk-SK"/>
              </w:rPr>
              <w:t>127 796 530,00</w:t>
            </w:r>
          </w:p>
        </w:tc>
        <w:tc>
          <w:tcPr>
            <w:tcW w:w="1620" w:type="dxa"/>
            <w:tcBorders>
              <w:top w:val="single" w:sz="8" w:space="0" w:color="auto"/>
              <w:left w:val="nil"/>
              <w:bottom w:val="single" w:sz="8" w:space="0" w:color="auto"/>
              <w:right w:val="single" w:sz="8" w:space="0" w:color="auto"/>
              <w:tl2br w:val="nil"/>
              <w:tr2bl w:val="nil"/>
            </w:tcBorders>
            <w:shd w:val="clear" w:color="auto" w:fill="999999"/>
            <w:noWrap/>
            <w:textDirection w:val="lrTb"/>
            <w:vAlign w:val="bottom"/>
          </w:tcPr>
          <w:p w:rsidR="00C05966" w:rsidRPr="00B30752" w:rsidP="00C05966">
            <w:pPr>
              <w:spacing w:line="240" w:lineRule="auto"/>
              <w:jc w:val="right"/>
              <w:rPr>
                <w:rFonts w:ascii="Arial" w:hAnsi="Arial" w:cs="Arial"/>
                <w:b/>
                <w:bCs/>
                <w:color w:val="FFFFFF"/>
                <w:lang w:eastAsia="sk-SK"/>
              </w:rPr>
            </w:pPr>
            <w:r w:rsidRPr="00B30752">
              <w:rPr>
                <w:rFonts w:ascii="Arial" w:hAnsi="Arial" w:cs="Arial"/>
                <w:b/>
                <w:bCs/>
                <w:color w:val="FFFFFF"/>
                <w:lang w:eastAsia="sk-SK"/>
              </w:rPr>
              <w:t>128 047 130,00</w:t>
            </w:r>
          </w:p>
        </w:tc>
      </w:tr>
      <w:tr>
        <w:tblPrEx>
          <w:tblW w:w="9540" w:type="dxa"/>
          <w:tblInd w:w="-110" w:type="dxa"/>
          <w:tblCellMar>
            <w:left w:w="70" w:type="dxa"/>
            <w:right w:w="70" w:type="dxa"/>
          </w:tblCellMar>
        </w:tblPrEx>
        <w:trPr>
          <w:trHeight w:val="255"/>
        </w:trPr>
        <w:tc>
          <w:tcPr>
            <w:tcW w:w="3339" w:type="dxa"/>
            <w:tcBorders>
              <w:top w:val="nil"/>
              <w:left w:val="nil"/>
              <w:bottom w:val="nil"/>
              <w:right w:val="nil"/>
              <w:tl2br w:val="nil"/>
              <w:tr2bl w:val="nil"/>
            </w:tcBorders>
            <w:noWrap/>
            <w:textDirection w:val="lrTb"/>
            <w:vAlign w:val="bottom"/>
          </w:tcPr>
          <w:p w:rsidR="00C05966" w:rsidRPr="00C05966" w:rsidP="00C05966">
            <w:pPr>
              <w:spacing w:line="240" w:lineRule="auto"/>
              <w:rPr>
                <w:rFonts w:ascii="Arial" w:hAnsi="Arial" w:cs="Arial"/>
                <w:lang w:eastAsia="sk-SK"/>
              </w:rPr>
            </w:pPr>
          </w:p>
        </w:tc>
        <w:tc>
          <w:tcPr>
            <w:tcW w:w="1521" w:type="dxa"/>
            <w:tcBorders>
              <w:top w:val="nil"/>
              <w:left w:val="nil"/>
              <w:bottom w:val="nil"/>
              <w:right w:val="nil"/>
              <w:tl2br w:val="nil"/>
              <w:tr2bl w:val="nil"/>
            </w:tcBorders>
            <w:noWrap/>
            <w:textDirection w:val="lrTb"/>
            <w:vAlign w:val="bottom"/>
          </w:tcPr>
          <w:p w:rsidR="00C05966" w:rsidRPr="00C05966" w:rsidP="00C05966">
            <w:pPr>
              <w:spacing w:line="240" w:lineRule="auto"/>
              <w:rPr>
                <w:rFonts w:ascii="Arial" w:hAnsi="Arial" w:cs="Arial"/>
                <w:lang w:eastAsia="sk-SK"/>
              </w:rPr>
            </w:pPr>
          </w:p>
        </w:tc>
        <w:tc>
          <w:tcPr>
            <w:tcW w:w="1440" w:type="dxa"/>
            <w:tcBorders>
              <w:top w:val="nil"/>
              <w:left w:val="nil"/>
              <w:bottom w:val="nil"/>
              <w:right w:val="nil"/>
              <w:tl2br w:val="nil"/>
              <w:tr2bl w:val="nil"/>
            </w:tcBorders>
            <w:noWrap/>
            <w:textDirection w:val="lrTb"/>
            <w:vAlign w:val="bottom"/>
          </w:tcPr>
          <w:p w:rsidR="00C05966" w:rsidRPr="00C05966" w:rsidP="00C05966">
            <w:pPr>
              <w:spacing w:line="240" w:lineRule="auto"/>
              <w:rPr>
                <w:rFonts w:ascii="Arial" w:hAnsi="Arial" w:cs="Arial"/>
                <w:lang w:eastAsia="sk-SK"/>
              </w:rPr>
            </w:pPr>
          </w:p>
        </w:tc>
        <w:tc>
          <w:tcPr>
            <w:tcW w:w="1620" w:type="dxa"/>
            <w:tcBorders>
              <w:top w:val="nil"/>
              <w:left w:val="nil"/>
              <w:bottom w:val="nil"/>
              <w:right w:val="nil"/>
              <w:tl2br w:val="nil"/>
              <w:tr2bl w:val="nil"/>
            </w:tcBorders>
            <w:noWrap/>
            <w:textDirection w:val="lrTb"/>
            <w:vAlign w:val="bottom"/>
          </w:tcPr>
          <w:p w:rsidR="00C05966" w:rsidRPr="00C05966" w:rsidP="00C05966">
            <w:pPr>
              <w:spacing w:line="240" w:lineRule="auto"/>
              <w:rPr>
                <w:rFonts w:ascii="Arial" w:hAnsi="Arial" w:cs="Arial"/>
                <w:lang w:eastAsia="sk-SK"/>
              </w:rPr>
            </w:pPr>
          </w:p>
        </w:tc>
        <w:tc>
          <w:tcPr>
            <w:tcW w:w="1620" w:type="dxa"/>
            <w:tcBorders>
              <w:top w:val="nil"/>
              <w:left w:val="nil"/>
              <w:bottom w:val="nil"/>
              <w:right w:val="nil"/>
              <w:tl2br w:val="nil"/>
              <w:tr2bl w:val="nil"/>
            </w:tcBorders>
            <w:noWrap/>
            <w:textDirection w:val="lrTb"/>
            <w:vAlign w:val="bottom"/>
          </w:tcPr>
          <w:p w:rsidR="00C05966" w:rsidRPr="00C05966" w:rsidP="00C05966">
            <w:pPr>
              <w:spacing w:line="240" w:lineRule="auto"/>
              <w:rPr>
                <w:rFonts w:ascii="Arial" w:hAnsi="Arial" w:cs="Arial"/>
                <w:lang w:eastAsia="sk-SK"/>
              </w:rPr>
            </w:pPr>
          </w:p>
        </w:tc>
      </w:tr>
      <w:tr>
        <w:tblPrEx>
          <w:tblW w:w="9540" w:type="dxa"/>
          <w:tblInd w:w="-110" w:type="dxa"/>
          <w:tblCellMar>
            <w:left w:w="70" w:type="dxa"/>
            <w:right w:w="70" w:type="dxa"/>
          </w:tblCellMar>
        </w:tblPrEx>
        <w:trPr>
          <w:trHeight w:val="270"/>
        </w:trPr>
        <w:tc>
          <w:tcPr>
            <w:tcW w:w="9540" w:type="dxa"/>
            <w:gridSpan w:val="5"/>
            <w:tcBorders>
              <w:top w:val="nil"/>
              <w:left w:val="nil"/>
              <w:bottom w:val="nil"/>
              <w:right w:val="nil"/>
              <w:tl2br w:val="nil"/>
              <w:tr2bl w:val="nil"/>
            </w:tcBorders>
            <w:textDirection w:val="lrTb"/>
            <w:vAlign w:val="center"/>
          </w:tcPr>
          <w:p w:rsidR="00C05966" w:rsidRPr="00850F87" w:rsidP="00C05966">
            <w:pPr>
              <w:spacing w:line="240" w:lineRule="auto"/>
              <w:rPr>
                <w:rFonts w:ascii="Arial Narrow" w:hAnsi="Arial Narrow" w:cs="Arial"/>
                <w:lang w:eastAsia="sk-SK"/>
              </w:rPr>
            </w:pPr>
            <w:r w:rsidR="00850F87">
              <w:rPr>
                <w:rFonts w:ascii="Arial Narrow" w:hAnsi="Arial Narrow" w:cs="Arial"/>
                <w:lang w:eastAsia="sk-SK"/>
              </w:rPr>
              <w:t xml:space="preserve">*    </w:t>
            </w:r>
            <w:r w:rsidRPr="00850F87">
              <w:rPr>
                <w:rFonts w:ascii="Arial Narrow" w:hAnsi="Arial Narrow" w:cs="Arial"/>
                <w:lang w:eastAsia="sk-SK"/>
              </w:rPr>
              <w:t>K 31.12.2006 bol podiel štátu (MDPT SR) na základnom imaní spoločnosti 34</w:t>
            </w:r>
            <w:r w:rsidR="00850F87">
              <w:rPr>
                <w:rFonts w:ascii="Arial Narrow" w:hAnsi="Arial Narrow" w:cs="Arial"/>
                <w:lang w:eastAsia="sk-SK"/>
              </w:rPr>
              <w:t xml:space="preserve"> </w:t>
            </w:r>
            <w:r w:rsidRPr="00850F87">
              <w:rPr>
                <w:rFonts w:ascii="Arial Narrow" w:hAnsi="Arial Narrow" w:cs="Arial"/>
                <w:lang w:eastAsia="sk-SK"/>
              </w:rPr>
              <w:t xml:space="preserve">%. </w:t>
            </w:r>
          </w:p>
        </w:tc>
      </w:tr>
      <w:tr>
        <w:tblPrEx>
          <w:tblW w:w="9540" w:type="dxa"/>
          <w:tblInd w:w="-110" w:type="dxa"/>
          <w:tblCellMar>
            <w:left w:w="70" w:type="dxa"/>
            <w:right w:w="70" w:type="dxa"/>
          </w:tblCellMar>
        </w:tblPrEx>
        <w:trPr>
          <w:trHeight w:val="270"/>
        </w:trPr>
        <w:tc>
          <w:tcPr>
            <w:tcW w:w="9540" w:type="dxa"/>
            <w:gridSpan w:val="5"/>
            <w:tcBorders>
              <w:top w:val="nil"/>
              <w:left w:val="nil"/>
              <w:bottom w:val="nil"/>
              <w:right w:val="nil"/>
              <w:tl2br w:val="nil"/>
              <w:tr2bl w:val="nil"/>
            </w:tcBorders>
            <w:noWrap/>
            <w:textDirection w:val="lrTb"/>
            <w:vAlign w:val="bottom"/>
          </w:tcPr>
          <w:p w:rsidR="00850F87" w:rsidP="00C05966">
            <w:pPr>
              <w:spacing w:line="240" w:lineRule="auto"/>
              <w:rPr>
                <w:rFonts w:ascii="Arial Narrow" w:hAnsi="Arial Narrow" w:cs="Arial"/>
                <w:lang w:eastAsia="sk-SK"/>
              </w:rPr>
            </w:pPr>
            <w:r w:rsidR="004E590E">
              <w:rPr>
                <w:rFonts w:ascii="Arial Narrow" w:hAnsi="Arial Narrow" w:cs="Arial"/>
                <w:lang w:eastAsia="sk-SK"/>
              </w:rPr>
              <w:t>**   Vzhľadom na to</w:t>
            </w:r>
            <w:r>
              <w:rPr>
                <w:rFonts w:ascii="Arial Narrow" w:hAnsi="Arial Narrow" w:cs="Arial"/>
                <w:lang w:eastAsia="sk-SK"/>
              </w:rPr>
              <w:t xml:space="preserve">, že spoločnosti sú v konkurze, </w:t>
            </w:r>
            <w:r w:rsidRPr="00850F87">
              <w:rPr>
                <w:rFonts w:ascii="Arial Narrow" w:hAnsi="Arial Narrow" w:cs="Arial"/>
                <w:lang w:eastAsia="sk-SK"/>
              </w:rPr>
              <w:t>MDPT SR sa nezúčastňuje na valných zhromaždeniach spoločností, t.j.</w:t>
            </w:r>
          </w:p>
          <w:p w:rsidR="00D95CDD" w:rsidRPr="00D95CDD" w:rsidP="00C05966">
            <w:pPr>
              <w:spacing w:line="240" w:lineRule="auto"/>
              <w:rPr>
                <w:rFonts w:ascii="Arial Narrow" w:hAnsi="Arial Narrow" w:cs="Arial"/>
                <w:lang w:eastAsia="sk-SK"/>
              </w:rPr>
            </w:pPr>
            <w:r w:rsidRPr="00850F87" w:rsidR="00850F87">
              <w:rPr>
                <w:rFonts w:ascii="Arial Narrow" w:hAnsi="Arial Narrow" w:cs="Arial"/>
                <w:lang w:eastAsia="sk-SK"/>
              </w:rPr>
              <w:t xml:space="preserve"> </w:t>
            </w:r>
            <w:r w:rsidR="00850F87">
              <w:rPr>
                <w:rFonts w:ascii="Arial Narrow" w:hAnsi="Arial Narrow" w:cs="Arial"/>
                <w:lang w:eastAsia="sk-SK"/>
              </w:rPr>
              <w:t xml:space="preserve">     podiel na hlas</w:t>
            </w:r>
            <w:r w:rsidRPr="00850F87" w:rsidR="00850F87">
              <w:rPr>
                <w:rFonts w:ascii="Arial Narrow" w:hAnsi="Arial Narrow" w:cs="Arial"/>
                <w:lang w:eastAsia="sk-SK"/>
              </w:rPr>
              <w:t>ovacích právach je bezpredmetný.</w:t>
            </w:r>
          </w:p>
        </w:tc>
      </w:tr>
    </w:tbl>
    <w:p w:rsidR="00C05966" w:rsidRPr="0002435D" w:rsidP="0002435D">
      <w:pPr>
        <w:spacing w:line="240" w:lineRule="auto"/>
        <w:rPr>
          <w:rFonts w:ascii="Times New Roman" w:hAnsi="Times New Roman" w:cs="Times New Roman"/>
          <w:sz w:val="24"/>
          <w:szCs w:val="24"/>
        </w:rPr>
      </w:pPr>
    </w:p>
    <w:p w:rsidR="0002435D" w:rsidRPr="0002435D" w:rsidP="0002435D">
      <w:pPr>
        <w:spacing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V roku 2007 </w:t>
      </w:r>
      <w:r w:rsidRPr="0002435D">
        <w:rPr>
          <w:rFonts w:ascii="Times New Roman" w:hAnsi="Times New Roman" w:cs="Times New Roman"/>
          <w:sz w:val="24"/>
          <w:szCs w:val="24"/>
        </w:rPr>
        <w:t>došlo dvakrát k zvýšeniu základného imania Letiskovej spoločnosti Žilina, a.s.. Mimoriadne valné zhromaždenie tejto spoločnosti dňa 28.12.2006 rozhodlo o zvýšení základného imania o 80 mil. Sk upísaním nových akcii. V zmysle Dohody akcionárov o zvýšení základného imania zo dňa 28.12.2006 sa predmetného zvyšovania zúčastnilo len MDPT SR, a to peňažným vkladom, čím sa zvýšil podiel štátu na základnom imaní spoločnosti na 99,0%. Následne riadne valné zhromaždenie spoločnosti rozhodlo dňa 26.6.2007 o zvýšení základného imania spoločnosti upísaním nových akcii v celkovej hodnote 9 mil. Sk. K zvyšovaniu došlo z dôvodu nepriaznivej ekonomickej situácie spoločnosti. Predmetného zvyšovania sa znovu zúčastnilo len MDPT SR, čím sa zvýšila majetková účasť štátu na podnikaní Leti</w:t>
      </w:r>
      <w:r w:rsidR="004E590E">
        <w:rPr>
          <w:rFonts w:ascii="Times New Roman" w:hAnsi="Times New Roman" w:cs="Times New Roman"/>
          <w:sz w:val="24"/>
          <w:szCs w:val="24"/>
        </w:rPr>
        <w:t xml:space="preserve">skovej spoločnosti Žilina, a.s., </w:t>
      </w:r>
      <w:r w:rsidRPr="0002435D">
        <w:rPr>
          <w:rFonts w:ascii="Times New Roman" w:hAnsi="Times New Roman" w:cs="Times New Roman"/>
          <w:sz w:val="24"/>
          <w:szCs w:val="24"/>
        </w:rPr>
        <w:t>na 99,9</w:t>
      </w:r>
      <w:r w:rsidR="004E590E">
        <w:rPr>
          <w:rFonts w:ascii="Times New Roman" w:hAnsi="Times New Roman" w:cs="Times New Roman"/>
          <w:sz w:val="24"/>
          <w:szCs w:val="24"/>
        </w:rPr>
        <w:t xml:space="preserve"> </w:t>
      </w:r>
      <w:r w:rsidRPr="0002435D">
        <w:rPr>
          <w:rFonts w:ascii="Times New Roman" w:hAnsi="Times New Roman" w:cs="Times New Roman"/>
          <w:sz w:val="24"/>
          <w:szCs w:val="24"/>
        </w:rPr>
        <w:t>%.</w:t>
      </w:r>
    </w:p>
    <w:p w:rsidR="0002435D" w:rsidRPr="0002435D" w:rsidP="00D95CDD">
      <w:pPr>
        <w:spacing w:line="240" w:lineRule="auto"/>
        <w:rPr>
          <w:rFonts w:ascii="Times New Roman" w:hAnsi="Times New Roman" w:cs="Times New Roman"/>
          <w:sz w:val="24"/>
          <w:szCs w:val="24"/>
        </w:rPr>
      </w:pPr>
    </w:p>
    <w:p w:rsidR="0002435D" w:rsidP="0002435D">
      <w:pPr>
        <w:spacing w:line="240" w:lineRule="auto"/>
        <w:ind w:firstLine="708"/>
        <w:rPr>
          <w:rFonts w:ascii="Times New Roman" w:hAnsi="Times New Roman" w:cs="Times New Roman"/>
          <w:sz w:val="24"/>
          <w:szCs w:val="24"/>
        </w:rPr>
      </w:pPr>
      <w:r w:rsidRPr="0002435D">
        <w:rPr>
          <w:rFonts w:ascii="Times New Roman" w:hAnsi="Times New Roman" w:cs="Times New Roman"/>
          <w:sz w:val="24"/>
          <w:szCs w:val="24"/>
        </w:rPr>
        <w:t>Nár</w:t>
      </w:r>
      <w:r w:rsidR="004E590E">
        <w:rPr>
          <w:rFonts w:ascii="Times New Roman" w:hAnsi="Times New Roman" w:cs="Times New Roman"/>
          <w:sz w:val="24"/>
          <w:szCs w:val="24"/>
        </w:rPr>
        <w:t xml:space="preserve">odná diaľničná spoločnosť, a.s., </w:t>
      </w:r>
      <w:r w:rsidRPr="0002435D">
        <w:rPr>
          <w:rFonts w:ascii="Times New Roman" w:hAnsi="Times New Roman" w:cs="Times New Roman"/>
          <w:sz w:val="24"/>
          <w:szCs w:val="24"/>
        </w:rPr>
        <w:t>je spoločnosťou so 100</w:t>
      </w:r>
      <w:r w:rsidR="004E590E">
        <w:rPr>
          <w:rFonts w:ascii="Times New Roman" w:hAnsi="Times New Roman" w:cs="Times New Roman"/>
          <w:sz w:val="24"/>
          <w:szCs w:val="24"/>
        </w:rPr>
        <w:t xml:space="preserve"> </w:t>
      </w:r>
      <w:r w:rsidRPr="0002435D">
        <w:rPr>
          <w:rFonts w:ascii="Times New Roman" w:hAnsi="Times New Roman" w:cs="Times New Roman"/>
          <w:sz w:val="24"/>
          <w:szCs w:val="24"/>
        </w:rPr>
        <w:t xml:space="preserve">% majetkovou účasťou štátu. Rozhodnutím jediného akcionára č. 1/RA-2007 zo dňa 3. januára 2007 spísaným          vo forme notárskej zápisnice, jediný akcionár okrem iného schválil zvýšenie základného imania spoločnosti o 161,6 mil. Sk, čím sa zvýšila hodnota majetkového podielu štátu v tejto spoločnosti na 90 187,43  mil. Sk. </w:t>
      </w:r>
    </w:p>
    <w:p w:rsidR="0002435D" w:rsidRPr="0002435D" w:rsidP="0002435D">
      <w:pPr>
        <w:spacing w:line="240" w:lineRule="auto"/>
        <w:ind w:firstLine="708"/>
        <w:rPr>
          <w:rFonts w:ascii="Arial" w:hAnsi="Arial" w:cs="Arial"/>
          <w:sz w:val="24"/>
          <w:szCs w:val="24"/>
        </w:rPr>
      </w:pPr>
    </w:p>
    <w:p w:rsidR="00055265" w:rsidRPr="00AD0B59" w:rsidP="00055265">
      <w:pPr>
        <w:spacing w:line="240" w:lineRule="auto"/>
        <w:rPr>
          <w:rFonts w:ascii="Times New Roman" w:hAnsi="Times New Roman" w:cs="Times New Roman"/>
          <w:sz w:val="24"/>
          <w:szCs w:val="24"/>
        </w:rPr>
      </w:pPr>
    </w:p>
    <w:p w:rsidR="00341B0F" w:rsidRPr="002E4468" w:rsidP="00C362EA">
      <w:pPr>
        <w:pStyle w:val="BodyTextIndent"/>
        <w:numPr>
          <w:ilvl w:val="1"/>
          <w:numId w:val="13"/>
        </w:numPr>
        <w:pBdr>
          <w:top w:val="threeDEmboss" w:sz="24" w:space="1" w:color="auto"/>
          <w:left w:val="threeDEmboss" w:sz="24" w:space="4" w:color="auto"/>
          <w:bottom w:val="threeDEmboss" w:sz="24" w:space="1" w:color="auto"/>
          <w:right w:val="threeDEmboss" w:sz="24" w:space="4" w:color="auto"/>
        </w:pBdr>
        <w:shd w:val="pct15" w:color="000000" w:fill="FFFFFF"/>
        <w:tabs>
          <w:tab w:val="left" w:pos="900"/>
        </w:tabs>
        <w:spacing w:line="240" w:lineRule="auto"/>
        <w:jc w:val="center"/>
        <w:rPr>
          <w:rFonts w:ascii="Times New Roman" w:hAnsi="Times New Roman" w:cs="Times New Roman"/>
          <w:b/>
          <w:sz w:val="32"/>
          <w:szCs w:val="32"/>
        </w:rPr>
      </w:pPr>
      <w:r>
        <w:rPr>
          <w:rFonts w:ascii="Times New Roman" w:hAnsi="Times New Roman" w:cs="Times New Roman"/>
          <w:b/>
          <w:sz w:val="32"/>
          <w:szCs w:val="32"/>
        </w:rPr>
        <w:t>Príspevkové organizácie v pôsobnosti kapitoly</w:t>
      </w:r>
    </w:p>
    <w:p w:rsidR="00C05966" w:rsidP="00C362EA">
      <w:pPr>
        <w:spacing w:line="240" w:lineRule="auto"/>
        <w:rPr>
          <w:rFonts w:ascii="Times New Roman" w:hAnsi="Times New Roman" w:cs="Times New Roman"/>
          <w:sz w:val="24"/>
          <w:szCs w:val="24"/>
        </w:rPr>
      </w:pPr>
    </w:p>
    <w:p w:rsidR="007E590A" w:rsidP="007E590A">
      <w:pPr>
        <w:spacing w:line="240" w:lineRule="auto"/>
        <w:ind w:firstLine="708"/>
        <w:rPr>
          <w:rFonts w:ascii="Times New Roman" w:hAnsi="Times New Roman" w:cs="Times New Roman"/>
          <w:sz w:val="24"/>
          <w:szCs w:val="24"/>
        </w:rPr>
      </w:pPr>
      <w:r w:rsidR="009103C0">
        <w:rPr>
          <w:rFonts w:ascii="Times New Roman" w:hAnsi="Times New Roman" w:cs="Times New Roman"/>
          <w:sz w:val="24"/>
          <w:szCs w:val="24"/>
        </w:rPr>
        <w:t>V pôs</w:t>
      </w:r>
      <w:r>
        <w:rPr>
          <w:rFonts w:ascii="Times New Roman" w:hAnsi="Times New Roman" w:cs="Times New Roman"/>
          <w:sz w:val="24"/>
          <w:szCs w:val="24"/>
        </w:rPr>
        <w:t xml:space="preserve">obnosti MDPT SR bola v roku 2007 </w:t>
      </w:r>
      <w:r w:rsidR="009103C0">
        <w:rPr>
          <w:rFonts w:ascii="Times New Roman" w:hAnsi="Times New Roman" w:cs="Times New Roman"/>
          <w:sz w:val="24"/>
          <w:szCs w:val="24"/>
        </w:rPr>
        <w:t xml:space="preserve">len jedna príspevková organizácia, a to </w:t>
      </w:r>
      <w:r w:rsidRPr="009103C0" w:rsidR="009103C0">
        <w:rPr>
          <w:rFonts w:ascii="Times New Roman" w:hAnsi="Times New Roman" w:cs="Times New Roman"/>
          <w:b/>
          <w:sz w:val="24"/>
          <w:szCs w:val="24"/>
        </w:rPr>
        <w:t>Ústav cestnej dopravy</w:t>
      </w:r>
      <w:r w:rsidR="009103C0">
        <w:rPr>
          <w:rFonts w:ascii="Times New Roman" w:hAnsi="Times New Roman" w:cs="Times New Roman"/>
          <w:sz w:val="24"/>
          <w:szCs w:val="24"/>
        </w:rPr>
        <w:t xml:space="preserve"> Bratislava (Zriaďovacia listina</w:t>
      </w:r>
      <w:r w:rsidRPr="00001A51" w:rsidR="009103C0">
        <w:rPr>
          <w:rFonts w:ascii="Times New Roman" w:hAnsi="Times New Roman" w:cs="Times New Roman"/>
          <w:sz w:val="24"/>
          <w:szCs w:val="24"/>
        </w:rPr>
        <w:t xml:space="preserve"> MDPT SR č. 1973/M-2000 zo dňa 19.decembra 2000</w:t>
      </w:r>
      <w:r w:rsidR="009103C0">
        <w:rPr>
          <w:rFonts w:ascii="Times New Roman" w:hAnsi="Times New Roman" w:cs="Times New Roman"/>
          <w:sz w:val="24"/>
          <w:szCs w:val="24"/>
        </w:rPr>
        <w:t>).</w:t>
      </w:r>
    </w:p>
    <w:p w:rsidR="007E590A" w:rsidRPr="00001A51" w:rsidP="007E590A">
      <w:pPr>
        <w:spacing w:line="240" w:lineRule="auto"/>
        <w:ind w:firstLine="708"/>
        <w:rPr>
          <w:rFonts w:ascii="Times New Roman" w:hAnsi="Times New Roman" w:cs="Times New Roman"/>
          <w:sz w:val="24"/>
          <w:szCs w:val="24"/>
        </w:rPr>
      </w:pPr>
    </w:p>
    <w:p w:rsidR="007E590A" w:rsidP="007E590A">
      <w:pPr>
        <w:spacing w:line="240" w:lineRule="auto"/>
        <w:ind w:firstLine="708"/>
        <w:rPr>
          <w:rFonts w:ascii="Times New Roman" w:hAnsi="Times New Roman" w:cs="Times New Roman"/>
          <w:sz w:val="24"/>
          <w:szCs w:val="24"/>
        </w:rPr>
      </w:pPr>
      <w:r w:rsidRPr="007E590A">
        <w:rPr>
          <w:rFonts w:ascii="Times New Roman" w:hAnsi="Times New Roman" w:cs="Times New Roman"/>
          <w:sz w:val="24"/>
          <w:szCs w:val="24"/>
        </w:rPr>
        <w:t>Pripravovaná privatizácia Ústavu cestnej dopravy v Bratislave bola zrušená na základe Uznesenia vlády SR č. 535 zo dňa 6</w:t>
      </w:r>
      <w:r>
        <w:rPr>
          <w:rFonts w:ascii="Times New Roman" w:hAnsi="Times New Roman" w:cs="Times New Roman"/>
          <w:sz w:val="24"/>
          <w:szCs w:val="24"/>
        </w:rPr>
        <w:t xml:space="preserve">. júla 2005, keďže </w:t>
      </w:r>
      <w:r w:rsidRPr="007E590A">
        <w:rPr>
          <w:rFonts w:ascii="Times New Roman" w:hAnsi="Times New Roman" w:cs="Times New Roman"/>
          <w:sz w:val="24"/>
          <w:szCs w:val="24"/>
        </w:rPr>
        <w:t>Fond národného majetku SR neuzatvoril zmluvu o predaji podniku z dôvodu odstúpenia kupujúceho od pripravovanej zmluvy o priamom predaji podniku.</w:t>
      </w:r>
      <w:r>
        <w:rPr>
          <w:rFonts w:ascii="Times New Roman" w:hAnsi="Times New Roman" w:cs="Times New Roman"/>
          <w:sz w:val="24"/>
          <w:szCs w:val="24"/>
        </w:rPr>
        <w:t xml:space="preserve"> </w:t>
      </w:r>
      <w:r w:rsidRPr="007E590A">
        <w:rPr>
          <w:rFonts w:ascii="Times New Roman" w:hAnsi="Times New Roman" w:cs="Times New Roman"/>
          <w:sz w:val="24"/>
          <w:szCs w:val="24"/>
        </w:rPr>
        <w:t>Následne ústav utlmoval svoju činnosť tým, že nezabezpečil odborne spôsobilých pracovníkov pre vykonávanie činností STK, ktorá bola hlavným predmetom činnosti organizácie.</w:t>
      </w:r>
      <w:r>
        <w:rPr>
          <w:rFonts w:ascii="Times New Roman" w:hAnsi="Times New Roman" w:cs="Times New Roman"/>
          <w:sz w:val="24"/>
          <w:szCs w:val="24"/>
        </w:rPr>
        <w:t xml:space="preserve"> </w:t>
      </w:r>
      <w:r w:rsidRPr="007E590A">
        <w:rPr>
          <w:rFonts w:ascii="Times New Roman" w:hAnsi="Times New Roman" w:cs="Times New Roman"/>
          <w:sz w:val="24"/>
          <w:szCs w:val="24"/>
        </w:rPr>
        <w:t>Z tohto dôvodu bolo vydané Rozhodnutie ministra dopravy, pôšt a telekomunikácií SR č. 47 zo dňa 24.3.2005 na zabezpečenie prípravy zrušenia štátnej príspevkovej organizácie.</w:t>
      </w:r>
    </w:p>
    <w:p w:rsidR="007E590A" w:rsidRPr="007E590A" w:rsidP="007E590A">
      <w:pPr>
        <w:spacing w:line="240" w:lineRule="auto"/>
        <w:ind w:firstLine="708"/>
        <w:rPr>
          <w:rFonts w:ascii="Times New Roman" w:hAnsi="Times New Roman" w:cs="Times New Roman"/>
          <w:sz w:val="24"/>
          <w:szCs w:val="24"/>
        </w:rPr>
      </w:pPr>
    </w:p>
    <w:p w:rsidR="007E590A" w:rsidRPr="007E590A" w:rsidP="007E590A">
      <w:pPr>
        <w:spacing w:line="240" w:lineRule="auto"/>
        <w:rPr>
          <w:rFonts w:ascii="Times New Roman" w:hAnsi="Times New Roman" w:cs="Times New Roman"/>
          <w:sz w:val="24"/>
          <w:szCs w:val="24"/>
        </w:rPr>
      </w:pPr>
      <w:r w:rsidRPr="007E590A">
        <w:rPr>
          <w:rFonts w:ascii="Times New Roman" w:hAnsi="Times New Roman" w:cs="Times New Roman"/>
          <w:sz w:val="24"/>
          <w:szCs w:val="24"/>
        </w:rPr>
        <w:tab/>
        <w:t>Rozhodnutím ministra dopravy, pôst a telekomunikácií číslo 20 zo dňa 8. marca 2007 o zániku štátnej príspevkovej organizácie, bola na základe § 21 zákona č. 523/2004 Z.z. o rozpočtových pravidlách verejnej správy a o zmene a doplnení niektorých zákon</w:t>
      </w:r>
      <w:r>
        <w:rPr>
          <w:rFonts w:ascii="Times New Roman" w:hAnsi="Times New Roman" w:cs="Times New Roman"/>
          <w:sz w:val="24"/>
          <w:szCs w:val="24"/>
        </w:rPr>
        <w:t xml:space="preserve">ov v znení neskorších predpisov </w:t>
      </w:r>
      <w:r w:rsidRPr="007E590A">
        <w:rPr>
          <w:rFonts w:ascii="Times New Roman" w:hAnsi="Times New Roman" w:cs="Times New Roman"/>
          <w:sz w:val="24"/>
          <w:szCs w:val="24"/>
        </w:rPr>
        <w:t>a</w:t>
      </w:r>
      <w:r>
        <w:rPr>
          <w:rFonts w:ascii="Times New Roman" w:hAnsi="Times New Roman" w:cs="Times New Roman"/>
          <w:sz w:val="24"/>
          <w:szCs w:val="24"/>
        </w:rPr>
        <w:t xml:space="preserve"> </w:t>
      </w:r>
      <w:r w:rsidRPr="007E590A">
        <w:rPr>
          <w:rFonts w:ascii="Times New Roman" w:hAnsi="Times New Roman" w:cs="Times New Roman"/>
          <w:sz w:val="24"/>
          <w:szCs w:val="24"/>
        </w:rPr>
        <w:t xml:space="preserve"> súhlasu Ministerstva financií SR udeleného listom č. MF/012523/2007-441 zo dňa 26.februára 2007, ku dňu </w:t>
      </w:r>
      <w:r>
        <w:rPr>
          <w:rFonts w:ascii="Times New Roman" w:hAnsi="Times New Roman" w:cs="Times New Roman"/>
          <w:sz w:val="24"/>
          <w:szCs w:val="24"/>
        </w:rPr>
        <w:t xml:space="preserve">31. marca 2007, </w:t>
      </w:r>
      <w:r w:rsidRPr="007E590A">
        <w:rPr>
          <w:rFonts w:ascii="Times New Roman" w:hAnsi="Times New Roman" w:cs="Times New Roman"/>
          <w:sz w:val="24"/>
          <w:szCs w:val="24"/>
        </w:rPr>
        <w:t xml:space="preserve">zrušená štátna príspevková organizácia Ústav cestnej dopravy a súčasne všetok majetok, vrátane súvisiacich práv a povinností Ústavu cestnej dopravy dňom 1. apríla 2007 prešiel na nástupnícku organizáciu, a to na štátnu rozpočtovú organizáciu Slovenskú správu ciest. </w:t>
      </w:r>
    </w:p>
    <w:p w:rsidR="007E590A" w:rsidRPr="007E590A" w:rsidP="007E590A">
      <w:pPr>
        <w:spacing w:line="240" w:lineRule="auto"/>
        <w:rPr>
          <w:rFonts w:ascii="Times New Roman" w:hAnsi="Times New Roman" w:cs="Times New Roman"/>
          <w:sz w:val="24"/>
          <w:szCs w:val="24"/>
        </w:rPr>
      </w:pPr>
    </w:p>
    <w:p w:rsidR="007E590A" w:rsidRPr="007E590A" w:rsidP="007E590A">
      <w:pPr>
        <w:spacing w:line="240" w:lineRule="auto"/>
        <w:rPr>
          <w:rFonts w:ascii="Times New Roman" w:hAnsi="Times New Roman" w:cs="Times New Roman"/>
          <w:sz w:val="24"/>
          <w:szCs w:val="24"/>
        </w:rPr>
      </w:pPr>
      <w:r w:rsidRPr="007E590A">
        <w:rPr>
          <w:rFonts w:ascii="Times New Roman" w:hAnsi="Times New Roman" w:cs="Times New Roman"/>
          <w:sz w:val="24"/>
          <w:szCs w:val="24"/>
        </w:rPr>
        <w:tab/>
        <w:t>V roku 2007 boli pre ÚCD poskytnuté finančné prostriedky, na základe Dodatku č. 5 ku Kon</w:t>
      </w:r>
      <w:r>
        <w:rPr>
          <w:rFonts w:ascii="Times New Roman" w:hAnsi="Times New Roman" w:cs="Times New Roman"/>
          <w:sz w:val="24"/>
          <w:szCs w:val="24"/>
        </w:rPr>
        <w:t xml:space="preserve">traktu č. 19/2005 medzi MDPT SR </w:t>
      </w:r>
      <w:r w:rsidRPr="007E590A">
        <w:rPr>
          <w:rFonts w:ascii="Times New Roman" w:hAnsi="Times New Roman" w:cs="Times New Roman"/>
          <w:sz w:val="24"/>
          <w:szCs w:val="24"/>
        </w:rPr>
        <w:t xml:space="preserve">a ÚCD, na zabezpečenie prípravy zrušenia príspevkovej organizácie Ústavu cestnej dopravy na základe Rozhodnutia ministra dopravy, </w:t>
      </w:r>
      <w:r>
        <w:rPr>
          <w:rFonts w:ascii="Times New Roman" w:hAnsi="Times New Roman" w:cs="Times New Roman"/>
          <w:sz w:val="24"/>
          <w:szCs w:val="24"/>
        </w:rPr>
        <w:t xml:space="preserve">pôšt a telekomunikácií SR č. 47, </w:t>
      </w:r>
      <w:r w:rsidRPr="007E590A">
        <w:rPr>
          <w:rFonts w:ascii="Times New Roman" w:hAnsi="Times New Roman" w:cs="Times New Roman"/>
          <w:sz w:val="24"/>
          <w:szCs w:val="24"/>
        </w:rPr>
        <w:t>v súvislosti s potrebou vykrytia prevádzkových nákladov pred jeho zrušením na obdobie január - marec 2007 a na odstupné pre troch zamestnancov po ukončení  činnosti príspevkovej organizácie ÚCD v celkovej sume 1 046 238,- Sk</w:t>
      </w:r>
      <w:r>
        <w:rPr>
          <w:rFonts w:ascii="Times New Roman" w:hAnsi="Times New Roman" w:cs="Times New Roman"/>
          <w:sz w:val="24"/>
          <w:szCs w:val="24"/>
        </w:rPr>
        <w:t xml:space="preserve">. </w:t>
      </w:r>
      <w:r w:rsidRPr="007E590A">
        <w:rPr>
          <w:rFonts w:ascii="Times New Roman" w:hAnsi="Times New Roman" w:cs="Times New Roman"/>
          <w:sz w:val="24"/>
          <w:szCs w:val="24"/>
        </w:rPr>
        <w:t xml:space="preserve"> </w:t>
      </w:r>
    </w:p>
    <w:p w:rsidR="007E590A" w:rsidP="007E590A">
      <w:pPr>
        <w:rPr>
          <w:rFonts w:ascii="Times New Roman" w:hAnsi="Times New Roman" w:cs="Times New Roman"/>
        </w:rPr>
      </w:pPr>
    </w:p>
    <w:p w:rsidR="007E590A" w:rsidP="007E590A">
      <w:pPr>
        <w:rPr>
          <w:rFonts w:ascii="Times New Roman" w:hAnsi="Times New Roman" w:cs="Times New Roman"/>
        </w:rPr>
      </w:pPr>
    </w:p>
    <w:p w:rsidR="00AD0B59" w:rsidP="00055265">
      <w:pPr>
        <w:spacing w:line="240" w:lineRule="auto"/>
        <w:rPr>
          <w:rFonts w:ascii="Times New Roman" w:hAnsi="Times New Roman" w:cs="Times New Roman"/>
          <w:sz w:val="24"/>
          <w:szCs w:val="24"/>
        </w:rPr>
      </w:pPr>
    </w:p>
    <w:p w:rsidR="00A85AEC" w:rsidP="00C362EA">
      <w:pPr>
        <w:spacing w:line="240" w:lineRule="auto"/>
        <w:rPr>
          <w:rFonts w:ascii="Times New Roman" w:hAnsi="Times New Roman" w:cs="Times New Roman"/>
          <w:sz w:val="24"/>
          <w:szCs w:val="24"/>
        </w:rPr>
      </w:pPr>
    </w:p>
    <w:p w:rsidR="00A85AEC" w:rsidP="00C362EA">
      <w:pPr>
        <w:spacing w:line="240" w:lineRule="auto"/>
        <w:rPr>
          <w:rFonts w:ascii="Times New Roman" w:hAnsi="Times New Roman" w:cs="Times New Roman"/>
          <w:sz w:val="24"/>
          <w:szCs w:val="24"/>
        </w:rPr>
      </w:pPr>
    </w:p>
    <w:p w:rsidR="00A85AEC" w:rsidP="00C362EA">
      <w:pPr>
        <w:spacing w:line="240" w:lineRule="auto"/>
        <w:rPr>
          <w:rFonts w:ascii="Times New Roman" w:hAnsi="Times New Roman" w:cs="Times New Roman"/>
          <w:sz w:val="24"/>
          <w:szCs w:val="24"/>
        </w:rPr>
      </w:pPr>
    </w:p>
    <w:p w:rsidR="00A85AEC" w:rsidP="00C362EA">
      <w:pPr>
        <w:spacing w:line="240" w:lineRule="auto"/>
        <w:rPr>
          <w:rFonts w:ascii="Times New Roman" w:hAnsi="Times New Roman" w:cs="Times New Roman"/>
          <w:sz w:val="24"/>
          <w:szCs w:val="24"/>
        </w:rPr>
      </w:pPr>
    </w:p>
    <w:p w:rsidR="00A85AEC" w:rsidP="00C362EA">
      <w:pPr>
        <w:spacing w:line="240" w:lineRule="auto"/>
        <w:rPr>
          <w:rFonts w:ascii="Times New Roman" w:hAnsi="Times New Roman" w:cs="Times New Roman"/>
          <w:sz w:val="24"/>
          <w:szCs w:val="24"/>
        </w:rPr>
      </w:pPr>
    </w:p>
    <w:p w:rsidR="00A85AEC" w:rsidP="00C362EA">
      <w:pPr>
        <w:spacing w:line="240" w:lineRule="auto"/>
        <w:rPr>
          <w:rFonts w:ascii="Times New Roman" w:hAnsi="Times New Roman" w:cs="Times New Roman"/>
          <w:sz w:val="24"/>
          <w:szCs w:val="24"/>
        </w:rPr>
      </w:pPr>
    </w:p>
    <w:p w:rsidR="00A85AEC" w:rsidP="00C362EA">
      <w:pPr>
        <w:spacing w:line="240" w:lineRule="auto"/>
        <w:rPr>
          <w:rFonts w:ascii="Times New Roman" w:hAnsi="Times New Roman" w:cs="Times New Roman"/>
          <w:sz w:val="24"/>
          <w:szCs w:val="24"/>
        </w:rPr>
      </w:pPr>
    </w:p>
    <w:p w:rsidR="00A85AEC" w:rsidP="00C362EA">
      <w:pPr>
        <w:spacing w:line="240" w:lineRule="auto"/>
        <w:rPr>
          <w:rFonts w:ascii="Times New Roman" w:hAnsi="Times New Roman" w:cs="Times New Roman"/>
          <w:sz w:val="24"/>
          <w:szCs w:val="24"/>
        </w:rPr>
      </w:pPr>
    </w:p>
    <w:p w:rsidR="00A85AEC" w:rsidP="00C362EA">
      <w:pPr>
        <w:spacing w:line="240" w:lineRule="auto"/>
        <w:rPr>
          <w:rFonts w:ascii="Times New Roman" w:hAnsi="Times New Roman" w:cs="Times New Roman"/>
          <w:sz w:val="24"/>
          <w:szCs w:val="24"/>
        </w:rPr>
      </w:pPr>
    </w:p>
    <w:p w:rsidR="00A85AEC" w:rsidP="00C362EA">
      <w:pPr>
        <w:spacing w:line="240" w:lineRule="auto"/>
        <w:rPr>
          <w:rFonts w:ascii="Times New Roman" w:hAnsi="Times New Roman" w:cs="Times New Roman"/>
          <w:sz w:val="24"/>
          <w:szCs w:val="24"/>
        </w:rPr>
      </w:pPr>
    </w:p>
    <w:p w:rsidR="00A85AEC" w:rsidP="00C362EA">
      <w:pPr>
        <w:spacing w:line="240" w:lineRule="auto"/>
        <w:rPr>
          <w:rFonts w:ascii="Times New Roman" w:hAnsi="Times New Roman" w:cs="Times New Roman"/>
          <w:sz w:val="24"/>
          <w:szCs w:val="24"/>
        </w:rPr>
      </w:pPr>
    </w:p>
    <w:p w:rsidR="00967F06" w:rsidP="00C362EA">
      <w:pPr>
        <w:spacing w:line="240" w:lineRule="auto"/>
        <w:rPr>
          <w:rFonts w:ascii="Times New Roman" w:hAnsi="Times New Roman" w:cs="Times New Roman"/>
          <w:sz w:val="24"/>
          <w:szCs w:val="24"/>
        </w:rPr>
      </w:pPr>
    </w:p>
    <w:p w:rsidR="00A85AEC" w:rsidP="00C362EA">
      <w:pPr>
        <w:spacing w:line="240" w:lineRule="auto"/>
        <w:rPr>
          <w:rFonts w:ascii="Times New Roman" w:hAnsi="Times New Roman" w:cs="Times New Roman"/>
          <w:sz w:val="24"/>
          <w:szCs w:val="24"/>
        </w:rPr>
      </w:pPr>
    </w:p>
    <w:p w:rsidR="00B04BF9" w:rsidP="00B4123B">
      <w:pPr>
        <w:spacing w:line="240" w:lineRule="auto"/>
        <w:rPr>
          <w:rFonts w:ascii="Times New Roman" w:hAnsi="Times New Roman" w:cs="Times New Roman"/>
          <w:b/>
          <w:sz w:val="40"/>
          <w:szCs w:val="40"/>
        </w:rPr>
      </w:pPr>
    </w:p>
    <w:p w:rsidR="00A85AEC" w:rsidRPr="00A85AEC" w:rsidP="00B4123B">
      <w:pPr>
        <w:spacing w:line="240" w:lineRule="auto"/>
        <w:jc w:val="center"/>
        <w:rPr>
          <w:rFonts w:ascii="Times New Roman" w:hAnsi="Times New Roman" w:cs="Times New Roman"/>
          <w:b/>
          <w:sz w:val="40"/>
          <w:szCs w:val="40"/>
        </w:rPr>
      </w:pPr>
      <w:r w:rsidR="005F773C">
        <w:rPr>
          <w:rFonts w:ascii="Times New Roman" w:hAnsi="Times New Roman" w:cs="Times New Roman"/>
          <w:b/>
          <w:sz w:val="40"/>
          <w:szCs w:val="40"/>
        </w:rPr>
        <w:t xml:space="preserve">2. </w:t>
      </w:r>
      <w:r w:rsidRPr="00A85AEC">
        <w:rPr>
          <w:rFonts w:ascii="Times New Roman" w:hAnsi="Times New Roman" w:cs="Times New Roman"/>
          <w:b/>
          <w:sz w:val="40"/>
          <w:szCs w:val="40"/>
        </w:rPr>
        <w:t>TABUĽKOVÁ ČASŤ (ČÍSELNÉ ZOSTAVY)</w:t>
      </w:r>
    </w:p>
    <w:p w:rsidR="00E85BE9" w:rsidP="00E85BE9">
      <w:pPr>
        <w:pStyle w:val="Heading3"/>
        <w:spacing w:before="0" w:after="0" w:line="240" w:lineRule="auto"/>
        <w:rPr>
          <w:rFonts w:ascii="Times New Roman" w:hAnsi="Times New Roman" w:cs="Times New Roman"/>
          <w:b w:val="0"/>
          <w:bCs w:val="0"/>
          <w:szCs w:val="20"/>
          <w:lang w:eastAsia="cs-CZ"/>
        </w:rPr>
      </w:pPr>
    </w:p>
    <w:p w:rsidR="002F4087" w:rsidRPr="002F4087" w:rsidP="002F4087">
      <w:pPr>
        <w:rPr>
          <w:rFonts w:ascii="Times New Roman" w:hAnsi="Times New Roman" w:cs="Times New Roman"/>
        </w:rPr>
      </w:pPr>
    </w:p>
    <w:p w:rsidR="00B4123B" w:rsidRPr="00B4123B" w:rsidP="00E85BE9">
      <w:pPr>
        <w:pStyle w:val="Heading3"/>
        <w:spacing w:before="0" w:after="0" w:line="240" w:lineRule="auto"/>
        <w:ind w:firstLine="709"/>
        <w:rPr>
          <w:rFonts w:ascii="Times New Roman" w:hAnsi="Times New Roman"/>
          <w:b w:val="0"/>
          <w:bCs w:val="0"/>
          <w:sz w:val="24"/>
          <w:szCs w:val="24"/>
        </w:rPr>
      </w:pPr>
      <w:r w:rsidRPr="00B4123B">
        <w:rPr>
          <w:rFonts w:ascii="Times New Roman" w:hAnsi="Times New Roman"/>
          <w:b w:val="0"/>
          <w:bCs w:val="0"/>
          <w:sz w:val="24"/>
          <w:szCs w:val="24"/>
        </w:rPr>
        <w:t xml:space="preserve">Tabuľka č. 1: Celkový prehľad príjmov a výdavkov </w:t>
      </w:r>
      <w:r w:rsidR="001B63D5">
        <w:rPr>
          <w:rFonts w:ascii="Times New Roman" w:hAnsi="Times New Roman"/>
          <w:b w:val="0"/>
          <w:bCs w:val="0"/>
          <w:sz w:val="24"/>
          <w:szCs w:val="24"/>
        </w:rPr>
        <w:t>rozpočtovej kapitoly za rok 2007</w:t>
      </w:r>
    </w:p>
    <w:p w:rsidR="002F4087" w:rsidP="002F4087">
      <w:pPr>
        <w:pStyle w:val="BodyText2"/>
        <w:spacing w:line="240" w:lineRule="auto"/>
        <w:ind w:left="-284" w:firstLine="993"/>
        <w:rPr>
          <w:rFonts w:ascii="Times New Roman" w:hAnsi="Times New Roman" w:cs="Times New Roman"/>
          <w:sz w:val="24"/>
          <w:szCs w:val="24"/>
        </w:rPr>
      </w:pPr>
      <w:r w:rsidRPr="00B4123B" w:rsidR="00B4123B">
        <w:rPr>
          <w:rFonts w:ascii="Times New Roman" w:hAnsi="Times New Roman" w:cs="Times New Roman"/>
          <w:sz w:val="24"/>
          <w:szCs w:val="24"/>
        </w:rPr>
        <w:t>Ta</w:t>
      </w:r>
      <w:r>
        <w:rPr>
          <w:rFonts w:ascii="Times New Roman" w:hAnsi="Times New Roman" w:cs="Times New Roman"/>
          <w:sz w:val="24"/>
          <w:szCs w:val="24"/>
        </w:rPr>
        <w:t xml:space="preserve">buľka č. 2: Výdavky kapitoly podľa ekonomickej a </w:t>
      </w:r>
      <w:r w:rsidRPr="00B4123B" w:rsidR="00B4123B">
        <w:rPr>
          <w:rFonts w:ascii="Times New Roman" w:hAnsi="Times New Roman" w:cs="Times New Roman"/>
          <w:sz w:val="24"/>
          <w:szCs w:val="24"/>
        </w:rPr>
        <w:t>funkčnej klasif</w:t>
      </w:r>
      <w:r w:rsidR="001B63D5">
        <w:rPr>
          <w:rFonts w:ascii="Times New Roman" w:hAnsi="Times New Roman" w:cs="Times New Roman"/>
          <w:sz w:val="24"/>
          <w:szCs w:val="24"/>
        </w:rPr>
        <w:t xml:space="preserve">ikácie za rok </w:t>
      </w:r>
    </w:p>
    <w:p w:rsidR="00B4123B" w:rsidP="002F4087">
      <w:pPr>
        <w:pStyle w:val="BodyText2"/>
        <w:spacing w:line="240" w:lineRule="auto"/>
        <w:ind w:left="-284" w:firstLine="993"/>
        <w:rPr>
          <w:rFonts w:ascii="Times New Roman" w:hAnsi="Times New Roman" w:cs="Times New Roman"/>
          <w:sz w:val="24"/>
          <w:szCs w:val="24"/>
        </w:rPr>
      </w:pPr>
      <w:r w:rsidR="002F4087">
        <w:rPr>
          <w:rFonts w:ascii="Times New Roman" w:hAnsi="Times New Roman" w:cs="Times New Roman"/>
          <w:sz w:val="24"/>
          <w:szCs w:val="24"/>
        </w:rPr>
        <w:t xml:space="preserve">                       </w:t>
      </w:r>
      <w:r w:rsidR="001B63D5">
        <w:rPr>
          <w:rFonts w:ascii="Times New Roman" w:hAnsi="Times New Roman" w:cs="Times New Roman"/>
          <w:sz w:val="24"/>
          <w:szCs w:val="24"/>
        </w:rPr>
        <w:t>2007</w:t>
      </w:r>
    </w:p>
    <w:p w:rsidR="001223F5" w:rsidRPr="00B4123B" w:rsidP="00E85BE9">
      <w:pPr>
        <w:pStyle w:val="BodyText2"/>
        <w:spacing w:line="240" w:lineRule="auto"/>
        <w:ind w:left="-284" w:firstLine="993"/>
        <w:rPr>
          <w:rFonts w:ascii="Times New Roman" w:hAnsi="Times New Roman" w:cs="Times New Roman"/>
          <w:sz w:val="24"/>
          <w:szCs w:val="24"/>
        </w:rPr>
      </w:pPr>
      <w:r w:rsidR="002F4087">
        <w:rPr>
          <w:rFonts w:ascii="Times New Roman" w:hAnsi="Times New Roman" w:cs="Times New Roman"/>
          <w:sz w:val="24"/>
          <w:szCs w:val="24"/>
        </w:rPr>
        <w:t xml:space="preserve">Tabuľka č. 3: Finančné operácie </w:t>
      </w:r>
      <w:r w:rsidR="001B63D5">
        <w:rPr>
          <w:rFonts w:ascii="Times New Roman" w:hAnsi="Times New Roman" w:cs="Times New Roman"/>
          <w:sz w:val="24"/>
          <w:szCs w:val="24"/>
        </w:rPr>
        <w:t xml:space="preserve">kapitoly </w:t>
      </w:r>
      <w:r w:rsidR="002F4087">
        <w:rPr>
          <w:rFonts w:ascii="Times New Roman" w:hAnsi="Times New Roman" w:cs="Times New Roman"/>
          <w:sz w:val="24"/>
          <w:szCs w:val="24"/>
        </w:rPr>
        <w:t xml:space="preserve">štátneho rozpočtu </w:t>
      </w:r>
      <w:r w:rsidR="001B63D5">
        <w:rPr>
          <w:rFonts w:ascii="Times New Roman" w:hAnsi="Times New Roman" w:cs="Times New Roman"/>
          <w:sz w:val="24"/>
          <w:szCs w:val="24"/>
        </w:rPr>
        <w:t>za rok 2007</w:t>
      </w:r>
    </w:p>
    <w:p w:rsidR="00B4123B" w:rsidRPr="00B4123B" w:rsidP="00E85BE9">
      <w:pPr>
        <w:pStyle w:val="BodyText2"/>
        <w:spacing w:line="240" w:lineRule="auto"/>
        <w:ind w:left="-284" w:firstLine="993"/>
        <w:rPr>
          <w:rFonts w:ascii="Times New Roman" w:hAnsi="Times New Roman" w:cs="Times New Roman"/>
          <w:sz w:val="24"/>
          <w:szCs w:val="24"/>
        </w:rPr>
      </w:pPr>
      <w:r w:rsidRPr="00B4123B">
        <w:rPr>
          <w:rFonts w:ascii="Times New Roman" w:hAnsi="Times New Roman" w:cs="Times New Roman"/>
          <w:sz w:val="24"/>
          <w:szCs w:val="24"/>
        </w:rPr>
        <w:t xml:space="preserve">Tabuľka č. 4: Záväzné ukazovatele </w:t>
      </w:r>
      <w:r w:rsidR="001B63D5">
        <w:rPr>
          <w:rFonts w:ascii="Times New Roman" w:hAnsi="Times New Roman" w:cs="Times New Roman"/>
          <w:sz w:val="24"/>
          <w:szCs w:val="24"/>
        </w:rPr>
        <w:t>rozpočtovej kapitoly za rok 2007</w:t>
      </w:r>
    </w:p>
    <w:p w:rsidR="002F4087" w:rsidP="002F4087">
      <w:pPr>
        <w:pStyle w:val="BodyText2"/>
        <w:spacing w:line="240" w:lineRule="auto"/>
        <w:ind w:left="-284" w:firstLine="993"/>
        <w:rPr>
          <w:rFonts w:ascii="Times New Roman" w:hAnsi="Times New Roman" w:cs="Times New Roman"/>
          <w:sz w:val="24"/>
          <w:szCs w:val="24"/>
        </w:rPr>
      </w:pPr>
      <w:r w:rsidRPr="00B4123B" w:rsidR="00B4123B">
        <w:rPr>
          <w:rFonts w:ascii="Times New Roman" w:hAnsi="Times New Roman" w:cs="Times New Roman"/>
          <w:sz w:val="24"/>
          <w:szCs w:val="24"/>
        </w:rPr>
        <w:t>Tabuľka č. 5: Prehľad príjmov a výdavkov príspevkových organizácií</w:t>
      </w:r>
      <w:r>
        <w:rPr>
          <w:rFonts w:ascii="Times New Roman" w:hAnsi="Times New Roman" w:cs="Times New Roman"/>
          <w:sz w:val="24"/>
          <w:szCs w:val="24"/>
        </w:rPr>
        <w:t xml:space="preserve"> kapitoly </w:t>
      </w:r>
    </w:p>
    <w:p w:rsidR="00B4123B" w:rsidRPr="00B4123B" w:rsidP="002F4087">
      <w:pPr>
        <w:pStyle w:val="BodyText2"/>
        <w:spacing w:line="240" w:lineRule="auto"/>
        <w:ind w:left="-284" w:firstLine="993"/>
        <w:rPr>
          <w:rFonts w:ascii="Times New Roman" w:hAnsi="Times New Roman" w:cs="Times New Roman"/>
          <w:sz w:val="24"/>
          <w:szCs w:val="24"/>
        </w:rPr>
      </w:pPr>
      <w:r w:rsidR="002F4087">
        <w:rPr>
          <w:rFonts w:ascii="Times New Roman" w:hAnsi="Times New Roman" w:cs="Times New Roman"/>
          <w:sz w:val="24"/>
          <w:szCs w:val="24"/>
        </w:rPr>
        <w:t xml:space="preserve">                       štátneho rozpočtu </w:t>
      </w:r>
      <w:r w:rsidRPr="00B4123B">
        <w:rPr>
          <w:rFonts w:ascii="Times New Roman" w:hAnsi="Times New Roman" w:cs="Times New Roman"/>
          <w:sz w:val="24"/>
          <w:szCs w:val="24"/>
        </w:rPr>
        <w:t>podľa ekonomicke</w:t>
      </w:r>
      <w:r w:rsidR="001B63D5">
        <w:rPr>
          <w:rFonts w:ascii="Times New Roman" w:hAnsi="Times New Roman" w:cs="Times New Roman"/>
          <w:sz w:val="24"/>
          <w:szCs w:val="24"/>
        </w:rPr>
        <w:t>j klasifikácie za rok 2007</w:t>
      </w:r>
    </w:p>
    <w:p w:rsidR="002F4087" w:rsidP="00E85BE9">
      <w:pPr>
        <w:pStyle w:val="BodyText2"/>
        <w:spacing w:line="240" w:lineRule="auto"/>
        <w:ind w:left="-284" w:firstLine="993"/>
        <w:rPr>
          <w:rFonts w:ascii="Times New Roman" w:hAnsi="Times New Roman" w:cs="Times New Roman"/>
          <w:sz w:val="24"/>
          <w:szCs w:val="24"/>
        </w:rPr>
      </w:pPr>
      <w:r w:rsidRPr="00B4123B" w:rsidR="00B4123B">
        <w:rPr>
          <w:rFonts w:ascii="Times New Roman" w:hAnsi="Times New Roman" w:cs="Times New Roman"/>
          <w:sz w:val="24"/>
          <w:szCs w:val="24"/>
        </w:rPr>
        <w:t xml:space="preserve">Tabuľka č. 6: Výdavky príspevkových organizácií </w:t>
      </w:r>
      <w:r>
        <w:rPr>
          <w:rFonts w:ascii="Times New Roman" w:hAnsi="Times New Roman" w:cs="Times New Roman"/>
          <w:sz w:val="24"/>
          <w:szCs w:val="24"/>
        </w:rPr>
        <w:t xml:space="preserve">kapitoly štátneho rozpočtu </w:t>
      </w:r>
      <w:r w:rsidRPr="00B4123B" w:rsidR="00B4123B">
        <w:rPr>
          <w:rFonts w:ascii="Times New Roman" w:hAnsi="Times New Roman" w:cs="Times New Roman"/>
          <w:sz w:val="24"/>
          <w:szCs w:val="24"/>
        </w:rPr>
        <w:t xml:space="preserve">podľa </w:t>
      </w:r>
    </w:p>
    <w:p w:rsidR="00B4123B" w:rsidRPr="00B4123B" w:rsidP="002F4087">
      <w:pPr>
        <w:pStyle w:val="BodyText2"/>
        <w:spacing w:line="240" w:lineRule="auto"/>
        <w:ind w:left="-284" w:firstLine="993"/>
        <w:rPr>
          <w:rFonts w:ascii="Times New Roman" w:hAnsi="Times New Roman" w:cs="Times New Roman"/>
          <w:sz w:val="24"/>
          <w:szCs w:val="24"/>
        </w:rPr>
      </w:pPr>
      <w:r w:rsidR="002F4087">
        <w:rPr>
          <w:rFonts w:ascii="Times New Roman" w:hAnsi="Times New Roman" w:cs="Times New Roman"/>
          <w:sz w:val="24"/>
          <w:szCs w:val="24"/>
        </w:rPr>
        <w:t xml:space="preserve">                       </w:t>
      </w:r>
      <w:r w:rsidRPr="00B4123B">
        <w:rPr>
          <w:rFonts w:ascii="Times New Roman" w:hAnsi="Times New Roman" w:cs="Times New Roman"/>
          <w:sz w:val="24"/>
          <w:szCs w:val="24"/>
        </w:rPr>
        <w:t>ekonomickej a</w:t>
      </w:r>
      <w:r w:rsidR="002F4087">
        <w:rPr>
          <w:rFonts w:ascii="Times New Roman" w:hAnsi="Times New Roman" w:cs="Times New Roman"/>
          <w:sz w:val="24"/>
          <w:szCs w:val="24"/>
        </w:rPr>
        <w:t xml:space="preserve"> </w:t>
      </w:r>
      <w:r w:rsidRPr="00B4123B">
        <w:rPr>
          <w:rFonts w:ascii="Times New Roman" w:hAnsi="Times New Roman" w:cs="Times New Roman"/>
          <w:sz w:val="24"/>
          <w:szCs w:val="24"/>
        </w:rPr>
        <w:t>f</w:t>
      </w:r>
      <w:r w:rsidR="001B63D5">
        <w:rPr>
          <w:rFonts w:ascii="Times New Roman" w:hAnsi="Times New Roman" w:cs="Times New Roman"/>
          <w:sz w:val="24"/>
          <w:szCs w:val="24"/>
        </w:rPr>
        <w:t>unkčnej klasifikácie za rok 2007</w:t>
      </w:r>
    </w:p>
    <w:p w:rsidR="00E85BE9" w:rsidP="00E85BE9">
      <w:pPr>
        <w:pStyle w:val="BodyText2"/>
        <w:spacing w:line="240" w:lineRule="auto"/>
        <w:ind w:left="-284" w:firstLine="993"/>
        <w:rPr>
          <w:rFonts w:ascii="Times New Roman" w:hAnsi="Times New Roman" w:cs="Times New Roman"/>
          <w:sz w:val="24"/>
          <w:szCs w:val="24"/>
        </w:rPr>
      </w:pPr>
      <w:r>
        <w:rPr>
          <w:rFonts w:ascii="Times New Roman" w:hAnsi="Times New Roman" w:cs="Times New Roman"/>
          <w:sz w:val="24"/>
          <w:szCs w:val="24"/>
        </w:rPr>
        <w:t>Tabuľka č. 7: Agregovaná s</w:t>
      </w:r>
      <w:r w:rsidRPr="00B4123B" w:rsidR="00B4123B">
        <w:rPr>
          <w:rFonts w:ascii="Times New Roman" w:hAnsi="Times New Roman" w:cs="Times New Roman"/>
          <w:sz w:val="24"/>
          <w:szCs w:val="24"/>
        </w:rPr>
        <w:t>úvaha rozp</w:t>
      </w:r>
      <w:r w:rsidR="001B63D5">
        <w:rPr>
          <w:rFonts w:ascii="Times New Roman" w:hAnsi="Times New Roman" w:cs="Times New Roman"/>
          <w:sz w:val="24"/>
          <w:szCs w:val="24"/>
        </w:rPr>
        <w:t xml:space="preserve">očtových organizácií </w:t>
      </w:r>
      <w:r>
        <w:rPr>
          <w:rFonts w:ascii="Times New Roman" w:hAnsi="Times New Roman" w:cs="Times New Roman"/>
          <w:sz w:val="24"/>
          <w:szCs w:val="24"/>
        </w:rPr>
        <w:t xml:space="preserve">kapitoly štátneho rozpočtu </w:t>
      </w:r>
    </w:p>
    <w:p w:rsidR="00B4123B" w:rsidRPr="00B4123B" w:rsidP="00E85BE9">
      <w:pPr>
        <w:pStyle w:val="BodyText2"/>
        <w:spacing w:line="240" w:lineRule="auto"/>
        <w:ind w:left="-284" w:firstLine="993"/>
        <w:rPr>
          <w:rFonts w:ascii="Times New Roman" w:hAnsi="Times New Roman" w:cs="Times New Roman"/>
          <w:sz w:val="24"/>
          <w:szCs w:val="24"/>
        </w:rPr>
      </w:pPr>
      <w:r w:rsidR="00E85BE9">
        <w:rPr>
          <w:rFonts w:ascii="Times New Roman" w:hAnsi="Times New Roman" w:cs="Times New Roman"/>
          <w:sz w:val="24"/>
          <w:szCs w:val="24"/>
        </w:rPr>
        <w:t xml:space="preserve">                       za rok </w:t>
      </w:r>
      <w:r w:rsidR="001B63D5">
        <w:rPr>
          <w:rFonts w:ascii="Times New Roman" w:hAnsi="Times New Roman" w:cs="Times New Roman"/>
          <w:sz w:val="24"/>
          <w:szCs w:val="24"/>
        </w:rPr>
        <w:t>2007</w:t>
      </w:r>
    </w:p>
    <w:p w:rsidR="00B4123B" w:rsidRPr="00B4123B" w:rsidP="00E85BE9">
      <w:pPr>
        <w:pStyle w:val="BodyText2"/>
        <w:spacing w:line="240" w:lineRule="auto"/>
        <w:ind w:left="-284"/>
        <w:rPr>
          <w:rFonts w:ascii="Times New Roman" w:hAnsi="Times New Roman" w:cs="Times New Roman"/>
          <w:sz w:val="24"/>
          <w:szCs w:val="24"/>
        </w:rPr>
      </w:pPr>
    </w:p>
    <w:p w:rsidR="00B4123B" w:rsidP="00B4123B">
      <w:pPr>
        <w:rPr>
          <w:rFonts w:ascii="Times New Roman" w:hAnsi="Times New Roman" w:cs="Times New Roman"/>
        </w:rPr>
      </w:pPr>
    </w:p>
    <w:p w:rsidR="00E1354B" w:rsidP="00C362EA">
      <w:pPr>
        <w:pStyle w:val="BodyTextIndent3"/>
        <w:spacing w:line="240" w:lineRule="auto"/>
        <w:ind w:firstLine="0"/>
        <w:rPr>
          <w:rFonts w:ascii="Times New Roman" w:hAnsi="Times New Roman" w:cs="Times New Roman"/>
        </w:rPr>
      </w:pPr>
    </w:p>
    <w:p w:rsidR="00E1354B" w:rsidP="00C362EA">
      <w:pPr>
        <w:pStyle w:val="BodyTextIndent3"/>
        <w:spacing w:line="240" w:lineRule="auto"/>
        <w:ind w:firstLine="0"/>
        <w:rPr>
          <w:rFonts w:ascii="Times New Roman" w:hAnsi="Times New Roman" w:cs="Times New Roman"/>
        </w:rPr>
      </w:pPr>
    </w:p>
    <w:p w:rsidR="00A85AEC" w:rsidP="00C362EA">
      <w:pPr>
        <w:pStyle w:val="BodyTextIndent3"/>
        <w:spacing w:line="240" w:lineRule="auto"/>
        <w:ind w:firstLine="0"/>
        <w:rPr>
          <w:rFonts w:ascii="Times New Roman" w:hAnsi="Times New Roman" w:cs="Times New Roman"/>
        </w:rPr>
      </w:pPr>
    </w:p>
    <w:p w:rsidR="00A85AEC" w:rsidP="00C362EA">
      <w:pPr>
        <w:pStyle w:val="BodyTextIndent3"/>
        <w:spacing w:line="240" w:lineRule="auto"/>
        <w:ind w:firstLine="0"/>
        <w:rPr>
          <w:rFonts w:ascii="Times New Roman" w:hAnsi="Times New Roman" w:cs="Times New Roman"/>
        </w:rPr>
      </w:pPr>
    </w:p>
    <w:p w:rsidR="00A85AEC" w:rsidP="00C362EA">
      <w:pPr>
        <w:pStyle w:val="BodyTextIndent3"/>
        <w:spacing w:line="240" w:lineRule="auto"/>
        <w:ind w:firstLine="0"/>
        <w:rPr>
          <w:rFonts w:ascii="Times New Roman" w:hAnsi="Times New Roman" w:cs="Times New Roman"/>
        </w:rPr>
      </w:pPr>
    </w:p>
    <w:p w:rsidR="00A85AEC" w:rsidP="00C362EA">
      <w:pPr>
        <w:pStyle w:val="BodyTextIndent3"/>
        <w:spacing w:line="240" w:lineRule="auto"/>
        <w:ind w:firstLine="0"/>
        <w:rPr>
          <w:rFonts w:ascii="Times New Roman" w:hAnsi="Times New Roman" w:cs="Times New Roman"/>
        </w:rPr>
      </w:pPr>
    </w:p>
    <w:p w:rsidR="00A85AEC" w:rsidP="00C362EA">
      <w:pPr>
        <w:pStyle w:val="BodyTextIndent3"/>
        <w:spacing w:line="240" w:lineRule="auto"/>
        <w:ind w:firstLine="0"/>
        <w:rPr>
          <w:rFonts w:ascii="Times New Roman" w:hAnsi="Times New Roman" w:cs="Times New Roman"/>
        </w:rPr>
      </w:pPr>
    </w:p>
    <w:p w:rsidR="00A85AEC" w:rsidP="00C362EA">
      <w:pPr>
        <w:pStyle w:val="BodyTextIndent3"/>
        <w:spacing w:line="240" w:lineRule="auto"/>
        <w:ind w:firstLine="0"/>
        <w:rPr>
          <w:rFonts w:ascii="Times New Roman" w:hAnsi="Times New Roman" w:cs="Times New Roman"/>
        </w:rPr>
      </w:pPr>
    </w:p>
    <w:p w:rsidR="00A85AEC" w:rsidP="00C362EA">
      <w:pPr>
        <w:pStyle w:val="BodyTextIndent3"/>
        <w:spacing w:line="240" w:lineRule="auto"/>
        <w:ind w:firstLine="0"/>
        <w:rPr>
          <w:rFonts w:ascii="Times New Roman" w:hAnsi="Times New Roman" w:cs="Times New Roman"/>
        </w:rPr>
      </w:pPr>
    </w:p>
    <w:p w:rsidR="00A85AEC" w:rsidP="00C362EA">
      <w:pPr>
        <w:pStyle w:val="BodyTextIndent3"/>
        <w:spacing w:line="240" w:lineRule="auto"/>
        <w:ind w:firstLine="0"/>
        <w:rPr>
          <w:rFonts w:ascii="Times New Roman" w:hAnsi="Times New Roman" w:cs="Times New Roman"/>
        </w:rPr>
      </w:pPr>
    </w:p>
    <w:p w:rsidR="00A85AEC" w:rsidP="00C362EA">
      <w:pPr>
        <w:pStyle w:val="BodyTextIndent3"/>
        <w:spacing w:line="240" w:lineRule="auto"/>
        <w:ind w:firstLine="0"/>
        <w:rPr>
          <w:rFonts w:ascii="Times New Roman" w:hAnsi="Times New Roman" w:cs="Times New Roman"/>
        </w:rPr>
      </w:pPr>
    </w:p>
    <w:p w:rsidR="00B81BFB" w:rsidP="00C362EA">
      <w:pPr>
        <w:pStyle w:val="BodyTextIndent3"/>
        <w:spacing w:line="240" w:lineRule="auto"/>
        <w:ind w:firstLine="0"/>
        <w:rPr>
          <w:rFonts w:ascii="Times New Roman" w:hAnsi="Times New Roman" w:cs="Times New Roman"/>
        </w:rPr>
      </w:pPr>
    </w:p>
    <w:p w:rsidR="00B81BFB" w:rsidRPr="00D23807" w:rsidP="00C362EA">
      <w:pPr>
        <w:pStyle w:val="BodyTextIndent3"/>
        <w:spacing w:line="240" w:lineRule="auto"/>
        <w:ind w:firstLine="0"/>
        <w:rPr>
          <w:rFonts w:ascii="Times New Roman" w:hAnsi="Times New Roman" w:cs="Times New Roman"/>
        </w:rPr>
      </w:pPr>
    </w:p>
    <w:p w:rsidR="00D27E26" w:rsidRPr="00D23807" w:rsidP="00C362EA">
      <w:pPr>
        <w:pStyle w:val="BodyTextIndent3"/>
        <w:spacing w:line="240" w:lineRule="auto"/>
        <w:ind w:firstLine="0"/>
        <w:rPr>
          <w:rFonts w:ascii="Times New Roman" w:hAnsi="Times New Roman" w:cs="Times New Roman"/>
        </w:rPr>
      </w:pPr>
    </w:p>
    <w:p w:rsidR="00D27E26" w:rsidRPr="00D23807" w:rsidP="00C362EA">
      <w:pPr>
        <w:pStyle w:val="BodyTextIndent3"/>
        <w:spacing w:line="240" w:lineRule="auto"/>
        <w:ind w:firstLine="0"/>
        <w:rPr>
          <w:rFonts w:ascii="Times New Roman" w:hAnsi="Times New Roman" w:cs="Times New Roman"/>
        </w:rPr>
      </w:pPr>
    </w:p>
    <w:p w:rsidR="00D27E26" w:rsidRPr="00D23807" w:rsidP="00C362EA">
      <w:pPr>
        <w:pStyle w:val="BodyTextIndent3"/>
        <w:spacing w:line="240" w:lineRule="auto"/>
        <w:ind w:firstLine="0"/>
        <w:rPr>
          <w:rFonts w:ascii="Times New Roman" w:hAnsi="Times New Roman" w:cs="Times New Roman"/>
        </w:rPr>
      </w:pPr>
    </w:p>
    <w:p w:rsidR="00D27E26" w:rsidRPr="00D23807" w:rsidP="00C362EA">
      <w:pPr>
        <w:pStyle w:val="BodyTextIndent3"/>
        <w:spacing w:line="240" w:lineRule="auto"/>
        <w:ind w:firstLine="0"/>
        <w:rPr>
          <w:rFonts w:ascii="Times New Roman" w:hAnsi="Times New Roman" w:cs="Times New Roman"/>
        </w:rPr>
      </w:pPr>
    </w:p>
    <w:p w:rsidR="00D27E26" w:rsidRPr="00D23807" w:rsidP="00C362EA">
      <w:pPr>
        <w:pStyle w:val="BodyTextIndent3"/>
        <w:spacing w:line="240" w:lineRule="auto"/>
        <w:ind w:firstLine="0"/>
        <w:rPr>
          <w:rFonts w:ascii="Times New Roman" w:hAnsi="Times New Roman" w:cs="Times New Roman"/>
        </w:rPr>
      </w:pPr>
    </w:p>
    <w:p w:rsidR="00D27E26" w:rsidRPr="00D23807" w:rsidP="00C362EA">
      <w:pPr>
        <w:pStyle w:val="BodyTextIndent3"/>
        <w:spacing w:line="240" w:lineRule="auto"/>
        <w:ind w:firstLine="0"/>
        <w:rPr>
          <w:rFonts w:ascii="Times New Roman" w:hAnsi="Times New Roman" w:cs="Times New Roman"/>
        </w:rPr>
      </w:pPr>
    </w:p>
    <w:p w:rsidR="00D27E26" w:rsidRPr="00D23807" w:rsidP="00C362EA">
      <w:pPr>
        <w:pStyle w:val="BodyTextIndent3"/>
        <w:spacing w:line="240" w:lineRule="auto"/>
        <w:ind w:firstLine="0"/>
        <w:rPr>
          <w:rFonts w:ascii="Times New Roman" w:hAnsi="Times New Roman" w:cs="Times New Roman"/>
        </w:rPr>
      </w:pPr>
    </w:p>
    <w:p w:rsidR="00D27E26" w:rsidP="00C362EA">
      <w:pPr>
        <w:pStyle w:val="BodyTextIndent3"/>
        <w:spacing w:line="240" w:lineRule="auto"/>
        <w:ind w:firstLine="0"/>
        <w:rPr>
          <w:rFonts w:ascii="Times New Roman" w:hAnsi="Times New Roman" w:cs="Times New Roman"/>
        </w:rPr>
      </w:pPr>
    </w:p>
    <w:p w:rsidR="00341B0F" w:rsidP="00C362EA">
      <w:pPr>
        <w:pStyle w:val="BodyTextIndent3"/>
        <w:spacing w:line="240" w:lineRule="auto"/>
        <w:ind w:firstLine="0"/>
        <w:rPr>
          <w:rFonts w:ascii="Times New Roman" w:hAnsi="Times New Roman" w:cs="Times New Roman"/>
        </w:rPr>
      </w:pPr>
    </w:p>
    <w:p w:rsidR="00341B0F" w:rsidP="00C362EA">
      <w:pPr>
        <w:pStyle w:val="BodyTextIndent3"/>
        <w:spacing w:line="240" w:lineRule="auto"/>
        <w:ind w:firstLine="0"/>
        <w:rPr>
          <w:rFonts w:ascii="Times New Roman" w:hAnsi="Times New Roman" w:cs="Times New Roman"/>
        </w:rPr>
      </w:pPr>
    </w:p>
    <w:p w:rsidR="00341B0F" w:rsidP="00C362EA">
      <w:pPr>
        <w:pStyle w:val="BodyTextIndent3"/>
        <w:spacing w:line="240" w:lineRule="auto"/>
        <w:ind w:firstLine="0"/>
        <w:rPr>
          <w:rFonts w:ascii="Times New Roman" w:hAnsi="Times New Roman" w:cs="Times New Roman"/>
        </w:rPr>
      </w:pPr>
    </w:p>
    <w:p w:rsidR="00341B0F" w:rsidP="00C362EA">
      <w:pPr>
        <w:pStyle w:val="BodyTextIndent3"/>
        <w:spacing w:line="240" w:lineRule="auto"/>
        <w:ind w:firstLine="0"/>
        <w:rPr>
          <w:rFonts w:ascii="Times New Roman" w:hAnsi="Times New Roman" w:cs="Times New Roman"/>
        </w:rPr>
      </w:pPr>
    </w:p>
    <w:p w:rsidR="00341B0F" w:rsidRPr="00D23807" w:rsidP="00C362EA">
      <w:pPr>
        <w:pStyle w:val="BodyTextIndent3"/>
        <w:spacing w:line="240" w:lineRule="auto"/>
        <w:ind w:firstLine="0"/>
        <w:rPr>
          <w:rFonts w:ascii="Times New Roman" w:hAnsi="Times New Roman" w:cs="Times New Roman"/>
        </w:rPr>
      </w:pPr>
    </w:p>
    <w:p w:rsidR="00D27E26" w:rsidP="00C362EA">
      <w:pPr>
        <w:pStyle w:val="BodyTextIndent3"/>
        <w:spacing w:line="240" w:lineRule="auto"/>
        <w:ind w:firstLine="0"/>
        <w:rPr>
          <w:rFonts w:ascii="Times New Roman" w:hAnsi="Times New Roman" w:cs="Times New Roman"/>
        </w:rPr>
      </w:pPr>
    </w:p>
    <w:p w:rsidR="008A6631" w:rsidP="00C362EA">
      <w:pPr>
        <w:pStyle w:val="BodyTextIndent3"/>
        <w:spacing w:line="240" w:lineRule="auto"/>
        <w:ind w:firstLine="0"/>
        <w:rPr>
          <w:rFonts w:ascii="Times New Roman" w:hAnsi="Times New Roman" w:cs="Times New Roman"/>
        </w:rPr>
      </w:pPr>
    </w:p>
    <w:p w:rsidR="008A6631" w:rsidRPr="00D23807" w:rsidP="00C362EA">
      <w:pPr>
        <w:pStyle w:val="BodyTextIndent3"/>
        <w:spacing w:line="240" w:lineRule="auto"/>
        <w:ind w:firstLine="0"/>
        <w:rPr>
          <w:rFonts w:ascii="Times New Roman" w:hAnsi="Times New Roman" w:cs="Times New Roman"/>
        </w:rPr>
      </w:pPr>
    </w:p>
    <w:p w:rsidR="00D27E26" w:rsidP="00C362EA">
      <w:pPr>
        <w:pStyle w:val="BodyTextIndent3"/>
        <w:spacing w:line="240" w:lineRule="auto"/>
        <w:ind w:firstLine="0"/>
        <w:rPr>
          <w:rFonts w:ascii="Times New Roman" w:hAnsi="Times New Roman" w:cs="Times New Roman"/>
        </w:rPr>
      </w:pPr>
    </w:p>
    <w:p w:rsidR="004573C1" w:rsidRPr="00D23807" w:rsidP="00C362EA">
      <w:pPr>
        <w:pStyle w:val="BodyTextIndent3"/>
        <w:spacing w:line="240" w:lineRule="auto"/>
        <w:ind w:firstLine="0"/>
        <w:rPr>
          <w:rFonts w:ascii="Times New Roman" w:hAnsi="Times New Roman" w:cs="Times New Roman"/>
        </w:rPr>
      </w:pPr>
    </w:p>
    <w:p w:rsidR="00D27E26" w:rsidRPr="005F773C" w:rsidP="00C362EA">
      <w:pPr>
        <w:pStyle w:val="BodyTextIndent3"/>
        <w:spacing w:line="240" w:lineRule="auto"/>
        <w:ind w:firstLine="0"/>
        <w:jc w:val="center"/>
        <w:rPr>
          <w:rFonts w:ascii="Times New Roman" w:hAnsi="Times New Roman" w:cs="Times New Roman"/>
          <w:b/>
          <w:sz w:val="40"/>
          <w:szCs w:val="40"/>
        </w:rPr>
      </w:pPr>
      <w:r w:rsidRPr="005F773C" w:rsidR="005F773C">
        <w:rPr>
          <w:rFonts w:ascii="Times New Roman" w:hAnsi="Times New Roman" w:cs="Times New Roman"/>
          <w:b/>
          <w:sz w:val="40"/>
          <w:szCs w:val="40"/>
        </w:rPr>
        <w:t xml:space="preserve">3. </w:t>
      </w:r>
      <w:r w:rsidRPr="005F773C" w:rsidR="008A6631">
        <w:rPr>
          <w:rFonts w:ascii="Times New Roman" w:hAnsi="Times New Roman" w:cs="Times New Roman"/>
          <w:b/>
          <w:sz w:val="40"/>
          <w:szCs w:val="40"/>
        </w:rPr>
        <w:t>PRÍLOHY</w:t>
      </w:r>
    </w:p>
    <w:p w:rsidR="008A6631" w:rsidP="00C362EA">
      <w:pPr>
        <w:pStyle w:val="BodyTextIndent3"/>
        <w:spacing w:line="240" w:lineRule="auto"/>
        <w:ind w:firstLine="0"/>
        <w:jc w:val="center"/>
        <w:rPr>
          <w:rFonts w:ascii="Times New Roman" w:hAnsi="Times New Roman" w:cs="Times New Roman"/>
        </w:rPr>
      </w:pPr>
    </w:p>
    <w:p w:rsidR="008A6631" w:rsidP="00C362EA">
      <w:pPr>
        <w:pStyle w:val="BodyTextIndent3"/>
        <w:spacing w:line="240" w:lineRule="auto"/>
        <w:ind w:firstLine="0"/>
        <w:jc w:val="left"/>
        <w:rPr>
          <w:rFonts w:ascii="Times New Roman" w:hAnsi="Times New Roman" w:cs="Times New Roman"/>
          <w:sz w:val="28"/>
          <w:szCs w:val="28"/>
        </w:rPr>
      </w:pPr>
    </w:p>
    <w:p w:rsidR="008A6631" w:rsidP="00C362EA">
      <w:pPr>
        <w:pStyle w:val="BodyTextIndent3"/>
        <w:spacing w:line="240" w:lineRule="auto"/>
        <w:ind w:firstLine="0"/>
        <w:jc w:val="left"/>
        <w:rPr>
          <w:rFonts w:ascii="Times New Roman" w:hAnsi="Times New Roman" w:cs="Times New Roman"/>
          <w:sz w:val="28"/>
          <w:szCs w:val="28"/>
        </w:rPr>
      </w:pPr>
    </w:p>
    <w:p w:rsidR="008A6631" w:rsidRPr="008A6631" w:rsidP="00C362EA">
      <w:pPr>
        <w:pStyle w:val="BodyTextIndent3"/>
        <w:spacing w:line="240" w:lineRule="auto"/>
        <w:ind w:firstLine="0"/>
        <w:jc w:val="left"/>
        <w:rPr>
          <w:rFonts w:ascii="Times New Roman" w:hAnsi="Times New Roman" w:cs="Times New Roman"/>
          <w:szCs w:val="26"/>
        </w:rPr>
      </w:pPr>
      <w:r w:rsidRPr="008A6631">
        <w:rPr>
          <w:rFonts w:ascii="Times New Roman" w:hAnsi="Times New Roman" w:cs="Times New Roman"/>
          <w:szCs w:val="26"/>
        </w:rPr>
        <w:t>Príloha č. 1 – Prehľad organizácií v</w:t>
      </w:r>
      <w:r w:rsidR="00846FF0">
        <w:rPr>
          <w:rFonts w:ascii="Times New Roman" w:hAnsi="Times New Roman" w:cs="Times New Roman"/>
          <w:szCs w:val="26"/>
        </w:rPr>
        <w:t> pôsobnosti MDPT SR k 31.12.2007</w:t>
      </w:r>
    </w:p>
    <w:p w:rsidR="00846FF0" w:rsidRPr="008A6631" w:rsidP="00846FF0">
      <w:pPr>
        <w:pStyle w:val="BodyTextIndent3"/>
        <w:spacing w:line="240" w:lineRule="auto"/>
        <w:ind w:firstLine="0"/>
        <w:jc w:val="left"/>
        <w:rPr>
          <w:rFonts w:ascii="Times New Roman" w:hAnsi="Times New Roman" w:cs="Times New Roman"/>
          <w:szCs w:val="26"/>
        </w:rPr>
      </w:pPr>
      <w:r>
        <w:rPr>
          <w:rFonts w:ascii="Times New Roman" w:hAnsi="Times New Roman" w:cs="Times New Roman"/>
          <w:szCs w:val="26"/>
        </w:rPr>
        <w:t>Príloha č. 2</w:t>
      </w:r>
      <w:r w:rsidRPr="008A6631">
        <w:rPr>
          <w:rFonts w:ascii="Times New Roman" w:hAnsi="Times New Roman" w:cs="Times New Roman"/>
          <w:szCs w:val="26"/>
        </w:rPr>
        <w:t xml:space="preserve"> – Schválený rozp</w:t>
      </w:r>
      <w:r>
        <w:rPr>
          <w:rFonts w:ascii="Times New Roman" w:hAnsi="Times New Roman" w:cs="Times New Roman"/>
          <w:szCs w:val="26"/>
        </w:rPr>
        <w:t>očet príjmov kapitoly MDPT SR k 1.1.2007</w:t>
      </w:r>
    </w:p>
    <w:p w:rsidR="00846FF0" w:rsidRPr="008A6631" w:rsidP="00846FF0">
      <w:pPr>
        <w:pStyle w:val="BodyTextIndent3"/>
        <w:spacing w:line="240" w:lineRule="auto"/>
        <w:ind w:firstLine="0"/>
        <w:jc w:val="left"/>
        <w:rPr>
          <w:rFonts w:ascii="Times New Roman" w:hAnsi="Times New Roman" w:cs="Times New Roman"/>
          <w:szCs w:val="26"/>
        </w:rPr>
      </w:pPr>
      <w:r>
        <w:rPr>
          <w:rFonts w:ascii="Times New Roman" w:hAnsi="Times New Roman" w:cs="Times New Roman"/>
          <w:szCs w:val="26"/>
        </w:rPr>
        <w:t>Príloha č. 3</w:t>
      </w:r>
      <w:r w:rsidRPr="008A6631">
        <w:rPr>
          <w:rFonts w:ascii="Times New Roman" w:hAnsi="Times New Roman" w:cs="Times New Roman"/>
          <w:szCs w:val="26"/>
        </w:rPr>
        <w:t xml:space="preserve"> – Upravený rozpoč</w:t>
      </w:r>
      <w:r>
        <w:rPr>
          <w:rFonts w:ascii="Times New Roman" w:hAnsi="Times New Roman" w:cs="Times New Roman"/>
          <w:szCs w:val="26"/>
        </w:rPr>
        <w:t>et príjmov kapitoly MDPT SR k 31.12.2007</w:t>
      </w:r>
    </w:p>
    <w:p w:rsidR="00846FF0" w:rsidRPr="008A6631" w:rsidP="00846FF0">
      <w:pPr>
        <w:pStyle w:val="BodyTextIndent3"/>
        <w:spacing w:line="240" w:lineRule="auto"/>
        <w:ind w:firstLine="0"/>
        <w:jc w:val="left"/>
        <w:rPr>
          <w:rFonts w:ascii="Times New Roman" w:hAnsi="Times New Roman" w:cs="Times New Roman"/>
          <w:szCs w:val="26"/>
        </w:rPr>
      </w:pPr>
      <w:r>
        <w:rPr>
          <w:rFonts w:ascii="Times New Roman" w:hAnsi="Times New Roman" w:cs="Times New Roman"/>
          <w:szCs w:val="26"/>
        </w:rPr>
        <w:t>Príloha č. 4 – Skutočne dosiahnuté príjmy rozpočtu kapitoly MDPT SR k 31.12.2007</w:t>
      </w:r>
    </w:p>
    <w:p w:rsidR="008A6631" w:rsidRPr="008A6631" w:rsidP="00C362EA">
      <w:pPr>
        <w:pStyle w:val="BodyTextIndent3"/>
        <w:spacing w:line="240" w:lineRule="auto"/>
        <w:ind w:firstLine="0"/>
        <w:jc w:val="left"/>
        <w:rPr>
          <w:rFonts w:ascii="Times New Roman" w:hAnsi="Times New Roman" w:cs="Times New Roman"/>
          <w:szCs w:val="26"/>
        </w:rPr>
      </w:pPr>
      <w:r w:rsidR="00846FF0">
        <w:rPr>
          <w:rFonts w:ascii="Times New Roman" w:hAnsi="Times New Roman" w:cs="Times New Roman"/>
          <w:szCs w:val="26"/>
        </w:rPr>
        <w:t>Príloha č. 5</w:t>
      </w:r>
      <w:r w:rsidRPr="008A6631">
        <w:rPr>
          <w:rFonts w:ascii="Times New Roman" w:hAnsi="Times New Roman" w:cs="Times New Roman"/>
          <w:szCs w:val="26"/>
        </w:rPr>
        <w:t xml:space="preserve"> – Schválený rozp</w:t>
      </w:r>
      <w:r w:rsidR="00BD1734">
        <w:rPr>
          <w:rFonts w:ascii="Times New Roman" w:hAnsi="Times New Roman" w:cs="Times New Roman"/>
          <w:szCs w:val="26"/>
        </w:rPr>
        <w:t xml:space="preserve">očet </w:t>
      </w:r>
      <w:r w:rsidR="00407436">
        <w:rPr>
          <w:rFonts w:ascii="Times New Roman" w:hAnsi="Times New Roman" w:cs="Times New Roman"/>
          <w:szCs w:val="26"/>
        </w:rPr>
        <w:t xml:space="preserve">výdavkov </w:t>
      </w:r>
      <w:r w:rsidR="00846FF0">
        <w:rPr>
          <w:rFonts w:ascii="Times New Roman" w:hAnsi="Times New Roman" w:cs="Times New Roman"/>
          <w:szCs w:val="26"/>
        </w:rPr>
        <w:t>kapitoly MDPT SR k 1.1.2007</w:t>
      </w:r>
    </w:p>
    <w:p w:rsidR="008A6631" w:rsidRPr="008A6631" w:rsidP="00C362EA">
      <w:pPr>
        <w:pStyle w:val="BodyTextIndent3"/>
        <w:spacing w:line="240" w:lineRule="auto"/>
        <w:ind w:firstLine="0"/>
        <w:jc w:val="left"/>
        <w:rPr>
          <w:rFonts w:ascii="Times New Roman" w:hAnsi="Times New Roman" w:cs="Times New Roman"/>
          <w:szCs w:val="26"/>
        </w:rPr>
      </w:pPr>
      <w:r w:rsidR="00407436">
        <w:rPr>
          <w:rFonts w:ascii="Times New Roman" w:hAnsi="Times New Roman" w:cs="Times New Roman"/>
          <w:szCs w:val="26"/>
        </w:rPr>
        <w:t>P</w:t>
      </w:r>
      <w:r w:rsidR="00846FF0">
        <w:rPr>
          <w:rFonts w:ascii="Times New Roman" w:hAnsi="Times New Roman" w:cs="Times New Roman"/>
          <w:szCs w:val="26"/>
        </w:rPr>
        <w:t>ríloha č. 6</w:t>
      </w:r>
      <w:r w:rsidRPr="008A6631">
        <w:rPr>
          <w:rFonts w:ascii="Times New Roman" w:hAnsi="Times New Roman" w:cs="Times New Roman"/>
          <w:szCs w:val="26"/>
        </w:rPr>
        <w:t xml:space="preserve"> – Upravený rozpoč</w:t>
      </w:r>
      <w:r w:rsidR="00BD1734">
        <w:rPr>
          <w:rFonts w:ascii="Times New Roman" w:hAnsi="Times New Roman" w:cs="Times New Roman"/>
          <w:szCs w:val="26"/>
        </w:rPr>
        <w:t xml:space="preserve">et </w:t>
      </w:r>
      <w:r w:rsidR="00407436">
        <w:rPr>
          <w:rFonts w:ascii="Times New Roman" w:hAnsi="Times New Roman" w:cs="Times New Roman"/>
          <w:szCs w:val="26"/>
        </w:rPr>
        <w:t xml:space="preserve">výdavkov </w:t>
      </w:r>
      <w:r w:rsidR="00BD1734">
        <w:rPr>
          <w:rFonts w:ascii="Times New Roman" w:hAnsi="Times New Roman" w:cs="Times New Roman"/>
          <w:szCs w:val="26"/>
        </w:rPr>
        <w:t>kapitoly MDP</w:t>
      </w:r>
      <w:r w:rsidR="00846FF0">
        <w:rPr>
          <w:rFonts w:ascii="Times New Roman" w:hAnsi="Times New Roman" w:cs="Times New Roman"/>
          <w:szCs w:val="26"/>
        </w:rPr>
        <w:t>T SR k 31.12.2007</w:t>
      </w:r>
    </w:p>
    <w:p w:rsidR="00DA3153" w:rsidRPr="008A6631" w:rsidP="00DA3153">
      <w:pPr>
        <w:pStyle w:val="BodyTextIndent3"/>
        <w:spacing w:line="240" w:lineRule="auto"/>
        <w:ind w:firstLine="0"/>
        <w:jc w:val="left"/>
        <w:rPr>
          <w:rFonts w:ascii="Times New Roman" w:hAnsi="Times New Roman" w:cs="Times New Roman"/>
          <w:szCs w:val="26"/>
        </w:rPr>
      </w:pPr>
      <w:r w:rsidR="00846FF0">
        <w:rPr>
          <w:rFonts w:ascii="Times New Roman" w:hAnsi="Times New Roman" w:cs="Times New Roman"/>
          <w:szCs w:val="26"/>
        </w:rPr>
        <w:t>Príloha č. 7</w:t>
      </w:r>
      <w:r>
        <w:rPr>
          <w:rFonts w:ascii="Times New Roman" w:hAnsi="Times New Roman" w:cs="Times New Roman"/>
          <w:szCs w:val="26"/>
        </w:rPr>
        <w:t xml:space="preserve"> – Skutočné čerpanie </w:t>
      </w:r>
      <w:r w:rsidRPr="008A6631">
        <w:rPr>
          <w:rFonts w:ascii="Times New Roman" w:hAnsi="Times New Roman" w:cs="Times New Roman"/>
          <w:szCs w:val="26"/>
        </w:rPr>
        <w:t>rozpoč</w:t>
      </w:r>
      <w:r>
        <w:rPr>
          <w:rFonts w:ascii="Times New Roman" w:hAnsi="Times New Roman" w:cs="Times New Roman"/>
          <w:szCs w:val="26"/>
        </w:rPr>
        <w:t>tu výdavk</w:t>
      </w:r>
      <w:r w:rsidR="00846FF0">
        <w:rPr>
          <w:rFonts w:ascii="Times New Roman" w:hAnsi="Times New Roman" w:cs="Times New Roman"/>
          <w:szCs w:val="26"/>
        </w:rPr>
        <w:t>ov kapitoly MDPT SR k 31.12.2007</w:t>
      </w:r>
    </w:p>
    <w:p w:rsidR="008A6631" w:rsidRPr="008A6631" w:rsidP="00C362EA">
      <w:pPr>
        <w:pStyle w:val="BodyTextIndent3"/>
        <w:spacing w:line="240" w:lineRule="auto"/>
        <w:ind w:firstLine="0"/>
        <w:jc w:val="left"/>
        <w:rPr>
          <w:rFonts w:ascii="Times New Roman" w:hAnsi="Times New Roman" w:cs="Times New Roman"/>
          <w:szCs w:val="26"/>
        </w:rPr>
      </w:pPr>
      <w:r w:rsidR="00B04BF9">
        <w:rPr>
          <w:rFonts w:ascii="Times New Roman" w:hAnsi="Times New Roman" w:cs="Times New Roman"/>
          <w:szCs w:val="26"/>
        </w:rPr>
        <w:t>Príloha č. 8</w:t>
      </w:r>
      <w:r w:rsidRPr="008A6631">
        <w:rPr>
          <w:rFonts w:ascii="Times New Roman" w:hAnsi="Times New Roman" w:cs="Times New Roman"/>
          <w:szCs w:val="26"/>
        </w:rPr>
        <w:t xml:space="preserve"> – Vyhodnotenie programovej štruktúry kapitoly MDPT SR k 31.12.2</w:t>
      </w:r>
      <w:r w:rsidR="00846FF0">
        <w:rPr>
          <w:rFonts w:ascii="Times New Roman" w:hAnsi="Times New Roman" w:cs="Times New Roman"/>
          <w:szCs w:val="26"/>
        </w:rPr>
        <w:t>007</w:t>
      </w:r>
    </w:p>
    <w:p w:rsidR="008A6631" w:rsidRPr="008A6631" w:rsidP="00C362EA">
      <w:pPr>
        <w:pStyle w:val="BodyTextIndent3"/>
        <w:spacing w:line="240" w:lineRule="auto"/>
        <w:ind w:firstLine="0"/>
        <w:jc w:val="left"/>
        <w:rPr>
          <w:rFonts w:ascii="Times New Roman" w:hAnsi="Times New Roman" w:cs="Times New Roman"/>
          <w:sz w:val="28"/>
          <w:szCs w:val="28"/>
        </w:rPr>
      </w:pPr>
    </w:p>
    <w:p w:rsidR="008A6631" w:rsidRPr="00D23807" w:rsidP="00C362EA">
      <w:pPr>
        <w:pStyle w:val="BodyTextIndent3"/>
        <w:spacing w:line="240" w:lineRule="auto"/>
        <w:ind w:firstLine="0"/>
        <w:jc w:val="center"/>
        <w:rPr>
          <w:rFonts w:ascii="Times New Roman" w:hAnsi="Times New Roman" w:cs="Times New Roman"/>
        </w:rPr>
      </w:pPr>
      <w:r>
        <w:rPr>
          <w:rFonts w:ascii="Times New Roman" w:hAnsi="Times New Roman" w:cs="Times New Roman"/>
        </w:rPr>
        <w:t xml:space="preserve"> </w:t>
      </w:r>
    </w:p>
    <w:p w:rsidR="00D27E26" w:rsidRPr="00D23807" w:rsidP="00C362EA">
      <w:pPr>
        <w:spacing w:line="240" w:lineRule="auto"/>
        <w:jc w:val="center"/>
        <w:rPr>
          <w:rFonts w:ascii="Times New Roman" w:hAnsi="Times New Roman" w:cs="Times New Roman"/>
          <w:sz w:val="26"/>
        </w:rPr>
      </w:pPr>
    </w:p>
    <w:p w:rsidR="00D27E26" w:rsidRPr="00D23807" w:rsidP="00C362EA">
      <w:pPr>
        <w:spacing w:line="240" w:lineRule="auto"/>
        <w:jc w:val="center"/>
        <w:rPr>
          <w:rFonts w:ascii="Times New Roman" w:hAnsi="Times New Roman" w:cs="Times New Roman"/>
          <w:sz w:val="26"/>
        </w:rPr>
      </w:pPr>
    </w:p>
    <w:p w:rsidR="00D27E26" w:rsidRPr="00D23807" w:rsidP="00C362EA">
      <w:pPr>
        <w:pStyle w:val="BodyTextIndent3"/>
        <w:spacing w:line="240" w:lineRule="auto"/>
        <w:ind w:firstLine="0"/>
        <w:jc w:val="center"/>
        <w:rPr>
          <w:rFonts w:ascii="Times New Roman" w:hAnsi="Times New Roman" w:cs="Times New Roman"/>
        </w:rPr>
      </w:pPr>
    </w:p>
    <w:p w:rsidR="00D27E26" w:rsidRPr="00D23807" w:rsidP="00C362EA">
      <w:pPr>
        <w:pStyle w:val="BodyTextIndent3"/>
        <w:spacing w:line="240" w:lineRule="auto"/>
        <w:ind w:firstLine="0"/>
        <w:rPr>
          <w:rFonts w:ascii="Times New Roman" w:hAnsi="Times New Roman" w:cs="Times New Roman"/>
        </w:rPr>
      </w:pPr>
      <w:r w:rsidRPr="00D23807">
        <w:rPr>
          <w:rFonts w:ascii="Times New Roman" w:hAnsi="Times New Roman" w:cs="Times New Roman"/>
        </w:rPr>
        <w:tab/>
      </w:r>
    </w:p>
    <w:p w:rsidR="00D27E26" w:rsidRPr="00D23807" w:rsidP="00C362EA">
      <w:pPr>
        <w:pStyle w:val="BodyTextIndent3"/>
        <w:spacing w:line="240" w:lineRule="auto"/>
        <w:ind w:left="7080" w:firstLine="0"/>
        <w:rPr>
          <w:rFonts w:ascii="Times New Roman" w:hAnsi="Times New Roman" w:cs="Times New Roman"/>
        </w:rPr>
      </w:pPr>
    </w:p>
    <w:p w:rsidR="00D27E26" w:rsidRPr="00D23807" w:rsidP="00C362EA">
      <w:pPr>
        <w:pStyle w:val="BodyTextIndent3"/>
        <w:spacing w:line="240" w:lineRule="auto"/>
        <w:ind w:firstLine="0"/>
        <w:rPr>
          <w:rFonts w:ascii="Times New Roman" w:hAnsi="Times New Roman" w:cs="Times New Roman"/>
        </w:rPr>
      </w:pPr>
    </w:p>
    <w:p w:rsidR="00D27E26" w:rsidRPr="00D23807" w:rsidP="00C362EA">
      <w:pPr>
        <w:pStyle w:val="BodyTextIndent3"/>
        <w:spacing w:line="240" w:lineRule="auto"/>
        <w:ind w:firstLine="0"/>
        <w:rPr>
          <w:rFonts w:ascii="Times New Roman" w:hAnsi="Times New Roman" w:cs="Times New Roman"/>
        </w:rPr>
      </w:pPr>
    </w:p>
    <w:p w:rsidR="00D27E26" w:rsidRPr="00D23807" w:rsidP="00C362EA">
      <w:pPr>
        <w:pStyle w:val="BodyTextIndent3"/>
        <w:spacing w:line="240" w:lineRule="auto"/>
        <w:ind w:firstLine="0"/>
        <w:rPr>
          <w:rFonts w:ascii="Times New Roman" w:hAnsi="Times New Roman" w:cs="Times New Roman"/>
        </w:rPr>
      </w:pPr>
    </w:p>
    <w:p w:rsidR="00D27E26" w:rsidRPr="00D23807" w:rsidP="00C362EA">
      <w:pPr>
        <w:pStyle w:val="BodyTextIndent3"/>
        <w:spacing w:line="240" w:lineRule="auto"/>
        <w:ind w:firstLine="0"/>
        <w:rPr>
          <w:rFonts w:ascii="Times New Roman" w:hAnsi="Times New Roman" w:cs="Times New Roman"/>
        </w:rPr>
      </w:pPr>
    </w:p>
    <w:p w:rsidR="00D27E26" w:rsidRPr="00D23807" w:rsidP="00C362EA">
      <w:pPr>
        <w:pStyle w:val="BodyTextIndent3"/>
        <w:spacing w:line="240" w:lineRule="auto"/>
        <w:rPr>
          <w:rFonts w:ascii="Times New Roman" w:hAnsi="Times New Roman" w:cs="Times New Roman"/>
          <w:b/>
        </w:rPr>
      </w:pPr>
    </w:p>
    <w:p w:rsidR="00D27E26" w:rsidRPr="00D23807" w:rsidP="00C362EA">
      <w:pPr>
        <w:pStyle w:val="BodyTextIndent3"/>
        <w:spacing w:line="240" w:lineRule="auto"/>
        <w:ind w:firstLine="0"/>
        <w:rPr>
          <w:rFonts w:ascii="Times New Roman" w:hAnsi="Times New Roman" w:cs="Times New Roman"/>
          <w:b/>
        </w:rPr>
      </w:pPr>
    </w:p>
    <w:p w:rsidR="00216061" w:rsidP="00C362EA">
      <w:pPr>
        <w:spacing w:line="240" w:lineRule="auto"/>
        <w:rPr>
          <w:rFonts w:ascii="Times New Roman" w:hAnsi="Times New Roman" w:cs="Times New Roman"/>
        </w:rPr>
      </w:pPr>
    </w:p>
    <w:p w:rsidR="00E94306" w:rsidP="00C362EA">
      <w:pPr>
        <w:spacing w:line="240" w:lineRule="auto"/>
        <w:rPr>
          <w:rFonts w:ascii="Times New Roman" w:hAnsi="Times New Roman" w:cs="Times New Roman"/>
        </w:rPr>
      </w:pPr>
    </w:p>
    <w:p w:rsidR="00E94306" w:rsidP="00C362EA">
      <w:pPr>
        <w:spacing w:line="240" w:lineRule="auto"/>
        <w:rPr>
          <w:rFonts w:ascii="Times New Roman" w:hAnsi="Times New Roman" w:cs="Times New Roman"/>
        </w:rPr>
      </w:pPr>
    </w:p>
    <w:p w:rsidR="00E94306" w:rsidP="00C362EA">
      <w:pPr>
        <w:spacing w:line="240" w:lineRule="auto"/>
        <w:rPr>
          <w:rFonts w:ascii="Times New Roman" w:hAnsi="Times New Roman" w:cs="Times New Roman"/>
        </w:rPr>
      </w:pPr>
    </w:p>
    <w:p w:rsidR="00E94306" w:rsidP="00C362EA">
      <w:pPr>
        <w:spacing w:line="240" w:lineRule="auto"/>
        <w:rPr>
          <w:rFonts w:ascii="Times New Roman" w:hAnsi="Times New Roman" w:cs="Times New Roman"/>
        </w:rPr>
      </w:pPr>
    </w:p>
    <w:p w:rsidR="00E94306" w:rsidP="00C362EA">
      <w:pPr>
        <w:spacing w:line="240" w:lineRule="auto"/>
        <w:rPr>
          <w:rFonts w:ascii="Times New Roman" w:hAnsi="Times New Roman" w:cs="Times New Roman"/>
        </w:rPr>
      </w:pPr>
    </w:p>
    <w:p w:rsidR="00E94306" w:rsidP="00C362EA">
      <w:pPr>
        <w:spacing w:line="240" w:lineRule="auto"/>
        <w:rPr>
          <w:rFonts w:ascii="Times New Roman" w:hAnsi="Times New Roman" w:cs="Times New Roman"/>
        </w:rPr>
      </w:pPr>
    </w:p>
    <w:p w:rsidR="00E94306" w:rsidP="00C362EA">
      <w:pPr>
        <w:spacing w:line="240" w:lineRule="auto"/>
        <w:rPr>
          <w:rFonts w:ascii="Times New Roman" w:hAnsi="Times New Roman" w:cs="Times New Roman"/>
        </w:rPr>
      </w:pPr>
    </w:p>
    <w:p w:rsidR="00E94306" w:rsidP="00C362EA">
      <w:pPr>
        <w:spacing w:line="240" w:lineRule="auto"/>
        <w:rPr>
          <w:rFonts w:ascii="Times New Roman" w:hAnsi="Times New Roman" w:cs="Times New Roman"/>
        </w:rPr>
      </w:pPr>
    </w:p>
    <w:p w:rsidR="00E94306" w:rsidP="00C362EA">
      <w:pPr>
        <w:spacing w:line="240" w:lineRule="auto"/>
        <w:rPr>
          <w:rFonts w:ascii="Times New Roman" w:hAnsi="Times New Roman" w:cs="Times New Roman"/>
        </w:rPr>
      </w:pPr>
    </w:p>
    <w:p w:rsidR="00E94306" w:rsidP="00C362EA">
      <w:pPr>
        <w:spacing w:line="240" w:lineRule="auto"/>
        <w:rPr>
          <w:rFonts w:ascii="Times New Roman" w:hAnsi="Times New Roman" w:cs="Times New Roman"/>
        </w:rPr>
      </w:pPr>
    </w:p>
    <w:p w:rsidR="00E94306" w:rsidP="00C362EA">
      <w:pPr>
        <w:spacing w:line="240" w:lineRule="auto"/>
        <w:rPr>
          <w:rFonts w:ascii="Times New Roman" w:hAnsi="Times New Roman" w:cs="Times New Roman"/>
        </w:rPr>
      </w:pPr>
    </w:p>
    <w:p w:rsidR="00E94306" w:rsidP="00C362EA">
      <w:pPr>
        <w:spacing w:line="240" w:lineRule="auto"/>
        <w:rPr>
          <w:rFonts w:ascii="Times New Roman" w:hAnsi="Times New Roman" w:cs="Times New Roman"/>
        </w:rPr>
      </w:pPr>
    </w:p>
    <w:p w:rsidR="00E94306" w:rsidP="00C362EA">
      <w:pPr>
        <w:spacing w:line="240" w:lineRule="auto"/>
        <w:rPr>
          <w:rFonts w:ascii="Times New Roman" w:hAnsi="Times New Roman" w:cs="Times New Roman"/>
        </w:rPr>
      </w:pPr>
    </w:p>
    <w:p w:rsidR="00E94306" w:rsidP="00C362EA">
      <w:pPr>
        <w:spacing w:line="240" w:lineRule="auto"/>
        <w:rPr>
          <w:rFonts w:ascii="Times New Roman" w:hAnsi="Times New Roman" w:cs="Times New Roman"/>
        </w:rPr>
      </w:pPr>
    </w:p>
    <w:p w:rsidR="00E94306" w:rsidP="00C362EA">
      <w:pPr>
        <w:spacing w:line="240" w:lineRule="auto"/>
        <w:rPr>
          <w:rFonts w:ascii="Times New Roman" w:hAnsi="Times New Roman" w:cs="Times New Roman"/>
        </w:rPr>
      </w:pPr>
    </w:p>
    <w:p w:rsidR="00E94306" w:rsidP="00C362EA">
      <w:pPr>
        <w:spacing w:line="240" w:lineRule="auto"/>
        <w:rPr>
          <w:rFonts w:ascii="Times New Roman" w:hAnsi="Times New Roman" w:cs="Times New Roman"/>
        </w:rPr>
      </w:pPr>
    </w:p>
    <w:p w:rsidR="00E94306" w:rsidP="00C362EA">
      <w:pPr>
        <w:spacing w:line="240" w:lineRule="auto"/>
        <w:rPr>
          <w:rFonts w:ascii="Times New Roman" w:hAnsi="Times New Roman" w:cs="Times New Roman"/>
        </w:rPr>
      </w:pPr>
    </w:p>
    <w:p w:rsidR="00E94306" w:rsidP="00C362EA">
      <w:pPr>
        <w:spacing w:line="240" w:lineRule="auto"/>
        <w:rPr>
          <w:rFonts w:ascii="Times New Roman" w:hAnsi="Times New Roman" w:cs="Times New Roman"/>
        </w:rPr>
      </w:pPr>
    </w:p>
    <w:p w:rsidR="00E94306" w:rsidP="00C362EA">
      <w:pPr>
        <w:spacing w:line="240" w:lineRule="auto"/>
        <w:rPr>
          <w:rFonts w:ascii="Times New Roman" w:hAnsi="Times New Roman" w:cs="Times New Roman"/>
        </w:rPr>
      </w:pPr>
    </w:p>
    <w:p w:rsidR="00E94306" w:rsidP="00C362EA">
      <w:pPr>
        <w:spacing w:line="240" w:lineRule="auto"/>
        <w:rPr>
          <w:rFonts w:ascii="Times New Roman" w:hAnsi="Times New Roman" w:cs="Times New Roman"/>
        </w:rPr>
      </w:pPr>
    </w:p>
    <w:p w:rsidR="00E94306" w:rsidP="00C362EA">
      <w:pPr>
        <w:spacing w:line="240" w:lineRule="auto"/>
        <w:rPr>
          <w:rFonts w:ascii="Times New Roman" w:hAnsi="Times New Roman" w:cs="Times New Roman"/>
        </w:rPr>
      </w:pPr>
    </w:p>
    <w:p w:rsidR="00E94306" w:rsidP="00C362EA">
      <w:pPr>
        <w:spacing w:line="240" w:lineRule="auto"/>
        <w:rPr>
          <w:rFonts w:ascii="Times New Roman" w:hAnsi="Times New Roman" w:cs="Times New Roman"/>
        </w:rPr>
      </w:pPr>
    </w:p>
    <w:p w:rsidR="00E94306" w:rsidP="00C362EA">
      <w:pPr>
        <w:spacing w:line="240" w:lineRule="auto"/>
        <w:rPr>
          <w:rFonts w:ascii="Times New Roman" w:hAnsi="Times New Roman" w:cs="Times New Roman"/>
        </w:rPr>
      </w:pPr>
    </w:p>
    <w:p w:rsidR="00E94306" w:rsidP="00C362EA">
      <w:pPr>
        <w:spacing w:line="240" w:lineRule="auto"/>
        <w:rPr>
          <w:rFonts w:ascii="Times New Roman" w:hAnsi="Times New Roman" w:cs="Times New Roman"/>
        </w:rPr>
      </w:pPr>
    </w:p>
    <w:p w:rsidR="00E94306" w:rsidP="00C362EA">
      <w:pPr>
        <w:spacing w:line="240" w:lineRule="auto"/>
        <w:rPr>
          <w:rFonts w:ascii="Times New Roman" w:hAnsi="Times New Roman" w:cs="Times New Roman"/>
        </w:rPr>
      </w:pPr>
    </w:p>
    <w:p w:rsidR="00E94306" w:rsidP="00C362EA">
      <w:pPr>
        <w:spacing w:line="240" w:lineRule="auto"/>
        <w:rPr>
          <w:rFonts w:ascii="Times New Roman" w:hAnsi="Times New Roman" w:cs="Times New Roman"/>
        </w:rPr>
      </w:pPr>
    </w:p>
    <w:p w:rsidR="00E94306" w:rsidP="00C362EA">
      <w:pPr>
        <w:spacing w:line="240" w:lineRule="auto"/>
        <w:rPr>
          <w:rFonts w:ascii="Times New Roman" w:hAnsi="Times New Roman" w:cs="Times New Roman"/>
        </w:rPr>
      </w:pPr>
    </w:p>
    <w:p w:rsidR="00E94306" w:rsidP="00C362EA">
      <w:pPr>
        <w:spacing w:line="240" w:lineRule="auto"/>
        <w:rPr>
          <w:rFonts w:ascii="Times New Roman" w:hAnsi="Times New Roman" w:cs="Times New Roman"/>
        </w:rPr>
      </w:pPr>
    </w:p>
    <w:p w:rsidR="00B04BF9" w:rsidP="00C362EA">
      <w:pPr>
        <w:spacing w:line="240" w:lineRule="auto"/>
        <w:rPr>
          <w:rFonts w:ascii="Times New Roman" w:hAnsi="Times New Roman" w:cs="Times New Roman"/>
        </w:rPr>
      </w:pPr>
    </w:p>
    <w:p w:rsidR="00E94306" w:rsidP="00C362EA">
      <w:pPr>
        <w:spacing w:line="240" w:lineRule="auto"/>
        <w:rPr>
          <w:rFonts w:ascii="Times New Roman" w:hAnsi="Times New Roman" w:cs="Times New Roman"/>
        </w:rPr>
      </w:pPr>
    </w:p>
    <w:p w:rsidR="00E94306" w:rsidP="00C362EA">
      <w:pPr>
        <w:spacing w:line="240" w:lineRule="auto"/>
        <w:rPr>
          <w:rFonts w:ascii="Times New Roman" w:hAnsi="Times New Roman" w:cs="Times New Roman"/>
        </w:rPr>
      </w:pPr>
    </w:p>
    <w:p w:rsidR="00E94306" w:rsidRPr="00E94306" w:rsidP="00E94306">
      <w:pPr>
        <w:pStyle w:val="BodyTextIndent3"/>
        <w:spacing w:line="240" w:lineRule="auto"/>
        <w:ind w:firstLine="0"/>
        <w:jc w:val="center"/>
        <w:rPr>
          <w:rFonts w:ascii="Times New Roman" w:hAnsi="Times New Roman" w:cs="Times New Roman"/>
          <w:b/>
          <w:sz w:val="40"/>
          <w:szCs w:val="40"/>
        </w:rPr>
      </w:pPr>
      <w:r>
        <w:rPr>
          <w:rFonts w:ascii="Times New Roman" w:hAnsi="Times New Roman" w:cs="Times New Roman"/>
          <w:b/>
          <w:sz w:val="40"/>
          <w:szCs w:val="40"/>
        </w:rPr>
        <w:t xml:space="preserve">PRÍLOHA </w:t>
      </w:r>
      <w:r w:rsidR="00B04BF9">
        <w:rPr>
          <w:rFonts w:ascii="Times New Roman" w:hAnsi="Times New Roman" w:cs="Times New Roman"/>
          <w:b/>
          <w:sz w:val="40"/>
          <w:szCs w:val="40"/>
        </w:rPr>
        <w:t>č. 8</w:t>
      </w:r>
      <w:r w:rsidRPr="00E94306">
        <w:rPr>
          <w:rFonts w:ascii="Times New Roman" w:hAnsi="Times New Roman" w:cs="Times New Roman"/>
          <w:b/>
          <w:sz w:val="40"/>
          <w:szCs w:val="40"/>
        </w:rPr>
        <w:t xml:space="preserve"> – Vyhodnotenie programovej štruktú</w:t>
      </w:r>
      <w:r w:rsidR="004573C1">
        <w:rPr>
          <w:rFonts w:ascii="Times New Roman" w:hAnsi="Times New Roman" w:cs="Times New Roman"/>
          <w:b/>
          <w:sz w:val="40"/>
          <w:szCs w:val="40"/>
        </w:rPr>
        <w:t>ry kapitoly MDPT SR k 31.12.2007</w:t>
      </w:r>
    </w:p>
    <w:p w:rsidR="00E94306" w:rsidRPr="00E94306" w:rsidP="00E94306">
      <w:pPr>
        <w:spacing w:line="240" w:lineRule="auto"/>
        <w:jc w:val="center"/>
        <w:rPr>
          <w:rFonts w:ascii="Times New Roman" w:hAnsi="Times New Roman" w:cs="Times New Roman"/>
          <w:b/>
          <w:sz w:val="40"/>
          <w:szCs w:val="40"/>
        </w:rPr>
      </w:pPr>
    </w:p>
    <w:sectPr>
      <w:footerReference w:type="even" r:id="rId4"/>
      <w:footerReference w:type="default" r:id="rId5"/>
      <w:pgSz w:w="11907" w:h="16840" w:code="9"/>
      <w:pgMar w:top="1418" w:right="1418" w:bottom="1418" w:left="1418" w:header="708" w:footer="708" w:gutter="0"/>
      <w:pgNumType w:start="1"/>
      <w:cols w:space="708"/>
      <w:titlePg/>
      <w:bidi w:val="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00000000" w:usb1="00000000" w:usb2="00000000" w:usb3="00000000" w:csb0="00000001" w:csb1="00000000"/>
  </w:font>
  <w:font w:name="Symbol">
    <w:panose1 w:val="05050102010706020507"/>
    <w:charset w:val="00"/>
    <w:family w:val="roman"/>
    <w:pitch w:val="variable"/>
    <w:sig w:usb0="00000000" w:usb1="00000000" w:usb2="00000000" w:usb3="00000000" w:csb0="00000001" w:csb1="00000000"/>
  </w:font>
  <w:font w:name="Arial">
    <w:panose1 w:val="020B0604020202020204"/>
    <w:charset w:val="00"/>
    <w:family w:val="swiss"/>
    <w:pitch w:val="variable"/>
    <w:sig w:usb0="00000000" w:usb1="00000000" w:usb2="00000000" w:usb3="00000000" w:csb0="00000001" w:csb1="00000000"/>
  </w:font>
  <w:font w:name="Arial Narrow">
    <w:panose1 w:val="020B0506020202030204"/>
    <w:charset w:val="00"/>
    <w:family w:val="swiss"/>
    <w:pitch w:val="variable"/>
    <w:sig w:usb0="00000000" w:usb1="00000000" w:usb2="00000000" w:usb3="00000000" w:csb0="00000001" w:csb1="00000000"/>
  </w:font>
  <w:font w:name="Tms Rmn">
    <w:panose1 w:val="02020603040505020304"/>
    <w:charset w:val="00"/>
    <w:family w:val="roman"/>
    <w:pitch w:val="variable"/>
    <w:sig w:usb0="00000000" w:usb1="00000000" w:usb2="00000000" w:usb3="00000000" w:csb0="00000001" w:csb1="00000000"/>
  </w:font>
  <w:font w:name="Arial Unicode MS">
    <w:panose1 w:val="020B0604020202020204"/>
    <w:charset w:val="00"/>
    <w:family w:val="swiss"/>
    <w:pitch w:val="variable"/>
    <w:sig w:usb0="00000000" w:usb1="00000000" w:usb2="00000000" w:usb3="00000000" w:csb0="00000001" w:csb1="00000000"/>
  </w:font>
  <w:font w:name="Mangal">
    <w:panose1 w:val="00000400000000000000"/>
    <w:charset w:val="00"/>
    <w:family w:val="auto"/>
    <w:pitch w:val="variable"/>
    <w:sig w:usb0="00000000" w:usb1="00000000" w:usb2="00000000" w:usb3="00000000" w:csb0="00000001" w:csb1="00000000"/>
  </w:font>
  <w:font w:name="Tahoma">
    <w:panose1 w:val="020B0604030504040204"/>
    <w:charset w:val="00"/>
    <w:family w:val="swiss"/>
    <w:pitch w:val="variable"/>
    <w:sig w:usb0="00000000" w:usb1="00000000" w:usb2="00000000" w:usb3="00000000" w:csb0="00000001" w:csb1="00000000"/>
  </w:font>
  <w:font w:name="Casablanca">
    <w:altName w:val="Times New Roman"/>
    <w:panose1 w:val="00000000000000000000"/>
    <w:charset w:val="00"/>
    <w:family w:val="auto"/>
    <w:pitch w:val="variable"/>
    <w:sig w:usb0="00000000" w:usb1="00000000" w:usb2="00000000" w:usb3="00000000" w:csb0="00000001" w:csb1="00000000"/>
  </w:font>
  <w:font w:name="Courier New">
    <w:panose1 w:val="02070309020205020404"/>
    <w:charset w:val="00"/>
    <w:family w:val="modern"/>
    <w:pitch w:val="fixed"/>
    <w:sig w:usb0="00000000" w:usb1="00000000" w:usb2="00000000" w:usb3="00000000" w:csb0="00000001" w:csb1="00000000"/>
  </w:font>
  <w:font w:name="Wingdings">
    <w:panose1 w:val="05000000000000000000"/>
    <w:charset w:val="00"/>
    <w:family w:val="auto"/>
    <w:pitch w:val="variable"/>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76C">
    <w:pPr>
      <w:pStyle w:val="Footer"/>
      <w:framePr w:vAnchor="text" w:hAnchor="margin" w:xAlign="center" w:y="1"/>
      <w:rPr>
        <w:rStyle w:val="PageNumber"/>
        <w:rFonts w:ascii="Times New Roman" w:hAnsi="Times New Roman" w:cs="Times New Roman"/>
      </w:rPr>
    </w:pPr>
    <w:r>
      <w:rPr>
        <w:rStyle w:val="PageNumber"/>
        <w:rFonts w:ascii="Times New Roman" w:hAnsi="Times New Roman" w:cs="Times New Roman"/>
      </w:rPr>
      <w:fldChar w:fldCharType="begin"/>
    </w:r>
    <w:r>
      <w:rPr>
        <w:rStyle w:val="PageNumber"/>
        <w:rFonts w:ascii="Times New Roman" w:hAnsi="Times New Roman" w:cs="Times New Roman"/>
      </w:rPr>
      <w:instrText xml:space="preserve">PAGE  </w:instrText>
    </w:r>
    <w:r>
      <w:rPr>
        <w:rStyle w:val="PageNumber"/>
        <w:rFonts w:ascii="Times New Roman" w:hAnsi="Times New Roman" w:cs="Times New Roman"/>
      </w:rPr>
      <w:fldChar w:fldCharType="separate"/>
    </w:r>
    <w:r>
      <w:rPr>
        <w:rStyle w:val="PageNumber"/>
        <w:rFonts w:ascii="Times New Roman" w:hAnsi="Times New Roman" w:cs="Times New Roman"/>
      </w:rPr>
      <w:fldChar w:fldCharType="end"/>
    </w:r>
  </w:p>
  <w:p w:rsidR="00B5276C">
    <w:pPr>
      <w:pStyle w:val="Footer"/>
      <w:rPr>
        <w:rFonts w:ascii="Times New Roman" w:hAnsi="Times New Roman"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76C">
    <w:pPr>
      <w:pStyle w:val="Footer"/>
      <w:framePr w:vAnchor="text" w:hAnchor="margin" w:xAlign="center" w:y="1"/>
      <w:rPr>
        <w:rStyle w:val="PageNumber"/>
        <w:rFonts w:ascii="Times New Roman" w:hAnsi="Times New Roman" w:cs="Times New Roman"/>
      </w:rPr>
    </w:pPr>
    <w:r>
      <w:rPr>
        <w:rStyle w:val="PageNumber"/>
        <w:rFonts w:ascii="Times New Roman" w:hAnsi="Times New Roman" w:cs="Times New Roman"/>
      </w:rPr>
      <w:fldChar w:fldCharType="begin"/>
    </w:r>
    <w:r>
      <w:rPr>
        <w:rStyle w:val="PageNumber"/>
        <w:rFonts w:ascii="Times New Roman" w:hAnsi="Times New Roman" w:cs="Times New Roman"/>
      </w:rPr>
      <w:instrText xml:space="preserve">PAGE  </w:instrText>
    </w:r>
    <w:r>
      <w:rPr>
        <w:rStyle w:val="PageNumber"/>
        <w:rFonts w:ascii="Times New Roman" w:hAnsi="Times New Roman" w:cs="Times New Roman"/>
      </w:rPr>
      <w:fldChar w:fldCharType="separate"/>
    </w:r>
    <w:r w:rsidR="005B0459">
      <w:rPr>
        <w:rStyle w:val="PageNumber"/>
        <w:rFonts w:ascii="Times New Roman" w:hAnsi="Times New Roman" w:cs="Times New Roman"/>
        <w:noProof/>
      </w:rPr>
      <w:t>2</w:t>
    </w:r>
    <w:r>
      <w:rPr>
        <w:rStyle w:val="PageNumber"/>
        <w:rFonts w:ascii="Times New Roman" w:hAnsi="Times New Roman" w:cs="Times New Roman"/>
      </w:rPr>
      <w:fldChar w:fldCharType="end"/>
    </w:r>
  </w:p>
  <w:p w:rsidR="00B5276C">
    <w:pPr>
      <w:pStyle w:val="Footer"/>
      <w:rPr>
        <w:rFonts w:ascii="Times New Roman" w:hAnsi="Times New Roman" w:cs="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02D60"/>
    <w:multiLevelType w:val="hybridMultilevel"/>
    <w:tmpl w:val="CEF2A5BE"/>
    <w:lvl w:ilvl="0">
      <w:start w:val="2"/>
      <w:numFmt w:val="bullet"/>
      <w:lvlText w:val="-"/>
      <w:lvlJc w:val="left"/>
      <w:pPr>
        <w:tabs>
          <w:tab w:val="num" w:pos="720"/>
        </w:tabs>
        <w:ind w:left="720" w:hanging="360"/>
      </w:pPr>
      <w:rPr>
        <w:rFonts w:ascii="Times New Roman" w:hAnsi="Times New Roman"/>
        <w:rtl w:val="0"/>
      </w:rPr>
    </w:lvl>
    <w:lvl w:ilvl="1">
      <w:start w:val="1"/>
      <w:numFmt w:val="bullet"/>
      <w:lvlText w:val="o"/>
      <w:lvlJc w:val="left"/>
      <w:pPr>
        <w:tabs>
          <w:tab w:val="num" w:pos="2352"/>
        </w:tabs>
        <w:ind w:left="2352" w:hanging="360"/>
      </w:pPr>
      <w:rPr>
        <w:rFonts w:ascii="Courier New" w:hAnsi="Courier New" w:cs="Courier New"/>
        <w:rtl w:val="0"/>
      </w:rPr>
    </w:lvl>
    <w:lvl w:ilvl="2">
      <w:start w:val="1"/>
      <w:numFmt w:val="bullet"/>
      <w:lvlText w:val=""/>
      <w:lvlJc w:val="left"/>
      <w:pPr>
        <w:tabs>
          <w:tab w:val="num" w:pos="3072"/>
        </w:tabs>
        <w:ind w:left="3072" w:hanging="360"/>
      </w:pPr>
      <w:rPr>
        <w:rFonts w:ascii="Wingdings" w:hAnsi="Wingdings" w:cs="Wingdings"/>
        <w:rtl w:val="0"/>
      </w:rPr>
    </w:lvl>
    <w:lvl w:ilvl="3">
      <w:start w:val="1"/>
      <w:numFmt w:val="bullet"/>
      <w:lvlText w:val=""/>
      <w:lvlJc w:val="left"/>
      <w:pPr>
        <w:tabs>
          <w:tab w:val="num" w:pos="3792"/>
        </w:tabs>
        <w:ind w:left="3792" w:hanging="360"/>
      </w:pPr>
      <w:rPr>
        <w:rFonts w:ascii="Symbol" w:hAnsi="Symbol" w:cs="Symbol"/>
        <w:rtl w:val="0"/>
      </w:rPr>
    </w:lvl>
    <w:lvl w:ilvl="4">
      <w:start w:val="1"/>
      <w:numFmt w:val="bullet"/>
      <w:lvlText w:val="o"/>
      <w:lvlJc w:val="left"/>
      <w:pPr>
        <w:tabs>
          <w:tab w:val="num" w:pos="4512"/>
        </w:tabs>
        <w:ind w:left="4512" w:hanging="360"/>
      </w:pPr>
      <w:rPr>
        <w:rFonts w:ascii="Courier New" w:hAnsi="Courier New" w:cs="Courier New"/>
        <w:rtl w:val="0"/>
      </w:rPr>
    </w:lvl>
    <w:lvl w:ilvl="5">
      <w:start w:val="1"/>
      <w:numFmt w:val="bullet"/>
      <w:lvlText w:val=""/>
      <w:lvlJc w:val="left"/>
      <w:pPr>
        <w:tabs>
          <w:tab w:val="num" w:pos="5232"/>
        </w:tabs>
        <w:ind w:left="5232" w:hanging="360"/>
      </w:pPr>
      <w:rPr>
        <w:rFonts w:ascii="Wingdings" w:hAnsi="Wingdings" w:cs="Wingdings"/>
        <w:rtl w:val="0"/>
      </w:rPr>
    </w:lvl>
    <w:lvl w:ilvl="6">
      <w:start w:val="1"/>
      <w:numFmt w:val="bullet"/>
      <w:lvlText w:val=""/>
      <w:lvlJc w:val="left"/>
      <w:pPr>
        <w:tabs>
          <w:tab w:val="num" w:pos="5952"/>
        </w:tabs>
        <w:ind w:left="5952" w:hanging="360"/>
      </w:pPr>
      <w:rPr>
        <w:rFonts w:ascii="Symbol" w:hAnsi="Symbol" w:cs="Symbol"/>
        <w:rtl w:val="0"/>
      </w:rPr>
    </w:lvl>
    <w:lvl w:ilvl="7">
      <w:start w:val="1"/>
      <w:numFmt w:val="bullet"/>
      <w:lvlText w:val="o"/>
      <w:lvlJc w:val="left"/>
      <w:pPr>
        <w:tabs>
          <w:tab w:val="num" w:pos="6672"/>
        </w:tabs>
        <w:ind w:left="6672" w:hanging="360"/>
      </w:pPr>
      <w:rPr>
        <w:rFonts w:ascii="Courier New" w:hAnsi="Courier New" w:cs="Courier New"/>
        <w:rtl w:val="0"/>
      </w:rPr>
    </w:lvl>
    <w:lvl w:ilvl="8">
      <w:start w:val="1"/>
      <w:numFmt w:val="bullet"/>
      <w:lvlText w:val=""/>
      <w:lvlJc w:val="left"/>
      <w:pPr>
        <w:tabs>
          <w:tab w:val="num" w:pos="7392"/>
        </w:tabs>
        <w:ind w:left="7392" w:hanging="360"/>
      </w:pPr>
      <w:rPr>
        <w:rFonts w:ascii="Wingdings" w:hAnsi="Wingdings" w:cs="Wingdings"/>
        <w:rtl w:val="0"/>
      </w:rPr>
    </w:lvl>
  </w:abstractNum>
  <w:abstractNum w:abstractNumId="1">
    <w:nsid w:val="0623144B"/>
    <w:multiLevelType w:val="hybridMultilevel"/>
    <w:tmpl w:val="F7122CAA"/>
    <w:lvl w:ilvl="0">
      <w:start w:val="9"/>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68602A6"/>
    <w:multiLevelType w:val="hybridMultilevel"/>
    <w:tmpl w:val="560206BC"/>
    <w:lvl w:ilvl="0">
      <w:start w:val="1"/>
      <w:numFmt w:val="lowerLetter"/>
      <w:lvlText w:val="%1)"/>
      <w:lvlJc w:val="left"/>
      <w:pPr>
        <w:tabs>
          <w:tab w:val="num" w:pos="720"/>
        </w:tabs>
        <w:ind w:left="720" w:hanging="360"/>
      </w:pPr>
      <w:rPr>
        <w:rFonts w:ascii="Times New Roman" w:hAnsi="Times New Roman" w:cs="Times New Roman"/>
        <w:color w:val="000000"/>
        <w:rtl w:val="0"/>
      </w:rPr>
    </w:lvl>
    <w:lvl w:ilvl="1">
      <w:start w:val="1"/>
      <w:numFmt w:val="decimal"/>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upperRoman"/>
      <w:lvlText w:val="%4."/>
      <w:lvlJc w:val="left"/>
      <w:pPr>
        <w:tabs>
          <w:tab w:val="num" w:pos="3480"/>
        </w:tabs>
        <w:ind w:left="3480" w:hanging="9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D6E5B38"/>
    <w:multiLevelType w:val="hybridMultilevel"/>
    <w:tmpl w:val="55ECCE14"/>
    <w:lvl w:ilvl="0">
      <w:start w:val="1"/>
      <w:numFmt w:val="upperLetter"/>
      <w:lvlText w:val="%1."/>
      <w:lvlJc w:val="left"/>
      <w:pPr>
        <w:tabs>
          <w:tab w:val="num" w:pos="660"/>
        </w:tabs>
        <w:ind w:left="660" w:hanging="360"/>
      </w:pPr>
    </w:lvl>
    <w:lvl w:ilvl="1">
      <w:start w:val="1"/>
      <w:numFmt w:val="lowerLetter"/>
      <w:lvlText w:val="%2."/>
      <w:lvlJc w:val="left"/>
      <w:pPr>
        <w:tabs>
          <w:tab w:val="num" w:pos="1380"/>
        </w:tabs>
        <w:ind w:left="1380" w:hanging="360"/>
      </w:pPr>
    </w:lvl>
    <w:lvl w:ilvl="2">
      <w:start w:val="1"/>
      <w:numFmt w:val="lowerRoman"/>
      <w:lvlText w:val="%3."/>
      <w:lvlJc w:val="right"/>
      <w:pPr>
        <w:tabs>
          <w:tab w:val="num" w:pos="2100"/>
        </w:tabs>
        <w:ind w:left="2100" w:hanging="180"/>
      </w:pPr>
    </w:lvl>
    <w:lvl w:ilvl="3">
      <w:start w:val="1"/>
      <w:numFmt w:val="decimal"/>
      <w:lvlText w:val="%4."/>
      <w:lvlJc w:val="left"/>
      <w:pPr>
        <w:tabs>
          <w:tab w:val="num" w:pos="2820"/>
        </w:tabs>
        <w:ind w:left="2820" w:hanging="360"/>
      </w:pPr>
    </w:lvl>
    <w:lvl w:ilvl="4">
      <w:start w:val="1"/>
      <w:numFmt w:val="lowerLetter"/>
      <w:lvlText w:val="%5."/>
      <w:lvlJc w:val="left"/>
      <w:pPr>
        <w:tabs>
          <w:tab w:val="num" w:pos="3540"/>
        </w:tabs>
        <w:ind w:left="3540" w:hanging="360"/>
      </w:pPr>
    </w:lvl>
    <w:lvl w:ilvl="5">
      <w:start w:val="1"/>
      <w:numFmt w:val="lowerRoman"/>
      <w:lvlText w:val="%6."/>
      <w:lvlJc w:val="right"/>
      <w:pPr>
        <w:tabs>
          <w:tab w:val="num" w:pos="4260"/>
        </w:tabs>
        <w:ind w:left="4260" w:hanging="180"/>
      </w:pPr>
    </w:lvl>
    <w:lvl w:ilvl="6">
      <w:start w:val="1"/>
      <w:numFmt w:val="decimal"/>
      <w:lvlText w:val="%7."/>
      <w:lvlJc w:val="left"/>
      <w:pPr>
        <w:tabs>
          <w:tab w:val="num" w:pos="4980"/>
        </w:tabs>
        <w:ind w:left="4980" w:hanging="360"/>
      </w:pPr>
    </w:lvl>
    <w:lvl w:ilvl="7">
      <w:start w:val="1"/>
      <w:numFmt w:val="lowerLetter"/>
      <w:lvlText w:val="%8."/>
      <w:lvlJc w:val="left"/>
      <w:pPr>
        <w:tabs>
          <w:tab w:val="num" w:pos="5700"/>
        </w:tabs>
        <w:ind w:left="5700" w:hanging="360"/>
      </w:pPr>
    </w:lvl>
    <w:lvl w:ilvl="8">
      <w:start w:val="1"/>
      <w:numFmt w:val="lowerRoman"/>
      <w:lvlText w:val="%9."/>
      <w:lvlJc w:val="right"/>
      <w:pPr>
        <w:tabs>
          <w:tab w:val="num" w:pos="6420"/>
        </w:tabs>
        <w:ind w:left="6420" w:hanging="180"/>
      </w:pPr>
    </w:lvl>
  </w:abstractNum>
  <w:abstractNum w:abstractNumId="4">
    <w:nsid w:val="0ED65A73"/>
    <w:multiLevelType w:val="multilevel"/>
    <w:tmpl w:val="584CE00A"/>
    <w:lvl w:ilvl="0">
      <w:start w:val="1"/>
      <w:numFmt w:val="decimal"/>
      <w:lvlText w:val="%1."/>
      <w:lvlJc w:val="left"/>
      <w:pPr>
        <w:tabs>
          <w:tab w:val="num" w:pos="495"/>
        </w:tabs>
        <w:ind w:left="495" w:hanging="49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
    <w:nsid w:val="0F671F9D"/>
    <w:multiLevelType w:val="hybridMultilevel"/>
    <w:tmpl w:val="4510CFA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0745C2D"/>
    <w:multiLevelType w:val="hybridMultilevel"/>
    <w:tmpl w:val="1990ED6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0D9078A"/>
    <w:multiLevelType w:val="multilevel"/>
    <w:tmpl w:val="E2D0D572"/>
    <w:lvl w:ilvl="0">
      <w:start w:val="1"/>
      <w:numFmt w:val="decimal"/>
      <w:lvlText w:val="%1."/>
      <w:lvlJc w:val="left"/>
      <w:pPr>
        <w:tabs>
          <w:tab w:val="num" w:pos="480"/>
        </w:tabs>
        <w:ind w:left="480" w:hanging="480"/>
      </w:pPr>
    </w:lvl>
    <w:lvl w:ilvl="1">
      <w:start w:val="9"/>
      <w:numFmt w:val="decimal"/>
      <w:lvlText w:val="%1.%2."/>
      <w:lvlJc w:val="left"/>
      <w:pPr>
        <w:tabs>
          <w:tab w:val="num" w:pos="900"/>
        </w:tabs>
        <w:ind w:left="900"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620"/>
        </w:tabs>
        <w:ind w:left="1620" w:hanging="1080"/>
      </w:pPr>
    </w:lvl>
    <w:lvl w:ilvl="4">
      <w:start w:val="1"/>
      <w:numFmt w:val="decimal"/>
      <w:lvlText w:val="%1.%2.%3.%4.%5."/>
      <w:lvlJc w:val="left"/>
      <w:pPr>
        <w:tabs>
          <w:tab w:val="num" w:pos="2160"/>
        </w:tabs>
        <w:ind w:left="2160" w:hanging="1440"/>
      </w:pPr>
    </w:lvl>
    <w:lvl w:ilvl="5">
      <w:start w:val="1"/>
      <w:numFmt w:val="decimal"/>
      <w:lvlText w:val="%1.%2.%3.%4.%5.%6."/>
      <w:lvlJc w:val="left"/>
      <w:pPr>
        <w:tabs>
          <w:tab w:val="num" w:pos="2340"/>
        </w:tabs>
        <w:ind w:left="2340" w:hanging="1440"/>
      </w:pPr>
    </w:lvl>
    <w:lvl w:ilvl="6">
      <w:start w:val="1"/>
      <w:numFmt w:val="decimal"/>
      <w:lvlText w:val="%1.%2.%3.%4.%5.%6.%7."/>
      <w:lvlJc w:val="left"/>
      <w:pPr>
        <w:tabs>
          <w:tab w:val="num" w:pos="2880"/>
        </w:tabs>
        <w:ind w:left="2880" w:hanging="1800"/>
      </w:pPr>
    </w:lvl>
    <w:lvl w:ilvl="7">
      <w:start w:val="1"/>
      <w:numFmt w:val="decimal"/>
      <w:lvlText w:val="%1.%2.%3.%4.%5.%6.%7.%8."/>
      <w:lvlJc w:val="left"/>
      <w:pPr>
        <w:tabs>
          <w:tab w:val="num" w:pos="3420"/>
        </w:tabs>
        <w:ind w:left="3420" w:hanging="2160"/>
      </w:pPr>
    </w:lvl>
    <w:lvl w:ilvl="8">
      <w:start w:val="1"/>
      <w:numFmt w:val="decimal"/>
      <w:lvlText w:val="%1.%2.%3.%4.%5.%6.%7.%8.%9."/>
      <w:lvlJc w:val="left"/>
      <w:pPr>
        <w:tabs>
          <w:tab w:val="num" w:pos="3600"/>
        </w:tabs>
        <w:ind w:left="3600" w:hanging="2160"/>
      </w:pPr>
    </w:lvl>
  </w:abstractNum>
  <w:abstractNum w:abstractNumId="8">
    <w:nsid w:val="16D80C9D"/>
    <w:multiLevelType w:val="hybridMultilevel"/>
    <w:tmpl w:val="AF6A1532"/>
    <w:lvl w:ilvl="0">
      <w:start w:val="995"/>
      <w:numFmt w:val="bullet"/>
      <w:lvlText w:val="–"/>
      <w:lvlJc w:val="left"/>
      <w:pPr>
        <w:tabs>
          <w:tab w:val="num" w:pos="1068"/>
        </w:tabs>
        <w:ind w:left="1068" w:hanging="360"/>
      </w:pPr>
      <w:rPr>
        <w:rFonts w:ascii="Times New Roman" w:hAnsi="Times New Roman" w:cs="Times New Roman"/>
        <w:rtl w:val="0"/>
      </w:rPr>
    </w:lvl>
    <w:lvl w:ilvl="1">
      <w:start w:val="1"/>
      <w:numFmt w:val="bullet"/>
      <w:lvlText w:val="o"/>
      <w:lvlJc w:val="left"/>
      <w:pPr>
        <w:tabs>
          <w:tab w:val="num" w:pos="1788"/>
        </w:tabs>
        <w:ind w:left="1788" w:hanging="360"/>
      </w:pPr>
      <w:rPr>
        <w:rFonts w:ascii="Courier New" w:hAnsi="Courier New" w:cs="Courier New"/>
        <w:rtl w:val="0"/>
      </w:rPr>
    </w:lvl>
    <w:lvl w:ilvl="2">
      <w:start w:val="1"/>
      <w:numFmt w:val="bullet"/>
      <w:lvlText w:val=""/>
      <w:lvlJc w:val="left"/>
      <w:pPr>
        <w:tabs>
          <w:tab w:val="num" w:pos="2508"/>
        </w:tabs>
        <w:ind w:left="2508" w:hanging="360"/>
      </w:pPr>
      <w:rPr>
        <w:rFonts w:ascii="Wingdings" w:hAnsi="Wingdings"/>
        <w:rtl w:val="0"/>
      </w:rPr>
    </w:lvl>
    <w:lvl w:ilvl="3">
      <w:start w:val="1"/>
      <w:numFmt w:val="bullet"/>
      <w:lvlText w:val=""/>
      <w:lvlJc w:val="left"/>
      <w:pPr>
        <w:tabs>
          <w:tab w:val="num" w:pos="3228"/>
        </w:tabs>
        <w:ind w:left="3228" w:hanging="360"/>
      </w:pPr>
      <w:rPr>
        <w:rFonts w:ascii="Symbol" w:hAnsi="Symbol"/>
        <w:rtl w:val="0"/>
      </w:rPr>
    </w:lvl>
    <w:lvl w:ilvl="4">
      <w:start w:val="1"/>
      <w:numFmt w:val="bullet"/>
      <w:lvlText w:val="o"/>
      <w:lvlJc w:val="left"/>
      <w:pPr>
        <w:tabs>
          <w:tab w:val="num" w:pos="3948"/>
        </w:tabs>
        <w:ind w:left="3948" w:hanging="360"/>
      </w:pPr>
      <w:rPr>
        <w:rFonts w:ascii="Courier New" w:hAnsi="Courier New" w:cs="Courier New"/>
        <w:rtl w:val="0"/>
      </w:rPr>
    </w:lvl>
    <w:lvl w:ilvl="5">
      <w:start w:val="1"/>
      <w:numFmt w:val="bullet"/>
      <w:lvlText w:val=""/>
      <w:lvlJc w:val="left"/>
      <w:pPr>
        <w:tabs>
          <w:tab w:val="num" w:pos="4668"/>
        </w:tabs>
        <w:ind w:left="4668" w:hanging="360"/>
      </w:pPr>
      <w:rPr>
        <w:rFonts w:ascii="Wingdings" w:hAnsi="Wingdings"/>
        <w:rtl w:val="0"/>
      </w:rPr>
    </w:lvl>
    <w:lvl w:ilvl="6">
      <w:start w:val="1"/>
      <w:numFmt w:val="bullet"/>
      <w:lvlText w:val=""/>
      <w:lvlJc w:val="left"/>
      <w:pPr>
        <w:tabs>
          <w:tab w:val="num" w:pos="5388"/>
        </w:tabs>
        <w:ind w:left="5388" w:hanging="360"/>
      </w:pPr>
      <w:rPr>
        <w:rFonts w:ascii="Symbol" w:hAnsi="Symbol"/>
        <w:rtl w:val="0"/>
      </w:rPr>
    </w:lvl>
    <w:lvl w:ilvl="7">
      <w:start w:val="1"/>
      <w:numFmt w:val="bullet"/>
      <w:lvlText w:val="o"/>
      <w:lvlJc w:val="left"/>
      <w:pPr>
        <w:tabs>
          <w:tab w:val="num" w:pos="6108"/>
        </w:tabs>
        <w:ind w:left="6108" w:hanging="360"/>
      </w:pPr>
      <w:rPr>
        <w:rFonts w:ascii="Courier New" w:hAnsi="Courier New" w:cs="Courier New"/>
        <w:rtl w:val="0"/>
      </w:rPr>
    </w:lvl>
    <w:lvl w:ilvl="8">
      <w:start w:val="1"/>
      <w:numFmt w:val="bullet"/>
      <w:lvlText w:val=""/>
      <w:lvlJc w:val="left"/>
      <w:pPr>
        <w:tabs>
          <w:tab w:val="num" w:pos="6828"/>
        </w:tabs>
        <w:ind w:left="6828" w:hanging="360"/>
      </w:pPr>
      <w:rPr>
        <w:rFonts w:ascii="Wingdings" w:hAnsi="Wingdings"/>
        <w:rtl w:val="0"/>
      </w:rPr>
    </w:lvl>
  </w:abstractNum>
  <w:abstractNum w:abstractNumId="9">
    <w:nsid w:val="173D275C"/>
    <w:multiLevelType w:val="hybridMultilevel"/>
    <w:tmpl w:val="F398BC7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1FD14D57"/>
    <w:multiLevelType w:val="hybridMultilevel"/>
    <w:tmpl w:val="7E0CF304"/>
    <w:lvl w:ilvl="0">
      <w:start w:val="1"/>
      <w:numFmt w:val="bullet"/>
      <w:lvlText w:val="-"/>
      <w:lvlJc w:val="left"/>
      <w:pPr>
        <w:tabs>
          <w:tab w:val="num" w:pos="360"/>
        </w:tabs>
        <w:ind w:left="360" w:hanging="360"/>
      </w:pPr>
      <w:rPr>
        <w:rFonts w:ascii="Times New Roman" w:hAnsi="Times New Roman" w:cs="Times New Roman"/>
        <w:b w:val="0"/>
        <w:i w:val="0"/>
        <w:rtl w:val="0"/>
      </w:rPr>
    </w:lvl>
    <w:lvl w:ilvl="1">
      <w:start w:val="1"/>
      <w:numFmt w:val="bullet"/>
      <w:lvlText w:val="o"/>
      <w:lvlJc w:val="left"/>
      <w:pPr>
        <w:tabs>
          <w:tab w:val="num" w:pos="1440"/>
        </w:tabs>
        <w:ind w:left="1440" w:hanging="360"/>
      </w:pPr>
      <w:rPr>
        <w:rFonts w:ascii="Courier New" w:hAnsi="Courier New" w:cs="Courier New"/>
        <w:rtl w:val="0"/>
      </w:rPr>
    </w:lvl>
    <w:lvl w:ilvl="2">
      <w:start w:val="1"/>
      <w:numFmt w:val="bullet"/>
      <w:lvlText w:val=""/>
      <w:lvlJc w:val="left"/>
      <w:pPr>
        <w:tabs>
          <w:tab w:val="num" w:pos="2160"/>
        </w:tabs>
        <w:ind w:left="2160" w:hanging="360"/>
      </w:pPr>
      <w:rPr>
        <w:rFonts w:ascii="Wingdings" w:hAnsi="Wingdings"/>
        <w:rtl w:val="0"/>
      </w:rPr>
    </w:lvl>
    <w:lvl w:ilvl="3">
      <w:start w:val="1"/>
      <w:numFmt w:val="bullet"/>
      <w:lvlText w:val=""/>
      <w:lvlJc w:val="left"/>
      <w:pPr>
        <w:tabs>
          <w:tab w:val="num" w:pos="2880"/>
        </w:tabs>
        <w:ind w:left="2880" w:hanging="360"/>
      </w:pPr>
      <w:rPr>
        <w:rFonts w:ascii="Symbol" w:hAnsi="Symbol"/>
        <w:rtl w:val="0"/>
      </w:rPr>
    </w:lvl>
    <w:lvl w:ilvl="4">
      <w:start w:val="1"/>
      <w:numFmt w:val="bullet"/>
      <w:lvlText w:val="o"/>
      <w:lvlJc w:val="left"/>
      <w:pPr>
        <w:tabs>
          <w:tab w:val="num" w:pos="3600"/>
        </w:tabs>
        <w:ind w:left="3600" w:hanging="360"/>
      </w:pPr>
      <w:rPr>
        <w:rFonts w:ascii="Courier New" w:hAnsi="Courier New" w:cs="Courier New"/>
        <w:rtl w:val="0"/>
      </w:rPr>
    </w:lvl>
    <w:lvl w:ilvl="5">
      <w:start w:val="1"/>
      <w:numFmt w:val="bullet"/>
      <w:lvlText w:val=""/>
      <w:lvlJc w:val="left"/>
      <w:pPr>
        <w:tabs>
          <w:tab w:val="num" w:pos="4320"/>
        </w:tabs>
        <w:ind w:left="4320" w:hanging="360"/>
      </w:pPr>
      <w:rPr>
        <w:rFonts w:ascii="Wingdings" w:hAnsi="Wingdings"/>
        <w:rtl w:val="0"/>
      </w:rPr>
    </w:lvl>
    <w:lvl w:ilvl="6">
      <w:start w:val="1"/>
      <w:numFmt w:val="bullet"/>
      <w:lvlText w:val=""/>
      <w:lvlJc w:val="left"/>
      <w:pPr>
        <w:tabs>
          <w:tab w:val="num" w:pos="5040"/>
        </w:tabs>
        <w:ind w:left="5040" w:hanging="360"/>
      </w:pPr>
      <w:rPr>
        <w:rFonts w:ascii="Symbol" w:hAnsi="Symbol"/>
        <w:rtl w:val="0"/>
      </w:rPr>
    </w:lvl>
    <w:lvl w:ilvl="7">
      <w:start w:val="1"/>
      <w:numFmt w:val="bullet"/>
      <w:lvlText w:val="o"/>
      <w:lvlJc w:val="left"/>
      <w:pPr>
        <w:tabs>
          <w:tab w:val="num" w:pos="5760"/>
        </w:tabs>
        <w:ind w:left="5760" w:hanging="360"/>
      </w:pPr>
      <w:rPr>
        <w:rFonts w:ascii="Courier New" w:hAnsi="Courier New" w:cs="Courier New"/>
        <w:rtl w:val="0"/>
      </w:rPr>
    </w:lvl>
    <w:lvl w:ilvl="8">
      <w:start w:val="1"/>
      <w:numFmt w:val="bullet"/>
      <w:lvlText w:val=""/>
      <w:lvlJc w:val="left"/>
      <w:pPr>
        <w:tabs>
          <w:tab w:val="num" w:pos="6480"/>
        </w:tabs>
        <w:ind w:left="6480" w:hanging="360"/>
      </w:pPr>
      <w:rPr>
        <w:rFonts w:ascii="Wingdings" w:hAnsi="Wingdings"/>
        <w:rtl w:val="0"/>
      </w:rPr>
    </w:lvl>
  </w:abstractNum>
  <w:abstractNum w:abstractNumId="11">
    <w:nsid w:val="398A2DC1"/>
    <w:multiLevelType w:val="hybridMultilevel"/>
    <w:tmpl w:val="930E29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3BD40193"/>
    <w:multiLevelType w:val="hybridMultilevel"/>
    <w:tmpl w:val="04F802C4"/>
    <w:lvl w:ilvl="0">
      <w:start w:val="1"/>
      <w:numFmt w:val="bullet"/>
      <w:lvlText w:val="-"/>
      <w:lvlJc w:val="left"/>
      <w:pPr>
        <w:tabs>
          <w:tab w:val="num" w:pos="360"/>
        </w:tabs>
        <w:ind w:left="360" w:hanging="360"/>
      </w:pPr>
      <w:rPr>
        <w:rFonts w:ascii="Times New Roman" w:hAnsi="Times New Roman" w:cs="Times New Roman"/>
        <w:b w:val="0"/>
        <w:i w:val="0"/>
        <w:rtl w:val="0"/>
      </w:rPr>
    </w:lvl>
    <w:lvl w:ilvl="1">
      <w:start w:val="1"/>
      <w:numFmt w:val="decimal"/>
      <w:lvlText w:val="%2."/>
      <w:lvlJc w:val="left"/>
      <w:pPr>
        <w:tabs>
          <w:tab w:val="num" w:pos="360"/>
        </w:tabs>
        <w:ind w:left="36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3D94269B"/>
    <w:multiLevelType w:val="hybridMultilevel"/>
    <w:tmpl w:val="B5C6DEB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F741973"/>
    <w:multiLevelType w:val="singleLevel"/>
    <w:tmpl w:val="0302E668"/>
    <w:lvl w:ilvl="0">
      <w:start w:val="0"/>
      <w:numFmt w:val="bullet"/>
      <w:lvlText w:val="-"/>
      <w:lvlJc w:val="left"/>
      <w:pPr>
        <w:tabs>
          <w:tab w:val="num" w:pos="1065"/>
        </w:tabs>
        <w:ind w:left="1065" w:hanging="360"/>
      </w:pPr>
    </w:lvl>
  </w:abstractNum>
  <w:abstractNum w:abstractNumId="15">
    <w:nsid w:val="42D702C9"/>
    <w:multiLevelType w:val="hybridMultilevel"/>
    <w:tmpl w:val="8CB4673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4C32690D"/>
    <w:multiLevelType w:val="multilevel"/>
    <w:tmpl w:val="CC486696"/>
    <w:lvl w:ilvl="0">
      <w:start w:val="1"/>
      <w:numFmt w:val="decimal"/>
      <w:lvlText w:val="%1."/>
      <w:lvlJc w:val="left"/>
      <w:pPr>
        <w:tabs>
          <w:tab w:val="num" w:pos="480"/>
        </w:tabs>
        <w:ind w:left="480" w:hanging="480"/>
      </w:pPr>
    </w:lvl>
    <w:lvl w:ilvl="1">
      <w:start w:val="8"/>
      <w:numFmt w:val="decimal"/>
      <w:lvlText w:val="%1.%2."/>
      <w:lvlJc w:val="left"/>
      <w:pPr>
        <w:tabs>
          <w:tab w:val="num" w:pos="900"/>
        </w:tabs>
        <w:ind w:left="900"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620"/>
        </w:tabs>
        <w:ind w:left="1620" w:hanging="1080"/>
      </w:pPr>
    </w:lvl>
    <w:lvl w:ilvl="4">
      <w:start w:val="1"/>
      <w:numFmt w:val="decimal"/>
      <w:lvlText w:val="%1.%2.%3.%4.%5."/>
      <w:lvlJc w:val="left"/>
      <w:pPr>
        <w:tabs>
          <w:tab w:val="num" w:pos="2160"/>
        </w:tabs>
        <w:ind w:left="2160" w:hanging="1440"/>
      </w:pPr>
    </w:lvl>
    <w:lvl w:ilvl="5">
      <w:start w:val="1"/>
      <w:numFmt w:val="decimal"/>
      <w:lvlText w:val="%1.%2.%3.%4.%5.%6."/>
      <w:lvlJc w:val="left"/>
      <w:pPr>
        <w:tabs>
          <w:tab w:val="num" w:pos="2340"/>
        </w:tabs>
        <w:ind w:left="2340" w:hanging="1440"/>
      </w:pPr>
    </w:lvl>
    <w:lvl w:ilvl="6">
      <w:start w:val="1"/>
      <w:numFmt w:val="decimal"/>
      <w:lvlText w:val="%1.%2.%3.%4.%5.%6.%7."/>
      <w:lvlJc w:val="left"/>
      <w:pPr>
        <w:tabs>
          <w:tab w:val="num" w:pos="2880"/>
        </w:tabs>
        <w:ind w:left="2880" w:hanging="1800"/>
      </w:pPr>
    </w:lvl>
    <w:lvl w:ilvl="7">
      <w:start w:val="1"/>
      <w:numFmt w:val="decimal"/>
      <w:lvlText w:val="%1.%2.%3.%4.%5.%6.%7.%8."/>
      <w:lvlJc w:val="left"/>
      <w:pPr>
        <w:tabs>
          <w:tab w:val="num" w:pos="3420"/>
        </w:tabs>
        <w:ind w:left="3420" w:hanging="2160"/>
      </w:pPr>
    </w:lvl>
    <w:lvl w:ilvl="8">
      <w:start w:val="1"/>
      <w:numFmt w:val="decimal"/>
      <w:lvlText w:val="%1.%2.%3.%4.%5.%6.%7.%8.%9."/>
      <w:lvlJc w:val="left"/>
      <w:pPr>
        <w:tabs>
          <w:tab w:val="num" w:pos="3600"/>
        </w:tabs>
        <w:ind w:left="3600" w:hanging="2160"/>
      </w:pPr>
    </w:lvl>
  </w:abstractNum>
  <w:abstractNum w:abstractNumId="17">
    <w:nsid w:val="4D4A6788"/>
    <w:multiLevelType w:val="hybridMultilevel"/>
    <w:tmpl w:val="3DB0040E"/>
    <w:lvl w:ilvl="0">
      <w:start w:val="1"/>
      <w:numFmt w:val="upperRoman"/>
      <w:lvlText w:val="%1."/>
      <w:lvlJc w:val="left"/>
      <w:pPr>
        <w:tabs>
          <w:tab w:val="num" w:pos="1080"/>
        </w:tabs>
        <w:ind w:left="1080" w:hanging="720"/>
      </w:pPr>
      <w:rPr>
        <w:rFonts w:cs="Times New Roman"/>
        <w:rtl w:val="0"/>
      </w:rPr>
    </w:lvl>
    <w:lvl w:ilvl="1">
      <w:start w:val="1"/>
      <w:numFmt w:val="decimal"/>
      <w:lvlText w:val="%2."/>
      <w:lvlJc w:val="left"/>
      <w:pPr>
        <w:tabs>
          <w:tab w:val="num" w:pos="1440"/>
        </w:tabs>
        <w:ind w:left="1440" w:hanging="360"/>
      </w:pPr>
      <w:rPr>
        <w:rFonts w:cs="Times New Roman"/>
        <w:rtl w:val="0"/>
      </w:rPr>
    </w:lvl>
    <w:lvl w:ilvl="2">
      <w:start w:val="1"/>
      <w:numFmt w:val="lowerRoman"/>
      <w:lvlText w:val="%3."/>
      <w:lvlJc w:val="right"/>
      <w:pPr>
        <w:tabs>
          <w:tab w:val="num" w:pos="2160"/>
        </w:tabs>
        <w:ind w:left="2160" w:hanging="180"/>
      </w:pPr>
      <w:rPr>
        <w:rFonts w:cs="Times New Roman"/>
        <w:rtl w:val="0"/>
      </w:rPr>
    </w:lvl>
    <w:lvl w:ilvl="3">
      <w:start w:val="1"/>
      <w:numFmt w:val="decimal"/>
      <w:lvlText w:val="%4."/>
      <w:lvlJc w:val="left"/>
      <w:pPr>
        <w:tabs>
          <w:tab w:val="num" w:pos="2880"/>
        </w:tabs>
        <w:ind w:left="2880" w:hanging="360"/>
      </w:pPr>
      <w:rPr>
        <w:rFonts w:cs="Times New Roman"/>
        <w:rtl w:val="0"/>
      </w:rPr>
    </w:lvl>
    <w:lvl w:ilvl="4">
      <w:start w:val="1"/>
      <w:numFmt w:val="lowerLetter"/>
      <w:lvlText w:val="%5."/>
      <w:lvlJc w:val="left"/>
      <w:pPr>
        <w:tabs>
          <w:tab w:val="num" w:pos="3600"/>
        </w:tabs>
        <w:ind w:left="3600" w:hanging="360"/>
      </w:pPr>
      <w:rPr>
        <w:rFonts w:cs="Times New Roman"/>
        <w:rtl w:val="0"/>
      </w:rPr>
    </w:lvl>
    <w:lvl w:ilvl="5">
      <w:start w:val="1"/>
      <w:numFmt w:val="lowerRoman"/>
      <w:lvlText w:val="%6."/>
      <w:lvlJc w:val="right"/>
      <w:pPr>
        <w:tabs>
          <w:tab w:val="num" w:pos="4320"/>
        </w:tabs>
        <w:ind w:left="4320" w:hanging="180"/>
      </w:pPr>
      <w:rPr>
        <w:rFonts w:cs="Times New Roman"/>
        <w:rtl w:val="0"/>
      </w:rPr>
    </w:lvl>
    <w:lvl w:ilvl="6">
      <w:start w:val="1"/>
      <w:numFmt w:val="decimal"/>
      <w:lvlText w:val="%7."/>
      <w:lvlJc w:val="left"/>
      <w:pPr>
        <w:tabs>
          <w:tab w:val="num" w:pos="5040"/>
        </w:tabs>
        <w:ind w:left="5040" w:hanging="360"/>
      </w:pPr>
      <w:rPr>
        <w:rFonts w:cs="Times New Roman"/>
        <w:rtl w:val="0"/>
      </w:rPr>
    </w:lvl>
    <w:lvl w:ilvl="7">
      <w:start w:val="1"/>
      <w:numFmt w:val="lowerLetter"/>
      <w:lvlText w:val="%8."/>
      <w:lvlJc w:val="left"/>
      <w:pPr>
        <w:tabs>
          <w:tab w:val="num" w:pos="5760"/>
        </w:tabs>
        <w:ind w:left="5760" w:hanging="360"/>
      </w:pPr>
      <w:rPr>
        <w:rFonts w:cs="Times New Roman"/>
        <w:rtl w:val="0"/>
      </w:rPr>
    </w:lvl>
    <w:lvl w:ilvl="8">
      <w:start w:val="1"/>
      <w:numFmt w:val="lowerRoman"/>
      <w:lvlText w:val="%9."/>
      <w:lvlJc w:val="right"/>
      <w:pPr>
        <w:tabs>
          <w:tab w:val="num" w:pos="6480"/>
        </w:tabs>
        <w:ind w:left="6480" w:hanging="180"/>
      </w:pPr>
      <w:rPr>
        <w:rFonts w:cs="Times New Roman"/>
        <w:rtl w:val="0"/>
      </w:rPr>
    </w:lvl>
  </w:abstractNum>
  <w:abstractNum w:abstractNumId="18">
    <w:nsid w:val="4EED13F1"/>
    <w:multiLevelType w:val="hybridMultilevel"/>
    <w:tmpl w:val="E5663AA2"/>
    <w:lvl w:ilvl="0">
      <w:start w:val="0"/>
      <w:numFmt w:val="bullet"/>
      <w:lvlText w:val="-"/>
      <w:lvlJc w:val="left"/>
      <w:pPr>
        <w:tabs>
          <w:tab w:val="num" w:pos="420"/>
        </w:tabs>
        <w:ind w:left="420" w:hanging="420"/>
      </w:pPr>
      <w:rPr>
        <w:rFonts w:ascii="Times New Roman" w:hAnsi="Times New Roman"/>
        <w:rtl w:val="0"/>
      </w:rPr>
    </w:lvl>
    <w:lvl w:ilvl="1">
      <w:start w:val="1"/>
      <w:numFmt w:val="bullet"/>
      <w:lvlText w:val="o"/>
      <w:lvlJc w:val="left"/>
      <w:pPr>
        <w:tabs>
          <w:tab w:val="num" w:pos="1080"/>
        </w:tabs>
        <w:ind w:left="1080" w:hanging="360"/>
      </w:pPr>
      <w:rPr>
        <w:rFonts w:ascii="Courier New" w:hAnsi="Courier New" w:cs="Courier New"/>
        <w:rtl w:val="0"/>
      </w:rPr>
    </w:lvl>
    <w:lvl w:ilvl="2">
      <w:start w:val="1"/>
      <w:numFmt w:val="bullet"/>
      <w:lvlText w:val=""/>
      <w:lvlJc w:val="left"/>
      <w:pPr>
        <w:tabs>
          <w:tab w:val="num" w:pos="1800"/>
        </w:tabs>
        <w:ind w:left="1800" w:hanging="360"/>
      </w:pPr>
      <w:rPr>
        <w:rFonts w:ascii="Wingdings" w:hAnsi="Wingdings" w:cs="Wingdings"/>
        <w:rtl w:val="0"/>
      </w:rPr>
    </w:lvl>
    <w:lvl w:ilvl="3">
      <w:start w:val="1"/>
      <w:numFmt w:val="bullet"/>
      <w:lvlText w:val=""/>
      <w:lvlJc w:val="left"/>
      <w:pPr>
        <w:tabs>
          <w:tab w:val="num" w:pos="2520"/>
        </w:tabs>
        <w:ind w:left="2520" w:hanging="360"/>
      </w:pPr>
      <w:rPr>
        <w:rFonts w:ascii="Symbol" w:hAnsi="Symbol" w:cs="Symbol"/>
        <w:rtl w:val="0"/>
      </w:rPr>
    </w:lvl>
    <w:lvl w:ilvl="4">
      <w:start w:val="1"/>
      <w:numFmt w:val="bullet"/>
      <w:lvlText w:val="o"/>
      <w:lvlJc w:val="left"/>
      <w:pPr>
        <w:tabs>
          <w:tab w:val="num" w:pos="3240"/>
        </w:tabs>
        <w:ind w:left="3240" w:hanging="360"/>
      </w:pPr>
      <w:rPr>
        <w:rFonts w:ascii="Courier New" w:hAnsi="Courier New" w:cs="Courier New"/>
        <w:rtl w:val="0"/>
      </w:rPr>
    </w:lvl>
    <w:lvl w:ilvl="5">
      <w:start w:val="1"/>
      <w:numFmt w:val="bullet"/>
      <w:lvlText w:val=""/>
      <w:lvlJc w:val="left"/>
      <w:pPr>
        <w:tabs>
          <w:tab w:val="num" w:pos="3960"/>
        </w:tabs>
        <w:ind w:left="3960" w:hanging="360"/>
      </w:pPr>
      <w:rPr>
        <w:rFonts w:ascii="Wingdings" w:hAnsi="Wingdings" w:cs="Wingdings"/>
        <w:rtl w:val="0"/>
      </w:rPr>
    </w:lvl>
    <w:lvl w:ilvl="6">
      <w:start w:val="1"/>
      <w:numFmt w:val="bullet"/>
      <w:lvlText w:val=""/>
      <w:lvlJc w:val="left"/>
      <w:pPr>
        <w:tabs>
          <w:tab w:val="num" w:pos="4680"/>
        </w:tabs>
        <w:ind w:left="4680" w:hanging="360"/>
      </w:pPr>
      <w:rPr>
        <w:rFonts w:ascii="Symbol" w:hAnsi="Symbol" w:cs="Symbol"/>
        <w:rtl w:val="0"/>
      </w:rPr>
    </w:lvl>
    <w:lvl w:ilvl="7">
      <w:start w:val="1"/>
      <w:numFmt w:val="bullet"/>
      <w:lvlText w:val="o"/>
      <w:lvlJc w:val="left"/>
      <w:pPr>
        <w:tabs>
          <w:tab w:val="num" w:pos="5400"/>
        </w:tabs>
        <w:ind w:left="5400" w:hanging="360"/>
      </w:pPr>
      <w:rPr>
        <w:rFonts w:ascii="Courier New" w:hAnsi="Courier New" w:cs="Courier New"/>
        <w:rtl w:val="0"/>
      </w:rPr>
    </w:lvl>
    <w:lvl w:ilvl="8">
      <w:start w:val="1"/>
      <w:numFmt w:val="bullet"/>
      <w:lvlText w:val=""/>
      <w:lvlJc w:val="left"/>
      <w:pPr>
        <w:tabs>
          <w:tab w:val="num" w:pos="6120"/>
        </w:tabs>
        <w:ind w:left="6120" w:hanging="360"/>
      </w:pPr>
      <w:rPr>
        <w:rFonts w:ascii="Wingdings" w:hAnsi="Wingdings" w:cs="Wingdings"/>
        <w:rtl w:val="0"/>
      </w:rPr>
    </w:lvl>
  </w:abstractNum>
  <w:abstractNum w:abstractNumId="19">
    <w:nsid w:val="50B755ED"/>
    <w:multiLevelType w:val="hybridMultilevel"/>
    <w:tmpl w:val="D51C40A6"/>
    <w:lvl w:ilvl="0">
      <w:start w:val="1"/>
      <w:numFmt w:val="bullet"/>
      <w:lvlText w:val="-"/>
      <w:lvlJc w:val="left"/>
      <w:pPr>
        <w:tabs>
          <w:tab w:val="num" w:pos="1260"/>
        </w:tabs>
        <w:ind w:left="1260" w:hanging="360"/>
      </w:pPr>
      <w:rPr>
        <w:rFonts w:ascii="Times New Roman" w:hAnsi="Times New Roman" w:cs="Times New Roman"/>
        <w:rtl w:val="0"/>
      </w:rPr>
    </w:lvl>
    <w:lvl w:ilvl="1">
      <w:start w:val="1"/>
      <w:numFmt w:val="bullet"/>
      <w:lvlText w:val="o"/>
      <w:lvlJc w:val="left"/>
      <w:pPr>
        <w:tabs>
          <w:tab w:val="num" w:pos="1980"/>
        </w:tabs>
        <w:ind w:left="1980" w:hanging="360"/>
      </w:pPr>
      <w:rPr>
        <w:rFonts w:ascii="Courier New" w:hAnsi="Courier New" w:cs="Courier New"/>
        <w:rtl w:val="0"/>
      </w:rPr>
    </w:lvl>
    <w:lvl w:ilvl="2">
      <w:start w:val="1"/>
      <w:numFmt w:val="bullet"/>
      <w:lvlText w:val=""/>
      <w:lvlJc w:val="left"/>
      <w:pPr>
        <w:tabs>
          <w:tab w:val="num" w:pos="2700"/>
        </w:tabs>
        <w:ind w:left="2700" w:hanging="360"/>
      </w:pPr>
      <w:rPr>
        <w:rFonts w:ascii="Wingdings" w:hAnsi="Wingdings"/>
        <w:rtl w:val="0"/>
      </w:rPr>
    </w:lvl>
    <w:lvl w:ilvl="3">
      <w:start w:val="1"/>
      <w:numFmt w:val="bullet"/>
      <w:lvlText w:val=""/>
      <w:lvlJc w:val="left"/>
      <w:pPr>
        <w:tabs>
          <w:tab w:val="num" w:pos="3420"/>
        </w:tabs>
        <w:ind w:left="3420" w:hanging="360"/>
      </w:pPr>
      <w:rPr>
        <w:rFonts w:ascii="Symbol" w:hAnsi="Symbol"/>
        <w:rtl w:val="0"/>
      </w:rPr>
    </w:lvl>
    <w:lvl w:ilvl="4">
      <w:start w:val="1"/>
      <w:numFmt w:val="bullet"/>
      <w:lvlText w:val="o"/>
      <w:lvlJc w:val="left"/>
      <w:pPr>
        <w:tabs>
          <w:tab w:val="num" w:pos="4140"/>
        </w:tabs>
        <w:ind w:left="4140" w:hanging="360"/>
      </w:pPr>
      <w:rPr>
        <w:rFonts w:ascii="Courier New" w:hAnsi="Courier New" w:cs="Courier New"/>
        <w:rtl w:val="0"/>
      </w:rPr>
    </w:lvl>
    <w:lvl w:ilvl="5">
      <w:start w:val="1"/>
      <w:numFmt w:val="bullet"/>
      <w:lvlText w:val=""/>
      <w:lvlJc w:val="left"/>
      <w:pPr>
        <w:tabs>
          <w:tab w:val="num" w:pos="4860"/>
        </w:tabs>
        <w:ind w:left="4860" w:hanging="360"/>
      </w:pPr>
      <w:rPr>
        <w:rFonts w:ascii="Wingdings" w:hAnsi="Wingdings"/>
        <w:rtl w:val="0"/>
      </w:rPr>
    </w:lvl>
    <w:lvl w:ilvl="6">
      <w:start w:val="1"/>
      <w:numFmt w:val="bullet"/>
      <w:lvlText w:val=""/>
      <w:lvlJc w:val="left"/>
      <w:pPr>
        <w:tabs>
          <w:tab w:val="num" w:pos="5580"/>
        </w:tabs>
        <w:ind w:left="5580" w:hanging="360"/>
      </w:pPr>
      <w:rPr>
        <w:rFonts w:ascii="Symbol" w:hAnsi="Symbol"/>
        <w:rtl w:val="0"/>
      </w:rPr>
    </w:lvl>
    <w:lvl w:ilvl="7">
      <w:start w:val="1"/>
      <w:numFmt w:val="bullet"/>
      <w:lvlText w:val="o"/>
      <w:lvlJc w:val="left"/>
      <w:pPr>
        <w:tabs>
          <w:tab w:val="num" w:pos="6300"/>
        </w:tabs>
        <w:ind w:left="6300" w:hanging="360"/>
      </w:pPr>
      <w:rPr>
        <w:rFonts w:ascii="Courier New" w:hAnsi="Courier New" w:cs="Courier New"/>
        <w:rtl w:val="0"/>
      </w:rPr>
    </w:lvl>
    <w:lvl w:ilvl="8">
      <w:start w:val="1"/>
      <w:numFmt w:val="bullet"/>
      <w:lvlText w:val=""/>
      <w:lvlJc w:val="left"/>
      <w:pPr>
        <w:tabs>
          <w:tab w:val="num" w:pos="7020"/>
        </w:tabs>
        <w:ind w:left="7020" w:hanging="360"/>
      </w:pPr>
      <w:rPr>
        <w:rFonts w:ascii="Wingdings" w:hAnsi="Wingdings"/>
        <w:rtl w:val="0"/>
      </w:rPr>
    </w:lvl>
  </w:abstractNum>
  <w:abstractNum w:abstractNumId="20">
    <w:nsid w:val="5A567128"/>
    <w:multiLevelType w:val="multilevel"/>
    <w:tmpl w:val="B4D02F74"/>
    <w:lvl w:ilvl="0">
      <w:start w:val="1"/>
      <w:numFmt w:val="decimal"/>
      <w:lvlText w:val="%1."/>
      <w:lvlJc w:val="left"/>
      <w:pPr>
        <w:tabs>
          <w:tab w:val="num" w:pos="480"/>
        </w:tabs>
        <w:ind w:left="480" w:hanging="480"/>
      </w:pPr>
    </w:lvl>
    <w:lvl w:ilvl="1">
      <w:start w:val="7"/>
      <w:numFmt w:val="decimal"/>
      <w:lvlText w:val="%1.%2."/>
      <w:lvlJc w:val="left"/>
      <w:pPr>
        <w:tabs>
          <w:tab w:val="num" w:pos="900"/>
        </w:tabs>
        <w:ind w:left="90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21">
    <w:nsid w:val="5BB56679"/>
    <w:multiLevelType w:val="hybridMultilevel"/>
    <w:tmpl w:val="C6C8900E"/>
    <w:lvl w:ilvl="0">
      <w:start w:val="29"/>
      <w:numFmt w:val="bullet"/>
      <w:lvlText w:val="-"/>
      <w:lvlJc w:val="left"/>
      <w:pPr>
        <w:tabs>
          <w:tab w:val="num" w:pos="360"/>
        </w:tabs>
        <w:ind w:left="360" w:hanging="360"/>
      </w:pPr>
      <w:rPr>
        <w:rFonts w:ascii="Times New Roman" w:hAnsi="Times New Roman" w:cs="Times New Roman"/>
        <w:rtl w:val="0"/>
      </w:rPr>
    </w:lvl>
    <w:lvl w:ilvl="1">
      <w:start w:val="1"/>
      <w:numFmt w:val="bullet"/>
      <w:lvlText w:val="o"/>
      <w:lvlJc w:val="left"/>
      <w:pPr>
        <w:tabs>
          <w:tab w:val="num" w:pos="1080"/>
        </w:tabs>
        <w:ind w:left="1080" w:hanging="360"/>
      </w:pPr>
      <w:rPr>
        <w:rFonts w:ascii="Courier New" w:hAnsi="Courier New" w:cs="Courier New"/>
        <w:rtl w:val="0"/>
      </w:rPr>
    </w:lvl>
    <w:lvl w:ilvl="2">
      <w:start w:val="1"/>
      <w:numFmt w:val="bullet"/>
      <w:lvlText w:val=""/>
      <w:lvlJc w:val="left"/>
      <w:pPr>
        <w:tabs>
          <w:tab w:val="num" w:pos="1800"/>
        </w:tabs>
        <w:ind w:left="1800" w:hanging="360"/>
      </w:pPr>
      <w:rPr>
        <w:rFonts w:ascii="Wingdings" w:hAnsi="Wingdings"/>
        <w:rtl w:val="0"/>
      </w:rPr>
    </w:lvl>
    <w:lvl w:ilvl="3">
      <w:start w:val="1"/>
      <w:numFmt w:val="bullet"/>
      <w:lvlText w:val=""/>
      <w:lvlJc w:val="left"/>
      <w:pPr>
        <w:tabs>
          <w:tab w:val="num" w:pos="2520"/>
        </w:tabs>
        <w:ind w:left="2520" w:hanging="360"/>
      </w:pPr>
      <w:rPr>
        <w:rFonts w:ascii="Symbol" w:hAnsi="Symbol"/>
        <w:rtl w:val="0"/>
      </w:rPr>
    </w:lvl>
    <w:lvl w:ilvl="4">
      <w:start w:val="1"/>
      <w:numFmt w:val="bullet"/>
      <w:lvlText w:val="o"/>
      <w:lvlJc w:val="left"/>
      <w:pPr>
        <w:tabs>
          <w:tab w:val="num" w:pos="3240"/>
        </w:tabs>
        <w:ind w:left="3240" w:hanging="360"/>
      </w:pPr>
      <w:rPr>
        <w:rFonts w:ascii="Courier New" w:hAnsi="Courier New" w:cs="Courier New"/>
        <w:rtl w:val="0"/>
      </w:rPr>
    </w:lvl>
    <w:lvl w:ilvl="5">
      <w:start w:val="1"/>
      <w:numFmt w:val="bullet"/>
      <w:lvlText w:val=""/>
      <w:lvlJc w:val="left"/>
      <w:pPr>
        <w:tabs>
          <w:tab w:val="num" w:pos="3960"/>
        </w:tabs>
        <w:ind w:left="3960" w:hanging="360"/>
      </w:pPr>
      <w:rPr>
        <w:rFonts w:ascii="Wingdings" w:hAnsi="Wingdings"/>
        <w:rtl w:val="0"/>
      </w:rPr>
    </w:lvl>
    <w:lvl w:ilvl="6">
      <w:start w:val="1"/>
      <w:numFmt w:val="bullet"/>
      <w:lvlText w:val=""/>
      <w:lvlJc w:val="left"/>
      <w:pPr>
        <w:tabs>
          <w:tab w:val="num" w:pos="4680"/>
        </w:tabs>
        <w:ind w:left="4680" w:hanging="360"/>
      </w:pPr>
      <w:rPr>
        <w:rFonts w:ascii="Symbol" w:hAnsi="Symbol"/>
        <w:rtl w:val="0"/>
      </w:rPr>
    </w:lvl>
    <w:lvl w:ilvl="7">
      <w:start w:val="1"/>
      <w:numFmt w:val="bullet"/>
      <w:lvlText w:val="o"/>
      <w:lvlJc w:val="left"/>
      <w:pPr>
        <w:tabs>
          <w:tab w:val="num" w:pos="5400"/>
        </w:tabs>
        <w:ind w:left="5400" w:hanging="360"/>
      </w:pPr>
      <w:rPr>
        <w:rFonts w:ascii="Courier New" w:hAnsi="Courier New" w:cs="Courier New"/>
        <w:rtl w:val="0"/>
      </w:rPr>
    </w:lvl>
    <w:lvl w:ilvl="8">
      <w:start w:val="1"/>
      <w:numFmt w:val="bullet"/>
      <w:lvlText w:val=""/>
      <w:lvlJc w:val="left"/>
      <w:pPr>
        <w:tabs>
          <w:tab w:val="num" w:pos="6120"/>
        </w:tabs>
        <w:ind w:left="6120" w:hanging="360"/>
      </w:pPr>
      <w:rPr>
        <w:rFonts w:ascii="Wingdings" w:hAnsi="Wingdings"/>
        <w:rtl w:val="0"/>
      </w:rPr>
    </w:lvl>
  </w:abstractNum>
  <w:abstractNum w:abstractNumId="22">
    <w:nsid w:val="5C4D2E2A"/>
    <w:multiLevelType w:val="singleLevel"/>
    <w:tmpl w:val="7A30F036"/>
    <w:lvl w:ilvl="0">
      <w:start w:val="1"/>
      <w:numFmt w:val="bullet"/>
      <w:lvlText w:val="-"/>
      <w:lvlJc w:val="left"/>
      <w:pPr>
        <w:tabs>
          <w:tab w:val="num" w:pos="630"/>
        </w:tabs>
        <w:ind w:left="630" w:hanging="630"/>
      </w:pPr>
    </w:lvl>
  </w:abstractNum>
  <w:abstractNum w:abstractNumId="23">
    <w:nsid w:val="5CB55F41"/>
    <w:multiLevelType w:val="hybridMultilevel"/>
    <w:tmpl w:val="FC200714"/>
    <w:lvl w:ilvl="0">
      <w:start w:val="1"/>
      <w:numFmt w:val="bullet"/>
      <w:lvlText w:val="-"/>
      <w:lvlJc w:val="left"/>
      <w:pPr>
        <w:tabs>
          <w:tab w:val="num" w:pos="630"/>
        </w:tabs>
        <w:ind w:left="630" w:hanging="630"/>
      </w:pPr>
    </w:lvl>
    <w:lvl w:ilvl="1">
      <w:start w:val="1"/>
      <w:numFmt w:val="bullet"/>
      <w:lvlText w:val="o"/>
      <w:lvlJc w:val="left"/>
      <w:pPr>
        <w:tabs>
          <w:tab w:val="num" w:pos="1440"/>
        </w:tabs>
        <w:ind w:left="1440" w:hanging="360"/>
      </w:pPr>
      <w:rPr>
        <w:rFonts w:ascii="Courier New" w:hAnsi="Courier New" w:cs="Courier New"/>
        <w:rtl w:val="0"/>
      </w:rPr>
    </w:lvl>
    <w:lvl w:ilvl="2">
      <w:start w:val="1"/>
      <w:numFmt w:val="bullet"/>
      <w:lvlText w:val=""/>
      <w:lvlJc w:val="left"/>
      <w:pPr>
        <w:tabs>
          <w:tab w:val="num" w:pos="2160"/>
        </w:tabs>
        <w:ind w:left="2160" w:hanging="360"/>
      </w:pPr>
      <w:rPr>
        <w:rFonts w:ascii="Wingdings" w:hAnsi="Wingdings"/>
        <w:rtl w:val="0"/>
      </w:rPr>
    </w:lvl>
    <w:lvl w:ilvl="3">
      <w:start w:val="1"/>
      <w:numFmt w:val="bullet"/>
      <w:lvlText w:val=""/>
      <w:lvlJc w:val="left"/>
      <w:pPr>
        <w:tabs>
          <w:tab w:val="num" w:pos="2880"/>
        </w:tabs>
        <w:ind w:left="2880" w:hanging="360"/>
      </w:pPr>
      <w:rPr>
        <w:rFonts w:ascii="Symbol" w:hAnsi="Symbol"/>
        <w:rtl w:val="0"/>
      </w:rPr>
    </w:lvl>
    <w:lvl w:ilvl="4">
      <w:start w:val="1"/>
      <w:numFmt w:val="bullet"/>
      <w:lvlText w:val="o"/>
      <w:lvlJc w:val="left"/>
      <w:pPr>
        <w:tabs>
          <w:tab w:val="num" w:pos="3600"/>
        </w:tabs>
        <w:ind w:left="3600" w:hanging="360"/>
      </w:pPr>
      <w:rPr>
        <w:rFonts w:ascii="Courier New" w:hAnsi="Courier New" w:cs="Courier New"/>
        <w:rtl w:val="0"/>
      </w:rPr>
    </w:lvl>
    <w:lvl w:ilvl="5">
      <w:start w:val="1"/>
      <w:numFmt w:val="bullet"/>
      <w:lvlText w:val=""/>
      <w:lvlJc w:val="left"/>
      <w:pPr>
        <w:tabs>
          <w:tab w:val="num" w:pos="4320"/>
        </w:tabs>
        <w:ind w:left="4320" w:hanging="360"/>
      </w:pPr>
      <w:rPr>
        <w:rFonts w:ascii="Wingdings" w:hAnsi="Wingdings"/>
        <w:rtl w:val="0"/>
      </w:rPr>
    </w:lvl>
    <w:lvl w:ilvl="6">
      <w:start w:val="1"/>
      <w:numFmt w:val="bullet"/>
      <w:lvlText w:val=""/>
      <w:lvlJc w:val="left"/>
      <w:pPr>
        <w:tabs>
          <w:tab w:val="num" w:pos="5040"/>
        </w:tabs>
        <w:ind w:left="5040" w:hanging="360"/>
      </w:pPr>
      <w:rPr>
        <w:rFonts w:ascii="Symbol" w:hAnsi="Symbol"/>
        <w:rtl w:val="0"/>
      </w:rPr>
    </w:lvl>
    <w:lvl w:ilvl="7">
      <w:start w:val="1"/>
      <w:numFmt w:val="bullet"/>
      <w:lvlText w:val="o"/>
      <w:lvlJc w:val="left"/>
      <w:pPr>
        <w:tabs>
          <w:tab w:val="num" w:pos="5760"/>
        </w:tabs>
        <w:ind w:left="5760" w:hanging="360"/>
      </w:pPr>
      <w:rPr>
        <w:rFonts w:ascii="Courier New" w:hAnsi="Courier New" w:cs="Courier New"/>
        <w:rtl w:val="0"/>
      </w:rPr>
    </w:lvl>
    <w:lvl w:ilvl="8">
      <w:start w:val="1"/>
      <w:numFmt w:val="bullet"/>
      <w:lvlText w:val=""/>
      <w:lvlJc w:val="left"/>
      <w:pPr>
        <w:tabs>
          <w:tab w:val="num" w:pos="6480"/>
        </w:tabs>
        <w:ind w:left="6480" w:hanging="360"/>
      </w:pPr>
      <w:rPr>
        <w:rFonts w:ascii="Wingdings" w:hAnsi="Wingdings"/>
        <w:rtl w:val="0"/>
      </w:rPr>
    </w:lvl>
  </w:abstractNum>
  <w:abstractNum w:abstractNumId="24">
    <w:nsid w:val="5CC829E3"/>
    <w:multiLevelType w:val="hybridMultilevel"/>
    <w:tmpl w:val="0220F7D6"/>
    <w:lvl w:ilvl="0">
      <w:start w:val="3"/>
      <w:numFmt w:val="bullet"/>
      <w:lvlText w:val="-"/>
      <w:lvlJc w:val="left"/>
      <w:pPr>
        <w:tabs>
          <w:tab w:val="num" w:pos="720"/>
        </w:tabs>
        <w:ind w:left="720" w:hanging="360"/>
      </w:pPr>
      <w:rPr>
        <w:rFonts w:ascii="Times New Roman" w:hAnsi="Times New Roman" w:cs="Times New Roman"/>
        <w:rtl w:val="0"/>
      </w:rPr>
    </w:lvl>
    <w:lvl w:ilvl="1">
      <w:start w:val="1"/>
      <w:numFmt w:val="bullet"/>
      <w:lvlText w:val="o"/>
      <w:lvlJc w:val="left"/>
      <w:pPr>
        <w:tabs>
          <w:tab w:val="num" w:pos="1440"/>
        </w:tabs>
        <w:ind w:left="1440" w:hanging="360"/>
      </w:pPr>
      <w:rPr>
        <w:rFonts w:ascii="Courier New" w:hAnsi="Courier New"/>
        <w:rtl w:val="0"/>
      </w:rPr>
    </w:lvl>
    <w:lvl w:ilvl="2">
      <w:start w:val="1"/>
      <w:numFmt w:val="bullet"/>
      <w:lvlText w:val=""/>
      <w:lvlJc w:val="left"/>
      <w:pPr>
        <w:tabs>
          <w:tab w:val="num" w:pos="2160"/>
        </w:tabs>
        <w:ind w:left="2160" w:hanging="360"/>
      </w:pPr>
      <w:rPr>
        <w:rFonts w:ascii="Wingdings" w:hAnsi="Wingdings"/>
        <w:rtl w:val="0"/>
      </w:rPr>
    </w:lvl>
    <w:lvl w:ilvl="3">
      <w:start w:val="1"/>
      <w:numFmt w:val="bullet"/>
      <w:lvlText w:val=""/>
      <w:lvlJc w:val="left"/>
      <w:pPr>
        <w:tabs>
          <w:tab w:val="num" w:pos="2880"/>
        </w:tabs>
        <w:ind w:left="2880" w:hanging="360"/>
      </w:pPr>
      <w:rPr>
        <w:rFonts w:ascii="Symbol" w:hAnsi="Symbol"/>
        <w:rtl w:val="0"/>
      </w:rPr>
    </w:lvl>
    <w:lvl w:ilvl="4">
      <w:start w:val="1"/>
      <w:numFmt w:val="bullet"/>
      <w:lvlText w:val="o"/>
      <w:lvlJc w:val="left"/>
      <w:pPr>
        <w:tabs>
          <w:tab w:val="num" w:pos="3600"/>
        </w:tabs>
        <w:ind w:left="3600" w:hanging="360"/>
      </w:pPr>
      <w:rPr>
        <w:rFonts w:ascii="Courier New" w:hAnsi="Courier New"/>
        <w:rtl w:val="0"/>
      </w:rPr>
    </w:lvl>
    <w:lvl w:ilvl="5">
      <w:start w:val="1"/>
      <w:numFmt w:val="bullet"/>
      <w:lvlText w:val=""/>
      <w:lvlJc w:val="left"/>
      <w:pPr>
        <w:tabs>
          <w:tab w:val="num" w:pos="4320"/>
        </w:tabs>
        <w:ind w:left="4320" w:hanging="360"/>
      </w:pPr>
      <w:rPr>
        <w:rFonts w:ascii="Wingdings" w:hAnsi="Wingdings"/>
        <w:rtl w:val="0"/>
      </w:rPr>
    </w:lvl>
    <w:lvl w:ilvl="6">
      <w:start w:val="1"/>
      <w:numFmt w:val="bullet"/>
      <w:lvlText w:val=""/>
      <w:lvlJc w:val="left"/>
      <w:pPr>
        <w:tabs>
          <w:tab w:val="num" w:pos="5040"/>
        </w:tabs>
        <w:ind w:left="5040" w:hanging="360"/>
      </w:pPr>
      <w:rPr>
        <w:rFonts w:ascii="Symbol" w:hAnsi="Symbol"/>
        <w:rtl w:val="0"/>
      </w:rPr>
    </w:lvl>
    <w:lvl w:ilvl="7">
      <w:start w:val="1"/>
      <w:numFmt w:val="bullet"/>
      <w:lvlText w:val="o"/>
      <w:lvlJc w:val="left"/>
      <w:pPr>
        <w:tabs>
          <w:tab w:val="num" w:pos="5760"/>
        </w:tabs>
        <w:ind w:left="5760" w:hanging="360"/>
      </w:pPr>
      <w:rPr>
        <w:rFonts w:ascii="Courier New" w:hAnsi="Courier New"/>
        <w:rtl w:val="0"/>
      </w:rPr>
    </w:lvl>
    <w:lvl w:ilvl="8">
      <w:start w:val="1"/>
      <w:numFmt w:val="bullet"/>
      <w:lvlText w:val=""/>
      <w:lvlJc w:val="left"/>
      <w:pPr>
        <w:tabs>
          <w:tab w:val="num" w:pos="6480"/>
        </w:tabs>
        <w:ind w:left="6480" w:hanging="360"/>
      </w:pPr>
      <w:rPr>
        <w:rFonts w:ascii="Wingdings" w:hAnsi="Wingdings"/>
        <w:rtl w:val="0"/>
      </w:rPr>
    </w:lvl>
  </w:abstractNum>
  <w:abstractNum w:abstractNumId="25">
    <w:nsid w:val="63EC29CB"/>
    <w:multiLevelType w:val="hybridMultilevel"/>
    <w:tmpl w:val="BE64ACBA"/>
    <w:lvl w:ilvl="0">
      <w:start w:val="1"/>
      <w:numFmt w:val="upperLetter"/>
      <w:lvlText w:val="%1."/>
      <w:lvlJc w:val="left"/>
      <w:pPr>
        <w:tabs>
          <w:tab w:val="num" w:pos="660"/>
        </w:tabs>
        <w:ind w:left="660" w:hanging="360"/>
      </w:pPr>
    </w:lvl>
    <w:lvl w:ilvl="1">
      <w:start w:val="1"/>
      <w:numFmt w:val="lowerLetter"/>
      <w:lvlText w:val="%2."/>
      <w:lvlJc w:val="left"/>
      <w:pPr>
        <w:tabs>
          <w:tab w:val="num" w:pos="1380"/>
        </w:tabs>
        <w:ind w:left="1380" w:hanging="360"/>
      </w:pPr>
    </w:lvl>
    <w:lvl w:ilvl="2">
      <w:start w:val="1"/>
      <w:numFmt w:val="lowerRoman"/>
      <w:lvlText w:val="%3."/>
      <w:lvlJc w:val="right"/>
      <w:pPr>
        <w:tabs>
          <w:tab w:val="num" w:pos="2100"/>
        </w:tabs>
        <w:ind w:left="2100" w:hanging="180"/>
      </w:pPr>
    </w:lvl>
    <w:lvl w:ilvl="3">
      <w:start w:val="1"/>
      <w:numFmt w:val="decimal"/>
      <w:lvlText w:val="%4."/>
      <w:lvlJc w:val="left"/>
      <w:pPr>
        <w:tabs>
          <w:tab w:val="num" w:pos="2820"/>
        </w:tabs>
        <w:ind w:left="2820" w:hanging="360"/>
      </w:pPr>
    </w:lvl>
    <w:lvl w:ilvl="4">
      <w:start w:val="1"/>
      <w:numFmt w:val="lowerLetter"/>
      <w:lvlText w:val="%5."/>
      <w:lvlJc w:val="left"/>
      <w:pPr>
        <w:tabs>
          <w:tab w:val="num" w:pos="3540"/>
        </w:tabs>
        <w:ind w:left="3540" w:hanging="360"/>
      </w:pPr>
    </w:lvl>
    <w:lvl w:ilvl="5">
      <w:start w:val="1"/>
      <w:numFmt w:val="lowerRoman"/>
      <w:lvlText w:val="%6."/>
      <w:lvlJc w:val="right"/>
      <w:pPr>
        <w:tabs>
          <w:tab w:val="num" w:pos="4260"/>
        </w:tabs>
        <w:ind w:left="4260" w:hanging="180"/>
      </w:pPr>
    </w:lvl>
    <w:lvl w:ilvl="6">
      <w:start w:val="1"/>
      <w:numFmt w:val="decimal"/>
      <w:lvlText w:val="%7."/>
      <w:lvlJc w:val="left"/>
      <w:pPr>
        <w:tabs>
          <w:tab w:val="num" w:pos="4980"/>
        </w:tabs>
        <w:ind w:left="4980" w:hanging="360"/>
      </w:pPr>
    </w:lvl>
    <w:lvl w:ilvl="7">
      <w:start w:val="1"/>
      <w:numFmt w:val="lowerLetter"/>
      <w:lvlText w:val="%8."/>
      <w:lvlJc w:val="left"/>
      <w:pPr>
        <w:tabs>
          <w:tab w:val="num" w:pos="5700"/>
        </w:tabs>
        <w:ind w:left="5700" w:hanging="360"/>
      </w:pPr>
    </w:lvl>
    <w:lvl w:ilvl="8">
      <w:start w:val="1"/>
      <w:numFmt w:val="lowerRoman"/>
      <w:lvlText w:val="%9."/>
      <w:lvlJc w:val="right"/>
      <w:pPr>
        <w:tabs>
          <w:tab w:val="num" w:pos="6420"/>
        </w:tabs>
        <w:ind w:left="6420" w:hanging="180"/>
      </w:pPr>
    </w:lvl>
  </w:abstractNum>
  <w:abstractNum w:abstractNumId="26">
    <w:nsid w:val="64107DAB"/>
    <w:multiLevelType w:val="hybridMultilevel"/>
    <w:tmpl w:val="C32C185C"/>
    <w:lvl w:ilvl="0">
      <w:start w:val="2"/>
      <w:numFmt w:val="lowerLetter"/>
      <w:lvlText w:val="%1.)"/>
      <w:lvlJc w:val="left"/>
      <w:pPr>
        <w:tabs>
          <w:tab w:val="num" w:pos="1977"/>
        </w:tabs>
        <w:ind w:left="1977" w:hanging="357"/>
      </w:pPr>
    </w:lvl>
    <w:lvl w:ilvl="1">
      <w:start w:val="1"/>
      <w:numFmt w:val="lowerLetter"/>
      <w:lvlText w:val="%2)"/>
      <w:lvlJc w:val="left"/>
      <w:pPr>
        <w:tabs>
          <w:tab w:val="num" w:pos="1440"/>
        </w:tabs>
        <w:ind w:left="1440" w:hanging="360"/>
      </w:pPr>
    </w:lvl>
    <w:lvl w:ilvl="2">
      <w:start w:val="810"/>
      <w:numFmt w:val="bullet"/>
      <w:lvlText w:val="-"/>
      <w:lvlJc w:val="left"/>
      <w:pPr>
        <w:tabs>
          <w:tab w:val="num" w:pos="2340"/>
        </w:tabs>
        <w:ind w:left="2340" w:hanging="360"/>
      </w:pPr>
      <w:rPr>
        <w:rFonts w:ascii="Times New Roman" w:hAnsi="Times New Roman" w:cs="Times New Roman"/>
        <w:rtl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6B685228"/>
    <w:multiLevelType w:val="hybridMultilevel"/>
    <w:tmpl w:val="B6903EAC"/>
    <w:lvl w:ilvl="0">
      <w:start w:val="0"/>
      <w:numFmt w:val="bullet"/>
      <w:lvlText w:val="-"/>
      <w:lvlJc w:val="left"/>
      <w:pPr>
        <w:tabs>
          <w:tab w:val="num" w:pos="720"/>
        </w:tabs>
        <w:ind w:left="720" w:hanging="360"/>
      </w:pPr>
      <w:rPr>
        <w:rFonts w:ascii="Times New Roman" w:hAnsi="Times New Roman" w:cs="Times New Roman"/>
        <w:rtl w:val="0"/>
      </w:rPr>
    </w:lvl>
    <w:lvl w:ilvl="1">
      <w:start w:val="1"/>
      <w:numFmt w:val="bullet"/>
      <w:lvlText w:val="o"/>
      <w:lvlJc w:val="left"/>
      <w:pPr>
        <w:tabs>
          <w:tab w:val="num" w:pos="1440"/>
        </w:tabs>
        <w:ind w:left="1440" w:hanging="360"/>
      </w:pPr>
      <w:rPr>
        <w:rFonts w:ascii="Courier New" w:hAnsi="Courier New" w:cs="Courier New"/>
        <w:rtl w:val="0"/>
      </w:rPr>
    </w:lvl>
    <w:lvl w:ilvl="2">
      <w:start w:val="1"/>
      <w:numFmt w:val="bullet"/>
      <w:lvlText w:val=""/>
      <w:lvlJc w:val="left"/>
      <w:pPr>
        <w:tabs>
          <w:tab w:val="num" w:pos="2160"/>
        </w:tabs>
        <w:ind w:left="2160" w:hanging="360"/>
      </w:pPr>
      <w:rPr>
        <w:rFonts w:ascii="Wingdings" w:hAnsi="Wingdings"/>
        <w:rtl w:val="0"/>
      </w:rPr>
    </w:lvl>
    <w:lvl w:ilvl="3">
      <w:start w:val="1"/>
      <w:numFmt w:val="bullet"/>
      <w:lvlText w:val=""/>
      <w:lvlJc w:val="left"/>
      <w:pPr>
        <w:tabs>
          <w:tab w:val="num" w:pos="2880"/>
        </w:tabs>
        <w:ind w:left="2880" w:hanging="360"/>
      </w:pPr>
      <w:rPr>
        <w:rFonts w:ascii="Symbol" w:hAnsi="Symbol"/>
        <w:rtl w:val="0"/>
      </w:rPr>
    </w:lvl>
    <w:lvl w:ilvl="4">
      <w:start w:val="1"/>
      <w:numFmt w:val="bullet"/>
      <w:lvlText w:val="o"/>
      <w:lvlJc w:val="left"/>
      <w:pPr>
        <w:tabs>
          <w:tab w:val="num" w:pos="3600"/>
        </w:tabs>
        <w:ind w:left="3600" w:hanging="360"/>
      </w:pPr>
      <w:rPr>
        <w:rFonts w:ascii="Courier New" w:hAnsi="Courier New" w:cs="Courier New"/>
        <w:rtl w:val="0"/>
      </w:rPr>
    </w:lvl>
    <w:lvl w:ilvl="5">
      <w:start w:val="1"/>
      <w:numFmt w:val="bullet"/>
      <w:lvlText w:val=""/>
      <w:lvlJc w:val="left"/>
      <w:pPr>
        <w:tabs>
          <w:tab w:val="num" w:pos="4320"/>
        </w:tabs>
        <w:ind w:left="4320" w:hanging="360"/>
      </w:pPr>
      <w:rPr>
        <w:rFonts w:ascii="Wingdings" w:hAnsi="Wingdings"/>
        <w:rtl w:val="0"/>
      </w:rPr>
    </w:lvl>
    <w:lvl w:ilvl="6">
      <w:start w:val="1"/>
      <w:numFmt w:val="bullet"/>
      <w:lvlText w:val=""/>
      <w:lvlJc w:val="left"/>
      <w:pPr>
        <w:tabs>
          <w:tab w:val="num" w:pos="5040"/>
        </w:tabs>
        <w:ind w:left="5040" w:hanging="360"/>
      </w:pPr>
      <w:rPr>
        <w:rFonts w:ascii="Symbol" w:hAnsi="Symbol"/>
        <w:rtl w:val="0"/>
      </w:rPr>
    </w:lvl>
    <w:lvl w:ilvl="7">
      <w:start w:val="1"/>
      <w:numFmt w:val="bullet"/>
      <w:lvlText w:val="o"/>
      <w:lvlJc w:val="left"/>
      <w:pPr>
        <w:tabs>
          <w:tab w:val="num" w:pos="5760"/>
        </w:tabs>
        <w:ind w:left="5760" w:hanging="360"/>
      </w:pPr>
      <w:rPr>
        <w:rFonts w:ascii="Courier New" w:hAnsi="Courier New" w:cs="Courier New"/>
        <w:rtl w:val="0"/>
      </w:rPr>
    </w:lvl>
    <w:lvl w:ilvl="8">
      <w:start w:val="1"/>
      <w:numFmt w:val="bullet"/>
      <w:lvlText w:val=""/>
      <w:lvlJc w:val="left"/>
      <w:pPr>
        <w:tabs>
          <w:tab w:val="num" w:pos="6480"/>
        </w:tabs>
        <w:ind w:left="6480" w:hanging="360"/>
      </w:pPr>
      <w:rPr>
        <w:rFonts w:ascii="Wingdings" w:hAnsi="Wingdings"/>
        <w:rtl w:val="0"/>
      </w:rPr>
    </w:lvl>
  </w:abstractNum>
  <w:abstractNum w:abstractNumId="28">
    <w:nsid w:val="6F1671AA"/>
    <w:multiLevelType w:val="hybridMultilevel"/>
    <w:tmpl w:val="207CAA80"/>
    <w:lvl w:ilvl="0">
      <w:start w:val="2"/>
      <w:numFmt w:val="decimal"/>
      <w:lvlText w:val="%1."/>
      <w:lvlJc w:val="left"/>
      <w:pPr>
        <w:tabs>
          <w:tab w:val="num" w:pos="840"/>
        </w:tabs>
        <w:ind w:left="840" w:hanging="4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71187768"/>
    <w:multiLevelType w:val="hybridMultilevel"/>
    <w:tmpl w:val="C484B3F4"/>
    <w:lvl w:ilvl="0">
      <w:start w:val="53"/>
      <w:numFmt w:val="bullet"/>
      <w:lvlText w:val="-"/>
      <w:lvlJc w:val="left"/>
      <w:pPr>
        <w:tabs>
          <w:tab w:val="num" w:pos="1653"/>
        </w:tabs>
        <w:ind w:left="1653" w:hanging="945"/>
      </w:pPr>
      <w:rPr>
        <w:rFonts w:ascii="Times New Roman" w:hAnsi="Times New Roman" w:cs="Times New Roman"/>
        <w:rtl w:val="0"/>
      </w:rPr>
    </w:lvl>
    <w:lvl w:ilvl="1">
      <w:start w:val="1"/>
      <w:numFmt w:val="bullet"/>
      <w:lvlText w:val="o"/>
      <w:lvlJc w:val="left"/>
      <w:pPr>
        <w:tabs>
          <w:tab w:val="num" w:pos="1788"/>
        </w:tabs>
        <w:ind w:left="1788" w:hanging="360"/>
      </w:pPr>
      <w:rPr>
        <w:rFonts w:ascii="Courier New" w:hAnsi="Courier New" w:cs="Courier New"/>
        <w:rtl w:val="0"/>
      </w:rPr>
    </w:lvl>
    <w:lvl w:ilvl="2">
      <w:start w:val="1"/>
      <w:numFmt w:val="bullet"/>
      <w:lvlText w:val=""/>
      <w:lvlJc w:val="left"/>
      <w:pPr>
        <w:tabs>
          <w:tab w:val="num" w:pos="2508"/>
        </w:tabs>
        <w:ind w:left="2508" w:hanging="360"/>
      </w:pPr>
      <w:rPr>
        <w:rFonts w:ascii="Wingdings" w:hAnsi="Wingdings"/>
        <w:rtl w:val="0"/>
      </w:rPr>
    </w:lvl>
    <w:lvl w:ilvl="3">
      <w:start w:val="1"/>
      <w:numFmt w:val="bullet"/>
      <w:lvlText w:val=""/>
      <w:lvlJc w:val="left"/>
      <w:pPr>
        <w:tabs>
          <w:tab w:val="num" w:pos="3228"/>
        </w:tabs>
        <w:ind w:left="3228" w:hanging="360"/>
      </w:pPr>
      <w:rPr>
        <w:rFonts w:ascii="Symbol" w:hAnsi="Symbol"/>
        <w:rtl w:val="0"/>
      </w:rPr>
    </w:lvl>
    <w:lvl w:ilvl="4">
      <w:start w:val="1"/>
      <w:numFmt w:val="bullet"/>
      <w:lvlText w:val="o"/>
      <w:lvlJc w:val="left"/>
      <w:pPr>
        <w:tabs>
          <w:tab w:val="num" w:pos="3948"/>
        </w:tabs>
        <w:ind w:left="3948" w:hanging="360"/>
      </w:pPr>
      <w:rPr>
        <w:rFonts w:ascii="Courier New" w:hAnsi="Courier New" w:cs="Courier New"/>
        <w:rtl w:val="0"/>
      </w:rPr>
    </w:lvl>
    <w:lvl w:ilvl="5">
      <w:start w:val="1"/>
      <w:numFmt w:val="bullet"/>
      <w:lvlText w:val=""/>
      <w:lvlJc w:val="left"/>
      <w:pPr>
        <w:tabs>
          <w:tab w:val="num" w:pos="4668"/>
        </w:tabs>
        <w:ind w:left="4668" w:hanging="360"/>
      </w:pPr>
      <w:rPr>
        <w:rFonts w:ascii="Wingdings" w:hAnsi="Wingdings"/>
        <w:rtl w:val="0"/>
      </w:rPr>
    </w:lvl>
    <w:lvl w:ilvl="6">
      <w:start w:val="1"/>
      <w:numFmt w:val="bullet"/>
      <w:lvlText w:val=""/>
      <w:lvlJc w:val="left"/>
      <w:pPr>
        <w:tabs>
          <w:tab w:val="num" w:pos="5388"/>
        </w:tabs>
        <w:ind w:left="5388" w:hanging="360"/>
      </w:pPr>
      <w:rPr>
        <w:rFonts w:ascii="Symbol" w:hAnsi="Symbol"/>
        <w:rtl w:val="0"/>
      </w:rPr>
    </w:lvl>
    <w:lvl w:ilvl="7">
      <w:start w:val="1"/>
      <w:numFmt w:val="bullet"/>
      <w:lvlText w:val="o"/>
      <w:lvlJc w:val="left"/>
      <w:pPr>
        <w:tabs>
          <w:tab w:val="num" w:pos="6108"/>
        </w:tabs>
        <w:ind w:left="6108" w:hanging="360"/>
      </w:pPr>
      <w:rPr>
        <w:rFonts w:ascii="Courier New" w:hAnsi="Courier New" w:cs="Courier New"/>
        <w:rtl w:val="0"/>
      </w:rPr>
    </w:lvl>
    <w:lvl w:ilvl="8">
      <w:start w:val="1"/>
      <w:numFmt w:val="bullet"/>
      <w:lvlText w:val=""/>
      <w:lvlJc w:val="left"/>
      <w:pPr>
        <w:tabs>
          <w:tab w:val="num" w:pos="6828"/>
        </w:tabs>
        <w:ind w:left="6828" w:hanging="360"/>
      </w:pPr>
      <w:rPr>
        <w:rFonts w:ascii="Wingdings" w:hAnsi="Wingdings"/>
        <w:rtl w:val="0"/>
      </w:rPr>
    </w:lvl>
  </w:abstractNum>
  <w:abstractNum w:abstractNumId="30">
    <w:nsid w:val="76235D10"/>
    <w:multiLevelType w:val="multilevel"/>
    <w:tmpl w:val="DEA022EA"/>
    <w:lvl w:ilvl="0">
      <w:start w:val="1"/>
      <w:numFmt w:val="decimal"/>
      <w:lvlText w:val="%1."/>
      <w:lvlJc w:val="left"/>
      <w:pPr>
        <w:tabs>
          <w:tab w:val="num" w:pos="480"/>
        </w:tabs>
        <w:ind w:left="480" w:hanging="480"/>
      </w:pPr>
    </w:lvl>
    <w:lvl w:ilvl="1">
      <w:start w:val="6"/>
      <w:numFmt w:val="decimal"/>
      <w:lvlText w:val="%1.%2."/>
      <w:lvlJc w:val="left"/>
      <w:pPr>
        <w:tabs>
          <w:tab w:val="num" w:pos="900"/>
        </w:tabs>
        <w:ind w:left="900"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620"/>
        </w:tabs>
        <w:ind w:left="1620" w:hanging="1080"/>
      </w:pPr>
    </w:lvl>
    <w:lvl w:ilvl="4">
      <w:start w:val="1"/>
      <w:numFmt w:val="decimal"/>
      <w:lvlText w:val="%1.%2.%3.%4.%5."/>
      <w:lvlJc w:val="left"/>
      <w:pPr>
        <w:tabs>
          <w:tab w:val="num" w:pos="2160"/>
        </w:tabs>
        <w:ind w:left="2160" w:hanging="1440"/>
      </w:pPr>
    </w:lvl>
    <w:lvl w:ilvl="5">
      <w:start w:val="1"/>
      <w:numFmt w:val="decimal"/>
      <w:lvlText w:val="%1.%2.%3.%4.%5.%6."/>
      <w:lvlJc w:val="left"/>
      <w:pPr>
        <w:tabs>
          <w:tab w:val="num" w:pos="2340"/>
        </w:tabs>
        <w:ind w:left="2340" w:hanging="1440"/>
      </w:pPr>
    </w:lvl>
    <w:lvl w:ilvl="6">
      <w:start w:val="1"/>
      <w:numFmt w:val="decimal"/>
      <w:lvlText w:val="%1.%2.%3.%4.%5.%6.%7."/>
      <w:lvlJc w:val="left"/>
      <w:pPr>
        <w:tabs>
          <w:tab w:val="num" w:pos="2880"/>
        </w:tabs>
        <w:ind w:left="2880" w:hanging="1800"/>
      </w:pPr>
    </w:lvl>
    <w:lvl w:ilvl="7">
      <w:start w:val="1"/>
      <w:numFmt w:val="decimal"/>
      <w:lvlText w:val="%1.%2.%3.%4.%5.%6.%7.%8."/>
      <w:lvlJc w:val="left"/>
      <w:pPr>
        <w:tabs>
          <w:tab w:val="num" w:pos="3420"/>
        </w:tabs>
        <w:ind w:left="3420" w:hanging="2160"/>
      </w:pPr>
    </w:lvl>
    <w:lvl w:ilvl="8">
      <w:start w:val="1"/>
      <w:numFmt w:val="decimal"/>
      <w:lvlText w:val="%1.%2.%3.%4.%5.%6.%7.%8.%9."/>
      <w:lvlJc w:val="left"/>
      <w:pPr>
        <w:tabs>
          <w:tab w:val="num" w:pos="3600"/>
        </w:tabs>
        <w:ind w:left="3600" w:hanging="2160"/>
      </w:pPr>
    </w:lvl>
  </w:abstractNum>
  <w:abstractNum w:abstractNumId="31">
    <w:nsid w:val="77A26189"/>
    <w:multiLevelType w:val="multilevel"/>
    <w:tmpl w:val="E7204EFE"/>
    <w:lvl w:ilvl="0">
      <w:start w:val="1"/>
      <w:numFmt w:val="decimal"/>
      <w:lvlText w:val="%1."/>
      <w:lvlJc w:val="left"/>
      <w:pPr>
        <w:tabs>
          <w:tab w:val="num" w:pos="360"/>
        </w:tabs>
        <w:ind w:left="360" w:hanging="360"/>
      </w:pPr>
    </w:lvl>
    <w:lvl w:ilvl="1">
      <w:start w:val="1"/>
      <w:numFmt w:val="lowerLetter"/>
      <w:pStyle w:val="Normal"/>
      <w:lvlText w:val="%2."/>
      <w:lvlJc w:val="left"/>
      <w:pPr>
        <w:tabs>
          <w:tab w:val="num" w:pos="1080"/>
        </w:tabs>
        <w:ind w:left="1080" w:hanging="360"/>
      </w:pPr>
    </w:lvl>
    <w:lvl w:ilvl="2">
      <w:start w:val="1"/>
      <w:numFmt w:val="lowerRoman"/>
      <w:pStyle w:val="Normal"/>
      <w:lvlText w:val="%3."/>
      <w:lvlJc w:val="right"/>
      <w:pPr>
        <w:tabs>
          <w:tab w:val="num" w:pos="1800"/>
        </w:tabs>
        <w:ind w:left="1800" w:hanging="180"/>
      </w:pPr>
    </w:lvl>
    <w:lvl w:ilvl="3">
      <w:start w:val="1"/>
      <w:numFmt w:val="decimal"/>
      <w:pStyle w:val="Normal"/>
      <w:lvlText w:val="%4."/>
      <w:lvlJc w:val="left"/>
      <w:pPr>
        <w:tabs>
          <w:tab w:val="num" w:pos="2520"/>
        </w:tabs>
        <w:ind w:left="2520" w:hanging="360"/>
      </w:pPr>
    </w:lvl>
    <w:lvl w:ilvl="4">
      <w:start w:val="1"/>
      <w:numFmt w:val="lowerLetter"/>
      <w:pStyle w:val="Normal"/>
      <w:lvlText w:val="%5."/>
      <w:lvlJc w:val="left"/>
      <w:pPr>
        <w:tabs>
          <w:tab w:val="num" w:pos="3240"/>
        </w:tabs>
        <w:ind w:left="3240" w:hanging="360"/>
      </w:pPr>
    </w:lvl>
    <w:lvl w:ilvl="5">
      <w:start w:val="1"/>
      <w:numFmt w:val="lowerRoman"/>
      <w:pStyle w:val="Normal"/>
      <w:lvlText w:val="%6."/>
      <w:lvlJc w:val="right"/>
      <w:pPr>
        <w:tabs>
          <w:tab w:val="num" w:pos="3960"/>
        </w:tabs>
        <w:ind w:left="3960" w:hanging="180"/>
      </w:pPr>
    </w:lvl>
    <w:lvl w:ilvl="6">
      <w:start w:val="1"/>
      <w:numFmt w:val="decimal"/>
      <w:pStyle w:val="Normal"/>
      <w:lvlText w:val="%7."/>
      <w:lvlJc w:val="left"/>
      <w:pPr>
        <w:tabs>
          <w:tab w:val="num" w:pos="4680"/>
        </w:tabs>
        <w:ind w:left="4680" w:hanging="360"/>
      </w:pPr>
    </w:lvl>
    <w:lvl w:ilvl="7">
      <w:start w:val="1"/>
      <w:numFmt w:val="lowerLetter"/>
      <w:pStyle w:val="Normal"/>
      <w:lvlText w:val="%8."/>
      <w:lvlJc w:val="left"/>
      <w:pPr>
        <w:tabs>
          <w:tab w:val="num" w:pos="5400"/>
        </w:tabs>
        <w:ind w:left="5400" w:hanging="360"/>
      </w:pPr>
    </w:lvl>
    <w:lvl w:ilvl="8">
      <w:start w:val="1"/>
      <w:numFmt w:val="lowerRoman"/>
      <w:pStyle w:val="Normal"/>
      <w:lvlText w:val="%9."/>
      <w:lvlJc w:val="right"/>
      <w:pPr>
        <w:tabs>
          <w:tab w:val="num" w:pos="6120"/>
        </w:tabs>
        <w:ind w:left="6120" w:hanging="180"/>
      </w:pPr>
    </w:lvl>
  </w:abstractNum>
  <w:abstractNum w:abstractNumId="32">
    <w:nsid w:val="7BA52F0B"/>
    <w:multiLevelType w:val="hybridMultilevel"/>
    <w:tmpl w:val="9A2C040E"/>
    <w:lvl w:ilvl="0">
      <w:start w:val="1"/>
      <w:numFmt w:val="bullet"/>
      <w:lvlText w:val="-"/>
      <w:lvlJc w:val="left"/>
      <w:pPr>
        <w:tabs>
          <w:tab w:val="num" w:pos="630"/>
        </w:tabs>
        <w:ind w:left="630" w:hanging="630"/>
      </w:pPr>
    </w:lvl>
    <w:lvl w:ilvl="1">
      <w:start w:val="1"/>
      <w:numFmt w:val="bullet"/>
      <w:lvlText w:val="o"/>
      <w:lvlJc w:val="left"/>
      <w:pPr>
        <w:tabs>
          <w:tab w:val="num" w:pos="1440"/>
        </w:tabs>
        <w:ind w:left="1440" w:hanging="360"/>
      </w:pPr>
      <w:rPr>
        <w:rFonts w:ascii="Courier New" w:hAnsi="Courier New" w:cs="Courier New"/>
        <w:rtl w:val="0"/>
      </w:rPr>
    </w:lvl>
    <w:lvl w:ilvl="2">
      <w:start w:val="1"/>
      <w:numFmt w:val="bullet"/>
      <w:lvlText w:val=""/>
      <w:lvlJc w:val="left"/>
      <w:pPr>
        <w:tabs>
          <w:tab w:val="num" w:pos="2160"/>
        </w:tabs>
        <w:ind w:left="2160" w:hanging="360"/>
      </w:pPr>
      <w:rPr>
        <w:rFonts w:ascii="Wingdings" w:hAnsi="Wingdings"/>
        <w:rtl w:val="0"/>
      </w:rPr>
    </w:lvl>
    <w:lvl w:ilvl="3">
      <w:start w:val="1"/>
      <w:numFmt w:val="bullet"/>
      <w:lvlText w:val=""/>
      <w:lvlJc w:val="left"/>
      <w:pPr>
        <w:tabs>
          <w:tab w:val="num" w:pos="2880"/>
        </w:tabs>
        <w:ind w:left="2880" w:hanging="360"/>
      </w:pPr>
      <w:rPr>
        <w:rFonts w:ascii="Symbol" w:hAnsi="Symbol"/>
        <w:rtl w:val="0"/>
      </w:rPr>
    </w:lvl>
    <w:lvl w:ilvl="4">
      <w:start w:val="1"/>
      <w:numFmt w:val="bullet"/>
      <w:lvlText w:val="o"/>
      <w:lvlJc w:val="left"/>
      <w:pPr>
        <w:tabs>
          <w:tab w:val="num" w:pos="3600"/>
        </w:tabs>
        <w:ind w:left="3600" w:hanging="360"/>
      </w:pPr>
      <w:rPr>
        <w:rFonts w:ascii="Courier New" w:hAnsi="Courier New" w:cs="Courier New"/>
        <w:rtl w:val="0"/>
      </w:rPr>
    </w:lvl>
    <w:lvl w:ilvl="5">
      <w:start w:val="1"/>
      <w:numFmt w:val="bullet"/>
      <w:lvlText w:val=""/>
      <w:lvlJc w:val="left"/>
      <w:pPr>
        <w:tabs>
          <w:tab w:val="num" w:pos="4320"/>
        </w:tabs>
        <w:ind w:left="4320" w:hanging="360"/>
      </w:pPr>
      <w:rPr>
        <w:rFonts w:ascii="Wingdings" w:hAnsi="Wingdings"/>
        <w:rtl w:val="0"/>
      </w:rPr>
    </w:lvl>
    <w:lvl w:ilvl="6">
      <w:start w:val="1"/>
      <w:numFmt w:val="bullet"/>
      <w:lvlText w:val=""/>
      <w:lvlJc w:val="left"/>
      <w:pPr>
        <w:tabs>
          <w:tab w:val="num" w:pos="5040"/>
        </w:tabs>
        <w:ind w:left="5040" w:hanging="360"/>
      </w:pPr>
      <w:rPr>
        <w:rFonts w:ascii="Symbol" w:hAnsi="Symbol"/>
        <w:rtl w:val="0"/>
      </w:rPr>
    </w:lvl>
    <w:lvl w:ilvl="7">
      <w:start w:val="1"/>
      <w:numFmt w:val="bullet"/>
      <w:lvlText w:val="o"/>
      <w:lvlJc w:val="left"/>
      <w:pPr>
        <w:tabs>
          <w:tab w:val="num" w:pos="5760"/>
        </w:tabs>
        <w:ind w:left="5760" w:hanging="360"/>
      </w:pPr>
      <w:rPr>
        <w:rFonts w:ascii="Courier New" w:hAnsi="Courier New" w:cs="Courier New"/>
        <w:rtl w:val="0"/>
      </w:rPr>
    </w:lvl>
    <w:lvl w:ilvl="8">
      <w:start w:val="1"/>
      <w:numFmt w:val="bullet"/>
      <w:lvlText w:val=""/>
      <w:lvlJc w:val="left"/>
      <w:pPr>
        <w:tabs>
          <w:tab w:val="num" w:pos="6480"/>
        </w:tabs>
        <w:ind w:left="6480" w:hanging="360"/>
      </w:pPr>
      <w:rPr>
        <w:rFonts w:ascii="Wingdings" w:hAnsi="Wingdings"/>
        <w:rtl w:val="0"/>
      </w:rPr>
    </w:lvl>
  </w:abstractNum>
  <w:abstractNum w:abstractNumId="33">
    <w:nsid w:val="7E4E46D6"/>
    <w:multiLevelType w:val="hybridMultilevel"/>
    <w:tmpl w:val="104215F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1"/>
  </w:num>
  <w:num w:numId="2">
    <w:abstractNumId w:val="24"/>
  </w:num>
  <w:num w:numId="3">
    <w:abstractNumId w:val="33"/>
  </w:num>
  <w:num w:numId="4">
    <w:abstractNumId w:val="21"/>
  </w:num>
  <w:num w:numId="5">
    <w:abstractNumId w:val="3"/>
  </w:num>
  <w:num w:numId="6">
    <w:abstractNumId w:val="14"/>
  </w:num>
  <w:num w:numId="7">
    <w:abstractNumId w:val="4"/>
  </w:num>
  <w:num w:numId="8">
    <w:abstractNumId w:val="28"/>
  </w:num>
  <w:num w:numId="9">
    <w:abstractNumId w:val="20"/>
  </w:num>
  <w:num w:numId="10">
    <w:abstractNumId w:val="22"/>
  </w:num>
  <w:num w:numId="1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30"/>
  </w:num>
  <w:num w:numId="15">
    <w:abstractNumId w:val="25"/>
  </w:num>
  <w:num w:numId="16">
    <w:abstractNumId w:val="6"/>
  </w:num>
  <w:num w:numId="17">
    <w:abstractNumId w:val="8"/>
  </w:num>
  <w:num w:numId="18">
    <w:abstractNumId w:val="19"/>
  </w:num>
  <w:num w:numId="19">
    <w:abstractNumId w:val="9"/>
  </w:num>
  <w:num w:numId="20">
    <w:abstractNumId w:val="2"/>
  </w:num>
  <w:num w:numId="21">
    <w:abstractNumId w:val="27"/>
  </w:num>
  <w:num w:numId="22">
    <w:abstractNumId w:val="22"/>
    <w:lvlOverride w:ilvl="0"/>
  </w:num>
  <w:num w:numId="23">
    <w:abstractNumId w:val="15"/>
  </w:num>
  <w:num w:numId="24">
    <w:abstractNumId w:val="18"/>
  </w:num>
  <w:num w:numId="25">
    <w:abstractNumId w:val="0"/>
  </w:num>
  <w:num w:numId="26">
    <w:abstractNumId w:val="5"/>
  </w:num>
  <w:num w:numId="27">
    <w:abstractNumId w:val="32"/>
  </w:num>
  <w:num w:numId="28">
    <w:abstractNumId w:val="23"/>
  </w:num>
  <w:num w:numId="29">
    <w:abstractNumId w:val="31"/>
    <w:lvlOverride w:ilvl="0">
      <w:startOverride w:val="1"/>
    </w:lvlOverride>
  </w:num>
  <w:num w:numId="30">
    <w:abstractNumId w:val="31"/>
    <w:lvlOverride w:ilvl="0">
      <w:startOverride w:val="8"/>
    </w:lvlOverride>
  </w:num>
  <w:num w:numId="31">
    <w:abstractNumId w:val="26"/>
  </w:num>
  <w:num w:numId="32">
    <w:abstractNumId w:val="29"/>
  </w:num>
  <w:num w:numId="33">
    <w:abstractNumId w:val="11"/>
  </w:num>
  <w:num w:numId="34">
    <w:abstractNumId w:val="1"/>
  </w:num>
  <w:num w:numId="35">
    <w:abstractNumId w:val="13"/>
  </w:num>
  <w:num w:numId="36">
    <w:abstractNumId w:val="16"/>
  </w:num>
  <w:num w:numId="37">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9"/>
  <w:hyphenationZone w:val="425"/>
  <w:noPunctuationKerning/>
  <w:characterSpacingControl w:val="doNotCompress"/>
  <w:compat>
    <w:useWord2002TableStyleRules/>
    <w:growAutofit/>
    <w:doNotUseIndentAsNumberingTabStop/>
    <w:allowSpaceOfSameStyleInTable/>
    <w:splitPgBreakAndParaMark/>
    <w:useAnsiKerningPairs/>
  </w:compat>
  <w:rsids>
    <w:rsidRoot w:val="00000000"/>
    <w:rsid w:val="00001A51"/>
    <w:rsid w:val="00003BA0"/>
    <w:rsid w:val="00004A6B"/>
    <w:rsid w:val="000057E4"/>
    <w:rsid w:val="00011861"/>
    <w:rsid w:val="00011E0D"/>
    <w:rsid w:val="00012A3D"/>
    <w:rsid w:val="00013DFA"/>
    <w:rsid w:val="00014E45"/>
    <w:rsid w:val="00020F9B"/>
    <w:rsid w:val="000212D7"/>
    <w:rsid w:val="00022D0B"/>
    <w:rsid w:val="00023E03"/>
    <w:rsid w:val="0002435D"/>
    <w:rsid w:val="00024551"/>
    <w:rsid w:val="00025471"/>
    <w:rsid w:val="00026597"/>
    <w:rsid w:val="00026979"/>
    <w:rsid w:val="00030CFA"/>
    <w:rsid w:val="0003134C"/>
    <w:rsid w:val="00033A08"/>
    <w:rsid w:val="00034B8E"/>
    <w:rsid w:val="00035CA6"/>
    <w:rsid w:val="00036E0A"/>
    <w:rsid w:val="00037B27"/>
    <w:rsid w:val="00037B90"/>
    <w:rsid w:val="0004453F"/>
    <w:rsid w:val="00045A66"/>
    <w:rsid w:val="000476D2"/>
    <w:rsid w:val="00053F68"/>
    <w:rsid w:val="00054287"/>
    <w:rsid w:val="00055265"/>
    <w:rsid w:val="0005741C"/>
    <w:rsid w:val="00057D84"/>
    <w:rsid w:val="00060280"/>
    <w:rsid w:val="0006043A"/>
    <w:rsid w:val="0006254A"/>
    <w:rsid w:val="000629E8"/>
    <w:rsid w:val="000634FA"/>
    <w:rsid w:val="00064124"/>
    <w:rsid w:val="00064378"/>
    <w:rsid w:val="00064A21"/>
    <w:rsid w:val="00064E12"/>
    <w:rsid w:val="00065584"/>
    <w:rsid w:val="000672CD"/>
    <w:rsid w:val="00067751"/>
    <w:rsid w:val="00072721"/>
    <w:rsid w:val="00073E3C"/>
    <w:rsid w:val="00073F28"/>
    <w:rsid w:val="00076F92"/>
    <w:rsid w:val="00077767"/>
    <w:rsid w:val="0008020E"/>
    <w:rsid w:val="00083667"/>
    <w:rsid w:val="00084502"/>
    <w:rsid w:val="00084589"/>
    <w:rsid w:val="0008565F"/>
    <w:rsid w:val="00085666"/>
    <w:rsid w:val="00085693"/>
    <w:rsid w:val="00086D24"/>
    <w:rsid w:val="00091B00"/>
    <w:rsid w:val="00091FCA"/>
    <w:rsid w:val="00094ACC"/>
    <w:rsid w:val="00095D9A"/>
    <w:rsid w:val="0009614B"/>
    <w:rsid w:val="000A2B14"/>
    <w:rsid w:val="000A4072"/>
    <w:rsid w:val="000A5B38"/>
    <w:rsid w:val="000A6926"/>
    <w:rsid w:val="000B0012"/>
    <w:rsid w:val="000B252F"/>
    <w:rsid w:val="000B2D82"/>
    <w:rsid w:val="000B43BE"/>
    <w:rsid w:val="000B47EA"/>
    <w:rsid w:val="000B5820"/>
    <w:rsid w:val="000B7350"/>
    <w:rsid w:val="000B7427"/>
    <w:rsid w:val="000C1CC6"/>
    <w:rsid w:val="000C453B"/>
    <w:rsid w:val="000C4771"/>
    <w:rsid w:val="000C609F"/>
    <w:rsid w:val="000D08F8"/>
    <w:rsid w:val="000D25D4"/>
    <w:rsid w:val="000D473B"/>
    <w:rsid w:val="000D506E"/>
    <w:rsid w:val="000D6133"/>
    <w:rsid w:val="000D68AA"/>
    <w:rsid w:val="000D6D47"/>
    <w:rsid w:val="000D6D91"/>
    <w:rsid w:val="000D7536"/>
    <w:rsid w:val="000D7D94"/>
    <w:rsid w:val="000E0A0E"/>
    <w:rsid w:val="000E4165"/>
    <w:rsid w:val="000E4613"/>
    <w:rsid w:val="000E74E9"/>
    <w:rsid w:val="000F0CC2"/>
    <w:rsid w:val="000F134C"/>
    <w:rsid w:val="000F1530"/>
    <w:rsid w:val="000F36D3"/>
    <w:rsid w:val="000F38E7"/>
    <w:rsid w:val="000F695D"/>
    <w:rsid w:val="000F6CBF"/>
    <w:rsid w:val="000F7B88"/>
    <w:rsid w:val="00103753"/>
    <w:rsid w:val="001049B0"/>
    <w:rsid w:val="00104F12"/>
    <w:rsid w:val="00105FF6"/>
    <w:rsid w:val="001079AF"/>
    <w:rsid w:val="0011010C"/>
    <w:rsid w:val="00111791"/>
    <w:rsid w:val="00114D1F"/>
    <w:rsid w:val="0011707C"/>
    <w:rsid w:val="0011736A"/>
    <w:rsid w:val="00120CD6"/>
    <w:rsid w:val="001221BA"/>
    <w:rsid w:val="001223F5"/>
    <w:rsid w:val="00124793"/>
    <w:rsid w:val="0012722B"/>
    <w:rsid w:val="0013146E"/>
    <w:rsid w:val="00131B3F"/>
    <w:rsid w:val="001345C1"/>
    <w:rsid w:val="00134A5C"/>
    <w:rsid w:val="00134C6D"/>
    <w:rsid w:val="001350C5"/>
    <w:rsid w:val="001368CE"/>
    <w:rsid w:val="001409F4"/>
    <w:rsid w:val="0014123B"/>
    <w:rsid w:val="0014128D"/>
    <w:rsid w:val="00143D80"/>
    <w:rsid w:val="001445D1"/>
    <w:rsid w:val="0015072C"/>
    <w:rsid w:val="001526D7"/>
    <w:rsid w:val="001529DD"/>
    <w:rsid w:val="00152BC6"/>
    <w:rsid w:val="00156081"/>
    <w:rsid w:val="00156EE4"/>
    <w:rsid w:val="00157124"/>
    <w:rsid w:val="0016077D"/>
    <w:rsid w:val="00163C0F"/>
    <w:rsid w:val="001654CB"/>
    <w:rsid w:val="00166888"/>
    <w:rsid w:val="00166A70"/>
    <w:rsid w:val="00166D13"/>
    <w:rsid w:val="0017378A"/>
    <w:rsid w:val="0017566E"/>
    <w:rsid w:val="00176226"/>
    <w:rsid w:val="001769B6"/>
    <w:rsid w:val="00176D67"/>
    <w:rsid w:val="00177767"/>
    <w:rsid w:val="00180CDD"/>
    <w:rsid w:val="00184637"/>
    <w:rsid w:val="001856F9"/>
    <w:rsid w:val="00185E9A"/>
    <w:rsid w:val="00187EC2"/>
    <w:rsid w:val="00190408"/>
    <w:rsid w:val="00191692"/>
    <w:rsid w:val="0019319E"/>
    <w:rsid w:val="0019544A"/>
    <w:rsid w:val="0019612E"/>
    <w:rsid w:val="001966B8"/>
    <w:rsid w:val="001A4A5C"/>
    <w:rsid w:val="001A5008"/>
    <w:rsid w:val="001A5544"/>
    <w:rsid w:val="001A5ACB"/>
    <w:rsid w:val="001A659C"/>
    <w:rsid w:val="001B02F6"/>
    <w:rsid w:val="001B09BB"/>
    <w:rsid w:val="001B1472"/>
    <w:rsid w:val="001B4605"/>
    <w:rsid w:val="001B4D46"/>
    <w:rsid w:val="001B5CB2"/>
    <w:rsid w:val="001B63D5"/>
    <w:rsid w:val="001B67B7"/>
    <w:rsid w:val="001B74FC"/>
    <w:rsid w:val="001B782E"/>
    <w:rsid w:val="001C2560"/>
    <w:rsid w:val="001C52BE"/>
    <w:rsid w:val="001C5680"/>
    <w:rsid w:val="001C7E6C"/>
    <w:rsid w:val="001D0627"/>
    <w:rsid w:val="001D06AB"/>
    <w:rsid w:val="001D1C94"/>
    <w:rsid w:val="001D2550"/>
    <w:rsid w:val="001D2EE0"/>
    <w:rsid w:val="001D6CA2"/>
    <w:rsid w:val="001E054F"/>
    <w:rsid w:val="001E0C12"/>
    <w:rsid w:val="001E3413"/>
    <w:rsid w:val="001E347E"/>
    <w:rsid w:val="001E3DDA"/>
    <w:rsid w:val="001E4B66"/>
    <w:rsid w:val="001E4E86"/>
    <w:rsid w:val="001F02D0"/>
    <w:rsid w:val="001F1455"/>
    <w:rsid w:val="001F14F3"/>
    <w:rsid w:val="001F2F88"/>
    <w:rsid w:val="001F3538"/>
    <w:rsid w:val="001F4751"/>
    <w:rsid w:val="001F5DBC"/>
    <w:rsid w:val="001F6C22"/>
    <w:rsid w:val="001F780B"/>
    <w:rsid w:val="001F7D10"/>
    <w:rsid w:val="00200969"/>
    <w:rsid w:val="00200CFD"/>
    <w:rsid w:val="00200E21"/>
    <w:rsid w:val="00202BA6"/>
    <w:rsid w:val="00203D87"/>
    <w:rsid w:val="002063D3"/>
    <w:rsid w:val="002109E4"/>
    <w:rsid w:val="00216061"/>
    <w:rsid w:val="00216C96"/>
    <w:rsid w:val="00217D81"/>
    <w:rsid w:val="00220668"/>
    <w:rsid w:val="002212EE"/>
    <w:rsid w:val="002217F6"/>
    <w:rsid w:val="00221F38"/>
    <w:rsid w:val="0022359E"/>
    <w:rsid w:val="00224A6C"/>
    <w:rsid w:val="0022562E"/>
    <w:rsid w:val="0022583B"/>
    <w:rsid w:val="00226356"/>
    <w:rsid w:val="00226B25"/>
    <w:rsid w:val="00231633"/>
    <w:rsid w:val="002325B5"/>
    <w:rsid w:val="00232BA4"/>
    <w:rsid w:val="002335A0"/>
    <w:rsid w:val="00240D4A"/>
    <w:rsid w:val="002416C8"/>
    <w:rsid w:val="00241878"/>
    <w:rsid w:val="00243547"/>
    <w:rsid w:val="002436DE"/>
    <w:rsid w:val="002442CD"/>
    <w:rsid w:val="00245288"/>
    <w:rsid w:val="0024589B"/>
    <w:rsid w:val="00246BC1"/>
    <w:rsid w:val="002471AB"/>
    <w:rsid w:val="0025095A"/>
    <w:rsid w:val="00251A6F"/>
    <w:rsid w:val="002540FE"/>
    <w:rsid w:val="00260B05"/>
    <w:rsid w:val="00261A8B"/>
    <w:rsid w:val="002627FD"/>
    <w:rsid w:val="00262FA1"/>
    <w:rsid w:val="00263BE8"/>
    <w:rsid w:val="00263E84"/>
    <w:rsid w:val="00265E04"/>
    <w:rsid w:val="002660D1"/>
    <w:rsid w:val="00267A33"/>
    <w:rsid w:val="00270E65"/>
    <w:rsid w:val="002710B0"/>
    <w:rsid w:val="0027274F"/>
    <w:rsid w:val="0027343A"/>
    <w:rsid w:val="00273953"/>
    <w:rsid w:val="00274850"/>
    <w:rsid w:val="00276200"/>
    <w:rsid w:val="00276BAE"/>
    <w:rsid w:val="00277D03"/>
    <w:rsid w:val="00280AC0"/>
    <w:rsid w:val="0028316E"/>
    <w:rsid w:val="00283582"/>
    <w:rsid w:val="0028386B"/>
    <w:rsid w:val="00286A31"/>
    <w:rsid w:val="00286AE9"/>
    <w:rsid w:val="00287094"/>
    <w:rsid w:val="002870B6"/>
    <w:rsid w:val="002935C7"/>
    <w:rsid w:val="00293AB1"/>
    <w:rsid w:val="002959F0"/>
    <w:rsid w:val="002975D7"/>
    <w:rsid w:val="00297D94"/>
    <w:rsid w:val="002A16D4"/>
    <w:rsid w:val="002A36CF"/>
    <w:rsid w:val="002A3935"/>
    <w:rsid w:val="002A61B4"/>
    <w:rsid w:val="002A785E"/>
    <w:rsid w:val="002B0AB9"/>
    <w:rsid w:val="002B40DB"/>
    <w:rsid w:val="002B4710"/>
    <w:rsid w:val="002B4865"/>
    <w:rsid w:val="002B4892"/>
    <w:rsid w:val="002B54D5"/>
    <w:rsid w:val="002B54FE"/>
    <w:rsid w:val="002B73A7"/>
    <w:rsid w:val="002B7425"/>
    <w:rsid w:val="002B7C08"/>
    <w:rsid w:val="002C04C7"/>
    <w:rsid w:val="002C1EB1"/>
    <w:rsid w:val="002C383D"/>
    <w:rsid w:val="002C7E22"/>
    <w:rsid w:val="002D0919"/>
    <w:rsid w:val="002D0F94"/>
    <w:rsid w:val="002D1DDD"/>
    <w:rsid w:val="002D7CCD"/>
    <w:rsid w:val="002D7F2E"/>
    <w:rsid w:val="002E11D0"/>
    <w:rsid w:val="002E224A"/>
    <w:rsid w:val="002E4468"/>
    <w:rsid w:val="002E52C0"/>
    <w:rsid w:val="002E5583"/>
    <w:rsid w:val="002E6958"/>
    <w:rsid w:val="002F4087"/>
    <w:rsid w:val="002F45A0"/>
    <w:rsid w:val="002F48BE"/>
    <w:rsid w:val="002F5E07"/>
    <w:rsid w:val="002F64D6"/>
    <w:rsid w:val="002F6C67"/>
    <w:rsid w:val="002F761B"/>
    <w:rsid w:val="00300F7C"/>
    <w:rsid w:val="00301E2E"/>
    <w:rsid w:val="003021E0"/>
    <w:rsid w:val="00302CE9"/>
    <w:rsid w:val="00302EFE"/>
    <w:rsid w:val="00303AE6"/>
    <w:rsid w:val="0030402D"/>
    <w:rsid w:val="00305C32"/>
    <w:rsid w:val="0031346C"/>
    <w:rsid w:val="0031620F"/>
    <w:rsid w:val="00316B19"/>
    <w:rsid w:val="003211C5"/>
    <w:rsid w:val="00322C97"/>
    <w:rsid w:val="00323D34"/>
    <w:rsid w:val="00324044"/>
    <w:rsid w:val="00324262"/>
    <w:rsid w:val="00325664"/>
    <w:rsid w:val="003256E2"/>
    <w:rsid w:val="00325B58"/>
    <w:rsid w:val="00327CDA"/>
    <w:rsid w:val="00330EDD"/>
    <w:rsid w:val="003316F2"/>
    <w:rsid w:val="003356AB"/>
    <w:rsid w:val="003362D6"/>
    <w:rsid w:val="00336D7A"/>
    <w:rsid w:val="0034050B"/>
    <w:rsid w:val="00341B0F"/>
    <w:rsid w:val="0034371C"/>
    <w:rsid w:val="00343DC7"/>
    <w:rsid w:val="00343FBD"/>
    <w:rsid w:val="0034466B"/>
    <w:rsid w:val="00345086"/>
    <w:rsid w:val="00345837"/>
    <w:rsid w:val="00346B61"/>
    <w:rsid w:val="00347320"/>
    <w:rsid w:val="00347871"/>
    <w:rsid w:val="00351A82"/>
    <w:rsid w:val="00351C9C"/>
    <w:rsid w:val="00352C36"/>
    <w:rsid w:val="00355306"/>
    <w:rsid w:val="00355CED"/>
    <w:rsid w:val="00356ADC"/>
    <w:rsid w:val="00356D72"/>
    <w:rsid w:val="003579B9"/>
    <w:rsid w:val="00357BFA"/>
    <w:rsid w:val="00360F4D"/>
    <w:rsid w:val="00363C78"/>
    <w:rsid w:val="00363E03"/>
    <w:rsid w:val="00365134"/>
    <w:rsid w:val="0036642D"/>
    <w:rsid w:val="003668E9"/>
    <w:rsid w:val="00366E3B"/>
    <w:rsid w:val="00370758"/>
    <w:rsid w:val="00373F28"/>
    <w:rsid w:val="0037407C"/>
    <w:rsid w:val="00374342"/>
    <w:rsid w:val="0037441B"/>
    <w:rsid w:val="00382456"/>
    <w:rsid w:val="00382BD8"/>
    <w:rsid w:val="00383226"/>
    <w:rsid w:val="003843FD"/>
    <w:rsid w:val="00386396"/>
    <w:rsid w:val="00387389"/>
    <w:rsid w:val="003875A1"/>
    <w:rsid w:val="00394E08"/>
    <w:rsid w:val="0039553C"/>
    <w:rsid w:val="003A2192"/>
    <w:rsid w:val="003A2E8C"/>
    <w:rsid w:val="003A3910"/>
    <w:rsid w:val="003A3AA1"/>
    <w:rsid w:val="003A7263"/>
    <w:rsid w:val="003A7454"/>
    <w:rsid w:val="003B3AFF"/>
    <w:rsid w:val="003B4F96"/>
    <w:rsid w:val="003B7D1F"/>
    <w:rsid w:val="003C14AB"/>
    <w:rsid w:val="003C2142"/>
    <w:rsid w:val="003C3B6A"/>
    <w:rsid w:val="003C3CD8"/>
    <w:rsid w:val="003C3E9F"/>
    <w:rsid w:val="003C58A3"/>
    <w:rsid w:val="003C7BA7"/>
    <w:rsid w:val="003D1504"/>
    <w:rsid w:val="003D1800"/>
    <w:rsid w:val="003D276E"/>
    <w:rsid w:val="003D2D2D"/>
    <w:rsid w:val="003D349C"/>
    <w:rsid w:val="003D35A8"/>
    <w:rsid w:val="003D3DE7"/>
    <w:rsid w:val="003D4711"/>
    <w:rsid w:val="003D4E0C"/>
    <w:rsid w:val="003D5897"/>
    <w:rsid w:val="003D6D76"/>
    <w:rsid w:val="003E371A"/>
    <w:rsid w:val="003E69A4"/>
    <w:rsid w:val="003F0DC9"/>
    <w:rsid w:val="003F25A8"/>
    <w:rsid w:val="003F3107"/>
    <w:rsid w:val="003F36B1"/>
    <w:rsid w:val="003F4BEC"/>
    <w:rsid w:val="003F5451"/>
    <w:rsid w:val="003F6DCF"/>
    <w:rsid w:val="00400BD8"/>
    <w:rsid w:val="00400D30"/>
    <w:rsid w:val="00402D4E"/>
    <w:rsid w:val="00403178"/>
    <w:rsid w:val="00403BB3"/>
    <w:rsid w:val="004054EA"/>
    <w:rsid w:val="00405552"/>
    <w:rsid w:val="00405D61"/>
    <w:rsid w:val="00405D96"/>
    <w:rsid w:val="00406D68"/>
    <w:rsid w:val="00407436"/>
    <w:rsid w:val="00407CD3"/>
    <w:rsid w:val="00410CCE"/>
    <w:rsid w:val="0041276C"/>
    <w:rsid w:val="0041401B"/>
    <w:rsid w:val="00415831"/>
    <w:rsid w:val="004164BA"/>
    <w:rsid w:val="004206FB"/>
    <w:rsid w:val="00421B81"/>
    <w:rsid w:val="00423C07"/>
    <w:rsid w:val="004251FC"/>
    <w:rsid w:val="00425E1B"/>
    <w:rsid w:val="00426746"/>
    <w:rsid w:val="00430576"/>
    <w:rsid w:val="00430AA5"/>
    <w:rsid w:val="0043111B"/>
    <w:rsid w:val="00433B7F"/>
    <w:rsid w:val="0043435F"/>
    <w:rsid w:val="004344F1"/>
    <w:rsid w:val="0043596B"/>
    <w:rsid w:val="00435C32"/>
    <w:rsid w:val="00441A5E"/>
    <w:rsid w:val="00444546"/>
    <w:rsid w:val="004510A6"/>
    <w:rsid w:val="00452CD7"/>
    <w:rsid w:val="00453267"/>
    <w:rsid w:val="0045461A"/>
    <w:rsid w:val="00455044"/>
    <w:rsid w:val="00456597"/>
    <w:rsid w:val="004571DF"/>
    <w:rsid w:val="004573C1"/>
    <w:rsid w:val="00465545"/>
    <w:rsid w:val="004655C3"/>
    <w:rsid w:val="00466C99"/>
    <w:rsid w:val="0046782C"/>
    <w:rsid w:val="00472FCB"/>
    <w:rsid w:val="00473217"/>
    <w:rsid w:val="00474AC2"/>
    <w:rsid w:val="004767FE"/>
    <w:rsid w:val="00476B1F"/>
    <w:rsid w:val="004774BC"/>
    <w:rsid w:val="00481DFB"/>
    <w:rsid w:val="00482848"/>
    <w:rsid w:val="004836AF"/>
    <w:rsid w:val="00484298"/>
    <w:rsid w:val="00490AB0"/>
    <w:rsid w:val="004956FE"/>
    <w:rsid w:val="00496242"/>
    <w:rsid w:val="00497572"/>
    <w:rsid w:val="004A047C"/>
    <w:rsid w:val="004A1564"/>
    <w:rsid w:val="004A1896"/>
    <w:rsid w:val="004A4202"/>
    <w:rsid w:val="004A63A5"/>
    <w:rsid w:val="004A6E08"/>
    <w:rsid w:val="004A76D8"/>
    <w:rsid w:val="004B1375"/>
    <w:rsid w:val="004B26DC"/>
    <w:rsid w:val="004B4B69"/>
    <w:rsid w:val="004B593A"/>
    <w:rsid w:val="004B5D46"/>
    <w:rsid w:val="004B6FBB"/>
    <w:rsid w:val="004B73C3"/>
    <w:rsid w:val="004B7516"/>
    <w:rsid w:val="004C008C"/>
    <w:rsid w:val="004C031B"/>
    <w:rsid w:val="004C31B4"/>
    <w:rsid w:val="004C3785"/>
    <w:rsid w:val="004C577F"/>
    <w:rsid w:val="004C5C62"/>
    <w:rsid w:val="004C7B9C"/>
    <w:rsid w:val="004D0464"/>
    <w:rsid w:val="004D0CC3"/>
    <w:rsid w:val="004D0FC7"/>
    <w:rsid w:val="004D1A5C"/>
    <w:rsid w:val="004D2B79"/>
    <w:rsid w:val="004D2CC4"/>
    <w:rsid w:val="004D40C0"/>
    <w:rsid w:val="004E0618"/>
    <w:rsid w:val="004E0781"/>
    <w:rsid w:val="004E0D2D"/>
    <w:rsid w:val="004E1A0A"/>
    <w:rsid w:val="004E26F8"/>
    <w:rsid w:val="004E55A4"/>
    <w:rsid w:val="004E590E"/>
    <w:rsid w:val="004E5ADA"/>
    <w:rsid w:val="004E6E99"/>
    <w:rsid w:val="004E794B"/>
    <w:rsid w:val="004E7FCB"/>
    <w:rsid w:val="004F0AB1"/>
    <w:rsid w:val="004F3430"/>
    <w:rsid w:val="004F6F2B"/>
    <w:rsid w:val="00500CEE"/>
    <w:rsid w:val="0050148B"/>
    <w:rsid w:val="0050499F"/>
    <w:rsid w:val="00506F22"/>
    <w:rsid w:val="00507022"/>
    <w:rsid w:val="0051142F"/>
    <w:rsid w:val="005119BE"/>
    <w:rsid w:val="0051222C"/>
    <w:rsid w:val="00520839"/>
    <w:rsid w:val="00520C2F"/>
    <w:rsid w:val="00520E46"/>
    <w:rsid w:val="00521161"/>
    <w:rsid w:val="00523721"/>
    <w:rsid w:val="00525CBA"/>
    <w:rsid w:val="00526431"/>
    <w:rsid w:val="0052738B"/>
    <w:rsid w:val="00527F76"/>
    <w:rsid w:val="0053262B"/>
    <w:rsid w:val="00532B3F"/>
    <w:rsid w:val="00532DAB"/>
    <w:rsid w:val="0053537E"/>
    <w:rsid w:val="00535C42"/>
    <w:rsid w:val="005360FA"/>
    <w:rsid w:val="00540BF8"/>
    <w:rsid w:val="0054246D"/>
    <w:rsid w:val="0054261D"/>
    <w:rsid w:val="00543C92"/>
    <w:rsid w:val="00545A3C"/>
    <w:rsid w:val="005467CC"/>
    <w:rsid w:val="00555177"/>
    <w:rsid w:val="00555E39"/>
    <w:rsid w:val="00556675"/>
    <w:rsid w:val="00557009"/>
    <w:rsid w:val="00557E0F"/>
    <w:rsid w:val="0056027D"/>
    <w:rsid w:val="00561EAE"/>
    <w:rsid w:val="00562294"/>
    <w:rsid w:val="00564854"/>
    <w:rsid w:val="005664EA"/>
    <w:rsid w:val="0057008F"/>
    <w:rsid w:val="005721F7"/>
    <w:rsid w:val="0057307B"/>
    <w:rsid w:val="005733E8"/>
    <w:rsid w:val="00573426"/>
    <w:rsid w:val="00575536"/>
    <w:rsid w:val="00576048"/>
    <w:rsid w:val="0058179B"/>
    <w:rsid w:val="00581B9F"/>
    <w:rsid w:val="00582297"/>
    <w:rsid w:val="005837F1"/>
    <w:rsid w:val="005863C1"/>
    <w:rsid w:val="00590CA1"/>
    <w:rsid w:val="00592125"/>
    <w:rsid w:val="00592934"/>
    <w:rsid w:val="005A0FB7"/>
    <w:rsid w:val="005A17C9"/>
    <w:rsid w:val="005A685F"/>
    <w:rsid w:val="005B0459"/>
    <w:rsid w:val="005B08E1"/>
    <w:rsid w:val="005B113B"/>
    <w:rsid w:val="005B15E4"/>
    <w:rsid w:val="005B28BE"/>
    <w:rsid w:val="005B2902"/>
    <w:rsid w:val="005B4A41"/>
    <w:rsid w:val="005B5B4D"/>
    <w:rsid w:val="005B6E5D"/>
    <w:rsid w:val="005B7AAE"/>
    <w:rsid w:val="005C1517"/>
    <w:rsid w:val="005C19B5"/>
    <w:rsid w:val="005C22EC"/>
    <w:rsid w:val="005D134E"/>
    <w:rsid w:val="005D446B"/>
    <w:rsid w:val="005E1FFC"/>
    <w:rsid w:val="005E2F1C"/>
    <w:rsid w:val="005E3AEC"/>
    <w:rsid w:val="005E652B"/>
    <w:rsid w:val="005E67AA"/>
    <w:rsid w:val="005F1541"/>
    <w:rsid w:val="005F1560"/>
    <w:rsid w:val="005F1CD3"/>
    <w:rsid w:val="005F25ED"/>
    <w:rsid w:val="005F2B06"/>
    <w:rsid w:val="005F3509"/>
    <w:rsid w:val="005F43AA"/>
    <w:rsid w:val="005F51B8"/>
    <w:rsid w:val="005F53DD"/>
    <w:rsid w:val="005F7693"/>
    <w:rsid w:val="005F773C"/>
    <w:rsid w:val="006031C5"/>
    <w:rsid w:val="006036D8"/>
    <w:rsid w:val="0060384C"/>
    <w:rsid w:val="006052AA"/>
    <w:rsid w:val="00605CA0"/>
    <w:rsid w:val="00607A12"/>
    <w:rsid w:val="00611F39"/>
    <w:rsid w:val="006126A4"/>
    <w:rsid w:val="00613092"/>
    <w:rsid w:val="00613A87"/>
    <w:rsid w:val="006140F5"/>
    <w:rsid w:val="00617048"/>
    <w:rsid w:val="006177F4"/>
    <w:rsid w:val="006215C5"/>
    <w:rsid w:val="006240DE"/>
    <w:rsid w:val="0063080A"/>
    <w:rsid w:val="00630AB0"/>
    <w:rsid w:val="00631A82"/>
    <w:rsid w:val="00632787"/>
    <w:rsid w:val="006337E7"/>
    <w:rsid w:val="00634079"/>
    <w:rsid w:val="00634549"/>
    <w:rsid w:val="00635CFE"/>
    <w:rsid w:val="00641018"/>
    <w:rsid w:val="00641451"/>
    <w:rsid w:val="00641574"/>
    <w:rsid w:val="00641BDB"/>
    <w:rsid w:val="006422B2"/>
    <w:rsid w:val="00646D6B"/>
    <w:rsid w:val="00646F84"/>
    <w:rsid w:val="00650927"/>
    <w:rsid w:val="00652E76"/>
    <w:rsid w:val="006565D5"/>
    <w:rsid w:val="00656D8E"/>
    <w:rsid w:val="00657BE3"/>
    <w:rsid w:val="006647C4"/>
    <w:rsid w:val="006653FD"/>
    <w:rsid w:val="006659EC"/>
    <w:rsid w:val="00670E1B"/>
    <w:rsid w:val="006710D3"/>
    <w:rsid w:val="00674E4C"/>
    <w:rsid w:val="00680622"/>
    <w:rsid w:val="006810E4"/>
    <w:rsid w:val="00682706"/>
    <w:rsid w:val="006838C8"/>
    <w:rsid w:val="00684627"/>
    <w:rsid w:val="00684D28"/>
    <w:rsid w:val="00687064"/>
    <w:rsid w:val="00691786"/>
    <w:rsid w:val="00691B22"/>
    <w:rsid w:val="00693711"/>
    <w:rsid w:val="00696505"/>
    <w:rsid w:val="00696AA3"/>
    <w:rsid w:val="00697F78"/>
    <w:rsid w:val="006A0DDF"/>
    <w:rsid w:val="006A1495"/>
    <w:rsid w:val="006A44AF"/>
    <w:rsid w:val="006A452C"/>
    <w:rsid w:val="006A5BE4"/>
    <w:rsid w:val="006A6990"/>
    <w:rsid w:val="006B2B32"/>
    <w:rsid w:val="006B4F0B"/>
    <w:rsid w:val="006B5706"/>
    <w:rsid w:val="006B5B09"/>
    <w:rsid w:val="006B5DAD"/>
    <w:rsid w:val="006B5EB3"/>
    <w:rsid w:val="006B608C"/>
    <w:rsid w:val="006B625C"/>
    <w:rsid w:val="006C0BAA"/>
    <w:rsid w:val="006C0D06"/>
    <w:rsid w:val="006C0E68"/>
    <w:rsid w:val="006C0FA4"/>
    <w:rsid w:val="006C1E18"/>
    <w:rsid w:val="006C202C"/>
    <w:rsid w:val="006C2A3C"/>
    <w:rsid w:val="006C42C3"/>
    <w:rsid w:val="006C7767"/>
    <w:rsid w:val="006D2058"/>
    <w:rsid w:val="006D2547"/>
    <w:rsid w:val="006D2832"/>
    <w:rsid w:val="006D2E52"/>
    <w:rsid w:val="006D3102"/>
    <w:rsid w:val="006E233D"/>
    <w:rsid w:val="006E253F"/>
    <w:rsid w:val="006E2C6E"/>
    <w:rsid w:val="006E30F7"/>
    <w:rsid w:val="006E3D7E"/>
    <w:rsid w:val="006E437C"/>
    <w:rsid w:val="006E4A83"/>
    <w:rsid w:val="006E4CF4"/>
    <w:rsid w:val="006E76CD"/>
    <w:rsid w:val="006F24B5"/>
    <w:rsid w:val="006F2920"/>
    <w:rsid w:val="006F5B00"/>
    <w:rsid w:val="0070057E"/>
    <w:rsid w:val="00700DE0"/>
    <w:rsid w:val="007016CE"/>
    <w:rsid w:val="00703772"/>
    <w:rsid w:val="007078B9"/>
    <w:rsid w:val="00707BBF"/>
    <w:rsid w:val="0071071D"/>
    <w:rsid w:val="00710ED7"/>
    <w:rsid w:val="00713046"/>
    <w:rsid w:val="00713D44"/>
    <w:rsid w:val="00716458"/>
    <w:rsid w:val="007201F8"/>
    <w:rsid w:val="0072119B"/>
    <w:rsid w:val="00725E21"/>
    <w:rsid w:val="00731F95"/>
    <w:rsid w:val="00733FFD"/>
    <w:rsid w:val="00734004"/>
    <w:rsid w:val="00734D08"/>
    <w:rsid w:val="00735B08"/>
    <w:rsid w:val="00736DDC"/>
    <w:rsid w:val="00737A04"/>
    <w:rsid w:val="00737A1F"/>
    <w:rsid w:val="007403F0"/>
    <w:rsid w:val="00740CAF"/>
    <w:rsid w:val="00741808"/>
    <w:rsid w:val="00743AE2"/>
    <w:rsid w:val="00744DE8"/>
    <w:rsid w:val="0074515D"/>
    <w:rsid w:val="00745937"/>
    <w:rsid w:val="007461F2"/>
    <w:rsid w:val="0074644C"/>
    <w:rsid w:val="00746FB0"/>
    <w:rsid w:val="00747E2C"/>
    <w:rsid w:val="00751372"/>
    <w:rsid w:val="007535D0"/>
    <w:rsid w:val="0075637E"/>
    <w:rsid w:val="00756D85"/>
    <w:rsid w:val="00760D84"/>
    <w:rsid w:val="007615F6"/>
    <w:rsid w:val="007621FD"/>
    <w:rsid w:val="00763668"/>
    <w:rsid w:val="0076523D"/>
    <w:rsid w:val="00767FDC"/>
    <w:rsid w:val="0077127B"/>
    <w:rsid w:val="00772866"/>
    <w:rsid w:val="00773604"/>
    <w:rsid w:val="007737F6"/>
    <w:rsid w:val="0077597A"/>
    <w:rsid w:val="00776268"/>
    <w:rsid w:val="00776CCB"/>
    <w:rsid w:val="007823AC"/>
    <w:rsid w:val="007833EA"/>
    <w:rsid w:val="00783AF4"/>
    <w:rsid w:val="007852C5"/>
    <w:rsid w:val="0078647F"/>
    <w:rsid w:val="00787C83"/>
    <w:rsid w:val="00790E8A"/>
    <w:rsid w:val="00791BB6"/>
    <w:rsid w:val="007937A9"/>
    <w:rsid w:val="00796E9E"/>
    <w:rsid w:val="00797FC4"/>
    <w:rsid w:val="007A2B52"/>
    <w:rsid w:val="007A3106"/>
    <w:rsid w:val="007A3B5E"/>
    <w:rsid w:val="007A4698"/>
    <w:rsid w:val="007A530C"/>
    <w:rsid w:val="007A620C"/>
    <w:rsid w:val="007A6D26"/>
    <w:rsid w:val="007A71E3"/>
    <w:rsid w:val="007A7F47"/>
    <w:rsid w:val="007B36AB"/>
    <w:rsid w:val="007B463E"/>
    <w:rsid w:val="007B57D5"/>
    <w:rsid w:val="007B76AE"/>
    <w:rsid w:val="007C1D1A"/>
    <w:rsid w:val="007C35CA"/>
    <w:rsid w:val="007C3E6E"/>
    <w:rsid w:val="007C59C3"/>
    <w:rsid w:val="007C68CB"/>
    <w:rsid w:val="007C6F45"/>
    <w:rsid w:val="007C7819"/>
    <w:rsid w:val="007D0A26"/>
    <w:rsid w:val="007D18CF"/>
    <w:rsid w:val="007D3529"/>
    <w:rsid w:val="007D4AE8"/>
    <w:rsid w:val="007E1C88"/>
    <w:rsid w:val="007E2789"/>
    <w:rsid w:val="007E2951"/>
    <w:rsid w:val="007E2EAC"/>
    <w:rsid w:val="007E4795"/>
    <w:rsid w:val="007E590A"/>
    <w:rsid w:val="007E76B1"/>
    <w:rsid w:val="007F17F1"/>
    <w:rsid w:val="007F1BC7"/>
    <w:rsid w:val="007F2D6C"/>
    <w:rsid w:val="007F52BC"/>
    <w:rsid w:val="007F60BD"/>
    <w:rsid w:val="007F7C85"/>
    <w:rsid w:val="007F7EB2"/>
    <w:rsid w:val="008036FE"/>
    <w:rsid w:val="00803A26"/>
    <w:rsid w:val="00806FAF"/>
    <w:rsid w:val="00807420"/>
    <w:rsid w:val="00810392"/>
    <w:rsid w:val="008103C8"/>
    <w:rsid w:val="008121B0"/>
    <w:rsid w:val="00815A81"/>
    <w:rsid w:val="008169B3"/>
    <w:rsid w:val="00816C2D"/>
    <w:rsid w:val="00816E24"/>
    <w:rsid w:val="00820178"/>
    <w:rsid w:val="00820B00"/>
    <w:rsid w:val="008219E3"/>
    <w:rsid w:val="008229F4"/>
    <w:rsid w:val="008254A6"/>
    <w:rsid w:val="008257B9"/>
    <w:rsid w:val="00827063"/>
    <w:rsid w:val="0083073F"/>
    <w:rsid w:val="00830EEC"/>
    <w:rsid w:val="008312CB"/>
    <w:rsid w:val="008330B6"/>
    <w:rsid w:val="008333F5"/>
    <w:rsid w:val="00833D2E"/>
    <w:rsid w:val="008361FC"/>
    <w:rsid w:val="00836AB6"/>
    <w:rsid w:val="0084056D"/>
    <w:rsid w:val="00844489"/>
    <w:rsid w:val="00846FF0"/>
    <w:rsid w:val="00850F87"/>
    <w:rsid w:val="00852DAF"/>
    <w:rsid w:val="00853462"/>
    <w:rsid w:val="00853F9C"/>
    <w:rsid w:val="00854617"/>
    <w:rsid w:val="008551D7"/>
    <w:rsid w:val="00856D2D"/>
    <w:rsid w:val="008611B9"/>
    <w:rsid w:val="008614A3"/>
    <w:rsid w:val="0086352B"/>
    <w:rsid w:val="00870B87"/>
    <w:rsid w:val="00870C58"/>
    <w:rsid w:val="00874305"/>
    <w:rsid w:val="00875737"/>
    <w:rsid w:val="0087686F"/>
    <w:rsid w:val="0087734A"/>
    <w:rsid w:val="00881384"/>
    <w:rsid w:val="00883943"/>
    <w:rsid w:val="008845FB"/>
    <w:rsid w:val="00886085"/>
    <w:rsid w:val="00886564"/>
    <w:rsid w:val="00891064"/>
    <w:rsid w:val="00893F93"/>
    <w:rsid w:val="008975FF"/>
    <w:rsid w:val="008A078C"/>
    <w:rsid w:val="008A14AD"/>
    <w:rsid w:val="008A171A"/>
    <w:rsid w:val="008A20FB"/>
    <w:rsid w:val="008A63AC"/>
    <w:rsid w:val="008A6631"/>
    <w:rsid w:val="008A6DF2"/>
    <w:rsid w:val="008B0949"/>
    <w:rsid w:val="008B40F1"/>
    <w:rsid w:val="008B47CC"/>
    <w:rsid w:val="008B4D0C"/>
    <w:rsid w:val="008B6176"/>
    <w:rsid w:val="008B6695"/>
    <w:rsid w:val="008B6BC6"/>
    <w:rsid w:val="008C09C7"/>
    <w:rsid w:val="008C28C7"/>
    <w:rsid w:val="008C29DA"/>
    <w:rsid w:val="008C3567"/>
    <w:rsid w:val="008C3D3F"/>
    <w:rsid w:val="008C72D5"/>
    <w:rsid w:val="008D00EA"/>
    <w:rsid w:val="008D27E4"/>
    <w:rsid w:val="008D28A4"/>
    <w:rsid w:val="008D39B1"/>
    <w:rsid w:val="008E26C7"/>
    <w:rsid w:val="008E32F7"/>
    <w:rsid w:val="008E33E3"/>
    <w:rsid w:val="008E3BD6"/>
    <w:rsid w:val="008E3BE5"/>
    <w:rsid w:val="008E4C8D"/>
    <w:rsid w:val="008E6563"/>
    <w:rsid w:val="008E7652"/>
    <w:rsid w:val="008F09DF"/>
    <w:rsid w:val="008F304A"/>
    <w:rsid w:val="008F3A37"/>
    <w:rsid w:val="00902A13"/>
    <w:rsid w:val="00905A6C"/>
    <w:rsid w:val="00905F63"/>
    <w:rsid w:val="00907A81"/>
    <w:rsid w:val="009103C0"/>
    <w:rsid w:val="009152A7"/>
    <w:rsid w:val="0091678E"/>
    <w:rsid w:val="00917347"/>
    <w:rsid w:val="00920C86"/>
    <w:rsid w:val="009223AC"/>
    <w:rsid w:val="00925F17"/>
    <w:rsid w:val="00926A07"/>
    <w:rsid w:val="00926F54"/>
    <w:rsid w:val="0093043A"/>
    <w:rsid w:val="00933E0A"/>
    <w:rsid w:val="00933E44"/>
    <w:rsid w:val="009349CA"/>
    <w:rsid w:val="0093609A"/>
    <w:rsid w:val="00940A08"/>
    <w:rsid w:val="009432BD"/>
    <w:rsid w:val="00943C28"/>
    <w:rsid w:val="009472A2"/>
    <w:rsid w:val="009503DA"/>
    <w:rsid w:val="00956700"/>
    <w:rsid w:val="0095692B"/>
    <w:rsid w:val="009569CD"/>
    <w:rsid w:val="00957942"/>
    <w:rsid w:val="00960418"/>
    <w:rsid w:val="0096169F"/>
    <w:rsid w:val="00961776"/>
    <w:rsid w:val="009652EE"/>
    <w:rsid w:val="009656A6"/>
    <w:rsid w:val="00965A84"/>
    <w:rsid w:val="00965B59"/>
    <w:rsid w:val="00966F0E"/>
    <w:rsid w:val="00967F06"/>
    <w:rsid w:val="00970993"/>
    <w:rsid w:val="00971203"/>
    <w:rsid w:val="0097289A"/>
    <w:rsid w:val="00976089"/>
    <w:rsid w:val="00977B4D"/>
    <w:rsid w:val="009800C0"/>
    <w:rsid w:val="00980676"/>
    <w:rsid w:val="00980871"/>
    <w:rsid w:val="00980978"/>
    <w:rsid w:val="00981093"/>
    <w:rsid w:val="00982355"/>
    <w:rsid w:val="00983DE9"/>
    <w:rsid w:val="009848A2"/>
    <w:rsid w:val="0098780E"/>
    <w:rsid w:val="009909AA"/>
    <w:rsid w:val="00992947"/>
    <w:rsid w:val="009941D1"/>
    <w:rsid w:val="00997881"/>
    <w:rsid w:val="009A0B1F"/>
    <w:rsid w:val="009A182A"/>
    <w:rsid w:val="009A1FAF"/>
    <w:rsid w:val="009A253D"/>
    <w:rsid w:val="009A31C9"/>
    <w:rsid w:val="009A3867"/>
    <w:rsid w:val="009A39F7"/>
    <w:rsid w:val="009A52FB"/>
    <w:rsid w:val="009A58A1"/>
    <w:rsid w:val="009A5ED7"/>
    <w:rsid w:val="009A6DDE"/>
    <w:rsid w:val="009B09BA"/>
    <w:rsid w:val="009B1140"/>
    <w:rsid w:val="009B12F0"/>
    <w:rsid w:val="009B4B40"/>
    <w:rsid w:val="009B639A"/>
    <w:rsid w:val="009B654A"/>
    <w:rsid w:val="009B6C1E"/>
    <w:rsid w:val="009B757D"/>
    <w:rsid w:val="009C0235"/>
    <w:rsid w:val="009C2128"/>
    <w:rsid w:val="009C2EF8"/>
    <w:rsid w:val="009C3582"/>
    <w:rsid w:val="009C403F"/>
    <w:rsid w:val="009C47D7"/>
    <w:rsid w:val="009C4F3B"/>
    <w:rsid w:val="009C7F24"/>
    <w:rsid w:val="009D35A2"/>
    <w:rsid w:val="009D4096"/>
    <w:rsid w:val="009D4707"/>
    <w:rsid w:val="009D49AD"/>
    <w:rsid w:val="009D61C6"/>
    <w:rsid w:val="009E0765"/>
    <w:rsid w:val="009E0911"/>
    <w:rsid w:val="009E2482"/>
    <w:rsid w:val="009E351C"/>
    <w:rsid w:val="009E35D7"/>
    <w:rsid w:val="009E3674"/>
    <w:rsid w:val="009E389A"/>
    <w:rsid w:val="009E5CF0"/>
    <w:rsid w:val="009E64DD"/>
    <w:rsid w:val="009F0797"/>
    <w:rsid w:val="009F5B97"/>
    <w:rsid w:val="009F7A93"/>
    <w:rsid w:val="00A00E9C"/>
    <w:rsid w:val="00A01731"/>
    <w:rsid w:val="00A020C3"/>
    <w:rsid w:val="00A02C3F"/>
    <w:rsid w:val="00A04B57"/>
    <w:rsid w:val="00A0697B"/>
    <w:rsid w:val="00A078CF"/>
    <w:rsid w:val="00A1091D"/>
    <w:rsid w:val="00A124B1"/>
    <w:rsid w:val="00A136FB"/>
    <w:rsid w:val="00A1389F"/>
    <w:rsid w:val="00A143D0"/>
    <w:rsid w:val="00A14879"/>
    <w:rsid w:val="00A14F86"/>
    <w:rsid w:val="00A15B18"/>
    <w:rsid w:val="00A16DF7"/>
    <w:rsid w:val="00A17F35"/>
    <w:rsid w:val="00A201AB"/>
    <w:rsid w:val="00A204AD"/>
    <w:rsid w:val="00A208B4"/>
    <w:rsid w:val="00A21E8A"/>
    <w:rsid w:val="00A222EA"/>
    <w:rsid w:val="00A22B94"/>
    <w:rsid w:val="00A234EB"/>
    <w:rsid w:val="00A23DC7"/>
    <w:rsid w:val="00A24FC1"/>
    <w:rsid w:val="00A25E3E"/>
    <w:rsid w:val="00A27270"/>
    <w:rsid w:val="00A27969"/>
    <w:rsid w:val="00A30A60"/>
    <w:rsid w:val="00A33100"/>
    <w:rsid w:val="00A33F6A"/>
    <w:rsid w:val="00A3475E"/>
    <w:rsid w:val="00A356C9"/>
    <w:rsid w:val="00A37663"/>
    <w:rsid w:val="00A51CF0"/>
    <w:rsid w:val="00A5299D"/>
    <w:rsid w:val="00A547A5"/>
    <w:rsid w:val="00A54F39"/>
    <w:rsid w:val="00A56188"/>
    <w:rsid w:val="00A61E2F"/>
    <w:rsid w:val="00A63416"/>
    <w:rsid w:val="00A64F18"/>
    <w:rsid w:val="00A67226"/>
    <w:rsid w:val="00A7017D"/>
    <w:rsid w:val="00A7161F"/>
    <w:rsid w:val="00A71AA5"/>
    <w:rsid w:val="00A72286"/>
    <w:rsid w:val="00A732E7"/>
    <w:rsid w:val="00A737B9"/>
    <w:rsid w:val="00A7415F"/>
    <w:rsid w:val="00A74897"/>
    <w:rsid w:val="00A76A7C"/>
    <w:rsid w:val="00A76C69"/>
    <w:rsid w:val="00A76E1C"/>
    <w:rsid w:val="00A778F4"/>
    <w:rsid w:val="00A77DE6"/>
    <w:rsid w:val="00A817F0"/>
    <w:rsid w:val="00A82B43"/>
    <w:rsid w:val="00A833D8"/>
    <w:rsid w:val="00A842B0"/>
    <w:rsid w:val="00A845E1"/>
    <w:rsid w:val="00A85AEC"/>
    <w:rsid w:val="00A86A20"/>
    <w:rsid w:val="00A8741B"/>
    <w:rsid w:val="00A915E4"/>
    <w:rsid w:val="00A91B9B"/>
    <w:rsid w:val="00A925FE"/>
    <w:rsid w:val="00A958E5"/>
    <w:rsid w:val="00A95C2F"/>
    <w:rsid w:val="00A9617E"/>
    <w:rsid w:val="00A96BFD"/>
    <w:rsid w:val="00A96F31"/>
    <w:rsid w:val="00A97B5F"/>
    <w:rsid w:val="00A97E21"/>
    <w:rsid w:val="00AA059A"/>
    <w:rsid w:val="00AA08DA"/>
    <w:rsid w:val="00AA11E3"/>
    <w:rsid w:val="00AA137D"/>
    <w:rsid w:val="00AA1CD7"/>
    <w:rsid w:val="00AA1D16"/>
    <w:rsid w:val="00AA30B5"/>
    <w:rsid w:val="00AA35C8"/>
    <w:rsid w:val="00AA44E9"/>
    <w:rsid w:val="00AA60D9"/>
    <w:rsid w:val="00AA7BAA"/>
    <w:rsid w:val="00AB0FC7"/>
    <w:rsid w:val="00AB1F6D"/>
    <w:rsid w:val="00AB77CD"/>
    <w:rsid w:val="00AC0657"/>
    <w:rsid w:val="00AC2D47"/>
    <w:rsid w:val="00AC2EC6"/>
    <w:rsid w:val="00AC3EE9"/>
    <w:rsid w:val="00AC4056"/>
    <w:rsid w:val="00AC4E81"/>
    <w:rsid w:val="00AD0110"/>
    <w:rsid w:val="00AD0B59"/>
    <w:rsid w:val="00AD1CBB"/>
    <w:rsid w:val="00AD326E"/>
    <w:rsid w:val="00AD329C"/>
    <w:rsid w:val="00AD3E06"/>
    <w:rsid w:val="00AD7C6C"/>
    <w:rsid w:val="00AE22DB"/>
    <w:rsid w:val="00AE2D69"/>
    <w:rsid w:val="00AE3AF3"/>
    <w:rsid w:val="00AE473C"/>
    <w:rsid w:val="00AF0D38"/>
    <w:rsid w:val="00AF38CC"/>
    <w:rsid w:val="00AF582B"/>
    <w:rsid w:val="00B010C8"/>
    <w:rsid w:val="00B012F9"/>
    <w:rsid w:val="00B025C0"/>
    <w:rsid w:val="00B04BF9"/>
    <w:rsid w:val="00B0514E"/>
    <w:rsid w:val="00B06A88"/>
    <w:rsid w:val="00B076A6"/>
    <w:rsid w:val="00B0797A"/>
    <w:rsid w:val="00B10BA8"/>
    <w:rsid w:val="00B11D5D"/>
    <w:rsid w:val="00B145EF"/>
    <w:rsid w:val="00B1599D"/>
    <w:rsid w:val="00B16FA9"/>
    <w:rsid w:val="00B170D8"/>
    <w:rsid w:val="00B20BFE"/>
    <w:rsid w:val="00B21D03"/>
    <w:rsid w:val="00B22463"/>
    <w:rsid w:val="00B225E5"/>
    <w:rsid w:val="00B226D1"/>
    <w:rsid w:val="00B22900"/>
    <w:rsid w:val="00B2302F"/>
    <w:rsid w:val="00B23854"/>
    <w:rsid w:val="00B245E5"/>
    <w:rsid w:val="00B25E5F"/>
    <w:rsid w:val="00B2634C"/>
    <w:rsid w:val="00B27788"/>
    <w:rsid w:val="00B27E65"/>
    <w:rsid w:val="00B3037B"/>
    <w:rsid w:val="00B30468"/>
    <w:rsid w:val="00B30752"/>
    <w:rsid w:val="00B31913"/>
    <w:rsid w:val="00B32E9E"/>
    <w:rsid w:val="00B33474"/>
    <w:rsid w:val="00B34E85"/>
    <w:rsid w:val="00B36EB8"/>
    <w:rsid w:val="00B37107"/>
    <w:rsid w:val="00B372D5"/>
    <w:rsid w:val="00B373EB"/>
    <w:rsid w:val="00B40A33"/>
    <w:rsid w:val="00B40AD3"/>
    <w:rsid w:val="00B4123B"/>
    <w:rsid w:val="00B45732"/>
    <w:rsid w:val="00B45FDC"/>
    <w:rsid w:val="00B477E0"/>
    <w:rsid w:val="00B47B93"/>
    <w:rsid w:val="00B5276C"/>
    <w:rsid w:val="00B527A8"/>
    <w:rsid w:val="00B547E0"/>
    <w:rsid w:val="00B5507A"/>
    <w:rsid w:val="00B6004F"/>
    <w:rsid w:val="00B60B31"/>
    <w:rsid w:val="00B6316C"/>
    <w:rsid w:val="00B64029"/>
    <w:rsid w:val="00B64E12"/>
    <w:rsid w:val="00B654FA"/>
    <w:rsid w:val="00B65BD6"/>
    <w:rsid w:val="00B65EF2"/>
    <w:rsid w:val="00B700BF"/>
    <w:rsid w:val="00B708F9"/>
    <w:rsid w:val="00B70F56"/>
    <w:rsid w:val="00B727A5"/>
    <w:rsid w:val="00B74748"/>
    <w:rsid w:val="00B7501C"/>
    <w:rsid w:val="00B76EE5"/>
    <w:rsid w:val="00B77C06"/>
    <w:rsid w:val="00B80024"/>
    <w:rsid w:val="00B80BB6"/>
    <w:rsid w:val="00B81BFB"/>
    <w:rsid w:val="00B8282D"/>
    <w:rsid w:val="00B831AE"/>
    <w:rsid w:val="00B90745"/>
    <w:rsid w:val="00B90831"/>
    <w:rsid w:val="00B90B97"/>
    <w:rsid w:val="00B90C06"/>
    <w:rsid w:val="00B948F8"/>
    <w:rsid w:val="00B96A51"/>
    <w:rsid w:val="00B97756"/>
    <w:rsid w:val="00B97FAA"/>
    <w:rsid w:val="00BA18D4"/>
    <w:rsid w:val="00BA1D9B"/>
    <w:rsid w:val="00BA248E"/>
    <w:rsid w:val="00BA3976"/>
    <w:rsid w:val="00BA6D23"/>
    <w:rsid w:val="00BA717F"/>
    <w:rsid w:val="00BB0D06"/>
    <w:rsid w:val="00BB2B26"/>
    <w:rsid w:val="00BB468A"/>
    <w:rsid w:val="00BB6DFF"/>
    <w:rsid w:val="00BB6EA4"/>
    <w:rsid w:val="00BB7593"/>
    <w:rsid w:val="00BC0B14"/>
    <w:rsid w:val="00BC1805"/>
    <w:rsid w:val="00BC203A"/>
    <w:rsid w:val="00BC4A1A"/>
    <w:rsid w:val="00BC4FB1"/>
    <w:rsid w:val="00BC5432"/>
    <w:rsid w:val="00BC562A"/>
    <w:rsid w:val="00BC6003"/>
    <w:rsid w:val="00BC6093"/>
    <w:rsid w:val="00BD15A3"/>
    <w:rsid w:val="00BD1734"/>
    <w:rsid w:val="00BD195C"/>
    <w:rsid w:val="00BD1D76"/>
    <w:rsid w:val="00BD2051"/>
    <w:rsid w:val="00BD2FE3"/>
    <w:rsid w:val="00BD33F4"/>
    <w:rsid w:val="00BD3A36"/>
    <w:rsid w:val="00BD5550"/>
    <w:rsid w:val="00BD6AA9"/>
    <w:rsid w:val="00BD6B51"/>
    <w:rsid w:val="00BE023A"/>
    <w:rsid w:val="00BE1A59"/>
    <w:rsid w:val="00BE3C27"/>
    <w:rsid w:val="00BE41DA"/>
    <w:rsid w:val="00BE6544"/>
    <w:rsid w:val="00BF23C0"/>
    <w:rsid w:val="00BF302B"/>
    <w:rsid w:val="00BF52A7"/>
    <w:rsid w:val="00BF57A9"/>
    <w:rsid w:val="00BF5A91"/>
    <w:rsid w:val="00BF7A10"/>
    <w:rsid w:val="00C037EB"/>
    <w:rsid w:val="00C04184"/>
    <w:rsid w:val="00C0431E"/>
    <w:rsid w:val="00C047FA"/>
    <w:rsid w:val="00C05450"/>
    <w:rsid w:val="00C05966"/>
    <w:rsid w:val="00C059F5"/>
    <w:rsid w:val="00C115BF"/>
    <w:rsid w:val="00C15DCD"/>
    <w:rsid w:val="00C17272"/>
    <w:rsid w:val="00C219DD"/>
    <w:rsid w:val="00C22BD7"/>
    <w:rsid w:val="00C23FE0"/>
    <w:rsid w:val="00C2439B"/>
    <w:rsid w:val="00C24CCE"/>
    <w:rsid w:val="00C24E9C"/>
    <w:rsid w:val="00C26514"/>
    <w:rsid w:val="00C27BF2"/>
    <w:rsid w:val="00C30D3E"/>
    <w:rsid w:val="00C32105"/>
    <w:rsid w:val="00C33BEC"/>
    <w:rsid w:val="00C34272"/>
    <w:rsid w:val="00C362EA"/>
    <w:rsid w:val="00C371F0"/>
    <w:rsid w:val="00C37E93"/>
    <w:rsid w:val="00C40AE2"/>
    <w:rsid w:val="00C41F40"/>
    <w:rsid w:val="00C441B4"/>
    <w:rsid w:val="00C47928"/>
    <w:rsid w:val="00C479A0"/>
    <w:rsid w:val="00C50562"/>
    <w:rsid w:val="00C50B46"/>
    <w:rsid w:val="00C52588"/>
    <w:rsid w:val="00C619F9"/>
    <w:rsid w:val="00C62106"/>
    <w:rsid w:val="00C64A3D"/>
    <w:rsid w:val="00C64DC0"/>
    <w:rsid w:val="00C6506C"/>
    <w:rsid w:val="00C65C09"/>
    <w:rsid w:val="00C67D48"/>
    <w:rsid w:val="00C72687"/>
    <w:rsid w:val="00C7304B"/>
    <w:rsid w:val="00C74920"/>
    <w:rsid w:val="00C75A2D"/>
    <w:rsid w:val="00C7748E"/>
    <w:rsid w:val="00C80171"/>
    <w:rsid w:val="00C82134"/>
    <w:rsid w:val="00C828A0"/>
    <w:rsid w:val="00C83B10"/>
    <w:rsid w:val="00C8490C"/>
    <w:rsid w:val="00C8707B"/>
    <w:rsid w:val="00C87826"/>
    <w:rsid w:val="00C9022C"/>
    <w:rsid w:val="00C90674"/>
    <w:rsid w:val="00C936A2"/>
    <w:rsid w:val="00C965AD"/>
    <w:rsid w:val="00CA149F"/>
    <w:rsid w:val="00CA1CC8"/>
    <w:rsid w:val="00CA2F6E"/>
    <w:rsid w:val="00CA3F8C"/>
    <w:rsid w:val="00CA42DD"/>
    <w:rsid w:val="00CA72AF"/>
    <w:rsid w:val="00CA7757"/>
    <w:rsid w:val="00CB035C"/>
    <w:rsid w:val="00CB2678"/>
    <w:rsid w:val="00CB3995"/>
    <w:rsid w:val="00CB40FF"/>
    <w:rsid w:val="00CB504F"/>
    <w:rsid w:val="00CB698A"/>
    <w:rsid w:val="00CB6F92"/>
    <w:rsid w:val="00CC10CB"/>
    <w:rsid w:val="00CC31D6"/>
    <w:rsid w:val="00CC3689"/>
    <w:rsid w:val="00CC386E"/>
    <w:rsid w:val="00CC443D"/>
    <w:rsid w:val="00CC568D"/>
    <w:rsid w:val="00CC621A"/>
    <w:rsid w:val="00CC650D"/>
    <w:rsid w:val="00CD0EBA"/>
    <w:rsid w:val="00CD162C"/>
    <w:rsid w:val="00CD2071"/>
    <w:rsid w:val="00CD4064"/>
    <w:rsid w:val="00CD62A3"/>
    <w:rsid w:val="00CD7BD8"/>
    <w:rsid w:val="00CE0EA9"/>
    <w:rsid w:val="00CE31CD"/>
    <w:rsid w:val="00CE4A3A"/>
    <w:rsid w:val="00CE552A"/>
    <w:rsid w:val="00CF0A7A"/>
    <w:rsid w:val="00CF4123"/>
    <w:rsid w:val="00CF4DF7"/>
    <w:rsid w:val="00CF68BA"/>
    <w:rsid w:val="00CF7987"/>
    <w:rsid w:val="00D01068"/>
    <w:rsid w:val="00D03217"/>
    <w:rsid w:val="00D04D46"/>
    <w:rsid w:val="00D06EB5"/>
    <w:rsid w:val="00D1156D"/>
    <w:rsid w:val="00D118EB"/>
    <w:rsid w:val="00D11D3F"/>
    <w:rsid w:val="00D12021"/>
    <w:rsid w:val="00D12369"/>
    <w:rsid w:val="00D12F83"/>
    <w:rsid w:val="00D15932"/>
    <w:rsid w:val="00D1603A"/>
    <w:rsid w:val="00D206BB"/>
    <w:rsid w:val="00D2239C"/>
    <w:rsid w:val="00D23807"/>
    <w:rsid w:val="00D23DF0"/>
    <w:rsid w:val="00D25319"/>
    <w:rsid w:val="00D26F68"/>
    <w:rsid w:val="00D27E26"/>
    <w:rsid w:val="00D30AA9"/>
    <w:rsid w:val="00D30BB5"/>
    <w:rsid w:val="00D32A76"/>
    <w:rsid w:val="00D32AE0"/>
    <w:rsid w:val="00D32BFF"/>
    <w:rsid w:val="00D37034"/>
    <w:rsid w:val="00D37435"/>
    <w:rsid w:val="00D4157C"/>
    <w:rsid w:val="00D436F5"/>
    <w:rsid w:val="00D44CD6"/>
    <w:rsid w:val="00D4520F"/>
    <w:rsid w:val="00D45BA9"/>
    <w:rsid w:val="00D4769E"/>
    <w:rsid w:val="00D50048"/>
    <w:rsid w:val="00D51AA5"/>
    <w:rsid w:val="00D52812"/>
    <w:rsid w:val="00D54400"/>
    <w:rsid w:val="00D555A4"/>
    <w:rsid w:val="00D6018E"/>
    <w:rsid w:val="00D60717"/>
    <w:rsid w:val="00D619D4"/>
    <w:rsid w:val="00D61E53"/>
    <w:rsid w:val="00D63054"/>
    <w:rsid w:val="00D63335"/>
    <w:rsid w:val="00D63629"/>
    <w:rsid w:val="00D64AEA"/>
    <w:rsid w:val="00D652EE"/>
    <w:rsid w:val="00D6674F"/>
    <w:rsid w:val="00D671DD"/>
    <w:rsid w:val="00D70742"/>
    <w:rsid w:val="00D719B7"/>
    <w:rsid w:val="00D72400"/>
    <w:rsid w:val="00D732C7"/>
    <w:rsid w:val="00D73E4C"/>
    <w:rsid w:val="00D76933"/>
    <w:rsid w:val="00D774A3"/>
    <w:rsid w:val="00D77908"/>
    <w:rsid w:val="00D80BD1"/>
    <w:rsid w:val="00D81E31"/>
    <w:rsid w:val="00D84F76"/>
    <w:rsid w:val="00D851E4"/>
    <w:rsid w:val="00D866DF"/>
    <w:rsid w:val="00D87EEC"/>
    <w:rsid w:val="00D906CE"/>
    <w:rsid w:val="00D93507"/>
    <w:rsid w:val="00D94F82"/>
    <w:rsid w:val="00D95A9C"/>
    <w:rsid w:val="00D95CDD"/>
    <w:rsid w:val="00D96776"/>
    <w:rsid w:val="00DA0642"/>
    <w:rsid w:val="00DA0FCC"/>
    <w:rsid w:val="00DA2496"/>
    <w:rsid w:val="00DA3153"/>
    <w:rsid w:val="00DA47BF"/>
    <w:rsid w:val="00DA6DAC"/>
    <w:rsid w:val="00DB311C"/>
    <w:rsid w:val="00DB3FC6"/>
    <w:rsid w:val="00DB740E"/>
    <w:rsid w:val="00DC19A6"/>
    <w:rsid w:val="00DC22DE"/>
    <w:rsid w:val="00DC3C54"/>
    <w:rsid w:val="00DC5656"/>
    <w:rsid w:val="00DC5FD9"/>
    <w:rsid w:val="00DC6377"/>
    <w:rsid w:val="00DC6869"/>
    <w:rsid w:val="00DC6C7F"/>
    <w:rsid w:val="00DC7250"/>
    <w:rsid w:val="00DC7974"/>
    <w:rsid w:val="00DD1720"/>
    <w:rsid w:val="00DD1931"/>
    <w:rsid w:val="00DD59D6"/>
    <w:rsid w:val="00DD6FFB"/>
    <w:rsid w:val="00DE099E"/>
    <w:rsid w:val="00DE1E76"/>
    <w:rsid w:val="00DE3EE2"/>
    <w:rsid w:val="00DE4D85"/>
    <w:rsid w:val="00DE51AB"/>
    <w:rsid w:val="00DE6D09"/>
    <w:rsid w:val="00DF00F1"/>
    <w:rsid w:val="00DF02C6"/>
    <w:rsid w:val="00DF2927"/>
    <w:rsid w:val="00DF2C35"/>
    <w:rsid w:val="00DF616F"/>
    <w:rsid w:val="00DF6AD0"/>
    <w:rsid w:val="00E00F37"/>
    <w:rsid w:val="00E0380B"/>
    <w:rsid w:val="00E03A1A"/>
    <w:rsid w:val="00E05908"/>
    <w:rsid w:val="00E112FE"/>
    <w:rsid w:val="00E11416"/>
    <w:rsid w:val="00E122BD"/>
    <w:rsid w:val="00E12CD2"/>
    <w:rsid w:val="00E132AC"/>
    <w:rsid w:val="00E1354B"/>
    <w:rsid w:val="00E140F6"/>
    <w:rsid w:val="00E14EB4"/>
    <w:rsid w:val="00E167CA"/>
    <w:rsid w:val="00E21371"/>
    <w:rsid w:val="00E230F3"/>
    <w:rsid w:val="00E23376"/>
    <w:rsid w:val="00E24794"/>
    <w:rsid w:val="00E25D68"/>
    <w:rsid w:val="00E268CE"/>
    <w:rsid w:val="00E26F84"/>
    <w:rsid w:val="00E30CA4"/>
    <w:rsid w:val="00E3212F"/>
    <w:rsid w:val="00E3240F"/>
    <w:rsid w:val="00E357E2"/>
    <w:rsid w:val="00E35A67"/>
    <w:rsid w:val="00E41D2F"/>
    <w:rsid w:val="00E4303E"/>
    <w:rsid w:val="00E45DB9"/>
    <w:rsid w:val="00E468B1"/>
    <w:rsid w:val="00E47A17"/>
    <w:rsid w:val="00E519A4"/>
    <w:rsid w:val="00E61662"/>
    <w:rsid w:val="00E620E1"/>
    <w:rsid w:val="00E64F9B"/>
    <w:rsid w:val="00E6607C"/>
    <w:rsid w:val="00E70B9D"/>
    <w:rsid w:val="00E711E4"/>
    <w:rsid w:val="00E721A4"/>
    <w:rsid w:val="00E734B6"/>
    <w:rsid w:val="00E736C2"/>
    <w:rsid w:val="00E752EC"/>
    <w:rsid w:val="00E7667B"/>
    <w:rsid w:val="00E83D13"/>
    <w:rsid w:val="00E85BE9"/>
    <w:rsid w:val="00E8641A"/>
    <w:rsid w:val="00E87DB4"/>
    <w:rsid w:val="00E936D0"/>
    <w:rsid w:val="00E93C22"/>
    <w:rsid w:val="00E94306"/>
    <w:rsid w:val="00E954FE"/>
    <w:rsid w:val="00E95FB9"/>
    <w:rsid w:val="00E964F0"/>
    <w:rsid w:val="00E96B76"/>
    <w:rsid w:val="00EA3AC8"/>
    <w:rsid w:val="00EA488D"/>
    <w:rsid w:val="00EA51B1"/>
    <w:rsid w:val="00EA5224"/>
    <w:rsid w:val="00EB1C7E"/>
    <w:rsid w:val="00EB22AE"/>
    <w:rsid w:val="00EB388D"/>
    <w:rsid w:val="00EB3F89"/>
    <w:rsid w:val="00EB5B79"/>
    <w:rsid w:val="00EB5C51"/>
    <w:rsid w:val="00EC1438"/>
    <w:rsid w:val="00EC6972"/>
    <w:rsid w:val="00ED0F3C"/>
    <w:rsid w:val="00ED1951"/>
    <w:rsid w:val="00ED2DFE"/>
    <w:rsid w:val="00ED2E82"/>
    <w:rsid w:val="00ED3557"/>
    <w:rsid w:val="00ED3DBB"/>
    <w:rsid w:val="00ED4BF2"/>
    <w:rsid w:val="00ED5169"/>
    <w:rsid w:val="00ED5C47"/>
    <w:rsid w:val="00ED5CDE"/>
    <w:rsid w:val="00ED636C"/>
    <w:rsid w:val="00ED68C9"/>
    <w:rsid w:val="00ED6960"/>
    <w:rsid w:val="00ED73C2"/>
    <w:rsid w:val="00EE040F"/>
    <w:rsid w:val="00EE1DEF"/>
    <w:rsid w:val="00EE216E"/>
    <w:rsid w:val="00EE4856"/>
    <w:rsid w:val="00EE52EF"/>
    <w:rsid w:val="00EE5A94"/>
    <w:rsid w:val="00EE6A70"/>
    <w:rsid w:val="00EE73BE"/>
    <w:rsid w:val="00EE757E"/>
    <w:rsid w:val="00EF0282"/>
    <w:rsid w:val="00EF48B7"/>
    <w:rsid w:val="00EF5371"/>
    <w:rsid w:val="00EF7657"/>
    <w:rsid w:val="00F02EC8"/>
    <w:rsid w:val="00F05E45"/>
    <w:rsid w:val="00F07689"/>
    <w:rsid w:val="00F10019"/>
    <w:rsid w:val="00F134F6"/>
    <w:rsid w:val="00F13901"/>
    <w:rsid w:val="00F1695C"/>
    <w:rsid w:val="00F169FA"/>
    <w:rsid w:val="00F16B44"/>
    <w:rsid w:val="00F17973"/>
    <w:rsid w:val="00F30398"/>
    <w:rsid w:val="00F30434"/>
    <w:rsid w:val="00F3064B"/>
    <w:rsid w:val="00F317DF"/>
    <w:rsid w:val="00F33B9D"/>
    <w:rsid w:val="00F35553"/>
    <w:rsid w:val="00F3652B"/>
    <w:rsid w:val="00F37A77"/>
    <w:rsid w:val="00F37FD4"/>
    <w:rsid w:val="00F40ED4"/>
    <w:rsid w:val="00F4283B"/>
    <w:rsid w:val="00F43690"/>
    <w:rsid w:val="00F442D9"/>
    <w:rsid w:val="00F444DF"/>
    <w:rsid w:val="00F46FFB"/>
    <w:rsid w:val="00F50C9F"/>
    <w:rsid w:val="00F517E7"/>
    <w:rsid w:val="00F51E4A"/>
    <w:rsid w:val="00F53F8E"/>
    <w:rsid w:val="00F549FB"/>
    <w:rsid w:val="00F54F0B"/>
    <w:rsid w:val="00F55498"/>
    <w:rsid w:val="00F606D4"/>
    <w:rsid w:val="00F627B6"/>
    <w:rsid w:val="00F65122"/>
    <w:rsid w:val="00F665BB"/>
    <w:rsid w:val="00F67BF3"/>
    <w:rsid w:val="00F70098"/>
    <w:rsid w:val="00F71179"/>
    <w:rsid w:val="00F72144"/>
    <w:rsid w:val="00F74233"/>
    <w:rsid w:val="00F742B1"/>
    <w:rsid w:val="00F82884"/>
    <w:rsid w:val="00F87631"/>
    <w:rsid w:val="00F90106"/>
    <w:rsid w:val="00F92450"/>
    <w:rsid w:val="00F92827"/>
    <w:rsid w:val="00F93840"/>
    <w:rsid w:val="00F93DF6"/>
    <w:rsid w:val="00F94C99"/>
    <w:rsid w:val="00F95F41"/>
    <w:rsid w:val="00F965CF"/>
    <w:rsid w:val="00F96ACE"/>
    <w:rsid w:val="00F97A4B"/>
    <w:rsid w:val="00FA1174"/>
    <w:rsid w:val="00FA1A62"/>
    <w:rsid w:val="00FA241B"/>
    <w:rsid w:val="00FA3D8A"/>
    <w:rsid w:val="00FA754E"/>
    <w:rsid w:val="00FB0053"/>
    <w:rsid w:val="00FB1DDF"/>
    <w:rsid w:val="00FB2205"/>
    <w:rsid w:val="00FB34E9"/>
    <w:rsid w:val="00FB4494"/>
    <w:rsid w:val="00FB4CD8"/>
    <w:rsid w:val="00FB71DA"/>
    <w:rsid w:val="00FB7469"/>
    <w:rsid w:val="00FC1671"/>
    <w:rsid w:val="00FC16F9"/>
    <w:rsid w:val="00FC1795"/>
    <w:rsid w:val="00FC2FAD"/>
    <w:rsid w:val="00FC310F"/>
    <w:rsid w:val="00FC3358"/>
    <w:rsid w:val="00FC35A0"/>
    <w:rsid w:val="00FC3D3D"/>
    <w:rsid w:val="00FC6CA5"/>
    <w:rsid w:val="00FC7223"/>
    <w:rsid w:val="00FC7E23"/>
    <w:rsid w:val="00FD12C4"/>
    <w:rsid w:val="00FD3709"/>
    <w:rsid w:val="00FD481D"/>
    <w:rsid w:val="00FD60CB"/>
    <w:rsid w:val="00FD671F"/>
    <w:rsid w:val="00FE1B1C"/>
    <w:rsid w:val="00FE2F30"/>
    <w:rsid w:val="00FE5D16"/>
    <w:rsid w:val="00FE5D9E"/>
    <w:rsid w:val="00FE7B97"/>
    <w:rsid w:val="00FF0AE4"/>
    <w:rsid w:val="00FF7581"/>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7E26"/>
    <w:pPr>
      <w:widowControl w:val="0"/>
      <w:autoSpaceDE w:val="0"/>
      <w:autoSpaceDN w:val="0"/>
      <w:bidi w:val="0"/>
      <w:adjustRightInd w:val="0"/>
      <w:spacing w:line="360" w:lineRule="atLeast"/>
      <w:ind w:left="0" w:right="0"/>
      <w:jc w:val="both"/>
      <w:textAlignment w:val="baseline"/>
    </w:pPr>
    <w:rPr>
      <w:sz w:val="20"/>
      <w:szCs w:val="20"/>
      <w:rtl w:val="0"/>
      <w:lang w:val="sk-SK" w:bidi="ar-SA"/>
    </w:rPr>
  </w:style>
  <w:style w:type="paragraph" w:styleId="Heading1">
    <w:name w:val="heading 1"/>
    <w:basedOn w:val="Normal"/>
    <w:next w:val="Normal"/>
    <w:qFormat/>
    <w:rsid w:val="00D27E26"/>
    <w:pPr>
      <w:keepNext/>
      <w:jc w:val="center"/>
      <w:outlineLvl w:val="0"/>
    </w:pPr>
    <w:rPr>
      <w:b/>
      <w:i/>
      <w:sz w:val="26"/>
    </w:rPr>
  </w:style>
  <w:style w:type="paragraph" w:styleId="Heading2">
    <w:name w:val="heading 2"/>
    <w:basedOn w:val="Normal"/>
    <w:next w:val="Normal"/>
    <w:qFormat/>
    <w:rsid w:val="00D27E26"/>
    <w:pPr>
      <w:keepNext/>
      <w:pBdr>
        <w:top w:val="single" w:sz="6" w:space="1" w:color="auto"/>
        <w:left w:val="single" w:sz="6" w:space="1" w:color="auto"/>
        <w:bottom w:val="single" w:sz="6" w:space="1" w:color="auto"/>
        <w:right w:val="single" w:sz="6" w:space="1" w:color="auto"/>
      </w:pBdr>
      <w:shd w:val="pct5" w:color="auto" w:fill="auto"/>
      <w:ind w:right="1"/>
      <w:jc w:val="both"/>
      <w:outlineLvl w:val="1"/>
    </w:pPr>
    <w:rPr>
      <w:b/>
      <w:i/>
      <w:sz w:val="26"/>
    </w:rPr>
  </w:style>
  <w:style w:type="paragraph" w:styleId="Heading3">
    <w:name w:val="heading 3"/>
    <w:basedOn w:val="Normal"/>
    <w:next w:val="Normal"/>
    <w:qFormat/>
    <w:rsid w:val="00A101D5"/>
    <w:pPr>
      <w:keepNext/>
      <w:spacing w:before="240" w:after="60"/>
      <w:jc w:val="both"/>
      <w:outlineLvl w:val="2"/>
    </w:pPr>
    <w:rPr>
      <w:rFonts w:ascii="Arial" w:hAnsi="Arial" w:cs="Arial"/>
      <w:b/>
      <w:bCs/>
      <w:sz w:val="26"/>
      <w:szCs w:val="26"/>
    </w:rPr>
  </w:style>
  <w:style w:type="paragraph" w:styleId="Heading4">
    <w:name w:val="heading 4"/>
    <w:basedOn w:val="Normal"/>
    <w:next w:val="Normal"/>
    <w:qFormat/>
    <w:rsid w:val="00D27E26"/>
    <w:pPr>
      <w:keepNext/>
      <w:jc w:val="both"/>
      <w:outlineLvl w:val="3"/>
    </w:pPr>
    <w:rPr>
      <w:sz w:val="24"/>
    </w:rPr>
  </w:style>
  <w:style w:type="paragraph" w:styleId="Heading5">
    <w:name w:val="heading 5"/>
    <w:basedOn w:val="Normal"/>
    <w:next w:val="Normal"/>
    <w:qFormat/>
    <w:rsid w:val="00D27E26"/>
    <w:pPr>
      <w:keepNext/>
      <w:jc w:val="both"/>
      <w:outlineLvl w:val="4"/>
    </w:pPr>
    <w:rPr>
      <w:b/>
      <w:i/>
      <w:sz w:val="24"/>
    </w:rPr>
  </w:style>
  <w:style w:type="paragraph" w:styleId="Heading6">
    <w:name w:val="heading 6"/>
    <w:basedOn w:val="Normal"/>
    <w:next w:val="Normal"/>
    <w:qFormat/>
    <w:rsid w:val="00D27E26"/>
    <w:pPr>
      <w:keepNext/>
      <w:jc w:val="both"/>
      <w:outlineLvl w:val="5"/>
    </w:pPr>
    <w:rPr>
      <w:b/>
      <w:sz w:val="22"/>
    </w:rPr>
  </w:style>
  <w:style w:type="paragraph" w:styleId="Heading7">
    <w:name w:val="heading 7"/>
    <w:basedOn w:val="Normal"/>
    <w:next w:val="Normal"/>
    <w:qFormat/>
    <w:rsid w:val="00D27E26"/>
    <w:pPr>
      <w:keepNext/>
      <w:pBdr>
        <w:top w:val="single" w:sz="6" w:space="1" w:color="auto"/>
        <w:left w:val="single" w:sz="6" w:space="1" w:color="auto"/>
        <w:bottom w:val="single" w:sz="6" w:space="1" w:color="auto"/>
        <w:right w:val="single" w:sz="6" w:space="1" w:color="auto"/>
      </w:pBdr>
      <w:shd w:val="pct5" w:color="auto" w:fill="auto"/>
      <w:jc w:val="center"/>
      <w:outlineLvl w:val="6"/>
    </w:pPr>
    <w:rPr>
      <w:b/>
      <w:i/>
      <w:sz w:val="28"/>
    </w:rPr>
  </w:style>
  <w:style w:type="paragraph" w:styleId="Heading8">
    <w:name w:val="heading 8"/>
    <w:basedOn w:val="Normal"/>
    <w:next w:val="Normal"/>
    <w:qFormat/>
    <w:rsid w:val="00D27E26"/>
    <w:pPr>
      <w:keepNext/>
      <w:pBdr>
        <w:top w:val="single" w:sz="6" w:space="1" w:color="auto"/>
        <w:left w:val="single" w:sz="6" w:space="1" w:color="auto"/>
        <w:bottom w:val="single" w:sz="6" w:space="1" w:color="auto"/>
        <w:right w:val="single" w:sz="6" w:space="1" w:color="auto"/>
      </w:pBdr>
      <w:shd w:val="pct5" w:color="auto" w:fill="auto"/>
      <w:ind w:right="1"/>
      <w:jc w:val="center"/>
      <w:outlineLvl w:val="7"/>
    </w:pPr>
    <w:rPr>
      <w:b/>
      <w:i/>
      <w:sz w:val="28"/>
    </w:rPr>
  </w:style>
  <w:style w:type="paragraph" w:styleId="Heading9">
    <w:name w:val="heading 9"/>
    <w:basedOn w:val="Normal"/>
    <w:next w:val="Normal"/>
    <w:qFormat/>
    <w:rsid w:val="00D27E26"/>
    <w:pPr>
      <w:keepNext/>
      <w:jc w:val="both"/>
      <w:outlineLvl w:val="8"/>
    </w:pPr>
    <w:rPr>
      <w:b/>
      <w:i/>
      <w:sz w:val="26"/>
    </w:rPr>
  </w:style>
  <w:style w:type="character" w:default="1" w:styleId="DefaultParagraphFont">
    <w:name w:val="Default Paragraph Font"/>
    <w:aliases w:val="Char Char2"/>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paragraph" w:styleId="Footer">
    <w:name w:val="footer"/>
    <w:basedOn w:val="Normal"/>
    <w:rsid w:val="00D27E26"/>
    <w:pPr>
      <w:tabs>
        <w:tab w:val="center" w:pos="4536"/>
        <w:tab w:val="right" w:pos="9072"/>
      </w:tabs>
      <w:jc w:val="both"/>
    </w:pPr>
  </w:style>
  <w:style w:type="character" w:styleId="PageNumber">
    <w:name w:val="page number"/>
    <w:basedOn w:val="DefaultParagraphFont"/>
    <w:rsid w:val="00D27E26"/>
  </w:style>
  <w:style w:type="paragraph" w:styleId="BodyTextIndent">
    <w:name w:val="Body Text Indent"/>
    <w:basedOn w:val="Normal"/>
    <w:rsid w:val="00D27E26"/>
    <w:pPr>
      <w:ind w:firstLine="709"/>
      <w:jc w:val="both"/>
    </w:pPr>
    <w:rPr>
      <w:sz w:val="26"/>
    </w:rPr>
  </w:style>
  <w:style w:type="paragraph" w:styleId="BodyText">
    <w:name w:val="Body Text"/>
    <w:basedOn w:val="Normal"/>
    <w:rsid w:val="00D27E26"/>
    <w:pPr>
      <w:pBdr>
        <w:top w:val="single" w:sz="6" w:space="1" w:color="auto"/>
        <w:left w:val="single" w:sz="6" w:space="1" w:color="auto"/>
        <w:bottom w:val="single" w:sz="6" w:space="1" w:color="auto"/>
        <w:right w:val="single" w:sz="6" w:space="1" w:color="auto"/>
      </w:pBdr>
      <w:shd w:val="pct5" w:color="auto" w:fill="auto"/>
      <w:ind w:right="1"/>
      <w:jc w:val="both"/>
    </w:pPr>
    <w:rPr>
      <w:b/>
      <w:i/>
      <w:sz w:val="26"/>
    </w:rPr>
  </w:style>
  <w:style w:type="paragraph" w:styleId="BodyText2">
    <w:name w:val="Body Text 2"/>
    <w:basedOn w:val="Normal"/>
    <w:rsid w:val="00D27E26"/>
    <w:pPr>
      <w:jc w:val="both"/>
    </w:pPr>
    <w:rPr>
      <w:sz w:val="26"/>
    </w:rPr>
  </w:style>
  <w:style w:type="paragraph" w:styleId="BodyTextIndent3">
    <w:name w:val="Body Text Indent 3"/>
    <w:basedOn w:val="Normal"/>
    <w:rsid w:val="00D27E26"/>
    <w:pPr>
      <w:ind w:firstLine="708"/>
      <w:jc w:val="both"/>
    </w:pPr>
    <w:rPr>
      <w:sz w:val="26"/>
    </w:rPr>
  </w:style>
  <w:style w:type="paragraph" w:styleId="NormalIndent">
    <w:name w:val="Normal Indent"/>
    <w:basedOn w:val="Normal"/>
    <w:rsid w:val="00D27E26"/>
    <w:pPr>
      <w:overflowPunct w:val="0"/>
      <w:autoSpaceDE/>
      <w:autoSpaceDN/>
      <w:ind w:left="708"/>
      <w:jc w:val="both"/>
    </w:pPr>
    <w:rPr>
      <w:rFonts w:ascii="Casablanca" w:hAnsi="Casablanca"/>
      <w:sz w:val="24"/>
    </w:rPr>
  </w:style>
  <w:style w:type="paragraph" w:customStyle="1" w:styleId="xl70">
    <w:name w:val="xl70"/>
    <w:basedOn w:val="Normal"/>
    <w:rsid w:val="00D27E26"/>
    <w:pPr>
      <w:spacing w:before="100" w:after="100"/>
      <w:jc w:val="center"/>
    </w:pPr>
    <w:rPr>
      <w:rFonts w:ascii="Arial" w:hAnsi="Arial"/>
      <w:sz w:val="24"/>
      <w:lang w:val="cs-CZ"/>
    </w:rPr>
  </w:style>
  <w:style w:type="paragraph" w:styleId="Title">
    <w:name w:val="Title"/>
    <w:basedOn w:val="Normal"/>
    <w:qFormat/>
    <w:rsid w:val="00D27E26"/>
    <w:pPr>
      <w:jc w:val="center"/>
    </w:pPr>
    <w:rPr>
      <w:sz w:val="24"/>
    </w:rPr>
  </w:style>
  <w:style w:type="paragraph" w:customStyle="1" w:styleId="xl25">
    <w:name w:val="xl25"/>
    <w:basedOn w:val="Normal"/>
    <w:rsid w:val="00D27E26"/>
    <w:pPr>
      <w:spacing w:before="100" w:beforeAutospacing="1" w:after="100" w:afterAutospacing="1"/>
      <w:jc w:val="both"/>
    </w:pPr>
    <w:rPr>
      <w:rFonts w:ascii="Arial" w:hAnsi="Arial"/>
      <w:sz w:val="24"/>
      <w:szCs w:val="24"/>
      <w:lang w:val="cs-CZ"/>
    </w:rPr>
  </w:style>
  <w:style w:type="paragraph" w:styleId="Header">
    <w:name w:val="header"/>
    <w:basedOn w:val="Normal"/>
    <w:rsid w:val="00F62546"/>
    <w:pPr>
      <w:tabs>
        <w:tab w:val="center" w:pos="4536"/>
        <w:tab w:val="right" w:pos="9072"/>
      </w:tabs>
      <w:jc w:val="both"/>
    </w:pPr>
  </w:style>
  <w:style w:type="table" w:styleId="TableGrid">
    <w:name w:val="Table Grid"/>
    <w:rsid w:val="007D0A26"/>
    <w:pPr>
      <w:widowControl w:val="0"/>
      <w:autoSpaceDE w:val="0"/>
      <w:autoSpaceDN w:val="0"/>
      <w:adjustRightInd w:val="0"/>
    </w:p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top"/>
    </w:tcPr>
  </w:style>
  <w:style w:type="paragraph" w:customStyle="1" w:styleId="Styl3">
    <w:name w:val="Styl3"/>
    <w:basedOn w:val="Normal"/>
    <w:rsid w:val="00184637"/>
    <w:pPr>
      <w:spacing w:line="360" w:lineRule="auto"/>
      <w:jc w:val="both"/>
    </w:pPr>
    <w:rPr>
      <w:rFonts w:ascii="Arial" w:hAnsi="Arial"/>
      <w:szCs w:val="24"/>
    </w:rPr>
  </w:style>
  <w:style w:type="paragraph" w:styleId="PlainText">
    <w:name w:val="Plain Text"/>
    <w:basedOn w:val="Normal"/>
    <w:link w:val="CharChar1"/>
    <w:rsid w:val="00A732E7"/>
    <w:pPr>
      <w:jc w:val="both"/>
    </w:pPr>
    <w:rPr>
      <w:rFonts w:ascii="Courier New" w:hAnsi="Courier New"/>
    </w:rPr>
  </w:style>
  <w:style w:type="character" w:customStyle="1" w:styleId="CharChar1">
    <w:name w:val="Char Char1"/>
    <w:basedOn w:val="DefaultParagraphFont"/>
    <w:link w:val="PlainText"/>
    <w:rsid w:val="009E64DD"/>
    <w:rPr>
      <w:rFonts w:ascii="Courier New" w:hAnsi="Courier New"/>
      <w:rtl w:val="0"/>
      <w:lang w:val="sk-SK" w:bidi="ar-SA"/>
    </w:rPr>
  </w:style>
  <w:style w:type="paragraph" w:customStyle="1" w:styleId="xl29">
    <w:name w:val="xl29"/>
    <w:basedOn w:val="Normal"/>
    <w:rsid w:val="002600E6"/>
    <w:pPr>
      <w:shd w:val="clear" w:color="auto" w:fill="C0C0C0"/>
      <w:spacing w:before="100" w:beforeAutospacing="1" w:after="100" w:afterAutospacing="1"/>
      <w:jc w:val="center"/>
    </w:pPr>
    <w:rPr>
      <w:rFonts w:ascii="Arial" w:hAnsi="Arial"/>
      <w:i/>
      <w:iCs/>
      <w:sz w:val="24"/>
      <w:szCs w:val="24"/>
      <w:lang w:val="cs-CZ"/>
    </w:rPr>
  </w:style>
  <w:style w:type="paragraph" w:styleId="BodyText3">
    <w:name w:val="Body Text 3"/>
    <w:basedOn w:val="Normal"/>
    <w:rsid w:val="00CD62A3"/>
    <w:pPr>
      <w:spacing w:after="120"/>
      <w:jc w:val="both"/>
    </w:pPr>
    <w:rPr>
      <w:sz w:val="16"/>
      <w:szCs w:val="16"/>
    </w:rPr>
  </w:style>
  <w:style w:type="paragraph" w:customStyle="1" w:styleId="Preformatted">
    <w:name w:val="Preformatted"/>
    <w:basedOn w:val="Normal"/>
    <w:rsid w:val="00E230F3"/>
    <w:pPr>
      <w:tabs>
        <w:tab w:val="left" w:pos="0"/>
        <w:tab w:val="left" w:pos="959"/>
        <w:tab w:val="left" w:pos="1918"/>
        <w:tab w:val="left" w:pos="2877"/>
        <w:tab w:val="left" w:pos="3836"/>
        <w:tab w:val="left" w:pos="4795"/>
        <w:tab w:val="left" w:pos="5754"/>
        <w:tab w:val="left" w:pos="6713"/>
        <w:tab w:val="left" w:pos="7672"/>
        <w:tab w:val="left" w:pos="8631"/>
        <w:tab w:val="left" w:pos="9590"/>
      </w:tabs>
      <w:jc w:val="both"/>
    </w:pPr>
    <w:rPr>
      <w:rFonts w:ascii="Courier New" w:hAnsi="Courier New"/>
    </w:rPr>
  </w:style>
  <w:style w:type="character" w:styleId="Strong">
    <w:name w:val="Strong"/>
    <w:basedOn w:val="DefaultParagraphFont"/>
    <w:qFormat/>
    <w:rsid w:val="00E43300"/>
    <w:rPr>
      <w:b/>
      <w:bCs/>
      <w:rtl w:val="0"/>
    </w:rPr>
  </w:style>
  <w:style w:type="character" w:styleId="Emphasis">
    <w:name w:val="Emphasis"/>
    <w:basedOn w:val="DefaultParagraphFont"/>
    <w:qFormat/>
    <w:rsid w:val="00E43300"/>
    <w:rPr>
      <w:i/>
      <w:iCs/>
      <w:rtl w:val="0"/>
    </w:rPr>
  </w:style>
  <w:style w:type="paragraph" w:styleId="BodyTextIndent2">
    <w:name w:val="Body Text Indent 2"/>
    <w:basedOn w:val="Normal"/>
    <w:rsid w:val="003945BE"/>
    <w:pPr>
      <w:spacing w:after="120" w:line="480" w:lineRule="auto"/>
      <w:ind w:left="283"/>
      <w:jc w:val="both"/>
    </w:pPr>
  </w:style>
  <w:style w:type="paragraph" w:customStyle="1" w:styleId="Normln">
    <w:name w:val="Norm‡ln’"/>
    <w:rsid w:val="003945BE"/>
    <w:pPr>
      <w:widowControl w:val="0"/>
      <w:overflowPunct w:val="0"/>
      <w:autoSpaceDE/>
      <w:autoSpaceDN/>
      <w:bidi w:val="0"/>
      <w:adjustRightInd w:val="0"/>
      <w:spacing w:line="360" w:lineRule="atLeast"/>
      <w:ind w:left="0" w:right="0"/>
      <w:jc w:val="both"/>
      <w:textAlignment w:val="baseline"/>
    </w:pPr>
    <w:rPr>
      <w:sz w:val="24"/>
      <w:szCs w:val="24"/>
      <w:rtl w:val="0"/>
      <w:lang w:val="cs-CZ" w:bidi="ar-SA"/>
    </w:rPr>
  </w:style>
  <w:style w:type="paragraph" w:customStyle="1" w:styleId="Styl6funkcia">
    <w:name w:val="Styl6 funkcia"/>
    <w:basedOn w:val="Normal"/>
    <w:rsid w:val="004767FE"/>
    <w:pPr>
      <w:jc w:val="both"/>
    </w:pPr>
    <w:rPr>
      <w:b/>
      <w:sz w:val="24"/>
      <w:szCs w:val="24"/>
      <w:lang w:val="en-GB"/>
    </w:rPr>
  </w:style>
  <w:style w:type="paragraph" w:customStyle="1" w:styleId="Styl1-text">
    <w:name w:val="Styl1 - text"/>
    <w:basedOn w:val="Heading1"/>
    <w:rsid w:val="00FC289E"/>
    <w:pPr>
      <w:spacing w:line="360" w:lineRule="auto"/>
      <w:jc w:val="left"/>
    </w:pPr>
    <w:rPr>
      <w:rFonts w:ascii="Arial" w:hAnsi="Arial" w:cs="Arial"/>
      <w:b w:val="0"/>
      <w:bCs/>
      <w:i w:val="0"/>
      <w:kern w:val="32"/>
      <w:sz w:val="20"/>
      <w:szCs w:val="32"/>
      <w:lang w:val="en-GB"/>
    </w:rPr>
  </w:style>
  <w:style w:type="paragraph" w:customStyle="1" w:styleId="Normalnyodsaden">
    <w:name w:val="Normalny odsadený"/>
    <w:basedOn w:val="Normal"/>
    <w:rsid w:val="00737A04"/>
    <w:pPr>
      <w:spacing w:before="120"/>
      <w:ind w:firstLine="567"/>
      <w:jc w:val="both"/>
    </w:pPr>
    <w:rPr>
      <w:sz w:val="24"/>
    </w:rPr>
  </w:style>
  <w:style w:type="paragraph" w:customStyle="1" w:styleId="Zistenie">
    <w:name w:val="Zistenie"/>
    <w:basedOn w:val="Normal"/>
    <w:rsid w:val="000E74E9"/>
    <w:pPr>
      <w:jc w:val="both"/>
    </w:pPr>
    <w:rPr>
      <w:sz w:val="18"/>
    </w:rPr>
  </w:style>
  <w:style w:type="paragraph" w:styleId="Subtitle">
    <w:name w:val="Subtitle"/>
    <w:basedOn w:val="Normal"/>
    <w:qFormat/>
    <w:rsid w:val="000E74E9"/>
    <w:pPr>
      <w:spacing w:after="60"/>
      <w:jc w:val="center"/>
      <w:outlineLvl w:val="1"/>
    </w:pPr>
    <w:rPr>
      <w:rFonts w:ascii="Arial" w:hAnsi="Arial"/>
      <w:sz w:val="24"/>
      <w:lang w:val="cs-CZ"/>
    </w:rPr>
  </w:style>
  <w:style w:type="paragraph" w:styleId="List">
    <w:name w:val="List"/>
    <w:basedOn w:val="Normal"/>
    <w:rsid w:val="000E74E9"/>
    <w:pPr>
      <w:ind w:left="283" w:hanging="283"/>
      <w:jc w:val="both"/>
    </w:pPr>
    <w:rPr>
      <w:lang w:val="cs-CZ"/>
    </w:rPr>
  </w:style>
  <w:style w:type="paragraph" w:styleId="List3">
    <w:name w:val="List 3"/>
    <w:basedOn w:val="Normal"/>
    <w:rsid w:val="000E74E9"/>
    <w:pPr>
      <w:ind w:left="849" w:hanging="283"/>
      <w:jc w:val="both"/>
    </w:pPr>
    <w:rPr>
      <w:sz w:val="24"/>
      <w:szCs w:val="24"/>
      <w:lang w:val="cs-CZ"/>
    </w:rPr>
  </w:style>
  <w:style w:type="paragraph" w:styleId="ListBullet2">
    <w:name w:val="List Bullet 2"/>
    <w:basedOn w:val="Normal"/>
    <w:autoRedefine/>
    <w:rsid w:val="00522BA6"/>
    <w:pPr>
      <w:tabs>
        <w:tab w:val="left" w:pos="700"/>
      </w:tabs>
      <w:spacing w:before="120"/>
      <w:ind w:firstLine="284"/>
      <w:jc w:val="both"/>
    </w:pPr>
    <w:rPr>
      <w:sz w:val="24"/>
      <w:szCs w:val="24"/>
    </w:rPr>
  </w:style>
  <w:style w:type="paragraph" w:styleId="BlockText">
    <w:name w:val="Block Text"/>
    <w:basedOn w:val="Normal"/>
    <w:rsid w:val="001D2EE0"/>
    <w:pPr>
      <w:adjustRightInd/>
      <w:spacing w:before="60" w:after="60" w:line="240" w:lineRule="auto"/>
      <w:ind w:left="115" w:right="57" w:hanging="115"/>
      <w:jc w:val="left"/>
      <w:textAlignment w:val="auto"/>
    </w:pPr>
    <w:rPr>
      <w:rFonts w:ascii="Arial Narrow" w:hAnsi="Arial Narrow"/>
    </w:rPr>
  </w:style>
  <w:style w:type="paragraph" w:customStyle="1" w:styleId="CharChar">
    <w:name w:val="Char Char"/>
    <w:basedOn w:val="Normal"/>
    <w:rsid w:val="00FC2FAD"/>
    <w:pPr>
      <w:adjustRightInd/>
      <w:spacing w:after="160" w:line="240" w:lineRule="exact"/>
      <w:jc w:val="left"/>
      <w:textAlignment w:val="auto"/>
    </w:pPr>
    <w:rPr>
      <w:rFonts w:ascii="Tahoma" w:hAnsi="Tahoma" w:cs="Tahoma"/>
      <w:lang w:val="en-US"/>
    </w:rPr>
  </w:style>
  <w:style w:type="paragraph" w:customStyle="1" w:styleId="CharCharChar1">
    <w:name w:val="Char Char Char1"/>
    <w:basedOn w:val="Normal"/>
    <w:rsid w:val="00405552"/>
    <w:pPr>
      <w:adjustRightInd/>
      <w:spacing w:after="160" w:line="240" w:lineRule="exact"/>
      <w:jc w:val="left"/>
      <w:textAlignment w:val="auto"/>
    </w:pPr>
    <w:rPr>
      <w:rFonts w:ascii="Arial" w:hAnsi="Arial" w:cs="Arial"/>
      <w:lang w:val="en-US"/>
    </w:rPr>
  </w:style>
  <w:style w:type="paragraph" w:styleId="FootnoteText">
    <w:name w:val="footnote text"/>
    <w:basedOn w:val="Normal"/>
    <w:semiHidden/>
    <w:rsid w:val="00FB4CD8"/>
    <w:pPr>
      <w:adjustRightInd/>
      <w:spacing w:line="240" w:lineRule="auto"/>
      <w:jc w:val="left"/>
      <w:textAlignment w:val="auto"/>
    </w:pPr>
    <w:rPr>
      <w:lang w:val="en-GB"/>
    </w:rPr>
  </w:style>
  <w:style w:type="character" w:styleId="Hyperlink">
    <w:name w:val="Hyperlink"/>
    <w:basedOn w:val="DefaultParagraphFont"/>
    <w:rsid w:val="00AA35C8"/>
    <w:rPr>
      <w:strike w:val="0"/>
      <w:dstrike w:val="0"/>
      <w:color w:val="000000"/>
      <w:u w:val="none"/>
      <w:effect w:val="none"/>
    </w:rPr>
  </w:style>
  <w:style w:type="paragraph" w:styleId="NormalWeb">
    <w:name w:val="Normal (Web)"/>
    <w:basedOn w:val="Normal"/>
    <w:rsid w:val="00E8641A"/>
    <w:pPr>
      <w:adjustRightInd/>
      <w:spacing w:before="150" w:after="150" w:line="240" w:lineRule="auto"/>
      <w:jc w:val="left"/>
      <w:textAlignment w:val="auto"/>
    </w:pPr>
    <w:rPr>
      <w:sz w:val="24"/>
      <w:szCs w:val="24"/>
    </w:rPr>
  </w:style>
  <w:style w:type="paragraph" w:customStyle="1" w:styleId="CharChar1CharCharChar">
    <w:name w:val="Char Char1 Char Char Char"/>
    <w:basedOn w:val="Normal"/>
    <w:rsid w:val="00C17272"/>
    <w:pPr>
      <w:adjustRightInd/>
      <w:spacing w:after="160" w:line="240" w:lineRule="exact"/>
      <w:jc w:val="left"/>
      <w:textAlignment w:val="auto"/>
    </w:pPr>
    <w:rPr>
      <w:rFonts w:ascii="Tahoma" w:hAnsi="Tahoma" w:cs="Tahoma"/>
      <w:lang w:val="en-US"/>
    </w:rPr>
  </w:style>
  <w:style w:type="character" w:customStyle="1" w:styleId="tlTunKurzva">
    <w:name w:val="Štýl Tučné Kurzíva"/>
    <w:basedOn w:val="DefaultParagraphFont"/>
    <w:rsid w:val="007A2B52"/>
    <w:rPr>
      <w:rFonts w:cs="Times New Roman"/>
      <w:b/>
      <w:bCs/>
      <w:i/>
      <w:iCs/>
      <w:rtl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1</TotalTime>
  <Pages>1</Pages>
  <Words>57946</Words>
  <Characters>330297</Characters>
  <Application>Microsoft Office Word</Application>
  <DocSecurity>0</DocSecurity>
  <Lines>0</Lines>
  <Paragraphs>0</Paragraphs>
  <ScaleCrop>false</ScaleCrop>
  <Company>MDPT</Company>
  <LinksUpToDate>false</LinksUpToDate>
  <CharactersWithSpaces>387469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MINISTERSTVO DOPRAVY,</dc:title>
  <dc:creator>Matejka</dc:creator>
  <cp:lastModifiedBy>EgyenEva</cp:lastModifiedBy>
  <cp:revision>2</cp:revision>
  <cp:lastPrinted>2008-05-07T09:25:00Z</cp:lastPrinted>
  <dcterms:created xsi:type="dcterms:W3CDTF">2008-06-11T06:56:00Z</dcterms:created>
  <dcterms:modified xsi:type="dcterms:W3CDTF">2008-06-11T06:56:00Z</dcterms:modified>
</cp:coreProperties>
</file>